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19.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header20.xml" ContentType="application/vnd.openxmlformats-officedocument.wordprocessingml.header+xml"/>
  <Override PartName="/word/footer103.xml" ContentType="application/vnd.openxmlformats-officedocument.wordprocessingml.footer+xml"/>
  <Override PartName="/word/header21.xml" ContentType="application/vnd.openxmlformats-officedocument.wordprocessingml.header+xml"/>
  <Override PartName="/word/footer104.xml" ContentType="application/vnd.openxmlformats-officedocument.wordprocessingml.footer+xml"/>
  <Override PartName="/word/header22.xml" ContentType="application/vnd.openxmlformats-officedocument.wordprocessingml.header+xml"/>
  <Override PartName="/word/footer105.xml" ContentType="application/vnd.openxmlformats-officedocument.wordprocessingml.footer+xml"/>
  <Override PartName="/word/header23.xml" ContentType="application/vnd.openxmlformats-officedocument.wordprocessingml.header+xml"/>
  <Override PartName="/word/footer106.xml" ContentType="application/vnd.openxmlformats-officedocument.wordprocessingml.footer+xml"/>
  <Override PartName="/word/header24.xml" ContentType="application/vnd.openxmlformats-officedocument.wordprocessingml.header+xml"/>
  <Override PartName="/word/footer10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AC56D" w14:textId="77777777" w:rsidR="006B3AF4" w:rsidRDefault="006B3AF4" w:rsidP="002445F5">
      <w:pPr>
        <w:spacing w:after="0" w:line="240" w:lineRule="auto"/>
        <w:jc w:val="center"/>
        <w:rPr>
          <w:rFonts w:eastAsia="Times New Roman" w:cs="Arial"/>
          <w:b/>
          <w:sz w:val="32"/>
          <w:szCs w:val="32"/>
        </w:rPr>
      </w:pPr>
    </w:p>
    <w:p w14:paraId="5E84D0B2" w14:textId="77777777" w:rsidR="00A73481" w:rsidRDefault="00A73481" w:rsidP="002445F5">
      <w:pPr>
        <w:spacing w:after="0" w:line="240" w:lineRule="auto"/>
        <w:jc w:val="center"/>
        <w:rPr>
          <w:rFonts w:eastAsia="Times New Roman" w:cs="Arial"/>
          <w:b/>
          <w:sz w:val="32"/>
          <w:szCs w:val="32"/>
        </w:rPr>
      </w:pPr>
    </w:p>
    <w:p w14:paraId="28471E4C" w14:textId="77777777" w:rsidR="0055511D" w:rsidRPr="0034501D" w:rsidRDefault="0055511D" w:rsidP="002445F5">
      <w:pPr>
        <w:spacing w:after="0" w:line="240" w:lineRule="auto"/>
        <w:jc w:val="center"/>
        <w:rPr>
          <w:rFonts w:eastAsia="Times New Roman" w:cs="Arial"/>
          <w:b/>
          <w:sz w:val="32"/>
          <w:szCs w:val="32"/>
        </w:rPr>
      </w:pPr>
    </w:p>
    <w:p w14:paraId="4B621716" w14:textId="77777777" w:rsidR="004D4B9D" w:rsidRPr="0034501D" w:rsidRDefault="002264EB" w:rsidP="002445F5">
      <w:pPr>
        <w:spacing w:after="0" w:line="240" w:lineRule="auto"/>
        <w:jc w:val="center"/>
        <w:rPr>
          <w:rFonts w:eastAsia="Times New Roman" w:cs="Arial"/>
          <w:b/>
          <w:sz w:val="32"/>
          <w:szCs w:val="32"/>
        </w:rPr>
      </w:pPr>
      <w:r w:rsidRPr="0034501D">
        <w:rPr>
          <w:rFonts w:eastAsia="Times New Roman" w:cs="Arial"/>
          <w:b/>
          <w:sz w:val="32"/>
          <w:szCs w:val="32"/>
        </w:rPr>
        <w:t xml:space="preserve"> </w:t>
      </w:r>
    </w:p>
    <w:p w14:paraId="0D1C79CB" w14:textId="04005B3F" w:rsidR="004D4B9D" w:rsidRPr="0034501D" w:rsidRDefault="004D4B9D" w:rsidP="002445F5">
      <w:pPr>
        <w:spacing w:after="0" w:line="240" w:lineRule="auto"/>
        <w:jc w:val="center"/>
        <w:rPr>
          <w:rFonts w:eastAsia="Times New Roman" w:cs="Arial"/>
          <w:b/>
          <w:sz w:val="32"/>
          <w:szCs w:val="32"/>
        </w:rPr>
      </w:pPr>
    </w:p>
    <w:p w14:paraId="18790936" w14:textId="77777777" w:rsidR="004D4B9D" w:rsidRPr="0034501D" w:rsidRDefault="004D4B9D" w:rsidP="002445F5">
      <w:pPr>
        <w:spacing w:after="0" w:line="240" w:lineRule="auto"/>
        <w:jc w:val="center"/>
        <w:rPr>
          <w:rFonts w:eastAsia="Times New Roman" w:cs="Arial"/>
          <w:b/>
          <w:sz w:val="32"/>
          <w:szCs w:val="32"/>
        </w:rPr>
      </w:pPr>
    </w:p>
    <w:p w14:paraId="76631363" w14:textId="77777777" w:rsidR="004D4B9D" w:rsidRPr="0034501D" w:rsidRDefault="004D4B9D" w:rsidP="002445F5">
      <w:pPr>
        <w:spacing w:after="0" w:line="240" w:lineRule="auto"/>
        <w:jc w:val="center"/>
        <w:rPr>
          <w:rFonts w:eastAsia="Times New Roman" w:cs="Arial"/>
          <w:b/>
          <w:sz w:val="32"/>
          <w:szCs w:val="32"/>
        </w:rPr>
      </w:pPr>
    </w:p>
    <w:p w14:paraId="51EBB4B3" w14:textId="77777777" w:rsidR="004D4B9D" w:rsidRPr="0034501D" w:rsidRDefault="004D4B9D" w:rsidP="002445F5">
      <w:pPr>
        <w:spacing w:after="0" w:line="240" w:lineRule="auto"/>
        <w:jc w:val="center"/>
        <w:rPr>
          <w:rFonts w:eastAsia="Times New Roman" w:cs="Arial"/>
          <w:b/>
          <w:sz w:val="32"/>
          <w:szCs w:val="32"/>
        </w:rPr>
      </w:pPr>
    </w:p>
    <w:p w14:paraId="5A801B0E" w14:textId="77777777" w:rsidR="004D4B9D" w:rsidRPr="0034501D" w:rsidRDefault="004D4B9D" w:rsidP="002445F5">
      <w:pPr>
        <w:spacing w:after="0" w:line="240" w:lineRule="auto"/>
        <w:jc w:val="center"/>
        <w:rPr>
          <w:rFonts w:eastAsia="Times New Roman" w:cs="Arial"/>
          <w:b/>
          <w:sz w:val="32"/>
          <w:szCs w:val="32"/>
        </w:rPr>
      </w:pPr>
    </w:p>
    <w:p w14:paraId="7F9AD4BA" w14:textId="77777777" w:rsidR="004D4B9D" w:rsidRPr="0034501D" w:rsidRDefault="004D4B9D" w:rsidP="002445F5">
      <w:pPr>
        <w:spacing w:after="0" w:line="240" w:lineRule="auto"/>
        <w:jc w:val="center"/>
        <w:rPr>
          <w:rFonts w:eastAsia="Times New Roman" w:cs="Arial"/>
          <w:b/>
          <w:sz w:val="32"/>
          <w:szCs w:val="32"/>
        </w:rPr>
      </w:pPr>
    </w:p>
    <w:p w14:paraId="71DFF24E" w14:textId="77777777" w:rsidR="004D4B9D" w:rsidRPr="0034501D" w:rsidRDefault="004D4B9D" w:rsidP="002445F5">
      <w:pPr>
        <w:spacing w:after="0" w:line="240" w:lineRule="auto"/>
        <w:jc w:val="center"/>
        <w:rPr>
          <w:rFonts w:eastAsia="Times New Roman" w:cs="Arial"/>
          <w:b/>
          <w:sz w:val="32"/>
          <w:szCs w:val="32"/>
        </w:rPr>
      </w:pPr>
    </w:p>
    <w:p w14:paraId="375F9B97" w14:textId="77777777" w:rsidR="004D4B9D" w:rsidRPr="0034501D" w:rsidRDefault="004D4B9D" w:rsidP="002445F5">
      <w:pPr>
        <w:spacing w:after="0" w:line="240" w:lineRule="auto"/>
        <w:jc w:val="center"/>
        <w:rPr>
          <w:rFonts w:eastAsia="Times New Roman" w:cs="Arial"/>
          <w:b/>
          <w:sz w:val="32"/>
          <w:szCs w:val="32"/>
        </w:rPr>
      </w:pPr>
    </w:p>
    <w:p w14:paraId="69E0B011" w14:textId="77777777" w:rsidR="004D4B9D" w:rsidRPr="0034501D" w:rsidRDefault="004D4B9D" w:rsidP="002445F5">
      <w:pPr>
        <w:spacing w:after="0" w:line="240" w:lineRule="auto"/>
        <w:jc w:val="center"/>
        <w:rPr>
          <w:rFonts w:eastAsia="Times New Roman" w:cs="Arial"/>
          <w:b/>
          <w:sz w:val="32"/>
          <w:szCs w:val="32"/>
        </w:rPr>
      </w:pPr>
    </w:p>
    <w:p w14:paraId="6BCF6F90" w14:textId="77777777" w:rsidR="004D4B9D" w:rsidRPr="0034501D" w:rsidRDefault="004D4B9D" w:rsidP="002445F5">
      <w:pPr>
        <w:spacing w:after="0" w:line="240" w:lineRule="auto"/>
        <w:jc w:val="center"/>
        <w:rPr>
          <w:rFonts w:eastAsia="Times New Roman" w:cs="Arial"/>
          <w:b/>
          <w:sz w:val="32"/>
          <w:szCs w:val="32"/>
        </w:rPr>
      </w:pPr>
    </w:p>
    <w:p w14:paraId="0FF7DD07" w14:textId="77777777" w:rsidR="00BF3DE3" w:rsidRPr="0034501D" w:rsidRDefault="003230EC" w:rsidP="00BF3DE3">
      <w:pPr>
        <w:spacing w:after="0" w:line="240" w:lineRule="auto"/>
        <w:ind w:right="284"/>
        <w:rPr>
          <w:rFonts w:eastAsia="Times New Roman" w:cs="Arial"/>
          <w:b/>
          <w:sz w:val="32"/>
          <w:szCs w:val="32"/>
        </w:rPr>
      </w:pPr>
      <w:r w:rsidRPr="0034501D">
        <w:rPr>
          <w:rFonts w:eastAsia="Times New Roman" w:cs="Arial"/>
          <w:b/>
          <w:sz w:val="32"/>
          <w:szCs w:val="32"/>
        </w:rPr>
        <w:t>CROATIAN BANK FOR RECONSTRUCTION AND DEVELOPMENT</w:t>
      </w:r>
    </w:p>
    <w:p w14:paraId="32E716CE" w14:textId="77777777" w:rsidR="00BF3DE3" w:rsidRPr="0034501D" w:rsidRDefault="00BF3DE3" w:rsidP="00BF3DE3">
      <w:pPr>
        <w:spacing w:after="0" w:line="240" w:lineRule="auto"/>
        <w:ind w:right="284"/>
        <w:rPr>
          <w:rFonts w:eastAsia="Times New Roman" w:cs="Arial"/>
          <w:b/>
          <w:sz w:val="32"/>
          <w:szCs w:val="32"/>
        </w:rPr>
      </w:pPr>
    </w:p>
    <w:p w14:paraId="6662BEB1" w14:textId="1C9C9F9F" w:rsidR="00BF3DE3" w:rsidRPr="0034501D" w:rsidRDefault="00203B74" w:rsidP="00BF3DE3">
      <w:pPr>
        <w:spacing w:after="0" w:line="240" w:lineRule="auto"/>
        <w:ind w:right="284"/>
        <w:rPr>
          <w:rFonts w:eastAsia="Times New Roman" w:cs="Arial"/>
          <w:b/>
          <w:sz w:val="32"/>
          <w:szCs w:val="32"/>
        </w:rPr>
      </w:pPr>
      <w:r>
        <w:rPr>
          <w:rFonts w:eastAsia="Times New Roman" w:cs="Arial"/>
          <w:b/>
          <w:sz w:val="32"/>
          <w:szCs w:val="32"/>
        </w:rPr>
        <w:t xml:space="preserve">Unaudited </w:t>
      </w:r>
      <w:r w:rsidR="003230EC" w:rsidRPr="0034501D">
        <w:rPr>
          <w:rFonts w:eastAsia="Times New Roman" w:cs="Arial"/>
          <w:b/>
          <w:sz w:val="32"/>
          <w:szCs w:val="32"/>
        </w:rPr>
        <w:t xml:space="preserve">Consolidated Interim </w:t>
      </w:r>
      <w:r w:rsidR="0054562E">
        <w:rPr>
          <w:rFonts w:eastAsia="Times New Roman" w:cs="Arial"/>
          <w:b/>
          <w:sz w:val="32"/>
          <w:szCs w:val="32"/>
        </w:rPr>
        <w:t xml:space="preserve">Condensed </w:t>
      </w:r>
      <w:r w:rsidR="003230EC" w:rsidRPr="0034501D">
        <w:rPr>
          <w:rFonts w:eastAsia="Times New Roman" w:cs="Arial"/>
          <w:b/>
          <w:sz w:val="32"/>
          <w:szCs w:val="32"/>
        </w:rPr>
        <w:t>Financial Statements for the Period</w:t>
      </w:r>
      <w:r w:rsidR="00BF3DE3" w:rsidRPr="0034501D">
        <w:rPr>
          <w:rFonts w:eastAsia="Times New Roman" w:cs="Arial"/>
          <w:b/>
          <w:sz w:val="32"/>
          <w:szCs w:val="32"/>
        </w:rPr>
        <w:t xml:space="preserve"> 1</w:t>
      </w:r>
      <w:r w:rsidR="003230EC" w:rsidRPr="0034501D">
        <w:rPr>
          <w:rFonts w:eastAsia="Times New Roman" w:cs="Arial"/>
          <w:b/>
          <w:sz w:val="32"/>
          <w:szCs w:val="32"/>
        </w:rPr>
        <w:t xml:space="preserve"> January –</w:t>
      </w:r>
      <w:r w:rsidR="00BF3DE3" w:rsidRPr="0034501D">
        <w:rPr>
          <w:rFonts w:eastAsia="Times New Roman" w:cs="Arial"/>
          <w:b/>
          <w:sz w:val="32"/>
          <w:szCs w:val="32"/>
        </w:rPr>
        <w:t xml:space="preserve"> </w:t>
      </w:r>
      <w:r w:rsidR="00165CF1" w:rsidRPr="00165CF1">
        <w:rPr>
          <w:rFonts w:eastAsia="Times New Roman" w:cs="Arial"/>
          <w:b/>
          <w:sz w:val="32"/>
          <w:szCs w:val="32"/>
        </w:rPr>
        <w:t xml:space="preserve">30 </w:t>
      </w:r>
      <w:r w:rsidR="00962708">
        <w:rPr>
          <w:rFonts w:eastAsia="Times New Roman" w:cs="Arial"/>
          <w:b/>
          <w:sz w:val="32"/>
          <w:szCs w:val="32"/>
        </w:rPr>
        <w:t>September</w:t>
      </w:r>
      <w:r w:rsidR="00962708" w:rsidRPr="00165CF1">
        <w:rPr>
          <w:rFonts w:eastAsia="Times New Roman" w:cs="Arial"/>
          <w:b/>
          <w:sz w:val="32"/>
          <w:szCs w:val="32"/>
        </w:rPr>
        <w:t xml:space="preserve"> </w:t>
      </w:r>
      <w:r w:rsidR="003010D8">
        <w:rPr>
          <w:rFonts w:eastAsia="Times New Roman" w:cs="Arial"/>
          <w:b/>
          <w:sz w:val="32"/>
          <w:szCs w:val="32"/>
        </w:rPr>
        <w:t>201</w:t>
      </w:r>
      <w:r w:rsidR="00570EDE">
        <w:rPr>
          <w:rFonts w:eastAsia="Times New Roman" w:cs="Arial"/>
          <w:b/>
          <w:sz w:val="32"/>
          <w:szCs w:val="32"/>
        </w:rPr>
        <w:t>7</w:t>
      </w:r>
    </w:p>
    <w:p w14:paraId="753A6EAE" w14:textId="77777777" w:rsidR="00BF3DE3" w:rsidRPr="0034501D" w:rsidRDefault="00BF3DE3" w:rsidP="00BF3DE3">
      <w:pPr>
        <w:spacing w:after="0" w:line="240" w:lineRule="auto"/>
        <w:ind w:right="284"/>
        <w:rPr>
          <w:rFonts w:eastAsia="Times New Roman" w:cs="Arial"/>
          <w:b/>
          <w:sz w:val="32"/>
          <w:szCs w:val="32"/>
        </w:rPr>
      </w:pPr>
    </w:p>
    <w:p w14:paraId="5DB4F601" w14:textId="77777777" w:rsidR="004933DC" w:rsidRPr="0034501D" w:rsidRDefault="004933DC" w:rsidP="00C4266C">
      <w:pPr>
        <w:spacing w:after="0" w:line="240" w:lineRule="auto"/>
      </w:pPr>
    </w:p>
    <w:p w14:paraId="024E7AAE" w14:textId="77777777" w:rsidR="004D4B9D" w:rsidRPr="0034501D" w:rsidRDefault="004D4B9D" w:rsidP="00C4266C">
      <w:pPr>
        <w:spacing w:after="0" w:line="240" w:lineRule="auto"/>
      </w:pPr>
    </w:p>
    <w:p w14:paraId="17C5116C" w14:textId="77777777" w:rsidR="004D4B9D" w:rsidRPr="0034501D" w:rsidRDefault="004D4B9D" w:rsidP="00C4266C">
      <w:pPr>
        <w:spacing w:after="0" w:line="240" w:lineRule="auto"/>
      </w:pPr>
    </w:p>
    <w:p w14:paraId="7E3A1627" w14:textId="77777777" w:rsidR="004D4B9D" w:rsidRPr="0034501D" w:rsidRDefault="004D4B9D" w:rsidP="00C4266C">
      <w:pPr>
        <w:spacing w:after="0" w:line="240" w:lineRule="auto"/>
      </w:pPr>
    </w:p>
    <w:p w14:paraId="1570D6AC" w14:textId="77777777" w:rsidR="004D4B9D" w:rsidRPr="0034501D" w:rsidRDefault="004D4B9D" w:rsidP="00C4266C">
      <w:pPr>
        <w:spacing w:after="0" w:line="240" w:lineRule="auto"/>
      </w:pPr>
    </w:p>
    <w:p w14:paraId="24E84BBE" w14:textId="77777777" w:rsidR="004D4B9D" w:rsidRPr="0034501D" w:rsidRDefault="004D4B9D" w:rsidP="00C4266C">
      <w:pPr>
        <w:spacing w:after="0" w:line="240" w:lineRule="auto"/>
      </w:pPr>
    </w:p>
    <w:p w14:paraId="7EAE87E5" w14:textId="77777777" w:rsidR="004D4B9D" w:rsidRPr="0034501D" w:rsidRDefault="004D4B9D" w:rsidP="00C4266C">
      <w:pPr>
        <w:spacing w:after="0" w:line="240" w:lineRule="auto"/>
      </w:pPr>
    </w:p>
    <w:p w14:paraId="08A04E29" w14:textId="77777777" w:rsidR="004D4B9D" w:rsidRPr="0034501D" w:rsidRDefault="004D4B9D" w:rsidP="00C4266C">
      <w:pPr>
        <w:spacing w:after="0" w:line="240" w:lineRule="auto"/>
      </w:pPr>
    </w:p>
    <w:p w14:paraId="08E33904" w14:textId="77777777" w:rsidR="004D4B9D" w:rsidRPr="0034501D" w:rsidRDefault="004D4B9D" w:rsidP="00C4266C">
      <w:pPr>
        <w:spacing w:after="0" w:line="240" w:lineRule="auto"/>
      </w:pPr>
    </w:p>
    <w:p w14:paraId="100EF1D3" w14:textId="77777777" w:rsidR="004D4B9D" w:rsidRPr="0034501D" w:rsidRDefault="004D4B9D" w:rsidP="00C4266C">
      <w:pPr>
        <w:spacing w:after="0" w:line="240" w:lineRule="auto"/>
      </w:pPr>
    </w:p>
    <w:p w14:paraId="285FD4F1" w14:textId="77777777" w:rsidR="005131C0" w:rsidRPr="0034501D" w:rsidRDefault="005131C0" w:rsidP="00C4266C">
      <w:pPr>
        <w:spacing w:after="0" w:line="240" w:lineRule="auto"/>
      </w:pPr>
    </w:p>
    <w:p w14:paraId="7F78D83F" w14:textId="77777777" w:rsidR="005131C0" w:rsidRPr="0034501D" w:rsidRDefault="005131C0" w:rsidP="00C4266C">
      <w:pPr>
        <w:spacing w:after="0" w:line="240" w:lineRule="auto"/>
      </w:pPr>
    </w:p>
    <w:p w14:paraId="5A0CD9A7" w14:textId="77777777" w:rsidR="005131C0" w:rsidRPr="0034501D" w:rsidRDefault="005131C0" w:rsidP="00C4266C">
      <w:pPr>
        <w:spacing w:after="0" w:line="240" w:lineRule="auto"/>
      </w:pPr>
    </w:p>
    <w:p w14:paraId="3A06C3BE" w14:textId="77777777" w:rsidR="005131C0" w:rsidRPr="0034501D" w:rsidRDefault="005131C0" w:rsidP="00C4266C">
      <w:pPr>
        <w:spacing w:after="0" w:line="240" w:lineRule="auto"/>
      </w:pPr>
    </w:p>
    <w:p w14:paraId="30903554" w14:textId="77777777" w:rsidR="00C23408" w:rsidRDefault="00C23408" w:rsidP="00C4266C">
      <w:pPr>
        <w:spacing w:after="0" w:line="240" w:lineRule="auto"/>
      </w:pPr>
    </w:p>
    <w:p w14:paraId="275AA12C" w14:textId="77777777" w:rsidR="00C23408" w:rsidRPr="0034501D" w:rsidRDefault="00C23408" w:rsidP="00C4266C">
      <w:pPr>
        <w:spacing w:after="0" w:line="240" w:lineRule="auto"/>
      </w:pPr>
    </w:p>
    <w:p w14:paraId="5AE5DDAA" w14:textId="77777777" w:rsidR="00BF3DE3" w:rsidRPr="0034501D" w:rsidRDefault="00BF3DE3" w:rsidP="00C4266C">
      <w:pPr>
        <w:spacing w:after="0" w:line="240" w:lineRule="auto"/>
      </w:pPr>
    </w:p>
    <w:p w14:paraId="3F75A3F1" w14:textId="77777777" w:rsidR="00BF3DE3" w:rsidRPr="0034501D" w:rsidRDefault="00BF3DE3" w:rsidP="00C4266C">
      <w:pPr>
        <w:spacing w:after="0" w:line="240" w:lineRule="auto"/>
      </w:pPr>
    </w:p>
    <w:p w14:paraId="1F1F1E95" w14:textId="77777777" w:rsidR="00D658D4" w:rsidRPr="0034501D" w:rsidRDefault="00D658D4" w:rsidP="00C4266C">
      <w:pPr>
        <w:spacing w:after="0" w:line="240" w:lineRule="auto"/>
      </w:pPr>
    </w:p>
    <w:p w14:paraId="07E4FF4B" w14:textId="77777777" w:rsidR="005131C0" w:rsidRPr="0034501D" w:rsidRDefault="005131C0" w:rsidP="00C4266C">
      <w:pPr>
        <w:spacing w:after="0" w:line="240" w:lineRule="auto"/>
      </w:pPr>
    </w:p>
    <w:p w14:paraId="77228675" w14:textId="77777777" w:rsidR="004D4B9D" w:rsidRPr="0034501D" w:rsidRDefault="004D4B9D" w:rsidP="00C4266C">
      <w:pPr>
        <w:spacing w:after="0" w:line="240" w:lineRule="auto"/>
      </w:pPr>
    </w:p>
    <w:p w14:paraId="028D28C6" w14:textId="77777777" w:rsidR="004D4B9D" w:rsidRPr="0034501D" w:rsidRDefault="004D4B9D" w:rsidP="00C4266C">
      <w:pPr>
        <w:spacing w:after="0" w:line="240" w:lineRule="auto"/>
      </w:pPr>
    </w:p>
    <w:p w14:paraId="7C61E78D" w14:textId="2138E45D" w:rsidR="00143FF9" w:rsidRPr="0034501D" w:rsidRDefault="009B6196" w:rsidP="003230EC">
      <w:pPr>
        <w:spacing w:after="0" w:line="240" w:lineRule="auto"/>
        <w:rPr>
          <w:rFonts w:cs="Arial"/>
        </w:rPr>
        <w:sectPr w:rsidR="00143FF9" w:rsidRPr="0034501D" w:rsidSect="00947CB7">
          <w:headerReference w:type="default" r:id="rId8"/>
          <w:footerReference w:type="default" r:id="rId9"/>
          <w:footerReference w:type="first" r:id="rId10"/>
          <w:pgSz w:w="11906" w:h="16838" w:code="9"/>
          <w:pgMar w:top="1417" w:right="1133" w:bottom="1417" w:left="1417" w:header="709" w:footer="709" w:gutter="0"/>
          <w:pgNumType w:chapStyle="3"/>
          <w:cols w:space="708"/>
          <w:titlePg/>
          <w:docGrid w:linePitch="360"/>
        </w:sectPr>
      </w:pPr>
      <w:r w:rsidRPr="0034501D">
        <w:rPr>
          <w:rFonts w:cs="Arial"/>
        </w:rPr>
        <w:t xml:space="preserve">                                                            </w:t>
      </w:r>
      <w:r w:rsidR="004D4B9D" w:rsidRPr="0034501D">
        <w:rPr>
          <w:rFonts w:cs="Arial"/>
        </w:rPr>
        <w:t xml:space="preserve">Zagreb, </w:t>
      </w:r>
      <w:r w:rsidR="00337E85">
        <w:rPr>
          <w:rFonts w:cs="Arial"/>
        </w:rPr>
        <w:t xml:space="preserve">November </w:t>
      </w:r>
      <w:r w:rsidR="004D4B9D" w:rsidRPr="0034501D">
        <w:rPr>
          <w:rFonts w:cs="Arial"/>
        </w:rPr>
        <w:t>20</w:t>
      </w:r>
      <w:r w:rsidR="003230EC" w:rsidRPr="0034501D">
        <w:rPr>
          <w:rFonts w:cs="Arial"/>
        </w:rPr>
        <w:t>1</w:t>
      </w:r>
      <w:r w:rsidR="00570EDE">
        <w:rPr>
          <w:rFonts w:cs="Arial"/>
        </w:rPr>
        <w:t>7</w:t>
      </w:r>
    </w:p>
    <w:p w14:paraId="52FD1232" w14:textId="77777777" w:rsidR="004D4B9D" w:rsidRPr="0034501D" w:rsidRDefault="004D4B9D" w:rsidP="00C4266C">
      <w:pPr>
        <w:spacing w:after="0" w:line="240" w:lineRule="auto"/>
        <w:ind w:left="2832" w:firstLine="708"/>
        <w:rPr>
          <w:rFonts w:cs="Arial"/>
          <w:sz w:val="19"/>
        </w:rPr>
      </w:pPr>
    </w:p>
    <w:p w14:paraId="51AFF063" w14:textId="77777777" w:rsidR="004D4B9D" w:rsidRPr="0034501D" w:rsidRDefault="004D4B9D" w:rsidP="00C4266C">
      <w:pPr>
        <w:spacing w:after="0" w:line="240" w:lineRule="auto"/>
      </w:pPr>
    </w:p>
    <w:tbl>
      <w:tblPr>
        <w:tblW w:w="0" w:type="auto"/>
        <w:tblInd w:w="-132" w:type="dxa"/>
        <w:tblLook w:val="01E0" w:firstRow="1" w:lastRow="1" w:firstColumn="1" w:lastColumn="1" w:noHBand="0" w:noVBand="0"/>
      </w:tblPr>
      <w:tblGrid>
        <w:gridCol w:w="8437"/>
        <w:gridCol w:w="1051"/>
      </w:tblGrid>
      <w:tr w:rsidR="0022192E" w:rsidRPr="0034501D" w14:paraId="233C948E" w14:textId="77777777" w:rsidTr="00BA3F2A">
        <w:tc>
          <w:tcPr>
            <w:tcW w:w="8437" w:type="dxa"/>
            <w:vAlign w:val="bottom"/>
          </w:tcPr>
          <w:p w14:paraId="65A5F934" w14:textId="77777777" w:rsidR="0022192E" w:rsidRPr="0034501D" w:rsidRDefault="0022192E" w:rsidP="0022192E">
            <w:pPr>
              <w:spacing w:after="0" w:line="280" w:lineRule="exact"/>
              <w:rPr>
                <w:rFonts w:eastAsia="Times New Roman" w:cs="Arial"/>
              </w:rPr>
            </w:pPr>
          </w:p>
        </w:tc>
        <w:tc>
          <w:tcPr>
            <w:tcW w:w="1051" w:type="dxa"/>
            <w:vAlign w:val="bottom"/>
          </w:tcPr>
          <w:p w14:paraId="2B5627AB" w14:textId="77777777" w:rsidR="0022192E" w:rsidRPr="0034501D" w:rsidRDefault="0022192E" w:rsidP="0022192E">
            <w:pPr>
              <w:spacing w:after="0" w:line="280" w:lineRule="exact"/>
              <w:jc w:val="right"/>
              <w:rPr>
                <w:rFonts w:eastAsia="Times New Roman" w:cs="Arial"/>
              </w:rPr>
            </w:pPr>
            <w:r w:rsidRPr="0034501D">
              <w:rPr>
                <w:rFonts w:eastAsia="Times New Roman" w:cs="Arial"/>
              </w:rPr>
              <w:t>Page</w:t>
            </w:r>
          </w:p>
        </w:tc>
      </w:tr>
      <w:tr w:rsidR="0022192E" w:rsidRPr="0034501D" w14:paraId="13B60801" w14:textId="77777777" w:rsidTr="00BA3F2A">
        <w:tc>
          <w:tcPr>
            <w:tcW w:w="8437" w:type="dxa"/>
            <w:vAlign w:val="bottom"/>
          </w:tcPr>
          <w:p w14:paraId="661BBF5C" w14:textId="77777777" w:rsidR="0022192E" w:rsidRPr="0034501D" w:rsidRDefault="0022192E" w:rsidP="0022192E">
            <w:pPr>
              <w:spacing w:after="0" w:line="280" w:lineRule="exact"/>
              <w:rPr>
                <w:rFonts w:eastAsia="Times New Roman" w:cs="Arial"/>
              </w:rPr>
            </w:pPr>
          </w:p>
        </w:tc>
        <w:tc>
          <w:tcPr>
            <w:tcW w:w="1051" w:type="dxa"/>
            <w:vAlign w:val="bottom"/>
          </w:tcPr>
          <w:p w14:paraId="518919F7" w14:textId="77777777" w:rsidR="0022192E" w:rsidRPr="0034501D" w:rsidRDefault="0022192E" w:rsidP="0022192E">
            <w:pPr>
              <w:spacing w:after="0" w:line="280" w:lineRule="exact"/>
              <w:jc w:val="right"/>
              <w:rPr>
                <w:rFonts w:eastAsia="Times New Roman" w:cs="Arial"/>
              </w:rPr>
            </w:pPr>
          </w:p>
        </w:tc>
      </w:tr>
      <w:tr w:rsidR="0022192E" w:rsidRPr="0034501D" w14:paraId="53D4A271" w14:textId="77777777" w:rsidTr="00BA3F2A">
        <w:tc>
          <w:tcPr>
            <w:tcW w:w="8437" w:type="dxa"/>
            <w:vAlign w:val="bottom"/>
          </w:tcPr>
          <w:p w14:paraId="495DB7B9" w14:textId="77777777" w:rsidR="0022192E" w:rsidRPr="0034501D" w:rsidRDefault="0022192E" w:rsidP="0022192E">
            <w:pPr>
              <w:spacing w:after="0" w:line="280" w:lineRule="exact"/>
              <w:rPr>
                <w:rFonts w:eastAsia="Times New Roman" w:cs="Arial"/>
              </w:rPr>
            </w:pPr>
            <w:r w:rsidRPr="0034501D">
              <w:rPr>
                <w:rFonts w:eastAsia="Times New Roman" w:cs="Arial"/>
              </w:rPr>
              <w:t xml:space="preserve">Statement of Persons Responsible for Consolidated Interim </w:t>
            </w:r>
            <w:r>
              <w:rPr>
                <w:rFonts w:eastAsia="Times New Roman" w:cs="Arial"/>
              </w:rPr>
              <w:t xml:space="preserve">Condensed </w:t>
            </w:r>
            <w:r w:rsidRPr="0034501D">
              <w:rPr>
                <w:rFonts w:eastAsia="Times New Roman" w:cs="Arial"/>
              </w:rPr>
              <w:t>Financial Statements</w:t>
            </w:r>
          </w:p>
        </w:tc>
        <w:tc>
          <w:tcPr>
            <w:tcW w:w="1051" w:type="dxa"/>
            <w:vAlign w:val="bottom"/>
          </w:tcPr>
          <w:p w14:paraId="2B5E183D" w14:textId="4F173859" w:rsidR="0022192E" w:rsidRPr="0034501D" w:rsidRDefault="0022192E" w:rsidP="0022192E">
            <w:pPr>
              <w:spacing w:after="0" w:line="280" w:lineRule="exact"/>
              <w:jc w:val="right"/>
              <w:rPr>
                <w:rFonts w:eastAsia="Times New Roman" w:cs="Arial"/>
              </w:rPr>
            </w:pPr>
            <w:r w:rsidRPr="0034501D">
              <w:rPr>
                <w:rFonts w:eastAsia="Times New Roman" w:cs="Arial"/>
              </w:rPr>
              <w:t>3</w:t>
            </w:r>
          </w:p>
        </w:tc>
      </w:tr>
      <w:tr w:rsidR="00971E2C" w:rsidRPr="0034501D" w14:paraId="2BF3BA98" w14:textId="77777777" w:rsidTr="00BA3F2A">
        <w:tc>
          <w:tcPr>
            <w:tcW w:w="8437" w:type="dxa"/>
            <w:vAlign w:val="bottom"/>
          </w:tcPr>
          <w:p w14:paraId="5791CE7A" w14:textId="77777777" w:rsidR="00971E2C" w:rsidRPr="0034501D" w:rsidRDefault="00971E2C" w:rsidP="0022192E">
            <w:pPr>
              <w:spacing w:after="0" w:line="280" w:lineRule="exact"/>
              <w:rPr>
                <w:rFonts w:eastAsia="Times New Roman" w:cs="Arial"/>
              </w:rPr>
            </w:pPr>
          </w:p>
        </w:tc>
        <w:tc>
          <w:tcPr>
            <w:tcW w:w="1051" w:type="dxa"/>
            <w:vAlign w:val="bottom"/>
          </w:tcPr>
          <w:p w14:paraId="0FAAF132" w14:textId="77777777" w:rsidR="00971E2C" w:rsidRPr="0034501D" w:rsidRDefault="00971E2C" w:rsidP="0022192E">
            <w:pPr>
              <w:spacing w:after="0" w:line="280" w:lineRule="exact"/>
              <w:jc w:val="right"/>
              <w:rPr>
                <w:rFonts w:eastAsia="Times New Roman" w:cs="Arial"/>
              </w:rPr>
            </w:pPr>
          </w:p>
        </w:tc>
      </w:tr>
      <w:tr w:rsidR="0022192E" w:rsidRPr="0034501D" w14:paraId="3DF329DB" w14:textId="77777777" w:rsidTr="00BA3F2A">
        <w:trPr>
          <w:trHeight w:val="191"/>
        </w:trPr>
        <w:tc>
          <w:tcPr>
            <w:tcW w:w="8437" w:type="dxa"/>
            <w:vAlign w:val="bottom"/>
          </w:tcPr>
          <w:p w14:paraId="404A323C" w14:textId="1E9D8041" w:rsidR="0022192E" w:rsidRPr="001E169D" w:rsidRDefault="0022192E" w:rsidP="0022192E">
            <w:pPr>
              <w:spacing w:after="0" w:line="280" w:lineRule="exact"/>
              <w:rPr>
                <w:rFonts w:eastAsia="Times New Roman" w:cs="Arial"/>
              </w:rPr>
            </w:pPr>
            <w:r w:rsidRPr="001E169D">
              <w:rPr>
                <w:rFonts w:eastAsia="Times New Roman" w:cs="Arial"/>
              </w:rPr>
              <w:t>Consolidated Interim Condensed Financial Statements of the Group:</w:t>
            </w:r>
          </w:p>
        </w:tc>
        <w:tc>
          <w:tcPr>
            <w:tcW w:w="1051" w:type="dxa"/>
            <w:vAlign w:val="bottom"/>
          </w:tcPr>
          <w:p w14:paraId="7975F98A" w14:textId="1B4E077F" w:rsidR="0022192E" w:rsidRPr="0034501D" w:rsidRDefault="00C6181F" w:rsidP="0022192E">
            <w:pPr>
              <w:spacing w:after="0" w:line="280" w:lineRule="exact"/>
              <w:jc w:val="right"/>
              <w:rPr>
                <w:rFonts w:eastAsia="Times New Roman" w:cs="Arial"/>
              </w:rPr>
            </w:pPr>
            <w:r>
              <w:rPr>
                <w:rFonts w:eastAsia="Times New Roman" w:cs="Arial"/>
              </w:rPr>
              <w:t>4</w:t>
            </w:r>
          </w:p>
        </w:tc>
      </w:tr>
      <w:tr w:rsidR="0022192E" w:rsidRPr="0034501D" w14:paraId="740D937D" w14:textId="77777777" w:rsidTr="00BA3F2A">
        <w:tc>
          <w:tcPr>
            <w:tcW w:w="8437" w:type="dxa"/>
            <w:vAlign w:val="bottom"/>
          </w:tcPr>
          <w:p w14:paraId="349980D0" w14:textId="77777777" w:rsidR="0022192E" w:rsidRPr="001E169D" w:rsidRDefault="0022192E" w:rsidP="0022192E">
            <w:pPr>
              <w:spacing w:after="0" w:line="280" w:lineRule="exact"/>
              <w:rPr>
                <w:rFonts w:eastAsia="Times New Roman" w:cs="Arial"/>
              </w:rPr>
            </w:pPr>
          </w:p>
          <w:p w14:paraId="7FEF859F" w14:textId="77777777" w:rsidR="0022192E" w:rsidRPr="001E169D" w:rsidRDefault="0022192E" w:rsidP="0022192E">
            <w:pPr>
              <w:spacing w:after="0" w:line="280" w:lineRule="exact"/>
              <w:rPr>
                <w:rFonts w:eastAsia="Times New Roman" w:cs="Arial"/>
              </w:rPr>
            </w:pPr>
            <w:r w:rsidRPr="001E169D">
              <w:rPr>
                <w:rFonts w:eastAsia="Times New Roman" w:cs="Arial"/>
              </w:rPr>
              <w:t>Statement of Profit or Loss</w:t>
            </w:r>
          </w:p>
        </w:tc>
        <w:tc>
          <w:tcPr>
            <w:tcW w:w="1051" w:type="dxa"/>
            <w:vAlign w:val="bottom"/>
          </w:tcPr>
          <w:p w14:paraId="22E631B4" w14:textId="1B824A5D" w:rsidR="0022192E" w:rsidRPr="0034501D" w:rsidRDefault="00C6181F" w:rsidP="0022192E">
            <w:pPr>
              <w:spacing w:after="0" w:line="280" w:lineRule="exact"/>
              <w:jc w:val="right"/>
              <w:rPr>
                <w:rFonts w:eastAsia="Times New Roman" w:cs="Arial"/>
              </w:rPr>
            </w:pPr>
            <w:r>
              <w:rPr>
                <w:rFonts w:eastAsia="Times New Roman" w:cs="Arial"/>
              </w:rPr>
              <w:t>4</w:t>
            </w:r>
          </w:p>
        </w:tc>
      </w:tr>
      <w:tr w:rsidR="0022192E" w:rsidRPr="0034501D" w14:paraId="63933248" w14:textId="77777777" w:rsidTr="00BA3F2A">
        <w:tc>
          <w:tcPr>
            <w:tcW w:w="8437" w:type="dxa"/>
            <w:vAlign w:val="bottom"/>
          </w:tcPr>
          <w:p w14:paraId="47E01F17" w14:textId="77777777" w:rsidR="0022192E" w:rsidRPr="001E169D" w:rsidRDefault="0022192E" w:rsidP="0022192E">
            <w:pPr>
              <w:spacing w:after="0" w:line="280" w:lineRule="exact"/>
              <w:rPr>
                <w:rFonts w:eastAsia="Times New Roman" w:cs="Arial"/>
              </w:rPr>
            </w:pPr>
          </w:p>
        </w:tc>
        <w:tc>
          <w:tcPr>
            <w:tcW w:w="1051" w:type="dxa"/>
            <w:vAlign w:val="bottom"/>
          </w:tcPr>
          <w:p w14:paraId="7C1598C8" w14:textId="77777777" w:rsidR="0022192E" w:rsidRPr="0034501D" w:rsidRDefault="0022192E" w:rsidP="0022192E">
            <w:pPr>
              <w:spacing w:after="0" w:line="280" w:lineRule="exact"/>
              <w:jc w:val="right"/>
              <w:rPr>
                <w:rFonts w:eastAsia="Times New Roman" w:cs="Arial"/>
              </w:rPr>
            </w:pPr>
          </w:p>
        </w:tc>
      </w:tr>
      <w:tr w:rsidR="0022192E" w:rsidRPr="0034501D" w14:paraId="76C3D787" w14:textId="77777777" w:rsidTr="00BA3F2A">
        <w:tc>
          <w:tcPr>
            <w:tcW w:w="8437" w:type="dxa"/>
            <w:vAlign w:val="bottom"/>
          </w:tcPr>
          <w:p w14:paraId="20FCD74A" w14:textId="77777777" w:rsidR="0022192E" w:rsidRPr="001E169D" w:rsidRDefault="0022192E" w:rsidP="0022192E">
            <w:pPr>
              <w:spacing w:after="0" w:line="280" w:lineRule="exact"/>
              <w:rPr>
                <w:rFonts w:eastAsia="Times New Roman" w:cs="Arial"/>
              </w:rPr>
            </w:pPr>
            <w:r w:rsidRPr="001E169D">
              <w:rPr>
                <w:rFonts w:cs="Arial"/>
              </w:rPr>
              <w:t>Statement of Profit or Loss and Other Comprehensive Income</w:t>
            </w:r>
          </w:p>
        </w:tc>
        <w:tc>
          <w:tcPr>
            <w:tcW w:w="1051" w:type="dxa"/>
            <w:vAlign w:val="bottom"/>
          </w:tcPr>
          <w:p w14:paraId="1EDBF146" w14:textId="706B803D" w:rsidR="0022192E" w:rsidRPr="0034501D" w:rsidRDefault="00C6181F" w:rsidP="0022192E">
            <w:pPr>
              <w:spacing w:after="0" w:line="280" w:lineRule="exact"/>
              <w:jc w:val="right"/>
              <w:rPr>
                <w:rFonts w:eastAsia="Times New Roman" w:cs="Arial"/>
              </w:rPr>
            </w:pPr>
            <w:r>
              <w:rPr>
                <w:rFonts w:eastAsia="Times New Roman" w:cs="Arial"/>
              </w:rPr>
              <w:t>5</w:t>
            </w:r>
          </w:p>
        </w:tc>
      </w:tr>
      <w:tr w:rsidR="0022192E" w:rsidRPr="0034501D" w14:paraId="6288567A" w14:textId="77777777" w:rsidTr="00BA3F2A">
        <w:tc>
          <w:tcPr>
            <w:tcW w:w="8437" w:type="dxa"/>
            <w:vAlign w:val="bottom"/>
          </w:tcPr>
          <w:p w14:paraId="523052B9" w14:textId="77777777" w:rsidR="0022192E" w:rsidRPr="001E169D" w:rsidRDefault="0022192E" w:rsidP="0022192E">
            <w:pPr>
              <w:spacing w:after="0" w:line="280" w:lineRule="exact"/>
              <w:rPr>
                <w:rFonts w:eastAsia="Times New Roman" w:cs="Arial"/>
              </w:rPr>
            </w:pPr>
          </w:p>
        </w:tc>
        <w:tc>
          <w:tcPr>
            <w:tcW w:w="1051" w:type="dxa"/>
            <w:vAlign w:val="bottom"/>
          </w:tcPr>
          <w:p w14:paraId="22E266A4" w14:textId="77777777" w:rsidR="0022192E" w:rsidRPr="0034501D" w:rsidRDefault="0022192E" w:rsidP="0022192E">
            <w:pPr>
              <w:spacing w:after="0" w:line="280" w:lineRule="exact"/>
              <w:jc w:val="right"/>
              <w:rPr>
                <w:rFonts w:eastAsia="Times New Roman" w:cs="Arial"/>
              </w:rPr>
            </w:pPr>
          </w:p>
        </w:tc>
      </w:tr>
      <w:tr w:rsidR="0022192E" w:rsidRPr="0034501D" w14:paraId="467DC8BA" w14:textId="77777777" w:rsidTr="00BA3F2A">
        <w:tc>
          <w:tcPr>
            <w:tcW w:w="8437" w:type="dxa"/>
            <w:vAlign w:val="bottom"/>
          </w:tcPr>
          <w:p w14:paraId="236A694D" w14:textId="77777777" w:rsidR="0022192E" w:rsidRPr="001E169D" w:rsidRDefault="0022192E" w:rsidP="0022192E">
            <w:pPr>
              <w:spacing w:after="0" w:line="280" w:lineRule="exact"/>
              <w:rPr>
                <w:rFonts w:eastAsia="Times New Roman" w:cs="Arial"/>
              </w:rPr>
            </w:pPr>
            <w:r w:rsidRPr="001E169D">
              <w:rPr>
                <w:rFonts w:cs="Arial"/>
              </w:rPr>
              <w:t>Statement of Financial Position</w:t>
            </w:r>
          </w:p>
        </w:tc>
        <w:tc>
          <w:tcPr>
            <w:tcW w:w="1051" w:type="dxa"/>
            <w:vAlign w:val="bottom"/>
          </w:tcPr>
          <w:p w14:paraId="445686CA" w14:textId="672395AD" w:rsidR="0022192E" w:rsidRPr="0034501D" w:rsidRDefault="00C6181F" w:rsidP="0022192E">
            <w:pPr>
              <w:spacing w:after="0" w:line="280" w:lineRule="exact"/>
              <w:jc w:val="right"/>
              <w:rPr>
                <w:rFonts w:eastAsia="Times New Roman" w:cs="Arial"/>
              </w:rPr>
            </w:pPr>
            <w:r>
              <w:rPr>
                <w:rFonts w:eastAsia="Times New Roman" w:cs="Arial"/>
              </w:rPr>
              <w:t>6</w:t>
            </w:r>
          </w:p>
        </w:tc>
      </w:tr>
      <w:tr w:rsidR="0022192E" w:rsidRPr="0034501D" w14:paraId="0B0EF98D" w14:textId="77777777" w:rsidTr="00BA3F2A">
        <w:tc>
          <w:tcPr>
            <w:tcW w:w="8437" w:type="dxa"/>
            <w:vAlign w:val="bottom"/>
          </w:tcPr>
          <w:p w14:paraId="628A5D23" w14:textId="77777777" w:rsidR="0022192E" w:rsidRPr="001E169D" w:rsidRDefault="0022192E" w:rsidP="0022192E">
            <w:pPr>
              <w:spacing w:after="0" w:line="280" w:lineRule="exact"/>
              <w:rPr>
                <w:rFonts w:eastAsia="Times New Roman" w:cs="Arial"/>
              </w:rPr>
            </w:pPr>
          </w:p>
        </w:tc>
        <w:tc>
          <w:tcPr>
            <w:tcW w:w="1051" w:type="dxa"/>
            <w:vAlign w:val="bottom"/>
          </w:tcPr>
          <w:p w14:paraId="7123F22F" w14:textId="77777777" w:rsidR="0022192E" w:rsidRPr="0034501D" w:rsidRDefault="0022192E" w:rsidP="0022192E">
            <w:pPr>
              <w:spacing w:after="0" w:line="280" w:lineRule="exact"/>
              <w:jc w:val="right"/>
              <w:rPr>
                <w:rFonts w:eastAsia="Times New Roman" w:cs="Arial"/>
              </w:rPr>
            </w:pPr>
          </w:p>
        </w:tc>
      </w:tr>
      <w:tr w:rsidR="0022192E" w:rsidRPr="0034501D" w14:paraId="769A598B" w14:textId="77777777" w:rsidTr="00BA3F2A">
        <w:tc>
          <w:tcPr>
            <w:tcW w:w="8437" w:type="dxa"/>
            <w:vAlign w:val="bottom"/>
          </w:tcPr>
          <w:p w14:paraId="58884F18" w14:textId="77777777" w:rsidR="0022192E" w:rsidRPr="001E169D" w:rsidRDefault="0022192E" w:rsidP="0022192E">
            <w:pPr>
              <w:spacing w:after="0" w:line="280" w:lineRule="exact"/>
              <w:rPr>
                <w:rFonts w:eastAsia="Times New Roman" w:cs="Arial"/>
              </w:rPr>
            </w:pPr>
            <w:r w:rsidRPr="001E169D">
              <w:rPr>
                <w:rFonts w:cs="Arial"/>
              </w:rPr>
              <w:t>Statement of Cash Flows</w:t>
            </w:r>
          </w:p>
        </w:tc>
        <w:tc>
          <w:tcPr>
            <w:tcW w:w="1051" w:type="dxa"/>
            <w:vAlign w:val="bottom"/>
          </w:tcPr>
          <w:p w14:paraId="004F2064" w14:textId="5B31EEE1" w:rsidR="0022192E" w:rsidRPr="0034501D" w:rsidRDefault="00C6181F" w:rsidP="0022192E">
            <w:pPr>
              <w:spacing w:after="0" w:line="280" w:lineRule="exact"/>
              <w:jc w:val="right"/>
              <w:rPr>
                <w:rFonts w:eastAsia="Times New Roman" w:cs="Arial"/>
              </w:rPr>
            </w:pPr>
            <w:r>
              <w:rPr>
                <w:rFonts w:eastAsia="Times New Roman" w:cs="Arial"/>
              </w:rPr>
              <w:t>7</w:t>
            </w:r>
          </w:p>
        </w:tc>
      </w:tr>
      <w:tr w:rsidR="0022192E" w:rsidRPr="0034501D" w14:paraId="533C5C27" w14:textId="77777777" w:rsidTr="00BA3F2A">
        <w:tc>
          <w:tcPr>
            <w:tcW w:w="8437" w:type="dxa"/>
            <w:vAlign w:val="bottom"/>
          </w:tcPr>
          <w:p w14:paraId="1A6A12B3" w14:textId="77777777" w:rsidR="0022192E" w:rsidRPr="001E169D" w:rsidRDefault="0022192E" w:rsidP="0022192E">
            <w:pPr>
              <w:spacing w:after="0" w:line="280" w:lineRule="exact"/>
              <w:rPr>
                <w:rFonts w:eastAsia="Times New Roman" w:cs="Arial"/>
              </w:rPr>
            </w:pPr>
          </w:p>
        </w:tc>
        <w:tc>
          <w:tcPr>
            <w:tcW w:w="1051" w:type="dxa"/>
            <w:vAlign w:val="bottom"/>
          </w:tcPr>
          <w:p w14:paraId="725C1FC9" w14:textId="77777777" w:rsidR="0022192E" w:rsidRPr="0034501D" w:rsidRDefault="0022192E" w:rsidP="0022192E">
            <w:pPr>
              <w:spacing w:after="0" w:line="280" w:lineRule="exact"/>
              <w:jc w:val="right"/>
              <w:rPr>
                <w:rFonts w:eastAsia="Times New Roman" w:cs="Arial"/>
              </w:rPr>
            </w:pPr>
          </w:p>
        </w:tc>
      </w:tr>
      <w:tr w:rsidR="0022192E" w:rsidRPr="0034501D" w14:paraId="157A2213" w14:textId="77777777" w:rsidTr="00BA3F2A">
        <w:tc>
          <w:tcPr>
            <w:tcW w:w="8437" w:type="dxa"/>
            <w:vAlign w:val="bottom"/>
          </w:tcPr>
          <w:p w14:paraId="4DA82101" w14:textId="77777777" w:rsidR="0022192E" w:rsidRPr="001E169D" w:rsidRDefault="0022192E" w:rsidP="0022192E">
            <w:pPr>
              <w:spacing w:after="0" w:line="280" w:lineRule="exact"/>
              <w:rPr>
                <w:rFonts w:eastAsia="Times New Roman" w:cs="Arial"/>
              </w:rPr>
            </w:pPr>
            <w:r w:rsidRPr="001E169D">
              <w:rPr>
                <w:rFonts w:cs="Arial"/>
              </w:rPr>
              <w:t>Statement of Changes in Equity</w:t>
            </w:r>
          </w:p>
        </w:tc>
        <w:tc>
          <w:tcPr>
            <w:tcW w:w="1051" w:type="dxa"/>
            <w:vAlign w:val="bottom"/>
          </w:tcPr>
          <w:p w14:paraId="4606FF3A" w14:textId="25A61032" w:rsidR="0022192E" w:rsidRPr="0034501D" w:rsidRDefault="00C6181F" w:rsidP="0022192E">
            <w:pPr>
              <w:spacing w:after="0" w:line="280" w:lineRule="exact"/>
              <w:jc w:val="right"/>
              <w:rPr>
                <w:rFonts w:eastAsia="Times New Roman" w:cs="Arial"/>
              </w:rPr>
            </w:pPr>
            <w:r>
              <w:rPr>
                <w:rFonts w:eastAsia="Times New Roman" w:cs="Arial"/>
              </w:rPr>
              <w:t>8</w:t>
            </w:r>
          </w:p>
        </w:tc>
      </w:tr>
      <w:tr w:rsidR="0022192E" w:rsidRPr="0034501D" w14:paraId="6F5FA91C" w14:textId="77777777" w:rsidTr="00BA3F2A">
        <w:tc>
          <w:tcPr>
            <w:tcW w:w="8437" w:type="dxa"/>
            <w:vAlign w:val="bottom"/>
          </w:tcPr>
          <w:p w14:paraId="0979E9C1" w14:textId="77777777" w:rsidR="0022192E" w:rsidRPr="001E169D" w:rsidRDefault="0022192E" w:rsidP="0022192E">
            <w:pPr>
              <w:spacing w:after="0" w:line="280" w:lineRule="exact"/>
              <w:rPr>
                <w:rFonts w:eastAsia="Times New Roman" w:cs="Arial"/>
              </w:rPr>
            </w:pPr>
          </w:p>
        </w:tc>
        <w:tc>
          <w:tcPr>
            <w:tcW w:w="1051" w:type="dxa"/>
            <w:vAlign w:val="bottom"/>
          </w:tcPr>
          <w:p w14:paraId="25094318" w14:textId="77777777" w:rsidR="0022192E" w:rsidRPr="0034501D" w:rsidRDefault="0022192E" w:rsidP="0022192E">
            <w:pPr>
              <w:spacing w:after="0" w:line="280" w:lineRule="exact"/>
              <w:jc w:val="right"/>
              <w:rPr>
                <w:rFonts w:eastAsia="Times New Roman" w:cs="Arial"/>
              </w:rPr>
            </w:pPr>
          </w:p>
        </w:tc>
      </w:tr>
      <w:tr w:rsidR="0022192E" w:rsidRPr="0034501D" w14:paraId="19501B78" w14:textId="77777777" w:rsidTr="00BA3F2A">
        <w:tc>
          <w:tcPr>
            <w:tcW w:w="8437" w:type="dxa"/>
            <w:vAlign w:val="bottom"/>
          </w:tcPr>
          <w:p w14:paraId="43E79C9F" w14:textId="6EC81B90" w:rsidR="0022192E" w:rsidRPr="001E169D" w:rsidRDefault="0022192E" w:rsidP="0022192E">
            <w:pPr>
              <w:spacing w:after="0" w:line="280" w:lineRule="exact"/>
              <w:rPr>
                <w:rFonts w:eastAsia="Times New Roman" w:cs="Arial"/>
              </w:rPr>
            </w:pPr>
            <w:r w:rsidRPr="001E169D">
              <w:rPr>
                <w:rFonts w:eastAsia="Times New Roman" w:cs="Arial"/>
              </w:rPr>
              <w:t>Unconsolidated Interim Condensed Financial Statements of the Bank:</w:t>
            </w:r>
          </w:p>
        </w:tc>
        <w:tc>
          <w:tcPr>
            <w:tcW w:w="1051" w:type="dxa"/>
            <w:vAlign w:val="bottom"/>
          </w:tcPr>
          <w:p w14:paraId="27704692" w14:textId="0DD65582" w:rsidR="0022192E" w:rsidRPr="0034501D" w:rsidRDefault="00C6181F" w:rsidP="00BA3F2A">
            <w:pPr>
              <w:spacing w:after="0" w:line="280" w:lineRule="exact"/>
              <w:jc w:val="right"/>
              <w:rPr>
                <w:rFonts w:eastAsia="Times New Roman" w:cs="Arial"/>
              </w:rPr>
            </w:pPr>
            <w:r>
              <w:rPr>
                <w:rFonts w:eastAsia="Times New Roman" w:cs="Arial"/>
              </w:rPr>
              <w:t>9</w:t>
            </w:r>
          </w:p>
        </w:tc>
      </w:tr>
      <w:tr w:rsidR="0022192E" w:rsidRPr="0034501D" w14:paraId="0D619E58" w14:textId="77777777" w:rsidTr="00BA3F2A">
        <w:tc>
          <w:tcPr>
            <w:tcW w:w="8437" w:type="dxa"/>
            <w:vAlign w:val="bottom"/>
          </w:tcPr>
          <w:p w14:paraId="313A8890" w14:textId="77777777" w:rsidR="0022192E" w:rsidRPr="001E169D" w:rsidRDefault="0022192E" w:rsidP="0022192E">
            <w:pPr>
              <w:spacing w:after="0" w:line="280" w:lineRule="exact"/>
              <w:rPr>
                <w:rFonts w:eastAsia="Times New Roman" w:cs="Arial"/>
              </w:rPr>
            </w:pPr>
          </w:p>
          <w:p w14:paraId="2D95B81B" w14:textId="77777777" w:rsidR="0022192E" w:rsidRPr="001E169D" w:rsidRDefault="0022192E" w:rsidP="0022192E">
            <w:pPr>
              <w:spacing w:after="0" w:line="280" w:lineRule="exact"/>
              <w:rPr>
                <w:rFonts w:eastAsia="Times New Roman" w:cs="Arial"/>
              </w:rPr>
            </w:pPr>
            <w:r w:rsidRPr="001E169D">
              <w:rPr>
                <w:rFonts w:eastAsia="Times New Roman" w:cs="Arial"/>
              </w:rPr>
              <w:t>Statement of Profit or Loss</w:t>
            </w:r>
          </w:p>
        </w:tc>
        <w:tc>
          <w:tcPr>
            <w:tcW w:w="1051" w:type="dxa"/>
            <w:vAlign w:val="bottom"/>
          </w:tcPr>
          <w:p w14:paraId="63C4BBB3" w14:textId="729B08CE" w:rsidR="0022192E" w:rsidRPr="0034501D" w:rsidRDefault="00C6181F" w:rsidP="0022192E">
            <w:pPr>
              <w:spacing w:after="0" w:line="280" w:lineRule="exact"/>
              <w:jc w:val="right"/>
              <w:rPr>
                <w:rFonts w:eastAsia="Times New Roman" w:cs="Arial"/>
              </w:rPr>
            </w:pPr>
            <w:r>
              <w:rPr>
                <w:rFonts w:eastAsia="Times New Roman" w:cs="Arial"/>
              </w:rPr>
              <w:t>9</w:t>
            </w:r>
          </w:p>
        </w:tc>
      </w:tr>
      <w:tr w:rsidR="0022192E" w:rsidRPr="0034501D" w14:paraId="27AB0DC7" w14:textId="77777777" w:rsidTr="00BA3F2A">
        <w:tc>
          <w:tcPr>
            <w:tcW w:w="8437" w:type="dxa"/>
            <w:vAlign w:val="bottom"/>
          </w:tcPr>
          <w:p w14:paraId="7504410D" w14:textId="77777777" w:rsidR="0022192E" w:rsidRPr="001E169D" w:rsidRDefault="0022192E" w:rsidP="0022192E">
            <w:pPr>
              <w:spacing w:after="0" w:line="280" w:lineRule="exact"/>
              <w:rPr>
                <w:rFonts w:eastAsia="Times New Roman" w:cs="Arial"/>
              </w:rPr>
            </w:pPr>
          </w:p>
        </w:tc>
        <w:tc>
          <w:tcPr>
            <w:tcW w:w="1051" w:type="dxa"/>
            <w:vAlign w:val="bottom"/>
          </w:tcPr>
          <w:p w14:paraId="3F407A92" w14:textId="77777777" w:rsidR="0022192E" w:rsidRPr="0034501D" w:rsidRDefault="0022192E" w:rsidP="0022192E">
            <w:pPr>
              <w:spacing w:after="0" w:line="280" w:lineRule="exact"/>
              <w:jc w:val="right"/>
              <w:rPr>
                <w:rFonts w:eastAsia="Times New Roman" w:cs="Arial"/>
              </w:rPr>
            </w:pPr>
          </w:p>
        </w:tc>
      </w:tr>
      <w:tr w:rsidR="0022192E" w:rsidRPr="0034501D" w14:paraId="0F9B066E" w14:textId="77777777" w:rsidTr="00BA3F2A">
        <w:tc>
          <w:tcPr>
            <w:tcW w:w="8437" w:type="dxa"/>
            <w:vAlign w:val="bottom"/>
          </w:tcPr>
          <w:p w14:paraId="683C63DB" w14:textId="77777777" w:rsidR="0022192E" w:rsidRPr="001E169D" w:rsidRDefault="0022192E" w:rsidP="0022192E">
            <w:pPr>
              <w:spacing w:after="0" w:line="280" w:lineRule="exact"/>
              <w:rPr>
                <w:rFonts w:eastAsia="Times New Roman" w:cs="Arial"/>
              </w:rPr>
            </w:pPr>
            <w:r w:rsidRPr="001E169D">
              <w:rPr>
                <w:rFonts w:cs="Arial"/>
              </w:rPr>
              <w:t>Statement of Profit or Loss and Other Comprehensive Income</w:t>
            </w:r>
          </w:p>
        </w:tc>
        <w:tc>
          <w:tcPr>
            <w:tcW w:w="1051" w:type="dxa"/>
            <w:vAlign w:val="bottom"/>
          </w:tcPr>
          <w:p w14:paraId="6FCFBD38" w14:textId="40ADC9F6" w:rsidR="0022192E" w:rsidRPr="0034501D" w:rsidRDefault="00C6181F" w:rsidP="00A63E7A">
            <w:pPr>
              <w:spacing w:after="0" w:line="280" w:lineRule="exact"/>
              <w:jc w:val="right"/>
              <w:rPr>
                <w:rFonts w:eastAsia="Times New Roman" w:cs="Arial"/>
              </w:rPr>
            </w:pPr>
            <w:r>
              <w:rPr>
                <w:rFonts w:eastAsia="Times New Roman" w:cs="Arial"/>
              </w:rPr>
              <w:t>10</w:t>
            </w:r>
          </w:p>
        </w:tc>
      </w:tr>
      <w:tr w:rsidR="0022192E" w:rsidRPr="0034501D" w14:paraId="47DC1C12" w14:textId="77777777" w:rsidTr="00BA3F2A">
        <w:tc>
          <w:tcPr>
            <w:tcW w:w="8437" w:type="dxa"/>
            <w:vAlign w:val="bottom"/>
          </w:tcPr>
          <w:p w14:paraId="495271D1" w14:textId="77777777" w:rsidR="0022192E" w:rsidRPr="001E169D" w:rsidRDefault="0022192E" w:rsidP="0022192E">
            <w:pPr>
              <w:spacing w:after="0" w:line="280" w:lineRule="exact"/>
              <w:rPr>
                <w:rFonts w:eastAsia="Times New Roman" w:cs="Arial"/>
              </w:rPr>
            </w:pPr>
          </w:p>
        </w:tc>
        <w:tc>
          <w:tcPr>
            <w:tcW w:w="1051" w:type="dxa"/>
            <w:vAlign w:val="bottom"/>
          </w:tcPr>
          <w:p w14:paraId="7AE5402E" w14:textId="77777777" w:rsidR="0022192E" w:rsidRPr="0034501D" w:rsidRDefault="0022192E" w:rsidP="0022192E">
            <w:pPr>
              <w:spacing w:after="0" w:line="280" w:lineRule="exact"/>
              <w:jc w:val="right"/>
              <w:rPr>
                <w:rFonts w:eastAsia="Times New Roman" w:cs="Arial"/>
              </w:rPr>
            </w:pPr>
          </w:p>
        </w:tc>
      </w:tr>
      <w:tr w:rsidR="0022192E" w:rsidRPr="0034501D" w14:paraId="08483623" w14:textId="77777777" w:rsidTr="00BA3F2A">
        <w:tc>
          <w:tcPr>
            <w:tcW w:w="8437" w:type="dxa"/>
            <w:vAlign w:val="bottom"/>
          </w:tcPr>
          <w:p w14:paraId="622DC603" w14:textId="77777777" w:rsidR="0022192E" w:rsidRPr="001E169D" w:rsidRDefault="0022192E" w:rsidP="0022192E">
            <w:pPr>
              <w:spacing w:after="0" w:line="280" w:lineRule="exact"/>
              <w:rPr>
                <w:rFonts w:eastAsia="Times New Roman" w:cs="Arial"/>
              </w:rPr>
            </w:pPr>
            <w:r w:rsidRPr="001E169D">
              <w:rPr>
                <w:rFonts w:cs="Arial"/>
              </w:rPr>
              <w:t>Statement of Financial Position</w:t>
            </w:r>
          </w:p>
        </w:tc>
        <w:tc>
          <w:tcPr>
            <w:tcW w:w="1051" w:type="dxa"/>
            <w:vAlign w:val="bottom"/>
          </w:tcPr>
          <w:p w14:paraId="11125B60" w14:textId="6629B769" w:rsidR="0022192E" w:rsidRPr="0034501D" w:rsidRDefault="00C6181F" w:rsidP="00A63E7A">
            <w:pPr>
              <w:spacing w:after="0" w:line="280" w:lineRule="exact"/>
              <w:jc w:val="right"/>
              <w:rPr>
                <w:rFonts w:eastAsia="Times New Roman" w:cs="Arial"/>
              </w:rPr>
            </w:pPr>
            <w:r>
              <w:rPr>
                <w:rFonts w:eastAsia="Times New Roman" w:cs="Arial"/>
              </w:rPr>
              <w:t>11</w:t>
            </w:r>
          </w:p>
        </w:tc>
      </w:tr>
      <w:tr w:rsidR="0022192E" w:rsidRPr="0034501D" w14:paraId="40B873C7" w14:textId="77777777" w:rsidTr="00BA3F2A">
        <w:tc>
          <w:tcPr>
            <w:tcW w:w="8437" w:type="dxa"/>
            <w:vAlign w:val="bottom"/>
          </w:tcPr>
          <w:p w14:paraId="5551A266" w14:textId="77777777" w:rsidR="0022192E" w:rsidRPr="001E169D" w:rsidRDefault="0022192E" w:rsidP="0022192E">
            <w:pPr>
              <w:spacing w:after="0" w:line="280" w:lineRule="exact"/>
              <w:rPr>
                <w:rFonts w:eastAsia="Times New Roman" w:cs="Arial"/>
              </w:rPr>
            </w:pPr>
          </w:p>
        </w:tc>
        <w:tc>
          <w:tcPr>
            <w:tcW w:w="1051" w:type="dxa"/>
            <w:vAlign w:val="bottom"/>
          </w:tcPr>
          <w:p w14:paraId="37CFFA0C" w14:textId="77777777" w:rsidR="0022192E" w:rsidRPr="0034501D" w:rsidRDefault="0022192E" w:rsidP="0022192E">
            <w:pPr>
              <w:spacing w:after="0" w:line="280" w:lineRule="exact"/>
              <w:jc w:val="right"/>
              <w:rPr>
                <w:rFonts w:eastAsia="Times New Roman" w:cs="Arial"/>
              </w:rPr>
            </w:pPr>
          </w:p>
        </w:tc>
      </w:tr>
      <w:tr w:rsidR="0022192E" w:rsidRPr="0034501D" w14:paraId="6B21F0C8" w14:textId="77777777" w:rsidTr="00BA3F2A">
        <w:tc>
          <w:tcPr>
            <w:tcW w:w="8437" w:type="dxa"/>
            <w:vAlign w:val="bottom"/>
          </w:tcPr>
          <w:p w14:paraId="7F3E75D3" w14:textId="77777777" w:rsidR="0022192E" w:rsidRPr="001E169D" w:rsidRDefault="0022192E" w:rsidP="0022192E">
            <w:pPr>
              <w:spacing w:after="0" w:line="280" w:lineRule="exact"/>
              <w:rPr>
                <w:rFonts w:eastAsia="Times New Roman" w:cs="Arial"/>
              </w:rPr>
            </w:pPr>
            <w:r w:rsidRPr="001E169D">
              <w:rPr>
                <w:rFonts w:cs="Arial"/>
              </w:rPr>
              <w:t>Statement of Cash Flows</w:t>
            </w:r>
          </w:p>
        </w:tc>
        <w:tc>
          <w:tcPr>
            <w:tcW w:w="1051" w:type="dxa"/>
            <w:vAlign w:val="bottom"/>
          </w:tcPr>
          <w:p w14:paraId="1A3B2C5F" w14:textId="3F7CFA7C" w:rsidR="0022192E" w:rsidRPr="0034501D" w:rsidRDefault="00C6181F" w:rsidP="00A63E7A">
            <w:pPr>
              <w:spacing w:after="0" w:line="280" w:lineRule="exact"/>
              <w:jc w:val="right"/>
              <w:rPr>
                <w:rFonts w:eastAsia="Times New Roman" w:cs="Arial"/>
              </w:rPr>
            </w:pPr>
            <w:r>
              <w:rPr>
                <w:rFonts w:eastAsia="Times New Roman" w:cs="Arial"/>
              </w:rPr>
              <w:t>12</w:t>
            </w:r>
          </w:p>
        </w:tc>
      </w:tr>
      <w:tr w:rsidR="0022192E" w:rsidRPr="0034501D" w14:paraId="1ED54C43" w14:textId="77777777" w:rsidTr="00BA3F2A">
        <w:tc>
          <w:tcPr>
            <w:tcW w:w="8437" w:type="dxa"/>
            <w:vAlign w:val="bottom"/>
          </w:tcPr>
          <w:p w14:paraId="101F124F" w14:textId="77777777" w:rsidR="0022192E" w:rsidRPr="001E169D" w:rsidRDefault="0022192E" w:rsidP="0022192E">
            <w:pPr>
              <w:spacing w:after="0" w:line="280" w:lineRule="exact"/>
              <w:rPr>
                <w:rFonts w:eastAsia="Times New Roman" w:cs="Arial"/>
              </w:rPr>
            </w:pPr>
          </w:p>
        </w:tc>
        <w:tc>
          <w:tcPr>
            <w:tcW w:w="1051" w:type="dxa"/>
            <w:vAlign w:val="bottom"/>
          </w:tcPr>
          <w:p w14:paraId="130E18AC" w14:textId="77777777" w:rsidR="0022192E" w:rsidRPr="0034501D" w:rsidRDefault="0022192E" w:rsidP="0022192E">
            <w:pPr>
              <w:spacing w:after="0" w:line="280" w:lineRule="exact"/>
              <w:jc w:val="right"/>
              <w:rPr>
                <w:rFonts w:eastAsia="Times New Roman" w:cs="Arial"/>
              </w:rPr>
            </w:pPr>
          </w:p>
        </w:tc>
      </w:tr>
      <w:tr w:rsidR="0022192E" w:rsidRPr="0034501D" w14:paraId="3AC35C94" w14:textId="77777777" w:rsidTr="00BA3F2A">
        <w:tc>
          <w:tcPr>
            <w:tcW w:w="8437" w:type="dxa"/>
            <w:vAlign w:val="bottom"/>
          </w:tcPr>
          <w:p w14:paraId="77DB6EA4" w14:textId="77777777" w:rsidR="0022192E" w:rsidRPr="001E169D" w:rsidRDefault="0022192E" w:rsidP="0022192E">
            <w:pPr>
              <w:spacing w:after="0" w:line="280" w:lineRule="exact"/>
              <w:rPr>
                <w:rFonts w:eastAsia="Times New Roman" w:cs="Arial"/>
              </w:rPr>
            </w:pPr>
            <w:r w:rsidRPr="001E169D">
              <w:rPr>
                <w:rFonts w:cs="Arial"/>
              </w:rPr>
              <w:t>Statement of Changes in Equity</w:t>
            </w:r>
          </w:p>
        </w:tc>
        <w:tc>
          <w:tcPr>
            <w:tcW w:w="1051" w:type="dxa"/>
            <w:vAlign w:val="bottom"/>
          </w:tcPr>
          <w:p w14:paraId="383094A5" w14:textId="440A715A" w:rsidR="0022192E" w:rsidRPr="0034501D" w:rsidRDefault="00C6181F" w:rsidP="00A63E7A">
            <w:pPr>
              <w:spacing w:after="0" w:line="280" w:lineRule="exact"/>
              <w:jc w:val="right"/>
              <w:rPr>
                <w:rFonts w:eastAsia="Times New Roman" w:cs="Arial"/>
              </w:rPr>
            </w:pPr>
            <w:r>
              <w:rPr>
                <w:rFonts w:eastAsia="Times New Roman" w:cs="Arial"/>
              </w:rPr>
              <w:t>13</w:t>
            </w:r>
          </w:p>
        </w:tc>
      </w:tr>
      <w:tr w:rsidR="0022192E" w:rsidRPr="0034501D" w14:paraId="257E3F8F" w14:textId="77777777" w:rsidTr="00BA3F2A">
        <w:tc>
          <w:tcPr>
            <w:tcW w:w="8437" w:type="dxa"/>
            <w:vAlign w:val="bottom"/>
          </w:tcPr>
          <w:p w14:paraId="73C35D0C" w14:textId="77777777" w:rsidR="0022192E" w:rsidRPr="001E169D" w:rsidRDefault="0022192E" w:rsidP="0022192E">
            <w:pPr>
              <w:spacing w:after="0" w:line="280" w:lineRule="exact"/>
              <w:rPr>
                <w:rFonts w:eastAsia="Times New Roman" w:cs="Arial"/>
              </w:rPr>
            </w:pPr>
          </w:p>
        </w:tc>
        <w:tc>
          <w:tcPr>
            <w:tcW w:w="1051" w:type="dxa"/>
            <w:vAlign w:val="bottom"/>
          </w:tcPr>
          <w:p w14:paraId="28D599E9" w14:textId="77777777" w:rsidR="0022192E" w:rsidRPr="0034501D" w:rsidRDefault="0022192E" w:rsidP="0022192E">
            <w:pPr>
              <w:spacing w:after="0" w:line="280" w:lineRule="exact"/>
              <w:jc w:val="right"/>
              <w:rPr>
                <w:rFonts w:eastAsia="Times New Roman" w:cs="Arial"/>
              </w:rPr>
            </w:pPr>
          </w:p>
        </w:tc>
      </w:tr>
      <w:tr w:rsidR="0022192E" w:rsidRPr="0034501D" w14:paraId="639D74F0" w14:textId="77777777" w:rsidTr="00BA3F2A">
        <w:tc>
          <w:tcPr>
            <w:tcW w:w="8437" w:type="dxa"/>
            <w:vAlign w:val="bottom"/>
          </w:tcPr>
          <w:p w14:paraId="77592876" w14:textId="77777777" w:rsidR="0022192E" w:rsidRPr="001E169D" w:rsidRDefault="0022192E" w:rsidP="0022192E">
            <w:pPr>
              <w:spacing w:after="0" w:line="280" w:lineRule="exact"/>
              <w:rPr>
                <w:rFonts w:eastAsia="Times New Roman" w:cs="Arial"/>
              </w:rPr>
            </w:pPr>
            <w:r w:rsidRPr="001E169D">
              <w:rPr>
                <w:rFonts w:eastAsia="Times New Roman" w:cs="Arial"/>
              </w:rPr>
              <w:t xml:space="preserve">Notes to the Consolidated Interim Condensed Financial Statements </w:t>
            </w:r>
            <w:r>
              <w:rPr>
                <w:rFonts w:eastAsia="Times New Roman" w:cs="Arial"/>
              </w:rPr>
              <w:t xml:space="preserve">include significant </w:t>
            </w:r>
            <w:r w:rsidRPr="001E169D">
              <w:rPr>
                <w:rFonts w:eastAsia="Times New Roman" w:cs="Arial"/>
              </w:rPr>
              <w:t>accounting policies and other explanat</w:t>
            </w:r>
            <w:r>
              <w:rPr>
                <w:rFonts w:eastAsia="Times New Roman" w:cs="Arial"/>
              </w:rPr>
              <w:t>ions</w:t>
            </w:r>
            <w:r w:rsidRPr="001E169D">
              <w:rPr>
                <w:rFonts w:eastAsia="Times New Roman" w:cs="Arial"/>
              </w:rPr>
              <w:t xml:space="preserve"> </w:t>
            </w:r>
          </w:p>
        </w:tc>
        <w:tc>
          <w:tcPr>
            <w:tcW w:w="1051" w:type="dxa"/>
            <w:shd w:val="clear" w:color="auto" w:fill="auto"/>
            <w:vAlign w:val="bottom"/>
          </w:tcPr>
          <w:p w14:paraId="32723D11" w14:textId="4D2A6F89" w:rsidR="0022192E" w:rsidRPr="005444AA" w:rsidRDefault="00C6181F" w:rsidP="00A63E7A">
            <w:pPr>
              <w:spacing w:after="0" w:line="280" w:lineRule="exact"/>
              <w:jc w:val="right"/>
              <w:rPr>
                <w:rFonts w:eastAsia="Times New Roman" w:cs="Arial"/>
              </w:rPr>
            </w:pPr>
            <w:r w:rsidRPr="005444AA">
              <w:rPr>
                <w:rFonts w:eastAsia="Times New Roman" w:cs="Arial"/>
              </w:rPr>
              <w:t>1</w:t>
            </w:r>
            <w:r>
              <w:rPr>
                <w:rFonts w:eastAsia="Times New Roman" w:cs="Arial"/>
              </w:rPr>
              <w:t>4</w:t>
            </w:r>
            <w:r w:rsidR="00674B83" w:rsidRPr="005444AA">
              <w:rPr>
                <w:rFonts w:eastAsia="Times New Roman" w:cs="Arial"/>
              </w:rPr>
              <w:t>-</w:t>
            </w:r>
            <w:r w:rsidRPr="005444AA">
              <w:rPr>
                <w:rFonts w:eastAsia="Times New Roman" w:cs="Arial"/>
              </w:rPr>
              <w:t>9</w:t>
            </w:r>
            <w:r>
              <w:rPr>
                <w:rFonts w:eastAsia="Times New Roman" w:cs="Arial"/>
              </w:rPr>
              <w:t>4</w:t>
            </w:r>
          </w:p>
        </w:tc>
      </w:tr>
      <w:tr w:rsidR="0022192E" w:rsidRPr="00430C60" w14:paraId="748B201D" w14:textId="77777777" w:rsidTr="00BA3F2A">
        <w:trPr>
          <w:trHeight w:val="418"/>
        </w:trPr>
        <w:tc>
          <w:tcPr>
            <w:tcW w:w="8437" w:type="dxa"/>
            <w:vAlign w:val="bottom"/>
          </w:tcPr>
          <w:p w14:paraId="2A9C0B22" w14:textId="77777777" w:rsidR="0022192E" w:rsidRPr="003010D8" w:rsidRDefault="0022192E" w:rsidP="0022192E">
            <w:pPr>
              <w:spacing w:after="0" w:line="280" w:lineRule="exact"/>
              <w:rPr>
                <w:rFonts w:cs="Arial"/>
              </w:rPr>
            </w:pPr>
            <w:r w:rsidRPr="003010D8">
              <w:rPr>
                <w:rFonts w:cs="Arial"/>
              </w:rPr>
              <w:t>Appendix - financial performance of the HKO Group</w:t>
            </w:r>
          </w:p>
        </w:tc>
        <w:tc>
          <w:tcPr>
            <w:tcW w:w="1051" w:type="dxa"/>
            <w:shd w:val="clear" w:color="auto" w:fill="auto"/>
            <w:vAlign w:val="bottom"/>
          </w:tcPr>
          <w:p w14:paraId="3F63D910" w14:textId="274A66B2" w:rsidR="0022192E" w:rsidRPr="00F0222D" w:rsidRDefault="00C6181F" w:rsidP="00A63E7A">
            <w:pPr>
              <w:spacing w:after="0" w:line="280" w:lineRule="exact"/>
              <w:jc w:val="right"/>
              <w:rPr>
                <w:rFonts w:eastAsia="Times New Roman" w:cs="Arial"/>
              </w:rPr>
            </w:pPr>
            <w:r>
              <w:rPr>
                <w:rFonts w:eastAsia="Times New Roman" w:cs="Arial"/>
              </w:rPr>
              <w:t>95</w:t>
            </w:r>
            <w:r w:rsidR="00674B83" w:rsidRPr="005444AA">
              <w:rPr>
                <w:rFonts w:eastAsia="Times New Roman" w:cs="Arial"/>
              </w:rPr>
              <w:t>-</w:t>
            </w:r>
            <w:r>
              <w:rPr>
                <w:rFonts w:eastAsia="Times New Roman" w:cs="Arial"/>
              </w:rPr>
              <w:t>98</w:t>
            </w:r>
          </w:p>
        </w:tc>
      </w:tr>
    </w:tbl>
    <w:p w14:paraId="185BE88E" w14:textId="77777777" w:rsidR="00775072" w:rsidRPr="0034501D" w:rsidRDefault="00775072" w:rsidP="00C4266C">
      <w:pPr>
        <w:spacing w:after="0" w:line="240" w:lineRule="auto"/>
      </w:pPr>
    </w:p>
    <w:p w14:paraId="18F55858" w14:textId="77777777" w:rsidR="00775072" w:rsidRPr="0034501D" w:rsidRDefault="00775072" w:rsidP="00C4266C">
      <w:pPr>
        <w:spacing w:after="0" w:line="240" w:lineRule="auto"/>
      </w:pPr>
    </w:p>
    <w:p w14:paraId="174AE9C2" w14:textId="77777777" w:rsidR="00D97C38" w:rsidRPr="0034501D" w:rsidRDefault="00D97C38" w:rsidP="00C4266C">
      <w:pPr>
        <w:spacing w:after="0" w:line="240" w:lineRule="auto"/>
      </w:pPr>
    </w:p>
    <w:p w14:paraId="2FF67D63" w14:textId="77777777" w:rsidR="00D97C38" w:rsidRPr="0034501D" w:rsidRDefault="00D97C38" w:rsidP="00C4266C">
      <w:pPr>
        <w:spacing w:after="0" w:line="240" w:lineRule="auto"/>
      </w:pPr>
    </w:p>
    <w:p w14:paraId="1E350480" w14:textId="77777777" w:rsidR="00D97C38" w:rsidRPr="0034501D" w:rsidRDefault="00D97C38" w:rsidP="00C4266C">
      <w:pPr>
        <w:spacing w:after="0" w:line="240" w:lineRule="auto"/>
      </w:pPr>
    </w:p>
    <w:p w14:paraId="72FA6B8D" w14:textId="77777777" w:rsidR="00E320EB" w:rsidRPr="0034501D" w:rsidRDefault="00E320EB" w:rsidP="00C4266C">
      <w:pPr>
        <w:spacing w:after="0" w:line="240" w:lineRule="auto"/>
      </w:pPr>
    </w:p>
    <w:p w14:paraId="0BFD0440" w14:textId="77777777" w:rsidR="00E320EB" w:rsidRPr="0034501D" w:rsidRDefault="00E320EB" w:rsidP="00C4266C">
      <w:pPr>
        <w:spacing w:after="0" w:line="240" w:lineRule="auto"/>
      </w:pPr>
    </w:p>
    <w:p w14:paraId="0498C0D4" w14:textId="77777777" w:rsidR="00302C9D" w:rsidRPr="0034501D" w:rsidRDefault="00302C9D" w:rsidP="00C4266C">
      <w:pPr>
        <w:spacing w:after="0" w:line="240" w:lineRule="auto"/>
        <w:sectPr w:rsidR="00302C9D" w:rsidRPr="0034501D" w:rsidSect="00947CB7">
          <w:headerReference w:type="default" r:id="rId11"/>
          <w:headerReference w:type="first" r:id="rId12"/>
          <w:footerReference w:type="first" r:id="rId13"/>
          <w:pgSz w:w="11906" w:h="16838" w:code="9"/>
          <w:pgMar w:top="1216" w:right="1133" w:bottom="1417" w:left="1417" w:header="709" w:footer="709" w:gutter="0"/>
          <w:pgNumType w:start="1"/>
          <w:cols w:space="708"/>
          <w:titlePg/>
          <w:docGrid w:linePitch="360"/>
        </w:sectPr>
      </w:pPr>
    </w:p>
    <w:p w14:paraId="732A339E" w14:textId="1ADB2DE1" w:rsidR="00E320EB" w:rsidRPr="0034501D" w:rsidRDefault="00E320EB" w:rsidP="00C4266C">
      <w:pPr>
        <w:spacing w:after="0" w:line="240" w:lineRule="auto"/>
      </w:pPr>
    </w:p>
    <w:p w14:paraId="350B33DA" w14:textId="77777777" w:rsidR="00A209AE" w:rsidRPr="0034501D" w:rsidRDefault="00A209AE" w:rsidP="00C4266C">
      <w:pPr>
        <w:spacing w:after="0" w:line="240" w:lineRule="auto"/>
      </w:pPr>
    </w:p>
    <w:p w14:paraId="09D10AFD" w14:textId="7273BBBE" w:rsidR="0022192E" w:rsidRDefault="0022192E" w:rsidP="0022192E">
      <w:pPr>
        <w:spacing w:after="0" w:line="360" w:lineRule="auto"/>
        <w:jc w:val="both"/>
        <w:rPr>
          <w:sz w:val="24"/>
          <w:szCs w:val="24"/>
        </w:rPr>
      </w:pPr>
      <w:r w:rsidRPr="00CD40CB">
        <w:rPr>
          <w:sz w:val="24"/>
          <w:szCs w:val="24"/>
        </w:rPr>
        <w:t xml:space="preserve">We confirm that, to the best of our knowledge, the Consolidated Interim Condensed Financial Statements of the Croatian Bank for Reconstruction and Development Group </w:t>
      </w:r>
      <w:r w:rsidRPr="007070A8">
        <w:rPr>
          <w:sz w:val="24"/>
          <w:szCs w:val="24"/>
        </w:rPr>
        <w:t xml:space="preserve">set out on pages </w:t>
      </w:r>
      <w:r w:rsidR="007369DC" w:rsidRPr="005444AA">
        <w:rPr>
          <w:sz w:val="24"/>
          <w:szCs w:val="24"/>
        </w:rPr>
        <w:t>9</w:t>
      </w:r>
      <w:r w:rsidR="007369DC" w:rsidRPr="00827F36">
        <w:rPr>
          <w:sz w:val="24"/>
          <w:szCs w:val="24"/>
        </w:rPr>
        <w:t xml:space="preserve"> </w:t>
      </w:r>
      <w:r w:rsidRPr="00827F36">
        <w:rPr>
          <w:sz w:val="24"/>
          <w:szCs w:val="24"/>
        </w:rPr>
        <w:t xml:space="preserve">to </w:t>
      </w:r>
      <w:r w:rsidR="00392098" w:rsidRPr="00F0222D">
        <w:rPr>
          <w:sz w:val="24"/>
          <w:szCs w:val="24"/>
        </w:rPr>
        <w:t>9</w:t>
      </w:r>
      <w:r w:rsidR="00392098">
        <w:rPr>
          <w:sz w:val="24"/>
          <w:szCs w:val="24"/>
        </w:rPr>
        <w:t>4</w:t>
      </w:r>
      <w:r w:rsidR="00392098" w:rsidRPr="00430C60">
        <w:rPr>
          <w:sz w:val="24"/>
          <w:szCs w:val="24"/>
        </w:rPr>
        <w:t xml:space="preserve"> </w:t>
      </w:r>
      <w:r w:rsidRPr="00430C60">
        <w:rPr>
          <w:sz w:val="24"/>
          <w:szCs w:val="24"/>
        </w:rPr>
        <w:t>have been prepared in accordance with International Accounting Standard 34: “Interim</w:t>
      </w:r>
      <w:r w:rsidRPr="00CD40CB">
        <w:rPr>
          <w:sz w:val="24"/>
          <w:szCs w:val="24"/>
        </w:rPr>
        <w:t xml:space="preserve"> Financial Reporting” applicable for the preparation of interim financial statements, and give a true and fair view of assets, liabilities, financial position, financial performance and cash flows for the reporting period.</w:t>
      </w:r>
    </w:p>
    <w:p w14:paraId="339F48C1" w14:textId="77777777" w:rsidR="0022192E" w:rsidRPr="00CD40CB" w:rsidRDefault="0022192E" w:rsidP="0022192E">
      <w:pPr>
        <w:spacing w:after="0" w:line="360" w:lineRule="auto"/>
        <w:jc w:val="both"/>
        <w:rPr>
          <w:sz w:val="24"/>
          <w:szCs w:val="24"/>
        </w:rPr>
      </w:pPr>
    </w:p>
    <w:p w14:paraId="00B6DA7A" w14:textId="77777777" w:rsidR="0022192E" w:rsidRDefault="0022192E" w:rsidP="0022192E">
      <w:pPr>
        <w:keepNext/>
        <w:spacing w:after="0" w:line="360" w:lineRule="auto"/>
        <w:jc w:val="both"/>
        <w:rPr>
          <w:sz w:val="24"/>
          <w:szCs w:val="24"/>
        </w:rPr>
      </w:pPr>
      <w:r>
        <w:rPr>
          <w:sz w:val="24"/>
          <w:szCs w:val="24"/>
        </w:rPr>
        <w:t xml:space="preserve">Financial statements present materially important items and information. Assessment of the materiality applies to the whole of the financial statements, including the notes. </w:t>
      </w:r>
    </w:p>
    <w:p w14:paraId="01E81CF1" w14:textId="77777777" w:rsidR="0022192E" w:rsidRDefault="0022192E" w:rsidP="0022192E">
      <w:pPr>
        <w:keepNext/>
        <w:spacing w:after="0" w:line="360" w:lineRule="auto"/>
        <w:jc w:val="both"/>
        <w:rPr>
          <w:sz w:val="24"/>
          <w:szCs w:val="24"/>
        </w:rPr>
      </w:pPr>
    </w:p>
    <w:p w14:paraId="40AAF9E2" w14:textId="77777777" w:rsidR="0022192E" w:rsidRDefault="0022192E" w:rsidP="0022192E">
      <w:pPr>
        <w:keepNext/>
        <w:spacing w:after="0" w:line="360" w:lineRule="auto"/>
        <w:jc w:val="both"/>
        <w:rPr>
          <w:sz w:val="24"/>
          <w:szCs w:val="24"/>
        </w:rPr>
      </w:pPr>
      <w:r>
        <w:rPr>
          <w:sz w:val="24"/>
          <w:szCs w:val="24"/>
        </w:rPr>
        <w:t xml:space="preserve">In determining what information to disclose in financial statements and accompanying notes professional judgement has been applied. </w:t>
      </w:r>
    </w:p>
    <w:p w14:paraId="7A411824" w14:textId="77777777" w:rsidR="0022192E" w:rsidRDefault="0022192E" w:rsidP="0022192E">
      <w:pPr>
        <w:keepNext/>
        <w:spacing w:after="0" w:line="360" w:lineRule="auto"/>
        <w:jc w:val="both"/>
        <w:rPr>
          <w:sz w:val="24"/>
          <w:szCs w:val="24"/>
        </w:rPr>
      </w:pPr>
    </w:p>
    <w:p w14:paraId="2E482825" w14:textId="5CF6690C" w:rsidR="0022192E" w:rsidRDefault="0022192E" w:rsidP="0022192E">
      <w:pPr>
        <w:spacing w:after="0" w:line="360" w:lineRule="auto"/>
        <w:jc w:val="both"/>
        <w:rPr>
          <w:sz w:val="24"/>
          <w:szCs w:val="24"/>
        </w:rPr>
      </w:pPr>
      <w:r>
        <w:rPr>
          <w:sz w:val="24"/>
          <w:szCs w:val="24"/>
        </w:rPr>
        <w:t>Specified line items can be disaggregated but are presented consistently on aggregated level f</w:t>
      </w:r>
      <w:r w:rsidRPr="00724B14">
        <w:rPr>
          <w:sz w:val="24"/>
          <w:szCs w:val="24"/>
        </w:rPr>
        <w:t>or</w:t>
      </w:r>
      <w:r>
        <w:rPr>
          <w:sz w:val="24"/>
          <w:szCs w:val="24"/>
        </w:rPr>
        <w:t xml:space="preserve"> all periods. Notes that include significant accounting policies and other explanations are presented in order of items as presented in Statement of profit or loss and Statement of financial position according to the structure applicable for financial institutions.</w:t>
      </w:r>
    </w:p>
    <w:p w14:paraId="2138F214" w14:textId="77777777" w:rsidR="00570EDE" w:rsidRPr="0034501D" w:rsidRDefault="00570EDE" w:rsidP="0022192E">
      <w:pPr>
        <w:spacing w:after="0" w:line="360" w:lineRule="auto"/>
        <w:jc w:val="both"/>
        <w:rPr>
          <w:sz w:val="24"/>
          <w:szCs w:val="24"/>
        </w:rPr>
      </w:pPr>
    </w:p>
    <w:tbl>
      <w:tblPr>
        <w:tblW w:w="3544" w:type="dxa"/>
        <w:jc w:val="right"/>
        <w:tblLook w:val="04A0" w:firstRow="1" w:lastRow="0" w:firstColumn="1" w:lastColumn="0" w:noHBand="0" w:noVBand="1"/>
      </w:tblPr>
      <w:tblGrid>
        <w:gridCol w:w="3544"/>
      </w:tblGrid>
      <w:tr w:rsidR="00570EDE" w:rsidRPr="00570EDE" w14:paraId="75077B68" w14:textId="77777777" w:rsidTr="00570EDE">
        <w:trPr>
          <w:jc w:val="right"/>
        </w:trPr>
        <w:tc>
          <w:tcPr>
            <w:tcW w:w="3544" w:type="dxa"/>
          </w:tcPr>
          <w:p w14:paraId="20ABAC8E" w14:textId="77777777" w:rsidR="00570EDE" w:rsidRPr="00570EDE" w:rsidRDefault="00570EDE" w:rsidP="00570EDE">
            <w:pPr>
              <w:spacing w:after="0" w:line="240" w:lineRule="auto"/>
              <w:jc w:val="center"/>
              <w:rPr>
                <w:rFonts w:asciiTheme="minorHAnsi" w:eastAsia="Times New Roman" w:hAnsiTheme="minorHAnsi"/>
                <w:lang w:val="hr-HR"/>
              </w:rPr>
            </w:pPr>
            <w:r w:rsidRPr="00570EDE">
              <w:rPr>
                <w:rFonts w:asciiTheme="minorHAnsi" w:eastAsia="Times New Roman" w:hAnsiTheme="minorHAnsi"/>
                <w:lang w:val="hr-HR"/>
              </w:rPr>
              <w:t>___________________</w:t>
            </w:r>
          </w:p>
        </w:tc>
      </w:tr>
      <w:tr w:rsidR="00570EDE" w:rsidRPr="00570EDE" w14:paraId="5C7BD618" w14:textId="77777777" w:rsidTr="00570EDE">
        <w:trPr>
          <w:jc w:val="right"/>
        </w:trPr>
        <w:tc>
          <w:tcPr>
            <w:tcW w:w="3544" w:type="dxa"/>
          </w:tcPr>
          <w:p w14:paraId="3B162AFC" w14:textId="7428E977" w:rsidR="00570EDE" w:rsidRPr="00570EDE" w:rsidRDefault="007433EB" w:rsidP="00570EDE">
            <w:pPr>
              <w:spacing w:after="0" w:line="240" w:lineRule="auto"/>
              <w:jc w:val="center"/>
              <w:rPr>
                <w:rFonts w:asciiTheme="minorHAnsi" w:eastAsia="Times New Roman" w:hAnsiTheme="minorHAnsi"/>
                <w:lang w:val="hr-HR"/>
              </w:rPr>
            </w:pPr>
            <w:r>
              <w:rPr>
                <w:rFonts w:eastAsia="Times New Roman" w:cs="Arial"/>
              </w:rPr>
              <w:t>Vedran Jakšić</w:t>
            </w:r>
            <w:r w:rsidR="00392098">
              <w:rPr>
                <w:rFonts w:eastAsia="Times New Roman" w:cs="Arial"/>
              </w:rPr>
              <w:t xml:space="preserve">, </w:t>
            </w:r>
            <w:proofErr w:type="spellStart"/>
            <w:r w:rsidR="00392098">
              <w:rPr>
                <w:rFonts w:asciiTheme="minorHAnsi" w:eastAsia="Times New Roman" w:hAnsiTheme="minorHAnsi"/>
                <w:lang w:val="hr-HR"/>
              </w:rPr>
              <w:t>MSc</w:t>
            </w:r>
            <w:proofErr w:type="spellEnd"/>
            <w:r w:rsidR="00392098" w:rsidRPr="00570EDE" w:rsidDel="007433EB">
              <w:rPr>
                <w:rFonts w:asciiTheme="minorHAnsi" w:eastAsia="Times New Roman" w:hAnsiTheme="minorHAnsi"/>
                <w:lang w:val="hr-HR"/>
              </w:rPr>
              <w:t xml:space="preserve"> </w:t>
            </w:r>
          </w:p>
        </w:tc>
      </w:tr>
      <w:tr w:rsidR="00570EDE" w:rsidRPr="00570EDE" w14:paraId="16C4BE2A" w14:textId="77777777" w:rsidTr="00570EDE">
        <w:trPr>
          <w:trHeight w:hRule="exact" w:val="57"/>
          <w:jc w:val="right"/>
        </w:trPr>
        <w:tc>
          <w:tcPr>
            <w:tcW w:w="3544" w:type="dxa"/>
          </w:tcPr>
          <w:p w14:paraId="15D13AAD" w14:textId="77777777" w:rsidR="00570EDE" w:rsidRPr="00570EDE" w:rsidRDefault="00570EDE" w:rsidP="00570EDE">
            <w:pPr>
              <w:spacing w:after="0" w:line="240" w:lineRule="auto"/>
              <w:rPr>
                <w:rFonts w:asciiTheme="minorHAnsi" w:eastAsia="Times New Roman" w:hAnsiTheme="minorHAnsi"/>
                <w:lang w:val="hr-HR"/>
              </w:rPr>
            </w:pPr>
          </w:p>
        </w:tc>
      </w:tr>
      <w:tr w:rsidR="00570EDE" w:rsidRPr="00570EDE" w14:paraId="284E31C5" w14:textId="77777777" w:rsidTr="00570EDE">
        <w:trPr>
          <w:jc w:val="right"/>
        </w:trPr>
        <w:tc>
          <w:tcPr>
            <w:tcW w:w="3544" w:type="dxa"/>
          </w:tcPr>
          <w:p w14:paraId="14C01765" w14:textId="490CDAE5" w:rsidR="00570EDE" w:rsidRPr="00570EDE" w:rsidRDefault="00402675" w:rsidP="00CA0280">
            <w:pPr>
              <w:spacing w:after="0" w:line="240" w:lineRule="auto"/>
              <w:jc w:val="center"/>
              <w:rPr>
                <w:rFonts w:asciiTheme="minorHAnsi" w:eastAsia="Times New Roman" w:hAnsiTheme="minorHAnsi"/>
                <w:b/>
                <w:highlight w:val="yellow"/>
              </w:rPr>
            </w:pPr>
            <w:r>
              <w:rPr>
                <w:rFonts w:asciiTheme="minorHAnsi" w:eastAsia="Times New Roman" w:hAnsiTheme="minorHAnsi"/>
                <w:b/>
              </w:rPr>
              <w:t xml:space="preserve">Senior </w:t>
            </w:r>
            <w:r w:rsidR="00570EDE" w:rsidRPr="00570EDE">
              <w:rPr>
                <w:rFonts w:asciiTheme="minorHAnsi" w:eastAsia="Times New Roman" w:hAnsiTheme="minorHAnsi"/>
                <w:b/>
              </w:rPr>
              <w:t>Executive Director</w:t>
            </w:r>
          </w:p>
        </w:tc>
      </w:tr>
    </w:tbl>
    <w:p w14:paraId="5AD80F42" w14:textId="77777777" w:rsidR="00570EDE" w:rsidRPr="00570EDE" w:rsidRDefault="00570EDE" w:rsidP="00570EDE">
      <w:pPr>
        <w:keepNext/>
        <w:spacing w:after="0" w:line="240" w:lineRule="auto"/>
        <w:jc w:val="both"/>
        <w:rPr>
          <w:rFonts w:asciiTheme="minorHAnsi" w:eastAsia="Times New Roman" w:hAnsiTheme="minorHAnsi" w:cs="Arial"/>
          <w:b/>
          <w:bCs/>
        </w:rPr>
      </w:pPr>
    </w:p>
    <w:p w14:paraId="2DCE35C3" w14:textId="77777777" w:rsidR="00570EDE" w:rsidRPr="00570EDE" w:rsidRDefault="00570EDE" w:rsidP="00570EDE">
      <w:pPr>
        <w:keepNext/>
        <w:spacing w:after="0" w:line="240" w:lineRule="auto"/>
        <w:jc w:val="both"/>
        <w:rPr>
          <w:rFonts w:asciiTheme="minorHAnsi" w:eastAsia="Times New Roman" w:hAnsiTheme="minorHAnsi" w:cs="Arial"/>
        </w:rPr>
      </w:pPr>
    </w:p>
    <w:tbl>
      <w:tblPr>
        <w:tblW w:w="9639" w:type="dxa"/>
        <w:jc w:val="center"/>
        <w:tblLayout w:type="fixed"/>
        <w:tblLook w:val="04A0" w:firstRow="1" w:lastRow="0" w:firstColumn="1" w:lastColumn="0" w:noHBand="0" w:noVBand="1"/>
      </w:tblPr>
      <w:tblGrid>
        <w:gridCol w:w="3828"/>
        <w:gridCol w:w="283"/>
        <w:gridCol w:w="1701"/>
        <w:gridCol w:w="284"/>
        <w:gridCol w:w="3543"/>
      </w:tblGrid>
      <w:tr w:rsidR="00570EDE" w:rsidRPr="00570EDE" w14:paraId="2D1AFAA2" w14:textId="77777777" w:rsidTr="00570EDE">
        <w:trPr>
          <w:jc w:val="center"/>
        </w:trPr>
        <w:tc>
          <w:tcPr>
            <w:tcW w:w="3828" w:type="dxa"/>
          </w:tcPr>
          <w:p w14:paraId="5AF14B10" w14:textId="77777777" w:rsidR="00570EDE" w:rsidRPr="00570EDE" w:rsidRDefault="00570EDE" w:rsidP="00570EDE">
            <w:pPr>
              <w:spacing w:after="0" w:line="240" w:lineRule="auto"/>
              <w:jc w:val="center"/>
              <w:rPr>
                <w:rFonts w:asciiTheme="minorHAnsi" w:eastAsia="Times New Roman" w:hAnsiTheme="minorHAnsi"/>
                <w:lang w:val="hr-HR"/>
              </w:rPr>
            </w:pPr>
            <w:r w:rsidRPr="00570EDE">
              <w:rPr>
                <w:rFonts w:asciiTheme="minorHAnsi" w:eastAsia="Times New Roman" w:hAnsiTheme="minorHAnsi"/>
                <w:lang w:val="hr-HR"/>
              </w:rPr>
              <w:t>______________________</w:t>
            </w:r>
          </w:p>
        </w:tc>
        <w:tc>
          <w:tcPr>
            <w:tcW w:w="283" w:type="dxa"/>
          </w:tcPr>
          <w:p w14:paraId="75D97AC1" w14:textId="77777777" w:rsidR="00570EDE" w:rsidRPr="00570EDE" w:rsidRDefault="00570EDE" w:rsidP="00570EDE">
            <w:pPr>
              <w:spacing w:after="0" w:line="240" w:lineRule="auto"/>
              <w:jc w:val="center"/>
              <w:rPr>
                <w:rFonts w:asciiTheme="minorHAnsi" w:eastAsia="Times New Roman" w:hAnsiTheme="minorHAnsi"/>
                <w:lang w:val="hr-HR"/>
              </w:rPr>
            </w:pPr>
          </w:p>
        </w:tc>
        <w:tc>
          <w:tcPr>
            <w:tcW w:w="1701" w:type="dxa"/>
          </w:tcPr>
          <w:p w14:paraId="33472511" w14:textId="77777777" w:rsidR="00570EDE" w:rsidRPr="00570EDE" w:rsidRDefault="00570EDE" w:rsidP="00570EDE">
            <w:pPr>
              <w:spacing w:after="0" w:line="240" w:lineRule="auto"/>
              <w:jc w:val="center"/>
              <w:rPr>
                <w:rFonts w:asciiTheme="minorHAnsi" w:eastAsia="Times New Roman" w:hAnsiTheme="minorHAnsi"/>
                <w:lang w:val="hr-HR"/>
              </w:rPr>
            </w:pPr>
          </w:p>
        </w:tc>
        <w:tc>
          <w:tcPr>
            <w:tcW w:w="284" w:type="dxa"/>
          </w:tcPr>
          <w:p w14:paraId="4B65C6D4" w14:textId="77777777" w:rsidR="00570EDE" w:rsidRPr="00570EDE" w:rsidRDefault="00570EDE" w:rsidP="00570EDE">
            <w:pPr>
              <w:spacing w:after="0" w:line="240" w:lineRule="auto"/>
              <w:jc w:val="center"/>
              <w:rPr>
                <w:rFonts w:asciiTheme="minorHAnsi" w:eastAsia="Times New Roman" w:hAnsiTheme="minorHAnsi"/>
                <w:lang w:val="hr-HR"/>
              </w:rPr>
            </w:pPr>
          </w:p>
        </w:tc>
        <w:tc>
          <w:tcPr>
            <w:tcW w:w="3543" w:type="dxa"/>
          </w:tcPr>
          <w:p w14:paraId="1A89A210" w14:textId="77777777" w:rsidR="00570EDE" w:rsidRPr="00570EDE" w:rsidRDefault="00570EDE" w:rsidP="00570EDE">
            <w:pPr>
              <w:spacing w:after="0" w:line="240" w:lineRule="auto"/>
              <w:jc w:val="center"/>
              <w:rPr>
                <w:rFonts w:asciiTheme="minorHAnsi" w:eastAsia="Times New Roman" w:hAnsiTheme="minorHAnsi"/>
                <w:lang w:val="hr-HR"/>
              </w:rPr>
            </w:pPr>
            <w:r w:rsidRPr="00570EDE">
              <w:rPr>
                <w:rFonts w:asciiTheme="minorHAnsi" w:eastAsia="Times New Roman" w:hAnsiTheme="minorHAnsi"/>
                <w:lang w:val="hr-HR"/>
              </w:rPr>
              <w:t>_________________</w:t>
            </w:r>
          </w:p>
        </w:tc>
      </w:tr>
      <w:tr w:rsidR="00570EDE" w:rsidRPr="00570EDE" w14:paraId="77D0C9CF" w14:textId="77777777" w:rsidTr="00570EDE">
        <w:trPr>
          <w:jc w:val="center"/>
        </w:trPr>
        <w:tc>
          <w:tcPr>
            <w:tcW w:w="3828" w:type="dxa"/>
          </w:tcPr>
          <w:p w14:paraId="7F0DE2E1" w14:textId="77777777" w:rsidR="00570EDE" w:rsidRPr="00570EDE" w:rsidRDefault="00570EDE" w:rsidP="00570EDE">
            <w:pPr>
              <w:spacing w:after="0" w:line="240" w:lineRule="auto"/>
              <w:jc w:val="center"/>
              <w:rPr>
                <w:rFonts w:asciiTheme="minorHAnsi" w:eastAsia="Times New Roman" w:hAnsiTheme="minorHAnsi"/>
                <w:lang w:val="hr-HR"/>
              </w:rPr>
            </w:pPr>
            <w:r w:rsidRPr="00570EDE">
              <w:rPr>
                <w:rFonts w:asciiTheme="minorHAnsi" w:eastAsia="Times New Roman" w:hAnsiTheme="minorHAnsi"/>
                <w:lang w:val="hr-HR"/>
              </w:rPr>
              <w:t>Tamara Perko</w:t>
            </w:r>
            <w:r w:rsidR="00CD342D">
              <w:rPr>
                <w:rFonts w:asciiTheme="minorHAnsi" w:eastAsia="Times New Roman" w:hAnsiTheme="minorHAnsi"/>
                <w:lang w:val="hr-HR"/>
              </w:rPr>
              <w:t xml:space="preserve">, </w:t>
            </w:r>
            <w:proofErr w:type="spellStart"/>
            <w:r w:rsidR="00CD342D">
              <w:rPr>
                <w:rFonts w:asciiTheme="minorHAnsi" w:eastAsia="Times New Roman" w:hAnsiTheme="minorHAnsi"/>
                <w:lang w:val="hr-HR"/>
              </w:rPr>
              <w:t>MSc</w:t>
            </w:r>
            <w:proofErr w:type="spellEnd"/>
          </w:p>
        </w:tc>
        <w:tc>
          <w:tcPr>
            <w:tcW w:w="283" w:type="dxa"/>
          </w:tcPr>
          <w:p w14:paraId="52C5BD42" w14:textId="77777777" w:rsidR="00570EDE" w:rsidRPr="00570EDE" w:rsidRDefault="00570EDE" w:rsidP="00570EDE">
            <w:pPr>
              <w:spacing w:after="0" w:line="240" w:lineRule="auto"/>
              <w:jc w:val="center"/>
              <w:rPr>
                <w:rFonts w:asciiTheme="minorHAnsi" w:eastAsia="Times New Roman" w:hAnsiTheme="minorHAnsi"/>
                <w:lang w:val="hr-HR"/>
              </w:rPr>
            </w:pPr>
          </w:p>
        </w:tc>
        <w:tc>
          <w:tcPr>
            <w:tcW w:w="1701" w:type="dxa"/>
          </w:tcPr>
          <w:p w14:paraId="06FA7FFF" w14:textId="77777777" w:rsidR="00570EDE" w:rsidRPr="00570EDE" w:rsidRDefault="00570EDE" w:rsidP="00570EDE">
            <w:pPr>
              <w:spacing w:after="0" w:line="240" w:lineRule="auto"/>
              <w:jc w:val="center"/>
              <w:rPr>
                <w:rFonts w:asciiTheme="minorHAnsi" w:eastAsia="Times New Roman" w:hAnsiTheme="minorHAnsi"/>
                <w:lang w:val="hr-HR"/>
              </w:rPr>
            </w:pPr>
          </w:p>
        </w:tc>
        <w:tc>
          <w:tcPr>
            <w:tcW w:w="284" w:type="dxa"/>
          </w:tcPr>
          <w:p w14:paraId="530D0625" w14:textId="77777777" w:rsidR="00570EDE" w:rsidRPr="00570EDE" w:rsidRDefault="00570EDE" w:rsidP="00570EDE">
            <w:pPr>
              <w:spacing w:after="0" w:line="240" w:lineRule="auto"/>
              <w:jc w:val="center"/>
              <w:rPr>
                <w:rFonts w:asciiTheme="minorHAnsi" w:eastAsia="Times New Roman" w:hAnsiTheme="minorHAnsi"/>
                <w:lang w:val="hr-HR"/>
              </w:rPr>
            </w:pPr>
          </w:p>
        </w:tc>
        <w:tc>
          <w:tcPr>
            <w:tcW w:w="3543" w:type="dxa"/>
          </w:tcPr>
          <w:p w14:paraId="35B18F3C" w14:textId="0D365D42" w:rsidR="00570EDE" w:rsidRPr="00570EDE" w:rsidRDefault="00591D3C" w:rsidP="00570EDE">
            <w:pPr>
              <w:spacing w:after="0" w:line="240" w:lineRule="auto"/>
              <w:jc w:val="center"/>
              <w:rPr>
                <w:rFonts w:asciiTheme="minorHAnsi" w:eastAsia="Times New Roman" w:hAnsiTheme="minorHAnsi"/>
                <w:lang w:val="hr-HR"/>
              </w:rPr>
            </w:pPr>
            <w:r>
              <w:rPr>
                <w:rFonts w:eastAsia="Times New Roman" w:cs="Arial"/>
              </w:rPr>
              <w:t>Hrvoje Čuvalo</w:t>
            </w:r>
            <w:r>
              <w:rPr>
                <w:rFonts w:asciiTheme="minorHAnsi" w:eastAsia="Times New Roman" w:hAnsiTheme="minorHAnsi"/>
                <w:lang w:val="hr-HR"/>
              </w:rPr>
              <w:t xml:space="preserve">, </w:t>
            </w:r>
            <w:proofErr w:type="spellStart"/>
            <w:r>
              <w:rPr>
                <w:rFonts w:asciiTheme="minorHAnsi" w:eastAsia="Times New Roman" w:hAnsiTheme="minorHAnsi"/>
                <w:lang w:val="hr-HR"/>
              </w:rPr>
              <w:t>MSc</w:t>
            </w:r>
            <w:proofErr w:type="spellEnd"/>
            <w:r w:rsidR="00570EDE" w:rsidRPr="00570EDE">
              <w:rPr>
                <w:rFonts w:asciiTheme="minorHAnsi" w:eastAsia="Times New Roman" w:hAnsiTheme="minorHAnsi"/>
                <w:lang w:val="hr-HR"/>
              </w:rPr>
              <w:t xml:space="preserve"> </w:t>
            </w:r>
          </w:p>
        </w:tc>
      </w:tr>
      <w:tr w:rsidR="00570EDE" w:rsidRPr="00570EDE" w14:paraId="6B46D7D5" w14:textId="77777777" w:rsidTr="00570EDE">
        <w:trPr>
          <w:trHeight w:hRule="exact" w:val="57"/>
          <w:jc w:val="center"/>
        </w:trPr>
        <w:tc>
          <w:tcPr>
            <w:tcW w:w="3828" w:type="dxa"/>
          </w:tcPr>
          <w:p w14:paraId="1FDB0250" w14:textId="77777777" w:rsidR="00570EDE" w:rsidRPr="00570EDE" w:rsidRDefault="00570EDE" w:rsidP="00570EDE">
            <w:pPr>
              <w:spacing w:after="0" w:line="240" w:lineRule="auto"/>
              <w:rPr>
                <w:rFonts w:asciiTheme="minorHAnsi" w:eastAsia="Times New Roman" w:hAnsiTheme="minorHAnsi"/>
                <w:lang w:val="hr-HR"/>
              </w:rPr>
            </w:pPr>
          </w:p>
        </w:tc>
        <w:tc>
          <w:tcPr>
            <w:tcW w:w="283" w:type="dxa"/>
          </w:tcPr>
          <w:p w14:paraId="2FF47122" w14:textId="77777777" w:rsidR="00570EDE" w:rsidRPr="00570EDE" w:rsidRDefault="00570EDE" w:rsidP="00570EDE">
            <w:pPr>
              <w:spacing w:after="0" w:line="240" w:lineRule="auto"/>
              <w:rPr>
                <w:rFonts w:asciiTheme="minorHAnsi" w:eastAsia="Times New Roman" w:hAnsiTheme="minorHAnsi"/>
                <w:lang w:val="hr-HR"/>
              </w:rPr>
            </w:pPr>
          </w:p>
        </w:tc>
        <w:tc>
          <w:tcPr>
            <w:tcW w:w="1701" w:type="dxa"/>
          </w:tcPr>
          <w:p w14:paraId="4FA4F66C" w14:textId="77777777" w:rsidR="00570EDE" w:rsidRPr="00570EDE" w:rsidRDefault="00570EDE" w:rsidP="00570EDE">
            <w:pPr>
              <w:spacing w:after="0" w:line="240" w:lineRule="auto"/>
              <w:rPr>
                <w:rFonts w:asciiTheme="minorHAnsi" w:eastAsia="Times New Roman" w:hAnsiTheme="minorHAnsi"/>
                <w:lang w:val="hr-HR"/>
              </w:rPr>
            </w:pPr>
          </w:p>
        </w:tc>
        <w:tc>
          <w:tcPr>
            <w:tcW w:w="284" w:type="dxa"/>
          </w:tcPr>
          <w:p w14:paraId="068E7B9C" w14:textId="77777777" w:rsidR="00570EDE" w:rsidRPr="00570EDE" w:rsidRDefault="00570EDE" w:rsidP="00570EDE">
            <w:pPr>
              <w:spacing w:after="0" w:line="240" w:lineRule="auto"/>
              <w:rPr>
                <w:rFonts w:asciiTheme="minorHAnsi" w:eastAsia="Times New Roman" w:hAnsiTheme="minorHAnsi"/>
                <w:lang w:val="hr-HR"/>
              </w:rPr>
            </w:pPr>
          </w:p>
        </w:tc>
        <w:tc>
          <w:tcPr>
            <w:tcW w:w="3543" w:type="dxa"/>
          </w:tcPr>
          <w:p w14:paraId="2328B224" w14:textId="77777777" w:rsidR="00570EDE" w:rsidRPr="00570EDE" w:rsidRDefault="00570EDE" w:rsidP="00570EDE">
            <w:pPr>
              <w:spacing w:after="0" w:line="240" w:lineRule="auto"/>
              <w:rPr>
                <w:rFonts w:asciiTheme="minorHAnsi" w:eastAsia="Times New Roman" w:hAnsiTheme="minorHAnsi"/>
                <w:lang w:val="hr-HR"/>
              </w:rPr>
            </w:pPr>
          </w:p>
        </w:tc>
      </w:tr>
      <w:tr w:rsidR="00570EDE" w:rsidRPr="00570EDE" w14:paraId="77DC42B7" w14:textId="77777777" w:rsidTr="00570EDE">
        <w:trPr>
          <w:jc w:val="center"/>
        </w:trPr>
        <w:tc>
          <w:tcPr>
            <w:tcW w:w="3828" w:type="dxa"/>
          </w:tcPr>
          <w:p w14:paraId="17D2EE88" w14:textId="77777777" w:rsidR="00570EDE" w:rsidRPr="00570EDE" w:rsidRDefault="00570EDE" w:rsidP="00570EDE">
            <w:pPr>
              <w:spacing w:after="0" w:line="240" w:lineRule="auto"/>
              <w:jc w:val="center"/>
              <w:rPr>
                <w:rFonts w:asciiTheme="minorHAnsi" w:eastAsia="Times New Roman" w:hAnsiTheme="minorHAnsi"/>
                <w:b/>
              </w:rPr>
            </w:pPr>
            <w:r w:rsidRPr="00570EDE">
              <w:rPr>
                <w:rFonts w:asciiTheme="minorHAnsi" w:eastAsia="Times New Roman" w:hAnsiTheme="minorHAnsi"/>
                <w:b/>
              </w:rPr>
              <w:t>President of the Management Board</w:t>
            </w:r>
          </w:p>
        </w:tc>
        <w:tc>
          <w:tcPr>
            <w:tcW w:w="283" w:type="dxa"/>
          </w:tcPr>
          <w:p w14:paraId="12159D78" w14:textId="77777777" w:rsidR="00570EDE" w:rsidRPr="00570EDE" w:rsidRDefault="00570EDE" w:rsidP="00570EDE">
            <w:pPr>
              <w:spacing w:after="0" w:line="240" w:lineRule="auto"/>
              <w:jc w:val="center"/>
              <w:rPr>
                <w:rFonts w:asciiTheme="minorHAnsi" w:eastAsia="Times New Roman" w:hAnsiTheme="minorHAnsi"/>
                <w:b/>
              </w:rPr>
            </w:pPr>
          </w:p>
        </w:tc>
        <w:tc>
          <w:tcPr>
            <w:tcW w:w="1701" w:type="dxa"/>
          </w:tcPr>
          <w:p w14:paraId="6246B1B3" w14:textId="77777777" w:rsidR="00570EDE" w:rsidRPr="00570EDE" w:rsidRDefault="00570EDE" w:rsidP="00570EDE">
            <w:pPr>
              <w:spacing w:after="0" w:line="240" w:lineRule="auto"/>
              <w:jc w:val="center"/>
              <w:rPr>
                <w:rFonts w:asciiTheme="minorHAnsi" w:eastAsia="Times New Roman" w:hAnsiTheme="minorHAnsi"/>
                <w:b/>
              </w:rPr>
            </w:pPr>
          </w:p>
        </w:tc>
        <w:tc>
          <w:tcPr>
            <w:tcW w:w="284" w:type="dxa"/>
          </w:tcPr>
          <w:p w14:paraId="4D1C0734" w14:textId="77777777" w:rsidR="00570EDE" w:rsidRPr="00570EDE" w:rsidRDefault="00570EDE" w:rsidP="00570EDE">
            <w:pPr>
              <w:spacing w:after="0" w:line="240" w:lineRule="auto"/>
              <w:jc w:val="center"/>
              <w:rPr>
                <w:rFonts w:asciiTheme="minorHAnsi" w:eastAsia="Times New Roman" w:hAnsiTheme="minorHAnsi"/>
                <w:b/>
              </w:rPr>
            </w:pPr>
          </w:p>
        </w:tc>
        <w:tc>
          <w:tcPr>
            <w:tcW w:w="3543" w:type="dxa"/>
          </w:tcPr>
          <w:p w14:paraId="474D344D" w14:textId="77777777" w:rsidR="00570EDE" w:rsidRPr="00570EDE" w:rsidRDefault="00570EDE" w:rsidP="00570EDE">
            <w:pPr>
              <w:spacing w:after="0" w:line="240" w:lineRule="auto"/>
              <w:jc w:val="center"/>
              <w:rPr>
                <w:rFonts w:asciiTheme="minorHAnsi" w:eastAsia="Times New Roman" w:hAnsiTheme="minorHAnsi"/>
                <w:b/>
              </w:rPr>
            </w:pPr>
            <w:r w:rsidRPr="00570EDE">
              <w:rPr>
                <w:rFonts w:asciiTheme="minorHAnsi" w:eastAsia="Times New Roman" w:hAnsiTheme="minorHAnsi"/>
                <w:b/>
              </w:rPr>
              <w:t>Member of the Management Board</w:t>
            </w:r>
          </w:p>
        </w:tc>
      </w:tr>
    </w:tbl>
    <w:p w14:paraId="57F85107" w14:textId="77777777" w:rsidR="00570EDE" w:rsidRPr="00570EDE" w:rsidRDefault="00570EDE" w:rsidP="00570EDE">
      <w:pPr>
        <w:spacing w:after="0" w:line="240" w:lineRule="auto"/>
        <w:jc w:val="both"/>
        <w:rPr>
          <w:rFonts w:asciiTheme="minorHAnsi" w:eastAsia="Times New Roman" w:hAnsiTheme="minorHAnsi" w:cs="Arial"/>
        </w:rPr>
      </w:pPr>
    </w:p>
    <w:p w14:paraId="6C495EC5" w14:textId="77777777" w:rsidR="0022192E" w:rsidRDefault="0022192E" w:rsidP="0022192E">
      <w:pPr>
        <w:spacing w:after="0" w:line="240" w:lineRule="auto"/>
      </w:pPr>
    </w:p>
    <w:p w14:paraId="55C5949D" w14:textId="28683D5E" w:rsidR="0091098F" w:rsidRPr="0034501D" w:rsidRDefault="0022192E" w:rsidP="0022192E">
      <w:pPr>
        <w:spacing w:before="120" w:after="120" w:line="240" w:lineRule="auto"/>
        <w:jc w:val="both"/>
        <w:sectPr w:rsidR="0091098F" w:rsidRPr="0034501D" w:rsidSect="00947CB7">
          <w:headerReference w:type="first" r:id="rId14"/>
          <w:footerReference w:type="first" r:id="rId15"/>
          <w:pgSz w:w="11906" w:h="16838" w:code="9"/>
          <w:pgMar w:top="1216" w:right="1133" w:bottom="1417" w:left="1417" w:header="709" w:footer="709" w:gutter="0"/>
          <w:pgNumType w:start="1"/>
          <w:cols w:space="708"/>
          <w:titlePg/>
          <w:docGrid w:linePitch="360"/>
        </w:sectPr>
      </w:pPr>
      <w:r w:rsidRPr="0034501D">
        <w:rPr>
          <w:sz w:val="24"/>
          <w:szCs w:val="24"/>
        </w:rPr>
        <w:t xml:space="preserve">Zagreb, </w:t>
      </w:r>
      <w:r w:rsidR="00591D3C">
        <w:rPr>
          <w:sz w:val="24"/>
          <w:szCs w:val="24"/>
        </w:rPr>
        <w:t>November</w:t>
      </w:r>
      <w:r w:rsidR="00591D3C" w:rsidRPr="009E2294">
        <w:rPr>
          <w:sz w:val="24"/>
          <w:szCs w:val="24"/>
        </w:rPr>
        <w:t xml:space="preserve"> </w:t>
      </w:r>
      <w:r w:rsidRPr="009E2294">
        <w:rPr>
          <w:sz w:val="24"/>
          <w:szCs w:val="24"/>
        </w:rPr>
        <w:t>201</w:t>
      </w:r>
      <w:r w:rsidR="00570EDE" w:rsidRPr="009E2294">
        <w:rPr>
          <w:sz w:val="24"/>
          <w:szCs w:val="24"/>
        </w:rPr>
        <w:t>7</w:t>
      </w:r>
    </w:p>
    <w:p w14:paraId="17E33E5A" w14:textId="77777777" w:rsidR="001C0126" w:rsidRDefault="001C0126">
      <w:pPr>
        <w:spacing w:after="0" w:line="240" w:lineRule="auto"/>
      </w:pPr>
    </w:p>
    <w:p w14:paraId="33D68036" w14:textId="77777777" w:rsidR="00D97C38" w:rsidRDefault="00D97C38">
      <w:pPr>
        <w:spacing w:after="0" w:line="240" w:lineRule="auto"/>
      </w:pPr>
    </w:p>
    <w:p w14:paraId="47017055" w14:textId="77777777" w:rsidR="00980142" w:rsidRDefault="00980142">
      <w:pPr>
        <w:spacing w:after="0" w:line="240" w:lineRule="auto"/>
      </w:pPr>
    </w:p>
    <w:tbl>
      <w:tblPr>
        <w:tblpPr w:leftFromText="180" w:rightFromText="180" w:vertAnchor="text" w:horzAnchor="margin" w:tblpX="119" w:tblpY="17"/>
        <w:tblW w:w="5000" w:type="pct"/>
        <w:tblLayout w:type="fixed"/>
        <w:tblCellMar>
          <w:left w:w="119" w:type="dxa"/>
          <w:right w:w="119" w:type="dxa"/>
        </w:tblCellMar>
        <w:tblLook w:val="0000" w:firstRow="0" w:lastRow="0" w:firstColumn="0" w:lastColumn="0" w:noHBand="0" w:noVBand="0"/>
      </w:tblPr>
      <w:tblGrid>
        <w:gridCol w:w="3009"/>
        <w:gridCol w:w="820"/>
        <w:gridCol w:w="1416"/>
        <w:gridCol w:w="1418"/>
        <w:gridCol w:w="1278"/>
        <w:gridCol w:w="1415"/>
      </w:tblGrid>
      <w:tr w:rsidR="00AE3813" w:rsidRPr="00736B48" w14:paraId="3D8BFEBA" w14:textId="77777777" w:rsidTr="00AE3813">
        <w:trPr>
          <w:trHeight w:val="291"/>
        </w:trPr>
        <w:tc>
          <w:tcPr>
            <w:tcW w:w="1608" w:type="pct"/>
            <w:vAlign w:val="center"/>
          </w:tcPr>
          <w:p w14:paraId="1D3F491E" w14:textId="77777777" w:rsidR="00AE3813" w:rsidRPr="00736B48" w:rsidRDefault="00AE3813" w:rsidP="00AE3813">
            <w:pPr>
              <w:tabs>
                <w:tab w:val="right" w:pos="1202"/>
              </w:tabs>
              <w:spacing w:after="0" w:line="280" w:lineRule="exact"/>
              <w:jc w:val="right"/>
              <w:outlineLvl w:val="0"/>
              <w:rPr>
                <w:rFonts w:asciiTheme="minorHAnsi" w:eastAsia="Times New Roman" w:hAnsiTheme="minorHAnsi" w:cs="Arial"/>
                <w:b/>
                <w:bCs/>
                <w:lang w:val="hr-HR"/>
              </w:rPr>
            </w:pPr>
          </w:p>
        </w:tc>
        <w:tc>
          <w:tcPr>
            <w:tcW w:w="438" w:type="pct"/>
            <w:vAlign w:val="center"/>
          </w:tcPr>
          <w:p w14:paraId="1FE4CE61" w14:textId="77777777" w:rsidR="00AE3813" w:rsidRPr="00736B48" w:rsidRDefault="00AE3813" w:rsidP="00AE3813">
            <w:pPr>
              <w:spacing w:after="0" w:line="280" w:lineRule="exact"/>
              <w:jc w:val="center"/>
              <w:outlineLvl w:val="0"/>
              <w:rPr>
                <w:rFonts w:asciiTheme="minorHAnsi" w:eastAsia="Times New Roman" w:hAnsiTheme="minorHAnsi" w:cs="Arial"/>
                <w:b/>
                <w:bCs/>
                <w:lang w:val="hr-HR"/>
              </w:rPr>
            </w:pPr>
          </w:p>
        </w:tc>
        <w:tc>
          <w:tcPr>
            <w:tcW w:w="1515" w:type="pct"/>
            <w:gridSpan w:val="2"/>
            <w:vAlign w:val="center"/>
          </w:tcPr>
          <w:p w14:paraId="27CE27D8" w14:textId="77777777" w:rsidR="00AE3813" w:rsidRPr="00736B48" w:rsidRDefault="00AE3813" w:rsidP="00FA65A7">
            <w:pPr>
              <w:spacing w:after="0" w:line="240" w:lineRule="auto"/>
              <w:jc w:val="center"/>
              <w:outlineLvl w:val="0"/>
              <w:rPr>
                <w:rFonts w:eastAsia="Times New Roman" w:cs="Calibri"/>
                <w:b/>
                <w:bCs/>
              </w:rPr>
            </w:pPr>
            <w:r w:rsidRPr="00736B48">
              <w:rPr>
                <w:rFonts w:eastAsia="Times New Roman" w:cs="Calibri"/>
                <w:b/>
                <w:bCs/>
              </w:rPr>
              <w:t>201</w:t>
            </w:r>
            <w:r w:rsidR="00FA65A7">
              <w:rPr>
                <w:rFonts w:eastAsia="Times New Roman" w:cs="Calibri"/>
                <w:b/>
                <w:bCs/>
              </w:rPr>
              <w:t>7</w:t>
            </w:r>
          </w:p>
        </w:tc>
        <w:tc>
          <w:tcPr>
            <w:tcW w:w="1439" w:type="pct"/>
            <w:gridSpan w:val="2"/>
            <w:vAlign w:val="center"/>
          </w:tcPr>
          <w:p w14:paraId="2ADB63AF" w14:textId="77777777" w:rsidR="00AE3813" w:rsidRPr="00736B48" w:rsidRDefault="00AE3813" w:rsidP="00FA65A7">
            <w:pPr>
              <w:spacing w:after="0" w:line="240" w:lineRule="auto"/>
              <w:jc w:val="center"/>
              <w:outlineLvl w:val="0"/>
              <w:rPr>
                <w:rFonts w:eastAsia="Times New Roman" w:cs="Calibri"/>
                <w:b/>
                <w:bCs/>
              </w:rPr>
            </w:pPr>
            <w:r w:rsidRPr="00736B48">
              <w:rPr>
                <w:rFonts w:eastAsia="Times New Roman" w:cs="Calibri"/>
                <w:b/>
                <w:bCs/>
              </w:rPr>
              <w:t>201</w:t>
            </w:r>
            <w:r w:rsidR="00FA65A7">
              <w:rPr>
                <w:rFonts w:eastAsia="Times New Roman" w:cs="Calibri"/>
                <w:b/>
                <w:bCs/>
              </w:rPr>
              <w:t>6</w:t>
            </w:r>
          </w:p>
        </w:tc>
      </w:tr>
      <w:tr w:rsidR="00AE3813" w:rsidRPr="00736B48" w14:paraId="669EA533" w14:textId="77777777" w:rsidTr="00AE3813">
        <w:trPr>
          <w:trHeight w:val="419"/>
        </w:trPr>
        <w:tc>
          <w:tcPr>
            <w:tcW w:w="1608" w:type="pct"/>
            <w:vAlign w:val="center"/>
          </w:tcPr>
          <w:p w14:paraId="3EB7EA5B" w14:textId="77777777" w:rsidR="00AE3813" w:rsidRPr="00736B48" w:rsidRDefault="00AE3813" w:rsidP="00AE3813">
            <w:pPr>
              <w:tabs>
                <w:tab w:val="right" w:pos="1202"/>
              </w:tabs>
              <w:spacing w:after="0" w:line="280" w:lineRule="exact"/>
              <w:jc w:val="right"/>
              <w:outlineLvl w:val="0"/>
              <w:rPr>
                <w:rFonts w:asciiTheme="minorHAnsi" w:eastAsia="Times New Roman" w:hAnsiTheme="minorHAnsi" w:cs="Arial"/>
                <w:b/>
                <w:bCs/>
                <w:lang w:val="hr-HR"/>
              </w:rPr>
            </w:pPr>
          </w:p>
        </w:tc>
        <w:tc>
          <w:tcPr>
            <w:tcW w:w="438" w:type="pct"/>
            <w:vAlign w:val="center"/>
          </w:tcPr>
          <w:p w14:paraId="30A67528" w14:textId="77777777" w:rsidR="00AE3813" w:rsidRPr="00736B48" w:rsidRDefault="00AE3813" w:rsidP="00AE3813">
            <w:pPr>
              <w:spacing w:after="0" w:line="280" w:lineRule="exact"/>
              <w:jc w:val="center"/>
              <w:outlineLvl w:val="0"/>
              <w:rPr>
                <w:rFonts w:asciiTheme="minorHAnsi" w:eastAsia="Times New Roman" w:hAnsiTheme="minorHAnsi" w:cs="Arial"/>
                <w:b/>
                <w:bCs/>
                <w:lang w:val="hr-HR"/>
              </w:rPr>
            </w:pPr>
            <w:r>
              <w:rPr>
                <w:rFonts w:eastAsia="Times New Roman" w:cs="Arial"/>
                <w:b/>
                <w:bCs/>
              </w:rPr>
              <w:t>Notes</w:t>
            </w:r>
          </w:p>
        </w:tc>
        <w:tc>
          <w:tcPr>
            <w:tcW w:w="757" w:type="pct"/>
            <w:vAlign w:val="center"/>
          </w:tcPr>
          <w:p w14:paraId="7CE96009" w14:textId="77777777" w:rsidR="00AE3813" w:rsidRPr="002F0C23" w:rsidRDefault="00AE3813" w:rsidP="00AE3813">
            <w:pPr>
              <w:spacing w:after="0" w:line="301" w:lineRule="exact"/>
              <w:jc w:val="center"/>
              <w:outlineLvl w:val="0"/>
              <w:rPr>
                <w:rFonts w:eastAsia="Times New Roman" w:cs="Calibri"/>
                <w:bCs/>
                <w:szCs w:val="20"/>
              </w:rPr>
            </w:pPr>
            <w:r w:rsidRPr="002F0C23">
              <w:rPr>
                <w:rFonts w:eastAsia="Times New Roman" w:cs="Calibri"/>
                <w:bCs/>
                <w:szCs w:val="20"/>
              </w:rPr>
              <w:t>Current period</w:t>
            </w:r>
          </w:p>
          <w:p w14:paraId="201637AD" w14:textId="21A4BE22" w:rsidR="00AE3813" w:rsidRPr="00736B48" w:rsidRDefault="008D202F" w:rsidP="00A63E7A">
            <w:pPr>
              <w:spacing w:after="0" w:line="240" w:lineRule="auto"/>
              <w:jc w:val="center"/>
              <w:outlineLvl w:val="0"/>
              <w:rPr>
                <w:rFonts w:eastAsia="Times New Roman" w:cs="Calibri"/>
                <w:bCs/>
                <w:noProof/>
              </w:rPr>
            </w:pPr>
            <w:r>
              <w:rPr>
                <w:rFonts w:cs="Calibri"/>
                <w:bCs/>
              </w:rPr>
              <w:t>July</w:t>
            </w:r>
            <w:r w:rsidRPr="002F0C23">
              <w:rPr>
                <w:rFonts w:cs="Calibri"/>
                <w:bCs/>
              </w:rPr>
              <w:t xml:space="preserve"> </w:t>
            </w:r>
            <w:r w:rsidR="00AE3813" w:rsidRPr="002F0C23">
              <w:rPr>
                <w:rFonts w:cs="Calibri"/>
                <w:bCs/>
              </w:rPr>
              <w:t xml:space="preserve">1 – </w:t>
            </w:r>
            <w:r>
              <w:rPr>
                <w:rFonts w:cs="Calibri"/>
                <w:bCs/>
              </w:rPr>
              <w:t>September</w:t>
            </w:r>
            <w:r w:rsidRPr="002F0C23">
              <w:rPr>
                <w:rFonts w:cs="Calibri"/>
                <w:bCs/>
              </w:rPr>
              <w:t xml:space="preserve"> </w:t>
            </w:r>
            <w:r w:rsidR="00AE3813" w:rsidRPr="002F0C23">
              <w:rPr>
                <w:rFonts w:cs="Calibri"/>
                <w:bCs/>
              </w:rPr>
              <w:t>30</w:t>
            </w:r>
          </w:p>
        </w:tc>
        <w:tc>
          <w:tcPr>
            <w:tcW w:w="758" w:type="pct"/>
            <w:vAlign w:val="center"/>
          </w:tcPr>
          <w:p w14:paraId="0F62ABD0" w14:textId="77777777" w:rsidR="00AE3813" w:rsidRPr="002F0C23" w:rsidRDefault="00AE3813" w:rsidP="00AE3813">
            <w:pPr>
              <w:spacing w:after="0" w:line="301" w:lineRule="exact"/>
              <w:jc w:val="center"/>
              <w:outlineLvl w:val="0"/>
              <w:rPr>
                <w:rFonts w:eastAsia="Times New Roman" w:cs="Calibri"/>
                <w:bCs/>
                <w:szCs w:val="20"/>
              </w:rPr>
            </w:pPr>
            <w:r w:rsidRPr="002F0C23">
              <w:rPr>
                <w:rFonts w:eastAsia="Times New Roman" w:cs="Calibri"/>
                <w:bCs/>
                <w:szCs w:val="20"/>
              </w:rPr>
              <w:t>Cumulatively</w:t>
            </w:r>
          </w:p>
          <w:p w14:paraId="5765F45F" w14:textId="481EDE7D" w:rsidR="00AE3813" w:rsidRPr="00736B48" w:rsidRDefault="00AE3813" w:rsidP="00A63E7A">
            <w:pPr>
              <w:spacing w:after="0" w:line="240" w:lineRule="auto"/>
              <w:jc w:val="center"/>
              <w:outlineLvl w:val="0"/>
              <w:rPr>
                <w:rFonts w:eastAsia="Times New Roman" w:cs="Calibri"/>
                <w:bCs/>
                <w:noProof/>
              </w:rPr>
            </w:pPr>
            <w:r w:rsidRPr="002F0C23">
              <w:rPr>
                <w:rFonts w:cs="Calibri"/>
                <w:bCs/>
              </w:rPr>
              <w:t xml:space="preserve">January 1 – </w:t>
            </w:r>
            <w:r w:rsidR="008D202F">
              <w:rPr>
                <w:rFonts w:cs="Calibri"/>
                <w:bCs/>
              </w:rPr>
              <w:t>September</w:t>
            </w:r>
            <w:r w:rsidR="008D202F" w:rsidRPr="002F0C23">
              <w:rPr>
                <w:rFonts w:cs="Calibri"/>
                <w:bCs/>
              </w:rPr>
              <w:t xml:space="preserve"> </w:t>
            </w:r>
            <w:r w:rsidRPr="002F0C23">
              <w:rPr>
                <w:rFonts w:cs="Calibri"/>
                <w:bCs/>
              </w:rPr>
              <w:t>30</w:t>
            </w:r>
          </w:p>
        </w:tc>
        <w:tc>
          <w:tcPr>
            <w:tcW w:w="683" w:type="pct"/>
            <w:vAlign w:val="center"/>
          </w:tcPr>
          <w:p w14:paraId="7D5CC7FC" w14:textId="77777777" w:rsidR="00AE3813" w:rsidRPr="002F0C23" w:rsidRDefault="00AE3813" w:rsidP="00AE3813">
            <w:pPr>
              <w:spacing w:after="0" w:line="301" w:lineRule="exact"/>
              <w:jc w:val="center"/>
              <w:outlineLvl w:val="0"/>
              <w:rPr>
                <w:rFonts w:eastAsia="Times New Roman" w:cs="Calibri"/>
                <w:bCs/>
                <w:szCs w:val="20"/>
              </w:rPr>
            </w:pPr>
            <w:r w:rsidRPr="002F0C23">
              <w:rPr>
                <w:rFonts w:eastAsia="Times New Roman" w:cs="Calibri"/>
                <w:bCs/>
                <w:szCs w:val="20"/>
              </w:rPr>
              <w:t>Current period</w:t>
            </w:r>
          </w:p>
          <w:p w14:paraId="6B7108D4" w14:textId="634A4DD4" w:rsidR="00AE3813" w:rsidRPr="00736B48" w:rsidRDefault="008D202F" w:rsidP="00AE3813">
            <w:pPr>
              <w:spacing w:after="0" w:line="240" w:lineRule="auto"/>
              <w:jc w:val="center"/>
              <w:outlineLvl w:val="0"/>
              <w:rPr>
                <w:rFonts w:eastAsia="Times New Roman" w:cs="Calibri"/>
                <w:bCs/>
                <w:noProof/>
              </w:rPr>
            </w:pPr>
            <w:r w:rsidRPr="008D202F">
              <w:rPr>
                <w:rFonts w:cs="Calibri"/>
                <w:bCs/>
              </w:rPr>
              <w:t>July 1 – September 30</w:t>
            </w:r>
          </w:p>
        </w:tc>
        <w:tc>
          <w:tcPr>
            <w:tcW w:w="756" w:type="pct"/>
            <w:vAlign w:val="center"/>
          </w:tcPr>
          <w:p w14:paraId="6A6C97A3" w14:textId="77777777" w:rsidR="00AE3813" w:rsidRPr="002F0C23" w:rsidRDefault="00AE3813" w:rsidP="00AE3813">
            <w:pPr>
              <w:spacing w:after="0" w:line="301" w:lineRule="exact"/>
              <w:jc w:val="center"/>
              <w:outlineLvl w:val="0"/>
              <w:rPr>
                <w:rFonts w:eastAsia="Times New Roman" w:cs="Calibri"/>
                <w:bCs/>
                <w:szCs w:val="20"/>
              </w:rPr>
            </w:pPr>
            <w:r w:rsidRPr="002F0C23">
              <w:rPr>
                <w:rFonts w:eastAsia="Times New Roman" w:cs="Calibri"/>
                <w:bCs/>
                <w:szCs w:val="20"/>
              </w:rPr>
              <w:t>Cumulatively</w:t>
            </w:r>
          </w:p>
          <w:p w14:paraId="63023456" w14:textId="3498B7DA" w:rsidR="00AE3813" w:rsidRPr="00736B48" w:rsidRDefault="00AE3813" w:rsidP="00A63E7A">
            <w:pPr>
              <w:spacing w:after="0" w:line="240" w:lineRule="auto"/>
              <w:jc w:val="center"/>
              <w:outlineLvl w:val="0"/>
              <w:rPr>
                <w:rFonts w:eastAsia="Times New Roman" w:cs="Calibri"/>
                <w:bCs/>
                <w:noProof/>
              </w:rPr>
            </w:pPr>
            <w:r w:rsidRPr="002F0C23">
              <w:rPr>
                <w:rFonts w:cs="Calibri"/>
                <w:bCs/>
              </w:rPr>
              <w:t xml:space="preserve">January 1 – </w:t>
            </w:r>
            <w:r w:rsidR="008D202F">
              <w:rPr>
                <w:rFonts w:cs="Calibri"/>
                <w:bCs/>
              </w:rPr>
              <w:t>September</w:t>
            </w:r>
            <w:r w:rsidR="008D202F" w:rsidRPr="002F0C23">
              <w:rPr>
                <w:rFonts w:cs="Calibri"/>
                <w:bCs/>
              </w:rPr>
              <w:t xml:space="preserve"> </w:t>
            </w:r>
            <w:r w:rsidRPr="002F0C23">
              <w:rPr>
                <w:rFonts w:cs="Calibri"/>
                <w:bCs/>
              </w:rPr>
              <w:t>30</w:t>
            </w:r>
          </w:p>
        </w:tc>
      </w:tr>
      <w:tr w:rsidR="00AE3813" w:rsidRPr="00736B48" w14:paraId="408705E6" w14:textId="77777777" w:rsidTr="00AE3813">
        <w:trPr>
          <w:trHeight w:hRule="exact" w:val="119"/>
        </w:trPr>
        <w:tc>
          <w:tcPr>
            <w:tcW w:w="1608" w:type="pct"/>
          </w:tcPr>
          <w:p w14:paraId="6F348D2F" w14:textId="77777777" w:rsidR="00AE3813" w:rsidRPr="00736B48" w:rsidRDefault="00AE3813" w:rsidP="00AE3813">
            <w:pPr>
              <w:tabs>
                <w:tab w:val="right" w:pos="1202"/>
              </w:tabs>
              <w:spacing w:after="0" w:line="280" w:lineRule="exact"/>
              <w:outlineLvl w:val="0"/>
              <w:rPr>
                <w:rFonts w:asciiTheme="minorHAnsi" w:eastAsia="Times New Roman" w:hAnsiTheme="minorHAnsi" w:cs="Arial"/>
                <w:lang w:val="hr-HR"/>
              </w:rPr>
            </w:pPr>
          </w:p>
        </w:tc>
        <w:tc>
          <w:tcPr>
            <w:tcW w:w="438" w:type="pct"/>
          </w:tcPr>
          <w:p w14:paraId="4E194759" w14:textId="77777777" w:rsidR="00AE3813" w:rsidRPr="00736B48" w:rsidRDefault="00AE3813" w:rsidP="00AE3813">
            <w:pPr>
              <w:spacing w:after="0" w:line="280" w:lineRule="exact"/>
              <w:jc w:val="right"/>
              <w:outlineLvl w:val="0"/>
              <w:rPr>
                <w:rFonts w:asciiTheme="minorHAnsi" w:eastAsia="Times New Roman" w:hAnsiTheme="minorHAnsi" w:cs="Arial"/>
                <w:b/>
                <w:lang w:val="hr-HR"/>
              </w:rPr>
            </w:pPr>
          </w:p>
        </w:tc>
        <w:tc>
          <w:tcPr>
            <w:tcW w:w="757" w:type="pct"/>
          </w:tcPr>
          <w:p w14:paraId="3AD3042A" w14:textId="77777777" w:rsidR="00AE3813" w:rsidRPr="00736B48" w:rsidRDefault="00AE3813" w:rsidP="00AE3813">
            <w:pPr>
              <w:spacing w:after="0" w:line="280" w:lineRule="exact"/>
              <w:jc w:val="right"/>
              <w:outlineLvl w:val="0"/>
              <w:rPr>
                <w:rFonts w:asciiTheme="minorHAnsi" w:eastAsia="Times New Roman" w:hAnsiTheme="minorHAnsi" w:cs="Arial"/>
                <w:b/>
                <w:lang w:val="hr-HR"/>
              </w:rPr>
            </w:pPr>
          </w:p>
        </w:tc>
        <w:tc>
          <w:tcPr>
            <w:tcW w:w="758" w:type="pct"/>
          </w:tcPr>
          <w:p w14:paraId="4C538923" w14:textId="77777777" w:rsidR="00AE3813" w:rsidRPr="00736B48" w:rsidRDefault="00AE3813" w:rsidP="00AE3813">
            <w:pPr>
              <w:spacing w:after="0" w:line="280" w:lineRule="exact"/>
              <w:jc w:val="right"/>
              <w:outlineLvl w:val="0"/>
              <w:rPr>
                <w:rFonts w:asciiTheme="minorHAnsi" w:eastAsia="Times New Roman" w:hAnsiTheme="minorHAnsi" w:cs="Arial"/>
                <w:b/>
                <w:lang w:val="hr-HR"/>
              </w:rPr>
            </w:pPr>
          </w:p>
        </w:tc>
        <w:tc>
          <w:tcPr>
            <w:tcW w:w="683" w:type="pct"/>
          </w:tcPr>
          <w:p w14:paraId="3BC0E14D" w14:textId="77777777" w:rsidR="00AE3813" w:rsidRPr="00736B48" w:rsidRDefault="00AE3813" w:rsidP="00AE3813">
            <w:pPr>
              <w:spacing w:after="0" w:line="280" w:lineRule="exact"/>
              <w:jc w:val="right"/>
              <w:outlineLvl w:val="0"/>
              <w:rPr>
                <w:rFonts w:asciiTheme="minorHAnsi" w:eastAsia="Times New Roman" w:hAnsiTheme="minorHAnsi" w:cs="Arial"/>
                <w:b/>
                <w:lang w:val="hr-HR"/>
              </w:rPr>
            </w:pPr>
          </w:p>
        </w:tc>
        <w:tc>
          <w:tcPr>
            <w:tcW w:w="756" w:type="pct"/>
          </w:tcPr>
          <w:p w14:paraId="71901BCA" w14:textId="77777777" w:rsidR="00AE3813" w:rsidRPr="00736B48" w:rsidRDefault="00AE3813" w:rsidP="00AE3813">
            <w:pPr>
              <w:spacing w:after="0" w:line="280" w:lineRule="exact"/>
              <w:jc w:val="right"/>
              <w:outlineLvl w:val="0"/>
              <w:rPr>
                <w:rFonts w:asciiTheme="minorHAnsi" w:eastAsia="Times New Roman" w:hAnsiTheme="minorHAnsi" w:cs="Arial"/>
                <w:b/>
                <w:lang w:val="hr-HR"/>
              </w:rPr>
            </w:pPr>
          </w:p>
        </w:tc>
      </w:tr>
      <w:tr w:rsidR="00E552D5" w:rsidRPr="00736B48" w14:paraId="28738317" w14:textId="77777777" w:rsidTr="005444AA">
        <w:trPr>
          <w:trHeight w:val="356"/>
        </w:trPr>
        <w:tc>
          <w:tcPr>
            <w:tcW w:w="1608" w:type="pct"/>
            <w:vAlign w:val="bottom"/>
          </w:tcPr>
          <w:p w14:paraId="16FA2997" w14:textId="77777777" w:rsidR="00E552D5" w:rsidRPr="00736B48" w:rsidRDefault="00E552D5" w:rsidP="00E552D5">
            <w:pPr>
              <w:tabs>
                <w:tab w:val="right" w:pos="1202"/>
              </w:tabs>
              <w:spacing w:after="0" w:line="280" w:lineRule="exact"/>
              <w:outlineLvl w:val="0"/>
              <w:rPr>
                <w:rFonts w:asciiTheme="minorHAnsi" w:eastAsia="Times New Roman" w:hAnsiTheme="minorHAnsi" w:cs="Arial"/>
                <w:bCs/>
                <w:lang w:val="hr-HR"/>
              </w:rPr>
            </w:pPr>
            <w:r w:rsidRPr="00281493">
              <w:rPr>
                <w:rFonts w:eastAsia="Times New Roman" w:cs="Arial"/>
                <w:bCs/>
              </w:rPr>
              <w:t>Interest income</w:t>
            </w:r>
          </w:p>
        </w:tc>
        <w:tc>
          <w:tcPr>
            <w:tcW w:w="438" w:type="pct"/>
            <w:vAlign w:val="center"/>
          </w:tcPr>
          <w:p w14:paraId="161A41F3" w14:textId="77777777" w:rsidR="00E552D5" w:rsidRPr="00736B48" w:rsidRDefault="00E552D5" w:rsidP="00E552D5">
            <w:pPr>
              <w:spacing w:after="0" w:line="280" w:lineRule="exact"/>
              <w:jc w:val="center"/>
              <w:outlineLvl w:val="0"/>
              <w:rPr>
                <w:rFonts w:asciiTheme="minorHAnsi" w:eastAsia="Times New Roman" w:hAnsiTheme="minorHAnsi" w:cs="Arial"/>
                <w:bCs/>
                <w:spacing w:val="-2"/>
                <w:lang w:val="hr-HR"/>
              </w:rPr>
            </w:pPr>
            <w:r w:rsidRPr="00736B48">
              <w:rPr>
                <w:rFonts w:asciiTheme="minorHAnsi" w:eastAsia="Times New Roman" w:hAnsiTheme="minorHAnsi" w:cs="Arial"/>
                <w:bCs/>
                <w:spacing w:val="-2"/>
                <w:lang w:val="hr-HR"/>
              </w:rPr>
              <w:t>4</w:t>
            </w:r>
          </w:p>
        </w:tc>
        <w:tc>
          <w:tcPr>
            <w:tcW w:w="757" w:type="pct"/>
            <w:tcBorders>
              <w:top w:val="nil"/>
              <w:left w:val="nil"/>
              <w:bottom w:val="nil"/>
              <w:right w:val="nil"/>
            </w:tcBorders>
            <w:shd w:val="clear" w:color="auto" w:fill="auto"/>
            <w:vAlign w:val="bottom"/>
          </w:tcPr>
          <w:p w14:paraId="0860D4AF" w14:textId="01961176" w:rsidR="00E552D5" w:rsidRPr="006B318F" w:rsidRDefault="00E552D5" w:rsidP="00E552D5">
            <w:pPr>
              <w:spacing w:after="0" w:line="280" w:lineRule="exact"/>
              <w:jc w:val="right"/>
              <w:outlineLvl w:val="0"/>
              <w:rPr>
                <w:rFonts w:eastAsia="Times New Roman" w:cs="Arial"/>
                <w:bCs/>
                <w:spacing w:val="-2"/>
              </w:rPr>
            </w:pPr>
            <w:r w:rsidRPr="00CE0613">
              <w:rPr>
                <w:rFonts w:eastAsia="Times New Roman" w:cs="Arial"/>
                <w:bCs/>
                <w:spacing w:val="-2"/>
              </w:rPr>
              <w:t>209</w:t>
            </w:r>
            <w:r>
              <w:rPr>
                <w:rFonts w:eastAsia="Times New Roman" w:cs="Arial"/>
                <w:bCs/>
                <w:spacing w:val="-2"/>
              </w:rPr>
              <w:t>,</w:t>
            </w:r>
            <w:r w:rsidRPr="00CE0613">
              <w:rPr>
                <w:rFonts w:eastAsia="Times New Roman" w:cs="Arial"/>
                <w:bCs/>
                <w:spacing w:val="-2"/>
              </w:rPr>
              <w:t>356</w:t>
            </w:r>
          </w:p>
        </w:tc>
        <w:tc>
          <w:tcPr>
            <w:tcW w:w="758" w:type="pct"/>
            <w:tcBorders>
              <w:top w:val="nil"/>
              <w:left w:val="nil"/>
              <w:bottom w:val="nil"/>
              <w:right w:val="nil"/>
            </w:tcBorders>
            <w:shd w:val="clear" w:color="auto" w:fill="auto"/>
            <w:vAlign w:val="bottom"/>
          </w:tcPr>
          <w:p w14:paraId="05CBE30B" w14:textId="7E7F5A32" w:rsidR="00E552D5" w:rsidRPr="006B318F" w:rsidRDefault="00E552D5" w:rsidP="00E552D5">
            <w:pPr>
              <w:spacing w:after="0" w:line="280" w:lineRule="exact"/>
              <w:jc w:val="right"/>
              <w:outlineLvl w:val="0"/>
              <w:rPr>
                <w:rFonts w:eastAsia="Times New Roman" w:cs="Arial"/>
                <w:bCs/>
                <w:spacing w:val="-2"/>
              </w:rPr>
            </w:pPr>
            <w:r w:rsidRPr="00CE0613">
              <w:rPr>
                <w:rFonts w:eastAsia="Times New Roman" w:cs="Arial"/>
                <w:bCs/>
                <w:spacing w:val="-2"/>
              </w:rPr>
              <w:t>661</w:t>
            </w:r>
            <w:r>
              <w:rPr>
                <w:rFonts w:eastAsia="Times New Roman" w:cs="Arial"/>
                <w:bCs/>
                <w:spacing w:val="-2"/>
              </w:rPr>
              <w:t>,</w:t>
            </w:r>
            <w:r w:rsidRPr="00CE0613">
              <w:rPr>
                <w:rFonts w:eastAsia="Times New Roman" w:cs="Arial"/>
                <w:bCs/>
                <w:spacing w:val="-2"/>
              </w:rPr>
              <w:t>197</w:t>
            </w:r>
          </w:p>
        </w:tc>
        <w:tc>
          <w:tcPr>
            <w:tcW w:w="683" w:type="pct"/>
            <w:tcBorders>
              <w:top w:val="nil"/>
              <w:left w:val="nil"/>
              <w:bottom w:val="nil"/>
              <w:right w:val="nil"/>
            </w:tcBorders>
            <w:shd w:val="clear" w:color="auto" w:fill="auto"/>
            <w:vAlign w:val="bottom"/>
          </w:tcPr>
          <w:p w14:paraId="79D1C993" w14:textId="734BE0DA" w:rsidR="00E552D5" w:rsidRPr="00736B48" w:rsidRDefault="00E552D5" w:rsidP="00E552D5">
            <w:pPr>
              <w:spacing w:after="0" w:line="280" w:lineRule="exact"/>
              <w:jc w:val="right"/>
              <w:outlineLvl w:val="0"/>
              <w:rPr>
                <w:rFonts w:asciiTheme="minorHAnsi" w:eastAsia="Times New Roman" w:hAnsiTheme="minorHAnsi" w:cs="Arial"/>
                <w:bCs/>
                <w:spacing w:val="-2"/>
                <w:lang w:val="hr-HR"/>
              </w:rPr>
            </w:pPr>
            <w:r>
              <w:rPr>
                <w:rFonts w:eastAsia="Times New Roman" w:cs="Arial"/>
                <w:bCs/>
                <w:spacing w:val="-2"/>
              </w:rPr>
              <w:t>215,899</w:t>
            </w:r>
          </w:p>
        </w:tc>
        <w:tc>
          <w:tcPr>
            <w:tcW w:w="756" w:type="pct"/>
            <w:tcBorders>
              <w:top w:val="nil"/>
              <w:left w:val="nil"/>
              <w:bottom w:val="nil"/>
              <w:right w:val="nil"/>
            </w:tcBorders>
            <w:shd w:val="clear" w:color="auto" w:fill="auto"/>
            <w:vAlign w:val="bottom"/>
          </w:tcPr>
          <w:p w14:paraId="002F0F88" w14:textId="106AF854" w:rsidR="00E552D5" w:rsidRPr="00736B48" w:rsidRDefault="00E552D5" w:rsidP="00E552D5">
            <w:pPr>
              <w:spacing w:after="0" w:line="280" w:lineRule="exact"/>
              <w:jc w:val="right"/>
              <w:outlineLvl w:val="0"/>
              <w:rPr>
                <w:rFonts w:asciiTheme="minorHAnsi" w:eastAsia="Times New Roman" w:hAnsiTheme="minorHAnsi" w:cs="Arial"/>
                <w:bCs/>
                <w:spacing w:val="-2"/>
                <w:lang w:val="hr-HR"/>
              </w:rPr>
            </w:pPr>
            <w:r>
              <w:rPr>
                <w:rFonts w:eastAsia="Times New Roman" w:cs="Arial"/>
                <w:bCs/>
                <w:spacing w:val="-2"/>
              </w:rPr>
              <w:t>644,925</w:t>
            </w:r>
          </w:p>
        </w:tc>
      </w:tr>
      <w:tr w:rsidR="00E552D5" w:rsidRPr="00736B48" w14:paraId="04C0DB47" w14:textId="77777777" w:rsidTr="005444AA">
        <w:trPr>
          <w:trHeight w:hRule="exact" w:val="284"/>
        </w:trPr>
        <w:tc>
          <w:tcPr>
            <w:tcW w:w="1608" w:type="pct"/>
            <w:vAlign w:val="bottom"/>
          </w:tcPr>
          <w:p w14:paraId="7278C30D" w14:textId="77777777" w:rsidR="00E552D5" w:rsidRPr="00736B48" w:rsidRDefault="00E552D5" w:rsidP="00E552D5">
            <w:pPr>
              <w:tabs>
                <w:tab w:val="right" w:pos="1202"/>
              </w:tabs>
              <w:spacing w:after="0" w:line="280" w:lineRule="exact"/>
              <w:outlineLvl w:val="0"/>
              <w:rPr>
                <w:rFonts w:asciiTheme="minorHAnsi" w:eastAsia="Times New Roman" w:hAnsiTheme="minorHAnsi" w:cs="Arial"/>
                <w:bCs/>
                <w:spacing w:val="-2"/>
                <w:lang w:val="hr-HR"/>
              </w:rPr>
            </w:pPr>
            <w:r w:rsidRPr="00D76846">
              <w:rPr>
                <w:rFonts w:cs="Calibri"/>
                <w:bCs/>
                <w:spacing w:val="-2"/>
              </w:rPr>
              <w:t>Interest expense</w:t>
            </w:r>
          </w:p>
        </w:tc>
        <w:tc>
          <w:tcPr>
            <w:tcW w:w="438" w:type="pct"/>
            <w:vAlign w:val="center"/>
          </w:tcPr>
          <w:p w14:paraId="1DDFACB5" w14:textId="77777777" w:rsidR="00E552D5" w:rsidRPr="00736B48" w:rsidRDefault="00E552D5" w:rsidP="00E552D5">
            <w:pPr>
              <w:spacing w:after="0" w:line="280" w:lineRule="exact"/>
              <w:jc w:val="center"/>
              <w:outlineLvl w:val="0"/>
              <w:rPr>
                <w:rFonts w:asciiTheme="minorHAnsi" w:eastAsia="Times New Roman" w:hAnsiTheme="minorHAnsi" w:cs="Arial"/>
                <w:bCs/>
                <w:spacing w:val="-2"/>
                <w:lang w:val="hr-HR"/>
              </w:rPr>
            </w:pPr>
            <w:r w:rsidRPr="00736B48">
              <w:rPr>
                <w:rFonts w:asciiTheme="minorHAnsi" w:eastAsia="Times New Roman" w:hAnsiTheme="minorHAnsi" w:cs="Arial"/>
                <w:bCs/>
                <w:spacing w:val="-2"/>
                <w:lang w:val="hr-HR"/>
              </w:rPr>
              <w:t>5</w:t>
            </w:r>
          </w:p>
        </w:tc>
        <w:tc>
          <w:tcPr>
            <w:tcW w:w="757" w:type="pct"/>
            <w:tcBorders>
              <w:top w:val="nil"/>
              <w:left w:val="nil"/>
              <w:bottom w:val="nil"/>
              <w:right w:val="nil"/>
            </w:tcBorders>
            <w:shd w:val="clear" w:color="auto" w:fill="auto"/>
            <w:vAlign w:val="bottom"/>
          </w:tcPr>
          <w:p w14:paraId="28F14D49" w14:textId="72C57B2A" w:rsidR="00E552D5" w:rsidRPr="006B318F" w:rsidRDefault="00E552D5" w:rsidP="006B318F">
            <w:pPr>
              <w:spacing w:after="0" w:line="280" w:lineRule="exact"/>
              <w:jc w:val="right"/>
              <w:outlineLvl w:val="0"/>
              <w:rPr>
                <w:rFonts w:eastAsia="Times New Roman" w:cs="Arial"/>
                <w:bCs/>
                <w:spacing w:val="-2"/>
              </w:rPr>
            </w:pPr>
            <w:r w:rsidRPr="006B318F">
              <w:rPr>
                <w:rFonts w:eastAsia="Times New Roman" w:cs="Arial"/>
                <w:bCs/>
                <w:spacing w:val="-2"/>
              </w:rPr>
              <w:t xml:space="preserve"> (86</w:t>
            </w:r>
            <w:r>
              <w:rPr>
                <w:rFonts w:eastAsia="Times New Roman" w:cs="Arial"/>
                <w:bCs/>
                <w:spacing w:val="-2"/>
              </w:rPr>
              <w:t>,</w:t>
            </w:r>
            <w:r w:rsidRPr="006B318F">
              <w:rPr>
                <w:rFonts w:eastAsia="Times New Roman" w:cs="Arial"/>
                <w:bCs/>
                <w:spacing w:val="-2"/>
              </w:rPr>
              <w:t>308)</w:t>
            </w:r>
          </w:p>
        </w:tc>
        <w:tc>
          <w:tcPr>
            <w:tcW w:w="758" w:type="pct"/>
            <w:tcBorders>
              <w:top w:val="nil"/>
              <w:left w:val="nil"/>
              <w:bottom w:val="nil"/>
              <w:right w:val="nil"/>
            </w:tcBorders>
            <w:shd w:val="clear" w:color="auto" w:fill="auto"/>
            <w:vAlign w:val="bottom"/>
          </w:tcPr>
          <w:p w14:paraId="4C2E9F78" w14:textId="1D12F37F" w:rsidR="00E552D5" w:rsidRPr="006B318F" w:rsidRDefault="00E552D5" w:rsidP="006B318F">
            <w:pPr>
              <w:spacing w:after="0" w:line="280" w:lineRule="exact"/>
              <w:jc w:val="right"/>
              <w:outlineLvl w:val="0"/>
              <w:rPr>
                <w:rFonts w:eastAsia="Times New Roman" w:cs="Arial"/>
                <w:bCs/>
                <w:spacing w:val="-2"/>
              </w:rPr>
            </w:pPr>
            <w:r w:rsidRPr="006B318F">
              <w:rPr>
                <w:rFonts w:eastAsia="Times New Roman" w:cs="Arial"/>
                <w:bCs/>
                <w:spacing w:val="-2"/>
              </w:rPr>
              <w:t xml:space="preserve"> (301</w:t>
            </w:r>
            <w:r>
              <w:rPr>
                <w:rFonts w:eastAsia="Times New Roman" w:cs="Arial"/>
                <w:bCs/>
                <w:spacing w:val="-2"/>
              </w:rPr>
              <w:t>,</w:t>
            </w:r>
            <w:r w:rsidRPr="006B318F">
              <w:rPr>
                <w:rFonts w:eastAsia="Times New Roman" w:cs="Arial"/>
                <w:bCs/>
                <w:spacing w:val="-2"/>
              </w:rPr>
              <w:t>461)</w:t>
            </w:r>
          </w:p>
        </w:tc>
        <w:tc>
          <w:tcPr>
            <w:tcW w:w="683" w:type="pct"/>
            <w:tcBorders>
              <w:top w:val="nil"/>
              <w:left w:val="nil"/>
              <w:bottom w:val="nil"/>
              <w:right w:val="nil"/>
            </w:tcBorders>
            <w:shd w:val="clear" w:color="auto" w:fill="auto"/>
            <w:vAlign w:val="bottom"/>
          </w:tcPr>
          <w:p w14:paraId="33A8900B" w14:textId="5C4E00FA" w:rsidR="00E552D5" w:rsidRPr="00736B48" w:rsidRDefault="00E552D5" w:rsidP="00E552D5">
            <w:pPr>
              <w:spacing w:after="0" w:line="240" w:lineRule="auto"/>
              <w:jc w:val="right"/>
              <w:outlineLvl w:val="0"/>
              <w:rPr>
                <w:rFonts w:ascii="Arial" w:eastAsia="Times New Roman" w:hAnsi="Arial" w:cs="Arial"/>
                <w:bCs/>
                <w:spacing w:val="-2"/>
                <w:sz w:val="19"/>
                <w:szCs w:val="20"/>
              </w:rPr>
            </w:pPr>
            <w:r>
              <w:rPr>
                <w:rFonts w:asciiTheme="minorHAnsi" w:hAnsiTheme="minorHAnsi" w:cs="Arial"/>
                <w:bCs/>
                <w:spacing w:val="-2"/>
              </w:rPr>
              <w:t>(112,639)</w:t>
            </w:r>
          </w:p>
        </w:tc>
        <w:tc>
          <w:tcPr>
            <w:tcW w:w="756" w:type="pct"/>
            <w:tcBorders>
              <w:top w:val="nil"/>
              <w:left w:val="nil"/>
              <w:bottom w:val="nil"/>
              <w:right w:val="nil"/>
            </w:tcBorders>
            <w:shd w:val="clear" w:color="auto" w:fill="auto"/>
            <w:vAlign w:val="bottom"/>
          </w:tcPr>
          <w:p w14:paraId="64AABA7B" w14:textId="7656B59F" w:rsidR="00E552D5" w:rsidRPr="00736B48" w:rsidRDefault="00E552D5" w:rsidP="00E552D5">
            <w:pPr>
              <w:spacing w:after="0" w:line="240" w:lineRule="auto"/>
              <w:jc w:val="right"/>
              <w:outlineLvl w:val="0"/>
              <w:rPr>
                <w:rFonts w:ascii="Arial" w:eastAsia="Times New Roman" w:hAnsi="Arial" w:cs="Arial"/>
                <w:bCs/>
                <w:spacing w:val="-2"/>
                <w:sz w:val="19"/>
                <w:szCs w:val="20"/>
              </w:rPr>
            </w:pPr>
            <w:r>
              <w:rPr>
                <w:rFonts w:asciiTheme="minorHAnsi" w:hAnsiTheme="minorHAnsi" w:cs="Arial"/>
                <w:bCs/>
                <w:spacing w:val="-2"/>
              </w:rPr>
              <w:t>(340,875)</w:t>
            </w:r>
          </w:p>
        </w:tc>
      </w:tr>
      <w:tr w:rsidR="00E552D5" w:rsidRPr="00736B48" w14:paraId="6F71ECDE" w14:textId="77777777" w:rsidTr="005444AA">
        <w:trPr>
          <w:trHeight w:hRule="exact" w:val="101"/>
        </w:trPr>
        <w:tc>
          <w:tcPr>
            <w:tcW w:w="1608" w:type="pct"/>
            <w:vAlign w:val="bottom"/>
          </w:tcPr>
          <w:p w14:paraId="75A8D70E" w14:textId="77777777" w:rsidR="00E552D5" w:rsidRPr="00736B48" w:rsidRDefault="00E552D5" w:rsidP="00E552D5">
            <w:pPr>
              <w:keepNext/>
              <w:keepLines/>
              <w:tabs>
                <w:tab w:val="decimal" w:pos="1202"/>
              </w:tabs>
              <w:spacing w:after="0" w:line="280" w:lineRule="exact"/>
              <w:rPr>
                <w:rFonts w:asciiTheme="minorHAnsi" w:eastAsia="Times New Roman" w:hAnsiTheme="minorHAnsi" w:cs="Arial"/>
                <w:b/>
                <w:position w:val="4"/>
                <w:lang w:val="hr-HR"/>
              </w:rPr>
            </w:pPr>
          </w:p>
        </w:tc>
        <w:tc>
          <w:tcPr>
            <w:tcW w:w="438" w:type="pct"/>
            <w:vAlign w:val="center"/>
          </w:tcPr>
          <w:p w14:paraId="694F30FD" w14:textId="77777777" w:rsidR="00E552D5" w:rsidRPr="00736B48" w:rsidRDefault="00E552D5" w:rsidP="00E552D5">
            <w:pPr>
              <w:keepNext/>
              <w:keepLines/>
              <w:spacing w:after="0" w:line="280" w:lineRule="exact"/>
              <w:jc w:val="center"/>
              <w:rPr>
                <w:rFonts w:asciiTheme="minorHAnsi" w:eastAsia="Times New Roman" w:hAnsiTheme="minorHAnsi" w:cs="Arial"/>
                <w:b/>
                <w:spacing w:val="-2"/>
                <w:position w:val="4"/>
                <w:lang w:val="hr-HR"/>
              </w:rPr>
            </w:pPr>
          </w:p>
        </w:tc>
        <w:tc>
          <w:tcPr>
            <w:tcW w:w="757" w:type="pct"/>
            <w:tcBorders>
              <w:bottom w:val="single" w:sz="4" w:space="0" w:color="auto"/>
            </w:tcBorders>
            <w:vAlign w:val="bottom"/>
          </w:tcPr>
          <w:p w14:paraId="1E175253" w14:textId="77777777" w:rsidR="00E552D5" w:rsidRPr="006B318F" w:rsidRDefault="00E552D5" w:rsidP="006B318F">
            <w:pPr>
              <w:spacing w:after="0" w:line="280" w:lineRule="exact"/>
              <w:jc w:val="right"/>
              <w:outlineLvl w:val="0"/>
              <w:rPr>
                <w:rFonts w:eastAsia="Times New Roman" w:cs="Arial"/>
                <w:bCs/>
                <w:spacing w:val="-2"/>
              </w:rPr>
            </w:pPr>
          </w:p>
        </w:tc>
        <w:tc>
          <w:tcPr>
            <w:tcW w:w="758" w:type="pct"/>
            <w:tcBorders>
              <w:bottom w:val="single" w:sz="4" w:space="0" w:color="auto"/>
            </w:tcBorders>
            <w:vAlign w:val="bottom"/>
          </w:tcPr>
          <w:p w14:paraId="7FBDE9A7" w14:textId="77777777" w:rsidR="00E552D5" w:rsidRPr="006B318F" w:rsidRDefault="00E552D5" w:rsidP="006B318F">
            <w:pPr>
              <w:spacing w:after="0" w:line="280" w:lineRule="exact"/>
              <w:jc w:val="right"/>
              <w:outlineLvl w:val="0"/>
              <w:rPr>
                <w:rFonts w:eastAsia="Times New Roman" w:cs="Arial"/>
                <w:bCs/>
                <w:spacing w:val="-2"/>
              </w:rPr>
            </w:pPr>
          </w:p>
        </w:tc>
        <w:tc>
          <w:tcPr>
            <w:tcW w:w="683" w:type="pct"/>
            <w:tcBorders>
              <w:bottom w:val="single" w:sz="4" w:space="0" w:color="auto"/>
            </w:tcBorders>
            <w:vAlign w:val="bottom"/>
          </w:tcPr>
          <w:p w14:paraId="33B9B204" w14:textId="77777777" w:rsidR="00E552D5" w:rsidRPr="00736B48" w:rsidRDefault="00E552D5" w:rsidP="00E552D5">
            <w:pPr>
              <w:keepNext/>
              <w:keepLines/>
              <w:spacing w:after="0" w:line="280" w:lineRule="exact"/>
              <w:jc w:val="right"/>
              <w:rPr>
                <w:rFonts w:asciiTheme="minorHAnsi" w:eastAsia="Times New Roman" w:hAnsiTheme="minorHAnsi" w:cs="Arial"/>
                <w:b/>
                <w:spacing w:val="-2"/>
                <w:position w:val="4"/>
                <w:lang w:val="hr-HR"/>
              </w:rPr>
            </w:pPr>
          </w:p>
        </w:tc>
        <w:tc>
          <w:tcPr>
            <w:tcW w:w="756" w:type="pct"/>
            <w:tcBorders>
              <w:bottom w:val="single" w:sz="4" w:space="0" w:color="auto"/>
            </w:tcBorders>
            <w:vAlign w:val="bottom"/>
          </w:tcPr>
          <w:p w14:paraId="75EF1127" w14:textId="77777777" w:rsidR="00E552D5" w:rsidRPr="00736B48" w:rsidRDefault="00E552D5" w:rsidP="00E552D5">
            <w:pPr>
              <w:keepNext/>
              <w:keepLines/>
              <w:spacing w:after="0" w:line="280" w:lineRule="exact"/>
              <w:jc w:val="right"/>
              <w:rPr>
                <w:rFonts w:asciiTheme="minorHAnsi" w:eastAsia="Times New Roman" w:hAnsiTheme="minorHAnsi" w:cs="Arial"/>
                <w:b/>
                <w:spacing w:val="-2"/>
                <w:position w:val="4"/>
                <w:lang w:val="hr-HR"/>
              </w:rPr>
            </w:pPr>
          </w:p>
        </w:tc>
      </w:tr>
      <w:tr w:rsidR="00E552D5" w:rsidRPr="00736B48" w14:paraId="7056A373" w14:textId="77777777" w:rsidTr="005444AA">
        <w:trPr>
          <w:trHeight w:val="323"/>
        </w:trPr>
        <w:tc>
          <w:tcPr>
            <w:tcW w:w="1608" w:type="pct"/>
            <w:vAlign w:val="bottom"/>
          </w:tcPr>
          <w:p w14:paraId="0098E97A" w14:textId="77777777" w:rsidR="00E552D5" w:rsidRPr="00736B48" w:rsidRDefault="00E552D5" w:rsidP="00E552D5">
            <w:pPr>
              <w:tabs>
                <w:tab w:val="right" w:pos="1202"/>
              </w:tabs>
              <w:spacing w:after="0" w:line="280" w:lineRule="exact"/>
              <w:outlineLvl w:val="0"/>
              <w:rPr>
                <w:rFonts w:asciiTheme="minorHAnsi" w:eastAsia="Times New Roman" w:hAnsiTheme="minorHAnsi" w:cs="Arial"/>
                <w:b/>
                <w:bCs/>
                <w:vertAlign w:val="superscript"/>
                <w:lang w:val="hr-HR"/>
              </w:rPr>
            </w:pPr>
            <w:r w:rsidRPr="00D76846">
              <w:rPr>
                <w:rFonts w:cs="Calibri"/>
                <w:b/>
                <w:bCs/>
              </w:rPr>
              <w:t>Net interest income</w:t>
            </w:r>
          </w:p>
        </w:tc>
        <w:tc>
          <w:tcPr>
            <w:tcW w:w="438" w:type="pct"/>
            <w:vAlign w:val="center"/>
          </w:tcPr>
          <w:p w14:paraId="0541A54C" w14:textId="77777777" w:rsidR="00E552D5" w:rsidRPr="00736B48" w:rsidRDefault="00E552D5" w:rsidP="00E552D5">
            <w:pPr>
              <w:spacing w:after="0" w:line="280" w:lineRule="exact"/>
              <w:jc w:val="center"/>
              <w:rPr>
                <w:rFonts w:asciiTheme="minorHAnsi" w:eastAsia="Times New Roman" w:hAnsiTheme="minorHAnsi" w:cs="Arial"/>
                <w:b/>
                <w:bCs/>
                <w:lang w:val="hr-HR"/>
              </w:rPr>
            </w:pPr>
          </w:p>
        </w:tc>
        <w:tc>
          <w:tcPr>
            <w:tcW w:w="757" w:type="pct"/>
            <w:tcBorders>
              <w:top w:val="single" w:sz="4" w:space="0" w:color="auto"/>
              <w:left w:val="nil"/>
              <w:bottom w:val="single" w:sz="8" w:space="0" w:color="auto"/>
              <w:right w:val="nil"/>
            </w:tcBorders>
            <w:shd w:val="clear" w:color="auto" w:fill="auto"/>
            <w:vAlign w:val="bottom"/>
          </w:tcPr>
          <w:p w14:paraId="426EFC06" w14:textId="77828048" w:rsidR="00E552D5" w:rsidRPr="006B318F" w:rsidRDefault="00E552D5" w:rsidP="006B318F">
            <w:pPr>
              <w:spacing w:after="0" w:line="280" w:lineRule="exact"/>
              <w:jc w:val="right"/>
              <w:outlineLvl w:val="0"/>
              <w:rPr>
                <w:rFonts w:eastAsia="Times New Roman" w:cs="Arial"/>
                <w:b/>
                <w:bCs/>
                <w:spacing w:val="-2"/>
              </w:rPr>
            </w:pPr>
            <w:r w:rsidRPr="006B318F">
              <w:rPr>
                <w:rFonts w:eastAsia="Times New Roman" w:cs="Arial"/>
                <w:b/>
                <w:bCs/>
                <w:spacing w:val="-2"/>
              </w:rPr>
              <w:t>123,048</w:t>
            </w:r>
          </w:p>
        </w:tc>
        <w:tc>
          <w:tcPr>
            <w:tcW w:w="758" w:type="pct"/>
            <w:tcBorders>
              <w:top w:val="single" w:sz="4" w:space="0" w:color="auto"/>
              <w:left w:val="nil"/>
              <w:bottom w:val="single" w:sz="8" w:space="0" w:color="auto"/>
              <w:right w:val="nil"/>
            </w:tcBorders>
            <w:shd w:val="clear" w:color="auto" w:fill="auto"/>
            <w:vAlign w:val="bottom"/>
          </w:tcPr>
          <w:p w14:paraId="36C745FC" w14:textId="64803D2B" w:rsidR="00E552D5" w:rsidRPr="006B318F" w:rsidRDefault="00E552D5" w:rsidP="006B318F">
            <w:pPr>
              <w:spacing w:after="0" w:line="280" w:lineRule="exact"/>
              <w:jc w:val="right"/>
              <w:outlineLvl w:val="0"/>
              <w:rPr>
                <w:rFonts w:eastAsia="Times New Roman" w:cs="Arial"/>
                <w:b/>
                <w:bCs/>
                <w:spacing w:val="-2"/>
              </w:rPr>
            </w:pPr>
            <w:r w:rsidRPr="006B318F">
              <w:rPr>
                <w:rFonts w:eastAsia="Times New Roman" w:cs="Arial"/>
                <w:b/>
                <w:bCs/>
                <w:spacing w:val="-2"/>
              </w:rPr>
              <w:t>359,736</w:t>
            </w:r>
          </w:p>
        </w:tc>
        <w:tc>
          <w:tcPr>
            <w:tcW w:w="683" w:type="pct"/>
            <w:tcBorders>
              <w:top w:val="single" w:sz="4" w:space="0" w:color="auto"/>
              <w:left w:val="nil"/>
              <w:bottom w:val="single" w:sz="8" w:space="0" w:color="auto"/>
              <w:right w:val="nil"/>
            </w:tcBorders>
            <w:shd w:val="clear" w:color="auto" w:fill="auto"/>
            <w:vAlign w:val="bottom"/>
          </w:tcPr>
          <w:p w14:paraId="15D499EF" w14:textId="4A69D59A" w:rsidR="00E552D5" w:rsidRPr="00736B48" w:rsidRDefault="00E552D5" w:rsidP="00E552D5">
            <w:pPr>
              <w:spacing w:after="0" w:line="280" w:lineRule="exact"/>
              <w:jc w:val="right"/>
              <w:rPr>
                <w:rFonts w:asciiTheme="minorHAnsi" w:eastAsia="Times New Roman" w:hAnsiTheme="minorHAnsi" w:cs="Arial"/>
                <w:b/>
                <w:bCs/>
                <w:lang w:val="hr-HR"/>
              </w:rPr>
            </w:pPr>
            <w:r>
              <w:rPr>
                <w:rFonts w:eastAsia="Times New Roman" w:cs="Arial"/>
                <w:b/>
                <w:bCs/>
              </w:rPr>
              <w:t>103,260</w:t>
            </w:r>
          </w:p>
        </w:tc>
        <w:tc>
          <w:tcPr>
            <w:tcW w:w="756" w:type="pct"/>
            <w:tcBorders>
              <w:top w:val="single" w:sz="4" w:space="0" w:color="auto"/>
              <w:left w:val="nil"/>
              <w:bottom w:val="single" w:sz="8" w:space="0" w:color="auto"/>
              <w:right w:val="nil"/>
            </w:tcBorders>
            <w:shd w:val="clear" w:color="auto" w:fill="auto"/>
            <w:vAlign w:val="bottom"/>
          </w:tcPr>
          <w:p w14:paraId="182220F2" w14:textId="42F99CD8" w:rsidR="00E552D5" w:rsidRPr="00736B48" w:rsidRDefault="00E552D5" w:rsidP="00E552D5">
            <w:pPr>
              <w:spacing w:after="0" w:line="280" w:lineRule="exact"/>
              <w:jc w:val="right"/>
              <w:rPr>
                <w:rFonts w:asciiTheme="minorHAnsi" w:eastAsia="Times New Roman" w:hAnsiTheme="minorHAnsi" w:cs="Arial"/>
                <w:b/>
                <w:bCs/>
                <w:lang w:val="hr-HR"/>
              </w:rPr>
            </w:pPr>
            <w:r>
              <w:rPr>
                <w:rFonts w:eastAsia="Times New Roman" w:cs="Arial"/>
                <w:b/>
                <w:bCs/>
              </w:rPr>
              <w:t>304,050</w:t>
            </w:r>
          </w:p>
        </w:tc>
      </w:tr>
      <w:tr w:rsidR="00E552D5" w:rsidRPr="00736B48" w14:paraId="7D047822" w14:textId="77777777" w:rsidTr="005444AA">
        <w:trPr>
          <w:trHeight w:hRule="exact" w:val="119"/>
        </w:trPr>
        <w:tc>
          <w:tcPr>
            <w:tcW w:w="1608" w:type="pct"/>
            <w:vAlign w:val="bottom"/>
          </w:tcPr>
          <w:p w14:paraId="46C9742E" w14:textId="77777777" w:rsidR="00E552D5" w:rsidRPr="00736B48" w:rsidRDefault="00E552D5" w:rsidP="00E552D5">
            <w:pPr>
              <w:keepNext/>
              <w:keepLines/>
              <w:tabs>
                <w:tab w:val="decimal" w:pos="1202"/>
              </w:tabs>
              <w:spacing w:after="0" w:line="280" w:lineRule="exact"/>
              <w:rPr>
                <w:rFonts w:asciiTheme="minorHAnsi" w:eastAsia="Times New Roman" w:hAnsiTheme="minorHAnsi" w:cs="Arial"/>
                <w:b/>
                <w:position w:val="4"/>
                <w:u w:val="thick"/>
                <w:lang w:val="hr-HR"/>
              </w:rPr>
            </w:pPr>
          </w:p>
        </w:tc>
        <w:tc>
          <w:tcPr>
            <w:tcW w:w="438" w:type="pct"/>
            <w:vAlign w:val="center"/>
          </w:tcPr>
          <w:p w14:paraId="397AD6DD" w14:textId="77777777" w:rsidR="00E552D5" w:rsidRPr="00736B48" w:rsidRDefault="00E552D5" w:rsidP="00E552D5">
            <w:pPr>
              <w:keepNext/>
              <w:keepLines/>
              <w:spacing w:after="0" w:line="280" w:lineRule="exact"/>
              <w:jc w:val="center"/>
              <w:rPr>
                <w:rFonts w:asciiTheme="minorHAnsi" w:eastAsia="Times New Roman" w:hAnsiTheme="minorHAnsi" w:cs="Arial"/>
                <w:b/>
                <w:position w:val="4"/>
                <w:u w:val="thick"/>
                <w:lang w:val="hr-HR"/>
              </w:rPr>
            </w:pPr>
          </w:p>
        </w:tc>
        <w:tc>
          <w:tcPr>
            <w:tcW w:w="757" w:type="pct"/>
            <w:tcBorders>
              <w:top w:val="single" w:sz="12" w:space="0" w:color="auto"/>
            </w:tcBorders>
            <w:vAlign w:val="bottom"/>
          </w:tcPr>
          <w:p w14:paraId="3891A112" w14:textId="77777777" w:rsidR="00E552D5" w:rsidRPr="006B318F" w:rsidRDefault="00E552D5" w:rsidP="006B318F">
            <w:pPr>
              <w:spacing w:after="0" w:line="280" w:lineRule="exact"/>
              <w:jc w:val="right"/>
              <w:outlineLvl w:val="0"/>
              <w:rPr>
                <w:rFonts w:eastAsia="Times New Roman" w:cs="Arial"/>
                <w:bCs/>
                <w:spacing w:val="-2"/>
              </w:rPr>
            </w:pPr>
          </w:p>
        </w:tc>
        <w:tc>
          <w:tcPr>
            <w:tcW w:w="758" w:type="pct"/>
            <w:tcBorders>
              <w:top w:val="single" w:sz="12" w:space="0" w:color="auto"/>
            </w:tcBorders>
            <w:vAlign w:val="bottom"/>
          </w:tcPr>
          <w:p w14:paraId="45DCFFA3" w14:textId="77777777" w:rsidR="00E552D5" w:rsidRPr="006B318F" w:rsidRDefault="00E552D5" w:rsidP="006B318F">
            <w:pPr>
              <w:spacing w:after="0" w:line="280" w:lineRule="exact"/>
              <w:jc w:val="right"/>
              <w:outlineLvl w:val="0"/>
              <w:rPr>
                <w:rFonts w:eastAsia="Times New Roman" w:cs="Arial"/>
                <w:bCs/>
                <w:spacing w:val="-2"/>
              </w:rPr>
            </w:pPr>
          </w:p>
        </w:tc>
        <w:tc>
          <w:tcPr>
            <w:tcW w:w="683" w:type="pct"/>
            <w:tcBorders>
              <w:top w:val="single" w:sz="12" w:space="0" w:color="auto"/>
            </w:tcBorders>
            <w:vAlign w:val="bottom"/>
          </w:tcPr>
          <w:p w14:paraId="4A47F0B9" w14:textId="77777777" w:rsidR="00E552D5" w:rsidRPr="00736B48" w:rsidRDefault="00E552D5" w:rsidP="00E552D5">
            <w:pPr>
              <w:spacing w:after="0" w:line="280" w:lineRule="exact"/>
              <w:jc w:val="right"/>
              <w:rPr>
                <w:rFonts w:asciiTheme="minorHAnsi" w:eastAsia="Times New Roman" w:hAnsiTheme="minorHAnsi" w:cs="Arial"/>
                <w:b/>
                <w:bCs/>
                <w:lang w:val="hr-HR"/>
              </w:rPr>
            </w:pPr>
          </w:p>
        </w:tc>
        <w:tc>
          <w:tcPr>
            <w:tcW w:w="756" w:type="pct"/>
            <w:tcBorders>
              <w:top w:val="single" w:sz="12" w:space="0" w:color="auto"/>
            </w:tcBorders>
            <w:vAlign w:val="bottom"/>
          </w:tcPr>
          <w:p w14:paraId="44EAC13F" w14:textId="77777777" w:rsidR="00E552D5" w:rsidRPr="00736B48" w:rsidRDefault="00E552D5" w:rsidP="00E552D5">
            <w:pPr>
              <w:spacing w:after="0" w:line="280" w:lineRule="exact"/>
              <w:jc w:val="right"/>
              <w:rPr>
                <w:rFonts w:asciiTheme="minorHAnsi" w:eastAsia="Times New Roman" w:hAnsiTheme="minorHAnsi" w:cs="Arial"/>
                <w:b/>
                <w:bCs/>
                <w:lang w:val="hr-HR"/>
              </w:rPr>
            </w:pPr>
          </w:p>
        </w:tc>
      </w:tr>
      <w:tr w:rsidR="00E552D5" w:rsidRPr="00736B48" w14:paraId="1D1E46BB" w14:textId="77777777" w:rsidTr="005444AA">
        <w:trPr>
          <w:trHeight w:val="316"/>
        </w:trPr>
        <w:tc>
          <w:tcPr>
            <w:tcW w:w="1608" w:type="pct"/>
            <w:vAlign w:val="bottom"/>
          </w:tcPr>
          <w:p w14:paraId="2F819FEC" w14:textId="77777777" w:rsidR="00E552D5" w:rsidRPr="00736B48" w:rsidRDefault="00E552D5" w:rsidP="00E552D5">
            <w:pPr>
              <w:tabs>
                <w:tab w:val="right" w:pos="1202"/>
              </w:tabs>
              <w:spacing w:after="0" w:line="280" w:lineRule="exact"/>
              <w:outlineLvl w:val="0"/>
              <w:rPr>
                <w:rFonts w:asciiTheme="minorHAnsi" w:eastAsia="Times New Roman" w:hAnsiTheme="minorHAnsi" w:cs="Arial"/>
                <w:bCs/>
                <w:spacing w:val="-2"/>
                <w:lang w:val="hr-HR"/>
              </w:rPr>
            </w:pPr>
          </w:p>
        </w:tc>
        <w:tc>
          <w:tcPr>
            <w:tcW w:w="438" w:type="pct"/>
            <w:vAlign w:val="center"/>
          </w:tcPr>
          <w:p w14:paraId="1AE0E60C" w14:textId="77777777" w:rsidR="00E552D5" w:rsidRPr="00736B48" w:rsidRDefault="00E552D5" w:rsidP="00E552D5">
            <w:pPr>
              <w:spacing w:after="0" w:line="280" w:lineRule="exact"/>
              <w:jc w:val="center"/>
              <w:outlineLvl w:val="0"/>
              <w:rPr>
                <w:rFonts w:asciiTheme="minorHAnsi" w:eastAsia="Times New Roman" w:hAnsiTheme="minorHAnsi" w:cs="Arial"/>
                <w:bCs/>
                <w:spacing w:val="-2"/>
                <w:lang w:val="hr-HR"/>
              </w:rPr>
            </w:pPr>
          </w:p>
        </w:tc>
        <w:tc>
          <w:tcPr>
            <w:tcW w:w="757" w:type="pct"/>
            <w:vAlign w:val="bottom"/>
          </w:tcPr>
          <w:p w14:paraId="40E60E82" w14:textId="77777777" w:rsidR="00E552D5" w:rsidRPr="006B318F" w:rsidRDefault="00E552D5" w:rsidP="006B318F">
            <w:pPr>
              <w:spacing w:after="0" w:line="280" w:lineRule="exact"/>
              <w:jc w:val="right"/>
              <w:outlineLvl w:val="0"/>
              <w:rPr>
                <w:rFonts w:eastAsia="Times New Roman" w:cs="Arial"/>
                <w:bCs/>
                <w:spacing w:val="-2"/>
              </w:rPr>
            </w:pPr>
          </w:p>
        </w:tc>
        <w:tc>
          <w:tcPr>
            <w:tcW w:w="758" w:type="pct"/>
            <w:vAlign w:val="bottom"/>
          </w:tcPr>
          <w:p w14:paraId="54C77B40" w14:textId="77777777" w:rsidR="00E552D5" w:rsidRPr="006B318F" w:rsidRDefault="00E552D5" w:rsidP="006B318F">
            <w:pPr>
              <w:spacing w:after="0" w:line="280" w:lineRule="exact"/>
              <w:jc w:val="right"/>
              <w:outlineLvl w:val="0"/>
              <w:rPr>
                <w:rFonts w:eastAsia="Times New Roman" w:cs="Arial"/>
                <w:bCs/>
                <w:spacing w:val="-2"/>
              </w:rPr>
            </w:pPr>
          </w:p>
        </w:tc>
        <w:tc>
          <w:tcPr>
            <w:tcW w:w="683" w:type="pct"/>
            <w:vAlign w:val="bottom"/>
          </w:tcPr>
          <w:p w14:paraId="03D020EB" w14:textId="77777777" w:rsidR="00E552D5" w:rsidRPr="00736B48" w:rsidRDefault="00E552D5" w:rsidP="00E552D5">
            <w:pPr>
              <w:spacing w:after="0" w:line="280" w:lineRule="exact"/>
              <w:jc w:val="right"/>
              <w:rPr>
                <w:rFonts w:asciiTheme="minorHAnsi" w:eastAsia="Times New Roman" w:hAnsiTheme="minorHAnsi" w:cs="Arial"/>
                <w:b/>
                <w:bCs/>
                <w:lang w:val="hr-HR"/>
              </w:rPr>
            </w:pPr>
          </w:p>
        </w:tc>
        <w:tc>
          <w:tcPr>
            <w:tcW w:w="756" w:type="pct"/>
            <w:vAlign w:val="bottom"/>
          </w:tcPr>
          <w:p w14:paraId="628B829A" w14:textId="77777777" w:rsidR="00E552D5" w:rsidRPr="00736B48" w:rsidRDefault="00E552D5" w:rsidP="00E552D5">
            <w:pPr>
              <w:spacing w:after="0" w:line="280" w:lineRule="exact"/>
              <w:jc w:val="right"/>
              <w:rPr>
                <w:rFonts w:asciiTheme="minorHAnsi" w:eastAsia="Times New Roman" w:hAnsiTheme="minorHAnsi" w:cs="Arial"/>
                <w:b/>
                <w:bCs/>
                <w:lang w:val="hr-HR"/>
              </w:rPr>
            </w:pPr>
          </w:p>
        </w:tc>
      </w:tr>
      <w:tr w:rsidR="00E552D5" w:rsidRPr="00736B48" w14:paraId="2B100B1A" w14:textId="77777777" w:rsidTr="005444AA">
        <w:trPr>
          <w:trHeight w:hRule="exact" w:val="284"/>
        </w:trPr>
        <w:tc>
          <w:tcPr>
            <w:tcW w:w="1608" w:type="pct"/>
            <w:vAlign w:val="bottom"/>
          </w:tcPr>
          <w:p w14:paraId="2D8C4648" w14:textId="77777777" w:rsidR="00E552D5" w:rsidRPr="00736B48" w:rsidRDefault="00E552D5" w:rsidP="00E552D5">
            <w:pPr>
              <w:tabs>
                <w:tab w:val="right" w:pos="1202"/>
              </w:tabs>
              <w:spacing w:after="0" w:line="280" w:lineRule="exact"/>
              <w:outlineLvl w:val="0"/>
              <w:rPr>
                <w:rFonts w:asciiTheme="minorHAnsi" w:eastAsia="Times New Roman" w:hAnsiTheme="minorHAnsi" w:cs="Arial"/>
                <w:bCs/>
                <w:lang w:val="hr-HR"/>
              </w:rPr>
            </w:pPr>
            <w:r w:rsidRPr="00D76846">
              <w:rPr>
                <w:rFonts w:cs="Calibri"/>
                <w:bCs/>
                <w:spacing w:val="-2"/>
              </w:rPr>
              <w:t>Fee income</w:t>
            </w:r>
          </w:p>
        </w:tc>
        <w:tc>
          <w:tcPr>
            <w:tcW w:w="438" w:type="pct"/>
            <w:vAlign w:val="center"/>
          </w:tcPr>
          <w:p w14:paraId="79710388" w14:textId="77777777" w:rsidR="00E552D5" w:rsidRPr="00736B48" w:rsidRDefault="00E552D5" w:rsidP="00E552D5">
            <w:pPr>
              <w:spacing w:after="0" w:line="280" w:lineRule="exact"/>
              <w:jc w:val="center"/>
              <w:rPr>
                <w:rFonts w:asciiTheme="minorHAnsi" w:eastAsia="Arial Unicode MS" w:hAnsiTheme="minorHAnsi" w:cs="Arial"/>
                <w:lang w:val="hr-HR"/>
              </w:rPr>
            </w:pPr>
          </w:p>
        </w:tc>
        <w:tc>
          <w:tcPr>
            <w:tcW w:w="757" w:type="pct"/>
            <w:tcBorders>
              <w:top w:val="nil"/>
              <w:left w:val="nil"/>
              <w:bottom w:val="nil"/>
              <w:right w:val="nil"/>
            </w:tcBorders>
            <w:shd w:val="clear" w:color="auto" w:fill="auto"/>
            <w:vAlign w:val="bottom"/>
          </w:tcPr>
          <w:p w14:paraId="7FA16E44" w14:textId="7D02D8D7" w:rsidR="00E552D5" w:rsidRPr="006B318F" w:rsidRDefault="00E552D5" w:rsidP="006B318F">
            <w:pPr>
              <w:spacing w:after="0" w:line="280" w:lineRule="exact"/>
              <w:jc w:val="right"/>
              <w:outlineLvl w:val="0"/>
              <w:rPr>
                <w:rFonts w:eastAsia="Times New Roman" w:cs="Arial"/>
                <w:bCs/>
                <w:spacing w:val="-2"/>
              </w:rPr>
            </w:pPr>
            <w:r w:rsidRPr="006B318F">
              <w:rPr>
                <w:rFonts w:eastAsia="Times New Roman" w:cs="Arial"/>
                <w:bCs/>
                <w:spacing w:val="-2"/>
              </w:rPr>
              <w:t>16,770</w:t>
            </w:r>
          </w:p>
        </w:tc>
        <w:tc>
          <w:tcPr>
            <w:tcW w:w="758" w:type="pct"/>
            <w:tcBorders>
              <w:top w:val="nil"/>
              <w:left w:val="nil"/>
              <w:bottom w:val="nil"/>
              <w:right w:val="nil"/>
            </w:tcBorders>
            <w:shd w:val="clear" w:color="auto" w:fill="auto"/>
            <w:vAlign w:val="bottom"/>
          </w:tcPr>
          <w:p w14:paraId="6F101C43" w14:textId="7145B028" w:rsidR="00E552D5" w:rsidRPr="006B318F" w:rsidRDefault="00E552D5" w:rsidP="006B318F">
            <w:pPr>
              <w:spacing w:after="0" w:line="280" w:lineRule="exact"/>
              <w:jc w:val="right"/>
              <w:outlineLvl w:val="0"/>
              <w:rPr>
                <w:rFonts w:eastAsia="Times New Roman" w:cs="Arial"/>
                <w:bCs/>
                <w:spacing w:val="-2"/>
              </w:rPr>
            </w:pPr>
            <w:r w:rsidRPr="006B318F">
              <w:rPr>
                <w:rFonts w:eastAsia="Times New Roman" w:cs="Arial"/>
                <w:bCs/>
                <w:spacing w:val="-2"/>
              </w:rPr>
              <w:t>33,114</w:t>
            </w:r>
          </w:p>
        </w:tc>
        <w:tc>
          <w:tcPr>
            <w:tcW w:w="683" w:type="pct"/>
            <w:tcBorders>
              <w:top w:val="nil"/>
              <w:left w:val="nil"/>
              <w:bottom w:val="nil"/>
              <w:right w:val="nil"/>
            </w:tcBorders>
            <w:shd w:val="clear" w:color="auto" w:fill="auto"/>
            <w:vAlign w:val="bottom"/>
          </w:tcPr>
          <w:p w14:paraId="58193664" w14:textId="6B150E7F" w:rsidR="00E552D5" w:rsidRPr="00736B48" w:rsidRDefault="00E552D5" w:rsidP="00E552D5">
            <w:pPr>
              <w:spacing w:after="0" w:line="280" w:lineRule="exact"/>
              <w:jc w:val="right"/>
              <w:rPr>
                <w:rFonts w:asciiTheme="minorHAnsi" w:eastAsia="Times New Roman" w:hAnsiTheme="minorHAnsi" w:cs="Arial"/>
                <w:bCs/>
                <w:lang w:val="hr-HR"/>
              </w:rPr>
            </w:pPr>
            <w:r>
              <w:rPr>
                <w:rFonts w:eastAsia="Times New Roman" w:cs="Arial"/>
                <w:bCs/>
              </w:rPr>
              <w:t>7,235</w:t>
            </w:r>
          </w:p>
        </w:tc>
        <w:tc>
          <w:tcPr>
            <w:tcW w:w="756" w:type="pct"/>
            <w:tcBorders>
              <w:top w:val="nil"/>
              <w:left w:val="nil"/>
              <w:bottom w:val="nil"/>
              <w:right w:val="nil"/>
            </w:tcBorders>
            <w:shd w:val="clear" w:color="auto" w:fill="auto"/>
            <w:vAlign w:val="bottom"/>
          </w:tcPr>
          <w:p w14:paraId="5A488480" w14:textId="40CCE9CC" w:rsidR="00E552D5" w:rsidRPr="00736B48" w:rsidRDefault="00E552D5" w:rsidP="00E552D5">
            <w:pPr>
              <w:spacing w:after="0" w:line="280" w:lineRule="exact"/>
              <w:jc w:val="right"/>
              <w:rPr>
                <w:rFonts w:asciiTheme="minorHAnsi" w:eastAsia="Times New Roman" w:hAnsiTheme="minorHAnsi" w:cs="Arial"/>
                <w:bCs/>
                <w:lang w:val="hr-HR"/>
              </w:rPr>
            </w:pPr>
            <w:r>
              <w:rPr>
                <w:rFonts w:eastAsia="Times New Roman" w:cs="Arial"/>
                <w:bCs/>
              </w:rPr>
              <w:t>22,361</w:t>
            </w:r>
          </w:p>
        </w:tc>
      </w:tr>
      <w:tr w:rsidR="00E552D5" w:rsidRPr="00736B48" w14:paraId="2EAECB65" w14:textId="77777777" w:rsidTr="005444AA">
        <w:trPr>
          <w:trHeight w:hRule="exact" w:val="284"/>
        </w:trPr>
        <w:tc>
          <w:tcPr>
            <w:tcW w:w="1608" w:type="pct"/>
            <w:vAlign w:val="bottom"/>
          </w:tcPr>
          <w:p w14:paraId="2186ADCD" w14:textId="77777777" w:rsidR="00E552D5" w:rsidRPr="00736B48" w:rsidRDefault="00E552D5" w:rsidP="00E552D5">
            <w:pPr>
              <w:tabs>
                <w:tab w:val="right" w:pos="1202"/>
              </w:tabs>
              <w:spacing w:after="0" w:line="280" w:lineRule="exact"/>
              <w:outlineLvl w:val="0"/>
              <w:rPr>
                <w:rFonts w:asciiTheme="minorHAnsi" w:eastAsia="Times New Roman" w:hAnsiTheme="minorHAnsi" w:cs="Arial"/>
                <w:bCs/>
                <w:spacing w:val="-2"/>
                <w:lang w:val="hr-HR"/>
              </w:rPr>
            </w:pPr>
            <w:r w:rsidRPr="00D76846">
              <w:rPr>
                <w:rFonts w:cs="Calibri"/>
                <w:bCs/>
                <w:spacing w:val="-2"/>
              </w:rPr>
              <w:t>Fee expense</w:t>
            </w:r>
          </w:p>
        </w:tc>
        <w:tc>
          <w:tcPr>
            <w:tcW w:w="438" w:type="pct"/>
            <w:vAlign w:val="center"/>
          </w:tcPr>
          <w:p w14:paraId="46C664A5" w14:textId="77777777" w:rsidR="00E552D5" w:rsidRPr="00736B48" w:rsidRDefault="00E552D5" w:rsidP="00E552D5">
            <w:pPr>
              <w:spacing w:after="0" w:line="280" w:lineRule="exact"/>
              <w:jc w:val="center"/>
              <w:rPr>
                <w:rFonts w:asciiTheme="minorHAnsi" w:eastAsia="Arial Unicode MS" w:hAnsiTheme="minorHAnsi" w:cs="Arial"/>
                <w:lang w:val="hr-HR"/>
              </w:rPr>
            </w:pPr>
          </w:p>
        </w:tc>
        <w:tc>
          <w:tcPr>
            <w:tcW w:w="757" w:type="pct"/>
            <w:tcBorders>
              <w:top w:val="nil"/>
              <w:left w:val="nil"/>
              <w:bottom w:val="nil"/>
              <w:right w:val="nil"/>
            </w:tcBorders>
            <w:shd w:val="clear" w:color="auto" w:fill="auto"/>
            <w:vAlign w:val="bottom"/>
          </w:tcPr>
          <w:p w14:paraId="440FD93F" w14:textId="103217FF" w:rsidR="00E552D5" w:rsidRPr="006B318F" w:rsidRDefault="00E552D5" w:rsidP="006B318F">
            <w:pPr>
              <w:spacing w:after="0" w:line="280" w:lineRule="exact"/>
              <w:jc w:val="right"/>
              <w:outlineLvl w:val="0"/>
              <w:rPr>
                <w:rFonts w:eastAsia="Times New Roman" w:cs="Arial"/>
                <w:bCs/>
                <w:spacing w:val="-2"/>
              </w:rPr>
            </w:pPr>
            <w:r w:rsidRPr="006B318F">
              <w:rPr>
                <w:rFonts w:eastAsia="Times New Roman" w:cs="Arial"/>
                <w:bCs/>
                <w:spacing w:val="-2"/>
              </w:rPr>
              <w:t xml:space="preserve"> (914)</w:t>
            </w:r>
          </w:p>
        </w:tc>
        <w:tc>
          <w:tcPr>
            <w:tcW w:w="758" w:type="pct"/>
            <w:tcBorders>
              <w:top w:val="nil"/>
              <w:left w:val="nil"/>
              <w:bottom w:val="nil"/>
              <w:right w:val="nil"/>
            </w:tcBorders>
            <w:shd w:val="clear" w:color="auto" w:fill="auto"/>
            <w:vAlign w:val="bottom"/>
          </w:tcPr>
          <w:p w14:paraId="2F0E0E6B" w14:textId="6CCF3FCA" w:rsidR="00E552D5" w:rsidRPr="006B318F" w:rsidRDefault="00E552D5" w:rsidP="006B318F">
            <w:pPr>
              <w:spacing w:after="0" w:line="280" w:lineRule="exact"/>
              <w:jc w:val="right"/>
              <w:outlineLvl w:val="0"/>
              <w:rPr>
                <w:rFonts w:eastAsia="Times New Roman" w:cs="Arial"/>
                <w:bCs/>
                <w:spacing w:val="-2"/>
              </w:rPr>
            </w:pPr>
            <w:r w:rsidRPr="006B318F">
              <w:rPr>
                <w:rFonts w:eastAsia="Times New Roman" w:cs="Arial"/>
                <w:bCs/>
                <w:spacing w:val="-2"/>
              </w:rPr>
              <w:t xml:space="preserve"> (2,591)</w:t>
            </w:r>
          </w:p>
        </w:tc>
        <w:tc>
          <w:tcPr>
            <w:tcW w:w="683" w:type="pct"/>
            <w:tcBorders>
              <w:top w:val="nil"/>
              <w:left w:val="nil"/>
              <w:bottom w:val="nil"/>
              <w:right w:val="nil"/>
            </w:tcBorders>
            <w:shd w:val="clear" w:color="auto" w:fill="auto"/>
            <w:vAlign w:val="bottom"/>
          </w:tcPr>
          <w:p w14:paraId="494BF21E" w14:textId="65CF2463" w:rsidR="00E552D5" w:rsidRPr="00736B48" w:rsidRDefault="00E552D5" w:rsidP="00E552D5">
            <w:pPr>
              <w:spacing w:after="0" w:line="280" w:lineRule="exact"/>
              <w:jc w:val="right"/>
              <w:rPr>
                <w:rFonts w:asciiTheme="minorHAnsi" w:eastAsia="Times New Roman" w:hAnsiTheme="minorHAnsi" w:cs="Arial"/>
                <w:bCs/>
                <w:lang w:val="hr-HR"/>
              </w:rPr>
            </w:pPr>
            <w:r>
              <w:rPr>
                <w:rFonts w:eastAsia="Times New Roman" w:cs="Arial"/>
                <w:bCs/>
              </w:rPr>
              <w:t>(401)</w:t>
            </w:r>
          </w:p>
        </w:tc>
        <w:tc>
          <w:tcPr>
            <w:tcW w:w="756" w:type="pct"/>
            <w:tcBorders>
              <w:top w:val="nil"/>
              <w:left w:val="nil"/>
              <w:bottom w:val="nil"/>
              <w:right w:val="nil"/>
            </w:tcBorders>
            <w:shd w:val="clear" w:color="auto" w:fill="auto"/>
            <w:vAlign w:val="bottom"/>
          </w:tcPr>
          <w:p w14:paraId="01943B2D" w14:textId="5C251510" w:rsidR="00E552D5" w:rsidRPr="00736B48" w:rsidRDefault="00E552D5" w:rsidP="00E552D5">
            <w:pPr>
              <w:spacing w:after="0" w:line="280" w:lineRule="exact"/>
              <w:jc w:val="right"/>
              <w:rPr>
                <w:rFonts w:asciiTheme="minorHAnsi" w:eastAsia="Times New Roman" w:hAnsiTheme="minorHAnsi" w:cs="Arial"/>
                <w:bCs/>
                <w:lang w:val="hr-HR"/>
              </w:rPr>
            </w:pPr>
            <w:r>
              <w:rPr>
                <w:rFonts w:eastAsia="Times New Roman" w:cs="Arial"/>
                <w:bCs/>
              </w:rPr>
              <w:t>(1,820)</w:t>
            </w:r>
          </w:p>
        </w:tc>
      </w:tr>
      <w:tr w:rsidR="00E552D5" w:rsidRPr="00736B48" w14:paraId="1AD5AFFF" w14:textId="77777777" w:rsidTr="005444AA">
        <w:trPr>
          <w:trHeight w:hRule="exact" w:val="113"/>
        </w:trPr>
        <w:tc>
          <w:tcPr>
            <w:tcW w:w="1608" w:type="pct"/>
            <w:vAlign w:val="bottom"/>
          </w:tcPr>
          <w:p w14:paraId="02BDB551" w14:textId="77777777" w:rsidR="00E552D5" w:rsidRPr="00736B48" w:rsidRDefault="00E552D5" w:rsidP="00E552D5">
            <w:pPr>
              <w:keepNext/>
              <w:keepLines/>
              <w:tabs>
                <w:tab w:val="decimal" w:pos="1202"/>
              </w:tabs>
              <w:spacing w:after="0" w:line="280" w:lineRule="exact"/>
              <w:rPr>
                <w:rFonts w:asciiTheme="minorHAnsi" w:eastAsia="Times New Roman" w:hAnsiTheme="minorHAnsi" w:cs="Arial"/>
                <w:b/>
                <w:position w:val="4"/>
                <w:u w:val="thick"/>
                <w:lang w:val="hr-HR"/>
              </w:rPr>
            </w:pPr>
          </w:p>
        </w:tc>
        <w:tc>
          <w:tcPr>
            <w:tcW w:w="438" w:type="pct"/>
            <w:vAlign w:val="center"/>
          </w:tcPr>
          <w:p w14:paraId="42E19850" w14:textId="77777777" w:rsidR="00E552D5" w:rsidRPr="00736B48" w:rsidRDefault="00E552D5" w:rsidP="00E552D5">
            <w:pPr>
              <w:keepNext/>
              <w:keepLines/>
              <w:spacing w:after="0" w:line="280" w:lineRule="exact"/>
              <w:jc w:val="center"/>
              <w:rPr>
                <w:rFonts w:asciiTheme="minorHAnsi" w:eastAsia="Times New Roman" w:hAnsiTheme="minorHAnsi" w:cs="Arial"/>
                <w:b/>
                <w:position w:val="4"/>
                <w:u w:val="thick"/>
                <w:lang w:val="hr-HR"/>
              </w:rPr>
            </w:pPr>
          </w:p>
        </w:tc>
        <w:tc>
          <w:tcPr>
            <w:tcW w:w="757" w:type="pct"/>
            <w:tcBorders>
              <w:bottom w:val="single" w:sz="4" w:space="0" w:color="auto"/>
            </w:tcBorders>
            <w:vAlign w:val="bottom"/>
          </w:tcPr>
          <w:p w14:paraId="639D19E1" w14:textId="77777777" w:rsidR="00E552D5" w:rsidRPr="006B318F" w:rsidRDefault="00E552D5" w:rsidP="006B318F">
            <w:pPr>
              <w:spacing w:after="0" w:line="280" w:lineRule="exact"/>
              <w:jc w:val="right"/>
              <w:outlineLvl w:val="0"/>
              <w:rPr>
                <w:rFonts w:eastAsia="Times New Roman" w:cs="Arial"/>
                <w:bCs/>
                <w:spacing w:val="-2"/>
              </w:rPr>
            </w:pPr>
          </w:p>
        </w:tc>
        <w:tc>
          <w:tcPr>
            <w:tcW w:w="758" w:type="pct"/>
            <w:tcBorders>
              <w:bottom w:val="single" w:sz="4" w:space="0" w:color="auto"/>
            </w:tcBorders>
            <w:vAlign w:val="bottom"/>
          </w:tcPr>
          <w:p w14:paraId="1CF6B99D" w14:textId="77777777" w:rsidR="00E552D5" w:rsidRPr="006B318F" w:rsidRDefault="00E552D5" w:rsidP="006B318F">
            <w:pPr>
              <w:spacing w:after="0" w:line="280" w:lineRule="exact"/>
              <w:jc w:val="right"/>
              <w:outlineLvl w:val="0"/>
              <w:rPr>
                <w:rFonts w:eastAsia="Times New Roman" w:cs="Arial"/>
                <w:bCs/>
                <w:spacing w:val="-2"/>
              </w:rPr>
            </w:pPr>
          </w:p>
        </w:tc>
        <w:tc>
          <w:tcPr>
            <w:tcW w:w="683" w:type="pct"/>
            <w:tcBorders>
              <w:bottom w:val="single" w:sz="4" w:space="0" w:color="auto"/>
            </w:tcBorders>
            <w:vAlign w:val="bottom"/>
          </w:tcPr>
          <w:p w14:paraId="403B6C97" w14:textId="77777777" w:rsidR="00E552D5" w:rsidRPr="00736B48" w:rsidRDefault="00E552D5" w:rsidP="00E552D5">
            <w:pPr>
              <w:spacing w:after="0" w:line="280" w:lineRule="exact"/>
              <w:jc w:val="right"/>
              <w:rPr>
                <w:rFonts w:asciiTheme="minorHAnsi" w:eastAsia="Times New Roman" w:hAnsiTheme="minorHAnsi" w:cs="Arial"/>
                <w:b/>
                <w:bCs/>
                <w:lang w:val="hr-HR"/>
              </w:rPr>
            </w:pPr>
          </w:p>
        </w:tc>
        <w:tc>
          <w:tcPr>
            <w:tcW w:w="756" w:type="pct"/>
            <w:tcBorders>
              <w:bottom w:val="single" w:sz="4" w:space="0" w:color="auto"/>
            </w:tcBorders>
            <w:vAlign w:val="bottom"/>
          </w:tcPr>
          <w:p w14:paraId="42C1AB4E" w14:textId="77777777" w:rsidR="00E552D5" w:rsidRPr="00736B48" w:rsidRDefault="00E552D5" w:rsidP="00E552D5">
            <w:pPr>
              <w:spacing w:after="0" w:line="280" w:lineRule="exact"/>
              <w:jc w:val="right"/>
              <w:rPr>
                <w:rFonts w:asciiTheme="minorHAnsi" w:eastAsia="Times New Roman" w:hAnsiTheme="minorHAnsi" w:cs="Arial"/>
                <w:b/>
                <w:bCs/>
                <w:lang w:val="hr-HR"/>
              </w:rPr>
            </w:pPr>
          </w:p>
        </w:tc>
      </w:tr>
      <w:tr w:rsidR="00E552D5" w:rsidRPr="00736B48" w14:paraId="7BC28583" w14:textId="77777777" w:rsidTr="005444AA">
        <w:trPr>
          <w:trHeight w:hRule="exact" w:val="346"/>
        </w:trPr>
        <w:tc>
          <w:tcPr>
            <w:tcW w:w="1608" w:type="pct"/>
            <w:vAlign w:val="bottom"/>
          </w:tcPr>
          <w:p w14:paraId="12CD8941" w14:textId="77777777" w:rsidR="00E552D5" w:rsidRPr="00736B48" w:rsidRDefault="00E552D5" w:rsidP="00E552D5">
            <w:pPr>
              <w:tabs>
                <w:tab w:val="right" w:pos="1202"/>
              </w:tabs>
              <w:spacing w:after="0" w:line="280" w:lineRule="exact"/>
              <w:outlineLvl w:val="0"/>
              <w:rPr>
                <w:rFonts w:asciiTheme="minorHAnsi" w:eastAsia="Times New Roman" w:hAnsiTheme="minorHAnsi" w:cs="Arial"/>
                <w:b/>
                <w:bCs/>
                <w:vertAlign w:val="superscript"/>
                <w:lang w:val="hr-HR"/>
              </w:rPr>
            </w:pPr>
            <w:r w:rsidRPr="00D76846">
              <w:rPr>
                <w:rFonts w:cs="Calibri"/>
                <w:b/>
                <w:bCs/>
              </w:rPr>
              <w:t>Net fee income</w:t>
            </w:r>
          </w:p>
        </w:tc>
        <w:tc>
          <w:tcPr>
            <w:tcW w:w="438" w:type="pct"/>
            <w:vAlign w:val="center"/>
          </w:tcPr>
          <w:p w14:paraId="72173E41" w14:textId="77777777" w:rsidR="00E552D5" w:rsidRPr="00736B48" w:rsidRDefault="00E552D5" w:rsidP="00E552D5">
            <w:pPr>
              <w:spacing w:after="0" w:line="280" w:lineRule="exact"/>
              <w:jc w:val="center"/>
              <w:outlineLvl w:val="0"/>
              <w:rPr>
                <w:rFonts w:asciiTheme="minorHAnsi" w:eastAsia="Times New Roman" w:hAnsiTheme="minorHAnsi" w:cs="Arial"/>
                <w:b/>
                <w:bCs/>
                <w:spacing w:val="-2"/>
                <w:lang w:val="hr-HR"/>
              </w:rPr>
            </w:pPr>
          </w:p>
        </w:tc>
        <w:tc>
          <w:tcPr>
            <w:tcW w:w="757" w:type="pct"/>
            <w:tcBorders>
              <w:top w:val="single" w:sz="4" w:space="0" w:color="auto"/>
              <w:left w:val="nil"/>
              <w:bottom w:val="single" w:sz="8" w:space="0" w:color="auto"/>
              <w:right w:val="nil"/>
            </w:tcBorders>
            <w:shd w:val="clear" w:color="auto" w:fill="auto"/>
            <w:vAlign w:val="bottom"/>
          </w:tcPr>
          <w:p w14:paraId="00BC33EF" w14:textId="15A5FEB3" w:rsidR="00E552D5" w:rsidRPr="006B318F" w:rsidRDefault="00E552D5" w:rsidP="006B318F">
            <w:pPr>
              <w:spacing w:after="0" w:line="280" w:lineRule="exact"/>
              <w:jc w:val="right"/>
              <w:outlineLvl w:val="0"/>
              <w:rPr>
                <w:rFonts w:eastAsia="Times New Roman" w:cs="Arial"/>
                <w:b/>
                <w:bCs/>
                <w:spacing w:val="-2"/>
              </w:rPr>
            </w:pPr>
            <w:r w:rsidRPr="006B318F">
              <w:rPr>
                <w:rFonts w:eastAsia="Times New Roman" w:cs="Arial"/>
                <w:b/>
                <w:bCs/>
                <w:spacing w:val="-2"/>
              </w:rPr>
              <w:t>15,856</w:t>
            </w:r>
          </w:p>
        </w:tc>
        <w:tc>
          <w:tcPr>
            <w:tcW w:w="758" w:type="pct"/>
            <w:tcBorders>
              <w:top w:val="single" w:sz="4" w:space="0" w:color="auto"/>
              <w:left w:val="nil"/>
              <w:bottom w:val="single" w:sz="8" w:space="0" w:color="auto"/>
              <w:right w:val="nil"/>
            </w:tcBorders>
            <w:shd w:val="clear" w:color="auto" w:fill="auto"/>
            <w:vAlign w:val="bottom"/>
          </w:tcPr>
          <w:p w14:paraId="4F211617" w14:textId="1C28E47C" w:rsidR="00E552D5" w:rsidRPr="006B318F" w:rsidRDefault="00E552D5" w:rsidP="006B318F">
            <w:pPr>
              <w:spacing w:after="0" w:line="280" w:lineRule="exact"/>
              <w:jc w:val="right"/>
              <w:outlineLvl w:val="0"/>
              <w:rPr>
                <w:rFonts w:eastAsia="Times New Roman" w:cs="Arial"/>
                <w:b/>
                <w:bCs/>
                <w:spacing w:val="-2"/>
              </w:rPr>
            </w:pPr>
            <w:r w:rsidRPr="006B318F">
              <w:rPr>
                <w:rFonts w:eastAsia="Times New Roman" w:cs="Arial"/>
                <w:b/>
                <w:bCs/>
                <w:spacing w:val="-2"/>
              </w:rPr>
              <w:t>30,523</w:t>
            </w:r>
          </w:p>
        </w:tc>
        <w:tc>
          <w:tcPr>
            <w:tcW w:w="683" w:type="pct"/>
            <w:tcBorders>
              <w:top w:val="single" w:sz="4" w:space="0" w:color="auto"/>
              <w:left w:val="nil"/>
              <w:bottom w:val="single" w:sz="8" w:space="0" w:color="auto"/>
              <w:right w:val="nil"/>
            </w:tcBorders>
            <w:shd w:val="clear" w:color="auto" w:fill="auto"/>
            <w:vAlign w:val="bottom"/>
          </w:tcPr>
          <w:p w14:paraId="43594806" w14:textId="7C754300" w:rsidR="00E552D5" w:rsidRPr="00736B48" w:rsidRDefault="00E552D5" w:rsidP="00E552D5">
            <w:pPr>
              <w:spacing w:after="0" w:line="280" w:lineRule="exact"/>
              <w:jc w:val="right"/>
              <w:rPr>
                <w:rFonts w:asciiTheme="minorHAnsi" w:eastAsia="Times New Roman" w:hAnsiTheme="minorHAnsi" w:cs="Arial"/>
                <w:b/>
                <w:bCs/>
                <w:lang w:val="hr-HR"/>
              </w:rPr>
            </w:pPr>
            <w:r>
              <w:rPr>
                <w:rFonts w:eastAsia="Times New Roman" w:cs="Arial"/>
                <w:b/>
                <w:bCs/>
              </w:rPr>
              <w:t>6,834</w:t>
            </w:r>
          </w:p>
        </w:tc>
        <w:tc>
          <w:tcPr>
            <w:tcW w:w="756" w:type="pct"/>
            <w:tcBorders>
              <w:top w:val="single" w:sz="4" w:space="0" w:color="auto"/>
              <w:left w:val="nil"/>
              <w:bottom w:val="single" w:sz="8" w:space="0" w:color="auto"/>
              <w:right w:val="nil"/>
            </w:tcBorders>
            <w:shd w:val="clear" w:color="auto" w:fill="auto"/>
            <w:vAlign w:val="bottom"/>
          </w:tcPr>
          <w:p w14:paraId="532CE10D" w14:textId="7A5F7A90" w:rsidR="00E552D5" w:rsidRPr="00736B48" w:rsidRDefault="00E552D5" w:rsidP="00E552D5">
            <w:pPr>
              <w:spacing w:after="0" w:line="280" w:lineRule="exact"/>
              <w:jc w:val="right"/>
              <w:rPr>
                <w:rFonts w:asciiTheme="minorHAnsi" w:eastAsia="Times New Roman" w:hAnsiTheme="minorHAnsi" w:cs="Arial"/>
                <w:b/>
                <w:bCs/>
                <w:lang w:val="hr-HR"/>
              </w:rPr>
            </w:pPr>
            <w:r>
              <w:rPr>
                <w:rFonts w:eastAsia="Times New Roman" w:cs="Arial"/>
                <w:b/>
                <w:bCs/>
              </w:rPr>
              <w:t>20,541</w:t>
            </w:r>
          </w:p>
        </w:tc>
      </w:tr>
      <w:tr w:rsidR="00E552D5" w:rsidRPr="00736B48" w14:paraId="12AB43BE" w14:textId="77777777" w:rsidTr="005444AA">
        <w:trPr>
          <w:trHeight w:val="149"/>
        </w:trPr>
        <w:tc>
          <w:tcPr>
            <w:tcW w:w="1608" w:type="pct"/>
            <w:vAlign w:val="bottom"/>
          </w:tcPr>
          <w:p w14:paraId="7088F1F7" w14:textId="77777777" w:rsidR="00E552D5" w:rsidRPr="00736B48" w:rsidRDefault="00E552D5" w:rsidP="00E552D5">
            <w:pPr>
              <w:tabs>
                <w:tab w:val="right" w:pos="1202"/>
              </w:tabs>
              <w:spacing w:after="0" w:line="200" w:lineRule="exact"/>
              <w:outlineLvl w:val="0"/>
              <w:rPr>
                <w:rFonts w:asciiTheme="minorHAnsi" w:eastAsia="Times New Roman" w:hAnsiTheme="minorHAnsi" w:cs="Arial"/>
                <w:lang w:val="hr-HR"/>
              </w:rPr>
            </w:pPr>
          </w:p>
        </w:tc>
        <w:tc>
          <w:tcPr>
            <w:tcW w:w="438" w:type="pct"/>
            <w:vAlign w:val="center"/>
          </w:tcPr>
          <w:p w14:paraId="50B788D7" w14:textId="77777777" w:rsidR="00E552D5" w:rsidRPr="00736B48" w:rsidRDefault="00E552D5" w:rsidP="00E552D5">
            <w:pPr>
              <w:tabs>
                <w:tab w:val="right" w:pos="1202"/>
              </w:tabs>
              <w:spacing w:after="0" w:line="200" w:lineRule="exact"/>
              <w:jc w:val="center"/>
              <w:outlineLvl w:val="0"/>
              <w:rPr>
                <w:rFonts w:asciiTheme="minorHAnsi" w:eastAsia="Times New Roman" w:hAnsiTheme="minorHAnsi" w:cs="Arial"/>
                <w:lang w:val="hr-HR"/>
              </w:rPr>
            </w:pPr>
          </w:p>
        </w:tc>
        <w:tc>
          <w:tcPr>
            <w:tcW w:w="757" w:type="pct"/>
            <w:tcBorders>
              <w:top w:val="single" w:sz="12" w:space="0" w:color="auto"/>
            </w:tcBorders>
            <w:vAlign w:val="bottom"/>
          </w:tcPr>
          <w:p w14:paraId="2C09808A" w14:textId="77777777" w:rsidR="00E552D5" w:rsidRPr="006B318F" w:rsidRDefault="00E552D5" w:rsidP="006B318F">
            <w:pPr>
              <w:spacing w:after="0" w:line="280" w:lineRule="exact"/>
              <w:jc w:val="right"/>
              <w:outlineLvl w:val="0"/>
              <w:rPr>
                <w:rFonts w:eastAsia="Times New Roman" w:cs="Arial"/>
                <w:bCs/>
                <w:spacing w:val="-2"/>
              </w:rPr>
            </w:pPr>
          </w:p>
        </w:tc>
        <w:tc>
          <w:tcPr>
            <w:tcW w:w="758" w:type="pct"/>
            <w:tcBorders>
              <w:top w:val="single" w:sz="12" w:space="0" w:color="auto"/>
            </w:tcBorders>
            <w:vAlign w:val="bottom"/>
          </w:tcPr>
          <w:p w14:paraId="0394FF36" w14:textId="77777777" w:rsidR="00E552D5" w:rsidRPr="006B318F" w:rsidRDefault="00E552D5" w:rsidP="006B318F">
            <w:pPr>
              <w:spacing w:after="0" w:line="280" w:lineRule="exact"/>
              <w:jc w:val="right"/>
              <w:outlineLvl w:val="0"/>
              <w:rPr>
                <w:rFonts w:eastAsia="Times New Roman" w:cs="Arial"/>
                <w:bCs/>
                <w:spacing w:val="-2"/>
              </w:rPr>
            </w:pPr>
          </w:p>
        </w:tc>
        <w:tc>
          <w:tcPr>
            <w:tcW w:w="683" w:type="pct"/>
            <w:tcBorders>
              <w:top w:val="single" w:sz="12" w:space="0" w:color="auto"/>
            </w:tcBorders>
            <w:vAlign w:val="bottom"/>
          </w:tcPr>
          <w:p w14:paraId="060F5C44" w14:textId="77777777" w:rsidR="00E552D5" w:rsidRPr="00736B48" w:rsidRDefault="00E552D5" w:rsidP="00E552D5">
            <w:pPr>
              <w:spacing w:after="0" w:line="280" w:lineRule="exact"/>
              <w:jc w:val="right"/>
              <w:rPr>
                <w:rFonts w:asciiTheme="minorHAnsi" w:eastAsia="Times New Roman" w:hAnsiTheme="minorHAnsi" w:cs="Arial"/>
                <w:b/>
                <w:bCs/>
                <w:lang w:val="hr-HR"/>
              </w:rPr>
            </w:pPr>
          </w:p>
        </w:tc>
        <w:tc>
          <w:tcPr>
            <w:tcW w:w="756" w:type="pct"/>
            <w:tcBorders>
              <w:top w:val="single" w:sz="12" w:space="0" w:color="auto"/>
            </w:tcBorders>
            <w:vAlign w:val="bottom"/>
          </w:tcPr>
          <w:p w14:paraId="16533F2C" w14:textId="77777777" w:rsidR="00E552D5" w:rsidRPr="00736B48" w:rsidRDefault="00E552D5" w:rsidP="00E552D5">
            <w:pPr>
              <w:spacing w:after="0" w:line="280" w:lineRule="exact"/>
              <w:jc w:val="right"/>
              <w:rPr>
                <w:rFonts w:asciiTheme="minorHAnsi" w:eastAsia="Times New Roman" w:hAnsiTheme="minorHAnsi" w:cs="Arial"/>
                <w:b/>
                <w:bCs/>
                <w:lang w:val="hr-HR"/>
              </w:rPr>
            </w:pPr>
          </w:p>
        </w:tc>
      </w:tr>
      <w:tr w:rsidR="00E552D5" w:rsidRPr="00736B48" w14:paraId="09FBA724" w14:textId="77777777" w:rsidTr="005444AA">
        <w:trPr>
          <w:trHeight w:val="316"/>
        </w:trPr>
        <w:tc>
          <w:tcPr>
            <w:tcW w:w="1608" w:type="pct"/>
            <w:vAlign w:val="bottom"/>
          </w:tcPr>
          <w:p w14:paraId="4F5291CF" w14:textId="30BCA72F" w:rsidR="00E552D5" w:rsidRPr="00736B48" w:rsidRDefault="00E552D5" w:rsidP="008D6EFE">
            <w:pPr>
              <w:tabs>
                <w:tab w:val="right" w:pos="1202"/>
              </w:tabs>
              <w:spacing w:after="0" w:line="280" w:lineRule="exact"/>
              <w:outlineLvl w:val="0"/>
              <w:rPr>
                <w:rFonts w:asciiTheme="minorHAnsi" w:eastAsia="Times New Roman" w:hAnsiTheme="minorHAnsi" w:cs="Arial"/>
                <w:lang w:val="hr-HR"/>
              </w:rPr>
            </w:pPr>
            <w:r w:rsidRPr="007E33D2">
              <w:rPr>
                <w:rFonts w:eastAsia="Times New Roman" w:cs="Arial"/>
              </w:rPr>
              <w:t>Net losses on financial operations</w:t>
            </w:r>
          </w:p>
        </w:tc>
        <w:tc>
          <w:tcPr>
            <w:tcW w:w="438" w:type="pct"/>
            <w:vAlign w:val="center"/>
          </w:tcPr>
          <w:p w14:paraId="2DB09E79" w14:textId="77777777" w:rsidR="00E552D5" w:rsidRPr="00736B48" w:rsidRDefault="00E552D5" w:rsidP="00E552D5">
            <w:pPr>
              <w:tabs>
                <w:tab w:val="right" w:pos="1202"/>
              </w:tabs>
              <w:spacing w:after="0" w:line="280" w:lineRule="exact"/>
              <w:jc w:val="center"/>
              <w:outlineLvl w:val="0"/>
              <w:rPr>
                <w:rFonts w:asciiTheme="minorHAnsi" w:eastAsia="Times New Roman" w:hAnsiTheme="minorHAnsi" w:cs="Arial"/>
                <w:bCs/>
                <w:spacing w:val="-2"/>
                <w:lang w:val="hr-HR"/>
              </w:rPr>
            </w:pPr>
          </w:p>
        </w:tc>
        <w:tc>
          <w:tcPr>
            <w:tcW w:w="757" w:type="pct"/>
            <w:tcBorders>
              <w:top w:val="nil"/>
              <w:left w:val="nil"/>
              <w:bottom w:val="nil"/>
              <w:right w:val="nil"/>
            </w:tcBorders>
            <w:shd w:val="clear" w:color="auto" w:fill="auto"/>
            <w:vAlign w:val="bottom"/>
          </w:tcPr>
          <w:p w14:paraId="6BBC4D7D" w14:textId="506685F2" w:rsidR="00E552D5" w:rsidRPr="006B318F" w:rsidRDefault="00E552D5" w:rsidP="006B318F">
            <w:pPr>
              <w:spacing w:after="0" w:line="280" w:lineRule="exact"/>
              <w:jc w:val="right"/>
              <w:outlineLvl w:val="0"/>
              <w:rPr>
                <w:rFonts w:eastAsia="Times New Roman" w:cs="Arial"/>
                <w:bCs/>
                <w:spacing w:val="-2"/>
              </w:rPr>
            </w:pPr>
            <w:r w:rsidRPr="006B318F">
              <w:rPr>
                <w:rFonts w:eastAsia="Times New Roman" w:cs="Arial"/>
                <w:bCs/>
                <w:spacing w:val="-2"/>
              </w:rPr>
              <w:t xml:space="preserve"> (11,175)</w:t>
            </w:r>
          </w:p>
        </w:tc>
        <w:tc>
          <w:tcPr>
            <w:tcW w:w="758" w:type="pct"/>
            <w:tcBorders>
              <w:top w:val="nil"/>
              <w:left w:val="nil"/>
              <w:bottom w:val="nil"/>
              <w:right w:val="nil"/>
            </w:tcBorders>
            <w:shd w:val="clear" w:color="auto" w:fill="auto"/>
            <w:vAlign w:val="bottom"/>
          </w:tcPr>
          <w:p w14:paraId="31F5A3D4" w14:textId="082D86E2" w:rsidR="00E552D5" w:rsidRPr="006B318F" w:rsidRDefault="00E552D5" w:rsidP="006B318F">
            <w:pPr>
              <w:spacing w:after="0" w:line="280" w:lineRule="exact"/>
              <w:jc w:val="right"/>
              <w:outlineLvl w:val="0"/>
              <w:rPr>
                <w:rFonts w:eastAsia="Times New Roman" w:cs="Arial"/>
                <w:bCs/>
                <w:spacing w:val="-2"/>
              </w:rPr>
            </w:pPr>
            <w:r w:rsidRPr="006B318F">
              <w:rPr>
                <w:rFonts w:eastAsia="Times New Roman" w:cs="Arial"/>
                <w:bCs/>
                <w:spacing w:val="-2"/>
              </w:rPr>
              <w:t xml:space="preserve"> (18,988)</w:t>
            </w:r>
          </w:p>
        </w:tc>
        <w:tc>
          <w:tcPr>
            <w:tcW w:w="683" w:type="pct"/>
            <w:tcBorders>
              <w:top w:val="nil"/>
              <w:left w:val="nil"/>
              <w:bottom w:val="nil"/>
              <w:right w:val="nil"/>
            </w:tcBorders>
            <w:shd w:val="clear" w:color="auto" w:fill="auto"/>
            <w:vAlign w:val="bottom"/>
          </w:tcPr>
          <w:p w14:paraId="379AD9C0" w14:textId="78A70EA8" w:rsidR="00E552D5" w:rsidRPr="00736B48" w:rsidRDefault="00E552D5" w:rsidP="00E552D5">
            <w:pPr>
              <w:spacing w:after="0" w:line="280" w:lineRule="exact"/>
              <w:jc w:val="right"/>
              <w:rPr>
                <w:rFonts w:asciiTheme="minorHAnsi" w:eastAsia="Times New Roman" w:hAnsiTheme="minorHAnsi" w:cs="Arial"/>
                <w:bCs/>
                <w:lang w:val="hr-HR"/>
              </w:rPr>
            </w:pPr>
            <w:r>
              <w:rPr>
                <w:rFonts w:eastAsia="Times New Roman" w:cs="Arial"/>
                <w:bCs/>
              </w:rPr>
              <w:t>(246)</w:t>
            </w:r>
          </w:p>
        </w:tc>
        <w:tc>
          <w:tcPr>
            <w:tcW w:w="756" w:type="pct"/>
            <w:tcBorders>
              <w:top w:val="nil"/>
              <w:left w:val="nil"/>
              <w:bottom w:val="nil"/>
              <w:right w:val="nil"/>
            </w:tcBorders>
            <w:shd w:val="clear" w:color="auto" w:fill="auto"/>
            <w:vAlign w:val="bottom"/>
          </w:tcPr>
          <w:p w14:paraId="4AA07D81" w14:textId="08A13AB4" w:rsidR="00E552D5" w:rsidRPr="00736B48" w:rsidRDefault="00E552D5" w:rsidP="00E552D5">
            <w:pPr>
              <w:spacing w:after="0" w:line="280" w:lineRule="exact"/>
              <w:jc w:val="right"/>
              <w:rPr>
                <w:rFonts w:asciiTheme="minorHAnsi" w:eastAsia="Times New Roman" w:hAnsiTheme="minorHAnsi" w:cs="Arial"/>
                <w:bCs/>
                <w:lang w:val="hr-HR"/>
              </w:rPr>
            </w:pPr>
            <w:r>
              <w:rPr>
                <w:rFonts w:eastAsia="Times New Roman" w:cs="Arial"/>
                <w:bCs/>
              </w:rPr>
              <w:t>(11,037)</w:t>
            </w:r>
          </w:p>
        </w:tc>
      </w:tr>
      <w:tr w:rsidR="00E552D5" w:rsidRPr="00736B48" w14:paraId="64015167" w14:textId="77777777" w:rsidTr="005444AA">
        <w:trPr>
          <w:trHeight w:hRule="exact" w:val="284"/>
        </w:trPr>
        <w:tc>
          <w:tcPr>
            <w:tcW w:w="1608" w:type="pct"/>
            <w:vAlign w:val="bottom"/>
          </w:tcPr>
          <w:p w14:paraId="1647CB6D" w14:textId="77777777" w:rsidR="00E552D5" w:rsidRPr="00736B48" w:rsidRDefault="00E552D5" w:rsidP="00E552D5">
            <w:pPr>
              <w:tabs>
                <w:tab w:val="right" w:pos="1202"/>
              </w:tabs>
              <w:spacing w:after="0" w:line="280" w:lineRule="exact"/>
              <w:outlineLvl w:val="0"/>
              <w:rPr>
                <w:rFonts w:asciiTheme="minorHAnsi" w:eastAsia="Times New Roman" w:hAnsiTheme="minorHAnsi" w:cs="Arial"/>
                <w:lang w:val="hr-HR"/>
              </w:rPr>
            </w:pPr>
            <w:r w:rsidRPr="00D76846">
              <w:rPr>
                <w:rFonts w:cs="Calibri"/>
              </w:rPr>
              <w:t>Other income</w:t>
            </w:r>
          </w:p>
        </w:tc>
        <w:tc>
          <w:tcPr>
            <w:tcW w:w="438" w:type="pct"/>
            <w:vAlign w:val="center"/>
          </w:tcPr>
          <w:p w14:paraId="5B53C2AD" w14:textId="77777777" w:rsidR="00E552D5" w:rsidRPr="00736B48" w:rsidRDefault="00E552D5" w:rsidP="00E552D5">
            <w:pPr>
              <w:tabs>
                <w:tab w:val="right" w:pos="1202"/>
              </w:tabs>
              <w:spacing w:after="0" w:line="280" w:lineRule="exact"/>
              <w:jc w:val="center"/>
              <w:outlineLvl w:val="0"/>
              <w:rPr>
                <w:rFonts w:asciiTheme="minorHAnsi" w:eastAsia="Times New Roman" w:hAnsiTheme="minorHAnsi" w:cs="Arial"/>
                <w:lang w:val="hr-HR"/>
              </w:rPr>
            </w:pPr>
          </w:p>
        </w:tc>
        <w:tc>
          <w:tcPr>
            <w:tcW w:w="757" w:type="pct"/>
            <w:tcBorders>
              <w:top w:val="nil"/>
              <w:left w:val="nil"/>
              <w:bottom w:val="nil"/>
              <w:right w:val="nil"/>
            </w:tcBorders>
            <w:shd w:val="clear" w:color="auto" w:fill="auto"/>
            <w:vAlign w:val="bottom"/>
          </w:tcPr>
          <w:p w14:paraId="37605BE3" w14:textId="2C55BD5F" w:rsidR="00E552D5" w:rsidRPr="006B318F" w:rsidRDefault="00E552D5" w:rsidP="006B318F">
            <w:pPr>
              <w:spacing w:after="0" w:line="280" w:lineRule="exact"/>
              <w:jc w:val="right"/>
              <w:outlineLvl w:val="0"/>
              <w:rPr>
                <w:rFonts w:eastAsia="Times New Roman" w:cs="Arial"/>
                <w:bCs/>
                <w:spacing w:val="-2"/>
              </w:rPr>
            </w:pPr>
            <w:r w:rsidRPr="006B318F">
              <w:rPr>
                <w:rFonts w:eastAsia="Times New Roman" w:cs="Arial"/>
                <w:bCs/>
                <w:spacing w:val="-2"/>
              </w:rPr>
              <w:t xml:space="preserve"> 2,985 </w:t>
            </w:r>
          </w:p>
        </w:tc>
        <w:tc>
          <w:tcPr>
            <w:tcW w:w="758" w:type="pct"/>
            <w:tcBorders>
              <w:top w:val="nil"/>
              <w:left w:val="nil"/>
              <w:bottom w:val="nil"/>
              <w:right w:val="nil"/>
            </w:tcBorders>
            <w:shd w:val="clear" w:color="auto" w:fill="auto"/>
            <w:vAlign w:val="bottom"/>
          </w:tcPr>
          <w:p w14:paraId="06B1E2AB" w14:textId="704E9EE7" w:rsidR="00E552D5" w:rsidRPr="006B318F" w:rsidRDefault="00E552D5" w:rsidP="006B318F">
            <w:pPr>
              <w:spacing w:after="0" w:line="280" w:lineRule="exact"/>
              <w:jc w:val="right"/>
              <w:outlineLvl w:val="0"/>
              <w:rPr>
                <w:rFonts w:eastAsia="Times New Roman" w:cs="Arial"/>
                <w:bCs/>
                <w:spacing w:val="-2"/>
              </w:rPr>
            </w:pPr>
            <w:r w:rsidRPr="006B318F">
              <w:rPr>
                <w:rFonts w:eastAsia="Times New Roman" w:cs="Arial"/>
                <w:bCs/>
                <w:spacing w:val="-2"/>
              </w:rPr>
              <w:t xml:space="preserve"> 11,347 </w:t>
            </w:r>
          </w:p>
        </w:tc>
        <w:tc>
          <w:tcPr>
            <w:tcW w:w="683" w:type="pct"/>
            <w:tcBorders>
              <w:top w:val="nil"/>
              <w:left w:val="nil"/>
              <w:bottom w:val="nil"/>
              <w:right w:val="nil"/>
            </w:tcBorders>
            <w:shd w:val="clear" w:color="auto" w:fill="auto"/>
            <w:vAlign w:val="bottom"/>
          </w:tcPr>
          <w:p w14:paraId="71516D5F" w14:textId="6852806E" w:rsidR="00E552D5" w:rsidRPr="00736B48" w:rsidRDefault="00E552D5" w:rsidP="00E552D5">
            <w:pPr>
              <w:spacing w:after="0" w:line="280" w:lineRule="exact"/>
              <w:jc w:val="right"/>
              <w:rPr>
                <w:rFonts w:asciiTheme="minorHAnsi" w:eastAsia="Times New Roman" w:hAnsiTheme="minorHAnsi" w:cs="Arial"/>
                <w:bCs/>
                <w:lang w:val="hr-HR"/>
              </w:rPr>
            </w:pPr>
            <w:r>
              <w:rPr>
                <w:rFonts w:eastAsia="Times New Roman" w:cs="Arial"/>
                <w:bCs/>
              </w:rPr>
              <w:t>3,454</w:t>
            </w:r>
          </w:p>
        </w:tc>
        <w:tc>
          <w:tcPr>
            <w:tcW w:w="756" w:type="pct"/>
            <w:tcBorders>
              <w:top w:val="nil"/>
              <w:left w:val="nil"/>
              <w:bottom w:val="nil"/>
              <w:right w:val="nil"/>
            </w:tcBorders>
            <w:shd w:val="clear" w:color="auto" w:fill="auto"/>
            <w:vAlign w:val="bottom"/>
          </w:tcPr>
          <w:p w14:paraId="5BDDB8A4" w14:textId="1946AC87" w:rsidR="00E552D5" w:rsidRPr="00736B48" w:rsidRDefault="00E552D5" w:rsidP="00E552D5">
            <w:pPr>
              <w:spacing w:after="0" w:line="280" w:lineRule="exact"/>
              <w:jc w:val="right"/>
              <w:rPr>
                <w:rFonts w:asciiTheme="minorHAnsi" w:eastAsia="Times New Roman" w:hAnsiTheme="minorHAnsi" w:cs="Arial"/>
                <w:bCs/>
                <w:lang w:val="hr-HR"/>
              </w:rPr>
            </w:pPr>
            <w:r>
              <w:rPr>
                <w:rFonts w:eastAsia="Times New Roman" w:cs="Arial"/>
                <w:bCs/>
              </w:rPr>
              <w:t>10,283</w:t>
            </w:r>
          </w:p>
        </w:tc>
      </w:tr>
      <w:tr w:rsidR="00E552D5" w:rsidRPr="00736B48" w14:paraId="34C2F7F5" w14:textId="77777777" w:rsidTr="005444AA">
        <w:trPr>
          <w:trHeight w:val="359"/>
        </w:trPr>
        <w:tc>
          <w:tcPr>
            <w:tcW w:w="1608" w:type="pct"/>
            <w:vAlign w:val="bottom"/>
          </w:tcPr>
          <w:p w14:paraId="219CD6DA" w14:textId="77777777" w:rsidR="00E552D5" w:rsidRPr="00736B48" w:rsidRDefault="00E552D5" w:rsidP="00E552D5">
            <w:pPr>
              <w:tabs>
                <w:tab w:val="right" w:pos="1202"/>
              </w:tabs>
              <w:spacing w:after="0" w:line="280" w:lineRule="exact"/>
              <w:outlineLvl w:val="0"/>
              <w:rPr>
                <w:rFonts w:asciiTheme="minorHAnsi" w:eastAsia="Times New Roman" w:hAnsiTheme="minorHAnsi" w:cs="Arial"/>
                <w:b/>
                <w:bCs/>
                <w:lang w:val="hr-HR"/>
              </w:rPr>
            </w:pPr>
          </w:p>
        </w:tc>
        <w:tc>
          <w:tcPr>
            <w:tcW w:w="438" w:type="pct"/>
            <w:vAlign w:val="center"/>
          </w:tcPr>
          <w:p w14:paraId="18EB3B65" w14:textId="77777777" w:rsidR="00E552D5" w:rsidRPr="00736B48" w:rsidRDefault="00E552D5" w:rsidP="00E552D5">
            <w:pPr>
              <w:tabs>
                <w:tab w:val="right" w:pos="1202"/>
              </w:tabs>
              <w:spacing w:after="0" w:line="280" w:lineRule="exact"/>
              <w:jc w:val="center"/>
              <w:outlineLvl w:val="0"/>
              <w:rPr>
                <w:rFonts w:asciiTheme="minorHAnsi" w:eastAsia="Times New Roman" w:hAnsiTheme="minorHAnsi" w:cs="Arial"/>
                <w:b/>
                <w:bCs/>
                <w:lang w:val="hr-HR"/>
              </w:rPr>
            </w:pPr>
          </w:p>
        </w:tc>
        <w:tc>
          <w:tcPr>
            <w:tcW w:w="757" w:type="pct"/>
            <w:tcBorders>
              <w:top w:val="single" w:sz="4" w:space="0" w:color="auto"/>
              <w:left w:val="nil"/>
              <w:bottom w:val="single" w:sz="8" w:space="0" w:color="auto"/>
              <w:right w:val="nil"/>
            </w:tcBorders>
            <w:shd w:val="clear" w:color="auto" w:fill="auto"/>
            <w:vAlign w:val="bottom"/>
          </w:tcPr>
          <w:p w14:paraId="13524F23" w14:textId="47556CFE" w:rsidR="00E552D5" w:rsidRPr="006B318F" w:rsidRDefault="00E552D5" w:rsidP="006B318F">
            <w:pPr>
              <w:spacing w:after="0" w:line="280" w:lineRule="exact"/>
              <w:jc w:val="right"/>
              <w:outlineLvl w:val="0"/>
              <w:rPr>
                <w:rFonts w:eastAsia="Times New Roman" w:cs="Arial"/>
                <w:b/>
                <w:bCs/>
                <w:spacing w:val="-2"/>
              </w:rPr>
            </w:pPr>
            <w:r w:rsidRPr="006B318F">
              <w:rPr>
                <w:rFonts w:eastAsia="Times New Roman" w:cs="Arial"/>
                <w:b/>
                <w:bCs/>
                <w:spacing w:val="-2"/>
              </w:rPr>
              <w:t>130,714</w:t>
            </w:r>
          </w:p>
        </w:tc>
        <w:tc>
          <w:tcPr>
            <w:tcW w:w="758" w:type="pct"/>
            <w:tcBorders>
              <w:top w:val="single" w:sz="4" w:space="0" w:color="auto"/>
              <w:left w:val="nil"/>
              <w:bottom w:val="single" w:sz="8" w:space="0" w:color="auto"/>
              <w:right w:val="nil"/>
            </w:tcBorders>
            <w:shd w:val="clear" w:color="auto" w:fill="auto"/>
            <w:vAlign w:val="bottom"/>
          </w:tcPr>
          <w:p w14:paraId="57B2A317" w14:textId="33431DB9" w:rsidR="00E552D5" w:rsidRPr="006B318F" w:rsidRDefault="00E552D5" w:rsidP="006B318F">
            <w:pPr>
              <w:spacing w:after="0" w:line="280" w:lineRule="exact"/>
              <w:jc w:val="right"/>
              <w:outlineLvl w:val="0"/>
              <w:rPr>
                <w:rFonts w:eastAsia="Times New Roman" w:cs="Arial"/>
                <w:b/>
                <w:bCs/>
                <w:spacing w:val="-2"/>
              </w:rPr>
            </w:pPr>
            <w:r w:rsidRPr="006B318F">
              <w:rPr>
                <w:rFonts w:eastAsia="Times New Roman" w:cs="Arial"/>
                <w:b/>
                <w:bCs/>
                <w:spacing w:val="-2"/>
              </w:rPr>
              <w:t>382,618</w:t>
            </w:r>
          </w:p>
        </w:tc>
        <w:tc>
          <w:tcPr>
            <w:tcW w:w="683" w:type="pct"/>
            <w:tcBorders>
              <w:top w:val="single" w:sz="4" w:space="0" w:color="auto"/>
              <w:left w:val="nil"/>
              <w:bottom w:val="single" w:sz="8" w:space="0" w:color="auto"/>
              <w:right w:val="nil"/>
            </w:tcBorders>
            <w:shd w:val="clear" w:color="auto" w:fill="auto"/>
            <w:vAlign w:val="bottom"/>
          </w:tcPr>
          <w:p w14:paraId="7B279E17" w14:textId="20C78B75" w:rsidR="00E552D5" w:rsidRPr="00736B48" w:rsidRDefault="00E552D5" w:rsidP="00E552D5">
            <w:pPr>
              <w:spacing w:after="0" w:line="280" w:lineRule="exact"/>
              <w:jc w:val="right"/>
              <w:rPr>
                <w:rFonts w:asciiTheme="minorHAnsi" w:eastAsia="Times New Roman" w:hAnsiTheme="minorHAnsi" w:cs="Arial"/>
                <w:b/>
                <w:bCs/>
                <w:lang w:val="hr-HR"/>
              </w:rPr>
            </w:pPr>
            <w:r>
              <w:rPr>
                <w:rFonts w:eastAsia="Times New Roman" w:cs="Arial"/>
                <w:b/>
                <w:bCs/>
              </w:rPr>
              <w:t>113,302</w:t>
            </w:r>
          </w:p>
        </w:tc>
        <w:tc>
          <w:tcPr>
            <w:tcW w:w="756" w:type="pct"/>
            <w:tcBorders>
              <w:top w:val="single" w:sz="4" w:space="0" w:color="auto"/>
              <w:left w:val="nil"/>
              <w:bottom w:val="single" w:sz="8" w:space="0" w:color="auto"/>
              <w:right w:val="nil"/>
            </w:tcBorders>
            <w:shd w:val="clear" w:color="auto" w:fill="auto"/>
            <w:vAlign w:val="bottom"/>
          </w:tcPr>
          <w:p w14:paraId="39E8D869" w14:textId="4C563FC7" w:rsidR="00E552D5" w:rsidRPr="00736B48" w:rsidRDefault="00E552D5" w:rsidP="00E552D5">
            <w:pPr>
              <w:spacing w:after="0" w:line="280" w:lineRule="exact"/>
              <w:jc w:val="right"/>
              <w:rPr>
                <w:rFonts w:asciiTheme="minorHAnsi" w:eastAsia="Times New Roman" w:hAnsiTheme="minorHAnsi" w:cs="Arial"/>
                <w:b/>
                <w:bCs/>
                <w:lang w:val="hr-HR"/>
              </w:rPr>
            </w:pPr>
            <w:r>
              <w:rPr>
                <w:rFonts w:eastAsia="Times New Roman" w:cs="Arial"/>
                <w:b/>
                <w:bCs/>
              </w:rPr>
              <w:t>323,837</w:t>
            </w:r>
          </w:p>
        </w:tc>
      </w:tr>
      <w:tr w:rsidR="00E552D5" w:rsidRPr="00736B48" w14:paraId="0BDEDFD6" w14:textId="77777777" w:rsidTr="005444AA">
        <w:trPr>
          <w:trHeight w:val="136"/>
        </w:trPr>
        <w:tc>
          <w:tcPr>
            <w:tcW w:w="1608" w:type="pct"/>
            <w:vAlign w:val="bottom"/>
          </w:tcPr>
          <w:p w14:paraId="36AF343E" w14:textId="77777777" w:rsidR="00E552D5" w:rsidRPr="00736B48" w:rsidRDefault="00E552D5" w:rsidP="00E552D5">
            <w:pPr>
              <w:tabs>
                <w:tab w:val="right" w:pos="1202"/>
              </w:tabs>
              <w:spacing w:after="0" w:line="200" w:lineRule="exact"/>
              <w:outlineLvl w:val="0"/>
              <w:rPr>
                <w:rFonts w:asciiTheme="minorHAnsi" w:eastAsia="Times New Roman" w:hAnsiTheme="minorHAnsi" w:cs="Arial"/>
                <w:bCs/>
                <w:spacing w:val="-2"/>
                <w:lang w:val="hr-HR"/>
              </w:rPr>
            </w:pPr>
          </w:p>
        </w:tc>
        <w:tc>
          <w:tcPr>
            <w:tcW w:w="438" w:type="pct"/>
            <w:vAlign w:val="bottom"/>
          </w:tcPr>
          <w:p w14:paraId="7A73F7E0" w14:textId="77777777" w:rsidR="00E552D5" w:rsidRPr="00736B48" w:rsidRDefault="00E552D5" w:rsidP="00E552D5">
            <w:pPr>
              <w:spacing w:after="0" w:line="200" w:lineRule="exact"/>
              <w:jc w:val="right"/>
              <w:outlineLvl w:val="0"/>
              <w:rPr>
                <w:rFonts w:asciiTheme="minorHAnsi" w:eastAsia="Times New Roman" w:hAnsiTheme="minorHAnsi" w:cs="Arial"/>
                <w:bCs/>
                <w:spacing w:val="-2"/>
                <w:lang w:val="hr-HR"/>
              </w:rPr>
            </w:pPr>
          </w:p>
        </w:tc>
        <w:tc>
          <w:tcPr>
            <w:tcW w:w="757" w:type="pct"/>
            <w:tcBorders>
              <w:top w:val="single" w:sz="12" w:space="0" w:color="auto"/>
            </w:tcBorders>
            <w:vAlign w:val="bottom"/>
          </w:tcPr>
          <w:p w14:paraId="4DF945E8" w14:textId="77777777" w:rsidR="00E552D5" w:rsidRPr="006B318F" w:rsidRDefault="00E552D5" w:rsidP="006B318F">
            <w:pPr>
              <w:spacing w:after="0" w:line="280" w:lineRule="exact"/>
              <w:jc w:val="right"/>
              <w:outlineLvl w:val="0"/>
              <w:rPr>
                <w:rFonts w:eastAsia="Times New Roman" w:cs="Arial"/>
                <w:bCs/>
                <w:spacing w:val="-2"/>
              </w:rPr>
            </w:pPr>
          </w:p>
        </w:tc>
        <w:tc>
          <w:tcPr>
            <w:tcW w:w="758" w:type="pct"/>
            <w:tcBorders>
              <w:top w:val="single" w:sz="12" w:space="0" w:color="auto"/>
            </w:tcBorders>
            <w:vAlign w:val="bottom"/>
          </w:tcPr>
          <w:p w14:paraId="6EFBC718" w14:textId="77777777" w:rsidR="00E552D5" w:rsidRPr="006B318F" w:rsidRDefault="00E552D5" w:rsidP="006B318F">
            <w:pPr>
              <w:spacing w:after="0" w:line="280" w:lineRule="exact"/>
              <w:jc w:val="right"/>
              <w:outlineLvl w:val="0"/>
              <w:rPr>
                <w:rFonts w:eastAsia="Times New Roman" w:cs="Arial"/>
                <w:bCs/>
                <w:spacing w:val="-2"/>
              </w:rPr>
            </w:pPr>
          </w:p>
        </w:tc>
        <w:tc>
          <w:tcPr>
            <w:tcW w:w="683" w:type="pct"/>
            <w:tcBorders>
              <w:top w:val="single" w:sz="12" w:space="0" w:color="auto"/>
            </w:tcBorders>
            <w:vAlign w:val="bottom"/>
          </w:tcPr>
          <w:p w14:paraId="4C11E08D" w14:textId="77777777" w:rsidR="00E552D5" w:rsidRPr="00736B48" w:rsidRDefault="00E552D5" w:rsidP="00E552D5">
            <w:pPr>
              <w:spacing w:after="0" w:line="280" w:lineRule="exact"/>
              <w:jc w:val="right"/>
              <w:rPr>
                <w:rFonts w:asciiTheme="minorHAnsi" w:eastAsia="Times New Roman" w:hAnsiTheme="minorHAnsi" w:cs="Arial"/>
                <w:b/>
                <w:bCs/>
                <w:lang w:val="hr-HR"/>
              </w:rPr>
            </w:pPr>
          </w:p>
        </w:tc>
        <w:tc>
          <w:tcPr>
            <w:tcW w:w="756" w:type="pct"/>
            <w:tcBorders>
              <w:top w:val="single" w:sz="12" w:space="0" w:color="auto"/>
            </w:tcBorders>
            <w:vAlign w:val="bottom"/>
          </w:tcPr>
          <w:p w14:paraId="64E04C60" w14:textId="77777777" w:rsidR="00E552D5" w:rsidRPr="00736B48" w:rsidRDefault="00E552D5" w:rsidP="00E552D5">
            <w:pPr>
              <w:spacing w:after="0" w:line="280" w:lineRule="exact"/>
              <w:jc w:val="right"/>
              <w:rPr>
                <w:rFonts w:asciiTheme="minorHAnsi" w:eastAsia="Times New Roman" w:hAnsiTheme="minorHAnsi" w:cs="Arial"/>
                <w:b/>
                <w:bCs/>
                <w:lang w:val="hr-HR"/>
              </w:rPr>
            </w:pPr>
          </w:p>
        </w:tc>
      </w:tr>
      <w:tr w:rsidR="00E552D5" w:rsidRPr="00736B48" w14:paraId="16A5C00C" w14:textId="77777777" w:rsidTr="005444AA">
        <w:trPr>
          <w:trHeight w:val="316"/>
        </w:trPr>
        <w:tc>
          <w:tcPr>
            <w:tcW w:w="1608" w:type="pct"/>
            <w:vAlign w:val="bottom"/>
          </w:tcPr>
          <w:p w14:paraId="003DC9DF" w14:textId="77777777" w:rsidR="00E552D5" w:rsidRPr="00736B48" w:rsidRDefault="00E552D5" w:rsidP="00E552D5">
            <w:pPr>
              <w:tabs>
                <w:tab w:val="right" w:pos="1202"/>
              </w:tabs>
              <w:spacing w:after="0" w:line="280" w:lineRule="exact"/>
              <w:outlineLvl w:val="0"/>
              <w:rPr>
                <w:rFonts w:asciiTheme="minorHAnsi" w:eastAsia="Times New Roman" w:hAnsiTheme="minorHAnsi" w:cs="Arial"/>
                <w:bCs/>
                <w:spacing w:val="-2"/>
                <w:lang w:val="hr-HR"/>
              </w:rPr>
            </w:pPr>
            <w:r w:rsidRPr="00D76846">
              <w:rPr>
                <w:rFonts w:cs="Calibri"/>
                <w:bCs/>
                <w:spacing w:val="-2"/>
              </w:rPr>
              <w:t>Operating expenses</w:t>
            </w:r>
          </w:p>
        </w:tc>
        <w:tc>
          <w:tcPr>
            <w:tcW w:w="438" w:type="pct"/>
            <w:vAlign w:val="center"/>
          </w:tcPr>
          <w:p w14:paraId="5D761B2B" w14:textId="77777777" w:rsidR="00E552D5" w:rsidRPr="00736B48" w:rsidRDefault="00E552D5" w:rsidP="00E552D5">
            <w:pPr>
              <w:spacing w:after="0" w:line="280" w:lineRule="exact"/>
              <w:jc w:val="center"/>
              <w:outlineLvl w:val="0"/>
              <w:rPr>
                <w:rFonts w:asciiTheme="minorHAnsi" w:eastAsia="Times New Roman" w:hAnsiTheme="minorHAnsi" w:cs="Arial"/>
                <w:bCs/>
                <w:spacing w:val="-2"/>
                <w:lang w:val="hr-HR"/>
              </w:rPr>
            </w:pPr>
            <w:r w:rsidRPr="00736B48">
              <w:rPr>
                <w:rFonts w:asciiTheme="minorHAnsi" w:eastAsia="Times New Roman" w:hAnsiTheme="minorHAnsi" w:cs="Arial"/>
                <w:bCs/>
                <w:spacing w:val="-2"/>
                <w:lang w:val="hr-HR"/>
              </w:rPr>
              <w:t>6</w:t>
            </w:r>
          </w:p>
        </w:tc>
        <w:tc>
          <w:tcPr>
            <w:tcW w:w="757" w:type="pct"/>
            <w:tcBorders>
              <w:top w:val="nil"/>
              <w:left w:val="nil"/>
              <w:bottom w:val="nil"/>
              <w:right w:val="nil"/>
            </w:tcBorders>
            <w:shd w:val="clear" w:color="auto" w:fill="auto"/>
            <w:vAlign w:val="bottom"/>
          </w:tcPr>
          <w:p w14:paraId="16FD3271" w14:textId="23D99966" w:rsidR="00E552D5" w:rsidRPr="006B318F" w:rsidRDefault="00E552D5" w:rsidP="006B318F">
            <w:pPr>
              <w:spacing w:after="0" w:line="280" w:lineRule="exact"/>
              <w:jc w:val="right"/>
              <w:outlineLvl w:val="0"/>
              <w:rPr>
                <w:rFonts w:eastAsia="Times New Roman" w:cs="Arial"/>
                <w:bCs/>
                <w:spacing w:val="-2"/>
              </w:rPr>
            </w:pPr>
            <w:r w:rsidRPr="006B318F">
              <w:rPr>
                <w:rFonts w:eastAsia="Times New Roman" w:cs="Arial"/>
                <w:bCs/>
                <w:spacing w:val="-2"/>
              </w:rPr>
              <w:t xml:space="preserve"> (36,150)</w:t>
            </w:r>
          </w:p>
        </w:tc>
        <w:tc>
          <w:tcPr>
            <w:tcW w:w="758" w:type="pct"/>
            <w:tcBorders>
              <w:top w:val="nil"/>
              <w:left w:val="nil"/>
              <w:bottom w:val="nil"/>
              <w:right w:val="nil"/>
            </w:tcBorders>
            <w:shd w:val="clear" w:color="auto" w:fill="auto"/>
            <w:vAlign w:val="bottom"/>
          </w:tcPr>
          <w:p w14:paraId="0A84D78B" w14:textId="6DDEAB4E" w:rsidR="00E552D5" w:rsidRPr="006B318F" w:rsidRDefault="00E552D5" w:rsidP="006B318F">
            <w:pPr>
              <w:spacing w:after="0" w:line="280" w:lineRule="exact"/>
              <w:jc w:val="right"/>
              <w:outlineLvl w:val="0"/>
              <w:rPr>
                <w:rFonts w:eastAsia="Times New Roman" w:cs="Arial"/>
                <w:bCs/>
                <w:spacing w:val="-2"/>
              </w:rPr>
            </w:pPr>
            <w:r w:rsidRPr="006B318F">
              <w:rPr>
                <w:rFonts w:eastAsia="Times New Roman" w:cs="Arial"/>
                <w:bCs/>
                <w:spacing w:val="-2"/>
              </w:rPr>
              <w:t xml:space="preserve"> (114,179)</w:t>
            </w:r>
          </w:p>
        </w:tc>
        <w:tc>
          <w:tcPr>
            <w:tcW w:w="683" w:type="pct"/>
            <w:tcBorders>
              <w:top w:val="nil"/>
              <w:left w:val="nil"/>
              <w:bottom w:val="nil"/>
              <w:right w:val="nil"/>
            </w:tcBorders>
            <w:shd w:val="clear" w:color="auto" w:fill="auto"/>
            <w:vAlign w:val="bottom"/>
          </w:tcPr>
          <w:p w14:paraId="254DB5B5" w14:textId="125EB398" w:rsidR="00E552D5" w:rsidRPr="006B318F" w:rsidRDefault="00E552D5" w:rsidP="00E552D5">
            <w:pPr>
              <w:spacing w:after="0" w:line="280" w:lineRule="exact"/>
              <w:jc w:val="right"/>
              <w:rPr>
                <w:rFonts w:eastAsia="Times New Roman" w:cs="Arial"/>
                <w:bCs/>
              </w:rPr>
            </w:pPr>
            <w:r w:rsidRPr="00A63E7A">
              <w:rPr>
                <w:rFonts w:eastAsia="Times New Roman" w:cs="Arial"/>
                <w:bCs/>
              </w:rPr>
              <w:t>(37,353)</w:t>
            </w:r>
          </w:p>
        </w:tc>
        <w:tc>
          <w:tcPr>
            <w:tcW w:w="756" w:type="pct"/>
            <w:tcBorders>
              <w:top w:val="nil"/>
              <w:left w:val="nil"/>
              <w:bottom w:val="nil"/>
              <w:right w:val="nil"/>
            </w:tcBorders>
            <w:shd w:val="clear" w:color="auto" w:fill="auto"/>
            <w:vAlign w:val="bottom"/>
          </w:tcPr>
          <w:p w14:paraId="31409BCC" w14:textId="561C8331" w:rsidR="00E552D5" w:rsidRPr="006B318F" w:rsidRDefault="00E552D5" w:rsidP="00E552D5">
            <w:pPr>
              <w:spacing w:after="0" w:line="280" w:lineRule="exact"/>
              <w:jc w:val="right"/>
              <w:rPr>
                <w:rFonts w:eastAsia="Times New Roman" w:cs="Arial"/>
                <w:bCs/>
              </w:rPr>
            </w:pPr>
            <w:r w:rsidRPr="00A63E7A">
              <w:rPr>
                <w:rFonts w:eastAsia="Times New Roman" w:cs="Arial"/>
                <w:bCs/>
              </w:rPr>
              <w:t>(119,252)</w:t>
            </w:r>
          </w:p>
        </w:tc>
      </w:tr>
      <w:tr w:rsidR="00E552D5" w:rsidRPr="00736B48" w14:paraId="38D096C2" w14:textId="77777777" w:rsidTr="005444AA">
        <w:trPr>
          <w:trHeight w:val="316"/>
        </w:trPr>
        <w:tc>
          <w:tcPr>
            <w:tcW w:w="1608" w:type="pct"/>
            <w:vAlign w:val="bottom"/>
          </w:tcPr>
          <w:p w14:paraId="6FC54527" w14:textId="77777777" w:rsidR="00E552D5" w:rsidRPr="00736B48" w:rsidRDefault="00E552D5" w:rsidP="00E552D5">
            <w:pPr>
              <w:tabs>
                <w:tab w:val="right" w:pos="1202"/>
              </w:tabs>
              <w:spacing w:after="0" w:line="280" w:lineRule="exact"/>
              <w:outlineLvl w:val="0"/>
              <w:rPr>
                <w:rFonts w:asciiTheme="minorHAnsi" w:eastAsia="Times New Roman" w:hAnsiTheme="minorHAnsi" w:cs="Arial"/>
                <w:bCs/>
                <w:spacing w:val="-2"/>
                <w:lang w:val="hr-HR"/>
              </w:rPr>
            </w:pPr>
            <w:r w:rsidRPr="00D76846">
              <w:rPr>
                <w:rFonts w:cs="Calibri"/>
                <w:bCs/>
                <w:spacing w:val="-2"/>
              </w:rPr>
              <w:t>Impairment loss and provisions</w:t>
            </w:r>
          </w:p>
        </w:tc>
        <w:tc>
          <w:tcPr>
            <w:tcW w:w="438" w:type="pct"/>
            <w:vAlign w:val="center"/>
          </w:tcPr>
          <w:p w14:paraId="7DFADD3A" w14:textId="77777777" w:rsidR="00E552D5" w:rsidRPr="00736B48" w:rsidRDefault="00E552D5" w:rsidP="00E552D5">
            <w:pPr>
              <w:spacing w:after="0" w:line="280" w:lineRule="exact"/>
              <w:jc w:val="center"/>
              <w:outlineLvl w:val="0"/>
              <w:rPr>
                <w:rFonts w:asciiTheme="minorHAnsi" w:eastAsia="Times New Roman" w:hAnsiTheme="minorHAnsi" w:cs="Arial"/>
                <w:bCs/>
                <w:spacing w:val="-2"/>
                <w:lang w:val="hr-HR"/>
              </w:rPr>
            </w:pPr>
            <w:r w:rsidRPr="00736B48">
              <w:rPr>
                <w:rFonts w:asciiTheme="minorHAnsi" w:eastAsia="Times New Roman" w:hAnsiTheme="minorHAnsi" w:cs="Arial"/>
                <w:bCs/>
                <w:spacing w:val="-2"/>
                <w:lang w:val="hr-HR"/>
              </w:rPr>
              <w:t>7</w:t>
            </w:r>
          </w:p>
        </w:tc>
        <w:tc>
          <w:tcPr>
            <w:tcW w:w="757" w:type="pct"/>
            <w:tcBorders>
              <w:top w:val="nil"/>
              <w:left w:val="nil"/>
              <w:bottom w:val="nil"/>
              <w:right w:val="nil"/>
            </w:tcBorders>
            <w:shd w:val="clear" w:color="auto" w:fill="auto"/>
            <w:vAlign w:val="bottom"/>
          </w:tcPr>
          <w:p w14:paraId="1C060836" w14:textId="1EE1D8C0" w:rsidR="00E552D5" w:rsidRPr="006B318F" w:rsidRDefault="00E552D5" w:rsidP="006B318F">
            <w:pPr>
              <w:spacing w:after="0" w:line="280" w:lineRule="exact"/>
              <w:jc w:val="right"/>
              <w:outlineLvl w:val="0"/>
              <w:rPr>
                <w:rFonts w:eastAsia="Times New Roman" w:cs="Arial"/>
                <w:bCs/>
                <w:spacing w:val="-2"/>
              </w:rPr>
            </w:pPr>
            <w:r w:rsidRPr="006B318F">
              <w:rPr>
                <w:rFonts w:eastAsia="Times New Roman" w:cs="Arial"/>
                <w:bCs/>
                <w:spacing w:val="-2"/>
              </w:rPr>
              <w:t xml:space="preserve"> (48,773)</w:t>
            </w:r>
          </w:p>
        </w:tc>
        <w:tc>
          <w:tcPr>
            <w:tcW w:w="758" w:type="pct"/>
            <w:tcBorders>
              <w:top w:val="nil"/>
              <w:left w:val="nil"/>
              <w:bottom w:val="nil"/>
              <w:right w:val="nil"/>
            </w:tcBorders>
            <w:shd w:val="clear" w:color="auto" w:fill="auto"/>
            <w:vAlign w:val="bottom"/>
          </w:tcPr>
          <w:p w14:paraId="2E75C920" w14:textId="59451172" w:rsidR="00E552D5" w:rsidRPr="006B318F" w:rsidRDefault="00E552D5" w:rsidP="006B318F">
            <w:pPr>
              <w:spacing w:after="0" w:line="280" w:lineRule="exact"/>
              <w:jc w:val="right"/>
              <w:outlineLvl w:val="0"/>
              <w:rPr>
                <w:rFonts w:eastAsia="Times New Roman" w:cs="Arial"/>
                <w:bCs/>
                <w:spacing w:val="-2"/>
              </w:rPr>
            </w:pPr>
            <w:r w:rsidRPr="006B318F">
              <w:rPr>
                <w:rFonts w:eastAsia="Times New Roman" w:cs="Arial"/>
                <w:bCs/>
                <w:spacing w:val="-2"/>
              </w:rPr>
              <w:t xml:space="preserve"> (91,898)</w:t>
            </w:r>
          </w:p>
        </w:tc>
        <w:tc>
          <w:tcPr>
            <w:tcW w:w="683" w:type="pct"/>
            <w:tcBorders>
              <w:top w:val="nil"/>
              <w:left w:val="nil"/>
              <w:bottom w:val="nil"/>
              <w:right w:val="nil"/>
            </w:tcBorders>
            <w:shd w:val="clear" w:color="auto" w:fill="auto"/>
            <w:vAlign w:val="bottom"/>
          </w:tcPr>
          <w:p w14:paraId="77B18B5E" w14:textId="49BB1822" w:rsidR="00E552D5" w:rsidRPr="006B318F" w:rsidRDefault="00E552D5" w:rsidP="00E552D5">
            <w:pPr>
              <w:spacing w:after="0" w:line="280" w:lineRule="exact"/>
              <w:jc w:val="right"/>
              <w:rPr>
                <w:rFonts w:eastAsia="Times New Roman" w:cs="Arial"/>
                <w:bCs/>
              </w:rPr>
            </w:pPr>
            <w:r w:rsidRPr="00A63E7A">
              <w:rPr>
                <w:rFonts w:eastAsia="Times New Roman" w:cs="Arial"/>
                <w:bCs/>
              </w:rPr>
              <w:t>(23,849)</w:t>
            </w:r>
          </w:p>
        </w:tc>
        <w:tc>
          <w:tcPr>
            <w:tcW w:w="756" w:type="pct"/>
            <w:tcBorders>
              <w:top w:val="nil"/>
              <w:left w:val="nil"/>
              <w:bottom w:val="nil"/>
              <w:right w:val="nil"/>
            </w:tcBorders>
            <w:shd w:val="clear" w:color="auto" w:fill="auto"/>
            <w:vAlign w:val="bottom"/>
          </w:tcPr>
          <w:p w14:paraId="713C7E92" w14:textId="2999A266" w:rsidR="00E552D5" w:rsidRPr="006B318F" w:rsidRDefault="00E552D5" w:rsidP="00E552D5">
            <w:pPr>
              <w:spacing w:after="0" w:line="280" w:lineRule="exact"/>
              <w:jc w:val="right"/>
              <w:rPr>
                <w:rFonts w:eastAsia="Times New Roman" w:cs="Arial"/>
                <w:bCs/>
              </w:rPr>
            </w:pPr>
            <w:r w:rsidRPr="00A63E7A">
              <w:rPr>
                <w:rFonts w:eastAsia="Times New Roman" w:cs="Arial"/>
                <w:bCs/>
              </w:rPr>
              <w:t>(44,807)</w:t>
            </w:r>
          </w:p>
        </w:tc>
      </w:tr>
      <w:tr w:rsidR="00E552D5" w:rsidRPr="00736B48" w14:paraId="6D462C90" w14:textId="77777777" w:rsidTr="005444AA">
        <w:trPr>
          <w:trHeight w:val="101"/>
        </w:trPr>
        <w:tc>
          <w:tcPr>
            <w:tcW w:w="1608" w:type="pct"/>
            <w:vAlign w:val="bottom"/>
          </w:tcPr>
          <w:p w14:paraId="353463B9" w14:textId="77777777" w:rsidR="00E552D5" w:rsidRPr="00736B48" w:rsidRDefault="00E552D5" w:rsidP="00E552D5">
            <w:pPr>
              <w:keepNext/>
              <w:keepLines/>
              <w:tabs>
                <w:tab w:val="decimal" w:pos="1202"/>
              </w:tabs>
              <w:spacing w:after="0" w:line="280" w:lineRule="exact"/>
              <w:rPr>
                <w:rFonts w:asciiTheme="minorHAnsi" w:eastAsia="Times New Roman" w:hAnsiTheme="minorHAnsi" w:cs="Arial"/>
                <w:b/>
                <w:position w:val="4"/>
                <w:lang w:val="hr-HR"/>
              </w:rPr>
            </w:pPr>
          </w:p>
        </w:tc>
        <w:tc>
          <w:tcPr>
            <w:tcW w:w="438" w:type="pct"/>
            <w:vAlign w:val="center"/>
          </w:tcPr>
          <w:p w14:paraId="35E2827B" w14:textId="77777777" w:rsidR="00E552D5" w:rsidRPr="00736B48" w:rsidRDefault="00E552D5" w:rsidP="00E552D5">
            <w:pPr>
              <w:keepNext/>
              <w:keepLines/>
              <w:spacing w:after="0" w:line="280" w:lineRule="exact"/>
              <w:jc w:val="center"/>
              <w:rPr>
                <w:rFonts w:asciiTheme="minorHAnsi" w:eastAsia="Times New Roman" w:hAnsiTheme="minorHAnsi" w:cs="Arial"/>
                <w:b/>
                <w:spacing w:val="-2"/>
                <w:position w:val="4"/>
                <w:lang w:val="hr-HR"/>
              </w:rPr>
            </w:pPr>
          </w:p>
        </w:tc>
        <w:tc>
          <w:tcPr>
            <w:tcW w:w="757" w:type="pct"/>
            <w:tcBorders>
              <w:bottom w:val="single" w:sz="4" w:space="0" w:color="auto"/>
            </w:tcBorders>
            <w:vAlign w:val="bottom"/>
          </w:tcPr>
          <w:p w14:paraId="4DB46D18" w14:textId="77777777" w:rsidR="00E552D5" w:rsidRPr="006B318F" w:rsidRDefault="00E552D5" w:rsidP="006B318F">
            <w:pPr>
              <w:spacing w:after="0" w:line="280" w:lineRule="exact"/>
              <w:jc w:val="right"/>
              <w:outlineLvl w:val="0"/>
              <w:rPr>
                <w:rFonts w:eastAsia="Times New Roman" w:cs="Arial"/>
                <w:bCs/>
                <w:spacing w:val="-2"/>
              </w:rPr>
            </w:pPr>
          </w:p>
        </w:tc>
        <w:tc>
          <w:tcPr>
            <w:tcW w:w="758" w:type="pct"/>
            <w:tcBorders>
              <w:bottom w:val="single" w:sz="4" w:space="0" w:color="auto"/>
            </w:tcBorders>
            <w:vAlign w:val="bottom"/>
          </w:tcPr>
          <w:p w14:paraId="1DCA0557" w14:textId="77777777" w:rsidR="00E552D5" w:rsidRPr="006B318F" w:rsidRDefault="00E552D5" w:rsidP="006B318F">
            <w:pPr>
              <w:spacing w:after="0" w:line="280" w:lineRule="exact"/>
              <w:jc w:val="right"/>
              <w:outlineLvl w:val="0"/>
              <w:rPr>
                <w:rFonts w:eastAsia="Times New Roman" w:cs="Arial"/>
                <w:bCs/>
                <w:spacing w:val="-2"/>
              </w:rPr>
            </w:pPr>
          </w:p>
        </w:tc>
        <w:tc>
          <w:tcPr>
            <w:tcW w:w="683" w:type="pct"/>
            <w:tcBorders>
              <w:bottom w:val="single" w:sz="4" w:space="0" w:color="auto"/>
            </w:tcBorders>
            <w:vAlign w:val="bottom"/>
          </w:tcPr>
          <w:p w14:paraId="6A3BA95A" w14:textId="77777777" w:rsidR="00E552D5" w:rsidRPr="00736B48" w:rsidRDefault="00E552D5" w:rsidP="00E552D5">
            <w:pPr>
              <w:spacing w:after="0" w:line="280" w:lineRule="exact"/>
              <w:jc w:val="right"/>
              <w:rPr>
                <w:rFonts w:asciiTheme="minorHAnsi" w:eastAsia="Times New Roman" w:hAnsiTheme="minorHAnsi" w:cs="Arial"/>
                <w:b/>
                <w:bCs/>
                <w:lang w:val="hr-HR"/>
              </w:rPr>
            </w:pPr>
          </w:p>
        </w:tc>
        <w:tc>
          <w:tcPr>
            <w:tcW w:w="756" w:type="pct"/>
            <w:tcBorders>
              <w:bottom w:val="single" w:sz="4" w:space="0" w:color="auto"/>
            </w:tcBorders>
            <w:vAlign w:val="bottom"/>
          </w:tcPr>
          <w:p w14:paraId="0DDCDE3B" w14:textId="77777777" w:rsidR="00E552D5" w:rsidRPr="00736B48" w:rsidRDefault="00E552D5" w:rsidP="00E552D5">
            <w:pPr>
              <w:spacing w:after="0" w:line="280" w:lineRule="exact"/>
              <w:jc w:val="right"/>
              <w:rPr>
                <w:rFonts w:asciiTheme="minorHAnsi" w:eastAsia="Times New Roman" w:hAnsiTheme="minorHAnsi" w:cs="Arial"/>
                <w:b/>
                <w:bCs/>
                <w:lang w:val="hr-HR"/>
              </w:rPr>
            </w:pPr>
          </w:p>
        </w:tc>
      </w:tr>
      <w:tr w:rsidR="00E552D5" w:rsidRPr="00736B48" w14:paraId="7C30C648" w14:textId="77777777" w:rsidTr="005444AA">
        <w:trPr>
          <w:trHeight w:hRule="exact" w:val="357"/>
        </w:trPr>
        <w:tc>
          <w:tcPr>
            <w:tcW w:w="1608" w:type="pct"/>
            <w:vAlign w:val="bottom"/>
          </w:tcPr>
          <w:p w14:paraId="382873D1" w14:textId="77777777" w:rsidR="00E552D5" w:rsidRPr="00736B48" w:rsidRDefault="00E552D5" w:rsidP="00E552D5">
            <w:pPr>
              <w:tabs>
                <w:tab w:val="right" w:pos="1202"/>
              </w:tabs>
              <w:spacing w:after="0" w:line="280" w:lineRule="exact"/>
              <w:outlineLvl w:val="0"/>
              <w:rPr>
                <w:rFonts w:asciiTheme="minorHAnsi" w:eastAsia="Times New Roman" w:hAnsiTheme="minorHAnsi" w:cs="Arial"/>
                <w:b/>
                <w:bCs/>
                <w:lang w:val="hr-HR"/>
              </w:rPr>
            </w:pPr>
            <w:r w:rsidRPr="00D76846">
              <w:rPr>
                <w:rFonts w:cs="Calibri"/>
                <w:b/>
                <w:bCs/>
              </w:rPr>
              <w:t>Profit before income tax</w:t>
            </w:r>
          </w:p>
        </w:tc>
        <w:tc>
          <w:tcPr>
            <w:tcW w:w="438" w:type="pct"/>
            <w:vAlign w:val="center"/>
          </w:tcPr>
          <w:p w14:paraId="02EFFB29" w14:textId="77777777" w:rsidR="00E552D5" w:rsidRPr="00736B48" w:rsidRDefault="00E552D5" w:rsidP="00E552D5">
            <w:pPr>
              <w:tabs>
                <w:tab w:val="right" w:pos="1202"/>
              </w:tabs>
              <w:spacing w:after="0" w:line="280" w:lineRule="exact"/>
              <w:jc w:val="center"/>
              <w:outlineLvl w:val="0"/>
              <w:rPr>
                <w:rFonts w:asciiTheme="minorHAnsi" w:eastAsia="Times New Roman" w:hAnsiTheme="minorHAnsi" w:cs="Arial"/>
                <w:b/>
                <w:bCs/>
                <w:lang w:val="hr-HR"/>
              </w:rPr>
            </w:pPr>
          </w:p>
        </w:tc>
        <w:tc>
          <w:tcPr>
            <w:tcW w:w="757" w:type="pct"/>
            <w:tcBorders>
              <w:top w:val="single" w:sz="4" w:space="0" w:color="auto"/>
              <w:left w:val="nil"/>
              <w:bottom w:val="single" w:sz="8" w:space="0" w:color="auto"/>
              <w:right w:val="nil"/>
            </w:tcBorders>
            <w:shd w:val="clear" w:color="auto" w:fill="auto"/>
            <w:vAlign w:val="bottom"/>
          </w:tcPr>
          <w:p w14:paraId="4B830C64" w14:textId="05F7F8ED" w:rsidR="00E552D5" w:rsidRPr="006B318F" w:rsidRDefault="00E552D5" w:rsidP="006B318F">
            <w:pPr>
              <w:spacing w:after="0" w:line="280" w:lineRule="exact"/>
              <w:jc w:val="right"/>
              <w:outlineLvl w:val="0"/>
              <w:rPr>
                <w:rFonts w:eastAsia="Times New Roman" w:cs="Arial"/>
                <w:b/>
                <w:bCs/>
                <w:spacing w:val="-2"/>
              </w:rPr>
            </w:pPr>
            <w:r w:rsidRPr="006B318F">
              <w:rPr>
                <w:rFonts w:eastAsia="Times New Roman" w:cs="Arial"/>
                <w:b/>
                <w:bCs/>
                <w:spacing w:val="-2"/>
              </w:rPr>
              <w:t>45,791</w:t>
            </w:r>
          </w:p>
        </w:tc>
        <w:tc>
          <w:tcPr>
            <w:tcW w:w="758" w:type="pct"/>
            <w:tcBorders>
              <w:top w:val="single" w:sz="4" w:space="0" w:color="auto"/>
              <w:left w:val="nil"/>
              <w:bottom w:val="single" w:sz="8" w:space="0" w:color="auto"/>
              <w:right w:val="nil"/>
            </w:tcBorders>
            <w:shd w:val="clear" w:color="auto" w:fill="auto"/>
            <w:vAlign w:val="bottom"/>
          </w:tcPr>
          <w:p w14:paraId="7D7F3085" w14:textId="151555B8" w:rsidR="00E552D5" w:rsidRPr="006B318F" w:rsidRDefault="00E552D5" w:rsidP="006B318F">
            <w:pPr>
              <w:spacing w:after="0" w:line="280" w:lineRule="exact"/>
              <w:jc w:val="right"/>
              <w:outlineLvl w:val="0"/>
              <w:rPr>
                <w:rFonts w:eastAsia="Times New Roman" w:cs="Arial"/>
                <w:b/>
                <w:bCs/>
                <w:spacing w:val="-2"/>
              </w:rPr>
            </w:pPr>
            <w:r w:rsidRPr="006B318F">
              <w:rPr>
                <w:rFonts w:eastAsia="Times New Roman" w:cs="Arial"/>
                <w:b/>
                <w:bCs/>
                <w:spacing w:val="-2"/>
              </w:rPr>
              <w:t>176,541</w:t>
            </w:r>
          </w:p>
        </w:tc>
        <w:tc>
          <w:tcPr>
            <w:tcW w:w="683" w:type="pct"/>
            <w:tcBorders>
              <w:top w:val="single" w:sz="4" w:space="0" w:color="auto"/>
              <w:left w:val="nil"/>
              <w:bottom w:val="single" w:sz="8" w:space="0" w:color="auto"/>
              <w:right w:val="nil"/>
            </w:tcBorders>
            <w:shd w:val="clear" w:color="auto" w:fill="auto"/>
            <w:vAlign w:val="bottom"/>
          </w:tcPr>
          <w:p w14:paraId="13754725" w14:textId="6E5D522C" w:rsidR="00E552D5" w:rsidRPr="006B318F" w:rsidRDefault="00E552D5" w:rsidP="00E552D5">
            <w:pPr>
              <w:spacing w:after="0" w:line="280" w:lineRule="exact"/>
              <w:jc w:val="right"/>
              <w:rPr>
                <w:rFonts w:eastAsia="Times New Roman" w:cs="Arial"/>
                <w:b/>
                <w:bCs/>
              </w:rPr>
            </w:pPr>
            <w:r>
              <w:rPr>
                <w:rFonts w:eastAsia="Times New Roman" w:cs="Arial"/>
                <w:b/>
                <w:bCs/>
              </w:rPr>
              <w:t>52,100</w:t>
            </w:r>
          </w:p>
        </w:tc>
        <w:tc>
          <w:tcPr>
            <w:tcW w:w="756" w:type="pct"/>
            <w:tcBorders>
              <w:top w:val="single" w:sz="4" w:space="0" w:color="auto"/>
              <w:left w:val="nil"/>
              <w:bottom w:val="single" w:sz="8" w:space="0" w:color="auto"/>
              <w:right w:val="nil"/>
            </w:tcBorders>
            <w:shd w:val="clear" w:color="auto" w:fill="auto"/>
            <w:vAlign w:val="bottom"/>
          </w:tcPr>
          <w:p w14:paraId="15370E6A" w14:textId="76E5DA35" w:rsidR="00E552D5" w:rsidRPr="006B318F" w:rsidRDefault="00E552D5" w:rsidP="00E552D5">
            <w:pPr>
              <w:spacing w:after="0" w:line="280" w:lineRule="exact"/>
              <w:jc w:val="right"/>
              <w:rPr>
                <w:rFonts w:eastAsia="Times New Roman" w:cs="Arial"/>
                <w:b/>
                <w:bCs/>
              </w:rPr>
            </w:pPr>
            <w:r>
              <w:rPr>
                <w:rFonts w:eastAsia="Times New Roman" w:cs="Arial"/>
                <w:b/>
                <w:bCs/>
              </w:rPr>
              <w:t>159,778</w:t>
            </w:r>
          </w:p>
        </w:tc>
      </w:tr>
      <w:tr w:rsidR="00E552D5" w:rsidRPr="00736B48" w14:paraId="22863F5D" w14:textId="77777777" w:rsidTr="005444AA">
        <w:trPr>
          <w:trHeight w:val="130"/>
        </w:trPr>
        <w:tc>
          <w:tcPr>
            <w:tcW w:w="1608" w:type="pct"/>
            <w:vAlign w:val="bottom"/>
          </w:tcPr>
          <w:p w14:paraId="7633A6D3" w14:textId="77777777" w:rsidR="00E552D5" w:rsidRPr="00736B48" w:rsidRDefault="00E552D5" w:rsidP="00E552D5">
            <w:pPr>
              <w:tabs>
                <w:tab w:val="right" w:pos="1202"/>
              </w:tabs>
              <w:spacing w:after="0" w:line="200" w:lineRule="exact"/>
              <w:outlineLvl w:val="0"/>
              <w:rPr>
                <w:rFonts w:asciiTheme="minorHAnsi" w:eastAsia="Times New Roman" w:hAnsiTheme="minorHAnsi" w:cs="Arial"/>
                <w:b/>
                <w:bCs/>
                <w:lang w:val="hr-HR"/>
              </w:rPr>
            </w:pPr>
          </w:p>
        </w:tc>
        <w:tc>
          <w:tcPr>
            <w:tcW w:w="438" w:type="pct"/>
            <w:vAlign w:val="center"/>
          </w:tcPr>
          <w:p w14:paraId="3693D16F" w14:textId="77777777" w:rsidR="00E552D5" w:rsidRPr="00736B48" w:rsidRDefault="00E552D5" w:rsidP="00E552D5">
            <w:pPr>
              <w:tabs>
                <w:tab w:val="right" w:pos="1202"/>
              </w:tabs>
              <w:spacing w:after="0" w:line="200" w:lineRule="exact"/>
              <w:jc w:val="center"/>
              <w:outlineLvl w:val="0"/>
              <w:rPr>
                <w:rFonts w:asciiTheme="minorHAnsi" w:eastAsia="Times New Roman" w:hAnsiTheme="minorHAnsi" w:cs="Arial"/>
                <w:b/>
                <w:bCs/>
                <w:lang w:val="hr-HR"/>
              </w:rPr>
            </w:pPr>
          </w:p>
        </w:tc>
        <w:tc>
          <w:tcPr>
            <w:tcW w:w="757" w:type="pct"/>
            <w:tcBorders>
              <w:top w:val="single" w:sz="12" w:space="0" w:color="auto"/>
            </w:tcBorders>
            <w:vAlign w:val="bottom"/>
          </w:tcPr>
          <w:p w14:paraId="5FD64EA3" w14:textId="77777777" w:rsidR="00E552D5" w:rsidRPr="006B318F" w:rsidRDefault="00E552D5" w:rsidP="006B318F">
            <w:pPr>
              <w:spacing w:after="0" w:line="280" w:lineRule="exact"/>
              <w:jc w:val="right"/>
              <w:outlineLvl w:val="0"/>
              <w:rPr>
                <w:rFonts w:eastAsia="Times New Roman" w:cs="Arial"/>
                <w:bCs/>
                <w:spacing w:val="-2"/>
              </w:rPr>
            </w:pPr>
          </w:p>
        </w:tc>
        <w:tc>
          <w:tcPr>
            <w:tcW w:w="758" w:type="pct"/>
            <w:tcBorders>
              <w:top w:val="single" w:sz="12" w:space="0" w:color="auto"/>
            </w:tcBorders>
            <w:vAlign w:val="bottom"/>
          </w:tcPr>
          <w:p w14:paraId="3B93AFB6" w14:textId="77777777" w:rsidR="00E552D5" w:rsidRPr="006B318F" w:rsidRDefault="00E552D5" w:rsidP="006B318F">
            <w:pPr>
              <w:spacing w:after="0" w:line="280" w:lineRule="exact"/>
              <w:jc w:val="right"/>
              <w:outlineLvl w:val="0"/>
              <w:rPr>
                <w:rFonts w:eastAsia="Times New Roman" w:cs="Arial"/>
                <w:bCs/>
                <w:spacing w:val="-2"/>
              </w:rPr>
            </w:pPr>
          </w:p>
        </w:tc>
        <w:tc>
          <w:tcPr>
            <w:tcW w:w="683" w:type="pct"/>
            <w:tcBorders>
              <w:top w:val="single" w:sz="12" w:space="0" w:color="auto"/>
            </w:tcBorders>
            <w:vAlign w:val="bottom"/>
          </w:tcPr>
          <w:p w14:paraId="2BC8B38F" w14:textId="77777777" w:rsidR="00E552D5" w:rsidRPr="00736B48" w:rsidRDefault="00E552D5" w:rsidP="00E552D5">
            <w:pPr>
              <w:spacing w:after="0" w:line="280" w:lineRule="exact"/>
              <w:jc w:val="right"/>
              <w:rPr>
                <w:rFonts w:asciiTheme="minorHAnsi" w:eastAsia="Times New Roman" w:hAnsiTheme="minorHAnsi" w:cs="Arial"/>
                <w:b/>
                <w:bCs/>
                <w:lang w:val="hr-HR"/>
              </w:rPr>
            </w:pPr>
          </w:p>
        </w:tc>
        <w:tc>
          <w:tcPr>
            <w:tcW w:w="756" w:type="pct"/>
            <w:tcBorders>
              <w:top w:val="single" w:sz="12" w:space="0" w:color="auto"/>
            </w:tcBorders>
            <w:vAlign w:val="bottom"/>
          </w:tcPr>
          <w:p w14:paraId="4D9D31A4" w14:textId="77777777" w:rsidR="00E552D5" w:rsidRPr="00736B48" w:rsidRDefault="00E552D5" w:rsidP="00E552D5">
            <w:pPr>
              <w:spacing w:after="0" w:line="280" w:lineRule="exact"/>
              <w:jc w:val="right"/>
              <w:rPr>
                <w:rFonts w:asciiTheme="minorHAnsi" w:eastAsia="Times New Roman" w:hAnsiTheme="minorHAnsi" w:cs="Arial"/>
                <w:b/>
                <w:bCs/>
                <w:lang w:val="hr-HR"/>
              </w:rPr>
            </w:pPr>
          </w:p>
        </w:tc>
      </w:tr>
      <w:tr w:rsidR="00E552D5" w:rsidRPr="00736B48" w14:paraId="4D84922F" w14:textId="77777777" w:rsidTr="005444AA">
        <w:trPr>
          <w:trHeight w:val="359"/>
        </w:trPr>
        <w:tc>
          <w:tcPr>
            <w:tcW w:w="1608" w:type="pct"/>
            <w:vAlign w:val="bottom"/>
          </w:tcPr>
          <w:p w14:paraId="1339A403" w14:textId="77777777" w:rsidR="00E552D5" w:rsidRPr="00736B48" w:rsidRDefault="00E552D5" w:rsidP="00E552D5">
            <w:pPr>
              <w:tabs>
                <w:tab w:val="right" w:pos="1202"/>
              </w:tabs>
              <w:spacing w:after="0" w:line="280" w:lineRule="exact"/>
              <w:outlineLvl w:val="0"/>
              <w:rPr>
                <w:rFonts w:asciiTheme="minorHAnsi" w:eastAsia="Times New Roman" w:hAnsiTheme="minorHAnsi" w:cs="Arial"/>
                <w:lang w:val="hr-HR"/>
              </w:rPr>
            </w:pPr>
            <w:r w:rsidRPr="00D76846">
              <w:rPr>
                <w:rFonts w:cs="Calibri"/>
              </w:rPr>
              <w:t>Income tax</w:t>
            </w:r>
          </w:p>
        </w:tc>
        <w:tc>
          <w:tcPr>
            <w:tcW w:w="438" w:type="pct"/>
            <w:vAlign w:val="center"/>
          </w:tcPr>
          <w:p w14:paraId="2555B6AC" w14:textId="77777777" w:rsidR="00E552D5" w:rsidRPr="00736B48" w:rsidRDefault="00E552D5" w:rsidP="00E552D5">
            <w:pPr>
              <w:tabs>
                <w:tab w:val="right" w:pos="1202"/>
              </w:tabs>
              <w:spacing w:after="0" w:line="280" w:lineRule="exact"/>
              <w:jc w:val="center"/>
              <w:outlineLvl w:val="0"/>
              <w:rPr>
                <w:rFonts w:asciiTheme="minorHAnsi" w:eastAsia="Times New Roman" w:hAnsiTheme="minorHAnsi" w:cs="Arial"/>
                <w:lang w:val="hr-HR"/>
              </w:rPr>
            </w:pPr>
          </w:p>
        </w:tc>
        <w:tc>
          <w:tcPr>
            <w:tcW w:w="757" w:type="pct"/>
            <w:tcBorders>
              <w:bottom w:val="single" w:sz="4" w:space="0" w:color="auto"/>
            </w:tcBorders>
            <w:vAlign w:val="bottom"/>
          </w:tcPr>
          <w:p w14:paraId="644DA512" w14:textId="6AF1204F" w:rsidR="00E552D5" w:rsidRPr="006B318F" w:rsidRDefault="00E552D5" w:rsidP="006B318F">
            <w:pPr>
              <w:spacing w:after="0" w:line="280" w:lineRule="exact"/>
              <w:jc w:val="right"/>
              <w:outlineLvl w:val="0"/>
              <w:rPr>
                <w:rFonts w:eastAsia="Times New Roman" w:cs="Arial"/>
                <w:bCs/>
                <w:spacing w:val="-2"/>
              </w:rPr>
            </w:pPr>
            <w:r w:rsidRPr="006B318F">
              <w:rPr>
                <w:rFonts w:eastAsia="Times New Roman" w:cs="Arial"/>
                <w:bCs/>
                <w:spacing w:val="-2"/>
              </w:rPr>
              <w:t>-</w:t>
            </w:r>
          </w:p>
        </w:tc>
        <w:tc>
          <w:tcPr>
            <w:tcW w:w="758" w:type="pct"/>
            <w:tcBorders>
              <w:bottom w:val="single" w:sz="4" w:space="0" w:color="auto"/>
            </w:tcBorders>
            <w:vAlign w:val="bottom"/>
          </w:tcPr>
          <w:p w14:paraId="11C29369" w14:textId="3F7156AF" w:rsidR="00E552D5" w:rsidRPr="006B318F" w:rsidRDefault="00E552D5" w:rsidP="006B318F">
            <w:pPr>
              <w:spacing w:after="0" w:line="280" w:lineRule="exact"/>
              <w:jc w:val="right"/>
              <w:outlineLvl w:val="0"/>
              <w:rPr>
                <w:rFonts w:eastAsia="Times New Roman" w:cs="Arial"/>
                <w:bCs/>
                <w:spacing w:val="-2"/>
              </w:rPr>
            </w:pPr>
            <w:r w:rsidRPr="006B318F">
              <w:rPr>
                <w:rFonts w:eastAsia="Times New Roman" w:cs="Arial"/>
                <w:bCs/>
                <w:spacing w:val="-2"/>
              </w:rPr>
              <w:t>-</w:t>
            </w:r>
          </w:p>
        </w:tc>
        <w:tc>
          <w:tcPr>
            <w:tcW w:w="683" w:type="pct"/>
            <w:tcBorders>
              <w:bottom w:val="single" w:sz="4" w:space="0" w:color="auto"/>
            </w:tcBorders>
            <w:vAlign w:val="bottom"/>
          </w:tcPr>
          <w:p w14:paraId="709DDDE3" w14:textId="7A174546" w:rsidR="00E552D5" w:rsidRPr="00736B48" w:rsidRDefault="00E552D5" w:rsidP="00E552D5">
            <w:pPr>
              <w:spacing w:after="0" w:line="280" w:lineRule="exact"/>
              <w:jc w:val="right"/>
              <w:rPr>
                <w:rFonts w:asciiTheme="minorHAnsi" w:eastAsia="Times New Roman" w:hAnsiTheme="minorHAnsi" w:cs="Arial"/>
                <w:bCs/>
                <w:lang w:val="hr-HR"/>
              </w:rPr>
            </w:pPr>
            <w:r>
              <w:rPr>
                <w:rFonts w:eastAsia="Times New Roman" w:cs="Arial"/>
                <w:bCs/>
              </w:rPr>
              <w:t>-</w:t>
            </w:r>
          </w:p>
        </w:tc>
        <w:tc>
          <w:tcPr>
            <w:tcW w:w="756" w:type="pct"/>
            <w:tcBorders>
              <w:bottom w:val="single" w:sz="4" w:space="0" w:color="auto"/>
            </w:tcBorders>
            <w:vAlign w:val="bottom"/>
          </w:tcPr>
          <w:p w14:paraId="735636E3" w14:textId="69C97621" w:rsidR="00E552D5" w:rsidRPr="00736B48" w:rsidRDefault="00E552D5" w:rsidP="00E552D5">
            <w:pPr>
              <w:spacing w:after="0" w:line="280" w:lineRule="exact"/>
              <w:jc w:val="right"/>
              <w:rPr>
                <w:rFonts w:asciiTheme="minorHAnsi" w:eastAsia="Times New Roman" w:hAnsiTheme="minorHAnsi" w:cs="Arial"/>
                <w:bCs/>
                <w:lang w:val="hr-HR"/>
              </w:rPr>
            </w:pPr>
            <w:r>
              <w:rPr>
                <w:rFonts w:eastAsia="Times New Roman" w:cs="Arial"/>
                <w:bCs/>
              </w:rPr>
              <w:t>-</w:t>
            </w:r>
          </w:p>
        </w:tc>
      </w:tr>
      <w:tr w:rsidR="00E552D5" w:rsidRPr="00736B48" w14:paraId="63621E3E" w14:textId="77777777" w:rsidTr="005444AA">
        <w:trPr>
          <w:trHeight w:hRule="exact" w:val="284"/>
        </w:trPr>
        <w:tc>
          <w:tcPr>
            <w:tcW w:w="1608" w:type="pct"/>
            <w:vAlign w:val="bottom"/>
          </w:tcPr>
          <w:p w14:paraId="71E8E851" w14:textId="027C28B8" w:rsidR="00E552D5" w:rsidRPr="00736B48" w:rsidRDefault="00E552D5" w:rsidP="00E552D5">
            <w:pPr>
              <w:tabs>
                <w:tab w:val="right" w:pos="1202"/>
              </w:tabs>
              <w:spacing w:after="0" w:line="280" w:lineRule="exact"/>
              <w:outlineLvl w:val="0"/>
              <w:rPr>
                <w:rFonts w:asciiTheme="minorHAnsi" w:eastAsia="Times New Roman" w:hAnsiTheme="minorHAnsi" w:cs="Arial"/>
                <w:b/>
                <w:bCs/>
                <w:lang w:val="hr-HR"/>
              </w:rPr>
            </w:pPr>
            <w:r w:rsidRPr="00D76846">
              <w:rPr>
                <w:rFonts w:cs="Calibri"/>
                <w:b/>
                <w:bCs/>
              </w:rPr>
              <w:t xml:space="preserve">Profit for the </w:t>
            </w:r>
            <w:r>
              <w:rPr>
                <w:rFonts w:cs="Calibri"/>
                <w:b/>
                <w:bCs/>
              </w:rPr>
              <w:t>period</w:t>
            </w:r>
          </w:p>
        </w:tc>
        <w:tc>
          <w:tcPr>
            <w:tcW w:w="438" w:type="pct"/>
            <w:vAlign w:val="center"/>
          </w:tcPr>
          <w:p w14:paraId="0F256410" w14:textId="77777777" w:rsidR="00E552D5" w:rsidRPr="00736B48" w:rsidRDefault="00E552D5" w:rsidP="00E552D5">
            <w:pPr>
              <w:tabs>
                <w:tab w:val="right" w:pos="1202"/>
              </w:tabs>
              <w:spacing w:after="0" w:line="280" w:lineRule="exact"/>
              <w:jc w:val="center"/>
              <w:outlineLvl w:val="0"/>
              <w:rPr>
                <w:rFonts w:asciiTheme="minorHAnsi" w:eastAsia="Times New Roman" w:hAnsiTheme="minorHAnsi" w:cs="Arial"/>
                <w:b/>
                <w:bCs/>
                <w:lang w:val="hr-HR"/>
              </w:rPr>
            </w:pPr>
          </w:p>
        </w:tc>
        <w:tc>
          <w:tcPr>
            <w:tcW w:w="757" w:type="pct"/>
            <w:tcBorders>
              <w:top w:val="single" w:sz="4" w:space="0" w:color="auto"/>
              <w:left w:val="nil"/>
              <w:bottom w:val="single" w:sz="8" w:space="0" w:color="auto"/>
              <w:right w:val="nil"/>
            </w:tcBorders>
            <w:shd w:val="clear" w:color="auto" w:fill="auto"/>
            <w:vAlign w:val="bottom"/>
          </w:tcPr>
          <w:p w14:paraId="287C7E60" w14:textId="70C5B8CF" w:rsidR="00E552D5" w:rsidRPr="006B318F" w:rsidRDefault="00E552D5" w:rsidP="006B318F">
            <w:pPr>
              <w:spacing w:after="0" w:line="280" w:lineRule="exact"/>
              <w:jc w:val="right"/>
              <w:outlineLvl w:val="0"/>
              <w:rPr>
                <w:rFonts w:eastAsia="Times New Roman" w:cs="Arial"/>
                <w:b/>
                <w:bCs/>
                <w:spacing w:val="-2"/>
              </w:rPr>
            </w:pPr>
            <w:r w:rsidRPr="006B318F">
              <w:rPr>
                <w:rFonts w:eastAsia="Times New Roman" w:cs="Arial"/>
                <w:b/>
                <w:bCs/>
                <w:spacing w:val="-2"/>
              </w:rPr>
              <w:t>45,791</w:t>
            </w:r>
          </w:p>
        </w:tc>
        <w:tc>
          <w:tcPr>
            <w:tcW w:w="758" w:type="pct"/>
            <w:tcBorders>
              <w:top w:val="single" w:sz="4" w:space="0" w:color="auto"/>
              <w:left w:val="nil"/>
              <w:bottom w:val="single" w:sz="8" w:space="0" w:color="auto"/>
              <w:right w:val="nil"/>
            </w:tcBorders>
            <w:shd w:val="clear" w:color="auto" w:fill="auto"/>
            <w:vAlign w:val="bottom"/>
          </w:tcPr>
          <w:p w14:paraId="4B08E411" w14:textId="6C4FE1D2" w:rsidR="00E552D5" w:rsidRPr="006B318F" w:rsidRDefault="00E552D5" w:rsidP="006B318F">
            <w:pPr>
              <w:spacing w:after="0" w:line="280" w:lineRule="exact"/>
              <w:jc w:val="right"/>
              <w:outlineLvl w:val="0"/>
              <w:rPr>
                <w:rFonts w:eastAsia="Times New Roman" w:cs="Arial"/>
                <w:b/>
                <w:bCs/>
                <w:spacing w:val="-2"/>
              </w:rPr>
            </w:pPr>
            <w:r w:rsidRPr="006B318F">
              <w:rPr>
                <w:rFonts w:eastAsia="Times New Roman" w:cs="Arial"/>
                <w:b/>
                <w:bCs/>
                <w:spacing w:val="-2"/>
              </w:rPr>
              <w:t>176,541</w:t>
            </w:r>
          </w:p>
        </w:tc>
        <w:tc>
          <w:tcPr>
            <w:tcW w:w="683" w:type="pct"/>
            <w:tcBorders>
              <w:top w:val="single" w:sz="4" w:space="0" w:color="auto"/>
              <w:left w:val="nil"/>
              <w:bottom w:val="single" w:sz="8" w:space="0" w:color="auto"/>
              <w:right w:val="nil"/>
            </w:tcBorders>
            <w:shd w:val="clear" w:color="auto" w:fill="auto"/>
            <w:vAlign w:val="bottom"/>
          </w:tcPr>
          <w:p w14:paraId="2F224D0C" w14:textId="47C0363A" w:rsidR="00E552D5" w:rsidRPr="006B318F" w:rsidRDefault="00E552D5" w:rsidP="00E552D5">
            <w:pPr>
              <w:spacing w:after="0" w:line="280" w:lineRule="exact"/>
              <w:jc w:val="right"/>
              <w:rPr>
                <w:rFonts w:eastAsia="Times New Roman" w:cs="Arial"/>
                <w:b/>
                <w:bCs/>
              </w:rPr>
            </w:pPr>
            <w:r>
              <w:rPr>
                <w:rFonts w:eastAsia="Times New Roman" w:cs="Arial"/>
                <w:b/>
                <w:bCs/>
              </w:rPr>
              <w:t>52,100</w:t>
            </w:r>
          </w:p>
        </w:tc>
        <w:tc>
          <w:tcPr>
            <w:tcW w:w="756" w:type="pct"/>
            <w:tcBorders>
              <w:top w:val="single" w:sz="4" w:space="0" w:color="auto"/>
              <w:left w:val="nil"/>
              <w:bottom w:val="single" w:sz="8" w:space="0" w:color="auto"/>
              <w:right w:val="nil"/>
            </w:tcBorders>
            <w:shd w:val="clear" w:color="auto" w:fill="auto"/>
            <w:vAlign w:val="bottom"/>
          </w:tcPr>
          <w:p w14:paraId="51F29C47" w14:textId="0FC8D162" w:rsidR="00E552D5" w:rsidRPr="006B318F" w:rsidRDefault="00E552D5" w:rsidP="00E552D5">
            <w:pPr>
              <w:spacing w:after="0" w:line="280" w:lineRule="exact"/>
              <w:jc w:val="right"/>
              <w:rPr>
                <w:rFonts w:eastAsia="Times New Roman" w:cs="Arial"/>
                <w:b/>
                <w:bCs/>
              </w:rPr>
            </w:pPr>
            <w:r>
              <w:rPr>
                <w:rFonts w:eastAsia="Times New Roman" w:cs="Arial"/>
                <w:b/>
                <w:bCs/>
              </w:rPr>
              <w:t>159,778</w:t>
            </w:r>
          </w:p>
        </w:tc>
      </w:tr>
      <w:tr w:rsidR="00E552D5" w:rsidRPr="00736B48" w14:paraId="6BCE5346" w14:textId="77777777" w:rsidTr="005444AA">
        <w:trPr>
          <w:trHeight w:val="74"/>
        </w:trPr>
        <w:tc>
          <w:tcPr>
            <w:tcW w:w="1608" w:type="pct"/>
            <w:vAlign w:val="bottom"/>
          </w:tcPr>
          <w:p w14:paraId="462F112E" w14:textId="77777777" w:rsidR="00E552D5" w:rsidRPr="00736B48" w:rsidRDefault="00E552D5" w:rsidP="00E552D5">
            <w:pPr>
              <w:keepNext/>
              <w:keepLines/>
              <w:tabs>
                <w:tab w:val="decimal" w:pos="1202"/>
              </w:tabs>
              <w:spacing w:after="0" w:line="200" w:lineRule="exact"/>
              <w:rPr>
                <w:rFonts w:asciiTheme="minorHAnsi" w:eastAsia="Times New Roman" w:hAnsiTheme="minorHAnsi" w:cs="Arial"/>
                <w:b/>
                <w:position w:val="4"/>
                <w:u w:val="thick"/>
                <w:lang w:val="hr-HR"/>
              </w:rPr>
            </w:pPr>
          </w:p>
        </w:tc>
        <w:tc>
          <w:tcPr>
            <w:tcW w:w="438" w:type="pct"/>
            <w:vAlign w:val="center"/>
          </w:tcPr>
          <w:p w14:paraId="16B2F7B1" w14:textId="77777777" w:rsidR="00E552D5" w:rsidRPr="00736B48" w:rsidRDefault="00E552D5" w:rsidP="00E552D5">
            <w:pPr>
              <w:keepNext/>
              <w:keepLines/>
              <w:spacing w:after="0" w:line="200" w:lineRule="exact"/>
              <w:jc w:val="center"/>
              <w:rPr>
                <w:rFonts w:asciiTheme="minorHAnsi" w:eastAsia="Times New Roman" w:hAnsiTheme="minorHAnsi" w:cs="Arial"/>
                <w:b/>
                <w:position w:val="4"/>
                <w:u w:val="thick"/>
                <w:lang w:val="hr-HR"/>
              </w:rPr>
            </w:pPr>
          </w:p>
        </w:tc>
        <w:tc>
          <w:tcPr>
            <w:tcW w:w="757" w:type="pct"/>
            <w:tcBorders>
              <w:top w:val="single" w:sz="12" w:space="0" w:color="auto"/>
            </w:tcBorders>
            <w:vAlign w:val="bottom"/>
          </w:tcPr>
          <w:p w14:paraId="6AD4FCF1" w14:textId="77777777" w:rsidR="00E552D5" w:rsidRPr="006B318F" w:rsidRDefault="00E552D5" w:rsidP="006B318F">
            <w:pPr>
              <w:spacing w:after="0" w:line="280" w:lineRule="exact"/>
              <w:jc w:val="right"/>
              <w:outlineLvl w:val="0"/>
              <w:rPr>
                <w:rFonts w:eastAsia="Times New Roman" w:cs="Arial"/>
                <w:bCs/>
                <w:spacing w:val="-2"/>
              </w:rPr>
            </w:pPr>
          </w:p>
        </w:tc>
        <w:tc>
          <w:tcPr>
            <w:tcW w:w="758" w:type="pct"/>
            <w:tcBorders>
              <w:top w:val="single" w:sz="12" w:space="0" w:color="auto"/>
            </w:tcBorders>
            <w:vAlign w:val="bottom"/>
          </w:tcPr>
          <w:p w14:paraId="07F899DF" w14:textId="77777777" w:rsidR="00E552D5" w:rsidRPr="006B318F" w:rsidRDefault="00E552D5" w:rsidP="006B318F">
            <w:pPr>
              <w:spacing w:after="0" w:line="280" w:lineRule="exact"/>
              <w:jc w:val="right"/>
              <w:outlineLvl w:val="0"/>
              <w:rPr>
                <w:rFonts w:eastAsia="Times New Roman" w:cs="Arial"/>
                <w:bCs/>
                <w:spacing w:val="-2"/>
              </w:rPr>
            </w:pPr>
          </w:p>
        </w:tc>
        <w:tc>
          <w:tcPr>
            <w:tcW w:w="683" w:type="pct"/>
            <w:tcBorders>
              <w:top w:val="single" w:sz="12" w:space="0" w:color="auto"/>
            </w:tcBorders>
            <w:vAlign w:val="bottom"/>
          </w:tcPr>
          <w:p w14:paraId="6733BE46" w14:textId="77777777" w:rsidR="00E552D5" w:rsidRPr="00736B48" w:rsidRDefault="00E552D5" w:rsidP="00E552D5">
            <w:pPr>
              <w:spacing w:after="0" w:line="280" w:lineRule="exact"/>
              <w:jc w:val="right"/>
              <w:rPr>
                <w:rFonts w:asciiTheme="minorHAnsi" w:eastAsia="Times New Roman" w:hAnsiTheme="minorHAnsi" w:cs="Arial"/>
                <w:b/>
                <w:bCs/>
                <w:lang w:val="hr-HR"/>
              </w:rPr>
            </w:pPr>
          </w:p>
        </w:tc>
        <w:tc>
          <w:tcPr>
            <w:tcW w:w="756" w:type="pct"/>
            <w:tcBorders>
              <w:top w:val="single" w:sz="12" w:space="0" w:color="auto"/>
            </w:tcBorders>
            <w:vAlign w:val="bottom"/>
          </w:tcPr>
          <w:p w14:paraId="47178175" w14:textId="77777777" w:rsidR="00E552D5" w:rsidRPr="00736B48" w:rsidRDefault="00E552D5" w:rsidP="00E552D5">
            <w:pPr>
              <w:spacing w:after="0" w:line="280" w:lineRule="exact"/>
              <w:jc w:val="right"/>
              <w:rPr>
                <w:rFonts w:asciiTheme="minorHAnsi" w:eastAsia="Times New Roman" w:hAnsiTheme="minorHAnsi" w:cs="Arial"/>
                <w:b/>
                <w:bCs/>
                <w:lang w:val="hr-HR"/>
              </w:rPr>
            </w:pPr>
          </w:p>
        </w:tc>
      </w:tr>
      <w:tr w:rsidR="00E552D5" w:rsidRPr="00736B48" w14:paraId="19B1352C" w14:textId="77777777" w:rsidTr="005444AA">
        <w:trPr>
          <w:trHeight w:val="74"/>
        </w:trPr>
        <w:tc>
          <w:tcPr>
            <w:tcW w:w="1608" w:type="pct"/>
            <w:vAlign w:val="bottom"/>
          </w:tcPr>
          <w:p w14:paraId="655D823D" w14:textId="77777777" w:rsidR="00E552D5" w:rsidRPr="00736B48" w:rsidRDefault="00E552D5" w:rsidP="00E552D5">
            <w:pPr>
              <w:keepNext/>
              <w:keepLines/>
              <w:tabs>
                <w:tab w:val="decimal" w:pos="1202"/>
              </w:tabs>
              <w:spacing w:after="0" w:line="200" w:lineRule="exact"/>
              <w:rPr>
                <w:rFonts w:asciiTheme="minorHAnsi" w:eastAsia="Times New Roman" w:hAnsiTheme="minorHAnsi" w:cs="Arial"/>
                <w:b/>
                <w:position w:val="4"/>
                <w:u w:val="thick"/>
                <w:lang w:val="hr-HR"/>
              </w:rPr>
            </w:pPr>
          </w:p>
        </w:tc>
        <w:tc>
          <w:tcPr>
            <w:tcW w:w="438" w:type="pct"/>
            <w:vAlign w:val="center"/>
          </w:tcPr>
          <w:p w14:paraId="4F5A47E2" w14:textId="77777777" w:rsidR="00E552D5" w:rsidRPr="00736B48" w:rsidRDefault="00E552D5" w:rsidP="00E552D5">
            <w:pPr>
              <w:keepNext/>
              <w:keepLines/>
              <w:spacing w:after="0" w:line="200" w:lineRule="exact"/>
              <w:jc w:val="center"/>
              <w:rPr>
                <w:rFonts w:asciiTheme="minorHAnsi" w:eastAsia="Times New Roman" w:hAnsiTheme="minorHAnsi" w:cs="Arial"/>
                <w:b/>
                <w:position w:val="4"/>
                <w:u w:val="thick"/>
                <w:lang w:val="hr-HR"/>
              </w:rPr>
            </w:pPr>
          </w:p>
        </w:tc>
        <w:tc>
          <w:tcPr>
            <w:tcW w:w="757" w:type="pct"/>
            <w:vAlign w:val="bottom"/>
          </w:tcPr>
          <w:p w14:paraId="55848E41" w14:textId="77777777" w:rsidR="00E552D5" w:rsidRPr="006B318F" w:rsidRDefault="00E552D5" w:rsidP="006B318F">
            <w:pPr>
              <w:spacing w:after="0" w:line="280" w:lineRule="exact"/>
              <w:jc w:val="right"/>
              <w:outlineLvl w:val="0"/>
              <w:rPr>
                <w:rFonts w:eastAsia="Times New Roman" w:cs="Arial"/>
                <w:bCs/>
                <w:spacing w:val="-2"/>
              </w:rPr>
            </w:pPr>
          </w:p>
        </w:tc>
        <w:tc>
          <w:tcPr>
            <w:tcW w:w="758" w:type="pct"/>
            <w:vAlign w:val="bottom"/>
          </w:tcPr>
          <w:p w14:paraId="595235B1" w14:textId="77777777" w:rsidR="00E552D5" w:rsidRPr="006B318F" w:rsidRDefault="00E552D5" w:rsidP="006B318F">
            <w:pPr>
              <w:spacing w:after="0" w:line="280" w:lineRule="exact"/>
              <w:jc w:val="right"/>
              <w:outlineLvl w:val="0"/>
              <w:rPr>
                <w:rFonts w:eastAsia="Times New Roman" w:cs="Arial"/>
                <w:bCs/>
                <w:spacing w:val="-2"/>
              </w:rPr>
            </w:pPr>
          </w:p>
        </w:tc>
        <w:tc>
          <w:tcPr>
            <w:tcW w:w="683" w:type="pct"/>
            <w:vAlign w:val="bottom"/>
          </w:tcPr>
          <w:p w14:paraId="41E2BE96" w14:textId="77777777" w:rsidR="00E552D5" w:rsidRPr="00736B48" w:rsidRDefault="00E552D5" w:rsidP="00E552D5">
            <w:pPr>
              <w:spacing w:after="0" w:line="280" w:lineRule="exact"/>
              <w:jc w:val="right"/>
              <w:rPr>
                <w:rFonts w:asciiTheme="minorHAnsi" w:eastAsia="Times New Roman" w:hAnsiTheme="minorHAnsi" w:cs="Arial"/>
                <w:b/>
                <w:bCs/>
                <w:lang w:val="hr-HR"/>
              </w:rPr>
            </w:pPr>
          </w:p>
        </w:tc>
        <w:tc>
          <w:tcPr>
            <w:tcW w:w="756" w:type="pct"/>
            <w:vAlign w:val="bottom"/>
          </w:tcPr>
          <w:p w14:paraId="32B660ED" w14:textId="77777777" w:rsidR="00E552D5" w:rsidRPr="00736B48" w:rsidRDefault="00E552D5" w:rsidP="00E552D5">
            <w:pPr>
              <w:spacing w:after="0" w:line="280" w:lineRule="exact"/>
              <w:jc w:val="right"/>
              <w:rPr>
                <w:rFonts w:asciiTheme="minorHAnsi" w:eastAsia="Times New Roman" w:hAnsiTheme="minorHAnsi" w:cs="Arial"/>
                <w:b/>
                <w:bCs/>
                <w:lang w:val="hr-HR"/>
              </w:rPr>
            </w:pPr>
          </w:p>
        </w:tc>
      </w:tr>
      <w:tr w:rsidR="00E552D5" w:rsidRPr="00736B48" w14:paraId="416D4A17" w14:textId="77777777" w:rsidTr="005444AA">
        <w:trPr>
          <w:trHeight w:val="74"/>
        </w:trPr>
        <w:tc>
          <w:tcPr>
            <w:tcW w:w="1608" w:type="pct"/>
            <w:vAlign w:val="bottom"/>
          </w:tcPr>
          <w:p w14:paraId="3E51A0FE" w14:textId="77777777" w:rsidR="00E552D5" w:rsidRPr="00736B48" w:rsidRDefault="00E552D5" w:rsidP="00E552D5">
            <w:pPr>
              <w:keepNext/>
              <w:keepLines/>
              <w:tabs>
                <w:tab w:val="decimal" w:pos="1202"/>
              </w:tabs>
              <w:spacing w:after="0" w:line="280" w:lineRule="exact"/>
              <w:rPr>
                <w:rFonts w:asciiTheme="minorHAnsi" w:eastAsia="Times New Roman" w:hAnsiTheme="minorHAnsi" w:cs="Arial"/>
                <w:b/>
                <w:position w:val="4"/>
                <w:lang w:val="hr-HR"/>
              </w:rPr>
            </w:pPr>
            <w:r w:rsidRPr="00D76846">
              <w:rPr>
                <w:rFonts w:cs="Calibri"/>
                <w:b/>
                <w:bCs/>
              </w:rPr>
              <w:t>Attributable to:</w:t>
            </w:r>
          </w:p>
        </w:tc>
        <w:tc>
          <w:tcPr>
            <w:tcW w:w="438" w:type="pct"/>
            <w:vAlign w:val="center"/>
          </w:tcPr>
          <w:p w14:paraId="5C99F91A" w14:textId="77777777" w:rsidR="00E552D5" w:rsidRPr="00736B48" w:rsidRDefault="00E552D5" w:rsidP="00E552D5">
            <w:pPr>
              <w:keepNext/>
              <w:keepLines/>
              <w:spacing w:after="0" w:line="280" w:lineRule="exact"/>
              <w:jc w:val="center"/>
              <w:rPr>
                <w:rFonts w:asciiTheme="minorHAnsi" w:eastAsia="Times New Roman" w:hAnsiTheme="minorHAnsi" w:cs="Arial"/>
                <w:b/>
                <w:position w:val="4"/>
                <w:u w:val="thick"/>
                <w:lang w:val="hr-HR"/>
              </w:rPr>
            </w:pPr>
          </w:p>
        </w:tc>
        <w:tc>
          <w:tcPr>
            <w:tcW w:w="757" w:type="pct"/>
            <w:vAlign w:val="bottom"/>
          </w:tcPr>
          <w:p w14:paraId="19F64991" w14:textId="77777777" w:rsidR="00E552D5" w:rsidRPr="006B318F" w:rsidRDefault="00E552D5" w:rsidP="006B318F">
            <w:pPr>
              <w:spacing w:after="0" w:line="280" w:lineRule="exact"/>
              <w:jc w:val="right"/>
              <w:outlineLvl w:val="0"/>
              <w:rPr>
                <w:rFonts w:eastAsia="Times New Roman" w:cs="Arial"/>
                <w:bCs/>
                <w:spacing w:val="-2"/>
              </w:rPr>
            </w:pPr>
          </w:p>
        </w:tc>
        <w:tc>
          <w:tcPr>
            <w:tcW w:w="758" w:type="pct"/>
            <w:vAlign w:val="bottom"/>
          </w:tcPr>
          <w:p w14:paraId="18710177" w14:textId="77777777" w:rsidR="00E552D5" w:rsidRPr="006B318F" w:rsidRDefault="00E552D5" w:rsidP="006B318F">
            <w:pPr>
              <w:spacing w:after="0" w:line="280" w:lineRule="exact"/>
              <w:jc w:val="right"/>
              <w:outlineLvl w:val="0"/>
              <w:rPr>
                <w:rFonts w:eastAsia="Times New Roman" w:cs="Arial"/>
                <w:bCs/>
                <w:spacing w:val="-2"/>
              </w:rPr>
            </w:pPr>
          </w:p>
        </w:tc>
        <w:tc>
          <w:tcPr>
            <w:tcW w:w="683" w:type="pct"/>
            <w:vAlign w:val="bottom"/>
          </w:tcPr>
          <w:p w14:paraId="4251F824" w14:textId="77777777" w:rsidR="00E552D5" w:rsidRPr="00736B48" w:rsidRDefault="00E552D5" w:rsidP="00E552D5">
            <w:pPr>
              <w:spacing w:after="0" w:line="280" w:lineRule="exact"/>
              <w:jc w:val="right"/>
              <w:rPr>
                <w:rFonts w:asciiTheme="minorHAnsi" w:eastAsia="Times New Roman" w:hAnsiTheme="minorHAnsi" w:cs="Arial"/>
                <w:b/>
                <w:bCs/>
                <w:lang w:val="hr-HR"/>
              </w:rPr>
            </w:pPr>
          </w:p>
        </w:tc>
        <w:tc>
          <w:tcPr>
            <w:tcW w:w="756" w:type="pct"/>
            <w:vAlign w:val="bottom"/>
          </w:tcPr>
          <w:p w14:paraId="5DA9429C" w14:textId="77777777" w:rsidR="00E552D5" w:rsidRPr="00736B48" w:rsidRDefault="00E552D5" w:rsidP="00E552D5">
            <w:pPr>
              <w:spacing w:after="0" w:line="280" w:lineRule="exact"/>
              <w:jc w:val="right"/>
              <w:rPr>
                <w:rFonts w:asciiTheme="minorHAnsi" w:eastAsia="Times New Roman" w:hAnsiTheme="minorHAnsi" w:cs="Arial"/>
                <w:b/>
                <w:bCs/>
                <w:lang w:val="hr-HR"/>
              </w:rPr>
            </w:pPr>
          </w:p>
        </w:tc>
      </w:tr>
      <w:tr w:rsidR="00E552D5" w:rsidRPr="00736B48" w14:paraId="193C7302" w14:textId="77777777" w:rsidTr="005444AA">
        <w:trPr>
          <w:trHeight w:hRule="exact" w:val="346"/>
        </w:trPr>
        <w:tc>
          <w:tcPr>
            <w:tcW w:w="1608" w:type="pct"/>
            <w:vAlign w:val="bottom"/>
          </w:tcPr>
          <w:p w14:paraId="18C03205" w14:textId="77777777" w:rsidR="00E552D5" w:rsidRPr="00736B48" w:rsidRDefault="00E552D5" w:rsidP="00E552D5">
            <w:pPr>
              <w:keepNext/>
              <w:keepLines/>
              <w:tabs>
                <w:tab w:val="decimal" w:pos="1202"/>
              </w:tabs>
              <w:spacing w:after="0" w:line="280" w:lineRule="exact"/>
              <w:rPr>
                <w:rFonts w:asciiTheme="minorHAnsi" w:eastAsia="Times New Roman" w:hAnsiTheme="minorHAnsi" w:cs="Arial"/>
                <w:b/>
                <w:position w:val="4"/>
                <w:lang w:val="hr-HR"/>
              </w:rPr>
            </w:pPr>
            <w:r w:rsidRPr="00584AE9">
              <w:rPr>
                <w:rFonts w:cs="Calibri"/>
                <w:b/>
                <w:bCs/>
              </w:rPr>
              <w:t>Equity holders of the parent</w:t>
            </w:r>
          </w:p>
        </w:tc>
        <w:tc>
          <w:tcPr>
            <w:tcW w:w="438" w:type="pct"/>
            <w:vAlign w:val="bottom"/>
          </w:tcPr>
          <w:p w14:paraId="204B9F3E" w14:textId="77777777" w:rsidR="00E552D5" w:rsidRPr="00736B48" w:rsidRDefault="00E552D5" w:rsidP="00E552D5">
            <w:pPr>
              <w:keepNext/>
              <w:keepLines/>
              <w:spacing w:after="0" w:line="280" w:lineRule="exact"/>
              <w:rPr>
                <w:rFonts w:asciiTheme="minorHAnsi" w:eastAsia="Times New Roman" w:hAnsiTheme="minorHAnsi" w:cs="Arial"/>
                <w:position w:val="4"/>
                <w:lang w:val="hr-HR"/>
              </w:rPr>
            </w:pPr>
          </w:p>
        </w:tc>
        <w:tc>
          <w:tcPr>
            <w:tcW w:w="757" w:type="pct"/>
            <w:tcBorders>
              <w:left w:val="nil"/>
              <w:bottom w:val="single" w:sz="12" w:space="0" w:color="auto"/>
              <w:right w:val="nil"/>
            </w:tcBorders>
            <w:shd w:val="clear" w:color="auto" w:fill="auto"/>
            <w:vAlign w:val="bottom"/>
          </w:tcPr>
          <w:p w14:paraId="1028D48F" w14:textId="26155DF1" w:rsidR="00E552D5" w:rsidRPr="006B318F" w:rsidRDefault="00E552D5" w:rsidP="006B318F">
            <w:pPr>
              <w:spacing w:after="0" w:line="280" w:lineRule="exact"/>
              <w:jc w:val="right"/>
              <w:outlineLvl w:val="0"/>
              <w:rPr>
                <w:rFonts w:eastAsia="Times New Roman" w:cs="Arial"/>
                <w:b/>
                <w:bCs/>
                <w:spacing w:val="-2"/>
              </w:rPr>
            </w:pPr>
            <w:r w:rsidRPr="006B318F">
              <w:rPr>
                <w:rFonts w:eastAsia="Times New Roman" w:cs="Arial"/>
                <w:b/>
                <w:bCs/>
                <w:spacing w:val="-2"/>
              </w:rPr>
              <w:t>45,791</w:t>
            </w:r>
          </w:p>
        </w:tc>
        <w:tc>
          <w:tcPr>
            <w:tcW w:w="758" w:type="pct"/>
            <w:tcBorders>
              <w:left w:val="nil"/>
              <w:bottom w:val="single" w:sz="12" w:space="0" w:color="auto"/>
              <w:right w:val="nil"/>
            </w:tcBorders>
            <w:shd w:val="clear" w:color="auto" w:fill="auto"/>
            <w:vAlign w:val="bottom"/>
          </w:tcPr>
          <w:p w14:paraId="096F2CEC" w14:textId="1CC1A904" w:rsidR="00E552D5" w:rsidRPr="006B318F" w:rsidRDefault="00E552D5" w:rsidP="006B318F">
            <w:pPr>
              <w:spacing w:after="0" w:line="280" w:lineRule="exact"/>
              <w:jc w:val="right"/>
              <w:outlineLvl w:val="0"/>
              <w:rPr>
                <w:rFonts w:eastAsia="Times New Roman" w:cs="Arial"/>
                <w:b/>
                <w:bCs/>
                <w:spacing w:val="-2"/>
              </w:rPr>
            </w:pPr>
            <w:r w:rsidRPr="006B318F">
              <w:rPr>
                <w:rFonts w:eastAsia="Times New Roman" w:cs="Arial"/>
                <w:b/>
                <w:bCs/>
                <w:spacing w:val="-2"/>
              </w:rPr>
              <w:t>176,541</w:t>
            </w:r>
          </w:p>
        </w:tc>
        <w:tc>
          <w:tcPr>
            <w:tcW w:w="683" w:type="pct"/>
            <w:tcBorders>
              <w:left w:val="nil"/>
              <w:bottom w:val="single" w:sz="12" w:space="0" w:color="auto"/>
              <w:right w:val="nil"/>
            </w:tcBorders>
            <w:shd w:val="clear" w:color="auto" w:fill="auto"/>
            <w:vAlign w:val="bottom"/>
          </w:tcPr>
          <w:p w14:paraId="091B0B57" w14:textId="01AE5E4B" w:rsidR="00E552D5" w:rsidRPr="006B318F" w:rsidRDefault="00E552D5" w:rsidP="00E552D5">
            <w:pPr>
              <w:spacing w:after="0" w:line="280" w:lineRule="exact"/>
              <w:jc w:val="right"/>
              <w:rPr>
                <w:rFonts w:eastAsia="Times New Roman" w:cs="Arial"/>
                <w:b/>
                <w:bCs/>
              </w:rPr>
            </w:pPr>
            <w:r w:rsidRPr="006B318F">
              <w:rPr>
                <w:rFonts w:eastAsia="Times New Roman" w:cs="Arial"/>
                <w:b/>
                <w:bCs/>
              </w:rPr>
              <w:t>52,100</w:t>
            </w:r>
          </w:p>
        </w:tc>
        <w:tc>
          <w:tcPr>
            <w:tcW w:w="756" w:type="pct"/>
            <w:tcBorders>
              <w:left w:val="nil"/>
              <w:bottom w:val="single" w:sz="12" w:space="0" w:color="auto"/>
              <w:right w:val="nil"/>
            </w:tcBorders>
            <w:shd w:val="clear" w:color="auto" w:fill="auto"/>
            <w:vAlign w:val="bottom"/>
          </w:tcPr>
          <w:p w14:paraId="6D8EC585" w14:textId="09B9F8D4" w:rsidR="00E552D5" w:rsidRPr="006B318F" w:rsidRDefault="00E552D5" w:rsidP="00E552D5">
            <w:pPr>
              <w:spacing w:after="0" w:line="280" w:lineRule="exact"/>
              <w:jc w:val="right"/>
              <w:rPr>
                <w:rFonts w:eastAsia="Times New Roman" w:cs="Arial"/>
                <w:b/>
                <w:bCs/>
              </w:rPr>
            </w:pPr>
            <w:r w:rsidRPr="006B318F">
              <w:rPr>
                <w:rFonts w:eastAsia="Times New Roman" w:cs="Arial"/>
                <w:b/>
                <w:bCs/>
              </w:rPr>
              <w:t>159,778</w:t>
            </w:r>
          </w:p>
        </w:tc>
      </w:tr>
      <w:tr w:rsidR="00AE3813" w:rsidRPr="00736B48" w14:paraId="2F86E029" w14:textId="77777777" w:rsidTr="00AE3813">
        <w:trPr>
          <w:trHeight w:hRule="exact" w:val="113"/>
        </w:trPr>
        <w:tc>
          <w:tcPr>
            <w:tcW w:w="1608" w:type="pct"/>
            <w:vAlign w:val="bottom"/>
          </w:tcPr>
          <w:p w14:paraId="3F14D896" w14:textId="77777777" w:rsidR="00AE3813" w:rsidRPr="00736B48" w:rsidRDefault="00AE3813" w:rsidP="00AE3813">
            <w:pPr>
              <w:keepNext/>
              <w:keepLines/>
              <w:tabs>
                <w:tab w:val="decimal" w:pos="1202"/>
              </w:tabs>
              <w:spacing w:after="0" w:line="280" w:lineRule="exact"/>
              <w:rPr>
                <w:rFonts w:asciiTheme="minorHAnsi" w:eastAsia="Times New Roman" w:hAnsiTheme="minorHAnsi" w:cs="Arial"/>
                <w:b/>
                <w:position w:val="4"/>
                <w:lang w:val="hr-HR"/>
              </w:rPr>
            </w:pPr>
          </w:p>
        </w:tc>
        <w:tc>
          <w:tcPr>
            <w:tcW w:w="438" w:type="pct"/>
            <w:vAlign w:val="bottom"/>
          </w:tcPr>
          <w:p w14:paraId="1DC5C990" w14:textId="77777777" w:rsidR="00AE3813" w:rsidRPr="00736B48" w:rsidRDefault="00AE3813" w:rsidP="00AE3813">
            <w:pPr>
              <w:keepNext/>
              <w:keepLines/>
              <w:spacing w:after="0" w:line="280" w:lineRule="exact"/>
              <w:rPr>
                <w:rFonts w:asciiTheme="minorHAnsi" w:eastAsia="Times New Roman" w:hAnsiTheme="minorHAnsi" w:cs="Arial"/>
                <w:position w:val="4"/>
                <w:lang w:val="hr-HR"/>
              </w:rPr>
            </w:pPr>
          </w:p>
        </w:tc>
        <w:tc>
          <w:tcPr>
            <w:tcW w:w="757" w:type="pct"/>
            <w:tcBorders>
              <w:top w:val="single" w:sz="12" w:space="0" w:color="auto"/>
            </w:tcBorders>
            <w:vAlign w:val="bottom"/>
          </w:tcPr>
          <w:p w14:paraId="47D24F56" w14:textId="77777777" w:rsidR="00AE3813" w:rsidRPr="00736B48" w:rsidRDefault="00AE3813" w:rsidP="00AE3813">
            <w:pPr>
              <w:spacing w:after="0" w:line="280" w:lineRule="exact"/>
              <w:jc w:val="right"/>
              <w:rPr>
                <w:rFonts w:asciiTheme="minorHAnsi" w:eastAsia="Times New Roman" w:hAnsiTheme="minorHAnsi" w:cs="Arial"/>
                <w:b/>
                <w:bCs/>
                <w:lang w:val="hr-HR"/>
              </w:rPr>
            </w:pPr>
          </w:p>
        </w:tc>
        <w:tc>
          <w:tcPr>
            <w:tcW w:w="758" w:type="pct"/>
            <w:tcBorders>
              <w:top w:val="single" w:sz="12" w:space="0" w:color="auto"/>
            </w:tcBorders>
            <w:vAlign w:val="bottom"/>
          </w:tcPr>
          <w:p w14:paraId="6A3A6EA8" w14:textId="77777777" w:rsidR="00AE3813" w:rsidRPr="00736B48" w:rsidRDefault="00AE3813" w:rsidP="00AE3813">
            <w:pPr>
              <w:spacing w:after="0" w:line="280" w:lineRule="exact"/>
              <w:jc w:val="right"/>
              <w:rPr>
                <w:rFonts w:asciiTheme="minorHAnsi" w:eastAsia="Times New Roman" w:hAnsiTheme="minorHAnsi" w:cs="Arial"/>
                <w:b/>
                <w:bCs/>
                <w:lang w:val="hr-HR"/>
              </w:rPr>
            </w:pPr>
          </w:p>
        </w:tc>
        <w:tc>
          <w:tcPr>
            <w:tcW w:w="683" w:type="pct"/>
            <w:tcBorders>
              <w:top w:val="nil"/>
              <w:left w:val="nil"/>
              <w:bottom w:val="nil"/>
              <w:right w:val="nil"/>
            </w:tcBorders>
            <w:shd w:val="clear" w:color="auto" w:fill="auto"/>
            <w:vAlign w:val="center"/>
          </w:tcPr>
          <w:p w14:paraId="5EB409C2" w14:textId="77777777" w:rsidR="00AE3813" w:rsidRPr="00736B48" w:rsidRDefault="00AE3813" w:rsidP="00AE3813">
            <w:pPr>
              <w:spacing w:after="0" w:line="280" w:lineRule="exact"/>
              <w:jc w:val="right"/>
              <w:outlineLvl w:val="0"/>
              <w:rPr>
                <w:rFonts w:asciiTheme="minorHAnsi" w:eastAsia="Times New Roman" w:hAnsiTheme="minorHAnsi" w:cs="Arial"/>
                <w:bCs/>
                <w:spacing w:val="-2"/>
                <w:lang w:val="hr-HR"/>
              </w:rPr>
            </w:pPr>
            <w:r w:rsidRPr="00736B48">
              <w:rPr>
                <w:rFonts w:eastAsiaTheme="minorHAnsi" w:cstheme="minorBidi"/>
                <w:color w:val="000000"/>
                <w:lang w:val="hr-HR"/>
              </w:rPr>
              <w:t>211</w:t>
            </w:r>
            <w:r>
              <w:rPr>
                <w:rFonts w:eastAsiaTheme="minorHAnsi" w:cstheme="minorBidi"/>
                <w:color w:val="000000"/>
                <w:lang w:val="hr-HR"/>
              </w:rPr>
              <w:t>,</w:t>
            </w:r>
            <w:r w:rsidRPr="00736B48">
              <w:rPr>
                <w:rFonts w:eastAsiaTheme="minorHAnsi" w:cstheme="minorBidi"/>
                <w:color w:val="000000"/>
                <w:lang w:val="hr-HR"/>
              </w:rPr>
              <w:t>727</w:t>
            </w:r>
          </w:p>
        </w:tc>
        <w:tc>
          <w:tcPr>
            <w:tcW w:w="756" w:type="pct"/>
            <w:tcBorders>
              <w:top w:val="nil"/>
              <w:left w:val="nil"/>
              <w:bottom w:val="nil"/>
              <w:right w:val="nil"/>
            </w:tcBorders>
            <w:shd w:val="clear" w:color="auto" w:fill="auto"/>
            <w:vAlign w:val="center"/>
          </w:tcPr>
          <w:p w14:paraId="3BE73271" w14:textId="77777777" w:rsidR="00AE3813" w:rsidRPr="00736B48" w:rsidRDefault="00AE3813" w:rsidP="00AE3813">
            <w:pPr>
              <w:spacing w:after="0" w:line="280" w:lineRule="exact"/>
              <w:jc w:val="right"/>
              <w:outlineLvl w:val="0"/>
              <w:rPr>
                <w:rFonts w:asciiTheme="minorHAnsi" w:eastAsia="Times New Roman" w:hAnsiTheme="minorHAnsi" w:cs="Arial"/>
                <w:bCs/>
                <w:spacing w:val="-2"/>
                <w:lang w:val="hr-HR"/>
              </w:rPr>
            </w:pPr>
            <w:r w:rsidRPr="00736B48">
              <w:rPr>
                <w:rFonts w:eastAsiaTheme="minorHAnsi" w:cstheme="minorBidi"/>
                <w:color w:val="000000"/>
                <w:lang w:val="hr-HR"/>
              </w:rPr>
              <w:t>432</w:t>
            </w:r>
            <w:r>
              <w:rPr>
                <w:rFonts w:eastAsiaTheme="minorHAnsi" w:cstheme="minorBidi"/>
                <w:color w:val="000000"/>
                <w:lang w:val="hr-HR"/>
              </w:rPr>
              <w:t>,</w:t>
            </w:r>
            <w:r w:rsidRPr="00736B48">
              <w:rPr>
                <w:rFonts w:eastAsiaTheme="minorHAnsi" w:cstheme="minorBidi"/>
                <w:color w:val="000000"/>
                <w:lang w:val="hr-HR"/>
              </w:rPr>
              <w:t>727</w:t>
            </w:r>
          </w:p>
        </w:tc>
      </w:tr>
    </w:tbl>
    <w:p w14:paraId="645246D4" w14:textId="77777777" w:rsidR="002F5F67" w:rsidRPr="0034501D" w:rsidRDefault="002F5F67">
      <w:pPr>
        <w:spacing w:after="0" w:line="240" w:lineRule="auto"/>
      </w:pPr>
    </w:p>
    <w:p w14:paraId="43742D39" w14:textId="77777777" w:rsidR="00570EDE" w:rsidRDefault="00570EDE" w:rsidP="00D81EB1">
      <w:pPr>
        <w:keepNext/>
        <w:spacing w:after="0" w:line="240" w:lineRule="auto"/>
        <w:jc w:val="both"/>
        <w:rPr>
          <w:rFonts w:cs="Arial"/>
        </w:rPr>
      </w:pPr>
    </w:p>
    <w:p w14:paraId="5AF7C75C" w14:textId="77777777" w:rsidR="00D81EB1" w:rsidRPr="00947E0C" w:rsidRDefault="000E01FD" w:rsidP="00D81EB1">
      <w:pPr>
        <w:keepNext/>
        <w:spacing w:after="0" w:line="240" w:lineRule="auto"/>
        <w:jc w:val="both"/>
        <w:rPr>
          <w:rFonts w:cs="Arial"/>
        </w:rPr>
      </w:pPr>
      <w:r w:rsidRPr="0034501D">
        <w:rPr>
          <w:rFonts w:cs="Arial"/>
        </w:rPr>
        <w:t xml:space="preserve">The </w:t>
      </w:r>
      <w:r w:rsidRPr="001E169D">
        <w:rPr>
          <w:rFonts w:cs="Arial"/>
        </w:rPr>
        <w:t xml:space="preserve">accompanying </w:t>
      </w:r>
      <w:r w:rsidR="00F44811" w:rsidRPr="001E169D">
        <w:rPr>
          <w:rFonts w:cs="Arial"/>
        </w:rPr>
        <w:t xml:space="preserve">selected </w:t>
      </w:r>
      <w:r w:rsidRPr="001E169D">
        <w:rPr>
          <w:rFonts w:cs="Arial"/>
        </w:rPr>
        <w:t>notes are an</w:t>
      </w:r>
      <w:r w:rsidRPr="0034501D">
        <w:rPr>
          <w:rFonts w:cs="Arial"/>
        </w:rPr>
        <w:t xml:space="preserve"> integral part of th</w:t>
      </w:r>
      <w:r w:rsidR="00230F37">
        <w:rPr>
          <w:rFonts w:cs="Arial"/>
        </w:rPr>
        <w:t>i</w:t>
      </w:r>
      <w:r w:rsidR="00E1249B">
        <w:rPr>
          <w:rFonts w:cs="Arial"/>
        </w:rPr>
        <w:t>s</w:t>
      </w:r>
      <w:r w:rsidR="00230F37">
        <w:rPr>
          <w:rFonts w:cs="Arial"/>
        </w:rPr>
        <w:t xml:space="preserve"> Statement of Profit or Loss.</w:t>
      </w:r>
      <w:r w:rsidRPr="0034501D">
        <w:rPr>
          <w:rFonts w:eastAsia="Times New Roman" w:cs="Arial"/>
        </w:rPr>
        <w:t xml:space="preserve"> </w:t>
      </w:r>
    </w:p>
    <w:p w14:paraId="6EA80496" w14:textId="77777777" w:rsidR="0043561E" w:rsidRPr="0034501D" w:rsidRDefault="0043561E">
      <w:pPr>
        <w:spacing w:after="0" w:line="240" w:lineRule="auto"/>
        <w:rPr>
          <w:rFonts w:eastAsia="Times New Roman" w:cs="Arial"/>
        </w:rPr>
      </w:pPr>
    </w:p>
    <w:p w14:paraId="3EC4EB79" w14:textId="77777777" w:rsidR="00980142" w:rsidRDefault="00980142" w:rsidP="00C4266C">
      <w:pPr>
        <w:spacing w:after="0" w:line="240" w:lineRule="auto"/>
        <w:rPr>
          <w:rFonts w:eastAsia="Times New Roman" w:cs="Arial"/>
        </w:rPr>
        <w:sectPr w:rsidR="00980142" w:rsidSect="00947CB7">
          <w:headerReference w:type="first" r:id="rId16"/>
          <w:footerReference w:type="first" r:id="rId17"/>
          <w:pgSz w:w="11906" w:h="16838" w:code="9"/>
          <w:pgMar w:top="1105" w:right="1133" w:bottom="1417" w:left="1417" w:header="709" w:footer="709" w:gutter="0"/>
          <w:pgNumType w:start="1"/>
          <w:cols w:space="708"/>
          <w:titlePg/>
          <w:docGrid w:linePitch="360"/>
        </w:sectPr>
      </w:pPr>
    </w:p>
    <w:p w14:paraId="238A59E6" w14:textId="77777777" w:rsidR="00980142" w:rsidRDefault="00980142" w:rsidP="008C273F">
      <w:pPr>
        <w:spacing w:after="0" w:line="240" w:lineRule="auto"/>
        <w:rPr>
          <w:rFonts w:eastAsia="Times New Roman" w:cs="Arial"/>
        </w:rPr>
      </w:pPr>
    </w:p>
    <w:p w14:paraId="0DA79756" w14:textId="77777777" w:rsidR="00D97C38" w:rsidRPr="0034501D" w:rsidRDefault="00D97C38" w:rsidP="00C4266C">
      <w:pPr>
        <w:spacing w:after="0" w:line="240" w:lineRule="auto"/>
      </w:pPr>
    </w:p>
    <w:tbl>
      <w:tblPr>
        <w:tblW w:w="5455" w:type="pct"/>
        <w:tblInd w:w="-426" w:type="dxa"/>
        <w:tblLayout w:type="fixed"/>
        <w:tblCellMar>
          <w:left w:w="119" w:type="dxa"/>
          <w:right w:w="119" w:type="dxa"/>
        </w:tblCellMar>
        <w:tblLook w:val="0000" w:firstRow="0" w:lastRow="0" w:firstColumn="0" w:lastColumn="0" w:noHBand="0" w:noVBand="0"/>
      </w:tblPr>
      <w:tblGrid>
        <w:gridCol w:w="4536"/>
        <w:gridCol w:w="1421"/>
        <w:gridCol w:w="1417"/>
        <w:gridCol w:w="1347"/>
        <w:gridCol w:w="1486"/>
      </w:tblGrid>
      <w:tr w:rsidR="00FA65A7" w:rsidRPr="00736B48" w14:paraId="7CFCB0FC" w14:textId="77777777" w:rsidTr="004C0B45">
        <w:trPr>
          <w:trHeight w:hRule="exact" w:val="340"/>
        </w:trPr>
        <w:tc>
          <w:tcPr>
            <w:tcW w:w="2222" w:type="pct"/>
            <w:vAlign w:val="center"/>
          </w:tcPr>
          <w:p w14:paraId="71657C5B" w14:textId="77777777" w:rsidR="00FA65A7" w:rsidRPr="00736B48" w:rsidRDefault="00FA65A7" w:rsidP="004C0B45">
            <w:pPr>
              <w:tabs>
                <w:tab w:val="right" w:pos="1202"/>
              </w:tabs>
              <w:spacing w:after="0" w:line="240" w:lineRule="auto"/>
              <w:jc w:val="center"/>
              <w:outlineLvl w:val="0"/>
              <w:rPr>
                <w:rFonts w:eastAsia="Times New Roman" w:cs="Arial"/>
                <w:b/>
                <w:bCs/>
              </w:rPr>
            </w:pPr>
          </w:p>
        </w:tc>
        <w:tc>
          <w:tcPr>
            <w:tcW w:w="1390" w:type="pct"/>
            <w:gridSpan w:val="2"/>
            <w:vAlign w:val="center"/>
          </w:tcPr>
          <w:p w14:paraId="5D609F26" w14:textId="77777777" w:rsidR="00FA65A7" w:rsidRPr="00736B48" w:rsidRDefault="00FA65A7" w:rsidP="00FA65A7">
            <w:pPr>
              <w:spacing w:after="0" w:line="280" w:lineRule="exact"/>
              <w:jc w:val="center"/>
              <w:outlineLvl w:val="0"/>
              <w:rPr>
                <w:rFonts w:eastAsia="Times New Roman" w:cs="Arial"/>
                <w:b/>
                <w:bCs/>
              </w:rPr>
            </w:pPr>
            <w:r w:rsidRPr="00736B48">
              <w:rPr>
                <w:rFonts w:cs="Calibri"/>
                <w:b/>
                <w:bCs/>
              </w:rPr>
              <w:t>201</w:t>
            </w:r>
            <w:r>
              <w:rPr>
                <w:rFonts w:cs="Calibri"/>
                <w:b/>
                <w:bCs/>
              </w:rPr>
              <w:t>7</w:t>
            </w:r>
          </w:p>
        </w:tc>
        <w:tc>
          <w:tcPr>
            <w:tcW w:w="1388" w:type="pct"/>
            <w:gridSpan w:val="2"/>
            <w:vAlign w:val="center"/>
          </w:tcPr>
          <w:p w14:paraId="5EC66AD1" w14:textId="77777777" w:rsidR="00FA65A7" w:rsidRPr="00736B48" w:rsidRDefault="00FA65A7" w:rsidP="00FA65A7">
            <w:pPr>
              <w:spacing w:after="0" w:line="280" w:lineRule="exact"/>
              <w:jc w:val="center"/>
              <w:outlineLvl w:val="0"/>
              <w:rPr>
                <w:rFonts w:eastAsia="Times New Roman" w:cs="Arial"/>
                <w:b/>
                <w:bCs/>
              </w:rPr>
            </w:pPr>
            <w:r w:rsidRPr="00736B48">
              <w:rPr>
                <w:rFonts w:cs="Calibri"/>
                <w:b/>
                <w:bCs/>
              </w:rPr>
              <w:t>201</w:t>
            </w:r>
            <w:r>
              <w:rPr>
                <w:rFonts w:cs="Calibri"/>
                <w:b/>
                <w:bCs/>
              </w:rPr>
              <w:t>6</w:t>
            </w:r>
          </w:p>
        </w:tc>
      </w:tr>
      <w:tr w:rsidR="00FA65A7" w:rsidRPr="00736B48" w14:paraId="6F947570" w14:textId="77777777" w:rsidTr="004C0B45">
        <w:trPr>
          <w:trHeight w:val="544"/>
        </w:trPr>
        <w:tc>
          <w:tcPr>
            <w:tcW w:w="2222" w:type="pct"/>
            <w:vAlign w:val="center"/>
          </w:tcPr>
          <w:p w14:paraId="051EA451" w14:textId="77777777" w:rsidR="00FA65A7" w:rsidRPr="00736B48" w:rsidRDefault="00FA65A7" w:rsidP="004C0B45">
            <w:pPr>
              <w:tabs>
                <w:tab w:val="right" w:pos="1202"/>
              </w:tabs>
              <w:spacing w:after="0" w:line="240" w:lineRule="auto"/>
              <w:jc w:val="center"/>
              <w:outlineLvl w:val="0"/>
              <w:rPr>
                <w:rFonts w:eastAsia="Times New Roman" w:cs="Arial"/>
                <w:b/>
                <w:bCs/>
              </w:rPr>
            </w:pPr>
          </w:p>
        </w:tc>
        <w:tc>
          <w:tcPr>
            <w:tcW w:w="696" w:type="pct"/>
            <w:vAlign w:val="center"/>
          </w:tcPr>
          <w:p w14:paraId="03927924" w14:textId="77777777" w:rsidR="00FA65A7" w:rsidRPr="005940D8" w:rsidRDefault="00FA65A7" w:rsidP="004C0B45">
            <w:pPr>
              <w:spacing w:after="0" w:line="301" w:lineRule="exact"/>
              <w:jc w:val="center"/>
              <w:outlineLvl w:val="0"/>
              <w:rPr>
                <w:rFonts w:eastAsia="Times New Roman" w:cs="Calibri"/>
                <w:bCs/>
              </w:rPr>
            </w:pPr>
            <w:r w:rsidRPr="009A475B">
              <w:rPr>
                <w:rFonts w:eastAsia="Times New Roman" w:cs="Calibri"/>
                <w:bCs/>
              </w:rPr>
              <w:t>Current period</w:t>
            </w:r>
          </w:p>
          <w:p w14:paraId="253E1905" w14:textId="0A360ED4" w:rsidR="00FA65A7" w:rsidRPr="00736B48" w:rsidRDefault="008D202F">
            <w:pPr>
              <w:spacing w:after="0" w:line="280" w:lineRule="exact"/>
              <w:jc w:val="center"/>
              <w:outlineLvl w:val="0"/>
              <w:rPr>
                <w:rFonts w:eastAsia="Times New Roman" w:cs="Arial"/>
                <w:b/>
                <w:bCs/>
              </w:rPr>
            </w:pPr>
            <w:r>
              <w:rPr>
                <w:rFonts w:cs="Calibri"/>
                <w:bCs/>
              </w:rPr>
              <w:t>July</w:t>
            </w:r>
            <w:r w:rsidRPr="00736B48">
              <w:rPr>
                <w:rFonts w:cs="Calibri"/>
                <w:bCs/>
              </w:rPr>
              <w:t xml:space="preserve"> </w:t>
            </w:r>
            <w:r w:rsidR="00FA65A7" w:rsidRPr="00736B48">
              <w:rPr>
                <w:rFonts w:cs="Calibri"/>
                <w:bCs/>
              </w:rPr>
              <w:t xml:space="preserve">1 – </w:t>
            </w:r>
            <w:r>
              <w:rPr>
                <w:rFonts w:cs="Calibri"/>
                <w:bCs/>
              </w:rPr>
              <w:t>September</w:t>
            </w:r>
            <w:r w:rsidR="00FA65A7" w:rsidRPr="00736B48">
              <w:rPr>
                <w:rFonts w:cs="Calibri"/>
                <w:bCs/>
              </w:rPr>
              <w:t xml:space="preserve"> 30</w:t>
            </w:r>
          </w:p>
        </w:tc>
        <w:tc>
          <w:tcPr>
            <w:tcW w:w="694" w:type="pct"/>
            <w:vAlign w:val="center"/>
          </w:tcPr>
          <w:p w14:paraId="5A529E78" w14:textId="77777777" w:rsidR="00FA65A7" w:rsidRPr="009A475B" w:rsidRDefault="00FA65A7" w:rsidP="004C0B45">
            <w:pPr>
              <w:spacing w:after="0" w:line="301" w:lineRule="exact"/>
              <w:jc w:val="center"/>
              <w:outlineLvl w:val="0"/>
              <w:rPr>
                <w:rFonts w:eastAsia="Times New Roman" w:cs="Calibri"/>
                <w:bCs/>
              </w:rPr>
            </w:pPr>
            <w:r w:rsidRPr="009A475B">
              <w:rPr>
                <w:rFonts w:eastAsia="Times New Roman" w:cs="Calibri"/>
                <w:bCs/>
              </w:rPr>
              <w:t>Cumulatively</w:t>
            </w:r>
          </w:p>
          <w:p w14:paraId="2E9650A4" w14:textId="56E39F6D" w:rsidR="00FA65A7" w:rsidRPr="00736B48" w:rsidRDefault="00FA65A7">
            <w:pPr>
              <w:spacing w:after="0" w:line="280" w:lineRule="exact"/>
              <w:jc w:val="center"/>
              <w:outlineLvl w:val="0"/>
              <w:rPr>
                <w:rFonts w:eastAsia="Times New Roman" w:cs="Arial"/>
                <w:b/>
                <w:bCs/>
              </w:rPr>
            </w:pPr>
            <w:r w:rsidRPr="00736B48">
              <w:rPr>
                <w:rFonts w:cs="Calibri"/>
                <w:bCs/>
              </w:rPr>
              <w:t xml:space="preserve">January 1 – </w:t>
            </w:r>
            <w:r w:rsidR="008D202F">
              <w:rPr>
                <w:rFonts w:cs="Calibri"/>
                <w:bCs/>
              </w:rPr>
              <w:t>September</w:t>
            </w:r>
            <w:r w:rsidR="008D202F" w:rsidRPr="00736B48">
              <w:rPr>
                <w:rFonts w:cs="Calibri"/>
                <w:bCs/>
              </w:rPr>
              <w:t xml:space="preserve"> </w:t>
            </w:r>
            <w:r w:rsidRPr="00736B48">
              <w:rPr>
                <w:rFonts w:cs="Calibri"/>
                <w:bCs/>
              </w:rPr>
              <w:t>30</w:t>
            </w:r>
          </w:p>
        </w:tc>
        <w:tc>
          <w:tcPr>
            <w:tcW w:w="660" w:type="pct"/>
            <w:vAlign w:val="center"/>
          </w:tcPr>
          <w:p w14:paraId="57A05E65" w14:textId="77777777" w:rsidR="00FA65A7" w:rsidRPr="00275F48" w:rsidRDefault="00FA65A7" w:rsidP="004C0B45">
            <w:pPr>
              <w:spacing w:after="0" w:line="301" w:lineRule="exact"/>
              <w:jc w:val="center"/>
              <w:outlineLvl w:val="0"/>
              <w:rPr>
                <w:rFonts w:eastAsia="Times New Roman" w:cs="Calibri"/>
                <w:bCs/>
              </w:rPr>
            </w:pPr>
            <w:r w:rsidRPr="009A475B">
              <w:rPr>
                <w:rFonts w:eastAsia="Times New Roman" w:cs="Calibri"/>
                <w:bCs/>
              </w:rPr>
              <w:t xml:space="preserve">Current </w:t>
            </w:r>
            <w:r w:rsidRPr="005940D8">
              <w:rPr>
                <w:rFonts w:eastAsia="Times New Roman" w:cs="Calibri"/>
                <w:bCs/>
              </w:rPr>
              <w:t>period</w:t>
            </w:r>
          </w:p>
          <w:p w14:paraId="3E523916" w14:textId="7567EC37" w:rsidR="00FA65A7" w:rsidRPr="00736B48" w:rsidRDefault="008D202F" w:rsidP="004C0B45">
            <w:pPr>
              <w:spacing w:after="0" w:line="280" w:lineRule="exact"/>
              <w:jc w:val="center"/>
              <w:outlineLvl w:val="0"/>
              <w:rPr>
                <w:rFonts w:eastAsia="Times New Roman" w:cs="Arial"/>
                <w:b/>
                <w:bCs/>
              </w:rPr>
            </w:pPr>
            <w:r w:rsidRPr="008D202F">
              <w:rPr>
                <w:rFonts w:cs="Calibri"/>
                <w:bCs/>
              </w:rPr>
              <w:t>July 1 – September 30</w:t>
            </w:r>
          </w:p>
        </w:tc>
        <w:tc>
          <w:tcPr>
            <w:tcW w:w="728" w:type="pct"/>
            <w:vAlign w:val="center"/>
          </w:tcPr>
          <w:p w14:paraId="7364C626" w14:textId="77777777" w:rsidR="00FA65A7" w:rsidRPr="009A475B" w:rsidRDefault="00FA65A7" w:rsidP="004C0B45">
            <w:pPr>
              <w:spacing w:after="0" w:line="301" w:lineRule="exact"/>
              <w:jc w:val="center"/>
              <w:outlineLvl w:val="0"/>
              <w:rPr>
                <w:rFonts w:eastAsia="Times New Roman" w:cs="Calibri"/>
                <w:bCs/>
              </w:rPr>
            </w:pPr>
            <w:r w:rsidRPr="009A475B">
              <w:rPr>
                <w:rFonts w:eastAsia="Times New Roman" w:cs="Calibri"/>
                <w:bCs/>
              </w:rPr>
              <w:t>Cumulatively</w:t>
            </w:r>
          </w:p>
          <w:p w14:paraId="7C1292BE" w14:textId="2EDDEF18" w:rsidR="00FA65A7" w:rsidRPr="00736B48" w:rsidRDefault="00FA65A7">
            <w:pPr>
              <w:spacing w:after="0" w:line="280" w:lineRule="exact"/>
              <w:jc w:val="center"/>
              <w:outlineLvl w:val="0"/>
              <w:rPr>
                <w:rFonts w:eastAsia="Times New Roman" w:cs="Arial"/>
                <w:b/>
                <w:bCs/>
              </w:rPr>
            </w:pPr>
            <w:r w:rsidRPr="00736B48">
              <w:rPr>
                <w:rFonts w:cs="Calibri"/>
                <w:bCs/>
              </w:rPr>
              <w:t xml:space="preserve">January 1 – </w:t>
            </w:r>
            <w:r w:rsidR="008D202F">
              <w:rPr>
                <w:rFonts w:cs="Calibri"/>
                <w:bCs/>
              </w:rPr>
              <w:t>September</w:t>
            </w:r>
            <w:r w:rsidR="008D202F" w:rsidRPr="00736B48">
              <w:rPr>
                <w:rFonts w:cs="Calibri"/>
                <w:bCs/>
              </w:rPr>
              <w:t xml:space="preserve"> </w:t>
            </w:r>
            <w:r w:rsidRPr="00736B48">
              <w:rPr>
                <w:rFonts w:cs="Calibri"/>
                <w:bCs/>
              </w:rPr>
              <w:t>30</w:t>
            </w:r>
          </w:p>
        </w:tc>
      </w:tr>
      <w:tr w:rsidR="00FA65A7" w:rsidRPr="00736B48" w14:paraId="7934D6A2" w14:textId="77777777" w:rsidTr="004C0B45">
        <w:trPr>
          <w:trHeight w:val="354"/>
        </w:trPr>
        <w:tc>
          <w:tcPr>
            <w:tcW w:w="2222" w:type="pct"/>
            <w:vAlign w:val="center"/>
          </w:tcPr>
          <w:p w14:paraId="2D6A319D" w14:textId="77777777" w:rsidR="00FA65A7" w:rsidRPr="00736B48" w:rsidRDefault="00FA65A7" w:rsidP="004C0B45">
            <w:pPr>
              <w:tabs>
                <w:tab w:val="right" w:pos="1202"/>
              </w:tabs>
              <w:spacing w:after="0" w:line="240" w:lineRule="auto"/>
              <w:jc w:val="center"/>
              <w:outlineLvl w:val="0"/>
              <w:rPr>
                <w:rFonts w:eastAsia="Times New Roman" w:cs="Arial"/>
                <w:b/>
                <w:bCs/>
              </w:rPr>
            </w:pPr>
          </w:p>
        </w:tc>
        <w:tc>
          <w:tcPr>
            <w:tcW w:w="696" w:type="pct"/>
          </w:tcPr>
          <w:p w14:paraId="5DFE2B7A" w14:textId="77777777" w:rsidR="00FA65A7" w:rsidRPr="00736B48" w:rsidRDefault="00FA65A7" w:rsidP="004C0B45">
            <w:pPr>
              <w:spacing w:after="0" w:line="240" w:lineRule="auto"/>
              <w:jc w:val="right"/>
              <w:outlineLvl w:val="0"/>
              <w:rPr>
                <w:rFonts w:eastAsia="Times New Roman" w:cs="Arial"/>
                <w:b/>
                <w:bCs/>
              </w:rPr>
            </w:pPr>
          </w:p>
        </w:tc>
        <w:tc>
          <w:tcPr>
            <w:tcW w:w="694" w:type="pct"/>
          </w:tcPr>
          <w:p w14:paraId="7AD6C02F" w14:textId="77777777" w:rsidR="00FA65A7" w:rsidRPr="00736B48" w:rsidRDefault="00FA65A7" w:rsidP="004C0B45">
            <w:pPr>
              <w:spacing w:after="0" w:line="240" w:lineRule="auto"/>
              <w:jc w:val="right"/>
              <w:outlineLvl w:val="0"/>
              <w:rPr>
                <w:rFonts w:eastAsia="Times New Roman" w:cs="Arial"/>
                <w:b/>
                <w:bCs/>
              </w:rPr>
            </w:pPr>
          </w:p>
        </w:tc>
        <w:tc>
          <w:tcPr>
            <w:tcW w:w="660" w:type="pct"/>
          </w:tcPr>
          <w:p w14:paraId="1B97B540" w14:textId="77777777" w:rsidR="00FA65A7" w:rsidRPr="00736B48" w:rsidRDefault="00FA65A7" w:rsidP="004C0B45">
            <w:pPr>
              <w:spacing w:after="0" w:line="240" w:lineRule="auto"/>
              <w:jc w:val="right"/>
              <w:outlineLvl w:val="0"/>
              <w:rPr>
                <w:rFonts w:eastAsia="Times New Roman" w:cs="Arial"/>
                <w:b/>
                <w:bCs/>
              </w:rPr>
            </w:pPr>
          </w:p>
        </w:tc>
        <w:tc>
          <w:tcPr>
            <w:tcW w:w="728" w:type="pct"/>
          </w:tcPr>
          <w:p w14:paraId="26111A90" w14:textId="77777777" w:rsidR="00FA65A7" w:rsidRPr="00736B48" w:rsidRDefault="00FA65A7" w:rsidP="004C0B45">
            <w:pPr>
              <w:spacing w:after="0" w:line="240" w:lineRule="auto"/>
              <w:jc w:val="right"/>
              <w:outlineLvl w:val="0"/>
              <w:rPr>
                <w:rFonts w:eastAsia="Times New Roman" w:cs="Arial"/>
                <w:b/>
                <w:bCs/>
              </w:rPr>
            </w:pPr>
          </w:p>
        </w:tc>
      </w:tr>
      <w:tr w:rsidR="005568F9" w:rsidRPr="00736B48" w14:paraId="7B072FBF" w14:textId="77777777" w:rsidTr="006B318F">
        <w:trPr>
          <w:trHeight w:val="345"/>
        </w:trPr>
        <w:tc>
          <w:tcPr>
            <w:tcW w:w="2222" w:type="pct"/>
            <w:vAlign w:val="bottom"/>
          </w:tcPr>
          <w:p w14:paraId="7B1AFA43" w14:textId="7032D489" w:rsidR="005568F9" w:rsidRPr="00736B48" w:rsidRDefault="005568F9" w:rsidP="005568F9">
            <w:pPr>
              <w:tabs>
                <w:tab w:val="right" w:pos="1202"/>
              </w:tabs>
              <w:spacing w:after="0" w:line="280" w:lineRule="exact"/>
              <w:outlineLvl w:val="0"/>
              <w:rPr>
                <w:rFonts w:eastAsia="Times New Roman" w:cs="Arial"/>
                <w:b/>
                <w:bCs/>
              </w:rPr>
            </w:pPr>
            <w:r w:rsidRPr="00736B48">
              <w:rPr>
                <w:rFonts w:cs="Arial"/>
                <w:b/>
                <w:bCs/>
              </w:rPr>
              <w:t xml:space="preserve">Profit for the </w:t>
            </w:r>
            <w:r>
              <w:rPr>
                <w:rFonts w:cs="Arial"/>
                <w:b/>
                <w:bCs/>
              </w:rPr>
              <w:t>period</w:t>
            </w:r>
          </w:p>
        </w:tc>
        <w:tc>
          <w:tcPr>
            <w:tcW w:w="696" w:type="pct"/>
            <w:tcBorders>
              <w:top w:val="nil"/>
              <w:left w:val="nil"/>
              <w:bottom w:val="single" w:sz="8" w:space="0" w:color="auto"/>
              <w:right w:val="nil"/>
            </w:tcBorders>
            <w:shd w:val="clear" w:color="auto" w:fill="auto"/>
            <w:vAlign w:val="bottom"/>
          </w:tcPr>
          <w:p w14:paraId="54FFCE74" w14:textId="1ADCE267" w:rsidR="005568F9" w:rsidRPr="00736B48" w:rsidRDefault="005568F9" w:rsidP="005568F9">
            <w:pPr>
              <w:tabs>
                <w:tab w:val="right" w:pos="1202"/>
              </w:tabs>
              <w:spacing w:after="0" w:line="280" w:lineRule="exact"/>
              <w:jc w:val="right"/>
              <w:outlineLvl w:val="0"/>
              <w:rPr>
                <w:rFonts w:eastAsia="Times New Roman" w:cs="Arial"/>
                <w:b/>
                <w:bCs/>
              </w:rPr>
            </w:pPr>
            <w:r w:rsidRPr="00CE0613">
              <w:rPr>
                <w:rFonts w:eastAsia="Times New Roman" w:cs="Arial"/>
                <w:b/>
                <w:bCs/>
              </w:rPr>
              <w:t>45</w:t>
            </w:r>
            <w:r>
              <w:rPr>
                <w:rFonts w:eastAsia="Times New Roman" w:cs="Arial"/>
                <w:b/>
                <w:bCs/>
              </w:rPr>
              <w:t>,</w:t>
            </w:r>
            <w:r w:rsidRPr="00CE0613">
              <w:rPr>
                <w:rFonts w:eastAsia="Times New Roman" w:cs="Arial"/>
                <w:b/>
                <w:bCs/>
              </w:rPr>
              <w:t>791</w:t>
            </w:r>
          </w:p>
        </w:tc>
        <w:tc>
          <w:tcPr>
            <w:tcW w:w="694" w:type="pct"/>
            <w:tcBorders>
              <w:top w:val="nil"/>
              <w:left w:val="nil"/>
              <w:bottom w:val="single" w:sz="8" w:space="0" w:color="auto"/>
              <w:right w:val="nil"/>
            </w:tcBorders>
            <w:shd w:val="clear" w:color="auto" w:fill="auto"/>
            <w:vAlign w:val="bottom"/>
          </w:tcPr>
          <w:p w14:paraId="74A02A8E" w14:textId="2998D2E2" w:rsidR="005568F9" w:rsidRPr="00736B48" w:rsidRDefault="005568F9" w:rsidP="005568F9">
            <w:pPr>
              <w:tabs>
                <w:tab w:val="right" w:pos="1202"/>
              </w:tabs>
              <w:spacing w:after="0" w:line="280" w:lineRule="exact"/>
              <w:jc w:val="right"/>
              <w:outlineLvl w:val="0"/>
              <w:rPr>
                <w:rFonts w:eastAsia="Times New Roman" w:cs="Arial"/>
                <w:b/>
                <w:bCs/>
              </w:rPr>
            </w:pPr>
            <w:r w:rsidRPr="00CE0613">
              <w:rPr>
                <w:rFonts w:eastAsia="Times New Roman" w:cs="Arial"/>
                <w:b/>
                <w:bCs/>
              </w:rPr>
              <w:t>176</w:t>
            </w:r>
            <w:r>
              <w:rPr>
                <w:rFonts w:eastAsia="Times New Roman" w:cs="Arial"/>
                <w:b/>
                <w:bCs/>
              </w:rPr>
              <w:t>,</w:t>
            </w:r>
            <w:r w:rsidRPr="00CE0613">
              <w:rPr>
                <w:rFonts w:eastAsia="Times New Roman" w:cs="Arial"/>
                <w:b/>
                <w:bCs/>
              </w:rPr>
              <w:t>541</w:t>
            </w:r>
          </w:p>
        </w:tc>
        <w:tc>
          <w:tcPr>
            <w:tcW w:w="660" w:type="pct"/>
            <w:tcBorders>
              <w:top w:val="nil"/>
              <w:left w:val="nil"/>
              <w:bottom w:val="single" w:sz="8" w:space="0" w:color="auto"/>
              <w:right w:val="nil"/>
            </w:tcBorders>
            <w:shd w:val="clear" w:color="auto" w:fill="auto"/>
            <w:vAlign w:val="bottom"/>
          </w:tcPr>
          <w:p w14:paraId="3F8D7170" w14:textId="7129E8D7" w:rsidR="005568F9" w:rsidRPr="00736B48" w:rsidRDefault="005568F9" w:rsidP="005568F9">
            <w:pPr>
              <w:tabs>
                <w:tab w:val="right" w:pos="1202"/>
              </w:tabs>
              <w:spacing w:after="0" w:line="280" w:lineRule="exact"/>
              <w:jc w:val="right"/>
              <w:outlineLvl w:val="0"/>
              <w:rPr>
                <w:rFonts w:eastAsia="Times New Roman" w:cs="Arial"/>
                <w:b/>
                <w:bCs/>
              </w:rPr>
            </w:pPr>
            <w:r>
              <w:rPr>
                <w:rFonts w:eastAsia="Times New Roman" w:cs="Arial"/>
                <w:b/>
                <w:bCs/>
              </w:rPr>
              <w:t>52,100</w:t>
            </w:r>
          </w:p>
        </w:tc>
        <w:tc>
          <w:tcPr>
            <w:tcW w:w="728" w:type="pct"/>
            <w:tcBorders>
              <w:top w:val="nil"/>
              <w:left w:val="nil"/>
              <w:bottom w:val="single" w:sz="8" w:space="0" w:color="auto"/>
              <w:right w:val="nil"/>
            </w:tcBorders>
            <w:shd w:val="clear" w:color="auto" w:fill="auto"/>
            <w:vAlign w:val="bottom"/>
          </w:tcPr>
          <w:p w14:paraId="3045A63D" w14:textId="4216D4AE" w:rsidR="005568F9" w:rsidRPr="00736B48" w:rsidRDefault="005568F9" w:rsidP="005568F9">
            <w:pPr>
              <w:tabs>
                <w:tab w:val="right" w:pos="1202"/>
              </w:tabs>
              <w:spacing w:after="0" w:line="280" w:lineRule="exact"/>
              <w:jc w:val="right"/>
              <w:outlineLvl w:val="0"/>
              <w:rPr>
                <w:rFonts w:eastAsia="Times New Roman" w:cs="Arial"/>
                <w:b/>
                <w:bCs/>
              </w:rPr>
            </w:pPr>
            <w:r>
              <w:rPr>
                <w:rFonts w:cs="Calibri"/>
                <w:b/>
                <w:bCs/>
              </w:rPr>
              <w:t>159,778</w:t>
            </w:r>
          </w:p>
        </w:tc>
      </w:tr>
      <w:tr w:rsidR="005568F9" w:rsidRPr="00736B48" w14:paraId="5E5B5162" w14:textId="77777777" w:rsidTr="006B318F">
        <w:trPr>
          <w:trHeight w:val="163"/>
        </w:trPr>
        <w:tc>
          <w:tcPr>
            <w:tcW w:w="2222" w:type="pct"/>
            <w:vAlign w:val="bottom"/>
          </w:tcPr>
          <w:p w14:paraId="5DBFBE6D" w14:textId="77777777" w:rsidR="005568F9" w:rsidRPr="00736B48" w:rsidRDefault="005568F9" w:rsidP="005568F9">
            <w:pPr>
              <w:tabs>
                <w:tab w:val="right" w:pos="1202"/>
              </w:tabs>
              <w:spacing w:after="0" w:line="280" w:lineRule="exact"/>
              <w:outlineLvl w:val="0"/>
              <w:rPr>
                <w:rFonts w:cs="Arial"/>
                <w:b/>
                <w:bCs/>
              </w:rPr>
            </w:pPr>
          </w:p>
        </w:tc>
        <w:tc>
          <w:tcPr>
            <w:tcW w:w="696" w:type="pct"/>
            <w:tcBorders>
              <w:top w:val="single" w:sz="12" w:space="0" w:color="auto"/>
            </w:tcBorders>
            <w:vAlign w:val="bottom"/>
          </w:tcPr>
          <w:p w14:paraId="1FF9482C" w14:textId="77777777" w:rsidR="005568F9" w:rsidRPr="00736B48" w:rsidRDefault="005568F9" w:rsidP="005568F9">
            <w:pPr>
              <w:tabs>
                <w:tab w:val="right" w:pos="1202"/>
              </w:tabs>
              <w:spacing w:after="0" w:line="280" w:lineRule="exact"/>
              <w:jc w:val="right"/>
              <w:outlineLvl w:val="0"/>
              <w:rPr>
                <w:rFonts w:eastAsia="Times New Roman" w:cs="Arial"/>
                <w:b/>
                <w:bCs/>
              </w:rPr>
            </w:pPr>
          </w:p>
        </w:tc>
        <w:tc>
          <w:tcPr>
            <w:tcW w:w="694" w:type="pct"/>
            <w:tcBorders>
              <w:top w:val="single" w:sz="12" w:space="0" w:color="auto"/>
            </w:tcBorders>
            <w:vAlign w:val="bottom"/>
          </w:tcPr>
          <w:p w14:paraId="39527B07" w14:textId="77777777" w:rsidR="005568F9" w:rsidRPr="00736B48" w:rsidRDefault="005568F9" w:rsidP="005568F9">
            <w:pPr>
              <w:tabs>
                <w:tab w:val="right" w:pos="1202"/>
              </w:tabs>
              <w:spacing w:after="0" w:line="280" w:lineRule="exact"/>
              <w:jc w:val="right"/>
              <w:outlineLvl w:val="0"/>
              <w:rPr>
                <w:rFonts w:eastAsia="Times New Roman" w:cs="Arial"/>
                <w:b/>
                <w:bCs/>
              </w:rPr>
            </w:pPr>
          </w:p>
        </w:tc>
        <w:tc>
          <w:tcPr>
            <w:tcW w:w="660" w:type="pct"/>
            <w:tcBorders>
              <w:top w:val="single" w:sz="12" w:space="0" w:color="auto"/>
            </w:tcBorders>
            <w:vAlign w:val="bottom"/>
          </w:tcPr>
          <w:p w14:paraId="2C469A7B" w14:textId="77777777" w:rsidR="005568F9" w:rsidRPr="00736B48" w:rsidRDefault="005568F9" w:rsidP="005568F9">
            <w:pPr>
              <w:tabs>
                <w:tab w:val="right" w:pos="1202"/>
              </w:tabs>
              <w:spacing w:after="0" w:line="280" w:lineRule="exact"/>
              <w:jc w:val="right"/>
              <w:outlineLvl w:val="0"/>
              <w:rPr>
                <w:rFonts w:eastAsia="Times New Roman" w:cs="Arial"/>
                <w:b/>
                <w:bCs/>
              </w:rPr>
            </w:pPr>
          </w:p>
        </w:tc>
        <w:tc>
          <w:tcPr>
            <w:tcW w:w="728" w:type="pct"/>
            <w:tcBorders>
              <w:top w:val="single" w:sz="12" w:space="0" w:color="auto"/>
            </w:tcBorders>
            <w:vAlign w:val="bottom"/>
          </w:tcPr>
          <w:p w14:paraId="2BA1197B" w14:textId="77777777" w:rsidR="005568F9" w:rsidRPr="00736B48" w:rsidRDefault="005568F9" w:rsidP="005568F9">
            <w:pPr>
              <w:tabs>
                <w:tab w:val="right" w:pos="1202"/>
              </w:tabs>
              <w:spacing w:after="0" w:line="280" w:lineRule="exact"/>
              <w:jc w:val="right"/>
              <w:outlineLvl w:val="0"/>
              <w:rPr>
                <w:rFonts w:eastAsia="Times New Roman" w:cs="Arial"/>
                <w:b/>
                <w:bCs/>
              </w:rPr>
            </w:pPr>
          </w:p>
        </w:tc>
      </w:tr>
      <w:tr w:rsidR="005568F9" w:rsidRPr="00736B48" w14:paraId="0BCB2B68" w14:textId="77777777" w:rsidTr="006B318F">
        <w:trPr>
          <w:trHeight w:val="345"/>
        </w:trPr>
        <w:tc>
          <w:tcPr>
            <w:tcW w:w="2222" w:type="pct"/>
            <w:vAlign w:val="bottom"/>
          </w:tcPr>
          <w:p w14:paraId="704E044D" w14:textId="77777777" w:rsidR="005568F9" w:rsidRPr="00736B48" w:rsidRDefault="005568F9" w:rsidP="005568F9">
            <w:pPr>
              <w:tabs>
                <w:tab w:val="right" w:pos="1202"/>
              </w:tabs>
              <w:spacing w:after="0" w:line="280" w:lineRule="exact"/>
              <w:outlineLvl w:val="0"/>
              <w:rPr>
                <w:rFonts w:eastAsia="Times New Roman" w:cs="Arial"/>
                <w:b/>
                <w:bCs/>
              </w:rPr>
            </w:pPr>
            <w:r w:rsidRPr="009A475B">
              <w:rPr>
                <w:rFonts w:cs="Arial"/>
                <w:b/>
                <w:bCs/>
              </w:rPr>
              <w:t>Other comprehensive income</w:t>
            </w:r>
          </w:p>
        </w:tc>
        <w:tc>
          <w:tcPr>
            <w:tcW w:w="696" w:type="pct"/>
            <w:vAlign w:val="bottom"/>
          </w:tcPr>
          <w:p w14:paraId="7C07E6CB" w14:textId="77777777" w:rsidR="005568F9" w:rsidRPr="00736B48" w:rsidRDefault="005568F9" w:rsidP="005568F9">
            <w:pPr>
              <w:keepNext/>
              <w:keepLines/>
              <w:spacing w:after="0" w:line="200" w:lineRule="exact"/>
              <w:jc w:val="right"/>
              <w:rPr>
                <w:rFonts w:eastAsia="Times New Roman" w:cs="Arial"/>
                <w:b/>
                <w:position w:val="4"/>
                <w:u w:val="thick"/>
              </w:rPr>
            </w:pPr>
          </w:p>
        </w:tc>
        <w:tc>
          <w:tcPr>
            <w:tcW w:w="694" w:type="pct"/>
            <w:vAlign w:val="bottom"/>
          </w:tcPr>
          <w:p w14:paraId="562DFE71" w14:textId="77777777" w:rsidR="005568F9" w:rsidRPr="00736B48" w:rsidRDefault="005568F9" w:rsidP="005568F9">
            <w:pPr>
              <w:keepNext/>
              <w:keepLines/>
              <w:spacing w:after="0" w:line="200" w:lineRule="exact"/>
              <w:jc w:val="right"/>
              <w:rPr>
                <w:rFonts w:eastAsia="Times New Roman" w:cs="Arial"/>
                <w:b/>
                <w:position w:val="4"/>
                <w:u w:val="thick"/>
              </w:rPr>
            </w:pPr>
          </w:p>
        </w:tc>
        <w:tc>
          <w:tcPr>
            <w:tcW w:w="660" w:type="pct"/>
            <w:vAlign w:val="bottom"/>
          </w:tcPr>
          <w:p w14:paraId="3D872944" w14:textId="77777777" w:rsidR="005568F9" w:rsidRPr="00736B48" w:rsidRDefault="005568F9" w:rsidP="005568F9">
            <w:pPr>
              <w:keepNext/>
              <w:keepLines/>
              <w:spacing w:after="0" w:line="200" w:lineRule="exact"/>
              <w:jc w:val="right"/>
              <w:rPr>
                <w:rFonts w:eastAsia="Times New Roman" w:cs="Arial"/>
                <w:b/>
                <w:position w:val="4"/>
                <w:u w:val="thick"/>
              </w:rPr>
            </w:pPr>
          </w:p>
        </w:tc>
        <w:tc>
          <w:tcPr>
            <w:tcW w:w="728" w:type="pct"/>
            <w:vAlign w:val="bottom"/>
          </w:tcPr>
          <w:p w14:paraId="0546E4FB" w14:textId="77777777" w:rsidR="005568F9" w:rsidRPr="00736B48" w:rsidRDefault="005568F9" w:rsidP="005568F9">
            <w:pPr>
              <w:keepNext/>
              <w:keepLines/>
              <w:spacing w:after="0" w:line="200" w:lineRule="exact"/>
              <w:jc w:val="right"/>
              <w:rPr>
                <w:rFonts w:eastAsia="Times New Roman" w:cs="Arial"/>
                <w:b/>
                <w:position w:val="4"/>
                <w:u w:val="thick"/>
              </w:rPr>
            </w:pPr>
          </w:p>
        </w:tc>
      </w:tr>
      <w:tr w:rsidR="005568F9" w:rsidRPr="00736B48" w14:paraId="3A184E6F" w14:textId="77777777" w:rsidTr="006B318F">
        <w:trPr>
          <w:trHeight w:val="138"/>
        </w:trPr>
        <w:tc>
          <w:tcPr>
            <w:tcW w:w="2222" w:type="pct"/>
            <w:vAlign w:val="bottom"/>
          </w:tcPr>
          <w:p w14:paraId="0C4CED6E" w14:textId="77777777" w:rsidR="005568F9" w:rsidRPr="00736B48" w:rsidRDefault="005568F9" w:rsidP="005568F9">
            <w:pPr>
              <w:tabs>
                <w:tab w:val="right" w:pos="1202"/>
              </w:tabs>
              <w:spacing w:after="0" w:line="200" w:lineRule="exact"/>
              <w:outlineLvl w:val="0"/>
              <w:rPr>
                <w:rFonts w:eastAsia="Times New Roman" w:cs="Arial"/>
                <w:bCs/>
              </w:rPr>
            </w:pPr>
          </w:p>
        </w:tc>
        <w:tc>
          <w:tcPr>
            <w:tcW w:w="696" w:type="pct"/>
            <w:vAlign w:val="bottom"/>
          </w:tcPr>
          <w:p w14:paraId="7E3D54B9" w14:textId="77777777" w:rsidR="005568F9" w:rsidRPr="00736B48" w:rsidRDefault="005568F9" w:rsidP="005568F9">
            <w:pPr>
              <w:keepNext/>
              <w:keepLines/>
              <w:spacing w:after="0" w:line="240" w:lineRule="auto"/>
              <w:jc w:val="right"/>
              <w:rPr>
                <w:rFonts w:eastAsia="Times New Roman" w:cs="Arial"/>
                <w:position w:val="4"/>
              </w:rPr>
            </w:pPr>
          </w:p>
        </w:tc>
        <w:tc>
          <w:tcPr>
            <w:tcW w:w="694" w:type="pct"/>
            <w:vAlign w:val="bottom"/>
          </w:tcPr>
          <w:p w14:paraId="11E82D27" w14:textId="77777777" w:rsidR="005568F9" w:rsidRPr="00736B48" w:rsidRDefault="005568F9" w:rsidP="005568F9">
            <w:pPr>
              <w:keepNext/>
              <w:keepLines/>
              <w:spacing w:after="0" w:line="240" w:lineRule="auto"/>
              <w:jc w:val="right"/>
              <w:rPr>
                <w:rFonts w:eastAsia="Times New Roman" w:cs="Arial"/>
                <w:position w:val="4"/>
              </w:rPr>
            </w:pPr>
          </w:p>
        </w:tc>
        <w:tc>
          <w:tcPr>
            <w:tcW w:w="660" w:type="pct"/>
            <w:vAlign w:val="bottom"/>
          </w:tcPr>
          <w:p w14:paraId="1318F308" w14:textId="77777777" w:rsidR="005568F9" w:rsidRPr="00736B48" w:rsidRDefault="005568F9" w:rsidP="005568F9">
            <w:pPr>
              <w:keepNext/>
              <w:keepLines/>
              <w:spacing w:after="0" w:line="240" w:lineRule="auto"/>
              <w:jc w:val="right"/>
              <w:rPr>
                <w:rFonts w:eastAsia="Times New Roman" w:cs="Arial"/>
                <w:position w:val="4"/>
              </w:rPr>
            </w:pPr>
          </w:p>
        </w:tc>
        <w:tc>
          <w:tcPr>
            <w:tcW w:w="728" w:type="pct"/>
            <w:vAlign w:val="bottom"/>
          </w:tcPr>
          <w:p w14:paraId="3F3046C8" w14:textId="77777777" w:rsidR="005568F9" w:rsidRPr="00736B48" w:rsidRDefault="005568F9" w:rsidP="005568F9">
            <w:pPr>
              <w:keepNext/>
              <w:keepLines/>
              <w:spacing w:after="0" w:line="240" w:lineRule="auto"/>
              <w:jc w:val="right"/>
              <w:rPr>
                <w:rFonts w:eastAsia="Times New Roman" w:cs="Arial"/>
                <w:position w:val="4"/>
              </w:rPr>
            </w:pPr>
          </w:p>
        </w:tc>
      </w:tr>
      <w:tr w:rsidR="005568F9" w:rsidRPr="00736B48" w14:paraId="2FAA0140" w14:textId="77777777" w:rsidTr="006B318F">
        <w:trPr>
          <w:trHeight w:val="345"/>
        </w:trPr>
        <w:tc>
          <w:tcPr>
            <w:tcW w:w="2222" w:type="pct"/>
            <w:vAlign w:val="bottom"/>
          </w:tcPr>
          <w:p w14:paraId="5185C1C1" w14:textId="77777777" w:rsidR="005568F9" w:rsidRPr="00736B48" w:rsidRDefault="005568F9" w:rsidP="005568F9">
            <w:pPr>
              <w:tabs>
                <w:tab w:val="right" w:pos="1202"/>
              </w:tabs>
              <w:spacing w:after="0" w:line="280" w:lineRule="exact"/>
              <w:outlineLvl w:val="0"/>
              <w:rPr>
                <w:rFonts w:eastAsia="Times New Roman" w:cs="Arial"/>
                <w:b/>
                <w:bCs/>
              </w:rPr>
            </w:pPr>
            <w:r w:rsidRPr="009A475B">
              <w:rPr>
                <w:rFonts w:cs="Arial"/>
                <w:b/>
                <w:bCs/>
              </w:rPr>
              <w:t>Items that may be reclassified subsequently to profit or loss</w:t>
            </w:r>
            <w:r w:rsidRPr="00736B48">
              <w:rPr>
                <w:rFonts w:eastAsia="Times New Roman" w:cs="Arial"/>
                <w:b/>
                <w:bCs/>
              </w:rPr>
              <w:t>:</w:t>
            </w:r>
          </w:p>
        </w:tc>
        <w:tc>
          <w:tcPr>
            <w:tcW w:w="696" w:type="pct"/>
            <w:vAlign w:val="bottom"/>
          </w:tcPr>
          <w:p w14:paraId="1366E341" w14:textId="77777777" w:rsidR="005568F9" w:rsidRPr="00736B48" w:rsidRDefault="005568F9" w:rsidP="005568F9">
            <w:pPr>
              <w:keepNext/>
              <w:keepLines/>
              <w:spacing w:after="0" w:line="240" w:lineRule="auto"/>
              <w:jc w:val="right"/>
              <w:rPr>
                <w:rFonts w:eastAsia="Times New Roman" w:cs="Arial"/>
                <w:b/>
                <w:position w:val="4"/>
              </w:rPr>
            </w:pPr>
          </w:p>
        </w:tc>
        <w:tc>
          <w:tcPr>
            <w:tcW w:w="694" w:type="pct"/>
            <w:vAlign w:val="bottom"/>
          </w:tcPr>
          <w:p w14:paraId="6D28FBCB" w14:textId="77777777" w:rsidR="005568F9" w:rsidRPr="00736B48" w:rsidRDefault="005568F9" w:rsidP="005568F9">
            <w:pPr>
              <w:keepNext/>
              <w:keepLines/>
              <w:spacing w:after="0" w:line="240" w:lineRule="auto"/>
              <w:jc w:val="right"/>
              <w:rPr>
                <w:rFonts w:eastAsia="Times New Roman" w:cs="Arial"/>
                <w:b/>
                <w:position w:val="4"/>
              </w:rPr>
            </w:pPr>
          </w:p>
        </w:tc>
        <w:tc>
          <w:tcPr>
            <w:tcW w:w="660" w:type="pct"/>
            <w:vAlign w:val="bottom"/>
          </w:tcPr>
          <w:p w14:paraId="58508A03" w14:textId="77777777" w:rsidR="005568F9" w:rsidRPr="00736B48" w:rsidRDefault="005568F9" w:rsidP="005568F9">
            <w:pPr>
              <w:keepNext/>
              <w:keepLines/>
              <w:spacing w:after="0" w:line="240" w:lineRule="auto"/>
              <w:jc w:val="right"/>
              <w:rPr>
                <w:rFonts w:eastAsia="Times New Roman" w:cs="Arial"/>
                <w:b/>
                <w:position w:val="4"/>
              </w:rPr>
            </w:pPr>
          </w:p>
        </w:tc>
        <w:tc>
          <w:tcPr>
            <w:tcW w:w="728" w:type="pct"/>
            <w:vAlign w:val="bottom"/>
          </w:tcPr>
          <w:p w14:paraId="24CB8B41" w14:textId="77777777" w:rsidR="005568F9" w:rsidRPr="00736B48" w:rsidRDefault="005568F9" w:rsidP="005568F9">
            <w:pPr>
              <w:keepNext/>
              <w:keepLines/>
              <w:spacing w:after="0" w:line="240" w:lineRule="auto"/>
              <w:jc w:val="right"/>
              <w:rPr>
                <w:rFonts w:eastAsia="Times New Roman" w:cs="Arial"/>
                <w:b/>
                <w:position w:val="4"/>
              </w:rPr>
            </w:pPr>
          </w:p>
        </w:tc>
      </w:tr>
      <w:tr w:rsidR="005568F9" w:rsidRPr="00736B48" w14:paraId="7E4A579F" w14:textId="77777777" w:rsidTr="006B318F">
        <w:trPr>
          <w:trHeight w:hRule="exact" w:val="340"/>
        </w:trPr>
        <w:tc>
          <w:tcPr>
            <w:tcW w:w="2222" w:type="pct"/>
            <w:vAlign w:val="bottom"/>
          </w:tcPr>
          <w:p w14:paraId="27FEB66A" w14:textId="77777777" w:rsidR="005568F9" w:rsidRDefault="005568F9" w:rsidP="005568F9">
            <w:pPr>
              <w:tabs>
                <w:tab w:val="right" w:pos="1202"/>
              </w:tabs>
              <w:spacing w:after="0" w:line="280" w:lineRule="exact"/>
              <w:outlineLvl w:val="0"/>
              <w:rPr>
                <w:rFonts w:eastAsia="Times New Roman" w:cs="Arial"/>
                <w:bCs/>
              </w:rPr>
            </w:pPr>
            <w:r w:rsidRPr="009A475B">
              <w:rPr>
                <w:rFonts w:cs="Arial"/>
                <w:bCs/>
              </w:rPr>
              <w:t>Increase in fair value of assets available for sale</w:t>
            </w:r>
          </w:p>
        </w:tc>
        <w:tc>
          <w:tcPr>
            <w:tcW w:w="696" w:type="pct"/>
            <w:tcBorders>
              <w:top w:val="nil"/>
              <w:left w:val="nil"/>
              <w:right w:val="nil"/>
            </w:tcBorders>
            <w:shd w:val="clear" w:color="auto" w:fill="auto"/>
            <w:vAlign w:val="bottom"/>
          </w:tcPr>
          <w:p w14:paraId="71A8C2E4" w14:textId="00E9DC4D" w:rsidR="005568F9" w:rsidRPr="00736B48" w:rsidRDefault="005568F9" w:rsidP="005568F9">
            <w:pPr>
              <w:tabs>
                <w:tab w:val="right" w:pos="1202"/>
              </w:tabs>
              <w:spacing w:after="0" w:line="280" w:lineRule="exact"/>
              <w:jc w:val="right"/>
              <w:outlineLvl w:val="0"/>
              <w:rPr>
                <w:color w:val="000000"/>
              </w:rPr>
            </w:pPr>
            <w:r w:rsidRPr="0099294A">
              <w:t xml:space="preserve"> 20</w:t>
            </w:r>
            <w:r>
              <w:t>,</w:t>
            </w:r>
            <w:r w:rsidRPr="0099294A">
              <w:t xml:space="preserve">624 </w:t>
            </w:r>
          </w:p>
        </w:tc>
        <w:tc>
          <w:tcPr>
            <w:tcW w:w="694" w:type="pct"/>
            <w:tcBorders>
              <w:top w:val="nil"/>
              <w:left w:val="nil"/>
              <w:right w:val="nil"/>
            </w:tcBorders>
            <w:shd w:val="clear" w:color="auto" w:fill="auto"/>
            <w:vAlign w:val="bottom"/>
          </w:tcPr>
          <w:p w14:paraId="7249A27B" w14:textId="26B51538" w:rsidR="005568F9" w:rsidRPr="00736B48" w:rsidRDefault="005568F9" w:rsidP="005568F9">
            <w:pPr>
              <w:tabs>
                <w:tab w:val="right" w:pos="1202"/>
              </w:tabs>
              <w:spacing w:after="0" w:line="280" w:lineRule="exact"/>
              <w:jc w:val="right"/>
              <w:outlineLvl w:val="0"/>
              <w:rPr>
                <w:color w:val="000000"/>
              </w:rPr>
            </w:pPr>
            <w:r w:rsidRPr="0099294A">
              <w:t xml:space="preserve"> 42</w:t>
            </w:r>
            <w:r>
              <w:t>,</w:t>
            </w:r>
            <w:r w:rsidRPr="0099294A">
              <w:t xml:space="preserve">387 </w:t>
            </w:r>
          </w:p>
        </w:tc>
        <w:tc>
          <w:tcPr>
            <w:tcW w:w="660" w:type="pct"/>
            <w:tcBorders>
              <w:top w:val="nil"/>
              <w:left w:val="nil"/>
              <w:bottom w:val="nil"/>
              <w:right w:val="nil"/>
            </w:tcBorders>
            <w:shd w:val="clear" w:color="auto" w:fill="auto"/>
            <w:vAlign w:val="bottom"/>
          </w:tcPr>
          <w:p w14:paraId="0DEB3A0E" w14:textId="0BFBD55F" w:rsidR="005568F9" w:rsidRPr="00736B48" w:rsidRDefault="005568F9" w:rsidP="005568F9">
            <w:pPr>
              <w:tabs>
                <w:tab w:val="right" w:pos="1202"/>
              </w:tabs>
              <w:spacing w:after="0" w:line="280" w:lineRule="exact"/>
              <w:jc w:val="right"/>
              <w:outlineLvl w:val="0"/>
              <w:rPr>
                <w:color w:val="000000"/>
              </w:rPr>
            </w:pPr>
            <w:r>
              <w:rPr>
                <w:rFonts w:eastAsia="Times New Roman" w:cs="Arial"/>
                <w:bCs/>
              </w:rPr>
              <w:t>40,070</w:t>
            </w:r>
          </w:p>
        </w:tc>
        <w:tc>
          <w:tcPr>
            <w:tcW w:w="728" w:type="pct"/>
            <w:tcBorders>
              <w:top w:val="nil"/>
              <w:left w:val="nil"/>
              <w:bottom w:val="nil"/>
              <w:right w:val="nil"/>
            </w:tcBorders>
            <w:shd w:val="clear" w:color="auto" w:fill="auto"/>
            <w:vAlign w:val="bottom"/>
          </w:tcPr>
          <w:p w14:paraId="141ED7D2" w14:textId="57355C30" w:rsidR="005568F9" w:rsidRPr="00736B48" w:rsidRDefault="005568F9" w:rsidP="005568F9">
            <w:pPr>
              <w:tabs>
                <w:tab w:val="right" w:pos="1202"/>
              </w:tabs>
              <w:spacing w:after="0" w:line="280" w:lineRule="exact"/>
              <w:jc w:val="right"/>
              <w:outlineLvl w:val="0"/>
              <w:rPr>
                <w:color w:val="000000"/>
              </w:rPr>
            </w:pPr>
            <w:r>
              <w:rPr>
                <w:rFonts w:cs="Calibri"/>
                <w:bCs/>
              </w:rPr>
              <w:t>72,153</w:t>
            </w:r>
          </w:p>
        </w:tc>
      </w:tr>
      <w:tr w:rsidR="005568F9" w:rsidRPr="00736B48" w14:paraId="0244EB83" w14:textId="77777777" w:rsidTr="006B318F">
        <w:trPr>
          <w:trHeight w:hRule="exact" w:val="340"/>
        </w:trPr>
        <w:tc>
          <w:tcPr>
            <w:tcW w:w="2222" w:type="pct"/>
            <w:vAlign w:val="bottom"/>
          </w:tcPr>
          <w:p w14:paraId="051061C8" w14:textId="77777777" w:rsidR="005568F9" w:rsidRDefault="005568F9" w:rsidP="005568F9">
            <w:pPr>
              <w:tabs>
                <w:tab w:val="right" w:pos="1202"/>
              </w:tabs>
              <w:spacing w:after="0" w:line="280" w:lineRule="exact"/>
              <w:outlineLvl w:val="0"/>
              <w:rPr>
                <w:rFonts w:eastAsia="Times New Roman" w:cs="Arial"/>
                <w:bCs/>
              </w:rPr>
            </w:pPr>
            <w:r w:rsidRPr="009A475B">
              <w:rPr>
                <w:rFonts w:cs="Arial"/>
                <w:bCs/>
              </w:rPr>
              <w:t>Decrease in fair value of assets available for sale</w:t>
            </w:r>
          </w:p>
        </w:tc>
        <w:tc>
          <w:tcPr>
            <w:tcW w:w="696" w:type="pct"/>
            <w:tcBorders>
              <w:top w:val="nil"/>
              <w:left w:val="nil"/>
              <w:right w:val="nil"/>
            </w:tcBorders>
            <w:shd w:val="clear" w:color="auto" w:fill="auto"/>
            <w:vAlign w:val="bottom"/>
          </w:tcPr>
          <w:p w14:paraId="6083E23D" w14:textId="7B13DEEB" w:rsidR="005568F9" w:rsidRPr="00736B48" w:rsidRDefault="005568F9" w:rsidP="005568F9">
            <w:pPr>
              <w:tabs>
                <w:tab w:val="right" w:pos="1202"/>
              </w:tabs>
              <w:spacing w:after="0" w:line="280" w:lineRule="exact"/>
              <w:jc w:val="right"/>
              <w:outlineLvl w:val="0"/>
              <w:rPr>
                <w:color w:val="000000"/>
              </w:rPr>
            </w:pPr>
            <w:r w:rsidRPr="0099294A">
              <w:t xml:space="preserve"> (3</w:t>
            </w:r>
            <w:r>
              <w:t>,</w:t>
            </w:r>
            <w:r w:rsidRPr="0099294A">
              <w:t>168)</w:t>
            </w:r>
          </w:p>
        </w:tc>
        <w:tc>
          <w:tcPr>
            <w:tcW w:w="694" w:type="pct"/>
            <w:tcBorders>
              <w:top w:val="nil"/>
              <w:left w:val="nil"/>
              <w:right w:val="nil"/>
            </w:tcBorders>
            <w:shd w:val="clear" w:color="auto" w:fill="auto"/>
            <w:vAlign w:val="bottom"/>
          </w:tcPr>
          <w:p w14:paraId="3E8B1AEC" w14:textId="7CDD961E" w:rsidR="005568F9" w:rsidRPr="00736B48" w:rsidRDefault="005568F9" w:rsidP="005568F9">
            <w:pPr>
              <w:tabs>
                <w:tab w:val="right" w:pos="1202"/>
              </w:tabs>
              <w:spacing w:after="0" w:line="280" w:lineRule="exact"/>
              <w:jc w:val="right"/>
              <w:outlineLvl w:val="0"/>
              <w:rPr>
                <w:color w:val="000000"/>
              </w:rPr>
            </w:pPr>
            <w:r w:rsidRPr="0099294A">
              <w:t xml:space="preserve"> (23</w:t>
            </w:r>
            <w:r>
              <w:t>,</w:t>
            </w:r>
            <w:r w:rsidRPr="0099294A">
              <w:t>324)</w:t>
            </w:r>
          </w:p>
        </w:tc>
        <w:tc>
          <w:tcPr>
            <w:tcW w:w="660" w:type="pct"/>
            <w:tcBorders>
              <w:top w:val="nil"/>
              <w:left w:val="nil"/>
              <w:right w:val="nil"/>
            </w:tcBorders>
            <w:shd w:val="clear" w:color="auto" w:fill="auto"/>
            <w:vAlign w:val="bottom"/>
          </w:tcPr>
          <w:p w14:paraId="7994A4A0" w14:textId="5BD4F9CD" w:rsidR="005568F9" w:rsidRPr="00736B48" w:rsidRDefault="005568F9" w:rsidP="005568F9">
            <w:pPr>
              <w:tabs>
                <w:tab w:val="right" w:pos="1202"/>
              </w:tabs>
              <w:spacing w:after="0" w:line="280" w:lineRule="exact"/>
              <w:jc w:val="right"/>
              <w:outlineLvl w:val="0"/>
              <w:rPr>
                <w:color w:val="000000"/>
              </w:rPr>
            </w:pPr>
            <w:r>
              <w:rPr>
                <w:rFonts w:eastAsia="Times New Roman" w:cs="Arial"/>
                <w:bCs/>
              </w:rPr>
              <w:t>(21,520)</w:t>
            </w:r>
          </w:p>
        </w:tc>
        <w:tc>
          <w:tcPr>
            <w:tcW w:w="728" w:type="pct"/>
            <w:tcBorders>
              <w:top w:val="nil"/>
              <w:left w:val="nil"/>
              <w:right w:val="nil"/>
            </w:tcBorders>
            <w:shd w:val="clear" w:color="auto" w:fill="auto"/>
            <w:vAlign w:val="bottom"/>
          </w:tcPr>
          <w:p w14:paraId="567C869C" w14:textId="148025E3" w:rsidR="005568F9" w:rsidRPr="00736B48" w:rsidRDefault="005568F9" w:rsidP="005568F9">
            <w:pPr>
              <w:tabs>
                <w:tab w:val="right" w:pos="1202"/>
              </w:tabs>
              <w:spacing w:after="0" w:line="280" w:lineRule="exact"/>
              <w:jc w:val="right"/>
              <w:outlineLvl w:val="0"/>
              <w:rPr>
                <w:color w:val="000000"/>
              </w:rPr>
            </w:pPr>
            <w:r>
              <w:rPr>
                <w:rFonts w:cs="Calibri"/>
                <w:bCs/>
              </w:rPr>
              <w:t>(38,583)</w:t>
            </w:r>
          </w:p>
        </w:tc>
      </w:tr>
      <w:tr w:rsidR="005568F9" w:rsidRPr="00736B48" w14:paraId="41497878" w14:textId="77777777" w:rsidTr="006B318F">
        <w:trPr>
          <w:trHeight w:val="345"/>
        </w:trPr>
        <w:tc>
          <w:tcPr>
            <w:tcW w:w="2222" w:type="pct"/>
            <w:vAlign w:val="bottom"/>
          </w:tcPr>
          <w:p w14:paraId="290BB617" w14:textId="77777777" w:rsidR="005568F9" w:rsidRDefault="005568F9" w:rsidP="005568F9">
            <w:pPr>
              <w:tabs>
                <w:tab w:val="right" w:pos="1202"/>
              </w:tabs>
              <w:spacing w:after="0" w:line="280" w:lineRule="exact"/>
              <w:outlineLvl w:val="0"/>
              <w:rPr>
                <w:rFonts w:eastAsia="Times New Roman" w:cs="Arial"/>
                <w:bCs/>
              </w:rPr>
            </w:pPr>
            <w:r w:rsidRPr="009A475B">
              <w:rPr>
                <w:rFonts w:cs="Arial"/>
                <w:bCs/>
              </w:rPr>
              <w:t>Net foreign exchange on available for sale equity instruments</w:t>
            </w:r>
          </w:p>
        </w:tc>
        <w:tc>
          <w:tcPr>
            <w:tcW w:w="696" w:type="pct"/>
            <w:tcBorders>
              <w:top w:val="nil"/>
              <w:left w:val="nil"/>
              <w:bottom w:val="nil"/>
              <w:right w:val="nil"/>
            </w:tcBorders>
            <w:shd w:val="clear" w:color="000000" w:fill="auto"/>
            <w:vAlign w:val="bottom"/>
          </w:tcPr>
          <w:p w14:paraId="41555E5C" w14:textId="133A24F9" w:rsidR="005568F9" w:rsidRPr="00736B48" w:rsidRDefault="005568F9" w:rsidP="005568F9">
            <w:pPr>
              <w:tabs>
                <w:tab w:val="right" w:pos="1202"/>
              </w:tabs>
              <w:spacing w:after="0" w:line="280" w:lineRule="exact"/>
              <w:jc w:val="right"/>
              <w:outlineLvl w:val="0"/>
              <w:rPr>
                <w:color w:val="000000"/>
              </w:rPr>
            </w:pPr>
            <w:r w:rsidRPr="0099294A">
              <w:t xml:space="preserve"> 307 </w:t>
            </w:r>
          </w:p>
        </w:tc>
        <w:tc>
          <w:tcPr>
            <w:tcW w:w="694" w:type="pct"/>
            <w:tcBorders>
              <w:top w:val="nil"/>
              <w:left w:val="nil"/>
              <w:bottom w:val="nil"/>
              <w:right w:val="nil"/>
            </w:tcBorders>
            <w:shd w:val="clear" w:color="000000" w:fill="auto"/>
            <w:vAlign w:val="bottom"/>
          </w:tcPr>
          <w:p w14:paraId="0311BD47" w14:textId="38A91E14" w:rsidR="005568F9" w:rsidRPr="00736B48" w:rsidRDefault="005568F9" w:rsidP="005568F9">
            <w:pPr>
              <w:tabs>
                <w:tab w:val="right" w:pos="1202"/>
              </w:tabs>
              <w:spacing w:after="0" w:line="280" w:lineRule="exact"/>
              <w:jc w:val="right"/>
              <w:outlineLvl w:val="0"/>
              <w:rPr>
                <w:color w:val="000000"/>
              </w:rPr>
            </w:pPr>
            <w:r w:rsidRPr="0099294A">
              <w:t xml:space="preserve"> (210)</w:t>
            </w:r>
          </w:p>
        </w:tc>
        <w:tc>
          <w:tcPr>
            <w:tcW w:w="660" w:type="pct"/>
            <w:tcBorders>
              <w:top w:val="nil"/>
              <w:left w:val="nil"/>
              <w:bottom w:val="nil"/>
              <w:right w:val="nil"/>
            </w:tcBorders>
            <w:shd w:val="clear" w:color="000000" w:fill="auto"/>
            <w:vAlign w:val="bottom"/>
          </w:tcPr>
          <w:p w14:paraId="5A96F5B4" w14:textId="4AF3B2E4" w:rsidR="005568F9" w:rsidRPr="00736B48" w:rsidRDefault="005568F9" w:rsidP="005568F9">
            <w:pPr>
              <w:tabs>
                <w:tab w:val="right" w:pos="1202"/>
              </w:tabs>
              <w:spacing w:after="0" w:line="280" w:lineRule="exact"/>
              <w:jc w:val="right"/>
              <w:outlineLvl w:val="0"/>
              <w:rPr>
                <w:color w:val="000000"/>
              </w:rPr>
            </w:pPr>
            <w:r>
              <w:rPr>
                <w:color w:val="000000"/>
              </w:rPr>
              <w:t>(18)</w:t>
            </w:r>
          </w:p>
        </w:tc>
        <w:tc>
          <w:tcPr>
            <w:tcW w:w="728" w:type="pct"/>
            <w:tcBorders>
              <w:top w:val="nil"/>
              <w:left w:val="nil"/>
              <w:bottom w:val="nil"/>
              <w:right w:val="nil"/>
            </w:tcBorders>
            <w:shd w:val="clear" w:color="000000" w:fill="auto"/>
            <w:vAlign w:val="bottom"/>
          </w:tcPr>
          <w:p w14:paraId="6C5CDAF9" w14:textId="0222B591" w:rsidR="005568F9" w:rsidRPr="00736B48" w:rsidRDefault="005568F9" w:rsidP="005568F9">
            <w:pPr>
              <w:tabs>
                <w:tab w:val="right" w:pos="1202"/>
              </w:tabs>
              <w:spacing w:after="0" w:line="280" w:lineRule="exact"/>
              <w:jc w:val="right"/>
              <w:outlineLvl w:val="0"/>
              <w:rPr>
                <w:color w:val="000000"/>
              </w:rPr>
            </w:pPr>
            <w:r>
              <w:rPr>
                <w:color w:val="000000"/>
              </w:rPr>
              <w:t>(405)</w:t>
            </w:r>
          </w:p>
        </w:tc>
      </w:tr>
      <w:tr w:rsidR="005568F9" w:rsidRPr="00736B48" w14:paraId="395748A7" w14:textId="77777777" w:rsidTr="006B318F">
        <w:trPr>
          <w:trHeight w:val="526"/>
        </w:trPr>
        <w:tc>
          <w:tcPr>
            <w:tcW w:w="2222" w:type="pct"/>
            <w:vAlign w:val="bottom"/>
          </w:tcPr>
          <w:p w14:paraId="3A9F70BB" w14:textId="77777777" w:rsidR="005568F9" w:rsidRPr="00736B48" w:rsidRDefault="005568F9" w:rsidP="005568F9">
            <w:pPr>
              <w:tabs>
                <w:tab w:val="right" w:pos="1202"/>
              </w:tabs>
              <w:spacing w:after="0" w:line="280" w:lineRule="exact"/>
              <w:outlineLvl w:val="0"/>
              <w:rPr>
                <w:rFonts w:eastAsia="Times New Roman" w:cs="Arial"/>
                <w:bCs/>
              </w:rPr>
            </w:pPr>
            <w:r w:rsidRPr="009A475B">
              <w:rPr>
                <w:rFonts w:cs="Arial"/>
                <w:bCs/>
              </w:rPr>
              <w:t>Transfer of realized gains on assets available for sale to statement of profit or loss</w:t>
            </w:r>
          </w:p>
        </w:tc>
        <w:tc>
          <w:tcPr>
            <w:tcW w:w="696" w:type="pct"/>
            <w:tcBorders>
              <w:top w:val="nil"/>
              <w:left w:val="nil"/>
              <w:bottom w:val="nil"/>
              <w:right w:val="nil"/>
            </w:tcBorders>
            <w:shd w:val="clear" w:color="auto" w:fill="auto"/>
            <w:vAlign w:val="bottom"/>
          </w:tcPr>
          <w:p w14:paraId="11B4874F" w14:textId="23AE2697" w:rsidR="005568F9" w:rsidRPr="00736B48" w:rsidRDefault="005568F9" w:rsidP="005568F9">
            <w:pPr>
              <w:tabs>
                <w:tab w:val="right" w:pos="1202"/>
              </w:tabs>
              <w:spacing w:after="0" w:line="280" w:lineRule="exact"/>
              <w:jc w:val="right"/>
              <w:outlineLvl w:val="0"/>
              <w:rPr>
                <w:color w:val="000000"/>
              </w:rPr>
            </w:pPr>
            <w:r w:rsidRPr="0099294A">
              <w:t xml:space="preserve"> (514)</w:t>
            </w:r>
          </w:p>
        </w:tc>
        <w:tc>
          <w:tcPr>
            <w:tcW w:w="694" w:type="pct"/>
            <w:tcBorders>
              <w:top w:val="nil"/>
              <w:left w:val="nil"/>
              <w:bottom w:val="nil"/>
              <w:right w:val="nil"/>
            </w:tcBorders>
            <w:shd w:val="clear" w:color="auto" w:fill="auto"/>
            <w:vAlign w:val="bottom"/>
          </w:tcPr>
          <w:p w14:paraId="55B79F37" w14:textId="482D51BF" w:rsidR="005568F9" w:rsidRPr="00736B48" w:rsidRDefault="005568F9" w:rsidP="005568F9">
            <w:pPr>
              <w:tabs>
                <w:tab w:val="right" w:pos="1202"/>
              </w:tabs>
              <w:spacing w:after="0" w:line="280" w:lineRule="exact"/>
              <w:jc w:val="right"/>
              <w:outlineLvl w:val="0"/>
              <w:rPr>
                <w:color w:val="000000"/>
              </w:rPr>
            </w:pPr>
            <w:r w:rsidRPr="0099294A">
              <w:t xml:space="preserve"> (8</w:t>
            </w:r>
            <w:r>
              <w:t>,</w:t>
            </w:r>
            <w:r w:rsidRPr="0099294A">
              <w:t>630)</w:t>
            </w:r>
          </w:p>
        </w:tc>
        <w:tc>
          <w:tcPr>
            <w:tcW w:w="660" w:type="pct"/>
            <w:tcBorders>
              <w:top w:val="nil"/>
              <w:left w:val="nil"/>
              <w:bottom w:val="nil"/>
              <w:right w:val="nil"/>
            </w:tcBorders>
            <w:shd w:val="clear" w:color="auto" w:fill="auto"/>
            <w:vAlign w:val="bottom"/>
          </w:tcPr>
          <w:p w14:paraId="0063DFB2" w14:textId="0DA5D884" w:rsidR="005568F9" w:rsidRPr="00736B48" w:rsidRDefault="005568F9" w:rsidP="005568F9">
            <w:pPr>
              <w:tabs>
                <w:tab w:val="right" w:pos="1202"/>
              </w:tabs>
              <w:spacing w:after="0" w:line="280" w:lineRule="exact"/>
              <w:jc w:val="right"/>
              <w:outlineLvl w:val="0"/>
              <w:rPr>
                <w:color w:val="000000"/>
              </w:rPr>
            </w:pPr>
            <w:r>
              <w:rPr>
                <w:rFonts w:eastAsia="Times New Roman" w:cs="Arial"/>
                <w:bCs/>
              </w:rPr>
              <w:t>(1,825)</w:t>
            </w:r>
          </w:p>
        </w:tc>
        <w:tc>
          <w:tcPr>
            <w:tcW w:w="728" w:type="pct"/>
            <w:tcBorders>
              <w:top w:val="nil"/>
              <w:left w:val="nil"/>
              <w:bottom w:val="nil"/>
              <w:right w:val="nil"/>
            </w:tcBorders>
            <w:shd w:val="clear" w:color="auto" w:fill="auto"/>
            <w:vAlign w:val="bottom"/>
          </w:tcPr>
          <w:p w14:paraId="1289538F" w14:textId="2E700869" w:rsidR="005568F9" w:rsidRPr="00736B48" w:rsidRDefault="005568F9" w:rsidP="005568F9">
            <w:pPr>
              <w:tabs>
                <w:tab w:val="right" w:pos="1202"/>
              </w:tabs>
              <w:spacing w:after="0" w:line="280" w:lineRule="exact"/>
              <w:jc w:val="right"/>
              <w:outlineLvl w:val="0"/>
              <w:rPr>
                <w:color w:val="000000"/>
              </w:rPr>
            </w:pPr>
            <w:r>
              <w:rPr>
                <w:rFonts w:cs="Calibri"/>
                <w:bCs/>
              </w:rPr>
              <w:t>(2,079)</w:t>
            </w:r>
          </w:p>
        </w:tc>
      </w:tr>
      <w:tr w:rsidR="005568F9" w:rsidRPr="00736B48" w14:paraId="5A51BE81" w14:textId="77777777" w:rsidTr="006B318F">
        <w:trPr>
          <w:trHeight w:val="526"/>
        </w:trPr>
        <w:tc>
          <w:tcPr>
            <w:tcW w:w="2222" w:type="pct"/>
            <w:vAlign w:val="bottom"/>
          </w:tcPr>
          <w:p w14:paraId="648AFD3F" w14:textId="77777777" w:rsidR="005568F9" w:rsidRPr="005444AA" w:rsidRDefault="005568F9" w:rsidP="005568F9">
            <w:pPr>
              <w:tabs>
                <w:tab w:val="right" w:pos="1202"/>
              </w:tabs>
              <w:spacing w:after="0" w:line="280" w:lineRule="exact"/>
              <w:outlineLvl w:val="0"/>
              <w:rPr>
                <w:rFonts w:cs="Arial"/>
                <w:bCs/>
                <w:highlight w:val="yellow"/>
              </w:rPr>
            </w:pPr>
            <w:r w:rsidRPr="000277DF">
              <w:rPr>
                <w:rFonts w:cs="Arial"/>
                <w:bCs/>
              </w:rPr>
              <w:t>Transfer of realized losses on assets available for sale to statement of profit or loss</w:t>
            </w:r>
          </w:p>
        </w:tc>
        <w:tc>
          <w:tcPr>
            <w:tcW w:w="696" w:type="pct"/>
            <w:tcBorders>
              <w:top w:val="nil"/>
              <w:left w:val="nil"/>
              <w:bottom w:val="nil"/>
              <w:right w:val="nil"/>
            </w:tcBorders>
            <w:shd w:val="clear" w:color="auto" w:fill="auto"/>
            <w:vAlign w:val="bottom"/>
          </w:tcPr>
          <w:p w14:paraId="43225059" w14:textId="1AFF706D" w:rsidR="005568F9" w:rsidRPr="00736B48" w:rsidRDefault="005568F9" w:rsidP="005568F9">
            <w:pPr>
              <w:tabs>
                <w:tab w:val="right" w:pos="1202"/>
              </w:tabs>
              <w:spacing w:after="0" w:line="280" w:lineRule="exact"/>
              <w:jc w:val="right"/>
              <w:outlineLvl w:val="0"/>
              <w:rPr>
                <w:color w:val="000000"/>
              </w:rPr>
            </w:pPr>
            <w:r w:rsidRPr="0099294A">
              <w:t xml:space="preserve"> 76 </w:t>
            </w:r>
          </w:p>
        </w:tc>
        <w:tc>
          <w:tcPr>
            <w:tcW w:w="694" w:type="pct"/>
            <w:tcBorders>
              <w:top w:val="nil"/>
              <w:left w:val="nil"/>
              <w:bottom w:val="nil"/>
              <w:right w:val="nil"/>
            </w:tcBorders>
            <w:shd w:val="clear" w:color="auto" w:fill="auto"/>
            <w:vAlign w:val="bottom"/>
          </w:tcPr>
          <w:p w14:paraId="167146D8" w14:textId="4956DCD2" w:rsidR="005568F9" w:rsidRPr="00736B48" w:rsidRDefault="005568F9" w:rsidP="005568F9">
            <w:pPr>
              <w:tabs>
                <w:tab w:val="right" w:pos="1202"/>
              </w:tabs>
              <w:spacing w:after="0" w:line="280" w:lineRule="exact"/>
              <w:jc w:val="right"/>
              <w:outlineLvl w:val="0"/>
              <w:rPr>
                <w:color w:val="000000"/>
              </w:rPr>
            </w:pPr>
            <w:r w:rsidRPr="0099294A">
              <w:t xml:space="preserve"> 6</w:t>
            </w:r>
            <w:r>
              <w:t>,</w:t>
            </w:r>
            <w:r w:rsidRPr="0099294A">
              <w:t xml:space="preserve">581 </w:t>
            </w:r>
          </w:p>
        </w:tc>
        <w:tc>
          <w:tcPr>
            <w:tcW w:w="660" w:type="pct"/>
            <w:tcBorders>
              <w:top w:val="nil"/>
              <w:left w:val="nil"/>
              <w:bottom w:val="nil"/>
              <w:right w:val="nil"/>
            </w:tcBorders>
            <w:shd w:val="clear" w:color="auto" w:fill="auto"/>
            <w:vAlign w:val="bottom"/>
          </w:tcPr>
          <w:p w14:paraId="12B77E26" w14:textId="246247A5" w:rsidR="005568F9" w:rsidRPr="00722C53" w:rsidRDefault="005568F9" w:rsidP="005568F9">
            <w:pPr>
              <w:tabs>
                <w:tab w:val="right" w:pos="1202"/>
              </w:tabs>
              <w:spacing w:after="0" w:line="280" w:lineRule="exact"/>
              <w:jc w:val="right"/>
              <w:outlineLvl w:val="0"/>
              <w:rPr>
                <w:rFonts w:eastAsia="Times New Roman" w:cs="Arial"/>
                <w:bCs/>
              </w:rPr>
            </w:pPr>
            <w:r>
              <w:rPr>
                <w:rFonts w:eastAsia="Times New Roman" w:cs="Arial"/>
                <w:bCs/>
              </w:rPr>
              <w:t>16</w:t>
            </w:r>
          </w:p>
        </w:tc>
        <w:tc>
          <w:tcPr>
            <w:tcW w:w="728" w:type="pct"/>
            <w:tcBorders>
              <w:top w:val="nil"/>
              <w:left w:val="nil"/>
              <w:bottom w:val="nil"/>
              <w:right w:val="nil"/>
            </w:tcBorders>
            <w:shd w:val="clear" w:color="auto" w:fill="auto"/>
            <w:vAlign w:val="bottom"/>
          </w:tcPr>
          <w:p w14:paraId="246F3BB1" w14:textId="6963593C" w:rsidR="005568F9" w:rsidRPr="00326D2D" w:rsidRDefault="005568F9" w:rsidP="005568F9">
            <w:pPr>
              <w:tabs>
                <w:tab w:val="right" w:pos="1202"/>
              </w:tabs>
              <w:spacing w:after="0" w:line="280" w:lineRule="exact"/>
              <w:jc w:val="right"/>
              <w:outlineLvl w:val="0"/>
              <w:rPr>
                <w:rFonts w:asciiTheme="minorHAnsi" w:hAnsiTheme="minorHAnsi" w:cs="Calibri"/>
                <w:bCs/>
              </w:rPr>
            </w:pPr>
            <w:r>
              <w:rPr>
                <w:rFonts w:cs="Calibri"/>
                <w:bCs/>
              </w:rPr>
              <w:t>16</w:t>
            </w:r>
          </w:p>
        </w:tc>
      </w:tr>
      <w:tr w:rsidR="005568F9" w:rsidRPr="00736B48" w14:paraId="07D2E07A" w14:textId="77777777" w:rsidTr="006B318F">
        <w:trPr>
          <w:trHeight w:val="364"/>
        </w:trPr>
        <w:tc>
          <w:tcPr>
            <w:tcW w:w="2222" w:type="pct"/>
            <w:vAlign w:val="bottom"/>
          </w:tcPr>
          <w:p w14:paraId="0D064677" w14:textId="77777777" w:rsidR="005568F9" w:rsidRDefault="005568F9" w:rsidP="005568F9">
            <w:pPr>
              <w:tabs>
                <w:tab w:val="right" w:pos="1202"/>
              </w:tabs>
              <w:spacing w:after="0" w:line="280" w:lineRule="exact"/>
              <w:outlineLvl w:val="0"/>
              <w:rPr>
                <w:rFonts w:eastAsia="Times New Roman" w:cs="Arial"/>
                <w:bCs/>
              </w:rPr>
            </w:pPr>
            <w:r w:rsidRPr="009A475B">
              <w:rPr>
                <w:rFonts w:cs="Arial"/>
                <w:bCs/>
              </w:rPr>
              <w:t>Deferred tax – other comprehensive income</w:t>
            </w:r>
          </w:p>
        </w:tc>
        <w:tc>
          <w:tcPr>
            <w:tcW w:w="696" w:type="pct"/>
            <w:tcBorders>
              <w:top w:val="nil"/>
              <w:left w:val="nil"/>
              <w:bottom w:val="nil"/>
              <w:right w:val="nil"/>
            </w:tcBorders>
            <w:shd w:val="clear" w:color="auto" w:fill="auto"/>
            <w:vAlign w:val="bottom"/>
          </w:tcPr>
          <w:p w14:paraId="44C9F06A" w14:textId="236339E6" w:rsidR="005568F9" w:rsidRPr="00736B48" w:rsidRDefault="005568F9" w:rsidP="005568F9">
            <w:pPr>
              <w:tabs>
                <w:tab w:val="right" w:pos="1202"/>
              </w:tabs>
              <w:spacing w:after="0" w:line="280" w:lineRule="exact"/>
              <w:jc w:val="right"/>
              <w:outlineLvl w:val="0"/>
              <w:rPr>
                <w:color w:val="000000"/>
              </w:rPr>
            </w:pPr>
            <w:r w:rsidRPr="0099294A">
              <w:t xml:space="preserve"> (115)</w:t>
            </w:r>
          </w:p>
        </w:tc>
        <w:tc>
          <w:tcPr>
            <w:tcW w:w="694" w:type="pct"/>
            <w:tcBorders>
              <w:top w:val="nil"/>
              <w:left w:val="nil"/>
              <w:bottom w:val="nil"/>
              <w:right w:val="nil"/>
            </w:tcBorders>
            <w:shd w:val="clear" w:color="auto" w:fill="auto"/>
            <w:vAlign w:val="bottom"/>
          </w:tcPr>
          <w:p w14:paraId="1218DA4B" w14:textId="30B103FF" w:rsidR="005568F9" w:rsidRPr="00736B48" w:rsidRDefault="005568F9" w:rsidP="005568F9">
            <w:pPr>
              <w:tabs>
                <w:tab w:val="right" w:pos="1202"/>
              </w:tabs>
              <w:spacing w:after="0" w:line="280" w:lineRule="exact"/>
              <w:jc w:val="right"/>
              <w:outlineLvl w:val="0"/>
              <w:rPr>
                <w:color w:val="000000"/>
              </w:rPr>
            </w:pPr>
            <w:r w:rsidRPr="0099294A">
              <w:t xml:space="preserve"> (140)</w:t>
            </w:r>
          </w:p>
        </w:tc>
        <w:tc>
          <w:tcPr>
            <w:tcW w:w="660" w:type="pct"/>
            <w:tcBorders>
              <w:top w:val="nil"/>
              <w:left w:val="nil"/>
              <w:bottom w:val="nil"/>
              <w:right w:val="nil"/>
            </w:tcBorders>
            <w:shd w:val="clear" w:color="auto" w:fill="auto"/>
            <w:vAlign w:val="bottom"/>
          </w:tcPr>
          <w:p w14:paraId="5E7B232B" w14:textId="11F32681" w:rsidR="005568F9" w:rsidRPr="00736B48" w:rsidRDefault="005568F9" w:rsidP="005568F9">
            <w:pPr>
              <w:tabs>
                <w:tab w:val="right" w:pos="1202"/>
              </w:tabs>
              <w:spacing w:after="0" w:line="280" w:lineRule="exact"/>
              <w:jc w:val="right"/>
              <w:outlineLvl w:val="0"/>
              <w:rPr>
                <w:color w:val="000000"/>
              </w:rPr>
            </w:pPr>
            <w:r>
              <w:rPr>
                <w:rFonts w:eastAsia="Times New Roman" w:cs="Arial"/>
                <w:bCs/>
              </w:rPr>
              <w:t>(155)</w:t>
            </w:r>
          </w:p>
        </w:tc>
        <w:tc>
          <w:tcPr>
            <w:tcW w:w="728" w:type="pct"/>
            <w:tcBorders>
              <w:top w:val="nil"/>
              <w:left w:val="nil"/>
              <w:bottom w:val="nil"/>
              <w:right w:val="nil"/>
            </w:tcBorders>
            <w:shd w:val="clear" w:color="auto" w:fill="auto"/>
            <w:vAlign w:val="bottom"/>
          </w:tcPr>
          <w:p w14:paraId="3501241B" w14:textId="3818E6AD" w:rsidR="005568F9" w:rsidRPr="00736B48" w:rsidRDefault="005568F9" w:rsidP="005568F9">
            <w:pPr>
              <w:tabs>
                <w:tab w:val="right" w:pos="1202"/>
              </w:tabs>
              <w:spacing w:after="0" w:line="280" w:lineRule="exact"/>
              <w:jc w:val="right"/>
              <w:outlineLvl w:val="0"/>
              <w:rPr>
                <w:color w:val="000000"/>
              </w:rPr>
            </w:pPr>
            <w:r>
              <w:rPr>
                <w:rFonts w:eastAsia="Times New Roman" w:cs="Arial"/>
                <w:bCs/>
              </w:rPr>
              <w:t>(262)</w:t>
            </w:r>
          </w:p>
        </w:tc>
      </w:tr>
      <w:tr w:rsidR="005568F9" w:rsidRPr="00736B48" w14:paraId="4BFF51AB" w14:textId="77777777" w:rsidTr="006B318F">
        <w:trPr>
          <w:trHeight w:val="345"/>
        </w:trPr>
        <w:tc>
          <w:tcPr>
            <w:tcW w:w="2222" w:type="pct"/>
            <w:vAlign w:val="bottom"/>
          </w:tcPr>
          <w:p w14:paraId="3FFA526E" w14:textId="77777777" w:rsidR="005568F9" w:rsidRPr="00736B48" w:rsidRDefault="005568F9" w:rsidP="005568F9">
            <w:pPr>
              <w:tabs>
                <w:tab w:val="right" w:pos="1202"/>
              </w:tabs>
              <w:spacing w:after="0" w:line="280" w:lineRule="exact"/>
              <w:outlineLvl w:val="0"/>
              <w:rPr>
                <w:rFonts w:eastAsia="Times New Roman" w:cs="Arial"/>
                <w:b/>
                <w:bCs/>
              </w:rPr>
            </w:pPr>
            <w:r w:rsidRPr="00736B48">
              <w:rPr>
                <w:rFonts w:eastAsia="Times New Roman" w:cs="Arial"/>
                <w:b/>
                <w:bCs/>
              </w:rPr>
              <w:t xml:space="preserve">Total items </w:t>
            </w:r>
            <w:r w:rsidRPr="009A475B">
              <w:rPr>
                <w:rFonts w:cs="Arial"/>
                <w:b/>
                <w:bCs/>
              </w:rPr>
              <w:t>that may be reclassified subsequently to profit or loss</w:t>
            </w:r>
          </w:p>
        </w:tc>
        <w:tc>
          <w:tcPr>
            <w:tcW w:w="696" w:type="pct"/>
            <w:tcBorders>
              <w:top w:val="single" w:sz="4" w:space="0" w:color="auto"/>
              <w:left w:val="nil"/>
              <w:bottom w:val="single" w:sz="8" w:space="0" w:color="auto"/>
              <w:right w:val="nil"/>
            </w:tcBorders>
            <w:shd w:val="clear" w:color="auto" w:fill="auto"/>
            <w:vAlign w:val="bottom"/>
          </w:tcPr>
          <w:p w14:paraId="013922F3" w14:textId="62CEAF80" w:rsidR="005568F9" w:rsidRPr="00736B48" w:rsidRDefault="005568F9" w:rsidP="005568F9">
            <w:pPr>
              <w:tabs>
                <w:tab w:val="right" w:pos="1202"/>
              </w:tabs>
              <w:spacing w:after="0" w:line="280" w:lineRule="exact"/>
              <w:jc w:val="right"/>
              <w:outlineLvl w:val="0"/>
              <w:rPr>
                <w:rFonts w:cs="Arial"/>
                <w:b/>
                <w:color w:val="000000"/>
              </w:rPr>
            </w:pPr>
            <w:r w:rsidRPr="00CE0613">
              <w:rPr>
                <w:b/>
              </w:rPr>
              <w:t xml:space="preserve"> 17</w:t>
            </w:r>
            <w:r>
              <w:rPr>
                <w:b/>
              </w:rPr>
              <w:t>,</w:t>
            </w:r>
            <w:r w:rsidRPr="00CE0613">
              <w:rPr>
                <w:b/>
              </w:rPr>
              <w:t xml:space="preserve">210 </w:t>
            </w:r>
          </w:p>
        </w:tc>
        <w:tc>
          <w:tcPr>
            <w:tcW w:w="694" w:type="pct"/>
            <w:tcBorders>
              <w:top w:val="single" w:sz="4" w:space="0" w:color="auto"/>
              <w:left w:val="nil"/>
              <w:bottom w:val="single" w:sz="8" w:space="0" w:color="auto"/>
              <w:right w:val="nil"/>
            </w:tcBorders>
            <w:shd w:val="clear" w:color="auto" w:fill="auto"/>
            <w:vAlign w:val="bottom"/>
          </w:tcPr>
          <w:p w14:paraId="07FE87B7" w14:textId="2E2FB32B" w:rsidR="005568F9" w:rsidRPr="00736B48" w:rsidRDefault="005568F9" w:rsidP="005568F9">
            <w:pPr>
              <w:tabs>
                <w:tab w:val="right" w:pos="1202"/>
              </w:tabs>
              <w:spacing w:after="0" w:line="280" w:lineRule="exact"/>
              <w:jc w:val="right"/>
              <w:outlineLvl w:val="0"/>
              <w:rPr>
                <w:rFonts w:cs="Arial"/>
                <w:b/>
                <w:color w:val="000000"/>
              </w:rPr>
            </w:pPr>
            <w:r w:rsidRPr="00CE0613">
              <w:rPr>
                <w:b/>
              </w:rPr>
              <w:t xml:space="preserve"> 16</w:t>
            </w:r>
            <w:r>
              <w:rPr>
                <w:b/>
              </w:rPr>
              <w:t>,</w:t>
            </w:r>
            <w:r w:rsidRPr="00CE0613">
              <w:rPr>
                <w:b/>
              </w:rPr>
              <w:t xml:space="preserve">664 </w:t>
            </w:r>
          </w:p>
        </w:tc>
        <w:tc>
          <w:tcPr>
            <w:tcW w:w="660" w:type="pct"/>
            <w:tcBorders>
              <w:top w:val="single" w:sz="4" w:space="0" w:color="auto"/>
              <w:left w:val="nil"/>
              <w:bottom w:val="single" w:sz="8" w:space="0" w:color="auto"/>
              <w:right w:val="nil"/>
            </w:tcBorders>
            <w:shd w:val="clear" w:color="auto" w:fill="auto"/>
            <w:vAlign w:val="bottom"/>
          </w:tcPr>
          <w:p w14:paraId="4AA93D3D" w14:textId="76F94126" w:rsidR="005568F9" w:rsidRPr="00736B48" w:rsidRDefault="005568F9" w:rsidP="005568F9">
            <w:pPr>
              <w:tabs>
                <w:tab w:val="right" w:pos="1202"/>
              </w:tabs>
              <w:spacing w:after="0" w:line="280" w:lineRule="exact"/>
              <w:jc w:val="right"/>
              <w:outlineLvl w:val="0"/>
              <w:rPr>
                <w:rFonts w:cs="Arial"/>
                <w:b/>
                <w:color w:val="000000"/>
              </w:rPr>
            </w:pPr>
            <w:r>
              <w:rPr>
                <w:rFonts w:asciiTheme="minorHAnsi" w:hAnsiTheme="minorHAnsi" w:cs="Arial"/>
                <w:b/>
                <w:bCs/>
                <w:lang w:val="hr-HR"/>
              </w:rPr>
              <w:t>16,568</w:t>
            </w:r>
          </w:p>
        </w:tc>
        <w:tc>
          <w:tcPr>
            <w:tcW w:w="728" w:type="pct"/>
            <w:tcBorders>
              <w:top w:val="single" w:sz="4" w:space="0" w:color="auto"/>
              <w:left w:val="nil"/>
              <w:bottom w:val="single" w:sz="8" w:space="0" w:color="auto"/>
              <w:right w:val="nil"/>
            </w:tcBorders>
            <w:shd w:val="clear" w:color="auto" w:fill="auto"/>
            <w:vAlign w:val="bottom"/>
          </w:tcPr>
          <w:p w14:paraId="599F369F" w14:textId="76E088EF" w:rsidR="005568F9" w:rsidRPr="00736B48" w:rsidRDefault="005568F9" w:rsidP="005568F9">
            <w:pPr>
              <w:tabs>
                <w:tab w:val="right" w:pos="1202"/>
              </w:tabs>
              <w:spacing w:after="0" w:line="280" w:lineRule="exact"/>
              <w:jc w:val="right"/>
              <w:outlineLvl w:val="0"/>
              <w:rPr>
                <w:rFonts w:cs="Arial"/>
                <w:b/>
                <w:color w:val="000000"/>
              </w:rPr>
            </w:pPr>
            <w:r>
              <w:rPr>
                <w:rFonts w:asciiTheme="minorHAnsi" w:hAnsiTheme="minorHAnsi" w:cs="Arial"/>
                <w:b/>
                <w:bCs/>
                <w:lang w:val="hr-HR"/>
              </w:rPr>
              <w:t>30,840</w:t>
            </w:r>
          </w:p>
        </w:tc>
      </w:tr>
      <w:tr w:rsidR="005568F9" w:rsidRPr="00736B48" w14:paraId="75C156CB" w14:textId="77777777" w:rsidTr="006B318F">
        <w:trPr>
          <w:trHeight w:val="124"/>
        </w:trPr>
        <w:tc>
          <w:tcPr>
            <w:tcW w:w="2222" w:type="pct"/>
            <w:vAlign w:val="bottom"/>
          </w:tcPr>
          <w:p w14:paraId="1CECFA25" w14:textId="77777777" w:rsidR="005568F9" w:rsidRPr="00736B48" w:rsidRDefault="005568F9" w:rsidP="005568F9">
            <w:pPr>
              <w:tabs>
                <w:tab w:val="right" w:pos="1202"/>
              </w:tabs>
              <w:spacing w:after="0" w:line="280" w:lineRule="exact"/>
              <w:outlineLvl w:val="0"/>
              <w:rPr>
                <w:rFonts w:eastAsia="Times New Roman" w:cs="Arial"/>
                <w:b/>
                <w:bCs/>
              </w:rPr>
            </w:pPr>
          </w:p>
        </w:tc>
        <w:tc>
          <w:tcPr>
            <w:tcW w:w="696" w:type="pct"/>
            <w:tcBorders>
              <w:top w:val="single" w:sz="12" w:space="0" w:color="auto"/>
            </w:tcBorders>
            <w:vAlign w:val="bottom"/>
          </w:tcPr>
          <w:p w14:paraId="4A451BEE" w14:textId="77777777" w:rsidR="005568F9" w:rsidRPr="00736B48" w:rsidRDefault="005568F9" w:rsidP="005568F9">
            <w:pPr>
              <w:keepNext/>
              <w:keepLines/>
              <w:spacing w:after="0" w:line="280" w:lineRule="exact"/>
              <w:jc w:val="right"/>
              <w:rPr>
                <w:rFonts w:eastAsia="Times New Roman" w:cs="Arial"/>
                <w:b/>
                <w:spacing w:val="-2"/>
                <w:position w:val="4"/>
              </w:rPr>
            </w:pPr>
          </w:p>
        </w:tc>
        <w:tc>
          <w:tcPr>
            <w:tcW w:w="694" w:type="pct"/>
            <w:tcBorders>
              <w:top w:val="single" w:sz="12" w:space="0" w:color="auto"/>
            </w:tcBorders>
            <w:vAlign w:val="bottom"/>
          </w:tcPr>
          <w:p w14:paraId="584D6608" w14:textId="77777777" w:rsidR="005568F9" w:rsidRPr="00736B48" w:rsidRDefault="005568F9" w:rsidP="005568F9">
            <w:pPr>
              <w:keepNext/>
              <w:keepLines/>
              <w:spacing w:after="0" w:line="280" w:lineRule="exact"/>
              <w:jc w:val="right"/>
              <w:rPr>
                <w:rFonts w:eastAsia="Times New Roman" w:cs="Arial"/>
                <w:b/>
                <w:spacing w:val="-2"/>
                <w:position w:val="4"/>
              </w:rPr>
            </w:pPr>
          </w:p>
        </w:tc>
        <w:tc>
          <w:tcPr>
            <w:tcW w:w="660" w:type="pct"/>
            <w:tcBorders>
              <w:top w:val="single" w:sz="12" w:space="0" w:color="auto"/>
            </w:tcBorders>
            <w:vAlign w:val="bottom"/>
          </w:tcPr>
          <w:p w14:paraId="2C502251" w14:textId="77777777" w:rsidR="005568F9" w:rsidRPr="00736B48" w:rsidRDefault="005568F9" w:rsidP="005568F9">
            <w:pPr>
              <w:keepNext/>
              <w:keepLines/>
              <w:spacing w:after="0" w:line="280" w:lineRule="exact"/>
              <w:jc w:val="right"/>
              <w:rPr>
                <w:rFonts w:eastAsia="Times New Roman" w:cs="Arial"/>
                <w:b/>
                <w:spacing w:val="-2"/>
                <w:position w:val="4"/>
              </w:rPr>
            </w:pPr>
          </w:p>
        </w:tc>
        <w:tc>
          <w:tcPr>
            <w:tcW w:w="728" w:type="pct"/>
            <w:tcBorders>
              <w:top w:val="single" w:sz="12" w:space="0" w:color="auto"/>
            </w:tcBorders>
            <w:vAlign w:val="bottom"/>
          </w:tcPr>
          <w:p w14:paraId="19413600" w14:textId="77777777" w:rsidR="005568F9" w:rsidRPr="00736B48" w:rsidRDefault="005568F9" w:rsidP="005568F9">
            <w:pPr>
              <w:keepNext/>
              <w:keepLines/>
              <w:spacing w:after="0" w:line="280" w:lineRule="exact"/>
              <w:jc w:val="right"/>
              <w:rPr>
                <w:rFonts w:eastAsia="Times New Roman" w:cs="Arial"/>
                <w:b/>
                <w:spacing w:val="-2"/>
                <w:position w:val="4"/>
              </w:rPr>
            </w:pPr>
          </w:p>
        </w:tc>
      </w:tr>
      <w:tr w:rsidR="005568F9" w:rsidRPr="00736B48" w14:paraId="73AE1F5D" w14:textId="77777777" w:rsidTr="006B318F">
        <w:trPr>
          <w:trHeight w:val="263"/>
        </w:trPr>
        <w:tc>
          <w:tcPr>
            <w:tcW w:w="2222" w:type="pct"/>
            <w:vAlign w:val="bottom"/>
          </w:tcPr>
          <w:p w14:paraId="152B9DD0" w14:textId="77777777" w:rsidR="005568F9" w:rsidRPr="00736B48" w:rsidRDefault="005568F9" w:rsidP="005568F9">
            <w:pPr>
              <w:tabs>
                <w:tab w:val="right" w:pos="1202"/>
              </w:tabs>
              <w:spacing w:after="0" w:line="280" w:lineRule="exact"/>
              <w:outlineLvl w:val="0"/>
              <w:rPr>
                <w:rFonts w:eastAsia="Times New Roman" w:cs="Arial"/>
                <w:b/>
                <w:bCs/>
              </w:rPr>
            </w:pPr>
            <w:r w:rsidRPr="009A475B">
              <w:rPr>
                <w:rFonts w:cs="Arial"/>
                <w:b/>
                <w:bCs/>
              </w:rPr>
              <w:t>Other comprehensive income after income tax</w:t>
            </w:r>
          </w:p>
        </w:tc>
        <w:tc>
          <w:tcPr>
            <w:tcW w:w="696" w:type="pct"/>
            <w:tcBorders>
              <w:top w:val="nil"/>
              <w:left w:val="nil"/>
              <w:bottom w:val="nil"/>
              <w:right w:val="nil"/>
            </w:tcBorders>
            <w:shd w:val="clear" w:color="auto" w:fill="auto"/>
            <w:vAlign w:val="bottom"/>
          </w:tcPr>
          <w:p w14:paraId="4551F5FA" w14:textId="33644955" w:rsidR="005568F9" w:rsidRPr="00736B48" w:rsidRDefault="005568F9" w:rsidP="005568F9">
            <w:pPr>
              <w:tabs>
                <w:tab w:val="right" w:pos="1202"/>
              </w:tabs>
              <w:spacing w:after="0" w:line="280" w:lineRule="exact"/>
              <w:jc w:val="right"/>
              <w:outlineLvl w:val="0"/>
              <w:rPr>
                <w:rFonts w:cs="Arial"/>
                <w:b/>
                <w:color w:val="000000"/>
              </w:rPr>
            </w:pPr>
            <w:r w:rsidRPr="00CE0613">
              <w:rPr>
                <w:b/>
              </w:rPr>
              <w:t xml:space="preserve"> 17</w:t>
            </w:r>
            <w:r>
              <w:rPr>
                <w:b/>
              </w:rPr>
              <w:t>,</w:t>
            </w:r>
            <w:r w:rsidRPr="00CE0613">
              <w:rPr>
                <w:b/>
              </w:rPr>
              <w:t xml:space="preserve">210 </w:t>
            </w:r>
          </w:p>
        </w:tc>
        <w:tc>
          <w:tcPr>
            <w:tcW w:w="694" w:type="pct"/>
            <w:tcBorders>
              <w:top w:val="nil"/>
              <w:left w:val="nil"/>
              <w:bottom w:val="nil"/>
              <w:right w:val="nil"/>
            </w:tcBorders>
            <w:shd w:val="clear" w:color="auto" w:fill="auto"/>
            <w:vAlign w:val="bottom"/>
          </w:tcPr>
          <w:p w14:paraId="7456413F" w14:textId="295DFEA6" w:rsidR="005568F9" w:rsidRPr="00736B48" w:rsidRDefault="005568F9" w:rsidP="005568F9">
            <w:pPr>
              <w:tabs>
                <w:tab w:val="right" w:pos="1202"/>
              </w:tabs>
              <w:spacing w:after="0" w:line="280" w:lineRule="exact"/>
              <w:jc w:val="right"/>
              <w:outlineLvl w:val="0"/>
              <w:rPr>
                <w:rFonts w:cs="Arial"/>
                <w:b/>
                <w:color w:val="000000"/>
              </w:rPr>
            </w:pPr>
            <w:r w:rsidRPr="00CE0613">
              <w:rPr>
                <w:b/>
              </w:rPr>
              <w:t xml:space="preserve"> 16</w:t>
            </w:r>
            <w:r>
              <w:rPr>
                <w:b/>
              </w:rPr>
              <w:t>,</w:t>
            </w:r>
            <w:r w:rsidRPr="00CE0613">
              <w:rPr>
                <w:b/>
              </w:rPr>
              <w:t xml:space="preserve">664 </w:t>
            </w:r>
          </w:p>
        </w:tc>
        <w:tc>
          <w:tcPr>
            <w:tcW w:w="660" w:type="pct"/>
            <w:tcBorders>
              <w:top w:val="nil"/>
              <w:left w:val="nil"/>
              <w:bottom w:val="nil"/>
              <w:right w:val="nil"/>
            </w:tcBorders>
            <w:shd w:val="clear" w:color="auto" w:fill="auto"/>
            <w:vAlign w:val="bottom"/>
          </w:tcPr>
          <w:p w14:paraId="2C120E64" w14:textId="15FEE5B2" w:rsidR="005568F9" w:rsidRPr="00736B48" w:rsidRDefault="005568F9" w:rsidP="005568F9">
            <w:pPr>
              <w:tabs>
                <w:tab w:val="right" w:pos="1202"/>
              </w:tabs>
              <w:spacing w:after="0" w:line="280" w:lineRule="exact"/>
              <w:jc w:val="right"/>
              <w:outlineLvl w:val="0"/>
              <w:rPr>
                <w:rFonts w:cs="Arial"/>
                <w:b/>
                <w:color w:val="000000"/>
              </w:rPr>
            </w:pPr>
            <w:r>
              <w:rPr>
                <w:rFonts w:eastAsia="Times New Roman" w:cs="Arial"/>
                <w:b/>
                <w:bCs/>
              </w:rPr>
              <w:t>16,568</w:t>
            </w:r>
          </w:p>
        </w:tc>
        <w:tc>
          <w:tcPr>
            <w:tcW w:w="728" w:type="pct"/>
            <w:tcBorders>
              <w:top w:val="nil"/>
              <w:left w:val="nil"/>
              <w:bottom w:val="nil"/>
              <w:right w:val="nil"/>
            </w:tcBorders>
            <w:shd w:val="clear" w:color="auto" w:fill="auto"/>
            <w:vAlign w:val="bottom"/>
          </w:tcPr>
          <w:p w14:paraId="4BBED996" w14:textId="4A898CBF" w:rsidR="005568F9" w:rsidRPr="00736B48" w:rsidRDefault="005568F9" w:rsidP="005568F9">
            <w:pPr>
              <w:tabs>
                <w:tab w:val="right" w:pos="1202"/>
              </w:tabs>
              <w:spacing w:after="0" w:line="280" w:lineRule="exact"/>
              <w:jc w:val="right"/>
              <w:outlineLvl w:val="0"/>
              <w:rPr>
                <w:rFonts w:cs="Arial"/>
                <w:b/>
                <w:color w:val="000000"/>
              </w:rPr>
            </w:pPr>
            <w:r>
              <w:rPr>
                <w:rFonts w:eastAsia="Times New Roman" w:cs="Arial"/>
                <w:b/>
                <w:bCs/>
              </w:rPr>
              <w:t>30,840</w:t>
            </w:r>
          </w:p>
        </w:tc>
      </w:tr>
      <w:tr w:rsidR="005568F9" w:rsidRPr="00736B48" w14:paraId="3501BE6A" w14:textId="77777777" w:rsidTr="006B318F">
        <w:trPr>
          <w:trHeight w:val="124"/>
        </w:trPr>
        <w:tc>
          <w:tcPr>
            <w:tcW w:w="2222" w:type="pct"/>
            <w:vAlign w:val="bottom"/>
          </w:tcPr>
          <w:p w14:paraId="79F624BF" w14:textId="77777777" w:rsidR="005568F9" w:rsidRPr="00736B48" w:rsidRDefault="005568F9" w:rsidP="005568F9">
            <w:pPr>
              <w:tabs>
                <w:tab w:val="right" w:pos="1202"/>
              </w:tabs>
              <w:spacing w:after="0" w:line="280" w:lineRule="exact"/>
              <w:outlineLvl w:val="0"/>
              <w:rPr>
                <w:rFonts w:eastAsia="Times New Roman" w:cs="Arial"/>
                <w:b/>
                <w:bCs/>
              </w:rPr>
            </w:pPr>
          </w:p>
        </w:tc>
        <w:tc>
          <w:tcPr>
            <w:tcW w:w="696" w:type="pct"/>
            <w:tcBorders>
              <w:bottom w:val="single" w:sz="4" w:space="0" w:color="auto"/>
            </w:tcBorders>
            <w:vAlign w:val="bottom"/>
          </w:tcPr>
          <w:p w14:paraId="72ECBE3A" w14:textId="77777777" w:rsidR="005568F9" w:rsidRPr="00736B48" w:rsidRDefault="005568F9" w:rsidP="005568F9">
            <w:pPr>
              <w:keepNext/>
              <w:keepLines/>
              <w:spacing w:after="0" w:line="280" w:lineRule="exact"/>
              <w:jc w:val="right"/>
              <w:rPr>
                <w:rFonts w:eastAsia="Times New Roman" w:cs="Arial"/>
                <w:b/>
                <w:spacing w:val="-2"/>
                <w:position w:val="4"/>
              </w:rPr>
            </w:pPr>
          </w:p>
        </w:tc>
        <w:tc>
          <w:tcPr>
            <w:tcW w:w="694" w:type="pct"/>
            <w:tcBorders>
              <w:bottom w:val="single" w:sz="4" w:space="0" w:color="auto"/>
            </w:tcBorders>
            <w:vAlign w:val="bottom"/>
          </w:tcPr>
          <w:p w14:paraId="7F4AA73C" w14:textId="77777777" w:rsidR="005568F9" w:rsidRPr="00736B48" w:rsidRDefault="005568F9" w:rsidP="005568F9">
            <w:pPr>
              <w:keepNext/>
              <w:keepLines/>
              <w:spacing w:after="0" w:line="280" w:lineRule="exact"/>
              <w:jc w:val="right"/>
              <w:rPr>
                <w:rFonts w:eastAsia="Times New Roman" w:cs="Arial"/>
                <w:b/>
                <w:spacing w:val="-2"/>
                <w:position w:val="4"/>
              </w:rPr>
            </w:pPr>
          </w:p>
        </w:tc>
        <w:tc>
          <w:tcPr>
            <w:tcW w:w="660" w:type="pct"/>
            <w:tcBorders>
              <w:bottom w:val="single" w:sz="4" w:space="0" w:color="auto"/>
            </w:tcBorders>
            <w:vAlign w:val="bottom"/>
          </w:tcPr>
          <w:p w14:paraId="6DFEA5DA" w14:textId="77777777" w:rsidR="005568F9" w:rsidRPr="00736B48" w:rsidRDefault="005568F9" w:rsidP="005568F9">
            <w:pPr>
              <w:keepNext/>
              <w:keepLines/>
              <w:spacing w:after="0" w:line="280" w:lineRule="exact"/>
              <w:jc w:val="right"/>
              <w:rPr>
                <w:rFonts w:eastAsia="Times New Roman" w:cs="Arial"/>
                <w:b/>
                <w:spacing w:val="-2"/>
                <w:position w:val="4"/>
              </w:rPr>
            </w:pPr>
          </w:p>
        </w:tc>
        <w:tc>
          <w:tcPr>
            <w:tcW w:w="728" w:type="pct"/>
            <w:tcBorders>
              <w:bottom w:val="single" w:sz="4" w:space="0" w:color="auto"/>
            </w:tcBorders>
            <w:vAlign w:val="bottom"/>
          </w:tcPr>
          <w:p w14:paraId="5D2D7C2D" w14:textId="77777777" w:rsidR="005568F9" w:rsidRPr="00736B48" w:rsidRDefault="005568F9" w:rsidP="005568F9">
            <w:pPr>
              <w:keepNext/>
              <w:keepLines/>
              <w:spacing w:after="0" w:line="280" w:lineRule="exact"/>
              <w:jc w:val="right"/>
              <w:rPr>
                <w:rFonts w:eastAsia="Times New Roman" w:cs="Arial"/>
                <w:b/>
                <w:spacing w:val="-2"/>
                <w:position w:val="4"/>
              </w:rPr>
            </w:pPr>
          </w:p>
        </w:tc>
      </w:tr>
      <w:tr w:rsidR="005568F9" w:rsidRPr="00736B48" w14:paraId="01B1C6FF" w14:textId="77777777" w:rsidTr="006B318F">
        <w:trPr>
          <w:trHeight w:val="345"/>
        </w:trPr>
        <w:tc>
          <w:tcPr>
            <w:tcW w:w="2222" w:type="pct"/>
            <w:vAlign w:val="bottom"/>
          </w:tcPr>
          <w:p w14:paraId="1EF2A9D9" w14:textId="77777777" w:rsidR="005568F9" w:rsidRPr="00736B48" w:rsidRDefault="005568F9" w:rsidP="005568F9">
            <w:pPr>
              <w:tabs>
                <w:tab w:val="right" w:pos="1202"/>
              </w:tabs>
              <w:spacing w:after="0" w:line="280" w:lineRule="exact"/>
              <w:outlineLvl w:val="0"/>
              <w:rPr>
                <w:rFonts w:eastAsia="Times New Roman" w:cs="Arial"/>
                <w:b/>
                <w:bCs/>
              </w:rPr>
            </w:pPr>
            <w:r w:rsidRPr="009A475B">
              <w:rPr>
                <w:rFonts w:cs="Arial"/>
                <w:b/>
                <w:bCs/>
              </w:rPr>
              <w:t>Total comprehensive income after income tax</w:t>
            </w:r>
          </w:p>
        </w:tc>
        <w:tc>
          <w:tcPr>
            <w:tcW w:w="696" w:type="pct"/>
            <w:tcBorders>
              <w:top w:val="single" w:sz="4" w:space="0" w:color="auto"/>
              <w:left w:val="nil"/>
              <w:bottom w:val="single" w:sz="8" w:space="0" w:color="auto"/>
              <w:right w:val="nil"/>
            </w:tcBorders>
            <w:shd w:val="clear" w:color="auto" w:fill="auto"/>
            <w:vAlign w:val="bottom"/>
          </w:tcPr>
          <w:p w14:paraId="5E6AAC4B" w14:textId="19E956A7" w:rsidR="005568F9" w:rsidRPr="00736B48" w:rsidRDefault="005568F9" w:rsidP="005568F9">
            <w:pPr>
              <w:tabs>
                <w:tab w:val="right" w:pos="1202"/>
              </w:tabs>
              <w:spacing w:after="0" w:line="280" w:lineRule="exact"/>
              <w:jc w:val="right"/>
              <w:outlineLvl w:val="0"/>
              <w:rPr>
                <w:rFonts w:cs="Arial"/>
                <w:b/>
                <w:color w:val="000000"/>
              </w:rPr>
            </w:pPr>
            <w:r w:rsidRPr="00CE0613">
              <w:rPr>
                <w:b/>
              </w:rPr>
              <w:t>63</w:t>
            </w:r>
            <w:r>
              <w:rPr>
                <w:b/>
              </w:rPr>
              <w:t>,</w:t>
            </w:r>
            <w:r w:rsidRPr="00CE0613">
              <w:rPr>
                <w:b/>
              </w:rPr>
              <w:t>001</w:t>
            </w:r>
          </w:p>
        </w:tc>
        <w:tc>
          <w:tcPr>
            <w:tcW w:w="694" w:type="pct"/>
            <w:tcBorders>
              <w:top w:val="single" w:sz="4" w:space="0" w:color="auto"/>
              <w:left w:val="nil"/>
              <w:bottom w:val="single" w:sz="8" w:space="0" w:color="auto"/>
              <w:right w:val="nil"/>
            </w:tcBorders>
            <w:shd w:val="clear" w:color="auto" w:fill="auto"/>
            <w:vAlign w:val="bottom"/>
          </w:tcPr>
          <w:p w14:paraId="3D609782" w14:textId="57C92996" w:rsidR="005568F9" w:rsidRPr="00736B48" w:rsidRDefault="005568F9" w:rsidP="005568F9">
            <w:pPr>
              <w:tabs>
                <w:tab w:val="right" w:pos="1202"/>
              </w:tabs>
              <w:spacing w:after="0" w:line="280" w:lineRule="exact"/>
              <w:jc w:val="right"/>
              <w:outlineLvl w:val="0"/>
              <w:rPr>
                <w:rFonts w:cs="Arial"/>
                <w:b/>
                <w:color w:val="000000"/>
              </w:rPr>
            </w:pPr>
            <w:r w:rsidRPr="00CE0613">
              <w:rPr>
                <w:b/>
              </w:rPr>
              <w:t>193</w:t>
            </w:r>
            <w:r>
              <w:rPr>
                <w:b/>
              </w:rPr>
              <w:t>,</w:t>
            </w:r>
            <w:r w:rsidRPr="00CE0613">
              <w:rPr>
                <w:b/>
              </w:rPr>
              <w:t>205</w:t>
            </w:r>
          </w:p>
        </w:tc>
        <w:tc>
          <w:tcPr>
            <w:tcW w:w="660" w:type="pct"/>
            <w:tcBorders>
              <w:top w:val="single" w:sz="4" w:space="0" w:color="auto"/>
              <w:left w:val="nil"/>
              <w:bottom w:val="single" w:sz="8" w:space="0" w:color="auto"/>
              <w:right w:val="nil"/>
            </w:tcBorders>
            <w:shd w:val="clear" w:color="auto" w:fill="auto"/>
            <w:vAlign w:val="bottom"/>
          </w:tcPr>
          <w:p w14:paraId="3DA11D09" w14:textId="6A87BDD8" w:rsidR="005568F9" w:rsidRPr="00736B48" w:rsidRDefault="005568F9" w:rsidP="005568F9">
            <w:pPr>
              <w:tabs>
                <w:tab w:val="right" w:pos="1202"/>
              </w:tabs>
              <w:spacing w:after="0" w:line="280" w:lineRule="exact"/>
              <w:jc w:val="right"/>
              <w:outlineLvl w:val="0"/>
              <w:rPr>
                <w:rFonts w:cs="Arial"/>
                <w:b/>
                <w:color w:val="000000"/>
              </w:rPr>
            </w:pPr>
            <w:r>
              <w:rPr>
                <w:rFonts w:eastAsia="Times New Roman" w:cs="Arial"/>
                <w:b/>
                <w:bCs/>
              </w:rPr>
              <w:t>68,668</w:t>
            </w:r>
          </w:p>
        </w:tc>
        <w:tc>
          <w:tcPr>
            <w:tcW w:w="728" w:type="pct"/>
            <w:tcBorders>
              <w:top w:val="single" w:sz="4" w:space="0" w:color="auto"/>
              <w:left w:val="nil"/>
              <w:bottom w:val="single" w:sz="8" w:space="0" w:color="auto"/>
              <w:right w:val="nil"/>
            </w:tcBorders>
            <w:shd w:val="clear" w:color="auto" w:fill="auto"/>
            <w:vAlign w:val="bottom"/>
          </w:tcPr>
          <w:p w14:paraId="68E3AEB2" w14:textId="07F58F2F" w:rsidR="005568F9" w:rsidRPr="00736B48" w:rsidRDefault="005568F9" w:rsidP="005568F9">
            <w:pPr>
              <w:tabs>
                <w:tab w:val="right" w:pos="1202"/>
              </w:tabs>
              <w:spacing w:after="0" w:line="280" w:lineRule="exact"/>
              <w:jc w:val="right"/>
              <w:outlineLvl w:val="0"/>
              <w:rPr>
                <w:rFonts w:cs="Arial"/>
                <w:b/>
                <w:color w:val="000000"/>
              </w:rPr>
            </w:pPr>
            <w:r>
              <w:rPr>
                <w:rFonts w:eastAsia="Times New Roman" w:cs="Arial"/>
                <w:b/>
                <w:bCs/>
              </w:rPr>
              <w:t>190,618</w:t>
            </w:r>
          </w:p>
        </w:tc>
      </w:tr>
      <w:tr w:rsidR="005568F9" w:rsidRPr="00736B48" w14:paraId="3E3F4475" w14:textId="77777777" w:rsidTr="006B318F">
        <w:trPr>
          <w:trHeight w:val="151"/>
        </w:trPr>
        <w:tc>
          <w:tcPr>
            <w:tcW w:w="2222" w:type="pct"/>
            <w:vAlign w:val="bottom"/>
          </w:tcPr>
          <w:p w14:paraId="1C2BE06F" w14:textId="77777777" w:rsidR="005568F9" w:rsidRPr="00736B48" w:rsidRDefault="005568F9" w:rsidP="005568F9">
            <w:pPr>
              <w:tabs>
                <w:tab w:val="right" w:pos="1202"/>
              </w:tabs>
              <w:spacing w:after="0" w:line="200" w:lineRule="exact"/>
              <w:outlineLvl w:val="0"/>
              <w:rPr>
                <w:rFonts w:eastAsia="Times New Roman" w:cs="Arial"/>
                <w:b/>
                <w:bCs/>
              </w:rPr>
            </w:pPr>
          </w:p>
        </w:tc>
        <w:tc>
          <w:tcPr>
            <w:tcW w:w="696" w:type="pct"/>
            <w:tcBorders>
              <w:top w:val="single" w:sz="12" w:space="0" w:color="auto"/>
            </w:tcBorders>
            <w:vAlign w:val="bottom"/>
          </w:tcPr>
          <w:p w14:paraId="5A4DB3DA" w14:textId="77777777" w:rsidR="005568F9" w:rsidRDefault="005568F9" w:rsidP="005568F9">
            <w:pPr>
              <w:keepNext/>
              <w:keepLines/>
              <w:spacing w:after="0" w:line="200" w:lineRule="exact"/>
              <w:jc w:val="right"/>
              <w:rPr>
                <w:rFonts w:eastAsia="Times New Roman" w:cs="Arial"/>
                <w:b/>
                <w:position w:val="4"/>
                <w:u w:val="thick"/>
              </w:rPr>
            </w:pPr>
          </w:p>
        </w:tc>
        <w:tc>
          <w:tcPr>
            <w:tcW w:w="694" w:type="pct"/>
            <w:tcBorders>
              <w:top w:val="single" w:sz="12" w:space="0" w:color="auto"/>
            </w:tcBorders>
            <w:vAlign w:val="bottom"/>
          </w:tcPr>
          <w:p w14:paraId="71F9A582" w14:textId="77777777" w:rsidR="005568F9" w:rsidRDefault="005568F9" w:rsidP="005568F9">
            <w:pPr>
              <w:keepNext/>
              <w:keepLines/>
              <w:spacing w:after="0" w:line="200" w:lineRule="exact"/>
              <w:jc w:val="right"/>
              <w:rPr>
                <w:rFonts w:eastAsia="Times New Roman" w:cs="Arial"/>
                <w:b/>
                <w:position w:val="4"/>
                <w:u w:val="thick"/>
              </w:rPr>
            </w:pPr>
          </w:p>
        </w:tc>
        <w:tc>
          <w:tcPr>
            <w:tcW w:w="660" w:type="pct"/>
            <w:tcBorders>
              <w:top w:val="single" w:sz="12" w:space="0" w:color="auto"/>
            </w:tcBorders>
            <w:vAlign w:val="bottom"/>
          </w:tcPr>
          <w:p w14:paraId="114F5AF9" w14:textId="77777777" w:rsidR="005568F9" w:rsidRDefault="005568F9" w:rsidP="005568F9">
            <w:pPr>
              <w:keepNext/>
              <w:keepLines/>
              <w:spacing w:after="0" w:line="200" w:lineRule="exact"/>
              <w:jc w:val="right"/>
              <w:rPr>
                <w:rFonts w:eastAsia="Times New Roman" w:cs="Arial"/>
                <w:b/>
                <w:position w:val="4"/>
                <w:u w:val="thick"/>
              </w:rPr>
            </w:pPr>
          </w:p>
        </w:tc>
        <w:tc>
          <w:tcPr>
            <w:tcW w:w="728" w:type="pct"/>
            <w:tcBorders>
              <w:top w:val="single" w:sz="12" w:space="0" w:color="auto"/>
            </w:tcBorders>
            <w:vAlign w:val="bottom"/>
          </w:tcPr>
          <w:p w14:paraId="2C61C7EB" w14:textId="77777777" w:rsidR="005568F9" w:rsidRDefault="005568F9" w:rsidP="005568F9">
            <w:pPr>
              <w:keepNext/>
              <w:keepLines/>
              <w:spacing w:after="0" w:line="200" w:lineRule="exact"/>
              <w:jc w:val="right"/>
              <w:rPr>
                <w:rFonts w:eastAsia="Times New Roman" w:cs="Arial"/>
                <w:b/>
                <w:position w:val="4"/>
                <w:u w:val="thick"/>
              </w:rPr>
            </w:pPr>
          </w:p>
        </w:tc>
      </w:tr>
      <w:tr w:rsidR="005568F9" w:rsidRPr="00736B48" w14:paraId="424B042C" w14:textId="77777777" w:rsidTr="006B318F">
        <w:trPr>
          <w:trHeight w:val="211"/>
        </w:trPr>
        <w:tc>
          <w:tcPr>
            <w:tcW w:w="2222" w:type="pct"/>
            <w:vAlign w:val="bottom"/>
          </w:tcPr>
          <w:p w14:paraId="1C321E4A" w14:textId="77777777" w:rsidR="005568F9" w:rsidRPr="00736B48" w:rsidRDefault="005568F9" w:rsidP="005568F9">
            <w:pPr>
              <w:tabs>
                <w:tab w:val="right" w:pos="1202"/>
              </w:tabs>
              <w:spacing w:after="0" w:line="200" w:lineRule="exact"/>
              <w:outlineLvl w:val="0"/>
              <w:rPr>
                <w:rFonts w:eastAsia="Times New Roman" w:cs="Arial"/>
                <w:b/>
                <w:bCs/>
              </w:rPr>
            </w:pPr>
          </w:p>
        </w:tc>
        <w:tc>
          <w:tcPr>
            <w:tcW w:w="696" w:type="pct"/>
            <w:vAlign w:val="bottom"/>
          </w:tcPr>
          <w:p w14:paraId="49C0B1EF" w14:textId="77777777" w:rsidR="005568F9" w:rsidRDefault="005568F9" w:rsidP="005568F9">
            <w:pPr>
              <w:keepNext/>
              <w:keepLines/>
              <w:spacing w:after="0" w:line="200" w:lineRule="exact"/>
              <w:jc w:val="right"/>
              <w:rPr>
                <w:rFonts w:eastAsia="Times New Roman" w:cs="Arial"/>
                <w:b/>
                <w:position w:val="4"/>
              </w:rPr>
            </w:pPr>
          </w:p>
        </w:tc>
        <w:tc>
          <w:tcPr>
            <w:tcW w:w="694" w:type="pct"/>
            <w:vAlign w:val="bottom"/>
          </w:tcPr>
          <w:p w14:paraId="0076E862" w14:textId="77777777" w:rsidR="005568F9" w:rsidRDefault="005568F9" w:rsidP="005568F9">
            <w:pPr>
              <w:keepNext/>
              <w:keepLines/>
              <w:spacing w:after="0" w:line="200" w:lineRule="exact"/>
              <w:jc w:val="right"/>
              <w:rPr>
                <w:rFonts w:eastAsia="Times New Roman" w:cs="Arial"/>
                <w:b/>
                <w:position w:val="4"/>
              </w:rPr>
            </w:pPr>
          </w:p>
        </w:tc>
        <w:tc>
          <w:tcPr>
            <w:tcW w:w="660" w:type="pct"/>
            <w:vAlign w:val="bottom"/>
          </w:tcPr>
          <w:p w14:paraId="6CBDA0CF" w14:textId="77777777" w:rsidR="005568F9" w:rsidRDefault="005568F9" w:rsidP="005568F9">
            <w:pPr>
              <w:keepNext/>
              <w:keepLines/>
              <w:spacing w:after="0" w:line="200" w:lineRule="exact"/>
              <w:jc w:val="right"/>
              <w:rPr>
                <w:rFonts w:eastAsia="Times New Roman" w:cs="Arial"/>
                <w:b/>
                <w:position w:val="4"/>
              </w:rPr>
            </w:pPr>
          </w:p>
        </w:tc>
        <w:tc>
          <w:tcPr>
            <w:tcW w:w="728" w:type="pct"/>
            <w:vAlign w:val="bottom"/>
          </w:tcPr>
          <w:p w14:paraId="41CF21A8" w14:textId="77777777" w:rsidR="005568F9" w:rsidRDefault="005568F9" w:rsidP="005568F9">
            <w:pPr>
              <w:keepNext/>
              <w:keepLines/>
              <w:spacing w:after="0" w:line="200" w:lineRule="exact"/>
              <w:jc w:val="right"/>
              <w:rPr>
                <w:rFonts w:eastAsia="Times New Roman" w:cs="Arial"/>
                <w:b/>
                <w:position w:val="4"/>
              </w:rPr>
            </w:pPr>
          </w:p>
        </w:tc>
      </w:tr>
      <w:tr w:rsidR="005568F9" w:rsidRPr="00736B48" w14:paraId="3B7C7983" w14:textId="77777777" w:rsidTr="006B318F">
        <w:trPr>
          <w:trHeight w:val="303"/>
        </w:trPr>
        <w:tc>
          <w:tcPr>
            <w:tcW w:w="2222" w:type="pct"/>
            <w:vAlign w:val="bottom"/>
          </w:tcPr>
          <w:p w14:paraId="52EBD32A" w14:textId="77777777" w:rsidR="005568F9" w:rsidRPr="00736B48" w:rsidRDefault="005568F9" w:rsidP="005568F9">
            <w:pPr>
              <w:tabs>
                <w:tab w:val="right" w:pos="1202"/>
              </w:tabs>
              <w:spacing w:after="0" w:line="280" w:lineRule="exact"/>
              <w:outlineLvl w:val="0"/>
              <w:rPr>
                <w:rFonts w:eastAsia="Times New Roman" w:cs="Arial"/>
                <w:b/>
                <w:bCs/>
              </w:rPr>
            </w:pPr>
            <w:r w:rsidRPr="00736B48">
              <w:rPr>
                <w:rFonts w:cs="Arial"/>
                <w:b/>
              </w:rPr>
              <w:t>Attributable to</w:t>
            </w:r>
            <w:r w:rsidRPr="00736B48">
              <w:rPr>
                <w:rFonts w:eastAsia="Times New Roman" w:cs="Arial"/>
                <w:b/>
                <w:bCs/>
              </w:rPr>
              <w:t>:</w:t>
            </w:r>
          </w:p>
        </w:tc>
        <w:tc>
          <w:tcPr>
            <w:tcW w:w="696" w:type="pct"/>
            <w:vAlign w:val="bottom"/>
          </w:tcPr>
          <w:p w14:paraId="3C10E187" w14:textId="2B67BF98" w:rsidR="005568F9" w:rsidRPr="00736B48" w:rsidRDefault="005568F9" w:rsidP="005568F9">
            <w:pPr>
              <w:keepNext/>
              <w:keepLines/>
              <w:spacing w:after="0" w:line="280" w:lineRule="exact"/>
              <w:jc w:val="right"/>
              <w:rPr>
                <w:rFonts w:eastAsia="Times New Roman" w:cs="Arial"/>
                <w:b/>
                <w:position w:val="4"/>
              </w:rPr>
            </w:pPr>
          </w:p>
        </w:tc>
        <w:tc>
          <w:tcPr>
            <w:tcW w:w="694" w:type="pct"/>
            <w:vAlign w:val="bottom"/>
          </w:tcPr>
          <w:p w14:paraId="6EA8C7C4" w14:textId="24555757" w:rsidR="005568F9" w:rsidRPr="00736B48" w:rsidRDefault="005568F9" w:rsidP="005568F9">
            <w:pPr>
              <w:keepNext/>
              <w:keepLines/>
              <w:spacing w:after="0" w:line="280" w:lineRule="exact"/>
              <w:jc w:val="right"/>
              <w:rPr>
                <w:rFonts w:eastAsia="Times New Roman" w:cs="Arial"/>
                <w:b/>
                <w:position w:val="4"/>
              </w:rPr>
            </w:pPr>
          </w:p>
        </w:tc>
        <w:tc>
          <w:tcPr>
            <w:tcW w:w="660" w:type="pct"/>
            <w:vAlign w:val="bottom"/>
          </w:tcPr>
          <w:p w14:paraId="5C048E3B" w14:textId="77777777" w:rsidR="005568F9" w:rsidRPr="00736B48" w:rsidRDefault="005568F9" w:rsidP="005568F9">
            <w:pPr>
              <w:keepNext/>
              <w:keepLines/>
              <w:spacing w:after="0" w:line="280" w:lineRule="exact"/>
              <w:jc w:val="right"/>
              <w:rPr>
                <w:rFonts w:eastAsia="Times New Roman" w:cs="Arial"/>
                <w:b/>
                <w:position w:val="4"/>
              </w:rPr>
            </w:pPr>
          </w:p>
        </w:tc>
        <w:tc>
          <w:tcPr>
            <w:tcW w:w="728" w:type="pct"/>
            <w:vAlign w:val="bottom"/>
          </w:tcPr>
          <w:p w14:paraId="35D15A28" w14:textId="77777777" w:rsidR="005568F9" w:rsidRPr="00736B48" w:rsidRDefault="005568F9" w:rsidP="005568F9">
            <w:pPr>
              <w:keepNext/>
              <w:keepLines/>
              <w:spacing w:after="0" w:line="280" w:lineRule="exact"/>
              <w:jc w:val="right"/>
              <w:rPr>
                <w:rFonts w:eastAsia="Times New Roman" w:cs="Arial"/>
                <w:b/>
                <w:position w:val="4"/>
              </w:rPr>
            </w:pPr>
          </w:p>
        </w:tc>
      </w:tr>
      <w:tr w:rsidR="005568F9" w:rsidRPr="00736B48" w14:paraId="1587D8C6" w14:textId="77777777" w:rsidTr="006B318F">
        <w:trPr>
          <w:trHeight w:val="303"/>
        </w:trPr>
        <w:tc>
          <w:tcPr>
            <w:tcW w:w="2222" w:type="pct"/>
            <w:vAlign w:val="bottom"/>
          </w:tcPr>
          <w:p w14:paraId="314E6D48" w14:textId="77777777" w:rsidR="005568F9" w:rsidRPr="00736B48" w:rsidRDefault="005568F9" w:rsidP="005568F9">
            <w:pPr>
              <w:tabs>
                <w:tab w:val="right" w:pos="1202"/>
              </w:tabs>
              <w:spacing w:after="0" w:line="280" w:lineRule="exact"/>
              <w:outlineLvl w:val="0"/>
              <w:rPr>
                <w:rFonts w:eastAsia="Times New Roman" w:cs="Arial"/>
                <w:b/>
                <w:bCs/>
              </w:rPr>
            </w:pPr>
            <w:r w:rsidRPr="00736B48">
              <w:rPr>
                <w:rFonts w:cs="Arial"/>
                <w:b/>
              </w:rPr>
              <w:t>Equity holders of the parent</w:t>
            </w:r>
          </w:p>
        </w:tc>
        <w:tc>
          <w:tcPr>
            <w:tcW w:w="696" w:type="pct"/>
            <w:tcBorders>
              <w:bottom w:val="single" w:sz="12" w:space="0" w:color="auto"/>
            </w:tcBorders>
            <w:shd w:val="clear" w:color="auto" w:fill="auto"/>
            <w:vAlign w:val="bottom"/>
          </w:tcPr>
          <w:p w14:paraId="28C34311" w14:textId="7282A87B" w:rsidR="005568F9" w:rsidRPr="00736B48" w:rsidRDefault="005568F9" w:rsidP="005568F9">
            <w:pPr>
              <w:keepNext/>
              <w:keepLines/>
              <w:spacing w:after="0" w:line="240" w:lineRule="auto"/>
              <w:jc w:val="right"/>
              <w:rPr>
                <w:b/>
                <w:color w:val="000000"/>
              </w:rPr>
            </w:pPr>
            <w:r w:rsidRPr="00CE0613">
              <w:rPr>
                <w:b/>
              </w:rPr>
              <w:t>63</w:t>
            </w:r>
            <w:r>
              <w:rPr>
                <w:b/>
              </w:rPr>
              <w:t>,</w:t>
            </w:r>
            <w:r w:rsidRPr="00CE0613">
              <w:rPr>
                <w:b/>
              </w:rPr>
              <w:t>001</w:t>
            </w:r>
          </w:p>
        </w:tc>
        <w:tc>
          <w:tcPr>
            <w:tcW w:w="694" w:type="pct"/>
            <w:tcBorders>
              <w:bottom w:val="single" w:sz="12" w:space="0" w:color="auto"/>
            </w:tcBorders>
            <w:shd w:val="clear" w:color="auto" w:fill="auto"/>
            <w:vAlign w:val="bottom"/>
          </w:tcPr>
          <w:p w14:paraId="65F0A9D5" w14:textId="1198D2B1" w:rsidR="005568F9" w:rsidRPr="00736B48" w:rsidRDefault="005568F9" w:rsidP="005568F9">
            <w:pPr>
              <w:keepNext/>
              <w:keepLines/>
              <w:spacing w:after="0" w:line="240" w:lineRule="auto"/>
              <w:jc w:val="right"/>
              <w:rPr>
                <w:b/>
                <w:color w:val="000000"/>
              </w:rPr>
            </w:pPr>
            <w:r w:rsidRPr="00CE0613">
              <w:rPr>
                <w:b/>
              </w:rPr>
              <w:t>193</w:t>
            </w:r>
            <w:r>
              <w:rPr>
                <w:b/>
              </w:rPr>
              <w:t>,</w:t>
            </w:r>
            <w:r w:rsidRPr="00CE0613">
              <w:rPr>
                <w:b/>
              </w:rPr>
              <w:t>205</w:t>
            </w:r>
          </w:p>
        </w:tc>
        <w:tc>
          <w:tcPr>
            <w:tcW w:w="660" w:type="pct"/>
            <w:tcBorders>
              <w:top w:val="nil"/>
              <w:left w:val="nil"/>
              <w:bottom w:val="single" w:sz="12" w:space="0" w:color="auto"/>
              <w:right w:val="nil"/>
            </w:tcBorders>
            <w:shd w:val="clear" w:color="auto" w:fill="auto"/>
            <w:vAlign w:val="bottom"/>
          </w:tcPr>
          <w:p w14:paraId="5CB0353B" w14:textId="7EEBF3B1" w:rsidR="005568F9" w:rsidRPr="00736B48" w:rsidRDefault="005568F9" w:rsidP="005568F9">
            <w:pPr>
              <w:keepNext/>
              <w:keepLines/>
              <w:spacing w:after="0" w:line="240" w:lineRule="auto"/>
              <w:jc w:val="right"/>
              <w:rPr>
                <w:b/>
                <w:color w:val="000000"/>
              </w:rPr>
            </w:pPr>
            <w:r>
              <w:rPr>
                <w:rFonts w:eastAsia="Times New Roman" w:cs="Arial"/>
                <w:b/>
                <w:position w:val="4"/>
              </w:rPr>
              <w:t>68,668</w:t>
            </w:r>
          </w:p>
        </w:tc>
        <w:tc>
          <w:tcPr>
            <w:tcW w:w="728" w:type="pct"/>
            <w:tcBorders>
              <w:top w:val="nil"/>
              <w:left w:val="nil"/>
              <w:bottom w:val="single" w:sz="12" w:space="0" w:color="auto"/>
              <w:right w:val="nil"/>
            </w:tcBorders>
            <w:shd w:val="clear" w:color="auto" w:fill="auto"/>
            <w:vAlign w:val="bottom"/>
          </w:tcPr>
          <w:p w14:paraId="6EF70501" w14:textId="3955C5EC" w:rsidR="005568F9" w:rsidRPr="00736B48" w:rsidRDefault="005568F9" w:rsidP="005568F9">
            <w:pPr>
              <w:keepNext/>
              <w:keepLines/>
              <w:spacing w:after="0" w:line="240" w:lineRule="auto"/>
              <w:jc w:val="right"/>
              <w:rPr>
                <w:b/>
                <w:color w:val="000000"/>
              </w:rPr>
            </w:pPr>
            <w:r>
              <w:rPr>
                <w:rFonts w:eastAsia="Times New Roman" w:cs="Arial"/>
                <w:b/>
                <w:position w:val="4"/>
              </w:rPr>
              <w:t>190,618</w:t>
            </w:r>
          </w:p>
        </w:tc>
      </w:tr>
    </w:tbl>
    <w:p w14:paraId="1793DC81" w14:textId="77777777" w:rsidR="00CA7BA7" w:rsidRPr="0034501D" w:rsidRDefault="00CA7BA7" w:rsidP="006B1436">
      <w:pPr>
        <w:spacing w:after="0" w:line="280" w:lineRule="exact"/>
      </w:pPr>
    </w:p>
    <w:p w14:paraId="1E7EF9A9" w14:textId="77777777" w:rsidR="00AC4D66" w:rsidRPr="0034501D" w:rsidRDefault="00AC4D66" w:rsidP="006B1436">
      <w:pPr>
        <w:spacing w:after="0" w:line="280" w:lineRule="exact"/>
        <w:rPr>
          <w:rFonts w:eastAsia="Times New Roman" w:cs="Arial"/>
          <w:sz w:val="24"/>
          <w:szCs w:val="24"/>
        </w:rPr>
      </w:pPr>
    </w:p>
    <w:p w14:paraId="083C9619" w14:textId="77777777" w:rsidR="00B44176" w:rsidRPr="0006106B" w:rsidRDefault="00B44176" w:rsidP="00166751">
      <w:pPr>
        <w:spacing w:after="0" w:line="240" w:lineRule="auto"/>
        <w:jc w:val="both"/>
        <w:rPr>
          <w:rFonts w:asciiTheme="minorHAnsi" w:eastAsia="Times New Roman" w:hAnsiTheme="minorHAnsi" w:cs="Arial"/>
        </w:rPr>
      </w:pPr>
      <w:r w:rsidRPr="0006106B">
        <w:rPr>
          <w:rFonts w:asciiTheme="minorHAnsi" w:eastAsia="Times New Roman" w:hAnsiTheme="minorHAnsi" w:cs="Arial"/>
        </w:rPr>
        <w:t xml:space="preserve">The accompanying </w:t>
      </w:r>
      <w:r w:rsidR="00D658D4">
        <w:rPr>
          <w:rFonts w:asciiTheme="minorHAnsi" w:eastAsia="Times New Roman" w:hAnsiTheme="minorHAnsi" w:cs="Arial"/>
        </w:rPr>
        <w:t xml:space="preserve">selected </w:t>
      </w:r>
      <w:r w:rsidRPr="0006106B">
        <w:rPr>
          <w:rFonts w:asciiTheme="minorHAnsi" w:eastAsia="Times New Roman" w:hAnsiTheme="minorHAnsi" w:cs="Arial"/>
        </w:rPr>
        <w:t>notes are an integral part of th</w:t>
      </w:r>
      <w:r w:rsidR="00230F37">
        <w:rPr>
          <w:rFonts w:asciiTheme="minorHAnsi" w:eastAsia="Times New Roman" w:hAnsiTheme="minorHAnsi" w:cs="Arial"/>
        </w:rPr>
        <w:t>i</w:t>
      </w:r>
      <w:r w:rsidR="00E1249B">
        <w:rPr>
          <w:rFonts w:asciiTheme="minorHAnsi" w:eastAsia="Times New Roman" w:hAnsiTheme="minorHAnsi" w:cs="Arial"/>
        </w:rPr>
        <w:t>s</w:t>
      </w:r>
      <w:r w:rsidRPr="0006106B">
        <w:rPr>
          <w:rFonts w:asciiTheme="minorHAnsi" w:eastAsia="Times New Roman" w:hAnsiTheme="minorHAnsi" w:cs="Arial"/>
        </w:rPr>
        <w:t xml:space="preserve"> </w:t>
      </w:r>
      <w:r w:rsidR="00230F37">
        <w:rPr>
          <w:rFonts w:asciiTheme="minorHAnsi" w:eastAsia="Times New Roman" w:hAnsiTheme="minorHAnsi" w:cs="Arial"/>
        </w:rPr>
        <w:t>Statement of Profit or Loss and Other Comprehensive Income</w:t>
      </w:r>
      <w:r w:rsidR="00D658D4" w:rsidRPr="00D658D4">
        <w:rPr>
          <w:rFonts w:asciiTheme="minorHAnsi" w:eastAsia="Times New Roman" w:hAnsiTheme="minorHAnsi" w:cs="Arial"/>
        </w:rPr>
        <w:t>.</w:t>
      </w:r>
      <w:r w:rsidR="00D658D4">
        <w:rPr>
          <w:rFonts w:asciiTheme="minorHAnsi" w:eastAsia="Times New Roman" w:hAnsiTheme="minorHAnsi" w:cs="Arial"/>
        </w:rPr>
        <w:t xml:space="preserve"> </w:t>
      </w:r>
    </w:p>
    <w:p w14:paraId="1756FE6C" w14:textId="77777777" w:rsidR="00FE7274" w:rsidRPr="0034501D" w:rsidRDefault="00FE7274" w:rsidP="00C4266C">
      <w:pPr>
        <w:spacing w:after="0" w:line="240" w:lineRule="auto"/>
        <w:rPr>
          <w:rFonts w:eastAsia="Times New Roman" w:cs="Arial"/>
          <w:sz w:val="24"/>
          <w:szCs w:val="24"/>
        </w:rPr>
        <w:sectPr w:rsidR="00FE7274" w:rsidRPr="0034501D" w:rsidSect="00947CB7">
          <w:headerReference w:type="first" r:id="rId18"/>
          <w:footerReference w:type="first" r:id="rId19"/>
          <w:pgSz w:w="11906" w:h="16838" w:code="9"/>
          <w:pgMar w:top="1105" w:right="1133" w:bottom="1417" w:left="1417" w:header="709" w:footer="709" w:gutter="0"/>
          <w:pgNumType w:start="1"/>
          <w:cols w:space="708"/>
          <w:titlePg/>
          <w:docGrid w:linePitch="360"/>
        </w:sectPr>
      </w:pPr>
    </w:p>
    <w:p w14:paraId="7F6B37B1" w14:textId="77777777" w:rsidR="00FE7274" w:rsidRPr="0034501D" w:rsidRDefault="00FE7274" w:rsidP="00C4266C">
      <w:pPr>
        <w:spacing w:after="0" w:line="240" w:lineRule="auto"/>
      </w:pPr>
    </w:p>
    <w:tbl>
      <w:tblPr>
        <w:tblpPr w:leftFromText="181" w:rightFromText="181" w:vertAnchor="text" w:horzAnchor="margin" w:tblpY="1"/>
        <w:tblW w:w="9214" w:type="dxa"/>
        <w:tblBorders>
          <w:top w:val="single" w:sz="4" w:space="0" w:color="auto"/>
        </w:tblBorders>
        <w:tblLayout w:type="fixed"/>
        <w:tblLook w:val="0000" w:firstRow="0" w:lastRow="0" w:firstColumn="0" w:lastColumn="0" w:noHBand="0" w:noVBand="0"/>
      </w:tblPr>
      <w:tblGrid>
        <w:gridCol w:w="4821"/>
        <w:gridCol w:w="993"/>
        <w:gridCol w:w="1561"/>
        <w:gridCol w:w="282"/>
        <w:gridCol w:w="1557"/>
      </w:tblGrid>
      <w:tr w:rsidR="00F73B29" w:rsidRPr="0034501D" w14:paraId="1263AFA7" w14:textId="77777777" w:rsidTr="00CB5FF3">
        <w:trPr>
          <w:trHeight w:val="419"/>
        </w:trPr>
        <w:tc>
          <w:tcPr>
            <w:tcW w:w="2616" w:type="pct"/>
            <w:tcBorders>
              <w:top w:val="single" w:sz="4" w:space="0" w:color="FFFFFF" w:themeColor="background1"/>
            </w:tcBorders>
          </w:tcPr>
          <w:p w14:paraId="4F4485EC" w14:textId="77777777" w:rsidR="00FE7274" w:rsidRPr="0034501D" w:rsidRDefault="00FE7274" w:rsidP="00F342AA">
            <w:pPr>
              <w:spacing w:after="0" w:line="240" w:lineRule="auto"/>
              <w:rPr>
                <w:rFonts w:eastAsia="Times New Roman" w:cs="Arial"/>
              </w:rPr>
            </w:pPr>
          </w:p>
        </w:tc>
        <w:tc>
          <w:tcPr>
            <w:tcW w:w="539" w:type="pct"/>
            <w:tcBorders>
              <w:top w:val="single" w:sz="4" w:space="0" w:color="FFFFFF" w:themeColor="background1"/>
            </w:tcBorders>
            <w:vAlign w:val="center"/>
          </w:tcPr>
          <w:p w14:paraId="12D29C0F" w14:textId="77777777" w:rsidR="00FE7274" w:rsidRPr="0034501D" w:rsidRDefault="007B6934" w:rsidP="007B6934">
            <w:pPr>
              <w:spacing w:after="0" w:line="240" w:lineRule="auto"/>
              <w:jc w:val="center"/>
              <w:rPr>
                <w:rFonts w:eastAsia="Times New Roman" w:cs="Arial"/>
                <w:b/>
              </w:rPr>
            </w:pPr>
            <w:r w:rsidRPr="0034501D">
              <w:rPr>
                <w:rFonts w:eastAsia="Times New Roman" w:cs="Arial"/>
                <w:b/>
              </w:rPr>
              <w:t>Notes</w:t>
            </w:r>
          </w:p>
        </w:tc>
        <w:tc>
          <w:tcPr>
            <w:tcW w:w="847" w:type="pct"/>
            <w:tcBorders>
              <w:top w:val="single" w:sz="4" w:space="0" w:color="FFFFFF" w:themeColor="background1"/>
            </w:tcBorders>
            <w:vAlign w:val="center"/>
          </w:tcPr>
          <w:p w14:paraId="34B99F73" w14:textId="2A96C8E0" w:rsidR="00FE7274" w:rsidRPr="0034501D" w:rsidRDefault="005414B8" w:rsidP="008A36A7">
            <w:pPr>
              <w:spacing w:after="0" w:line="240" w:lineRule="auto"/>
              <w:jc w:val="right"/>
              <w:rPr>
                <w:rFonts w:eastAsia="Times New Roman" w:cs="Arial"/>
                <w:b/>
              </w:rPr>
            </w:pPr>
            <w:r>
              <w:rPr>
                <w:rFonts w:eastAsia="Times New Roman" w:cs="Arial"/>
                <w:b/>
                <w:bCs/>
              </w:rPr>
              <w:t>Sep</w:t>
            </w:r>
            <w:r w:rsidRPr="008A36A7">
              <w:rPr>
                <w:rFonts w:eastAsia="Times New Roman" w:cs="Arial"/>
                <w:b/>
                <w:bCs/>
              </w:rPr>
              <w:t xml:space="preserve"> </w:t>
            </w:r>
            <w:r w:rsidR="008A36A7" w:rsidRPr="008A36A7">
              <w:rPr>
                <w:rFonts w:eastAsia="Times New Roman" w:cs="Arial"/>
                <w:b/>
                <w:bCs/>
              </w:rPr>
              <w:t>30, 201</w:t>
            </w:r>
            <w:r w:rsidR="008A36A7">
              <w:rPr>
                <w:rFonts w:eastAsia="Times New Roman" w:cs="Arial"/>
                <w:b/>
                <w:bCs/>
              </w:rPr>
              <w:t>7</w:t>
            </w:r>
          </w:p>
        </w:tc>
        <w:tc>
          <w:tcPr>
            <w:tcW w:w="153" w:type="pct"/>
            <w:tcBorders>
              <w:top w:val="single" w:sz="4" w:space="0" w:color="FFFFFF" w:themeColor="background1"/>
            </w:tcBorders>
            <w:vAlign w:val="center"/>
          </w:tcPr>
          <w:p w14:paraId="5026DADD" w14:textId="77777777" w:rsidR="00FE7274" w:rsidRPr="0034501D" w:rsidRDefault="00FE7274" w:rsidP="00F342AA">
            <w:pPr>
              <w:spacing w:after="0" w:line="240" w:lineRule="auto"/>
              <w:jc w:val="right"/>
              <w:rPr>
                <w:rFonts w:eastAsia="Times New Roman" w:cs="Arial"/>
                <w:b/>
              </w:rPr>
            </w:pPr>
          </w:p>
        </w:tc>
        <w:tc>
          <w:tcPr>
            <w:tcW w:w="845" w:type="pct"/>
            <w:tcBorders>
              <w:top w:val="single" w:sz="4" w:space="0" w:color="FFFFFF" w:themeColor="background1"/>
            </w:tcBorders>
            <w:vAlign w:val="center"/>
          </w:tcPr>
          <w:p w14:paraId="7DA73330" w14:textId="77777777" w:rsidR="00FE7274" w:rsidRPr="0034501D" w:rsidRDefault="00CF031B" w:rsidP="00570EDE">
            <w:pPr>
              <w:spacing w:after="0" w:line="240" w:lineRule="auto"/>
              <w:jc w:val="right"/>
              <w:rPr>
                <w:rFonts w:eastAsia="Times New Roman" w:cs="Arial"/>
                <w:b/>
              </w:rPr>
            </w:pPr>
            <w:r>
              <w:rPr>
                <w:rFonts w:eastAsia="Times New Roman" w:cs="Arial"/>
                <w:b/>
              </w:rPr>
              <w:t xml:space="preserve">Dec 31, </w:t>
            </w:r>
            <w:r w:rsidR="00FE7274" w:rsidRPr="0034501D">
              <w:rPr>
                <w:rFonts w:eastAsia="Times New Roman" w:cs="Arial"/>
                <w:b/>
              </w:rPr>
              <w:t>201</w:t>
            </w:r>
            <w:r w:rsidR="00570EDE">
              <w:rPr>
                <w:rFonts w:eastAsia="Times New Roman" w:cs="Arial"/>
                <w:b/>
              </w:rPr>
              <w:t>6</w:t>
            </w:r>
          </w:p>
        </w:tc>
      </w:tr>
      <w:tr w:rsidR="00F73B29" w:rsidRPr="0034501D" w14:paraId="317580B5" w14:textId="77777777" w:rsidTr="00166751">
        <w:trPr>
          <w:trHeight w:hRule="exact" w:val="113"/>
        </w:trPr>
        <w:tc>
          <w:tcPr>
            <w:tcW w:w="2616" w:type="pct"/>
          </w:tcPr>
          <w:p w14:paraId="15564CD9" w14:textId="77777777" w:rsidR="00FE7274" w:rsidRPr="0034501D" w:rsidRDefault="00FE7274" w:rsidP="00F342AA">
            <w:pPr>
              <w:tabs>
                <w:tab w:val="right" w:pos="1202"/>
              </w:tabs>
              <w:spacing w:after="0" w:line="240" w:lineRule="auto"/>
              <w:outlineLvl w:val="0"/>
              <w:rPr>
                <w:rFonts w:eastAsia="Times New Roman" w:cs="Arial"/>
                <w:b/>
                <w:bCs/>
              </w:rPr>
            </w:pPr>
          </w:p>
        </w:tc>
        <w:tc>
          <w:tcPr>
            <w:tcW w:w="539" w:type="pct"/>
            <w:vAlign w:val="center"/>
          </w:tcPr>
          <w:p w14:paraId="2ACED6A2" w14:textId="77777777" w:rsidR="00FE7274" w:rsidRPr="0034501D" w:rsidRDefault="00FE7274" w:rsidP="00F342AA">
            <w:pPr>
              <w:tabs>
                <w:tab w:val="right" w:pos="1202"/>
              </w:tabs>
              <w:spacing w:after="0" w:line="240" w:lineRule="auto"/>
              <w:jc w:val="center"/>
              <w:outlineLvl w:val="0"/>
              <w:rPr>
                <w:rFonts w:eastAsia="Times New Roman" w:cs="Arial"/>
                <w:b/>
                <w:bCs/>
              </w:rPr>
            </w:pPr>
          </w:p>
        </w:tc>
        <w:tc>
          <w:tcPr>
            <w:tcW w:w="847" w:type="pct"/>
            <w:vAlign w:val="center"/>
          </w:tcPr>
          <w:p w14:paraId="5C0CC85C" w14:textId="77777777" w:rsidR="00FE7274" w:rsidRPr="0034501D" w:rsidRDefault="00FE7274" w:rsidP="00F342AA">
            <w:pPr>
              <w:tabs>
                <w:tab w:val="right" w:pos="1202"/>
              </w:tabs>
              <w:spacing w:after="0" w:line="240" w:lineRule="auto"/>
              <w:jc w:val="right"/>
              <w:outlineLvl w:val="0"/>
              <w:rPr>
                <w:rFonts w:eastAsia="Times New Roman" w:cs="Arial"/>
                <w:b/>
                <w:bCs/>
              </w:rPr>
            </w:pPr>
          </w:p>
        </w:tc>
        <w:tc>
          <w:tcPr>
            <w:tcW w:w="153" w:type="pct"/>
            <w:vAlign w:val="center"/>
          </w:tcPr>
          <w:p w14:paraId="716F6482" w14:textId="77777777" w:rsidR="00FE7274" w:rsidRPr="0034501D" w:rsidRDefault="00FE7274" w:rsidP="00F342AA">
            <w:pPr>
              <w:tabs>
                <w:tab w:val="right" w:pos="1202"/>
              </w:tabs>
              <w:spacing w:after="0" w:line="240" w:lineRule="auto"/>
              <w:jc w:val="right"/>
              <w:outlineLvl w:val="0"/>
              <w:rPr>
                <w:rFonts w:eastAsia="Times New Roman" w:cs="Arial"/>
                <w:b/>
                <w:bCs/>
              </w:rPr>
            </w:pPr>
          </w:p>
        </w:tc>
        <w:tc>
          <w:tcPr>
            <w:tcW w:w="845" w:type="pct"/>
            <w:vAlign w:val="center"/>
          </w:tcPr>
          <w:p w14:paraId="596FCF6D" w14:textId="77777777" w:rsidR="00FE7274" w:rsidRPr="0034501D" w:rsidRDefault="00FE7274" w:rsidP="00F342AA">
            <w:pPr>
              <w:tabs>
                <w:tab w:val="right" w:pos="1202"/>
              </w:tabs>
              <w:spacing w:after="0" w:line="240" w:lineRule="auto"/>
              <w:jc w:val="right"/>
              <w:outlineLvl w:val="0"/>
              <w:rPr>
                <w:rFonts w:eastAsia="Times New Roman" w:cs="Arial"/>
                <w:b/>
                <w:bCs/>
              </w:rPr>
            </w:pPr>
          </w:p>
        </w:tc>
      </w:tr>
      <w:tr w:rsidR="00F73B29" w:rsidRPr="0034501D" w14:paraId="0133E397" w14:textId="77777777" w:rsidTr="00166751">
        <w:trPr>
          <w:trHeight w:val="302"/>
        </w:trPr>
        <w:tc>
          <w:tcPr>
            <w:tcW w:w="2616" w:type="pct"/>
          </w:tcPr>
          <w:p w14:paraId="03D7801E" w14:textId="77777777" w:rsidR="00FE7274" w:rsidRPr="0034501D" w:rsidRDefault="007B6934" w:rsidP="00F342AA">
            <w:pPr>
              <w:tabs>
                <w:tab w:val="right" w:pos="1202"/>
              </w:tabs>
              <w:spacing w:after="0" w:line="240" w:lineRule="auto"/>
              <w:outlineLvl w:val="0"/>
              <w:rPr>
                <w:rFonts w:eastAsia="Times New Roman" w:cs="Arial"/>
                <w:b/>
                <w:bCs/>
              </w:rPr>
            </w:pPr>
            <w:r w:rsidRPr="0034501D">
              <w:rPr>
                <w:rFonts w:cs="Arial"/>
                <w:b/>
                <w:bCs/>
              </w:rPr>
              <w:t>Assets</w:t>
            </w:r>
          </w:p>
        </w:tc>
        <w:tc>
          <w:tcPr>
            <w:tcW w:w="539" w:type="pct"/>
            <w:vAlign w:val="center"/>
          </w:tcPr>
          <w:p w14:paraId="7D5AA2A3" w14:textId="77777777" w:rsidR="00FE7274" w:rsidRPr="0034501D" w:rsidRDefault="00FE7274" w:rsidP="00F342AA">
            <w:pPr>
              <w:tabs>
                <w:tab w:val="right" w:pos="1202"/>
              </w:tabs>
              <w:spacing w:after="0" w:line="240" w:lineRule="auto"/>
              <w:jc w:val="center"/>
              <w:outlineLvl w:val="0"/>
              <w:rPr>
                <w:rFonts w:eastAsia="Times New Roman" w:cs="Arial"/>
                <w:b/>
                <w:bCs/>
              </w:rPr>
            </w:pPr>
          </w:p>
        </w:tc>
        <w:tc>
          <w:tcPr>
            <w:tcW w:w="847" w:type="pct"/>
            <w:vAlign w:val="center"/>
          </w:tcPr>
          <w:p w14:paraId="191E39B5" w14:textId="77777777" w:rsidR="00FE7274" w:rsidRPr="0034501D" w:rsidRDefault="00FE7274" w:rsidP="00F342AA">
            <w:pPr>
              <w:tabs>
                <w:tab w:val="right" w:pos="1202"/>
              </w:tabs>
              <w:spacing w:after="0" w:line="240" w:lineRule="auto"/>
              <w:jc w:val="right"/>
              <w:outlineLvl w:val="0"/>
              <w:rPr>
                <w:rFonts w:eastAsia="Times New Roman" w:cs="Arial"/>
                <w:b/>
                <w:bCs/>
              </w:rPr>
            </w:pPr>
          </w:p>
        </w:tc>
        <w:tc>
          <w:tcPr>
            <w:tcW w:w="153" w:type="pct"/>
            <w:vAlign w:val="center"/>
          </w:tcPr>
          <w:p w14:paraId="37989D36" w14:textId="77777777" w:rsidR="00FE7274" w:rsidRPr="0034501D" w:rsidRDefault="00FE7274" w:rsidP="00F342AA">
            <w:pPr>
              <w:tabs>
                <w:tab w:val="right" w:pos="1202"/>
              </w:tabs>
              <w:spacing w:after="0" w:line="240" w:lineRule="auto"/>
              <w:jc w:val="right"/>
              <w:outlineLvl w:val="0"/>
              <w:rPr>
                <w:rFonts w:eastAsia="Times New Roman" w:cs="Arial"/>
                <w:b/>
                <w:bCs/>
              </w:rPr>
            </w:pPr>
          </w:p>
        </w:tc>
        <w:tc>
          <w:tcPr>
            <w:tcW w:w="845" w:type="pct"/>
            <w:vAlign w:val="center"/>
          </w:tcPr>
          <w:p w14:paraId="74D3ECE4" w14:textId="77777777" w:rsidR="00FE7274" w:rsidRPr="0034501D" w:rsidRDefault="00FE7274" w:rsidP="00F342AA">
            <w:pPr>
              <w:tabs>
                <w:tab w:val="right" w:pos="1202"/>
              </w:tabs>
              <w:spacing w:after="0" w:line="240" w:lineRule="auto"/>
              <w:jc w:val="right"/>
              <w:outlineLvl w:val="0"/>
              <w:rPr>
                <w:rFonts w:eastAsia="Times New Roman" w:cs="Arial"/>
                <w:b/>
                <w:bCs/>
              </w:rPr>
            </w:pPr>
          </w:p>
        </w:tc>
      </w:tr>
      <w:tr w:rsidR="00F82E2C" w:rsidRPr="0034501D" w14:paraId="000AC301" w14:textId="77777777" w:rsidTr="005444AA">
        <w:trPr>
          <w:trHeight w:val="302"/>
        </w:trPr>
        <w:tc>
          <w:tcPr>
            <w:tcW w:w="2616" w:type="pct"/>
            <w:vAlign w:val="bottom"/>
          </w:tcPr>
          <w:p w14:paraId="3EAEB59A" w14:textId="77777777" w:rsidR="00F82E2C" w:rsidRPr="0034501D" w:rsidRDefault="00F82E2C" w:rsidP="00F82E2C">
            <w:pPr>
              <w:tabs>
                <w:tab w:val="right" w:pos="1202"/>
              </w:tabs>
              <w:spacing w:after="0" w:line="240" w:lineRule="auto"/>
              <w:outlineLvl w:val="0"/>
              <w:rPr>
                <w:rFonts w:eastAsia="Times New Roman" w:cs="Arial"/>
              </w:rPr>
            </w:pPr>
            <w:r w:rsidRPr="0034501D">
              <w:rPr>
                <w:rFonts w:cs="Arial"/>
              </w:rPr>
              <w:t>Cash on hand and due from banks</w:t>
            </w:r>
          </w:p>
        </w:tc>
        <w:tc>
          <w:tcPr>
            <w:tcW w:w="539" w:type="pct"/>
            <w:vAlign w:val="center"/>
          </w:tcPr>
          <w:p w14:paraId="4F79B30E" w14:textId="77777777" w:rsidR="00F82E2C" w:rsidRPr="0034501D" w:rsidRDefault="00F82E2C" w:rsidP="00F82E2C">
            <w:pPr>
              <w:tabs>
                <w:tab w:val="right" w:pos="1202"/>
              </w:tabs>
              <w:spacing w:after="0" w:line="240" w:lineRule="auto"/>
              <w:jc w:val="center"/>
              <w:outlineLvl w:val="0"/>
              <w:rPr>
                <w:rFonts w:eastAsia="Times New Roman" w:cs="Arial"/>
                <w:snapToGrid w:val="0"/>
              </w:rPr>
            </w:pPr>
            <w:r w:rsidRPr="0034501D">
              <w:rPr>
                <w:rFonts w:eastAsia="Times New Roman" w:cs="Arial"/>
                <w:snapToGrid w:val="0"/>
              </w:rPr>
              <w:t>8</w:t>
            </w:r>
          </w:p>
        </w:tc>
        <w:tc>
          <w:tcPr>
            <w:tcW w:w="847" w:type="pct"/>
            <w:tcBorders>
              <w:top w:val="nil"/>
              <w:left w:val="nil"/>
              <w:bottom w:val="nil"/>
              <w:right w:val="nil"/>
            </w:tcBorders>
            <w:shd w:val="clear" w:color="auto" w:fill="auto"/>
            <w:vAlign w:val="bottom"/>
          </w:tcPr>
          <w:p w14:paraId="0AD70ACA" w14:textId="3D090E9D" w:rsidR="00F82E2C" w:rsidRPr="00CA37C8" w:rsidRDefault="00F82E2C" w:rsidP="00F82E2C">
            <w:pPr>
              <w:tabs>
                <w:tab w:val="right" w:pos="1202"/>
              </w:tabs>
              <w:spacing w:after="0" w:line="240" w:lineRule="auto"/>
              <w:jc w:val="right"/>
              <w:outlineLvl w:val="0"/>
              <w:rPr>
                <w:rFonts w:eastAsia="Times New Roman" w:cs="Arial"/>
                <w:snapToGrid w:val="0"/>
              </w:rPr>
            </w:pPr>
            <w:r w:rsidRPr="00CE0613">
              <w:rPr>
                <w:rFonts w:cs="Arial"/>
                <w:color w:val="000000"/>
              </w:rPr>
              <w:t>739</w:t>
            </w:r>
            <w:r>
              <w:rPr>
                <w:rFonts w:cs="Arial"/>
                <w:color w:val="000000"/>
              </w:rPr>
              <w:t>,</w:t>
            </w:r>
            <w:r w:rsidRPr="00CE0613">
              <w:rPr>
                <w:rFonts w:cs="Arial"/>
                <w:color w:val="000000"/>
              </w:rPr>
              <w:t>917</w:t>
            </w:r>
          </w:p>
        </w:tc>
        <w:tc>
          <w:tcPr>
            <w:tcW w:w="153" w:type="pct"/>
            <w:vAlign w:val="bottom"/>
          </w:tcPr>
          <w:p w14:paraId="76C58DAB" w14:textId="77777777" w:rsidR="00F82E2C" w:rsidRPr="0034501D" w:rsidRDefault="00F82E2C" w:rsidP="00F82E2C">
            <w:pPr>
              <w:tabs>
                <w:tab w:val="right" w:pos="1202"/>
              </w:tabs>
              <w:spacing w:after="0" w:line="240" w:lineRule="auto"/>
              <w:jc w:val="right"/>
              <w:outlineLvl w:val="0"/>
              <w:rPr>
                <w:rFonts w:eastAsia="Times New Roman" w:cs="Arial"/>
                <w:snapToGrid w:val="0"/>
              </w:rPr>
            </w:pPr>
          </w:p>
        </w:tc>
        <w:tc>
          <w:tcPr>
            <w:tcW w:w="845" w:type="pct"/>
            <w:shd w:val="clear" w:color="auto" w:fill="auto"/>
            <w:vAlign w:val="bottom"/>
          </w:tcPr>
          <w:p w14:paraId="13D8D25C" w14:textId="77777777" w:rsidR="00F82E2C" w:rsidRPr="00D633A5" w:rsidRDefault="00F82E2C" w:rsidP="00F82E2C">
            <w:pPr>
              <w:tabs>
                <w:tab w:val="right" w:pos="1202"/>
              </w:tabs>
              <w:spacing w:after="0" w:line="240" w:lineRule="auto"/>
              <w:jc w:val="right"/>
              <w:outlineLvl w:val="0"/>
              <w:rPr>
                <w:rFonts w:eastAsia="Times New Roman" w:cs="Arial"/>
                <w:snapToGrid w:val="0"/>
              </w:rPr>
            </w:pPr>
            <w:r>
              <w:rPr>
                <w:rFonts w:cs="Arial"/>
                <w:color w:val="000000"/>
              </w:rPr>
              <w:t>491,246</w:t>
            </w:r>
          </w:p>
        </w:tc>
      </w:tr>
      <w:tr w:rsidR="00F82E2C" w:rsidRPr="0034501D" w14:paraId="64035194" w14:textId="77777777" w:rsidTr="005444AA">
        <w:trPr>
          <w:trHeight w:val="302"/>
        </w:trPr>
        <w:tc>
          <w:tcPr>
            <w:tcW w:w="2616" w:type="pct"/>
            <w:vAlign w:val="bottom"/>
          </w:tcPr>
          <w:p w14:paraId="37E7BDF4" w14:textId="77777777" w:rsidR="00F82E2C" w:rsidRPr="0034501D" w:rsidRDefault="00F82E2C" w:rsidP="00F82E2C">
            <w:pPr>
              <w:tabs>
                <w:tab w:val="right" w:pos="1202"/>
              </w:tabs>
              <w:spacing w:after="0" w:line="240" w:lineRule="auto"/>
              <w:outlineLvl w:val="0"/>
              <w:rPr>
                <w:rFonts w:eastAsia="Times New Roman" w:cs="Arial"/>
              </w:rPr>
            </w:pPr>
            <w:r w:rsidRPr="0034501D">
              <w:rPr>
                <w:rFonts w:cs="Arial"/>
              </w:rPr>
              <w:t>Deposits with other banks</w:t>
            </w:r>
          </w:p>
        </w:tc>
        <w:tc>
          <w:tcPr>
            <w:tcW w:w="539" w:type="pct"/>
            <w:vAlign w:val="center"/>
          </w:tcPr>
          <w:p w14:paraId="506F0325" w14:textId="77777777" w:rsidR="00F82E2C" w:rsidRPr="0034501D" w:rsidRDefault="00F82E2C" w:rsidP="00F82E2C">
            <w:pPr>
              <w:tabs>
                <w:tab w:val="right" w:pos="1202"/>
              </w:tabs>
              <w:spacing w:after="0" w:line="240" w:lineRule="auto"/>
              <w:jc w:val="center"/>
              <w:outlineLvl w:val="0"/>
              <w:rPr>
                <w:rFonts w:eastAsia="Times New Roman" w:cs="Arial"/>
                <w:snapToGrid w:val="0"/>
              </w:rPr>
            </w:pPr>
          </w:p>
        </w:tc>
        <w:tc>
          <w:tcPr>
            <w:tcW w:w="847" w:type="pct"/>
            <w:tcBorders>
              <w:top w:val="nil"/>
              <w:left w:val="nil"/>
              <w:bottom w:val="nil"/>
              <w:right w:val="nil"/>
            </w:tcBorders>
            <w:shd w:val="clear" w:color="auto" w:fill="auto"/>
            <w:vAlign w:val="bottom"/>
          </w:tcPr>
          <w:p w14:paraId="4DD8912F" w14:textId="220FCAF9" w:rsidR="00F82E2C" w:rsidRPr="00CA37C8" w:rsidRDefault="00F82E2C" w:rsidP="00F82E2C">
            <w:pPr>
              <w:tabs>
                <w:tab w:val="right" w:pos="1202"/>
              </w:tabs>
              <w:spacing w:after="0" w:line="240" w:lineRule="auto"/>
              <w:jc w:val="right"/>
              <w:outlineLvl w:val="0"/>
              <w:rPr>
                <w:rFonts w:eastAsia="Times New Roman" w:cs="Arial"/>
                <w:snapToGrid w:val="0"/>
              </w:rPr>
            </w:pPr>
            <w:r w:rsidRPr="00CE0613">
              <w:rPr>
                <w:rFonts w:cs="Arial"/>
                <w:color w:val="000000"/>
              </w:rPr>
              <w:t>76</w:t>
            </w:r>
          </w:p>
        </w:tc>
        <w:tc>
          <w:tcPr>
            <w:tcW w:w="153" w:type="pct"/>
            <w:vAlign w:val="bottom"/>
          </w:tcPr>
          <w:p w14:paraId="0846A3C0" w14:textId="77777777" w:rsidR="00F82E2C" w:rsidRPr="0034501D" w:rsidRDefault="00F82E2C" w:rsidP="00F82E2C">
            <w:pPr>
              <w:tabs>
                <w:tab w:val="right" w:pos="1202"/>
              </w:tabs>
              <w:spacing w:after="0" w:line="240" w:lineRule="auto"/>
              <w:jc w:val="right"/>
              <w:outlineLvl w:val="0"/>
              <w:rPr>
                <w:rFonts w:eastAsia="Times New Roman" w:cs="Arial"/>
                <w:snapToGrid w:val="0"/>
              </w:rPr>
            </w:pPr>
          </w:p>
        </w:tc>
        <w:tc>
          <w:tcPr>
            <w:tcW w:w="845" w:type="pct"/>
            <w:shd w:val="clear" w:color="auto" w:fill="auto"/>
            <w:vAlign w:val="bottom"/>
          </w:tcPr>
          <w:p w14:paraId="1904B0E7" w14:textId="77777777" w:rsidR="00F82E2C" w:rsidRPr="00D633A5" w:rsidRDefault="00F82E2C" w:rsidP="00F82E2C">
            <w:pPr>
              <w:tabs>
                <w:tab w:val="right" w:pos="1202"/>
              </w:tabs>
              <w:spacing w:after="0" w:line="240" w:lineRule="auto"/>
              <w:jc w:val="right"/>
              <w:outlineLvl w:val="0"/>
              <w:rPr>
                <w:rFonts w:eastAsia="Times New Roman" w:cs="Arial"/>
                <w:snapToGrid w:val="0"/>
              </w:rPr>
            </w:pPr>
            <w:r>
              <w:rPr>
                <w:rFonts w:cs="Arial"/>
                <w:color w:val="000000"/>
              </w:rPr>
              <w:t>23,872</w:t>
            </w:r>
          </w:p>
        </w:tc>
      </w:tr>
      <w:tr w:rsidR="00F82E2C" w:rsidRPr="0034501D" w14:paraId="678DECAC" w14:textId="77777777" w:rsidTr="005444AA">
        <w:trPr>
          <w:trHeight w:val="302"/>
        </w:trPr>
        <w:tc>
          <w:tcPr>
            <w:tcW w:w="2616" w:type="pct"/>
            <w:vAlign w:val="bottom"/>
          </w:tcPr>
          <w:p w14:paraId="6E5D756D" w14:textId="77777777" w:rsidR="00F82E2C" w:rsidRPr="0034501D" w:rsidRDefault="00F82E2C" w:rsidP="00F82E2C">
            <w:pPr>
              <w:tabs>
                <w:tab w:val="right" w:pos="1202"/>
              </w:tabs>
              <w:spacing w:after="0" w:line="240" w:lineRule="auto"/>
              <w:outlineLvl w:val="0"/>
              <w:rPr>
                <w:rFonts w:eastAsia="Times New Roman" w:cs="Arial"/>
              </w:rPr>
            </w:pPr>
            <w:r w:rsidRPr="0034501D">
              <w:rPr>
                <w:rFonts w:cs="Arial"/>
              </w:rPr>
              <w:t xml:space="preserve">Loans to </w:t>
            </w:r>
            <w:r>
              <w:rPr>
                <w:rFonts w:cs="Arial"/>
              </w:rPr>
              <w:t>financial institutions</w:t>
            </w:r>
          </w:p>
        </w:tc>
        <w:tc>
          <w:tcPr>
            <w:tcW w:w="539" w:type="pct"/>
            <w:vAlign w:val="center"/>
          </w:tcPr>
          <w:p w14:paraId="126ECE90" w14:textId="77777777" w:rsidR="00F82E2C" w:rsidRPr="0034501D" w:rsidRDefault="00F82E2C" w:rsidP="00F82E2C">
            <w:pPr>
              <w:tabs>
                <w:tab w:val="right" w:pos="1202"/>
              </w:tabs>
              <w:spacing w:after="0" w:line="240" w:lineRule="auto"/>
              <w:jc w:val="center"/>
              <w:outlineLvl w:val="0"/>
              <w:rPr>
                <w:rFonts w:eastAsia="Times New Roman" w:cs="Arial"/>
                <w:snapToGrid w:val="0"/>
              </w:rPr>
            </w:pPr>
            <w:r w:rsidRPr="0034501D">
              <w:rPr>
                <w:rFonts w:eastAsia="Times New Roman" w:cs="Arial"/>
                <w:snapToGrid w:val="0"/>
              </w:rPr>
              <w:t>9</w:t>
            </w:r>
          </w:p>
        </w:tc>
        <w:tc>
          <w:tcPr>
            <w:tcW w:w="847" w:type="pct"/>
            <w:tcBorders>
              <w:top w:val="nil"/>
              <w:left w:val="nil"/>
              <w:bottom w:val="nil"/>
              <w:right w:val="nil"/>
            </w:tcBorders>
            <w:shd w:val="clear" w:color="auto" w:fill="auto"/>
            <w:vAlign w:val="bottom"/>
          </w:tcPr>
          <w:p w14:paraId="3FF71672" w14:textId="3C28A0DA" w:rsidR="00F82E2C" w:rsidRPr="00CA37C8" w:rsidRDefault="00F82E2C" w:rsidP="00F82E2C">
            <w:pPr>
              <w:tabs>
                <w:tab w:val="right" w:pos="1202"/>
              </w:tabs>
              <w:spacing w:after="0" w:line="240" w:lineRule="auto"/>
              <w:jc w:val="right"/>
              <w:outlineLvl w:val="0"/>
              <w:rPr>
                <w:rFonts w:eastAsia="Times New Roman" w:cs="Arial"/>
                <w:snapToGrid w:val="0"/>
              </w:rPr>
            </w:pPr>
            <w:r w:rsidRPr="00CE0613">
              <w:rPr>
                <w:rFonts w:cs="Arial"/>
                <w:color w:val="000000"/>
              </w:rPr>
              <w:t>12</w:t>
            </w:r>
            <w:r>
              <w:rPr>
                <w:rFonts w:cs="Arial"/>
                <w:color w:val="000000"/>
              </w:rPr>
              <w:t>,</w:t>
            </w:r>
            <w:r w:rsidRPr="00CE0613">
              <w:rPr>
                <w:rFonts w:cs="Arial"/>
                <w:color w:val="000000"/>
              </w:rPr>
              <w:t>247</w:t>
            </w:r>
            <w:r>
              <w:rPr>
                <w:rFonts w:cs="Arial"/>
                <w:color w:val="000000"/>
              </w:rPr>
              <w:t>,</w:t>
            </w:r>
            <w:r w:rsidRPr="00CE0613">
              <w:rPr>
                <w:rFonts w:cs="Arial"/>
                <w:color w:val="000000"/>
              </w:rPr>
              <w:t>287</w:t>
            </w:r>
          </w:p>
        </w:tc>
        <w:tc>
          <w:tcPr>
            <w:tcW w:w="153" w:type="pct"/>
            <w:vAlign w:val="bottom"/>
          </w:tcPr>
          <w:p w14:paraId="0524ECBC" w14:textId="77777777" w:rsidR="00F82E2C" w:rsidRPr="0034501D" w:rsidRDefault="00F82E2C" w:rsidP="00F82E2C">
            <w:pPr>
              <w:tabs>
                <w:tab w:val="right" w:pos="1202"/>
              </w:tabs>
              <w:spacing w:after="0" w:line="240" w:lineRule="auto"/>
              <w:jc w:val="right"/>
              <w:outlineLvl w:val="0"/>
              <w:rPr>
                <w:rFonts w:eastAsia="Times New Roman" w:cs="Arial"/>
                <w:snapToGrid w:val="0"/>
              </w:rPr>
            </w:pPr>
          </w:p>
        </w:tc>
        <w:tc>
          <w:tcPr>
            <w:tcW w:w="845" w:type="pct"/>
            <w:shd w:val="clear" w:color="auto" w:fill="auto"/>
            <w:vAlign w:val="bottom"/>
          </w:tcPr>
          <w:p w14:paraId="749A8930" w14:textId="77777777" w:rsidR="00F82E2C" w:rsidRPr="00D633A5" w:rsidRDefault="00F82E2C" w:rsidP="00F82E2C">
            <w:pPr>
              <w:tabs>
                <w:tab w:val="right" w:pos="1202"/>
              </w:tabs>
              <w:spacing w:after="0" w:line="240" w:lineRule="auto"/>
              <w:jc w:val="right"/>
              <w:outlineLvl w:val="0"/>
              <w:rPr>
                <w:rFonts w:eastAsia="Times New Roman" w:cs="Arial"/>
                <w:snapToGrid w:val="0"/>
              </w:rPr>
            </w:pPr>
            <w:r>
              <w:rPr>
                <w:rFonts w:cs="Arial"/>
                <w:color w:val="000000"/>
              </w:rPr>
              <w:t>11,889,111</w:t>
            </w:r>
          </w:p>
        </w:tc>
      </w:tr>
      <w:tr w:rsidR="00F82E2C" w:rsidRPr="0034501D" w14:paraId="134E0F89" w14:textId="77777777" w:rsidTr="005444AA">
        <w:trPr>
          <w:trHeight w:val="302"/>
        </w:trPr>
        <w:tc>
          <w:tcPr>
            <w:tcW w:w="2616" w:type="pct"/>
            <w:vAlign w:val="bottom"/>
          </w:tcPr>
          <w:p w14:paraId="4ABD749A" w14:textId="77777777" w:rsidR="00F82E2C" w:rsidRPr="0034501D" w:rsidRDefault="00F82E2C" w:rsidP="00F82E2C">
            <w:pPr>
              <w:tabs>
                <w:tab w:val="right" w:pos="1202"/>
              </w:tabs>
              <w:spacing w:after="0" w:line="240" w:lineRule="auto"/>
              <w:outlineLvl w:val="0"/>
              <w:rPr>
                <w:rFonts w:eastAsia="Times New Roman" w:cs="Arial"/>
              </w:rPr>
            </w:pPr>
            <w:r w:rsidRPr="0034501D">
              <w:rPr>
                <w:rFonts w:cs="Arial"/>
              </w:rPr>
              <w:t>Loans to other customers</w:t>
            </w:r>
          </w:p>
        </w:tc>
        <w:tc>
          <w:tcPr>
            <w:tcW w:w="539" w:type="pct"/>
            <w:vAlign w:val="center"/>
          </w:tcPr>
          <w:p w14:paraId="612F03EC" w14:textId="77777777" w:rsidR="00F82E2C" w:rsidRPr="0034501D" w:rsidRDefault="00F82E2C" w:rsidP="00F82E2C">
            <w:pPr>
              <w:tabs>
                <w:tab w:val="right" w:pos="1202"/>
              </w:tabs>
              <w:spacing w:after="0" w:line="240" w:lineRule="auto"/>
              <w:jc w:val="center"/>
              <w:outlineLvl w:val="0"/>
              <w:rPr>
                <w:rFonts w:eastAsia="Times New Roman" w:cs="Arial"/>
                <w:spacing w:val="-2"/>
              </w:rPr>
            </w:pPr>
            <w:r w:rsidRPr="0034501D">
              <w:rPr>
                <w:rFonts w:eastAsia="Times New Roman" w:cs="Arial"/>
                <w:spacing w:val="-2"/>
              </w:rPr>
              <w:t>10</w:t>
            </w:r>
          </w:p>
        </w:tc>
        <w:tc>
          <w:tcPr>
            <w:tcW w:w="847" w:type="pct"/>
            <w:tcBorders>
              <w:top w:val="nil"/>
              <w:left w:val="nil"/>
              <w:bottom w:val="nil"/>
              <w:right w:val="nil"/>
            </w:tcBorders>
            <w:shd w:val="clear" w:color="auto" w:fill="auto"/>
            <w:vAlign w:val="bottom"/>
          </w:tcPr>
          <w:p w14:paraId="63B6559D" w14:textId="42816833" w:rsidR="00F82E2C" w:rsidRPr="00CA37C8" w:rsidRDefault="00F82E2C" w:rsidP="00F82E2C">
            <w:pPr>
              <w:tabs>
                <w:tab w:val="right" w:pos="1202"/>
              </w:tabs>
              <w:spacing w:after="0" w:line="240" w:lineRule="auto"/>
              <w:jc w:val="right"/>
              <w:outlineLvl w:val="0"/>
              <w:rPr>
                <w:rFonts w:eastAsia="Times New Roman" w:cs="Arial"/>
                <w:spacing w:val="-2"/>
              </w:rPr>
            </w:pPr>
            <w:r w:rsidRPr="00CE0613">
              <w:rPr>
                <w:rFonts w:cs="Arial"/>
                <w:color w:val="000000"/>
              </w:rPr>
              <w:t>11</w:t>
            </w:r>
            <w:r>
              <w:rPr>
                <w:rFonts w:cs="Arial"/>
                <w:color w:val="000000"/>
              </w:rPr>
              <w:t>,</w:t>
            </w:r>
            <w:r w:rsidRPr="00CE0613">
              <w:rPr>
                <w:rFonts w:cs="Arial"/>
                <w:color w:val="000000"/>
              </w:rPr>
              <w:t>913</w:t>
            </w:r>
            <w:r>
              <w:rPr>
                <w:rFonts w:cs="Arial"/>
                <w:color w:val="000000"/>
              </w:rPr>
              <w:t>,</w:t>
            </w:r>
            <w:r w:rsidRPr="00CE0613">
              <w:rPr>
                <w:rFonts w:cs="Arial"/>
                <w:color w:val="000000"/>
              </w:rPr>
              <w:t>212</w:t>
            </w:r>
          </w:p>
        </w:tc>
        <w:tc>
          <w:tcPr>
            <w:tcW w:w="153" w:type="pct"/>
            <w:vAlign w:val="bottom"/>
          </w:tcPr>
          <w:p w14:paraId="64FF62EA" w14:textId="77777777" w:rsidR="00F82E2C" w:rsidRPr="0034501D" w:rsidRDefault="00F82E2C" w:rsidP="00F82E2C">
            <w:pPr>
              <w:tabs>
                <w:tab w:val="right" w:pos="1202"/>
              </w:tabs>
              <w:spacing w:after="0" w:line="240" w:lineRule="auto"/>
              <w:jc w:val="right"/>
              <w:outlineLvl w:val="0"/>
              <w:rPr>
                <w:rFonts w:eastAsia="Times New Roman" w:cs="Arial"/>
                <w:spacing w:val="-2"/>
              </w:rPr>
            </w:pPr>
          </w:p>
        </w:tc>
        <w:tc>
          <w:tcPr>
            <w:tcW w:w="845" w:type="pct"/>
            <w:shd w:val="clear" w:color="auto" w:fill="auto"/>
            <w:vAlign w:val="bottom"/>
          </w:tcPr>
          <w:p w14:paraId="3482A704" w14:textId="77777777" w:rsidR="00F82E2C" w:rsidRPr="00D633A5" w:rsidRDefault="00F82E2C" w:rsidP="00F82E2C">
            <w:pPr>
              <w:tabs>
                <w:tab w:val="right" w:pos="1202"/>
              </w:tabs>
              <w:spacing w:after="0" w:line="240" w:lineRule="auto"/>
              <w:jc w:val="right"/>
              <w:outlineLvl w:val="0"/>
              <w:rPr>
                <w:rFonts w:eastAsia="Times New Roman" w:cs="Arial"/>
                <w:snapToGrid w:val="0"/>
              </w:rPr>
            </w:pPr>
            <w:r>
              <w:rPr>
                <w:rFonts w:cs="Arial"/>
                <w:color w:val="000000"/>
              </w:rPr>
              <w:t>11,511,194</w:t>
            </w:r>
          </w:p>
        </w:tc>
      </w:tr>
      <w:tr w:rsidR="00F82E2C" w:rsidRPr="0034501D" w14:paraId="51100F24" w14:textId="77777777" w:rsidTr="005444AA">
        <w:trPr>
          <w:trHeight w:val="315"/>
        </w:trPr>
        <w:tc>
          <w:tcPr>
            <w:tcW w:w="2616" w:type="pct"/>
            <w:vAlign w:val="bottom"/>
          </w:tcPr>
          <w:p w14:paraId="34B6AE65" w14:textId="77777777" w:rsidR="00F82E2C" w:rsidRPr="0034501D" w:rsidRDefault="00F82E2C" w:rsidP="00F82E2C">
            <w:pPr>
              <w:tabs>
                <w:tab w:val="right" w:pos="1202"/>
              </w:tabs>
              <w:spacing w:after="0" w:line="240" w:lineRule="auto"/>
              <w:outlineLvl w:val="0"/>
              <w:rPr>
                <w:rFonts w:eastAsia="Times New Roman" w:cs="Arial"/>
              </w:rPr>
            </w:pPr>
            <w:r w:rsidRPr="0034501D">
              <w:rPr>
                <w:rFonts w:cs="Arial"/>
              </w:rPr>
              <w:t>Financial assets at fair value through profit or loss</w:t>
            </w:r>
          </w:p>
        </w:tc>
        <w:tc>
          <w:tcPr>
            <w:tcW w:w="539" w:type="pct"/>
            <w:vAlign w:val="center"/>
          </w:tcPr>
          <w:p w14:paraId="5F4D384C" w14:textId="77777777" w:rsidR="00F82E2C" w:rsidRPr="0034501D" w:rsidRDefault="00F82E2C" w:rsidP="00F82E2C">
            <w:pPr>
              <w:tabs>
                <w:tab w:val="right" w:pos="1202"/>
              </w:tabs>
              <w:spacing w:after="0" w:line="240" w:lineRule="auto"/>
              <w:jc w:val="center"/>
              <w:outlineLvl w:val="0"/>
              <w:rPr>
                <w:rFonts w:eastAsia="Times New Roman" w:cs="Arial"/>
                <w:snapToGrid w:val="0"/>
              </w:rPr>
            </w:pPr>
          </w:p>
        </w:tc>
        <w:tc>
          <w:tcPr>
            <w:tcW w:w="847" w:type="pct"/>
            <w:tcBorders>
              <w:top w:val="nil"/>
              <w:left w:val="nil"/>
              <w:bottom w:val="nil"/>
              <w:right w:val="nil"/>
            </w:tcBorders>
            <w:shd w:val="clear" w:color="auto" w:fill="auto"/>
            <w:vAlign w:val="bottom"/>
          </w:tcPr>
          <w:p w14:paraId="3075B31F" w14:textId="79875127" w:rsidR="00F82E2C" w:rsidRPr="00CA37C8" w:rsidRDefault="00F82E2C" w:rsidP="00F82E2C">
            <w:pPr>
              <w:tabs>
                <w:tab w:val="right" w:pos="1202"/>
              </w:tabs>
              <w:spacing w:after="0" w:line="240" w:lineRule="auto"/>
              <w:jc w:val="right"/>
              <w:outlineLvl w:val="0"/>
              <w:rPr>
                <w:rFonts w:eastAsia="Times New Roman" w:cs="Arial"/>
                <w:snapToGrid w:val="0"/>
              </w:rPr>
            </w:pPr>
            <w:r w:rsidRPr="00CE0613">
              <w:rPr>
                <w:rFonts w:cs="Arial"/>
                <w:color w:val="000000"/>
              </w:rPr>
              <w:t>288</w:t>
            </w:r>
          </w:p>
        </w:tc>
        <w:tc>
          <w:tcPr>
            <w:tcW w:w="153" w:type="pct"/>
            <w:vAlign w:val="bottom"/>
          </w:tcPr>
          <w:p w14:paraId="2E657B3D" w14:textId="77777777" w:rsidR="00F82E2C" w:rsidRPr="0034501D" w:rsidRDefault="00F82E2C" w:rsidP="00F82E2C">
            <w:pPr>
              <w:tabs>
                <w:tab w:val="right" w:pos="1202"/>
              </w:tabs>
              <w:spacing w:after="0" w:line="240" w:lineRule="auto"/>
              <w:jc w:val="right"/>
              <w:outlineLvl w:val="0"/>
              <w:rPr>
                <w:rFonts w:eastAsia="Times New Roman" w:cs="Arial"/>
                <w:snapToGrid w:val="0"/>
              </w:rPr>
            </w:pPr>
          </w:p>
        </w:tc>
        <w:tc>
          <w:tcPr>
            <w:tcW w:w="845" w:type="pct"/>
            <w:shd w:val="clear" w:color="auto" w:fill="auto"/>
            <w:vAlign w:val="bottom"/>
          </w:tcPr>
          <w:p w14:paraId="063597E0" w14:textId="77777777" w:rsidR="00F82E2C" w:rsidRPr="00D633A5" w:rsidRDefault="00F82E2C" w:rsidP="00F82E2C">
            <w:pPr>
              <w:tabs>
                <w:tab w:val="right" w:pos="1202"/>
              </w:tabs>
              <w:spacing w:after="0" w:line="240" w:lineRule="auto"/>
              <w:jc w:val="right"/>
              <w:outlineLvl w:val="0"/>
              <w:rPr>
                <w:rFonts w:eastAsia="Times New Roman" w:cs="Arial"/>
                <w:snapToGrid w:val="0"/>
              </w:rPr>
            </w:pPr>
            <w:r>
              <w:rPr>
                <w:rFonts w:cs="Arial"/>
                <w:color w:val="000000"/>
              </w:rPr>
              <w:t>286</w:t>
            </w:r>
          </w:p>
        </w:tc>
      </w:tr>
      <w:tr w:rsidR="00F82E2C" w:rsidRPr="0034501D" w14:paraId="440E827F" w14:textId="77777777" w:rsidTr="005444AA">
        <w:trPr>
          <w:trHeight w:val="302"/>
        </w:trPr>
        <w:tc>
          <w:tcPr>
            <w:tcW w:w="2616" w:type="pct"/>
            <w:vAlign w:val="bottom"/>
          </w:tcPr>
          <w:p w14:paraId="7021BCB4" w14:textId="77777777" w:rsidR="00F82E2C" w:rsidRPr="0034501D" w:rsidRDefault="00F82E2C" w:rsidP="00F82E2C">
            <w:pPr>
              <w:tabs>
                <w:tab w:val="right" w:pos="1202"/>
              </w:tabs>
              <w:spacing w:after="0" w:line="240" w:lineRule="auto"/>
              <w:outlineLvl w:val="0"/>
              <w:rPr>
                <w:rFonts w:eastAsia="Times New Roman" w:cs="Arial"/>
              </w:rPr>
            </w:pPr>
            <w:r w:rsidRPr="0034501D">
              <w:rPr>
                <w:rFonts w:cs="Arial"/>
              </w:rPr>
              <w:t>Assets available for sale</w:t>
            </w:r>
          </w:p>
        </w:tc>
        <w:tc>
          <w:tcPr>
            <w:tcW w:w="539" w:type="pct"/>
            <w:vAlign w:val="center"/>
          </w:tcPr>
          <w:p w14:paraId="5951436B" w14:textId="77777777" w:rsidR="00F82E2C" w:rsidRPr="0034501D" w:rsidRDefault="00F82E2C" w:rsidP="00F82E2C">
            <w:pPr>
              <w:tabs>
                <w:tab w:val="right" w:pos="1202"/>
              </w:tabs>
              <w:spacing w:after="0" w:line="240" w:lineRule="auto"/>
              <w:jc w:val="center"/>
              <w:outlineLvl w:val="0"/>
              <w:rPr>
                <w:rFonts w:eastAsia="Times New Roman" w:cs="Arial"/>
                <w:snapToGrid w:val="0"/>
              </w:rPr>
            </w:pPr>
            <w:r w:rsidRPr="0034501D">
              <w:rPr>
                <w:rFonts w:eastAsia="Times New Roman" w:cs="Arial"/>
                <w:snapToGrid w:val="0"/>
              </w:rPr>
              <w:t>11</w:t>
            </w:r>
          </w:p>
        </w:tc>
        <w:tc>
          <w:tcPr>
            <w:tcW w:w="847" w:type="pct"/>
            <w:tcBorders>
              <w:top w:val="nil"/>
              <w:left w:val="nil"/>
              <w:right w:val="nil"/>
            </w:tcBorders>
            <w:shd w:val="clear" w:color="auto" w:fill="auto"/>
            <w:vAlign w:val="bottom"/>
          </w:tcPr>
          <w:p w14:paraId="1D944DCB" w14:textId="294D24B4" w:rsidR="00F82E2C" w:rsidRPr="00CA37C8" w:rsidRDefault="00F82E2C" w:rsidP="00F82E2C">
            <w:pPr>
              <w:tabs>
                <w:tab w:val="right" w:pos="1202"/>
              </w:tabs>
              <w:spacing w:after="0" w:line="240" w:lineRule="auto"/>
              <w:jc w:val="right"/>
              <w:outlineLvl w:val="0"/>
              <w:rPr>
                <w:rFonts w:eastAsia="Times New Roman" w:cs="Arial"/>
                <w:snapToGrid w:val="0"/>
              </w:rPr>
            </w:pPr>
            <w:r w:rsidRPr="00CE0613">
              <w:rPr>
                <w:rFonts w:cs="Arial"/>
                <w:color w:val="000000"/>
              </w:rPr>
              <w:t>3</w:t>
            </w:r>
            <w:r>
              <w:rPr>
                <w:rFonts w:cs="Arial"/>
                <w:color w:val="000000"/>
              </w:rPr>
              <w:t>,</w:t>
            </w:r>
            <w:r w:rsidRPr="00CE0613">
              <w:rPr>
                <w:rFonts w:cs="Arial"/>
                <w:color w:val="000000"/>
              </w:rPr>
              <w:t>314</w:t>
            </w:r>
            <w:r>
              <w:rPr>
                <w:rFonts w:cs="Arial"/>
                <w:color w:val="000000"/>
              </w:rPr>
              <w:t>,</w:t>
            </w:r>
            <w:r w:rsidRPr="00CE0613">
              <w:rPr>
                <w:rFonts w:cs="Arial"/>
                <w:color w:val="000000"/>
              </w:rPr>
              <w:t>045</w:t>
            </w:r>
          </w:p>
        </w:tc>
        <w:tc>
          <w:tcPr>
            <w:tcW w:w="153" w:type="pct"/>
            <w:vAlign w:val="bottom"/>
          </w:tcPr>
          <w:p w14:paraId="5D792A21" w14:textId="77777777" w:rsidR="00F82E2C" w:rsidRPr="0034501D" w:rsidRDefault="00F82E2C" w:rsidP="00F82E2C">
            <w:pPr>
              <w:tabs>
                <w:tab w:val="right" w:pos="1202"/>
              </w:tabs>
              <w:spacing w:after="0" w:line="240" w:lineRule="auto"/>
              <w:jc w:val="right"/>
              <w:outlineLvl w:val="0"/>
              <w:rPr>
                <w:rFonts w:eastAsia="Times New Roman" w:cs="Arial"/>
                <w:snapToGrid w:val="0"/>
              </w:rPr>
            </w:pPr>
          </w:p>
        </w:tc>
        <w:tc>
          <w:tcPr>
            <w:tcW w:w="845" w:type="pct"/>
            <w:vAlign w:val="bottom"/>
          </w:tcPr>
          <w:p w14:paraId="0C521579" w14:textId="77777777" w:rsidR="00F82E2C" w:rsidRPr="00D633A5" w:rsidRDefault="00F82E2C" w:rsidP="00F82E2C">
            <w:pPr>
              <w:tabs>
                <w:tab w:val="right" w:pos="1202"/>
              </w:tabs>
              <w:spacing w:after="0" w:line="240" w:lineRule="auto"/>
              <w:jc w:val="right"/>
              <w:outlineLvl w:val="0"/>
              <w:rPr>
                <w:rFonts w:eastAsia="Times New Roman" w:cs="Arial"/>
                <w:snapToGrid w:val="0"/>
              </w:rPr>
            </w:pPr>
            <w:r>
              <w:rPr>
                <w:rFonts w:cs="Arial"/>
                <w:snapToGrid w:val="0"/>
              </w:rPr>
              <w:t>3,390,034</w:t>
            </w:r>
          </w:p>
        </w:tc>
      </w:tr>
      <w:tr w:rsidR="00F82E2C" w:rsidRPr="0034501D" w14:paraId="7BC7425B" w14:textId="77777777" w:rsidTr="005444AA">
        <w:trPr>
          <w:trHeight w:val="302"/>
        </w:trPr>
        <w:tc>
          <w:tcPr>
            <w:tcW w:w="2616" w:type="pct"/>
            <w:vAlign w:val="bottom"/>
          </w:tcPr>
          <w:p w14:paraId="7BB11D2C" w14:textId="77777777" w:rsidR="00F82E2C" w:rsidRPr="0034501D" w:rsidRDefault="00F82E2C" w:rsidP="00F82E2C">
            <w:pPr>
              <w:tabs>
                <w:tab w:val="right" w:pos="1202"/>
              </w:tabs>
              <w:spacing w:after="0" w:line="240" w:lineRule="auto"/>
              <w:outlineLvl w:val="0"/>
              <w:rPr>
                <w:rFonts w:eastAsia="Times New Roman" w:cs="Arial"/>
              </w:rPr>
            </w:pPr>
            <w:r w:rsidRPr="0034501D">
              <w:rPr>
                <w:rFonts w:cs="Arial"/>
              </w:rPr>
              <w:t>Assets held to maturity</w:t>
            </w:r>
          </w:p>
        </w:tc>
        <w:tc>
          <w:tcPr>
            <w:tcW w:w="539" w:type="pct"/>
            <w:vAlign w:val="center"/>
          </w:tcPr>
          <w:p w14:paraId="54B9156C" w14:textId="77777777" w:rsidR="00F82E2C" w:rsidRPr="0034501D" w:rsidRDefault="00F82E2C" w:rsidP="00F82E2C">
            <w:pPr>
              <w:tabs>
                <w:tab w:val="right" w:pos="1202"/>
              </w:tabs>
              <w:spacing w:after="0" w:line="240" w:lineRule="auto"/>
              <w:jc w:val="center"/>
              <w:outlineLvl w:val="0"/>
              <w:rPr>
                <w:rFonts w:eastAsia="Times New Roman" w:cs="Arial"/>
                <w:snapToGrid w:val="0"/>
              </w:rPr>
            </w:pPr>
          </w:p>
        </w:tc>
        <w:tc>
          <w:tcPr>
            <w:tcW w:w="847" w:type="pct"/>
            <w:tcBorders>
              <w:top w:val="nil"/>
              <w:left w:val="nil"/>
              <w:bottom w:val="nil"/>
              <w:right w:val="nil"/>
            </w:tcBorders>
            <w:shd w:val="clear" w:color="000000" w:fill="auto"/>
            <w:vAlign w:val="bottom"/>
          </w:tcPr>
          <w:p w14:paraId="5B77B490" w14:textId="0FD7C77B" w:rsidR="00F82E2C" w:rsidRPr="00CA37C8" w:rsidRDefault="00F82E2C" w:rsidP="00F82E2C">
            <w:pPr>
              <w:tabs>
                <w:tab w:val="right" w:pos="1202"/>
              </w:tabs>
              <w:spacing w:after="0" w:line="240" w:lineRule="auto"/>
              <w:jc w:val="right"/>
              <w:outlineLvl w:val="0"/>
              <w:rPr>
                <w:rFonts w:eastAsia="Times New Roman" w:cs="Arial"/>
                <w:snapToGrid w:val="0"/>
              </w:rPr>
            </w:pPr>
            <w:r w:rsidRPr="009D681E">
              <w:rPr>
                <w:rFonts w:cs="Arial"/>
                <w:color w:val="000000"/>
              </w:rPr>
              <w:t>1</w:t>
            </w:r>
            <w:r>
              <w:rPr>
                <w:rFonts w:cs="Arial"/>
                <w:color w:val="000000"/>
              </w:rPr>
              <w:t>,</w:t>
            </w:r>
            <w:r w:rsidRPr="009D681E">
              <w:rPr>
                <w:rFonts w:cs="Arial"/>
                <w:color w:val="000000"/>
              </w:rPr>
              <w:t>404</w:t>
            </w:r>
          </w:p>
        </w:tc>
        <w:tc>
          <w:tcPr>
            <w:tcW w:w="153" w:type="pct"/>
            <w:vAlign w:val="bottom"/>
          </w:tcPr>
          <w:p w14:paraId="1A56DA79" w14:textId="77777777" w:rsidR="00F82E2C" w:rsidRPr="0034501D" w:rsidRDefault="00F82E2C" w:rsidP="00F82E2C">
            <w:pPr>
              <w:tabs>
                <w:tab w:val="right" w:pos="1202"/>
              </w:tabs>
              <w:spacing w:after="0" w:line="240" w:lineRule="auto"/>
              <w:jc w:val="right"/>
              <w:outlineLvl w:val="0"/>
              <w:rPr>
                <w:rFonts w:eastAsia="Times New Roman" w:cs="Arial"/>
                <w:snapToGrid w:val="0"/>
              </w:rPr>
            </w:pPr>
          </w:p>
        </w:tc>
        <w:tc>
          <w:tcPr>
            <w:tcW w:w="845" w:type="pct"/>
            <w:vAlign w:val="bottom"/>
          </w:tcPr>
          <w:p w14:paraId="1108057D" w14:textId="77777777" w:rsidR="00F82E2C" w:rsidRPr="00D633A5" w:rsidRDefault="00F82E2C" w:rsidP="00F82E2C">
            <w:pPr>
              <w:tabs>
                <w:tab w:val="right" w:pos="1202"/>
              </w:tabs>
              <w:spacing w:after="0" w:line="240" w:lineRule="auto"/>
              <w:jc w:val="right"/>
              <w:outlineLvl w:val="0"/>
              <w:rPr>
                <w:rFonts w:eastAsia="Times New Roman" w:cs="Arial"/>
                <w:snapToGrid w:val="0"/>
              </w:rPr>
            </w:pPr>
            <w:r>
              <w:rPr>
                <w:rFonts w:cs="Arial"/>
                <w:snapToGrid w:val="0"/>
              </w:rPr>
              <w:t>1,422</w:t>
            </w:r>
          </w:p>
        </w:tc>
      </w:tr>
      <w:tr w:rsidR="00F82E2C" w:rsidRPr="0034501D" w14:paraId="7BFA25A8" w14:textId="77777777" w:rsidTr="005444AA">
        <w:trPr>
          <w:trHeight w:val="302"/>
        </w:trPr>
        <w:tc>
          <w:tcPr>
            <w:tcW w:w="2616" w:type="pct"/>
            <w:vAlign w:val="bottom"/>
          </w:tcPr>
          <w:p w14:paraId="264994DF" w14:textId="77777777" w:rsidR="00F82E2C" w:rsidRPr="0034501D" w:rsidRDefault="00F82E2C" w:rsidP="00F82E2C">
            <w:pPr>
              <w:tabs>
                <w:tab w:val="right" w:pos="1202"/>
              </w:tabs>
              <w:spacing w:after="0" w:line="240" w:lineRule="auto"/>
              <w:outlineLvl w:val="0"/>
              <w:rPr>
                <w:rFonts w:eastAsia="Times New Roman" w:cs="Arial"/>
              </w:rPr>
            </w:pPr>
            <w:r w:rsidRPr="0034501D">
              <w:rPr>
                <w:rFonts w:cs="Arial"/>
              </w:rPr>
              <w:t>Investments in associates</w:t>
            </w:r>
          </w:p>
        </w:tc>
        <w:tc>
          <w:tcPr>
            <w:tcW w:w="539" w:type="pct"/>
            <w:vAlign w:val="center"/>
          </w:tcPr>
          <w:p w14:paraId="6FE0F392" w14:textId="77777777" w:rsidR="00F82E2C" w:rsidRPr="0034501D" w:rsidRDefault="00F82E2C" w:rsidP="00F82E2C">
            <w:pPr>
              <w:tabs>
                <w:tab w:val="right" w:pos="1202"/>
              </w:tabs>
              <w:spacing w:after="0" w:line="240" w:lineRule="auto"/>
              <w:jc w:val="center"/>
              <w:outlineLvl w:val="0"/>
              <w:rPr>
                <w:rFonts w:eastAsia="Times New Roman" w:cs="Arial"/>
                <w:snapToGrid w:val="0"/>
              </w:rPr>
            </w:pPr>
          </w:p>
        </w:tc>
        <w:tc>
          <w:tcPr>
            <w:tcW w:w="847" w:type="pct"/>
            <w:tcBorders>
              <w:top w:val="nil"/>
              <w:left w:val="nil"/>
              <w:bottom w:val="nil"/>
              <w:right w:val="nil"/>
            </w:tcBorders>
            <w:shd w:val="clear" w:color="auto" w:fill="auto"/>
            <w:vAlign w:val="bottom"/>
          </w:tcPr>
          <w:p w14:paraId="23ED0999" w14:textId="640C64B1" w:rsidR="00F82E2C" w:rsidRPr="00CA37C8" w:rsidRDefault="00F82E2C" w:rsidP="00F82E2C">
            <w:pPr>
              <w:tabs>
                <w:tab w:val="right" w:pos="1202"/>
              </w:tabs>
              <w:spacing w:after="0" w:line="240" w:lineRule="auto"/>
              <w:jc w:val="right"/>
              <w:outlineLvl w:val="0"/>
              <w:rPr>
                <w:rFonts w:eastAsia="Times New Roman" w:cs="Arial"/>
                <w:snapToGrid w:val="0"/>
              </w:rPr>
            </w:pPr>
            <w:r>
              <w:rPr>
                <w:rFonts w:cs="Arial"/>
                <w:color w:val="000000"/>
              </w:rPr>
              <w:t>-</w:t>
            </w:r>
          </w:p>
        </w:tc>
        <w:tc>
          <w:tcPr>
            <w:tcW w:w="153" w:type="pct"/>
            <w:vAlign w:val="bottom"/>
          </w:tcPr>
          <w:p w14:paraId="5795F93D" w14:textId="77777777" w:rsidR="00F82E2C" w:rsidRPr="0034501D" w:rsidRDefault="00F82E2C" w:rsidP="00F82E2C">
            <w:pPr>
              <w:tabs>
                <w:tab w:val="right" w:pos="1202"/>
              </w:tabs>
              <w:spacing w:after="0" w:line="240" w:lineRule="auto"/>
              <w:jc w:val="right"/>
              <w:outlineLvl w:val="0"/>
              <w:rPr>
                <w:rFonts w:eastAsia="Times New Roman" w:cs="Arial"/>
                <w:snapToGrid w:val="0"/>
              </w:rPr>
            </w:pPr>
          </w:p>
        </w:tc>
        <w:tc>
          <w:tcPr>
            <w:tcW w:w="845" w:type="pct"/>
            <w:shd w:val="clear" w:color="auto" w:fill="auto"/>
            <w:vAlign w:val="bottom"/>
          </w:tcPr>
          <w:p w14:paraId="2F877E04" w14:textId="77777777" w:rsidR="00F82E2C" w:rsidRPr="00D633A5" w:rsidRDefault="00F82E2C" w:rsidP="00F82E2C">
            <w:pPr>
              <w:tabs>
                <w:tab w:val="right" w:pos="1202"/>
              </w:tabs>
              <w:spacing w:after="0" w:line="240" w:lineRule="auto"/>
              <w:jc w:val="right"/>
              <w:outlineLvl w:val="0"/>
              <w:rPr>
                <w:rFonts w:eastAsia="Times New Roman" w:cs="Arial"/>
                <w:snapToGrid w:val="0"/>
              </w:rPr>
            </w:pPr>
            <w:r>
              <w:rPr>
                <w:rFonts w:cs="Arial"/>
                <w:snapToGrid w:val="0"/>
              </w:rPr>
              <w:t>-</w:t>
            </w:r>
          </w:p>
        </w:tc>
      </w:tr>
      <w:tr w:rsidR="00F82E2C" w:rsidRPr="0034501D" w14:paraId="2689E81B" w14:textId="77777777" w:rsidTr="005444AA">
        <w:trPr>
          <w:trHeight w:val="302"/>
        </w:trPr>
        <w:tc>
          <w:tcPr>
            <w:tcW w:w="2616" w:type="pct"/>
            <w:vAlign w:val="bottom"/>
          </w:tcPr>
          <w:p w14:paraId="4683A5CD" w14:textId="77777777" w:rsidR="00F82E2C" w:rsidRPr="0034501D" w:rsidRDefault="00F82E2C" w:rsidP="00F82E2C">
            <w:pPr>
              <w:tabs>
                <w:tab w:val="right" w:pos="1202"/>
              </w:tabs>
              <w:spacing w:after="0" w:line="240" w:lineRule="auto"/>
              <w:outlineLvl w:val="0"/>
              <w:rPr>
                <w:rFonts w:eastAsia="Times New Roman" w:cs="Arial"/>
              </w:rPr>
            </w:pPr>
            <w:r w:rsidRPr="0034501D">
              <w:rPr>
                <w:rFonts w:cs="Arial"/>
              </w:rPr>
              <w:t>Property, plant and equipment and intangible assets</w:t>
            </w:r>
          </w:p>
        </w:tc>
        <w:tc>
          <w:tcPr>
            <w:tcW w:w="539" w:type="pct"/>
            <w:vAlign w:val="center"/>
          </w:tcPr>
          <w:p w14:paraId="437C8868" w14:textId="77777777" w:rsidR="00F82E2C" w:rsidRPr="0034501D" w:rsidRDefault="00F82E2C" w:rsidP="00F82E2C">
            <w:pPr>
              <w:tabs>
                <w:tab w:val="right" w:pos="1202"/>
              </w:tabs>
              <w:spacing w:after="0" w:line="240" w:lineRule="auto"/>
              <w:jc w:val="center"/>
              <w:outlineLvl w:val="0"/>
              <w:rPr>
                <w:rFonts w:eastAsia="Times New Roman" w:cs="Arial"/>
                <w:snapToGrid w:val="0"/>
              </w:rPr>
            </w:pPr>
          </w:p>
        </w:tc>
        <w:tc>
          <w:tcPr>
            <w:tcW w:w="847" w:type="pct"/>
            <w:tcBorders>
              <w:top w:val="nil"/>
              <w:left w:val="nil"/>
              <w:bottom w:val="nil"/>
              <w:right w:val="nil"/>
            </w:tcBorders>
            <w:shd w:val="clear" w:color="auto" w:fill="auto"/>
            <w:vAlign w:val="bottom"/>
          </w:tcPr>
          <w:p w14:paraId="1B89DCF1" w14:textId="6FCEFE7C" w:rsidR="00F82E2C" w:rsidRPr="00CA37C8" w:rsidRDefault="00F82E2C" w:rsidP="00F82E2C">
            <w:pPr>
              <w:tabs>
                <w:tab w:val="right" w:pos="1202"/>
              </w:tabs>
              <w:spacing w:after="0" w:line="240" w:lineRule="auto"/>
              <w:jc w:val="right"/>
              <w:outlineLvl w:val="0"/>
              <w:rPr>
                <w:rFonts w:eastAsia="Times New Roman" w:cs="Arial"/>
                <w:snapToGrid w:val="0"/>
              </w:rPr>
            </w:pPr>
            <w:r w:rsidRPr="00F52B40">
              <w:t>54</w:t>
            </w:r>
            <w:r>
              <w:t>,</w:t>
            </w:r>
            <w:r w:rsidRPr="00F52B40">
              <w:t>076</w:t>
            </w:r>
          </w:p>
        </w:tc>
        <w:tc>
          <w:tcPr>
            <w:tcW w:w="153" w:type="pct"/>
            <w:vAlign w:val="bottom"/>
          </w:tcPr>
          <w:p w14:paraId="12EDD741" w14:textId="77777777" w:rsidR="00F82E2C" w:rsidRPr="0034501D" w:rsidRDefault="00F82E2C" w:rsidP="00F82E2C">
            <w:pPr>
              <w:tabs>
                <w:tab w:val="right" w:pos="1202"/>
              </w:tabs>
              <w:spacing w:after="0" w:line="240" w:lineRule="auto"/>
              <w:jc w:val="right"/>
              <w:outlineLvl w:val="0"/>
              <w:rPr>
                <w:rFonts w:eastAsia="Times New Roman" w:cs="Arial"/>
                <w:snapToGrid w:val="0"/>
              </w:rPr>
            </w:pPr>
          </w:p>
        </w:tc>
        <w:tc>
          <w:tcPr>
            <w:tcW w:w="845" w:type="pct"/>
            <w:shd w:val="clear" w:color="auto" w:fill="auto"/>
            <w:vAlign w:val="bottom"/>
          </w:tcPr>
          <w:p w14:paraId="496799F3" w14:textId="77777777" w:rsidR="00F82E2C" w:rsidRPr="00D633A5" w:rsidRDefault="00F82E2C" w:rsidP="00F82E2C">
            <w:pPr>
              <w:tabs>
                <w:tab w:val="right" w:pos="1202"/>
              </w:tabs>
              <w:spacing w:after="0" w:line="240" w:lineRule="auto"/>
              <w:jc w:val="right"/>
              <w:outlineLvl w:val="0"/>
              <w:rPr>
                <w:rFonts w:eastAsia="Times New Roman" w:cs="Arial"/>
                <w:snapToGrid w:val="0"/>
              </w:rPr>
            </w:pPr>
            <w:r>
              <w:rPr>
                <w:rFonts w:cs="Arial"/>
                <w:color w:val="000000"/>
              </w:rPr>
              <w:t>57,305</w:t>
            </w:r>
          </w:p>
        </w:tc>
      </w:tr>
      <w:tr w:rsidR="00F82E2C" w:rsidRPr="0034501D" w14:paraId="4C7DBB11" w14:textId="77777777" w:rsidTr="005444AA">
        <w:trPr>
          <w:trHeight w:val="302"/>
        </w:trPr>
        <w:tc>
          <w:tcPr>
            <w:tcW w:w="2616" w:type="pct"/>
            <w:vAlign w:val="bottom"/>
          </w:tcPr>
          <w:p w14:paraId="139A0BB5" w14:textId="77777777" w:rsidR="00F82E2C" w:rsidRPr="0034501D" w:rsidRDefault="00F82E2C" w:rsidP="00F82E2C">
            <w:pPr>
              <w:tabs>
                <w:tab w:val="right" w:pos="1202"/>
              </w:tabs>
              <w:spacing w:after="0" w:line="240" w:lineRule="auto"/>
              <w:outlineLvl w:val="0"/>
              <w:rPr>
                <w:rFonts w:eastAsia="Times New Roman" w:cs="Arial"/>
              </w:rPr>
            </w:pPr>
            <w:r w:rsidRPr="0034501D">
              <w:rPr>
                <w:rFonts w:cs="Arial"/>
              </w:rPr>
              <w:t>Non-current assets held for sale</w:t>
            </w:r>
          </w:p>
        </w:tc>
        <w:tc>
          <w:tcPr>
            <w:tcW w:w="539" w:type="pct"/>
            <w:vAlign w:val="center"/>
          </w:tcPr>
          <w:p w14:paraId="17BFE590" w14:textId="77777777" w:rsidR="00F82E2C" w:rsidRPr="0034501D" w:rsidRDefault="00F82E2C" w:rsidP="00F82E2C">
            <w:pPr>
              <w:tabs>
                <w:tab w:val="right" w:pos="1202"/>
              </w:tabs>
              <w:spacing w:after="0" w:line="240" w:lineRule="auto"/>
              <w:jc w:val="center"/>
              <w:outlineLvl w:val="0"/>
              <w:rPr>
                <w:rFonts w:eastAsia="Times New Roman" w:cs="Arial"/>
                <w:snapToGrid w:val="0"/>
              </w:rPr>
            </w:pPr>
          </w:p>
        </w:tc>
        <w:tc>
          <w:tcPr>
            <w:tcW w:w="847" w:type="pct"/>
            <w:tcBorders>
              <w:top w:val="nil"/>
              <w:left w:val="nil"/>
              <w:bottom w:val="nil"/>
              <w:right w:val="nil"/>
            </w:tcBorders>
            <w:shd w:val="clear" w:color="auto" w:fill="auto"/>
            <w:vAlign w:val="bottom"/>
          </w:tcPr>
          <w:p w14:paraId="37D691BD" w14:textId="17E4EF9D" w:rsidR="00F82E2C" w:rsidRPr="00CA37C8" w:rsidRDefault="00F82E2C" w:rsidP="00F82E2C">
            <w:pPr>
              <w:tabs>
                <w:tab w:val="right" w:pos="1202"/>
              </w:tabs>
              <w:spacing w:after="0" w:line="240" w:lineRule="auto"/>
              <w:jc w:val="right"/>
              <w:outlineLvl w:val="0"/>
              <w:rPr>
                <w:rFonts w:eastAsia="Times New Roman" w:cs="Arial"/>
                <w:snapToGrid w:val="0"/>
              </w:rPr>
            </w:pPr>
            <w:r w:rsidRPr="00F52B40">
              <w:t>17</w:t>
            </w:r>
            <w:r>
              <w:t>,</w:t>
            </w:r>
            <w:r w:rsidRPr="00F52B40">
              <w:t>045</w:t>
            </w:r>
          </w:p>
        </w:tc>
        <w:tc>
          <w:tcPr>
            <w:tcW w:w="153" w:type="pct"/>
            <w:vAlign w:val="bottom"/>
          </w:tcPr>
          <w:p w14:paraId="3DA1E3FD" w14:textId="77777777" w:rsidR="00F82E2C" w:rsidRPr="0034501D" w:rsidRDefault="00F82E2C" w:rsidP="00F82E2C">
            <w:pPr>
              <w:tabs>
                <w:tab w:val="right" w:pos="1202"/>
              </w:tabs>
              <w:spacing w:after="0" w:line="240" w:lineRule="auto"/>
              <w:jc w:val="right"/>
              <w:outlineLvl w:val="0"/>
              <w:rPr>
                <w:rFonts w:eastAsia="Times New Roman" w:cs="Arial"/>
                <w:snapToGrid w:val="0"/>
              </w:rPr>
            </w:pPr>
          </w:p>
        </w:tc>
        <w:tc>
          <w:tcPr>
            <w:tcW w:w="845" w:type="pct"/>
            <w:shd w:val="clear" w:color="auto" w:fill="auto"/>
            <w:vAlign w:val="bottom"/>
          </w:tcPr>
          <w:p w14:paraId="06B44312" w14:textId="77777777" w:rsidR="00F82E2C" w:rsidRPr="00D633A5" w:rsidRDefault="00F82E2C" w:rsidP="00F82E2C">
            <w:pPr>
              <w:tabs>
                <w:tab w:val="right" w:pos="1202"/>
              </w:tabs>
              <w:spacing w:after="0" w:line="240" w:lineRule="auto"/>
              <w:jc w:val="right"/>
              <w:outlineLvl w:val="0"/>
              <w:rPr>
                <w:rFonts w:eastAsia="Times New Roman" w:cs="Arial"/>
                <w:snapToGrid w:val="0"/>
              </w:rPr>
            </w:pPr>
            <w:r>
              <w:rPr>
                <w:rFonts w:cs="Arial"/>
                <w:color w:val="000000"/>
              </w:rPr>
              <w:t>17,230</w:t>
            </w:r>
          </w:p>
        </w:tc>
      </w:tr>
      <w:tr w:rsidR="00F82E2C" w:rsidRPr="0034501D" w14:paraId="30A6399F" w14:textId="77777777" w:rsidTr="005444AA">
        <w:trPr>
          <w:trHeight w:val="302"/>
        </w:trPr>
        <w:tc>
          <w:tcPr>
            <w:tcW w:w="2616" w:type="pct"/>
            <w:vAlign w:val="bottom"/>
          </w:tcPr>
          <w:p w14:paraId="0E7E577E" w14:textId="77777777" w:rsidR="00F82E2C" w:rsidRPr="0034501D" w:rsidRDefault="00F82E2C" w:rsidP="00F82E2C">
            <w:pPr>
              <w:tabs>
                <w:tab w:val="right" w:pos="1202"/>
              </w:tabs>
              <w:spacing w:after="0" w:line="240" w:lineRule="auto"/>
              <w:outlineLvl w:val="0"/>
              <w:rPr>
                <w:rFonts w:eastAsia="Times New Roman" w:cs="Arial"/>
              </w:rPr>
            </w:pPr>
            <w:r w:rsidRPr="0034501D">
              <w:rPr>
                <w:rFonts w:cs="Arial"/>
              </w:rPr>
              <w:t>Other assets</w:t>
            </w:r>
          </w:p>
        </w:tc>
        <w:tc>
          <w:tcPr>
            <w:tcW w:w="539" w:type="pct"/>
            <w:vAlign w:val="center"/>
          </w:tcPr>
          <w:p w14:paraId="1FEF27DC" w14:textId="77777777" w:rsidR="00F82E2C" w:rsidRPr="0034501D" w:rsidRDefault="00F82E2C" w:rsidP="00F82E2C">
            <w:pPr>
              <w:tabs>
                <w:tab w:val="right" w:pos="1202"/>
              </w:tabs>
              <w:spacing w:after="0" w:line="240" w:lineRule="auto"/>
              <w:jc w:val="center"/>
              <w:outlineLvl w:val="0"/>
              <w:rPr>
                <w:rFonts w:eastAsia="Times New Roman" w:cs="Arial"/>
                <w:snapToGrid w:val="0"/>
              </w:rPr>
            </w:pPr>
          </w:p>
        </w:tc>
        <w:tc>
          <w:tcPr>
            <w:tcW w:w="847" w:type="pct"/>
            <w:tcBorders>
              <w:top w:val="nil"/>
              <w:left w:val="nil"/>
              <w:bottom w:val="nil"/>
              <w:right w:val="nil"/>
            </w:tcBorders>
            <w:shd w:val="clear" w:color="auto" w:fill="auto"/>
            <w:vAlign w:val="bottom"/>
          </w:tcPr>
          <w:p w14:paraId="34D8E768" w14:textId="560BB6EA" w:rsidR="00F82E2C" w:rsidRPr="00CA37C8" w:rsidRDefault="00F82E2C" w:rsidP="00F82E2C">
            <w:pPr>
              <w:tabs>
                <w:tab w:val="right" w:pos="1202"/>
              </w:tabs>
              <w:spacing w:after="0" w:line="240" w:lineRule="auto"/>
              <w:jc w:val="right"/>
              <w:outlineLvl w:val="0"/>
              <w:rPr>
                <w:rFonts w:eastAsia="Times New Roman" w:cs="Arial"/>
                <w:snapToGrid w:val="0"/>
              </w:rPr>
            </w:pPr>
            <w:r w:rsidRPr="009D681E">
              <w:rPr>
                <w:rFonts w:cs="Arial"/>
                <w:color w:val="000000"/>
              </w:rPr>
              <w:t>13</w:t>
            </w:r>
            <w:r>
              <w:rPr>
                <w:rFonts w:cs="Arial"/>
                <w:color w:val="000000"/>
              </w:rPr>
              <w:t>,</w:t>
            </w:r>
            <w:r w:rsidRPr="009D681E">
              <w:rPr>
                <w:rFonts w:cs="Arial"/>
                <w:color w:val="000000"/>
              </w:rPr>
              <w:t>374</w:t>
            </w:r>
          </w:p>
        </w:tc>
        <w:tc>
          <w:tcPr>
            <w:tcW w:w="153" w:type="pct"/>
            <w:vAlign w:val="bottom"/>
          </w:tcPr>
          <w:p w14:paraId="00325B60" w14:textId="77777777" w:rsidR="00F82E2C" w:rsidRPr="0034501D" w:rsidRDefault="00F82E2C" w:rsidP="00F82E2C">
            <w:pPr>
              <w:tabs>
                <w:tab w:val="right" w:pos="1202"/>
              </w:tabs>
              <w:spacing w:after="0" w:line="240" w:lineRule="auto"/>
              <w:jc w:val="right"/>
              <w:outlineLvl w:val="0"/>
              <w:rPr>
                <w:rFonts w:eastAsia="Times New Roman" w:cs="Arial"/>
                <w:snapToGrid w:val="0"/>
              </w:rPr>
            </w:pPr>
          </w:p>
        </w:tc>
        <w:tc>
          <w:tcPr>
            <w:tcW w:w="845" w:type="pct"/>
            <w:shd w:val="clear" w:color="auto" w:fill="auto"/>
            <w:vAlign w:val="bottom"/>
          </w:tcPr>
          <w:p w14:paraId="26E81624" w14:textId="77777777" w:rsidR="00F82E2C" w:rsidRPr="00D633A5" w:rsidRDefault="00F82E2C" w:rsidP="00F82E2C">
            <w:pPr>
              <w:tabs>
                <w:tab w:val="right" w:pos="1202"/>
              </w:tabs>
              <w:spacing w:after="0" w:line="240" w:lineRule="auto"/>
              <w:jc w:val="right"/>
              <w:outlineLvl w:val="0"/>
              <w:rPr>
                <w:rFonts w:eastAsia="Times New Roman" w:cs="Arial"/>
                <w:snapToGrid w:val="0"/>
              </w:rPr>
            </w:pPr>
            <w:r>
              <w:rPr>
                <w:rFonts w:cs="Arial"/>
                <w:color w:val="000000"/>
              </w:rPr>
              <w:t>9,122</w:t>
            </w:r>
          </w:p>
        </w:tc>
      </w:tr>
      <w:tr w:rsidR="00F82E2C" w:rsidRPr="0034501D" w14:paraId="101262A4" w14:textId="77777777" w:rsidTr="005444AA">
        <w:trPr>
          <w:trHeight w:hRule="exact" w:val="113"/>
        </w:trPr>
        <w:tc>
          <w:tcPr>
            <w:tcW w:w="2616" w:type="pct"/>
            <w:vAlign w:val="bottom"/>
          </w:tcPr>
          <w:p w14:paraId="73FD691E" w14:textId="77777777" w:rsidR="00F82E2C" w:rsidRPr="0034501D" w:rsidRDefault="00F82E2C" w:rsidP="00F82E2C">
            <w:pPr>
              <w:keepNext/>
              <w:keepLines/>
              <w:tabs>
                <w:tab w:val="decimal" w:pos="1202"/>
              </w:tabs>
              <w:spacing w:after="0" w:line="240" w:lineRule="auto"/>
              <w:rPr>
                <w:rFonts w:eastAsia="Times New Roman" w:cs="Arial"/>
                <w:b/>
                <w:position w:val="4"/>
              </w:rPr>
            </w:pPr>
          </w:p>
        </w:tc>
        <w:tc>
          <w:tcPr>
            <w:tcW w:w="539" w:type="pct"/>
            <w:vAlign w:val="center"/>
          </w:tcPr>
          <w:p w14:paraId="5BB6945D" w14:textId="77777777" w:rsidR="00F82E2C" w:rsidRPr="0034501D" w:rsidRDefault="00F82E2C" w:rsidP="00F82E2C">
            <w:pPr>
              <w:keepLines/>
              <w:spacing w:after="0" w:line="240" w:lineRule="auto"/>
              <w:jc w:val="center"/>
              <w:rPr>
                <w:rFonts w:eastAsia="Times New Roman" w:cs="Arial"/>
                <w:spacing w:val="-2"/>
                <w:position w:val="4"/>
              </w:rPr>
            </w:pPr>
          </w:p>
        </w:tc>
        <w:tc>
          <w:tcPr>
            <w:tcW w:w="847" w:type="pct"/>
            <w:tcBorders>
              <w:bottom w:val="single" w:sz="4" w:space="0" w:color="auto"/>
            </w:tcBorders>
            <w:vAlign w:val="bottom"/>
          </w:tcPr>
          <w:p w14:paraId="0666A65B" w14:textId="77777777" w:rsidR="00F82E2C" w:rsidRPr="00CA37C8" w:rsidRDefault="00F82E2C" w:rsidP="00F82E2C">
            <w:pPr>
              <w:keepLines/>
              <w:spacing w:after="0" w:line="240" w:lineRule="auto"/>
              <w:jc w:val="right"/>
              <w:rPr>
                <w:rFonts w:eastAsia="Times New Roman" w:cs="Arial"/>
                <w:spacing w:val="-2"/>
                <w:position w:val="4"/>
              </w:rPr>
            </w:pPr>
          </w:p>
        </w:tc>
        <w:tc>
          <w:tcPr>
            <w:tcW w:w="153" w:type="pct"/>
            <w:tcBorders>
              <w:bottom w:val="single" w:sz="4" w:space="0" w:color="auto"/>
            </w:tcBorders>
            <w:vAlign w:val="bottom"/>
          </w:tcPr>
          <w:p w14:paraId="2B089A1F" w14:textId="77777777" w:rsidR="00F82E2C" w:rsidRPr="0034501D" w:rsidRDefault="00F82E2C" w:rsidP="00F82E2C">
            <w:pPr>
              <w:keepNext/>
              <w:keepLines/>
              <w:tabs>
                <w:tab w:val="left" w:pos="215"/>
                <w:tab w:val="decimal" w:pos="1295"/>
              </w:tabs>
              <w:spacing w:after="0" w:line="240" w:lineRule="auto"/>
              <w:ind w:right="-148"/>
              <w:jc w:val="right"/>
              <w:rPr>
                <w:rFonts w:eastAsia="Times New Roman" w:cs="Arial"/>
                <w:b/>
                <w:snapToGrid w:val="0"/>
                <w:position w:val="4"/>
              </w:rPr>
            </w:pPr>
          </w:p>
        </w:tc>
        <w:tc>
          <w:tcPr>
            <w:tcW w:w="845" w:type="pct"/>
            <w:tcBorders>
              <w:bottom w:val="single" w:sz="4" w:space="0" w:color="auto"/>
            </w:tcBorders>
            <w:vAlign w:val="bottom"/>
          </w:tcPr>
          <w:p w14:paraId="040D5F6C" w14:textId="77777777" w:rsidR="00F82E2C" w:rsidRPr="00CA37C8" w:rsidRDefault="00F82E2C" w:rsidP="00F82E2C">
            <w:pPr>
              <w:keepLines/>
              <w:spacing w:after="0" w:line="240" w:lineRule="auto"/>
              <w:jc w:val="right"/>
              <w:rPr>
                <w:rFonts w:eastAsia="Times New Roman" w:cs="Arial"/>
                <w:spacing w:val="-2"/>
                <w:position w:val="4"/>
              </w:rPr>
            </w:pPr>
          </w:p>
        </w:tc>
      </w:tr>
      <w:tr w:rsidR="00F82E2C" w:rsidRPr="0034501D" w14:paraId="597E10AF" w14:textId="77777777" w:rsidTr="005444AA">
        <w:trPr>
          <w:trHeight w:val="344"/>
        </w:trPr>
        <w:tc>
          <w:tcPr>
            <w:tcW w:w="2616" w:type="pct"/>
            <w:vAlign w:val="bottom"/>
          </w:tcPr>
          <w:p w14:paraId="2C5EEE18" w14:textId="77777777" w:rsidR="00F82E2C" w:rsidRPr="0034501D" w:rsidRDefault="00F82E2C" w:rsidP="00F82E2C">
            <w:pPr>
              <w:tabs>
                <w:tab w:val="right" w:pos="1202"/>
              </w:tabs>
              <w:spacing w:after="0" w:line="240" w:lineRule="auto"/>
              <w:outlineLvl w:val="0"/>
              <w:rPr>
                <w:rFonts w:eastAsia="Times New Roman" w:cs="Arial"/>
                <w:b/>
                <w:bCs/>
              </w:rPr>
            </w:pPr>
            <w:r w:rsidRPr="0034501D">
              <w:rPr>
                <w:rFonts w:cs="Arial"/>
                <w:b/>
                <w:bCs/>
              </w:rPr>
              <w:t>Total assets</w:t>
            </w:r>
          </w:p>
        </w:tc>
        <w:tc>
          <w:tcPr>
            <w:tcW w:w="539" w:type="pct"/>
            <w:vAlign w:val="center"/>
          </w:tcPr>
          <w:p w14:paraId="50E0D141" w14:textId="77777777" w:rsidR="00F82E2C" w:rsidRPr="0034501D" w:rsidRDefault="00F82E2C" w:rsidP="00F82E2C">
            <w:pPr>
              <w:spacing w:after="0" w:line="240" w:lineRule="auto"/>
              <w:jc w:val="center"/>
              <w:rPr>
                <w:rFonts w:eastAsia="Times New Roman" w:cs="Arial"/>
                <w:b/>
                <w:bCs/>
              </w:rPr>
            </w:pPr>
          </w:p>
        </w:tc>
        <w:tc>
          <w:tcPr>
            <w:tcW w:w="847" w:type="pct"/>
            <w:tcBorders>
              <w:top w:val="single" w:sz="4" w:space="0" w:color="auto"/>
              <w:bottom w:val="single" w:sz="12" w:space="0" w:color="auto"/>
            </w:tcBorders>
            <w:vAlign w:val="bottom"/>
          </w:tcPr>
          <w:p w14:paraId="5BC88FD7" w14:textId="5CD681DA" w:rsidR="00F82E2C" w:rsidRPr="00CA37C8" w:rsidRDefault="00F82E2C" w:rsidP="00F82E2C">
            <w:pPr>
              <w:spacing w:after="0" w:line="240" w:lineRule="auto"/>
              <w:jc w:val="right"/>
              <w:rPr>
                <w:rFonts w:eastAsia="Times New Roman" w:cs="Arial"/>
                <w:b/>
                <w:bCs/>
              </w:rPr>
            </w:pPr>
            <w:r w:rsidRPr="00613FEA">
              <w:rPr>
                <w:rFonts w:eastAsia="Times New Roman" w:cs="Arial"/>
                <w:b/>
                <w:bCs/>
              </w:rPr>
              <w:t>28</w:t>
            </w:r>
            <w:r>
              <w:rPr>
                <w:rFonts w:eastAsia="Times New Roman" w:cs="Arial"/>
                <w:b/>
                <w:bCs/>
              </w:rPr>
              <w:t>,</w:t>
            </w:r>
            <w:r w:rsidRPr="00613FEA">
              <w:rPr>
                <w:rFonts w:eastAsia="Times New Roman" w:cs="Arial"/>
                <w:b/>
                <w:bCs/>
              </w:rPr>
              <w:t>300</w:t>
            </w:r>
            <w:r>
              <w:rPr>
                <w:rFonts w:eastAsia="Times New Roman" w:cs="Arial"/>
                <w:b/>
                <w:bCs/>
              </w:rPr>
              <w:t>,</w:t>
            </w:r>
            <w:r w:rsidRPr="00613FEA">
              <w:rPr>
                <w:rFonts w:eastAsia="Times New Roman" w:cs="Arial"/>
                <w:b/>
                <w:bCs/>
              </w:rPr>
              <w:t>724</w:t>
            </w:r>
          </w:p>
        </w:tc>
        <w:tc>
          <w:tcPr>
            <w:tcW w:w="153" w:type="pct"/>
            <w:tcBorders>
              <w:top w:val="single" w:sz="4" w:space="0" w:color="auto"/>
              <w:bottom w:val="single" w:sz="12" w:space="0" w:color="auto"/>
            </w:tcBorders>
            <w:vAlign w:val="bottom"/>
          </w:tcPr>
          <w:p w14:paraId="38431428" w14:textId="77777777" w:rsidR="00F82E2C" w:rsidRPr="0034501D" w:rsidRDefault="00F82E2C" w:rsidP="00F82E2C">
            <w:pPr>
              <w:tabs>
                <w:tab w:val="right" w:pos="1202"/>
              </w:tabs>
              <w:spacing w:after="0" w:line="240" w:lineRule="auto"/>
              <w:jc w:val="right"/>
              <w:outlineLvl w:val="0"/>
              <w:rPr>
                <w:rFonts w:eastAsia="Times New Roman" w:cs="Arial"/>
                <w:b/>
                <w:bCs/>
              </w:rPr>
            </w:pPr>
          </w:p>
        </w:tc>
        <w:tc>
          <w:tcPr>
            <w:tcW w:w="845" w:type="pct"/>
            <w:tcBorders>
              <w:top w:val="single" w:sz="4" w:space="0" w:color="auto"/>
              <w:bottom w:val="single" w:sz="12" w:space="0" w:color="auto"/>
            </w:tcBorders>
            <w:vAlign w:val="bottom"/>
          </w:tcPr>
          <w:p w14:paraId="00690F56" w14:textId="77777777" w:rsidR="00F82E2C" w:rsidRPr="00CA37C8" w:rsidRDefault="00F82E2C" w:rsidP="00F82E2C">
            <w:pPr>
              <w:spacing w:after="0" w:line="240" w:lineRule="auto"/>
              <w:jc w:val="right"/>
              <w:rPr>
                <w:rFonts w:eastAsia="Times New Roman" w:cs="Arial"/>
                <w:b/>
                <w:bCs/>
              </w:rPr>
            </w:pPr>
            <w:r w:rsidRPr="007C409B">
              <w:rPr>
                <w:rFonts w:eastAsia="Times New Roman" w:cs="Arial"/>
                <w:b/>
                <w:bCs/>
              </w:rPr>
              <w:t>27</w:t>
            </w:r>
            <w:r>
              <w:rPr>
                <w:rFonts w:eastAsia="Times New Roman" w:cs="Arial"/>
                <w:b/>
                <w:bCs/>
              </w:rPr>
              <w:t>,</w:t>
            </w:r>
            <w:r w:rsidRPr="007C409B">
              <w:rPr>
                <w:rFonts w:eastAsia="Times New Roman" w:cs="Arial"/>
                <w:b/>
                <w:bCs/>
              </w:rPr>
              <w:t>390</w:t>
            </w:r>
            <w:r>
              <w:rPr>
                <w:rFonts w:eastAsia="Times New Roman" w:cs="Arial"/>
                <w:b/>
                <w:bCs/>
              </w:rPr>
              <w:t>,</w:t>
            </w:r>
            <w:r w:rsidRPr="007C409B">
              <w:rPr>
                <w:rFonts w:eastAsia="Times New Roman" w:cs="Arial"/>
                <w:b/>
                <w:bCs/>
              </w:rPr>
              <w:t>822</w:t>
            </w:r>
          </w:p>
        </w:tc>
      </w:tr>
      <w:tr w:rsidR="00F82E2C" w:rsidRPr="0034501D" w14:paraId="2CCAD06D" w14:textId="77777777" w:rsidTr="005444AA">
        <w:trPr>
          <w:trHeight w:hRule="exact" w:val="113"/>
        </w:trPr>
        <w:tc>
          <w:tcPr>
            <w:tcW w:w="2616" w:type="pct"/>
            <w:vAlign w:val="bottom"/>
          </w:tcPr>
          <w:p w14:paraId="5452FD7D" w14:textId="77777777" w:rsidR="00F82E2C" w:rsidRPr="0034501D" w:rsidRDefault="00F82E2C" w:rsidP="00F82E2C">
            <w:pPr>
              <w:keepNext/>
              <w:keepLines/>
              <w:tabs>
                <w:tab w:val="decimal" w:pos="1202"/>
              </w:tabs>
              <w:spacing w:after="0" w:line="240" w:lineRule="auto"/>
              <w:rPr>
                <w:rFonts w:eastAsia="Times New Roman" w:cs="Arial"/>
                <w:b/>
                <w:position w:val="4"/>
                <w:u w:val="thick"/>
              </w:rPr>
            </w:pPr>
          </w:p>
        </w:tc>
        <w:tc>
          <w:tcPr>
            <w:tcW w:w="539" w:type="pct"/>
            <w:vAlign w:val="center"/>
          </w:tcPr>
          <w:p w14:paraId="0ED38C90" w14:textId="77777777" w:rsidR="00F82E2C" w:rsidRPr="0034501D" w:rsidRDefault="00F82E2C" w:rsidP="00F82E2C">
            <w:pPr>
              <w:keepNext/>
              <w:keepLines/>
              <w:tabs>
                <w:tab w:val="decimal" w:pos="1060"/>
              </w:tabs>
              <w:spacing w:after="0" w:line="240" w:lineRule="auto"/>
              <w:jc w:val="center"/>
              <w:rPr>
                <w:rFonts w:eastAsia="Times New Roman" w:cs="Arial"/>
                <w:b/>
                <w:position w:val="4"/>
                <w:u w:val="thick"/>
              </w:rPr>
            </w:pPr>
          </w:p>
        </w:tc>
        <w:tc>
          <w:tcPr>
            <w:tcW w:w="847" w:type="pct"/>
            <w:tcBorders>
              <w:top w:val="single" w:sz="12" w:space="0" w:color="auto"/>
            </w:tcBorders>
            <w:vAlign w:val="bottom"/>
          </w:tcPr>
          <w:p w14:paraId="64C43638" w14:textId="77777777" w:rsidR="00F82E2C" w:rsidRPr="00CA37C8" w:rsidRDefault="00F82E2C" w:rsidP="00F82E2C">
            <w:pPr>
              <w:keepNext/>
              <w:keepLines/>
              <w:tabs>
                <w:tab w:val="decimal" w:pos="1060"/>
              </w:tabs>
              <w:spacing w:after="0" w:line="240" w:lineRule="auto"/>
              <w:jc w:val="right"/>
              <w:rPr>
                <w:rFonts w:eastAsia="Times New Roman" w:cs="Arial"/>
                <w:b/>
                <w:position w:val="4"/>
                <w:u w:val="thick"/>
              </w:rPr>
            </w:pPr>
          </w:p>
        </w:tc>
        <w:tc>
          <w:tcPr>
            <w:tcW w:w="153" w:type="pct"/>
            <w:tcBorders>
              <w:top w:val="single" w:sz="12" w:space="0" w:color="auto"/>
            </w:tcBorders>
            <w:vAlign w:val="bottom"/>
          </w:tcPr>
          <w:p w14:paraId="5660EE3D" w14:textId="77777777" w:rsidR="00F82E2C" w:rsidRPr="0034501D" w:rsidRDefault="00F82E2C" w:rsidP="00F82E2C">
            <w:pPr>
              <w:keepNext/>
              <w:keepLines/>
              <w:tabs>
                <w:tab w:val="decimal" w:pos="1202"/>
              </w:tabs>
              <w:spacing w:after="0" w:line="240" w:lineRule="auto"/>
              <w:jc w:val="right"/>
              <w:rPr>
                <w:rFonts w:eastAsia="Times New Roman" w:cs="Arial"/>
                <w:b/>
                <w:position w:val="4"/>
                <w:u w:val="thick"/>
              </w:rPr>
            </w:pPr>
          </w:p>
        </w:tc>
        <w:tc>
          <w:tcPr>
            <w:tcW w:w="845" w:type="pct"/>
            <w:tcBorders>
              <w:top w:val="single" w:sz="12" w:space="0" w:color="auto"/>
            </w:tcBorders>
            <w:vAlign w:val="bottom"/>
          </w:tcPr>
          <w:p w14:paraId="5FA08994" w14:textId="77777777" w:rsidR="00F82E2C" w:rsidRPr="00CA37C8" w:rsidRDefault="00F82E2C" w:rsidP="00F82E2C">
            <w:pPr>
              <w:keepNext/>
              <w:keepLines/>
              <w:tabs>
                <w:tab w:val="decimal" w:pos="1060"/>
              </w:tabs>
              <w:spacing w:after="0" w:line="240" w:lineRule="auto"/>
              <w:jc w:val="right"/>
              <w:rPr>
                <w:rFonts w:eastAsia="Times New Roman" w:cs="Arial"/>
                <w:b/>
                <w:position w:val="4"/>
                <w:u w:val="thick"/>
              </w:rPr>
            </w:pPr>
          </w:p>
        </w:tc>
      </w:tr>
      <w:tr w:rsidR="00F82E2C" w:rsidRPr="0034501D" w14:paraId="27883B43" w14:textId="77777777" w:rsidTr="005444AA">
        <w:trPr>
          <w:trHeight w:val="302"/>
        </w:trPr>
        <w:tc>
          <w:tcPr>
            <w:tcW w:w="2616" w:type="pct"/>
            <w:vAlign w:val="bottom"/>
          </w:tcPr>
          <w:p w14:paraId="7BAAC162" w14:textId="77777777" w:rsidR="00F82E2C" w:rsidRPr="0034501D" w:rsidRDefault="00F82E2C" w:rsidP="00F82E2C">
            <w:pPr>
              <w:tabs>
                <w:tab w:val="right" w:pos="1202"/>
              </w:tabs>
              <w:spacing w:after="0" w:line="240" w:lineRule="auto"/>
              <w:outlineLvl w:val="0"/>
              <w:rPr>
                <w:rFonts w:eastAsia="Times New Roman" w:cs="Arial"/>
                <w:b/>
                <w:bCs/>
              </w:rPr>
            </w:pPr>
            <w:r w:rsidRPr="0034501D">
              <w:rPr>
                <w:rFonts w:cs="Arial"/>
                <w:b/>
                <w:bCs/>
              </w:rPr>
              <w:t>Liabilities</w:t>
            </w:r>
          </w:p>
        </w:tc>
        <w:tc>
          <w:tcPr>
            <w:tcW w:w="539" w:type="pct"/>
            <w:vAlign w:val="center"/>
          </w:tcPr>
          <w:p w14:paraId="60C9B9FF" w14:textId="77777777" w:rsidR="00F82E2C" w:rsidRPr="0034501D" w:rsidRDefault="00F82E2C" w:rsidP="00F82E2C">
            <w:pPr>
              <w:tabs>
                <w:tab w:val="right" w:pos="1202"/>
              </w:tabs>
              <w:spacing w:after="0" w:line="240" w:lineRule="auto"/>
              <w:jc w:val="center"/>
              <w:outlineLvl w:val="0"/>
              <w:rPr>
                <w:rFonts w:eastAsia="Times New Roman" w:cs="Arial"/>
                <w:b/>
                <w:bCs/>
              </w:rPr>
            </w:pPr>
          </w:p>
        </w:tc>
        <w:tc>
          <w:tcPr>
            <w:tcW w:w="847" w:type="pct"/>
            <w:vAlign w:val="bottom"/>
          </w:tcPr>
          <w:p w14:paraId="35F14CF8" w14:textId="77777777" w:rsidR="00F82E2C" w:rsidRPr="00CA37C8" w:rsidRDefault="00F82E2C" w:rsidP="00F82E2C">
            <w:pPr>
              <w:tabs>
                <w:tab w:val="right" w:pos="1202"/>
              </w:tabs>
              <w:spacing w:after="0" w:line="240" w:lineRule="auto"/>
              <w:jc w:val="right"/>
              <w:outlineLvl w:val="0"/>
              <w:rPr>
                <w:rFonts w:eastAsia="Times New Roman" w:cs="Arial"/>
                <w:b/>
                <w:bCs/>
              </w:rPr>
            </w:pPr>
          </w:p>
        </w:tc>
        <w:tc>
          <w:tcPr>
            <w:tcW w:w="153" w:type="pct"/>
            <w:vAlign w:val="bottom"/>
          </w:tcPr>
          <w:p w14:paraId="05229E10" w14:textId="77777777" w:rsidR="00F82E2C" w:rsidRPr="0034501D" w:rsidRDefault="00F82E2C" w:rsidP="00F82E2C">
            <w:pPr>
              <w:tabs>
                <w:tab w:val="right" w:pos="1202"/>
              </w:tabs>
              <w:spacing w:after="0" w:line="240" w:lineRule="auto"/>
              <w:jc w:val="right"/>
              <w:outlineLvl w:val="0"/>
              <w:rPr>
                <w:rFonts w:eastAsia="Times New Roman" w:cs="Arial"/>
                <w:b/>
                <w:bCs/>
              </w:rPr>
            </w:pPr>
          </w:p>
        </w:tc>
        <w:tc>
          <w:tcPr>
            <w:tcW w:w="845" w:type="pct"/>
            <w:vAlign w:val="bottom"/>
          </w:tcPr>
          <w:p w14:paraId="1C1688BB" w14:textId="77777777" w:rsidR="00F82E2C" w:rsidRPr="00CA37C8" w:rsidRDefault="00F82E2C" w:rsidP="00F82E2C">
            <w:pPr>
              <w:tabs>
                <w:tab w:val="right" w:pos="1202"/>
              </w:tabs>
              <w:spacing w:after="0" w:line="240" w:lineRule="auto"/>
              <w:jc w:val="right"/>
              <w:outlineLvl w:val="0"/>
              <w:rPr>
                <w:rFonts w:eastAsia="Times New Roman" w:cs="Arial"/>
                <w:b/>
                <w:bCs/>
              </w:rPr>
            </w:pPr>
          </w:p>
        </w:tc>
      </w:tr>
      <w:tr w:rsidR="00F82E2C" w:rsidRPr="0034501D" w14:paraId="780DFAAD" w14:textId="77777777" w:rsidTr="005444AA">
        <w:trPr>
          <w:trHeight w:val="302"/>
        </w:trPr>
        <w:tc>
          <w:tcPr>
            <w:tcW w:w="2616" w:type="pct"/>
            <w:vAlign w:val="bottom"/>
          </w:tcPr>
          <w:p w14:paraId="30563E33" w14:textId="77777777" w:rsidR="00F82E2C" w:rsidRPr="0034501D" w:rsidRDefault="00F82E2C" w:rsidP="00F82E2C">
            <w:pPr>
              <w:tabs>
                <w:tab w:val="right" w:pos="1202"/>
              </w:tabs>
              <w:spacing w:after="0" w:line="240" w:lineRule="auto"/>
              <w:outlineLvl w:val="0"/>
              <w:rPr>
                <w:rFonts w:eastAsia="Times New Roman" w:cs="Arial"/>
              </w:rPr>
            </w:pPr>
            <w:r w:rsidRPr="0034501D">
              <w:rPr>
                <w:rFonts w:cs="Arial"/>
              </w:rPr>
              <w:t>Deposits</w:t>
            </w:r>
          </w:p>
        </w:tc>
        <w:tc>
          <w:tcPr>
            <w:tcW w:w="539" w:type="pct"/>
            <w:vAlign w:val="center"/>
          </w:tcPr>
          <w:p w14:paraId="779D0197" w14:textId="77777777" w:rsidR="00F82E2C" w:rsidRPr="0034501D" w:rsidRDefault="00F82E2C" w:rsidP="00F82E2C">
            <w:pPr>
              <w:tabs>
                <w:tab w:val="right" w:pos="1202"/>
              </w:tabs>
              <w:spacing w:after="0" w:line="240" w:lineRule="auto"/>
              <w:jc w:val="center"/>
              <w:outlineLvl w:val="0"/>
              <w:rPr>
                <w:rFonts w:eastAsia="Times New Roman" w:cs="Arial"/>
              </w:rPr>
            </w:pPr>
          </w:p>
        </w:tc>
        <w:tc>
          <w:tcPr>
            <w:tcW w:w="847" w:type="pct"/>
            <w:tcBorders>
              <w:top w:val="nil"/>
              <w:left w:val="nil"/>
              <w:bottom w:val="nil"/>
              <w:right w:val="nil"/>
            </w:tcBorders>
            <w:shd w:val="clear" w:color="auto" w:fill="auto"/>
            <w:vAlign w:val="bottom"/>
          </w:tcPr>
          <w:p w14:paraId="5D53009B" w14:textId="2C40760B" w:rsidR="00F82E2C" w:rsidRPr="00CA37C8" w:rsidRDefault="00F82E2C" w:rsidP="00F82E2C">
            <w:pPr>
              <w:tabs>
                <w:tab w:val="right" w:pos="1202"/>
              </w:tabs>
              <w:spacing w:after="0" w:line="240" w:lineRule="auto"/>
              <w:jc w:val="right"/>
              <w:outlineLvl w:val="0"/>
              <w:rPr>
                <w:rFonts w:eastAsia="Times New Roman" w:cs="Arial"/>
              </w:rPr>
            </w:pPr>
            <w:r w:rsidRPr="00CE0613">
              <w:rPr>
                <w:rFonts w:cs="Arial"/>
                <w:color w:val="000000"/>
              </w:rPr>
              <w:t>940</w:t>
            </w:r>
            <w:r>
              <w:rPr>
                <w:rFonts w:cs="Arial"/>
                <w:color w:val="000000"/>
              </w:rPr>
              <w:t>,</w:t>
            </w:r>
            <w:r w:rsidRPr="00CE0613">
              <w:rPr>
                <w:rFonts w:cs="Arial"/>
                <w:color w:val="000000"/>
              </w:rPr>
              <w:t>784</w:t>
            </w:r>
          </w:p>
        </w:tc>
        <w:tc>
          <w:tcPr>
            <w:tcW w:w="153" w:type="pct"/>
            <w:vAlign w:val="bottom"/>
          </w:tcPr>
          <w:p w14:paraId="544B12CC" w14:textId="77777777" w:rsidR="00F82E2C" w:rsidRPr="0034501D" w:rsidRDefault="00F82E2C" w:rsidP="00F82E2C">
            <w:pPr>
              <w:tabs>
                <w:tab w:val="right" w:pos="1202"/>
              </w:tabs>
              <w:spacing w:after="0" w:line="240" w:lineRule="auto"/>
              <w:jc w:val="right"/>
              <w:outlineLvl w:val="0"/>
              <w:rPr>
                <w:rFonts w:eastAsia="Times New Roman" w:cs="Arial"/>
              </w:rPr>
            </w:pPr>
          </w:p>
        </w:tc>
        <w:tc>
          <w:tcPr>
            <w:tcW w:w="845" w:type="pct"/>
            <w:shd w:val="clear" w:color="auto" w:fill="auto"/>
            <w:vAlign w:val="bottom"/>
          </w:tcPr>
          <w:p w14:paraId="5F1D09CE" w14:textId="77777777" w:rsidR="00F82E2C" w:rsidRPr="00D633A5" w:rsidRDefault="00F82E2C" w:rsidP="00F82E2C">
            <w:pPr>
              <w:tabs>
                <w:tab w:val="right" w:pos="1202"/>
              </w:tabs>
              <w:spacing w:after="0" w:line="240" w:lineRule="auto"/>
              <w:jc w:val="right"/>
              <w:outlineLvl w:val="0"/>
              <w:rPr>
                <w:rFonts w:eastAsia="Times New Roman" w:cs="Arial"/>
                <w:snapToGrid w:val="0"/>
              </w:rPr>
            </w:pPr>
            <w:r>
              <w:rPr>
                <w:rFonts w:cs="Arial"/>
                <w:color w:val="000000"/>
              </w:rPr>
              <w:t>142,844</w:t>
            </w:r>
          </w:p>
        </w:tc>
      </w:tr>
      <w:tr w:rsidR="00F82E2C" w:rsidRPr="0034501D" w14:paraId="3C3206B3" w14:textId="77777777" w:rsidTr="005444AA">
        <w:trPr>
          <w:trHeight w:val="302"/>
        </w:trPr>
        <w:tc>
          <w:tcPr>
            <w:tcW w:w="2616" w:type="pct"/>
            <w:vAlign w:val="bottom"/>
          </w:tcPr>
          <w:p w14:paraId="4B56ACB1" w14:textId="77777777" w:rsidR="00F82E2C" w:rsidRPr="0034501D" w:rsidRDefault="00F82E2C" w:rsidP="00F82E2C">
            <w:pPr>
              <w:tabs>
                <w:tab w:val="right" w:pos="1202"/>
              </w:tabs>
              <w:spacing w:after="0" w:line="240" w:lineRule="auto"/>
              <w:outlineLvl w:val="0"/>
              <w:rPr>
                <w:rFonts w:eastAsia="Times New Roman" w:cs="Arial"/>
              </w:rPr>
            </w:pPr>
            <w:r w:rsidRPr="0034501D">
              <w:rPr>
                <w:rFonts w:cs="Arial"/>
              </w:rPr>
              <w:t>Borrowings</w:t>
            </w:r>
          </w:p>
        </w:tc>
        <w:tc>
          <w:tcPr>
            <w:tcW w:w="539" w:type="pct"/>
            <w:vAlign w:val="center"/>
          </w:tcPr>
          <w:p w14:paraId="572BE73A" w14:textId="77777777" w:rsidR="00F82E2C" w:rsidRPr="0034501D" w:rsidRDefault="00F82E2C" w:rsidP="00F82E2C">
            <w:pPr>
              <w:tabs>
                <w:tab w:val="right" w:pos="1202"/>
              </w:tabs>
              <w:spacing w:after="0" w:line="240" w:lineRule="auto"/>
              <w:jc w:val="center"/>
              <w:outlineLvl w:val="0"/>
              <w:rPr>
                <w:rFonts w:eastAsia="Times New Roman" w:cs="Arial"/>
              </w:rPr>
            </w:pPr>
            <w:r w:rsidRPr="0034501D">
              <w:rPr>
                <w:rFonts w:eastAsia="Times New Roman" w:cs="Arial"/>
              </w:rPr>
              <w:t>12</w:t>
            </w:r>
          </w:p>
        </w:tc>
        <w:tc>
          <w:tcPr>
            <w:tcW w:w="847" w:type="pct"/>
            <w:tcBorders>
              <w:top w:val="nil"/>
              <w:left w:val="nil"/>
              <w:bottom w:val="nil"/>
              <w:right w:val="nil"/>
            </w:tcBorders>
            <w:shd w:val="clear" w:color="auto" w:fill="auto"/>
            <w:vAlign w:val="bottom"/>
          </w:tcPr>
          <w:p w14:paraId="4A528F9C" w14:textId="0ABDFB3B" w:rsidR="00F82E2C" w:rsidRPr="00CA37C8" w:rsidRDefault="00F82E2C" w:rsidP="00F82E2C">
            <w:pPr>
              <w:tabs>
                <w:tab w:val="right" w:pos="1202"/>
              </w:tabs>
              <w:spacing w:after="0" w:line="240" w:lineRule="auto"/>
              <w:jc w:val="right"/>
              <w:outlineLvl w:val="0"/>
              <w:rPr>
                <w:rFonts w:eastAsia="Times New Roman" w:cs="Arial"/>
              </w:rPr>
            </w:pPr>
            <w:r w:rsidRPr="00CE0613">
              <w:rPr>
                <w:rFonts w:cs="Arial"/>
                <w:color w:val="000000"/>
              </w:rPr>
              <w:t>15</w:t>
            </w:r>
            <w:r>
              <w:rPr>
                <w:rFonts w:cs="Arial"/>
                <w:color w:val="000000"/>
              </w:rPr>
              <w:t>,</w:t>
            </w:r>
            <w:r w:rsidRPr="00CE0613">
              <w:rPr>
                <w:rFonts w:cs="Arial"/>
                <w:color w:val="000000"/>
              </w:rPr>
              <w:t>335</w:t>
            </w:r>
            <w:r>
              <w:rPr>
                <w:rFonts w:cs="Arial"/>
                <w:color w:val="000000"/>
              </w:rPr>
              <w:t>,</w:t>
            </w:r>
            <w:r w:rsidRPr="00CE0613">
              <w:rPr>
                <w:rFonts w:cs="Arial"/>
                <w:color w:val="000000"/>
              </w:rPr>
              <w:t>834</w:t>
            </w:r>
          </w:p>
        </w:tc>
        <w:tc>
          <w:tcPr>
            <w:tcW w:w="153" w:type="pct"/>
            <w:vAlign w:val="bottom"/>
          </w:tcPr>
          <w:p w14:paraId="5C5C30F5" w14:textId="77777777" w:rsidR="00F82E2C" w:rsidRPr="0034501D" w:rsidRDefault="00F82E2C" w:rsidP="00F82E2C">
            <w:pPr>
              <w:tabs>
                <w:tab w:val="right" w:pos="1202"/>
              </w:tabs>
              <w:spacing w:after="0" w:line="240" w:lineRule="auto"/>
              <w:jc w:val="right"/>
              <w:outlineLvl w:val="0"/>
              <w:rPr>
                <w:rFonts w:eastAsia="Times New Roman" w:cs="Arial"/>
              </w:rPr>
            </w:pPr>
          </w:p>
        </w:tc>
        <w:tc>
          <w:tcPr>
            <w:tcW w:w="845" w:type="pct"/>
            <w:shd w:val="clear" w:color="auto" w:fill="auto"/>
            <w:vAlign w:val="bottom"/>
          </w:tcPr>
          <w:p w14:paraId="57CF0650" w14:textId="77777777" w:rsidR="00F82E2C" w:rsidRPr="00D633A5" w:rsidRDefault="00F82E2C" w:rsidP="00F82E2C">
            <w:pPr>
              <w:tabs>
                <w:tab w:val="right" w:pos="1202"/>
              </w:tabs>
              <w:spacing w:after="0" w:line="240" w:lineRule="auto"/>
              <w:jc w:val="right"/>
              <w:outlineLvl w:val="0"/>
              <w:rPr>
                <w:rFonts w:eastAsia="Times New Roman" w:cs="Arial"/>
                <w:snapToGrid w:val="0"/>
              </w:rPr>
            </w:pPr>
            <w:r>
              <w:rPr>
                <w:rFonts w:cs="Arial"/>
                <w:color w:val="000000"/>
              </w:rPr>
              <w:t>13,391,749</w:t>
            </w:r>
          </w:p>
        </w:tc>
      </w:tr>
      <w:tr w:rsidR="00F82E2C" w:rsidRPr="0034501D" w14:paraId="5AA63683" w14:textId="77777777" w:rsidTr="005444AA">
        <w:trPr>
          <w:trHeight w:val="302"/>
        </w:trPr>
        <w:tc>
          <w:tcPr>
            <w:tcW w:w="2616" w:type="pct"/>
            <w:vAlign w:val="bottom"/>
          </w:tcPr>
          <w:p w14:paraId="6637E07C" w14:textId="77777777" w:rsidR="00F82E2C" w:rsidRPr="0034501D" w:rsidRDefault="00F82E2C" w:rsidP="00F82E2C">
            <w:pPr>
              <w:tabs>
                <w:tab w:val="right" w:pos="1202"/>
              </w:tabs>
              <w:spacing w:after="0" w:line="240" w:lineRule="auto"/>
              <w:outlineLvl w:val="0"/>
              <w:rPr>
                <w:rFonts w:eastAsia="Times New Roman" w:cs="Arial"/>
              </w:rPr>
            </w:pPr>
            <w:r w:rsidRPr="0034501D">
              <w:rPr>
                <w:rFonts w:cs="Arial"/>
              </w:rPr>
              <w:t>Bonds payable</w:t>
            </w:r>
          </w:p>
        </w:tc>
        <w:tc>
          <w:tcPr>
            <w:tcW w:w="539" w:type="pct"/>
            <w:vAlign w:val="center"/>
          </w:tcPr>
          <w:p w14:paraId="08ABDEA0" w14:textId="77777777" w:rsidR="00F82E2C" w:rsidRPr="0034501D" w:rsidRDefault="00F82E2C" w:rsidP="00F82E2C">
            <w:pPr>
              <w:tabs>
                <w:tab w:val="right" w:pos="1202"/>
              </w:tabs>
              <w:spacing w:after="0" w:line="240" w:lineRule="auto"/>
              <w:jc w:val="center"/>
              <w:outlineLvl w:val="0"/>
              <w:rPr>
                <w:rFonts w:eastAsia="Times New Roman" w:cs="Arial"/>
              </w:rPr>
            </w:pPr>
            <w:r w:rsidRPr="0034501D">
              <w:rPr>
                <w:rFonts w:eastAsia="Times New Roman" w:cs="Arial"/>
              </w:rPr>
              <w:t>13</w:t>
            </w:r>
          </w:p>
        </w:tc>
        <w:tc>
          <w:tcPr>
            <w:tcW w:w="847" w:type="pct"/>
            <w:tcBorders>
              <w:top w:val="nil"/>
              <w:left w:val="nil"/>
              <w:bottom w:val="nil"/>
              <w:right w:val="nil"/>
            </w:tcBorders>
            <w:shd w:val="clear" w:color="auto" w:fill="auto"/>
            <w:vAlign w:val="bottom"/>
          </w:tcPr>
          <w:p w14:paraId="448850FA" w14:textId="2214A053" w:rsidR="00F82E2C" w:rsidRPr="00CA37C8" w:rsidRDefault="00F82E2C" w:rsidP="00F82E2C">
            <w:pPr>
              <w:tabs>
                <w:tab w:val="right" w:pos="1202"/>
              </w:tabs>
              <w:spacing w:after="0" w:line="240" w:lineRule="auto"/>
              <w:jc w:val="right"/>
              <w:outlineLvl w:val="0"/>
              <w:rPr>
                <w:rFonts w:eastAsia="Times New Roman" w:cs="Arial"/>
              </w:rPr>
            </w:pPr>
            <w:r w:rsidRPr="00CE0613">
              <w:rPr>
                <w:rFonts w:cs="Arial"/>
                <w:color w:val="000000"/>
              </w:rPr>
              <w:t>1</w:t>
            </w:r>
            <w:r>
              <w:rPr>
                <w:rFonts w:cs="Arial"/>
                <w:color w:val="000000"/>
              </w:rPr>
              <w:t>,</w:t>
            </w:r>
            <w:r w:rsidRPr="00CE0613">
              <w:rPr>
                <w:rFonts w:cs="Arial"/>
                <w:color w:val="000000"/>
              </w:rPr>
              <w:t>141</w:t>
            </w:r>
            <w:r>
              <w:rPr>
                <w:rFonts w:cs="Arial"/>
                <w:color w:val="000000"/>
              </w:rPr>
              <w:t>,</w:t>
            </w:r>
            <w:r w:rsidRPr="00CE0613">
              <w:rPr>
                <w:rFonts w:cs="Arial"/>
                <w:color w:val="000000"/>
              </w:rPr>
              <w:t>222</w:t>
            </w:r>
          </w:p>
        </w:tc>
        <w:tc>
          <w:tcPr>
            <w:tcW w:w="153" w:type="pct"/>
            <w:vAlign w:val="bottom"/>
          </w:tcPr>
          <w:p w14:paraId="3C977125" w14:textId="77777777" w:rsidR="00F82E2C" w:rsidRPr="0034501D" w:rsidRDefault="00F82E2C" w:rsidP="00F82E2C">
            <w:pPr>
              <w:tabs>
                <w:tab w:val="right" w:pos="1202"/>
              </w:tabs>
              <w:spacing w:after="0" w:line="240" w:lineRule="auto"/>
              <w:jc w:val="right"/>
              <w:outlineLvl w:val="0"/>
              <w:rPr>
                <w:rFonts w:eastAsia="Times New Roman" w:cs="Arial"/>
              </w:rPr>
            </w:pPr>
          </w:p>
        </w:tc>
        <w:tc>
          <w:tcPr>
            <w:tcW w:w="845" w:type="pct"/>
            <w:shd w:val="clear" w:color="auto" w:fill="auto"/>
            <w:vAlign w:val="bottom"/>
          </w:tcPr>
          <w:p w14:paraId="18DC689E" w14:textId="77777777" w:rsidR="00F82E2C" w:rsidRPr="00D633A5" w:rsidRDefault="00F82E2C" w:rsidP="00F82E2C">
            <w:pPr>
              <w:tabs>
                <w:tab w:val="right" w:pos="1202"/>
              </w:tabs>
              <w:spacing w:after="0" w:line="240" w:lineRule="auto"/>
              <w:jc w:val="right"/>
              <w:outlineLvl w:val="0"/>
              <w:rPr>
                <w:rFonts w:eastAsia="Times New Roman" w:cs="Arial"/>
                <w:snapToGrid w:val="0"/>
              </w:rPr>
            </w:pPr>
            <w:r>
              <w:rPr>
                <w:rFonts w:cs="Arial"/>
                <w:color w:val="000000"/>
              </w:rPr>
              <w:t>3,105,569</w:t>
            </w:r>
          </w:p>
        </w:tc>
      </w:tr>
      <w:tr w:rsidR="00F82E2C" w:rsidRPr="0034501D" w14:paraId="20F355E3" w14:textId="77777777" w:rsidTr="005444AA">
        <w:trPr>
          <w:trHeight w:val="315"/>
        </w:trPr>
        <w:tc>
          <w:tcPr>
            <w:tcW w:w="2616" w:type="pct"/>
            <w:vAlign w:val="bottom"/>
          </w:tcPr>
          <w:p w14:paraId="35861383" w14:textId="77777777" w:rsidR="00F82E2C" w:rsidRPr="0034501D" w:rsidRDefault="00F82E2C" w:rsidP="00F82E2C">
            <w:pPr>
              <w:tabs>
                <w:tab w:val="right" w:pos="1202"/>
              </w:tabs>
              <w:spacing w:after="0" w:line="240" w:lineRule="auto"/>
              <w:outlineLvl w:val="0"/>
              <w:rPr>
                <w:rFonts w:eastAsia="Times New Roman" w:cs="Arial"/>
              </w:rPr>
            </w:pPr>
            <w:r w:rsidRPr="0034501D">
              <w:rPr>
                <w:rFonts w:cs="Arial"/>
              </w:rPr>
              <w:t>Other liabilities</w:t>
            </w:r>
          </w:p>
        </w:tc>
        <w:tc>
          <w:tcPr>
            <w:tcW w:w="539" w:type="pct"/>
            <w:vAlign w:val="center"/>
          </w:tcPr>
          <w:p w14:paraId="73A74CD9" w14:textId="77777777" w:rsidR="00F82E2C" w:rsidRPr="0034501D" w:rsidRDefault="00F82E2C" w:rsidP="00F82E2C">
            <w:pPr>
              <w:tabs>
                <w:tab w:val="right" w:pos="1202"/>
              </w:tabs>
              <w:spacing w:after="0" w:line="240" w:lineRule="auto"/>
              <w:jc w:val="center"/>
              <w:outlineLvl w:val="0"/>
              <w:rPr>
                <w:rFonts w:eastAsia="Times New Roman" w:cs="Arial"/>
              </w:rPr>
            </w:pPr>
          </w:p>
        </w:tc>
        <w:tc>
          <w:tcPr>
            <w:tcW w:w="847" w:type="pct"/>
            <w:tcBorders>
              <w:top w:val="nil"/>
              <w:left w:val="nil"/>
              <w:bottom w:val="nil"/>
              <w:right w:val="nil"/>
            </w:tcBorders>
            <w:shd w:val="clear" w:color="auto" w:fill="auto"/>
            <w:vAlign w:val="bottom"/>
          </w:tcPr>
          <w:p w14:paraId="743C0CE0" w14:textId="3E28EBF3" w:rsidR="00F82E2C" w:rsidRPr="00CA37C8" w:rsidRDefault="00F82E2C" w:rsidP="00F82E2C">
            <w:pPr>
              <w:tabs>
                <w:tab w:val="right" w:pos="1202"/>
              </w:tabs>
              <w:spacing w:after="0" w:line="240" w:lineRule="auto"/>
              <w:jc w:val="right"/>
              <w:outlineLvl w:val="0"/>
              <w:rPr>
                <w:rFonts w:eastAsia="Times New Roman" w:cs="Arial"/>
              </w:rPr>
            </w:pPr>
            <w:r w:rsidRPr="00CE0613">
              <w:rPr>
                <w:rFonts w:cs="Arial"/>
                <w:color w:val="000000"/>
              </w:rPr>
              <w:t>622</w:t>
            </w:r>
            <w:r>
              <w:rPr>
                <w:rFonts w:cs="Arial"/>
                <w:color w:val="000000"/>
              </w:rPr>
              <w:t>,</w:t>
            </w:r>
            <w:r w:rsidRPr="00CE0613">
              <w:rPr>
                <w:rFonts w:cs="Arial"/>
                <w:color w:val="000000"/>
              </w:rPr>
              <w:t>070</w:t>
            </w:r>
          </w:p>
        </w:tc>
        <w:tc>
          <w:tcPr>
            <w:tcW w:w="153" w:type="pct"/>
            <w:vAlign w:val="bottom"/>
          </w:tcPr>
          <w:p w14:paraId="3EC6EAE1" w14:textId="77777777" w:rsidR="00F82E2C" w:rsidRPr="0034501D" w:rsidRDefault="00F82E2C" w:rsidP="00F82E2C">
            <w:pPr>
              <w:tabs>
                <w:tab w:val="right" w:pos="1202"/>
              </w:tabs>
              <w:spacing w:after="0" w:line="240" w:lineRule="auto"/>
              <w:jc w:val="right"/>
              <w:outlineLvl w:val="0"/>
              <w:rPr>
                <w:rFonts w:eastAsia="Times New Roman" w:cs="Arial"/>
              </w:rPr>
            </w:pPr>
          </w:p>
        </w:tc>
        <w:tc>
          <w:tcPr>
            <w:tcW w:w="845" w:type="pct"/>
            <w:shd w:val="clear" w:color="auto" w:fill="auto"/>
            <w:vAlign w:val="bottom"/>
          </w:tcPr>
          <w:p w14:paraId="702D9D2A" w14:textId="77777777" w:rsidR="00F82E2C" w:rsidRPr="00D633A5" w:rsidRDefault="00F82E2C" w:rsidP="00F82E2C">
            <w:pPr>
              <w:tabs>
                <w:tab w:val="right" w:pos="1202"/>
              </w:tabs>
              <w:spacing w:after="0" w:line="240" w:lineRule="auto"/>
              <w:jc w:val="right"/>
              <w:outlineLvl w:val="0"/>
              <w:rPr>
                <w:rFonts w:eastAsia="Times New Roman" w:cs="Arial"/>
                <w:snapToGrid w:val="0"/>
              </w:rPr>
            </w:pPr>
            <w:r>
              <w:rPr>
                <w:rFonts w:cs="Arial"/>
              </w:rPr>
              <w:t>707,952</w:t>
            </w:r>
          </w:p>
        </w:tc>
      </w:tr>
      <w:tr w:rsidR="00F82E2C" w:rsidRPr="0034501D" w14:paraId="34DAF084" w14:textId="77777777" w:rsidTr="005444AA">
        <w:trPr>
          <w:trHeight w:hRule="exact" w:val="113"/>
        </w:trPr>
        <w:tc>
          <w:tcPr>
            <w:tcW w:w="2616" w:type="pct"/>
            <w:vAlign w:val="bottom"/>
          </w:tcPr>
          <w:p w14:paraId="3232A23C" w14:textId="77777777" w:rsidR="00F82E2C" w:rsidRPr="0034501D" w:rsidRDefault="00F82E2C" w:rsidP="00F82E2C">
            <w:pPr>
              <w:keepNext/>
              <w:keepLines/>
              <w:tabs>
                <w:tab w:val="decimal" w:pos="1202"/>
              </w:tabs>
              <w:spacing w:after="0" w:line="240" w:lineRule="auto"/>
              <w:rPr>
                <w:rFonts w:eastAsia="Times New Roman" w:cs="Arial"/>
                <w:b/>
                <w:position w:val="4"/>
              </w:rPr>
            </w:pPr>
          </w:p>
        </w:tc>
        <w:tc>
          <w:tcPr>
            <w:tcW w:w="539" w:type="pct"/>
            <w:vAlign w:val="center"/>
          </w:tcPr>
          <w:p w14:paraId="5B86972F" w14:textId="77777777" w:rsidR="00F82E2C" w:rsidRPr="0034501D" w:rsidRDefault="00F82E2C" w:rsidP="00F82E2C">
            <w:pPr>
              <w:keepLines/>
              <w:spacing w:after="0" w:line="240" w:lineRule="auto"/>
              <w:jc w:val="center"/>
              <w:rPr>
                <w:rFonts w:eastAsia="Times New Roman" w:cs="Arial"/>
                <w:spacing w:val="-2"/>
                <w:position w:val="4"/>
              </w:rPr>
            </w:pPr>
          </w:p>
        </w:tc>
        <w:tc>
          <w:tcPr>
            <w:tcW w:w="847" w:type="pct"/>
            <w:tcBorders>
              <w:bottom w:val="single" w:sz="4" w:space="0" w:color="auto"/>
            </w:tcBorders>
            <w:vAlign w:val="bottom"/>
          </w:tcPr>
          <w:p w14:paraId="5562D98A" w14:textId="77777777" w:rsidR="00F82E2C" w:rsidRPr="00CA37C8" w:rsidRDefault="00F82E2C" w:rsidP="00F82E2C">
            <w:pPr>
              <w:keepLines/>
              <w:spacing w:after="0" w:line="240" w:lineRule="auto"/>
              <w:jc w:val="right"/>
              <w:rPr>
                <w:rFonts w:eastAsia="Times New Roman" w:cs="Arial"/>
                <w:spacing w:val="-2"/>
                <w:position w:val="4"/>
              </w:rPr>
            </w:pPr>
          </w:p>
        </w:tc>
        <w:tc>
          <w:tcPr>
            <w:tcW w:w="153" w:type="pct"/>
            <w:tcBorders>
              <w:bottom w:val="single" w:sz="4" w:space="0" w:color="auto"/>
            </w:tcBorders>
            <w:vAlign w:val="bottom"/>
          </w:tcPr>
          <w:p w14:paraId="4C405973" w14:textId="77777777" w:rsidR="00F82E2C" w:rsidRPr="0034501D" w:rsidRDefault="00F82E2C" w:rsidP="00F82E2C">
            <w:pPr>
              <w:keepNext/>
              <w:keepLines/>
              <w:tabs>
                <w:tab w:val="left" w:pos="215"/>
                <w:tab w:val="decimal" w:pos="1295"/>
              </w:tabs>
              <w:spacing w:after="0" w:line="240" w:lineRule="auto"/>
              <w:ind w:right="-148"/>
              <w:jc w:val="right"/>
              <w:rPr>
                <w:rFonts w:eastAsia="Times New Roman" w:cs="Arial"/>
                <w:b/>
                <w:snapToGrid w:val="0"/>
                <w:position w:val="4"/>
              </w:rPr>
            </w:pPr>
          </w:p>
        </w:tc>
        <w:tc>
          <w:tcPr>
            <w:tcW w:w="845" w:type="pct"/>
            <w:tcBorders>
              <w:bottom w:val="single" w:sz="4" w:space="0" w:color="auto"/>
            </w:tcBorders>
            <w:vAlign w:val="bottom"/>
          </w:tcPr>
          <w:p w14:paraId="5BB47435" w14:textId="77777777" w:rsidR="00F82E2C" w:rsidRPr="00CA37C8" w:rsidRDefault="00F82E2C" w:rsidP="00F82E2C">
            <w:pPr>
              <w:keepLines/>
              <w:spacing w:after="0" w:line="240" w:lineRule="auto"/>
              <w:jc w:val="right"/>
              <w:rPr>
                <w:rFonts w:eastAsia="Times New Roman" w:cs="Arial"/>
                <w:spacing w:val="-2"/>
                <w:position w:val="4"/>
              </w:rPr>
            </w:pPr>
          </w:p>
        </w:tc>
      </w:tr>
      <w:tr w:rsidR="00F82E2C" w:rsidRPr="0034501D" w14:paraId="34EC9CD2" w14:textId="77777777" w:rsidTr="005444AA">
        <w:trPr>
          <w:trHeight w:val="344"/>
        </w:trPr>
        <w:tc>
          <w:tcPr>
            <w:tcW w:w="2616" w:type="pct"/>
            <w:vAlign w:val="bottom"/>
          </w:tcPr>
          <w:p w14:paraId="4E49DAEF" w14:textId="77777777" w:rsidR="00F82E2C" w:rsidRPr="0034501D" w:rsidRDefault="00F82E2C" w:rsidP="00F82E2C">
            <w:pPr>
              <w:tabs>
                <w:tab w:val="right" w:pos="1202"/>
              </w:tabs>
              <w:spacing w:after="0" w:line="240" w:lineRule="auto"/>
              <w:outlineLvl w:val="0"/>
              <w:rPr>
                <w:rFonts w:eastAsia="Times New Roman" w:cs="Arial"/>
                <w:b/>
                <w:bCs/>
              </w:rPr>
            </w:pPr>
            <w:r w:rsidRPr="0034501D">
              <w:rPr>
                <w:rFonts w:cs="Arial"/>
                <w:b/>
                <w:bCs/>
              </w:rPr>
              <w:t>Total liabilities</w:t>
            </w:r>
          </w:p>
        </w:tc>
        <w:tc>
          <w:tcPr>
            <w:tcW w:w="539" w:type="pct"/>
            <w:vAlign w:val="center"/>
          </w:tcPr>
          <w:p w14:paraId="0260DAA5" w14:textId="77777777" w:rsidR="00F82E2C" w:rsidRPr="0034501D" w:rsidRDefault="00F82E2C" w:rsidP="00F82E2C">
            <w:pPr>
              <w:tabs>
                <w:tab w:val="right" w:pos="1202"/>
              </w:tabs>
              <w:spacing w:after="0" w:line="240" w:lineRule="auto"/>
              <w:jc w:val="center"/>
              <w:outlineLvl w:val="0"/>
              <w:rPr>
                <w:rFonts w:eastAsia="Times New Roman" w:cs="Arial"/>
                <w:b/>
                <w:bCs/>
              </w:rPr>
            </w:pPr>
          </w:p>
        </w:tc>
        <w:tc>
          <w:tcPr>
            <w:tcW w:w="847" w:type="pct"/>
            <w:tcBorders>
              <w:top w:val="single" w:sz="4" w:space="0" w:color="auto"/>
              <w:bottom w:val="single" w:sz="12" w:space="0" w:color="auto"/>
            </w:tcBorders>
            <w:vAlign w:val="bottom"/>
          </w:tcPr>
          <w:p w14:paraId="58B09AEC" w14:textId="42F0A870" w:rsidR="00F82E2C" w:rsidRPr="00CA37C8" w:rsidRDefault="00F82E2C" w:rsidP="00F82E2C">
            <w:pPr>
              <w:tabs>
                <w:tab w:val="right" w:pos="1202"/>
              </w:tabs>
              <w:spacing w:after="0" w:line="240" w:lineRule="auto"/>
              <w:jc w:val="right"/>
              <w:outlineLvl w:val="0"/>
              <w:rPr>
                <w:rFonts w:eastAsia="Times New Roman" w:cs="Arial"/>
                <w:b/>
                <w:bCs/>
              </w:rPr>
            </w:pPr>
            <w:r w:rsidRPr="00613FEA">
              <w:rPr>
                <w:rFonts w:eastAsia="Times New Roman" w:cs="Arial"/>
                <w:b/>
                <w:bCs/>
              </w:rPr>
              <w:t>18</w:t>
            </w:r>
            <w:r>
              <w:rPr>
                <w:rFonts w:eastAsia="Times New Roman" w:cs="Arial"/>
                <w:b/>
                <w:bCs/>
              </w:rPr>
              <w:t>,</w:t>
            </w:r>
            <w:r w:rsidRPr="00613FEA">
              <w:rPr>
                <w:rFonts w:eastAsia="Times New Roman" w:cs="Arial"/>
                <w:b/>
                <w:bCs/>
              </w:rPr>
              <w:t>039</w:t>
            </w:r>
            <w:r>
              <w:rPr>
                <w:rFonts w:eastAsia="Times New Roman" w:cs="Arial"/>
                <w:b/>
                <w:bCs/>
              </w:rPr>
              <w:t>,</w:t>
            </w:r>
            <w:r w:rsidRPr="00613FEA">
              <w:rPr>
                <w:rFonts w:eastAsia="Times New Roman" w:cs="Arial"/>
                <w:b/>
                <w:bCs/>
              </w:rPr>
              <w:t>910</w:t>
            </w:r>
          </w:p>
        </w:tc>
        <w:tc>
          <w:tcPr>
            <w:tcW w:w="153" w:type="pct"/>
            <w:tcBorders>
              <w:top w:val="single" w:sz="4" w:space="0" w:color="auto"/>
              <w:bottom w:val="single" w:sz="12" w:space="0" w:color="auto"/>
            </w:tcBorders>
            <w:vAlign w:val="bottom"/>
          </w:tcPr>
          <w:p w14:paraId="0A34254F" w14:textId="77777777" w:rsidR="00F82E2C" w:rsidRPr="0034501D" w:rsidRDefault="00F82E2C" w:rsidP="00F82E2C">
            <w:pPr>
              <w:tabs>
                <w:tab w:val="right" w:pos="1202"/>
              </w:tabs>
              <w:spacing w:after="0" w:line="240" w:lineRule="auto"/>
              <w:jc w:val="right"/>
              <w:outlineLvl w:val="0"/>
              <w:rPr>
                <w:rFonts w:eastAsia="Times New Roman" w:cs="Arial"/>
                <w:b/>
                <w:bCs/>
              </w:rPr>
            </w:pPr>
          </w:p>
        </w:tc>
        <w:tc>
          <w:tcPr>
            <w:tcW w:w="845" w:type="pct"/>
            <w:tcBorders>
              <w:top w:val="single" w:sz="4" w:space="0" w:color="auto"/>
              <w:bottom w:val="single" w:sz="12" w:space="0" w:color="auto"/>
            </w:tcBorders>
            <w:vAlign w:val="bottom"/>
          </w:tcPr>
          <w:p w14:paraId="0D87FC74" w14:textId="77777777" w:rsidR="00F82E2C" w:rsidRPr="00CA37C8" w:rsidRDefault="00F82E2C" w:rsidP="00F82E2C">
            <w:pPr>
              <w:tabs>
                <w:tab w:val="right" w:pos="1202"/>
              </w:tabs>
              <w:spacing w:after="0" w:line="240" w:lineRule="auto"/>
              <w:jc w:val="right"/>
              <w:outlineLvl w:val="0"/>
              <w:rPr>
                <w:rFonts w:eastAsia="Times New Roman" w:cs="Arial"/>
                <w:b/>
                <w:bCs/>
              </w:rPr>
            </w:pPr>
            <w:r w:rsidRPr="007C409B">
              <w:rPr>
                <w:rFonts w:eastAsia="Times New Roman" w:cs="Arial"/>
                <w:b/>
                <w:bCs/>
              </w:rPr>
              <w:t>17</w:t>
            </w:r>
            <w:r>
              <w:rPr>
                <w:rFonts w:eastAsia="Times New Roman" w:cs="Arial"/>
                <w:b/>
                <w:bCs/>
              </w:rPr>
              <w:t>,</w:t>
            </w:r>
            <w:r w:rsidRPr="007C409B">
              <w:rPr>
                <w:rFonts w:eastAsia="Times New Roman" w:cs="Arial"/>
                <w:b/>
                <w:bCs/>
              </w:rPr>
              <w:t>348</w:t>
            </w:r>
            <w:r>
              <w:rPr>
                <w:rFonts w:eastAsia="Times New Roman" w:cs="Arial"/>
                <w:b/>
                <w:bCs/>
              </w:rPr>
              <w:t>,</w:t>
            </w:r>
            <w:r w:rsidRPr="007C409B">
              <w:rPr>
                <w:rFonts w:eastAsia="Times New Roman" w:cs="Arial"/>
                <w:b/>
                <w:bCs/>
              </w:rPr>
              <w:t>114</w:t>
            </w:r>
          </w:p>
        </w:tc>
      </w:tr>
      <w:tr w:rsidR="00F82E2C" w:rsidRPr="0034501D" w14:paraId="377176FE" w14:textId="77777777" w:rsidTr="005444AA">
        <w:trPr>
          <w:trHeight w:hRule="exact" w:val="113"/>
        </w:trPr>
        <w:tc>
          <w:tcPr>
            <w:tcW w:w="2616" w:type="pct"/>
            <w:vAlign w:val="bottom"/>
          </w:tcPr>
          <w:p w14:paraId="74490458" w14:textId="77777777" w:rsidR="00F82E2C" w:rsidRPr="0034501D" w:rsidRDefault="00F82E2C" w:rsidP="00F82E2C">
            <w:pPr>
              <w:keepNext/>
              <w:keepLines/>
              <w:tabs>
                <w:tab w:val="decimal" w:pos="1202"/>
              </w:tabs>
              <w:spacing w:after="0" w:line="240" w:lineRule="auto"/>
              <w:rPr>
                <w:rFonts w:eastAsia="Times New Roman" w:cs="Arial"/>
                <w:b/>
                <w:position w:val="4"/>
                <w:u w:val="thick"/>
              </w:rPr>
            </w:pPr>
          </w:p>
        </w:tc>
        <w:tc>
          <w:tcPr>
            <w:tcW w:w="539" w:type="pct"/>
            <w:vAlign w:val="center"/>
          </w:tcPr>
          <w:p w14:paraId="30389EED" w14:textId="77777777" w:rsidR="00F82E2C" w:rsidRPr="0034501D" w:rsidRDefault="00F82E2C" w:rsidP="00F82E2C">
            <w:pPr>
              <w:keepNext/>
              <w:keepLines/>
              <w:tabs>
                <w:tab w:val="decimal" w:pos="1060"/>
              </w:tabs>
              <w:spacing w:after="0" w:line="240" w:lineRule="auto"/>
              <w:jc w:val="center"/>
              <w:rPr>
                <w:rFonts w:eastAsia="Times New Roman" w:cs="Arial"/>
                <w:b/>
                <w:position w:val="4"/>
                <w:u w:val="thick"/>
              </w:rPr>
            </w:pPr>
          </w:p>
        </w:tc>
        <w:tc>
          <w:tcPr>
            <w:tcW w:w="847" w:type="pct"/>
            <w:tcBorders>
              <w:top w:val="single" w:sz="12" w:space="0" w:color="auto"/>
            </w:tcBorders>
            <w:vAlign w:val="bottom"/>
          </w:tcPr>
          <w:p w14:paraId="0735C6CA" w14:textId="77777777" w:rsidR="00F82E2C" w:rsidRPr="00CA37C8" w:rsidRDefault="00F82E2C" w:rsidP="00F82E2C">
            <w:pPr>
              <w:keepNext/>
              <w:keepLines/>
              <w:tabs>
                <w:tab w:val="decimal" w:pos="1060"/>
              </w:tabs>
              <w:spacing w:after="0" w:line="240" w:lineRule="auto"/>
              <w:jc w:val="right"/>
              <w:rPr>
                <w:rFonts w:eastAsia="Times New Roman" w:cs="Arial"/>
                <w:b/>
                <w:position w:val="4"/>
                <w:u w:val="thick"/>
              </w:rPr>
            </w:pPr>
          </w:p>
        </w:tc>
        <w:tc>
          <w:tcPr>
            <w:tcW w:w="153" w:type="pct"/>
            <w:tcBorders>
              <w:top w:val="single" w:sz="12" w:space="0" w:color="auto"/>
            </w:tcBorders>
            <w:vAlign w:val="bottom"/>
          </w:tcPr>
          <w:p w14:paraId="3517DAF2" w14:textId="77777777" w:rsidR="00F82E2C" w:rsidRPr="0034501D" w:rsidRDefault="00F82E2C" w:rsidP="00F82E2C">
            <w:pPr>
              <w:keepNext/>
              <w:keepLines/>
              <w:tabs>
                <w:tab w:val="decimal" w:pos="1202"/>
              </w:tabs>
              <w:spacing w:after="0" w:line="240" w:lineRule="auto"/>
              <w:jc w:val="right"/>
              <w:rPr>
                <w:rFonts w:eastAsia="Times New Roman" w:cs="Arial"/>
                <w:b/>
                <w:position w:val="4"/>
                <w:u w:val="thick"/>
              </w:rPr>
            </w:pPr>
          </w:p>
        </w:tc>
        <w:tc>
          <w:tcPr>
            <w:tcW w:w="845" w:type="pct"/>
            <w:tcBorders>
              <w:top w:val="single" w:sz="12" w:space="0" w:color="auto"/>
            </w:tcBorders>
            <w:vAlign w:val="bottom"/>
          </w:tcPr>
          <w:p w14:paraId="6F374C27" w14:textId="77777777" w:rsidR="00F82E2C" w:rsidRPr="00CA37C8" w:rsidRDefault="00F82E2C" w:rsidP="00F82E2C">
            <w:pPr>
              <w:keepNext/>
              <w:keepLines/>
              <w:tabs>
                <w:tab w:val="decimal" w:pos="1060"/>
              </w:tabs>
              <w:spacing w:after="0" w:line="240" w:lineRule="auto"/>
              <w:jc w:val="right"/>
              <w:rPr>
                <w:rFonts w:eastAsia="Times New Roman" w:cs="Arial"/>
                <w:b/>
                <w:position w:val="4"/>
                <w:u w:val="thick"/>
              </w:rPr>
            </w:pPr>
          </w:p>
        </w:tc>
      </w:tr>
      <w:tr w:rsidR="00F82E2C" w:rsidRPr="0034501D" w14:paraId="527260BE" w14:textId="77777777" w:rsidTr="005444AA">
        <w:trPr>
          <w:trHeight w:val="302"/>
        </w:trPr>
        <w:tc>
          <w:tcPr>
            <w:tcW w:w="2616" w:type="pct"/>
            <w:vAlign w:val="bottom"/>
          </w:tcPr>
          <w:p w14:paraId="16EECDCF" w14:textId="77777777" w:rsidR="00F82E2C" w:rsidRPr="0034501D" w:rsidRDefault="00F82E2C" w:rsidP="00F82E2C">
            <w:pPr>
              <w:tabs>
                <w:tab w:val="right" w:pos="1202"/>
              </w:tabs>
              <w:spacing w:after="0" w:line="240" w:lineRule="auto"/>
              <w:outlineLvl w:val="0"/>
              <w:rPr>
                <w:rFonts w:eastAsia="Times New Roman" w:cs="Arial"/>
                <w:b/>
                <w:bCs/>
              </w:rPr>
            </w:pPr>
            <w:r w:rsidRPr="0034501D">
              <w:rPr>
                <w:rFonts w:cs="Arial"/>
                <w:b/>
                <w:bCs/>
              </w:rPr>
              <w:t>Equity</w:t>
            </w:r>
          </w:p>
        </w:tc>
        <w:tc>
          <w:tcPr>
            <w:tcW w:w="539" w:type="pct"/>
            <w:vAlign w:val="center"/>
          </w:tcPr>
          <w:p w14:paraId="625A4860" w14:textId="77777777" w:rsidR="00F82E2C" w:rsidRPr="0034501D" w:rsidRDefault="00F82E2C" w:rsidP="00F82E2C">
            <w:pPr>
              <w:tabs>
                <w:tab w:val="right" w:pos="1202"/>
              </w:tabs>
              <w:spacing w:after="0" w:line="240" w:lineRule="auto"/>
              <w:jc w:val="center"/>
              <w:outlineLvl w:val="0"/>
              <w:rPr>
                <w:rFonts w:eastAsia="Times New Roman" w:cs="Arial"/>
                <w:b/>
                <w:bCs/>
              </w:rPr>
            </w:pPr>
          </w:p>
        </w:tc>
        <w:tc>
          <w:tcPr>
            <w:tcW w:w="847" w:type="pct"/>
            <w:vAlign w:val="bottom"/>
          </w:tcPr>
          <w:p w14:paraId="3C978456" w14:textId="77777777" w:rsidR="00F82E2C" w:rsidRPr="00CA37C8" w:rsidRDefault="00F82E2C" w:rsidP="00F82E2C">
            <w:pPr>
              <w:tabs>
                <w:tab w:val="right" w:pos="1202"/>
              </w:tabs>
              <w:spacing w:after="0" w:line="240" w:lineRule="auto"/>
              <w:jc w:val="right"/>
              <w:outlineLvl w:val="0"/>
              <w:rPr>
                <w:rFonts w:eastAsia="Times New Roman" w:cs="Arial"/>
                <w:b/>
                <w:bCs/>
              </w:rPr>
            </w:pPr>
          </w:p>
        </w:tc>
        <w:tc>
          <w:tcPr>
            <w:tcW w:w="153" w:type="pct"/>
            <w:vAlign w:val="bottom"/>
          </w:tcPr>
          <w:p w14:paraId="1BBC9B94" w14:textId="77777777" w:rsidR="00F82E2C" w:rsidRPr="0034501D" w:rsidRDefault="00F82E2C" w:rsidP="00F82E2C">
            <w:pPr>
              <w:tabs>
                <w:tab w:val="right" w:pos="1202"/>
              </w:tabs>
              <w:spacing w:after="0" w:line="240" w:lineRule="auto"/>
              <w:jc w:val="right"/>
              <w:outlineLvl w:val="0"/>
              <w:rPr>
                <w:rFonts w:eastAsia="Times New Roman" w:cs="Arial"/>
                <w:b/>
                <w:bCs/>
              </w:rPr>
            </w:pPr>
          </w:p>
        </w:tc>
        <w:tc>
          <w:tcPr>
            <w:tcW w:w="845" w:type="pct"/>
            <w:vAlign w:val="bottom"/>
          </w:tcPr>
          <w:p w14:paraId="2DA9496B" w14:textId="77777777" w:rsidR="00F82E2C" w:rsidRPr="00CA37C8" w:rsidRDefault="00F82E2C" w:rsidP="00F82E2C">
            <w:pPr>
              <w:tabs>
                <w:tab w:val="right" w:pos="1202"/>
              </w:tabs>
              <w:spacing w:after="0" w:line="240" w:lineRule="auto"/>
              <w:jc w:val="right"/>
              <w:outlineLvl w:val="0"/>
              <w:rPr>
                <w:rFonts w:eastAsia="Times New Roman" w:cs="Arial"/>
                <w:b/>
                <w:bCs/>
              </w:rPr>
            </w:pPr>
          </w:p>
        </w:tc>
      </w:tr>
      <w:tr w:rsidR="00F82E2C" w:rsidRPr="0034501D" w14:paraId="60473ABA" w14:textId="77777777" w:rsidTr="005444AA">
        <w:trPr>
          <w:trHeight w:val="302"/>
        </w:trPr>
        <w:tc>
          <w:tcPr>
            <w:tcW w:w="2616" w:type="pct"/>
            <w:vAlign w:val="bottom"/>
          </w:tcPr>
          <w:p w14:paraId="08F62ED2" w14:textId="77777777" w:rsidR="00F82E2C" w:rsidRPr="0034501D" w:rsidRDefault="00F82E2C" w:rsidP="00F82E2C">
            <w:pPr>
              <w:tabs>
                <w:tab w:val="right" w:pos="1202"/>
              </w:tabs>
              <w:spacing w:after="0" w:line="240" w:lineRule="auto"/>
              <w:outlineLvl w:val="0"/>
              <w:rPr>
                <w:rFonts w:eastAsia="Times New Roman" w:cs="Arial"/>
              </w:rPr>
            </w:pPr>
            <w:r w:rsidRPr="0034501D">
              <w:rPr>
                <w:rFonts w:cs="Arial"/>
              </w:rPr>
              <w:t>Founder’s capital</w:t>
            </w:r>
          </w:p>
        </w:tc>
        <w:tc>
          <w:tcPr>
            <w:tcW w:w="539" w:type="pct"/>
            <w:vAlign w:val="center"/>
          </w:tcPr>
          <w:p w14:paraId="676EE0F0" w14:textId="77777777" w:rsidR="00F82E2C" w:rsidRPr="0034501D" w:rsidRDefault="00F82E2C" w:rsidP="00F82E2C">
            <w:pPr>
              <w:tabs>
                <w:tab w:val="right" w:pos="1202"/>
              </w:tabs>
              <w:spacing w:after="0" w:line="240" w:lineRule="auto"/>
              <w:jc w:val="center"/>
              <w:outlineLvl w:val="0"/>
              <w:rPr>
                <w:rFonts w:eastAsia="Times New Roman" w:cs="Arial"/>
              </w:rPr>
            </w:pPr>
          </w:p>
        </w:tc>
        <w:tc>
          <w:tcPr>
            <w:tcW w:w="847" w:type="pct"/>
            <w:tcBorders>
              <w:top w:val="nil"/>
              <w:left w:val="nil"/>
              <w:bottom w:val="nil"/>
              <w:right w:val="nil"/>
            </w:tcBorders>
            <w:shd w:val="clear" w:color="auto" w:fill="auto"/>
            <w:vAlign w:val="bottom"/>
          </w:tcPr>
          <w:p w14:paraId="23B84F4D" w14:textId="1EB06E02" w:rsidR="00F82E2C" w:rsidRPr="00CA37C8" w:rsidRDefault="00F82E2C" w:rsidP="00F82E2C">
            <w:pPr>
              <w:tabs>
                <w:tab w:val="right" w:pos="1202"/>
              </w:tabs>
              <w:spacing w:after="0" w:line="240" w:lineRule="auto"/>
              <w:jc w:val="right"/>
              <w:outlineLvl w:val="0"/>
              <w:rPr>
                <w:rFonts w:eastAsia="Times New Roman" w:cs="Arial"/>
              </w:rPr>
            </w:pPr>
            <w:r w:rsidRPr="00CE0613">
              <w:rPr>
                <w:rFonts w:cs="Arial"/>
                <w:color w:val="000000"/>
              </w:rPr>
              <w:t>6</w:t>
            </w:r>
            <w:r>
              <w:rPr>
                <w:rFonts w:cs="Arial"/>
                <w:color w:val="000000"/>
              </w:rPr>
              <w:t>,</w:t>
            </w:r>
            <w:r w:rsidRPr="00CE0613">
              <w:rPr>
                <w:rFonts w:cs="Arial"/>
                <w:color w:val="000000"/>
              </w:rPr>
              <w:t>984</w:t>
            </w:r>
            <w:r>
              <w:rPr>
                <w:rFonts w:cs="Arial"/>
                <w:color w:val="000000"/>
              </w:rPr>
              <w:t>,</w:t>
            </w:r>
            <w:r w:rsidRPr="00CE0613">
              <w:rPr>
                <w:rFonts w:cs="Arial"/>
                <w:color w:val="000000"/>
              </w:rPr>
              <w:t>632</w:t>
            </w:r>
          </w:p>
        </w:tc>
        <w:tc>
          <w:tcPr>
            <w:tcW w:w="153" w:type="pct"/>
            <w:vAlign w:val="bottom"/>
          </w:tcPr>
          <w:p w14:paraId="70C6F6F7" w14:textId="77777777" w:rsidR="00F82E2C" w:rsidRPr="0034501D" w:rsidRDefault="00F82E2C" w:rsidP="00F82E2C">
            <w:pPr>
              <w:tabs>
                <w:tab w:val="right" w:pos="1202"/>
              </w:tabs>
              <w:spacing w:after="0" w:line="240" w:lineRule="auto"/>
              <w:jc w:val="right"/>
              <w:outlineLvl w:val="0"/>
              <w:rPr>
                <w:rFonts w:eastAsia="Times New Roman" w:cs="Arial"/>
              </w:rPr>
            </w:pPr>
          </w:p>
        </w:tc>
        <w:tc>
          <w:tcPr>
            <w:tcW w:w="845" w:type="pct"/>
            <w:shd w:val="clear" w:color="auto" w:fill="auto"/>
            <w:vAlign w:val="bottom"/>
          </w:tcPr>
          <w:p w14:paraId="1BFD5233" w14:textId="77777777" w:rsidR="00F82E2C" w:rsidRPr="00D633A5" w:rsidRDefault="00F82E2C" w:rsidP="00F82E2C">
            <w:pPr>
              <w:tabs>
                <w:tab w:val="right" w:pos="1202"/>
              </w:tabs>
              <w:spacing w:after="0" w:line="240" w:lineRule="auto"/>
              <w:jc w:val="right"/>
              <w:outlineLvl w:val="0"/>
              <w:rPr>
                <w:rFonts w:eastAsia="Times New Roman" w:cs="Arial"/>
                <w:snapToGrid w:val="0"/>
              </w:rPr>
            </w:pPr>
            <w:r>
              <w:rPr>
                <w:rFonts w:cs="Arial"/>
                <w:color w:val="000000"/>
              </w:rPr>
              <w:t>6,959,632</w:t>
            </w:r>
          </w:p>
        </w:tc>
      </w:tr>
      <w:tr w:rsidR="00F82E2C" w:rsidRPr="0034501D" w14:paraId="5A37B118" w14:textId="77777777" w:rsidTr="005444AA">
        <w:trPr>
          <w:trHeight w:val="302"/>
        </w:trPr>
        <w:tc>
          <w:tcPr>
            <w:tcW w:w="2616" w:type="pct"/>
            <w:vAlign w:val="bottom"/>
          </w:tcPr>
          <w:p w14:paraId="27A4E75C" w14:textId="77777777" w:rsidR="00F82E2C" w:rsidRPr="0034501D" w:rsidRDefault="00F82E2C" w:rsidP="00F82E2C">
            <w:pPr>
              <w:tabs>
                <w:tab w:val="right" w:pos="1202"/>
              </w:tabs>
              <w:spacing w:after="0" w:line="240" w:lineRule="auto"/>
              <w:outlineLvl w:val="0"/>
              <w:rPr>
                <w:rFonts w:eastAsia="Times New Roman" w:cs="Arial"/>
              </w:rPr>
            </w:pPr>
            <w:r w:rsidRPr="0034501D">
              <w:rPr>
                <w:rFonts w:cs="Arial"/>
              </w:rPr>
              <w:t>Retained earnings and reserves</w:t>
            </w:r>
          </w:p>
        </w:tc>
        <w:tc>
          <w:tcPr>
            <w:tcW w:w="539" w:type="pct"/>
            <w:vAlign w:val="center"/>
          </w:tcPr>
          <w:p w14:paraId="7C4C7C93" w14:textId="77777777" w:rsidR="00F82E2C" w:rsidRPr="0034501D" w:rsidRDefault="00F82E2C" w:rsidP="00F82E2C">
            <w:pPr>
              <w:tabs>
                <w:tab w:val="right" w:pos="1202"/>
              </w:tabs>
              <w:spacing w:after="0" w:line="240" w:lineRule="auto"/>
              <w:jc w:val="center"/>
              <w:outlineLvl w:val="0"/>
              <w:rPr>
                <w:rFonts w:eastAsia="Times New Roman" w:cs="Arial"/>
              </w:rPr>
            </w:pPr>
          </w:p>
        </w:tc>
        <w:tc>
          <w:tcPr>
            <w:tcW w:w="847" w:type="pct"/>
            <w:tcBorders>
              <w:top w:val="nil"/>
              <w:left w:val="nil"/>
              <w:bottom w:val="nil"/>
              <w:right w:val="nil"/>
            </w:tcBorders>
            <w:shd w:val="clear" w:color="auto" w:fill="auto"/>
            <w:vAlign w:val="bottom"/>
          </w:tcPr>
          <w:p w14:paraId="1D541089" w14:textId="624E1BBB" w:rsidR="00F82E2C" w:rsidRPr="00CA37C8" w:rsidRDefault="00F82E2C" w:rsidP="00F82E2C">
            <w:pPr>
              <w:tabs>
                <w:tab w:val="right" w:pos="1202"/>
              </w:tabs>
              <w:spacing w:after="0" w:line="240" w:lineRule="auto"/>
              <w:jc w:val="right"/>
              <w:outlineLvl w:val="0"/>
              <w:rPr>
                <w:rFonts w:eastAsia="Times New Roman" w:cs="Arial"/>
              </w:rPr>
            </w:pPr>
            <w:r w:rsidRPr="00CE0613">
              <w:rPr>
                <w:rFonts w:cs="Arial"/>
                <w:color w:val="000000"/>
              </w:rPr>
              <w:t>2</w:t>
            </w:r>
            <w:r>
              <w:rPr>
                <w:rFonts w:cs="Arial"/>
                <w:color w:val="000000"/>
              </w:rPr>
              <w:t>,</w:t>
            </w:r>
            <w:r w:rsidRPr="00CE0613">
              <w:rPr>
                <w:rFonts w:cs="Arial"/>
                <w:color w:val="000000"/>
              </w:rPr>
              <w:t>996</w:t>
            </w:r>
            <w:r>
              <w:rPr>
                <w:rFonts w:cs="Arial"/>
                <w:color w:val="000000"/>
              </w:rPr>
              <w:t>,</w:t>
            </w:r>
            <w:r w:rsidRPr="00CE0613">
              <w:rPr>
                <w:rFonts w:cs="Arial"/>
                <w:color w:val="000000"/>
              </w:rPr>
              <w:t>968</w:t>
            </w:r>
          </w:p>
        </w:tc>
        <w:tc>
          <w:tcPr>
            <w:tcW w:w="153" w:type="pct"/>
            <w:vAlign w:val="bottom"/>
          </w:tcPr>
          <w:p w14:paraId="3D0B186F" w14:textId="77777777" w:rsidR="00F82E2C" w:rsidRPr="0034501D" w:rsidRDefault="00F82E2C" w:rsidP="00F82E2C">
            <w:pPr>
              <w:tabs>
                <w:tab w:val="right" w:pos="1202"/>
              </w:tabs>
              <w:spacing w:after="0" w:line="240" w:lineRule="auto"/>
              <w:jc w:val="right"/>
              <w:outlineLvl w:val="0"/>
              <w:rPr>
                <w:rFonts w:eastAsia="Times New Roman" w:cs="Arial"/>
              </w:rPr>
            </w:pPr>
          </w:p>
        </w:tc>
        <w:tc>
          <w:tcPr>
            <w:tcW w:w="845" w:type="pct"/>
            <w:shd w:val="clear" w:color="auto" w:fill="auto"/>
            <w:vAlign w:val="bottom"/>
          </w:tcPr>
          <w:p w14:paraId="6DB52ACB" w14:textId="77777777" w:rsidR="00F82E2C" w:rsidRPr="00D633A5" w:rsidRDefault="00F82E2C" w:rsidP="00F82E2C">
            <w:pPr>
              <w:tabs>
                <w:tab w:val="right" w:pos="1202"/>
              </w:tabs>
              <w:spacing w:after="0" w:line="240" w:lineRule="auto"/>
              <w:jc w:val="right"/>
              <w:outlineLvl w:val="0"/>
              <w:rPr>
                <w:rFonts w:eastAsia="Times New Roman" w:cs="Arial"/>
                <w:snapToGrid w:val="0"/>
              </w:rPr>
            </w:pPr>
            <w:r>
              <w:rPr>
                <w:rFonts w:cs="Arial"/>
                <w:color w:val="000000"/>
              </w:rPr>
              <w:t>2,682,127</w:t>
            </w:r>
          </w:p>
        </w:tc>
      </w:tr>
      <w:tr w:rsidR="00F82E2C" w:rsidRPr="0034501D" w14:paraId="35A53E5F" w14:textId="77777777" w:rsidTr="005444AA">
        <w:trPr>
          <w:trHeight w:val="315"/>
        </w:trPr>
        <w:tc>
          <w:tcPr>
            <w:tcW w:w="2616" w:type="pct"/>
            <w:vAlign w:val="bottom"/>
          </w:tcPr>
          <w:p w14:paraId="2591CF98" w14:textId="77777777" w:rsidR="00F82E2C" w:rsidRPr="0034501D" w:rsidRDefault="00F82E2C" w:rsidP="00F82E2C">
            <w:pPr>
              <w:tabs>
                <w:tab w:val="right" w:pos="1202"/>
              </w:tabs>
              <w:spacing w:after="0" w:line="240" w:lineRule="auto"/>
              <w:outlineLvl w:val="0"/>
              <w:rPr>
                <w:rFonts w:eastAsia="Times New Roman" w:cs="Arial"/>
              </w:rPr>
            </w:pPr>
            <w:r w:rsidRPr="0034501D">
              <w:rPr>
                <w:rFonts w:cs="Arial"/>
              </w:rPr>
              <w:t>Other reserves</w:t>
            </w:r>
          </w:p>
        </w:tc>
        <w:tc>
          <w:tcPr>
            <w:tcW w:w="539" w:type="pct"/>
            <w:vAlign w:val="center"/>
          </w:tcPr>
          <w:p w14:paraId="65D5C6F1" w14:textId="77777777" w:rsidR="00F82E2C" w:rsidRPr="0034501D" w:rsidRDefault="00F82E2C" w:rsidP="00F82E2C">
            <w:pPr>
              <w:tabs>
                <w:tab w:val="right" w:pos="1202"/>
              </w:tabs>
              <w:spacing w:after="0" w:line="240" w:lineRule="auto"/>
              <w:jc w:val="center"/>
              <w:outlineLvl w:val="0"/>
              <w:rPr>
                <w:rFonts w:eastAsia="Times New Roman" w:cs="Arial"/>
              </w:rPr>
            </w:pPr>
          </w:p>
        </w:tc>
        <w:tc>
          <w:tcPr>
            <w:tcW w:w="847" w:type="pct"/>
            <w:tcBorders>
              <w:top w:val="nil"/>
              <w:left w:val="nil"/>
              <w:bottom w:val="nil"/>
              <w:right w:val="nil"/>
            </w:tcBorders>
            <w:shd w:val="clear" w:color="auto" w:fill="auto"/>
            <w:vAlign w:val="bottom"/>
          </w:tcPr>
          <w:p w14:paraId="553E0BC1" w14:textId="5C229E2F" w:rsidR="00F82E2C" w:rsidRPr="00CA37C8" w:rsidRDefault="00F82E2C" w:rsidP="00F82E2C">
            <w:pPr>
              <w:tabs>
                <w:tab w:val="right" w:pos="1202"/>
              </w:tabs>
              <w:spacing w:after="0" w:line="240" w:lineRule="auto"/>
              <w:jc w:val="right"/>
              <w:outlineLvl w:val="0"/>
              <w:rPr>
                <w:rFonts w:eastAsia="Times New Roman" w:cs="Arial"/>
              </w:rPr>
            </w:pPr>
            <w:r w:rsidRPr="00CE0613">
              <w:rPr>
                <w:rFonts w:cs="Arial"/>
                <w:color w:val="000000"/>
              </w:rPr>
              <w:t>90</w:t>
            </w:r>
            <w:r>
              <w:rPr>
                <w:rFonts w:cs="Arial"/>
                <w:color w:val="000000"/>
              </w:rPr>
              <w:t>,</w:t>
            </w:r>
            <w:r w:rsidRPr="00CE0613">
              <w:rPr>
                <w:rFonts w:cs="Arial"/>
                <w:color w:val="000000"/>
              </w:rPr>
              <w:t>397</w:t>
            </w:r>
          </w:p>
        </w:tc>
        <w:tc>
          <w:tcPr>
            <w:tcW w:w="153" w:type="pct"/>
            <w:vAlign w:val="bottom"/>
          </w:tcPr>
          <w:p w14:paraId="4855BCC9" w14:textId="77777777" w:rsidR="00F82E2C" w:rsidRPr="0034501D" w:rsidRDefault="00F82E2C" w:rsidP="00F82E2C">
            <w:pPr>
              <w:tabs>
                <w:tab w:val="right" w:pos="1202"/>
              </w:tabs>
              <w:spacing w:after="0" w:line="240" w:lineRule="auto"/>
              <w:jc w:val="right"/>
              <w:outlineLvl w:val="0"/>
              <w:rPr>
                <w:rFonts w:eastAsia="Times New Roman" w:cs="Arial"/>
              </w:rPr>
            </w:pPr>
          </w:p>
        </w:tc>
        <w:tc>
          <w:tcPr>
            <w:tcW w:w="845" w:type="pct"/>
            <w:shd w:val="clear" w:color="auto" w:fill="auto"/>
            <w:vAlign w:val="bottom"/>
          </w:tcPr>
          <w:p w14:paraId="1C384469" w14:textId="77777777" w:rsidR="00F82E2C" w:rsidRPr="00D633A5" w:rsidRDefault="00F82E2C" w:rsidP="00F82E2C">
            <w:pPr>
              <w:tabs>
                <w:tab w:val="right" w:pos="1202"/>
              </w:tabs>
              <w:spacing w:after="0" w:line="240" w:lineRule="auto"/>
              <w:jc w:val="right"/>
              <w:outlineLvl w:val="0"/>
              <w:rPr>
                <w:rFonts w:eastAsia="Times New Roman" w:cs="Arial"/>
                <w:snapToGrid w:val="0"/>
              </w:rPr>
            </w:pPr>
            <w:r>
              <w:rPr>
                <w:rFonts w:cs="Arial"/>
                <w:color w:val="000000"/>
              </w:rPr>
              <w:t>73,733</w:t>
            </w:r>
          </w:p>
        </w:tc>
      </w:tr>
      <w:tr w:rsidR="00F82E2C" w:rsidRPr="0034501D" w14:paraId="6F6FA9E9" w14:textId="77777777" w:rsidTr="005444AA">
        <w:trPr>
          <w:trHeight w:val="302"/>
        </w:trPr>
        <w:tc>
          <w:tcPr>
            <w:tcW w:w="2616" w:type="pct"/>
            <w:vAlign w:val="bottom"/>
          </w:tcPr>
          <w:p w14:paraId="1F568E44" w14:textId="691086BA" w:rsidR="00F82E2C" w:rsidRPr="0034501D" w:rsidRDefault="00F82E2C" w:rsidP="00F82E2C">
            <w:pPr>
              <w:tabs>
                <w:tab w:val="right" w:pos="1202"/>
              </w:tabs>
              <w:spacing w:after="0" w:line="240" w:lineRule="auto"/>
              <w:outlineLvl w:val="0"/>
              <w:rPr>
                <w:rFonts w:eastAsia="Times New Roman" w:cs="Arial"/>
              </w:rPr>
            </w:pPr>
            <w:r w:rsidRPr="0034501D">
              <w:rPr>
                <w:rFonts w:cs="Arial"/>
              </w:rPr>
              <w:t xml:space="preserve">Profit for the </w:t>
            </w:r>
            <w:r>
              <w:rPr>
                <w:rFonts w:cs="Arial"/>
              </w:rPr>
              <w:t>period</w:t>
            </w:r>
          </w:p>
        </w:tc>
        <w:tc>
          <w:tcPr>
            <w:tcW w:w="539" w:type="pct"/>
            <w:vAlign w:val="center"/>
          </w:tcPr>
          <w:p w14:paraId="569C92AE" w14:textId="77777777" w:rsidR="00F82E2C" w:rsidRPr="0034501D" w:rsidRDefault="00F82E2C" w:rsidP="00F82E2C">
            <w:pPr>
              <w:tabs>
                <w:tab w:val="right" w:pos="1202"/>
              </w:tabs>
              <w:spacing w:after="0" w:line="240" w:lineRule="auto"/>
              <w:jc w:val="center"/>
              <w:outlineLvl w:val="0"/>
              <w:rPr>
                <w:rFonts w:eastAsia="Times New Roman" w:cs="Arial"/>
              </w:rPr>
            </w:pPr>
          </w:p>
        </w:tc>
        <w:tc>
          <w:tcPr>
            <w:tcW w:w="847" w:type="pct"/>
            <w:tcBorders>
              <w:top w:val="nil"/>
              <w:left w:val="nil"/>
              <w:bottom w:val="nil"/>
              <w:right w:val="nil"/>
            </w:tcBorders>
            <w:shd w:val="clear" w:color="auto" w:fill="auto"/>
            <w:vAlign w:val="bottom"/>
          </w:tcPr>
          <w:p w14:paraId="4FB3FE18" w14:textId="6DFC8CC7" w:rsidR="00F82E2C" w:rsidRPr="005444AA" w:rsidRDefault="00F82E2C" w:rsidP="00F82E2C">
            <w:pPr>
              <w:tabs>
                <w:tab w:val="right" w:pos="1202"/>
              </w:tabs>
              <w:spacing w:after="0" w:line="240" w:lineRule="auto"/>
              <w:jc w:val="right"/>
              <w:outlineLvl w:val="0"/>
              <w:rPr>
                <w:rFonts w:cs="Arial"/>
                <w:color w:val="000000"/>
              </w:rPr>
            </w:pPr>
            <w:r w:rsidRPr="00CE0613">
              <w:rPr>
                <w:rFonts w:cs="Arial"/>
                <w:color w:val="000000"/>
              </w:rPr>
              <w:t>176</w:t>
            </w:r>
            <w:r>
              <w:rPr>
                <w:rFonts w:cs="Arial"/>
                <w:color w:val="000000"/>
              </w:rPr>
              <w:t>,</w:t>
            </w:r>
            <w:r w:rsidRPr="00CE0613">
              <w:rPr>
                <w:rFonts w:cs="Arial"/>
                <w:color w:val="000000"/>
              </w:rPr>
              <w:t>541</w:t>
            </w:r>
          </w:p>
        </w:tc>
        <w:tc>
          <w:tcPr>
            <w:tcW w:w="153" w:type="pct"/>
            <w:vAlign w:val="bottom"/>
          </w:tcPr>
          <w:p w14:paraId="4727B33D" w14:textId="77777777" w:rsidR="00F82E2C" w:rsidRPr="0034501D" w:rsidRDefault="00F82E2C" w:rsidP="00F82E2C">
            <w:pPr>
              <w:tabs>
                <w:tab w:val="right" w:pos="1202"/>
              </w:tabs>
              <w:spacing w:after="0" w:line="240" w:lineRule="auto"/>
              <w:jc w:val="right"/>
              <w:outlineLvl w:val="0"/>
              <w:rPr>
                <w:rFonts w:eastAsia="Times New Roman" w:cs="Arial"/>
              </w:rPr>
            </w:pPr>
          </w:p>
        </w:tc>
        <w:tc>
          <w:tcPr>
            <w:tcW w:w="845" w:type="pct"/>
            <w:shd w:val="clear" w:color="auto" w:fill="auto"/>
            <w:vAlign w:val="bottom"/>
          </w:tcPr>
          <w:p w14:paraId="591400CD" w14:textId="77777777" w:rsidR="00F82E2C" w:rsidRPr="00D633A5" w:rsidRDefault="00F82E2C" w:rsidP="00F82E2C">
            <w:pPr>
              <w:tabs>
                <w:tab w:val="right" w:pos="1202"/>
              </w:tabs>
              <w:spacing w:after="0" w:line="240" w:lineRule="auto"/>
              <w:jc w:val="right"/>
              <w:outlineLvl w:val="0"/>
              <w:rPr>
                <w:rFonts w:eastAsia="Times New Roman" w:cs="Arial"/>
                <w:snapToGrid w:val="0"/>
              </w:rPr>
            </w:pPr>
            <w:r>
              <w:rPr>
                <w:rFonts w:cs="Arial"/>
                <w:color w:val="000000"/>
              </w:rPr>
              <w:t>314,841</w:t>
            </w:r>
          </w:p>
        </w:tc>
      </w:tr>
      <w:tr w:rsidR="00F82E2C" w:rsidRPr="0034501D" w14:paraId="71529A14" w14:textId="77777777" w:rsidTr="005444AA">
        <w:trPr>
          <w:trHeight w:hRule="exact" w:val="113"/>
        </w:trPr>
        <w:tc>
          <w:tcPr>
            <w:tcW w:w="2616" w:type="pct"/>
            <w:vAlign w:val="bottom"/>
          </w:tcPr>
          <w:p w14:paraId="29D65000" w14:textId="77777777" w:rsidR="00F82E2C" w:rsidRPr="0034501D" w:rsidRDefault="00F82E2C" w:rsidP="00F82E2C">
            <w:pPr>
              <w:keepNext/>
              <w:keepLines/>
              <w:tabs>
                <w:tab w:val="decimal" w:pos="1202"/>
              </w:tabs>
              <w:spacing w:after="0" w:line="240" w:lineRule="auto"/>
              <w:rPr>
                <w:rFonts w:eastAsia="Times New Roman" w:cs="Arial"/>
                <w:b/>
                <w:position w:val="4"/>
              </w:rPr>
            </w:pPr>
          </w:p>
        </w:tc>
        <w:tc>
          <w:tcPr>
            <w:tcW w:w="539" w:type="pct"/>
            <w:vAlign w:val="center"/>
          </w:tcPr>
          <w:p w14:paraId="1DC7C953" w14:textId="77777777" w:rsidR="00F82E2C" w:rsidRPr="0034501D" w:rsidRDefault="00F82E2C" w:rsidP="00F82E2C">
            <w:pPr>
              <w:keepLines/>
              <w:spacing w:after="0" w:line="240" w:lineRule="auto"/>
              <w:jc w:val="center"/>
              <w:rPr>
                <w:rFonts w:eastAsia="Times New Roman" w:cs="Arial"/>
                <w:spacing w:val="-2"/>
                <w:position w:val="4"/>
              </w:rPr>
            </w:pPr>
          </w:p>
        </w:tc>
        <w:tc>
          <w:tcPr>
            <w:tcW w:w="847" w:type="pct"/>
            <w:tcBorders>
              <w:bottom w:val="single" w:sz="4" w:space="0" w:color="auto"/>
            </w:tcBorders>
            <w:vAlign w:val="bottom"/>
          </w:tcPr>
          <w:p w14:paraId="148326E8" w14:textId="77777777" w:rsidR="00F82E2C" w:rsidRPr="00CA37C8" w:rsidRDefault="00F82E2C" w:rsidP="00F82E2C">
            <w:pPr>
              <w:keepLines/>
              <w:spacing w:after="0" w:line="240" w:lineRule="auto"/>
              <w:jc w:val="right"/>
              <w:rPr>
                <w:rFonts w:eastAsia="Times New Roman" w:cs="Arial"/>
                <w:spacing w:val="-2"/>
                <w:position w:val="4"/>
              </w:rPr>
            </w:pPr>
          </w:p>
        </w:tc>
        <w:tc>
          <w:tcPr>
            <w:tcW w:w="153" w:type="pct"/>
            <w:tcBorders>
              <w:bottom w:val="single" w:sz="4" w:space="0" w:color="auto"/>
            </w:tcBorders>
            <w:vAlign w:val="bottom"/>
          </w:tcPr>
          <w:p w14:paraId="06785D23" w14:textId="77777777" w:rsidR="00F82E2C" w:rsidRPr="0034501D" w:rsidRDefault="00F82E2C" w:rsidP="00F82E2C">
            <w:pPr>
              <w:keepNext/>
              <w:keepLines/>
              <w:tabs>
                <w:tab w:val="left" w:pos="215"/>
                <w:tab w:val="decimal" w:pos="1295"/>
              </w:tabs>
              <w:spacing w:after="0" w:line="240" w:lineRule="auto"/>
              <w:ind w:right="-148"/>
              <w:jc w:val="right"/>
              <w:rPr>
                <w:rFonts w:eastAsia="Times New Roman" w:cs="Arial"/>
                <w:b/>
                <w:snapToGrid w:val="0"/>
                <w:position w:val="4"/>
              </w:rPr>
            </w:pPr>
          </w:p>
        </w:tc>
        <w:tc>
          <w:tcPr>
            <w:tcW w:w="845" w:type="pct"/>
            <w:tcBorders>
              <w:bottom w:val="single" w:sz="4" w:space="0" w:color="auto"/>
            </w:tcBorders>
            <w:vAlign w:val="bottom"/>
          </w:tcPr>
          <w:p w14:paraId="5299CCCC" w14:textId="77777777" w:rsidR="00F82E2C" w:rsidRPr="00CA37C8" w:rsidRDefault="00F82E2C" w:rsidP="00F82E2C">
            <w:pPr>
              <w:keepLines/>
              <w:spacing w:after="0" w:line="240" w:lineRule="auto"/>
              <w:jc w:val="right"/>
              <w:rPr>
                <w:rFonts w:eastAsia="Times New Roman" w:cs="Arial"/>
                <w:spacing w:val="-2"/>
                <w:position w:val="4"/>
              </w:rPr>
            </w:pPr>
          </w:p>
        </w:tc>
      </w:tr>
      <w:tr w:rsidR="00F82E2C" w:rsidRPr="0034501D" w14:paraId="6A34645A" w14:textId="77777777" w:rsidTr="005444AA">
        <w:trPr>
          <w:trHeight w:val="344"/>
        </w:trPr>
        <w:tc>
          <w:tcPr>
            <w:tcW w:w="2616" w:type="pct"/>
            <w:vAlign w:val="bottom"/>
          </w:tcPr>
          <w:p w14:paraId="08EDE7A8" w14:textId="77777777" w:rsidR="00F82E2C" w:rsidRPr="0034501D" w:rsidRDefault="00F82E2C" w:rsidP="00F82E2C">
            <w:pPr>
              <w:tabs>
                <w:tab w:val="right" w:pos="1202"/>
              </w:tabs>
              <w:spacing w:after="0" w:line="240" w:lineRule="auto"/>
              <w:outlineLvl w:val="0"/>
              <w:rPr>
                <w:rFonts w:eastAsia="Times New Roman" w:cs="Arial"/>
                <w:b/>
                <w:bCs/>
              </w:rPr>
            </w:pPr>
            <w:r w:rsidRPr="0034501D">
              <w:rPr>
                <w:rFonts w:cs="Arial"/>
                <w:b/>
                <w:bCs/>
              </w:rPr>
              <w:t>Total equity attributable to equity holders of the parent</w:t>
            </w:r>
          </w:p>
        </w:tc>
        <w:tc>
          <w:tcPr>
            <w:tcW w:w="539" w:type="pct"/>
            <w:vAlign w:val="center"/>
          </w:tcPr>
          <w:p w14:paraId="29DCCB35" w14:textId="77777777" w:rsidR="00F82E2C" w:rsidRPr="0034501D" w:rsidRDefault="00F82E2C" w:rsidP="00F82E2C">
            <w:pPr>
              <w:tabs>
                <w:tab w:val="right" w:pos="1202"/>
              </w:tabs>
              <w:spacing w:after="0" w:line="240" w:lineRule="auto"/>
              <w:jc w:val="center"/>
              <w:outlineLvl w:val="0"/>
              <w:rPr>
                <w:rFonts w:eastAsia="Times New Roman" w:cs="Arial"/>
                <w:b/>
                <w:bCs/>
              </w:rPr>
            </w:pPr>
          </w:p>
        </w:tc>
        <w:tc>
          <w:tcPr>
            <w:tcW w:w="847" w:type="pct"/>
            <w:tcBorders>
              <w:top w:val="single" w:sz="4" w:space="0" w:color="auto"/>
              <w:bottom w:val="single" w:sz="12" w:space="0" w:color="auto"/>
            </w:tcBorders>
            <w:vAlign w:val="bottom"/>
          </w:tcPr>
          <w:p w14:paraId="166C8C6B" w14:textId="0892F346" w:rsidR="00F82E2C" w:rsidRPr="00CA37C8" w:rsidRDefault="00F82E2C" w:rsidP="00F82E2C">
            <w:pPr>
              <w:tabs>
                <w:tab w:val="right" w:pos="1202"/>
              </w:tabs>
              <w:spacing w:after="0" w:line="240" w:lineRule="auto"/>
              <w:jc w:val="right"/>
              <w:outlineLvl w:val="0"/>
              <w:rPr>
                <w:rFonts w:eastAsia="Times New Roman" w:cs="Arial"/>
                <w:b/>
                <w:bCs/>
              </w:rPr>
            </w:pPr>
            <w:r w:rsidRPr="00613FEA">
              <w:rPr>
                <w:rFonts w:eastAsia="Times New Roman" w:cs="Arial"/>
                <w:b/>
                <w:bCs/>
              </w:rPr>
              <w:t>10</w:t>
            </w:r>
            <w:r>
              <w:rPr>
                <w:rFonts w:eastAsia="Times New Roman" w:cs="Arial"/>
                <w:b/>
                <w:bCs/>
              </w:rPr>
              <w:t>,</w:t>
            </w:r>
            <w:r w:rsidRPr="00613FEA">
              <w:rPr>
                <w:rFonts w:eastAsia="Times New Roman" w:cs="Arial"/>
                <w:b/>
                <w:bCs/>
              </w:rPr>
              <w:t>248</w:t>
            </w:r>
            <w:r>
              <w:rPr>
                <w:rFonts w:eastAsia="Times New Roman" w:cs="Arial"/>
                <w:b/>
                <w:bCs/>
              </w:rPr>
              <w:t>,</w:t>
            </w:r>
            <w:r w:rsidRPr="00613FEA">
              <w:rPr>
                <w:rFonts w:eastAsia="Times New Roman" w:cs="Arial"/>
                <w:b/>
                <w:bCs/>
              </w:rPr>
              <w:t>538</w:t>
            </w:r>
          </w:p>
        </w:tc>
        <w:tc>
          <w:tcPr>
            <w:tcW w:w="153" w:type="pct"/>
            <w:tcBorders>
              <w:top w:val="single" w:sz="4" w:space="0" w:color="auto"/>
              <w:bottom w:val="single" w:sz="12" w:space="0" w:color="auto"/>
            </w:tcBorders>
            <w:vAlign w:val="bottom"/>
          </w:tcPr>
          <w:p w14:paraId="5D53A861" w14:textId="77777777" w:rsidR="00F82E2C" w:rsidRPr="0034501D" w:rsidRDefault="00F82E2C" w:rsidP="00F82E2C">
            <w:pPr>
              <w:tabs>
                <w:tab w:val="right" w:pos="1202"/>
              </w:tabs>
              <w:spacing w:after="0" w:line="240" w:lineRule="auto"/>
              <w:jc w:val="right"/>
              <w:outlineLvl w:val="0"/>
              <w:rPr>
                <w:rFonts w:eastAsia="Times New Roman" w:cs="Arial"/>
                <w:b/>
                <w:bCs/>
              </w:rPr>
            </w:pPr>
          </w:p>
        </w:tc>
        <w:tc>
          <w:tcPr>
            <w:tcW w:w="845" w:type="pct"/>
            <w:tcBorders>
              <w:top w:val="single" w:sz="4" w:space="0" w:color="auto"/>
              <w:bottom w:val="single" w:sz="12" w:space="0" w:color="auto"/>
            </w:tcBorders>
            <w:vAlign w:val="bottom"/>
          </w:tcPr>
          <w:p w14:paraId="6D6F8453" w14:textId="77777777" w:rsidR="00F82E2C" w:rsidRPr="00CA37C8" w:rsidRDefault="00F82E2C" w:rsidP="00F82E2C">
            <w:pPr>
              <w:tabs>
                <w:tab w:val="right" w:pos="1202"/>
              </w:tabs>
              <w:spacing w:after="0" w:line="240" w:lineRule="auto"/>
              <w:jc w:val="right"/>
              <w:outlineLvl w:val="0"/>
              <w:rPr>
                <w:rFonts w:eastAsia="Times New Roman" w:cs="Arial"/>
                <w:b/>
                <w:bCs/>
              </w:rPr>
            </w:pPr>
            <w:r w:rsidRPr="007C409B">
              <w:rPr>
                <w:rFonts w:eastAsia="Times New Roman" w:cs="Arial"/>
                <w:b/>
                <w:bCs/>
              </w:rPr>
              <w:t>10</w:t>
            </w:r>
            <w:r>
              <w:rPr>
                <w:rFonts w:eastAsia="Times New Roman" w:cs="Arial"/>
                <w:b/>
                <w:bCs/>
              </w:rPr>
              <w:t>,</w:t>
            </w:r>
            <w:r w:rsidRPr="007C409B">
              <w:rPr>
                <w:rFonts w:eastAsia="Times New Roman" w:cs="Arial"/>
                <w:b/>
                <w:bCs/>
              </w:rPr>
              <w:t>030</w:t>
            </w:r>
            <w:r>
              <w:rPr>
                <w:rFonts w:eastAsia="Times New Roman" w:cs="Arial"/>
                <w:b/>
                <w:bCs/>
              </w:rPr>
              <w:t>,</w:t>
            </w:r>
            <w:r w:rsidRPr="007C409B">
              <w:rPr>
                <w:rFonts w:eastAsia="Times New Roman" w:cs="Arial"/>
                <w:b/>
                <w:bCs/>
              </w:rPr>
              <w:t>333</w:t>
            </w:r>
          </w:p>
        </w:tc>
      </w:tr>
      <w:tr w:rsidR="00F5611C" w:rsidRPr="0034501D" w14:paraId="12C0A873" w14:textId="77777777" w:rsidTr="005444AA">
        <w:trPr>
          <w:trHeight w:hRule="exact" w:val="113"/>
        </w:trPr>
        <w:tc>
          <w:tcPr>
            <w:tcW w:w="2616" w:type="pct"/>
            <w:vAlign w:val="bottom"/>
          </w:tcPr>
          <w:p w14:paraId="76FAC8CD" w14:textId="77777777" w:rsidR="00F5611C" w:rsidRPr="0034501D" w:rsidRDefault="00F5611C" w:rsidP="00F5611C">
            <w:pPr>
              <w:keepNext/>
              <w:keepLines/>
              <w:tabs>
                <w:tab w:val="decimal" w:pos="1202"/>
              </w:tabs>
              <w:spacing w:after="0" w:line="240" w:lineRule="auto"/>
              <w:rPr>
                <w:rFonts w:eastAsia="Times New Roman" w:cs="Arial"/>
                <w:b/>
                <w:position w:val="4"/>
                <w:u w:val="thick"/>
              </w:rPr>
            </w:pPr>
          </w:p>
        </w:tc>
        <w:tc>
          <w:tcPr>
            <w:tcW w:w="539" w:type="pct"/>
            <w:vAlign w:val="center"/>
          </w:tcPr>
          <w:p w14:paraId="0DF66732" w14:textId="77777777" w:rsidR="00F5611C" w:rsidRPr="0034501D" w:rsidRDefault="00F5611C" w:rsidP="00F5611C">
            <w:pPr>
              <w:keepNext/>
              <w:keepLines/>
              <w:tabs>
                <w:tab w:val="decimal" w:pos="1060"/>
              </w:tabs>
              <w:spacing w:after="0" w:line="240" w:lineRule="auto"/>
              <w:jc w:val="center"/>
              <w:rPr>
                <w:rFonts w:eastAsia="Times New Roman" w:cs="Arial"/>
                <w:b/>
                <w:position w:val="4"/>
                <w:u w:val="thick"/>
              </w:rPr>
            </w:pPr>
          </w:p>
        </w:tc>
        <w:tc>
          <w:tcPr>
            <w:tcW w:w="847" w:type="pct"/>
            <w:tcBorders>
              <w:top w:val="single" w:sz="12" w:space="0" w:color="auto"/>
            </w:tcBorders>
            <w:vAlign w:val="bottom"/>
          </w:tcPr>
          <w:p w14:paraId="40E1B36B" w14:textId="77777777" w:rsidR="00F5611C" w:rsidRPr="00CA37C8" w:rsidRDefault="00F5611C" w:rsidP="00F5611C">
            <w:pPr>
              <w:keepNext/>
              <w:keepLines/>
              <w:tabs>
                <w:tab w:val="decimal" w:pos="1060"/>
              </w:tabs>
              <w:spacing w:after="0" w:line="240" w:lineRule="auto"/>
              <w:jc w:val="right"/>
              <w:rPr>
                <w:rFonts w:eastAsia="Times New Roman" w:cs="Arial"/>
                <w:b/>
                <w:position w:val="4"/>
                <w:u w:val="thick"/>
              </w:rPr>
            </w:pPr>
          </w:p>
        </w:tc>
        <w:tc>
          <w:tcPr>
            <w:tcW w:w="153" w:type="pct"/>
            <w:tcBorders>
              <w:top w:val="single" w:sz="12" w:space="0" w:color="auto"/>
            </w:tcBorders>
            <w:vAlign w:val="bottom"/>
          </w:tcPr>
          <w:p w14:paraId="2DACE9F0" w14:textId="77777777" w:rsidR="00F5611C" w:rsidRPr="0034501D" w:rsidRDefault="00F5611C" w:rsidP="00F5611C">
            <w:pPr>
              <w:keepNext/>
              <w:keepLines/>
              <w:tabs>
                <w:tab w:val="decimal" w:pos="1202"/>
              </w:tabs>
              <w:spacing w:after="0" w:line="240" w:lineRule="auto"/>
              <w:jc w:val="right"/>
              <w:rPr>
                <w:rFonts w:eastAsia="Times New Roman" w:cs="Arial"/>
                <w:b/>
                <w:position w:val="4"/>
                <w:u w:val="thick"/>
              </w:rPr>
            </w:pPr>
          </w:p>
        </w:tc>
        <w:tc>
          <w:tcPr>
            <w:tcW w:w="845" w:type="pct"/>
            <w:tcBorders>
              <w:top w:val="single" w:sz="12" w:space="0" w:color="auto"/>
            </w:tcBorders>
            <w:vAlign w:val="bottom"/>
          </w:tcPr>
          <w:p w14:paraId="5D975C66" w14:textId="77777777" w:rsidR="00F5611C" w:rsidRPr="00CA37C8" w:rsidRDefault="00F5611C" w:rsidP="00F5611C">
            <w:pPr>
              <w:keepNext/>
              <w:keepLines/>
              <w:tabs>
                <w:tab w:val="decimal" w:pos="1060"/>
              </w:tabs>
              <w:spacing w:after="0" w:line="240" w:lineRule="auto"/>
              <w:jc w:val="right"/>
              <w:rPr>
                <w:rFonts w:eastAsia="Times New Roman" w:cs="Arial"/>
                <w:b/>
                <w:position w:val="4"/>
                <w:u w:val="thick"/>
              </w:rPr>
            </w:pPr>
          </w:p>
        </w:tc>
      </w:tr>
      <w:tr w:rsidR="00F5611C" w:rsidRPr="0034501D" w14:paraId="20580148" w14:textId="77777777" w:rsidTr="005444AA">
        <w:trPr>
          <w:trHeight w:hRule="exact" w:val="113"/>
        </w:trPr>
        <w:tc>
          <w:tcPr>
            <w:tcW w:w="2616" w:type="pct"/>
            <w:vAlign w:val="bottom"/>
          </w:tcPr>
          <w:p w14:paraId="040AECC4" w14:textId="77777777" w:rsidR="00F5611C" w:rsidRPr="0034501D" w:rsidRDefault="00F5611C" w:rsidP="00F5611C">
            <w:pPr>
              <w:keepNext/>
              <w:keepLines/>
              <w:tabs>
                <w:tab w:val="decimal" w:pos="1202"/>
              </w:tabs>
              <w:spacing w:after="0" w:line="240" w:lineRule="auto"/>
              <w:rPr>
                <w:rFonts w:eastAsia="Times New Roman" w:cs="Arial"/>
                <w:b/>
                <w:position w:val="4"/>
                <w:u w:val="thick"/>
              </w:rPr>
            </w:pPr>
          </w:p>
        </w:tc>
        <w:tc>
          <w:tcPr>
            <w:tcW w:w="539" w:type="pct"/>
            <w:vAlign w:val="center"/>
          </w:tcPr>
          <w:p w14:paraId="3229DC64" w14:textId="77777777" w:rsidR="00F5611C" w:rsidRPr="0034501D" w:rsidRDefault="00F5611C" w:rsidP="00F5611C">
            <w:pPr>
              <w:keepNext/>
              <w:keepLines/>
              <w:tabs>
                <w:tab w:val="decimal" w:pos="1202"/>
              </w:tabs>
              <w:spacing w:after="0" w:line="240" w:lineRule="auto"/>
              <w:jc w:val="center"/>
              <w:rPr>
                <w:rFonts w:eastAsia="Times New Roman" w:cs="Arial"/>
                <w:b/>
                <w:snapToGrid w:val="0"/>
                <w:position w:val="4"/>
                <w:u w:val="thick"/>
              </w:rPr>
            </w:pPr>
          </w:p>
        </w:tc>
        <w:tc>
          <w:tcPr>
            <w:tcW w:w="847" w:type="pct"/>
            <w:tcBorders>
              <w:bottom w:val="nil"/>
            </w:tcBorders>
            <w:vAlign w:val="bottom"/>
          </w:tcPr>
          <w:p w14:paraId="0AF8C338" w14:textId="77777777" w:rsidR="00F5611C" w:rsidRPr="00CA37C8" w:rsidRDefault="00F5611C" w:rsidP="00F5611C">
            <w:pPr>
              <w:keepNext/>
              <w:keepLines/>
              <w:tabs>
                <w:tab w:val="decimal" w:pos="1202"/>
              </w:tabs>
              <w:spacing w:after="0" w:line="240" w:lineRule="auto"/>
              <w:jc w:val="right"/>
              <w:rPr>
                <w:rFonts w:eastAsia="Times New Roman" w:cs="Arial"/>
                <w:b/>
                <w:snapToGrid w:val="0"/>
                <w:position w:val="4"/>
                <w:u w:val="thick"/>
              </w:rPr>
            </w:pPr>
          </w:p>
        </w:tc>
        <w:tc>
          <w:tcPr>
            <w:tcW w:w="153" w:type="pct"/>
            <w:tcBorders>
              <w:bottom w:val="nil"/>
            </w:tcBorders>
            <w:vAlign w:val="bottom"/>
          </w:tcPr>
          <w:p w14:paraId="0465FB7D" w14:textId="77777777" w:rsidR="00F5611C" w:rsidRPr="0034501D" w:rsidRDefault="00F5611C" w:rsidP="00F5611C">
            <w:pPr>
              <w:keepNext/>
              <w:keepLines/>
              <w:tabs>
                <w:tab w:val="decimal" w:pos="1202"/>
              </w:tabs>
              <w:spacing w:after="0" w:line="240" w:lineRule="auto"/>
              <w:jc w:val="right"/>
              <w:rPr>
                <w:rFonts w:eastAsia="Times New Roman" w:cs="Arial"/>
                <w:b/>
                <w:snapToGrid w:val="0"/>
                <w:position w:val="4"/>
                <w:u w:val="thick"/>
              </w:rPr>
            </w:pPr>
          </w:p>
        </w:tc>
        <w:tc>
          <w:tcPr>
            <w:tcW w:w="845" w:type="pct"/>
            <w:tcBorders>
              <w:bottom w:val="nil"/>
            </w:tcBorders>
            <w:vAlign w:val="bottom"/>
          </w:tcPr>
          <w:p w14:paraId="576D8A1B" w14:textId="77777777" w:rsidR="00F5611C" w:rsidRPr="00CA37C8" w:rsidRDefault="00F5611C" w:rsidP="00F5611C">
            <w:pPr>
              <w:keepNext/>
              <w:keepLines/>
              <w:tabs>
                <w:tab w:val="decimal" w:pos="1202"/>
              </w:tabs>
              <w:spacing w:after="0" w:line="240" w:lineRule="auto"/>
              <w:jc w:val="right"/>
              <w:rPr>
                <w:rFonts w:eastAsia="Times New Roman" w:cs="Arial"/>
                <w:b/>
                <w:snapToGrid w:val="0"/>
                <w:position w:val="4"/>
                <w:u w:val="thick"/>
              </w:rPr>
            </w:pPr>
          </w:p>
        </w:tc>
      </w:tr>
      <w:tr w:rsidR="00F5611C" w:rsidRPr="0034501D" w14:paraId="3DFCDA54" w14:textId="77777777" w:rsidTr="005444AA">
        <w:trPr>
          <w:trHeight w:val="302"/>
        </w:trPr>
        <w:tc>
          <w:tcPr>
            <w:tcW w:w="2616" w:type="pct"/>
            <w:vAlign w:val="bottom"/>
          </w:tcPr>
          <w:p w14:paraId="6B35E7F8" w14:textId="77777777" w:rsidR="00F5611C" w:rsidRPr="0034501D" w:rsidRDefault="00F5611C" w:rsidP="00F5611C">
            <w:pPr>
              <w:tabs>
                <w:tab w:val="right" w:pos="1202"/>
              </w:tabs>
              <w:spacing w:after="0" w:line="240" w:lineRule="auto"/>
              <w:outlineLvl w:val="0"/>
              <w:rPr>
                <w:rFonts w:eastAsia="Times New Roman" w:cs="Arial"/>
              </w:rPr>
            </w:pPr>
            <w:r w:rsidRPr="0034501D">
              <w:rPr>
                <w:rFonts w:cs="Arial"/>
              </w:rPr>
              <w:t xml:space="preserve">Guarantee fund  </w:t>
            </w:r>
          </w:p>
        </w:tc>
        <w:tc>
          <w:tcPr>
            <w:tcW w:w="539" w:type="pct"/>
            <w:vAlign w:val="center"/>
          </w:tcPr>
          <w:p w14:paraId="0E10F382" w14:textId="77777777" w:rsidR="00F5611C" w:rsidRPr="0034501D" w:rsidRDefault="00F5611C" w:rsidP="00F5611C">
            <w:pPr>
              <w:tabs>
                <w:tab w:val="right" w:pos="1202"/>
              </w:tabs>
              <w:spacing w:after="0" w:line="240" w:lineRule="auto"/>
              <w:jc w:val="center"/>
              <w:outlineLvl w:val="0"/>
              <w:rPr>
                <w:rFonts w:eastAsia="Times New Roman" w:cs="Arial"/>
              </w:rPr>
            </w:pPr>
          </w:p>
        </w:tc>
        <w:tc>
          <w:tcPr>
            <w:tcW w:w="847" w:type="pct"/>
            <w:tcBorders>
              <w:top w:val="nil"/>
              <w:bottom w:val="single" w:sz="4" w:space="0" w:color="auto"/>
            </w:tcBorders>
            <w:vAlign w:val="bottom"/>
          </w:tcPr>
          <w:p w14:paraId="3B5A709C" w14:textId="088B7A02" w:rsidR="00F5611C" w:rsidRPr="00CA37C8" w:rsidRDefault="00F82E2C" w:rsidP="00F5611C">
            <w:pPr>
              <w:tabs>
                <w:tab w:val="right" w:pos="1202"/>
              </w:tabs>
              <w:spacing w:after="0" w:line="240" w:lineRule="auto"/>
              <w:jc w:val="right"/>
              <w:outlineLvl w:val="0"/>
              <w:rPr>
                <w:rFonts w:eastAsia="Times New Roman" w:cs="Arial"/>
              </w:rPr>
            </w:pPr>
            <w:r w:rsidRPr="00F82E2C">
              <w:rPr>
                <w:rFonts w:eastAsia="Times New Roman" w:cs="Arial"/>
              </w:rPr>
              <w:t>12,276</w:t>
            </w:r>
          </w:p>
        </w:tc>
        <w:tc>
          <w:tcPr>
            <w:tcW w:w="153" w:type="pct"/>
            <w:tcBorders>
              <w:top w:val="nil"/>
              <w:bottom w:val="single" w:sz="4" w:space="0" w:color="auto"/>
            </w:tcBorders>
            <w:vAlign w:val="bottom"/>
          </w:tcPr>
          <w:p w14:paraId="179ED4DC" w14:textId="77777777" w:rsidR="00F5611C" w:rsidRPr="0034501D" w:rsidRDefault="00F5611C" w:rsidP="00F5611C">
            <w:pPr>
              <w:tabs>
                <w:tab w:val="right" w:pos="1202"/>
              </w:tabs>
              <w:spacing w:after="0" w:line="240" w:lineRule="auto"/>
              <w:jc w:val="right"/>
              <w:outlineLvl w:val="0"/>
              <w:rPr>
                <w:rFonts w:eastAsia="Times New Roman" w:cs="Arial"/>
              </w:rPr>
            </w:pPr>
          </w:p>
        </w:tc>
        <w:tc>
          <w:tcPr>
            <w:tcW w:w="845" w:type="pct"/>
            <w:tcBorders>
              <w:top w:val="nil"/>
              <w:bottom w:val="single" w:sz="4" w:space="0" w:color="auto"/>
            </w:tcBorders>
            <w:vAlign w:val="bottom"/>
          </w:tcPr>
          <w:p w14:paraId="4358BAA3" w14:textId="77777777" w:rsidR="00F5611C" w:rsidRPr="00CA37C8" w:rsidRDefault="00F5611C" w:rsidP="00F5611C">
            <w:pPr>
              <w:tabs>
                <w:tab w:val="right" w:pos="1202"/>
              </w:tabs>
              <w:spacing w:after="0" w:line="240" w:lineRule="auto"/>
              <w:jc w:val="right"/>
              <w:outlineLvl w:val="0"/>
              <w:rPr>
                <w:rFonts w:eastAsia="Times New Roman" w:cs="Arial"/>
              </w:rPr>
            </w:pPr>
            <w:r w:rsidRPr="007C409B">
              <w:rPr>
                <w:rFonts w:eastAsia="Times New Roman" w:cs="Arial"/>
              </w:rPr>
              <w:t>12</w:t>
            </w:r>
            <w:r>
              <w:rPr>
                <w:rFonts w:eastAsia="Times New Roman" w:cs="Arial"/>
              </w:rPr>
              <w:t>,</w:t>
            </w:r>
            <w:r w:rsidRPr="007C409B">
              <w:rPr>
                <w:rFonts w:eastAsia="Times New Roman" w:cs="Arial"/>
              </w:rPr>
              <w:t>375</w:t>
            </w:r>
          </w:p>
        </w:tc>
      </w:tr>
      <w:tr w:rsidR="00F5611C" w:rsidRPr="0034501D" w14:paraId="42865D3D" w14:textId="77777777" w:rsidTr="005444AA">
        <w:trPr>
          <w:trHeight w:hRule="exact" w:val="113"/>
        </w:trPr>
        <w:tc>
          <w:tcPr>
            <w:tcW w:w="2616" w:type="pct"/>
            <w:vAlign w:val="bottom"/>
          </w:tcPr>
          <w:p w14:paraId="28509D90" w14:textId="77777777" w:rsidR="00F5611C" w:rsidRPr="0034501D" w:rsidRDefault="00F5611C" w:rsidP="00F5611C">
            <w:pPr>
              <w:keepNext/>
              <w:keepLines/>
              <w:tabs>
                <w:tab w:val="left" w:pos="1134"/>
                <w:tab w:val="decimal" w:pos="1202"/>
              </w:tabs>
              <w:spacing w:after="0" w:line="240" w:lineRule="auto"/>
              <w:rPr>
                <w:rFonts w:eastAsia="Times New Roman" w:cs="Arial"/>
                <w:b/>
                <w:position w:val="4"/>
              </w:rPr>
            </w:pPr>
          </w:p>
        </w:tc>
        <w:tc>
          <w:tcPr>
            <w:tcW w:w="539" w:type="pct"/>
            <w:vAlign w:val="center"/>
          </w:tcPr>
          <w:p w14:paraId="37B95702" w14:textId="77777777" w:rsidR="00F5611C" w:rsidRPr="0034501D" w:rsidRDefault="00F5611C" w:rsidP="00F5611C">
            <w:pPr>
              <w:keepLines/>
              <w:spacing w:after="0" w:line="240" w:lineRule="auto"/>
              <w:jc w:val="center"/>
              <w:rPr>
                <w:rFonts w:eastAsia="Times New Roman" w:cs="Arial"/>
                <w:spacing w:val="-2"/>
                <w:position w:val="4"/>
              </w:rPr>
            </w:pPr>
          </w:p>
        </w:tc>
        <w:tc>
          <w:tcPr>
            <w:tcW w:w="847" w:type="pct"/>
            <w:tcBorders>
              <w:top w:val="single" w:sz="4" w:space="0" w:color="auto"/>
              <w:bottom w:val="nil"/>
            </w:tcBorders>
            <w:vAlign w:val="bottom"/>
          </w:tcPr>
          <w:p w14:paraId="5C4BBC52" w14:textId="77777777" w:rsidR="00F5611C" w:rsidRPr="00CA37C8" w:rsidRDefault="00F5611C" w:rsidP="00F5611C">
            <w:pPr>
              <w:keepLines/>
              <w:spacing w:after="0" w:line="240" w:lineRule="auto"/>
              <w:jc w:val="right"/>
              <w:rPr>
                <w:rFonts w:eastAsia="Times New Roman" w:cs="Arial"/>
                <w:spacing w:val="-2"/>
                <w:position w:val="4"/>
              </w:rPr>
            </w:pPr>
          </w:p>
        </w:tc>
        <w:tc>
          <w:tcPr>
            <w:tcW w:w="153" w:type="pct"/>
            <w:tcBorders>
              <w:top w:val="single" w:sz="4" w:space="0" w:color="auto"/>
              <w:bottom w:val="nil"/>
            </w:tcBorders>
            <w:vAlign w:val="bottom"/>
          </w:tcPr>
          <w:p w14:paraId="60847266" w14:textId="77777777" w:rsidR="00F5611C" w:rsidRPr="0034501D" w:rsidRDefault="00F5611C" w:rsidP="00F5611C">
            <w:pPr>
              <w:keepNext/>
              <w:keepLines/>
              <w:tabs>
                <w:tab w:val="left" w:pos="215"/>
                <w:tab w:val="decimal" w:pos="1295"/>
              </w:tabs>
              <w:spacing w:after="0" w:line="240" w:lineRule="auto"/>
              <w:ind w:right="-148"/>
              <w:jc w:val="right"/>
              <w:rPr>
                <w:rFonts w:eastAsia="Times New Roman" w:cs="Arial"/>
                <w:b/>
                <w:snapToGrid w:val="0"/>
                <w:position w:val="4"/>
              </w:rPr>
            </w:pPr>
          </w:p>
        </w:tc>
        <w:tc>
          <w:tcPr>
            <w:tcW w:w="845" w:type="pct"/>
            <w:tcBorders>
              <w:top w:val="single" w:sz="4" w:space="0" w:color="auto"/>
              <w:bottom w:val="nil"/>
            </w:tcBorders>
            <w:vAlign w:val="bottom"/>
          </w:tcPr>
          <w:p w14:paraId="5425A060" w14:textId="77777777" w:rsidR="00F5611C" w:rsidRPr="00CA37C8" w:rsidRDefault="00F5611C" w:rsidP="00F5611C">
            <w:pPr>
              <w:keepLines/>
              <w:spacing w:after="0" w:line="240" w:lineRule="auto"/>
              <w:jc w:val="right"/>
              <w:rPr>
                <w:rFonts w:eastAsia="Times New Roman" w:cs="Arial"/>
                <w:spacing w:val="-2"/>
                <w:position w:val="4"/>
              </w:rPr>
            </w:pPr>
          </w:p>
        </w:tc>
      </w:tr>
      <w:tr w:rsidR="00F5611C" w:rsidRPr="0034501D" w14:paraId="32EB0733" w14:textId="77777777" w:rsidTr="005444AA">
        <w:trPr>
          <w:trHeight w:val="344"/>
        </w:trPr>
        <w:tc>
          <w:tcPr>
            <w:tcW w:w="2616" w:type="pct"/>
            <w:vAlign w:val="bottom"/>
          </w:tcPr>
          <w:p w14:paraId="37B3C93F" w14:textId="77777777" w:rsidR="00F5611C" w:rsidRPr="0034501D" w:rsidRDefault="00F5611C" w:rsidP="00F5611C">
            <w:pPr>
              <w:tabs>
                <w:tab w:val="right" w:pos="1202"/>
              </w:tabs>
              <w:spacing w:after="0" w:line="240" w:lineRule="auto"/>
              <w:outlineLvl w:val="0"/>
              <w:rPr>
                <w:rFonts w:eastAsia="Times New Roman" w:cs="Arial"/>
                <w:b/>
                <w:bCs/>
              </w:rPr>
            </w:pPr>
            <w:r w:rsidRPr="0034501D">
              <w:rPr>
                <w:rFonts w:cs="Arial"/>
                <w:b/>
              </w:rPr>
              <w:t>Total equity</w:t>
            </w:r>
          </w:p>
        </w:tc>
        <w:tc>
          <w:tcPr>
            <w:tcW w:w="539" w:type="pct"/>
            <w:vAlign w:val="center"/>
          </w:tcPr>
          <w:p w14:paraId="073C58CC" w14:textId="77777777" w:rsidR="00F5611C" w:rsidRPr="0034501D" w:rsidRDefault="00F5611C" w:rsidP="00F5611C">
            <w:pPr>
              <w:tabs>
                <w:tab w:val="right" w:pos="1202"/>
              </w:tabs>
              <w:spacing w:after="0" w:line="240" w:lineRule="auto"/>
              <w:jc w:val="center"/>
              <w:outlineLvl w:val="0"/>
              <w:rPr>
                <w:rFonts w:eastAsia="Times New Roman" w:cs="Arial"/>
                <w:b/>
                <w:bCs/>
              </w:rPr>
            </w:pPr>
          </w:p>
        </w:tc>
        <w:tc>
          <w:tcPr>
            <w:tcW w:w="847" w:type="pct"/>
            <w:tcBorders>
              <w:top w:val="nil"/>
              <w:bottom w:val="single" w:sz="4" w:space="0" w:color="auto"/>
            </w:tcBorders>
            <w:vAlign w:val="bottom"/>
          </w:tcPr>
          <w:p w14:paraId="31273498" w14:textId="69D44D54" w:rsidR="00F5611C" w:rsidRPr="00CA37C8" w:rsidRDefault="00F82E2C" w:rsidP="00F5611C">
            <w:pPr>
              <w:tabs>
                <w:tab w:val="right" w:pos="1202"/>
              </w:tabs>
              <w:spacing w:after="0" w:line="240" w:lineRule="auto"/>
              <w:jc w:val="right"/>
              <w:outlineLvl w:val="0"/>
              <w:rPr>
                <w:rFonts w:eastAsia="Times New Roman" w:cs="Arial"/>
                <w:b/>
                <w:bCs/>
              </w:rPr>
            </w:pPr>
            <w:r w:rsidRPr="00F82E2C">
              <w:rPr>
                <w:rFonts w:eastAsia="Times New Roman" w:cs="Arial"/>
                <w:b/>
                <w:bCs/>
              </w:rPr>
              <w:t>10,260,814</w:t>
            </w:r>
          </w:p>
        </w:tc>
        <w:tc>
          <w:tcPr>
            <w:tcW w:w="153" w:type="pct"/>
            <w:tcBorders>
              <w:top w:val="nil"/>
              <w:bottom w:val="single" w:sz="4" w:space="0" w:color="auto"/>
            </w:tcBorders>
            <w:vAlign w:val="bottom"/>
          </w:tcPr>
          <w:p w14:paraId="481984AF" w14:textId="77777777" w:rsidR="00F5611C" w:rsidRPr="0034501D" w:rsidRDefault="00F5611C" w:rsidP="00F5611C">
            <w:pPr>
              <w:tabs>
                <w:tab w:val="right" w:pos="1202"/>
              </w:tabs>
              <w:spacing w:after="0" w:line="240" w:lineRule="auto"/>
              <w:jc w:val="right"/>
              <w:outlineLvl w:val="0"/>
              <w:rPr>
                <w:rFonts w:eastAsia="Times New Roman" w:cs="Arial"/>
                <w:b/>
                <w:bCs/>
              </w:rPr>
            </w:pPr>
          </w:p>
        </w:tc>
        <w:tc>
          <w:tcPr>
            <w:tcW w:w="845" w:type="pct"/>
            <w:tcBorders>
              <w:top w:val="nil"/>
              <w:bottom w:val="single" w:sz="4" w:space="0" w:color="auto"/>
            </w:tcBorders>
            <w:vAlign w:val="bottom"/>
          </w:tcPr>
          <w:p w14:paraId="160402C5" w14:textId="77777777" w:rsidR="00F5611C" w:rsidRPr="00CA37C8" w:rsidRDefault="00F5611C" w:rsidP="00F5611C">
            <w:pPr>
              <w:tabs>
                <w:tab w:val="right" w:pos="1202"/>
              </w:tabs>
              <w:spacing w:after="0" w:line="240" w:lineRule="auto"/>
              <w:jc w:val="right"/>
              <w:outlineLvl w:val="0"/>
              <w:rPr>
                <w:rFonts w:eastAsia="Times New Roman" w:cs="Arial"/>
                <w:b/>
                <w:bCs/>
              </w:rPr>
            </w:pPr>
            <w:r w:rsidRPr="007C409B">
              <w:rPr>
                <w:rFonts w:eastAsia="Times New Roman" w:cs="Arial"/>
                <w:b/>
                <w:bCs/>
              </w:rPr>
              <w:t>10</w:t>
            </w:r>
            <w:r>
              <w:rPr>
                <w:rFonts w:eastAsia="Times New Roman" w:cs="Arial"/>
                <w:b/>
                <w:bCs/>
              </w:rPr>
              <w:t>,</w:t>
            </w:r>
            <w:r w:rsidRPr="007C409B">
              <w:rPr>
                <w:rFonts w:eastAsia="Times New Roman" w:cs="Arial"/>
                <w:b/>
                <w:bCs/>
              </w:rPr>
              <w:t>042</w:t>
            </w:r>
            <w:r>
              <w:rPr>
                <w:rFonts w:eastAsia="Times New Roman" w:cs="Arial"/>
                <w:b/>
                <w:bCs/>
              </w:rPr>
              <w:t>,</w:t>
            </w:r>
            <w:r w:rsidRPr="007C409B">
              <w:rPr>
                <w:rFonts w:eastAsia="Times New Roman" w:cs="Arial"/>
                <w:b/>
                <w:bCs/>
              </w:rPr>
              <w:t>708</w:t>
            </w:r>
          </w:p>
        </w:tc>
      </w:tr>
      <w:tr w:rsidR="00F5611C" w:rsidRPr="0034501D" w14:paraId="6E5B3E46" w14:textId="77777777" w:rsidTr="005444AA">
        <w:trPr>
          <w:trHeight w:hRule="exact" w:val="113"/>
        </w:trPr>
        <w:tc>
          <w:tcPr>
            <w:tcW w:w="2616" w:type="pct"/>
            <w:vAlign w:val="bottom"/>
          </w:tcPr>
          <w:p w14:paraId="7D7FFBE0" w14:textId="77777777" w:rsidR="00F5611C" w:rsidRPr="0034501D" w:rsidRDefault="00F5611C" w:rsidP="00F5611C">
            <w:pPr>
              <w:keepNext/>
              <w:keepLines/>
              <w:tabs>
                <w:tab w:val="decimal" w:pos="1202"/>
              </w:tabs>
              <w:spacing w:after="0" w:line="240" w:lineRule="auto"/>
              <w:rPr>
                <w:rFonts w:eastAsia="Times New Roman" w:cs="Arial"/>
                <w:b/>
                <w:position w:val="4"/>
              </w:rPr>
            </w:pPr>
          </w:p>
        </w:tc>
        <w:tc>
          <w:tcPr>
            <w:tcW w:w="539" w:type="pct"/>
            <w:vAlign w:val="center"/>
          </w:tcPr>
          <w:p w14:paraId="31EEC41A" w14:textId="77777777" w:rsidR="00F5611C" w:rsidRPr="0034501D" w:rsidRDefault="00F5611C" w:rsidP="00F5611C">
            <w:pPr>
              <w:keepLines/>
              <w:spacing w:after="0" w:line="240" w:lineRule="auto"/>
              <w:jc w:val="center"/>
              <w:rPr>
                <w:rFonts w:eastAsia="Times New Roman" w:cs="Arial"/>
                <w:spacing w:val="-2"/>
                <w:position w:val="4"/>
              </w:rPr>
            </w:pPr>
          </w:p>
        </w:tc>
        <w:tc>
          <w:tcPr>
            <w:tcW w:w="847" w:type="pct"/>
            <w:tcBorders>
              <w:top w:val="single" w:sz="4" w:space="0" w:color="auto"/>
              <w:bottom w:val="nil"/>
            </w:tcBorders>
            <w:vAlign w:val="bottom"/>
          </w:tcPr>
          <w:p w14:paraId="2FE5D983" w14:textId="77777777" w:rsidR="00F5611C" w:rsidRPr="00CA37C8" w:rsidRDefault="00F5611C" w:rsidP="00F5611C">
            <w:pPr>
              <w:keepLines/>
              <w:spacing w:after="0" w:line="240" w:lineRule="auto"/>
              <w:jc w:val="right"/>
              <w:rPr>
                <w:rFonts w:eastAsia="Times New Roman" w:cs="Arial"/>
                <w:spacing w:val="-2"/>
                <w:position w:val="4"/>
              </w:rPr>
            </w:pPr>
          </w:p>
        </w:tc>
        <w:tc>
          <w:tcPr>
            <w:tcW w:w="153" w:type="pct"/>
            <w:tcBorders>
              <w:top w:val="single" w:sz="4" w:space="0" w:color="auto"/>
              <w:bottom w:val="nil"/>
            </w:tcBorders>
            <w:vAlign w:val="bottom"/>
          </w:tcPr>
          <w:p w14:paraId="1FD635AF" w14:textId="77777777" w:rsidR="00F5611C" w:rsidRPr="0034501D" w:rsidRDefault="00F5611C" w:rsidP="00F5611C">
            <w:pPr>
              <w:keepNext/>
              <w:keepLines/>
              <w:tabs>
                <w:tab w:val="left" w:pos="215"/>
                <w:tab w:val="decimal" w:pos="1295"/>
              </w:tabs>
              <w:spacing w:after="0" w:line="240" w:lineRule="auto"/>
              <w:ind w:right="-148"/>
              <w:jc w:val="right"/>
              <w:rPr>
                <w:rFonts w:eastAsia="Times New Roman" w:cs="Arial"/>
                <w:b/>
                <w:snapToGrid w:val="0"/>
                <w:position w:val="4"/>
              </w:rPr>
            </w:pPr>
          </w:p>
        </w:tc>
        <w:tc>
          <w:tcPr>
            <w:tcW w:w="845" w:type="pct"/>
            <w:tcBorders>
              <w:top w:val="single" w:sz="4" w:space="0" w:color="auto"/>
              <w:bottom w:val="nil"/>
            </w:tcBorders>
            <w:vAlign w:val="bottom"/>
          </w:tcPr>
          <w:p w14:paraId="77D62BCD" w14:textId="77777777" w:rsidR="00F5611C" w:rsidRPr="00CA37C8" w:rsidRDefault="00F5611C" w:rsidP="00F5611C">
            <w:pPr>
              <w:keepLines/>
              <w:spacing w:after="0" w:line="240" w:lineRule="auto"/>
              <w:jc w:val="right"/>
              <w:rPr>
                <w:rFonts w:eastAsia="Times New Roman" w:cs="Arial"/>
                <w:spacing w:val="-2"/>
                <w:position w:val="4"/>
              </w:rPr>
            </w:pPr>
          </w:p>
        </w:tc>
      </w:tr>
      <w:tr w:rsidR="00F5611C" w:rsidRPr="0034501D" w14:paraId="1D028B27" w14:textId="77777777" w:rsidTr="005444AA">
        <w:trPr>
          <w:trHeight w:val="352"/>
        </w:trPr>
        <w:tc>
          <w:tcPr>
            <w:tcW w:w="2616" w:type="pct"/>
            <w:vAlign w:val="bottom"/>
          </w:tcPr>
          <w:p w14:paraId="3D70E55D" w14:textId="77777777" w:rsidR="00F5611C" w:rsidRPr="0034501D" w:rsidRDefault="00F5611C" w:rsidP="00F5611C">
            <w:pPr>
              <w:tabs>
                <w:tab w:val="right" w:pos="1202"/>
              </w:tabs>
              <w:spacing w:after="0" w:line="240" w:lineRule="auto"/>
              <w:outlineLvl w:val="0"/>
              <w:rPr>
                <w:rFonts w:eastAsia="Times New Roman" w:cs="Arial"/>
                <w:b/>
                <w:bCs/>
              </w:rPr>
            </w:pPr>
            <w:r w:rsidRPr="0034501D">
              <w:rPr>
                <w:rFonts w:cs="Arial"/>
                <w:b/>
                <w:bCs/>
              </w:rPr>
              <w:t>Total liabilities and total equity</w:t>
            </w:r>
          </w:p>
        </w:tc>
        <w:tc>
          <w:tcPr>
            <w:tcW w:w="539" w:type="pct"/>
            <w:vAlign w:val="center"/>
          </w:tcPr>
          <w:p w14:paraId="2F1BE3D9" w14:textId="77777777" w:rsidR="00F5611C" w:rsidRPr="0034501D" w:rsidRDefault="00F5611C" w:rsidP="00F5611C">
            <w:pPr>
              <w:tabs>
                <w:tab w:val="right" w:pos="1202"/>
              </w:tabs>
              <w:spacing w:after="0" w:line="240" w:lineRule="auto"/>
              <w:jc w:val="center"/>
              <w:outlineLvl w:val="0"/>
              <w:rPr>
                <w:rFonts w:eastAsia="Times New Roman" w:cs="Arial"/>
                <w:b/>
                <w:bCs/>
              </w:rPr>
            </w:pPr>
          </w:p>
        </w:tc>
        <w:tc>
          <w:tcPr>
            <w:tcW w:w="847" w:type="pct"/>
            <w:tcBorders>
              <w:top w:val="nil"/>
              <w:bottom w:val="single" w:sz="12" w:space="0" w:color="auto"/>
            </w:tcBorders>
            <w:vAlign w:val="bottom"/>
          </w:tcPr>
          <w:p w14:paraId="5C00C51C" w14:textId="10A78EF9" w:rsidR="00F5611C" w:rsidRPr="00CA37C8" w:rsidRDefault="00F82E2C" w:rsidP="00F5611C">
            <w:pPr>
              <w:tabs>
                <w:tab w:val="right" w:pos="1202"/>
              </w:tabs>
              <w:spacing w:after="0" w:line="240" w:lineRule="auto"/>
              <w:jc w:val="right"/>
              <w:outlineLvl w:val="0"/>
              <w:rPr>
                <w:rFonts w:eastAsia="Times New Roman" w:cs="Arial"/>
                <w:b/>
                <w:bCs/>
              </w:rPr>
            </w:pPr>
            <w:r w:rsidRPr="00F82E2C">
              <w:rPr>
                <w:rFonts w:eastAsia="Times New Roman" w:cs="Arial"/>
                <w:b/>
                <w:bCs/>
              </w:rPr>
              <w:t>28,300,724</w:t>
            </w:r>
          </w:p>
        </w:tc>
        <w:tc>
          <w:tcPr>
            <w:tcW w:w="153" w:type="pct"/>
            <w:tcBorders>
              <w:top w:val="nil"/>
              <w:bottom w:val="single" w:sz="12" w:space="0" w:color="auto"/>
            </w:tcBorders>
            <w:vAlign w:val="bottom"/>
          </w:tcPr>
          <w:p w14:paraId="2496B5BD" w14:textId="77777777" w:rsidR="00F5611C" w:rsidRPr="0034501D" w:rsidRDefault="00F5611C" w:rsidP="00F5611C">
            <w:pPr>
              <w:tabs>
                <w:tab w:val="right" w:pos="1202"/>
              </w:tabs>
              <w:spacing w:after="0" w:line="240" w:lineRule="auto"/>
              <w:jc w:val="right"/>
              <w:outlineLvl w:val="0"/>
              <w:rPr>
                <w:rFonts w:eastAsia="Times New Roman" w:cs="Arial"/>
                <w:b/>
                <w:bCs/>
              </w:rPr>
            </w:pPr>
          </w:p>
        </w:tc>
        <w:tc>
          <w:tcPr>
            <w:tcW w:w="845" w:type="pct"/>
            <w:tcBorders>
              <w:top w:val="nil"/>
              <w:bottom w:val="single" w:sz="12" w:space="0" w:color="auto"/>
            </w:tcBorders>
            <w:vAlign w:val="bottom"/>
          </w:tcPr>
          <w:p w14:paraId="44C6E316" w14:textId="77777777" w:rsidR="00F5611C" w:rsidRPr="00CA37C8" w:rsidRDefault="00F5611C" w:rsidP="00F5611C">
            <w:pPr>
              <w:tabs>
                <w:tab w:val="right" w:pos="1202"/>
              </w:tabs>
              <w:spacing w:after="0" w:line="240" w:lineRule="auto"/>
              <w:jc w:val="right"/>
              <w:outlineLvl w:val="0"/>
              <w:rPr>
                <w:rFonts w:eastAsia="Times New Roman" w:cs="Arial"/>
                <w:b/>
                <w:bCs/>
              </w:rPr>
            </w:pPr>
            <w:r w:rsidRPr="007C409B">
              <w:rPr>
                <w:rFonts w:eastAsia="Times New Roman" w:cs="Arial"/>
                <w:b/>
                <w:bCs/>
              </w:rPr>
              <w:t>27</w:t>
            </w:r>
            <w:r>
              <w:rPr>
                <w:rFonts w:eastAsia="Times New Roman" w:cs="Arial"/>
                <w:b/>
                <w:bCs/>
              </w:rPr>
              <w:t>,</w:t>
            </w:r>
            <w:r w:rsidRPr="007C409B">
              <w:rPr>
                <w:rFonts w:eastAsia="Times New Roman" w:cs="Arial"/>
                <w:b/>
                <w:bCs/>
              </w:rPr>
              <w:t>390</w:t>
            </w:r>
            <w:r>
              <w:rPr>
                <w:rFonts w:eastAsia="Times New Roman" w:cs="Arial"/>
                <w:b/>
                <w:bCs/>
              </w:rPr>
              <w:t>,</w:t>
            </w:r>
            <w:r w:rsidRPr="007C409B">
              <w:rPr>
                <w:rFonts w:eastAsia="Times New Roman" w:cs="Arial"/>
                <w:b/>
                <w:bCs/>
              </w:rPr>
              <w:t>822</w:t>
            </w:r>
          </w:p>
        </w:tc>
      </w:tr>
      <w:tr w:rsidR="00F5611C" w:rsidRPr="0034501D" w14:paraId="60094498" w14:textId="77777777" w:rsidTr="00166751">
        <w:trPr>
          <w:trHeight w:hRule="exact" w:val="113"/>
        </w:trPr>
        <w:tc>
          <w:tcPr>
            <w:tcW w:w="2616" w:type="pct"/>
          </w:tcPr>
          <w:p w14:paraId="05A10793" w14:textId="77777777" w:rsidR="00F5611C" w:rsidRPr="0034501D" w:rsidRDefault="00F5611C" w:rsidP="00F5611C">
            <w:pPr>
              <w:keepNext/>
              <w:keepLines/>
              <w:tabs>
                <w:tab w:val="decimal" w:pos="1202"/>
              </w:tabs>
              <w:spacing w:after="0" w:line="240" w:lineRule="auto"/>
              <w:rPr>
                <w:rFonts w:eastAsia="Times New Roman" w:cs="Arial"/>
                <w:b/>
                <w:position w:val="4"/>
                <w:u w:val="thick"/>
              </w:rPr>
            </w:pPr>
          </w:p>
        </w:tc>
        <w:tc>
          <w:tcPr>
            <w:tcW w:w="539" w:type="pct"/>
            <w:vAlign w:val="center"/>
          </w:tcPr>
          <w:p w14:paraId="0DAC52EB" w14:textId="77777777" w:rsidR="00F5611C" w:rsidRPr="0034501D" w:rsidRDefault="00F5611C" w:rsidP="00F5611C">
            <w:pPr>
              <w:keepNext/>
              <w:keepLines/>
              <w:tabs>
                <w:tab w:val="decimal" w:pos="1060"/>
              </w:tabs>
              <w:spacing w:after="0" w:line="240" w:lineRule="auto"/>
              <w:jc w:val="center"/>
              <w:rPr>
                <w:rFonts w:eastAsia="Times New Roman" w:cs="Arial"/>
                <w:b/>
                <w:position w:val="4"/>
                <w:u w:val="thick"/>
              </w:rPr>
            </w:pPr>
          </w:p>
        </w:tc>
        <w:tc>
          <w:tcPr>
            <w:tcW w:w="847" w:type="pct"/>
            <w:tcBorders>
              <w:top w:val="single" w:sz="12" w:space="0" w:color="auto"/>
            </w:tcBorders>
            <w:vAlign w:val="center"/>
          </w:tcPr>
          <w:p w14:paraId="26F5C3E9" w14:textId="77777777" w:rsidR="00F5611C" w:rsidRPr="0034501D" w:rsidRDefault="00F5611C" w:rsidP="00F5611C">
            <w:pPr>
              <w:keepNext/>
              <w:keepLines/>
              <w:tabs>
                <w:tab w:val="decimal" w:pos="1060"/>
              </w:tabs>
              <w:spacing w:after="0" w:line="240" w:lineRule="auto"/>
              <w:jc w:val="right"/>
              <w:rPr>
                <w:rFonts w:eastAsia="Times New Roman" w:cs="Arial"/>
                <w:b/>
                <w:position w:val="4"/>
                <w:u w:val="thick"/>
              </w:rPr>
            </w:pPr>
            <w:r w:rsidRPr="0034501D">
              <w:rPr>
                <w:rFonts w:eastAsia="Times New Roman" w:cs="Arial"/>
                <w:b/>
                <w:position w:val="4"/>
                <w:u w:val="thick"/>
              </w:rPr>
              <w:t>____________</w:t>
            </w:r>
          </w:p>
        </w:tc>
        <w:tc>
          <w:tcPr>
            <w:tcW w:w="153" w:type="pct"/>
            <w:tcBorders>
              <w:top w:val="single" w:sz="12" w:space="0" w:color="auto"/>
            </w:tcBorders>
            <w:vAlign w:val="center"/>
          </w:tcPr>
          <w:p w14:paraId="3D698083" w14:textId="77777777" w:rsidR="00F5611C" w:rsidRPr="0034501D" w:rsidRDefault="00F5611C" w:rsidP="00F5611C">
            <w:pPr>
              <w:keepNext/>
              <w:keepLines/>
              <w:tabs>
                <w:tab w:val="decimal" w:pos="1202"/>
              </w:tabs>
              <w:spacing w:after="0" w:line="240" w:lineRule="auto"/>
              <w:jc w:val="right"/>
              <w:rPr>
                <w:rFonts w:eastAsia="Times New Roman" w:cs="Arial"/>
                <w:b/>
                <w:position w:val="4"/>
                <w:u w:val="thick"/>
              </w:rPr>
            </w:pPr>
          </w:p>
        </w:tc>
        <w:tc>
          <w:tcPr>
            <w:tcW w:w="845" w:type="pct"/>
            <w:tcBorders>
              <w:top w:val="single" w:sz="12" w:space="0" w:color="auto"/>
            </w:tcBorders>
            <w:vAlign w:val="center"/>
          </w:tcPr>
          <w:p w14:paraId="1373E447" w14:textId="77777777" w:rsidR="00F5611C" w:rsidRPr="0034501D" w:rsidRDefault="00F5611C" w:rsidP="00F5611C">
            <w:pPr>
              <w:keepNext/>
              <w:keepLines/>
              <w:tabs>
                <w:tab w:val="decimal" w:pos="1060"/>
              </w:tabs>
              <w:spacing w:after="0" w:line="240" w:lineRule="auto"/>
              <w:jc w:val="right"/>
              <w:rPr>
                <w:rFonts w:eastAsia="Times New Roman" w:cs="Arial"/>
                <w:b/>
                <w:position w:val="4"/>
                <w:u w:val="thick"/>
              </w:rPr>
            </w:pPr>
            <w:r w:rsidRPr="0034501D">
              <w:rPr>
                <w:rFonts w:eastAsia="Times New Roman" w:cs="Arial"/>
                <w:b/>
                <w:position w:val="4"/>
                <w:u w:val="thick"/>
              </w:rPr>
              <w:t>____________</w:t>
            </w:r>
          </w:p>
        </w:tc>
      </w:tr>
    </w:tbl>
    <w:p w14:paraId="5E995C06" w14:textId="77777777" w:rsidR="00003445" w:rsidRPr="0034501D" w:rsidRDefault="00003445" w:rsidP="00FE7274">
      <w:pPr>
        <w:spacing w:after="0" w:line="240" w:lineRule="auto"/>
        <w:rPr>
          <w:rFonts w:eastAsia="Times New Roman"/>
          <w:sz w:val="24"/>
          <w:szCs w:val="24"/>
        </w:rPr>
      </w:pPr>
    </w:p>
    <w:p w14:paraId="3C6C4618" w14:textId="77777777" w:rsidR="00603C97" w:rsidRPr="0034501D" w:rsidRDefault="00D658D4" w:rsidP="00166751">
      <w:pPr>
        <w:spacing w:after="0" w:line="240" w:lineRule="auto"/>
        <w:jc w:val="both"/>
        <w:rPr>
          <w:rFonts w:eastAsia="Times New Roman"/>
          <w:sz w:val="24"/>
          <w:szCs w:val="24"/>
        </w:rPr>
      </w:pPr>
      <w:r w:rsidRPr="00D658D4">
        <w:rPr>
          <w:rFonts w:asciiTheme="minorHAnsi" w:eastAsia="Times New Roman" w:hAnsiTheme="minorHAnsi" w:cs="Arial"/>
        </w:rPr>
        <w:t>The accompanying selected notes are an integral part of th</w:t>
      </w:r>
      <w:r w:rsidR="00F5611C">
        <w:rPr>
          <w:rFonts w:asciiTheme="minorHAnsi" w:eastAsia="Times New Roman" w:hAnsiTheme="minorHAnsi" w:cs="Arial"/>
        </w:rPr>
        <w:t>i</w:t>
      </w:r>
      <w:r w:rsidR="00D47246">
        <w:rPr>
          <w:rFonts w:asciiTheme="minorHAnsi" w:eastAsia="Times New Roman" w:hAnsiTheme="minorHAnsi" w:cs="Arial"/>
        </w:rPr>
        <w:t>s</w:t>
      </w:r>
      <w:r w:rsidRPr="00D658D4">
        <w:rPr>
          <w:rFonts w:asciiTheme="minorHAnsi" w:eastAsia="Times New Roman" w:hAnsiTheme="minorHAnsi" w:cs="Arial"/>
        </w:rPr>
        <w:t xml:space="preserve"> </w:t>
      </w:r>
      <w:r w:rsidR="00F5611C">
        <w:rPr>
          <w:rFonts w:asciiTheme="minorHAnsi" w:eastAsia="Times New Roman" w:hAnsiTheme="minorHAnsi" w:cs="Arial"/>
        </w:rPr>
        <w:t>Statement of Financial Position</w:t>
      </w:r>
      <w:r w:rsidRPr="00D658D4">
        <w:rPr>
          <w:rFonts w:asciiTheme="minorHAnsi" w:eastAsia="Times New Roman" w:hAnsiTheme="minorHAnsi" w:cs="Arial"/>
        </w:rPr>
        <w:t>.</w:t>
      </w:r>
    </w:p>
    <w:p w14:paraId="20C9E07C" w14:textId="77777777" w:rsidR="002244DF" w:rsidRDefault="002244DF" w:rsidP="00117564">
      <w:pPr>
        <w:spacing w:after="0" w:line="240" w:lineRule="auto"/>
        <w:rPr>
          <w:rFonts w:eastAsia="Times New Roman" w:cs="Arial"/>
        </w:rPr>
      </w:pPr>
    </w:p>
    <w:p w14:paraId="7BB5BFBF" w14:textId="77777777" w:rsidR="00FE7274" w:rsidRPr="0034501D" w:rsidRDefault="00117564" w:rsidP="00C4266C">
      <w:pPr>
        <w:spacing w:after="0" w:line="240" w:lineRule="auto"/>
      </w:pPr>
      <w:r w:rsidRPr="0034501D">
        <w:rPr>
          <w:rFonts w:eastAsia="Times New Roman" w:cs="Arial"/>
        </w:rPr>
        <w:tab/>
      </w:r>
      <w:r w:rsidRPr="0034501D">
        <w:rPr>
          <w:rFonts w:eastAsia="Times New Roman" w:cs="Arial"/>
        </w:rPr>
        <w:tab/>
      </w:r>
    </w:p>
    <w:p w14:paraId="068A0644" w14:textId="77777777" w:rsidR="00FE7274" w:rsidRPr="0034501D" w:rsidRDefault="00FE7274" w:rsidP="00C4266C">
      <w:pPr>
        <w:spacing w:after="0" w:line="240" w:lineRule="auto"/>
        <w:sectPr w:rsidR="00FE7274" w:rsidRPr="0034501D" w:rsidSect="00947CB7">
          <w:headerReference w:type="first" r:id="rId20"/>
          <w:footerReference w:type="first" r:id="rId21"/>
          <w:pgSz w:w="11906" w:h="16838" w:code="9"/>
          <w:pgMar w:top="1105" w:right="1133" w:bottom="1417" w:left="1417" w:header="709" w:footer="709" w:gutter="0"/>
          <w:pgNumType w:start="1"/>
          <w:cols w:space="708"/>
          <w:titlePg/>
          <w:docGrid w:linePitch="360"/>
        </w:sectPr>
      </w:pPr>
    </w:p>
    <w:p w14:paraId="781F0630" w14:textId="77777777" w:rsidR="002E1FA4" w:rsidRPr="0034501D" w:rsidRDefault="00913A97" w:rsidP="002E1FA4">
      <w:pPr>
        <w:pStyle w:val="T1"/>
        <w:keepNext w:val="0"/>
        <w:spacing w:before="0" w:after="0" w:line="240" w:lineRule="auto"/>
        <w:rPr>
          <w:rFonts w:ascii="Calibri" w:hAnsi="Calibri"/>
          <w:b w:val="0"/>
          <w:bCs w:val="0"/>
          <w:sz w:val="22"/>
          <w:szCs w:val="22"/>
          <w:lang w:val="en-GB"/>
        </w:rPr>
      </w:pPr>
      <w:r>
        <w:rPr>
          <w:rFonts w:ascii="Calibri" w:hAnsi="Calibri"/>
          <w:b w:val="0"/>
          <w:bCs w:val="0"/>
          <w:sz w:val="22"/>
          <w:szCs w:val="22"/>
          <w:lang w:val="en-GB"/>
        </w:rPr>
        <w:lastRenderedPageBreak/>
        <w:t xml:space="preserve"> </w:t>
      </w:r>
    </w:p>
    <w:tbl>
      <w:tblPr>
        <w:tblpPr w:leftFromText="180" w:rightFromText="180" w:vertAnchor="page" w:horzAnchor="margin" w:tblpX="-165" w:tblpY="2360"/>
        <w:tblW w:w="9639" w:type="dxa"/>
        <w:tblLayout w:type="fixed"/>
        <w:tblCellMar>
          <w:left w:w="119" w:type="dxa"/>
          <w:right w:w="119" w:type="dxa"/>
        </w:tblCellMar>
        <w:tblLook w:val="0000" w:firstRow="0" w:lastRow="0" w:firstColumn="0" w:lastColumn="0" w:noHBand="0" w:noVBand="0"/>
      </w:tblPr>
      <w:tblGrid>
        <w:gridCol w:w="7088"/>
        <w:gridCol w:w="1276"/>
        <w:gridCol w:w="1275"/>
      </w:tblGrid>
      <w:tr w:rsidR="00FC596F" w:rsidRPr="00F6749B" w14:paraId="16C8E0FF" w14:textId="77777777" w:rsidTr="00FC596F">
        <w:trPr>
          <w:trHeight w:val="279"/>
        </w:trPr>
        <w:tc>
          <w:tcPr>
            <w:tcW w:w="7088" w:type="dxa"/>
            <w:tcBorders>
              <w:top w:val="single" w:sz="4" w:space="0" w:color="auto"/>
              <w:bottom w:val="single" w:sz="4" w:space="0" w:color="auto"/>
            </w:tcBorders>
            <w:vAlign w:val="bottom"/>
          </w:tcPr>
          <w:p w14:paraId="593D5513" w14:textId="77777777" w:rsidR="00FC596F" w:rsidRPr="00F6749B" w:rsidRDefault="00FC596F" w:rsidP="00FC596F">
            <w:pPr>
              <w:keepLines/>
              <w:tabs>
                <w:tab w:val="right" w:pos="1202"/>
              </w:tabs>
              <w:spacing w:after="0" w:line="240" w:lineRule="auto"/>
              <w:outlineLvl w:val="0"/>
              <w:rPr>
                <w:rFonts w:eastAsia="Times New Roman" w:cs="Arial"/>
                <w:b/>
                <w:sz w:val="19"/>
                <w:szCs w:val="19"/>
              </w:rPr>
            </w:pPr>
            <w:r>
              <w:rPr>
                <w:rFonts w:eastAsia="Times New Roman" w:cs="Arial"/>
                <w:b/>
                <w:sz w:val="19"/>
                <w:szCs w:val="19"/>
              </w:rPr>
              <w:t xml:space="preserve">                                                                                                                                               Note</w:t>
            </w:r>
            <w:r w:rsidRPr="00F6749B">
              <w:rPr>
                <w:rFonts w:eastAsia="Times New Roman" w:cs="Arial"/>
                <w:b/>
                <w:sz w:val="19"/>
                <w:szCs w:val="19"/>
              </w:rPr>
              <w:t xml:space="preserve"> </w:t>
            </w:r>
          </w:p>
        </w:tc>
        <w:tc>
          <w:tcPr>
            <w:tcW w:w="1276" w:type="dxa"/>
            <w:tcBorders>
              <w:top w:val="single" w:sz="4" w:space="0" w:color="auto"/>
              <w:bottom w:val="single" w:sz="4" w:space="0" w:color="auto"/>
            </w:tcBorders>
            <w:vAlign w:val="bottom"/>
          </w:tcPr>
          <w:p w14:paraId="20F59AA3" w14:textId="77777777" w:rsidR="00FC596F" w:rsidRPr="00F6749B" w:rsidRDefault="00FC596F" w:rsidP="00FC596F">
            <w:pPr>
              <w:keepLines/>
              <w:tabs>
                <w:tab w:val="right" w:pos="1202"/>
              </w:tabs>
              <w:spacing w:after="0" w:line="240" w:lineRule="auto"/>
              <w:jc w:val="right"/>
              <w:outlineLvl w:val="0"/>
              <w:rPr>
                <w:rFonts w:eastAsia="Times New Roman" w:cs="Arial"/>
                <w:b/>
                <w:bCs/>
                <w:sz w:val="19"/>
                <w:szCs w:val="19"/>
              </w:rPr>
            </w:pPr>
            <w:r w:rsidRPr="00F6749B">
              <w:rPr>
                <w:rFonts w:eastAsia="Times New Roman" w:cs="Arial"/>
                <w:b/>
                <w:bCs/>
                <w:sz w:val="19"/>
                <w:szCs w:val="19"/>
              </w:rPr>
              <w:t>201</w:t>
            </w:r>
            <w:r>
              <w:rPr>
                <w:rFonts w:eastAsia="Times New Roman" w:cs="Arial"/>
                <w:b/>
                <w:bCs/>
                <w:sz w:val="19"/>
                <w:szCs w:val="19"/>
              </w:rPr>
              <w:t>7</w:t>
            </w:r>
          </w:p>
        </w:tc>
        <w:tc>
          <w:tcPr>
            <w:tcW w:w="1275" w:type="dxa"/>
            <w:tcBorders>
              <w:top w:val="single" w:sz="4" w:space="0" w:color="auto"/>
              <w:bottom w:val="single" w:sz="4" w:space="0" w:color="auto"/>
            </w:tcBorders>
            <w:vAlign w:val="bottom"/>
          </w:tcPr>
          <w:p w14:paraId="093A25CD" w14:textId="77777777" w:rsidR="00FC596F" w:rsidRPr="00F6749B" w:rsidRDefault="00FC596F" w:rsidP="00FC596F">
            <w:pPr>
              <w:keepLines/>
              <w:tabs>
                <w:tab w:val="right" w:pos="1202"/>
              </w:tabs>
              <w:spacing w:after="0" w:line="240" w:lineRule="auto"/>
              <w:jc w:val="right"/>
              <w:outlineLvl w:val="0"/>
              <w:rPr>
                <w:rFonts w:eastAsia="Times New Roman" w:cs="Arial"/>
                <w:b/>
                <w:bCs/>
                <w:sz w:val="19"/>
                <w:szCs w:val="19"/>
              </w:rPr>
            </w:pPr>
            <w:r w:rsidRPr="00F6749B">
              <w:rPr>
                <w:rFonts w:eastAsia="Times New Roman" w:cs="Arial"/>
                <w:b/>
                <w:bCs/>
                <w:sz w:val="19"/>
                <w:szCs w:val="19"/>
              </w:rPr>
              <w:t>201</w:t>
            </w:r>
            <w:r>
              <w:rPr>
                <w:rFonts w:eastAsia="Times New Roman" w:cs="Arial"/>
                <w:b/>
                <w:bCs/>
                <w:sz w:val="19"/>
                <w:szCs w:val="19"/>
              </w:rPr>
              <w:t>6</w:t>
            </w:r>
          </w:p>
        </w:tc>
      </w:tr>
      <w:tr w:rsidR="00FC596F" w:rsidRPr="00F6749B" w14:paraId="5103E402" w14:textId="77777777" w:rsidTr="00FC596F">
        <w:tc>
          <w:tcPr>
            <w:tcW w:w="7088" w:type="dxa"/>
          </w:tcPr>
          <w:p w14:paraId="336C60F7" w14:textId="77777777" w:rsidR="00FC596F" w:rsidRPr="00F6749B" w:rsidRDefault="00FC596F" w:rsidP="00FC596F">
            <w:pPr>
              <w:keepLines/>
              <w:tabs>
                <w:tab w:val="right" w:pos="1202"/>
              </w:tabs>
              <w:spacing w:after="0" w:line="240" w:lineRule="auto"/>
              <w:outlineLvl w:val="0"/>
              <w:rPr>
                <w:rFonts w:eastAsia="Times New Roman" w:cs="Arial"/>
                <w:b/>
                <w:bCs/>
                <w:spacing w:val="-3"/>
                <w:sz w:val="19"/>
                <w:szCs w:val="19"/>
              </w:rPr>
            </w:pPr>
            <w:r w:rsidRPr="00F6749B">
              <w:rPr>
                <w:rFonts w:cs="Arial"/>
                <w:b/>
                <w:bCs/>
                <w:sz w:val="19"/>
                <w:szCs w:val="19"/>
              </w:rPr>
              <w:t>Operating activities</w:t>
            </w:r>
          </w:p>
        </w:tc>
        <w:tc>
          <w:tcPr>
            <w:tcW w:w="1276" w:type="dxa"/>
          </w:tcPr>
          <w:p w14:paraId="5FD0C4C3" w14:textId="77777777" w:rsidR="00FC596F" w:rsidRPr="00F6749B" w:rsidRDefault="00FC596F" w:rsidP="00FC596F">
            <w:pPr>
              <w:keepLines/>
              <w:tabs>
                <w:tab w:val="right" w:pos="1202"/>
              </w:tabs>
              <w:spacing w:after="0" w:line="240" w:lineRule="auto"/>
              <w:jc w:val="right"/>
              <w:outlineLvl w:val="0"/>
              <w:rPr>
                <w:rFonts w:eastAsia="Times New Roman" w:cs="Arial"/>
                <w:sz w:val="19"/>
                <w:szCs w:val="19"/>
              </w:rPr>
            </w:pPr>
          </w:p>
        </w:tc>
        <w:tc>
          <w:tcPr>
            <w:tcW w:w="1275" w:type="dxa"/>
          </w:tcPr>
          <w:p w14:paraId="67194F4B" w14:textId="77777777" w:rsidR="00FC596F" w:rsidRPr="00F6749B" w:rsidRDefault="00FC596F" w:rsidP="00FC596F">
            <w:pPr>
              <w:keepLines/>
              <w:tabs>
                <w:tab w:val="right" w:pos="1202"/>
              </w:tabs>
              <w:spacing w:after="0" w:line="240" w:lineRule="auto"/>
              <w:jc w:val="right"/>
              <w:outlineLvl w:val="0"/>
              <w:rPr>
                <w:rFonts w:eastAsia="Times New Roman" w:cs="Arial"/>
                <w:sz w:val="19"/>
                <w:szCs w:val="19"/>
              </w:rPr>
            </w:pPr>
          </w:p>
        </w:tc>
      </w:tr>
      <w:tr w:rsidR="00B57C13" w:rsidRPr="00F6749B" w14:paraId="1DDE3A7C" w14:textId="77777777" w:rsidTr="005444AA">
        <w:tc>
          <w:tcPr>
            <w:tcW w:w="7088" w:type="dxa"/>
          </w:tcPr>
          <w:p w14:paraId="1D4F12EB" w14:textId="77777777" w:rsidR="00B57C13" w:rsidRPr="00F6749B" w:rsidRDefault="00B57C13" w:rsidP="00B57C13">
            <w:pPr>
              <w:keepLines/>
              <w:tabs>
                <w:tab w:val="right" w:pos="1202"/>
              </w:tabs>
              <w:spacing w:after="0" w:line="240" w:lineRule="auto"/>
              <w:outlineLvl w:val="0"/>
              <w:rPr>
                <w:rFonts w:eastAsia="Times New Roman" w:cs="Arial"/>
                <w:spacing w:val="-3"/>
                <w:sz w:val="19"/>
                <w:szCs w:val="19"/>
              </w:rPr>
            </w:pPr>
            <w:r w:rsidRPr="00F6749B">
              <w:rPr>
                <w:rFonts w:cs="Arial"/>
                <w:sz w:val="19"/>
                <w:szCs w:val="19"/>
              </w:rPr>
              <w:t>Profit before income tax</w:t>
            </w:r>
          </w:p>
        </w:tc>
        <w:tc>
          <w:tcPr>
            <w:tcW w:w="1276" w:type="dxa"/>
            <w:tcBorders>
              <w:top w:val="nil"/>
              <w:left w:val="nil"/>
              <w:right w:val="nil"/>
            </w:tcBorders>
            <w:shd w:val="clear" w:color="auto" w:fill="auto"/>
            <w:vAlign w:val="bottom"/>
          </w:tcPr>
          <w:p w14:paraId="7D959450" w14:textId="072498D0" w:rsidR="00B57C13" w:rsidRPr="006B318F" w:rsidRDefault="00B57C13" w:rsidP="006B318F">
            <w:pPr>
              <w:keepLines/>
              <w:tabs>
                <w:tab w:val="right" w:pos="1202"/>
              </w:tabs>
              <w:spacing w:after="0" w:line="240" w:lineRule="auto"/>
              <w:jc w:val="right"/>
              <w:outlineLvl w:val="0"/>
              <w:rPr>
                <w:rFonts w:cs="Calibri"/>
                <w:bCs/>
                <w:sz w:val="19"/>
                <w:szCs w:val="19"/>
              </w:rPr>
            </w:pPr>
            <w:r w:rsidRPr="006B318F">
              <w:rPr>
                <w:rFonts w:cs="Calibri"/>
                <w:bCs/>
                <w:sz w:val="19"/>
                <w:szCs w:val="19"/>
              </w:rPr>
              <w:t>176,541</w:t>
            </w:r>
          </w:p>
        </w:tc>
        <w:tc>
          <w:tcPr>
            <w:tcW w:w="1275" w:type="dxa"/>
            <w:tcBorders>
              <w:top w:val="nil"/>
              <w:left w:val="nil"/>
              <w:right w:val="nil"/>
            </w:tcBorders>
            <w:shd w:val="clear" w:color="auto" w:fill="auto"/>
            <w:vAlign w:val="bottom"/>
          </w:tcPr>
          <w:p w14:paraId="6E67C42F" w14:textId="74AB4239" w:rsidR="00B57C13" w:rsidRPr="001E7720" w:rsidRDefault="00B57C13" w:rsidP="00B57C13">
            <w:pPr>
              <w:keepLines/>
              <w:tabs>
                <w:tab w:val="right" w:pos="1202"/>
              </w:tabs>
              <w:spacing w:after="0" w:line="240" w:lineRule="auto"/>
              <w:jc w:val="right"/>
              <w:outlineLvl w:val="0"/>
              <w:rPr>
                <w:rFonts w:eastAsia="Times New Roman" w:cs="Arial"/>
                <w:sz w:val="19"/>
                <w:szCs w:val="19"/>
              </w:rPr>
            </w:pPr>
            <w:r w:rsidRPr="00786E09">
              <w:rPr>
                <w:rFonts w:cs="Calibri"/>
                <w:bCs/>
                <w:sz w:val="19"/>
                <w:szCs w:val="19"/>
              </w:rPr>
              <w:t>159,778</w:t>
            </w:r>
          </w:p>
        </w:tc>
      </w:tr>
      <w:tr w:rsidR="00B57C13" w:rsidRPr="00F6749B" w14:paraId="7DB7C0FD" w14:textId="77777777" w:rsidTr="006B318F">
        <w:tc>
          <w:tcPr>
            <w:tcW w:w="7088" w:type="dxa"/>
          </w:tcPr>
          <w:p w14:paraId="717660D0" w14:textId="77777777" w:rsidR="00B57C13" w:rsidRPr="00F6749B" w:rsidRDefault="00B57C13" w:rsidP="00B57C13">
            <w:pPr>
              <w:keepLines/>
              <w:tabs>
                <w:tab w:val="right" w:pos="1202"/>
              </w:tabs>
              <w:spacing w:after="0" w:line="240" w:lineRule="auto"/>
              <w:outlineLvl w:val="0"/>
              <w:rPr>
                <w:rFonts w:eastAsia="Times New Roman" w:cs="Arial"/>
                <w:i/>
                <w:sz w:val="19"/>
                <w:szCs w:val="19"/>
              </w:rPr>
            </w:pPr>
            <w:r w:rsidRPr="00F6749B">
              <w:rPr>
                <w:rFonts w:cs="Arial"/>
                <w:i/>
                <w:sz w:val="19"/>
                <w:szCs w:val="19"/>
              </w:rPr>
              <w:t>Adjustments to reconcile to net cash from and used in operating activities:</w:t>
            </w:r>
          </w:p>
        </w:tc>
        <w:tc>
          <w:tcPr>
            <w:tcW w:w="1276" w:type="dxa"/>
            <w:tcBorders>
              <w:left w:val="nil"/>
              <w:bottom w:val="nil"/>
              <w:right w:val="nil"/>
            </w:tcBorders>
            <w:shd w:val="clear" w:color="auto" w:fill="auto"/>
            <w:vAlign w:val="center"/>
          </w:tcPr>
          <w:p w14:paraId="656D0D7C" w14:textId="77777777" w:rsidR="00B57C13" w:rsidRPr="006B318F" w:rsidRDefault="00B57C13" w:rsidP="006B318F">
            <w:pPr>
              <w:keepLines/>
              <w:tabs>
                <w:tab w:val="right" w:pos="1202"/>
              </w:tabs>
              <w:spacing w:after="0" w:line="240" w:lineRule="auto"/>
              <w:jc w:val="right"/>
              <w:outlineLvl w:val="0"/>
              <w:rPr>
                <w:rFonts w:cs="Calibri"/>
                <w:bCs/>
                <w:sz w:val="19"/>
                <w:szCs w:val="19"/>
              </w:rPr>
            </w:pPr>
          </w:p>
        </w:tc>
        <w:tc>
          <w:tcPr>
            <w:tcW w:w="1275" w:type="dxa"/>
            <w:tcBorders>
              <w:left w:val="nil"/>
              <w:bottom w:val="nil"/>
              <w:right w:val="nil"/>
            </w:tcBorders>
            <w:shd w:val="clear" w:color="auto" w:fill="auto"/>
            <w:vAlign w:val="bottom"/>
          </w:tcPr>
          <w:p w14:paraId="23AB4D0D" w14:textId="77777777" w:rsidR="00B57C13" w:rsidRPr="001E7720" w:rsidRDefault="00B57C13" w:rsidP="00B57C13">
            <w:pPr>
              <w:keepLines/>
              <w:tabs>
                <w:tab w:val="right" w:pos="1202"/>
              </w:tabs>
              <w:spacing w:after="0" w:line="240" w:lineRule="auto"/>
              <w:jc w:val="right"/>
              <w:outlineLvl w:val="0"/>
              <w:rPr>
                <w:rFonts w:eastAsia="Times New Roman" w:cs="Arial"/>
                <w:i/>
                <w:sz w:val="19"/>
                <w:szCs w:val="19"/>
              </w:rPr>
            </w:pPr>
          </w:p>
        </w:tc>
      </w:tr>
      <w:tr w:rsidR="00B57C13" w:rsidRPr="00F6749B" w14:paraId="07CCA1A5" w14:textId="77777777" w:rsidTr="006B318F">
        <w:tc>
          <w:tcPr>
            <w:tcW w:w="7088" w:type="dxa"/>
          </w:tcPr>
          <w:p w14:paraId="0D739EE0" w14:textId="77777777" w:rsidR="00B57C13" w:rsidRPr="00F6749B" w:rsidRDefault="00B57C13" w:rsidP="00B57C13">
            <w:pPr>
              <w:keepLines/>
              <w:tabs>
                <w:tab w:val="right" w:pos="1202"/>
              </w:tabs>
              <w:spacing w:after="0" w:line="240" w:lineRule="auto"/>
              <w:outlineLvl w:val="0"/>
              <w:rPr>
                <w:rFonts w:eastAsia="Times New Roman" w:cs="Arial"/>
                <w:spacing w:val="-3"/>
                <w:sz w:val="19"/>
                <w:szCs w:val="19"/>
              </w:rPr>
            </w:pPr>
            <w:r w:rsidRPr="00F6749B">
              <w:rPr>
                <w:rFonts w:cs="Arial"/>
                <w:sz w:val="19"/>
                <w:szCs w:val="19"/>
              </w:rPr>
              <w:t>Depreciation</w:t>
            </w:r>
          </w:p>
        </w:tc>
        <w:tc>
          <w:tcPr>
            <w:tcW w:w="1276" w:type="dxa"/>
            <w:tcBorders>
              <w:top w:val="nil"/>
              <w:left w:val="nil"/>
              <w:right w:val="nil"/>
            </w:tcBorders>
            <w:shd w:val="clear" w:color="auto" w:fill="auto"/>
            <w:vAlign w:val="bottom"/>
          </w:tcPr>
          <w:p w14:paraId="27A2BFAF" w14:textId="69188548" w:rsidR="00B57C13" w:rsidRPr="006B318F" w:rsidRDefault="00B57C13" w:rsidP="006B318F">
            <w:pPr>
              <w:keepLines/>
              <w:tabs>
                <w:tab w:val="right" w:pos="1202"/>
              </w:tabs>
              <w:spacing w:after="0" w:line="240" w:lineRule="auto"/>
              <w:jc w:val="right"/>
              <w:outlineLvl w:val="0"/>
              <w:rPr>
                <w:rFonts w:cs="Calibri"/>
                <w:bCs/>
                <w:sz w:val="19"/>
                <w:szCs w:val="19"/>
              </w:rPr>
            </w:pPr>
            <w:r w:rsidRPr="006B318F">
              <w:rPr>
                <w:rFonts w:cs="Calibri"/>
                <w:bCs/>
                <w:sz w:val="19"/>
                <w:szCs w:val="19"/>
              </w:rPr>
              <w:t>5,742</w:t>
            </w:r>
          </w:p>
        </w:tc>
        <w:tc>
          <w:tcPr>
            <w:tcW w:w="1275" w:type="dxa"/>
            <w:tcBorders>
              <w:top w:val="nil"/>
              <w:left w:val="nil"/>
              <w:right w:val="nil"/>
            </w:tcBorders>
            <w:shd w:val="clear" w:color="auto" w:fill="auto"/>
          </w:tcPr>
          <w:p w14:paraId="29A05AEB" w14:textId="6CBE0FAB" w:rsidR="00B57C13" w:rsidRPr="006B318F" w:rsidRDefault="00B57C13" w:rsidP="00B57C13">
            <w:pPr>
              <w:keepLines/>
              <w:tabs>
                <w:tab w:val="right" w:pos="1202"/>
              </w:tabs>
              <w:spacing w:after="0" w:line="240" w:lineRule="auto"/>
              <w:jc w:val="right"/>
              <w:outlineLvl w:val="0"/>
              <w:rPr>
                <w:rFonts w:cs="Calibri"/>
                <w:bCs/>
                <w:sz w:val="19"/>
                <w:szCs w:val="19"/>
              </w:rPr>
            </w:pPr>
            <w:r w:rsidRPr="006B318F">
              <w:rPr>
                <w:rFonts w:cs="Calibri"/>
                <w:bCs/>
                <w:sz w:val="19"/>
                <w:szCs w:val="19"/>
              </w:rPr>
              <w:t>5,722</w:t>
            </w:r>
          </w:p>
        </w:tc>
      </w:tr>
      <w:tr w:rsidR="00B57C13" w:rsidRPr="00F6749B" w14:paraId="59518279" w14:textId="77777777" w:rsidTr="006B318F">
        <w:tc>
          <w:tcPr>
            <w:tcW w:w="7088" w:type="dxa"/>
          </w:tcPr>
          <w:p w14:paraId="5061FA3A" w14:textId="77777777" w:rsidR="00B57C13" w:rsidRPr="00F6749B" w:rsidRDefault="00B57C13" w:rsidP="00B57C13">
            <w:pPr>
              <w:keepLines/>
              <w:tabs>
                <w:tab w:val="right" w:pos="1202"/>
              </w:tabs>
              <w:spacing w:after="0" w:line="240" w:lineRule="auto"/>
              <w:outlineLvl w:val="0"/>
              <w:rPr>
                <w:rFonts w:eastAsia="Times New Roman" w:cs="Arial"/>
                <w:sz w:val="19"/>
                <w:szCs w:val="19"/>
              </w:rPr>
            </w:pPr>
            <w:r w:rsidRPr="00F6749B">
              <w:rPr>
                <w:rFonts w:cs="Arial"/>
                <w:sz w:val="19"/>
                <w:szCs w:val="19"/>
              </w:rPr>
              <w:t>Income tax</w:t>
            </w:r>
          </w:p>
        </w:tc>
        <w:tc>
          <w:tcPr>
            <w:tcW w:w="1276" w:type="dxa"/>
            <w:tcBorders>
              <w:top w:val="nil"/>
              <w:left w:val="nil"/>
              <w:bottom w:val="nil"/>
              <w:right w:val="nil"/>
            </w:tcBorders>
            <w:shd w:val="clear" w:color="000000" w:fill="auto"/>
            <w:vAlign w:val="bottom"/>
          </w:tcPr>
          <w:p w14:paraId="59C96141" w14:textId="526BFE45" w:rsidR="00B57C13" w:rsidRPr="006B318F" w:rsidRDefault="00B57C13" w:rsidP="006B318F">
            <w:pPr>
              <w:keepLines/>
              <w:tabs>
                <w:tab w:val="right" w:pos="1202"/>
              </w:tabs>
              <w:spacing w:after="0" w:line="240" w:lineRule="auto"/>
              <w:jc w:val="right"/>
              <w:outlineLvl w:val="0"/>
              <w:rPr>
                <w:rFonts w:cs="Calibri"/>
                <w:bCs/>
                <w:sz w:val="19"/>
                <w:szCs w:val="19"/>
              </w:rPr>
            </w:pPr>
            <w:r w:rsidRPr="006B318F">
              <w:rPr>
                <w:rFonts w:cs="Calibri"/>
                <w:bCs/>
                <w:sz w:val="19"/>
                <w:szCs w:val="19"/>
              </w:rPr>
              <w:t xml:space="preserve"> 140 </w:t>
            </w:r>
          </w:p>
        </w:tc>
        <w:tc>
          <w:tcPr>
            <w:tcW w:w="1275" w:type="dxa"/>
            <w:tcBorders>
              <w:top w:val="nil"/>
              <w:left w:val="nil"/>
              <w:bottom w:val="nil"/>
              <w:right w:val="nil"/>
            </w:tcBorders>
            <w:shd w:val="clear" w:color="000000" w:fill="auto"/>
          </w:tcPr>
          <w:p w14:paraId="1DA4E0D1" w14:textId="14066D51" w:rsidR="00B57C13" w:rsidRPr="006B318F" w:rsidRDefault="00B57C13" w:rsidP="00B57C13">
            <w:pPr>
              <w:keepLines/>
              <w:tabs>
                <w:tab w:val="right" w:pos="1202"/>
              </w:tabs>
              <w:spacing w:after="0" w:line="240" w:lineRule="auto"/>
              <w:jc w:val="right"/>
              <w:outlineLvl w:val="0"/>
              <w:rPr>
                <w:rFonts w:cs="Calibri"/>
                <w:bCs/>
                <w:sz w:val="19"/>
                <w:szCs w:val="19"/>
              </w:rPr>
            </w:pPr>
            <w:r w:rsidRPr="006B318F">
              <w:rPr>
                <w:rFonts w:cs="Calibri"/>
                <w:bCs/>
                <w:sz w:val="19"/>
                <w:szCs w:val="19"/>
              </w:rPr>
              <w:t>262</w:t>
            </w:r>
          </w:p>
        </w:tc>
      </w:tr>
      <w:tr w:rsidR="00B57C13" w:rsidRPr="00F6749B" w14:paraId="5FBAF3F5" w14:textId="77777777" w:rsidTr="006B318F">
        <w:tc>
          <w:tcPr>
            <w:tcW w:w="7088" w:type="dxa"/>
          </w:tcPr>
          <w:p w14:paraId="27073FEA" w14:textId="77777777" w:rsidR="00B57C13" w:rsidRPr="00F6749B" w:rsidRDefault="00B57C13" w:rsidP="00B57C13">
            <w:pPr>
              <w:tabs>
                <w:tab w:val="right" w:pos="1202"/>
              </w:tabs>
              <w:spacing w:after="0" w:line="240" w:lineRule="auto"/>
              <w:outlineLvl w:val="0"/>
              <w:rPr>
                <w:rFonts w:eastAsia="Times New Roman" w:cs="Arial"/>
                <w:bCs/>
                <w:spacing w:val="-2"/>
                <w:sz w:val="19"/>
                <w:szCs w:val="19"/>
              </w:rPr>
            </w:pPr>
            <w:r w:rsidRPr="00F6749B">
              <w:rPr>
                <w:rFonts w:cs="Arial"/>
                <w:sz w:val="19"/>
                <w:szCs w:val="19"/>
              </w:rPr>
              <w:t>Impairment loss and provisions</w:t>
            </w:r>
          </w:p>
        </w:tc>
        <w:tc>
          <w:tcPr>
            <w:tcW w:w="1276" w:type="dxa"/>
            <w:tcBorders>
              <w:top w:val="nil"/>
              <w:left w:val="nil"/>
              <w:bottom w:val="nil"/>
              <w:right w:val="nil"/>
            </w:tcBorders>
            <w:shd w:val="clear" w:color="000000" w:fill="auto"/>
            <w:vAlign w:val="bottom"/>
          </w:tcPr>
          <w:p w14:paraId="5C2BB352" w14:textId="559C8481" w:rsidR="00B57C13" w:rsidRPr="006B318F" w:rsidRDefault="00B57C13" w:rsidP="006B318F">
            <w:pPr>
              <w:keepLines/>
              <w:tabs>
                <w:tab w:val="right" w:pos="1202"/>
              </w:tabs>
              <w:spacing w:after="0" w:line="240" w:lineRule="auto"/>
              <w:jc w:val="right"/>
              <w:outlineLvl w:val="0"/>
              <w:rPr>
                <w:rFonts w:cs="Calibri"/>
                <w:bCs/>
                <w:sz w:val="19"/>
                <w:szCs w:val="19"/>
              </w:rPr>
            </w:pPr>
            <w:r w:rsidRPr="006B318F">
              <w:rPr>
                <w:rFonts w:cs="Calibri"/>
                <w:bCs/>
                <w:sz w:val="19"/>
                <w:szCs w:val="19"/>
              </w:rPr>
              <w:t>91,898</w:t>
            </w:r>
          </w:p>
        </w:tc>
        <w:tc>
          <w:tcPr>
            <w:tcW w:w="1275" w:type="dxa"/>
            <w:tcBorders>
              <w:top w:val="nil"/>
              <w:left w:val="nil"/>
              <w:bottom w:val="nil"/>
              <w:right w:val="nil"/>
            </w:tcBorders>
            <w:shd w:val="clear" w:color="000000" w:fill="auto"/>
          </w:tcPr>
          <w:p w14:paraId="138B3D4A" w14:textId="70943F06" w:rsidR="00B57C13" w:rsidRPr="006B318F" w:rsidRDefault="00B57C13" w:rsidP="00B57C13">
            <w:pPr>
              <w:keepLines/>
              <w:tabs>
                <w:tab w:val="right" w:pos="1202"/>
              </w:tabs>
              <w:spacing w:after="0" w:line="240" w:lineRule="auto"/>
              <w:jc w:val="right"/>
              <w:outlineLvl w:val="0"/>
              <w:rPr>
                <w:rFonts w:cs="Calibri"/>
                <w:bCs/>
                <w:sz w:val="19"/>
                <w:szCs w:val="19"/>
              </w:rPr>
            </w:pPr>
            <w:r w:rsidRPr="006B318F">
              <w:rPr>
                <w:rFonts w:cs="Calibri"/>
                <w:bCs/>
                <w:sz w:val="19"/>
                <w:szCs w:val="19"/>
              </w:rPr>
              <w:t>44,807</w:t>
            </w:r>
          </w:p>
        </w:tc>
      </w:tr>
      <w:tr w:rsidR="00B57C13" w:rsidRPr="00F6749B" w14:paraId="6E65BBC2" w14:textId="77777777" w:rsidTr="006B318F">
        <w:tc>
          <w:tcPr>
            <w:tcW w:w="7088" w:type="dxa"/>
            <w:vAlign w:val="bottom"/>
          </w:tcPr>
          <w:p w14:paraId="222DE110" w14:textId="77777777" w:rsidR="00B57C13" w:rsidRPr="00F6749B" w:rsidRDefault="00B57C13" w:rsidP="00B57C13">
            <w:pPr>
              <w:keepLines/>
              <w:tabs>
                <w:tab w:val="right" w:pos="1202"/>
              </w:tabs>
              <w:spacing w:after="0" w:line="240" w:lineRule="auto"/>
              <w:outlineLvl w:val="0"/>
              <w:rPr>
                <w:rFonts w:eastAsia="Times New Roman" w:cs="Arial"/>
                <w:iCs/>
                <w:sz w:val="19"/>
                <w:szCs w:val="19"/>
              </w:rPr>
            </w:pPr>
            <w:r w:rsidRPr="00F6749B">
              <w:rPr>
                <w:rFonts w:cs="Arial"/>
                <w:sz w:val="19"/>
                <w:szCs w:val="19"/>
              </w:rPr>
              <w:t>Accrued interest</w:t>
            </w:r>
          </w:p>
        </w:tc>
        <w:tc>
          <w:tcPr>
            <w:tcW w:w="1276" w:type="dxa"/>
            <w:tcBorders>
              <w:top w:val="nil"/>
              <w:left w:val="nil"/>
              <w:bottom w:val="nil"/>
              <w:right w:val="nil"/>
            </w:tcBorders>
            <w:shd w:val="clear" w:color="auto" w:fill="auto"/>
            <w:vAlign w:val="bottom"/>
          </w:tcPr>
          <w:p w14:paraId="551FDB3C" w14:textId="0242B42E" w:rsidR="00B57C13" w:rsidRPr="006B318F" w:rsidRDefault="00B57C13" w:rsidP="006B318F">
            <w:pPr>
              <w:keepLines/>
              <w:tabs>
                <w:tab w:val="right" w:pos="1202"/>
              </w:tabs>
              <w:spacing w:after="0" w:line="240" w:lineRule="auto"/>
              <w:jc w:val="right"/>
              <w:outlineLvl w:val="0"/>
              <w:rPr>
                <w:rFonts w:cs="Calibri"/>
                <w:bCs/>
                <w:sz w:val="19"/>
                <w:szCs w:val="19"/>
              </w:rPr>
            </w:pPr>
            <w:r w:rsidRPr="006B318F">
              <w:rPr>
                <w:rFonts w:cs="Calibri"/>
                <w:bCs/>
                <w:sz w:val="19"/>
                <w:szCs w:val="19"/>
              </w:rPr>
              <w:t xml:space="preserve"> (59,064)</w:t>
            </w:r>
          </w:p>
        </w:tc>
        <w:tc>
          <w:tcPr>
            <w:tcW w:w="1275" w:type="dxa"/>
            <w:tcBorders>
              <w:top w:val="nil"/>
              <w:left w:val="nil"/>
              <w:bottom w:val="nil"/>
              <w:right w:val="nil"/>
            </w:tcBorders>
            <w:shd w:val="clear" w:color="auto" w:fill="auto"/>
          </w:tcPr>
          <w:p w14:paraId="422A5E05" w14:textId="54070ADF" w:rsidR="00B57C13" w:rsidRPr="006B318F" w:rsidRDefault="00B57C13" w:rsidP="006B318F">
            <w:pPr>
              <w:keepLines/>
              <w:tabs>
                <w:tab w:val="right" w:pos="1202"/>
              </w:tabs>
              <w:spacing w:after="0" w:line="240" w:lineRule="auto"/>
              <w:jc w:val="right"/>
              <w:outlineLvl w:val="0"/>
              <w:rPr>
                <w:rFonts w:cs="Calibri"/>
                <w:bCs/>
                <w:sz w:val="19"/>
                <w:szCs w:val="19"/>
              </w:rPr>
            </w:pPr>
            <w:r w:rsidRPr="006B318F">
              <w:rPr>
                <w:rFonts w:cs="Calibri"/>
                <w:bCs/>
                <w:sz w:val="19"/>
                <w:szCs w:val="19"/>
              </w:rPr>
              <w:t>(54,715)</w:t>
            </w:r>
          </w:p>
        </w:tc>
      </w:tr>
      <w:tr w:rsidR="00B57C13" w:rsidRPr="00F6749B" w14:paraId="3E637373" w14:textId="77777777" w:rsidTr="006B318F">
        <w:tc>
          <w:tcPr>
            <w:tcW w:w="7088" w:type="dxa"/>
          </w:tcPr>
          <w:p w14:paraId="4FE0E86D" w14:textId="77777777" w:rsidR="00B57C13" w:rsidRPr="00F6749B" w:rsidRDefault="00B57C13" w:rsidP="00B57C13">
            <w:pPr>
              <w:keepLines/>
              <w:tabs>
                <w:tab w:val="right" w:pos="1202"/>
              </w:tabs>
              <w:spacing w:after="0" w:line="240" w:lineRule="auto"/>
              <w:outlineLvl w:val="0"/>
              <w:rPr>
                <w:rFonts w:eastAsia="Times New Roman" w:cs="Arial"/>
                <w:i/>
                <w:iCs/>
                <w:sz w:val="19"/>
                <w:szCs w:val="19"/>
              </w:rPr>
            </w:pPr>
            <w:r w:rsidRPr="00F6749B">
              <w:rPr>
                <w:rFonts w:cs="Arial"/>
                <w:sz w:val="19"/>
                <w:szCs w:val="19"/>
              </w:rPr>
              <w:t>Deferred fees</w:t>
            </w:r>
          </w:p>
        </w:tc>
        <w:tc>
          <w:tcPr>
            <w:tcW w:w="1276" w:type="dxa"/>
            <w:tcBorders>
              <w:top w:val="nil"/>
              <w:left w:val="nil"/>
              <w:bottom w:val="nil"/>
              <w:right w:val="nil"/>
            </w:tcBorders>
            <w:shd w:val="clear" w:color="auto" w:fill="auto"/>
            <w:vAlign w:val="bottom"/>
          </w:tcPr>
          <w:p w14:paraId="02418D9F" w14:textId="2D38F5C4" w:rsidR="00B57C13" w:rsidRPr="006B318F" w:rsidRDefault="00B57C13" w:rsidP="006B318F">
            <w:pPr>
              <w:keepLines/>
              <w:tabs>
                <w:tab w:val="right" w:pos="1202"/>
              </w:tabs>
              <w:spacing w:after="0" w:line="240" w:lineRule="auto"/>
              <w:jc w:val="right"/>
              <w:outlineLvl w:val="0"/>
              <w:rPr>
                <w:rFonts w:cs="Calibri"/>
                <w:bCs/>
                <w:sz w:val="19"/>
                <w:szCs w:val="19"/>
              </w:rPr>
            </w:pPr>
            <w:r w:rsidRPr="006B318F">
              <w:rPr>
                <w:rFonts w:cs="Calibri"/>
                <w:bCs/>
                <w:sz w:val="19"/>
                <w:szCs w:val="19"/>
              </w:rPr>
              <w:t xml:space="preserve"> (9,560)</w:t>
            </w:r>
          </w:p>
        </w:tc>
        <w:tc>
          <w:tcPr>
            <w:tcW w:w="1275" w:type="dxa"/>
            <w:tcBorders>
              <w:top w:val="nil"/>
              <w:left w:val="nil"/>
              <w:bottom w:val="nil"/>
              <w:right w:val="nil"/>
            </w:tcBorders>
            <w:shd w:val="clear" w:color="auto" w:fill="auto"/>
          </w:tcPr>
          <w:p w14:paraId="27E2AF15" w14:textId="7D392822" w:rsidR="00B57C13" w:rsidRPr="006B318F" w:rsidRDefault="00B57C13" w:rsidP="006B318F">
            <w:pPr>
              <w:keepLines/>
              <w:tabs>
                <w:tab w:val="right" w:pos="1202"/>
              </w:tabs>
              <w:spacing w:after="0" w:line="240" w:lineRule="auto"/>
              <w:jc w:val="right"/>
              <w:outlineLvl w:val="0"/>
              <w:rPr>
                <w:rFonts w:cs="Calibri"/>
                <w:bCs/>
                <w:sz w:val="19"/>
                <w:szCs w:val="19"/>
              </w:rPr>
            </w:pPr>
            <w:r w:rsidRPr="006B318F">
              <w:rPr>
                <w:rFonts w:cs="Calibri"/>
                <w:bCs/>
                <w:sz w:val="19"/>
                <w:szCs w:val="19"/>
              </w:rPr>
              <w:t>4,145</w:t>
            </w:r>
          </w:p>
        </w:tc>
      </w:tr>
      <w:tr w:rsidR="00B57C13" w:rsidRPr="00F6749B" w14:paraId="26F50E27" w14:textId="77777777" w:rsidTr="006B318F">
        <w:tc>
          <w:tcPr>
            <w:tcW w:w="7088" w:type="dxa"/>
          </w:tcPr>
          <w:p w14:paraId="0850E3D0" w14:textId="77777777" w:rsidR="00B57C13" w:rsidRPr="00F6749B" w:rsidRDefault="00B57C13" w:rsidP="00B57C13">
            <w:pPr>
              <w:keepLines/>
              <w:tabs>
                <w:tab w:val="right" w:pos="1202"/>
              </w:tabs>
              <w:spacing w:after="0" w:line="240" w:lineRule="auto"/>
              <w:outlineLvl w:val="0"/>
              <w:rPr>
                <w:rFonts w:eastAsia="Times New Roman" w:cs="Arial"/>
                <w:i/>
                <w:iCs/>
                <w:sz w:val="19"/>
                <w:szCs w:val="19"/>
              </w:rPr>
            </w:pPr>
            <w:r w:rsidRPr="00F6749B">
              <w:rPr>
                <w:rFonts w:cs="Arial"/>
                <w:i/>
                <w:sz w:val="19"/>
                <w:szCs w:val="19"/>
              </w:rPr>
              <w:t>Operating profit before working capital changes</w:t>
            </w:r>
          </w:p>
        </w:tc>
        <w:tc>
          <w:tcPr>
            <w:tcW w:w="1276" w:type="dxa"/>
            <w:tcBorders>
              <w:top w:val="nil"/>
              <w:left w:val="nil"/>
              <w:bottom w:val="nil"/>
              <w:right w:val="nil"/>
            </w:tcBorders>
            <w:shd w:val="clear" w:color="auto" w:fill="auto"/>
            <w:vAlign w:val="bottom"/>
          </w:tcPr>
          <w:p w14:paraId="22405EA8" w14:textId="14C58894" w:rsidR="00B57C13" w:rsidRPr="006B318F" w:rsidRDefault="00B57C13" w:rsidP="006B318F">
            <w:pPr>
              <w:keepLines/>
              <w:tabs>
                <w:tab w:val="right" w:pos="1202"/>
              </w:tabs>
              <w:spacing w:after="0" w:line="240" w:lineRule="auto"/>
              <w:jc w:val="right"/>
              <w:outlineLvl w:val="0"/>
              <w:rPr>
                <w:rFonts w:cs="Calibri"/>
                <w:bCs/>
                <w:i/>
                <w:sz w:val="19"/>
                <w:szCs w:val="19"/>
              </w:rPr>
            </w:pPr>
            <w:r w:rsidRPr="006B318F">
              <w:rPr>
                <w:rFonts w:cs="Calibri"/>
                <w:bCs/>
                <w:sz w:val="19"/>
                <w:szCs w:val="19"/>
              </w:rPr>
              <w:t xml:space="preserve"> </w:t>
            </w:r>
            <w:r w:rsidRPr="006B318F">
              <w:rPr>
                <w:rFonts w:cs="Calibri"/>
                <w:bCs/>
                <w:i/>
                <w:sz w:val="19"/>
                <w:szCs w:val="19"/>
              </w:rPr>
              <w:t xml:space="preserve">205,697 </w:t>
            </w:r>
          </w:p>
        </w:tc>
        <w:tc>
          <w:tcPr>
            <w:tcW w:w="1275" w:type="dxa"/>
            <w:tcBorders>
              <w:top w:val="nil"/>
              <w:left w:val="nil"/>
              <w:bottom w:val="nil"/>
              <w:right w:val="nil"/>
            </w:tcBorders>
            <w:shd w:val="clear" w:color="auto" w:fill="auto"/>
          </w:tcPr>
          <w:p w14:paraId="1A7C206F" w14:textId="791562B7" w:rsidR="00B57C13" w:rsidRPr="006B318F" w:rsidRDefault="00B57C13" w:rsidP="006B318F">
            <w:pPr>
              <w:keepLines/>
              <w:tabs>
                <w:tab w:val="right" w:pos="1202"/>
              </w:tabs>
              <w:spacing w:after="0" w:line="240" w:lineRule="auto"/>
              <w:jc w:val="right"/>
              <w:outlineLvl w:val="0"/>
              <w:rPr>
                <w:rFonts w:cs="Calibri"/>
                <w:bCs/>
                <w:i/>
                <w:sz w:val="19"/>
                <w:szCs w:val="19"/>
              </w:rPr>
            </w:pPr>
            <w:r w:rsidRPr="006B318F">
              <w:rPr>
                <w:rFonts w:cs="Calibri"/>
                <w:bCs/>
                <w:i/>
                <w:sz w:val="19"/>
                <w:szCs w:val="19"/>
              </w:rPr>
              <w:t>159,999</w:t>
            </w:r>
          </w:p>
        </w:tc>
      </w:tr>
      <w:tr w:rsidR="00B57C13" w:rsidRPr="00F6749B" w14:paraId="3F87E0FC" w14:textId="77777777" w:rsidTr="005444AA">
        <w:tc>
          <w:tcPr>
            <w:tcW w:w="7088" w:type="dxa"/>
          </w:tcPr>
          <w:p w14:paraId="222CC11E" w14:textId="77777777" w:rsidR="00B57C13" w:rsidRPr="00F6749B" w:rsidRDefault="00B57C13" w:rsidP="00B57C13">
            <w:pPr>
              <w:keepLines/>
              <w:tabs>
                <w:tab w:val="right" w:pos="1202"/>
              </w:tabs>
              <w:spacing w:after="0" w:line="240" w:lineRule="auto"/>
              <w:outlineLvl w:val="0"/>
              <w:rPr>
                <w:rFonts w:eastAsia="Times New Roman" w:cs="Arial"/>
                <w:i/>
                <w:iCs/>
                <w:sz w:val="19"/>
                <w:szCs w:val="19"/>
              </w:rPr>
            </w:pPr>
            <w:r w:rsidRPr="00F6749B">
              <w:rPr>
                <w:rFonts w:cs="Arial"/>
                <w:i/>
                <w:sz w:val="19"/>
                <w:szCs w:val="19"/>
              </w:rPr>
              <w:t>Changes in operating assets and liabilities:</w:t>
            </w:r>
          </w:p>
        </w:tc>
        <w:tc>
          <w:tcPr>
            <w:tcW w:w="1276" w:type="dxa"/>
            <w:tcBorders>
              <w:top w:val="nil"/>
              <w:left w:val="nil"/>
              <w:right w:val="nil"/>
            </w:tcBorders>
            <w:shd w:val="clear" w:color="auto" w:fill="auto"/>
            <w:vAlign w:val="bottom"/>
          </w:tcPr>
          <w:p w14:paraId="29F9524C" w14:textId="77777777" w:rsidR="00B57C13" w:rsidRPr="006B318F" w:rsidRDefault="00B57C13" w:rsidP="006B318F">
            <w:pPr>
              <w:keepLines/>
              <w:tabs>
                <w:tab w:val="right" w:pos="1202"/>
              </w:tabs>
              <w:spacing w:after="0" w:line="240" w:lineRule="auto"/>
              <w:jc w:val="right"/>
              <w:outlineLvl w:val="0"/>
              <w:rPr>
                <w:rFonts w:cs="Calibri"/>
                <w:bCs/>
                <w:sz w:val="19"/>
                <w:szCs w:val="19"/>
              </w:rPr>
            </w:pPr>
          </w:p>
        </w:tc>
        <w:tc>
          <w:tcPr>
            <w:tcW w:w="1275" w:type="dxa"/>
            <w:tcBorders>
              <w:top w:val="nil"/>
              <w:left w:val="nil"/>
              <w:right w:val="nil"/>
            </w:tcBorders>
            <w:shd w:val="clear" w:color="auto" w:fill="auto"/>
            <w:vAlign w:val="bottom"/>
          </w:tcPr>
          <w:p w14:paraId="5CD70280" w14:textId="77777777" w:rsidR="00B57C13" w:rsidRPr="001E7720" w:rsidRDefault="00B57C13" w:rsidP="00B57C13">
            <w:pPr>
              <w:keepLines/>
              <w:spacing w:after="0" w:line="240" w:lineRule="auto"/>
              <w:jc w:val="right"/>
              <w:rPr>
                <w:rFonts w:eastAsia="Times New Roman" w:cs="Arial"/>
                <w:i/>
                <w:sz w:val="19"/>
                <w:szCs w:val="19"/>
              </w:rPr>
            </w:pPr>
          </w:p>
        </w:tc>
      </w:tr>
      <w:tr w:rsidR="00B57C13" w:rsidRPr="00F6749B" w14:paraId="52B30EA5" w14:textId="77777777" w:rsidTr="006B318F">
        <w:tc>
          <w:tcPr>
            <w:tcW w:w="7088" w:type="dxa"/>
          </w:tcPr>
          <w:p w14:paraId="5ACF0062" w14:textId="5008C668" w:rsidR="00B57C13" w:rsidRPr="00F6749B" w:rsidRDefault="00B57C13" w:rsidP="00B57C13">
            <w:pPr>
              <w:keepLines/>
              <w:tabs>
                <w:tab w:val="right" w:pos="1202"/>
              </w:tabs>
              <w:spacing w:after="0" w:line="240" w:lineRule="auto"/>
              <w:outlineLvl w:val="0"/>
              <w:rPr>
                <w:rFonts w:eastAsia="Times New Roman" w:cs="Arial"/>
                <w:sz w:val="19"/>
                <w:szCs w:val="19"/>
              </w:rPr>
            </w:pPr>
            <w:r w:rsidRPr="00F6749B">
              <w:rPr>
                <w:rFonts w:cs="Arial"/>
                <w:sz w:val="19"/>
                <w:szCs w:val="19"/>
              </w:rPr>
              <w:t>Net decrease in deposits with other banks, before provision for impairment</w:t>
            </w:r>
          </w:p>
        </w:tc>
        <w:tc>
          <w:tcPr>
            <w:tcW w:w="1276" w:type="dxa"/>
            <w:tcBorders>
              <w:top w:val="nil"/>
              <w:left w:val="nil"/>
              <w:bottom w:val="nil"/>
              <w:right w:val="nil"/>
            </w:tcBorders>
            <w:shd w:val="clear" w:color="000000" w:fill="auto"/>
            <w:vAlign w:val="bottom"/>
          </w:tcPr>
          <w:p w14:paraId="524E8B76" w14:textId="4478F539" w:rsidR="00B57C13" w:rsidRPr="006B318F" w:rsidRDefault="00B57C13" w:rsidP="006B318F">
            <w:pPr>
              <w:keepLines/>
              <w:tabs>
                <w:tab w:val="right" w:pos="1202"/>
              </w:tabs>
              <w:spacing w:after="0" w:line="240" w:lineRule="auto"/>
              <w:jc w:val="right"/>
              <w:outlineLvl w:val="0"/>
              <w:rPr>
                <w:rFonts w:cs="Calibri"/>
                <w:bCs/>
                <w:sz w:val="19"/>
                <w:szCs w:val="19"/>
              </w:rPr>
            </w:pPr>
            <w:r w:rsidRPr="006B318F">
              <w:rPr>
                <w:rFonts w:cs="Calibri"/>
                <w:bCs/>
                <w:sz w:val="19"/>
                <w:szCs w:val="19"/>
              </w:rPr>
              <w:t xml:space="preserve"> 24,119 </w:t>
            </w:r>
          </w:p>
        </w:tc>
        <w:tc>
          <w:tcPr>
            <w:tcW w:w="1275" w:type="dxa"/>
            <w:shd w:val="clear" w:color="000000" w:fill="auto"/>
            <w:vAlign w:val="bottom"/>
          </w:tcPr>
          <w:p w14:paraId="2A49223C" w14:textId="6F647787" w:rsidR="00B57C13" w:rsidRPr="006B318F" w:rsidRDefault="00B57C13" w:rsidP="006B318F">
            <w:pPr>
              <w:keepLines/>
              <w:tabs>
                <w:tab w:val="right" w:pos="1202"/>
              </w:tabs>
              <w:spacing w:after="0" w:line="240" w:lineRule="auto"/>
              <w:jc w:val="right"/>
              <w:outlineLvl w:val="0"/>
              <w:rPr>
                <w:rFonts w:cs="Calibri"/>
                <w:bCs/>
                <w:sz w:val="19"/>
                <w:szCs w:val="19"/>
              </w:rPr>
            </w:pPr>
            <w:r w:rsidRPr="006B318F">
              <w:rPr>
                <w:rFonts w:cs="Calibri"/>
                <w:bCs/>
                <w:sz w:val="19"/>
                <w:szCs w:val="19"/>
              </w:rPr>
              <w:t>208,142</w:t>
            </w:r>
          </w:p>
        </w:tc>
      </w:tr>
      <w:tr w:rsidR="00B57C13" w:rsidRPr="00F6749B" w14:paraId="740F8873" w14:textId="77777777" w:rsidTr="006B318F">
        <w:tc>
          <w:tcPr>
            <w:tcW w:w="7088" w:type="dxa"/>
          </w:tcPr>
          <w:p w14:paraId="3A45A848" w14:textId="7C4A5E7D" w:rsidR="00B57C13" w:rsidRPr="00F6749B" w:rsidRDefault="00B57C13" w:rsidP="00B57C13">
            <w:pPr>
              <w:keepLines/>
              <w:tabs>
                <w:tab w:val="right" w:pos="1202"/>
              </w:tabs>
              <w:spacing w:after="0" w:line="240" w:lineRule="auto"/>
              <w:outlineLvl w:val="0"/>
              <w:rPr>
                <w:rFonts w:eastAsia="Times New Roman" w:cs="Arial"/>
                <w:sz w:val="19"/>
                <w:szCs w:val="19"/>
              </w:rPr>
            </w:pPr>
            <w:r w:rsidRPr="00F6749B">
              <w:rPr>
                <w:rFonts w:cs="Arial"/>
                <w:sz w:val="19"/>
                <w:szCs w:val="19"/>
              </w:rPr>
              <w:t xml:space="preserve">Net </w:t>
            </w:r>
            <w:r>
              <w:rPr>
                <w:rFonts w:cs="Arial"/>
                <w:sz w:val="19"/>
                <w:szCs w:val="19"/>
              </w:rPr>
              <w:t>(increase)/d</w:t>
            </w:r>
            <w:r w:rsidRPr="00F6749B">
              <w:rPr>
                <w:rFonts w:cs="Arial"/>
                <w:sz w:val="19"/>
                <w:szCs w:val="19"/>
              </w:rPr>
              <w:t>ecrease in loans to financial institutions, before provision for impairment</w:t>
            </w:r>
          </w:p>
        </w:tc>
        <w:tc>
          <w:tcPr>
            <w:tcW w:w="1276" w:type="dxa"/>
            <w:tcBorders>
              <w:top w:val="nil"/>
              <w:left w:val="nil"/>
              <w:bottom w:val="nil"/>
              <w:right w:val="nil"/>
            </w:tcBorders>
            <w:shd w:val="clear" w:color="000000" w:fill="auto"/>
            <w:vAlign w:val="bottom"/>
          </w:tcPr>
          <w:p w14:paraId="1D55B1EB" w14:textId="4C17E9B4" w:rsidR="00B57C13" w:rsidRPr="006B318F" w:rsidRDefault="00B57C13" w:rsidP="006B318F">
            <w:pPr>
              <w:keepLines/>
              <w:tabs>
                <w:tab w:val="right" w:pos="1202"/>
              </w:tabs>
              <w:spacing w:after="0" w:line="240" w:lineRule="auto"/>
              <w:jc w:val="right"/>
              <w:outlineLvl w:val="0"/>
              <w:rPr>
                <w:rFonts w:cs="Calibri"/>
                <w:bCs/>
                <w:sz w:val="19"/>
                <w:szCs w:val="19"/>
              </w:rPr>
            </w:pPr>
            <w:r w:rsidRPr="006B318F">
              <w:rPr>
                <w:rFonts w:cs="Calibri"/>
                <w:bCs/>
                <w:sz w:val="19"/>
                <w:szCs w:val="19"/>
              </w:rPr>
              <w:t xml:space="preserve"> (260,326)</w:t>
            </w:r>
          </w:p>
        </w:tc>
        <w:tc>
          <w:tcPr>
            <w:tcW w:w="1275" w:type="dxa"/>
            <w:shd w:val="clear" w:color="000000" w:fill="auto"/>
            <w:vAlign w:val="bottom"/>
          </w:tcPr>
          <w:p w14:paraId="7B973D17" w14:textId="4C6D87D0" w:rsidR="00B57C13" w:rsidRPr="006B318F" w:rsidRDefault="00B57C13" w:rsidP="006B318F">
            <w:pPr>
              <w:keepLines/>
              <w:tabs>
                <w:tab w:val="right" w:pos="1202"/>
              </w:tabs>
              <w:spacing w:after="0" w:line="240" w:lineRule="auto"/>
              <w:jc w:val="right"/>
              <w:outlineLvl w:val="0"/>
              <w:rPr>
                <w:rFonts w:cs="Calibri"/>
                <w:bCs/>
                <w:sz w:val="19"/>
                <w:szCs w:val="19"/>
              </w:rPr>
            </w:pPr>
            <w:r w:rsidRPr="006B318F">
              <w:rPr>
                <w:rFonts w:cs="Calibri"/>
                <w:bCs/>
                <w:sz w:val="19"/>
                <w:szCs w:val="19"/>
              </w:rPr>
              <w:t>744,463</w:t>
            </w:r>
          </w:p>
        </w:tc>
      </w:tr>
      <w:tr w:rsidR="00B57C13" w:rsidRPr="00F6749B" w14:paraId="1E18BA65" w14:textId="77777777" w:rsidTr="006B318F">
        <w:tc>
          <w:tcPr>
            <w:tcW w:w="7088" w:type="dxa"/>
          </w:tcPr>
          <w:p w14:paraId="12F28F9A" w14:textId="3C174458" w:rsidR="00B57C13" w:rsidRPr="00F6749B" w:rsidRDefault="00B57C13" w:rsidP="00B57C13">
            <w:pPr>
              <w:keepLines/>
              <w:tabs>
                <w:tab w:val="right" w:pos="1202"/>
              </w:tabs>
              <w:spacing w:after="0" w:line="240" w:lineRule="auto"/>
              <w:outlineLvl w:val="0"/>
              <w:rPr>
                <w:rFonts w:eastAsia="Times New Roman" w:cs="Arial"/>
                <w:sz w:val="19"/>
                <w:szCs w:val="19"/>
              </w:rPr>
            </w:pPr>
            <w:r w:rsidRPr="00F6749B">
              <w:rPr>
                <w:rFonts w:cs="Arial"/>
                <w:sz w:val="19"/>
                <w:szCs w:val="19"/>
              </w:rPr>
              <w:t>Net</w:t>
            </w:r>
            <w:r>
              <w:rPr>
                <w:rFonts w:cs="Arial"/>
                <w:sz w:val="19"/>
                <w:szCs w:val="19"/>
              </w:rPr>
              <w:t xml:space="preserve"> (</w:t>
            </w:r>
            <w:r w:rsidRPr="00F6749B">
              <w:rPr>
                <w:rFonts w:cs="Arial"/>
                <w:sz w:val="19"/>
                <w:szCs w:val="19"/>
              </w:rPr>
              <w:t>increase</w:t>
            </w:r>
            <w:r>
              <w:rPr>
                <w:rFonts w:cs="Arial"/>
                <w:sz w:val="19"/>
                <w:szCs w:val="19"/>
              </w:rPr>
              <w:t>)</w:t>
            </w:r>
            <w:r w:rsidRPr="00F6749B">
              <w:rPr>
                <w:rFonts w:cs="Arial"/>
                <w:sz w:val="19"/>
                <w:szCs w:val="19"/>
              </w:rPr>
              <w:t xml:space="preserve"> in loans to other customers, before provision for impairment</w:t>
            </w:r>
          </w:p>
        </w:tc>
        <w:tc>
          <w:tcPr>
            <w:tcW w:w="1276" w:type="dxa"/>
            <w:tcBorders>
              <w:top w:val="nil"/>
              <w:left w:val="nil"/>
              <w:right w:val="nil"/>
            </w:tcBorders>
            <w:shd w:val="clear" w:color="000000" w:fill="auto"/>
            <w:vAlign w:val="bottom"/>
          </w:tcPr>
          <w:p w14:paraId="7E7BC91A" w14:textId="21002635" w:rsidR="00B57C13" w:rsidRPr="006B318F" w:rsidRDefault="00B57C13" w:rsidP="006B318F">
            <w:pPr>
              <w:keepLines/>
              <w:tabs>
                <w:tab w:val="right" w:pos="1202"/>
              </w:tabs>
              <w:spacing w:after="0" w:line="240" w:lineRule="auto"/>
              <w:jc w:val="right"/>
              <w:outlineLvl w:val="0"/>
              <w:rPr>
                <w:rFonts w:cs="Calibri"/>
                <w:bCs/>
                <w:sz w:val="19"/>
                <w:szCs w:val="19"/>
              </w:rPr>
            </w:pPr>
            <w:r w:rsidRPr="006B318F">
              <w:rPr>
                <w:rFonts w:cs="Calibri"/>
                <w:bCs/>
                <w:sz w:val="19"/>
                <w:szCs w:val="19"/>
              </w:rPr>
              <w:t xml:space="preserve"> (588,756)</w:t>
            </w:r>
          </w:p>
        </w:tc>
        <w:tc>
          <w:tcPr>
            <w:tcW w:w="1275" w:type="dxa"/>
            <w:shd w:val="clear" w:color="000000" w:fill="auto"/>
            <w:vAlign w:val="bottom"/>
          </w:tcPr>
          <w:p w14:paraId="6DDEF98E" w14:textId="1DC68B75" w:rsidR="00B57C13" w:rsidRPr="006B318F" w:rsidRDefault="00B57C13" w:rsidP="006B318F">
            <w:pPr>
              <w:keepLines/>
              <w:tabs>
                <w:tab w:val="right" w:pos="1202"/>
              </w:tabs>
              <w:spacing w:after="0" w:line="240" w:lineRule="auto"/>
              <w:jc w:val="right"/>
              <w:outlineLvl w:val="0"/>
              <w:rPr>
                <w:rFonts w:cs="Calibri"/>
                <w:bCs/>
                <w:sz w:val="19"/>
                <w:szCs w:val="19"/>
              </w:rPr>
            </w:pPr>
            <w:r w:rsidRPr="006B318F">
              <w:rPr>
                <w:rFonts w:cs="Calibri"/>
                <w:bCs/>
                <w:sz w:val="19"/>
                <w:szCs w:val="19"/>
              </w:rPr>
              <w:t>(1,422,785)</w:t>
            </w:r>
          </w:p>
        </w:tc>
      </w:tr>
      <w:tr w:rsidR="00B57C13" w:rsidRPr="00F6749B" w14:paraId="43ED1A02" w14:textId="77777777" w:rsidTr="006B318F">
        <w:tc>
          <w:tcPr>
            <w:tcW w:w="7088" w:type="dxa"/>
          </w:tcPr>
          <w:p w14:paraId="35B36745" w14:textId="77777777" w:rsidR="00B57C13" w:rsidRPr="00F6749B" w:rsidRDefault="00B57C13" w:rsidP="00B57C13">
            <w:pPr>
              <w:keepLines/>
              <w:tabs>
                <w:tab w:val="right" w:pos="1202"/>
              </w:tabs>
              <w:spacing w:after="0" w:line="240" w:lineRule="auto"/>
              <w:outlineLvl w:val="0"/>
              <w:rPr>
                <w:rFonts w:eastAsia="Times New Roman" w:cs="Arial"/>
                <w:sz w:val="19"/>
                <w:szCs w:val="19"/>
              </w:rPr>
            </w:pPr>
            <w:r w:rsidRPr="00F6749B">
              <w:rPr>
                <w:rFonts w:cs="Arial"/>
                <w:sz w:val="19"/>
                <w:szCs w:val="19"/>
              </w:rPr>
              <w:t>Net (gain) on financial assets at fair value through profit or loss</w:t>
            </w:r>
          </w:p>
        </w:tc>
        <w:tc>
          <w:tcPr>
            <w:tcW w:w="1276" w:type="dxa"/>
            <w:tcBorders>
              <w:top w:val="nil"/>
              <w:left w:val="nil"/>
              <w:bottom w:val="nil"/>
              <w:right w:val="nil"/>
            </w:tcBorders>
            <w:shd w:val="clear" w:color="000000" w:fill="auto"/>
            <w:vAlign w:val="bottom"/>
          </w:tcPr>
          <w:p w14:paraId="3E8D8CD8" w14:textId="64E0D6ED" w:rsidR="00B57C13" w:rsidRPr="006B318F" w:rsidRDefault="00B57C13" w:rsidP="006B318F">
            <w:pPr>
              <w:keepLines/>
              <w:tabs>
                <w:tab w:val="right" w:pos="1202"/>
              </w:tabs>
              <w:spacing w:after="0" w:line="240" w:lineRule="auto"/>
              <w:jc w:val="right"/>
              <w:outlineLvl w:val="0"/>
              <w:rPr>
                <w:rFonts w:cs="Calibri"/>
                <w:bCs/>
                <w:sz w:val="19"/>
                <w:szCs w:val="19"/>
              </w:rPr>
            </w:pPr>
            <w:r w:rsidRPr="006B318F">
              <w:rPr>
                <w:rFonts w:cs="Calibri"/>
                <w:bCs/>
                <w:sz w:val="19"/>
                <w:szCs w:val="19"/>
              </w:rPr>
              <w:t xml:space="preserve"> (4)</w:t>
            </w:r>
          </w:p>
        </w:tc>
        <w:tc>
          <w:tcPr>
            <w:tcW w:w="1275" w:type="dxa"/>
            <w:shd w:val="clear" w:color="000000" w:fill="auto"/>
            <w:vAlign w:val="bottom"/>
          </w:tcPr>
          <w:p w14:paraId="57611EF2" w14:textId="20A2309E" w:rsidR="00B57C13" w:rsidRPr="006B318F" w:rsidRDefault="00B57C13" w:rsidP="006B318F">
            <w:pPr>
              <w:keepLines/>
              <w:tabs>
                <w:tab w:val="right" w:pos="1202"/>
              </w:tabs>
              <w:spacing w:after="0" w:line="240" w:lineRule="auto"/>
              <w:jc w:val="right"/>
              <w:outlineLvl w:val="0"/>
              <w:rPr>
                <w:rFonts w:cs="Calibri"/>
                <w:bCs/>
                <w:sz w:val="19"/>
                <w:szCs w:val="19"/>
              </w:rPr>
            </w:pPr>
            <w:r w:rsidRPr="006B318F">
              <w:rPr>
                <w:rFonts w:cs="Calibri"/>
                <w:bCs/>
                <w:sz w:val="19"/>
                <w:szCs w:val="19"/>
              </w:rPr>
              <w:t>(128)</w:t>
            </w:r>
          </w:p>
        </w:tc>
      </w:tr>
      <w:tr w:rsidR="00B57C13" w:rsidRPr="00F6749B" w14:paraId="1296A29A" w14:textId="77777777" w:rsidTr="006B318F">
        <w:tc>
          <w:tcPr>
            <w:tcW w:w="7088" w:type="dxa"/>
          </w:tcPr>
          <w:p w14:paraId="7A0B8E5F" w14:textId="620548F5" w:rsidR="00B57C13" w:rsidRPr="00F6749B" w:rsidRDefault="00B57C13" w:rsidP="00B57C13">
            <w:pPr>
              <w:keepLines/>
              <w:tabs>
                <w:tab w:val="right" w:pos="1202"/>
              </w:tabs>
              <w:spacing w:after="0" w:line="240" w:lineRule="auto"/>
              <w:outlineLvl w:val="0"/>
              <w:rPr>
                <w:rFonts w:eastAsia="Times New Roman" w:cs="Arial"/>
                <w:sz w:val="19"/>
                <w:szCs w:val="19"/>
              </w:rPr>
            </w:pPr>
            <w:r w:rsidRPr="00F6749B">
              <w:rPr>
                <w:rFonts w:cs="Arial"/>
                <w:sz w:val="19"/>
                <w:szCs w:val="19"/>
              </w:rPr>
              <w:t>Net reali</w:t>
            </w:r>
            <w:r>
              <w:rPr>
                <w:rFonts w:cs="Arial"/>
                <w:sz w:val="19"/>
                <w:szCs w:val="19"/>
              </w:rPr>
              <w:t>s</w:t>
            </w:r>
            <w:r w:rsidRPr="00F6749B">
              <w:rPr>
                <w:rFonts w:cs="Arial"/>
                <w:sz w:val="19"/>
                <w:szCs w:val="19"/>
              </w:rPr>
              <w:t>ed (gain)</w:t>
            </w:r>
            <w:r>
              <w:rPr>
                <w:rFonts w:cs="Arial"/>
                <w:sz w:val="19"/>
                <w:szCs w:val="19"/>
              </w:rPr>
              <w:t>/losses</w:t>
            </w:r>
            <w:r w:rsidRPr="00F6749B">
              <w:rPr>
                <w:rFonts w:cs="Arial"/>
                <w:sz w:val="19"/>
                <w:szCs w:val="19"/>
              </w:rPr>
              <w:t xml:space="preserve"> on assets available for sale</w:t>
            </w:r>
          </w:p>
        </w:tc>
        <w:tc>
          <w:tcPr>
            <w:tcW w:w="1276" w:type="dxa"/>
            <w:tcBorders>
              <w:top w:val="nil"/>
              <w:left w:val="nil"/>
              <w:right w:val="nil"/>
            </w:tcBorders>
            <w:shd w:val="clear" w:color="auto" w:fill="auto"/>
            <w:vAlign w:val="bottom"/>
          </w:tcPr>
          <w:p w14:paraId="2861D5F0" w14:textId="092FF42B" w:rsidR="00B57C13" w:rsidRPr="006B318F" w:rsidRDefault="00B57C13" w:rsidP="006B318F">
            <w:pPr>
              <w:keepLines/>
              <w:tabs>
                <w:tab w:val="right" w:pos="1202"/>
              </w:tabs>
              <w:spacing w:after="0" w:line="240" w:lineRule="auto"/>
              <w:jc w:val="right"/>
              <w:outlineLvl w:val="0"/>
              <w:rPr>
                <w:rFonts w:cs="Calibri"/>
                <w:bCs/>
                <w:sz w:val="19"/>
                <w:szCs w:val="19"/>
              </w:rPr>
            </w:pPr>
            <w:r w:rsidRPr="006B318F">
              <w:rPr>
                <w:rFonts w:cs="Calibri"/>
                <w:bCs/>
                <w:sz w:val="19"/>
                <w:szCs w:val="19"/>
              </w:rPr>
              <w:t xml:space="preserve"> (2,049)</w:t>
            </w:r>
          </w:p>
        </w:tc>
        <w:tc>
          <w:tcPr>
            <w:tcW w:w="1275" w:type="dxa"/>
            <w:shd w:val="clear" w:color="auto" w:fill="auto"/>
            <w:vAlign w:val="bottom"/>
          </w:tcPr>
          <w:p w14:paraId="4C5922BE" w14:textId="0FB6D623" w:rsidR="00B57C13" w:rsidRPr="006B318F" w:rsidRDefault="00B57C13" w:rsidP="006B318F">
            <w:pPr>
              <w:keepLines/>
              <w:tabs>
                <w:tab w:val="right" w:pos="1202"/>
              </w:tabs>
              <w:spacing w:after="0" w:line="240" w:lineRule="auto"/>
              <w:jc w:val="right"/>
              <w:outlineLvl w:val="0"/>
              <w:rPr>
                <w:rFonts w:cs="Calibri"/>
                <w:bCs/>
                <w:sz w:val="19"/>
                <w:szCs w:val="19"/>
              </w:rPr>
            </w:pPr>
            <w:r w:rsidRPr="006B318F">
              <w:rPr>
                <w:rFonts w:cs="Calibri"/>
                <w:bCs/>
                <w:sz w:val="19"/>
                <w:szCs w:val="19"/>
              </w:rPr>
              <w:t>(2,063)</w:t>
            </w:r>
          </w:p>
        </w:tc>
      </w:tr>
      <w:tr w:rsidR="00B57C13" w:rsidRPr="00F6749B" w14:paraId="22F118A6" w14:textId="77777777" w:rsidTr="006B318F">
        <w:tc>
          <w:tcPr>
            <w:tcW w:w="7088" w:type="dxa"/>
            <w:vAlign w:val="bottom"/>
          </w:tcPr>
          <w:p w14:paraId="37E89DAD" w14:textId="6A554A03" w:rsidR="00B57C13" w:rsidRPr="00F6749B" w:rsidRDefault="00B57C13" w:rsidP="00B57C13">
            <w:pPr>
              <w:keepLines/>
              <w:tabs>
                <w:tab w:val="right" w:pos="1202"/>
              </w:tabs>
              <w:spacing w:after="0" w:line="240" w:lineRule="auto"/>
              <w:outlineLvl w:val="0"/>
              <w:rPr>
                <w:rFonts w:eastAsia="Times New Roman" w:cs="Arial"/>
                <w:sz w:val="19"/>
                <w:szCs w:val="19"/>
              </w:rPr>
            </w:pPr>
            <w:r>
              <w:rPr>
                <w:rFonts w:cs="Arial"/>
                <w:sz w:val="19"/>
                <w:szCs w:val="19"/>
              </w:rPr>
              <w:t>Decrease/</w:t>
            </w:r>
            <w:r w:rsidRPr="00F6749B">
              <w:rPr>
                <w:rFonts w:cs="Arial"/>
                <w:sz w:val="19"/>
                <w:szCs w:val="19"/>
              </w:rPr>
              <w:t>(</w:t>
            </w:r>
            <w:r>
              <w:rPr>
                <w:rFonts w:cs="Arial"/>
                <w:sz w:val="19"/>
                <w:szCs w:val="19"/>
              </w:rPr>
              <w:t>i</w:t>
            </w:r>
            <w:r w:rsidRPr="00F6749B">
              <w:rPr>
                <w:rFonts w:cs="Arial"/>
                <w:sz w:val="19"/>
                <w:szCs w:val="19"/>
              </w:rPr>
              <w:t>ncrease) of discount in assets available for sale, assets held to maturity and bonds payable</w:t>
            </w:r>
          </w:p>
        </w:tc>
        <w:tc>
          <w:tcPr>
            <w:tcW w:w="1276" w:type="dxa"/>
            <w:tcBorders>
              <w:top w:val="nil"/>
              <w:left w:val="nil"/>
              <w:right w:val="nil"/>
            </w:tcBorders>
            <w:shd w:val="clear" w:color="000000" w:fill="auto"/>
            <w:vAlign w:val="bottom"/>
          </w:tcPr>
          <w:p w14:paraId="71F5C45F" w14:textId="7441BF40" w:rsidR="00B57C13" w:rsidRPr="006B318F" w:rsidRDefault="00B57C13" w:rsidP="006B318F">
            <w:pPr>
              <w:keepLines/>
              <w:tabs>
                <w:tab w:val="right" w:pos="1202"/>
              </w:tabs>
              <w:spacing w:after="0" w:line="240" w:lineRule="auto"/>
              <w:jc w:val="right"/>
              <w:outlineLvl w:val="0"/>
              <w:rPr>
                <w:rFonts w:cs="Calibri"/>
                <w:bCs/>
                <w:sz w:val="19"/>
                <w:szCs w:val="19"/>
              </w:rPr>
            </w:pPr>
            <w:r w:rsidRPr="006B318F">
              <w:rPr>
                <w:rFonts w:cs="Calibri"/>
                <w:bCs/>
                <w:sz w:val="19"/>
                <w:szCs w:val="19"/>
              </w:rPr>
              <w:t xml:space="preserve"> 1,678 </w:t>
            </w:r>
          </w:p>
        </w:tc>
        <w:tc>
          <w:tcPr>
            <w:tcW w:w="1275" w:type="dxa"/>
            <w:shd w:val="clear" w:color="000000" w:fill="auto"/>
            <w:vAlign w:val="bottom"/>
          </w:tcPr>
          <w:p w14:paraId="7C7B5822" w14:textId="1952DF7B" w:rsidR="00B57C13" w:rsidRPr="006B318F" w:rsidRDefault="00B57C13" w:rsidP="006B318F">
            <w:pPr>
              <w:keepLines/>
              <w:tabs>
                <w:tab w:val="right" w:pos="1202"/>
              </w:tabs>
              <w:spacing w:after="0" w:line="240" w:lineRule="auto"/>
              <w:jc w:val="right"/>
              <w:outlineLvl w:val="0"/>
              <w:rPr>
                <w:rFonts w:cs="Calibri"/>
                <w:bCs/>
                <w:sz w:val="19"/>
                <w:szCs w:val="19"/>
              </w:rPr>
            </w:pPr>
            <w:r w:rsidRPr="006B318F">
              <w:rPr>
                <w:rFonts w:cs="Calibri"/>
                <w:bCs/>
                <w:sz w:val="19"/>
                <w:szCs w:val="19"/>
              </w:rPr>
              <w:t>(1,726)</w:t>
            </w:r>
          </w:p>
        </w:tc>
      </w:tr>
      <w:tr w:rsidR="00B57C13" w:rsidRPr="00F6749B" w14:paraId="1CB320AF" w14:textId="77777777" w:rsidTr="006B318F">
        <w:tc>
          <w:tcPr>
            <w:tcW w:w="7088" w:type="dxa"/>
          </w:tcPr>
          <w:p w14:paraId="164B5B5E" w14:textId="65054EEC" w:rsidR="00B57C13" w:rsidRPr="00F6749B" w:rsidRDefault="00B57C13" w:rsidP="00B57C13">
            <w:pPr>
              <w:keepLines/>
              <w:tabs>
                <w:tab w:val="right" w:pos="1202"/>
              </w:tabs>
              <w:spacing w:after="0" w:line="240" w:lineRule="auto"/>
              <w:outlineLvl w:val="0"/>
              <w:rPr>
                <w:rFonts w:cs="Arial"/>
                <w:sz w:val="19"/>
                <w:szCs w:val="19"/>
              </w:rPr>
            </w:pPr>
            <w:r w:rsidRPr="00E11080">
              <w:rPr>
                <w:rFonts w:cs="Arial"/>
                <w:sz w:val="19"/>
                <w:szCs w:val="19"/>
              </w:rPr>
              <w:t xml:space="preserve">Net </w:t>
            </w:r>
            <w:r w:rsidRPr="00322973">
              <w:rPr>
                <w:rFonts w:cs="Arial"/>
                <w:sz w:val="19"/>
                <w:szCs w:val="19"/>
              </w:rPr>
              <w:t>(decrease)</w:t>
            </w:r>
            <w:r>
              <w:rPr>
                <w:rFonts w:cs="Arial"/>
                <w:sz w:val="19"/>
                <w:szCs w:val="19"/>
              </w:rPr>
              <w:t>/increase</w:t>
            </w:r>
            <w:r w:rsidRPr="00322973">
              <w:rPr>
                <w:rFonts w:cs="Arial"/>
                <w:sz w:val="19"/>
                <w:szCs w:val="19"/>
              </w:rPr>
              <w:t xml:space="preserve"> </w:t>
            </w:r>
            <w:r w:rsidRPr="00E11080">
              <w:rPr>
                <w:rFonts w:cs="Arial"/>
                <w:sz w:val="19"/>
                <w:szCs w:val="19"/>
              </w:rPr>
              <w:t>in non-current assets held for sale</w:t>
            </w:r>
          </w:p>
        </w:tc>
        <w:tc>
          <w:tcPr>
            <w:tcW w:w="1276" w:type="dxa"/>
            <w:tcBorders>
              <w:top w:val="nil"/>
              <w:left w:val="nil"/>
              <w:bottom w:val="nil"/>
              <w:right w:val="nil"/>
            </w:tcBorders>
            <w:shd w:val="clear" w:color="000000" w:fill="auto"/>
            <w:vAlign w:val="bottom"/>
          </w:tcPr>
          <w:p w14:paraId="63FCEE6D" w14:textId="1B543473" w:rsidR="00B57C13" w:rsidRPr="006B318F" w:rsidRDefault="00B57C13" w:rsidP="006B318F">
            <w:pPr>
              <w:keepLines/>
              <w:tabs>
                <w:tab w:val="right" w:pos="1202"/>
              </w:tabs>
              <w:spacing w:after="0" w:line="240" w:lineRule="auto"/>
              <w:jc w:val="right"/>
              <w:outlineLvl w:val="0"/>
              <w:rPr>
                <w:rFonts w:cs="Calibri"/>
                <w:bCs/>
                <w:sz w:val="19"/>
                <w:szCs w:val="19"/>
              </w:rPr>
            </w:pPr>
            <w:r w:rsidRPr="006B318F">
              <w:rPr>
                <w:rFonts w:cs="Calibri"/>
                <w:bCs/>
                <w:sz w:val="19"/>
                <w:szCs w:val="19"/>
              </w:rPr>
              <w:t xml:space="preserve"> 212 </w:t>
            </w:r>
          </w:p>
        </w:tc>
        <w:tc>
          <w:tcPr>
            <w:tcW w:w="1275" w:type="dxa"/>
            <w:shd w:val="clear" w:color="000000" w:fill="auto"/>
            <w:vAlign w:val="bottom"/>
          </w:tcPr>
          <w:p w14:paraId="7953BE29" w14:textId="086CCD30" w:rsidR="00B57C13" w:rsidRPr="006B318F" w:rsidRDefault="00B57C13" w:rsidP="00B57C13">
            <w:pPr>
              <w:keepLines/>
              <w:tabs>
                <w:tab w:val="right" w:pos="1202"/>
              </w:tabs>
              <w:spacing w:after="0" w:line="240" w:lineRule="auto"/>
              <w:jc w:val="right"/>
              <w:outlineLvl w:val="0"/>
              <w:rPr>
                <w:rFonts w:cs="Calibri"/>
                <w:bCs/>
                <w:sz w:val="19"/>
                <w:szCs w:val="19"/>
              </w:rPr>
            </w:pPr>
            <w:r w:rsidRPr="006B318F">
              <w:rPr>
                <w:rFonts w:cs="Calibri"/>
                <w:bCs/>
                <w:sz w:val="19"/>
                <w:szCs w:val="19"/>
              </w:rPr>
              <w:t>(15)</w:t>
            </w:r>
          </w:p>
        </w:tc>
      </w:tr>
      <w:tr w:rsidR="00B57C13" w:rsidRPr="00F6749B" w14:paraId="533C9CD1" w14:textId="77777777" w:rsidTr="006B318F">
        <w:tc>
          <w:tcPr>
            <w:tcW w:w="7088" w:type="dxa"/>
          </w:tcPr>
          <w:p w14:paraId="1EF9A1BC" w14:textId="3264DCD5" w:rsidR="00B57C13" w:rsidRPr="00F6749B" w:rsidRDefault="00B57C13" w:rsidP="00B57C13">
            <w:pPr>
              <w:keepLines/>
              <w:tabs>
                <w:tab w:val="right" w:pos="1202"/>
              </w:tabs>
              <w:spacing w:after="0" w:line="240" w:lineRule="auto"/>
              <w:outlineLvl w:val="0"/>
              <w:rPr>
                <w:rFonts w:eastAsia="Times New Roman" w:cs="Arial"/>
                <w:sz w:val="19"/>
                <w:szCs w:val="19"/>
              </w:rPr>
            </w:pPr>
            <w:r w:rsidRPr="00F6749B">
              <w:rPr>
                <w:rFonts w:cs="Arial"/>
                <w:sz w:val="19"/>
                <w:szCs w:val="19"/>
              </w:rPr>
              <w:t xml:space="preserve">Net </w:t>
            </w:r>
            <w:r>
              <w:rPr>
                <w:rFonts w:cs="Arial"/>
                <w:sz w:val="19"/>
                <w:szCs w:val="19"/>
              </w:rPr>
              <w:t>(</w:t>
            </w:r>
            <w:r w:rsidRPr="00F6749B">
              <w:rPr>
                <w:rFonts w:cs="Arial"/>
                <w:sz w:val="19"/>
                <w:szCs w:val="19"/>
              </w:rPr>
              <w:t>increase</w:t>
            </w:r>
            <w:r>
              <w:rPr>
                <w:rFonts w:cs="Arial"/>
                <w:sz w:val="19"/>
                <w:szCs w:val="19"/>
              </w:rPr>
              <w:t>)</w:t>
            </w:r>
            <w:r w:rsidRPr="00F6749B">
              <w:rPr>
                <w:rFonts w:cs="Arial"/>
                <w:sz w:val="19"/>
                <w:szCs w:val="19"/>
              </w:rPr>
              <w:t xml:space="preserve"> in other assets, before provision for impairment</w:t>
            </w:r>
          </w:p>
        </w:tc>
        <w:tc>
          <w:tcPr>
            <w:tcW w:w="1276" w:type="dxa"/>
            <w:tcBorders>
              <w:top w:val="nil"/>
              <w:left w:val="nil"/>
              <w:bottom w:val="nil"/>
              <w:right w:val="nil"/>
            </w:tcBorders>
            <w:shd w:val="clear" w:color="000000" w:fill="auto"/>
            <w:vAlign w:val="bottom"/>
          </w:tcPr>
          <w:p w14:paraId="69BE59B3" w14:textId="510860C3" w:rsidR="00B57C13" w:rsidRPr="006B318F" w:rsidRDefault="00B57C13" w:rsidP="006B318F">
            <w:pPr>
              <w:keepLines/>
              <w:tabs>
                <w:tab w:val="right" w:pos="1202"/>
              </w:tabs>
              <w:spacing w:after="0" w:line="240" w:lineRule="auto"/>
              <w:jc w:val="right"/>
              <w:outlineLvl w:val="0"/>
              <w:rPr>
                <w:rFonts w:cs="Calibri"/>
                <w:bCs/>
                <w:sz w:val="19"/>
                <w:szCs w:val="19"/>
              </w:rPr>
            </w:pPr>
            <w:r w:rsidRPr="006B318F">
              <w:rPr>
                <w:rFonts w:cs="Calibri"/>
                <w:bCs/>
                <w:sz w:val="19"/>
                <w:szCs w:val="19"/>
              </w:rPr>
              <w:t xml:space="preserve"> (4,476)</w:t>
            </w:r>
          </w:p>
        </w:tc>
        <w:tc>
          <w:tcPr>
            <w:tcW w:w="1275" w:type="dxa"/>
            <w:shd w:val="clear" w:color="000000" w:fill="auto"/>
            <w:vAlign w:val="bottom"/>
          </w:tcPr>
          <w:p w14:paraId="46840EE7" w14:textId="4974E6C4" w:rsidR="00B57C13" w:rsidRPr="006B318F" w:rsidRDefault="00B57C13" w:rsidP="006B318F">
            <w:pPr>
              <w:keepLines/>
              <w:tabs>
                <w:tab w:val="right" w:pos="1202"/>
              </w:tabs>
              <w:spacing w:after="0" w:line="240" w:lineRule="auto"/>
              <w:jc w:val="right"/>
              <w:outlineLvl w:val="0"/>
              <w:rPr>
                <w:rFonts w:cs="Calibri"/>
                <w:bCs/>
                <w:sz w:val="19"/>
                <w:szCs w:val="19"/>
              </w:rPr>
            </w:pPr>
            <w:r w:rsidRPr="006B318F">
              <w:rPr>
                <w:rFonts w:cs="Calibri"/>
                <w:bCs/>
                <w:sz w:val="19"/>
                <w:szCs w:val="19"/>
              </w:rPr>
              <w:t>(154)</w:t>
            </w:r>
          </w:p>
        </w:tc>
      </w:tr>
      <w:tr w:rsidR="00B57C13" w:rsidRPr="00F6749B" w14:paraId="6F56313F" w14:textId="77777777" w:rsidTr="006B318F">
        <w:tc>
          <w:tcPr>
            <w:tcW w:w="7088" w:type="dxa"/>
          </w:tcPr>
          <w:p w14:paraId="5758E327" w14:textId="24C5C373" w:rsidR="00B57C13" w:rsidRPr="00F6749B" w:rsidRDefault="00B57C13" w:rsidP="00B57C13">
            <w:pPr>
              <w:keepLines/>
              <w:tabs>
                <w:tab w:val="right" w:pos="1202"/>
              </w:tabs>
              <w:spacing w:after="0" w:line="240" w:lineRule="auto"/>
              <w:outlineLvl w:val="0"/>
              <w:rPr>
                <w:rFonts w:eastAsia="Times New Roman" w:cs="Arial"/>
                <w:sz w:val="19"/>
                <w:szCs w:val="19"/>
              </w:rPr>
            </w:pPr>
            <w:r w:rsidRPr="00F6749B">
              <w:rPr>
                <w:rFonts w:cs="Arial"/>
                <w:sz w:val="19"/>
                <w:szCs w:val="19"/>
              </w:rPr>
              <w:t xml:space="preserve">Net </w:t>
            </w:r>
            <w:r>
              <w:rPr>
                <w:rFonts w:cs="Arial"/>
                <w:sz w:val="19"/>
                <w:szCs w:val="19"/>
              </w:rPr>
              <w:t>increase/(</w:t>
            </w:r>
            <w:r w:rsidRPr="00DC0C7E">
              <w:rPr>
                <w:rFonts w:cs="Arial"/>
                <w:sz w:val="19"/>
                <w:szCs w:val="19"/>
              </w:rPr>
              <w:t xml:space="preserve">decrease) </w:t>
            </w:r>
            <w:r>
              <w:rPr>
                <w:rFonts w:cs="Arial"/>
                <w:sz w:val="19"/>
                <w:szCs w:val="19"/>
              </w:rPr>
              <w:t xml:space="preserve">in </w:t>
            </w:r>
            <w:r w:rsidRPr="00F6749B">
              <w:rPr>
                <w:rFonts w:cs="Arial"/>
                <w:sz w:val="19"/>
                <w:szCs w:val="19"/>
              </w:rPr>
              <w:t>deposits from banks and companies</w:t>
            </w:r>
          </w:p>
        </w:tc>
        <w:tc>
          <w:tcPr>
            <w:tcW w:w="1276" w:type="dxa"/>
            <w:tcBorders>
              <w:top w:val="nil"/>
              <w:left w:val="nil"/>
              <w:bottom w:val="nil"/>
              <w:right w:val="nil"/>
            </w:tcBorders>
            <w:shd w:val="clear" w:color="000000" w:fill="auto"/>
            <w:vAlign w:val="bottom"/>
          </w:tcPr>
          <w:p w14:paraId="080F3839" w14:textId="51E7C8E0" w:rsidR="00B57C13" w:rsidRPr="006B318F" w:rsidRDefault="00B57C13" w:rsidP="006B318F">
            <w:pPr>
              <w:keepLines/>
              <w:tabs>
                <w:tab w:val="right" w:pos="1202"/>
              </w:tabs>
              <w:spacing w:after="0" w:line="240" w:lineRule="auto"/>
              <w:jc w:val="right"/>
              <w:outlineLvl w:val="0"/>
              <w:rPr>
                <w:rFonts w:cs="Calibri"/>
                <w:bCs/>
                <w:sz w:val="19"/>
                <w:szCs w:val="19"/>
              </w:rPr>
            </w:pPr>
            <w:r w:rsidRPr="006B318F">
              <w:rPr>
                <w:rFonts w:cs="Calibri"/>
                <w:bCs/>
                <w:sz w:val="19"/>
                <w:szCs w:val="19"/>
              </w:rPr>
              <w:t xml:space="preserve"> 797,940 </w:t>
            </w:r>
          </w:p>
        </w:tc>
        <w:tc>
          <w:tcPr>
            <w:tcW w:w="1275" w:type="dxa"/>
            <w:shd w:val="clear" w:color="000000" w:fill="auto"/>
            <w:vAlign w:val="bottom"/>
          </w:tcPr>
          <w:p w14:paraId="4AEC8925" w14:textId="441218C2" w:rsidR="00B57C13" w:rsidRPr="006B318F" w:rsidRDefault="00B57C13" w:rsidP="006B318F">
            <w:pPr>
              <w:keepLines/>
              <w:tabs>
                <w:tab w:val="right" w:pos="1202"/>
              </w:tabs>
              <w:spacing w:after="0" w:line="240" w:lineRule="auto"/>
              <w:jc w:val="right"/>
              <w:outlineLvl w:val="0"/>
              <w:rPr>
                <w:rFonts w:cs="Calibri"/>
                <w:bCs/>
                <w:sz w:val="19"/>
                <w:szCs w:val="19"/>
              </w:rPr>
            </w:pPr>
            <w:r w:rsidRPr="006B318F">
              <w:rPr>
                <w:rFonts w:cs="Calibri"/>
                <w:bCs/>
                <w:sz w:val="19"/>
                <w:szCs w:val="19"/>
              </w:rPr>
              <w:t>(44,040)</w:t>
            </w:r>
          </w:p>
        </w:tc>
      </w:tr>
      <w:tr w:rsidR="00B57C13" w:rsidRPr="00F6749B" w14:paraId="346472B0" w14:textId="77777777" w:rsidTr="005444AA">
        <w:tc>
          <w:tcPr>
            <w:tcW w:w="7088" w:type="dxa"/>
          </w:tcPr>
          <w:p w14:paraId="58AC31CD" w14:textId="77777777" w:rsidR="00B57C13" w:rsidRPr="00F6749B" w:rsidRDefault="00B57C13" w:rsidP="00B57C13">
            <w:pPr>
              <w:keepLines/>
              <w:tabs>
                <w:tab w:val="right" w:pos="1202"/>
              </w:tabs>
              <w:spacing w:after="0" w:line="240" w:lineRule="auto"/>
              <w:outlineLvl w:val="0"/>
              <w:rPr>
                <w:rFonts w:eastAsia="Times New Roman" w:cs="Arial"/>
                <w:spacing w:val="-2"/>
                <w:sz w:val="19"/>
                <w:szCs w:val="19"/>
              </w:rPr>
            </w:pPr>
            <w:r w:rsidRPr="00F6749B">
              <w:rPr>
                <w:rFonts w:cs="Arial"/>
                <w:sz w:val="19"/>
                <w:szCs w:val="19"/>
              </w:rPr>
              <w:t>Net (decrease) in other liabilities, before provisions</w:t>
            </w:r>
          </w:p>
        </w:tc>
        <w:tc>
          <w:tcPr>
            <w:tcW w:w="1276" w:type="dxa"/>
            <w:tcBorders>
              <w:top w:val="nil"/>
              <w:left w:val="nil"/>
              <w:bottom w:val="nil"/>
              <w:right w:val="nil"/>
            </w:tcBorders>
            <w:shd w:val="clear" w:color="000000" w:fill="auto"/>
            <w:vAlign w:val="bottom"/>
          </w:tcPr>
          <w:p w14:paraId="60FF5F4F" w14:textId="054CAD16" w:rsidR="00B57C13" w:rsidRPr="006B318F" w:rsidRDefault="00B57C13" w:rsidP="006B318F">
            <w:pPr>
              <w:keepLines/>
              <w:tabs>
                <w:tab w:val="right" w:pos="1202"/>
              </w:tabs>
              <w:spacing w:after="0" w:line="240" w:lineRule="auto"/>
              <w:jc w:val="right"/>
              <w:outlineLvl w:val="0"/>
              <w:rPr>
                <w:rFonts w:cs="Calibri"/>
                <w:bCs/>
                <w:sz w:val="19"/>
                <w:szCs w:val="19"/>
              </w:rPr>
            </w:pPr>
            <w:r w:rsidRPr="006B318F">
              <w:rPr>
                <w:rFonts w:cs="Calibri"/>
                <w:bCs/>
                <w:sz w:val="19"/>
                <w:szCs w:val="19"/>
              </w:rPr>
              <w:t xml:space="preserve"> (74,455)</w:t>
            </w:r>
          </w:p>
        </w:tc>
        <w:tc>
          <w:tcPr>
            <w:tcW w:w="1275" w:type="dxa"/>
            <w:tcBorders>
              <w:top w:val="nil"/>
              <w:left w:val="nil"/>
              <w:bottom w:val="nil"/>
              <w:right w:val="nil"/>
            </w:tcBorders>
            <w:shd w:val="clear" w:color="000000" w:fill="auto"/>
            <w:vAlign w:val="bottom"/>
          </w:tcPr>
          <w:p w14:paraId="3FF851BC" w14:textId="0DAF60E9" w:rsidR="00B57C13" w:rsidRPr="001E7720" w:rsidRDefault="00B57C13" w:rsidP="00B57C13">
            <w:pPr>
              <w:keepLines/>
              <w:spacing w:after="0" w:line="240" w:lineRule="auto"/>
              <w:jc w:val="right"/>
              <w:rPr>
                <w:rFonts w:eastAsia="Times New Roman" w:cs="Arial"/>
                <w:sz w:val="19"/>
                <w:szCs w:val="19"/>
              </w:rPr>
            </w:pPr>
            <w:r w:rsidRPr="00786E09">
              <w:rPr>
                <w:rFonts w:asciiTheme="minorHAnsi" w:hAnsiTheme="minorHAnsi" w:cs="Calibri"/>
                <w:sz w:val="19"/>
                <w:szCs w:val="19"/>
                <w:lang w:val="pl-PL"/>
              </w:rPr>
              <w:t>(100,106)</w:t>
            </w:r>
            <w:r w:rsidRPr="00786E09" w:rsidDel="005414B8">
              <w:rPr>
                <w:rFonts w:asciiTheme="minorHAnsi" w:hAnsiTheme="minorHAnsi" w:cs="Calibri"/>
                <w:sz w:val="19"/>
                <w:szCs w:val="19"/>
                <w:lang w:val="pl-PL"/>
              </w:rPr>
              <w:t xml:space="preserve"> </w:t>
            </w:r>
          </w:p>
        </w:tc>
      </w:tr>
      <w:tr w:rsidR="00B57C13" w:rsidRPr="00F6749B" w14:paraId="66C4570E" w14:textId="77777777" w:rsidTr="006B318F">
        <w:trPr>
          <w:trHeight w:hRule="exact" w:val="113"/>
        </w:trPr>
        <w:tc>
          <w:tcPr>
            <w:tcW w:w="7088" w:type="dxa"/>
            <w:tcBorders>
              <w:bottom w:val="single" w:sz="4" w:space="0" w:color="auto"/>
            </w:tcBorders>
          </w:tcPr>
          <w:p w14:paraId="0C90982B" w14:textId="77777777" w:rsidR="00B57C13" w:rsidRPr="00F6749B" w:rsidRDefault="00B57C13" w:rsidP="00B57C13">
            <w:pPr>
              <w:keepNext/>
              <w:keepLines/>
              <w:tabs>
                <w:tab w:val="decimal" w:pos="1202"/>
              </w:tabs>
              <w:spacing w:after="0" w:line="240" w:lineRule="auto"/>
              <w:rPr>
                <w:rFonts w:eastAsia="Times New Roman" w:cs="Arial"/>
                <w:b/>
                <w:bCs/>
                <w:position w:val="4"/>
                <w:sz w:val="19"/>
                <w:szCs w:val="19"/>
                <w:u w:val="thick"/>
              </w:rPr>
            </w:pPr>
          </w:p>
        </w:tc>
        <w:tc>
          <w:tcPr>
            <w:tcW w:w="1276" w:type="dxa"/>
            <w:tcBorders>
              <w:bottom w:val="single" w:sz="4" w:space="0" w:color="auto"/>
            </w:tcBorders>
            <w:shd w:val="clear" w:color="auto" w:fill="auto"/>
            <w:vAlign w:val="bottom"/>
          </w:tcPr>
          <w:p w14:paraId="222A4F03" w14:textId="77777777" w:rsidR="00B57C13" w:rsidRPr="006B318F" w:rsidRDefault="00B57C13" w:rsidP="006B318F">
            <w:pPr>
              <w:keepLines/>
              <w:tabs>
                <w:tab w:val="right" w:pos="1202"/>
              </w:tabs>
              <w:spacing w:after="0" w:line="240" w:lineRule="auto"/>
              <w:jc w:val="right"/>
              <w:outlineLvl w:val="0"/>
              <w:rPr>
                <w:rFonts w:cs="Calibri"/>
                <w:bCs/>
                <w:sz w:val="19"/>
                <w:szCs w:val="19"/>
              </w:rPr>
            </w:pPr>
          </w:p>
        </w:tc>
        <w:tc>
          <w:tcPr>
            <w:tcW w:w="1275" w:type="dxa"/>
            <w:tcBorders>
              <w:bottom w:val="single" w:sz="4" w:space="0" w:color="auto"/>
            </w:tcBorders>
            <w:shd w:val="clear" w:color="auto" w:fill="auto"/>
            <w:vAlign w:val="bottom"/>
          </w:tcPr>
          <w:p w14:paraId="4C25F211" w14:textId="77777777" w:rsidR="00B57C13" w:rsidRPr="001E7720" w:rsidRDefault="00B57C13" w:rsidP="00B57C13">
            <w:pPr>
              <w:keepLines/>
              <w:spacing w:after="0" w:line="240" w:lineRule="auto"/>
              <w:jc w:val="right"/>
              <w:rPr>
                <w:rFonts w:eastAsia="Times New Roman" w:cs="Arial"/>
                <w:spacing w:val="-2"/>
                <w:position w:val="4"/>
                <w:sz w:val="19"/>
                <w:szCs w:val="19"/>
              </w:rPr>
            </w:pPr>
          </w:p>
        </w:tc>
      </w:tr>
      <w:tr w:rsidR="00B57C13" w:rsidRPr="00F6749B" w14:paraId="545A52A6" w14:textId="77777777" w:rsidTr="006B318F">
        <w:trPr>
          <w:trHeight w:val="228"/>
        </w:trPr>
        <w:tc>
          <w:tcPr>
            <w:tcW w:w="7088" w:type="dxa"/>
            <w:tcBorders>
              <w:top w:val="single" w:sz="4" w:space="0" w:color="auto"/>
              <w:bottom w:val="single" w:sz="12" w:space="0" w:color="auto"/>
            </w:tcBorders>
          </w:tcPr>
          <w:p w14:paraId="154CAEF9" w14:textId="7FCE1898" w:rsidR="00B57C13" w:rsidRPr="00F6749B" w:rsidRDefault="00B57C13" w:rsidP="008D6EFE">
            <w:pPr>
              <w:keepLines/>
              <w:tabs>
                <w:tab w:val="right" w:pos="1202"/>
              </w:tabs>
              <w:spacing w:after="0" w:line="240" w:lineRule="auto"/>
              <w:outlineLvl w:val="0"/>
              <w:rPr>
                <w:rFonts w:eastAsia="Times New Roman" w:cs="Arial"/>
                <w:b/>
                <w:bCs/>
                <w:spacing w:val="-3"/>
                <w:sz w:val="19"/>
                <w:szCs w:val="19"/>
              </w:rPr>
            </w:pPr>
            <w:r w:rsidRPr="00F6749B">
              <w:rPr>
                <w:rFonts w:cs="Arial"/>
                <w:b/>
                <w:bCs/>
                <w:sz w:val="19"/>
                <w:szCs w:val="19"/>
              </w:rPr>
              <w:t>Net cash</w:t>
            </w:r>
            <w:r w:rsidRPr="00F6749B">
              <w:rPr>
                <w:rFonts w:ascii="Times New Roman" w:eastAsia="Times New Roman" w:hAnsi="Times New Roman"/>
                <w:sz w:val="24"/>
                <w:szCs w:val="20"/>
                <w:lang w:eastAsia="hr-HR"/>
              </w:rPr>
              <w:t xml:space="preserve"> </w:t>
            </w:r>
            <w:r w:rsidRPr="00F6749B">
              <w:rPr>
                <w:rFonts w:cs="Arial"/>
                <w:b/>
                <w:bCs/>
                <w:sz w:val="19"/>
                <w:szCs w:val="19"/>
              </w:rPr>
              <w:t>provided</w:t>
            </w:r>
            <w:r>
              <w:rPr>
                <w:rFonts w:cs="Arial"/>
                <w:b/>
                <w:bCs/>
                <w:sz w:val="19"/>
                <w:szCs w:val="19"/>
              </w:rPr>
              <w:t>/(used in)</w:t>
            </w:r>
            <w:r w:rsidRPr="00F6749B">
              <w:rPr>
                <w:rFonts w:cs="Arial"/>
                <w:b/>
                <w:bCs/>
                <w:sz w:val="19"/>
                <w:szCs w:val="19"/>
              </w:rPr>
              <w:t xml:space="preserve"> by operating activities</w:t>
            </w:r>
          </w:p>
        </w:tc>
        <w:tc>
          <w:tcPr>
            <w:tcW w:w="1276" w:type="dxa"/>
            <w:tcBorders>
              <w:top w:val="single" w:sz="4" w:space="0" w:color="auto"/>
              <w:bottom w:val="single" w:sz="12" w:space="0" w:color="auto"/>
            </w:tcBorders>
            <w:shd w:val="clear" w:color="auto" w:fill="FFFFFF" w:themeFill="background1"/>
            <w:vAlign w:val="bottom"/>
          </w:tcPr>
          <w:p w14:paraId="39E135BD" w14:textId="1C257A00" w:rsidR="00B57C13" w:rsidRPr="00F6749B" w:rsidRDefault="00B57C13" w:rsidP="00B57C13">
            <w:pPr>
              <w:spacing w:after="0" w:line="240" w:lineRule="auto"/>
              <w:jc w:val="right"/>
              <w:rPr>
                <w:rFonts w:eastAsia="Times New Roman" w:cs="Arial"/>
                <w:b/>
                <w:spacing w:val="-2"/>
                <w:sz w:val="19"/>
                <w:szCs w:val="19"/>
              </w:rPr>
            </w:pPr>
            <w:r w:rsidRPr="006B318F">
              <w:rPr>
                <w:rFonts w:asciiTheme="minorHAnsi" w:hAnsiTheme="minorHAnsi" w:cs="Calibri"/>
                <w:b/>
                <w:sz w:val="19"/>
                <w:szCs w:val="19"/>
                <w:lang w:val="hr-HR"/>
              </w:rPr>
              <w:t>99,580</w:t>
            </w:r>
            <w:r w:rsidRPr="00C42F88">
              <w:rPr>
                <w:rFonts w:asciiTheme="minorHAnsi" w:hAnsiTheme="minorHAnsi" w:cs="Calibri"/>
                <w:b/>
                <w:szCs w:val="19"/>
                <w:lang w:val="hr-HR"/>
              </w:rPr>
              <w:t xml:space="preserve"> </w:t>
            </w:r>
          </w:p>
        </w:tc>
        <w:tc>
          <w:tcPr>
            <w:tcW w:w="1275" w:type="dxa"/>
            <w:tcBorders>
              <w:top w:val="single" w:sz="4" w:space="0" w:color="auto"/>
              <w:bottom w:val="single" w:sz="12" w:space="0" w:color="auto"/>
            </w:tcBorders>
            <w:shd w:val="clear" w:color="auto" w:fill="auto"/>
            <w:vAlign w:val="bottom"/>
          </w:tcPr>
          <w:p w14:paraId="0FD75EBE" w14:textId="5F98AF0D" w:rsidR="00B57C13" w:rsidRPr="001E7720" w:rsidRDefault="00B57C13" w:rsidP="00B57C13">
            <w:pPr>
              <w:spacing w:after="0" w:line="240" w:lineRule="auto"/>
              <w:jc w:val="right"/>
              <w:rPr>
                <w:rFonts w:eastAsia="Times New Roman" w:cs="Arial"/>
                <w:b/>
                <w:spacing w:val="-2"/>
                <w:sz w:val="19"/>
                <w:szCs w:val="19"/>
              </w:rPr>
            </w:pPr>
            <w:r w:rsidRPr="00786E09">
              <w:rPr>
                <w:rFonts w:asciiTheme="minorHAnsi" w:hAnsiTheme="minorHAnsi" w:cs="Calibri"/>
                <w:b/>
                <w:sz w:val="19"/>
                <w:szCs w:val="19"/>
                <w:lang w:val="hr-HR"/>
              </w:rPr>
              <w:t>(458,413)</w:t>
            </w:r>
          </w:p>
        </w:tc>
      </w:tr>
      <w:tr w:rsidR="003E0084" w:rsidRPr="00F6749B" w14:paraId="7284D7EF" w14:textId="77777777" w:rsidTr="005444AA">
        <w:trPr>
          <w:trHeight w:hRule="exact" w:val="113"/>
        </w:trPr>
        <w:tc>
          <w:tcPr>
            <w:tcW w:w="7088" w:type="dxa"/>
            <w:tcBorders>
              <w:top w:val="single" w:sz="12" w:space="0" w:color="auto"/>
            </w:tcBorders>
            <w:vAlign w:val="bottom"/>
          </w:tcPr>
          <w:p w14:paraId="282189EA" w14:textId="77777777" w:rsidR="003E0084" w:rsidRPr="00F6749B" w:rsidRDefault="003E0084" w:rsidP="003E0084">
            <w:pPr>
              <w:keepNext/>
              <w:keepLines/>
              <w:tabs>
                <w:tab w:val="decimal" w:pos="1202"/>
              </w:tabs>
              <w:spacing w:after="0" w:line="240" w:lineRule="auto"/>
              <w:rPr>
                <w:rFonts w:eastAsia="Times New Roman" w:cs="Arial"/>
                <w:b/>
                <w:bCs/>
                <w:position w:val="4"/>
                <w:sz w:val="19"/>
                <w:szCs w:val="19"/>
              </w:rPr>
            </w:pPr>
          </w:p>
        </w:tc>
        <w:tc>
          <w:tcPr>
            <w:tcW w:w="1276" w:type="dxa"/>
            <w:tcBorders>
              <w:top w:val="single" w:sz="12" w:space="0" w:color="auto"/>
            </w:tcBorders>
            <w:shd w:val="clear" w:color="auto" w:fill="auto"/>
            <w:vAlign w:val="bottom"/>
          </w:tcPr>
          <w:p w14:paraId="29B4A728" w14:textId="77777777" w:rsidR="003E0084" w:rsidRPr="00F6749B" w:rsidRDefault="003E0084" w:rsidP="003E0084">
            <w:pPr>
              <w:keepLines/>
              <w:spacing w:after="0" w:line="240" w:lineRule="auto"/>
              <w:jc w:val="right"/>
              <w:rPr>
                <w:rFonts w:eastAsia="Times New Roman" w:cs="Arial"/>
                <w:b/>
                <w:position w:val="4"/>
                <w:sz w:val="19"/>
                <w:szCs w:val="19"/>
                <w:u w:val="thick"/>
              </w:rPr>
            </w:pPr>
          </w:p>
        </w:tc>
        <w:tc>
          <w:tcPr>
            <w:tcW w:w="1275" w:type="dxa"/>
            <w:tcBorders>
              <w:top w:val="single" w:sz="12" w:space="0" w:color="auto"/>
            </w:tcBorders>
            <w:shd w:val="clear" w:color="auto" w:fill="auto"/>
            <w:vAlign w:val="bottom"/>
          </w:tcPr>
          <w:p w14:paraId="127D7882" w14:textId="77777777" w:rsidR="003E0084" w:rsidRPr="00F6749B" w:rsidRDefault="003E0084" w:rsidP="003E0084">
            <w:pPr>
              <w:keepLines/>
              <w:spacing w:after="0" w:line="240" w:lineRule="auto"/>
              <w:jc w:val="right"/>
              <w:rPr>
                <w:rFonts w:eastAsia="Times New Roman" w:cs="Arial"/>
                <w:b/>
                <w:position w:val="4"/>
                <w:sz w:val="19"/>
                <w:szCs w:val="19"/>
                <w:u w:val="thick"/>
              </w:rPr>
            </w:pPr>
          </w:p>
        </w:tc>
      </w:tr>
      <w:tr w:rsidR="003E0084" w:rsidRPr="00F6749B" w14:paraId="0FB15265" w14:textId="77777777" w:rsidTr="005444AA">
        <w:tc>
          <w:tcPr>
            <w:tcW w:w="7088" w:type="dxa"/>
          </w:tcPr>
          <w:p w14:paraId="6D5CDB51" w14:textId="77777777" w:rsidR="003E0084" w:rsidRPr="00F6749B" w:rsidRDefault="003E0084" w:rsidP="003E0084">
            <w:pPr>
              <w:keepLines/>
              <w:tabs>
                <w:tab w:val="right" w:pos="1202"/>
              </w:tabs>
              <w:spacing w:after="0" w:line="240" w:lineRule="auto"/>
              <w:outlineLvl w:val="0"/>
              <w:rPr>
                <w:rFonts w:eastAsia="Times New Roman" w:cs="Arial"/>
                <w:b/>
                <w:bCs/>
                <w:sz w:val="19"/>
                <w:szCs w:val="19"/>
              </w:rPr>
            </w:pPr>
            <w:r w:rsidRPr="00F6749B">
              <w:rPr>
                <w:rFonts w:cs="Arial"/>
                <w:b/>
                <w:bCs/>
                <w:sz w:val="19"/>
                <w:szCs w:val="19"/>
              </w:rPr>
              <w:t>Investment activities</w:t>
            </w:r>
          </w:p>
        </w:tc>
        <w:tc>
          <w:tcPr>
            <w:tcW w:w="1276" w:type="dxa"/>
            <w:shd w:val="clear" w:color="auto" w:fill="auto"/>
            <w:vAlign w:val="bottom"/>
          </w:tcPr>
          <w:p w14:paraId="1E56970F" w14:textId="77777777" w:rsidR="003E0084" w:rsidRPr="00F6749B" w:rsidRDefault="003E0084" w:rsidP="003E0084">
            <w:pPr>
              <w:keepLines/>
              <w:tabs>
                <w:tab w:val="right" w:pos="1202"/>
              </w:tabs>
              <w:spacing w:after="0" w:line="240" w:lineRule="auto"/>
              <w:jc w:val="right"/>
              <w:outlineLvl w:val="0"/>
              <w:rPr>
                <w:rFonts w:eastAsia="Times New Roman" w:cs="Arial"/>
                <w:b/>
                <w:bCs/>
                <w:sz w:val="19"/>
                <w:szCs w:val="19"/>
              </w:rPr>
            </w:pPr>
          </w:p>
        </w:tc>
        <w:tc>
          <w:tcPr>
            <w:tcW w:w="1275" w:type="dxa"/>
            <w:shd w:val="clear" w:color="auto" w:fill="auto"/>
            <w:vAlign w:val="bottom"/>
          </w:tcPr>
          <w:p w14:paraId="7AEDCBD3" w14:textId="77777777" w:rsidR="003E0084" w:rsidRPr="00F6749B" w:rsidRDefault="003E0084" w:rsidP="003E0084">
            <w:pPr>
              <w:keepLines/>
              <w:tabs>
                <w:tab w:val="right" w:pos="1202"/>
              </w:tabs>
              <w:spacing w:after="0" w:line="240" w:lineRule="auto"/>
              <w:jc w:val="right"/>
              <w:outlineLvl w:val="0"/>
              <w:rPr>
                <w:rFonts w:eastAsia="Times New Roman" w:cs="Arial"/>
                <w:b/>
                <w:bCs/>
                <w:sz w:val="19"/>
                <w:szCs w:val="19"/>
              </w:rPr>
            </w:pPr>
          </w:p>
        </w:tc>
      </w:tr>
      <w:tr w:rsidR="00B57C13" w:rsidRPr="00F6749B" w14:paraId="0E3CF485" w14:textId="77777777" w:rsidTr="006B318F">
        <w:tc>
          <w:tcPr>
            <w:tcW w:w="7088" w:type="dxa"/>
          </w:tcPr>
          <w:p w14:paraId="20B2A02B" w14:textId="77777777" w:rsidR="00B57C13" w:rsidRPr="00F6749B" w:rsidRDefault="00B57C13" w:rsidP="00B57C13">
            <w:pPr>
              <w:keepLines/>
              <w:tabs>
                <w:tab w:val="right" w:pos="1202"/>
              </w:tabs>
              <w:spacing w:after="0" w:line="240" w:lineRule="auto"/>
              <w:outlineLvl w:val="0"/>
              <w:rPr>
                <w:rFonts w:eastAsia="Times New Roman" w:cs="Arial"/>
                <w:bCs/>
                <w:sz w:val="19"/>
                <w:szCs w:val="19"/>
              </w:rPr>
            </w:pPr>
            <w:r w:rsidRPr="00F6749B">
              <w:rPr>
                <w:rFonts w:cs="Arial"/>
                <w:sz w:val="19"/>
                <w:szCs w:val="19"/>
              </w:rPr>
              <w:t>(Purchase) of financial assets at fair value through profit or loss</w:t>
            </w:r>
          </w:p>
        </w:tc>
        <w:tc>
          <w:tcPr>
            <w:tcW w:w="1276" w:type="dxa"/>
            <w:tcBorders>
              <w:top w:val="nil"/>
              <w:left w:val="nil"/>
              <w:bottom w:val="nil"/>
              <w:right w:val="nil"/>
            </w:tcBorders>
            <w:shd w:val="clear" w:color="000000" w:fill="auto"/>
            <w:vAlign w:val="bottom"/>
          </w:tcPr>
          <w:p w14:paraId="7FB7634A" w14:textId="7F8079B5" w:rsidR="00B57C13" w:rsidRPr="00F6749B" w:rsidRDefault="00B57C13" w:rsidP="00B57C13">
            <w:pPr>
              <w:keepLines/>
              <w:tabs>
                <w:tab w:val="right" w:pos="1202"/>
              </w:tabs>
              <w:spacing w:after="0" w:line="240" w:lineRule="auto"/>
              <w:jc w:val="right"/>
              <w:outlineLvl w:val="0"/>
              <w:rPr>
                <w:rFonts w:eastAsia="Times New Roman" w:cs="Arial"/>
                <w:bCs/>
                <w:sz w:val="19"/>
                <w:szCs w:val="19"/>
              </w:rPr>
            </w:pPr>
            <w:r w:rsidRPr="00CE0613">
              <w:rPr>
                <w:rFonts w:eastAsia="Times New Roman" w:cs="Calibri"/>
                <w:bCs/>
                <w:sz w:val="19"/>
                <w:szCs w:val="19"/>
              </w:rPr>
              <w:t xml:space="preserve"> - </w:t>
            </w:r>
          </w:p>
        </w:tc>
        <w:tc>
          <w:tcPr>
            <w:tcW w:w="1275" w:type="dxa"/>
            <w:tcBorders>
              <w:top w:val="nil"/>
              <w:left w:val="nil"/>
              <w:bottom w:val="nil"/>
              <w:right w:val="nil"/>
            </w:tcBorders>
            <w:shd w:val="clear" w:color="000000" w:fill="auto"/>
          </w:tcPr>
          <w:p w14:paraId="39690DA3" w14:textId="7ECA1BD9" w:rsidR="00B57C13" w:rsidRPr="006B318F" w:rsidRDefault="00B57C13" w:rsidP="006B318F">
            <w:pPr>
              <w:keepLines/>
              <w:spacing w:after="0" w:line="240" w:lineRule="auto"/>
              <w:jc w:val="right"/>
              <w:rPr>
                <w:rFonts w:asciiTheme="minorHAnsi" w:hAnsiTheme="minorHAnsi" w:cs="Calibri"/>
                <w:sz w:val="19"/>
                <w:szCs w:val="19"/>
                <w:lang w:val="pl-PL"/>
              </w:rPr>
            </w:pPr>
            <w:r w:rsidRPr="006B318F">
              <w:rPr>
                <w:rFonts w:asciiTheme="minorHAnsi" w:hAnsiTheme="minorHAnsi" w:cs="Calibri"/>
                <w:sz w:val="19"/>
                <w:szCs w:val="19"/>
                <w:lang w:val="pl-PL"/>
              </w:rPr>
              <w:t>(7,640)</w:t>
            </w:r>
          </w:p>
        </w:tc>
      </w:tr>
      <w:tr w:rsidR="00B57C13" w:rsidRPr="00F6749B" w14:paraId="27256D4E" w14:textId="77777777" w:rsidTr="006B318F">
        <w:tc>
          <w:tcPr>
            <w:tcW w:w="7088" w:type="dxa"/>
          </w:tcPr>
          <w:p w14:paraId="537D3EAC" w14:textId="77777777" w:rsidR="00B57C13" w:rsidRPr="00F6749B" w:rsidRDefault="00B57C13" w:rsidP="00B57C13">
            <w:pPr>
              <w:keepLines/>
              <w:tabs>
                <w:tab w:val="right" w:pos="1202"/>
              </w:tabs>
              <w:spacing w:after="0" w:line="240" w:lineRule="auto"/>
              <w:outlineLvl w:val="0"/>
              <w:rPr>
                <w:rFonts w:eastAsia="Times New Roman" w:cs="Arial"/>
                <w:bCs/>
                <w:sz w:val="19"/>
                <w:szCs w:val="19"/>
              </w:rPr>
            </w:pPr>
            <w:r w:rsidRPr="00F6749B">
              <w:rPr>
                <w:rFonts w:cs="Arial"/>
                <w:sz w:val="19"/>
                <w:szCs w:val="19"/>
              </w:rPr>
              <w:t>Sale of financial assets at fair value through profit or loss</w:t>
            </w:r>
          </w:p>
        </w:tc>
        <w:tc>
          <w:tcPr>
            <w:tcW w:w="1276" w:type="dxa"/>
            <w:tcBorders>
              <w:top w:val="nil"/>
              <w:left w:val="nil"/>
              <w:bottom w:val="nil"/>
              <w:right w:val="nil"/>
            </w:tcBorders>
            <w:shd w:val="clear" w:color="000000" w:fill="auto"/>
            <w:vAlign w:val="bottom"/>
          </w:tcPr>
          <w:p w14:paraId="06DA3AB5" w14:textId="2A9B40DB" w:rsidR="00B57C13" w:rsidRPr="00F6749B" w:rsidRDefault="00B57C13" w:rsidP="00B57C13">
            <w:pPr>
              <w:keepLines/>
              <w:tabs>
                <w:tab w:val="right" w:pos="1202"/>
              </w:tabs>
              <w:spacing w:after="0" w:line="240" w:lineRule="auto"/>
              <w:jc w:val="right"/>
              <w:outlineLvl w:val="0"/>
              <w:rPr>
                <w:rFonts w:eastAsia="Times New Roman" w:cs="Arial"/>
                <w:bCs/>
                <w:sz w:val="19"/>
                <w:szCs w:val="19"/>
              </w:rPr>
            </w:pPr>
            <w:r w:rsidRPr="00CE0613">
              <w:rPr>
                <w:rFonts w:eastAsia="Times New Roman" w:cs="Calibri"/>
                <w:bCs/>
                <w:sz w:val="19"/>
                <w:szCs w:val="19"/>
              </w:rPr>
              <w:t>-</w:t>
            </w:r>
          </w:p>
        </w:tc>
        <w:tc>
          <w:tcPr>
            <w:tcW w:w="1275" w:type="dxa"/>
            <w:tcBorders>
              <w:top w:val="nil"/>
              <w:left w:val="nil"/>
              <w:bottom w:val="nil"/>
              <w:right w:val="nil"/>
            </w:tcBorders>
            <w:shd w:val="clear" w:color="000000" w:fill="auto"/>
          </w:tcPr>
          <w:p w14:paraId="7D0AECA5" w14:textId="2113D020" w:rsidR="00B57C13" w:rsidRPr="006B318F" w:rsidRDefault="00B57C13" w:rsidP="006B318F">
            <w:pPr>
              <w:keepLines/>
              <w:spacing w:after="0" w:line="240" w:lineRule="auto"/>
              <w:jc w:val="right"/>
              <w:rPr>
                <w:rFonts w:asciiTheme="minorHAnsi" w:hAnsiTheme="minorHAnsi" w:cs="Calibri"/>
                <w:sz w:val="19"/>
                <w:szCs w:val="19"/>
                <w:lang w:val="pl-PL"/>
              </w:rPr>
            </w:pPr>
            <w:r w:rsidRPr="006B318F">
              <w:rPr>
                <w:rFonts w:asciiTheme="minorHAnsi" w:hAnsiTheme="minorHAnsi" w:cs="Calibri"/>
                <w:sz w:val="19"/>
                <w:szCs w:val="19"/>
                <w:lang w:val="pl-PL"/>
              </w:rPr>
              <w:t>5,813</w:t>
            </w:r>
          </w:p>
        </w:tc>
      </w:tr>
      <w:tr w:rsidR="00B57C13" w:rsidRPr="00F6749B" w14:paraId="6CBBB090" w14:textId="77777777" w:rsidTr="006B318F">
        <w:tc>
          <w:tcPr>
            <w:tcW w:w="7088" w:type="dxa"/>
          </w:tcPr>
          <w:p w14:paraId="61DF0A72" w14:textId="77777777" w:rsidR="00B57C13" w:rsidRPr="00F6749B" w:rsidRDefault="00B57C13" w:rsidP="00B57C13">
            <w:pPr>
              <w:keepLines/>
              <w:tabs>
                <w:tab w:val="right" w:pos="1202"/>
              </w:tabs>
              <w:spacing w:after="0" w:line="240" w:lineRule="auto"/>
              <w:outlineLvl w:val="0"/>
              <w:rPr>
                <w:rFonts w:eastAsia="Times New Roman" w:cs="Arial"/>
                <w:bCs/>
                <w:sz w:val="19"/>
                <w:szCs w:val="19"/>
              </w:rPr>
            </w:pPr>
            <w:r w:rsidRPr="00F6749B">
              <w:rPr>
                <w:rFonts w:cs="Arial"/>
                <w:sz w:val="19"/>
                <w:szCs w:val="19"/>
              </w:rPr>
              <w:t>Net (purchase) of assets available for sale</w:t>
            </w:r>
          </w:p>
        </w:tc>
        <w:tc>
          <w:tcPr>
            <w:tcW w:w="1276" w:type="dxa"/>
            <w:tcBorders>
              <w:top w:val="nil"/>
              <w:left w:val="nil"/>
              <w:bottom w:val="nil"/>
              <w:right w:val="nil"/>
            </w:tcBorders>
            <w:shd w:val="clear" w:color="000000" w:fill="auto"/>
            <w:vAlign w:val="bottom"/>
          </w:tcPr>
          <w:p w14:paraId="44A0B1B2" w14:textId="102428CE" w:rsidR="00B57C13" w:rsidRPr="00F6749B" w:rsidRDefault="00B57C13" w:rsidP="00B57C13">
            <w:pPr>
              <w:keepLines/>
              <w:tabs>
                <w:tab w:val="right" w:pos="1202"/>
              </w:tabs>
              <w:spacing w:after="0" w:line="240" w:lineRule="auto"/>
              <w:jc w:val="right"/>
              <w:outlineLvl w:val="0"/>
              <w:rPr>
                <w:rFonts w:eastAsia="Times New Roman" w:cs="Arial"/>
                <w:bCs/>
                <w:sz w:val="19"/>
                <w:szCs w:val="19"/>
              </w:rPr>
            </w:pPr>
            <w:r w:rsidRPr="00CE0613">
              <w:rPr>
                <w:rFonts w:eastAsia="Times New Roman" w:cs="Calibri"/>
                <w:bCs/>
                <w:sz w:val="19"/>
                <w:szCs w:val="19"/>
              </w:rPr>
              <w:t xml:space="preserve"> (1</w:t>
            </w:r>
            <w:r>
              <w:rPr>
                <w:rFonts w:eastAsia="Times New Roman" w:cs="Calibri"/>
                <w:bCs/>
                <w:sz w:val="19"/>
                <w:szCs w:val="19"/>
              </w:rPr>
              <w:t>,</w:t>
            </w:r>
            <w:r w:rsidRPr="00CE0613">
              <w:rPr>
                <w:rFonts w:eastAsia="Times New Roman" w:cs="Calibri"/>
                <w:bCs/>
                <w:sz w:val="19"/>
                <w:szCs w:val="19"/>
              </w:rPr>
              <w:t>239</w:t>
            </w:r>
            <w:r>
              <w:rPr>
                <w:rFonts w:eastAsia="Times New Roman" w:cs="Calibri"/>
                <w:bCs/>
                <w:sz w:val="19"/>
                <w:szCs w:val="19"/>
              </w:rPr>
              <w:t>,</w:t>
            </w:r>
            <w:r w:rsidRPr="00CE0613">
              <w:rPr>
                <w:rFonts w:eastAsia="Times New Roman" w:cs="Calibri"/>
                <w:bCs/>
                <w:sz w:val="19"/>
                <w:szCs w:val="19"/>
              </w:rPr>
              <w:t>643)</w:t>
            </w:r>
          </w:p>
        </w:tc>
        <w:tc>
          <w:tcPr>
            <w:tcW w:w="1275" w:type="dxa"/>
            <w:tcBorders>
              <w:top w:val="nil"/>
              <w:left w:val="nil"/>
              <w:bottom w:val="nil"/>
              <w:right w:val="nil"/>
            </w:tcBorders>
            <w:shd w:val="clear" w:color="000000" w:fill="auto"/>
          </w:tcPr>
          <w:p w14:paraId="63CDE449" w14:textId="563E1DC2" w:rsidR="00B57C13" w:rsidRPr="006B318F" w:rsidRDefault="00B57C13" w:rsidP="006B318F">
            <w:pPr>
              <w:keepLines/>
              <w:spacing w:after="0" w:line="240" w:lineRule="auto"/>
              <w:jc w:val="right"/>
              <w:rPr>
                <w:rFonts w:asciiTheme="minorHAnsi" w:hAnsiTheme="minorHAnsi" w:cs="Calibri"/>
                <w:sz w:val="19"/>
                <w:szCs w:val="19"/>
                <w:lang w:val="pl-PL"/>
              </w:rPr>
            </w:pPr>
            <w:r w:rsidRPr="006B318F">
              <w:rPr>
                <w:rFonts w:asciiTheme="minorHAnsi" w:hAnsiTheme="minorHAnsi" w:cs="Calibri"/>
                <w:sz w:val="19"/>
                <w:szCs w:val="19"/>
                <w:lang w:val="pl-PL"/>
              </w:rPr>
              <w:t>(2,027,244)</w:t>
            </w:r>
          </w:p>
        </w:tc>
      </w:tr>
      <w:tr w:rsidR="00B57C13" w:rsidRPr="00F6749B" w14:paraId="34AD543C" w14:textId="77777777" w:rsidTr="006B318F">
        <w:tc>
          <w:tcPr>
            <w:tcW w:w="7088" w:type="dxa"/>
          </w:tcPr>
          <w:p w14:paraId="777181AA" w14:textId="77777777" w:rsidR="00B57C13" w:rsidRPr="00F6749B" w:rsidRDefault="00B57C13" w:rsidP="00B57C13">
            <w:pPr>
              <w:keepLines/>
              <w:tabs>
                <w:tab w:val="right" w:pos="1202"/>
              </w:tabs>
              <w:spacing w:after="0" w:line="240" w:lineRule="auto"/>
              <w:outlineLvl w:val="0"/>
              <w:rPr>
                <w:rFonts w:eastAsia="Times New Roman" w:cs="Arial"/>
                <w:spacing w:val="-2"/>
                <w:sz w:val="19"/>
                <w:szCs w:val="19"/>
              </w:rPr>
            </w:pPr>
            <w:r w:rsidRPr="00F6749B">
              <w:rPr>
                <w:rFonts w:cs="Arial"/>
                <w:sz w:val="19"/>
                <w:szCs w:val="19"/>
              </w:rPr>
              <w:t>Sale of assets available for sale</w:t>
            </w:r>
          </w:p>
        </w:tc>
        <w:tc>
          <w:tcPr>
            <w:tcW w:w="1276" w:type="dxa"/>
            <w:tcBorders>
              <w:top w:val="nil"/>
              <w:left w:val="nil"/>
              <w:bottom w:val="nil"/>
              <w:right w:val="nil"/>
            </w:tcBorders>
            <w:shd w:val="clear" w:color="000000" w:fill="auto"/>
            <w:vAlign w:val="bottom"/>
          </w:tcPr>
          <w:p w14:paraId="5888529D" w14:textId="28087ACA" w:rsidR="00B57C13" w:rsidRPr="00F6749B" w:rsidRDefault="00B57C13" w:rsidP="00B57C13">
            <w:pPr>
              <w:keepLines/>
              <w:tabs>
                <w:tab w:val="right" w:pos="1202"/>
              </w:tabs>
              <w:spacing w:after="0" w:line="240" w:lineRule="auto"/>
              <w:jc w:val="right"/>
              <w:outlineLvl w:val="0"/>
              <w:rPr>
                <w:rFonts w:eastAsia="Times New Roman" w:cs="Arial"/>
                <w:spacing w:val="-2"/>
                <w:sz w:val="19"/>
                <w:szCs w:val="19"/>
              </w:rPr>
            </w:pPr>
            <w:r w:rsidRPr="00CE0613">
              <w:rPr>
                <w:rFonts w:eastAsia="Times New Roman" w:cs="Calibri"/>
                <w:bCs/>
                <w:sz w:val="19"/>
                <w:szCs w:val="19"/>
              </w:rPr>
              <w:t>1</w:t>
            </w:r>
            <w:r>
              <w:rPr>
                <w:rFonts w:eastAsia="Times New Roman" w:cs="Calibri"/>
                <w:bCs/>
                <w:sz w:val="19"/>
                <w:szCs w:val="19"/>
              </w:rPr>
              <w:t>,</w:t>
            </w:r>
            <w:r w:rsidRPr="00CE0613">
              <w:rPr>
                <w:rFonts w:eastAsia="Times New Roman" w:cs="Calibri"/>
                <w:bCs/>
                <w:sz w:val="19"/>
                <w:szCs w:val="19"/>
              </w:rPr>
              <w:t>320</w:t>
            </w:r>
            <w:r>
              <w:rPr>
                <w:rFonts w:eastAsia="Times New Roman" w:cs="Calibri"/>
                <w:bCs/>
                <w:sz w:val="19"/>
                <w:szCs w:val="19"/>
              </w:rPr>
              <w:t>,</w:t>
            </w:r>
            <w:r w:rsidRPr="00CE0613">
              <w:rPr>
                <w:rFonts w:eastAsia="Times New Roman" w:cs="Calibri"/>
                <w:bCs/>
                <w:sz w:val="19"/>
                <w:szCs w:val="19"/>
              </w:rPr>
              <w:t>401</w:t>
            </w:r>
          </w:p>
        </w:tc>
        <w:tc>
          <w:tcPr>
            <w:tcW w:w="1275" w:type="dxa"/>
            <w:tcBorders>
              <w:top w:val="nil"/>
              <w:left w:val="nil"/>
              <w:bottom w:val="nil"/>
              <w:right w:val="nil"/>
            </w:tcBorders>
            <w:shd w:val="clear" w:color="000000" w:fill="auto"/>
          </w:tcPr>
          <w:p w14:paraId="00D6349E" w14:textId="685B4CA8" w:rsidR="00B57C13" w:rsidRPr="006B318F" w:rsidRDefault="00B57C13" w:rsidP="006B318F">
            <w:pPr>
              <w:keepLines/>
              <w:spacing w:after="0" w:line="240" w:lineRule="auto"/>
              <w:jc w:val="right"/>
              <w:rPr>
                <w:rFonts w:asciiTheme="minorHAnsi" w:hAnsiTheme="minorHAnsi" w:cs="Calibri"/>
                <w:sz w:val="19"/>
                <w:szCs w:val="19"/>
                <w:lang w:val="pl-PL"/>
              </w:rPr>
            </w:pPr>
            <w:r w:rsidRPr="006B318F">
              <w:rPr>
                <w:rFonts w:asciiTheme="minorHAnsi" w:hAnsiTheme="minorHAnsi" w:cs="Calibri"/>
                <w:sz w:val="19"/>
                <w:szCs w:val="19"/>
                <w:lang w:val="pl-PL"/>
              </w:rPr>
              <w:t>1,381,318</w:t>
            </w:r>
          </w:p>
        </w:tc>
      </w:tr>
      <w:tr w:rsidR="00B57C13" w:rsidRPr="00F6749B" w14:paraId="52860E5E" w14:textId="77777777" w:rsidTr="006B318F">
        <w:tc>
          <w:tcPr>
            <w:tcW w:w="7088" w:type="dxa"/>
          </w:tcPr>
          <w:p w14:paraId="78855C88" w14:textId="77777777" w:rsidR="00B57C13" w:rsidRPr="00F6749B" w:rsidRDefault="00B57C13" w:rsidP="00B57C13">
            <w:pPr>
              <w:keepLines/>
              <w:tabs>
                <w:tab w:val="right" w:pos="1202"/>
              </w:tabs>
              <w:spacing w:after="0" w:line="240" w:lineRule="auto"/>
              <w:outlineLvl w:val="0"/>
              <w:rPr>
                <w:rFonts w:eastAsia="Times New Roman" w:cs="Arial"/>
                <w:spacing w:val="-2"/>
                <w:sz w:val="19"/>
                <w:szCs w:val="19"/>
              </w:rPr>
            </w:pPr>
            <w:r w:rsidRPr="00F6749B">
              <w:rPr>
                <w:rFonts w:cs="Arial"/>
                <w:sz w:val="19"/>
                <w:szCs w:val="19"/>
              </w:rPr>
              <w:t>Net (purchase) of property, plant and equipment and intangible assets</w:t>
            </w:r>
          </w:p>
        </w:tc>
        <w:tc>
          <w:tcPr>
            <w:tcW w:w="1276" w:type="dxa"/>
            <w:shd w:val="clear" w:color="auto" w:fill="FFFFFF" w:themeFill="background1"/>
            <w:vAlign w:val="bottom"/>
          </w:tcPr>
          <w:p w14:paraId="2F3BD7D6" w14:textId="1198A87E" w:rsidR="00B57C13" w:rsidRPr="00F6749B" w:rsidRDefault="00B57C13" w:rsidP="00B57C13">
            <w:pPr>
              <w:keepLines/>
              <w:spacing w:after="0" w:line="240" w:lineRule="auto"/>
              <w:jc w:val="right"/>
              <w:rPr>
                <w:rFonts w:eastAsia="Times New Roman" w:cs="Arial"/>
                <w:spacing w:val="-2"/>
                <w:sz w:val="19"/>
                <w:szCs w:val="19"/>
              </w:rPr>
            </w:pPr>
            <w:r w:rsidRPr="00CE0613">
              <w:rPr>
                <w:rFonts w:eastAsia="Times New Roman" w:cs="Calibri"/>
                <w:bCs/>
                <w:sz w:val="19"/>
                <w:szCs w:val="19"/>
              </w:rPr>
              <w:t xml:space="preserve"> (2</w:t>
            </w:r>
            <w:r>
              <w:rPr>
                <w:rFonts w:eastAsia="Times New Roman" w:cs="Calibri"/>
                <w:bCs/>
                <w:sz w:val="19"/>
                <w:szCs w:val="19"/>
              </w:rPr>
              <w:t>,</w:t>
            </w:r>
            <w:r w:rsidRPr="00CE0613">
              <w:rPr>
                <w:rFonts w:eastAsia="Times New Roman" w:cs="Calibri"/>
                <w:bCs/>
                <w:sz w:val="19"/>
                <w:szCs w:val="19"/>
              </w:rPr>
              <w:t>464)</w:t>
            </w:r>
          </w:p>
        </w:tc>
        <w:tc>
          <w:tcPr>
            <w:tcW w:w="1275" w:type="dxa"/>
            <w:tcBorders>
              <w:top w:val="nil"/>
              <w:left w:val="nil"/>
              <w:bottom w:val="nil"/>
              <w:right w:val="nil"/>
            </w:tcBorders>
            <w:shd w:val="clear" w:color="000000" w:fill="auto"/>
          </w:tcPr>
          <w:p w14:paraId="25D409BB" w14:textId="2884ACFC" w:rsidR="00B57C13" w:rsidRPr="006B318F" w:rsidRDefault="00B57C13" w:rsidP="00B57C13">
            <w:pPr>
              <w:keepLines/>
              <w:spacing w:after="0" w:line="240" w:lineRule="auto"/>
              <w:jc w:val="right"/>
              <w:rPr>
                <w:rFonts w:asciiTheme="minorHAnsi" w:hAnsiTheme="minorHAnsi" w:cs="Calibri"/>
                <w:sz w:val="19"/>
                <w:szCs w:val="19"/>
                <w:lang w:val="pl-PL"/>
              </w:rPr>
            </w:pPr>
            <w:r w:rsidRPr="006B318F">
              <w:rPr>
                <w:rFonts w:asciiTheme="minorHAnsi" w:hAnsiTheme="minorHAnsi" w:cs="Calibri"/>
                <w:sz w:val="19"/>
                <w:szCs w:val="19"/>
                <w:lang w:val="pl-PL"/>
              </w:rPr>
              <w:t>(851)</w:t>
            </w:r>
          </w:p>
        </w:tc>
      </w:tr>
      <w:tr w:rsidR="00B57C13" w:rsidRPr="00F6749B" w14:paraId="468E32C2" w14:textId="77777777" w:rsidTr="006B318F">
        <w:trPr>
          <w:trHeight w:hRule="exact" w:val="113"/>
        </w:trPr>
        <w:tc>
          <w:tcPr>
            <w:tcW w:w="7088" w:type="dxa"/>
            <w:tcBorders>
              <w:bottom w:val="single" w:sz="4" w:space="0" w:color="auto"/>
            </w:tcBorders>
          </w:tcPr>
          <w:p w14:paraId="7BE21844" w14:textId="77777777" w:rsidR="00B57C13" w:rsidRPr="00F6749B" w:rsidRDefault="00B57C13" w:rsidP="00B57C13">
            <w:pPr>
              <w:keepLines/>
              <w:spacing w:after="0" w:line="240" w:lineRule="auto"/>
              <w:ind w:right="731"/>
              <w:jc w:val="right"/>
              <w:rPr>
                <w:rFonts w:eastAsia="Times New Roman" w:cs="Arial"/>
                <w:b/>
                <w:position w:val="4"/>
                <w:sz w:val="19"/>
                <w:szCs w:val="19"/>
              </w:rPr>
            </w:pPr>
          </w:p>
        </w:tc>
        <w:tc>
          <w:tcPr>
            <w:tcW w:w="1276" w:type="dxa"/>
            <w:tcBorders>
              <w:bottom w:val="single" w:sz="4" w:space="0" w:color="auto"/>
            </w:tcBorders>
            <w:shd w:val="clear" w:color="auto" w:fill="FFFFFF"/>
          </w:tcPr>
          <w:p w14:paraId="2BC9ED07" w14:textId="77777777" w:rsidR="00B57C13" w:rsidRPr="00F6749B" w:rsidRDefault="00B57C13" w:rsidP="00B57C13">
            <w:pPr>
              <w:keepLines/>
              <w:spacing w:after="0" w:line="240" w:lineRule="auto"/>
              <w:jc w:val="right"/>
              <w:rPr>
                <w:rFonts w:eastAsia="Times New Roman" w:cs="Arial"/>
                <w:spacing w:val="-2"/>
                <w:position w:val="4"/>
                <w:sz w:val="19"/>
                <w:szCs w:val="19"/>
              </w:rPr>
            </w:pPr>
          </w:p>
        </w:tc>
        <w:tc>
          <w:tcPr>
            <w:tcW w:w="1275" w:type="dxa"/>
            <w:tcBorders>
              <w:bottom w:val="single" w:sz="4" w:space="0" w:color="auto"/>
            </w:tcBorders>
            <w:vAlign w:val="bottom"/>
          </w:tcPr>
          <w:p w14:paraId="7C96F6FD" w14:textId="77777777" w:rsidR="00B57C13" w:rsidRPr="001E7720" w:rsidRDefault="00B57C13" w:rsidP="00B57C13">
            <w:pPr>
              <w:keepLines/>
              <w:spacing w:after="0" w:line="240" w:lineRule="auto"/>
              <w:jc w:val="right"/>
              <w:rPr>
                <w:rFonts w:eastAsia="Times New Roman" w:cs="Arial"/>
                <w:spacing w:val="-2"/>
                <w:position w:val="4"/>
                <w:sz w:val="19"/>
                <w:szCs w:val="19"/>
              </w:rPr>
            </w:pPr>
          </w:p>
        </w:tc>
      </w:tr>
      <w:tr w:rsidR="00B57C13" w:rsidRPr="00F6749B" w14:paraId="6929B59D" w14:textId="77777777" w:rsidTr="006B318F">
        <w:trPr>
          <w:trHeight w:val="235"/>
        </w:trPr>
        <w:tc>
          <w:tcPr>
            <w:tcW w:w="7088" w:type="dxa"/>
            <w:tcBorders>
              <w:top w:val="single" w:sz="4" w:space="0" w:color="auto"/>
              <w:bottom w:val="single" w:sz="12" w:space="0" w:color="auto"/>
            </w:tcBorders>
            <w:vAlign w:val="center"/>
          </w:tcPr>
          <w:p w14:paraId="583E1737" w14:textId="20927B4D" w:rsidR="00B57C13" w:rsidRPr="00F6749B" w:rsidRDefault="00B57C13" w:rsidP="00B57C13">
            <w:pPr>
              <w:keepLines/>
              <w:tabs>
                <w:tab w:val="right" w:pos="1202"/>
              </w:tabs>
              <w:spacing w:after="0" w:line="240" w:lineRule="auto"/>
              <w:outlineLvl w:val="0"/>
              <w:rPr>
                <w:rFonts w:eastAsia="Times New Roman" w:cs="Arial"/>
                <w:b/>
                <w:bCs/>
                <w:sz w:val="19"/>
                <w:szCs w:val="19"/>
              </w:rPr>
            </w:pPr>
            <w:r w:rsidRPr="00F6749B">
              <w:rPr>
                <w:rFonts w:cs="Arial"/>
                <w:b/>
                <w:bCs/>
                <w:sz w:val="19"/>
                <w:szCs w:val="19"/>
              </w:rPr>
              <w:t xml:space="preserve">Net cash </w:t>
            </w:r>
            <w:r>
              <w:rPr>
                <w:rFonts w:cs="Arial"/>
                <w:b/>
                <w:bCs/>
                <w:sz w:val="19"/>
                <w:szCs w:val="19"/>
              </w:rPr>
              <w:t>provided by/</w:t>
            </w:r>
            <w:r w:rsidRPr="00F6749B">
              <w:rPr>
                <w:rFonts w:cs="Arial"/>
                <w:b/>
                <w:bCs/>
                <w:sz w:val="19"/>
                <w:szCs w:val="19"/>
              </w:rPr>
              <w:t>(used in) investment activities</w:t>
            </w:r>
          </w:p>
        </w:tc>
        <w:tc>
          <w:tcPr>
            <w:tcW w:w="1276" w:type="dxa"/>
            <w:tcBorders>
              <w:top w:val="single" w:sz="4" w:space="0" w:color="auto"/>
              <w:bottom w:val="single" w:sz="12" w:space="0" w:color="auto"/>
            </w:tcBorders>
            <w:shd w:val="clear" w:color="auto" w:fill="FFFFFF" w:themeFill="background1"/>
            <w:vAlign w:val="bottom"/>
          </w:tcPr>
          <w:p w14:paraId="610D718B" w14:textId="04ED16C4" w:rsidR="00B57C13" w:rsidRPr="00F6749B" w:rsidRDefault="00B57C13" w:rsidP="00B57C13">
            <w:pPr>
              <w:spacing w:after="0" w:line="240" w:lineRule="auto"/>
              <w:jc w:val="right"/>
              <w:rPr>
                <w:rFonts w:eastAsia="Times New Roman" w:cs="Arial"/>
                <w:b/>
                <w:bCs/>
                <w:spacing w:val="-2"/>
                <w:sz w:val="19"/>
                <w:szCs w:val="19"/>
              </w:rPr>
            </w:pPr>
            <w:r w:rsidRPr="00C42F88">
              <w:rPr>
                <w:rFonts w:eastAsia="Times New Roman" w:cs="Arial"/>
                <w:b/>
                <w:bCs/>
                <w:spacing w:val="-2"/>
                <w:sz w:val="19"/>
                <w:szCs w:val="19"/>
              </w:rPr>
              <w:t>78</w:t>
            </w:r>
            <w:r>
              <w:rPr>
                <w:rFonts w:eastAsia="Times New Roman" w:cs="Arial"/>
                <w:b/>
                <w:bCs/>
                <w:spacing w:val="-2"/>
                <w:sz w:val="19"/>
                <w:szCs w:val="19"/>
              </w:rPr>
              <w:t>,</w:t>
            </w:r>
            <w:r w:rsidRPr="00C42F88">
              <w:rPr>
                <w:rFonts w:eastAsia="Times New Roman" w:cs="Arial"/>
                <w:b/>
                <w:bCs/>
                <w:spacing w:val="-2"/>
                <w:sz w:val="19"/>
                <w:szCs w:val="19"/>
              </w:rPr>
              <w:t xml:space="preserve">294 </w:t>
            </w:r>
          </w:p>
        </w:tc>
        <w:tc>
          <w:tcPr>
            <w:tcW w:w="1275" w:type="dxa"/>
            <w:tcBorders>
              <w:top w:val="single" w:sz="4" w:space="0" w:color="auto"/>
              <w:bottom w:val="single" w:sz="12" w:space="0" w:color="auto"/>
            </w:tcBorders>
            <w:vAlign w:val="bottom"/>
          </w:tcPr>
          <w:p w14:paraId="5BC9D628" w14:textId="47CE1B70" w:rsidR="00B57C13" w:rsidRPr="001E7720" w:rsidRDefault="00B57C13" w:rsidP="00B57C13">
            <w:pPr>
              <w:spacing w:after="0" w:line="240" w:lineRule="auto"/>
              <w:jc w:val="right"/>
              <w:rPr>
                <w:rFonts w:eastAsia="Times New Roman" w:cs="Arial"/>
                <w:b/>
                <w:bCs/>
                <w:spacing w:val="-2"/>
                <w:sz w:val="19"/>
                <w:szCs w:val="19"/>
              </w:rPr>
            </w:pPr>
            <w:r w:rsidRPr="00786E09">
              <w:rPr>
                <w:rFonts w:eastAsia="Times New Roman" w:cs="Arial"/>
                <w:b/>
                <w:bCs/>
                <w:spacing w:val="-2"/>
                <w:sz w:val="19"/>
                <w:szCs w:val="19"/>
              </w:rPr>
              <w:t>(648,604)</w:t>
            </w:r>
            <w:r w:rsidRPr="00786E09" w:rsidDel="005414B8">
              <w:rPr>
                <w:rFonts w:eastAsia="Times New Roman" w:cs="Arial"/>
                <w:b/>
                <w:bCs/>
                <w:spacing w:val="-2"/>
                <w:sz w:val="19"/>
                <w:szCs w:val="19"/>
              </w:rPr>
              <w:t xml:space="preserve"> </w:t>
            </w:r>
          </w:p>
        </w:tc>
      </w:tr>
      <w:tr w:rsidR="003E0084" w:rsidRPr="00F6749B" w14:paraId="66272A83" w14:textId="77777777" w:rsidTr="005444AA">
        <w:trPr>
          <w:trHeight w:hRule="exact" w:val="113"/>
        </w:trPr>
        <w:tc>
          <w:tcPr>
            <w:tcW w:w="7088" w:type="dxa"/>
            <w:tcBorders>
              <w:top w:val="single" w:sz="12" w:space="0" w:color="auto"/>
            </w:tcBorders>
            <w:vAlign w:val="bottom"/>
          </w:tcPr>
          <w:p w14:paraId="00293642" w14:textId="77777777" w:rsidR="003E0084" w:rsidRPr="00F6749B" w:rsidRDefault="003E0084" w:rsidP="003E0084">
            <w:pPr>
              <w:keepLines/>
              <w:tabs>
                <w:tab w:val="decimal" w:pos="1202"/>
              </w:tabs>
              <w:spacing w:after="0" w:line="240" w:lineRule="auto"/>
              <w:rPr>
                <w:rFonts w:eastAsia="Times New Roman" w:cs="Arial"/>
                <w:b/>
                <w:position w:val="4"/>
                <w:sz w:val="19"/>
                <w:szCs w:val="19"/>
                <w:u w:val="thick"/>
              </w:rPr>
            </w:pPr>
          </w:p>
        </w:tc>
        <w:tc>
          <w:tcPr>
            <w:tcW w:w="1276" w:type="dxa"/>
            <w:tcBorders>
              <w:top w:val="single" w:sz="12" w:space="0" w:color="auto"/>
            </w:tcBorders>
            <w:vAlign w:val="bottom"/>
          </w:tcPr>
          <w:p w14:paraId="48133CDF" w14:textId="77777777" w:rsidR="003E0084" w:rsidRPr="00F6749B" w:rsidRDefault="003E0084" w:rsidP="003E0084">
            <w:pPr>
              <w:keepLines/>
              <w:spacing w:after="0" w:line="240" w:lineRule="auto"/>
              <w:jc w:val="right"/>
              <w:rPr>
                <w:rFonts w:eastAsia="Times New Roman" w:cs="Arial"/>
                <w:b/>
                <w:position w:val="4"/>
                <w:sz w:val="19"/>
                <w:szCs w:val="19"/>
                <w:u w:val="thick"/>
              </w:rPr>
            </w:pPr>
          </w:p>
        </w:tc>
        <w:tc>
          <w:tcPr>
            <w:tcW w:w="1275" w:type="dxa"/>
            <w:tcBorders>
              <w:top w:val="single" w:sz="12" w:space="0" w:color="auto"/>
            </w:tcBorders>
            <w:vAlign w:val="bottom"/>
          </w:tcPr>
          <w:p w14:paraId="25130803" w14:textId="77777777" w:rsidR="003E0084" w:rsidRPr="00F6749B" w:rsidRDefault="003E0084" w:rsidP="003E0084">
            <w:pPr>
              <w:keepLines/>
              <w:spacing w:after="0" w:line="240" w:lineRule="auto"/>
              <w:jc w:val="right"/>
              <w:rPr>
                <w:rFonts w:eastAsia="Times New Roman" w:cs="Arial"/>
                <w:b/>
                <w:position w:val="4"/>
                <w:sz w:val="19"/>
                <w:szCs w:val="19"/>
                <w:u w:val="thick"/>
              </w:rPr>
            </w:pPr>
          </w:p>
        </w:tc>
      </w:tr>
      <w:tr w:rsidR="003E0084" w:rsidRPr="00F6749B" w14:paraId="180D56B7" w14:textId="77777777" w:rsidTr="005444AA">
        <w:tc>
          <w:tcPr>
            <w:tcW w:w="7088" w:type="dxa"/>
          </w:tcPr>
          <w:p w14:paraId="0796D21D" w14:textId="77777777" w:rsidR="003E0084" w:rsidRPr="00F6749B" w:rsidRDefault="003E0084" w:rsidP="003E0084">
            <w:pPr>
              <w:keepLines/>
              <w:tabs>
                <w:tab w:val="right" w:pos="1202"/>
              </w:tabs>
              <w:spacing w:after="0" w:line="240" w:lineRule="auto"/>
              <w:outlineLvl w:val="0"/>
              <w:rPr>
                <w:rFonts w:eastAsia="Times New Roman" w:cs="Arial"/>
                <w:b/>
                <w:bCs/>
                <w:spacing w:val="-3"/>
                <w:sz w:val="19"/>
                <w:szCs w:val="19"/>
              </w:rPr>
            </w:pPr>
            <w:r w:rsidRPr="00F6749B">
              <w:rPr>
                <w:rFonts w:cs="Arial"/>
                <w:b/>
                <w:bCs/>
                <w:sz w:val="19"/>
                <w:szCs w:val="19"/>
              </w:rPr>
              <w:t>Financing activities</w:t>
            </w:r>
          </w:p>
        </w:tc>
        <w:tc>
          <w:tcPr>
            <w:tcW w:w="1276" w:type="dxa"/>
            <w:vAlign w:val="bottom"/>
          </w:tcPr>
          <w:p w14:paraId="400752F0" w14:textId="77777777" w:rsidR="003E0084" w:rsidRPr="00F6749B" w:rsidRDefault="003E0084" w:rsidP="003E0084">
            <w:pPr>
              <w:keepLines/>
              <w:tabs>
                <w:tab w:val="right" w:pos="1202"/>
              </w:tabs>
              <w:spacing w:after="0" w:line="240" w:lineRule="auto"/>
              <w:jc w:val="right"/>
              <w:outlineLvl w:val="0"/>
              <w:rPr>
                <w:rFonts w:eastAsia="Times New Roman" w:cs="Arial"/>
                <w:b/>
                <w:bCs/>
                <w:sz w:val="19"/>
                <w:szCs w:val="19"/>
              </w:rPr>
            </w:pPr>
          </w:p>
        </w:tc>
        <w:tc>
          <w:tcPr>
            <w:tcW w:w="1275" w:type="dxa"/>
            <w:vAlign w:val="bottom"/>
          </w:tcPr>
          <w:p w14:paraId="7405A810" w14:textId="77777777" w:rsidR="003E0084" w:rsidRPr="00F6749B" w:rsidRDefault="003E0084" w:rsidP="003E0084">
            <w:pPr>
              <w:keepLines/>
              <w:tabs>
                <w:tab w:val="right" w:pos="1202"/>
              </w:tabs>
              <w:spacing w:after="0" w:line="240" w:lineRule="auto"/>
              <w:jc w:val="right"/>
              <w:outlineLvl w:val="0"/>
              <w:rPr>
                <w:rFonts w:eastAsia="Times New Roman" w:cs="Arial"/>
                <w:b/>
                <w:bCs/>
                <w:sz w:val="19"/>
                <w:szCs w:val="19"/>
              </w:rPr>
            </w:pPr>
          </w:p>
        </w:tc>
      </w:tr>
      <w:tr w:rsidR="00B57C13" w:rsidRPr="00F6749B" w14:paraId="3FA91835" w14:textId="77777777" w:rsidTr="00F70960">
        <w:tc>
          <w:tcPr>
            <w:tcW w:w="7088" w:type="dxa"/>
          </w:tcPr>
          <w:p w14:paraId="52C46958" w14:textId="77777777" w:rsidR="00B57C13" w:rsidRPr="00F6749B" w:rsidRDefault="00B57C13" w:rsidP="00B57C13">
            <w:pPr>
              <w:keepLines/>
              <w:tabs>
                <w:tab w:val="right" w:pos="1202"/>
              </w:tabs>
              <w:spacing w:after="0" w:line="240" w:lineRule="auto"/>
              <w:outlineLvl w:val="0"/>
              <w:rPr>
                <w:rFonts w:cs="Arial"/>
                <w:sz w:val="19"/>
                <w:szCs w:val="19"/>
              </w:rPr>
            </w:pPr>
            <w:r w:rsidRPr="001E7DB0">
              <w:rPr>
                <w:rFonts w:asciiTheme="minorHAnsi" w:hAnsiTheme="minorHAnsi" w:cs="Arial"/>
                <w:sz w:val="19"/>
                <w:szCs w:val="19"/>
              </w:rPr>
              <w:t>Increase in founder’s capital</w:t>
            </w:r>
          </w:p>
        </w:tc>
        <w:tc>
          <w:tcPr>
            <w:tcW w:w="1276" w:type="dxa"/>
            <w:tcBorders>
              <w:top w:val="nil"/>
              <w:left w:val="nil"/>
              <w:bottom w:val="nil"/>
              <w:right w:val="nil"/>
            </w:tcBorders>
            <w:shd w:val="clear" w:color="auto" w:fill="auto"/>
            <w:vAlign w:val="bottom"/>
          </w:tcPr>
          <w:p w14:paraId="540A3E04" w14:textId="48FF6B9B" w:rsidR="00B57C13" w:rsidRDefault="00B57C13" w:rsidP="00B57C13">
            <w:pPr>
              <w:keepLines/>
              <w:tabs>
                <w:tab w:val="right" w:pos="1202"/>
              </w:tabs>
              <w:spacing w:after="0" w:line="240" w:lineRule="auto"/>
              <w:jc w:val="right"/>
              <w:outlineLvl w:val="0"/>
              <w:rPr>
                <w:rFonts w:eastAsia="Times New Roman" w:cs="Arial"/>
                <w:spacing w:val="-2"/>
                <w:sz w:val="19"/>
                <w:szCs w:val="19"/>
              </w:rPr>
            </w:pPr>
            <w:r w:rsidRPr="00CE0613">
              <w:rPr>
                <w:rFonts w:eastAsia="Times New Roman" w:cs="Calibri"/>
                <w:sz w:val="19"/>
                <w:szCs w:val="19"/>
              </w:rPr>
              <w:t xml:space="preserve"> 25</w:t>
            </w:r>
            <w:r>
              <w:rPr>
                <w:rFonts w:eastAsia="Times New Roman" w:cs="Calibri"/>
                <w:sz w:val="19"/>
                <w:szCs w:val="19"/>
              </w:rPr>
              <w:t>,</w:t>
            </w:r>
            <w:r w:rsidRPr="00CE0613">
              <w:rPr>
                <w:rFonts w:eastAsia="Times New Roman" w:cs="Calibri"/>
                <w:sz w:val="19"/>
                <w:szCs w:val="19"/>
              </w:rPr>
              <w:t xml:space="preserve">000 </w:t>
            </w:r>
          </w:p>
        </w:tc>
        <w:tc>
          <w:tcPr>
            <w:tcW w:w="1275" w:type="dxa"/>
            <w:tcBorders>
              <w:top w:val="nil"/>
              <w:left w:val="nil"/>
              <w:bottom w:val="nil"/>
              <w:right w:val="nil"/>
            </w:tcBorders>
            <w:shd w:val="clear" w:color="auto" w:fill="auto"/>
            <w:vAlign w:val="bottom"/>
          </w:tcPr>
          <w:p w14:paraId="27FA129F" w14:textId="09D003EF" w:rsidR="00B57C13" w:rsidRPr="001E7720" w:rsidRDefault="00B57C13" w:rsidP="00B57C13">
            <w:pPr>
              <w:keepLines/>
              <w:tabs>
                <w:tab w:val="right" w:pos="1202"/>
              </w:tabs>
              <w:spacing w:after="0" w:line="240" w:lineRule="auto"/>
              <w:jc w:val="right"/>
              <w:outlineLvl w:val="0"/>
              <w:rPr>
                <w:rFonts w:eastAsia="Times New Roman" w:cs="Arial"/>
                <w:spacing w:val="-2"/>
                <w:sz w:val="19"/>
                <w:szCs w:val="19"/>
              </w:rPr>
            </w:pPr>
            <w:r w:rsidRPr="00786E09">
              <w:rPr>
                <w:rFonts w:eastAsia="Times New Roman" w:cs="Arial"/>
                <w:spacing w:val="-2"/>
                <w:sz w:val="19"/>
                <w:szCs w:val="19"/>
              </w:rPr>
              <w:t>-</w:t>
            </w:r>
          </w:p>
        </w:tc>
      </w:tr>
      <w:tr w:rsidR="00B57C13" w:rsidRPr="00F6749B" w14:paraId="05D929D2" w14:textId="77777777" w:rsidTr="006B318F">
        <w:tc>
          <w:tcPr>
            <w:tcW w:w="7088" w:type="dxa"/>
          </w:tcPr>
          <w:p w14:paraId="551276CE" w14:textId="77777777" w:rsidR="00B57C13" w:rsidRPr="00F6749B" w:rsidRDefault="00B57C13" w:rsidP="00B57C13">
            <w:pPr>
              <w:keepLines/>
              <w:tabs>
                <w:tab w:val="right" w:pos="1202"/>
              </w:tabs>
              <w:spacing w:after="0" w:line="240" w:lineRule="auto"/>
              <w:outlineLvl w:val="0"/>
              <w:rPr>
                <w:rFonts w:eastAsia="Times New Roman" w:cs="Arial"/>
                <w:spacing w:val="-3"/>
                <w:sz w:val="19"/>
                <w:szCs w:val="19"/>
              </w:rPr>
            </w:pPr>
            <w:r w:rsidRPr="00F6749B">
              <w:rPr>
                <w:rFonts w:cs="Arial"/>
                <w:sz w:val="19"/>
                <w:szCs w:val="19"/>
              </w:rPr>
              <w:t>Increase in borrowings – withdrawn funds</w:t>
            </w:r>
          </w:p>
        </w:tc>
        <w:tc>
          <w:tcPr>
            <w:tcW w:w="1276" w:type="dxa"/>
            <w:tcBorders>
              <w:top w:val="nil"/>
              <w:left w:val="nil"/>
              <w:bottom w:val="nil"/>
              <w:right w:val="nil"/>
            </w:tcBorders>
            <w:shd w:val="clear" w:color="auto" w:fill="auto"/>
            <w:vAlign w:val="bottom"/>
          </w:tcPr>
          <w:p w14:paraId="4064969A" w14:textId="0C33AD83" w:rsidR="00B57C13" w:rsidRPr="00F6749B" w:rsidRDefault="00B57C13" w:rsidP="00B57C13">
            <w:pPr>
              <w:keepLines/>
              <w:tabs>
                <w:tab w:val="right" w:pos="1202"/>
              </w:tabs>
              <w:spacing w:after="0" w:line="240" w:lineRule="auto"/>
              <w:jc w:val="right"/>
              <w:outlineLvl w:val="0"/>
              <w:rPr>
                <w:rFonts w:eastAsia="Times New Roman" w:cs="Arial"/>
                <w:spacing w:val="-2"/>
                <w:sz w:val="19"/>
                <w:szCs w:val="19"/>
              </w:rPr>
            </w:pPr>
            <w:r w:rsidRPr="00CE0613">
              <w:rPr>
                <w:rFonts w:eastAsia="Times New Roman" w:cs="Calibri"/>
                <w:sz w:val="19"/>
                <w:szCs w:val="19"/>
              </w:rPr>
              <w:t xml:space="preserve"> 3</w:t>
            </w:r>
            <w:r>
              <w:rPr>
                <w:rFonts w:eastAsia="Times New Roman" w:cs="Calibri"/>
                <w:sz w:val="19"/>
                <w:szCs w:val="19"/>
              </w:rPr>
              <w:t>,</w:t>
            </w:r>
            <w:r w:rsidRPr="00CE0613">
              <w:rPr>
                <w:rFonts w:eastAsia="Times New Roman" w:cs="Calibri"/>
                <w:sz w:val="19"/>
                <w:szCs w:val="19"/>
              </w:rPr>
              <w:t>255</w:t>
            </w:r>
            <w:r>
              <w:rPr>
                <w:rFonts w:eastAsia="Times New Roman" w:cs="Calibri"/>
                <w:sz w:val="19"/>
                <w:szCs w:val="19"/>
              </w:rPr>
              <w:t>,</w:t>
            </w:r>
            <w:r w:rsidRPr="00CE0613">
              <w:rPr>
                <w:rFonts w:eastAsia="Times New Roman" w:cs="Calibri"/>
                <w:sz w:val="19"/>
                <w:szCs w:val="19"/>
              </w:rPr>
              <w:t xml:space="preserve">181 </w:t>
            </w:r>
          </w:p>
        </w:tc>
        <w:tc>
          <w:tcPr>
            <w:tcW w:w="1275" w:type="dxa"/>
            <w:tcBorders>
              <w:top w:val="nil"/>
              <w:left w:val="nil"/>
              <w:bottom w:val="nil"/>
              <w:right w:val="nil"/>
            </w:tcBorders>
            <w:shd w:val="clear" w:color="auto" w:fill="auto"/>
          </w:tcPr>
          <w:p w14:paraId="6DF25CA5" w14:textId="35942B38" w:rsidR="00B57C13" w:rsidRPr="006B318F" w:rsidRDefault="00B57C13" w:rsidP="006B318F">
            <w:pPr>
              <w:keepLines/>
              <w:spacing w:after="0" w:line="240" w:lineRule="auto"/>
              <w:jc w:val="right"/>
              <w:rPr>
                <w:rFonts w:asciiTheme="minorHAnsi" w:hAnsiTheme="minorHAnsi" w:cs="Calibri"/>
                <w:sz w:val="19"/>
                <w:szCs w:val="19"/>
                <w:lang w:val="pl-PL"/>
              </w:rPr>
            </w:pPr>
            <w:r w:rsidRPr="006B318F">
              <w:rPr>
                <w:rFonts w:asciiTheme="minorHAnsi" w:hAnsiTheme="minorHAnsi" w:cs="Calibri"/>
                <w:sz w:val="19"/>
                <w:szCs w:val="19"/>
                <w:lang w:val="pl-PL"/>
              </w:rPr>
              <w:t>2,383,300</w:t>
            </w:r>
          </w:p>
        </w:tc>
      </w:tr>
      <w:tr w:rsidR="00B57C13" w:rsidRPr="00F6749B" w14:paraId="58E44EBA" w14:textId="77777777" w:rsidTr="006B318F">
        <w:tc>
          <w:tcPr>
            <w:tcW w:w="7088" w:type="dxa"/>
          </w:tcPr>
          <w:p w14:paraId="772604C6" w14:textId="77777777" w:rsidR="00B57C13" w:rsidRPr="00F6749B" w:rsidRDefault="00B57C13" w:rsidP="00B57C13">
            <w:pPr>
              <w:keepLines/>
              <w:tabs>
                <w:tab w:val="right" w:pos="1202"/>
              </w:tabs>
              <w:spacing w:after="0" w:line="240" w:lineRule="auto"/>
              <w:outlineLvl w:val="0"/>
              <w:rPr>
                <w:rFonts w:eastAsia="Times New Roman" w:cs="Arial"/>
                <w:spacing w:val="-3"/>
                <w:sz w:val="19"/>
                <w:szCs w:val="19"/>
              </w:rPr>
            </w:pPr>
            <w:r w:rsidRPr="00F6749B">
              <w:rPr>
                <w:rFonts w:cs="Arial"/>
                <w:sz w:val="19"/>
                <w:szCs w:val="19"/>
              </w:rPr>
              <w:t>(Decrease) in borrowings – repayments of principal</w:t>
            </w:r>
          </w:p>
        </w:tc>
        <w:tc>
          <w:tcPr>
            <w:tcW w:w="1276" w:type="dxa"/>
            <w:tcBorders>
              <w:top w:val="nil"/>
              <w:left w:val="nil"/>
              <w:bottom w:val="nil"/>
              <w:right w:val="nil"/>
            </w:tcBorders>
            <w:shd w:val="clear" w:color="auto" w:fill="auto"/>
            <w:vAlign w:val="bottom"/>
          </w:tcPr>
          <w:p w14:paraId="08921592" w14:textId="104AD8C4" w:rsidR="00B57C13" w:rsidRPr="00F6749B" w:rsidRDefault="00B57C13" w:rsidP="00B57C13">
            <w:pPr>
              <w:keepLines/>
              <w:tabs>
                <w:tab w:val="right" w:pos="1202"/>
              </w:tabs>
              <w:spacing w:after="0" w:line="240" w:lineRule="auto"/>
              <w:jc w:val="right"/>
              <w:outlineLvl w:val="0"/>
              <w:rPr>
                <w:rFonts w:eastAsia="Times New Roman" w:cs="Arial"/>
                <w:spacing w:val="-2"/>
                <w:sz w:val="19"/>
                <w:szCs w:val="19"/>
              </w:rPr>
            </w:pPr>
            <w:r w:rsidRPr="00CE0613">
              <w:rPr>
                <w:rFonts w:eastAsia="Times New Roman" w:cs="Calibri"/>
                <w:sz w:val="19"/>
                <w:szCs w:val="19"/>
              </w:rPr>
              <w:t xml:space="preserve"> (1</w:t>
            </w:r>
            <w:r>
              <w:rPr>
                <w:rFonts w:eastAsia="Times New Roman" w:cs="Calibri"/>
                <w:sz w:val="19"/>
                <w:szCs w:val="19"/>
              </w:rPr>
              <w:t>,</w:t>
            </w:r>
            <w:r w:rsidRPr="00CE0613">
              <w:rPr>
                <w:rFonts w:eastAsia="Times New Roman" w:cs="Calibri"/>
                <w:sz w:val="19"/>
                <w:szCs w:val="19"/>
              </w:rPr>
              <w:t>195</w:t>
            </w:r>
            <w:r>
              <w:rPr>
                <w:rFonts w:eastAsia="Times New Roman" w:cs="Calibri"/>
                <w:sz w:val="19"/>
                <w:szCs w:val="19"/>
              </w:rPr>
              <w:t>,</w:t>
            </w:r>
            <w:r w:rsidRPr="00CE0613">
              <w:rPr>
                <w:rFonts w:eastAsia="Times New Roman" w:cs="Calibri"/>
                <w:sz w:val="19"/>
                <w:szCs w:val="19"/>
              </w:rPr>
              <w:t>372)</w:t>
            </w:r>
          </w:p>
        </w:tc>
        <w:tc>
          <w:tcPr>
            <w:tcW w:w="1275" w:type="dxa"/>
            <w:tcBorders>
              <w:top w:val="nil"/>
              <w:left w:val="nil"/>
              <w:bottom w:val="nil"/>
              <w:right w:val="nil"/>
            </w:tcBorders>
            <w:shd w:val="clear" w:color="auto" w:fill="auto"/>
          </w:tcPr>
          <w:p w14:paraId="67523C68" w14:textId="226A8D61" w:rsidR="00B57C13" w:rsidRPr="006B318F" w:rsidRDefault="00B57C13" w:rsidP="006B318F">
            <w:pPr>
              <w:keepLines/>
              <w:spacing w:after="0" w:line="240" w:lineRule="auto"/>
              <w:jc w:val="right"/>
              <w:rPr>
                <w:rFonts w:asciiTheme="minorHAnsi" w:hAnsiTheme="minorHAnsi" w:cs="Calibri"/>
                <w:sz w:val="19"/>
                <w:szCs w:val="19"/>
                <w:lang w:val="pl-PL"/>
              </w:rPr>
            </w:pPr>
            <w:r w:rsidRPr="006B318F">
              <w:rPr>
                <w:rFonts w:asciiTheme="minorHAnsi" w:hAnsiTheme="minorHAnsi" w:cs="Calibri"/>
                <w:sz w:val="19"/>
                <w:szCs w:val="19"/>
                <w:lang w:val="pl-PL"/>
              </w:rPr>
              <w:t>(699,445)</w:t>
            </w:r>
          </w:p>
        </w:tc>
      </w:tr>
      <w:tr w:rsidR="00B57C13" w:rsidRPr="00F6749B" w14:paraId="4C3C7B9A" w14:textId="77777777" w:rsidTr="006B318F">
        <w:tc>
          <w:tcPr>
            <w:tcW w:w="7088" w:type="dxa"/>
          </w:tcPr>
          <w:p w14:paraId="49AD1375" w14:textId="77777777" w:rsidR="00B57C13" w:rsidRPr="00F6749B" w:rsidRDefault="00B57C13" w:rsidP="00B57C13">
            <w:pPr>
              <w:keepLines/>
              <w:tabs>
                <w:tab w:val="right" w:pos="1202"/>
              </w:tabs>
              <w:spacing w:after="0" w:line="240" w:lineRule="auto"/>
              <w:outlineLvl w:val="0"/>
              <w:rPr>
                <w:rFonts w:cs="Arial"/>
                <w:sz w:val="19"/>
                <w:szCs w:val="19"/>
              </w:rPr>
            </w:pPr>
            <w:r w:rsidRPr="0052522A">
              <w:rPr>
                <w:rFonts w:cs="Arial"/>
                <w:sz w:val="19"/>
                <w:szCs w:val="19"/>
              </w:rPr>
              <w:t>(Decrease) in bonds payable – repayment</w:t>
            </w:r>
          </w:p>
        </w:tc>
        <w:tc>
          <w:tcPr>
            <w:tcW w:w="1276" w:type="dxa"/>
            <w:tcBorders>
              <w:top w:val="nil"/>
              <w:left w:val="nil"/>
              <w:bottom w:val="nil"/>
              <w:right w:val="nil"/>
            </w:tcBorders>
            <w:shd w:val="clear" w:color="auto" w:fill="auto"/>
            <w:vAlign w:val="bottom"/>
          </w:tcPr>
          <w:p w14:paraId="0FD039D6" w14:textId="6CBE823A" w:rsidR="00B57C13" w:rsidRPr="00F6749B" w:rsidRDefault="00B57C13" w:rsidP="00B57C13">
            <w:pPr>
              <w:keepLines/>
              <w:tabs>
                <w:tab w:val="right" w:pos="1202"/>
              </w:tabs>
              <w:spacing w:after="0" w:line="240" w:lineRule="auto"/>
              <w:jc w:val="right"/>
              <w:outlineLvl w:val="0"/>
              <w:rPr>
                <w:rFonts w:eastAsia="Times New Roman" w:cs="Arial"/>
                <w:spacing w:val="-2"/>
                <w:sz w:val="19"/>
                <w:szCs w:val="19"/>
              </w:rPr>
            </w:pPr>
            <w:r w:rsidRPr="00CE0613">
              <w:rPr>
                <w:rFonts w:eastAsia="Times New Roman" w:cs="Calibri"/>
                <w:sz w:val="19"/>
                <w:szCs w:val="19"/>
              </w:rPr>
              <w:t xml:space="preserve"> (1</w:t>
            </w:r>
            <w:r>
              <w:rPr>
                <w:rFonts w:eastAsia="Times New Roman" w:cs="Calibri"/>
                <w:sz w:val="19"/>
                <w:szCs w:val="19"/>
              </w:rPr>
              <w:t>,</w:t>
            </w:r>
            <w:r w:rsidRPr="00CE0613">
              <w:rPr>
                <w:rFonts w:eastAsia="Times New Roman" w:cs="Calibri"/>
                <w:sz w:val="19"/>
                <w:szCs w:val="19"/>
              </w:rPr>
              <w:t>852</w:t>
            </w:r>
            <w:r>
              <w:rPr>
                <w:rFonts w:eastAsia="Times New Roman" w:cs="Calibri"/>
                <w:sz w:val="19"/>
                <w:szCs w:val="19"/>
              </w:rPr>
              <w:t>,</w:t>
            </w:r>
            <w:r w:rsidRPr="00CE0613">
              <w:rPr>
                <w:rFonts w:eastAsia="Times New Roman" w:cs="Calibri"/>
                <w:sz w:val="19"/>
                <w:szCs w:val="19"/>
              </w:rPr>
              <w:t>051)</w:t>
            </w:r>
          </w:p>
        </w:tc>
        <w:tc>
          <w:tcPr>
            <w:tcW w:w="1275" w:type="dxa"/>
            <w:tcBorders>
              <w:top w:val="nil"/>
              <w:left w:val="nil"/>
              <w:bottom w:val="nil"/>
              <w:right w:val="nil"/>
            </w:tcBorders>
            <w:shd w:val="clear" w:color="auto" w:fill="auto"/>
          </w:tcPr>
          <w:p w14:paraId="42478169" w14:textId="6396C98E" w:rsidR="00B57C13" w:rsidRPr="006B318F" w:rsidRDefault="00B57C13" w:rsidP="006B318F">
            <w:pPr>
              <w:keepLines/>
              <w:spacing w:after="0" w:line="240" w:lineRule="auto"/>
              <w:jc w:val="right"/>
              <w:rPr>
                <w:rFonts w:asciiTheme="minorHAnsi" w:hAnsiTheme="minorHAnsi" w:cs="Calibri"/>
                <w:sz w:val="19"/>
                <w:szCs w:val="19"/>
                <w:lang w:val="pl-PL"/>
              </w:rPr>
            </w:pPr>
            <w:r w:rsidRPr="006B318F">
              <w:rPr>
                <w:rFonts w:asciiTheme="minorHAnsi" w:hAnsiTheme="minorHAnsi" w:cs="Calibri"/>
                <w:sz w:val="19"/>
                <w:szCs w:val="19"/>
                <w:lang w:val="pl-PL"/>
              </w:rPr>
              <w:t>(224,487)</w:t>
            </w:r>
          </w:p>
        </w:tc>
      </w:tr>
      <w:tr w:rsidR="00B57C13" w:rsidRPr="00F6749B" w14:paraId="27B251DE" w14:textId="77777777" w:rsidTr="006B318F">
        <w:trPr>
          <w:trHeight w:hRule="exact" w:val="113"/>
        </w:trPr>
        <w:tc>
          <w:tcPr>
            <w:tcW w:w="7088" w:type="dxa"/>
            <w:tcBorders>
              <w:bottom w:val="single" w:sz="4" w:space="0" w:color="auto"/>
            </w:tcBorders>
          </w:tcPr>
          <w:p w14:paraId="475E9059" w14:textId="77777777" w:rsidR="00B57C13" w:rsidRPr="00F6749B" w:rsidRDefault="00B57C13" w:rsidP="00B57C13">
            <w:pPr>
              <w:keepLines/>
              <w:spacing w:after="0" w:line="240" w:lineRule="auto"/>
              <w:ind w:right="731"/>
              <w:jc w:val="right"/>
              <w:rPr>
                <w:rFonts w:eastAsia="Times New Roman" w:cs="Arial"/>
                <w:b/>
                <w:position w:val="4"/>
                <w:sz w:val="19"/>
                <w:szCs w:val="19"/>
              </w:rPr>
            </w:pPr>
          </w:p>
        </w:tc>
        <w:tc>
          <w:tcPr>
            <w:tcW w:w="1276" w:type="dxa"/>
            <w:tcBorders>
              <w:bottom w:val="single" w:sz="2" w:space="0" w:color="auto"/>
            </w:tcBorders>
            <w:shd w:val="clear" w:color="auto" w:fill="FFFFFF"/>
          </w:tcPr>
          <w:p w14:paraId="11D4722A" w14:textId="77777777" w:rsidR="00B57C13" w:rsidRPr="00F6749B" w:rsidRDefault="00B57C13" w:rsidP="00B57C13">
            <w:pPr>
              <w:keepLines/>
              <w:spacing w:after="0" w:line="240" w:lineRule="auto"/>
              <w:jc w:val="right"/>
              <w:rPr>
                <w:rFonts w:eastAsia="Times New Roman" w:cs="Arial"/>
                <w:spacing w:val="-2"/>
                <w:position w:val="4"/>
                <w:sz w:val="19"/>
                <w:szCs w:val="19"/>
              </w:rPr>
            </w:pPr>
          </w:p>
        </w:tc>
        <w:tc>
          <w:tcPr>
            <w:tcW w:w="1275" w:type="dxa"/>
            <w:tcBorders>
              <w:bottom w:val="single" w:sz="2" w:space="0" w:color="auto"/>
            </w:tcBorders>
            <w:vAlign w:val="bottom"/>
          </w:tcPr>
          <w:p w14:paraId="1E2C61D8" w14:textId="77777777" w:rsidR="00B57C13" w:rsidRPr="001E7720" w:rsidRDefault="00B57C13" w:rsidP="00B57C13">
            <w:pPr>
              <w:keepLines/>
              <w:spacing w:after="0" w:line="240" w:lineRule="auto"/>
              <w:jc w:val="right"/>
              <w:rPr>
                <w:rFonts w:eastAsia="Times New Roman" w:cs="Arial"/>
                <w:spacing w:val="-2"/>
                <w:position w:val="4"/>
                <w:sz w:val="19"/>
                <w:szCs w:val="19"/>
              </w:rPr>
            </w:pPr>
          </w:p>
        </w:tc>
      </w:tr>
      <w:tr w:rsidR="00B57C13" w:rsidRPr="00F6749B" w14:paraId="506AEFA9" w14:textId="77777777" w:rsidTr="006B318F">
        <w:tc>
          <w:tcPr>
            <w:tcW w:w="7088" w:type="dxa"/>
            <w:tcBorders>
              <w:top w:val="single" w:sz="4" w:space="0" w:color="auto"/>
              <w:bottom w:val="single" w:sz="12" w:space="0" w:color="auto"/>
            </w:tcBorders>
          </w:tcPr>
          <w:p w14:paraId="7EFB868A" w14:textId="1944EA14" w:rsidR="00B57C13" w:rsidRPr="00F6749B" w:rsidRDefault="00B57C13" w:rsidP="00B57C13">
            <w:pPr>
              <w:keepLines/>
              <w:tabs>
                <w:tab w:val="right" w:pos="1202"/>
              </w:tabs>
              <w:spacing w:after="0" w:line="240" w:lineRule="auto"/>
              <w:outlineLvl w:val="0"/>
              <w:rPr>
                <w:rFonts w:eastAsia="Times New Roman" w:cs="Arial"/>
                <w:b/>
                <w:bCs/>
                <w:spacing w:val="-3"/>
                <w:sz w:val="19"/>
                <w:szCs w:val="19"/>
              </w:rPr>
            </w:pPr>
            <w:r w:rsidRPr="00F6749B">
              <w:rPr>
                <w:rFonts w:cs="Arial"/>
                <w:b/>
                <w:bCs/>
                <w:sz w:val="19"/>
                <w:szCs w:val="19"/>
              </w:rPr>
              <w:t>Net cash provided by financing activities</w:t>
            </w:r>
          </w:p>
        </w:tc>
        <w:tc>
          <w:tcPr>
            <w:tcW w:w="1276" w:type="dxa"/>
            <w:tcBorders>
              <w:top w:val="single" w:sz="2" w:space="0" w:color="auto"/>
              <w:bottom w:val="single" w:sz="12" w:space="0" w:color="auto"/>
            </w:tcBorders>
            <w:shd w:val="clear" w:color="auto" w:fill="FFFFFF" w:themeFill="background1"/>
          </w:tcPr>
          <w:p w14:paraId="1265549F" w14:textId="2ABF2860" w:rsidR="00B57C13" w:rsidRPr="00F6749B" w:rsidRDefault="00B57C13" w:rsidP="00B57C13">
            <w:pPr>
              <w:spacing w:after="0" w:line="240" w:lineRule="auto"/>
              <w:jc w:val="right"/>
              <w:rPr>
                <w:rFonts w:eastAsia="Times New Roman" w:cs="Arial"/>
                <w:b/>
                <w:bCs/>
                <w:sz w:val="19"/>
                <w:szCs w:val="19"/>
              </w:rPr>
            </w:pPr>
            <w:r w:rsidRPr="00C42F88">
              <w:rPr>
                <w:rFonts w:eastAsia="Times New Roman" w:cs="Arial"/>
                <w:b/>
                <w:bCs/>
                <w:sz w:val="19"/>
                <w:szCs w:val="19"/>
              </w:rPr>
              <w:t>232</w:t>
            </w:r>
            <w:r>
              <w:rPr>
                <w:rFonts w:eastAsia="Times New Roman" w:cs="Arial"/>
                <w:b/>
                <w:bCs/>
                <w:sz w:val="19"/>
                <w:szCs w:val="19"/>
              </w:rPr>
              <w:t>,</w:t>
            </w:r>
            <w:r w:rsidRPr="00C42F88">
              <w:rPr>
                <w:rFonts w:eastAsia="Times New Roman" w:cs="Arial"/>
                <w:b/>
                <w:bCs/>
                <w:sz w:val="19"/>
                <w:szCs w:val="19"/>
              </w:rPr>
              <w:t xml:space="preserve">758 </w:t>
            </w:r>
          </w:p>
        </w:tc>
        <w:tc>
          <w:tcPr>
            <w:tcW w:w="1275" w:type="dxa"/>
            <w:tcBorders>
              <w:top w:val="single" w:sz="2" w:space="0" w:color="auto"/>
              <w:bottom w:val="single" w:sz="12" w:space="0" w:color="auto"/>
            </w:tcBorders>
            <w:vAlign w:val="bottom"/>
          </w:tcPr>
          <w:p w14:paraId="546C0E3C" w14:textId="1F854901" w:rsidR="00B57C13" w:rsidRPr="001E7720" w:rsidRDefault="00B57C13" w:rsidP="00B57C13">
            <w:pPr>
              <w:spacing w:after="0" w:line="240" w:lineRule="auto"/>
              <w:jc w:val="right"/>
              <w:rPr>
                <w:rFonts w:eastAsia="Times New Roman" w:cs="Arial"/>
                <w:b/>
                <w:bCs/>
                <w:sz w:val="19"/>
                <w:szCs w:val="19"/>
              </w:rPr>
            </w:pPr>
            <w:r w:rsidRPr="00786E09">
              <w:rPr>
                <w:rFonts w:eastAsia="Times New Roman" w:cs="Arial"/>
                <w:b/>
                <w:bCs/>
                <w:sz w:val="19"/>
                <w:szCs w:val="19"/>
              </w:rPr>
              <w:t>1,459,368</w:t>
            </w:r>
          </w:p>
        </w:tc>
      </w:tr>
      <w:tr w:rsidR="003E0084" w:rsidRPr="00F6749B" w14:paraId="4E139CBC" w14:textId="77777777" w:rsidTr="005444AA">
        <w:trPr>
          <w:trHeight w:hRule="exact" w:val="113"/>
        </w:trPr>
        <w:tc>
          <w:tcPr>
            <w:tcW w:w="7088" w:type="dxa"/>
            <w:tcBorders>
              <w:top w:val="single" w:sz="12" w:space="0" w:color="auto"/>
            </w:tcBorders>
          </w:tcPr>
          <w:p w14:paraId="3178F465" w14:textId="77777777" w:rsidR="003E0084" w:rsidRPr="00F6749B" w:rsidRDefault="003E0084" w:rsidP="003E0084">
            <w:pPr>
              <w:keepLines/>
              <w:tabs>
                <w:tab w:val="right" w:pos="1202"/>
              </w:tabs>
              <w:spacing w:after="0" w:line="240" w:lineRule="auto"/>
              <w:outlineLvl w:val="0"/>
              <w:rPr>
                <w:rFonts w:eastAsia="Times New Roman" w:cs="Arial"/>
                <w:b/>
                <w:bCs/>
                <w:sz w:val="19"/>
                <w:szCs w:val="19"/>
              </w:rPr>
            </w:pPr>
          </w:p>
        </w:tc>
        <w:tc>
          <w:tcPr>
            <w:tcW w:w="1276" w:type="dxa"/>
            <w:tcBorders>
              <w:top w:val="single" w:sz="12" w:space="0" w:color="auto"/>
            </w:tcBorders>
            <w:vAlign w:val="bottom"/>
          </w:tcPr>
          <w:p w14:paraId="0844A3E8" w14:textId="77777777" w:rsidR="003E0084" w:rsidRPr="00F6749B" w:rsidRDefault="003E0084" w:rsidP="003E0084">
            <w:pPr>
              <w:keepLines/>
              <w:spacing w:after="0" w:line="240" w:lineRule="auto"/>
              <w:jc w:val="right"/>
              <w:rPr>
                <w:rFonts w:eastAsia="Times New Roman" w:cs="Arial"/>
                <w:position w:val="4"/>
                <w:sz w:val="19"/>
                <w:szCs w:val="19"/>
                <w:u w:val="thick"/>
              </w:rPr>
            </w:pPr>
          </w:p>
        </w:tc>
        <w:tc>
          <w:tcPr>
            <w:tcW w:w="1275" w:type="dxa"/>
            <w:tcBorders>
              <w:top w:val="single" w:sz="12" w:space="0" w:color="auto"/>
            </w:tcBorders>
            <w:vAlign w:val="bottom"/>
          </w:tcPr>
          <w:p w14:paraId="4C50AD42" w14:textId="77777777" w:rsidR="003E0084" w:rsidRPr="00F6749B" w:rsidRDefault="003E0084" w:rsidP="003E0084">
            <w:pPr>
              <w:keepLines/>
              <w:spacing w:after="0" w:line="240" w:lineRule="auto"/>
              <w:jc w:val="right"/>
              <w:rPr>
                <w:rFonts w:eastAsia="Times New Roman" w:cs="Arial"/>
                <w:position w:val="4"/>
                <w:sz w:val="19"/>
                <w:szCs w:val="19"/>
                <w:u w:val="thick"/>
              </w:rPr>
            </w:pPr>
          </w:p>
        </w:tc>
      </w:tr>
      <w:tr w:rsidR="003E0084" w:rsidRPr="00F6749B" w14:paraId="2642FC7B" w14:textId="77777777" w:rsidTr="005444AA">
        <w:tc>
          <w:tcPr>
            <w:tcW w:w="7088" w:type="dxa"/>
          </w:tcPr>
          <w:p w14:paraId="6170B761" w14:textId="77777777" w:rsidR="003E0084" w:rsidRPr="00F6749B" w:rsidRDefault="003E0084" w:rsidP="003E0084">
            <w:pPr>
              <w:keepLines/>
              <w:tabs>
                <w:tab w:val="right" w:pos="1202"/>
              </w:tabs>
              <w:spacing w:after="0" w:line="240" w:lineRule="auto"/>
              <w:outlineLvl w:val="0"/>
              <w:rPr>
                <w:rFonts w:eastAsia="Times New Roman" w:cs="Arial"/>
                <w:b/>
                <w:bCs/>
                <w:sz w:val="19"/>
                <w:szCs w:val="19"/>
              </w:rPr>
            </w:pPr>
            <w:r w:rsidRPr="00F6749B">
              <w:rPr>
                <w:rFonts w:cs="Arial"/>
                <w:b/>
                <w:bCs/>
                <w:sz w:val="19"/>
                <w:szCs w:val="19"/>
              </w:rPr>
              <w:t>Effect of foreign currency to cash and cash equivalents</w:t>
            </w:r>
          </w:p>
        </w:tc>
        <w:tc>
          <w:tcPr>
            <w:tcW w:w="1276" w:type="dxa"/>
            <w:vAlign w:val="bottom"/>
          </w:tcPr>
          <w:p w14:paraId="3C37F156" w14:textId="77777777" w:rsidR="003E0084" w:rsidRPr="00F6749B" w:rsidRDefault="003E0084" w:rsidP="003E0084">
            <w:pPr>
              <w:spacing w:after="0" w:line="240" w:lineRule="auto"/>
              <w:jc w:val="right"/>
              <w:rPr>
                <w:rFonts w:eastAsia="Times New Roman" w:cs="Arial"/>
                <w:b/>
                <w:bCs/>
                <w:sz w:val="19"/>
                <w:szCs w:val="19"/>
              </w:rPr>
            </w:pPr>
          </w:p>
        </w:tc>
        <w:tc>
          <w:tcPr>
            <w:tcW w:w="1275" w:type="dxa"/>
            <w:vAlign w:val="bottom"/>
          </w:tcPr>
          <w:p w14:paraId="493235B3" w14:textId="77777777" w:rsidR="003E0084" w:rsidRPr="00F6749B" w:rsidRDefault="003E0084" w:rsidP="003E0084">
            <w:pPr>
              <w:spacing w:after="0" w:line="240" w:lineRule="auto"/>
              <w:jc w:val="right"/>
              <w:rPr>
                <w:rFonts w:eastAsia="Times New Roman" w:cs="Arial"/>
                <w:b/>
                <w:bCs/>
                <w:sz w:val="19"/>
                <w:szCs w:val="19"/>
              </w:rPr>
            </w:pPr>
          </w:p>
        </w:tc>
      </w:tr>
      <w:tr w:rsidR="003E0084" w:rsidRPr="00F6749B" w14:paraId="51F0DFE5" w14:textId="77777777" w:rsidTr="005444AA">
        <w:tc>
          <w:tcPr>
            <w:tcW w:w="7088" w:type="dxa"/>
          </w:tcPr>
          <w:p w14:paraId="72DCB619" w14:textId="77777777" w:rsidR="003E0084" w:rsidRPr="00F6749B" w:rsidRDefault="003E0084" w:rsidP="003E0084">
            <w:pPr>
              <w:keepLines/>
              <w:tabs>
                <w:tab w:val="right" w:pos="1202"/>
              </w:tabs>
              <w:spacing w:after="0" w:line="240" w:lineRule="auto"/>
              <w:outlineLvl w:val="0"/>
              <w:rPr>
                <w:rFonts w:eastAsia="Times New Roman" w:cs="Arial"/>
                <w:bCs/>
                <w:sz w:val="19"/>
                <w:szCs w:val="19"/>
              </w:rPr>
            </w:pPr>
            <w:r w:rsidRPr="00F6749B">
              <w:rPr>
                <w:rFonts w:cs="Arial"/>
                <w:sz w:val="19"/>
                <w:szCs w:val="19"/>
              </w:rPr>
              <w:t>Net foreign exchange</w:t>
            </w:r>
          </w:p>
        </w:tc>
        <w:tc>
          <w:tcPr>
            <w:tcW w:w="1276" w:type="dxa"/>
            <w:vAlign w:val="bottom"/>
          </w:tcPr>
          <w:p w14:paraId="1842DEDC" w14:textId="574E7F46" w:rsidR="003E0084" w:rsidRPr="00F6749B" w:rsidRDefault="00A01752" w:rsidP="003E0084">
            <w:pPr>
              <w:spacing w:after="0" w:line="240" w:lineRule="auto"/>
              <w:jc w:val="right"/>
              <w:rPr>
                <w:rFonts w:eastAsia="Times New Roman" w:cs="Arial"/>
                <w:bCs/>
                <w:sz w:val="19"/>
                <w:szCs w:val="19"/>
              </w:rPr>
            </w:pPr>
            <w:r w:rsidRPr="00A01752">
              <w:rPr>
                <w:rFonts w:eastAsia="Times New Roman" w:cs="Arial"/>
                <w:bCs/>
                <w:sz w:val="19"/>
                <w:szCs w:val="19"/>
              </w:rPr>
              <w:t>(161,404</w:t>
            </w:r>
            <w:r w:rsidR="005D7864">
              <w:rPr>
                <w:rFonts w:eastAsia="Times New Roman" w:cs="Arial"/>
                <w:bCs/>
                <w:sz w:val="19"/>
                <w:szCs w:val="19"/>
              </w:rPr>
              <w:t>)</w:t>
            </w:r>
            <w:r w:rsidRPr="00A01752" w:rsidDel="005414B8">
              <w:rPr>
                <w:rFonts w:eastAsia="Times New Roman" w:cs="Arial"/>
                <w:bCs/>
                <w:sz w:val="19"/>
                <w:szCs w:val="19"/>
              </w:rPr>
              <w:t xml:space="preserve"> </w:t>
            </w:r>
          </w:p>
        </w:tc>
        <w:tc>
          <w:tcPr>
            <w:tcW w:w="1275" w:type="dxa"/>
            <w:vAlign w:val="bottom"/>
          </w:tcPr>
          <w:p w14:paraId="586C6879" w14:textId="2B1B680D" w:rsidR="003E0084" w:rsidRPr="00F6749B" w:rsidRDefault="00786E09" w:rsidP="003E0084">
            <w:pPr>
              <w:spacing w:after="0" w:line="240" w:lineRule="auto"/>
              <w:jc w:val="right"/>
              <w:rPr>
                <w:rFonts w:eastAsia="Times New Roman" w:cs="Arial"/>
                <w:bCs/>
                <w:sz w:val="19"/>
                <w:szCs w:val="19"/>
              </w:rPr>
            </w:pPr>
            <w:r w:rsidRPr="00786E09">
              <w:rPr>
                <w:rFonts w:eastAsia="Times New Roman" w:cs="Arial"/>
                <w:bCs/>
                <w:sz w:val="19"/>
                <w:szCs w:val="19"/>
              </w:rPr>
              <w:t>(211,901)</w:t>
            </w:r>
            <w:r w:rsidRPr="00786E09" w:rsidDel="005414B8">
              <w:rPr>
                <w:rFonts w:eastAsia="Times New Roman" w:cs="Arial"/>
                <w:bCs/>
                <w:sz w:val="19"/>
                <w:szCs w:val="19"/>
              </w:rPr>
              <w:t xml:space="preserve"> </w:t>
            </w:r>
          </w:p>
        </w:tc>
      </w:tr>
      <w:tr w:rsidR="003E0084" w:rsidRPr="00F6749B" w14:paraId="19C6B79F" w14:textId="77777777" w:rsidTr="005444AA">
        <w:trPr>
          <w:trHeight w:hRule="exact" w:val="113"/>
        </w:trPr>
        <w:tc>
          <w:tcPr>
            <w:tcW w:w="7088" w:type="dxa"/>
            <w:tcBorders>
              <w:bottom w:val="single" w:sz="4" w:space="0" w:color="auto"/>
            </w:tcBorders>
            <w:vAlign w:val="bottom"/>
          </w:tcPr>
          <w:p w14:paraId="20CA2A49" w14:textId="77777777" w:rsidR="003E0084" w:rsidRPr="00F6749B" w:rsidRDefault="003E0084" w:rsidP="003E0084">
            <w:pPr>
              <w:keepLines/>
              <w:tabs>
                <w:tab w:val="right" w:pos="1202"/>
              </w:tabs>
              <w:spacing w:after="0" w:line="240" w:lineRule="auto"/>
              <w:outlineLvl w:val="0"/>
              <w:rPr>
                <w:rFonts w:cs="Arial"/>
                <w:b/>
                <w:bCs/>
                <w:sz w:val="19"/>
                <w:szCs w:val="19"/>
              </w:rPr>
            </w:pPr>
          </w:p>
        </w:tc>
        <w:tc>
          <w:tcPr>
            <w:tcW w:w="1276" w:type="dxa"/>
            <w:tcBorders>
              <w:bottom w:val="single" w:sz="4" w:space="0" w:color="auto"/>
              <w:right w:val="nil"/>
            </w:tcBorders>
            <w:vAlign w:val="bottom"/>
          </w:tcPr>
          <w:p w14:paraId="06C5010C" w14:textId="77777777" w:rsidR="003E0084" w:rsidRPr="00F6749B" w:rsidRDefault="003E0084" w:rsidP="003E0084">
            <w:pPr>
              <w:keepLines/>
              <w:tabs>
                <w:tab w:val="right" w:pos="1202"/>
              </w:tabs>
              <w:spacing w:after="0" w:line="240" w:lineRule="auto"/>
              <w:jc w:val="right"/>
              <w:outlineLvl w:val="0"/>
              <w:rPr>
                <w:rFonts w:eastAsia="Times New Roman" w:cs="Arial"/>
                <w:b/>
                <w:spacing w:val="-3"/>
                <w:sz w:val="19"/>
                <w:szCs w:val="19"/>
              </w:rPr>
            </w:pPr>
          </w:p>
        </w:tc>
        <w:tc>
          <w:tcPr>
            <w:tcW w:w="1275" w:type="dxa"/>
            <w:tcBorders>
              <w:bottom w:val="single" w:sz="4" w:space="0" w:color="auto"/>
              <w:right w:val="nil"/>
            </w:tcBorders>
            <w:vAlign w:val="bottom"/>
          </w:tcPr>
          <w:p w14:paraId="4EC5EA9F" w14:textId="77777777" w:rsidR="003E0084" w:rsidRPr="00F6749B" w:rsidRDefault="003E0084" w:rsidP="003E0084">
            <w:pPr>
              <w:keepLines/>
              <w:tabs>
                <w:tab w:val="right" w:pos="1202"/>
              </w:tabs>
              <w:spacing w:after="0" w:line="240" w:lineRule="auto"/>
              <w:jc w:val="right"/>
              <w:outlineLvl w:val="0"/>
              <w:rPr>
                <w:rFonts w:eastAsia="Times New Roman" w:cs="Arial"/>
                <w:b/>
                <w:spacing w:val="-3"/>
                <w:sz w:val="19"/>
                <w:szCs w:val="19"/>
              </w:rPr>
            </w:pPr>
          </w:p>
        </w:tc>
      </w:tr>
      <w:tr w:rsidR="005A338B" w:rsidRPr="00F6749B" w14:paraId="11AAA5E9" w14:textId="77777777" w:rsidTr="006B318F">
        <w:tc>
          <w:tcPr>
            <w:tcW w:w="7088" w:type="dxa"/>
            <w:tcBorders>
              <w:top w:val="single" w:sz="4" w:space="0" w:color="auto"/>
              <w:bottom w:val="single" w:sz="12" w:space="0" w:color="auto"/>
            </w:tcBorders>
            <w:vAlign w:val="bottom"/>
          </w:tcPr>
          <w:p w14:paraId="777F0AC7" w14:textId="77777777" w:rsidR="005A338B" w:rsidRPr="00F6749B" w:rsidRDefault="005A338B" w:rsidP="005A338B">
            <w:pPr>
              <w:keepLines/>
              <w:tabs>
                <w:tab w:val="right" w:pos="1202"/>
              </w:tabs>
              <w:spacing w:after="0" w:line="240" w:lineRule="auto"/>
              <w:outlineLvl w:val="0"/>
              <w:rPr>
                <w:rFonts w:eastAsia="Times New Roman" w:cs="Arial"/>
                <w:b/>
                <w:spacing w:val="-3"/>
                <w:sz w:val="19"/>
                <w:szCs w:val="19"/>
              </w:rPr>
            </w:pPr>
            <w:r w:rsidRPr="00F6749B">
              <w:rPr>
                <w:rFonts w:cs="Arial"/>
                <w:b/>
                <w:bCs/>
                <w:sz w:val="19"/>
                <w:szCs w:val="19"/>
              </w:rPr>
              <w:t>Net effect</w:t>
            </w:r>
          </w:p>
        </w:tc>
        <w:tc>
          <w:tcPr>
            <w:tcW w:w="1276" w:type="dxa"/>
            <w:tcBorders>
              <w:top w:val="single" w:sz="2" w:space="0" w:color="auto"/>
              <w:bottom w:val="single" w:sz="12" w:space="0" w:color="auto"/>
              <w:right w:val="nil"/>
            </w:tcBorders>
            <w:shd w:val="clear" w:color="auto" w:fill="auto"/>
            <w:vAlign w:val="bottom"/>
          </w:tcPr>
          <w:p w14:paraId="5FCD6116" w14:textId="557388DF" w:rsidR="005A338B" w:rsidRPr="00F6749B" w:rsidRDefault="00A01752" w:rsidP="005A338B">
            <w:pPr>
              <w:keepLines/>
              <w:tabs>
                <w:tab w:val="right" w:pos="1202"/>
              </w:tabs>
              <w:spacing w:after="0" w:line="240" w:lineRule="auto"/>
              <w:jc w:val="right"/>
              <w:outlineLvl w:val="0"/>
              <w:rPr>
                <w:rFonts w:eastAsia="Times New Roman" w:cs="Arial"/>
                <w:b/>
                <w:spacing w:val="-3"/>
                <w:sz w:val="19"/>
                <w:szCs w:val="19"/>
              </w:rPr>
            </w:pPr>
            <w:r w:rsidRPr="00A01752">
              <w:rPr>
                <w:rFonts w:eastAsia="Times New Roman" w:cs="Arial"/>
                <w:b/>
                <w:spacing w:val="-3"/>
                <w:sz w:val="19"/>
                <w:szCs w:val="19"/>
              </w:rPr>
              <w:t>(161,404</w:t>
            </w:r>
            <w:r w:rsidR="005D7864">
              <w:rPr>
                <w:rFonts w:eastAsia="Times New Roman" w:cs="Arial"/>
                <w:b/>
                <w:spacing w:val="-3"/>
                <w:sz w:val="19"/>
                <w:szCs w:val="19"/>
              </w:rPr>
              <w:t>)</w:t>
            </w:r>
            <w:r w:rsidRPr="00A01752" w:rsidDel="005414B8">
              <w:rPr>
                <w:rFonts w:eastAsia="Times New Roman" w:cs="Arial"/>
                <w:b/>
                <w:spacing w:val="-3"/>
                <w:sz w:val="19"/>
                <w:szCs w:val="19"/>
              </w:rPr>
              <w:t xml:space="preserve"> </w:t>
            </w:r>
          </w:p>
        </w:tc>
        <w:tc>
          <w:tcPr>
            <w:tcW w:w="1275" w:type="dxa"/>
            <w:tcBorders>
              <w:top w:val="single" w:sz="4" w:space="0" w:color="auto"/>
              <w:bottom w:val="single" w:sz="12" w:space="0" w:color="auto"/>
              <w:right w:val="nil"/>
            </w:tcBorders>
            <w:vAlign w:val="bottom"/>
          </w:tcPr>
          <w:p w14:paraId="65127F4D" w14:textId="4C56BE29" w:rsidR="005A338B" w:rsidRPr="00F6749B" w:rsidRDefault="00786E09" w:rsidP="005A338B">
            <w:pPr>
              <w:keepLines/>
              <w:tabs>
                <w:tab w:val="right" w:pos="1202"/>
              </w:tabs>
              <w:spacing w:after="0" w:line="240" w:lineRule="auto"/>
              <w:jc w:val="right"/>
              <w:outlineLvl w:val="0"/>
              <w:rPr>
                <w:rFonts w:eastAsia="Times New Roman" w:cs="Arial"/>
                <w:b/>
                <w:spacing w:val="-3"/>
                <w:sz w:val="19"/>
                <w:szCs w:val="19"/>
              </w:rPr>
            </w:pPr>
            <w:r w:rsidRPr="00786E09">
              <w:rPr>
                <w:rFonts w:eastAsia="Times New Roman" w:cs="Arial"/>
                <w:b/>
                <w:spacing w:val="-3"/>
                <w:sz w:val="19"/>
                <w:szCs w:val="19"/>
              </w:rPr>
              <w:t>(211,901)</w:t>
            </w:r>
            <w:r w:rsidRPr="00786E09" w:rsidDel="005414B8">
              <w:rPr>
                <w:rFonts w:eastAsia="Times New Roman" w:cs="Arial"/>
                <w:b/>
                <w:spacing w:val="-3"/>
                <w:sz w:val="19"/>
                <w:szCs w:val="19"/>
              </w:rPr>
              <w:t xml:space="preserve"> </w:t>
            </w:r>
          </w:p>
        </w:tc>
      </w:tr>
      <w:tr w:rsidR="005A338B" w:rsidRPr="00F6749B" w14:paraId="298730A5" w14:textId="77777777" w:rsidTr="005444AA">
        <w:trPr>
          <w:trHeight w:hRule="exact" w:val="113"/>
        </w:trPr>
        <w:tc>
          <w:tcPr>
            <w:tcW w:w="7088" w:type="dxa"/>
            <w:tcBorders>
              <w:top w:val="single" w:sz="12" w:space="0" w:color="auto"/>
            </w:tcBorders>
            <w:vAlign w:val="bottom"/>
          </w:tcPr>
          <w:p w14:paraId="5AAB9590" w14:textId="77777777" w:rsidR="005A338B" w:rsidRPr="00F6749B" w:rsidRDefault="005A338B" w:rsidP="005A338B">
            <w:pPr>
              <w:keepLines/>
              <w:tabs>
                <w:tab w:val="decimal" w:pos="1202"/>
              </w:tabs>
              <w:spacing w:after="0" w:line="240" w:lineRule="exact"/>
              <w:rPr>
                <w:rFonts w:eastAsia="Times New Roman" w:cs="Arial"/>
                <w:position w:val="4"/>
                <w:sz w:val="19"/>
                <w:szCs w:val="19"/>
              </w:rPr>
            </w:pPr>
          </w:p>
        </w:tc>
        <w:tc>
          <w:tcPr>
            <w:tcW w:w="1276" w:type="dxa"/>
            <w:tcBorders>
              <w:top w:val="single" w:sz="12" w:space="0" w:color="auto"/>
              <w:right w:val="nil"/>
            </w:tcBorders>
            <w:vAlign w:val="bottom"/>
          </w:tcPr>
          <w:p w14:paraId="03959ED1" w14:textId="77777777" w:rsidR="005A338B" w:rsidRPr="00F6749B" w:rsidRDefault="005A338B" w:rsidP="005A338B">
            <w:pPr>
              <w:keepLines/>
              <w:spacing w:after="0" w:line="240" w:lineRule="exact"/>
              <w:jc w:val="right"/>
              <w:rPr>
                <w:rFonts w:eastAsia="Times New Roman" w:cs="Arial"/>
                <w:position w:val="4"/>
                <w:sz w:val="19"/>
                <w:szCs w:val="19"/>
                <w:u w:val="thick"/>
              </w:rPr>
            </w:pPr>
          </w:p>
        </w:tc>
        <w:tc>
          <w:tcPr>
            <w:tcW w:w="1275" w:type="dxa"/>
            <w:tcBorders>
              <w:top w:val="single" w:sz="12" w:space="0" w:color="auto"/>
              <w:right w:val="nil"/>
            </w:tcBorders>
            <w:vAlign w:val="bottom"/>
          </w:tcPr>
          <w:p w14:paraId="1DFA61D0" w14:textId="77777777" w:rsidR="005A338B" w:rsidRPr="00F6749B" w:rsidRDefault="005A338B" w:rsidP="005A338B">
            <w:pPr>
              <w:keepLines/>
              <w:spacing w:after="0" w:line="240" w:lineRule="exact"/>
              <w:jc w:val="right"/>
              <w:rPr>
                <w:rFonts w:eastAsia="Times New Roman" w:cs="Arial"/>
                <w:position w:val="4"/>
                <w:sz w:val="19"/>
                <w:szCs w:val="19"/>
                <w:u w:val="thick"/>
              </w:rPr>
            </w:pPr>
          </w:p>
        </w:tc>
      </w:tr>
      <w:tr w:rsidR="00A01752" w:rsidRPr="00F6749B" w14:paraId="78F19355" w14:textId="77777777" w:rsidTr="006B318F">
        <w:trPr>
          <w:trHeight w:val="122"/>
        </w:trPr>
        <w:tc>
          <w:tcPr>
            <w:tcW w:w="7088" w:type="dxa"/>
            <w:vAlign w:val="center"/>
          </w:tcPr>
          <w:p w14:paraId="4261F9BD" w14:textId="36C9FAFE" w:rsidR="00A01752" w:rsidRPr="00F6749B" w:rsidRDefault="00A01752" w:rsidP="008D6EFE">
            <w:pPr>
              <w:keepLines/>
              <w:tabs>
                <w:tab w:val="right" w:pos="1202"/>
              </w:tabs>
              <w:spacing w:after="0" w:line="240" w:lineRule="auto"/>
              <w:outlineLvl w:val="0"/>
              <w:rPr>
                <w:rFonts w:eastAsia="Times New Roman" w:cs="Arial"/>
                <w:sz w:val="19"/>
                <w:szCs w:val="19"/>
              </w:rPr>
            </w:pPr>
            <w:r w:rsidRPr="00F6749B">
              <w:rPr>
                <w:rFonts w:cs="Arial"/>
                <w:sz w:val="19"/>
                <w:szCs w:val="19"/>
              </w:rPr>
              <w:t>Net increase in cash and cash equivalents</w:t>
            </w:r>
          </w:p>
        </w:tc>
        <w:tc>
          <w:tcPr>
            <w:tcW w:w="1276" w:type="dxa"/>
            <w:shd w:val="clear" w:color="auto" w:fill="FFFFFF" w:themeFill="background1"/>
          </w:tcPr>
          <w:p w14:paraId="43B6B2A8" w14:textId="7DAEC2C7" w:rsidR="00A01752" w:rsidRPr="00F6749B" w:rsidRDefault="00A01752" w:rsidP="00A01752">
            <w:pPr>
              <w:keepLines/>
              <w:spacing w:after="0" w:line="240" w:lineRule="auto"/>
              <w:jc w:val="right"/>
              <w:rPr>
                <w:rFonts w:eastAsia="Times New Roman" w:cs="Arial"/>
                <w:spacing w:val="-2"/>
                <w:sz w:val="19"/>
                <w:szCs w:val="19"/>
              </w:rPr>
            </w:pPr>
            <w:r w:rsidRPr="00CE0613">
              <w:rPr>
                <w:rFonts w:eastAsia="Times New Roman" w:cs="Calibri"/>
                <w:sz w:val="19"/>
                <w:szCs w:val="19"/>
              </w:rPr>
              <w:t xml:space="preserve"> 249</w:t>
            </w:r>
            <w:r>
              <w:rPr>
                <w:rFonts w:eastAsia="Times New Roman" w:cs="Calibri"/>
                <w:sz w:val="19"/>
                <w:szCs w:val="19"/>
              </w:rPr>
              <w:t>,</w:t>
            </w:r>
            <w:r w:rsidRPr="00CE0613">
              <w:rPr>
                <w:rFonts w:eastAsia="Times New Roman" w:cs="Calibri"/>
                <w:sz w:val="19"/>
                <w:szCs w:val="19"/>
              </w:rPr>
              <w:t xml:space="preserve">228 </w:t>
            </w:r>
          </w:p>
        </w:tc>
        <w:tc>
          <w:tcPr>
            <w:tcW w:w="1275" w:type="dxa"/>
            <w:vAlign w:val="bottom"/>
          </w:tcPr>
          <w:p w14:paraId="52F0BF8E" w14:textId="5AFF5215" w:rsidR="00A01752" w:rsidRPr="001E7720" w:rsidRDefault="00A01752" w:rsidP="00A01752">
            <w:pPr>
              <w:keepLines/>
              <w:spacing w:after="0" w:line="240" w:lineRule="auto"/>
              <w:jc w:val="right"/>
              <w:rPr>
                <w:rFonts w:eastAsia="Times New Roman" w:cs="Arial"/>
                <w:spacing w:val="-2"/>
                <w:sz w:val="19"/>
                <w:szCs w:val="19"/>
              </w:rPr>
            </w:pPr>
            <w:r>
              <w:rPr>
                <w:rFonts w:eastAsia="Times New Roman" w:cs="Calibri"/>
                <w:sz w:val="19"/>
                <w:szCs w:val="19"/>
              </w:rPr>
              <w:t>140,450</w:t>
            </w:r>
          </w:p>
        </w:tc>
      </w:tr>
      <w:tr w:rsidR="00A01752" w:rsidRPr="00F6749B" w14:paraId="1B371B02" w14:textId="77777777" w:rsidTr="006B318F">
        <w:trPr>
          <w:trHeight w:hRule="exact" w:val="113"/>
        </w:trPr>
        <w:tc>
          <w:tcPr>
            <w:tcW w:w="7088" w:type="dxa"/>
            <w:vAlign w:val="center"/>
          </w:tcPr>
          <w:p w14:paraId="66AE2188" w14:textId="77777777" w:rsidR="00A01752" w:rsidRPr="00F6749B" w:rsidRDefault="00A01752" w:rsidP="00A01752">
            <w:pPr>
              <w:keepLines/>
              <w:tabs>
                <w:tab w:val="right" w:pos="1202"/>
              </w:tabs>
              <w:spacing w:after="0" w:line="240" w:lineRule="auto"/>
              <w:outlineLvl w:val="0"/>
              <w:rPr>
                <w:rFonts w:eastAsia="Times New Roman" w:cs="Arial"/>
                <w:sz w:val="19"/>
                <w:szCs w:val="19"/>
              </w:rPr>
            </w:pPr>
          </w:p>
        </w:tc>
        <w:tc>
          <w:tcPr>
            <w:tcW w:w="1276" w:type="dxa"/>
            <w:shd w:val="clear" w:color="auto" w:fill="FFFFFF" w:themeFill="background1"/>
          </w:tcPr>
          <w:p w14:paraId="41494FC6" w14:textId="77777777" w:rsidR="00A01752" w:rsidRPr="00F6749B" w:rsidRDefault="00A01752" w:rsidP="00A01752">
            <w:pPr>
              <w:keepLines/>
              <w:spacing w:after="0" w:line="240" w:lineRule="auto"/>
              <w:jc w:val="right"/>
              <w:rPr>
                <w:rFonts w:eastAsia="Times New Roman" w:cs="Arial"/>
                <w:spacing w:val="-2"/>
                <w:sz w:val="19"/>
                <w:szCs w:val="19"/>
              </w:rPr>
            </w:pPr>
          </w:p>
        </w:tc>
        <w:tc>
          <w:tcPr>
            <w:tcW w:w="1275" w:type="dxa"/>
            <w:vAlign w:val="bottom"/>
          </w:tcPr>
          <w:p w14:paraId="348631F4" w14:textId="77777777" w:rsidR="00A01752" w:rsidRPr="001E7720" w:rsidRDefault="00A01752" w:rsidP="00A01752">
            <w:pPr>
              <w:keepLines/>
              <w:spacing w:after="0" w:line="240" w:lineRule="auto"/>
              <w:jc w:val="right"/>
              <w:rPr>
                <w:rFonts w:eastAsia="Times New Roman" w:cs="Arial"/>
                <w:spacing w:val="-2"/>
                <w:sz w:val="19"/>
                <w:szCs w:val="19"/>
              </w:rPr>
            </w:pPr>
          </w:p>
        </w:tc>
      </w:tr>
      <w:tr w:rsidR="00A01752" w:rsidRPr="00F6749B" w14:paraId="6DDB66E5" w14:textId="77777777" w:rsidTr="006B318F">
        <w:trPr>
          <w:trHeight w:val="122"/>
        </w:trPr>
        <w:tc>
          <w:tcPr>
            <w:tcW w:w="7088" w:type="dxa"/>
            <w:vAlign w:val="center"/>
          </w:tcPr>
          <w:p w14:paraId="2C13EC80" w14:textId="77777777" w:rsidR="00A01752" w:rsidRPr="00F6749B" w:rsidRDefault="00A01752" w:rsidP="00A01752">
            <w:pPr>
              <w:keepLines/>
              <w:tabs>
                <w:tab w:val="right" w:pos="1202"/>
              </w:tabs>
              <w:spacing w:after="0" w:line="240" w:lineRule="auto"/>
              <w:outlineLvl w:val="0"/>
              <w:rPr>
                <w:rFonts w:eastAsia="Times New Roman" w:cs="Arial"/>
                <w:sz w:val="19"/>
                <w:szCs w:val="19"/>
              </w:rPr>
            </w:pPr>
            <w:r w:rsidRPr="00F6749B">
              <w:rPr>
                <w:rFonts w:cs="Arial"/>
                <w:sz w:val="19"/>
                <w:szCs w:val="19"/>
              </w:rPr>
              <w:t>Balance as of 1 January, before provisions</w:t>
            </w:r>
          </w:p>
        </w:tc>
        <w:tc>
          <w:tcPr>
            <w:tcW w:w="1276" w:type="dxa"/>
            <w:tcBorders>
              <w:top w:val="nil"/>
              <w:left w:val="nil"/>
              <w:bottom w:val="nil"/>
              <w:right w:val="nil"/>
            </w:tcBorders>
            <w:shd w:val="clear" w:color="auto" w:fill="auto"/>
          </w:tcPr>
          <w:p w14:paraId="1364BD00" w14:textId="0FFCD71C" w:rsidR="00A01752" w:rsidRPr="00F6749B" w:rsidRDefault="00A01752" w:rsidP="00A01752">
            <w:pPr>
              <w:keepLines/>
              <w:spacing w:after="0" w:line="240" w:lineRule="auto"/>
              <w:jc w:val="right"/>
              <w:rPr>
                <w:rFonts w:eastAsia="Times New Roman" w:cs="Arial"/>
                <w:spacing w:val="-2"/>
                <w:sz w:val="19"/>
                <w:szCs w:val="19"/>
              </w:rPr>
            </w:pPr>
            <w:r w:rsidRPr="00CE0613">
              <w:rPr>
                <w:rFonts w:eastAsia="Times New Roman" w:cs="Calibri"/>
                <w:sz w:val="19"/>
                <w:szCs w:val="19"/>
              </w:rPr>
              <w:t xml:space="preserve"> 494</w:t>
            </w:r>
            <w:r>
              <w:rPr>
                <w:rFonts w:eastAsia="Times New Roman" w:cs="Calibri"/>
                <w:sz w:val="19"/>
                <w:szCs w:val="19"/>
              </w:rPr>
              <w:t>,</w:t>
            </w:r>
            <w:r w:rsidRPr="00CE0613">
              <w:rPr>
                <w:rFonts w:eastAsia="Times New Roman" w:cs="Calibri"/>
                <w:sz w:val="19"/>
                <w:szCs w:val="19"/>
              </w:rPr>
              <w:t xml:space="preserve">325 </w:t>
            </w:r>
          </w:p>
        </w:tc>
        <w:tc>
          <w:tcPr>
            <w:tcW w:w="1275" w:type="dxa"/>
            <w:shd w:val="clear" w:color="auto" w:fill="auto"/>
            <w:vAlign w:val="bottom"/>
          </w:tcPr>
          <w:p w14:paraId="1AB35BF4" w14:textId="29ABEFED" w:rsidR="00A01752" w:rsidRPr="001E7720" w:rsidRDefault="00A01752" w:rsidP="00A01752">
            <w:pPr>
              <w:keepLines/>
              <w:spacing w:after="0" w:line="240" w:lineRule="auto"/>
              <w:jc w:val="right"/>
              <w:rPr>
                <w:rFonts w:eastAsia="Times New Roman" w:cs="Arial"/>
                <w:spacing w:val="-2"/>
                <w:sz w:val="19"/>
                <w:szCs w:val="19"/>
              </w:rPr>
            </w:pPr>
            <w:r>
              <w:rPr>
                <w:rFonts w:eastAsia="Times New Roman" w:cs="Calibri"/>
                <w:sz w:val="19"/>
                <w:szCs w:val="19"/>
              </w:rPr>
              <w:t>486,743</w:t>
            </w:r>
          </w:p>
        </w:tc>
      </w:tr>
      <w:tr w:rsidR="00A01752" w:rsidRPr="00F6749B" w14:paraId="03FF2964" w14:textId="77777777" w:rsidTr="006B318F">
        <w:trPr>
          <w:trHeight w:val="122"/>
        </w:trPr>
        <w:tc>
          <w:tcPr>
            <w:tcW w:w="7088" w:type="dxa"/>
            <w:vAlign w:val="center"/>
          </w:tcPr>
          <w:p w14:paraId="1507556E" w14:textId="44200EB2" w:rsidR="00A01752" w:rsidRPr="00F6749B" w:rsidRDefault="00A01752" w:rsidP="008D6EFE">
            <w:pPr>
              <w:keepLines/>
              <w:tabs>
                <w:tab w:val="right" w:pos="1202"/>
              </w:tabs>
              <w:spacing w:after="0" w:line="240" w:lineRule="auto"/>
              <w:outlineLvl w:val="0"/>
              <w:rPr>
                <w:rFonts w:eastAsia="Times New Roman" w:cs="Arial"/>
                <w:sz w:val="19"/>
                <w:szCs w:val="19"/>
              </w:rPr>
            </w:pPr>
            <w:r w:rsidRPr="00F6749B">
              <w:rPr>
                <w:rFonts w:cs="Arial"/>
                <w:sz w:val="19"/>
                <w:szCs w:val="19"/>
              </w:rPr>
              <w:t>Net increase</w:t>
            </w:r>
            <w:r w:rsidR="00FE2C41">
              <w:rPr>
                <w:rFonts w:cs="Arial"/>
                <w:sz w:val="19"/>
                <w:szCs w:val="19"/>
              </w:rPr>
              <w:t xml:space="preserve"> </w:t>
            </w:r>
            <w:r w:rsidRPr="00F6749B">
              <w:rPr>
                <w:rFonts w:cs="Arial"/>
                <w:sz w:val="19"/>
                <w:szCs w:val="19"/>
              </w:rPr>
              <w:t>in cash</w:t>
            </w:r>
          </w:p>
        </w:tc>
        <w:tc>
          <w:tcPr>
            <w:tcW w:w="1276" w:type="dxa"/>
            <w:tcBorders>
              <w:top w:val="nil"/>
              <w:left w:val="nil"/>
              <w:bottom w:val="nil"/>
              <w:right w:val="nil"/>
            </w:tcBorders>
            <w:shd w:val="clear" w:color="auto" w:fill="auto"/>
          </w:tcPr>
          <w:p w14:paraId="556528B6" w14:textId="1CE093F7" w:rsidR="00A01752" w:rsidRPr="00F6749B" w:rsidRDefault="00A01752" w:rsidP="00A01752">
            <w:pPr>
              <w:keepLines/>
              <w:spacing w:after="0" w:line="240" w:lineRule="auto"/>
              <w:jc w:val="right"/>
              <w:rPr>
                <w:rFonts w:eastAsia="Times New Roman" w:cs="Arial"/>
                <w:spacing w:val="-2"/>
                <w:sz w:val="19"/>
                <w:szCs w:val="19"/>
              </w:rPr>
            </w:pPr>
            <w:r w:rsidRPr="00CE0613">
              <w:rPr>
                <w:rFonts w:eastAsia="Times New Roman" w:cs="Calibri"/>
                <w:sz w:val="19"/>
                <w:szCs w:val="19"/>
              </w:rPr>
              <w:t xml:space="preserve"> 249</w:t>
            </w:r>
            <w:r>
              <w:rPr>
                <w:rFonts w:eastAsia="Times New Roman" w:cs="Calibri"/>
                <w:sz w:val="19"/>
                <w:szCs w:val="19"/>
              </w:rPr>
              <w:t>,</w:t>
            </w:r>
            <w:r w:rsidRPr="00CE0613">
              <w:rPr>
                <w:rFonts w:eastAsia="Times New Roman" w:cs="Calibri"/>
                <w:sz w:val="19"/>
                <w:szCs w:val="19"/>
              </w:rPr>
              <w:t xml:space="preserve">228 </w:t>
            </w:r>
          </w:p>
        </w:tc>
        <w:tc>
          <w:tcPr>
            <w:tcW w:w="1275" w:type="dxa"/>
            <w:shd w:val="clear" w:color="auto" w:fill="auto"/>
            <w:vAlign w:val="bottom"/>
          </w:tcPr>
          <w:p w14:paraId="24D7C076" w14:textId="732C5B14" w:rsidR="00A01752" w:rsidRPr="001E7720" w:rsidRDefault="00A01752" w:rsidP="00A01752">
            <w:pPr>
              <w:keepLines/>
              <w:spacing w:after="0" w:line="240" w:lineRule="auto"/>
              <w:jc w:val="right"/>
              <w:rPr>
                <w:rFonts w:eastAsia="Times New Roman" w:cs="Arial"/>
                <w:spacing w:val="-2"/>
                <w:sz w:val="19"/>
                <w:szCs w:val="19"/>
              </w:rPr>
            </w:pPr>
            <w:r>
              <w:rPr>
                <w:rFonts w:eastAsia="Times New Roman" w:cs="Calibri"/>
                <w:sz w:val="19"/>
                <w:szCs w:val="19"/>
              </w:rPr>
              <w:t>140,450</w:t>
            </w:r>
          </w:p>
        </w:tc>
      </w:tr>
      <w:tr w:rsidR="005A338B" w:rsidRPr="00786E09" w14:paraId="3082B519" w14:textId="77777777" w:rsidTr="005444AA">
        <w:trPr>
          <w:trHeight w:val="182"/>
        </w:trPr>
        <w:tc>
          <w:tcPr>
            <w:tcW w:w="7088" w:type="dxa"/>
            <w:tcBorders>
              <w:top w:val="single" w:sz="4" w:space="0" w:color="auto"/>
              <w:bottom w:val="single" w:sz="12" w:space="0" w:color="auto"/>
            </w:tcBorders>
          </w:tcPr>
          <w:p w14:paraId="6EE38F7B" w14:textId="5DA63323" w:rsidR="005A338B" w:rsidRPr="00F6749B" w:rsidRDefault="005A338B" w:rsidP="008D6EFE">
            <w:pPr>
              <w:keepLines/>
              <w:tabs>
                <w:tab w:val="right" w:pos="1202"/>
              </w:tabs>
              <w:spacing w:after="0" w:line="240" w:lineRule="auto"/>
              <w:outlineLvl w:val="0"/>
              <w:rPr>
                <w:rFonts w:eastAsia="Times New Roman" w:cs="Arial"/>
                <w:b/>
                <w:bCs/>
                <w:sz w:val="19"/>
                <w:szCs w:val="19"/>
              </w:rPr>
            </w:pPr>
            <w:r w:rsidRPr="00F6749B">
              <w:rPr>
                <w:rFonts w:cs="Arial"/>
                <w:b/>
                <w:bCs/>
                <w:sz w:val="19"/>
                <w:szCs w:val="19"/>
              </w:rPr>
              <w:t xml:space="preserve">Balance as of </w:t>
            </w:r>
            <w:r>
              <w:rPr>
                <w:rFonts w:cs="Arial"/>
                <w:b/>
                <w:bCs/>
                <w:sz w:val="19"/>
                <w:szCs w:val="19"/>
              </w:rPr>
              <w:t xml:space="preserve">30 </w:t>
            </w:r>
            <w:r w:rsidR="00456071">
              <w:rPr>
                <w:rFonts w:cs="Arial"/>
                <w:b/>
                <w:bCs/>
                <w:sz w:val="19"/>
                <w:szCs w:val="19"/>
              </w:rPr>
              <w:t>September</w:t>
            </w:r>
            <w:r w:rsidRPr="00F6749B">
              <w:rPr>
                <w:rFonts w:cs="Arial"/>
                <w:b/>
                <w:bCs/>
                <w:sz w:val="19"/>
                <w:szCs w:val="19"/>
              </w:rPr>
              <w:t>,</w:t>
            </w:r>
            <w:r w:rsidRPr="00F6749B">
              <w:rPr>
                <w:rFonts w:eastAsia="Times New Roman" w:cs="Arial"/>
                <w:b/>
                <w:bCs/>
                <w:sz w:val="19"/>
                <w:szCs w:val="19"/>
              </w:rPr>
              <w:t xml:space="preserve"> before provisions                                                                        </w:t>
            </w:r>
            <w:r>
              <w:rPr>
                <w:rFonts w:eastAsia="Times New Roman" w:cs="Arial"/>
                <w:b/>
                <w:bCs/>
                <w:sz w:val="19"/>
                <w:szCs w:val="19"/>
              </w:rPr>
              <w:t>8</w:t>
            </w:r>
          </w:p>
        </w:tc>
        <w:tc>
          <w:tcPr>
            <w:tcW w:w="1276" w:type="dxa"/>
            <w:tcBorders>
              <w:top w:val="single" w:sz="4" w:space="0" w:color="auto"/>
              <w:bottom w:val="single" w:sz="12" w:space="0" w:color="auto"/>
            </w:tcBorders>
            <w:shd w:val="clear" w:color="auto" w:fill="FFFFFF" w:themeFill="background1"/>
            <w:vAlign w:val="bottom"/>
          </w:tcPr>
          <w:p w14:paraId="2B045DB1" w14:textId="4C049F2E" w:rsidR="005A338B" w:rsidRPr="00F6749B" w:rsidRDefault="00A01752" w:rsidP="005A338B">
            <w:pPr>
              <w:spacing w:after="0" w:line="240" w:lineRule="auto"/>
              <w:jc w:val="right"/>
              <w:rPr>
                <w:rFonts w:eastAsia="Times New Roman" w:cs="Arial"/>
                <w:b/>
                <w:bCs/>
                <w:spacing w:val="-2"/>
                <w:sz w:val="19"/>
                <w:szCs w:val="19"/>
              </w:rPr>
            </w:pPr>
            <w:r w:rsidRPr="00A01752">
              <w:rPr>
                <w:rFonts w:eastAsia="Times New Roman" w:cs="Arial"/>
                <w:b/>
                <w:bCs/>
                <w:spacing w:val="-2"/>
                <w:sz w:val="19"/>
                <w:szCs w:val="19"/>
              </w:rPr>
              <w:t>743,553</w:t>
            </w:r>
          </w:p>
        </w:tc>
        <w:tc>
          <w:tcPr>
            <w:tcW w:w="1275" w:type="dxa"/>
            <w:tcBorders>
              <w:top w:val="single" w:sz="4" w:space="0" w:color="auto"/>
              <w:bottom w:val="single" w:sz="12" w:space="0" w:color="auto"/>
            </w:tcBorders>
            <w:vAlign w:val="bottom"/>
          </w:tcPr>
          <w:p w14:paraId="618B1A74" w14:textId="685B7CE7" w:rsidR="005A338B" w:rsidRPr="00786E09" w:rsidRDefault="00786E09" w:rsidP="005A338B">
            <w:pPr>
              <w:spacing w:after="0" w:line="240" w:lineRule="auto"/>
              <w:jc w:val="right"/>
              <w:rPr>
                <w:rFonts w:eastAsia="Times New Roman" w:cs="Arial"/>
                <w:b/>
                <w:bCs/>
                <w:spacing w:val="-2"/>
                <w:sz w:val="19"/>
                <w:szCs w:val="19"/>
              </w:rPr>
            </w:pPr>
            <w:r w:rsidRPr="00786E09">
              <w:rPr>
                <w:rFonts w:eastAsia="Times New Roman" w:cs="Arial"/>
                <w:b/>
                <w:bCs/>
                <w:spacing w:val="-2"/>
                <w:sz w:val="19"/>
                <w:szCs w:val="19"/>
              </w:rPr>
              <w:t>627,193</w:t>
            </w:r>
          </w:p>
        </w:tc>
      </w:tr>
      <w:tr w:rsidR="003E0084" w:rsidRPr="00F6749B" w14:paraId="099441AD" w14:textId="77777777" w:rsidTr="005444AA">
        <w:trPr>
          <w:trHeight w:hRule="exact" w:val="113"/>
        </w:trPr>
        <w:tc>
          <w:tcPr>
            <w:tcW w:w="7088" w:type="dxa"/>
            <w:tcBorders>
              <w:top w:val="single" w:sz="12" w:space="0" w:color="auto"/>
            </w:tcBorders>
            <w:vAlign w:val="bottom"/>
          </w:tcPr>
          <w:p w14:paraId="216A5B92" w14:textId="77777777" w:rsidR="003E0084" w:rsidRPr="00F6749B" w:rsidRDefault="003E0084" w:rsidP="003E0084">
            <w:pPr>
              <w:keepLines/>
              <w:tabs>
                <w:tab w:val="decimal" w:pos="1202"/>
              </w:tabs>
              <w:spacing w:after="0" w:line="240" w:lineRule="auto"/>
              <w:rPr>
                <w:rFonts w:eastAsia="Times New Roman" w:cs="Arial"/>
                <w:b/>
                <w:position w:val="4"/>
                <w:sz w:val="19"/>
                <w:szCs w:val="19"/>
                <w:u w:val="thick"/>
              </w:rPr>
            </w:pPr>
          </w:p>
        </w:tc>
        <w:tc>
          <w:tcPr>
            <w:tcW w:w="1276" w:type="dxa"/>
            <w:tcBorders>
              <w:top w:val="single" w:sz="12" w:space="0" w:color="auto"/>
            </w:tcBorders>
            <w:vAlign w:val="bottom"/>
          </w:tcPr>
          <w:p w14:paraId="0847C191" w14:textId="77777777" w:rsidR="003E0084" w:rsidRPr="00F6749B" w:rsidRDefault="003E0084" w:rsidP="003E0084">
            <w:pPr>
              <w:keepLines/>
              <w:spacing w:after="0" w:line="240" w:lineRule="auto"/>
              <w:jc w:val="right"/>
              <w:rPr>
                <w:rFonts w:eastAsia="Times New Roman" w:cs="Arial"/>
                <w:b/>
                <w:position w:val="4"/>
                <w:sz w:val="19"/>
                <w:szCs w:val="19"/>
                <w:u w:val="thick"/>
              </w:rPr>
            </w:pPr>
          </w:p>
        </w:tc>
        <w:tc>
          <w:tcPr>
            <w:tcW w:w="1275" w:type="dxa"/>
            <w:tcBorders>
              <w:top w:val="single" w:sz="12" w:space="0" w:color="auto"/>
            </w:tcBorders>
            <w:vAlign w:val="bottom"/>
          </w:tcPr>
          <w:p w14:paraId="43D97CC4" w14:textId="77777777" w:rsidR="003E0084" w:rsidRPr="00F6749B" w:rsidRDefault="003E0084" w:rsidP="003E0084">
            <w:pPr>
              <w:keepLines/>
              <w:spacing w:after="0" w:line="240" w:lineRule="auto"/>
              <w:jc w:val="right"/>
              <w:rPr>
                <w:rFonts w:eastAsia="Times New Roman" w:cs="Arial"/>
                <w:b/>
                <w:position w:val="4"/>
                <w:sz w:val="19"/>
                <w:szCs w:val="19"/>
                <w:u w:val="thick"/>
              </w:rPr>
            </w:pPr>
          </w:p>
        </w:tc>
      </w:tr>
      <w:tr w:rsidR="003E0084" w:rsidRPr="00F6749B" w14:paraId="1EC23E13" w14:textId="77777777" w:rsidTr="005444AA">
        <w:trPr>
          <w:trHeight w:val="267"/>
        </w:trPr>
        <w:tc>
          <w:tcPr>
            <w:tcW w:w="7088" w:type="dxa"/>
            <w:vAlign w:val="bottom"/>
          </w:tcPr>
          <w:p w14:paraId="17A82E7E" w14:textId="77777777" w:rsidR="003E0084" w:rsidRPr="00F6749B" w:rsidRDefault="003E0084" w:rsidP="003E0084">
            <w:pPr>
              <w:keepLines/>
              <w:tabs>
                <w:tab w:val="right" w:pos="1202"/>
              </w:tabs>
              <w:spacing w:after="0" w:line="240" w:lineRule="auto"/>
              <w:outlineLvl w:val="0"/>
              <w:rPr>
                <w:rFonts w:eastAsia="Times New Roman" w:cs="Arial"/>
                <w:sz w:val="19"/>
                <w:szCs w:val="19"/>
              </w:rPr>
            </w:pPr>
            <w:r w:rsidRPr="00F6749B">
              <w:rPr>
                <w:rFonts w:cs="Arial"/>
                <w:b/>
                <w:sz w:val="19"/>
                <w:szCs w:val="19"/>
              </w:rPr>
              <w:t>Additional note - Operational cash flows</w:t>
            </w:r>
          </w:p>
        </w:tc>
        <w:tc>
          <w:tcPr>
            <w:tcW w:w="1276" w:type="dxa"/>
            <w:vAlign w:val="bottom"/>
          </w:tcPr>
          <w:p w14:paraId="2A0C446F" w14:textId="77777777" w:rsidR="003E0084" w:rsidRPr="00F6749B" w:rsidRDefault="003E0084" w:rsidP="003E0084">
            <w:pPr>
              <w:keepLines/>
              <w:spacing w:after="0" w:line="240" w:lineRule="auto"/>
              <w:jc w:val="right"/>
              <w:rPr>
                <w:rFonts w:eastAsia="Times New Roman" w:cs="Arial"/>
                <w:b/>
                <w:position w:val="4"/>
                <w:sz w:val="19"/>
                <w:szCs w:val="19"/>
              </w:rPr>
            </w:pPr>
          </w:p>
        </w:tc>
        <w:tc>
          <w:tcPr>
            <w:tcW w:w="1275" w:type="dxa"/>
            <w:vAlign w:val="bottom"/>
          </w:tcPr>
          <w:p w14:paraId="33AA13B1" w14:textId="77777777" w:rsidR="003E0084" w:rsidRPr="00F6749B" w:rsidRDefault="003E0084" w:rsidP="003E0084">
            <w:pPr>
              <w:keepLines/>
              <w:spacing w:after="0" w:line="240" w:lineRule="auto"/>
              <w:jc w:val="right"/>
              <w:rPr>
                <w:rFonts w:eastAsia="Times New Roman" w:cs="Arial"/>
                <w:b/>
                <w:position w:val="4"/>
                <w:sz w:val="19"/>
                <w:szCs w:val="19"/>
              </w:rPr>
            </w:pPr>
          </w:p>
        </w:tc>
      </w:tr>
      <w:tr w:rsidR="00A01752" w:rsidRPr="00F6749B" w14:paraId="1C0A1371" w14:textId="77777777" w:rsidTr="006B318F">
        <w:trPr>
          <w:trHeight w:hRule="exact" w:val="227"/>
        </w:trPr>
        <w:tc>
          <w:tcPr>
            <w:tcW w:w="7088" w:type="dxa"/>
            <w:vAlign w:val="bottom"/>
          </w:tcPr>
          <w:p w14:paraId="1CD43167" w14:textId="77777777" w:rsidR="00A01752" w:rsidRPr="00F6749B" w:rsidRDefault="00A01752" w:rsidP="00A01752">
            <w:pPr>
              <w:keepLines/>
              <w:tabs>
                <w:tab w:val="left" w:pos="392"/>
                <w:tab w:val="decimal" w:pos="1202"/>
              </w:tabs>
              <w:spacing w:after="0" w:line="240" w:lineRule="auto"/>
              <w:rPr>
                <w:rFonts w:eastAsia="Times New Roman" w:cs="Arial"/>
                <w:position w:val="4"/>
                <w:sz w:val="19"/>
                <w:szCs w:val="19"/>
              </w:rPr>
            </w:pPr>
            <w:r w:rsidRPr="00F6749B">
              <w:rPr>
                <w:rFonts w:cs="Arial"/>
                <w:bCs/>
                <w:sz w:val="19"/>
                <w:szCs w:val="19"/>
              </w:rPr>
              <w:t>Interest paid</w:t>
            </w:r>
          </w:p>
        </w:tc>
        <w:tc>
          <w:tcPr>
            <w:tcW w:w="1276" w:type="dxa"/>
            <w:tcBorders>
              <w:top w:val="nil"/>
              <w:left w:val="nil"/>
              <w:bottom w:val="nil"/>
              <w:right w:val="nil"/>
            </w:tcBorders>
            <w:shd w:val="clear" w:color="auto" w:fill="auto"/>
          </w:tcPr>
          <w:p w14:paraId="1377EF5F" w14:textId="18D397EA" w:rsidR="00A01752" w:rsidRPr="00F6749B" w:rsidRDefault="00A01752" w:rsidP="00A01752">
            <w:pPr>
              <w:keepLines/>
              <w:spacing w:after="0" w:line="240" w:lineRule="auto"/>
              <w:jc w:val="right"/>
              <w:rPr>
                <w:rFonts w:eastAsia="Times New Roman" w:cs="Arial"/>
                <w:position w:val="4"/>
                <w:sz w:val="19"/>
                <w:szCs w:val="19"/>
              </w:rPr>
            </w:pPr>
            <w:r w:rsidRPr="00CE0613">
              <w:rPr>
                <w:rFonts w:eastAsia="Times New Roman" w:cs="Calibri"/>
                <w:sz w:val="19"/>
                <w:szCs w:val="19"/>
              </w:rPr>
              <w:t>354</w:t>
            </w:r>
            <w:r>
              <w:rPr>
                <w:rFonts w:eastAsia="Times New Roman" w:cs="Calibri"/>
                <w:sz w:val="19"/>
                <w:szCs w:val="19"/>
              </w:rPr>
              <w:t>,</w:t>
            </w:r>
            <w:r w:rsidRPr="00CE0613">
              <w:rPr>
                <w:rFonts w:eastAsia="Times New Roman" w:cs="Calibri"/>
                <w:sz w:val="19"/>
                <w:szCs w:val="19"/>
              </w:rPr>
              <w:t>581</w:t>
            </w:r>
          </w:p>
        </w:tc>
        <w:tc>
          <w:tcPr>
            <w:tcW w:w="1275" w:type="dxa"/>
            <w:shd w:val="clear" w:color="auto" w:fill="auto"/>
            <w:vAlign w:val="bottom"/>
          </w:tcPr>
          <w:p w14:paraId="7B26D6C4" w14:textId="3954A4EF" w:rsidR="00A01752" w:rsidRPr="001E7720" w:rsidRDefault="00A01752" w:rsidP="00A01752">
            <w:pPr>
              <w:keepLines/>
              <w:spacing w:after="0" w:line="240" w:lineRule="auto"/>
              <w:jc w:val="right"/>
              <w:rPr>
                <w:rFonts w:eastAsia="Times New Roman" w:cs="Arial"/>
                <w:position w:val="4"/>
                <w:sz w:val="19"/>
                <w:szCs w:val="19"/>
              </w:rPr>
            </w:pPr>
            <w:r>
              <w:rPr>
                <w:rFonts w:eastAsia="Times New Roman" w:cs="Calibri"/>
                <w:sz w:val="19"/>
                <w:szCs w:val="19"/>
              </w:rPr>
              <w:t>393,557</w:t>
            </w:r>
          </w:p>
        </w:tc>
      </w:tr>
      <w:tr w:rsidR="00A01752" w:rsidRPr="00F6749B" w14:paraId="4C73E502" w14:textId="77777777" w:rsidTr="006B318F">
        <w:trPr>
          <w:trHeight w:hRule="exact" w:val="227"/>
        </w:trPr>
        <w:tc>
          <w:tcPr>
            <w:tcW w:w="7088" w:type="dxa"/>
            <w:vAlign w:val="bottom"/>
          </w:tcPr>
          <w:p w14:paraId="4998A1CE" w14:textId="77777777" w:rsidR="00A01752" w:rsidRPr="00F6749B" w:rsidRDefault="00A01752" w:rsidP="00A01752">
            <w:pPr>
              <w:keepLines/>
              <w:tabs>
                <w:tab w:val="decimal" w:pos="1202"/>
              </w:tabs>
              <w:spacing w:after="0" w:line="240" w:lineRule="auto"/>
              <w:rPr>
                <w:rFonts w:eastAsia="Times New Roman" w:cs="Arial"/>
                <w:position w:val="4"/>
                <w:sz w:val="19"/>
                <w:szCs w:val="19"/>
              </w:rPr>
            </w:pPr>
            <w:r w:rsidRPr="00F6749B">
              <w:rPr>
                <w:rFonts w:cs="Arial"/>
                <w:bCs/>
                <w:sz w:val="19"/>
                <w:szCs w:val="19"/>
              </w:rPr>
              <w:t>Interest received</w:t>
            </w:r>
          </w:p>
        </w:tc>
        <w:tc>
          <w:tcPr>
            <w:tcW w:w="1276" w:type="dxa"/>
            <w:tcBorders>
              <w:top w:val="nil"/>
              <w:left w:val="nil"/>
              <w:bottom w:val="nil"/>
              <w:right w:val="nil"/>
            </w:tcBorders>
            <w:shd w:val="clear" w:color="auto" w:fill="auto"/>
          </w:tcPr>
          <w:p w14:paraId="7F8427CF" w14:textId="7F483C69" w:rsidR="00A01752" w:rsidRPr="00F6749B" w:rsidRDefault="00A01752" w:rsidP="00A01752">
            <w:pPr>
              <w:keepLines/>
              <w:spacing w:after="0" w:line="240" w:lineRule="auto"/>
              <w:jc w:val="right"/>
              <w:rPr>
                <w:rFonts w:eastAsia="Times New Roman" w:cs="Arial"/>
                <w:position w:val="4"/>
                <w:sz w:val="19"/>
                <w:szCs w:val="19"/>
              </w:rPr>
            </w:pPr>
            <w:r w:rsidRPr="00CE0613">
              <w:rPr>
                <w:rFonts w:eastAsia="Times New Roman" w:cs="Calibri"/>
                <w:sz w:val="19"/>
                <w:szCs w:val="19"/>
              </w:rPr>
              <w:t>532</w:t>
            </w:r>
            <w:r>
              <w:rPr>
                <w:rFonts w:eastAsia="Times New Roman" w:cs="Calibri"/>
                <w:sz w:val="19"/>
                <w:szCs w:val="19"/>
              </w:rPr>
              <w:t>,</w:t>
            </w:r>
            <w:r w:rsidRPr="00CE0613">
              <w:rPr>
                <w:rFonts w:eastAsia="Times New Roman" w:cs="Calibri"/>
                <w:sz w:val="19"/>
                <w:szCs w:val="19"/>
              </w:rPr>
              <w:t>638</w:t>
            </w:r>
          </w:p>
        </w:tc>
        <w:tc>
          <w:tcPr>
            <w:tcW w:w="1275" w:type="dxa"/>
            <w:shd w:val="clear" w:color="auto" w:fill="auto"/>
            <w:vAlign w:val="bottom"/>
          </w:tcPr>
          <w:p w14:paraId="0BF83773" w14:textId="7EB7DED5" w:rsidR="00A01752" w:rsidRPr="001E7720" w:rsidRDefault="00A01752" w:rsidP="00A01752">
            <w:pPr>
              <w:keepLines/>
              <w:spacing w:after="0" w:line="240" w:lineRule="auto"/>
              <w:jc w:val="right"/>
              <w:rPr>
                <w:rFonts w:eastAsia="Times New Roman" w:cs="Arial"/>
                <w:position w:val="4"/>
                <w:sz w:val="19"/>
                <w:szCs w:val="19"/>
              </w:rPr>
            </w:pPr>
            <w:r>
              <w:rPr>
                <w:rFonts w:eastAsia="Times New Roman" w:cs="Calibri"/>
                <w:sz w:val="19"/>
                <w:szCs w:val="19"/>
              </w:rPr>
              <w:t>539,897</w:t>
            </w:r>
          </w:p>
        </w:tc>
      </w:tr>
    </w:tbl>
    <w:p w14:paraId="15255A57" w14:textId="77777777" w:rsidR="001301FB" w:rsidRPr="0034501D" w:rsidRDefault="001301FB" w:rsidP="002E1FA4">
      <w:pPr>
        <w:pStyle w:val="T1"/>
        <w:keepNext w:val="0"/>
        <w:spacing w:before="0" w:after="0" w:line="240" w:lineRule="auto"/>
        <w:rPr>
          <w:rFonts w:ascii="Calibri" w:hAnsi="Calibri"/>
          <w:b w:val="0"/>
          <w:bCs w:val="0"/>
          <w:sz w:val="22"/>
          <w:szCs w:val="22"/>
          <w:lang w:val="en-GB"/>
        </w:rPr>
      </w:pPr>
    </w:p>
    <w:p w14:paraId="55078290" w14:textId="77777777" w:rsidR="00D054C7" w:rsidRDefault="00D658D4" w:rsidP="00166751">
      <w:pPr>
        <w:spacing w:after="0" w:line="240" w:lineRule="auto"/>
        <w:jc w:val="both"/>
        <w:rPr>
          <w:rFonts w:eastAsia="Times New Roman"/>
          <w:sz w:val="24"/>
          <w:szCs w:val="24"/>
        </w:rPr>
      </w:pPr>
      <w:r w:rsidRPr="00B636BD">
        <w:rPr>
          <w:rFonts w:asciiTheme="minorHAnsi" w:eastAsia="Times New Roman" w:hAnsiTheme="minorHAnsi"/>
        </w:rPr>
        <w:t xml:space="preserve">The accompanying selected notes are an integral part of </w:t>
      </w:r>
      <w:r w:rsidR="00E1249B" w:rsidRPr="00B636BD">
        <w:rPr>
          <w:rFonts w:asciiTheme="minorHAnsi" w:eastAsia="Times New Roman" w:hAnsiTheme="minorHAnsi"/>
        </w:rPr>
        <w:t>th</w:t>
      </w:r>
      <w:r w:rsidR="003E0084">
        <w:rPr>
          <w:rFonts w:asciiTheme="minorHAnsi" w:eastAsia="Times New Roman" w:hAnsiTheme="minorHAnsi"/>
        </w:rPr>
        <w:t>i</w:t>
      </w:r>
      <w:r w:rsidR="00E1249B">
        <w:rPr>
          <w:rFonts w:asciiTheme="minorHAnsi" w:eastAsia="Times New Roman" w:hAnsiTheme="minorHAnsi"/>
        </w:rPr>
        <w:t>s</w:t>
      </w:r>
      <w:r w:rsidR="00E1249B" w:rsidRPr="00B636BD">
        <w:rPr>
          <w:rFonts w:asciiTheme="minorHAnsi" w:eastAsia="Times New Roman" w:hAnsiTheme="minorHAnsi"/>
        </w:rPr>
        <w:t xml:space="preserve"> </w:t>
      </w:r>
      <w:r w:rsidR="003E0084">
        <w:rPr>
          <w:rFonts w:asciiTheme="minorHAnsi" w:eastAsia="Times New Roman" w:hAnsiTheme="minorHAnsi"/>
        </w:rPr>
        <w:t>Statement of Cash Flows</w:t>
      </w:r>
      <w:r w:rsidRPr="00B636BD">
        <w:rPr>
          <w:rFonts w:asciiTheme="minorHAnsi" w:eastAsia="Times New Roman" w:hAnsiTheme="minorHAnsi"/>
        </w:rPr>
        <w:t>.</w:t>
      </w:r>
    </w:p>
    <w:p w14:paraId="1C28A8AE" w14:textId="77777777" w:rsidR="00D054C7" w:rsidRDefault="00D054C7" w:rsidP="005444AA">
      <w:pPr>
        <w:tabs>
          <w:tab w:val="left" w:pos="2025"/>
        </w:tabs>
        <w:rPr>
          <w:rFonts w:eastAsia="Times New Roman"/>
          <w:sz w:val="24"/>
          <w:szCs w:val="24"/>
        </w:rPr>
      </w:pPr>
      <w:r>
        <w:rPr>
          <w:rFonts w:eastAsia="Times New Roman"/>
          <w:sz w:val="24"/>
          <w:szCs w:val="24"/>
        </w:rPr>
        <w:tab/>
      </w:r>
    </w:p>
    <w:p w14:paraId="5EDBD0EF" w14:textId="77777777" w:rsidR="00B56526" w:rsidRDefault="00B56526" w:rsidP="005444AA">
      <w:pPr>
        <w:tabs>
          <w:tab w:val="left" w:pos="2025"/>
        </w:tabs>
        <w:rPr>
          <w:rFonts w:eastAsia="Times New Roman"/>
          <w:sz w:val="24"/>
          <w:szCs w:val="24"/>
        </w:rPr>
        <w:sectPr w:rsidR="00B56526" w:rsidSect="00947CB7">
          <w:headerReference w:type="default" r:id="rId22"/>
          <w:headerReference w:type="first" r:id="rId23"/>
          <w:footerReference w:type="first" r:id="rId24"/>
          <w:pgSz w:w="11906" w:h="16838" w:code="9"/>
          <w:pgMar w:top="610" w:right="1133" w:bottom="1417" w:left="1417" w:header="709" w:footer="709" w:gutter="0"/>
          <w:cols w:space="708"/>
          <w:titlePg/>
          <w:docGrid w:linePitch="360"/>
        </w:sectPr>
      </w:pPr>
    </w:p>
    <w:p w14:paraId="31EB43BB" w14:textId="77777777" w:rsidR="00D97C38" w:rsidRPr="0034501D" w:rsidRDefault="00D97C38" w:rsidP="00C4266C">
      <w:pPr>
        <w:spacing w:after="0" w:line="240" w:lineRule="auto"/>
        <w:rPr>
          <w:rFonts w:eastAsia="Times New Roman"/>
          <w:sz w:val="24"/>
          <w:szCs w:val="24"/>
        </w:rPr>
      </w:pPr>
    </w:p>
    <w:tbl>
      <w:tblPr>
        <w:tblpPr w:leftFromText="180" w:rightFromText="180" w:vertAnchor="page" w:horzAnchor="margin" w:tblpY="2650"/>
        <w:tblW w:w="5119" w:type="pct"/>
        <w:tblLayout w:type="fixed"/>
        <w:tblCellMar>
          <w:left w:w="120" w:type="dxa"/>
          <w:right w:w="120" w:type="dxa"/>
        </w:tblCellMar>
        <w:tblLook w:val="0000" w:firstRow="0" w:lastRow="0" w:firstColumn="0" w:lastColumn="0" w:noHBand="0" w:noVBand="0"/>
      </w:tblPr>
      <w:tblGrid>
        <w:gridCol w:w="2905"/>
        <w:gridCol w:w="1336"/>
        <w:gridCol w:w="1335"/>
        <w:gridCol w:w="1335"/>
        <w:gridCol w:w="1335"/>
        <w:gridCol w:w="1333"/>
      </w:tblGrid>
      <w:tr w:rsidR="00EC1B73" w:rsidRPr="0034501D" w14:paraId="4B7CB6E0" w14:textId="77777777" w:rsidTr="00093814">
        <w:trPr>
          <w:trHeight w:val="779"/>
        </w:trPr>
        <w:tc>
          <w:tcPr>
            <w:tcW w:w="1516" w:type="pct"/>
          </w:tcPr>
          <w:p w14:paraId="29922DC8" w14:textId="77777777" w:rsidR="00EC1B73" w:rsidRPr="0034501D" w:rsidRDefault="00EC1B73" w:rsidP="00C25653">
            <w:pPr>
              <w:tabs>
                <w:tab w:val="right" w:pos="1202"/>
              </w:tabs>
              <w:spacing w:after="0" w:line="240" w:lineRule="auto"/>
              <w:outlineLvl w:val="0"/>
              <w:rPr>
                <w:rFonts w:eastAsia="Times New Roman" w:cs="Arial"/>
                <w:b/>
                <w:iCs/>
                <w:sz w:val="19"/>
                <w:szCs w:val="19"/>
              </w:rPr>
            </w:pPr>
          </w:p>
        </w:tc>
        <w:tc>
          <w:tcPr>
            <w:tcW w:w="697" w:type="pct"/>
            <w:vAlign w:val="bottom"/>
          </w:tcPr>
          <w:p w14:paraId="67F32B1E" w14:textId="77777777" w:rsidR="00EC1B73" w:rsidRPr="0034501D" w:rsidRDefault="007862DD" w:rsidP="00830C4C">
            <w:pPr>
              <w:tabs>
                <w:tab w:val="right" w:pos="1202"/>
              </w:tabs>
              <w:spacing w:after="0" w:line="240" w:lineRule="auto"/>
              <w:jc w:val="right"/>
              <w:outlineLvl w:val="0"/>
              <w:rPr>
                <w:rFonts w:eastAsia="Times New Roman" w:cs="Arial"/>
                <w:b/>
                <w:iCs/>
                <w:sz w:val="19"/>
                <w:szCs w:val="19"/>
              </w:rPr>
            </w:pPr>
            <w:r w:rsidRPr="0034501D">
              <w:rPr>
                <w:b/>
                <w:iCs/>
                <w:sz w:val="19"/>
                <w:szCs w:val="19"/>
              </w:rPr>
              <w:t>Founder</w:t>
            </w:r>
            <w:r w:rsidR="00830C4C">
              <w:rPr>
                <w:b/>
                <w:iCs/>
                <w:sz w:val="19"/>
                <w:szCs w:val="19"/>
              </w:rPr>
              <w:t>’</w:t>
            </w:r>
            <w:r w:rsidRPr="0034501D">
              <w:rPr>
                <w:b/>
                <w:iCs/>
                <w:sz w:val="19"/>
                <w:szCs w:val="19"/>
              </w:rPr>
              <w:t>s capital</w:t>
            </w:r>
          </w:p>
        </w:tc>
        <w:tc>
          <w:tcPr>
            <w:tcW w:w="697" w:type="pct"/>
            <w:vAlign w:val="bottom"/>
          </w:tcPr>
          <w:p w14:paraId="76CA1974" w14:textId="77777777" w:rsidR="00EC1B73" w:rsidRPr="0034501D" w:rsidRDefault="007862DD" w:rsidP="00C25653">
            <w:pPr>
              <w:tabs>
                <w:tab w:val="right" w:pos="1202"/>
              </w:tabs>
              <w:spacing w:after="0" w:line="240" w:lineRule="auto"/>
              <w:jc w:val="right"/>
              <w:outlineLvl w:val="0"/>
              <w:rPr>
                <w:rFonts w:eastAsia="Times New Roman" w:cs="Arial"/>
                <w:b/>
                <w:iCs/>
                <w:sz w:val="19"/>
                <w:szCs w:val="19"/>
              </w:rPr>
            </w:pPr>
            <w:r w:rsidRPr="0034501D">
              <w:rPr>
                <w:b/>
                <w:iCs/>
                <w:sz w:val="19"/>
                <w:szCs w:val="19"/>
              </w:rPr>
              <w:t>Retained earnings and reserves</w:t>
            </w:r>
          </w:p>
        </w:tc>
        <w:tc>
          <w:tcPr>
            <w:tcW w:w="697" w:type="pct"/>
            <w:vAlign w:val="bottom"/>
          </w:tcPr>
          <w:p w14:paraId="423F6523" w14:textId="77777777" w:rsidR="00EC1B73" w:rsidRPr="0034501D" w:rsidRDefault="007862DD" w:rsidP="00C25653">
            <w:pPr>
              <w:tabs>
                <w:tab w:val="right" w:pos="1202"/>
              </w:tabs>
              <w:spacing w:after="0" w:line="240" w:lineRule="auto"/>
              <w:jc w:val="right"/>
              <w:outlineLvl w:val="0"/>
              <w:rPr>
                <w:rFonts w:eastAsia="Times New Roman" w:cs="Arial"/>
                <w:b/>
                <w:iCs/>
                <w:sz w:val="19"/>
                <w:szCs w:val="19"/>
              </w:rPr>
            </w:pPr>
            <w:r w:rsidRPr="0034501D">
              <w:rPr>
                <w:b/>
                <w:iCs/>
                <w:sz w:val="19"/>
                <w:szCs w:val="19"/>
              </w:rPr>
              <w:t>Other reserves</w:t>
            </w:r>
          </w:p>
        </w:tc>
        <w:tc>
          <w:tcPr>
            <w:tcW w:w="697" w:type="pct"/>
            <w:vAlign w:val="bottom"/>
          </w:tcPr>
          <w:p w14:paraId="1517BC12" w14:textId="3A0D812F" w:rsidR="00EC1B73" w:rsidRPr="0034501D" w:rsidRDefault="007862DD" w:rsidP="00DC285F">
            <w:pPr>
              <w:tabs>
                <w:tab w:val="right" w:pos="1202"/>
              </w:tabs>
              <w:spacing w:after="0" w:line="240" w:lineRule="auto"/>
              <w:jc w:val="right"/>
              <w:outlineLvl w:val="0"/>
              <w:rPr>
                <w:rFonts w:eastAsia="Times New Roman" w:cs="Arial"/>
                <w:b/>
                <w:iCs/>
                <w:sz w:val="19"/>
                <w:szCs w:val="19"/>
              </w:rPr>
            </w:pPr>
            <w:r w:rsidRPr="0034501D">
              <w:rPr>
                <w:b/>
                <w:iCs/>
                <w:sz w:val="19"/>
                <w:szCs w:val="19"/>
              </w:rPr>
              <w:t xml:space="preserve">Net profit for the </w:t>
            </w:r>
            <w:r w:rsidR="00DC285F">
              <w:rPr>
                <w:b/>
                <w:iCs/>
                <w:sz w:val="19"/>
                <w:szCs w:val="19"/>
              </w:rPr>
              <w:t>period</w:t>
            </w:r>
          </w:p>
        </w:tc>
        <w:tc>
          <w:tcPr>
            <w:tcW w:w="696" w:type="pct"/>
            <w:vAlign w:val="bottom"/>
          </w:tcPr>
          <w:p w14:paraId="4A96B589" w14:textId="77777777" w:rsidR="00DD1174" w:rsidRDefault="007862DD" w:rsidP="00C25653">
            <w:pPr>
              <w:tabs>
                <w:tab w:val="right" w:pos="1202"/>
              </w:tabs>
              <w:spacing w:after="0" w:line="240" w:lineRule="auto"/>
              <w:jc w:val="right"/>
              <w:outlineLvl w:val="0"/>
              <w:rPr>
                <w:b/>
                <w:iCs/>
                <w:sz w:val="19"/>
                <w:szCs w:val="19"/>
              </w:rPr>
            </w:pPr>
            <w:r w:rsidRPr="0034501D">
              <w:rPr>
                <w:b/>
                <w:iCs/>
                <w:sz w:val="19"/>
                <w:szCs w:val="19"/>
              </w:rPr>
              <w:t xml:space="preserve">Total </w:t>
            </w:r>
          </w:p>
          <w:p w14:paraId="12BF2F0D" w14:textId="77777777" w:rsidR="00EC1B73" w:rsidRPr="0034501D" w:rsidRDefault="007862DD" w:rsidP="00C25653">
            <w:pPr>
              <w:tabs>
                <w:tab w:val="right" w:pos="1202"/>
              </w:tabs>
              <w:spacing w:after="0" w:line="240" w:lineRule="auto"/>
              <w:jc w:val="right"/>
              <w:outlineLvl w:val="0"/>
              <w:rPr>
                <w:rFonts w:eastAsia="Times New Roman" w:cs="Arial"/>
                <w:b/>
                <w:iCs/>
                <w:sz w:val="19"/>
                <w:szCs w:val="19"/>
              </w:rPr>
            </w:pPr>
            <w:r w:rsidRPr="0034501D">
              <w:rPr>
                <w:b/>
                <w:iCs/>
                <w:sz w:val="19"/>
                <w:szCs w:val="19"/>
              </w:rPr>
              <w:t>equity</w:t>
            </w:r>
          </w:p>
        </w:tc>
      </w:tr>
      <w:tr w:rsidR="00EC1B73" w:rsidRPr="0034501D" w14:paraId="1E01743F" w14:textId="77777777" w:rsidTr="00093814">
        <w:trPr>
          <w:trHeight w:val="130"/>
        </w:trPr>
        <w:tc>
          <w:tcPr>
            <w:tcW w:w="1516" w:type="pct"/>
          </w:tcPr>
          <w:p w14:paraId="0A808F36" w14:textId="77777777" w:rsidR="00EC1B73" w:rsidRPr="0034501D" w:rsidRDefault="00EC1B73" w:rsidP="00C25653">
            <w:pPr>
              <w:tabs>
                <w:tab w:val="right" w:pos="1202"/>
              </w:tabs>
              <w:spacing w:after="0" w:line="240" w:lineRule="auto"/>
              <w:outlineLvl w:val="0"/>
              <w:rPr>
                <w:rFonts w:eastAsia="Times New Roman" w:cs="Arial"/>
                <w:iCs/>
                <w:sz w:val="19"/>
                <w:szCs w:val="19"/>
              </w:rPr>
            </w:pPr>
          </w:p>
        </w:tc>
        <w:tc>
          <w:tcPr>
            <w:tcW w:w="697" w:type="pct"/>
            <w:vAlign w:val="bottom"/>
          </w:tcPr>
          <w:p w14:paraId="0102CA4F" w14:textId="77777777" w:rsidR="00EC1B73" w:rsidRPr="0034501D" w:rsidRDefault="00EC1B73" w:rsidP="00C25653">
            <w:pPr>
              <w:tabs>
                <w:tab w:val="right" w:pos="1202"/>
              </w:tabs>
              <w:spacing w:after="0" w:line="240" w:lineRule="auto"/>
              <w:jc w:val="right"/>
              <w:outlineLvl w:val="0"/>
              <w:rPr>
                <w:rFonts w:eastAsia="Times New Roman" w:cs="Arial"/>
                <w:b/>
                <w:bCs/>
                <w:sz w:val="19"/>
                <w:szCs w:val="19"/>
              </w:rPr>
            </w:pPr>
          </w:p>
        </w:tc>
        <w:tc>
          <w:tcPr>
            <w:tcW w:w="697" w:type="pct"/>
            <w:vAlign w:val="bottom"/>
          </w:tcPr>
          <w:p w14:paraId="6317FB4F" w14:textId="77777777" w:rsidR="00EC1B73" w:rsidRPr="0034501D" w:rsidRDefault="00EC1B73" w:rsidP="00C25653">
            <w:pPr>
              <w:tabs>
                <w:tab w:val="right" w:pos="1202"/>
              </w:tabs>
              <w:spacing w:after="0" w:line="240" w:lineRule="auto"/>
              <w:jc w:val="right"/>
              <w:outlineLvl w:val="0"/>
              <w:rPr>
                <w:rFonts w:eastAsia="Times New Roman" w:cs="Arial"/>
                <w:b/>
                <w:bCs/>
                <w:sz w:val="19"/>
                <w:szCs w:val="19"/>
              </w:rPr>
            </w:pPr>
          </w:p>
        </w:tc>
        <w:tc>
          <w:tcPr>
            <w:tcW w:w="697" w:type="pct"/>
          </w:tcPr>
          <w:p w14:paraId="2A10F1E6" w14:textId="77777777" w:rsidR="00EC1B73" w:rsidRPr="0034501D" w:rsidRDefault="00EC1B73" w:rsidP="00C25653">
            <w:pPr>
              <w:tabs>
                <w:tab w:val="right" w:pos="1202"/>
              </w:tabs>
              <w:spacing w:after="0" w:line="240" w:lineRule="auto"/>
              <w:jc w:val="right"/>
              <w:outlineLvl w:val="0"/>
              <w:rPr>
                <w:rFonts w:eastAsia="Times New Roman" w:cs="Arial"/>
                <w:b/>
                <w:bCs/>
                <w:sz w:val="19"/>
                <w:szCs w:val="19"/>
              </w:rPr>
            </w:pPr>
          </w:p>
        </w:tc>
        <w:tc>
          <w:tcPr>
            <w:tcW w:w="697" w:type="pct"/>
            <w:vAlign w:val="bottom"/>
          </w:tcPr>
          <w:p w14:paraId="671CCE95" w14:textId="77777777" w:rsidR="00EC1B73" w:rsidRPr="0034501D" w:rsidRDefault="00EC1B73" w:rsidP="00C25653">
            <w:pPr>
              <w:tabs>
                <w:tab w:val="right" w:pos="1202"/>
              </w:tabs>
              <w:spacing w:after="0" w:line="240" w:lineRule="auto"/>
              <w:jc w:val="right"/>
              <w:outlineLvl w:val="0"/>
              <w:rPr>
                <w:rFonts w:eastAsia="Times New Roman" w:cs="Arial"/>
                <w:b/>
                <w:bCs/>
                <w:sz w:val="19"/>
                <w:szCs w:val="19"/>
              </w:rPr>
            </w:pPr>
          </w:p>
        </w:tc>
        <w:tc>
          <w:tcPr>
            <w:tcW w:w="696" w:type="pct"/>
            <w:vAlign w:val="bottom"/>
          </w:tcPr>
          <w:p w14:paraId="572E15A6" w14:textId="77777777" w:rsidR="00EC1B73" w:rsidRPr="0034501D" w:rsidRDefault="00EC1B73" w:rsidP="00C25653">
            <w:pPr>
              <w:tabs>
                <w:tab w:val="right" w:pos="1202"/>
              </w:tabs>
              <w:spacing w:after="0" w:line="240" w:lineRule="auto"/>
              <w:jc w:val="right"/>
              <w:outlineLvl w:val="0"/>
              <w:rPr>
                <w:rFonts w:eastAsia="Times New Roman" w:cs="Arial"/>
                <w:b/>
                <w:bCs/>
                <w:sz w:val="19"/>
                <w:szCs w:val="19"/>
              </w:rPr>
            </w:pPr>
          </w:p>
        </w:tc>
      </w:tr>
      <w:tr w:rsidR="004240FE" w:rsidRPr="0034501D" w14:paraId="777CABE1" w14:textId="77777777" w:rsidTr="00673B79">
        <w:trPr>
          <w:trHeight w:val="449"/>
        </w:trPr>
        <w:tc>
          <w:tcPr>
            <w:tcW w:w="1516" w:type="pct"/>
            <w:vAlign w:val="bottom"/>
          </w:tcPr>
          <w:p w14:paraId="38D560CA" w14:textId="77777777" w:rsidR="004240FE" w:rsidRPr="0034501D" w:rsidRDefault="004240FE" w:rsidP="004240FE">
            <w:pPr>
              <w:pStyle w:val="TT"/>
              <w:spacing w:line="240" w:lineRule="auto"/>
              <w:rPr>
                <w:rFonts w:ascii="Calibri" w:hAnsi="Calibri" w:cs="Arial"/>
                <w:b/>
                <w:iCs/>
                <w:szCs w:val="19"/>
              </w:rPr>
            </w:pPr>
            <w:r w:rsidRPr="0034501D">
              <w:rPr>
                <w:rFonts w:ascii="Calibri" w:hAnsi="Calibri" w:cs="Arial"/>
                <w:b/>
                <w:iCs/>
                <w:szCs w:val="19"/>
              </w:rPr>
              <w:t>Balance as of 1 January 201</w:t>
            </w:r>
            <w:r>
              <w:rPr>
                <w:rFonts w:ascii="Calibri" w:hAnsi="Calibri" w:cs="Arial"/>
                <w:b/>
                <w:iCs/>
                <w:szCs w:val="19"/>
              </w:rPr>
              <w:t>6</w:t>
            </w:r>
          </w:p>
        </w:tc>
        <w:tc>
          <w:tcPr>
            <w:tcW w:w="697" w:type="pct"/>
            <w:tcBorders>
              <w:top w:val="nil"/>
              <w:left w:val="nil"/>
              <w:bottom w:val="nil"/>
              <w:right w:val="nil"/>
            </w:tcBorders>
            <w:shd w:val="clear" w:color="auto" w:fill="auto"/>
            <w:vAlign w:val="bottom"/>
          </w:tcPr>
          <w:p w14:paraId="6CEEFF4B" w14:textId="77777777" w:rsidR="004240FE" w:rsidRPr="00080316" w:rsidRDefault="004240FE" w:rsidP="004240FE">
            <w:pPr>
              <w:tabs>
                <w:tab w:val="left" w:pos="1134"/>
                <w:tab w:val="right" w:pos="1202"/>
              </w:tabs>
              <w:spacing w:after="0" w:line="240" w:lineRule="auto"/>
              <w:jc w:val="right"/>
              <w:outlineLvl w:val="0"/>
              <w:rPr>
                <w:rFonts w:eastAsia="Times New Roman" w:cs="Calibri"/>
                <w:b/>
                <w:iCs/>
                <w:sz w:val="19"/>
                <w:szCs w:val="19"/>
                <w:lang w:val="en-US"/>
              </w:rPr>
            </w:pPr>
            <w:r w:rsidRPr="00080316">
              <w:rPr>
                <w:rFonts w:eastAsia="Times New Roman"/>
                <w:b/>
                <w:bCs/>
                <w:color w:val="000000"/>
                <w:sz w:val="19"/>
                <w:szCs w:val="19"/>
                <w:lang w:val="en-US"/>
              </w:rPr>
              <w:t>6,926,632</w:t>
            </w:r>
          </w:p>
        </w:tc>
        <w:tc>
          <w:tcPr>
            <w:tcW w:w="697" w:type="pct"/>
            <w:tcBorders>
              <w:top w:val="nil"/>
              <w:left w:val="nil"/>
              <w:bottom w:val="nil"/>
              <w:right w:val="nil"/>
            </w:tcBorders>
            <w:shd w:val="clear" w:color="auto" w:fill="auto"/>
            <w:vAlign w:val="bottom"/>
          </w:tcPr>
          <w:p w14:paraId="27C4DF40" w14:textId="77777777" w:rsidR="004240FE" w:rsidRPr="00080316" w:rsidRDefault="004240FE" w:rsidP="004240FE">
            <w:pPr>
              <w:tabs>
                <w:tab w:val="left" w:pos="1134"/>
                <w:tab w:val="right" w:pos="1202"/>
              </w:tabs>
              <w:spacing w:after="0" w:line="240" w:lineRule="auto"/>
              <w:jc w:val="right"/>
              <w:outlineLvl w:val="0"/>
              <w:rPr>
                <w:rFonts w:eastAsia="Times New Roman" w:cs="Calibri"/>
                <w:b/>
                <w:iCs/>
                <w:sz w:val="19"/>
                <w:szCs w:val="19"/>
                <w:lang w:val="en-US"/>
              </w:rPr>
            </w:pPr>
            <w:r w:rsidRPr="00080316">
              <w:rPr>
                <w:rFonts w:eastAsia="Times New Roman"/>
                <w:b/>
                <w:bCs/>
                <w:color w:val="000000"/>
                <w:sz w:val="19"/>
                <w:szCs w:val="19"/>
                <w:lang w:val="en-US"/>
              </w:rPr>
              <w:t>2,475,862</w:t>
            </w:r>
          </w:p>
        </w:tc>
        <w:tc>
          <w:tcPr>
            <w:tcW w:w="697" w:type="pct"/>
            <w:tcBorders>
              <w:top w:val="nil"/>
              <w:left w:val="nil"/>
              <w:bottom w:val="nil"/>
              <w:right w:val="nil"/>
            </w:tcBorders>
            <w:shd w:val="clear" w:color="auto" w:fill="auto"/>
            <w:vAlign w:val="bottom"/>
          </w:tcPr>
          <w:p w14:paraId="46B56F98" w14:textId="77777777" w:rsidR="004240FE" w:rsidRPr="00080316" w:rsidRDefault="004240FE" w:rsidP="004240FE">
            <w:pPr>
              <w:tabs>
                <w:tab w:val="left" w:pos="1134"/>
                <w:tab w:val="right" w:pos="1202"/>
              </w:tabs>
              <w:spacing w:after="0" w:line="240" w:lineRule="auto"/>
              <w:jc w:val="right"/>
              <w:outlineLvl w:val="0"/>
              <w:rPr>
                <w:rFonts w:eastAsia="Times New Roman" w:cs="Calibri"/>
                <w:b/>
                <w:iCs/>
                <w:sz w:val="19"/>
                <w:szCs w:val="19"/>
                <w:lang w:val="en-US"/>
              </w:rPr>
            </w:pPr>
            <w:r w:rsidRPr="00080316">
              <w:rPr>
                <w:rFonts w:eastAsia="Times New Roman"/>
                <w:b/>
                <w:bCs/>
                <w:color w:val="000000"/>
                <w:sz w:val="19"/>
                <w:szCs w:val="19"/>
                <w:lang w:val="en-US"/>
              </w:rPr>
              <w:t>43,283</w:t>
            </w:r>
          </w:p>
        </w:tc>
        <w:tc>
          <w:tcPr>
            <w:tcW w:w="697" w:type="pct"/>
            <w:tcBorders>
              <w:top w:val="nil"/>
              <w:left w:val="nil"/>
              <w:bottom w:val="nil"/>
              <w:right w:val="nil"/>
            </w:tcBorders>
            <w:shd w:val="clear" w:color="auto" w:fill="auto"/>
            <w:vAlign w:val="bottom"/>
          </w:tcPr>
          <w:p w14:paraId="3986EFCA" w14:textId="77777777" w:rsidR="004240FE" w:rsidRPr="00080316" w:rsidRDefault="004240FE" w:rsidP="004240FE">
            <w:pPr>
              <w:tabs>
                <w:tab w:val="left" w:pos="1134"/>
                <w:tab w:val="right" w:pos="1202"/>
              </w:tabs>
              <w:spacing w:after="0" w:line="240" w:lineRule="auto"/>
              <w:jc w:val="right"/>
              <w:outlineLvl w:val="0"/>
              <w:rPr>
                <w:rFonts w:eastAsia="Times New Roman" w:cs="Calibri"/>
                <w:b/>
                <w:iCs/>
                <w:sz w:val="19"/>
                <w:szCs w:val="19"/>
                <w:lang w:val="en-US"/>
              </w:rPr>
            </w:pPr>
            <w:r w:rsidRPr="00080316">
              <w:rPr>
                <w:rFonts w:eastAsia="Times New Roman"/>
                <w:b/>
                <w:bCs/>
                <w:color w:val="000000"/>
                <w:sz w:val="19"/>
                <w:szCs w:val="19"/>
                <w:lang w:val="en-US"/>
              </w:rPr>
              <w:t>206,265</w:t>
            </w:r>
          </w:p>
        </w:tc>
        <w:tc>
          <w:tcPr>
            <w:tcW w:w="696" w:type="pct"/>
            <w:tcBorders>
              <w:top w:val="nil"/>
              <w:left w:val="nil"/>
              <w:bottom w:val="nil"/>
              <w:right w:val="nil"/>
            </w:tcBorders>
            <w:shd w:val="clear" w:color="auto" w:fill="auto"/>
            <w:vAlign w:val="bottom"/>
          </w:tcPr>
          <w:p w14:paraId="08A9DC7F" w14:textId="77777777" w:rsidR="004240FE" w:rsidRPr="00080316" w:rsidRDefault="004240FE" w:rsidP="004240FE">
            <w:pPr>
              <w:tabs>
                <w:tab w:val="left" w:pos="1134"/>
                <w:tab w:val="right" w:pos="1202"/>
              </w:tabs>
              <w:spacing w:after="0" w:line="240" w:lineRule="auto"/>
              <w:jc w:val="right"/>
              <w:outlineLvl w:val="0"/>
              <w:rPr>
                <w:rFonts w:eastAsia="Times New Roman" w:cs="Calibri"/>
                <w:b/>
                <w:iCs/>
                <w:sz w:val="19"/>
                <w:szCs w:val="19"/>
                <w:lang w:val="en-US"/>
              </w:rPr>
            </w:pPr>
            <w:r w:rsidRPr="00080316">
              <w:rPr>
                <w:rFonts w:eastAsia="Times New Roman"/>
                <w:b/>
                <w:bCs/>
                <w:color w:val="000000"/>
                <w:sz w:val="19"/>
                <w:szCs w:val="19"/>
                <w:lang w:val="en-US"/>
              </w:rPr>
              <w:t>9,652,042</w:t>
            </w:r>
          </w:p>
        </w:tc>
      </w:tr>
      <w:tr w:rsidR="004240FE" w:rsidRPr="0034501D" w14:paraId="114723E3" w14:textId="77777777" w:rsidTr="00673B79">
        <w:trPr>
          <w:trHeight w:val="58"/>
        </w:trPr>
        <w:tc>
          <w:tcPr>
            <w:tcW w:w="1516" w:type="pct"/>
          </w:tcPr>
          <w:p w14:paraId="04DADC57" w14:textId="77777777" w:rsidR="004240FE" w:rsidRPr="0034501D" w:rsidRDefault="004240FE" w:rsidP="004240FE">
            <w:pPr>
              <w:pStyle w:val="TT"/>
              <w:spacing w:line="140" w:lineRule="exact"/>
              <w:jc w:val="right"/>
              <w:rPr>
                <w:rFonts w:ascii="Calibri" w:hAnsi="Calibri" w:cs="Arial"/>
                <w:b/>
                <w:iCs/>
                <w:szCs w:val="19"/>
              </w:rPr>
            </w:pPr>
          </w:p>
        </w:tc>
        <w:tc>
          <w:tcPr>
            <w:tcW w:w="697" w:type="pct"/>
          </w:tcPr>
          <w:p w14:paraId="5B43A3FC" w14:textId="77777777" w:rsidR="004240FE" w:rsidRPr="0034501D" w:rsidRDefault="004240FE" w:rsidP="004240FE">
            <w:pPr>
              <w:pStyle w:val="Thick"/>
              <w:tabs>
                <w:tab w:val="clear" w:pos="1202"/>
                <w:tab w:val="decimal" w:pos="1015"/>
              </w:tabs>
              <w:spacing w:line="140" w:lineRule="exact"/>
              <w:jc w:val="right"/>
              <w:rPr>
                <w:rFonts w:ascii="Calibri" w:hAnsi="Calibri" w:cs="Arial"/>
                <w:sz w:val="19"/>
                <w:szCs w:val="19"/>
                <w:lang w:val="en-GB"/>
              </w:rPr>
            </w:pPr>
            <w:r w:rsidRPr="0034501D">
              <w:rPr>
                <w:rFonts w:ascii="Calibri" w:hAnsi="Calibri" w:cs="Arial"/>
                <w:sz w:val="19"/>
                <w:szCs w:val="19"/>
                <w:lang w:val="en-GB"/>
              </w:rPr>
              <w:t>___________</w:t>
            </w:r>
          </w:p>
        </w:tc>
        <w:tc>
          <w:tcPr>
            <w:tcW w:w="697" w:type="pct"/>
          </w:tcPr>
          <w:p w14:paraId="4CF6E518" w14:textId="77777777" w:rsidR="004240FE" w:rsidRPr="0034501D" w:rsidRDefault="004240FE" w:rsidP="004240FE">
            <w:pPr>
              <w:pStyle w:val="Thick"/>
              <w:tabs>
                <w:tab w:val="clear" w:pos="1202"/>
                <w:tab w:val="decimal" w:pos="1015"/>
              </w:tabs>
              <w:spacing w:line="140" w:lineRule="exact"/>
              <w:jc w:val="right"/>
              <w:rPr>
                <w:rFonts w:ascii="Calibri" w:hAnsi="Calibri" w:cs="Arial"/>
                <w:sz w:val="19"/>
                <w:szCs w:val="19"/>
                <w:lang w:val="en-GB"/>
              </w:rPr>
            </w:pPr>
            <w:r w:rsidRPr="0034501D">
              <w:rPr>
                <w:rFonts w:ascii="Calibri" w:hAnsi="Calibri" w:cs="Arial"/>
                <w:sz w:val="19"/>
                <w:szCs w:val="19"/>
                <w:lang w:val="en-GB"/>
              </w:rPr>
              <w:t>___________</w:t>
            </w:r>
          </w:p>
        </w:tc>
        <w:tc>
          <w:tcPr>
            <w:tcW w:w="697" w:type="pct"/>
          </w:tcPr>
          <w:p w14:paraId="36BFAECC" w14:textId="77777777" w:rsidR="004240FE" w:rsidRPr="0034501D" w:rsidRDefault="004240FE" w:rsidP="004240FE">
            <w:pPr>
              <w:pStyle w:val="Thick"/>
              <w:tabs>
                <w:tab w:val="clear" w:pos="1202"/>
                <w:tab w:val="decimal" w:pos="1015"/>
              </w:tabs>
              <w:spacing w:line="140" w:lineRule="exact"/>
              <w:jc w:val="right"/>
              <w:rPr>
                <w:rFonts w:ascii="Calibri" w:hAnsi="Calibri" w:cs="Arial"/>
                <w:sz w:val="19"/>
                <w:szCs w:val="19"/>
                <w:lang w:val="en-GB"/>
              </w:rPr>
            </w:pPr>
            <w:r w:rsidRPr="0034501D">
              <w:rPr>
                <w:rFonts w:ascii="Calibri" w:hAnsi="Calibri" w:cs="Arial"/>
                <w:sz w:val="19"/>
                <w:szCs w:val="19"/>
                <w:lang w:val="en-GB"/>
              </w:rPr>
              <w:t>___________</w:t>
            </w:r>
          </w:p>
        </w:tc>
        <w:tc>
          <w:tcPr>
            <w:tcW w:w="697" w:type="pct"/>
          </w:tcPr>
          <w:p w14:paraId="72A1A338" w14:textId="77777777" w:rsidR="004240FE" w:rsidRPr="0034501D" w:rsidRDefault="004240FE" w:rsidP="004240FE">
            <w:pPr>
              <w:pStyle w:val="Thick"/>
              <w:tabs>
                <w:tab w:val="clear" w:pos="1202"/>
                <w:tab w:val="decimal" w:pos="1015"/>
              </w:tabs>
              <w:spacing w:line="140" w:lineRule="exact"/>
              <w:jc w:val="right"/>
              <w:rPr>
                <w:rFonts w:ascii="Calibri" w:hAnsi="Calibri" w:cs="Arial"/>
                <w:sz w:val="19"/>
                <w:szCs w:val="19"/>
                <w:lang w:val="en-GB"/>
              </w:rPr>
            </w:pPr>
            <w:r w:rsidRPr="0034501D">
              <w:rPr>
                <w:rFonts w:ascii="Calibri" w:hAnsi="Calibri" w:cs="Arial"/>
                <w:sz w:val="19"/>
                <w:szCs w:val="19"/>
                <w:lang w:val="en-GB"/>
              </w:rPr>
              <w:t>___________</w:t>
            </w:r>
          </w:p>
        </w:tc>
        <w:tc>
          <w:tcPr>
            <w:tcW w:w="696" w:type="pct"/>
          </w:tcPr>
          <w:p w14:paraId="3DFF96C0" w14:textId="77777777" w:rsidR="004240FE" w:rsidRPr="0034501D" w:rsidRDefault="004240FE" w:rsidP="004240FE">
            <w:pPr>
              <w:pStyle w:val="Thick"/>
              <w:tabs>
                <w:tab w:val="clear" w:pos="1202"/>
                <w:tab w:val="decimal" w:pos="1015"/>
              </w:tabs>
              <w:spacing w:line="140" w:lineRule="exact"/>
              <w:jc w:val="right"/>
              <w:rPr>
                <w:rFonts w:ascii="Calibri" w:hAnsi="Calibri" w:cs="Arial"/>
                <w:sz w:val="19"/>
                <w:szCs w:val="19"/>
                <w:lang w:val="en-GB"/>
              </w:rPr>
            </w:pPr>
            <w:r w:rsidRPr="0034501D">
              <w:rPr>
                <w:rFonts w:ascii="Calibri" w:hAnsi="Calibri" w:cs="Arial"/>
                <w:sz w:val="19"/>
                <w:szCs w:val="19"/>
                <w:lang w:val="en-GB"/>
              </w:rPr>
              <w:t>___________</w:t>
            </w:r>
          </w:p>
        </w:tc>
      </w:tr>
      <w:tr w:rsidR="004240FE" w:rsidRPr="0034501D" w14:paraId="592CC8B3" w14:textId="77777777" w:rsidTr="00673B79">
        <w:trPr>
          <w:trHeight w:val="130"/>
        </w:trPr>
        <w:tc>
          <w:tcPr>
            <w:tcW w:w="1516" w:type="pct"/>
          </w:tcPr>
          <w:p w14:paraId="713870A9" w14:textId="77777777" w:rsidR="004240FE" w:rsidRPr="0034501D" w:rsidRDefault="004240FE" w:rsidP="004240FE">
            <w:pPr>
              <w:pStyle w:val="TT"/>
              <w:spacing w:line="140" w:lineRule="exact"/>
              <w:jc w:val="right"/>
              <w:rPr>
                <w:rFonts w:ascii="Calibri" w:hAnsi="Calibri" w:cs="Arial"/>
                <w:b/>
                <w:iCs/>
                <w:szCs w:val="19"/>
              </w:rPr>
            </w:pPr>
          </w:p>
        </w:tc>
        <w:tc>
          <w:tcPr>
            <w:tcW w:w="697" w:type="pct"/>
          </w:tcPr>
          <w:p w14:paraId="1D470240" w14:textId="77777777" w:rsidR="004240FE" w:rsidRPr="0034501D" w:rsidRDefault="004240FE" w:rsidP="004240FE">
            <w:pPr>
              <w:pStyle w:val="Thick"/>
              <w:tabs>
                <w:tab w:val="clear" w:pos="1202"/>
                <w:tab w:val="decimal" w:pos="1015"/>
              </w:tabs>
              <w:spacing w:line="140" w:lineRule="exact"/>
              <w:jc w:val="right"/>
              <w:rPr>
                <w:rFonts w:ascii="Calibri" w:hAnsi="Calibri" w:cs="Arial"/>
                <w:sz w:val="19"/>
                <w:szCs w:val="19"/>
                <w:lang w:val="en-GB"/>
              </w:rPr>
            </w:pPr>
          </w:p>
        </w:tc>
        <w:tc>
          <w:tcPr>
            <w:tcW w:w="697" w:type="pct"/>
          </w:tcPr>
          <w:p w14:paraId="482E18A8" w14:textId="77777777" w:rsidR="004240FE" w:rsidRPr="0034501D" w:rsidRDefault="004240FE" w:rsidP="004240FE">
            <w:pPr>
              <w:pStyle w:val="Thick"/>
              <w:tabs>
                <w:tab w:val="clear" w:pos="1202"/>
                <w:tab w:val="decimal" w:pos="1015"/>
              </w:tabs>
              <w:spacing w:line="140" w:lineRule="exact"/>
              <w:jc w:val="right"/>
              <w:rPr>
                <w:rFonts w:ascii="Calibri" w:hAnsi="Calibri" w:cs="Arial"/>
                <w:sz w:val="19"/>
                <w:szCs w:val="19"/>
                <w:lang w:val="en-GB"/>
              </w:rPr>
            </w:pPr>
          </w:p>
        </w:tc>
        <w:tc>
          <w:tcPr>
            <w:tcW w:w="697" w:type="pct"/>
          </w:tcPr>
          <w:p w14:paraId="2B74C2D8" w14:textId="77777777" w:rsidR="004240FE" w:rsidRPr="0034501D" w:rsidRDefault="004240FE" w:rsidP="004240FE">
            <w:pPr>
              <w:pStyle w:val="Thick"/>
              <w:tabs>
                <w:tab w:val="clear" w:pos="1202"/>
                <w:tab w:val="decimal" w:pos="1015"/>
              </w:tabs>
              <w:spacing w:line="140" w:lineRule="exact"/>
              <w:jc w:val="right"/>
              <w:rPr>
                <w:rFonts w:ascii="Calibri" w:hAnsi="Calibri" w:cs="Arial"/>
                <w:sz w:val="19"/>
                <w:szCs w:val="19"/>
                <w:lang w:val="en-GB"/>
              </w:rPr>
            </w:pPr>
          </w:p>
        </w:tc>
        <w:tc>
          <w:tcPr>
            <w:tcW w:w="697" w:type="pct"/>
          </w:tcPr>
          <w:p w14:paraId="39639BD4" w14:textId="77777777" w:rsidR="004240FE" w:rsidRPr="0034501D" w:rsidRDefault="004240FE" w:rsidP="004240FE">
            <w:pPr>
              <w:pStyle w:val="Thick"/>
              <w:tabs>
                <w:tab w:val="clear" w:pos="1202"/>
                <w:tab w:val="decimal" w:pos="1015"/>
              </w:tabs>
              <w:spacing w:line="140" w:lineRule="exact"/>
              <w:jc w:val="right"/>
              <w:rPr>
                <w:rFonts w:ascii="Calibri" w:hAnsi="Calibri" w:cs="Arial"/>
                <w:sz w:val="19"/>
                <w:szCs w:val="19"/>
                <w:lang w:val="en-GB"/>
              </w:rPr>
            </w:pPr>
          </w:p>
        </w:tc>
        <w:tc>
          <w:tcPr>
            <w:tcW w:w="696" w:type="pct"/>
          </w:tcPr>
          <w:p w14:paraId="3D5DF92B" w14:textId="77777777" w:rsidR="004240FE" w:rsidRPr="0034501D" w:rsidRDefault="004240FE" w:rsidP="004240FE">
            <w:pPr>
              <w:pStyle w:val="Thick"/>
              <w:tabs>
                <w:tab w:val="clear" w:pos="1202"/>
                <w:tab w:val="decimal" w:pos="1015"/>
              </w:tabs>
              <w:spacing w:line="140" w:lineRule="exact"/>
              <w:jc w:val="right"/>
              <w:rPr>
                <w:rFonts w:ascii="Calibri" w:hAnsi="Calibri" w:cs="Arial"/>
                <w:sz w:val="19"/>
                <w:szCs w:val="19"/>
                <w:lang w:val="en-GB"/>
              </w:rPr>
            </w:pPr>
          </w:p>
        </w:tc>
      </w:tr>
      <w:tr w:rsidR="009A78D7" w:rsidRPr="0034501D" w14:paraId="5BBCAEA0" w14:textId="77777777" w:rsidTr="00673B79">
        <w:trPr>
          <w:trHeight w:val="77"/>
        </w:trPr>
        <w:tc>
          <w:tcPr>
            <w:tcW w:w="1516" w:type="pct"/>
            <w:vAlign w:val="bottom"/>
          </w:tcPr>
          <w:p w14:paraId="261C7251" w14:textId="3321CC54" w:rsidR="009A78D7" w:rsidRPr="0034501D" w:rsidRDefault="009A78D7" w:rsidP="009A78D7">
            <w:pPr>
              <w:pStyle w:val="TT"/>
              <w:spacing w:line="240" w:lineRule="auto"/>
              <w:rPr>
                <w:rFonts w:ascii="Calibri" w:hAnsi="Calibri" w:cs="Arial"/>
                <w:iCs/>
                <w:szCs w:val="19"/>
              </w:rPr>
            </w:pPr>
            <w:r w:rsidRPr="0034501D">
              <w:rPr>
                <w:rFonts w:ascii="Calibri" w:hAnsi="Calibri"/>
                <w:iCs/>
                <w:szCs w:val="19"/>
              </w:rPr>
              <w:t xml:space="preserve">Profit for the </w:t>
            </w:r>
            <w:r>
              <w:rPr>
                <w:rFonts w:ascii="Calibri" w:hAnsi="Calibri"/>
                <w:iCs/>
                <w:szCs w:val="19"/>
              </w:rPr>
              <w:t>period</w:t>
            </w:r>
          </w:p>
        </w:tc>
        <w:tc>
          <w:tcPr>
            <w:tcW w:w="697" w:type="pct"/>
            <w:tcBorders>
              <w:top w:val="nil"/>
              <w:left w:val="nil"/>
              <w:bottom w:val="nil"/>
              <w:right w:val="nil"/>
            </w:tcBorders>
            <w:shd w:val="clear" w:color="auto" w:fill="auto"/>
            <w:vAlign w:val="bottom"/>
          </w:tcPr>
          <w:p w14:paraId="2C5A477F" w14:textId="77777777" w:rsidR="009A78D7" w:rsidRPr="00CA37C8" w:rsidRDefault="009A78D7" w:rsidP="009A78D7">
            <w:pPr>
              <w:pStyle w:val="TT"/>
              <w:spacing w:line="240" w:lineRule="auto"/>
              <w:jc w:val="right"/>
              <w:rPr>
                <w:rFonts w:asciiTheme="minorHAnsi" w:hAnsiTheme="minorHAnsi" w:cs="Arial"/>
                <w:szCs w:val="19"/>
                <w:lang w:val="hr-HR"/>
              </w:rPr>
            </w:pPr>
            <w:r>
              <w:rPr>
                <w:rFonts w:ascii="Calibri" w:hAnsi="Calibri"/>
                <w:color w:val="000000"/>
                <w:szCs w:val="19"/>
              </w:rPr>
              <w:t xml:space="preserve"> - </w:t>
            </w:r>
          </w:p>
        </w:tc>
        <w:tc>
          <w:tcPr>
            <w:tcW w:w="697" w:type="pct"/>
            <w:tcBorders>
              <w:top w:val="nil"/>
              <w:left w:val="nil"/>
              <w:bottom w:val="nil"/>
              <w:right w:val="nil"/>
            </w:tcBorders>
            <w:shd w:val="clear" w:color="auto" w:fill="auto"/>
            <w:vAlign w:val="bottom"/>
          </w:tcPr>
          <w:p w14:paraId="1E75A436" w14:textId="77777777" w:rsidR="009A78D7" w:rsidRPr="00CA37C8" w:rsidRDefault="009A78D7" w:rsidP="009A78D7">
            <w:pPr>
              <w:pStyle w:val="TT"/>
              <w:spacing w:line="240" w:lineRule="auto"/>
              <w:jc w:val="right"/>
              <w:rPr>
                <w:rFonts w:asciiTheme="minorHAnsi" w:hAnsiTheme="minorHAnsi" w:cs="Arial"/>
                <w:szCs w:val="19"/>
                <w:lang w:val="hr-HR"/>
              </w:rPr>
            </w:pPr>
            <w:r>
              <w:rPr>
                <w:rFonts w:ascii="Calibri" w:hAnsi="Calibri"/>
                <w:color w:val="000000"/>
                <w:szCs w:val="19"/>
              </w:rPr>
              <w:t xml:space="preserve"> - </w:t>
            </w:r>
          </w:p>
        </w:tc>
        <w:tc>
          <w:tcPr>
            <w:tcW w:w="697" w:type="pct"/>
            <w:tcBorders>
              <w:top w:val="nil"/>
              <w:left w:val="nil"/>
              <w:bottom w:val="nil"/>
              <w:right w:val="nil"/>
            </w:tcBorders>
            <w:shd w:val="clear" w:color="auto" w:fill="auto"/>
            <w:vAlign w:val="bottom"/>
          </w:tcPr>
          <w:p w14:paraId="222973A0" w14:textId="6EECA06A" w:rsidR="009A78D7" w:rsidRPr="00CA37C8" w:rsidRDefault="009A78D7" w:rsidP="009A78D7">
            <w:pPr>
              <w:pStyle w:val="TT"/>
              <w:spacing w:line="240" w:lineRule="auto"/>
              <w:jc w:val="right"/>
              <w:rPr>
                <w:rFonts w:asciiTheme="minorHAnsi" w:hAnsiTheme="minorHAnsi" w:cs="Arial"/>
                <w:szCs w:val="19"/>
                <w:lang w:val="hr-HR"/>
              </w:rPr>
            </w:pPr>
            <w:r>
              <w:rPr>
                <w:rFonts w:asciiTheme="minorHAnsi" w:hAnsiTheme="minorHAnsi" w:cs="Arial"/>
                <w:szCs w:val="19"/>
                <w:lang w:val="hr-HR"/>
              </w:rPr>
              <w:t>-</w:t>
            </w:r>
          </w:p>
        </w:tc>
        <w:tc>
          <w:tcPr>
            <w:tcW w:w="697" w:type="pct"/>
            <w:tcBorders>
              <w:top w:val="nil"/>
              <w:left w:val="nil"/>
              <w:bottom w:val="nil"/>
              <w:right w:val="nil"/>
            </w:tcBorders>
            <w:shd w:val="clear" w:color="auto" w:fill="auto"/>
            <w:vAlign w:val="bottom"/>
          </w:tcPr>
          <w:p w14:paraId="2B4589F5" w14:textId="06D2F946" w:rsidR="009A78D7" w:rsidRPr="00CA37C8" w:rsidRDefault="009A78D7" w:rsidP="009A78D7">
            <w:pPr>
              <w:pStyle w:val="TT"/>
              <w:spacing w:line="240" w:lineRule="auto"/>
              <w:jc w:val="right"/>
              <w:rPr>
                <w:rFonts w:asciiTheme="minorHAnsi" w:hAnsiTheme="minorHAnsi" w:cs="Arial"/>
                <w:szCs w:val="19"/>
                <w:lang w:val="hr-HR"/>
              </w:rPr>
            </w:pPr>
            <w:r>
              <w:rPr>
                <w:rFonts w:asciiTheme="minorHAnsi" w:hAnsiTheme="minorHAnsi" w:cs="Arial"/>
                <w:szCs w:val="19"/>
                <w:lang w:val="hr-HR"/>
              </w:rPr>
              <w:t>159,778</w:t>
            </w:r>
          </w:p>
        </w:tc>
        <w:tc>
          <w:tcPr>
            <w:tcW w:w="696" w:type="pct"/>
            <w:tcBorders>
              <w:top w:val="nil"/>
              <w:left w:val="nil"/>
              <w:bottom w:val="nil"/>
              <w:right w:val="nil"/>
            </w:tcBorders>
            <w:shd w:val="clear" w:color="auto" w:fill="auto"/>
            <w:vAlign w:val="bottom"/>
          </w:tcPr>
          <w:p w14:paraId="25CA44C3" w14:textId="66B1A228" w:rsidR="009A78D7" w:rsidRPr="005A338B" w:rsidRDefault="009A78D7" w:rsidP="009A78D7">
            <w:pPr>
              <w:pStyle w:val="TT"/>
              <w:spacing w:line="240" w:lineRule="auto"/>
              <w:jc w:val="right"/>
              <w:rPr>
                <w:rFonts w:asciiTheme="minorHAnsi" w:hAnsiTheme="minorHAnsi" w:cs="Arial"/>
                <w:b/>
                <w:iCs/>
                <w:szCs w:val="19"/>
                <w:lang w:val="hr-HR"/>
              </w:rPr>
            </w:pPr>
            <w:r>
              <w:rPr>
                <w:rFonts w:asciiTheme="minorHAnsi" w:hAnsiTheme="minorHAnsi" w:cs="Arial"/>
                <w:b/>
                <w:iCs/>
                <w:szCs w:val="19"/>
                <w:lang w:val="hr-HR"/>
              </w:rPr>
              <w:t>159,778</w:t>
            </w:r>
          </w:p>
        </w:tc>
      </w:tr>
      <w:tr w:rsidR="009A78D7" w:rsidRPr="0034501D" w14:paraId="3814575D" w14:textId="77777777" w:rsidTr="00673B79">
        <w:trPr>
          <w:trHeight w:val="261"/>
        </w:trPr>
        <w:tc>
          <w:tcPr>
            <w:tcW w:w="1516" w:type="pct"/>
            <w:vAlign w:val="bottom"/>
          </w:tcPr>
          <w:p w14:paraId="70841C65" w14:textId="77777777" w:rsidR="009A78D7" w:rsidRPr="0034501D" w:rsidRDefault="009A78D7" w:rsidP="009A78D7">
            <w:pPr>
              <w:pStyle w:val="TT"/>
              <w:spacing w:line="240" w:lineRule="auto"/>
              <w:rPr>
                <w:rFonts w:ascii="Calibri" w:hAnsi="Calibri" w:cs="Arial"/>
                <w:iCs/>
                <w:szCs w:val="19"/>
              </w:rPr>
            </w:pPr>
            <w:r w:rsidRPr="0034501D">
              <w:rPr>
                <w:rFonts w:ascii="Calibri" w:hAnsi="Calibri"/>
                <w:iCs/>
                <w:szCs w:val="19"/>
              </w:rPr>
              <w:t>Other comprehensive income</w:t>
            </w:r>
          </w:p>
        </w:tc>
        <w:tc>
          <w:tcPr>
            <w:tcW w:w="697" w:type="pct"/>
            <w:tcBorders>
              <w:top w:val="nil"/>
              <w:left w:val="nil"/>
              <w:bottom w:val="nil"/>
              <w:right w:val="nil"/>
            </w:tcBorders>
            <w:shd w:val="clear" w:color="auto" w:fill="auto"/>
            <w:vAlign w:val="bottom"/>
          </w:tcPr>
          <w:p w14:paraId="17423A97" w14:textId="77777777" w:rsidR="009A78D7" w:rsidRPr="00CA37C8" w:rsidRDefault="009A78D7" w:rsidP="009A78D7">
            <w:pPr>
              <w:pStyle w:val="TT"/>
              <w:spacing w:line="240" w:lineRule="auto"/>
              <w:jc w:val="right"/>
              <w:rPr>
                <w:rFonts w:asciiTheme="minorHAnsi" w:hAnsiTheme="minorHAnsi" w:cs="Arial"/>
                <w:iCs/>
                <w:szCs w:val="19"/>
                <w:lang w:val="hr-HR"/>
              </w:rPr>
            </w:pPr>
            <w:r>
              <w:rPr>
                <w:rFonts w:ascii="Calibri" w:hAnsi="Calibri"/>
                <w:color w:val="000000"/>
                <w:szCs w:val="19"/>
              </w:rPr>
              <w:t xml:space="preserve"> - </w:t>
            </w:r>
          </w:p>
        </w:tc>
        <w:tc>
          <w:tcPr>
            <w:tcW w:w="697" w:type="pct"/>
            <w:tcBorders>
              <w:top w:val="nil"/>
              <w:left w:val="nil"/>
              <w:bottom w:val="nil"/>
              <w:right w:val="nil"/>
            </w:tcBorders>
            <w:shd w:val="clear" w:color="auto" w:fill="auto"/>
            <w:vAlign w:val="bottom"/>
          </w:tcPr>
          <w:p w14:paraId="62CE7BE9" w14:textId="77777777" w:rsidR="009A78D7" w:rsidRPr="00CA37C8" w:rsidRDefault="009A78D7" w:rsidP="009A78D7">
            <w:pPr>
              <w:pStyle w:val="TT"/>
              <w:spacing w:line="240" w:lineRule="auto"/>
              <w:jc w:val="right"/>
              <w:rPr>
                <w:rFonts w:asciiTheme="minorHAnsi" w:hAnsiTheme="minorHAnsi" w:cs="Arial"/>
                <w:iCs/>
                <w:szCs w:val="19"/>
                <w:lang w:val="hr-HR"/>
              </w:rPr>
            </w:pPr>
            <w:r>
              <w:rPr>
                <w:rFonts w:ascii="Calibri" w:hAnsi="Calibri"/>
                <w:color w:val="000000"/>
                <w:szCs w:val="19"/>
              </w:rPr>
              <w:t xml:space="preserve"> - </w:t>
            </w:r>
          </w:p>
        </w:tc>
        <w:tc>
          <w:tcPr>
            <w:tcW w:w="697" w:type="pct"/>
            <w:tcBorders>
              <w:top w:val="nil"/>
              <w:left w:val="nil"/>
              <w:bottom w:val="nil"/>
              <w:right w:val="nil"/>
            </w:tcBorders>
            <w:shd w:val="clear" w:color="auto" w:fill="auto"/>
            <w:vAlign w:val="bottom"/>
          </w:tcPr>
          <w:p w14:paraId="2674774F" w14:textId="47A6CD6B" w:rsidR="009A78D7" w:rsidRPr="00CA37C8" w:rsidRDefault="009A78D7" w:rsidP="009A78D7">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30,840</w:t>
            </w:r>
          </w:p>
        </w:tc>
        <w:tc>
          <w:tcPr>
            <w:tcW w:w="697" w:type="pct"/>
            <w:tcBorders>
              <w:top w:val="nil"/>
              <w:left w:val="nil"/>
              <w:bottom w:val="nil"/>
              <w:right w:val="nil"/>
            </w:tcBorders>
            <w:shd w:val="clear" w:color="auto" w:fill="auto"/>
            <w:vAlign w:val="bottom"/>
          </w:tcPr>
          <w:p w14:paraId="5D11C71F" w14:textId="6523697F" w:rsidR="009A78D7" w:rsidRPr="00CA37C8" w:rsidRDefault="009A78D7" w:rsidP="009A78D7">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w:t>
            </w:r>
          </w:p>
        </w:tc>
        <w:tc>
          <w:tcPr>
            <w:tcW w:w="696" w:type="pct"/>
            <w:tcBorders>
              <w:top w:val="nil"/>
              <w:left w:val="nil"/>
              <w:bottom w:val="nil"/>
              <w:right w:val="nil"/>
            </w:tcBorders>
            <w:shd w:val="clear" w:color="auto" w:fill="auto"/>
            <w:vAlign w:val="bottom"/>
          </w:tcPr>
          <w:p w14:paraId="0E10DDA9" w14:textId="1A930EFF" w:rsidR="009A78D7" w:rsidRPr="005A338B" w:rsidRDefault="009A78D7" w:rsidP="009A78D7">
            <w:pPr>
              <w:pStyle w:val="TT"/>
              <w:spacing w:line="240" w:lineRule="auto"/>
              <w:jc w:val="right"/>
              <w:rPr>
                <w:rFonts w:asciiTheme="minorHAnsi" w:hAnsiTheme="minorHAnsi" w:cs="Arial"/>
                <w:b/>
                <w:iCs/>
                <w:szCs w:val="19"/>
                <w:lang w:val="hr-HR"/>
              </w:rPr>
            </w:pPr>
            <w:r>
              <w:rPr>
                <w:rFonts w:asciiTheme="minorHAnsi" w:hAnsiTheme="minorHAnsi" w:cs="Arial"/>
                <w:b/>
                <w:iCs/>
                <w:szCs w:val="19"/>
                <w:lang w:val="hr-HR"/>
              </w:rPr>
              <w:t>30,840</w:t>
            </w:r>
          </w:p>
        </w:tc>
      </w:tr>
      <w:tr w:rsidR="004240FE" w:rsidRPr="0034501D" w14:paraId="3783CF40" w14:textId="77777777" w:rsidTr="00093814">
        <w:trPr>
          <w:trHeight w:val="130"/>
        </w:trPr>
        <w:tc>
          <w:tcPr>
            <w:tcW w:w="1516" w:type="pct"/>
          </w:tcPr>
          <w:p w14:paraId="7F6862BF" w14:textId="77777777" w:rsidR="004240FE" w:rsidRPr="0034501D" w:rsidRDefault="004240FE" w:rsidP="004240FE">
            <w:pPr>
              <w:pStyle w:val="TT"/>
              <w:spacing w:line="140" w:lineRule="exact"/>
              <w:jc w:val="right"/>
              <w:rPr>
                <w:rFonts w:ascii="Calibri" w:hAnsi="Calibri" w:cs="Arial"/>
                <w:iCs/>
                <w:szCs w:val="19"/>
              </w:rPr>
            </w:pPr>
          </w:p>
        </w:tc>
        <w:tc>
          <w:tcPr>
            <w:tcW w:w="697" w:type="pct"/>
          </w:tcPr>
          <w:p w14:paraId="62A14307" w14:textId="77777777" w:rsidR="004240FE" w:rsidRPr="0034501D" w:rsidRDefault="004240FE" w:rsidP="004240FE">
            <w:pPr>
              <w:pStyle w:val="Thin"/>
              <w:tabs>
                <w:tab w:val="clear" w:pos="1202"/>
                <w:tab w:val="decimal" w:pos="1015"/>
              </w:tabs>
              <w:spacing w:line="140" w:lineRule="exact"/>
              <w:jc w:val="right"/>
              <w:rPr>
                <w:rFonts w:ascii="Calibri" w:hAnsi="Calibri" w:cs="Arial"/>
                <w:b w:val="0"/>
                <w:spacing w:val="-2"/>
                <w:sz w:val="19"/>
                <w:szCs w:val="19"/>
                <w:lang w:val="en-GB"/>
              </w:rPr>
            </w:pPr>
            <w:r w:rsidRPr="0034501D">
              <w:rPr>
                <w:rFonts w:ascii="Calibri" w:hAnsi="Calibri" w:cs="Arial"/>
                <w:b w:val="0"/>
                <w:spacing w:val="-2"/>
                <w:sz w:val="19"/>
                <w:szCs w:val="19"/>
                <w:lang w:val="en-GB"/>
              </w:rPr>
              <w:t>__________</w:t>
            </w:r>
          </w:p>
        </w:tc>
        <w:tc>
          <w:tcPr>
            <w:tcW w:w="697" w:type="pct"/>
          </w:tcPr>
          <w:p w14:paraId="5F95574E" w14:textId="77777777" w:rsidR="004240FE" w:rsidRPr="0034501D" w:rsidRDefault="004240FE" w:rsidP="004240FE">
            <w:pPr>
              <w:pStyle w:val="Thin"/>
              <w:tabs>
                <w:tab w:val="clear" w:pos="1202"/>
                <w:tab w:val="decimal" w:pos="1015"/>
              </w:tabs>
              <w:spacing w:line="140" w:lineRule="exact"/>
              <w:jc w:val="right"/>
              <w:rPr>
                <w:rFonts w:ascii="Calibri" w:hAnsi="Calibri" w:cs="Arial"/>
                <w:b w:val="0"/>
                <w:spacing w:val="-2"/>
                <w:sz w:val="19"/>
                <w:szCs w:val="19"/>
                <w:lang w:val="en-GB"/>
              </w:rPr>
            </w:pPr>
            <w:r w:rsidRPr="0034501D">
              <w:rPr>
                <w:rFonts w:ascii="Calibri" w:hAnsi="Calibri" w:cs="Arial"/>
                <w:b w:val="0"/>
                <w:spacing w:val="-2"/>
                <w:sz w:val="19"/>
                <w:szCs w:val="19"/>
                <w:lang w:val="en-GB"/>
              </w:rPr>
              <w:t>__________</w:t>
            </w:r>
          </w:p>
        </w:tc>
        <w:tc>
          <w:tcPr>
            <w:tcW w:w="697" w:type="pct"/>
          </w:tcPr>
          <w:p w14:paraId="7F433D86" w14:textId="77777777" w:rsidR="004240FE" w:rsidRPr="0034501D" w:rsidRDefault="004240FE" w:rsidP="004240FE">
            <w:pPr>
              <w:pStyle w:val="Thin"/>
              <w:tabs>
                <w:tab w:val="clear" w:pos="1202"/>
                <w:tab w:val="decimal" w:pos="1015"/>
              </w:tabs>
              <w:spacing w:line="140" w:lineRule="exact"/>
              <w:jc w:val="right"/>
              <w:rPr>
                <w:rFonts w:ascii="Calibri" w:hAnsi="Calibri" w:cs="Arial"/>
                <w:b w:val="0"/>
                <w:spacing w:val="-2"/>
                <w:sz w:val="19"/>
                <w:szCs w:val="19"/>
                <w:lang w:val="en-GB"/>
              </w:rPr>
            </w:pPr>
            <w:r w:rsidRPr="0034501D">
              <w:rPr>
                <w:rFonts w:ascii="Calibri" w:hAnsi="Calibri" w:cs="Arial"/>
                <w:b w:val="0"/>
                <w:spacing w:val="-2"/>
                <w:sz w:val="19"/>
                <w:szCs w:val="19"/>
                <w:lang w:val="en-GB"/>
              </w:rPr>
              <w:t>__________</w:t>
            </w:r>
          </w:p>
        </w:tc>
        <w:tc>
          <w:tcPr>
            <w:tcW w:w="697" w:type="pct"/>
          </w:tcPr>
          <w:p w14:paraId="519C36FD" w14:textId="77777777" w:rsidR="004240FE" w:rsidRPr="0034501D" w:rsidRDefault="004240FE" w:rsidP="004240FE">
            <w:pPr>
              <w:pStyle w:val="Thin"/>
              <w:tabs>
                <w:tab w:val="clear" w:pos="1202"/>
                <w:tab w:val="decimal" w:pos="1015"/>
              </w:tabs>
              <w:spacing w:line="140" w:lineRule="exact"/>
              <w:jc w:val="right"/>
              <w:rPr>
                <w:rFonts w:ascii="Calibri" w:hAnsi="Calibri" w:cs="Arial"/>
                <w:b w:val="0"/>
                <w:spacing w:val="-2"/>
                <w:sz w:val="19"/>
                <w:szCs w:val="19"/>
                <w:lang w:val="en-GB"/>
              </w:rPr>
            </w:pPr>
            <w:r w:rsidRPr="0034501D">
              <w:rPr>
                <w:rFonts w:ascii="Calibri" w:hAnsi="Calibri" w:cs="Arial"/>
                <w:b w:val="0"/>
                <w:spacing w:val="-2"/>
                <w:sz w:val="19"/>
                <w:szCs w:val="19"/>
                <w:lang w:val="en-GB"/>
              </w:rPr>
              <w:t>__________</w:t>
            </w:r>
          </w:p>
        </w:tc>
        <w:tc>
          <w:tcPr>
            <w:tcW w:w="696" w:type="pct"/>
          </w:tcPr>
          <w:p w14:paraId="70F664BE" w14:textId="77777777" w:rsidR="004240FE" w:rsidRPr="005444AA" w:rsidRDefault="004240FE" w:rsidP="004240FE">
            <w:pPr>
              <w:pStyle w:val="Thin"/>
              <w:tabs>
                <w:tab w:val="clear" w:pos="1202"/>
                <w:tab w:val="decimal" w:pos="1015"/>
              </w:tabs>
              <w:spacing w:line="140" w:lineRule="exact"/>
              <w:jc w:val="right"/>
              <w:rPr>
                <w:rFonts w:ascii="Calibri" w:hAnsi="Calibri" w:cs="Arial"/>
                <w:spacing w:val="-2"/>
                <w:sz w:val="19"/>
                <w:szCs w:val="19"/>
                <w:lang w:val="en-GB"/>
              </w:rPr>
            </w:pPr>
            <w:r w:rsidRPr="005444AA">
              <w:rPr>
                <w:rFonts w:ascii="Calibri" w:hAnsi="Calibri" w:cs="Arial"/>
                <w:spacing w:val="-2"/>
                <w:sz w:val="19"/>
                <w:szCs w:val="19"/>
                <w:lang w:val="en-GB"/>
              </w:rPr>
              <w:t>__________</w:t>
            </w:r>
          </w:p>
        </w:tc>
      </w:tr>
      <w:tr w:rsidR="009A78D7" w:rsidRPr="0034501D" w14:paraId="5BE5A68B" w14:textId="77777777" w:rsidTr="00673B79">
        <w:trPr>
          <w:trHeight w:val="77"/>
        </w:trPr>
        <w:tc>
          <w:tcPr>
            <w:tcW w:w="1516" w:type="pct"/>
            <w:vAlign w:val="bottom"/>
          </w:tcPr>
          <w:p w14:paraId="56B29866" w14:textId="77777777" w:rsidR="009A78D7" w:rsidRPr="00443457" w:rsidRDefault="009A78D7" w:rsidP="009A78D7">
            <w:pPr>
              <w:pStyle w:val="TT"/>
              <w:spacing w:line="240" w:lineRule="auto"/>
              <w:rPr>
                <w:rFonts w:ascii="Calibri" w:hAnsi="Calibri" w:cs="Arial"/>
                <w:iCs/>
                <w:szCs w:val="19"/>
              </w:rPr>
            </w:pPr>
            <w:r w:rsidRPr="00443457">
              <w:rPr>
                <w:rFonts w:ascii="Calibri" w:hAnsi="Calibri"/>
                <w:iCs/>
                <w:szCs w:val="19"/>
              </w:rPr>
              <w:t>Total comprehensive income</w:t>
            </w:r>
          </w:p>
        </w:tc>
        <w:tc>
          <w:tcPr>
            <w:tcW w:w="697" w:type="pct"/>
            <w:tcBorders>
              <w:top w:val="nil"/>
              <w:left w:val="nil"/>
              <w:bottom w:val="nil"/>
              <w:right w:val="nil"/>
            </w:tcBorders>
            <w:shd w:val="clear" w:color="auto" w:fill="auto"/>
            <w:vAlign w:val="bottom"/>
          </w:tcPr>
          <w:p w14:paraId="1C8D6C34" w14:textId="77777777" w:rsidR="009A78D7" w:rsidRPr="00817F9D" w:rsidRDefault="009A78D7" w:rsidP="009A78D7">
            <w:pPr>
              <w:pStyle w:val="TT"/>
              <w:spacing w:line="240" w:lineRule="auto"/>
              <w:jc w:val="right"/>
              <w:rPr>
                <w:rFonts w:asciiTheme="minorHAnsi" w:hAnsiTheme="minorHAnsi" w:cs="Arial"/>
                <w:iCs/>
                <w:szCs w:val="19"/>
                <w:lang w:val="hr-HR"/>
              </w:rPr>
            </w:pPr>
            <w:r>
              <w:rPr>
                <w:rFonts w:ascii="Calibri" w:hAnsi="Calibri"/>
                <w:color w:val="000000"/>
                <w:szCs w:val="19"/>
              </w:rPr>
              <w:t xml:space="preserve"> - </w:t>
            </w:r>
          </w:p>
        </w:tc>
        <w:tc>
          <w:tcPr>
            <w:tcW w:w="697" w:type="pct"/>
            <w:tcBorders>
              <w:top w:val="nil"/>
              <w:left w:val="nil"/>
              <w:bottom w:val="nil"/>
              <w:right w:val="nil"/>
            </w:tcBorders>
            <w:shd w:val="clear" w:color="auto" w:fill="auto"/>
            <w:vAlign w:val="bottom"/>
          </w:tcPr>
          <w:p w14:paraId="787CD6FC" w14:textId="77777777" w:rsidR="009A78D7" w:rsidRPr="00817F9D" w:rsidRDefault="009A78D7" w:rsidP="009A78D7">
            <w:pPr>
              <w:pStyle w:val="TT"/>
              <w:spacing w:line="240" w:lineRule="auto"/>
              <w:jc w:val="right"/>
              <w:rPr>
                <w:rFonts w:asciiTheme="minorHAnsi" w:hAnsiTheme="minorHAnsi" w:cs="Arial"/>
                <w:iCs/>
                <w:szCs w:val="19"/>
                <w:lang w:val="hr-HR"/>
              </w:rPr>
            </w:pPr>
            <w:r>
              <w:rPr>
                <w:rFonts w:ascii="Calibri" w:hAnsi="Calibri"/>
                <w:color w:val="000000"/>
                <w:szCs w:val="19"/>
              </w:rPr>
              <w:t xml:space="preserve"> - </w:t>
            </w:r>
          </w:p>
        </w:tc>
        <w:tc>
          <w:tcPr>
            <w:tcW w:w="697" w:type="pct"/>
            <w:tcBorders>
              <w:top w:val="nil"/>
              <w:left w:val="nil"/>
              <w:bottom w:val="nil"/>
              <w:right w:val="nil"/>
            </w:tcBorders>
            <w:shd w:val="clear" w:color="auto" w:fill="auto"/>
            <w:vAlign w:val="bottom"/>
          </w:tcPr>
          <w:p w14:paraId="6850886A" w14:textId="16B308A8" w:rsidR="009A78D7" w:rsidRPr="00817F9D" w:rsidRDefault="009A78D7" w:rsidP="009A78D7">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30,840</w:t>
            </w:r>
          </w:p>
        </w:tc>
        <w:tc>
          <w:tcPr>
            <w:tcW w:w="697" w:type="pct"/>
            <w:tcBorders>
              <w:top w:val="nil"/>
              <w:left w:val="nil"/>
              <w:bottom w:val="nil"/>
              <w:right w:val="nil"/>
            </w:tcBorders>
            <w:shd w:val="clear" w:color="auto" w:fill="auto"/>
            <w:vAlign w:val="bottom"/>
          </w:tcPr>
          <w:p w14:paraId="748E48E9" w14:textId="6D5FDB76" w:rsidR="009A78D7" w:rsidRPr="00817F9D" w:rsidRDefault="009A78D7" w:rsidP="009A78D7">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159,778</w:t>
            </w:r>
          </w:p>
        </w:tc>
        <w:tc>
          <w:tcPr>
            <w:tcW w:w="696" w:type="pct"/>
            <w:tcBorders>
              <w:top w:val="nil"/>
              <w:left w:val="nil"/>
              <w:bottom w:val="nil"/>
              <w:right w:val="nil"/>
            </w:tcBorders>
            <w:shd w:val="clear" w:color="auto" w:fill="auto"/>
            <w:vAlign w:val="bottom"/>
          </w:tcPr>
          <w:p w14:paraId="118FFCE5" w14:textId="1173342F" w:rsidR="009A78D7" w:rsidRPr="005A338B" w:rsidRDefault="009A78D7" w:rsidP="009A78D7">
            <w:pPr>
              <w:pStyle w:val="TT"/>
              <w:spacing w:line="240" w:lineRule="auto"/>
              <w:jc w:val="right"/>
              <w:rPr>
                <w:rFonts w:asciiTheme="minorHAnsi" w:hAnsiTheme="minorHAnsi" w:cs="Arial"/>
                <w:b/>
                <w:iCs/>
                <w:szCs w:val="19"/>
                <w:lang w:val="hr-HR"/>
              </w:rPr>
            </w:pPr>
            <w:r>
              <w:rPr>
                <w:rFonts w:asciiTheme="minorHAnsi" w:hAnsiTheme="minorHAnsi" w:cs="Arial"/>
                <w:b/>
                <w:iCs/>
                <w:szCs w:val="19"/>
                <w:lang w:val="hr-HR"/>
              </w:rPr>
              <w:t>190,618</w:t>
            </w:r>
          </w:p>
        </w:tc>
      </w:tr>
      <w:tr w:rsidR="004240FE" w:rsidRPr="0034501D" w14:paraId="001177E0" w14:textId="77777777" w:rsidTr="00093814">
        <w:trPr>
          <w:trHeight w:val="130"/>
        </w:trPr>
        <w:tc>
          <w:tcPr>
            <w:tcW w:w="1516" w:type="pct"/>
          </w:tcPr>
          <w:p w14:paraId="14331C08" w14:textId="77777777" w:rsidR="004240FE" w:rsidRPr="0034501D" w:rsidRDefault="004240FE" w:rsidP="004240FE">
            <w:pPr>
              <w:pStyle w:val="TT"/>
              <w:spacing w:line="140" w:lineRule="exact"/>
              <w:jc w:val="right"/>
              <w:rPr>
                <w:rFonts w:ascii="Calibri" w:hAnsi="Calibri" w:cs="Arial"/>
                <w:iCs/>
                <w:szCs w:val="19"/>
              </w:rPr>
            </w:pPr>
          </w:p>
        </w:tc>
        <w:tc>
          <w:tcPr>
            <w:tcW w:w="697" w:type="pct"/>
          </w:tcPr>
          <w:p w14:paraId="07C72A37" w14:textId="77777777" w:rsidR="004240FE" w:rsidRPr="0034501D" w:rsidRDefault="004240FE" w:rsidP="004240FE">
            <w:pPr>
              <w:pStyle w:val="Thin"/>
              <w:tabs>
                <w:tab w:val="clear" w:pos="1202"/>
                <w:tab w:val="decimal" w:pos="1015"/>
              </w:tabs>
              <w:spacing w:line="140" w:lineRule="exact"/>
              <w:jc w:val="right"/>
              <w:rPr>
                <w:rFonts w:ascii="Calibri" w:hAnsi="Calibri" w:cs="Arial"/>
                <w:b w:val="0"/>
                <w:spacing w:val="-2"/>
                <w:sz w:val="19"/>
                <w:szCs w:val="19"/>
                <w:lang w:val="en-GB"/>
              </w:rPr>
            </w:pPr>
            <w:r w:rsidRPr="0034501D">
              <w:rPr>
                <w:rFonts w:ascii="Calibri" w:hAnsi="Calibri" w:cs="Arial"/>
                <w:b w:val="0"/>
                <w:spacing w:val="-2"/>
                <w:sz w:val="19"/>
                <w:szCs w:val="19"/>
                <w:lang w:val="en-GB"/>
              </w:rPr>
              <w:t>__________</w:t>
            </w:r>
          </w:p>
        </w:tc>
        <w:tc>
          <w:tcPr>
            <w:tcW w:w="697" w:type="pct"/>
          </w:tcPr>
          <w:p w14:paraId="7EAB2225" w14:textId="77777777" w:rsidR="004240FE" w:rsidRPr="0034501D" w:rsidRDefault="004240FE" w:rsidP="004240FE">
            <w:pPr>
              <w:pStyle w:val="Thin"/>
              <w:tabs>
                <w:tab w:val="clear" w:pos="1202"/>
                <w:tab w:val="decimal" w:pos="1015"/>
              </w:tabs>
              <w:spacing w:line="140" w:lineRule="exact"/>
              <w:jc w:val="right"/>
              <w:rPr>
                <w:rFonts w:ascii="Calibri" w:hAnsi="Calibri" w:cs="Arial"/>
                <w:b w:val="0"/>
                <w:spacing w:val="-2"/>
                <w:sz w:val="19"/>
                <w:szCs w:val="19"/>
                <w:lang w:val="en-GB"/>
              </w:rPr>
            </w:pPr>
            <w:r w:rsidRPr="0034501D">
              <w:rPr>
                <w:rFonts w:ascii="Calibri" w:hAnsi="Calibri" w:cs="Arial"/>
                <w:b w:val="0"/>
                <w:spacing w:val="-2"/>
                <w:sz w:val="19"/>
                <w:szCs w:val="19"/>
                <w:lang w:val="en-GB"/>
              </w:rPr>
              <w:t>__________</w:t>
            </w:r>
          </w:p>
        </w:tc>
        <w:tc>
          <w:tcPr>
            <w:tcW w:w="697" w:type="pct"/>
          </w:tcPr>
          <w:p w14:paraId="0649DF0E" w14:textId="77777777" w:rsidR="004240FE" w:rsidRPr="0034501D" w:rsidRDefault="004240FE" w:rsidP="004240FE">
            <w:pPr>
              <w:pStyle w:val="Thin"/>
              <w:tabs>
                <w:tab w:val="clear" w:pos="1202"/>
                <w:tab w:val="decimal" w:pos="1015"/>
              </w:tabs>
              <w:spacing w:line="140" w:lineRule="exact"/>
              <w:jc w:val="right"/>
              <w:rPr>
                <w:rFonts w:ascii="Calibri" w:hAnsi="Calibri" w:cs="Arial"/>
                <w:b w:val="0"/>
                <w:spacing w:val="-2"/>
                <w:sz w:val="19"/>
                <w:szCs w:val="19"/>
                <w:lang w:val="en-GB"/>
              </w:rPr>
            </w:pPr>
            <w:r w:rsidRPr="0034501D">
              <w:rPr>
                <w:rFonts w:ascii="Calibri" w:hAnsi="Calibri" w:cs="Arial"/>
                <w:b w:val="0"/>
                <w:spacing w:val="-2"/>
                <w:sz w:val="19"/>
                <w:szCs w:val="19"/>
                <w:lang w:val="en-GB"/>
              </w:rPr>
              <w:t>__________</w:t>
            </w:r>
          </w:p>
        </w:tc>
        <w:tc>
          <w:tcPr>
            <w:tcW w:w="697" w:type="pct"/>
          </w:tcPr>
          <w:p w14:paraId="5AFEC811" w14:textId="77777777" w:rsidR="004240FE" w:rsidRPr="0034501D" w:rsidRDefault="004240FE" w:rsidP="004240FE">
            <w:pPr>
              <w:pStyle w:val="Thin"/>
              <w:tabs>
                <w:tab w:val="clear" w:pos="1202"/>
                <w:tab w:val="decimal" w:pos="1015"/>
              </w:tabs>
              <w:spacing w:line="140" w:lineRule="exact"/>
              <w:jc w:val="right"/>
              <w:rPr>
                <w:rFonts w:ascii="Calibri" w:hAnsi="Calibri" w:cs="Arial"/>
                <w:b w:val="0"/>
                <w:spacing w:val="-2"/>
                <w:sz w:val="19"/>
                <w:szCs w:val="19"/>
                <w:lang w:val="en-GB"/>
              </w:rPr>
            </w:pPr>
            <w:r w:rsidRPr="0034501D">
              <w:rPr>
                <w:rFonts w:ascii="Calibri" w:hAnsi="Calibri" w:cs="Arial"/>
                <w:b w:val="0"/>
                <w:spacing w:val="-2"/>
                <w:sz w:val="19"/>
                <w:szCs w:val="19"/>
                <w:lang w:val="en-GB"/>
              </w:rPr>
              <w:t>__________</w:t>
            </w:r>
          </w:p>
        </w:tc>
        <w:tc>
          <w:tcPr>
            <w:tcW w:w="696" w:type="pct"/>
          </w:tcPr>
          <w:p w14:paraId="7B4E25EA" w14:textId="77777777" w:rsidR="004240FE" w:rsidRPr="005444AA" w:rsidRDefault="004240FE" w:rsidP="004240FE">
            <w:pPr>
              <w:pStyle w:val="Thin"/>
              <w:tabs>
                <w:tab w:val="clear" w:pos="1202"/>
                <w:tab w:val="decimal" w:pos="1015"/>
              </w:tabs>
              <w:spacing w:line="140" w:lineRule="exact"/>
              <w:jc w:val="right"/>
              <w:rPr>
                <w:rFonts w:ascii="Calibri" w:hAnsi="Calibri" w:cs="Arial"/>
                <w:spacing w:val="-2"/>
                <w:sz w:val="19"/>
                <w:szCs w:val="19"/>
                <w:lang w:val="en-GB"/>
              </w:rPr>
            </w:pPr>
            <w:r w:rsidRPr="005444AA">
              <w:rPr>
                <w:rFonts w:ascii="Calibri" w:hAnsi="Calibri" w:cs="Arial"/>
                <w:spacing w:val="-2"/>
                <w:sz w:val="19"/>
                <w:szCs w:val="19"/>
                <w:lang w:val="en-GB"/>
              </w:rPr>
              <w:t>__________</w:t>
            </w:r>
          </w:p>
        </w:tc>
      </w:tr>
      <w:tr w:rsidR="004240FE" w:rsidRPr="0034501D" w14:paraId="3E892BC2" w14:textId="77777777" w:rsidTr="00673B79">
        <w:trPr>
          <w:trHeight w:val="378"/>
        </w:trPr>
        <w:tc>
          <w:tcPr>
            <w:tcW w:w="1516" w:type="pct"/>
          </w:tcPr>
          <w:p w14:paraId="39307536" w14:textId="77777777" w:rsidR="004240FE" w:rsidRPr="0034501D" w:rsidRDefault="004240FE" w:rsidP="004240FE">
            <w:pPr>
              <w:pStyle w:val="TT"/>
              <w:spacing w:line="240" w:lineRule="auto"/>
              <w:rPr>
                <w:rFonts w:ascii="Calibri" w:hAnsi="Calibri" w:cs="Arial"/>
                <w:i/>
                <w:iCs/>
                <w:szCs w:val="19"/>
              </w:rPr>
            </w:pPr>
            <w:r w:rsidRPr="0034501D">
              <w:rPr>
                <w:rFonts w:ascii="Calibri" w:hAnsi="Calibri"/>
                <w:iCs/>
                <w:szCs w:val="19"/>
              </w:rPr>
              <w:t>Capital paid-in from the State Budget</w:t>
            </w:r>
          </w:p>
        </w:tc>
        <w:tc>
          <w:tcPr>
            <w:tcW w:w="697" w:type="pct"/>
            <w:tcBorders>
              <w:top w:val="nil"/>
              <w:left w:val="nil"/>
              <w:bottom w:val="nil"/>
              <w:right w:val="nil"/>
            </w:tcBorders>
            <w:shd w:val="clear" w:color="auto" w:fill="auto"/>
            <w:vAlign w:val="bottom"/>
          </w:tcPr>
          <w:p w14:paraId="130D723C" w14:textId="77777777" w:rsidR="004240FE" w:rsidRPr="00CA37C8" w:rsidRDefault="004240FE" w:rsidP="004240FE">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w:t>
            </w:r>
          </w:p>
        </w:tc>
        <w:tc>
          <w:tcPr>
            <w:tcW w:w="697" w:type="pct"/>
            <w:tcBorders>
              <w:top w:val="nil"/>
              <w:left w:val="nil"/>
              <w:bottom w:val="nil"/>
              <w:right w:val="nil"/>
            </w:tcBorders>
            <w:shd w:val="clear" w:color="auto" w:fill="auto"/>
            <w:vAlign w:val="bottom"/>
          </w:tcPr>
          <w:p w14:paraId="05E43234" w14:textId="77777777" w:rsidR="004240FE" w:rsidRPr="00CA37C8" w:rsidRDefault="004240FE" w:rsidP="004240FE">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w:t>
            </w:r>
          </w:p>
        </w:tc>
        <w:tc>
          <w:tcPr>
            <w:tcW w:w="697" w:type="pct"/>
            <w:tcBorders>
              <w:top w:val="nil"/>
              <w:left w:val="nil"/>
              <w:bottom w:val="nil"/>
              <w:right w:val="nil"/>
            </w:tcBorders>
            <w:shd w:val="clear" w:color="auto" w:fill="auto"/>
            <w:vAlign w:val="bottom"/>
          </w:tcPr>
          <w:p w14:paraId="1E66B688" w14:textId="77777777" w:rsidR="004240FE" w:rsidRPr="00CA37C8" w:rsidRDefault="004240FE" w:rsidP="004240FE">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w:t>
            </w:r>
          </w:p>
        </w:tc>
        <w:tc>
          <w:tcPr>
            <w:tcW w:w="697" w:type="pct"/>
            <w:tcBorders>
              <w:top w:val="nil"/>
              <w:left w:val="nil"/>
              <w:bottom w:val="nil"/>
              <w:right w:val="nil"/>
            </w:tcBorders>
            <w:shd w:val="clear" w:color="auto" w:fill="auto"/>
            <w:vAlign w:val="bottom"/>
          </w:tcPr>
          <w:p w14:paraId="65753760" w14:textId="77777777" w:rsidR="004240FE" w:rsidRPr="00CA37C8" w:rsidRDefault="004240FE" w:rsidP="004240FE">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w:t>
            </w:r>
          </w:p>
        </w:tc>
        <w:tc>
          <w:tcPr>
            <w:tcW w:w="696" w:type="pct"/>
            <w:tcBorders>
              <w:top w:val="nil"/>
              <w:left w:val="nil"/>
              <w:bottom w:val="nil"/>
              <w:right w:val="nil"/>
            </w:tcBorders>
            <w:shd w:val="clear" w:color="auto" w:fill="auto"/>
            <w:vAlign w:val="bottom"/>
          </w:tcPr>
          <w:p w14:paraId="5CDA5203" w14:textId="77777777" w:rsidR="004240FE" w:rsidRPr="005A338B" w:rsidRDefault="004240FE" w:rsidP="004240FE">
            <w:pPr>
              <w:pStyle w:val="TT"/>
              <w:spacing w:line="240" w:lineRule="auto"/>
              <w:jc w:val="right"/>
              <w:rPr>
                <w:rFonts w:asciiTheme="minorHAnsi" w:hAnsiTheme="minorHAnsi" w:cs="Arial"/>
                <w:b/>
                <w:iCs/>
                <w:szCs w:val="19"/>
                <w:lang w:val="hr-HR"/>
              </w:rPr>
            </w:pPr>
            <w:r w:rsidRPr="005A338B">
              <w:rPr>
                <w:rFonts w:asciiTheme="minorHAnsi" w:hAnsiTheme="minorHAnsi" w:cs="Arial"/>
                <w:b/>
                <w:iCs/>
                <w:szCs w:val="19"/>
                <w:lang w:val="hr-HR"/>
              </w:rPr>
              <w:t>-</w:t>
            </w:r>
          </w:p>
        </w:tc>
      </w:tr>
      <w:tr w:rsidR="009A78D7" w:rsidRPr="0034501D" w14:paraId="6148498D" w14:textId="77777777" w:rsidTr="00673B79">
        <w:trPr>
          <w:trHeight w:val="462"/>
        </w:trPr>
        <w:tc>
          <w:tcPr>
            <w:tcW w:w="1516" w:type="pct"/>
          </w:tcPr>
          <w:p w14:paraId="2F60962E" w14:textId="77777777" w:rsidR="009A78D7" w:rsidRPr="0034501D" w:rsidRDefault="009A78D7" w:rsidP="009A78D7">
            <w:pPr>
              <w:pStyle w:val="TT"/>
              <w:spacing w:line="240" w:lineRule="auto"/>
              <w:rPr>
                <w:rFonts w:ascii="Calibri" w:hAnsi="Calibri" w:cs="Arial"/>
                <w:i/>
                <w:iCs/>
                <w:szCs w:val="19"/>
              </w:rPr>
            </w:pPr>
            <w:r w:rsidRPr="0034501D">
              <w:rPr>
                <w:rFonts w:ascii="Calibri" w:hAnsi="Calibri"/>
                <w:iCs/>
                <w:szCs w:val="19"/>
              </w:rPr>
              <w:t>Transfer of profit 201</w:t>
            </w:r>
            <w:r>
              <w:rPr>
                <w:rFonts w:ascii="Calibri" w:hAnsi="Calibri"/>
                <w:iCs/>
                <w:szCs w:val="19"/>
              </w:rPr>
              <w:t>5</w:t>
            </w:r>
            <w:r w:rsidRPr="0034501D">
              <w:rPr>
                <w:rFonts w:ascii="Calibri" w:hAnsi="Calibri"/>
                <w:iCs/>
                <w:szCs w:val="19"/>
              </w:rPr>
              <w:t xml:space="preserve"> to retained earnings</w:t>
            </w:r>
            <w:r w:rsidRPr="0034501D">
              <w:rPr>
                <w:rFonts w:ascii="Calibri" w:hAnsi="Calibri" w:cs="Arial"/>
                <w:iCs/>
                <w:szCs w:val="19"/>
              </w:rPr>
              <w:t xml:space="preserve"> </w:t>
            </w:r>
          </w:p>
        </w:tc>
        <w:tc>
          <w:tcPr>
            <w:tcW w:w="697" w:type="pct"/>
            <w:tcBorders>
              <w:top w:val="nil"/>
              <w:left w:val="nil"/>
              <w:bottom w:val="nil"/>
              <w:right w:val="nil"/>
            </w:tcBorders>
            <w:shd w:val="clear" w:color="auto" w:fill="auto"/>
            <w:vAlign w:val="bottom"/>
          </w:tcPr>
          <w:p w14:paraId="276E4159" w14:textId="77777777" w:rsidR="009A78D7" w:rsidRPr="00080316" w:rsidRDefault="009A78D7" w:rsidP="009A78D7">
            <w:pPr>
              <w:tabs>
                <w:tab w:val="left" w:pos="1134"/>
                <w:tab w:val="right" w:pos="1202"/>
              </w:tabs>
              <w:spacing w:after="0" w:line="240" w:lineRule="auto"/>
              <w:jc w:val="right"/>
              <w:outlineLvl w:val="0"/>
              <w:rPr>
                <w:rFonts w:eastAsia="Times New Roman" w:cs="Arial"/>
                <w:iCs/>
                <w:sz w:val="19"/>
                <w:szCs w:val="19"/>
                <w:lang w:val="en-US"/>
              </w:rPr>
            </w:pPr>
            <w:r w:rsidRPr="00080316">
              <w:rPr>
                <w:rFonts w:eastAsia="Times New Roman"/>
                <w:color w:val="000000"/>
                <w:sz w:val="19"/>
                <w:szCs w:val="19"/>
                <w:lang w:val="en-US"/>
              </w:rPr>
              <w:t>-</w:t>
            </w:r>
          </w:p>
        </w:tc>
        <w:tc>
          <w:tcPr>
            <w:tcW w:w="697" w:type="pct"/>
            <w:tcBorders>
              <w:top w:val="nil"/>
              <w:left w:val="nil"/>
              <w:bottom w:val="nil"/>
              <w:right w:val="nil"/>
            </w:tcBorders>
            <w:shd w:val="clear" w:color="auto" w:fill="auto"/>
            <w:vAlign w:val="bottom"/>
          </w:tcPr>
          <w:p w14:paraId="4BCDB69E" w14:textId="0BA59B5C" w:rsidR="009A78D7" w:rsidRPr="006B318F" w:rsidRDefault="009A78D7" w:rsidP="006B318F">
            <w:pPr>
              <w:pStyle w:val="TT"/>
              <w:spacing w:line="240" w:lineRule="auto"/>
              <w:jc w:val="right"/>
              <w:rPr>
                <w:rFonts w:asciiTheme="minorHAnsi" w:hAnsiTheme="minorHAnsi" w:cs="Arial"/>
                <w:iCs/>
                <w:szCs w:val="19"/>
                <w:lang w:val="hr-HR"/>
              </w:rPr>
            </w:pPr>
            <w:r w:rsidRPr="006B318F">
              <w:rPr>
                <w:rFonts w:asciiTheme="minorHAnsi" w:hAnsiTheme="minorHAnsi" w:cs="Arial"/>
                <w:iCs/>
                <w:szCs w:val="19"/>
                <w:lang w:val="hr-HR"/>
              </w:rPr>
              <w:t>206,265</w:t>
            </w:r>
          </w:p>
        </w:tc>
        <w:tc>
          <w:tcPr>
            <w:tcW w:w="697" w:type="pct"/>
            <w:tcBorders>
              <w:top w:val="nil"/>
              <w:left w:val="nil"/>
              <w:bottom w:val="nil"/>
              <w:right w:val="nil"/>
            </w:tcBorders>
            <w:shd w:val="clear" w:color="auto" w:fill="auto"/>
            <w:vAlign w:val="bottom"/>
          </w:tcPr>
          <w:p w14:paraId="2DE3A996" w14:textId="6B45D94F" w:rsidR="009A78D7" w:rsidRPr="006B318F" w:rsidRDefault="009A78D7" w:rsidP="006B318F">
            <w:pPr>
              <w:pStyle w:val="TT"/>
              <w:spacing w:line="240" w:lineRule="auto"/>
              <w:jc w:val="right"/>
              <w:rPr>
                <w:rFonts w:asciiTheme="minorHAnsi" w:hAnsiTheme="minorHAnsi" w:cs="Arial"/>
                <w:iCs/>
                <w:szCs w:val="19"/>
                <w:lang w:val="hr-HR"/>
              </w:rPr>
            </w:pPr>
            <w:r w:rsidRPr="006B318F">
              <w:rPr>
                <w:rFonts w:asciiTheme="minorHAnsi" w:hAnsiTheme="minorHAnsi" w:cs="Arial"/>
                <w:iCs/>
                <w:szCs w:val="19"/>
                <w:lang w:val="hr-HR"/>
              </w:rPr>
              <w:t>-</w:t>
            </w:r>
          </w:p>
        </w:tc>
        <w:tc>
          <w:tcPr>
            <w:tcW w:w="697" w:type="pct"/>
            <w:tcBorders>
              <w:top w:val="nil"/>
              <w:left w:val="nil"/>
              <w:bottom w:val="nil"/>
              <w:right w:val="nil"/>
            </w:tcBorders>
            <w:shd w:val="clear" w:color="auto" w:fill="auto"/>
            <w:vAlign w:val="bottom"/>
          </w:tcPr>
          <w:p w14:paraId="11ED9F56" w14:textId="71AE9113" w:rsidR="009A78D7" w:rsidRPr="006B318F" w:rsidRDefault="009A78D7" w:rsidP="006B318F">
            <w:pPr>
              <w:pStyle w:val="TT"/>
              <w:spacing w:line="240" w:lineRule="auto"/>
              <w:jc w:val="right"/>
              <w:rPr>
                <w:rFonts w:asciiTheme="minorHAnsi" w:hAnsiTheme="minorHAnsi" w:cs="Arial"/>
                <w:iCs/>
                <w:szCs w:val="19"/>
                <w:lang w:val="hr-HR"/>
              </w:rPr>
            </w:pPr>
            <w:r w:rsidRPr="006B318F">
              <w:rPr>
                <w:rFonts w:asciiTheme="minorHAnsi" w:hAnsiTheme="minorHAnsi" w:cs="Arial"/>
                <w:iCs/>
                <w:szCs w:val="19"/>
                <w:lang w:val="hr-HR"/>
              </w:rPr>
              <w:t xml:space="preserve">          (206,265)</w:t>
            </w:r>
          </w:p>
        </w:tc>
        <w:tc>
          <w:tcPr>
            <w:tcW w:w="696" w:type="pct"/>
            <w:tcBorders>
              <w:top w:val="nil"/>
              <w:left w:val="nil"/>
              <w:bottom w:val="nil"/>
              <w:right w:val="nil"/>
            </w:tcBorders>
            <w:shd w:val="clear" w:color="auto" w:fill="auto"/>
            <w:vAlign w:val="bottom"/>
          </w:tcPr>
          <w:p w14:paraId="6406506D" w14:textId="77777777" w:rsidR="009A78D7" w:rsidRPr="005A338B" w:rsidRDefault="009A78D7" w:rsidP="009A78D7">
            <w:pPr>
              <w:tabs>
                <w:tab w:val="left" w:pos="1134"/>
                <w:tab w:val="right" w:pos="1202"/>
              </w:tabs>
              <w:spacing w:after="0" w:line="240" w:lineRule="auto"/>
              <w:jc w:val="right"/>
              <w:outlineLvl w:val="0"/>
              <w:rPr>
                <w:rFonts w:eastAsia="Times New Roman" w:cs="Arial"/>
                <w:b/>
                <w:iCs/>
                <w:sz w:val="19"/>
                <w:szCs w:val="19"/>
                <w:lang w:val="en-US"/>
              </w:rPr>
            </w:pPr>
            <w:r w:rsidRPr="005A338B">
              <w:rPr>
                <w:rFonts w:eastAsia="Times New Roman"/>
                <w:b/>
                <w:color w:val="000000"/>
                <w:sz w:val="19"/>
                <w:szCs w:val="19"/>
                <w:lang w:val="en-US"/>
              </w:rPr>
              <w:t xml:space="preserve">                         - </w:t>
            </w:r>
          </w:p>
        </w:tc>
      </w:tr>
      <w:tr w:rsidR="004240FE" w:rsidRPr="0034501D" w14:paraId="3A41F5FF" w14:textId="77777777" w:rsidTr="00673B79">
        <w:trPr>
          <w:trHeight w:val="130"/>
        </w:trPr>
        <w:tc>
          <w:tcPr>
            <w:tcW w:w="1516" w:type="pct"/>
          </w:tcPr>
          <w:p w14:paraId="2D3A8BE7" w14:textId="77777777" w:rsidR="004240FE" w:rsidRPr="0034501D" w:rsidRDefault="004240FE" w:rsidP="004240FE">
            <w:pPr>
              <w:pStyle w:val="TT"/>
              <w:spacing w:line="240" w:lineRule="auto"/>
              <w:rPr>
                <w:rFonts w:ascii="Calibri" w:hAnsi="Calibri"/>
                <w:iCs/>
                <w:szCs w:val="19"/>
              </w:rPr>
            </w:pPr>
          </w:p>
        </w:tc>
        <w:tc>
          <w:tcPr>
            <w:tcW w:w="697" w:type="pct"/>
            <w:shd w:val="clear" w:color="auto" w:fill="auto"/>
          </w:tcPr>
          <w:p w14:paraId="3A15E30D" w14:textId="77777777" w:rsidR="004240FE" w:rsidRPr="00817F9D" w:rsidRDefault="004240FE" w:rsidP="004240FE">
            <w:pPr>
              <w:pStyle w:val="Thin"/>
              <w:tabs>
                <w:tab w:val="clear" w:pos="1202"/>
                <w:tab w:val="decimal" w:pos="1015"/>
              </w:tabs>
              <w:spacing w:line="140" w:lineRule="exact"/>
              <w:jc w:val="right"/>
              <w:rPr>
                <w:rFonts w:asciiTheme="minorHAnsi" w:hAnsiTheme="minorHAnsi" w:cs="Arial"/>
                <w:spacing w:val="-2"/>
                <w:szCs w:val="19"/>
                <w:lang w:val="hr-HR"/>
              </w:rPr>
            </w:pPr>
            <w:r w:rsidRPr="00CA37C8">
              <w:rPr>
                <w:rFonts w:asciiTheme="minorHAnsi" w:hAnsiTheme="minorHAnsi" w:cs="Arial"/>
                <w:b w:val="0"/>
                <w:spacing w:val="-2"/>
                <w:sz w:val="19"/>
                <w:szCs w:val="19"/>
                <w:lang w:val="hr-HR"/>
              </w:rPr>
              <w:t>__________</w:t>
            </w:r>
          </w:p>
        </w:tc>
        <w:tc>
          <w:tcPr>
            <w:tcW w:w="697" w:type="pct"/>
            <w:shd w:val="clear" w:color="auto" w:fill="auto"/>
          </w:tcPr>
          <w:p w14:paraId="74B44429" w14:textId="77777777" w:rsidR="004240FE" w:rsidRPr="00817F9D" w:rsidRDefault="004240FE" w:rsidP="004240FE">
            <w:pPr>
              <w:pStyle w:val="Thin"/>
              <w:tabs>
                <w:tab w:val="clear" w:pos="1202"/>
                <w:tab w:val="decimal" w:pos="1015"/>
              </w:tabs>
              <w:spacing w:line="140" w:lineRule="exact"/>
              <w:jc w:val="right"/>
              <w:rPr>
                <w:rFonts w:asciiTheme="minorHAnsi" w:hAnsiTheme="minorHAnsi" w:cs="Arial"/>
                <w:spacing w:val="-2"/>
                <w:szCs w:val="19"/>
                <w:lang w:val="hr-HR"/>
              </w:rPr>
            </w:pPr>
            <w:r w:rsidRPr="00CA37C8">
              <w:rPr>
                <w:rFonts w:asciiTheme="minorHAnsi" w:hAnsiTheme="minorHAnsi" w:cs="Arial"/>
                <w:b w:val="0"/>
                <w:spacing w:val="-2"/>
                <w:sz w:val="19"/>
                <w:szCs w:val="19"/>
                <w:lang w:val="hr-HR"/>
              </w:rPr>
              <w:t>__________</w:t>
            </w:r>
          </w:p>
        </w:tc>
        <w:tc>
          <w:tcPr>
            <w:tcW w:w="697" w:type="pct"/>
            <w:shd w:val="clear" w:color="auto" w:fill="auto"/>
          </w:tcPr>
          <w:p w14:paraId="42A7BBF3" w14:textId="77777777" w:rsidR="004240FE" w:rsidRPr="00817F9D" w:rsidRDefault="004240FE" w:rsidP="004240FE">
            <w:pPr>
              <w:pStyle w:val="Thin"/>
              <w:tabs>
                <w:tab w:val="clear" w:pos="1202"/>
                <w:tab w:val="decimal" w:pos="1015"/>
              </w:tabs>
              <w:spacing w:line="140" w:lineRule="exact"/>
              <w:jc w:val="right"/>
              <w:rPr>
                <w:rFonts w:asciiTheme="minorHAnsi" w:hAnsiTheme="minorHAnsi" w:cs="Arial"/>
                <w:spacing w:val="-2"/>
                <w:szCs w:val="19"/>
                <w:lang w:val="hr-HR"/>
              </w:rPr>
            </w:pPr>
            <w:r w:rsidRPr="00CA37C8">
              <w:rPr>
                <w:rFonts w:asciiTheme="minorHAnsi" w:hAnsiTheme="minorHAnsi" w:cs="Arial"/>
                <w:b w:val="0"/>
                <w:spacing w:val="-2"/>
                <w:sz w:val="19"/>
                <w:szCs w:val="19"/>
                <w:lang w:val="hr-HR"/>
              </w:rPr>
              <w:t>__________</w:t>
            </w:r>
          </w:p>
        </w:tc>
        <w:tc>
          <w:tcPr>
            <w:tcW w:w="697" w:type="pct"/>
            <w:shd w:val="clear" w:color="auto" w:fill="auto"/>
          </w:tcPr>
          <w:p w14:paraId="37E23836" w14:textId="77777777" w:rsidR="004240FE" w:rsidRPr="00817F9D" w:rsidRDefault="004240FE" w:rsidP="004240FE">
            <w:pPr>
              <w:pStyle w:val="Thin"/>
              <w:tabs>
                <w:tab w:val="clear" w:pos="1202"/>
                <w:tab w:val="decimal" w:pos="1015"/>
              </w:tabs>
              <w:spacing w:line="140" w:lineRule="exact"/>
              <w:jc w:val="right"/>
              <w:rPr>
                <w:rFonts w:asciiTheme="minorHAnsi" w:hAnsiTheme="minorHAnsi" w:cs="Arial"/>
                <w:spacing w:val="-2"/>
                <w:szCs w:val="19"/>
                <w:lang w:val="hr-HR"/>
              </w:rPr>
            </w:pPr>
            <w:r w:rsidRPr="00CA37C8">
              <w:rPr>
                <w:rFonts w:asciiTheme="minorHAnsi" w:hAnsiTheme="minorHAnsi" w:cs="Arial"/>
                <w:b w:val="0"/>
                <w:spacing w:val="-2"/>
                <w:sz w:val="19"/>
                <w:szCs w:val="19"/>
                <w:lang w:val="hr-HR"/>
              </w:rPr>
              <w:t>__________</w:t>
            </w:r>
          </w:p>
        </w:tc>
        <w:tc>
          <w:tcPr>
            <w:tcW w:w="696" w:type="pct"/>
            <w:shd w:val="clear" w:color="auto" w:fill="auto"/>
          </w:tcPr>
          <w:p w14:paraId="7C934EC6" w14:textId="77777777" w:rsidR="004240FE" w:rsidRPr="005A338B" w:rsidRDefault="004240FE" w:rsidP="004240FE">
            <w:pPr>
              <w:pStyle w:val="Thin"/>
              <w:tabs>
                <w:tab w:val="clear" w:pos="1202"/>
                <w:tab w:val="decimal" w:pos="1015"/>
              </w:tabs>
              <w:spacing w:line="140" w:lineRule="exact"/>
              <w:jc w:val="right"/>
              <w:rPr>
                <w:rFonts w:asciiTheme="minorHAnsi" w:hAnsiTheme="minorHAnsi" w:cs="Arial"/>
                <w:spacing w:val="-2"/>
                <w:szCs w:val="19"/>
                <w:lang w:val="hr-HR"/>
              </w:rPr>
            </w:pPr>
            <w:r w:rsidRPr="005444AA">
              <w:rPr>
                <w:rFonts w:asciiTheme="minorHAnsi" w:hAnsiTheme="minorHAnsi" w:cs="Arial"/>
                <w:spacing w:val="-2"/>
                <w:sz w:val="19"/>
                <w:szCs w:val="19"/>
                <w:lang w:val="hr-HR"/>
              </w:rPr>
              <w:t>__________</w:t>
            </w:r>
          </w:p>
        </w:tc>
      </w:tr>
      <w:tr w:rsidR="009A78D7" w:rsidRPr="0034501D" w14:paraId="7E2C2ACE" w14:textId="77777777" w:rsidTr="00530019">
        <w:trPr>
          <w:trHeight w:hRule="exact" w:val="354"/>
        </w:trPr>
        <w:tc>
          <w:tcPr>
            <w:tcW w:w="1516" w:type="pct"/>
            <w:vAlign w:val="bottom"/>
          </w:tcPr>
          <w:p w14:paraId="0F86F90D" w14:textId="1AC6DB56" w:rsidR="009A78D7" w:rsidRPr="0034501D" w:rsidRDefault="009A78D7" w:rsidP="00A63E7A">
            <w:pPr>
              <w:pStyle w:val="TT"/>
              <w:spacing w:line="320" w:lineRule="exact"/>
              <w:rPr>
                <w:rFonts w:ascii="Calibri" w:hAnsi="Calibri" w:cs="Arial"/>
                <w:b/>
                <w:iCs/>
                <w:szCs w:val="19"/>
              </w:rPr>
            </w:pPr>
            <w:r w:rsidRPr="0034501D">
              <w:rPr>
                <w:rFonts w:ascii="Calibri" w:hAnsi="Calibri" w:cs="Arial"/>
                <w:b/>
                <w:iCs/>
                <w:szCs w:val="19"/>
              </w:rPr>
              <w:t xml:space="preserve">Balance as of </w:t>
            </w:r>
            <w:r>
              <w:rPr>
                <w:rFonts w:ascii="Calibri" w:hAnsi="Calibri" w:cs="Arial"/>
                <w:b/>
                <w:iCs/>
                <w:szCs w:val="19"/>
              </w:rPr>
              <w:t>30 September</w:t>
            </w:r>
            <w:r w:rsidRPr="0034501D">
              <w:rPr>
                <w:rFonts w:ascii="Calibri" w:hAnsi="Calibri" w:cs="Arial"/>
                <w:b/>
                <w:iCs/>
                <w:szCs w:val="19"/>
              </w:rPr>
              <w:t xml:space="preserve"> 201</w:t>
            </w:r>
            <w:r>
              <w:rPr>
                <w:rFonts w:ascii="Calibri" w:hAnsi="Calibri" w:cs="Arial"/>
                <w:b/>
                <w:iCs/>
                <w:szCs w:val="19"/>
              </w:rPr>
              <w:t>6</w:t>
            </w:r>
          </w:p>
        </w:tc>
        <w:tc>
          <w:tcPr>
            <w:tcW w:w="697" w:type="pct"/>
            <w:tcBorders>
              <w:top w:val="nil"/>
              <w:left w:val="nil"/>
              <w:bottom w:val="nil"/>
              <w:right w:val="nil"/>
            </w:tcBorders>
            <w:shd w:val="clear" w:color="auto" w:fill="auto"/>
            <w:vAlign w:val="bottom"/>
          </w:tcPr>
          <w:p w14:paraId="480D3127" w14:textId="59D93048" w:rsidR="009A78D7" w:rsidRPr="007C1855" w:rsidRDefault="009A78D7" w:rsidP="009A78D7">
            <w:pPr>
              <w:pStyle w:val="TT"/>
              <w:spacing w:line="320" w:lineRule="exact"/>
              <w:jc w:val="right"/>
              <w:rPr>
                <w:rFonts w:asciiTheme="minorHAnsi" w:hAnsiTheme="minorHAnsi" w:cs="Arial"/>
                <w:b/>
                <w:iCs/>
                <w:szCs w:val="19"/>
                <w:lang w:val="hr-HR"/>
              </w:rPr>
            </w:pPr>
            <w:r>
              <w:rPr>
                <w:rFonts w:asciiTheme="minorHAnsi" w:hAnsiTheme="minorHAnsi" w:cs="Arial"/>
                <w:b/>
                <w:iCs/>
                <w:szCs w:val="19"/>
                <w:lang w:val="hr-HR"/>
              </w:rPr>
              <w:t>6,926,632</w:t>
            </w:r>
          </w:p>
        </w:tc>
        <w:tc>
          <w:tcPr>
            <w:tcW w:w="697" w:type="pct"/>
            <w:tcBorders>
              <w:top w:val="nil"/>
              <w:left w:val="nil"/>
              <w:bottom w:val="nil"/>
              <w:right w:val="nil"/>
            </w:tcBorders>
            <w:shd w:val="clear" w:color="auto" w:fill="auto"/>
            <w:vAlign w:val="bottom"/>
          </w:tcPr>
          <w:p w14:paraId="3D237F4F" w14:textId="7C1E2347" w:rsidR="009A78D7" w:rsidRPr="007C1855" w:rsidRDefault="009A78D7" w:rsidP="009A78D7">
            <w:pPr>
              <w:pStyle w:val="TT"/>
              <w:spacing w:line="320" w:lineRule="exact"/>
              <w:jc w:val="right"/>
              <w:rPr>
                <w:rFonts w:asciiTheme="minorHAnsi" w:hAnsiTheme="minorHAnsi" w:cs="Arial"/>
                <w:b/>
                <w:iCs/>
                <w:szCs w:val="19"/>
                <w:lang w:val="hr-HR"/>
              </w:rPr>
            </w:pPr>
            <w:r>
              <w:rPr>
                <w:rFonts w:asciiTheme="minorHAnsi" w:hAnsiTheme="minorHAnsi" w:cs="Arial"/>
                <w:b/>
                <w:iCs/>
                <w:szCs w:val="19"/>
                <w:lang w:val="hr-HR"/>
              </w:rPr>
              <w:t>2,682,127</w:t>
            </w:r>
          </w:p>
        </w:tc>
        <w:tc>
          <w:tcPr>
            <w:tcW w:w="697" w:type="pct"/>
            <w:tcBorders>
              <w:top w:val="nil"/>
              <w:left w:val="nil"/>
              <w:bottom w:val="nil"/>
              <w:right w:val="nil"/>
            </w:tcBorders>
            <w:shd w:val="clear" w:color="auto" w:fill="auto"/>
            <w:vAlign w:val="bottom"/>
          </w:tcPr>
          <w:p w14:paraId="15D7C0E2" w14:textId="2B3C54ED" w:rsidR="009A78D7" w:rsidRPr="007C1855" w:rsidRDefault="009A78D7" w:rsidP="009A78D7">
            <w:pPr>
              <w:pStyle w:val="TT"/>
              <w:spacing w:line="320" w:lineRule="exact"/>
              <w:jc w:val="right"/>
              <w:rPr>
                <w:rFonts w:asciiTheme="minorHAnsi" w:hAnsiTheme="minorHAnsi" w:cs="Arial"/>
                <w:b/>
                <w:iCs/>
                <w:szCs w:val="19"/>
                <w:lang w:val="hr-HR"/>
              </w:rPr>
            </w:pPr>
            <w:r>
              <w:rPr>
                <w:rFonts w:asciiTheme="minorHAnsi" w:hAnsiTheme="minorHAnsi" w:cs="Arial"/>
                <w:b/>
                <w:iCs/>
                <w:szCs w:val="19"/>
                <w:lang w:val="hr-HR"/>
              </w:rPr>
              <w:t>74,123</w:t>
            </w:r>
          </w:p>
        </w:tc>
        <w:tc>
          <w:tcPr>
            <w:tcW w:w="697" w:type="pct"/>
            <w:tcBorders>
              <w:top w:val="nil"/>
              <w:left w:val="nil"/>
              <w:bottom w:val="nil"/>
              <w:right w:val="nil"/>
            </w:tcBorders>
            <w:shd w:val="clear" w:color="auto" w:fill="auto"/>
            <w:vAlign w:val="bottom"/>
          </w:tcPr>
          <w:p w14:paraId="110F6703" w14:textId="4492E4EF" w:rsidR="009A78D7" w:rsidRPr="007C1855" w:rsidRDefault="009A78D7" w:rsidP="009A78D7">
            <w:pPr>
              <w:pStyle w:val="TT"/>
              <w:spacing w:line="320" w:lineRule="exact"/>
              <w:jc w:val="right"/>
              <w:rPr>
                <w:rFonts w:asciiTheme="minorHAnsi" w:hAnsiTheme="minorHAnsi" w:cs="Arial"/>
                <w:b/>
                <w:iCs/>
                <w:szCs w:val="19"/>
                <w:lang w:val="hr-HR"/>
              </w:rPr>
            </w:pPr>
            <w:r>
              <w:rPr>
                <w:rFonts w:asciiTheme="minorHAnsi" w:hAnsiTheme="minorHAnsi" w:cs="Arial"/>
                <w:b/>
                <w:iCs/>
                <w:szCs w:val="19"/>
                <w:lang w:val="hr-HR"/>
              </w:rPr>
              <w:t>159,778</w:t>
            </w:r>
          </w:p>
        </w:tc>
        <w:tc>
          <w:tcPr>
            <w:tcW w:w="696" w:type="pct"/>
            <w:tcBorders>
              <w:top w:val="nil"/>
              <w:left w:val="nil"/>
              <w:bottom w:val="nil"/>
              <w:right w:val="nil"/>
            </w:tcBorders>
            <w:shd w:val="clear" w:color="auto" w:fill="auto"/>
            <w:vAlign w:val="bottom"/>
          </w:tcPr>
          <w:p w14:paraId="16EF8774" w14:textId="526580AF" w:rsidR="009A78D7" w:rsidRPr="005A338B" w:rsidRDefault="009A78D7" w:rsidP="009A78D7">
            <w:pPr>
              <w:pStyle w:val="TT"/>
              <w:spacing w:line="320" w:lineRule="exact"/>
              <w:jc w:val="right"/>
              <w:rPr>
                <w:rFonts w:asciiTheme="minorHAnsi" w:hAnsiTheme="minorHAnsi" w:cs="Arial"/>
                <w:b/>
                <w:iCs/>
                <w:szCs w:val="19"/>
                <w:lang w:val="hr-HR"/>
              </w:rPr>
            </w:pPr>
            <w:r>
              <w:rPr>
                <w:rFonts w:asciiTheme="minorHAnsi" w:hAnsiTheme="minorHAnsi" w:cs="Arial"/>
                <w:b/>
                <w:iCs/>
                <w:szCs w:val="19"/>
                <w:lang w:val="hr-HR"/>
              </w:rPr>
              <w:t>9,842,660</w:t>
            </w:r>
          </w:p>
        </w:tc>
      </w:tr>
      <w:tr w:rsidR="00481D17" w:rsidRPr="0034501D" w14:paraId="69B2E708" w14:textId="77777777" w:rsidTr="005444AA">
        <w:trPr>
          <w:trHeight w:val="76"/>
        </w:trPr>
        <w:tc>
          <w:tcPr>
            <w:tcW w:w="1516" w:type="pct"/>
          </w:tcPr>
          <w:p w14:paraId="7F730D7A" w14:textId="77777777" w:rsidR="00481D17" w:rsidRPr="0034501D" w:rsidRDefault="00481D17" w:rsidP="00481D17">
            <w:pPr>
              <w:tabs>
                <w:tab w:val="right" w:pos="1202"/>
              </w:tabs>
              <w:spacing w:after="0" w:line="140" w:lineRule="exact"/>
              <w:jc w:val="right"/>
              <w:outlineLvl w:val="0"/>
              <w:rPr>
                <w:rFonts w:eastAsia="Times New Roman" w:cs="Arial"/>
                <w:iCs/>
                <w:sz w:val="19"/>
                <w:szCs w:val="19"/>
              </w:rPr>
            </w:pPr>
          </w:p>
        </w:tc>
        <w:tc>
          <w:tcPr>
            <w:tcW w:w="697" w:type="pct"/>
            <w:vAlign w:val="bottom"/>
          </w:tcPr>
          <w:p w14:paraId="7BD91035" w14:textId="15120D13" w:rsidR="00481D17" w:rsidRPr="0034501D" w:rsidRDefault="00481D17" w:rsidP="00481D17">
            <w:pPr>
              <w:keepNext/>
              <w:keepLines/>
              <w:tabs>
                <w:tab w:val="decimal" w:pos="1015"/>
              </w:tabs>
              <w:spacing w:after="0"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___________</w:t>
            </w:r>
          </w:p>
        </w:tc>
        <w:tc>
          <w:tcPr>
            <w:tcW w:w="697" w:type="pct"/>
            <w:vAlign w:val="bottom"/>
          </w:tcPr>
          <w:p w14:paraId="514FAA14" w14:textId="708C47A0" w:rsidR="00481D17" w:rsidRPr="0034501D" w:rsidRDefault="00481D17" w:rsidP="00481D17">
            <w:pPr>
              <w:keepNext/>
              <w:keepLines/>
              <w:tabs>
                <w:tab w:val="decimal" w:pos="1015"/>
              </w:tabs>
              <w:spacing w:after="0"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___________</w:t>
            </w:r>
          </w:p>
        </w:tc>
        <w:tc>
          <w:tcPr>
            <w:tcW w:w="697" w:type="pct"/>
            <w:vAlign w:val="bottom"/>
          </w:tcPr>
          <w:p w14:paraId="783C9F99" w14:textId="50A4A808" w:rsidR="00481D17" w:rsidRPr="0034501D" w:rsidRDefault="00481D17" w:rsidP="00481D17">
            <w:pPr>
              <w:keepNext/>
              <w:keepLines/>
              <w:tabs>
                <w:tab w:val="decimal" w:pos="1015"/>
              </w:tabs>
              <w:spacing w:after="0"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___________</w:t>
            </w:r>
          </w:p>
        </w:tc>
        <w:tc>
          <w:tcPr>
            <w:tcW w:w="697" w:type="pct"/>
            <w:vAlign w:val="bottom"/>
          </w:tcPr>
          <w:p w14:paraId="48C3A4B8" w14:textId="57CF0BC1" w:rsidR="00481D17" w:rsidRPr="0034501D" w:rsidRDefault="00481D17" w:rsidP="00481D17">
            <w:pPr>
              <w:keepNext/>
              <w:keepLines/>
              <w:tabs>
                <w:tab w:val="decimal" w:pos="1015"/>
              </w:tabs>
              <w:spacing w:after="0"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___________</w:t>
            </w:r>
          </w:p>
        </w:tc>
        <w:tc>
          <w:tcPr>
            <w:tcW w:w="696" w:type="pct"/>
            <w:vAlign w:val="bottom"/>
          </w:tcPr>
          <w:p w14:paraId="149315AA" w14:textId="3D02C494" w:rsidR="00481D17" w:rsidRPr="005A338B" w:rsidRDefault="00481D17" w:rsidP="00481D17">
            <w:pPr>
              <w:keepNext/>
              <w:keepLines/>
              <w:tabs>
                <w:tab w:val="decimal" w:pos="1015"/>
              </w:tabs>
              <w:spacing w:after="0"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___________</w:t>
            </w:r>
          </w:p>
        </w:tc>
      </w:tr>
      <w:tr w:rsidR="00D0597B" w:rsidRPr="0034501D" w14:paraId="7DD641D1" w14:textId="77777777" w:rsidTr="00093814">
        <w:trPr>
          <w:trHeight w:hRule="exact" w:val="332"/>
        </w:trPr>
        <w:tc>
          <w:tcPr>
            <w:tcW w:w="1516" w:type="pct"/>
            <w:vAlign w:val="bottom"/>
          </w:tcPr>
          <w:p w14:paraId="0F561AAA" w14:textId="77777777" w:rsidR="00D0597B" w:rsidRPr="0034501D" w:rsidRDefault="00D0597B" w:rsidP="00D0597B">
            <w:pPr>
              <w:pStyle w:val="TT"/>
              <w:spacing w:line="240" w:lineRule="auto"/>
              <w:rPr>
                <w:rFonts w:ascii="Calibri" w:hAnsi="Calibri" w:cs="Arial"/>
                <w:b/>
                <w:iCs/>
                <w:szCs w:val="19"/>
              </w:rPr>
            </w:pPr>
            <w:r w:rsidRPr="0034501D">
              <w:rPr>
                <w:rFonts w:ascii="Calibri" w:hAnsi="Calibri" w:cs="Arial"/>
                <w:b/>
                <w:iCs/>
                <w:szCs w:val="19"/>
              </w:rPr>
              <w:t>Balance as of 1 January 201</w:t>
            </w:r>
            <w:r>
              <w:rPr>
                <w:rFonts w:ascii="Calibri" w:hAnsi="Calibri" w:cs="Arial"/>
                <w:b/>
                <w:iCs/>
                <w:szCs w:val="19"/>
              </w:rPr>
              <w:t>7</w:t>
            </w:r>
          </w:p>
        </w:tc>
        <w:tc>
          <w:tcPr>
            <w:tcW w:w="697" w:type="pct"/>
            <w:tcBorders>
              <w:top w:val="nil"/>
              <w:left w:val="nil"/>
              <w:bottom w:val="nil"/>
              <w:right w:val="nil"/>
            </w:tcBorders>
            <w:shd w:val="clear" w:color="auto" w:fill="auto"/>
            <w:vAlign w:val="bottom"/>
          </w:tcPr>
          <w:p w14:paraId="7549AFCA" w14:textId="77777777" w:rsidR="00D0597B" w:rsidRPr="001149DD" w:rsidRDefault="00D0597B" w:rsidP="00D0597B">
            <w:pPr>
              <w:pStyle w:val="TT"/>
              <w:spacing w:line="240" w:lineRule="auto"/>
              <w:jc w:val="right"/>
              <w:rPr>
                <w:rFonts w:ascii="Calibri" w:hAnsi="Calibri" w:cs="Calibri"/>
                <w:b/>
                <w:iCs/>
                <w:szCs w:val="19"/>
              </w:rPr>
            </w:pPr>
            <w:r w:rsidRPr="00C54BE1">
              <w:rPr>
                <w:rFonts w:ascii="Calibri" w:hAnsi="Calibri" w:cs="Calibri"/>
                <w:b/>
                <w:iCs/>
                <w:szCs w:val="19"/>
              </w:rPr>
              <w:t>6</w:t>
            </w:r>
            <w:r>
              <w:rPr>
                <w:rFonts w:ascii="Calibri" w:hAnsi="Calibri" w:cs="Calibri"/>
                <w:b/>
                <w:iCs/>
                <w:szCs w:val="19"/>
              </w:rPr>
              <w:t>,</w:t>
            </w:r>
            <w:r w:rsidRPr="00C54BE1">
              <w:rPr>
                <w:rFonts w:ascii="Calibri" w:hAnsi="Calibri" w:cs="Calibri"/>
                <w:b/>
                <w:iCs/>
                <w:szCs w:val="19"/>
              </w:rPr>
              <w:t>959</w:t>
            </w:r>
            <w:r>
              <w:rPr>
                <w:rFonts w:ascii="Calibri" w:hAnsi="Calibri" w:cs="Calibri"/>
                <w:b/>
                <w:iCs/>
                <w:szCs w:val="19"/>
              </w:rPr>
              <w:t>,</w:t>
            </w:r>
            <w:r w:rsidRPr="00C54BE1">
              <w:rPr>
                <w:rFonts w:ascii="Calibri" w:hAnsi="Calibri" w:cs="Calibri"/>
                <w:b/>
                <w:iCs/>
                <w:szCs w:val="19"/>
              </w:rPr>
              <w:t>632</w:t>
            </w:r>
          </w:p>
        </w:tc>
        <w:tc>
          <w:tcPr>
            <w:tcW w:w="697" w:type="pct"/>
            <w:tcBorders>
              <w:top w:val="nil"/>
              <w:left w:val="nil"/>
              <w:bottom w:val="nil"/>
              <w:right w:val="nil"/>
            </w:tcBorders>
            <w:shd w:val="clear" w:color="auto" w:fill="auto"/>
            <w:vAlign w:val="bottom"/>
          </w:tcPr>
          <w:p w14:paraId="26E9D5E4" w14:textId="77777777" w:rsidR="00D0597B" w:rsidRPr="001149DD" w:rsidRDefault="00D0597B" w:rsidP="00D0597B">
            <w:pPr>
              <w:pStyle w:val="TT"/>
              <w:spacing w:line="240" w:lineRule="auto"/>
              <w:jc w:val="right"/>
              <w:rPr>
                <w:rFonts w:ascii="Calibri" w:hAnsi="Calibri" w:cs="Calibri"/>
                <w:b/>
                <w:iCs/>
                <w:szCs w:val="19"/>
              </w:rPr>
            </w:pPr>
            <w:r w:rsidRPr="00C54BE1">
              <w:rPr>
                <w:rFonts w:ascii="Calibri" w:hAnsi="Calibri" w:cs="Calibri"/>
                <w:b/>
                <w:iCs/>
                <w:szCs w:val="19"/>
              </w:rPr>
              <w:t>2</w:t>
            </w:r>
            <w:r>
              <w:rPr>
                <w:rFonts w:ascii="Calibri" w:hAnsi="Calibri" w:cs="Calibri"/>
                <w:b/>
                <w:iCs/>
                <w:szCs w:val="19"/>
              </w:rPr>
              <w:t>,</w:t>
            </w:r>
            <w:r w:rsidRPr="00C54BE1">
              <w:rPr>
                <w:rFonts w:ascii="Calibri" w:hAnsi="Calibri" w:cs="Calibri"/>
                <w:b/>
                <w:iCs/>
                <w:szCs w:val="19"/>
              </w:rPr>
              <w:t>682</w:t>
            </w:r>
            <w:r>
              <w:rPr>
                <w:rFonts w:ascii="Calibri" w:hAnsi="Calibri" w:cs="Calibri"/>
                <w:b/>
                <w:iCs/>
                <w:szCs w:val="19"/>
              </w:rPr>
              <w:t>,</w:t>
            </w:r>
            <w:r w:rsidRPr="00C54BE1">
              <w:rPr>
                <w:rFonts w:ascii="Calibri" w:hAnsi="Calibri" w:cs="Calibri"/>
                <w:b/>
                <w:iCs/>
                <w:szCs w:val="19"/>
              </w:rPr>
              <w:t>127</w:t>
            </w:r>
          </w:p>
        </w:tc>
        <w:tc>
          <w:tcPr>
            <w:tcW w:w="697" w:type="pct"/>
            <w:tcBorders>
              <w:top w:val="nil"/>
              <w:left w:val="nil"/>
              <w:bottom w:val="nil"/>
              <w:right w:val="nil"/>
            </w:tcBorders>
            <w:shd w:val="clear" w:color="auto" w:fill="auto"/>
            <w:vAlign w:val="bottom"/>
          </w:tcPr>
          <w:p w14:paraId="73BF48E4" w14:textId="77777777" w:rsidR="00D0597B" w:rsidRPr="001149DD" w:rsidRDefault="00D0597B" w:rsidP="00D0597B">
            <w:pPr>
              <w:pStyle w:val="TT"/>
              <w:spacing w:line="240" w:lineRule="auto"/>
              <w:jc w:val="right"/>
              <w:rPr>
                <w:rFonts w:ascii="Calibri" w:hAnsi="Calibri" w:cs="Calibri"/>
                <w:b/>
                <w:iCs/>
                <w:szCs w:val="19"/>
              </w:rPr>
            </w:pPr>
            <w:r w:rsidRPr="00C54BE1">
              <w:rPr>
                <w:rFonts w:ascii="Calibri" w:hAnsi="Calibri" w:cs="Calibri"/>
                <w:b/>
                <w:iCs/>
                <w:szCs w:val="19"/>
              </w:rPr>
              <w:t>73</w:t>
            </w:r>
            <w:r>
              <w:rPr>
                <w:rFonts w:ascii="Calibri" w:hAnsi="Calibri" w:cs="Calibri"/>
                <w:b/>
                <w:iCs/>
                <w:szCs w:val="19"/>
              </w:rPr>
              <w:t>,</w:t>
            </w:r>
            <w:r w:rsidRPr="00C54BE1">
              <w:rPr>
                <w:rFonts w:ascii="Calibri" w:hAnsi="Calibri" w:cs="Calibri"/>
                <w:b/>
                <w:iCs/>
                <w:szCs w:val="19"/>
              </w:rPr>
              <w:t>733</w:t>
            </w:r>
          </w:p>
        </w:tc>
        <w:tc>
          <w:tcPr>
            <w:tcW w:w="697" w:type="pct"/>
            <w:tcBorders>
              <w:top w:val="nil"/>
              <w:left w:val="nil"/>
              <w:bottom w:val="nil"/>
              <w:right w:val="nil"/>
            </w:tcBorders>
            <w:shd w:val="clear" w:color="auto" w:fill="auto"/>
            <w:vAlign w:val="bottom"/>
          </w:tcPr>
          <w:p w14:paraId="0C5C5475" w14:textId="77777777" w:rsidR="00D0597B" w:rsidRPr="001149DD" w:rsidRDefault="00D0597B" w:rsidP="00D0597B">
            <w:pPr>
              <w:pStyle w:val="TT"/>
              <w:spacing w:line="240" w:lineRule="auto"/>
              <w:jc w:val="right"/>
              <w:rPr>
                <w:rFonts w:ascii="Calibri" w:hAnsi="Calibri" w:cs="Calibri"/>
                <w:b/>
                <w:iCs/>
                <w:szCs w:val="19"/>
              </w:rPr>
            </w:pPr>
            <w:r w:rsidRPr="00C54BE1">
              <w:rPr>
                <w:rFonts w:ascii="Calibri" w:hAnsi="Calibri" w:cs="Calibri"/>
                <w:b/>
                <w:iCs/>
                <w:szCs w:val="19"/>
              </w:rPr>
              <w:t>314</w:t>
            </w:r>
            <w:r>
              <w:rPr>
                <w:rFonts w:ascii="Calibri" w:hAnsi="Calibri" w:cs="Calibri"/>
                <w:b/>
                <w:iCs/>
                <w:szCs w:val="19"/>
              </w:rPr>
              <w:t>,</w:t>
            </w:r>
            <w:r w:rsidRPr="00C54BE1">
              <w:rPr>
                <w:rFonts w:ascii="Calibri" w:hAnsi="Calibri" w:cs="Calibri"/>
                <w:b/>
                <w:iCs/>
                <w:szCs w:val="19"/>
              </w:rPr>
              <w:t>841</w:t>
            </w:r>
          </w:p>
        </w:tc>
        <w:tc>
          <w:tcPr>
            <w:tcW w:w="696" w:type="pct"/>
            <w:tcBorders>
              <w:top w:val="nil"/>
              <w:left w:val="nil"/>
              <w:bottom w:val="nil"/>
              <w:right w:val="nil"/>
            </w:tcBorders>
            <w:shd w:val="clear" w:color="auto" w:fill="auto"/>
            <w:vAlign w:val="bottom"/>
          </w:tcPr>
          <w:p w14:paraId="4D20C945" w14:textId="77777777" w:rsidR="00D0597B" w:rsidRPr="005A338B" w:rsidRDefault="00D0597B" w:rsidP="00D0597B">
            <w:pPr>
              <w:pStyle w:val="TT"/>
              <w:spacing w:line="240" w:lineRule="auto"/>
              <w:jc w:val="right"/>
              <w:rPr>
                <w:rFonts w:ascii="Calibri" w:hAnsi="Calibri" w:cs="Calibri"/>
                <w:b/>
                <w:iCs/>
                <w:szCs w:val="19"/>
              </w:rPr>
            </w:pPr>
            <w:r w:rsidRPr="005A338B">
              <w:rPr>
                <w:rFonts w:ascii="Calibri" w:hAnsi="Calibri" w:cs="Calibri"/>
                <w:b/>
                <w:iCs/>
                <w:szCs w:val="19"/>
              </w:rPr>
              <w:t>10,030,333</w:t>
            </w:r>
          </w:p>
        </w:tc>
      </w:tr>
      <w:tr w:rsidR="00D0597B" w:rsidRPr="0034501D" w14:paraId="4C6F6650" w14:textId="77777777" w:rsidTr="00093814">
        <w:trPr>
          <w:trHeight w:val="76"/>
        </w:trPr>
        <w:tc>
          <w:tcPr>
            <w:tcW w:w="1516" w:type="pct"/>
          </w:tcPr>
          <w:p w14:paraId="1FA7E265" w14:textId="77777777" w:rsidR="00D0597B" w:rsidRPr="0034501D" w:rsidRDefault="00D0597B" w:rsidP="00D0597B">
            <w:pPr>
              <w:pStyle w:val="TT"/>
              <w:spacing w:line="140" w:lineRule="exact"/>
              <w:jc w:val="right"/>
              <w:rPr>
                <w:rFonts w:ascii="Calibri" w:hAnsi="Calibri" w:cs="Arial"/>
                <w:b/>
                <w:iCs/>
                <w:szCs w:val="19"/>
              </w:rPr>
            </w:pPr>
          </w:p>
        </w:tc>
        <w:tc>
          <w:tcPr>
            <w:tcW w:w="697" w:type="pct"/>
          </w:tcPr>
          <w:p w14:paraId="06A4ECB9" w14:textId="77777777" w:rsidR="00D0597B" w:rsidRPr="0034501D" w:rsidRDefault="00D0597B" w:rsidP="00D0597B">
            <w:pPr>
              <w:pStyle w:val="Thick"/>
              <w:tabs>
                <w:tab w:val="clear" w:pos="1202"/>
                <w:tab w:val="decimal" w:pos="1015"/>
              </w:tabs>
              <w:spacing w:line="140" w:lineRule="exact"/>
              <w:jc w:val="right"/>
              <w:rPr>
                <w:rFonts w:ascii="Calibri" w:hAnsi="Calibri" w:cs="Arial"/>
                <w:sz w:val="19"/>
                <w:szCs w:val="19"/>
                <w:lang w:val="en-GB"/>
              </w:rPr>
            </w:pPr>
            <w:r w:rsidRPr="0034501D">
              <w:rPr>
                <w:rFonts w:ascii="Calibri" w:hAnsi="Calibri" w:cs="Arial"/>
                <w:sz w:val="19"/>
                <w:szCs w:val="19"/>
                <w:lang w:val="en-GB"/>
              </w:rPr>
              <w:t>___________</w:t>
            </w:r>
          </w:p>
        </w:tc>
        <w:tc>
          <w:tcPr>
            <w:tcW w:w="697" w:type="pct"/>
          </w:tcPr>
          <w:p w14:paraId="001A393F" w14:textId="77777777" w:rsidR="00D0597B" w:rsidRPr="0034501D" w:rsidRDefault="00D0597B" w:rsidP="00D0597B">
            <w:pPr>
              <w:pStyle w:val="Thick"/>
              <w:tabs>
                <w:tab w:val="clear" w:pos="1202"/>
                <w:tab w:val="decimal" w:pos="1015"/>
              </w:tabs>
              <w:spacing w:line="140" w:lineRule="exact"/>
              <w:jc w:val="right"/>
              <w:rPr>
                <w:rFonts w:ascii="Calibri" w:hAnsi="Calibri" w:cs="Arial"/>
                <w:sz w:val="19"/>
                <w:szCs w:val="19"/>
                <w:lang w:val="en-GB"/>
              </w:rPr>
            </w:pPr>
            <w:r w:rsidRPr="0034501D">
              <w:rPr>
                <w:rFonts w:ascii="Calibri" w:hAnsi="Calibri" w:cs="Arial"/>
                <w:sz w:val="19"/>
                <w:szCs w:val="19"/>
                <w:lang w:val="en-GB"/>
              </w:rPr>
              <w:t>___________</w:t>
            </w:r>
          </w:p>
        </w:tc>
        <w:tc>
          <w:tcPr>
            <w:tcW w:w="697" w:type="pct"/>
          </w:tcPr>
          <w:p w14:paraId="0912D6AB" w14:textId="77777777" w:rsidR="00D0597B" w:rsidRPr="0034501D" w:rsidRDefault="00D0597B" w:rsidP="00D0597B">
            <w:pPr>
              <w:pStyle w:val="Thick"/>
              <w:tabs>
                <w:tab w:val="clear" w:pos="1202"/>
                <w:tab w:val="decimal" w:pos="1015"/>
              </w:tabs>
              <w:spacing w:line="140" w:lineRule="exact"/>
              <w:jc w:val="right"/>
              <w:rPr>
                <w:rFonts w:ascii="Calibri" w:hAnsi="Calibri" w:cs="Arial"/>
                <w:sz w:val="19"/>
                <w:szCs w:val="19"/>
                <w:lang w:val="en-GB"/>
              </w:rPr>
            </w:pPr>
            <w:r w:rsidRPr="0034501D">
              <w:rPr>
                <w:rFonts w:ascii="Calibri" w:hAnsi="Calibri" w:cs="Arial"/>
                <w:sz w:val="19"/>
                <w:szCs w:val="19"/>
                <w:lang w:val="en-GB"/>
              </w:rPr>
              <w:t>___________</w:t>
            </w:r>
          </w:p>
        </w:tc>
        <w:tc>
          <w:tcPr>
            <w:tcW w:w="697" w:type="pct"/>
          </w:tcPr>
          <w:p w14:paraId="32C21B1E" w14:textId="77777777" w:rsidR="00D0597B" w:rsidRPr="0034501D" w:rsidRDefault="00D0597B" w:rsidP="00D0597B">
            <w:pPr>
              <w:pStyle w:val="Thick"/>
              <w:tabs>
                <w:tab w:val="clear" w:pos="1202"/>
                <w:tab w:val="decimal" w:pos="1015"/>
              </w:tabs>
              <w:spacing w:line="140" w:lineRule="exact"/>
              <w:jc w:val="right"/>
              <w:rPr>
                <w:rFonts w:ascii="Calibri" w:hAnsi="Calibri" w:cs="Arial"/>
                <w:sz w:val="19"/>
                <w:szCs w:val="19"/>
                <w:lang w:val="en-GB"/>
              </w:rPr>
            </w:pPr>
            <w:r w:rsidRPr="0034501D">
              <w:rPr>
                <w:rFonts w:ascii="Calibri" w:hAnsi="Calibri" w:cs="Arial"/>
                <w:sz w:val="19"/>
                <w:szCs w:val="19"/>
                <w:lang w:val="en-GB"/>
              </w:rPr>
              <w:t>___________</w:t>
            </w:r>
          </w:p>
        </w:tc>
        <w:tc>
          <w:tcPr>
            <w:tcW w:w="696" w:type="pct"/>
          </w:tcPr>
          <w:p w14:paraId="5B970A34" w14:textId="77777777" w:rsidR="00D0597B" w:rsidRPr="005A338B" w:rsidRDefault="00D0597B" w:rsidP="00D0597B">
            <w:pPr>
              <w:pStyle w:val="Thick"/>
              <w:tabs>
                <w:tab w:val="clear" w:pos="1202"/>
                <w:tab w:val="decimal" w:pos="1015"/>
              </w:tabs>
              <w:spacing w:line="140" w:lineRule="exact"/>
              <w:jc w:val="right"/>
              <w:rPr>
                <w:rFonts w:ascii="Calibri" w:hAnsi="Calibri" w:cs="Arial"/>
                <w:sz w:val="19"/>
                <w:szCs w:val="19"/>
                <w:lang w:val="en-GB"/>
              </w:rPr>
            </w:pPr>
            <w:r w:rsidRPr="005A338B">
              <w:rPr>
                <w:rFonts w:ascii="Calibri" w:hAnsi="Calibri" w:cs="Arial"/>
                <w:sz w:val="19"/>
                <w:szCs w:val="19"/>
                <w:lang w:val="en-GB"/>
              </w:rPr>
              <w:t>___________</w:t>
            </w:r>
          </w:p>
        </w:tc>
      </w:tr>
      <w:tr w:rsidR="00D0597B" w:rsidRPr="0034501D" w14:paraId="5A3E46E9" w14:textId="77777777" w:rsidTr="00093814">
        <w:trPr>
          <w:trHeight w:val="197"/>
        </w:trPr>
        <w:tc>
          <w:tcPr>
            <w:tcW w:w="1516" w:type="pct"/>
          </w:tcPr>
          <w:p w14:paraId="68B4DF21" w14:textId="77777777" w:rsidR="00D0597B" w:rsidRPr="0034501D" w:rsidRDefault="00D0597B" w:rsidP="00D0597B">
            <w:pPr>
              <w:pStyle w:val="TT"/>
              <w:spacing w:line="140" w:lineRule="exact"/>
              <w:jc w:val="right"/>
              <w:rPr>
                <w:rFonts w:ascii="Calibri" w:hAnsi="Calibri" w:cs="Arial"/>
                <w:b/>
                <w:iCs/>
                <w:szCs w:val="19"/>
              </w:rPr>
            </w:pPr>
          </w:p>
        </w:tc>
        <w:tc>
          <w:tcPr>
            <w:tcW w:w="697" w:type="pct"/>
          </w:tcPr>
          <w:p w14:paraId="7DE0ED8B" w14:textId="77777777" w:rsidR="00D0597B" w:rsidRPr="0034501D" w:rsidRDefault="00D0597B" w:rsidP="00D0597B">
            <w:pPr>
              <w:pStyle w:val="Thick"/>
              <w:tabs>
                <w:tab w:val="clear" w:pos="1202"/>
                <w:tab w:val="decimal" w:pos="1015"/>
              </w:tabs>
              <w:spacing w:line="140" w:lineRule="exact"/>
              <w:jc w:val="right"/>
              <w:rPr>
                <w:rFonts w:ascii="Calibri" w:hAnsi="Calibri" w:cs="Arial"/>
                <w:sz w:val="19"/>
                <w:szCs w:val="19"/>
                <w:lang w:val="en-GB"/>
              </w:rPr>
            </w:pPr>
          </w:p>
        </w:tc>
        <w:tc>
          <w:tcPr>
            <w:tcW w:w="697" w:type="pct"/>
          </w:tcPr>
          <w:p w14:paraId="3905F7AA" w14:textId="77777777" w:rsidR="00D0597B" w:rsidRPr="0034501D" w:rsidRDefault="00D0597B" w:rsidP="00D0597B">
            <w:pPr>
              <w:pStyle w:val="Thick"/>
              <w:tabs>
                <w:tab w:val="clear" w:pos="1202"/>
                <w:tab w:val="decimal" w:pos="1015"/>
              </w:tabs>
              <w:spacing w:line="140" w:lineRule="exact"/>
              <w:jc w:val="right"/>
              <w:rPr>
                <w:rFonts w:ascii="Calibri" w:hAnsi="Calibri" w:cs="Arial"/>
                <w:sz w:val="19"/>
                <w:szCs w:val="19"/>
                <w:lang w:val="en-GB"/>
              </w:rPr>
            </w:pPr>
          </w:p>
        </w:tc>
        <w:tc>
          <w:tcPr>
            <w:tcW w:w="697" w:type="pct"/>
          </w:tcPr>
          <w:p w14:paraId="34FB0C80" w14:textId="77777777" w:rsidR="00D0597B" w:rsidRPr="0034501D" w:rsidRDefault="00D0597B" w:rsidP="00D0597B">
            <w:pPr>
              <w:pStyle w:val="Thick"/>
              <w:tabs>
                <w:tab w:val="clear" w:pos="1202"/>
                <w:tab w:val="decimal" w:pos="1015"/>
              </w:tabs>
              <w:spacing w:line="140" w:lineRule="exact"/>
              <w:jc w:val="right"/>
              <w:rPr>
                <w:rFonts w:ascii="Calibri" w:hAnsi="Calibri" w:cs="Arial"/>
                <w:sz w:val="19"/>
                <w:szCs w:val="19"/>
                <w:lang w:val="en-GB"/>
              </w:rPr>
            </w:pPr>
          </w:p>
        </w:tc>
        <w:tc>
          <w:tcPr>
            <w:tcW w:w="697" w:type="pct"/>
          </w:tcPr>
          <w:p w14:paraId="1E1B58E1" w14:textId="77777777" w:rsidR="00D0597B" w:rsidRPr="0034501D" w:rsidRDefault="00D0597B" w:rsidP="00D0597B">
            <w:pPr>
              <w:pStyle w:val="Thick"/>
              <w:tabs>
                <w:tab w:val="clear" w:pos="1202"/>
                <w:tab w:val="decimal" w:pos="1015"/>
              </w:tabs>
              <w:spacing w:line="140" w:lineRule="exact"/>
              <w:jc w:val="right"/>
              <w:rPr>
                <w:rFonts w:ascii="Calibri" w:hAnsi="Calibri" w:cs="Arial"/>
                <w:sz w:val="19"/>
                <w:szCs w:val="19"/>
                <w:lang w:val="en-GB"/>
              </w:rPr>
            </w:pPr>
          </w:p>
        </w:tc>
        <w:tc>
          <w:tcPr>
            <w:tcW w:w="696" w:type="pct"/>
          </w:tcPr>
          <w:p w14:paraId="1A2D6311" w14:textId="77777777" w:rsidR="00D0597B" w:rsidRPr="005A338B" w:rsidRDefault="00D0597B" w:rsidP="00D0597B">
            <w:pPr>
              <w:pStyle w:val="Thick"/>
              <w:tabs>
                <w:tab w:val="clear" w:pos="1202"/>
                <w:tab w:val="decimal" w:pos="1015"/>
              </w:tabs>
              <w:spacing w:line="140" w:lineRule="exact"/>
              <w:jc w:val="right"/>
              <w:rPr>
                <w:rFonts w:ascii="Calibri" w:hAnsi="Calibri" w:cs="Arial"/>
                <w:sz w:val="19"/>
                <w:szCs w:val="19"/>
                <w:lang w:val="en-GB"/>
              </w:rPr>
            </w:pPr>
          </w:p>
        </w:tc>
      </w:tr>
      <w:tr w:rsidR="005A338B" w:rsidRPr="0034501D" w14:paraId="26B1C66C" w14:textId="77777777" w:rsidTr="005444AA">
        <w:trPr>
          <w:trHeight w:hRule="exact" w:val="278"/>
        </w:trPr>
        <w:tc>
          <w:tcPr>
            <w:tcW w:w="1516" w:type="pct"/>
            <w:vAlign w:val="bottom"/>
          </w:tcPr>
          <w:p w14:paraId="22333A47" w14:textId="32A88DB4" w:rsidR="005A338B" w:rsidRPr="0034501D" w:rsidRDefault="005A338B" w:rsidP="005A338B">
            <w:pPr>
              <w:pStyle w:val="TT"/>
              <w:spacing w:line="240" w:lineRule="auto"/>
              <w:rPr>
                <w:rFonts w:ascii="Calibri" w:hAnsi="Calibri" w:cs="Arial"/>
                <w:iCs/>
                <w:szCs w:val="19"/>
              </w:rPr>
            </w:pPr>
            <w:r w:rsidRPr="0034501D">
              <w:rPr>
                <w:rFonts w:ascii="Calibri" w:hAnsi="Calibri"/>
                <w:iCs/>
                <w:szCs w:val="19"/>
              </w:rPr>
              <w:t xml:space="preserve">Profit for the </w:t>
            </w:r>
            <w:r w:rsidR="00DC285F">
              <w:rPr>
                <w:rFonts w:ascii="Calibri" w:hAnsi="Calibri"/>
                <w:iCs/>
                <w:szCs w:val="19"/>
              </w:rPr>
              <w:t>period</w:t>
            </w:r>
          </w:p>
        </w:tc>
        <w:tc>
          <w:tcPr>
            <w:tcW w:w="697" w:type="pct"/>
            <w:tcBorders>
              <w:top w:val="nil"/>
              <w:left w:val="nil"/>
              <w:bottom w:val="nil"/>
              <w:right w:val="nil"/>
            </w:tcBorders>
            <w:shd w:val="clear" w:color="auto" w:fill="auto"/>
            <w:vAlign w:val="bottom"/>
          </w:tcPr>
          <w:p w14:paraId="224F8345" w14:textId="2E3C36F6" w:rsidR="005A338B" w:rsidRPr="00CA37C8" w:rsidRDefault="005A338B" w:rsidP="005A338B">
            <w:pPr>
              <w:pStyle w:val="TT"/>
              <w:spacing w:line="240" w:lineRule="auto"/>
              <w:jc w:val="right"/>
              <w:rPr>
                <w:rFonts w:asciiTheme="minorHAnsi" w:hAnsiTheme="minorHAnsi" w:cs="Arial"/>
                <w:szCs w:val="19"/>
                <w:lang w:val="hr-HR"/>
              </w:rPr>
            </w:pPr>
            <w:r w:rsidRPr="00D00F43">
              <w:rPr>
                <w:rFonts w:ascii="Calibri" w:hAnsi="Calibri"/>
                <w:color w:val="000000"/>
                <w:szCs w:val="19"/>
              </w:rPr>
              <w:t xml:space="preserve"> - </w:t>
            </w:r>
          </w:p>
        </w:tc>
        <w:tc>
          <w:tcPr>
            <w:tcW w:w="697" w:type="pct"/>
            <w:tcBorders>
              <w:top w:val="nil"/>
              <w:left w:val="nil"/>
              <w:bottom w:val="nil"/>
              <w:right w:val="nil"/>
            </w:tcBorders>
            <w:shd w:val="clear" w:color="auto" w:fill="auto"/>
            <w:vAlign w:val="bottom"/>
          </w:tcPr>
          <w:p w14:paraId="5F6BC0DC" w14:textId="571542FF" w:rsidR="005A338B" w:rsidRPr="00CA37C8" w:rsidRDefault="005A338B" w:rsidP="005A338B">
            <w:pPr>
              <w:pStyle w:val="TT"/>
              <w:spacing w:line="240" w:lineRule="auto"/>
              <w:jc w:val="right"/>
              <w:rPr>
                <w:rFonts w:asciiTheme="minorHAnsi" w:hAnsiTheme="minorHAnsi" w:cs="Arial"/>
                <w:szCs w:val="19"/>
                <w:lang w:val="hr-HR"/>
              </w:rPr>
            </w:pPr>
            <w:r w:rsidRPr="00D00F43">
              <w:rPr>
                <w:rFonts w:ascii="Calibri" w:hAnsi="Calibri"/>
                <w:color w:val="000000"/>
                <w:szCs w:val="19"/>
              </w:rPr>
              <w:t xml:space="preserve"> - </w:t>
            </w:r>
          </w:p>
        </w:tc>
        <w:tc>
          <w:tcPr>
            <w:tcW w:w="697" w:type="pct"/>
            <w:tcBorders>
              <w:top w:val="nil"/>
              <w:left w:val="nil"/>
              <w:bottom w:val="nil"/>
              <w:right w:val="nil"/>
            </w:tcBorders>
            <w:shd w:val="clear" w:color="auto" w:fill="auto"/>
            <w:vAlign w:val="bottom"/>
          </w:tcPr>
          <w:p w14:paraId="43D2AD1C" w14:textId="65B8235A" w:rsidR="005A338B" w:rsidRPr="00CA37C8" w:rsidRDefault="005A338B" w:rsidP="005A338B">
            <w:pPr>
              <w:pStyle w:val="TT"/>
              <w:spacing w:line="240" w:lineRule="auto"/>
              <w:jc w:val="right"/>
              <w:rPr>
                <w:rFonts w:asciiTheme="minorHAnsi" w:hAnsiTheme="minorHAnsi" w:cs="Arial"/>
                <w:szCs w:val="19"/>
                <w:lang w:val="hr-HR"/>
              </w:rPr>
            </w:pPr>
            <w:r w:rsidRPr="00D00F43">
              <w:rPr>
                <w:rFonts w:ascii="Calibri" w:hAnsi="Calibri"/>
                <w:color w:val="000000"/>
                <w:szCs w:val="19"/>
              </w:rPr>
              <w:t xml:space="preserve"> - </w:t>
            </w:r>
          </w:p>
        </w:tc>
        <w:tc>
          <w:tcPr>
            <w:tcW w:w="697" w:type="pct"/>
            <w:tcBorders>
              <w:top w:val="nil"/>
              <w:left w:val="nil"/>
              <w:bottom w:val="nil"/>
              <w:right w:val="nil"/>
            </w:tcBorders>
            <w:shd w:val="clear" w:color="auto" w:fill="auto"/>
            <w:vAlign w:val="bottom"/>
          </w:tcPr>
          <w:p w14:paraId="0447E850" w14:textId="1B06ADF1" w:rsidR="005A338B" w:rsidRPr="00CA37C8" w:rsidRDefault="00A01752" w:rsidP="005A338B">
            <w:pPr>
              <w:pStyle w:val="TT"/>
              <w:spacing w:line="240" w:lineRule="auto"/>
              <w:jc w:val="right"/>
              <w:rPr>
                <w:rFonts w:asciiTheme="minorHAnsi" w:hAnsiTheme="minorHAnsi" w:cs="Arial"/>
                <w:szCs w:val="19"/>
                <w:lang w:val="hr-HR"/>
              </w:rPr>
            </w:pPr>
            <w:r w:rsidRPr="00A01752">
              <w:rPr>
                <w:rFonts w:asciiTheme="minorHAnsi" w:hAnsiTheme="minorHAnsi" w:cs="Arial"/>
                <w:szCs w:val="19"/>
                <w:lang w:val="hr-HR"/>
              </w:rPr>
              <w:t xml:space="preserve">176,541 </w:t>
            </w:r>
          </w:p>
        </w:tc>
        <w:tc>
          <w:tcPr>
            <w:tcW w:w="696" w:type="pct"/>
            <w:tcBorders>
              <w:top w:val="nil"/>
              <w:left w:val="nil"/>
              <w:bottom w:val="nil"/>
              <w:right w:val="nil"/>
            </w:tcBorders>
            <w:shd w:val="clear" w:color="auto" w:fill="auto"/>
            <w:vAlign w:val="bottom"/>
          </w:tcPr>
          <w:p w14:paraId="55A7F012" w14:textId="6A4BAD65" w:rsidR="005A338B" w:rsidRPr="005A338B" w:rsidRDefault="00A01752" w:rsidP="005A338B">
            <w:pPr>
              <w:pStyle w:val="TT"/>
              <w:spacing w:line="240" w:lineRule="auto"/>
              <w:jc w:val="right"/>
              <w:rPr>
                <w:rFonts w:asciiTheme="minorHAnsi" w:hAnsiTheme="minorHAnsi" w:cs="Arial"/>
                <w:b/>
                <w:iCs/>
                <w:szCs w:val="19"/>
                <w:lang w:val="hr-HR"/>
              </w:rPr>
            </w:pPr>
            <w:r w:rsidRPr="00A01752">
              <w:rPr>
                <w:rFonts w:asciiTheme="minorHAnsi" w:hAnsiTheme="minorHAnsi" w:cs="Arial"/>
                <w:b/>
                <w:iCs/>
                <w:szCs w:val="19"/>
                <w:lang w:val="hr-HR"/>
              </w:rPr>
              <w:t xml:space="preserve">176,541 </w:t>
            </w:r>
          </w:p>
        </w:tc>
      </w:tr>
      <w:tr w:rsidR="005A338B" w:rsidRPr="0034501D" w14:paraId="51A17DF3" w14:textId="77777777" w:rsidTr="005444AA">
        <w:trPr>
          <w:trHeight w:hRule="exact" w:val="278"/>
        </w:trPr>
        <w:tc>
          <w:tcPr>
            <w:tcW w:w="1516" w:type="pct"/>
            <w:vAlign w:val="bottom"/>
          </w:tcPr>
          <w:p w14:paraId="0D15D595" w14:textId="77777777" w:rsidR="005A338B" w:rsidRPr="0034501D" w:rsidRDefault="005A338B" w:rsidP="005A338B">
            <w:pPr>
              <w:pStyle w:val="TT"/>
              <w:spacing w:line="240" w:lineRule="auto"/>
              <w:rPr>
                <w:rFonts w:ascii="Calibri" w:hAnsi="Calibri" w:cs="Arial"/>
                <w:iCs/>
                <w:szCs w:val="19"/>
              </w:rPr>
            </w:pPr>
            <w:r w:rsidRPr="0034501D">
              <w:rPr>
                <w:rFonts w:ascii="Calibri" w:hAnsi="Calibri"/>
                <w:iCs/>
                <w:szCs w:val="19"/>
              </w:rPr>
              <w:t>Other comprehensive income</w:t>
            </w:r>
          </w:p>
        </w:tc>
        <w:tc>
          <w:tcPr>
            <w:tcW w:w="697" w:type="pct"/>
            <w:tcBorders>
              <w:top w:val="nil"/>
              <w:left w:val="nil"/>
              <w:bottom w:val="nil"/>
              <w:right w:val="nil"/>
            </w:tcBorders>
            <w:shd w:val="clear" w:color="auto" w:fill="auto"/>
            <w:vAlign w:val="bottom"/>
          </w:tcPr>
          <w:p w14:paraId="19AF7F63" w14:textId="6431110E" w:rsidR="005A338B" w:rsidRPr="00CA37C8" w:rsidRDefault="005A338B" w:rsidP="005A338B">
            <w:pPr>
              <w:pStyle w:val="TT"/>
              <w:spacing w:line="240" w:lineRule="auto"/>
              <w:jc w:val="right"/>
              <w:rPr>
                <w:rFonts w:asciiTheme="minorHAnsi" w:hAnsiTheme="minorHAnsi" w:cs="Arial"/>
                <w:iCs/>
                <w:szCs w:val="19"/>
                <w:lang w:val="hr-HR"/>
              </w:rPr>
            </w:pPr>
            <w:r w:rsidRPr="005444AA">
              <w:rPr>
                <w:rFonts w:asciiTheme="minorHAnsi" w:hAnsiTheme="minorHAnsi" w:cs="Arial"/>
                <w:iCs/>
                <w:szCs w:val="19"/>
                <w:lang w:val="hr-HR"/>
              </w:rPr>
              <w:t xml:space="preserve"> - </w:t>
            </w:r>
          </w:p>
        </w:tc>
        <w:tc>
          <w:tcPr>
            <w:tcW w:w="697" w:type="pct"/>
            <w:tcBorders>
              <w:top w:val="nil"/>
              <w:left w:val="nil"/>
              <w:bottom w:val="nil"/>
              <w:right w:val="nil"/>
            </w:tcBorders>
            <w:shd w:val="clear" w:color="auto" w:fill="auto"/>
            <w:vAlign w:val="bottom"/>
          </w:tcPr>
          <w:p w14:paraId="7CB6ACA9" w14:textId="49682C5D" w:rsidR="005A338B" w:rsidRPr="00CA37C8" w:rsidRDefault="005A338B" w:rsidP="005A338B">
            <w:pPr>
              <w:pStyle w:val="TT"/>
              <w:spacing w:line="240" w:lineRule="auto"/>
              <w:jc w:val="right"/>
              <w:rPr>
                <w:rFonts w:asciiTheme="minorHAnsi" w:hAnsiTheme="minorHAnsi" w:cs="Arial"/>
                <w:iCs/>
                <w:szCs w:val="19"/>
                <w:lang w:val="hr-HR"/>
              </w:rPr>
            </w:pPr>
            <w:r w:rsidRPr="005444AA">
              <w:rPr>
                <w:rFonts w:asciiTheme="minorHAnsi" w:hAnsiTheme="minorHAnsi" w:cs="Arial"/>
                <w:iCs/>
                <w:szCs w:val="19"/>
                <w:lang w:val="hr-HR"/>
              </w:rPr>
              <w:t xml:space="preserve"> - </w:t>
            </w:r>
          </w:p>
        </w:tc>
        <w:tc>
          <w:tcPr>
            <w:tcW w:w="697" w:type="pct"/>
            <w:tcBorders>
              <w:top w:val="nil"/>
              <w:left w:val="nil"/>
              <w:bottom w:val="nil"/>
              <w:right w:val="nil"/>
            </w:tcBorders>
            <w:shd w:val="clear" w:color="auto" w:fill="auto"/>
            <w:vAlign w:val="bottom"/>
          </w:tcPr>
          <w:p w14:paraId="070ADC57" w14:textId="7447FA64" w:rsidR="005A338B" w:rsidRPr="00CA37C8" w:rsidRDefault="00A01752" w:rsidP="005A338B">
            <w:pPr>
              <w:pStyle w:val="TT"/>
              <w:spacing w:line="240" w:lineRule="auto"/>
              <w:jc w:val="right"/>
              <w:rPr>
                <w:rFonts w:asciiTheme="minorHAnsi" w:hAnsiTheme="minorHAnsi" w:cs="Arial"/>
                <w:iCs/>
                <w:szCs w:val="19"/>
                <w:lang w:val="hr-HR"/>
              </w:rPr>
            </w:pPr>
            <w:r w:rsidRPr="00A01752">
              <w:rPr>
                <w:rFonts w:asciiTheme="minorHAnsi" w:hAnsiTheme="minorHAnsi" w:cs="Arial"/>
                <w:iCs/>
                <w:szCs w:val="19"/>
                <w:lang w:val="hr-HR"/>
              </w:rPr>
              <w:t xml:space="preserve">16,664 </w:t>
            </w:r>
          </w:p>
        </w:tc>
        <w:tc>
          <w:tcPr>
            <w:tcW w:w="697" w:type="pct"/>
            <w:tcBorders>
              <w:top w:val="nil"/>
              <w:left w:val="nil"/>
              <w:bottom w:val="nil"/>
              <w:right w:val="nil"/>
            </w:tcBorders>
            <w:shd w:val="clear" w:color="auto" w:fill="auto"/>
            <w:vAlign w:val="bottom"/>
          </w:tcPr>
          <w:p w14:paraId="46B39C58" w14:textId="3C7AC34D" w:rsidR="005A338B" w:rsidRPr="005A338B" w:rsidRDefault="005A338B" w:rsidP="005A338B">
            <w:pPr>
              <w:pStyle w:val="TT"/>
              <w:spacing w:line="240" w:lineRule="auto"/>
              <w:jc w:val="right"/>
              <w:rPr>
                <w:rFonts w:asciiTheme="minorHAnsi" w:hAnsiTheme="minorHAnsi" w:cs="Arial"/>
                <w:iCs/>
                <w:szCs w:val="19"/>
                <w:lang w:val="hr-HR"/>
              </w:rPr>
            </w:pPr>
            <w:r w:rsidRPr="005444AA">
              <w:rPr>
                <w:rFonts w:asciiTheme="minorHAnsi" w:hAnsiTheme="minorHAnsi" w:cs="Arial"/>
                <w:iCs/>
                <w:szCs w:val="19"/>
                <w:lang w:val="hr-HR"/>
              </w:rPr>
              <w:t>-</w:t>
            </w:r>
          </w:p>
        </w:tc>
        <w:tc>
          <w:tcPr>
            <w:tcW w:w="696" w:type="pct"/>
            <w:tcBorders>
              <w:top w:val="nil"/>
              <w:left w:val="nil"/>
              <w:bottom w:val="nil"/>
              <w:right w:val="nil"/>
            </w:tcBorders>
            <w:shd w:val="clear" w:color="auto" w:fill="auto"/>
            <w:vAlign w:val="bottom"/>
          </w:tcPr>
          <w:p w14:paraId="7381B249" w14:textId="085DD474" w:rsidR="005A338B" w:rsidRPr="005A338B" w:rsidRDefault="00A01752" w:rsidP="005A338B">
            <w:pPr>
              <w:pStyle w:val="TT"/>
              <w:spacing w:line="240" w:lineRule="auto"/>
              <w:jc w:val="right"/>
              <w:rPr>
                <w:rFonts w:asciiTheme="minorHAnsi" w:hAnsiTheme="minorHAnsi" w:cs="Arial"/>
                <w:b/>
                <w:iCs/>
                <w:szCs w:val="19"/>
                <w:lang w:val="hr-HR"/>
              </w:rPr>
            </w:pPr>
            <w:r w:rsidRPr="00A01752">
              <w:rPr>
                <w:rFonts w:asciiTheme="minorHAnsi" w:hAnsiTheme="minorHAnsi" w:cs="Arial"/>
                <w:b/>
                <w:iCs/>
                <w:szCs w:val="19"/>
                <w:lang w:val="hr-HR"/>
              </w:rPr>
              <w:t xml:space="preserve">16,664 </w:t>
            </w:r>
          </w:p>
        </w:tc>
      </w:tr>
      <w:tr w:rsidR="005A338B" w:rsidRPr="0034501D" w14:paraId="4C025344" w14:textId="77777777" w:rsidTr="005444AA">
        <w:trPr>
          <w:trHeight w:val="76"/>
        </w:trPr>
        <w:tc>
          <w:tcPr>
            <w:tcW w:w="1516" w:type="pct"/>
          </w:tcPr>
          <w:p w14:paraId="3B69AE9E" w14:textId="77777777" w:rsidR="005A338B" w:rsidRPr="0034501D" w:rsidRDefault="005A338B" w:rsidP="005A338B">
            <w:pPr>
              <w:pStyle w:val="TT"/>
              <w:spacing w:line="140" w:lineRule="exact"/>
              <w:jc w:val="right"/>
              <w:rPr>
                <w:rFonts w:ascii="Calibri" w:hAnsi="Calibri" w:cs="Arial"/>
                <w:iCs/>
                <w:szCs w:val="19"/>
              </w:rPr>
            </w:pPr>
          </w:p>
        </w:tc>
        <w:tc>
          <w:tcPr>
            <w:tcW w:w="697" w:type="pct"/>
            <w:vAlign w:val="bottom"/>
          </w:tcPr>
          <w:p w14:paraId="605CA6FB" w14:textId="4CA340CE" w:rsidR="005A338B" w:rsidRPr="00481D17" w:rsidRDefault="005A338B" w:rsidP="005A338B">
            <w:pPr>
              <w:pStyle w:val="Thin"/>
              <w:tabs>
                <w:tab w:val="clear" w:pos="1202"/>
                <w:tab w:val="decimal" w:pos="1015"/>
              </w:tabs>
              <w:spacing w:line="140" w:lineRule="exact"/>
              <w:jc w:val="right"/>
              <w:rPr>
                <w:rFonts w:ascii="Calibri" w:hAnsi="Calibri" w:cs="Arial"/>
                <w:b w:val="0"/>
                <w:spacing w:val="-2"/>
                <w:sz w:val="19"/>
                <w:szCs w:val="19"/>
                <w:lang w:val="en-GB"/>
              </w:rPr>
            </w:pPr>
            <w:r w:rsidRPr="005444AA">
              <w:rPr>
                <w:rFonts w:cs="Arial"/>
                <w:b w:val="0"/>
                <w:spacing w:val="-2"/>
                <w:sz w:val="19"/>
                <w:szCs w:val="19"/>
              </w:rPr>
              <w:t>__________</w:t>
            </w:r>
          </w:p>
        </w:tc>
        <w:tc>
          <w:tcPr>
            <w:tcW w:w="697" w:type="pct"/>
            <w:vAlign w:val="bottom"/>
          </w:tcPr>
          <w:p w14:paraId="5D7EE53E" w14:textId="2DFA04E4" w:rsidR="005A338B" w:rsidRPr="00481D17" w:rsidRDefault="005A338B" w:rsidP="005A338B">
            <w:pPr>
              <w:pStyle w:val="Thin"/>
              <w:tabs>
                <w:tab w:val="clear" w:pos="1202"/>
                <w:tab w:val="decimal" w:pos="1015"/>
              </w:tabs>
              <w:spacing w:line="140" w:lineRule="exact"/>
              <w:jc w:val="right"/>
              <w:rPr>
                <w:rFonts w:ascii="Calibri" w:hAnsi="Calibri" w:cs="Arial"/>
                <w:b w:val="0"/>
                <w:spacing w:val="-2"/>
                <w:sz w:val="19"/>
                <w:szCs w:val="19"/>
                <w:lang w:val="en-GB"/>
              </w:rPr>
            </w:pPr>
            <w:r w:rsidRPr="005444AA">
              <w:rPr>
                <w:rFonts w:cs="Arial"/>
                <w:b w:val="0"/>
                <w:spacing w:val="-2"/>
                <w:sz w:val="19"/>
                <w:szCs w:val="19"/>
              </w:rPr>
              <w:t>__________</w:t>
            </w:r>
          </w:p>
        </w:tc>
        <w:tc>
          <w:tcPr>
            <w:tcW w:w="697" w:type="pct"/>
            <w:vAlign w:val="bottom"/>
          </w:tcPr>
          <w:p w14:paraId="682D513D" w14:textId="6B9A6170" w:rsidR="005A338B" w:rsidRPr="00481D17" w:rsidRDefault="005A338B" w:rsidP="005A338B">
            <w:pPr>
              <w:pStyle w:val="Thin"/>
              <w:tabs>
                <w:tab w:val="clear" w:pos="1202"/>
                <w:tab w:val="decimal" w:pos="1015"/>
              </w:tabs>
              <w:spacing w:line="140" w:lineRule="exact"/>
              <w:jc w:val="right"/>
              <w:rPr>
                <w:rFonts w:ascii="Calibri" w:hAnsi="Calibri" w:cs="Arial"/>
                <w:b w:val="0"/>
                <w:spacing w:val="-2"/>
                <w:sz w:val="19"/>
                <w:szCs w:val="19"/>
                <w:lang w:val="en-GB"/>
              </w:rPr>
            </w:pPr>
            <w:r w:rsidRPr="005444AA">
              <w:rPr>
                <w:rFonts w:cs="Arial"/>
                <w:b w:val="0"/>
                <w:spacing w:val="-2"/>
                <w:sz w:val="19"/>
                <w:szCs w:val="19"/>
              </w:rPr>
              <w:t>__________</w:t>
            </w:r>
          </w:p>
        </w:tc>
        <w:tc>
          <w:tcPr>
            <w:tcW w:w="697" w:type="pct"/>
            <w:vAlign w:val="bottom"/>
          </w:tcPr>
          <w:p w14:paraId="2D928992" w14:textId="1C98F1E3" w:rsidR="005A338B" w:rsidRPr="00481D17" w:rsidRDefault="005A338B" w:rsidP="005A338B">
            <w:pPr>
              <w:pStyle w:val="Thin"/>
              <w:tabs>
                <w:tab w:val="clear" w:pos="1202"/>
                <w:tab w:val="decimal" w:pos="1015"/>
              </w:tabs>
              <w:spacing w:line="140" w:lineRule="exact"/>
              <w:jc w:val="right"/>
              <w:rPr>
                <w:rFonts w:ascii="Calibri" w:hAnsi="Calibri" w:cs="Arial"/>
                <w:b w:val="0"/>
                <w:spacing w:val="-2"/>
                <w:sz w:val="19"/>
                <w:szCs w:val="19"/>
                <w:lang w:val="en-GB"/>
              </w:rPr>
            </w:pPr>
            <w:r w:rsidRPr="005444AA">
              <w:rPr>
                <w:rFonts w:cs="Arial"/>
                <w:b w:val="0"/>
                <w:spacing w:val="-2"/>
                <w:sz w:val="19"/>
                <w:szCs w:val="19"/>
              </w:rPr>
              <w:t>__________</w:t>
            </w:r>
          </w:p>
        </w:tc>
        <w:tc>
          <w:tcPr>
            <w:tcW w:w="696" w:type="pct"/>
            <w:vAlign w:val="bottom"/>
          </w:tcPr>
          <w:p w14:paraId="69B47BE8" w14:textId="32845008" w:rsidR="005A338B" w:rsidRPr="00481D17" w:rsidRDefault="005A338B" w:rsidP="005A338B">
            <w:pPr>
              <w:pStyle w:val="Thin"/>
              <w:tabs>
                <w:tab w:val="clear" w:pos="1202"/>
                <w:tab w:val="decimal" w:pos="1015"/>
              </w:tabs>
              <w:spacing w:line="140" w:lineRule="exact"/>
              <w:jc w:val="right"/>
              <w:rPr>
                <w:rFonts w:ascii="Calibri" w:hAnsi="Calibri" w:cs="Arial"/>
                <w:b w:val="0"/>
                <w:spacing w:val="-2"/>
                <w:sz w:val="19"/>
                <w:szCs w:val="19"/>
                <w:lang w:val="en-GB"/>
              </w:rPr>
            </w:pPr>
            <w:r w:rsidRPr="005444AA">
              <w:rPr>
                <w:rFonts w:cs="Arial"/>
                <w:b w:val="0"/>
                <w:spacing w:val="-2"/>
                <w:sz w:val="19"/>
                <w:szCs w:val="19"/>
              </w:rPr>
              <w:t>__________</w:t>
            </w:r>
          </w:p>
        </w:tc>
      </w:tr>
      <w:tr w:rsidR="005A338B" w:rsidRPr="0034501D" w14:paraId="5D7275A4" w14:textId="77777777" w:rsidTr="005444AA">
        <w:trPr>
          <w:trHeight w:val="76"/>
        </w:trPr>
        <w:tc>
          <w:tcPr>
            <w:tcW w:w="1516" w:type="pct"/>
            <w:vAlign w:val="bottom"/>
          </w:tcPr>
          <w:p w14:paraId="10412555" w14:textId="77777777" w:rsidR="005A338B" w:rsidRPr="00443457" w:rsidRDefault="005A338B" w:rsidP="005A338B">
            <w:pPr>
              <w:pStyle w:val="TT"/>
              <w:spacing w:line="240" w:lineRule="auto"/>
              <w:rPr>
                <w:rFonts w:ascii="Calibri" w:hAnsi="Calibri" w:cs="Arial"/>
                <w:iCs/>
                <w:szCs w:val="19"/>
              </w:rPr>
            </w:pPr>
            <w:r w:rsidRPr="00443457">
              <w:rPr>
                <w:rFonts w:ascii="Calibri" w:hAnsi="Calibri"/>
                <w:iCs/>
                <w:szCs w:val="19"/>
              </w:rPr>
              <w:t>Total comprehensive income</w:t>
            </w:r>
          </w:p>
        </w:tc>
        <w:tc>
          <w:tcPr>
            <w:tcW w:w="697" w:type="pct"/>
            <w:tcBorders>
              <w:top w:val="nil"/>
              <w:left w:val="nil"/>
              <w:bottom w:val="nil"/>
              <w:right w:val="nil"/>
            </w:tcBorders>
            <w:shd w:val="clear" w:color="auto" w:fill="auto"/>
            <w:vAlign w:val="bottom"/>
          </w:tcPr>
          <w:p w14:paraId="2E41E840" w14:textId="18FF1016" w:rsidR="005A338B" w:rsidRPr="00817F9D" w:rsidRDefault="005A338B" w:rsidP="005A338B">
            <w:pPr>
              <w:pStyle w:val="TT"/>
              <w:spacing w:line="240" w:lineRule="auto"/>
              <w:jc w:val="right"/>
              <w:rPr>
                <w:rFonts w:asciiTheme="minorHAnsi" w:hAnsiTheme="minorHAnsi" w:cs="Arial"/>
                <w:iCs/>
                <w:szCs w:val="19"/>
                <w:lang w:val="hr-HR"/>
              </w:rPr>
            </w:pPr>
            <w:r w:rsidRPr="005444AA">
              <w:rPr>
                <w:rFonts w:asciiTheme="minorHAnsi" w:hAnsiTheme="minorHAnsi" w:cs="Arial"/>
                <w:iCs/>
                <w:szCs w:val="19"/>
                <w:lang w:val="hr-HR"/>
              </w:rPr>
              <w:t xml:space="preserve"> - </w:t>
            </w:r>
          </w:p>
        </w:tc>
        <w:tc>
          <w:tcPr>
            <w:tcW w:w="697" w:type="pct"/>
            <w:tcBorders>
              <w:top w:val="nil"/>
              <w:left w:val="nil"/>
              <w:bottom w:val="nil"/>
              <w:right w:val="nil"/>
            </w:tcBorders>
            <w:shd w:val="clear" w:color="auto" w:fill="auto"/>
            <w:vAlign w:val="bottom"/>
          </w:tcPr>
          <w:p w14:paraId="3177A5D5" w14:textId="0C18D2EB" w:rsidR="005A338B" w:rsidRPr="00817F9D" w:rsidRDefault="005A338B" w:rsidP="005A338B">
            <w:pPr>
              <w:pStyle w:val="TT"/>
              <w:spacing w:line="240" w:lineRule="auto"/>
              <w:jc w:val="right"/>
              <w:rPr>
                <w:rFonts w:asciiTheme="minorHAnsi" w:hAnsiTheme="minorHAnsi" w:cs="Arial"/>
                <w:iCs/>
                <w:szCs w:val="19"/>
                <w:lang w:val="hr-HR"/>
              </w:rPr>
            </w:pPr>
            <w:r w:rsidRPr="005444AA">
              <w:rPr>
                <w:rFonts w:asciiTheme="minorHAnsi" w:hAnsiTheme="minorHAnsi" w:cs="Arial"/>
                <w:iCs/>
                <w:szCs w:val="19"/>
                <w:lang w:val="hr-HR"/>
              </w:rPr>
              <w:t xml:space="preserve"> - </w:t>
            </w:r>
          </w:p>
        </w:tc>
        <w:tc>
          <w:tcPr>
            <w:tcW w:w="697" w:type="pct"/>
            <w:tcBorders>
              <w:top w:val="nil"/>
              <w:left w:val="nil"/>
              <w:bottom w:val="nil"/>
              <w:right w:val="nil"/>
            </w:tcBorders>
            <w:shd w:val="clear" w:color="auto" w:fill="auto"/>
            <w:vAlign w:val="bottom"/>
          </w:tcPr>
          <w:p w14:paraId="5621BA43" w14:textId="12AC1F04" w:rsidR="005A338B" w:rsidRPr="00817F9D" w:rsidRDefault="00A01752" w:rsidP="005A338B">
            <w:pPr>
              <w:pStyle w:val="TT"/>
              <w:spacing w:line="240" w:lineRule="auto"/>
              <w:jc w:val="right"/>
              <w:rPr>
                <w:rFonts w:asciiTheme="minorHAnsi" w:hAnsiTheme="minorHAnsi" w:cs="Arial"/>
                <w:iCs/>
                <w:szCs w:val="19"/>
                <w:lang w:val="hr-HR"/>
              </w:rPr>
            </w:pPr>
            <w:r w:rsidRPr="00A01752">
              <w:rPr>
                <w:rFonts w:asciiTheme="minorHAnsi" w:hAnsiTheme="minorHAnsi" w:cs="Arial"/>
                <w:iCs/>
                <w:szCs w:val="19"/>
                <w:lang w:val="hr-HR"/>
              </w:rPr>
              <w:t xml:space="preserve">16,664 </w:t>
            </w:r>
          </w:p>
        </w:tc>
        <w:tc>
          <w:tcPr>
            <w:tcW w:w="697" w:type="pct"/>
            <w:tcBorders>
              <w:top w:val="nil"/>
              <w:left w:val="nil"/>
              <w:bottom w:val="nil"/>
              <w:right w:val="nil"/>
            </w:tcBorders>
            <w:shd w:val="clear" w:color="auto" w:fill="auto"/>
            <w:vAlign w:val="bottom"/>
          </w:tcPr>
          <w:p w14:paraId="66F38D08" w14:textId="702E8AC2" w:rsidR="005A338B" w:rsidRPr="00817F9D" w:rsidRDefault="00A01752" w:rsidP="005A338B">
            <w:pPr>
              <w:pStyle w:val="TT"/>
              <w:spacing w:line="240" w:lineRule="auto"/>
              <w:jc w:val="right"/>
              <w:rPr>
                <w:rFonts w:asciiTheme="minorHAnsi" w:hAnsiTheme="minorHAnsi" w:cs="Arial"/>
                <w:iCs/>
                <w:szCs w:val="19"/>
                <w:lang w:val="hr-HR"/>
              </w:rPr>
            </w:pPr>
            <w:r w:rsidRPr="00A01752">
              <w:rPr>
                <w:rFonts w:asciiTheme="minorHAnsi" w:hAnsiTheme="minorHAnsi" w:cs="Arial"/>
                <w:iCs/>
                <w:szCs w:val="19"/>
                <w:lang w:val="hr-HR"/>
              </w:rPr>
              <w:t>176,541</w:t>
            </w:r>
          </w:p>
        </w:tc>
        <w:tc>
          <w:tcPr>
            <w:tcW w:w="696" w:type="pct"/>
            <w:tcBorders>
              <w:top w:val="nil"/>
              <w:left w:val="nil"/>
              <w:bottom w:val="nil"/>
              <w:right w:val="nil"/>
            </w:tcBorders>
            <w:shd w:val="clear" w:color="auto" w:fill="auto"/>
            <w:vAlign w:val="bottom"/>
          </w:tcPr>
          <w:p w14:paraId="28764CF1" w14:textId="448E180E" w:rsidR="005A338B" w:rsidRPr="005A338B" w:rsidRDefault="00A01752" w:rsidP="005A338B">
            <w:pPr>
              <w:pStyle w:val="TT"/>
              <w:spacing w:line="240" w:lineRule="auto"/>
              <w:jc w:val="right"/>
              <w:rPr>
                <w:rFonts w:asciiTheme="minorHAnsi" w:hAnsiTheme="minorHAnsi" w:cs="Arial"/>
                <w:b/>
                <w:iCs/>
                <w:szCs w:val="19"/>
                <w:lang w:val="hr-HR"/>
              </w:rPr>
            </w:pPr>
            <w:r w:rsidRPr="00A01752">
              <w:rPr>
                <w:rFonts w:asciiTheme="minorHAnsi" w:hAnsiTheme="minorHAnsi" w:cs="Arial"/>
                <w:b/>
                <w:iCs/>
                <w:szCs w:val="19"/>
                <w:lang w:val="hr-HR"/>
              </w:rPr>
              <w:t>193,205</w:t>
            </w:r>
          </w:p>
        </w:tc>
      </w:tr>
      <w:tr w:rsidR="005A338B" w:rsidRPr="0034501D" w14:paraId="2E82F623" w14:textId="77777777" w:rsidTr="005444AA">
        <w:trPr>
          <w:trHeight w:hRule="exact" w:val="160"/>
        </w:trPr>
        <w:tc>
          <w:tcPr>
            <w:tcW w:w="1516" w:type="pct"/>
          </w:tcPr>
          <w:p w14:paraId="0B180859" w14:textId="77777777" w:rsidR="005A338B" w:rsidRPr="0034501D" w:rsidRDefault="005A338B" w:rsidP="005A338B">
            <w:pPr>
              <w:pStyle w:val="TT"/>
              <w:spacing w:line="140" w:lineRule="exact"/>
              <w:jc w:val="right"/>
              <w:rPr>
                <w:rFonts w:ascii="Calibri" w:hAnsi="Calibri" w:cs="Arial"/>
                <w:iCs/>
                <w:szCs w:val="19"/>
              </w:rPr>
            </w:pPr>
          </w:p>
        </w:tc>
        <w:tc>
          <w:tcPr>
            <w:tcW w:w="697" w:type="pct"/>
            <w:vAlign w:val="bottom"/>
          </w:tcPr>
          <w:p w14:paraId="3404E3CC" w14:textId="2F603A51" w:rsidR="005A338B" w:rsidRPr="00481D17" w:rsidRDefault="005A338B" w:rsidP="005A338B">
            <w:pPr>
              <w:pStyle w:val="Thin"/>
              <w:tabs>
                <w:tab w:val="clear" w:pos="1202"/>
                <w:tab w:val="decimal" w:pos="1015"/>
              </w:tabs>
              <w:spacing w:line="140" w:lineRule="exact"/>
              <w:jc w:val="right"/>
              <w:rPr>
                <w:rFonts w:ascii="Calibri" w:hAnsi="Calibri" w:cs="Arial"/>
                <w:b w:val="0"/>
                <w:spacing w:val="-2"/>
                <w:sz w:val="19"/>
                <w:szCs w:val="19"/>
                <w:lang w:val="en-GB"/>
              </w:rPr>
            </w:pPr>
            <w:r w:rsidRPr="005444AA">
              <w:rPr>
                <w:rFonts w:cs="Arial"/>
                <w:b w:val="0"/>
                <w:spacing w:val="-2"/>
                <w:sz w:val="19"/>
                <w:szCs w:val="19"/>
              </w:rPr>
              <w:t>__________</w:t>
            </w:r>
          </w:p>
        </w:tc>
        <w:tc>
          <w:tcPr>
            <w:tcW w:w="697" w:type="pct"/>
            <w:vAlign w:val="bottom"/>
          </w:tcPr>
          <w:p w14:paraId="3AA3DC0E" w14:textId="19AA1111" w:rsidR="005A338B" w:rsidRPr="00481D17" w:rsidRDefault="005A338B" w:rsidP="005A338B">
            <w:pPr>
              <w:pStyle w:val="Thin"/>
              <w:tabs>
                <w:tab w:val="clear" w:pos="1202"/>
                <w:tab w:val="decimal" w:pos="1015"/>
              </w:tabs>
              <w:spacing w:line="140" w:lineRule="exact"/>
              <w:jc w:val="right"/>
              <w:rPr>
                <w:rFonts w:ascii="Calibri" w:hAnsi="Calibri" w:cs="Arial"/>
                <w:b w:val="0"/>
                <w:spacing w:val="-2"/>
                <w:sz w:val="19"/>
                <w:szCs w:val="19"/>
                <w:lang w:val="en-GB"/>
              </w:rPr>
            </w:pPr>
            <w:r w:rsidRPr="005444AA">
              <w:rPr>
                <w:rFonts w:cs="Arial"/>
                <w:b w:val="0"/>
                <w:spacing w:val="-2"/>
                <w:sz w:val="19"/>
                <w:szCs w:val="19"/>
              </w:rPr>
              <w:t>__________</w:t>
            </w:r>
          </w:p>
        </w:tc>
        <w:tc>
          <w:tcPr>
            <w:tcW w:w="697" w:type="pct"/>
            <w:vAlign w:val="bottom"/>
          </w:tcPr>
          <w:p w14:paraId="3B3DE1D9" w14:textId="2C5D7246" w:rsidR="005A338B" w:rsidRPr="00481D17" w:rsidRDefault="005A338B" w:rsidP="005A338B">
            <w:pPr>
              <w:pStyle w:val="Thin"/>
              <w:tabs>
                <w:tab w:val="clear" w:pos="1202"/>
                <w:tab w:val="decimal" w:pos="1015"/>
              </w:tabs>
              <w:spacing w:line="140" w:lineRule="exact"/>
              <w:jc w:val="right"/>
              <w:rPr>
                <w:rFonts w:ascii="Calibri" w:hAnsi="Calibri" w:cs="Arial"/>
                <w:b w:val="0"/>
                <w:spacing w:val="-2"/>
                <w:sz w:val="19"/>
                <w:szCs w:val="19"/>
                <w:lang w:val="en-GB"/>
              </w:rPr>
            </w:pPr>
            <w:r w:rsidRPr="005444AA">
              <w:rPr>
                <w:rFonts w:cs="Arial"/>
                <w:b w:val="0"/>
                <w:spacing w:val="-2"/>
                <w:sz w:val="19"/>
                <w:szCs w:val="19"/>
              </w:rPr>
              <w:t>__________</w:t>
            </w:r>
          </w:p>
        </w:tc>
        <w:tc>
          <w:tcPr>
            <w:tcW w:w="697" w:type="pct"/>
            <w:vAlign w:val="bottom"/>
          </w:tcPr>
          <w:p w14:paraId="500E16BA" w14:textId="17F5AAA5" w:rsidR="005A338B" w:rsidRPr="00481D17" w:rsidRDefault="005A338B" w:rsidP="005A338B">
            <w:pPr>
              <w:pStyle w:val="Thin"/>
              <w:tabs>
                <w:tab w:val="clear" w:pos="1202"/>
                <w:tab w:val="decimal" w:pos="1015"/>
              </w:tabs>
              <w:spacing w:line="140" w:lineRule="exact"/>
              <w:jc w:val="right"/>
              <w:rPr>
                <w:rFonts w:ascii="Calibri" w:hAnsi="Calibri" w:cs="Arial"/>
                <w:b w:val="0"/>
                <w:spacing w:val="-2"/>
                <w:sz w:val="19"/>
                <w:szCs w:val="19"/>
                <w:lang w:val="en-GB"/>
              </w:rPr>
            </w:pPr>
            <w:r w:rsidRPr="005444AA">
              <w:rPr>
                <w:rFonts w:cs="Arial"/>
                <w:b w:val="0"/>
                <w:spacing w:val="-2"/>
                <w:sz w:val="19"/>
                <w:szCs w:val="19"/>
              </w:rPr>
              <w:t>__________</w:t>
            </w:r>
          </w:p>
        </w:tc>
        <w:tc>
          <w:tcPr>
            <w:tcW w:w="696" w:type="pct"/>
            <w:vAlign w:val="bottom"/>
          </w:tcPr>
          <w:p w14:paraId="478AAFB1" w14:textId="46A02CCB" w:rsidR="005A338B" w:rsidRPr="00481D17" w:rsidRDefault="005A338B" w:rsidP="005A338B">
            <w:pPr>
              <w:pStyle w:val="Thin"/>
              <w:tabs>
                <w:tab w:val="clear" w:pos="1202"/>
                <w:tab w:val="decimal" w:pos="1015"/>
              </w:tabs>
              <w:spacing w:line="140" w:lineRule="exact"/>
              <w:jc w:val="right"/>
              <w:rPr>
                <w:rFonts w:ascii="Calibri" w:hAnsi="Calibri" w:cs="Arial"/>
                <w:b w:val="0"/>
                <w:spacing w:val="-2"/>
                <w:sz w:val="19"/>
                <w:szCs w:val="19"/>
                <w:lang w:val="en-GB"/>
              </w:rPr>
            </w:pPr>
            <w:r w:rsidRPr="005444AA">
              <w:rPr>
                <w:rFonts w:cs="Arial"/>
                <w:b w:val="0"/>
                <w:spacing w:val="-2"/>
                <w:sz w:val="19"/>
                <w:szCs w:val="19"/>
              </w:rPr>
              <w:t>__________</w:t>
            </w:r>
          </w:p>
        </w:tc>
      </w:tr>
      <w:tr w:rsidR="005A338B" w:rsidRPr="0034501D" w14:paraId="2ACA17A7" w14:textId="77777777" w:rsidTr="005444AA">
        <w:trPr>
          <w:trHeight w:val="76"/>
        </w:trPr>
        <w:tc>
          <w:tcPr>
            <w:tcW w:w="1516" w:type="pct"/>
          </w:tcPr>
          <w:p w14:paraId="71297893" w14:textId="77777777" w:rsidR="005A338B" w:rsidRPr="0034501D" w:rsidRDefault="005A338B" w:rsidP="005A338B">
            <w:pPr>
              <w:pStyle w:val="TT"/>
              <w:spacing w:line="240" w:lineRule="auto"/>
              <w:rPr>
                <w:rFonts w:ascii="Calibri" w:hAnsi="Calibri" w:cs="Arial"/>
                <w:i/>
                <w:iCs/>
                <w:szCs w:val="19"/>
              </w:rPr>
            </w:pPr>
            <w:r w:rsidRPr="0034501D">
              <w:rPr>
                <w:rFonts w:ascii="Calibri" w:hAnsi="Calibri"/>
                <w:iCs/>
                <w:szCs w:val="19"/>
              </w:rPr>
              <w:t>Capital paid-in from the State Budget</w:t>
            </w:r>
          </w:p>
        </w:tc>
        <w:tc>
          <w:tcPr>
            <w:tcW w:w="697" w:type="pct"/>
            <w:tcBorders>
              <w:top w:val="nil"/>
              <w:left w:val="nil"/>
              <w:bottom w:val="nil"/>
              <w:right w:val="nil"/>
            </w:tcBorders>
            <w:shd w:val="clear" w:color="auto" w:fill="auto"/>
            <w:vAlign w:val="bottom"/>
          </w:tcPr>
          <w:p w14:paraId="5F0393C4" w14:textId="1A3DBA5D" w:rsidR="005A338B" w:rsidRPr="00CA37C8" w:rsidRDefault="00A01752" w:rsidP="005A338B">
            <w:pPr>
              <w:pStyle w:val="TT"/>
              <w:spacing w:line="240" w:lineRule="auto"/>
              <w:jc w:val="right"/>
              <w:rPr>
                <w:rFonts w:asciiTheme="minorHAnsi" w:hAnsiTheme="minorHAnsi" w:cs="Arial"/>
                <w:iCs/>
                <w:szCs w:val="19"/>
                <w:lang w:val="hr-HR"/>
              </w:rPr>
            </w:pPr>
            <w:r w:rsidRPr="006B318F">
              <w:rPr>
                <w:rFonts w:asciiTheme="minorHAnsi" w:hAnsiTheme="minorHAnsi" w:cs="Arial"/>
                <w:iCs/>
                <w:szCs w:val="19"/>
                <w:lang w:val="hr-HR"/>
              </w:rPr>
              <w:t>25,000</w:t>
            </w:r>
          </w:p>
        </w:tc>
        <w:tc>
          <w:tcPr>
            <w:tcW w:w="697" w:type="pct"/>
            <w:tcBorders>
              <w:top w:val="nil"/>
              <w:left w:val="nil"/>
              <w:bottom w:val="nil"/>
              <w:right w:val="nil"/>
            </w:tcBorders>
            <w:shd w:val="clear" w:color="auto" w:fill="auto"/>
            <w:vAlign w:val="bottom"/>
          </w:tcPr>
          <w:p w14:paraId="2748A37E" w14:textId="70D04CB6" w:rsidR="005A338B" w:rsidRPr="00CA37C8" w:rsidRDefault="005A338B" w:rsidP="005A338B">
            <w:pPr>
              <w:pStyle w:val="TT"/>
              <w:spacing w:line="240" w:lineRule="auto"/>
              <w:jc w:val="right"/>
              <w:rPr>
                <w:rFonts w:asciiTheme="minorHAnsi" w:hAnsiTheme="minorHAnsi" w:cs="Arial"/>
                <w:iCs/>
                <w:szCs w:val="19"/>
                <w:lang w:val="hr-HR"/>
              </w:rPr>
            </w:pPr>
            <w:r w:rsidRPr="00D00F43">
              <w:rPr>
                <w:rFonts w:cs="Arial"/>
                <w:iCs/>
                <w:szCs w:val="19"/>
              </w:rPr>
              <w:t>-</w:t>
            </w:r>
          </w:p>
        </w:tc>
        <w:tc>
          <w:tcPr>
            <w:tcW w:w="697" w:type="pct"/>
            <w:tcBorders>
              <w:top w:val="nil"/>
              <w:left w:val="nil"/>
              <w:bottom w:val="nil"/>
              <w:right w:val="nil"/>
            </w:tcBorders>
            <w:shd w:val="clear" w:color="auto" w:fill="auto"/>
            <w:vAlign w:val="bottom"/>
          </w:tcPr>
          <w:p w14:paraId="28B4D1B8" w14:textId="021BC999" w:rsidR="005A338B" w:rsidRPr="00CA37C8" w:rsidRDefault="005A338B" w:rsidP="005A338B">
            <w:pPr>
              <w:pStyle w:val="TT"/>
              <w:spacing w:line="240" w:lineRule="auto"/>
              <w:jc w:val="right"/>
              <w:rPr>
                <w:rFonts w:asciiTheme="minorHAnsi" w:hAnsiTheme="minorHAnsi" w:cs="Arial"/>
                <w:iCs/>
                <w:szCs w:val="19"/>
                <w:lang w:val="hr-HR"/>
              </w:rPr>
            </w:pPr>
            <w:r w:rsidRPr="00D00F43">
              <w:rPr>
                <w:rFonts w:cs="Arial"/>
                <w:iCs/>
                <w:szCs w:val="19"/>
              </w:rPr>
              <w:t>-</w:t>
            </w:r>
          </w:p>
        </w:tc>
        <w:tc>
          <w:tcPr>
            <w:tcW w:w="697" w:type="pct"/>
            <w:tcBorders>
              <w:top w:val="nil"/>
              <w:left w:val="nil"/>
              <w:bottom w:val="nil"/>
              <w:right w:val="nil"/>
            </w:tcBorders>
            <w:shd w:val="clear" w:color="auto" w:fill="auto"/>
            <w:vAlign w:val="bottom"/>
          </w:tcPr>
          <w:p w14:paraId="3BDE5B7B" w14:textId="7F11A036" w:rsidR="005A338B" w:rsidRPr="00CA37C8" w:rsidRDefault="005A338B" w:rsidP="005A338B">
            <w:pPr>
              <w:pStyle w:val="TT"/>
              <w:spacing w:line="240" w:lineRule="auto"/>
              <w:jc w:val="right"/>
              <w:rPr>
                <w:rFonts w:asciiTheme="minorHAnsi" w:hAnsiTheme="minorHAnsi" w:cs="Arial"/>
                <w:iCs/>
                <w:szCs w:val="19"/>
                <w:lang w:val="hr-HR"/>
              </w:rPr>
            </w:pPr>
            <w:r w:rsidRPr="00D00F43">
              <w:rPr>
                <w:rFonts w:cs="Arial"/>
                <w:iCs/>
                <w:szCs w:val="19"/>
              </w:rPr>
              <w:t>-</w:t>
            </w:r>
          </w:p>
        </w:tc>
        <w:tc>
          <w:tcPr>
            <w:tcW w:w="696" w:type="pct"/>
            <w:tcBorders>
              <w:top w:val="nil"/>
              <w:left w:val="nil"/>
              <w:bottom w:val="nil"/>
              <w:right w:val="nil"/>
            </w:tcBorders>
            <w:shd w:val="clear" w:color="auto" w:fill="auto"/>
            <w:vAlign w:val="bottom"/>
          </w:tcPr>
          <w:p w14:paraId="5C685D24" w14:textId="4D233D21" w:rsidR="005A338B" w:rsidRPr="005A338B" w:rsidRDefault="00A01752" w:rsidP="005A338B">
            <w:pPr>
              <w:pStyle w:val="TT"/>
              <w:spacing w:line="240" w:lineRule="auto"/>
              <w:jc w:val="right"/>
              <w:rPr>
                <w:rFonts w:asciiTheme="minorHAnsi" w:hAnsiTheme="minorHAnsi" w:cs="Arial"/>
                <w:b/>
                <w:iCs/>
                <w:szCs w:val="19"/>
                <w:lang w:val="hr-HR"/>
              </w:rPr>
            </w:pPr>
            <w:r w:rsidRPr="006B318F">
              <w:rPr>
                <w:rFonts w:asciiTheme="minorHAnsi" w:hAnsiTheme="minorHAnsi" w:cs="Arial"/>
                <w:b/>
                <w:iCs/>
                <w:szCs w:val="19"/>
                <w:lang w:val="hr-HR"/>
              </w:rPr>
              <w:t>25,000</w:t>
            </w:r>
          </w:p>
        </w:tc>
      </w:tr>
      <w:tr w:rsidR="005A338B" w:rsidRPr="0034501D" w14:paraId="60503289" w14:textId="77777777" w:rsidTr="005444AA">
        <w:trPr>
          <w:trHeight w:val="72"/>
        </w:trPr>
        <w:tc>
          <w:tcPr>
            <w:tcW w:w="1516" w:type="pct"/>
          </w:tcPr>
          <w:p w14:paraId="25FA38E3" w14:textId="77777777" w:rsidR="005A338B" w:rsidRPr="0034501D" w:rsidRDefault="005A338B" w:rsidP="005A338B">
            <w:pPr>
              <w:pStyle w:val="TT"/>
              <w:spacing w:line="240" w:lineRule="auto"/>
              <w:rPr>
                <w:rFonts w:ascii="Calibri" w:hAnsi="Calibri" w:cs="Arial"/>
                <w:i/>
                <w:iCs/>
                <w:szCs w:val="19"/>
              </w:rPr>
            </w:pPr>
            <w:r w:rsidRPr="0034501D">
              <w:rPr>
                <w:rFonts w:ascii="Calibri" w:hAnsi="Calibri"/>
                <w:iCs/>
                <w:szCs w:val="19"/>
              </w:rPr>
              <w:t>Transfer of profit 201</w:t>
            </w:r>
            <w:r>
              <w:rPr>
                <w:rFonts w:ascii="Calibri" w:hAnsi="Calibri"/>
                <w:iCs/>
                <w:szCs w:val="19"/>
              </w:rPr>
              <w:t>6</w:t>
            </w:r>
            <w:r w:rsidRPr="0034501D">
              <w:rPr>
                <w:rFonts w:ascii="Calibri" w:hAnsi="Calibri"/>
                <w:iCs/>
                <w:szCs w:val="19"/>
              </w:rPr>
              <w:t xml:space="preserve"> to retained earnings</w:t>
            </w:r>
            <w:r w:rsidRPr="0034501D">
              <w:rPr>
                <w:rFonts w:ascii="Calibri" w:hAnsi="Calibri" w:cs="Arial"/>
                <w:iCs/>
                <w:szCs w:val="19"/>
              </w:rPr>
              <w:t xml:space="preserve"> </w:t>
            </w:r>
          </w:p>
        </w:tc>
        <w:tc>
          <w:tcPr>
            <w:tcW w:w="697" w:type="pct"/>
            <w:tcBorders>
              <w:top w:val="nil"/>
              <w:left w:val="nil"/>
              <w:bottom w:val="nil"/>
              <w:right w:val="nil"/>
            </w:tcBorders>
            <w:shd w:val="clear" w:color="auto" w:fill="auto"/>
            <w:vAlign w:val="bottom"/>
          </w:tcPr>
          <w:p w14:paraId="0B65206E" w14:textId="3905D542" w:rsidR="005A338B" w:rsidRPr="00CA37C8" w:rsidRDefault="005A338B" w:rsidP="005A338B">
            <w:pPr>
              <w:pStyle w:val="TT"/>
              <w:spacing w:line="240" w:lineRule="auto"/>
              <w:jc w:val="right"/>
              <w:rPr>
                <w:rFonts w:asciiTheme="minorHAnsi" w:hAnsiTheme="minorHAnsi" w:cs="Arial"/>
                <w:iCs/>
                <w:szCs w:val="19"/>
                <w:lang w:val="hr-HR"/>
              </w:rPr>
            </w:pPr>
            <w:r w:rsidRPr="00D00F43">
              <w:rPr>
                <w:rFonts w:ascii="Calibri" w:hAnsi="Calibri"/>
                <w:color w:val="000000"/>
                <w:szCs w:val="19"/>
              </w:rPr>
              <w:t>-</w:t>
            </w:r>
          </w:p>
        </w:tc>
        <w:tc>
          <w:tcPr>
            <w:tcW w:w="697" w:type="pct"/>
            <w:tcBorders>
              <w:top w:val="nil"/>
              <w:left w:val="nil"/>
              <w:bottom w:val="nil"/>
              <w:right w:val="nil"/>
            </w:tcBorders>
            <w:shd w:val="clear" w:color="auto" w:fill="auto"/>
            <w:vAlign w:val="bottom"/>
          </w:tcPr>
          <w:p w14:paraId="4199C5C5" w14:textId="3DFF8333" w:rsidR="005A338B" w:rsidRPr="001149DD" w:rsidRDefault="00A01752" w:rsidP="005A338B">
            <w:pPr>
              <w:pStyle w:val="TT"/>
              <w:spacing w:line="240" w:lineRule="auto"/>
              <w:jc w:val="right"/>
              <w:rPr>
                <w:rFonts w:asciiTheme="minorHAnsi" w:hAnsiTheme="minorHAnsi" w:cs="Arial"/>
                <w:iCs/>
                <w:szCs w:val="19"/>
                <w:lang w:val="hr-HR"/>
              </w:rPr>
            </w:pPr>
            <w:r w:rsidRPr="00A01752">
              <w:rPr>
                <w:rFonts w:ascii="Calibri" w:hAnsi="Calibri"/>
                <w:color w:val="000000"/>
                <w:szCs w:val="19"/>
              </w:rPr>
              <w:t>314,841</w:t>
            </w:r>
          </w:p>
        </w:tc>
        <w:tc>
          <w:tcPr>
            <w:tcW w:w="697" w:type="pct"/>
            <w:tcBorders>
              <w:top w:val="nil"/>
              <w:left w:val="nil"/>
              <w:bottom w:val="nil"/>
              <w:right w:val="nil"/>
            </w:tcBorders>
            <w:shd w:val="clear" w:color="auto" w:fill="auto"/>
            <w:vAlign w:val="bottom"/>
          </w:tcPr>
          <w:p w14:paraId="4344FE0B" w14:textId="2FD31A3F" w:rsidR="005A338B" w:rsidRPr="001149DD" w:rsidRDefault="005A338B" w:rsidP="005A338B">
            <w:pPr>
              <w:pStyle w:val="TT"/>
              <w:spacing w:line="240" w:lineRule="auto"/>
              <w:jc w:val="right"/>
              <w:rPr>
                <w:rFonts w:asciiTheme="minorHAnsi" w:hAnsiTheme="minorHAnsi" w:cs="Arial"/>
                <w:iCs/>
                <w:szCs w:val="19"/>
                <w:lang w:val="hr-HR"/>
              </w:rPr>
            </w:pPr>
            <w:r w:rsidRPr="00D00F43">
              <w:rPr>
                <w:rFonts w:ascii="Calibri" w:hAnsi="Calibri"/>
                <w:color w:val="000000"/>
                <w:szCs w:val="19"/>
              </w:rPr>
              <w:t>-</w:t>
            </w:r>
          </w:p>
        </w:tc>
        <w:tc>
          <w:tcPr>
            <w:tcW w:w="697" w:type="pct"/>
            <w:tcBorders>
              <w:top w:val="nil"/>
              <w:left w:val="nil"/>
              <w:bottom w:val="nil"/>
              <w:right w:val="nil"/>
            </w:tcBorders>
            <w:shd w:val="clear" w:color="auto" w:fill="auto"/>
            <w:vAlign w:val="bottom"/>
          </w:tcPr>
          <w:p w14:paraId="48D2BFEA" w14:textId="5ADB7C01" w:rsidR="005A338B" w:rsidRPr="001149DD" w:rsidRDefault="00A01752" w:rsidP="005A338B">
            <w:pPr>
              <w:pStyle w:val="TT"/>
              <w:spacing w:line="240" w:lineRule="auto"/>
              <w:jc w:val="right"/>
              <w:rPr>
                <w:rFonts w:asciiTheme="minorHAnsi" w:hAnsiTheme="minorHAnsi" w:cs="Arial"/>
                <w:iCs/>
                <w:szCs w:val="19"/>
                <w:lang w:val="hr-HR"/>
              </w:rPr>
            </w:pPr>
            <w:r w:rsidRPr="00A01752">
              <w:rPr>
                <w:rFonts w:ascii="Calibri" w:hAnsi="Calibri"/>
                <w:color w:val="000000"/>
                <w:szCs w:val="19"/>
              </w:rPr>
              <w:t>(314,841)</w:t>
            </w:r>
            <w:r w:rsidRPr="00A01752" w:rsidDel="005414B8">
              <w:rPr>
                <w:rFonts w:ascii="Calibri" w:hAnsi="Calibri"/>
                <w:color w:val="000000"/>
                <w:szCs w:val="19"/>
              </w:rPr>
              <w:t xml:space="preserve"> </w:t>
            </w:r>
            <w:r w:rsidR="005A338B" w:rsidRPr="00D00F43">
              <w:rPr>
                <w:rFonts w:ascii="Calibri" w:hAnsi="Calibri"/>
                <w:color w:val="000000"/>
                <w:szCs w:val="19"/>
              </w:rPr>
              <w:t xml:space="preserve">          </w:t>
            </w:r>
          </w:p>
        </w:tc>
        <w:tc>
          <w:tcPr>
            <w:tcW w:w="696" w:type="pct"/>
            <w:tcBorders>
              <w:top w:val="nil"/>
              <w:left w:val="nil"/>
              <w:bottom w:val="nil"/>
              <w:right w:val="nil"/>
            </w:tcBorders>
            <w:shd w:val="clear" w:color="auto" w:fill="auto"/>
            <w:vAlign w:val="bottom"/>
          </w:tcPr>
          <w:p w14:paraId="58195EA1" w14:textId="50A2B17C" w:rsidR="005A338B" w:rsidRPr="005A338B" w:rsidRDefault="005A338B" w:rsidP="005A338B">
            <w:pPr>
              <w:pStyle w:val="TT"/>
              <w:spacing w:line="240" w:lineRule="auto"/>
              <w:jc w:val="right"/>
              <w:rPr>
                <w:rFonts w:asciiTheme="minorHAnsi" w:hAnsiTheme="minorHAnsi" w:cs="Arial"/>
                <w:b/>
                <w:iCs/>
                <w:szCs w:val="19"/>
                <w:lang w:val="hr-HR"/>
              </w:rPr>
            </w:pPr>
            <w:r w:rsidRPr="005A338B">
              <w:rPr>
                <w:rFonts w:ascii="Calibri" w:hAnsi="Calibri"/>
                <w:b/>
                <w:color w:val="000000"/>
                <w:szCs w:val="19"/>
              </w:rPr>
              <w:t xml:space="preserve">                         - </w:t>
            </w:r>
          </w:p>
        </w:tc>
      </w:tr>
      <w:tr w:rsidR="005A338B" w:rsidRPr="0034501D" w14:paraId="585DE49C" w14:textId="77777777" w:rsidTr="005444AA">
        <w:trPr>
          <w:trHeight w:hRule="exact" w:val="160"/>
        </w:trPr>
        <w:tc>
          <w:tcPr>
            <w:tcW w:w="1516" w:type="pct"/>
          </w:tcPr>
          <w:p w14:paraId="7FAF88C2" w14:textId="77777777" w:rsidR="005A338B" w:rsidRPr="0034501D" w:rsidRDefault="005A338B" w:rsidP="005A338B">
            <w:pPr>
              <w:pStyle w:val="TT"/>
              <w:spacing w:line="240" w:lineRule="auto"/>
              <w:rPr>
                <w:rFonts w:ascii="Calibri" w:hAnsi="Calibri"/>
                <w:iCs/>
                <w:szCs w:val="19"/>
              </w:rPr>
            </w:pPr>
          </w:p>
        </w:tc>
        <w:tc>
          <w:tcPr>
            <w:tcW w:w="697" w:type="pct"/>
            <w:shd w:val="clear" w:color="auto" w:fill="auto"/>
            <w:vAlign w:val="bottom"/>
          </w:tcPr>
          <w:p w14:paraId="0C1E7643" w14:textId="0C7FD0A5" w:rsidR="005A338B" w:rsidRPr="005444AA" w:rsidRDefault="005A338B" w:rsidP="005A338B">
            <w:pPr>
              <w:pStyle w:val="Thin"/>
              <w:tabs>
                <w:tab w:val="clear" w:pos="1202"/>
                <w:tab w:val="decimal" w:pos="1015"/>
              </w:tabs>
              <w:spacing w:line="140" w:lineRule="exact"/>
              <w:jc w:val="right"/>
              <w:rPr>
                <w:rFonts w:asciiTheme="minorHAnsi" w:hAnsiTheme="minorHAnsi" w:cs="Arial"/>
                <w:b w:val="0"/>
                <w:spacing w:val="-2"/>
                <w:szCs w:val="19"/>
                <w:lang w:val="hr-HR"/>
              </w:rPr>
            </w:pPr>
            <w:r w:rsidRPr="005444AA">
              <w:rPr>
                <w:rFonts w:cs="Arial"/>
                <w:b w:val="0"/>
                <w:spacing w:val="-2"/>
                <w:sz w:val="19"/>
                <w:szCs w:val="19"/>
              </w:rPr>
              <w:t>__________</w:t>
            </w:r>
          </w:p>
        </w:tc>
        <w:tc>
          <w:tcPr>
            <w:tcW w:w="697" w:type="pct"/>
            <w:shd w:val="clear" w:color="auto" w:fill="auto"/>
            <w:vAlign w:val="bottom"/>
          </w:tcPr>
          <w:p w14:paraId="07AB9E84" w14:textId="1E740151" w:rsidR="005A338B" w:rsidRPr="005444AA" w:rsidRDefault="005A338B" w:rsidP="005A338B">
            <w:pPr>
              <w:pStyle w:val="Thin"/>
              <w:tabs>
                <w:tab w:val="clear" w:pos="1202"/>
                <w:tab w:val="decimal" w:pos="1015"/>
              </w:tabs>
              <w:spacing w:line="140" w:lineRule="exact"/>
              <w:jc w:val="right"/>
              <w:rPr>
                <w:rFonts w:asciiTheme="minorHAnsi" w:hAnsiTheme="minorHAnsi" w:cs="Arial"/>
                <w:b w:val="0"/>
                <w:spacing w:val="-2"/>
                <w:szCs w:val="19"/>
                <w:lang w:val="hr-HR"/>
              </w:rPr>
            </w:pPr>
            <w:r w:rsidRPr="005444AA">
              <w:rPr>
                <w:rFonts w:cs="Arial"/>
                <w:b w:val="0"/>
                <w:spacing w:val="-2"/>
                <w:sz w:val="19"/>
                <w:szCs w:val="19"/>
              </w:rPr>
              <w:t>__________</w:t>
            </w:r>
          </w:p>
        </w:tc>
        <w:tc>
          <w:tcPr>
            <w:tcW w:w="697" w:type="pct"/>
            <w:shd w:val="clear" w:color="auto" w:fill="auto"/>
            <w:vAlign w:val="bottom"/>
          </w:tcPr>
          <w:p w14:paraId="5DECEDF1" w14:textId="63633CD1" w:rsidR="005A338B" w:rsidRPr="005444AA" w:rsidRDefault="005A338B" w:rsidP="005A338B">
            <w:pPr>
              <w:pStyle w:val="Thin"/>
              <w:tabs>
                <w:tab w:val="clear" w:pos="1202"/>
                <w:tab w:val="decimal" w:pos="1015"/>
              </w:tabs>
              <w:spacing w:line="140" w:lineRule="exact"/>
              <w:jc w:val="right"/>
              <w:rPr>
                <w:rFonts w:asciiTheme="minorHAnsi" w:hAnsiTheme="minorHAnsi" w:cs="Arial"/>
                <w:b w:val="0"/>
                <w:spacing w:val="-2"/>
                <w:szCs w:val="19"/>
                <w:lang w:val="hr-HR"/>
              </w:rPr>
            </w:pPr>
            <w:r w:rsidRPr="005444AA">
              <w:rPr>
                <w:rFonts w:cs="Arial"/>
                <w:b w:val="0"/>
                <w:spacing w:val="-2"/>
                <w:sz w:val="19"/>
                <w:szCs w:val="19"/>
              </w:rPr>
              <w:t>__________</w:t>
            </w:r>
          </w:p>
        </w:tc>
        <w:tc>
          <w:tcPr>
            <w:tcW w:w="697" w:type="pct"/>
            <w:shd w:val="clear" w:color="auto" w:fill="auto"/>
            <w:vAlign w:val="bottom"/>
          </w:tcPr>
          <w:p w14:paraId="65711509" w14:textId="71210733" w:rsidR="005A338B" w:rsidRPr="005444AA" w:rsidRDefault="005A338B" w:rsidP="005A338B">
            <w:pPr>
              <w:pStyle w:val="Thin"/>
              <w:tabs>
                <w:tab w:val="clear" w:pos="1202"/>
                <w:tab w:val="decimal" w:pos="1015"/>
              </w:tabs>
              <w:spacing w:line="140" w:lineRule="exact"/>
              <w:jc w:val="right"/>
              <w:rPr>
                <w:rFonts w:asciiTheme="minorHAnsi" w:hAnsiTheme="minorHAnsi" w:cs="Arial"/>
                <w:b w:val="0"/>
                <w:spacing w:val="-2"/>
                <w:szCs w:val="19"/>
                <w:lang w:val="hr-HR"/>
              </w:rPr>
            </w:pPr>
            <w:r w:rsidRPr="005444AA">
              <w:rPr>
                <w:rFonts w:cs="Arial"/>
                <w:b w:val="0"/>
                <w:spacing w:val="-2"/>
                <w:sz w:val="19"/>
                <w:szCs w:val="19"/>
              </w:rPr>
              <w:t>__________</w:t>
            </w:r>
          </w:p>
        </w:tc>
        <w:tc>
          <w:tcPr>
            <w:tcW w:w="696" w:type="pct"/>
            <w:shd w:val="clear" w:color="auto" w:fill="auto"/>
            <w:vAlign w:val="bottom"/>
          </w:tcPr>
          <w:p w14:paraId="3E40D5FB" w14:textId="1B1E113D" w:rsidR="005A338B" w:rsidRPr="005444AA" w:rsidRDefault="005A338B" w:rsidP="005A338B">
            <w:pPr>
              <w:pStyle w:val="Thin"/>
              <w:tabs>
                <w:tab w:val="clear" w:pos="1202"/>
                <w:tab w:val="decimal" w:pos="1015"/>
              </w:tabs>
              <w:spacing w:line="140" w:lineRule="exact"/>
              <w:jc w:val="right"/>
              <w:rPr>
                <w:rFonts w:asciiTheme="minorHAnsi" w:hAnsiTheme="minorHAnsi" w:cs="Arial"/>
                <w:b w:val="0"/>
                <w:spacing w:val="-2"/>
                <w:szCs w:val="19"/>
                <w:lang w:val="hr-HR"/>
              </w:rPr>
            </w:pPr>
            <w:r w:rsidRPr="005444AA">
              <w:rPr>
                <w:rFonts w:cs="Arial"/>
                <w:b w:val="0"/>
                <w:spacing w:val="-2"/>
                <w:sz w:val="19"/>
                <w:szCs w:val="19"/>
              </w:rPr>
              <w:t>__________</w:t>
            </w:r>
          </w:p>
        </w:tc>
      </w:tr>
      <w:tr w:rsidR="00A01752" w:rsidRPr="0034501D" w14:paraId="4A9BFACC" w14:textId="77777777" w:rsidTr="006B318F">
        <w:trPr>
          <w:trHeight w:val="72"/>
        </w:trPr>
        <w:tc>
          <w:tcPr>
            <w:tcW w:w="1516" w:type="pct"/>
            <w:vAlign w:val="bottom"/>
          </w:tcPr>
          <w:p w14:paraId="25181A20" w14:textId="45850C55" w:rsidR="00A01752" w:rsidRPr="0034501D" w:rsidRDefault="00A01752" w:rsidP="00A01752">
            <w:pPr>
              <w:pStyle w:val="TT"/>
              <w:spacing w:line="320" w:lineRule="exact"/>
              <w:rPr>
                <w:rFonts w:ascii="Calibri" w:hAnsi="Calibri" w:cs="Arial"/>
                <w:b/>
                <w:iCs/>
                <w:szCs w:val="19"/>
              </w:rPr>
            </w:pPr>
            <w:r w:rsidRPr="0034501D">
              <w:rPr>
                <w:rFonts w:ascii="Calibri" w:hAnsi="Calibri" w:cs="Arial"/>
                <w:b/>
                <w:iCs/>
                <w:szCs w:val="19"/>
              </w:rPr>
              <w:t xml:space="preserve">Balance as of </w:t>
            </w:r>
            <w:r>
              <w:rPr>
                <w:rFonts w:ascii="Calibri" w:hAnsi="Calibri" w:cs="Arial"/>
                <w:b/>
                <w:iCs/>
                <w:szCs w:val="19"/>
              </w:rPr>
              <w:t xml:space="preserve">30 </w:t>
            </w:r>
            <w:r w:rsidRPr="005414B8">
              <w:rPr>
                <w:rFonts w:ascii="Calibri" w:hAnsi="Calibri" w:cs="Arial"/>
                <w:b/>
                <w:iCs/>
                <w:szCs w:val="19"/>
              </w:rPr>
              <w:t>Septembe</w:t>
            </w:r>
            <w:r>
              <w:rPr>
                <w:rFonts w:ascii="Calibri" w:hAnsi="Calibri" w:cs="Arial"/>
                <w:b/>
                <w:iCs/>
                <w:szCs w:val="19"/>
              </w:rPr>
              <w:t xml:space="preserve">r </w:t>
            </w:r>
            <w:r w:rsidRPr="0034501D">
              <w:rPr>
                <w:rFonts w:ascii="Calibri" w:hAnsi="Calibri" w:cs="Arial"/>
                <w:b/>
                <w:iCs/>
                <w:szCs w:val="19"/>
              </w:rPr>
              <w:t>201</w:t>
            </w:r>
            <w:r>
              <w:rPr>
                <w:rFonts w:ascii="Calibri" w:hAnsi="Calibri" w:cs="Arial"/>
                <w:b/>
                <w:iCs/>
                <w:szCs w:val="19"/>
              </w:rPr>
              <w:t>7</w:t>
            </w:r>
          </w:p>
        </w:tc>
        <w:tc>
          <w:tcPr>
            <w:tcW w:w="697" w:type="pct"/>
            <w:tcBorders>
              <w:top w:val="nil"/>
              <w:left w:val="nil"/>
              <w:bottom w:val="nil"/>
              <w:right w:val="nil"/>
            </w:tcBorders>
            <w:shd w:val="clear" w:color="auto" w:fill="auto"/>
            <w:vAlign w:val="bottom"/>
          </w:tcPr>
          <w:p w14:paraId="28AF1538" w14:textId="1C36FC50" w:rsidR="00A01752" w:rsidRPr="006B318F" w:rsidRDefault="00A01752" w:rsidP="006B318F">
            <w:pPr>
              <w:pStyle w:val="TT"/>
              <w:spacing w:line="240" w:lineRule="auto"/>
              <w:jc w:val="right"/>
              <w:rPr>
                <w:rFonts w:ascii="Calibri" w:hAnsi="Calibri" w:cs="Calibri"/>
                <w:b/>
                <w:iCs/>
                <w:szCs w:val="19"/>
              </w:rPr>
            </w:pPr>
            <w:r w:rsidRPr="006B318F">
              <w:rPr>
                <w:rFonts w:ascii="Calibri" w:hAnsi="Calibri" w:cs="Calibri"/>
                <w:b/>
                <w:iCs/>
                <w:szCs w:val="19"/>
              </w:rPr>
              <w:t>6,984,632</w:t>
            </w:r>
          </w:p>
        </w:tc>
        <w:tc>
          <w:tcPr>
            <w:tcW w:w="697" w:type="pct"/>
            <w:tcBorders>
              <w:top w:val="nil"/>
              <w:left w:val="nil"/>
              <w:bottom w:val="nil"/>
              <w:right w:val="nil"/>
            </w:tcBorders>
            <w:shd w:val="clear" w:color="auto" w:fill="auto"/>
            <w:vAlign w:val="bottom"/>
          </w:tcPr>
          <w:p w14:paraId="5FCDC5C8" w14:textId="047A3DF7" w:rsidR="00A01752" w:rsidRPr="006B318F" w:rsidRDefault="00A01752" w:rsidP="006B318F">
            <w:pPr>
              <w:pStyle w:val="TT"/>
              <w:spacing w:line="240" w:lineRule="auto"/>
              <w:jc w:val="right"/>
              <w:rPr>
                <w:rFonts w:ascii="Calibri" w:hAnsi="Calibri" w:cs="Calibri"/>
                <w:b/>
                <w:iCs/>
                <w:szCs w:val="19"/>
              </w:rPr>
            </w:pPr>
            <w:r w:rsidRPr="006B318F">
              <w:rPr>
                <w:rFonts w:ascii="Calibri" w:hAnsi="Calibri" w:cs="Calibri"/>
                <w:b/>
                <w:iCs/>
                <w:szCs w:val="19"/>
              </w:rPr>
              <w:t>2,996,968</w:t>
            </w:r>
          </w:p>
        </w:tc>
        <w:tc>
          <w:tcPr>
            <w:tcW w:w="697" w:type="pct"/>
            <w:tcBorders>
              <w:top w:val="nil"/>
              <w:left w:val="nil"/>
              <w:bottom w:val="nil"/>
              <w:right w:val="nil"/>
            </w:tcBorders>
            <w:shd w:val="clear" w:color="auto" w:fill="auto"/>
            <w:vAlign w:val="bottom"/>
          </w:tcPr>
          <w:p w14:paraId="74296B96" w14:textId="60A7E959" w:rsidR="00A01752" w:rsidRPr="006B318F" w:rsidRDefault="00A01752" w:rsidP="006B318F">
            <w:pPr>
              <w:pStyle w:val="TT"/>
              <w:spacing w:line="240" w:lineRule="auto"/>
              <w:jc w:val="right"/>
              <w:rPr>
                <w:rFonts w:ascii="Calibri" w:hAnsi="Calibri" w:cs="Calibri"/>
                <w:b/>
                <w:iCs/>
                <w:szCs w:val="19"/>
              </w:rPr>
            </w:pPr>
            <w:r w:rsidRPr="006B318F">
              <w:rPr>
                <w:rFonts w:ascii="Calibri" w:hAnsi="Calibri" w:cs="Calibri"/>
                <w:b/>
                <w:iCs/>
                <w:szCs w:val="19"/>
              </w:rPr>
              <w:t>90,397</w:t>
            </w:r>
          </w:p>
        </w:tc>
        <w:tc>
          <w:tcPr>
            <w:tcW w:w="697" w:type="pct"/>
            <w:tcBorders>
              <w:top w:val="nil"/>
              <w:left w:val="nil"/>
              <w:bottom w:val="nil"/>
              <w:right w:val="nil"/>
            </w:tcBorders>
            <w:shd w:val="clear" w:color="auto" w:fill="auto"/>
            <w:vAlign w:val="bottom"/>
          </w:tcPr>
          <w:p w14:paraId="741142D7" w14:textId="24AFD326" w:rsidR="00A01752" w:rsidRPr="006B318F" w:rsidRDefault="00A01752" w:rsidP="006B318F">
            <w:pPr>
              <w:pStyle w:val="TT"/>
              <w:spacing w:line="240" w:lineRule="auto"/>
              <w:jc w:val="right"/>
              <w:rPr>
                <w:rFonts w:ascii="Calibri" w:hAnsi="Calibri" w:cs="Calibri"/>
                <w:b/>
                <w:iCs/>
                <w:szCs w:val="19"/>
              </w:rPr>
            </w:pPr>
            <w:r w:rsidRPr="006B318F">
              <w:rPr>
                <w:rFonts w:ascii="Calibri" w:hAnsi="Calibri" w:cs="Calibri"/>
                <w:b/>
                <w:iCs/>
                <w:szCs w:val="19"/>
              </w:rPr>
              <w:t>176,541</w:t>
            </w:r>
          </w:p>
        </w:tc>
        <w:tc>
          <w:tcPr>
            <w:tcW w:w="696" w:type="pct"/>
            <w:tcBorders>
              <w:top w:val="nil"/>
              <w:left w:val="nil"/>
              <w:bottom w:val="nil"/>
              <w:right w:val="nil"/>
            </w:tcBorders>
            <w:shd w:val="clear" w:color="auto" w:fill="auto"/>
            <w:vAlign w:val="bottom"/>
          </w:tcPr>
          <w:p w14:paraId="553E1AEE" w14:textId="08442E27" w:rsidR="00A01752" w:rsidRPr="006B318F" w:rsidRDefault="00A01752" w:rsidP="006B318F">
            <w:pPr>
              <w:pStyle w:val="TT"/>
              <w:spacing w:line="240" w:lineRule="auto"/>
              <w:jc w:val="right"/>
              <w:rPr>
                <w:rFonts w:ascii="Calibri" w:hAnsi="Calibri" w:cs="Calibri"/>
                <w:b/>
                <w:iCs/>
                <w:szCs w:val="19"/>
              </w:rPr>
            </w:pPr>
            <w:r w:rsidRPr="006B318F">
              <w:rPr>
                <w:rFonts w:ascii="Calibri" w:hAnsi="Calibri" w:cs="Calibri"/>
                <w:b/>
                <w:iCs/>
                <w:szCs w:val="19"/>
              </w:rPr>
              <w:t>10,248,538</w:t>
            </w:r>
          </w:p>
        </w:tc>
      </w:tr>
      <w:tr w:rsidR="00481D17" w:rsidRPr="0034501D" w14:paraId="2CEF6BDA" w14:textId="77777777" w:rsidTr="005444AA">
        <w:trPr>
          <w:trHeight w:val="109"/>
        </w:trPr>
        <w:tc>
          <w:tcPr>
            <w:tcW w:w="1516" w:type="pct"/>
          </w:tcPr>
          <w:p w14:paraId="5CF131E2" w14:textId="77777777" w:rsidR="00481D17" w:rsidRPr="0034501D" w:rsidRDefault="00481D17" w:rsidP="00481D17">
            <w:pPr>
              <w:tabs>
                <w:tab w:val="right" w:pos="1202"/>
              </w:tabs>
              <w:spacing w:after="0" w:line="140" w:lineRule="exact"/>
              <w:jc w:val="right"/>
              <w:outlineLvl w:val="0"/>
              <w:rPr>
                <w:rFonts w:eastAsia="Times New Roman" w:cs="Arial"/>
                <w:iCs/>
                <w:sz w:val="19"/>
                <w:szCs w:val="19"/>
              </w:rPr>
            </w:pPr>
          </w:p>
        </w:tc>
        <w:tc>
          <w:tcPr>
            <w:tcW w:w="697" w:type="pct"/>
            <w:vAlign w:val="bottom"/>
          </w:tcPr>
          <w:p w14:paraId="2C1399C6" w14:textId="6B87FF3D" w:rsidR="00481D17" w:rsidRPr="0034501D" w:rsidRDefault="00481D17" w:rsidP="00481D17">
            <w:pPr>
              <w:keepNext/>
              <w:keepLines/>
              <w:tabs>
                <w:tab w:val="decimal" w:pos="1015"/>
              </w:tabs>
              <w:spacing w:after="0"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___________</w:t>
            </w:r>
          </w:p>
        </w:tc>
        <w:tc>
          <w:tcPr>
            <w:tcW w:w="697" w:type="pct"/>
            <w:vAlign w:val="bottom"/>
          </w:tcPr>
          <w:p w14:paraId="06FEFF46" w14:textId="5B57BC32" w:rsidR="00481D17" w:rsidRPr="0034501D" w:rsidRDefault="00481D17" w:rsidP="00481D17">
            <w:pPr>
              <w:keepNext/>
              <w:keepLines/>
              <w:tabs>
                <w:tab w:val="decimal" w:pos="1015"/>
              </w:tabs>
              <w:spacing w:after="0"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___________</w:t>
            </w:r>
          </w:p>
        </w:tc>
        <w:tc>
          <w:tcPr>
            <w:tcW w:w="697" w:type="pct"/>
            <w:vAlign w:val="bottom"/>
          </w:tcPr>
          <w:p w14:paraId="7F93D8B3" w14:textId="4FDBBFE0" w:rsidR="00481D17" w:rsidRPr="0034501D" w:rsidRDefault="00481D17" w:rsidP="00481D17">
            <w:pPr>
              <w:keepNext/>
              <w:keepLines/>
              <w:tabs>
                <w:tab w:val="decimal" w:pos="1015"/>
              </w:tabs>
              <w:spacing w:after="0"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___________</w:t>
            </w:r>
          </w:p>
        </w:tc>
        <w:tc>
          <w:tcPr>
            <w:tcW w:w="697" w:type="pct"/>
            <w:vAlign w:val="bottom"/>
          </w:tcPr>
          <w:p w14:paraId="65ED34AD" w14:textId="3C5CDBED" w:rsidR="00481D17" w:rsidRPr="0034501D" w:rsidRDefault="00481D17" w:rsidP="00481D17">
            <w:pPr>
              <w:keepNext/>
              <w:keepLines/>
              <w:tabs>
                <w:tab w:val="decimal" w:pos="1015"/>
              </w:tabs>
              <w:spacing w:after="0"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___________</w:t>
            </w:r>
          </w:p>
        </w:tc>
        <w:tc>
          <w:tcPr>
            <w:tcW w:w="696" w:type="pct"/>
            <w:vAlign w:val="bottom"/>
          </w:tcPr>
          <w:p w14:paraId="580AAF2E" w14:textId="516DEDFC" w:rsidR="00481D17" w:rsidRPr="005A338B" w:rsidRDefault="00481D17" w:rsidP="00481D17">
            <w:pPr>
              <w:keepNext/>
              <w:keepLines/>
              <w:tabs>
                <w:tab w:val="decimal" w:pos="1015"/>
              </w:tabs>
              <w:spacing w:after="0"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___________</w:t>
            </w:r>
          </w:p>
        </w:tc>
      </w:tr>
    </w:tbl>
    <w:p w14:paraId="7809527F" w14:textId="77777777" w:rsidR="00484F77" w:rsidRPr="0034501D" w:rsidRDefault="00484F77" w:rsidP="00C4266C">
      <w:pPr>
        <w:spacing w:after="0" w:line="240" w:lineRule="auto"/>
      </w:pPr>
    </w:p>
    <w:p w14:paraId="18AEDD35" w14:textId="77777777" w:rsidR="00EC1B73" w:rsidRPr="0034501D" w:rsidRDefault="00EC1B73" w:rsidP="00C66644">
      <w:pPr>
        <w:pStyle w:val="T1"/>
        <w:keepNext w:val="0"/>
        <w:spacing w:before="0" w:after="0" w:line="240" w:lineRule="auto"/>
        <w:rPr>
          <w:rFonts w:ascii="Calibri" w:hAnsi="Calibri" w:cs="Arial"/>
          <w:b w:val="0"/>
          <w:bCs w:val="0"/>
          <w:sz w:val="22"/>
          <w:szCs w:val="22"/>
          <w:lang w:val="en-GB"/>
        </w:rPr>
      </w:pPr>
    </w:p>
    <w:p w14:paraId="0768F287" w14:textId="77777777" w:rsidR="00EC1B73" w:rsidRPr="0034501D" w:rsidRDefault="00EC1B73" w:rsidP="00C66644">
      <w:pPr>
        <w:pStyle w:val="T1"/>
        <w:keepNext w:val="0"/>
        <w:spacing w:before="0" w:after="0" w:line="240" w:lineRule="auto"/>
        <w:rPr>
          <w:rFonts w:ascii="Calibri" w:hAnsi="Calibri" w:cs="Arial"/>
          <w:b w:val="0"/>
          <w:bCs w:val="0"/>
          <w:sz w:val="22"/>
          <w:szCs w:val="22"/>
          <w:lang w:val="en-GB"/>
        </w:rPr>
      </w:pPr>
    </w:p>
    <w:p w14:paraId="602CE854" w14:textId="77777777" w:rsidR="001A0990" w:rsidRPr="00B636BD" w:rsidRDefault="00D658D4" w:rsidP="00166751">
      <w:pPr>
        <w:spacing w:after="0" w:line="240" w:lineRule="auto"/>
        <w:jc w:val="both"/>
        <w:rPr>
          <w:rFonts w:eastAsia="Times New Roman"/>
          <w:bCs/>
          <w:sz w:val="24"/>
          <w:szCs w:val="24"/>
        </w:rPr>
        <w:sectPr w:rsidR="001A0990" w:rsidRPr="00B636BD" w:rsidSect="00947CB7">
          <w:headerReference w:type="first" r:id="rId25"/>
          <w:footerReference w:type="first" r:id="rId26"/>
          <w:pgSz w:w="11906" w:h="16838" w:code="9"/>
          <w:pgMar w:top="1418" w:right="1133" w:bottom="1417" w:left="1417" w:header="737" w:footer="709" w:gutter="0"/>
          <w:cols w:space="708"/>
          <w:titlePg/>
          <w:docGrid w:linePitch="360"/>
        </w:sectPr>
      </w:pPr>
      <w:r w:rsidRPr="00B636BD">
        <w:rPr>
          <w:rFonts w:asciiTheme="minorHAnsi" w:eastAsia="Times New Roman" w:hAnsiTheme="minorHAnsi"/>
        </w:rPr>
        <w:t>The accompanying selected notes are an integral part of th</w:t>
      </w:r>
      <w:r w:rsidR="00D0597B">
        <w:rPr>
          <w:rFonts w:asciiTheme="minorHAnsi" w:eastAsia="Times New Roman" w:hAnsiTheme="minorHAnsi"/>
        </w:rPr>
        <w:t>i</w:t>
      </w:r>
      <w:r w:rsidR="00E1249B">
        <w:rPr>
          <w:rFonts w:asciiTheme="minorHAnsi" w:eastAsia="Times New Roman" w:hAnsiTheme="minorHAnsi"/>
        </w:rPr>
        <w:t>s</w:t>
      </w:r>
      <w:r w:rsidR="00D0597B">
        <w:rPr>
          <w:rFonts w:asciiTheme="minorHAnsi" w:eastAsia="Times New Roman" w:hAnsiTheme="minorHAnsi"/>
        </w:rPr>
        <w:t xml:space="preserve"> Statement of Changes in Equity.</w:t>
      </w:r>
    </w:p>
    <w:p w14:paraId="35D9BCB4" w14:textId="77777777" w:rsidR="00484F77" w:rsidRPr="0034501D" w:rsidRDefault="00484F77" w:rsidP="002445F5">
      <w:pPr>
        <w:spacing w:after="0" w:line="240" w:lineRule="auto"/>
      </w:pPr>
    </w:p>
    <w:tbl>
      <w:tblPr>
        <w:tblpPr w:leftFromText="181" w:rightFromText="181" w:vertAnchor="text" w:horzAnchor="margin" w:tblpX="-142" w:tblpY="191"/>
        <w:tblOverlap w:val="never"/>
        <w:tblW w:w="5151" w:type="pct"/>
        <w:tblLayout w:type="fixed"/>
        <w:tblCellMar>
          <w:left w:w="119" w:type="dxa"/>
          <w:right w:w="119" w:type="dxa"/>
        </w:tblCellMar>
        <w:tblLook w:val="0000" w:firstRow="0" w:lastRow="0" w:firstColumn="0" w:lastColumn="0" w:noHBand="0" w:noVBand="0"/>
      </w:tblPr>
      <w:tblGrid>
        <w:gridCol w:w="3115"/>
        <w:gridCol w:w="993"/>
        <w:gridCol w:w="1419"/>
        <w:gridCol w:w="1419"/>
        <w:gridCol w:w="1276"/>
        <w:gridCol w:w="1417"/>
      </w:tblGrid>
      <w:tr w:rsidR="00E442F7" w:rsidRPr="00E351B8" w14:paraId="599A07DD" w14:textId="77777777" w:rsidTr="004C0B45">
        <w:trPr>
          <w:cantSplit/>
          <w:trHeight w:val="302"/>
        </w:trPr>
        <w:tc>
          <w:tcPr>
            <w:tcW w:w="1616" w:type="pct"/>
          </w:tcPr>
          <w:p w14:paraId="7D29053A" w14:textId="77777777" w:rsidR="00E442F7" w:rsidRPr="00E351B8" w:rsidRDefault="00E442F7" w:rsidP="004C0B45">
            <w:pPr>
              <w:tabs>
                <w:tab w:val="right" w:pos="1202"/>
              </w:tabs>
              <w:spacing w:after="0" w:line="240" w:lineRule="exact"/>
              <w:outlineLvl w:val="0"/>
              <w:rPr>
                <w:rFonts w:asciiTheme="minorHAnsi" w:eastAsia="Times New Roman" w:hAnsiTheme="minorHAnsi" w:cs="Arial"/>
                <w:b/>
                <w:bCs/>
                <w:lang w:val="hr-HR"/>
              </w:rPr>
            </w:pPr>
          </w:p>
        </w:tc>
        <w:tc>
          <w:tcPr>
            <w:tcW w:w="515" w:type="pct"/>
          </w:tcPr>
          <w:p w14:paraId="29BA78FC" w14:textId="77777777" w:rsidR="00E442F7" w:rsidRPr="00E351B8" w:rsidRDefault="00E442F7" w:rsidP="004C0B45">
            <w:pPr>
              <w:spacing w:after="0" w:line="240" w:lineRule="exact"/>
              <w:jc w:val="center"/>
              <w:outlineLvl w:val="0"/>
              <w:rPr>
                <w:rFonts w:asciiTheme="minorHAnsi" w:eastAsia="Times New Roman" w:hAnsiTheme="minorHAnsi" w:cs="Arial"/>
                <w:b/>
                <w:bCs/>
                <w:lang w:val="hr-HR"/>
              </w:rPr>
            </w:pPr>
          </w:p>
        </w:tc>
        <w:tc>
          <w:tcPr>
            <w:tcW w:w="1472" w:type="pct"/>
            <w:gridSpan w:val="2"/>
          </w:tcPr>
          <w:p w14:paraId="71C01936" w14:textId="77777777" w:rsidR="00E442F7" w:rsidRPr="00E351B8" w:rsidRDefault="00E442F7" w:rsidP="00E442F7">
            <w:pPr>
              <w:spacing w:after="0" w:line="240" w:lineRule="exact"/>
              <w:jc w:val="center"/>
              <w:outlineLvl w:val="0"/>
              <w:rPr>
                <w:rFonts w:asciiTheme="minorHAnsi" w:eastAsia="Times New Roman" w:hAnsiTheme="minorHAnsi" w:cs="Arial"/>
                <w:b/>
                <w:bCs/>
                <w:lang w:val="hr-HR"/>
              </w:rPr>
            </w:pPr>
            <w:r w:rsidRPr="00E351B8">
              <w:rPr>
                <w:rFonts w:asciiTheme="minorHAnsi" w:eastAsia="Times New Roman" w:hAnsiTheme="minorHAnsi" w:cs="Arial"/>
                <w:b/>
                <w:bCs/>
                <w:lang w:val="hr-HR"/>
              </w:rPr>
              <w:t>201</w:t>
            </w:r>
            <w:r>
              <w:rPr>
                <w:rFonts w:asciiTheme="minorHAnsi" w:eastAsia="Times New Roman" w:hAnsiTheme="minorHAnsi" w:cs="Arial"/>
                <w:b/>
                <w:bCs/>
                <w:lang w:val="hr-HR"/>
              </w:rPr>
              <w:t>7</w:t>
            </w:r>
          </w:p>
        </w:tc>
        <w:tc>
          <w:tcPr>
            <w:tcW w:w="1397" w:type="pct"/>
            <w:gridSpan w:val="2"/>
          </w:tcPr>
          <w:p w14:paraId="71941943" w14:textId="77777777" w:rsidR="00E442F7" w:rsidRPr="00E351B8" w:rsidRDefault="00E442F7" w:rsidP="00E442F7">
            <w:pPr>
              <w:spacing w:after="0" w:line="240" w:lineRule="exact"/>
              <w:jc w:val="center"/>
              <w:outlineLvl w:val="0"/>
              <w:rPr>
                <w:rFonts w:asciiTheme="minorHAnsi" w:eastAsia="Times New Roman" w:hAnsiTheme="minorHAnsi" w:cs="Arial"/>
                <w:b/>
                <w:bCs/>
                <w:lang w:val="hr-HR"/>
              </w:rPr>
            </w:pPr>
            <w:r w:rsidRPr="00E351B8">
              <w:rPr>
                <w:rFonts w:asciiTheme="minorHAnsi" w:eastAsia="Times New Roman" w:hAnsiTheme="minorHAnsi" w:cs="Arial"/>
                <w:b/>
                <w:bCs/>
                <w:lang w:val="hr-HR"/>
              </w:rPr>
              <w:t>201</w:t>
            </w:r>
            <w:r>
              <w:rPr>
                <w:rFonts w:asciiTheme="minorHAnsi" w:eastAsia="Times New Roman" w:hAnsiTheme="minorHAnsi" w:cs="Arial"/>
                <w:b/>
                <w:bCs/>
                <w:lang w:val="hr-HR"/>
              </w:rPr>
              <w:t>6</w:t>
            </w:r>
          </w:p>
        </w:tc>
      </w:tr>
      <w:tr w:rsidR="00E442F7" w:rsidRPr="00E351B8" w14:paraId="1779FC31" w14:textId="77777777" w:rsidTr="004C0B45">
        <w:trPr>
          <w:cantSplit/>
          <w:trHeight w:val="302"/>
        </w:trPr>
        <w:tc>
          <w:tcPr>
            <w:tcW w:w="1616" w:type="pct"/>
          </w:tcPr>
          <w:p w14:paraId="052C921D" w14:textId="77777777" w:rsidR="00E442F7" w:rsidRPr="00E351B8" w:rsidRDefault="00E442F7" w:rsidP="004C0B45">
            <w:pPr>
              <w:tabs>
                <w:tab w:val="right" w:pos="1202"/>
              </w:tabs>
              <w:spacing w:after="0" w:line="240" w:lineRule="exact"/>
              <w:outlineLvl w:val="0"/>
              <w:rPr>
                <w:rFonts w:asciiTheme="minorHAnsi" w:eastAsia="Times New Roman" w:hAnsiTheme="minorHAnsi" w:cs="Arial"/>
                <w:b/>
                <w:bCs/>
                <w:lang w:val="hr-HR"/>
              </w:rPr>
            </w:pPr>
          </w:p>
        </w:tc>
        <w:tc>
          <w:tcPr>
            <w:tcW w:w="515" w:type="pct"/>
            <w:vAlign w:val="center"/>
          </w:tcPr>
          <w:p w14:paraId="19EE1A6F" w14:textId="77777777" w:rsidR="00E442F7" w:rsidRPr="00E351B8" w:rsidRDefault="00E442F7" w:rsidP="004C0B45">
            <w:pPr>
              <w:spacing w:after="0" w:line="240" w:lineRule="exact"/>
              <w:jc w:val="center"/>
              <w:outlineLvl w:val="0"/>
              <w:rPr>
                <w:rFonts w:asciiTheme="minorHAnsi" w:eastAsia="Times New Roman" w:hAnsiTheme="minorHAnsi" w:cs="Arial"/>
                <w:b/>
                <w:bCs/>
                <w:lang w:val="hr-HR"/>
              </w:rPr>
            </w:pPr>
            <w:r>
              <w:rPr>
                <w:rFonts w:asciiTheme="minorHAnsi" w:eastAsia="Times New Roman" w:hAnsiTheme="minorHAnsi" w:cs="Arial"/>
                <w:b/>
                <w:bCs/>
                <w:lang w:val="hr-HR"/>
              </w:rPr>
              <w:t>Notes</w:t>
            </w:r>
          </w:p>
        </w:tc>
        <w:tc>
          <w:tcPr>
            <w:tcW w:w="736" w:type="pct"/>
            <w:vAlign w:val="center"/>
          </w:tcPr>
          <w:p w14:paraId="5E78DB21" w14:textId="77777777" w:rsidR="00E442F7" w:rsidRPr="008832E2" w:rsidRDefault="00E442F7" w:rsidP="004C0B45">
            <w:pPr>
              <w:spacing w:after="0" w:line="301" w:lineRule="exact"/>
              <w:jc w:val="center"/>
              <w:outlineLvl w:val="0"/>
              <w:rPr>
                <w:rFonts w:eastAsia="Times New Roman" w:cs="Calibri"/>
                <w:bCs/>
              </w:rPr>
            </w:pPr>
            <w:r w:rsidRPr="008832E2">
              <w:rPr>
                <w:rFonts w:eastAsia="Times New Roman" w:cs="Calibri"/>
                <w:bCs/>
              </w:rPr>
              <w:t>Current period</w:t>
            </w:r>
          </w:p>
          <w:p w14:paraId="5D7B73C7" w14:textId="565E4FFC" w:rsidR="00E442F7" w:rsidRPr="00E351B8" w:rsidRDefault="005414B8" w:rsidP="00A63E7A">
            <w:pPr>
              <w:spacing w:after="0" w:line="240" w:lineRule="auto"/>
              <w:jc w:val="center"/>
              <w:outlineLvl w:val="0"/>
              <w:rPr>
                <w:rFonts w:eastAsia="Times New Roman" w:cs="Calibri"/>
                <w:bCs/>
                <w:noProof/>
              </w:rPr>
            </w:pPr>
            <w:r>
              <w:rPr>
                <w:rFonts w:cs="Calibri"/>
                <w:bCs/>
              </w:rPr>
              <w:t>July</w:t>
            </w:r>
            <w:r w:rsidRPr="008832E2">
              <w:rPr>
                <w:rFonts w:cs="Calibri"/>
                <w:bCs/>
              </w:rPr>
              <w:t xml:space="preserve"> </w:t>
            </w:r>
            <w:r w:rsidR="00E442F7" w:rsidRPr="008832E2">
              <w:rPr>
                <w:rFonts w:cs="Calibri"/>
                <w:bCs/>
              </w:rPr>
              <w:t xml:space="preserve">1 – </w:t>
            </w:r>
            <w:r>
              <w:rPr>
                <w:rFonts w:cs="Calibri"/>
                <w:bCs/>
              </w:rPr>
              <w:t>September</w:t>
            </w:r>
            <w:r w:rsidRPr="008832E2">
              <w:rPr>
                <w:rFonts w:cs="Calibri"/>
                <w:bCs/>
              </w:rPr>
              <w:t xml:space="preserve"> </w:t>
            </w:r>
            <w:r w:rsidR="00E442F7" w:rsidRPr="008832E2">
              <w:rPr>
                <w:rFonts w:cs="Calibri"/>
                <w:bCs/>
              </w:rPr>
              <w:t>30</w:t>
            </w:r>
          </w:p>
        </w:tc>
        <w:tc>
          <w:tcPr>
            <w:tcW w:w="736" w:type="pct"/>
            <w:vAlign w:val="center"/>
          </w:tcPr>
          <w:p w14:paraId="64157D9F" w14:textId="77777777" w:rsidR="00E442F7" w:rsidRPr="008832E2" w:rsidRDefault="00E442F7" w:rsidP="004C0B45">
            <w:pPr>
              <w:spacing w:after="0" w:line="301" w:lineRule="exact"/>
              <w:jc w:val="center"/>
              <w:outlineLvl w:val="0"/>
              <w:rPr>
                <w:rFonts w:eastAsia="Times New Roman" w:cs="Calibri"/>
                <w:bCs/>
              </w:rPr>
            </w:pPr>
            <w:r w:rsidRPr="008832E2">
              <w:rPr>
                <w:rFonts w:eastAsia="Times New Roman" w:cs="Calibri"/>
                <w:bCs/>
              </w:rPr>
              <w:t>Cumulatively</w:t>
            </w:r>
          </w:p>
          <w:p w14:paraId="27811EEB" w14:textId="7B2F54A7" w:rsidR="00E442F7" w:rsidRPr="00E351B8" w:rsidRDefault="00E442F7" w:rsidP="00A63E7A">
            <w:pPr>
              <w:spacing w:after="0" w:line="240" w:lineRule="auto"/>
              <w:jc w:val="center"/>
              <w:outlineLvl w:val="0"/>
              <w:rPr>
                <w:rFonts w:eastAsia="Times New Roman" w:cs="Calibri"/>
                <w:bCs/>
                <w:noProof/>
              </w:rPr>
            </w:pPr>
            <w:r w:rsidRPr="008832E2">
              <w:rPr>
                <w:rFonts w:cs="Calibri"/>
                <w:bCs/>
              </w:rPr>
              <w:t xml:space="preserve">January 1 – </w:t>
            </w:r>
            <w:r w:rsidR="005414B8">
              <w:rPr>
                <w:rFonts w:cs="Calibri"/>
                <w:bCs/>
              </w:rPr>
              <w:t>September</w:t>
            </w:r>
            <w:r w:rsidR="005414B8" w:rsidRPr="008832E2">
              <w:rPr>
                <w:rFonts w:cs="Calibri"/>
                <w:bCs/>
              </w:rPr>
              <w:t xml:space="preserve"> </w:t>
            </w:r>
            <w:r w:rsidRPr="008832E2">
              <w:rPr>
                <w:rFonts w:cs="Calibri"/>
                <w:bCs/>
              </w:rPr>
              <w:t>30</w:t>
            </w:r>
          </w:p>
        </w:tc>
        <w:tc>
          <w:tcPr>
            <w:tcW w:w="662" w:type="pct"/>
            <w:vAlign w:val="center"/>
          </w:tcPr>
          <w:p w14:paraId="1F8BF544" w14:textId="77777777" w:rsidR="00E442F7" w:rsidRPr="008832E2" w:rsidRDefault="00E442F7" w:rsidP="004C0B45">
            <w:pPr>
              <w:spacing w:after="0" w:line="301" w:lineRule="exact"/>
              <w:jc w:val="center"/>
              <w:outlineLvl w:val="0"/>
              <w:rPr>
                <w:rFonts w:eastAsia="Times New Roman" w:cs="Calibri"/>
                <w:bCs/>
              </w:rPr>
            </w:pPr>
            <w:r w:rsidRPr="008832E2">
              <w:rPr>
                <w:rFonts w:eastAsia="Times New Roman" w:cs="Calibri"/>
                <w:bCs/>
              </w:rPr>
              <w:t>Current period</w:t>
            </w:r>
          </w:p>
          <w:p w14:paraId="574CE7A7" w14:textId="5680E0F6" w:rsidR="00E442F7" w:rsidRPr="00E351B8" w:rsidRDefault="005414B8" w:rsidP="00E1715B">
            <w:pPr>
              <w:spacing w:after="0" w:line="240" w:lineRule="auto"/>
              <w:jc w:val="center"/>
              <w:outlineLvl w:val="0"/>
              <w:rPr>
                <w:rFonts w:eastAsia="Times New Roman" w:cs="Calibri"/>
                <w:bCs/>
                <w:noProof/>
              </w:rPr>
            </w:pPr>
            <w:r>
              <w:rPr>
                <w:rFonts w:cs="Calibri"/>
                <w:bCs/>
              </w:rPr>
              <w:t>July</w:t>
            </w:r>
            <w:r w:rsidRPr="008832E2">
              <w:rPr>
                <w:rFonts w:cs="Calibri"/>
                <w:bCs/>
              </w:rPr>
              <w:t xml:space="preserve"> </w:t>
            </w:r>
            <w:r w:rsidR="00E442F7" w:rsidRPr="008832E2">
              <w:rPr>
                <w:rFonts w:cs="Calibri"/>
                <w:bCs/>
              </w:rPr>
              <w:t xml:space="preserve">1 – </w:t>
            </w:r>
            <w:r>
              <w:rPr>
                <w:rFonts w:cs="Calibri"/>
                <w:bCs/>
              </w:rPr>
              <w:t>September</w:t>
            </w:r>
            <w:r w:rsidRPr="008832E2">
              <w:rPr>
                <w:rFonts w:cs="Calibri"/>
                <w:bCs/>
              </w:rPr>
              <w:t xml:space="preserve"> </w:t>
            </w:r>
            <w:r w:rsidR="00E442F7" w:rsidRPr="008832E2">
              <w:rPr>
                <w:rFonts w:cs="Calibri"/>
                <w:bCs/>
              </w:rPr>
              <w:t>30</w:t>
            </w:r>
          </w:p>
        </w:tc>
        <w:tc>
          <w:tcPr>
            <w:tcW w:w="735" w:type="pct"/>
            <w:vAlign w:val="center"/>
          </w:tcPr>
          <w:p w14:paraId="3C5FC31E" w14:textId="77777777" w:rsidR="00E442F7" w:rsidRPr="008832E2" w:rsidRDefault="00E442F7" w:rsidP="004C0B45">
            <w:pPr>
              <w:spacing w:after="0" w:line="301" w:lineRule="exact"/>
              <w:jc w:val="center"/>
              <w:outlineLvl w:val="0"/>
              <w:rPr>
                <w:rFonts w:eastAsia="Times New Roman" w:cs="Calibri"/>
                <w:bCs/>
              </w:rPr>
            </w:pPr>
            <w:r w:rsidRPr="008832E2">
              <w:rPr>
                <w:rFonts w:eastAsia="Times New Roman" w:cs="Calibri"/>
                <w:bCs/>
              </w:rPr>
              <w:t>Cumulatively</w:t>
            </w:r>
          </w:p>
          <w:p w14:paraId="40CD1A62" w14:textId="29432299" w:rsidR="00E442F7" w:rsidRPr="00E351B8" w:rsidRDefault="00E442F7" w:rsidP="00A63E7A">
            <w:pPr>
              <w:spacing w:after="0" w:line="240" w:lineRule="auto"/>
              <w:jc w:val="center"/>
              <w:outlineLvl w:val="0"/>
              <w:rPr>
                <w:rFonts w:eastAsia="Times New Roman" w:cs="Calibri"/>
                <w:bCs/>
                <w:noProof/>
              </w:rPr>
            </w:pPr>
            <w:r w:rsidRPr="008832E2">
              <w:rPr>
                <w:rFonts w:cs="Calibri"/>
                <w:bCs/>
              </w:rPr>
              <w:t xml:space="preserve">January 1 – </w:t>
            </w:r>
            <w:r w:rsidR="005414B8">
              <w:rPr>
                <w:rFonts w:cs="Calibri"/>
                <w:bCs/>
              </w:rPr>
              <w:t>September</w:t>
            </w:r>
            <w:r w:rsidR="005414B8" w:rsidRPr="008832E2">
              <w:rPr>
                <w:rFonts w:cs="Calibri"/>
                <w:bCs/>
              </w:rPr>
              <w:t xml:space="preserve"> </w:t>
            </w:r>
            <w:r w:rsidRPr="008832E2">
              <w:rPr>
                <w:rFonts w:cs="Calibri"/>
                <w:bCs/>
              </w:rPr>
              <w:t>30</w:t>
            </w:r>
          </w:p>
        </w:tc>
      </w:tr>
      <w:tr w:rsidR="00E442F7" w:rsidRPr="00E351B8" w14:paraId="323F0E50" w14:textId="77777777" w:rsidTr="004C0B45">
        <w:trPr>
          <w:cantSplit/>
          <w:trHeight w:val="302"/>
        </w:trPr>
        <w:tc>
          <w:tcPr>
            <w:tcW w:w="1616" w:type="pct"/>
          </w:tcPr>
          <w:p w14:paraId="3DCCAE6E" w14:textId="77777777" w:rsidR="00E442F7" w:rsidRPr="00E351B8" w:rsidRDefault="00E442F7" w:rsidP="004C0B45">
            <w:pPr>
              <w:tabs>
                <w:tab w:val="right" w:pos="1202"/>
              </w:tabs>
              <w:spacing w:after="0" w:line="240" w:lineRule="exact"/>
              <w:outlineLvl w:val="0"/>
              <w:rPr>
                <w:rFonts w:asciiTheme="minorHAnsi" w:eastAsia="Times New Roman" w:hAnsiTheme="minorHAnsi" w:cs="Arial"/>
                <w:lang w:val="hr-HR"/>
              </w:rPr>
            </w:pPr>
          </w:p>
        </w:tc>
        <w:tc>
          <w:tcPr>
            <w:tcW w:w="515" w:type="pct"/>
          </w:tcPr>
          <w:p w14:paraId="704C8880" w14:textId="77777777" w:rsidR="00E442F7" w:rsidRPr="00E351B8" w:rsidRDefault="00E442F7" w:rsidP="004C0B45">
            <w:pPr>
              <w:spacing w:after="0" w:line="240" w:lineRule="exact"/>
              <w:jc w:val="center"/>
              <w:outlineLvl w:val="0"/>
              <w:rPr>
                <w:rFonts w:asciiTheme="minorHAnsi" w:eastAsia="Times New Roman" w:hAnsiTheme="minorHAnsi" w:cs="Arial"/>
                <w:b/>
                <w:lang w:val="hr-HR"/>
              </w:rPr>
            </w:pPr>
          </w:p>
        </w:tc>
        <w:tc>
          <w:tcPr>
            <w:tcW w:w="736" w:type="pct"/>
          </w:tcPr>
          <w:p w14:paraId="431D8ED6" w14:textId="77777777" w:rsidR="00E442F7" w:rsidRPr="00E351B8" w:rsidRDefault="00E442F7" w:rsidP="004C0B45">
            <w:pPr>
              <w:spacing w:after="0" w:line="240" w:lineRule="exact"/>
              <w:jc w:val="right"/>
              <w:outlineLvl w:val="0"/>
              <w:rPr>
                <w:rFonts w:asciiTheme="minorHAnsi" w:eastAsia="Times New Roman" w:hAnsiTheme="minorHAnsi" w:cs="Arial"/>
                <w:b/>
                <w:lang w:val="hr-HR"/>
              </w:rPr>
            </w:pPr>
          </w:p>
        </w:tc>
        <w:tc>
          <w:tcPr>
            <w:tcW w:w="736" w:type="pct"/>
          </w:tcPr>
          <w:p w14:paraId="5FFD76CA" w14:textId="77777777" w:rsidR="00E442F7" w:rsidRPr="00E351B8" w:rsidRDefault="00E442F7" w:rsidP="004C0B45">
            <w:pPr>
              <w:spacing w:after="0" w:line="240" w:lineRule="exact"/>
              <w:jc w:val="right"/>
              <w:outlineLvl w:val="0"/>
              <w:rPr>
                <w:rFonts w:asciiTheme="minorHAnsi" w:eastAsia="Times New Roman" w:hAnsiTheme="minorHAnsi" w:cs="Arial"/>
                <w:b/>
                <w:lang w:val="hr-HR"/>
              </w:rPr>
            </w:pPr>
          </w:p>
        </w:tc>
        <w:tc>
          <w:tcPr>
            <w:tcW w:w="662" w:type="pct"/>
          </w:tcPr>
          <w:p w14:paraId="19C3156D" w14:textId="77777777" w:rsidR="00E442F7" w:rsidRPr="00E351B8" w:rsidRDefault="00E442F7" w:rsidP="004C0B45">
            <w:pPr>
              <w:spacing w:after="0" w:line="240" w:lineRule="exact"/>
              <w:jc w:val="right"/>
              <w:outlineLvl w:val="0"/>
              <w:rPr>
                <w:rFonts w:asciiTheme="minorHAnsi" w:eastAsia="Times New Roman" w:hAnsiTheme="minorHAnsi" w:cs="Arial"/>
                <w:b/>
                <w:lang w:val="hr-HR"/>
              </w:rPr>
            </w:pPr>
          </w:p>
        </w:tc>
        <w:tc>
          <w:tcPr>
            <w:tcW w:w="735" w:type="pct"/>
          </w:tcPr>
          <w:p w14:paraId="6C19BB9B" w14:textId="77777777" w:rsidR="00E442F7" w:rsidRPr="00E351B8" w:rsidRDefault="00E442F7" w:rsidP="004C0B45">
            <w:pPr>
              <w:spacing w:after="0" w:line="240" w:lineRule="exact"/>
              <w:jc w:val="right"/>
              <w:outlineLvl w:val="0"/>
              <w:rPr>
                <w:rFonts w:asciiTheme="minorHAnsi" w:eastAsia="Times New Roman" w:hAnsiTheme="minorHAnsi" w:cs="Arial"/>
                <w:b/>
                <w:lang w:val="hr-HR"/>
              </w:rPr>
            </w:pPr>
          </w:p>
        </w:tc>
      </w:tr>
      <w:tr w:rsidR="008766BA" w:rsidRPr="00E351B8" w14:paraId="4433CF11" w14:textId="77777777" w:rsidTr="004C0B45">
        <w:trPr>
          <w:cantSplit/>
          <w:trHeight w:val="315"/>
        </w:trPr>
        <w:tc>
          <w:tcPr>
            <w:tcW w:w="1616" w:type="pct"/>
            <w:vAlign w:val="bottom"/>
          </w:tcPr>
          <w:p w14:paraId="3814E735" w14:textId="77777777" w:rsidR="008766BA" w:rsidRPr="00E351B8" w:rsidRDefault="008766BA" w:rsidP="008766BA">
            <w:pPr>
              <w:tabs>
                <w:tab w:val="right" w:pos="1202"/>
              </w:tabs>
              <w:spacing w:after="0" w:line="240" w:lineRule="exact"/>
              <w:outlineLvl w:val="0"/>
              <w:rPr>
                <w:rFonts w:asciiTheme="minorHAnsi" w:eastAsia="Times New Roman" w:hAnsiTheme="minorHAnsi" w:cs="Arial"/>
                <w:bCs/>
                <w:lang w:val="hr-HR"/>
              </w:rPr>
            </w:pPr>
            <w:r w:rsidRPr="00DC2089">
              <w:rPr>
                <w:rFonts w:cs="Calibri"/>
              </w:rPr>
              <w:t>Interest income</w:t>
            </w:r>
          </w:p>
        </w:tc>
        <w:tc>
          <w:tcPr>
            <w:tcW w:w="515" w:type="pct"/>
            <w:vAlign w:val="center"/>
          </w:tcPr>
          <w:p w14:paraId="14F6B56C" w14:textId="77777777" w:rsidR="008766BA" w:rsidRPr="00E351B8" w:rsidRDefault="008766BA" w:rsidP="008766BA">
            <w:pPr>
              <w:spacing w:after="0" w:line="240" w:lineRule="exact"/>
              <w:jc w:val="center"/>
              <w:outlineLvl w:val="0"/>
              <w:rPr>
                <w:rFonts w:asciiTheme="minorHAnsi" w:eastAsia="Times New Roman" w:hAnsiTheme="minorHAnsi" w:cs="Arial"/>
                <w:bCs/>
                <w:spacing w:val="-2"/>
                <w:lang w:val="hr-HR"/>
              </w:rPr>
            </w:pPr>
            <w:r w:rsidRPr="00E351B8">
              <w:rPr>
                <w:rFonts w:asciiTheme="minorHAnsi" w:eastAsia="Times New Roman" w:hAnsiTheme="minorHAnsi" w:cs="Arial"/>
                <w:bCs/>
                <w:spacing w:val="-2"/>
                <w:lang w:val="hr-HR"/>
              </w:rPr>
              <w:t>4</w:t>
            </w:r>
          </w:p>
        </w:tc>
        <w:tc>
          <w:tcPr>
            <w:tcW w:w="736" w:type="pct"/>
            <w:tcBorders>
              <w:top w:val="nil"/>
              <w:left w:val="nil"/>
              <w:bottom w:val="nil"/>
              <w:right w:val="nil"/>
            </w:tcBorders>
            <w:shd w:val="clear" w:color="auto" w:fill="auto"/>
            <w:vAlign w:val="bottom"/>
          </w:tcPr>
          <w:p w14:paraId="579AA98E" w14:textId="209CB675" w:rsidR="008766BA" w:rsidRPr="00E351B8" w:rsidRDefault="008766BA" w:rsidP="008766BA">
            <w:pPr>
              <w:spacing w:after="0" w:line="240" w:lineRule="exact"/>
              <w:jc w:val="right"/>
              <w:outlineLvl w:val="0"/>
              <w:rPr>
                <w:rFonts w:asciiTheme="minorHAnsi" w:eastAsia="Times New Roman" w:hAnsiTheme="minorHAnsi" w:cs="Arial"/>
                <w:bCs/>
                <w:spacing w:val="-2"/>
                <w:lang w:val="hr-HR"/>
              </w:rPr>
            </w:pPr>
            <w:r w:rsidRPr="00CE0613">
              <w:rPr>
                <w:rFonts w:eastAsia="Times New Roman" w:cs="Arial"/>
                <w:bCs/>
                <w:spacing w:val="-2"/>
              </w:rPr>
              <w:t>208</w:t>
            </w:r>
            <w:r>
              <w:rPr>
                <w:rFonts w:eastAsia="Times New Roman" w:cs="Arial"/>
                <w:bCs/>
                <w:spacing w:val="-2"/>
              </w:rPr>
              <w:t>,</w:t>
            </w:r>
            <w:r w:rsidRPr="00CE0613">
              <w:rPr>
                <w:rFonts w:eastAsia="Times New Roman" w:cs="Arial"/>
                <w:bCs/>
                <w:spacing w:val="-2"/>
              </w:rPr>
              <w:t>951</w:t>
            </w:r>
          </w:p>
        </w:tc>
        <w:tc>
          <w:tcPr>
            <w:tcW w:w="736" w:type="pct"/>
            <w:tcBorders>
              <w:top w:val="nil"/>
              <w:left w:val="nil"/>
              <w:bottom w:val="nil"/>
              <w:right w:val="nil"/>
            </w:tcBorders>
            <w:shd w:val="clear" w:color="auto" w:fill="auto"/>
            <w:vAlign w:val="bottom"/>
          </w:tcPr>
          <w:p w14:paraId="636784B3" w14:textId="151673E7" w:rsidR="008766BA" w:rsidRPr="00E351B8" w:rsidRDefault="008766BA" w:rsidP="008766BA">
            <w:pPr>
              <w:spacing w:after="0" w:line="240" w:lineRule="exact"/>
              <w:jc w:val="right"/>
              <w:outlineLvl w:val="0"/>
              <w:rPr>
                <w:rFonts w:asciiTheme="minorHAnsi" w:eastAsia="Times New Roman" w:hAnsiTheme="minorHAnsi" w:cs="Arial"/>
                <w:bCs/>
                <w:spacing w:val="-2"/>
                <w:lang w:val="hr-HR"/>
              </w:rPr>
            </w:pPr>
            <w:r w:rsidRPr="00CE0613">
              <w:rPr>
                <w:rFonts w:eastAsia="Times New Roman" w:cs="Arial"/>
                <w:bCs/>
                <w:spacing w:val="-2"/>
              </w:rPr>
              <w:t>659</w:t>
            </w:r>
            <w:r>
              <w:rPr>
                <w:rFonts w:eastAsia="Times New Roman" w:cs="Arial"/>
                <w:bCs/>
                <w:spacing w:val="-2"/>
              </w:rPr>
              <w:t>,</w:t>
            </w:r>
            <w:r w:rsidRPr="00CE0613">
              <w:rPr>
                <w:rFonts w:eastAsia="Times New Roman" w:cs="Arial"/>
                <w:bCs/>
                <w:spacing w:val="-2"/>
              </w:rPr>
              <w:t>963</w:t>
            </w:r>
          </w:p>
        </w:tc>
        <w:tc>
          <w:tcPr>
            <w:tcW w:w="662" w:type="pct"/>
            <w:tcBorders>
              <w:top w:val="nil"/>
              <w:left w:val="nil"/>
              <w:bottom w:val="nil"/>
              <w:right w:val="nil"/>
            </w:tcBorders>
            <w:shd w:val="clear" w:color="auto" w:fill="auto"/>
            <w:vAlign w:val="bottom"/>
          </w:tcPr>
          <w:p w14:paraId="155AB83F" w14:textId="283089D2" w:rsidR="008766BA" w:rsidRPr="00E351B8" w:rsidRDefault="008766BA" w:rsidP="008766BA">
            <w:pPr>
              <w:spacing w:after="0" w:line="240" w:lineRule="exact"/>
              <w:jc w:val="right"/>
              <w:outlineLvl w:val="0"/>
              <w:rPr>
                <w:rFonts w:asciiTheme="minorHAnsi" w:eastAsia="Times New Roman" w:hAnsiTheme="minorHAnsi" w:cs="Arial"/>
                <w:bCs/>
                <w:spacing w:val="-2"/>
                <w:lang w:val="hr-HR"/>
              </w:rPr>
            </w:pPr>
            <w:r>
              <w:rPr>
                <w:rFonts w:eastAsia="Times New Roman" w:cs="Arial"/>
                <w:bCs/>
                <w:spacing w:val="-2"/>
              </w:rPr>
              <w:t>215,494</w:t>
            </w:r>
          </w:p>
        </w:tc>
        <w:tc>
          <w:tcPr>
            <w:tcW w:w="735" w:type="pct"/>
            <w:tcBorders>
              <w:top w:val="nil"/>
              <w:left w:val="nil"/>
              <w:bottom w:val="nil"/>
              <w:right w:val="nil"/>
            </w:tcBorders>
            <w:shd w:val="clear" w:color="auto" w:fill="auto"/>
            <w:vAlign w:val="bottom"/>
          </w:tcPr>
          <w:p w14:paraId="545B0DF8" w14:textId="035758B6" w:rsidR="008766BA" w:rsidRPr="00E351B8" w:rsidRDefault="008766BA" w:rsidP="008766BA">
            <w:pPr>
              <w:spacing w:after="0" w:line="240" w:lineRule="exact"/>
              <w:jc w:val="right"/>
              <w:rPr>
                <w:rFonts w:eastAsiaTheme="minorHAnsi" w:cs="Calibri"/>
                <w:snapToGrid w:val="0"/>
                <w:color w:val="000000"/>
                <w:lang w:val="hr-HR"/>
              </w:rPr>
            </w:pPr>
            <w:r>
              <w:rPr>
                <w:rFonts w:cs="Calibri"/>
                <w:snapToGrid w:val="0"/>
                <w:color w:val="000000"/>
              </w:rPr>
              <w:t>643,683</w:t>
            </w:r>
          </w:p>
        </w:tc>
      </w:tr>
      <w:tr w:rsidR="008766BA" w:rsidRPr="00E351B8" w14:paraId="236685CF" w14:textId="77777777" w:rsidTr="004C0B45">
        <w:trPr>
          <w:cantSplit/>
          <w:trHeight w:val="302"/>
        </w:trPr>
        <w:tc>
          <w:tcPr>
            <w:tcW w:w="1616" w:type="pct"/>
            <w:vAlign w:val="bottom"/>
          </w:tcPr>
          <w:p w14:paraId="129B8F34" w14:textId="77777777" w:rsidR="008766BA" w:rsidRPr="00E351B8" w:rsidRDefault="008766BA" w:rsidP="008766BA">
            <w:pPr>
              <w:tabs>
                <w:tab w:val="right" w:pos="1202"/>
              </w:tabs>
              <w:spacing w:after="0" w:line="240" w:lineRule="exact"/>
              <w:outlineLvl w:val="0"/>
              <w:rPr>
                <w:rFonts w:asciiTheme="minorHAnsi" w:eastAsia="Times New Roman" w:hAnsiTheme="minorHAnsi" w:cs="Arial"/>
                <w:bCs/>
                <w:spacing w:val="-2"/>
                <w:lang w:val="hr-HR"/>
              </w:rPr>
            </w:pPr>
            <w:r w:rsidRPr="00DC2089">
              <w:rPr>
                <w:rFonts w:cs="Calibri"/>
              </w:rPr>
              <w:t>Interest expense</w:t>
            </w:r>
          </w:p>
        </w:tc>
        <w:tc>
          <w:tcPr>
            <w:tcW w:w="515" w:type="pct"/>
            <w:vAlign w:val="center"/>
          </w:tcPr>
          <w:p w14:paraId="74D17110" w14:textId="77777777" w:rsidR="008766BA" w:rsidRPr="00E351B8" w:rsidRDefault="008766BA" w:rsidP="008766BA">
            <w:pPr>
              <w:spacing w:after="0" w:line="240" w:lineRule="exact"/>
              <w:jc w:val="center"/>
              <w:outlineLvl w:val="0"/>
              <w:rPr>
                <w:rFonts w:asciiTheme="minorHAnsi" w:eastAsia="Times New Roman" w:hAnsiTheme="minorHAnsi" w:cs="Arial"/>
                <w:bCs/>
                <w:spacing w:val="-2"/>
                <w:lang w:val="hr-HR"/>
              </w:rPr>
            </w:pPr>
            <w:r w:rsidRPr="00E351B8">
              <w:rPr>
                <w:rFonts w:asciiTheme="minorHAnsi" w:eastAsia="Times New Roman" w:hAnsiTheme="minorHAnsi" w:cs="Arial"/>
                <w:bCs/>
                <w:spacing w:val="-2"/>
                <w:lang w:val="hr-HR"/>
              </w:rPr>
              <w:t>5</w:t>
            </w:r>
          </w:p>
        </w:tc>
        <w:tc>
          <w:tcPr>
            <w:tcW w:w="736" w:type="pct"/>
            <w:tcBorders>
              <w:top w:val="nil"/>
              <w:left w:val="nil"/>
              <w:bottom w:val="nil"/>
              <w:right w:val="nil"/>
            </w:tcBorders>
            <w:shd w:val="clear" w:color="auto" w:fill="auto"/>
            <w:vAlign w:val="bottom"/>
          </w:tcPr>
          <w:p w14:paraId="21EB7557" w14:textId="50D18E69" w:rsidR="008766BA" w:rsidRPr="00E351B8" w:rsidRDefault="008766BA" w:rsidP="008766BA">
            <w:pPr>
              <w:spacing w:after="0" w:line="240" w:lineRule="exact"/>
              <w:jc w:val="right"/>
              <w:outlineLvl w:val="0"/>
              <w:rPr>
                <w:rFonts w:asciiTheme="minorHAnsi" w:eastAsia="Times New Roman" w:hAnsiTheme="minorHAnsi" w:cs="Arial"/>
                <w:bCs/>
                <w:spacing w:val="-2"/>
                <w:lang w:val="hr-HR"/>
              </w:rPr>
            </w:pPr>
            <w:r w:rsidRPr="00CE0613">
              <w:rPr>
                <w:rFonts w:eastAsia="Times New Roman" w:cs="Arial"/>
                <w:bCs/>
                <w:spacing w:val="-2"/>
              </w:rPr>
              <w:t>(86</w:t>
            </w:r>
            <w:r>
              <w:rPr>
                <w:rFonts w:eastAsia="Times New Roman" w:cs="Arial"/>
                <w:bCs/>
                <w:spacing w:val="-2"/>
              </w:rPr>
              <w:t>,</w:t>
            </w:r>
            <w:r w:rsidRPr="00CE0613">
              <w:rPr>
                <w:rFonts w:eastAsia="Times New Roman" w:cs="Arial"/>
                <w:bCs/>
                <w:spacing w:val="-2"/>
              </w:rPr>
              <w:t>308)</w:t>
            </w:r>
          </w:p>
        </w:tc>
        <w:tc>
          <w:tcPr>
            <w:tcW w:w="736" w:type="pct"/>
            <w:tcBorders>
              <w:top w:val="nil"/>
              <w:left w:val="nil"/>
              <w:bottom w:val="nil"/>
              <w:right w:val="nil"/>
            </w:tcBorders>
            <w:shd w:val="clear" w:color="auto" w:fill="auto"/>
            <w:vAlign w:val="bottom"/>
          </w:tcPr>
          <w:p w14:paraId="61014E44" w14:textId="40BF13CB" w:rsidR="008766BA" w:rsidRPr="00E351B8" w:rsidRDefault="008766BA" w:rsidP="008766BA">
            <w:pPr>
              <w:spacing w:after="0" w:line="240" w:lineRule="exact"/>
              <w:jc w:val="right"/>
              <w:outlineLvl w:val="0"/>
              <w:rPr>
                <w:rFonts w:asciiTheme="minorHAnsi" w:eastAsia="Times New Roman" w:hAnsiTheme="minorHAnsi" w:cs="Arial"/>
                <w:bCs/>
                <w:spacing w:val="-2"/>
                <w:lang w:val="hr-HR"/>
              </w:rPr>
            </w:pPr>
            <w:r w:rsidRPr="00CE0613">
              <w:rPr>
                <w:rFonts w:eastAsia="Times New Roman" w:cs="Arial"/>
                <w:bCs/>
                <w:spacing w:val="-2"/>
              </w:rPr>
              <w:t>(301</w:t>
            </w:r>
            <w:r>
              <w:rPr>
                <w:rFonts w:eastAsia="Times New Roman" w:cs="Arial"/>
                <w:bCs/>
                <w:spacing w:val="-2"/>
              </w:rPr>
              <w:t>,</w:t>
            </w:r>
            <w:r w:rsidRPr="00CE0613">
              <w:rPr>
                <w:rFonts w:eastAsia="Times New Roman" w:cs="Arial"/>
                <w:bCs/>
                <w:spacing w:val="-2"/>
              </w:rPr>
              <w:t>461)</w:t>
            </w:r>
          </w:p>
        </w:tc>
        <w:tc>
          <w:tcPr>
            <w:tcW w:w="662" w:type="pct"/>
            <w:tcBorders>
              <w:top w:val="nil"/>
              <w:left w:val="nil"/>
              <w:bottom w:val="nil"/>
              <w:right w:val="nil"/>
            </w:tcBorders>
            <w:shd w:val="clear" w:color="auto" w:fill="auto"/>
            <w:vAlign w:val="bottom"/>
          </w:tcPr>
          <w:p w14:paraId="0A24615F" w14:textId="4B56B1FC" w:rsidR="008766BA" w:rsidRPr="00E351B8" w:rsidRDefault="008766BA" w:rsidP="008766BA">
            <w:pPr>
              <w:spacing w:after="0" w:line="240" w:lineRule="exact"/>
              <w:jc w:val="right"/>
              <w:outlineLvl w:val="0"/>
              <w:rPr>
                <w:rFonts w:asciiTheme="minorHAnsi" w:eastAsia="Times New Roman" w:hAnsiTheme="minorHAnsi" w:cs="Arial"/>
                <w:bCs/>
                <w:spacing w:val="-2"/>
                <w:lang w:val="hr-HR"/>
              </w:rPr>
            </w:pPr>
            <w:r>
              <w:rPr>
                <w:rFonts w:eastAsia="Times New Roman" w:cs="Arial"/>
                <w:bCs/>
                <w:spacing w:val="-2"/>
              </w:rPr>
              <w:t>(112,639)</w:t>
            </w:r>
          </w:p>
        </w:tc>
        <w:tc>
          <w:tcPr>
            <w:tcW w:w="735" w:type="pct"/>
            <w:tcBorders>
              <w:top w:val="nil"/>
              <w:left w:val="nil"/>
              <w:bottom w:val="nil"/>
              <w:right w:val="nil"/>
            </w:tcBorders>
            <w:shd w:val="clear" w:color="auto" w:fill="auto"/>
            <w:vAlign w:val="bottom"/>
          </w:tcPr>
          <w:p w14:paraId="30B824BF" w14:textId="6F003299" w:rsidR="008766BA" w:rsidRPr="00E351B8" w:rsidRDefault="008766BA" w:rsidP="008766BA">
            <w:pPr>
              <w:spacing w:after="0" w:line="240" w:lineRule="exact"/>
              <w:jc w:val="right"/>
              <w:rPr>
                <w:rFonts w:eastAsiaTheme="minorHAnsi" w:cs="Calibri"/>
                <w:snapToGrid w:val="0"/>
                <w:color w:val="000000"/>
                <w:lang w:val="hr-HR"/>
              </w:rPr>
            </w:pPr>
            <w:r>
              <w:rPr>
                <w:rFonts w:cs="Calibri"/>
                <w:snapToGrid w:val="0"/>
                <w:color w:val="000000"/>
              </w:rPr>
              <w:t>(340,875)</w:t>
            </w:r>
          </w:p>
        </w:tc>
      </w:tr>
      <w:tr w:rsidR="008766BA" w:rsidRPr="00E351B8" w14:paraId="46E1A9A6" w14:textId="77777777" w:rsidTr="004C0B45">
        <w:trPr>
          <w:cantSplit/>
          <w:trHeight w:hRule="exact" w:val="85"/>
        </w:trPr>
        <w:tc>
          <w:tcPr>
            <w:tcW w:w="1616" w:type="pct"/>
            <w:vAlign w:val="bottom"/>
          </w:tcPr>
          <w:p w14:paraId="2F28288C" w14:textId="77777777" w:rsidR="008766BA" w:rsidRPr="00E351B8" w:rsidRDefault="008766BA" w:rsidP="008766BA">
            <w:pPr>
              <w:tabs>
                <w:tab w:val="right" w:pos="1202"/>
              </w:tabs>
              <w:spacing w:after="0" w:line="240" w:lineRule="exact"/>
              <w:outlineLvl w:val="0"/>
              <w:rPr>
                <w:rFonts w:asciiTheme="minorHAnsi" w:eastAsia="Times New Roman" w:hAnsiTheme="minorHAnsi" w:cs="Arial"/>
                <w:bCs/>
                <w:spacing w:val="-2"/>
                <w:lang w:val="hr-HR"/>
              </w:rPr>
            </w:pPr>
          </w:p>
        </w:tc>
        <w:tc>
          <w:tcPr>
            <w:tcW w:w="515" w:type="pct"/>
            <w:vAlign w:val="center"/>
          </w:tcPr>
          <w:p w14:paraId="32A84E3D" w14:textId="77777777" w:rsidR="008766BA" w:rsidRPr="00E351B8" w:rsidRDefault="008766BA" w:rsidP="008766BA">
            <w:pPr>
              <w:spacing w:after="0" w:line="240" w:lineRule="exact"/>
              <w:jc w:val="center"/>
              <w:outlineLvl w:val="0"/>
              <w:rPr>
                <w:rFonts w:asciiTheme="minorHAnsi" w:eastAsia="Times New Roman" w:hAnsiTheme="minorHAnsi" w:cs="Arial"/>
                <w:bCs/>
                <w:spacing w:val="-2"/>
                <w:lang w:val="hr-HR"/>
              </w:rPr>
            </w:pPr>
          </w:p>
        </w:tc>
        <w:tc>
          <w:tcPr>
            <w:tcW w:w="736" w:type="pct"/>
            <w:tcBorders>
              <w:bottom w:val="single" w:sz="4" w:space="0" w:color="auto"/>
            </w:tcBorders>
            <w:vAlign w:val="bottom"/>
          </w:tcPr>
          <w:p w14:paraId="7DCE49A8" w14:textId="77777777" w:rsidR="008766BA" w:rsidRPr="00E351B8" w:rsidRDefault="008766BA" w:rsidP="008766BA">
            <w:pPr>
              <w:spacing w:after="0" w:line="240" w:lineRule="exact"/>
              <w:jc w:val="right"/>
              <w:outlineLvl w:val="0"/>
              <w:rPr>
                <w:rFonts w:asciiTheme="minorHAnsi" w:eastAsia="Times New Roman" w:hAnsiTheme="minorHAnsi" w:cs="Arial"/>
                <w:bCs/>
                <w:spacing w:val="-2"/>
                <w:lang w:val="hr-HR"/>
              </w:rPr>
            </w:pPr>
          </w:p>
        </w:tc>
        <w:tc>
          <w:tcPr>
            <w:tcW w:w="736" w:type="pct"/>
            <w:tcBorders>
              <w:bottom w:val="single" w:sz="4" w:space="0" w:color="auto"/>
            </w:tcBorders>
            <w:vAlign w:val="bottom"/>
          </w:tcPr>
          <w:p w14:paraId="6DECA784" w14:textId="77777777" w:rsidR="008766BA" w:rsidRPr="00E351B8" w:rsidRDefault="008766BA" w:rsidP="008766BA">
            <w:pPr>
              <w:spacing w:after="0" w:line="240" w:lineRule="exact"/>
              <w:jc w:val="right"/>
              <w:outlineLvl w:val="0"/>
              <w:rPr>
                <w:rFonts w:asciiTheme="minorHAnsi" w:eastAsia="Times New Roman" w:hAnsiTheme="minorHAnsi" w:cs="Arial"/>
                <w:bCs/>
                <w:spacing w:val="-2"/>
                <w:lang w:val="hr-HR"/>
              </w:rPr>
            </w:pPr>
          </w:p>
        </w:tc>
        <w:tc>
          <w:tcPr>
            <w:tcW w:w="662" w:type="pct"/>
            <w:tcBorders>
              <w:bottom w:val="single" w:sz="4" w:space="0" w:color="auto"/>
            </w:tcBorders>
            <w:vAlign w:val="bottom"/>
          </w:tcPr>
          <w:p w14:paraId="2AE36BF7" w14:textId="77777777" w:rsidR="008766BA" w:rsidRPr="00E351B8" w:rsidRDefault="008766BA" w:rsidP="008766BA">
            <w:pPr>
              <w:spacing w:after="0" w:line="240" w:lineRule="exact"/>
              <w:jc w:val="right"/>
              <w:outlineLvl w:val="0"/>
              <w:rPr>
                <w:rFonts w:asciiTheme="minorHAnsi" w:eastAsia="Times New Roman" w:hAnsiTheme="minorHAnsi" w:cs="Arial"/>
                <w:bCs/>
                <w:spacing w:val="-2"/>
                <w:lang w:val="hr-HR"/>
              </w:rPr>
            </w:pPr>
          </w:p>
        </w:tc>
        <w:tc>
          <w:tcPr>
            <w:tcW w:w="735" w:type="pct"/>
            <w:tcBorders>
              <w:bottom w:val="single" w:sz="4" w:space="0" w:color="auto"/>
            </w:tcBorders>
            <w:vAlign w:val="bottom"/>
          </w:tcPr>
          <w:p w14:paraId="71B1A3B1" w14:textId="77777777" w:rsidR="008766BA" w:rsidRPr="00E351B8" w:rsidRDefault="008766BA" w:rsidP="008766BA">
            <w:pPr>
              <w:spacing w:after="0" w:line="240" w:lineRule="exact"/>
              <w:jc w:val="right"/>
              <w:rPr>
                <w:rFonts w:eastAsiaTheme="minorHAnsi" w:cs="Calibri"/>
                <w:snapToGrid w:val="0"/>
                <w:color w:val="000000"/>
                <w:lang w:val="hr-HR"/>
              </w:rPr>
            </w:pPr>
          </w:p>
        </w:tc>
      </w:tr>
      <w:tr w:rsidR="008766BA" w:rsidRPr="00E351B8" w14:paraId="005F07D4" w14:textId="77777777" w:rsidTr="004C0B45">
        <w:trPr>
          <w:cantSplit/>
          <w:trHeight w:hRule="exact" w:val="346"/>
        </w:trPr>
        <w:tc>
          <w:tcPr>
            <w:tcW w:w="1616" w:type="pct"/>
            <w:vAlign w:val="bottom"/>
          </w:tcPr>
          <w:p w14:paraId="5A3611F4" w14:textId="77777777" w:rsidR="008766BA" w:rsidRPr="00E351B8" w:rsidRDefault="008766BA" w:rsidP="008766BA">
            <w:pPr>
              <w:tabs>
                <w:tab w:val="right" w:pos="1202"/>
              </w:tabs>
              <w:spacing w:after="0" w:line="240" w:lineRule="exact"/>
              <w:outlineLvl w:val="0"/>
              <w:rPr>
                <w:rFonts w:asciiTheme="minorHAnsi" w:eastAsia="Times New Roman" w:hAnsiTheme="minorHAnsi" w:cs="Arial"/>
                <w:b/>
                <w:bCs/>
                <w:vertAlign w:val="superscript"/>
                <w:lang w:val="hr-HR"/>
              </w:rPr>
            </w:pPr>
            <w:r w:rsidRPr="00DC2089">
              <w:rPr>
                <w:rFonts w:cs="Calibri"/>
                <w:b/>
              </w:rPr>
              <w:t>Net interest income</w:t>
            </w:r>
          </w:p>
        </w:tc>
        <w:tc>
          <w:tcPr>
            <w:tcW w:w="515" w:type="pct"/>
            <w:vAlign w:val="center"/>
          </w:tcPr>
          <w:p w14:paraId="675BB6DF" w14:textId="77777777" w:rsidR="008766BA" w:rsidRPr="00E351B8" w:rsidRDefault="008766BA" w:rsidP="008766BA">
            <w:pPr>
              <w:spacing w:after="0" w:line="240" w:lineRule="exact"/>
              <w:jc w:val="center"/>
              <w:outlineLvl w:val="0"/>
              <w:rPr>
                <w:rFonts w:asciiTheme="minorHAnsi" w:eastAsia="Times New Roman" w:hAnsiTheme="minorHAnsi" w:cs="Arial"/>
                <w:b/>
                <w:bCs/>
                <w:spacing w:val="-2"/>
                <w:lang w:val="hr-HR"/>
              </w:rPr>
            </w:pPr>
          </w:p>
        </w:tc>
        <w:tc>
          <w:tcPr>
            <w:tcW w:w="736" w:type="pct"/>
            <w:tcBorders>
              <w:top w:val="single" w:sz="4" w:space="0" w:color="auto"/>
              <w:left w:val="nil"/>
              <w:bottom w:val="single" w:sz="12" w:space="0" w:color="auto"/>
              <w:right w:val="nil"/>
            </w:tcBorders>
            <w:shd w:val="clear" w:color="auto" w:fill="auto"/>
            <w:vAlign w:val="bottom"/>
          </w:tcPr>
          <w:p w14:paraId="4483852B" w14:textId="79CCECB7" w:rsidR="008766BA" w:rsidRPr="00E351B8" w:rsidRDefault="008766BA" w:rsidP="008766BA">
            <w:pPr>
              <w:spacing w:after="0" w:line="240" w:lineRule="auto"/>
              <w:jc w:val="right"/>
              <w:outlineLvl w:val="0"/>
              <w:rPr>
                <w:rFonts w:ascii="Arial" w:eastAsia="Times New Roman" w:hAnsi="Arial" w:cs="Arial"/>
                <w:b/>
                <w:bCs/>
                <w:spacing w:val="-2"/>
                <w:sz w:val="19"/>
                <w:szCs w:val="20"/>
              </w:rPr>
            </w:pPr>
            <w:r w:rsidRPr="00CE0613">
              <w:rPr>
                <w:rFonts w:cs="Arial"/>
                <w:b/>
                <w:bCs/>
                <w:spacing w:val="-2"/>
              </w:rPr>
              <w:t>122</w:t>
            </w:r>
            <w:r>
              <w:rPr>
                <w:rFonts w:cs="Arial"/>
                <w:b/>
                <w:bCs/>
                <w:spacing w:val="-2"/>
              </w:rPr>
              <w:t>,</w:t>
            </w:r>
            <w:r w:rsidRPr="00CE0613">
              <w:rPr>
                <w:rFonts w:cs="Arial"/>
                <w:b/>
                <w:bCs/>
                <w:spacing w:val="-2"/>
              </w:rPr>
              <w:t>643</w:t>
            </w:r>
          </w:p>
        </w:tc>
        <w:tc>
          <w:tcPr>
            <w:tcW w:w="736" w:type="pct"/>
            <w:tcBorders>
              <w:top w:val="single" w:sz="4" w:space="0" w:color="auto"/>
              <w:left w:val="nil"/>
              <w:bottom w:val="single" w:sz="12" w:space="0" w:color="auto"/>
              <w:right w:val="nil"/>
            </w:tcBorders>
            <w:shd w:val="clear" w:color="auto" w:fill="auto"/>
            <w:vAlign w:val="bottom"/>
          </w:tcPr>
          <w:p w14:paraId="04989BA4" w14:textId="45A231E6" w:rsidR="008766BA" w:rsidRPr="00E351B8" w:rsidRDefault="008766BA" w:rsidP="008766BA">
            <w:pPr>
              <w:spacing w:after="0" w:line="240" w:lineRule="auto"/>
              <w:jc w:val="right"/>
              <w:outlineLvl w:val="0"/>
              <w:rPr>
                <w:rFonts w:ascii="Arial" w:eastAsia="Times New Roman" w:hAnsi="Arial" w:cs="Arial"/>
                <w:b/>
                <w:bCs/>
                <w:spacing w:val="-2"/>
                <w:sz w:val="19"/>
                <w:szCs w:val="20"/>
              </w:rPr>
            </w:pPr>
            <w:r w:rsidRPr="00CE0613">
              <w:rPr>
                <w:rFonts w:cs="Arial"/>
                <w:b/>
                <w:bCs/>
                <w:spacing w:val="-2"/>
              </w:rPr>
              <w:t>358</w:t>
            </w:r>
            <w:r>
              <w:rPr>
                <w:rFonts w:cs="Arial"/>
                <w:b/>
                <w:bCs/>
                <w:spacing w:val="-2"/>
              </w:rPr>
              <w:t>,</w:t>
            </w:r>
            <w:r w:rsidRPr="00CE0613">
              <w:rPr>
                <w:rFonts w:cs="Arial"/>
                <w:b/>
                <w:bCs/>
                <w:spacing w:val="-2"/>
              </w:rPr>
              <w:t>502</w:t>
            </w:r>
          </w:p>
        </w:tc>
        <w:tc>
          <w:tcPr>
            <w:tcW w:w="662" w:type="pct"/>
            <w:tcBorders>
              <w:top w:val="single" w:sz="4" w:space="0" w:color="auto"/>
              <w:left w:val="nil"/>
              <w:bottom w:val="single" w:sz="12" w:space="0" w:color="auto"/>
              <w:right w:val="nil"/>
            </w:tcBorders>
            <w:shd w:val="clear" w:color="auto" w:fill="auto"/>
            <w:vAlign w:val="bottom"/>
          </w:tcPr>
          <w:p w14:paraId="6D978DF6" w14:textId="10951BE5" w:rsidR="008766BA" w:rsidRPr="00E351B8" w:rsidRDefault="008766BA" w:rsidP="008766BA">
            <w:pPr>
              <w:spacing w:after="0" w:line="240" w:lineRule="auto"/>
              <w:jc w:val="right"/>
              <w:outlineLvl w:val="0"/>
              <w:rPr>
                <w:rFonts w:ascii="Arial" w:eastAsia="Times New Roman" w:hAnsi="Arial" w:cs="Arial"/>
                <w:b/>
                <w:bCs/>
                <w:spacing w:val="-2"/>
                <w:sz w:val="19"/>
                <w:szCs w:val="20"/>
              </w:rPr>
            </w:pPr>
            <w:r>
              <w:rPr>
                <w:rFonts w:asciiTheme="minorHAnsi" w:hAnsiTheme="minorHAnsi" w:cs="Arial"/>
                <w:b/>
                <w:bCs/>
                <w:spacing w:val="-2"/>
              </w:rPr>
              <w:t>102,855</w:t>
            </w:r>
          </w:p>
        </w:tc>
        <w:tc>
          <w:tcPr>
            <w:tcW w:w="735" w:type="pct"/>
            <w:tcBorders>
              <w:top w:val="single" w:sz="4" w:space="0" w:color="auto"/>
              <w:left w:val="nil"/>
              <w:bottom w:val="single" w:sz="12" w:space="0" w:color="auto"/>
              <w:right w:val="nil"/>
            </w:tcBorders>
            <w:shd w:val="clear" w:color="auto" w:fill="auto"/>
            <w:vAlign w:val="bottom"/>
          </w:tcPr>
          <w:p w14:paraId="6A2DF6B9" w14:textId="79461471" w:rsidR="008766BA" w:rsidRPr="00E351B8" w:rsidRDefault="008766BA" w:rsidP="008766BA">
            <w:pPr>
              <w:spacing w:after="0" w:line="240" w:lineRule="auto"/>
              <w:jc w:val="right"/>
              <w:outlineLvl w:val="0"/>
              <w:rPr>
                <w:rFonts w:asciiTheme="minorHAnsi" w:eastAsia="Times New Roman" w:hAnsiTheme="minorHAnsi" w:cs="Arial"/>
                <w:b/>
                <w:bCs/>
                <w:spacing w:val="-2"/>
                <w:sz w:val="19"/>
                <w:szCs w:val="20"/>
              </w:rPr>
            </w:pPr>
            <w:r>
              <w:rPr>
                <w:rFonts w:asciiTheme="minorHAnsi" w:hAnsiTheme="minorHAnsi" w:cs="Arial"/>
                <w:b/>
                <w:bCs/>
                <w:spacing w:val="-2"/>
              </w:rPr>
              <w:t>302,808</w:t>
            </w:r>
          </w:p>
        </w:tc>
      </w:tr>
      <w:tr w:rsidR="008766BA" w:rsidRPr="00E351B8" w14:paraId="3B5B86F0" w14:textId="77777777" w:rsidTr="006B318F">
        <w:trPr>
          <w:cantSplit/>
          <w:trHeight w:val="315"/>
        </w:trPr>
        <w:tc>
          <w:tcPr>
            <w:tcW w:w="1616" w:type="pct"/>
            <w:vAlign w:val="bottom"/>
          </w:tcPr>
          <w:p w14:paraId="58BC03B7" w14:textId="77777777" w:rsidR="008766BA" w:rsidRPr="00E351B8" w:rsidRDefault="008766BA" w:rsidP="008766BA">
            <w:pPr>
              <w:tabs>
                <w:tab w:val="right" w:pos="1202"/>
              </w:tabs>
              <w:spacing w:after="0" w:line="240" w:lineRule="exact"/>
              <w:outlineLvl w:val="0"/>
              <w:rPr>
                <w:rFonts w:asciiTheme="minorHAnsi" w:eastAsia="Times New Roman" w:hAnsiTheme="minorHAnsi" w:cs="Arial"/>
                <w:bCs/>
                <w:spacing w:val="-2"/>
                <w:lang w:val="hr-HR"/>
              </w:rPr>
            </w:pPr>
          </w:p>
        </w:tc>
        <w:tc>
          <w:tcPr>
            <w:tcW w:w="515" w:type="pct"/>
            <w:vAlign w:val="center"/>
          </w:tcPr>
          <w:p w14:paraId="3FE76A0F" w14:textId="77777777" w:rsidR="008766BA" w:rsidRPr="00E351B8" w:rsidRDefault="008766BA" w:rsidP="008766BA">
            <w:pPr>
              <w:spacing w:after="0" w:line="240" w:lineRule="exact"/>
              <w:jc w:val="center"/>
              <w:outlineLvl w:val="0"/>
              <w:rPr>
                <w:rFonts w:asciiTheme="minorHAnsi" w:eastAsia="Times New Roman" w:hAnsiTheme="minorHAnsi" w:cs="Arial"/>
                <w:bCs/>
                <w:spacing w:val="-2"/>
                <w:lang w:val="hr-HR"/>
              </w:rPr>
            </w:pPr>
          </w:p>
        </w:tc>
        <w:tc>
          <w:tcPr>
            <w:tcW w:w="736" w:type="pct"/>
            <w:tcBorders>
              <w:top w:val="single" w:sz="12" w:space="0" w:color="auto"/>
            </w:tcBorders>
          </w:tcPr>
          <w:p w14:paraId="2BDC9CDD" w14:textId="77777777" w:rsidR="008766BA" w:rsidRPr="00E351B8" w:rsidRDefault="008766BA" w:rsidP="008766BA">
            <w:pPr>
              <w:spacing w:after="0" w:line="240" w:lineRule="exact"/>
              <w:jc w:val="right"/>
              <w:outlineLvl w:val="0"/>
              <w:rPr>
                <w:rFonts w:asciiTheme="minorHAnsi" w:eastAsia="Times New Roman" w:hAnsiTheme="minorHAnsi" w:cs="Arial"/>
                <w:bCs/>
                <w:spacing w:val="-2"/>
                <w:lang w:val="hr-HR"/>
              </w:rPr>
            </w:pPr>
          </w:p>
        </w:tc>
        <w:tc>
          <w:tcPr>
            <w:tcW w:w="736" w:type="pct"/>
            <w:tcBorders>
              <w:top w:val="single" w:sz="12" w:space="0" w:color="auto"/>
            </w:tcBorders>
          </w:tcPr>
          <w:p w14:paraId="497A94D7" w14:textId="77777777" w:rsidR="008766BA" w:rsidRPr="00E351B8" w:rsidRDefault="008766BA" w:rsidP="008766BA">
            <w:pPr>
              <w:spacing w:after="0" w:line="240" w:lineRule="exact"/>
              <w:jc w:val="right"/>
              <w:outlineLvl w:val="0"/>
              <w:rPr>
                <w:rFonts w:asciiTheme="minorHAnsi" w:eastAsia="Times New Roman" w:hAnsiTheme="minorHAnsi" w:cs="Arial"/>
                <w:bCs/>
                <w:spacing w:val="-2"/>
                <w:lang w:val="hr-HR"/>
              </w:rPr>
            </w:pPr>
          </w:p>
        </w:tc>
        <w:tc>
          <w:tcPr>
            <w:tcW w:w="662" w:type="pct"/>
          </w:tcPr>
          <w:p w14:paraId="7EACCBAD" w14:textId="77777777" w:rsidR="008766BA" w:rsidRPr="00E351B8" w:rsidRDefault="008766BA" w:rsidP="008766BA">
            <w:pPr>
              <w:spacing w:after="0" w:line="240" w:lineRule="exact"/>
              <w:jc w:val="right"/>
              <w:outlineLvl w:val="0"/>
              <w:rPr>
                <w:rFonts w:asciiTheme="minorHAnsi" w:eastAsia="Times New Roman" w:hAnsiTheme="minorHAnsi" w:cs="Arial"/>
                <w:bCs/>
                <w:spacing w:val="-2"/>
                <w:lang w:val="hr-HR"/>
              </w:rPr>
            </w:pPr>
          </w:p>
        </w:tc>
        <w:tc>
          <w:tcPr>
            <w:tcW w:w="735" w:type="pct"/>
          </w:tcPr>
          <w:p w14:paraId="460EA84E" w14:textId="77777777" w:rsidR="008766BA" w:rsidRPr="00E351B8" w:rsidRDefault="008766BA" w:rsidP="008766BA">
            <w:pPr>
              <w:spacing w:after="0" w:line="240" w:lineRule="exact"/>
              <w:jc w:val="right"/>
              <w:outlineLvl w:val="0"/>
              <w:rPr>
                <w:rFonts w:asciiTheme="minorHAnsi" w:eastAsia="Times New Roman" w:hAnsiTheme="minorHAnsi" w:cs="Arial"/>
                <w:bCs/>
                <w:spacing w:val="-2"/>
                <w:lang w:val="hr-HR"/>
              </w:rPr>
            </w:pPr>
          </w:p>
        </w:tc>
      </w:tr>
      <w:tr w:rsidR="008766BA" w:rsidRPr="00E351B8" w14:paraId="4ADFBBB5" w14:textId="77777777" w:rsidTr="004C0B45">
        <w:trPr>
          <w:cantSplit/>
          <w:trHeight w:val="302"/>
        </w:trPr>
        <w:tc>
          <w:tcPr>
            <w:tcW w:w="1616" w:type="pct"/>
            <w:vAlign w:val="bottom"/>
          </w:tcPr>
          <w:p w14:paraId="41546D6B" w14:textId="77777777" w:rsidR="008766BA" w:rsidRPr="00E351B8" w:rsidRDefault="008766BA" w:rsidP="008766BA">
            <w:pPr>
              <w:tabs>
                <w:tab w:val="right" w:pos="1202"/>
              </w:tabs>
              <w:spacing w:after="0" w:line="240" w:lineRule="exact"/>
              <w:outlineLvl w:val="0"/>
              <w:rPr>
                <w:rFonts w:asciiTheme="minorHAnsi" w:eastAsia="Times New Roman" w:hAnsiTheme="minorHAnsi" w:cs="Arial"/>
                <w:bCs/>
                <w:lang w:val="hr-HR"/>
              </w:rPr>
            </w:pPr>
            <w:r w:rsidRPr="00DC2089">
              <w:rPr>
                <w:rFonts w:cs="Calibri"/>
                <w:snapToGrid w:val="0"/>
                <w:color w:val="000000"/>
              </w:rPr>
              <w:t>Fee income</w:t>
            </w:r>
          </w:p>
        </w:tc>
        <w:tc>
          <w:tcPr>
            <w:tcW w:w="515" w:type="pct"/>
            <w:vAlign w:val="center"/>
          </w:tcPr>
          <w:p w14:paraId="5EF67F9B" w14:textId="77777777" w:rsidR="008766BA" w:rsidRPr="00E351B8" w:rsidRDefault="008766BA" w:rsidP="008766BA">
            <w:pPr>
              <w:spacing w:after="0" w:line="240" w:lineRule="exact"/>
              <w:jc w:val="center"/>
              <w:rPr>
                <w:rFonts w:asciiTheme="minorHAnsi" w:eastAsia="Arial Unicode MS" w:hAnsiTheme="minorHAnsi" w:cs="Arial"/>
                <w:lang w:val="hr-HR"/>
              </w:rPr>
            </w:pPr>
          </w:p>
        </w:tc>
        <w:tc>
          <w:tcPr>
            <w:tcW w:w="736" w:type="pct"/>
            <w:tcBorders>
              <w:top w:val="nil"/>
              <w:left w:val="nil"/>
              <w:bottom w:val="nil"/>
              <w:right w:val="nil"/>
            </w:tcBorders>
            <w:shd w:val="clear" w:color="auto" w:fill="auto"/>
            <w:vAlign w:val="bottom"/>
          </w:tcPr>
          <w:p w14:paraId="318A4011" w14:textId="5A1DE769" w:rsidR="008766BA" w:rsidRPr="00E351B8" w:rsidRDefault="008766BA" w:rsidP="008766BA">
            <w:pPr>
              <w:spacing w:after="0" w:line="240" w:lineRule="exact"/>
              <w:jc w:val="right"/>
              <w:rPr>
                <w:rFonts w:asciiTheme="minorHAnsi" w:eastAsia="Arial Unicode MS" w:hAnsiTheme="minorHAnsi" w:cs="Arial"/>
                <w:lang w:val="hr-HR"/>
              </w:rPr>
            </w:pPr>
            <w:r w:rsidRPr="00CE0613">
              <w:rPr>
                <w:rFonts w:eastAsia="Arial Unicode MS" w:cs="Arial"/>
              </w:rPr>
              <w:t>16</w:t>
            </w:r>
            <w:r>
              <w:rPr>
                <w:rFonts w:eastAsia="Arial Unicode MS" w:cs="Arial"/>
              </w:rPr>
              <w:t>,</w:t>
            </w:r>
            <w:r w:rsidRPr="00CE0613">
              <w:rPr>
                <w:rFonts w:eastAsia="Arial Unicode MS" w:cs="Arial"/>
              </w:rPr>
              <w:t>305</w:t>
            </w:r>
          </w:p>
        </w:tc>
        <w:tc>
          <w:tcPr>
            <w:tcW w:w="736" w:type="pct"/>
            <w:tcBorders>
              <w:top w:val="nil"/>
              <w:left w:val="nil"/>
              <w:bottom w:val="nil"/>
              <w:right w:val="nil"/>
            </w:tcBorders>
            <w:shd w:val="clear" w:color="auto" w:fill="auto"/>
            <w:vAlign w:val="bottom"/>
          </w:tcPr>
          <w:p w14:paraId="1FC88F17" w14:textId="3E087F46" w:rsidR="008766BA" w:rsidRPr="00E351B8" w:rsidRDefault="008766BA" w:rsidP="008766BA">
            <w:pPr>
              <w:spacing w:after="0" w:line="240" w:lineRule="exact"/>
              <w:jc w:val="right"/>
              <w:rPr>
                <w:rFonts w:asciiTheme="minorHAnsi" w:eastAsia="Arial Unicode MS" w:hAnsiTheme="minorHAnsi" w:cs="Arial"/>
                <w:lang w:val="hr-HR"/>
              </w:rPr>
            </w:pPr>
            <w:r w:rsidRPr="00CE0613">
              <w:rPr>
                <w:rFonts w:eastAsia="Arial Unicode MS" w:cs="Arial"/>
              </w:rPr>
              <w:t>31</w:t>
            </w:r>
            <w:r>
              <w:rPr>
                <w:rFonts w:eastAsia="Arial Unicode MS" w:cs="Arial"/>
              </w:rPr>
              <w:t>,</w:t>
            </w:r>
            <w:r w:rsidRPr="00CE0613">
              <w:rPr>
                <w:rFonts w:eastAsia="Arial Unicode MS" w:cs="Arial"/>
              </w:rPr>
              <w:t>365</w:t>
            </w:r>
          </w:p>
        </w:tc>
        <w:tc>
          <w:tcPr>
            <w:tcW w:w="662" w:type="pct"/>
            <w:tcBorders>
              <w:top w:val="nil"/>
              <w:left w:val="nil"/>
              <w:bottom w:val="nil"/>
              <w:right w:val="nil"/>
            </w:tcBorders>
            <w:shd w:val="clear" w:color="auto" w:fill="auto"/>
            <w:vAlign w:val="bottom"/>
          </w:tcPr>
          <w:p w14:paraId="6C2620B2" w14:textId="54F5F3A6" w:rsidR="008766BA" w:rsidRPr="00E351B8" w:rsidRDefault="008766BA" w:rsidP="008766BA">
            <w:pPr>
              <w:spacing w:after="0" w:line="240" w:lineRule="exact"/>
              <w:jc w:val="right"/>
              <w:rPr>
                <w:rFonts w:asciiTheme="minorHAnsi" w:eastAsia="Arial Unicode MS" w:hAnsiTheme="minorHAnsi" w:cs="Arial"/>
                <w:lang w:val="hr-HR"/>
              </w:rPr>
            </w:pPr>
            <w:r>
              <w:rPr>
                <w:rFonts w:eastAsia="Arial Unicode MS" w:cs="Arial"/>
              </w:rPr>
              <w:t>6,658</w:t>
            </w:r>
          </w:p>
        </w:tc>
        <w:tc>
          <w:tcPr>
            <w:tcW w:w="735" w:type="pct"/>
            <w:tcBorders>
              <w:top w:val="nil"/>
              <w:left w:val="nil"/>
              <w:bottom w:val="nil"/>
              <w:right w:val="nil"/>
            </w:tcBorders>
            <w:shd w:val="clear" w:color="auto" w:fill="auto"/>
            <w:vAlign w:val="bottom"/>
          </w:tcPr>
          <w:p w14:paraId="0DC1477A" w14:textId="21874B13" w:rsidR="008766BA" w:rsidRPr="00E351B8" w:rsidRDefault="008766BA" w:rsidP="008766BA">
            <w:pPr>
              <w:spacing w:after="0" w:line="240" w:lineRule="exact"/>
              <w:jc w:val="right"/>
              <w:rPr>
                <w:rFonts w:asciiTheme="minorHAnsi" w:eastAsia="Arial Unicode MS" w:hAnsiTheme="minorHAnsi" w:cs="Arial"/>
                <w:lang w:val="hr-HR"/>
              </w:rPr>
            </w:pPr>
            <w:r>
              <w:rPr>
                <w:rFonts w:eastAsia="Arial Unicode MS" w:cs="Arial"/>
              </w:rPr>
              <w:t>20,678</w:t>
            </w:r>
          </w:p>
        </w:tc>
      </w:tr>
      <w:tr w:rsidR="008766BA" w:rsidRPr="00E351B8" w14:paraId="39947786" w14:textId="77777777" w:rsidTr="004C0B45">
        <w:trPr>
          <w:cantSplit/>
          <w:trHeight w:val="302"/>
        </w:trPr>
        <w:tc>
          <w:tcPr>
            <w:tcW w:w="1616" w:type="pct"/>
            <w:vAlign w:val="bottom"/>
          </w:tcPr>
          <w:p w14:paraId="0430E4ED" w14:textId="77777777" w:rsidR="008766BA" w:rsidRPr="00E351B8" w:rsidRDefault="008766BA" w:rsidP="008766BA">
            <w:pPr>
              <w:tabs>
                <w:tab w:val="right" w:pos="1202"/>
              </w:tabs>
              <w:spacing w:after="0" w:line="240" w:lineRule="exact"/>
              <w:outlineLvl w:val="0"/>
              <w:rPr>
                <w:rFonts w:asciiTheme="minorHAnsi" w:eastAsia="Times New Roman" w:hAnsiTheme="minorHAnsi" w:cs="Arial"/>
                <w:bCs/>
                <w:spacing w:val="-2"/>
                <w:lang w:val="hr-HR"/>
              </w:rPr>
            </w:pPr>
            <w:r w:rsidRPr="00DC2089">
              <w:rPr>
                <w:rFonts w:cs="Calibri"/>
                <w:snapToGrid w:val="0"/>
                <w:color w:val="000000"/>
              </w:rPr>
              <w:t>Fee expense</w:t>
            </w:r>
          </w:p>
        </w:tc>
        <w:tc>
          <w:tcPr>
            <w:tcW w:w="515" w:type="pct"/>
            <w:vAlign w:val="center"/>
          </w:tcPr>
          <w:p w14:paraId="62CB073A" w14:textId="77777777" w:rsidR="008766BA" w:rsidRPr="00E351B8" w:rsidRDefault="008766BA" w:rsidP="008766BA">
            <w:pPr>
              <w:spacing w:after="0" w:line="240" w:lineRule="exact"/>
              <w:jc w:val="center"/>
              <w:rPr>
                <w:rFonts w:asciiTheme="minorHAnsi" w:eastAsia="Arial Unicode MS" w:hAnsiTheme="minorHAnsi" w:cs="Arial"/>
                <w:lang w:val="hr-HR"/>
              </w:rPr>
            </w:pPr>
          </w:p>
        </w:tc>
        <w:tc>
          <w:tcPr>
            <w:tcW w:w="736" w:type="pct"/>
            <w:tcBorders>
              <w:top w:val="nil"/>
              <w:left w:val="nil"/>
              <w:bottom w:val="nil"/>
              <w:right w:val="nil"/>
            </w:tcBorders>
            <w:shd w:val="clear" w:color="auto" w:fill="auto"/>
            <w:vAlign w:val="bottom"/>
          </w:tcPr>
          <w:p w14:paraId="21E11F94" w14:textId="5E57DC16" w:rsidR="008766BA" w:rsidRPr="00E351B8" w:rsidRDefault="008766BA" w:rsidP="008766BA">
            <w:pPr>
              <w:spacing w:after="0" w:line="240" w:lineRule="exact"/>
              <w:jc w:val="right"/>
              <w:rPr>
                <w:rFonts w:asciiTheme="minorHAnsi" w:eastAsia="Arial Unicode MS" w:hAnsiTheme="minorHAnsi" w:cs="Arial"/>
                <w:lang w:val="hr-HR"/>
              </w:rPr>
            </w:pPr>
            <w:r w:rsidRPr="00CE0613">
              <w:rPr>
                <w:rFonts w:eastAsia="Arial Unicode MS" w:cs="Arial"/>
              </w:rPr>
              <w:t>(914)</w:t>
            </w:r>
          </w:p>
        </w:tc>
        <w:tc>
          <w:tcPr>
            <w:tcW w:w="736" w:type="pct"/>
            <w:tcBorders>
              <w:top w:val="nil"/>
              <w:left w:val="nil"/>
              <w:bottom w:val="nil"/>
              <w:right w:val="nil"/>
            </w:tcBorders>
            <w:shd w:val="clear" w:color="auto" w:fill="auto"/>
            <w:vAlign w:val="bottom"/>
          </w:tcPr>
          <w:p w14:paraId="54852CA2" w14:textId="5134D9B6" w:rsidR="008766BA" w:rsidRPr="00E351B8" w:rsidRDefault="008766BA" w:rsidP="008766BA">
            <w:pPr>
              <w:spacing w:after="0" w:line="240" w:lineRule="exact"/>
              <w:jc w:val="right"/>
              <w:rPr>
                <w:rFonts w:asciiTheme="minorHAnsi" w:eastAsia="Arial Unicode MS" w:hAnsiTheme="minorHAnsi" w:cs="Arial"/>
                <w:lang w:val="hr-HR"/>
              </w:rPr>
            </w:pPr>
            <w:r w:rsidRPr="00CE0613">
              <w:rPr>
                <w:rFonts w:eastAsia="Arial Unicode MS" w:cs="Arial"/>
              </w:rPr>
              <w:t>(2</w:t>
            </w:r>
            <w:r>
              <w:rPr>
                <w:rFonts w:eastAsia="Arial Unicode MS" w:cs="Arial"/>
              </w:rPr>
              <w:t>,</w:t>
            </w:r>
            <w:r w:rsidRPr="00CE0613">
              <w:rPr>
                <w:rFonts w:eastAsia="Arial Unicode MS" w:cs="Arial"/>
              </w:rPr>
              <w:t>591)</w:t>
            </w:r>
          </w:p>
        </w:tc>
        <w:tc>
          <w:tcPr>
            <w:tcW w:w="662" w:type="pct"/>
            <w:tcBorders>
              <w:top w:val="nil"/>
              <w:left w:val="nil"/>
              <w:bottom w:val="nil"/>
              <w:right w:val="nil"/>
            </w:tcBorders>
            <w:shd w:val="clear" w:color="auto" w:fill="auto"/>
            <w:vAlign w:val="bottom"/>
          </w:tcPr>
          <w:p w14:paraId="140E21B7" w14:textId="7390FB3F" w:rsidR="008766BA" w:rsidRPr="00E351B8" w:rsidRDefault="008766BA" w:rsidP="008766BA">
            <w:pPr>
              <w:spacing w:after="0" w:line="240" w:lineRule="exact"/>
              <w:jc w:val="right"/>
              <w:rPr>
                <w:rFonts w:asciiTheme="minorHAnsi" w:eastAsia="Arial Unicode MS" w:hAnsiTheme="minorHAnsi" w:cs="Arial"/>
                <w:lang w:val="hr-HR"/>
              </w:rPr>
            </w:pPr>
            <w:r>
              <w:rPr>
                <w:rFonts w:eastAsia="Arial Unicode MS" w:cs="Arial"/>
              </w:rPr>
              <w:t>(402)</w:t>
            </w:r>
          </w:p>
        </w:tc>
        <w:tc>
          <w:tcPr>
            <w:tcW w:w="735" w:type="pct"/>
            <w:tcBorders>
              <w:top w:val="nil"/>
              <w:left w:val="nil"/>
              <w:bottom w:val="nil"/>
              <w:right w:val="nil"/>
            </w:tcBorders>
            <w:shd w:val="clear" w:color="auto" w:fill="auto"/>
            <w:vAlign w:val="bottom"/>
          </w:tcPr>
          <w:p w14:paraId="7D301B4E" w14:textId="4E607D29" w:rsidR="008766BA" w:rsidRPr="00E351B8" w:rsidRDefault="008766BA" w:rsidP="008766BA">
            <w:pPr>
              <w:spacing w:after="0" w:line="240" w:lineRule="exact"/>
              <w:jc w:val="right"/>
              <w:rPr>
                <w:rFonts w:asciiTheme="minorHAnsi" w:eastAsia="Arial Unicode MS" w:hAnsiTheme="minorHAnsi" w:cs="Arial"/>
                <w:lang w:val="hr-HR"/>
              </w:rPr>
            </w:pPr>
            <w:r>
              <w:rPr>
                <w:rFonts w:eastAsia="Arial Unicode MS" w:cs="Arial"/>
              </w:rPr>
              <w:t>(1,821)</w:t>
            </w:r>
          </w:p>
        </w:tc>
      </w:tr>
      <w:tr w:rsidR="008766BA" w:rsidRPr="00E351B8" w14:paraId="69394328" w14:textId="77777777" w:rsidTr="004C0B45">
        <w:trPr>
          <w:cantSplit/>
          <w:trHeight w:hRule="exact" w:val="85"/>
        </w:trPr>
        <w:tc>
          <w:tcPr>
            <w:tcW w:w="1616" w:type="pct"/>
            <w:vAlign w:val="bottom"/>
          </w:tcPr>
          <w:p w14:paraId="0FBA10A5" w14:textId="77777777" w:rsidR="008766BA" w:rsidRPr="00E351B8" w:rsidRDefault="008766BA" w:rsidP="008766BA">
            <w:pPr>
              <w:tabs>
                <w:tab w:val="right" w:pos="1202"/>
              </w:tabs>
              <w:spacing w:after="0" w:line="240" w:lineRule="exact"/>
              <w:outlineLvl w:val="0"/>
              <w:rPr>
                <w:rFonts w:asciiTheme="minorHAnsi" w:eastAsia="Times New Roman" w:hAnsiTheme="minorHAnsi" w:cs="Arial"/>
                <w:bCs/>
                <w:spacing w:val="-2"/>
                <w:lang w:val="hr-HR"/>
              </w:rPr>
            </w:pPr>
          </w:p>
        </w:tc>
        <w:tc>
          <w:tcPr>
            <w:tcW w:w="515" w:type="pct"/>
            <w:vAlign w:val="center"/>
          </w:tcPr>
          <w:p w14:paraId="701D4FEC" w14:textId="77777777" w:rsidR="008766BA" w:rsidRPr="00E351B8" w:rsidRDefault="008766BA" w:rsidP="008766BA">
            <w:pPr>
              <w:spacing w:after="0" w:line="240" w:lineRule="exact"/>
              <w:jc w:val="center"/>
              <w:rPr>
                <w:rFonts w:asciiTheme="minorHAnsi" w:eastAsia="Arial Unicode MS" w:hAnsiTheme="minorHAnsi" w:cs="Arial"/>
                <w:lang w:val="hr-HR"/>
              </w:rPr>
            </w:pPr>
          </w:p>
        </w:tc>
        <w:tc>
          <w:tcPr>
            <w:tcW w:w="736" w:type="pct"/>
            <w:tcBorders>
              <w:bottom w:val="single" w:sz="4" w:space="0" w:color="auto"/>
            </w:tcBorders>
            <w:vAlign w:val="bottom"/>
          </w:tcPr>
          <w:p w14:paraId="2F90039A" w14:textId="77777777" w:rsidR="008766BA" w:rsidRPr="00E351B8" w:rsidRDefault="008766BA" w:rsidP="008766BA">
            <w:pPr>
              <w:spacing w:after="0" w:line="240" w:lineRule="exact"/>
              <w:jc w:val="right"/>
              <w:rPr>
                <w:rFonts w:asciiTheme="minorHAnsi" w:eastAsia="Arial Unicode MS" w:hAnsiTheme="minorHAnsi" w:cs="Arial"/>
                <w:lang w:val="hr-HR"/>
              </w:rPr>
            </w:pPr>
          </w:p>
        </w:tc>
        <w:tc>
          <w:tcPr>
            <w:tcW w:w="736" w:type="pct"/>
            <w:tcBorders>
              <w:bottom w:val="single" w:sz="4" w:space="0" w:color="auto"/>
            </w:tcBorders>
            <w:vAlign w:val="bottom"/>
          </w:tcPr>
          <w:p w14:paraId="42E6EFF4" w14:textId="77777777" w:rsidR="008766BA" w:rsidRPr="00E351B8" w:rsidRDefault="008766BA" w:rsidP="008766BA">
            <w:pPr>
              <w:spacing w:after="0" w:line="240" w:lineRule="exact"/>
              <w:jc w:val="right"/>
              <w:rPr>
                <w:rFonts w:asciiTheme="minorHAnsi" w:eastAsia="Arial Unicode MS" w:hAnsiTheme="minorHAnsi" w:cs="Arial"/>
                <w:lang w:val="hr-HR"/>
              </w:rPr>
            </w:pPr>
          </w:p>
        </w:tc>
        <w:tc>
          <w:tcPr>
            <w:tcW w:w="662" w:type="pct"/>
            <w:tcBorders>
              <w:bottom w:val="single" w:sz="4" w:space="0" w:color="auto"/>
            </w:tcBorders>
            <w:vAlign w:val="bottom"/>
          </w:tcPr>
          <w:p w14:paraId="309048A5" w14:textId="77777777" w:rsidR="008766BA" w:rsidRPr="00E351B8" w:rsidRDefault="008766BA" w:rsidP="008766BA">
            <w:pPr>
              <w:spacing w:after="0" w:line="240" w:lineRule="exact"/>
              <w:jc w:val="right"/>
              <w:rPr>
                <w:rFonts w:asciiTheme="minorHAnsi" w:eastAsia="Arial Unicode MS" w:hAnsiTheme="minorHAnsi" w:cs="Arial"/>
                <w:lang w:val="hr-HR"/>
              </w:rPr>
            </w:pPr>
          </w:p>
        </w:tc>
        <w:tc>
          <w:tcPr>
            <w:tcW w:w="735" w:type="pct"/>
            <w:tcBorders>
              <w:bottom w:val="single" w:sz="4" w:space="0" w:color="auto"/>
            </w:tcBorders>
            <w:vAlign w:val="bottom"/>
          </w:tcPr>
          <w:p w14:paraId="2A3FB616" w14:textId="77777777" w:rsidR="008766BA" w:rsidRPr="00E351B8" w:rsidRDefault="008766BA" w:rsidP="008766BA">
            <w:pPr>
              <w:spacing w:after="0" w:line="240" w:lineRule="exact"/>
              <w:jc w:val="right"/>
              <w:rPr>
                <w:rFonts w:asciiTheme="minorHAnsi" w:eastAsia="Arial Unicode MS" w:hAnsiTheme="minorHAnsi" w:cs="Arial"/>
                <w:lang w:val="hr-HR"/>
              </w:rPr>
            </w:pPr>
          </w:p>
        </w:tc>
      </w:tr>
      <w:tr w:rsidR="008766BA" w:rsidRPr="00E351B8" w14:paraId="0B846493" w14:textId="77777777" w:rsidTr="004C0B45">
        <w:trPr>
          <w:cantSplit/>
          <w:trHeight w:hRule="exact" w:val="346"/>
        </w:trPr>
        <w:tc>
          <w:tcPr>
            <w:tcW w:w="1616" w:type="pct"/>
            <w:vAlign w:val="bottom"/>
          </w:tcPr>
          <w:p w14:paraId="54D23537" w14:textId="77777777" w:rsidR="008766BA" w:rsidRPr="00E351B8" w:rsidRDefault="008766BA" w:rsidP="008766BA">
            <w:pPr>
              <w:tabs>
                <w:tab w:val="right" w:pos="1202"/>
              </w:tabs>
              <w:spacing w:after="0" w:line="240" w:lineRule="exact"/>
              <w:outlineLvl w:val="0"/>
              <w:rPr>
                <w:rFonts w:asciiTheme="minorHAnsi" w:eastAsia="Times New Roman" w:hAnsiTheme="minorHAnsi" w:cs="Arial"/>
                <w:b/>
                <w:bCs/>
                <w:vertAlign w:val="superscript"/>
                <w:lang w:val="hr-HR"/>
              </w:rPr>
            </w:pPr>
            <w:r w:rsidRPr="00DC2089">
              <w:rPr>
                <w:rFonts w:cs="Calibri"/>
                <w:b/>
              </w:rPr>
              <w:t>Net fee income</w:t>
            </w:r>
          </w:p>
        </w:tc>
        <w:tc>
          <w:tcPr>
            <w:tcW w:w="515" w:type="pct"/>
            <w:vAlign w:val="center"/>
          </w:tcPr>
          <w:p w14:paraId="1F505719" w14:textId="77777777" w:rsidR="008766BA" w:rsidRPr="00E351B8" w:rsidRDefault="008766BA" w:rsidP="008766BA">
            <w:pPr>
              <w:spacing w:after="0" w:line="240" w:lineRule="exact"/>
              <w:jc w:val="center"/>
              <w:outlineLvl w:val="0"/>
              <w:rPr>
                <w:rFonts w:asciiTheme="minorHAnsi" w:eastAsia="Times New Roman" w:hAnsiTheme="minorHAnsi" w:cs="Arial"/>
                <w:b/>
                <w:bCs/>
                <w:spacing w:val="-2"/>
                <w:lang w:val="hr-HR"/>
              </w:rPr>
            </w:pPr>
          </w:p>
        </w:tc>
        <w:tc>
          <w:tcPr>
            <w:tcW w:w="736" w:type="pct"/>
            <w:tcBorders>
              <w:top w:val="single" w:sz="4" w:space="0" w:color="auto"/>
              <w:left w:val="nil"/>
              <w:bottom w:val="single" w:sz="12" w:space="0" w:color="auto"/>
              <w:right w:val="nil"/>
            </w:tcBorders>
            <w:shd w:val="clear" w:color="auto" w:fill="auto"/>
            <w:vAlign w:val="bottom"/>
          </w:tcPr>
          <w:p w14:paraId="682A24EF" w14:textId="66AE5C7E" w:rsidR="008766BA" w:rsidRPr="00E351B8" w:rsidRDefault="008766BA" w:rsidP="008766BA">
            <w:pPr>
              <w:spacing w:after="0" w:line="240" w:lineRule="auto"/>
              <w:jc w:val="right"/>
              <w:outlineLvl w:val="0"/>
              <w:rPr>
                <w:rFonts w:ascii="Arial" w:eastAsia="Times New Roman" w:hAnsi="Arial" w:cs="Arial"/>
                <w:b/>
                <w:bCs/>
                <w:spacing w:val="-2"/>
                <w:sz w:val="19"/>
                <w:szCs w:val="20"/>
              </w:rPr>
            </w:pPr>
            <w:r w:rsidRPr="00CE0613">
              <w:rPr>
                <w:rFonts w:cs="Arial"/>
                <w:b/>
                <w:bCs/>
                <w:spacing w:val="-2"/>
              </w:rPr>
              <w:t>15</w:t>
            </w:r>
            <w:r>
              <w:rPr>
                <w:rFonts w:cs="Arial"/>
                <w:b/>
                <w:bCs/>
                <w:spacing w:val="-2"/>
              </w:rPr>
              <w:t>,</w:t>
            </w:r>
            <w:r w:rsidRPr="00CE0613">
              <w:rPr>
                <w:rFonts w:cs="Arial"/>
                <w:b/>
                <w:bCs/>
                <w:spacing w:val="-2"/>
              </w:rPr>
              <w:t>391</w:t>
            </w:r>
          </w:p>
        </w:tc>
        <w:tc>
          <w:tcPr>
            <w:tcW w:w="736" w:type="pct"/>
            <w:tcBorders>
              <w:top w:val="single" w:sz="4" w:space="0" w:color="auto"/>
              <w:left w:val="nil"/>
              <w:bottom w:val="single" w:sz="12" w:space="0" w:color="auto"/>
              <w:right w:val="nil"/>
            </w:tcBorders>
            <w:shd w:val="clear" w:color="auto" w:fill="auto"/>
            <w:vAlign w:val="bottom"/>
          </w:tcPr>
          <w:p w14:paraId="33D7D046" w14:textId="79DD23DB" w:rsidR="008766BA" w:rsidRPr="00E351B8" w:rsidRDefault="008766BA" w:rsidP="008766BA">
            <w:pPr>
              <w:spacing w:after="0" w:line="240" w:lineRule="auto"/>
              <w:jc w:val="right"/>
              <w:outlineLvl w:val="0"/>
              <w:rPr>
                <w:rFonts w:ascii="Arial" w:eastAsia="Times New Roman" w:hAnsi="Arial" w:cs="Arial"/>
                <w:b/>
                <w:bCs/>
                <w:spacing w:val="-2"/>
                <w:sz w:val="19"/>
                <w:szCs w:val="20"/>
              </w:rPr>
            </w:pPr>
            <w:r w:rsidRPr="00CE0613">
              <w:rPr>
                <w:rFonts w:cs="Arial"/>
                <w:b/>
                <w:bCs/>
                <w:spacing w:val="-2"/>
              </w:rPr>
              <w:t>28</w:t>
            </w:r>
            <w:r>
              <w:rPr>
                <w:rFonts w:cs="Arial"/>
                <w:b/>
                <w:bCs/>
                <w:spacing w:val="-2"/>
              </w:rPr>
              <w:t>,</w:t>
            </w:r>
            <w:r w:rsidRPr="00CE0613">
              <w:rPr>
                <w:rFonts w:cs="Arial"/>
                <w:b/>
                <w:bCs/>
                <w:spacing w:val="-2"/>
              </w:rPr>
              <w:t>774</w:t>
            </w:r>
          </w:p>
        </w:tc>
        <w:tc>
          <w:tcPr>
            <w:tcW w:w="662" w:type="pct"/>
            <w:tcBorders>
              <w:top w:val="single" w:sz="4" w:space="0" w:color="auto"/>
              <w:left w:val="nil"/>
              <w:bottom w:val="single" w:sz="12" w:space="0" w:color="auto"/>
              <w:right w:val="nil"/>
            </w:tcBorders>
            <w:shd w:val="clear" w:color="auto" w:fill="auto"/>
            <w:vAlign w:val="bottom"/>
          </w:tcPr>
          <w:p w14:paraId="795DD309" w14:textId="7DAA324E" w:rsidR="008766BA" w:rsidRPr="00E351B8" w:rsidRDefault="008766BA" w:rsidP="008766BA">
            <w:pPr>
              <w:spacing w:after="0" w:line="240" w:lineRule="auto"/>
              <w:jc w:val="right"/>
              <w:outlineLvl w:val="0"/>
              <w:rPr>
                <w:rFonts w:ascii="Arial" w:eastAsia="Times New Roman" w:hAnsi="Arial" w:cs="Arial"/>
                <w:b/>
                <w:bCs/>
                <w:spacing w:val="-2"/>
                <w:sz w:val="19"/>
                <w:szCs w:val="20"/>
              </w:rPr>
            </w:pPr>
            <w:r>
              <w:rPr>
                <w:rFonts w:asciiTheme="minorHAnsi" w:hAnsiTheme="minorHAnsi" w:cs="Arial"/>
                <w:b/>
                <w:bCs/>
                <w:spacing w:val="-2"/>
              </w:rPr>
              <w:t>6,256</w:t>
            </w:r>
          </w:p>
        </w:tc>
        <w:tc>
          <w:tcPr>
            <w:tcW w:w="735" w:type="pct"/>
            <w:tcBorders>
              <w:top w:val="single" w:sz="4" w:space="0" w:color="auto"/>
              <w:left w:val="nil"/>
              <w:bottom w:val="single" w:sz="12" w:space="0" w:color="auto"/>
              <w:right w:val="nil"/>
            </w:tcBorders>
            <w:shd w:val="clear" w:color="auto" w:fill="auto"/>
            <w:vAlign w:val="bottom"/>
          </w:tcPr>
          <w:p w14:paraId="1F75F6A9" w14:textId="00CC8368" w:rsidR="008766BA" w:rsidRPr="00E351B8" w:rsidRDefault="008766BA" w:rsidP="008766BA">
            <w:pPr>
              <w:spacing w:after="0" w:line="240" w:lineRule="auto"/>
              <w:jc w:val="right"/>
              <w:outlineLvl w:val="0"/>
              <w:rPr>
                <w:rFonts w:ascii="Arial" w:eastAsia="Times New Roman" w:hAnsi="Arial" w:cs="Arial"/>
                <w:b/>
                <w:bCs/>
                <w:spacing w:val="-2"/>
                <w:sz w:val="19"/>
                <w:szCs w:val="20"/>
              </w:rPr>
            </w:pPr>
            <w:r>
              <w:rPr>
                <w:rFonts w:asciiTheme="minorHAnsi" w:hAnsiTheme="minorHAnsi" w:cs="Arial"/>
                <w:b/>
                <w:bCs/>
                <w:spacing w:val="-2"/>
              </w:rPr>
              <w:t>18,857</w:t>
            </w:r>
          </w:p>
        </w:tc>
      </w:tr>
      <w:tr w:rsidR="008766BA" w:rsidRPr="00E351B8" w14:paraId="27CF6861" w14:textId="77777777" w:rsidTr="006B318F">
        <w:trPr>
          <w:cantSplit/>
          <w:trHeight w:val="302"/>
        </w:trPr>
        <w:tc>
          <w:tcPr>
            <w:tcW w:w="1616" w:type="pct"/>
            <w:vAlign w:val="bottom"/>
          </w:tcPr>
          <w:p w14:paraId="71131133" w14:textId="77777777" w:rsidR="008766BA" w:rsidRPr="00E351B8" w:rsidRDefault="008766BA" w:rsidP="008766BA">
            <w:pPr>
              <w:tabs>
                <w:tab w:val="right" w:pos="1202"/>
              </w:tabs>
              <w:spacing w:after="0" w:line="240" w:lineRule="exact"/>
              <w:outlineLvl w:val="0"/>
              <w:rPr>
                <w:rFonts w:asciiTheme="minorHAnsi" w:eastAsia="Times New Roman" w:hAnsiTheme="minorHAnsi" w:cs="Arial"/>
                <w:lang w:val="hr-HR"/>
              </w:rPr>
            </w:pPr>
          </w:p>
        </w:tc>
        <w:tc>
          <w:tcPr>
            <w:tcW w:w="515" w:type="pct"/>
            <w:vAlign w:val="center"/>
          </w:tcPr>
          <w:p w14:paraId="0387BB68" w14:textId="77777777" w:rsidR="008766BA" w:rsidRPr="00E351B8" w:rsidRDefault="008766BA" w:rsidP="008766BA">
            <w:pPr>
              <w:tabs>
                <w:tab w:val="right" w:pos="1202"/>
              </w:tabs>
              <w:spacing w:after="0" w:line="240" w:lineRule="exact"/>
              <w:jc w:val="center"/>
              <w:outlineLvl w:val="0"/>
              <w:rPr>
                <w:rFonts w:asciiTheme="minorHAnsi" w:eastAsia="Times New Roman" w:hAnsiTheme="minorHAnsi" w:cs="Arial"/>
                <w:lang w:val="hr-HR"/>
              </w:rPr>
            </w:pPr>
          </w:p>
        </w:tc>
        <w:tc>
          <w:tcPr>
            <w:tcW w:w="736" w:type="pct"/>
            <w:tcBorders>
              <w:top w:val="single" w:sz="12" w:space="0" w:color="auto"/>
            </w:tcBorders>
          </w:tcPr>
          <w:p w14:paraId="092D2B39" w14:textId="77777777" w:rsidR="008766BA" w:rsidRPr="00E351B8" w:rsidRDefault="008766BA" w:rsidP="008766BA">
            <w:pPr>
              <w:tabs>
                <w:tab w:val="right" w:pos="1202"/>
              </w:tabs>
              <w:spacing w:after="0" w:line="240" w:lineRule="exact"/>
              <w:jc w:val="right"/>
              <w:outlineLvl w:val="0"/>
              <w:rPr>
                <w:rFonts w:asciiTheme="minorHAnsi" w:eastAsia="Times New Roman" w:hAnsiTheme="minorHAnsi" w:cs="Arial"/>
                <w:lang w:val="hr-HR"/>
              </w:rPr>
            </w:pPr>
          </w:p>
        </w:tc>
        <w:tc>
          <w:tcPr>
            <w:tcW w:w="736" w:type="pct"/>
            <w:tcBorders>
              <w:top w:val="single" w:sz="12" w:space="0" w:color="auto"/>
            </w:tcBorders>
          </w:tcPr>
          <w:p w14:paraId="24DFE427" w14:textId="77777777" w:rsidR="008766BA" w:rsidRPr="00E351B8" w:rsidRDefault="008766BA" w:rsidP="008766BA">
            <w:pPr>
              <w:tabs>
                <w:tab w:val="right" w:pos="1202"/>
              </w:tabs>
              <w:spacing w:after="0" w:line="240" w:lineRule="exact"/>
              <w:jc w:val="right"/>
              <w:outlineLvl w:val="0"/>
              <w:rPr>
                <w:rFonts w:asciiTheme="minorHAnsi" w:eastAsia="Times New Roman" w:hAnsiTheme="minorHAnsi" w:cs="Arial"/>
                <w:lang w:val="hr-HR"/>
              </w:rPr>
            </w:pPr>
          </w:p>
        </w:tc>
        <w:tc>
          <w:tcPr>
            <w:tcW w:w="662" w:type="pct"/>
          </w:tcPr>
          <w:p w14:paraId="3C4079B8" w14:textId="77777777" w:rsidR="008766BA" w:rsidRPr="00E351B8" w:rsidRDefault="008766BA" w:rsidP="008766BA">
            <w:pPr>
              <w:tabs>
                <w:tab w:val="right" w:pos="1202"/>
              </w:tabs>
              <w:spacing w:after="0" w:line="240" w:lineRule="exact"/>
              <w:jc w:val="right"/>
              <w:outlineLvl w:val="0"/>
              <w:rPr>
                <w:rFonts w:asciiTheme="minorHAnsi" w:eastAsia="Times New Roman" w:hAnsiTheme="minorHAnsi" w:cs="Arial"/>
                <w:lang w:val="hr-HR"/>
              </w:rPr>
            </w:pPr>
          </w:p>
        </w:tc>
        <w:tc>
          <w:tcPr>
            <w:tcW w:w="735" w:type="pct"/>
          </w:tcPr>
          <w:p w14:paraId="108A619C" w14:textId="77777777" w:rsidR="008766BA" w:rsidRPr="00E351B8" w:rsidRDefault="008766BA" w:rsidP="008766BA">
            <w:pPr>
              <w:tabs>
                <w:tab w:val="right" w:pos="1202"/>
              </w:tabs>
              <w:spacing w:after="0" w:line="240" w:lineRule="exact"/>
              <w:jc w:val="right"/>
              <w:outlineLvl w:val="0"/>
              <w:rPr>
                <w:rFonts w:asciiTheme="minorHAnsi" w:eastAsia="Times New Roman" w:hAnsiTheme="minorHAnsi" w:cs="Arial"/>
                <w:lang w:val="hr-HR"/>
              </w:rPr>
            </w:pPr>
          </w:p>
        </w:tc>
      </w:tr>
      <w:tr w:rsidR="008766BA" w:rsidRPr="00E351B8" w14:paraId="2C90962B" w14:textId="77777777" w:rsidTr="004C0B45">
        <w:trPr>
          <w:cantSplit/>
          <w:trHeight w:val="315"/>
        </w:trPr>
        <w:tc>
          <w:tcPr>
            <w:tcW w:w="1616" w:type="pct"/>
            <w:vAlign w:val="bottom"/>
          </w:tcPr>
          <w:p w14:paraId="5AE40862" w14:textId="7F2CF04A" w:rsidR="008766BA" w:rsidRPr="00E351B8" w:rsidRDefault="008766BA" w:rsidP="008D6EFE">
            <w:pPr>
              <w:tabs>
                <w:tab w:val="right" w:pos="1202"/>
              </w:tabs>
              <w:spacing w:after="0" w:line="240" w:lineRule="exact"/>
              <w:outlineLvl w:val="0"/>
              <w:rPr>
                <w:rFonts w:asciiTheme="minorHAnsi" w:eastAsia="Times New Roman" w:hAnsiTheme="minorHAnsi" w:cs="Arial"/>
                <w:lang w:val="hr-HR"/>
              </w:rPr>
            </w:pPr>
            <w:r w:rsidRPr="00DC2089">
              <w:rPr>
                <w:rFonts w:cs="Calibri"/>
                <w:snapToGrid w:val="0"/>
                <w:color w:val="000000"/>
              </w:rPr>
              <w:t>Net losses on financial operations</w:t>
            </w:r>
          </w:p>
        </w:tc>
        <w:tc>
          <w:tcPr>
            <w:tcW w:w="515" w:type="pct"/>
            <w:vAlign w:val="center"/>
          </w:tcPr>
          <w:p w14:paraId="79228BD0" w14:textId="77777777" w:rsidR="008766BA" w:rsidRPr="00E351B8" w:rsidRDefault="008766BA" w:rsidP="008766BA">
            <w:pPr>
              <w:tabs>
                <w:tab w:val="right" w:pos="1202"/>
              </w:tabs>
              <w:spacing w:after="0" w:line="240" w:lineRule="exact"/>
              <w:jc w:val="center"/>
              <w:outlineLvl w:val="0"/>
              <w:rPr>
                <w:rFonts w:asciiTheme="minorHAnsi" w:eastAsia="Times New Roman" w:hAnsiTheme="minorHAnsi" w:cs="Arial"/>
                <w:bCs/>
                <w:spacing w:val="-2"/>
                <w:lang w:val="hr-HR"/>
              </w:rPr>
            </w:pPr>
          </w:p>
        </w:tc>
        <w:tc>
          <w:tcPr>
            <w:tcW w:w="736" w:type="pct"/>
            <w:tcBorders>
              <w:top w:val="nil"/>
              <w:left w:val="nil"/>
              <w:bottom w:val="nil"/>
              <w:right w:val="nil"/>
            </w:tcBorders>
            <w:shd w:val="clear" w:color="auto" w:fill="auto"/>
            <w:vAlign w:val="bottom"/>
          </w:tcPr>
          <w:p w14:paraId="3D5AA033" w14:textId="2756EDEA" w:rsidR="008766BA" w:rsidRPr="00E351B8" w:rsidRDefault="008766BA" w:rsidP="008766BA">
            <w:pPr>
              <w:tabs>
                <w:tab w:val="right" w:pos="1202"/>
              </w:tabs>
              <w:spacing w:after="0" w:line="240" w:lineRule="exact"/>
              <w:jc w:val="right"/>
              <w:outlineLvl w:val="0"/>
              <w:rPr>
                <w:rFonts w:asciiTheme="minorHAnsi" w:eastAsia="Times New Roman" w:hAnsiTheme="minorHAnsi" w:cs="Arial"/>
                <w:bCs/>
                <w:spacing w:val="-2"/>
                <w:lang w:val="hr-HR"/>
              </w:rPr>
            </w:pPr>
            <w:r w:rsidRPr="00CE0613">
              <w:rPr>
                <w:rFonts w:eastAsia="Times New Roman" w:cs="Arial"/>
                <w:bCs/>
                <w:spacing w:val="-2"/>
              </w:rPr>
              <w:t xml:space="preserve"> (11</w:t>
            </w:r>
            <w:r>
              <w:rPr>
                <w:rFonts w:eastAsia="Times New Roman" w:cs="Arial"/>
                <w:bCs/>
                <w:spacing w:val="-2"/>
              </w:rPr>
              <w:t>,</w:t>
            </w:r>
            <w:r w:rsidRPr="00CE0613">
              <w:rPr>
                <w:rFonts w:eastAsia="Times New Roman" w:cs="Arial"/>
                <w:bCs/>
                <w:spacing w:val="-2"/>
              </w:rPr>
              <w:t>304)</w:t>
            </w:r>
          </w:p>
        </w:tc>
        <w:tc>
          <w:tcPr>
            <w:tcW w:w="736" w:type="pct"/>
            <w:tcBorders>
              <w:top w:val="nil"/>
              <w:left w:val="nil"/>
              <w:bottom w:val="nil"/>
              <w:right w:val="nil"/>
            </w:tcBorders>
            <w:shd w:val="clear" w:color="auto" w:fill="auto"/>
            <w:vAlign w:val="bottom"/>
          </w:tcPr>
          <w:p w14:paraId="58C0A542" w14:textId="7CD1178C" w:rsidR="008766BA" w:rsidRPr="00E351B8" w:rsidRDefault="008766BA" w:rsidP="008766BA">
            <w:pPr>
              <w:tabs>
                <w:tab w:val="right" w:pos="1202"/>
              </w:tabs>
              <w:spacing w:after="0" w:line="240" w:lineRule="exact"/>
              <w:jc w:val="right"/>
              <w:outlineLvl w:val="0"/>
              <w:rPr>
                <w:rFonts w:asciiTheme="minorHAnsi" w:eastAsia="Times New Roman" w:hAnsiTheme="minorHAnsi" w:cs="Arial"/>
                <w:bCs/>
                <w:spacing w:val="-2"/>
                <w:lang w:val="hr-HR"/>
              </w:rPr>
            </w:pPr>
            <w:r w:rsidRPr="00CE0613">
              <w:rPr>
                <w:rFonts w:eastAsia="Times New Roman" w:cs="Arial"/>
                <w:bCs/>
                <w:spacing w:val="-2"/>
              </w:rPr>
              <w:t xml:space="preserve"> (18</w:t>
            </w:r>
            <w:r>
              <w:rPr>
                <w:rFonts w:eastAsia="Times New Roman" w:cs="Arial"/>
                <w:bCs/>
                <w:spacing w:val="-2"/>
              </w:rPr>
              <w:t>,</w:t>
            </w:r>
            <w:r w:rsidRPr="00CE0613">
              <w:rPr>
                <w:rFonts w:eastAsia="Times New Roman" w:cs="Arial"/>
                <w:bCs/>
                <w:spacing w:val="-2"/>
              </w:rPr>
              <w:t>878)</w:t>
            </w:r>
          </w:p>
        </w:tc>
        <w:tc>
          <w:tcPr>
            <w:tcW w:w="662" w:type="pct"/>
            <w:tcBorders>
              <w:top w:val="nil"/>
              <w:left w:val="nil"/>
              <w:bottom w:val="nil"/>
              <w:right w:val="nil"/>
            </w:tcBorders>
            <w:shd w:val="clear" w:color="auto" w:fill="auto"/>
            <w:vAlign w:val="bottom"/>
          </w:tcPr>
          <w:p w14:paraId="7190C1EB" w14:textId="1A5A43D0" w:rsidR="008766BA" w:rsidRPr="00E351B8" w:rsidRDefault="008766BA" w:rsidP="008766BA">
            <w:pPr>
              <w:tabs>
                <w:tab w:val="right" w:pos="1202"/>
              </w:tabs>
              <w:spacing w:after="0" w:line="240" w:lineRule="exact"/>
              <w:jc w:val="right"/>
              <w:outlineLvl w:val="0"/>
              <w:rPr>
                <w:rFonts w:asciiTheme="minorHAnsi" w:eastAsia="Times New Roman" w:hAnsiTheme="minorHAnsi" w:cs="Arial"/>
                <w:bCs/>
                <w:spacing w:val="-2"/>
                <w:lang w:val="hr-HR"/>
              </w:rPr>
            </w:pPr>
            <w:r>
              <w:rPr>
                <w:rFonts w:eastAsia="Times New Roman" w:cs="Arial"/>
                <w:bCs/>
                <w:spacing w:val="-2"/>
              </w:rPr>
              <w:t>(312)</w:t>
            </w:r>
          </w:p>
        </w:tc>
        <w:tc>
          <w:tcPr>
            <w:tcW w:w="735" w:type="pct"/>
            <w:tcBorders>
              <w:top w:val="nil"/>
              <w:left w:val="nil"/>
              <w:bottom w:val="nil"/>
              <w:right w:val="nil"/>
            </w:tcBorders>
            <w:shd w:val="clear" w:color="auto" w:fill="auto"/>
            <w:vAlign w:val="bottom"/>
          </w:tcPr>
          <w:p w14:paraId="596C589E" w14:textId="2D3D95B7" w:rsidR="008766BA" w:rsidRPr="00E351B8" w:rsidRDefault="008766BA" w:rsidP="008766BA">
            <w:pPr>
              <w:tabs>
                <w:tab w:val="right" w:pos="1202"/>
              </w:tabs>
              <w:spacing w:after="0" w:line="240" w:lineRule="exact"/>
              <w:jc w:val="right"/>
              <w:outlineLvl w:val="0"/>
              <w:rPr>
                <w:rFonts w:asciiTheme="minorHAnsi" w:eastAsia="Times New Roman" w:hAnsiTheme="minorHAnsi" w:cs="Arial"/>
                <w:bCs/>
                <w:spacing w:val="-2"/>
                <w:lang w:val="hr-HR"/>
              </w:rPr>
            </w:pPr>
            <w:r>
              <w:rPr>
                <w:rFonts w:eastAsia="Times New Roman" w:cs="Arial"/>
                <w:bCs/>
                <w:spacing w:val="-2"/>
              </w:rPr>
              <w:t>(11,128)</w:t>
            </w:r>
          </w:p>
        </w:tc>
      </w:tr>
      <w:tr w:rsidR="008766BA" w:rsidRPr="00E351B8" w14:paraId="3BE3C349" w14:textId="77777777" w:rsidTr="004C0B45">
        <w:trPr>
          <w:cantSplit/>
          <w:trHeight w:val="345"/>
        </w:trPr>
        <w:tc>
          <w:tcPr>
            <w:tcW w:w="1616" w:type="pct"/>
            <w:vAlign w:val="bottom"/>
          </w:tcPr>
          <w:p w14:paraId="41DDB142" w14:textId="77777777" w:rsidR="008766BA" w:rsidRPr="00E351B8" w:rsidRDefault="008766BA" w:rsidP="008766BA">
            <w:pPr>
              <w:tabs>
                <w:tab w:val="right" w:pos="1202"/>
              </w:tabs>
              <w:spacing w:after="0" w:line="240" w:lineRule="exact"/>
              <w:outlineLvl w:val="0"/>
              <w:rPr>
                <w:rFonts w:asciiTheme="minorHAnsi" w:eastAsia="Times New Roman" w:hAnsiTheme="minorHAnsi" w:cs="Arial"/>
                <w:lang w:val="hr-HR"/>
              </w:rPr>
            </w:pPr>
            <w:r w:rsidRPr="00D76846">
              <w:rPr>
                <w:rFonts w:cs="Calibri"/>
              </w:rPr>
              <w:t>Other income</w:t>
            </w:r>
          </w:p>
        </w:tc>
        <w:tc>
          <w:tcPr>
            <w:tcW w:w="515" w:type="pct"/>
            <w:vAlign w:val="center"/>
          </w:tcPr>
          <w:p w14:paraId="70E60F4F" w14:textId="77777777" w:rsidR="008766BA" w:rsidRPr="00E351B8" w:rsidRDefault="008766BA" w:rsidP="008766BA">
            <w:pPr>
              <w:tabs>
                <w:tab w:val="right" w:pos="1202"/>
              </w:tabs>
              <w:spacing w:after="0" w:line="240" w:lineRule="exact"/>
              <w:jc w:val="center"/>
              <w:outlineLvl w:val="0"/>
              <w:rPr>
                <w:rFonts w:asciiTheme="minorHAnsi" w:eastAsia="Times New Roman" w:hAnsiTheme="minorHAnsi" w:cs="Arial"/>
                <w:lang w:val="hr-HR"/>
              </w:rPr>
            </w:pPr>
          </w:p>
        </w:tc>
        <w:tc>
          <w:tcPr>
            <w:tcW w:w="736" w:type="pct"/>
            <w:tcBorders>
              <w:top w:val="nil"/>
              <w:left w:val="nil"/>
              <w:bottom w:val="nil"/>
              <w:right w:val="nil"/>
            </w:tcBorders>
            <w:shd w:val="clear" w:color="auto" w:fill="auto"/>
            <w:vAlign w:val="bottom"/>
          </w:tcPr>
          <w:p w14:paraId="44E63DD7" w14:textId="3F5A6E21" w:rsidR="008766BA" w:rsidRPr="00E351B8" w:rsidRDefault="008766BA" w:rsidP="008766BA">
            <w:pPr>
              <w:tabs>
                <w:tab w:val="right" w:pos="1202"/>
              </w:tabs>
              <w:spacing w:after="0" w:line="240" w:lineRule="exact"/>
              <w:jc w:val="right"/>
              <w:outlineLvl w:val="0"/>
              <w:rPr>
                <w:rFonts w:asciiTheme="minorHAnsi" w:eastAsia="Times New Roman" w:hAnsiTheme="minorHAnsi" w:cs="Arial"/>
                <w:lang w:val="hr-HR"/>
              </w:rPr>
            </w:pPr>
            <w:r w:rsidRPr="00CE0613">
              <w:rPr>
                <w:rFonts w:eastAsia="Times New Roman" w:cs="Arial"/>
                <w:bCs/>
                <w:spacing w:val="-2"/>
              </w:rPr>
              <w:t>1</w:t>
            </w:r>
            <w:r>
              <w:rPr>
                <w:rFonts w:eastAsia="Times New Roman" w:cs="Arial"/>
                <w:bCs/>
                <w:spacing w:val="-2"/>
              </w:rPr>
              <w:t>,</w:t>
            </w:r>
            <w:r w:rsidRPr="00CE0613">
              <w:rPr>
                <w:rFonts w:eastAsia="Times New Roman" w:cs="Arial"/>
                <w:bCs/>
                <w:spacing w:val="-2"/>
              </w:rPr>
              <w:t>308</w:t>
            </w:r>
          </w:p>
        </w:tc>
        <w:tc>
          <w:tcPr>
            <w:tcW w:w="736" w:type="pct"/>
            <w:tcBorders>
              <w:top w:val="nil"/>
              <w:left w:val="nil"/>
              <w:bottom w:val="nil"/>
              <w:right w:val="nil"/>
            </w:tcBorders>
            <w:shd w:val="clear" w:color="auto" w:fill="auto"/>
            <w:vAlign w:val="bottom"/>
          </w:tcPr>
          <w:p w14:paraId="4FDF298F" w14:textId="335602A8" w:rsidR="008766BA" w:rsidRPr="00E351B8" w:rsidRDefault="008766BA" w:rsidP="008766BA">
            <w:pPr>
              <w:tabs>
                <w:tab w:val="right" w:pos="1202"/>
              </w:tabs>
              <w:spacing w:after="0" w:line="240" w:lineRule="exact"/>
              <w:jc w:val="right"/>
              <w:outlineLvl w:val="0"/>
              <w:rPr>
                <w:rFonts w:asciiTheme="minorHAnsi" w:eastAsia="Times New Roman" w:hAnsiTheme="minorHAnsi" w:cs="Arial"/>
                <w:lang w:val="hr-HR"/>
              </w:rPr>
            </w:pPr>
            <w:r w:rsidRPr="00CE0613">
              <w:rPr>
                <w:rFonts w:eastAsia="Times New Roman" w:cs="Arial"/>
                <w:bCs/>
                <w:spacing w:val="-2"/>
              </w:rPr>
              <w:t>6</w:t>
            </w:r>
            <w:r>
              <w:rPr>
                <w:rFonts w:eastAsia="Times New Roman" w:cs="Arial"/>
                <w:bCs/>
                <w:spacing w:val="-2"/>
              </w:rPr>
              <w:t>,</w:t>
            </w:r>
            <w:r w:rsidRPr="00CE0613">
              <w:rPr>
                <w:rFonts w:eastAsia="Times New Roman" w:cs="Arial"/>
                <w:bCs/>
                <w:spacing w:val="-2"/>
              </w:rPr>
              <w:t>278</w:t>
            </w:r>
          </w:p>
        </w:tc>
        <w:tc>
          <w:tcPr>
            <w:tcW w:w="662" w:type="pct"/>
            <w:tcBorders>
              <w:top w:val="nil"/>
              <w:left w:val="nil"/>
              <w:bottom w:val="nil"/>
              <w:right w:val="nil"/>
            </w:tcBorders>
            <w:shd w:val="clear" w:color="auto" w:fill="auto"/>
            <w:vAlign w:val="bottom"/>
          </w:tcPr>
          <w:p w14:paraId="3F4A4597" w14:textId="529F4D8D" w:rsidR="008766BA" w:rsidRPr="00E351B8" w:rsidRDefault="008766BA" w:rsidP="008766BA">
            <w:pPr>
              <w:tabs>
                <w:tab w:val="right" w:pos="1202"/>
              </w:tabs>
              <w:spacing w:after="0" w:line="240" w:lineRule="exact"/>
              <w:jc w:val="right"/>
              <w:outlineLvl w:val="0"/>
              <w:rPr>
                <w:rFonts w:asciiTheme="minorHAnsi" w:eastAsia="Times New Roman" w:hAnsiTheme="minorHAnsi" w:cs="Arial"/>
                <w:lang w:val="hr-HR"/>
              </w:rPr>
            </w:pPr>
            <w:r>
              <w:rPr>
                <w:rFonts w:eastAsia="Times New Roman" w:cs="Arial"/>
              </w:rPr>
              <w:t>1,728</w:t>
            </w:r>
          </w:p>
        </w:tc>
        <w:tc>
          <w:tcPr>
            <w:tcW w:w="735" w:type="pct"/>
            <w:tcBorders>
              <w:top w:val="nil"/>
              <w:left w:val="nil"/>
              <w:bottom w:val="nil"/>
              <w:right w:val="nil"/>
            </w:tcBorders>
            <w:shd w:val="clear" w:color="auto" w:fill="auto"/>
            <w:vAlign w:val="bottom"/>
          </w:tcPr>
          <w:p w14:paraId="1F5C8840" w14:textId="124BD95D" w:rsidR="008766BA" w:rsidRPr="00E351B8" w:rsidRDefault="008766BA" w:rsidP="008766BA">
            <w:pPr>
              <w:tabs>
                <w:tab w:val="right" w:pos="1202"/>
              </w:tabs>
              <w:spacing w:after="0" w:line="240" w:lineRule="exact"/>
              <w:jc w:val="right"/>
              <w:outlineLvl w:val="0"/>
              <w:rPr>
                <w:rFonts w:asciiTheme="minorHAnsi" w:eastAsia="Times New Roman" w:hAnsiTheme="minorHAnsi" w:cs="Arial"/>
                <w:lang w:val="hr-HR"/>
              </w:rPr>
            </w:pPr>
            <w:r>
              <w:rPr>
                <w:rFonts w:eastAsia="Times New Roman" w:cs="Arial"/>
              </w:rPr>
              <w:t>5,275</w:t>
            </w:r>
          </w:p>
        </w:tc>
      </w:tr>
      <w:tr w:rsidR="008766BA" w:rsidRPr="00E351B8" w14:paraId="7B506489" w14:textId="77777777" w:rsidTr="004C0B45">
        <w:trPr>
          <w:cantSplit/>
          <w:trHeight w:hRule="exact" w:val="346"/>
        </w:trPr>
        <w:tc>
          <w:tcPr>
            <w:tcW w:w="1616" w:type="pct"/>
            <w:vAlign w:val="bottom"/>
          </w:tcPr>
          <w:p w14:paraId="2BC79EAA" w14:textId="77777777" w:rsidR="008766BA" w:rsidRPr="00E351B8" w:rsidRDefault="008766BA" w:rsidP="008766BA">
            <w:pPr>
              <w:tabs>
                <w:tab w:val="right" w:pos="1202"/>
              </w:tabs>
              <w:spacing w:after="0" w:line="240" w:lineRule="exact"/>
              <w:outlineLvl w:val="0"/>
              <w:rPr>
                <w:rFonts w:asciiTheme="minorHAnsi" w:eastAsia="Times New Roman" w:hAnsiTheme="minorHAnsi" w:cs="Arial"/>
                <w:b/>
                <w:bCs/>
                <w:lang w:val="hr-HR"/>
              </w:rPr>
            </w:pPr>
          </w:p>
        </w:tc>
        <w:tc>
          <w:tcPr>
            <w:tcW w:w="515" w:type="pct"/>
            <w:vAlign w:val="center"/>
          </w:tcPr>
          <w:p w14:paraId="241E9CC0" w14:textId="77777777" w:rsidR="008766BA" w:rsidRPr="00E351B8" w:rsidRDefault="008766BA" w:rsidP="008766BA">
            <w:pPr>
              <w:tabs>
                <w:tab w:val="right" w:pos="1202"/>
              </w:tabs>
              <w:spacing w:after="0" w:line="240" w:lineRule="exact"/>
              <w:jc w:val="center"/>
              <w:outlineLvl w:val="0"/>
              <w:rPr>
                <w:rFonts w:asciiTheme="minorHAnsi" w:eastAsia="Times New Roman" w:hAnsiTheme="minorHAnsi" w:cs="Arial"/>
                <w:b/>
                <w:bCs/>
                <w:lang w:val="hr-HR"/>
              </w:rPr>
            </w:pPr>
          </w:p>
        </w:tc>
        <w:tc>
          <w:tcPr>
            <w:tcW w:w="736" w:type="pct"/>
            <w:tcBorders>
              <w:top w:val="single" w:sz="4" w:space="0" w:color="auto"/>
              <w:left w:val="nil"/>
              <w:bottom w:val="single" w:sz="8" w:space="0" w:color="auto"/>
              <w:right w:val="nil"/>
            </w:tcBorders>
            <w:shd w:val="clear" w:color="auto" w:fill="auto"/>
            <w:vAlign w:val="bottom"/>
          </w:tcPr>
          <w:p w14:paraId="4570460B" w14:textId="05C69F0C" w:rsidR="008766BA" w:rsidRPr="00E351B8" w:rsidRDefault="008766BA" w:rsidP="008766BA">
            <w:pPr>
              <w:tabs>
                <w:tab w:val="right" w:pos="1202"/>
              </w:tabs>
              <w:spacing w:after="0" w:line="240" w:lineRule="auto"/>
              <w:jc w:val="right"/>
              <w:outlineLvl w:val="0"/>
              <w:rPr>
                <w:rFonts w:ascii="Arial" w:eastAsia="Times New Roman" w:hAnsi="Arial" w:cs="Arial"/>
                <w:b/>
                <w:bCs/>
                <w:sz w:val="19"/>
                <w:szCs w:val="20"/>
              </w:rPr>
            </w:pPr>
            <w:r w:rsidRPr="00CE0613">
              <w:rPr>
                <w:rFonts w:cs="Arial"/>
                <w:b/>
                <w:bCs/>
              </w:rPr>
              <w:t>128</w:t>
            </w:r>
            <w:r>
              <w:rPr>
                <w:rFonts w:cs="Arial"/>
                <w:b/>
                <w:bCs/>
              </w:rPr>
              <w:t>,</w:t>
            </w:r>
            <w:r w:rsidRPr="00CE0613">
              <w:rPr>
                <w:rFonts w:cs="Arial"/>
                <w:b/>
                <w:bCs/>
              </w:rPr>
              <w:t>038</w:t>
            </w:r>
          </w:p>
        </w:tc>
        <w:tc>
          <w:tcPr>
            <w:tcW w:w="736" w:type="pct"/>
            <w:tcBorders>
              <w:top w:val="single" w:sz="4" w:space="0" w:color="auto"/>
              <w:left w:val="nil"/>
              <w:bottom w:val="single" w:sz="8" w:space="0" w:color="auto"/>
              <w:right w:val="nil"/>
            </w:tcBorders>
            <w:shd w:val="clear" w:color="auto" w:fill="auto"/>
            <w:vAlign w:val="bottom"/>
          </w:tcPr>
          <w:p w14:paraId="7F3BFB18" w14:textId="2FD037BF" w:rsidR="008766BA" w:rsidRPr="00E351B8" w:rsidRDefault="008766BA" w:rsidP="008766BA">
            <w:pPr>
              <w:tabs>
                <w:tab w:val="right" w:pos="1202"/>
              </w:tabs>
              <w:spacing w:after="0" w:line="240" w:lineRule="auto"/>
              <w:jc w:val="right"/>
              <w:outlineLvl w:val="0"/>
              <w:rPr>
                <w:rFonts w:ascii="Arial" w:eastAsia="Times New Roman" w:hAnsi="Arial" w:cs="Arial"/>
                <w:b/>
                <w:bCs/>
                <w:sz w:val="19"/>
                <w:szCs w:val="20"/>
              </w:rPr>
            </w:pPr>
            <w:r w:rsidRPr="00CE0613">
              <w:rPr>
                <w:rFonts w:cs="Arial"/>
                <w:b/>
                <w:bCs/>
              </w:rPr>
              <w:t>374</w:t>
            </w:r>
            <w:r>
              <w:rPr>
                <w:rFonts w:cs="Arial"/>
                <w:b/>
                <w:bCs/>
              </w:rPr>
              <w:t>,</w:t>
            </w:r>
            <w:r w:rsidRPr="00CE0613">
              <w:rPr>
                <w:rFonts w:cs="Arial"/>
                <w:b/>
                <w:bCs/>
              </w:rPr>
              <w:t>676</w:t>
            </w:r>
          </w:p>
        </w:tc>
        <w:tc>
          <w:tcPr>
            <w:tcW w:w="662" w:type="pct"/>
            <w:tcBorders>
              <w:top w:val="single" w:sz="4" w:space="0" w:color="auto"/>
              <w:left w:val="nil"/>
              <w:bottom w:val="single" w:sz="8" w:space="0" w:color="auto"/>
              <w:right w:val="nil"/>
            </w:tcBorders>
            <w:shd w:val="clear" w:color="auto" w:fill="auto"/>
            <w:vAlign w:val="bottom"/>
          </w:tcPr>
          <w:p w14:paraId="3B1CC586" w14:textId="2FB95BC6" w:rsidR="008766BA" w:rsidRPr="00E351B8" w:rsidRDefault="008766BA" w:rsidP="008766BA">
            <w:pPr>
              <w:tabs>
                <w:tab w:val="right" w:pos="1202"/>
              </w:tabs>
              <w:spacing w:after="0" w:line="240" w:lineRule="auto"/>
              <w:jc w:val="right"/>
              <w:outlineLvl w:val="0"/>
              <w:rPr>
                <w:rFonts w:ascii="Arial" w:eastAsia="Times New Roman" w:hAnsi="Arial" w:cs="Arial"/>
                <w:b/>
                <w:bCs/>
                <w:sz w:val="19"/>
                <w:szCs w:val="20"/>
              </w:rPr>
            </w:pPr>
            <w:r>
              <w:rPr>
                <w:rFonts w:asciiTheme="minorHAnsi" w:hAnsiTheme="minorHAnsi" w:cs="Arial"/>
                <w:b/>
                <w:bCs/>
              </w:rPr>
              <w:t>110,527</w:t>
            </w:r>
          </w:p>
        </w:tc>
        <w:tc>
          <w:tcPr>
            <w:tcW w:w="735" w:type="pct"/>
            <w:tcBorders>
              <w:top w:val="single" w:sz="4" w:space="0" w:color="auto"/>
              <w:left w:val="nil"/>
              <w:bottom w:val="single" w:sz="8" w:space="0" w:color="auto"/>
              <w:right w:val="nil"/>
            </w:tcBorders>
            <w:shd w:val="clear" w:color="auto" w:fill="auto"/>
            <w:vAlign w:val="bottom"/>
          </w:tcPr>
          <w:p w14:paraId="59D27E9E" w14:textId="26A65870" w:rsidR="008766BA" w:rsidRPr="00E351B8" w:rsidRDefault="008766BA" w:rsidP="008766BA">
            <w:pPr>
              <w:tabs>
                <w:tab w:val="right" w:pos="1202"/>
              </w:tabs>
              <w:spacing w:after="0" w:line="240" w:lineRule="auto"/>
              <w:jc w:val="right"/>
              <w:outlineLvl w:val="0"/>
              <w:rPr>
                <w:rFonts w:ascii="Arial" w:eastAsia="Times New Roman" w:hAnsi="Arial" w:cs="Arial"/>
                <w:b/>
                <w:bCs/>
                <w:sz w:val="19"/>
                <w:szCs w:val="20"/>
              </w:rPr>
            </w:pPr>
            <w:r>
              <w:rPr>
                <w:rFonts w:asciiTheme="minorHAnsi" w:hAnsiTheme="minorHAnsi" w:cs="Arial"/>
                <w:b/>
                <w:bCs/>
              </w:rPr>
              <w:t>315,812</w:t>
            </w:r>
          </w:p>
        </w:tc>
      </w:tr>
      <w:tr w:rsidR="008766BA" w:rsidRPr="00E351B8" w14:paraId="1EC024B3" w14:textId="77777777" w:rsidTr="004C0B45">
        <w:trPr>
          <w:cantSplit/>
          <w:trHeight w:val="81"/>
        </w:trPr>
        <w:tc>
          <w:tcPr>
            <w:tcW w:w="1616" w:type="pct"/>
            <w:vAlign w:val="bottom"/>
          </w:tcPr>
          <w:p w14:paraId="562DE69C" w14:textId="77777777" w:rsidR="008766BA" w:rsidRPr="00E351B8" w:rsidRDefault="008766BA" w:rsidP="008766BA">
            <w:pPr>
              <w:tabs>
                <w:tab w:val="right" w:pos="1202"/>
              </w:tabs>
              <w:spacing w:after="0" w:line="240" w:lineRule="exact"/>
              <w:outlineLvl w:val="0"/>
              <w:rPr>
                <w:rFonts w:asciiTheme="minorHAnsi" w:eastAsia="Times New Roman" w:hAnsiTheme="minorHAnsi" w:cs="Arial"/>
                <w:bCs/>
                <w:spacing w:val="-2"/>
                <w:lang w:val="hr-HR"/>
              </w:rPr>
            </w:pPr>
          </w:p>
        </w:tc>
        <w:tc>
          <w:tcPr>
            <w:tcW w:w="515" w:type="pct"/>
            <w:vAlign w:val="center"/>
          </w:tcPr>
          <w:p w14:paraId="39F4DED7" w14:textId="77777777" w:rsidR="008766BA" w:rsidRPr="00E351B8" w:rsidRDefault="008766BA" w:rsidP="008766BA">
            <w:pPr>
              <w:spacing w:after="0" w:line="240" w:lineRule="exact"/>
              <w:jc w:val="center"/>
              <w:outlineLvl w:val="0"/>
              <w:rPr>
                <w:rFonts w:asciiTheme="minorHAnsi" w:eastAsia="Times New Roman" w:hAnsiTheme="minorHAnsi" w:cs="Arial"/>
                <w:bCs/>
                <w:spacing w:val="-2"/>
                <w:lang w:val="hr-HR"/>
              </w:rPr>
            </w:pPr>
          </w:p>
        </w:tc>
        <w:tc>
          <w:tcPr>
            <w:tcW w:w="736" w:type="pct"/>
            <w:tcBorders>
              <w:top w:val="single" w:sz="12" w:space="0" w:color="auto"/>
            </w:tcBorders>
            <w:vAlign w:val="bottom"/>
          </w:tcPr>
          <w:p w14:paraId="0215B4BA" w14:textId="77777777" w:rsidR="008766BA" w:rsidRPr="00E351B8" w:rsidRDefault="008766BA" w:rsidP="008766BA">
            <w:pPr>
              <w:spacing w:after="0" w:line="240" w:lineRule="exact"/>
              <w:jc w:val="right"/>
              <w:outlineLvl w:val="0"/>
              <w:rPr>
                <w:rFonts w:asciiTheme="minorHAnsi" w:eastAsia="Times New Roman" w:hAnsiTheme="minorHAnsi" w:cs="Arial"/>
                <w:bCs/>
                <w:spacing w:val="-2"/>
                <w:lang w:val="hr-HR"/>
              </w:rPr>
            </w:pPr>
          </w:p>
        </w:tc>
        <w:tc>
          <w:tcPr>
            <w:tcW w:w="736" w:type="pct"/>
            <w:tcBorders>
              <w:top w:val="single" w:sz="12" w:space="0" w:color="auto"/>
            </w:tcBorders>
            <w:vAlign w:val="bottom"/>
          </w:tcPr>
          <w:p w14:paraId="15C2F626" w14:textId="77777777" w:rsidR="008766BA" w:rsidRPr="00E351B8" w:rsidRDefault="008766BA" w:rsidP="008766BA">
            <w:pPr>
              <w:spacing w:after="0" w:line="240" w:lineRule="exact"/>
              <w:jc w:val="right"/>
              <w:outlineLvl w:val="0"/>
              <w:rPr>
                <w:rFonts w:asciiTheme="minorHAnsi" w:eastAsia="Times New Roman" w:hAnsiTheme="minorHAnsi" w:cs="Arial"/>
                <w:bCs/>
                <w:spacing w:val="-2"/>
                <w:lang w:val="hr-HR"/>
              </w:rPr>
            </w:pPr>
          </w:p>
        </w:tc>
        <w:tc>
          <w:tcPr>
            <w:tcW w:w="662" w:type="pct"/>
            <w:tcBorders>
              <w:top w:val="single" w:sz="12" w:space="0" w:color="auto"/>
            </w:tcBorders>
            <w:vAlign w:val="bottom"/>
          </w:tcPr>
          <w:p w14:paraId="7369DA95" w14:textId="77777777" w:rsidR="008766BA" w:rsidRPr="00E351B8" w:rsidRDefault="008766BA" w:rsidP="008766BA">
            <w:pPr>
              <w:spacing w:after="0" w:line="240" w:lineRule="exact"/>
              <w:jc w:val="right"/>
              <w:outlineLvl w:val="0"/>
              <w:rPr>
                <w:rFonts w:asciiTheme="minorHAnsi" w:eastAsia="Times New Roman" w:hAnsiTheme="minorHAnsi" w:cs="Arial"/>
                <w:bCs/>
                <w:spacing w:val="-2"/>
                <w:lang w:val="hr-HR"/>
              </w:rPr>
            </w:pPr>
          </w:p>
        </w:tc>
        <w:tc>
          <w:tcPr>
            <w:tcW w:w="735" w:type="pct"/>
            <w:tcBorders>
              <w:top w:val="single" w:sz="12" w:space="0" w:color="auto"/>
            </w:tcBorders>
            <w:vAlign w:val="bottom"/>
          </w:tcPr>
          <w:p w14:paraId="3EF3819C" w14:textId="77777777" w:rsidR="008766BA" w:rsidRPr="00E351B8" w:rsidRDefault="008766BA" w:rsidP="008766BA">
            <w:pPr>
              <w:spacing w:after="0" w:line="240" w:lineRule="exact"/>
              <w:jc w:val="right"/>
              <w:outlineLvl w:val="0"/>
              <w:rPr>
                <w:rFonts w:eastAsiaTheme="minorHAnsi" w:cs="Calibri"/>
                <w:bCs/>
                <w:spacing w:val="-2"/>
                <w:lang w:val="hr-HR"/>
              </w:rPr>
            </w:pPr>
          </w:p>
        </w:tc>
      </w:tr>
      <w:tr w:rsidR="008766BA" w:rsidRPr="00E351B8" w14:paraId="7E3A6AB1" w14:textId="77777777" w:rsidTr="004C0B45">
        <w:trPr>
          <w:cantSplit/>
          <w:trHeight w:val="337"/>
        </w:trPr>
        <w:tc>
          <w:tcPr>
            <w:tcW w:w="1616" w:type="pct"/>
            <w:vAlign w:val="bottom"/>
          </w:tcPr>
          <w:p w14:paraId="4C4CB780" w14:textId="77777777" w:rsidR="008766BA" w:rsidRPr="00E351B8" w:rsidRDefault="008766BA" w:rsidP="008766BA">
            <w:pPr>
              <w:tabs>
                <w:tab w:val="right" w:pos="1202"/>
              </w:tabs>
              <w:spacing w:after="0" w:line="240" w:lineRule="exact"/>
              <w:outlineLvl w:val="0"/>
              <w:rPr>
                <w:rFonts w:asciiTheme="minorHAnsi" w:eastAsia="Times New Roman" w:hAnsiTheme="minorHAnsi" w:cs="Arial"/>
                <w:bCs/>
                <w:spacing w:val="-2"/>
                <w:lang w:val="hr-HR"/>
              </w:rPr>
            </w:pPr>
            <w:r w:rsidRPr="00D76846">
              <w:rPr>
                <w:rFonts w:cs="Calibri"/>
                <w:bCs/>
                <w:spacing w:val="-2"/>
              </w:rPr>
              <w:t>Operating expenses</w:t>
            </w:r>
          </w:p>
        </w:tc>
        <w:tc>
          <w:tcPr>
            <w:tcW w:w="515" w:type="pct"/>
            <w:vAlign w:val="bottom"/>
          </w:tcPr>
          <w:p w14:paraId="3628867D" w14:textId="77777777" w:rsidR="008766BA" w:rsidRPr="00E351B8" w:rsidRDefault="008766BA" w:rsidP="008766BA">
            <w:pPr>
              <w:spacing w:after="0" w:line="240" w:lineRule="exact"/>
              <w:jc w:val="center"/>
              <w:outlineLvl w:val="0"/>
              <w:rPr>
                <w:rFonts w:asciiTheme="minorHAnsi" w:eastAsia="Times New Roman" w:hAnsiTheme="minorHAnsi" w:cs="Arial"/>
                <w:bCs/>
                <w:spacing w:val="-2"/>
                <w:lang w:val="hr-HR"/>
              </w:rPr>
            </w:pPr>
            <w:r w:rsidRPr="00E351B8">
              <w:rPr>
                <w:rFonts w:asciiTheme="minorHAnsi" w:eastAsia="Times New Roman" w:hAnsiTheme="minorHAnsi" w:cs="Arial"/>
                <w:bCs/>
                <w:spacing w:val="-2"/>
                <w:lang w:val="hr-HR"/>
              </w:rPr>
              <w:t>6</w:t>
            </w:r>
          </w:p>
        </w:tc>
        <w:tc>
          <w:tcPr>
            <w:tcW w:w="736" w:type="pct"/>
            <w:tcBorders>
              <w:top w:val="nil"/>
              <w:left w:val="nil"/>
              <w:bottom w:val="nil"/>
              <w:right w:val="nil"/>
            </w:tcBorders>
            <w:shd w:val="clear" w:color="auto" w:fill="auto"/>
            <w:vAlign w:val="bottom"/>
          </w:tcPr>
          <w:p w14:paraId="4BBC2CD8" w14:textId="0DFCDB1B" w:rsidR="008766BA" w:rsidRPr="00E351B8" w:rsidRDefault="008766BA" w:rsidP="008766BA">
            <w:pPr>
              <w:spacing w:after="0" w:line="240" w:lineRule="exact"/>
              <w:jc w:val="right"/>
              <w:outlineLvl w:val="0"/>
              <w:rPr>
                <w:rFonts w:asciiTheme="minorHAnsi" w:eastAsia="Times New Roman" w:hAnsiTheme="minorHAnsi" w:cs="Arial"/>
                <w:bCs/>
                <w:spacing w:val="-2"/>
                <w:lang w:val="hr-HR"/>
              </w:rPr>
            </w:pPr>
            <w:r w:rsidRPr="00CE0613">
              <w:rPr>
                <w:rFonts w:eastAsia="Times New Roman" w:cs="Arial"/>
                <w:bCs/>
                <w:spacing w:val="-2"/>
              </w:rPr>
              <w:t xml:space="preserve"> (33</w:t>
            </w:r>
            <w:r>
              <w:rPr>
                <w:rFonts w:eastAsia="Times New Roman" w:cs="Arial"/>
                <w:bCs/>
                <w:spacing w:val="-2"/>
              </w:rPr>
              <w:t>,</w:t>
            </w:r>
            <w:r w:rsidRPr="00CE0613">
              <w:rPr>
                <w:rFonts w:eastAsia="Times New Roman" w:cs="Arial"/>
                <w:bCs/>
                <w:spacing w:val="-2"/>
              </w:rPr>
              <w:t>164)</w:t>
            </w:r>
          </w:p>
        </w:tc>
        <w:tc>
          <w:tcPr>
            <w:tcW w:w="736" w:type="pct"/>
            <w:tcBorders>
              <w:top w:val="nil"/>
              <w:left w:val="nil"/>
              <w:bottom w:val="nil"/>
              <w:right w:val="nil"/>
            </w:tcBorders>
            <w:shd w:val="clear" w:color="auto" w:fill="auto"/>
            <w:vAlign w:val="bottom"/>
          </w:tcPr>
          <w:p w14:paraId="0D114698" w14:textId="73164066" w:rsidR="008766BA" w:rsidRPr="00E351B8" w:rsidRDefault="008766BA" w:rsidP="008766BA">
            <w:pPr>
              <w:spacing w:after="0" w:line="240" w:lineRule="exact"/>
              <w:jc w:val="right"/>
              <w:outlineLvl w:val="0"/>
              <w:rPr>
                <w:rFonts w:asciiTheme="minorHAnsi" w:eastAsia="Times New Roman" w:hAnsiTheme="minorHAnsi" w:cs="Arial"/>
                <w:bCs/>
                <w:spacing w:val="-2"/>
                <w:lang w:val="hr-HR"/>
              </w:rPr>
            </w:pPr>
            <w:r w:rsidRPr="00CE0613">
              <w:rPr>
                <w:rFonts w:eastAsia="Times New Roman" w:cs="Arial"/>
                <w:bCs/>
                <w:spacing w:val="-2"/>
              </w:rPr>
              <w:t xml:space="preserve"> (107</w:t>
            </w:r>
            <w:r>
              <w:rPr>
                <w:rFonts w:eastAsia="Times New Roman" w:cs="Arial"/>
                <w:bCs/>
                <w:spacing w:val="-2"/>
              </w:rPr>
              <w:t>,</w:t>
            </w:r>
            <w:r w:rsidRPr="00CE0613">
              <w:rPr>
                <w:rFonts w:eastAsia="Times New Roman" w:cs="Arial"/>
                <w:bCs/>
                <w:spacing w:val="-2"/>
              </w:rPr>
              <w:t>296)</w:t>
            </w:r>
          </w:p>
        </w:tc>
        <w:tc>
          <w:tcPr>
            <w:tcW w:w="662" w:type="pct"/>
            <w:tcBorders>
              <w:top w:val="nil"/>
              <w:left w:val="nil"/>
              <w:bottom w:val="nil"/>
              <w:right w:val="nil"/>
            </w:tcBorders>
            <w:shd w:val="clear" w:color="auto" w:fill="auto"/>
            <w:vAlign w:val="bottom"/>
          </w:tcPr>
          <w:p w14:paraId="6ACDECD0" w14:textId="0203C652" w:rsidR="008766BA" w:rsidRPr="00E351B8" w:rsidRDefault="008766BA" w:rsidP="008766BA">
            <w:pPr>
              <w:spacing w:after="0" w:line="240" w:lineRule="exact"/>
              <w:jc w:val="right"/>
              <w:outlineLvl w:val="0"/>
              <w:rPr>
                <w:rFonts w:asciiTheme="minorHAnsi" w:eastAsia="Times New Roman" w:hAnsiTheme="minorHAnsi" w:cs="Arial"/>
                <w:bCs/>
                <w:spacing w:val="-2"/>
                <w:lang w:val="hr-HR"/>
              </w:rPr>
            </w:pPr>
            <w:r>
              <w:rPr>
                <w:rFonts w:eastAsia="Times New Roman" w:cs="Arial"/>
                <w:bCs/>
                <w:spacing w:val="-2"/>
              </w:rPr>
              <w:t>(34,961)</w:t>
            </w:r>
          </w:p>
        </w:tc>
        <w:tc>
          <w:tcPr>
            <w:tcW w:w="735" w:type="pct"/>
            <w:tcBorders>
              <w:top w:val="nil"/>
              <w:left w:val="nil"/>
              <w:bottom w:val="nil"/>
              <w:right w:val="nil"/>
            </w:tcBorders>
            <w:shd w:val="clear" w:color="auto" w:fill="auto"/>
            <w:vAlign w:val="bottom"/>
          </w:tcPr>
          <w:p w14:paraId="7902DF38" w14:textId="742DF8FC" w:rsidR="008766BA" w:rsidRPr="00E351B8" w:rsidRDefault="008766BA" w:rsidP="008766BA">
            <w:pPr>
              <w:spacing w:after="0" w:line="240" w:lineRule="exact"/>
              <w:jc w:val="right"/>
              <w:outlineLvl w:val="0"/>
              <w:rPr>
                <w:rFonts w:eastAsiaTheme="minorHAnsi" w:cs="Calibri"/>
                <w:bCs/>
                <w:spacing w:val="-2"/>
                <w:lang w:val="hr-HR"/>
              </w:rPr>
            </w:pPr>
            <w:r>
              <w:rPr>
                <w:rFonts w:cs="Calibri"/>
                <w:bCs/>
                <w:spacing w:val="-2"/>
              </w:rPr>
              <w:t>(112,011)</w:t>
            </w:r>
          </w:p>
        </w:tc>
      </w:tr>
      <w:tr w:rsidR="008766BA" w:rsidRPr="00E351B8" w14:paraId="00BC41CD" w14:textId="77777777" w:rsidTr="004C0B45">
        <w:trPr>
          <w:cantSplit/>
          <w:trHeight w:val="369"/>
        </w:trPr>
        <w:tc>
          <w:tcPr>
            <w:tcW w:w="1616" w:type="pct"/>
            <w:vAlign w:val="bottom"/>
          </w:tcPr>
          <w:p w14:paraId="221BF22D" w14:textId="77777777" w:rsidR="008766BA" w:rsidRPr="00E351B8" w:rsidRDefault="008766BA" w:rsidP="008766BA">
            <w:pPr>
              <w:tabs>
                <w:tab w:val="right" w:pos="1202"/>
              </w:tabs>
              <w:spacing w:after="0" w:line="240" w:lineRule="exact"/>
              <w:outlineLvl w:val="0"/>
              <w:rPr>
                <w:rFonts w:asciiTheme="minorHAnsi" w:eastAsia="Times New Roman" w:hAnsiTheme="minorHAnsi" w:cs="Arial"/>
                <w:bCs/>
                <w:spacing w:val="-2"/>
                <w:lang w:val="hr-HR"/>
              </w:rPr>
            </w:pPr>
            <w:r w:rsidRPr="00D76846">
              <w:rPr>
                <w:rFonts w:cs="Calibri"/>
                <w:bCs/>
                <w:spacing w:val="-2"/>
              </w:rPr>
              <w:t>Impairment loss and provisions</w:t>
            </w:r>
          </w:p>
        </w:tc>
        <w:tc>
          <w:tcPr>
            <w:tcW w:w="515" w:type="pct"/>
            <w:vAlign w:val="bottom"/>
          </w:tcPr>
          <w:p w14:paraId="25267527" w14:textId="77777777" w:rsidR="008766BA" w:rsidRPr="00E351B8" w:rsidRDefault="008766BA" w:rsidP="008766BA">
            <w:pPr>
              <w:spacing w:after="0" w:line="240" w:lineRule="exact"/>
              <w:jc w:val="center"/>
              <w:outlineLvl w:val="0"/>
              <w:rPr>
                <w:rFonts w:asciiTheme="minorHAnsi" w:eastAsia="Times New Roman" w:hAnsiTheme="minorHAnsi" w:cs="Arial"/>
                <w:bCs/>
                <w:spacing w:val="-2"/>
                <w:lang w:val="hr-HR"/>
              </w:rPr>
            </w:pPr>
            <w:r w:rsidRPr="00E351B8">
              <w:rPr>
                <w:rFonts w:asciiTheme="minorHAnsi" w:eastAsia="Times New Roman" w:hAnsiTheme="minorHAnsi" w:cs="Arial"/>
                <w:bCs/>
                <w:spacing w:val="-2"/>
                <w:lang w:val="hr-HR"/>
              </w:rPr>
              <w:t>7</w:t>
            </w:r>
          </w:p>
        </w:tc>
        <w:tc>
          <w:tcPr>
            <w:tcW w:w="736" w:type="pct"/>
            <w:tcBorders>
              <w:top w:val="nil"/>
              <w:left w:val="nil"/>
              <w:bottom w:val="nil"/>
              <w:right w:val="nil"/>
            </w:tcBorders>
            <w:shd w:val="clear" w:color="auto" w:fill="auto"/>
            <w:vAlign w:val="bottom"/>
          </w:tcPr>
          <w:p w14:paraId="4F69139D" w14:textId="47759845" w:rsidR="008766BA" w:rsidRPr="00E351B8" w:rsidRDefault="008766BA" w:rsidP="008766BA">
            <w:pPr>
              <w:spacing w:after="0" w:line="240" w:lineRule="exact"/>
              <w:jc w:val="right"/>
              <w:outlineLvl w:val="0"/>
              <w:rPr>
                <w:rFonts w:asciiTheme="minorHAnsi" w:eastAsia="Times New Roman" w:hAnsiTheme="minorHAnsi" w:cs="Arial"/>
                <w:bCs/>
                <w:spacing w:val="-2"/>
                <w:lang w:val="hr-HR"/>
              </w:rPr>
            </w:pPr>
            <w:r w:rsidRPr="00CE0613">
              <w:rPr>
                <w:rFonts w:eastAsia="Times New Roman" w:cs="Arial"/>
                <w:bCs/>
                <w:spacing w:val="-2"/>
              </w:rPr>
              <w:t xml:space="preserve"> (48</w:t>
            </w:r>
            <w:r>
              <w:rPr>
                <w:rFonts w:eastAsia="Times New Roman" w:cs="Arial"/>
                <w:bCs/>
                <w:spacing w:val="-2"/>
              </w:rPr>
              <w:t>,</w:t>
            </w:r>
            <w:r w:rsidRPr="00CE0613">
              <w:rPr>
                <w:rFonts w:eastAsia="Times New Roman" w:cs="Arial"/>
                <w:bCs/>
                <w:spacing w:val="-2"/>
              </w:rPr>
              <w:t>719)</w:t>
            </w:r>
          </w:p>
        </w:tc>
        <w:tc>
          <w:tcPr>
            <w:tcW w:w="736" w:type="pct"/>
            <w:tcBorders>
              <w:top w:val="nil"/>
              <w:left w:val="nil"/>
              <w:bottom w:val="nil"/>
              <w:right w:val="nil"/>
            </w:tcBorders>
            <w:shd w:val="clear" w:color="auto" w:fill="auto"/>
            <w:vAlign w:val="bottom"/>
          </w:tcPr>
          <w:p w14:paraId="0D223B97" w14:textId="0DE54EEA" w:rsidR="008766BA" w:rsidRPr="00E351B8" w:rsidRDefault="008766BA" w:rsidP="008766BA">
            <w:pPr>
              <w:spacing w:after="0" w:line="240" w:lineRule="exact"/>
              <w:jc w:val="right"/>
              <w:outlineLvl w:val="0"/>
              <w:rPr>
                <w:rFonts w:asciiTheme="minorHAnsi" w:eastAsia="Times New Roman" w:hAnsiTheme="minorHAnsi" w:cs="Arial"/>
                <w:bCs/>
                <w:spacing w:val="-2"/>
                <w:lang w:val="hr-HR"/>
              </w:rPr>
            </w:pPr>
            <w:r w:rsidRPr="00CE0613">
              <w:rPr>
                <w:rFonts w:eastAsia="Times New Roman" w:cs="Arial"/>
                <w:bCs/>
                <w:spacing w:val="-2"/>
              </w:rPr>
              <w:t xml:space="preserve"> (91</w:t>
            </w:r>
            <w:r>
              <w:rPr>
                <w:rFonts w:eastAsia="Times New Roman" w:cs="Arial"/>
                <w:bCs/>
                <w:spacing w:val="-2"/>
              </w:rPr>
              <w:t>,</w:t>
            </w:r>
            <w:r w:rsidRPr="00CE0613">
              <w:rPr>
                <w:rFonts w:eastAsia="Times New Roman" w:cs="Arial"/>
                <w:bCs/>
                <w:spacing w:val="-2"/>
              </w:rPr>
              <w:t>869)</w:t>
            </w:r>
          </w:p>
        </w:tc>
        <w:tc>
          <w:tcPr>
            <w:tcW w:w="662" w:type="pct"/>
            <w:tcBorders>
              <w:top w:val="nil"/>
              <w:left w:val="nil"/>
              <w:bottom w:val="nil"/>
              <w:right w:val="nil"/>
            </w:tcBorders>
            <w:shd w:val="clear" w:color="auto" w:fill="auto"/>
            <w:vAlign w:val="bottom"/>
          </w:tcPr>
          <w:p w14:paraId="7554C341" w14:textId="26EA8A93" w:rsidR="008766BA" w:rsidRPr="00E351B8" w:rsidRDefault="008766BA" w:rsidP="008766BA">
            <w:pPr>
              <w:spacing w:after="0" w:line="240" w:lineRule="exact"/>
              <w:jc w:val="right"/>
              <w:outlineLvl w:val="0"/>
              <w:rPr>
                <w:rFonts w:asciiTheme="minorHAnsi" w:eastAsia="Times New Roman" w:hAnsiTheme="minorHAnsi" w:cs="Arial"/>
                <w:bCs/>
                <w:spacing w:val="-2"/>
                <w:lang w:val="hr-HR"/>
              </w:rPr>
            </w:pPr>
            <w:r>
              <w:rPr>
                <w:rFonts w:eastAsia="Times New Roman" w:cs="Arial"/>
                <w:bCs/>
                <w:spacing w:val="-2"/>
              </w:rPr>
              <w:t>(23,880)</w:t>
            </w:r>
          </w:p>
        </w:tc>
        <w:tc>
          <w:tcPr>
            <w:tcW w:w="735" w:type="pct"/>
            <w:tcBorders>
              <w:top w:val="nil"/>
              <w:left w:val="nil"/>
              <w:bottom w:val="nil"/>
              <w:right w:val="nil"/>
            </w:tcBorders>
            <w:shd w:val="clear" w:color="auto" w:fill="auto"/>
            <w:vAlign w:val="bottom"/>
          </w:tcPr>
          <w:p w14:paraId="4FD385AE" w14:textId="3F897CEA" w:rsidR="008766BA" w:rsidRPr="00E351B8" w:rsidRDefault="008766BA" w:rsidP="008766BA">
            <w:pPr>
              <w:spacing w:after="0" w:line="240" w:lineRule="exact"/>
              <w:jc w:val="right"/>
              <w:outlineLvl w:val="0"/>
              <w:rPr>
                <w:rFonts w:eastAsiaTheme="minorHAnsi" w:cs="Calibri"/>
                <w:bCs/>
                <w:spacing w:val="-2"/>
                <w:lang w:val="hr-HR"/>
              </w:rPr>
            </w:pPr>
            <w:r>
              <w:rPr>
                <w:rFonts w:cs="Calibri"/>
                <w:bCs/>
                <w:spacing w:val="-2"/>
              </w:rPr>
              <w:t>(44,880)</w:t>
            </w:r>
          </w:p>
        </w:tc>
      </w:tr>
      <w:tr w:rsidR="008766BA" w:rsidRPr="00E351B8" w14:paraId="3E841549" w14:textId="77777777" w:rsidTr="004C0B45">
        <w:trPr>
          <w:cantSplit/>
          <w:trHeight w:val="166"/>
        </w:trPr>
        <w:tc>
          <w:tcPr>
            <w:tcW w:w="1616" w:type="pct"/>
            <w:vAlign w:val="bottom"/>
          </w:tcPr>
          <w:p w14:paraId="513503ED" w14:textId="77777777" w:rsidR="008766BA" w:rsidRPr="00E351B8" w:rsidRDefault="008766BA" w:rsidP="008766BA">
            <w:pPr>
              <w:tabs>
                <w:tab w:val="right" w:pos="1202"/>
              </w:tabs>
              <w:spacing w:after="0" w:line="240" w:lineRule="exact"/>
              <w:outlineLvl w:val="0"/>
              <w:rPr>
                <w:rFonts w:asciiTheme="minorHAnsi" w:eastAsia="Times New Roman" w:hAnsiTheme="minorHAnsi" w:cs="Arial"/>
                <w:bCs/>
                <w:spacing w:val="-2"/>
                <w:lang w:val="hr-HR"/>
              </w:rPr>
            </w:pPr>
          </w:p>
        </w:tc>
        <w:tc>
          <w:tcPr>
            <w:tcW w:w="515" w:type="pct"/>
            <w:vAlign w:val="center"/>
          </w:tcPr>
          <w:p w14:paraId="79E48C9D" w14:textId="77777777" w:rsidR="008766BA" w:rsidRPr="00E351B8" w:rsidRDefault="008766BA" w:rsidP="008766BA">
            <w:pPr>
              <w:spacing w:after="0" w:line="240" w:lineRule="exact"/>
              <w:jc w:val="center"/>
              <w:outlineLvl w:val="0"/>
              <w:rPr>
                <w:rFonts w:asciiTheme="minorHAnsi" w:eastAsia="Times New Roman" w:hAnsiTheme="minorHAnsi" w:cs="Arial"/>
                <w:bCs/>
                <w:spacing w:val="-2"/>
                <w:lang w:val="hr-HR"/>
              </w:rPr>
            </w:pPr>
          </w:p>
        </w:tc>
        <w:tc>
          <w:tcPr>
            <w:tcW w:w="736" w:type="pct"/>
            <w:tcBorders>
              <w:bottom w:val="single" w:sz="4" w:space="0" w:color="auto"/>
            </w:tcBorders>
            <w:vAlign w:val="bottom"/>
          </w:tcPr>
          <w:p w14:paraId="4FF34F75" w14:textId="77777777" w:rsidR="008766BA" w:rsidRPr="00E351B8" w:rsidRDefault="008766BA" w:rsidP="008766BA">
            <w:pPr>
              <w:spacing w:after="0" w:line="240" w:lineRule="exact"/>
              <w:jc w:val="right"/>
              <w:outlineLvl w:val="0"/>
              <w:rPr>
                <w:rFonts w:asciiTheme="minorHAnsi" w:eastAsia="Times New Roman" w:hAnsiTheme="minorHAnsi" w:cs="Arial"/>
                <w:bCs/>
                <w:spacing w:val="-2"/>
                <w:lang w:val="hr-HR"/>
              </w:rPr>
            </w:pPr>
          </w:p>
        </w:tc>
        <w:tc>
          <w:tcPr>
            <w:tcW w:w="736" w:type="pct"/>
            <w:tcBorders>
              <w:bottom w:val="single" w:sz="4" w:space="0" w:color="auto"/>
            </w:tcBorders>
            <w:vAlign w:val="bottom"/>
          </w:tcPr>
          <w:p w14:paraId="443C0F0D" w14:textId="77777777" w:rsidR="008766BA" w:rsidRPr="00E351B8" w:rsidRDefault="008766BA" w:rsidP="008766BA">
            <w:pPr>
              <w:spacing w:after="0" w:line="240" w:lineRule="exact"/>
              <w:jc w:val="right"/>
              <w:outlineLvl w:val="0"/>
              <w:rPr>
                <w:rFonts w:asciiTheme="minorHAnsi" w:eastAsia="Times New Roman" w:hAnsiTheme="minorHAnsi" w:cs="Arial"/>
                <w:bCs/>
                <w:spacing w:val="-2"/>
                <w:lang w:val="hr-HR"/>
              </w:rPr>
            </w:pPr>
          </w:p>
        </w:tc>
        <w:tc>
          <w:tcPr>
            <w:tcW w:w="662" w:type="pct"/>
            <w:tcBorders>
              <w:bottom w:val="single" w:sz="4" w:space="0" w:color="auto"/>
            </w:tcBorders>
            <w:vAlign w:val="bottom"/>
          </w:tcPr>
          <w:p w14:paraId="4F1A2D81" w14:textId="77777777" w:rsidR="008766BA" w:rsidRPr="00E351B8" w:rsidRDefault="008766BA" w:rsidP="008766BA">
            <w:pPr>
              <w:spacing w:after="0" w:line="240" w:lineRule="exact"/>
              <w:jc w:val="right"/>
              <w:outlineLvl w:val="0"/>
              <w:rPr>
                <w:rFonts w:asciiTheme="minorHAnsi" w:eastAsia="Times New Roman" w:hAnsiTheme="minorHAnsi" w:cs="Arial"/>
                <w:bCs/>
                <w:spacing w:val="-2"/>
                <w:lang w:val="hr-HR"/>
              </w:rPr>
            </w:pPr>
          </w:p>
        </w:tc>
        <w:tc>
          <w:tcPr>
            <w:tcW w:w="735" w:type="pct"/>
            <w:tcBorders>
              <w:bottom w:val="single" w:sz="4" w:space="0" w:color="auto"/>
            </w:tcBorders>
            <w:vAlign w:val="bottom"/>
          </w:tcPr>
          <w:p w14:paraId="3A508827" w14:textId="77777777" w:rsidR="008766BA" w:rsidRPr="00E351B8" w:rsidRDefault="008766BA" w:rsidP="008766BA">
            <w:pPr>
              <w:spacing w:after="0" w:line="240" w:lineRule="exact"/>
              <w:jc w:val="right"/>
              <w:outlineLvl w:val="0"/>
              <w:rPr>
                <w:rFonts w:eastAsiaTheme="minorHAnsi" w:cs="Calibri"/>
                <w:bCs/>
                <w:spacing w:val="-2"/>
                <w:lang w:val="hr-HR"/>
              </w:rPr>
            </w:pPr>
          </w:p>
        </w:tc>
      </w:tr>
      <w:tr w:rsidR="008766BA" w:rsidRPr="00E351B8" w14:paraId="02BFE216" w14:textId="77777777" w:rsidTr="004C0B45">
        <w:trPr>
          <w:cantSplit/>
          <w:trHeight w:hRule="exact" w:val="346"/>
        </w:trPr>
        <w:tc>
          <w:tcPr>
            <w:tcW w:w="1616" w:type="pct"/>
            <w:vAlign w:val="bottom"/>
          </w:tcPr>
          <w:p w14:paraId="6C31788B" w14:textId="77777777" w:rsidR="008766BA" w:rsidRPr="00E351B8" w:rsidRDefault="008766BA" w:rsidP="008766BA">
            <w:pPr>
              <w:tabs>
                <w:tab w:val="right" w:pos="1202"/>
              </w:tabs>
              <w:spacing w:after="0" w:line="240" w:lineRule="exact"/>
              <w:outlineLvl w:val="0"/>
              <w:rPr>
                <w:rFonts w:asciiTheme="minorHAnsi" w:eastAsia="Times New Roman" w:hAnsiTheme="minorHAnsi" w:cs="Arial"/>
                <w:b/>
                <w:bCs/>
                <w:lang w:val="hr-HR"/>
              </w:rPr>
            </w:pPr>
            <w:r w:rsidRPr="00D76846">
              <w:rPr>
                <w:rFonts w:cs="Calibri"/>
                <w:b/>
                <w:bCs/>
              </w:rPr>
              <w:t>Profit before income tax</w:t>
            </w:r>
          </w:p>
        </w:tc>
        <w:tc>
          <w:tcPr>
            <w:tcW w:w="515" w:type="pct"/>
            <w:vAlign w:val="center"/>
          </w:tcPr>
          <w:p w14:paraId="40EA6355" w14:textId="77777777" w:rsidR="008766BA" w:rsidRPr="00E351B8" w:rsidRDefault="008766BA" w:rsidP="008766BA">
            <w:pPr>
              <w:tabs>
                <w:tab w:val="right" w:pos="1202"/>
              </w:tabs>
              <w:spacing w:after="0" w:line="240" w:lineRule="exact"/>
              <w:jc w:val="center"/>
              <w:outlineLvl w:val="0"/>
              <w:rPr>
                <w:rFonts w:asciiTheme="minorHAnsi" w:eastAsia="Times New Roman" w:hAnsiTheme="minorHAnsi" w:cs="Arial"/>
                <w:b/>
                <w:bCs/>
                <w:lang w:val="hr-HR"/>
              </w:rPr>
            </w:pPr>
          </w:p>
        </w:tc>
        <w:tc>
          <w:tcPr>
            <w:tcW w:w="736" w:type="pct"/>
            <w:tcBorders>
              <w:top w:val="single" w:sz="4" w:space="0" w:color="auto"/>
              <w:left w:val="nil"/>
              <w:bottom w:val="single" w:sz="12" w:space="0" w:color="auto"/>
              <w:right w:val="nil"/>
            </w:tcBorders>
            <w:shd w:val="clear" w:color="auto" w:fill="auto"/>
            <w:vAlign w:val="bottom"/>
          </w:tcPr>
          <w:p w14:paraId="7AF19103" w14:textId="15DCAD13" w:rsidR="008766BA" w:rsidRPr="00E351B8" w:rsidRDefault="008766BA" w:rsidP="008766BA">
            <w:pPr>
              <w:tabs>
                <w:tab w:val="right" w:pos="1202"/>
              </w:tabs>
              <w:spacing w:after="0" w:line="240" w:lineRule="auto"/>
              <w:jc w:val="right"/>
              <w:outlineLvl w:val="0"/>
              <w:rPr>
                <w:rFonts w:ascii="Arial" w:eastAsia="Times New Roman" w:hAnsi="Arial" w:cs="Arial"/>
                <w:b/>
                <w:bCs/>
                <w:sz w:val="19"/>
                <w:szCs w:val="20"/>
              </w:rPr>
            </w:pPr>
            <w:r w:rsidRPr="00CE0613">
              <w:rPr>
                <w:rFonts w:cs="Arial"/>
                <w:b/>
                <w:bCs/>
              </w:rPr>
              <w:t>46</w:t>
            </w:r>
            <w:r>
              <w:rPr>
                <w:rFonts w:cs="Arial"/>
                <w:b/>
                <w:bCs/>
              </w:rPr>
              <w:t>,</w:t>
            </w:r>
            <w:r w:rsidRPr="00CE0613">
              <w:rPr>
                <w:rFonts w:cs="Arial"/>
                <w:b/>
                <w:bCs/>
              </w:rPr>
              <w:t>155</w:t>
            </w:r>
          </w:p>
        </w:tc>
        <w:tc>
          <w:tcPr>
            <w:tcW w:w="736" w:type="pct"/>
            <w:tcBorders>
              <w:top w:val="single" w:sz="4" w:space="0" w:color="auto"/>
              <w:left w:val="nil"/>
              <w:bottom w:val="single" w:sz="12" w:space="0" w:color="auto"/>
              <w:right w:val="nil"/>
            </w:tcBorders>
            <w:shd w:val="clear" w:color="auto" w:fill="auto"/>
            <w:vAlign w:val="bottom"/>
          </w:tcPr>
          <w:p w14:paraId="205517D4" w14:textId="70BA57EA" w:rsidR="008766BA" w:rsidRPr="00E351B8" w:rsidRDefault="008766BA" w:rsidP="008766BA">
            <w:pPr>
              <w:tabs>
                <w:tab w:val="right" w:pos="1202"/>
              </w:tabs>
              <w:spacing w:after="0" w:line="240" w:lineRule="auto"/>
              <w:jc w:val="right"/>
              <w:outlineLvl w:val="0"/>
              <w:rPr>
                <w:rFonts w:ascii="Arial" w:eastAsia="Times New Roman" w:hAnsi="Arial" w:cs="Arial"/>
                <w:b/>
                <w:bCs/>
                <w:sz w:val="19"/>
                <w:szCs w:val="20"/>
              </w:rPr>
            </w:pPr>
            <w:r w:rsidRPr="00CE0613">
              <w:rPr>
                <w:rFonts w:cs="Arial"/>
                <w:b/>
                <w:bCs/>
              </w:rPr>
              <w:t>175</w:t>
            </w:r>
            <w:r>
              <w:rPr>
                <w:rFonts w:cs="Arial"/>
                <w:b/>
                <w:bCs/>
              </w:rPr>
              <w:t>,</w:t>
            </w:r>
            <w:r w:rsidRPr="00CE0613">
              <w:rPr>
                <w:rFonts w:cs="Arial"/>
                <w:b/>
                <w:bCs/>
              </w:rPr>
              <w:t>511</w:t>
            </w:r>
          </w:p>
        </w:tc>
        <w:tc>
          <w:tcPr>
            <w:tcW w:w="662" w:type="pct"/>
            <w:tcBorders>
              <w:top w:val="single" w:sz="4" w:space="0" w:color="auto"/>
              <w:left w:val="nil"/>
              <w:bottom w:val="single" w:sz="12" w:space="0" w:color="auto"/>
              <w:right w:val="nil"/>
            </w:tcBorders>
            <w:shd w:val="clear" w:color="auto" w:fill="auto"/>
            <w:vAlign w:val="bottom"/>
          </w:tcPr>
          <w:p w14:paraId="7B7FDDAE" w14:textId="53F3DC9A" w:rsidR="008766BA" w:rsidRPr="00E351B8" w:rsidRDefault="008766BA" w:rsidP="008766BA">
            <w:pPr>
              <w:tabs>
                <w:tab w:val="right" w:pos="1202"/>
              </w:tabs>
              <w:spacing w:after="0" w:line="240" w:lineRule="auto"/>
              <w:jc w:val="right"/>
              <w:outlineLvl w:val="0"/>
              <w:rPr>
                <w:rFonts w:ascii="Arial" w:eastAsia="Times New Roman" w:hAnsi="Arial" w:cs="Arial"/>
                <w:b/>
                <w:bCs/>
                <w:sz w:val="19"/>
                <w:szCs w:val="20"/>
              </w:rPr>
            </w:pPr>
            <w:r>
              <w:rPr>
                <w:rFonts w:asciiTheme="minorHAnsi" w:hAnsiTheme="minorHAnsi" w:cs="Arial"/>
                <w:b/>
                <w:bCs/>
              </w:rPr>
              <w:t>51,686</w:t>
            </w:r>
          </w:p>
        </w:tc>
        <w:tc>
          <w:tcPr>
            <w:tcW w:w="735" w:type="pct"/>
            <w:tcBorders>
              <w:top w:val="single" w:sz="4" w:space="0" w:color="auto"/>
              <w:left w:val="nil"/>
              <w:bottom w:val="single" w:sz="12" w:space="0" w:color="auto"/>
              <w:right w:val="nil"/>
            </w:tcBorders>
            <w:shd w:val="clear" w:color="auto" w:fill="auto"/>
            <w:vAlign w:val="bottom"/>
          </w:tcPr>
          <w:p w14:paraId="736848DB" w14:textId="1A73FC4B" w:rsidR="008766BA" w:rsidRPr="00E351B8" w:rsidRDefault="008766BA" w:rsidP="008766BA">
            <w:pPr>
              <w:tabs>
                <w:tab w:val="right" w:pos="1202"/>
              </w:tabs>
              <w:spacing w:after="0" w:line="240" w:lineRule="auto"/>
              <w:jc w:val="right"/>
              <w:outlineLvl w:val="0"/>
              <w:rPr>
                <w:rFonts w:ascii="Arial" w:eastAsia="Times New Roman" w:hAnsi="Arial" w:cs="Arial"/>
                <w:b/>
                <w:bCs/>
                <w:sz w:val="19"/>
                <w:szCs w:val="20"/>
              </w:rPr>
            </w:pPr>
            <w:r>
              <w:rPr>
                <w:rFonts w:asciiTheme="minorHAnsi" w:hAnsiTheme="minorHAnsi" w:cs="Arial"/>
                <w:b/>
                <w:bCs/>
              </w:rPr>
              <w:t>158,921</w:t>
            </w:r>
          </w:p>
        </w:tc>
      </w:tr>
      <w:tr w:rsidR="008766BA" w:rsidRPr="00E351B8" w14:paraId="34E06A23" w14:textId="77777777" w:rsidTr="004C0B45">
        <w:trPr>
          <w:cantSplit/>
          <w:trHeight w:val="237"/>
        </w:trPr>
        <w:tc>
          <w:tcPr>
            <w:tcW w:w="1616" w:type="pct"/>
            <w:vAlign w:val="bottom"/>
          </w:tcPr>
          <w:p w14:paraId="16512875" w14:textId="77777777" w:rsidR="008766BA" w:rsidRPr="00E351B8" w:rsidRDefault="008766BA" w:rsidP="008766BA">
            <w:pPr>
              <w:tabs>
                <w:tab w:val="right" w:pos="1202"/>
              </w:tabs>
              <w:spacing w:after="0" w:line="240" w:lineRule="exact"/>
              <w:outlineLvl w:val="0"/>
              <w:rPr>
                <w:rFonts w:asciiTheme="minorHAnsi" w:eastAsia="Times New Roman" w:hAnsiTheme="minorHAnsi" w:cs="Arial"/>
                <w:lang w:val="hr-HR"/>
              </w:rPr>
            </w:pPr>
          </w:p>
        </w:tc>
        <w:tc>
          <w:tcPr>
            <w:tcW w:w="515" w:type="pct"/>
            <w:vAlign w:val="center"/>
          </w:tcPr>
          <w:p w14:paraId="4289C867" w14:textId="77777777" w:rsidR="008766BA" w:rsidRPr="00E351B8" w:rsidRDefault="008766BA" w:rsidP="008766BA">
            <w:pPr>
              <w:tabs>
                <w:tab w:val="right" w:pos="1202"/>
              </w:tabs>
              <w:spacing w:after="0" w:line="240" w:lineRule="exact"/>
              <w:jc w:val="center"/>
              <w:outlineLvl w:val="0"/>
              <w:rPr>
                <w:rFonts w:asciiTheme="minorHAnsi" w:eastAsia="Times New Roman" w:hAnsiTheme="minorHAnsi" w:cs="Arial"/>
                <w:lang w:val="hr-HR"/>
              </w:rPr>
            </w:pPr>
          </w:p>
        </w:tc>
        <w:tc>
          <w:tcPr>
            <w:tcW w:w="736" w:type="pct"/>
            <w:tcBorders>
              <w:top w:val="single" w:sz="12" w:space="0" w:color="auto"/>
            </w:tcBorders>
            <w:vAlign w:val="bottom"/>
          </w:tcPr>
          <w:p w14:paraId="3AD9F53B" w14:textId="77777777" w:rsidR="008766BA" w:rsidRPr="00E351B8" w:rsidRDefault="008766BA" w:rsidP="008766BA">
            <w:pPr>
              <w:tabs>
                <w:tab w:val="right" w:pos="1202"/>
              </w:tabs>
              <w:spacing w:after="0" w:line="240" w:lineRule="exact"/>
              <w:jc w:val="right"/>
              <w:outlineLvl w:val="0"/>
              <w:rPr>
                <w:rFonts w:asciiTheme="minorHAnsi" w:eastAsia="Times New Roman" w:hAnsiTheme="minorHAnsi" w:cs="Arial"/>
                <w:lang w:val="hr-HR"/>
              </w:rPr>
            </w:pPr>
          </w:p>
        </w:tc>
        <w:tc>
          <w:tcPr>
            <w:tcW w:w="736" w:type="pct"/>
            <w:tcBorders>
              <w:top w:val="single" w:sz="12" w:space="0" w:color="auto"/>
            </w:tcBorders>
            <w:vAlign w:val="bottom"/>
          </w:tcPr>
          <w:p w14:paraId="56A19BCB" w14:textId="77777777" w:rsidR="008766BA" w:rsidRPr="00E351B8" w:rsidRDefault="008766BA" w:rsidP="008766BA">
            <w:pPr>
              <w:tabs>
                <w:tab w:val="right" w:pos="1202"/>
              </w:tabs>
              <w:spacing w:after="0" w:line="240" w:lineRule="exact"/>
              <w:jc w:val="right"/>
              <w:outlineLvl w:val="0"/>
              <w:rPr>
                <w:rFonts w:asciiTheme="minorHAnsi" w:eastAsia="Times New Roman" w:hAnsiTheme="minorHAnsi" w:cs="Arial"/>
                <w:lang w:val="hr-HR"/>
              </w:rPr>
            </w:pPr>
          </w:p>
        </w:tc>
        <w:tc>
          <w:tcPr>
            <w:tcW w:w="662" w:type="pct"/>
            <w:tcBorders>
              <w:top w:val="single" w:sz="12" w:space="0" w:color="auto"/>
            </w:tcBorders>
            <w:vAlign w:val="bottom"/>
          </w:tcPr>
          <w:p w14:paraId="10E29FE7" w14:textId="77777777" w:rsidR="008766BA" w:rsidRPr="00E351B8" w:rsidRDefault="008766BA" w:rsidP="008766BA">
            <w:pPr>
              <w:tabs>
                <w:tab w:val="right" w:pos="1202"/>
              </w:tabs>
              <w:spacing w:after="0" w:line="240" w:lineRule="exact"/>
              <w:jc w:val="right"/>
              <w:outlineLvl w:val="0"/>
              <w:rPr>
                <w:rFonts w:asciiTheme="minorHAnsi" w:eastAsia="Times New Roman" w:hAnsiTheme="minorHAnsi" w:cs="Arial"/>
                <w:lang w:val="hr-HR"/>
              </w:rPr>
            </w:pPr>
          </w:p>
        </w:tc>
        <w:tc>
          <w:tcPr>
            <w:tcW w:w="735" w:type="pct"/>
            <w:tcBorders>
              <w:top w:val="single" w:sz="12" w:space="0" w:color="auto"/>
            </w:tcBorders>
            <w:vAlign w:val="bottom"/>
          </w:tcPr>
          <w:p w14:paraId="611D1CA2" w14:textId="77777777" w:rsidR="008766BA" w:rsidRPr="00E351B8" w:rsidRDefault="008766BA" w:rsidP="008766BA">
            <w:pPr>
              <w:tabs>
                <w:tab w:val="right" w:pos="1202"/>
              </w:tabs>
              <w:spacing w:after="0" w:line="240" w:lineRule="exact"/>
              <w:jc w:val="right"/>
              <w:outlineLvl w:val="0"/>
              <w:rPr>
                <w:rFonts w:asciiTheme="minorHAnsi" w:eastAsia="Times New Roman" w:hAnsiTheme="minorHAnsi" w:cs="Arial"/>
                <w:lang w:val="hr-HR"/>
              </w:rPr>
            </w:pPr>
          </w:p>
        </w:tc>
      </w:tr>
      <w:tr w:rsidR="008766BA" w:rsidRPr="00E351B8" w14:paraId="54918DB4" w14:textId="77777777" w:rsidTr="004C0B45">
        <w:trPr>
          <w:cantSplit/>
          <w:trHeight w:val="308"/>
        </w:trPr>
        <w:tc>
          <w:tcPr>
            <w:tcW w:w="1616" w:type="pct"/>
            <w:vAlign w:val="bottom"/>
          </w:tcPr>
          <w:p w14:paraId="2054A126" w14:textId="77777777" w:rsidR="008766BA" w:rsidRPr="00E351B8" w:rsidRDefault="008766BA" w:rsidP="008766BA">
            <w:pPr>
              <w:tabs>
                <w:tab w:val="right" w:pos="1202"/>
              </w:tabs>
              <w:spacing w:after="0" w:line="240" w:lineRule="exact"/>
              <w:outlineLvl w:val="0"/>
              <w:rPr>
                <w:rFonts w:asciiTheme="minorHAnsi" w:eastAsia="Times New Roman" w:hAnsiTheme="minorHAnsi" w:cs="Arial"/>
                <w:lang w:val="hr-HR"/>
              </w:rPr>
            </w:pPr>
            <w:r w:rsidRPr="00D76846">
              <w:rPr>
                <w:rFonts w:cs="Calibri"/>
              </w:rPr>
              <w:t>Income tax</w:t>
            </w:r>
          </w:p>
        </w:tc>
        <w:tc>
          <w:tcPr>
            <w:tcW w:w="515" w:type="pct"/>
            <w:vAlign w:val="center"/>
          </w:tcPr>
          <w:p w14:paraId="69B6FFE0" w14:textId="77777777" w:rsidR="008766BA" w:rsidRPr="00E351B8" w:rsidRDefault="008766BA" w:rsidP="008766BA">
            <w:pPr>
              <w:tabs>
                <w:tab w:val="right" w:pos="1202"/>
              </w:tabs>
              <w:spacing w:after="0" w:line="240" w:lineRule="exact"/>
              <w:jc w:val="center"/>
              <w:outlineLvl w:val="0"/>
              <w:rPr>
                <w:rFonts w:asciiTheme="minorHAnsi" w:eastAsia="Times New Roman" w:hAnsiTheme="minorHAnsi" w:cs="Arial"/>
                <w:lang w:val="hr-HR"/>
              </w:rPr>
            </w:pPr>
          </w:p>
        </w:tc>
        <w:tc>
          <w:tcPr>
            <w:tcW w:w="736" w:type="pct"/>
            <w:tcBorders>
              <w:bottom w:val="single" w:sz="4" w:space="0" w:color="auto"/>
            </w:tcBorders>
            <w:vAlign w:val="bottom"/>
          </w:tcPr>
          <w:p w14:paraId="2C8322BF" w14:textId="6EA282F0" w:rsidR="008766BA" w:rsidRPr="00E351B8" w:rsidRDefault="008766BA" w:rsidP="008766BA">
            <w:pPr>
              <w:tabs>
                <w:tab w:val="right" w:pos="1202"/>
              </w:tabs>
              <w:spacing w:after="0" w:line="240" w:lineRule="exact"/>
              <w:jc w:val="right"/>
              <w:outlineLvl w:val="0"/>
              <w:rPr>
                <w:rFonts w:asciiTheme="minorHAnsi" w:eastAsia="Times New Roman" w:hAnsiTheme="minorHAnsi" w:cs="Arial"/>
                <w:lang w:val="hr-HR"/>
              </w:rPr>
            </w:pPr>
            <w:r w:rsidRPr="00E24B12">
              <w:rPr>
                <w:rFonts w:eastAsia="Times New Roman" w:cs="Arial"/>
              </w:rPr>
              <w:t>-</w:t>
            </w:r>
          </w:p>
        </w:tc>
        <w:tc>
          <w:tcPr>
            <w:tcW w:w="736" w:type="pct"/>
            <w:tcBorders>
              <w:bottom w:val="single" w:sz="4" w:space="0" w:color="auto"/>
            </w:tcBorders>
            <w:vAlign w:val="bottom"/>
          </w:tcPr>
          <w:p w14:paraId="3DD8C238" w14:textId="6B862C24" w:rsidR="008766BA" w:rsidRPr="00E351B8" w:rsidRDefault="008766BA" w:rsidP="008766BA">
            <w:pPr>
              <w:tabs>
                <w:tab w:val="right" w:pos="1202"/>
              </w:tabs>
              <w:spacing w:after="0" w:line="240" w:lineRule="exact"/>
              <w:jc w:val="right"/>
              <w:outlineLvl w:val="0"/>
              <w:rPr>
                <w:rFonts w:asciiTheme="minorHAnsi" w:eastAsia="Times New Roman" w:hAnsiTheme="minorHAnsi" w:cs="Arial"/>
                <w:lang w:val="hr-HR"/>
              </w:rPr>
            </w:pPr>
            <w:r w:rsidRPr="00E24B12">
              <w:rPr>
                <w:rFonts w:eastAsia="Times New Roman" w:cs="Arial"/>
              </w:rPr>
              <w:t>-</w:t>
            </w:r>
          </w:p>
        </w:tc>
        <w:tc>
          <w:tcPr>
            <w:tcW w:w="662" w:type="pct"/>
            <w:tcBorders>
              <w:bottom w:val="single" w:sz="4" w:space="0" w:color="auto"/>
            </w:tcBorders>
            <w:vAlign w:val="bottom"/>
          </w:tcPr>
          <w:p w14:paraId="3F9FA719" w14:textId="15586421" w:rsidR="008766BA" w:rsidRPr="00E351B8" w:rsidRDefault="008766BA" w:rsidP="008766BA">
            <w:pPr>
              <w:tabs>
                <w:tab w:val="right" w:pos="1202"/>
              </w:tabs>
              <w:spacing w:after="0" w:line="240" w:lineRule="exact"/>
              <w:jc w:val="right"/>
              <w:outlineLvl w:val="0"/>
              <w:rPr>
                <w:rFonts w:asciiTheme="minorHAnsi" w:eastAsia="Times New Roman" w:hAnsiTheme="minorHAnsi" w:cs="Arial"/>
                <w:lang w:val="hr-HR"/>
              </w:rPr>
            </w:pPr>
            <w:r>
              <w:rPr>
                <w:rFonts w:eastAsia="Times New Roman" w:cs="Arial"/>
              </w:rPr>
              <w:t>-</w:t>
            </w:r>
          </w:p>
        </w:tc>
        <w:tc>
          <w:tcPr>
            <w:tcW w:w="735" w:type="pct"/>
            <w:tcBorders>
              <w:bottom w:val="single" w:sz="4" w:space="0" w:color="auto"/>
            </w:tcBorders>
            <w:vAlign w:val="bottom"/>
          </w:tcPr>
          <w:p w14:paraId="6ADA523B" w14:textId="7B0613FC" w:rsidR="008766BA" w:rsidRPr="00E351B8" w:rsidRDefault="008766BA" w:rsidP="008766BA">
            <w:pPr>
              <w:tabs>
                <w:tab w:val="right" w:pos="1202"/>
              </w:tabs>
              <w:spacing w:after="0" w:line="240" w:lineRule="exact"/>
              <w:jc w:val="right"/>
              <w:outlineLvl w:val="0"/>
              <w:rPr>
                <w:rFonts w:asciiTheme="minorHAnsi" w:eastAsia="Times New Roman" w:hAnsiTheme="minorHAnsi" w:cs="Arial"/>
                <w:lang w:val="hr-HR"/>
              </w:rPr>
            </w:pPr>
            <w:r>
              <w:rPr>
                <w:rFonts w:eastAsia="Times New Roman" w:cs="Arial"/>
              </w:rPr>
              <w:t>-</w:t>
            </w:r>
          </w:p>
        </w:tc>
      </w:tr>
      <w:tr w:rsidR="008766BA" w:rsidRPr="00E351B8" w14:paraId="275B1F97" w14:textId="77777777" w:rsidTr="006B318F">
        <w:trPr>
          <w:cantSplit/>
          <w:trHeight w:hRule="exact" w:val="346"/>
        </w:trPr>
        <w:tc>
          <w:tcPr>
            <w:tcW w:w="1616" w:type="pct"/>
            <w:vAlign w:val="bottom"/>
          </w:tcPr>
          <w:p w14:paraId="6EF61E5C" w14:textId="07510E68" w:rsidR="008766BA" w:rsidRPr="00E351B8" w:rsidRDefault="008766BA" w:rsidP="008766BA">
            <w:pPr>
              <w:tabs>
                <w:tab w:val="right" w:pos="1202"/>
              </w:tabs>
              <w:spacing w:after="0" w:line="240" w:lineRule="exact"/>
              <w:outlineLvl w:val="0"/>
              <w:rPr>
                <w:rFonts w:asciiTheme="minorHAnsi" w:eastAsia="Times New Roman" w:hAnsiTheme="minorHAnsi" w:cs="Arial"/>
                <w:b/>
                <w:bCs/>
                <w:lang w:val="hr-HR"/>
              </w:rPr>
            </w:pPr>
            <w:r w:rsidRPr="00D76846">
              <w:rPr>
                <w:rFonts w:cs="Calibri"/>
                <w:b/>
                <w:bCs/>
              </w:rPr>
              <w:t xml:space="preserve">Profit for the </w:t>
            </w:r>
            <w:r>
              <w:rPr>
                <w:rFonts w:cs="Calibri"/>
                <w:b/>
                <w:bCs/>
              </w:rPr>
              <w:t>period</w:t>
            </w:r>
          </w:p>
        </w:tc>
        <w:tc>
          <w:tcPr>
            <w:tcW w:w="515" w:type="pct"/>
            <w:vAlign w:val="center"/>
          </w:tcPr>
          <w:p w14:paraId="72F7A5CE" w14:textId="77777777" w:rsidR="008766BA" w:rsidRPr="00E351B8" w:rsidRDefault="008766BA" w:rsidP="008766BA">
            <w:pPr>
              <w:tabs>
                <w:tab w:val="right" w:pos="1202"/>
              </w:tabs>
              <w:spacing w:after="0" w:line="240" w:lineRule="exact"/>
              <w:jc w:val="center"/>
              <w:outlineLvl w:val="0"/>
              <w:rPr>
                <w:rFonts w:asciiTheme="minorHAnsi" w:eastAsia="Times New Roman" w:hAnsiTheme="minorHAnsi" w:cs="Arial"/>
                <w:b/>
                <w:bCs/>
                <w:lang w:val="hr-HR"/>
              </w:rPr>
            </w:pPr>
          </w:p>
        </w:tc>
        <w:tc>
          <w:tcPr>
            <w:tcW w:w="736" w:type="pct"/>
            <w:tcBorders>
              <w:left w:val="nil"/>
              <w:bottom w:val="single" w:sz="12" w:space="0" w:color="auto"/>
              <w:right w:val="nil"/>
            </w:tcBorders>
            <w:shd w:val="clear" w:color="auto" w:fill="auto"/>
            <w:vAlign w:val="bottom"/>
          </w:tcPr>
          <w:p w14:paraId="21A0CFBE" w14:textId="28CBFAB5" w:rsidR="008766BA" w:rsidRPr="00E351B8" w:rsidRDefault="008766BA" w:rsidP="008766BA">
            <w:pPr>
              <w:tabs>
                <w:tab w:val="right" w:pos="1202"/>
              </w:tabs>
              <w:spacing w:after="0" w:line="240" w:lineRule="auto"/>
              <w:jc w:val="right"/>
              <w:outlineLvl w:val="0"/>
              <w:rPr>
                <w:rFonts w:ascii="Arial" w:eastAsia="Times New Roman" w:hAnsi="Arial" w:cs="Arial"/>
                <w:b/>
                <w:bCs/>
                <w:sz w:val="19"/>
                <w:szCs w:val="20"/>
              </w:rPr>
            </w:pPr>
            <w:r w:rsidRPr="00CE0613">
              <w:rPr>
                <w:rFonts w:cs="Arial"/>
                <w:b/>
                <w:bCs/>
              </w:rPr>
              <w:t>46</w:t>
            </w:r>
            <w:r>
              <w:rPr>
                <w:rFonts w:cs="Arial"/>
                <w:b/>
                <w:bCs/>
              </w:rPr>
              <w:t>,</w:t>
            </w:r>
            <w:r w:rsidRPr="00CE0613">
              <w:rPr>
                <w:rFonts w:cs="Arial"/>
                <w:b/>
                <w:bCs/>
              </w:rPr>
              <w:t>155</w:t>
            </w:r>
          </w:p>
        </w:tc>
        <w:tc>
          <w:tcPr>
            <w:tcW w:w="736" w:type="pct"/>
            <w:tcBorders>
              <w:left w:val="nil"/>
              <w:bottom w:val="single" w:sz="12" w:space="0" w:color="auto"/>
              <w:right w:val="nil"/>
            </w:tcBorders>
            <w:shd w:val="clear" w:color="auto" w:fill="auto"/>
            <w:vAlign w:val="bottom"/>
          </w:tcPr>
          <w:p w14:paraId="314E61E6" w14:textId="2B9DCB8C" w:rsidR="008766BA" w:rsidRPr="00E351B8" w:rsidRDefault="008766BA" w:rsidP="008766BA">
            <w:pPr>
              <w:tabs>
                <w:tab w:val="right" w:pos="1202"/>
              </w:tabs>
              <w:spacing w:after="0" w:line="240" w:lineRule="auto"/>
              <w:jc w:val="right"/>
              <w:outlineLvl w:val="0"/>
              <w:rPr>
                <w:rFonts w:ascii="Arial" w:eastAsia="Times New Roman" w:hAnsi="Arial" w:cs="Arial"/>
                <w:b/>
                <w:bCs/>
                <w:sz w:val="19"/>
                <w:szCs w:val="20"/>
              </w:rPr>
            </w:pPr>
            <w:r w:rsidRPr="00CE0613">
              <w:rPr>
                <w:rFonts w:cs="Arial"/>
                <w:b/>
                <w:bCs/>
              </w:rPr>
              <w:t>175</w:t>
            </w:r>
            <w:r>
              <w:rPr>
                <w:rFonts w:cs="Arial"/>
                <w:b/>
                <w:bCs/>
              </w:rPr>
              <w:t>,</w:t>
            </w:r>
            <w:r w:rsidRPr="00CE0613">
              <w:rPr>
                <w:rFonts w:cs="Arial"/>
                <w:b/>
                <w:bCs/>
              </w:rPr>
              <w:t>511</w:t>
            </w:r>
          </w:p>
        </w:tc>
        <w:tc>
          <w:tcPr>
            <w:tcW w:w="662" w:type="pct"/>
            <w:tcBorders>
              <w:top w:val="single" w:sz="4" w:space="0" w:color="auto"/>
              <w:left w:val="nil"/>
              <w:bottom w:val="single" w:sz="12" w:space="0" w:color="auto"/>
              <w:right w:val="nil"/>
            </w:tcBorders>
            <w:shd w:val="clear" w:color="auto" w:fill="auto"/>
            <w:vAlign w:val="bottom"/>
          </w:tcPr>
          <w:p w14:paraId="270E7F09" w14:textId="32758C14" w:rsidR="008766BA" w:rsidRPr="00E351B8" w:rsidRDefault="008766BA" w:rsidP="008766BA">
            <w:pPr>
              <w:tabs>
                <w:tab w:val="right" w:pos="1202"/>
              </w:tabs>
              <w:spacing w:after="0" w:line="240" w:lineRule="auto"/>
              <w:jc w:val="right"/>
              <w:outlineLvl w:val="0"/>
              <w:rPr>
                <w:rFonts w:ascii="Arial" w:eastAsia="Times New Roman" w:hAnsi="Arial" w:cs="Arial"/>
                <w:b/>
                <w:bCs/>
                <w:sz w:val="19"/>
                <w:szCs w:val="20"/>
              </w:rPr>
            </w:pPr>
            <w:r>
              <w:rPr>
                <w:rFonts w:asciiTheme="minorHAnsi" w:hAnsiTheme="minorHAnsi" w:cs="Arial"/>
                <w:b/>
                <w:bCs/>
              </w:rPr>
              <w:t>51,686</w:t>
            </w:r>
          </w:p>
        </w:tc>
        <w:tc>
          <w:tcPr>
            <w:tcW w:w="735" w:type="pct"/>
            <w:tcBorders>
              <w:top w:val="single" w:sz="4" w:space="0" w:color="auto"/>
              <w:left w:val="nil"/>
              <w:bottom w:val="single" w:sz="12" w:space="0" w:color="auto"/>
              <w:right w:val="nil"/>
            </w:tcBorders>
            <w:shd w:val="clear" w:color="auto" w:fill="auto"/>
            <w:vAlign w:val="bottom"/>
          </w:tcPr>
          <w:p w14:paraId="722C44DF" w14:textId="20434C61" w:rsidR="008766BA" w:rsidRPr="00E351B8" w:rsidRDefault="008766BA" w:rsidP="008766BA">
            <w:pPr>
              <w:tabs>
                <w:tab w:val="right" w:pos="1202"/>
              </w:tabs>
              <w:spacing w:after="0" w:line="240" w:lineRule="auto"/>
              <w:jc w:val="right"/>
              <w:outlineLvl w:val="0"/>
              <w:rPr>
                <w:rFonts w:ascii="Arial" w:eastAsia="Times New Roman" w:hAnsi="Arial" w:cs="Arial"/>
                <w:b/>
                <w:bCs/>
                <w:sz w:val="19"/>
                <w:szCs w:val="20"/>
              </w:rPr>
            </w:pPr>
            <w:r>
              <w:rPr>
                <w:rFonts w:asciiTheme="minorHAnsi" w:hAnsiTheme="minorHAnsi" w:cs="Arial"/>
                <w:b/>
                <w:bCs/>
              </w:rPr>
              <w:t>158,921</w:t>
            </w:r>
          </w:p>
        </w:tc>
      </w:tr>
      <w:tr w:rsidR="008766BA" w:rsidRPr="00E351B8" w14:paraId="221BC546" w14:textId="77777777" w:rsidTr="004C0B45">
        <w:trPr>
          <w:cantSplit/>
          <w:trHeight w:val="70"/>
        </w:trPr>
        <w:tc>
          <w:tcPr>
            <w:tcW w:w="1616" w:type="pct"/>
            <w:vAlign w:val="bottom"/>
          </w:tcPr>
          <w:p w14:paraId="6DD7B201" w14:textId="77777777" w:rsidR="008766BA" w:rsidRPr="00E351B8" w:rsidRDefault="008766BA" w:rsidP="008766BA">
            <w:pPr>
              <w:keepNext/>
              <w:keepLines/>
              <w:tabs>
                <w:tab w:val="decimal" w:pos="1202"/>
              </w:tabs>
              <w:spacing w:after="0" w:line="240" w:lineRule="exact"/>
              <w:rPr>
                <w:rFonts w:asciiTheme="minorHAnsi" w:eastAsia="Times New Roman" w:hAnsiTheme="minorHAnsi" w:cs="Arial"/>
                <w:b/>
                <w:position w:val="4"/>
                <w:u w:val="thick"/>
                <w:lang w:val="hr-HR"/>
              </w:rPr>
            </w:pPr>
          </w:p>
        </w:tc>
        <w:tc>
          <w:tcPr>
            <w:tcW w:w="515" w:type="pct"/>
            <w:vAlign w:val="center"/>
          </w:tcPr>
          <w:p w14:paraId="06D4BB84" w14:textId="77777777" w:rsidR="008766BA" w:rsidRPr="00E351B8" w:rsidRDefault="008766BA" w:rsidP="008766BA">
            <w:pPr>
              <w:keepNext/>
              <w:keepLines/>
              <w:spacing w:after="0" w:line="240" w:lineRule="exact"/>
              <w:jc w:val="center"/>
              <w:rPr>
                <w:rFonts w:asciiTheme="minorHAnsi" w:eastAsia="Times New Roman" w:hAnsiTheme="minorHAnsi" w:cs="Arial"/>
                <w:b/>
                <w:position w:val="4"/>
                <w:u w:val="thick"/>
                <w:lang w:val="hr-HR"/>
              </w:rPr>
            </w:pPr>
          </w:p>
        </w:tc>
        <w:tc>
          <w:tcPr>
            <w:tcW w:w="736" w:type="pct"/>
            <w:tcBorders>
              <w:top w:val="single" w:sz="12" w:space="0" w:color="auto"/>
            </w:tcBorders>
            <w:vAlign w:val="bottom"/>
          </w:tcPr>
          <w:p w14:paraId="2A2A60D7" w14:textId="77777777" w:rsidR="008766BA" w:rsidRPr="00E351B8" w:rsidRDefault="008766BA" w:rsidP="008766BA">
            <w:pPr>
              <w:keepNext/>
              <w:keepLines/>
              <w:spacing w:after="0" w:line="240" w:lineRule="exact"/>
              <w:jc w:val="right"/>
              <w:rPr>
                <w:rFonts w:asciiTheme="minorHAnsi" w:eastAsia="Times New Roman" w:hAnsiTheme="minorHAnsi" w:cs="Arial"/>
                <w:b/>
                <w:position w:val="4"/>
                <w:u w:val="thick"/>
                <w:lang w:val="hr-HR"/>
              </w:rPr>
            </w:pPr>
          </w:p>
        </w:tc>
        <w:tc>
          <w:tcPr>
            <w:tcW w:w="736" w:type="pct"/>
            <w:tcBorders>
              <w:top w:val="single" w:sz="12" w:space="0" w:color="auto"/>
            </w:tcBorders>
            <w:vAlign w:val="bottom"/>
          </w:tcPr>
          <w:p w14:paraId="36D1E030" w14:textId="77777777" w:rsidR="008766BA" w:rsidRPr="00E351B8" w:rsidRDefault="008766BA" w:rsidP="008766BA">
            <w:pPr>
              <w:keepNext/>
              <w:keepLines/>
              <w:spacing w:after="0" w:line="240" w:lineRule="exact"/>
              <w:jc w:val="right"/>
              <w:rPr>
                <w:rFonts w:asciiTheme="minorHAnsi" w:eastAsia="Times New Roman" w:hAnsiTheme="minorHAnsi" w:cs="Arial"/>
                <w:b/>
                <w:position w:val="4"/>
                <w:u w:val="thick"/>
                <w:lang w:val="hr-HR"/>
              </w:rPr>
            </w:pPr>
          </w:p>
        </w:tc>
        <w:tc>
          <w:tcPr>
            <w:tcW w:w="662" w:type="pct"/>
            <w:tcBorders>
              <w:top w:val="single" w:sz="12" w:space="0" w:color="auto"/>
            </w:tcBorders>
            <w:vAlign w:val="bottom"/>
          </w:tcPr>
          <w:p w14:paraId="2C92613D" w14:textId="77777777" w:rsidR="008766BA" w:rsidRPr="00E351B8" w:rsidRDefault="008766BA" w:rsidP="008766BA">
            <w:pPr>
              <w:keepNext/>
              <w:keepLines/>
              <w:spacing w:after="0" w:line="240" w:lineRule="exact"/>
              <w:jc w:val="right"/>
              <w:rPr>
                <w:rFonts w:asciiTheme="minorHAnsi" w:eastAsia="Times New Roman" w:hAnsiTheme="minorHAnsi" w:cs="Arial"/>
                <w:b/>
                <w:position w:val="4"/>
                <w:u w:val="thick"/>
                <w:lang w:val="hr-HR"/>
              </w:rPr>
            </w:pPr>
          </w:p>
        </w:tc>
        <w:tc>
          <w:tcPr>
            <w:tcW w:w="735" w:type="pct"/>
            <w:tcBorders>
              <w:top w:val="single" w:sz="12" w:space="0" w:color="auto"/>
            </w:tcBorders>
            <w:vAlign w:val="bottom"/>
          </w:tcPr>
          <w:p w14:paraId="06A925CC" w14:textId="77777777" w:rsidR="008766BA" w:rsidRPr="00E351B8" w:rsidRDefault="008766BA" w:rsidP="008766BA">
            <w:pPr>
              <w:keepNext/>
              <w:keepLines/>
              <w:spacing w:after="0" w:line="240" w:lineRule="exact"/>
              <w:jc w:val="right"/>
              <w:rPr>
                <w:rFonts w:asciiTheme="minorHAnsi" w:eastAsia="Times New Roman" w:hAnsiTheme="minorHAnsi" w:cs="Arial"/>
                <w:b/>
                <w:position w:val="4"/>
                <w:u w:val="thick"/>
                <w:lang w:val="hr-HR"/>
              </w:rPr>
            </w:pPr>
          </w:p>
        </w:tc>
      </w:tr>
      <w:tr w:rsidR="008766BA" w:rsidRPr="00E351B8" w14:paraId="7C8ED6A3" w14:textId="77777777" w:rsidTr="004C0B45">
        <w:trPr>
          <w:cantSplit/>
          <w:trHeight w:val="70"/>
        </w:trPr>
        <w:tc>
          <w:tcPr>
            <w:tcW w:w="1616" w:type="pct"/>
            <w:vAlign w:val="bottom"/>
          </w:tcPr>
          <w:p w14:paraId="1E6BD0D2" w14:textId="77777777" w:rsidR="008766BA" w:rsidRPr="00E351B8" w:rsidRDefault="008766BA" w:rsidP="008766BA">
            <w:pPr>
              <w:keepNext/>
              <w:keepLines/>
              <w:tabs>
                <w:tab w:val="decimal" w:pos="1202"/>
              </w:tabs>
              <w:spacing w:after="0" w:line="240" w:lineRule="exact"/>
              <w:rPr>
                <w:rFonts w:asciiTheme="minorHAnsi" w:eastAsia="Times New Roman" w:hAnsiTheme="minorHAnsi" w:cs="Arial"/>
                <w:b/>
                <w:position w:val="4"/>
                <w:u w:val="thick"/>
                <w:lang w:val="hr-HR"/>
              </w:rPr>
            </w:pPr>
          </w:p>
        </w:tc>
        <w:tc>
          <w:tcPr>
            <w:tcW w:w="515" w:type="pct"/>
            <w:vAlign w:val="center"/>
          </w:tcPr>
          <w:p w14:paraId="2936B938" w14:textId="77777777" w:rsidR="008766BA" w:rsidRPr="00E351B8" w:rsidRDefault="008766BA" w:rsidP="008766BA">
            <w:pPr>
              <w:keepNext/>
              <w:keepLines/>
              <w:spacing w:after="0" w:line="240" w:lineRule="exact"/>
              <w:jc w:val="center"/>
              <w:rPr>
                <w:rFonts w:asciiTheme="minorHAnsi" w:eastAsia="Times New Roman" w:hAnsiTheme="minorHAnsi" w:cs="Arial"/>
                <w:b/>
                <w:position w:val="4"/>
                <w:u w:val="thick"/>
                <w:lang w:val="hr-HR"/>
              </w:rPr>
            </w:pPr>
          </w:p>
        </w:tc>
        <w:tc>
          <w:tcPr>
            <w:tcW w:w="736" w:type="pct"/>
            <w:vAlign w:val="bottom"/>
          </w:tcPr>
          <w:p w14:paraId="336C6446" w14:textId="77777777" w:rsidR="008766BA" w:rsidRPr="00E351B8" w:rsidRDefault="008766BA" w:rsidP="008766BA">
            <w:pPr>
              <w:keepNext/>
              <w:keepLines/>
              <w:spacing w:after="0" w:line="240" w:lineRule="exact"/>
              <w:jc w:val="right"/>
              <w:rPr>
                <w:rFonts w:asciiTheme="minorHAnsi" w:eastAsia="Times New Roman" w:hAnsiTheme="minorHAnsi" w:cs="Arial"/>
                <w:b/>
                <w:position w:val="4"/>
                <w:u w:val="thick"/>
                <w:lang w:val="hr-HR"/>
              </w:rPr>
            </w:pPr>
          </w:p>
        </w:tc>
        <w:tc>
          <w:tcPr>
            <w:tcW w:w="736" w:type="pct"/>
            <w:vAlign w:val="bottom"/>
          </w:tcPr>
          <w:p w14:paraId="604F9D7B" w14:textId="77777777" w:rsidR="008766BA" w:rsidRPr="00E351B8" w:rsidRDefault="008766BA" w:rsidP="008766BA">
            <w:pPr>
              <w:keepNext/>
              <w:keepLines/>
              <w:spacing w:after="0" w:line="240" w:lineRule="exact"/>
              <w:jc w:val="right"/>
              <w:rPr>
                <w:rFonts w:asciiTheme="minorHAnsi" w:eastAsia="Times New Roman" w:hAnsiTheme="minorHAnsi" w:cs="Arial"/>
                <w:b/>
                <w:position w:val="4"/>
                <w:u w:val="thick"/>
                <w:lang w:val="hr-HR"/>
              </w:rPr>
            </w:pPr>
          </w:p>
        </w:tc>
        <w:tc>
          <w:tcPr>
            <w:tcW w:w="662" w:type="pct"/>
            <w:vAlign w:val="bottom"/>
          </w:tcPr>
          <w:p w14:paraId="69595F88" w14:textId="77777777" w:rsidR="008766BA" w:rsidRPr="00E351B8" w:rsidRDefault="008766BA" w:rsidP="008766BA">
            <w:pPr>
              <w:keepNext/>
              <w:keepLines/>
              <w:spacing w:after="0" w:line="240" w:lineRule="exact"/>
              <w:jc w:val="right"/>
              <w:rPr>
                <w:rFonts w:asciiTheme="minorHAnsi" w:eastAsia="Times New Roman" w:hAnsiTheme="minorHAnsi" w:cs="Arial"/>
                <w:b/>
                <w:position w:val="4"/>
                <w:u w:val="thick"/>
                <w:lang w:val="hr-HR"/>
              </w:rPr>
            </w:pPr>
          </w:p>
        </w:tc>
        <w:tc>
          <w:tcPr>
            <w:tcW w:w="735" w:type="pct"/>
            <w:vAlign w:val="bottom"/>
          </w:tcPr>
          <w:p w14:paraId="24B2DB2B" w14:textId="77777777" w:rsidR="008766BA" w:rsidRPr="00E351B8" w:rsidRDefault="008766BA" w:rsidP="008766BA">
            <w:pPr>
              <w:keepNext/>
              <w:keepLines/>
              <w:spacing w:after="0" w:line="240" w:lineRule="exact"/>
              <w:jc w:val="right"/>
              <w:rPr>
                <w:rFonts w:asciiTheme="minorHAnsi" w:eastAsia="Times New Roman" w:hAnsiTheme="minorHAnsi" w:cs="Arial"/>
                <w:b/>
                <w:position w:val="4"/>
                <w:u w:val="thick"/>
                <w:lang w:val="hr-HR"/>
              </w:rPr>
            </w:pPr>
          </w:p>
        </w:tc>
      </w:tr>
      <w:tr w:rsidR="008766BA" w:rsidRPr="00E351B8" w14:paraId="22F1FED3" w14:textId="77777777" w:rsidTr="004C0B45">
        <w:trPr>
          <w:cantSplit/>
          <w:trHeight w:val="299"/>
        </w:trPr>
        <w:tc>
          <w:tcPr>
            <w:tcW w:w="1616" w:type="pct"/>
            <w:vAlign w:val="bottom"/>
          </w:tcPr>
          <w:p w14:paraId="0ECD1923" w14:textId="77777777" w:rsidR="008766BA" w:rsidRPr="00E351B8" w:rsidRDefault="008766BA" w:rsidP="008766BA">
            <w:pPr>
              <w:keepNext/>
              <w:keepLines/>
              <w:tabs>
                <w:tab w:val="decimal" w:pos="1202"/>
              </w:tabs>
              <w:spacing w:after="0" w:line="240" w:lineRule="exact"/>
              <w:rPr>
                <w:rFonts w:asciiTheme="minorHAnsi" w:eastAsia="Times New Roman" w:hAnsiTheme="minorHAnsi" w:cs="Arial"/>
                <w:b/>
                <w:position w:val="4"/>
                <w:lang w:val="hr-HR"/>
              </w:rPr>
            </w:pPr>
            <w:r w:rsidRPr="00D76846">
              <w:rPr>
                <w:rFonts w:cs="Calibri"/>
                <w:b/>
                <w:bCs/>
              </w:rPr>
              <w:t>Attributable to:</w:t>
            </w:r>
          </w:p>
        </w:tc>
        <w:tc>
          <w:tcPr>
            <w:tcW w:w="515" w:type="pct"/>
            <w:vAlign w:val="center"/>
          </w:tcPr>
          <w:p w14:paraId="6D4A192C" w14:textId="77777777" w:rsidR="008766BA" w:rsidRPr="00E351B8" w:rsidRDefault="008766BA" w:rsidP="008766BA">
            <w:pPr>
              <w:keepNext/>
              <w:keepLines/>
              <w:spacing w:after="0" w:line="240" w:lineRule="exact"/>
              <w:jc w:val="center"/>
              <w:rPr>
                <w:rFonts w:asciiTheme="minorHAnsi" w:eastAsia="Times New Roman" w:hAnsiTheme="minorHAnsi" w:cs="Arial"/>
                <w:b/>
                <w:position w:val="4"/>
                <w:u w:val="thick"/>
                <w:lang w:val="hr-HR"/>
              </w:rPr>
            </w:pPr>
          </w:p>
        </w:tc>
        <w:tc>
          <w:tcPr>
            <w:tcW w:w="736" w:type="pct"/>
            <w:vAlign w:val="bottom"/>
          </w:tcPr>
          <w:p w14:paraId="4EB4956F" w14:textId="77777777" w:rsidR="008766BA" w:rsidRPr="00E351B8" w:rsidRDefault="008766BA" w:rsidP="008766BA">
            <w:pPr>
              <w:keepNext/>
              <w:keepLines/>
              <w:spacing w:after="0" w:line="240" w:lineRule="exact"/>
              <w:jc w:val="right"/>
              <w:rPr>
                <w:rFonts w:asciiTheme="minorHAnsi" w:eastAsia="Times New Roman" w:hAnsiTheme="minorHAnsi" w:cs="Arial"/>
                <w:b/>
                <w:position w:val="4"/>
                <w:u w:val="thick"/>
                <w:lang w:val="hr-HR"/>
              </w:rPr>
            </w:pPr>
          </w:p>
        </w:tc>
        <w:tc>
          <w:tcPr>
            <w:tcW w:w="736" w:type="pct"/>
            <w:vAlign w:val="bottom"/>
          </w:tcPr>
          <w:p w14:paraId="00D5A542" w14:textId="77777777" w:rsidR="008766BA" w:rsidRPr="00E351B8" w:rsidRDefault="008766BA" w:rsidP="008766BA">
            <w:pPr>
              <w:keepNext/>
              <w:keepLines/>
              <w:spacing w:after="0" w:line="240" w:lineRule="exact"/>
              <w:jc w:val="right"/>
              <w:rPr>
                <w:rFonts w:asciiTheme="minorHAnsi" w:eastAsia="Times New Roman" w:hAnsiTheme="minorHAnsi" w:cs="Arial"/>
                <w:b/>
                <w:position w:val="4"/>
                <w:u w:val="thick"/>
                <w:lang w:val="hr-HR"/>
              </w:rPr>
            </w:pPr>
          </w:p>
        </w:tc>
        <w:tc>
          <w:tcPr>
            <w:tcW w:w="662" w:type="pct"/>
            <w:vAlign w:val="bottom"/>
          </w:tcPr>
          <w:p w14:paraId="1F3197F7" w14:textId="77777777" w:rsidR="008766BA" w:rsidRPr="00E351B8" w:rsidRDefault="008766BA" w:rsidP="008766BA">
            <w:pPr>
              <w:keepNext/>
              <w:keepLines/>
              <w:spacing w:after="0" w:line="240" w:lineRule="exact"/>
              <w:jc w:val="right"/>
              <w:rPr>
                <w:rFonts w:asciiTheme="minorHAnsi" w:eastAsia="Times New Roman" w:hAnsiTheme="minorHAnsi" w:cs="Arial"/>
                <w:b/>
                <w:position w:val="4"/>
                <w:u w:val="thick"/>
                <w:lang w:val="hr-HR"/>
              </w:rPr>
            </w:pPr>
          </w:p>
        </w:tc>
        <w:tc>
          <w:tcPr>
            <w:tcW w:w="735" w:type="pct"/>
            <w:vAlign w:val="bottom"/>
          </w:tcPr>
          <w:p w14:paraId="4C9FA10B" w14:textId="77777777" w:rsidR="008766BA" w:rsidRPr="00E351B8" w:rsidRDefault="008766BA" w:rsidP="008766BA">
            <w:pPr>
              <w:keepNext/>
              <w:keepLines/>
              <w:spacing w:after="0" w:line="240" w:lineRule="exact"/>
              <w:jc w:val="right"/>
              <w:rPr>
                <w:rFonts w:asciiTheme="minorHAnsi" w:eastAsia="Times New Roman" w:hAnsiTheme="minorHAnsi" w:cs="Arial"/>
                <w:b/>
                <w:position w:val="4"/>
                <w:u w:val="thick"/>
                <w:lang w:val="hr-HR"/>
              </w:rPr>
            </w:pPr>
          </w:p>
        </w:tc>
      </w:tr>
      <w:tr w:rsidR="008766BA" w:rsidRPr="00E351B8" w14:paraId="5D64FB58" w14:textId="77777777" w:rsidTr="004C0B45">
        <w:trPr>
          <w:cantSplit/>
          <w:trHeight w:hRule="exact" w:val="346"/>
        </w:trPr>
        <w:tc>
          <w:tcPr>
            <w:tcW w:w="1616" w:type="pct"/>
            <w:vAlign w:val="bottom"/>
          </w:tcPr>
          <w:p w14:paraId="38C99BF3" w14:textId="77777777" w:rsidR="008766BA" w:rsidRPr="008F63C3" w:rsidRDefault="008766BA" w:rsidP="008766BA">
            <w:pPr>
              <w:keepNext/>
              <w:keepLines/>
              <w:tabs>
                <w:tab w:val="decimal" w:pos="1202"/>
              </w:tabs>
              <w:spacing w:after="0" w:line="240" w:lineRule="exact"/>
              <w:rPr>
                <w:rFonts w:asciiTheme="minorHAnsi" w:eastAsia="Times New Roman" w:hAnsiTheme="minorHAnsi" w:cs="Arial"/>
                <w:b/>
                <w:position w:val="4"/>
                <w:lang w:val="hr-HR"/>
              </w:rPr>
            </w:pPr>
            <w:r w:rsidRPr="00584AE9">
              <w:rPr>
                <w:rFonts w:cs="Calibri"/>
                <w:b/>
                <w:bCs/>
              </w:rPr>
              <w:t>Equity holders of the parent</w:t>
            </w:r>
          </w:p>
        </w:tc>
        <w:tc>
          <w:tcPr>
            <w:tcW w:w="515" w:type="pct"/>
            <w:vAlign w:val="center"/>
          </w:tcPr>
          <w:p w14:paraId="29709511" w14:textId="77777777" w:rsidR="008766BA" w:rsidRPr="00E351B8" w:rsidRDefault="008766BA" w:rsidP="008766BA">
            <w:pPr>
              <w:keepNext/>
              <w:keepLines/>
              <w:spacing w:after="0" w:line="240" w:lineRule="exact"/>
              <w:jc w:val="center"/>
              <w:rPr>
                <w:rFonts w:asciiTheme="minorHAnsi" w:eastAsia="Times New Roman" w:hAnsiTheme="minorHAnsi" w:cs="Arial"/>
                <w:b/>
                <w:position w:val="4"/>
                <w:lang w:val="hr-HR"/>
              </w:rPr>
            </w:pPr>
          </w:p>
        </w:tc>
        <w:tc>
          <w:tcPr>
            <w:tcW w:w="736" w:type="pct"/>
            <w:tcBorders>
              <w:left w:val="nil"/>
              <w:bottom w:val="single" w:sz="12" w:space="0" w:color="auto"/>
              <w:right w:val="nil"/>
            </w:tcBorders>
            <w:shd w:val="clear" w:color="auto" w:fill="auto"/>
            <w:vAlign w:val="bottom"/>
          </w:tcPr>
          <w:p w14:paraId="5F137435" w14:textId="738F2216" w:rsidR="008766BA" w:rsidRPr="00E351B8" w:rsidRDefault="008766BA" w:rsidP="008766BA">
            <w:pPr>
              <w:tabs>
                <w:tab w:val="right" w:pos="1202"/>
              </w:tabs>
              <w:spacing w:after="0" w:line="240" w:lineRule="auto"/>
              <w:jc w:val="right"/>
              <w:outlineLvl w:val="0"/>
              <w:rPr>
                <w:rFonts w:ascii="Arial" w:eastAsia="Times New Roman" w:hAnsi="Arial" w:cs="Arial"/>
                <w:b/>
                <w:bCs/>
                <w:sz w:val="19"/>
                <w:szCs w:val="20"/>
              </w:rPr>
            </w:pPr>
            <w:r w:rsidRPr="00CE0613">
              <w:rPr>
                <w:rFonts w:cs="Arial"/>
                <w:b/>
                <w:bCs/>
              </w:rPr>
              <w:t>46</w:t>
            </w:r>
            <w:r>
              <w:rPr>
                <w:rFonts w:cs="Arial"/>
                <w:b/>
                <w:bCs/>
              </w:rPr>
              <w:t>,</w:t>
            </w:r>
            <w:r w:rsidRPr="00CE0613">
              <w:rPr>
                <w:rFonts w:cs="Arial"/>
                <w:b/>
                <w:bCs/>
              </w:rPr>
              <w:t>155</w:t>
            </w:r>
          </w:p>
        </w:tc>
        <w:tc>
          <w:tcPr>
            <w:tcW w:w="736" w:type="pct"/>
            <w:tcBorders>
              <w:left w:val="nil"/>
              <w:bottom w:val="single" w:sz="12" w:space="0" w:color="auto"/>
              <w:right w:val="nil"/>
            </w:tcBorders>
            <w:shd w:val="clear" w:color="auto" w:fill="auto"/>
            <w:vAlign w:val="bottom"/>
          </w:tcPr>
          <w:p w14:paraId="085DF697" w14:textId="1A153385" w:rsidR="008766BA" w:rsidRPr="00E351B8" w:rsidRDefault="008766BA" w:rsidP="008766BA">
            <w:pPr>
              <w:tabs>
                <w:tab w:val="right" w:pos="1202"/>
              </w:tabs>
              <w:spacing w:after="0" w:line="240" w:lineRule="auto"/>
              <w:jc w:val="right"/>
              <w:outlineLvl w:val="0"/>
              <w:rPr>
                <w:rFonts w:ascii="Arial" w:eastAsia="Times New Roman" w:hAnsi="Arial" w:cs="Arial"/>
                <w:b/>
                <w:bCs/>
                <w:sz w:val="19"/>
                <w:szCs w:val="20"/>
              </w:rPr>
            </w:pPr>
            <w:r w:rsidRPr="00CE0613">
              <w:rPr>
                <w:rFonts w:cs="Arial"/>
                <w:b/>
                <w:bCs/>
              </w:rPr>
              <w:t>175</w:t>
            </w:r>
            <w:r>
              <w:rPr>
                <w:rFonts w:cs="Arial"/>
                <w:b/>
                <w:bCs/>
              </w:rPr>
              <w:t>,</w:t>
            </w:r>
            <w:r w:rsidRPr="00CE0613">
              <w:rPr>
                <w:rFonts w:cs="Arial"/>
                <w:b/>
                <w:bCs/>
              </w:rPr>
              <w:t>511</w:t>
            </w:r>
          </w:p>
        </w:tc>
        <w:tc>
          <w:tcPr>
            <w:tcW w:w="662" w:type="pct"/>
            <w:tcBorders>
              <w:left w:val="nil"/>
              <w:bottom w:val="single" w:sz="12" w:space="0" w:color="auto"/>
              <w:right w:val="nil"/>
            </w:tcBorders>
            <w:shd w:val="clear" w:color="auto" w:fill="auto"/>
            <w:vAlign w:val="bottom"/>
          </w:tcPr>
          <w:p w14:paraId="17C9B076" w14:textId="15A25BE7" w:rsidR="008766BA" w:rsidRPr="00E351B8" w:rsidRDefault="008766BA" w:rsidP="008766BA">
            <w:pPr>
              <w:tabs>
                <w:tab w:val="right" w:pos="1202"/>
              </w:tabs>
              <w:spacing w:after="0" w:line="240" w:lineRule="auto"/>
              <w:jc w:val="right"/>
              <w:outlineLvl w:val="0"/>
              <w:rPr>
                <w:rFonts w:ascii="Arial" w:eastAsia="Times New Roman" w:hAnsi="Arial" w:cs="Arial"/>
                <w:b/>
                <w:bCs/>
                <w:sz w:val="19"/>
                <w:szCs w:val="20"/>
              </w:rPr>
            </w:pPr>
            <w:r>
              <w:rPr>
                <w:rFonts w:asciiTheme="minorHAnsi" w:hAnsiTheme="minorHAnsi" w:cs="Arial"/>
                <w:b/>
                <w:bCs/>
              </w:rPr>
              <w:t>51,686</w:t>
            </w:r>
          </w:p>
        </w:tc>
        <w:tc>
          <w:tcPr>
            <w:tcW w:w="735" w:type="pct"/>
            <w:tcBorders>
              <w:left w:val="nil"/>
              <w:bottom w:val="single" w:sz="12" w:space="0" w:color="auto"/>
              <w:right w:val="nil"/>
            </w:tcBorders>
            <w:shd w:val="clear" w:color="auto" w:fill="auto"/>
            <w:vAlign w:val="bottom"/>
          </w:tcPr>
          <w:p w14:paraId="2F835BC9" w14:textId="0AD41276" w:rsidR="008766BA" w:rsidRPr="00E351B8" w:rsidRDefault="008766BA" w:rsidP="008766BA">
            <w:pPr>
              <w:tabs>
                <w:tab w:val="right" w:pos="1202"/>
              </w:tabs>
              <w:spacing w:after="0" w:line="240" w:lineRule="auto"/>
              <w:jc w:val="right"/>
              <w:outlineLvl w:val="0"/>
              <w:rPr>
                <w:rFonts w:ascii="Arial" w:eastAsia="Times New Roman" w:hAnsi="Arial" w:cs="Arial"/>
                <w:b/>
                <w:bCs/>
                <w:sz w:val="19"/>
                <w:szCs w:val="20"/>
              </w:rPr>
            </w:pPr>
            <w:r>
              <w:rPr>
                <w:rFonts w:asciiTheme="minorHAnsi" w:hAnsiTheme="minorHAnsi" w:cs="Arial"/>
                <w:b/>
                <w:bCs/>
              </w:rPr>
              <w:t>158,921</w:t>
            </w:r>
          </w:p>
        </w:tc>
      </w:tr>
      <w:tr w:rsidR="00E442F7" w:rsidRPr="00E351B8" w14:paraId="66B93892" w14:textId="77777777" w:rsidTr="004C0B45">
        <w:trPr>
          <w:cantSplit/>
          <w:trHeight w:hRule="exact" w:val="113"/>
        </w:trPr>
        <w:tc>
          <w:tcPr>
            <w:tcW w:w="1616" w:type="pct"/>
          </w:tcPr>
          <w:p w14:paraId="060B4A32" w14:textId="77777777" w:rsidR="00E442F7" w:rsidRPr="00E351B8" w:rsidRDefault="00E442F7" w:rsidP="004C0B45">
            <w:pPr>
              <w:keepNext/>
              <w:keepLines/>
              <w:tabs>
                <w:tab w:val="decimal" w:pos="1202"/>
              </w:tabs>
              <w:spacing w:after="0" w:line="240" w:lineRule="exact"/>
              <w:rPr>
                <w:rFonts w:asciiTheme="minorHAnsi" w:eastAsia="Times New Roman" w:hAnsiTheme="minorHAnsi" w:cs="Arial"/>
                <w:b/>
                <w:position w:val="4"/>
                <w:lang w:val="hr-HR"/>
              </w:rPr>
            </w:pPr>
          </w:p>
        </w:tc>
        <w:tc>
          <w:tcPr>
            <w:tcW w:w="515" w:type="pct"/>
          </w:tcPr>
          <w:p w14:paraId="7A2A10DD" w14:textId="77777777" w:rsidR="00E442F7" w:rsidRPr="00E351B8" w:rsidRDefault="00E442F7" w:rsidP="004C0B45">
            <w:pPr>
              <w:keepNext/>
              <w:keepLines/>
              <w:spacing w:after="0" w:line="240" w:lineRule="exact"/>
              <w:jc w:val="center"/>
              <w:rPr>
                <w:rFonts w:asciiTheme="minorHAnsi" w:eastAsia="Times New Roman" w:hAnsiTheme="minorHAnsi" w:cs="Arial"/>
                <w:b/>
                <w:position w:val="4"/>
                <w:u w:val="thick"/>
                <w:lang w:val="hr-HR"/>
              </w:rPr>
            </w:pPr>
          </w:p>
        </w:tc>
        <w:tc>
          <w:tcPr>
            <w:tcW w:w="736" w:type="pct"/>
            <w:tcBorders>
              <w:top w:val="single" w:sz="12" w:space="0" w:color="auto"/>
            </w:tcBorders>
            <w:vAlign w:val="bottom"/>
          </w:tcPr>
          <w:p w14:paraId="3AD5F109" w14:textId="77777777" w:rsidR="00E442F7" w:rsidRPr="00E351B8" w:rsidRDefault="00E442F7" w:rsidP="004C0B45">
            <w:pPr>
              <w:keepNext/>
              <w:keepLines/>
              <w:spacing w:after="0" w:line="240" w:lineRule="exact"/>
              <w:jc w:val="right"/>
              <w:rPr>
                <w:rFonts w:asciiTheme="minorHAnsi" w:eastAsia="Times New Roman" w:hAnsiTheme="minorHAnsi" w:cs="Arial"/>
                <w:b/>
                <w:spacing w:val="-2"/>
                <w:position w:val="4"/>
                <w:u w:val="thick"/>
                <w:lang w:val="hr-HR"/>
              </w:rPr>
            </w:pPr>
            <w:r w:rsidRPr="00E351B8">
              <w:rPr>
                <w:rFonts w:asciiTheme="minorHAnsi" w:eastAsia="Times New Roman" w:hAnsiTheme="minorHAnsi" w:cs="Arial"/>
                <w:b/>
                <w:position w:val="4"/>
                <w:u w:val="thick"/>
                <w:lang w:val="hr-HR"/>
              </w:rPr>
              <w:t>____________</w:t>
            </w:r>
          </w:p>
        </w:tc>
        <w:tc>
          <w:tcPr>
            <w:tcW w:w="736" w:type="pct"/>
            <w:tcBorders>
              <w:top w:val="single" w:sz="12" w:space="0" w:color="auto"/>
            </w:tcBorders>
            <w:vAlign w:val="bottom"/>
          </w:tcPr>
          <w:p w14:paraId="3C8CBEC3" w14:textId="77777777" w:rsidR="00E442F7" w:rsidRPr="00E351B8" w:rsidRDefault="00E442F7" w:rsidP="004C0B45">
            <w:pPr>
              <w:keepNext/>
              <w:keepLines/>
              <w:spacing w:after="0" w:line="240" w:lineRule="exact"/>
              <w:jc w:val="right"/>
              <w:rPr>
                <w:rFonts w:asciiTheme="minorHAnsi" w:eastAsia="Times New Roman" w:hAnsiTheme="minorHAnsi" w:cs="Arial"/>
                <w:b/>
                <w:spacing w:val="-2"/>
                <w:position w:val="4"/>
                <w:u w:val="thick"/>
                <w:lang w:val="hr-HR"/>
              </w:rPr>
            </w:pPr>
            <w:r w:rsidRPr="00E351B8">
              <w:rPr>
                <w:rFonts w:asciiTheme="minorHAnsi" w:eastAsia="Times New Roman" w:hAnsiTheme="minorHAnsi" w:cs="Arial"/>
                <w:b/>
                <w:position w:val="4"/>
                <w:u w:val="thick"/>
                <w:lang w:val="hr-HR"/>
              </w:rPr>
              <w:t>____________</w:t>
            </w:r>
          </w:p>
        </w:tc>
        <w:tc>
          <w:tcPr>
            <w:tcW w:w="662" w:type="pct"/>
            <w:tcBorders>
              <w:top w:val="single" w:sz="12" w:space="0" w:color="auto"/>
            </w:tcBorders>
          </w:tcPr>
          <w:p w14:paraId="7E7F062B" w14:textId="77777777" w:rsidR="00E442F7" w:rsidRPr="00E351B8" w:rsidRDefault="00E442F7" w:rsidP="004C0B45">
            <w:pPr>
              <w:keepNext/>
              <w:keepLines/>
              <w:spacing w:after="0" w:line="240" w:lineRule="exact"/>
              <w:jc w:val="right"/>
              <w:rPr>
                <w:rFonts w:asciiTheme="minorHAnsi" w:eastAsia="Times New Roman" w:hAnsiTheme="minorHAnsi" w:cs="Arial"/>
                <w:b/>
                <w:position w:val="4"/>
                <w:u w:val="thick"/>
                <w:lang w:val="hr-HR"/>
              </w:rPr>
            </w:pPr>
          </w:p>
        </w:tc>
        <w:tc>
          <w:tcPr>
            <w:tcW w:w="735" w:type="pct"/>
            <w:tcBorders>
              <w:top w:val="single" w:sz="12" w:space="0" w:color="auto"/>
            </w:tcBorders>
          </w:tcPr>
          <w:p w14:paraId="6A1C9CD3" w14:textId="77777777" w:rsidR="00E442F7" w:rsidRPr="00E351B8" w:rsidRDefault="00E442F7" w:rsidP="004C0B45">
            <w:pPr>
              <w:keepNext/>
              <w:keepLines/>
              <w:spacing w:after="0" w:line="240" w:lineRule="exact"/>
              <w:jc w:val="right"/>
              <w:rPr>
                <w:rFonts w:asciiTheme="minorHAnsi" w:eastAsia="Times New Roman" w:hAnsiTheme="minorHAnsi" w:cs="Arial"/>
                <w:b/>
                <w:position w:val="4"/>
                <w:u w:val="thick"/>
                <w:lang w:val="hr-HR"/>
              </w:rPr>
            </w:pPr>
          </w:p>
        </w:tc>
      </w:tr>
    </w:tbl>
    <w:p w14:paraId="6ABC24C9" w14:textId="77777777" w:rsidR="001E3EF9" w:rsidRPr="0034501D" w:rsidRDefault="001E3EF9" w:rsidP="00C4266C">
      <w:pPr>
        <w:keepNext/>
        <w:spacing w:after="0" w:line="240" w:lineRule="auto"/>
        <w:jc w:val="both"/>
        <w:rPr>
          <w:rFonts w:eastAsia="Times New Roman" w:cs="Arial"/>
          <w:sz w:val="24"/>
          <w:szCs w:val="24"/>
        </w:rPr>
      </w:pPr>
    </w:p>
    <w:p w14:paraId="4EDC1480" w14:textId="77777777" w:rsidR="00530019" w:rsidRDefault="00530019">
      <w:pPr>
        <w:spacing w:after="0" w:line="240" w:lineRule="auto"/>
        <w:rPr>
          <w:rFonts w:asciiTheme="minorHAnsi" w:eastAsia="Times New Roman" w:hAnsiTheme="minorHAnsi" w:cs="Arial"/>
        </w:rPr>
      </w:pPr>
    </w:p>
    <w:p w14:paraId="6C0B5866" w14:textId="77777777" w:rsidR="00530019" w:rsidRDefault="00530019">
      <w:pPr>
        <w:spacing w:after="0" w:line="240" w:lineRule="auto"/>
        <w:rPr>
          <w:rFonts w:asciiTheme="minorHAnsi" w:eastAsia="Times New Roman" w:hAnsiTheme="minorHAnsi" w:cs="Arial"/>
        </w:rPr>
      </w:pPr>
    </w:p>
    <w:p w14:paraId="0A4B4276" w14:textId="77777777" w:rsidR="00D97C38" w:rsidRPr="0034501D" w:rsidRDefault="00D658D4" w:rsidP="00166751">
      <w:pPr>
        <w:spacing w:after="0" w:line="240" w:lineRule="auto"/>
        <w:jc w:val="both"/>
        <w:rPr>
          <w:rFonts w:eastAsia="Times New Roman" w:cs="Arial"/>
          <w:sz w:val="19"/>
          <w:szCs w:val="20"/>
        </w:rPr>
      </w:pPr>
      <w:r w:rsidRPr="00D658D4">
        <w:rPr>
          <w:rFonts w:asciiTheme="minorHAnsi" w:eastAsia="Times New Roman" w:hAnsiTheme="minorHAnsi" w:cs="Arial"/>
        </w:rPr>
        <w:t>The accompanying selected notes are an integral part of th</w:t>
      </w:r>
      <w:r w:rsidR="00D0597B">
        <w:rPr>
          <w:rFonts w:asciiTheme="minorHAnsi" w:eastAsia="Times New Roman" w:hAnsiTheme="minorHAnsi" w:cs="Arial"/>
        </w:rPr>
        <w:t>i</w:t>
      </w:r>
      <w:r w:rsidR="00E1249B">
        <w:rPr>
          <w:rFonts w:asciiTheme="minorHAnsi" w:eastAsia="Times New Roman" w:hAnsiTheme="minorHAnsi" w:cs="Arial"/>
        </w:rPr>
        <w:t>s</w:t>
      </w:r>
      <w:r w:rsidRPr="00D658D4">
        <w:rPr>
          <w:rFonts w:asciiTheme="minorHAnsi" w:eastAsia="Times New Roman" w:hAnsiTheme="minorHAnsi" w:cs="Arial"/>
        </w:rPr>
        <w:t xml:space="preserve"> </w:t>
      </w:r>
      <w:r w:rsidR="00D0597B">
        <w:rPr>
          <w:rFonts w:asciiTheme="minorHAnsi" w:eastAsia="Times New Roman" w:hAnsiTheme="minorHAnsi" w:cs="Arial"/>
        </w:rPr>
        <w:t>Statement of Profit or Loss</w:t>
      </w:r>
      <w:r w:rsidRPr="00D658D4">
        <w:rPr>
          <w:rFonts w:asciiTheme="minorHAnsi" w:eastAsia="Times New Roman" w:hAnsiTheme="minorHAnsi" w:cs="Arial"/>
        </w:rPr>
        <w:t>.</w:t>
      </w:r>
    </w:p>
    <w:p w14:paraId="044150A8" w14:textId="77777777" w:rsidR="00D97C38" w:rsidRPr="0034501D" w:rsidRDefault="00D97C38" w:rsidP="00C4266C">
      <w:pPr>
        <w:spacing w:after="0" w:line="240" w:lineRule="auto"/>
      </w:pPr>
    </w:p>
    <w:p w14:paraId="58C001D0" w14:textId="77777777" w:rsidR="001A0990" w:rsidRDefault="001A0990" w:rsidP="00C4266C">
      <w:pPr>
        <w:spacing w:after="0" w:line="240" w:lineRule="auto"/>
      </w:pPr>
    </w:p>
    <w:p w14:paraId="59127F06" w14:textId="77777777" w:rsidR="00093814" w:rsidRDefault="00093814" w:rsidP="00C4266C">
      <w:pPr>
        <w:spacing w:after="0" w:line="240" w:lineRule="auto"/>
        <w:sectPr w:rsidR="00093814" w:rsidSect="00947CB7">
          <w:headerReference w:type="first" r:id="rId27"/>
          <w:footerReference w:type="first" r:id="rId28"/>
          <w:pgSz w:w="11906" w:h="16838" w:code="9"/>
          <w:pgMar w:top="1276" w:right="1133" w:bottom="1417" w:left="1417" w:header="709" w:footer="709" w:gutter="0"/>
          <w:cols w:space="708"/>
          <w:titlePg/>
          <w:docGrid w:linePitch="360"/>
        </w:sectPr>
      </w:pPr>
    </w:p>
    <w:p w14:paraId="359FE9B0" w14:textId="77777777" w:rsidR="001E3EF9" w:rsidRDefault="001E3EF9" w:rsidP="00C4266C">
      <w:pPr>
        <w:spacing w:after="0" w:line="240" w:lineRule="auto"/>
      </w:pPr>
    </w:p>
    <w:p w14:paraId="52D4DCFA" w14:textId="77777777" w:rsidR="00295272" w:rsidRPr="0034501D" w:rsidRDefault="00295272" w:rsidP="00C4266C">
      <w:pPr>
        <w:spacing w:after="0" w:line="240" w:lineRule="auto"/>
      </w:pPr>
    </w:p>
    <w:tbl>
      <w:tblPr>
        <w:tblW w:w="5379" w:type="pct"/>
        <w:tblInd w:w="-426" w:type="dxa"/>
        <w:tblLayout w:type="fixed"/>
        <w:tblCellMar>
          <w:left w:w="119" w:type="dxa"/>
          <w:right w:w="119" w:type="dxa"/>
        </w:tblCellMar>
        <w:tblLook w:val="0000" w:firstRow="0" w:lastRow="0" w:firstColumn="0" w:lastColumn="0" w:noHBand="0" w:noVBand="0"/>
      </w:tblPr>
      <w:tblGrid>
        <w:gridCol w:w="4683"/>
        <w:gridCol w:w="1276"/>
        <w:gridCol w:w="1417"/>
        <w:gridCol w:w="1274"/>
        <w:gridCol w:w="1415"/>
      </w:tblGrid>
      <w:tr w:rsidR="006E7BE7" w:rsidRPr="0034501D" w14:paraId="2B0C0F4F" w14:textId="77777777" w:rsidTr="004C0B45">
        <w:trPr>
          <w:trHeight w:hRule="exact" w:val="340"/>
        </w:trPr>
        <w:tc>
          <w:tcPr>
            <w:tcW w:w="2326" w:type="pct"/>
            <w:vAlign w:val="center"/>
          </w:tcPr>
          <w:p w14:paraId="4B2E4D11" w14:textId="77777777" w:rsidR="006E7BE7" w:rsidRPr="0034501D" w:rsidRDefault="006E7BE7" w:rsidP="004C0B45">
            <w:pPr>
              <w:tabs>
                <w:tab w:val="right" w:pos="1202"/>
              </w:tabs>
              <w:spacing w:after="0" w:line="240" w:lineRule="auto"/>
              <w:jc w:val="center"/>
              <w:outlineLvl w:val="0"/>
              <w:rPr>
                <w:rFonts w:eastAsia="Times New Roman" w:cs="Arial"/>
                <w:b/>
                <w:bCs/>
              </w:rPr>
            </w:pPr>
          </w:p>
        </w:tc>
        <w:tc>
          <w:tcPr>
            <w:tcW w:w="1338" w:type="pct"/>
            <w:gridSpan w:val="2"/>
          </w:tcPr>
          <w:p w14:paraId="4A4F74BE" w14:textId="77777777" w:rsidR="006E7BE7" w:rsidRDefault="006E7BE7" w:rsidP="006E7BE7">
            <w:pPr>
              <w:spacing w:after="0" w:line="280" w:lineRule="exact"/>
              <w:jc w:val="center"/>
              <w:outlineLvl w:val="0"/>
              <w:rPr>
                <w:rFonts w:eastAsia="Times New Roman" w:cs="Arial"/>
                <w:b/>
                <w:bCs/>
              </w:rPr>
            </w:pPr>
            <w:r w:rsidRPr="00E351B8">
              <w:rPr>
                <w:rFonts w:asciiTheme="minorHAnsi" w:eastAsia="Times New Roman" w:hAnsiTheme="minorHAnsi" w:cs="Arial"/>
                <w:b/>
                <w:bCs/>
                <w:lang w:val="hr-HR"/>
              </w:rPr>
              <w:t>201</w:t>
            </w:r>
            <w:r>
              <w:rPr>
                <w:rFonts w:asciiTheme="minorHAnsi" w:eastAsia="Times New Roman" w:hAnsiTheme="minorHAnsi" w:cs="Arial"/>
                <w:b/>
                <w:bCs/>
                <w:lang w:val="hr-HR"/>
              </w:rPr>
              <w:t>7</w:t>
            </w:r>
          </w:p>
        </w:tc>
        <w:tc>
          <w:tcPr>
            <w:tcW w:w="1336" w:type="pct"/>
            <w:gridSpan w:val="2"/>
          </w:tcPr>
          <w:p w14:paraId="653E889E" w14:textId="77777777" w:rsidR="006E7BE7" w:rsidRPr="0034501D" w:rsidRDefault="006E7BE7" w:rsidP="006E7BE7">
            <w:pPr>
              <w:spacing w:after="0" w:line="280" w:lineRule="exact"/>
              <w:jc w:val="center"/>
              <w:outlineLvl w:val="0"/>
              <w:rPr>
                <w:rFonts w:eastAsia="Times New Roman" w:cs="Arial"/>
                <w:b/>
                <w:bCs/>
              </w:rPr>
            </w:pPr>
            <w:r w:rsidRPr="00E351B8">
              <w:rPr>
                <w:rFonts w:asciiTheme="minorHAnsi" w:eastAsia="Times New Roman" w:hAnsiTheme="minorHAnsi" w:cs="Arial"/>
                <w:b/>
                <w:bCs/>
                <w:lang w:val="hr-HR"/>
              </w:rPr>
              <w:t>201</w:t>
            </w:r>
            <w:r>
              <w:rPr>
                <w:rFonts w:asciiTheme="minorHAnsi" w:eastAsia="Times New Roman" w:hAnsiTheme="minorHAnsi" w:cs="Arial"/>
                <w:b/>
                <w:bCs/>
                <w:lang w:val="hr-HR"/>
              </w:rPr>
              <w:t>6</w:t>
            </w:r>
          </w:p>
        </w:tc>
      </w:tr>
      <w:tr w:rsidR="006E7BE7" w:rsidRPr="0034501D" w14:paraId="09B3005C" w14:textId="77777777" w:rsidTr="004C0B45">
        <w:trPr>
          <w:trHeight w:val="544"/>
        </w:trPr>
        <w:tc>
          <w:tcPr>
            <w:tcW w:w="2326" w:type="pct"/>
            <w:vAlign w:val="center"/>
          </w:tcPr>
          <w:p w14:paraId="08B4117C" w14:textId="77777777" w:rsidR="006E7BE7" w:rsidRPr="0034501D" w:rsidRDefault="006E7BE7" w:rsidP="004C0B45">
            <w:pPr>
              <w:tabs>
                <w:tab w:val="right" w:pos="1202"/>
              </w:tabs>
              <w:spacing w:after="0" w:line="240" w:lineRule="auto"/>
              <w:jc w:val="center"/>
              <w:outlineLvl w:val="0"/>
              <w:rPr>
                <w:rFonts w:eastAsia="Times New Roman" w:cs="Arial"/>
                <w:b/>
                <w:bCs/>
              </w:rPr>
            </w:pPr>
          </w:p>
        </w:tc>
        <w:tc>
          <w:tcPr>
            <w:tcW w:w="634" w:type="pct"/>
            <w:vAlign w:val="center"/>
          </w:tcPr>
          <w:p w14:paraId="7F0F75F8" w14:textId="77777777" w:rsidR="006E7BE7" w:rsidRPr="008832E2" w:rsidRDefault="006E7BE7" w:rsidP="004C0B45">
            <w:pPr>
              <w:spacing w:after="0" w:line="301" w:lineRule="exact"/>
              <w:jc w:val="center"/>
              <w:outlineLvl w:val="0"/>
              <w:rPr>
                <w:rFonts w:eastAsia="Times New Roman" w:cs="Calibri"/>
                <w:bCs/>
              </w:rPr>
            </w:pPr>
            <w:r w:rsidRPr="008832E2">
              <w:rPr>
                <w:rFonts w:eastAsia="Times New Roman" w:cs="Calibri"/>
                <w:bCs/>
              </w:rPr>
              <w:t>Current period</w:t>
            </w:r>
          </w:p>
          <w:p w14:paraId="0F2DA694" w14:textId="04D4FC3B" w:rsidR="006E7BE7" w:rsidRDefault="005414B8" w:rsidP="004C0B45">
            <w:pPr>
              <w:spacing w:after="0" w:line="280" w:lineRule="exact"/>
              <w:jc w:val="center"/>
              <w:outlineLvl w:val="0"/>
              <w:rPr>
                <w:rFonts w:eastAsia="Times New Roman" w:cs="Arial"/>
                <w:b/>
                <w:bCs/>
              </w:rPr>
            </w:pPr>
            <w:r w:rsidRPr="005414B8">
              <w:rPr>
                <w:rFonts w:cs="Calibri"/>
                <w:bCs/>
              </w:rPr>
              <w:t>July 1 – September 30</w:t>
            </w:r>
          </w:p>
        </w:tc>
        <w:tc>
          <w:tcPr>
            <w:tcW w:w="704" w:type="pct"/>
            <w:vAlign w:val="center"/>
          </w:tcPr>
          <w:p w14:paraId="655C3C6D" w14:textId="77777777" w:rsidR="006E7BE7" w:rsidRPr="008832E2" w:rsidRDefault="006E7BE7" w:rsidP="004C0B45">
            <w:pPr>
              <w:spacing w:after="0" w:line="301" w:lineRule="exact"/>
              <w:jc w:val="center"/>
              <w:outlineLvl w:val="0"/>
              <w:rPr>
                <w:rFonts w:eastAsia="Times New Roman" w:cs="Calibri"/>
                <w:bCs/>
              </w:rPr>
            </w:pPr>
            <w:r w:rsidRPr="008832E2">
              <w:rPr>
                <w:rFonts w:eastAsia="Times New Roman" w:cs="Calibri"/>
                <w:bCs/>
              </w:rPr>
              <w:t>Cumulatively</w:t>
            </w:r>
          </w:p>
          <w:p w14:paraId="1E871870" w14:textId="79DD2238" w:rsidR="006E7BE7" w:rsidRDefault="006E7BE7" w:rsidP="004C0B45">
            <w:pPr>
              <w:spacing w:after="0" w:line="280" w:lineRule="exact"/>
              <w:jc w:val="center"/>
              <w:outlineLvl w:val="0"/>
              <w:rPr>
                <w:rFonts w:eastAsia="Times New Roman" w:cs="Arial"/>
                <w:b/>
                <w:bCs/>
              </w:rPr>
            </w:pPr>
            <w:r w:rsidRPr="008832E2">
              <w:rPr>
                <w:rFonts w:cs="Calibri"/>
                <w:bCs/>
              </w:rPr>
              <w:t xml:space="preserve">January 1 – </w:t>
            </w:r>
            <w:r w:rsidR="005414B8" w:rsidRPr="005414B8">
              <w:rPr>
                <w:rFonts w:cs="Calibri"/>
                <w:bCs/>
              </w:rPr>
              <w:t>September</w:t>
            </w:r>
            <w:r w:rsidRPr="008832E2">
              <w:rPr>
                <w:rFonts w:cs="Calibri"/>
                <w:bCs/>
              </w:rPr>
              <w:t xml:space="preserve"> 30</w:t>
            </w:r>
          </w:p>
        </w:tc>
        <w:tc>
          <w:tcPr>
            <w:tcW w:w="633" w:type="pct"/>
            <w:vAlign w:val="center"/>
          </w:tcPr>
          <w:p w14:paraId="3FC13750" w14:textId="77777777" w:rsidR="006E7BE7" w:rsidRPr="008832E2" w:rsidRDefault="006E7BE7" w:rsidP="004C0B45">
            <w:pPr>
              <w:spacing w:after="0" w:line="301" w:lineRule="exact"/>
              <w:jc w:val="center"/>
              <w:outlineLvl w:val="0"/>
              <w:rPr>
                <w:rFonts w:eastAsia="Times New Roman" w:cs="Calibri"/>
                <w:bCs/>
              </w:rPr>
            </w:pPr>
            <w:r w:rsidRPr="008832E2">
              <w:rPr>
                <w:rFonts w:eastAsia="Times New Roman" w:cs="Calibri"/>
                <w:bCs/>
              </w:rPr>
              <w:t>Current period</w:t>
            </w:r>
          </w:p>
          <w:p w14:paraId="7273BB7F" w14:textId="3376C6CA" w:rsidR="006E7BE7" w:rsidDel="008F63C3" w:rsidRDefault="005414B8" w:rsidP="004C0B45">
            <w:pPr>
              <w:spacing w:after="0" w:line="280" w:lineRule="exact"/>
              <w:jc w:val="center"/>
              <w:outlineLvl w:val="0"/>
              <w:rPr>
                <w:rFonts w:eastAsia="Times New Roman" w:cs="Arial"/>
                <w:b/>
                <w:bCs/>
              </w:rPr>
            </w:pPr>
            <w:r w:rsidRPr="005414B8">
              <w:rPr>
                <w:rFonts w:cs="Calibri"/>
                <w:bCs/>
              </w:rPr>
              <w:t>July 1 – September 30</w:t>
            </w:r>
          </w:p>
        </w:tc>
        <w:tc>
          <w:tcPr>
            <w:tcW w:w="703" w:type="pct"/>
            <w:vAlign w:val="center"/>
          </w:tcPr>
          <w:p w14:paraId="5CECE342" w14:textId="77777777" w:rsidR="006E7BE7" w:rsidRPr="008832E2" w:rsidRDefault="006E7BE7" w:rsidP="004C0B45">
            <w:pPr>
              <w:spacing w:after="0" w:line="301" w:lineRule="exact"/>
              <w:jc w:val="center"/>
              <w:outlineLvl w:val="0"/>
              <w:rPr>
                <w:rFonts w:eastAsia="Times New Roman" w:cs="Calibri"/>
                <w:bCs/>
              </w:rPr>
            </w:pPr>
            <w:r w:rsidRPr="008832E2">
              <w:rPr>
                <w:rFonts w:eastAsia="Times New Roman" w:cs="Calibri"/>
                <w:bCs/>
              </w:rPr>
              <w:t>Cumulatively</w:t>
            </w:r>
          </w:p>
          <w:p w14:paraId="06D73904" w14:textId="6EB50461" w:rsidR="006E7BE7" w:rsidDel="008F63C3" w:rsidRDefault="006E7BE7" w:rsidP="004C0B45">
            <w:pPr>
              <w:spacing w:after="0" w:line="280" w:lineRule="exact"/>
              <w:jc w:val="center"/>
              <w:outlineLvl w:val="0"/>
              <w:rPr>
                <w:rFonts w:eastAsia="Times New Roman" w:cs="Arial"/>
                <w:b/>
                <w:bCs/>
              </w:rPr>
            </w:pPr>
            <w:r w:rsidRPr="008832E2">
              <w:rPr>
                <w:rFonts w:cs="Calibri"/>
                <w:bCs/>
              </w:rPr>
              <w:t xml:space="preserve">January 1 – </w:t>
            </w:r>
            <w:r w:rsidR="005414B8" w:rsidRPr="005414B8">
              <w:rPr>
                <w:rFonts w:cs="Calibri"/>
                <w:bCs/>
              </w:rPr>
              <w:t>September</w:t>
            </w:r>
            <w:r w:rsidRPr="008832E2">
              <w:rPr>
                <w:rFonts w:cs="Calibri"/>
                <w:bCs/>
              </w:rPr>
              <w:t xml:space="preserve"> 30</w:t>
            </w:r>
          </w:p>
        </w:tc>
      </w:tr>
      <w:tr w:rsidR="006E7BE7" w:rsidRPr="0034501D" w14:paraId="1FD1D53F" w14:textId="77777777" w:rsidTr="004C0B45">
        <w:trPr>
          <w:trHeight w:val="354"/>
        </w:trPr>
        <w:tc>
          <w:tcPr>
            <w:tcW w:w="2326" w:type="pct"/>
            <w:vAlign w:val="center"/>
          </w:tcPr>
          <w:p w14:paraId="33217BDA" w14:textId="77777777" w:rsidR="006E7BE7" w:rsidRPr="0034501D" w:rsidRDefault="006E7BE7" w:rsidP="004C0B45">
            <w:pPr>
              <w:tabs>
                <w:tab w:val="right" w:pos="1202"/>
              </w:tabs>
              <w:spacing w:after="0" w:line="240" w:lineRule="auto"/>
              <w:jc w:val="center"/>
              <w:outlineLvl w:val="0"/>
              <w:rPr>
                <w:rFonts w:eastAsia="Times New Roman" w:cs="Arial"/>
                <w:b/>
                <w:bCs/>
              </w:rPr>
            </w:pPr>
          </w:p>
        </w:tc>
        <w:tc>
          <w:tcPr>
            <w:tcW w:w="634" w:type="pct"/>
          </w:tcPr>
          <w:p w14:paraId="2699170A" w14:textId="77777777" w:rsidR="006E7BE7" w:rsidRPr="0034501D" w:rsidRDefault="006E7BE7" w:rsidP="004C0B45">
            <w:pPr>
              <w:spacing w:after="0" w:line="240" w:lineRule="auto"/>
              <w:jc w:val="right"/>
              <w:outlineLvl w:val="0"/>
              <w:rPr>
                <w:rFonts w:eastAsia="Times New Roman" w:cs="Arial"/>
                <w:b/>
                <w:bCs/>
              </w:rPr>
            </w:pPr>
          </w:p>
        </w:tc>
        <w:tc>
          <w:tcPr>
            <w:tcW w:w="704" w:type="pct"/>
          </w:tcPr>
          <w:p w14:paraId="5A15A0FD" w14:textId="77777777" w:rsidR="006E7BE7" w:rsidRPr="0034501D" w:rsidRDefault="006E7BE7" w:rsidP="004C0B45">
            <w:pPr>
              <w:spacing w:after="0" w:line="240" w:lineRule="auto"/>
              <w:jc w:val="right"/>
              <w:outlineLvl w:val="0"/>
              <w:rPr>
                <w:rFonts w:eastAsia="Times New Roman" w:cs="Arial"/>
                <w:b/>
                <w:bCs/>
              </w:rPr>
            </w:pPr>
          </w:p>
        </w:tc>
        <w:tc>
          <w:tcPr>
            <w:tcW w:w="633" w:type="pct"/>
          </w:tcPr>
          <w:p w14:paraId="0ACDF942" w14:textId="77777777" w:rsidR="006E7BE7" w:rsidRPr="0034501D" w:rsidRDefault="006E7BE7" w:rsidP="004C0B45">
            <w:pPr>
              <w:spacing w:after="0" w:line="240" w:lineRule="auto"/>
              <w:jc w:val="right"/>
              <w:outlineLvl w:val="0"/>
              <w:rPr>
                <w:rFonts w:eastAsia="Times New Roman" w:cs="Arial"/>
                <w:b/>
                <w:bCs/>
              </w:rPr>
            </w:pPr>
          </w:p>
        </w:tc>
        <w:tc>
          <w:tcPr>
            <w:tcW w:w="703" w:type="pct"/>
          </w:tcPr>
          <w:p w14:paraId="1AE0094F" w14:textId="77777777" w:rsidR="006E7BE7" w:rsidRPr="0034501D" w:rsidRDefault="006E7BE7" w:rsidP="004C0B45">
            <w:pPr>
              <w:spacing w:after="0" w:line="240" w:lineRule="auto"/>
              <w:jc w:val="right"/>
              <w:outlineLvl w:val="0"/>
              <w:rPr>
                <w:rFonts w:eastAsia="Times New Roman" w:cs="Arial"/>
                <w:b/>
                <w:bCs/>
              </w:rPr>
            </w:pPr>
          </w:p>
        </w:tc>
      </w:tr>
      <w:tr w:rsidR="00F12CC3" w:rsidRPr="0034501D" w14:paraId="2F96A027" w14:textId="77777777" w:rsidTr="006B318F">
        <w:trPr>
          <w:trHeight w:val="345"/>
        </w:trPr>
        <w:tc>
          <w:tcPr>
            <w:tcW w:w="2326" w:type="pct"/>
            <w:vAlign w:val="bottom"/>
          </w:tcPr>
          <w:p w14:paraId="4FEE988B" w14:textId="4BA2615B" w:rsidR="00F12CC3" w:rsidRPr="0034501D" w:rsidRDefault="00F12CC3" w:rsidP="00F12CC3">
            <w:pPr>
              <w:tabs>
                <w:tab w:val="right" w:pos="1202"/>
              </w:tabs>
              <w:spacing w:after="0" w:line="280" w:lineRule="exact"/>
              <w:outlineLvl w:val="0"/>
              <w:rPr>
                <w:rFonts w:eastAsia="Times New Roman" w:cs="Arial"/>
                <w:b/>
                <w:bCs/>
              </w:rPr>
            </w:pPr>
            <w:r w:rsidRPr="0034501D">
              <w:rPr>
                <w:rFonts w:cs="Arial"/>
                <w:b/>
                <w:bCs/>
              </w:rPr>
              <w:t xml:space="preserve">Profit for the </w:t>
            </w:r>
            <w:r>
              <w:rPr>
                <w:rFonts w:cs="Arial"/>
                <w:b/>
                <w:bCs/>
              </w:rPr>
              <w:t>period</w:t>
            </w:r>
          </w:p>
        </w:tc>
        <w:tc>
          <w:tcPr>
            <w:tcW w:w="634" w:type="pct"/>
            <w:tcBorders>
              <w:left w:val="nil"/>
              <w:bottom w:val="single" w:sz="12" w:space="0" w:color="auto"/>
              <w:right w:val="nil"/>
            </w:tcBorders>
            <w:shd w:val="clear" w:color="auto" w:fill="auto"/>
            <w:vAlign w:val="bottom"/>
          </w:tcPr>
          <w:p w14:paraId="0F5EF15A" w14:textId="7ED90DC9" w:rsidR="00F12CC3" w:rsidRPr="004A59C4" w:rsidRDefault="00F12CC3" w:rsidP="00F12CC3">
            <w:pPr>
              <w:tabs>
                <w:tab w:val="right" w:pos="1202"/>
              </w:tabs>
              <w:spacing w:after="0" w:line="280" w:lineRule="exact"/>
              <w:jc w:val="right"/>
              <w:outlineLvl w:val="0"/>
              <w:rPr>
                <w:rFonts w:eastAsia="Times New Roman" w:cs="Arial"/>
                <w:b/>
                <w:bCs/>
              </w:rPr>
            </w:pPr>
            <w:r w:rsidRPr="00CE0613">
              <w:rPr>
                <w:rFonts w:eastAsia="Times New Roman" w:cs="Arial"/>
                <w:b/>
                <w:bCs/>
              </w:rPr>
              <w:t>46</w:t>
            </w:r>
            <w:r>
              <w:rPr>
                <w:rFonts w:eastAsia="Times New Roman" w:cs="Arial"/>
                <w:b/>
                <w:bCs/>
              </w:rPr>
              <w:t>,</w:t>
            </w:r>
            <w:r w:rsidRPr="00CE0613">
              <w:rPr>
                <w:rFonts w:eastAsia="Times New Roman" w:cs="Arial"/>
                <w:b/>
                <w:bCs/>
              </w:rPr>
              <w:t>155</w:t>
            </w:r>
          </w:p>
        </w:tc>
        <w:tc>
          <w:tcPr>
            <w:tcW w:w="704" w:type="pct"/>
            <w:tcBorders>
              <w:left w:val="nil"/>
              <w:bottom w:val="single" w:sz="12" w:space="0" w:color="auto"/>
              <w:right w:val="nil"/>
            </w:tcBorders>
            <w:shd w:val="clear" w:color="auto" w:fill="auto"/>
            <w:vAlign w:val="bottom"/>
          </w:tcPr>
          <w:p w14:paraId="485DCFE7" w14:textId="67F2C3B0" w:rsidR="00F12CC3" w:rsidRPr="004A59C4" w:rsidRDefault="00F12CC3" w:rsidP="00F12CC3">
            <w:pPr>
              <w:tabs>
                <w:tab w:val="right" w:pos="1202"/>
              </w:tabs>
              <w:spacing w:after="0" w:line="280" w:lineRule="exact"/>
              <w:jc w:val="right"/>
              <w:outlineLvl w:val="0"/>
              <w:rPr>
                <w:rFonts w:eastAsia="Times New Roman" w:cs="Arial"/>
                <w:b/>
                <w:bCs/>
              </w:rPr>
            </w:pPr>
            <w:r w:rsidRPr="00CE0613">
              <w:rPr>
                <w:rFonts w:eastAsia="Times New Roman" w:cs="Arial"/>
                <w:b/>
                <w:bCs/>
              </w:rPr>
              <w:t>175</w:t>
            </w:r>
            <w:r>
              <w:rPr>
                <w:rFonts w:eastAsia="Times New Roman" w:cs="Arial"/>
                <w:b/>
                <w:bCs/>
              </w:rPr>
              <w:t>,</w:t>
            </w:r>
            <w:r w:rsidRPr="00CE0613">
              <w:rPr>
                <w:rFonts w:eastAsia="Times New Roman" w:cs="Arial"/>
                <w:b/>
                <w:bCs/>
              </w:rPr>
              <w:t>511</w:t>
            </w:r>
          </w:p>
        </w:tc>
        <w:tc>
          <w:tcPr>
            <w:tcW w:w="633" w:type="pct"/>
            <w:tcBorders>
              <w:bottom w:val="single" w:sz="12" w:space="0" w:color="auto"/>
            </w:tcBorders>
            <w:shd w:val="clear" w:color="auto" w:fill="auto"/>
            <w:vAlign w:val="bottom"/>
          </w:tcPr>
          <w:p w14:paraId="51FDB253" w14:textId="606B8F0B" w:rsidR="00F12CC3" w:rsidRPr="004A59C4" w:rsidRDefault="00F12CC3" w:rsidP="00F12CC3">
            <w:pPr>
              <w:tabs>
                <w:tab w:val="right" w:pos="1202"/>
              </w:tabs>
              <w:spacing w:after="0" w:line="280" w:lineRule="exact"/>
              <w:jc w:val="right"/>
              <w:outlineLvl w:val="0"/>
              <w:rPr>
                <w:rFonts w:eastAsia="Times New Roman" w:cs="Arial"/>
                <w:b/>
                <w:bCs/>
              </w:rPr>
            </w:pPr>
            <w:r>
              <w:rPr>
                <w:rFonts w:eastAsia="Times New Roman" w:cs="Arial"/>
                <w:b/>
                <w:bCs/>
              </w:rPr>
              <w:t>51,686</w:t>
            </w:r>
          </w:p>
        </w:tc>
        <w:tc>
          <w:tcPr>
            <w:tcW w:w="703" w:type="pct"/>
            <w:tcBorders>
              <w:bottom w:val="single" w:sz="12" w:space="0" w:color="auto"/>
            </w:tcBorders>
            <w:shd w:val="clear" w:color="auto" w:fill="auto"/>
            <w:vAlign w:val="bottom"/>
          </w:tcPr>
          <w:p w14:paraId="0CAEF917" w14:textId="70060E65" w:rsidR="00F12CC3" w:rsidRPr="004A59C4" w:rsidRDefault="00F12CC3" w:rsidP="00F12CC3">
            <w:pPr>
              <w:tabs>
                <w:tab w:val="right" w:pos="1202"/>
              </w:tabs>
              <w:spacing w:after="0" w:line="280" w:lineRule="exact"/>
              <w:jc w:val="right"/>
              <w:outlineLvl w:val="0"/>
              <w:rPr>
                <w:rFonts w:eastAsia="Times New Roman" w:cs="Arial"/>
                <w:b/>
                <w:bCs/>
              </w:rPr>
            </w:pPr>
            <w:r>
              <w:rPr>
                <w:rFonts w:cs="Calibri"/>
                <w:b/>
                <w:bCs/>
              </w:rPr>
              <w:t>158,921</w:t>
            </w:r>
          </w:p>
        </w:tc>
      </w:tr>
      <w:tr w:rsidR="00F12CC3" w:rsidRPr="0034501D" w14:paraId="7EC541C0" w14:textId="77777777" w:rsidTr="004C0B45">
        <w:trPr>
          <w:trHeight w:val="111"/>
        </w:trPr>
        <w:tc>
          <w:tcPr>
            <w:tcW w:w="2326" w:type="pct"/>
            <w:vAlign w:val="bottom"/>
          </w:tcPr>
          <w:p w14:paraId="408AC5DE" w14:textId="77777777" w:rsidR="00F12CC3" w:rsidRPr="0034501D" w:rsidRDefault="00F12CC3" w:rsidP="00F12CC3">
            <w:pPr>
              <w:tabs>
                <w:tab w:val="right" w:pos="1202"/>
              </w:tabs>
              <w:spacing w:after="0" w:line="280" w:lineRule="exact"/>
              <w:outlineLvl w:val="0"/>
              <w:rPr>
                <w:rFonts w:cs="Arial"/>
                <w:b/>
                <w:bCs/>
              </w:rPr>
            </w:pPr>
          </w:p>
        </w:tc>
        <w:tc>
          <w:tcPr>
            <w:tcW w:w="634" w:type="pct"/>
            <w:tcBorders>
              <w:top w:val="single" w:sz="12" w:space="0" w:color="auto"/>
            </w:tcBorders>
            <w:vAlign w:val="bottom"/>
          </w:tcPr>
          <w:p w14:paraId="26D5BD5A" w14:textId="77777777" w:rsidR="00F12CC3" w:rsidRPr="004A59C4" w:rsidRDefault="00F12CC3" w:rsidP="00F12CC3">
            <w:pPr>
              <w:tabs>
                <w:tab w:val="right" w:pos="1202"/>
              </w:tabs>
              <w:spacing w:after="0" w:line="280" w:lineRule="exact"/>
              <w:jc w:val="right"/>
              <w:outlineLvl w:val="0"/>
              <w:rPr>
                <w:rFonts w:eastAsia="Times New Roman" w:cs="Arial"/>
                <w:b/>
                <w:bCs/>
              </w:rPr>
            </w:pPr>
          </w:p>
        </w:tc>
        <w:tc>
          <w:tcPr>
            <w:tcW w:w="704" w:type="pct"/>
            <w:tcBorders>
              <w:top w:val="single" w:sz="12" w:space="0" w:color="auto"/>
            </w:tcBorders>
            <w:vAlign w:val="bottom"/>
          </w:tcPr>
          <w:p w14:paraId="70CDE827" w14:textId="77777777" w:rsidR="00F12CC3" w:rsidRPr="004A59C4" w:rsidRDefault="00F12CC3" w:rsidP="00F12CC3">
            <w:pPr>
              <w:tabs>
                <w:tab w:val="right" w:pos="1202"/>
              </w:tabs>
              <w:spacing w:after="0" w:line="280" w:lineRule="exact"/>
              <w:jc w:val="right"/>
              <w:outlineLvl w:val="0"/>
              <w:rPr>
                <w:rFonts w:eastAsia="Times New Roman" w:cs="Arial"/>
                <w:b/>
                <w:bCs/>
              </w:rPr>
            </w:pPr>
          </w:p>
        </w:tc>
        <w:tc>
          <w:tcPr>
            <w:tcW w:w="633" w:type="pct"/>
            <w:tcBorders>
              <w:top w:val="single" w:sz="12" w:space="0" w:color="auto"/>
            </w:tcBorders>
            <w:vAlign w:val="bottom"/>
          </w:tcPr>
          <w:p w14:paraId="265024CB" w14:textId="77777777" w:rsidR="00F12CC3" w:rsidRPr="004A59C4" w:rsidRDefault="00F12CC3" w:rsidP="00F12CC3">
            <w:pPr>
              <w:tabs>
                <w:tab w:val="right" w:pos="1202"/>
              </w:tabs>
              <w:spacing w:after="0" w:line="280" w:lineRule="exact"/>
              <w:jc w:val="right"/>
              <w:outlineLvl w:val="0"/>
              <w:rPr>
                <w:rFonts w:eastAsia="Times New Roman" w:cs="Arial"/>
                <w:b/>
                <w:bCs/>
              </w:rPr>
            </w:pPr>
          </w:p>
        </w:tc>
        <w:tc>
          <w:tcPr>
            <w:tcW w:w="703" w:type="pct"/>
            <w:tcBorders>
              <w:top w:val="single" w:sz="12" w:space="0" w:color="auto"/>
            </w:tcBorders>
            <w:vAlign w:val="bottom"/>
          </w:tcPr>
          <w:p w14:paraId="6BA046B3" w14:textId="77777777" w:rsidR="00F12CC3" w:rsidRPr="004A59C4" w:rsidRDefault="00F12CC3" w:rsidP="00F12CC3">
            <w:pPr>
              <w:tabs>
                <w:tab w:val="right" w:pos="1202"/>
              </w:tabs>
              <w:spacing w:after="0" w:line="280" w:lineRule="exact"/>
              <w:jc w:val="right"/>
              <w:outlineLvl w:val="0"/>
              <w:rPr>
                <w:rFonts w:eastAsia="Times New Roman" w:cs="Arial"/>
                <w:b/>
                <w:bCs/>
              </w:rPr>
            </w:pPr>
          </w:p>
        </w:tc>
      </w:tr>
      <w:tr w:rsidR="00F12CC3" w:rsidRPr="0034501D" w14:paraId="3208458D" w14:textId="77777777" w:rsidTr="004C0B45">
        <w:trPr>
          <w:trHeight w:val="345"/>
        </w:trPr>
        <w:tc>
          <w:tcPr>
            <w:tcW w:w="2326" w:type="pct"/>
            <w:vAlign w:val="bottom"/>
          </w:tcPr>
          <w:p w14:paraId="70786559" w14:textId="77777777" w:rsidR="00F12CC3" w:rsidRPr="0034501D" w:rsidRDefault="00F12CC3" w:rsidP="00F12CC3">
            <w:pPr>
              <w:tabs>
                <w:tab w:val="right" w:pos="1202"/>
              </w:tabs>
              <w:spacing w:after="0" w:line="280" w:lineRule="exact"/>
              <w:outlineLvl w:val="0"/>
              <w:rPr>
                <w:rFonts w:eastAsia="Times New Roman" w:cs="Arial"/>
                <w:b/>
                <w:bCs/>
              </w:rPr>
            </w:pPr>
            <w:r w:rsidRPr="0034501D">
              <w:rPr>
                <w:rFonts w:eastAsia="Times New Roman" w:cs="Arial"/>
                <w:b/>
                <w:bCs/>
              </w:rPr>
              <w:t>Other comprehensive income</w:t>
            </w:r>
          </w:p>
        </w:tc>
        <w:tc>
          <w:tcPr>
            <w:tcW w:w="634" w:type="pct"/>
            <w:vAlign w:val="bottom"/>
          </w:tcPr>
          <w:p w14:paraId="55D4F83F" w14:textId="77777777" w:rsidR="00F12CC3" w:rsidRPr="0034501D" w:rsidRDefault="00F12CC3" w:rsidP="00F12CC3">
            <w:pPr>
              <w:tabs>
                <w:tab w:val="right" w:pos="1202"/>
              </w:tabs>
              <w:spacing w:after="0" w:line="280" w:lineRule="exact"/>
              <w:jc w:val="right"/>
              <w:outlineLvl w:val="0"/>
              <w:rPr>
                <w:rFonts w:eastAsia="Times New Roman" w:cs="Arial"/>
                <w:b/>
                <w:bCs/>
              </w:rPr>
            </w:pPr>
          </w:p>
        </w:tc>
        <w:tc>
          <w:tcPr>
            <w:tcW w:w="704" w:type="pct"/>
            <w:vAlign w:val="bottom"/>
          </w:tcPr>
          <w:p w14:paraId="66447EE6" w14:textId="77777777" w:rsidR="00F12CC3" w:rsidRPr="0034501D" w:rsidRDefault="00F12CC3" w:rsidP="00F12CC3">
            <w:pPr>
              <w:tabs>
                <w:tab w:val="right" w:pos="1202"/>
              </w:tabs>
              <w:spacing w:after="0" w:line="280" w:lineRule="exact"/>
              <w:jc w:val="right"/>
              <w:outlineLvl w:val="0"/>
              <w:rPr>
                <w:rFonts w:eastAsia="Times New Roman" w:cs="Arial"/>
                <w:b/>
                <w:bCs/>
              </w:rPr>
            </w:pPr>
          </w:p>
        </w:tc>
        <w:tc>
          <w:tcPr>
            <w:tcW w:w="633" w:type="pct"/>
            <w:vAlign w:val="bottom"/>
          </w:tcPr>
          <w:p w14:paraId="6CC51A9D" w14:textId="77777777" w:rsidR="00F12CC3" w:rsidRPr="0034501D" w:rsidRDefault="00F12CC3" w:rsidP="00F12CC3">
            <w:pPr>
              <w:tabs>
                <w:tab w:val="right" w:pos="1202"/>
              </w:tabs>
              <w:spacing w:after="0" w:line="280" w:lineRule="exact"/>
              <w:jc w:val="right"/>
              <w:outlineLvl w:val="0"/>
              <w:rPr>
                <w:rFonts w:eastAsia="Times New Roman" w:cs="Arial"/>
                <w:b/>
                <w:bCs/>
              </w:rPr>
            </w:pPr>
          </w:p>
        </w:tc>
        <w:tc>
          <w:tcPr>
            <w:tcW w:w="703" w:type="pct"/>
            <w:vAlign w:val="bottom"/>
          </w:tcPr>
          <w:p w14:paraId="609AE9CD" w14:textId="77777777" w:rsidR="00F12CC3" w:rsidRPr="0034501D" w:rsidRDefault="00F12CC3" w:rsidP="00F12CC3">
            <w:pPr>
              <w:tabs>
                <w:tab w:val="right" w:pos="1202"/>
              </w:tabs>
              <w:spacing w:after="0" w:line="280" w:lineRule="exact"/>
              <w:jc w:val="right"/>
              <w:outlineLvl w:val="0"/>
              <w:rPr>
                <w:rFonts w:eastAsia="Times New Roman" w:cs="Arial"/>
                <w:b/>
                <w:bCs/>
              </w:rPr>
            </w:pPr>
          </w:p>
        </w:tc>
      </w:tr>
      <w:tr w:rsidR="00F12CC3" w:rsidRPr="0034501D" w14:paraId="4FF908D6" w14:textId="77777777" w:rsidTr="004C0B45">
        <w:trPr>
          <w:trHeight w:val="191"/>
        </w:trPr>
        <w:tc>
          <w:tcPr>
            <w:tcW w:w="2326" w:type="pct"/>
          </w:tcPr>
          <w:p w14:paraId="0260F12B" w14:textId="77777777" w:rsidR="00F12CC3" w:rsidRPr="0034501D" w:rsidRDefault="00F12CC3" w:rsidP="00F12CC3">
            <w:pPr>
              <w:tabs>
                <w:tab w:val="right" w:pos="1202"/>
              </w:tabs>
              <w:spacing w:after="0" w:line="280" w:lineRule="exact"/>
              <w:outlineLvl w:val="0"/>
              <w:rPr>
                <w:rFonts w:eastAsia="Times New Roman" w:cs="Arial"/>
                <w:b/>
                <w:bCs/>
              </w:rPr>
            </w:pPr>
          </w:p>
        </w:tc>
        <w:tc>
          <w:tcPr>
            <w:tcW w:w="634" w:type="pct"/>
            <w:vAlign w:val="bottom"/>
          </w:tcPr>
          <w:p w14:paraId="5C10A1E9" w14:textId="77777777" w:rsidR="00F12CC3" w:rsidRPr="0034501D" w:rsidRDefault="00F12CC3" w:rsidP="00F12CC3">
            <w:pPr>
              <w:tabs>
                <w:tab w:val="right" w:pos="1202"/>
              </w:tabs>
              <w:spacing w:after="0" w:line="280" w:lineRule="exact"/>
              <w:jc w:val="right"/>
              <w:outlineLvl w:val="0"/>
              <w:rPr>
                <w:rFonts w:eastAsia="Times New Roman" w:cs="Arial"/>
                <w:b/>
                <w:bCs/>
              </w:rPr>
            </w:pPr>
          </w:p>
        </w:tc>
        <w:tc>
          <w:tcPr>
            <w:tcW w:w="704" w:type="pct"/>
            <w:vAlign w:val="bottom"/>
          </w:tcPr>
          <w:p w14:paraId="052056B2" w14:textId="77777777" w:rsidR="00F12CC3" w:rsidRPr="0034501D" w:rsidRDefault="00F12CC3" w:rsidP="00F12CC3">
            <w:pPr>
              <w:tabs>
                <w:tab w:val="right" w:pos="1202"/>
              </w:tabs>
              <w:spacing w:after="0" w:line="280" w:lineRule="exact"/>
              <w:jc w:val="right"/>
              <w:outlineLvl w:val="0"/>
              <w:rPr>
                <w:rFonts w:eastAsia="Times New Roman" w:cs="Arial"/>
                <w:b/>
                <w:bCs/>
              </w:rPr>
            </w:pPr>
          </w:p>
        </w:tc>
        <w:tc>
          <w:tcPr>
            <w:tcW w:w="633" w:type="pct"/>
            <w:vAlign w:val="bottom"/>
          </w:tcPr>
          <w:p w14:paraId="44AA961F" w14:textId="77777777" w:rsidR="00F12CC3" w:rsidRPr="0034501D" w:rsidRDefault="00F12CC3" w:rsidP="00F12CC3">
            <w:pPr>
              <w:tabs>
                <w:tab w:val="right" w:pos="1202"/>
              </w:tabs>
              <w:spacing w:after="0" w:line="280" w:lineRule="exact"/>
              <w:jc w:val="right"/>
              <w:outlineLvl w:val="0"/>
              <w:rPr>
                <w:rFonts w:eastAsia="Times New Roman" w:cs="Arial"/>
                <w:b/>
                <w:bCs/>
              </w:rPr>
            </w:pPr>
          </w:p>
        </w:tc>
        <w:tc>
          <w:tcPr>
            <w:tcW w:w="703" w:type="pct"/>
            <w:vAlign w:val="bottom"/>
          </w:tcPr>
          <w:p w14:paraId="5F4E0A96" w14:textId="77777777" w:rsidR="00F12CC3" w:rsidRPr="0034501D" w:rsidRDefault="00F12CC3" w:rsidP="00F12CC3">
            <w:pPr>
              <w:tabs>
                <w:tab w:val="right" w:pos="1202"/>
              </w:tabs>
              <w:spacing w:after="0" w:line="280" w:lineRule="exact"/>
              <w:jc w:val="right"/>
              <w:outlineLvl w:val="0"/>
              <w:rPr>
                <w:rFonts w:eastAsia="Times New Roman" w:cs="Arial"/>
                <w:b/>
                <w:bCs/>
              </w:rPr>
            </w:pPr>
          </w:p>
        </w:tc>
      </w:tr>
      <w:tr w:rsidR="00F12CC3" w:rsidRPr="0034501D" w14:paraId="3A768CB3" w14:textId="77777777" w:rsidTr="004C0B45">
        <w:trPr>
          <w:trHeight w:val="345"/>
        </w:trPr>
        <w:tc>
          <w:tcPr>
            <w:tcW w:w="2326" w:type="pct"/>
            <w:vAlign w:val="bottom"/>
          </w:tcPr>
          <w:p w14:paraId="1FD4EC9C" w14:textId="77777777" w:rsidR="00F12CC3" w:rsidRPr="0034501D" w:rsidRDefault="00F12CC3" w:rsidP="00F12CC3">
            <w:pPr>
              <w:tabs>
                <w:tab w:val="right" w:pos="1202"/>
              </w:tabs>
              <w:spacing w:after="0" w:line="280" w:lineRule="exact"/>
              <w:outlineLvl w:val="0"/>
              <w:rPr>
                <w:rFonts w:eastAsia="Times New Roman" w:cs="Arial"/>
                <w:b/>
                <w:bCs/>
              </w:rPr>
            </w:pPr>
            <w:r w:rsidRPr="0034501D">
              <w:rPr>
                <w:rFonts w:cs="Arial"/>
                <w:b/>
                <w:bCs/>
                <w:szCs w:val="19"/>
              </w:rPr>
              <w:t>Items that may be reclassified subsequently to profit or loss:</w:t>
            </w:r>
          </w:p>
        </w:tc>
        <w:tc>
          <w:tcPr>
            <w:tcW w:w="634" w:type="pct"/>
            <w:vAlign w:val="bottom"/>
          </w:tcPr>
          <w:p w14:paraId="4685E19B" w14:textId="77777777" w:rsidR="00F12CC3" w:rsidRPr="0034501D" w:rsidRDefault="00F12CC3" w:rsidP="00F12CC3">
            <w:pPr>
              <w:tabs>
                <w:tab w:val="right" w:pos="1202"/>
              </w:tabs>
              <w:spacing w:after="0" w:line="280" w:lineRule="exact"/>
              <w:jc w:val="right"/>
              <w:outlineLvl w:val="0"/>
              <w:rPr>
                <w:rFonts w:eastAsia="Times New Roman" w:cs="Arial"/>
                <w:b/>
                <w:bCs/>
              </w:rPr>
            </w:pPr>
          </w:p>
        </w:tc>
        <w:tc>
          <w:tcPr>
            <w:tcW w:w="704" w:type="pct"/>
            <w:vAlign w:val="bottom"/>
          </w:tcPr>
          <w:p w14:paraId="192CD559" w14:textId="77777777" w:rsidR="00F12CC3" w:rsidRPr="0034501D" w:rsidRDefault="00F12CC3" w:rsidP="00F12CC3">
            <w:pPr>
              <w:tabs>
                <w:tab w:val="right" w:pos="1202"/>
              </w:tabs>
              <w:spacing w:after="0" w:line="280" w:lineRule="exact"/>
              <w:jc w:val="right"/>
              <w:outlineLvl w:val="0"/>
              <w:rPr>
                <w:rFonts w:eastAsia="Times New Roman" w:cs="Arial"/>
                <w:b/>
                <w:bCs/>
              </w:rPr>
            </w:pPr>
          </w:p>
        </w:tc>
        <w:tc>
          <w:tcPr>
            <w:tcW w:w="633" w:type="pct"/>
            <w:vAlign w:val="bottom"/>
          </w:tcPr>
          <w:p w14:paraId="6801693B" w14:textId="77777777" w:rsidR="00F12CC3" w:rsidRPr="0034501D" w:rsidRDefault="00F12CC3" w:rsidP="00F12CC3">
            <w:pPr>
              <w:tabs>
                <w:tab w:val="right" w:pos="1202"/>
              </w:tabs>
              <w:spacing w:after="0" w:line="280" w:lineRule="exact"/>
              <w:jc w:val="right"/>
              <w:outlineLvl w:val="0"/>
              <w:rPr>
                <w:rFonts w:eastAsia="Times New Roman" w:cs="Arial"/>
                <w:b/>
                <w:bCs/>
              </w:rPr>
            </w:pPr>
          </w:p>
        </w:tc>
        <w:tc>
          <w:tcPr>
            <w:tcW w:w="703" w:type="pct"/>
            <w:vAlign w:val="bottom"/>
          </w:tcPr>
          <w:p w14:paraId="192EFB97" w14:textId="77777777" w:rsidR="00F12CC3" w:rsidRPr="0034501D" w:rsidRDefault="00F12CC3" w:rsidP="00F12CC3">
            <w:pPr>
              <w:tabs>
                <w:tab w:val="right" w:pos="1202"/>
              </w:tabs>
              <w:spacing w:after="0" w:line="280" w:lineRule="exact"/>
              <w:jc w:val="right"/>
              <w:outlineLvl w:val="0"/>
              <w:rPr>
                <w:rFonts w:eastAsia="Times New Roman" w:cs="Arial"/>
                <w:b/>
                <w:bCs/>
              </w:rPr>
            </w:pPr>
          </w:p>
        </w:tc>
      </w:tr>
      <w:tr w:rsidR="00F12CC3" w:rsidRPr="0034501D" w14:paraId="42FE5F42" w14:textId="77777777" w:rsidTr="006B318F">
        <w:trPr>
          <w:trHeight w:hRule="exact" w:val="340"/>
        </w:trPr>
        <w:tc>
          <w:tcPr>
            <w:tcW w:w="2326" w:type="pct"/>
            <w:vAlign w:val="bottom"/>
          </w:tcPr>
          <w:p w14:paraId="71007562" w14:textId="77777777" w:rsidR="00F12CC3" w:rsidRPr="0034501D" w:rsidRDefault="00F12CC3" w:rsidP="00F12CC3">
            <w:pPr>
              <w:tabs>
                <w:tab w:val="right" w:pos="1202"/>
              </w:tabs>
              <w:spacing w:after="0" w:line="280" w:lineRule="exact"/>
              <w:jc w:val="both"/>
              <w:outlineLvl w:val="0"/>
              <w:rPr>
                <w:rFonts w:eastAsia="Times New Roman" w:cs="Arial"/>
                <w:bCs/>
              </w:rPr>
            </w:pPr>
            <w:r w:rsidRPr="0034501D">
              <w:rPr>
                <w:rFonts w:cs="Arial"/>
                <w:bCs/>
                <w:szCs w:val="19"/>
              </w:rPr>
              <w:t>Increase in fair value of assets available for sale</w:t>
            </w:r>
          </w:p>
        </w:tc>
        <w:tc>
          <w:tcPr>
            <w:tcW w:w="634" w:type="pct"/>
            <w:tcBorders>
              <w:top w:val="nil"/>
              <w:bottom w:val="nil"/>
              <w:right w:val="nil"/>
            </w:tcBorders>
            <w:shd w:val="clear" w:color="auto" w:fill="auto"/>
            <w:vAlign w:val="bottom"/>
          </w:tcPr>
          <w:p w14:paraId="39A41FF2" w14:textId="7D65ABE9" w:rsidR="00F12CC3" w:rsidRPr="005444AA" w:rsidRDefault="00F12CC3" w:rsidP="00F12CC3">
            <w:pPr>
              <w:tabs>
                <w:tab w:val="right" w:pos="1202"/>
              </w:tabs>
              <w:spacing w:after="0" w:line="280" w:lineRule="exact"/>
              <w:jc w:val="right"/>
              <w:outlineLvl w:val="0"/>
              <w:rPr>
                <w:rFonts w:eastAsia="Times New Roman" w:cs="Arial"/>
                <w:bCs/>
              </w:rPr>
            </w:pPr>
            <w:r w:rsidRPr="00CE0613">
              <w:rPr>
                <w:rFonts w:eastAsia="Times New Roman" w:cs="Arial"/>
                <w:bCs/>
              </w:rPr>
              <w:t xml:space="preserve"> 19</w:t>
            </w:r>
            <w:r>
              <w:rPr>
                <w:rFonts w:eastAsia="Times New Roman" w:cs="Arial"/>
                <w:bCs/>
              </w:rPr>
              <w:t>,</w:t>
            </w:r>
            <w:r w:rsidRPr="00CE0613">
              <w:rPr>
                <w:rFonts w:eastAsia="Times New Roman" w:cs="Arial"/>
                <w:bCs/>
              </w:rPr>
              <w:t xml:space="preserve">891 </w:t>
            </w:r>
          </w:p>
        </w:tc>
        <w:tc>
          <w:tcPr>
            <w:tcW w:w="704" w:type="pct"/>
            <w:tcBorders>
              <w:top w:val="nil"/>
              <w:bottom w:val="nil"/>
              <w:right w:val="nil"/>
            </w:tcBorders>
            <w:shd w:val="clear" w:color="auto" w:fill="auto"/>
            <w:vAlign w:val="bottom"/>
          </w:tcPr>
          <w:p w14:paraId="686A5DC1" w14:textId="4081080D" w:rsidR="00F12CC3" w:rsidRPr="005444AA" w:rsidRDefault="00F12CC3" w:rsidP="00F12CC3">
            <w:pPr>
              <w:tabs>
                <w:tab w:val="right" w:pos="1202"/>
              </w:tabs>
              <w:spacing w:after="0" w:line="280" w:lineRule="exact"/>
              <w:jc w:val="right"/>
              <w:outlineLvl w:val="0"/>
              <w:rPr>
                <w:rFonts w:eastAsia="Times New Roman" w:cs="Arial"/>
                <w:bCs/>
              </w:rPr>
            </w:pPr>
            <w:r w:rsidRPr="00CE0613">
              <w:rPr>
                <w:rFonts w:eastAsia="Times New Roman" w:cs="Arial"/>
                <w:bCs/>
              </w:rPr>
              <w:t xml:space="preserve"> 40</w:t>
            </w:r>
            <w:r>
              <w:rPr>
                <w:rFonts w:eastAsia="Times New Roman" w:cs="Arial"/>
                <w:bCs/>
              </w:rPr>
              <w:t>,</w:t>
            </w:r>
            <w:r w:rsidRPr="00CE0613">
              <w:rPr>
                <w:rFonts w:eastAsia="Times New Roman" w:cs="Arial"/>
                <w:bCs/>
              </w:rPr>
              <w:t xml:space="preserve">418 </w:t>
            </w:r>
          </w:p>
        </w:tc>
        <w:tc>
          <w:tcPr>
            <w:tcW w:w="633" w:type="pct"/>
            <w:tcBorders>
              <w:top w:val="nil"/>
              <w:bottom w:val="nil"/>
              <w:right w:val="nil"/>
            </w:tcBorders>
            <w:shd w:val="clear" w:color="auto" w:fill="auto"/>
            <w:vAlign w:val="bottom"/>
          </w:tcPr>
          <w:p w14:paraId="539BA2F5" w14:textId="515DD9DD" w:rsidR="00F12CC3" w:rsidRDefault="00F12CC3" w:rsidP="00F12CC3">
            <w:pPr>
              <w:tabs>
                <w:tab w:val="right" w:pos="1202"/>
              </w:tabs>
              <w:spacing w:after="0" w:line="280" w:lineRule="exact"/>
              <w:jc w:val="right"/>
              <w:outlineLvl w:val="0"/>
              <w:rPr>
                <w:color w:val="000000"/>
              </w:rPr>
            </w:pPr>
            <w:r>
              <w:rPr>
                <w:rFonts w:eastAsia="Times New Roman" w:cs="Arial"/>
                <w:bCs/>
              </w:rPr>
              <w:t>39,207</w:t>
            </w:r>
          </w:p>
        </w:tc>
        <w:tc>
          <w:tcPr>
            <w:tcW w:w="703" w:type="pct"/>
            <w:tcBorders>
              <w:top w:val="nil"/>
              <w:left w:val="nil"/>
              <w:bottom w:val="nil"/>
              <w:right w:val="nil"/>
            </w:tcBorders>
            <w:shd w:val="clear" w:color="auto" w:fill="auto"/>
            <w:vAlign w:val="bottom"/>
          </w:tcPr>
          <w:p w14:paraId="14C775C9" w14:textId="06E4F788" w:rsidR="00F12CC3" w:rsidRDefault="00F12CC3" w:rsidP="00F12CC3">
            <w:pPr>
              <w:tabs>
                <w:tab w:val="right" w:pos="1202"/>
              </w:tabs>
              <w:spacing w:after="0" w:line="280" w:lineRule="exact"/>
              <w:jc w:val="right"/>
              <w:outlineLvl w:val="0"/>
              <w:rPr>
                <w:color w:val="000000"/>
              </w:rPr>
            </w:pPr>
            <w:r>
              <w:rPr>
                <w:rFonts w:cs="Calibri"/>
                <w:bCs/>
              </w:rPr>
              <w:t>70,321</w:t>
            </w:r>
          </w:p>
        </w:tc>
      </w:tr>
      <w:tr w:rsidR="00F12CC3" w:rsidRPr="0034501D" w14:paraId="6B3537E5" w14:textId="77777777" w:rsidTr="004C0B45">
        <w:trPr>
          <w:trHeight w:hRule="exact" w:val="340"/>
        </w:trPr>
        <w:tc>
          <w:tcPr>
            <w:tcW w:w="2326" w:type="pct"/>
            <w:vAlign w:val="bottom"/>
          </w:tcPr>
          <w:p w14:paraId="33994C81" w14:textId="77777777" w:rsidR="00F12CC3" w:rsidRPr="0034501D" w:rsidRDefault="00F12CC3" w:rsidP="00F12CC3">
            <w:pPr>
              <w:tabs>
                <w:tab w:val="right" w:pos="1202"/>
              </w:tabs>
              <w:spacing w:after="0" w:line="280" w:lineRule="exact"/>
              <w:jc w:val="both"/>
              <w:outlineLvl w:val="0"/>
              <w:rPr>
                <w:rFonts w:eastAsia="Times New Roman" w:cs="Arial"/>
                <w:bCs/>
              </w:rPr>
            </w:pPr>
            <w:r w:rsidRPr="0034501D">
              <w:rPr>
                <w:rFonts w:cs="Arial"/>
                <w:bCs/>
                <w:szCs w:val="19"/>
              </w:rPr>
              <w:t>Decrease in fair value of assets available for sale</w:t>
            </w:r>
          </w:p>
        </w:tc>
        <w:tc>
          <w:tcPr>
            <w:tcW w:w="634" w:type="pct"/>
            <w:tcBorders>
              <w:top w:val="nil"/>
              <w:left w:val="nil"/>
              <w:right w:val="nil"/>
            </w:tcBorders>
            <w:shd w:val="clear" w:color="auto" w:fill="auto"/>
            <w:vAlign w:val="bottom"/>
          </w:tcPr>
          <w:p w14:paraId="1B18CF6D" w14:textId="6F33F8ED" w:rsidR="00F12CC3" w:rsidRPr="005444AA" w:rsidRDefault="00F12CC3" w:rsidP="00F12CC3">
            <w:pPr>
              <w:tabs>
                <w:tab w:val="right" w:pos="1202"/>
              </w:tabs>
              <w:spacing w:after="0" w:line="280" w:lineRule="exact"/>
              <w:jc w:val="right"/>
              <w:outlineLvl w:val="0"/>
              <w:rPr>
                <w:rFonts w:eastAsia="Times New Roman" w:cs="Arial"/>
                <w:bCs/>
              </w:rPr>
            </w:pPr>
            <w:r w:rsidRPr="00CE0613">
              <w:rPr>
                <w:rFonts w:eastAsia="Times New Roman" w:cs="Arial"/>
                <w:bCs/>
              </w:rPr>
              <w:t xml:space="preserve"> (3</w:t>
            </w:r>
            <w:r>
              <w:rPr>
                <w:rFonts w:eastAsia="Times New Roman" w:cs="Arial"/>
                <w:bCs/>
              </w:rPr>
              <w:t>,</w:t>
            </w:r>
            <w:r w:rsidRPr="00CE0613">
              <w:rPr>
                <w:rFonts w:eastAsia="Times New Roman" w:cs="Arial"/>
                <w:bCs/>
              </w:rPr>
              <w:t>079)</w:t>
            </w:r>
          </w:p>
        </w:tc>
        <w:tc>
          <w:tcPr>
            <w:tcW w:w="704" w:type="pct"/>
            <w:tcBorders>
              <w:top w:val="nil"/>
              <w:left w:val="nil"/>
              <w:right w:val="nil"/>
            </w:tcBorders>
            <w:shd w:val="clear" w:color="auto" w:fill="auto"/>
            <w:vAlign w:val="bottom"/>
          </w:tcPr>
          <w:p w14:paraId="21DA44EB" w14:textId="37E18453" w:rsidR="00F12CC3" w:rsidRPr="005444AA" w:rsidRDefault="00F12CC3" w:rsidP="00F12CC3">
            <w:pPr>
              <w:tabs>
                <w:tab w:val="right" w:pos="1202"/>
              </w:tabs>
              <w:spacing w:after="0" w:line="280" w:lineRule="exact"/>
              <w:jc w:val="right"/>
              <w:outlineLvl w:val="0"/>
              <w:rPr>
                <w:rFonts w:eastAsia="Times New Roman" w:cs="Arial"/>
                <w:bCs/>
              </w:rPr>
            </w:pPr>
            <w:r w:rsidRPr="00CE0613">
              <w:rPr>
                <w:rFonts w:eastAsia="Times New Roman" w:cs="Arial"/>
                <w:bCs/>
              </w:rPr>
              <w:t xml:space="preserve"> (22</w:t>
            </w:r>
            <w:r>
              <w:rPr>
                <w:rFonts w:eastAsia="Times New Roman" w:cs="Arial"/>
                <w:bCs/>
              </w:rPr>
              <w:t>,</w:t>
            </w:r>
            <w:r w:rsidRPr="00CE0613">
              <w:rPr>
                <w:rFonts w:eastAsia="Times New Roman" w:cs="Arial"/>
                <w:bCs/>
              </w:rPr>
              <w:t>135)</w:t>
            </w:r>
          </w:p>
        </w:tc>
        <w:tc>
          <w:tcPr>
            <w:tcW w:w="633" w:type="pct"/>
            <w:tcBorders>
              <w:top w:val="nil"/>
              <w:left w:val="nil"/>
              <w:right w:val="nil"/>
            </w:tcBorders>
            <w:shd w:val="clear" w:color="auto" w:fill="auto"/>
            <w:vAlign w:val="bottom"/>
          </w:tcPr>
          <w:p w14:paraId="4D92A750" w14:textId="6E0A9A1B" w:rsidR="00F12CC3" w:rsidRDefault="00F12CC3" w:rsidP="00F12CC3">
            <w:pPr>
              <w:tabs>
                <w:tab w:val="right" w:pos="1202"/>
              </w:tabs>
              <w:spacing w:after="0" w:line="280" w:lineRule="exact"/>
              <w:jc w:val="right"/>
              <w:outlineLvl w:val="0"/>
              <w:rPr>
                <w:color w:val="000000"/>
              </w:rPr>
            </w:pPr>
            <w:r>
              <w:rPr>
                <w:rFonts w:eastAsia="Times New Roman" w:cs="Arial"/>
                <w:bCs/>
              </w:rPr>
              <w:t>(21,468)</w:t>
            </w:r>
          </w:p>
        </w:tc>
        <w:tc>
          <w:tcPr>
            <w:tcW w:w="703" w:type="pct"/>
            <w:tcBorders>
              <w:top w:val="nil"/>
              <w:left w:val="nil"/>
              <w:right w:val="nil"/>
            </w:tcBorders>
            <w:shd w:val="clear" w:color="auto" w:fill="auto"/>
            <w:vAlign w:val="bottom"/>
          </w:tcPr>
          <w:p w14:paraId="0E298DE5" w14:textId="6E50ED3E" w:rsidR="00F12CC3" w:rsidRDefault="00F12CC3" w:rsidP="00F12CC3">
            <w:pPr>
              <w:tabs>
                <w:tab w:val="right" w:pos="1202"/>
              </w:tabs>
              <w:spacing w:after="0" w:line="280" w:lineRule="exact"/>
              <w:jc w:val="right"/>
              <w:outlineLvl w:val="0"/>
              <w:rPr>
                <w:color w:val="000000"/>
              </w:rPr>
            </w:pPr>
            <w:r>
              <w:rPr>
                <w:rFonts w:cs="Calibri"/>
                <w:bCs/>
              </w:rPr>
              <w:t>(38,261)</w:t>
            </w:r>
          </w:p>
        </w:tc>
      </w:tr>
      <w:tr w:rsidR="00F12CC3" w:rsidRPr="0034501D" w14:paraId="26EDC384" w14:textId="77777777" w:rsidTr="004C0B45">
        <w:trPr>
          <w:trHeight w:val="345"/>
        </w:trPr>
        <w:tc>
          <w:tcPr>
            <w:tcW w:w="2326" w:type="pct"/>
            <w:vAlign w:val="bottom"/>
          </w:tcPr>
          <w:p w14:paraId="73AE44C0" w14:textId="77777777" w:rsidR="00F12CC3" w:rsidRPr="0034501D" w:rsidRDefault="00F12CC3" w:rsidP="00F12CC3">
            <w:pPr>
              <w:tabs>
                <w:tab w:val="right" w:pos="1202"/>
              </w:tabs>
              <w:spacing w:after="0" w:line="280" w:lineRule="exact"/>
              <w:jc w:val="both"/>
              <w:outlineLvl w:val="0"/>
              <w:rPr>
                <w:rFonts w:eastAsia="Times New Roman" w:cs="Arial"/>
                <w:bCs/>
              </w:rPr>
            </w:pPr>
            <w:r w:rsidRPr="0034501D">
              <w:rPr>
                <w:rFonts w:eastAsia="Times New Roman" w:cs="Arial"/>
                <w:bCs/>
              </w:rPr>
              <w:t xml:space="preserve">Net foreign exchange </w:t>
            </w:r>
            <w:r w:rsidRPr="0034501D">
              <w:rPr>
                <w:rFonts w:cs="Arial"/>
                <w:bCs/>
                <w:szCs w:val="19"/>
              </w:rPr>
              <w:t>on available for sale equity instruments</w:t>
            </w:r>
          </w:p>
        </w:tc>
        <w:tc>
          <w:tcPr>
            <w:tcW w:w="634" w:type="pct"/>
            <w:tcBorders>
              <w:top w:val="nil"/>
              <w:left w:val="nil"/>
              <w:bottom w:val="nil"/>
              <w:right w:val="nil"/>
            </w:tcBorders>
            <w:shd w:val="clear" w:color="000000" w:fill="auto"/>
            <w:vAlign w:val="bottom"/>
          </w:tcPr>
          <w:p w14:paraId="7F905DA0" w14:textId="31AA5B7C" w:rsidR="00F12CC3" w:rsidRPr="004A59C4" w:rsidRDefault="00F12CC3" w:rsidP="00F12CC3">
            <w:pPr>
              <w:tabs>
                <w:tab w:val="right" w:pos="1202"/>
              </w:tabs>
              <w:spacing w:after="0" w:line="280" w:lineRule="exact"/>
              <w:jc w:val="right"/>
              <w:outlineLvl w:val="0"/>
              <w:rPr>
                <w:rFonts w:eastAsia="Times New Roman" w:cs="Arial"/>
                <w:bCs/>
              </w:rPr>
            </w:pPr>
            <w:r w:rsidRPr="00CE0613">
              <w:rPr>
                <w:rFonts w:eastAsia="Times New Roman" w:cs="Arial"/>
                <w:bCs/>
              </w:rPr>
              <w:t xml:space="preserve"> 307 </w:t>
            </w:r>
          </w:p>
        </w:tc>
        <w:tc>
          <w:tcPr>
            <w:tcW w:w="704" w:type="pct"/>
            <w:tcBorders>
              <w:top w:val="nil"/>
              <w:left w:val="nil"/>
              <w:bottom w:val="nil"/>
              <w:right w:val="nil"/>
            </w:tcBorders>
            <w:shd w:val="clear" w:color="000000" w:fill="auto"/>
            <w:vAlign w:val="bottom"/>
          </w:tcPr>
          <w:p w14:paraId="6064C845" w14:textId="6F84768A" w:rsidR="00F12CC3" w:rsidRPr="004A59C4" w:rsidRDefault="00F12CC3" w:rsidP="00F12CC3">
            <w:pPr>
              <w:tabs>
                <w:tab w:val="right" w:pos="1202"/>
              </w:tabs>
              <w:spacing w:after="0" w:line="280" w:lineRule="exact"/>
              <w:jc w:val="right"/>
              <w:outlineLvl w:val="0"/>
              <w:rPr>
                <w:rFonts w:eastAsia="Times New Roman" w:cs="Arial"/>
                <w:bCs/>
              </w:rPr>
            </w:pPr>
            <w:r w:rsidRPr="00CE0613">
              <w:rPr>
                <w:rFonts w:eastAsia="Times New Roman" w:cs="Arial"/>
                <w:bCs/>
              </w:rPr>
              <w:t xml:space="preserve"> (210)</w:t>
            </w:r>
          </w:p>
        </w:tc>
        <w:tc>
          <w:tcPr>
            <w:tcW w:w="633" w:type="pct"/>
            <w:tcBorders>
              <w:top w:val="nil"/>
              <w:left w:val="nil"/>
              <w:bottom w:val="nil"/>
              <w:right w:val="nil"/>
            </w:tcBorders>
            <w:shd w:val="clear" w:color="000000" w:fill="auto"/>
            <w:vAlign w:val="bottom"/>
          </w:tcPr>
          <w:p w14:paraId="1563F6BB" w14:textId="47C48BCF" w:rsidR="00F12CC3" w:rsidRPr="004A59C4" w:rsidRDefault="00F12CC3" w:rsidP="00F12CC3">
            <w:pPr>
              <w:tabs>
                <w:tab w:val="right" w:pos="1202"/>
              </w:tabs>
              <w:spacing w:after="0" w:line="280" w:lineRule="exact"/>
              <w:jc w:val="right"/>
              <w:outlineLvl w:val="0"/>
              <w:rPr>
                <w:rFonts w:eastAsia="Times New Roman" w:cs="Arial"/>
                <w:bCs/>
              </w:rPr>
            </w:pPr>
            <w:r>
              <w:rPr>
                <w:rFonts w:eastAsia="Times New Roman" w:cs="Arial"/>
                <w:bCs/>
              </w:rPr>
              <w:t>(18)</w:t>
            </w:r>
          </w:p>
        </w:tc>
        <w:tc>
          <w:tcPr>
            <w:tcW w:w="703" w:type="pct"/>
            <w:tcBorders>
              <w:top w:val="nil"/>
              <w:left w:val="nil"/>
              <w:bottom w:val="nil"/>
              <w:right w:val="nil"/>
            </w:tcBorders>
            <w:shd w:val="clear" w:color="000000" w:fill="auto"/>
            <w:vAlign w:val="bottom"/>
          </w:tcPr>
          <w:p w14:paraId="36FD1A7B" w14:textId="5A3471D1" w:rsidR="00F12CC3" w:rsidRPr="004A59C4" w:rsidRDefault="00F12CC3" w:rsidP="00F12CC3">
            <w:pPr>
              <w:tabs>
                <w:tab w:val="right" w:pos="1202"/>
              </w:tabs>
              <w:spacing w:after="0" w:line="280" w:lineRule="exact"/>
              <w:jc w:val="right"/>
              <w:outlineLvl w:val="0"/>
              <w:rPr>
                <w:rFonts w:eastAsia="Times New Roman" w:cs="Arial"/>
                <w:bCs/>
              </w:rPr>
            </w:pPr>
            <w:r>
              <w:rPr>
                <w:rFonts w:cs="Calibri"/>
                <w:bCs/>
              </w:rPr>
              <w:t>(405)</w:t>
            </w:r>
          </w:p>
        </w:tc>
      </w:tr>
      <w:tr w:rsidR="00F12CC3" w:rsidRPr="0034501D" w14:paraId="01EF31DF" w14:textId="77777777" w:rsidTr="004C0B45">
        <w:trPr>
          <w:trHeight w:val="519"/>
        </w:trPr>
        <w:tc>
          <w:tcPr>
            <w:tcW w:w="2326" w:type="pct"/>
            <w:vAlign w:val="bottom"/>
          </w:tcPr>
          <w:p w14:paraId="0A7268D6" w14:textId="77777777" w:rsidR="00F12CC3" w:rsidRPr="0034501D" w:rsidRDefault="00F12CC3" w:rsidP="00F12CC3">
            <w:pPr>
              <w:tabs>
                <w:tab w:val="right" w:pos="1202"/>
              </w:tabs>
              <w:spacing w:after="0" w:line="280" w:lineRule="exact"/>
              <w:outlineLvl w:val="0"/>
              <w:rPr>
                <w:rFonts w:eastAsia="Times New Roman" w:cs="Arial"/>
                <w:bCs/>
              </w:rPr>
            </w:pPr>
            <w:r w:rsidRPr="0034501D">
              <w:rPr>
                <w:rFonts w:cs="Arial"/>
                <w:bCs/>
                <w:szCs w:val="19"/>
              </w:rPr>
              <w:t>Transfer of realized gains on assets available for sale to statement of profit or loss</w:t>
            </w:r>
          </w:p>
        </w:tc>
        <w:tc>
          <w:tcPr>
            <w:tcW w:w="634" w:type="pct"/>
            <w:tcBorders>
              <w:top w:val="nil"/>
              <w:left w:val="nil"/>
              <w:bottom w:val="nil"/>
              <w:right w:val="nil"/>
            </w:tcBorders>
            <w:shd w:val="clear" w:color="auto" w:fill="auto"/>
            <w:vAlign w:val="bottom"/>
          </w:tcPr>
          <w:p w14:paraId="622C90F6" w14:textId="73275B8F" w:rsidR="00F12CC3" w:rsidRDefault="00F12CC3" w:rsidP="00F12CC3">
            <w:pPr>
              <w:tabs>
                <w:tab w:val="right" w:pos="1202"/>
              </w:tabs>
              <w:spacing w:after="0" w:line="280" w:lineRule="exact"/>
              <w:jc w:val="right"/>
              <w:outlineLvl w:val="0"/>
              <w:rPr>
                <w:rFonts w:eastAsia="Times New Roman" w:cs="Arial"/>
                <w:bCs/>
              </w:rPr>
            </w:pPr>
            <w:r>
              <w:rPr>
                <w:rFonts w:eastAsia="Times New Roman" w:cs="Arial"/>
                <w:bCs/>
              </w:rPr>
              <w:t>(</w:t>
            </w:r>
            <w:r w:rsidRPr="00CE0613">
              <w:rPr>
                <w:rFonts w:eastAsia="Times New Roman" w:cs="Arial"/>
                <w:bCs/>
              </w:rPr>
              <w:t>514</w:t>
            </w:r>
            <w:r>
              <w:rPr>
                <w:rFonts w:eastAsia="Times New Roman" w:cs="Arial"/>
                <w:bCs/>
              </w:rPr>
              <w:t>)</w:t>
            </w:r>
          </w:p>
        </w:tc>
        <w:tc>
          <w:tcPr>
            <w:tcW w:w="704" w:type="pct"/>
            <w:tcBorders>
              <w:top w:val="nil"/>
              <w:left w:val="nil"/>
              <w:bottom w:val="nil"/>
              <w:right w:val="nil"/>
            </w:tcBorders>
            <w:shd w:val="clear" w:color="auto" w:fill="auto"/>
            <w:vAlign w:val="bottom"/>
          </w:tcPr>
          <w:p w14:paraId="62C2288C" w14:textId="47F08000" w:rsidR="00F12CC3" w:rsidRDefault="00F12CC3" w:rsidP="00F12CC3">
            <w:pPr>
              <w:tabs>
                <w:tab w:val="right" w:pos="1202"/>
              </w:tabs>
              <w:spacing w:after="0" w:line="280" w:lineRule="exact"/>
              <w:jc w:val="right"/>
              <w:outlineLvl w:val="0"/>
              <w:rPr>
                <w:rFonts w:eastAsia="Times New Roman" w:cs="Arial"/>
                <w:bCs/>
              </w:rPr>
            </w:pPr>
            <w:r w:rsidRPr="00CE0613">
              <w:rPr>
                <w:rFonts w:eastAsia="Times New Roman" w:cs="Arial"/>
                <w:bCs/>
              </w:rPr>
              <w:t xml:space="preserve"> (8</w:t>
            </w:r>
            <w:r>
              <w:rPr>
                <w:rFonts w:eastAsia="Times New Roman" w:cs="Arial"/>
                <w:bCs/>
              </w:rPr>
              <w:t>,</w:t>
            </w:r>
            <w:r w:rsidRPr="00CE0613">
              <w:rPr>
                <w:rFonts w:eastAsia="Times New Roman" w:cs="Arial"/>
                <w:bCs/>
              </w:rPr>
              <w:t>629)</w:t>
            </w:r>
          </w:p>
        </w:tc>
        <w:tc>
          <w:tcPr>
            <w:tcW w:w="633" w:type="pct"/>
            <w:tcBorders>
              <w:top w:val="nil"/>
              <w:left w:val="nil"/>
              <w:bottom w:val="nil"/>
              <w:right w:val="nil"/>
            </w:tcBorders>
            <w:shd w:val="clear" w:color="auto" w:fill="auto"/>
            <w:vAlign w:val="bottom"/>
          </w:tcPr>
          <w:p w14:paraId="4D9A7460" w14:textId="706B4DFF" w:rsidR="00F12CC3" w:rsidRDefault="00F12CC3" w:rsidP="00F12CC3">
            <w:pPr>
              <w:tabs>
                <w:tab w:val="right" w:pos="1202"/>
              </w:tabs>
              <w:spacing w:after="0" w:line="280" w:lineRule="exact"/>
              <w:jc w:val="right"/>
              <w:outlineLvl w:val="0"/>
              <w:rPr>
                <w:rFonts w:eastAsia="Times New Roman" w:cs="Arial"/>
                <w:bCs/>
              </w:rPr>
            </w:pPr>
            <w:r>
              <w:rPr>
                <w:rFonts w:eastAsia="Times New Roman" w:cs="Arial"/>
                <w:bCs/>
              </w:rPr>
              <w:t>(1,788)</w:t>
            </w:r>
          </w:p>
        </w:tc>
        <w:tc>
          <w:tcPr>
            <w:tcW w:w="703" w:type="pct"/>
            <w:tcBorders>
              <w:top w:val="nil"/>
              <w:left w:val="nil"/>
              <w:bottom w:val="nil"/>
              <w:right w:val="nil"/>
            </w:tcBorders>
            <w:shd w:val="clear" w:color="auto" w:fill="auto"/>
            <w:vAlign w:val="bottom"/>
          </w:tcPr>
          <w:p w14:paraId="396F67D5" w14:textId="5F9C3336" w:rsidR="00F12CC3" w:rsidRDefault="00F12CC3" w:rsidP="00F12CC3">
            <w:pPr>
              <w:tabs>
                <w:tab w:val="right" w:pos="1202"/>
              </w:tabs>
              <w:spacing w:after="0" w:line="280" w:lineRule="exact"/>
              <w:jc w:val="right"/>
              <w:outlineLvl w:val="0"/>
              <w:rPr>
                <w:rFonts w:eastAsia="Times New Roman" w:cs="Arial"/>
                <w:bCs/>
              </w:rPr>
            </w:pPr>
            <w:r>
              <w:rPr>
                <w:rFonts w:cs="Calibri"/>
                <w:bCs/>
              </w:rPr>
              <w:t>(1,878)</w:t>
            </w:r>
          </w:p>
        </w:tc>
      </w:tr>
      <w:tr w:rsidR="00F12CC3" w:rsidRPr="0034501D" w14:paraId="57075940" w14:textId="77777777" w:rsidTr="006B318F">
        <w:trPr>
          <w:trHeight w:val="519"/>
        </w:trPr>
        <w:tc>
          <w:tcPr>
            <w:tcW w:w="2326" w:type="pct"/>
            <w:vAlign w:val="bottom"/>
          </w:tcPr>
          <w:p w14:paraId="5058E32B" w14:textId="77777777" w:rsidR="00F12CC3" w:rsidRPr="0034501D" w:rsidRDefault="00F12CC3" w:rsidP="00F12CC3">
            <w:pPr>
              <w:tabs>
                <w:tab w:val="right" w:pos="1202"/>
              </w:tabs>
              <w:spacing w:after="0" w:line="280" w:lineRule="exact"/>
              <w:outlineLvl w:val="0"/>
              <w:rPr>
                <w:rFonts w:cs="Arial"/>
                <w:bCs/>
                <w:szCs w:val="19"/>
              </w:rPr>
            </w:pPr>
            <w:r w:rsidRPr="00A7704D">
              <w:rPr>
                <w:rFonts w:cs="Arial"/>
                <w:bCs/>
                <w:szCs w:val="19"/>
              </w:rPr>
              <w:t>Transfer of realized losses on assets available for sale to statement of profit or loss</w:t>
            </w:r>
          </w:p>
        </w:tc>
        <w:tc>
          <w:tcPr>
            <w:tcW w:w="634" w:type="pct"/>
            <w:tcBorders>
              <w:top w:val="nil"/>
              <w:left w:val="nil"/>
              <w:bottom w:val="nil"/>
              <w:right w:val="nil"/>
            </w:tcBorders>
            <w:shd w:val="clear" w:color="auto" w:fill="auto"/>
            <w:vAlign w:val="bottom"/>
          </w:tcPr>
          <w:p w14:paraId="7D0FDA70" w14:textId="50393BEC" w:rsidR="00F12CC3" w:rsidRDefault="00F12CC3" w:rsidP="00F12CC3">
            <w:pPr>
              <w:tabs>
                <w:tab w:val="right" w:pos="1202"/>
              </w:tabs>
              <w:spacing w:after="0" w:line="280" w:lineRule="exact"/>
              <w:jc w:val="right"/>
              <w:outlineLvl w:val="0"/>
              <w:rPr>
                <w:rFonts w:eastAsia="Times New Roman" w:cs="Arial"/>
                <w:bCs/>
              </w:rPr>
            </w:pPr>
            <w:r w:rsidRPr="00CE0613">
              <w:rPr>
                <w:rFonts w:eastAsia="Times New Roman" w:cs="Arial"/>
                <w:bCs/>
              </w:rPr>
              <w:t xml:space="preserve"> 76 </w:t>
            </w:r>
          </w:p>
        </w:tc>
        <w:tc>
          <w:tcPr>
            <w:tcW w:w="704" w:type="pct"/>
            <w:tcBorders>
              <w:top w:val="nil"/>
              <w:left w:val="nil"/>
              <w:bottom w:val="nil"/>
              <w:right w:val="nil"/>
            </w:tcBorders>
            <w:shd w:val="clear" w:color="auto" w:fill="auto"/>
            <w:vAlign w:val="bottom"/>
          </w:tcPr>
          <w:p w14:paraId="643BE828" w14:textId="3EBCB9E8" w:rsidR="00F12CC3" w:rsidRDefault="00F12CC3" w:rsidP="00F12CC3">
            <w:pPr>
              <w:tabs>
                <w:tab w:val="right" w:pos="1202"/>
              </w:tabs>
              <w:spacing w:after="0" w:line="280" w:lineRule="exact"/>
              <w:jc w:val="right"/>
              <w:outlineLvl w:val="0"/>
              <w:rPr>
                <w:rFonts w:eastAsia="Times New Roman" w:cs="Arial"/>
                <w:bCs/>
              </w:rPr>
            </w:pPr>
            <w:r w:rsidRPr="00CE0613">
              <w:rPr>
                <w:rFonts w:eastAsia="Times New Roman" w:cs="Arial"/>
                <w:bCs/>
              </w:rPr>
              <w:t xml:space="preserve"> 6</w:t>
            </w:r>
            <w:r>
              <w:rPr>
                <w:rFonts w:eastAsia="Times New Roman" w:cs="Arial"/>
                <w:bCs/>
              </w:rPr>
              <w:t>,</w:t>
            </w:r>
            <w:r w:rsidRPr="00CE0613">
              <w:rPr>
                <w:rFonts w:eastAsia="Times New Roman" w:cs="Arial"/>
                <w:bCs/>
              </w:rPr>
              <w:t xml:space="preserve">575 </w:t>
            </w:r>
          </w:p>
        </w:tc>
        <w:tc>
          <w:tcPr>
            <w:tcW w:w="633" w:type="pct"/>
            <w:shd w:val="clear" w:color="auto" w:fill="auto"/>
            <w:vAlign w:val="bottom"/>
          </w:tcPr>
          <w:p w14:paraId="69462EE7" w14:textId="6934C5B5" w:rsidR="00F12CC3" w:rsidRPr="00722C53" w:rsidRDefault="00F12CC3" w:rsidP="00F12CC3">
            <w:pPr>
              <w:tabs>
                <w:tab w:val="right" w:pos="1202"/>
              </w:tabs>
              <w:spacing w:after="0" w:line="280" w:lineRule="exact"/>
              <w:jc w:val="right"/>
              <w:outlineLvl w:val="0"/>
              <w:rPr>
                <w:rFonts w:eastAsia="Times New Roman" w:cs="Arial"/>
                <w:bCs/>
              </w:rPr>
            </w:pPr>
            <w:r>
              <w:rPr>
                <w:rFonts w:eastAsia="Times New Roman" w:cs="Arial"/>
                <w:bCs/>
              </w:rPr>
              <w:t>16</w:t>
            </w:r>
          </w:p>
        </w:tc>
        <w:tc>
          <w:tcPr>
            <w:tcW w:w="703" w:type="pct"/>
            <w:shd w:val="clear" w:color="auto" w:fill="auto"/>
            <w:vAlign w:val="bottom"/>
          </w:tcPr>
          <w:p w14:paraId="44825518" w14:textId="28919516" w:rsidR="00F12CC3" w:rsidRPr="00326D2D" w:rsidRDefault="00F12CC3" w:rsidP="00F12CC3">
            <w:pPr>
              <w:tabs>
                <w:tab w:val="right" w:pos="1202"/>
              </w:tabs>
              <w:spacing w:after="0" w:line="280" w:lineRule="exact"/>
              <w:jc w:val="right"/>
              <w:outlineLvl w:val="0"/>
              <w:rPr>
                <w:rFonts w:asciiTheme="minorHAnsi" w:hAnsiTheme="minorHAnsi" w:cs="Calibri"/>
                <w:bCs/>
              </w:rPr>
            </w:pPr>
            <w:r>
              <w:rPr>
                <w:rFonts w:cs="Calibri"/>
                <w:bCs/>
              </w:rPr>
              <w:t>16</w:t>
            </w:r>
          </w:p>
        </w:tc>
      </w:tr>
      <w:tr w:rsidR="00F12CC3" w:rsidRPr="0034501D" w14:paraId="06E26CF4" w14:textId="77777777" w:rsidTr="004C0B45">
        <w:trPr>
          <w:trHeight w:val="345"/>
        </w:trPr>
        <w:tc>
          <w:tcPr>
            <w:tcW w:w="2326" w:type="pct"/>
            <w:vAlign w:val="bottom"/>
          </w:tcPr>
          <w:p w14:paraId="4FF7DCCB" w14:textId="77777777" w:rsidR="00F12CC3" w:rsidRPr="0034501D" w:rsidRDefault="00F12CC3" w:rsidP="00F12CC3">
            <w:pPr>
              <w:tabs>
                <w:tab w:val="right" w:pos="1202"/>
              </w:tabs>
              <w:spacing w:after="0" w:line="280" w:lineRule="exact"/>
              <w:outlineLvl w:val="0"/>
              <w:rPr>
                <w:rFonts w:eastAsia="Times New Roman" w:cs="Arial"/>
                <w:b/>
                <w:bCs/>
              </w:rPr>
            </w:pPr>
            <w:r w:rsidRPr="0034501D">
              <w:rPr>
                <w:rFonts w:eastAsia="Times New Roman" w:cs="Arial"/>
                <w:b/>
                <w:bCs/>
              </w:rPr>
              <w:t xml:space="preserve">Total items </w:t>
            </w:r>
            <w:r w:rsidRPr="0034501D">
              <w:rPr>
                <w:rFonts w:cs="Arial"/>
                <w:b/>
                <w:bCs/>
                <w:szCs w:val="19"/>
              </w:rPr>
              <w:t>that may be reclassified subsequently to profit or loss</w:t>
            </w:r>
            <w:r w:rsidRPr="0034501D">
              <w:rPr>
                <w:rFonts w:eastAsia="Times New Roman" w:cs="Arial"/>
                <w:b/>
                <w:bCs/>
              </w:rPr>
              <w:t xml:space="preserve"> </w:t>
            </w:r>
          </w:p>
        </w:tc>
        <w:tc>
          <w:tcPr>
            <w:tcW w:w="634" w:type="pct"/>
            <w:tcBorders>
              <w:top w:val="single" w:sz="4" w:space="0" w:color="auto"/>
              <w:left w:val="nil"/>
              <w:bottom w:val="single" w:sz="8" w:space="0" w:color="auto"/>
              <w:right w:val="nil"/>
            </w:tcBorders>
            <w:shd w:val="clear" w:color="auto" w:fill="auto"/>
            <w:vAlign w:val="bottom"/>
          </w:tcPr>
          <w:p w14:paraId="72DE2AD7" w14:textId="7E4F8D07" w:rsidR="00F12CC3" w:rsidRPr="004A59C4" w:rsidRDefault="00F12CC3" w:rsidP="00F12CC3">
            <w:pPr>
              <w:tabs>
                <w:tab w:val="right" w:pos="1202"/>
              </w:tabs>
              <w:spacing w:after="0" w:line="280" w:lineRule="exact"/>
              <w:jc w:val="right"/>
              <w:outlineLvl w:val="0"/>
              <w:rPr>
                <w:rFonts w:eastAsia="Times New Roman" w:cs="Arial"/>
                <w:b/>
                <w:bCs/>
              </w:rPr>
            </w:pPr>
            <w:r w:rsidRPr="00CE0613">
              <w:rPr>
                <w:rFonts w:asciiTheme="minorHAnsi" w:hAnsiTheme="minorHAnsi" w:cs="Arial"/>
                <w:b/>
                <w:bCs/>
                <w:lang w:val="hr-HR"/>
              </w:rPr>
              <w:t xml:space="preserve"> 16</w:t>
            </w:r>
            <w:r>
              <w:rPr>
                <w:rFonts w:asciiTheme="minorHAnsi" w:hAnsiTheme="minorHAnsi" w:cs="Arial"/>
                <w:b/>
                <w:bCs/>
                <w:lang w:val="hr-HR"/>
              </w:rPr>
              <w:t>,</w:t>
            </w:r>
            <w:r w:rsidRPr="00CE0613">
              <w:rPr>
                <w:rFonts w:asciiTheme="minorHAnsi" w:hAnsiTheme="minorHAnsi" w:cs="Arial"/>
                <w:b/>
                <w:bCs/>
                <w:lang w:val="hr-HR"/>
              </w:rPr>
              <w:t xml:space="preserve">681 </w:t>
            </w:r>
          </w:p>
        </w:tc>
        <w:tc>
          <w:tcPr>
            <w:tcW w:w="704" w:type="pct"/>
            <w:tcBorders>
              <w:top w:val="single" w:sz="4" w:space="0" w:color="auto"/>
              <w:left w:val="nil"/>
              <w:bottom w:val="single" w:sz="8" w:space="0" w:color="auto"/>
              <w:right w:val="nil"/>
            </w:tcBorders>
            <w:shd w:val="clear" w:color="auto" w:fill="auto"/>
            <w:vAlign w:val="bottom"/>
          </w:tcPr>
          <w:p w14:paraId="501E64CD" w14:textId="4CE24452" w:rsidR="00F12CC3" w:rsidRPr="004A59C4" w:rsidRDefault="00F12CC3" w:rsidP="00F12CC3">
            <w:pPr>
              <w:tabs>
                <w:tab w:val="right" w:pos="1202"/>
              </w:tabs>
              <w:spacing w:after="0" w:line="280" w:lineRule="exact"/>
              <w:jc w:val="right"/>
              <w:outlineLvl w:val="0"/>
              <w:rPr>
                <w:rFonts w:eastAsia="Times New Roman" w:cs="Arial"/>
                <w:b/>
                <w:bCs/>
              </w:rPr>
            </w:pPr>
            <w:r w:rsidRPr="00CE0613">
              <w:rPr>
                <w:rFonts w:asciiTheme="minorHAnsi" w:hAnsiTheme="minorHAnsi" w:cs="Arial"/>
                <w:b/>
                <w:bCs/>
                <w:lang w:val="hr-HR"/>
              </w:rPr>
              <w:t xml:space="preserve"> 16</w:t>
            </w:r>
            <w:r>
              <w:rPr>
                <w:rFonts w:asciiTheme="minorHAnsi" w:hAnsiTheme="minorHAnsi" w:cs="Arial"/>
                <w:b/>
                <w:bCs/>
                <w:lang w:val="hr-HR"/>
              </w:rPr>
              <w:t>,</w:t>
            </w:r>
            <w:r w:rsidRPr="00CE0613">
              <w:rPr>
                <w:rFonts w:asciiTheme="minorHAnsi" w:hAnsiTheme="minorHAnsi" w:cs="Arial"/>
                <w:b/>
                <w:bCs/>
                <w:lang w:val="hr-HR"/>
              </w:rPr>
              <w:t xml:space="preserve">019 </w:t>
            </w:r>
          </w:p>
        </w:tc>
        <w:tc>
          <w:tcPr>
            <w:tcW w:w="633" w:type="pct"/>
            <w:tcBorders>
              <w:top w:val="single" w:sz="4" w:space="0" w:color="auto"/>
              <w:left w:val="nil"/>
              <w:bottom w:val="single" w:sz="8" w:space="0" w:color="auto"/>
              <w:right w:val="nil"/>
            </w:tcBorders>
            <w:shd w:val="clear" w:color="auto" w:fill="auto"/>
            <w:vAlign w:val="bottom"/>
          </w:tcPr>
          <w:p w14:paraId="390DFF7D" w14:textId="1F63E485" w:rsidR="00F12CC3" w:rsidRPr="004A59C4" w:rsidRDefault="00F12CC3" w:rsidP="00F12CC3">
            <w:pPr>
              <w:tabs>
                <w:tab w:val="right" w:pos="1202"/>
              </w:tabs>
              <w:spacing w:after="0" w:line="280" w:lineRule="exact"/>
              <w:jc w:val="right"/>
              <w:outlineLvl w:val="0"/>
              <w:rPr>
                <w:rFonts w:eastAsia="Times New Roman" w:cs="Arial"/>
                <w:b/>
                <w:bCs/>
              </w:rPr>
            </w:pPr>
            <w:r>
              <w:rPr>
                <w:rFonts w:asciiTheme="minorHAnsi" w:hAnsiTheme="minorHAnsi" w:cs="Arial"/>
                <w:b/>
                <w:bCs/>
                <w:lang w:val="hr-HR"/>
              </w:rPr>
              <w:t>15,949</w:t>
            </w:r>
          </w:p>
        </w:tc>
        <w:tc>
          <w:tcPr>
            <w:tcW w:w="703" w:type="pct"/>
            <w:tcBorders>
              <w:top w:val="single" w:sz="4" w:space="0" w:color="auto"/>
              <w:left w:val="nil"/>
              <w:bottom w:val="single" w:sz="8" w:space="0" w:color="auto"/>
              <w:right w:val="nil"/>
            </w:tcBorders>
            <w:shd w:val="clear" w:color="auto" w:fill="auto"/>
            <w:vAlign w:val="bottom"/>
          </w:tcPr>
          <w:p w14:paraId="690F3147" w14:textId="708F1C9E" w:rsidR="00F12CC3" w:rsidRPr="004A59C4" w:rsidRDefault="00F12CC3" w:rsidP="00F12CC3">
            <w:pPr>
              <w:tabs>
                <w:tab w:val="right" w:pos="1202"/>
              </w:tabs>
              <w:spacing w:after="0" w:line="280" w:lineRule="exact"/>
              <w:jc w:val="right"/>
              <w:outlineLvl w:val="0"/>
              <w:rPr>
                <w:rFonts w:eastAsia="Times New Roman" w:cs="Arial"/>
                <w:b/>
                <w:bCs/>
              </w:rPr>
            </w:pPr>
            <w:r>
              <w:rPr>
                <w:rFonts w:asciiTheme="minorHAnsi" w:hAnsiTheme="minorHAnsi" w:cs="Arial"/>
                <w:b/>
                <w:bCs/>
                <w:lang w:val="hr-HR"/>
              </w:rPr>
              <w:t>29,793</w:t>
            </w:r>
          </w:p>
        </w:tc>
      </w:tr>
      <w:tr w:rsidR="00F12CC3" w:rsidRPr="0034501D" w14:paraId="22668CBE" w14:textId="77777777" w:rsidTr="004C0B45">
        <w:trPr>
          <w:trHeight w:val="60"/>
        </w:trPr>
        <w:tc>
          <w:tcPr>
            <w:tcW w:w="2326" w:type="pct"/>
            <w:vAlign w:val="bottom"/>
          </w:tcPr>
          <w:p w14:paraId="377A7F4B" w14:textId="77777777" w:rsidR="00F12CC3" w:rsidRPr="0034501D" w:rsidRDefault="00F12CC3" w:rsidP="00F12CC3">
            <w:pPr>
              <w:tabs>
                <w:tab w:val="right" w:pos="1202"/>
              </w:tabs>
              <w:spacing w:after="0" w:line="280" w:lineRule="exact"/>
              <w:outlineLvl w:val="0"/>
              <w:rPr>
                <w:rFonts w:eastAsia="Times New Roman" w:cs="Arial"/>
                <w:b/>
                <w:bCs/>
              </w:rPr>
            </w:pPr>
          </w:p>
        </w:tc>
        <w:tc>
          <w:tcPr>
            <w:tcW w:w="634" w:type="pct"/>
            <w:tcBorders>
              <w:top w:val="single" w:sz="12" w:space="0" w:color="auto"/>
            </w:tcBorders>
            <w:vAlign w:val="bottom"/>
          </w:tcPr>
          <w:p w14:paraId="717231FD" w14:textId="77777777" w:rsidR="00F12CC3" w:rsidRPr="00CA37C8" w:rsidRDefault="00F12CC3" w:rsidP="00F12CC3">
            <w:pPr>
              <w:keepNext/>
              <w:keepLines/>
              <w:spacing w:after="0" w:line="280" w:lineRule="exact"/>
              <w:jc w:val="right"/>
              <w:rPr>
                <w:rFonts w:eastAsia="Times New Roman" w:cs="Arial"/>
                <w:b/>
                <w:spacing w:val="-2"/>
                <w:position w:val="4"/>
              </w:rPr>
            </w:pPr>
          </w:p>
        </w:tc>
        <w:tc>
          <w:tcPr>
            <w:tcW w:w="704" w:type="pct"/>
            <w:tcBorders>
              <w:top w:val="single" w:sz="12" w:space="0" w:color="auto"/>
            </w:tcBorders>
            <w:vAlign w:val="bottom"/>
          </w:tcPr>
          <w:p w14:paraId="44F4BDA2" w14:textId="77777777" w:rsidR="00F12CC3" w:rsidRPr="00CA37C8" w:rsidRDefault="00F12CC3" w:rsidP="00F12CC3">
            <w:pPr>
              <w:keepNext/>
              <w:keepLines/>
              <w:spacing w:after="0" w:line="280" w:lineRule="exact"/>
              <w:jc w:val="right"/>
              <w:rPr>
                <w:rFonts w:eastAsia="Times New Roman" w:cs="Arial"/>
                <w:b/>
                <w:spacing w:val="-2"/>
                <w:position w:val="4"/>
              </w:rPr>
            </w:pPr>
          </w:p>
        </w:tc>
        <w:tc>
          <w:tcPr>
            <w:tcW w:w="633" w:type="pct"/>
            <w:tcBorders>
              <w:top w:val="single" w:sz="12" w:space="0" w:color="auto"/>
            </w:tcBorders>
            <w:vAlign w:val="bottom"/>
          </w:tcPr>
          <w:p w14:paraId="7C1BBA1A" w14:textId="77777777" w:rsidR="00F12CC3" w:rsidRPr="00CA37C8" w:rsidRDefault="00F12CC3" w:rsidP="00F12CC3">
            <w:pPr>
              <w:keepNext/>
              <w:keepLines/>
              <w:spacing w:after="0" w:line="280" w:lineRule="exact"/>
              <w:jc w:val="right"/>
              <w:rPr>
                <w:rFonts w:eastAsia="Times New Roman" w:cs="Arial"/>
                <w:b/>
                <w:spacing w:val="-2"/>
                <w:position w:val="4"/>
              </w:rPr>
            </w:pPr>
          </w:p>
        </w:tc>
        <w:tc>
          <w:tcPr>
            <w:tcW w:w="703" w:type="pct"/>
            <w:tcBorders>
              <w:top w:val="single" w:sz="12" w:space="0" w:color="auto"/>
            </w:tcBorders>
            <w:vAlign w:val="bottom"/>
          </w:tcPr>
          <w:p w14:paraId="4EBF77DF" w14:textId="77777777" w:rsidR="00F12CC3" w:rsidRPr="00CA37C8" w:rsidRDefault="00F12CC3" w:rsidP="00F12CC3">
            <w:pPr>
              <w:keepNext/>
              <w:keepLines/>
              <w:spacing w:after="0" w:line="280" w:lineRule="exact"/>
              <w:jc w:val="right"/>
              <w:rPr>
                <w:rFonts w:eastAsia="Times New Roman" w:cs="Arial"/>
                <w:b/>
                <w:spacing w:val="-2"/>
                <w:position w:val="4"/>
              </w:rPr>
            </w:pPr>
          </w:p>
        </w:tc>
      </w:tr>
      <w:tr w:rsidR="00F12CC3" w:rsidRPr="0034501D" w14:paraId="25E9BF1A" w14:textId="77777777" w:rsidTr="006B318F">
        <w:trPr>
          <w:trHeight w:val="127"/>
        </w:trPr>
        <w:tc>
          <w:tcPr>
            <w:tcW w:w="2326" w:type="pct"/>
            <w:vAlign w:val="bottom"/>
          </w:tcPr>
          <w:p w14:paraId="5332099F" w14:textId="77777777" w:rsidR="00F12CC3" w:rsidRPr="0034501D" w:rsidRDefault="00F12CC3" w:rsidP="00F12CC3">
            <w:pPr>
              <w:tabs>
                <w:tab w:val="right" w:pos="1202"/>
              </w:tabs>
              <w:spacing w:after="0" w:line="280" w:lineRule="exact"/>
              <w:outlineLvl w:val="0"/>
              <w:rPr>
                <w:rFonts w:eastAsia="Times New Roman" w:cs="Arial"/>
                <w:b/>
                <w:bCs/>
              </w:rPr>
            </w:pPr>
            <w:r w:rsidRPr="0034501D">
              <w:rPr>
                <w:rFonts w:eastAsia="Times New Roman" w:cs="Arial"/>
                <w:b/>
                <w:bCs/>
              </w:rPr>
              <w:t>Other comprehensive income after tax</w:t>
            </w:r>
          </w:p>
        </w:tc>
        <w:tc>
          <w:tcPr>
            <w:tcW w:w="634" w:type="pct"/>
            <w:tcBorders>
              <w:top w:val="nil"/>
              <w:left w:val="nil"/>
              <w:bottom w:val="nil"/>
              <w:right w:val="nil"/>
            </w:tcBorders>
            <w:shd w:val="clear" w:color="auto" w:fill="auto"/>
            <w:vAlign w:val="bottom"/>
          </w:tcPr>
          <w:p w14:paraId="41A8063B" w14:textId="3D49D39B" w:rsidR="00F12CC3" w:rsidRPr="00817F9D" w:rsidRDefault="00F12CC3" w:rsidP="00F12CC3">
            <w:pPr>
              <w:keepNext/>
              <w:keepLines/>
              <w:spacing w:after="0" w:line="280" w:lineRule="exact"/>
              <w:jc w:val="right"/>
              <w:rPr>
                <w:rFonts w:eastAsia="Times New Roman" w:cs="Arial"/>
                <w:b/>
                <w:bCs/>
              </w:rPr>
            </w:pPr>
            <w:r w:rsidRPr="00CE0613">
              <w:rPr>
                <w:b/>
              </w:rPr>
              <w:t xml:space="preserve"> 16</w:t>
            </w:r>
            <w:r>
              <w:rPr>
                <w:b/>
              </w:rPr>
              <w:t>,</w:t>
            </w:r>
            <w:r w:rsidRPr="00CE0613">
              <w:rPr>
                <w:b/>
              </w:rPr>
              <w:t xml:space="preserve">681 </w:t>
            </w:r>
          </w:p>
        </w:tc>
        <w:tc>
          <w:tcPr>
            <w:tcW w:w="704" w:type="pct"/>
            <w:tcBorders>
              <w:top w:val="nil"/>
              <w:left w:val="nil"/>
              <w:bottom w:val="nil"/>
              <w:right w:val="nil"/>
            </w:tcBorders>
            <w:shd w:val="clear" w:color="auto" w:fill="auto"/>
            <w:vAlign w:val="bottom"/>
          </w:tcPr>
          <w:p w14:paraId="6603EDBB" w14:textId="5447C50A" w:rsidR="00F12CC3" w:rsidRPr="00817F9D" w:rsidRDefault="00F12CC3" w:rsidP="00F12CC3">
            <w:pPr>
              <w:keepNext/>
              <w:keepLines/>
              <w:spacing w:after="0" w:line="280" w:lineRule="exact"/>
              <w:jc w:val="right"/>
              <w:rPr>
                <w:rFonts w:eastAsia="Times New Roman" w:cs="Arial"/>
                <w:b/>
                <w:bCs/>
              </w:rPr>
            </w:pPr>
            <w:r w:rsidRPr="00CE0613">
              <w:rPr>
                <w:b/>
              </w:rPr>
              <w:t xml:space="preserve"> 16</w:t>
            </w:r>
            <w:r>
              <w:rPr>
                <w:b/>
              </w:rPr>
              <w:t>,</w:t>
            </w:r>
            <w:r w:rsidRPr="00CE0613">
              <w:rPr>
                <w:b/>
              </w:rPr>
              <w:t xml:space="preserve">019 </w:t>
            </w:r>
          </w:p>
        </w:tc>
        <w:tc>
          <w:tcPr>
            <w:tcW w:w="633" w:type="pct"/>
            <w:tcBorders>
              <w:top w:val="nil"/>
              <w:left w:val="nil"/>
              <w:bottom w:val="nil"/>
              <w:right w:val="nil"/>
            </w:tcBorders>
            <w:shd w:val="clear" w:color="auto" w:fill="auto"/>
            <w:vAlign w:val="bottom"/>
          </w:tcPr>
          <w:p w14:paraId="3FC41924" w14:textId="605EE167" w:rsidR="00F12CC3" w:rsidRPr="00817F9D" w:rsidRDefault="00F12CC3" w:rsidP="00F12CC3">
            <w:pPr>
              <w:keepNext/>
              <w:keepLines/>
              <w:spacing w:after="0" w:line="280" w:lineRule="exact"/>
              <w:jc w:val="right"/>
              <w:rPr>
                <w:rFonts w:eastAsia="Times New Roman" w:cs="Arial"/>
                <w:b/>
                <w:bCs/>
              </w:rPr>
            </w:pPr>
            <w:r w:rsidRPr="00237B05">
              <w:rPr>
                <w:b/>
              </w:rPr>
              <w:t>15</w:t>
            </w:r>
            <w:r>
              <w:rPr>
                <w:b/>
              </w:rPr>
              <w:t>,</w:t>
            </w:r>
            <w:r w:rsidRPr="00237B05">
              <w:rPr>
                <w:b/>
              </w:rPr>
              <w:t>949</w:t>
            </w:r>
          </w:p>
        </w:tc>
        <w:tc>
          <w:tcPr>
            <w:tcW w:w="703" w:type="pct"/>
            <w:tcBorders>
              <w:top w:val="nil"/>
              <w:left w:val="nil"/>
              <w:bottom w:val="nil"/>
              <w:right w:val="nil"/>
            </w:tcBorders>
            <w:shd w:val="clear" w:color="auto" w:fill="auto"/>
            <w:vAlign w:val="bottom"/>
          </w:tcPr>
          <w:p w14:paraId="61055DBB" w14:textId="3DDF6F6E" w:rsidR="00F12CC3" w:rsidRPr="00817F9D" w:rsidRDefault="00F12CC3" w:rsidP="00F12CC3">
            <w:pPr>
              <w:keepNext/>
              <w:keepLines/>
              <w:spacing w:after="0" w:line="280" w:lineRule="exact"/>
              <w:jc w:val="right"/>
              <w:rPr>
                <w:rFonts w:eastAsia="Times New Roman" w:cs="Arial"/>
                <w:b/>
                <w:bCs/>
              </w:rPr>
            </w:pPr>
            <w:r w:rsidRPr="00237B05">
              <w:rPr>
                <w:b/>
              </w:rPr>
              <w:t>29</w:t>
            </w:r>
            <w:r>
              <w:rPr>
                <w:b/>
              </w:rPr>
              <w:t>,</w:t>
            </w:r>
            <w:r w:rsidRPr="00237B05">
              <w:rPr>
                <w:b/>
              </w:rPr>
              <w:t>793</w:t>
            </w:r>
          </w:p>
        </w:tc>
      </w:tr>
      <w:tr w:rsidR="00F12CC3" w:rsidRPr="0034501D" w14:paraId="75CB119B" w14:textId="77777777" w:rsidTr="004C0B45">
        <w:trPr>
          <w:trHeight w:val="199"/>
        </w:trPr>
        <w:tc>
          <w:tcPr>
            <w:tcW w:w="2326" w:type="pct"/>
            <w:vAlign w:val="bottom"/>
          </w:tcPr>
          <w:p w14:paraId="13551F11" w14:textId="77777777" w:rsidR="00F12CC3" w:rsidRPr="0034501D" w:rsidRDefault="00F12CC3" w:rsidP="00F12CC3">
            <w:pPr>
              <w:tabs>
                <w:tab w:val="right" w:pos="1202"/>
              </w:tabs>
              <w:spacing w:after="0" w:line="280" w:lineRule="exact"/>
              <w:outlineLvl w:val="0"/>
              <w:rPr>
                <w:rFonts w:eastAsia="Times New Roman" w:cs="Arial"/>
                <w:b/>
                <w:bCs/>
              </w:rPr>
            </w:pPr>
          </w:p>
        </w:tc>
        <w:tc>
          <w:tcPr>
            <w:tcW w:w="634" w:type="pct"/>
            <w:tcBorders>
              <w:bottom w:val="single" w:sz="4" w:space="0" w:color="auto"/>
            </w:tcBorders>
            <w:vAlign w:val="bottom"/>
          </w:tcPr>
          <w:p w14:paraId="439581C1" w14:textId="77777777" w:rsidR="00F12CC3" w:rsidRPr="00CA37C8" w:rsidRDefault="00F12CC3" w:rsidP="00F12CC3">
            <w:pPr>
              <w:keepNext/>
              <w:keepLines/>
              <w:spacing w:after="0" w:line="280" w:lineRule="exact"/>
              <w:jc w:val="right"/>
              <w:rPr>
                <w:rFonts w:eastAsia="Times New Roman" w:cs="Arial"/>
                <w:b/>
                <w:spacing w:val="-2"/>
                <w:position w:val="4"/>
              </w:rPr>
            </w:pPr>
          </w:p>
        </w:tc>
        <w:tc>
          <w:tcPr>
            <w:tcW w:w="704" w:type="pct"/>
            <w:tcBorders>
              <w:bottom w:val="single" w:sz="4" w:space="0" w:color="auto"/>
            </w:tcBorders>
            <w:vAlign w:val="bottom"/>
          </w:tcPr>
          <w:p w14:paraId="599F93E4" w14:textId="77777777" w:rsidR="00F12CC3" w:rsidRPr="00CA37C8" w:rsidRDefault="00F12CC3" w:rsidP="00F12CC3">
            <w:pPr>
              <w:keepNext/>
              <w:keepLines/>
              <w:spacing w:after="0" w:line="280" w:lineRule="exact"/>
              <w:jc w:val="right"/>
              <w:rPr>
                <w:rFonts w:eastAsia="Times New Roman" w:cs="Arial"/>
                <w:b/>
                <w:spacing w:val="-2"/>
                <w:position w:val="4"/>
              </w:rPr>
            </w:pPr>
          </w:p>
        </w:tc>
        <w:tc>
          <w:tcPr>
            <w:tcW w:w="633" w:type="pct"/>
            <w:tcBorders>
              <w:bottom w:val="single" w:sz="4" w:space="0" w:color="auto"/>
            </w:tcBorders>
            <w:vAlign w:val="bottom"/>
          </w:tcPr>
          <w:p w14:paraId="59F9764E" w14:textId="77777777" w:rsidR="00F12CC3" w:rsidRPr="00CA37C8" w:rsidRDefault="00F12CC3" w:rsidP="00F12CC3">
            <w:pPr>
              <w:keepNext/>
              <w:keepLines/>
              <w:spacing w:after="0" w:line="280" w:lineRule="exact"/>
              <w:jc w:val="right"/>
              <w:rPr>
                <w:rFonts w:eastAsia="Times New Roman" w:cs="Arial"/>
                <w:b/>
                <w:spacing w:val="-2"/>
                <w:position w:val="4"/>
              </w:rPr>
            </w:pPr>
          </w:p>
        </w:tc>
        <w:tc>
          <w:tcPr>
            <w:tcW w:w="703" w:type="pct"/>
            <w:tcBorders>
              <w:bottom w:val="single" w:sz="4" w:space="0" w:color="auto"/>
            </w:tcBorders>
            <w:vAlign w:val="bottom"/>
          </w:tcPr>
          <w:p w14:paraId="523C7E6E" w14:textId="77777777" w:rsidR="00F12CC3" w:rsidRPr="00CA37C8" w:rsidRDefault="00F12CC3" w:rsidP="00F12CC3">
            <w:pPr>
              <w:keepNext/>
              <w:keepLines/>
              <w:spacing w:after="0" w:line="280" w:lineRule="exact"/>
              <w:jc w:val="right"/>
              <w:rPr>
                <w:rFonts w:eastAsia="Times New Roman" w:cs="Arial"/>
                <w:b/>
                <w:spacing w:val="-2"/>
                <w:position w:val="4"/>
              </w:rPr>
            </w:pPr>
          </w:p>
        </w:tc>
      </w:tr>
      <w:tr w:rsidR="00F12CC3" w:rsidRPr="0034501D" w14:paraId="0788BCEF" w14:textId="77777777" w:rsidTr="004C0B45">
        <w:trPr>
          <w:trHeight w:val="345"/>
        </w:trPr>
        <w:tc>
          <w:tcPr>
            <w:tcW w:w="2326" w:type="pct"/>
            <w:vAlign w:val="bottom"/>
          </w:tcPr>
          <w:p w14:paraId="0A6F6ABD" w14:textId="77777777" w:rsidR="00F12CC3" w:rsidRPr="0034501D" w:rsidRDefault="00F12CC3" w:rsidP="00F12CC3">
            <w:pPr>
              <w:tabs>
                <w:tab w:val="right" w:pos="1202"/>
              </w:tabs>
              <w:spacing w:after="0" w:line="280" w:lineRule="exact"/>
              <w:outlineLvl w:val="0"/>
              <w:rPr>
                <w:rFonts w:eastAsia="Times New Roman" w:cs="Arial"/>
                <w:b/>
                <w:bCs/>
              </w:rPr>
            </w:pPr>
            <w:r w:rsidRPr="0034501D">
              <w:rPr>
                <w:rFonts w:eastAsia="Times New Roman" w:cs="Arial"/>
                <w:b/>
                <w:bCs/>
              </w:rPr>
              <w:t>Total comprehensive income after tax</w:t>
            </w:r>
          </w:p>
        </w:tc>
        <w:tc>
          <w:tcPr>
            <w:tcW w:w="634" w:type="pct"/>
            <w:tcBorders>
              <w:top w:val="single" w:sz="4" w:space="0" w:color="auto"/>
              <w:left w:val="nil"/>
              <w:bottom w:val="single" w:sz="8" w:space="0" w:color="auto"/>
              <w:right w:val="nil"/>
            </w:tcBorders>
            <w:shd w:val="clear" w:color="auto" w:fill="auto"/>
            <w:vAlign w:val="bottom"/>
          </w:tcPr>
          <w:p w14:paraId="6F5E78D9" w14:textId="43A86B5F" w:rsidR="00F12CC3" w:rsidRPr="004A59C4" w:rsidRDefault="00F12CC3" w:rsidP="00F12CC3">
            <w:pPr>
              <w:tabs>
                <w:tab w:val="right" w:pos="1202"/>
              </w:tabs>
              <w:spacing w:after="0" w:line="280" w:lineRule="exact"/>
              <w:jc w:val="right"/>
              <w:outlineLvl w:val="0"/>
              <w:rPr>
                <w:rFonts w:eastAsia="Times New Roman" w:cs="Arial"/>
                <w:b/>
                <w:bCs/>
              </w:rPr>
            </w:pPr>
            <w:r w:rsidRPr="00CE0613">
              <w:rPr>
                <w:rFonts w:asciiTheme="minorHAnsi" w:hAnsiTheme="minorHAnsi" w:cs="Arial"/>
                <w:b/>
                <w:bCs/>
                <w:lang w:val="hr-HR"/>
              </w:rPr>
              <w:t>62</w:t>
            </w:r>
            <w:r>
              <w:rPr>
                <w:rFonts w:asciiTheme="minorHAnsi" w:hAnsiTheme="minorHAnsi" w:cs="Arial"/>
                <w:b/>
                <w:bCs/>
                <w:lang w:val="hr-HR"/>
              </w:rPr>
              <w:t>,</w:t>
            </w:r>
            <w:r w:rsidRPr="00CE0613">
              <w:rPr>
                <w:rFonts w:asciiTheme="minorHAnsi" w:hAnsiTheme="minorHAnsi" w:cs="Arial"/>
                <w:b/>
                <w:bCs/>
                <w:lang w:val="hr-HR"/>
              </w:rPr>
              <w:t>836</w:t>
            </w:r>
          </w:p>
        </w:tc>
        <w:tc>
          <w:tcPr>
            <w:tcW w:w="704" w:type="pct"/>
            <w:tcBorders>
              <w:top w:val="single" w:sz="4" w:space="0" w:color="auto"/>
              <w:left w:val="nil"/>
              <w:bottom w:val="single" w:sz="8" w:space="0" w:color="auto"/>
              <w:right w:val="nil"/>
            </w:tcBorders>
            <w:shd w:val="clear" w:color="auto" w:fill="auto"/>
            <w:vAlign w:val="bottom"/>
          </w:tcPr>
          <w:p w14:paraId="164F12C6" w14:textId="03BE043D" w:rsidR="00F12CC3" w:rsidRPr="004A59C4" w:rsidRDefault="00F12CC3" w:rsidP="00F12CC3">
            <w:pPr>
              <w:tabs>
                <w:tab w:val="right" w:pos="1202"/>
              </w:tabs>
              <w:spacing w:after="0" w:line="280" w:lineRule="exact"/>
              <w:jc w:val="right"/>
              <w:outlineLvl w:val="0"/>
              <w:rPr>
                <w:rFonts w:eastAsia="Times New Roman" w:cs="Arial"/>
                <w:b/>
                <w:bCs/>
              </w:rPr>
            </w:pPr>
            <w:r w:rsidRPr="00CE0613">
              <w:rPr>
                <w:rFonts w:asciiTheme="minorHAnsi" w:hAnsiTheme="minorHAnsi" w:cs="Arial"/>
                <w:b/>
                <w:bCs/>
                <w:lang w:val="hr-HR"/>
              </w:rPr>
              <w:t>191</w:t>
            </w:r>
            <w:r>
              <w:rPr>
                <w:rFonts w:asciiTheme="minorHAnsi" w:hAnsiTheme="minorHAnsi" w:cs="Arial"/>
                <w:b/>
                <w:bCs/>
                <w:lang w:val="hr-HR"/>
              </w:rPr>
              <w:t>,</w:t>
            </w:r>
            <w:r w:rsidRPr="00CE0613">
              <w:rPr>
                <w:rFonts w:asciiTheme="minorHAnsi" w:hAnsiTheme="minorHAnsi" w:cs="Arial"/>
                <w:b/>
                <w:bCs/>
                <w:lang w:val="hr-HR"/>
              </w:rPr>
              <w:t>530</w:t>
            </w:r>
          </w:p>
        </w:tc>
        <w:tc>
          <w:tcPr>
            <w:tcW w:w="633" w:type="pct"/>
            <w:tcBorders>
              <w:top w:val="single" w:sz="4" w:space="0" w:color="auto"/>
              <w:left w:val="nil"/>
              <w:bottom w:val="single" w:sz="8" w:space="0" w:color="auto"/>
              <w:right w:val="nil"/>
            </w:tcBorders>
            <w:shd w:val="clear" w:color="auto" w:fill="auto"/>
            <w:vAlign w:val="bottom"/>
          </w:tcPr>
          <w:p w14:paraId="728FE5CE" w14:textId="1FE5823E" w:rsidR="00F12CC3" w:rsidRPr="004A59C4" w:rsidRDefault="00F12CC3" w:rsidP="00F12CC3">
            <w:pPr>
              <w:tabs>
                <w:tab w:val="right" w:pos="1202"/>
              </w:tabs>
              <w:spacing w:after="0" w:line="280" w:lineRule="exact"/>
              <w:jc w:val="right"/>
              <w:outlineLvl w:val="0"/>
              <w:rPr>
                <w:rFonts w:eastAsia="Times New Roman" w:cs="Arial"/>
                <w:b/>
                <w:bCs/>
              </w:rPr>
            </w:pPr>
            <w:r>
              <w:rPr>
                <w:rFonts w:asciiTheme="minorHAnsi" w:hAnsiTheme="minorHAnsi" w:cs="Arial"/>
                <w:b/>
                <w:bCs/>
                <w:lang w:val="hr-HR"/>
              </w:rPr>
              <w:t>67,635</w:t>
            </w:r>
          </w:p>
        </w:tc>
        <w:tc>
          <w:tcPr>
            <w:tcW w:w="703" w:type="pct"/>
            <w:tcBorders>
              <w:top w:val="single" w:sz="4" w:space="0" w:color="auto"/>
              <w:left w:val="nil"/>
              <w:bottom w:val="single" w:sz="8" w:space="0" w:color="auto"/>
              <w:right w:val="nil"/>
            </w:tcBorders>
            <w:shd w:val="clear" w:color="auto" w:fill="auto"/>
            <w:vAlign w:val="bottom"/>
          </w:tcPr>
          <w:p w14:paraId="157012AA" w14:textId="4C0520C8" w:rsidR="00F12CC3" w:rsidRPr="004A59C4" w:rsidRDefault="00F12CC3" w:rsidP="00F12CC3">
            <w:pPr>
              <w:tabs>
                <w:tab w:val="right" w:pos="1202"/>
              </w:tabs>
              <w:spacing w:after="0" w:line="280" w:lineRule="exact"/>
              <w:jc w:val="right"/>
              <w:outlineLvl w:val="0"/>
              <w:rPr>
                <w:rFonts w:eastAsia="Times New Roman" w:cs="Arial"/>
                <w:b/>
                <w:bCs/>
              </w:rPr>
            </w:pPr>
            <w:r>
              <w:rPr>
                <w:rFonts w:asciiTheme="minorHAnsi" w:hAnsiTheme="minorHAnsi" w:cs="Arial"/>
                <w:b/>
                <w:bCs/>
                <w:lang w:val="hr-HR"/>
              </w:rPr>
              <w:t>188,714</w:t>
            </w:r>
          </w:p>
        </w:tc>
      </w:tr>
      <w:tr w:rsidR="00F12CC3" w:rsidRPr="0034501D" w14:paraId="0962B8D9" w14:textId="77777777" w:rsidTr="004C0B45">
        <w:trPr>
          <w:trHeight w:val="151"/>
        </w:trPr>
        <w:tc>
          <w:tcPr>
            <w:tcW w:w="2326" w:type="pct"/>
            <w:vAlign w:val="bottom"/>
          </w:tcPr>
          <w:p w14:paraId="23C4C0A4" w14:textId="77777777" w:rsidR="00F12CC3" w:rsidRPr="0034501D" w:rsidRDefault="00F12CC3" w:rsidP="00F12CC3">
            <w:pPr>
              <w:tabs>
                <w:tab w:val="right" w:pos="1202"/>
              </w:tabs>
              <w:spacing w:after="0" w:line="200" w:lineRule="exact"/>
              <w:outlineLvl w:val="0"/>
              <w:rPr>
                <w:rFonts w:eastAsia="Times New Roman" w:cs="Arial"/>
                <w:b/>
                <w:bCs/>
              </w:rPr>
            </w:pPr>
          </w:p>
        </w:tc>
        <w:tc>
          <w:tcPr>
            <w:tcW w:w="634" w:type="pct"/>
            <w:tcBorders>
              <w:top w:val="single" w:sz="12" w:space="0" w:color="auto"/>
            </w:tcBorders>
            <w:vAlign w:val="bottom"/>
          </w:tcPr>
          <w:p w14:paraId="4E1F26AC" w14:textId="77777777" w:rsidR="00F12CC3" w:rsidRPr="00CA37C8" w:rsidRDefault="00F12CC3" w:rsidP="00F12CC3">
            <w:pPr>
              <w:keepNext/>
              <w:keepLines/>
              <w:spacing w:after="0" w:line="200" w:lineRule="exact"/>
              <w:jc w:val="right"/>
              <w:rPr>
                <w:rFonts w:eastAsia="Times New Roman" w:cs="Arial"/>
                <w:b/>
                <w:position w:val="4"/>
                <w:u w:val="thick"/>
              </w:rPr>
            </w:pPr>
          </w:p>
        </w:tc>
        <w:tc>
          <w:tcPr>
            <w:tcW w:w="704" w:type="pct"/>
            <w:tcBorders>
              <w:top w:val="single" w:sz="12" w:space="0" w:color="auto"/>
            </w:tcBorders>
            <w:vAlign w:val="bottom"/>
          </w:tcPr>
          <w:p w14:paraId="1C1B7F2F" w14:textId="77777777" w:rsidR="00F12CC3" w:rsidRPr="00CA37C8" w:rsidRDefault="00F12CC3" w:rsidP="00F12CC3">
            <w:pPr>
              <w:keepNext/>
              <w:keepLines/>
              <w:spacing w:after="0" w:line="200" w:lineRule="exact"/>
              <w:jc w:val="right"/>
              <w:rPr>
                <w:rFonts w:eastAsia="Times New Roman" w:cs="Arial"/>
                <w:b/>
                <w:position w:val="4"/>
                <w:u w:val="thick"/>
              </w:rPr>
            </w:pPr>
          </w:p>
        </w:tc>
        <w:tc>
          <w:tcPr>
            <w:tcW w:w="633" w:type="pct"/>
            <w:tcBorders>
              <w:top w:val="single" w:sz="12" w:space="0" w:color="auto"/>
            </w:tcBorders>
            <w:vAlign w:val="bottom"/>
          </w:tcPr>
          <w:p w14:paraId="65EAFAB9" w14:textId="77777777" w:rsidR="00F12CC3" w:rsidRPr="00CA37C8" w:rsidRDefault="00F12CC3" w:rsidP="00F12CC3">
            <w:pPr>
              <w:keepNext/>
              <w:keepLines/>
              <w:spacing w:after="0" w:line="200" w:lineRule="exact"/>
              <w:jc w:val="right"/>
              <w:rPr>
                <w:rFonts w:eastAsia="Times New Roman" w:cs="Arial"/>
                <w:b/>
                <w:position w:val="4"/>
                <w:u w:val="thick"/>
              </w:rPr>
            </w:pPr>
          </w:p>
        </w:tc>
        <w:tc>
          <w:tcPr>
            <w:tcW w:w="703" w:type="pct"/>
            <w:tcBorders>
              <w:top w:val="single" w:sz="12" w:space="0" w:color="auto"/>
            </w:tcBorders>
            <w:vAlign w:val="bottom"/>
          </w:tcPr>
          <w:p w14:paraId="02A18472" w14:textId="77777777" w:rsidR="00F12CC3" w:rsidRPr="00CA37C8" w:rsidRDefault="00F12CC3" w:rsidP="00F12CC3">
            <w:pPr>
              <w:keepNext/>
              <w:keepLines/>
              <w:spacing w:after="0" w:line="200" w:lineRule="exact"/>
              <w:jc w:val="right"/>
              <w:rPr>
                <w:rFonts w:eastAsia="Times New Roman" w:cs="Arial"/>
                <w:b/>
                <w:position w:val="4"/>
                <w:u w:val="thick"/>
              </w:rPr>
            </w:pPr>
          </w:p>
        </w:tc>
      </w:tr>
      <w:tr w:rsidR="00F12CC3" w:rsidRPr="0034501D" w14:paraId="5758B29C" w14:textId="77777777" w:rsidTr="004C0B45">
        <w:trPr>
          <w:trHeight w:val="74"/>
        </w:trPr>
        <w:tc>
          <w:tcPr>
            <w:tcW w:w="2326" w:type="pct"/>
            <w:vAlign w:val="bottom"/>
          </w:tcPr>
          <w:p w14:paraId="2B5A0F7D" w14:textId="77777777" w:rsidR="00F12CC3" w:rsidRPr="0034501D" w:rsidRDefault="00F12CC3" w:rsidP="00F12CC3">
            <w:pPr>
              <w:tabs>
                <w:tab w:val="right" w:pos="1202"/>
              </w:tabs>
              <w:spacing w:after="0" w:line="200" w:lineRule="exact"/>
              <w:outlineLvl w:val="0"/>
              <w:rPr>
                <w:rFonts w:eastAsia="Times New Roman" w:cs="Arial"/>
                <w:b/>
                <w:bCs/>
              </w:rPr>
            </w:pPr>
          </w:p>
        </w:tc>
        <w:tc>
          <w:tcPr>
            <w:tcW w:w="634" w:type="pct"/>
            <w:vAlign w:val="bottom"/>
          </w:tcPr>
          <w:p w14:paraId="3910F0CA" w14:textId="77777777" w:rsidR="00F12CC3" w:rsidRPr="00CA37C8" w:rsidRDefault="00F12CC3" w:rsidP="00F12CC3">
            <w:pPr>
              <w:keepNext/>
              <w:keepLines/>
              <w:spacing w:after="0" w:line="200" w:lineRule="exact"/>
              <w:jc w:val="right"/>
              <w:rPr>
                <w:rFonts w:eastAsia="Times New Roman" w:cs="Arial"/>
                <w:b/>
                <w:position w:val="4"/>
              </w:rPr>
            </w:pPr>
          </w:p>
        </w:tc>
        <w:tc>
          <w:tcPr>
            <w:tcW w:w="704" w:type="pct"/>
            <w:vAlign w:val="bottom"/>
          </w:tcPr>
          <w:p w14:paraId="59F23D6D" w14:textId="77777777" w:rsidR="00F12CC3" w:rsidRPr="00CA37C8" w:rsidRDefault="00F12CC3" w:rsidP="00F12CC3">
            <w:pPr>
              <w:keepNext/>
              <w:keepLines/>
              <w:spacing w:after="0" w:line="200" w:lineRule="exact"/>
              <w:jc w:val="right"/>
              <w:rPr>
                <w:rFonts w:eastAsia="Times New Roman" w:cs="Arial"/>
                <w:b/>
                <w:position w:val="4"/>
              </w:rPr>
            </w:pPr>
          </w:p>
        </w:tc>
        <w:tc>
          <w:tcPr>
            <w:tcW w:w="633" w:type="pct"/>
            <w:vAlign w:val="bottom"/>
          </w:tcPr>
          <w:p w14:paraId="3D2B5E0F" w14:textId="77777777" w:rsidR="00F12CC3" w:rsidRPr="00CA37C8" w:rsidRDefault="00F12CC3" w:rsidP="00F12CC3">
            <w:pPr>
              <w:keepNext/>
              <w:keepLines/>
              <w:spacing w:after="0" w:line="200" w:lineRule="exact"/>
              <w:jc w:val="right"/>
              <w:rPr>
                <w:rFonts w:eastAsia="Times New Roman" w:cs="Arial"/>
                <w:b/>
                <w:position w:val="4"/>
              </w:rPr>
            </w:pPr>
          </w:p>
        </w:tc>
        <w:tc>
          <w:tcPr>
            <w:tcW w:w="703" w:type="pct"/>
            <w:vAlign w:val="bottom"/>
          </w:tcPr>
          <w:p w14:paraId="43C428A9" w14:textId="77777777" w:rsidR="00F12CC3" w:rsidRPr="00CA37C8" w:rsidRDefault="00F12CC3" w:rsidP="00F12CC3">
            <w:pPr>
              <w:keepNext/>
              <w:keepLines/>
              <w:spacing w:after="0" w:line="200" w:lineRule="exact"/>
              <w:jc w:val="right"/>
              <w:rPr>
                <w:rFonts w:eastAsia="Times New Roman" w:cs="Arial"/>
                <w:b/>
                <w:position w:val="4"/>
              </w:rPr>
            </w:pPr>
          </w:p>
        </w:tc>
      </w:tr>
      <w:tr w:rsidR="00F12CC3" w:rsidRPr="0034501D" w14:paraId="53287EF8" w14:textId="77777777" w:rsidTr="004C0B45">
        <w:trPr>
          <w:trHeight w:val="303"/>
        </w:trPr>
        <w:tc>
          <w:tcPr>
            <w:tcW w:w="2326" w:type="pct"/>
            <w:vAlign w:val="bottom"/>
          </w:tcPr>
          <w:p w14:paraId="00C8F500" w14:textId="77777777" w:rsidR="00F12CC3" w:rsidRPr="0034501D" w:rsidRDefault="00F12CC3" w:rsidP="00F12CC3">
            <w:pPr>
              <w:tabs>
                <w:tab w:val="right" w:pos="1202"/>
              </w:tabs>
              <w:spacing w:after="0" w:line="280" w:lineRule="exact"/>
              <w:outlineLvl w:val="0"/>
              <w:rPr>
                <w:rFonts w:eastAsia="Times New Roman" w:cs="Arial"/>
                <w:b/>
                <w:bCs/>
              </w:rPr>
            </w:pPr>
            <w:r w:rsidRPr="0034501D">
              <w:rPr>
                <w:rFonts w:cs="Arial"/>
                <w:b/>
              </w:rPr>
              <w:t>Attributable to</w:t>
            </w:r>
            <w:r w:rsidRPr="0034501D">
              <w:rPr>
                <w:rFonts w:eastAsia="Times New Roman" w:cs="Arial"/>
                <w:b/>
                <w:bCs/>
              </w:rPr>
              <w:t>:</w:t>
            </w:r>
          </w:p>
        </w:tc>
        <w:tc>
          <w:tcPr>
            <w:tcW w:w="634" w:type="pct"/>
            <w:vAlign w:val="bottom"/>
          </w:tcPr>
          <w:p w14:paraId="386BAAD0" w14:textId="77777777" w:rsidR="00F12CC3" w:rsidRPr="00CA37C8" w:rsidRDefault="00F12CC3" w:rsidP="00F12CC3">
            <w:pPr>
              <w:keepNext/>
              <w:keepLines/>
              <w:spacing w:after="0" w:line="280" w:lineRule="exact"/>
              <w:jc w:val="right"/>
              <w:rPr>
                <w:rFonts w:eastAsia="Times New Roman" w:cs="Arial"/>
                <w:b/>
                <w:position w:val="4"/>
              </w:rPr>
            </w:pPr>
          </w:p>
        </w:tc>
        <w:tc>
          <w:tcPr>
            <w:tcW w:w="704" w:type="pct"/>
            <w:vAlign w:val="bottom"/>
          </w:tcPr>
          <w:p w14:paraId="1584AEAE" w14:textId="77777777" w:rsidR="00F12CC3" w:rsidRPr="00CA37C8" w:rsidRDefault="00F12CC3" w:rsidP="00F12CC3">
            <w:pPr>
              <w:keepNext/>
              <w:keepLines/>
              <w:spacing w:after="0" w:line="280" w:lineRule="exact"/>
              <w:jc w:val="right"/>
              <w:rPr>
                <w:rFonts w:eastAsia="Times New Roman" w:cs="Arial"/>
                <w:b/>
                <w:position w:val="4"/>
              </w:rPr>
            </w:pPr>
          </w:p>
        </w:tc>
        <w:tc>
          <w:tcPr>
            <w:tcW w:w="633" w:type="pct"/>
            <w:vAlign w:val="bottom"/>
          </w:tcPr>
          <w:p w14:paraId="1E2E023C" w14:textId="77777777" w:rsidR="00F12CC3" w:rsidRPr="00CA37C8" w:rsidRDefault="00F12CC3" w:rsidP="00F12CC3">
            <w:pPr>
              <w:keepNext/>
              <w:keepLines/>
              <w:spacing w:after="0" w:line="280" w:lineRule="exact"/>
              <w:jc w:val="right"/>
              <w:rPr>
                <w:rFonts w:eastAsia="Times New Roman" w:cs="Arial"/>
                <w:b/>
                <w:position w:val="4"/>
              </w:rPr>
            </w:pPr>
          </w:p>
        </w:tc>
        <w:tc>
          <w:tcPr>
            <w:tcW w:w="703" w:type="pct"/>
            <w:vAlign w:val="bottom"/>
          </w:tcPr>
          <w:p w14:paraId="6618740A" w14:textId="77777777" w:rsidR="00F12CC3" w:rsidRPr="00CA37C8" w:rsidRDefault="00F12CC3" w:rsidP="00F12CC3">
            <w:pPr>
              <w:keepNext/>
              <w:keepLines/>
              <w:spacing w:after="0" w:line="280" w:lineRule="exact"/>
              <w:jc w:val="right"/>
              <w:rPr>
                <w:rFonts w:eastAsia="Times New Roman" w:cs="Arial"/>
                <w:b/>
                <w:position w:val="4"/>
              </w:rPr>
            </w:pPr>
          </w:p>
        </w:tc>
      </w:tr>
      <w:tr w:rsidR="00F12CC3" w:rsidRPr="0034501D" w14:paraId="6A387C05" w14:textId="77777777" w:rsidTr="006B318F">
        <w:trPr>
          <w:trHeight w:val="303"/>
        </w:trPr>
        <w:tc>
          <w:tcPr>
            <w:tcW w:w="2326" w:type="pct"/>
            <w:vAlign w:val="bottom"/>
          </w:tcPr>
          <w:p w14:paraId="539BDA0B" w14:textId="77777777" w:rsidR="00F12CC3" w:rsidRPr="00D16CF4" w:rsidRDefault="00F12CC3" w:rsidP="00F12CC3">
            <w:pPr>
              <w:tabs>
                <w:tab w:val="right" w:pos="1202"/>
              </w:tabs>
              <w:spacing w:after="0" w:line="280" w:lineRule="exact"/>
              <w:outlineLvl w:val="0"/>
              <w:rPr>
                <w:rFonts w:eastAsia="Times New Roman" w:cs="Arial"/>
                <w:b/>
                <w:bCs/>
              </w:rPr>
            </w:pPr>
            <w:r w:rsidRPr="00D16CF4">
              <w:rPr>
                <w:rFonts w:cs="Arial"/>
                <w:b/>
              </w:rPr>
              <w:t>Equity holders of the parent</w:t>
            </w:r>
          </w:p>
        </w:tc>
        <w:tc>
          <w:tcPr>
            <w:tcW w:w="634" w:type="pct"/>
            <w:tcBorders>
              <w:top w:val="nil"/>
              <w:left w:val="nil"/>
              <w:bottom w:val="single" w:sz="12" w:space="0" w:color="auto"/>
              <w:right w:val="nil"/>
            </w:tcBorders>
            <w:shd w:val="clear" w:color="auto" w:fill="auto"/>
            <w:vAlign w:val="bottom"/>
          </w:tcPr>
          <w:p w14:paraId="1D08ABB2" w14:textId="49D92428" w:rsidR="00F12CC3" w:rsidRPr="00D16CF4" w:rsidRDefault="00F12CC3" w:rsidP="00F12CC3">
            <w:pPr>
              <w:tabs>
                <w:tab w:val="right" w:pos="1202"/>
              </w:tabs>
              <w:spacing w:after="0" w:line="280" w:lineRule="exact"/>
              <w:jc w:val="right"/>
              <w:outlineLvl w:val="0"/>
              <w:rPr>
                <w:rFonts w:eastAsia="Times New Roman" w:cs="Arial"/>
                <w:b/>
                <w:bCs/>
              </w:rPr>
            </w:pPr>
            <w:r w:rsidRPr="00CE0613">
              <w:rPr>
                <w:b/>
              </w:rPr>
              <w:t>62</w:t>
            </w:r>
            <w:r>
              <w:rPr>
                <w:b/>
              </w:rPr>
              <w:t>,</w:t>
            </w:r>
            <w:r w:rsidRPr="00CE0613">
              <w:rPr>
                <w:b/>
              </w:rPr>
              <w:t>836</w:t>
            </w:r>
          </w:p>
        </w:tc>
        <w:tc>
          <w:tcPr>
            <w:tcW w:w="704" w:type="pct"/>
            <w:tcBorders>
              <w:top w:val="nil"/>
              <w:left w:val="nil"/>
              <w:bottom w:val="single" w:sz="12" w:space="0" w:color="auto"/>
              <w:right w:val="nil"/>
            </w:tcBorders>
            <w:shd w:val="clear" w:color="auto" w:fill="auto"/>
            <w:vAlign w:val="bottom"/>
          </w:tcPr>
          <w:p w14:paraId="70AF7B04" w14:textId="4F96B9AA" w:rsidR="00F12CC3" w:rsidRPr="00D16CF4" w:rsidRDefault="00F12CC3" w:rsidP="00F12CC3">
            <w:pPr>
              <w:tabs>
                <w:tab w:val="right" w:pos="1202"/>
              </w:tabs>
              <w:spacing w:after="0" w:line="280" w:lineRule="exact"/>
              <w:jc w:val="right"/>
              <w:outlineLvl w:val="0"/>
              <w:rPr>
                <w:rFonts w:eastAsia="Times New Roman" w:cs="Arial"/>
                <w:b/>
                <w:bCs/>
              </w:rPr>
            </w:pPr>
            <w:r w:rsidRPr="00CE0613">
              <w:rPr>
                <w:b/>
              </w:rPr>
              <w:t>191</w:t>
            </w:r>
            <w:r>
              <w:rPr>
                <w:b/>
              </w:rPr>
              <w:t>,</w:t>
            </w:r>
            <w:r w:rsidRPr="00CE0613">
              <w:rPr>
                <w:b/>
              </w:rPr>
              <w:t>530</w:t>
            </w:r>
          </w:p>
        </w:tc>
        <w:tc>
          <w:tcPr>
            <w:tcW w:w="633" w:type="pct"/>
            <w:tcBorders>
              <w:top w:val="nil"/>
              <w:left w:val="nil"/>
              <w:bottom w:val="single" w:sz="12" w:space="0" w:color="auto"/>
              <w:right w:val="nil"/>
            </w:tcBorders>
            <w:shd w:val="clear" w:color="auto" w:fill="auto"/>
            <w:vAlign w:val="bottom"/>
          </w:tcPr>
          <w:p w14:paraId="170F40DE" w14:textId="2F55ACFC" w:rsidR="00F12CC3" w:rsidRPr="00D16CF4" w:rsidRDefault="00F12CC3" w:rsidP="00F12CC3">
            <w:pPr>
              <w:tabs>
                <w:tab w:val="right" w:pos="1202"/>
              </w:tabs>
              <w:spacing w:after="0" w:line="280" w:lineRule="exact"/>
              <w:jc w:val="right"/>
              <w:outlineLvl w:val="0"/>
              <w:rPr>
                <w:rFonts w:eastAsia="Times New Roman" w:cs="Arial"/>
                <w:b/>
                <w:bCs/>
              </w:rPr>
            </w:pPr>
            <w:r w:rsidRPr="00237B05">
              <w:rPr>
                <w:b/>
              </w:rPr>
              <w:t>67</w:t>
            </w:r>
            <w:r>
              <w:rPr>
                <w:b/>
              </w:rPr>
              <w:t>,</w:t>
            </w:r>
            <w:r w:rsidRPr="00237B05">
              <w:rPr>
                <w:b/>
              </w:rPr>
              <w:t>635</w:t>
            </w:r>
          </w:p>
        </w:tc>
        <w:tc>
          <w:tcPr>
            <w:tcW w:w="703" w:type="pct"/>
            <w:tcBorders>
              <w:top w:val="nil"/>
              <w:left w:val="nil"/>
              <w:bottom w:val="single" w:sz="12" w:space="0" w:color="auto"/>
              <w:right w:val="nil"/>
            </w:tcBorders>
            <w:shd w:val="clear" w:color="auto" w:fill="auto"/>
            <w:vAlign w:val="bottom"/>
          </w:tcPr>
          <w:p w14:paraId="3F38343A" w14:textId="002B1E4A" w:rsidR="00F12CC3" w:rsidRPr="00D16CF4" w:rsidRDefault="00F12CC3" w:rsidP="00F12CC3">
            <w:pPr>
              <w:tabs>
                <w:tab w:val="right" w:pos="1202"/>
              </w:tabs>
              <w:spacing w:after="0" w:line="280" w:lineRule="exact"/>
              <w:jc w:val="right"/>
              <w:outlineLvl w:val="0"/>
              <w:rPr>
                <w:rFonts w:eastAsia="Times New Roman" w:cs="Arial"/>
                <w:b/>
                <w:bCs/>
              </w:rPr>
            </w:pPr>
            <w:r w:rsidRPr="00237B05">
              <w:rPr>
                <w:b/>
              </w:rPr>
              <w:t>188</w:t>
            </w:r>
            <w:r>
              <w:rPr>
                <w:b/>
              </w:rPr>
              <w:t>,</w:t>
            </w:r>
            <w:r w:rsidRPr="00237B05">
              <w:rPr>
                <w:b/>
              </w:rPr>
              <w:t>714</w:t>
            </w:r>
          </w:p>
        </w:tc>
      </w:tr>
    </w:tbl>
    <w:p w14:paraId="13FABBB0" w14:textId="77777777" w:rsidR="00810883" w:rsidRPr="0034501D" w:rsidRDefault="00810883" w:rsidP="00C4266C">
      <w:pPr>
        <w:spacing w:after="0" w:line="240" w:lineRule="auto"/>
        <w:rPr>
          <w:sz w:val="20"/>
          <w:szCs w:val="20"/>
        </w:rPr>
      </w:pPr>
    </w:p>
    <w:p w14:paraId="14FF09AF" w14:textId="77777777" w:rsidR="00810883" w:rsidRPr="0034501D" w:rsidRDefault="00810883" w:rsidP="00C4266C">
      <w:pPr>
        <w:spacing w:after="0" w:line="240" w:lineRule="auto"/>
        <w:rPr>
          <w:sz w:val="20"/>
          <w:szCs w:val="20"/>
        </w:rPr>
      </w:pPr>
    </w:p>
    <w:p w14:paraId="172341A3" w14:textId="77777777" w:rsidR="00810883" w:rsidRPr="0034501D" w:rsidRDefault="00D658D4" w:rsidP="00166751">
      <w:pPr>
        <w:spacing w:after="0" w:line="240" w:lineRule="auto"/>
        <w:jc w:val="both"/>
        <w:rPr>
          <w:sz w:val="20"/>
          <w:szCs w:val="20"/>
        </w:rPr>
      </w:pPr>
      <w:r w:rsidRPr="00D658D4">
        <w:rPr>
          <w:rFonts w:asciiTheme="minorHAnsi" w:hAnsiTheme="minorHAnsi" w:cs="Arial"/>
        </w:rPr>
        <w:t>The accompanying selected notes are an integral part of th</w:t>
      </w:r>
      <w:r w:rsidR="00527A41">
        <w:rPr>
          <w:rFonts w:asciiTheme="minorHAnsi" w:hAnsiTheme="minorHAnsi" w:cs="Arial"/>
        </w:rPr>
        <w:t>i</w:t>
      </w:r>
      <w:r w:rsidR="00E1249B">
        <w:rPr>
          <w:rFonts w:asciiTheme="minorHAnsi" w:hAnsiTheme="minorHAnsi" w:cs="Arial"/>
        </w:rPr>
        <w:t>s</w:t>
      </w:r>
      <w:r w:rsidRPr="00D658D4">
        <w:rPr>
          <w:rFonts w:asciiTheme="minorHAnsi" w:hAnsiTheme="minorHAnsi" w:cs="Arial"/>
        </w:rPr>
        <w:t xml:space="preserve"> </w:t>
      </w:r>
      <w:r w:rsidR="00527A41">
        <w:rPr>
          <w:rFonts w:asciiTheme="minorHAnsi" w:hAnsiTheme="minorHAnsi" w:cs="Arial"/>
        </w:rPr>
        <w:t>Statement of Profit or Loss and Other Comprehensive Income</w:t>
      </w:r>
      <w:r w:rsidRPr="00D658D4">
        <w:rPr>
          <w:rFonts w:asciiTheme="minorHAnsi" w:hAnsiTheme="minorHAnsi" w:cs="Arial"/>
        </w:rPr>
        <w:t>.</w:t>
      </w:r>
    </w:p>
    <w:p w14:paraId="3E99D37F" w14:textId="77777777" w:rsidR="001A0990" w:rsidRPr="0034501D" w:rsidRDefault="001A0990" w:rsidP="00C4266C">
      <w:pPr>
        <w:spacing w:after="0" w:line="240" w:lineRule="auto"/>
        <w:rPr>
          <w:rFonts w:eastAsia="Times New Roman" w:cs="Arial"/>
          <w:sz w:val="24"/>
          <w:szCs w:val="24"/>
        </w:rPr>
        <w:sectPr w:rsidR="001A0990" w:rsidRPr="0034501D" w:rsidSect="00947CB7">
          <w:headerReference w:type="first" r:id="rId29"/>
          <w:footerReference w:type="first" r:id="rId30"/>
          <w:pgSz w:w="11906" w:h="16838" w:code="9"/>
          <w:pgMar w:top="1276" w:right="1133" w:bottom="1417" w:left="1417" w:header="709" w:footer="709" w:gutter="0"/>
          <w:cols w:space="708"/>
          <w:titlePg/>
          <w:docGrid w:linePitch="360"/>
        </w:sectPr>
      </w:pPr>
    </w:p>
    <w:tbl>
      <w:tblPr>
        <w:tblpPr w:leftFromText="181" w:rightFromText="181" w:vertAnchor="text" w:horzAnchor="margin" w:tblpY="360"/>
        <w:tblW w:w="4986" w:type="pct"/>
        <w:tblLayout w:type="fixed"/>
        <w:tblLook w:val="0000" w:firstRow="0" w:lastRow="0" w:firstColumn="0" w:lastColumn="0" w:noHBand="0" w:noVBand="0"/>
      </w:tblPr>
      <w:tblGrid>
        <w:gridCol w:w="4956"/>
        <w:gridCol w:w="1110"/>
        <w:gridCol w:w="1523"/>
        <w:gridCol w:w="276"/>
        <w:gridCol w:w="1465"/>
      </w:tblGrid>
      <w:tr w:rsidR="00673B79" w:rsidRPr="0034501D" w14:paraId="7267EC8C" w14:textId="77777777" w:rsidTr="00FC1A9C">
        <w:trPr>
          <w:trHeight w:val="290"/>
        </w:trPr>
        <w:tc>
          <w:tcPr>
            <w:tcW w:w="2656" w:type="pct"/>
            <w:vAlign w:val="bottom"/>
          </w:tcPr>
          <w:p w14:paraId="2E537B57" w14:textId="77777777" w:rsidR="00673B79" w:rsidRPr="0034501D" w:rsidRDefault="00673B79" w:rsidP="00673B79">
            <w:pPr>
              <w:spacing w:after="0" w:line="240" w:lineRule="auto"/>
              <w:rPr>
                <w:rFonts w:eastAsia="Times New Roman" w:cs="Arial"/>
              </w:rPr>
            </w:pPr>
          </w:p>
          <w:p w14:paraId="53AF8807" w14:textId="77777777" w:rsidR="00673B79" w:rsidRPr="0034501D" w:rsidRDefault="00673B79" w:rsidP="00673B79">
            <w:pPr>
              <w:spacing w:after="0" w:line="240" w:lineRule="auto"/>
              <w:rPr>
                <w:rFonts w:eastAsia="Times New Roman" w:cs="Arial"/>
              </w:rPr>
            </w:pPr>
          </w:p>
        </w:tc>
        <w:tc>
          <w:tcPr>
            <w:tcW w:w="595" w:type="pct"/>
            <w:vAlign w:val="center"/>
          </w:tcPr>
          <w:p w14:paraId="10026311" w14:textId="77777777" w:rsidR="00673B79" w:rsidRPr="0034501D" w:rsidRDefault="00673B79" w:rsidP="00673B79">
            <w:pPr>
              <w:spacing w:after="0" w:line="240" w:lineRule="auto"/>
              <w:jc w:val="center"/>
              <w:rPr>
                <w:rFonts w:eastAsia="Times New Roman" w:cs="Arial"/>
                <w:b/>
              </w:rPr>
            </w:pPr>
            <w:r w:rsidRPr="0034501D">
              <w:rPr>
                <w:rFonts w:eastAsia="Times New Roman" w:cs="Arial"/>
                <w:b/>
              </w:rPr>
              <w:t>Notes</w:t>
            </w:r>
          </w:p>
        </w:tc>
        <w:tc>
          <w:tcPr>
            <w:tcW w:w="816" w:type="pct"/>
            <w:vAlign w:val="center"/>
          </w:tcPr>
          <w:p w14:paraId="469F3394" w14:textId="53626F1A" w:rsidR="00673B79" w:rsidRPr="0034501D" w:rsidRDefault="005414B8" w:rsidP="00E83133">
            <w:pPr>
              <w:spacing w:after="0" w:line="240" w:lineRule="auto"/>
              <w:jc w:val="right"/>
              <w:rPr>
                <w:rFonts w:eastAsia="Times New Roman" w:cs="Arial"/>
                <w:b/>
              </w:rPr>
            </w:pPr>
            <w:r>
              <w:rPr>
                <w:rFonts w:eastAsia="Times New Roman" w:cs="Arial"/>
                <w:b/>
                <w:bCs/>
              </w:rPr>
              <w:t xml:space="preserve">Sep </w:t>
            </w:r>
            <w:r w:rsidR="00D22ED8">
              <w:rPr>
                <w:rFonts w:eastAsia="Times New Roman" w:cs="Arial"/>
                <w:b/>
                <w:bCs/>
              </w:rPr>
              <w:t>3</w:t>
            </w:r>
            <w:r w:rsidR="00E83133">
              <w:rPr>
                <w:rFonts w:eastAsia="Times New Roman" w:cs="Arial"/>
                <w:b/>
                <w:bCs/>
              </w:rPr>
              <w:t>0</w:t>
            </w:r>
            <w:r w:rsidR="00D22ED8">
              <w:rPr>
                <w:rFonts w:eastAsia="Times New Roman" w:cs="Arial"/>
                <w:b/>
                <w:bCs/>
              </w:rPr>
              <w:t>, 2017</w:t>
            </w:r>
          </w:p>
        </w:tc>
        <w:tc>
          <w:tcPr>
            <w:tcW w:w="148" w:type="pct"/>
            <w:vAlign w:val="center"/>
          </w:tcPr>
          <w:p w14:paraId="648A9BA4" w14:textId="77777777" w:rsidR="00673B79" w:rsidRPr="0034501D" w:rsidRDefault="00673B79" w:rsidP="00673B79">
            <w:pPr>
              <w:spacing w:after="0" w:line="240" w:lineRule="auto"/>
              <w:jc w:val="right"/>
              <w:rPr>
                <w:rFonts w:eastAsia="Times New Roman" w:cs="Arial"/>
                <w:b/>
              </w:rPr>
            </w:pPr>
          </w:p>
        </w:tc>
        <w:tc>
          <w:tcPr>
            <w:tcW w:w="785" w:type="pct"/>
            <w:vAlign w:val="center"/>
          </w:tcPr>
          <w:p w14:paraId="3481CB7B" w14:textId="77777777" w:rsidR="00673B79" w:rsidRPr="0034501D" w:rsidRDefault="00673B79" w:rsidP="00D84672">
            <w:pPr>
              <w:spacing w:after="0" w:line="240" w:lineRule="auto"/>
              <w:jc w:val="right"/>
              <w:rPr>
                <w:rFonts w:eastAsia="Times New Roman" w:cs="Arial"/>
                <w:b/>
              </w:rPr>
            </w:pPr>
            <w:r>
              <w:rPr>
                <w:rFonts w:eastAsia="Times New Roman" w:cs="Arial"/>
                <w:b/>
              </w:rPr>
              <w:t xml:space="preserve">Dec 31, </w:t>
            </w:r>
            <w:r w:rsidRPr="0034501D">
              <w:rPr>
                <w:rFonts w:eastAsia="Times New Roman" w:cs="Arial"/>
                <w:b/>
              </w:rPr>
              <w:t>201</w:t>
            </w:r>
            <w:r w:rsidR="00D84672">
              <w:rPr>
                <w:rFonts w:eastAsia="Times New Roman" w:cs="Arial"/>
                <w:b/>
              </w:rPr>
              <w:t>6</w:t>
            </w:r>
          </w:p>
        </w:tc>
      </w:tr>
      <w:tr w:rsidR="00673B79" w:rsidRPr="0034501D" w14:paraId="06CA1B78" w14:textId="77777777" w:rsidTr="00FC1A9C">
        <w:trPr>
          <w:trHeight w:val="311"/>
        </w:trPr>
        <w:tc>
          <w:tcPr>
            <w:tcW w:w="2656" w:type="pct"/>
            <w:vAlign w:val="bottom"/>
          </w:tcPr>
          <w:p w14:paraId="17EA9FE9" w14:textId="77777777" w:rsidR="00673B79" w:rsidRPr="0034501D" w:rsidRDefault="00673B79" w:rsidP="00673B79">
            <w:pPr>
              <w:tabs>
                <w:tab w:val="right" w:pos="1202"/>
              </w:tabs>
              <w:spacing w:after="0" w:line="240" w:lineRule="auto"/>
              <w:outlineLvl w:val="0"/>
              <w:rPr>
                <w:rFonts w:eastAsia="Times New Roman" w:cs="Arial"/>
                <w:b/>
                <w:bCs/>
              </w:rPr>
            </w:pPr>
            <w:r w:rsidRPr="0034501D">
              <w:rPr>
                <w:rFonts w:cs="Arial"/>
                <w:b/>
                <w:bCs/>
              </w:rPr>
              <w:t>Assets</w:t>
            </w:r>
          </w:p>
        </w:tc>
        <w:tc>
          <w:tcPr>
            <w:tcW w:w="595" w:type="pct"/>
            <w:vAlign w:val="center"/>
          </w:tcPr>
          <w:p w14:paraId="1F057A99" w14:textId="77777777" w:rsidR="00673B79" w:rsidRPr="0034501D" w:rsidRDefault="00673B79" w:rsidP="00673B79">
            <w:pPr>
              <w:tabs>
                <w:tab w:val="right" w:pos="1202"/>
              </w:tabs>
              <w:spacing w:after="0" w:line="240" w:lineRule="auto"/>
              <w:jc w:val="center"/>
              <w:outlineLvl w:val="0"/>
              <w:rPr>
                <w:rFonts w:eastAsia="Times New Roman" w:cs="Arial"/>
                <w:b/>
                <w:bCs/>
              </w:rPr>
            </w:pPr>
          </w:p>
        </w:tc>
        <w:tc>
          <w:tcPr>
            <w:tcW w:w="816" w:type="pct"/>
            <w:vAlign w:val="center"/>
          </w:tcPr>
          <w:p w14:paraId="303D07F7" w14:textId="77777777" w:rsidR="00673B79" w:rsidRPr="0034501D" w:rsidRDefault="00673B79" w:rsidP="00673B79">
            <w:pPr>
              <w:tabs>
                <w:tab w:val="right" w:pos="1202"/>
              </w:tabs>
              <w:spacing w:after="0" w:line="240" w:lineRule="auto"/>
              <w:jc w:val="right"/>
              <w:outlineLvl w:val="0"/>
              <w:rPr>
                <w:rFonts w:eastAsia="Times New Roman" w:cs="Arial"/>
                <w:b/>
                <w:bCs/>
              </w:rPr>
            </w:pPr>
          </w:p>
        </w:tc>
        <w:tc>
          <w:tcPr>
            <w:tcW w:w="148" w:type="pct"/>
            <w:vAlign w:val="center"/>
          </w:tcPr>
          <w:p w14:paraId="3067540A" w14:textId="77777777" w:rsidR="00673B79" w:rsidRPr="0034501D" w:rsidRDefault="00673B79" w:rsidP="00673B79">
            <w:pPr>
              <w:tabs>
                <w:tab w:val="right" w:pos="1202"/>
              </w:tabs>
              <w:spacing w:after="0" w:line="240" w:lineRule="auto"/>
              <w:jc w:val="right"/>
              <w:outlineLvl w:val="0"/>
              <w:rPr>
                <w:rFonts w:eastAsia="Times New Roman" w:cs="Arial"/>
                <w:b/>
                <w:bCs/>
              </w:rPr>
            </w:pPr>
          </w:p>
        </w:tc>
        <w:tc>
          <w:tcPr>
            <w:tcW w:w="785" w:type="pct"/>
            <w:vAlign w:val="center"/>
          </w:tcPr>
          <w:p w14:paraId="070FDE26" w14:textId="77777777" w:rsidR="00673B79" w:rsidRPr="0034501D" w:rsidRDefault="00673B79" w:rsidP="00673B79">
            <w:pPr>
              <w:tabs>
                <w:tab w:val="right" w:pos="1202"/>
              </w:tabs>
              <w:spacing w:after="0" w:line="240" w:lineRule="auto"/>
              <w:jc w:val="right"/>
              <w:outlineLvl w:val="0"/>
              <w:rPr>
                <w:rFonts w:eastAsia="Times New Roman" w:cs="Arial"/>
                <w:b/>
                <w:bCs/>
              </w:rPr>
            </w:pPr>
          </w:p>
        </w:tc>
      </w:tr>
      <w:tr w:rsidR="001F749C" w:rsidRPr="0034501D" w14:paraId="14A2C3A4" w14:textId="77777777" w:rsidTr="005444AA">
        <w:trPr>
          <w:trHeight w:val="311"/>
        </w:trPr>
        <w:tc>
          <w:tcPr>
            <w:tcW w:w="2656" w:type="pct"/>
            <w:vAlign w:val="bottom"/>
          </w:tcPr>
          <w:p w14:paraId="128C7EE6" w14:textId="77777777" w:rsidR="001F749C" w:rsidRPr="0034501D" w:rsidRDefault="001F749C" w:rsidP="001F749C">
            <w:pPr>
              <w:tabs>
                <w:tab w:val="right" w:pos="1202"/>
              </w:tabs>
              <w:spacing w:after="0" w:line="240" w:lineRule="auto"/>
              <w:outlineLvl w:val="0"/>
              <w:rPr>
                <w:rFonts w:eastAsia="Times New Roman" w:cs="Arial"/>
              </w:rPr>
            </w:pPr>
            <w:r w:rsidRPr="0034501D">
              <w:rPr>
                <w:rFonts w:cs="Arial"/>
              </w:rPr>
              <w:t>Cash on hand and due from banks</w:t>
            </w:r>
          </w:p>
        </w:tc>
        <w:tc>
          <w:tcPr>
            <w:tcW w:w="595" w:type="pct"/>
            <w:vAlign w:val="center"/>
          </w:tcPr>
          <w:p w14:paraId="32ECE8CA" w14:textId="77777777" w:rsidR="001F749C" w:rsidRPr="0034501D" w:rsidRDefault="001F749C" w:rsidP="001F749C">
            <w:pPr>
              <w:tabs>
                <w:tab w:val="right" w:pos="1202"/>
              </w:tabs>
              <w:spacing w:after="0" w:line="240" w:lineRule="auto"/>
              <w:jc w:val="center"/>
              <w:outlineLvl w:val="0"/>
              <w:rPr>
                <w:rFonts w:eastAsia="Times New Roman" w:cs="Arial"/>
                <w:snapToGrid w:val="0"/>
              </w:rPr>
            </w:pPr>
            <w:r w:rsidRPr="0034501D">
              <w:rPr>
                <w:rFonts w:eastAsia="Times New Roman" w:cs="Arial"/>
                <w:snapToGrid w:val="0"/>
              </w:rPr>
              <w:t>8</w:t>
            </w:r>
          </w:p>
        </w:tc>
        <w:tc>
          <w:tcPr>
            <w:tcW w:w="816" w:type="pct"/>
            <w:tcBorders>
              <w:top w:val="nil"/>
              <w:left w:val="nil"/>
              <w:bottom w:val="nil"/>
              <w:right w:val="nil"/>
            </w:tcBorders>
            <w:shd w:val="clear" w:color="auto" w:fill="auto"/>
            <w:vAlign w:val="bottom"/>
          </w:tcPr>
          <w:p w14:paraId="45AB5FCE" w14:textId="5CE399DE" w:rsidR="001F749C" w:rsidRPr="00CA37C8" w:rsidRDefault="001F749C" w:rsidP="001F749C">
            <w:pPr>
              <w:tabs>
                <w:tab w:val="right" w:pos="1202"/>
              </w:tabs>
              <w:spacing w:after="0" w:line="240" w:lineRule="auto"/>
              <w:jc w:val="right"/>
              <w:outlineLvl w:val="0"/>
              <w:rPr>
                <w:rFonts w:eastAsia="Times New Roman" w:cs="Arial"/>
                <w:snapToGrid w:val="0"/>
              </w:rPr>
            </w:pPr>
            <w:r w:rsidRPr="00D65315">
              <w:t>737</w:t>
            </w:r>
            <w:r>
              <w:t>,</w:t>
            </w:r>
            <w:r w:rsidRPr="00D65315">
              <w:t>631</w:t>
            </w:r>
          </w:p>
        </w:tc>
        <w:tc>
          <w:tcPr>
            <w:tcW w:w="148" w:type="pct"/>
            <w:vAlign w:val="bottom"/>
          </w:tcPr>
          <w:p w14:paraId="5A87342E" w14:textId="77777777" w:rsidR="001F749C" w:rsidRPr="0034501D" w:rsidRDefault="001F749C" w:rsidP="001F749C">
            <w:pPr>
              <w:tabs>
                <w:tab w:val="right" w:pos="1202"/>
              </w:tabs>
              <w:spacing w:after="0" w:line="240" w:lineRule="auto"/>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14:paraId="0FE9BA75" w14:textId="77777777" w:rsidR="001F749C" w:rsidRPr="00257BB8" w:rsidRDefault="001F749C" w:rsidP="001F749C">
            <w:pPr>
              <w:tabs>
                <w:tab w:val="right" w:pos="1202"/>
              </w:tabs>
              <w:spacing w:after="0" w:line="240" w:lineRule="auto"/>
              <w:jc w:val="right"/>
              <w:outlineLvl w:val="0"/>
              <w:rPr>
                <w:rFonts w:eastAsia="Times New Roman" w:cs="Arial"/>
                <w:snapToGrid w:val="0"/>
              </w:rPr>
            </w:pPr>
            <w:r w:rsidRPr="000F45B3">
              <w:t>490</w:t>
            </w:r>
            <w:r>
              <w:t>,</w:t>
            </w:r>
            <w:r w:rsidRPr="000F45B3">
              <w:t>695</w:t>
            </w:r>
          </w:p>
        </w:tc>
      </w:tr>
      <w:tr w:rsidR="001F749C" w:rsidRPr="0034501D" w14:paraId="254C8072" w14:textId="77777777" w:rsidTr="005444AA">
        <w:trPr>
          <w:trHeight w:val="311"/>
        </w:trPr>
        <w:tc>
          <w:tcPr>
            <w:tcW w:w="2656" w:type="pct"/>
            <w:vAlign w:val="bottom"/>
          </w:tcPr>
          <w:p w14:paraId="433839B4" w14:textId="77777777" w:rsidR="001F749C" w:rsidRPr="0034501D" w:rsidRDefault="001F749C" w:rsidP="001F749C">
            <w:pPr>
              <w:tabs>
                <w:tab w:val="right" w:pos="1202"/>
              </w:tabs>
              <w:spacing w:after="0" w:line="240" w:lineRule="auto"/>
              <w:outlineLvl w:val="0"/>
              <w:rPr>
                <w:rFonts w:eastAsia="Times New Roman" w:cs="Arial"/>
              </w:rPr>
            </w:pPr>
            <w:r w:rsidRPr="0034501D">
              <w:rPr>
                <w:rFonts w:cs="Arial"/>
              </w:rPr>
              <w:t>Deposits with other banks</w:t>
            </w:r>
          </w:p>
        </w:tc>
        <w:tc>
          <w:tcPr>
            <w:tcW w:w="595" w:type="pct"/>
            <w:vAlign w:val="center"/>
          </w:tcPr>
          <w:p w14:paraId="5F0A8109" w14:textId="77777777" w:rsidR="001F749C" w:rsidRPr="0034501D" w:rsidRDefault="001F749C" w:rsidP="001F749C">
            <w:pPr>
              <w:tabs>
                <w:tab w:val="right" w:pos="1202"/>
              </w:tabs>
              <w:spacing w:after="0" w:line="240" w:lineRule="auto"/>
              <w:jc w:val="center"/>
              <w:outlineLvl w:val="0"/>
              <w:rPr>
                <w:rFonts w:eastAsia="Times New Roman" w:cs="Arial"/>
                <w:snapToGrid w:val="0"/>
              </w:rPr>
            </w:pPr>
          </w:p>
        </w:tc>
        <w:tc>
          <w:tcPr>
            <w:tcW w:w="816" w:type="pct"/>
            <w:tcBorders>
              <w:top w:val="nil"/>
              <w:left w:val="nil"/>
              <w:bottom w:val="nil"/>
              <w:right w:val="nil"/>
            </w:tcBorders>
            <w:shd w:val="clear" w:color="auto" w:fill="auto"/>
            <w:vAlign w:val="bottom"/>
          </w:tcPr>
          <w:p w14:paraId="31051D86" w14:textId="6153DB63" w:rsidR="001F749C" w:rsidRPr="00CA37C8" w:rsidRDefault="001F749C" w:rsidP="001F749C">
            <w:pPr>
              <w:tabs>
                <w:tab w:val="right" w:pos="1202"/>
              </w:tabs>
              <w:spacing w:after="0" w:line="240" w:lineRule="auto"/>
              <w:jc w:val="right"/>
              <w:outlineLvl w:val="0"/>
              <w:rPr>
                <w:rFonts w:eastAsia="Times New Roman" w:cs="Arial"/>
                <w:snapToGrid w:val="0"/>
              </w:rPr>
            </w:pPr>
            <w:r w:rsidRPr="00D65315">
              <w:t>76</w:t>
            </w:r>
          </w:p>
        </w:tc>
        <w:tc>
          <w:tcPr>
            <w:tcW w:w="148" w:type="pct"/>
            <w:vAlign w:val="bottom"/>
          </w:tcPr>
          <w:p w14:paraId="2C4A5CB2" w14:textId="77777777" w:rsidR="001F749C" w:rsidRPr="0034501D" w:rsidRDefault="001F749C" w:rsidP="001F749C">
            <w:pPr>
              <w:tabs>
                <w:tab w:val="right" w:pos="1202"/>
              </w:tabs>
              <w:spacing w:after="0" w:line="240" w:lineRule="auto"/>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14:paraId="3BD2E94A" w14:textId="77777777" w:rsidR="001F749C" w:rsidRPr="00257BB8" w:rsidRDefault="001F749C" w:rsidP="001F749C">
            <w:pPr>
              <w:tabs>
                <w:tab w:val="right" w:pos="1202"/>
              </w:tabs>
              <w:spacing w:after="0" w:line="240" w:lineRule="auto"/>
              <w:jc w:val="right"/>
              <w:outlineLvl w:val="0"/>
              <w:rPr>
                <w:rFonts w:eastAsia="Times New Roman" w:cs="Arial"/>
                <w:snapToGrid w:val="0"/>
              </w:rPr>
            </w:pPr>
            <w:r w:rsidRPr="000F45B3">
              <w:t>23</w:t>
            </w:r>
            <w:r>
              <w:t>,</w:t>
            </w:r>
            <w:r w:rsidRPr="000F45B3">
              <w:t>872</w:t>
            </w:r>
          </w:p>
        </w:tc>
      </w:tr>
      <w:tr w:rsidR="001F749C" w:rsidRPr="0034501D" w14:paraId="727CC7F4" w14:textId="77777777" w:rsidTr="005444AA">
        <w:trPr>
          <w:trHeight w:val="322"/>
        </w:trPr>
        <w:tc>
          <w:tcPr>
            <w:tcW w:w="2656" w:type="pct"/>
            <w:vAlign w:val="bottom"/>
          </w:tcPr>
          <w:p w14:paraId="02E8509D" w14:textId="77777777" w:rsidR="001F749C" w:rsidRPr="0034501D" w:rsidRDefault="001F749C" w:rsidP="001F749C">
            <w:pPr>
              <w:tabs>
                <w:tab w:val="right" w:pos="1202"/>
              </w:tabs>
              <w:spacing w:after="0" w:line="240" w:lineRule="auto"/>
              <w:outlineLvl w:val="0"/>
              <w:rPr>
                <w:rFonts w:eastAsia="Times New Roman" w:cs="Arial"/>
              </w:rPr>
            </w:pPr>
            <w:r w:rsidRPr="0034501D">
              <w:rPr>
                <w:rFonts w:cs="Arial"/>
              </w:rPr>
              <w:t xml:space="preserve">Loans to </w:t>
            </w:r>
            <w:r w:rsidRPr="002B26C7">
              <w:rPr>
                <w:rFonts w:cs="Arial"/>
              </w:rPr>
              <w:t>financial institutions</w:t>
            </w:r>
          </w:p>
        </w:tc>
        <w:tc>
          <w:tcPr>
            <w:tcW w:w="595" w:type="pct"/>
            <w:vAlign w:val="center"/>
          </w:tcPr>
          <w:p w14:paraId="2569372E" w14:textId="77777777" w:rsidR="001F749C" w:rsidRPr="0034501D" w:rsidRDefault="001F749C" w:rsidP="001F749C">
            <w:pPr>
              <w:tabs>
                <w:tab w:val="right" w:pos="1202"/>
              </w:tabs>
              <w:spacing w:after="0" w:line="240" w:lineRule="auto"/>
              <w:jc w:val="center"/>
              <w:outlineLvl w:val="0"/>
              <w:rPr>
                <w:rFonts w:eastAsia="Times New Roman" w:cs="Arial"/>
                <w:snapToGrid w:val="0"/>
              </w:rPr>
            </w:pPr>
            <w:r w:rsidRPr="0034501D">
              <w:rPr>
                <w:rFonts w:eastAsia="Times New Roman" w:cs="Arial"/>
                <w:snapToGrid w:val="0"/>
              </w:rPr>
              <w:t>9</w:t>
            </w:r>
          </w:p>
        </w:tc>
        <w:tc>
          <w:tcPr>
            <w:tcW w:w="816" w:type="pct"/>
            <w:tcBorders>
              <w:top w:val="nil"/>
              <w:left w:val="nil"/>
              <w:bottom w:val="nil"/>
              <w:right w:val="nil"/>
            </w:tcBorders>
            <w:shd w:val="clear" w:color="auto" w:fill="auto"/>
            <w:vAlign w:val="bottom"/>
          </w:tcPr>
          <w:p w14:paraId="5076B6A1" w14:textId="2E7487D2" w:rsidR="001F749C" w:rsidRPr="00CA37C8" w:rsidRDefault="001F749C" w:rsidP="001F749C">
            <w:pPr>
              <w:tabs>
                <w:tab w:val="right" w:pos="1202"/>
              </w:tabs>
              <w:spacing w:after="0" w:line="240" w:lineRule="auto"/>
              <w:jc w:val="right"/>
              <w:outlineLvl w:val="0"/>
              <w:rPr>
                <w:rFonts w:eastAsia="Times New Roman" w:cs="Arial"/>
                <w:snapToGrid w:val="0"/>
              </w:rPr>
            </w:pPr>
            <w:r w:rsidRPr="00D65315">
              <w:t>12</w:t>
            </w:r>
            <w:r>
              <w:t>,</w:t>
            </w:r>
            <w:r w:rsidRPr="00D65315">
              <w:t>247</w:t>
            </w:r>
            <w:r>
              <w:t>,</w:t>
            </w:r>
            <w:r w:rsidRPr="00D65315">
              <w:t>287</w:t>
            </w:r>
          </w:p>
        </w:tc>
        <w:tc>
          <w:tcPr>
            <w:tcW w:w="148" w:type="pct"/>
            <w:vAlign w:val="bottom"/>
          </w:tcPr>
          <w:p w14:paraId="754923F0" w14:textId="77777777" w:rsidR="001F749C" w:rsidRPr="0034501D" w:rsidRDefault="001F749C" w:rsidP="001F749C">
            <w:pPr>
              <w:tabs>
                <w:tab w:val="right" w:pos="1202"/>
              </w:tabs>
              <w:spacing w:after="0" w:line="240" w:lineRule="auto"/>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14:paraId="11F4AC25" w14:textId="77777777" w:rsidR="001F749C" w:rsidRPr="00257BB8" w:rsidRDefault="001F749C" w:rsidP="001F749C">
            <w:pPr>
              <w:tabs>
                <w:tab w:val="right" w:pos="1202"/>
              </w:tabs>
              <w:spacing w:after="0" w:line="240" w:lineRule="auto"/>
              <w:jc w:val="right"/>
              <w:outlineLvl w:val="0"/>
              <w:rPr>
                <w:rFonts w:eastAsia="Times New Roman" w:cs="Arial"/>
                <w:snapToGrid w:val="0"/>
              </w:rPr>
            </w:pPr>
            <w:r w:rsidRPr="000F45B3">
              <w:t>11</w:t>
            </w:r>
            <w:r>
              <w:t>,</w:t>
            </w:r>
            <w:r w:rsidRPr="000F45B3">
              <w:t>889</w:t>
            </w:r>
            <w:r>
              <w:t>,</w:t>
            </w:r>
            <w:r w:rsidRPr="000F45B3">
              <w:t>111</w:t>
            </w:r>
          </w:p>
        </w:tc>
      </w:tr>
      <w:tr w:rsidR="001F749C" w:rsidRPr="0034501D" w14:paraId="3A11D412" w14:textId="77777777" w:rsidTr="005444AA">
        <w:trPr>
          <w:trHeight w:val="311"/>
        </w:trPr>
        <w:tc>
          <w:tcPr>
            <w:tcW w:w="2656" w:type="pct"/>
            <w:vAlign w:val="bottom"/>
          </w:tcPr>
          <w:p w14:paraId="380FC48B" w14:textId="77777777" w:rsidR="001F749C" w:rsidRPr="0034501D" w:rsidRDefault="001F749C" w:rsidP="001F749C">
            <w:pPr>
              <w:tabs>
                <w:tab w:val="right" w:pos="1202"/>
              </w:tabs>
              <w:spacing w:after="0" w:line="240" w:lineRule="auto"/>
              <w:outlineLvl w:val="0"/>
              <w:rPr>
                <w:rFonts w:eastAsia="Times New Roman" w:cs="Arial"/>
              </w:rPr>
            </w:pPr>
            <w:r w:rsidRPr="0034501D">
              <w:rPr>
                <w:rFonts w:cs="Arial"/>
              </w:rPr>
              <w:t>Loans to other customers</w:t>
            </w:r>
          </w:p>
        </w:tc>
        <w:tc>
          <w:tcPr>
            <w:tcW w:w="595" w:type="pct"/>
            <w:vAlign w:val="center"/>
          </w:tcPr>
          <w:p w14:paraId="4FF3C75C" w14:textId="77777777" w:rsidR="001F749C" w:rsidRPr="0034501D" w:rsidRDefault="001F749C" w:rsidP="001F749C">
            <w:pPr>
              <w:tabs>
                <w:tab w:val="right" w:pos="1202"/>
              </w:tabs>
              <w:spacing w:after="0" w:line="240" w:lineRule="auto"/>
              <w:jc w:val="center"/>
              <w:outlineLvl w:val="0"/>
              <w:rPr>
                <w:rFonts w:eastAsia="Times New Roman" w:cs="Arial"/>
                <w:spacing w:val="-2"/>
              </w:rPr>
            </w:pPr>
            <w:r w:rsidRPr="0034501D">
              <w:rPr>
                <w:rFonts w:eastAsia="Times New Roman" w:cs="Arial"/>
                <w:spacing w:val="-2"/>
              </w:rPr>
              <w:t>10</w:t>
            </w:r>
          </w:p>
        </w:tc>
        <w:tc>
          <w:tcPr>
            <w:tcW w:w="816" w:type="pct"/>
            <w:tcBorders>
              <w:top w:val="nil"/>
              <w:left w:val="nil"/>
              <w:bottom w:val="nil"/>
              <w:right w:val="nil"/>
            </w:tcBorders>
            <w:shd w:val="clear" w:color="auto" w:fill="auto"/>
            <w:vAlign w:val="bottom"/>
          </w:tcPr>
          <w:p w14:paraId="5633FD78" w14:textId="54C1E2EF" w:rsidR="001F749C" w:rsidRPr="00CA37C8" w:rsidRDefault="001F749C" w:rsidP="001F749C">
            <w:pPr>
              <w:tabs>
                <w:tab w:val="right" w:pos="1202"/>
              </w:tabs>
              <w:spacing w:after="0" w:line="240" w:lineRule="auto"/>
              <w:jc w:val="right"/>
              <w:outlineLvl w:val="0"/>
              <w:rPr>
                <w:rFonts w:eastAsia="Times New Roman" w:cs="Arial"/>
                <w:spacing w:val="-2"/>
              </w:rPr>
            </w:pPr>
            <w:r w:rsidRPr="00D65315">
              <w:t>11</w:t>
            </w:r>
            <w:r>
              <w:t>,</w:t>
            </w:r>
            <w:r w:rsidRPr="00D65315">
              <w:t>913</w:t>
            </w:r>
            <w:r>
              <w:t>,</w:t>
            </w:r>
            <w:r w:rsidRPr="00D65315">
              <w:t>212</w:t>
            </w:r>
          </w:p>
        </w:tc>
        <w:tc>
          <w:tcPr>
            <w:tcW w:w="148" w:type="pct"/>
            <w:vAlign w:val="bottom"/>
          </w:tcPr>
          <w:p w14:paraId="238FD7C3" w14:textId="77777777" w:rsidR="001F749C" w:rsidRPr="0034501D" w:rsidRDefault="001F749C" w:rsidP="001F749C">
            <w:pPr>
              <w:tabs>
                <w:tab w:val="right" w:pos="1202"/>
              </w:tabs>
              <w:spacing w:after="0" w:line="240" w:lineRule="auto"/>
              <w:jc w:val="right"/>
              <w:outlineLvl w:val="0"/>
              <w:rPr>
                <w:rFonts w:eastAsia="Times New Roman" w:cs="Arial"/>
                <w:spacing w:val="-2"/>
              </w:rPr>
            </w:pPr>
          </w:p>
        </w:tc>
        <w:tc>
          <w:tcPr>
            <w:tcW w:w="785" w:type="pct"/>
            <w:tcBorders>
              <w:top w:val="nil"/>
              <w:left w:val="nil"/>
              <w:bottom w:val="nil"/>
              <w:right w:val="nil"/>
            </w:tcBorders>
            <w:shd w:val="clear" w:color="auto" w:fill="auto"/>
            <w:vAlign w:val="bottom"/>
          </w:tcPr>
          <w:p w14:paraId="60550E48" w14:textId="77777777" w:rsidR="001F749C" w:rsidRPr="00257BB8" w:rsidRDefault="001F749C" w:rsidP="001F749C">
            <w:pPr>
              <w:tabs>
                <w:tab w:val="right" w:pos="1202"/>
              </w:tabs>
              <w:spacing w:after="0" w:line="240" w:lineRule="auto"/>
              <w:jc w:val="right"/>
              <w:outlineLvl w:val="0"/>
              <w:rPr>
                <w:rFonts w:eastAsia="Times New Roman" w:cs="Arial"/>
                <w:snapToGrid w:val="0"/>
              </w:rPr>
            </w:pPr>
            <w:r w:rsidRPr="000F45B3">
              <w:t>11</w:t>
            </w:r>
            <w:r>
              <w:t>,</w:t>
            </w:r>
            <w:r w:rsidRPr="000F45B3">
              <w:t>511</w:t>
            </w:r>
            <w:r>
              <w:t>,</w:t>
            </w:r>
            <w:r w:rsidRPr="000F45B3">
              <w:t>194</w:t>
            </w:r>
          </w:p>
        </w:tc>
      </w:tr>
      <w:tr w:rsidR="001F749C" w:rsidRPr="0034501D" w14:paraId="645D97E6" w14:textId="77777777" w:rsidTr="005444AA">
        <w:trPr>
          <w:trHeight w:val="311"/>
        </w:trPr>
        <w:tc>
          <w:tcPr>
            <w:tcW w:w="2656" w:type="pct"/>
            <w:vAlign w:val="bottom"/>
          </w:tcPr>
          <w:p w14:paraId="5901904D" w14:textId="77777777" w:rsidR="001F749C" w:rsidRPr="0034501D" w:rsidRDefault="001F749C" w:rsidP="001F749C">
            <w:pPr>
              <w:tabs>
                <w:tab w:val="right" w:pos="1202"/>
              </w:tabs>
              <w:spacing w:after="0" w:line="240" w:lineRule="auto"/>
              <w:outlineLvl w:val="0"/>
              <w:rPr>
                <w:rFonts w:eastAsia="Times New Roman" w:cs="Arial"/>
              </w:rPr>
            </w:pPr>
            <w:r w:rsidRPr="0034501D">
              <w:rPr>
                <w:rFonts w:cs="Arial"/>
              </w:rPr>
              <w:t>Assets available for sale</w:t>
            </w:r>
          </w:p>
        </w:tc>
        <w:tc>
          <w:tcPr>
            <w:tcW w:w="595" w:type="pct"/>
            <w:vAlign w:val="center"/>
          </w:tcPr>
          <w:p w14:paraId="2C09CB0A" w14:textId="77777777" w:rsidR="001F749C" w:rsidRPr="0034501D" w:rsidRDefault="001F749C" w:rsidP="001F749C">
            <w:pPr>
              <w:tabs>
                <w:tab w:val="right" w:pos="1202"/>
              </w:tabs>
              <w:spacing w:after="0" w:line="240" w:lineRule="auto"/>
              <w:jc w:val="center"/>
              <w:outlineLvl w:val="0"/>
              <w:rPr>
                <w:rFonts w:eastAsia="Times New Roman" w:cs="Arial"/>
                <w:snapToGrid w:val="0"/>
              </w:rPr>
            </w:pPr>
            <w:r w:rsidRPr="0034501D">
              <w:rPr>
                <w:rFonts w:eastAsia="Times New Roman" w:cs="Arial"/>
                <w:snapToGrid w:val="0"/>
              </w:rPr>
              <w:t>11</w:t>
            </w:r>
          </w:p>
        </w:tc>
        <w:tc>
          <w:tcPr>
            <w:tcW w:w="816" w:type="pct"/>
            <w:tcBorders>
              <w:top w:val="nil"/>
              <w:left w:val="nil"/>
              <w:bottom w:val="nil"/>
              <w:right w:val="nil"/>
            </w:tcBorders>
            <w:shd w:val="clear" w:color="auto" w:fill="auto"/>
            <w:vAlign w:val="bottom"/>
          </w:tcPr>
          <w:p w14:paraId="0EBF1C26" w14:textId="42DA53F0" w:rsidR="001F749C" w:rsidRPr="00CA37C8" w:rsidRDefault="001F749C" w:rsidP="001F749C">
            <w:pPr>
              <w:tabs>
                <w:tab w:val="right" w:pos="1202"/>
              </w:tabs>
              <w:spacing w:after="0" w:line="240" w:lineRule="auto"/>
              <w:jc w:val="right"/>
              <w:outlineLvl w:val="0"/>
              <w:rPr>
                <w:rFonts w:eastAsia="Times New Roman" w:cs="Arial"/>
                <w:snapToGrid w:val="0"/>
              </w:rPr>
            </w:pPr>
            <w:r w:rsidRPr="000C1BD7">
              <w:t>3</w:t>
            </w:r>
            <w:r>
              <w:t>,</w:t>
            </w:r>
            <w:r w:rsidRPr="000C1BD7">
              <w:t>264</w:t>
            </w:r>
            <w:r>
              <w:t>,</w:t>
            </w:r>
            <w:r w:rsidRPr="000C1BD7">
              <w:t>520</w:t>
            </w:r>
          </w:p>
        </w:tc>
        <w:tc>
          <w:tcPr>
            <w:tcW w:w="148" w:type="pct"/>
            <w:vAlign w:val="bottom"/>
          </w:tcPr>
          <w:p w14:paraId="54A7854A" w14:textId="77777777" w:rsidR="001F749C" w:rsidRPr="0034501D" w:rsidRDefault="001F749C" w:rsidP="001F749C">
            <w:pPr>
              <w:tabs>
                <w:tab w:val="right" w:pos="1202"/>
              </w:tabs>
              <w:spacing w:after="0" w:line="240" w:lineRule="auto"/>
              <w:jc w:val="right"/>
              <w:outlineLvl w:val="0"/>
              <w:rPr>
                <w:rFonts w:eastAsia="Times New Roman" w:cs="Arial"/>
                <w:snapToGrid w:val="0"/>
              </w:rPr>
            </w:pPr>
          </w:p>
        </w:tc>
        <w:tc>
          <w:tcPr>
            <w:tcW w:w="785" w:type="pct"/>
            <w:vAlign w:val="bottom"/>
          </w:tcPr>
          <w:p w14:paraId="39B15D85" w14:textId="77777777" w:rsidR="001F749C" w:rsidRPr="00257BB8" w:rsidRDefault="001F749C" w:rsidP="001F749C">
            <w:pPr>
              <w:tabs>
                <w:tab w:val="right" w:pos="1202"/>
              </w:tabs>
              <w:spacing w:after="0" w:line="240" w:lineRule="auto"/>
              <w:jc w:val="right"/>
              <w:outlineLvl w:val="0"/>
              <w:rPr>
                <w:rFonts w:eastAsia="Times New Roman" w:cs="Arial"/>
                <w:snapToGrid w:val="0"/>
              </w:rPr>
            </w:pPr>
            <w:r w:rsidRPr="009D3620">
              <w:t>3</w:t>
            </w:r>
            <w:r>
              <w:t>,</w:t>
            </w:r>
            <w:r w:rsidRPr="009D3620">
              <w:t>343</w:t>
            </w:r>
            <w:r>
              <w:t>,</w:t>
            </w:r>
            <w:r w:rsidRPr="009D3620">
              <w:t>574</w:t>
            </w:r>
          </w:p>
        </w:tc>
      </w:tr>
      <w:tr w:rsidR="001F749C" w:rsidRPr="0034501D" w14:paraId="11469342" w14:textId="77777777" w:rsidTr="005444AA">
        <w:trPr>
          <w:trHeight w:val="311"/>
        </w:trPr>
        <w:tc>
          <w:tcPr>
            <w:tcW w:w="2656" w:type="pct"/>
            <w:vAlign w:val="bottom"/>
          </w:tcPr>
          <w:p w14:paraId="75993190" w14:textId="77777777" w:rsidR="001F749C" w:rsidRPr="0034501D" w:rsidRDefault="001F749C" w:rsidP="001F749C">
            <w:pPr>
              <w:tabs>
                <w:tab w:val="right" w:pos="1202"/>
              </w:tabs>
              <w:spacing w:after="0" w:line="240" w:lineRule="auto"/>
              <w:outlineLvl w:val="0"/>
              <w:rPr>
                <w:rFonts w:eastAsia="Times New Roman" w:cs="Arial"/>
              </w:rPr>
            </w:pPr>
            <w:r w:rsidRPr="0034501D">
              <w:rPr>
                <w:rFonts w:cs="Arial"/>
              </w:rPr>
              <w:t>Investments in subsidiaries</w:t>
            </w:r>
          </w:p>
        </w:tc>
        <w:tc>
          <w:tcPr>
            <w:tcW w:w="595" w:type="pct"/>
            <w:vAlign w:val="center"/>
          </w:tcPr>
          <w:p w14:paraId="110F4771" w14:textId="77777777" w:rsidR="001F749C" w:rsidRPr="0034501D" w:rsidRDefault="001F749C" w:rsidP="001F749C">
            <w:pPr>
              <w:tabs>
                <w:tab w:val="right" w:pos="1202"/>
              </w:tabs>
              <w:spacing w:after="0" w:line="240" w:lineRule="auto"/>
              <w:jc w:val="center"/>
              <w:outlineLvl w:val="0"/>
              <w:rPr>
                <w:rFonts w:eastAsia="Times New Roman" w:cs="Arial"/>
                <w:snapToGrid w:val="0"/>
              </w:rPr>
            </w:pPr>
          </w:p>
        </w:tc>
        <w:tc>
          <w:tcPr>
            <w:tcW w:w="816" w:type="pct"/>
            <w:shd w:val="clear" w:color="auto" w:fill="auto"/>
            <w:vAlign w:val="bottom"/>
          </w:tcPr>
          <w:p w14:paraId="123483B5" w14:textId="48478B82" w:rsidR="001F749C" w:rsidRPr="00CA37C8" w:rsidRDefault="001F749C" w:rsidP="001F749C">
            <w:pPr>
              <w:tabs>
                <w:tab w:val="right" w:pos="1202"/>
              </w:tabs>
              <w:spacing w:after="0" w:line="240" w:lineRule="auto"/>
              <w:jc w:val="right"/>
              <w:outlineLvl w:val="0"/>
              <w:rPr>
                <w:rFonts w:eastAsia="Times New Roman" w:cs="Arial"/>
                <w:snapToGrid w:val="0"/>
              </w:rPr>
            </w:pPr>
            <w:r w:rsidRPr="000C1BD7">
              <w:t>36</w:t>
            </w:r>
            <w:r>
              <w:t>,</w:t>
            </w:r>
            <w:r w:rsidRPr="000C1BD7">
              <w:t>124</w:t>
            </w:r>
          </w:p>
        </w:tc>
        <w:tc>
          <w:tcPr>
            <w:tcW w:w="148" w:type="pct"/>
            <w:vAlign w:val="bottom"/>
          </w:tcPr>
          <w:p w14:paraId="03AD7F70" w14:textId="77777777" w:rsidR="001F749C" w:rsidRPr="0034501D" w:rsidRDefault="001F749C" w:rsidP="001F749C">
            <w:pPr>
              <w:tabs>
                <w:tab w:val="right" w:pos="1202"/>
              </w:tabs>
              <w:spacing w:after="0" w:line="240" w:lineRule="auto"/>
              <w:jc w:val="right"/>
              <w:outlineLvl w:val="0"/>
              <w:rPr>
                <w:rFonts w:eastAsia="Times New Roman" w:cs="Arial"/>
                <w:snapToGrid w:val="0"/>
              </w:rPr>
            </w:pPr>
          </w:p>
        </w:tc>
        <w:tc>
          <w:tcPr>
            <w:tcW w:w="785" w:type="pct"/>
            <w:vAlign w:val="bottom"/>
          </w:tcPr>
          <w:p w14:paraId="31FEA682" w14:textId="77777777" w:rsidR="001F749C" w:rsidRPr="00257BB8" w:rsidRDefault="001F749C" w:rsidP="001F749C">
            <w:pPr>
              <w:tabs>
                <w:tab w:val="right" w:pos="1202"/>
              </w:tabs>
              <w:spacing w:after="0" w:line="240" w:lineRule="auto"/>
              <w:jc w:val="right"/>
              <w:outlineLvl w:val="0"/>
              <w:rPr>
                <w:rFonts w:eastAsia="Times New Roman" w:cs="Arial"/>
                <w:snapToGrid w:val="0"/>
              </w:rPr>
            </w:pPr>
            <w:r w:rsidRPr="009D3620">
              <w:t>36</w:t>
            </w:r>
            <w:r>
              <w:t>,</w:t>
            </w:r>
            <w:r w:rsidRPr="009D3620">
              <w:t>124</w:t>
            </w:r>
          </w:p>
        </w:tc>
      </w:tr>
      <w:tr w:rsidR="001F749C" w:rsidRPr="0034501D" w14:paraId="11F16452" w14:textId="77777777" w:rsidTr="005444AA">
        <w:trPr>
          <w:trHeight w:val="311"/>
        </w:trPr>
        <w:tc>
          <w:tcPr>
            <w:tcW w:w="2656" w:type="pct"/>
            <w:vAlign w:val="bottom"/>
          </w:tcPr>
          <w:p w14:paraId="5B8C1022" w14:textId="77777777" w:rsidR="001F749C" w:rsidRPr="0034501D" w:rsidRDefault="001F749C" w:rsidP="001F749C">
            <w:pPr>
              <w:tabs>
                <w:tab w:val="right" w:pos="1202"/>
              </w:tabs>
              <w:spacing w:after="0" w:line="240" w:lineRule="auto"/>
              <w:outlineLvl w:val="0"/>
              <w:rPr>
                <w:rFonts w:eastAsia="Times New Roman" w:cs="Arial"/>
              </w:rPr>
            </w:pPr>
            <w:r w:rsidRPr="0034501D">
              <w:rPr>
                <w:rFonts w:cs="Arial"/>
              </w:rPr>
              <w:t>Investments in associates</w:t>
            </w:r>
          </w:p>
        </w:tc>
        <w:tc>
          <w:tcPr>
            <w:tcW w:w="595" w:type="pct"/>
            <w:vAlign w:val="center"/>
          </w:tcPr>
          <w:p w14:paraId="2753DB4B" w14:textId="77777777" w:rsidR="001F749C" w:rsidRPr="0034501D" w:rsidRDefault="001F749C" w:rsidP="001F749C">
            <w:pPr>
              <w:tabs>
                <w:tab w:val="right" w:pos="1202"/>
              </w:tabs>
              <w:spacing w:after="0" w:line="240" w:lineRule="auto"/>
              <w:jc w:val="center"/>
              <w:outlineLvl w:val="0"/>
              <w:rPr>
                <w:rFonts w:eastAsia="Times New Roman" w:cs="Arial"/>
                <w:snapToGrid w:val="0"/>
              </w:rPr>
            </w:pPr>
          </w:p>
        </w:tc>
        <w:tc>
          <w:tcPr>
            <w:tcW w:w="816" w:type="pct"/>
            <w:tcBorders>
              <w:top w:val="nil"/>
              <w:left w:val="nil"/>
              <w:bottom w:val="nil"/>
              <w:right w:val="nil"/>
            </w:tcBorders>
            <w:shd w:val="clear" w:color="auto" w:fill="auto"/>
            <w:vAlign w:val="bottom"/>
          </w:tcPr>
          <w:p w14:paraId="57109826" w14:textId="7BBFC53A" w:rsidR="001F749C" w:rsidRPr="00CA37C8" w:rsidRDefault="001F749C" w:rsidP="001F749C">
            <w:pPr>
              <w:tabs>
                <w:tab w:val="right" w:pos="1202"/>
              </w:tabs>
              <w:spacing w:after="0" w:line="240" w:lineRule="auto"/>
              <w:jc w:val="right"/>
              <w:outlineLvl w:val="0"/>
              <w:rPr>
                <w:rFonts w:eastAsia="Times New Roman" w:cs="Arial"/>
                <w:snapToGrid w:val="0"/>
              </w:rPr>
            </w:pPr>
            <w:r w:rsidRPr="00CE0613">
              <w:rPr>
                <w:rFonts w:eastAsiaTheme="minorHAnsi" w:cstheme="minorBidi"/>
              </w:rPr>
              <w:t>-</w:t>
            </w:r>
          </w:p>
        </w:tc>
        <w:tc>
          <w:tcPr>
            <w:tcW w:w="148" w:type="pct"/>
            <w:vAlign w:val="bottom"/>
          </w:tcPr>
          <w:p w14:paraId="32A9C3B8" w14:textId="77777777" w:rsidR="001F749C" w:rsidRPr="0034501D" w:rsidRDefault="001F749C" w:rsidP="001F749C">
            <w:pPr>
              <w:tabs>
                <w:tab w:val="right" w:pos="1202"/>
              </w:tabs>
              <w:spacing w:after="0" w:line="240" w:lineRule="auto"/>
              <w:jc w:val="right"/>
              <w:outlineLvl w:val="0"/>
              <w:rPr>
                <w:rFonts w:eastAsia="Times New Roman" w:cs="Arial"/>
                <w:snapToGrid w:val="0"/>
              </w:rPr>
            </w:pPr>
          </w:p>
        </w:tc>
        <w:tc>
          <w:tcPr>
            <w:tcW w:w="785" w:type="pct"/>
            <w:vAlign w:val="bottom"/>
          </w:tcPr>
          <w:p w14:paraId="35C6427C" w14:textId="77777777" w:rsidR="001F749C" w:rsidRPr="00257BB8" w:rsidRDefault="001F749C" w:rsidP="001F749C">
            <w:pPr>
              <w:tabs>
                <w:tab w:val="right" w:pos="1202"/>
              </w:tabs>
              <w:spacing w:after="0" w:line="240" w:lineRule="auto"/>
              <w:jc w:val="right"/>
              <w:outlineLvl w:val="0"/>
              <w:rPr>
                <w:rFonts w:eastAsia="Times New Roman" w:cs="Arial"/>
                <w:snapToGrid w:val="0"/>
              </w:rPr>
            </w:pPr>
            <w:r w:rsidRPr="005D12B5">
              <w:rPr>
                <w:rFonts w:cs="Arial"/>
                <w:snapToGrid w:val="0"/>
              </w:rPr>
              <w:t>-</w:t>
            </w:r>
          </w:p>
        </w:tc>
      </w:tr>
      <w:tr w:rsidR="001F749C" w:rsidRPr="0034501D" w14:paraId="1F9BECFE" w14:textId="77777777" w:rsidTr="005444AA">
        <w:trPr>
          <w:trHeight w:val="311"/>
        </w:trPr>
        <w:tc>
          <w:tcPr>
            <w:tcW w:w="2656" w:type="pct"/>
            <w:vAlign w:val="bottom"/>
          </w:tcPr>
          <w:p w14:paraId="74A24606" w14:textId="77777777" w:rsidR="001F749C" w:rsidRPr="0034501D" w:rsidRDefault="001F749C" w:rsidP="001F749C">
            <w:pPr>
              <w:tabs>
                <w:tab w:val="right" w:pos="1202"/>
              </w:tabs>
              <w:spacing w:after="0" w:line="240" w:lineRule="auto"/>
              <w:outlineLvl w:val="0"/>
              <w:rPr>
                <w:rFonts w:eastAsia="Times New Roman" w:cs="Arial"/>
              </w:rPr>
            </w:pPr>
            <w:r w:rsidRPr="0034501D">
              <w:rPr>
                <w:rFonts w:cs="Arial"/>
              </w:rPr>
              <w:t>Property, plant and equipment and intangible assets</w:t>
            </w:r>
          </w:p>
        </w:tc>
        <w:tc>
          <w:tcPr>
            <w:tcW w:w="595" w:type="pct"/>
            <w:vAlign w:val="center"/>
          </w:tcPr>
          <w:p w14:paraId="106542C7" w14:textId="77777777" w:rsidR="001F749C" w:rsidRPr="0034501D" w:rsidRDefault="001F749C" w:rsidP="001F749C">
            <w:pPr>
              <w:tabs>
                <w:tab w:val="right" w:pos="1202"/>
              </w:tabs>
              <w:spacing w:after="0" w:line="240" w:lineRule="auto"/>
              <w:jc w:val="center"/>
              <w:outlineLvl w:val="0"/>
              <w:rPr>
                <w:rFonts w:eastAsia="Times New Roman" w:cs="Arial"/>
                <w:snapToGrid w:val="0"/>
              </w:rPr>
            </w:pPr>
          </w:p>
        </w:tc>
        <w:tc>
          <w:tcPr>
            <w:tcW w:w="816" w:type="pct"/>
            <w:tcBorders>
              <w:top w:val="nil"/>
              <w:left w:val="nil"/>
              <w:bottom w:val="nil"/>
              <w:right w:val="nil"/>
            </w:tcBorders>
            <w:shd w:val="clear" w:color="auto" w:fill="auto"/>
            <w:vAlign w:val="bottom"/>
          </w:tcPr>
          <w:p w14:paraId="17BF83AB" w14:textId="27969FC9" w:rsidR="001F749C" w:rsidRPr="00CA37C8" w:rsidRDefault="001F749C" w:rsidP="001F749C">
            <w:pPr>
              <w:tabs>
                <w:tab w:val="right" w:pos="1202"/>
              </w:tabs>
              <w:spacing w:after="0" w:line="240" w:lineRule="auto"/>
              <w:jc w:val="right"/>
              <w:outlineLvl w:val="0"/>
              <w:rPr>
                <w:rFonts w:eastAsia="Times New Roman" w:cs="Arial"/>
                <w:snapToGrid w:val="0"/>
              </w:rPr>
            </w:pPr>
            <w:r w:rsidRPr="00CE0613">
              <w:rPr>
                <w:rFonts w:eastAsiaTheme="minorHAnsi" w:cstheme="minorBidi"/>
              </w:rPr>
              <w:t>54</w:t>
            </w:r>
            <w:r>
              <w:t>,</w:t>
            </w:r>
            <w:r w:rsidRPr="00CE0613">
              <w:rPr>
                <w:rFonts w:eastAsiaTheme="minorHAnsi" w:cstheme="minorBidi"/>
              </w:rPr>
              <w:t>022</w:t>
            </w:r>
          </w:p>
        </w:tc>
        <w:tc>
          <w:tcPr>
            <w:tcW w:w="148" w:type="pct"/>
            <w:vAlign w:val="bottom"/>
          </w:tcPr>
          <w:p w14:paraId="292AF384" w14:textId="77777777" w:rsidR="001F749C" w:rsidRPr="0034501D" w:rsidRDefault="001F749C" w:rsidP="001F749C">
            <w:pPr>
              <w:tabs>
                <w:tab w:val="right" w:pos="1202"/>
              </w:tabs>
              <w:spacing w:after="0" w:line="240" w:lineRule="auto"/>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14:paraId="6FCCD1DD" w14:textId="77777777" w:rsidR="001F749C" w:rsidRPr="00257BB8" w:rsidRDefault="001F749C" w:rsidP="001F749C">
            <w:pPr>
              <w:tabs>
                <w:tab w:val="right" w:pos="1202"/>
              </w:tabs>
              <w:spacing w:after="0" w:line="240" w:lineRule="auto"/>
              <w:jc w:val="right"/>
              <w:outlineLvl w:val="0"/>
              <w:rPr>
                <w:rFonts w:eastAsia="Times New Roman" w:cs="Arial"/>
                <w:snapToGrid w:val="0"/>
              </w:rPr>
            </w:pPr>
            <w:r w:rsidRPr="009B7124">
              <w:t>57</w:t>
            </w:r>
            <w:r>
              <w:t>,</w:t>
            </w:r>
            <w:r w:rsidRPr="009B7124">
              <w:t>216</w:t>
            </w:r>
          </w:p>
        </w:tc>
      </w:tr>
      <w:tr w:rsidR="001F749C" w:rsidRPr="0034501D" w14:paraId="71593896" w14:textId="77777777" w:rsidTr="005444AA">
        <w:trPr>
          <w:trHeight w:val="311"/>
        </w:trPr>
        <w:tc>
          <w:tcPr>
            <w:tcW w:w="2656" w:type="pct"/>
            <w:vAlign w:val="bottom"/>
          </w:tcPr>
          <w:p w14:paraId="3BDFA0B8" w14:textId="77777777" w:rsidR="001F749C" w:rsidRPr="0034501D" w:rsidRDefault="001F749C" w:rsidP="001F749C">
            <w:pPr>
              <w:tabs>
                <w:tab w:val="right" w:pos="1202"/>
              </w:tabs>
              <w:spacing w:after="0" w:line="240" w:lineRule="auto"/>
              <w:outlineLvl w:val="0"/>
              <w:rPr>
                <w:rFonts w:eastAsia="Times New Roman" w:cs="Arial"/>
              </w:rPr>
            </w:pPr>
            <w:r w:rsidRPr="0034501D">
              <w:rPr>
                <w:rFonts w:cs="Arial"/>
              </w:rPr>
              <w:t>Non-current assets held for sale</w:t>
            </w:r>
          </w:p>
        </w:tc>
        <w:tc>
          <w:tcPr>
            <w:tcW w:w="595" w:type="pct"/>
            <w:vAlign w:val="center"/>
          </w:tcPr>
          <w:p w14:paraId="0D258186" w14:textId="77777777" w:rsidR="001F749C" w:rsidRPr="0034501D" w:rsidRDefault="001F749C" w:rsidP="001F749C">
            <w:pPr>
              <w:tabs>
                <w:tab w:val="right" w:pos="1202"/>
              </w:tabs>
              <w:spacing w:after="0" w:line="240" w:lineRule="auto"/>
              <w:jc w:val="center"/>
              <w:outlineLvl w:val="0"/>
              <w:rPr>
                <w:rFonts w:eastAsia="Times New Roman" w:cs="Arial"/>
                <w:snapToGrid w:val="0"/>
              </w:rPr>
            </w:pPr>
          </w:p>
        </w:tc>
        <w:tc>
          <w:tcPr>
            <w:tcW w:w="816" w:type="pct"/>
            <w:tcBorders>
              <w:top w:val="nil"/>
              <w:left w:val="nil"/>
              <w:bottom w:val="nil"/>
              <w:right w:val="nil"/>
            </w:tcBorders>
            <w:shd w:val="clear" w:color="auto" w:fill="auto"/>
            <w:vAlign w:val="bottom"/>
          </w:tcPr>
          <w:p w14:paraId="72E69A83" w14:textId="24A4EF53" w:rsidR="001F749C" w:rsidRPr="00CA37C8" w:rsidRDefault="001F749C" w:rsidP="001F749C">
            <w:pPr>
              <w:tabs>
                <w:tab w:val="right" w:pos="1202"/>
              </w:tabs>
              <w:spacing w:after="0" w:line="240" w:lineRule="auto"/>
              <w:jc w:val="right"/>
              <w:outlineLvl w:val="0"/>
              <w:rPr>
                <w:rFonts w:eastAsia="Times New Roman" w:cs="Arial"/>
                <w:snapToGrid w:val="0"/>
              </w:rPr>
            </w:pPr>
            <w:r w:rsidRPr="00CE0613">
              <w:rPr>
                <w:rFonts w:eastAsiaTheme="minorHAnsi" w:cstheme="minorBidi"/>
              </w:rPr>
              <w:t>17</w:t>
            </w:r>
            <w:r>
              <w:t>,</w:t>
            </w:r>
            <w:r w:rsidRPr="00CE0613">
              <w:rPr>
                <w:rFonts w:eastAsiaTheme="minorHAnsi" w:cstheme="minorBidi"/>
              </w:rPr>
              <w:t>045</w:t>
            </w:r>
          </w:p>
        </w:tc>
        <w:tc>
          <w:tcPr>
            <w:tcW w:w="148" w:type="pct"/>
            <w:vAlign w:val="bottom"/>
          </w:tcPr>
          <w:p w14:paraId="13C29392" w14:textId="77777777" w:rsidR="001F749C" w:rsidRPr="0034501D" w:rsidRDefault="001F749C" w:rsidP="001F749C">
            <w:pPr>
              <w:tabs>
                <w:tab w:val="right" w:pos="1202"/>
              </w:tabs>
              <w:spacing w:after="0" w:line="240" w:lineRule="auto"/>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14:paraId="2AA404CF" w14:textId="77777777" w:rsidR="001F749C" w:rsidRPr="00257BB8" w:rsidRDefault="001F749C" w:rsidP="001F749C">
            <w:pPr>
              <w:tabs>
                <w:tab w:val="right" w:pos="1202"/>
              </w:tabs>
              <w:spacing w:after="0" w:line="240" w:lineRule="auto"/>
              <w:jc w:val="right"/>
              <w:outlineLvl w:val="0"/>
              <w:rPr>
                <w:rFonts w:eastAsia="Times New Roman" w:cs="Arial"/>
                <w:snapToGrid w:val="0"/>
              </w:rPr>
            </w:pPr>
            <w:r w:rsidRPr="009B7124">
              <w:t>17</w:t>
            </w:r>
            <w:r>
              <w:t>,</w:t>
            </w:r>
            <w:r w:rsidRPr="009B7124">
              <w:t>230</w:t>
            </w:r>
          </w:p>
        </w:tc>
      </w:tr>
      <w:tr w:rsidR="001F749C" w:rsidRPr="0034501D" w14:paraId="3C3A2511" w14:textId="77777777" w:rsidTr="005444AA">
        <w:trPr>
          <w:trHeight w:val="311"/>
        </w:trPr>
        <w:tc>
          <w:tcPr>
            <w:tcW w:w="2656" w:type="pct"/>
            <w:vAlign w:val="bottom"/>
          </w:tcPr>
          <w:p w14:paraId="06DCC5F6" w14:textId="77777777" w:rsidR="001F749C" w:rsidRPr="0034501D" w:rsidRDefault="001F749C" w:rsidP="001F749C">
            <w:pPr>
              <w:tabs>
                <w:tab w:val="right" w:pos="1202"/>
              </w:tabs>
              <w:spacing w:after="0" w:line="240" w:lineRule="auto"/>
              <w:outlineLvl w:val="0"/>
              <w:rPr>
                <w:rFonts w:eastAsia="Times New Roman" w:cs="Arial"/>
              </w:rPr>
            </w:pPr>
            <w:r w:rsidRPr="0034501D">
              <w:rPr>
                <w:rFonts w:cs="Arial"/>
              </w:rPr>
              <w:t>Other assets</w:t>
            </w:r>
          </w:p>
        </w:tc>
        <w:tc>
          <w:tcPr>
            <w:tcW w:w="595" w:type="pct"/>
            <w:vAlign w:val="center"/>
          </w:tcPr>
          <w:p w14:paraId="5EA31E65" w14:textId="77777777" w:rsidR="001F749C" w:rsidRPr="0034501D" w:rsidRDefault="001F749C" w:rsidP="001F749C">
            <w:pPr>
              <w:tabs>
                <w:tab w:val="right" w:pos="1202"/>
              </w:tabs>
              <w:spacing w:after="0" w:line="240" w:lineRule="auto"/>
              <w:jc w:val="center"/>
              <w:outlineLvl w:val="0"/>
              <w:rPr>
                <w:rFonts w:eastAsia="Times New Roman" w:cs="Arial"/>
                <w:snapToGrid w:val="0"/>
              </w:rPr>
            </w:pPr>
          </w:p>
        </w:tc>
        <w:tc>
          <w:tcPr>
            <w:tcW w:w="816" w:type="pct"/>
            <w:tcBorders>
              <w:top w:val="nil"/>
              <w:left w:val="nil"/>
              <w:bottom w:val="nil"/>
              <w:right w:val="nil"/>
            </w:tcBorders>
            <w:shd w:val="clear" w:color="auto" w:fill="auto"/>
            <w:vAlign w:val="bottom"/>
          </w:tcPr>
          <w:p w14:paraId="32D1F317" w14:textId="372DD2D9" w:rsidR="001F749C" w:rsidRPr="00CA37C8" w:rsidRDefault="001F749C" w:rsidP="001F749C">
            <w:pPr>
              <w:tabs>
                <w:tab w:val="right" w:pos="1202"/>
              </w:tabs>
              <w:spacing w:after="0" w:line="240" w:lineRule="auto"/>
              <w:jc w:val="right"/>
              <w:outlineLvl w:val="0"/>
              <w:rPr>
                <w:rFonts w:eastAsia="Times New Roman" w:cs="Arial"/>
                <w:snapToGrid w:val="0"/>
              </w:rPr>
            </w:pPr>
            <w:r w:rsidRPr="00CE0613">
              <w:rPr>
                <w:rFonts w:eastAsiaTheme="minorHAnsi" w:cstheme="minorBidi"/>
              </w:rPr>
              <w:t>11</w:t>
            </w:r>
            <w:r>
              <w:t>,</w:t>
            </w:r>
            <w:r w:rsidRPr="00CE0613">
              <w:rPr>
                <w:rFonts w:eastAsiaTheme="minorHAnsi" w:cstheme="minorBidi"/>
              </w:rPr>
              <w:t>678</w:t>
            </w:r>
          </w:p>
        </w:tc>
        <w:tc>
          <w:tcPr>
            <w:tcW w:w="148" w:type="pct"/>
            <w:vAlign w:val="bottom"/>
          </w:tcPr>
          <w:p w14:paraId="3B67907F" w14:textId="77777777" w:rsidR="001F749C" w:rsidRPr="0034501D" w:rsidRDefault="001F749C" w:rsidP="001F749C">
            <w:pPr>
              <w:tabs>
                <w:tab w:val="right" w:pos="1202"/>
              </w:tabs>
              <w:spacing w:after="0" w:line="240" w:lineRule="auto"/>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14:paraId="0F1F3B7F" w14:textId="77777777" w:rsidR="001F749C" w:rsidRPr="00257BB8" w:rsidRDefault="001F749C" w:rsidP="001F749C">
            <w:pPr>
              <w:tabs>
                <w:tab w:val="right" w:pos="1202"/>
              </w:tabs>
              <w:spacing w:after="0" w:line="240" w:lineRule="auto"/>
              <w:jc w:val="right"/>
              <w:outlineLvl w:val="0"/>
              <w:rPr>
                <w:rFonts w:eastAsia="Times New Roman" w:cs="Arial"/>
                <w:snapToGrid w:val="0"/>
              </w:rPr>
            </w:pPr>
            <w:r w:rsidRPr="009B7124">
              <w:t>5</w:t>
            </w:r>
            <w:r>
              <w:t>,</w:t>
            </w:r>
            <w:r w:rsidRPr="009B7124">
              <w:t>900</w:t>
            </w:r>
          </w:p>
        </w:tc>
      </w:tr>
      <w:tr w:rsidR="001F749C" w:rsidRPr="0034501D" w14:paraId="7BB51604" w14:textId="77777777" w:rsidTr="005444AA">
        <w:trPr>
          <w:trHeight w:hRule="exact" w:val="113"/>
        </w:trPr>
        <w:tc>
          <w:tcPr>
            <w:tcW w:w="2656" w:type="pct"/>
            <w:vAlign w:val="bottom"/>
          </w:tcPr>
          <w:p w14:paraId="1DACE448" w14:textId="77777777" w:rsidR="001F749C" w:rsidRPr="0034501D" w:rsidRDefault="001F749C" w:rsidP="001F749C">
            <w:pPr>
              <w:keepNext/>
              <w:keepLines/>
              <w:tabs>
                <w:tab w:val="decimal" w:pos="1202"/>
              </w:tabs>
              <w:spacing w:after="0" w:line="240" w:lineRule="auto"/>
              <w:rPr>
                <w:rFonts w:eastAsia="Times New Roman" w:cs="Arial"/>
                <w:b/>
                <w:position w:val="4"/>
              </w:rPr>
            </w:pPr>
          </w:p>
        </w:tc>
        <w:tc>
          <w:tcPr>
            <w:tcW w:w="595" w:type="pct"/>
            <w:vAlign w:val="center"/>
          </w:tcPr>
          <w:p w14:paraId="0CBE4F3D" w14:textId="77777777" w:rsidR="001F749C" w:rsidRPr="0034501D" w:rsidRDefault="001F749C" w:rsidP="001F749C">
            <w:pPr>
              <w:tabs>
                <w:tab w:val="right" w:pos="1202"/>
              </w:tabs>
              <w:spacing w:after="0" w:line="240" w:lineRule="auto"/>
              <w:jc w:val="center"/>
              <w:outlineLvl w:val="0"/>
              <w:rPr>
                <w:rFonts w:eastAsia="Times New Roman" w:cs="Arial"/>
                <w:snapToGrid w:val="0"/>
              </w:rPr>
            </w:pPr>
          </w:p>
        </w:tc>
        <w:tc>
          <w:tcPr>
            <w:tcW w:w="816" w:type="pct"/>
            <w:tcBorders>
              <w:bottom w:val="single" w:sz="4" w:space="0" w:color="auto"/>
            </w:tcBorders>
            <w:vAlign w:val="bottom"/>
          </w:tcPr>
          <w:p w14:paraId="7BF289A9" w14:textId="77777777" w:rsidR="001F749C" w:rsidRPr="00CA37C8" w:rsidRDefault="001F749C" w:rsidP="001F749C">
            <w:pPr>
              <w:keepLines/>
              <w:spacing w:after="0" w:line="240" w:lineRule="auto"/>
              <w:jc w:val="right"/>
              <w:rPr>
                <w:rFonts w:eastAsia="Times New Roman" w:cs="Arial"/>
                <w:spacing w:val="-2"/>
                <w:position w:val="4"/>
              </w:rPr>
            </w:pPr>
          </w:p>
        </w:tc>
        <w:tc>
          <w:tcPr>
            <w:tcW w:w="148" w:type="pct"/>
            <w:tcBorders>
              <w:bottom w:val="single" w:sz="4" w:space="0" w:color="auto"/>
            </w:tcBorders>
            <w:vAlign w:val="bottom"/>
          </w:tcPr>
          <w:p w14:paraId="22980292" w14:textId="77777777" w:rsidR="001F749C" w:rsidRPr="0034501D" w:rsidRDefault="001F749C" w:rsidP="001F749C">
            <w:pPr>
              <w:keepNext/>
              <w:keepLines/>
              <w:tabs>
                <w:tab w:val="left" w:pos="215"/>
                <w:tab w:val="decimal" w:pos="1295"/>
              </w:tabs>
              <w:spacing w:after="0" w:line="240" w:lineRule="auto"/>
              <w:ind w:right="-148"/>
              <w:jc w:val="right"/>
              <w:rPr>
                <w:rFonts w:eastAsia="Times New Roman" w:cs="Arial"/>
                <w:b/>
                <w:snapToGrid w:val="0"/>
                <w:position w:val="4"/>
              </w:rPr>
            </w:pPr>
          </w:p>
        </w:tc>
        <w:tc>
          <w:tcPr>
            <w:tcW w:w="785" w:type="pct"/>
            <w:tcBorders>
              <w:bottom w:val="single" w:sz="4" w:space="0" w:color="auto"/>
            </w:tcBorders>
            <w:vAlign w:val="bottom"/>
          </w:tcPr>
          <w:p w14:paraId="3CA75D5A" w14:textId="77777777" w:rsidR="001F749C" w:rsidRPr="00CA37C8" w:rsidRDefault="001F749C" w:rsidP="001F749C">
            <w:pPr>
              <w:keepLines/>
              <w:spacing w:after="0" w:line="240" w:lineRule="auto"/>
              <w:jc w:val="right"/>
              <w:rPr>
                <w:rFonts w:eastAsia="Times New Roman" w:cs="Arial"/>
                <w:spacing w:val="-2"/>
                <w:position w:val="4"/>
              </w:rPr>
            </w:pPr>
          </w:p>
        </w:tc>
      </w:tr>
      <w:tr w:rsidR="001F749C" w:rsidRPr="0034501D" w14:paraId="72F14094" w14:textId="77777777" w:rsidTr="005444AA">
        <w:trPr>
          <w:trHeight w:val="345"/>
        </w:trPr>
        <w:tc>
          <w:tcPr>
            <w:tcW w:w="2656" w:type="pct"/>
            <w:vAlign w:val="bottom"/>
          </w:tcPr>
          <w:p w14:paraId="6D1A8CDD" w14:textId="77777777" w:rsidR="001F749C" w:rsidRPr="0034501D" w:rsidRDefault="001F749C" w:rsidP="001F749C">
            <w:pPr>
              <w:tabs>
                <w:tab w:val="right" w:pos="1202"/>
              </w:tabs>
              <w:spacing w:after="0" w:line="240" w:lineRule="auto"/>
              <w:outlineLvl w:val="0"/>
              <w:rPr>
                <w:rFonts w:eastAsia="Times New Roman" w:cs="Arial"/>
                <w:b/>
                <w:bCs/>
              </w:rPr>
            </w:pPr>
            <w:r w:rsidRPr="0034501D">
              <w:rPr>
                <w:rFonts w:cs="Arial"/>
                <w:b/>
                <w:bCs/>
              </w:rPr>
              <w:t>Total assets</w:t>
            </w:r>
          </w:p>
        </w:tc>
        <w:tc>
          <w:tcPr>
            <w:tcW w:w="595" w:type="pct"/>
            <w:vAlign w:val="center"/>
          </w:tcPr>
          <w:p w14:paraId="2E9AEC67" w14:textId="77777777" w:rsidR="001F749C" w:rsidRPr="0034501D" w:rsidRDefault="001F749C" w:rsidP="001F749C">
            <w:pPr>
              <w:keepLines/>
              <w:spacing w:after="0" w:line="240" w:lineRule="auto"/>
              <w:jc w:val="center"/>
              <w:rPr>
                <w:rFonts w:eastAsia="Times New Roman" w:cs="Arial"/>
                <w:spacing w:val="-2"/>
                <w:position w:val="4"/>
              </w:rPr>
            </w:pPr>
          </w:p>
        </w:tc>
        <w:tc>
          <w:tcPr>
            <w:tcW w:w="816" w:type="pct"/>
            <w:tcBorders>
              <w:top w:val="single" w:sz="4" w:space="0" w:color="auto"/>
              <w:bottom w:val="single" w:sz="12" w:space="0" w:color="auto"/>
            </w:tcBorders>
            <w:vAlign w:val="bottom"/>
          </w:tcPr>
          <w:p w14:paraId="086BF779" w14:textId="73FE9197" w:rsidR="001F749C" w:rsidRPr="00CA37C8" w:rsidRDefault="001F749C" w:rsidP="001F749C">
            <w:pPr>
              <w:tabs>
                <w:tab w:val="right" w:pos="1202"/>
              </w:tabs>
              <w:spacing w:after="0" w:line="240" w:lineRule="auto"/>
              <w:jc w:val="right"/>
              <w:outlineLvl w:val="0"/>
              <w:rPr>
                <w:rFonts w:eastAsia="Times New Roman" w:cs="Arial"/>
                <w:b/>
                <w:bCs/>
              </w:rPr>
            </w:pPr>
            <w:r w:rsidRPr="00971AD8">
              <w:rPr>
                <w:rFonts w:eastAsia="Times New Roman" w:cs="Arial"/>
                <w:b/>
                <w:bCs/>
              </w:rPr>
              <w:t>28</w:t>
            </w:r>
            <w:r>
              <w:rPr>
                <w:rFonts w:eastAsia="Times New Roman" w:cs="Arial"/>
                <w:b/>
                <w:bCs/>
              </w:rPr>
              <w:t>,</w:t>
            </w:r>
            <w:r w:rsidRPr="00971AD8">
              <w:rPr>
                <w:rFonts w:eastAsia="Times New Roman" w:cs="Arial"/>
                <w:b/>
                <w:bCs/>
              </w:rPr>
              <w:t>281</w:t>
            </w:r>
            <w:r>
              <w:rPr>
                <w:rFonts w:eastAsia="Times New Roman" w:cs="Arial"/>
                <w:b/>
                <w:bCs/>
              </w:rPr>
              <w:t>,</w:t>
            </w:r>
            <w:r w:rsidRPr="00971AD8">
              <w:rPr>
                <w:rFonts w:eastAsia="Times New Roman" w:cs="Arial"/>
                <w:b/>
                <w:bCs/>
              </w:rPr>
              <w:t>595</w:t>
            </w:r>
          </w:p>
        </w:tc>
        <w:tc>
          <w:tcPr>
            <w:tcW w:w="148" w:type="pct"/>
            <w:tcBorders>
              <w:top w:val="single" w:sz="4" w:space="0" w:color="auto"/>
              <w:bottom w:val="single" w:sz="12" w:space="0" w:color="auto"/>
            </w:tcBorders>
            <w:vAlign w:val="bottom"/>
          </w:tcPr>
          <w:p w14:paraId="31019E72" w14:textId="77777777" w:rsidR="001F749C" w:rsidRPr="0034501D" w:rsidRDefault="001F749C" w:rsidP="001F749C">
            <w:pPr>
              <w:tabs>
                <w:tab w:val="right" w:pos="1202"/>
              </w:tabs>
              <w:spacing w:after="0" w:line="240" w:lineRule="auto"/>
              <w:jc w:val="right"/>
              <w:outlineLvl w:val="0"/>
              <w:rPr>
                <w:rFonts w:eastAsia="Times New Roman" w:cs="Arial"/>
                <w:b/>
                <w:bCs/>
              </w:rPr>
            </w:pPr>
          </w:p>
        </w:tc>
        <w:tc>
          <w:tcPr>
            <w:tcW w:w="785" w:type="pct"/>
            <w:tcBorders>
              <w:top w:val="single" w:sz="4" w:space="0" w:color="auto"/>
              <w:bottom w:val="single" w:sz="12" w:space="0" w:color="auto"/>
            </w:tcBorders>
            <w:vAlign w:val="bottom"/>
          </w:tcPr>
          <w:p w14:paraId="26284BD0" w14:textId="77777777" w:rsidR="001F749C" w:rsidRPr="00CA37C8" w:rsidRDefault="001F749C" w:rsidP="001F749C">
            <w:pPr>
              <w:tabs>
                <w:tab w:val="right" w:pos="1202"/>
              </w:tabs>
              <w:spacing w:after="0" w:line="240" w:lineRule="auto"/>
              <w:jc w:val="right"/>
              <w:outlineLvl w:val="0"/>
              <w:rPr>
                <w:rFonts w:eastAsia="Times New Roman" w:cs="Arial"/>
                <w:b/>
                <w:bCs/>
              </w:rPr>
            </w:pPr>
            <w:r w:rsidRPr="00A1037D">
              <w:rPr>
                <w:rFonts w:eastAsia="Times New Roman" w:cs="Arial"/>
                <w:b/>
                <w:bCs/>
              </w:rPr>
              <w:t>27</w:t>
            </w:r>
            <w:r>
              <w:rPr>
                <w:rFonts w:eastAsia="Times New Roman" w:cs="Arial"/>
                <w:b/>
                <w:bCs/>
              </w:rPr>
              <w:t>,</w:t>
            </w:r>
            <w:r w:rsidRPr="00A1037D">
              <w:rPr>
                <w:rFonts w:eastAsia="Times New Roman" w:cs="Arial"/>
                <w:b/>
                <w:bCs/>
              </w:rPr>
              <w:t>374</w:t>
            </w:r>
            <w:r>
              <w:rPr>
                <w:rFonts w:eastAsia="Times New Roman" w:cs="Arial"/>
                <w:b/>
                <w:bCs/>
              </w:rPr>
              <w:t>,</w:t>
            </w:r>
            <w:r w:rsidRPr="00A1037D">
              <w:rPr>
                <w:rFonts w:eastAsia="Times New Roman" w:cs="Arial"/>
                <w:b/>
                <w:bCs/>
              </w:rPr>
              <w:t>916</w:t>
            </w:r>
          </w:p>
        </w:tc>
      </w:tr>
      <w:tr w:rsidR="00530772" w:rsidRPr="0034501D" w14:paraId="0BF7F5CD" w14:textId="77777777" w:rsidTr="005444AA">
        <w:trPr>
          <w:trHeight w:hRule="exact" w:val="113"/>
        </w:trPr>
        <w:tc>
          <w:tcPr>
            <w:tcW w:w="2656" w:type="pct"/>
            <w:vAlign w:val="bottom"/>
          </w:tcPr>
          <w:p w14:paraId="2C475BB0" w14:textId="77777777" w:rsidR="00530772" w:rsidRPr="0034501D" w:rsidRDefault="00530772" w:rsidP="00530772">
            <w:pPr>
              <w:keepNext/>
              <w:keepLines/>
              <w:tabs>
                <w:tab w:val="decimal" w:pos="1202"/>
              </w:tabs>
              <w:spacing w:after="0" w:line="240" w:lineRule="auto"/>
              <w:rPr>
                <w:rFonts w:eastAsia="Times New Roman" w:cs="Arial"/>
                <w:b/>
                <w:position w:val="4"/>
                <w:u w:val="thick"/>
              </w:rPr>
            </w:pPr>
          </w:p>
        </w:tc>
        <w:tc>
          <w:tcPr>
            <w:tcW w:w="595" w:type="pct"/>
            <w:vAlign w:val="center"/>
          </w:tcPr>
          <w:p w14:paraId="48953465" w14:textId="77777777" w:rsidR="00530772" w:rsidRPr="0034501D" w:rsidRDefault="00530772" w:rsidP="00530772">
            <w:pPr>
              <w:spacing w:after="0" w:line="240" w:lineRule="auto"/>
              <w:jc w:val="center"/>
              <w:rPr>
                <w:rFonts w:eastAsia="Times New Roman" w:cs="Arial"/>
                <w:b/>
                <w:bCs/>
              </w:rPr>
            </w:pPr>
          </w:p>
        </w:tc>
        <w:tc>
          <w:tcPr>
            <w:tcW w:w="816" w:type="pct"/>
            <w:tcBorders>
              <w:top w:val="single" w:sz="12" w:space="0" w:color="auto"/>
            </w:tcBorders>
            <w:vAlign w:val="bottom"/>
          </w:tcPr>
          <w:p w14:paraId="1F07EF25" w14:textId="77777777" w:rsidR="00530772" w:rsidRPr="00CA37C8" w:rsidRDefault="00530772" w:rsidP="00530772">
            <w:pPr>
              <w:keepNext/>
              <w:keepLines/>
              <w:tabs>
                <w:tab w:val="decimal" w:pos="1060"/>
              </w:tabs>
              <w:spacing w:after="0" w:line="240" w:lineRule="auto"/>
              <w:jc w:val="right"/>
              <w:rPr>
                <w:rFonts w:eastAsia="Times New Roman" w:cs="Arial"/>
                <w:b/>
                <w:position w:val="4"/>
                <w:u w:val="thick"/>
              </w:rPr>
            </w:pPr>
          </w:p>
        </w:tc>
        <w:tc>
          <w:tcPr>
            <w:tcW w:w="148" w:type="pct"/>
            <w:tcBorders>
              <w:top w:val="single" w:sz="12" w:space="0" w:color="auto"/>
            </w:tcBorders>
            <w:vAlign w:val="bottom"/>
          </w:tcPr>
          <w:p w14:paraId="0E6E19DD" w14:textId="77777777" w:rsidR="00530772" w:rsidRPr="0034501D" w:rsidRDefault="00530772" w:rsidP="00530772">
            <w:pPr>
              <w:keepNext/>
              <w:keepLines/>
              <w:tabs>
                <w:tab w:val="decimal" w:pos="1202"/>
              </w:tabs>
              <w:spacing w:after="0" w:line="240" w:lineRule="auto"/>
              <w:jc w:val="right"/>
              <w:rPr>
                <w:rFonts w:eastAsia="Times New Roman" w:cs="Arial"/>
                <w:b/>
                <w:position w:val="4"/>
                <w:u w:val="thick"/>
              </w:rPr>
            </w:pPr>
          </w:p>
        </w:tc>
        <w:tc>
          <w:tcPr>
            <w:tcW w:w="785" w:type="pct"/>
            <w:tcBorders>
              <w:top w:val="single" w:sz="12" w:space="0" w:color="auto"/>
            </w:tcBorders>
            <w:vAlign w:val="bottom"/>
          </w:tcPr>
          <w:p w14:paraId="30E2E856" w14:textId="77777777" w:rsidR="00530772" w:rsidRPr="00CA37C8" w:rsidRDefault="00530772" w:rsidP="00530772">
            <w:pPr>
              <w:keepNext/>
              <w:keepLines/>
              <w:tabs>
                <w:tab w:val="decimal" w:pos="1060"/>
              </w:tabs>
              <w:spacing w:after="0" w:line="240" w:lineRule="auto"/>
              <w:jc w:val="right"/>
              <w:rPr>
                <w:rFonts w:eastAsia="Times New Roman" w:cs="Arial"/>
                <w:b/>
                <w:position w:val="4"/>
                <w:u w:val="thick"/>
              </w:rPr>
            </w:pPr>
          </w:p>
        </w:tc>
      </w:tr>
      <w:tr w:rsidR="00530772" w:rsidRPr="0034501D" w14:paraId="268C77CA" w14:textId="77777777" w:rsidTr="005444AA">
        <w:trPr>
          <w:trHeight w:val="322"/>
        </w:trPr>
        <w:tc>
          <w:tcPr>
            <w:tcW w:w="2656" w:type="pct"/>
            <w:vAlign w:val="bottom"/>
          </w:tcPr>
          <w:p w14:paraId="429D62AF" w14:textId="77777777" w:rsidR="00530772" w:rsidRPr="0034501D" w:rsidRDefault="00530772" w:rsidP="00530772">
            <w:pPr>
              <w:tabs>
                <w:tab w:val="right" w:pos="1202"/>
              </w:tabs>
              <w:spacing w:after="0" w:line="240" w:lineRule="auto"/>
              <w:outlineLvl w:val="0"/>
              <w:rPr>
                <w:rFonts w:eastAsia="Times New Roman" w:cs="Arial"/>
                <w:b/>
                <w:bCs/>
              </w:rPr>
            </w:pPr>
            <w:r w:rsidRPr="0034501D">
              <w:rPr>
                <w:rFonts w:cs="Arial"/>
                <w:b/>
                <w:bCs/>
              </w:rPr>
              <w:t>Liabilities</w:t>
            </w:r>
          </w:p>
        </w:tc>
        <w:tc>
          <w:tcPr>
            <w:tcW w:w="595" w:type="pct"/>
            <w:vAlign w:val="center"/>
          </w:tcPr>
          <w:p w14:paraId="2ADFA9AB" w14:textId="77777777" w:rsidR="00530772" w:rsidRPr="0034501D" w:rsidRDefault="00530772" w:rsidP="00530772">
            <w:pPr>
              <w:keepNext/>
              <w:keepLines/>
              <w:tabs>
                <w:tab w:val="decimal" w:pos="1060"/>
              </w:tabs>
              <w:spacing w:after="0" w:line="240" w:lineRule="auto"/>
              <w:jc w:val="center"/>
              <w:rPr>
                <w:rFonts w:eastAsia="Times New Roman" w:cs="Arial"/>
                <w:b/>
                <w:position w:val="4"/>
                <w:u w:val="thick"/>
              </w:rPr>
            </w:pPr>
          </w:p>
        </w:tc>
        <w:tc>
          <w:tcPr>
            <w:tcW w:w="816" w:type="pct"/>
            <w:vAlign w:val="bottom"/>
          </w:tcPr>
          <w:p w14:paraId="617CD3A5" w14:textId="77777777" w:rsidR="00530772" w:rsidRPr="00CA37C8" w:rsidRDefault="00530772" w:rsidP="00530772">
            <w:pPr>
              <w:tabs>
                <w:tab w:val="right" w:pos="1202"/>
              </w:tabs>
              <w:spacing w:after="0" w:line="240" w:lineRule="auto"/>
              <w:jc w:val="right"/>
              <w:outlineLvl w:val="0"/>
              <w:rPr>
                <w:rFonts w:eastAsia="Times New Roman" w:cs="Arial"/>
                <w:b/>
                <w:bCs/>
              </w:rPr>
            </w:pPr>
          </w:p>
        </w:tc>
        <w:tc>
          <w:tcPr>
            <w:tcW w:w="148" w:type="pct"/>
            <w:vAlign w:val="bottom"/>
          </w:tcPr>
          <w:p w14:paraId="0CD04892" w14:textId="77777777" w:rsidR="00530772" w:rsidRPr="0034501D" w:rsidRDefault="00530772" w:rsidP="00530772">
            <w:pPr>
              <w:tabs>
                <w:tab w:val="right" w:pos="1202"/>
              </w:tabs>
              <w:spacing w:after="0" w:line="240" w:lineRule="auto"/>
              <w:jc w:val="right"/>
              <w:outlineLvl w:val="0"/>
              <w:rPr>
                <w:rFonts w:eastAsia="Times New Roman" w:cs="Arial"/>
                <w:b/>
                <w:bCs/>
              </w:rPr>
            </w:pPr>
          </w:p>
        </w:tc>
        <w:tc>
          <w:tcPr>
            <w:tcW w:w="785" w:type="pct"/>
            <w:vAlign w:val="bottom"/>
          </w:tcPr>
          <w:p w14:paraId="2D7CC489" w14:textId="77777777" w:rsidR="00530772" w:rsidRPr="00CA37C8" w:rsidRDefault="00530772" w:rsidP="00530772">
            <w:pPr>
              <w:tabs>
                <w:tab w:val="right" w:pos="1202"/>
              </w:tabs>
              <w:spacing w:after="0" w:line="240" w:lineRule="auto"/>
              <w:jc w:val="right"/>
              <w:outlineLvl w:val="0"/>
              <w:rPr>
                <w:rFonts w:eastAsia="Times New Roman" w:cs="Arial"/>
                <w:b/>
                <w:bCs/>
              </w:rPr>
            </w:pPr>
          </w:p>
        </w:tc>
      </w:tr>
      <w:tr w:rsidR="001F749C" w:rsidRPr="0034501D" w14:paraId="5C31F748" w14:textId="77777777" w:rsidTr="005444AA">
        <w:trPr>
          <w:trHeight w:val="311"/>
        </w:trPr>
        <w:tc>
          <w:tcPr>
            <w:tcW w:w="2656" w:type="pct"/>
            <w:vAlign w:val="bottom"/>
          </w:tcPr>
          <w:p w14:paraId="75DC46D0" w14:textId="77777777" w:rsidR="001F749C" w:rsidRPr="0034501D" w:rsidRDefault="001F749C" w:rsidP="001F749C">
            <w:pPr>
              <w:tabs>
                <w:tab w:val="right" w:pos="1202"/>
              </w:tabs>
              <w:spacing w:after="0" w:line="240" w:lineRule="auto"/>
              <w:outlineLvl w:val="0"/>
              <w:rPr>
                <w:rFonts w:eastAsia="Times New Roman" w:cs="Arial"/>
              </w:rPr>
            </w:pPr>
            <w:r w:rsidRPr="0034501D">
              <w:rPr>
                <w:rFonts w:cs="Arial"/>
              </w:rPr>
              <w:t>Deposits</w:t>
            </w:r>
          </w:p>
        </w:tc>
        <w:tc>
          <w:tcPr>
            <w:tcW w:w="595" w:type="pct"/>
            <w:vAlign w:val="center"/>
          </w:tcPr>
          <w:p w14:paraId="1E958FE0" w14:textId="77777777" w:rsidR="001F749C" w:rsidRPr="0034501D" w:rsidRDefault="001F749C" w:rsidP="001F749C">
            <w:pPr>
              <w:tabs>
                <w:tab w:val="right" w:pos="1202"/>
              </w:tabs>
              <w:spacing w:after="0" w:line="240" w:lineRule="auto"/>
              <w:jc w:val="center"/>
              <w:outlineLvl w:val="0"/>
              <w:rPr>
                <w:rFonts w:eastAsia="Times New Roman" w:cs="Arial"/>
                <w:b/>
                <w:bCs/>
              </w:rPr>
            </w:pPr>
          </w:p>
        </w:tc>
        <w:tc>
          <w:tcPr>
            <w:tcW w:w="816" w:type="pct"/>
            <w:tcBorders>
              <w:top w:val="nil"/>
              <w:left w:val="nil"/>
              <w:bottom w:val="nil"/>
              <w:right w:val="nil"/>
            </w:tcBorders>
            <w:shd w:val="clear" w:color="auto" w:fill="auto"/>
            <w:vAlign w:val="bottom"/>
          </w:tcPr>
          <w:p w14:paraId="6ABD5705" w14:textId="2BE62840" w:rsidR="001F749C" w:rsidRPr="00CA37C8" w:rsidRDefault="001F749C" w:rsidP="001F749C">
            <w:pPr>
              <w:tabs>
                <w:tab w:val="right" w:pos="1202"/>
              </w:tabs>
              <w:spacing w:after="0" w:line="240" w:lineRule="auto"/>
              <w:jc w:val="right"/>
              <w:outlineLvl w:val="0"/>
              <w:rPr>
                <w:rFonts w:eastAsia="Times New Roman" w:cs="Arial"/>
              </w:rPr>
            </w:pPr>
            <w:r w:rsidRPr="009B2994">
              <w:t>940</w:t>
            </w:r>
            <w:r>
              <w:t>,</w:t>
            </w:r>
            <w:r w:rsidRPr="009B2994">
              <w:t>784</w:t>
            </w:r>
          </w:p>
        </w:tc>
        <w:tc>
          <w:tcPr>
            <w:tcW w:w="148" w:type="pct"/>
            <w:vAlign w:val="bottom"/>
          </w:tcPr>
          <w:p w14:paraId="7CC04210" w14:textId="77777777" w:rsidR="001F749C" w:rsidRPr="0034501D" w:rsidRDefault="001F749C" w:rsidP="001F749C">
            <w:pPr>
              <w:tabs>
                <w:tab w:val="right" w:pos="1202"/>
              </w:tabs>
              <w:spacing w:after="0" w:line="240" w:lineRule="auto"/>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76B36B8D" w14:textId="77777777" w:rsidR="001F749C" w:rsidRPr="00257BB8" w:rsidRDefault="001F749C" w:rsidP="001F749C">
            <w:pPr>
              <w:tabs>
                <w:tab w:val="right" w:pos="1202"/>
              </w:tabs>
              <w:spacing w:after="0" w:line="240" w:lineRule="auto"/>
              <w:jc w:val="right"/>
              <w:outlineLvl w:val="0"/>
              <w:rPr>
                <w:rFonts w:eastAsia="Times New Roman" w:cs="Arial"/>
              </w:rPr>
            </w:pPr>
            <w:r w:rsidRPr="00EF0969">
              <w:t>142</w:t>
            </w:r>
            <w:r>
              <w:t>,</w:t>
            </w:r>
            <w:r w:rsidRPr="00EF0969">
              <w:t>844</w:t>
            </w:r>
          </w:p>
        </w:tc>
      </w:tr>
      <w:tr w:rsidR="001F749C" w:rsidRPr="0034501D" w14:paraId="023152F5" w14:textId="77777777" w:rsidTr="005444AA">
        <w:trPr>
          <w:trHeight w:val="311"/>
        </w:trPr>
        <w:tc>
          <w:tcPr>
            <w:tcW w:w="2656" w:type="pct"/>
            <w:vAlign w:val="bottom"/>
          </w:tcPr>
          <w:p w14:paraId="03E87720" w14:textId="77777777" w:rsidR="001F749C" w:rsidRPr="0034501D" w:rsidRDefault="001F749C" w:rsidP="001F749C">
            <w:pPr>
              <w:tabs>
                <w:tab w:val="right" w:pos="1202"/>
              </w:tabs>
              <w:spacing w:after="0" w:line="240" w:lineRule="auto"/>
              <w:outlineLvl w:val="0"/>
              <w:rPr>
                <w:rFonts w:eastAsia="Times New Roman" w:cs="Arial"/>
              </w:rPr>
            </w:pPr>
            <w:r w:rsidRPr="0034501D">
              <w:rPr>
                <w:rFonts w:cs="Arial"/>
              </w:rPr>
              <w:t>Borrowings</w:t>
            </w:r>
          </w:p>
        </w:tc>
        <w:tc>
          <w:tcPr>
            <w:tcW w:w="595" w:type="pct"/>
            <w:vAlign w:val="center"/>
          </w:tcPr>
          <w:p w14:paraId="082EC4AB" w14:textId="77777777" w:rsidR="001F749C" w:rsidRPr="0034501D" w:rsidRDefault="001F749C" w:rsidP="001F749C">
            <w:pPr>
              <w:tabs>
                <w:tab w:val="right" w:pos="1202"/>
              </w:tabs>
              <w:spacing w:after="0" w:line="240" w:lineRule="auto"/>
              <w:jc w:val="center"/>
              <w:outlineLvl w:val="0"/>
              <w:rPr>
                <w:rFonts w:eastAsia="Times New Roman" w:cs="Arial"/>
              </w:rPr>
            </w:pPr>
            <w:r w:rsidRPr="0034501D">
              <w:rPr>
                <w:rFonts w:eastAsia="Times New Roman" w:cs="Arial"/>
              </w:rPr>
              <w:t>12</w:t>
            </w:r>
          </w:p>
        </w:tc>
        <w:tc>
          <w:tcPr>
            <w:tcW w:w="816" w:type="pct"/>
            <w:tcBorders>
              <w:top w:val="nil"/>
              <w:left w:val="nil"/>
              <w:bottom w:val="nil"/>
              <w:right w:val="nil"/>
            </w:tcBorders>
            <w:shd w:val="clear" w:color="auto" w:fill="auto"/>
            <w:vAlign w:val="bottom"/>
          </w:tcPr>
          <w:p w14:paraId="053B96E3" w14:textId="6AF6B973" w:rsidR="001F749C" w:rsidRPr="00CA37C8" w:rsidRDefault="001F749C" w:rsidP="001F749C">
            <w:pPr>
              <w:tabs>
                <w:tab w:val="right" w:pos="1202"/>
              </w:tabs>
              <w:spacing w:after="0" w:line="240" w:lineRule="auto"/>
              <w:jc w:val="right"/>
              <w:outlineLvl w:val="0"/>
              <w:rPr>
                <w:rFonts w:eastAsia="Times New Roman" w:cs="Arial"/>
              </w:rPr>
            </w:pPr>
            <w:r w:rsidRPr="009B2994">
              <w:t>15</w:t>
            </w:r>
            <w:r>
              <w:t>,</w:t>
            </w:r>
            <w:r w:rsidRPr="009B2994">
              <w:t>335</w:t>
            </w:r>
            <w:r>
              <w:t>,</w:t>
            </w:r>
            <w:r w:rsidRPr="009B2994">
              <w:t>834</w:t>
            </w:r>
          </w:p>
        </w:tc>
        <w:tc>
          <w:tcPr>
            <w:tcW w:w="148" w:type="pct"/>
            <w:vAlign w:val="bottom"/>
          </w:tcPr>
          <w:p w14:paraId="5A182FDF" w14:textId="77777777" w:rsidR="001F749C" w:rsidRPr="0034501D" w:rsidRDefault="001F749C" w:rsidP="001F749C">
            <w:pPr>
              <w:tabs>
                <w:tab w:val="right" w:pos="1202"/>
              </w:tabs>
              <w:spacing w:after="0" w:line="240" w:lineRule="auto"/>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6CF15AB2" w14:textId="77777777" w:rsidR="001F749C" w:rsidRPr="00257BB8" w:rsidRDefault="001F749C" w:rsidP="001F749C">
            <w:pPr>
              <w:tabs>
                <w:tab w:val="right" w:pos="1202"/>
              </w:tabs>
              <w:spacing w:after="0" w:line="240" w:lineRule="auto"/>
              <w:jc w:val="right"/>
              <w:outlineLvl w:val="0"/>
              <w:rPr>
                <w:rFonts w:eastAsia="Times New Roman" w:cs="Arial"/>
              </w:rPr>
            </w:pPr>
            <w:r w:rsidRPr="00EF0969">
              <w:t>13</w:t>
            </w:r>
            <w:r>
              <w:t>,</w:t>
            </w:r>
            <w:r w:rsidRPr="00EF0969">
              <w:t>391</w:t>
            </w:r>
            <w:r>
              <w:t>,</w:t>
            </w:r>
            <w:r w:rsidRPr="00EF0969">
              <w:t>749</w:t>
            </w:r>
          </w:p>
        </w:tc>
      </w:tr>
      <w:tr w:rsidR="001F749C" w:rsidRPr="0034501D" w14:paraId="33B3617D" w14:textId="77777777" w:rsidTr="005444AA">
        <w:trPr>
          <w:trHeight w:val="311"/>
        </w:trPr>
        <w:tc>
          <w:tcPr>
            <w:tcW w:w="2656" w:type="pct"/>
            <w:vAlign w:val="bottom"/>
          </w:tcPr>
          <w:p w14:paraId="394830E2" w14:textId="77777777" w:rsidR="001F749C" w:rsidRPr="0034501D" w:rsidRDefault="001F749C" w:rsidP="001F749C">
            <w:pPr>
              <w:tabs>
                <w:tab w:val="right" w:pos="1202"/>
              </w:tabs>
              <w:spacing w:after="0" w:line="240" w:lineRule="auto"/>
              <w:outlineLvl w:val="0"/>
              <w:rPr>
                <w:rFonts w:eastAsia="Times New Roman" w:cs="Arial"/>
              </w:rPr>
            </w:pPr>
            <w:r w:rsidRPr="0034501D">
              <w:rPr>
                <w:rFonts w:cs="Arial"/>
              </w:rPr>
              <w:t>Bonds payable</w:t>
            </w:r>
          </w:p>
        </w:tc>
        <w:tc>
          <w:tcPr>
            <w:tcW w:w="595" w:type="pct"/>
            <w:vAlign w:val="center"/>
          </w:tcPr>
          <w:p w14:paraId="21882A91" w14:textId="77777777" w:rsidR="001F749C" w:rsidRPr="0034501D" w:rsidRDefault="001F749C" w:rsidP="001F749C">
            <w:pPr>
              <w:tabs>
                <w:tab w:val="right" w:pos="1202"/>
              </w:tabs>
              <w:spacing w:after="0" w:line="240" w:lineRule="auto"/>
              <w:jc w:val="center"/>
              <w:outlineLvl w:val="0"/>
              <w:rPr>
                <w:rFonts w:eastAsia="Times New Roman" w:cs="Arial"/>
              </w:rPr>
            </w:pPr>
            <w:r w:rsidRPr="0034501D">
              <w:rPr>
                <w:rFonts w:eastAsia="Times New Roman" w:cs="Arial"/>
              </w:rPr>
              <w:t>13</w:t>
            </w:r>
          </w:p>
        </w:tc>
        <w:tc>
          <w:tcPr>
            <w:tcW w:w="816" w:type="pct"/>
            <w:tcBorders>
              <w:top w:val="nil"/>
              <w:left w:val="nil"/>
              <w:bottom w:val="nil"/>
              <w:right w:val="nil"/>
            </w:tcBorders>
            <w:shd w:val="clear" w:color="auto" w:fill="auto"/>
            <w:vAlign w:val="bottom"/>
          </w:tcPr>
          <w:p w14:paraId="7FD5CCB2" w14:textId="74684255" w:rsidR="001F749C" w:rsidRPr="00CA37C8" w:rsidRDefault="001F749C" w:rsidP="001F749C">
            <w:pPr>
              <w:tabs>
                <w:tab w:val="right" w:pos="1202"/>
              </w:tabs>
              <w:spacing w:after="0" w:line="240" w:lineRule="auto"/>
              <w:jc w:val="right"/>
              <w:outlineLvl w:val="0"/>
              <w:rPr>
                <w:rFonts w:eastAsia="Times New Roman" w:cs="Arial"/>
              </w:rPr>
            </w:pPr>
            <w:r w:rsidRPr="009B2994">
              <w:t>1</w:t>
            </w:r>
            <w:r>
              <w:t>,</w:t>
            </w:r>
            <w:r w:rsidRPr="009B2994">
              <w:t>141</w:t>
            </w:r>
            <w:r>
              <w:t>,</w:t>
            </w:r>
            <w:r w:rsidRPr="009B2994">
              <w:t>222</w:t>
            </w:r>
          </w:p>
        </w:tc>
        <w:tc>
          <w:tcPr>
            <w:tcW w:w="148" w:type="pct"/>
            <w:vAlign w:val="bottom"/>
          </w:tcPr>
          <w:p w14:paraId="481AC891" w14:textId="77777777" w:rsidR="001F749C" w:rsidRPr="0034501D" w:rsidRDefault="001F749C" w:rsidP="001F749C">
            <w:pPr>
              <w:tabs>
                <w:tab w:val="right" w:pos="1202"/>
              </w:tabs>
              <w:spacing w:after="0" w:line="240" w:lineRule="auto"/>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468D3EEA" w14:textId="77777777" w:rsidR="001F749C" w:rsidRPr="00257BB8" w:rsidRDefault="001F749C" w:rsidP="001F749C">
            <w:pPr>
              <w:tabs>
                <w:tab w:val="right" w:pos="1202"/>
              </w:tabs>
              <w:spacing w:after="0" w:line="240" w:lineRule="auto"/>
              <w:jc w:val="right"/>
              <w:outlineLvl w:val="0"/>
              <w:rPr>
                <w:rFonts w:eastAsia="Times New Roman" w:cs="Arial"/>
              </w:rPr>
            </w:pPr>
            <w:r w:rsidRPr="00EF0969">
              <w:t>3</w:t>
            </w:r>
            <w:r>
              <w:t>,</w:t>
            </w:r>
            <w:r w:rsidRPr="00EF0969">
              <w:t>105</w:t>
            </w:r>
            <w:r>
              <w:t>,</w:t>
            </w:r>
            <w:r w:rsidRPr="00EF0969">
              <w:t>569</w:t>
            </w:r>
          </w:p>
        </w:tc>
      </w:tr>
      <w:tr w:rsidR="001F749C" w:rsidRPr="0034501D" w14:paraId="01287DC7" w14:textId="77777777" w:rsidTr="005444AA">
        <w:trPr>
          <w:trHeight w:val="311"/>
        </w:trPr>
        <w:tc>
          <w:tcPr>
            <w:tcW w:w="2656" w:type="pct"/>
            <w:vAlign w:val="bottom"/>
          </w:tcPr>
          <w:p w14:paraId="03AFC105" w14:textId="77777777" w:rsidR="001F749C" w:rsidRPr="0034501D" w:rsidRDefault="001F749C" w:rsidP="001F749C">
            <w:pPr>
              <w:tabs>
                <w:tab w:val="right" w:pos="1202"/>
              </w:tabs>
              <w:spacing w:after="0" w:line="240" w:lineRule="auto"/>
              <w:outlineLvl w:val="0"/>
              <w:rPr>
                <w:rFonts w:eastAsia="Times New Roman" w:cs="Arial"/>
              </w:rPr>
            </w:pPr>
            <w:r w:rsidRPr="0034501D">
              <w:rPr>
                <w:rFonts w:cs="Arial"/>
              </w:rPr>
              <w:t>Other liabilities</w:t>
            </w:r>
          </w:p>
        </w:tc>
        <w:tc>
          <w:tcPr>
            <w:tcW w:w="595" w:type="pct"/>
            <w:vAlign w:val="center"/>
          </w:tcPr>
          <w:p w14:paraId="088C90AC" w14:textId="77777777" w:rsidR="001F749C" w:rsidRPr="0034501D" w:rsidRDefault="001F749C" w:rsidP="001F749C">
            <w:pPr>
              <w:tabs>
                <w:tab w:val="right" w:pos="1202"/>
              </w:tabs>
              <w:spacing w:after="0" w:line="240" w:lineRule="auto"/>
              <w:jc w:val="center"/>
              <w:outlineLvl w:val="0"/>
              <w:rPr>
                <w:rFonts w:eastAsia="Times New Roman" w:cs="Arial"/>
              </w:rPr>
            </w:pPr>
          </w:p>
        </w:tc>
        <w:tc>
          <w:tcPr>
            <w:tcW w:w="816" w:type="pct"/>
            <w:tcBorders>
              <w:top w:val="nil"/>
              <w:left w:val="nil"/>
              <w:bottom w:val="nil"/>
              <w:right w:val="nil"/>
            </w:tcBorders>
            <w:shd w:val="clear" w:color="auto" w:fill="auto"/>
            <w:vAlign w:val="bottom"/>
          </w:tcPr>
          <w:p w14:paraId="1396BE46" w14:textId="56E66779" w:rsidR="001F749C" w:rsidRPr="00CA37C8" w:rsidRDefault="001F749C" w:rsidP="001F749C">
            <w:pPr>
              <w:tabs>
                <w:tab w:val="right" w:pos="1202"/>
              </w:tabs>
              <w:spacing w:after="0" w:line="240" w:lineRule="auto"/>
              <w:jc w:val="right"/>
              <w:outlineLvl w:val="0"/>
              <w:rPr>
                <w:rFonts w:eastAsia="Times New Roman" w:cs="Arial"/>
              </w:rPr>
            </w:pPr>
            <w:r w:rsidRPr="009B2994">
              <w:t>609</w:t>
            </w:r>
            <w:r>
              <w:t>,</w:t>
            </w:r>
            <w:r w:rsidRPr="009B2994">
              <w:t>344</w:t>
            </w:r>
          </w:p>
        </w:tc>
        <w:tc>
          <w:tcPr>
            <w:tcW w:w="148" w:type="pct"/>
            <w:vAlign w:val="bottom"/>
          </w:tcPr>
          <w:p w14:paraId="190E4837" w14:textId="77777777" w:rsidR="001F749C" w:rsidRPr="0034501D" w:rsidRDefault="001F749C" w:rsidP="001F749C">
            <w:pPr>
              <w:tabs>
                <w:tab w:val="right" w:pos="1202"/>
              </w:tabs>
              <w:spacing w:after="0" w:line="240" w:lineRule="auto"/>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53F53614" w14:textId="77777777" w:rsidR="001F749C" w:rsidRPr="00257BB8" w:rsidRDefault="001F749C" w:rsidP="001F749C">
            <w:pPr>
              <w:tabs>
                <w:tab w:val="right" w:pos="1202"/>
              </w:tabs>
              <w:spacing w:after="0" w:line="240" w:lineRule="auto"/>
              <w:jc w:val="right"/>
              <w:outlineLvl w:val="0"/>
              <w:rPr>
                <w:rFonts w:eastAsia="Times New Roman" w:cs="Arial"/>
              </w:rPr>
            </w:pPr>
            <w:r w:rsidRPr="00EF0969">
              <w:t>696</w:t>
            </w:r>
            <w:r>
              <w:t>,</w:t>
            </w:r>
            <w:r w:rsidRPr="00EF0969">
              <w:t>774</w:t>
            </w:r>
          </w:p>
        </w:tc>
      </w:tr>
      <w:tr w:rsidR="001F749C" w:rsidRPr="0034501D" w14:paraId="4A2FB3B3" w14:textId="77777777" w:rsidTr="006B318F">
        <w:trPr>
          <w:trHeight w:hRule="exact" w:val="113"/>
        </w:trPr>
        <w:tc>
          <w:tcPr>
            <w:tcW w:w="2656" w:type="pct"/>
            <w:vAlign w:val="bottom"/>
          </w:tcPr>
          <w:p w14:paraId="096DECF9" w14:textId="77777777" w:rsidR="001F749C" w:rsidRPr="0034501D" w:rsidRDefault="001F749C" w:rsidP="001F749C">
            <w:pPr>
              <w:keepNext/>
              <w:keepLines/>
              <w:tabs>
                <w:tab w:val="decimal" w:pos="1202"/>
              </w:tabs>
              <w:spacing w:after="0" w:line="240" w:lineRule="auto"/>
              <w:rPr>
                <w:rFonts w:eastAsia="Times New Roman" w:cs="Arial"/>
                <w:b/>
                <w:position w:val="4"/>
              </w:rPr>
            </w:pPr>
          </w:p>
        </w:tc>
        <w:tc>
          <w:tcPr>
            <w:tcW w:w="595" w:type="pct"/>
            <w:vAlign w:val="center"/>
          </w:tcPr>
          <w:p w14:paraId="5928D058" w14:textId="77777777" w:rsidR="001F749C" w:rsidRPr="0034501D" w:rsidRDefault="001F749C" w:rsidP="001F749C">
            <w:pPr>
              <w:keepLines/>
              <w:spacing w:after="0" w:line="240" w:lineRule="auto"/>
              <w:jc w:val="center"/>
              <w:rPr>
                <w:rFonts w:eastAsia="Times New Roman" w:cs="Arial"/>
                <w:spacing w:val="-2"/>
                <w:position w:val="4"/>
              </w:rPr>
            </w:pPr>
          </w:p>
        </w:tc>
        <w:tc>
          <w:tcPr>
            <w:tcW w:w="816" w:type="pct"/>
            <w:tcBorders>
              <w:bottom w:val="single" w:sz="4" w:space="0" w:color="auto"/>
            </w:tcBorders>
          </w:tcPr>
          <w:p w14:paraId="0DCD94AE" w14:textId="77777777" w:rsidR="001F749C" w:rsidRPr="00CA37C8" w:rsidRDefault="001F749C" w:rsidP="001F749C">
            <w:pPr>
              <w:keepLines/>
              <w:spacing w:after="0" w:line="240" w:lineRule="auto"/>
              <w:jc w:val="right"/>
              <w:rPr>
                <w:rFonts w:eastAsia="Times New Roman" w:cs="Arial"/>
                <w:spacing w:val="-2"/>
                <w:position w:val="4"/>
              </w:rPr>
            </w:pPr>
          </w:p>
        </w:tc>
        <w:tc>
          <w:tcPr>
            <w:tcW w:w="148" w:type="pct"/>
            <w:tcBorders>
              <w:bottom w:val="single" w:sz="4" w:space="0" w:color="auto"/>
            </w:tcBorders>
            <w:vAlign w:val="bottom"/>
          </w:tcPr>
          <w:p w14:paraId="22CD84C5" w14:textId="77777777" w:rsidR="001F749C" w:rsidRPr="0034501D" w:rsidRDefault="001F749C" w:rsidP="001F749C">
            <w:pPr>
              <w:keepNext/>
              <w:keepLines/>
              <w:tabs>
                <w:tab w:val="left" w:pos="215"/>
                <w:tab w:val="decimal" w:pos="1295"/>
              </w:tabs>
              <w:spacing w:after="0" w:line="240" w:lineRule="auto"/>
              <w:ind w:right="-148"/>
              <w:jc w:val="right"/>
              <w:rPr>
                <w:rFonts w:eastAsia="Times New Roman" w:cs="Arial"/>
                <w:b/>
                <w:snapToGrid w:val="0"/>
                <w:position w:val="4"/>
              </w:rPr>
            </w:pPr>
          </w:p>
        </w:tc>
        <w:tc>
          <w:tcPr>
            <w:tcW w:w="785" w:type="pct"/>
            <w:tcBorders>
              <w:bottom w:val="single" w:sz="4" w:space="0" w:color="auto"/>
            </w:tcBorders>
            <w:vAlign w:val="bottom"/>
          </w:tcPr>
          <w:p w14:paraId="416B3DD4" w14:textId="77777777" w:rsidR="001F749C" w:rsidRPr="00CA37C8" w:rsidRDefault="001F749C" w:rsidP="001F749C">
            <w:pPr>
              <w:keepLines/>
              <w:spacing w:after="0" w:line="240" w:lineRule="auto"/>
              <w:jc w:val="right"/>
              <w:rPr>
                <w:rFonts w:eastAsia="Times New Roman" w:cs="Arial"/>
                <w:spacing w:val="-2"/>
                <w:position w:val="4"/>
              </w:rPr>
            </w:pPr>
          </w:p>
        </w:tc>
      </w:tr>
      <w:tr w:rsidR="001F749C" w:rsidRPr="0034501D" w14:paraId="40D89315" w14:textId="77777777" w:rsidTr="005444AA">
        <w:trPr>
          <w:trHeight w:val="358"/>
        </w:trPr>
        <w:tc>
          <w:tcPr>
            <w:tcW w:w="2656" w:type="pct"/>
            <w:vAlign w:val="bottom"/>
          </w:tcPr>
          <w:p w14:paraId="230DB105" w14:textId="77777777" w:rsidR="001F749C" w:rsidRPr="0034501D" w:rsidRDefault="001F749C" w:rsidP="001F749C">
            <w:pPr>
              <w:tabs>
                <w:tab w:val="right" w:pos="1202"/>
              </w:tabs>
              <w:spacing w:after="0" w:line="240" w:lineRule="auto"/>
              <w:outlineLvl w:val="0"/>
              <w:rPr>
                <w:rFonts w:eastAsia="Times New Roman" w:cs="Arial"/>
                <w:b/>
                <w:bCs/>
              </w:rPr>
            </w:pPr>
            <w:r w:rsidRPr="0034501D">
              <w:rPr>
                <w:rFonts w:cs="Arial"/>
                <w:b/>
                <w:bCs/>
              </w:rPr>
              <w:t>Total liabilities</w:t>
            </w:r>
          </w:p>
        </w:tc>
        <w:tc>
          <w:tcPr>
            <w:tcW w:w="595" w:type="pct"/>
            <w:vAlign w:val="center"/>
          </w:tcPr>
          <w:p w14:paraId="5F4CE23C" w14:textId="77777777" w:rsidR="001F749C" w:rsidRPr="0034501D" w:rsidRDefault="001F749C" w:rsidP="001F749C">
            <w:pPr>
              <w:tabs>
                <w:tab w:val="right" w:pos="1202"/>
              </w:tabs>
              <w:spacing w:after="0" w:line="240" w:lineRule="auto"/>
              <w:jc w:val="center"/>
              <w:outlineLvl w:val="0"/>
              <w:rPr>
                <w:rFonts w:eastAsia="Times New Roman" w:cs="Arial"/>
                <w:b/>
                <w:bCs/>
              </w:rPr>
            </w:pPr>
          </w:p>
        </w:tc>
        <w:tc>
          <w:tcPr>
            <w:tcW w:w="816" w:type="pct"/>
            <w:tcBorders>
              <w:top w:val="single" w:sz="4" w:space="0" w:color="auto"/>
              <w:bottom w:val="single" w:sz="12" w:space="0" w:color="auto"/>
            </w:tcBorders>
            <w:vAlign w:val="bottom"/>
          </w:tcPr>
          <w:p w14:paraId="238FF456" w14:textId="601C703C" w:rsidR="001F749C" w:rsidRPr="00FA11F5" w:rsidRDefault="001F749C" w:rsidP="001F749C">
            <w:pPr>
              <w:tabs>
                <w:tab w:val="right" w:pos="1202"/>
              </w:tabs>
              <w:spacing w:after="0" w:line="240" w:lineRule="auto"/>
              <w:jc w:val="right"/>
              <w:outlineLvl w:val="0"/>
              <w:rPr>
                <w:rFonts w:eastAsia="Times New Roman" w:cs="Arial"/>
                <w:b/>
                <w:bCs/>
              </w:rPr>
            </w:pPr>
            <w:r w:rsidRPr="00971AD8">
              <w:rPr>
                <w:rFonts w:eastAsia="Times New Roman" w:cs="Arial"/>
                <w:b/>
                <w:bCs/>
              </w:rPr>
              <w:t>18</w:t>
            </w:r>
            <w:r>
              <w:rPr>
                <w:rFonts w:eastAsia="Times New Roman" w:cs="Arial"/>
                <w:b/>
                <w:bCs/>
              </w:rPr>
              <w:t>,</w:t>
            </w:r>
            <w:r w:rsidRPr="00971AD8">
              <w:rPr>
                <w:rFonts w:eastAsia="Times New Roman" w:cs="Arial"/>
                <w:b/>
                <w:bCs/>
              </w:rPr>
              <w:t>027</w:t>
            </w:r>
            <w:r>
              <w:rPr>
                <w:rFonts w:eastAsia="Times New Roman" w:cs="Arial"/>
                <w:b/>
                <w:bCs/>
              </w:rPr>
              <w:t>,</w:t>
            </w:r>
            <w:r w:rsidRPr="00971AD8">
              <w:rPr>
                <w:rFonts w:eastAsia="Times New Roman" w:cs="Arial"/>
                <w:b/>
                <w:bCs/>
              </w:rPr>
              <w:t>184</w:t>
            </w:r>
          </w:p>
        </w:tc>
        <w:tc>
          <w:tcPr>
            <w:tcW w:w="148" w:type="pct"/>
            <w:tcBorders>
              <w:top w:val="single" w:sz="4" w:space="0" w:color="auto"/>
              <w:bottom w:val="single" w:sz="12" w:space="0" w:color="auto"/>
            </w:tcBorders>
            <w:vAlign w:val="bottom"/>
          </w:tcPr>
          <w:p w14:paraId="649D473B" w14:textId="77777777" w:rsidR="001F749C" w:rsidRPr="0034501D" w:rsidRDefault="001F749C" w:rsidP="001F749C">
            <w:pPr>
              <w:tabs>
                <w:tab w:val="right" w:pos="1202"/>
              </w:tabs>
              <w:spacing w:after="0" w:line="240" w:lineRule="auto"/>
              <w:jc w:val="right"/>
              <w:outlineLvl w:val="0"/>
              <w:rPr>
                <w:rFonts w:eastAsia="Times New Roman" w:cs="Arial"/>
                <w:b/>
                <w:bCs/>
              </w:rPr>
            </w:pPr>
          </w:p>
        </w:tc>
        <w:tc>
          <w:tcPr>
            <w:tcW w:w="785" w:type="pct"/>
            <w:tcBorders>
              <w:top w:val="single" w:sz="4" w:space="0" w:color="auto"/>
              <w:bottom w:val="single" w:sz="12" w:space="0" w:color="auto"/>
            </w:tcBorders>
            <w:vAlign w:val="bottom"/>
          </w:tcPr>
          <w:p w14:paraId="00C280EC" w14:textId="77777777" w:rsidR="001F749C" w:rsidRPr="00CA37C8" w:rsidRDefault="001F749C" w:rsidP="001F749C">
            <w:pPr>
              <w:tabs>
                <w:tab w:val="right" w:pos="1202"/>
              </w:tabs>
              <w:spacing w:after="0" w:line="240" w:lineRule="auto"/>
              <w:jc w:val="right"/>
              <w:outlineLvl w:val="0"/>
              <w:rPr>
                <w:rFonts w:eastAsia="Times New Roman" w:cs="Arial"/>
                <w:b/>
                <w:bCs/>
              </w:rPr>
            </w:pPr>
            <w:r w:rsidRPr="00A1037D">
              <w:rPr>
                <w:rFonts w:eastAsia="Times New Roman" w:cs="Arial"/>
                <w:b/>
                <w:bCs/>
              </w:rPr>
              <w:t>17</w:t>
            </w:r>
            <w:r>
              <w:rPr>
                <w:rFonts w:eastAsia="Times New Roman" w:cs="Arial"/>
                <w:b/>
                <w:bCs/>
              </w:rPr>
              <w:t>,</w:t>
            </w:r>
            <w:r w:rsidRPr="00A1037D">
              <w:rPr>
                <w:rFonts w:eastAsia="Times New Roman" w:cs="Arial"/>
                <w:b/>
                <w:bCs/>
              </w:rPr>
              <w:t>336</w:t>
            </w:r>
            <w:r>
              <w:rPr>
                <w:rFonts w:eastAsia="Times New Roman" w:cs="Arial"/>
                <w:b/>
                <w:bCs/>
              </w:rPr>
              <w:t>,</w:t>
            </w:r>
            <w:r w:rsidRPr="00A1037D">
              <w:rPr>
                <w:rFonts w:eastAsia="Times New Roman" w:cs="Arial"/>
                <w:b/>
                <w:bCs/>
              </w:rPr>
              <w:t>936</w:t>
            </w:r>
          </w:p>
        </w:tc>
      </w:tr>
      <w:tr w:rsidR="00530772" w:rsidRPr="0034501D" w14:paraId="6B2A91D6" w14:textId="77777777" w:rsidTr="005444AA">
        <w:trPr>
          <w:trHeight w:hRule="exact" w:val="113"/>
        </w:trPr>
        <w:tc>
          <w:tcPr>
            <w:tcW w:w="2656" w:type="pct"/>
            <w:vAlign w:val="bottom"/>
          </w:tcPr>
          <w:p w14:paraId="4F8F730E" w14:textId="77777777" w:rsidR="00530772" w:rsidRPr="0034501D" w:rsidRDefault="00530772" w:rsidP="00530772">
            <w:pPr>
              <w:keepNext/>
              <w:keepLines/>
              <w:tabs>
                <w:tab w:val="decimal" w:pos="1202"/>
              </w:tabs>
              <w:spacing w:after="0" w:line="240" w:lineRule="auto"/>
              <w:rPr>
                <w:rFonts w:eastAsia="Times New Roman" w:cs="Arial"/>
                <w:b/>
                <w:position w:val="4"/>
                <w:u w:val="thick"/>
              </w:rPr>
            </w:pPr>
          </w:p>
        </w:tc>
        <w:tc>
          <w:tcPr>
            <w:tcW w:w="595" w:type="pct"/>
            <w:vAlign w:val="center"/>
          </w:tcPr>
          <w:p w14:paraId="4D3DD101" w14:textId="77777777" w:rsidR="00530772" w:rsidRPr="0034501D" w:rsidRDefault="00530772" w:rsidP="00530772">
            <w:pPr>
              <w:keepNext/>
              <w:keepLines/>
              <w:tabs>
                <w:tab w:val="decimal" w:pos="1060"/>
              </w:tabs>
              <w:spacing w:after="0" w:line="240" w:lineRule="auto"/>
              <w:jc w:val="center"/>
              <w:rPr>
                <w:rFonts w:eastAsia="Times New Roman" w:cs="Arial"/>
                <w:b/>
                <w:position w:val="4"/>
                <w:u w:val="thick"/>
              </w:rPr>
            </w:pPr>
          </w:p>
        </w:tc>
        <w:tc>
          <w:tcPr>
            <w:tcW w:w="816" w:type="pct"/>
            <w:tcBorders>
              <w:top w:val="single" w:sz="12" w:space="0" w:color="auto"/>
            </w:tcBorders>
            <w:vAlign w:val="bottom"/>
          </w:tcPr>
          <w:p w14:paraId="5787E2F0" w14:textId="77777777" w:rsidR="00530772" w:rsidRPr="00CA37C8" w:rsidRDefault="00530772" w:rsidP="00530772">
            <w:pPr>
              <w:keepNext/>
              <w:keepLines/>
              <w:tabs>
                <w:tab w:val="decimal" w:pos="1060"/>
              </w:tabs>
              <w:spacing w:after="0" w:line="240" w:lineRule="auto"/>
              <w:jc w:val="right"/>
              <w:rPr>
                <w:rFonts w:eastAsia="Times New Roman" w:cs="Arial"/>
                <w:b/>
                <w:position w:val="4"/>
                <w:u w:val="thick"/>
              </w:rPr>
            </w:pPr>
          </w:p>
        </w:tc>
        <w:tc>
          <w:tcPr>
            <w:tcW w:w="148" w:type="pct"/>
            <w:tcBorders>
              <w:top w:val="single" w:sz="12" w:space="0" w:color="auto"/>
            </w:tcBorders>
            <w:vAlign w:val="bottom"/>
          </w:tcPr>
          <w:p w14:paraId="1319E748" w14:textId="77777777" w:rsidR="00530772" w:rsidRPr="0034501D" w:rsidRDefault="00530772" w:rsidP="00530772">
            <w:pPr>
              <w:keepNext/>
              <w:keepLines/>
              <w:tabs>
                <w:tab w:val="decimal" w:pos="1202"/>
              </w:tabs>
              <w:spacing w:after="0" w:line="240" w:lineRule="auto"/>
              <w:jc w:val="right"/>
              <w:rPr>
                <w:rFonts w:eastAsia="Times New Roman" w:cs="Arial"/>
                <w:b/>
                <w:position w:val="4"/>
                <w:u w:val="thick"/>
              </w:rPr>
            </w:pPr>
          </w:p>
        </w:tc>
        <w:tc>
          <w:tcPr>
            <w:tcW w:w="785" w:type="pct"/>
            <w:tcBorders>
              <w:top w:val="single" w:sz="12" w:space="0" w:color="auto"/>
            </w:tcBorders>
            <w:vAlign w:val="bottom"/>
          </w:tcPr>
          <w:p w14:paraId="63CA83AE" w14:textId="77777777" w:rsidR="00530772" w:rsidRPr="00CA37C8" w:rsidRDefault="00530772" w:rsidP="00530772">
            <w:pPr>
              <w:keepNext/>
              <w:keepLines/>
              <w:tabs>
                <w:tab w:val="decimal" w:pos="1060"/>
              </w:tabs>
              <w:spacing w:after="0" w:line="240" w:lineRule="auto"/>
              <w:jc w:val="right"/>
              <w:rPr>
                <w:rFonts w:eastAsia="Times New Roman" w:cs="Arial"/>
                <w:b/>
                <w:position w:val="4"/>
                <w:u w:val="thick"/>
              </w:rPr>
            </w:pPr>
          </w:p>
        </w:tc>
      </w:tr>
      <w:tr w:rsidR="00530772" w:rsidRPr="0034501D" w14:paraId="2934288C" w14:textId="77777777" w:rsidTr="005444AA">
        <w:trPr>
          <w:trHeight w:val="311"/>
        </w:trPr>
        <w:tc>
          <w:tcPr>
            <w:tcW w:w="2656" w:type="pct"/>
            <w:vAlign w:val="bottom"/>
          </w:tcPr>
          <w:p w14:paraId="5B29A099" w14:textId="77777777" w:rsidR="00530772" w:rsidRPr="0034501D" w:rsidRDefault="00530772" w:rsidP="00530772">
            <w:pPr>
              <w:tabs>
                <w:tab w:val="right" w:pos="1202"/>
              </w:tabs>
              <w:spacing w:after="0" w:line="240" w:lineRule="auto"/>
              <w:outlineLvl w:val="0"/>
              <w:rPr>
                <w:rFonts w:eastAsia="Times New Roman" w:cs="Arial"/>
                <w:b/>
                <w:bCs/>
              </w:rPr>
            </w:pPr>
            <w:r w:rsidRPr="0034501D">
              <w:rPr>
                <w:rFonts w:cs="Arial"/>
                <w:b/>
                <w:bCs/>
              </w:rPr>
              <w:t>Equity</w:t>
            </w:r>
          </w:p>
        </w:tc>
        <w:tc>
          <w:tcPr>
            <w:tcW w:w="595" w:type="pct"/>
            <w:vAlign w:val="center"/>
          </w:tcPr>
          <w:p w14:paraId="6702F01C" w14:textId="77777777" w:rsidR="00530772" w:rsidRPr="0034501D" w:rsidRDefault="00530772" w:rsidP="00530772">
            <w:pPr>
              <w:tabs>
                <w:tab w:val="right" w:pos="1202"/>
              </w:tabs>
              <w:spacing w:after="0" w:line="240" w:lineRule="auto"/>
              <w:jc w:val="center"/>
              <w:outlineLvl w:val="0"/>
              <w:rPr>
                <w:rFonts w:eastAsia="Times New Roman" w:cs="Arial"/>
                <w:b/>
                <w:bCs/>
              </w:rPr>
            </w:pPr>
          </w:p>
        </w:tc>
        <w:tc>
          <w:tcPr>
            <w:tcW w:w="816" w:type="pct"/>
            <w:vAlign w:val="bottom"/>
          </w:tcPr>
          <w:p w14:paraId="76C25CE7" w14:textId="77777777" w:rsidR="00530772" w:rsidRPr="00CA37C8" w:rsidRDefault="00530772" w:rsidP="00530772">
            <w:pPr>
              <w:tabs>
                <w:tab w:val="right" w:pos="1202"/>
              </w:tabs>
              <w:spacing w:after="0" w:line="240" w:lineRule="auto"/>
              <w:jc w:val="right"/>
              <w:outlineLvl w:val="0"/>
              <w:rPr>
                <w:rFonts w:eastAsia="Times New Roman" w:cs="Arial"/>
                <w:b/>
                <w:bCs/>
              </w:rPr>
            </w:pPr>
          </w:p>
        </w:tc>
        <w:tc>
          <w:tcPr>
            <w:tcW w:w="148" w:type="pct"/>
            <w:vAlign w:val="bottom"/>
          </w:tcPr>
          <w:p w14:paraId="1972F7FE" w14:textId="77777777" w:rsidR="00530772" w:rsidRPr="0034501D" w:rsidRDefault="00530772" w:rsidP="00530772">
            <w:pPr>
              <w:tabs>
                <w:tab w:val="right" w:pos="1202"/>
              </w:tabs>
              <w:spacing w:after="0" w:line="240" w:lineRule="auto"/>
              <w:jc w:val="right"/>
              <w:outlineLvl w:val="0"/>
              <w:rPr>
                <w:rFonts w:eastAsia="Times New Roman" w:cs="Arial"/>
                <w:b/>
                <w:bCs/>
              </w:rPr>
            </w:pPr>
          </w:p>
        </w:tc>
        <w:tc>
          <w:tcPr>
            <w:tcW w:w="785" w:type="pct"/>
            <w:vAlign w:val="bottom"/>
          </w:tcPr>
          <w:p w14:paraId="6AA0784E" w14:textId="77777777" w:rsidR="00530772" w:rsidRPr="00CA37C8" w:rsidRDefault="00530772" w:rsidP="00530772">
            <w:pPr>
              <w:tabs>
                <w:tab w:val="right" w:pos="1202"/>
              </w:tabs>
              <w:spacing w:after="0" w:line="240" w:lineRule="auto"/>
              <w:jc w:val="right"/>
              <w:outlineLvl w:val="0"/>
              <w:rPr>
                <w:rFonts w:eastAsia="Times New Roman" w:cs="Arial"/>
                <w:b/>
                <w:bCs/>
              </w:rPr>
            </w:pPr>
          </w:p>
        </w:tc>
      </w:tr>
      <w:tr w:rsidR="001F749C" w:rsidRPr="0034501D" w14:paraId="08F3BBC6" w14:textId="77777777" w:rsidTr="005444AA">
        <w:trPr>
          <w:trHeight w:val="311"/>
        </w:trPr>
        <w:tc>
          <w:tcPr>
            <w:tcW w:w="2656" w:type="pct"/>
            <w:vAlign w:val="bottom"/>
          </w:tcPr>
          <w:p w14:paraId="51043F07" w14:textId="77777777" w:rsidR="001F749C" w:rsidRPr="0034501D" w:rsidRDefault="001F749C" w:rsidP="001F749C">
            <w:pPr>
              <w:tabs>
                <w:tab w:val="right" w:pos="1202"/>
              </w:tabs>
              <w:spacing w:after="0" w:line="240" w:lineRule="auto"/>
              <w:outlineLvl w:val="0"/>
              <w:rPr>
                <w:rFonts w:eastAsia="Times New Roman" w:cs="Arial"/>
              </w:rPr>
            </w:pPr>
            <w:r w:rsidRPr="0034501D">
              <w:rPr>
                <w:rFonts w:cs="Arial"/>
              </w:rPr>
              <w:t>Founder’s capital</w:t>
            </w:r>
          </w:p>
        </w:tc>
        <w:tc>
          <w:tcPr>
            <w:tcW w:w="595" w:type="pct"/>
            <w:vAlign w:val="center"/>
          </w:tcPr>
          <w:p w14:paraId="2AF2C3EA" w14:textId="77777777" w:rsidR="001F749C" w:rsidRPr="0034501D" w:rsidRDefault="001F749C" w:rsidP="001F749C">
            <w:pPr>
              <w:tabs>
                <w:tab w:val="right" w:pos="1202"/>
              </w:tabs>
              <w:spacing w:after="0" w:line="240" w:lineRule="auto"/>
              <w:jc w:val="center"/>
              <w:outlineLvl w:val="0"/>
              <w:rPr>
                <w:rFonts w:eastAsia="Times New Roman" w:cs="Arial"/>
              </w:rPr>
            </w:pPr>
          </w:p>
        </w:tc>
        <w:tc>
          <w:tcPr>
            <w:tcW w:w="816" w:type="pct"/>
            <w:tcBorders>
              <w:top w:val="nil"/>
              <w:left w:val="nil"/>
              <w:bottom w:val="nil"/>
              <w:right w:val="nil"/>
            </w:tcBorders>
            <w:shd w:val="clear" w:color="auto" w:fill="auto"/>
            <w:vAlign w:val="bottom"/>
          </w:tcPr>
          <w:p w14:paraId="3E52AFB7" w14:textId="0021DE14" w:rsidR="001F749C" w:rsidRPr="00CA37C8" w:rsidRDefault="001F749C" w:rsidP="001F749C">
            <w:pPr>
              <w:tabs>
                <w:tab w:val="right" w:pos="1202"/>
              </w:tabs>
              <w:spacing w:after="0" w:line="240" w:lineRule="auto"/>
              <w:jc w:val="right"/>
              <w:outlineLvl w:val="0"/>
              <w:rPr>
                <w:rFonts w:eastAsia="Times New Roman" w:cs="Arial"/>
              </w:rPr>
            </w:pPr>
            <w:r w:rsidRPr="00BD0CF5">
              <w:t>6</w:t>
            </w:r>
            <w:r>
              <w:t>,</w:t>
            </w:r>
            <w:r w:rsidRPr="00BD0CF5">
              <w:t>984</w:t>
            </w:r>
            <w:r>
              <w:t>,</w:t>
            </w:r>
            <w:r w:rsidRPr="00BD0CF5">
              <w:t>632</w:t>
            </w:r>
          </w:p>
        </w:tc>
        <w:tc>
          <w:tcPr>
            <w:tcW w:w="148" w:type="pct"/>
            <w:vAlign w:val="bottom"/>
          </w:tcPr>
          <w:p w14:paraId="052BD2CE" w14:textId="77777777" w:rsidR="001F749C" w:rsidRPr="0034501D" w:rsidRDefault="001F749C" w:rsidP="001F749C">
            <w:pPr>
              <w:tabs>
                <w:tab w:val="right" w:pos="1202"/>
              </w:tabs>
              <w:spacing w:after="0" w:line="240" w:lineRule="auto"/>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7D42DBB5" w14:textId="77777777" w:rsidR="001F749C" w:rsidRPr="00257BB8" w:rsidRDefault="001F749C" w:rsidP="001F749C">
            <w:pPr>
              <w:tabs>
                <w:tab w:val="right" w:pos="1202"/>
              </w:tabs>
              <w:spacing w:after="0" w:line="240" w:lineRule="auto"/>
              <w:jc w:val="right"/>
              <w:outlineLvl w:val="0"/>
              <w:rPr>
                <w:rFonts w:eastAsia="Times New Roman" w:cs="Arial"/>
              </w:rPr>
            </w:pPr>
            <w:r w:rsidRPr="00D06F2B">
              <w:t>6</w:t>
            </w:r>
            <w:r>
              <w:t>,</w:t>
            </w:r>
            <w:r w:rsidRPr="00D06F2B">
              <w:t>959</w:t>
            </w:r>
            <w:r>
              <w:t>,</w:t>
            </w:r>
            <w:r w:rsidRPr="00D06F2B">
              <w:t>632</w:t>
            </w:r>
          </w:p>
        </w:tc>
      </w:tr>
      <w:tr w:rsidR="001F749C" w:rsidRPr="0034501D" w14:paraId="72B80E65" w14:textId="77777777" w:rsidTr="005444AA">
        <w:trPr>
          <w:trHeight w:val="322"/>
        </w:trPr>
        <w:tc>
          <w:tcPr>
            <w:tcW w:w="2656" w:type="pct"/>
            <w:vAlign w:val="bottom"/>
          </w:tcPr>
          <w:p w14:paraId="097748B7" w14:textId="77777777" w:rsidR="001F749C" w:rsidRPr="0034501D" w:rsidRDefault="001F749C" w:rsidP="001F749C">
            <w:pPr>
              <w:tabs>
                <w:tab w:val="right" w:pos="1202"/>
              </w:tabs>
              <w:spacing w:after="0" w:line="240" w:lineRule="auto"/>
              <w:outlineLvl w:val="0"/>
              <w:rPr>
                <w:rFonts w:eastAsia="Times New Roman" w:cs="Arial"/>
              </w:rPr>
            </w:pPr>
            <w:r w:rsidRPr="0034501D">
              <w:rPr>
                <w:rFonts w:cs="Arial"/>
              </w:rPr>
              <w:t>Retained earnings and reserves</w:t>
            </w:r>
          </w:p>
        </w:tc>
        <w:tc>
          <w:tcPr>
            <w:tcW w:w="595" w:type="pct"/>
            <w:vAlign w:val="center"/>
          </w:tcPr>
          <w:p w14:paraId="402D4748" w14:textId="77777777" w:rsidR="001F749C" w:rsidRPr="0034501D" w:rsidRDefault="001F749C" w:rsidP="001F749C">
            <w:pPr>
              <w:tabs>
                <w:tab w:val="right" w:pos="1202"/>
              </w:tabs>
              <w:spacing w:after="0" w:line="240" w:lineRule="auto"/>
              <w:jc w:val="center"/>
              <w:outlineLvl w:val="0"/>
              <w:rPr>
                <w:rFonts w:eastAsia="Times New Roman" w:cs="Arial"/>
              </w:rPr>
            </w:pPr>
          </w:p>
        </w:tc>
        <w:tc>
          <w:tcPr>
            <w:tcW w:w="816" w:type="pct"/>
            <w:tcBorders>
              <w:top w:val="nil"/>
              <w:left w:val="nil"/>
              <w:bottom w:val="nil"/>
              <w:right w:val="nil"/>
            </w:tcBorders>
            <w:shd w:val="clear" w:color="auto" w:fill="auto"/>
            <w:vAlign w:val="bottom"/>
          </w:tcPr>
          <w:p w14:paraId="241474D7" w14:textId="1B12524B" w:rsidR="001F749C" w:rsidRPr="00CA37C8" w:rsidRDefault="001F749C" w:rsidP="001F749C">
            <w:pPr>
              <w:tabs>
                <w:tab w:val="right" w:pos="1202"/>
              </w:tabs>
              <w:spacing w:after="0" w:line="240" w:lineRule="auto"/>
              <w:jc w:val="right"/>
              <w:outlineLvl w:val="0"/>
              <w:rPr>
                <w:rFonts w:eastAsia="Times New Roman" w:cs="Arial"/>
              </w:rPr>
            </w:pPr>
            <w:r w:rsidRPr="00BD0CF5">
              <w:t>2</w:t>
            </w:r>
            <w:r>
              <w:t>,</w:t>
            </w:r>
            <w:r w:rsidRPr="00BD0CF5">
              <w:t>995</w:t>
            </w:r>
            <w:r>
              <w:t>,</w:t>
            </w:r>
            <w:r w:rsidRPr="00BD0CF5">
              <w:t>656</w:t>
            </w:r>
          </w:p>
        </w:tc>
        <w:tc>
          <w:tcPr>
            <w:tcW w:w="148" w:type="pct"/>
            <w:vAlign w:val="bottom"/>
          </w:tcPr>
          <w:p w14:paraId="3FD33439" w14:textId="77777777" w:rsidR="001F749C" w:rsidRPr="0034501D" w:rsidRDefault="001F749C" w:rsidP="001F749C">
            <w:pPr>
              <w:tabs>
                <w:tab w:val="right" w:pos="1202"/>
              </w:tabs>
              <w:spacing w:after="0" w:line="240" w:lineRule="auto"/>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24873990" w14:textId="77777777" w:rsidR="001F749C" w:rsidRPr="00257BB8" w:rsidRDefault="001F749C" w:rsidP="001F749C">
            <w:pPr>
              <w:tabs>
                <w:tab w:val="right" w:pos="1202"/>
              </w:tabs>
              <w:spacing w:after="0" w:line="240" w:lineRule="auto"/>
              <w:jc w:val="right"/>
              <w:outlineLvl w:val="0"/>
              <w:rPr>
                <w:rFonts w:eastAsia="Times New Roman" w:cs="Arial"/>
              </w:rPr>
            </w:pPr>
            <w:r w:rsidRPr="00D06F2B">
              <w:t>2</w:t>
            </w:r>
            <w:r>
              <w:t>,</w:t>
            </w:r>
            <w:r w:rsidRPr="00D06F2B">
              <w:t>682</w:t>
            </w:r>
            <w:r>
              <w:t>,</w:t>
            </w:r>
            <w:r w:rsidRPr="00D06F2B">
              <w:t>131</w:t>
            </w:r>
          </w:p>
        </w:tc>
      </w:tr>
      <w:tr w:rsidR="001F749C" w:rsidRPr="0034501D" w14:paraId="2CCE13A4" w14:textId="77777777" w:rsidTr="005444AA">
        <w:trPr>
          <w:trHeight w:val="311"/>
        </w:trPr>
        <w:tc>
          <w:tcPr>
            <w:tcW w:w="2656" w:type="pct"/>
            <w:vAlign w:val="bottom"/>
          </w:tcPr>
          <w:p w14:paraId="1A0D24AA" w14:textId="77777777" w:rsidR="001F749C" w:rsidRPr="0034501D" w:rsidRDefault="001F749C" w:rsidP="001F749C">
            <w:pPr>
              <w:tabs>
                <w:tab w:val="right" w:pos="1202"/>
              </w:tabs>
              <w:spacing w:after="0" w:line="240" w:lineRule="auto"/>
              <w:outlineLvl w:val="0"/>
              <w:rPr>
                <w:rFonts w:eastAsia="Times New Roman" w:cs="Arial"/>
              </w:rPr>
            </w:pPr>
            <w:r w:rsidRPr="0034501D">
              <w:rPr>
                <w:rFonts w:cs="Arial"/>
              </w:rPr>
              <w:t>Other reserves</w:t>
            </w:r>
          </w:p>
        </w:tc>
        <w:tc>
          <w:tcPr>
            <w:tcW w:w="595" w:type="pct"/>
            <w:vAlign w:val="center"/>
          </w:tcPr>
          <w:p w14:paraId="05445DDC" w14:textId="77777777" w:rsidR="001F749C" w:rsidRPr="0034501D" w:rsidRDefault="001F749C" w:rsidP="001F749C">
            <w:pPr>
              <w:tabs>
                <w:tab w:val="right" w:pos="1202"/>
              </w:tabs>
              <w:spacing w:after="0" w:line="240" w:lineRule="auto"/>
              <w:jc w:val="center"/>
              <w:outlineLvl w:val="0"/>
              <w:rPr>
                <w:rFonts w:eastAsia="Times New Roman" w:cs="Arial"/>
              </w:rPr>
            </w:pPr>
          </w:p>
        </w:tc>
        <w:tc>
          <w:tcPr>
            <w:tcW w:w="816" w:type="pct"/>
            <w:tcBorders>
              <w:top w:val="nil"/>
              <w:left w:val="nil"/>
              <w:bottom w:val="nil"/>
              <w:right w:val="nil"/>
            </w:tcBorders>
            <w:shd w:val="clear" w:color="auto" w:fill="auto"/>
            <w:vAlign w:val="bottom"/>
          </w:tcPr>
          <w:p w14:paraId="2AD17B11" w14:textId="493973CD" w:rsidR="001F749C" w:rsidRPr="00CA37C8" w:rsidRDefault="001F749C" w:rsidP="001F749C">
            <w:pPr>
              <w:tabs>
                <w:tab w:val="right" w:pos="1202"/>
              </w:tabs>
              <w:spacing w:after="0" w:line="240" w:lineRule="auto"/>
              <w:jc w:val="right"/>
              <w:outlineLvl w:val="0"/>
              <w:rPr>
                <w:rFonts w:eastAsia="Times New Roman" w:cs="Arial"/>
              </w:rPr>
            </w:pPr>
            <w:r w:rsidRPr="00BD0CF5">
              <w:t>86</w:t>
            </w:r>
            <w:r>
              <w:t>,</w:t>
            </w:r>
            <w:r w:rsidRPr="00BD0CF5">
              <w:t>336</w:t>
            </w:r>
          </w:p>
        </w:tc>
        <w:tc>
          <w:tcPr>
            <w:tcW w:w="148" w:type="pct"/>
            <w:vAlign w:val="bottom"/>
          </w:tcPr>
          <w:p w14:paraId="416B1337" w14:textId="77777777" w:rsidR="001F749C" w:rsidRPr="0034501D" w:rsidRDefault="001F749C" w:rsidP="001F749C">
            <w:pPr>
              <w:tabs>
                <w:tab w:val="right" w:pos="1202"/>
              </w:tabs>
              <w:spacing w:after="0" w:line="240" w:lineRule="auto"/>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43CD0F3B" w14:textId="77777777" w:rsidR="001F749C" w:rsidRPr="00257BB8" w:rsidRDefault="001F749C" w:rsidP="001F749C">
            <w:pPr>
              <w:tabs>
                <w:tab w:val="right" w:pos="1202"/>
              </w:tabs>
              <w:spacing w:after="0" w:line="240" w:lineRule="auto"/>
              <w:jc w:val="right"/>
              <w:outlineLvl w:val="0"/>
              <w:rPr>
                <w:rFonts w:eastAsia="Times New Roman" w:cs="Arial"/>
              </w:rPr>
            </w:pPr>
            <w:r w:rsidRPr="00D06F2B">
              <w:t>70</w:t>
            </w:r>
            <w:r>
              <w:t>,</w:t>
            </w:r>
            <w:r w:rsidRPr="00D06F2B">
              <w:t>317</w:t>
            </w:r>
          </w:p>
        </w:tc>
      </w:tr>
      <w:tr w:rsidR="001F749C" w:rsidRPr="0034501D" w14:paraId="72D25D24" w14:textId="77777777" w:rsidTr="005444AA">
        <w:trPr>
          <w:trHeight w:val="311"/>
        </w:trPr>
        <w:tc>
          <w:tcPr>
            <w:tcW w:w="2656" w:type="pct"/>
            <w:vAlign w:val="bottom"/>
          </w:tcPr>
          <w:p w14:paraId="78D43FCF" w14:textId="2F7DB507" w:rsidR="001F749C" w:rsidRPr="0034501D" w:rsidRDefault="001F749C" w:rsidP="001F749C">
            <w:pPr>
              <w:tabs>
                <w:tab w:val="right" w:pos="1202"/>
              </w:tabs>
              <w:spacing w:after="0" w:line="240" w:lineRule="auto"/>
              <w:outlineLvl w:val="0"/>
              <w:rPr>
                <w:rFonts w:eastAsia="Times New Roman" w:cs="Arial"/>
              </w:rPr>
            </w:pPr>
            <w:r w:rsidRPr="0034501D">
              <w:rPr>
                <w:rFonts w:cs="Arial"/>
              </w:rPr>
              <w:t xml:space="preserve">Profit for the </w:t>
            </w:r>
            <w:r>
              <w:rPr>
                <w:rFonts w:cs="Arial"/>
              </w:rPr>
              <w:t>period</w:t>
            </w:r>
          </w:p>
        </w:tc>
        <w:tc>
          <w:tcPr>
            <w:tcW w:w="595" w:type="pct"/>
            <w:vAlign w:val="center"/>
          </w:tcPr>
          <w:p w14:paraId="01A0E21D" w14:textId="77777777" w:rsidR="001F749C" w:rsidRPr="0034501D" w:rsidRDefault="001F749C" w:rsidP="001F749C">
            <w:pPr>
              <w:tabs>
                <w:tab w:val="right" w:pos="1202"/>
              </w:tabs>
              <w:spacing w:after="0" w:line="240" w:lineRule="auto"/>
              <w:jc w:val="center"/>
              <w:outlineLvl w:val="0"/>
              <w:rPr>
                <w:rFonts w:eastAsia="Times New Roman" w:cs="Arial"/>
              </w:rPr>
            </w:pPr>
          </w:p>
        </w:tc>
        <w:tc>
          <w:tcPr>
            <w:tcW w:w="816" w:type="pct"/>
            <w:tcBorders>
              <w:top w:val="nil"/>
              <w:left w:val="nil"/>
              <w:bottom w:val="nil"/>
              <w:right w:val="nil"/>
            </w:tcBorders>
            <w:shd w:val="clear" w:color="auto" w:fill="auto"/>
            <w:vAlign w:val="bottom"/>
          </w:tcPr>
          <w:p w14:paraId="140F1408" w14:textId="32393102" w:rsidR="001F749C" w:rsidRPr="00CA37C8" w:rsidRDefault="001F749C" w:rsidP="001F749C">
            <w:pPr>
              <w:tabs>
                <w:tab w:val="right" w:pos="1202"/>
              </w:tabs>
              <w:spacing w:after="0" w:line="240" w:lineRule="auto"/>
              <w:jc w:val="right"/>
              <w:outlineLvl w:val="0"/>
              <w:rPr>
                <w:rFonts w:eastAsia="Times New Roman" w:cs="Arial"/>
              </w:rPr>
            </w:pPr>
            <w:r w:rsidRPr="00BD0CF5">
              <w:t>175</w:t>
            </w:r>
            <w:r>
              <w:t>,</w:t>
            </w:r>
            <w:r w:rsidRPr="00BD0CF5">
              <w:t>511</w:t>
            </w:r>
          </w:p>
        </w:tc>
        <w:tc>
          <w:tcPr>
            <w:tcW w:w="148" w:type="pct"/>
            <w:vAlign w:val="bottom"/>
          </w:tcPr>
          <w:p w14:paraId="218031CE" w14:textId="77777777" w:rsidR="001F749C" w:rsidRPr="0034501D" w:rsidRDefault="001F749C" w:rsidP="001F749C">
            <w:pPr>
              <w:tabs>
                <w:tab w:val="right" w:pos="1202"/>
              </w:tabs>
              <w:spacing w:after="0" w:line="240" w:lineRule="auto"/>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4E0361F9" w14:textId="77777777" w:rsidR="001F749C" w:rsidRPr="00257BB8" w:rsidRDefault="001F749C" w:rsidP="001F749C">
            <w:pPr>
              <w:tabs>
                <w:tab w:val="right" w:pos="1202"/>
              </w:tabs>
              <w:spacing w:after="0" w:line="240" w:lineRule="auto"/>
              <w:jc w:val="right"/>
              <w:outlineLvl w:val="0"/>
              <w:rPr>
                <w:rFonts w:eastAsia="Times New Roman" w:cs="Arial"/>
              </w:rPr>
            </w:pPr>
            <w:r w:rsidRPr="00D06F2B">
              <w:t>313</w:t>
            </w:r>
            <w:r>
              <w:t>,</w:t>
            </w:r>
            <w:r w:rsidRPr="00D06F2B">
              <w:t>525</w:t>
            </w:r>
          </w:p>
        </w:tc>
      </w:tr>
      <w:tr w:rsidR="001F749C" w:rsidRPr="0034501D" w14:paraId="4A8C80A8" w14:textId="77777777" w:rsidTr="005444AA">
        <w:trPr>
          <w:trHeight w:hRule="exact" w:val="113"/>
        </w:trPr>
        <w:tc>
          <w:tcPr>
            <w:tcW w:w="2656" w:type="pct"/>
            <w:vAlign w:val="bottom"/>
          </w:tcPr>
          <w:p w14:paraId="0B4C21C5" w14:textId="77777777" w:rsidR="001F749C" w:rsidRPr="0034501D" w:rsidRDefault="001F749C" w:rsidP="001F749C">
            <w:pPr>
              <w:keepNext/>
              <w:keepLines/>
              <w:tabs>
                <w:tab w:val="decimal" w:pos="1202"/>
              </w:tabs>
              <w:spacing w:after="0" w:line="240" w:lineRule="auto"/>
              <w:rPr>
                <w:rFonts w:eastAsia="Times New Roman" w:cs="Arial"/>
                <w:b/>
                <w:position w:val="4"/>
              </w:rPr>
            </w:pPr>
          </w:p>
        </w:tc>
        <w:tc>
          <w:tcPr>
            <w:tcW w:w="595" w:type="pct"/>
            <w:vAlign w:val="center"/>
          </w:tcPr>
          <w:p w14:paraId="02B8476E" w14:textId="77777777" w:rsidR="001F749C" w:rsidRPr="0034501D" w:rsidRDefault="001F749C" w:rsidP="001F749C">
            <w:pPr>
              <w:keepLines/>
              <w:spacing w:after="0" w:line="240" w:lineRule="auto"/>
              <w:jc w:val="center"/>
              <w:rPr>
                <w:rFonts w:eastAsia="Times New Roman" w:cs="Arial"/>
                <w:spacing w:val="-2"/>
                <w:position w:val="4"/>
              </w:rPr>
            </w:pPr>
          </w:p>
        </w:tc>
        <w:tc>
          <w:tcPr>
            <w:tcW w:w="816" w:type="pct"/>
            <w:tcBorders>
              <w:bottom w:val="single" w:sz="4" w:space="0" w:color="auto"/>
            </w:tcBorders>
            <w:vAlign w:val="bottom"/>
          </w:tcPr>
          <w:p w14:paraId="7298F7A9" w14:textId="77777777" w:rsidR="001F749C" w:rsidRPr="00CA37C8" w:rsidRDefault="001F749C" w:rsidP="001F749C">
            <w:pPr>
              <w:keepLines/>
              <w:spacing w:after="0" w:line="240" w:lineRule="auto"/>
              <w:jc w:val="right"/>
              <w:rPr>
                <w:rFonts w:eastAsia="Times New Roman" w:cs="Arial"/>
                <w:spacing w:val="-2"/>
                <w:position w:val="4"/>
              </w:rPr>
            </w:pPr>
          </w:p>
        </w:tc>
        <w:tc>
          <w:tcPr>
            <w:tcW w:w="148" w:type="pct"/>
            <w:tcBorders>
              <w:bottom w:val="single" w:sz="4" w:space="0" w:color="auto"/>
            </w:tcBorders>
            <w:vAlign w:val="bottom"/>
          </w:tcPr>
          <w:p w14:paraId="71621125" w14:textId="77777777" w:rsidR="001F749C" w:rsidRPr="0034501D" w:rsidRDefault="001F749C" w:rsidP="001F749C">
            <w:pPr>
              <w:keepNext/>
              <w:keepLines/>
              <w:tabs>
                <w:tab w:val="left" w:pos="215"/>
                <w:tab w:val="decimal" w:pos="1295"/>
              </w:tabs>
              <w:spacing w:after="0" w:line="240" w:lineRule="auto"/>
              <w:ind w:right="-148"/>
              <w:jc w:val="right"/>
              <w:rPr>
                <w:rFonts w:eastAsia="Times New Roman" w:cs="Arial"/>
                <w:b/>
                <w:snapToGrid w:val="0"/>
                <w:position w:val="4"/>
              </w:rPr>
            </w:pPr>
          </w:p>
        </w:tc>
        <w:tc>
          <w:tcPr>
            <w:tcW w:w="785" w:type="pct"/>
            <w:tcBorders>
              <w:bottom w:val="single" w:sz="4" w:space="0" w:color="auto"/>
            </w:tcBorders>
            <w:vAlign w:val="bottom"/>
          </w:tcPr>
          <w:p w14:paraId="5A38A7DC" w14:textId="77777777" w:rsidR="001F749C" w:rsidRPr="00CA37C8" w:rsidRDefault="001F749C" w:rsidP="001F749C">
            <w:pPr>
              <w:keepLines/>
              <w:spacing w:after="0" w:line="240" w:lineRule="auto"/>
              <w:jc w:val="right"/>
              <w:rPr>
                <w:rFonts w:eastAsia="Times New Roman" w:cs="Arial"/>
                <w:spacing w:val="-2"/>
                <w:position w:val="4"/>
              </w:rPr>
            </w:pPr>
          </w:p>
        </w:tc>
      </w:tr>
      <w:tr w:rsidR="001F749C" w:rsidRPr="0034501D" w14:paraId="4E6FAF52" w14:textId="77777777" w:rsidTr="005444AA">
        <w:trPr>
          <w:trHeight w:val="345"/>
        </w:trPr>
        <w:tc>
          <w:tcPr>
            <w:tcW w:w="2656" w:type="pct"/>
            <w:vAlign w:val="bottom"/>
          </w:tcPr>
          <w:p w14:paraId="0B308FCA" w14:textId="77777777" w:rsidR="001F749C" w:rsidRPr="0034501D" w:rsidRDefault="001F749C" w:rsidP="001F749C">
            <w:pPr>
              <w:tabs>
                <w:tab w:val="right" w:pos="1202"/>
              </w:tabs>
              <w:spacing w:after="0" w:line="240" w:lineRule="auto"/>
              <w:outlineLvl w:val="0"/>
              <w:rPr>
                <w:rFonts w:eastAsia="Times New Roman" w:cs="Arial"/>
                <w:b/>
                <w:bCs/>
              </w:rPr>
            </w:pPr>
            <w:r w:rsidRPr="0034501D">
              <w:rPr>
                <w:rFonts w:cs="Arial"/>
                <w:b/>
                <w:bCs/>
              </w:rPr>
              <w:t>Capital</w:t>
            </w:r>
          </w:p>
        </w:tc>
        <w:tc>
          <w:tcPr>
            <w:tcW w:w="595" w:type="pct"/>
            <w:vAlign w:val="center"/>
          </w:tcPr>
          <w:p w14:paraId="6108FB4B" w14:textId="77777777" w:rsidR="001F749C" w:rsidRPr="0034501D" w:rsidRDefault="001F749C" w:rsidP="001F749C">
            <w:pPr>
              <w:tabs>
                <w:tab w:val="right" w:pos="1202"/>
              </w:tabs>
              <w:spacing w:after="0" w:line="240" w:lineRule="auto"/>
              <w:jc w:val="center"/>
              <w:outlineLvl w:val="0"/>
              <w:rPr>
                <w:rFonts w:eastAsia="Times New Roman" w:cs="Arial"/>
                <w:b/>
                <w:bCs/>
              </w:rPr>
            </w:pPr>
          </w:p>
        </w:tc>
        <w:tc>
          <w:tcPr>
            <w:tcW w:w="816" w:type="pct"/>
            <w:tcBorders>
              <w:top w:val="single" w:sz="4" w:space="0" w:color="auto"/>
              <w:bottom w:val="single" w:sz="12" w:space="0" w:color="auto"/>
            </w:tcBorders>
            <w:vAlign w:val="bottom"/>
          </w:tcPr>
          <w:p w14:paraId="309D4DF4" w14:textId="5719DEA9" w:rsidR="001F749C" w:rsidRPr="00FA11F5" w:rsidRDefault="001F749C" w:rsidP="001F749C">
            <w:pPr>
              <w:tabs>
                <w:tab w:val="right" w:pos="1202"/>
              </w:tabs>
              <w:spacing w:after="0" w:line="240" w:lineRule="auto"/>
              <w:jc w:val="right"/>
              <w:outlineLvl w:val="0"/>
              <w:rPr>
                <w:rFonts w:eastAsia="Times New Roman" w:cs="Arial"/>
                <w:b/>
                <w:bCs/>
              </w:rPr>
            </w:pPr>
            <w:r w:rsidRPr="00971AD8">
              <w:rPr>
                <w:rFonts w:eastAsia="Times New Roman" w:cs="Arial"/>
                <w:b/>
                <w:bCs/>
              </w:rPr>
              <w:t>10</w:t>
            </w:r>
            <w:r>
              <w:rPr>
                <w:rFonts w:eastAsia="Times New Roman" w:cs="Arial"/>
                <w:b/>
                <w:bCs/>
              </w:rPr>
              <w:t>,</w:t>
            </w:r>
            <w:r w:rsidRPr="00971AD8">
              <w:rPr>
                <w:rFonts w:eastAsia="Times New Roman" w:cs="Arial"/>
                <w:b/>
                <w:bCs/>
              </w:rPr>
              <w:t>242</w:t>
            </w:r>
            <w:r>
              <w:rPr>
                <w:rFonts w:eastAsia="Times New Roman" w:cs="Arial"/>
                <w:b/>
                <w:bCs/>
              </w:rPr>
              <w:t>,</w:t>
            </w:r>
            <w:r w:rsidRPr="00971AD8">
              <w:rPr>
                <w:rFonts w:eastAsia="Times New Roman" w:cs="Arial"/>
                <w:b/>
                <w:bCs/>
              </w:rPr>
              <w:t>135</w:t>
            </w:r>
          </w:p>
        </w:tc>
        <w:tc>
          <w:tcPr>
            <w:tcW w:w="148" w:type="pct"/>
            <w:tcBorders>
              <w:top w:val="single" w:sz="4" w:space="0" w:color="auto"/>
              <w:bottom w:val="single" w:sz="12" w:space="0" w:color="auto"/>
            </w:tcBorders>
            <w:vAlign w:val="bottom"/>
          </w:tcPr>
          <w:p w14:paraId="1DC45E16" w14:textId="77777777" w:rsidR="001F749C" w:rsidRPr="0034501D" w:rsidRDefault="001F749C" w:rsidP="001F749C">
            <w:pPr>
              <w:tabs>
                <w:tab w:val="right" w:pos="1202"/>
              </w:tabs>
              <w:spacing w:after="0" w:line="240" w:lineRule="auto"/>
              <w:jc w:val="right"/>
              <w:outlineLvl w:val="0"/>
              <w:rPr>
                <w:rFonts w:eastAsia="Times New Roman" w:cs="Arial"/>
                <w:b/>
                <w:bCs/>
              </w:rPr>
            </w:pPr>
          </w:p>
        </w:tc>
        <w:tc>
          <w:tcPr>
            <w:tcW w:w="785" w:type="pct"/>
            <w:tcBorders>
              <w:top w:val="single" w:sz="4" w:space="0" w:color="auto"/>
              <w:bottom w:val="single" w:sz="12" w:space="0" w:color="auto"/>
            </w:tcBorders>
            <w:vAlign w:val="bottom"/>
          </w:tcPr>
          <w:p w14:paraId="115A40AC" w14:textId="77777777" w:rsidR="001F749C" w:rsidRPr="00CA37C8" w:rsidRDefault="001F749C" w:rsidP="001F749C">
            <w:pPr>
              <w:tabs>
                <w:tab w:val="right" w:pos="1202"/>
              </w:tabs>
              <w:spacing w:after="0" w:line="240" w:lineRule="auto"/>
              <w:jc w:val="right"/>
              <w:outlineLvl w:val="0"/>
              <w:rPr>
                <w:rFonts w:eastAsia="Times New Roman" w:cs="Arial"/>
                <w:b/>
                <w:bCs/>
              </w:rPr>
            </w:pPr>
            <w:r w:rsidRPr="00A1037D">
              <w:rPr>
                <w:rFonts w:eastAsia="Times New Roman" w:cs="Arial"/>
                <w:b/>
                <w:bCs/>
              </w:rPr>
              <w:t>10</w:t>
            </w:r>
            <w:r>
              <w:rPr>
                <w:rFonts w:eastAsia="Times New Roman" w:cs="Arial"/>
                <w:b/>
                <w:bCs/>
              </w:rPr>
              <w:t>,</w:t>
            </w:r>
            <w:r w:rsidRPr="00A1037D">
              <w:rPr>
                <w:rFonts w:eastAsia="Times New Roman" w:cs="Arial"/>
                <w:b/>
                <w:bCs/>
              </w:rPr>
              <w:t>025</w:t>
            </w:r>
            <w:r>
              <w:rPr>
                <w:rFonts w:eastAsia="Times New Roman" w:cs="Arial"/>
                <w:b/>
                <w:bCs/>
              </w:rPr>
              <w:t>,</w:t>
            </w:r>
            <w:r w:rsidRPr="00A1037D">
              <w:rPr>
                <w:rFonts w:eastAsia="Times New Roman" w:cs="Arial"/>
                <w:b/>
                <w:bCs/>
              </w:rPr>
              <w:t>605</w:t>
            </w:r>
          </w:p>
        </w:tc>
      </w:tr>
      <w:tr w:rsidR="00530772" w:rsidRPr="0034501D" w14:paraId="7B1F7B55" w14:textId="77777777" w:rsidTr="005444AA">
        <w:trPr>
          <w:trHeight w:hRule="exact" w:val="113"/>
        </w:trPr>
        <w:tc>
          <w:tcPr>
            <w:tcW w:w="2656" w:type="pct"/>
            <w:vAlign w:val="bottom"/>
          </w:tcPr>
          <w:p w14:paraId="2DA5B668" w14:textId="77777777" w:rsidR="00530772" w:rsidRPr="0034501D" w:rsidRDefault="00530772" w:rsidP="00530772">
            <w:pPr>
              <w:keepNext/>
              <w:keepLines/>
              <w:tabs>
                <w:tab w:val="decimal" w:pos="1202"/>
              </w:tabs>
              <w:spacing w:after="0" w:line="240" w:lineRule="auto"/>
              <w:rPr>
                <w:rFonts w:eastAsia="Times New Roman" w:cs="Arial"/>
                <w:b/>
                <w:position w:val="4"/>
                <w:u w:val="thick"/>
              </w:rPr>
            </w:pPr>
          </w:p>
        </w:tc>
        <w:tc>
          <w:tcPr>
            <w:tcW w:w="595" w:type="pct"/>
            <w:vAlign w:val="center"/>
          </w:tcPr>
          <w:p w14:paraId="4953708C" w14:textId="77777777" w:rsidR="00530772" w:rsidRPr="0034501D" w:rsidRDefault="00530772" w:rsidP="00530772">
            <w:pPr>
              <w:keepNext/>
              <w:keepLines/>
              <w:tabs>
                <w:tab w:val="decimal" w:pos="1060"/>
              </w:tabs>
              <w:spacing w:after="0" w:line="240" w:lineRule="auto"/>
              <w:jc w:val="center"/>
              <w:rPr>
                <w:rFonts w:eastAsia="Times New Roman" w:cs="Arial"/>
                <w:b/>
                <w:position w:val="4"/>
                <w:u w:val="thick"/>
              </w:rPr>
            </w:pPr>
          </w:p>
        </w:tc>
        <w:tc>
          <w:tcPr>
            <w:tcW w:w="816" w:type="pct"/>
            <w:tcBorders>
              <w:top w:val="single" w:sz="12" w:space="0" w:color="auto"/>
            </w:tcBorders>
            <w:vAlign w:val="bottom"/>
          </w:tcPr>
          <w:p w14:paraId="2111909D" w14:textId="77777777" w:rsidR="00530772" w:rsidRPr="00CA37C8" w:rsidRDefault="00530772" w:rsidP="00530772">
            <w:pPr>
              <w:keepNext/>
              <w:keepLines/>
              <w:tabs>
                <w:tab w:val="decimal" w:pos="1060"/>
              </w:tabs>
              <w:spacing w:after="0" w:line="240" w:lineRule="auto"/>
              <w:jc w:val="right"/>
              <w:rPr>
                <w:rFonts w:eastAsia="Times New Roman" w:cs="Arial"/>
                <w:b/>
                <w:position w:val="4"/>
                <w:u w:val="thick"/>
              </w:rPr>
            </w:pPr>
          </w:p>
        </w:tc>
        <w:tc>
          <w:tcPr>
            <w:tcW w:w="148" w:type="pct"/>
            <w:tcBorders>
              <w:top w:val="single" w:sz="12" w:space="0" w:color="auto"/>
            </w:tcBorders>
            <w:vAlign w:val="bottom"/>
          </w:tcPr>
          <w:p w14:paraId="39E5A423" w14:textId="77777777" w:rsidR="00530772" w:rsidRPr="0034501D" w:rsidRDefault="00530772" w:rsidP="00530772">
            <w:pPr>
              <w:keepNext/>
              <w:keepLines/>
              <w:tabs>
                <w:tab w:val="decimal" w:pos="1202"/>
              </w:tabs>
              <w:spacing w:after="0" w:line="240" w:lineRule="auto"/>
              <w:jc w:val="right"/>
              <w:rPr>
                <w:rFonts w:eastAsia="Times New Roman" w:cs="Arial"/>
                <w:b/>
                <w:position w:val="4"/>
                <w:u w:val="thick"/>
              </w:rPr>
            </w:pPr>
          </w:p>
        </w:tc>
        <w:tc>
          <w:tcPr>
            <w:tcW w:w="785" w:type="pct"/>
            <w:tcBorders>
              <w:top w:val="single" w:sz="12" w:space="0" w:color="auto"/>
            </w:tcBorders>
            <w:vAlign w:val="bottom"/>
          </w:tcPr>
          <w:p w14:paraId="39D6A908" w14:textId="77777777" w:rsidR="00530772" w:rsidRPr="00CA37C8" w:rsidRDefault="00530772" w:rsidP="00530772">
            <w:pPr>
              <w:keepNext/>
              <w:keepLines/>
              <w:tabs>
                <w:tab w:val="decimal" w:pos="1060"/>
              </w:tabs>
              <w:spacing w:after="0" w:line="240" w:lineRule="auto"/>
              <w:jc w:val="right"/>
              <w:rPr>
                <w:rFonts w:eastAsia="Times New Roman" w:cs="Arial"/>
                <w:b/>
                <w:position w:val="4"/>
                <w:u w:val="thick"/>
              </w:rPr>
            </w:pPr>
          </w:p>
        </w:tc>
      </w:tr>
      <w:tr w:rsidR="00530772" w:rsidRPr="0034501D" w14:paraId="4EE47CBB" w14:textId="77777777" w:rsidTr="005444AA">
        <w:trPr>
          <w:trHeight w:val="311"/>
        </w:trPr>
        <w:tc>
          <w:tcPr>
            <w:tcW w:w="2656" w:type="pct"/>
            <w:vAlign w:val="bottom"/>
          </w:tcPr>
          <w:p w14:paraId="01CB6D82" w14:textId="77777777" w:rsidR="00530772" w:rsidRPr="0034501D" w:rsidRDefault="00530772" w:rsidP="00530772">
            <w:pPr>
              <w:tabs>
                <w:tab w:val="right" w:pos="1202"/>
              </w:tabs>
              <w:spacing w:after="0" w:line="240" w:lineRule="auto"/>
              <w:outlineLvl w:val="0"/>
              <w:rPr>
                <w:rFonts w:eastAsia="Times New Roman" w:cs="Arial"/>
              </w:rPr>
            </w:pPr>
            <w:r w:rsidRPr="0034501D">
              <w:rPr>
                <w:rFonts w:cs="Arial"/>
              </w:rPr>
              <w:t xml:space="preserve">Guarantee fund  </w:t>
            </w:r>
          </w:p>
        </w:tc>
        <w:tc>
          <w:tcPr>
            <w:tcW w:w="595" w:type="pct"/>
            <w:vAlign w:val="center"/>
          </w:tcPr>
          <w:p w14:paraId="7434D0FE" w14:textId="77777777" w:rsidR="00530772" w:rsidRPr="0034501D" w:rsidRDefault="00530772" w:rsidP="00530772">
            <w:pPr>
              <w:tabs>
                <w:tab w:val="right" w:pos="1202"/>
              </w:tabs>
              <w:spacing w:after="0" w:line="240" w:lineRule="auto"/>
              <w:jc w:val="center"/>
              <w:outlineLvl w:val="0"/>
              <w:rPr>
                <w:rFonts w:eastAsia="Times New Roman" w:cs="Arial"/>
              </w:rPr>
            </w:pPr>
          </w:p>
        </w:tc>
        <w:tc>
          <w:tcPr>
            <w:tcW w:w="816" w:type="pct"/>
            <w:vAlign w:val="bottom"/>
          </w:tcPr>
          <w:p w14:paraId="29428608" w14:textId="167FD76F" w:rsidR="00530772" w:rsidRPr="00CA37C8" w:rsidRDefault="001F749C" w:rsidP="00530772">
            <w:pPr>
              <w:tabs>
                <w:tab w:val="right" w:pos="1202"/>
              </w:tabs>
              <w:spacing w:after="0" w:line="240" w:lineRule="auto"/>
              <w:jc w:val="right"/>
              <w:outlineLvl w:val="0"/>
              <w:rPr>
                <w:rFonts w:eastAsia="Times New Roman" w:cs="Arial"/>
              </w:rPr>
            </w:pPr>
            <w:r w:rsidRPr="001F749C">
              <w:rPr>
                <w:rFonts w:eastAsia="Times New Roman" w:cs="Arial"/>
              </w:rPr>
              <w:t>12,276</w:t>
            </w:r>
          </w:p>
        </w:tc>
        <w:tc>
          <w:tcPr>
            <w:tcW w:w="148" w:type="pct"/>
            <w:vAlign w:val="bottom"/>
          </w:tcPr>
          <w:p w14:paraId="781C9EB8" w14:textId="77777777" w:rsidR="00530772" w:rsidRPr="0034501D" w:rsidRDefault="00530772" w:rsidP="00530772">
            <w:pPr>
              <w:tabs>
                <w:tab w:val="right" w:pos="1202"/>
              </w:tabs>
              <w:spacing w:after="0" w:line="240" w:lineRule="auto"/>
              <w:jc w:val="right"/>
              <w:outlineLvl w:val="0"/>
              <w:rPr>
                <w:rFonts w:eastAsia="Times New Roman" w:cs="Arial"/>
              </w:rPr>
            </w:pPr>
          </w:p>
        </w:tc>
        <w:tc>
          <w:tcPr>
            <w:tcW w:w="785" w:type="pct"/>
            <w:vAlign w:val="bottom"/>
          </w:tcPr>
          <w:p w14:paraId="7D01F36C" w14:textId="77777777" w:rsidR="00530772" w:rsidRPr="00CA37C8" w:rsidRDefault="00530772" w:rsidP="00530772">
            <w:pPr>
              <w:tabs>
                <w:tab w:val="right" w:pos="1202"/>
              </w:tabs>
              <w:spacing w:after="0" w:line="240" w:lineRule="auto"/>
              <w:jc w:val="right"/>
              <w:outlineLvl w:val="0"/>
              <w:rPr>
                <w:rFonts w:eastAsia="Times New Roman" w:cs="Arial"/>
              </w:rPr>
            </w:pPr>
            <w:r w:rsidRPr="00A1037D">
              <w:rPr>
                <w:rFonts w:eastAsia="Times New Roman" w:cs="Arial"/>
              </w:rPr>
              <w:t>12</w:t>
            </w:r>
            <w:r>
              <w:rPr>
                <w:rFonts w:eastAsia="Times New Roman" w:cs="Arial"/>
              </w:rPr>
              <w:t>,</w:t>
            </w:r>
            <w:r w:rsidRPr="00A1037D">
              <w:rPr>
                <w:rFonts w:eastAsia="Times New Roman" w:cs="Arial"/>
              </w:rPr>
              <w:t>375</w:t>
            </w:r>
          </w:p>
        </w:tc>
      </w:tr>
      <w:tr w:rsidR="00530772" w:rsidRPr="0034501D" w14:paraId="73C2E910" w14:textId="77777777" w:rsidTr="005444AA">
        <w:trPr>
          <w:trHeight w:hRule="exact" w:val="142"/>
        </w:trPr>
        <w:tc>
          <w:tcPr>
            <w:tcW w:w="2656" w:type="pct"/>
            <w:vAlign w:val="bottom"/>
          </w:tcPr>
          <w:p w14:paraId="2E91ED93" w14:textId="77777777" w:rsidR="00530772" w:rsidRPr="0034501D" w:rsidRDefault="00530772" w:rsidP="00530772">
            <w:pPr>
              <w:keepNext/>
              <w:keepLines/>
              <w:tabs>
                <w:tab w:val="left" w:pos="1134"/>
                <w:tab w:val="decimal" w:pos="1202"/>
              </w:tabs>
              <w:spacing w:after="0" w:line="240" w:lineRule="auto"/>
              <w:rPr>
                <w:rFonts w:eastAsia="Times New Roman" w:cs="Arial"/>
                <w:b/>
                <w:position w:val="4"/>
              </w:rPr>
            </w:pPr>
          </w:p>
        </w:tc>
        <w:tc>
          <w:tcPr>
            <w:tcW w:w="595" w:type="pct"/>
            <w:vAlign w:val="center"/>
          </w:tcPr>
          <w:p w14:paraId="2F53D980" w14:textId="77777777" w:rsidR="00530772" w:rsidRPr="0034501D" w:rsidRDefault="00530772" w:rsidP="00530772">
            <w:pPr>
              <w:keepLines/>
              <w:spacing w:after="0" w:line="240" w:lineRule="auto"/>
              <w:jc w:val="center"/>
              <w:rPr>
                <w:rFonts w:eastAsia="Times New Roman" w:cs="Arial"/>
                <w:spacing w:val="-2"/>
                <w:position w:val="4"/>
              </w:rPr>
            </w:pPr>
          </w:p>
        </w:tc>
        <w:tc>
          <w:tcPr>
            <w:tcW w:w="816" w:type="pct"/>
            <w:tcBorders>
              <w:bottom w:val="single" w:sz="4" w:space="0" w:color="auto"/>
            </w:tcBorders>
            <w:vAlign w:val="bottom"/>
          </w:tcPr>
          <w:p w14:paraId="3ECBC6B6" w14:textId="77777777" w:rsidR="00530772" w:rsidRPr="00CA37C8" w:rsidRDefault="00530772" w:rsidP="00530772">
            <w:pPr>
              <w:keepLines/>
              <w:spacing w:after="0" w:line="240" w:lineRule="auto"/>
              <w:jc w:val="right"/>
              <w:rPr>
                <w:rFonts w:eastAsia="Times New Roman" w:cs="Arial"/>
                <w:spacing w:val="-2"/>
                <w:position w:val="4"/>
              </w:rPr>
            </w:pPr>
          </w:p>
        </w:tc>
        <w:tc>
          <w:tcPr>
            <w:tcW w:w="148" w:type="pct"/>
            <w:tcBorders>
              <w:bottom w:val="single" w:sz="4" w:space="0" w:color="auto"/>
            </w:tcBorders>
            <w:vAlign w:val="bottom"/>
          </w:tcPr>
          <w:p w14:paraId="2A930B56" w14:textId="77777777" w:rsidR="00530772" w:rsidRPr="0034501D" w:rsidRDefault="00530772" w:rsidP="00530772">
            <w:pPr>
              <w:keepNext/>
              <w:keepLines/>
              <w:tabs>
                <w:tab w:val="left" w:pos="215"/>
                <w:tab w:val="decimal" w:pos="1295"/>
              </w:tabs>
              <w:spacing w:after="0" w:line="240" w:lineRule="auto"/>
              <w:ind w:right="-148"/>
              <w:jc w:val="right"/>
              <w:rPr>
                <w:rFonts w:eastAsia="Times New Roman" w:cs="Arial"/>
                <w:b/>
                <w:snapToGrid w:val="0"/>
                <w:position w:val="4"/>
              </w:rPr>
            </w:pPr>
          </w:p>
        </w:tc>
        <w:tc>
          <w:tcPr>
            <w:tcW w:w="785" w:type="pct"/>
            <w:tcBorders>
              <w:bottom w:val="single" w:sz="4" w:space="0" w:color="auto"/>
            </w:tcBorders>
            <w:vAlign w:val="bottom"/>
          </w:tcPr>
          <w:p w14:paraId="6626A633" w14:textId="77777777" w:rsidR="00530772" w:rsidRPr="00CA37C8" w:rsidRDefault="00530772" w:rsidP="00530772">
            <w:pPr>
              <w:keepLines/>
              <w:spacing w:after="0" w:line="240" w:lineRule="auto"/>
              <w:jc w:val="right"/>
              <w:rPr>
                <w:rFonts w:eastAsia="Times New Roman" w:cs="Arial"/>
                <w:spacing w:val="-2"/>
                <w:position w:val="4"/>
              </w:rPr>
            </w:pPr>
          </w:p>
        </w:tc>
      </w:tr>
      <w:tr w:rsidR="001F749C" w:rsidRPr="0034501D" w14:paraId="7F67AFF3" w14:textId="77777777" w:rsidTr="005444AA">
        <w:trPr>
          <w:trHeight w:val="358"/>
        </w:trPr>
        <w:tc>
          <w:tcPr>
            <w:tcW w:w="2656" w:type="pct"/>
            <w:vAlign w:val="bottom"/>
          </w:tcPr>
          <w:p w14:paraId="1773F24B" w14:textId="77777777" w:rsidR="001F749C" w:rsidRPr="0034501D" w:rsidRDefault="001F749C" w:rsidP="001F749C">
            <w:pPr>
              <w:tabs>
                <w:tab w:val="right" w:pos="1202"/>
              </w:tabs>
              <w:spacing w:after="0" w:line="240" w:lineRule="auto"/>
              <w:outlineLvl w:val="0"/>
              <w:rPr>
                <w:rFonts w:eastAsia="Times New Roman" w:cs="Arial"/>
                <w:b/>
                <w:bCs/>
              </w:rPr>
            </w:pPr>
            <w:r w:rsidRPr="0034501D">
              <w:rPr>
                <w:rFonts w:cs="Arial"/>
                <w:b/>
              </w:rPr>
              <w:t>Total equity</w:t>
            </w:r>
          </w:p>
        </w:tc>
        <w:tc>
          <w:tcPr>
            <w:tcW w:w="595" w:type="pct"/>
            <w:vAlign w:val="center"/>
          </w:tcPr>
          <w:p w14:paraId="5622D4E0" w14:textId="77777777" w:rsidR="001F749C" w:rsidRPr="0034501D" w:rsidRDefault="001F749C" w:rsidP="001F749C">
            <w:pPr>
              <w:tabs>
                <w:tab w:val="right" w:pos="1202"/>
              </w:tabs>
              <w:spacing w:after="0" w:line="240" w:lineRule="auto"/>
              <w:jc w:val="center"/>
              <w:outlineLvl w:val="0"/>
              <w:rPr>
                <w:rFonts w:eastAsia="Times New Roman" w:cs="Arial"/>
                <w:b/>
                <w:bCs/>
              </w:rPr>
            </w:pPr>
          </w:p>
        </w:tc>
        <w:tc>
          <w:tcPr>
            <w:tcW w:w="816" w:type="pct"/>
            <w:tcBorders>
              <w:top w:val="single" w:sz="4" w:space="0" w:color="auto"/>
              <w:bottom w:val="single" w:sz="4" w:space="0" w:color="auto"/>
            </w:tcBorders>
            <w:vAlign w:val="bottom"/>
          </w:tcPr>
          <w:p w14:paraId="114D86F8" w14:textId="35F93650" w:rsidR="001F749C" w:rsidRPr="00CA37C8" w:rsidRDefault="001F749C" w:rsidP="001F749C">
            <w:pPr>
              <w:tabs>
                <w:tab w:val="right" w:pos="1202"/>
              </w:tabs>
              <w:spacing w:after="0" w:line="240" w:lineRule="auto"/>
              <w:jc w:val="right"/>
              <w:outlineLvl w:val="0"/>
              <w:rPr>
                <w:rFonts w:eastAsia="Times New Roman" w:cs="Arial"/>
                <w:b/>
                <w:bCs/>
              </w:rPr>
            </w:pPr>
            <w:r w:rsidRPr="00971AD8">
              <w:rPr>
                <w:rFonts w:eastAsia="Times New Roman" w:cs="Arial"/>
                <w:b/>
                <w:bCs/>
              </w:rPr>
              <w:t>10</w:t>
            </w:r>
            <w:r>
              <w:rPr>
                <w:rFonts w:eastAsia="Times New Roman" w:cs="Arial"/>
                <w:b/>
                <w:bCs/>
              </w:rPr>
              <w:t>,</w:t>
            </w:r>
            <w:r w:rsidRPr="00971AD8">
              <w:rPr>
                <w:rFonts w:eastAsia="Times New Roman" w:cs="Arial"/>
                <w:b/>
                <w:bCs/>
              </w:rPr>
              <w:t>254</w:t>
            </w:r>
            <w:r>
              <w:rPr>
                <w:rFonts w:eastAsia="Times New Roman" w:cs="Arial"/>
                <w:b/>
                <w:bCs/>
              </w:rPr>
              <w:t>,</w:t>
            </w:r>
            <w:r w:rsidRPr="00971AD8">
              <w:rPr>
                <w:rFonts w:eastAsia="Times New Roman" w:cs="Arial"/>
                <w:b/>
                <w:bCs/>
              </w:rPr>
              <w:t>411</w:t>
            </w:r>
          </w:p>
        </w:tc>
        <w:tc>
          <w:tcPr>
            <w:tcW w:w="148" w:type="pct"/>
            <w:tcBorders>
              <w:top w:val="single" w:sz="4" w:space="0" w:color="auto"/>
              <w:bottom w:val="single" w:sz="4" w:space="0" w:color="auto"/>
            </w:tcBorders>
            <w:vAlign w:val="bottom"/>
          </w:tcPr>
          <w:p w14:paraId="663F99A7" w14:textId="77777777" w:rsidR="001F749C" w:rsidRPr="0034501D" w:rsidRDefault="001F749C" w:rsidP="001F749C">
            <w:pPr>
              <w:tabs>
                <w:tab w:val="right" w:pos="1202"/>
              </w:tabs>
              <w:spacing w:after="0" w:line="240" w:lineRule="auto"/>
              <w:jc w:val="right"/>
              <w:outlineLvl w:val="0"/>
              <w:rPr>
                <w:rFonts w:eastAsia="Times New Roman" w:cs="Arial"/>
                <w:b/>
                <w:bCs/>
              </w:rPr>
            </w:pPr>
          </w:p>
        </w:tc>
        <w:tc>
          <w:tcPr>
            <w:tcW w:w="785" w:type="pct"/>
            <w:tcBorders>
              <w:top w:val="single" w:sz="4" w:space="0" w:color="auto"/>
              <w:bottom w:val="single" w:sz="4" w:space="0" w:color="auto"/>
            </w:tcBorders>
            <w:vAlign w:val="bottom"/>
          </w:tcPr>
          <w:p w14:paraId="30F69966" w14:textId="77777777" w:rsidR="001F749C" w:rsidRPr="00CA37C8" w:rsidRDefault="001F749C" w:rsidP="001F749C">
            <w:pPr>
              <w:tabs>
                <w:tab w:val="right" w:pos="1202"/>
              </w:tabs>
              <w:spacing w:after="0" w:line="240" w:lineRule="auto"/>
              <w:jc w:val="right"/>
              <w:outlineLvl w:val="0"/>
              <w:rPr>
                <w:rFonts w:eastAsia="Times New Roman" w:cs="Arial"/>
                <w:b/>
                <w:bCs/>
              </w:rPr>
            </w:pPr>
            <w:r w:rsidRPr="00A1037D">
              <w:rPr>
                <w:rFonts w:eastAsia="Times New Roman" w:cs="Arial"/>
                <w:b/>
                <w:bCs/>
              </w:rPr>
              <w:t>10</w:t>
            </w:r>
            <w:r>
              <w:rPr>
                <w:rFonts w:eastAsia="Times New Roman" w:cs="Arial"/>
                <w:b/>
                <w:bCs/>
              </w:rPr>
              <w:t>,</w:t>
            </w:r>
            <w:r w:rsidRPr="00A1037D">
              <w:rPr>
                <w:rFonts w:eastAsia="Times New Roman" w:cs="Arial"/>
                <w:b/>
                <w:bCs/>
              </w:rPr>
              <w:t>037</w:t>
            </w:r>
            <w:r>
              <w:rPr>
                <w:rFonts w:eastAsia="Times New Roman" w:cs="Arial"/>
                <w:b/>
                <w:bCs/>
              </w:rPr>
              <w:t>,</w:t>
            </w:r>
            <w:r w:rsidRPr="00A1037D">
              <w:rPr>
                <w:rFonts w:eastAsia="Times New Roman" w:cs="Arial"/>
                <w:b/>
                <w:bCs/>
              </w:rPr>
              <w:t>980</w:t>
            </w:r>
          </w:p>
        </w:tc>
      </w:tr>
      <w:tr w:rsidR="001F749C" w:rsidRPr="0034501D" w14:paraId="4E4C5104" w14:textId="77777777" w:rsidTr="005444AA">
        <w:trPr>
          <w:trHeight w:hRule="exact" w:val="113"/>
        </w:trPr>
        <w:tc>
          <w:tcPr>
            <w:tcW w:w="2656" w:type="pct"/>
            <w:vAlign w:val="bottom"/>
          </w:tcPr>
          <w:p w14:paraId="47D5EB92" w14:textId="77777777" w:rsidR="001F749C" w:rsidRPr="0034501D" w:rsidRDefault="001F749C" w:rsidP="001F749C">
            <w:pPr>
              <w:keepNext/>
              <w:keepLines/>
              <w:tabs>
                <w:tab w:val="decimal" w:pos="1202"/>
              </w:tabs>
              <w:spacing w:after="0" w:line="240" w:lineRule="auto"/>
              <w:rPr>
                <w:rFonts w:eastAsia="Times New Roman" w:cs="Arial"/>
                <w:b/>
                <w:position w:val="4"/>
              </w:rPr>
            </w:pPr>
          </w:p>
        </w:tc>
        <w:tc>
          <w:tcPr>
            <w:tcW w:w="595" w:type="pct"/>
            <w:vAlign w:val="center"/>
          </w:tcPr>
          <w:p w14:paraId="74BB2843" w14:textId="77777777" w:rsidR="001F749C" w:rsidRPr="0034501D" w:rsidRDefault="001F749C" w:rsidP="001F749C">
            <w:pPr>
              <w:keepLines/>
              <w:spacing w:after="0" w:line="240" w:lineRule="auto"/>
              <w:jc w:val="center"/>
              <w:rPr>
                <w:rFonts w:eastAsia="Times New Roman" w:cs="Arial"/>
                <w:spacing w:val="-2"/>
                <w:position w:val="4"/>
              </w:rPr>
            </w:pPr>
          </w:p>
        </w:tc>
        <w:tc>
          <w:tcPr>
            <w:tcW w:w="816" w:type="pct"/>
            <w:tcBorders>
              <w:top w:val="single" w:sz="4" w:space="0" w:color="auto"/>
            </w:tcBorders>
            <w:vAlign w:val="bottom"/>
          </w:tcPr>
          <w:p w14:paraId="4B048594" w14:textId="77777777" w:rsidR="001F749C" w:rsidRPr="00CA37C8" w:rsidRDefault="001F749C" w:rsidP="001F749C">
            <w:pPr>
              <w:keepLines/>
              <w:spacing w:after="0" w:line="240" w:lineRule="auto"/>
              <w:jc w:val="right"/>
              <w:rPr>
                <w:rFonts w:eastAsia="Times New Roman" w:cs="Arial"/>
                <w:spacing w:val="-2"/>
                <w:position w:val="4"/>
              </w:rPr>
            </w:pPr>
          </w:p>
        </w:tc>
        <w:tc>
          <w:tcPr>
            <w:tcW w:w="148" w:type="pct"/>
            <w:tcBorders>
              <w:top w:val="single" w:sz="4" w:space="0" w:color="auto"/>
            </w:tcBorders>
            <w:vAlign w:val="bottom"/>
          </w:tcPr>
          <w:p w14:paraId="078566B2" w14:textId="77777777" w:rsidR="001F749C" w:rsidRPr="0034501D" w:rsidRDefault="001F749C" w:rsidP="001F749C">
            <w:pPr>
              <w:keepNext/>
              <w:keepLines/>
              <w:tabs>
                <w:tab w:val="left" w:pos="215"/>
                <w:tab w:val="decimal" w:pos="1295"/>
              </w:tabs>
              <w:spacing w:after="0" w:line="240" w:lineRule="auto"/>
              <w:ind w:right="-148"/>
              <w:jc w:val="right"/>
              <w:rPr>
                <w:rFonts w:eastAsia="Times New Roman" w:cs="Arial"/>
                <w:b/>
                <w:snapToGrid w:val="0"/>
                <w:position w:val="4"/>
              </w:rPr>
            </w:pPr>
          </w:p>
        </w:tc>
        <w:tc>
          <w:tcPr>
            <w:tcW w:w="785" w:type="pct"/>
            <w:tcBorders>
              <w:top w:val="single" w:sz="4" w:space="0" w:color="auto"/>
            </w:tcBorders>
            <w:vAlign w:val="bottom"/>
          </w:tcPr>
          <w:p w14:paraId="23C16BAB" w14:textId="77777777" w:rsidR="001F749C" w:rsidRPr="00CA37C8" w:rsidRDefault="001F749C" w:rsidP="001F749C">
            <w:pPr>
              <w:keepLines/>
              <w:spacing w:after="0" w:line="240" w:lineRule="auto"/>
              <w:jc w:val="right"/>
              <w:rPr>
                <w:rFonts w:eastAsia="Times New Roman" w:cs="Arial"/>
                <w:spacing w:val="-2"/>
                <w:position w:val="4"/>
              </w:rPr>
            </w:pPr>
          </w:p>
        </w:tc>
      </w:tr>
      <w:tr w:rsidR="001F749C" w:rsidRPr="0034501D" w14:paraId="22C61649" w14:textId="77777777" w:rsidTr="005444AA">
        <w:trPr>
          <w:trHeight w:val="343"/>
        </w:trPr>
        <w:tc>
          <w:tcPr>
            <w:tcW w:w="2656" w:type="pct"/>
            <w:vAlign w:val="bottom"/>
          </w:tcPr>
          <w:p w14:paraId="60CCF4BF" w14:textId="77777777" w:rsidR="001F749C" w:rsidRPr="0034501D" w:rsidRDefault="001F749C" w:rsidP="001F749C">
            <w:pPr>
              <w:tabs>
                <w:tab w:val="right" w:pos="1202"/>
              </w:tabs>
              <w:spacing w:after="0" w:line="240" w:lineRule="auto"/>
              <w:outlineLvl w:val="0"/>
              <w:rPr>
                <w:rFonts w:eastAsia="Times New Roman" w:cs="Arial"/>
                <w:b/>
                <w:bCs/>
              </w:rPr>
            </w:pPr>
            <w:r w:rsidRPr="0034501D">
              <w:rPr>
                <w:rFonts w:cs="Arial"/>
                <w:b/>
                <w:bCs/>
              </w:rPr>
              <w:t>Total liabilities and total equity</w:t>
            </w:r>
          </w:p>
        </w:tc>
        <w:tc>
          <w:tcPr>
            <w:tcW w:w="595" w:type="pct"/>
            <w:vAlign w:val="center"/>
          </w:tcPr>
          <w:p w14:paraId="31D62B9D" w14:textId="77777777" w:rsidR="001F749C" w:rsidRPr="0034501D" w:rsidRDefault="001F749C" w:rsidP="001F749C">
            <w:pPr>
              <w:tabs>
                <w:tab w:val="right" w:pos="1202"/>
              </w:tabs>
              <w:spacing w:after="0" w:line="240" w:lineRule="auto"/>
              <w:jc w:val="center"/>
              <w:outlineLvl w:val="0"/>
              <w:rPr>
                <w:rFonts w:eastAsia="Times New Roman" w:cs="Arial"/>
                <w:b/>
                <w:bCs/>
              </w:rPr>
            </w:pPr>
          </w:p>
        </w:tc>
        <w:tc>
          <w:tcPr>
            <w:tcW w:w="816" w:type="pct"/>
            <w:tcBorders>
              <w:bottom w:val="single" w:sz="12" w:space="0" w:color="auto"/>
            </w:tcBorders>
            <w:vAlign w:val="bottom"/>
          </w:tcPr>
          <w:p w14:paraId="0053F2EA" w14:textId="4F6E5AF0" w:rsidR="001F749C" w:rsidRPr="00CA37C8" w:rsidRDefault="001F749C" w:rsidP="001F749C">
            <w:pPr>
              <w:tabs>
                <w:tab w:val="right" w:pos="1202"/>
              </w:tabs>
              <w:spacing w:after="0" w:line="240" w:lineRule="auto"/>
              <w:jc w:val="right"/>
              <w:outlineLvl w:val="0"/>
              <w:rPr>
                <w:rFonts w:eastAsia="Times New Roman" w:cs="Arial"/>
                <w:b/>
                <w:bCs/>
              </w:rPr>
            </w:pPr>
            <w:r w:rsidRPr="00971AD8">
              <w:rPr>
                <w:rFonts w:eastAsia="Times New Roman" w:cs="Arial"/>
                <w:b/>
                <w:bCs/>
              </w:rPr>
              <w:t>28</w:t>
            </w:r>
            <w:r>
              <w:rPr>
                <w:rFonts w:eastAsia="Times New Roman" w:cs="Arial"/>
                <w:b/>
                <w:bCs/>
              </w:rPr>
              <w:t>,</w:t>
            </w:r>
            <w:r w:rsidRPr="00971AD8">
              <w:rPr>
                <w:rFonts w:eastAsia="Times New Roman" w:cs="Arial"/>
                <w:b/>
                <w:bCs/>
              </w:rPr>
              <w:t>281</w:t>
            </w:r>
            <w:r>
              <w:rPr>
                <w:rFonts w:eastAsia="Times New Roman" w:cs="Arial"/>
                <w:b/>
                <w:bCs/>
              </w:rPr>
              <w:t>,</w:t>
            </w:r>
            <w:r w:rsidRPr="00971AD8">
              <w:rPr>
                <w:rFonts w:eastAsia="Times New Roman" w:cs="Arial"/>
                <w:b/>
                <w:bCs/>
              </w:rPr>
              <w:t>595</w:t>
            </w:r>
          </w:p>
        </w:tc>
        <w:tc>
          <w:tcPr>
            <w:tcW w:w="148" w:type="pct"/>
            <w:tcBorders>
              <w:bottom w:val="single" w:sz="12" w:space="0" w:color="auto"/>
            </w:tcBorders>
            <w:vAlign w:val="bottom"/>
          </w:tcPr>
          <w:p w14:paraId="2F9ABC6C" w14:textId="77777777" w:rsidR="001F749C" w:rsidRPr="0034501D" w:rsidRDefault="001F749C" w:rsidP="001F749C">
            <w:pPr>
              <w:tabs>
                <w:tab w:val="right" w:pos="1202"/>
              </w:tabs>
              <w:spacing w:after="0" w:line="240" w:lineRule="auto"/>
              <w:jc w:val="right"/>
              <w:outlineLvl w:val="0"/>
              <w:rPr>
                <w:rFonts w:eastAsia="Times New Roman" w:cs="Arial"/>
                <w:b/>
                <w:bCs/>
              </w:rPr>
            </w:pPr>
          </w:p>
        </w:tc>
        <w:tc>
          <w:tcPr>
            <w:tcW w:w="785" w:type="pct"/>
            <w:tcBorders>
              <w:bottom w:val="single" w:sz="12" w:space="0" w:color="auto"/>
            </w:tcBorders>
            <w:vAlign w:val="bottom"/>
          </w:tcPr>
          <w:p w14:paraId="5E3B44AA" w14:textId="77777777" w:rsidR="001F749C" w:rsidRPr="00CA37C8" w:rsidRDefault="001F749C" w:rsidP="001F749C">
            <w:pPr>
              <w:tabs>
                <w:tab w:val="right" w:pos="1202"/>
              </w:tabs>
              <w:spacing w:after="0" w:line="240" w:lineRule="auto"/>
              <w:jc w:val="right"/>
              <w:outlineLvl w:val="0"/>
              <w:rPr>
                <w:rFonts w:eastAsia="Times New Roman" w:cs="Arial"/>
                <w:b/>
                <w:bCs/>
              </w:rPr>
            </w:pPr>
            <w:r w:rsidRPr="00A1037D">
              <w:rPr>
                <w:rFonts w:eastAsia="Times New Roman" w:cs="Arial"/>
                <w:b/>
                <w:bCs/>
              </w:rPr>
              <w:t>27</w:t>
            </w:r>
            <w:r>
              <w:rPr>
                <w:rFonts w:eastAsia="Times New Roman" w:cs="Arial"/>
                <w:b/>
                <w:bCs/>
              </w:rPr>
              <w:t>,</w:t>
            </w:r>
            <w:r w:rsidRPr="00A1037D">
              <w:rPr>
                <w:rFonts w:eastAsia="Times New Roman" w:cs="Arial"/>
                <w:b/>
                <w:bCs/>
              </w:rPr>
              <w:t>374</w:t>
            </w:r>
            <w:r>
              <w:rPr>
                <w:rFonts w:eastAsia="Times New Roman" w:cs="Arial"/>
                <w:b/>
                <w:bCs/>
              </w:rPr>
              <w:t>,</w:t>
            </w:r>
            <w:r w:rsidRPr="00A1037D">
              <w:rPr>
                <w:rFonts w:eastAsia="Times New Roman" w:cs="Arial"/>
                <w:b/>
                <w:bCs/>
              </w:rPr>
              <w:t>916</w:t>
            </w:r>
          </w:p>
        </w:tc>
      </w:tr>
      <w:tr w:rsidR="00530772" w:rsidRPr="0034501D" w14:paraId="11B63477" w14:textId="77777777" w:rsidTr="00FC1A9C">
        <w:trPr>
          <w:trHeight w:hRule="exact" w:val="113"/>
        </w:trPr>
        <w:tc>
          <w:tcPr>
            <w:tcW w:w="2656" w:type="pct"/>
            <w:vAlign w:val="bottom"/>
          </w:tcPr>
          <w:p w14:paraId="2451B0E8" w14:textId="77777777" w:rsidR="00530772" w:rsidRPr="0034501D" w:rsidRDefault="00530772" w:rsidP="00530772">
            <w:pPr>
              <w:tabs>
                <w:tab w:val="right" w:pos="1202"/>
              </w:tabs>
              <w:spacing w:after="0" w:line="240" w:lineRule="auto"/>
              <w:outlineLvl w:val="0"/>
              <w:rPr>
                <w:rFonts w:eastAsia="Times New Roman" w:cs="Arial"/>
                <w:b/>
                <w:bCs/>
              </w:rPr>
            </w:pPr>
          </w:p>
        </w:tc>
        <w:tc>
          <w:tcPr>
            <w:tcW w:w="595" w:type="pct"/>
            <w:vAlign w:val="center"/>
          </w:tcPr>
          <w:p w14:paraId="6CFC8B92" w14:textId="77777777" w:rsidR="00530772" w:rsidRPr="0034501D" w:rsidRDefault="00530772" w:rsidP="00530772">
            <w:pPr>
              <w:tabs>
                <w:tab w:val="right" w:pos="1202"/>
              </w:tabs>
              <w:spacing w:after="0" w:line="240" w:lineRule="auto"/>
              <w:jc w:val="center"/>
              <w:outlineLvl w:val="0"/>
              <w:rPr>
                <w:rFonts w:eastAsia="Times New Roman" w:cs="Arial"/>
                <w:b/>
                <w:bCs/>
              </w:rPr>
            </w:pPr>
          </w:p>
        </w:tc>
        <w:tc>
          <w:tcPr>
            <w:tcW w:w="816" w:type="pct"/>
            <w:tcBorders>
              <w:top w:val="single" w:sz="12" w:space="0" w:color="auto"/>
            </w:tcBorders>
            <w:vAlign w:val="bottom"/>
          </w:tcPr>
          <w:p w14:paraId="2F835155" w14:textId="77777777" w:rsidR="00530772" w:rsidRPr="0034501D" w:rsidRDefault="00530772" w:rsidP="00530772">
            <w:pPr>
              <w:tabs>
                <w:tab w:val="right" w:pos="1202"/>
              </w:tabs>
              <w:spacing w:after="0" w:line="240" w:lineRule="auto"/>
              <w:jc w:val="right"/>
              <w:outlineLvl w:val="0"/>
              <w:rPr>
                <w:rFonts w:eastAsia="Times New Roman" w:cs="Arial"/>
                <w:b/>
                <w:bCs/>
              </w:rPr>
            </w:pPr>
          </w:p>
        </w:tc>
        <w:tc>
          <w:tcPr>
            <w:tcW w:w="148" w:type="pct"/>
            <w:tcBorders>
              <w:top w:val="single" w:sz="12" w:space="0" w:color="auto"/>
            </w:tcBorders>
            <w:vAlign w:val="bottom"/>
          </w:tcPr>
          <w:p w14:paraId="5BD3F5EE" w14:textId="77777777" w:rsidR="00530772" w:rsidRPr="0034501D" w:rsidRDefault="00530772" w:rsidP="00530772">
            <w:pPr>
              <w:tabs>
                <w:tab w:val="right" w:pos="1202"/>
              </w:tabs>
              <w:spacing w:after="0" w:line="240" w:lineRule="auto"/>
              <w:jc w:val="right"/>
              <w:outlineLvl w:val="0"/>
              <w:rPr>
                <w:rFonts w:eastAsia="Times New Roman" w:cs="Arial"/>
                <w:b/>
                <w:bCs/>
              </w:rPr>
            </w:pPr>
          </w:p>
        </w:tc>
        <w:tc>
          <w:tcPr>
            <w:tcW w:w="785" w:type="pct"/>
            <w:tcBorders>
              <w:top w:val="single" w:sz="12" w:space="0" w:color="auto"/>
            </w:tcBorders>
            <w:vAlign w:val="bottom"/>
          </w:tcPr>
          <w:p w14:paraId="6D8E934F" w14:textId="77777777" w:rsidR="00530772" w:rsidRPr="0034501D" w:rsidRDefault="00530772" w:rsidP="00530772">
            <w:pPr>
              <w:tabs>
                <w:tab w:val="right" w:pos="1202"/>
              </w:tabs>
              <w:spacing w:after="0" w:line="240" w:lineRule="auto"/>
              <w:jc w:val="right"/>
              <w:outlineLvl w:val="0"/>
              <w:rPr>
                <w:rFonts w:eastAsia="Times New Roman" w:cs="Arial"/>
                <w:b/>
                <w:bCs/>
              </w:rPr>
            </w:pPr>
          </w:p>
        </w:tc>
      </w:tr>
    </w:tbl>
    <w:p w14:paraId="160768F6" w14:textId="77777777" w:rsidR="00D97C38" w:rsidRPr="0034501D" w:rsidRDefault="00D97C38" w:rsidP="00C4266C">
      <w:pPr>
        <w:spacing w:after="0" w:line="240" w:lineRule="auto"/>
        <w:rPr>
          <w:sz w:val="24"/>
          <w:szCs w:val="24"/>
        </w:rPr>
      </w:pPr>
    </w:p>
    <w:p w14:paraId="355273E5" w14:textId="77777777" w:rsidR="00F342AA" w:rsidRDefault="00F342AA" w:rsidP="008C22C0">
      <w:pPr>
        <w:spacing w:after="0" w:line="240" w:lineRule="auto"/>
        <w:rPr>
          <w:sz w:val="24"/>
          <w:szCs w:val="24"/>
        </w:rPr>
      </w:pPr>
    </w:p>
    <w:p w14:paraId="3734D974" w14:textId="77777777" w:rsidR="00421D05" w:rsidRPr="0034501D" w:rsidRDefault="00421D05" w:rsidP="008C22C0">
      <w:pPr>
        <w:spacing w:after="0" w:line="240" w:lineRule="auto"/>
        <w:rPr>
          <w:sz w:val="24"/>
          <w:szCs w:val="24"/>
        </w:rPr>
      </w:pPr>
    </w:p>
    <w:p w14:paraId="01871900" w14:textId="77777777" w:rsidR="008C22C0" w:rsidRPr="0034501D" w:rsidRDefault="00D658D4" w:rsidP="00166751">
      <w:pPr>
        <w:spacing w:after="0" w:line="240" w:lineRule="auto"/>
        <w:jc w:val="both"/>
        <w:rPr>
          <w:rFonts w:eastAsia="Times New Roman" w:cs="Arial"/>
        </w:rPr>
      </w:pPr>
      <w:r w:rsidRPr="00D658D4">
        <w:rPr>
          <w:rFonts w:asciiTheme="minorHAnsi" w:eastAsia="Times New Roman" w:hAnsiTheme="minorHAnsi" w:cs="Arial"/>
        </w:rPr>
        <w:t>The accompanying selected notes are an integral part of th</w:t>
      </w:r>
      <w:r w:rsidR="00530772">
        <w:rPr>
          <w:rFonts w:asciiTheme="minorHAnsi" w:eastAsia="Times New Roman" w:hAnsiTheme="minorHAnsi" w:cs="Arial"/>
        </w:rPr>
        <w:t>i</w:t>
      </w:r>
      <w:r w:rsidR="00E1249B">
        <w:rPr>
          <w:rFonts w:asciiTheme="minorHAnsi" w:eastAsia="Times New Roman" w:hAnsiTheme="minorHAnsi" w:cs="Arial"/>
        </w:rPr>
        <w:t>s</w:t>
      </w:r>
      <w:r w:rsidR="00530772">
        <w:rPr>
          <w:rFonts w:asciiTheme="minorHAnsi" w:eastAsia="Times New Roman" w:hAnsiTheme="minorHAnsi" w:cs="Arial"/>
        </w:rPr>
        <w:t xml:space="preserve"> Statement of Financial Position</w:t>
      </w:r>
      <w:r w:rsidRPr="00D658D4">
        <w:rPr>
          <w:rFonts w:asciiTheme="minorHAnsi" w:eastAsia="Times New Roman" w:hAnsiTheme="minorHAnsi" w:cs="Arial"/>
        </w:rPr>
        <w:t>.</w:t>
      </w:r>
    </w:p>
    <w:p w14:paraId="36D6D105" w14:textId="77777777" w:rsidR="008C22C0" w:rsidRDefault="008C22C0" w:rsidP="008C22C0">
      <w:pPr>
        <w:spacing w:after="0" w:line="240" w:lineRule="auto"/>
        <w:rPr>
          <w:rFonts w:eastAsia="Times New Roman" w:cs="Arial"/>
        </w:rPr>
      </w:pPr>
    </w:p>
    <w:p w14:paraId="6A1D733F" w14:textId="77777777" w:rsidR="00D32D50" w:rsidRPr="0034501D" w:rsidRDefault="00D32D50" w:rsidP="008C22C0">
      <w:pPr>
        <w:spacing w:after="0" w:line="240" w:lineRule="auto"/>
        <w:rPr>
          <w:rFonts w:eastAsia="Times New Roman" w:cs="Arial"/>
        </w:rPr>
      </w:pPr>
    </w:p>
    <w:p w14:paraId="06DB39AB" w14:textId="77777777" w:rsidR="008C22C0" w:rsidRPr="0034501D" w:rsidRDefault="008C22C0" w:rsidP="008C22C0">
      <w:pPr>
        <w:spacing w:after="0" w:line="240" w:lineRule="auto"/>
        <w:rPr>
          <w:rFonts w:eastAsia="Times New Roman"/>
          <w:sz w:val="19"/>
          <w:szCs w:val="19"/>
          <w:highlight w:val="yellow"/>
        </w:rPr>
      </w:pPr>
      <w:r w:rsidRPr="0034501D">
        <w:rPr>
          <w:rFonts w:eastAsia="Times New Roman" w:cs="Arial"/>
        </w:rPr>
        <w:tab/>
      </w:r>
    </w:p>
    <w:p w14:paraId="233FF950" w14:textId="77777777" w:rsidR="00F342AA" w:rsidRPr="0034501D" w:rsidRDefault="00F342AA" w:rsidP="00C4266C">
      <w:pPr>
        <w:spacing w:after="0" w:line="240" w:lineRule="auto"/>
        <w:rPr>
          <w:sz w:val="24"/>
          <w:szCs w:val="24"/>
        </w:rPr>
        <w:sectPr w:rsidR="00F342AA" w:rsidRPr="0034501D" w:rsidSect="00947CB7">
          <w:headerReference w:type="first" r:id="rId31"/>
          <w:footerReference w:type="first" r:id="rId32"/>
          <w:pgSz w:w="11906" w:h="16838" w:code="9"/>
          <w:pgMar w:top="1377" w:right="1133" w:bottom="1417" w:left="1417" w:header="709" w:footer="709" w:gutter="0"/>
          <w:cols w:space="708"/>
          <w:titlePg/>
          <w:docGrid w:linePitch="360"/>
        </w:sectPr>
      </w:pPr>
    </w:p>
    <w:p w14:paraId="684C41A2" w14:textId="77777777" w:rsidR="00637F7F" w:rsidRPr="0034501D" w:rsidRDefault="00637F7F" w:rsidP="002445F5">
      <w:pPr>
        <w:spacing w:after="0" w:line="240" w:lineRule="auto"/>
        <w:rPr>
          <w:sz w:val="24"/>
          <w:szCs w:val="24"/>
        </w:rPr>
      </w:pPr>
    </w:p>
    <w:tbl>
      <w:tblPr>
        <w:tblpPr w:leftFromText="180" w:rightFromText="180" w:vertAnchor="page" w:horzAnchor="margin" w:tblpX="-23" w:tblpY="2439"/>
        <w:tblW w:w="5000" w:type="pct"/>
        <w:tblLayout w:type="fixed"/>
        <w:tblCellMar>
          <w:left w:w="119" w:type="dxa"/>
          <w:right w:w="119" w:type="dxa"/>
        </w:tblCellMar>
        <w:tblLook w:val="0000" w:firstRow="0" w:lastRow="0" w:firstColumn="0" w:lastColumn="0" w:noHBand="0" w:noVBand="0"/>
      </w:tblPr>
      <w:tblGrid>
        <w:gridCol w:w="7086"/>
        <w:gridCol w:w="1136"/>
        <w:gridCol w:w="1134"/>
      </w:tblGrid>
      <w:tr w:rsidR="00D84672" w:rsidRPr="00DB4DE9" w14:paraId="0574F5BD" w14:textId="77777777" w:rsidTr="00166751">
        <w:trPr>
          <w:trHeight w:val="173"/>
        </w:trPr>
        <w:tc>
          <w:tcPr>
            <w:tcW w:w="3787" w:type="pct"/>
            <w:tcBorders>
              <w:top w:val="single" w:sz="4" w:space="0" w:color="auto"/>
              <w:bottom w:val="single" w:sz="4" w:space="0" w:color="auto"/>
            </w:tcBorders>
            <w:vAlign w:val="bottom"/>
          </w:tcPr>
          <w:p w14:paraId="507EE04F" w14:textId="77777777" w:rsidR="00D84672" w:rsidRPr="00DB4DE9" w:rsidRDefault="00D84672" w:rsidP="00D84672">
            <w:pPr>
              <w:keepLines/>
              <w:tabs>
                <w:tab w:val="right" w:pos="1202"/>
              </w:tabs>
              <w:spacing w:after="0" w:line="240" w:lineRule="exact"/>
              <w:jc w:val="center"/>
              <w:outlineLvl w:val="0"/>
              <w:rPr>
                <w:rFonts w:eastAsia="Times New Roman" w:cs="Arial"/>
                <w:b/>
                <w:sz w:val="19"/>
                <w:szCs w:val="19"/>
              </w:rPr>
            </w:pPr>
            <w:r>
              <w:rPr>
                <w:rFonts w:eastAsia="Times New Roman" w:cs="Arial"/>
                <w:b/>
                <w:sz w:val="19"/>
                <w:szCs w:val="19"/>
              </w:rPr>
              <w:t xml:space="preserve">                                                                                                                                Note</w:t>
            </w:r>
          </w:p>
        </w:tc>
        <w:tc>
          <w:tcPr>
            <w:tcW w:w="607" w:type="pct"/>
            <w:tcBorders>
              <w:top w:val="single" w:sz="4" w:space="0" w:color="auto"/>
              <w:bottom w:val="single" w:sz="4" w:space="0" w:color="auto"/>
            </w:tcBorders>
            <w:vAlign w:val="center"/>
          </w:tcPr>
          <w:p w14:paraId="2E70053A" w14:textId="77777777" w:rsidR="00D84672" w:rsidRPr="00DB4DE9" w:rsidRDefault="00D84672" w:rsidP="00D84672">
            <w:pPr>
              <w:spacing w:after="0" w:line="280" w:lineRule="exact"/>
              <w:jc w:val="right"/>
              <w:outlineLvl w:val="0"/>
              <w:rPr>
                <w:rFonts w:eastAsia="Times New Roman" w:cs="Arial"/>
                <w:b/>
                <w:bCs/>
                <w:sz w:val="19"/>
                <w:szCs w:val="19"/>
              </w:rPr>
            </w:pPr>
            <w:r w:rsidRPr="00DB4DE9">
              <w:rPr>
                <w:rFonts w:eastAsia="Times New Roman" w:cs="Arial"/>
                <w:b/>
                <w:bCs/>
                <w:sz w:val="19"/>
                <w:szCs w:val="19"/>
              </w:rPr>
              <w:t>201</w:t>
            </w:r>
            <w:r>
              <w:rPr>
                <w:rFonts w:eastAsia="Times New Roman" w:cs="Arial"/>
                <w:b/>
                <w:bCs/>
                <w:sz w:val="19"/>
                <w:szCs w:val="19"/>
              </w:rPr>
              <w:t>7</w:t>
            </w:r>
          </w:p>
        </w:tc>
        <w:tc>
          <w:tcPr>
            <w:tcW w:w="606" w:type="pct"/>
            <w:tcBorders>
              <w:top w:val="single" w:sz="4" w:space="0" w:color="auto"/>
              <w:bottom w:val="single" w:sz="4" w:space="0" w:color="auto"/>
            </w:tcBorders>
            <w:vAlign w:val="center"/>
          </w:tcPr>
          <w:p w14:paraId="1A854356" w14:textId="77777777" w:rsidR="00D84672" w:rsidRPr="00DB4DE9" w:rsidRDefault="00D84672" w:rsidP="00D84672">
            <w:pPr>
              <w:spacing w:after="0" w:line="280" w:lineRule="exact"/>
              <w:jc w:val="right"/>
              <w:outlineLvl w:val="0"/>
              <w:rPr>
                <w:rFonts w:eastAsia="Times New Roman" w:cs="Arial"/>
                <w:b/>
                <w:bCs/>
                <w:sz w:val="19"/>
                <w:szCs w:val="19"/>
              </w:rPr>
            </w:pPr>
            <w:r w:rsidRPr="00DB4DE9">
              <w:rPr>
                <w:rFonts w:eastAsia="Times New Roman" w:cs="Arial"/>
                <w:b/>
                <w:bCs/>
                <w:sz w:val="19"/>
                <w:szCs w:val="19"/>
              </w:rPr>
              <w:t>201</w:t>
            </w:r>
            <w:r>
              <w:rPr>
                <w:rFonts w:eastAsia="Times New Roman" w:cs="Arial"/>
                <w:b/>
                <w:bCs/>
                <w:sz w:val="19"/>
                <w:szCs w:val="19"/>
              </w:rPr>
              <w:t>6</w:t>
            </w:r>
          </w:p>
        </w:tc>
      </w:tr>
      <w:tr w:rsidR="00D84672" w:rsidRPr="00DB4DE9" w14:paraId="38A96E7A" w14:textId="77777777" w:rsidTr="00166751">
        <w:tc>
          <w:tcPr>
            <w:tcW w:w="3787" w:type="pct"/>
            <w:tcBorders>
              <w:top w:val="single" w:sz="4" w:space="0" w:color="auto"/>
            </w:tcBorders>
          </w:tcPr>
          <w:p w14:paraId="73040FAD" w14:textId="77777777" w:rsidR="00D84672" w:rsidRPr="00DB4DE9" w:rsidRDefault="00D84672" w:rsidP="00D84672">
            <w:pPr>
              <w:keepLines/>
              <w:tabs>
                <w:tab w:val="right" w:pos="1202"/>
              </w:tabs>
              <w:spacing w:after="0" w:line="240" w:lineRule="exact"/>
              <w:outlineLvl w:val="0"/>
              <w:rPr>
                <w:rFonts w:eastAsia="Times New Roman" w:cs="Arial"/>
                <w:b/>
                <w:bCs/>
                <w:spacing w:val="-3"/>
                <w:sz w:val="19"/>
                <w:szCs w:val="19"/>
              </w:rPr>
            </w:pPr>
            <w:r w:rsidRPr="00DB4DE9">
              <w:rPr>
                <w:rFonts w:cs="Arial"/>
                <w:b/>
                <w:bCs/>
                <w:sz w:val="19"/>
                <w:szCs w:val="19"/>
              </w:rPr>
              <w:t>Operating activities</w:t>
            </w:r>
          </w:p>
        </w:tc>
        <w:tc>
          <w:tcPr>
            <w:tcW w:w="607" w:type="pct"/>
            <w:tcBorders>
              <w:top w:val="single" w:sz="4" w:space="0" w:color="auto"/>
            </w:tcBorders>
          </w:tcPr>
          <w:p w14:paraId="7DDA4CA4" w14:textId="77777777" w:rsidR="00D84672" w:rsidRPr="00DB4DE9" w:rsidRDefault="00D84672" w:rsidP="00D84672">
            <w:pPr>
              <w:keepLines/>
              <w:tabs>
                <w:tab w:val="right" w:pos="1202"/>
              </w:tabs>
              <w:spacing w:after="0" w:line="240" w:lineRule="exact"/>
              <w:jc w:val="right"/>
              <w:outlineLvl w:val="0"/>
              <w:rPr>
                <w:rFonts w:eastAsia="Times New Roman" w:cs="Arial"/>
                <w:sz w:val="19"/>
                <w:szCs w:val="19"/>
              </w:rPr>
            </w:pPr>
          </w:p>
        </w:tc>
        <w:tc>
          <w:tcPr>
            <w:tcW w:w="606" w:type="pct"/>
            <w:tcBorders>
              <w:top w:val="single" w:sz="4" w:space="0" w:color="auto"/>
            </w:tcBorders>
          </w:tcPr>
          <w:p w14:paraId="3ABB25E4" w14:textId="77777777" w:rsidR="00D84672" w:rsidRPr="00DB4DE9" w:rsidRDefault="00D84672" w:rsidP="00D84672">
            <w:pPr>
              <w:keepLines/>
              <w:tabs>
                <w:tab w:val="right" w:pos="1202"/>
              </w:tabs>
              <w:spacing w:after="0" w:line="240" w:lineRule="exact"/>
              <w:jc w:val="right"/>
              <w:outlineLvl w:val="0"/>
              <w:rPr>
                <w:rFonts w:eastAsia="Times New Roman" w:cs="Arial"/>
                <w:sz w:val="19"/>
                <w:szCs w:val="19"/>
              </w:rPr>
            </w:pPr>
          </w:p>
        </w:tc>
      </w:tr>
      <w:tr w:rsidR="009566ED" w:rsidRPr="00DB4DE9" w14:paraId="279468E2" w14:textId="77777777" w:rsidTr="006B318F">
        <w:tc>
          <w:tcPr>
            <w:tcW w:w="3787" w:type="pct"/>
          </w:tcPr>
          <w:p w14:paraId="56FFFF35" w14:textId="77777777" w:rsidR="009566ED" w:rsidRPr="00DB4DE9" w:rsidRDefault="009566ED" w:rsidP="009566ED">
            <w:pPr>
              <w:keepLines/>
              <w:tabs>
                <w:tab w:val="right" w:pos="1202"/>
              </w:tabs>
              <w:spacing w:after="0" w:line="240" w:lineRule="exact"/>
              <w:outlineLvl w:val="0"/>
              <w:rPr>
                <w:rFonts w:eastAsia="Times New Roman" w:cs="Arial"/>
                <w:spacing w:val="-3"/>
                <w:sz w:val="19"/>
                <w:szCs w:val="19"/>
              </w:rPr>
            </w:pPr>
            <w:r w:rsidRPr="00DB4DE9">
              <w:rPr>
                <w:rFonts w:cs="Arial"/>
                <w:sz w:val="19"/>
                <w:szCs w:val="19"/>
              </w:rPr>
              <w:t>Profit before income tax</w:t>
            </w:r>
          </w:p>
        </w:tc>
        <w:tc>
          <w:tcPr>
            <w:tcW w:w="607" w:type="pct"/>
            <w:shd w:val="clear" w:color="auto" w:fill="FFFFFF" w:themeFill="background1"/>
            <w:vAlign w:val="bottom"/>
          </w:tcPr>
          <w:p w14:paraId="35EE79A2" w14:textId="631C4EFD" w:rsidR="009566ED" w:rsidRPr="00DB4DE9" w:rsidRDefault="008C4745" w:rsidP="009566ED">
            <w:pPr>
              <w:keepLines/>
              <w:tabs>
                <w:tab w:val="right" w:pos="1202"/>
              </w:tabs>
              <w:spacing w:after="0" w:line="240" w:lineRule="exact"/>
              <w:jc w:val="right"/>
              <w:outlineLvl w:val="0"/>
              <w:rPr>
                <w:rFonts w:eastAsia="Times New Roman" w:cs="Arial"/>
                <w:sz w:val="19"/>
                <w:szCs w:val="19"/>
              </w:rPr>
            </w:pPr>
            <w:r w:rsidRPr="008C4745">
              <w:rPr>
                <w:rFonts w:eastAsia="Times New Roman" w:cs="Arial"/>
                <w:sz w:val="19"/>
                <w:szCs w:val="19"/>
              </w:rPr>
              <w:t>175,511</w:t>
            </w:r>
          </w:p>
        </w:tc>
        <w:tc>
          <w:tcPr>
            <w:tcW w:w="606" w:type="pct"/>
            <w:shd w:val="clear" w:color="auto" w:fill="auto"/>
            <w:vAlign w:val="bottom"/>
          </w:tcPr>
          <w:p w14:paraId="18BD0C7A" w14:textId="145C68A3" w:rsidR="009566ED" w:rsidRPr="001E7720" w:rsidRDefault="00F03036" w:rsidP="009566ED">
            <w:pPr>
              <w:keepLines/>
              <w:tabs>
                <w:tab w:val="right" w:pos="1202"/>
              </w:tabs>
              <w:spacing w:after="0" w:line="240" w:lineRule="exact"/>
              <w:jc w:val="right"/>
              <w:outlineLvl w:val="0"/>
              <w:rPr>
                <w:rFonts w:eastAsia="Times New Roman" w:cs="Arial"/>
                <w:sz w:val="19"/>
                <w:szCs w:val="19"/>
              </w:rPr>
            </w:pPr>
            <w:r w:rsidRPr="00F03036">
              <w:rPr>
                <w:rFonts w:eastAsia="Times New Roman" w:cs="Arial"/>
                <w:sz w:val="19"/>
                <w:szCs w:val="19"/>
              </w:rPr>
              <w:t>158,921</w:t>
            </w:r>
          </w:p>
        </w:tc>
      </w:tr>
      <w:tr w:rsidR="009566ED" w:rsidRPr="00DB4DE9" w14:paraId="0682E061" w14:textId="77777777" w:rsidTr="006B318F">
        <w:tc>
          <w:tcPr>
            <w:tcW w:w="3787" w:type="pct"/>
          </w:tcPr>
          <w:p w14:paraId="0388614D" w14:textId="77777777" w:rsidR="009566ED" w:rsidRPr="00DB4DE9" w:rsidRDefault="009566ED" w:rsidP="009566ED">
            <w:pPr>
              <w:keepLines/>
              <w:tabs>
                <w:tab w:val="right" w:pos="1202"/>
              </w:tabs>
              <w:spacing w:after="0" w:line="240" w:lineRule="exact"/>
              <w:outlineLvl w:val="0"/>
              <w:rPr>
                <w:rFonts w:eastAsia="Times New Roman" w:cs="Arial"/>
                <w:i/>
                <w:sz w:val="19"/>
                <w:szCs w:val="19"/>
              </w:rPr>
            </w:pPr>
            <w:r w:rsidRPr="00DB4DE9">
              <w:rPr>
                <w:rFonts w:cs="Arial"/>
                <w:i/>
                <w:sz w:val="19"/>
                <w:szCs w:val="19"/>
              </w:rPr>
              <w:t>Adjustments to reconcile to net cash from and used in operating activities:</w:t>
            </w:r>
          </w:p>
        </w:tc>
        <w:tc>
          <w:tcPr>
            <w:tcW w:w="607" w:type="pct"/>
            <w:shd w:val="clear" w:color="auto" w:fill="FFFFFF" w:themeFill="background1"/>
            <w:vAlign w:val="bottom"/>
          </w:tcPr>
          <w:p w14:paraId="2209671E" w14:textId="77777777" w:rsidR="009566ED" w:rsidRPr="00DB4DE9" w:rsidRDefault="009566ED" w:rsidP="009566ED">
            <w:pPr>
              <w:keepLines/>
              <w:tabs>
                <w:tab w:val="right" w:pos="1202"/>
              </w:tabs>
              <w:spacing w:after="0" w:line="240" w:lineRule="exact"/>
              <w:jc w:val="right"/>
              <w:outlineLvl w:val="0"/>
              <w:rPr>
                <w:rFonts w:eastAsia="Times New Roman" w:cs="Arial"/>
                <w:i/>
                <w:sz w:val="19"/>
                <w:szCs w:val="19"/>
              </w:rPr>
            </w:pPr>
          </w:p>
        </w:tc>
        <w:tc>
          <w:tcPr>
            <w:tcW w:w="606" w:type="pct"/>
            <w:shd w:val="clear" w:color="auto" w:fill="auto"/>
            <w:vAlign w:val="bottom"/>
          </w:tcPr>
          <w:p w14:paraId="5DC5C0D0" w14:textId="77777777" w:rsidR="009566ED" w:rsidRPr="001E7720" w:rsidRDefault="009566ED" w:rsidP="009566ED">
            <w:pPr>
              <w:keepLines/>
              <w:tabs>
                <w:tab w:val="right" w:pos="1202"/>
              </w:tabs>
              <w:spacing w:after="0" w:line="240" w:lineRule="exact"/>
              <w:jc w:val="right"/>
              <w:outlineLvl w:val="0"/>
              <w:rPr>
                <w:rFonts w:eastAsia="Times New Roman" w:cs="Arial"/>
                <w:i/>
                <w:sz w:val="19"/>
                <w:szCs w:val="19"/>
              </w:rPr>
            </w:pPr>
          </w:p>
        </w:tc>
      </w:tr>
      <w:tr w:rsidR="008C4745" w:rsidRPr="00DB4DE9" w14:paraId="6912C5A0" w14:textId="77777777" w:rsidTr="006B318F">
        <w:tc>
          <w:tcPr>
            <w:tcW w:w="3787" w:type="pct"/>
          </w:tcPr>
          <w:p w14:paraId="65E6A388" w14:textId="77777777" w:rsidR="008C4745" w:rsidRPr="00DB4DE9" w:rsidRDefault="008C4745" w:rsidP="008C4745">
            <w:pPr>
              <w:keepLines/>
              <w:tabs>
                <w:tab w:val="right" w:pos="1202"/>
              </w:tabs>
              <w:spacing w:after="0" w:line="240" w:lineRule="exact"/>
              <w:outlineLvl w:val="0"/>
              <w:rPr>
                <w:rFonts w:eastAsia="Times New Roman" w:cs="Arial"/>
                <w:spacing w:val="-3"/>
                <w:sz w:val="19"/>
                <w:szCs w:val="19"/>
              </w:rPr>
            </w:pPr>
            <w:r w:rsidRPr="00DB4DE9">
              <w:rPr>
                <w:rFonts w:cs="Arial"/>
                <w:sz w:val="19"/>
                <w:szCs w:val="19"/>
              </w:rPr>
              <w:t>Depreciation</w:t>
            </w:r>
          </w:p>
        </w:tc>
        <w:tc>
          <w:tcPr>
            <w:tcW w:w="607" w:type="pct"/>
            <w:shd w:val="clear" w:color="auto" w:fill="FFFFFF" w:themeFill="background1"/>
            <w:vAlign w:val="bottom"/>
          </w:tcPr>
          <w:p w14:paraId="5C1C7E62" w14:textId="3826F056" w:rsidR="008C4745" w:rsidRPr="00DB4DE9" w:rsidRDefault="008C4745" w:rsidP="008C4745">
            <w:pPr>
              <w:keepLines/>
              <w:tabs>
                <w:tab w:val="right" w:pos="1202"/>
              </w:tabs>
              <w:spacing w:after="0" w:line="240" w:lineRule="exact"/>
              <w:jc w:val="right"/>
              <w:outlineLvl w:val="0"/>
              <w:rPr>
                <w:rFonts w:eastAsia="Times New Roman" w:cs="Arial"/>
                <w:sz w:val="19"/>
                <w:szCs w:val="19"/>
              </w:rPr>
            </w:pPr>
            <w:r w:rsidRPr="006B318F">
              <w:rPr>
                <w:rFonts w:eastAsia="Times New Roman" w:cs="Arial"/>
                <w:sz w:val="19"/>
                <w:szCs w:val="19"/>
              </w:rPr>
              <w:t>5</w:t>
            </w:r>
            <w:r w:rsidRPr="008D6EFE">
              <w:rPr>
                <w:rFonts w:eastAsia="Times New Roman" w:cs="Arial"/>
                <w:sz w:val="19"/>
                <w:szCs w:val="19"/>
              </w:rPr>
              <w:t>,</w:t>
            </w:r>
            <w:r w:rsidRPr="006B318F">
              <w:rPr>
                <w:rFonts w:eastAsia="Times New Roman" w:cs="Arial"/>
                <w:sz w:val="19"/>
                <w:szCs w:val="19"/>
              </w:rPr>
              <w:t>697</w:t>
            </w:r>
          </w:p>
        </w:tc>
        <w:tc>
          <w:tcPr>
            <w:tcW w:w="606" w:type="pct"/>
            <w:shd w:val="clear" w:color="auto" w:fill="auto"/>
          </w:tcPr>
          <w:p w14:paraId="4C29579B" w14:textId="48DED2C8" w:rsidR="008C4745" w:rsidRPr="001E7720" w:rsidRDefault="008C4745" w:rsidP="008C4745">
            <w:pPr>
              <w:keepLines/>
              <w:tabs>
                <w:tab w:val="right" w:pos="1202"/>
              </w:tabs>
              <w:spacing w:after="0" w:line="240" w:lineRule="exact"/>
              <w:jc w:val="right"/>
              <w:outlineLvl w:val="0"/>
              <w:rPr>
                <w:rFonts w:eastAsia="Times New Roman" w:cs="Arial"/>
                <w:sz w:val="19"/>
                <w:szCs w:val="19"/>
              </w:rPr>
            </w:pPr>
            <w:r w:rsidRPr="006B318F">
              <w:rPr>
                <w:rFonts w:eastAsia="Times New Roman" w:cs="Arial"/>
                <w:sz w:val="19"/>
                <w:szCs w:val="19"/>
              </w:rPr>
              <w:t>5,670</w:t>
            </w:r>
          </w:p>
        </w:tc>
      </w:tr>
      <w:tr w:rsidR="008C4745" w:rsidRPr="00DB4DE9" w14:paraId="3949F96C" w14:textId="77777777" w:rsidTr="006B318F">
        <w:tc>
          <w:tcPr>
            <w:tcW w:w="3787" w:type="pct"/>
          </w:tcPr>
          <w:p w14:paraId="10346FAF" w14:textId="77777777" w:rsidR="008C4745" w:rsidRPr="00DB4DE9" w:rsidRDefault="008C4745" w:rsidP="008C4745">
            <w:pPr>
              <w:tabs>
                <w:tab w:val="right" w:pos="1202"/>
              </w:tabs>
              <w:spacing w:after="0" w:line="240" w:lineRule="exact"/>
              <w:outlineLvl w:val="0"/>
              <w:rPr>
                <w:rFonts w:eastAsia="Times New Roman" w:cs="Arial"/>
                <w:bCs/>
                <w:spacing w:val="-2"/>
                <w:sz w:val="19"/>
                <w:szCs w:val="19"/>
              </w:rPr>
            </w:pPr>
            <w:r w:rsidRPr="00DB4DE9">
              <w:rPr>
                <w:rFonts w:cs="Arial"/>
                <w:sz w:val="19"/>
                <w:szCs w:val="19"/>
              </w:rPr>
              <w:t>Impairment loss and provisions</w:t>
            </w:r>
          </w:p>
        </w:tc>
        <w:tc>
          <w:tcPr>
            <w:tcW w:w="607" w:type="pct"/>
            <w:tcBorders>
              <w:top w:val="nil"/>
              <w:left w:val="nil"/>
              <w:bottom w:val="nil"/>
              <w:right w:val="nil"/>
            </w:tcBorders>
            <w:shd w:val="clear" w:color="000000" w:fill="auto"/>
            <w:vAlign w:val="bottom"/>
          </w:tcPr>
          <w:p w14:paraId="46AD36E9" w14:textId="27491DB2" w:rsidR="008C4745" w:rsidRPr="00DB4DE9" w:rsidRDefault="008C4745" w:rsidP="008C4745">
            <w:pPr>
              <w:keepLines/>
              <w:tabs>
                <w:tab w:val="right" w:pos="1202"/>
              </w:tabs>
              <w:spacing w:after="0" w:line="240" w:lineRule="exact"/>
              <w:jc w:val="right"/>
              <w:outlineLvl w:val="0"/>
              <w:rPr>
                <w:rFonts w:eastAsia="Times New Roman" w:cs="Arial"/>
                <w:sz w:val="19"/>
                <w:szCs w:val="19"/>
              </w:rPr>
            </w:pPr>
            <w:r w:rsidRPr="008D6EFE">
              <w:rPr>
                <w:rFonts w:eastAsia="Times New Roman" w:cs="Arial"/>
                <w:sz w:val="19"/>
                <w:szCs w:val="19"/>
              </w:rPr>
              <w:t>91,869</w:t>
            </w:r>
          </w:p>
        </w:tc>
        <w:tc>
          <w:tcPr>
            <w:tcW w:w="606" w:type="pct"/>
            <w:tcBorders>
              <w:top w:val="nil"/>
              <w:left w:val="nil"/>
              <w:bottom w:val="nil"/>
              <w:right w:val="nil"/>
            </w:tcBorders>
            <w:shd w:val="clear" w:color="000000" w:fill="auto"/>
          </w:tcPr>
          <w:p w14:paraId="7E20542B" w14:textId="3B0503BD" w:rsidR="008C4745" w:rsidRPr="001E7720" w:rsidRDefault="008C4745" w:rsidP="008C4745">
            <w:pPr>
              <w:keepLines/>
              <w:tabs>
                <w:tab w:val="right" w:pos="1202"/>
              </w:tabs>
              <w:spacing w:after="0" w:line="240" w:lineRule="exact"/>
              <w:jc w:val="right"/>
              <w:outlineLvl w:val="0"/>
              <w:rPr>
                <w:rFonts w:eastAsia="Times New Roman" w:cs="Arial"/>
                <w:sz w:val="19"/>
                <w:szCs w:val="19"/>
              </w:rPr>
            </w:pPr>
            <w:r w:rsidRPr="006B318F">
              <w:rPr>
                <w:rFonts w:eastAsia="Times New Roman" w:cs="Arial"/>
                <w:sz w:val="19"/>
                <w:szCs w:val="19"/>
              </w:rPr>
              <w:t>44,880</w:t>
            </w:r>
          </w:p>
        </w:tc>
      </w:tr>
      <w:tr w:rsidR="008C4745" w:rsidRPr="00DB4DE9" w14:paraId="54F296E0" w14:textId="77777777" w:rsidTr="006B318F">
        <w:tc>
          <w:tcPr>
            <w:tcW w:w="3787" w:type="pct"/>
            <w:vAlign w:val="bottom"/>
          </w:tcPr>
          <w:p w14:paraId="65F26B31" w14:textId="77777777" w:rsidR="008C4745" w:rsidRPr="00DB4DE9" w:rsidRDefault="008C4745" w:rsidP="008C4745">
            <w:pPr>
              <w:keepLines/>
              <w:tabs>
                <w:tab w:val="right" w:pos="1202"/>
              </w:tabs>
              <w:spacing w:after="0" w:line="240" w:lineRule="exact"/>
              <w:outlineLvl w:val="0"/>
              <w:rPr>
                <w:rFonts w:eastAsia="Times New Roman" w:cs="Arial"/>
                <w:iCs/>
                <w:sz w:val="19"/>
                <w:szCs w:val="19"/>
              </w:rPr>
            </w:pPr>
            <w:r w:rsidRPr="00DB4DE9">
              <w:rPr>
                <w:rFonts w:cs="Arial"/>
                <w:sz w:val="19"/>
                <w:szCs w:val="19"/>
              </w:rPr>
              <w:t>Accrued interest</w:t>
            </w:r>
          </w:p>
        </w:tc>
        <w:tc>
          <w:tcPr>
            <w:tcW w:w="607" w:type="pct"/>
            <w:tcBorders>
              <w:top w:val="nil"/>
              <w:left w:val="nil"/>
              <w:bottom w:val="nil"/>
              <w:right w:val="nil"/>
            </w:tcBorders>
            <w:shd w:val="clear" w:color="auto" w:fill="auto"/>
            <w:vAlign w:val="bottom"/>
          </w:tcPr>
          <w:p w14:paraId="2007112B" w14:textId="4A6D4DD7" w:rsidR="008C4745" w:rsidRPr="00612106" w:rsidRDefault="008C4745" w:rsidP="006B318F">
            <w:pPr>
              <w:keepLines/>
              <w:tabs>
                <w:tab w:val="right" w:pos="1202"/>
              </w:tabs>
              <w:spacing w:after="0" w:line="240" w:lineRule="exact"/>
              <w:jc w:val="right"/>
              <w:outlineLvl w:val="0"/>
              <w:rPr>
                <w:rFonts w:eastAsia="Times New Roman" w:cs="Arial"/>
                <w:sz w:val="19"/>
                <w:szCs w:val="19"/>
              </w:rPr>
            </w:pPr>
            <w:r w:rsidRPr="008D6EFE">
              <w:rPr>
                <w:rFonts w:eastAsia="Times New Roman" w:cs="Arial"/>
                <w:sz w:val="19"/>
                <w:szCs w:val="19"/>
              </w:rPr>
              <w:t xml:space="preserve"> (59,177)</w:t>
            </w:r>
          </w:p>
        </w:tc>
        <w:tc>
          <w:tcPr>
            <w:tcW w:w="606" w:type="pct"/>
            <w:tcBorders>
              <w:top w:val="nil"/>
              <w:left w:val="nil"/>
              <w:bottom w:val="nil"/>
              <w:right w:val="nil"/>
            </w:tcBorders>
            <w:shd w:val="clear" w:color="auto" w:fill="auto"/>
          </w:tcPr>
          <w:p w14:paraId="4A2A5458" w14:textId="5E500553" w:rsidR="008C4745" w:rsidRPr="00A63E7A" w:rsidRDefault="008C4745" w:rsidP="006B318F">
            <w:pPr>
              <w:keepLines/>
              <w:tabs>
                <w:tab w:val="right" w:pos="1202"/>
              </w:tabs>
              <w:spacing w:after="0" w:line="240" w:lineRule="exact"/>
              <w:jc w:val="right"/>
              <w:outlineLvl w:val="0"/>
              <w:rPr>
                <w:rFonts w:eastAsia="Times New Roman" w:cs="Arial"/>
                <w:sz w:val="19"/>
                <w:szCs w:val="19"/>
              </w:rPr>
            </w:pPr>
            <w:r w:rsidRPr="006B318F">
              <w:rPr>
                <w:rFonts w:eastAsia="Times New Roman" w:cs="Arial"/>
                <w:sz w:val="19"/>
                <w:szCs w:val="19"/>
              </w:rPr>
              <w:t>(54,871)</w:t>
            </w:r>
          </w:p>
        </w:tc>
      </w:tr>
      <w:tr w:rsidR="008C4745" w:rsidRPr="00DB4DE9" w14:paraId="3CD3E916" w14:textId="77777777" w:rsidTr="006B318F">
        <w:tc>
          <w:tcPr>
            <w:tcW w:w="3787" w:type="pct"/>
          </w:tcPr>
          <w:p w14:paraId="7992E038" w14:textId="77777777" w:rsidR="008C4745" w:rsidRPr="00DB4DE9" w:rsidRDefault="008C4745" w:rsidP="008C4745">
            <w:pPr>
              <w:keepLines/>
              <w:tabs>
                <w:tab w:val="right" w:pos="1202"/>
              </w:tabs>
              <w:spacing w:after="0" w:line="240" w:lineRule="exact"/>
              <w:outlineLvl w:val="0"/>
              <w:rPr>
                <w:rFonts w:eastAsia="Times New Roman" w:cs="Arial"/>
                <w:i/>
                <w:iCs/>
                <w:sz w:val="19"/>
                <w:szCs w:val="19"/>
              </w:rPr>
            </w:pPr>
            <w:r w:rsidRPr="00DB4DE9">
              <w:rPr>
                <w:rFonts w:cs="Arial"/>
                <w:sz w:val="19"/>
                <w:szCs w:val="19"/>
              </w:rPr>
              <w:t>Deferred fees</w:t>
            </w:r>
          </w:p>
        </w:tc>
        <w:tc>
          <w:tcPr>
            <w:tcW w:w="607" w:type="pct"/>
            <w:tcBorders>
              <w:top w:val="nil"/>
              <w:left w:val="nil"/>
              <w:bottom w:val="nil"/>
              <w:right w:val="nil"/>
            </w:tcBorders>
            <w:shd w:val="clear" w:color="auto" w:fill="auto"/>
            <w:vAlign w:val="bottom"/>
          </w:tcPr>
          <w:p w14:paraId="12B0C42D" w14:textId="3EE92149" w:rsidR="008C4745" w:rsidRPr="00DB4DE9" w:rsidRDefault="008C4745" w:rsidP="006B318F">
            <w:pPr>
              <w:keepLines/>
              <w:tabs>
                <w:tab w:val="right" w:pos="1202"/>
              </w:tabs>
              <w:spacing w:after="0" w:line="240" w:lineRule="exact"/>
              <w:jc w:val="right"/>
              <w:outlineLvl w:val="0"/>
              <w:rPr>
                <w:rFonts w:eastAsia="Times New Roman" w:cs="Arial"/>
                <w:sz w:val="19"/>
                <w:szCs w:val="19"/>
              </w:rPr>
            </w:pPr>
            <w:r w:rsidRPr="008D6EFE">
              <w:rPr>
                <w:rFonts w:eastAsia="Times New Roman" w:cs="Arial"/>
                <w:sz w:val="19"/>
                <w:szCs w:val="19"/>
              </w:rPr>
              <w:t xml:space="preserve"> (9,560)</w:t>
            </w:r>
          </w:p>
        </w:tc>
        <w:tc>
          <w:tcPr>
            <w:tcW w:w="606" w:type="pct"/>
            <w:tcBorders>
              <w:top w:val="nil"/>
              <w:left w:val="nil"/>
              <w:bottom w:val="nil"/>
              <w:right w:val="nil"/>
            </w:tcBorders>
            <w:shd w:val="clear" w:color="auto" w:fill="auto"/>
          </w:tcPr>
          <w:p w14:paraId="2262A154" w14:textId="10AEC916" w:rsidR="008C4745" w:rsidRPr="001E7720" w:rsidRDefault="008C4745" w:rsidP="006B318F">
            <w:pPr>
              <w:keepLines/>
              <w:tabs>
                <w:tab w:val="right" w:pos="1202"/>
              </w:tabs>
              <w:spacing w:after="0" w:line="240" w:lineRule="exact"/>
              <w:jc w:val="right"/>
              <w:outlineLvl w:val="0"/>
              <w:rPr>
                <w:rFonts w:eastAsia="Times New Roman" w:cs="Arial"/>
                <w:sz w:val="19"/>
                <w:szCs w:val="19"/>
              </w:rPr>
            </w:pPr>
            <w:r w:rsidRPr="006B318F">
              <w:rPr>
                <w:rFonts w:eastAsia="Times New Roman" w:cs="Arial"/>
                <w:sz w:val="19"/>
                <w:szCs w:val="19"/>
              </w:rPr>
              <w:t>4,145</w:t>
            </w:r>
          </w:p>
        </w:tc>
      </w:tr>
      <w:tr w:rsidR="008C4745" w:rsidRPr="00DB4DE9" w14:paraId="74E8BEF5" w14:textId="77777777" w:rsidTr="006B318F">
        <w:tc>
          <w:tcPr>
            <w:tcW w:w="3787" w:type="pct"/>
          </w:tcPr>
          <w:p w14:paraId="28A1B51B" w14:textId="77777777" w:rsidR="008C4745" w:rsidRPr="00DB4DE9" w:rsidRDefault="008C4745" w:rsidP="008C4745">
            <w:pPr>
              <w:keepLines/>
              <w:tabs>
                <w:tab w:val="right" w:pos="1202"/>
              </w:tabs>
              <w:spacing w:after="0" w:line="240" w:lineRule="exact"/>
              <w:outlineLvl w:val="0"/>
              <w:rPr>
                <w:rFonts w:eastAsia="Times New Roman" w:cs="Arial"/>
                <w:i/>
                <w:iCs/>
                <w:sz w:val="19"/>
                <w:szCs w:val="19"/>
              </w:rPr>
            </w:pPr>
            <w:r w:rsidRPr="00DB4DE9">
              <w:rPr>
                <w:rFonts w:cs="Arial"/>
                <w:i/>
                <w:sz w:val="19"/>
                <w:szCs w:val="19"/>
              </w:rPr>
              <w:t>Operating profit before working capital changes</w:t>
            </w:r>
          </w:p>
        </w:tc>
        <w:tc>
          <w:tcPr>
            <w:tcW w:w="607" w:type="pct"/>
            <w:tcBorders>
              <w:top w:val="nil"/>
              <w:left w:val="nil"/>
              <w:bottom w:val="nil"/>
              <w:right w:val="nil"/>
            </w:tcBorders>
            <w:shd w:val="clear" w:color="auto" w:fill="auto"/>
            <w:vAlign w:val="bottom"/>
          </w:tcPr>
          <w:p w14:paraId="5EAD848E" w14:textId="1C65031F" w:rsidR="008C4745" w:rsidRPr="006B318F" w:rsidRDefault="008C4745" w:rsidP="008C4745">
            <w:pPr>
              <w:keepLines/>
              <w:spacing w:after="0" w:line="240" w:lineRule="exact"/>
              <w:jc w:val="right"/>
              <w:rPr>
                <w:rFonts w:eastAsia="Times New Roman" w:cs="Arial"/>
                <w:sz w:val="19"/>
                <w:szCs w:val="19"/>
              </w:rPr>
            </w:pPr>
            <w:r w:rsidRPr="008C4745">
              <w:t xml:space="preserve"> </w:t>
            </w:r>
            <w:r w:rsidRPr="006B318F">
              <w:rPr>
                <w:rFonts w:eastAsia="Times New Roman" w:cs="Arial"/>
                <w:bCs/>
                <w:sz w:val="19"/>
                <w:szCs w:val="19"/>
              </w:rPr>
              <w:t>204,340</w:t>
            </w:r>
            <w:r w:rsidRPr="008C4745">
              <w:t xml:space="preserve"> </w:t>
            </w:r>
          </w:p>
        </w:tc>
        <w:tc>
          <w:tcPr>
            <w:tcW w:w="606" w:type="pct"/>
            <w:tcBorders>
              <w:top w:val="nil"/>
              <w:left w:val="nil"/>
              <w:bottom w:val="nil"/>
              <w:right w:val="nil"/>
            </w:tcBorders>
            <w:shd w:val="clear" w:color="auto" w:fill="auto"/>
          </w:tcPr>
          <w:p w14:paraId="41C31AD2" w14:textId="6A358397" w:rsidR="008C4745" w:rsidRPr="006B318F" w:rsidRDefault="008C4745" w:rsidP="006B318F">
            <w:pPr>
              <w:keepLines/>
              <w:tabs>
                <w:tab w:val="right" w:pos="1202"/>
              </w:tabs>
              <w:spacing w:after="0" w:line="240" w:lineRule="exact"/>
              <w:jc w:val="right"/>
              <w:outlineLvl w:val="0"/>
              <w:rPr>
                <w:rFonts w:eastAsia="Times New Roman" w:cs="Arial"/>
                <w:sz w:val="19"/>
                <w:szCs w:val="19"/>
              </w:rPr>
            </w:pPr>
            <w:r w:rsidRPr="006B318F">
              <w:rPr>
                <w:rFonts w:eastAsia="Times New Roman" w:cs="Arial"/>
                <w:sz w:val="19"/>
                <w:szCs w:val="19"/>
              </w:rPr>
              <w:t>158,745</w:t>
            </w:r>
          </w:p>
        </w:tc>
      </w:tr>
      <w:tr w:rsidR="008C4745" w:rsidRPr="00DB4DE9" w14:paraId="0AD21213" w14:textId="77777777" w:rsidTr="006B318F">
        <w:tc>
          <w:tcPr>
            <w:tcW w:w="3787" w:type="pct"/>
          </w:tcPr>
          <w:p w14:paraId="1FF2A096" w14:textId="77777777" w:rsidR="008C4745" w:rsidRPr="00DB4DE9" w:rsidRDefault="008C4745" w:rsidP="008C4745">
            <w:pPr>
              <w:keepLines/>
              <w:tabs>
                <w:tab w:val="right" w:pos="1202"/>
              </w:tabs>
              <w:spacing w:after="0" w:line="240" w:lineRule="exact"/>
              <w:outlineLvl w:val="0"/>
              <w:rPr>
                <w:rFonts w:eastAsia="Times New Roman" w:cs="Arial"/>
                <w:i/>
                <w:iCs/>
                <w:sz w:val="19"/>
                <w:szCs w:val="19"/>
              </w:rPr>
            </w:pPr>
            <w:r w:rsidRPr="00DB4DE9">
              <w:rPr>
                <w:rFonts w:cs="Arial"/>
                <w:i/>
                <w:sz w:val="19"/>
                <w:szCs w:val="19"/>
              </w:rPr>
              <w:t>Changes in operating assets and liabilities:</w:t>
            </w:r>
          </w:p>
        </w:tc>
        <w:tc>
          <w:tcPr>
            <w:tcW w:w="607" w:type="pct"/>
            <w:shd w:val="clear" w:color="auto" w:fill="FFFFFF" w:themeFill="background1"/>
            <w:vAlign w:val="bottom"/>
          </w:tcPr>
          <w:p w14:paraId="3A075D67" w14:textId="77777777" w:rsidR="008C4745" w:rsidRPr="00DB4DE9" w:rsidRDefault="008C4745" w:rsidP="008C4745">
            <w:pPr>
              <w:keepLines/>
              <w:spacing w:after="0" w:line="240" w:lineRule="exact"/>
              <w:jc w:val="right"/>
              <w:rPr>
                <w:rFonts w:eastAsia="Times New Roman" w:cs="Arial"/>
                <w:i/>
                <w:sz w:val="19"/>
                <w:szCs w:val="19"/>
              </w:rPr>
            </w:pPr>
          </w:p>
        </w:tc>
        <w:tc>
          <w:tcPr>
            <w:tcW w:w="606" w:type="pct"/>
            <w:shd w:val="clear" w:color="auto" w:fill="auto"/>
            <w:vAlign w:val="bottom"/>
          </w:tcPr>
          <w:p w14:paraId="47971A20" w14:textId="77777777" w:rsidR="008C4745" w:rsidRPr="001E7720" w:rsidRDefault="008C4745" w:rsidP="008C4745">
            <w:pPr>
              <w:keepLines/>
              <w:spacing w:after="0" w:line="240" w:lineRule="exact"/>
              <w:jc w:val="right"/>
              <w:rPr>
                <w:rFonts w:eastAsia="Times New Roman" w:cs="Arial"/>
                <w:i/>
                <w:sz w:val="19"/>
                <w:szCs w:val="19"/>
              </w:rPr>
            </w:pPr>
          </w:p>
        </w:tc>
      </w:tr>
      <w:tr w:rsidR="008C4745" w:rsidRPr="00DB4DE9" w14:paraId="726DC548" w14:textId="77777777" w:rsidTr="006B318F">
        <w:tc>
          <w:tcPr>
            <w:tcW w:w="3787" w:type="pct"/>
          </w:tcPr>
          <w:p w14:paraId="380C0B37" w14:textId="48332157" w:rsidR="008C4745" w:rsidRPr="00DB4DE9" w:rsidRDefault="008C4745" w:rsidP="008C4745">
            <w:pPr>
              <w:keepLines/>
              <w:tabs>
                <w:tab w:val="right" w:pos="1202"/>
              </w:tabs>
              <w:spacing w:after="0" w:line="240" w:lineRule="exact"/>
              <w:outlineLvl w:val="0"/>
              <w:rPr>
                <w:rFonts w:eastAsia="Times New Roman" w:cs="Arial"/>
                <w:sz w:val="19"/>
                <w:szCs w:val="19"/>
              </w:rPr>
            </w:pPr>
            <w:r w:rsidRPr="00DB4DE9">
              <w:rPr>
                <w:rFonts w:cs="Arial"/>
                <w:sz w:val="19"/>
                <w:szCs w:val="19"/>
              </w:rPr>
              <w:t>Net decrease in deposits with other banks, before provision for impairment</w:t>
            </w:r>
          </w:p>
        </w:tc>
        <w:tc>
          <w:tcPr>
            <w:tcW w:w="607" w:type="pct"/>
            <w:tcBorders>
              <w:top w:val="nil"/>
              <w:left w:val="nil"/>
              <w:bottom w:val="nil"/>
              <w:right w:val="nil"/>
            </w:tcBorders>
            <w:shd w:val="clear" w:color="000000" w:fill="auto"/>
            <w:vAlign w:val="bottom"/>
          </w:tcPr>
          <w:p w14:paraId="41170C2E" w14:textId="074A1807" w:rsidR="008C4745" w:rsidRPr="00DB4DE9" w:rsidRDefault="008C4745" w:rsidP="008C4745">
            <w:pPr>
              <w:keepLines/>
              <w:spacing w:after="0" w:line="240" w:lineRule="exact"/>
              <w:jc w:val="right"/>
              <w:rPr>
                <w:rFonts w:eastAsia="Times New Roman" w:cs="Arial"/>
                <w:spacing w:val="-3"/>
                <w:sz w:val="19"/>
                <w:szCs w:val="19"/>
              </w:rPr>
            </w:pPr>
            <w:r w:rsidRPr="00CE0613">
              <w:rPr>
                <w:rFonts w:eastAsia="Times New Roman" w:cs="Arial"/>
                <w:bCs/>
                <w:sz w:val="19"/>
                <w:szCs w:val="19"/>
                <w:lang w:val="hr-HR"/>
              </w:rPr>
              <w:t>24</w:t>
            </w:r>
            <w:r>
              <w:rPr>
                <w:rFonts w:eastAsia="Times New Roman" w:cs="Arial"/>
                <w:bCs/>
                <w:sz w:val="19"/>
                <w:szCs w:val="19"/>
              </w:rPr>
              <w:t>,</w:t>
            </w:r>
            <w:r w:rsidRPr="00CE0613">
              <w:rPr>
                <w:rFonts w:eastAsia="Times New Roman" w:cs="Arial"/>
                <w:bCs/>
                <w:sz w:val="19"/>
                <w:szCs w:val="19"/>
                <w:lang w:val="hr-HR"/>
              </w:rPr>
              <w:t xml:space="preserve">119 </w:t>
            </w:r>
          </w:p>
        </w:tc>
        <w:tc>
          <w:tcPr>
            <w:tcW w:w="606" w:type="pct"/>
            <w:shd w:val="clear" w:color="000000" w:fill="auto"/>
            <w:vAlign w:val="bottom"/>
          </w:tcPr>
          <w:p w14:paraId="2C3B1A54" w14:textId="07806AA3" w:rsidR="008C4745" w:rsidRPr="001E7720" w:rsidRDefault="008C4745" w:rsidP="008C4745">
            <w:pPr>
              <w:keepLines/>
              <w:spacing w:after="0" w:line="240" w:lineRule="exact"/>
              <w:jc w:val="right"/>
              <w:rPr>
                <w:rFonts w:eastAsia="Times New Roman" w:cs="Arial"/>
                <w:spacing w:val="-3"/>
                <w:sz w:val="19"/>
                <w:szCs w:val="19"/>
              </w:rPr>
            </w:pPr>
            <w:r>
              <w:rPr>
                <w:rFonts w:eastAsia="Times New Roman" w:cs="Calibri"/>
                <w:spacing w:val="-3"/>
                <w:sz w:val="19"/>
                <w:szCs w:val="19"/>
                <w:lang w:eastAsia="hr-HR"/>
              </w:rPr>
              <w:t>205,142</w:t>
            </w:r>
          </w:p>
        </w:tc>
      </w:tr>
      <w:tr w:rsidR="008C4745" w:rsidRPr="00DB4DE9" w14:paraId="13C6007A" w14:textId="77777777" w:rsidTr="006B318F">
        <w:tc>
          <w:tcPr>
            <w:tcW w:w="3787" w:type="pct"/>
          </w:tcPr>
          <w:p w14:paraId="783640E8" w14:textId="10887485" w:rsidR="008C4745" w:rsidRPr="00DB4DE9" w:rsidRDefault="008C4745" w:rsidP="008C4745">
            <w:pPr>
              <w:keepLines/>
              <w:tabs>
                <w:tab w:val="right" w:pos="1202"/>
              </w:tabs>
              <w:spacing w:after="0" w:line="240" w:lineRule="exact"/>
              <w:outlineLvl w:val="0"/>
              <w:rPr>
                <w:rFonts w:eastAsia="Times New Roman" w:cs="Arial"/>
                <w:sz w:val="19"/>
                <w:szCs w:val="19"/>
              </w:rPr>
            </w:pPr>
            <w:r w:rsidRPr="00DB4DE9">
              <w:rPr>
                <w:rFonts w:cs="Arial"/>
                <w:sz w:val="19"/>
                <w:szCs w:val="19"/>
              </w:rPr>
              <w:t xml:space="preserve">Net </w:t>
            </w:r>
            <w:r w:rsidRPr="00D06AB3">
              <w:rPr>
                <w:rFonts w:cs="Arial"/>
                <w:sz w:val="19"/>
                <w:szCs w:val="19"/>
              </w:rPr>
              <w:t>(increase)</w:t>
            </w:r>
            <w:r>
              <w:rPr>
                <w:rFonts w:cs="Arial"/>
                <w:sz w:val="19"/>
                <w:szCs w:val="19"/>
              </w:rPr>
              <w:t>/</w:t>
            </w:r>
            <w:r w:rsidRPr="00DB4DE9">
              <w:rPr>
                <w:rFonts w:cs="Arial"/>
                <w:sz w:val="19"/>
                <w:szCs w:val="19"/>
              </w:rPr>
              <w:t xml:space="preserve">decrease in loans to </w:t>
            </w:r>
            <w:r w:rsidRPr="00DB4DE9">
              <w:t xml:space="preserve"> </w:t>
            </w:r>
            <w:r w:rsidRPr="00DB4DE9">
              <w:rPr>
                <w:rFonts w:cs="Arial"/>
                <w:sz w:val="19"/>
                <w:szCs w:val="19"/>
              </w:rPr>
              <w:t>financial institutions, before provision for impairment</w:t>
            </w:r>
          </w:p>
        </w:tc>
        <w:tc>
          <w:tcPr>
            <w:tcW w:w="607" w:type="pct"/>
            <w:tcBorders>
              <w:top w:val="nil"/>
              <w:left w:val="nil"/>
              <w:bottom w:val="nil"/>
              <w:right w:val="nil"/>
            </w:tcBorders>
            <w:shd w:val="clear" w:color="000000" w:fill="auto"/>
            <w:vAlign w:val="bottom"/>
          </w:tcPr>
          <w:p w14:paraId="5464F7E5" w14:textId="6487AB88" w:rsidR="008C4745" w:rsidRPr="006B318F" w:rsidRDefault="008C4745" w:rsidP="008C4745">
            <w:pPr>
              <w:keepLines/>
              <w:spacing w:after="0" w:line="240" w:lineRule="exact"/>
              <w:jc w:val="right"/>
              <w:rPr>
                <w:rFonts w:eastAsia="Times New Roman" w:cs="Calibri"/>
                <w:sz w:val="19"/>
                <w:szCs w:val="19"/>
                <w:lang w:eastAsia="hr-HR"/>
              </w:rPr>
            </w:pPr>
            <w:r w:rsidRPr="006B318F">
              <w:rPr>
                <w:rFonts w:eastAsia="Times New Roman" w:cs="Calibri"/>
                <w:sz w:val="19"/>
                <w:szCs w:val="19"/>
                <w:lang w:eastAsia="hr-HR"/>
              </w:rPr>
              <w:t xml:space="preserve"> (260,326)</w:t>
            </w:r>
          </w:p>
        </w:tc>
        <w:tc>
          <w:tcPr>
            <w:tcW w:w="606" w:type="pct"/>
            <w:shd w:val="clear" w:color="000000" w:fill="auto"/>
            <w:vAlign w:val="bottom"/>
          </w:tcPr>
          <w:p w14:paraId="4086F085" w14:textId="2CFDA8FC" w:rsidR="008C4745" w:rsidRPr="001E7720" w:rsidRDefault="008C4745" w:rsidP="008C4745">
            <w:pPr>
              <w:keepLines/>
              <w:spacing w:after="0" w:line="240" w:lineRule="exact"/>
              <w:jc w:val="right"/>
              <w:rPr>
                <w:rFonts w:eastAsia="Times New Roman" w:cs="Arial"/>
                <w:spacing w:val="-3"/>
                <w:sz w:val="19"/>
                <w:szCs w:val="19"/>
              </w:rPr>
            </w:pPr>
            <w:r>
              <w:rPr>
                <w:rFonts w:eastAsia="Times New Roman" w:cs="Calibri"/>
                <w:spacing w:val="-3"/>
                <w:sz w:val="19"/>
                <w:szCs w:val="19"/>
                <w:lang w:eastAsia="hr-HR"/>
              </w:rPr>
              <w:t>744,463</w:t>
            </w:r>
          </w:p>
        </w:tc>
      </w:tr>
      <w:tr w:rsidR="008C4745" w:rsidRPr="00DB4DE9" w14:paraId="24896151" w14:textId="77777777" w:rsidTr="006B318F">
        <w:tc>
          <w:tcPr>
            <w:tcW w:w="3787" w:type="pct"/>
          </w:tcPr>
          <w:p w14:paraId="2E0CF9D9" w14:textId="72D66151" w:rsidR="008C4745" w:rsidRPr="00DB4DE9" w:rsidRDefault="008C4745" w:rsidP="008C4745">
            <w:pPr>
              <w:keepLines/>
              <w:tabs>
                <w:tab w:val="right" w:pos="1202"/>
              </w:tabs>
              <w:spacing w:after="0" w:line="240" w:lineRule="exact"/>
              <w:outlineLvl w:val="0"/>
              <w:rPr>
                <w:rFonts w:eastAsia="Times New Roman" w:cs="Arial"/>
                <w:sz w:val="19"/>
                <w:szCs w:val="19"/>
              </w:rPr>
            </w:pPr>
            <w:r w:rsidRPr="00DB4DE9">
              <w:rPr>
                <w:rFonts w:cs="Arial"/>
                <w:sz w:val="19"/>
                <w:szCs w:val="19"/>
              </w:rPr>
              <w:t xml:space="preserve">Net </w:t>
            </w:r>
            <w:r>
              <w:rPr>
                <w:rFonts w:cs="Arial"/>
                <w:sz w:val="19"/>
                <w:szCs w:val="19"/>
              </w:rPr>
              <w:t>(</w:t>
            </w:r>
            <w:r w:rsidRPr="00DB4DE9">
              <w:rPr>
                <w:rFonts w:cs="Arial"/>
                <w:sz w:val="19"/>
                <w:szCs w:val="19"/>
              </w:rPr>
              <w:t>increase) in loans to other customers, before provision for impairment</w:t>
            </w:r>
          </w:p>
        </w:tc>
        <w:tc>
          <w:tcPr>
            <w:tcW w:w="607" w:type="pct"/>
            <w:tcBorders>
              <w:top w:val="nil"/>
              <w:left w:val="nil"/>
              <w:bottom w:val="nil"/>
              <w:right w:val="nil"/>
            </w:tcBorders>
            <w:shd w:val="clear" w:color="000000" w:fill="auto"/>
            <w:vAlign w:val="bottom"/>
          </w:tcPr>
          <w:p w14:paraId="42D9D625" w14:textId="1A489DBF" w:rsidR="008C4745" w:rsidRPr="006B318F" w:rsidRDefault="008C4745" w:rsidP="008C4745">
            <w:pPr>
              <w:keepLines/>
              <w:spacing w:after="0" w:line="240" w:lineRule="exact"/>
              <w:jc w:val="right"/>
              <w:rPr>
                <w:rFonts w:eastAsia="Times New Roman" w:cs="Calibri"/>
                <w:sz w:val="19"/>
                <w:szCs w:val="19"/>
                <w:lang w:eastAsia="hr-HR"/>
              </w:rPr>
            </w:pPr>
            <w:r w:rsidRPr="006B318F">
              <w:rPr>
                <w:rFonts w:eastAsia="Times New Roman" w:cs="Calibri"/>
                <w:sz w:val="19"/>
                <w:szCs w:val="19"/>
                <w:lang w:eastAsia="hr-HR"/>
              </w:rPr>
              <w:t xml:space="preserve"> (588,756)</w:t>
            </w:r>
          </w:p>
        </w:tc>
        <w:tc>
          <w:tcPr>
            <w:tcW w:w="606" w:type="pct"/>
            <w:shd w:val="clear" w:color="000000" w:fill="auto"/>
            <w:vAlign w:val="bottom"/>
          </w:tcPr>
          <w:p w14:paraId="39F91AE4" w14:textId="3EFED9ED" w:rsidR="008C4745" w:rsidRPr="001E7720" w:rsidRDefault="008C4745" w:rsidP="008C4745">
            <w:pPr>
              <w:keepLines/>
              <w:spacing w:after="0" w:line="240" w:lineRule="exact"/>
              <w:jc w:val="right"/>
              <w:rPr>
                <w:rFonts w:eastAsia="Times New Roman" w:cs="Arial"/>
                <w:sz w:val="19"/>
                <w:szCs w:val="19"/>
              </w:rPr>
            </w:pPr>
            <w:r>
              <w:rPr>
                <w:rFonts w:eastAsia="Times New Roman" w:cs="Calibri"/>
                <w:sz w:val="19"/>
                <w:szCs w:val="19"/>
                <w:lang w:eastAsia="hr-HR"/>
              </w:rPr>
              <w:t>(1,422,785)</w:t>
            </w:r>
          </w:p>
        </w:tc>
      </w:tr>
      <w:tr w:rsidR="008C4745" w:rsidRPr="00DB4DE9" w14:paraId="151D3924" w14:textId="77777777" w:rsidTr="006B318F">
        <w:tc>
          <w:tcPr>
            <w:tcW w:w="3787" w:type="pct"/>
          </w:tcPr>
          <w:p w14:paraId="456714A7" w14:textId="7FCCCEB8" w:rsidR="008C4745" w:rsidRPr="00DB4DE9" w:rsidRDefault="008C4745" w:rsidP="008C4745">
            <w:pPr>
              <w:keepLines/>
              <w:tabs>
                <w:tab w:val="right" w:pos="1202"/>
              </w:tabs>
              <w:spacing w:after="0" w:line="240" w:lineRule="exact"/>
              <w:outlineLvl w:val="0"/>
              <w:rPr>
                <w:rFonts w:eastAsia="Times New Roman" w:cs="Arial"/>
                <w:sz w:val="19"/>
                <w:szCs w:val="19"/>
              </w:rPr>
            </w:pPr>
            <w:r w:rsidRPr="00DB4DE9">
              <w:rPr>
                <w:rFonts w:cs="Arial"/>
                <w:sz w:val="19"/>
                <w:szCs w:val="19"/>
              </w:rPr>
              <w:t>Net reali</w:t>
            </w:r>
            <w:r>
              <w:rPr>
                <w:rFonts w:cs="Arial"/>
                <w:sz w:val="19"/>
                <w:szCs w:val="19"/>
              </w:rPr>
              <w:t>s</w:t>
            </w:r>
            <w:r w:rsidRPr="00DB4DE9">
              <w:rPr>
                <w:rFonts w:cs="Arial"/>
                <w:sz w:val="19"/>
                <w:szCs w:val="19"/>
              </w:rPr>
              <w:t>ed (gain)</w:t>
            </w:r>
            <w:r>
              <w:rPr>
                <w:rFonts w:cs="Arial"/>
                <w:sz w:val="19"/>
                <w:szCs w:val="19"/>
              </w:rPr>
              <w:t>/losses</w:t>
            </w:r>
            <w:r w:rsidRPr="00DB4DE9">
              <w:rPr>
                <w:rFonts w:cs="Arial"/>
                <w:sz w:val="19"/>
                <w:szCs w:val="19"/>
              </w:rPr>
              <w:t xml:space="preserve"> on assets available for sale</w:t>
            </w:r>
          </w:p>
        </w:tc>
        <w:tc>
          <w:tcPr>
            <w:tcW w:w="607" w:type="pct"/>
            <w:tcBorders>
              <w:top w:val="nil"/>
              <w:left w:val="nil"/>
              <w:right w:val="nil"/>
            </w:tcBorders>
            <w:shd w:val="clear" w:color="auto" w:fill="auto"/>
            <w:vAlign w:val="bottom"/>
          </w:tcPr>
          <w:p w14:paraId="1E90154D" w14:textId="51FB39D4" w:rsidR="008C4745" w:rsidRPr="006B318F" w:rsidRDefault="008C4745" w:rsidP="008C4745">
            <w:pPr>
              <w:keepLines/>
              <w:spacing w:after="0" w:line="240" w:lineRule="exact"/>
              <w:jc w:val="right"/>
              <w:rPr>
                <w:rFonts w:eastAsia="Times New Roman" w:cs="Calibri"/>
                <w:sz w:val="19"/>
                <w:szCs w:val="19"/>
                <w:lang w:eastAsia="hr-HR"/>
              </w:rPr>
            </w:pPr>
            <w:r w:rsidRPr="006B318F">
              <w:rPr>
                <w:rFonts w:eastAsia="Times New Roman" w:cs="Calibri"/>
                <w:sz w:val="19"/>
                <w:szCs w:val="19"/>
                <w:lang w:eastAsia="hr-HR"/>
              </w:rPr>
              <w:t>(2,054)</w:t>
            </w:r>
            <w:r w:rsidRPr="006B318F" w:rsidDel="00CC2049">
              <w:rPr>
                <w:rFonts w:eastAsia="Times New Roman" w:cs="Calibri"/>
                <w:sz w:val="19"/>
                <w:szCs w:val="19"/>
                <w:lang w:eastAsia="hr-HR"/>
              </w:rPr>
              <w:t xml:space="preserve"> </w:t>
            </w:r>
          </w:p>
        </w:tc>
        <w:tc>
          <w:tcPr>
            <w:tcW w:w="606" w:type="pct"/>
            <w:shd w:val="clear" w:color="auto" w:fill="auto"/>
            <w:vAlign w:val="bottom"/>
          </w:tcPr>
          <w:p w14:paraId="188DDB27" w14:textId="2DE666F6" w:rsidR="008C4745" w:rsidRPr="001E7720" w:rsidRDefault="008C4745" w:rsidP="008C4745">
            <w:pPr>
              <w:keepLines/>
              <w:spacing w:after="0" w:line="240" w:lineRule="exact"/>
              <w:jc w:val="right"/>
              <w:rPr>
                <w:rFonts w:eastAsia="Times New Roman" w:cs="Arial"/>
                <w:sz w:val="19"/>
                <w:szCs w:val="19"/>
              </w:rPr>
            </w:pPr>
            <w:r>
              <w:rPr>
                <w:rFonts w:eastAsia="Times New Roman" w:cs="Calibri"/>
                <w:sz w:val="19"/>
                <w:szCs w:val="19"/>
                <w:lang w:eastAsia="hr-HR"/>
              </w:rPr>
              <w:t>(1,862)</w:t>
            </w:r>
          </w:p>
        </w:tc>
      </w:tr>
      <w:tr w:rsidR="008C4745" w:rsidRPr="00DB4DE9" w14:paraId="3BA5D996" w14:textId="77777777" w:rsidTr="006B318F">
        <w:tc>
          <w:tcPr>
            <w:tcW w:w="3787" w:type="pct"/>
            <w:vAlign w:val="bottom"/>
          </w:tcPr>
          <w:p w14:paraId="1D25E8FB" w14:textId="2560473B" w:rsidR="008C4745" w:rsidRPr="00DB4DE9" w:rsidRDefault="008C4745" w:rsidP="008C4745">
            <w:pPr>
              <w:keepLines/>
              <w:tabs>
                <w:tab w:val="right" w:pos="1202"/>
              </w:tabs>
              <w:spacing w:after="0" w:line="240" w:lineRule="exact"/>
              <w:outlineLvl w:val="0"/>
              <w:rPr>
                <w:rFonts w:eastAsia="Times New Roman" w:cs="Arial"/>
                <w:sz w:val="19"/>
                <w:szCs w:val="19"/>
              </w:rPr>
            </w:pPr>
            <w:r>
              <w:rPr>
                <w:rFonts w:cs="Arial"/>
                <w:sz w:val="19"/>
                <w:szCs w:val="19"/>
              </w:rPr>
              <w:t>Decrease/</w:t>
            </w:r>
            <w:r w:rsidRPr="00DB4DE9">
              <w:rPr>
                <w:rFonts w:cs="Arial"/>
                <w:sz w:val="19"/>
                <w:szCs w:val="19"/>
              </w:rPr>
              <w:t>(</w:t>
            </w:r>
            <w:r>
              <w:rPr>
                <w:rFonts w:cs="Arial"/>
                <w:sz w:val="19"/>
                <w:szCs w:val="19"/>
              </w:rPr>
              <w:t>i</w:t>
            </w:r>
            <w:r w:rsidRPr="00DB4DE9">
              <w:rPr>
                <w:rFonts w:cs="Arial"/>
                <w:sz w:val="19"/>
                <w:szCs w:val="19"/>
              </w:rPr>
              <w:t>ncrease) of discount in assets available for sale and bonds payable</w:t>
            </w:r>
          </w:p>
        </w:tc>
        <w:tc>
          <w:tcPr>
            <w:tcW w:w="607" w:type="pct"/>
            <w:tcBorders>
              <w:top w:val="nil"/>
              <w:left w:val="nil"/>
              <w:right w:val="nil"/>
            </w:tcBorders>
            <w:shd w:val="clear" w:color="000000" w:fill="auto"/>
            <w:vAlign w:val="bottom"/>
          </w:tcPr>
          <w:p w14:paraId="5267A2EC" w14:textId="7B08C940" w:rsidR="008C4745" w:rsidRPr="006B318F" w:rsidRDefault="008C4745" w:rsidP="006B318F">
            <w:pPr>
              <w:keepLines/>
              <w:spacing w:after="0" w:line="240" w:lineRule="exact"/>
              <w:jc w:val="right"/>
              <w:rPr>
                <w:rFonts w:eastAsia="Times New Roman" w:cs="Calibri"/>
                <w:sz w:val="19"/>
                <w:szCs w:val="19"/>
                <w:lang w:eastAsia="hr-HR"/>
              </w:rPr>
            </w:pPr>
            <w:r w:rsidRPr="006B318F">
              <w:rPr>
                <w:rFonts w:eastAsia="Times New Roman" w:cs="Calibri"/>
                <w:sz w:val="19"/>
                <w:szCs w:val="19"/>
                <w:lang w:eastAsia="hr-HR"/>
              </w:rPr>
              <w:t xml:space="preserve"> 1,359 </w:t>
            </w:r>
          </w:p>
        </w:tc>
        <w:tc>
          <w:tcPr>
            <w:tcW w:w="606" w:type="pct"/>
            <w:shd w:val="clear" w:color="000000" w:fill="auto"/>
            <w:vAlign w:val="bottom"/>
          </w:tcPr>
          <w:p w14:paraId="6CE22B59" w14:textId="50326896" w:rsidR="008C4745" w:rsidRPr="001E7720" w:rsidRDefault="008C4745" w:rsidP="008C4745">
            <w:pPr>
              <w:keepLines/>
              <w:tabs>
                <w:tab w:val="right" w:pos="1202"/>
              </w:tabs>
              <w:spacing w:after="0" w:line="240" w:lineRule="exact"/>
              <w:jc w:val="right"/>
              <w:outlineLvl w:val="0"/>
              <w:rPr>
                <w:rFonts w:eastAsia="Times New Roman" w:cs="Arial"/>
                <w:sz w:val="19"/>
                <w:szCs w:val="19"/>
              </w:rPr>
            </w:pPr>
            <w:r>
              <w:rPr>
                <w:rFonts w:eastAsia="Times New Roman" w:cs="Calibri"/>
                <w:sz w:val="19"/>
                <w:szCs w:val="19"/>
                <w:lang w:eastAsia="hr-HR"/>
              </w:rPr>
              <w:t>(2,028)</w:t>
            </w:r>
          </w:p>
        </w:tc>
      </w:tr>
      <w:tr w:rsidR="008C4745" w:rsidRPr="00DB4DE9" w14:paraId="447AB651" w14:textId="77777777" w:rsidTr="006B318F">
        <w:tc>
          <w:tcPr>
            <w:tcW w:w="3787" w:type="pct"/>
            <w:vAlign w:val="bottom"/>
          </w:tcPr>
          <w:p w14:paraId="64992AD4" w14:textId="0BB80F5A" w:rsidR="008C4745" w:rsidRPr="001E7720" w:rsidRDefault="008C4745" w:rsidP="008C4745">
            <w:pPr>
              <w:keepLines/>
              <w:tabs>
                <w:tab w:val="right" w:pos="1202"/>
              </w:tabs>
              <w:spacing w:after="0" w:line="240" w:lineRule="exact"/>
              <w:outlineLvl w:val="0"/>
              <w:rPr>
                <w:rFonts w:eastAsia="Times New Roman" w:cs="Arial"/>
                <w:sz w:val="19"/>
                <w:szCs w:val="19"/>
              </w:rPr>
            </w:pPr>
            <w:r w:rsidRPr="001E7720">
              <w:rPr>
                <w:rFonts w:cs="Arial"/>
                <w:sz w:val="19"/>
                <w:szCs w:val="19"/>
              </w:rPr>
              <w:t>Net (</w:t>
            </w:r>
            <w:r w:rsidRPr="009566ED">
              <w:rPr>
                <w:rFonts w:cs="Arial"/>
                <w:sz w:val="19"/>
                <w:szCs w:val="19"/>
              </w:rPr>
              <w:t>decrease)</w:t>
            </w:r>
            <w:r>
              <w:rPr>
                <w:rFonts w:cs="Arial"/>
                <w:sz w:val="19"/>
                <w:szCs w:val="19"/>
              </w:rPr>
              <w:t>/increase</w:t>
            </w:r>
            <w:r w:rsidRPr="009566ED">
              <w:rPr>
                <w:rFonts w:cs="Arial"/>
                <w:sz w:val="19"/>
                <w:szCs w:val="19"/>
              </w:rPr>
              <w:t xml:space="preserve"> </w:t>
            </w:r>
            <w:r w:rsidRPr="001E7720">
              <w:rPr>
                <w:rFonts w:cs="Arial"/>
                <w:sz w:val="19"/>
                <w:szCs w:val="19"/>
              </w:rPr>
              <w:t>in non-current assets held for sale</w:t>
            </w:r>
          </w:p>
        </w:tc>
        <w:tc>
          <w:tcPr>
            <w:tcW w:w="607" w:type="pct"/>
            <w:tcBorders>
              <w:top w:val="nil"/>
              <w:left w:val="nil"/>
              <w:bottom w:val="nil"/>
              <w:right w:val="nil"/>
            </w:tcBorders>
            <w:shd w:val="clear" w:color="000000" w:fill="auto"/>
            <w:vAlign w:val="bottom"/>
          </w:tcPr>
          <w:p w14:paraId="630CF0F6" w14:textId="38E30FE5" w:rsidR="008C4745" w:rsidRPr="006B318F" w:rsidRDefault="008C4745" w:rsidP="006B318F">
            <w:pPr>
              <w:keepLines/>
              <w:spacing w:after="0" w:line="240" w:lineRule="exact"/>
              <w:jc w:val="right"/>
              <w:rPr>
                <w:rFonts w:eastAsia="Times New Roman" w:cs="Calibri"/>
                <w:sz w:val="19"/>
                <w:szCs w:val="19"/>
                <w:lang w:eastAsia="hr-HR"/>
              </w:rPr>
            </w:pPr>
            <w:r w:rsidRPr="006B318F">
              <w:rPr>
                <w:rFonts w:eastAsia="Times New Roman" w:cs="Calibri"/>
                <w:sz w:val="19"/>
                <w:szCs w:val="19"/>
                <w:lang w:eastAsia="hr-HR"/>
              </w:rPr>
              <w:t xml:space="preserve"> 212 </w:t>
            </w:r>
          </w:p>
        </w:tc>
        <w:tc>
          <w:tcPr>
            <w:tcW w:w="606" w:type="pct"/>
            <w:shd w:val="clear" w:color="000000" w:fill="auto"/>
            <w:vAlign w:val="bottom"/>
          </w:tcPr>
          <w:p w14:paraId="0285076E" w14:textId="79E59004" w:rsidR="008C4745" w:rsidRPr="001E7720" w:rsidRDefault="008C4745" w:rsidP="008C4745">
            <w:pPr>
              <w:keepLines/>
              <w:tabs>
                <w:tab w:val="right" w:pos="1202"/>
              </w:tabs>
              <w:spacing w:after="0" w:line="240" w:lineRule="exact"/>
              <w:jc w:val="right"/>
              <w:outlineLvl w:val="0"/>
              <w:rPr>
                <w:rFonts w:eastAsia="Times New Roman" w:cs="Arial"/>
                <w:sz w:val="19"/>
                <w:szCs w:val="19"/>
              </w:rPr>
            </w:pPr>
            <w:r>
              <w:rPr>
                <w:rFonts w:eastAsia="Times New Roman" w:cs="Calibri"/>
                <w:sz w:val="19"/>
                <w:szCs w:val="19"/>
              </w:rPr>
              <w:t>(15)</w:t>
            </w:r>
          </w:p>
        </w:tc>
      </w:tr>
      <w:tr w:rsidR="008C4745" w:rsidRPr="00DB4DE9" w14:paraId="416C4B46" w14:textId="77777777" w:rsidTr="006B318F">
        <w:tc>
          <w:tcPr>
            <w:tcW w:w="3787" w:type="pct"/>
          </w:tcPr>
          <w:p w14:paraId="32B1137A" w14:textId="77777777" w:rsidR="008C4745" w:rsidRPr="00DB4DE9" w:rsidRDefault="008C4745" w:rsidP="008C4745">
            <w:pPr>
              <w:keepLines/>
              <w:tabs>
                <w:tab w:val="right" w:pos="1202"/>
              </w:tabs>
              <w:spacing w:after="0" w:line="240" w:lineRule="exact"/>
              <w:outlineLvl w:val="0"/>
              <w:rPr>
                <w:rFonts w:eastAsia="Times New Roman" w:cs="Arial"/>
                <w:sz w:val="19"/>
                <w:szCs w:val="19"/>
              </w:rPr>
            </w:pPr>
            <w:r w:rsidRPr="00DB4DE9">
              <w:rPr>
                <w:rFonts w:cs="Arial"/>
                <w:sz w:val="19"/>
                <w:szCs w:val="19"/>
              </w:rPr>
              <w:t>Net (increase) in other assets, before provision for impairment</w:t>
            </w:r>
          </w:p>
        </w:tc>
        <w:tc>
          <w:tcPr>
            <w:tcW w:w="607" w:type="pct"/>
            <w:tcBorders>
              <w:top w:val="nil"/>
              <w:left w:val="nil"/>
              <w:bottom w:val="nil"/>
              <w:right w:val="nil"/>
            </w:tcBorders>
            <w:shd w:val="clear" w:color="000000" w:fill="auto"/>
            <w:vAlign w:val="bottom"/>
          </w:tcPr>
          <w:p w14:paraId="4E44F5D4" w14:textId="76D2E2C2" w:rsidR="008C4745" w:rsidRPr="006B318F" w:rsidRDefault="008C4745" w:rsidP="006B318F">
            <w:pPr>
              <w:keepLines/>
              <w:spacing w:after="0" w:line="240" w:lineRule="exact"/>
              <w:jc w:val="right"/>
              <w:rPr>
                <w:rFonts w:eastAsia="Times New Roman" w:cs="Calibri"/>
                <w:sz w:val="19"/>
                <w:szCs w:val="19"/>
                <w:lang w:eastAsia="hr-HR"/>
              </w:rPr>
            </w:pPr>
            <w:r w:rsidRPr="006B318F">
              <w:rPr>
                <w:rFonts w:eastAsia="Times New Roman" w:cs="Calibri"/>
                <w:sz w:val="19"/>
                <w:szCs w:val="19"/>
                <w:lang w:eastAsia="hr-HR"/>
              </w:rPr>
              <w:t xml:space="preserve"> (6,316)</w:t>
            </w:r>
          </w:p>
        </w:tc>
        <w:tc>
          <w:tcPr>
            <w:tcW w:w="606" w:type="pct"/>
            <w:shd w:val="clear" w:color="000000" w:fill="auto"/>
            <w:vAlign w:val="bottom"/>
          </w:tcPr>
          <w:p w14:paraId="46979CEF" w14:textId="232B82FE" w:rsidR="008C4745" w:rsidRPr="001E7720" w:rsidRDefault="008C4745" w:rsidP="008C4745">
            <w:pPr>
              <w:keepLines/>
              <w:tabs>
                <w:tab w:val="right" w:pos="1202"/>
              </w:tabs>
              <w:spacing w:after="0" w:line="240" w:lineRule="exact"/>
              <w:jc w:val="right"/>
              <w:outlineLvl w:val="0"/>
              <w:rPr>
                <w:rFonts w:eastAsia="Times New Roman" w:cs="Arial"/>
                <w:sz w:val="19"/>
                <w:szCs w:val="19"/>
              </w:rPr>
            </w:pPr>
            <w:r>
              <w:rPr>
                <w:rFonts w:eastAsia="Times New Roman" w:cs="Calibri"/>
                <w:sz w:val="19"/>
                <w:szCs w:val="19"/>
                <w:lang w:eastAsia="hr-HR"/>
              </w:rPr>
              <w:t>(167)</w:t>
            </w:r>
          </w:p>
        </w:tc>
      </w:tr>
      <w:tr w:rsidR="008C4745" w:rsidRPr="00DB4DE9" w14:paraId="4B687545" w14:textId="77777777" w:rsidTr="006B318F">
        <w:tc>
          <w:tcPr>
            <w:tcW w:w="3787" w:type="pct"/>
          </w:tcPr>
          <w:p w14:paraId="72909D16" w14:textId="5846B4BF" w:rsidR="008C4745" w:rsidRPr="00DB4DE9" w:rsidRDefault="008C4745" w:rsidP="008C4745">
            <w:pPr>
              <w:keepLines/>
              <w:tabs>
                <w:tab w:val="right" w:pos="1202"/>
              </w:tabs>
              <w:spacing w:after="0" w:line="240" w:lineRule="exact"/>
              <w:outlineLvl w:val="0"/>
              <w:rPr>
                <w:rFonts w:eastAsia="Times New Roman" w:cs="Arial"/>
                <w:sz w:val="19"/>
                <w:szCs w:val="19"/>
              </w:rPr>
            </w:pPr>
            <w:r w:rsidRPr="00DB4DE9">
              <w:rPr>
                <w:rFonts w:cs="Arial"/>
                <w:sz w:val="19"/>
                <w:szCs w:val="19"/>
              </w:rPr>
              <w:t>Net increase</w:t>
            </w:r>
            <w:r>
              <w:rPr>
                <w:rFonts w:cs="Arial"/>
                <w:sz w:val="19"/>
                <w:szCs w:val="19"/>
              </w:rPr>
              <w:t>/</w:t>
            </w:r>
            <w:r w:rsidRPr="00D06AB3">
              <w:rPr>
                <w:rFonts w:cs="Arial"/>
                <w:sz w:val="19"/>
                <w:szCs w:val="19"/>
              </w:rPr>
              <w:t xml:space="preserve">(decrease) </w:t>
            </w:r>
            <w:r>
              <w:rPr>
                <w:rFonts w:cs="Arial"/>
                <w:sz w:val="19"/>
                <w:szCs w:val="19"/>
              </w:rPr>
              <w:t xml:space="preserve"> </w:t>
            </w:r>
            <w:r w:rsidRPr="00DB4DE9">
              <w:rPr>
                <w:rFonts w:cs="Arial"/>
                <w:sz w:val="19"/>
                <w:szCs w:val="19"/>
              </w:rPr>
              <w:t>in deposits from banks and companies</w:t>
            </w:r>
          </w:p>
        </w:tc>
        <w:tc>
          <w:tcPr>
            <w:tcW w:w="607" w:type="pct"/>
            <w:tcBorders>
              <w:top w:val="nil"/>
              <w:left w:val="nil"/>
              <w:bottom w:val="nil"/>
              <w:right w:val="nil"/>
            </w:tcBorders>
            <w:shd w:val="clear" w:color="000000" w:fill="auto"/>
            <w:vAlign w:val="bottom"/>
          </w:tcPr>
          <w:p w14:paraId="30E73AF9" w14:textId="574CFD00" w:rsidR="008C4745" w:rsidRPr="006B318F" w:rsidRDefault="008C4745" w:rsidP="008C4745">
            <w:pPr>
              <w:keepLines/>
              <w:spacing w:after="0" w:line="240" w:lineRule="exact"/>
              <w:jc w:val="right"/>
              <w:rPr>
                <w:rFonts w:eastAsia="Times New Roman" w:cs="Calibri"/>
                <w:sz w:val="19"/>
                <w:szCs w:val="19"/>
                <w:lang w:eastAsia="hr-HR"/>
              </w:rPr>
            </w:pPr>
            <w:r w:rsidRPr="006B318F">
              <w:rPr>
                <w:rFonts w:eastAsia="Times New Roman" w:cs="Calibri"/>
                <w:sz w:val="19"/>
                <w:szCs w:val="19"/>
                <w:lang w:eastAsia="hr-HR"/>
              </w:rPr>
              <w:t xml:space="preserve"> 797,940 </w:t>
            </w:r>
          </w:p>
        </w:tc>
        <w:tc>
          <w:tcPr>
            <w:tcW w:w="606" w:type="pct"/>
            <w:shd w:val="clear" w:color="000000" w:fill="auto"/>
            <w:vAlign w:val="bottom"/>
          </w:tcPr>
          <w:p w14:paraId="31CE1E2D" w14:textId="35310E53" w:rsidR="008C4745" w:rsidRPr="001E7720" w:rsidRDefault="008C4745" w:rsidP="008C4745">
            <w:pPr>
              <w:keepLines/>
              <w:spacing w:after="0" w:line="240" w:lineRule="exact"/>
              <w:jc w:val="right"/>
              <w:rPr>
                <w:rFonts w:eastAsia="Times New Roman" w:cs="Arial"/>
                <w:sz w:val="19"/>
                <w:szCs w:val="19"/>
              </w:rPr>
            </w:pPr>
            <w:r>
              <w:rPr>
                <w:rFonts w:eastAsia="Times New Roman" w:cs="Calibri"/>
                <w:sz w:val="19"/>
                <w:szCs w:val="19"/>
                <w:lang w:eastAsia="hr-HR"/>
              </w:rPr>
              <w:t>(44,040)</w:t>
            </w:r>
          </w:p>
        </w:tc>
      </w:tr>
      <w:tr w:rsidR="008C4745" w:rsidRPr="00DB4DE9" w14:paraId="04A4927A" w14:textId="77777777" w:rsidTr="006B318F">
        <w:tc>
          <w:tcPr>
            <w:tcW w:w="3787" w:type="pct"/>
          </w:tcPr>
          <w:p w14:paraId="0167B881" w14:textId="77777777" w:rsidR="008C4745" w:rsidRPr="00DB4DE9" w:rsidRDefault="008C4745" w:rsidP="008C4745">
            <w:pPr>
              <w:keepLines/>
              <w:tabs>
                <w:tab w:val="right" w:pos="1202"/>
              </w:tabs>
              <w:spacing w:after="0" w:line="240" w:lineRule="exact"/>
              <w:outlineLvl w:val="0"/>
              <w:rPr>
                <w:rFonts w:eastAsia="Times New Roman" w:cs="Arial"/>
                <w:spacing w:val="-2"/>
                <w:sz w:val="19"/>
                <w:szCs w:val="19"/>
              </w:rPr>
            </w:pPr>
            <w:r w:rsidRPr="00DB4DE9">
              <w:rPr>
                <w:rFonts w:cs="Arial"/>
                <w:sz w:val="19"/>
                <w:szCs w:val="19"/>
              </w:rPr>
              <w:t>Net (decrease) in other liabilities, before provisions</w:t>
            </w:r>
          </w:p>
        </w:tc>
        <w:tc>
          <w:tcPr>
            <w:tcW w:w="607" w:type="pct"/>
            <w:tcBorders>
              <w:top w:val="nil"/>
              <w:left w:val="nil"/>
              <w:bottom w:val="nil"/>
              <w:right w:val="nil"/>
            </w:tcBorders>
            <w:shd w:val="clear" w:color="000000" w:fill="auto"/>
            <w:vAlign w:val="bottom"/>
          </w:tcPr>
          <w:p w14:paraId="031DD794" w14:textId="35FF4EE9" w:rsidR="008C4745" w:rsidRPr="006B318F" w:rsidRDefault="008C4745" w:rsidP="008C4745">
            <w:pPr>
              <w:keepLines/>
              <w:spacing w:after="0" w:line="240" w:lineRule="exact"/>
              <w:jc w:val="right"/>
              <w:rPr>
                <w:rFonts w:eastAsia="Times New Roman" w:cs="Calibri"/>
                <w:sz w:val="19"/>
                <w:szCs w:val="19"/>
                <w:lang w:eastAsia="hr-HR"/>
              </w:rPr>
            </w:pPr>
            <w:r w:rsidRPr="006B318F">
              <w:rPr>
                <w:rFonts w:eastAsia="Times New Roman" w:cs="Calibri"/>
                <w:sz w:val="19"/>
                <w:szCs w:val="19"/>
                <w:lang w:eastAsia="hr-HR"/>
              </w:rPr>
              <w:t xml:space="preserve"> (75,381)</w:t>
            </w:r>
          </w:p>
        </w:tc>
        <w:tc>
          <w:tcPr>
            <w:tcW w:w="606" w:type="pct"/>
            <w:tcBorders>
              <w:top w:val="nil"/>
              <w:left w:val="nil"/>
              <w:bottom w:val="nil"/>
              <w:right w:val="nil"/>
            </w:tcBorders>
            <w:shd w:val="clear" w:color="000000" w:fill="auto"/>
            <w:vAlign w:val="bottom"/>
          </w:tcPr>
          <w:p w14:paraId="2AE3EA69" w14:textId="7D8B1D54" w:rsidR="008C4745" w:rsidRPr="001E7720" w:rsidRDefault="008C4745" w:rsidP="008C4745">
            <w:pPr>
              <w:keepLines/>
              <w:spacing w:after="0" w:line="240" w:lineRule="exact"/>
              <w:jc w:val="right"/>
              <w:rPr>
                <w:rFonts w:eastAsia="Times New Roman" w:cs="Arial"/>
                <w:sz w:val="19"/>
                <w:szCs w:val="19"/>
              </w:rPr>
            </w:pPr>
            <w:r w:rsidRPr="00F03036">
              <w:rPr>
                <w:rFonts w:asciiTheme="minorHAnsi" w:hAnsiTheme="minorHAnsi"/>
                <w:sz w:val="19"/>
                <w:szCs w:val="19"/>
                <w:lang w:val="pl-PL"/>
              </w:rPr>
              <w:t>(100,366)</w:t>
            </w:r>
            <w:r w:rsidRPr="00F03036" w:rsidDel="005414B8">
              <w:rPr>
                <w:rFonts w:asciiTheme="minorHAnsi" w:hAnsiTheme="minorHAnsi"/>
                <w:sz w:val="19"/>
                <w:szCs w:val="19"/>
                <w:lang w:val="pl-PL"/>
              </w:rPr>
              <w:t xml:space="preserve"> </w:t>
            </w:r>
          </w:p>
        </w:tc>
      </w:tr>
      <w:tr w:rsidR="008C4745" w:rsidRPr="00DB4DE9" w14:paraId="65AA337F" w14:textId="77777777" w:rsidTr="006B318F">
        <w:trPr>
          <w:trHeight w:hRule="exact" w:val="113"/>
        </w:trPr>
        <w:tc>
          <w:tcPr>
            <w:tcW w:w="3787" w:type="pct"/>
            <w:tcBorders>
              <w:bottom w:val="single" w:sz="4" w:space="0" w:color="auto"/>
            </w:tcBorders>
          </w:tcPr>
          <w:p w14:paraId="389412B9" w14:textId="77777777" w:rsidR="008C4745" w:rsidRPr="00DB4DE9" w:rsidRDefault="008C4745" w:rsidP="008C4745">
            <w:pPr>
              <w:keepLines/>
              <w:spacing w:after="0" w:line="240" w:lineRule="exact"/>
              <w:ind w:right="731"/>
              <w:jc w:val="right"/>
              <w:rPr>
                <w:rFonts w:eastAsia="Times New Roman" w:cs="Arial"/>
                <w:b/>
                <w:position w:val="4"/>
                <w:sz w:val="19"/>
                <w:szCs w:val="19"/>
              </w:rPr>
            </w:pPr>
          </w:p>
        </w:tc>
        <w:tc>
          <w:tcPr>
            <w:tcW w:w="607" w:type="pct"/>
            <w:tcBorders>
              <w:bottom w:val="single" w:sz="4" w:space="0" w:color="auto"/>
            </w:tcBorders>
            <w:shd w:val="clear" w:color="auto" w:fill="auto"/>
            <w:vAlign w:val="bottom"/>
          </w:tcPr>
          <w:p w14:paraId="239F0E79" w14:textId="77777777" w:rsidR="008C4745" w:rsidRPr="00DB4DE9" w:rsidRDefault="008C4745" w:rsidP="008C4745">
            <w:pPr>
              <w:keepLines/>
              <w:spacing w:after="0" w:line="240" w:lineRule="exact"/>
              <w:jc w:val="right"/>
              <w:rPr>
                <w:rFonts w:eastAsia="Times New Roman" w:cs="Arial"/>
                <w:spacing w:val="-2"/>
                <w:position w:val="4"/>
                <w:sz w:val="19"/>
                <w:szCs w:val="19"/>
              </w:rPr>
            </w:pPr>
          </w:p>
        </w:tc>
        <w:tc>
          <w:tcPr>
            <w:tcW w:w="606" w:type="pct"/>
            <w:tcBorders>
              <w:bottom w:val="single" w:sz="4" w:space="0" w:color="auto"/>
            </w:tcBorders>
            <w:shd w:val="clear" w:color="auto" w:fill="auto"/>
            <w:vAlign w:val="bottom"/>
          </w:tcPr>
          <w:p w14:paraId="27FB1039" w14:textId="77777777" w:rsidR="008C4745" w:rsidRPr="001E7720" w:rsidRDefault="008C4745" w:rsidP="008C4745">
            <w:pPr>
              <w:keepLines/>
              <w:spacing w:after="0" w:line="240" w:lineRule="exact"/>
              <w:jc w:val="right"/>
              <w:rPr>
                <w:rFonts w:eastAsia="Times New Roman" w:cs="Arial"/>
                <w:spacing w:val="-2"/>
                <w:position w:val="4"/>
                <w:sz w:val="19"/>
                <w:szCs w:val="19"/>
              </w:rPr>
            </w:pPr>
          </w:p>
        </w:tc>
      </w:tr>
      <w:tr w:rsidR="008C4745" w:rsidRPr="00DB4DE9" w14:paraId="3621C1D4" w14:textId="77777777" w:rsidTr="006B318F">
        <w:trPr>
          <w:trHeight w:val="228"/>
        </w:trPr>
        <w:tc>
          <w:tcPr>
            <w:tcW w:w="3787" w:type="pct"/>
            <w:tcBorders>
              <w:top w:val="single" w:sz="4" w:space="0" w:color="auto"/>
              <w:bottom w:val="single" w:sz="12" w:space="0" w:color="auto"/>
            </w:tcBorders>
          </w:tcPr>
          <w:p w14:paraId="4D867257" w14:textId="11DAEA0C" w:rsidR="008C4745" w:rsidRPr="00DB4DE9" w:rsidRDefault="008C4745" w:rsidP="008C4745">
            <w:pPr>
              <w:keepLines/>
              <w:tabs>
                <w:tab w:val="right" w:pos="1202"/>
              </w:tabs>
              <w:spacing w:after="0" w:line="240" w:lineRule="exact"/>
              <w:outlineLvl w:val="0"/>
              <w:rPr>
                <w:rFonts w:eastAsia="Times New Roman" w:cs="Arial"/>
                <w:b/>
                <w:bCs/>
                <w:spacing w:val="-3"/>
                <w:sz w:val="19"/>
                <w:szCs w:val="19"/>
              </w:rPr>
            </w:pPr>
            <w:r w:rsidRPr="00DB4DE9">
              <w:rPr>
                <w:rFonts w:cs="Arial"/>
                <w:b/>
                <w:bCs/>
                <w:sz w:val="19"/>
                <w:szCs w:val="19"/>
              </w:rPr>
              <w:t>Net cash provided by</w:t>
            </w:r>
            <w:r w:rsidRPr="00D06AB3">
              <w:rPr>
                <w:rFonts w:cs="Arial"/>
                <w:b/>
                <w:bCs/>
                <w:sz w:val="19"/>
                <w:szCs w:val="19"/>
              </w:rPr>
              <w:t xml:space="preserve">/(used in) </w:t>
            </w:r>
            <w:r w:rsidRPr="00DB4DE9">
              <w:rPr>
                <w:rFonts w:cs="Arial"/>
                <w:b/>
                <w:bCs/>
                <w:sz w:val="19"/>
                <w:szCs w:val="19"/>
              </w:rPr>
              <w:t xml:space="preserve"> operating activities</w:t>
            </w:r>
          </w:p>
        </w:tc>
        <w:tc>
          <w:tcPr>
            <w:tcW w:w="607" w:type="pct"/>
            <w:tcBorders>
              <w:top w:val="single" w:sz="4" w:space="0" w:color="auto"/>
            </w:tcBorders>
            <w:shd w:val="clear" w:color="auto" w:fill="auto"/>
            <w:vAlign w:val="bottom"/>
          </w:tcPr>
          <w:p w14:paraId="39DD6054" w14:textId="183F84B5" w:rsidR="008C4745" w:rsidRPr="00DB4DE9" w:rsidRDefault="008C4745" w:rsidP="008C4745">
            <w:pPr>
              <w:spacing w:after="0" w:line="240" w:lineRule="exact"/>
              <w:jc w:val="right"/>
              <w:rPr>
                <w:rFonts w:eastAsia="Times New Roman" w:cs="Arial"/>
                <w:b/>
                <w:spacing w:val="-2"/>
                <w:sz w:val="19"/>
                <w:szCs w:val="19"/>
              </w:rPr>
            </w:pPr>
            <w:r w:rsidRPr="003F5600">
              <w:rPr>
                <w:rFonts w:eastAsia="Times New Roman" w:cs="Arial"/>
                <w:b/>
                <w:spacing w:val="-2"/>
                <w:sz w:val="19"/>
                <w:szCs w:val="19"/>
              </w:rPr>
              <w:t>95</w:t>
            </w:r>
            <w:r>
              <w:rPr>
                <w:rFonts w:eastAsia="Times New Roman" w:cs="Arial"/>
                <w:b/>
                <w:spacing w:val="-2"/>
                <w:sz w:val="19"/>
                <w:szCs w:val="19"/>
              </w:rPr>
              <w:t>,</w:t>
            </w:r>
            <w:r w:rsidRPr="003F5600">
              <w:rPr>
                <w:rFonts w:eastAsia="Times New Roman" w:cs="Arial"/>
                <w:b/>
                <w:spacing w:val="-2"/>
                <w:sz w:val="19"/>
                <w:szCs w:val="19"/>
              </w:rPr>
              <w:t xml:space="preserve">137 </w:t>
            </w:r>
          </w:p>
        </w:tc>
        <w:tc>
          <w:tcPr>
            <w:tcW w:w="606" w:type="pct"/>
            <w:tcBorders>
              <w:top w:val="single" w:sz="4" w:space="0" w:color="auto"/>
            </w:tcBorders>
            <w:shd w:val="clear" w:color="auto" w:fill="auto"/>
            <w:vAlign w:val="bottom"/>
          </w:tcPr>
          <w:p w14:paraId="7CC53F7E" w14:textId="7017BEAC" w:rsidR="008C4745" w:rsidRPr="001E7720" w:rsidRDefault="008C4745" w:rsidP="008C4745">
            <w:pPr>
              <w:spacing w:after="0" w:line="240" w:lineRule="exact"/>
              <w:jc w:val="right"/>
              <w:rPr>
                <w:rFonts w:eastAsia="Times New Roman" w:cs="Arial"/>
                <w:b/>
                <w:spacing w:val="-2"/>
                <w:sz w:val="19"/>
                <w:szCs w:val="19"/>
              </w:rPr>
            </w:pPr>
            <w:r w:rsidRPr="00F03036">
              <w:rPr>
                <w:rFonts w:eastAsia="Times New Roman" w:cs="Arial"/>
                <w:b/>
                <w:spacing w:val="-2"/>
                <w:sz w:val="19"/>
                <w:szCs w:val="19"/>
              </w:rPr>
              <w:t>(462,913)</w:t>
            </w:r>
          </w:p>
        </w:tc>
      </w:tr>
      <w:tr w:rsidR="005C74E6" w:rsidRPr="00DB4DE9" w14:paraId="614FAF81" w14:textId="77777777" w:rsidTr="006B318F">
        <w:trPr>
          <w:trHeight w:hRule="exact" w:val="113"/>
        </w:trPr>
        <w:tc>
          <w:tcPr>
            <w:tcW w:w="3787" w:type="pct"/>
            <w:tcBorders>
              <w:top w:val="single" w:sz="12" w:space="0" w:color="auto"/>
            </w:tcBorders>
            <w:vAlign w:val="bottom"/>
          </w:tcPr>
          <w:p w14:paraId="4815C200" w14:textId="77777777" w:rsidR="005C74E6" w:rsidRPr="00DB4DE9" w:rsidRDefault="005C74E6" w:rsidP="005C74E6">
            <w:pPr>
              <w:keepLines/>
              <w:tabs>
                <w:tab w:val="decimal" w:pos="1202"/>
              </w:tabs>
              <w:spacing w:after="0" w:line="240" w:lineRule="exact"/>
              <w:rPr>
                <w:rFonts w:eastAsia="Times New Roman" w:cs="Arial"/>
                <w:b/>
                <w:position w:val="4"/>
                <w:sz w:val="19"/>
                <w:szCs w:val="19"/>
                <w:u w:val="thick"/>
              </w:rPr>
            </w:pPr>
          </w:p>
        </w:tc>
        <w:tc>
          <w:tcPr>
            <w:tcW w:w="607" w:type="pct"/>
            <w:tcBorders>
              <w:top w:val="single" w:sz="12" w:space="0" w:color="auto"/>
            </w:tcBorders>
            <w:vAlign w:val="bottom"/>
          </w:tcPr>
          <w:p w14:paraId="05C047A1" w14:textId="77777777" w:rsidR="005C74E6" w:rsidRPr="00DB4DE9" w:rsidRDefault="005C74E6" w:rsidP="005C74E6">
            <w:pPr>
              <w:keepLines/>
              <w:spacing w:after="0" w:line="240" w:lineRule="exact"/>
              <w:jc w:val="right"/>
              <w:rPr>
                <w:rFonts w:eastAsia="Times New Roman" w:cs="Arial"/>
                <w:b/>
                <w:position w:val="4"/>
                <w:sz w:val="19"/>
                <w:szCs w:val="19"/>
                <w:u w:val="thick"/>
              </w:rPr>
            </w:pPr>
          </w:p>
        </w:tc>
        <w:tc>
          <w:tcPr>
            <w:tcW w:w="606" w:type="pct"/>
            <w:tcBorders>
              <w:top w:val="single" w:sz="12" w:space="0" w:color="auto"/>
            </w:tcBorders>
            <w:vAlign w:val="bottom"/>
          </w:tcPr>
          <w:p w14:paraId="3C88A5DC" w14:textId="77777777" w:rsidR="005C74E6" w:rsidRPr="00DB4DE9" w:rsidRDefault="005C74E6" w:rsidP="005C74E6">
            <w:pPr>
              <w:keepLines/>
              <w:spacing w:after="0" w:line="240" w:lineRule="exact"/>
              <w:jc w:val="right"/>
              <w:rPr>
                <w:rFonts w:eastAsia="Times New Roman" w:cs="Arial"/>
                <w:b/>
                <w:position w:val="4"/>
                <w:sz w:val="19"/>
                <w:szCs w:val="19"/>
                <w:u w:val="thick"/>
              </w:rPr>
            </w:pPr>
          </w:p>
        </w:tc>
      </w:tr>
      <w:tr w:rsidR="005C74E6" w:rsidRPr="00DB4DE9" w14:paraId="04368F12" w14:textId="77777777" w:rsidTr="006B318F">
        <w:tc>
          <w:tcPr>
            <w:tcW w:w="3787" w:type="pct"/>
          </w:tcPr>
          <w:p w14:paraId="490CC5C0" w14:textId="77777777" w:rsidR="005C74E6" w:rsidRPr="00DB4DE9" w:rsidRDefault="005C74E6" w:rsidP="005C74E6">
            <w:pPr>
              <w:keepLines/>
              <w:tabs>
                <w:tab w:val="right" w:pos="1202"/>
              </w:tabs>
              <w:spacing w:after="0" w:line="240" w:lineRule="exact"/>
              <w:outlineLvl w:val="0"/>
              <w:rPr>
                <w:rFonts w:eastAsia="Times New Roman" w:cs="Arial"/>
                <w:b/>
                <w:bCs/>
                <w:sz w:val="19"/>
                <w:szCs w:val="19"/>
              </w:rPr>
            </w:pPr>
            <w:r w:rsidRPr="00DB4DE9">
              <w:rPr>
                <w:rFonts w:eastAsia="Times New Roman" w:cs="Arial"/>
                <w:b/>
                <w:bCs/>
                <w:sz w:val="19"/>
                <w:szCs w:val="19"/>
              </w:rPr>
              <w:t>Investment activities</w:t>
            </w:r>
          </w:p>
        </w:tc>
        <w:tc>
          <w:tcPr>
            <w:tcW w:w="607" w:type="pct"/>
            <w:vAlign w:val="bottom"/>
          </w:tcPr>
          <w:p w14:paraId="0A0B2115" w14:textId="77777777" w:rsidR="005C74E6" w:rsidRPr="00DB4DE9" w:rsidRDefault="005C74E6" w:rsidP="005C74E6">
            <w:pPr>
              <w:keepLines/>
              <w:tabs>
                <w:tab w:val="right" w:pos="1202"/>
              </w:tabs>
              <w:spacing w:after="0" w:line="240" w:lineRule="exact"/>
              <w:jc w:val="right"/>
              <w:outlineLvl w:val="0"/>
              <w:rPr>
                <w:rFonts w:eastAsia="Times New Roman" w:cs="Arial"/>
                <w:b/>
                <w:bCs/>
                <w:sz w:val="19"/>
                <w:szCs w:val="19"/>
              </w:rPr>
            </w:pPr>
          </w:p>
        </w:tc>
        <w:tc>
          <w:tcPr>
            <w:tcW w:w="606" w:type="pct"/>
            <w:vAlign w:val="bottom"/>
          </w:tcPr>
          <w:p w14:paraId="6800DD4C" w14:textId="77777777" w:rsidR="005C74E6" w:rsidRPr="00DB4DE9" w:rsidRDefault="005C74E6" w:rsidP="005C74E6">
            <w:pPr>
              <w:keepLines/>
              <w:tabs>
                <w:tab w:val="right" w:pos="1202"/>
              </w:tabs>
              <w:spacing w:after="0" w:line="240" w:lineRule="exact"/>
              <w:jc w:val="right"/>
              <w:outlineLvl w:val="0"/>
              <w:rPr>
                <w:rFonts w:eastAsia="Times New Roman" w:cs="Arial"/>
                <w:b/>
                <w:bCs/>
                <w:sz w:val="19"/>
                <w:szCs w:val="19"/>
              </w:rPr>
            </w:pPr>
          </w:p>
        </w:tc>
      </w:tr>
      <w:tr w:rsidR="00F03036" w:rsidRPr="00DB4DE9" w14:paraId="4B111718" w14:textId="77777777" w:rsidTr="006B318F">
        <w:tc>
          <w:tcPr>
            <w:tcW w:w="3787" w:type="pct"/>
          </w:tcPr>
          <w:p w14:paraId="3C1B4C94" w14:textId="77777777" w:rsidR="00F03036" w:rsidRPr="00DB4DE9" w:rsidRDefault="00F03036" w:rsidP="00F03036">
            <w:pPr>
              <w:keepLines/>
              <w:tabs>
                <w:tab w:val="right" w:pos="1202"/>
              </w:tabs>
              <w:spacing w:after="0" w:line="240" w:lineRule="exact"/>
              <w:outlineLvl w:val="0"/>
              <w:rPr>
                <w:rFonts w:eastAsia="Times New Roman" w:cs="Arial"/>
                <w:bCs/>
                <w:sz w:val="19"/>
                <w:szCs w:val="19"/>
              </w:rPr>
            </w:pPr>
            <w:r w:rsidRPr="00DB4DE9">
              <w:rPr>
                <w:rFonts w:cs="Arial"/>
                <w:sz w:val="19"/>
                <w:szCs w:val="19"/>
              </w:rPr>
              <w:t>Net (purchase) of assets available for sale</w:t>
            </w:r>
          </w:p>
        </w:tc>
        <w:tc>
          <w:tcPr>
            <w:tcW w:w="607" w:type="pct"/>
            <w:shd w:val="clear" w:color="auto" w:fill="auto"/>
            <w:vAlign w:val="bottom"/>
          </w:tcPr>
          <w:p w14:paraId="7E559597" w14:textId="1D375119" w:rsidR="00F03036" w:rsidRPr="00DB4DE9" w:rsidRDefault="008C4745" w:rsidP="00F03036">
            <w:pPr>
              <w:keepLines/>
              <w:tabs>
                <w:tab w:val="right" w:pos="1202"/>
              </w:tabs>
              <w:spacing w:after="0" w:line="240" w:lineRule="exact"/>
              <w:jc w:val="right"/>
              <w:outlineLvl w:val="0"/>
              <w:rPr>
                <w:rFonts w:eastAsia="Times New Roman" w:cs="Arial"/>
                <w:bCs/>
                <w:sz w:val="19"/>
                <w:szCs w:val="19"/>
              </w:rPr>
            </w:pPr>
            <w:r w:rsidRPr="008C4745">
              <w:rPr>
                <w:rFonts w:eastAsia="Times New Roman" w:cs="Arial"/>
                <w:bCs/>
                <w:sz w:val="19"/>
                <w:szCs w:val="19"/>
              </w:rPr>
              <w:t>(1,233,053)</w:t>
            </w:r>
            <w:r w:rsidRPr="008C4745" w:rsidDel="005414B8">
              <w:rPr>
                <w:rFonts w:eastAsia="Times New Roman" w:cs="Arial"/>
                <w:bCs/>
                <w:sz w:val="19"/>
                <w:szCs w:val="19"/>
              </w:rPr>
              <w:t xml:space="preserve"> </w:t>
            </w:r>
          </w:p>
        </w:tc>
        <w:tc>
          <w:tcPr>
            <w:tcW w:w="606" w:type="pct"/>
            <w:shd w:val="clear" w:color="auto" w:fill="auto"/>
            <w:vAlign w:val="bottom"/>
          </w:tcPr>
          <w:p w14:paraId="3458BB2A" w14:textId="6EB7229B" w:rsidR="00F03036" w:rsidRPr="001E7720" w:rsidRDefault="00F03036" w:rsidP="00F03036">
            <w:pPr>
              <w:keepLines/>
              <w:tabs>
                <w:tab w:val="right" w:pos="1202"/>
              </w:tabs>
              <w:spacing w:after="0" w:line="240" w:lineRule="exact"/>
              <w:jc w:val="right"/>
              <w:outlineLvl w:val="0"/>
              <w:rPr>
                <w:rFonts w:eastAsia="Times New Roman" w:cs="Arial"/>
                <w:bCs/>
                <w:sz w:val="19"/>
                <w:szCs w:val="19"/>
              </w:rPr>
            </w:pPr>
            <w:r>
              <w:rPr>
                <w:rFonts w:eastAsia="Times New Roman" w:cs="Calibri"/>
                <w:spacing w:val="-2"/>
                <w:sz w:val="19"/>
                <w:szCs w:val="19"/>
              </w:rPr>
              <w:t>(2,022,409)</w:t>
            </w:r>
          </w:p>
        </w:tc>
      </w:tr>
      <w:tr w:rsidR="008C4745" w:rsidRPr="00DB4DE9" w14:paraId="391D6CDE" w14:textId="77777777" w:rsidTr="006B318F">
        <w:tc>
          <w:tcPr>
            <w:tcW w:w="3787" w:type="pct"/>
          </w:tcPr>
          <w:p w14:paraId="69AFCF94" w14:textId="77777777" w:rsidR="008C4745" w:rsidRPr="00DB4DE9" w:rsidRDefault="008C4745" w:rsidP="008C4745">
            <w:pPr>
              <w:keepLines/>
              <w:tabs>
                <w:tab w:val="right" w:pos="1202"/>
              </w:tabs>
              <w:spacing w:after="0" w:line="240" w:lineRule="exact"/>
              <w:outlineLvl w:val="0"/>
              <w:rPr>
                <w:rFonts w:eastAsia="Times New Roman" w:cs="Arial"/>
                <w:spacing w:val="-2"/>
                <w:sz w:val="19"/>
                <w:szCs w:val="19"/>
              </w:rPr>
            </w:pPr>
            <w:r w:rsidRPr="00DB4DE9">
              <w:rPr>
                <w:rFonts w:cs="Arial"/>
                <w:sz w:val="19"/>
                <w:szCs w:val="19"/>
              </w:rPr>
              <w:t>Sale of assets available for sale</w:t>
            </w:r>
          </w:p>
        </w:tc>
        <w:tc>
          <w:tcPr>
            <w:tcW w:w="607" w:type="pct"/>
            <w:shd w:val="clear" w:color="auto" w:fill="auto"/>
            <w:vAlign w:val="bottom"/>
          </w:tcPr>
          <w:p w14:paraId="18BB5522" w14:textId="24F1AD88" w:rsidR="008C4745" w:rsidRPr="00DB4DE9" w:rsidRDefault="008C4745" w:rsidP="008C4745">
            <w:pPr>
              <w:keepLines/>
              <w:tabs>
                <w:tab w:val="right" w:pos="1202"/>
              </w:tabs>
              <w:spacing w:after="0" w:line="240" w:lineRule="exact"/>
              <w:jc w:val="right"/>
              <w:outlineLvl w:val="0"/>
              <w:rPr>
                <w:rFonts w:eastAsia="Times New Roman" w:cs="Arial"/>
                <w:spacing w:val="-2"/>
                <w:sz w:val="19"/>
                <w:szCs w:val="19"/>
              </w:rPr>
            </w:pPr>
            <w:r w:rsidRPr="00CE0613">
              <w:rPr>
                <w:rFonts w:eastAsia="Times New Roman" w:cs="Arial"/>
                <w:bCs/>
                <w:sz w:val="19"/>
                <w:szCs w:val="19"/>
              </w:rPr>
              <w:t xml:space="preserve"> 1</w:t>
            </w:r>
            <w:r>
              <w:rPr>
                <w:rFonts w:eastAsia="Times New Roman" w:cs="Arial"/>
                <w:bCs/>
                <w:sz w:val="19"/>
                <w:szCs w:val="19"/>
              </w:rPr>
              <w:t>,</w:t>
            </w:r>
            <w:r w:rsidRPr="00CE0613">
              <w:rPr>
                <w:rFonts w:eastAsia="Times New Roman" w:cs="Arial"/>
                <w:bCs/>
                <w:sz w:val="19"/>
                <w:szCs w:val="19"/>
              </w:rPr>
              <w:t>316</w:t>
            </w:r>
            <w:r>
              <w:rPr>
                <w:rFonts w:eastAsia="Times New Roman" w:cs="Arial"/>
                <w:bCs/>
                <w:sz w:val="19"/>
                <w:szCs w:val="19"/>
              </w:rPr>
              <w:t>,</w:t>
            </w:r>
            <w:r w:rsidRPr="00CE0613">
              <w:rPr>
                <w:rFonts w:eastAsia="Times New Roman" w:cs="Arial"/>
                <w:bCs/>
                <w:sz w:val="19"/>
                <w:szCs w:val="19"/>
              </w:rPr>
              <w:t xml:space="preserve">657 </w:t>
            </w:r>
          </w:p>
        </w:tc>
        <w:tc>
          <w:tcPr>
            <w:tcW w:w="606" w:type="pct"/>
            <w:shd w:val="clear" w:color="auto" w:fill="auto"/>
            <w:vAlign w:val="bottom"/>
          </w:tcPr>
          <w:p w14:paraId="65BDB032" w14:textId="6CEFF0B5" w:rsidR="008C4745" w:rsidRPr="001E7720" w:rsidRDefault="008C4745" w:rsidP="008C4745">
            <w:pPr>
              <w:keepLines/>
              <w:tabs>
                <w:tab w:val="right" w:pos="1202"/>
              </w:tabs>
              <w:spacing w:after="0" w:line="240" w:lineRule="exact"/>
              <w:jc w:val="right"/>
              <w:outlineLvl w:val="0"/>
              <w:rPr>
                <w:rFonts w:eastAsia="Times New Roman" w:cs="Arial"/>
                <w:spacing w:val="-2"/>
                <w:sz w:val="19"/>
                <w:szCs w:val="19"/>
              </w:rPr>
            </w:pPr>
            <w:r>
              <w:rPr>
                <w:rFonts w:eastAsia="Times New Roman" w:cs="Calibri"/>
                <w:spacing w:val="-2"/>
                <w:sz w:val="19"/>
                <w:szCs w:val="19"/>
                <w:lang w:eastAsia="hr-HR"/>
              </w:rPr>
              <w:t>1,379,193</w:t>
            </w:r>
          </w:p>
        </w:tc>
      </w:tr>
      <w:tr w:rsidR="008C4745" w:rsidRPr="00DB4DE9" w14:paraId="5EF2680F" w14:textId="77777777" w:rsidTr="006B318F">
        <w:tc>
          <w:tcPr>
            <w:tcW w:w="3787" w:type="pct"/>
          </w:tcPr>
          <w:p w14:paraId="38E66068" w14:textId="77777777" w:rsidR="008C4745" w:rsidRPr="00DB4DE9" w:rsidRDefault="008C4745" w:rsidP="008C4745">
            <w:pPr>
              <w:keepLines/>
              <w:tabs>
                <w:tab w:val="right" w:pos="1202"/>
              </w:tabs>
              <w:spacing w:after="0" w:line="240" w:lineRule="exact"/>
              <w:outlineLvl w:val="0"/>
              <w:rPr>
                <w:rFonts w:eastAsia="Times New Roman" w:cs="Arial"/>
                <w:spacing w:val="-2"/>
                <w:sz w:val="19"/>
                <w:szCs w:val="19"/>
              </w:rPr>
            </w:pPr>
            <w:r w:rsidRPr="00DB4DE9">
              <w:rPr>
                <w:rFonts w:cs="Arial"/>
                <w:sz w:val="19"/>
                <w:szCs w:val="19"/>
              </w:rPr>
              <w:t>Net (purchase) of property, plant and equipment and intangible assets</w:t>
            </w:r>
          </w:p>
        </w:tc>
        <w:tc>
          <w:tcPr>
            <w:tcW w:w="607" w:type="pct"/>
            <w:shd w:val="clear" w:color="auto" w:fill="auto"/>
            <w:vAlign w:val="bottom"/>
          </w:tcPr>
          <w:p w14:paraId="790D54DD" w14:textId="1612C910" w:rsidR="008C4745" w:rsidRPr="00DB4DE9" w:rsidRDefault="008C4745" w:rsidP="008C4745">
            <w:pPr>
              <w:keepLines/>
              <w:spacing w:after="0" w:line="240" w:lineRule="exact"/>
              <w:jc w:val="right"/>
              <w:rPr>
                <w:rFonts w:eastAsia="Times New Roman" w:cs="Arial"/>
                <w:spacing w:val="-2"/>
                <w:sz w:val="19"/>
                <w:szCs w:val="19"/>
              </w:rPr>
            </w:pPr>
            <w:r w:rsidRPr="00CE0613">
              <w:rPr>
                <w:rFonts w:eastAsia="Times New Roman" w:cs="Arial"/>
                <w:bCs/>
                <w:sz w:val="19"/>
                <w:szCs w:val="19"/>
              </w:rPr>
              <w:t xml:space="preserve"> (2</w:t>
            </w:r>
            <w:r>
              <w:rPr>
                <w:rFonts w:eastAsia="Times New Roman" w:cs="Arial"/>
                <w:bCs/>
                <w:sz w:val="19"/>
                <w:szCs w:val="19"/>
              </w:rPr>
              <w:t>,</w:t>
            </w:r>
            <w:r w:rsidRPr="00CE0613">
              <w:rPr>
                <w:rFonts w:eastAsia="Times New Roman" w:cs="Arial"/>
                <w:bCs/>
                <w:sz w:val="19"/>
                <w:szCs w:val="19"/>
              </w:rPr>
              <w:t>454)</w:t>
            </w:r>
          </w:p>
        </w:tc>
        <w:tc>
          <w:tcPr>
            <w:tcW w:w="606" w:type="pct"/>
            <w:shd w:val="clear" w:color="auto" w:fill="auto"/>
            <w:vAlign w:val="bottom"/>
          </w:tcPr>
          <w:p w14:paraId="0F7D8F62" w14:textId="69B82255" w:rsidR="008C4745" w:rsidRPr="001E7720" w:rsidRDefault="008C4745" w:rsidP="008C4745">
            <w:pPr>
              <w:keepLines/>
              <w:spacing w:after="0" w:line="240" w:lineRule="exact"/>
              <w:jc w:val="right"/>
              <w:rPr>
                <w:rFonts w:eastAsia="Times New Roman" w:cs="Arial"/>
                <w:spacing w:val="-2"/>
                <w:sz w:val="19"/>
                <w:szCs w:val="19"/>
              </w:rPr>
            </w:pPr>
            <w:r w:rsidRPr="00F03036">
              <w:rPr>
                <w:rFonts w:eastAsia="Times New Roman" w:cs="Arial"/>
                <w:spacing w:val="-2"/>
                <w:sz w:val="19"/>
                <w:szCs w:val="19"/>
              </w:rPr>
              <w:t>(847)</w:t>
            </w:r>
            <w:r w:rsidRPr="00F03036" w:rsidDel="005414B8">
              <w:rPr>
                <w:rFonts w:eastAsia="Times New Roman" w:cs="Arial"/>
                <w:spacing w:val="-2"/>
                <w:sz w:val="19"/>
                <w:szCs w:val="19"/>
              </w:rPr>
              <w:t xml:space="preserve"> </w:t>
            </w:r>
          </w:p>
        </w:tc>
      </w:tr>
      <w:tr w:rsidR="009566ED" w:rsidRPr="00DB4DE9" w14:paraId="08188997" w14:textId="77777777" w:rsidTr="006B318F">
        <w:trPr>
          <w:trHeight w:hRule="exact" w:val="113"/>
        </w:trPr>
        <w:tc>
          <w:tcPr>
            <w:tcW w:w="3787" w:type="pct"/>
            <w:tcBorders>
              <w:bottom w:val="single" w:sz="4" w:space="0" w:color="auto"/>
            </w:tcBorders>
          </w:tcPr>
          <w:p w14:paraId="148EEFE7" w14:textId="77777777" w:rsidR="009566ED" w:rsidRPr="00DB4DE9" w:rsidRDefault="009566ED" w:rsidP="009566ED">
            <w:pPr>
              <w:keepLines/>
              <w:spacing w:after="0" w:line="240" w:lineRule="exact"/>
              <w:ind w:right="731"/>
              <w:jc w:val="right"/>
              <w:rPr>
                <w:rFonts w:eastAsia="Times New Roman" w:cs="Arial"/>
                <w:b/>
                <w:position w:val="4"/>
                <w:sz w:val="19"/>
                <w:szCs w:val="19"/>
              </w:rPr>
            </w:pPr>
          </w:p>
        </w:tc>
        <w:tc>
          <w:tcPr>
            <w:tcW w:w="607" w:type="pct"/>
            <w:tcBorders>
              <w:bottom w:val="single" w:sz="4" w:space="0" w:color="auto"/>
            </w:tcBorders>
            <w:shd w:val="clear" w:color="auto" w:fill="auto"/>
            <w:vAlign w:val="bottom"/>
          </w:tcPr>
          <w:p w14:paraId="4A962C56" w14:textId="77777777" w:rsidR="009566ED" w:rsidRPr="00DB4DE9" w:rsidRDefault="009566ED" w:rsidP="009566ED">
            <w:pPr>
              <w:keepLines/>
              <w:spacing w:after="0" w:line="240" w:lineRule="exact"/>
              <w:jc w:val="right"/>
              <w:rPr>
                <w:rFonts w:eastAsia="Times New Roman" w:cs="Arial"/>
                <w:b/>
                <w:position w:val="4"/>
                <w:sz w:val="19"/>
                <w:szCs w:val="19"/>
              </w:rPr>
            </w:pPr>
          </w:p>
        </w:tc>
        <w:tc>
          <w:tcPr>
            <w:tcW w:w="606" w:type="pct"/>
            <w:tcBorders>
              <w:bottom w:val="single" w:sz="4" w:space="0" w:color="auto"/>
            </w:tcBorders>
            <w:shd w:val="clear" w:color="auto" w:fill="auto"/>
            <w:vAlign w:val="bottom"/>
          </w:tcPr>
          <w:p w14:paraId="7E2FBAA7" w14:textId="77777777" w:rsidR="009566ED" w:rsidRPr="001E7720" w:rsidRDefault="009566ED" w:rsidP="009566ED">
            <w:pPr>
              <w:keepLines/>
              <w:spacing w:after="0" w:line="240" w:lineRule="exact"/>
              <w:jc w:val="right"/>
              <w:rPr>
                <w:rFonts w:eastAsia="Times New Roman" w:cs="Arial"/>
                <w:b/>
                <w:position w:val="4"/>
                <w:sz w:val="19"/>
                <w:szCs w:val="19"/>
              </w:rPr>
            </w:pPr>
          </w:p>
        </w:tc>
      </w:tr>
      <w:tr w:rsidR="009566ED" w:rsidRPr="00DB4DE9" w14:paraId="506B86AF" w14:textId="77777777" w:rsidTr="006B318F">
        <w:trPr>
          <w:trHeight w:val="196"/>
        </w:trPr>
        <w:tc>
          <w:tcPr>
            <w:tcW w:w="3787" w:type="pct"/>
            <w:tcBorders>
              <w:top w:val="single" w:sz="4" w:space="0" w:color="auto"/>
              <w:bottom w:val="single" w:sz="12" w:space="0" w:color="auto"/>
            </w:tcBorders>
          </w:tcPr>
          <w:p w14:paraId="30630F24" w14:textId="77777777" w:rsidR="009566ED" w:rsidRPr="00DB4DE9" w:rsidRDefault="009566ED" w:rsidP="009566ED">
            <w:pPr>
              <w:keepLines/>
              <w:tabs>
                <w:tab w:val="right" w:pos="1202"/>
              </w:tabs>
              <w:spacing w:after="0" w:line="240" w:lineRule="exact"/>
              <w:outlineLvl w:val="0"/>
              <w:rPr>
                <w:rFonts w:eastAsia="Times New Roman" w:cs="Arial"/>
                <w:b/>
                <w:bCs/>
                <w:sz w:val="19"/>
                <w:szCs w:val="19"/>
              </w:rPr>
            </w:pPr>
            <w:r w:rsidRPr="00DB4DE9">
              <w:rPr>
                <w:rFonts w:cs="Arial"/>
                <w:b/>
                <w:bCs/>
                <w:sz w:val="19"/>
                <w:szCs w:val="19"/>
              </w:rPr>
              <w:t xml:space="preserve">Net cash </w:t>
            </w:r>
            <w:r w:rsidR="00663802">
              <w:rPr>
                <w:rFonts w:cs="Arial"/>
                <w:b/>
                <w:bCs/>
                <w:sz w:val="19"/>
                <w:szCs w:val="19"/>
              </w:rPr>
              <w:t>provided by/</w:t>
            </w:r>
            <w:r w:rsidRPr="00DB4DE9">
              <w:rPr>
                <w:rFonts w:cs="Arial"/>
                <w:b/>
                <w:bCs/>
                <w:sz w:val="19"/>
                <w:szCs w:val="19"/>
              </w:rPr>
              <w:t>(used in) investment activities</w:t>
            </w:r>
          </w:p>
        </w:tc>
        <w:tc>
          <w:tcPr>
            <w:tcW w:w="607" w:type="pct"/>
            <w:tcBorders>
              <w:top w:val="single" w:sz="4" w:space="0" w:color="auto"/>
            </w:tcBorders>
            <w:shd w:val="clear" w:color="auto" w:fill="auto"/>
            <w:vAlign w:val="bottom"/>
          </w:tcPr>
          <w:p w14:paraId="6348B523" w14:textId="5F868DFE" w:rsidR="009566ED" w:rsidRPr="00DB4DE9" w:rsidRDefault="008C4745" w:rsidP="009566ED">
            <w:pPr>
              <w:spacing w:after="0" w:line="240" w:lineRule="exact"/>
              <w:jc w:val="right"/>
              <w:rPr>
                <w:rFonts w:eastAsia="Times New Roman" w:cs="Arial"/>
                <w:b/>
                <w:bCs/>
                <w:spacing w:val="-2"/>
                <w:sz w:val="19"/>
                <w:szCs w:val="19"/>
              </w:rPr>
            </w:pPr>
            <w:r w:rsidRPr="008C4745">
              <w:rPr>
                <w:rFonts w:eastAsia="Times New Roman" w:cs="Arial"/>
                <w:b/>
                <w:bCs/>
                <w:spacing w:val="-2"/>
                <w:sz w:val="19"/>
                <w:szCs w:val="19"/>
              </w:rPr>
              <w:t xml:space="preserve">81,150 </w:t>
            </w:r>
          </w:p>
        </w:tc>
        <w:tc>
          <w:tcPr>
            <w:tcW w:w="606" w:type="pct"/>
            <w:tcBorders>
              <w:top w:val="single" w:sz="4" w:space="0" w:color="auto"/>
            </w:tcBorders>
            <w:shd w:val="clear" w:color="auto" w:fill="auto"/>
            <w:vAlign w:val="bottom"/>
          </w:tcPr>
          <w:p w14:paraId="7759F07B" w14:textId="423CA5D0" w:rsidR="009566ED" w:rsidRPr="001E7720" w:rsidRDefault="00F03036" w:rsidP="009566ED">
            <w:pPr>
              <w:spacing w:after="0" w:line="240" w:lineRule="exact"/>
              <w:jc w:val="right"/>
              <w:rPr>
                <w:rFonts w:eastAsia="Times New Roman" w:cs="Arial"/>
                <w:b/>
                <w:bCs/>
                <w:spacing w:val="-2"/>
                <w:sz w:val="19"/>
                <w:szCs w:val="19"/>
              </w:rPr>
            </w:pPr>
            <w:r w:rsidRPr="00F03036">
              <w:rPr>
                <w:rFonts w:eastAsia="Times New Roman" w:cs="Arial"/>
                <w:b/>
                <w:bCs/>
                <w:spacing w:val="-2"/>
                <w:sz w:val="19"/>
                <w:szCs w:val="19"/>
              </w:rPr>
              <w:t>(644,063)</w:t>
            </w:r>
            <w:r w:rsidRPr="00F03036" w:rsidDel="005414B8">
              <w:rPr>
                <w:rFonts w:eastAsia="Times New Roman" w:cs="Arial"/>
                <w:b/>
                <w:bCs/>
                <w:spacing w:val="-2"/>
                <w:sz w:val="19"/>
                <w:szCs w:val="19"/>
              </w:rPr>
              <w:t xml:space="preserve"> </w:t>
            </w:r>
          </w:p>
        </w:tc>
      </w:tr>
      <w:tr w:rsidR="005C74E6" w:rsidRPr="00DB4DE9" w14:paraId="4E0E9ED6" w14:textId="77777777" w:rsidTr="006B318F">
        <w:trPr>
          <w:trHeight w:hRule="exact" w:val="113"/>
        </w:trPr>
        <w:tc>
          <w:tcPr>
            <w:tcW w:w="3787" w:type="pct"/>
            <w:tcBorders>
              <w:top w:val="single" w:sz="12" w:space="0" w:color="auto"/>
            </w:tcBorders>
            <w:vAlign w:val="bottom"/>
          </w:tcPr>
          <w:p w14:paraId="481AC5E9" w14:textId="77777777" w:rsidR="005C74E6" w:rsidRPr="00DB4DE9" w:rsidRDefault="005C74E6" w:rsidP="005C74E6">
            <w:pPr>
              <w:keepLines/>
              <w:tabs>
                <w:tab w:val="decimal" w:pos="1202"/>
              </w:tabs>
              <w:spacing w:after="0" w:line="240" w:lineRule="exact"/>
              <w:rPr>
                <w:rFonts w:eastAsia="Times New Roman" w:cs="Arial"/>
                <w:b/>
                <w:position w:val="4"/>
                <w:sz w:val="19"/>
                <w:szCs w:val="19"/>
                <w:u w:val="thick"/>
              </w:rPr>
            </w:pPr>
          </w:p>
        </w:tc>
        <w:tc>
          <w:tcPr>
            <w:tcW w:w="607" w:type="pct"/>
            <w:tcBorders>
              <w:top w:val="single" w:sz="12" w:space="0" w:color="auto"/>
            </w:tcBorders>
            <w:vAlign w:val="bottom"/>
          </w:tcPr>
          <w:p w14:paraId="4627496C" w14:textId="77777777" w:rsidR="005C74E6" w:rsidRPr="00DB4DE9" w:rsidRDefault="005C74E6" w:rsidP="005C74E6">
            <w:pPr>
              <w:keepLines/>
              <w:spacing w:after="0" w:line="240" w:lineRule="exact"/>
              <w:jc w:val="right"/>
              <w:rPr>
                <w:rFonts w:eastAsia="Times New Roman" w:cs="Arial"/>
                <w:b/>
                <w:position w:val="4"/>
                <w:sz w:val="19"/>
                <w:szCs w:val="19"/>
                <w:u w:val="thick"/>
              </w:rPr>
            </w:pPr>
          </w:p>
        </w:tc>
        <w:tc>
          <w:tcPr>
            <w:tcW w:w="606" w:type="pct"/>
            <w:tcBorders>
              <w:top w:val="single" w:sz="12" w:space="0" w:color="auto"/>
            </w:tcBorders>
            <w:vAlign w:val="bottom"/>
          </w:tcPr>
          <w:p w14:paraId="6C387C8A" w14:textId="77777777" w:rsidR="005C74E6" w:rsidRPr="00DB4DE9" w:rsidRDefault="005C74E6" w:rsidP="005C74E6">
            <w:pPr>
              <w:keepLines/>
              <w:spacing w:after="0" w:line="240" w:lineRule="exact"/>
              <w:jc w:val="right"/>
              <w:rPr>
                <w:rFonts w:eastAsia="Times New Roman" w:cs="Arial"/>
                <w:b/>
                <w:position w:val="4"/>
                <w:sz w:val="19"/>
                <w:szCs w:val="19"/>
                <w:u w:val="thick"/>
              </w:rPr>
            </w:pPr>
          </w:p>
        </w:tc>
      </w:tr>
      <w:tr w:rsidR="005C74E6" w:rsidRPr="00DB4DE9" w14:paraId="4C7E487D" w14:textId="77777777" w:rsidTr="006B318F">
        <w:tc>
          <w:tcPr>
            <w:tcW w:w="3787" w:type="pct"/>
          </w:tcPr>
          <w:p w14:paraId="21F05661" w14:textId="77777777" w:rsidR="005C74E6" w:rsidRPr="00DB4DE9" w:rsidRDefault="005C74E6" w:rsidP="005C74E6">
            <w:pPr>
              <w:keepLines/>
              <w:tabs>
                <w:tab w:val="right" w:pos="1202"/>
              </w:tabs>
              <w:spacing w:after="0" w:line="240" w:lineRule="exact"/>
              <w:outlineLvl w:val="0"/>
              <w:rPr>
                <w:rFonts w:eastAsia="Times New Roman" w:cs="Arial"/>
                <w:b/>
                <w:bCs/>
                <w:spacing w:val="-3"/>
                <w:sz w:val="19"/>
                <w:szCs w:val="19"/>
              </w:rPr>
            </w:pPr>
            <w:r w:rsidRPr="00DB4DE9">
              <w:rPr>
                <w:rFonts w:eastAsia="Times New Roman" w:cs="Arial"/>
                <w:b/>
                <w:bCs/>
                <w:sz w:val="19"/>
                <w:szCs w:val="19"/>
              </w:rPr>
              <w:t>Financing activities</w:t>
            </w:r>
          </w:p>
        </w:tc>
        <w:tc>
          <w:tcPr>
            <w:tcW w:w="607" w:type="pct"/>
            <w:vAlign w:val="bottom"/>
          </w:tcPr>
          <w:p w14:paraId="1C2E8A87" w14:textId="77777777" w:rsidR="005C74E6" w:rsidRPr="00DB4DE9" w:rsidRDefault="005C74E6" w:rsidP="005C74E6">
            <w:pPr>
              <w:keepLines/>
              <w:tabs>
                <w:tab w:val="right" w:pos="1202"/>
              </w:tabs>
              <w:spacing w:after="0" w:line="240" w:lineRule="exact"/>
              <w:jc w:val="right"/>
              <w:outlineLvl w:val="0"/>
              <w:rPr>
                <w:rFonts w:eastAsia="Times New Roman" w:cs="Arial"/>
                <w:b/>
                <w:bCs/>
                <w:sz w:val="19"/>
                <w:szCs w:val="19"/>
              </w:rPr>
            </w:pPr>
          </w:p>
        </w:tc>
        <w:tc>
          <w:tcPr>
            <w:tcW w:w="606" w:type="pct"/>
            <w:vAlign w:val="bottom"/>
          </w:tcPr>
          <w:p w14:paraId="408514DD" w14:textId="77777777" w:rsidR="005C74E6" w:rsidRPr="00DB4DE9" w:rsidRDefault="005C74E6" w:rsidP="005C74E6">
            <w:pPr>
              <w:keepLines/>
              <w:tabs>
                <w:tab w:val="right" w:pos="1202"/>
              </w:tabs>
              <w:spacing w:after="0" w:line="240" w:lineRule="exact"/>
              <w:jc w:val="right"/>
              <w:outlineLvl w:val="0"/>
              <w:rPr>
                <w:rFonts w:eastAsia="Times New Roman" w:cs="Arial"/>
                <w:b/>
                <w:bCs/>
                <w:sz w:val="19"/>
                <w:szCs w:val="19"/>
              </w:rPr>
            </w:pPr>
          </w:p>
        </w:tc>
      </w:tr>
      <w:tr w:rsidR="00F03036" w:rsidRPr="00DB4DE9" w14:paraId="373F14B5" w14:textId="77777777" w:rsidTr="006B318F">
        <w:tc>
          <w:tcPr>
            <w:tcW w:w="3787" w:type="pct"/>
          </w:tcPr>
          <w:p w14:paraId="23AFB3F6" w14:textId="77777777" w:rsidR="00F03036" w:rsidRPr="00DB4DE9" w:rsidRDefault="00F03036" w:rsidP="00F03036">
            <w:pPr>
              <w:keepLines/>
              <w:tabs>
                <w:tab w:val="right" w:pos="1202"/>
              </w:tabs>
              <w:spacing w:after="0" w:line="240" w:lineRule="exact"/>
              <w:outlineLvl w:val="0"/>
              <w:rPr>
                <w:rFonts w:cs="Arial"/>
                <w:sz w:val="19"/>
                <w:szCs w:val="19"/>
              </w:rPr>
            </w:pPr>
            <w:r w:rsidRPr="001E7DB0">
              <w:rPr>
                <w:rFonts w:asciiTheme="minorHAnsi" w:hAnsiTheme="minorHAnsi" w:cs="Arial"/>
                <w:sz w:val="19"/>
                <w:szCs w:val="19"/>
              </w:rPr>
              <w:t>Increase in founder’s capital</w:t>
            </w:r>
          </w:p>
        </w:tc>
        <w:tc>
          <w:tcPr>
            <w:tcW w:w="607" w:type="pct"/>
            <w:tcBorders>
              <w:top w:val="nil"/>
              <w:left w:val="nil"/>
              <w:bottom w:val="nil"/>
              <w:right w:val="nil"/>
            </w:tcBorders>
            <w:shd w:val="clear" w:color="auto" w:fill="auto"/>
            <w:vAlign w:val="bottom"/>
          </w:tcPr>
          <w:p w14:paraId="2697A1F6" w14:textId="2BB1F953" w:rsidR="00F03036" w:rsidRPr="006B318F" w:rsidRDefault="008C4745" w:rsidP="00F03036">
            <w:pPr>
              <w:keepLines/>
              <w:tabs>
                <w:tab w:val="right" w:pos="1202"/>
              </w:tabs>
              <w:spacing w:after="0" w:line="240" w:lineRule="exact"/>
              <w:jc w:val="right"/>
              <w:outlineLvl w:val="0"/>
              <w:rPr>
                <w:rFonts w:eastAsia="Times New Roman" w:cs="Calibri"/>
                <w:spacing w:val="-2"/>
                <w:sz w:val="19"/>
                <w:szCs w:val="19"/>
                <w:lang w:eastAsia="hr-HR"/>
              </w:rPr>
            </w:pPr>
            <w:r w:rsidRPr="006B318F">
              <w:rPr>
                <w:rFonts w:eastAsia="Times New Roman" w:cs="Calibri"/>
                <w:spacing w:val="-2"/>
                <w:sz w:val="19"/>
                <w:szCs w:val="19"/>
                <w:lang w:eastAsia="hr-HR"/>
              </w:rPr>
              <w:t xml:space="preserve">25,000 </w:t>
            </w:r>
          </w:p>
        </w:tc>
        <w:tc>
          <w:tcPr>
            <w:tcW w:w="606" w:type="pct"/>
            <w:shd w:val="clear" w:color="auto" w:fill="auto"/>
            <w:vAlign w:val="bottom"/>
          </w:tcPr>
          <w:p w14:paraId="222D19AF" w14:textId="65B6BA0B" w:rsidR="00F03036" w:rsidRPr="00282113" w:rsidRDefault="00F03036" w:rsidP="00F03036">
            <w:pPr>
              <w:keepLines/>
              <w:tabs>
                <w:tab w:val="right" w:pos="1202"/>
              </w:tabs>
              <w:spacing w:after="0" w:line="240" w:lineRule="exact"/>
              <w:jc w:val="right"/>
              <w:outlineLvl w:val="0"/>
              <w:rPr>
                <w:color w:val="000000"/>
                <w:sz w:val="19"/>
                <w:szCs w:val="19"/>
              </w:rPr>
            </w:pPr>
            <w:r>
              <w:rPr>
                <w:rFonts w:eastAsia="Times New Roman" w:cs="Calibri"/>
                <w:spacing w:val="-2"/>
                <w:sz w:val="19"/>
                <w:szCs w:val="19"/>
                <w:lang w:eastAsia="hr-HR"/>
              </w:rPr>
              <w:t>-</w:t>
            </w:r>
          </w:p>
        </w:tc>
      </w:tr>
      <w:tr w:rsidR="00F03036" w:rsidRPr="00DB4DE9" w14:paraId="0729B132" w14:textId="77777777" w:rsidTr="006B318F">
        <w:tc>
          <w:tcPr>
            <w:tcW w:w="3787" w:type="pct"/>
          </w:tcPr>
          <w:p w14:paraId="0A0A3E32" w14:textId="77777777" w:rsidR="00F03036" w:rsidRPr="00DB4DE9" w:rsidRDefault="00F03036" w:rsidP="00F03036">
            <w:pPr>
              <w:keepLines/>
              <w:tabs>
                <w:tab w:val="right" w:pos="1202"/>
              </w:tabs>
              <w:spacing w:after="0" w:line="240" w:lineRule="exact"/>
              <w:outlineLvl w:val="0"/>
              <w:rPr>
                <w:rFonts w:eastAsia="Times New Roman" w:cs="Arial"/>
                <w:spacing w:val="-3"/>
                <w:sz w:val="19"/>
                <w:szCs w:val="19"/>
              </w:rPr>
            </w:pPr>
            <w:r w:rsidRPr="00DB4DE9">
              <w:rPr>
                <w:rFonts w:cs="Arial"/>
                <w:sz w:val="19"/>
                <w:szCs w:val="19"/>
              </w:rPr>
              <w:t>Increase in borrowings – withdrawn funds</w:t>
            </w:r>
          </w:p>
        </w:tc>
        <w:tc>
          <w:tcPr>
            <w:tcW w:w="607" w:type="pct"/>
            <w:tcBorders>
              <w:top w:val="nil"/>
              <w:left w:val="nil"/>
              <w:bottom w:val="nil"/>
              <w:right w:val="nil"/>
            </w:tcBorders>
            <w:shd w:val="clear" w:color="auto" w:fill="auto"/>
            <w:vAlign w:val="bottom"/>
          </w:tcPr>
          <w:p w14:paraId="4600C0DB" w14:textId="2E0C307B" w:rsidR="00F03036" w:rsidRPr="006B318F" w:rsidRDefault="008C4745" w:rsidP="00F03036">
            <w:pPr>
              <w:keepLines/>
              <w:tabs>
                <w:tab w:val="right" w:pos="1202"/>
              </w:tabs>
              <w:spacing w:after="0" w:line="240" w:lineRule="exact"/>
              <w:jc w:val="right"/>
              <w:outlineLvl w:val="0"/>
              <w:rPr>
                <w:rFonts w:eastAsia="Times New Roman" w:cs="Calibri"/>
                <w:spacing w:val="-2"/>
                <w:sz w:val="19"/>
                <w:szCs w:val="19"/>
                <w:lang w:eastAsia="hr-HR"/>
              </w:rPr>
            </w:pPr>
            <w:r w:rsidRPr="006B318F">
              <w:rPr>
                <w:rFonts w:eastAsia="Times New Roman" w:cs="Calibri"/>
                <w:spacing w:val="-2"/>
                <w:sz w:val="19"/>
                <w:szCs w:val="19"/>
                <w:lang w:eastAsia="hr-HR"/>
              </w:rPr>
              <w:t xml:space="preserve">3,255,181 </w:t>
            </w:r>
          </w:p>
        </w:tc>
        <w:tc>
          <w:tcPr>
            <w:tcW w:w="606" w:type="pct"/>
            <w:shd w:val="clear" w:color="auto" w:fill="auto"/>
            <w:vAlign w:val="bottom"/>
          </w:tcPr>
          <w:p w14:paraId="25F37058" w14:textId="24ACBB86" w:rsidR="00F03036" w:rsidRPr="00DB4DE9" w:rsidRDefault="00F03036" w:rsidP="00F03036">
            <w:pPr>
              <w:keepLines/>
              <w:tabs>
                <w:tab w:val="right" w:pos="1202"/>
              </w:tabs>
              <w:spacing w:after="0" w:line="240" w:lineRule="exact"/>
              <w:jc w:val="right"/>
              <w:outlineLvl w:val="0"/>
              <w:rPr>
                <w:rFonts w:eastAsia="Times New Roman" w:cs="Arial"/>
                <w:spacing w:val="-2"/>
                <w:sz w:val="19"/>
                <w:szCs w:val="19"/>
              </w:rPr>
            </w:pPr>
            <w:r>
              <w:rPr>
                <w:rFonts w:eastAsia="Times New Roman" w:cs="Calibri"/>
                <w:spacing w:val="-2"/>
                <w:sz w:val="19"/>
                <w:szCs w:val="19"/>
                <w:lang w:eastAsia="hr-HR"/>
              </w:rPr>
              <w:t>2,383,300</w:t>
            </w:r>
          </w:p>
        </w:tc>
      </w:tr>
      <w:tr w:rsidR="00F03036" w:rsidRPr="00DB4DE9" w14:paraId="52468A42" w14:textId="77777777" w:rsidTr="006B318F">
        <w:tc>
          <w:tcPr>
            <w:tcW w:w="3787" w:type="pct"/>
          </w:tcPr>
          <w:p w14:paraId="657F7ABE" w14:textId="77777777" w:rsidR="00F03036" w:rsidRPr="00DB4DE9" w:rsidRDefault="00F03036" w:rsidP="00F03036">
            <w:pPr>
              <w:keepLines/>
              <w:tabs>
                <w:tab w:val="right" w:pos="1202"/>
              </w:tabs>
              <w:spacing w:after="0" w:line="240" w:lineRule="exact"/>
              <w:outlineLvl w:val="0"/>
              <w:rPr>
                <w:rFonts w:eastAsia="Times New Roman" w:cs="Arial"/>
                <w:spacing w:val="-3"/>
                <w:sz w:val="19"/>
                <w:szCs w:val="19"/>
              </w:rPr>
            </w:pPr>
            <w:r w:rsidRPr="00DB4DE9">
              <w:rPr>
                <w:rFonts w:cs="Arial"/>
                <w:sz w:val="19"/>
                <w:szCs w:val="19"/>
              </w:rPr>
              <w:t>(Decrease) in borrowings – repayments of principal</w:t>
            </w:r>
          </w:p>
        </w:tc>
        <w:tc>
          <w:tcPr>
            <w:tcW w:w="607" w:type="pct"/>
            <w:tcBorders>
              <w:top w:val="nil"/>
              <w:left w:val="nil"/>
              <w:bottom w:val="nil"/>
              <w:right w:val="nil"/>
            </w:tcBorders>
            <w:shd w:val="clear" w:color="auto" w:fill="auto"/>
            <w:vAlign w:val="bottom"/>
          </w:tcPr>
          <w:p w14:paraId="6694B1F9" w14:textId="11A2B92F" w:rsidR="00F03036" w:rsidRPr="006B318F" w:rsidRDefault="008C4745" w:rsidP="00F03036">
            <w:pPr>
              <w:keepLines/>
              <w:tabs>
                <w:tab w:val="right" w:pos="1202"/>
              </w:tabs>
              <w:spacing w:after="0" w:line="240" w:lineRule="exact"/>
              <w:jc w:val="right"/>
              <w:outlineLvl w:val="0"/>
              <w:rPr>
                <w:rFonts w:eastAsia="Times New Roman" w:cs="Calibri"/>
                <w:spacing w:val="-2"/>
                <w:sz w:val="19"/>
                <w:szCs w:val="19"/>
                <w:lang w:eastAsia="hr-HR"/>
              </w:rPr>
            </w:pPr>
            <w:r w:rsidRPr="006B318F">
              <w:rPr>
                <w:rFonts w:eastAsia="Times New Roman" w:cs="Calibri"/>
                <w:spacing w:val="-2"/>
                <w:sz w:val="19"/>
                <w:szCs w:val="19"/>
                <w:lang w:eastAsia="hr-HR"/>
              </w:rPr>
              <w:t>(1,195,372)</w:t>
            </w:r>
            <w:r w:rsidRPr="006B318F" w:rsidDel="005414B8">
              <w:rPr>
                <w:rFonts w:eastAsia="Times New Roman" w:cs="Calibri"/>
                <w:spacing w:val="-2"/>
                <w:sz w:val="19"/>
                <w:szCs w:val="19"/>
                <w:lang w:eastAsia="hr-HR"/>
              </w:rPr>
              <w:t xml:space="preserve"> </w:t>
            </w:r>
          </w:p>
        </w:tc>
        <w:tc>
          <w:tcPr>
            <w:tcW w:w="606" w:type="pct"/>
            <w:shd w:val="clear" w:color="auto" w:fill="auto"/>
            <w:vAlign w:val="bottom"/>
          </w:tcPr>
          <w:p w14:paraId="717C8D53" w14:textId="7C7684DA" w:rsidR="00F03036" w:rsidRPr="001E7720" w:rsidRDefault="00F03036" w:rsidP="00F03036">
            <w:pPr>
              <w:keepLines/>
              <w:tabs>
                <w:tab w:val="right" w:pos="1202"/>
              </w:tabs>
              <w:spacing w:after="0" w:line="240" w:lineRule="exact"/>
              <w:jc w:val="right"/>
              <w:outlineLvl w:val="0"/>
              <w:rPr>
                <w:rFonts w:eastAsia="Times New Roman" w:cs="Arial"/>
                <w:spacing w:val="-2"/>
                <w:sz w:val="19"/>
                <w:szCs w:val="19"/>
              </w:rPr>
            </w:pPr>
            <w:r>
              <w:rPr>
                <w:rFonts w:eastAsia="Times New Roman" w:cs="Calibri"/>
                <w:spacing w:val="-2"/>
                <w:sz w:val="19"/>
                <w:szCs w:val="19"/>
                <w:lang w:eastAsia="hr-HR"/>
              </w:rPr>
              <w:t>(699,445)</w:t>
            </w:r>
          </w:p>
        </w:tc>
      </w:tr>
      <w:tr w:rsidR="009566ED" w:rsidRPr="00DB4DE9" w14:paraId="5C50CCAC" w14:textId="77777777" w:rsidTr="006B318F">
        <w:tc>
          <w:tcPr>
            <w:tcW w:w="3787" w:type="pct"/>
          </w:tcPr>
          <w:p w14:paraId="7732EF66" w14:textId="77777777" w:rsidR="009566ED" w:rsidRPr="005444AA" w:rsidRDefault="0052522A" w:rsidP="009566ED">
            <w:pPr>
              <w:keepLines/>
              <w:tabs>
                <w:tab w:val="right" w:pos="1202"/>
              </w:tabs>
              <w:spacing w:after="0" w:line="240" w:lineRule="exact"/>
              <w:outlineLvl w:val="0"/>
              <w:rPr>
                <w:rFonts w:cs="Arial"/>
                <w:sz w:val="19"/>
                <w:szCs w:val="19"/>
                <w:highlight w:val="yellow"/>
              </w:rPr>
            </w:pPr>
            <w:r w:rsidRPr="0052522A">
              <w:rPr>
                <w:rFonts w:eastAsia="Times New Roman" w:cs="Arial"/>
                <w:spacing w:val="-3"/>
                <w:sz w:val="19"/>
                <w:szCs w:val="19"/>
              </w:rPr>
              <w:t>(Decrease) in bonds payable – repayment</w:t>
            </w:r>
          </w:p>
        </w:tc>
        <w:tc>
          <w:tcPr>
            <w:tcW w:w="607" w:type="pct"/>
            <w:tcBorders>
              <w:top w:val="nil"/>
              <w:left w:val="nil"/>
              <w:bottom w:val="nil"/>
              <w:right w:val="nil"/>
            </w:tcBorders>
            <w:shd w:val="clear" w:color="auto" w:fill="auto"/>
            <w:vAlign w:val="bottom"/>
          </w:tcPr>
          <w:p w14:paraId="78170BB2" w14:textId="69D3A551" w:rsidR="009566ED" w:rsidRPr="006B318F" w:rsidRDefault="008C4745" w:rsidP="009566ED">
            <w:pPr>
              <w:keepLines/>
              <w:tabs>
                <w:tab w:val="right" w:pos="1202"/>
              </w:tabs>
              <w:spacing w:after="0" w:line="240" w:lineRule="exact"/>
              <w:jc w:val="right"/>
              <w:outlineLvl w:val="0"/>
              <w:rPr>
                <w:rFonts w:eastAsia="Times New Roman" w:cs="Calibri"/>
                <w:spacing w:val="-2"/>
                <w:sz w:val="19"/>
                <w:szCs w:val="19"/>
                <w:lang w:eastAsia="hr-HR"/>
              </w:rPr>
            </w:pPr>
            <w:r w:rsidRPr="006B318F">
              <w:rPr>
                <w:rFonts w:eastAsia="Times New Roman" w:cs="Calibri"/>
                <w:spacing w:val="-2"/>
                <w:sz w:val="19"/>
                <w:szCs w:val="19"/>
                <w:lang w:eastAsia="hr-HR"/>
              </w:rPr>
              <w:t>(1,852,051)</w:t>
            </w:r>
            <w:r w:rsidRPr="006B318F" w:rsidDel="005414B8">
              <w:rPr>
                <w:rFonts w:eastAsia="Times New Roman" w:cs="Calibri"/>
                <w:spacing w:val="-2"/>
                <w:sz w:val="19"/>
                <w:szCs w:val="19"/>
                <w:lang w:eastAsia="hr-HR"/>
              </w:rPr>
              <w:t xml:space="preserve"> </w:t>
            </w:r>
          </w:p>
        </w:tc>
        <w:tc>
          <w:tcPr>
            <w:tcW w:w="606" w:type="pct"/>
            <w:tcBorders>
              <w:top w:val="nil"/>
              <w:left w:val="nil"/>
              <w:bottom w:val="nil"/>
              <w:right w:val="nil"/>
            </w:tcBorders>
            <w:shd w:val="clear" w:color="auto" w:fill="auto"/>
            <w:vAlign w:val="bottom"/>
          </w:tcPr>
          <w:p w14:paraId="27289E62" w14:textId="7779F3A8" w:rsidR="009566ED" w:rsidRPr="001E7720" w:rsidRDefault="00F03036" w:rsidP="009566ED">
            <w:pPr>
              <w:keepLines/>
              <w:tabs>
                <w:tab w:val="right" w:pos="1202"/>
              </w:tabs>
              <w:spacing w:after="0" w:line="240" w:lineRule="exact"/>
              <w:jc w:val="right"/>
              <w:outlineLvl w:val="0"/>
              <w:rPr>
                <w:rFonts w:eastAsia="Times New Roman" w:cs="Arial"/>
                <w:spacing w:val="-2"/>
                <w:sz w:val="19"/>
                <w:szCs w:val="19"/>
              </w:rPr>
            </w:pPr>
            <w:r w:rsidRPr="00F03036">
              <w:rPr>
                <w:rFonts w:eastAsia="Times New Roman" w:cs="Arial"/>
                <w:spacing w:val="-2"/>
                <w:sz w:val="19"/>
                <w:szCs w:val="19"/>
              </w:rPr>
              <w:t>(224,487)</w:t>
            </w:r>
          </w:p>
        </w:tc>
      </w:tr>
      <w:tr w:rsidR="009566ED" w:rsidRPr="00DB4DE9" w14:paraId="49D7E5BD" w14:textId="77777777" w:rsidTr="006B318F">
        <w:trPr>
          <w:trHeight w:hRule="exact" w:val="113"/>
        </w:trPr>
        <w:tc>
          <w:tcPr>
            <w:tcW w:w="3787" w:type="pct"/>
            <w:tcBorders>
              <w:bottom w:val="single" w:sz="4" w:space="0" w:color="auto"/>
            </w:tcBorders>
          </w:tcPr>
          <w:p w14:paraId="22C8CFBB" w14:textId="77777777" w:rsidR="009566ED" w:rsidRPr="00DB4DE9" w:rsidRDefault="009566ED" w:rsidP="009566ED">
            <w:pPr>
              <w:keepLines/>
              <w:spacing w:after="0" w:line="240" w:lineRule="exact"/>
              <w:ind w:right="731"/>
              <w:jc w:val="right"/>
              <w:rPr>
                <w:rFonts w:eastAsia="Times New Roman" w:cs="Arial"/>
                <w:b/>
                <w:position w:val="4"/>
                <w:sz w:val="19"/>
                <w:szCs w:val="19"/>
              </w:rPr>
            </w:pPr>
          </w:p>
        </w:tc>
        <w:tc>
          <w:tcPr>
            <w:tcW w:w="607" w:type="pct"/>
            <w:tcBorders>
              <w:bottom w:val="single" w:sz="4" w:space="0" w:color="auto"/>
            </w:tcBorders>
            <w:shd w:val="clear" w:color="auto" w:fill="auto"/>
            <w:vAlign w:val="bottom"/>
          </w:tcPr>
          <w:p w14:paraId="0CD60C55" w14:textId="77777777" w:rsidR="009566ED" w:rsidRPr="00DB4DE9" w:rsidRDefault="009566ED" w:rsidP="009566ED">
            <w:pPr>
              <w:keepLines/>
              <w:spacing w:after="0" w:line="240" w:lineRule="exact"/>
              <w:jc w:val="right"/>
              <w:rPr>
                <w:rFonts w:eastAsia="Times New Roman" w:cs="Arial"/>
                <w:spacing w:val="-2"/>
                <w:position w:val="4"/>
                <w:sz w:val="19"/>
                <w:szCs w:val="19"/>
              </w:rPr>
            </w:pPr>
          </w:p>
        </w:tc>
        <w:tc>
          <w:tcPr>
            <w:tcW w:w="606" w:type="pct"/>
            <w:tcBorders>
              <w:bottom w:val="single" w:sz="4" w:space="0" w:color="auto"/>
            </w:tcBorders>
            <w:shd w:val="clear" w:color="auto" w:fill="auto"/>
            <w:vAlign w:val="bottom"/>
          </w:tcPr>
          <w:p w14:paraId="0AA3D2BA" w14:textId="77777777" w:rsidR="009566ED" w:rsidRPr="001E7720" w:rsidRDefault="009566ED" w:rsidP="009566ED">
            <w:pPr>
              <w:keepLines/>
              <w:spacing w:after="0" w:line="240" w:lineRule="exact"/>
              <w:jc w:val="right"/>
              <w:rPr>
                <w:rFonts w:eastAsia="Times New Roman" w:cs="Arial"/>
                <w:spacing w:val="-2"/>
                <w:position w:val="4"/>
                <w:sz w:val="19"/>
                <w:szCs w:val="19"/>
              </w:rPr>
            </w:pPr>
          </w:p>
        </w:tc>
      </w:tr>
      <w:tr w:rsidR="009566ED" w:rsidRPr="00DB4DE9" w14:paraId="0BE4102C" w14:textId="77777777" w:rsidTr="006B318F">
        <w:tc>
          <w:tcPr>
            <w:tcW w:w="3787" w:type="pct"/>
            <w:tcBorders>
              <w:top w:val="single" w:sz="4" w:space="0" w:color="auto"/>
              <w:bottom w:val="single" w:sz="12" w:space="0" w:color="auto"/>
            </w:tcBorders>
          </w:tcPr>
          <w:p w14:paraId="7A955807" w14:textId="77777777" w:rsidR="009566ED" w:rsidRPr="00DB4DE9" w:rsidRDefault="009566ED" w:rsidP="009566ED">
            <w:pPr>
              <w:keepLines/>
              <w:tabs>
                <w:tab w:val="right" w:pos="1202"/>
              </w:tabs>
              <w:spacing w:after="0" w:line="240" w:lineRule="exact"/>
              <w:outlineLvl w:val="0"/>
              <w:rPr>
                <w:rFonts w:eastAsia="Times New Roman" w:cs="Arial"/>
                <w:b/>
                <w:bCs/>
                <w:spacing w:val="-3"/>
                <w:sz w:val="19"/>
                <w:szCs w:val="19"/>
              </w:rPr>
            </w:pPr>
            <w:r w:rsidRPr="00DB4DE9">
              <w:rPr>
                <w:rFonts w:cs="Arial"/>
                <w:b/>
                <w:bCs/>
                <w:sz w:val="19"/>
                <w:szCs w:val="19"/>
              </w:rPr>
              <w:t>Net cash provided by financing activities</w:t>
            </w:r>
          </w:p>
        </w:tc>
        <w:tc>
          <w:tcPr>
            <w:tcW w:w="607" w:type="pct"/>
            <w:tcBorders>
              <w:top w:val="single" w:sz="4" w:space="0" w:color="auto"/>
            </w:tcBorders>
            <w:shd w:val="clear" w:color="auto" w:fill="auto"/>
            <w:vAlign w:val="bottom"/>
          </w:tcPr>
          <w:p w14:paraId="4E5EF29D" w14:textId="6D3C5144" w:rsidR="009566ED" w:rsidRPr="00DB4DE9" w:rsidRDefault="008C4745" w:rsidP="009566ED">
            <w:pPr>
              <w:spacing w:after="0" w:line="240" w:lineRule="exact"/>
              <w:jc w:val="right"/>
              <w:rPr>
                <w:rFonts w:eastAsia="Times New Roman" w:cs="Arial"/>
                <w:b/>
                <w:bCs/>
                <w:sz w:val="19"/>
                <w:szCs w:val="19"/>
              </w:rPr>
            </w:pPr>
            <w:r w:rsidRPr="008C4745">
              <w:rPr>
                <w:rFonts w:eastAsia="Times New Roman" w:cs="Arial"/>
                <w:b/>
                <w:bCs/>
                <w:sz w:val="19"/>
                <w:szCs w:val="19"/>
              </w:rPr>
              <w:t xml:space="preserve">232,758 </w:t>
            </w:r>
          </w:p>
        </w:tc>
        <w:tc>
          <w:tcPr>
            <w:tcW w:w="606" w:type="pct"/>
            <w:tcBorders>
              <w:top w:val="single" w:sz="4" w:space="0" w:color="auto"/>
            </w:tcBorders>
            <w:shd w:val="clear" w:color="auto" w:fill="auto"/>
            <w:vAlign w:val="bottom"/>
          </w:tcPr>
          <w:p w14:paraId="2B8E446F" w14:textId="0CC1269F" w:rsidR="009566ED" w:rsidRPr="001E7720" w:rsidRDefault="00F03036" w:rsidP="009566ED">
            <w:pPr>
              <w:spacing w:after="0" w:line="240" w:lineRule="exact"/>
              <w:jc w:val="right"/>
              <w:rPr>
                <w:rFonts w:eastAsia="Times New Roman" w:cs="Arial"/>
                <w:b/>
                <w:bCs/>
                <w:sz w:val="19"/>
                <w:szCs w:val="19"/>
              </w:rPr>
            </w:pPr>
            <w:r w:rsidRPr="00F03036">
              <w:rPr>
                <w:rFonts w:eastAsia="Times New Roman" w:cs="Arial"/>
                <w:b/>
                <w:bCs/>
                <w:sz w:val="19"/>
                <w:szCs w:val="19"/>
              </w:rPr>
              <w:t>1,459,368</w:t>
            </w:r>
          </w:p>
        </w:tc>
      </w:tr>
      <w:tr w:rsidR="009566ED" w:rsidRPr="00DB4DE9" w14:paraId="20F94C81" w14:textId="77777777" w:rsidTr="006B318F">
        <w:trPr>
          <w:trHeight w:hRule="exact" w:val="113"/>
        </w:trPr>
        <w:tc>
          <w:tcPr>
            <w:tcW w:w="3787" w:type="pct"/>
            <w:tcBorders>
              <w:top w:val="single" w:sz="12" w:space="0" w:color="auto"/>
            </w:tcBorders>
          </w:tcPr>
          <w:p w14:paraId="474D2427" w14:textId="77777777" w:rsidR="009566ED" w:rsidRPr="00DB4DE9" w:rsidRDefault="009566ED" w:rsidP="009566ED">
            <w:pPr>
              <w:keepLines/>
              <w:tabs>
                <w:tab w:val="right" w:pos="1202"/>
              </w:tabs>
              <w:spacing w:after="0" w:line="240" w:lineRule="exact"/>
              <w:outlineLvl w:val="0"/>
              <w:rPr>
                <w:rFonts w:eastAsia="Times New Roman" w:cs="Arial"/>
                <w:b/>
                <w:bCs/>
                <w:sz w:val="19"/>
                <w:szCs w:val="19"/>
              </w:rPr>
            </w:pPr>
          </w:p>
        </w:tc>
        <w:tc>
          <w:tcPr>
            <w:tcW w:w="607" w:type="pct"/>
            <w:tcBorders>
              <w:top w:val="single" w:sz="12" w:space="0" w:color="auto"/>
            </w:tcBorders>
            <w:vAlign w:val="bottom"/>
          </w:tcPr>
          <w:p w14:paraId="7570C089" w14:textId="77777777" w:rsidR="009566ED" w:rsidRPr="00DB4DE9" w:rsidRDefault="009566ED" w:rsidP="009566ED">
            <w:pPr>
              <w:keepLines/>
              <w:spacing w:after="0" w:line="240" w:lineRule="exact"/>
              <w:jc w:val="right"/>
              <w:rPr>
                <w:rFonts w:eastAsia="Times New Roman" w:cs="Arial"/>
                <w:position w:val="4"/>
                <w:sz w:val="19"/>
                <w:szCs w:val="19"/>
                <w:u w:val="thick"/>
              </w:rPr>
            </w:pPr>
          </w:p>
        </w:tc>
        <w:tc>
          <w:tcPr>
            <w:tcW w:w="606" w:type="pct"/>
            <w:tcBorders>
              <w:top w:val="single" w:sz="12" w:space="0" w:color="auto"/>
            </w:tcBorders>
            <w:vAlign w:val="bottom"/>
          </w:tcPr>
          <w:p w14:paraId="019735D8" w14:textId="77777777" w:rsidR="009566ED" w:rsidRPr="00DB4DE9" w:rsidRDefault="009566ED" w:rsidP="009566ED">
            <w:pPr>
              <w:keepLines/>
              <w:spacing w:after="0" w:line="240" w:lineRule="exact"/>
              <w:jc w:val="right"/>
              <w:rPr>
                <w:rFonts w:eastAsia="Times New Roman" w:cs="Arial"/>
                <w:position w:val="4"/>
                <w:sz w:val="19"/>
                <w:szCs w:val="19"/>
                <w:u w:val="thick"/>
              </w:rPr>
            </w:pPr>
          </w:p>
        </w:tc>
      </w:tr>
      <w:tr w:rsidR="009566ED" w:rsidRPr="00DB4DE9" w14:paraId="48B088B7" w14:textId="77777777" w:rsidTr="006B318F">
        <w:tc>
          <w:tcPr>
            <w:tcW w:w="3787" w:type="pct"/>
          </w:tcPr>
          <w:p w14:paraId="16F8AAB6" w14:textId="77777777" w:rsidR="009566ED" w:rsidRPr="00DB4DE9" w:rsidRDefault="009566ED" w:rsidP="009566ED">
            <w:pPr>
              <w:keepLines/>
              <w:tabs>
                <w:tab w:val="right" w:pos="1202"/>
              </w:tabs>
              <w:spacing w:after="0" w:line="240" w:lineRule="exact"/>
              <w:outlineLvl w:val="0"/>
              <w:rPr>
                <w:rFonts w:eastAsia="Times New Roman" w:cs="Arial"/>
                <w:b/>
                <w:bCs/>
                <w:sz w:val="19"/>
                <w:szCs w:val="19"/>
              </w:rPr>
            </w:pPr>
            <w:r w:rsidRPr="00DB4DE9">
              <w:rPr>
                <w:rFonts w:cs="Arial"/>
                <w:b/>
                <w:bCs/>
                <w:sz w:val="19"/>
                <w:szCs w:val="19"/>
              </w:rPr>
              <w:t>Effect of foreign currency to cash and cash equivalents</w:t>
            </w:r>
          </w:p>
        </w:tc>
        <w:tc>
          <w:tcPr>
            <w:tcW w:w="607" w:type="pct"/>
            <w:vAlign w:val="bottom"/>
          </w:tcPr>
          <w:p w14:paraId="5CB9CFC9" w14:textId="77777777" w:rsidR="009566ED" w:rsidRPr="00DB4DE9" w:rsidRDefault="009566ED" w:rsidP="009566ED">
            <w:pPr>
              <w:spacing w:after="0" w:line="240" w:lineRule="exact"/>
              <w:jc w:val="right"/>
              <w:rPr>
                <w:rFonts w:eastAsia="Times New Roman" w:cs="Arial"/>
                <w:b/>
                <w:bCs/>
                <w:sz w:val="19"/>
                <w:szCs w:val="19"/>
              </w:rPr>
            </w:pPr>
          </w:p>
        </w:tc>
        <w:tc>
          <w:tcPr>
            <w:tcW w:w="606" w:type="pct"/>
            <w:vAlign w:val="bottom"/>
          </w:tcPr>
          <w:p w14:paraId="5F653509" w14:textId="77777777" w:rsidR="009566ED" w:rsidRPr="00DB4DE9" w:rsidRDefault="009566ED" w:rsidP="009566ED">
            <w:pPr>
              <w:spacing w:after="0" w:line="240" w:lineRule="exact"/>
              <w:jc w:val="right"/>
              <w:rPr>
                <w:rFonts w:eastAsia="Times New Roman" w:cs="Arial"/>
                <w:b/>
                <w:bCs/>
                <w:sz w:val="19"/>
                <w:szCs w:val="19"/>
              </w:rPr>
            </w:pPr>
          </w:p>
        </w:tc>
      </w:tr>
      <w:tr w:rsidR="009566ED" w:rsidRPr="00DB4DE9" w14:paraId="4761B808" w14:textId="77777777" w:rsidTr="006B318F">
        <w:tc>
          <w:tcPr>
            <w:tcW w:w="3787" w:type="pct"/>
          </w:tcPr>
          <w:p w14:paraId="3779A448" w14:textId="77777777" w:rsidR="009566ED" w:rsidRPr="00DB4DE9" w:rsidRDefault="009566ED" w:rsidP="009566ED">
            <w:pPr>
              <w:keepLines/>
              <w:tabs>
                <w:tab w:val="right" w:pos="1202"/>
              </w:tabs>
              <w:spacing w:after="0" w:line="240" w:lineRule="exact"/>
              <w:outlineLvl w:val="0"/>
              <w:rPr>
                <w:rFonts w:eastAsia="Times New Roman" w:cs="Arial"/>
                <w:bCs/>
                <w:sz w:val="19"/>
                <w:szCs w:val="19"/>
              </w:rPr>
            </w:pPr>
            <w:r w:rsidRPr="00DB4DE9">
              <w:rPr>
                <w:rFonts w:eastAsia="Times New Roman" w:cs="Arial"/>
                <w:bCs/>
                <w:sz w:val="19"/>
                <w:szCs w:val="19"/>
              </w:rPr>
              <w:t>Net foreign exchange</w:t>
            </w:r>
          </w:p>
        </w:tc>
        <w:tc>
          <w:tcPr>
            <w:tcW w:w="607" w:type="pct"/>
            <w:shd w:val="clear" w:color="auto" w:fill="auto"/>
            <w:vAlign w:val="bottom"/>
          </w:tcPr>
          <w:p w14:paraId="50A022CA" w14:textId="309DBF53" w:rsidR="009566ED" w:rsidRPr="00DB4DE9" w:rsidRDefault="008C4745" w:rsidP="009566ED">
            <w:pPr>
              <w:spacing w:after="0" w:line="240" w:lineRule="exact"/>
              <w:jc w:val="right"/>
              <w:rPr>
                <w:rFonts w:eastAsia="Times New Roman" w:cs="Arial"/>
                <w:bCs/>
                <w:sz w:val="19"/>
                <w:szCs w:val="19"/>
              </w:rPr>
            </w:pPr>
            <w:r w:rsidRPr="008C4745">
              <w:rPr>
                <w:rFonts w:eastAsia="Times New Roman" w:cs="Arial"/>
                <w:bCs/>
                <w:sz w:val="19"/>
                <w:szCs w:val="19"/>
              </w:rPr>
              <w:t xml:space="preserve">(161,552) </w:t>
            </w:r>
          </w:p>
        </w:tc>
        <w:tc>
          <w:tcPr>
            <w:tcW w:w="606" w:type="pct"/>
            <w:vAlign w:val="bottom"/>
          </w:tcPr>
          <w:p w14:paraId="2A6387E9" w14:textId="7A978810" w:rsidR="009566ED" w:rsidRPr="001E7720" w:rsidRDefault="00F03036" w:rsidP="009566ED">
            <w:pPr>
              <w:spacing w:after="0" w:line="240" w:lineRule="exact"/>
              <w:jc w:val="right"/>
              <w:rPr>
                <w:rFonts w:eastAsia="Times New Roman" w:cs="Arial"/>
                <w:bCs/>
                <w:sz w:val="19"/>
                <w:szCs w:val="19"/>
              </w:rPr>
            </w:pPr>
            <w:r w:rsidRPr="00F03036">
              <w:rPr>
                <w:rFonts w:eastAsia="Times New Roman" w:cs="Arial"/>
                <w:bCs/>
                <w:sz w:val="19"/>
                <w:szCs w:val="19"/>
              </w:rPr>
              <w:t>(212,148)</w:t>
            </w:r>
            <w:r w:rsidRPr="00F03036" w:rsidDel="005414B8">
              <w:rPr>
                <w:rFonts w:eastAsia="Times New Roman" w:cs="Arial"/>
                <w:bCs/>
                <w:sz w:val="19"/>
                <w:szCs w:val="19"/>
              </w:rPr>
              <w:t xml:space="preserve"> </w:t>
            </w:r>
          </w:p>
        </w:tc>
      </w:tr>
      <w:tr w:rsidR="009566ED" w:rsidRPr="00DB4DE9" w14:paraId="74824482" w14:textId="77777777" w:rsidTr="006B318F">
        <w:trPr>
          <w:trHeight w:hRule="exact" w:val="113"/>
        </w:trPr>
        <w:tc>
          <w:tcPr>
            <w:tcW w:w="3787" w:type="pct"/>
            <w:tcBorders>
              <w:bottom w:val="single" w:sz="4" w:space="0" w:color="auto"/>
            </w:tcBorders>
            <w:vAlign w:val="bottom"/>
          </w:tcPr>
          <w:p w14:paraId="0ADDE234" w14:textId="77777777" w:rsidR="009566ED" w:rsidRPr="00DB4DE9" w:rsidRDefault="009566ED" w:rsidP="009566ED">
            <w:pPr>
              <w:keepLines/>
              <w:tabs>
                <w:tab w:val="decimal" w:pos="1202"/>
              </w:tabs>
              <w:spacing w:after="0" w:line="240" w:lineRule="exact"/>
              <w:rPr>
                <w:rFonts w:eastAsia="Times New Roman" w:cs="Arial"/>
                <w:position w:val="4"/>
                <w:sz w:val="19"/>
                <w:szCs w:val="19"/>
              </w:rPr>
            </w:pPr>
          </w:p>
        </w:tc>
        <w:tc>
          <w:tcPr>
            <w:tcW w:w="607" w:type="pct"/>
            <w:tcBorders>
              <w:bottom w:val="single" w:sz="2" w:space="0" w:color="auto"/>
              <w:right w:val="nil"/>
            </w:tcBorders>
            <w:vAlign w:val="bottom"/>
          </w:tcPr>
          <w:p w14:paraId="7D3B8974" w14:textId="77777777" w:rsidR="009566ED" w:rsidRPr="00DB4DE9" w:rsidRDefault="009566ED" w:rsidP="009566ED">
            <w:pPr>
              <w:keepLines/>
              <w:spacing w:after="0" w:line="240" w:lineRule="exact"/>
              <w:jc w:val="right"/>
              <w:rPr>
                <w:rFonts w:eastAsia="Times New Roman" w:cs="Arial"/>
                <w:spacing w:val="-2"/>
                <w:position w:val="4"/>
                <w:sz w:val="19"/>
                <w:szCs w:val="19"/>
              </w:rPr>
            </w:pPr>
          </w:p>
        </w:tc>
        <w:tc>
          <w:tcPr>
            <w:tcW w:w="606" w:type="pct"/>
            <w:tcBorders>
              <w:bottom w:val="single" w:sz="2" w:space="0" w:color="auto"/>
              <w:right w:val="nil"/>
            </w:tcBorders>
            <w:vAlign w:val="bottom"/>
          </w:tcPr>
          <w:p w14:paraId="7015198E" w14:textId="77777777" w:rsidR="009566ED" w:rsidRPr="001E7720" w:rsidRDefault="009566ED" w:rsidP="009566ED">
            <w:pPr>
              <w:keepLines/>
              <w:spacing w:after="0" w:line="240" w:lineRule="exact"/>
              <w:jc w:val="right"/>
              <w:rPr>
                <w:rFonts w:eastAsia="Times New Roman" w:cs="Arial"/>
                <w:spacing w:val="-2"/>
                <w:position w:val="4"/>
                <w:sz w:val="19"/>
                <w:szCs w:val="19"/>
              </w:rPr>
            </w:pPr>
          </w:p>
        </w:tc>
      </w:tr>
      <w:tr w:rsidR="009566ED" w:rsidRPr="00DB4DE9" w14:paraId="2E597C27" w14:textId="77777777" w:rsidTr="006B318F">
        <w:trPr>
          <w:trHeight w:val="247"/>
        </w:trPr>
        <w:tc>
          <w:tcPr>
            <w:tcW w:w="3787" w:type="pct"/>
            <w:tcBorders>
              <w:top w:val="single" w:sz="4" w:space="0" w:color="auto"/>
              <w:bottom w:val="single" w:sz="12" w:space="0" w:color="auto"/>
            </w:tcBorders>
            <w:vAlign w:val="bottom"/>
          </w:tcPr>
          <w:p w14:paraId="448B2D08" w14:textId="77777777" w:rsidR="009566ED" w:rsidRPr="00DB4DE9" w:rsidRDefault="009566ED" w:rsidP="009566ED">
            <w:pPr>
              <w:keepLines/>
              <w:tabs>
                <w:tab w:val="right" w:pos="1202"/>
              </w:tabs>
              <w:spacing w:after="0" w:line="240" w:lineRule="exact"/>
              <w:outlineLvl w:val="0"/>
              <w:rPr>
                <w:rFonts w:eastAsia="Times New Roman" w:cs="Arial"/>
                <w:b/>
                <w:spacing w:val="-3"/>
                <w:sz w:val="19"/>
                <w:szCs w:val="19"/>
              </w:rPr>
            </w:pPr>
            <w:r w:rsidRPr="00DB4DE9">
              <w:rPr>
                <w:rFonts w:eastAsia="Times New Roman" w:cs="Arial"/>
                <w:b/>
                <w:spacing w:val="-3"/>
                <w:sz w:val="19"/>
                <w:szCs w:val="19"/>
              </w:rPr>
              <w:t>Net effect</w:t>
            </w:r>
          </w:p>
        </w:tc>
        <w:tc>
          <w:tcPr>
            <w:tcW w:w="607" w:type="pct"/>
            <w:tcBorders>
              <w:top w:val="single" w:sz="2" w:space="0" w:color="auto"/>
              <w:right w:val="nil"/>
            </w:tcBorders>
            <w:shd w:val="clear" w:color="auto" w:fill="auto"/>
            <w:vAlign w:val="bottom"/>
          </w:tcPr>
          <w:p w14:paraId="2A4B64D9" w14:textId="5FFDF5AA" w:rsidR="009566ED" w:rsidRPr="00DB4DE9" w:rsidRDefault="008C4745" w:rsidP="009566ED">
            <w:pPr>
              <w:keepLines/>
              <w:tabs>
                <w:tab w:val="right" w:pos="1202"/>
              </w:tabs>
              <w:spacing w:after="0" w:line="240" w:lineRule="exact"/>
              <w:jc w:val="right"/>
              <w:outlineLvl w:val="0"/>
              <w:rPr>
                <w:rFonts w:eastAsia="Times New Roman" w:cs="Arial"/>
                <w:b/>
                <w:spacing w:val="-3"/>
                <w:sz w:val="19"/>
                <w:szCs w:val="19"/>
              </w:rPr>
            </w:pPr>
            <w:r w:rsidRPr="008C4745">
              <w:rPr>
                <w:rFonts w:eastAsia="Times New Roman" w:cs="Arial"/>
                <w:b/>
                <w:spacing w:val="-3"/>
                <w:sz w:val="19"/>
                <w:szCs w:val="19"/>
              </w:rPr>
              <w:t>(161,552)</w:t>
            </w:r>
            <w:r w:rsidRPr="008C4745" w:rsidDel="005414B8">
              <w:rPr>
                <w:rFonts w:eastAsia="Times New Roman" w:cs="Arial"/>
                <w:b/>
                <w:spacing w:val="-3"/>
                <w:sz w:val="19"/>
                <w:szCs w:val="19"/>
              </w:rPr>
              <w:t xml:space="preserve"> </w:t>
            </w:r>
          </w:p>
        </w:tc>
        <w:tc>
          <w:tcPr>
            <w:tcW w:w="606" w:type="pct"/>
            <w:tcBorders>
              <w:top w:val="single" w:sz="2" w:space="0" w:color="auto"/>
              <w:right w:val="nil"/>
            </w:tcBorders>
            <w:vAlign w:val="bottom"/>
          </w:tcPr>
          <w:p w14:paraId="2968A39D" w14:textId="6AF9FBE3" w:rsidR="009566ED" w:rsidRPr="001E7720" w:rsidRDefault="00F03036" w:rsidP="009566ED">
            <w:pPr>
              <w:keepLines/>
              <w:tabs>
                <w:tab w:val="right" w:pos="1202"/>
              </w:tabs>
              <w:spacing w:after="0" w:line="240" w:lineRule="exact"/>
              <w:jc w:val="right"/>
              <w:outlineLvl w:val="0"/>
              <w:rPr>
                <w:rFonts w:eastAsia="Times New Roman" w:cs="Arial"/>
                <w:b/>
                <w:spacing w:val="-3"/>
                <w:sz w:val="19"/>
                <w:szCs w:val="19"/>
              </w:rPr>
            </w:pPr>
            <w:r w:rsidRPr="00F03036">
              <w:rPr>
                <w:rFonts w:eastAsia="Times New Roman" w:cs="Arial"/>
                <w:b/>
                <w:spacing w:val="-3"/>
                <w:sz w:val="19"/>
                <w:szCs w:val="19"/>
              </w:rPr>
              <w:t>(212,148)</w:t>
            </w:r>
            <w:r w:rsidRPr="00F03036" w:rsidDel="005414B8">
              <w:rPr>
                <w:rFonts w:eastAsia="Times New Roman" w:cs="Arial"/>
                <w:b/>
                <w:spacing w:val="-3"/>
                <w:sz w:val="19"/>
                <w:szCs w:val="19"/>
              </w:rPr>
              <w:t xml:space="preserve"> </w:t>
            </w:r>
          </w:p>
        </w:tc>
      </w:tr>
      <w:tr w:rsidR="009566ED" w:rsidRPr="00DB4DE9" w14:paraId="5B1D260B" w14:textId="77777777" w:rsidTr="006B318F">
        <w:trPr>
          <w:trHeight w:hRule="exact" w:val="113"/>
        </w:trPr>
        <w:tc>
          <w:tcPr>
            <w:tcW w:w="3787" w:type="pct"/>
            <w:tcBorders>
              <w:top w:val="single" w:sz="12" w:space="0" w:color="auto"/>
            </w:tcBorders>
            <w:vAlign w:val="bottom"/>
          </w:tcPr>
          <w:p w14:paraId="39FCADE6" w14:textId="77777777" w:rsidR="009566ED" w:rsidRPr="00DB4DE9" w:rsidRDefault="009566ED" w:rsidP="009566ED">
            <w:pPr>
              <w:keepLines/>
              <w:tabs>
                <w:tab w:val="decimal" w:pos="1202"/>
              </w:tabs>
              <w:spacing w:after="0" w:line="240" w:lineRule="exact"/>
              <w:rPr>
                <w:rFonts w:eastAsia="Times New Roman" w:cs="Arial"/>
                <w:position w:val="4"/>
                <w:sz w:val="19"/>
                <w:szCs w:val="19"/>
              </w:rPr>
            </w:pPr>
          </w:p>
        </w:tc>
        <w:tc>
          <w:tcPr>
            <w:tcW w:w="607" w:type="pct"/>
            <w:tcBorders>
              <w:top w:val="single" w:sz="12" w:space="0" w:color="auto"/>
              <w:right w:val="nil"/>
            </w:tcBorders>
            <w:vAlign w:val="bottom"/>
          </w:tcPr>
          <w:p w14:paraId="2DA82034" w14:textId="77777777" w:rsidR="009566ED" w:rsidRPr="00DB4DE9" w:rsidRDefault="009566ED" w:rsidP="009566ED">
            <w:pPr>
              <w:keepLines/>
              <w:spacing w:after="0" w:line="240" w:lineRule="exact"/>
              <w:jc w:val="right"/>
              <w:rPr>
                <w:rFonts w:eastAsia="Times New Roman" w:cs="Arial"/>
                <w:position w:val="4"/>
                <w:sz w:val="19"/>
                <w:szCs w:val="19"/>
                <w:u w:val="thick"/>
              </w:rPr>
            </w:pPr>
          </w:p>
        </w:tc>
        <w:tc>
          <w:tcPr>
            <w:tcW w:w="606" w:type="pct"/>
            <w:tcBorders>
              <w:top w:val="single" w:sz="12" w:space="0" w:color="auto"/>
              <w:right w:val="nil"/>
            </w:tcBorders>
            <w:vAlign w:val="bottom"/>
          </w:tcPr>
          <w:p w14:paraId="25E847F4" w14:textId="77777777" w:rsidR="009566ED" w:rsidRPr="00DB4DE9" w:rsidRDefault="009566ED" w:rsidP="009566ED">
            <w:pPr>
              <w:keepLines/>
              <w:spacing w:after="0" w:line="240" w:lineRule="exact"/>
              <w:jc w:val="right"/>
              <w:rPr>
                <w:rFonts w:eastAsia="Times New Roman" w:cs="Arial"/>
                <w:position w:val="4"/>
                <w:sz w:val="19"/>
                <w:szCs w:val="19"/>
                <w:u w:val="thick"/>
              </w:rPr>
            </w:pPr>
          </w:p>
        </w:tc>
      </w:tr>
      <w:tr w:rsidR="00F03036" w:rsidRPr="00DB4DE9" w14:paraId="6324271A" w14:textId="77777777" w:rsidTr="006B318F">
        <w:trPr>
          <w:trHeight w:val="122"/>
        </w:trPr>
        <w:tc>
          <w:tcPr>
            <w:tcW w:w="3787" w:type="pct"/>
            <w:vAlign w:val="center"/>
          </w:tcPr>
          <w:p w14:paraId="08495C00" w14:textId="45EF69BC" w:rsidR="00F03036" w:rsidRPr="00DB4DE9" w:rsidRDefault="00F03036" w:rsidP="007433EB">
            <w:pPr>
              <w:keepLines/>
              <w:tabs>
                <w:tab w:val="right" w:pos="1202"/>
              </w:tabs>
              <w:spacing w:after="0" w:line="240" w:lineRule="exact"/>
              <w:outlineLvl w:val="0"/>
              <w:rPr>
                <w:rFonts w:eastAsia="Times New Roman" w:cs="Arial"/>
                <w:sz w:val="19"/>
                <w:szCs w:val="19"/>
              </w:rPr>
            </w:pPr>
            <w:r w:rsidRPr="00DB4DE9">
              <w:rPr>
                <w:rFonts w:eastAsia="Times New Roman" w:cs="Arial"/>
                <w:sz w:val="19"/>
                <w:szCs w:val="19"/>
              </w:rPr>
              <w:t>Net increase</w:t>
            </w:r>
            <w:r w:rsidR="00E230CD">
              <w:rPr>
                <w:rFonts w:eastAsia="Times New Roman" w:cs="Arial"/>
                <w:sz w:val="19"/>
                <w:szCs w:val="19"/>
              </w:rPr>
              <w:t xml:space="preserve"> </w:t>
            </w:r>
            <w:r w:rsidRPr="00DB4DE9">
              <w:rPr>
                <w:rFonts w:eastAsia="Times New Roman" w:cs="Arial"/>
                <w:sz w:val="19"/>
                <w:szCs w:val="19"/>
              </w:rPr>
              <w:t>in cash and cash equivalents</w:t>
            </w:r>
          </w:p>
        </w:tc>
        <w:tc>
          <w:tcPr>
            <w:tcW w:w="607" w:type="pct"/>
            <w:shd w:val="clear" w:color="auto" w:fill="auto"/>
            <w:vAlign w:val="bottom"/>
          </w:tcPr>
          <w:p w14:paraId="015B23FA" w14:textId="0CB82D76" w:rsidR="00F03036" w:rsidRPr="0030359A" w:rsidRDefault="008C4745" w:rsidP="00F03036">
            <w:pPr>
              <w:keepLines/>
              <w:spacing w:after="0" w:line="240" w:lineRule="exact"/>
              <w:jc w:val="right"/>
              <w:rPr>
                <w:rFonts w:eastAsia="Times New Roman" w:cs="Calibri"/>
                <w:spacing w:val="-2"/>
                <w:sz w:val="19"/>
                <w:szCs w:val="19"/>
              </w:rPr>
            </w:pPr>
            <w:r w:rsidRPr="008D6EFE">
              <w:rPr>
                <w:rFonts w:eastAsia="Times New Roman" w:cs="Calibri"/>
                <w:spacing w:val="-2"/>
                <w:sz w:val="19"/>
                <w:szCs w:val="19"/>
              </w:rPr>
              <w:t>24</w:t>
            </w:r>
            <w:r w:rsidRPr="00DB168B">
              <w:rPr>
                <w:rFonts w:eastAsia="Times New Roman" w:cs="Calibri"/>
                <w:spacing w:val="-2"/>
                <w:sz w:val="19"/>
                <w:szCs w:val="19"/>
              </w:rPr>
              <w:t xml:space="preserve">7,493 </w:t>
            </w:r>
          </w:p>
        </w:tc>
        <w:tc>
          <w:tcPr>
            <w:tcW w:w="606" w:type="pct"/>
            <w:shd w:val="clear" w:color="auto" w:fill="auto"/>
            <w:vAlign w:val="bottom"/>
          </w:tcPr>
          <w:p w14:paraId="207FD53C" w14:textId="0F902193" w:rsidR="00F03036" w:rsidRPr="001E7720" w:rsidRDefault="00F03036" w:rsidP="00F03036">
            <w:pPr>
              <w:keepLines/>
              <w:spacing w:after="0" w:line="240" w:lineRule="exact"/>
              <w:jc w:val="right"/>
              <w:rPr>
                <w:rFonts w:eastAsia="Times New Roman" w:cs="Arial"/>
                <w:spacing w:val="-2"/>
                <w:sz w:val="19"/>
                <w:szCs w:val="19"/>
              </w:rPr>
            </w:pPr>
            <w:r>
              <w:rPr>
                <w:rFonts w:eastAsia="Times New Roman" w:cs="Calibri"/>
                <w:spacing w:val="-2"/>
                <w:sz w:val="19"/>
                <w:szCs w:val="19"/>
              </w:rPr>
              <w:t>140,244</w:t>
            </w:r>
          </w:p>
        </w:tc>
      </w:tr>
      <w:tr w:rsidR="00F03036" w:rsidRPr="00DB4DE9" w14:paraId="45AFE659" w14:textId="77777777" w:rsidTr="006B318F">
        <w:trPr>
          <w:trHeight w:hRule="exact" w:val="113"/>
        </w:trPr>
        <w:tc>
          <w:tcPr>
            <w:tcW w:w="3787" w:type="pct"/>
            <w:vAlign w:val="center"/>
          </w:tcPr>
          <w:p w14:paraId="7CFD00A6" w14:textId="77777777" w:rsidR="00F03036" w:rsidRPr="00DB4DE9" w:rsidRDefault="00F03036" w:rsidP="00F03036">
            <w:pPr>
              <w:keepLines/>
              <w:tabs>
                <w:tab w:val="right" w:pos="1202"/>
              </w:tabs>
              <w:spacing w:after="0" w:line="240" w:lineRule="exact"/>
              <w:outlineLvl w:val="0"/>
              <w:rPr>
                <w:rFonts w:eastAsia="Times New Roman" w:cs="Arial"/>
                <w:sz w:val="19"/>
                <w:szCs w:val="19"/>
              </w:rPr>
            </w:pPr>
          </w:p>
        </w:tc>
        <w:tc>
          <w:tcPr>
            <w:tcW w:w="607" w:type="pct"/>
            <w:shd w:val="clear" w:color="auto" w:fill="auto"/>
            <w:vAlign w:val="bottom"/>
          </w:tcPr>
          <w:p w14:paraId="110ECD8E" w14:textId="77777777" w:rsidR="00F03036" w:rsidRPr="008D6EFE" w:rsidRDefault="00F03036" w:rsidP="006B318F">
            <w:pPr>
              <w:keepLines/>
              <w:spacing w:after="0" w:line="240" w:lineRule="exact"/>
              <w:jc w:val="right"/>
              <w:rPr>
                <w:rFonts w:eastAsia="Times New Roman" w:cs="Calibri"/>
                <w:spacing w:val="-2"/>
                <w:sz w:val="19"/>
                <w:szCs w:val="19"/>
              </w:rPr>
            </w:pPr>
          </w:p>
        </w:tc>
        <w:tc>
          <w:tcPr>
            <w:tcW w:w="606" w:type="pct"/>
            <w:shd w:val="clear" w:color="auto" w:fill="auto"/>
            <w:vAlign w:val="bottom"/>
          </w:tcPr>
          <w:p w14:paraId="7FF06DC4" w14:textId="77777777" w:rsidR="00F03036" w:rsidRDefault="00F03036" w:rsidP="00F03036">
            <w:pPr>
              <w:keepLines/>
              <w:spacing w:after="0" w:line="240" w:lineRule="exact"/>
              <w:jc w:val="right"/>
              <w:rPr>
                <w:rFonts w:eastAsia="Times New Roman" w:cs="Arial"/>
                <w:spacing w:val="-2"/>
                <w:sz w:val="19"/>
                <w:szCs w:val="19"/>
              </w:rPr>
            </w:pPr>
          </w:p>
        </w:tc>
      </w:tr>
      <w:tr w:rsidR="008C4745" w:rsidRPr="00DB4DE9" w14:paraId="1C1DD416" w14:textId="77777777" w:rsidTr="006B318F">
        <w:trPr>
          <w:trHeight w:val="122"/>
        </w:trPr>
        <w:tc>
          <w:tcPr>
            <w:tcW w:w="3787" w:type="pct"/>
            <w:vAlign w:val="center"/>
          </w:tcPr>
          <w:p w14:paraId="0824BEC6" w14:textId="77777777" w:rsidR="008C4745" w:rsidRPr="00DB4DE9" w:rsidRDefault="008C4745" w:rsidP="008C4745">
            <w:pPr>
              <w:keepLines/>
              <w:tabs>
                <w:tab w:val="right" w:pos="1202"/>
              </w:tabs>
              <w:spacing w:after="0" w:line="240" w:lineRule="exact"/>
              <w:outlineLvl w:val="0"/>
              <w:rPr>
                <w:rFonts w:eastAsia="Times New Roman" w:cs="Arial"/>
                <w:sz w:val="19"/>
                <w:szCs w:val="19"/>
              </w:rPr>
            </w:pPr>
            <w:r w:rsidRPr="00DB4DE9">
              <w:rPr>
                <w:rFonts w:eastAsia="Times New Roman" w:cs="Arial"/>
                <w:sz w:val="19"/>
                <w:szCs w:val="19"/>
              </w:rPr>
              <w:t xml:space="preserve">Balance as of 1 January, before provisions </w:t>
            </w:r>
          </w:p>
        </w:tc>
        <w:tc>
          <w:tcPr>
            <w:tcW w:w="607" w:type="pct"/>
            <w:tcBorders>
              <w:top w:val="nil"/>
              <w:left w:val="nil"/>
              <w:bottom w:val="nil"/>
              <w:right w:val="nil"/>
            </w:tcBorders>
            <w:shd w:val="clear" w:color="auto" w:fill="auto"/>
            <w:vAlign w:val="bottom"/>
          </w:tcPr>
          <w:p w14:paraId="04B76EA0" w14:textId="2764AFB7" w:rsidR="008C4745" w:rsidRPr="00612106" w:rsidRDefault="008C4745" w:rsidP="008C4745">
            <w:pPr>
              <w:keepLines/>
              <w:spacing w:after="0" w:line="240" w:lineRule="exact"/>
              <w:jc w:val="right"/>
              <w:rPr>
                <w:rFonts w:eastAsia="Times New Roman" w:cs="Calibri"/>
                <w:spacing w:val="-2"/>
                <w:sz w:val="19"/>
                <w:szCs w:val="19"/>
              </w:rPr>
            </w:pPr>
            <w:r w:rsidRPr="008D6EFE">
              <w:rPr>
                <w:rFonts w:eastAsia="Times New Roman" w:cs="Calibri"/>
                <w:spacing w:val="-2"/>
                <w:sz w:val="19"/>
                <w:szCs w:val="19"/>
              </w:rPr>
              <w:t xml:space="preserve"> 493,774 </w:t>
            </w:r>
          </w:p>
        </w:tc>
        <w:tc>
          <w:tcPr>
            <w:tcW w:w="606" w:type="pct"/>
            <w:shd w:val="clear" w:color="auto" w:fill="auto"/>
            <w:vAlign w:val="bottom"/>
          </w:tcPr>
          <w:p w14:paraId="0C1BA88D" w14:textId="3C327154" w:rsidR="008C4745" w:rsidRPr="001E7720" w:rsidRDefault="008C4745" w:rsidP="008C4745">
            <w:pPr>
              <w:keepLines/>
              <w:spacing w:after="0" w:line="240" w:lineRule="exact"/>
              <w:jc w:val="right"/>
              <w:rPr>
                <w:rFonts w:eastAsia="Times New Roman" w:cs="Arial"/>
                <w:spacing w:val="-2"/>
                <w:sz w:val="19"/>
                <w:szCs w:val="19"/>
              </w:rPr>
            </w:pPr>
            <w:r>
              <w:rPr>
                <w:rFonts w:eastAsia="Times New Roman" w:cs="Calibri"/>
                <w:spacing w:val="-2"/>
                <w:sz w:val="19"/>
                <w:szCs w:val="19"/>
                <w:lang w:eastAsia="hr-HR"/>
              </w:rPr>
              <w:t>486,501</w:t>
            </w:r>
          </w:p>
        </w:tc>
      </w:tr>
      <w:tr w:rsidR="008C4745" w:rsidRPr="00DB4DE9" w14:paraId="5620C266" w14:textId="77777777" w:rsidTr="006B318F">
        <w:trPr>
          <w:trHeight w:val="122"/>
        </w:trPr>
        <w:tc>
          <w:tcPr>
            <w:tcW w:w="3787" w:type="pct"/>
            <w:vAlign w:val="center"/>
          </w:tcPr>
          <w:p w14:paraId="3F5DFF92" w14:textId="07E935CA" w:rsidR="008C4745" w:rsidRPr="00DB4DE9" w:rsidRDefault="008C4745" w:rsidP="007433EB">
            <w:pPr>
              <w:keepLines/>
              <w:tabs>
                <w:tab w:val="right" w:pos="1202"/>
              </w:tabs>
              <w:spacing w:after="0" w:line="260" w:lineRule="exact"/>
              <w:outlineLvl w:val="0"/>
              <w:rPr>
                <w:rFonts w:eastAsia="Times New Roman" w:cs="Arial"/>
                <w:sz w:val="19"/>
                <w:szCs w:val="19"/>
              </w:rPr>
            </w:pPr>
            <w:r w:rsidRPr="00DB4DE9">
              <w:rPr>
                <w:rFonts w:eastAsia="Times New Roman" w:cs="Arial"/>
                <w:sz w:val="19"/>
                <w:szCs w:val="19"/>
              </w:rPr>
              <w:t>Net increase</w:t>
            </w:r>
            <w:r w:rsidR="00E230CD">
              <w:rPr>
                <w:rFonts w:eastAsia="Times New Roman" w:cs="Arial"/>
                <w:sz w:val="19"/>
                <w:szCs w:val="19"/>
              </w:rPr>
              <w:t xml:space="preserve"> </w:t>
            </w:r>
            <w:r w:rsidRPr="00DB4DE9">
              <w:rPr>
                <w:rFonts w:eastAsia="Times New Roman" w:cs="Arial"/>
                <w:sz w:val="19"/>
                <w:szCs w:val="19"/>
              </w:rPr>
              <w:t>in cash</w:t>
            </w:r>
          </w:p>
        </w:tc>
        <w:tc>
          <w:tcPr>
            <w:tcW w:w="607" w:type="pct"/>
            <w:tcBorders>
              <w:top w:val="nil"/>
              <w:left w:val="nil"/>
              <w:bottom w:val="nil"/>
              <w:right w:val="nil"/>
            </w:tcBorders>
            <w:shd w:val="clear" w:color="auto" w:fill="auto"/>
            <w:vAlign w:val="bottom"/>
          </w:tcPr>
          <w:p w14:paraId="14226AFE" w14:textId="18C138AA" w:rsidR="008C4745" w:rsidRPr="00612106" w:rsidRDefault="008C4745" w:rsidP="006B318F">
            <w:pPr>
              <w:keepLines/>
              <w:spacing w:after="0" w:line="240" w:lineRule="exact"/>
              <w:jc w:val="right"/>
              <w:rPr>
                <w:rFonts w:eastAsia="Times New Roman" w:cs="Calibri"/>
                <w:spacing w:val="-2"/>
                <w:sz w:val="19"/>
                <w:szCs w:val="19"/>
              </w:rPr>
            </w:pPr>
            <w:r w:rsidRPr="008D6EFE">
              <w:rPr>
                <w:rFonts w:eastAsia="Times New Roman" w:cs="Calibri"/>
                <w:spacing w:val="-2"/>
                <w:sz w:val="19"/>
                <w:szCs w:val="19"/>
              </w:rPr>
              <w:t xml:space="preserve"> 247,493 </w:t>
            </w:r>
          </w:p>
        </w:tc>
        <w:tc>
          <w:tcPr>
            <w:tcW w:w="606" w:type="pct"/>
            <w:shd w:val="clear" w:color="auto" w:fill="auto"/>
            <w:vAlign w:val="bottom"/>
          </w:tcPr>
          <w:p w14:paraId="076F5BC8" w14:textId="12B639A8" w:rsidR="008C4745" w:rsidRPr="001E7720" w:rsidRDefault="008C4745" w:rsidP="008C4745">
            <w:pPr>
              <w:keepLines/>
              <w:spacing w:after="0" w:line="260" w:lineRule="exact"/>
              <w:jc w:val="right"/>
              <w:rPr>
                <w:rFonts w:eastAsia="Times New Roman" w:cs="Arial"/>
                <w:spacing w:val="-2"/>
                <w:sz w:val="19"/>
                <w:szCs w:val="19"/>
              </w:rPr>
            </w:pPr>
            <w:r>
              <w:rPr>
                <w:rFonts w:eastAsia="Times New Roman" w:cs="Calibri"/>
                <w:spacing w:val="-2"/>
                <w:sz w:val="19"/>
                <w:szCs w:val="19"/>
              </w:rPr>
              <w:t>140,244</w:t>
            </w:r>
          </w:p>
        </w:tc>
      </w:tr>
      <w:tr w:rsidR="009566ED" w:rsidRPr="00DB4DE9" w14:paraId="44895E40" w14:textId="77777777" w:rsidTr="006B318F">
        <w:trPr>
          <w:trHeight w:hRule="exact" w:val="113"/>
        </w:trPr>
        <w:tc>
          <w:tcPr>
            <w:tcW w:w="3787" w:type="pct"/>
            <w:tcBorders>
              <w:bottom w:val="single" w:sz="4" w:space="0" w:color="auto"/>
            </w:tcBorders>
          </w:tcPr>
          <w:p w14:paraId="41CEAC7B" w14:textId="77777777" w:rsidR="009566ED" w:rsidRPr="00DB4DE9" w:rsidRDefault="009566ED" w:rsidP="009566ED">
            <w:pPr>
              <w:keepLines/>
              <w:spacing w:after="0" w:line="240" w:lineRule="exact"/>
              <w:ind w:right="731"/>
              <w:jc w:val="right"/>
              <w:rPr>
                <w:rFonts w:eastAsia="Times New Roman" w:cs="Arial"/>
                <w:b/>
                <w:position w:val="4"/>
                <w:sz w:val="19"/>
                <w:szCs w:val="19"/>
              </w:rPr>
            </w:pPr>
          </w:p>
        </w:tc>
        <w:tc>
          <w:tcPr>
            <w:tcW w:w="607" w:type="pct"/>
            <w:tcBorders>
              <w:bottom w:val="single" w:sz="4" w:space="0" w:color="auto"/>
            </w:tcBorders>
            <w:vAlign w:val="bottom"/>
          </w:tcPr>
          <w:p w14:paraId="30BBB3F7" w14:textId="77777777" w:rsidR="009566ED" w:rsidRPr="00DB4DE9" w:rsidRDefault="009566ED" w:rsidP="009566ED">
            <w:pPr>
              <w:keepLines/>
              <w:spacing w:after="0" w:line="240" w:lineRule="exact"/>
              <w:jc w:val="right"/>
              <w:rPr>
                <w:rFonts w:eastAsia="Times New Roman" w:cs="Arial"/>
                <w:spacing w:val="-2"/>
                <w:position w:val="4"/>
                <w:sz w:val="19"/>
                <w:szCs w:val="19"/>
              </w:rPr>
            </w:pPr>
          </w:p>
        </w:tc>
        <w:tc>
          <w:tcPr>
            <w:tcW w:w="606" w:type="pct"/>
            <w:tcBorders>
              <w:bottom w:val="single" w:sz="4" w:space="0" w:color="auto"/>
            </w:tcBorders>
            <w:vAlign w:val="bottom"/>
          </w:tcPr>
          <w:p w14:paraId="2BF3D6EF" w14:textId="77777777" w:rsidR="009566ED" w:rsidRPr="001E7720" w:rsidRDefault="009566ED" w:rsidP="009566ED">
            <w:pPr>
              <w:keepLines/>
              <w:spacing w:after="0" w:line="240" w:lineRule="exact"/>
              <w:jc w:val="right"/>
              <w:rPr>
                <w:rFonts w:eastAsia="Times New Roman" w:cs="Arial"/>
                <w:spacing w:val="-2"/>
                <w:position w:val="4"/>
                <w:sz w:val="19"/>
                <w:szCs w:val="19"/>
              </w:rPr>
            </w:pPr>
          </w:p>
        </w:tc>
      </w:tr>
      <w:tr w:rsidR="009566ED" w:rsidRPr="00DB4DE9" w14:paraId="1E8A3733" w14:textId="77777777" w:rsidTr="006B318F">
        <w:trPr>
          <w:trHeight w:val="122"/>
        </w:trPr>
        <w:tc>
          <w:tcPr>
            <w:tcW w:w="3787" w:type="pct"/>
            <w:tcBorders>
              <w:top w:val="single" w:sz="4" w:space="0" w:color="auto"/>
              <w:bottom w:val="single" w:sz="12" w:space="0" w:color="auto"/>
            </w:tcBorders>
          </w:tcPr>
          <w:p w14:paraId="64F18567" w14:textId="73CE9967" w:rsidR="009566ED" w:rsidRPr="00DB4DE9" w:rsidRDefault="009566ED" w:rsidP="008D6EFE">
            <w:pPr>
              <w:keepLines/>
              <w:tabs>
                <w:tab w:val="right" w:pos="1202"/>
              </w:tabs>
              <w:spacing w:after="0" w:line="240" w:lineRule="exact"/>
              <w:outlineLvl w:val="0"/>
              <w:rPr>
                <w:rFonts w:eastAsia="Times New Roman" w:cs="Arial"/>
                <w:b/>
                <w:bCs/>
                <w:sz w:val="19"/>
                <w:szCs w:val="19"/>
              </w:rPr>
            </w:pPr>
            <w:r w:rsidRPr="00DB4DE9">
              <w:rPr>
                <w:rFonts w:cs="Arial"/>
                <w:b/>
                <w:bCs/>
                <w:sz w:val="19"/>
                <w:szCs w:val="19"/>
              </w:rPr>
              <w:t xml:space="preserve">Balance as of </w:t>
            </w:r>
            <w:r>
              <w:rPr>
                <w:rFonts w:cs="Arial"/>
                <w:b/>
                <w:bCs/>
                <w:sz w:val="19"/>
                <w:szCs w:val="19"/>
              </w:rPr>
              <w:t>30</w:t>
            </w:r>
            <w:r w:rsidRPr="00DB4DE9">
              <w:rPr>
                <w:rFonts w:cs="Arial"/>
                <w:b/>
                <w:bCs/>
                <w:sz w:val="19"/>
                <w:szCs w:val="19"/>
              </w:rPr>
              <w:t xml:space="preserve"> </w:t>
            </w:r>
            <w:r w:rsidR="00456071">
              <w:rPr>
                <w:rFonts w:cs="Arial"/>
                <w:b/>
                <w:bCs/>
                <w:sz w:val="19"/>
                <w:szCs w:val="19"/>
              </w:rPr>
              <w:t>September</w:t>
            </w:r>
            <w:r w:rsidRPr="00DB4DE9">
              <w:rPr>
                <w:rFonts w:eastAsia="Times New Roman" w:cs="Arial"/>
                <w:b/>
                <w:bCs/>
                <w:sz w:val="19"/>
                <w:szCs w:val="19"/>
              </w:rPr>
              <w:t xml:space="preserve">, before provisions                                                          </w:t>
            </w:r>
            <w:r>
              <w:rPr>
                <w:rFonts w:eastAsia="Times New Roman" w:cs="Arial"/>
                <w:b/>
                <w:bCs/>
                <w:sz w:val="19"/>
                <w:szCs w:val="19"/>
              </w:rPr>
              <w:t xml:space="preserve"> </w:t>
            </w:r>
            <w:r w:rsidRPr="00DB4DE9">
              <w:rPr>
                <w:rFonts w:eastAsia="Times New Roman" w:cs="Arial"/>
                <w:b/>
                <w:bCs/>
                <w:sz w:val="19"/>
                <w:szCs w:val="19"/>
              </w:rPr>
              <w:t xml:space="preserve">   </w:t>
            </w:r>
            <w:r>
              <w:rPr>
                <w:rFonts w:eastAsia="Times New Roman" w:cs="Arial"/>
                <w:b/>
                <w:bCs/>
                <w:sz w:val="19"/>
                <w:szCs w:val="19"/>
              </w:rPr>
              <w:t>8</w:t>
            </w:r>
            <w:r w:rsidRPr="00DB4DE9">
              <w:rPr>
                <w:rFonts w:eastAsia="Times New Roman" w:cs="Arial"/>
                <w:b/>
                <w:bCs/>
                <w:sz w:val="19"/>
                <w:szCs w:val="19"/>
              </w:rPr>
              <w:t xml:space="preserve">    </w:t>
            </w:r>
          </w:p>
        </w:tc>
        <w:tc>
          <w:tcPr>
            <w:tcW w:w="607" w:type="pct"/>
            <w:tcBorders>
              <w:top w:val="single" w:sz="4" w:space="0" w:color="auto"/>
              <w:bottom w:val="single" w:sz="12" w:space="0" w:color="auto"/>
            </w:tcBorders>
            <w:shd w:val="clear" w:color="auto" w:fill="auto"/>
            <w:vAlign w:val="bottom"/>
          </w:tcPr>
          <w:p w14:paraId="2097BD8D" w14:textId="25220DF9" w:rsidR="009566ED" w:rsidRPr="00DB4DE9" w:rsidRDefault="008C4745" w:rsidP="009566ED">
            <w:pPr>
              <w:spacing w:after="0" w:line="240" w:lineRule="exact"/>
              <w:jc w:val="right"/>
              <w:rPr>
                <w:rFonts w:eastAsia="Times New Roman" w:cs="Arial"/>
                <w:b/>
                <w:bCs/>
                <w:spacing w:val="-2"/>
                <w:sz w:val="19"/>
                <w:szCs w:val="19"/>
              </w:rPr>
            </w:pPr>
            <w:r w:rsidRPr="008C4745">
              <w:rPr>
                <w:rFonts w:eastAsia="Times New Roman" w:cs="Arial"/>
                <w:b/>
                <w:bCs/>
                <w:spacing w:val="-2"/>
                <w:sz w:val="19"/>
                <w:szCs w:val="19"/>
              </w:rPr>
              <w:t>741,267</w:t>
            </w:r>
          </w:p>
        </w:tc>
        <w:tc>
          <w:tcPr>
            <w:tcW w:w="606" w:type="pct"/>
            <w:tcBorders>
              <w:top w:val="single" w:sz="4" w:space="0" w:color="auto"/>
              <w:bottom w:val="single" w:sz="12" w:space="0" w:color="auto"/>
            </w:tcBorders>
            <w:vAlign w:val="bottom"/>
          </w:tcPr>
          <w:p w14:paraId="784F8ABC" w14:textId="35A2F92F" w:rsidR="009566ED" w:rsidRPr="001E7720" w:rsidRDefault="00F03036" w:rsidP="009566ED">
            <w:pPr>
              <w:spacing w:after="0" w:line="240" w:lineRule="exact"/>
              <w:jc w:val="right"/>
              <w:rPr>
                <w:rFonts w:eastAsia="Times New Roman" w:cs="Arial"/>
                <w:b/>
                <w:bCs/>
                <w:spacing w:val="-2"/>
                <w:sz w:val="19"/>
                <w:szCs w:val="19"/>
              </w:rPr>
            </w:pPr>
            <w:r w:rsidRPr="00F03036">
              <w:rPr>
                <w:rFonts w:eastAsia="Times New Roman" w:cs="Arial"/>
                <w:b/>
                <w:bCs/>
                <w:spacing w:val="-2"/>
                <w:sz w:val="19"/>
                <w:szCs w:val="19"/>
              </w:rPr>
              <w:t>626,745</w:t>
            </w:r>
          </w:p>
        </w:tc>
      </w:tr>
      <w:tr w:rsidR="009566ED" w:rsidRPr="00DB4DE9" w14:paraId="376E4171" w14:textId="77777777" w:rsidTr="006B318F">
        <w:trPr>
          <w:trHeight w:hRule="exact" w:val="113"/>
        </w:trPr>
        <w:tc>
          <w:tcPr>
            <w:tcW w:w="3787" w:type="pct"/>
            <w:tcBorders>
              <w:top w:val="single" w:sz="12" w:space="0" w:color="auto"/>
            </w:tcBorders>
            <w:vAlign w:val="bottom"/>
          </w:tcPr>
          <w:p w14:paraId="37745E65" w14:textId="77777777" w:rsidR="009566ED" w:rsidRPr="00DB4DE9" w:rsidRDefault="009566ED" w:rsidP="009566ED">
            <w:pPr>
              <w:keepLines/>
              <w:tabs>
                <w:tab w:val="decimal" w:pos="1202"/>
              </w:tabs>
              <w:spacing w:after="0" w:line="240" w:lineRule="exact"/>
              <w:rPr>
                <w:rFonts w:eastAsia="Times New Roman" w:cs="Arial"/>
                <w:b/>
                <w:position w:val="4"/>
                <w:sz w:val="19"/>
                <w:szCs w:val="19"/>
                <w:u w:val="thick"/>
              </w:rPr>
            </w:pPr>
          </w:p>
        </w:tc>
        <w:tc>
          <w:tcPr>
            <w:tcW w:w="607" w:type="pct"/>
            <w:tcBorders>
              <w:top w:val="single" w:sz="12" w:space="0" w:color="auto"/>
            </w:tcBorders>
            <w:vAlign w:val="bottom"/>
          </w:tcPr>
          <w:p w14:paraId="06560B62" w14:textId="77777777" w:rsidR="009566ED" w:rsidRPr="00DB4DE9" w:rsidRDefault="009566ED" w:rsidP="009566ED">
            <w:pPr>
              <w:keepLines/>
              <w:spacing w:after="0" w:line="240" w:lineRule="exact"/>
              <w:jc w:val="right"/>
              <w:rPr>
                <w:rFonts w:eastAsia="Times New Roman" w:cs="Arial"/>
                <w:b/>
                <w:position w:val="4"/>
                <w:sz w:val="19"/>
                <w:szCs w:val="19"/>
                <w:u w:val="thick"/>
              </w:rPr>
            </w:pPr>
          </w:p>
        </w:tc>
        <w:tc>
          <w:tcPr>
            <w:tcW w:w="606" w:type="pct"/>
            <w:tcBorders>
              <w:top w:val="single" w:sz="12" w:space="0" w:color="auto"/>
            </w:tcBorders>
            <w:vAlign w:val="bottom"/>
          </w:tcPr>
          <w:p w14:paraId="2DFF550B" w14:textId="77777777" w:rsidR="009566ED" w:rsidRPr="001E7720" w:rsidRDefault="009566ED" w:rsidP="009566ED">
            <w:pPr>
              <w:keepLines/>
              <w:spacing w:after="0" w:line="240" w:lineRule="exact"/>
              <w:jc w:val="right"/>
              <w:rPr>
                <w:rFonts w:eastAsia="Times New Roman" w:cs="Arial"/>
                <w:b/>
                <w:position w:val="4"/>
                <w:sz w:val="19"/>
                <w:szCs w:val="19"/>
                <w:u w:val="thick"/>
              </w:rPr>
            </w:pPr>
          </w:p>
        </w:tc>
      </w:tr>
      <w:tr w:rsidR="009566ED" w:rsidRPr="00DB4DE9" w14:paraId="06E6F7CE" w14:textId="77777777" w:rsidTr="006B318F">
        <w:trPr>
          <w:trHeight w:val="68"/>
        </w:trPr>
        <w:tc>
          <w:tcPr>
            <w:tcW w:w="3787" w:type="pct"/>
            <w:vAlign w:val="bottom"/>
          </w:tcPr>
          <w:p w14:paraId="1BD1599B" w14:textId="77777777" w:rsidR="009566ED" w:rsidRPr="00DB4DE9" w:rsidRDefault="009566ED" w:rsidP="009566ED">
            <w:pPr>
              <w:keepLines/>
              <w:tabs>
                <w:tab w:val="decimal" w:pos="1202"/>
              </w:tabs>
              <w:spacing w:after="0" w:line="240" w:lineRule="exact"/>
              <w:rPr>
                <w:rFonts w:eastAsia="Times New Roman" w:cs="Arial"/>
                <w:b/>
                <w:position w:val="4"/>
                <w:sz w:val="19"/>
                <w:szCs w:val="19"/>
              </w:rPr>
            </w:pPr>
            <w:r w:rsidRPr="00DB4DE9">
              <w:rPr>
                <w:rFonts w:cs="Arial"/>
                <w:b/>
                <w:sz w:val="19"/>
                <w:szCs w:val="19"/>
              </w:rPr>
              <w:t>Additional note - Operational cash flows</w:t>
            </w:r>
          </w:p>
        </w:tc>
        <w:tc>
          <w:tcPr>
            <w:tcW w:w="607" w:type="pct"/>
            <w:vAlign w:val="bottom"/>
          </w:tcPr>
          <w:p w14:paraId="496742B6" w14:textId="77777777" w:rsidR="009566ED" w:rsidRPr="00DB4DE9" w:rsidRDefault="009566ED" w:rsidP="009566ED">
            <w:pPr>
              <w:keepLines/>
              <w:spacing w:after="0" w:line="240" w:lineRule="exact"/>
              <w:jc w:val="right"/>
              <w:rPr>
                <w:rFonts w:eastAsia="Times New Roman" w:cs="Arial"/>
                <w:b/>
                <w:position w:val="4"/>
                <w:sz w:val="19"/>
                <w:szCs w:val="19"/>
              </w:rPr>
            </w:pPr>
          </w:p>
        </w:tc>
        <w:tc>
          <w:tcPr>
            <w:tcW w:w="606" w:type="pct"/>
            <w:vAlign w:val="bottom"/>
          </w:tcPr>
          <w:p w14:paraId="19770AD3" w14:textId="77777777" w:rsidR="009566ED" w:rsidRPr="001E7720" w:rsidRDefault="009566ED" w:rsidP="009566ED">
            <w:pPr>
              <w:keepLines/>
              <w:spacing w:after="0" w:line="240" w:lineRule="exact"/>
              <w:jc w:val="right"/>
              <w:rPr>
                <w:rFonts w:eastAsia="Times New Roman" w:cs="Arial"/>
                <w:b/>
                <w:position w:val="4"/>
                <w:sz w:val="19"/>
                <w:szCs w:val="19"/>
              </w:rPr>
            </w:pPr>
          </w:p>
        </w:tc>
      </w:tr>
      <w:tr w:rsidR="008C4745" w:rsidRPr="00DB4DE9" w14:paraId="20841DB9" w14:textId="77777777" w:rsidTr="006B318F">
        <w:trPr>
          <w:trHeight w:hRule="exact" w:val="227"/>
        </w:trPr>
        <w:tc>
          <w:tcPr>
            <w:tcW w:w="3787" w:type="pct"/>
            <w:vAlign w:val="center"/>
          </w:tcPr>
          <w:p w14:paraId="65BD4152" w14:textId="77777777" w:rsidR="008C4745" w:rsidRPr="00DB4DE9" w:rsidRDefault="008C4745" w:rsidP="008C4745">
            <w:pPr>
              <w:keepLines/>
              <w:tabs>
                <w:tab w:val="left" w:pos="518"/>
                <w:tab w:val="decimal" w:pos="1202"/>
              </w:tabs>
              <w:spacing w:after="0" w:line="240" w:lineRule="exact"/>
              <w:rPr>
                <w:rFonts w:eastAsia="Times New Roman" w:cs="Arial"/>
                <w:position w:val="4"/>
                <w:sz w:val="19"/>
                <w:szCs w:val="19"/>
              </w:rPr>
            </w:pPr>
            <w:r w:rsidRPr="00DB4DE9">
              <w:rPr>
                <w:rFonts w:cs="Arial"/>
                <w:bCs/>
                <w:sz w:val="19"/>
                <w:szCs w:val="19"/>
              </w:rPr>
              <w:t>Interest paid</w:t>
            </w:r>
          </w:p>
        </w:tc>
        <w:tc>
          <w:tcPr>
            <w:tcW w:w="607" w:type="pct"/>
            <w:tcBorders>
              <w:top w:val="nil"/>
              <w:left w:val="nil"/>
              <w:bottom w:val="nil"/>
              <w:right w:val="nil"/>
            </w:tcBorders>
            <w:shd w:val="clear" w:color="auto" w:fill="auto"/>
            <w:vAlign w:val="bottom"/>
          </w:tcPr>
          <w:p w14:paraId="287FDC6E" w14:textId="483E3F3D" w:rsidR="008C4745" w:rsidRPr="006B318F" w:rsidRDefault="008C4745" w:rsidP="006B318F">
            <w:pPr>
              <w:keepLines/>
              <w:spacing w:after="0" w:line="260" w:lineRule="exact"/>
              <w:jc w:val="right"/>
              <w:rPr>
                <w:rFonts w:eastAsia="Times New Roman" w:cs="Calibri"/>
                <w:spacing w:val="-2"/>
                <w:sz w:val="19"/>
                <w:szCs w:val="19"/>
              </w:rPr>
            </w:pPr>
            <w:r w:rsidRPr="006B318F">
              <w:rPr>
                <w:rFonts w:eastAsia="Times New Roman" w:cs="Calibri"/>
                <w:spacing w:val="-2"/>
                <w:sz w:val="19"/>
                <w:szCs w:val="19"/>
              </w:rPr>
              <w:t>354,581</w:t>
            </w:r>
          </w:p>
        </w:tc>
        <w:tc>
          <w:tcPr>
            <w:tcW w:w="606" w:type="pct"/>
            <w:shd w:val="clear" w:color="auto" w:fill="auto"/>
            <w:vAlign w:val="bottom"/>
          </w:tcPr>
          <w:p w14:paraId="4C38222E" w14:textId="170CE5B9" w:rsidR="008C4745" w:rsidRPr="00282113" w:rsidRDefault="008C4745" w:rsidP="008C4745">
            <w:pPr>
              <w:keepLines/>
              <w:spacing w:after="0" w:line="240" w:lineRule="exact"/>
              <w:jc w:val="right"/>
              <w:rPr>
                <w:rFonts w:eastAsia="Times New Roman" w:cs="Arial"/>
                <w:position w:val="4"/>
                <w:sz w:val="19"/>
                <w:szCs w:val="19"/>
              </w:rPr>
            </w:pPr>
            <w:r>
              <w:rPr>
                <w:rFonts w:eastAsia="Times New Roman" w:cs="Calibri"/>
                <w:bCs/>
                <w:spacing w:val="-2"/>
                <w:sz w:val="19"/>
                <w:szCs w:val="19"/>
              </w:rPr>
              <w:t>393,557</w:t>
            </w:r>
          </w:p>
        </w:tc>
      </w:tr>
      <w:tr w:rsidR="008C4745" w:rsidRPr="00DB4DE9" w14:paraId="2B872146" w14:textId="77777777" w:rsidTr="006B318F">
        <w:trPr>
          <w:trHeight w:hRule="exact" w:val="227"/>
        </w:trPr>
        <w:tc>
          <w:tcPr>
            <w:tcW w:w="3787" w:type="pct"/>
            <w:vAlign w:val="center"/>
          </w:tcPr>
          <w:p w14:paraId="077501FA" w14:textId="77777777" w:rsidR="008C4745" w:rsidRPr="00DB4DE9" w:rsidRDefault="008C4745" w:rsidP="008C4745">
            <w:pPr>
              <w:keepLines/>
              <w:spacing w:after="0" w:line="240" w:lineRule="exact"/>
              <w:rPr>
                <w:rFonts w:eastAsia="Times New Roman" w:cs="Arial"/>
                <w:position w:val="4"/>
                <w:sz w:val="19"/>
                <w:szCs w:val="19"/>
              </w:rPr>
            </w:pPr>
            <w:r w:rsidRPr="00DB4DE9">
              <w:rPr>
                <w:rFonts w:eastAsia="Times New Roman" w:cs="Arial"/>
                <w:position w:val="4"/>
                <w:sz w:val="19"/>
                <w:szCs w:val="19"/>
              </w:rPr>
              <w:t>Interest received</w:t>
            </w:r>
          </w:p>
        </w:tc>
        <w:tc>
          <w:tcPr>
            <w:tcW w:w="607" w:type="pct"/>
            <w:tcBorders>
              <w:top w:val="nil"/>
              <w:left w:val="nil"/>
              <w:bottom w:val="nil"/>
              <w:right w:val="nil"/>
            </w:tcBorders>
            <w:shd w:val="clear" w:color="auto" w:fill="auto"/>
            <w:vAlign w:val="center"/>
          </w:tcPr>
          <w:p w14:paraId="2ED9770A" w14:textId="64D5A686" w:rsidR="008C4745" w:rsidRPr="006B318F" w:rsidRDefault="008C4745" w:rsidP="006B318F">
            <w:pPr>
              <w:keepLines/>
              <w:spacing w:after="0" w:line="260" w:lineRule="exact"/>
              <w:jc w:val="right"/>
              <w:rPr>
                <w:rFonts w:eastAsia="Times New Roman" w:cs="Calibri"/>
                <w:spacing w:val="-2"/>
                <w:sz w:val="19"/>
                <w:szCs w:val="19"/>
              </w:rPr>
            </w:pPr>
            <w:r w:rsidRPr="006B318F">
              <w:rPr>
                <w:rFonts w:eastAsia="Times New Roman" w:cs="Calibri"/>
                <w:spacing w:val="-2"/>
                <w:sz w:val="19"/>
                <w:szCs w:val="19"/>
              </w:rPr>
              <w:t>530,972</w:t>
            </w:r>
          </w:p>
        </w:tc>
        <w:tc>
          <w:tcPr>
            <w:tcW w:w="606" w:type="pct"/>
            <w:shd w:val="clear" w:color="auto" w:fill="auto"/>
            <w:vAlign w:val="center"/>
          </w:tcPr>
          <w:p w14:paraId="67B87C58" w14:textId="736244FC" w:rsidR="008C4745" w:rsidRPr="00282113" w:rsidRDefault="008C4745" w:rsidP="008C4745">
            <w:pPr>
              <w:keepLines/>
              <w:spacing w:after="0" w:line="240" w:lineRule="exact"/>
              <w:jc w:val="right"/>
              <w:rPr>
                <w:rFonts w:eastAsia="Times New Roman" w:cs="Arial"/>
                <w:position w:val="4"/>
                <w:sz w:val="19"/>
                <w:szCs w:val="19"/>
              </w:rPr>
            </w:pPr>
            <w:r>
              <w:rPr>
                <w:rFonts w:eastAsia="Times New Roman" w:cs="Calibri"/>
                <w:bCs/>
                <w:spacing w:val="-2"/>
                <w:sz w:val="19"/>
                <w:szCs w:val="19"/>
              </w:rPr>
              <w:t>538,182</w:t>
            </w:r>
          </w:p>
        </w:tc>
      </w:tr>
    </w:tbl>
    <w:p w14:paraId="7A144415" w14:textId="77777777" w:rsidR="00881AEB" w:rsidRPr="0034501D" w:rsidRDefault="00881AEB" w:rsidP="00810883">
      <w:pPr>
        <w:pStyle w:val="T1"/>
        <w:keepNext w:val="0"/>
        <w:spacing w:before="0" w:after="0" w:line="240" w:lineRule="auto"/>
        <w:rPr>
          <w:rFonts w:ascii="Calibri" w:hAnsi="Calibri"/>
          <w:b w:val="0"/>
          <w:bCs w:val="0"/>
          <w:sz w:val="22"/>
          <w:szCs w:val="22"/>
          <w:lang w:val="en-GB"/>
        </w:rPr>
      </w:pPr>
    </w:p>
    <w:p w14:paraId="7684C8AB" w14:textId="77777777" w:rsidR="00881AEB" w:rsidRPr="0034501D" w:rsidRDefault="00881AEB" w:rsidP="00810883">
      <w:pPr>
        <w:pStyle w:val="T1"/>
        <w:keepNext w:val="0"/>
        <w:spacing w:before="0" w:after="0" w:line="240" w:lineRule="auto"/>
        <w:rPr>
          <w:rFonts w:ascii="Calibri" w:hAnsi="Calibri"/>
          <w:b w:val="0"/>
          <w:bCs w:val="0"/>
          <w:sz w:val="22"/>
          <w:szCs w:val="22"/>
          <w:lang w:val="en-GB"/>
        </w:rPr>
      </w:pPr>
    </w:p>
    <w:p w14:paraId="5F134FD1" w14:textId="77777777" w:rsidR="001A0990" w:rsidRPr="0034501D" w:rsidRDefault="00D658D4" w:rsidP="00166751">
      <w:pPr>
        <w:spacing w:after="0" w:line="240" w:lineRule="auto"/>
        <w:jc w:val="both"/>
        <w:rPr>
          <w:rFonts w:eastAsia="Times New Roman"/>
          <w:sz w:val="24"/>
          <w:szCs w:val="24"/>
        </w:rPr>
        <w:sectPr w:rsidR="001A0990" w:rsidRPr="0034501D" w:rsidSect="00947CB7">
          <w:headerReference w:type="first" r:id="rId33"/>
          <w:footerReference w:type="first" r:id="rId34"/>
          <w:pgSz w:w="11906" w:h="16838" w:code="9"/>
          <w:pgMar w:top="1377" w:right="1133" w:bottom="1417" w:left="1417" w:header="709" w:footer="709" w:gutter="0"/>
          <w:cols w:space="708"/>
          <w:titlePg/>
          <w:docGrid w:linePitch="360"/>
        </w:sectPr>
      </w:pPr>
      <w:r w:rsidRPr="00D658D4">
        <w:rPr>
          <w:rFonts w:asciiTheme="minorHAnsi" w:eastAsia="Times New Roman" w:hAnsiTheme="minorHAnsi"/>
        </w:rPr>
        <w:t>The accompanying selected notes are an integral part of th</w:t>
      </w:r>
      <w:r w:rsidR="00642C10">
        <w:rPr>
          <w:rFonts w:asciiTheme="minorHAnsi" w:eastAsia="Times New Roman" w:hAnsiTheme="minorHAnsi"/>
        </w:rPr>
        <w:t>i</w:t>
      </w:r>
      <w:r w:rsidR="00E1249B">
        <w:rPr>
          <w:rFonts w:asciiTheme="minorHAnsi" w:eastAsia="Times New Roman" w:hAnsiTheme="minorHAnsi"/>
        </w:rPr>
        <w:t>s</w:t>
      </w:r>
      <w:r w:rsidR="00642C10">
        <w:rPr>
          <w:rFonts w:asciiTheme="minorHAnsi" w:eastAsia="Times New Roman" w:hAnsiTheme="minorHAnsi"/>
        </w:rPr>
        <w:t xml:space="preserve"> Statement of Cash Flows</w:t>
      </w:r>
      <w:r w:rsidRPr="00D658D4">
        <w:rPr>
          <w:rFonts w:asciiTheme="minorHAnsi" w:eastAsia="Times New Roman" w:hAnsiTheme="minorHAnsi"/>
        </w:rPr>
        <w:t>.</w:t>
      </w:r>
    </w:p>
    <w:p w14:paraId="02E9DCF8" w14:textId="77777777" w:rsidR="00D91F7F" w:rsidRPr="0034501D" w:rsidRDefault="00D91F7F" w:rsidP="00C4266C">
      <w:pPr>
        <w:spacing w:after="0" w:line="240" w:lineRule="auto"/>
        <w:rPr>
          <w:sz w:val="24"/>
          <w:szCs w:val="24"/>
        </w:rPr>
      </w:pPr>
    </w:p>
    <w:p w14:paraId="60CED9FA" w14:textId="77777777" w:rsidR="00810883" w:rsidRPr="0034501D" w:rsidRDefault="00810883" w:rsidP="00C4266C">
      <w:pPr>
        <w:spacing w:after="0" w:line="240" w:lineRule="auto"/>
        <w:rPr>
          <w:sz w:val="24"/>
          <w:szCs w:val="24"/>
        </w:rPr>
      </w:pPr>
    </w:p>
    <w:tbl>
      <w:tblPr>
        <w:tblpPr w:leftFromText="181" w:rightFromText="181" w:vertAnchor="text" w:horzAnchor="margin" w:tblpY="566"/>
        <w:tblW w:w="5000" w:type="pct"/>
        <w:tblLayout w:type="fixed"/>
        <w:tblCellMar>
          <w:left w:w="120" w:type="dxa"/>
          <w:right w:w="120" w:type="dxa"/>
        </w:tblCellMar>
        <w:tblLook w:val="0000" w:firstRow="0" w:lastRow="0" w:firstColumn="0" w:lastColumn="0" w:noHBand="0" w:noVBand="0"/>
      </w:tblPr>
      <w:tblGrid>
        <w:gridCol w:w="2977"/>
        <w:gridCol w:w="1276"/>
        <w:gridCol w:w="1276"/>
        <w:gridCol w:w="1278"/>
        <w:gridCol w:w="1278"/>
        <w:gridCol w:w="1271"/>
      </w:tblGrid>
      <w:tr w:rsidR="00DB7385" w:rsidRPr="00DB4DE9" w14:paraId="33F46B30" w14:textId="77777777" w:rsidTr="00DB7385">
        <w:trPr>
          <w:trHeight w:val="824"/>
        </w:trPr>
        <w:tc>
          <w:tcPr>
            <w:tcW w:w="1591" w:type="pct"/>
          </w:tcPr>
          <w:p w14:paraId="7A8D3B63" w14:textId="77777777" w:rsidR="00D84672" w:rsidRPr="00DB4DE9" w:rsidRDefault="00D84672" w:rsidP="00D84672">
            <w:pPr>
              <w:tabs>
                <w:tab w:val="right" w:pos="1202"/>
              </w:tabs>
              <w:spacing w:after="0" w:line="240" w:lineRule="auto"/>
              <w:outlineLvl w:val="0"/>
              <w:rPr>
                <w:rFonts w:eastAsia="Times New Roman" w:cs="Arial"/>
                <w:b/>
                <w:iCs/>
                <w:sz w:val="19"/>
                <w:szCs w:val="19"/>
              </w:rPr>
            </w:pPr>
          </w:p>
        </w:tc>
        <w:tc>
          <w:tcPr>
            <w:tcW w:w="682" w:type="pct"/>
            <w:vAlign w:val="bottom"/>
          </w:tcPr>
          <w:p w14:paraId="172C4791" w14:textId="77777777" w:rsidR="00D84672" w:rsidRPr="00DB4DE9" w:rsidRDefault="00D84672" w:rsidP="00D84672">
            <w:pPr>
              <w:tabs>
                <w:tab w:val="right" w:pos="1202"/>
              </w:tabs>
              <w:spacing w:after="0" w:line="240" w:lineRule="auto"/>
              <w:jc w:val="right"/>
              <w:outlineLvl w:val="0"/>
              <w:rPr>
                <w:rFonts w:asciiTheme="minorHAnsi" w:eastAsia="Times New Roman" w:hAnsiTheme="minorHAnsi" w:cs="Arial"/>
                <w:b/>
                <w:iCs/>
                <w:sz w:val="19"/>
                <w:szCs w:val="19"/>
              </w:rPr>
            </w:pPr>
            <w:r w:rsidRPr="00DB4DE9">
              <w:rPr>
                <w:rFonts w:asciiTheme="minorHAnsi" w:hAnsiTheme="minorHAnsi"/>
                <w:b/>
                <w:iCs/>
                <w:sz w:val="19"/>
                <w:szCs w:val="19"/>
              </w:rPr>
              <w:t>Founder`s capital</w:t>
            </w:r>
          </w:p>
        </w:tc>
        <w:tc>
          <w:tcPr>
            <w:tcW w:w="682" w:type="pct"/>
            <w:vAlign w:val="bottom"/>
          </w:tcPr>
          <w:p w14:paraId="18C2503B" w14:textId="77777777" w:rsidR="00D84672" w:rsidRPr="00DB4DE9" w:rsidRDefault="00D84672" w:rsidP="00D84672">
            <w:pPr>
              <w:tabs>
                <w:tab w:val="right" w:pos="1202"/>
              </w:tabs>
              <w:spacing w:after="0" w:line="240" w:lineRule="auto"/>
              <w:jc w:val="right"/>
              <w:outlineLvl w:val="0"/>
              <w:rPr>
                <w:rFonts w:asciiTheme="minorHAnsi" w:eastAsia="Times New Roman" w:hAnsiTheme="minorHAnsi" w:cs="Arial"/>
                <w:b/>
                <w:iCs/>
                <w:sz w:val="19"/>
                <w:szCs w:val="19"/>
              </w:rPr>
            </w:pPr>
            <w:r w:rsidRPr="00DB4DE9">
              <w:rPr>
                <w:rFonts w:asciiTheme="minorHAnsi" w:eastAsia="Times New Roman" w:hAnsiTheme="minorHAnsi" w:cs="Arial"/>
                <w:b/>
                <w:iCs/>
                <w:sz w:val="19"/>
                <w:szCs w:val="19"/>
              </w:rPr>
              <w:t xml:space="preserve">  </w:t>
            </w:r>
            <w:r w:rsidRPr="00DB4DE9">
              <w:rPr>
                <w:rFonts w:asciiTheme="minorHAnsi" w:hAnsiTheme="minorHAnsi"/>
                <w:b/>
                <w:iCs/>
                <w:sz w:val="19"/>
                <w:szCs w:val="19"/>
              </w:rPr>
              <w:t xml:space="preserve"> Retained earnings and reserves</w:t>
            </w:r>
          </w:p>
        </w:tc>
        <w:tc>
          <w:tcPr>
            <w:tcW w:w="683" w:type="pct"/>
            <w:vAlign w:val="bottom"/>
          </w:tcPr>
          <w:p w14:paraId="718CB701" w14:textId="77777777" w:rsidR="00D84672" w:rsidRPr="00DB4DE9" w:rsidRDefault="00D84672" w:rsidP="00D84672">
            <w:pPr>
              <w:tabs>
                <w:tab w:val="right" w:pos="1202"/>
              </w:tabs>
              <w:spacing w:after="0" w:line="240" w:lineRule="auto"/>
              <w:jc w:val="right"/>
              <w:outlineLvl w:val="0"/>
              <w:rPr>
                <w:rFonts w:asciiTheme="minorHAnsi" w:eastAsia="Times New Roman" w:hAnsiTheme="minorHAnsi" w:cs="Arial"/>
                <w:b/>
                <w:iCs/>
                <w:sz w:val="19"/>
                <w:szCs w:val="19"/>
              </w:rPr>
            </w:pPr>
            <w:r w:rsidRPr="00DB4DE9">
              <w:rPr>
                <w:rFonts w:asciiTheme="minorHAnsi" w:hAnsiTheme="minorHAnsi"/>
                <w:b/>
                <w:iCs/>
                <w:sz w:val="19"/>
                <w:szCs w:val="19"/>
              </w:rPr>
              <w:t>Other reserves</w:t>
            </w:r>
          </w:p>
        </w:tc>
        <w:tc>
          <w:tcPr>
            <w:tcW w:w="683" w:type="pct"/>
            <w:vAlign w:val="bottom"/>
          </w:tcPr>
          <w:p w14:paraId="3E559DD2" w14:textId="0496A6A3" w:rsidR="00D84672" w:rsidRPr="00DB4DE9" w:rsidRDefault="00D84672" w:rsidP="00DC285F">
            <w:pPr>
              <w:tabs>
                <w:tab w:val="right" w:pos="1202"/>
              </w:tabs>
              <w:spacing w:after="0" w:line="240" w:lineRule="auto"/>
              <w:jc w:val="right"/>
              <w:outlineLvl w:val="0"/>
              <w:rPr>
                <w:rFonts w:asciiTheme="minorHAnsi" w:eastAsia="Times New Roman" w:hAnsiTheme="minorHAnsi" w:cs="Arial"/>
                <w:b/>
                <w:iCs/>
                <w:sz w:val="19"/>
                <w:szCs w:val="19"/>
              </w:rPr>
            </w:pPr>
            <w:r w:rsidRPr="00DB4DE9">
              <w:rPr>
                <w:rFonts w:asciiTheme="minorHAnsi" w:hAnsiTheme="minorHAnsi"/>
                <w:b/>
                <w:iCs/>
                <w:sz w:val="19"/>
                <w:szCs w:val="19"/>
              </w:rPr>
              <w:t xml:space="preserve">Net profit for the </w:t>
            </w:r>
            <w:r w:rsidR="00DC285F">
              <w:rPr>
                <w:rFonts w:asciiTheme="minorHAnsi" w:hAnsiTheme="minorHAnsi"/>
                <w:b/>
                <w:iCs/>
                <w:sz w:val="19"/>
                <w:szCs w:val="19"/>
              </w:rPr>
              <w:t>period</w:t>
            </w:r>
          </w:p>
        </w:tc>
        <w:tc>
          <w:tcPr>
            <w:tcW w:w="679" w:type="pct"/>
            <w:vAlign w:val="bottom"/>
          </w:tcPr>
          <w:p w14:paraId="75944FE3" w14:textId="77777777" w:rsidR="00D84672" w:rsidRPr="00DB4DE9" w:rsidRDefault="00D84672" w:rsidP="00D84672">
            <w:pPr>
              <w:tabs>
                <w:tab w:val="right" w:pos="1202"/>
              </w:tabs>
              <w:spacing w:after="0" w:line="240" w:lineRule="auto"/>
              <w:jc w:val="right"/>
              <w:outlineLvl w:val="0"/>
              <w:rPr>
                <w:rFonts w:asciiTheme="minorHAnsi" w:hAnsiTheme="minorHAnsi"/>
                <w:b/>
                <w:iCs/>
                <w:sz w:val="19"/>
                <w:szCs w:val="19"/>
              </w:rPr>
            </w:pPr>
            <w:r w:rsidRPr="00DB4DE9">
              <w:rPr>
                <w:rFonts w:asciiTheme="minorHAnsi" w:hAnsiTheme="minorHAnsi"/>
                <w:b/>
                <w:iCs/>
                <w:sz w:val="19"/>
                <w:szCs w:val="19"/>
              </w:rPr>
              <w:t xml:space="preserve">Total </w:t>
            </w:r>
          </w:p>
          <w:p w14:paraId="55C9A60F" w14:textId="77777777" w:rsidR="00D84672" w:rsidRPr="00DB4DE9" w:rsidRDefault="00D84672" w:rsidP="00D84672">
            <w:pPr>
              <w:tabs>
                <w:tab w:val="right" w:pos="1202"/>
              </w:tabs>
              <w:spacing w:after="0" w:line="240" w:lineRule="auto"/>
              <w:jc w:val="right"/>
              <w:outlineLvl w:val="0"/>
              <w:rPr>
                <w:rFonts w:asciiTheme="minorHAnsi" w:eastAsia="Times New Roman" w:hAnsiTheme="minorHAnsi" w:cs="Arial"/>
                <w:b/>
                <w:iCs/>
                <w:sz w:val="19"/>
                <w:szCs w:val="19"/>
              </w:rPr>
            </w:pPr>
            <w:r w:rsidRPr="00DB4DE9">
              <w:rPr>
                <w:rFonts w:asciiTheme="minorHAnsi" w:hAnsiTheme="minorHAnsi"/>
                <w:b/>
                <w:iCs/>
                <w:sz w:val="19"/>
                <w:szCs w:val="19"/>
              </w:rPr>
              <w:t>equity</w:t>
            </w:r>
          </w:p>
        </w:tc>
      </w:tr>
      <w:tr w:rsidR="00DB7385" w:rsidRPr="00DB4DE9" w14:paraId="470B9C7A" w14:textId="77777777" w:rsidTr="00DB7385">
        <w:trPr>
          <w:trHeight w:val="140"/>
        </w:trPr>
        <w:tc>
          <w:tcPr>
            <w:tcW w:w="1591" w:type="pct"/>
          </w:tcPr>
          <w:p w14:paraId="42C0CCD4" w14:textId="77777777" w:rsidR="00D84672" w:rsidRPr="00DB4DE9" w:rsidRDefault="00D84672" w:rsidP="00D84672">
            <w:pPr>
              <w:tabs>
                <w:tab w:val="right" w:pos="1202"/>
              </w:tabs>
              <w:spacing w:after="0" w:line="240" w:lineRule="auto"/>
              <w:outlineLvl w:val="0"/>
              <w:rPr>
                <w:rFonts w:eastAsia="Times New Roman" w:cs="Arial"/>
                <w:iCs/>
                <w:sz w:val="19"/>
                <w:szCs w:val="19"/>
              </w:rPr>
            </w:pPr>
          </w:p>
        </w:tc>
        <w:tc>
          <w:tcPr>
            <w:tcW w:w="682" w:type="pct"/>
            <w:vAlign w:val="bottom"/>
          </w:tcPr>
          <w:p w14:paraId="797ECA49" w14:textId="77777777" w:rsidR="00D84672" w:rsidRPr="00DB4DE9" w:rsidRDefault="00D84672" w:rsidP="00D84672">
            <w:pPr>
              <w:tabs>
                <w:tab w:val="right" w:pos="1202"/>
              </w:tabs>
              <w:spacing w:after="0" w:line="240" w:lineRule="auto"/>
              <w:jc w:val="right"/>
              <w:outlineLvl w:val="0"/>
              <w:rPr>
                <w:rFonts w:eastAsia="Times New Roman" w:cs="Arial"/>
                <w:b/>
                <w:bCs/>
                <w:sz w:val="19"/>
                <w:szCs w:val="19"/>
              </w:rPr>
            </w:pPr>
          </w:p>
        </w:tc>
        <w:tc>
          <w:tcPr>
            <w:tcW w:w="682" w:type="pct"/>
            <w:vAlign w:val="bottom"/>
          </w:tcPr>
          <w:p w14:paraId="10235A98" w14:textId="77777777" w:rsidR="00D84672" w:rsidRPr="00DB4DE9" w:rsidRDefault="00D84672" w:rsidP="00D84672">
            <w:pPr>
              <w:tabs>
                <w:tab w:val="right" w:pos="1202"/>
              </w:tabs>
              <w:spacing w:after="0" w:line="240" w:lineRule="auto"/>
              <w:jc w:val="right"/>
              <w:outlineLvl w:val="0"/>
              <w:rPr>
                <w:rFonts w:eastAsia="Times New Roman" w:cs="Arial"/>
                <w:b/>
                <w:bCs/>
                <w:sz w:val="19"/>
                <w:szCs w:val="19"/>
              </w:rPr>
            </w:pPr>
          </w:p>
        </w:tc>
        <w:tc>
          <w:tcPr>
            <w:tcW w:w="683" w:type="pct"/>
          </w:tcPr>
          <w:p w14:paraId="3757274D" w14:textId="77777777" w:rsidR="00D84672" w:rsidRPr="00DB4DE9" w:rsidRDefault="00D84672" w:rsidP="00D84672">
            <w:pPr>
              <w:tabs>
                <w:tab w:val="right" w:pos="1202"/>
              </w:tabs>
              <w:spacing w:after="0" w:line="240" w:lineRule="auto"/>
              <w:jc w:val="right"/>
              <w:outlineLvl w:val="0"/>
              <w:rPr>
                <w:rFonts w:eastAsia="Times New Roman" w:cs="Arial"/>
                <w:b/>
                <w:bCs/>
                <w:sz w:val="19"/>
                <w:szCs w:val="19"/>
              </w:rPr>
            </w:pPr>
          </w:p>
        </w:tc>
        <w:tc>
          <w:tcPr>
            <w:tcW w:w="683" w:type="pct"/>
            <w:vAlign w:val="bottom"/>
          </w:tcPr>
          <w:p w14:paraId="258B83A6" w14:textId="77777777" w:rsidR="00D84672" w:rsidRPr="00DB4DE9" w:rsidRDefault="00D84672" w:rsidP="00D84672">
            <w:pPr>
              <w:tabs>
                <w:tab w:val="right" w:pos="1202"/>
              </w:tabs>
              <w:spacing w:after="0" w:line="240" w:lineRule="auto"/>
              <w:jc w:val="right"/>
              <w:outlineLvl w:val="0"/>
              <w:rPr>
                <w:rFonts w:eastAsia="Times New Roman" w:cs="Arial"/>
                <w:b/>
                <w:bCs/>
                <w:sz w:val="19"/>
                <w:szCs w:val="19"/>
              </w:rPr>
            </w:pPr>
          </w:p>
        </w:tc>
        <w:tc>
          <w:tcPr>
            <w:tcW w:w="679" w:type="pct"/>
            <w:vAlign w:val="bottom"/>
          </w:tcPr>
          <w:p w14:paraId="74464680" w14:textId="77777777" w:rsidR="00D84672" w:rsidRPr="00DB4DE9" w:rsidRDefault="00D84672" w:rsidP="00D84672">
            <w:pPr>
              <w:tabs>
                <w:tab w:val="right" w:pos="1202"/>
              </w:tabs>
              <w:spacing w:after="0" w:line="240" w:lineRule="auto"/>
              <w:jc w:val="right"/>
              <w:outlineLvl w:val="0"/>
              <w:rPr>
                <w:rFonts w:eastAsia="Times New Roman" w:cs="Arial"/>
                <w:b/>
                <w:bCs/>
                <w:sz w:val="19"/>
                <w:szCs w:val="19"/>
              </w:rPr>
            </w:pPr>
          </w:p>
        </w:tc>
      </w:tr>
      <w:tr w:rsidR="00DB7385" w:rsidRPr="00DB4DE9" w14:paraId="10108D68" w14:textId="77777777" w:rsidTr="00DB7385">
        <w:trPr>
          <w:trHeight w:val="476"/>
        </w:trPr>
        <w:tc>
          <w:tcPr>
            <w:tcW w:w="1591" w:type="pct"/>
            <w:vAlign w:val="bottom"/>
          </w:tcPr>
          <w:p w14:paraId="237ED774" w14:textId="77777777" w:rsidR="00323C92" w:rsidRPr="00DB4DE9" w:rsidRDefault="00323C92" w:rsidP="00323C92">
            <w:pPr>
              <w:tabs>
                <w:tab w:val="right" w:pos="1202"/>
              </w:tabs>
              <w:spacing w:after="0" w:line="240" w:lineRule="auto"/>
              <w:outlineLvl w:val="0"/>
              <w:rPr>
                <w:rFonts w:eastAsia="Times New Roman" w:cs="Arial"/>
                <w:b/>
                <w:iCs/>
                <w:sz w:val="19"/>
                <w:szCs w:val="19"/>
              </w:rPr>
            </w:pPr>
            <w:r w:rsidRPr="00DB4DE9">
              <w:rPr>
                <w:rFonts w:eastAsia="Times New Roman"/>
                <w:b/>
                <w:iCs/>
                <w:sz w:val="19"/>
                <w:szCs w:val="19"/>
              </w:rPr>
              <w:t xml:space="preserve">Balance as of </w:t>
            </w:r>
            <w:r w:rsidRPr="00DB4DE9">
              <w:rPr>
                <w:rFonts w:eastAsia="Times New Roman" w:cs="Arial"/>
                <w:b/>
                <w:iCs/>
                <w:sz w:val="19"/>
                <w:szCs w:val="19"/>
              </w:rPr>
              <w:t>1 January 2016</w:t>
            </w:r>
          </w:p>
        </w:tc>
        <w:tc>
          <w:tcPr>
            <w:tcW w:w="682" w:type="pct"/>
            <w:tcBorders>
              <w:top w:val="nil"/>
              <w:left w:val="nil"/>
              <w:bottom w:val="nil"/>
              <w:right w:val="nil"/>
            </w:tcBorders>
            <w:shd w:val="clear" w:color="auto" w:fill="auto"/>
            <w:vAlign w:val="bottom"/>
          </w:tcPr>
          <w:p w14:paraId="541C3C87" w14:textId="1A51D670" w:rsidR="00323C92" w:rsidRPr="00FA11F5" w:rsidRDefault="002101AE" w:rsidP="00323C92">
            <w:pPr>
              <w:pStyle w:val="TT"/>
              <w:spacing w:line="240" w:lineRule="auto"/>
              <w:jc w:val="right"/>
              <w:rPr>
                <w:rFonts w:ascii="Calibri" w:hAnsi="Calibri" w:cs="Calibri"/>
                <w:b/>
                <w:iCs/>
                <w:szCs w:val="19"/>
              </w:rPr>
            </w:pPr>
            <w:r>
              <w:rPr>
                <w:rFonts w:ascii="Calibri" w:hAnsi="Calibri" w:cs="Calibri"/>
                <w:b/>
                <w:iCs/>
                <w:szCs w:val="19"/>
              </w:rPr>
              <w:t>6,926,632</w:t>
            </w:r>
          </w:p>
        </w:tc>
        <w:tc>
          <w:tcPr>
            <w:tcW w:w="682" w:type="pct"/>
            <w:tcBorders>
              <w:top w:val="nil"/>
              <w:left w:val="nil"/>
              <w:bottom w:val="nil"/>
              <w:right w:val="nil"/>
            </w:tcBorders>
            <w:shd w:val="clear" w:color="auto" w:fill="auto"/>
            <w:vAlign w:val="bottom"/>
          </w:tcPr>
          <w:p w14:paraId="5A4AFA82" w14:textId="70427429" w:rsidR="00323C92" w:rsidRPr="00FA11F5" w:rsidRDefault="002101AE" w:rsidP="00323C92">
            <w:pPr>
              <w:pStyle w:val="TT"/>
              <w:spacing w:line="240" w:lineRule="auto"/>
              <w:jc w:val="right"/>
              <w:rPr>
                <w:rFonts w:ascii="Calibri" w:hAnsi="Calibri" w:cs="Calibri"/>
                <w:b/>
                <w:iCs/>
                <w:szCs w:val="19"/>
              </w:rPr>
            </w:pPr>
            <w:r>
              <w:rPr>
                <w:rFonts w:ascii="Calibri" w:hAnsi="Calibri" w:cs="Calibri"/>
                <w:b/>
                <w:iCs/>
                <w:szCs w:val="19"/>
              </w:rPr>
              <w:t>2,476,903</w:t>
            </w:r>
          </w:p>
        </w:tc>
        <w:tc>
          <w:tcPr>
            <w:tcW w:w="683" w:type="pct"/>
            <w:tcBorders>
              <w:top w:val="nil"/>
              <w:left w:val="nil"/>
              <w:bottom w:val="nil"/>
              <w:right w:val="nil"/>
            </w:tcBorders>
            <w:shd w:val="clear" w:color="auto" w:fill="auto"/>
            <w:vAlign w:val="bottom"/>
          </w:tcPr>
          <w:p w14:paraId="0979238C" w14:textId="28BC1330" w:rsidR="00323C92" w:rsidRPr="00FA11F5" w:rsidRDefault="002101AE" w:rsidP="00323C92">
            <w:pPr>
              <w:pStyle w:val="TT"/>
              <w:spacing w:line="240" w:lineRule="auto"/>
              <w:jc w:val="right"/>
              <w:rPr>
                <w:rFonts w:ascii="Calibri" w:hAnsi="Calibri" w:cs="Calibri"/>
                <w:b/>
                <w:iCs/>
                <w:szCs w:val="19"/>
              </w:rPr>
            </w:pPr>
            <w:r>
              <w:rPr>
                <w:rFonts w:ascii="Calibri" w:hAnsi="Calibri" w:cs="Calibri"/>
                <w:b/>
                <w:iCs/>
                <w:szCs w:val="19"/>
              </w:rPr>
              <w:t>41,182</w:t>
            </w:r>
          </w:p>
        </w:tc>
        <w:tc>
          <w:tcPr>
            <w:tcW w:w="683" w:type="pct"/>
            <w:tcBorders>
              <w:top w:val="nil"/>
              <w:left w:val="nil"/>
              <w:bottom w:val="nil"/>
              <w:right w:val="nil"/>
            </w:tcBorders>
            <w:shd w:val="clear" w:color="auto" w:fill="auto"/>
            <w:vAlign w:val="bottom"/>
          </w:tcPr>
          <w:p w14:paraId="07556EEE" w14:textId="5B1C54A2" w:rsidR="00323C92" w:rsidRPr="00FA11F5" w:rsidRDefault="002101AE" w:rsidP="00323C92">
            <w:pPr>
              <w:pStyle w:val="TT"/>
              <w:spacing w:line="240" w:lineRule="auto"/>
              <w:jc w:val="right"/>
              <w:rPr>
                <w:rFonts w:ascii="Calibri" w:hAnsi="Calibri" w:cs="Calibri"/>
                <w:b/>
                <w:iCs/>
                <w:szCs w:val="19"/>
              </w:rPr>
            </w:pPr>
            <w:r>
              <w:rPr>
                <w:rFonts w:ascii="Calibri" w:hAnsi="Calibri" w:cs="Calibri"/>
                <w:b/>
                <w:iCs/>
                <w:szCs w:val="19"/>
              </w:rPr>
              <w:t>205,228</w:t>
            </w:r>
          </w:p>
        </w:tc>
        <w:tc>
          <w:tcPr>
            <w:tcW w:w="679" w:type="pct"/>
            <w:tcBorders>
              <w:top w:val="nil"/>
              <w:left w:val="nil"/>
              <w:bottom w:val="nil"/>
              <w:right w:val="nil"/>
            </w:tcBorders>
            <w:shd w:val="clear" w:color="auto" w:fill="auto"/>
            <w:vAlign w:val="bottom"/>
          </w:tcPr>
          <w:p w14:paraId="738D555C" w14:textId="198B814C" w:rsidR="00323C92" w:rsidRPr="00FA11F5" w:rsidRDefault="002101AE" w:rsidP="00323C92">
            <w:pPr>
              <w:pStyle w:val="TT"/>
              <w:spacing w:line="240" w:lineRule="auto"/>
              <w:jc w:val="right"/>
              <w:rPr>
                <w:rFonts w:ascii="Calibri" w:hAnsi="Calibri" w:cs="Calibri"/>
                <w:b/>
                <w:iCs/>
                <w:szCs w:val="19"/>
              </w:rPr>
            </w:pPr>
            <w:r>
              <w:rPr>
                <w:rFonts w:ascii="Calibri" w:hAnsi="Calibri" w:cs="Calibri"/>
                <w:b/>
                <w:iCs/>
                <w:szCs w:val="19"/>
              </w:rPr>
              <w:t>9,649,945</w:t>
            </w:r>
          </w:p>
        </w:tc>
      </w:tr>
      <w:tr w:rsidR="00DB7385" w:rsidRPr="00DB4DE9" w14:paraId="6128E823" w14:textId="77777777" w:rsidTr="006B318F">
        <w:trPr>
          <w:trHeight w:hRule="exact" w:val="169"/>
        </w:trPr>
        <w:tc>
          <w:tcPr>
            <w:tcW w:w="1591" w:type="pct"/>
            <w:vAlign w:val="bottom"/>
          </w:tcPr>
          <w:p w14:paraId="660D804F" w14:textId="77777777" w:rsidR="00323C92" w:rsidRPr="00DB4DE9" w:rsidRDefault="00323C92" w:rsidP="00323C92">
            <w:pPr>
              <w:tabs>
                <w:tab w:val="right" w:pos="1202"/>
              </w:tabs>
              <w:spacing w:after="0" w:line="140" w:lineRule="exact"/>
              <w:outlineLvl w:val="0"/>
              <w:rPr>
                <w:rFonts w:eastAsia="Times New Roman" w:cs="Arial"/>
                <w:b/>
                <w:iCs/>
                <w:sz w:val="19"/>
                <w:szCs w:val="19"/>
              </w:rPr>
            </w:pPr>
          </w:p>
        </w:tc>
        <w:tc>
          <w:tcPr>
            <w:tcW w:w="682" w:type="pct"/>
            <w:vAlign w:val="bottom"/>
          </w:tcPr>
          <w:p w14:paraId="2F003303" w14:textId="77777777" w:rsidR="00323C92" w:rsidRPr="0034501D" w:rsidRDefault="00323C92" w:rsidP="00323C92">
            <w:pPr>
              <w:pStyle w:val="Thick"/>
              <w:tabs>
                <w:tab w:val="clear" w:pos="1202"/>
                <w:tab w:val="decimal" w:pos="1015"/>
              </w:tabs>
              <w:spacing w:line="140" w:lineRule="exact"/>
              <w:jc w:val="right"/>
              <w:rPr>
                <w:rFonts w:ascii="Calibri" w:hAnsi="Calibri" w:cs="Arial"/>
                <w:sz w:val="19"/>
                <w:szCs w:val="19"/>
                <w:lang w:val="en-GB"/>
              </w:rPr>
            </w:pPr>
            <w:r w:rsidRPr="0034501D">
              <w:rPr>
                <w:rFonts w:ascii="Calibri" w:hAnsi="Calibri" w:cs="Arial"/>
                <w:sz w:val="19"/>
                <w:szCs w:val="19"/>
                <w:lang w:val="en-GB"/>
              </w:rPr>
              <w:t>___________</w:t>
            </w:r>
          </w:p>
        </w:tc>
        <w:tc>
          <w:tcPr>
            <w:tcW w:w="682" w:type="pct"/>
            <w:vAlign w:val="bottom"/>
          </w:tcPr>
          <w:p w14:paraId="35B1CB8A" w14:textId="77777777" w:rsidR="00323C92" w:rsidRPr="0034501D" w:rsidRDefault="00323C92" w:rsidP="00323C92">
            <w:pPr>
              <w:pStyle w:val="Thick"/>
              <w:tabs>
                <w:tab w:val="clear" w:pos="1202"/>
                <w:tab w:val="decimal" w:pos="1015"/>
              </w:tabs>
              <w:spacing w:line="140" w:lineRule="exact"/>
              <w:jc w:val="right"/>
              <w:rPr>
                <w:rFonts w:ascii="Calibri" w:hAnsi="Calibri" w:cs="Arial"/>
                <w:sz w:val="19"/>
                <w:szCs w:val="19"/>
                <w:lang w:val="en-GB"/>
              </w:rPr>
            </w:pPr>
            <w:r w:rsidRPr="0034501D">
              <w:rPr>
                <w:rFonts w:ascii="Calibri" w:hAnsi="Calibri" w:cs="Arial"/>
                <w:sz w:val="19"/>
                <w:szCs w:val="19"/>
                <w:lang w:val="en-GB"/>
              </w:rPr>
              <w:t>___________</w:t>
            </w:r>
          </w:p>
        </w:tc>
        <w:tc>
          <w:tcPr>
            <w:tcW w:w="683" w:type="pct"/>
            <w:vAlign w:val="bottom"/>
          </w:tcPr>
          <w:p w14:paraId="00DA319F" w14:textId="77777777" w:rsidR="00323C92" w:rsidRPr="0034501D" w:rsidRDefault="00323C92" w:rsidP="00323C92">
            <w:pPr>
              <w:pStyle w:val="Thick"/>
              <w:tabs>
                <w:tab w:val="clear" w:pos="1202"/>
                <w:tab w:val="decimal" w:pos="1015"/>
              </w:tabs>
              <w:spacing w:line="140" w:lineRule="exact"/>
              <w:jc w:val="right"/>
              <w:rPr>
                <w:rFonts w:ascii="Calibri" w:hAnsi="Calibri" w:cs="Arial"/>
                <w:sz w:val="19"/>
                <w:szCs w:val="19"/>
                <w:lang w:val="en-GB"/>
              </w:rPr>
            </w:pPr>
            <w:r w:rsidRPr="0034501D">
              <w:rPr>
                <w:rFonts w:ascii="Calibri" w:hAnsi="Calibri" w:cs="Arial"/>
                <w:sz w:val="19"/>
                <w:szCs w:val="19"/>
                <w:lang w:val="en-GB"/>
              </w:rPr>
              <w:t>___________</w:t>
            </w:r>
          </w:p>
        </w:tc>
        <w:tc>
          <w:tcPr>
            <w:tcW w:w="683" w:type="pct"/>
            <w:vAlign w:val="bottom"/>
          </w:tcPr>
          <w:p w14:paraId="4DAE54FC" w14:textId="77777777" w:rsidR="00323C92" w:rsidRPr="0034501D" w:rsidRDefault="00323C92" w:rsidP="00323C92">
            <w:pPr>
              <w:pStyle w:val="Thick"/>
              <w:tabs>
                <w:tab w:val="clear" w:pos="1202"/>
                <w:tab w:val="decimal" w:pos="1015"/>
              </w:tabs>
              <w:spacing w:line="140" w:lineRule="exact"/>
              <w:jc w:val="right"/>
              <w:rPr>
                <w:rFonts w:ascii="Calibri" w:hAnsi="Calibri" w:cs="Arial"/>
                <w:sz w:val="19"/>
                <w:szCs w:val="19"/>
                <w:lang w:val="en-GB"/>
              </w:rPr>
            </w:pPr>
            <w:r w:rsidRPr="0034501D">
              <w:rPr>
                <w:rFonts w:ascii="Calibri" w:hAnsi="Calibri" w:cs="Arial"/>
                <w:sz w:val="19"/>
                <w:szCs w:val="19"/>
                <w:lang w:val="en-GB"/>
              </w:rPr>
              <w:t>___________</w:t>
            </w:r>
          </w:p>
        </w:tc>
        <w:tc>
          <w:tcPr>
            <w:tcW w:w="679" w:type="pct"/>
            <w:vAlign w:val="bottom"/>
          </w:tcPr>
          <w:p w14:paraId="33FF388A" w14:textId="77777777" w:rsidR="00323C92" w:rsidRPr="0034501D" w:rsidRDefault="00323C92" w:rsidP="00323C92">
            <w:pPr>
              <w:pStyle w:val="Thick"/>
              <w:tabs>
                <w:tab w:val="clear" w:pos="1202"/>
                <w:tab w:val="decimal" w:pos="1015"/>
              </w:tabs>
              <w:spacing w:line="140" w:lineRule="exact"/>
              <w:jc w:val="right"/>
              <w:rPr>
                <w:rFonts w:ascii="Calibri" w:hAnsi="Calibri" w:cs="Arial"/>
                <w:sz w:val="19"/>
                <w:szCs w:val="19"/>
                <w:lang w:val="en-GB"/>
              </w:rPr>
            </w:pPr>
            <w:r w:rsidRPr="0034501D">
              <w:rPr>
                <w:rFonts w:ascii="Calibri" w:hAnsi="Calibri" w:cs="Arial"/>
                <w:sz w:val="19"/>
                <w:szCs w:val="19"/>
                <w:lang w:val="en-GB"/>
              </w:rPr>
              <w:t>___________</w:t>
            </w:r>
          </w:p>
        </w:tc>
      </w:tr>
      <w:tr w:rsidR="00DB7385" w:rsidRPr="00DB4DE9" w14:paraId="4FD6B330" w14:textId="77777777" w:rsidTr="00DB7385">
        <w:trPr>
          <w:trHeight w:val="140"/>
        </w:trPr>
        <w:tc>
          <w:tcPr>
            <w:tcW w:w="1591" w:type="pct"/>
            <w:vAlign w:val="bottom"/>
          </w:tcPr>
          <w:p w14:paraId="795E7707" w14:textId="77777777" w:rsidR="00323C92" w:rsidRPr="00DB4DE9" w:rsidRDefault="00323C92" w:rsidP="00323C92">
            <w:pPr>
              <w:tabs>
                <w:tab w:val="right" w:pos="1202"/>
              </w:tabs>
              <w:spacing w:after="0" w:line="240" w:lineRule="auto"/>
              <w:outlineLvl w:val="0"/>
              <w:rPr>
                <w:rFonts w:eastAsia="Times New Roman" w:cs="Arial"/>
                <w:iCs/>
                <w:sz w:val="19"/>
                <w:szCs w:val="19"/>
              </w:rPr>
            </w:pPr>
          </w:p>
        </w:tc>
        <w:tc>
          <w:tcPr>
            <w:tcW w:w="682" w:type="pct"/>
            <w:vAlign w:val="bottom"/>
          </w:tcPr>
          <w:p w14:paraId="38095276" w14:textId="77777777" w:rsidR="00323C92" w:rsidRPr="0034501D" w:rsidRDefault="00323C92" w:rsidP="00323C92">
            <w:pPr>
              <w:pStyle w:val="Thick"/>
              <w:spacing w:line="240" w:lineRule="auto"/>
              <w:jc w:val="right"/>
              <w:rPr>
                <w:rFonts w:ascii="Calibri" w:hAnsi="Calibri" w:cs="Arial"/>
                <w:sz w:val="19"/>
                <w:szCs w:val="19"/>
                <w:lang w:val="en-GB"/>
              </w:rPr>
            </w:pPr>
          </w:p>
        </w:tc>
        <w:tc>
          <w:tcPr>
            <w:tcW w:w="682" w:type="pct"/>
            <w:vAlign w:val="bottom"/>
          </w:tcPr>
          <w:p w14:paraId="58AD49B7" w14:textId="77777777" w:rsidR="00323C92" w:rsidRPr="0034501D" w:rsidRDefault="00323C92" w:rsidP="00323C92">
            <w:pPr>
              <w:pStyle w:val="Thick"/>
              <w:spacing w:line="240" w:lineRule="auto"/>
              <w:jc w:val="right"/>
              <w:rPr>
                <w:rFonts w:ascii="Calibri" w:hAnsi="Calibri" w:cs="Arial"/>
                <w:sz w:val="19"/>
                <w:szCs w:val="19"/>
                <w:lang w:val="en-GB"/>
              </w:rPr>
            </w:pPr>
          </w:p>
        </w:tc>
        <w:tc>
          <w:tcPr>
            <w:tcW w:w="683" w:type="pct"/>
            <w:vAlign w:val="bottom"/>
          </w:tcPr>
          <w:p w14:paraId="0AF1CAF3" w14:textId="77777777" w:rsidR="00323C92" w:rsidRPr="0034501D" w:rsidRDefault="00323C92" w:rsidP="00323C92">
            <w:pPr>
              <w:pStyle w:val="Thick"/>
              <w:spacing w:line="240" w:lineRule="auto"/>
              <w:jc w:val="right"/>
              <w:rPr>
                <w:rFonts w:ascii="Calibri" w:hAnsi="Calibri" w:cs="Arial"/>
                <w:sz w:val="19"/>
                <w:szCs w:val="19"/>
                <w:lang w:val="en-GB"/>
              </w:rPr>
            </w:pPr>
          </w:p>
        </w:tc>
        <w:tc>
          <w:tcPr>
            <w:tcW w:w="683" w:type="pct"/>
            <w:vAlign w:val="bottom"/>
          </w:tcPr>
          <w:p w14:paraId="79037B1B" w14:textId="77777777" w:rsidR="00323C92" w:rsidRPr="0034501D" w:rsidRDefault="00323C92" w:rsidP="00323C92">
            <w:pPr>
              <w:pStyle w:val="Thick"/>
              <w:spacing w:line="240" w:lineRule="auto"/>
              <w:jc w:val="right"/>
              <w:rPr>
                <w:rFonts w:ascii="Calibri" w:hAnsi="Calibri" w:cs="Arial"/>
                <w:sz w:val="19"/>
                <w:szCs w:val="19"/>
                <w:lang w:val="en-GB"/>
              </w:rPr>
            </w:pPr>
          </w:p>
        </w:tc>
        <w:tc>
          <w:tcPr>
            <w:tcW w:w="679" w:type="pct"/>
            <w:vAlign w:val="bottom"/>
          </w:tcPr>
          <w:p w14:paraId="1596A8CE" w14:textId="77777777" w:rsidR="00323C92" w:rsidRPr="0034501D" w:rsidRDefault="00323C92" w:rsidP="00323C92">
            <w:pPr>
              <w:pStyle w:val="Thick"/>
              <w:spacing w:line="240" w:lineRule="auto"/>
              <w:jc w:val="right"/>
              <w:rPr>
                <w:rFonts w:ascii="Calibri" w:hAnsi="Calibri" w:cs="Arial"/>
                <w:sz w:val="19"/>
                <w:szCs w:val="19"/>
                <w:lang w:val="en-GB"/>
              </w:rPr>
            </w:pPr>
          </w:p>
        </w:tc>
      </w:tr>
      <w:tr w:rsidR="00A72FA6" w:rsidRPr="00DB4DE9" w14:paraId="771E9FCE" w14:textId="77777777" w:rsidTr="00DB7385">
        <w:trPr>
          <w:trHeight w:val="330"/>
        </w:trPr>
        <w:tc>
          <w:tcPr>
            <w:tcW w:w="1591" w:type="pct"/>
            <w:vAlign w:val="bottom"/>
          </w:tcPr>
          <w:p w14:paraId="7AA515CB" w14:textId="22836D92" w:rsidR="00A72FA6" w:rsidRPr="00DB4DE9" w:rsidRDefault="00A72FA6" w:rsidP="00A72FA6">
            <w:pPr>
              <w:tabs>
                <w:tab w:val="right" w:pos="1202"/>
              </w:tabs>
              <w:spacing w:after="0" w:line="240" w:lineRule="auto"/>
              <w:outlineLvl w:val="0"/>
              <w:rPr>
                <w:rFonts w:eastAsia="Times New Roman" w:cs="Arial"/>
                <w:iCs/>
                <w:sz w:val="19"/>
                <w:szCs w:val="19"/>
              </w:rPr>
            </w:pPr>
            <w:r w:rsidRPr="00DB4DE9">
              <w:rPr>
                <w:rFonts w:eastAsia="Times New Roman"/>
                <w:iCs/>
                <w:sz w:val="19"/>
                <w:szCs w:val="19"/>
              </w:rPr>
              <w:t xml:space="preserve">Profit for the </w:t>
            </w:r>
            <w:r>
              <w:rPr>
                <w:rFonts w:eastAsia="Times New Roman"/>
                <w:iCs/>
                <w:sz w:val="19"/>
                <w:szCs w:val="19"/>
              </w:rPr>
              <w:t>period</w:t>
            </w:r>
            <w:r w:rsidRPr="00DB4DE9">
              <w:rPr>
                <w:rFonts w:eastAsia="Times New Roman" w:cs="Arial"/>
                <w:iCs/>
                <w:sz w:val="19"/>
                <w:szCs w:val="19"/>
              </w:rPr>
              <w:t xml:space="preserve"> </w:t>
            </w:r>
          </w:p>
        </w:tc>
        <w:tc>
          <w:tcPr>
            <w:tcW w:w="682" w:type="pct"/>
            <w:tcBorders>
              <w:top w:val="nil"/>
              <w:left w:val="nil"/>
              <w:bottom w:val="nil"/>
              <w:right w:val="nil"/>
            </w:tcBorders>
            <w:shd w:val="clear" w:color="auto" w:fill="auto"/>
            <w:vAlign w:val="bottom"/>
          </w:tcPr>
          <w:p w14:paraId="2A421963" w14:textId="77777777" w:rsidR="00A72FA6" w:rsidRPr="00CA37C8" w:rsidRDefault="00A72FA6" w:rsidP="00A72FA6">
            <w:pPr>
              <w:pStyle w:val="TT"/>
              <w:spacing w:line="240" w:lineRule="auto"/>
              <w:jc w:val="right"/>
              <w:rPr>
                <w:rFonts w:asciiTheme="minorHAnsi" w:hAnsiTheme="minorHAnsi" w:cs="Arial"/>
                <w:szCs w:val="19"/>
                <w:lang w:val="hr-HR"/>
              </w:rPr>
            </w:pPr>
            <w:r>
              <w:rPr>
                <w:rFonts w:ascii="Calibri" w:hAnsi="Calibri"/>
                <w:color w:val="000000"/>
                <w:szCs w:val="19"/>
              </w:rPr>
              <w:t xml:space="preserve"> - </w:t>
            </w:r>
          </w:p>
        </w:tc>
        <w:tc>
          <w:tcPr>
            <w:tcW w:w="682" w:type="pct"/>
            <w:tcBorders>
              <w:top w:val="nil"/>
              <w:left w:val="nil"/>
              <w:bottom w:val="nil"/>
              <w:right w:val="nil"/>
            </w:tcBorders>
            <w:shd w:val="clear" w:color="auto" w:fill="auto"/>
            <w:vAlign w:val="bottom"/>
          </w:tcPr>
          <w:p w14:paraId="44D4C28E" w14:textId="77777777" w:rsidR="00A72FA6" w:rsidRPr="00CA37C8" w:rsidRDefault="00A72FA6" w:rsidP="00A72FA6">
            <w:pPr>
              <w:pStyle w:val="TT"/>
              <w:spacing w:line="240" w:lineRule="auto"/>
              <w:jc w:val="right"/>
              <w:rPr>
                <w:rFonts w:asciiTheme="minorHAnsi" w:hAnsiTheme="minorHAnsi" w:cs="Arial"/>
                <w:szCs w:val="19"/>
                <w:lang w:val="hr-HR"/>
              </w:rPr>
            </w:pPr>
            <w:r>
              <w:rPr>
                <w:rFonts w:ascii="Calibri" w:hAnsi="Calibri"/>
                <w:color w:val="000000"/>
                <w:szCs w:val="19"/>
              </w:rPr>
              <w:t xml:space="preserve"> - </w:t>
            </w:r>
          </w:p>
        </w:tc>
        <w:tc>
          <w:tcPr>
            <w:tcW w:w="683" w:type="pct"/>
            <w:tcBorders>
              <w:top w:val="nil"/>
              <w:left w:val="nil"/>
              <w:bottom w:val="nil"/>
              <w:right w:val="nil"/>
            </w:tcBorders>
            <w:shd w:val="clear" w:color="auto" w:fill="auto"/>
            <w:vAlign w:val="bottom"/>
          </w:tcPr>
          <w:p w14:paraId="3138A864" w14:textId="1BFD5D61" w:rsidR="00A72FA6" w:rsidRPr="00CA37C8" w:rsidRDefault="00A72FA6" w:rsidP="00A72FA6">
            <w:pPr>
              <w:pStyle w:val="TT"/>
              <w:spacing w:line="240" w:lineRule="auto"/>
              <w:jc w:val="right"/>
              <w:rPr>
                <w:rFonts w:asciiTheme="minorHAnsi" w:hAnsiTheme="minorHAnsi" w:cs="Arial"/>
                <w:szCs w:val="19"/>
                <w:lang w:val="hr-HR"/>
              </w:rPr>
            </w:pPr>
            <w:r>
              <w:rPr>
                <w:rFonts w:asciiTheme="minorHAnsi" w:hAnsiTheme="minorHAnsi" w:cs="Arial"/>
                <w:szCs w:val="19"/>
                <w:lang w:val="hr-HR"/>
              </w:rPr>
              <w:t>-</w:t>
            </w:r>
          </w:p>
        </w:tc>
        <w:tc>
          <w:tcPr>
            <w:tcW w:w="683" w:type="pct"/>
            <w:tcBorders>
              <w:top w:val="nil"/>
              <w:left w:val="nil"/>
              <w:bottom w:val="nil"/>
              <w:right w:val="nil"/>
            </w:tcBorders>
            <w:shd w:val="clear" w:color="auto" w:fill="auto"/>
            <w:vAlign w:val="bottom"/>
          </w:tcPr>
          <w:p w14:paraId="65A0BFE5" w14:textId="61F40005" w:rsidR="00A72FA6" w:rsidRPr="00CA37C8" w:rsidRDefault="00A72FA6" w:rsidP="00A72FA6">
            <w:pPr>
              <w:pStyle w:val="TT"/>
              <w:spacing w:line="240" w:lineRule="auto"/>
              <w:jc w:val="right"/>
              <w:rPr>
                <w:rFonts w:asciiTheme="minorHAnsi" w:hAnsiTheme="minorHAnsi" w:cs="Arial"/>
                <w:szCs w:val="19"/>
                <w:lang w:val="hr-HR"/>
              </w:rPr>
            </w:pPr>
            <w:r>
              <w:rPr>
                <w:rFonts w:asciiTheme="minorHAnsi" w:hAnsiTheme="minorHAnsi" w:cs="Arial"/>
                <w:szCs w:val="19"/>
                <w:lang w:val="hr-HR"/>
              </w:rPr>
              <w:t>158,921</w:t>
            </w:r>
          </w:p>
        </w:tc>
        <w:tc>
          <w:tcPr>
            <w:tcW w:w="679" w:type="pct"/>
            <w:tcBorders>
              <w:top w:val="nil"/>
              <w:left w:val="nil"/>
              <w:bottom w:val="nil"/>
              <w:right w:val="nil"/>
            </w:tcBorders>
            <w:shd w:val="clear" w:color="auto" w:fill="auto"/>
            <w:vAlign w:val="bottom"/>
          </w:tcPr>
          <w:p w14:paraId="62EE9D8A" w14:textId="68B198FB" w:rsidR="00A72FA6" w:rsidRPr="002D5FD7" w:rsidRDefault="00A72FA6" w:rsidP="00A72FA6">
            <w:pPr>
              <w:pStyle w:val="TT"/>
              <w:spacing w:line="240" w:lineRule="auto"/>
              <w:jc w:val="right"/>
              <w:rPr>
                <w:rFonts w:asciiTheme="minorHAnsi" w:hAnsiTheme="minorHAnsi" w:cs="Arial"/>
                <w:b/>
                <w:iCs/>
                <w:szCs w:val="19"/>
                <w:lang w:val="hr-HR"/>
              </w:rPr>
            </w:pPr>
            <w:r>
              <w:rPr>
                <w:rFonts w:asciiTheme="minorHAnsi" w:hAnsiTheme="minorHAnsi" w:cs="Arial"/>
                <w:b/>
                <w:iCs/>
                <w:szCs w:val="19"/>
                <w:lang w:val="hr-HR"/>
              </w:rPr>
              <w:t>158,921</w:t>
            </w:r>
          </w:p>
        </w:tc>
      </w:tr>
      <w:tr w:rsidR="00A72FA6" w:rsidRPr="00DB4DE9" w14:paraId="006F7EFB" w14:textId="77777777" w:rsidTr="00DB7385">
        <w:trPr>
          <w:trHeight w:val="277"/>
        </w:trPr>
        <w:tc>
          <w:tcPr>
            <w:tcW w:w="1591" w:type="pct"/>
            <w:vAlign w:val="bottom"/>
          </w:tcPr>
          <w:p w14:paraId="6CE59885" w14:textId="77777777" w:rsidR="00A72FA6" w:rsidRPr="00DB4DE9" w:rsidRDefault="00A72FA6" w:rsidP="00A72FA6">
            <w:pPr>
              <w:tabs>
                <w:tab w:val="right" w:pos="1202"/>
              </w:tabs>
              <w:spacing w:after="0" w:line="240" w:lineRule="auto"/>
              <w:outlineLvl w:val="0"/>
              <w:rPr>
                <w:rFonts w:eastAsia="Times New Roman" w:cs="Arial"/>
                <w:iCs/>
                <w:sz w:val="19"/>
                <w:szCs w:val="19"/>
              </w:rPr>
            </w:pPr>
            <w:r w:rsidRPr="00DB4DE9">
              <w:rPr>
                <w:rFonts w:eastAsia="Times New Roman"/>
                <w:iCs/>
                <w:sz w:val="19"/>
                <w:szCs w:val="19"/>
              </w:rPr>
              <w:t>Other comprehensive income</w:t>
            </w:r>
          </w:p>
        </w:tc>
        <w:tc>
          <w:tcPr>
            <w:tcW w:w="682" w:type="pct"/>
            <w:tcBorders>
              <w:top w:val="nil"/>
              <w:left w:val="nil"/>
              <w:bottom w:val="nil"/>
              <w:right w:val="nil"/>
            </w:tcBorders>
            <w:shd w:val="clear" w:color="auto" w:fill="auto"/>
            <w:vAlign w:val="bottom"/>
          </w:tcPr>
          <w:p w14:paraId="3F191BBB" w14:textId="77777777" w:rsidR="00A72FA6" w:rsidRPr="00CA37C8" w:rsidRDefault="00A72FA6" w:rsidP="00A72FA6">
            <w:pPr>
              <w:pStyle w:val="TT"/>
              <w:spacing w:line="240" w:lineRule="auto"/>
              <w:jc w:val="right"/>
              <w:rPr>
                <w:rFonts w:asciiTheme="minorHAnsi" w:hAnsiTheme="minorHAnsi" w:cs="Arial"/>
                <w:iCs/>
                <w:szCs w:val="19"/>
                <w:lang w:val="hr-HR"/>
              </w:rPr>
            </w:pPr>
            <w:r>
              <w:rPr>
                <w:rFonts w:ascii="Calibri" w:hAnsi="Calibri"/>
                <w:color w:val="000000"/>
                <w:szCs w:val="19"/>
              </w:rPr>
              <w:t xml:space="preserve"> - </w:t>
            </w:r>
          </w:p>
        </w:tc>
        <w:tc>
          <w:tcPr>
            <w:tcW w:w="682" w:type="pct"/>
            <w:tcBorders>
              <w:top w:val="nil"/>
              <w:left w:val="nil"/>
              <w:bottom w:val="nil"/>
              <w:right w:val="nil"/>
            </w:tcBorders>
            <w:shd w:val="clear" w:color="auto" w:fill="auto"/>
            <w:vAlign w:val="bottom"/>
          </w:tcPr>
          <w:p w14:paraId="4149A0B0" w14:textId="77777777" w:rsidR="00A72FA6" w:rsidRPr="00CA37C8" w:rsidRDefault="00A72FA6" w:rsidP="00A72FA6">
            <w:pPr>
              <w:pStyle w:val="TT"/>
              <w:spacing w:line="240" w:lineRule="auto"/>
              <w:jc w:val="right"/>
              <w:rPr>
                <w:rFonts w:asciiTheme="minorHAnsi" w:hAnsiTheme="minorHAnsi" w:cs="Arial"/>
                <w:iCs/>
                <w:szCs w:val="19"/>
                <w:lang w:val="hr-HR"/>
              </w:rPr>
            </w:pPr>
            <w:r>
              <w:rPr>
                <w:rFonts w:ascii="Calibri" w:hAnsi="Calibri"/>
                <w:color w:val="000000"/>
                <w:szCs w:val="19"/>
              </w:rPr>
              <w:t xml:space="preserve"> - </w:t>
            </w:r>
          </w:p>
        </w:tc>
        <w:tc>
          <w:tcPr>
            <w:tcW w:w="683" w:type="pct"/>
            <w:tcBorders>
              <w:top w:val="nil"/>
              <w:left w:val="nil"/>
              <w:bottom w:val="nil"/>
              <w:right w:val="nil"/>
            </w:tcBorders>
            <w:shd w:val="clear" w:color="auto" w:fill="auto"/>
            <w:vAlign w:val="bottom"/>
          </w:tcPr>
          <w:p w14:paraId="40A64BEA" w14:textId="0046B4DF" w:rsidR="00A72FA6" w:rsidRPr="00CA37C8" w:rsidRDefault="00A72FA6" w:rsidP="00A72FA6">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29,793</w:t>
            </w:r>
          </w:p>
        </w:tc>
        <w:tc>
          <w:tcPr>
            <w:tcW w:w="683" w:type="pct"/>
            <w:tcBorders>
              <w:top w:val="nil"/>
              <w:left w:val="nil"/>
              <w:bottom w:val="nil"/>
              <w:right w:val="nil"/>
            </w:tcBorders>
            <w:shd w:val="clear" w:color="auto" w:fill="auto"/>
            <w:vAlign w:val="bottom"/>
          </w:tcPr>
          <w:p w14:paraId="46BB30E4" w14:textId="339580C4" w:rsidR="00A72FA6" w:rsidRPr="00CA37C8" w:rsidRDefault="00A72FA6" w:rsidP="00A72FA6">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w:t>
            </w:r>
          </w:p>
        </w:tc>
        <w:tc>
          <w:tcPr>
            <w:tcW w:w="679" w:type="pct"/>
            <w:tcBorders>
              <w:top w:val="nil"/>
              <w:left w:val="nil"/>
              <w:bottom w:val="nil"/>
              <w:right w:val="nil"/>
            </w:tcBorders>
            <w:shd w:val="clear" w:color="auto" w:fill="auto"/>
            <w:vAlign w:val="bottom"/>
          </w:tcPr>
          <w:p w14:paraId="164F6F5A" w14:textId="1B7DD4EC" w:rsidR="00A72FA6" w:rsidRPr="002D5FD7" w:rsidRDefault="000F14A8" w:rsidP="00A72FA6">
            <w:pPr>
              <w:pStyle w:val="TT"/>
              <w:spacing w:line="240" w:lineRule="auto"/>
              <w:jc w:val="right"/>
              <w:rPr>
                <w:rFonts w:asciiTheme="minorHAnsi" w:hAnsiTheme="minorHAnsi" w:cs="Arial"/>
                <w:b/>
                <w:iCs/>
                <w:szCs w:val="19"/>
                <w:lang w:val="hr-HR"/>
              </w:rPr>
            </w:pPr>
            <w:r>
              <w:rPr>
                <w:rFonts w:asciiTheme="minorHAnsi" w:hAnsiTheme="minorHAnsi" w:cs="Arial"/>
                <w:b/>
                <w:iCs/>
                <w:szCs w:val="19"/>
                <w:lang w:val="hr-HR"/>
              </w:rPr>
              <w:t>29,793</w:t>
            </w:r>
          </w:p>
        </w:tc>
      </w:tr>
      <w:tr w:rsidR="00DB7385" w:rsidRPr="00DB4DE9" w14:paraId="79437EC7" w14:textId="77777777" w:rsidTr="00DB7385">
        <w:trPr>
          <w:trHeight w:val="140"/>
        </w:trPr>
        <w:tc>
          <w:tcPr>
            <w:tcW w:w="1591" w:type="pct"/>
            <w:vAlign w:val="bottom"/>
          </w:tcPr>
          <w:p w14:paraId="506707E6" w14:textId="77777777" w:rsidR="00323C92" w:rsidRPr="00DB4DE9" w:rsidRDefault="00323C92" w:rsidP="00323C92">
            <w:pPr>
              <w:tabs>
                <w:tab w:val="right" w:pos="1202"/>
              </w:tabs>
              <w:spacing w:after="0" w:line="140" w:lineRule="exact"/>
              <w:outlineLvl w:val="0"/>
              <w:rPr>
                <w:rFonts w:eastAsia="Times New Roman" w:cs="Arial"/>
                <w:iCs/>
                <w:sz w:val="19"/>
                <w:szCs w:val="19"/>
              </w:rPr>
            </w:pPr>
          </w:p>
        </w:tc>
        <w:tc>
          <w:tcPr>
            <w:tcW w:w="682" w:type="pct"/>
            <w:vAlign w:val="bottom"/>
          </w:tcPr>
          <w:p w14:paraId="1BA6DC8C" w14:textId="77777777" w:rsidR="00323C92" w:rsidRPr="00CA37C8" w:rsidRDefault="00323C92" w:rsidP="00323C92">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CA37C8">
              <w:rPr>
                <w:rFonts w:asciiTheme="minorHAnsi" w:hAnsiTheme="minorHAnsi" w:cs="Arial"/>
                <w:b w:val="0"/>
                <w:spacing w:val="-2"/>
                <w:sz w:val="19"/>
                <w:szCs w:val="19"/>
                <w:lang w:val="hr-HR"/>
              </w:rPr>
              <w:t>__________</w:t>
            </w:r>
          </w:p>
        </w:tc>
        <w:tc>
          <w:tcPr>
            <w:tcW w:w="682" w:type="pct"/>
            <w:vAlign w:val="bottom"/>
          </w:tcPr>
          <w:p w14:paraId="6B67AB91" w14:textId="77777777" w:rsidR="00323C92" w:rsidRPr="00CA37C8" w:rsidRDefault="00323C92" w:rsidP="00323C92">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CA37C8">
              <w:rPr>
                <w:rFonts w:asciiTheme="minorHAnsi" w:hAnsiTheme="minorHAnsi" w:cs="Arial"/>
                <w:b w:val="0"/>
                <w:spacing w:val="-2"/>
                <w:sz w:val="19"/>
                <w:szCs w:val="19"/>
                <w:lang w:val="hr-HR"/>
              </w:rPr>
              <w:t>__________</w:t>
            </w:r>
          </w:p>
        </w:tc>
        <w:tc>
          <w:tcPr>
            <w:tcW w:w="683" w:type="pct"/>
            <w:vAlign w:val="bottom"/>
          </w:tcPr>
          <w:p w14:paraId="032DC92C" w14:textId="77777777" w:rsidR="00323C92" w:rsidRPr="00CA37C8" w:rsidRDefault="00323C92" w:rsidP="00323C92">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CA37C8">
              <w:rPr>
                <w:rFonts w:asciiTheme="minorHAnsi" w:hAnsiTheme="minorHAnsi" w:cs="Arial"/>
                <w:b w:val="0"/>
                <w:spacing w:val="-2"/>
                <w:sz w:val="19"/>
                <w:szCs w:val="19"/>
                <w:lang w:val="hr-HR"/>
              </w:rPr>
              <w:t>__________</w:t>
            </w:r>
          </w:p>
        </w:tc>
        <w:tc>
          <w:tcPr>
            <w:tcW w:w="683" w:type="pct"/>
            <w:vAlign w:val="bottom"/>
          </w:tcPr>
          <w:p w14:paraId="0E8B5B41" w14:textId="77777777" w:rsidR="00323C92" w:rsidRPr="00CA37C8" w:rsidRDefault="00323C92" w:rsidP="00323C92">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CA37C8">
              <w:rPr>
                <w:rFonts w:asciiTheme="minorHAnsi" w:hAnsiTheme="minorHAnsi" w:cs="Arial"/>
                <w:b w:val="0"/>
                <w:spacing w:val="-2"/>
                <w:sz w:val="19"/>
                <w:szCs w:val="19"/>
                <w:lang w:val="hr-HR"/>
              </w:rPr>
              <w:t>__________</w:t>
            </w:r>
          </w:p>
        </w:tc>
        <w:tc>
          <w:tcPr>
            <w:tcW w:w="679" w:type="pct"/>
            <w:vAlign w:val="bottom"/>
          </w:tcPr>
          <w:p w14:paraId="13387DEC" w14:textId="77777777" w:rsidR="00323C92" w:rsidRPr="00CA37C8" w:rsidRDefault="00323C92" w:rsidP="00323C92">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CA37C8">
              <w:rPr>
                <w:rFonts w:asciiTheme="minorHAnsi" w:hAnsiTheme="minorHAnsi" w:cs="Arial"/>
                <w:b w:val="0"/>
                <w:spacing w:val="-2"/>
                <w:sz w:val="19"/>
                <w:szCs w:val="19"/>
                <w:lang w:val="hr-HR"/>
              </w:rPr>
              <w:t>__________</w:t>
            </w:r>
          </w:p>
        </w:tc>
      </w:tr>
      <w:tr w:rsidR="00A72FA6" w:rsidRPr="00DB4DE9" w14:paraId="7998BEF0" w14:textId="77777777" w:rsidTr="00DB7385">
        <w:trPr>
          <w:trHeight w:val="282"/>
        </w:trPr>
        <w:tc>
          <w:tcPr>
            <w:tcW w:w="1591" w:type="pct"/>
            <w:vAlign w:val="bottom"/>
          </w:tcPr>
          <w:p w14:paraId="2D639367" w14:textId="77777777" w:rsidR="00A72FA6" w:rsidRPr="00DB4DE9" w:rsidRDefault="00A72FA6" w:rsidP="00A72FA6">
            <w:pPr>
              <w:tabs>
                <w:tab w:val="right" w:pos="1202"/>
              </w:tabs>
              <w:spacing w:after="0" w:line="240" w:lineRule="auto"/>
              <w:outlineLvl w:val="0"/>
              <w:rPr>
                <w:rFonts w:eastAsia="Times New Roman" w:cs="Arial"/>
                <w:iCs/>
                <w:sz w:val="19"/>
                <w:szCs w:val="19"/>
              </w:rPr>
            </w:pPr>
            <w:r w:rsidRPr="00DB4DE9">
              <w:rPr>
                <w:rFonts w:eastAsia="Times New Roman"/>
                <w:iCs/>
                <w:sz w:val="19"/>
                <w:szCs w:val="19"/>
              </w:rPr>
              <w:t>Total comprehensive income</w:t>
            </w:r>
          </w:p>
        </w:tc>
        <w:tc>
          <w:tcPr>
            <w:tcW w:w="682" w:type="pct"/>
            <w:tcBorders>
              <w:top w:val="nil"/>
              <w:left w:val="nil"/>
              <w:bottom w:val="nil"/>
              <w:right w:val="nil"/>
            </w:tcBorders>
            <w:shd w:val="clear" w:color="auto" w:fill="auto"/>
            <w:vAlign w:val="bottom"/>
          </w:tcPr>
          <w:p w14:paraId="601A9AAD" w14:textId="77777777" w:rsidR="00A72FA6" w:rsidRPr="00CA37C8" w:rsidRDefault="00A72FA6" w:rsidP="00A72FA6">
            <w:pPr>
              <w:pStyle w:val="TT"/>
              <w:spacing w:line="240" w:lineRule="auto"/>
              <w:jc w:val="right"/>
              <w:rPr>
                <w:rFonts w:asciiTheme="minorHAnsi" w:hAnsiTheme="minorHAnsi" w:cs="Arial"/>
                <w:b/>
                <w:iCs/>
                <w:szCs w:val="19"/>
                <w:lang w:val="hr-HR"/>
              </w:rPr>
            </w:pPr>
            <w:r>
              <w:rPr>
                <w:rFonts w:ascii="Calibri" w:hAnsi="Calibri"/>
                <w:color w:val="000000"/>
                <w:szCs w:val="19"/>
              </w:rPr>
              <w:t xml:space="preserve"> - </w:t>
            </w:r>
          </w:p>
        </w:tc>
        <w:tc>
          <w:tcPr>
            <w:tcW w:w="682" w:type="pct"/>
            <w:tcBorders>
              <w:top w:val="nil"/>
              <w:left w:val="nil"/>
              <w:bottom w:val="nil"/>
              <w:right w:val="nil"/>
            </w:tcBorders>
            <w:shd w:val="clear" w:color="auto" w:fill="auto"/>
            <w:vAlign w:val="bottom"/>
          </w:tcPr>
          <w:p w14:paraId="77ACCAE4" w14:textId="77777777" w:rsidR="00A72FA6" w:rsidRPr="00CA37C8" w:rsidRDefault="00A72FA6" w:rsidP="00A72FA6">
            <w:pPr>
              <w:pStyle w:val="TT"/>
              <w:spacing w:line="240" w:lineRule="auto"/>
              <w:jc w:val="right"/>
              <w:rPr>
                <w:rFonts w:asciiTheme="minorHAnsi" w:hAnsiTheme="minorHAnsi" w:cs="Arial"/>
                <w:b/>
                <w:iCs/>
                <w:szCs w:val="19"/>
                <w:lang w:val="hr-HR"/>
              </w:rPr>
            </w:pPr>
            <w:r>
              <w:rPr>
                <w:rFonts w:ascii="Calibri" w:hAnsi="Calibri"/>
                <w:color w:val="000000"/>
                <w:szCs w:val="19"/>
              </w:rPr>
              <w:t xml:space="preserve"> - </w:t>
            </w:r>
          </w:p>
        </w:tc>
        <w:tc>
          <w:tcPr>
            <w:tcW w:w="683" w:type="pct"/>
            <w:tcBorders>
              <w:top w:val="nil"/>
              <w:left w:val="nil"/>
              <w:bottom w:val="nil"/>
              <w:right w:val="nil"/>
            </w:tcBorders>
            <w:shd w:val="clear" w:color="auto" w:fill="auto"/>
            <w:vAlign w:val="bottom"/>
          </w:tcPr>
          <w:p w14:paraId="3AF08A2F" w14:textId="455E228C" w:rsidR="00A72FA6" w:rsidRPr="00CA37C8" w:rsidRDefault="00A72FA6" w:rsidP="00A72FA6">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29,793</w:t>
            </w:r>
          </w:p>
        </w:tc>
        <w:tc>
          <w:tcPr>
            <w:tcW w:w="683" w:type="pct"/>
            <w:tcBorders>
              <w:top w:val="nil"/>
              <w:left w:val="nil"/>
              <w:bottom w:val="nil"/>
              <w:right w:val="nil"/>
            </w:tcBorders>
            <w:shd w:val="clear" w:color="auto" w:fill="auto"/>
            <w:vAlign w:val="bottom"/>
          </w:tcPr>
          <w:p w14:paraId="38F20291" w14:textId="47603345" w:rsidR="00A72FA6" w:rsidRPr="00CA37C8" w:rsidRDefault="00A72FA6" w:rsidP="00A72FA6">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158,921</w:t>
            </w:r>
          </w:p>
        </w:tc>
        <w:tc>
          <w:tcPr>
            <w:tcW w:w="679" w:type="pct"/>
            <w:tcBorders>
              <w:top w:val="nil"/>
              <w:left w:val="nil"/>
              <w:bottom w:val="nil"/>
              <w:right w:val="nil"/>
            </w:tcBorders>
            <w:shd w:val="clear" w:color="auto" w:fill="auto"/>
            <w:vAlign w:val="bottom"/>
          </w:tcPr>
          <w:p w14:paraId="3759582E" w14:textId="509BB2CF" w:rsidR="00A72FA6" w:rsidRPr="002D5FD7" w:rsidRDefault="00A72FA6" w:rsidP="00A72FA6">
            <w:pPr>
              <w:pStyle w:val="TT"/>
              <w:spacing w:line="240" w:lineRule="auto"/>
              <w:jc w:val="right"/>
              <w:rPr>
                <w:rFonts w:asciiTheme="minorHAnsi" w:hAnsiTheme="minorHAnsi" w:cs="Arial"/>
                <w:b/>
                <w:iCs/>
                <w:szCs w:val="19"/>
                <w:lang w:val="hr-HR"/>
              </w:rPr>
            </w:pPr>
            <w:r>
              <w:rPr>
                <w:rFonts w:asciiTheme="minorHAnsi" w:hAnsiTheme="minorHAnsi" w:cs="Arial"/>
                <w:b/>
                <w:iCs/>
                <w:szCs w:val="19"/>
                <w:lang w:val="hr-HR"/>
              </w:rPr>
              <w:t>188,714</w:t>
            </w:r>
          </w:p>
        </w:tc>
      </w:tr>
      <w:tr w:rsidR="00DB7385" w:rsidRPr="00DB4DE9" w14:paraId="3D95AE8B" w14:textId="77777777" w:rsidTr="00DB7385">
        <w:trPr>
          <w:trHeight w:val="140"/>
        </w:trPr>
        <w:tc>
          <w:tcPr>
            <w:tcW w:w="1591" w:type="pct"/>
            <w:vAlign w:val="bottom"/>
          </w:tcPr>
          <w:p w14:paraId="73E20268" w14:textId="77777777" w:rsidR="00323C92" w:rsidRPr="00DB4DE9" w:rsidRDefault="00323C92" w:rsidP="00323C92">
            <w:pPr>
              <w:tabs>
                <w:tab w:val="right" w:pos="1202"/>
              </w:tabs>
              <w:spacing w:after="0" w:line="140" w:lineRule="exact"/>
              <w:outlineLvl w:val="0"/>
              <w:rPr>
                <w:rFonts w:eastAsia="Times New Roman" w:cs="Arial"/>
                <w:iCs/>
                <w:sz w:val="19"/>
                <w:szCs w:val="19"/>
              </w:rPr>
            </w:pPr>
          </w:p>
        </w:tc>
        <w:tc>
          <w:tcPr>
            <w:tcW w:w="682" w:type="pct"/>
            <w:vAlign w:val="bottom"/>
          </w:tcPr>
          <w:p w14:paraId="40834E7C" w14:textId="77777777" w:rsidR="00323C92" w:rsidRPr="00CA37C8" w:rsidRDefault="00323C92" w:rsidP="00323C92">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CA37C8">
              <w:rPr>
                <w:rFonts w:asciiTheme="minorHAnsi" w:hAnsiTheme="minorHAnsi" w:cs="Arial"/>
                <w:b w:val="0"/>
                <w:spacing w:val="-2"/>
                <w:sz w:val="19"/>
                <w:szCs w:val="19"/>
                <w:lang w:val="hr-HR"/>
              </w:rPr>
              <w:t>__________</w:t>
            </w:r>
          </w:p>
        </w:tc>
        <w:tc>
          <w:tcPr>
            <w:tcW w:w="682" w:type="pct"/>
            <w:vAlign w:val="bottom"/>
          </w:tcPr>
          <w:p w14:paraId="0866CAE2" w14:textId="77777777" w:rsidR="00323C92" w:rsidRPr="00CA37C8" w:rsidRDefault="00323C92" w:rsidP="00323C92">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CA37C8">
              <w:rPr>
                <w:rFonts w:asciiTheme="minorHAnsi" w:hAnsiTheme="minorHAnsi" w:cs="Arial"/>
                <w:b w:val="0"/>
                <w:spacing w:val="-2"/>
                <w:sz w:val="19"/>
                <w:szCs w:val="19"/>
                <w:lang w:val="hr-HR"/>
              </w:rPr>
              <w:t>__________</w:t>
            </w:r>
          </w:p>
        </w:tc>
        <w:tc>
          <w:tcPr>
            <w:tcW w:w="683" w:type="pct"/>
            <w:vAlign w:val="bottom"/>
          </w:tcPr>
          <w:p w14:paraId="6A81FFCA" w14:textId="77777777" w:rsidR="00323C92" w:rsidRPr="00CA37C8" w:rsidRDefault="00323C92" w:rsidP="00323C92">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CA37C8">
              <w:rPr>
                <w:rFonts w:asciiTheme="minorHAnsi" w:hAnsiTheme="minorHAnsi" w:cs="Arial"/>
                <w:b w:val="0"/>
                <w:spacing w:val="-2"/>
                <w:sz w:val="19"/>
                <w:szCs w:val="19"/>
                <w:lang w:val="hr-HR"/>
              </w:rPr>
              <w:t>__________</w:t>
            </w:r>
          </w:p>
        </w:tc>
        <w:tc>
          <w:tcPr>
            <w:tcW w:w="683" w:type="pct"/>
            <w:vAlign w:val="bottom"/>
          </w:tcPr>
          <w:p w14:paraId="183ED15C" w14:textId="77777777" w:rsidR="00323C92" w:rsidRPr="00CA37C8" w:rsidRDefault="00323C92" w:rsidP="00323C92">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CA37C8">
              <w:rPr>
                <w:rFonts w:asciiTheme="minorHAnsi" w:hAnsiTheme="minorHAnsi" w:cs="Arial"/>
                <w:b w:val="0"/>
                <w:spacing w:val="-2"/>
                <w:sz w:val="19"/>
                <w:szCs w:val="19"/>
                <w:lang w:val="hr-HR"/>
              </w:rPr>
              <w:t>__________</w:t>
            </w:r>
          </w:p>
        </w:tc>
        <w:tc>
          <w:tcPr>
            <w:tcW w:w="679" w:type="pct"/>
            <w:vAlign w:val="bottom"/>
          </w:tcPr>
          <w:p w14:paraId="3CF27C41" w14:textId="77777777" w:rsidR="00323C92" w:rsidRPr="00CA37C8" w:rsidRDefault="00323C92" w:rsidP="00323C92">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CA37C8">
              <w:rPr>
                <w:rFonts w:asciiTheme="minorHAnsi" w:hAnsiTheme="minorHAnsi" w:cs="Arial"/>
                <w:b w:val="0"/>
                <w:spacing w:val="-2"/>
                <w:sz w:val="19"/>
                <w:szCs w:val="19"/>
                <w:lang w:val="hr-HR"/>
              </w:rPr>
              <w:t>__________</w:t>
            </w:r>
          </w:p>
        </w:tc>
      </w:tr>
      <w:tr w:rsidR="00DB7385" w:rsidRPr="00DB4DE9" w14:paraId="4B2CB2B5" w14:textId="77777777" w:rsidTr="00DB7385">
        <w:trPr>
          <w:trHeight w:val="484"/>
        </w:trPr>
        <w:tc>
          <w:tcPr>
            <w:tcW w:w="1591" w:type="pct"/>
            <w:vAlign w:val="bottom"/>
          </w:tcPr>
          <w:p w14:paraId="3255D7AC" w14:textId="77777777" w:rsidR="00323C92" w:rsidRPr="00DB4DE9" w:rsidRDefault="00323C92" w:rsidP="00323C92">
            <w:pPr>
              <w:tabs>
                <w:tab w:val="right" w:pos="1202"/>
              </w:tabs>
              <w:spacing w:after="0" w:line="240" w:lineRule="auto"/>
              <w:outlineLvl w:val="0"/>
              <w:rPr>
                <w:rFonts w:eastAsia="Times New Roman" w:cs="Arial"/>
                <w:i/>
                <w:iCs/>
                <w:sz w:val="19"/>
                <w:szCs w:val="19"/>
              </w:rPr>
            </w:pPr>
            <w:r w:rsidRPr="00DB4DE9">
              <w:rPr>
                <w:rFonts w:eastAsia="Times New Roman"/>
                <w:iCs/>
                <w:sz w:val="19"/>
                <w:szCs w:val="19"/>
              </w:rPr>
              <w:t>Capital paid-in from the State Budget</w:t>
            </w:r>
          </w:p>
        </w:tc>
        <w:tc>
          <w:tcPr>
            <w:tcW w:w="682" w:type="pct"/>
            <w:tcBorders>
              <w:top w:val="nil"/>
              <w:left w:val="nil"/>
              <w:bottom w:val="nil"/>
              <w:right w:val="nil"/>
            </w:tcBorders>
            <w:shd w:val="clear" w:color="auto" w:fill="auto"/>
            <w:vAlign w:val="bottom"/>
          </w:tcPr>
          <w:p w14:paraId="223FBEC6" w14:textId="77777777" w:rsidR="00323C92" w:rsidRPr="00CA37C8" w:rsidRDefault="00323C92" w:rsidP="00323C92">
            <w:pPr>
              <w:pStyle w:val="TT"/>
              <w:spacing w:line="240" w:lineRule="auto"/>
              <w:jc w:val="right"/>
              <w:rPr>
                <w:rFonts w:asciiTheme="minorHAnsi" w:hAnsiTheme="minorHAnsi" w:cs="Arial"/>
                <w:iCs/>
                <w:szCs w:val="19"/>
                <w:lang w:val="hr-HR"/>
              </w:rPr>
            </w:pPr>
            <w:r>
              <w:rPr>
                <w:rFonts w:ascii="Calibri" w:hAnsi="Calibri"/>
                <w:color w:val="000000"/>
                <w:szCs w:val="19"/>
              </w:rPr>
              <w:t>-</w:t>
            </w:r>
          </w:p>
        </w:tc>
        <w:tc>
          <w:tcPr>
            <w:tcW w:w="682" w:type="pct"/>
            <w:tcBorders>
              <w:top w:val="nil"/>
              <w:left w:val="nil"/>
              <w:bottom w:val="nil"/>
              <w:right w:val="nil"/>
            </w:tcBorders>
            <w:shd w:val="clear" w:color="auto" w:fill="auto"/>
            <w:vAlign w:val="bottom"/>
          </w:tcPr>
          <w:p w14:paraId="02866AE1" w14:textId="77777777" w:rsidR="00323C92" w:rsidRPr="00CA37C8" w:rsidRDefault="00323C92" w:rsidP="00323C92">
            <w:pPr>
              <w:pStyle w:val="TT"/>
              <w:spacing w:line="240" w:lineRule="auto"/>
              <w:jc w:val="right"/>
              <w:rPr>
                <w:rFonts w:asciiTheme="minorHAnsi" w:hAnsiTheme="minorHAnsi" w:cs="Arial"/>
                <w:iCs/>
                <w:szCs w:val="19"/>
                <w:lang w:val="hr-HR"/>
              </w:rPr>
            </w:pPr>
            <w:r>
              <w:rPr>
                <w:rFonts w:ascii="Calibri" w:hAnsi="Calibri"/>
                <w:color w:val="000000"/>
                <w:szCs w:val="19"/>
              </w:rPr>
              <w:t>-</w:t>
            </w:r>
          </w:p>
        </w:tc>
        <w:tc>
          <w:tcPr>
            <w:tcW w:w="683" w:type="pct"/>
            <w:tcBorders>
              <w:top w:val="nil"/>
              <w:left w:val="nil"/>
              <w:bottom w:val="nil"/>
              <w:right w:val="nil"/>
            </w:tcBorders>
            <w:shd w:val="clear" w:color="auto" w:fill="auto"/>
            <w:vAlign w:val="bottom"/>
          </w:tcPr>
          <w:p w14:paraId="79BEEF02" w14:textId="77777777" w:rsidR="00323C92" w:rsidRPr="00CA37C8" w:rsidRDefault="00323C92" w:rsidP="00323C92">
            <w:pPr>
              <w:pStyle w:val="TT"/>
              <w:spacing w:line="240" w:lineRule="auto"/>
              <w:jc w:val="right"/>
              <w:rPr>
                <w:rFonts w:asciiTheme="minorHAnsi" w:hAnsiTheme="minorHAnsi" w:cs="Arial"/>
                <w:iCs/>
                <w:szCs w:val="19"/>
                <w:lang w:val="hr-HR"/>
              </w:rPr>
            </w:pPr>
            <w:r>
              <w:rPr>
                <w:rFonts w:ascii="Calibri" w:hAnsi="Calibri"/>
                <w:color w:val="000000"/>
                <w:szCs w:val="19"/>
              </w:rPr>
              <w:t>-</w:t>
            </w:r>
          </w:p>
        </w:tc>
        <w:tc>
          <w:tcPr>
            <w:tcW w:w="683" w:type="pct"/>
            <w:tcBorders>
              <w:top w:val="nil"/>
              <w:left w:val="nil"/>
              <w:bottom w:val="nil"/>
              <w:right w:val="nil"/>
            </w:tcBorders>
            <w:shd w:val="clear" w:color="auto" w:fill="auto"/>
            <w:vAlign w:val="bottom"/>
          </w:tcPr>
          <w:p w14:paraId="2CE4258D" w14:textId="77777777" w:rsidR="00323C92" w:rsidRPr="00CA37C8" w:rsidRDefault="00323C92" w:rsidP="00323C92">
            <w:pPr>
              <w:pStyle w:val="TT"/>
              <w:spacing w:line="240" w:lineRule="auto"/>
              <w:jc w:val="right"/>
              <w:rPr>
                <w:rFonts w:asciiTheme="minorHAnsi" w:hAnsiTheme="minorHAnsi" w:cs="Arial"/>
                <w:iCs/>
                <w:szCs w:val="19"/>
                <w:lang w:val="hr-HR"/>
              </w:rPr>
            </w:pPr>
            <w:r>
              <w:rPr>
                <w:rFonts w:ascii="Calibri" w:hAnsi="Calibri"/>
                <w:color w:val="000000"/>
                <w:szCs w:val="19"/>
              </w:rPr>
              <w:t>-</w:t>
            </w:r>
          </w:p>
        </w:tc>
        <w:tc>
          <w:tcPr>
            <w:tcW w:w="679" w:type="pct"/>
            <w:tcBorders>
              <w:top w:val="nil"/>
              <w:left w:val="nil"/>
              <w:bottom w:val="nil"/>
              <w:right w:val="nil"/>
            </w:tcBorders>
            <w:shd w:val="clear" w:color="auto" w:fill="auto"/>
            <w:vAlign w:val="bottom"/>
          </w:tcPr>
          <w:p w14:paraId="47816C83" w14:textId="77777777" w:rsidR="00323C92" w:rsidRPr="00D16CF4" w:rsidRDefault="00323C92" w:rsidP="00323C92">
            <w:pPr>
              <w:pStyle w:val="TT"/>
              <w:spacing w:line="240" w:lineRule="auto"/>
              <w:jc w:val="right"/>
              <w:rPr>
                <w:rFonts w:asciiTheme="minorHAnsi" w:hAnsiTheme="minorHAnsi" w:cs="Arial"/>
                <w:b/>
                <w:iCs/>
                <w:szCs w:val="19"/>
                <w:lang w:val="hr-HR"/>
              </w:rPr>
            </w:pPr>
            <w:r w:rsidRPr="00F1130C">
              <w:rPr>
                <w:rFonts w:ascii="Calibri" w:hAnsi="Calibri"/>
                <w:b/>
                <w:color w:val="000000"/>
                <w:szCs w:val="19"/>
              </w:rPr>
              <w:t>-</w:t>
            </w:r>
          </w:p>
        </w:tc>
      </w:tr>
      <w:tr w:rsidR="00A72FA6" w:rsidRPr="00DB4DE9" w14:paraId="2D5A9D46" w14:textId="77777777" w:rsidTr="00DB7385">
        <w:trPr>
          <w:trHeight w:val="561"/>
        </w:trPr>
        <w:tc>
          <w:tcPr>
            <w:tcW w:w="1591" w:type="pct"/>
            <w:vAlign w:val="bottom"/>
          </w:tcPr>
          <w:p w14:paraId="0CD0B0C9" w14:textId="77777777" w:rsidR="00A72FA6" w:rsidRPr="00DB4DE9" w:rsidRDefault="00A72FA6" w:rsidP="00A72FA6">
            <w:pPr>
              <w:tabs>
                <w:tab w:val="right" w:pos="1202"/>
              </w:tabs>
              <w:spacing w:after="0" w:line="240" w:lineRule="auto"/>
              <w:outlineLvl w:val="0"/>
              <w:rPr>
                <w:rFonts w:eastAsia="Times New Roman" w:cs="Arial"/>
                <w:i/>
                <w:iCs/>
                <w:sz w:val="19"/>
                <w:szCs w:val="19"/>
              </w:rPr>
            </w:pPr>
            <w:r w:rsidRPr="00DB4DE9">
              <w:rPr>
                <w:rFonts w:eastAsia="Times New Roman"/>
                <w:iCs/>
                <w:sz w:val="19"/>
                <w:szCs w:val="19"/>
              </w:rPr>
              <w:t>Transfer of profit 201</w:t>
            </w:r>
            <w:r>
              <w:rPr>
                <w:rFonts w:eastAsia="Times New Roman"/>
                <w:iCs/>
                <w:sz w:val="19"/>
                <w:szCs w:val="19"/>
              </w:rPr>
              <w:t>5</w:t>
            </w:r>
            <w:r w:rsidRPr="00DB4DE9">
              <w:rPr>
                <w:rFonts w:eastAsia="Times New Roman"/>
                <w:iCs/>
                <w:sz w:val="19"/>
                <w:szCs w:val="19"/>
              </w:rPr>
              <w:t xml:space="preserve"> to retained earnings</w:t>
            </w:r>
            <w:r w:rsidRPr="00DB4DE9">
              <w:rPr>
                <w:rFonts w:eastAsia="Times New Roman" w:cs="Arial"/>
                <w:iCs/>
                <w:sz w:val="19"/>
                <w:szCs w:val="19"/>
              </w:rPr>
              <w:t xml:space="preserve"> </w:t>
            </w:r>
          </w:p>
        </w:tc>
        <w:tc>
          <w:tcPr>
            <w:tcW w:w="682" w:type="pct"/>
            <w:tcBorders>
              <w:top w:val="nil"/>
              <w:left w:val="nil"/>
              <w:bottom w:val="nil"/>
              <w:right w:val="nil"/>
            </w:tcBorders>
            <w:shd w:val="clear" w:color="auto" w:fill="auto"/>
            <w:vAlign w:val="bottom"/>
          </w:tcPr>
          <w:p w14:paraId="3D1AB921" w14:textId="77777777" w:rsidR="00A72FA6" w:rsidRPr="00FA11F5" w:rsidRDefault="00A72FA6" w:rsidP="00A72FA6">
            <w:pPr>
              <w:pStyle w:val="TT"/>
              <w:spacing w:line="240" w:lineRule="auto"/>
              <w:jc w:val="right"/>
              <w:rPr>
                <w:rFonts w:asciiTheme="minorHAnsi" w:hAnsiTheme="minorHAnsi" w:cs="Arial"/>
                <w:iCs/>
                <w:szCs w:val="19"/>
                <w:lang w:val="hr-HR"/>
              </w:rPr>
            </w:pPr>
            <w:r>
              <w:rPr>
                <w:rFonts w:ascii="Calibri" w:hAnsi="Calibri"/>
                <w:color w:val="000000"/>
                <w:szCs w:val="19"/>
              </w:rPr>
              <w:t>-</w:t>
            </w:r>
          </w:p>
        </w:tc>
        <w:tc>
          <w:tcPr>
            <w:tcW w:w="682" w:type="pct"/>
            <w:tcBorders>
              <w:top w:val="nil"/>
              <w:left w:val="nil"/>
              <w:bottom w:val="nil"/>
              <w:right w:val="nil"/>
            </w:tcBorders>
            <w:shd w:val="clear" w:color="auto" w:fill="auto"/>
            <w:vAlign w:val="bottom"/>
          </w:tcPr>
          <w:p w14:paraId="453D03F9" w14:textId="002799C0" w:rsidR="00A72FA6" w:rsidRPr="00FA11F5" w:rsidRDefault="00A72FA6" w:rsidP="00A72FA6">
            <w:pPr>
              <w:pStyle w:val="TT"/>
              <w:spacing w:line="240" w:lineRule="auto"/>
              <w:jc w:val="right"/>
              <w:rPr>
                <w:rFonts w:asciiTheme="minorHAnsi" w:hAnsiTheme="minorHAnsi" w:cs="Arial"/>
                <w:iCs/>
                <w:szCs w:val="19"/>
                <w:lang w:val="hr-HR"/>
              </w:rPr>
            </w:pPr>
            <w:r>
              <w:rPr>
                <w:rFonts w:ascii="Calibri" w:hAnsi="Calibri"/>
                <w:color w:val="000000"/>
                <w:szCs w:val="19"/>
              </w:rPr>
              <w:t>205,228</w:t>
            </w:r>
          </w:p>
        </w:tc>
        <w:tc>
          <w:tcPr>
            <w:tcW w:w="683" w:type="pct"/>
            <w:tcBorders>
              <w:top w:val="nil"/>
              <w:left w:val="nil"/>
              <w:bottom w:val="nil"/>
              <w:right w:val="nil"/>
            </w:tcBorders>
            <w:shd w:val="clear" w:color="auto" w:fill="auto"/>
            <w:vAlign w:val="bottom"/>
          </w:tcPr>
          <w:p w14:paraId="50CE5141" w14:textId="0A421978" w:rsidR="00A72FA6" w:rsidRPr="00FA11F5" w:rsidRDefault="00A72FA6" w:rsidP="00A72FA6">
            <w:pPr>
              <w:pStyle w:val="TT"/>
              <w:spacing w:line="240" w:lineRule="auto"/>
              <w:jc w:val="right"/>
              <w:rPr>
                <w:rFonts w:asciiTheme="minorHAnsi" w:hAnsiTheme="minorHAnsi" w:cs="Arial"/>
                <w:iCs/>
                <w:szCs w:val="19"/>
                <w:lang w:val="hr-HR"/>
              </w:rPr>
            </w:pPr>
            <w:r>
              <w:rPr>
                <w:rFonts w:ascii="Calibri" w:hAnsi="Calibri"/>
                <w:color w:val="000000"/>
                <w:szCs w:val="19"/>
              </w:rPr>
              <w:t>-</w:t>
            </w:r>
          </w:p>
        </w:tc>
        <w:tc>
          <w:tcPr>
            <w:tcW w:w="683" w:type="pct"/>
            <w:tcBorders>
              <w:top w:val="nil"/>
              <w:left w:val="nil"/>
              <w:bottom w:val="nil"/>
              <w:right w:val="nil"/>
            </w:tcBorders>
            <w:shd w:val="clear" w:color="auto" w:fill="auto"/>
            <w:vAlign w:val="bottom"/>
          </w:tcPr>
          <w:p w14:paraId="161016BD" w14:textId="24D7C559" w:rsidR="00A72FA6" w:rsidRPr="00FA11F5" w:rsidRDefault="00A72FA6" w:rsidP="00A72FA6">
            <w:pPr>
              <w:pStyle w:val="TT"/>
              <w:spacing w:line="240" w:lineRule="auto"/>
              <w:jc w:val="right"/>
              <w:rPr>
                <w:rFonts w:asciiTheme="minorHAnsi" w:hAnsiTheme="minorHAnsi" w:cs="Arial"/>
                <w:iCs/>
                <w:szCs w:val="19"/>
                <w:lang w:val="hr-HR"/>
              </w:rPr>
            </w:pPr>
            <w:r>
              <w:rPr>
                <w:rFonts w:ascii="Calibri" w:hAnsi="Calibri"/>
                <w:color w:val="000000"/>
                <w:szCs w:val="19"/>
              </w:rPr>
              <w:t xml:space="preserve">           (205,228)</w:t>
            </w:r>
          </w:p>
        </w:tc>
        <w:tc>
          <w:tcPr>
            <w:tcW w:w="679" w:type="pct"/>
            <w:tcBorders>
              <w:top w:val="nil"/>
              <w:left w:val="nil"/>
              <w:bottom w:val="nil"/>
              <w:right w:val="nil"/>
            </w:tcBorders>
            <w:shd w:val="clear" w:color="auto" w:fill="auto"/>
            <w:vAlign w:val="bottom"/>
          </w:tcPr>
          <w:p w14:paraId="02450843" w14:textId="77777777" w:rsidR="00A72FA6" w:rsidRPr="00D16CF4" w:rsidRDefault="00A72FA6" w:rsidP="00A72FA6">
            <w:pPr>
              <w:pStyle w:val="TT"/>
              <w:spacing w:line="240" w:lineRule="auto"/>
              <w:jc w:val="right"/>
              <w:rPr>
                <w:rFonts w:asciiTheme="minorHAnsi" w:hAnsiTheme="minorHAnsi" w:cs="Arial"/>
                <w:b/>
                <w:iCs/>
                <w:szCs w:val="19"/>
                <w:lang w:val="hr-HR"/>
              </w:rPr>
            </w:pPr>
            <w:r w:rsidRPr="00F1130C">
              <w:rPr>
                <w:rFonts w:ascii="Calibri" w:hAnsi="Calibri"/>
                <w:b/>
                <w:color w:val="000000"/>
                <w:szCs w:val="19"/>
              </w:rPr>
              <w:t xml:space="preserve">                          - </w:t>
            </w:r>
          </w:p>
        </w:tc>
      </w:tr>
      <w:tr w:rsidR="00DB7385" w:rsidRPr="00DB4DE9" w14:paraId="52B28198" w14:textId="77777777" w:rsidTr="00DB7385">
        <w:trPr>
          <w:trHeight w:val="140"/>
        </w:trPr>
        <w:tc>
          <w:tcPr>
            <w:tcW w:w="1591" w:type="pct"/>
            <w:vAlign w:val="bottom"/>
          </w:tcPr>
          <w:p w14:paraId="08506359" w14:textId="77777777" w:rsidR="00323C92" w:rsidRPr="00DB4DE9" w:rsidRDefault="00323C92" w:rsidP="00323C92">
            <w:pPr>
              <w:tabs>
                <w:tab w:val="right" w:pos="1202"/>
              </w:tabs>
              <w:spacing w:after="0" w:line="140" w:lineRule="exact"/>
              <w:outlineLvl w:val="0"/>
              <w:rPr>
                <w:rFonts w:eastAsia="Times New Roman" w:cs="Arial"/>
                <w:iCs/>
                <w:sz w:val="19"/>
                <w:szCs w:val="19"/>
              </w:rPr>
            </w:pPr>
          </w:p>
        </w:tc>
        <w:tc>
          <w:tcPr>
            <w:tcW w:w="682" w:type="pct"/>
            <w:vAlign w:val="bottom"/>
          </w:tcPr>
          <w:p w14:paraId="0EFFFA71" w14:textId="77777777" w:rsidR="00323C92" w:rsidRPr="00CA37C8" w:rsidRDefault="00323C92" w:rsidP="00323C92">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CA37C8">
              <w:rPr>
                <w:rFonts w:asciiTheme="minorHAnsi" w:hAnsiTheme="minorHAnsi" w:cs="Arial"/>
                <w:b w:val="0"/>
                <w:spacing w:val="-2"/>
                <w:sz w:val="19"/>
                <w:szCs w:val="19"/>
                <w:lang w:val="hr-HR"/>
              </w:rPr>
              <w:t>__________</w:t>
            </w:r>
          </w:p>
        </w:tc>
        <w:tc>
          <w:tcPr>
            <w:tcW w:w="682" w:type="pct"/>
            <w:vAlign w:val="bottom"/>
          </w:tcPr>
          <w:p w14:paraId="0D3781DE" w14:textId="77777777" w:rsidR="00323C92" w:rsidRPr="00CA37C8" w:rsidRDefault="00323C92" w:rsidP="00323C92">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CA37C8">
              <w:rPr>
                <w:rFonts w:asciiTheme="minorHAnsi" w:hAnsiTheme="minorHAnsi" w:cs="Arial"/>
                <w:b w:val="0"/>
                <w:spacing w:val="-2"/>
                <w:sz w:val="19"/>
                <w:szCs w:val="19"/>
                <w:lang w:val="hr-HR"/>
              </w:rPr>
              <w:t>__________</w:t>
            </w:r>
          </w:p>
        </w:tc>
        <w:tc>
          <w:tcPr>
            <w:tcW w:w="683" w:type="pct"/>
            <w:vAlign w:val="bottom"/>
          </w:tcPr>
          <w:p w14:paraId="257DD9B2" w14:textId="77777777" w:rsidR="00323C92" w:rsidRPr="00CA37C8" w:rsidRDefault="00323C92" w:rsidP="00323C92">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CA37C8">
              <w:rPr>
                <w:rFonts w:asciiTheme="minorHAnsi" w:hAnsiTheme="minorHAnsi" w:cs="Arial"/>
                <w:b w:val="0"/>
                <w:spacing w:val="-2"/>
                <w:sz w:val="19"/>
                <w:szCs w:val="19"/>
                <w:lang w:val="hr-HR"/>
              </w:rPr>
              <w:t>__________</w:t>
            </w:r>
          </w:p>
        </w:tc>
        <w:tc>
          <w:tcPr>
            <w:tcW w:w="683" w:type="pct"/>
            <w:vAlign w:val="bottom"/>
          </w:tcPr>
          <w:p w14:paraId="68155668" w14:textId="77777777" w:rsidR="00323C92" w:rsidRPr="00CA37C8" w:rsidRDefault="00323C92" w:rsidP="00323C92">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CA37C8">
              <w:rPr>
                <w:rFonts w:asciiTheme="minorHAnsi" w:hAnsiTheme="minorHAnsi" w:cs="Arial"/>
                <w:b w:val="0"/>
                <w:spacing w:val="-2"/>
                <w:sz w:val="19"/>
                <w:szCs w:val="19"/>
                <w:lang w:val="hr-HR"/>
              </w:rPr>
              <w:t>__________</w:t>
            </w:r>
          </w:p>
        </w:tc>
        <w:tc>
          <w:tcPr>
            <w:tcW w:w="679" w:type="pct"/>
            <w:vAlign w:val="bottom"/>
          </w:tcPr>
          <w:p w14:paraId="15A0BE55" w14:textId="77777777" w:rsidR="00323C92" w:rsidRPr="00CA37C8" w:rsidRDefault="00323C92" w:rsidP="00323C92">
            <w:pPr>
              <w:pStyle w:val="Thin"/>
              <w:tabs>
                <w:tab w:val="clear" w:pos="1202"/>
                <w:tab w:val="decimal" w:pos="1015"/>
              </w:tabs>
              <w:spacing w:line="140" w:lineRule="exact"/>
              <w:jc w:val="right"/>
              <w:rPr>
                <w:rFonts w:asciiTheme="minorHAnsi" w:hAnsiTheme="minorHAnsi" w:cs="Arial"/>
                <w:b w:val="0"/>
                <w:spacing w:val="-2"/>
                <w:sz w:val="19"/>
                <w:szCs w:val="19"/>
                <w:lang w:val="hr-HR"/>
              </w:rPr>
            </w:pPr>
            <w:r w:rsidRPr="00CA37C8">
              <w:rPr>
                <w:rFonts w:asciiTheme="minorHAnsi" w:hAnsiTheme="minorHAnsi" w:cs="Arial"/>
                <w:b w:val="0"/>
                <w:spacing w:val="-2"/>
                <w:sz w:val="19"/>
                <w:szCs w:val="19"/>
                <w:lang w:val="hr-HR"/>
              </w:rPr>
              <w:t>__________</w:t>
            </w:r>
          </w:p>
        </w:tc>
      </w:tr>
      <w:tr w:rsidR="00A72FA6" w:rsidRPr="00DB4DE9" w14:paraId="70C94A69" w14:textId="77777777" w:rsidTr="00DB7385">
        <w:trPr>
          <w:trHeight w:val="488"/>
        </w:trPr>
        <w:tc>
          <w:tcPr>
            <w:tcW w:w="1591" w:type="pct"/>
            <w:vAlign w:val="bottom"/>
          </w:tcPr>
          <w:p w14:paraId="25227F55" w14:textId="04BAA465" w:rsidR="00A72FA6" w:rsidRPr="00DB4DE9" w:rsidRDefault="00A72FA6" w:rsidP="00A63E7A">
            <w:pPr>
              <w:tabs>
                <w:tab w:val="right" w:pos="1202"/>
              </w:tabs>
              <w:spacing w:after="0" w:line="240" w:lineRule="auto"/>
              <w:outlineLvl w:val="0"/>
              <w:rPr>
                <w:rFonts w:eastAsia="Times New Roman" w:cs="Arial"/>
                <w:b/>
                <w:iCs/>
                <w:sz w:val="19"/>
                <w:szCs w:val="19"/>
              </w:rPr>
            </w:pPr>
            <w:r w:rsidRPr="00DB4DE9">
              <w:rPr>
                <w:rFonts w:eastAsia="Times New Roman"/>
                <w:b/>
                <w:iCs/>
                <w:sz w:val="19"/>
                <w:szCs w:val="19"/>
              </w:rPr>
              <w:t xml:space="preserve">Balance as of </w:t>
            </w:r>
            <w:r w:rsidRPr="00323C92">
              <w:rPr>
                <w:rFonts w:eastAsia="Times New Roman"/>
                <w:b/>
                <w:iCs/>
                <w:sz w:val="19"/>
                <w:szCs w:val="19"/>
              </w:rPr>
              <w:t>30</w:t>
            </w:r>
            <w:r>
              <w:rPr>
                <w:rFonts w:eastAsia="Times New Roman"/>
                <w:b/>
                <w:iCs/>
                <w:sz w:val="19"/>
                <w:szCs w:val="19"/>
              </w:rPr>
              <w:t xml:space="preserve"> September </w:t>
            </w:r>
            <w:r w:rsidRPr="00DB4DE9">
              <w:rPr>
                <w:rFonts w:eastAsia="Times New Roman" w:cs="Arial"/>
                <w:b/>
                <w:iCs/>
                <w:sz w:val="19"/>
                <w:szCs w:val="19"/>
              </w:rPr>
              <w:t>201</w:t>
            </w:r>
            <w:r>
              <w:rPr>
                <w:rFonts w:eastAsia="Times New Roman" w:cs="Arial"/>
                <w:b/>
                <w:iCs/>
                <w:sz w:val="19"/>
                <w:szCs w:val="19"/>
              </w:rPr>
              <w:t>6</w:t>
            </w:r>
          </w:p>
        </w:tc>
        <w:tc>
          <w:tcPr>
            <w:tcW w:w="682" w:type="pct"/>
            <w:tcBorders>
              <w:top w:val="nil"/>
              <w:left w:val="nil"/>
              <w:bottom w:val="nil"/>
              <w:right w:val="nil"/>
            </w:tcBorders>
            <w:shd w:val="clear" w:color="auto" w:fill="auto"/>
            <w:vAlign w:val="bottom"/>
          </w:tcPr>
          <w:p w14:paraId="377BB4EC" w14:textId="07415C59" w:rsidR="00A72FA6" w:rsidRPr="00D012A0" w:rsidRDefault="00A72FA6" w:rsidP="00A72FA6">
            <w:pPr>
              <w:pStyle w:val="TT"/>
              <w:spacing w:line="240" w:lineRule="auto"/>
              <w:jc w:val="right"/>
              <w:rPr>
                <w:rFonts w:asciiTheme="minorHAnsi" w:hAnsiTheme="minorHAnsi" w:cs="Arial"/>
                <w:b/>
                <w:iCs/>
                <w:szCs w:val="19"/>
                <w:lang w:val="hr-HR"/>
              </w:rPr>
            </w:pPr>
            <w:r>
              <w:rPr>
                <w:rFonts w:asciiTheme="minorHAnsi" w:hAnsiTheme="minorHAnsi" w:cs="Arial"/>
                <w:b/>
                <w:iCs/>
                <w:szCs w:val="19"/>
                <w:lang w:val="hr-HR"/>
              </w:rPr>
              <w:t>6,926,632</w:t>
            </w:r>
          </w:p>
        </w:tc>
        <w:tc>
          <w:tcPr>
            <w:tcW w:w="682" w:type="pct"/>
            <w:tcBorders>
              <w:top w:val="nil"/>
              <w:left w:val="nil"/>
              <w:bottom w:val="nil"/>
              <w:right w:val="nil"/>
            </w:tcBorders>
            <w:shd w:val="clear" w:color="auto" w:fill="auto"/>
            <w:vAlign w:val="bottom"/>
          </w:tcPr>
          <w:p w14:paraId="1FD8A1CB" w14:textId="71806D27" w:rsidR="00A72FA6" w:rsidRPr="00D012A0" w:rsidRDefault="00A72FA6" w:rsidP="00A72FA6">
            <w:pPr>
              <w:pStyle w:val="TT"/>
              <w:spacing w:line="240" w:lineRule="auto"/>
              <w:jc w:val="right"/>
              <w:rPr>
                <w:rFonts w:asciiTheme="minorHAnsi" w:hAnsiTheme="minorHAnsi" w:cs="Arial"/>
                <w:b/>
                <w:iCs/>
                <w:szCs w:val="19"/>
                <w:lang w:val="hr-HR"/>
              </w:rPr>
            </w:pPr>
            <w:r>
              <w:rPr>
                <w:rFonts w:asciiTheme="minorHAnsi" w:hAnsiTheme="minorHAnsi" w:cs="Arial"/>
                <w:b/>
                <w:iCs/>
                <w:szCs w:val="19"/>
                <w:lang w:val="hr-HR"/>
              </w:rPr>
              <w:t>2,682,131</w:t>
            </w:r>
          </w:p>
        </w:tc>
        <w:tc>
          <w:tcPr>
            <w:tcW w:w="683" w:type="pct"/>
            <w:tcBorders>
              <w:top w:val="nil"/>
              <w:left w:val="nil"/>
              <w:bottom w:val="nil"/>
              <w:right w:val="nil"/>
            </w:tcBorders>
            <w:shd w:val="clear" w:color="auto" w:fill="auto"/>
            <w:vAlign w:val="bottom"/>
          </w:tcPr>
          <w:p w14:paraId="54C3BD57" w14:textId="66E856CE" w:rsidR="00A72FA6" w:rsidRPr="00D012A0" w:rsidRDefault="00A72FA6" w:rsidP="00A72FA6">
            <w:pPr>
              <w:pStyle w:val="TT"/>
              <w:spacing w:line="240" w:lineRule="auto"/>
              <w:jc w:val="right"/>
              <w:rPr>
                <w:rFonts w:asciiTheme="minorHAnsi" w:hAnsiTheme="minorHAnsi" w:cs="Arial"/>
                <w:b/>
                <w:iCs/>
                <w:szCs w:val="19"/>
                <w:lang w:val="hr-HR"/>
              </w:rPr>
            </w:pPr>
            <w:r>
              <w:rPr>
                <w:rFonts w:asciiTheme="minorHAnsi" w:hAnsiTheme="minorHAnsi" w:cs="Arial"/>
                <w:b/>
                <w:iCs/>
                <w:szCs w:val="19"/>
                <w:lang w:val="hr-HR"/>
              </w:rPr>
              <w:t>70,975</w:t>
            </w:r>
          </w:p>
        </w:tc>
        <w:tc>
          <w:tcPr>
            <w:tcW w:w="683" w:type="pct"/>
            <w:tcBorders>
              <w:top w:val="nil"/>
              <w:left w:val="nil"/>
              <w:bottom w:val="nil"/>
              <w:right w:val="nil"/>
            </w:tcBorders>
            <w:shd w:val="clear" w:color="auto" w:fill="auto"/>
            <w:vAlign w:val="bottom"/>
          </w:tcPr>
          <w:p w14:paraId="74438F37" w14:textId="7A571924" w:rsidR="00A72FA6" w:rsidRPr="00D012A0" w:rsidRDefault="00A72FA6" w:rsidP="00A72FA6">
            <w:pPr>
              <w:pStyle w:val="TT"/>
              <w:spacing w:line="240" w:lineRule="auto"/>
              <w:jc w:val="right"/>
              <w:rPr>
                <w:rFonts w:asciiTheme="minorHAnsi" w:hAnsiTheme="minorHAnsi" w:cs="Arial"/>
                <w:b/>
                <w:iCs/>
                <w:szCs w:val="19"/>
                <w:lang w:val="hr-HR"/>
              </w:rPr>
            </w:pPr>
            <w:r>
              <w:rPr>
                <w:rFonts w:asciiTheme="minorHAnsi" w:hAnsiTheme="minorHAnsi" w:cs="Arial"/>
                <w:b/>
                <w:iCs/>
                <w:szCs w:val="19"/>
                <w:lang w:val="hr-HR"/>
              </w:rPr>
              <w:t>158,921</w:t>
            </w:r>
          </w:p>
        </w:tc>
        <w:tc>
          <w:tcPr>
            <w:tcW w:w="679" w:type="pct"/>
            <w:tcBorders>
              <w:top w:val="nil"/>
              <w:left w:val="nil"/>
              <w:bottom w:val="nil"/>
              <w:right w:val="nil"/>
            </w:tcBorders>
            <w:shd w:val="clear" w:color="auto" w:fill="auto"/>
            <w:vAlign w:val="bottom"/>
          </w:tcPr>
          <w:p w14:paraId="5EDA1E4D" w14:textId="7A6C6107" w:rsidR="00A72FA6" w:rsidRPr="00D012A0" w:rsidRDefault="00A72FA6" w:rsidP="00A72FA6">
            <w:pPr>
              <w:pStyle w:val="TT"/>
              <w:spacing w:line="240" w:lineRule="auto"/>
              <w:jc w:val="right"/>
              <w:rPr>
                <w:rFonts w:asciiTheme="minorHAnsi" w:hAnsiTheme="minorHAnsi" w:cs="Arial"/>
                <w:b/>
                <w:iCs/>
                <w:szCs w:val="19"/>
                <w:lang w:val="hr-HR"/>
              </w:rPr>
            </w:pPr>
            <w:r>
              <w:rPr>
                <w:rFonts w:asciiTheme="minorHAnsi" w:hAnsiTheme="minorHAnsi" w:cs="Arial"/>
                <w:b/>
                <w:iCs/>
                <w:szCs w:val="19"/>
                <w:lang w:val="hr-HR"/>
              </w:rPr>
              <w:t>9,838,659</w:t>
            </w:r>
          </w:p>
        </w:tc>
      </w:tr>
      <w:tr w:rsidR="00DB7385" w:rsidRPr="00DB4DE9" w14:paraId="3CB203D1" w14:textId="77777777" w:rsidTr="00DB7385">
        <w:trPr>
          <w:trHeight w:val="79"/>
        </w:trPr>
        <w:tc>
          <w:tcPr>
            <w:tcW w:w="1591" w:type="pct"/>
            <w:vAlign w:val="bottom"/>
          </w:tcPr>
          <w:p w14:paraId="75388132" w14:textId="77777777" w:rsidR="00D84672" w:rsidRPr="00DB4DE9" w:rsidRDefault="00D84672" w:rsidP="00D84672">
            <w:pPr>
              <w:tabs>
                <w:tab w:val="right" w:pos="1202"/>
              </w:tabs>
              <w:spacing w:after="0" w:line="140" w:lineRule="exact"/>
              <w:outlineLvl w:val="0"/>
              <w:rPr>
                <w:rFonts w:eastAsia="Times New Roman" w:cs="Arial"/>
                <w:b/>
                <w:iCs/>
                <w:sz w:val="19"/>
                <w:szCs w:val="19"/>
              </w:rPr>
            </w:pPr>
          </w:p>
        </w:tc>
        <w:tc>
          <w:tcPr>
            <w:tcW w:w="682" w:type="pct"/>
            <w:vAlign w:val="bottom"/>
          </w:tcPr>
          <w:p w14:paraId="13C16077" w14:textId="2AD33990" w:rsidR="00D84672" w:rsidRPr="00DB4DE9" w:rsidRDefault="00D84672" w:rsidP="00A63E7A">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w:t>
            </w:r>
          </w:p>
        </w:tc>
        <w:tc>
          <w:tcPr>
            <w:tcW w:w="682" w:type="pct"/>
            <w:vAlign w:val="bottom"/>
          </w:tcPr>
          <w:p w14:paraId="7C9E6E19" w14:textId="04541212" w:rsidR="00D84672" w:rsidRPr="00DB4DE9" w:rsidRDefault="00D84672" w:rsidP="008D6EFE">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w:t>
            </w:r>
          </w:p>
        </w:tc>
        <w:tc>
          <w:tcPr>
            <w:tcW w:w="683" w:type="pct"/>
            <w:vAlign w:val="bottom"/>
          </w:tcPr>
          <w:p w14:paraId="64F2B01D" w14:textId="2845FE54" w:rsidR="00D84672" w:rsidRPr="00DB4DE9" w:rsidRDefault="00D84672" w:rsidP="00DB168B">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w:t>
            </w:r>
          </w:p>
        </w:tc>
        <w:tc>
          <w:tcPr>
            <w:tcW w:w="683" w:type="pct"/>
            <w:vAlign w:val="bottom"/>
          </w:tcPr>
          <w:p w14:paraId="4D5B2C44" w14:textId="203AA26D" w:rsidR="00D84672" w:rsidRPr="00DB4DE9" w:rsidRDefault="00D84672" w:rsidP="00612106">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w:t>
            </w:r>
          </w:p>
        </w:tc>
        <w:tc>
          <w:tcPr>
            <w:tcW w:w="679" w:type="pct"/>
            <w:vAlign w:val="bottom"/>
          </w:tcPr>
          <w:p w14:paraId="3DBDFD7A" w14:textId="0475F523" w:rsidR="00D84672" w:rsidRPr="00DB4DE9" w:rsidRDefault="00D84672" w:rsidP="0030359A">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w:t>
            </w:r>
          </w:p>
        </w:tc>
      </w:tr>
      <w:tr w:rsidR="00DB7385" w:rsidRPr="00DB4DE9" w14:paraId="1DC2F633" w14:textId="77777777" w:rsidTr="00DB7385">
        <w:trPr>
          <w:trHeight w:val="379"/>
        </w:trPr>
        <w:tc>
          <w:tcPr>
            <w:tcW w:w="1591" w:type="pct"/>
            <w:vAlign w:val="bottom"/>
          </w:tcPr>
          <w:p w14:paraId="1449423E" w14:textId="77777777" w:rsidR="00701B38" w:rsidRPr="00DB4DE9" w:rsidRDefault="00701B38" w:rsidP="00701B38">
            <w:pPr>
              <w:tabs>
                <w:tab w:val="right" w:pos="1202"/>
              </w:tabs>
              <w:spacing w:after="0" w:line="240" w:lineRule="auto"/>
              <w:outlineLvl w:val="0"/>
              <w:rPr>
                <w:rFonts w:eastAsia="Times New Roman" w:cs="Arial"/>
                <w:b/>
                <w:iCs/>
                <w:sz w:val="19"/>
                <w:szCs w:val="19"/>
              </w:rPr>
            </w:pPr>
            <w:r w:rsidRPr="00DB4DE9">
              <w:rPr>
                <w:rFonts w:eastAsia="Times New Roman"/>
                <w:b/>
                <w:iCs/>
                <w:sz w:val="19"/>
                <w:szCs w:val="19"/>
              </w:rPr>
              <w:t xml:space="preserve">Balance as of </w:t>
            </w:r>
            <w:r w:rsidRPr="00DB4DE9">
              <w:rPr>
                <w:rFonts w:eastAsia="Times New Roman" w:cs="Arial"/>
                <w:b/>
                <w:iCs/>
                <w:sz w:val="19"/>
                <w:szCs w:val="19"/>
              </w:rPr>
              <w:t>1 January 201</w:t>
            </w:r>
            <w:r>
              <w:rPr>
                <w:rFonts w:eastAsia="Times New Roman" w:cs="Arial"/>
                <w:b/>
                <w:iCs/>
                <w:sz w:val="19"/>
                <w:szCs w:val="19"/>
              </w:rPr>
              <w:t>7</w:t>
            </w:r>
          </w:p>
        </w:tc>
        <w:tc>
          <w:tcPr>
            <w:tcW w:w="682" w:type="pct"/>
            <w:tcBorders>
              <w:top w:val="nil"/>
              <w:left w:val="nil"/>
              <w:bottom w:val="nil"/>
              <w:right w:val="nil"/>
            </w:tcBorders>
            <w:shd w:val="clear" w:color="auto" w:fill="auto"/>
            <w:vAlign w:val="bottom"/>
          </w:tcPr>
          <w:p w14:paraId="597F0BC7" w14:textId="77777777" w:rsidR="00701B38" w:rsidRPr="00701B38" w:rsidRDefault="00701B38" w:rsidP="00701B38">
            <w:pPr>
              <w:tabs>
                <w:tab w:val="left" w:pos="1134"/>
                <w:tab w:val="right" w:pos="1202"/>
              </w:tabs>
              <w:spacing w:after="0" w:line="240" w:lineRule="auto"/>
              <w:jc w:val="right"/>
              <w:outlineLvl w:val="0"/>
              <w:rPr>
                <w:rFonts w:eastAsia="Times New Roman" w:cs="Calibri"/>
                <w:b/>
                <w:iCs/>
                <w:sz w:val="19"/>
                <w:szCs w:val="19"/>
                <w:lang w:val="en-US"/>
              </w:rPr>
            </w:pPr>
            <w:r w:rsidRPr="00166751">
              <w:rPr>
                <w:rFonts w:cs="Calibri"/>
                <w:b/>
                <w:iCs/>
                <w:sz w:val="19"/>
                <w:szCs w:val="19"/>
              </w:rPr>
              <w:t>6</w:t>
            </w:r>
            <w:r w:rsidR="00413ADD">
              <w:rPr>
                <w:rFonts w:cs="Calibri"/>
                <w:b/>
                <w:iCs/>
                <w:sz w:val="19"/>
                <w:szCs w:val="19"/>
              </w:rPr>
              <w:t>,</w:t>
            </w:r>
            <w:r w:rsidRPr="00166751">
              <w:rPr>
                <w:rFonts w:cs="Calibri"/>
                <w:b/>
                <w:iCs/>
                <w:sz w:val="19"/>
                <w:szCs w:val="19"/>
              </w:rPr>
              <w:t>959</w:t>
            </w:r>
            <w:r w:rsidR="00413ADD">
              <w:rPr>
                <w:rFonts w:cs="Calibri"/>
                <w:b/>
                <w:iCs/>
                <w:sz w:val="19"/>
                <w:szCs w:val="19"/>
              </w:rPr>
              <w:t>,</w:t>
            </w:r>
            <w:r w:rsidRPr="00166751">
              <w:rPr>
                <w:rFonts w:cs="Calibri"/>
                <w:b/>
                <w:iCs/>
                <w:sz w:val="19"/>
                <w:szCs w:val="19"/>
              </w:rPr>
              <w:t>632</w:t>
            </w:r>
          </w:p>
        </w:tc>
        <w:tc>
          <w:tcPr>
            <w:tcW w:w="682" w:type="pct"/>
            <w:tcBorders>
              <w:top w:val="nil"/>
              <w:left w:val="nil"/>
              <w:bottom w:val="nil"/>
              <w:right w:val="nil"/>
            </w:tcBorders>
            <w:shd w:val="clear" w:color="auto" w:fill="auto"/>
            <w:vAlign w:val="bottom"/>
          </w:tcPr>
          <w:p w14:paraId="79F3C787" w14:textId="77777777" w:rsidR="00701B38" w:rsidRPr="00701B38" w:rsidRDefault="00701B38" w:rsidP="00701B38">
            <w:pPr>
              <w:tabs>
                <w:tab w:val="left" w:pos="1134"/>
                <w:tab w:val="right" w:pos="1202"/>
              </w:tabs>
              <w:spacing w:after="0" w:line="240" w:lineRule="auto"/>
              <w:jc w:val="right"/>
              <w:outlineLvl w:val="0"/>
              <w:rPr>
                <w:rFonts w:eastAsia="Times New Roman" w:cs="Calibri"/>
                <w:b/>
                <w:iCs/>
                <w:sz w:val="19"/>
                <w:szCs w:val="19"/>
                <w:lang w:val="en-US"/>
              </w:rPr>
            </w:pPr>
            <w:r w:rsidRPr="00166751">
              <w:rPr>
                <w:rFonts w:cs="Calibri"/>
                <w:b/>
                <w:iCs/>
                <w:sz w:val="19"/>
                <w:szCs w:val="19"/>
              </w:rPr>
              <w:t>2</w:t>
            </w:r>
            <w:r w:rsidR="00413ADD">
              <w:rPr>
                <w:rFonts w:cs="Calibri"/>
                <w:b/>
                <w:iCs/>
                <w:sz w:val="19"/>
                <w:szCs w:val="19"/>
              </w:rPr>
              <w:t>,</w:t>
            </w:r>
            <w:r w:rsidRPr="00166751">
              <w:rPr>
                <w:rFonts w:cs="Calibri"/>
                <w:b/>
                <w:iCs/>
                <w:sz w:val="19"/>
                <w:szCs w:val="19"/>
              </w:rPr>
              <w:t>682</w:t>
            </w:r>
            <w:r w:rsidR="00413ADD">
              <w:rPr>
                <w:rFonts w:cs="Calibri"/>
                <w:b/>
                <w:iCs/>
                <w:sz w:val="19"/>
                <w:szCs w:val="19"/>
              </w:rPr>
              <w:t>,</w:t>
            </w:r>
            <w:r w:rsidRPr="00166751">
              <w:rPr>
                <w:rFonts w:cs="Calibri"/>
                <w:b/>
                <w:iCs/>
                <w:sz w:val="19"/>
                <w:szCs w:val="19"/>
              </w:rPr>
              <w:t>131</w:t>
            </w:r>
          </w:p>
        </w:tc>
        <w:tc>
          <w:tcPr>
            <w:tcW w:w="683" w:type="pct"/>
            <w:tcBorders>
              <w:top w:val="nil"/>
              <w:left w:val="nil"/>
              <w:bottom w:val="nil"/>
              <w:right w:val="nil"/>
            </w:tcBorders>
            <w:shd w:val="clear" w:color="auto" w:fill="auto"/>
            <w:vAlign w:val="bottom"/>
          </w:tcPr>
          <w:p w14:paraId="183A7803" w14:textId="77777777" w:rsidR="00701B38" w:rsidRPr="00701B38" w:rsidRDefault="00701B38" w:rsidP="00701B38">
            <w:pPr>
              <w:tabs>
                <w:tab w:val="left" w:pos="1134"/>
                <w:tab w:val="right" w:pos="1202"/>
              </w:tabs>
              <w:spacing w:after="0" w:line="240" w:lineRule="auto"/>
              <w:jc w:val="right"/>
              <w:outlineLvl w:val="0"/>
              <w:rPr>
                <w:rFonts w:eastAsia="Times New Roman" w:cs="Calibri"/>
                <w:b/>
                <w:iCs/>
                <w:sz w:val="19"/>
                <w:szCs w:val="19"/>
                <w:lang w:val="en-US"/>
              </w:rPr>
            </w:pPr>
            <w:r w:rsidRPr="00166751">
              <w:rPr>
                <w:rFonts w:cs="Calibri"/>
                <w:b/>
                <w:iCs/>
                <w:sz w:val="19"/>
                <w:szCs w:val="19"/>
              </w:rPr>
              <w:t>70</w:t>
            </w:r>
            <w:r w:rsidR="00413ADD">
              <w:rPr>
                <w:rFonts w:cs="Calibri"/>
                <w:b/>
                <w:iCs/>
                <w:sz w:val="19"/>
                <w:szCs w:val="19"/>
              </w:rPr>
              <w:t>,</w:t>
            </w:r>
            <w:r w:rsidRPr="00166751">
              <w:rPr>
                <w:rFonts w:cs="Calibri"/>
                <w:b/>
                <w:iCs/>
                <w:sz w:val="19"/>
                <w:szCs w:val="19"/>
              </w:rPr>
              <w:t>317</w:t>
            </w:r>
          </w:p>
        </w:tc>
        <w:tc>
          <w:tcPr>
            <w:tcW w:w="683" w:type="pct"/>
            <w:tcBorders>
              <w:top w:val="nil"/>
              <w:left w:val="nil"/>
              <w:bottom w:val="nil"/>
              <w:right w:val="nil"/>
            </w:tcBorders>
            <w:shd w:val="clear" w:color="auto" w:fill="auto"/>
            <w:vAlign w:val="bottom"/>
          </w:tcPr>
          <w:p w14:paraId="161AC935" w14:textId="77777777" w:rsidR="00701B38" w:rsidRPr="00701B38" w:rsidRDefault="00701B38" w:rsidP="00701B38">
            <w:pPr>
              <w:tabs>
                <w:tab w:val="left" w:pos="1134"/>
                <w:tab w:val="right" w:pos="1202"/>
              </w:tabs>
              <w:spacing w:after="0" w:line="240" w:lineRule="auto"/>
              <w:jc w:val="right"/>
              <w:outlineLvl w:val="0"/>
              <w:rPr>
                <w:rFonts w:eastAsia="Times New Roman" w:cs="Calibri"/>
                <w:b/>
                <w:iCs/>
                <w:sz w:val="19"/>
                <w:szCs w:val="19"/>
                <w:lang w:val="en-US"/>
              </w:rPr>
            </w:pPr>
            <w:r w:rsidRPr="00166751">
              <w:rPr>
                <w:rFonts w:cs="Calibri"/>
                <w:b/>
                <w:iCs/>
                <w:sz w:val="19"/>
                <w:szCs w:val="19"/>
              </w:rPr>
              <w:t>313</w:t>
            </w:r>
            <w:r w:rsidR="00413ADD">
              <w:rPr>
                <w:rFonts w:cs="Calibri"/>
                <w:b/>
                <w:iCs/>
                <w:sz w:val="19"/>
                <w:szCs w:val="19"/>
              </w:rPr>
              <w:t>,</w:t>
            </w:r>
            <w:r w:rsidRPr="00166751">
              <w:rPr>
                <w:rFonts w:cs="Calibri"/>
                <w:b/>
                <w:iCs/>
                <w:sz w:val="19"/>
                <w:szCs w:val="19"/>
              </w:rPr>
              <w:t>525</w:t>
            </w:r>
          </w:p>
        </w:tc>
        <w:tc>
          <w:tcPr>
            <w:tcW w:w="679" w:type="pct"/>
            <w:tcBorders>
              <w:top w:val="nil"/>
              <w:left w:val="nil"/>
              <w:bottom w:val="nil"/>
              <w:right w:val="nil"/>
            </w:tcBorders>
            <w:shd w:val="clear" w:color="auto" w:fill="auto"/>
            <w:vAlign w:val="bottom"/>
          </w:tcPr>
          <w:p w14:paraId="1CA5BFFC" w14:textId="77777777" w:rsidR="00701B38" w:rsidRPr="00701B38" w:rsidRDefault="00701B38" w:rsidP="00701B38">
            <w:pPr>
              <w:tabs>
                <w:tab w:val="left" w:pos="1134"/>
                <w:tab w:val="right" w:pos="1202"/>
              </w:tabs>
              <w:spacing w:after="0" w:line="240" w:lineRule="auto"/>
              <w:jc w:val="right"/>
              <w:outlineLvl w:val="0"/>
              <w:rPr>
                <w:rFonts w:eastAsia="Times New Roman" w:cs="Calibri"/>
                <w:b/>
                <w:iCs/>
                <w:sz w:val="19"/>
                <w:szCs w:val="19"/>
                <w:lang w:val="en-US"/>
              </w:rPr>
            </w:pPr>
            <w:r w:rsidRPr="00166751">
              <w:rPr>
                <w:rFonts w:cs="Calibri"/>
                <w:b/>
                <w:iCs/>
                <w:sz w:val="19"/>
                <w:szCs w:val="19"/>
              </w:rPr>
              <w:t>10</w:t>
            </w:r>
            <w:r w:rsidR="00413ADD">
              <w:rPr>
                <w:rFonts w:cs="Calibri"/>
                <w:b/>
                <w:iCs/>
                <w:sz w:val="19"/>
                <w:szCs w:val="19"/>
              </w:rPr>
              <w:t>,</w:t>
            </w:r>
            <w:r w:rsidRPr="00166751">
              <w:rPr>
                <w:rFonts w:cs="Calibri"/>
                <w:b/>
                <w:iCs/>
                <w:sz w:val="19"/>
                <w:szCs w:val="19"/>
              </w:rPr>
              <w:t>025</w:t>
            </w:r>
            <w:r w:rsidR="00413ADD">
              <w:rPr>
                <w:rFonts w:cs="Calibri"/>
                <w:b/>
                <w:iCs/>
                <w:sz w:val="19"/>
                <w:szCs w:val="19"/>
              </w:rPr>
              <w:t>,</w:t>
            </w:r>
            <w:r w:rsidRPr="00166751">
              <w:rPr>
                <w:rFonts w:cs="Calibri"/>
                <w:b/>
                <w:iCs/>
                <w:sz w:val="19"/>
                <w:szCs w:val="19"/>
              </w:rPr>
              <w:t>605</w:t>
            </w:r>
          </w:p>
        </w:tc>
      </w:tr>
      <w:tr w:rsidR="00DB7385" w:rsidRPr="00DB4DE9" w14:paraId="12804EE1" w14:textId="77777777" w:rsidTr="00DB7385">
        <w:trPr>
          <w:trHeight w:val="79"/>
        </w:trPr>
        <w:tc>
          <w:tcPr>
            <w:tcW w:w="1591" w:type="pct"/>
            <w:vAlign w:val="bottom"/>
          </w:tcPr>
          <w:p w14:paraId="5B6BB939" w14:textId="77777777" w:rsidR="00701B38" w:rsidRPr="00DB4DE9" w:rsidRDefault="00701B38" w:rsidP="00701B38">
            <w:pPr>
              <w:tabs>
                <w:tab w:val="right" w:pos="1202"/>
              </w:tabs>
              <w:spacing w:after="0" w:line="140" w:lineRule="exact"/>
              <w:outlineLvl w:val="0"/>
              <w:rPr>
                <w:rFonts w:eastAsia="Times New Roman" w:cs="Arial"/>
                <w:b/>
                <w:iCs/>
                <w:sz w:val="19"/>
                <w:szCs w:val="19"/>
              </w:rPr>
            </w:pPr>
          </w:p>
        </w:tc>
        <w:tc>
          <w:tcPr>
            <w:tcW w:w="682" w:type="pct"/>
            <w:vAlign w:val="bottom"/>
          </w:tcPr>
          <w:p w14:paraId="4EADB079" w14:textId="3C49E268" w:rsidR="00701B38" w:rsidRPr="00DB4DE9" w:rsidRDefault="00701B38" w:rsidP="00A63E7A">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w:t>
            </w:r>
          </w:p>
        </w:tc>
        <w:tc>
          <w:tcPr>
            <w:tcW w:w="682" w:type="pct"/>
            <w:vAlign w:val="bottom"/>
          </w:tcPr>
          <w:p w14:paraId="7857F9F4" w14:textId="797F8D70" w:rsidR="00701B38" w:rsidRPr="00DB4DE9" w:rsidRDefault="00701B38" w:rsidP="008D6EFE">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w:t>
            </w:r>
          </w:p>
        </w:tc>
        <w:tc>
          <w:tcPr>
            <w:tcW w:w="683" w:type="pct"/>
            <w:vAlign w:val="bottom"/>
          </w:tcPr>
          <w:p w14:paraId="621D0A56" w14:textId="2D6203D7" w:rsidR="00701B38" w:rsidRPr="00DB4DE9" w:rsidRDefault="00701B38" w:rsidP="00DB168B">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w:t>
            </w:r>
          </w:p>
        </w:tc>
        <w:tc>
          <w:tcPr>
            <w:tcW w:w="683" w:type="pct"/>
            <w:vAlign w:val="bottom"/>
          </w:tcPr>
          <w:p w14:paraId="0F227976" w14:textId="243A1637" w:rsidR="00701B38" w:rsidRPr="00DB4DE9" w:rsidRDefault="00701B38" w:rsidP="00612106">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w:t>
            </w:r>
          </w:p>
        </w:tc>
        <w:tc>
          <w:tcPr>
            <w:tcW w:w="679" w:type="pct"/>
            <w:vAlign w:val="bottom"/>
          </w:tcPr>
          <w:p w14:paraId="389A4CC7" w14:textId="6372FDEA" w:rsidR="00701B38" w:rsidRPr="00DB4DE9" w:rsidRDefault="00701B38" w:rsidP="0030359A">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w:t>
            </w:r>
          </w:p>
        </w:tc>
      </w:tr>
      <w:tr w:rsidR="00DB7385" w:rsidRPr="00DB4DE9" w14:paraId="5B3B6146" w14:textId="77777777" w:rsidTr="00DB7385">
        <w:trPr>
          <w:trHeight w:val="375"/>
        </w:trPr>
        <w:tc>
          <w:tcPr>
            <w:tcW w:w="1591" w:type="pct"/>
            <w:vAlign w:val="bottom"/>
          </w:tcPr>
          <w:p w14:paraId="5F5EC662" w14:textId="270F2FEA" w:rsidR="00103CAB" w:rsidRPr="00DB4DE9" w:rsidRDefault="00103CAB" w:rsidP="00DC285F">
            <w:pPr>
              <w:tabs>
                <w:tab w:val="right" w:pos="1202"/>
              </w:tabs>
              <w:spacing w:after="0" w:line="240" w:lineRule="auto"/>
              <w:outlineLvl w:val="0"/>
              <w:rPr>
                <w:rFonts w:eastAsia="Times New Roman" w:cs="Arial"/>
                <w:iCs/>
                <w:sz w:val="19"/>
                <w:szCs w:val="19"/>
              </w:rPr>
            </w:pPr>
            <w:r w:rsidRPr="00DB4DE9">
              <w:rPr>
                <w:rFonts w:eastAsia="Times New Roman"/>
                <w:iCs/>
                <w:sz w:val="19"/>
                <w:szCs w:val="19"/>
              </w:rPr>
              <w:t xml:space="preserve">Profit for the </w:t>
            </w:r>
            <w:r w:rsidR="00DC285F">
              <w:rPr>
                <w:rFonts w:eastAsia="Times New Roman"/>
                <w:iCs/>
                <w:sz w:val="19"/>
                <w:szCs w:val="19"/>
              </w:rPr>
              <w:t>period</w:t>
            </w:r>
          </w:p>
        </w:tc>
        <w:tc>
          <w:tcPr>
            <w:tcW w:w="682" w:type="pct"/>
            <w:tcBorders>
              <w:top w:val="nil"/>
              <w:left w:val="nil"/>
              <w:bottom w:val="nil"/>
              <w:right w:val="nil"/>
            </w:tcBorders>
            <w:shd w:val="clear" w:color="auto" w:fill="auto"/>
            <w:vAlign w:val="bottom"/>
          </w:tcPr>
          <w:p w14:paraId="51ED83BA" w14:textId="77777777" w:rsidR="00103CAB" w:rsidRPr="00B4240F" w:rsidRDefault="00103CAB" w:rsidP="00103CAB">
            <w:pPr>
              <w:tabs>
                <w:tab w:val="left" w:pos="1134"/>
                <w:tab w:val="right" w:pos="1202"/>
              </w:tabs>
              <w:spacing w:after="0" w:line="240" w:lineRule="auto"/>
              <w:jc w:val="right"/>
              <w:outlineLvl w:val="0"/>
              <w:rPr>
                <w:rFonts w:eastAsia="Times New Roman" w:cs="Arial"/>
                <w:sz w:val="19"/>
                <w:szCs w:val="19"/>
                <w:lang w:val="en-US"/>
              </w:rPr>
            </w:pPr>
            <w:r w:rsidRPr="00166751">
              <w:rPr>
                <w:rFonts w:asciiTheme="minorHAnsi" w:hAnsiTheme="minorHAnsi" w:cs="Arial"/>
                <w:sz w:val="19"/>
                <w:szCs w:val="19"/>
                <w:lang w:val="hr-HR"/>
              </w:rPr>
              <w:t>-</w:t>
            </w:r>
          </w:p>
        </w:tc>
        <w:tc>
          <w:tcPr>
            <w:tcW w:w="682" w:type="pct"/>
            <w:tcBorders>
              <w:top w:val="nil"/>
              <w:left w:val="nil"/>
              <w:bottom w:val="nil"/>
              <w:right w:val="nil"/>
            </w:tcBorders>
            <w:shd w:val="clear" w:color="auto" w:fill="auto"/>
            <w:vAlign w:val="bottom"/>
          </w:tcPr>
          <w:p w14:paraId="1FE36684" w14:textId="77777777" w:rsidR="00103CAB" w:rsidRPr="00B4240F" w:rsidRDefault="00103CAB" w:rsidP="00103CAB">
            <w:pPr>
              <w:tabs>
                <w:tab w:val="left" w:pos="1134"/>
                <w:tab w:val="right" w:pos="1202"/>
              </w:tabs>
              <w:spacing w:after="0" w:line="240" w:lineRule="auto"/>
              <w:jc w:val="right"/>
              <w:outlineLvl w:val="0"/>
              <w:rPr>
                <w:rFonts w:eastAsia="Times New Roman" w:cs="Arial"/>
                <w:sz w:val="19"/>
                <w:szCs w:val="19"/>
                <w:lang w:val="en-US"/>
              </w:rPr>
            </w:pPr>
            <w:r w:rsidRPr="00166751">
              <w:rPr>
                <w:rFonts w:asciiTheme="minorHAnsi" w:hAnsiTheme="minorHAnsi" w:cs="Arial"/>
                <w:sz w:val="19"/>
                <w:szCs w:val="19"/>
                <w:lang w:val="hr-HR"/>
              </w:rPr>
              <w:t>-</w:t>
            </w:r>
          </w:p>
        </w:tc>
        <w:tc>
          <w:tcPr>
            <w:tcW w:w="683" w:type="pct"/>
            <w:tcBorders>
              <w:top w:val="nil"/>
              <w:left w:val="nil"/>
              <w:bottom w:val="nil"/>
              <w:right w:val="nil"/>
            </w:tcBorders>
            <w:shd w:val="clear" w:color="auto" w:fill="auto"/>
            <w:vAlign w:val="bottom"/>
          </w:tcPr>
          <w:p w14:paraId="71E097AA" w14:textId="077C0EF0" w:rsidR="00103CAB" w:rsidRPr="00B4240F" w:rsidRDefault="00103CAB" w:rsidP="00103CAB">
            <w:pPr>
              <w:tabs>
                <w:tab w:val="left" w:pos="1134"/>
                <w:tab w:val="right" w:pos="1202"/>
              </w:tabs>
              <w:spacing w:after="0" w:line="240" w:lineRule="auto"/>
              <w:jc w:val="right"/>
              <w:outlineLvl w:val="0"/>
              <w:rPr>
                <w:rFonts w:eastAsia="Times New Roman" w:cs="Arial"/>
                <w:sz w:val="19"/>
                <w:szCs w:val="19"/>
                <w:lang w:val="en-US"/>
              </w:rPr>
            </w:pPr>
            <w:r w:rsidRPr="00F41974">
              <w:rPr>
                <w:rFonts w:eastAsia="Times New Roman" w:cs="Arial"/>
                <w:sz w:val="19"/>
                <w:szCs w:val="19"/>
              </w:rPr>
              <w:t>-</w:t>
            </w:r>
          </w:p>
        </w:tc>
        <w:tc>
          <w:tcPr>
            <w:tcW w:w="683" w:type="pct"/>
            <w:tcBorders>
              <w:top w:val="nil"/>
              <w:left w:val="nil"/>
              <w:bottom w:val="nil"/>
              <w:right w:val="nil"/>
            </w:tcBorders>
            <w:shd w:val="clear" w:color="auto" w:fill="auto"/>
            <w:vAlign w:val="bottom"/>
          </w:tcPr>
          <w:p w14:paraId="50273A0F" w14:textId="6876C804" w:rsidR="00103CAB" w:rsidRPr="00B4240F" w:rsidRDefault="00C21DE4" w:rsidP="00103CAB">
            <w:pPr>
              <w:tabs>
                <w:tab w:val="left" w:pos="1134"/>
                <w:tab w:val="right" w:pos="1202"/>
              </w:tabs>
              <w:spacing w:after="0" w:line="240" w:lineRule="auto"/>
              <w:jc w:val="right"/>
              <w:outlineLvl w:val="0"/>
              <w:rPr>
                <w:rFonts w:eastAsia="Times New Roman" w:cs="Arial"/>
                <w:sz w:val="19"/>
                <w:szCs w:val="19"/>
                <w:lang w:val="en-US"/>
              </w:rPr>
            </w:pPr>
            <w:r w:rsidRPr="00C21DE4">
              <w:rPr>
                <w:rFonts w:eastAsia="Times New Roman" w:cs="Arial"/>
                <w:sz w:val="19"/>
                <w:szCs w:val="19"/>
              </w:rPr>
              <w:t>175,511</w:t>
            </w:r>
          </w:p>
        </w:tc>
        <w:tc>
          <w:tcPr>
            <w:tcW w:w="679" w:type="pct"/>
            <w:tcBorders>
              <w:top w:val="nil"/>
              <w:left w:val="nil"/>
              <w:bottom w:val="nil"/>
              <w:right w:val="nil"/>
            </w:tcBorders>
            <w:shd w:val="clear" w:color="auto" w:fill="auto"/>
            <w:vAlign w:val="bottom"/>
          </w:tcPr>
          <w:p w14:paraId="0BEB4178" w14:textId="3309587C" w:rsidR="00103CAB" w:rsidRPr="00B4240F" w:rsidRDefault="00C21DE4" w:rsidP="00103CAB">
            <w:pPr>
              <w:tabs>
                <w:tab w:val="left" w:pos="1134"/>
                <w:tab w:val="right" w:pos="1202"/>
              </w:tabs>
              <w:spacing w:after="0" w:line="240" w:lineRule="auto"/>
              <w:jc w:val="right"/>
              <w:outlineLvl w:val="0"/>
              <w:rPr>
                <w:rFonts w:eastAsia="Times New Roman" w:cs="Arial"/>
                <w:b/>
                <w:iCs/>
                <w:sz w:val="19"/>
                <w:szCs w:val="19"/>
                <w:lang w:val="en-US"/>
              </w:rPr>
            </w:pPr>
            <w:r w:rsidRPr="00C21DE4">
              <w:rPr>
                <w:rFonts w:eastAsia="Times New Roman" w:cs="Arial"/>
                <w:b/>
                <w:iCs/>
                <w:sz w:val="19"/>
                <w:szCs w:val="19"/>
              </w:rPr>
              <w:t>175,511</w:t>
            </w:r>
          </w:p>
        </w:tc>
      </w:tr>
      <w:tr w:rsidR="00DB7385" w:rsidRPr="00DB4DE9" w14:paraId="079B2220" w14:textId="77777777" w:rsidTr="00DB7385">
        <w:trPr>
          <w:trHeight w:val="280"/>
        </w:trPr>
        <w:tc>
          <w:tcPr>
            <w:tcW w:w="1591" w:type="pct"/>
            <w:vAlign w:val="bottom"/>
          </w:tcPr>
          <w:p w14:paraId="100F9B9D" w14:textId="77777777" w:rsidR="00103CAB" w:rsidRPr="00DB4DE9" w:rsidRDefault="00103CAB" w:rsidP="00103CAB">
            <w:pPr>
              <w:tabs>
                <w:tab w:val="right" w:pos="1202"/>
              </w:tabs>
              <w:spacing w:after="0" w:line="240" w:lineRule="auto"/>
              <w:outlineLvl w:val="0"/>
              <w:rPr>
                <w:rFonts w:eastAsia="Times New Roman" w:cs="Arial"/>
                <w:iCs/>
                <w:sz w:val="19"/>
                <w:szCs w:val="19"/>
              </w:rPr>
            </w:pPr>
            <w:r w:rsidRPr="00DB4DE9">
              <w:rPr>
                <w:rFonts w:eastAsia="Times New Roman"/>
                <w:iCs/>
                <w:sz w:val="19"/>
                <w:szCs w:val="19"/>
              </w:rPr>
              <w:t>Other comprehensive income</w:t>
            </w:r>
          </w:p>
        </w:tc>
        <w:tc>
          <w:tcPr>
            <w:tcW w:w="682" w:type="pct"/>
            <w:tcBorders>
              <w:top w:val="nil"/>
              <w:left w:val="nil"/>
              <w:bottom w:val="nil"/>
              <w:right w:val="nil"/>
            </w:tcBorders>
            <w:shd w:val="clear" w:color="auto" w:fill="auto"/>
            <w:vAlign w:val="bottom"/>
          </w:tcPr>
          <w:p w14:paraId="41D1A011" w14:textId="77777777" w:rsidR="00103CAB" w:rsidRPr="00B4240F" w:rsidRDefault="00103CAB" w:rsidP="00103CAB">
            <w:pPr>
              <w:tabs>
                <w:tab w:val="left" w:pos="1134"/>
                <w:tab w:val="right" w:pos="1202"/>
              </w:tabs>
              <w:spacing w:after="0" w:line="240" w:lineRule="auto"/>
              <w:jc w:val="right"/>
              <w:outlineLvl w:val="0"/>
              <w:rPr>
                <w:rFonts w:eastAsia="Times New Roman" w:cs="Arial"/>
                <w:iCs/>
                <w:sz w:val="19"/>
                <w:szCs w:val="19"/>
                <w:lang w:val="en-US"/>
              </w:rPr>
            </w:pPr>
            <w:r w:rsidRPr="00166751">
              <w:rPr>
                <w:rFonts w:asciiTheme="minorHAnsi" w:hAnsiTheme="minorHAnsi" w:cs="Arial"/>
                <w:iCs/>
                <w:sz w:val="19"/>
                <w:szCs w:val="19"/>
                <w:lang w:val="hr-HR"/>
              </w:rPr>
              <w:t>-</w:t>
            </w:r>
          </w:p>
        </w:tc>
        <w:tc>
          <w:tcPr>
            <w:tcW w:w="682" w:type="pct"/>
            <w:tcBorders>
              <w:top w:val="nil"/>
              <w:left w:val="nil"/>
              <w:bottom w:val="nil"/>
              <w:right w:val="nil"/>
            </w:tcBorders>
            <w:shd w:val="clear" w:color="auto" w:fill="auto"/>
            <w:vAlign w:val="bottom"/>
          </w:tcPr>
          <w:p w14:paraId="21F67156" w14:textId="77777777" w:rsidR="00103CAB" w:rsidRPr="00B4240F" w:rsidRDefault="00103CAB" w:rsidP="00103CAB">
            <w:pPr>
              <w:tabs>
                <w:tab w:val="left" w:pos="1134"/>
                <w:tab w:val="right" w:pos="1202"/>
              </w:tabs>
              <w:spacing w:after="0" w:line="240" w:lineRule="auto"/>
              <w:jc w:val="right"/>
              <w:outlineLvl w:val="0"/>
              <w:rPr>
                <w:rFonts w:eastAsia="Times New Roman" w:cs="Arial"/>
                <w:iCs/>
                <w:sz w:val="19"/>
                <w:szCs w:val="19"/>
                <w:lang w:val="en-US"/>
              </w:rPr>
            </w:pPr>
            <w:r w:rsidRPr="00166751">
              <w:rPr>
                <w:rFonts w:asciiTheme="minorHAnsi" w:hAnsiTheme="minorHAnsi" w:cs="Arial"/>
                <w:iCs/>
                <w:sz w:val="19"/>
                <w:szCs w:val="19"/>
                <w:lang w:val="hr-HR"/>
              </w:rPr>
              <w:t>-</w:t>
            </w:r>
          </w:p>
        </w:tc>
        <w:tc>
          <w:tcPr>
            <w:tcW w:w="683" w:type="pct"/>
            <w:tcBorders>
              <w:top w:val="nil"/>
              <w:left w:val="nil"/>
              <w:bottom w:val="nil"/>
              <w:right w:val="nil"/>
            </w:tcBorders>
            <w:shd w:val="clear" w:color="auto" w:fill="auto"/>
            <w:vAlign w:val="bottom"/>
          </w:tcPr>
          <w:p w14:paraId="0666BCD3" w14:textId="08944B2B" w:rsidR="00103CAB" w:rsidRPr="00B4240F" w:rsidRDefault="00C21DE4" w:rsidP="00103CAB">
            <w:pPr>
              <w:tabs>
                <w:tab w:val="left" w:pos="1134"/>
                <w:tab w:val="right" w:pos="1202"/>
              </w:tabs>
              <w:spacing w:after="0" w:line="240" w:lineRule="auto"/>
              <w:jc w:val="right"/>
              <w:outlineLvl w:val="0"/>
              <w:rPr>
                <w:rFonts w:eastAsia="Times New Roman" w:cs="Arial"/>
                <w:iCs/>
                <w:sz w:val="19"/>
                <w:szCs w:val="19"/>
                <w:lang w:val="en-US"/>
              </w:rPr>
            </w:pPr>
            <w:r w:rsidRPr="00C21DE4">
              <w:rPr>
                <w:rFonts w:eastAsia="Times New Roman" w:cs="Arial"/>
                <w:iCs/>
                <w:sz w:val="19"/>
                <w:szCs w:val="19"/>
              </w:rPr>
              <w:t xml:space="preserve">16,019 </w:t>
            </w:r>
          </w:p>
        </w:tc>
        <w:tc>
          <w:tcPr>
            <w:tcW w:w="683" w:type="pct"/>
            <w:tcBorders>
              <w:top w:val="nil"/>
              <w:left w:val="nil"/>
              <w:bottom w:val="nil"/>
              <w:right w:val="nil"/>
            </w:tcBorders>
            <w:shd w:val="clear" w:color="auto" w:fill="auto"/>
            <w:vAlign w:val="bottom"/>
          </w:tcPr>
          <w:p w14:paraId="2E669031" w14:textId="3C1453FD" w:rsidR="00103CAB" w:rsidRPr="00B4240F" w:rsidRDefault="00C21DE4" w:rsidP="00103CAB">
            <w:pPr>
              <w:tabs>
                <w:tab w:val="left" w:pos="1134"/>
                <w:tab w:val="right" w:pos="1202"/>
              </w:tabs>
              <w:spacing w:after="0" w:line="240" w:lineRule="auto"/>
              <w:jc w:val="right"/>
              <w:outlineLvl w:val="0"/>
              <w:rPr>
                <w:rFonts w:eastAsia="Times New Roman" w:cs="Arial"/>
                <w:iCs/>
                <w:sz w:val="19"/>
                <w:szCs w:val="19"/>
                <w:lang w:val="en-US"/>
              </w:rPr>
            </w:pPr>
            <w:r>
              <w:rPr>
                <w:rFonts w:eastAsia="Times New Roman" w:cs="Arial"/>
                <w:iCs/>
                <w:sz w:val="19"/>
                <w:szCs w:val="19"/>
              </w:rPr>
              <w:t>-</w:t>
            </w:r>
          </w:p>
        </w:tc>
        <w:tc>
          <w:tcPr>
            <w:tcW w:w="679" w:type="pct"/>
            <w:tcBorders>
              <w:top w:val="nil"/>
              <w:left w:val="nil"/>
              <w:bottom w:val="nil"/>
              <w:right w:val="nil"/>
            </w:tcBorders>
            <w:shd w:val="clear" w:color="auto" w:fill="auto"/>
            <w:vAlign w:val="bottom"/>
          </w:tcPr>
          <w:p w14:paraId="2FB681B7" w14:textId="72E6E08E" w:rsidR="00103CAB" w:rsidRPr="00B4240F" w:rsidRDefault="00C21DE4" w:rsidP="00103CAB">
            <w:pPr>
              <w:tabs>
                <w:tab w:val="left" w:pos="1134"/>
                <w:tab w:val="right" w:pos="1202"/>
              </w:tabs>
              <w:spacing w:after="0" w:line="240" w:lineRule="auto"/>
              <w:jc w:val="right"/>
              <w:outlineLvl w:val="0"/>
              <w:rPr>
                <w:rFonts w:eastAsia="Times New Roman" w:cs="Arial"/>
                <w:b/>
                <w:iCs/>
                <w:sz w:val="19"/>
                <w:szCs w:val="19"/>
                <w:lang w:val="en-US"/>
              </w:rPr>
            </w:pPr>
            <w:r w:rsidRPr="00C21DE4">
              <w:rPr>
                <w:rFonts w:eastAsia="Times New Roman" w:cs="Arial"/>
                <w:b/>
                <w:iCs/>
                <w:sz w:val="19"/>
                <w:szCs w:val="19"/>
              </w:rPr>
              <w:t xml:space="preserve">16,019 </w:t>
            </w:r>
          </w:p>
        </w:tc>
      </w:tr>
      <w:tr w:rsidR="00DB7385" w:rsidRPr="00DB4DE9" w14:paraId="61DBFC40" w14:textId="77777777" w:rsidTr="00DB7385">
        <w:trPr>
          <w:trHeight w:val="79"/>
        </w:trPr>
        <w:tc>
          <w:tcPr>
            <w:tcW w:w="1591" w:type="pct"/>
            <w:vAlign w:val="bottom"/>
          </w:tcPr>
          <w:p w14:paraId="6578D487" w14:textId="77777777" w:rsidR="00B4240F" w:rsidRPr="00DB4DE9" w:rsidRDefault="00B4240F" w:rsidP="00B4240F">
            <w:pPr>
              <w:tabs>
                <w:tab w:val="right" w:pos="1202"/>
              </w:tabs>
              <w:spacing w:after="0" w:line="140" w:lineRule="exact"/>
              <w:outlineLvl w:val="0"/>
              <w:rPr>
                <w:rFonts w:eastAsia="Times New Roman" w:cs="Arial"/>
                <w:iCs/>
                <w:sz w:val="19"/>
                <w:szCs w:val="19"/>
              </w:rPr>
            </w:pPr>
          </w:p>
        </w:tc>
        <w:tc>
          <w:tcPr>
            <w:tcW w:w="682" w:type="pct"/>
            <w:vAlign w:val="bottom"/>
          </w:tcPr>
          <w:p w14:paraId="677E3401" w14:textId="77777777" w:rsidR="00B4240F" w:rsidRPr="00DB4DE9" w:rsidRDefault="00B4240F" w:rsidP="00B4240F">
            <w:pPr>
              <w:keepNext/>
              <w:keepLines/>
              <w:tabs>
                <w:tab w:val="decimal" w:pos="1015"/>
              </w:tabs>
              <w:spacing w:after="0" w:line="140" w:lineRule="exact"/>
              <w:jc w:val="right"/>
              <w:rPr>
                <w:rFonts w:asciiTheme="minorHAnsi" w:eastAsia="Times New Roman" w:hAnsiTheme="minorHAnsi" w:cs="Arial"/>
                <w:spacing w:val="-2"/>
                <w:position w:val="4"/>
                <w:sz w:val="19"/>
                <w:szCs w:val="19"/>
                <w:lang w:val="hr-HR"/>
              </w:rPr>
            </w:pPr>
            <w:r w:rsidRPr="00DB4DE9">
              <w:rPr>
                <w:rFonts w:asciiTheme="minorHAnsi" w:eastAsia="Times New Roman" w:hAnsiTheme="minorHAnsi" w:cs="Arial"/>
                <w:spacing w:val="-2"/>
                <w:position w:val="4"/>
                <w:sz w:val="19"/>
                <w:szCs w:val="19"/>
                <w:lang w:val="hr-HR"/>
              </w:rPr>
              <w:t>__________</w:t>
            </w:r>
          </w:p>
        </w:tc>
        <w:tc>
          <w:tcPr>
            <w:tcW w:w="682" w:type="pct"/>
            <w:vAlign w:val="bottom"/>
          </w:tcPr>
          <w:p w14:paraId="6F9DF8F4" w14:textId="37D0F584" w:rsidR="00B4240F" w:rsidRPr="00DB4DE9" w:rsidRDefault="00DB7385" w:rsidP="00B4240F">
            <w:pPr>
              <w:keepNext/>
              <w:keepLines/>
              <w:tabs>
                <w:tab w:val="decimal" w:pos="1015"/>
              </w:tabs>
              <w:spacing w:after="0" w:line="140" w:lineRule="exact"/>
              <w:jc w:val="right"/>
              <w:rPr>
                <w:rFonts w:asciiTheme="minorHAnsi" w:eastAsia="Times New Roman" w:hAnsiTheme="minorHAnsi" w:cs="Arial"/>
                <w:spacing w:val="-2"/>
                <w:position w:val="4"/>
                <w:sz w:val="19"/>
                <w:szCs w:val="19"/>
                <w:lang w:val="hr-HR"/>
              </w:rPr>
            </w:pPr>
            <w:r w:rsidRPr="00DB7385">
              <w:rPr>
                <w:rFonts w:asciiTheme="minorHAnsi" w:eastAsia="Times New Roman" w:hAnsiTheme="minorHAnsi" w:cs="Arial"/>
                <w:spacing w:val="-2"/>
                <w:position w:val="4"/>
                <w:sz w:val="19"/>
                <w:szCs w:val="19"/>
                <w:lang w:val="hr-HR"/>
              </w:rPr>
              <w:t>__________</w:t>
            </w:r>
          </w:p>
        </w:tc>
        <w:tc>
          <w:tcPr>
            <w:tcW w:w="683" w:type="pct"/>
            <w:vAlign w:val="bottom"/>
          </w:tcPr>
          <w:p w14:paraId="1A64ACBE" w14:textId="77777777" w:rsidR="00B4240F" w:rsidRPr="00DB4DE9" w:rsidRDefault="00B4240F" w:rsidP="00B4240F">
            <w:pPr>
              <w:keepNext/>
              <w:keepLines/>
              <w:tabs>
                <w:tab w:val="decimal" w:pos="1015"/>
              </w:tabs>
              <w:spacing w:after="0" w:line="140" w:lineRule="exact"/>
              <w:jc w:val="right"/>
              <w:rPr>
                <w:rFonts w:asciiTheme="minorHAnsi" w:eastAsia="Times New Roman" w:hAnsiTheme="minorHAnsi" w:cs="Arial"/>
                <w:spacing w:val="-2"/>
                <w:position w:val="4"/>
                <w:sz w:val="19"/>
                <w:szCs w:val="19"/>
                <w:lang w:val="hr-HR"/>
              </w:rPr>
            </w:pPr>
            <w:r w:rsidRPr="00DB4DE9">
              <w:rPr>
                <w:rFonts w:asciiTheme="minorHAnsi" w:eastAsia="Times New Roman" w:hAnsiTheme="minorHAnsi" w:cs="Arial"/>
                <w:spacing w:val="-2"/>
                <w:position w:val="4"/>
                <w:sz w:val="19"/>
                <w:szCs w:val="19"/>
                <w:lang w:val="hr-HR"/>
              </w:rPr>
              <w:t>__________</w:t>
            </w:r>
          </w:p>
        </w:tc>
        <w:tc>
          <w:tcPr>
            <w:tcW w:w="683" w:type="pct"/>
            <w:vAlign w:val="bottom"/>
          </w:tcPr>
          <w:p w14:paraId="2343B17E" w14:textId="77777777" w:rsidR="00B4240F" w:rsidRPr="00DB4DE9" w:rsidRDefault="00B4240F" w:rsidP="00B4240F">
            <w:pPr>
              <w:keepNext/>
              <w:keepLines/>
              <w:tabs>
                <w:tab w:val="decimal" w:pos="1015"/>
              </w:tabs>
              <w:spacing w:after="0" w:line="140" w:lineRule="exact"/>
              <w:jc w:val="right"/>
              <w:rPr>
                <w:rFonts w:asciiTheme="minorHAnsi" w:eastAsia="Times New Roman" w:hAnsiTheme="minorHAnsi" w:cs="Arial"/>
                <w:spacing w:val="-2"/>
                <w:position w:val="4"/>
                <w:sz w:val="19"/>
                <w:szCs w:val="19"/>
                <w:lang w:val="hr-HR"/>
              </w:rPr>
            </w:pPr>
            <w:r w:rsidRPr="00DB4DE9">
              <w:rPr>
                <w:rFonts w:asciiTheme="minorHAnsi" w:eastAsia="Times New Roman" w:hAnsiTheme="minorHAnsi" w:cs="Arial"/>
                <w:spacing w:val="-2"/>
                <w:position w:val="4"/>
                <w:sz w:val="19"/>
                <w:szCs w:val="19"/>
                <w:lang w:val="hr-HR"/>
              </w:rPr>
              <w:t>__________</w:t>
            </w:r>
          </w:p>
        </w:tc>
        <w:tc>
          <w:tcPr>
            <w:tcW w:w="679" w:type="pct"/>
            <w:vAlign w:val="bottom"/>
          </w:tcPr>
          <w:p w14:paraId="76FCF8A6" w14:textId="77777777" w:rsidR="00B4240F" w:rsidRPr="00DB4DE9" w:rsidRDefault="00B4240F" w:rsidP="00B4240F">
            <w:pPr>
              <w:keepNext/>
              <w:keepLines/>
              <w:tabs>
                <w:tab w:val="decimal" w:pos="1015"/>
              </w:tabs>
              <w:spacing w:after="0" w:line="140" w:lineRule="exact"/>
              <w:jc w:val="right"/>
              <w:rPr>
                <w:rFonts w:asciiTheme="minorHAnsi" w:eastAsia="Times New Roman" w:hAnsiTheme="minorHAnsi" w:cs="Arial"/>
                <w:spacing w:val="-2"/>
                <w:position w:val="4"/>
                <w:sz w:val="19"/>
                <w:szCs w:val="19"/>
                <w:lang w:val="hr-HR"/>
              </w:rPr>
            </w:pPr>
            <w:r w:rsidRPr="00DB4DE9">
              <w:rPr>
                <w:rFonts w:asciiTheme="minorHAnsi" w:eastAsia="Times New Roman" w:hAnsiTheme="minorHAnsi" w:cs="Arial"/>
                <w:spacing w:val="-2"/>
                <w:position w:val="4"/>
                <w:sz w:val="19"/>
                <w:szCs w:val="19"/>
                <w:lang w:val="hr-HR"/>
              </w:rPr>
              <w:t>__________</w:t>
            </w:r>
          </w:p>
        </w:tc>
      </w:tr>
      <w:tr w:rsidR="00DB7385" w:rsidRPr="00DB4DE9" w14:paraId="79D03460" w14:textId="77777777" w:rsidTr="00DB7385">
        <w:trPr>
          <w:trHeight w:hRule="exact" w:val="328"/>
        </w:trPr>
        <w:tc>
          <w:tcPr>
            <w:tcW w:w="1591" w:type="pct"/>
            <w:vAlign w:val="bottom"/>
          </w:tcPr>
          <w:p w14:paraId="4F691E82" w14:textId="77777777" w:rsidR="00103CAB" w:rsidRPr="00DB4DE9" w:rsidRDefault="00103CAB" w:rsidP="00103CAB">
            <w:pPr>
              <w:tabs>
                <w:tab w:val="right" w:pos="1202"/>
              </w:tabs>
              <w:spacing w:after="0" w:line="240" w:lineRule="auto"/>
              <w:outlineLvl w:val="0"/>
              <w:rPr>
                <w:rFonts w:eastAsia="Times New Roman" w:cs="Arial"/>
                <w:iCs/>
                <w:sz w:val="19"/>
                <w:szCs w:val="19"/>
              </w:rPr>
            </w:pPr>
            <w:r w:rsidRPr="00DB4DE9">
              <w:rPr>
                <w:rFonts w:eastAsia="Times New Roman"/>
                <w:iCs/>
                <w:sz w:val="19"/>
                <w:szCs w:val="19"/>
              </w:rPr>
              <w:t>Total comprehensive income</w:t>
            </w:r>
          </w:p>
        </w:tc>
        <w:tc>
          <w:tcPr>
            <w:tcW w:w="682" w:type="pct"/>
            <w:tcBorders>
              <w:top w:val="nil"/>
              <w:left w:val="nil"/>
              <w:bottom w:val="nil"/>
              <w:right w:val="nil"/>
            </w:tcBorders>
            <w:shd w:val="clear" w:color="auto" w:fill="auto"/>
            <w:vAlign w:val="bottom"/>
          </w:tcPr>
          <w:p w14:paraId="0EC4335A" w14:textId="77777777" w:rsidR="00103CAB" w:rsidRPr="00B4240F" w:rsidRDefault="00103CAB" w:rsidP="00103CAB">
            <w:pPr>
              <w:tabs>
                <w:tab w:val="left" w:pos="1134"/>
                <w:tab w:val="right" w:pos="1202"/>
              </w:tabs>
              <w:spacing w:after="0" w:line="240" w:lineRule="auto"/>
              <w:jc w:val="right"/>
              <w:outlineLvl w:val="0"/>
              <w:rPr>
                <w:rFonts w:eastAsia="Times New Roman"/>
                <w:color w:val="000000"/>
                <w:sz w:val="19"/>
                <w:szCs w:val="19"/>
                <w:lang w:val="en-US"/>
              </w:rPr>
            </w:pPr>
            <w:r w:rsidRPr="00166751">
              <w:rPr>
                <w:rFonts w:asciiTheme="minorHAnsi" w:hAnsiTheme="minorHAnsi" w:cs="Arial"/>
                <w:iCs/>
                <w:sz w:val="19"/>
                <w:szCs w:val="19"/>
                <w:lang w:val="hr-HR"/>
              </w:rPr>
              <w:t>-</w:t>
            </w:r>
          </w:p>
        </w:tc>
        <w:tc>
          <w:tcPr>
            <w:tcW w:w="682" w:type="pct"/>
            <w:tcBorders>
              <w:top w:val="nil"/>
              <w:left w:val="nil"/>
              <w:bottom w:val="nil"/>
              <w:right w:val="nil"/>
            </w:tcBorders>
            <w:shd w:val="clear" w:color="auto" w:fill="auto"/>
            <w:vAlign w:val="bottom"/>
          </w:tcPr>
          <w:p w14:paraId="17F2BA2C" w14:textId="77777777" w:rsidR="00103CAB" w:rsidRPr="00B4240F" w:rsidRDefault="00103CAB" w:rsidP="00103CAB">
            <w:pPr>
              <w:tabs>
                <w:tab w:val="left" w:pos="1134"/>
                <w:tab w:val="right" w:pos="1202"/>
              </w:tabs>
              <w:spacing w:after="0" w:line="240" w:lineRule="auto"/>
              <w:jc w:val="right"/>
              <w:outlineLvl w:val="0"/>
              <w:rPr>
                <w:rFonts w:eastAsia="Times New Roman"/>
                <w:color w:val="000000"/>
                <w:sz w:val="19"/>
                <w:szCs w:val="19"/>
                <w:lang w:val="en-US"/>
              </w:rPr>
            </w:pPr>
            <w:r w:rsidRPr="00166751">
              <w:rPr>
                <w:rFonts w:asciiTheme="minorHAnsi" w:hAnsiTheme="minorHAnsi" w:cs="Arial"/>
                <w:iCs/>
                <w:sz w:val="19"/>
                <w:szCs w:val="19"/>
                <w:lang w:val="hr-HR"/>
              </w:rPr>
              <w:t>-</w:t>
            </w:r>
          </w:p>
        </w:tc>
        <w:tc>
          <w:tcPr>
            <w:tcW w:w="683" w:type="pct"/>
            <w:tcBorders>
              <w:top w:val="nil"/>
              <w:left w:val="nil"/>
              <w:bottom w:val="nil"/>
              <w:right w:val="nil"/>
            </w:tcBorders>
            <w:shd w:val="clear" w:color="auto" w:fill="auto"/>
            <w:vAlign w:val="bottom"/>
          </w:tcPr>
          <w:p w14:paraId="55DCDF7B" w14:textId="66679F0B" w:rsidR="00103CAB" w:rsidRPr="00B4240F" w:rsidRDefault="00C21DE4" w:rsidP="00103CAB">
            <w:pPr>
              <w:tabs>
                <w:tab w:val="left" w:pos="1134"/>
                <w:tab w:val="right" w:pos="1202"/>
              </w:tabs>
              <w:spacing w:after="0" w:line="240" w:lineRule="auto"/>
              <w:jc w:val="right"/>
              <w:outlineLvl w:val="0"/>
              <w:rPr>
                <w:rFonts w:eastAsia="Times New Roman" w:cs="Arial"/>
                <w:iCs/>
                <w:sz w:val="19"/>
                <w:szCs w:val="19"/>
                <w:lang w:val="en-US"/>
              </w:rPr>
            </w:pPr>
            <w:r w:rsidRPr="00C21DE4">
              <w:rPr>
                <w:rFonts w:eastAsia="Times New Roman" w:cs="Arial"/>
                <w:iCs/>
                <w:sz w:val="19"/>
                <w:szCs w:val="19"/>
              </w:rPr>
              <w:t xml:space="preserve">16,019 </w:t>
            </w:r>
          </w:p>
        </w:tc>
        <w:tc>
          <w:tcPr>
            <w:tcW w:w="683" w:type="pct"/>
            <w:tcBorders>
              <w:top w:val="nil"/>
              <w:left w:val="nil"/>
              <w:bottom w:val="nil"/>
              <w:right w:val="nil"/>
            </w:tcBorders>
            <w:shd w:val="clear" w:color="auto" w:fill="auto"/>
            <w:vAlign w:val="bottom"/>
          </w:tcPr>
          <w:p w14:paraId="1576660D" w14:textId="59CB576D" w:rsidR="00103CAB" w:rsidRPr="00B4240F" w:rsidRDefault="00C21DE4" w:rsidP="00103CAB">
            <w:pPr>
              <w:tabs>
                <w:tab w:val="left" w:pos="1134"/>
                <w:tab w:val="right" w:pos="1202"/>
              </w:tabs>
              <w:spacing w:after="0" w:line="240" w:lineRule="auto"/>
              <w:jc w:val="right"/>
              <w:outlineLvl w:val="0"/>
              <w:rPr>
                <w:rFonts w:eastAsia="Times New Roman" w:cs="Arial"/>
                <w:iCs/>
                <w:sz w:val="19"/>
                <w:szCs w:val="19"/>
                <w:lang w:val="en-US"/>
              </w:rPr>
            </w:pPr>
            <w:r w:rsidRPr="00C21DE4">
              <w:rPr>
                <w:rFonts w:eastAsia="Times New Roman" w:cs="Arial"/>
                <w:iCs/>
                <w:sz w:val="19"/>
                <w:szCs w:val="19"/>
              </w:rPr>
              <w:t>175,511</w:t>
            </w:r>
          </w:p>
        </w:tc>
        <w:tc>
          <w:tcPr>
            <w:tcW w:w="679" w:type="pct"/>
            <w:tcBorders>
              <w:top w:val="nil"/>
              <w:left w:val="nil"/>
              <w:bottom w:val="nil"/>
              <w:right w:val="nil"/>
            </w:tcBorders>
            <w:shd w:val="clear" w:color="auto" w:fill="auto"/>
            <w:vAlign w:val="bottom"/>
          </w:tcPr>
          <w:p w14:paraId="7A35B791" w14:textId="2DA05659" w:rsidR="00103CAB" w:rsidRPr="00B4240F" w:rsidRDefault="00C21DE4" w:rsidP="00103CAB">
            <w:pPr>
              <w:tabs>
                <w:tab w:val="left" w:pos="1134"/>
                <w:tab w:val="right" w:pos="1202"/>
              </w:tabs>
              <w:spacing w:after="0" w:line="240" w:lineRule="auto"/>
              <w:jc w:val="right"/>
              <w:outlineLvl w:val="0"/>
              <w:rPr>
                <w:rFonts w:eastAsia="Times New Roman" w:cs="Arial"/>
                <w:b/>
                <w:iCs/>
                <w:sz w:val="19"/>
                <w:szCs w:val="19"/>
                <w:lang w:val="en-US"/>
              </w:rPr>
            </w:pPr>
            <w:r w:rsidRPr="00C21DE4">
              <w:rPr>
                <w:rFonts w:eastAsia="Times New Roman" w:cs="Arial"/>
                <w:b/>
                <w:iCs/>
                <w:sz w:val="19"/>
                <w:szCs w:val="19"/>
              </w:rPr>
              <w:t>191,530</w:t>
            </w:r>
          </w:p>
        </w:tc>
      </w:tr>
      <w:tr w:rsidR="00DB7385" w:rsidRPr="00DB4DE9" w14:paraId="7BD8A4C8" w14:textId="77777777" w:rsidTr="00DB7385">
        <w:trPr>
          <w:trHeight w:val="79"/>
        </w:trPr>
        <w:tc>
          <w:tcPr>
            <w:tcW w:w="1591" w:type="pct"/>
            <w:vAlign w:val="bottom"/>
          </w:tcPr>
          <w:p w14:paraId="43764D12" w14:textId="77777777" w:rsidR="00B4240F" w:rsidRPr="00DB4DE9" w:rsidRDefault="00B4240F" w:rsidP="00B4240F">
            <w:pPr>
              <w:tabs>
                <w:tab w:val="right" w:pos="1202"/>
              </w:tabs>
              <w:spacing w:after="0" w:line="140" w:lineRule="exact"/>
              <w:outlineLvl w:val="0"/>
              <w:rPr>
                <w:rFonts w:eastAsia="Times New Roman" w:cs="Arial"/>
                <w:iCs/>
                <w:sz w:val="19"/>
                <w:szCs w:val="19"/>
              </w:rPr>
            </w:pPr>
          </w:p>
        </w:tc>
        <w:tc>
          <w:tcPr>
            <w:tcW w:w="682" w:type="pct"/>
            <w:vAlign w:val="bottom"/>
          </w:tcPr>
          <w:p w14:paraId="2C7791AB" w14:textId="77777777" w:rsidR="00B4240F" w:rsidRPr="00DB4DE9" w:rsidRDefault="00B4240F" w:rsidP="00B4240F">
            <w:pPr>
              <w:keepNext/>
              <w:keepLines/>
              <w:tabs>
                <w:tab w:val="decimal" w:pos="1015"/>
              </w:tabs>
              <w:spacing w:after="0" w:line="140" w:lineRule="exact"/>
              <w:jc w:val="right"/>
              <w:rPr>
                <w:rFonts w:asciiTheme="minorHAnsi" w:eastAsia="Times New Roman" w:hAnsiTheme="minorHAnsi" w:cs="Arial"/>
                <w:spacing w:val="-2"/>
                <w:position w:val="4"/>
                <w:sz w:val="19"/>
                <w:szCs w:val="19"/>
                <w:lang w:val="hr-HR"/>
              </w:rPr>
            </w:pPr>
            <w:r w:rsidRPr="00DB4DE9">
              <w:rPr>
                <w:rFonts w:asciiTheme="minorHAnsi" w:eastAsia="Times New Roman" w:hAnsiTheme="minorHAnsi" w:cs="Arial"/>
                <w:spacing w:val="-2"/>
                <w:position w:val="4"/>
                <w:sz w:val="19"/>
                <w:szCs w:val="19"/>
                <w:lang w:val="hr-HR"/>
              </w:rPr>
              <w:t>__________</w:t>
            </w:r>
          </w:p>
        </w:tc>
        <w:tc>
          <w:tcPr>
            <w:tcW w:w="682" w:type="pct"/>
            <w:vAlign w:val="bottom"/>
          </w:tcPr>
          <w:p w14:paraId="021C16B4" w14:textId="77777777" w:rsidR="00B4240F" w:rsidRPr="00DB4DE9" w:rsidRDefault="00B4240F" w:rsidP="00B4240F">
            <w:pPr>
              <w:keepNext/>
              <w:keepLines/>
              <w:tabs>
                <w:tab w:val="decimal" w:pos="1015"/>
              </w:tabs>
              <w:spacing w:after="0" w:line="140" w:lineRule="exact"/>
              <w:jc w:val="right"/>
              <w:rPr>
                <w:rFonts w:asciiTheme="minorHAnsi" w:eastAsia="Times New Roman" w:hAnsiTheme="minorHAnsi" w:cs="Arial"/>
                <w:spacing w:val="-2"/>
                <w:position w:val="4"/>
                <w:sz w:val="19"/>
                <w:szCs w:val="19"/>
                <w:lang w:val="hr-HR"/>
              </w:rPr>
            </w:pPr>
            <w:r w:rsidRPr="00DB4DE9">
              <w:rPr>
                <w:rFonts w:asciiTheme="minorHAnsi" w:eastAsia="Times New Roman" w:hAnsiTheme="minorHAnsi" w:cs="Arial"/>
                <w:spacing w:val="-2"/>
                <w:position w:val="4"/>
                <w:sz w:val="19"/>
                <w:szCs w:val="19"/>
                <w:lang w:val="hr-HR"/>
              </w:rPr>
              <w:t>__________</w:t>
            </w:r>
          </w:p>
        </w:tc>
        <w:tc>
          <w:tcPr>
            <w:tcW w:w="683" w:type="pct"/>
            <w:vAlign w:val="bottom"/>
          </w:tcPr>
          <w:p w14:paraId="0A9FB91B" w14:textId="77777777" w:rsidR="00B4240F" w:rsidRPr="00DB4DE9" w:rsidRDefault="00B4240F" w:rsidP="00B4240F">
            <w:pPr>
              <w:keepNext/>
              <w:keepLines/>
              <w:tabs>
                <w:tab w:val="decimal" w:pos="1015"/>
              </w:tabs>
              <w:spacing w:after="0" w:line="140" w:lineRule="exact"/>
              <w:jc w:val="right"/>
              <w:rPr>
                <w:rFonts w:asciiTheme="minorHAnsi" w:eastAsia="Times New Roman" w:hAnsiTheme="minorHAnsi" w:cs="Arial"/>
                <w:spacing w:val="-2"/>
                <w:position w:val="4"/>
                <w:sz w:val="19"/>
                <w:szCs w:val="19"/>
                <w:lang w:val="hr-HR"/>
              </w:rPr>
            </w:pPr>
            <w:r w:rsidRPr="00DB4DE9">
              <w:rPr>
                <w:rFonts w:asciiTheme="minorHAnsi" w:eastAsia="Times New Roman" w:hAnsiTheme="minorHAnsi" w:cs="Arial"/>
                <w:spacing w:val="-2"/>
                <w:position w:val="4"/>
                <w:sz w:val="19"/>
                <w:szCs w:val="19"/>
                <w:lang w:val="hr-HR"/>
              </w:rPr>
              <w:t>__________</w:t>
            </w:r>
          </w:p>
        </w:tc>
        <w:tc>
          <w:tcPr>
            <w:tcW w:w="683" w:type="pct"/>
            <w:vAlign w:val="bottom"/>
          </w:tcPr>
          <w:p w14:paraId="2C8CFFC1" w14:textId="77777777" w:rsidR="00B4240F" w:rsidRPr="00DB4DE9" w:rsidRDefault="00B4240F" w:rsidP="00B4240F">
            <w:pPr>
              <w:keepNext/>
              <w:keepLines/>
              <w:tabs>
                <w:tab w:val="decimal" w:pos="1015"/>
              </w:tabs>
              <w:spacing w:after="0" w:line="140" w:lineRule="exact"/>
              <w:jc w:val="right"/>
              <w:rPr>
                <w:rFonts w:asciiTheme="minorHAnsi" w:eastAsia="Times New Roman" w:hAnsiTheme="minorHAnsi" w:cs="Arial"/>
                <w:spacing w:val="-2"/>
                <w:position w:val="4"/>
                <w:sz w:val="19"/>
                <w:szCs w:val="19"/>
                <w:lang w:val="hr-HR"/>
              </w:rPr>
            </w:pPr>
            <w:r w:rsidRPr="00DB4DE9">
              <w:rPr>
                <w:rFonts w:asciiTheme="minorHAnsi" w:eastAsia="Times New Roman" w:hAnsiTheme="minorHAnsi" w:cs="Arial"/>
                <w:spacing w:val="-2"/>
                <w:position w:val="4"/>
                <w:sz w:val="19"/>
                <w:szCs w:val="19"/>
                <w:lang w:val="hr-HR"/>
              </w:rPr>
              <w:t>__________</w:t>
            </w:r>
          </w:p>
        </w:tc>
        <w:tc>
          <w:tcPr>
            <w:tcW w:w="679" w:type="pct"/>
            <w:vAlign w:val="bottom"/>
          </w:tcPr>
          <w:p w14:paraId="383C4966" w14:textId="77777777" w:rsidR="00B4240F" w:rsidRPr="00DB4DE9" w:rsidRDefault="00B4240F" w:rsidP="00B4240F">
            <w:pPr>
              <w:keepNext/>
              <w:keepLines/>
              <w:tabs>
                <w:tab w:val="decimal" w:pos="1015"/>
              </w:tabs>
              <w:spacing w:after="0" w:line="140" w:lineRule="exact"/>
              <w:jc w:val="right"/>
              <w:rPr>
                <w:rFonts w:asciiTheme="minorHAnsi" w:eastAsia="Times New Roman" w:hAnsiTheme="minorHAnsi" w:cs="Arial"/>
                <w:spacing w:val="-2"/>
                <w:position w:val="4"/>
                <w:sz w:val="19"/>
                <w:szCs w:val="19"/>
                <w:lang w:val="hr-HR"/>
              </w:rPr>
            </w:pPr>
            <w:r w:rsidRPr="00DB4DE9">
              <w:rPr>
                <w:rFonts w:asciiTheme="minorHAnsi" w:eastAsia="Times New Roman" w:hAnsiTheme="minorHAnsi" w:cs="Arial"/>
                <w:spacing w:val="-2"/>
                <w:position w:val="4"/>
                <w:sz w:val="19"/>
                <w:szCs w:val="19"/>
                <w:lang w:val="hr-HR"/>
              </w:rPr>
              <w:t>__________</w:t>
            </w:r>
          </w:p>
        </w:tc>
      </w:tr>
      <w:tr w:rsidR="00DB7385" w:rsidRPr="00DB4DE9" w14:paraId="663D3B9E" w14:textId="77777777" w:rsidTr="00DB7385">
        <w:trPr>
          <w:trHeight w:val="389"/>
        </w:trPr>
        <w:tc>
          <w:tcPr>
            <w:tcW w:w="1591" w:type="pct"/>
            <w:vAlign w:val="bottom"/>
          </w:tcPr>
          <w:p w14:paraId="41368331" w14:textId="77777777" w:rsidR="00B4240F" w:rsidRPr="00DB4DE9" w:rsidRDefault="00B4240F" w:rsidP="00B4240F">
            <w:pPr>
              <w:tabs>
                <w:tab w:val="right" w:pos="1202"/>
              </w:tabs>
              <w:spacing w:after="0" w:line="240" w:lineRule="auto"/>
              <w:outlineLvl w:val="0"/>
              <w:rPr>
                <w:rFonts w:eastAsia="Times New Roman" w:cs="Arial"/>
                <w:iCs/>
                <w:sz w:val="19"/>
                <w:szCs w:val="19"/>
              </w:rPr>
            </w:pPr>
            <w:r w:rsidRPr="00DB4DE9">
              <w:rPr>
                <w:rFonts w:eastAsia="Times New Roman"/>
                <w:iCs/>
                <w:sz w:val="19"/>
                <w:szCs w:val="19"/>
              </w:rPr>
              <w:t xml:space="preserve">Capital paid-in from the State Budget </w:t>
            </w:r>
            <w:r w:rsidRPr="00DB4DE9">
              <w:rPr>
                <w:rFonts w:eastAsia="Times New Roman" w:cs="Arial"/>
                <w:iCs/>
                <w:sz w:val="19"/>
                <w:szCs w:val="19"/>
              </w:rPr>
              <w:t xml:space="preserve"> </w:t>
            </w:r>
          </w:p>
        </w:tc>
        <w:tc>
          <w:tcPr>
            <w:tcW w:w="682" w:type="pct"/>
            <w:tcBorders>
              <w:top w:val="nil"/>
              <w:left w:val="nil"/>
              <w:bottom w:val="nil"/>
              <w:right w:val="nil"/>
            </w:tcBorders>
            <w:shd w:val="clear" w:color="auto" w:fill="auto"/>
            <w:vAlign w:val="bottom"/>
          </w:tcPr>
          <w:p w14:paraId="6353D66D" w14:textId="7B1D66E6" w:rsidR="00B4240F" w:rsidRPr="00B4240F" w:rsidRDefault="00C21DE4" w:rsidP="00B4240F">
            <w:pPr>
              <w:tabs>
                <w:tab w:val="left" w:pos="1134"/>
                <w:tab w:val="right" w:pos="1202"/>
              </w:tabs>
              <w:spacing w:after="0" w:line="240" w:lineRule="auto"/>
              <w:jc w:val="right"/>
              <w:outlineLvl w:val="0"/>
              <w:rPr>
                <w:rFonts w:eastAsia="Times New Roman" w:cs="Arial"/>
                <w:iCs/>
                <w:sz w:val="19"/>
                <w:szCs w:val="19"/>
                <w:lang w:val="en-US"/>
              </w:rPr>
            </w:pPr>
            <w:r w:rsidRPr="00C21DE4">
              <w:rPr>
                <w:rFonts w:asciiTheme="minorHAnsi" w:hAnsiTheme="minorHAnsi" w:cs="Arial"/>
                <w:iCs/>
                <w:sz w:val="19"/>
                <w:szCs w:val="19"/>
                <w:lang w:val="hr-HR"/>
              </w:rPr>
              <w:t>25,000</w:t>
            </w:r>
          </w:p>
        </w:tc>
        <w:tc>
          <w:tcPr>
            <w:tcW w:w="682" w:type="pct"/>
            <w:tcBorders>
              <w:top w:val="nil"/>
              <w:left w:val="nil"/>
              <w:bottom w:val="nil"/>
              <w:right w:val="nil"/>
            </w:tcBorders>
            <w:shd w:val="clear" w:color="auto" w:fill="auto"/>
            <w:vAlign w:val="bottom"/>
          </w:tcPr>
          <w:p w14:paraId="2255F575" w14:textId="77777777" w:rsidR="00B4240F" w:rsidRPr="00B4240F" w:rsidRDefault="00B4240F" w:rsidP="00B4240F">
            <w:pPr>
              <w:tabs>
                <w:tab w:val="left" w:pos="1134"/>
                <w:tab w:val="right" w:pos="1202"/>
              </w:tabs>
              <w:spacing w:after="0" w:line="240" w:lineRule="auto"/>
              <w:jc w:val="right"/>
              <w:outlineLvl w:val="0"/>
              <w:rPr>
                <w:rFonts w:eastAsia="Times New Roman" w:cs="Arial"/>
                <w:iCs/>
                <w:sz w:val="19"/>
                <w:szCs w:val="19"/>
                <w:lang w:val="en-US"/>
              </w:rPr>
            </w:pPr>
            <w:r w:rsidRPr="00166751">
              <w:rPr>
                <w:rFonts w:asciiTheme="minorHAnsi" w:hAnsiTheme="minorHAnsi" w:cs="Arial"/>
                <w:iCs/>
                <w:sz w:val="19"/>
                <w:szCs w:val="19"/>
                <w:lang w:val="hr-HR"/>
              </w:rPr>
              <w:t>-</w:t>
            </w:r>
          </w:p>
        </w:tc>
        <w:tc>
          <w:tcPr>
            <w:tcW w:w="683" w:type="pct"/>
            <w:tcBorders>
              <w:top w:val="nil"/>
              <w:left w:val="nil"/>
              <w:bottom w:val="nil"/>
              <w:right w:val="nil"/>
            </w:tcBorders>
            <w:shd w:val="clear" w:color="auto" w:fill="auto"/>
            <w:vAlign w:val="bottom"/>
          </w:tcPr>
          <w:p w14:paraId="56B64585" w14:textId="77777777" w:rsidR="00B4240F" w:rsidRPr="00B4240F" w:rsidRDefault="00B4240F" w:rsidP="00B4240F">
            <w:pPr>
              <w:tabs>
                <w:tab w:val="left" w:pos="1134"/>
                <w:tab w:val="right" w:pos="1202"/>
              </w:tabs>
              <w:spacing w:after="0" w:line="240" w:lineRule="auto"/>
              <w:jc w:val="right"/>
              <w:outlineLvl w:val="0"/>
              <w:rPr>
                <w:rFonts w:eastAsia="Times New Roman" w:cs="Arial"/>
                <w:iCs/>
                <w:sz w:val="19"/>
                <w:szCs w:val="19"/>
                <w:lang w:val="en-US"/>
              </w:rPr>
            </w:pPr>
            <w:r w:rsidRPr="00166751">
              <w:rPr>
                <w:rFonts w:asciiTheme="minorHAnsi" w:hAnsiTheme="minorHAnsi" w:cs="Arial"/>
                <w:iCs/>
                <w:sz w:val="19"/>
                <w:szCs w:val="19"/>
                <w:lang w:val="hr-HR"/>
              </w:rPr>
              <w:t>-</w:t>
            </w:r>
          </w:p>
        </w:tc>
        <w:tc>
          <w:tcPr>
            <w:tcW w:w="683" w:type="pct"/>
            <w:tcBorders>
              <w:top w:val="nil"/>
              <w:left w:val="nil"/>
              <w:bottom w:val="nil"/>
              <w:right w:val="nil"/>
            </w:tcBorders>
            <w:shd w:val="clear" w:color="auto" w:fill="auto"/>
            <w:vAlign w:val="bottom"/>
          </w:tcPr>
          <w:p w14:paraId="2995EC1D" w14:textId="77777777" w:rsidR="00B4240F" w:rsidRPr="00B4240F" w:rsidRDefault="00B4240F" w:rsidP="00B4240F">
            <w:pPr>
              <w:tabs>
                <w:tab w:val="left" w:pos="1134"/>
                <w:tab w:val="right" w:pos="1202"/>
              </w:tabs>
              <w:spacing w:after="0" w:line="240" w:lineRule="auto"/>
              <w:jc w:val="right"/>
              <w:outlineLvl w:val="0"/>
              <w:rPr>
                <w:rFonts w:eastAsia="Times New Roman" w:cs="Arial"/>
                <w:iCs/>
                <w:sz w:val="19"/>
                <w:szCs w:val="19"/>
                <w:lang w:val="en-US"/>
              </w:rPr>
            </w:pPr>
            <w:r w:rsidRPr="00166751">
              <w:rPr>
                <w:rFonts w:asciiTheme="minorHAnsi" w:hAnsiTheme="minorHAnsi" w:cs="Arial"/>
                <w:iCs/>
                <w:sz w:val="19"/>
                <w:szCs w:val="19"/>
                <w:lang w:val="hr-HR"/>
              </w:rPr>
              <w:t>-</w:t>
            </w:r>
          </w:p>
        </w:tc>
        <w:tc>
          <w:tcPr>
            <w:tcW w:w="679" w:type="pct"/>
            <w:tcBorders>
              <w:top w:val="nil"/>
              <w:left w:val="nil"/>
              <w:bottom w:val="nil"/>
              <w:right w:val="nil"/>
            </w:tcBorders>
            <w:shd w:val="clear" w:color="auto" w:fill="auto"/>
            <w:vAlign w:val="bottom"/>
          </w:tcPr>
          <w:p w14:paraId="778FE47B" w14:textId="32018C34" w:rsidR="00B4240F" w:rsidRPr="00B4240F" w:rsidRDefault="00C21DE4" w:rsidP="00B4240F">
            <w:pPr>
              <w:tabs>
                <w:tab w:val="left" w:pos="1134"/>
                <w:tab w:val="right" w:pos="1202"/>
              </w:tabs>
              <w:spacing w:after="0" w:line="240" w:lineRule="auto"/>
              <w:jc w:val="right"/>
              <w:outlineLvl w:val="0"/>
              <w:rPr>
                <w:rFonts w:eastAsia="Times New Roman" w:cs="Arial"/>
                <w:b/>
                <w:iCs/>
                <w:sz w:val="19"/>
                <w:szCs w:val="19"/>
                <w:lang w:val="en-US"/>
              </w:rPr>
            </w:pPr>
            <w:r w:rsidRPr="00C21DE4">
              <w:rPr>
                <w:rFonts w:asciiTheme="minorHAnsi" w:hAnsiTheme="minorHAnsi" w:cs="Arial"/>
                <w:b/>
                <w:iCs/>
                <w:sz w:val="19"/>
                <w:szCs w:val="19"/>
                <w:lang w:val="hr-HR"/>
              </w:rPr>
              <w:t>25,000</w:t>
            </w:r>
          </w:p>
        </w:tc>
      </w:tr>
      <w:tr w:rsidR="00DB7385" w:rsidRPr="00DB4DE9" w14:paraId="7653B1CB" w14:textId="77777777" w:rsidTr="00DB7385">
        <w:trPr>
          <w:trHeight w:val="75"/>
        </w:trPr>
        <w:tc>
          <w:tcPr>
            <w:tcW w:w="1591" w:type="pct"/>
            <w:vAlign w:val="bottom"/>
          </w:tcPr>
          <w:p w14:paraId="5624FCD5" w14:textId="77777777" w:rsidR="00103CAB" w:rsidRPr="00DB4DE9" w:rsidRDefault="00103CAB" w:rsidP="00103CAB">
            <w:pPr>
              <w:tabs>
                <w:tab w:val="right" w:pos="1202"/>
              </w:tabs>
              <w:spacing w:after="0" w:line="240" w:lineRule="auto"/>
              <w:outlineLvl w:val="0"/>
              <w:rPr>
                <w:rFonts w:eastAsia="Times New Roman" w:cs="Arial"/>
                <w:i/>
                <w:iCs/>
                <w:sz w:val="19"/>
                <w:szCs w:val="19"/>
              </w:rPr>
            </w:pPr>
            <w:r w:rsidRPr="00DB4DE9">
              <w:rPr>
                <w:rFonts w:eastAsia="Times New Roman"/>
                <w:iCs/>
                <w:sz w:val="19"/>
                <w:szCs w:val="19"/>
              </w:rPr>
              <w:t xml:space="preserve">Transfer of profit </w:t>
            </w:r>
            <w:r w:rsidRPr="00DB4DE9">
              <w:rPr>
                <w:rFonts w:eastAsia="Times New Roman" w:cs="Arial"/>
                <w:iCs/>
                <w:sz w:val="19"/>
                <w:szCs w:val="19"/>
              </w:rPr>
              <w:t>201</w:t>
            </w:r>
            <w:r>
              <w:rPr>
                <w:rFonts w:eastAsia="Times New Roman" w:cs="Arial"/>
                <w:iCs/>
                <w:sz w:val="19"/>
                <w:szCs w:val="19"/>
              </w:rPr>
              <w:t>6</w:t>
            </w:r>
            <w:r w:rsidRPr="00DB4DE9">
              <w:rPr>
                <w:rFonts w:eastAsia="Times New Roman" w:cs="Arial"/>
                <w:iCs/>
                <w:sz w:val="19"/>
                <w:szCs w:val="19"/>
              </w:rPr>
              <w:t xml:space="preserve"> </w:t>
            </w:r>
            <w:r w:rsidRPr="00DB4DE9">
              <w:rPr>
                <w:rFonts w:eastAsia="Times New Roman"/>
                <w:iCs/>
                <w:sz w:val="19"/>
                <w:szCs w:val="19"/>
              </w:rPr>
              <w:t xml:space="preserve"> to retained earnings</w:t>
            </w:r>
          </w:p>
        </w:tc>
        <w:tc>
          <w:tcPr>
            <w:tcW w:w="682" w:type="pct"/>
            <w:tcBorders>
              <w:top w:val="nil"/>
              <w:left w:val="nil"/>
              <w:bottom w:val="nil"/>
              <w:right w:val="nil"/>
            </w:tcBorders>
            <w:shd w:val="clear" w:color="auto" w:fill="auto"/>
            <w:vAlign w:val="bottom"/>
          </w:tcPr>
          <w:p w14:paraId="64044873" w14:textId="77777777" w:rsidR="00103CAB" w:rsidRPr="00B4240F" w:rsidRDefault="00103CAB" w:rsidP="00103CAB">
            <w:pPr>
              <w:tabs>
                <w:tab w:val="left" w:pos="1134"/>
                <w:tab w:val="right" w:pos="1202"/>
              </w:tabs>
              <w:spacing w:after="0" w:line="240" w:lineRule="auto"/>
              <w:jc w:val="right"/>
              <w:outlineLvl w:val="0"/>
              <w:rPr>
                <w:rFonts w:eastAsia="Times New Roman" w:cs="Arial"/>
                <w:iCs/>
                <w:sz w:val="19"/>
                <w:szCs w:val="19"/>
                <w:lang w:val="en-US"/>
              </w:rPr>
            </w:pPr>
            <w:r>
              <w:rPr>
                <w:rFonts w:eastAsia="Times New Roman" w:cs="Arial"/>
                <w:iCs/>
                <w:sz w:val="19"/>
                <w:szCs w:val="19"/>
                <w:lang w:val="en-US"/>
              </w:rPr>
              <w:t>-</w:t>
            </w:r>
          </w:p>
        </w:tc>
        <w:tc>
          <w:tcPr>
            <w:tcW w:w="682" w:type="pct"/>
            <w:tcBorders>
              <w:top w:val="nil"/>
              <w:left w:val="nil"/>
              <w:bottom w:val="nil"/>
              <w:right w:val="nil"/>
            </w:tcBorders>
            <w:shd w:val="clear" w:color="auto" w:fill="auto"/>
            <w:vAlign w:val="bottom"/>
          </w:tcPr>
          <w:p w14:paraId="135C5226" w14:textId="6183C3B8" w:rsidR="00103CAB" w:rsidRPr="00B4240F" w:rsidRDefault="00C21DE4" w:rsidP="00103CAB">
            <w:pPr>
              <w:tabs>
                <w:tab w:val="left" w:pos="1134"/>
                <w:tab w:val="right" w:pos="1202"/>
              </w:tabs>
              <w:spacing w:after="0" w:line="240" w:lineRule="auto"/>
              <w:jc w:val="right"/>
              <w:outlineLvl w:val="0"/>
              <w:rPr>
                <w:rFonts w:eastAsia="Times New Roman" w:cs="Arial"/>
                <w:iCs/>
                <w:sz w:val="19"/>
                <w:szCs w:val="19"/>
                <w:lang w:val="en-US"/>
              </w:rPr>
            </w:pPr>
            <w:r w:rsidRPr="00C21DE4">
              <w:rPr>
                <w:rFonts w:eastAsia="Times New Roman"/>
                <w:color w:val="000000"/>
                <w:sz w:val="19"/>
                <w:szCs w:val="19"/>
              </w:rPr>
              <w:t>313,525</w:t>
            </w:r>
          </w:p>
        </w:tc>
        <w:tc>
          <w:tcPr>
            <w:tcW w:w="683" w:type="pct"/>
            <w:tcBorders>
              <w:top w:val="nil"/>
              <w:left w:val="nil"/>
              <w:bottom w:val="nil"/>
              <w:right w:val="nil"/>
            </w:tcBorders>
            <w:shd w:val="clear" w:color="auto" w:fill="auto"/>
            <w:vAlign w:val="bottom"/>
          </w:tcPr>
          <w:p w14:paraId="57C844A2" w14:textId="16F8457C" w:rsidR="00103CAB" w:rsidRPr="00413ADD" w:rsidRDefault="00C21DE4" w:rsidP="00103CAB">
            <w:pPr>
              <w:tabs>
                <w:tab w:val="left" w:pos="1134"/>
                <w:tab w:val="right" w:pos="1202"/>
              </w:tabs>
              <w:spacing w:after="0" w:line="240" w:lineRule="auto"/>
              <w:jc w:val="right"/>
              <w:outlineLvl w:val="0"/>
              <w:rPr>
                <w:rFonts w:eastAsia="Times New Roman" w:cs="Arial"/>
                <w:iCs/>
                <w:sz w:val="19"/>
                <w:szCs w:val="19"/>
                <w:lang w:val="en-US"/>
              </w:rPr>
            </w:pPr>
            <w:r>
              <w:rPr>
                <w:rFonts w:eastAsia="Times New Roman"/>
                <w:color w:val="000000"/>
                <w:sz w:val="19"/>
                <w:szCs w:val="19"/>
              </w:rPr>
              <w:t>-</w:t>
            </w:r>
          </w:p>
        </w:tc>
        <w:tc>
          <w:tcPr>
            <w:tcW w:w="683" w:type="pct"/>
            <w:tcBorders>
              <w:top w:val="nil"/>
              <w:left w:val="nil"/>
              <w:bottom w:val="nil"/>
              <w:right w:val="nil"/>
            </w:tcBorders>
            <w:shd w:val="clear" w:color="auto" w:fill="auto"/>
            <w:vAlign w:val="bottom"/>
          </w:tcPr>
          <w:p w14:paraId="38FDE9F9" w14:textId="0A4BCAE3" w:rsidR="00103CAB" w:rsidRPr="00B4240F" w:rsidRDefault="00C21DE4" w:rsidP="00103CAB">
            <w:pPr>
              <w:tabs>
                <w:tab w:val="left" w:pos="1134"/>
                <w:tab w:val="right" w:pos="1202"/>
              </w:tabs>
              <w:spacing w:after="0" w:line="240" w:lineRule="auto"/>
              <w:jc w:val="right"/>
              <w:outlineLvl w:val="0"/>
              <w:rPr>
                <w:rFonts w:eastAsia="Times New Roman" w:cs="Arial"/>
                <w:iCs/>
                <w:sz w:val="19"/>
                <w:szCs w:val="19"/>
                <w:lang w:val="en-US"/>
              </w:rPr>
            </w:pPr>
            <w:r w:rsidRPr="00C21DE4">
              <w:rPr>
                <w:rFonts w:eastAsia="Times New Roman"/>
                <w:color w:val="000000"/>
                <w:sz w:val="19"/>
                <w:szCs w:val="19"/>
              </w:rPr>
              <w:t>(313,525)</w:t>
            </w:r>
            <w:r w:rsidRPr="00C21DE4" w:rsidDel="00F616C4">
              <w:rPr>
                <w:rFonts w:eastAsia="Times New Roman"/>
                <w:color w:val="000000"/>
                <w:sz w:val="19"/>
                <w:szCs w:val="19"/>
              </w:rPr>
              <w:t xml:space="preserve"> </w:t>
            </w:r>
          </w:p>
        </w:tc>
        <w:tc>
          <w:tcPr>
            <w:tcW w:w="679" w:type="pct"/>
            <w:tcBorders>
              <w:top w:val="nil"/>
              <w:left w:val="nil"/>
              <w:bottom w:val="nil"/>
              <w:right w:val="nil"/>
            </w:tcBorders>
            <w:shd w:val="clear" w:color="auto" w:fill="auto"/>
            <w:vAlign w:val="bottom"/>
          </w:tcPr>
          <w:p w14:paraId="0005B740" w14:textId="77777777" w:rsidR="00103CAB" w:rsidRPr="00B4240F" w:rsidRDefault="00103CAB" w:rsidP="00103CAB">
            <w:pPr>
              <w:tabs>
                <w:tab w:val="left" w:pos="1134"/>
                <w:tab w:val="right" w:pos="1202"/>
              </w:tabs>
              <w:spacing w:after="0" w:line="240" w:lineRule="auto"/>
              <w:jc w:val="right"/>
              <w:outlineLvl w:val="0"/>
              <w:rPr>
                <w:rFonts w:eastAsia="Times New Roman" w:cs="Arial"/>
                <w:b/>
                <w:iCs/>
                <w:sz w:val="19"/>
                <w:szCs w:val="19"/>
                <w:lang w:val="en-US"/>
              </w:rPr>
            </w:pPr>
            <w:r w:rsidRPr="00166751">
              <w:rPr>
                <w:rFonts w:asciiTheme="minorHAnsi" w:hAnsiTheme="minorHAnsi" w:cs="Arial"/>
                <w:b/>
                <w:iCs/>
                <w:sz w:val="19"/>
                <w:szCs w:val="19"/>
                <w:lang w:val="hr-HR"/>
              </w:rPr>
              <w:t>-</w:t>
            </w:r>
          </w:p>
        </w:tc>
      </w:tr>
      <w:tr w:rsidR="00DB7385" w:rsidRPr="00DB4DE9" w14:paraId="2BD6BAB8" w14:textId="77777777" w:rsidTr="00DB7385">
        <w:trPr>
          <w:trHeight w:val="75"/>
        </w:trPr>
        <w:tc>
          <w:tcPr>
            <w:tcW w:w="1591" w:type="pct"/>
            <w:vAlign w:val="bottom"/>
          </w:tcPr>
          <w:p w14:paraId="03D8A4A6" w14:textId="77777777" w:rsidR="00B4240F" w:rsidRPr="00DB4DE9" w:rsidRDefault="00B4240F" w:rsidP="00B4240F">
            <w:pPr>
              <w:tabs>
                <w:tab w:val="right" w:pos="1202"/>
              </w:tabs>
              <w:spacing w:after="0" w:line="140" w:lineRule="exact"/>
              <w:outlineLvl w:val="0"/>
              <w:rPr>
                <w:rFonts w:eastAsia="Times New Roman" w:cs="Arial"/>
                <w:iCs/>
                <w:sz w:val="19"/>
                <w:szCs w:val="19"/>
              </w:rPr>
            </w:pPr>
          </w:p>
        </w:tc>
        <w:tc>
          <w:tcPr>
            <w:tcW w:w="682" w:type="pct"/>
            <w:vAlign w:val="bottom"/>
          </w:tcPr>
          <w:p w14:paraId="293124EF" w14:textId="77777777" w:rsidR="00B4240F" w:rsidRPr="00DB4DE9" w:rsidRDefault="00B4240F" w:rsidP="00B4240F">
            <w:pPr>
              <w:keepNext/>
              <w:keepLines/>
              <w:tabs>
                <w:tab w:val="decimal" w:pos="1015"/>
              </w:tabs>
              <w:spacing w:after="0" w:line="140" w:lineRule="exact"/>
              <w:jc w:val="right"/>
              <w:rPr>
                <w:rFonts w:asciiTheme="minorHAnsi" w:eastAsia="Times New Roman" w:hAnsiTheme="minorHAnsi" w:cs="Arial"/>
                <w:spacing w:val="-2"/>
                <w:position w:val="4"/>
                <w:sz w:val="19"/>
                <w:szCs w:val="19"/>
                <w:lang w:val="hr-HR"/>
              </w:rPr>
            </w:pPr>
            <w:r w:rsidRPr="00DB4DE9">
              <w:rPr>
                <w:rFonts w:asciiTheme="minorHAnsi" w:eastAsia="Times New Roman" w:hAnsiTheme="minorHAnsi" w:cs="Arial"/>
                <w:spacing w:val="-2"/>
                <w:position w:val="4"/>
                <w:sz w:val="19"/>
                <w:szCs w:val="19"/>
                <w:lang w:val="hr-HR"/>
              </w:rPr>
              <w:t>__________</w:t>
            </w:r>
          </w:p>
        </w:tc>
        <w:tc>
          <w:tcPr>
            <w:tcW w:w="682" w:type="pct"/>
            <w:vAlign w:val="bottom"/>
          </w:tcPr>
          <w:p w14:paraId="5D62BA3E" w14:textId="77777777" w:rsidR="00B4240F" w:rsidRPr="00DB4DE9" w:rsidRDefault="00B4240F" w:rsidP="00B4240F">
            <w:pPr>
              <w:keepNext/>
              <w:keepLines/>
              <w:tabs>
                <w:tab w:val="decimal" w:pos="1015"/>
              </w:tabs>
              <w:spacing w:after="0" w:line="140" w:lineRule="exact"/>
              <w:jc w:val="right"/>
              <w:rPr>
                <w:rFonts w:asciiTheme="minorHAnsi" w:eastAsia="Times New Roman" w:hAnsiTheme="minorHAnsi" w:cs="Arial"/>
                <w:spacing w:val="-2"/>
                <w:position w:val="4"/>
                <w:sz w:val="19"/>
                <w:szCs w:val="19"/>
                <w:lang w:val="hr-HR"/>
              </w:rPr>
            </w:pPr>
            <w:r w:rsidRPr="00DB4DE9">
              <w:rPr>
                <w:rFonts w:asciiTheme="minorHAnsi" w:eastAsia="Times New Roman" w:hAnsiTheme="minorHAnsi" w:cs="Arial"/>
                <w:spacing w:val="-2"/>
                <w:position w:val="4"/>
                <w:sz w:val="19"/>
                <w:szCs w:val="19"/>
                <w:lang w:val="hr-HR"/>
              </w:rPr>
              <w:t>__________</w:t>
            </w:r>
          </w:p>
        </w:tc>
        <w:tc>
          <w:tcPr>
            <w:tcW w:w="683" w:type="pct"/>
            <w:vAlign w:val="bottom"/>
          </w:tcPr>
          <w:p w14:paraId="2F8FB910" w14:textId="77777777" w:rsidR="00B4240F" w:rsidRPr="00DB4DE9" w:rsidRDefault="00B4240F" w:rsidP="00B4240F">
            <w:pPr>
              <w:keepNext/>
              <w:keepLines/>
              <w:tabs>
                <w:tab w:val="decimal" w:pos="1015"/>
              </w:tabs>
              <w:spacing w:after="0" w:line="140" w:lineRule="exact"/>
              <w:jc w:val="right"/>
              <w:rPr>
                <w:rFonts w:asciiTheme="minorHAnsi" w:eastAsia="Times New Roman" w:hAnsiTheme="minorHAnsi" w:cs="Arial"/>
                <w:spacing w:val="-2"/>
                <w:position w:val="4"/>
                <w:sz w:val="19"/>
                <w:szCs w:val="19"/>
                <w:lang w:val="hr-HR"/>
              </w:rPr>
            </w:pPr>
            <w:r w:rsidRPr="00DB4DE9">
              <w:rPr>
                <w:rFonts w:asciiTheme="minorHAnsi" w:eastAsia="Times New Roman" w:hAnsiTheme="minorHAnsi" w:cs="Arial"/>
                <w:spacing w:val="-2"/>
                <w:position w:val="4"/>
                <w:sz w:val="19"/>
                <w:szCs w:val="19"/>
                <w:lang w:val="hr-HR"/>
              </w:rPr>
              <w:t>__________</w:t>
            </w:r>
          </w:p>
        </w:tc>
        <w:tc>
          <w:tcPr>
            <w:tcW w:w="683" w:type="pct"/>
            <w:vAlign w:val="bottom"/>
          </w:tcPr>
          <w:p w14:paraId="37BB5ACD" w14:textId="77777777" w:rsidR="00B4240F" w:rsidRPr="00DB4DE9" w:rsidRDefault="00B4240F" w:rsidP="00B4240F">
            <w:pPr>
              <w:keepNext/>
              <w:keepLines/>
              <w:tabs>
                <w:tab w:val="decimal" w:pos="1015"/>
              </w:tabs>
              <w:spacing w:after="0" w:line="140" w:lineRule="exact"/>
              <w:jc w:val="right"/>
              <w:rPr>
                <w:rFonts w:asciiTheme="minorHAnsi" w:eastAsia="Times New Roman" w:hAnsiTheme="minorHAnsi" w:cs="Arial"/>
                <w:spacing w:val="-2"/>
                <w:position w:val="4"/>
                <w:sz w:val="19"/>
                <w:szCs w:val="19"/>
                <w:lang w:val="hr-HR"/>
              </w:rPr>
            </w:pPr>
            <w:r w:rsidRPr="00DB4DE9">
              <w:rPr>
                <w:rFonts w:asciiTheme="minorHAnsi" w:eastAsia="Times New Roman" w:hAnsiTheme="minorHAnsi" w:cs="Arial"/>
                <w:spacing w:val="-2"/>
                <w:position w:val="4"/>
                <w:sz w:val="19"/>
                <w:szCs w:val="19"/>
                <w:lang w:val="hr-HR"/>
              </w:rPr>
              <w:t>__________</w:t>
            </w:r>
          </w:p>
        </w:tc>
        <w:tc>
          <w:tcPr>
            <w:tcW w:w="679" w:type="pct"/>
            <w:vAlign w:val="bottom"/>
          </w:tcPr>
          <w:p w14:paraId="299748F5" w14:textId="77777777" w:rsidR="00B4240F" w:rsidRPr="00DB4DE9" w:rsidRDefault="00B4240F" w:rsidP="00B4240F">
            <w:pPr>
              <w:keepNext/>
              <w:keepLines/>
              <w:tabs>
                <w:tab w:val="decimal" w:pos="1015"/>
              </w:tabs>
              <w:spacing w:after="0" w:line="140" w:lineRule="exact"/>
              <w:jc w:val="right"/>
              <w:rPr>
                <w:rFonts w:asciiTheme="minorHAnsi" w:eastAsia="Times New Roman" w:hAnsiTheme="minorHAnsi" w:cs="Arial"/>
                <w:spacing w:val="-2"/>
                <w:position w:val="4"/>
                <w:sz w:val="19"/>
                <w:szCs w:val="19"/>
                <w:lang w:val="hr-HR"/>
              </w:rPr>
            </w:pPr>
            <w:r w:rsidRPr="00DB4DE9">
              <w:rPr>
                <w:rFonts w:asciiTheme="minorHAnsi" w:eastAsia="Times New Roman" w:hAnsiTheme="minorHAnsi" w:cs="Arial"/>
                <w:spacing w:val="-2"/>
                <w:position w:val="4"/>
                <w:sz w:val="19"/>
                <w:szCs w:val="19"/>
                <w:lang w:val="hr-HR"/>
              </w:rPr>
              <w:t>__________</w:t>
            </w:r>
          </w:p>
        </w:tc>
      </w:tr>
      <w:tr w:rsidR="00C21DE4" w:rsidRPr="00DB4DE9" w14:paraId="0E1FE235" w14:textId="77777777" w:rsidTr="00DB7385">
        <w:trPr>
          <w:trHeight w:val="316"/>
        </w:trPr>
        <w:tc>
          <w:tcPr>
            <w:tcW w:w="1591" w:type="pct"/>
            <w:vAlign w:val="bottom"/>
          </w:tcPr>
          <w:p w14:paraId="67C5E4E8" w14:textId="18B32A6D" w:rsidR="00C21DE4" w:rsidRPr="00DB4DE9" w:rsidRDefault="00C21DE4" w:rsidP="008D6EFE">
            <w:pPr>
              <w:tabs>
                <w:tab w:val="right" w:pos="1202"/>
              </w:tabs>
              <w:spacing w:after="0" w:line="240" w:lineRule="auto"/>
              <w:outlineLvl w:val="0"/>
              <w:rPr>
                <w:rFonts w:eastAsia="Times New Roman" w:cs="Arial"/>
                <w:b/>
                <w:iCs/>
                <w:sz w:val="19"/>
                <w:szCs w:val="19"/>
              </w:rPr>
            </w:pPr>
            <w:r w:rsidRPr="00DB4DE9">
              <w:rPr>
                <w:rFonts w:eastAsia="Times New Roman" w:cs="Arial"/>
                <w:b/>
                <w:iCs/>
                <w:sz w:val="19"/>
                <w:szCs w:val="19"/>
              </w:rPr>
              <w:t xml:space="preserve">Balance as of </w:t>
            </w:r>
            <w:r w:rsidRPr="00323C92">
              <w:rPr>
                <w:rFonts w:eastAsia="Times New Roman" w:cs="Arial"/>
                <w:b/>
                <w:iCs/>
                <w:sz w:val="19"/>
                <w:szCs w:val="19"/>
              </w:rPr>
              <w:t xml:space="preserve">30 </w:t>
            </w:r>
            <w:r>
              <w:rPr>
                <w:rFonts w:eastAsia="Times New Roman" w:cs="Arial"/>
                <w:b/>
                <w:iCs/>
                <w:sz w:val="19"/>
                <w:szCs w:val="19"/>
              </w:rPr>
              <w:t>September</w:t>
            </w:r>
            <w:r w:rsidRPr="00323C92">
              <w:rPr>
                <w:rFonts w:eastAsia="Times New Roman" w:cs="Arial"/>
                <w:b/>
                <w:iCs/>
                <w:sz w:val="19"/>
                <w:szCs w:val="19"/>
              </w:rPr>
              <w:t xml:space="preserve"> </w:t>
            </w:r>
            <w:r w:rsidRPr="00DB4DE9">
              <w:rPr>
                <w:rFonts w:eastAsia="Times New Roman" w:cs="Arial"/>
                <w:b/>
                <w:iCs/>
                <w:sz w:val="19"/>
                <w:szCs w:val="19"/>
              </w:rPr>
              <w:t>201</w:t>
            </w:r>
            <w:r>
              <w:rPr>
                <w:rFonts w:eastAsia="Times New Roman" w:cs="Arial"/>
                <w:b/>
                <w:iCs/>
                <w:sz w:val="19"/>
                <w:szCs w:val="19"/>
              </w:rPr>
              <w:t>7</w:t>
            </w:r>
          </w:p>
        </w:tc>
        <w:tc>
          <w:tcPr>
            <w:tcW w:w="682" w:type="pct"/>
            <w:tcBorders>
              <w:top w:val="nil"/>
              <w:left w:val="nil"/>
              <w:bottom w:val="nil"/>
              <w:right w:val="nil"/>
            </w:tcBorders>
            <w:shd w:val="clear" w:color="auto" w:fill="auto"/>
            <w:vAlign w:val="bottom"/>
          </w:tcPr>
          <w:p w14:paraId="2DEB7DBC" w14:textId="4CE77489" w:rsidR="00C21DE4" w:rsidRPr="00B4240F" w:rsidRDefault="00C21DE4" w:rsidP="00C21DE4">
            <w:pPr>
              <w:tabs>
                <w:tab w:val="left" w:pos="1134"/>
                <w:tab w:val="right" w:pos="1202"/>
              </w:tabs>
              <w:spacing w:after="0" w:line="240" w:lineRule="auto"/>
              <w:jc w:val="right"/>
              <w:outlineLvl w:val="0"/>
              <w:rPr>
                <w:rFonts w:eastAsia="Times New Roman" w:cs="Arial"/>
                <w:b/>
                <w:iCs/>
                <w:sz w:val="19"/>
                <w:szCs w:val="19"/>
                <w:lang w:val="en-US"/>
              </w:rPr>
            </w:pPr>
            <w:r w:rsidRPr="00CE0613">
              <w:rPr>
                <w:rFonts w:eastAsia="Times New Roman" w:cs="Arial"/>
                <w:b/>
                <w:iCs/>
                <w:sz w:val="19"/>
                <w:szCs w:val="19"/>
              </w:rPr>
              <w:t>6</w:t>
            </w:r>
            <w:r>
              <w:rPr>
                <w:rFonts w:eastAsia="Times New Roman" w:cs="Arial"/>
                <w:b/>
                <w:iCs/>
                <w:sz w:val="19"/>
                <w:szCs w:val="19"/>
              </w:rPr>
              <w:t>,</w:t>
            </w:r>
            <w:r w:rsidRPr="00CE0613">
              <w:rPr>
                <w:rFonts w:eastAsia="Times New Roman" w:cs="Arial"/>
                <w:b/>
                <w:iCs/>
                <w:sz w:val="19"/>
                <w:szCs w:val="19"/>
              </w:rPr>
              <w:t>984</w:t>
            </w:r>
            <w:r>
              <w:rPr>
                <w:rFonts w:eastAsia="Times New Roman" w:cs="Arial"/>
                <w:b/>
                <w:iCs/>
                <w:sz w:val="19"/>
                <w:szCs w:val="19"/>
              </w:rPr>
              <w:t>,</w:t>
            </w:r>
            <w:r w:rsidRPr="00CE0613">
              <w:rPr>
                <w:rFonts w:eastAsia="Times New Roman" w:cs="Arial"/>
                <w:b/>
                <w:iCs/>
                <w:sz w:val="19"/>
                <w:szCs w:val="19"/>
              </w:rPr>
              <w:t>632</w:t>
            </w:r>
          </w:p>
        </w:tc>
        <w:tc>
          <w:tcPr>
            <w:tcW w:w="682" w:type="pct"/>
            <w:tcBorders>
              <w:top w:val="nil"/>
              <w:left w:val="nil"/>
              <w:bottom w:val="nil"/>
              <w:right w:val="nil"/>
            </w:tcBorders>
            <w:shd w:val="clear" w:color="auto" w:fill="auto"/>
            <w:vAlign w:val="bottom"/>
          </w:tcPr>
          <w:p w14:paraId="3E436CE3" w14:textId="5DF12F09" w:rsidR="00C21DE4" w:rsidRPr="00B4240F" w:rsidRDefault="00C21DE4" w:rsidP="00C21DE4">
            <w:pPr>
              <w:tabs>
                <w:tab w:val="left" w:pos="1134"/>
                <w:tab w:val="right" w:pos="1202"/>
              </w:tabs>
              <w:spacing w:after="0" w:line="240" w:lineRule="auto"/>
              <w:jc w:val="right"/>
              <w:outlineLvl w:val="0"/>
              <w:rPr>
                <w:rFonts w:eastAsia="Times New Roman" w:cs="Arial"/>
                <w:b/>
                <w:iCs/>
                <w:sz w:val="19"/>
                <w:szCs w:val="19"/>
                <w:lang w:val="en-US"/>
              </w:rPr>
            </w:pPr>
            <w:r w:rsidRPr="00CE0613">
              <w:rPr>
                <w:rFonts w:eastAsia="Times New Roman" w:cs="Arial"/>
                <w:b/>
                <w:iCs/>
                <w:sz w:val="19"/>
                <w:szCs w:val="19"/>
              </w:rPr>
              <w:t>2</w:t>
            </w:r>
            <w:r>
              <w:rPr>
                <w:rFonts w:eastAsia="Times New Roman" w:cs="Arial"/>
                <w:b/>
                <w:iCs/>
                <w:sz w:val="19"/>
                <w:szCs w:val="19"/>
              </w:rPr>
              <w:t>,</w:t>
            </w:r>
            <w:r w:rsidRPr="00CE0613">
              <w:rPr>
                <w:rFonts w:eastAsia="Times New Roman" w:cs="Arial"/>
                <w:b/>
                <w:iCs/>
                <w:sz w:val="19"/>
                <w:szCs w:val="19"/>
              </w:rPr>
              <w:t>995</w:t>
            </w:r>
            <w:r>
              <w:rPr>
                <w:rFonts w:eastAsia="Times New Roman" w:cs="Arial"/>
                <w:b/>
                <w:iCs/>
                <w:sz w:val="19"/>
                <w:szCs w:val="19"/>
              </w:rPr>
              <w:t>,</w:t>
            </w:r>
            <w:r w:rsidRPr="00CE0613">
              <w:rPr>
                <w:rFonts w:eastAsia="Times New Roman" w:cs="Arial"/>
                <w:b/>
                <w:iCs/>
                <w:sz w:val="19"/>
                <w:szCs w:val="19"/>
              </w:rPr>
              <w:t>656</w:t>
            </w:r>
          </w:p>
        </w:tc>
        <w:tc>
          <w:tcPr>
            <w:tcW w:w="683" w:type="pct"/>
            <w:tcBorders>
              <w:top w:val="nil"/>
              <w:left w:val="nil"/>
              <w:bottom w:val="nil"/>
              <w:right w:val="nil"/>
            </w:tcBorders>
            <w:shd w:val="clear" w:color="auto" w:fill="auto"/>
            <w:vAlign w:val="bottom"/>
          </w:tcPr>
          <w:p w14:paraId="3BB52744" w14:textId="01E89C21" w:rsidR="00C21DE4" w:rsidRPr="00B4240F" w:rsidRDefault="00C21DE4" w:rsidP="00C21DE4">
            <w:pPr>
              <w:tabs>
                <w:tab w:val="left" w:pos="1134"/>
                <w:tab w:val="right" w:pos="1202"/>
              </w:tabs>
              <w:spacing w:after="0" w:line="240" w:lineRule="auto"/>
              <w:jc w:val="right"/>
              <w:outlineLvl w:val="0"/>
              <w:rPr>
                <w:rFonts w:eastAsia="Times New Roman" w:cs="Arial"/>
                <w:b/>
                <w:iCs/>
                <w:sz w:val="19"/>
                <w:szCs w:val="19"/>
                <w:lang w:val="en-US"/>
              </w:rPr>
            </w:pPr>
            <w:r w:rsidRPr="00CE0613">
              <w:rPr>
                <w:rFonts w:eastAsia="Times New Roman" w:cs="Arial"/>
                <w:b/>
                <w:iCs/>
                <w:sz w:val="19"/>
                <w:szCs w:val="19"/>
              </w:rPr>
              <w:t>86</w:t>
            </w:r>
            <w:r>
              <w:rPr>
                <w:rFonts w:eastAsia="Times New Roman" w:cs="Arial"/>
                <w:b/>
                <w:iCs/>
                <w:sz w:val="19"/>
                <w:szCs w:val="19"/>
              </w:rPr>
              <w:t>,</w:t>
            </w:r>
            <w:r w:rsidRPr="00CE0613">
              <w:rPr>
                <w:rFonts w:eastAsia="Times New Roman" w:cs="Arial"/>
                <w:b/>
                <w:iCs/>
                <w:sz w:val="19"/>
                <w:szCs w:val="19"/>
              </w:rPr>
              <w:t>336</w:t>
            </w:r>
          </w:p>
        </w:tc>
        <w:tc>
          <w:tcPr>
            <w:tcW w:w="683" w:type="pct"/>
            <w:tcBorders>
              <w:top w:val="nil"/>
              <w:left w:val="nil"/>
              <w:bottom w:val="nil"/>
              <w:right w:val="nil"/>
            </w:tcBorders>
            <w:shd w:val="clear" w:color="auto" w:fill="auto"/>
            <w:vAlign w:val="bottom"/>
          </w:tcPr>
          <w:p w14:paraId="2FB03DA3" w14:textId="2C58E060" w:rsidR="00C21DE4" w:rsidRPr="00B4240F" w:rsidRDefault="00C21DE4" w:rsidP="00C21DE4">
            <w:pPr>
              <w:tabs>
                <w:tab w:val="left" w:pos="1134"/>
                <w:tab w:val="right" w:pos="1202"/>
              </w:tabs>
              <w:spacing w:after="0" w:line="240" w:lineRule="auto"/>
              <w:jc w:val="right"/>
              <w:outlineLvl w:val="0"/>
              <w:rPr>
                <w:rFonts w:eastAsia="Times New Roman" w:cs="Arial"/>
                <w:b/>
                <w:iCs/>
                <w:sz w:val="19"/>
                <w:szCs w:val="19"/>
                <w:lang w:val="en-US"/>
              </w:rPr>
            </w:pPr>
            <w:r w:rsidRPr="00CE0613">
              <w:rPr>
                <w:rFonts w:eastAsia="Times New Roman" w:cs="Arial"/>
                <w:b/>
                <w:iCs/>
                <w:sz w:val="19"/>
                <w:szCs w:val="19"/>
              </w:rPr>
              <w:t>175</w:t>
            </w:r>
            <w:r>
              <w:rPr>
                <w:rFonts w:eastAsia="Times New Roman" w:cs="Arial"/>
                <w:b/>
                <w:iCs/>
                <w:sz w:val="19"/>
                <w:szCs w:val="19"/>
              </w:rPr>
              <w:t>,</w:t>
            </w:r>
            <w:r w:rsidRPr="00CE0613">
              <w:rPr>
                <w:rFonts w:eastAsia="Times New Roman" w:cs="Arial"/>
                <w:b/>
                <w:iCs/>
                <w:sz w:val="19"/>
                <w:szCs w:val="19"/>
              </w:rPr>
              <w:t>511</w:t>
            </w:r>
          </w:p>
        </w:tc>
        <w:tc>
          <w:tcPr>
            <w:tcW w:w="679" w:type="pct"/>
            <w:tcBorders>
              <w:top w:val="nil"/>
              <w:left w:val="nil"/>
              <w:bottom w:val="nil"/>
              <w:right w:val="nil"/>
            </w:tcBorders>
            <w:shd w:val="clear" w:color="auto" w:fill="auto"/>
            <w:vAlign w:val="bottom"/>
          </w:tcPr>
          <w:p w14:paraId="17395934" w14:textId="1EC7E79A" w:rsidR="00C21DE4" w:rsidRPr="00B4240F" w:rsidRDefault="00C21DE4" w:rsidP="00C21DE4">
            <w:pPr>
              <w:tabs>
                <w:tab w:val="left" w:pos="1134"/>
                <w:tab w:val="right" w:pos="1202"/>
              </w:tabs>
              <w:spacing w:after="0" w:line="240" w:lineRule="auto"/>
              <w:jc w:val="right"/>
              <w:outlineLvl w:val="0"/>
              <w:rPr>
                <w:rFonts w:eastAsia="Times New Roman" w:cs="Arial"/>
                <w:b/>
                <w:iCs/>
                <w:sz w:val="19"/>
                <w:szCs w:val="19"/>
                <w:lang w:val="en-US"/>
              </w:rPr>
            </w:pPr>
            <w:r w:rsidRPr="00CE0613">
              <w:rPr>
                <w:rFonts w:eastAsia="Times New Roman" w:cs="Arial"/>
                <w:b/>
                <w:iCs/>
                <w:sz w:val="19"/>
                <w:szCs w:val="19"/>
              </w:rPr>
              <w:t>10</w:t>
            </w:r>
            <w:r>
              <w:rPr>
                <w:rFonts w:eastAsia="Times New Roman" w:cs="Arial"/>
                <w:b/>
                <w:iCs/>
                <w:sz w:val="19"/>
                <w:szCs w:val="19"/>
              </w:rPr>
              <w:t>,</w:t>
            </w:r>
            <w:r w:rsidRPr="00CE0613">
              <w:rPr>
                <w:rFonts w:eastAsia="Times New Roman" w:cs="Arial"/>
                <w:b/>
                <w:iCs/>
                <w:sz w:val="19"/>
                <w:szCs w:val="19"/>
              </w:rPr>
              <w:t>242</w:t>
            </w:r>
            <w:r>
              <w:rPr>
                <w:rFonts w:eastAsia="Times New Roman" w:cs="Arial"/>
                <w:b/>
                <w:iCs/>
                <w:sz w:val="19"/>
                <w:szCs w:val="19"/>
              </w:rPr>
              <w:t>,</w:t>
            </w:r>
            <w:r w:rsidRPr="00CE0613">
              <w:rPr>
                <w:rFonts w:eastAsia="Times New Roman" w:cs="Arial"/>
                <w:b/>
                <w:iCs/>
                <w:sz w:val="19"/>
                <w:szCs w:val="19"/>
              </w:rPr>
              <w:t>135</w:t>
            </w:r>
          </w:p>
        </w:tc>
      </w:tr>
      <w:tr w:rsidR="00DB7385" w:rsidRPr="00DB4DE9" w14:paraId="268727BA" w14:textId="77777777" w:rsidTr="00DB7385">
        <w:trPr>
          <w:trHeight w:val="116"/>
        </w:trPr>
        <w:tc>
          <w:tcPr>
            <w:tcW w:w="1591" w:type="pct"/>
          </w:tcPr>
          <w:p w14:paraId="7835B536" w14:textId="77777777" w:rsidR="00B4240F" w:rsidRPr="00DB4DE9" w:rsidRDefault="00B4240F" w:rsidP="00B4240F">
            <w:pPr>
              <w:tabs>
                <w:tab w:val="right" w:pos="1202"/>
              </w:tabs>
              <w:spacing w:after="0" w:line="140" w:lineRule="exact"/>
              <w:jc w:val="right"/>
              <w:outlineLvl w:val="0"/>
              <w:rPr>
                <w:rFonts w:eastAsia="Times New Roman" w:cs="Arial"/>
                <w:iCs/>
                <w:sz w:val="19"/>
                <w:szCs w:val="19"/>
              </w:rPr>
            </w:pPr>
          </w:p>
        </w:tc>
        <w:tc>
          <w:tcPr>
            <w:tcW w:w="682" w:type="pct"/>
            <w:vAlign w:val="bottom"/>
          </w:tcPr>
          <w:p w14:paraId="3F75CE08" w14:textId="77777777" w:rsidR="00B4240F" w:rsidRPr="00DB4DE9" w:rsidRDefault="00B4240F" w:rsidP="00B4240F">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w:t>
            </w:r>
          </w:p>
        </w:tc>
        <w:tc>
          <w:tcPr>
            <w:tcW w:w="682" w:type="pct"/>
            <w:vAlign w:val="bottom"/>
          </w:tcPr>
          <w:p w14:paraId="256DD4A9" w14:textId="77777777" w:rsidR="00B4240F" w:rsidRPr="00DB4DE9" w:rsidRDefault="00B4240F" w:rsidP="00B4240F">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w:t>
            </w:r>
          </w:p>
        </w:tc>
        <w:tc>
          <w:tcPr>
            <w:tcW w:w="683" w:type="pct"/>
            <w:vAlign w:val="bottom"/>
          </w:tcPr>
          <w:p w14:paraId="01842360" w14:textId="77777777" w:rsidR="00B4240F" w:rsidRPr="00DB4DE9" w:rsidRDefault="00B4240F" w:rsidP="00B4240F">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w:t>
            </w:r>
          </w:p>
        </w:tc>
        <w:tc>
          <w:tcPr>
            <w:tcW w:w="683" w:type="pct"/>
            <w:vAlign w:val="bottom"/>
          </w:tcPr>
          <w:p w14:paraId="454DD465" w14:textId="77777777" w:rsidR="00B4240F" w:rsidRPr="00DB4DE9" w:rsidRDefault="00B4240F" w:rsidP="00B4240F">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w:t>
            </w:r>
          </w:p>
        </w:tc>
        <w:tc>
          <w:tcPr>
            <w:tcW w:w="679" w:type="pct"/>
            <w:vAlign w:val="bottom"/>
          </w:tcPr>
          <w:p w14:paraId="55D9FB36" w14:textId="77777777" w:rsidR="00B4240F" w:rsidRPr="00DB4DE9" w:rsidRDefault="00B4240F" w:rsidP="00B4240F">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w:t>
            </w:r>
          </w:p>
        </w:tc>
      </w:tr>
    </w:tbl>
    <w:p w14:paraId="2A0BCDA2" w14:textId="77777777" w:rsidR="00EC1B73" w:rsidRPr="0034501D" w:rsidRDefault="00EC1B73" w:rsidP="00C4266C">
      <w:pPr>
        <w:spacing w:after="0" w:line="240" w:lineRule="auto"/>
        <w:rPr>
          <w:sz w:val="24"/>
          <w:szCs w:val="24"/>
        </w:rPr>
      </w:pPr>
    </w:p>
    <w:p w14:paraId="21DC8922" w14:textId="77777777" w:rsidR="009E66D0" w:rsidRDefault="009E66D0" w:rsidP="00D5213F">
      <w:pPr>
        <w:keepNext/>
        <w:spacing w:after="0" w:line="240" w:lineRule="auto"/>
        <w:jc w:val="both"/>
        <w:rPr>
          <w:rFonts w:ascii="Arial" w:eastAsia="Times New Roman" w:hAnsi="Arial"/>
          <w:sz w:val="19"/>
          <w:szCs w:val="20"/>
        </w:rPr>
      </w:pPr>
    </w:p>
    <w:p w14:paraId="2485A98E" w14:textId="77777777" w:rsidR="009E66D0" w:rsidRDefault="009E66D0" w:rsidP="00D5213F">
      <w:pPr>
        <w:keepNext/>
        <w:spacing w:after="0" w:line="240" w:lineRule="auto"/>
        <w:jc w:val="both"/>
        <w:rPr>
          <w:rFonts w:ascii="Arial" w:eastAsia="Times New Roman" w:hAnsi="Arial"/>
          <w:sz w:val="19"/>
          <w:szCs w:val="20"/>
        </w:rPr>
      </w:pPr>
    </w:p>
    <w:p w14:paraId="36C67C03" w14:textId="77777777" w:rsidR="009E66D0" w:rsidRDefault="009E66D0" w:rsidP="00D5213F">
      <w:pPr>
        <w:keepNext/>
        <w:spacing w:after="0" w:line="240" w:lineRule="auto"/>
        <w:jc w:val="both"/>
        <w:rPr>
          <w:rFonts w:ascii="Arial" w:eastAsia="Times New Roman" w:hAnsi="Arial"/>
          <w:sz w:val="19"/>
          <w:szCs w:val="20"/>
        </w:rPr>
      </w:pPr>
    </w:p>
    <w:p w14:paraId="7790473E" w14:textId="77777777" w:rsidR="00810883" w:rsidRDefault="00D658D4" w:rsidP="00166751">
      <w:pPr>
        <w:spacing w:after="0" w:line="240" w:lineRule="auto"/>
        <w:jc w:val="both"/>
        <w:rPr>
          <w:rFonts w:asciiTheme="minorHAnsi" w:eastAsia="Times New Roman" w:hAnsiTheme="minorHAnsi"/>
        </w:rPr>
      </w:pPr>
      <w:r w:rsidRPr="00D658D4">
        <w:rPr>
          <w:rFonts w:asciiTheme="minorHAnsi" w:eastAsia="Times New Roman" w:hAnsiTheme="minorHAnsi"/>
        </w:rPr>
        <w:t>The accompanying selected notes are an integral part of th</w:t>
      </w:r>
      <w:r w:rsidR="00413ADD">
        <w:rPr>
          <w:rFonts w:asciiTheme="minorHAnsi" w:eastAsia="Times New Roman" w:hAnsiTheme="minorHAnsi"/>
        </w:rPr>
        <w:t>i</w:t>
      </w:r>
      <w:r w:rsidR="00E1249B">
        <w:rPr>
          <w:rFonts w:asciiTheme="minorHAnsi" w:eastAsia="Times New Roman" w:hAnsiTheme="minorHAnsi"/>
        </w:rPr>
        <w:t>s</w:t>
      </w:r>
      <w:r w:rsidRPr="00D658D4">
        <w:rPr>
          <w:rFonts w:asciiTheme="minorHAnsi" w:eastAsia="Times New Roman" w:hAnsiTheme="minorHAnsi"/>
        </w:rPr>
        <w:t xml:space="preserve"> </w:t>
      </w:r>
      <w:r w:rsidR="00413ADD">
        <w:rPr>
          <w:rFonts w:asciiTheme="minorHAnsi" w:eastAsia="Times New Roman" w:hAnsiTheme="minorHAnsi"/>
        </w:rPr>
        <w:t>Statement of Changes in Equity</w:t>
      </w:r>
      <w:r w:rsidRPr="00D658D4">
        <w:rPr>
          <w:rFonts w:asciiTheme="minorHAnsi" w:eastAsia="Times New Roman" w:hAnsiTheme="minorHAnsi"/>
        </w:rPr>
        <w:t>.</w:t>
      </w:r>
    </w:p>
    <w:p w14:paraId="750A12A7" w14:textId="77777777" w:rsidR="0074702A" w:rsidRPr="0034501D" w:rsidRDefault="0074702A" w:rsidP="00C4266C">
      <w:pPr>
        <w:spacing w:after="0" w:line="240" w:lineRule="auto"/>
        <w:rPr>
          <w:sz w:val="24"/>
          <w:szCs w:val="24"/>
        </w:rPr>
      </w:pPr>
    </w:p>
    <w:p w14:paraId="1E7A77B2" w14:textId="77777777" w:rsidR="00C97A45" w:rsidRPr="0034501D" w:rsidRDefault="00C97A45" w:rsidP="00C4266C">
      <w:pPr>
        <w:spacing w:after="0" w:line="240" w:lineRule="auto"/>
        <w:rPr>
          <w:rFonts w:eastAsia="Times New Roman" w:cs="Arial"/>
          <w:bCs/>
          <w:sz w:val="24"/>
          <w:szCs w:val="24"/>
        </w:rPr>
        <w:sectPr w:rsidR="00C97A45" w:rsidRPr="0034501D" w:rsidSect="00947CB7">
          <w:headerReference w:type="first" r:id="rId35"/>
          <w:footerReference w:type="first" r:id="rId36"/>
          <w:pgSz w:w="11906" w:h="16838" w:code="9"/>
          <w:pgMar w:top="2099" w:right="1133" w:bottom="1417" w:left="1417" w:header="709" w:footer="709" w:gutter="0"/>
          <w:cols w:space="708"/>
          <w:titlePg/>
          <w:docGrid w:linePitch="360"/>
        </w:sectPr>
      </w:pPr>
    </w:p>
    <w:p w14:paraId="5B4EB836" w14:textId="77777777" w:rsidR="00FB78E7" w:rsidRPr="0034501D" w:rsidRDefault="00FB78E7" w:rsidP="00FB78E7">
      <w:pPr>
        <w:pStyle w:val="ListParagraph"/>
        <w:tabs>
          <w:tab w:val="left" w:pos="-720"/>
        </w:tabs>
        <w:suppressAutoHyphens/>
        <w:spacing w:after="0" w:line="240" w:lineRule="auto"/>
        <w:ind w:left="425"/>
        <w:rPr>
          <w:rFonts w:eastAsia="Times New Roman" w:cs="Calibri"/>
          <w:b/>
          <w:spacing w:val="-3"/>
          <w:lang w:eastAsia="hr-HR"/>
        </w:rPr>
      </w:pPr>
    </w:p>
    <w:p w14:paraId="75FDD392" w14:textId="77777777" w:rsidR="008B38E6" w:rsidRPr="0034501D" w:rsidRDefault="00496756" w:rsidP="00FB78E7">
      <w:pPr>
        <w:pStyle w:val="ListParagraph"/>
        <w:numPr>
          <w:ilvl w:val="0"/>
          <w:numId w:val="18"/>
        </w:numPr>
        <w:tabs>
          <w:tab w:val="left" w:pos="-720"/>
        </w:tabs>
        <w:suppressAutoHyphens/>
        <w:spacing w:after="0" w:line="240" w:lineRule="auto"/>
        <w:ind w:left="425" w:hanging="425"/>
        <w:rPr>
          <w:rFonts w:eastAsia="Times New Roman" w:cs="Calibri"/>
          <w:b/>
          <w:spacing w:val="-3"/>
          <w:lang w:eastAsia="hr-HR"/>
        </w:rPr>
      </w:pPr>
      <w:r w:rsidRPr="0034501D">
        <w:rPr>
          <w:rFonts w:eastAsia="Times New Roman" w:cs="Calibri"/>
          <w:b/>
          <w:spacing w:val="-3"/>
          <w:lang w:eastAsia="hr-HR"/>
        </w:rPr>
        <w:t>General information</w:t>
      </w:r>
    </w:p>
    <w:p w14:paraId="25AA6DB8" w14:textId="77777777" w:rsidR="00FB78E7" w:rsidRPr="0034501D" w:rsidRDefault="00FB78E7" w:rsidP="00FB78E7">
      <w:pPr>
        <w:pStyle w:val="ListParagraph"/>
        <w:tabs>
          <w:tab w:val="left" w:pos="-720"/>
        </w:tabs>
        <w:suppressAutoHyphens/>
        <w:spacing w:after="0" w:line="240" w:lineRule="auto"/>
        <w:ind w:left="425"/>
        <w:rPr>
          <w:rFonts w:eastAsia="Times New Roman" w:cs="Calibri"/>
          <w:b/>
          <w:spacing w:val="-3"/>
          <w:lang w:eastAsia="hr-HR"/>
        </w:rPr>
      </w:pPr>
    </w:p>
    <w:p w14:paraId="163FF20E" w14:textId="77777777" w:rsidR="00B779AD" w:rsidRPr="0034501D" w:rsidRDefault="00B779AD" w:rsidP="00FB78E7">
      <w:pPr>
        <w:spacing w:after="0" w:line="240" w:lineRule="auto"/>
        <w:jc w:val="both"/>
        <w:rPr>
          <w:rFonts w:eastAsia="Times New Roman" w:cs="Arial"/>
          <w:b/>
          <w:lang w:eastAsia="hr-HR"/>
        </w:rPr>
      </w:pPr>
      <w:r w:rsidRPr="0034501D">
        <w:rPr>
          <w:rFonts w:eastAsia="Times New Roman" w:cs="Arial"/>
          <w:b/>
          <w:lang w:eastAsia="hr-HR"/>
        </w:rPr>
        <w:t>1.1. Gr</w:t>
      </w:r>
      <w:r w:rsidR="00496756" w:rsidRPr="0034501D">
        <w:rPr>
          <w:rFonts w:eastAsia="Times New Roman" w:cs="Arial"/>
          <w:b/>
          <w:lang w:eastAsia="hr-HR"/>
        </w:rPr>
        <w:t>oup</w:t>
      </w:r>
      <w:r w:rsidRPr="0034501D">
        <w:rPr>
          <w:rFonts w:eastAsia="Times New Roman" w:cs="Arial"/>
          <w:b/>
          <w:lang w:eastAsia="hr-HR"/>
        </w:rPr>
        <w:t>:</w:t>
      </w:r>
    </w:p>
    <w:p w14:paraId="2E35BE21" w14:textId="77777777" w:rsidR="00FB78E7" w:rsidRPr="0034501D" w:rsidRDefault="00FB78E7" w:rsidP="00FB78E7">
      <w:pPr>
        <w:spacing w:after="0" w:line="240" w:lineRule="auto"/>
        <w:jc w:val="both"/>
        <w:rPr>
          <w:rFonts w:eastAsia="Times New Roman" w:cs="Arial"/>
          <w:b/>
          <w:lang w:eastAsia="hr-HR"/>
        </w:rPr>
      </w:pPr>
    </w:p>
    <w:p w14:paraId="5ECBD6EC" w14:textId="77777777" w:rsidR="00B779AD" w:rsidRPr="0034501D" w:rsidRDefault="00496756">
      <w:pPr>
        <w:keepNext/>
        <w:tabs>
          <w:tab w:val="left" w:pos="567"/>
          <w:tab w:val="left" w:pos="1470"/>
        </w:tabs>
        <w:spacing w:after="0" w:line="240" w:lineRule="auto"/>
        <w:jc w:val="both"/>
        <w:outlineLvl w:val="0"/>
        <w:rPr>
          <w:rFonts w:eastAsia="Times New Roman" w:cs="Arial"/>
          <w:bCs/>
          <w:spacing w:val="-3"/>
        </w:rPr>
      </w:pPr>
      <w:r w:rsidRPr="0034501D">
        <w:rPr>
          <w:rFonts w:eastAsia="Times New Roman" w:cs="Arial"/>
          <w:bCs/>
          <w:spacing w:val="-3"/>
        </w:rPr>
        <w:t xml:space="preserve">The Croatian Bank for Reconstruction and Development </w:t>
      </w:r>
      <w:r w:rsidR="00B779AD" w:rsidRPr="0034501D">
        <w:rPr>
          <w:rFonts w:eastAsia="Times New Roman" w:cs="Arial"/>
          <w:bCs/>
          <w:spacing w:val="-3"/>
        </w:rPr>
        <w:t>(„HBOR</w:t>
      </w:r>
      <w:proofErr w:type="gramStart"/>
      <w:r w:rsidR="00B779AD" w:rsidRPr="0034501D">
        <w:rPr>
          <w:rFonts w:eastAsia="Times New Roman" w:cs="Arial"/>
          <w:bCs/>
          <w:spacing w:val="-3"/>
        </w:rPr>
        <w:t xml:space="preserve">“ </w:t>
      </w:r>
      <w:r w:rsidR="00FB6A13" w:rsidRPr="0034501D">
        <w:rPr>
          <w:rFonts w:eastAsia="Times New Roman" w:cs="Arial"/>
          <w:bCs/>
          <w:spacing w:val="-3"/>
        </w:rPr>
        <w:t>or</w:t>
      </w:r>
      <w:proofErr w:type="gramEnd"/>
      <w:r w:rsidR="00B779AD" w:rsidRPr="0034501D">
        <w:rPr>
          <w:rFonts w:eastAsia="Times New Roman" w:cs="Arial"/>
          <w:bCs/>
          <w:spacing w:val="-3"/>
        </w:rPr>
        <w:t xml:space="preserve"> „</w:t>
      </w:r>
      <w:r w:rsidR="00FB6A13" w:rsidRPr="0034501D">
        <w:rPr>
          <w:rFonts w:eastAsia="Times New Roman" w:cs="Arial"/>
          <w:bCs/>
          <w:spacing w:val="-3"/>
        </w:rPr>
        <w:t xml:space="preserve">the </w:t>
      </w:r>
      <w:r w:rsidR="00B779AD" w:rsidRPr="0034501D">
        <w:rPr>
          <w:rFonts w:eastAsia="Times New Roman" w:cs="Arial"/>
          <w:bCs/>
          <w:spacing w:val="-3"/>
        </w:rPr>
        <w:t xml:space="preserve">Bank“) </w:t>
      </w:r>
      <w:r w:rsidR="00FB6A13" w:rsidRPr="0034501D">
        <w:rPr>
          <w:rFonts w:eastAsia="Times New Roman" w:cs="Arial"/>
          <w:bCs/>
          <w:spacing w:val="-3"/>
        </w:rPr>
        <w:t>is the parent company of the Croatian Bank</w:t>
      </w:r>
      <w:r w:rsidR="00B779AD" w:rsidRPr="0034501D">
        <w:rPr>
          <w:rFonts w:eastAsia="Times New Roman" w:cs="Arial"/>
          <w:bCs/>
          <w:spacing w:val="-3"/>
        </w:rPr>
        <w:t xml:space="preserve"> </w:t>
      </w:r>
      <w:r w:rsidR="00FB6A13" w:rsidRPr="0034501D">
        <w:rPr>
          <w:rFonts w:eastAsia="Times New Roman" w:cs="Arial"/>
          <w:bCs/>
          <w:spacing w:val="-3"/>
        </w:rPr>
        <w:t>for Reconstruction and Development Group</w:t>
      </w:r>
      <w:r w:rsidR="00B779AD" w:rsidRPr="0034501D">
        <w:rPr>
          <w:rFonts w:eastAsia="Times New Roman" w:cs="Arial"/>
          <w:bCs/>
          <w:spacing w:val="-3"/>
        </w:rPr>
        <w:t xml:space="preserve"> („Gr</w:t>
      </w:r>
      <w:r w:rsidR="00FB6A13" w:rsidRPr="0034501D">
        <w:rPr>
          <w:rFonts w:eastAsia="Times New Roman" w:cs="Arial"/>
          <w:bCs/>
          <w:spacing w:val="-3"/>
        </w:rPr>
        <w:t>oup</w:t>
      </w:r>
      <w:r w:rsidR="00B779AD" w:rsidRPr="0034501D">
        <w:rPr>
          <w:rFonts w:eastAsia="Times New Roman" w:cs="Arial"/>
          <w:bCs/>
          <w:spacing w:val="-3"/>
        </w:rPr>
        <w:t xml:space="preserve">“) </w:t>
      </w:r>
      <w:r w:rsidR="00FB6A13" w:rsidRPr="0034501D">
        <w:rPr>
          <w:rFonts w:eastAsia="Times New Roman" w:cs="Arial"/>
          <w:bCs/>
          <w:spacing w:val="-3"/>
        </w:rPr>
        <w:t>that operates in the</w:t>
      </w:r>
      <w:r w:rsidR="00B779AD" w:rsidRPr="0034501D">
        <w:rPr>
          <w:rFonts w:eastAsia="Times New Roman" w:cs="Arial"/>
          <w:bCs/>
          <w:spacing w:val="-3"/>
        </w:rPr>
        <w:t xml:space="preserve"> Republic</w:t>
      </w:r>
      <w:r w:rsidR="00FB6A13" w:rsidRPr="0034501D">
        <w:rPr>
          <w:rFonts w:eastAsia="Times New Roman" w:cs="Arial"/>
          <w:bCs/>
          <w:spacing w:val="-3"/>
        </w:rPr>
        <w:t xml:space="preserve"> of Croatia</w:t>
      </w:r>
      <w:r w:rsidR="00B779AD" w:rsidRPr="0034501D">
        <w:rPr>
          <w:rFonts w:eastAsia="Times New Roman" w:cs="Arial"/>
          <w:bCs/>
          <w:spacing w:val="-3"/>
        </w:rPr>
        <w:t xml:space="preserve">. </w:t>
      </w:r>
      <w:r w:rsidR="00FB6A13" w:rsidRPr="0034501D">
        <w:rPr>
          <w:rFonts w:eastAsia="Times New Roman" w:cs="Arial"/>
          <w:bCs/>
          <w:spacing w:val="-3"/>
        </w:rPr>
        <w:t>The Group primarily performs banking activities and, to the lesser extent, insurance activities and credit risk assessment activities</w:t>
      </w:r>
      <w:r w:rsidR="00B779AD" w:rsidRPr="0034501D">
        <w:rPr>
          <w:rFonts w:eastAsia="Times New Roman" w:cs="Arial"/>
          <w:bCs/>
          <w:spacing w:val="-3"/>
        </w:rPr>
        <w:t xml:space="preserve">. </w:t>
      </w:r>
      <w:r w:rsidR="00FB6A13" w:rsidRPr="0034501D">
        <w:rPr>
          <w:rFonts w:eastAsia="Times New Roman" w:cs="Arial"/>
          <w:bCs/>
          <w:spacing w:val="-3"/>
        </w:rPr>
        <w:t>These Financial Statements include unconsolidated and consolidated financial statements of the Bank and the Group</w:t>
      </w:r>
      <w:r w:rsidR="00B779AD" w:rsidRPr="0034501D">
        <w:rPr>
          <w:rFonts w:eastAsia="Times New Roman" w:cs="Arial"/>
          <w:bCs/>
          <w:spacing w:val="-3"/>
        </w:rPr>
        <w:t>.</w:t>
      </w:r>
    </w:p>
    <w:p w14:paraId="4D00FAE5" w14:textId="77777777" w:rsidR="00FB78E7" w:rsidRPr="0034501D" w:rsidRDefault="00FB78E7" w:rsidP="00FB78E7">
      <w:pPr>
        <w:keepNext/>
        <w:spacing w:after="0" w:line="240" w:lineRule="auto"/>
        <w:jc w:val="both"/>
        <w:rPr>
          <w:rFonts w:eastAsia="Times New Roman" w:cs="Arial"/>
        </w:rPr>
      </w:pPr>
    </w:p>
    <w:p w14:paraId="39A5F0E5" w14:textId="77777777" w:rsidR="00C46A2C" w:rsidRPr="003E1FEE" w:rsidRDefault="00C46A2C" w:rsidP="00D16CF4">
      <w:pPr>
        <w:keepNext/>
        <w:spacing w:after="0" w:line="240" w:lineRule="auto"/>
        <w:jc w:val="both"/>
        <w:rPr>
          <w:rFonts w:eastAsia="Times New Roman" w:cs="Arial"/>
        </w:rPr>
      </w:pPr>
      <w:r w:rsidRPr="003E1FEE">
        <w:rPr>
          <w:rFonts w:eastAsia="Times New Roman" w:cs="Arial"/>
        </w:rPr>
        <w:t>The</w:t>
      </w:r>
      <w:r w:rsidRPr="00D16CF4">
        <w:rPr>
          <w:rFonts w:eastAsia="Times New Roman" w:cs="Arial"/>
          <w:lang w:val="hr-HR"/>
        </w:rPr>
        <w:t xml:space="preserve"> </w:t>
      </w:r>
      <w:r w:rsidRPr="003E1FEE">
        <w:rPr>
          <w:rFonts w:eastAsia="Times New Roman" w:cs="Arial"/>
        </w:rPr>
        <w:t xml:space="preserve">legal address of the Bank is </w:t>
      </w:r>
      <w:proofErr w:type="spellStart"/>
      <w:r w:rsidRPr="003E1FEE">
        <w:rPr>
          <w:rFonts w:eastAsia="Times New Roman" w:cs="Arial"/>
        </w:rPr>
        <w:t>Strossmayerov</w:t>
      </w:r>
      <w:proofErr w:type="spellEnd"/>
      <w:r w:rsidRPr="003E1FEE">
        <w:rPr>
          <w:rFonts w:eastAsia="Times New Roman" w:cs="Arial"/>
        </w:rPr>
        <w:t xml:space="preserve"> </w:t>
      </w:r>
      <w:proofErr w:type="spellStart"/>
      <w:r w:rsidRPr="003E1FEE">
        <w:rPr>
          <w:rFonts w:eastAsia="Times New Roman" w:cs="Arial"/>
        </w:rPr>
        <w:t>trg</w:t>
      </w:r>
      <w:proofErr w:type="spellEnd"/>
      <w:r w:rsidRPr="003E1FEE">
        <w:rPr>
          <w:rFonts w:eastAsia="Times New Roman" w:cs="Arial"/>
        </w:rPr>
        <w:t xml:space="preserve"> 9, Zagreb, Croatia.</w:t>
      </w:r>
    </w:p>
    <w:p w14:paraId="2E174288" w14:textId="77777777" w:rsidR="0088245A" w:rsidRPr="00A919EE" w:rsidRDefault="0088245A" w:rsidP="00D16CF4">
      <w:pPr>
        <w:keepNext/>
        <w:spacing w:after="0" w:line="240" w:lineRule="auto"/>
        <w:jc w:val="both"/>
        <w:rPr>
          <w:rFonts w:eastAsia="Times New Roman" w:cs="Arial"/>
        </w:rPr>
      </w:pPr>
    </w:p>
    <w:p w14:paraId="4D601DDE" w14:textId="77777777" w:rsidR="002A01F4" w:rsidRDefault="00C46A2C">
      <w:pPr>
        <w:spacing w:after="0" w:line="240" w:lineRule="auto"/>
        <w:rPr>
          <w:rFonts w:eastAsia="Times New Roman" w:cs="Arial"/>
        </w:rPr>
      </w:pPr>
      <w:r w:rsidRPr="00325EF9">
        <w:rPr>
          <w:rFonts w:eastAsia="Times New Roman" w:cs="Arial"/>
        </w:rPr>
        <w:t>The Group w</w:t>
      </w:r>
      <w:r w:rsidR="00B55691" w:rsidRPr="0090738A">
        <w:rPr>
          <w:rFonts w:eastAsia="Times New Roman" w:cs="Arial"/>
        </w:rPr>
        <w:t>as formed in 2010,</w:t>
      </w:r>
      <w:r w:rsidRPr="0090738A">
        <w:rPr>
          <w:rFonts w:eastAsia="Times New Roman" w:cs="Arial"/>
        </w:rPr>
        <w:t xml:space="preserve"> the Bank’s subsidiary companies are </w:t>
      </w:r>
      <w:proofErr w:type="spellStart"/>
      <w:r w:rsidRPr="0090738A">
        <w:rPr>
          <w:rFonts w:eastAsia="Times New Roman" w:cs="Arial"/>
        </w:rPr>
        <w:t>Hrvatsko</w:t>
      </w:r>
      <w:proofErr w:type="spellEnd"/>
      <w:r w:rsidRPr="0090738A">
        <w:rPr>
          <w:rFonts w:eastAsia="Times New Roman" w:cs="Arial"/>
        </w:rPr>
        <w:t xml:space="preserve"> </w:t>
      </w:r>
      <w:proofErr w:type="spellStart"/>
      <w:r w:rsidRPr="0090738A">
        <w:rPr>
          <w:rFonts w:eastAsia="Times New Roman" w:cs="Arial"/>
        </w:rPr>
        <w:t>kreditno</w:t>
      </w:r>
      <w:proofErr w:type="spellEnd"/>
      <w:r w:rsidRPr="0090738A">
        <w:rPr>
          <w:rFonts w:eastAsia="Times New Roman" w:cs="Arial"/>
        </w:rPr>
        <w:t xml:space="preserve"> </w:t>
      </w:r>
      <w:proofErr w:type="spellStart"/>
      <w:r w:rsidRPr="0090738A">
        <w:rPr>
          <w:rFonts w:eastAsia="Times New Roman" w:cs="Arial"/>
        </w:rPr>
        <w:t>osiguranje</w:t>
      </w:r>
      <w:proofErr w:type="spellEnd"/>
      <w:r w:rsidRPr="0090738A">
        <w:rPr>
          <w:rFonts w:eastAsia="Times New Roman" w:cs="Arial"/>
        </w:rPr>
        <w:t xml:space="preserve"> </w:t>
      </w:r>
      <w:proofErr w:type="spellStart"/>
      <w:proofErr w:type="gramStart"/>
      <w:r w:rsidRPr="0090738A">
        <w:rPr>
          <w:rFonts w:eastAsia="Times New Roman" w:cs="Arial"/>
        </w:rPr>
        <w:t>d.d</w:t>
      </w:r>
      <w:proofErr w:type="spellEnd"/>
      <w:proofErr w:type="gramEnd"/>
      <w:r w:rsidRPr="0090738A">
        <w:rPr>
          <w:rFonts w:eastAsia="Times New Roman" w:cs="Arial"/>
        </w:rPr>
        <w:t xml:space="preserve">. and </w:t>
      </w:r>
      <w:proofErr w:type="spellStart"/>
      <w:r w:rsidRPr="0090738A">
        <w:rPr>
          <w:rFonts w:eastAsia="Times New Roman" w:cs="Arial"/>
        </w:rPr>
        <w:t>Poslovni</w:t>
      </w:r>
      <w:proofErr w:type="spellEnd"/>
      <w:r w:rsidRPr="0090738A">
        <w:rPr>
          <w:rFonts w:eastAsia="Times New Roman" w:cs="Arial"/>
        </w:rPr>
        <w:t xml:space="preserve"> info </w:t>
      </w:r>
      <w:proofErr w:type="spellStart"/>
      <w:r w:rsidRPr="0090738A">
        <w:rPr>
          <w:rFonts w:eastAsia="Times New Roman" w:cs="Arial"/>
        </w:rPr>
        <w:t>servis</w:t>
      </w:r>
      <w:proofErr w:type="spellEnd"/>
      <w:r w:rsidRPr="0090738A">
        <w:rPr>
          <w:rFonts w:eastAsia="Times New Roman" w:cs="Arial"/>
        </w:rPr>
        <w:t xml:space="preserve"> d.o.o. that constitute the </w:t>
      </w:r>
      <w:proofErr w:type="spellStart"/>
      <w:r w:rsidRPr="0090738A">
        <w:rPr>
          <w:rFonts w:eastAsia="Times New Roman" w:cs="Arial"/>
        </w:rPr>
        <w:t>Hrvatsko</w:t>
      </w:r>
      <w:proofErr w:type="spellEnd"/>
      <w:r w:rsidRPr="0090738A">
        <w:rPr>
          <w:rFonts w:eastAsia="Times New Roman" w:cs="Arial"/>
        </w:rPr>
        <w:t xml:space="preserve"> </w:t>
      </w:r>
      <w:proofErr w:type="spellStart"/>
      <w:r w:rsidRPr="0090738A">
        <w:rPr>
          <w:rFonts w:eastAsia="Times New Roman" w:cs="Arial"/>
        </w:rPr>
        <w:t>kreditno</w:t>
      </w:r>
      <w:proofErr w:type="spellEnd"/>
      <w:r w:rsidRPr="0090738A">
        <w:rPr>
          <w:rFonts w:eastAsia="Times New Roman" w:cs="Arial"/>
        </w:rPr>
        <w:t xml:space="preserve"> </w:t>
      </w:r>
      <w:proofErr w:type="spellStart"/>
      <w:r w:rsidRPr="0090738A">
        <w:rPr>
          <w:rFonts w:eastAsia="Times New Roman" w:cs="Arial"/>
        </w:rPr>
        <w:t>o</w:t>
      </w:r>
      <w:r w:rsidR="00B55691" w:rsidRPr="003B611C">
        <w:rPr>
          <w:rFonts w:eastAsia="Times New Roman" w:cs="Arial"/>
        </w:rPr>
        <w:t>siguranje</w:t>
      </w:r>
      <w:proofErr w:type="spellEnd"/>
      <w:r w:rsidR="00B55691" w:rsidRPr="003B611C">
        <w:rPr>
          <w:rFonts w:eastAsia="Times New Roman" w:cs="Arial"/>
        </w:rPr>
        <w:t xml:space="preserve"> Group </w:t>
      </w:r>
      <w:r w:rsidR="00B55691" w:rsidRPr="003E1FEE">
        <w:rPr>
          <w:rFonts w:eastAsia="Times New Roman" w:cs="Arial"/>
        </w:rPr>
        <w:t xml:space="preserve">(“HKO Group”). </w:t>
      </w:r>
    </w:p>
    <w:p w14:paraId="7B66ABE8" w14:textId="77777777" w:rsidR="002A01F4" w:rsidRDefault="002A01F4">
      <w:pPr>
        <w:spacing w:after="0" w:line="240" w:lineRule="auto"/>
        <w:jc w:val="both"/>
        <w:rPr>
          <w:rFonts w:eastAsia="Times New Roman" w:cs="Arial"/>
          <w:bCs/>
          <w:spacing w:val="-3"/>
        </w:rPr>
      </w:pPr>
    </w:p>
    <w:p w14:paraId="2CDDD074" w14:textId="77777777" w:rsidR="00B81E3B" w:rsidRPr="00A919EE" w:rsidRDefault="00C46A2C">
      <w:pPr>
        <w:spacing w:after="0" w:line="240" w:lineRule="auto"/>
        <w:jc w:val="both"/>
        <w:rPr>
          <w:rFonts w:cs="Calibri"/>
        </w:rPr>
      </w:pPr>
      <w:r w:rsidRPr="003E1FEE">
        <w:rPr>
          <w:rFonts w:eastAsia="Times New Roman" w:cs="Arial"/>
          <w:bCs/>
          <w:spacing w:val="-3"/>
        </w:rPr>
        <w:t xml:space="preserve">The Croatian Bank for Reconstruction and Development is the </w:t>
      </w:r>
      <w:r w:rsidR="00B81E3B" w:rsidRPr="003E1FEE">
        <w:rPr>
          <w:rFonts w:cs="Calibri"/>
        </w:rPr>
        <w:t>100%</w:t>
      </w:r>
      <w:r w:rsidRPr="003E1FEE">
        <w:rPr>
          <w:rFonts w:cs="Calibri"/>
        </w:rPr>
        <w:t xml:space="preserve"> owner of </w:t>
      </w:r>
      <w:r w:rsidR="00B81E3B" w:rsidRPr="003E1FEE">
        <w:rPr>
          <w:rFonts w:cs="Calibri"/>
        </w:rPr>
        <w:t>HKO.</w:t>
      </w:r>
    </w:p>
    <w:p w14:paraId="5492BEA4" w14:textId="77777777" w:rsidR="0088245A" w:rsidRPr="00325EF9" w:rsidRDefault="0088245A">
      <w:pPr>
        <w:spacing w:after="0" w:line="240" w:lineRule="auto"/>
        <w:jc w:val="both"/>
        <w:rPr>
          <w:rFonts w:cs="Arial"/>
        </w:rPr>
      </w:pPr>
    </w:p>
    <w:p w14:paraId="1CA884E1" w14:textId="77777777" w:rsidR="00C46A2C" w:rsidRPr="003E1FEE" w:rsidRDefault="00C46A2C" w:rsidP="00D16CF4">
      <w:pPr>
        <w:spacing w:after="0" w:line="240" w:lineRule="auto"/>
        <w:jc w:val="both"/>
        <w:rPr>
          <w:rFonts w:eastAsia="Times New Roman" w:cs="Arial"/>
        </w:rPr>
      </w:pPr>
      <w:r w:rsidRPr="003B611C">
        <w:rPr>
          <w:rFonts w:eastAsia="Times New Roman" w:cs="Arial"/>
        </w:rPr>
        <w:t>The leg</w:t>
      </w:r>
      <w:r w:rsidRPr="003E1FEE">
        <w:rPr>
          <w:rFonts w:eastAsia="Times New Roman" w:cs="Arial"/>
        </w:rPr>
        <w:t xml:space="preserve">al address of the HKO Group is Zagreb, </w:t>
      </w:r>
      <w:proofErr w:type="spellStart"/>
      <w:r w:rsidRPr="003E1FEE">
        <w:rPr>
          <w:rFonts w:eastAsia="Times New Roman" w:cs="Arial"/>
        </w:rPr>
        <w:t>Bednjanska</w:t>
      </w:r>
      <w:proofErr w:type="spellEnd"/>
      <w:r w:rsidRPr="003E1FEE">
        <w:rPr>
          <w:rFonts w:eastAsia="Times New Roman" w:cs="Arial"/>
        </w:rPr>
        <w:t xml:space="preserve"> 12.</w:t>
      </w:r>
    </w:p>
    <w:p w14:paraId="07FE636A" w14:textId="77777777" w:rsidR="00FB78E7" w:rsidRPr="0034501D" w:rsidRDefault="00FB78E7">
      <w:pPr>
        <w:keepNext/>
        <w:spacing w:after="0" w:line="240" w:lineRule="auto"/>
        <w:jc w:val="both"/>
        <w:rPr>
          <w:rFonts w:eastAsia="Times New Roman" w:cs="Arial"/>
        </w:rPr>
      </w:pPr>
    </w:p>
    <w:p w14:paraId="45388B69" w14:textId="366CF48B" w:rsidR="00B779AD" w:rsidRPr="0034501D" w:rsidRDefault="00C46A2C">
      <w:pPr>
        <w:keepNext/>
        <w:spacing w:after="0" w:line="240" w:lineRule="auto"/>
        <w:jc w:val="both"/>
        <w:rPr>
          <w:rFonts w:eastAsia="Times New Roman" w:cs="Arial"/>
        </w:rPr>
      </w:pPr>
      <w:r w:rsidRPr="005444AA">
        <w:rPr>
          <w:rFonts w:eastAsia="Times New Roman" w:cs="Arial"/>
        </w:rPr>
        <w:t>As of</w:t>
      </w:r>
      <w:r w:rsidR="00B779AD" w:rsidRPr="005444AA">
        <w:rPr>
          <w:rFonts w:eastAsia="Times New Roman" w:cs="Arial"/>
        </w:rPr>
        <w:t xml:space="preserve"> </w:t>
      </w:r>
      <w:r w:rsidR="008F2BB4" w:rsidRPr="008F2BB4">
        <w:rPr>
          <w:rFonts w:eastAsia="Times New Roman" w:cs="Arial"/>
        </w:rPr>
        <w:t xml:space="preserve">30 </w:t>
      </w:r>
      <w:proofErr w:type="gramStart"/>
      <w:r w:rsidR="00204717" w:rsidRPr="00204717">
        <w:rPr>
          <w:rFonts w:eastAsia="Times New Roman" w:cs="Arial"/>
        </w:rPr>
        <w:t>September</w:t>
      </w:r>
      <w:r w:rsidR="00204717" w:rsidRPr="00204717" w:rsidDel="00204717">
        <w:rPr>
          <w:rFonts w:eastAsia="Times New Roman" w:cs="Arial"/>
        </w:rPr>
        <w:t xml:space="preserve"> </w:t>
      </w:r>
      <w:r w:rsidR="008F2BB4" w:rsidRPr="005444AA" w:rsidDel="008F2BB4">
        <w:rPr>
          <w:rFonts w:eastAsia="Times New Roman" w:cs="Arial"/>
        </w:rPr>
        <w:t xml:space="preserve"> </w:t>
      </w:r>
      <w:r w:rsidR="00EF0562" w:rsidRPr="005444AA">
        <w:rPr>
          <w:rFonts w:eastAsia="Times New Roman" w:cs="Arial"/>
        </w:rPr>
        <w:t>201</w:t>
      </w:r>
      <w:r w:rsidR="00D84672" w:rsidRPr="005444AA">
        <w:rPr>
          <w:rFonts w:eastAsia="Times New Roman" w:cs="Arial"/>
        </w:rPr>
        <w:t>7</w:t>
      </w:r>
      <w:proofErr w:type="gramEnd"/>
      <w:r w:rsidRPr="005444AA">
        <w:rPr>
          <w:rFonts w:eastAsia="Times New Roman" w:cs="Arial"/>
        </w:rPr>
        <w:t>, the Group had</w:t>
      </w:r>
      <w:r w:rsidR="00B779AD" w:rsidRPr="005444AA">
        <w:rPr>
          <w:rFonts w:eastAsia="Times New Roman" w:cs="Arial"/>
        </w:rPr>
        <w:t xml:space="preserve"> </w:t>
      </w:r>
      <w:r w:rsidR="00D667EA">
        <w:rPr>
          <w:rFonts w:eastAsia="Times New Roman" w:cs="Arial"/>
        </w:rPr>
        <w:t>383</w:t>
      </w:r>
      <w:r w:rsidR="00D667EA" w:rsidRPr="005444AA">
        <w:rPr>
          <w:rFonts w:eastAsia="Times New Roman" w:cs="Arial"/>
        </w:rPr>
        <w:t xml:space="preserve"> </w:t>
      </w:r>
      <w:r w:rsidRPr="005444AA">
        <w:rPr>
          <w:rFonts w:eastAsia="Times New Roman" w:cs="Arial"/>
        </w:rPr>
        <w:t>employees</w:t>
      </w:r>
      <w:r w:rsidR="00B779AD" w:rsidRPr="005444AA">
        <w:rPr>
          <w:rFonts w:eastAsia="Times New Roman" w:cs="Arial"/>
        </w:rPr>
        <w:t xml:space="preserve"> (</w:t>
      </w:r>
      <w:r w:rsidR="008F2BB4" w:rsidRPr="008F2BB4">
        <w:rPr>
          <w:rFonts w:eastAsia="Times New Roman" w:cs="Arial"/>
        </w:rPr>
        <w:t xml:space="preserve">30 </w:t>
      </w:r>
      <w:r w:rsidR="00204717" w:rsidRPr="00204717">
        <w:rPr>
          <w:rFonts w:eastAsia="Times New Roman" w:cs="Arial"/>
        </w:rPr>
        <w:t>September</w:t>
      </w:r>
      <w:r w:rsidR="00204717" w:rsidRPr="00204717" w:rsidDel="00204717">
        <w:rPr>
          <w:rFonts w:eastAsia="Times New Roman" w:cs="Arial"/>
        </w:rPr>
        <w:t xml:space="preserve"> </w:t>
      </w:r>
      <w:r w:rsidR="008F2BB4" w:rsidRPr="005444AA" w:rsidDel="008F2BB4">
        <w:rPr>
          <w:rFonts w:eastAsia="Times New Roman" w:cs="Arial"/>
        </w:rPr>
        <w:t xml:space="preserve"> </w:t>
      </w:r>
      <w:r w:rsidR="00EF0562" w:rsidRPr="005444AA">
        <w:rPr>
          <w:rFonts w:eastAsia="Times New Roman" w:cs="Arial"/>
        </w:rPr>
        <w:t>201</w:t>
      </w:r>
      <w:r w:rsidR="00F61497" w:rsidRPr="005444AA">
        <w:rPr>
          <w:rFonts w:eastAsia="Times New Roman" w:cs="Arial"/>
        </w:rPr>
        <w:t>6</w:t>
      </w:r>
      <w:r w:rsidRPr="005444AA">
        <w:rPr>
          <w:rFonts w:eastAsia="Times New Roman" w:cs="Arial"/>
        </w:rPr>
        <w:t>:</w:t>
      </w:r>
      <w:r w:rsidR="00B779AD" w:rsidRPr="005444AA">
        <w:rPr>
          <w:rFonts w:eastAsia="Times New Roman" w:cs="Arial"/>
        </w:rPr>
        <w:t xml:space="preserve"> </w:t>
      </w:r>
      <w:r w:rsidR="00204717" w:rsidRPr="00112F6E">
        <w:rPr>
          <w:rFonts w:eastAsia="Times New Roman" w:cs="Arial"/>
        </w:rPr>
        <w:t>35</w:t>
      </w:r>
      <w:r w:rsidR="00204717">
        <w:rPr>
          <w:rFonts w:eastAsia="Times New Roman" w:cs="Arial"/>
        </w:rPr>
        <w:t>6</w:t>
      </w:r>
      <w:r w:rsidR="00204717" w:rsidRPr="005444AA">
        <w:rPr>
          <w:rFonts w:eastAsia="Times New Roman" w:cs="Arial"/>
        </w:rPr>
        <w:t xml:space="preserve"> </w:t>
      </w:r>
      <w:r w:rsidRPr="005444AA">
        <w:rPr>
          <w:rFonts w:eastAsia="Times New Roman" w:cs="Arial"/>
        </w:rPr>
        <w:t>employees</w:t>
      </w:r>
      <w:r w:rsidR="00B779AD" w:rsidRPr="005444AA">
        <w:rPr>
          <w:rFonts w:eastAsia="Times New Roman" w:cs="Arial"/>
        </w:rPr>
        <w:t>).</w:t>
      </w:r>
    </w:p>
    <w:p w14:paraId="254913F0" w14:textId="77777777" w:rsidR="00DC4CDD" w:rsidRPr="0034501D" w:rsidRDefault="00DC4CDD" w:rsidP="00FB78E7">
      <w:pPr>
        <w:keepNext/>
        <w:spacing w:after="0" w:line="240" w:lineRule="auto"/>
        <w:jc w:val="both"/>
        <w:rPr>
          <w:rFonts w:eastAsia="Times New Roman" w:cs="Arial"/>
        </w:rPr>
      </w:pPr>
    </w:p>
    <w:p w14:paraId="7F8E9B07" w14:textId="77777777" w:rsidR="00B779AD" w:rsidRDefault="00C46A2C" w:rsidP="00FB78E7">
      <w:pPr>
        <w:spacing w:after="0" w:line="240" w:lineRule="auto"/>
        <w:jc w:val="both"/>
        <w:rPr>
          <w:rFonts w:eastAsia="Times New Roman" w:cs="Arial"/>
          <w:b/>
          <w:lang w:eastAsia="hr-HR"/>
        </w:rPr>
      </w:pPr>
      <w:r w:rsidRPr="0034501D">
        <w:rPr>
          <w:rFonts w:eastAsia="Times New Roman" w:cs="Arial"/>
          <w:b/>
          <w:lang w:eastAsia="hr-HR"/>
        </w:rPr>
        <w:t>1.2. Bank</w:t>
      </w:r>
      <w:r w:rsidR="00B779AD" w:rsidRPr="0034501D">
        <w:rPr>
          <w:rFonts w:eastAsia="Times New Roman" w:cs="Arial"/>
          <w:b/>
          <w:lang w:eastAsia="hr-HR"/>
        </w:rPr>
        <w:t>:</w:t>
      </w:r>
    </w:p>
    <w:p w14:paraId="1CDE4844" w14:textId="77777777" w:rsidR="0088245A" w:rsidRPr="0034501D" w:rsidRDefault="0088245A" w:rsidP="00FB78E7">
      <w:pPr>
        <w:spacing w:after="0" w:line="240" w:lineRule="auto"/>
        <w:jc w:val="both"/>
        <w:rPr>
          <w:rFonts w:eastAsia="Times New Roman" w:cs="Arial"/>
          <w:b/>
          <w:lang w:eastAsia="hr-HR"/>
        </w:rPr>
      </w:pPr>
    </w:p>
    <w:p w14:paraId="168721C3" w14:textId="77777777" w:rsidR="00C46A2C" w:rsidRDefault="00C46A2C" w:rsidP="00C06FC9">
      <w:pPr>
        <w:keepNext/>
        <w:spacing w:after="0" w:line="240" w:lineRule="auto"/>
        <w:jc w:val="both"/>
        <w:rPr>
          <w:rFonts w:eastAsia="Times New Roman" w:cs="Arial"/>
        </w:rPr>
      </w:pPr>
      <w:r w:rsidRPr="0034501D">
        <w:rPr>
          <w:rFonts w:eastAsia="Times New Roman" w:cs="Arial"/>
        </w:rPr>
        <w:t xml:space="preserve">The Croatian Bank for Reconstruction and Development (“HBOR” or “the Bank”) was established on 12 June 1992 under the Act on the Croatian Credit Bank for Reconstruction (“HKBO”). In December 1995, the Bank changed its name to Croatian Bank for Reconstruction and Development. The founder and 100% owner of HBOR is the Republic of Croatia. </w:t>
      </w:r>
    </w:p>
    <w:p w14:paraId="5926ED23" w14:textId="77777777" w:rsidR="0088245A" w:rsidRPr="0034501D" w:rsidRDefault="0088245A" w:rsidP="0088245A">
      <w:pPr>
        <w:keepNext/>
        <w:spacing w:after="0" w:line="240" w:lineRule="auto"/>
        <w:jc w:val="both"/>
        <w:rPr>
          <w:rFonts w:eastAsia="Times New Roman" w:cs="Arial"/>
        </w:rPr>
      </w:pPr>
    </w:p>
    <w:p w14:paraId="45643381" w14:textId="77777777" w:rsidR="0088245A" w:rsidRDefault="00C46A2C" w:rsidP="00C06FC9">
      <w:pPr>
        <w:spacing w:after="0" w:line="240" w:lineRule="auto"/>
        <w:jc w:val="both"/>
        <w:rPr>
          <w:rFonts w:eastAsia="Times New Roman" w:cs="Arial"/>
        </w:rPr>
      </w:pPr>
      <w:r w:rsidRPr="0034501D">
        <w:rPr>
          <w:rFonts w:eastAsia="Times New Roman" w:cs="Arial"/>
        </w:rPr>
        <w:t>The Republic of Croatia guarantees HBOR’s liabilities unconditionally, irrevocably and on first call, without iss</w:t>
      </w:r>
      <w:r w:rsidR="0088245A">
        <w:rPr>
          <w:rFonts w:eastAsia="Times New Roman" w:cs="Arial"/>
        </w:rPr>
        <w:t xml:space="preserve">uing any particular guarantee. </w:t>
      </w:r>
    </w:p>
    <w:p w14:paraId="3018A2E6" w14:textId="77777777" w:rsidR="0042197F" w:rsidRDefault="00C46A2C" w:rsidP="00C06FC9">
      <w:pPr>
        <w:spacing w:after="0" w:line="240" w:lineRule="auto"/>
        <w:jc w:val="both"/>
        <w:rPr>
          <w:rFonts w:eastAsia="Times New Roman" w:cs="Arial"/>
        </w:rPr>
      </w:pPr>
      <w:r w:rsidRPr="0034501D">
        <w:rPr>
          <w:rFonts w:eastAsia="Times New Roman" w:cs="Arial"/>
        </w:rPr>
        <w:t>The responsibility of the Republic of Croatia as guarantor for HBOR´s liabilities is joint and unlimited.</w:t>
      </w:r>
    </w:p>
    <w:p w14:paraId="3C2E0C86" w14:textId="77777777" w:rsidR="0042197F" w:rsidRDefault="0042197F" w:rsidP="00C06FC9">
      <w:pPr>
        <w:spacing w:after="0" w:line="240" w:lineRule="auto"/>
        <w:jc w:val="both"/>
        <w:rPr>
          <w:rFonts w:eastAsia="Times New Roman" w:cs="Arial"/>
        </w:rPr>
      </w:pPr>
    </w:p>
    <w:p w14:paraId="4DA348A5" w14:textId="77777777" w:rsidR="0042197F" w:rsidRDefault="00C46A2C" w:rsidP="00D16CF4">
      <w:pPr>
        <w:spacing w:after="0" w:line="240" w:lineRule="auto"/>
        <w:jc w:val="both"/>
        <w:rPr>
          <w:rFonts w:eastAsia="Times New Roman" w:cs="Arial"/>
        </w:rPr>
      </w:pPr>
      <w:r w:rsidRPr="0034501D">
        <w:rPr>
          <w:rFonts w:eastAsia="Times New Roman" w:cs="Arial"/>
        </w:rPr>
        <w:t>With the Act on the Croatian Bank for Reconstruction and Development passed in December 2006, HBOR’s founding capital was HRK 7 billion, the payment schedule of which is determined by the State budget.</w:t>
      </w:r>
    </w:p>
    <w:p w14:paraId="0C26C53A" w14:textId="77777777" w:rsidR="0042197F" w:rsidRDefault="0042197F" w:rsidP="00D16CF4">
      <w:pPr>
        <w:spacing w:after="0" w:line="240" w:lineRule="auto"/>
        <w:jc w:val="both"/>
        <w:rPr>
          <w:rFonts w:eastAsia="Times New Roman" w:cs="Arial"/>
        </w:rPr>
      </w:pPr>
    </w:p>
    <w:p w14:paraId="4668E908" w14:textId="77777777" w:rsidR="0042197F" w:rsidRDefault="0042197F" w:rsidP="00D16CF4">
      <w:pPr>
        <w:spacing w:after="0" w:line="240" w:lineRule="auto"/>
        <w:jc w:val="both"/>
        <w:rPr>
          <w:rFonts w:eastAsia="Times New Roman" w:cs="Arial"/>
        </w:rPr>
      </w:pPr>
    </w:p>
    <w:p w14:paraId="41C0C321" w14:textId="77777777" w:rsidR="00E1249B" w:rsidRDefault="00E1249B" w:rsidP="0088245A">
      <w:pPr>
        <w:keepNext/>
        <w:spacing w:after="0" w:line="240" w:lineRule="auto"/>
        <w:jc w:val="both"/>
        <w:rPr>
          <w:rFonts w:eastAsia="Times New Roman" w:cs="Arial"/>
        </w:rPr>
        <w:sectPr w:rsidR="00E1249B" w:rsidSect="00947CB7">
          <w:headerReference w:type="default" r:id="rId37"/>
          <w:footerReference w:type="default" r:id="rId38"/>
          <w:headerReference w:type="first" r:id="rId39"/>
          <w:footerReference w:type="first" r:id="rId40"/>
          <w:pgSz w:w="11906" w:h="16838" w:code="9"/>
          <w:pgMar w:top="595" w:right="1134" w:bottom="1134" w:left="1418" w:header="709" w:footer="709" w:gutter="0"/>
          <w:cols w:space="708"/>
          <w:titlePg/>
          <w:docGrid w:linePitch="360"/>
        </w:sectPr>
      </w:pPr>
    </w:p>
    <w:p w14:paraId="1B0AA00F" w14:textId="77777777" w:rsidR="0088245A" w:rsidRPr="005444AA" w:rsidRDefault="0088245A" w:rsidP="0088245A">
      <w:pPr>
        <w:keepNext/>
        <w:spacing w:after="0" w:line="240" w:lineRule="auto"/>
        <w:jc w:val="both"/>
        <w:rPr>
          <w:rFonts w:eastAsia="Times New Roman" w:cs="Arial"/>
          <w:sz w:val="20"/>
          <w:szCs w:val="20"/>
        </w:rPr>
      </w:pPr>
    </w:p>
    <w:p w14:paraId="01AB157A" w14:textId="77777777" w:rsidR="00E1249B" w:rsidRPr="0034501D" w:rsidRDefault="00E1249B" w:rsidP="00386723">
      <w:pPr>
        <w:pStyle w:val="ListParagraph"/>
        <w:numPr>
          <w:ilvl w:val="0"/>
          <w:numId w:val="55"/>
        </w:numPr>
        <w:tabs>
          <w:tab w:val="left" w:pos="-720"/>
        </w:tabs>
        <w:suppressAutoHyphens/>
        <w:spacing w:after="0" w:line="240" w:lineRule="auto"/>
        <w:ind w:left="567" w:hanging="567"/>
        <w:rPr>
          <w:rFonts w:eastAsia="Times New Roman" w:cs="Calibri"/>
          <w:b/>
          <w:spacing w:val="-3"/>
          <w:lang w:eastAsia="hr-HR"/>
        </w:rPr>
      </w:pPr>
      <w:r w:rsidRPr="0034501D">
        <w:rPr>
          <w:rFonts w:eastAsia="Times New Roman" w:cs="Calibri"/>
          <w:b/>
          <w:spacing w:val="-3"/>
          <w:lang w:eastAsia="hr-HR"/>
        </w:rPr>
        <w:t>General information</w:t>
      </w:r>
      <w:r>
        <w:rPr>
          <w:rFonts w:eastAsia="Times New Roman" w:cs="Calibri"/>
          <w:b/>
          <w:spacing w:val="-3"/>
          <w:lang w:eastAsia="hr-HR"/>
        </w:rPr>
        <w:t xml:space="preserve"> (continued)</w:t>
      </w:r>
    </w:p>
    <w:p w14:paraId="1B639B60" w14:textId="77777777" w:rsidR="00E1249B" w:rsidRPr="005444AA" w:rsidRDefault="00E1249B" w:rsidP="0088245A">
      <w:pPr>
        <w:keepNext/>
        <w:spacing w:after="0" w:line="240" w:lineRule="auto"/>
        <w:jc w:val="both"/>
        <w:rPr>
          <w:rFonts w:eastAsia="Times New Roman" w:cs="Arial"/>
          <w:sz w:val="18"/>
          <w:szCs w:val="18"/>
        </w:rPr>
      </w:pPr>
    </w:p>
    <w:p w14:paraId="574C723D" w14:textId="77777777" w:rsidR="00E1249B" w:rsidRDefault="00E1249B" w:rsidP="005444AA">
      <w:pPr>
        <w:tabs>
          <w:tab w:val="left" w:pos="567"/>
        </w:tabs>
        <w:spacing w:after="120" w:line="240" w:lineRule="auto"/>
        <w:jc w:val="both"/>
        <w:rPr>
          <w:rFonts w:eastAsia="Times New Roman" w:cs="Arial"/>
          <w:b/>
          <w:lang w:eastAsia="hr-HR"/>
        </w:rPr>
      </w:pPr>
      <w:r w:rsidRPr="0034501D">
        <w:rPr>
          <w:rFonts w:eastAsia="Times New Roman" w:cs="Arial"/>
          <w:b/>
          <w:lang w:eastAsia="hr-HR"/>
        </w:rPr>
        <w:t xml:space="preserve">1.2. </w:t>
      </w:r>
      <w:r w:rsidR="00D752DE">
        <w:rPr>
          <w:rFonts w:eastAsia="Times New Roman" w:cs="Arial"/>
          <w:b/>
          <w:lang w:eastAsia="hr-HR"/>
        </w:rPr>
        <w:tab/>
      </w:r>
      <w:r w:rsidRPr="0034501D">
        <w:rPr>
          <w:rFonts w:eastAsia="Times New Roman" w:cs="Arial"/>
          <w:b/>
          <w:lang w:eastAsia="hr-HR"/>
        </w:rPr>
        <w:t>Bank</w:t>
      </w:r>
      <w:r>
        <w:rPr>
          <w:rFonts w:eastAsia="Times New Roman" w:cs="Arial"/>
          <w:b/>
          <w:lang w:eastAsia="hr-HR"/>
        </w:rPr>
        <w:t xml:space="preserve"> (continued)</w:t>
      </w:r>
      <w:r w:rsidRPr="0034501D">
        <w:rPr>
          <w:rFonts w:eastAsia="Times New Roman" w:cs="Arial"/>
          <w:b/>
          <w:lang w:eastAsia="hr-HR"/>
        </w:rPr>
        <w:t>:</w:t>
      </w:r>
    </w:p>
    <w:p w14:paraId="6406BD77" w14:textId="0CEE5230" w:rsidR="00E1715B" w:rsidRPr="00166751" w:rsidRDefault="00400B73" w:rsidP="006B318F">
      <w:pPr>
        <w:widowControl w:val="0"/>
        <w:spacing w:after="0" w:line="240" w:lineRule="auto"/>
        <w:jc w:val="both"/>
        <w:rPr>
          <w:rFonts w:asciiTheme="minorHAnsi" w:eastAsia="Times New Roman" w:hAnsiTheme="minorHAnsi" w:cs="Arial"/>
          <w:i/>
          <w:sz w:val="21"/>
          <w:szCs w:val="21"/>
        </w:rPr>
      </w:pPr>
      <w:r w:rsidRPr="00166751">
        <w:rPr>
          <w:rFonts w:asciiTheme="minorHAnsi" w:eastAsia="Times New Roman" w:hAnsiTheme="minorHAnsi" w:cs="Arial"/>
          <w:i/>
          <w:sz w:val="21"/>
          <w:szCs w:val="21"/>
        </w:rPr>
        <w:t>Supervisory Board</w:t>
      </w:r>
    </w:p>
    <w:p w14:paraId="70BE65AA" w14:textId="161CD0D0" w:rsidR="00400B73" w:rsidRPr="00166751" w:rsidRDefault="00E1715B" w:rsidP="006B318F">
      <w:pPr>
        <w:widowControl w:val="0"/>
        <w:spacing w:after="0" w:line="240" w:lineRule="auto"/>
        <w:jc w:val="both"/>
        <w:rPr>
          <w:rFonts w:asciiTheme="minorHAnsi" w:eastAsia="Times New Roman" w:hAnsiTheme="minorHAnsi" w:cs="Arial"/>
          <w:sz w:val="21"/>
          <w:szCs w:val="21"/>
        </w:rPr>
      </w:pPr>
      <w:r>
        <w:t>As of the date of preparing these Statements, the Supervisory Board of HBOR consisted of the following members</w:t>
      </w:r>
      <w:r w:rsidR="00400B73" w:rsidRPr="00166751">
        <w:rPr>
          <w:rFonts w:asciiTheme="minorHAnsi" w:eastAsia="Times New Roman" w:hAnsiTheme="minorHAnsi" w:cs="Arial"/>
          <w:sz w:val="21"/>
          <w:szCs w:val="21"/>
        </w:rPr>
        <w:t>:</w:t>
      </w:r>
    </w:p>
    <w:p w14:paraId="534F24E4" w14:textId="77777777" w:rsidR="00400B73" w:rsidRPr="00166751" w:rsidRDefault="005E0AB1" w:rsidP="00A06264">
      <w:pPr>
        <w:widowControl w:val="0"/>
        <w:spacing w:after="0" w:line="240" w:lineRule="auto"/>
        <w:jc w:val="both"/>
        <w:rPr>
          <w:rFonts w:asciiTheme="minorHAnsi" w:eastAsia="Times New Roman" w:hAnsiTheme="minorHAnsi" w:cs="Arial"/>
          <w:sz w:val="21"/>
          <w:szCs w:val="21"/>
        </w:rPr>
      </w:pPr>
      <w:r>
        <w:rPr>
          <w:rFonts w:asciiTheme="minorHAnsi" w:eastAsia="Times New Roman" w:hAnsiTheme="minorHAnsi" w:cs="Arial"/>
          <w:sz w:val="21"/>
          <w:szCs w:val="21"/>
          <w:lang w:val="hr-HR"/>
        </w:rPr>
        <w:t xml:space="preserve">               - </w:t>
      </w:r>
      <w:r w:rsidR="00400B73" w:rsidRPr="00166751">
        <w:rPr>
          <w:rFonts w:asciiTheme="minorHAnsi" w:eastAsia="Times New Roman" w:hAnsiTheme="minorHAnsi" w:cs="Arial"/>
          <w:sz w:val="21"/>
          <w:szCs w:val="21"/>
        </w:rPr>
        <w:t xml:space="preserve">Zdravko Marić, DSc, </w:t>
      </w:r>
      <w:r w:rsidR="00400B73" w:rsidRPr="00166751">
        <w:rPr>
          <w:rFonts w:asciiTheme="minorHAnsi" w:eastAsia="Times New Roman" w:hAnsiTheme="minorHAnsi" w:cs="Arial"/>
          <w:sz w:val="21"/>
          <w:szCs w:val="21"/>
          <w:lang w:eastAsia="hr-HR"/>
        </w:rPr>
        <w:t>Minister of Finance - ex officio President of the Supervisory Board,</w:t>
      </w:r>
    </w:p>
    <w:p w14:paraId="52B639E2" w14:textId="68B983CF" w:rsidR="001C0306" w:rsidRDefault="005E0AB1" w:rsidP="001C0306">
      <w:pPr>
        <w:widowControl w:val="0"/>
        <w:spacing w:after="0" w:line="240" w:lineRule="auto"/>
        <w:ind w:left="708"/>
        <w:jc w:val="both"/>
        <w:rPr>
          <w:rFonts w:asciiTheme="minorHAnsi" w:eastAsia="Times New Roman" w:hAnsiTheme="minorHAnsi" w:cs="Arial"/>
          <w:sz w:val="21"/>
          <w:szCs w:val="21"/>
          <w:lang w:eastAsia="hr-HR"/>
        </w:rPr>
      </w:pPr>
      <w:r w:rsidRPr="00931431">
        <w:rPr>
          <w:rFonts w:asciiTheme="minorHAnsi" w:eastAsia="Times New Roman" w:hAnsiTheme="minorHAnsi" w:cs="Arial"/>
          <w:sz w:val="21"/>
          <w:szCs w:val="21"/>
        </w:rPr>
        <w:t xml:space="preserve">- </w:t>
      </w:r>
      <w:r w:rsidR="00400B73" w:rsidRPr="00166751">
        <w:rPr>
          <w:rFonts w:asciiTheme="minorHAnsi" w:eastAsia="Times New Roman" w:hAnsiTheme="minorHAnsi" w:cs="Arial"/>
          <w:sz w:val="21"/>
          <w:szCs w:val="21"/>
        </w:rPr>
        <w:t xml:space="preserve">Martina </w:t>
      </w:r>
      <w:proofErr w:type="spellStart"/>
      <w:r w:rsidR="00400B73" w:rsidRPr="00166751">
        <w:rPr>
          <w:rFonts w:asciiTheme="minorHAnsi" w:eastAsia="Times New Roman" w:hAnsiTheme="minorHAnsi" w:cs="Arial"/>
          <w:sz w:val="21"/>
          <w:szCs w:val="21"/>
        </w:rPr>
        <w:t>Dalić</w:t>
      </w:r>
      <w:proofErr w:type="spellEnd"/>
      <w:r w:rsidR="00400B73" w:rsidRPr="00166751">
        <w:rPr>
          <w:rFonts w:asciiTheme="minorHAnsi" w:eastAsia="Times New Roman" w:hAnsiTheme="minorHAnsi" w:cs="Arial"/>
          <w:sz w:val="21"/>
          <w:szCs w:val="21"/>
        </w:rPr>
        <w:t xml:space="preserve">, </w:t>
      </w:r>
      <w:proofErr w:type="gramStart"/>
      <w:r w:rsidR="00400B73" w:rsidRPr="00166751">
        <w:rPr>
          <w:rFonts w:asciiTheme="minorHAnsi" w:eastAsia="Times New Roman" w:hAnsiTheme="minorHAnsi" w:cs="Arial"/>
          <w:sz w:val="21"/>
          <w:szCs w:val="21"/>
        </w:rPr>
        <w:t>DSc</w:t>
      </w:r>
      <w:proofErr w:type="gramEnd"/>
      <w:r w:rsidR="00400B73" w:rsidRPr="00166751">
        <w:rPr>
          <w:rFonts w:asciiTheme="minorHAnsi" w:eastAsia="Times New Roman" w:hAnsiTheme="minorHAnsi" w:cs="Arial"/>
          <w:sz w:val="21"/>
          <w:szCs w:val="21"/>
        </w:rPr>
        <w:t xml:space="preserve">, </w:t>
      </w:r>
      <w:r w:rsidR="00400B73" w:rsidRPr="00166751">
        <w:rPr>
          <w:rFonts w:asciiTheme="minorHAnsi" w:eastAsia="Times New Roman" w:hAnsiTheme="minorHAnsi" w:cs="Arial"/>
          <w:sz w:val="21"/>
          <w:szCs w:val="21"/>
          <w:lang w:eastAsia="hr-HR"/>
        </w:rPr>
        <w:t>Deputy Prime Minister</w:t>
      </w:r>
      <w:r w:rsidR="001C0306">
        <w:rPr>
          <w:rFonts w:asciiTheme="minorHAnsi" w:eastAsia="Times New Roman" w:hAnsiTheme="minorHAnsi" w:cs="Arial"/>
          <w:sz w:val="21"/>
          <w:szCs w:val="21"/>
          <w:lang w:eastAsia="hr-HR"/>
        </w:rPr>
        <w:t xml:space="preserve"> </w:t>
      </w:r>
      <w:r w:rsidR="001C0306" w:rsidRPr="001C0306">
        <w:rPr>
          <w:rFonts w:asciiTheme="minorHAnsi" w:eastAsia="Times New Roman" w:hAnsiTheme="minorHAnsi" w:cs="Arial"/>
          <w:sz w:val="21"/>
          <w:szCs w:val="21"/>
          <w:lang w:eastAsia="hr-HR"/>
        </w:rPr>
        <w:t xml:space="preserve">of the Republic of Croatia </w:t>
      </w:r>
      <w:r w:rsidR="00400B73" w:rsidRPr="00166751">
        <w:rPr>
          <w:rFonts w:asciiTheme="minorHAnsi" w:eastAsia="Times New Roman" w:hAnsiTheme="minorHAnsi" w:cs="Arial"/>
          <w:sz w:val="21"/>
          <w:szCs w:val="21"/>
          <w:lang w:eastAsia="hr-HR"/>
        </w:rPr>
        <w:t xml:space="preserve">and Minister of the Economy, </w:t>
      </w:r>
      <w:r w:rsidR="001C0306">
        <w:rPr>
          <w:rFonts w:asciiTheme="minorHAnsi" w:eastAsia="Times New Roman" w:hAnsiTheme="minorHAnsi" w:cs="Arial"/>
          <w:sz w:val="21"/>
          <w:szCs w:val="21"/>
          <w:lang w:eastAsia="hr-HR"/>
        </w:rPr>
        <w:t xml:space="preserve">  </w:t>
      </w:r>
    </w:p>
    <w:p w14:paraId="1272B5C4" w14:textId="577E06E7" w:rsidR="00400B73" w:rsidRPr="001C0306" w:rsidRDefault="001C0306" w:rsidP="001C0306">
      <w:pPr>
        <w:widowControl w:val="0"/>
        <w:spacing w:after="0" w:line="240" w:lineRule="auto"/>
        <w:ind w:left="708"/>
        <w:jc w:val="both"/>
        <w:rPr>
          <w:rFonts w:asciiTheme="minorHAnsi" w:eastAsia="Times New Roman" w:hAnsiTheme="minorHAnsi" w:cs="Arial"/>
          <w:sz w:val="21"/>
          <w:szCs w:val="21"/>
          <w:lang w:eastAsia="hr-HR"/>
        </w:rPr>
      </w:pPr>
      <w:r>
        <w:rPr>
          <w:rFonts w:asciiTheme="minorHAnsi" w:eastAsia="Times New Roman" w:hAnsiTheme="minorHAnsi" w:cs="Arial"/>
          <w:sz w:val="21"/>
          <w:szCs w:val="21"/>
          <w:lang w:eastAsia="hr-HR"/>
        </w:rPr>
        <w:t xml:space="preserve">   </w:t>
      </w:r>
      <w:r w:rsidR="00400B73" w:rsidRPr="00166751">
        <w:rPr>
          <w:rFonts w:asciiTheme="minorHAnsi" w:eastAsia="Times New Roman" w:hAnsiTheme="minorHAnsi" w:cs="Arial"/>
          <w:sz w:val="21"/>
          <w:szCs w:val="21"/>
          <w:lang w:eastAsia="hr-HR"/>
        </w:rPr>
        <w:t xml:space="preserve">Entrepreneurship and Trade – ex officio </w:t>
      </w:r>
      <w:r w:rsidR="00E93CB9">
        <w:rPr>
          <w:rFonts w:asciiTheme="minorHAnsi" w:eastAsia="Times New Roman" w:hAnsiTheme="minorHAnsi" w:cs="Arial"/>
          <w:sz w:val="21"/>
          <w:szCs w:val="21"/>
          <w:lang w:eastAsia="hr-HR"/>
        </w:rPr>
        <w:t xml:space="preserve">Vice </w:t>
      </w:r>
      <w:r w:rsidR="00400B73" w:rsidRPr="00166751">
        <w:rPr>
          <w:rFonts w:asciiTheme="minorHAnsi" w:eastAsia="Times New Roman" w:hAnsiTheme="minorHAnsi" w:cs="Arial"/>
          <w:sz w:val="21"/>
          <w:szCs w:val="21"/>
          <w:lang w:eastAsia="hr-HR"/>
        </w:rPr>
        <w:t>President of the Supervisory Board,</w:t>
      </w:r>
    </w:p>
    <w:p w14:paraId="7ECBA7C4" w14:textId="77777777" w:rsidR="00E1715B" w:rsidRDefault="00E1715B" w:rsidP="006B318F">
      <w:pPr>
        <w:pStyle w:val="ListParagraph"/>
        <w:numPr>
          <w:ilvl w:val="0"/>
          <w:numId w:val="79"/>
        </w:numPr>
        <w:spacing w:after="0" w:line="240" w:lineRule="auto"/>
        <w:ind w:left="851" w:hanging="142"/>
        <w:jc w:val="both"/>
        <w:rPr>
          <w:sz w:val="21"/>
          <w:szCs w:val="21"/>
        </w:rPr>
      </w:pPr>
      <w:proofErr w:type="spellStart"/>
      <w:r w:rsidRPr="006B318F">
        <w:rPr>
          <w:sz w:val="21"/>
          <w:szCs w:val="21"/>
        </w:rPr>
        <w:t>Predrag</w:t>
      </w:r>
      <w:proofErr w:type="spellEnd"/>
      <w:r w:rsidRPr="006B318F">
        <w:rPr>
          <w:sz w:val="21"/>
          <w:szCs w:val="21"/>
        </w:rPr>
        <w:t xml:space="preserve"> </w:t>
      </w:r>
      <w:proofErr w:type="spellStart"/>
      <w:r w:rsidRPr="006B318F">
        <w:rPr>
          <w:sz w:val="21"/>
          <w:szCs w:val="21"/>
        </w:rPr>
        <w:t>Štromar</w:t>
      </w:r>
      <w:proofErr w:type="spellEnd"/>
      <w:r w:rsidRPr="006B318F">
        <w:rPr>
          <w:sz w:val="21"/>
          <w:szCs w:val="21"/>
        </w:rPr>
        <w:t>, Deputy Prime Minister of the Republic of Croatia and Minister of Construction and Physical Planning</w:t>
      </w:r>
      <w:r>
        <w:rPr>
          <w:sz w:val="21"/>
          <w:szCs w:val="21"/>
        </w:rPr>
        <w:t xml:space="preserve"> (from 4 August 2017),</w:t>
      </w:r>
    </w:p>
    <w:p w14:paraId="55B3D70D" w14:textId="24F056C0" w:rsidR="00977ADD" w:rsidRPr="006B318F" w:rsidRDefault="00E1715B" w:rsidP="006B318F">
      <w:pPr>
        <w:pStyle w:val="ListParagraph"/>
        <w:numPr>
          <w:ilvl w:val="0"/>
          <w:numId w:val="79"/>
        </w:numPr>
        <w:spacing w:after="0" w:line="240" w:lineRule="auto"/>
        <w:ind w:left="851" w:hanging="142"/>
        <w:jc w:val="both"/>
        <w:rPr>
          <w:sz w:val="21"/>
          <w:szCs w:val="21"/>
        </w:rPr>
      </w:pPr>
      <w:r w:rsidRPr="00E1715B">
        <w:rPr>
          <w:sz w:val="21"/>
          <w:szCs w:val="21"/>
        </w:rPr>
        <w:t xml:space="preserve">Gabrijela </w:t>
      </w:r>
      <w:proofErr w:type="spellStart"/>
      <w:r w:rsidRPr="00E1715B">
        <w:rPr>
          <w:sz w:val="21"/>
          <w:szCs w:val="21"/>
        </w:rPr>
        <w:t>Žalac</w:t>
      </w:r>
      <w:proofErr w:type="spellEnd"/>
      <w:r w:rsidRPr="00E1715B">
        <w:rPr>
          <w:sz w:val="21"/>
          <w:szCs w:val="21"/>
        </w:rPr>
        <w:t>, Minister of Regional Development and EU Funds – ex officio Member of the Supervisory Board,</w:t>
      </w:r>
    </w:p>
    <w:p w14:paraId="1A7FD393" w14:textId="77777777" w:rsidR="00C9050B" w:rsidRPr="00166751" w:rsidRDefault="00C9050B">
      <w:pPr>
        <w:pStyle w:val="ListParagraph"/>
        <w:widowControl w:val="0"/>
        <w:numPr>
          <w:ilvl w:val="0"/>
          <w:numId w:val="79"/>
        </w:numPr>
        <w:spacing w:after="0" w:line="240" w:lineRule="auto"/>
        <w:ind w:left="851" w:hanging="142"/>
        <w:jc w:val="both"/>
        <w:rPr>
          <w:rFonts w:asciiTheme="minorHAnsi" w:eastAsia="Times New Roman" w:hAnsiTheme="minorHAnsi" w:cs="Arial"/>
          <w:sz w:val="21"/>
          <w:szCs w:val="21"/>
        </w:rPr>
      </w:pPr>
      <w:proofErr w:type="spellStart"/>
      <w:r w:rsidRPr="00166751">
        <w:rPr>
          <w:rFonts w:asciiTheme="minorHAnsi" w:eastAsia="Times New Roman" w:hAnsiTheme="minorHAnsi" w:cs="Arial"/>
          <w:sz w:val="21"/>
          <w:szCs w:val="21"/>
        </w:rPr>
        <w:t>Gari</w:t>
      </w:r>
      <w:proofErr w:type="spellEnd"/>
      <w:r w:rsidRPr="00166751">
        <w:rPr>
          <w:rFonts w:asciiTheme="minorHAnsi" w:eastAsia="Times New Roman" w:hAnsiTheme="minorHAnsi" w:cs="Arial"/>
          <w:sz w:val="21"/>
          <w:szCs w:val="21"/>
        </w:rPr>
        <w:t xml:space="preserve"> </w:t>
      </w:r>
      <w:proofErr w:type="spellStart"/>
      <w:r w:rsidRPr="00166751">
        <w:rPr>
          <w:rFonts w:asciiTheme="minorHAnsi" w:eastAsia="Times New Roman" w:hAnsiTheme="minorHAnsi" w:cs="Arial"/>
          <w:sz w:val="21"/>
          <w:szCs w:val="21"/>
        </w:rPr>
        <w:t>Cappelli</w:t>
      </w:r>
      <w:proofErr w:type="spellEnd"/>
      <w:r w:rsidRPr="00166751">
        <w:rPr>
          <w:rFonts w:asciiTheme="minorHAnsi" w:eastAsia="Times New Roman" w:hAnsiTheme="minorHAnsi" w:cs="Arial"/>
          <w:sz w:val="21"/>
          <w:szCs w:val="21"/>
        </w:rPr>
        <w:t>, Minister of Tourism,</w:t>
      </w:r>
    </w:p>
    <w:p w14:paraId="34E46746" w14:textId="77777777" w:rsidR="00C9050B" w:rsidRPr="00166751" w:rsidRDefault="00C9050B">
      <w:pPr>
        <w:pStyle w:val="ListParagraph"/>
        <w:widowControl w:val="0"/>
        <w:numPr>
          <w:ilvl w:val="0"/>
          <w:numId w:val="79"/>
        </w:numPr>
        <w:spacing w:after="0" w:line="240" w:lineRule="auto"/>
        <w:ind w:left="851" w:hanging="142"/>
        <w:jc w:val="both"/>
        <w:rPr>
          <w:rFonts w:asciiTheme="minorHAnsi" w:eastAsia="Times New Roman" w:hAnsiTheme="minorHAnsi" w:cs="Arial"/>
          <w:sz w:val="21"/>
          <w:szCs w:val="21"/>
        </w:rPr>
      </w:pPr>
      <w:r w:rsidRPr="00166751">
        <w:rPr>
          <w:rFonts w:asciiTheme="minorHAnsi" w:eastAsia="Times New Roman" w:hAnsiTheme="minorHAnsi" w:cs="Arial"/>
          <w:sz w:val="21"/>
          <w:szCs w:val="21"/>
        </w:rPr>
        <w:t>Tomislav Tolušić, Minister of Agriculture,</w:t>
      </w:r>
    </w:p>
    <w:p w14:paraId="395ABD19" w14:textId="77777777" w:rsidR="00400B73" w:rsidRPr="00166751" w:rsidRDefault="00400B73">
      <w:pPr>
        <w:pStyle w:val="ListParagraph"/>
        <w:numPr>
          <w:ilvl w:val="0"/>
          <w:numId w:val="79"/>
        </w:numPr>
        <w:spacing w:after="0" w:line="240" w:lineRule="auto"/>
        <w:ind w:left="851" w:hanging="142"/>
        <w:rPr>
          <w:sz w:val="21"/>
          <w:szCs w:val="21"/>
        </w:rPr>
      </w:pPr>
      <w:r w:rsidRPr="00166751">
        <w:rPr>
          <w:sz w:val="21"/>
          <w:szCs w:val="21"/>
        </w:rPr>
        <w:t xml:space="preserve">Luka </w:t>
      </w:r>
      <w:proofErr w:type="spellStart"/>
      <w:r w:rsidRPr="00166751">
        <w:rPr>
          <w:sz w:val="21"/>
          <w:szCs w:val="21"/>
        </w:rPr>
        <w:t>Burilović</w:t>
      </w:r>
      <w:proofErr w:type="spellEnd"/>
      <w:r w:rsidRPr="00166751">
        <w:rPr>
          <w:sz w:val="21"/>
          <w:szCs w:val="21"/>
        </w:rPr>
        <w:t>, President of the Croatian Chamber of Economy – ex officio Member of the Supervisory Board,</w:t>
      </w:r>
    </w:p>
    <w:p w14:paraId="69154BA9" w14:textId="165995A3" w:rsidR="00C9050B" w:rsidRPr="00890A05" w:rsidRDefault="00400B73" w:rsidP="00890A05">
      <w:pPr>
        <w:pStyle w:val="ListParagraph"/>
        <w:numPr>
          <w:ilvl w:val="0"/>
          <w:numId w:val="79"/>
        </w:numPr>
        <w:spacing w:after="0" w:line="240" w:lineRule="auto"/>
        <w:ind w:left="851" w:hanging="142"/>
        <w:rPr>
          <w:sz w:val="21"/>
          <w:szCs w:val="21"/>
        </w:rPr>
      </w:pPr>
      <w:r w:rsidRPr="00890A05">
        <w:rPr>
          <w:sz w:val="21"/>
          <w:szCs w:val="21"/>
        </w:rPr>
        <w:t xml:space="preserve">Boris </w:t>
      </w:r>
      <w:proofErr w:type="spellStart"/>
      <w:r w:rsidRPr="00890A05">
        <w:rPr>
          <w:sz w:val="21"/>
          <w:szCs w:val="21"/>
        </w:rPr>
        <w:t>Lalovac</w:t>
      </w:r>
      <w:proofErr w:type="spellEnd"/>
      <w:r w:rsidRPr="00890A05">
        <w:rPr>
          <w:sz w:val="21"/>
          <w:szCs w:val="21"/>
        </w:rPr>
        <w:t>, MSc, Member of the Croatian Parliament</w:t>
      </w:r>
      <w:r w:rsidR="00C9050B" w:rsidRPr="00890A05">
        <w:rPr>
          <w:sz w:val="21"/>
          <w:szCs w:val="21"/>
        </w:rPr>
        <w:t>,</w:t>
      </w:r>
    </w:p>
    <w:p w14:paraId="71047B97" w14:textId="04C11676" w:rsidR="00400B73" w:rsidRPr="00890A05" w:rsidRDefault="00E1715B" w:rsidP="00890A05">
      <w:pPr>
        <w:pStyle w:val="ListParagraph"/>
        <w:numPr>
          <w:ilvl w:val="0"/>
          <w:numId w:val="79"/>
        </w:numPr>
        <w:spacing w:after="0" w:line="240" w:lineRule="auto"/>
        <w:ind w:left="851" w:hanging="142"/>
        <w:rPr>
          <w:sz w:val="21"/>
          <w:szCs w:val="21"/>
        </w:rPr>
      </w:pPr>
      <w:r w:rsidRPr="00890A05">
        <w:rPr>
          <w:sz w:val="21"/>
          <w:szCs w:val="21"/>
        </w:rPr>
        <w:t>Božica Makar</w:t>
      </w:r>
      <w:r w:rsidR="00400B73" w:rsidRPr="00890A05">
        <w:rPr>
          <w:sz w:val="21"/>
          <w:szCs w:val="21"/>
        </w:rPr>
        <w:t>, Member of the Croatian Parliament</w:t>
      </w:r>
      <w:r w:rsidRPr="00890A05">
        <w:rPr>
          <w:sz w:val="21"/>
          <w:szCs w:val="21"/>
        </w:rPr>
        <w:t xml:space="preserve"> (from 14 July 2017)</w:t>
      </w:r>
    </w:p>
    <w:p w14:paraId="540650F5" w14:textId="77777777" w:rsidR="00C9050B" w:rsidRDefault="00C9050B" w:rsidP="005444AA">
      <w:pPr>
        <w:pStyle w:val="ListParagraph"/>
        <w:numPr>
          <w:ilvl w:val="0"/>
          <w:numId w:val="79"/>
        </w:numPr>
        <w:spacing w:after="120" w:line="240" w:lineRule="auto"/>
        <w:ind w:left="851" w:hanging="142"/>
        <w:rPr>
          <w:sz w:val="21"/>
          <w:szCs w:val="21"/>
          <w:lang w:val="hr-HR"/>
        </w:rPr>
      </w:pPr>
      <w:r w:rsidRPr="00166751">
        <w:rPr>
          <w:sz w:val="21"/>
          <w:szCs w:val="21"/>
          <w:lang w:val="hr-HR"/>
        </w:rPr>
        <w:t xml:space="preserve">Grozdana Perić, </w:t>
      </w:r>
      <w:proofErr w:type="spellStart"/>
      <w:r w:rsidRPr="00166751">
        <w:rPr>
          <w:sz w:val="21"/>
          <w:szCs w:val="21"/>
          <w:lang w:val="hr-HR"/>
        </w:rPr>
        <w:t>Chairman</w:t>
      </w:r>
      <w:proofErr w:type="spellEnd"/>
      <w:r w:rsidRPr="00166751">
        <w:rPr>
          <w:sz w:val="21"/>
          <w:szCs w:val="21"/>
          <w:lang w:val="hr-HR"/>
        </w:rPr>
        <w:t xml:space="preserve"> </w:t>
      </w:r>
      <w:proofErr w:type="spellStart"/>
      <w:r w:rsidRPr="00166751">
        <w:rPr>
          <w:sz w:val="21"/>
          <w:szCs w:val="21"/>
          <w:lang w:val="hr-HR"/>
        </w:rPr>
        <w:t>of</w:t>
      </w:r>
      <w:proofErr w:type="spellEnd"/>
      <w:r w:rsidRPr="00166751">
        <w:rPr>
          <w:sz w:val="21"/>
          <w:szCs w:val="21"/>
          <w:lang w:val="hr-HR"/>
        </w:rPr>
        <w:t xml:space="preserve"> </w:t>
      </w:r>
      <w:proofErr w:type="spellStart"/>
      <w:r w:rsidRPr="00166751">
        <w:rPr>
          <w:sz w:val="21"/>
          <w:szCs w:val="21"/>
          <w:lang w:val="hr-HR"/>
        </w:rPr>
        <w:t>the</w:t>
      </w:r>
      <w:proofErr w:type="spellEnd"/>
      <w:r w:rsidRPr="00166751">
        <w:rPr>
          <w:sz w:val="21"/>
          <w:szCs w:val="21"/>
          <w:lang w:val="hr-HR"/>
        </w:rPr>
        <w:t xml:space="preserve"> </w:t>
      </w:r>
      <w:proofErr w:type="spellStart"/>
      <w:r w:rsidRPr="00166751">
        <w:rPr>
          <w:sz w:val="21"/>
          <w:szCs w:val="21"/>
          <w:lang w:val="hr-HR"/>
        </w:rPr>
        <w:t>Finance</w:t>
      </w:r>
      <w:proofErr w:type="spellEnd"/>
      <w:r w:rsidRPr="00166751">
        <w:rPr>
          <w:sz w:val="21"/>
          <w:szCs w:val="21"/>
          <w:lang w:val="hr-HR"/>
        </w:rPr>
        <w:t xml:space="preserve"> </w:t>
      </w:r>
      <w:proofErr w:type="spellStart"/>
      <w:r w:rsidRPr="00166751">
        <w:rPr>
          <w:sz w:val="21"/>
          <w:szCs w:val="21"/>
          <w:lang w:val="hr-HR"/>
        </w:rPr>
        <w:t>and</w:t>
      </w:r>
      <w:proofErr w:type="spellEnd"/>
      <w:r w:rsidRPr="00166751">
        <w:rPr>
          <w:sz w:val="21"/>
          <w:szCs w:val="21"/>
          <w:lang w:val="hr-HR"/>
        </w:rPr>
        <w:t xml:space="preserve"> Central Budget </w:t>
      </w:r>
      <w:proofErr w:type="spellStart"/>
      <w:r w:rsidRPr="00166751">
        <w:rPr>
          <w:sz w:val="21"/>
          <w:szCs w:val="21"/>
          <w:lang w:val="hr-HR"/>
        </w:rPr>
        <w:t>Committee</w:t>
      </w:r>
      <w:proofErr w:type="spellEnd"/>
      <w:r w:rsidRPr="00166751">
        <w:rPr>
          <w:sz w:val="21"/>
          <w:szCs w:val="21"/>
          <w:lang w:val="hr-HR"/>
        </w:rPr>
        <w:t xml:space="preserve"> </w:t>
      </w:r>
      <w:proofErr w:type="spellStart"/>
      <w:r w:rsidRPr="00166751">
        <w:rPr>
          <w:sz w:val="21"/>
          <w:szCs w:val="21"/>
          <w:lang w:val="hr-HR"/>
        </w:rPr>
        <w:t>of</w:t>
      </w:r>
      <w:proofErr w:type="spellEnd"/>
      <w:r w:rsidRPr="00166751">
        <w:rPr>
          <w:sz w:val="21"/>
          <w:szCs w:val="21"/>
          <w:lang w:val="hr-HR"/>
        </w:rPr>
        <w:t xml:space="preserve"> </w:t>
      </w:r>
      <w:proofErr w:type="spellStart"/>
      <w:r w:rsidRPr="00166751">
        <w:rPr>
          <w:sz w:val="21"/>
          <w:szCs w:val="21"/>
          <w:lang w:val="hr-HR"/>
        </w:rPr>
        <w:t>the</w:t>
      </w:r>
      <w:proofErr w:type="spellEnd"/>
      <w:r w:rsidRPr="00166751">
        <w:rPr>
          <w:sz w:val="21"/>
          <w:szCs w:val="21"/>
          <w:lang w:val="hr-HR"/>
        </w:rPr>
        <w:t xml:space="preserve"> Croatian </w:t>
      </w:r>
      <w:proofErr w:type="spellStart"/>
      <w:r w:rsidRPr="00166751">
        <w:rPr>
          <w:sz w:val="21"/>
          <w:szCs w:val="21"/>
          <w:lang w:val="hr-HR"/>
        </w:rPr>
        <w:t>Parliament</w:t>
      </w:r>
      <w:proofErr w:type="spellEnd"/>
      <w:r w:rsidRPr="00166751">
        <w:rPr>
          <w:sz w:val="21"/>
          <w:szCs w:val="21"/>
          <w:lang w:val="hr-HR"/>
        </w:rPr>
        <w:t>.</w:t>
      </w:r>
      <w:r w:rsidRPr="00166751" w:rsidDel="00C9050B">
        <w:rPr>
          <w:sz w:val="21"/>
          <w:szCs w:val="21"/>
          <w:lang w:val="hr-HR"/>
        </w:rPr>
        <w:t xml:space="preserve"> </w:t>
      </w:r>
    </w:p>
    <w:p w14:paraId="0AE451D4" w14:textId="417E4C11" w:rsidR="00421420" w:rsidRPr="00166751" w:rsidRDefault="00421420" w:rsidP="005444AA">
      <w:pPr>
        <w:spacing w:after="120" w:line="240" w:lineRule="auto"/>
        <w:jc w:val="both"/>
        <w:rPr>
          <w:sz w:val="21"/>
          <w:szCs w:val="21"/>
        </w:rPr>
      </w:pPr>
    </w:p>
    <w:p w14:paraId="6E9D1123" w14:textId="6CC1CF9B" w:rsidR="00D752DE" w:rsidRPr="00166751" w:rsidRDefault="00D752DE" w:rsidP="005444AA">
      <w:pPr>
        <w:keepNext/>
        <w:tabs>
          <w:tab w:val="left" w:pos="567"/>
        </w:tabs>
        <w:spacing w:after="120" w:line="240" w:lineRule="auto"/>
        <w:jc w:val="both"/>
        <w:outlineLvl w:val="0"/>
        <w:rPr>
          <w:rFonts w:asciiTheme="minorHAnsi" w:eastAsia="Times New Roman" w:hAnsiTheme="minorHAnsi" w:cs="Arial"/>
          <w:i/>
          <w:sz w:val="21"/>
          <w:szCs w:val="21"/>
        </w:rPr>
      </w:pPr>
      <w:r w:rsidRPr="00166751">
        <w:rPr>
          <w:rFonts w:asciiTheme="minorHAnsi" w:eastAsia="Times New Roman" w:hAnsiTheme="minorHAnsi" w:cs="Arial"/>
          <w:i/>
          <w:sz w:val="21"/>
          <w:szCs w:val="21"/>
        </w:rPr>
        <w:t>Management Board</w:t>
      </w:r>
    </w:p>
    <w:p w14:paraId="1AA74E79" w14:textId="2538FBDF" w:rsidR="00FA198A" w:rsidRPr="00166751" w:rsidRDefault="00FA198A" w:rsidP="00A06264">
      <w:pPr>
        <w:keepNext/>
        <w:spacing w:after="0" w:line="240" w:lineRule="auto"/>
        <w:jc w:val="both"/>
        <w:rPr>
          <w:rFonts w:eastAsia="Times New Roman" w:cs="Arial"/>
          <w:sz w:val="21"/>
          <w:szCs w:val="21"/>
        </w:rPr>
      </w:pPr>
      <w:r w:rsidRPr="00166751">
        <w:rPr>
          <w:rFonts w:eastAsia="Times New Roman" w:cs="Arial"/>
          <w:sz w:val="21"/>
          <w:szCs w:val="21"/>
        </w:rPr>
        <w:t xml:space="preserve">On the date of preparing these </w:t>
      </w:r>
      <w:r w:rsidR="00402675">
        <w:rPr>
          <w:rFonts w:eastAsia="Times New Roman" w:cs="Arial"/>
          <w:sz w:val="21"/>
          <w:szCs w:val="21"/>
        </w:rPr>
        <w:t>S</w:t>
      </w:r>
      <w:r w:rsidR="00402675" w:rsidRPr="00166751">
        <w:rPr>
          <w:rFonts w:eastAsia="Times New Roman" w:cs="Arial"/>
          <w:sz w:val="21"/>
          <w:szCs w:val="21"/>
        </w:rPr>
        <w:t>tatements</w:t>
      </w:r>
      <w:r w:rsidRPr="00166751">
        <w:rPr>
          <w:rFonts w:eastAsia="Times New Roman" w:cs="Arial"/>
          <w:sz w:val="21"/>
          <w:szCs w:val="21"/>
        </w:rPr>
        <w:t>, members of the Manag</w:t>
      </w:r>
      <w:r w:rsidR="002F749B" w:rsidRPr="00166751">
        <w:rPr>
          <w:rFonts w:eastAsia="Times New Roman" w:cs="Arial"/>
          <w:sz w:val="21"/>
          <w:szCs w:val="21"/>
        </w:rPr>
        <w:t>ement</w:t>
      </w:r>
      <w:r w:rsidRPr="00166751">
        <w:rPr>
          <w:rFonts w:eastAsia="Times New Roman" w:cs="Arial"/>
          <w:sz w:val="21"/>
          <w:szCs w:val="21"/>
        </w:rPr>
        <w:t xml:space="preserve"> Board of HBOR were as follows:</w:t>
      </w:r>
    </w:p>
    <w:p w14:paraId="1F7A3B05" w14:textId="77777777" w:rsidR="00FA198A" w:rsidRPr="00166751" w:rsidRDefault="00D752DE" w:rsidP="00A06264">
      <w:pPr>
        <w:pStyle w:val="ListParagraph"/>
        <w:keepNext/>
        <w:numPr>
          <w:ilvl w:val="0"/>
          <w:numId w:val="65"/>
        </w:numPr>
        <w:spacing w:after="0" w:line="240" w:lineRule="auto"/>
        <w:jc w:val="both"/>
        <w:rPr>
          <w:rFonts w:eastAsia="Times New Roman" w:cs="Arial"/>
          <w:sz w:val="21"/>
          <w:szCs w:val="21"/>
        </w:rPr>
      </w:pPr>
      <w:r w:rsidRPr="00166751">
        <w:rPr>
          <w:rFonts w:asciiTheme="minorHAnsi" w:eastAsia="Times New Roman" w:hAnsiTheme="minorHAnsi"/>
          <w:sz w:val="21"/>
          <w:szCs w:val="21"/>
          <w:lang w:val="hr-HR"/>
        </w:rPr>
        <w:t>Tamara Perko</w:t>
      </w:r>
      <w:r w:rsidR="00FA198A" w:rsidRPr="00166751">
        <w:rPr>
          <w:rFonts w:eastAsia="Times New Roman" w:cs="Arial"/>
          <w:sz w:val="21"/>
          <w:szCs w:val="21"/>
        </w:rPr>
        <w:t xml:space="preserve">, </w:t>
      </w:r>
      <w:r w:rsidR="002F749B" w:rsidRPr="00166751">
        <w:rPr>
          <w:rFonts w:eastAsia="Times New Roman" w:cs="Arial"/>
          <w:sz w:val="21"/>
          <w:szCs w:val="21"/>
        </w:rPr>
        <w:t xml:space="preserve">MSc, </w:t>
      </w:r>
      <w:r w:rsidR="00FA198A" w:rsidRPr="00166751">
        <w:rPr>
          <w:rFonts w:eastAsia="Times New Roman" w:cs="Arial"/>
          <w:sz w:val="21"/>
          <w:szCs w:val="21"/>
        </w:rPr>
        <w:t>President of the Manag</w:t>
      </w:r>
      <w:r w:rsidR="002F749B" w:rsidRPr="00166751">
        <w:rPr>
          <w:rFonts w:eastAsia="Times New Roman" w:cs="Arial"/>
          <w:sz w:val="21"/>
          <w:szCs w:val="21"/>
        </w:rPr>
        <w:t>ement</w:t>
      </w:r>
      <w:r w:rsidR="00FA198A" w:rsidRPr="00166751">
        <w:rPr>
          <w:rFonts w:eastAsia="Times New Roman" w:cs="Arial"/>
          <w:sz w:val="21"/>
          <w:szCs w:val="21"/>
        </w:rPr>
        <w:t xml:space="preserve"> Board</w:t>
      </w:r>
      <w:r w:rsidRPr="00166751">
        <w:rPr>
          <w:rFonts w:eastAsia="Times New Roman" w:cs="Arial"/>
          <w:sz w:val="21"/>
          <w:szCs w:val="21"/>
        </w:rPr>
        <w:t xml:space="preserve"> and</w:t>
      </w:r>
    </w:p>
    <w:p w14:paraId="2F36F819" w14:textId="16236FBC" w:rsidR="00D752DE" w:rsidRPr="00890A05" w:rsidRDefault="00E425CE" w:rsidP="005444AA">
      <w:pPr>
        <w:pStyle w:val="ListParagraph"/>
        <w:keepNext/>
        <w:numPr>
          <w:ilvl w:val="0"/>
          <w:numId w:val="65"/>
        </w:numPr>
        <w:spacing w:after="120" w:line="240" w:lineRule="auto"/>
        <w:ind w:left="714" w:hanging="357"/>
        <w:jc w:val="both"/>
        <w:rPr>
          <w:rFonts w:eastAsia="Times New Roman" w:cs="Arial"/>
          <w:sz w:val="21"/>
          <w:szCs w:val="21"/>
        </w:rPr>
      </w:pPr>
      <w:r w:rsidRPr="00890A05">
        <w:rPr>
          <w:rFonts w:eastAsia="Times New Roman" w:cs="Arial"/>
          <w:sz w:val="21"/>
          <w:szCs w:val="21"/>
          <w:lang w:eastAsia="hr-HR"/>
        </w:rPr>
        <w:t>Hrvoje Čuvalo, MSc</w:t>
      </w:r>
      <w:r w:rsidR="00FA198A" w:rsidRPr="00890A05">
        <w:rPr>
          <w:rFonts w:eastAsia="Times New Roman" w:cs="Arial"/>
          <w:sz w:val="21"/>
          <w:szCs w:val="21"/>
        </w:rPr>
        <w:t>, Member of the Manag</w:t>
      </w:r>
      <w:r w:rsidR="002F749B" w:rsidRPr="00890A05">
        <w:rPr>
          <w:rFonts w:eastAsia="Times New Roman" w:cs="Arial"/>
          <w:sz w:val="21"/>
          <w:szCs w:val="21"/>
        </w:rPr>
        <w:t>ement</w:t>
      </w:r>
      <w:r w:rsidR="00FA198A" w:rsidRPr="00890A05">
        <w:rPr>
          <w:rFonts w:eastAsia="Times New Roman" w:cs="Arial"/>
          <w:sz w:val="21"/>
          <w:szCs w:val="21"/>
        </w:rPr>
        <w:t xml:space="preserve"> Board</w:t>
      </w:r>
      <w:r w:rsidR="00D752DE" w:rsidRPr="00890A05">
        <w:rPr>
          <w:rFonts w:eastAsia="Times New Roman" w:cs="Arial"/>
          <w:sz w:val="21"/>
          <w:szCs w:val="21"/>
        </w:rPr>
        <w:t>.</w:t>
      </w:r>
    </w:p>
    <w:p w14:paraId="635DF93E" w14:textId="69483C24" w:rsidR="0078688D" w:rsidRDefault="0078688D" w:rsidP="00A06264">
      <w:pPr>
        <w:spacing w:after="0" w:line="240" w:lineRule="auto"/>
        <w:jc w:val="both"/>
        <w:rPr>
          <w:sz w:val="21"/>
        </w:rPr>
      </w:pPr>
    </w:p>
    <w:p w14:paraId="7563D6C4" w14:textId="06CA3FD1" w:rsidR="009F6FF5" w:rsidRPr="00890A05" w:rsidRDefault="009F6FF5" w:rsidP="007C6016">
      <w:pPr>
        <w:spacing w:after="0" w:line="240" w:lineRule="auto"/>
        <w:jc w:val="both"/>
        <w:rPr>
          <w:rFonts w:eastAsia="Times New Roman" w:cs="Arial"/>
          <w:sz w:val="21"/>
          <w:szCs w:val="21"/>
          <w:lang w:val="hr-HR"/>
        </w:rPr>
      </w:pPr>
      <w:r w:rsidRPr="00890A05">
        <w:rPr>
          <w:rFonts w:eastAsia="Times New Roman" w:cs="Arial"/>
          <w:sz w:val="21"/>
          <w:szCs w:val="21"/>
          <w:lang w:val="hr-HR"/>
        </w:rPr>
        <w:t xml:space="preserve">On 9 </w:t>
      </w:r>
      <w:proofErr w:type="spellStart"/>
      <w:r w:rsidRPr="00890A05">
        <w:rPr>
          <w:rFonts w:eastAsia="Times New Roman" w:cs="Arial"/>
          <w:sz w:val="21"/>
          <w:szCs w:val="21"/>
          <w:lang w:val="hr-HR"/>
        </w:rPr>
        <w:t>October</w:t>
      </w:r>
      <w:proofErr w:type="spellEnd"/>
      <w:r w:rsidRPr="00890A05">
        <w:rPr>
          <w:rFonts w:eastAsia="Times New Roman" w:cs="Arial"/>
          <w:sz w:val="21"/>
          <w:szCs w:val="21"/>
          <w:lang w:val="hr-HR"/>
        </w:rPr>
        <w:t xml:space="preserve"> 2017, </w:t>
      </w:r>
      <w:proofErr w:type="spellStart"/>
      <w:r w:rsidRPr="00890A05">
        <w:rPr>
          <w:rFonts w:eastAsia="Times New Roman" w:cs="Arial"/>
          <w:sz w:val="21"/>
          <w:szCs w:val="21"/>
          <w:lang w:val="hr-HR"/>
        </w:rPr>
        <w:t>the</w:t>
      </w:r>
      <w:proofErr w:type="spellEnd"/>
      <w:r w:rsidRPr="00890A05">
        <w:rPr>
          <w:rFonts w:eastAsia="Times New Roman" w:cs="Arial"/>
          <w:sz w:val="21"/>
          <w:szCs w:val="21"/>
          <w:lang w:val="hr-HR"/>
        </w:rPr>
        <w:t xml:space="preserve"> </w:t>
      </w:r>
      <w:proofErr w:type="spellStart"/>
      <w:r w:rsidRPr="00890A05">
        <w:rPr>
          <w:rFonts w:eastAsia="Times New Roman" w:cs="Arial"/>
          <w:sz w:val="21"/>
          <w:szCs w:val="21"/>
          <w:lang w:val="hr-HR"/>
        </w:rPr>
        <w:t>Supervisory</w:t>
      </w:r>
      <w:proofErr w:type="spellEnd"/>
      <w:r w:rsidRPr="00890A05">
        <w:rPr>
          <w:rFonts w:eastAsia="Times New Roman" w:cs="Arial"/>
          <w:sz w:val="21"/>
          <w:szCs w:val="21"/>
          <w:lang w:val="hr-HR"/>
        </w:rPr>
        <w:t xml:space="preserve"> </w:t>
      </w:r>
      <w:proofErr w:type="spellStart"/>
      <w:r w:rsidRPr="00890A05">
        <w:rPr>
          <w:rFonts w:eastAsia="Times New Roman" w:cs="Arial"/>
          <w:sz w:val="21"/>
          <w:szCs w:val="21"/>
          <w:lang w:val="hr-HR"/>
        </w:rPr>
        <w:t>Board</w:t>
      </w:r>
      <w:proofErr w:type="spellEnd"/>
      <w:r w:rsidRPr="00890A05">
        <w:rPr>
          <w:rFonts w:eastAsia="Times New Roman" w:cs="Arial"/>
          <w:sz w:val="21"/>
          <w:szCs w:val="21"/>
          <w:lang w:val="hr-HR"/>
        </w:rPr>
        <w:t xml:space="preserve"> </w:t>
      </w:r>
      <w:proofErr w:type="spellStart"/>
      <w:r w:rsidRPr="00890A05">
        <w:rPr>
          <w:rFonts w:eastAsia="Times New Roman" w:cs="Arial"/>
          <w:sz w:val="21"/>
          <w:szCs w:val="21"/>
          <w:lang w:val="hr-HR"/>
        </w:rPr>
        <w:t>of</w:t>
      </w:r>
      <w:proofErr w:type="spellEnd"/>
      <w:r w:rsidRPr="00890A05">
        <w:rPr>
          <w:rFonts w:eastAsia="Times New Roman" w:cs="Arial"/>
          <w:sz w:val="21"/>
          <w:szCs w:val="21"/>
          <w:lang w:val="hr-HR"/>
        </w:rPr>
        <w:t xml:space="preserve"> HBOR, </w:t>
      </w:r>
      <w:proofErr w:type="spellStart"/>
      <w:r w:rsidRPr="00890A05">
        <w:rPr>
          <w:rFonts w:eastAsia="Times New Roman" w:cs="Arial"/>
          <w:sz w:val="21"/>
          <w:szCs w:val="21"/>
          <w:lang w:val="hr-HR"/>
        </w:rPr>
        <w:t>following</w:t>
      </w:r>
      <w:proofErr w:type="spellEnd"/>
      <w:r w:rsidRPr="00890A05">
        <w:rPr>
          <w:rFonts w:eastAsia="Times New Roman" w:cs="Arial"/>
          <w:sz w:val="21"/>
          <w:szCs w:val="21"/>
          <w:lang w:val="hr-HR"/>
        </w:rPr>
        <w:t xml:space="preserve"> </w:t>
      </w:r>
      <w:proofErr w:type="spellStart"/>
      <w:r w:rsidRPr="00890A05">
        <w:rPr>
          <w:rFonts w:eastAsia="Times New Roman" w:cs="Arial"/>
          <w:sz w:val="21"/>
          <w:szCs w:val="21"/>
          <w:lang w:val="hr-HR"/>
        </w:rPr>
        <w:t>the</w:t>
      </w:r>
      <w:proofErr w:type="spellEnd"/>
      <w:r w:rsidRPr="00890A05">
        <w:rPr>
          <w:rFonts w:eastAsia="Times New Roman" w:cs="Arial"/>
          <w:sz w:val="21"/>
          <w:szCs w:val="21"/>
          <w:lang w:val="hr-HR"/>
        </w:rPr>
        <w:t xml:space="preserve"> </w:t>
      </w:r>
      <w:proofErr w:type="spellStart"/>
      <w:r w:rsidRPr="00890A05">
        <w:rPr>
          <w:rFonts w:eastAsia="Times New Roman" w:cs="Arial"/>
          <w:sz w:val="21"/>
          <w:szCs w:val="21"/>
          <w:lang w:val="hr-HR"/>
        </w:rPr>
        <w:t>proposal</w:t>
      </w:r>
      <w:proofErr w:type="spellEnd"/>
      <w:r w:rsidRPr="00890A05">
        <w:rPr>
          <w:rFonts w:eastAsia="Times New Roman" w:cs="Arial"/>
          <w:sz w:val="21"/>
          <w:szCs w:val="21"/>
          <w:lang w:val="hr-HR"/>
        </w:rPr>
        <w:t xml:space="preserve"> </w:t>
      </w:r>
      <w:proofErr w:type="spellStart"/>
      <w:r w:rsidRPr="00890A05">
        <w:rPr>
          <w:rFonts w:eastAsia="Times New Roman" w:cs="Arial"/>
          <w:sz w:val="21"/>
          <w:szCs w:val="21"/>
          <w:lang w:val="hr-HR"/>
        </w:rPr>
        <w:t>of</w:t>
      </w:r>
      <w:proofErr w:type="spellEnd"/>
      <w:r w:rsidRPr="00890A05">
        <w:rPr>
          <w:rFonts w:eastAsia="Times New Roman" w:cs="Arial"/>
          <w:sz w:val="21"/>
          <w:szCs w:val="21"/>
          <w:lang w:val="hr-HR"/>
        </w:rPr>
        <w:t xml:space="preserve"> </w:t>
      </w:r>
      <w:proofErr w:type="spellStart"/>
      <w:r w:rsidRPr="00890A05">
        <w:rPr>
          <w:rFonts w:eastAsia="Times New Roman" w:cs="Arial"/>
          <w:sz w:val="21"/>
          <w:szCs w:val="21"/>
          <w:lang w:val="hr-HR"/>
        </w:rPr>
        <w:t>the</w:t>
      </w:r>
      <w:proofErr w:type="spellEnd"/>
      <w:r w:rsidRPr="00890A05">
        <w:rPr>
          <w:rFonts w:eastAsia="Times New Roman" w:cs="Arial"/>
          <w:sz w:val="21"/>
          <w:szCs w:val="21"/>
          <w:lang w:val="hr-HR"/>
        </w:rPr>
        <w:t xml:space="preserve"> </w:t>
      </w:r>
      <w:proofErr w:type="spellStart"/>
      <w:r w:rsidRPr="00890A05">
        <w:rPr>
          <w:rFonts w:eastAsia="Times New Roman" w:cs="Arial"/>
          <w:sz w:val="21"/>
          <w:szCs w:val="21"/>
          <w:lang w:val="hr-HR"/>
        </w:rPr>
        <w:t>Governme</w:t>
      </w:r>
      <w:r w:rsidR="000866AF" w:rsidRPr="00890A05">
        <w:rPr>
          <w:rFonts w:eastAsia="Times New Roman" w:cs="Arial"/>
          <w:sz w:val="21"/>
          <w:szCs w:val="21"/>
          <w:lang w:val="hr-HR"/>
        </w:rPr>
        <w:t>nt</w:t>
      </w:r>
      <w:proofErr w:type="spellEnd"/>
      <w:r w:rsidR="000866AF" w:rsidRPr="00890A05">
        <w:rPr>
          <w:rFonts w:eastAsia="Times New Roman" w:cs="Arial"/>
          <w:sz w:val="21"/>
          <w:szCs w:val="21"/>
          <w:lang w:val="hr-HR"/>
        </w:rPr>
        <w:t xml:space="preserve"> </w:t>
      </w:r>
      <w:proofErr w:type="spellStart"/>
      <w:r w:rsidR="000866AF" w:rsidRPr="00890A05">
        <w:rPr>
          <w:rFonts w:eastAsia="Times New Roman" w:cs="Arial"/>
          <w:sz w:val="21"/>
          <w:szCs w:val="21"/>
          <w:lang w:val="hr-HR"/>
        </w:rPr>
        <w:t>of</w:t>
      </w:r>
      <w:proofErr w:type="spellEnd"/>
      <w:r w:rsidR="000866AF" w:rsidRPr="00890A05">
        <w:rPr>
          <w:rFonts w:eastAsia="Times New Roman" w:cs="Arial"/>
          <w:sz w:val="21"/>
          <w:szCs w:val="21"/>
          <w:lang w:val="hr-HR"/>
        </w:rPr>
        <w:t xml:space="preserve"> </w:t>
      </w:r>
      <w:proofErr w:type="spellStart"/>
      <w:r w:rsidR="000866AF" w:rsidRPr="00890A05">
        <w:rPr>
          <w:rFonts w:eastAsia="Times New Roman" w:cs="Arial"/>
          <w:sz w:val="21"/>
          <w:szCs w:val="21"/>
          <w:lang w:val="hr-HR"/>
        </w:rPr>
        <w:t>the</w:t>
      </w:r>
      <w:proofErr w:type="spellEnd"/>
      <w:r w:rsidR="000866AF" w:rsidRPr="00890A05">
        <w:rPr>
          <w:rFonts w:eastAsia="Times New Roman" w:cs="Arial"/>
          <w:sz w:val="21"/>
          <w:szCs w:val="21"/>
          <w:lang w:val="hr-HR"/>
        </w:rPr>
        <w:t xml:space="preserve"> Republic </w:t>
      </w:r>
      <w:proofErr w:type="spellStart"/>
      <w:r w:rsidR="000866AF" w:rsidRPr="00890A05">
        <w:rPr>
          <w:rFonts w:eastAsia="Times New Roman" w:cs="Arial"/>
          <w:sz w:val="21"/>
          <w:szCs w:val="21"/>
          <w:lang w:val="hr-HR"/>
        </w:rPr>
        <w:t>of</w:t>
      </w:r>
      <w:proofErr w:type="spellEnd"/>
      <w:r w:rsidR="000866AF" w:rsidRPr="00890A05">
        <w:rPr>
          <w:rFonts w:eastAsia="Times New Roman" w:cs="Arial"/>
          <w:sz w:val="21"/>
          <w:szCs w:val="21"/>
          <w:lang w:val="hr-HR"/>
        </w:rPr>
        <w:t xml:space="preserve"> Croatia, </w:t>
      </w:r>
      <w:proofErr w:type="spellStart"/>
      <w:r w:rsidRPr="00890A05">
        <w:rPr>
          <w:rFonts w:eastAsia="Times New Roman" w:cs="Arial"/>
          <w:sz w:val="21"/>
          <w:szCs w:val="21"/>
          <w:lang w:val="hr-HR"/>
        </w:rPr>
        <w:t>made</w:t>
      </w:r>
      <w:proofErr w:type="spellEnd"/>
      <w:r w:rsidRPr="00890A05">
        <w:rPr>
          <w:rFonts w:eastAsia="Times New Roman" w:cs="Arial"/>
          <w:sz w:val="21"/>
          <w:szCs w:val="21"/>
          <w:lang w:val="hr-HR"/>
        </w:rPr>
        <w:t xml:space="preserve"> a </w:t>
      </w:r>
      <w:proofErr w:type="spellStart"/>
      <w:r w:rsidRPr="00890A05">
        <w:rPr>
          <w:rFonts w:eastAsia="Times New Roman" w:cs="Arial"/>
          <w:sz w:val="21"/>
          <w:szCs w:val="21"/>
          <w:lang w:val="hr-HR"/>
        </w:rPr>
        <w:t>decision</w:t>
      </w:r>
      <w:proofErr w:type="spellEnd"/>
      <w:r w:rsidRPr="00890A05">
        <w:rPr>
          <w:rFonts w:eastAsia="Times New Roman" w:cs="Arial"/>
          <w:sz w:val="21"/>
          <w:szCs w:val="21"/>
          <w:lang w:val="hr-HR"/>
        </w:rPr>
        <w:t xml:space="preserve"> on </w:t>
      </w:r>
      <w:proofErr w:type="spellStart"/>
      <w:r w:rsidRPr="00890A05">
        <w:rPr>
          <w:rFonts w:eastAsia="Times New Roman" w:cs="Arial"/>
          <w:sz w:val="21"/>
          <w:szCs w:val="21"/>
          <w:lang w:val="hr-HR"/>
        </w:rPr>
        <w:t>the</w:t>
      </w:r>
      <w:proofErr w:type="spellEnd"/>
      <w:r w:rsidRPr="00890A05">
        <w:rPr>
          <w:rFonts w:eastAsia="Times New Roman" w:cs="Arial"/>
          <w:sz w:val="21"/>
          <w:szCs w:val="21"/>
          <w:lang w:val="hr-HR"/>
        </w:rPr>
        <w:t xml:space="preserve"> </w:t>
      </w:r>
      <w:proofErr w:type="spellStart"/>
      <w:r w:rsidRPr="00890A05">
        <w:rPr>
          <w:rFonts w:eastAsia="Times New Roman" w:cs="Arial"/>
          <w:sz w:val="21"/>
          <w:szCs w:val="21"/>
          <w:lang w:val="hr-HR"/>
        </w:rPr>
        <w:t>appointment</w:t>
      </w:r>
      <w:proofErr w:type="spellEnd"/>
      <w:r w:rsidRPr="00890A05">
        <w:rPr>
          <w:rFonts w:eastAsia="Times New Roman" w:cs="Arial"/>
          <w:sz w:val="21"/>
          <w:szCs w:val="21"/>
          <w:lang w:val="hr-HR"/>
        </w:rPr>
        <w:t xml:space="preserve"> </w:t>
      </w:r>
      <w:proofErr w:type="spellStart"/>
      <w:r w:rsidRPr="00890A05">
        <w:rPr>
          <w:rFonts w:eastAsia="Times New Roman" w:cs="Arial"/>
          <w:sz w:val="21"/>
          <w:szCs w:val="21"/>
          <w:lang w:val="hr-HR"/>
        </w:rPr>
        <w:t>of</w:t>
      </w:r>
      <w:proofErr w:type="spellEnd"/>
      <w:r w:rsidRPr="00890A05">
        <w:rPr>
          <w:rFonts w:eastAsia="Times New Roman" w:cs="Arial"/>
          <w:sz w:val="21"/>
          <w:szCs w:val="21"/>
          <w:lang w:val="hr-HR"/>
        </w:rPr>
        <w:t xml:space="preserve"> a </w:t>
      </w:r>
      <w:proofErr w:type="spellStart"/>
      <w:r w:rsidRPr="00890A05">
        <w:rPr>
          <w:rFonts w:eastAsia="Times New Roman" w:cs="Arial"/>
          <w:sz w:val="21"/>
          <w:szCs w:val="21"/>
          <w:lang w:val="hr-HR"/>
        </w:rPr>
        <w:t>new</w:t>
      </w:r>
      <w:proofErr w:type="spellEnd"/>
      <w:r w:rsidRPr="00890A05">
        <w:rPr>
          <w:rFonts w:eastAsia="Times New Roman" w:cs="Arial"/>
          <w:sz w:val="21"/>
          <w:szCs w:val="21"/>
          <w:lang w:val="hr-HR"/>
        </w:rPr>
        <w:t xml:space="preserve"> Management </w:t>
      </w:r>
      <w:proofErr w:type="spellStart"/>
      <w:r w:rsidRPr="00890A05">
        <w:rPr>
          <w:rFonts w:eastAsia="Times New Roman" w:cs="Arial"/>
          <w:sz w:val="21"/>
          <w:szCs w:val="21"/>
          <w:lang w:val="hr-HR"/>
        </w:rPr>
        <w:t>Board</w:t>
      </w:r>
      <w:proofErr w:type="spellEnd"/>
      <w:r w:rsidRPr="00890A05">
        <w:rPr>
          <w:rFonts w:eastAsia="Times New Roman" w:cs="Arial"/>
          <w:sz w:val="21"/>
          <w:szCs w:val="21"/>
          <w:lang w:val="hr-HR"/>
        </w:rPr>
        <w:t xml:space="preserve"> </w:t>
      </w:r>
      <w:proofErr w:type="spellStart"/>
      <w:r w:rsidRPr="00890A05">
        <w:rPr>
          <w:rFonts w:eastAsia="Times New Roman" w:cs="Arial"/>
          <w:sz w:val="21"/>
          <w:szCs w:val="21"/>
          <w:lang w:val="hr-HR"/>
        </w:rPr>
        <w:t>of</w:t>
      </w:r>
      <w:proofErr w:type="spellEnd"/>
      <w:r w:rsidRPr="00890A05">
        <w:rPr>
          <w:rFonts w:eastAsia="Times New Roman" w:cs="Arial"/>
          <w:sz w:val="21"/>
          <w:szCs w:val="21"/>
          <w:lang w:val="hr-HR"/>
        </w:rPr>
        <w:t xml:space="preserve"> HBOR.</w:t>
      </w:r>
    </w:p>
    <w:p w14:paraId="12331ED5" w14:textId="5F424C56" w:rsidR="009F6FF5" w:rsidRPr="00890A05" w:rsidRDefault="009F6FF5" w:rsidP="007C6016">
      <w:pPr>
        <w:spacing w:after="0" w:line="240" w:lineRule="auto"/>
        <w:jc w:val="both"/>
        <w:rPr>
          <w:rFonts w:eastAsia="Times New Roman" w:cs="Arial"/>
          <w:sz w:val="21"/>
          <w:szCs w:val="21"/>
          <w:lang w:val="hr-HR"/>
        </w:rPr>
      </w:pPr>
      <w:r w:rsidRPr="00890A05">
        <w:rPr>
          <w:rFonts w:eastAsia="Times New Roman" w:cs="Arial"/>
          <w:sz w:val="21"/>
          <w:szCs w:val="21"/>
          <w:lang w:val="hr-HR"/>
        </w:rPr>
        <w:t xml:space="preserve">As </w:t>
      </w:r>
      <w:proofErr w:type="spellStart"/>
      <w:r w:rsidRPr="00890A05">
        <w:rPr>
          <w:rFonts w:eastAsia="Times New Roman" w:cs="Arial"/>
          <w:sz w:val="21"/>
          <w:szCs w:val="21"/>
          <w:lang w:val="hr-HR"/>
        </w:rPr>
        <w:t>of</w:t>
      </w:r>
      <w:proofErr w:type="spellEnd"/>
      <w:r w:rsidRPr="00890A05">
        <w:rPr>
          <w:rFonts w:eastAsia="Times New Roman" w:cs="Arial"/>
          <w:sz w:val="21"/>
          <w:szCs w:val="21"/>
          <w:lang w:val="hr-HR"/>
        </w:rPr>
        <w:t xml:space="preserve"> 16 </w:t>
      </w:r>
      <w:proofErr w:type="spellStart"/>
      <w:r w:rsidRPr="00890A05">
        <w:rPr>
          <w:rFonts w:eastAsia="Times New Roman" w:cs="Arial"/>
          <w:sz w:val="21"/>
          <w:szCs w:val="21"/>
          <w:lang w:val="hr-HR"/>
        </w:rPr>
        <w:t>October</w:t>
      </w:r>
      <w:proofErr w:type="spellEnd"/>
      <w:r w:rsidRPr="00890A05">
        <w:rPr>
          <w:rFonts w:eastAsia="Times New Roman" w:cs="Arial"/>
          <w:sz w:val="21"/>
          <w:szCs w:val="21"/>
          <w:lang w:val="hr-HR"/>
        </w:rPr>
        <w:t xml:space="preserve"> 2017, Tamara Perko, </w:t>
      </w:r>
      <w:proofErr w:type="spellStart"/>
      <w:r w:rsidRPr="00890A05">
        <w:rPr>
          <w:rFonts w:eastAsia="Times New Roman" w:cs="Arial"/>
          <w:sz w:val="21"/>
          <w:szCs w:val="21"/>
          <w:lang w:val="hr-HR"/>
        </w:rPr>
        <w:t>MSc</w:t>
      </w:r>
      <w:proofErr w:type="spellEnd"/>
      <w:r w:rsidR="00402675" w:rsidRPr="00890A05">
        <w:rPr>
          <w:rFonts w:eastAsia="Times New Roman" w:cs="Arial"/>
          <w:sz w:val="21"/>
          <w:szCs w:val="21"/>
          <w:lang w:val="hr-HR"/>
        </w:rPr>
        <w:t>,</w:t>
      </w:r>
      <w:r w:rsidRPr="00890A05">
        <w:rPr>
          <w:rFonts w:eastAsia="Times New Roman" w:cs="Arial"/>
          <w:sz w:val="21"/>
          <w:szCs w:val="21"/>
          <w:lang w:val="hr-HR"/>
        </w:rPr>
        <w:t xml:space="preserve"> </w:t>
      </w:r>
      <w:proofErr w:type="spellStart"/>
      <w:r w:rsidRPr="00890A05">
        <w:rPr>
          <w:rFonts w:eastAsia="Times New Roman" w:cs="Arial"/>
          <w:sz w:val="21"/>
          <w:szCs w:val="21"/>
          <w:lang w:val="hr-HR"/>
        </w:rPr>
        <w:t>is</w:t>
      </w:r>
      <w:proofErr w:type="spellEnd"/>
      <w:r w:rsidRPr="00890A05">
        <w:rPr>
          <w:rFonts w:eastAsia="Times New Roman" w:cs="Arial"/>
          <w:sz w:val="21"/>
          <w:szCs w:val="21"/>
          <w:lang w:val="hr-HR"/>
        </w:rPr>
        <w:t xml:space="preserve"> </w:t>
      </w:r>
      <w:proofErr w:type="spellStart"/>
      <w:r w:rsidRPr="00890A05">
        <w:rPr>
          <w:rFonts w:eastAsia="Times New Roman" w:cs="Arial"/>
          <w:sz w:val="21"/>
          <w:szCs w:val="21"/>
          <w:lang w:val="hr-HR"/>
        </w:rPr>
        <w:t>appointed</w:t>
      </w:r>
      <w:proofErr w:type="spellEnd"/>
      <w:r w:rsidRPr="00890A05">
        <w:rPr>
          <w:rFonts w:eastAsia="Times New Roman" w:cs="Arial"/>
          <w:sz w:val="21"/>
          <w:szCs w:val="21"/>
          <w:lang w:val="hr-HR"/>
        </w:rPr>
        <w:t xml:space="preserve"> </w:t>
      </w:r>
      <w:proofErr w:type="spellStart"/>
      <w:r w:rsidRPr="00890A05">
        <w:rPr>
          <w:rFonts w:eastAsia="Times New Roman" w:cs="Arial"/>
          <w:sz w:val="21"/>
          <w:szCs w:val="21"/>
          <w:lang w:val="hr-HR"/>
        </w:rPr>
        <w:t>President</w:t>
      </w:r>
      <w:proofErr w:type="spellEnd"/>
      <w:r w:rsidRPr="00890A05">
        <w:rPr>
          <w:rFonts w:eastAsia="Times New Roman" w:cs="Arial"/>
          <w:sz w:val="21"/>
          <w:szCs w:val="21"/>
          <w:lang w:val="hr-HR"/>
        </w:rPr>
        <w:t xml:space="preserve"> </w:t>
      </w:r>
      <w:proofErr w:type="spellStart"/>
      <w:r w:rsidRPr="00890A05">
        <w:rPr>
          <w:rFonts w:eastAsia="Times New Roman" w:cs="Arial"/>
          <w:sz w:val="21"/>
          <w:szCs w:val="21"/>
          <w:lang w:val="hr-HR"/>
        </w:rPr>
        <w:t>of</w:t>
      </w:r>
      <w:proofErr w:type="spellEnd"/>
      <w:r w:rsidRPr="00890A05">
        <w:rPr>
          <w:rFonts w:eastAsia="Times New Roman" w:cs="Arial"/>
          <w:sz w:val="21"/>
          <w:szCs w:val="21"/>
          <w:lang w:val="hr-HR"/>
        </w:rPr>
        <w:t xml:space="preserve"> </w:t>
      </w:r>
      <w:proofErr w:type="spellStart"/>
      <w:r w:rsidRPr="00890A05">
        <w:rPr>
          <w:rFonts w:eastAsia="Times New Roman" w:cs="Arial"/>
          <w:sz w:val="21"/>
          <w:szCs w:val="21"/>
          <w:lang w:val="hr-HR"/>
        </w:rPr>
        <w:t>the</w:t>
      </w:r>
      <w:proofErr w:type="spellEnd"/>
      <w:r w:rsidRPr="00890A05">
        <w:rPr>
          <w:rFonts w:eastAsia="Times New Roman" w:cs="Arial"/>
          <w:sz w:val="21"/>
          <w:szCs w:val="21"/>
          <w:lang w:val="hr-HR"/>
        </w:rPr>
        <w:t xml:space="preserve"> Management </w:t>
      </w:r>
      <w:proofErr w:type="spellStart"/>
      <w:r w:rsidRPr="00890A05">
        <w:rPr>
          <w:rFonts w:eastAsia="Times New Roman" w:cs="Arial"/>
          <w:sz w:val="21"/>
          <w:szCs w:val="21"/>
          <w:lang w:val="hr-HR"/>
        </w:rPr>
        <w:t>Board</w:t>
      </w:r>
      <w:proofErr w:type="spellEnd"/>
      <w:r w:rsidRPr="00890A05">
        <w:rPr>
          <w:rFonts w:eastAsia="Times New Roman" w:cs="Arial"/>
          <w:sz w:val="21"/>
          <w:szCs w:val="21"/>
          <w:lang w:val="hr-HR"/>
        </w:rPr>
        <w:t xml:space="preserve"> </w:t>
      </w:r>
      <w:proofErr w:type="spellStart"/>
      <w:r w:rsidRPr="00890A05">
        <w:rPr>
          <w:rFonts w:eastAsia="Times New Roman" w:cs="Arial"/>
          <w:sz w:val="21"/>
          <w:szCs w:val="21"/>
          <w:lang w:val="hr-HR"/>
        </w:rPr>
        <w:t>of</w:t>
      </w:r>
      <w:proofErr w:type="spellEnd"/>
      <w:r w:rsidRPr="00890A05">
        <w:rPr>
          <w:rFonts w:eastAsia="Times New Roman" w:cs="Arial"/>
          <w:sz w:val="21"/>
          <w:szCs w:val="21"/>
          <w:lang w:val="hr-HR"/>
        </w:rPr>
        <w:t xml:space="preserve"> HBOR, </w:t>
      </w:r>
      <w:proofErr w:type="spellStart"/>
      <w:r w:rsidRPr="00890A05">
        <w:rPr>
          <w:rFonts w:eastAsia="Times New Roman" w:cs="Arial"/>
          <w:sz w:val="21"/>
          <w:szCs w:val="21"/>
          <w:lang w:val="hr-HR"/>
        </w:rPr>
        <w:t>and</w:t>
      </w:r>
      <w:proofErr w:type="spellEnd"/>
      <w:r w:rsidRPr="00890A05">
        <w:rPr>
          <w:rFonts w:eastAsia="Times New Roman" w:cs="Arial"/>
          <w:sz w:val="21"/>
          <w:szCs w:val="21"/>
          <w:lang w:val="hr-HR"/>
        </w:rPr>
        <w:t xml:space="preserve"> Hrvoje Čuvalo, </w:t>
      </w:r>
      <w:proofErr w:type="spellStart"/>
      <w:r w:rsidRPr="00890A05">
        <w:rPr>
          <w:rFonts w:eastAsia="Times New Roman" w:cs="Arial"/>
          <w:sz w:val="21"/>
          <w:szCs w:val="21"/>
          <w:lang w:val="hr-HR"/>
        </w:rPr>
        <w:t>MSc</w:t>
      </w:r>
      <w:proofErr w:type="spellEnd"/>
      <w:r w:rsidRPr="00890A05">
        <w:rPr>
          <w:rFonts w:eastAsia="Times New Roman" w:cs="Arial"/>
          <w:sz w:val="21"/>
          <w:szCs w:val="21"/>
          <w:lang w:val="hr-HR"/>
        </w:rPr>
        <w:t xml:space="preserve">, </w:t>
      </w:r>
      <w:proofErr w:type="spellStart"/>
      <w:r w:rsidRPr="00890A05">
        <w:rPr>
          <w:rFonts w:eastAsia="Times New Roman" w:cs="Arial"/>
          <w:sz w:val="21"/>
          <w:szCs w:val="21"/>
          <w:lang w:val="hr-HR"/>
        </w:rPr>
        <w:t>Member</w:t>
      </w:r>
      <w:proofErr w:type="spellEnd"/>
      <w:r w:rsidRPr="00890A05">
        <w:rPr>
          <w:rFonts w:eastAsia="Times New Roman" w:cs="Arial"/>
          <w:sz w:val="21"/>
          <w:szCs w:val="21"/>
          <w:lang w:val="hr-HR"/>
        </w:rPr>
        <w:t xml:space="preserve"> </w:t>
      </w:r>
      <w:proofErr w:type="spellStart"/>
      <w:r w:rsidRPr="00890A05">
        <w:rPr>
          <w:rFonts w:eastAsia="Times New Roman" w:cs="Arial"/>
          <w:sz w:val="21"/>
          <w:szCs w:val="21"/>
          <w:lang w:val="hr-HR"/>
        </w:rPr>
        <w:t>of</w:t>
      </w:r>
      <w:proofErr w:type="spellEnd"/>
      <w:r w:rsidRPr="00890A05">
        <w:rPr>
          <w:rFonts w:eastAsia="Times New Roman" w:cs="Arial"/>
          <w:sz w:val="21"/>
          <w:szCs w:val="21"/>
          <w:lang w:val="hr-HR"/>
        </w:rPr>
        <w:t xml:space="preserve"> </w:t>
      </w:r>
      <w:proofErr w:type="spellStart"/>
      <w:r w:rsidRPr="00890A05">
        <w:rPr>
          <w:rFonts w:eastAsia="Times New Roman" w:cs="Arial"/>
          <w:sz w:val="21"/>
          <w:szCs w:val="21"/>
          <w:lang w:val="hr-HR"/>
        </w:rPr>
        <w:t>the</w:t>
      </w:r>
      <w:proofErr w:type="spellEnd"/>
      <w:r w:rsidRPr="00890A05">
        <w:rPr>
          <w:rFonts w:eastAsia="Times New Roman" w:cs="Arial"/>
          <w:sz w:val="21"/>
          <w:szCs w:val="21"/>
          <w:lang w:val="hr-HR"/>
        </w:rPr>
        <w:t xml:space="preserve"> Management </w:t>
      </w:r>
      <w:proofErr w:type="spellStart"/>
      <w:r w:rsidRPr="00890A05">
        <w:rPr>
          <w:rFonts w:eastAsia="Times New Roman" w:cs="Arial"/>
          <w:sz w:val="21"/>
          <w:szCs w:val="21"/>
          <w:lang w:val="hr-HR"/>
        </w:rPr>
        <w:t>Board</w:t>
      </w:r>
      <w:proofErr w:type="spellEnd"/>
      <w:r w:rsidRPr="00890A05">
        <w:rPr>
          <w:rFonts w:eastAsia="Times New Roman" w:cs="Arial"/>
          <w:sz w:val="21"/>
          <w:szCs w:val="21"/>
          <w:lang w:val="hr-HR"/>
        </w:rPr>
        <w:t xml:space="preserve">. </w:t>
      </w:r>
    </w:p>
    <w:p w14:paraId="4E328E25" w14:textId="26FEA1EC" w:rsidR="009F6FF5" w:rsidRPr="00890A05" w:rsidRDefault="009F6FF5">
      <w:pPr>
        <w:spacing w:after="0" w:line="240" w:lineRule="auto"/>
        <w:jc w:val="both"/>
        <w:rPr>
          <w:rFonts w:eastAsia="Times New Roman" w:cs="Arial"/>
          <w:sz w:val="21"/>
          <w:szCs w:val="21"/>
          <w:lang w:val="hr-HR"/>
        </w:rPr>
      </w:pPr>
      <w:proofErr w:type="spellStart"/>
      <w:r w:rsidRPr="00890A05">
        <w:rPr>
          <w:rFonts w:eastAsia="Times New Roman" w:cs="Arial"/>
          <w:sz w:val="21"/>
          <w:szCs w:val="21"/>
          <w:lang w:val="hr-HR"/>
        </w:rPr>
        <w:t>The</w:t>
      </w:r>
      <w:proofErr w:type="spellEnd"/>
      <w:r w:rsidRPr="00890A05">
        <w:rPr>
          <w:rFonts w:eastAsia="Times New Roman" w:cs="Arial"/>
          <w:sz w:val="21"/>
          <w:szCs w:val="21"/>
          <w:lang w:val="hr-HR"/>
        </w:rPr>
        <w:t xml:space="preserve"> </w:t>
      </w:r>
      <w:proofErr w:type="spellStart"/>
      <w:r w:rsidRPr="00890A05">
        <w:rPr>
          <w:rFonts w:eastAsia="Times New Roman" w:cs="Arial"/>
          <w:sz w:val="21"/>
          <w:szCs w:val="21"/>
          <w:lang w:val="hr-HR"/>
        </w:rPr>
        <w:t>new</w:t>
      </w:r>
      <w:proofErr w:type="spellEnd"/>
      <w:r w:rsidR="000866AF" w:rsidRPr="00890A05">
        <w:rPr>
          <w:rFonts w:eastAsia="Times New Roman" w:cs="Arial"/>
          <w:sz w:val="21"/>
          <w:szCs w:val="21"/>
          <w:lang w:val="hr-HR"/>
        </w:rPr>
        <w:t xml:space="preserve"> Management </w:t>
      </w:r>
      <w:proofErr w:type="spellStart"/>
      <w:r w:rsidR="000866AF" w:rsidRPr="00890A05">
        <w:rPr>
          <w:rFonts w:eastAsia="Times New Roman" w:cs="Arial"/>
          <w:sz w:val="21"/>
          <w:szCs w:val="21"/>
          <w:lang w:val="hr-HR"/>
        </w:rPr>
        <w:t>Board</w:t>
      </w:r>
      <w:proofErr w:type="spellEnd"/>
      <w:r w:rsidR="000866AF" w:rsidRPr="00890A05">
        <w:rPr>
          <w:rFonts w:eastAsia="Times New Roman" w:cs="Arial"/>
          <w:sz w:val="21"/>
          <w:szCs w:val="21"/>
          <w:lang w:val="hr-HR"/>
        </w:rPr>
        <w:t xml:space="preserve"> </w:t>
      </w:r>
      <w:proofErr w:type="spellStart"/>
      <w:r w:rsidR="000866AF" w:rsidRPr="00890A05">
        <w:rPr>
          <w:rFonts w:eastAsia="Times New Roman" w:cs="Arial"/>
          <w:sz w:val="21"/>
          <w:szCs w:val="21"/>
          <w:lang w:val="hr-HR"/>
        </w:rPr>
        <w:t>is</w:t>
      </w:r>
      <w:proofErr w:type="spellEnd"/>
      <w:r w:rsidR="000866AF" w:rsidRPr="00890A05">
        <w:rPr>
          <w:rFonts w:eastAsia="Times New Roman" w:cs="Arial"/>
          <w:sz w:val="21"/>
          <w:szCs w:val="21"/>
          <w:lang w:val="hr-HR"/>
        </w:rPr>
        <w:t xml:space="preserve"> </w:t>
      </w:r>
      <w:proofErr w:type="spellStart"/>
      <w:r w:rsidR="000866AF" w:rsidRPr="00890A05">
        <w:rPr>
          <w:rFonts w:eastAsia="Times New Roman" w:cs="Arial"/>
          <w:sz w:val="21"/>
          <w:szCs w:val="21"/>
          <w:lang w:val="hr-HR"/>
        </w:rPr>
        <w:t>appointed</w:t>
      </w:r>
      <w:proofErr w:type="spellEnd"/>
      <w:r w:rsidR="000866AF" w:rsidRPr="00890A05">
        <w:rPr>
          <w:rFonts w:eastAsia="Times New Roman" w:cs="Arial"/>
          <w:sz w:val="21"/>
          <w:szCs w:val="21"/>
          <w:lang w:val="hr-HR"/>
        </w:rPr>
        <w:t xml:space="preserve"> </w:t>
      </w:r>
      <w:r w:rsidRPr="00890A05">
        <w:rPr>
          <w:rFonts w:eastAsia="Times New Roman" w:cs="Arial"/>
          <w:sz w:val="21"/>
          <w:szCs w:val="21"/>
          <w:lang w:val="hr-HR"/>
        </w:rPr>
        <w:t xml:space="preserve">for a </w:t>
      </w:r>
      <w:proofErr w:type="spellStart"/>
      <w:r w:rsidRPr="00890A05">
        <w:rPr>
          <w:rFonts w:eastAsia="Times New Roman" w:cs="Arial"/>
          <w:sz w:val="21"/>
          <w:szCs w:val="21"/>
          <w:lang w:val="hr-HR"/>
        </w:rPr>
        <w:t>five-year</w:t>
      </w:r>
      <w:proofErr w:type="spellEnd"/>
      <w:r w:rsidRPr="00890A05">
        <w:rPr>
          <w:rFonts w:eastAsia="Times New Roman" w:cs="Arial"/>
          <w:sz w:val="21"/>
          <w:szCs w:val="21"/>
          <w:lang w:val="hr-HR"/>
        </w:rPr>
        <w:t xml:space="preserve"> </w:t>
      </w:r>
      <w:proofErr w:type="spellStart"/>
      <w:r w:rsidRPr="00890A05">
        <w:rPr>
          <w:rFonts w:eastAsia="Times New Roman" w:cs="Arial"/>
          <w:sz w:val="21"/>
          <w:szCs w:val="21"/>
          <w:lang w:val="hr-HR"/>
        </w:rPr>
        <w:t>term</w:t>
      </w:r>
      <w:proofErr w:type="spellEnd"/>
      <w:r w:rsidRPr="00890A05">
        <w:rPr>
          <w:rFonts w:eastAsia="Times New Roman" w:cs="Arial"/>
          <w:sz w:val="21"/>
          <w:szCs w:val="21"/>
          <w:lang w:val="hr-HR"/>
        </w:rPr>
        <w:t xml:space="preserve"> </w:t>
      </w:r>
      <w:proofErr w:type="spellStart"/>
      <w:r w:rsidRPr="00890A05">
        <w:rPr>
          <w:rFonts w:eastAsia="Times New Roman" w:cs="Arial"/>
          <w:sz w:val="21"/>
          <w:szCs w:val="21"/>
          <w:lang w:val="hr-HR"/>
        </w:rPr>
        <w:t>of</w:t>
      </w:r>
      <w:proofErr w:type="spellEnd"/>
      <w:r w:rsidRPr="00890A05">
        <w:rPr>
          <w:rFonts w:eastAsia="Times New Roman" w:cs="Arial"/>
          <w:sz w:val="21"/>
          <w:szCs w:val="21"/>
          <w:lang w:val="hr-HR"/>
        </w:rPr>
        <w:t xml:space="preserve"> </w:t>
      </w:r>
      <w:proofErr w:type="spellStart"/>
      <w:r w:rsidRPr="00890A05">
        <w:rPr>
          <w:rFonts w:eastAsia="Times New Roman" w:cs="Arial"/>
          <w:sz w:val="21"/>
          <w:szCs w:val="21"/>
          <w:lang w:val="hr-HR"/>
        </w:rPr>
        <w:t>office</w:t>
      </w:r>
      <w:proofErr w:type="spellEnd"/>
      <w:r w:rsidRPr="00890A05">
        <w:rPr>
          <w:rFonts w:eastAsia="Times New Roman" w:cs="Arial"/>
          <w:sz w:val="21"/>
          <w:szCs w:val="21"/>
          <w:lang w:val="hr-HR"/>
        </w:rPr>
        <w:t>.</w:t>
      </w:r>
    </w:p>
    <w:p w14:paraId="42035DC6" w14:textId="77777777" w:rsidR="00E425CE" w:rsidRPr="00890A05" w:rsidRDefault="00E425CE" w:rsidP="006B318F">
      <w:pPr>
        <w:tabs>
          <w:tab w:val="left" w:pos="-720"/>
        </w:tabs>
        <w:suppressAutoHyphens/>
        <w:spacing w:after="0" w:line="240" w:lineRule="auto"/>
        <w:rPr>
          <w:rFonts w:eastAsia="Times New Roman" w:cs="Calibri"/>
          <w:b/>
          <w:spacing w:val="-3"/>
          <w:sz w:val="21"/>
          <w:szCs w:val="21"/>
          <w:lang w:eastAsia="hr-HR"/>
        </w:rPr>
      </w:pPr>
    </w:p>
    <w:p w14:paraId="16314149" w14:textId="338590C9" w:rsidR="00E425CE" w:rsidRPr="00890A05" w:rsidRDefault="005701BE" w:rsidP="006B318F">
      <w:pPr>
        <w:spacing w:after="0" w:line="240" w:lineRule="auto"/>
        <w:jc w:val="both"/>
        <w:rPr>
          <w:rFonts w:eastAsia="Times New Roman" w:cs="Arial"/>
          <w:sz w:val="21"/>
          <w:szCs w:val="21"/>
          <w:lang w:val="hr-HR"/>
        </w:rPr>
      </w:pPr>
      <w:r w:rsidRPr="00890A05">
        <w:rPr>
          <w:rFonts w:eastAsia="Times New Roman" w:cs="Arial"/>
          <w:sz w:val="21"/>
          <w:szCs w:val="21"/>
          <w:lang w:val="hr-HR"/>
        </w:rPr>
        <w:t xml:space="preserve">Tamara Perko, </w:t>
      </w:r>
      <w:proofErr w:type="spellStart"/>
      <w:r w:rsidRPr="00890A05">
        <w:rPr>
          <w:rFonts w:eastAsia="Times New Roman" w:cs="Arial"/>
          <w:sz w:val="21"/>
          <w:szCs w:val="21"/>
          <w:lang w:val="hr-HR"/>
        </w:rPr>
        <w:t>MSc</w:t>
      </w:r>
      <w:proofErr w:type="spellEnd"/>
      <w:r w:rsidR="00402675" w:rsidRPr="00890A05">
        <w:rPr>
          <w:rFonts w:eastAsia="Times New Roman" w:cs="Arial"/>
          <w:sz w:val="21"/>
          <w:szCs w:val="21"/>
          <w:lang w:val="hr-HR"/>
        </w:rPr>
        <w:t>,</w:t>
      </w:r>
      <w:r w:rsidRPr="00890A05">
        <w:rPr>
          <w:rFonts w:eastAsia="Times New Roman" w:cs="Arial"/>
          <w:sz w:val="21"/>
          <w:szCs w:val="21"/>
          <w:lang w:val="hr-HR"/>
        </w:rPr>
        <w:t xml:space="preserve"> </w:t>
      </w:r>
      <w:proofErr w:type="spellStart"/>
      <w:r w:rsidRPr="00890A05">
        <w:rPr>
          <w:rFonts w:eastAsia="Times New Roman" w:cs="Arial"/>
          <w:sz w:val="21"/>
          <w:szCs w:val="21"/>
          <w:lang w:val="hr-HR"/>
        </w:rPr>
        <w:t>has</w:t>
      </w:r>
      <w:proofErr w:type="spellEnd"/>
      <w:r w:rsidRPr="00890A05">
        <w:rPr>
          <w:rFonts w:eastAsia="Times New Roman" w:cs="Arial"/>
          <w:sz w:val="21"/>
          <w:szCs w:val="21"/>
          <w:lang w:val="hr-HR"/>
        </w:rPr>
        <w:t xml:space="preserve"> </w:t>
      </w:r>
      <w:proofErr w:type="spellStart"/>
      <w:r w:rsidRPr="00890A05">
        <w:rPr>
          <w:rFonts w:eastAsia="Times New Roman" w:cs="Arial"/>
          <w:sz w:val="21"/>
          <w:szCs w:val="21"/>
          <w:lang w:val="hr-HR"/>
        </w:rPr>
        <w:t>been</w:t>
      </w:r>
      <w:proofErr w:type="spellEnd"/>
      <w:r w:rsidRPr="00890A05">
        <w:rPr>
          <w:rFonts w:eastAsia="Times New Roman" w:cs="Arial"/>
          <w:sz w:val="21"/>
          <w:szCs w:val="21"/>
          <w:lang w:val="hr-HR"/>
        </w:rPr>
        <w:t xml:space="preserve"> holding </w:t>
      </w:r>
      <w:proofErr w:type="spellStart"/>
      <w:r w:rsidRPr="00890A05">
        <w:rPr>
          <w:rFonts w:eastAsia="Times New Roman" w:cs="Arial"/>
          <w:sz w:val="21"/>
          <w:szCs w:val="21"/>
          <w:lang w:val="hr-HR"/>
        </w:rPr>
        <w:t>the</w:t>
      </w:r>
      <w:proofErr w:type="spellEnd"/>
      <w:r w:rsidRPr="00890A05">
        <w:rPr>
          <w:rFonts w:eastAsia="Times New Roman" w:cs="Arial"/>
          <w:sz w:val="21"/>
          <w:szCs w:val="21"/>
          <w:lang w:val="hr-HR"/>
        </w:rPr>
        <w:t xml:space="preserve"> </w:t>
      </w:r>
      <w:proofErr w:type="spellStart"/>
      <w:r w:rsidRPr="00890A05">
        <w:rPr>
          <w:rFonts w:eastAsia="Times New Roman" w:cs="Arial"/>
          <w:sz w:val="21"/>
          <w:szCs w:val="21"/>
          <w:lang w:val="hr-HR"/>
        </w:rPr>
        <w:t>position</w:t>
      </w:r>
      <w:proofErr w:type="spellEnd"/>
      <w:r w:rsidRPr="00890A05">
        <w:rPr>
          <w:rFonts w:eastAsia="Times New Roman" w:cs="Arial"/>
          <w:sz w:val="21"/>
          <w:szCs w:val="21"/>
          <w:lang w:val="hr-HR"/>
        </w:rPr>
        <w:t xml:space="preserve"> </w:t>
      </w:r>
      <w:proofErr w:type="spellStart"/>
      <w:r w:rsidRPr="00890A05">
        <w:rPr>
          <w:rFonts w:eastAsia="Times New Roman" w:cs="Arial"/>
          <w:sz w:val="21"/>
          <w:szCs w:val="21"/>
          <w:lang w:val="hr-HR"/>
        </w:rPr>
        <w:t>of</w:t>
      </w:r>
      <w:proofErr w:type="spellEnd"/>
      <w:r w:rsidRPr="00890A05">
        <w:rPr>
          <w:rFonts w:eastAsia="Times New Roman" w:cs="Arial"/>
          <w:sz w:val="21"/>
          <w:szCs w:val="21"/>
          <w:lang w:val="hr-HR"/>
        </w:rPr>
        <w:t xml:space="preserve"> </w:t>
      </w:r>
      <w:proofErr w:type="spellStart"/>
      <w:r w:rsidRPr="00890A05">
        <w:rPr>
          <w:rFonts w:eastAsia="Times New Roman" w:cs="Arial"/>
          <w:sz w:val="21"/>
          <w:szCs w:val="21"/>
          <w:lang w:val="hr-HR"/>
        </w:rPr>
        <w:t>the</w:t>
      </w:r>
      <w:proofErr w:type="spellEnd"/>
      <w:r w:rsidRPr="00890A05">
        <w:rPr>
          <w:rFonts w:eastAsia="Times New Roman" w:cs="Arial"/>
          <w:sz w:val="21"/>
          <w:szCs w:val="21"/>
          <w:lang w:val="hr-HR"/>
        </w:rPr>
        <w:t xml:space="preserve"> </w:t>
      </w:r>
      <w:proofErr w:type="spellStart"/>
      <w:r w:rsidRPr="00890A05">
        <w:rPr>
          <w:rFonts w:eastAsia="Times New Roman" w:cs="Arial"/>
          <w:sz w:val="21"/>
          <w:szCs w:val="21"/>
          <w:lang w:val="hr-HR"/>
        </w:rPr>
        <w:t>President</w:t>
      </w:r>
      <w:proofErr w:type="spellEnd"/>
      <w:r w:rsidRPr="00890A05">
        <w:rPr>
          <w:rFonts w:eastAsia="Times New Roman" w:cs="Arial"/>
          <w:sz w:val="21"/>
          <w:szCs w:val="21"/>
          <w:lang w:val="hr-HR"/>
        </w:rPr>
        <w:t xml:space="preserve"> </w:t>
      </w:r>
      <w:proofErr w:type="spellStart"/>
      <w:r w:rsidRPr="00890A05">
        <w:rPr>
          <w:rFonts w:eastAsia="Times New Roman" w:cs="Arial"/>
          <w:sz w:val="21"/>
          <w:szCs w:val="21"/>
          <w:lang w:val="hr-HR"/>
        </w:rPr>
        <w:t>of</w:t>
      </w:r>
      <w:proofErr w:type="spellEnd"/>
      <w:r w:rsidRPr="00890A05">
        <w:rPr>
          <w:rFonts w:eastAsia="Times New Roman" w:cs="Arial"/>
          <w:sz w:val="21"/>
          <w:szCs w:val="21"/>
          <w:lang w:val="hr-HR"/>
        </w:rPr>
        <w:t xml:space="preserve"> </w:t>
      </w:r>
      <w:proofErr w:type="spellStart"/>
      <w:r w:rsidRPr="00890A05">
        <w:rPr>
          <w:rFonts w:eastAsia="Times New Roman" w:cs="Arial"/>
          <w:sz w:val="21"/>
          <w:szCs w:val="21"/>
          <w:lang w:val="hr-HR"/>
        </w:rPr>
        <w:t>the</w:t>
      </w:r>
      <w:proofErr w:type="spellEnd"/>
      <w:r w:rsidRPr="00890A05">
        <w:rPr>
          <w:rFonts w:eastAsia="Times New Roman" w:cs="Arial"/>
          <w:sz w:val="21"/>
          <w:szCs w:val="21"/>
          <w:lang w:val="hr-HR"/>
        </w:rPr>
        <w:t xml:space="preserve"> Management </w:t>
      </w:r>
      <w:proofErr w:type="spellStart"/>
      <w:r w:rsidRPr="00890A05">
        <w:rPr>
          <w:rFonts w:eastAsia="Times New Roman" w:cs="Arial"/>
          <w:sz w:val="21"/>
          <w:szCs w:val="21"/>
          <w:lang w:val="hr-HR"/>
        </w:rPr>
        <w:t>Board</w:t>
      </w:r>
      <w:proofErr w:type="spellEnd"/>
      <w:r w:rsidRPr="00890A05">
        <w:rPr>
          <w:rFonts w:eastAsia="Times New Roman" w:cs="Arial"/>
          <w:sz w:val="21"/>
          <w:szCs w:val="21"/>
          <w:lang w:val="hr-HR"/>
        </w:rPr>
        <w:t xml:space="preserve"> </w:t>
      </w:r>
      <w:proofErr w:type="spellStart"/>
      <w:r w:rsidRPr="00890A05">
        <w:rPr>
          <w:rFonts w:eastAsia="Times New Roman" w:cs="Arial"/>
          <w:sz w:val="21"/>
          <w:szCs w:val="21"/>
          <w:lang w:val="hr-HR"/>
        </w:rPr>
        <w:t>of</w:t>
      </w:r>
      <w:proofErr w:type="spellEnd"/>
      <w:r w:rsidRPr="00890A05">
        <w:rPr>
          <w:rFonts w:eastAsia="Times New Roman" w:cs="Arial"/>
          <w:sz w:val="21"/>
          <w:szCs w:val="21"/>
          <w:lang w:val="hr-HR"/>
        </w:rPr>
        <w:t xml:space="preserve"> HBOR </w:t>
      </w:r>
      <w:proofErr w:type="spellStart"/>
      <w:r w:rsidRPr="00890A05">
        <w:rPr>
          <w:rFonts w:eastAsia="Times New Roman" w:cs="Arial"/>
          <w:sz w:val="21"/>
          <w:szCs w:val="21"/>
          <w:lang w:val="hr-HR"/>
        </w:rPr>
        <w:t>since</w:t>
      </w:r>
      <w:proofErr w:type="spellEnd"/>
      <w:r w:rsidRPr="00890A05">
        <w:rPr>
          <w:rFonts w:eastAsia="Times New Roman" w:cs="Arial"/>
          <w:sz w:val="21"/>
          <w:szCs w:val="21"/>
          <w:lang w:val="hr-HR"/>
        </w:rPr>
        <w:t xml:space="preserve"> 1 </w:t>
      </w:r>
      <w:proofErr w:type="spellStart"/>
      <w:r w:rsidRPr="00890A05">
        <w:rPr>
          <w:rFonts w:eastAsia="Times New Roman" w:cs="Arial"/>
          <w:sz w:val="21"/>
          <w:szCs w:val="21"/>
          <w:lang w:val="hr-HR"/>
        </w:rPr>
        <w:t>February</w:t>
      </w:r>
      <w:proofErr w:type="spellEnd"/>
      <w:r w:rsidRPr="00890A05">
        <w:rPr>
          <w:rFonts w:eastAsia="Times New Roman" w:cs="Arial"/>
          <w:sz w:val="21"/>
          <w:szCs w:val="21"/>
          <w:lang w:val="hr-HR"/>
        </w:rPr>
        <w:t xml:space="preserve"> 2017.</w:t>
      </w:r>
    </w:p>
    <w:p w14:paraId="7CAAFC1A" w14:textId="77777777" w:rsidR="00A06264" w:rsidRPr="00890A05" w:rsidRDefault="00A06264" w:rsidP="006B318F">
      <w:pPr>
        <w:tabs>
          <w:tab w:val="left" w:pos="-720"/>
        </w:tabs>
        <w:suppressAutoHyphens/>
        <w:spacing w:after="0" w:line="240" w:lineRule="auto"/>
        <w:rPr>
          <w:rFonts w:eastAsia="Times New Roman" w:cs="Arial"/>
          <w:sz w:val="21"/>
          <w:szCs w:val="21"/>
        </w:rPr>
      </w:pPr>
    </w:p>
    <w:p w14:paraId="0D320260" w14:textId="70759456" w:rsidR="002F749B" w:rsidRPr="00890A05" w:rsidRDefault="002F749B" w:rsidP="002F749B">
      <w:pPr>
        <w:keepNext/>
        <w:spacing w:after="0" w:line="240" w:lineRule="auto"/>
        <w:jc w:val="both"/>
        <w:rPr>
          <w:rFonts w:eastAsia="Times New Roman" w:cs="Arial"/>
          <w:sz w:val="21"/>
          <w:szCs w:val="21"/>
        </w:rPr>
      </w:pPr>
      <w:r w:rsidRPr="00890A05">
        <w:rPr>
          <w:rFonts w:eastAsia="Times New Roman" w:cs="Arial"/>
          <w:sz w:val="21"/>
          <w:szCs w:val="21"/>
        </w:rPr>
        <w:t xml:space="preserve">As of </w:t>
      </w:r>
      <w:r w:rsidR="008F2BB4" w:rsidRPr="00890A05">
        <w:rPr>
          <w:rFonts w:eastAsia="Times New Roman" w:cs="Arial"/>
          <w:sz w:val="21"/>
          <w:szCs w:val="21"/>
        </w:rPr>
        <w:t xml:space="preserve">30 </w:t>
      </w:r>
      <w:r w:rsidR="00204717" w:rsidRPr="00890A05">
        <w:rPr>
          <w:rFonts w:eastAsia="Times New Roman" w:cs="Arial"/>
          <w:sz w:val="21"/>
          <w:szCs w:val="21"/>
        </w:rPr>
        <w:t>September</w:t>
      </w:r>
      <w:r w:rsidR="00204717" w:rsidRPr="00890A05" w:rsidDel="00204717">
        <w:rPr>
          <w:rFonts w:eastAsia="Times New Roman" w:cs="Arial"/>
          <w:sz w:val="21"/>
          <w:szCs w:val="21"/>
        </w:rPr>
        <w:t xml:space="preserve"> </w:t>
      </w:r>
      <w:r w:rsidRPr="00890A05">
        <w:rPr>
          <w:rFonts w:eastAsia="Times New Roman" w:cs="Arial"/>
          <w:sz w:val="21"/>
          <w:szCs w:val="21"/>
        </w:rPr>
        <w:t xml:space="preserve">2017, there were </w:t>
      </w:r>
      <w:r w:rsidR="00D667EA" w:rsidRPr="00890A05">
        <w:rPr>
          <w:rFonts w:eastAsia="Times New Roman" w:cs="Arial"/>
          <w:sz w:val="21"/>
          <w:szCs w:val="21"/>
        </w:rPr>
        <w:t>366</w:t>
      </w:r>
      <w:r w:rsidR="00112F6E" w:rsidRPr="00890A05">
        <w:rPr>
          <w:rFonts w:eastAsia="Times New Roman" w:cs="Arial"/>
          <w:sz w:val="21"/>
          <w:szCs w:val="21"/>
        </w:rPr>
        <w:t xml:space="preserve"> </w:t>
      </w:r>
      <w:r w:rsidRPr="00890A05">
        <w:rPr>
          <w:rFonts w:eastAsia="Times New Roman" w:cs="Arial"/>
          <w:sz w:val="21"/>
          <w:szCs w:val="21"/>
        </w:rPr>
        <w:t>employees at the Bank (</w:t>
      </w:r>
      <w:r w:rsidR="008F2BB4" w:rsidRPr="00890A05">
        <w:rPr>
          <w:rFonts w:eastAsia="Times New Roman" w:cs="Arial"/>
          <w:sz w:val="21"/>
          <w:szCs w:val="21"/>
        </w:rPr>
        <w:t xml:space="preserve">30 </w:t>
      </w:r>
      <w:r w:rsidR="00204717" w:rsidRPr="00890A05">
        <w:rPr>
          <w:rFonts w:eastAsia="Times New Roman" w:cs="Arial"/>
          <w:sz w:val="21"/>
          <w:szCs w:val="21"/>
        </w:rPr>
        <w:t>September</w:t>
      </w:r>
      <w:r w:rsidR="008F2BB4" w:rsidRPr="00890A05">
        <w:rPr>
          <w:rFonts w:eastAsia="Times New Roman" w:cs="Arial"/>
          <w:sz w:val="21"/>
          <w:szCs w:val="21"/>
        </w:rPr>
        <w:t xml:space="preserve"> </w:t>
      </w:r>
      <w:r w:rsidRPr="00890A05">
        <w:rPr>
          <w:rFonts w:eastAsia="Times New Roman" w:cs="Arial"/>
          <w:sz w:val="21"/>
          <w:szCs w:val="21"/>
        </w:rPr>
        <w:t xml:space="preserve">2016: </w:t>
      </w:r>
      <w:r w:rsidR="00204717" w:rsidRPr="00890A05">
        <w:rPr>
          <w:rFonts w:eastAsia="Times New Roman" w:cs="Arial"/>
          <w:sz w:val="21"/>
          <w:szCs w:val="21"/>
        </w:rPr>
        <w:t xml:space="preserve">342 </w:t>
      </w:r>
      <w:r w:rsidRPr="00890A05">
        <w:rPr>
          <w:rFonts w:eastAsia="Times New Roman" w:cs="Arial"/>
          <w:sz w:val="21"/>
          <w:szCs w:val="21"/>
        </w:rPr>
        <w:t>employees).</w:t>
      </w:r>
    </w:p>
    <w:p w14:paraId="5291CFDD" w14:textId="77777777" w:rsidR="00D752DE" w:rsidRDefault="00D752DE" w:rsidP="00386723">
      <w:pPr>
        <w:spacing w:after="0" w:line="240" w:lineRule="auto"/>
        <w:jc w:val="both"/>
        <w:rPr>
          <w:rFonts w:asciiTheme="minorHAnsi" w:eastAsia="Times New Roman" w:hAnsiTheme="minorHAnsi" w:cs="Arial"/>
          <w:sz w:val="16"/>
          <w:szCs w:val="16"/>
        </w:rPr>
      </w:pPr>
    </w:p>
    <w:p w14:paraId="6C137FB4" w14:textId="77777777" w:rsidR="00C23E3D" w:rsidRDefault="00C23E3D" w:rsidP="00386723">
      <w:pPr>
        <w:spacing w:after="0" w:line="240" w:lineRule="auto"/>
        <w:jc w:val="both"/>
        <w:rPr>
          <w:rFonts w:asciiTheme="minorHAnsi" w:eastAsia="Times New Roman" w:hAnsiTheme="minorHAnsi" w:cs="Arial"/>
          <w:sz w:val="16"/>
          <w:szCs w:val="16"/>
        </w:rPr>
        <w:sectPr w:rsidR="00C23E3D" w:rsidSect="00947CB7">
          <w:headerReference w:type="first" r:id="rId41"/>
          <w:footerReference w:type="first" r:id="rId42"/>
          <w:pgSz w:w="11906" w:h="16838" w:code="9"/>
          <w:pgMar w:top="596" w:right="1133" w:bottom="1417" w:left="1417" w:header="709" w:footer="709" w:gutter="0"/>
          <w:cols w:space="708"/>
          <w:titlePg/>
          <w:docGrid w:linePitch="360"/>
        </w:sectPr>
      </w:pPr>
    </w:p>
    <w:p w14:paraId="2A4BCFAF" w14:textId="3FC05593" w:rsidR="003D02AF" w:rsidRDefault="003D02AF" w:rsidP="003D02AF">
      <w:pPr>
        <w:pStyle w:val="ListParagraph"/>
        <w:tabs>
          <w:tab w:val="left" w:pos="-720"/>
        </w:tabs>
        <w:suppressAutoHyphens/>
        <w:spacing w:after="0" w:line="240" w:lineRule="auto"/>
        <w:ind w:left="360"/>
        <w:rPr>
          <w:rFonts w:eastAsia="Times New Roman" w:cs="Calibri"/>
          <w:b/>
          <w:spacing w:val="-3"/>
          <w:lang w:eastAsia="hr-HR"/>
        </w:rPr>
      </w:pPr>
    </w:p>
    <w:p w14:paraId="396B2A77" w14:textId="77777777" w:rsidR="003D02AF" w:rsidRPr="003D02AF" w:rsidRDefault="003D02AF" w:rsidP="003D02AF">
      <w:pPr>
        <w:pStyle w:val="ListParagraph"/>
        <w:numPr>
          <w:ilvl w:val="0"/>
          <w:numId w:val="59"/>
        </w:numPr>
        <w:tabs>
          <w:tab w:val="left" w:pos="-720"/>
        </w:tabs>
        <w:suppressAutoHyphens/>
        <w:spacing w:after="0" w:line="240" w:lineRule="auto"/>
        <w:ind w:left="426" w:hanging="426"/>
        <w:rPr>
          <w:rFonts w:eastAsia="Times New Roman" w:cs="Calibri"/>
          <w:b/>
          <w:spacing w:val="-3"/>
          <w:lang w:eastAsia="hr-HR"/>
        </w:rPr>
      </w:pPr>
      <w:r w:rsidRPr="003D02AF">
        <w:rPr>
          <w:rFonts w:eastAsia="Times New Roman" w:cs="Calibri"/>
          <w:b/>
          <w:spacing w:val="-3"/>
          <w:lang w:eastAsia="hr-HR"/>
        </w:rPr>
        <w:t>General information (continued)</w:t>
      </w:r>
    </w:p>
    <w:p w14:paraId="5F48F26B" w14:textId="77777777" w:rsidR="003D02AF" w:rsidRDefault="003D02AF" w:rsidP="003D02AF">
      <w:pPr>
        <w:keepNext/>
        <w:spacing w:after="0" w:line="240" w:lineRule="auto"/>
        <w:jc w:val="both"/>
        <w:rPr>
          <w:rFonts w:eastAsia="Times New Roman" w:cs="Arial"/>
        </w:rPr>
      </w:pPr>
    </w:p>
    <w:p w14:paraId="0C88CEE3" w14:textId="77777777" w:rsidR="003D02AF" w:rsidRDefault="003D02AF" w:rsidP="003D02AF">
      <w:pPr>
        <w:spacing w:after="0" w:line="240" w:lineRule="auto"/>
        <w:jc w:val="both"/>
        <w:rPr>
          <w:rFonts w:eastAsia="Times New Roman" w:cs="Arial"/>
          <w:b/>
          <w:lang w:eastAsia="hr-HR"/>
        </w:rPr>
      </w:pPr>
      <w:r w:rsidRPr="0034501D">
        <w:rPr>
          <w:rFonts w:eastAsia="Times New Roman" w:cs="Arial"/>
          <w:b/>
          <w:lang w:eastAsia="hr-HR"/>
        </w:rPr>
        <w:t>1.2. Bank</w:t>
      </w:r>
      <w:r>
        <w:rPr>
          <w:rFonts w:eastAsia="Times New Roman" w:cs="Arial"/>
          <w:b/>
          <w:lang w:eastAsia="hr-HR"/>
        </w:rPr>
        <w:t xml:space="preserve"> (continued)</w:t>
      </w:r>
      <w:r w:rsidRPr="0034501D">
        <w:rPr>
          <w:rFonts w:eastAsia="Times New Roman" w:cs="Arial"/>
          <w:b/>
          <w:lang w:eastAsia="hr-HR"/>
        </w:rPr>
        <w:t>:</w:t>
      </w:r>
    </w:p>
    <w:p w14:paraId="77759009" w14:textId="77777777" w:rsidR="003D02AF" w:rsidRPr="0034501D" w:rsidRDefault="003D02AF" w:rsidP="00FB78E7">
      <w:pPr>
        <w:keepNext/>
        <w:spacing w:after="0" w:line="240" w:lineRule="auto"/>
        <w:jc w:val="both"/>
        <w:rPr>
          <w:rFonts w:eastAsia="Times New Roman" w:cs="Arial"/>
        </w:rPr>
      </w:pPr>
    </w:p>
    <w:p w14:paraId="3F69E369" w14:textId="541C4DAD" w:rsidR="009F6FF5" w:rsidRDefault="009F6FF5" w:rsidP="009F6FF5">
      <w:pPr>
        <w:spacing w:after="0" w:line="240" w:lineRule="auto"/>
        <w:jc w:val="both"/>
        <w:rPr>
          <w:i/>
          <w:iCs/>
          <w:sz w:val="21"/>
          <w:szCs w:val="21"/>
        </w:rPr>
      </w:pPr>
      <w:r w:rsidRPr="00166751">
        <w:rPr>
          <w:i/>
          <w:iCs/>
          <w:sz w:val="21"/>
          <w:szCs w:val="21"/>
        </w:rPr>
        <w:t xml:space="preserve">Audit Committee </w:t>
      </w:r>
    </w:p>
    <w:p w14:paraId="1196A5BE" w14:textId="77777777" w:rsidR="000866AF" w:rsidRPr="00166751" w:rsidRDefault="000866AF" w:rsidP="009F6FF5">
      <w:pPr>
        <w:spacing w:after="0" w:line="240" w:lineRule="auto"/>
        <w:jc w:val="both"/>
        <w:rPr>
          <w:i/>
          <w:iCs/>
          <w:sz w:val="21"/>
          <w:szCs w:val="21"/>
        </w:rPr>
      </w:pPr>
    </w:p>
    <w:p w14:paraId="0A740C7D" w14:textId="77777777" w:rsidR="009F6FF5" w:rsidRDefault="009F6FF5" w:rsidP="009F6FF5">
      <w:pPr>
        <w:spacing w:after="0" w:line="240" w:lineRule="auto"/>
        <w:jc w:val="both"/>
        <w:rPr>
          <w:lang w:eastAsia="hr-HR"/>
        </w:rPr>
      </w:pPr>
      <w:r w:rsidRPr="00166751">
        <w:rPr>
          <w:rFonts w:eastAsia="Times New Roman" w:cs="Arial"/>
          <w:sz w:val="21"/>
          <w:szCs w:val="21"/>
        </w:rPr>
        <w:t>On the date of preparing these statements</w:t>
      </w:r>
      <w:r>
        <w:rPr>
          <w:rFonts w:eastAsia="Times New Roman" w:cs="Arial"/>
          <w:sz w:val="21"/>
          <w:szCs w:val="21"/>
        </w:rPr>
        <w:t>,</w:t>
      </w:r>
      <w:r w:rsidRPr="00166751">
        <w:rPr>
          <w:rFonts w:eastAsia="Times New Roman" w:cs="Arial"/>
          <w:sz w:val="21"/>
          <w:szCs w:val="21"/>
        </w:rPr>
        <w:t xml:space="preserve"> members of the </w:t>
      </w:r>
      <w:r>
        <w:rPr>
          <w:rFonts w:eastAsia="Times New Roman" w:cs="Arial"/>
          <w:sz w:val="21"/>
          <w:szCs w:val="21"/>
        </w:rPr>
        <w:t>Audit Committee</w:t>
      </w:r>
      <w:r w:rsidRPr="00166751">
        <w:rPr>
          <w:rFonts w:eastAsia="Times New Roman" w:cs="Arial"/>
          <w:sz w:val="21"/>
          <w:szCs w:val="21"/>
        </w:rPr>
        <w:t xml:space="preserve"> were as </w:t>
      </w:r>
      <w:proofErr w:type="gramStart"/>
      <w:r w:rsidRPr="00166751">
        <w:rPr>
          <w:rFonts w:eastAsia="Times New Roman" w:cs="Arial"/>
          <w:sz w:val="21"/>
          <w:szCs w:val="21"/>
        </w:rPr>
        <w:t>follows</w:t>
      </w:r>
      <w:r w:rsidRPr="00166751" w:rsidDel="00E425CE">
        <w:rPr>
          <w:sz w:val="21"/>
          <w:szCs w:val="21"/>
          <w:lang w:eastAsia="hr-HR"/>
        </w:rPr>
        <w:t xml:space="preserve"> </w:t>
      </w:r>
      <w:r>
        <w:rPr>
          <w:lang w:eastAsia="hr-HR"/>
        </w:rPr>
        <w:t>:</w:t>
      </w:r>
      <w:proofErr w:type="gramEnd"/>
    </w:p>
    <w:p w14:paraId="210FC5F1" w14:textId="77777777" w:rsidR="009F6FF5" w:rsidRDefault="009F6FF5" w:rsidP="009F6FF5">
      <w:pPr>
        <w:spacing w:after="0" w:line="240" w:lineRule="auto"/>
        <w:jc w:val="both"/>
        <w:rPr>
          <w:lang w:eastAsia="hr-HR"/>
        </w:rPr>
      </w:pPr>
    </w:p>
    <w:p w14:paraId="752980AB" w14:textId="77777777" w:rsidR="009F6FF5" w:rsidRDefault="009F6FF5" w:rsidP="009F6FF5">
      <w:pPr>
        <w:pStyle w:val="ListParagraph"/>
        <w:numPr>
          <w:ilvl w:val="0"/>
          <w:numId w:val="89"/>
        </w:numPr>
        <w:spacing w:after="0" w:line="240" w:lineRule="auto"/>
        <w:jc w:val="both"/>
        <w:rPr>
          <w:lang w:eastAsia="hr-HR"/>
        </w:rPr>
      </w:pPr>
      <w:proofErr w:type="spellStart"/>
      <w:r>
        <w:rPr>
          <w:lang w:eastAsia="hr-HR"/>
        </w:rPr>
        <w:t>Prof.DSc</w:t>
      </w:r>
      <w:proofErr w:type="spellEnd"/>
      <w:r>
        <w:rPr>
          <w:lang w:eastAsia="hr-HR"/>
        </w:rPr>
        <w:t xml:space="preserve">. </w:t>
      </w:r>
      <w:proofErr w:type="spellStart"/>
      <w:r>
        <w:rPr>
          <w:lang w:eastAsia="hr-HR"/>
        </w:rPr>
        <w:t>Lajoš</w:t>
      </w:r>
      <w:proofErr w:type="spellEnd"/>
      <w:r>
        <w:rPr>
          <w:lang w:eastAsia="hr-HR"/>
        </w:rPr>
        <w:t xml:space="preserve"> </w:t>
      </w:r>
      <w:proofErr w:type="spellStart"/>
      <w:r>
        <w:rPr>
          <w:lang w:eastAsia="hr-HR"/>
        </w:rPr>
        <w:t>Žager</w:t>
      </w:r>
      <w:proofErr w:type="spellEnd"/>
      <w:r>
        <w:rPr>
          <w:lang w:eastAsia="hr-HR"/>
        </w:rPr>
        <w:t>, Dean of the Faculty of  Economics and Business of the University of Zagreb, acting as the Chairman of the  Audit Committee,</w:t>
      </w:r>
    </w:p>
    <w:p w14:paraId="543A2352" w14:textId="77777777" w:rsidR="009F6FF5" w:rsidRDefault="009F6FF5" w:rsidP="009F6FF5">
      <w:pPr>
        <w:pStyle w:val="ListParagraph"/>
        <w:numPr>
          <w:ilvl w:val="0"/>
          <w:numId w:val="89"/>
        </w:numPr>
        <w:spacing w:after="0" w:line="240" w:lineRule="auto"/>
        <w:jc w:val="both"/>
        <w:rPr>
          <w:lang w:eastAsia="hr-HR"/>
        </w:rPr>
      </w:pPr>
      <w:proofErr w:type="spellStart"/>
      <w:r>
        <w:rPr>
          <w:lang w:eastAsia="hr-HR"/>
        </w:rPr>
        <w:t>Grozdana</w:t>
      </w:r>
      <w:proofErr w:type="spellEnd"/>
      <w:r>
        <w:rPr>
          <w:lang w:eastAsia="hr-HR"/>
        </w:rPr>
        <w:t xml:space="preserve"> Perić, Chairman of the Finance and Central Budget Committee of the Croatian Parliament, acting as the Vice Chairman of the Audit Committee,</w:t>
      </w:r>
    </w:p>
    <w:p w14:paraId="401CC71C" w14:textId="7C2F4E2A" w:rsidR="009F6FF5" w:rsidRDefault="009F6FF5" w:rsidP="006B318F">
      <w:pPr>
        <w:pStyle w:val="ListParagraph"/>
        <w:numPr>
          <w:ilvl w:val="0"/>
          <w:numId w:val="89"/>
        </w:numPr>
        <w:spacing w:after="0" w:line="240" w:lineRule="auto"/>
        <w:jc w:val="both"/>
        <w:rPr>
          <w:lang w:eastAsia="hr-HR"/>
        </w:rPr>
      </w:pPr>
      <w:r>
        <w:rPr>
          <w:lang w:eastAsia="hr-HR"/>
        </w:rPr>
        <w:t xml:space="preserve">Aurora </w:t>
      </w:r>
      <w:proofErr w:type="spellStart"/>
      <w:r>
        <w:rPr>
          <w:lang w:eastAsia="hr-HR"/>
        </w:rPr>
        <w:t>Volarević</w:t>
      </w:r>
      <w:proofErr w:type="spellEnd"/>
      <w:proofErr w:type="gramStart"/>
      <w:r>
        <w:rPr>
          <w:lang w:eastAsia="hr-HR"/>
        </w:rPr>
        <w:t>,  Director</w:t>
      </w:r>
      <w:proofErr w:type="gramEnd"/>
      <w:r>
        <w:rPr>
          <w:lang w:eastAsia="hr-HR"/>
        </w:rPr>
        <w:t xml:space="preserve"> of Internal Controls, Audit and Risk in </w:t>
      </w:r>
      <w:proofErr w:type="spellStart"/>
      <w:r>
        <w:rPr>
          <w:lang w:eastAsia="hr-HR"/>
        </w:rPr>
        <w:t>Hrvatski</w:t>
      </w:r>
      <w:proofErr w:type="spellEnd"/>
      <w:r>
        <w:rPr>
          <w:lang w:eastAsia="hr-HR"/>
        </w:rPr>
        <w:t xml:space="preserve"> </w:t>
      </w:r>
      <w:proofErr w:type="spellStart"/>
      <w:r>
        <w:rPr>
          <w:lang w:eastAsia="hr-HR"/>
        </w:rPr>
        <w:t>telekom</w:t>
      </w:r>
      <w:proofErr w:type="spellEnd"/>
      <w:r>
        <w:rPr>
          <w:lang w:eastAsia="hr-HR"/>
        </w:rPr>
        <w:t xml:space="preserve"> </w:t>
      </w:r>
      <w:proofErr w:type="spellStart"/>
      <w:r>
        <w:rPr>
          <w:lang w:eastAsia="hr-HR"/>
        </w:rPr>
        <w:t>d.d</w:t>
      </w:r>
      <w:proofErr w:type="spellEnd"/>
      <w:r>
        <w:rPr>
          <w:lang w:eastAsia="hr-HR"/>
        </w:rPr>
        <w:t>., acting as a Member of the Audit Committee.</w:t>
      </w:r>
    </w:p>
    <w:p w14:paraId="205B9DDA" w14:textId="77777777" w:rsidR="00C23E3D" w:rsidRPr="007C6016" w:rsidRDefault="00C23E3D">
      <w:pPr>
        <w:spacing w:after="0" w:line="240" w:lineRule="auto"/>
        <w:jc w:val="both"/>
        <w:rPr>
          <w:lang w:eastAsia="hr-HR"/>
        </w:rPr>
      </w:pPr>
    </w:p>
    <w:p w14:paraId="7423A499" w14:textId="77777777" w:rsidR="00D03035" w:rsidRDefault="00D03035" w:rsidP="00FB78E7">
      <w:pPr>
        <w:spacing w:after="0" w:line="240" w:lineRule="auto"/>
        <w:jc w:val="both"/>
        <w:rPr>
          <w:rFonts w:eastAsia="Times New Roman" w:cs="Arial"/>
          <w:b/>
          <w:lang w:eastAsia="hr-HR"/>
        </w:rPr>
      </w:pPr>
      <w:r w:rsidRPr="0034501D">
        <w:rPr>
          <w:rFonts w:eastAsia="Times New Roman" w:cs="Arial"/>
          <w:b/>
          <w:lang w:eastAsia="hr-HR"/>
        </w:rPr>
        <w:t xml:space="preserve">1.2.1. </w:t>
      </w:r>
      <w:r w:rsidR="00282C5F" w:rsidRPr="0034501D">
        <w:rPr>
          <w:rFonts w:eastAsia="Times New Roman" w:cs="Arial"/>
          <w:b/>
          <w:lang w:eastAsia="hr-HR"/>
        </w:rPr>
        <w:t>Activities of the Bank</w:t>
      </w:r>
      <w:r w:rsidRPr="0034501D">
        <w:rPr>
          <w:rFonts w:eastAsia="Times New Roman" w:cs="Arial"/>
          <w:b/>
          <w:lang w:eastAsia="hr-HR"/>
        </w:rPr>
        <w:t>:</w:t>
      </w:r>
    </w:p>
    <w:p w14:paraId="166E8130" w14:textId="77777777" w:rsidR="0042197F" w:rsidRDefault="0042197F" w:rsidP="004954A3">
      <w:pPr>
        <w:spacing w:after="0" w:line="240" w:lineRule="auto"/>
        <w:jc w:val="both"/>
        <w:rPr>
          <w:rFonts w:eastAsia="Times New Roman" w:cs="Arial"/>
          <w:b/>
          <w:lang w:eastAsia="hr-HR"/>
        </w:rPr>
      </w:pPr>
    </w:p>
    <w:p w14:paraId="285ECECD" w14:textId="77777777" w:rsidR="00282C5F" w:rsidRPr="0034501D" w:rsidRDefault="00282C5F" w:rsidP="00D16CF4">
      <w:pPr>
        <w:pStyle w:val="NormalWeb"/>
        <w:spacing w:before="0" w:beforeAutospacing="0" w:after="0" w:afterAutospacing="0"/>
        <w:jc w:val="both"/>
        <w:rPr>
          <w:rFonts w:ascii="Calibri" w:hAnsi="Calibri" w:cs="Arial"/>
          <w:sz w:val="22"/>
          <w:szCs w:val="22"/>
          <w:lang w:val="en-GB"/>
        </w:rPr>
      </w:pPr>
      <w:r w:rsidRPr="0034501D">
        <w:rPr>
          <w:rFonts w:ascii="Calibri" w:hAnsi="Calibri" w:cs="Arial"/>
          <w:sz w:val="22"/>
          <w:szCs w:val="22"/>
          <w:lang w:val="en-GB"/>
        </w:rPr>
        <w:t xml:space="preserve">The principal activities of the Bank comprise the following: </w:t>
      </w:r>
    </w:p>
    <w:p w14:paraId="5830696F" w14:textId="77777777" w:rsidR="00282C5F" w:rsidRPr="0034501D" w:rsidRDefault="00282C5F" w:rsidP="004954A3">
      <w:pPr>
        <w:pStyle w:val="NormalWeb"/>
        <w:widowControl w:val="0"/>
        <w:numPr>
          <w:ilvl w:val="0"/>
          <w:numId w:val="3"/>
        </w:numPr>
        <w:spacing w:before="0" w:beforeAutospacing="0" w:after="0" w:afterAutospacing="0"/>
        <w:ind w:left="720" w:firstLine="0"/>
        <w:jc w:val="both"/>
        <w:rPr>
          <w:rFonts w:ascii="Calibri" w:hAnsi="Calibri" w:cs="Arial"/>
          <w:sz w:val="22"/>
          <w:szCs w:val="22"/>
          <w:lang w:val="en-GB"/>
        </w:rPr>
      </w:pPr>
      <w:r w:rsidRPr="0034501D">
        <w:rPr>
          <w:rFonts w:ascii="Calibri" w:hAnsi="Calibri" w:cs="Arial"/>
          <w:sz w:val="22"/>
          <w:szCs w:val="22"/>
          <w:lang w:val="en-GB"/>
        </w:rPr>
        <w:t xml:space="preserve">financing of reconstruction and development of the Croatian economy, </w:t>
      </w:r>
    </w:p>
    <w:p w14:paraId="5449B4CB" w14:textId="77777777" w:rsidR="00282C5F" w:rsidRPr="0034501D" w:rsidRDefault="00282C5F" w:rsidP="004550DB">
      <w:pPr>
        <w:pStyle w:val="NormalWeb"/>
        <w:numPr>
          <w:ilvl w:val="0"/>
          <w:numId w:val="3"/>
        </w:numPr>
        <w:spacing w:before="0" w:beforeAutospacing="0" w:after="0" w:afterAutospacing="0"/>
        <w:ind w:left="1077" w:hanging="357"/>
        <w:jc w:val="both"/>
        <w:rPr>
          <w:rFonts w:ascii="Calibri" w:hAnsi="Calibri" w:cs="Arial"/>
          <w:sz w:val="22"/>
          <w:szCs w:val="22"/>
          <w:lang w:val="en-GB"/>
        </w:rPr>
      </w:pPr>
      <w:r w:rsidRPr="0034501D">
        <w:rPr>
          <w:rFonts w:ascii="Calibri" w:hAnsi="Calibri" w:cs="Arial"/>
          <w:sz w:val="22"/>
          <w:szCs w:val="22"/>
          <w:lang w:val="en-GB"/>
        </w:rPr>
        <w:t xml:space="preserve">financing of infrastructure, </w:t>
      </w:r>
    </w:p>
    <w:p w14:paraId="2AA9B80C" w14:textId="77777777" w:rsidR="00282C5F" w:rsidRPr="0034501D" w:rsidRDefault="00282C5F">
      <w:pPr>
        <w:pStyle w:val="NormalWeb"/>
        <w:numPr>
          <w:ilvl w:val="0"/>
          <w:numId w:val="3"/>
        </w:numPr>
        <w:spacing w:before="0" w:beforeAutospacing="0" w:after="0" w:afterAutospacing="0"/>
        <w:ind w:left="1077" w:hanging="357"/>
        <w:jc w:val="both"/>
        <w:rPr>
          <w:rFonts w:ascii="Calibri" w:hAnsi="Calibri" w:cs="Arial"/>
          <w:sz w:val="22"/>
          <w:szCs w:val="22"/>
          <w:lang w:val="en-GB"/>
        </w:rPr>
      </w:pPr>
      <w:r w:rsidRPr="0034501D">
        <w:rPr>
          <w:rFonts w:ascii="Calibri" w:hAnsi="Calibri" w:cs="Arial"/>
          <w:sz w:val="22"/>
          <w:szCs w:val="22"/>
          <w:lang w:val="en-GB"/>
        </w:rPr>
        <w:t xml:space="preserve">promoting exports, </w:t>
      </w:r>
    </w:p>
    <w:p w14:paraId="4C067834" w14:textId="77777777" w:rsidR="00282C5F" w:rsidRPr="0034501D" w:rsidRDefault="00282C5F">
      <w:pPr>
        <w:pStyle w:val="NormalWeb"/>
        <w:numPr>
          <w:ilvl w:val="0"/>
          <w:numId w:val="3"/>
        </w:numPr>
        <w:spacing w:before="0" w:beforeAutospacing="0" w:after="0" w:afterAutospacing="0"/>
        <w:ind w:left="1077" w:hanging="357"/>
        <w:jc w:val="both"/>
        <w:rPr>
          <w:rFonts w:ascii="Calibri" w:hAnsi="Calibri" w:cs="Arial"/>
          <w:sz w:val="22"/>
          <w:szCs w:val="22"/>
          <w:lang w:val="en-GB"/>
        </w:rPr>
      </w:pPr>
      <w:r w:rsidRPr="0034501D">
        <w:rPr>
          <w:rFonts w:ascii="Calibri" w:hAnsi="Calibri" w:cs="Arial"/>
          <w:sz w:val="22"/>
          <w:szCs w:val="22"/>
          <w:lang w:val="en-GB"/>
        </w:rPr>
        <w:t xml:space="preserve">providing support to the development of SMEs, </w:t>
      </w:r>
    </w:p>
    <w:p w14:paraId="2F3E468C" w14:textId="77777777" w:rsidR="00282C5F" w:rsidRPr="0034501D" w:rsidRDefault="00282C5F">
      <w:pPr>
        <w:pStyle w:val="NormalWeb"/>
        <w:numPr>
          <w:ilvl w:val="0"/>
          <w:numId w:val="3"/>
        </w:numPr>
        <w:spacing w:before="0" w:beforeAutospacing="0" w:after="0" w:afterAutospacing="0"/>
        <w:ind w:left="1077" w:hanging="357"/>
        <w:jc w:val="both"/>
        <w:rPr>
          <w:rFonts w:ascii="Calibri" w:hAnsi="Calibri" w:cs="Arial"/>
          <w:sz w:val="22"/>
          <w:szCs w:val="22"/>
          <w:lang w:val="en-GB"/>
        </w:rPr>
      </w:pPr>
      <w:r w:rsidRPr="0034501D">
        <w:rPr>
          <w:rFonts w:ascii="Calibri" w:hAnsi="Calibri" w:cs="Arial"/>
          <w:sz w:val="22"/>
          <w:szCs w:val="22"/>
          <w:lang w:val="en-GB"/>
        </w:rPr>
        <w:t xml:space="preserve">promoting environmental protection, and </w:t>
      </w:r>
    </w:p>
    <w:p w14:paraId="032532AB" w14:textId="77777777" w:rsidR="004416DA" w:rsidRPr="00344EF6" w:rsidRDefault="00282C5F">
      <w:pPr>
        <w:pStyle w:val="NormalWeb"/>
        <w:numPr>
          <w:ilvl w:val="0"/>
          <w:numId w:val="3"/>
        </w:numPr>
        <w:spacing w:before="0" w:beforeAutospacing="0" w:after="0" w:afterAutospacing="0"/>
        <w:ind w:left="1077" w:hanging="357"/>
        <w:jc w:val="both"/>
        <w:rPr>
          <w:rFonts w:ascii="Calibri" w:hAnsi="Calibri" w:cs="Arial"/>
          <w:sz w:val="22"/>
          <w:szCs w:val="22"/>
          <w:lang w:val="en-GB"/>
        </w:rPr>
      </w:pPr>
      <w:proofErr w:type="gramStart"/>
      <w:r w:rsidRPr="0034501D">
        <w:rPr>
          <w:rFonts w:ascii="Calibri" w:hAnsi="Calibri" w:cs="Arial"/>
          <w:sz w:val="22"/>
          <w:szCs w:val="22"/>
          <w:lang w:val="en-GB"/>
        </w:rPr>
        <w:t>providing</w:t>
      </w:r>
      <w:proofErr w:type="gramEnd"/>
      <w:r w:rsidRPr="0034501D">
        <w:rPr>
          <w:rFonts w:ascii="Calibri" w:hAnsi="Calibri" w:cs="Arial"/>
          <w:sz w:val="22"/>
          <w:szCs w:val="22"/>
          <w:lang w:val="en-GB"/>
        </w:rPr>
        <w:t xml:space="preserve"> domestic goods and services export insurance against non-market risks for and on behalf of the Republic of Croatia. </w:t>
      </w:r>
    </w:p>
    <w:p w14:paraId="45157A60" w14:textId="77777777" w:rsidR="00FB78E7" w:rsidRPr="00D16CF4" w:rsidRDefault="00FB78E7" w:rsidP="00D16CF4">
      <w:pPr>
        <w:tabs>
          <w:tab w:val="left" w:pos="-720"/>
        </w:tabs>
        <w:suppressAutoHyphens/>
        <w:spacing w:after="0" w:line="240" w:lineRule="auto"/>
        <w:rPr>
          <w:rFonts w:eastAsia="Times New Roman" w:cs="Calibri"/>
          <w:b/>
          <w:spacing w:val="-3"/>
          <w:lang w:eastAsia="hr-HR"/>
        </w:rPr>
      </w:pPr>
    </w:p>
    <w:p w14:paraId="70EA0F20" w14:textId="18EBE975" w:rsidR="00C23E3D" w:rsidRDefault="004C39FD">
      <w:pPr>
        <w:keepNext/>
        <w:spacing w:after="0" w:line="240" w:lineRule="auto"/>
        <w:jc w:val="both"/>
        <w:rPr>
          <w:rFonts w:eastAsia="Times New Roman"/>
          <w:spacing w:val="-3"/>
        </w:rPr>
        <w:sectPr w:rsidR="00C23E3D" w:rsidSect="00947CB7">
          <w:footerReference w:type="first" r:id="rId43"/>
          <w:pgSz w:w="11906" w:h="16838" w:code="9"/>
          <w:pgMar w:top="596" w:right="1133" w:bottom="1417" w:left="1417" w:header="709" w:footer="709" w:gutter="0"/>
          <w:cols w:space="708"/>
          <w:titlePg/>
          <w:docGrid w:linePitch="360"/>
        </w:sectPr>
      </w:pPr>
      <w:r w:rsidRPr="0034501D">
        <w:rPr>
          <w:rFonts w:eastAsia="Times New Roman"/>
          <w:spacing w:val="-3"/>
        </w:rPr>
        <w:t>HBOR may perform other financial activities according to the decisions of the Government of the Republic of Croatia if, in their opinion, it is in the best interest of the Republic of Croatia.</w:t>
      </w:r>
    </w:p>
    <w:p w14:paraId="1DC16CB6" w14:textId="77777777" w:rsidR="003D02AF" w:rsidRDefault="003D02AF">
      <w:pPr>
        <w:keepNext/>
        <w:spacing w:after="0" w:line="240" w:lineRule="auto"/>
        <w:jc w:val="both"/>
        <w:rPr>
          <w:rFonts w:eastAsia="Times New Roman"/>
          <w:spacing w:val="-3"/>
        </w:rPr>
      </w:pPr>
    </w:p>
    <w:p w14:paraId="2074372B" w14:textId="77777777" w:rsidR="003D02AF" w:rsidRPr="0034501D" w:rsidRDefault="003D02AF" w:rsidP="003D02AF">
      <w:pPr>
        <w:numPr>
          <w:ilvl w:val="0"/>
          <w:numId w:val="59"/>
        </w:numPr>
        <w:spacing w:after="0" w:line="240" w:lineRule="auto"/>
        <w:ind w:left="426" w:hanging="426"/>
        <w:jc w:val="both"/>
        <w:rPr>
          <w:rFonts w:eastAsia="Times New Roman" w:cs="Arial"/>
          <w:b/>
          <w:lang w:eastAsia="hr-HR"/>
        </w:rPr>
      </w:pPr>
      <w:r w:rsidRPr="0034501D">
        <w:rPr>
          <w:rFonts w:eastAsia="Times New Roman" w:cs="Arial"/>
          <w:b/>
          <w:lang w:eastAsia="hr-HR"/>
        </w:rPr>
        <w:t xml:space="preserve">Basis </w:t>
      </w:r>
      <w:r>
        <w:rPr>
          <w:rFonts w:eastAsia="Times New Roman" w:cs="Arial"/>
          <w:b/>
          <w:lang w:eastAsia="hr-HR"/>
        </w:rPr>
        <w:t>of Preparation of the Interim Condensed Financial Statements</w:t>
      </w:r>
    </w:p>
    <w:p w14:paraId="2575372D" w14:textId="77777777" w:rsidR="003D02AF" w:rsidRPr="0034501D" w:rsidRDefault="003D02AF" w:rsidP="003D02AF">
      <w:pPr>
        <w:spacing w:after="0" w:line="240" w:lineRule="auto"/>
        <w:jc w:val="both"/>
        <w:rPr>
          <w:rFonts w:eastAsia="Times New Roman" w:cs="Arial"/>
          <w:lang w:eastAsia="hr-HR"/>
        </w:rPr>
      </w:pPr>
    </w:p>
    <w:p w14:paraId="1CD288ED" w14:textId="05A1C9B0" w:rsidR="003D02AF" w:rsidRPr="0034501D" w:rsidRDefault="003D02AF" w:rsidP="003D02AF">
      <w:pPr>
        <w:spacing w:after="0" w:line="240" w:lineRule="auto"/>
        <w:jc w:val="both"/>
        <w:rPr>
          <w:rFonts w:eastAsia="Times New Roman" w:cs="Arial"/>
          <w:lang w:eastAsia="hr-HR"/>
        </w:rPr>
      </w:pPr>
      <w:r w:rsidRPr="0034501D">
        <w:rPr>
          <w:rFonts w:eastAsia="Times New Roman" w:cs="Arial"/>
          <w:lang w:eastAsia="hr-HR"/>
        </w:rPr>
        <w:t xml:space="preserve">The Consolidated Interim </w:t>
      </w:r>
      <w:r>
        <w:rPr>
          <w:rFonts w:eastAsia="Times New Roman" w:cs="Arial"/>
          <w:lang w:eastAsia="hr-HR"/>
        </w:rPr>
        <w:t xml:space="preserve">Condensed </w:t>
      </w:r>
      <w:r w:rsidRPr="0034501D">
        <w:rPr>
          <w:rFonts w:eastAsia="Times New Roman" w:cs="Arial"/>
          <w:lang w:eastAsia="hr-HR"/>
        </w:rPr>
        <w:t xml:space="preserve">Financial Statements of the HBOR Group for the period 1 January </w:t>
      </w:r>
      <w:r>
        <w:rPr>
          <w:rFonts w:eastAsia="Times New Roman" w:cs="Arial"/>
          <w:lang w:eastAsia="hr-HR"/>
        </w:rPr>
        <w:t>to</w:t>
      </w:r>
      <w:r w:rsidRPr="0034501D">
        <w:rPr>
          <w:rFonts w:eastAsia="Times New Roman" w:cs="Arial"/>
          <w:lang w:eastAsia="hr-HR"/>
        </w:rPr>
        <w:t xml:space="preserve"> </w:t>
      </w:r>
      <w:r w:rsidR="00F90F31" w:rsidRPr="00F90F31">
        <w:rPr>
          <w:rFonts w:eastAsia="Times New Roman" w:cs="Arial"/>
          <w:lang w:eastAsia="hr-HR"/>
        </w:rPr>
        <w:t xml:space="preserve">30 </w:t>
      </w:r>
      <w:r w:rsidR="0065342B">
        <w:rPr>
          <w:rFonts w:eastAsia="Times New Roman" w:cs="Arial"/>
          <w:lang w:eastAsia="hr-HR"/>
        </w:rPr>
        <w:t>September</w:t>
      </w:r>
      <w:r w:rsidR="00283F2E">
        <w:rPr>
          <w:rFonts w:eastAsia="Times New Roman" w:cs="Arial"/>
          <w:lang w:eastAsia="hr-HR"/>
        </w:rPr>
        <w:t xml:space="preserve"> </w:t>
      </w:r>
      <w:r w:rsidR="000D16D2">
        <w:rPr>
          <w:rFonts w:eastAsia="Times New Roman" w:cs="Arial"/>
          <w:lang w:eastAsia="hr-HR"/>
        </w:rPr>
        <w:t>2017</w:t>
      </w:r>
      <w:r w:rsidRPr="0034501D">
        <w:rPr>
          <w:rFonts w:eastAsia="Times New Roman" w:cs="Arial"/>
          <w:lang w:eastAsia="hr-HR"/>
        </w:rPr>
        <w:t xml:space="preserve"> </w:t>
      </w:r>
      <w:r>
        <w:rPr>
          <w:rFonts w:eastAsia="Times New Roman" w:cs="Arial"/>
          <w:lang w:eastAsia="hr-HR"/>
        </w:rPr>
        <w:t xml:space="preserve">have been prepared in accordance with </w:t>
      </w:r>
      <w:r w:rsidRPr="0034501D">
        <w:rPr>
          <w:rFonts w:eastAsia="Times New Roman" w:cs="Arial"/>
          <w:lang w:eastAsia="hr-HR"/>
        </w:rPr>
        <w:t xml:space="preserve">the International Accounting Standard 34 Interim Financial Reporting. </w:t>
      </w:r>
    </w:p>
    <w:p w14:paraId="53DB9BD3" w14:textId="77777777" w:rsidR="003D02AF" w:rsidRPr="0034501D" w:rsidRDefault="003D02AF" w:rsidP="003D02AF">
      <w:pPr>
        <w:spacing w:after="0" w:line="240" w:lineRule="auto"/>
        <w:jc w:val="both"/>
        <w:rPr>
          <w:rFonts w:eastAsia="Times New Roman" w:cs="Arial"/>
          <w:lang w:eastAsia="hr-HR"/>
        </w:rPr>
      </w:pPr>
    </w:p>
    <w:p w14:paraId="2AF5E28B" w14:textId="2AC30C94" w:rsidR="003D02AF" w:rsidRPr="0034501D" w:rsidRDefault="003D02AF" w:rsidP="003D02AF">
      <w:pPr>
        <w:spacing w:after="0" w:line="240" w:lineRule="auto"/>
        <w:jc w:val="both"/>
        <w:rPr>
          <w:rFonts w:eastAsia="Times New Roman" w:cs="Arial"/>
          <w:lang w:eastAsia="hr-HR"/>
        </w:rPr>
      </w:pPr>
      <w:r w:rsidRPr="0034501D">
        <w:rPr>
          <w:rFonts w:eastAsia="Times New Roman" w:cs="Arial"/>
          <w:lang w:eastAsia="hr-HR"/>
        </w:rPr>
        <w:t xml:space="preserve">The Consolidated Interim </w:t>
      </w:r>
      <w:r>
        <w:rPr>
          <w:rFonts w:eastAsia="Times New Roman" w:cs="Arial"/>
          <w:lang w:eastAsia="hr-HR"/>
        </w:rPr>
        <w:t xml:space="preserve">Condensed </w:t>
      </w:r>
      <w:r w:rsidRPr="0034501D">
        <w:rPr>
          <w:rFonts w:eastAsia="Times New Roman" w:cs="Arial"/>
          <w:lang w:eastAsia="hr-HR"/>
        </w:rPr>
        <w:t xml:space="preserve">Financial </w:t>
      </w:r>
      <w:r w:rsidR="00D0365C" w:rsidRPr="0034501D">
        <w:rPr>
          <w:rFonts w:eastAsia="Times New Roman" w:cs="Arial"/>
          <w:lang w:eastAsia="hr-HR"/>
        </w:rPr>
        <w:t>Sta</w:t>
      </w:r>
      <w:r w:rsidR="00D0365C">
        <w:rPr>
          <w:rFonts w:eastAsia="Times New Roman" w:cs="Arial"/>
          <w:lang w:eastAsia="hr-HR"/>
        </w:rPr>
        <w:t>tements</w:t>
      </w:r>
      <w:r w:rsidR="00D0365C" w:rsidRPr="0034501D">
        <w:rPr>
          <w:rFonts w:eastAsia="Times New Roman" w:cs="Arial"/>
          <w:lang w:eastAsia="hr-HR"/>
        </w:rPr>
        <w:t xml:space="preserve"> </w:t>
      </w:r>
      <w:r w:rsidRPr="0034501D">
        <w:rPr>
          <w:rFonts w:eastAsia="Times New Roman" w:cs="Arial"/>
          <w:lang w:eastAsia="hr-HR"/>
        </w:rPr>
        <w:t xml:space="preserve">for the period 1 January </w:t>
      </w:r>
      <w:r>
        <w:rPr>
          <w:rFonts w:eastAsia="Times New Roman" w:cs="Arial"/>
          <w:lang w:eastAsia="hr-HR"/>
        </w:rPr>
        <w:t>to</w:t>
      </w:r>
      <w:r w:rsidRPr="0034501D">
        <w:rPr>
          <w:rFonts w:eastAsia="Times New Roman" w:cs="Arial"/>
          <w:lang w:eastAsia="hr-HR"/>
        </w:rPr>
        <w:t xml:space="preserve"> </w:t>
      </w:r>
      <w:r w:rsidR="008F2BB4" w:rsidRPr="008F2BB4">
        <w:rPr>
          <w:rFonts w:eastAsia="Times New Roman" w:cs="Arial"/>
          <w:lang w:eastAsia="hr-HR"/>
        </w:rPr>
        <w:t xml:space="preserve">30 </w:t>
      </w:r>
      <w:r w:rsidR="0065342B">
        <w:rPr>
          <w:rFonts w:eastAsia="Times New Roman" w:cs="Arial"/>
          <w:lang w:eastAsia="hr-HR"/>
        </w:rPr>
        <w:t>September</w:t>
      </w:r>
      <w:r w:rsidR="0065342B" w:rsidRPr="008F2BB4">
        <w:rPr>
          <w:rFonts w:eastAsia="Times New Roman" w:cs="Arial"/>
          <w:lang w:eastAsia="hr-HR"/>
        </w:rPr>
        <w:t xml:space="preserve"> </w:t>
      </w:r>
      <w:r w:rsidR="000D16D2" w:rsidRPr="000D16D2">
        <w:rPr>
          <w:rFonts w:eastAsia="Times New Roman" w:cs="Arial"/>
          <w:lang w:eastAsia="hr-HR"/>
        </w:rPr>
        <w:t>2017</w:t>
      </w:r>
      <w:r w:rsidR="000D16D2">
        <w:rPr>
          <w:rFonts w:eastAsia="Times New Roman" w:cs="Arial"/>
          <w:lang w:eastAsia="hr-HR"/>
        </w:rPr>
        <w:t xml:space="preserve"> </w:t>
      </w:r>
      <w:r w:rsidRPr="0034501D">
        <w:rPr>
          <w:rFonts w:eastAsia="Times New Roman" w:cs="Arial"/>
          <w:lang w:eastAsia="hr-HR"/>
        </w:rPr>
        <w:t xml:space="preserve">do not include all the information and disclosures required in annual consolidated financial statements. Therefore, they have to be read </w:t>
      </w:r>
      <w:r>
        <w:rPr>
          <w:rFonts w:eastAsia="Times New Roman" w:cs="Arial"/>
          <w:lang w:eastAsia="hr-HR"/>
        </w:rPr>
        <w:t xml:space="preserve">in conjunction </w:t>
      </w:r>
      <w:r w:rsidRPr="0034501D">
        <w:rPr>
          <w:rFonts w:eastAsia="Times New Roman" w:cs="Arial"/>
          <w:lang w:eastAsia="hr-HR"/>
        </w:rPr>
        <w:t>with the Annual Consolidated Financial Statements of the HBOR Group for the year ended 31 December 201</w:t>
      </w:r>
      <w:r w:rsidR="000D16D2">
        <w:rPr>
          <w:rFonts w:eastAsia="Times New Roman" w:cs="Arial"/>
          <w:lang w:eastAsia="hr-HR"/>
        </w:rPr>
        <w:t>6</w:t>
      </w:r>
      <w:r w:rsidRPr="0034501D">
        <w:rPr>
          <w:rFonts w:eastAsia="Times New Roman" w:cs="Arial"/>
          <w:lang w:eastAsia="hr-HR"/>
        </w:rPr>
        <w:t>.</w:t>
      </w:r>
    </w:p>
    <w:p w14:paraId="3600AFC2" w14:textId="77777777" w:rsidR="003D02AF" w:rsidRPr="0034501D" w:rsidRDefault="003D02AF" w:rsidP="003D02AF">
      <w:pPr>
        <w:spacing w:after="0" w:line="240" w:lineRule="auto"/>
        <w:jc w:val="both"/>
        <w:rPr>
          <w:rFonts w:eastAsia="Times New Roman" w:cs="Arial"/>
          <w:lang w:eastAsia="hr-HR"/>
        </w:rPr>
      </w:pPr>
    </w:p>
    <w:p w14:paraId="53638755" w14:textId="77777777" w:rsidR="003D02AF" w:rsidRPr="0034501D" w:rsidRDefault="003D02AF" w:rsidP="003D02AF">
      <w:pPr>
        <w:spacing w:after="0" w:line="240" w:lineRule="auto"/>
        <w:ind w:right="27"/>
        <w:jc w:val="both"/>
        <w:rPr>
          <w:rFonts w:eastAsia="Times New Roman" w:cs="Calibri"/>
          <w:lang w:eastAsia="hr-HR"/>
        </w:rPr>
      </w:pPr>
      <w:r w:rsidRPr="0034501D">
        <w:rPr>
          <w:rFonts w:eastAsia="Times New Roman" w:cs="Calibri"/>
          <w:lang w:eastAsia="hr-HR"/>
        </w:rPr>
        <w:t xml:space="preserve">The Interim </w:t>
      </w:r>
      <w:r>
        <w:rPr>
          <w:rFonts w:eastAsia="Times New Roman" w:cs="Calibri"/>
          <w:lang w:eastAsia="hr-HR"/>
        </w:rPr>
        <w:t xml:space="preserve">Condensed </w:t>
      </w:r>
      <w:r w:rsidRPr="0034501D">
        <w:rPr>
          <w:rFonts w:eastAsia="Times New Roman" w:cs="Calibri"/>
          <w:lang w:eastAsia="hr-HR"/>
        </w:rPr>
        <w:t xml:space="preserve">Financial Statements of the HBOR Group and HBOR are prepared on the </w:t>
      </w:r>
      <w:r>
        <w:rPr>
          <w:rFonts w:eastAsia="Times New Roman" w:cs="Calibri"/>
          <w:lang w:eastAsia="hr-HR"/>
        </w:rPr>
        <w:t>going concern basis</w:t>
      </w:r>
      <w:r w:rsidRPr="0034501D">
        <w:rPr>
          <w:rFonts w:eastAsia="Times New Roman" w:cs="Calibri"/>
          <w:lang w:eastAsia="hr-HR"/>
        </w:rPr>
        <w:t>.</w:t>
      </w:r>
    </w:p>
    <w:p w14:paraId="2C4BAA43" w14:textId="77777777" w:rsidR="003D02AF" w:rsidRPr="0034501D" w:rsidRDefault="003D02AF">
      <w:pPr>
        <w:keepNext/>
        <w:spacing w:after="0" w:line="240" w:lineRule="auto"/>
        <w:jc w:val="both"/>
        <w:rPr>
          <w:rFonts w:eastAsia="Times New Roman"/>
          <w:spacing w:val="-3"/>
        </w:rPr>
      </w:pPr>
    </w:p>
    <w:p w14:paraId="4F3E85E1" w14:textId="38DABB08" w:rsidR="003D02AF" w:rsidRPr="0034501D" w:rsidRDefault="003D02AF" w:rsidP="006B318F">
      <w:pPr>
        <w:spacing w:after="0" w:line="240" w:lineRule="auto"/>
        <w:jc w:val="both"/>
        <w:rPr>
          <w:rFonts w:eastAsia="Times New Roman" w:cs="Calibri"/>
          <w:lang w:eastAsia="hr-HR"/>
        </w:rPr>
      </w:pPr>
      <w:r w:rsidRPr="0034501D">
        <w:rPr>
          <w:rFonts w:eastAsia="Times New Roman" w:cs="Calibri"/>
          <w:lang w:eastAsia="hr-HR"/>
        </w:rPr>
        <w:t xml:space="preserve">The Financial Statements of the HBOR Group and HBOR are comprised of consolidated and </w:t>
      </w:r>
      <w:r>
        <w:rPr>
          <w:rFonts w:eastAsia="Times New Roman" w:cs="Calibri"/>
          <w:lang w:eastAsia="hr-HR"/>
        </w:rPr>
        <w:t xml:space="preserve">unconsolidated </w:t>
      </w:r>
      <w:r w:rsidRPr="0034501D">
        <w:rPr>
          <w:rFonts w:eastAsia="Times New Roman" w:cs="Calibri"/>
          <w:lang w:eastAsia="hr-HR"/>
        </w:rPr>
        <w:t xml:space="preserve">Statement of Financial Position as of </w:t>
      </w:r>
      <w:r w:rsidR="00F90F31" w:rsidRPr="00F90F31">
        <w:rPr>
          <w:rFonts w:eastAsia="Times New Roman" w:cs="Calibri"/>
          <w:lang w:eastAsia="hr-HR"/>
        </w:rPr>
        <w:t xml:space="preserve">30 </w:t>
      </w:r>
      <w:r w:rsidR="0065342B">
        <w:t>September</w:t>
      </w:r>
      <w:r w:rsidR="00F90F31" w:rsidRPr="00F90F31">
        <w:rPr>
          <w:rFonts w:eastAsia="Times New Roman" w:cs="Calibri"/>
          <w:lang w:eastAsia="hr-HR"/>
        </w:rPr>
        <w:t xml:space="preserve"> </w:t>
      </w:r>
      <w:r w:rsidR="000D16D2" w:rsidRPr="000D16D2">
        <w:rPr>
          <w:rFonts w:eastAsia="Times New Roman" w:cs="Calibri"/>
          <w:lang w:eastAsia="hr-HR"/>
        </w:rPr>
        <w:t>2017</w:t>
      </w:r>
      <w:r w:rsidRPr="0034501D">
        <w:rPr>
          <w:rFonts w:eastAsia="Times New Roman" w:cs="Calibri"/>
          <w:lang w:eastAsia="hr-HR"/>
        </w:rPr>
        <w:t xml:space="preserve">, the Statement of Profit or Loss for the period 1 January – </w:t>
      </w:r>
      <w:r w:rsidR="00F90F31" w:rsidRPr="00F90F31">
        <w:rPr>
          <w:rFonts w:eastAsia="Times New Roman" w:cs="Calibri"/>
          <w:lang w:eastAsia="hr-HR"/>
        </w:rPr>
        <w:t xml:space="preserve">30 </w:t>
      </w:r>
      <w:r w:rsidR="0065342B">
        <w:t>September</w:t>
      </w:r>
      <w:r w:rsidR="000866AF">
        <w:rPr>
          <w:rFonts w:eastAsia="Times New Roman" w:cs="Calibri"/>
          <w:lang w:eastAsia="hr-HR"/>
        </w:rPr>
        <w:t xml:space="preserve"> </w:t>
      </w:r>
      <w:r w:rsidR="000D16D2" w:rsidRPr="000D16D2">
        <w:rPr>
          <w:rFonts w:eastAsia="Times New Roman" w:cs="Calibri"/>
          <w:lang w:eastAsia="hr-HR"/>
        </w:rPr>
        <w:t>2017</w:t>
      </w:r>
      <w:r w:rsidRPr="0034501D">
        <w:rPr>
          <w:rFonts w:eastAsia="Times New Roman" w:cs="Calibri"/>
          <w:lang w:eastAsia="hr-HR"/>
        </w:rPr>
        <w:t xml:space="preserve">, the Statement of Profit or Loss and other Comprehensive Income for the period 1 January – </w:t>
      </w:r>
      <w:r w:rsidR="00F90F31" w:rsidRPr="00F90F31">
        <w:rPr>
          <w:rFonts w:eastAsia="Times New Roman" w:cs="Calibri"/>
          <w:lang w:eastAsia="hr-HR"/>
        </w:rPr>
        <w:t xml:space="preserve">30 </w:t>
      </w:r>
      <w:r w:rsidR="0065342B">
        <w:t>September</w:t>
      </w:r>
      <w:r w:rsidR="00F90F31" w:rsidRPr="00F90F31">
        <w:rPr>
          <w:rFonts w:eastAsia="Times New Roman" w:cs="Calibri"/>
          <w:lang w:eastAsia="hr-HR"/>
        </w:rPr>
        <w:t xml:space="preserve"> </w:t>
      </w:r>
      <w:r w:rsidR="000D16D2" w:rsidRPr="000D16D2">
        <w:rPr>
          <w:rFonts w:eastAsia="Times New Roman" w:cs="Calibri"/>
          <w:lang w:eastAsia="hr-HR"/>
        </w:rPr>
        <w:t>2017</w:t>
      </w:r>
      <w:r w:rsidRPr="0034501D">
        <w:rPr>
          <w:rFonts w:eastAsia="Times New Roman" w:cs="Calibri"/>
          <w:lang w:eastAsia="hr-HR"/>
        </w:rPr>
        <w:t xml:space="preserve">, the Statement of Cash Flows for the period 1 January – </w:t>
      </w:r>
      <w:r w:rsidR="00F90F31" w:rsidRPr="00F90F31">
        <w:rPr>
          <w:rFonts w:eastAsia="Times New Roman" w:cs="Calibri"/>
          <w:lang w:eastAsia="hr-HR"/>
        </w:rPr>
        <w:t xml:space="preserve">30 </w:t>
      </w:r>
      <w:r w:rsidR="0065342B">
        <w:t>September</w:t>
      </w:r>
      <w:r w:rsidR="00F90F31" w:rsidRPr="00F90F31">
        <w:rPr>
          <w:rFonts w:eastAsia="Times New Roman" w:cs="Calibri"/>
          <w:lang w:eastAsia="hr-HR"/>
        </w:rPr>
        <w:t xml:space="preserve"> </w:t>
      </w:r>
      <w:r w:rsidR="000D16D2" w:rsidRPr="000D16D2">
        <w:rPr>
          <w:rFonts w:eastAsia="Times New Roman" w:cs="Calibri"/>
          <w:lang w:eastAsia="hr-HR"/>
        </w:rPr>
        <w:t>2017</w:t>
      </w:r>
      <w:r w:rsidRPr="0034501D">
        <w:rPr>
          <w:rFonts w:eastAsia="Times New Roman" w:cs="Calibri"/>
          <w:lang w:eastAsia="hr-HR"/>
        </w:rPr>
        <w:t xml:space="preserve">, the Statement of Changes in Equity for the period 1 January – </w:t>
      </w:r>
      <w:r w:rsidR="00F90F31" w:rsidRPr="00F90F31">
        <w:rPr>
          <w:rFonts w:eastAsia="Times New Roman" w:cs="Calibri"/>
          <w:lang w:eastAsia="hr-HR"/>
        </w:rPr>
        <w:t xml:space="preserve">30 </w:t>
      </w:r>
      <w:r w:rsidR="0065342B">
        <w:t>September</w:t>
      </w:r>
      <w:r w:rsidR="00F90F31" w:rsidRPr="00F90F31">
        <w:rPr>
          <w:rFonts w:eastAsia="Times New Roman" w:cs="Calibri"/>
          <w:lang w:eastAsia="hr-HR"/>
        </w:rPr>
        <w:t xml:space="preserve"> </w:t>
      </w:r>
      <w:r w:rsidR="000D16D2" w:rsidRPr="000D16D2">
        <w:rPr>
          <w:rFonts w:eastAsia="Times New Roman" w:cs="Calibri"/>
          <w:lang w:eastAsia="hr-HR"/>
        </w:rPr>
        <w:t>2017</w:t>
      </w:r>
      <w:r w:rsidRPr="0034501D">
        <w:rPr>
          <w:rFonts w:eastAsia="Times New Roman" w:cs="Calibri"/>
          <w:lang w:eastAsia="hr-HR"/>
        </w:rPr>
        <w:t>, and the accompanying Notes on significant</w:t>
      </w:r>
      <w:r>
        <w:rPr>
          <w:rFonts w:eastAsia="Times New Roman" w:cs="Calibri"/>
          <w:lang w:eastAsia="hr-HR"/>
        </w:rPr>
        <w:t xml:space="preserve"> accounting policies and other explanations</w:t>
      </w:r>
      <w:r w:rsidR="005701BE">
        <w:rPr>
          <w:rFonts w:eastAsia="Times New Roman" w:cs="Calibri"/>
          <w:lang w:eastAsia="hr-HR"/>
        </w:rPr>
        <w:t>.</w:t>
      </w:r>
    </w:p>
    <w:p w14:paraId="2CA2DB63" w14:textId="7462F779" w:rsidR="003D02AF" w:rsidRPr="0034501D" w:rsidRDefault="003D02AF" w:rsidP="003D02AF">
      <w:pPr>
        <w:spacing w:before="120" w:after="0" w:line="240" w:lineRule="auto"/>
        <w:ind w:right="27"/>
        <w:jc w:val="both"/>
        <w:rPr>
          <w:rFonts w:eastAsia="Times New Roman" w:cs="Calibri"/>
          <w:sz w:val="24"/>
          <w:szCs w:val="24"/>
          <w:lang w:eastAsia="hr-HR"/>
        </w:rPr>
      </w:pPr>
    </w:p>
    <w:p w14:paraId="7EC725D9" w14:textId="77777777" w:rsidR="00D13420" w:rsidRDefault="00D13420">
      <w:pPr>
        <w:spacing w:after="0" w:line="240" w:lineRule="auto"/>
        <w:ind w:left="426"/>
        <w:jc w:val="both"/>
        <w:rPr>
          <w:rFonts w:eastAsia="Times New Roman" w:cs="Arial"/>
          <w:b/>
          <w:sz w:val="24"/>
          <w:szCs w:val="24"/>
          <w:lang w:eastAsia="hr-HR"/>
        </w:rPr>
        <w:sectPr w:rsidR="00D13420" w:rsidSect="00947CB7">
          <w:footerReference w:type="first" r:id="rId44"/>
          <w:pgSz w:w="11906" w:h="16838" w:code="9"/>
          <w:pgMar w:top="596" w:right="1133" w:bottom="1417" w:left="1417" w:header="709" w:footer="709" w:gutter="0"/>
          <w:cols w:space="708"/>
          <w:titlePg/>
          <w:docGrid w:linePitch="360"/>
        </w:sectPr>
      </w:pPr>
    </w:p>
    <w:p w14:paraId="39040193" w14:textId="77777777" w:rsidR="00B80E06" w:rsidRPr="0034501D" w:rsidRDefault="00B80E06" w:rsidP="00385FA3">
      <w:pPr>
        <w:keepNext/>
        <w:tabs>
          <w:tab w:val="left" w:pos="426"/>
        </w:tabs>
        <w:spacing w:after="0" w:line="240" w:lineRule="auto"/>
        <w:jc w:val="both"/>
        <w:rPr>
          <w:rFonts w:eastAsia="Times New Roman" w:cs="Arial"/>
          <w:b/>
          <w:bCs/>
          <w:sz w:val="24"/>
          <w:szCs w:val="24"/>
        </w:rPr>
      </w:pPr>
    </w:p>
    <w:p w14:paraId="69BD3519" w14:textId="77777777" w:rsidR="00AE12ED" w:rsidRPr="0034501D" w:rsidRDefault="00FB78E7" w:rsidP="00FB78E7">
      <w:pPr>
        <w:keepNext/>
        <w:tabs>
          <w:tab w:val="left" w:pos="426"/>
        </w:tabs>
        <w:spacing w:after="0" w:line="240" w:lineRule="auto"/>
        <w:jc w:val="both"/>
        <w:rPr>
          <w:rFonts w:eastAsia="Times New Roman" w:cs="Arial"/>
          <w:b/>
          <w:bCs/>
        </w:rPr>
      </w:pPr>
      <w:r w:rsidRPr="0034501D">
        <w:rPr>
          <w:rFonts w:eastAsia="Times New Roman" w:cs="Arial"/>
          <w:b/>
          <w:bCs/>
        </w:rPr>
        <w:t xml:space="preserve">3. </w:t>
      </w:r>
      <w:r w:rsidRPr="0034501D">
        <w:rPr>
          <w:rFonts w:eastAsia="Times New Roman" w:cs="Arial"/>
          <w:b/>
          <w:bCs/>
        </w:rPr>
        <w:tab/>
      </w:r>
      <w:r w:rsidR="00955FDC" w:rsidRPr="0034501D">
        <w:rPr>
          <w:rFonts w:eastAsia="Times New Roman" w:cs="Arial"/>
          <w:b/>
          <w:bCs/>
        </w:rPr>
        <w:t>S</w:t>
      </w:r>
      <w:r w:rsidR="001446FF" w:rsidRPr="0034501D">
        <w:rPr>
          <w:rFonts w:eastAsia="Times New Roman" w:cs="Arial"/>
          <w:b/>
          <w:bCs/>
        </w:rPr>
        <w:t>ummary of significant accounting policies</w:t>
      </w:r>
    </w:p>
    <w:p w14:paraId="1AAAF1FA" w14:textId="77777777" w:rsidR="00FB78E7" w:rsidRPr="0034501D" w:rsidRDefault="00FB78E7" w:rsidP="00FB78E7">
      <w:pPr>
        <w:keepNext/>
        <w:tabs>
          <w:tab w:val="left" w:pos="426"/>
        </w:tabs>
        <w:spacing w:after="0" w:line="240" w:lineRule="auto"/>
        <w:jc w:val="both"/>
        <w:rPr>
          <w:rFonts w:eastAsia="Times New Roman" w:cs="Arial"/>
          <w:b/>
          <w:bCs/>
        </w:rPr>
      </w:pPr>
    </w:p>
    <w:p w14:paraId="2B11BAE5" w14:textId="77777777" w:rsidR="00955FDC" w:rsidRPr="0034501D" w:rsidRDefault="00F34BF5">
      <w:pPr>
        <w:keepNext/>
        <w:tabs>
          <w:tab w:val="left" w:pos="426"/>
        </w:tabs>
        <w:spacing w:after="0" w:line="240" w:lineRule="auto"/>
        <w:jc w:val="both"/>
        <w:rPr>
          <w:rFonts w:eastAsia="Times New Roman" w:cs="Arial"/>
          <w:b/>
          <w:bCs/>
        </w:rPr>
      </w:pPr>
      <w:r w:rsidRPr="0034501D">
        <w:rPr>
          <w:rFonts w:eastAsia="Times New Roman" w:cs="Arial"/>
          <w:b/>
          <w:bCs/>
        </w:rPr>
        <w:t>3</w:t>
      </w:r>
      <w:r w:rsidR="00955FDC" w:rsidRPr="0034501D">
        <w:rPr>
          <w:rFonts w:eastAsia="Times New Roman" w:cs="Arial"/>
          <w:b/>
          <w:bCs/>
        </w:rPr>
        <w:t xml:space="preserve">.1. </w:t>
      </w:r>
      <w:r w:rsidR="00F91F7A">
        <w:rPr>
          <w:rFonts w:eastAsia="Times New Roman" w:cs="Arial"/>
          <w:b/>
          <w:bCs/>
        </w:rPr>
        <w:tab/>
      </w:r>
      <w:r w:rsidR="005967F2" w:rsidRPr="0034501D">
        <w:rPr>
          <w:rFonts w:eastAsia="Times New Roman" w:cs="Arial"/>
          <w:b/>
          <w:bCs/>
        </w:rPr>
        <w:t>Accounting policies</w:t>
      </w:r>
    </w:p>
    <w:p w14:paraId="623BAA12" w14:textId="77777777" w:rsidR="00AE12ED" w:rsidRPr="0034501D" w:rsidRDefault="00AE12ED" w:rsidP="00FB78E7">
      <w:pPr>
        <w:keepNext/>
        <w:spacing w:after="0" w:line="240" w:lineRule="auto"/>
        <w:jc w:val="both"/>
        <w:rPr>
          <w:rFonts w:eastAsia="Times New Roman" w:cs="Arial"/>
          <w:bCs/>
        </w:rPr>
      </w:pPr>
    </w:p>
    <w:p w14:paraId="25F86E4D" w14:textId="77777777" w:rsidR="00290205" w:rsidRPr="00594BF9" w:rsidRDefault="00290205" w:rsidP="00290205">
      <w:pPr>
        <w:keepNext/>
        <w:spacing w:after="0" w:line="240" w:lineRule="auto"/>
        <w:jc w:val="both"/>
        <w:rPr>
          <w:rFonts w:eastAsia="Times New Roman" w:cs="Arial"/>
          <w:bCs/>
        </w:rPr>
      </w:pPr>
      <w:r w:rsidRPr="00594BF9">
        <w:rPr>
          <w:rFonts w:eastAsia="Times New Roman" w:cs="Arial"/>
          <w:bCs/>
        </w:rPr>
        <w:t xml:space="preserve">Principal accounting policies applied when preparing these Interim Condensed Financial Statements are consistent with those followed in the preparation of the Annual Financial Statements as of 31 December </w:t>
      </w:r>
      <w:r w:rsidR="00FD46DF" w:rsidRPr="00594BF9">
        <w:rPr>
          <w:rFonts w:eastAsia="Times New Roman" w:cs="Arial"/>
          <w:bCs/>
        </w:rPr>
        <w:t>201</w:t>
      </w:r>
      <w:r w:rsidR="00FD46DF">
        <w:rPr>
          <w:rFonts w:eastAsia="Times New Roman" w:cs="Arial"/>
          <w:bCs/>
        </w:rPr>
        <w:t xml:space="preserve">6 </w:t>
      </w:r>
      <w:r>
        <w:rPr>
          <w:rFonts w:eastAsia="Times New Roman" w:cs="Arial"/>
          <w:bCs/>
        </w:rPr>
        <w:t xml:space="preserve">that were disclosed on the web address: </w:t>
      </w:r>
      <w:hyperlink r:id="rId45" w:history="1">
        <w:r w:rsidR="009702B0" w:rsidRPr="007910A0">
          <w:rPr>
            <w:color w:val="0000FF" w:themeColor="hyperlink"/>
            <w:szCs w:val="21"/>
            <w:u w:val="single"/>
          </w:rPr>
          <w:t>http://www.hbor.hr</w:t>
        </w:r>
      </w:hyperlink>
      <w:r w:rsidR="009702B0" w:rsidRPr="007910A0">
        <w:rPr>
          <w:szCs w:val="21"/>
        </w:rPr>
        <w:t>.</w:t>
      </w:r>
    </w:p>
    <w:p w14:paraId="46AC39D1" w14:textId="77777777" w:rsidR="00AE12ED" w:rsidRPr="0034501D" w:rsidRDefault="00AE12ED" w:rsidP="00FB78E7">
      <w:pPr>
        <w:tabs>
          <w:tab w:val="left" w:pos="426"/>
        </w:tabs>
        <w:spacing w:after="0" w:line="240" w:lineRule="auto"/>
        <w:jc w:val="both"/>
        <w:rPr>
          <w:rFonts w:eastAsia="Times New Roman" w:cs="Arial"/>
          <w:b/>
        </w:rPr>
      </w:pPr>
    </w:p>
    <w:p w14:paraId="5832E975" w14:textId="77777777" w:rsidR="00385FA3" w:rsidRPr="0034501D" w:rsidRDefault="007F61D1" w:rsidP="00D16CF4">
      <w:pPr>
        <w:tabs>
          <w:tab w:val="left" w:pos="284"/>
          <w:tab w:val="left" w:pos="426"/>
        </w:tabs>
        <w:spacing w:after="0" w:line="240" w:lineRule="auto"/>
        <w:jc w:val="both"/>
        <w:rPr>
          <w:rFonts w:eastAsia="Times New Roman" w:cs="Arial"/>
          <w:b/>
        </w:rPr>
      </w:pPr>
      <w:r w:rsidRPr="0034501D">
        <w:rPr>
          <w:rFonts w:eastAsia="Times New Roman" w:cs="Arial"/>
          <w:b/>
        </w:rPr>
        <w:t>3.2</w:t>
      </w:r>
      <w:r w:rsidR="00955FDC" w:rsidRPr="0034501D">
        <w:rPr>
          <w:rFonts w:eastAsia="Times New Roman" w:cs="Arial"/>
          <w:b/>
        </w:rPr>
        <w:t>.</w:t>
      </w:r>
      <w:r w:rsidR="00F91F7A">
        <w:rPr>
          <w:rFonts w:eastAsia="Times New Roman" w:cs="Arial"/>
          <w:b/>
        </w:rPr>
        <w:tab/>
      </w:r>
      <w:r w:rsidR="006A3A2F" w:rsidRPr="0034501D">
        <w:rPr>
          <w:rFonts w:eastAsia="Times New Roman" w:cs="Arial"/>
          <w:b/>
        </w:rPr>
        <w:t>Adoption of new and amended International Financial Reporting Standards</w:t>
      </w:r>
      <w:r w:rsidR="00385FA3" w:rsidRPr="0034501D">
        <w:rPr>
          <w:rFonts w:eastAsia="Times New Roman" w:cs="Arial"/>
          <w:b/>
        </w:rPr>
        <w:t>:</w:t>
      </w:r>
    </w:p>
    <w:p w14:paraId="343301E0" w14:textId="77777777" w:rsidR="00AE12ED" w:rsidRPr="0034501D" w:rsidRDefault="00AE12ED" w:rsidP="00FB78E7">
      <w:pPr>
        <w:pStyle w:val="Bodycopy"/>
        <w:spacing w:before="0" w:line="240" w:lineRule="auto"/>
        <w:jc w:val="both"/>
        <w:rPr>
          <w:rFonts w:ascii="Calibri" w:hAnsi="Calibri"/>
          <w:sz w:val="22"/>
          <w:szCs w:val="22"/>
          <w:lang w:val="en-GB"/>
        </w:rPr>
      </w:pPr>
    </w:p>
    <w:p w14:paraId="23DBB615" w14:textId="77777777" w:rsidR="00290205" w:rsidRPr="00594BF9" w:rsidRDefault="00290205" w:rsidP="00290205">
      <w:pPr>
        <w:spacing w:after="0" w:line="240" w:lineRule="auto"/>
        <w:jc w:val="both"/>
        <w:rPr>
          <w:rFonts w:eastAsia="PMingLiU" w:cs="Arial"/>
          <w:color w:val="000000"/>
          <w:lang w:eastAsia="hr-HR" w:bidi="hr-HR"/>
        </w:rPr>
      </w:pPr>
      <w:r w:rsidRPr="00594BF9">
        <w:rPr>
          <w:rFonts w:eastAsia="PMingLiU" w:cs="Arial"/>
          <w:color w:val="000000"/>
          <w:lang w:eastAsia="hr-HR" w:bidi="hr-HR"/>
        </w:rPr>
        <w:t xml:space="preserve">The following new and amended IFRSs have been applied in the current period and have affected presentation and disclosures in these financial statements. </w:t>
      </w:r>
    </w:p>
    <w:p w14:paraId="3EE516F3" w14:textId="38CA3D3A" w:rsidR="00290205" w:rsidRPr="00594BF9" w:rsidRDefault="00290205" w:rsidP="00290205">
      <w:pPr>
        <w:spacing w:after="0" w:line="240" w:lineRule="auto"/>
        <w:ind w:left="284" w:hanging="284"/>
        <w:jc w:val="both"/>
        <w:rPr>
          <w:rFonts w:asciiTheme="minorHAnsi" w:eastAsia="Times New Roman" w:hAnsiTheme="minorHAnsi" w:cs="Arial"/>
          <w:bCs/>
          <w:i/>
          <w:lang w:val="hr-HR"/>
        </w:rPr>
      </w:pPr>
    </w:p>
    <w:p w14:paraId="75AE4184" w14:textId="4A31526F" w:rsidR="00AB5ABA" w:rsidRPr="00947CB7" w:rsidRDefault="00AB5ABA" w:rsidP="000D16D2">
      <w:pPr>
        <w:numPr>
          <w:ilvl w:val="0"/>
          <w:numId w:val="67"/>
        </w:numPr>
        <w:spacing w:after="120" w:line="240" w:lineRule="auto"/>
        <w:ind w:left="284" w:hanging="284"/>
        <w:jc w:val="both"/>
        <w:rPr>
          <w:rFonts w:asciiTheme="minorHAnsi" w:eastAsia="Times New Roman" w:hAnsiTheme="minorHAnsi" w:cs="Arial"/>
          <w:i/>
          <w:lang w:val="hr-HR"/>
        </w:rPr>
      </w:pPr>
      <w:r w:rsidRPr="00947CB7">
        <w:rPr>
          <w:rFonts w:asciiTheme="minorHAnsi" w:eastAsia="Times New Roman" w:hAnsiTheme="minorHAnsi" w:cs="Arial"/>
          <w:bCs/>
          <w:i/>
        </w:rPr>
        <w:t>New and amended International Financial Reporting Standards effective in the reporting period</w:t>
      </w:r>
      <w:r w:rsidR="00C63730">
        <w:rPr>
          <w:rFonts w:asciiTheme="minorHAnsi" w:eastAsia="Times New Roman" w:hAnsiTheme="minorHAnsi" w:cs="Arial"/>
          <w:bCs/>
          <w:i/>
        </w:rPr>
        <w:t xml:space="preserve"> and</w:t>
      </w:r>
      <w:r w:rsidR="005E0AB1">
        <w:rPr>
          <w:rFonts w:asciiTheme="minorHAnsi" w:eastAsia="Times New Roman" w:hAnsiTheme="minorHAnsi" w:cs="Arial"/>
          <w:bCs/>
          <w:i/>
        </w:rPr>
        <w:t xml:space="preserve"> </w:t>
      </w:r>
      <w:r w:rsidRPr="00947CB7">
        <w:rPr>
          <w:rFonts w:asciiTheme="minorHAnsi" w:eastAsia="Times New Roman" w:hAnsiTheme="minorHAnsi" w:cs="Arial"/>
          <w:bCs/>
          <w:i/>
        </w:rPr>
        <w:t>adopted in the European Union</w:t>
      </w:r>
      <w:r w:rsidR="005E0AB1">
        <w:rPr>
          <w:rFonts w:asciiTheme="minorHAnsi" w:eastAsia="Times New Roman" w:hAnsiTheme="minorHAnsi" w:cs="Arial"/>
          <w:bCs/>
          <w:i/>
        </w:rPr>
        <w:t xml:space="preserve"> </w:t>
      </w:r>
      <w:r w:rsidRPr="00947CB7">
        <w:rPr>
          <w:rFonts w:asciiTheme="minorHAnsi" w:eastAsia="Times New Roman" w:hAnsiTheme="minorHAnsi" w:cs="Arial"/>
          <w:i/>
          <w:lang w:val="hr-HR"/>
        </w:rPr>
        <w:t>:</w:t>
      </w:r>
    </w:p>
    <w:p w14:paraId="39144B9B" w14:textId="08A208C6" w:rsidR="005E0AB1" w:rsidRPr="00166751" w:rsidRDefault="005E0AB1" w:rsidP="00166751">
      <w:pPr>
        <w:pStyle w:val="ListParagraph"/>
        <w:numPr>
          <w:ilvl w:val="0"/>
          <w:numId w:val="80"/>
        </w:numPr>
        <w:tabs>
          <w:tab w:val="left" w:pos="709"/>
        </w:tabs>
        <w:spacing w:after="0" w:line="240" w:lineRule="auto"/>
        <w:ind w:left="709" w:hanging="425"/>
        <w:jc w:val="both"/>
        <w:rPr>
          <w:rFonts w:asciiTheme="minorHAnsi" w:eastAsia="Times New Roman" w:hAnsiTheme="minorHAnsi" w:cs="Arial"/>
          <w:lang w:val="en-US"/>
        </w:rPr>
      </w:pPr>
      <w:r w:rsidRPr="00166751">
        <w:rPr>
          <w:rFonts w:asciiTheme="minorHAnsi" w:eastAsia="Times New Roman" w:hAnsiTheme="minorHAnsi" w:cs="Arial"/>
          <w:lang w:val="en-US"/>
        </w:rPr>
        <w:t xml:space="preserve">Amended IAS 12 Income Taxes (effective for periods beginning on or after 1 January 2017, adopted in the European Union </w:t>
      </w:r>
      <w:r w:rsidR="001C7780">
        <w:rPr>
          <w:rFonts w:asciiTheme="minorHAnsi" w:eastAsia="Times New Roman" w:hAnsiTheme="minorHAnsi" w:cs="Arial"/>
          <w:lang w:val="en-US"/>
        </w:rPr>
        <w:t>on 9 November</w:t>
      </w:r>
      <w:r w:rsidR="000866AF">
        <w:rPr>
          <w:rFonts w:asciiTheme="minorHAnsi" w:eastAsia="Times New Roman" w:hAnsiTheme="minorHAnsi" w:cs="Arial"/>
          <w:lang w:val="en-US"/>
        </w:rPr>
        <w:t xml:space="preserve"> 2017</w:t>
      </w:r>
      <w:r w:rsidRPr="00166751">
        <w:rPr>
          <w:rFonts w:asciiTheme="minorHAnsi" w:eastAsia="Times New Roman" w:hAnsiTheme="minorHAnsi" w:cs="Arial"/>
          <w:lang w:val="en-US"/>
        </w:rPr>
        <w:t xml:space="preserve">) – Recognition of Deferred Tax Assets for </w:t>
      </w:r>
      <w:proofErr w:type="spellStart"/>
      <w:r w:rsidRPr="00166751">
        <w:rPr>
          <w:rFonts w:asciiTheme="minorHAnsi" w:eastAsia="Times New Roman" w:hAnsiTheme="minorHAnsi" w:cs="Arial"/>
          <w:lang w:val="en-US"/>
        </w:rPr>
        <w:t>Unreali</w:t>
      </w:r>
      <w:r w:rsidR="00D757F0">
        <w:rPr>
          <w:rFonts w:asciiTheme="minorHAnsi" w:eastAsia="Times New Roman" w:hAnsiTheme="minorHAnsi" w:cs="Arial"/>
          <w:lang w:val="en-US"/>
        </w:rPr>
        <w:t>s</w:t>
      </w:r>
      <w:r w:rsidRPr="00166751">
        <w:rPr>
          <w:rFonts w:asciiTheme="minorHAnsi" w:eastAsia="Times New Roman" w:hAnsiTheme="minorHAnsi" w:cs="Arial"/>
          <w:lang w:val="en-US"/>
        </w:rPr>
        <w:t>ed</w:t>
      </w:r>
      <w:proofErr w:type="spellEnd"/>
      <w:r w:rsidRPr="00166751">
        <w:rPr>
          <w:rFonts w:asciiTheme="minorHAnsi" w:eastAsia="Times New Roman" w:hAnsiTheme="minorHAnsi" w:cs="Arial"/>
          <w:lang w:val="en-US"/>
        </w:rPr>
        <w:t xml:space="preserve"> Losses. IASB has concluded that the diversity in practice around the recognition of a deferred tax asset that is related to a debt instrument measured at fair value is mainly attributable to uncertainty about the application of some of the principles in IAS 12. Therefore the amendments consist of some clarifications and an illustrating example.</w:t>
      </w:r>
    </w:p>
    <w:p w14:paraId="5AA54D74" w14:textId="4B37514C" w:rsidR="005E0AB1" w:rsidRDefault="005E0AB1" w:rsidP="005E0AB1">
      <w:pPr>
        <w:tabs>
          <w:tab w:val="left" w:pos="426"/>
        </w:tabs>
        <w:spacing w:after="0" w:line="240" w:lineRule="auto"/>
        <w:ind w:left="709"/>
        <w:jc w:val="both"/>
        <w:rPr>
          <w:rFonts w:asciiTheme="minorHAnsi" w:eastAsia="Times New Roman" w:hAnsiTheme="minorHAnsi" w:cs="Arial"/>
          <w:lang w:val="en-US"/>
        </w:rPr>
      </w:pPr>
      <w:r w:rsidRPr="00947CB7">
        <w:rPr>
          <w:rFonts w:asciiTheme="minorHAnsi" w:eastAsia="Times New Roman" w:hAnsiTheme="minorHAnsi" w:cs="Arial"/>
          <w:lang w:val="en-US"/>
        </w:rPr>
        <w:t xml:space="preserve">This amendment </w:t>
      </w:r>
      <w:r w:rsidR="001C7780">
        <w:rPr>
          <w:rFonts w:asciiTheme="minorHAnsi" w:eastAsia="Times New Roman" w:hAnsiTheme="minorHAnsi" w:cs="Arial"/>
          <w:lang w:val="en-US"/>
        </w:rPr>
        <w:t>do</w:t>
      </w:r>
      <w:r w:rsidR="001C7780" w:rsidRPr="00947CB7">
        <w:rPr>
          <w:rFonts w:asciiTheme="minorHAnsi" w:eastAsia="Times New Roman" w:hAnsiTheme="minorHAnsi" w:cs="Arial"/>
          <w:lang w:val="en-US"/>
        </w:rPr>
        <w:t xml:space="preserve"> </w:t>
      </w:r>
      <w:r w:rsidRPr="00947CB7">
        <w:rPr>
          <w:rFonts w:asciiTheme="minorHAnsi" w:eastAsia="Times New Roman" w:hAnsiTheme="minorHAnsi" w:cs="Arial"/>
          <w:lang w:val="en-US"/>
        </w:rPr>
        <w:t>not affect the Group after the initial application.</w:t>
      </w:r>
    </w:p>
    <w:p w14:paraId="1299344F" w14:textId="0C88BD52" w:rsidR="00931431" w:rsidRPr="00947CB7" w:rsidRDefault="00931431" w:rsidP="005E0AB1">
      <w:pPr>
        <w:tabs>
          <w:tab w:val="left" w:pos="426"/>
        </w:tabs>
        <w:spacing w:after="0" w:line="240" w:lineRule="auto"/>
        <w:ind w:left="709"/>
        <w:jc w:val="both"/>
        <w:rPr>
          <w:rFonts w:asciiTheme="minorHAnsi" w:eastAsia="Times New Roman" w:hAnsiTheme="minorHAnsi" w:cs="Arial"/>
          <w:lang w:val="en-US"/>
        </w:rPr>
      </w:pPr>
    </w:p>
    <w:p w14:paraId="1A787406" w14:textId="5ED9FF19" w:rsidR="00931431" w:rsidRPr="00947CB7" w:rsidRDefault="00931431" w:rsidP="00931431">
      <w:pPr>
        <w:numPr>
          <w:ilvl w:val="0"/>
          <w:numId w:val="48"/>
        </w:numPr>
        <w:tabs>
          <w:tab w:val="left" w:pos="709"/>
        </w:tabs>
        <w:spacing w:after="0" w:line="240" w:lineRule="auto"/>
        <w:ind w:left="709" w:hanging="425"/>
        <w:contextualSpacing/>
        <w:jc w:val="both"/>
        <w:rPr>
          <w:rFonts w:asciiTheme="minorHAnsi" w:eastAsia="Times New Roman" w:hAnsiTheme="minorHAnsi" w:cs="Arial"/>
          <w:lang w:val="en-US"/>
        </w:rPr>
      </w:pPr>
      <w:r w:rsidRPr="00947CB7">
        <w:rPr>
          <w:rFonts w:asciiTheme="minorHAnsi" w:eastAsia="Times New Roman" w:hAnsiTheme="minorHAnsi" w:cs="Arial"/>
          <w:lang w:val="en-US"/>
        </w:rPr>
        <w:t xml:space="preserve">Amended IAS 7 Statement of Cash Flows (effective for periods beginning on or after 1 January 2017, adopted in the European Union </w:t>
      </w:r>
      <w:r w:rsidR="0018440C">
        <w:rPr>
          <w:rFonts w:asciiTheme="minorHAnsi" w:eastAsia="Times New Roman" w:hAnsiTheme="minorHAnsi" w:cs="Arial"/>
          <w:lang w:val="en-US"/>
        </w:rPr>
        <w:t>on 9 November 2017</w:t>
      </w:r>
      <w:r w:rsidRPr="00947CB7">
        <w:rPr>
          <w:rFonts w:asciiTheme="minorHAnsi" w:eastAsia="Times New Roman" w:hAnsiTheme="minorHAnsi" w:cs="Arial"/>
          <w:lang w:val="en-US"/>
        </w:rPr>
        <w:t>) – Disclosure Initiative. The amendments come with the objective that entities shall provide disclosures that enable users of financial statements to evaluate changes in liabilities arising from financing activities, including changes arising from cash flows and non-cash changes.</w:t>
      </w:r>
    </w:p>
    <w:p w14:paraId="1A07BBEF" w14:textId="6C1C3B65" w:rsidR="00931431" w:rsidRDefault="00931431" w:rsidP="00931431">
      <w:pPr>
        <w:tabs>
          <w:tab w:val="left" w:pos="426"/>
        </w:tabs>
        <w:spacing w:after="0" w:line="240" w:lineRule="auto"/>
        <w:ind w:left="709"/>
        <w:jc w:val="both"/>
        <w:rPr>
          <w:rFonts w:asciiTheme="minorHAnsi" w:eastAsia="Times New Roman" w:hAnsiTheme="minorHAnsi" w:cs="Arial"/>
          <w:lang w:val="en-US"/>
        </w:rPr>
      </w:pPr>
      <w:r w:rsidRPr="00947CB7">
        <w:rPr>
          <w:rFonts w:asciiTheme="minorHAnsi" w:eastAsia="Times New Roman" w:hAnsiTheme="minorHAnsi" w:cs="Arial"/>
          <w:lang w:val="en-US"/>
        </w:rPr>
        <w:t xml:space="preserve">This amendment </w:t>
      </w:r>
      <w:r w:rsidR="0018440C">
        <w:rPr>
          <w:rFonts w:asciiTheme="minorHAnsi" w:eastAsia="Times New Roman" w:hAnsiTheme="minorHAnsi" w:cs="Arial"/>
          <w:lang w:val="en-US"/>
        </w:rPr>
        <w:t>do</w:t>
      </w:r>
      <w:r w:rsidR="0018440C" w:rsidRPr="00947CB7">
        <w:rPr>
          <w:rFonts w:asciiTheme="minorHAnsi" w:eastAsia="Times New Roman" w:hAnsiTheme="minorHAnsi" w:cs="Arial"/>
          <w:lang w:val="en-US"/>
        </w:rPr>
        <w:t xml:space="preserve"> </w:t>
      </w:r>
      <w:r w:rsidRPr="00947CB7">
        <w:rPr>
          <w:rFonts w:asciiTheme="minorHAnsi" w:eastAsia="Times New Roman" w:hAnsiTheme="minorHAnsi" w:cs="Arial"/>
          <w:lang w:val="en-US"/>
        </w:rPr>
        <w:t>not affect the Group after the initial application.</w:t>
      </w:r>
    </w:p>
    <w:p w14:paraId="779ED00B" w14:textId="2FDF3E60" w:rsidR="0018440C" w:rsidRDefault="0018440C" w:rsidP="00931431">
      <w:pPr>
        <w:tabs>
          <w:tab w:val="left" w:pos="426"/>
        </w:tabs>
        <w:spacing w:after="0" w:line="240" w:lineRule="auto"/>
        <w:ind w:left="709"/>
        <w:jc w:val="both"/>
        <w:rPr>
          <w:rFonts w:asciiTheme="minorHAnsi" w:eastAsia="Times New Roman" w:hAnsiTheme="minorHAnsi" w:cs="Arial"/>
          <w:lang w:val="en-US"/>
        </w:rPr>
      </w:pPr>
    </w:p>
    <w:p w14:paraId="22A01C80" w14:textId="0BE6414A" w:rsidR="0018440C" w:rsidRPr="006B318F" w:rsidRDefault="0018440C" w:rsidP="006B318F">
      <w:pPr>
        <w:pStyle w:val="ListParagraph"/>
        <w:numPr>
          <w:ilvl w:val="0"/>
          <w:numId w:val="67"/>
        </w:numPr>
        <w:tabs>
          <w:tab w:val="left" w:pos="426"/>
        </w:tabs>
        <w:spacing w:after="0" w:line="240" w:lineRule="auto"/>
        <w:jc w:val="both"/>
        <w:rPr>
          <w:rFonts w:asciiTheme="minorHAnsi" w:eastAsia="Times New Roman" w:hAnsiTheme="minorHAnsi" w:cs="Arial"/>
          <w:lang w:val="en-US"/>
        </w:rPr>
      </w:pPr>
      <w:r w:rsidRPr="006B318F">
        <w:rPr>
          <w:rFonts w:asciiTheme="minorHAnsi" w:eastAsia="Times New Roman" w:hAnsiTheme="minorHAnsi" w:cs="Arial"/>
          <w:bCs/>
          <w:i/>
        </w:rPr>
        <w:t>New and amended International Financial Reporting Standards effective in the reporting period and that have not been adopted in the European Union yet</w:t>
      </w:r>
      <w:r>
        <w:rPr>
          <w:rFonts w:asciiTheme="minorHAnsi" w:eastAsia="Times New Roman" w:hAnsiTheme="minorHAnsi" w:cs="Arial"/>
          <w:bCs/>
          <w:i/>
        </w:rPr>
        <w:t>.</w:t>
      </w:r>
    </w:p>
    <w:p w14:paraId="35C18AAE" w14:textId="17165639" w:rsidR="00931431" w:rsidRPr="00947CB7" w:rsidRDefault="00931431" w:rsidP="00931431">
      <w:pPr>
        <w:tabs>
          <w:tab w:val="left" w:pos="426"/>
        </w:tabs>
        <w:spacing w:after="0" w:line="240" w:lineRule="auto"/>
        <w:ind w:left="709"/>
        <w:jc w:val="both"/>
        <w:rPr>
          <w:rFonts w:asciiTheme="minorHAnsi" w:eastAsia="Times New Roman" w:hAnsiTheme="minorHAnsi" w:cs="Arial"/>
          <w:lang w:val="en-US"/>
        </w:rPr>
      </w:pPr>
    </w:p>
    <w:p w14:paraId="5CF1FA4B" w14:textId="2F413D17" w:rsidR="00931431" w:rsidRPr="00947CB7" w:rsidRDefault="00931431" w:rsidP="00166751">
      <w:pPr>
        <w:numPr>
          <w:ilvl w:val="0"/>
          <w:numId w:val="62"/>
        </w:numPr>
        <w:spacing w:after="0" w:line="240" w:lineRule="auto"/>
        <w:ind w:left="709" w:hanging="425"/>
        <w:jc w:val="both"/>
        <w:rPr>
          <w:rFonts w:asciiTheme="minorHAnsi" w:eastAsia="Times New Roman" w:hAnsiTheme="minorHAnsi"/>
          <w:lang w:val="en" w:eastAsia="hr-HR"/>
        </w:rPr>
      </w:pPr>
      <w:r w:rsidRPr="00947CB7">
        <w:rPr>
          <w:rFonts w:asciiTheme="minorHAnsi" w:eastAsia="Times New Roman" w:hAnsiTheme="minorHAnsi"/>
          <w:bCs/>
          <w:kern w:val="3"/>
          <w:u w:val="single"/>
          <w:lang w:val="en" w:eastAsia="hr-HR"/>
        </w:rPr>
        <w:t>Annual improvements 2014-2016</w:t>
      </w:r>
      <w:r w:rsidRPr="00947CB7">
        <w:rPr>
          <w:rFonts w:asciiTheme="minorHAnsi" w:eastAsia="Times New Roman" w:hAnsiTheme="minorHAnsi"/>
          <w:bCs/>
          <w:kern w:val="3"/>
          <w:lang w:val="en" w:eastAsia="hr-HR"/>
        </w:rPr>
        <w:t xml:space="preserve"> - </w:t>
      </w:r>
      <w:r w:rsidRPr="00947CB7">
        <w:rPr>
          <w:rFonts w:asciiTheme="minorHAnsi" w:eastAsia="Times New Roman" w:hAnsiTheme="minorHAnsi"/>
          <w:lang w:val="en" w:eastAsia="hr-HR"/>
        </w:rPr>
        <w:t>The primary objective of the process is to enhance the quality of standards, by amending existing IFRSs to clarify guidance and wording, or to correct for relatively minor unintended consequences, conflicts or oversights.</w:t>
      </w:r>
    </w:p>
    <w:p w14:paraId="4A1BFB38" w14:textId="7904A91E" w:rsidR="00931431" w:rsidRPr="00947CB7" w:rsidRDefault="00931431" w:rsidP="00166751">
      <w:pPr>
        <w:spacing w:after="0" w:line="240" w:lineRule="auto"/>
        <w:ind w:firstLine="709"/>
        <w:jc w:val="both"/>
        <w:rPr>
          <w:rFonts w:asciiTheme="minorHAnsi" w:eastAsia="Times New Roman" w:hAnsiTheme="minorHAnsi"/>
          <w:lang w:val="en-US" w:eastAsia="hr-HR"/>
        </w:rPr>
      </w:pPr>
      <w:r w:rsidRPr="00947CB7">
        <w:rPr>
          <w:rFonts w:asciiTheme="minorHAnsi" w:eastAsia="Times New Roman" w:hAnsiTheme="minorHAnsi"/>
          <w:lang w:val="en-US" w:eastAsia="hr-HR"/>
        </w:rPr>
        <w:t>The issues included in this cycle are:</w:t>
      </w:r>
    </w:p>
    <w:p w14:paraId="2E81635E" w14:textId="3EF11F5A" w:rsidR="00931431" w:rsidRPr="00947CB7" w:rsidRDefault="00931431" w:rsidP="00931431">
      <w:pPr>
        <w:spacing w:after="0" w:line="240" w:lineRule="auto"/>
        <w:ind w:firstLine="567"/>
        <w:jc w:val="both"/>
        <w:rPr>
          <w:rFonts w:asciiTheme="minorHAnsi" w:eastAsia="Times New Roman" w:hAnsiTheme="minorHAnsi"/>
          <w:lang w:val="en-US" w:eastAsia="hr-HR"/>
        </w:rPr>
      </w:pPr>
    </w:p>
    <w:p w14:paraId="34CDE6B0" w14:textId="2FB3BBA7" w:rsidR="00931431" w:rsidRPr="00947CB7" w:rsidRDefault="00931431" w:rsidP="00931431">
      <w:pPr>
        <w:numPr>
          <w:ilvl w:val="0"/>
          <w:numId w:val="73"/>
        </w:numPr>
        <w:suppressAutoHyphens/>
        <w:autoSpaceDN w:val="0"/>
        <w:spacing w:after="0" w:line="240" w:lineRule="auto"/>
        <w:ind w:left="1134" w:hanging="425"/>
        <w:jc w:val="both"/>
        <w:textAlignment w:val="baseline"/>
        <w:rPr>
          <w:rFonts w:asciiTheme="minorHAnsi" w:eastAsia="Times New Roman" w:hAnsiTheme="minorHAnsi"/>
          <w:lang w:val="en-US"/>
        </w:rPr>
      </w:pPr>
      <w:r w:rsidRPr="00947CB7">
        <w:rPr>
          <w:rFonts w:asciiTheme="minorHAnsi" w:eastAsia="Times New Roman" w:hAnsiTheme="minorHAnsi"/>
          <w:lang w:val="en-US"/>
        </w:rPr>
        <w:t xml:space="preserve">IFRS 12 </w:t>
      </w:r>
      <w:r w:rsidRPr="00947CB7">
        <w:rPr>
          <w:rFonts w:asciiTheme="minorHAnsi" w:eastAsia="Times New Roman" w:hAnsiTheme="minorHAnsi"/>
          <w:bCs/>
          <w:lang w:val="en-US"/>
        </w:rPr>
        <w:t>Disclosure of Interests in Other Entities</w:t>
      </w:r>
      <w:r w:rsidRPr="00947CB7">
        <w:rPr>
          <w:rFonts w:asciiTheme="minorHAnsi" w:eastAsia="Times New Roman" w:hAnsiTheme="minorHAnsi"/>
          <w:b/>
          <w:bCs/>
          <w:lang w:val="en-US"/>
        </w:rPr>
        <w:t xml:space="preserve"> </w:t>
      </w:r>
      <w:r w:rsidRPr="00947CB7">
        <w:rPr>
          <w:rFonts w:asciiTheme="minorHAnsi" w:eastAsia="Times New Roman" w:hAnsiTheme="minorHAnsi" w:cs="Arial"/>
          <w:lang w:val="en-US"/>
        </w:rPr>
        <w:t>(effective for periods beginning on or after 1 January 2017, but have not been adopted in the European Union yet):</w:t>
      </w:r>
      <w:r w:rsidRPr="00947CB7">
        <w:rPr>
          <w:rFonts w:asciiTheme="minorHAnsi" w:eastAsia="Times New Roman" w:hAnsiTheme="minorHAnsi"/>
          <w:lang w:val="en-US"/>
        </w:rPr>
        <w:t xml:space="preserve"> </w:t>
      </w:r>
      <w:r w:rsidRPr="00947CB7">
        <w:rPr>
          <w:rFonts w:asciiTheme="minorHAnsi" w:eastAsia="Times New Roman" w:hAnsiTheme="minorHAnsi"/>
          <w:lang w:val="en-US" w:eastAsia="hr-HR"/>
        </w:rPr>
        <w:t xml:space="preserve">Clarified the scope of the standard by specifying that the disclosure requirements in the standard, except for those in paragraphs B10–B16, apply to an entity’s interests listed in paragraph 5 that are classified as held for sale, as held for distribution or as discontinued operations in accordance with IFRS 5 </w:t>
      </w:r>
      <w:r w:rsidRPr="00947CB7">
        <w:rPr>
          <w:rFonts w:asciiTheme="minorHAnsi" w:eastAsia="Times New Roman" w:hAnsiTheme="minorHAnsi"/>
          <w:i/>
          <w:iCs/>
          <w:lang w:val="en-US" w:eastAsia="hr-HR"/>
        </w:rPr>
        <w:t>Non-current Assets Held for Sale and Discontinued Operations.</w:t>
      </w:r>
    </w:p>
    <w:p w14:paraId="5A17CA19" w14:textId="76F82CA5" w:rsidR="00931431" w:rsidRPr="00931431" w:rsidRDefault="00931431" w:rsidP="00166751">
      <w:pPr>
        <w:pStyle w:val="ListParagraph"/>
        <w:tabs>
          <w:tab w:val="left" w:pos="426"/>
        </w:tabs>
        <w:spacing w:after="0" w:line="240" w:lineRule="auto"/>
        <w:jc w:val="both"/>
        <w:rPr>
          <w:rFonts w:asciiTheme="minorHAnsi" w:eastAsia="Times New Roman" w:hAnsiTheme="minorHAnsi" w:cs="Arial"/>
          <w:lang w:val="en-US"/>
        </w:rPr>
      </w:pPr>
      <w:r>
        <w:rPr>
          <w:rFonts w:asciiTheme="minorHAnsi" w:eastAsia="Times New Roman" w:hAnsiTheme="minorHAnsi" w:cs="Arial"/>
          <w:lang w:val="en-US"/>
        </w:rPr>
        <w:t xml:space="preserve">        </w:t>
      </w:r>
      <w:r w:rsidRPr="00931431">
        <w:rPr>
          <w:rFonts w:asciiTheme="minorHAnsi" w:eastAsia="Times New Roman" w:hAnsiTheme="minorHAnsi" w:cs="Arial"/>
          <w:lang w:val="en-US"/>
        </w:rPr>
        <w:t>This amendment will not affect the Group after the initial application.</w:t>
      </w:r>
    </w:p>
    <w:p w14:paraId="572BA5C2" w14:textId="77777777" w:rsidR="00AB76F4" w:rsidRDefault="00AB76F4" w:rsidP="006B318F">
      <w:pPr>
        <w:suppressAutoHyphens/>
        <w:autoSpaceDN w:val="0"/>
        <w:spacing w:after="0" w:line="240" w:lineRule="auto"/>
        <w:jc w:val="both"/>
        <w:textAlignment w:val="baseline"/>
        <w:rPr>
          <w:rFonts w:asciiTheme="minorHAnsi" w:eastAsia="Times New Roman" w:hAnsiTheme="minorHAnsi"/>
          <w:lang w:val="en-US"/>
        </w:rPr>
        <w:sectPr w:rsidR="00AB76F4" w:rsidSect="00947CB7">
          <w:footerReference w:type="default" r:id="rId46"/>
          <w:pgSz w:w="11907" w:h="16840"/>
          <w:pgMar w:top="1418" w:right="1134" w:bottom="1134" w:left="1418" w:header="851" w:footer="851" w:gutter="0"/>
          <w:cols w:space="720"/>
        </w:sectPr>
      </w:pPr>
    </w:p>
    <w:p w14:paraId="430BF024" w14:textId="43BCAA21" w:rsidR="0018440C" w:rsidRDefault="0018440C" w:rsidP="006B318F">
      <w:pPr>
        <w:suppressAutoHyphens/>
        <w:autoSpaceDN w:val="0"/>
        <w:spacing w:after="0" w:line="240" w:lineRule="auto"/>
        <w:jc w:val="both"/>
        <w:textAlignment w:val="baseline"/>
        <w:rPr>
          <w:rFonts w:asciiTheme="minorHAnsi" w:eastAsia="Times New Roman" w:hAnsiTheme="minorHAnsi"/>
          <w:lang w:val="en-US"/>
        </w:rPr>
      </w:pPr>
    </w:p>
    <w:p w14:paraId="2AD61C12" w14:textId="37D5AB37" w:rsidR="0018440C" w:rsidRPr="006B318F" w:rsidRDefault="0018440C" w:rsidP="006B318F">
      <w:pPr>
        <w:pStyle w:val="ListParagraph"/>
        <w:numPr>
          <w:ilvl w:val="0"/>
          <w:numId w:val="59"/>
        </w:numPr>
        <w:suppressAutoHyphens/>
        <w:autoSpaceDN w:val="0"/>
        <w:spacing w:after="0" w:line="120" w:lineRule="atLeast"/>
        <w:jc w:val="both"/>
        <w:textAlignment w:val="baseline"/>
        <w:rPr>
          <w:rFonts w:eastAsia="Times New Roman" w:cs="Arial"/>
          <w:b/>
          <w:bCs/>
        </w:rPr>
      </w:pPr>
      <w:r w:rsidRPr="006B318F">
        <w:rPr>
          <w:rFonts w:eastAsia="Times New Roman" w:cs="Arial"/>
          <w:b/>
          <w:bCs/>
        </w:rPr>
        <w:t>Summary of significant accounting policies</w:t>
      </w:r>
    </w:p>
    <w:p w14:paraId="16A0F4A2" w14:textId="77777777" w:rsidR="0018440C" w:rsidRDefault="0018440C" w:rsidP="006B318F">
      <w:pPr>
        <w:suppressAutoHyphens/>
        <w:autoSpaceDN w:val="0"/>
        <w:spacing w:after="0" w:line="120" w:lineRule="atLeast"/>
        <w:jc w:val="both"/>
        <w:textAlignment w:val="baseline"/>
        <w:rPr>
          <w:rFonts w:asciiTheme="minorHAnsi" w:eastAsia="Times New Roman" w:hAnsiTheme="minorHAnsi"/>
          <w:lang w:val="en-US"/>
        </w:rPr>
      </w:pPr>
    </w:p>
    <w:p w14:paraId="063EBB55" w14:textId="2A19399A" w:rsidR="0018440C" w:rsidRPr="006B318F" w:rsidRDefault="0018440C" w:rsidP="006B318F">
      <w:pPr>
        <w:pStyle w:val="ListParagraph"/>
        <w:numPr>
          <w:ilvl w:val="1"/>
          <w:numId w:val="59"/>
        </w:numPr>
        <w:suppressAutoHyphens/>
        <w:autoSpaceDN w:val="0"/>
        <w:spacing w:after="0" w:line="120" w:lineRule="atLeast"/>
        <w:jc w:val="both"/>
        <w:textAlignment w:val="baseline"/>
        <w:rPr>
          <w:rFonts w:eastAsia="Times New Roman" w:cs="Arial"/>
          <w:b/>
        </w:rPr>
      </w:pPr>
      <w:r w:rsidRPr="006B318F">
        <w:rPr>
          <w:rFonts w:eastAsia="Times New Roman" w:cs="Arial"/>
          <w:b/>
        </w:rPr>
        <w:t>Adoption of new and amended International Financial Reporting Standards (continued):</w:t>
      </w:r>
    </w:p>
    <w:p w14:paraId="4D297B9F" w14:textId="77777777" w:rsidR="0018440C" w:rsidRPr="006B318F" w:rsidRDefault="0018440C" w:rsidP="006B318F">
      <w:pPr>
        <w:suppressAutoHyphens/>
        <w:autoSpaceDN w:val="0"/>
        <w:spacing w:after="0" w:line="240" w:lineRule="auto"/>
        <w:jc w:val="both"/>
        <w:textAlignment w:val="baseline"/>
        <w:rPr>
          <w:rFonts w:asciiTheme="minorHAnsi" w:eastAsia="Times New Roman" w:hAnsiTheme="minorHAnsi"/>
          <w:lang w:val="en-US"/>
        </w:rPr>
      </w:pPr>
    </w:p>
    <w:p w14:paraId="1D2E7995" w14:textId="6043DC3B" w:rsidR="00AB76F4" w:rsidRPr="006B318F" w:rsidRDefault="00AB76F4" w:rsidP="006B318F">
      <w:pPr>
        <w:pStyle w:val="ListParagraph"/>
        <w:numPr>
          <w:ilvl w:val="0"/>
          <w:numId w:val="94"/>
        </w:numPr>
        <w:spacing w:after="0" w:line="220" w:lineRule="exact"/>
        <w:jc w:val="both"/>
        <w:rPr>
          <w:rFonts w:asciiTheme="minorHAnsi" w:eastAsia="Times New Roman" w:hAnsiTheme="minorHAnsi" w:cs="Arial"/>
          <w:i/>
          <w:lang w:val="hr-HR"/>
        </w:rPr>
      </w:pPr>
      <w:r w:rsidRPr="006B318F">
        <w:rPr>
          <w:rFonts w:asciiTheme="minorHAnsi" w:eastAsia="Times New Roman" w:hAnsiTheme="minorHAnsi" w:cs="Arial"/>
          <w:bCs/>
          <w:i/>
        </w:rPr>
        <w:t>New and amended International Financial Reporting Standards effective in the reporting period and that have not been adopted in the European Union yet (continued)</w:t>
      </w:r>
      <w:r w:rsidRPr="006B318F">
        <w:rPr>
          <w:rFonts w:asciiTheme="minorHAnsi" w:eastAsia="Times New Roman" w:hAnsiTheme="minorHAnsi" w:cs="Arial"/>
          <w:i/>
          <w:lang w:val="hr-HR"/>
        </w:rPr>
        <w:t>:</w:t>
      </w:r>
    </w:p>
    <w:p w14:paraId="42C6DCE8" w14:textId="77777777" w:rsidR="00AB76F4" w:rsidRPr="006B318F" w:rsidRDefault="00AB76F4" w:rsidP="006B318F">
      <w:pPr>
        <w:pStyle w:val="ListParagraph"/>
        <w:spacing w:after="0" w:line="220" w:lineRule="exact"/>
        <w:ind w:left="644"/>
        <w:jc w:val="both"/>
        <w:rPr>
          <w:rFonts w:asciiTheme="minorHAnsi" w:eastAsia="Times New Roman" w:hAnsiTheme="minorHAnsi" w:cs="Arial"/>
          <w:i/>
          <w:lang w:val="hr-HR"/>
        </w:rPr>
      </w:pPr>
    </w:p>
    <w:p w14:paraId="5CC871D9" w14:textId="31EAFC45" w:rsidR="00AB76F4" w:rsidRPr="006B318F" w:rsidRDefault="00AB76F4" w:rsidP="006B318F">
      <w:pPr>
        <w:pStyle w:val="ListParagraph"/>
        <w:numPr>
          <w:ilvl w:val="0"/>
          <w:numId w:val="48"/>
        </w:numPr>
        <w:tabs>
          <w:tab w:val="left" w:pos="426"/>
        </w:tabs>
        <w:spacing w:after="0" w:line="220" w:lineRule="exact"/>
        <w:jc w:val="both"/>
        <w:rPr>
          <w:rFonts w:eastAsia="PMingLiU" w:cs="Arial"/>
          <w:color w:val="000000"/>
          <w:lang w:val="hr-HR" w:eastAsia="hr-HR" w:bidi="hr-HR"/>
        </w:rPr>
      </w:pPr>
      <w:r w:rsidRPr="006B318F">
        <w:rPr>
          <w:rFonts w:asciiTheme="minorHAnsi" w:eastAsia="Times New Roman" w:hAnsiTheme="minorHAnsi"/>
          <w:bCs/>
          <w:kern w:val="3"/>
          <w:u w:val="single"/>
          <w:lang w:val="en" w:eastAsia="hr-HR"/>
        </w:rPr>
        <w:t>Annual improvements 2014-2016 (continued)</w:t>
      </w:r>
    </w:p>
    <w:p w14:paraId="7F0AB9C7" w14:textId="2CFA5720" w:rsidR="00AB76F4" w:rsidRPr="006B318F" w:rsidRDefault="00AB76F4" w:rsidP="006B318F">
      <w:pPr>
        <w:pStyle w:val="ListParagraph"/>
        <w:suppressAutoHyphens/>
        <w:autoSpaceDN w:val="0"/>
        <w:spacing w:after="0" w:line="220" w:lineRule="exact"/>
        <w:ind w:left="1440"/>
        <w:jc w:val="both"/>
        <w:textAlignment w:val="baseline"/>
        <w:rPr>
          <w:rFonts w:asciiTheme="minorHAnsi" w:eastAsia="Times New Roman" w:hAnsiTheme="minorHAnsi"/>
          <w:lang w:val="en-US"/>
        </w:rPr>
      </w:pPr>
    </w:p>
    <w:p w14:paraId="6BFE25BA" w14:textId="0209B2CE" w:rsidR="00A73481" w:rsidRDefault="000F1A13" w:rsidP="006B318F">
      <w:pPr>
        <w:pStyle w:val="ListParagraph"/>
        <w:keepNext/>
        <w:numPr>
          <w:ilvl w:val="1"/>
          <w:numId w:val="48"/>
        </w:numPr>
        <w:spacing w:after="0" w:line="240" w:lineRule="auto"/>
        <w:jc w:val="both"/>
        <w:rPr>
          <w:rFonts w:asciiTheme="minorHAnsi" w:hAnsiTheme="minorHAnsi"/>
        </w:rPr>
      </w:pPr>
      <w:r w:rsidRPr="006B318F">
        <w:rPr>
          <w:rFonts w:asciiTheme="minorHAnsi" w:hAnsiTheme="minorHAnsi"/>
        </w:rPr>
        <w:t xml:space="preserve">IFRS 1 First-time </w:t>
      </w:r>
      <w:r w:rsidR="00E2726A" w:rsidRPr="006B318F">
        <w:rPr>
          <w:rFonts w:asciiTheme="minorHAnsi" w:hAnsiTheme="minorHAnsi"/>
        </w:rPr>
        <w:t xml:space="preserve">Application </w:t>
      </w:r>
      <w:r w:rsidRPr="006B318F">
        <w:rPr>
          <w:rFonts w:asciiTheme="minorHAnsi" w:hAnsiTheme="minorHAnsi"/>
        </w:rPr>
        <w:t xml:space="preserve">of International Financial Reporting Standards and IAS 28 Investments in Associates and Joint Ventures under Annual Improvements 2014-2016 that are effective for periods beginning on or after 1 January 2018 but have not been adopted in </w:t>
      </w:r>
      <w:r w:rsidR="00AB76F4" w:rsidRPr="00166751">
        <w:rPr>
          <w:rFonts w:asciiTheme="minorHAnsi" w:hAnsiTheme="minorHAnsi"/>
        </w:rPr>
        <w:t xml:space="preserve">the European Union yet are described under c) </w:t>
      </w:r>
      <w:r w:rsidR="00AB76F4" w:rsidRPr="00166751">
        <w:rPr>
          <w:rFonts w:asciiTheme="minorHAnsi" w:hAnsiTheme="minorHAnsi"/>
          <w:color w:val="000000"/>
          <w:lang w:eastAsia="hr-HR"/>
        </w:rPr>
        <w:t>New and amended International Financial Reporting Standards that become effective after the reporting period and have not been adopted in the European Union yet</w:t>
      </w:r>
      <w:r w:rsidR="007C6016">
        <w:rPr>
          <w:rFonts w:asciiTheme="minorHAnsi" w:hAnsiTheme="minorHAnsi"/>
          <w:color w:val="000000"/>
          <w:lang w:eastAsia="hr-HR"/>
        </w:rPr>
        <w:t>.</w:t>
      </w:r>
    </w:p>
    <w:p w14:paraId="09EFE567" w14:textId="77777777" w:rsidR="00AB76F4" w:rsidRDefault="00AB76F4" w:rsidP="006B318F">
      <w:pPr>
        <w:keepNext/>
        <w:spacing w:after="0" w:line="220" w:lineRule="exact"/>
        <w:jc w:val="both"/>
        <w:rPr>
          <w:rFonts w:asciiTheme="minorHAnsi" w:hAnsiTheme="minorHAnsi"/>
        </w:rPr>
      </w:pPr>
    </w:p>
    <w:p w14:paraId="1E1A4E6E" w14:textId="1EF93363" w:rsidR="00AB76F4" w:rsidRPr="006B318F" w:rsidRDefault="00544F0B" w:rsidP="006B318F">
      <w:pPr>
        <w:pStyle w:val="ListParagraph"/>
        <w:keepNext/>
        <w:numPr>
          <w:ilvl w:val="0"/>
          <w:numId w:val="94"/>
        </w:numPr>
        <w:spacing w:after="0" w:line="240" w:lineRule="auto"/>
        <w:jc w:val="both"/>
        <w:rPr>
          <w:rFonts w:asciiTheme="minorHAnsi" w:eastAsia="PMingLiU" w:hAnsiTheme="minorHAnsi" w:cs="Arial"/>
          <w:i/>
          <w:color w:val="000000"/>
          <w:lang w:val="hr-HR" w:eastAsia="hr-HR" w:bidi="hr-HR"/>
        </w:rPr>
      </w:pPr>
      <w:r w:rsidRPr="006B318F">
        <w:rPr>
          <w:rFonts w:asciiTheme="minorHAnsi" w:eastAsia="PMingLiU" w:hAnsiTheme="minorHAnsi" w:cs="Arial"/>
          <w:i/>
          <w:color w:val="000000"/>
          <w:lang w:val="hr-HR" w:eastAsia="hr-HR" w:bidi="hr-HR"/>
        </w:rPr>
        <w:t xml:space="preserve"> </w:t>
      </w:r>
      <w:r w:rsidR="007C6016" w:rsidRPr="006B318F">
        <w:rPr>
          <w:rFonts w:asciiTheme="minorHAnsi" w:eastAsia="PMingLiU" w:hAnsiTheme="minorHAnsi" w:cs="Arial"/>
          <w:i/>
          <w:color w:val="000000"/>
          <w:lang w:val="hr-HR" w:eastAsia="hr-HR" w:bidi="hr-HR"/>
        </w:rPr>
        <w:t xml:space="preserve">New </w:t>
      </w:r>
      <w:proofErr w:type="spellStart"/>
      <w:r w:rsidR="007C6016" w:rsidRPr="006B318F">
        <w:rPr>
          <w:rFonts w:asciiTheme="minorHAnsi" w:eastAsia="PMingLiU" w:hAnsiTheme="minorHAnsi" w:cs="Arial"/>
          <w:i/>
          <w:color w:val="000000"/>
          <w:lang w:val="hr-HR" w:eastAsia="hr-HR" w:bidi="hr-HR"/>
        </w:rPr>
        <w:t>and</w:t>
      </w:r>
      <w:proofErr w:type="spellEnd"/>
      <w:r w:rsidR="007C6016" w:rsidRPr="006B318F">
        <w:rPr>
          <w:rFonts w:asciiTheme="minorHAnsi" w:eastAsia="PMingLiU" w:hAnsiTheme="minorHAnsi" w:cs="Arial"/>
          <w:i/>
          <w:color w:val="000000"/>
          <w:lang w:val="hr-HR" w:eastAsia="hr-HR" w:bidi="hr-HR"/>
        </w:rPr>
        <w:t xml:space="preserve"> </w:t>
      </w:r>
      <w:proofErr w:type="spellStart"/>
      <w:r w:rsidR="007C6016" w:rsidRPr="006B318F">
        <w:rPr>
          <w:rFonts w:asciiTheme="minorHAnsi" w:eastAsia="PMingLiU" w:hAnsiTheme="minorHAnsi" w:cs="Arial"/>
          <w:i/>
          <w:color w:val="000000"/>
          <w:lang w:val="hr-HR" w:eastAsia="hr-HR" w:bidi="hr-HR"/>
        </w:rPr>
        <w:t>amended</w:t>
      </w:r>
      <w:proofErr w:type="spellEnd"/>
      <w:r w:rsidR="007C6016" w:rsidRPr="006B318F">
        <w:rPr>
          <w:rFonts w:asciiTheme="minorHAnsi" w:eastAsia="PMingLiU" w:hAnsiTheme="minorHAnsi" w:cs="Arial"/>
          <w:i/>
          <w:color w:val="000000"/>
          <w:lang w:val="hr-HR" w:eastAsia="hr-HR" w:bidi="hr-HR"/>
        </w:rPr>
        <w:t xml:space="preserve"> International Financial </w:t>
      </w:r>
      <w:proofErr w:type="spellStart"/>
      <w:r w:rsidR="007C6016" w:rsidRPr="006B318F">
        <w:rPr>
          <w:rFonts w:asciiTheme="minorHAnsi" w:eastAsia="PMingLiU" w:hAnsiTheme="minorHAnsi" w:cs="Arial"/>
          <w:i/>
          <w:color w:val="000000"/>
          <w:lang w:val="hr-HR" w:eastAsia="hr-HR" w:bidi="hr-HR"/>
        </w:rPr>
        <w:t>Reporting</w:t>
      </w:r>
      <w:proofErr w:type="spellEnd"/>
      <w:r w:rsidR="007C6016" w:rsidRPr="006B318F">
        <w:rPr>
          <w:rFonts w:asciiTheme="minorHAnsi" w:eastAsia="PMingLiU" w:hAnsiTheme="minorHAnsi" w:cs="Arial"/>
          <w:i/>
          <w:color w:val="000000"/>
          <w:lang w:val="hr-HR" w:eastAsia="hr-HR" w:bidi="hr-HR"/>
        </w:rPr>
        <w:t xml:space="preserve"> </w:t>
      </w:r>
      <w:proofErr w:type="spellStart"/>
      <w:r w:rsidR="007C6016" w:rsidRPr="006B318F">
        <w:rPr>
          <w:rFonts w:asciiTheme="minorHAnsi" w:eastAsia="PMingLiU" w:hAnsiTheme="minorHAnsi" w:cs="Arial"/>
          <w:i/>
          <w:color w:val="000000"/>
          <w:lang w:val="hr-HR" w:eastAsia="hr-HR" w:bidi="hr-HR"/>
        </w:rPr>
        <w:t>Standards</w:t>
      </w:r>
      <w:proofErr w:type="spellEnd"/>
      <w:r w:rsidR="007C6016" w:rsidRPr="006B318F">
        <w:rPr>
          <w:rFonts w:asciiTheme="minorHAnsi" w:eastAsia="PMingLiU" w:hAnsiTheme="minorHAnsi" w:cs="Arial"/>
          <w:i/>
          <w:color w:val="000000"/>
          <w:lang w:val="hr-HR" w:eastAsia="hr-HR" w:bidi="hr-HR"/>
        </w:rPr>
        <w:t xml:space="preserve"> </w:t>
      </w:r>
      <w:proofErr w:type="spellStart"/>
      <w:r w:rsidR="007C6016" w:rsidRPr="006B318F">
        <w:rPr>
          <w:rFonts w:asciiTheme="minorHAnsi" w:eastAsia="PMingLiU" w:hAnsiTheme="minorHAnsi" w:cs="Arial"/>
          <w:i/>
          <w:color w:val="000000"/>
          <w:lang w:val="hr-HR" w:eastAsia="hr-HR" w:bidi="hr-HR"/>
        </w:rPr>
        <w:t>not</w:t>
      </w:r>
      <w:proofErr w:type="spellEnd"/>
      <w:r w:rsidR="007C6016" w:rsidRPr="006B318F">
        <w:rPr>
          <w:rFonts w:asciiTheme="minorHAnsi" w:eastAsia="PMingLiU" w:hAnsiTheme="minorHAnsi" w:cs="Arial"/>
          <w:i/>
          <w:color w:val="000000"/>
          <w:lang w:val="hr-HR" w:eastAsia="hr-HR" w:bidi="hr-HR"/>
        </w:rPr>
        <w:t xml:space="preserve"> </w:t>
      </w:r>
      <w:proofErr w:type="spellStart"/>
      <w:r w:rsidR="007C6016" w:rsidRPr="006B318F">
        <w:rPr>
          <w:rFonts w:asciiTheme="minorHAnsi" w:eastAsia="PMingLiU" w:hAnsiTheme="minorHAnsi" w:cs="Arial"/>
          <w:i/>
          <w:color w:val="000000"/>
          <w:lang w:val="hr-HR" w:eastAsia="hr-HR" w:bidi="hr-HR"/>
        </w:rPr>
        <w:t>effective</w:t>
      </w:r>
      <w:proofErr w:type="spellEnd"/>
      <w:r w:rsidR="007C6016" w:rsidRPr="006B318F">
        <w:rPr>
          <w:rFonts w:asciiTheme="minorHAnsi" w:eastAsia="PMingLiU" w:hAnsiTheme="minorHAnsi" w:cs="Arial"/>
          <w:i/>
          <w:color w:val="000000"/>
          <w:lang w:val="hr-HR" w:eastAsia="hr-HR" w:bidi="hr-HR"/>
        </w:rPr>
        <w:t xml:space="preserve"> </w:t>
      </w:r>
      <w:proofErr w:type="spellStart"/>
      <w:r w:rsidR="007C6016" w:rsidRPr="006B318F">
        <w:rPr>
          <w:rFonts w:asciiTheme="minorHAnsi" w:eastAsia="PMingLiU" w:hAnsiTheme="minorHAnsi" w:cs="Arial"/>
          <w:i/>
          <w:color w:val="000000"/>
          <w:lang w:val="hr-HR" w:eastAsia="hr-HR" w:bidi="hr-HR"/>
        </w:rPr>
        <w:t>in</w:t>
      </w:r>
      <w:proofErr w:type="spellEnd"/>
      <w:r w:rsidR="007C6016" w:rsidRPr="006B318F">
        <w:rPr>
          <w:rFonts w:asciiTheme="minorHAnsi" w:eastAsia="PMingLiU" w:hAnsiTheme="minorHAnsi" w:cs="Arial"/>
          <w:i/>
          <w:color w:val="000000"/>
          <w:lang w:val="hr-HR" w:eastAsia="hr-HR" w:bidi="hr-HR"/>
        </w:rPr>
        <w:t xml:space="preserve"> </w:t>
      </w:r>
      <w:proofErr w:type="spellStart"/>
      <w:r w:rsidR="007C6016" w:rsidRPr="006B318F">
        <w:rPr>
          <w:rFonts w:asciiTheme="minorHAnsi" w:eastAsia="PMingLiU" w:hAnsiTheme="minorHAnsi" w:cs="Arial"/>
          <w:i/>
          <w:color w:val="000000"/>
          <w:lang w:val="hr-HR" w:eastAsia="hr-HR" w:bidi="hr-HR"/>
        </w:rPr>
        <w:t>the</w:t>
      </w:r>
      <w:proofErr w:type="spellEnd"/>
      <w:r w:rsidR="007C6016" w:rsidRPr="006B318F">
        <w:rPr>
          <w:rFonts w:asciiTheme="minorHAnsi" w:eastAsia="PMingLiU" w:hAnsiTheme="minorHAnsi" w:cs="Arial"/>
          <w:i/>
          <w:color w:val="000000"/>
          <w:lang w:val="hr-HR" w:eastAsia="hr-HR" w:bidi="hr-HR"/>
        </w:rPr>
        <w:t xml:space="preserve"> </w:t>
      </w:r>
      <w:proofErr w:type="spellStart"/>
      <w:r w:rsidR="007C6016" w:rsidRPr="006B318F">
        <w:rPr>
          <w:rFonts w:asciiTheme="minorHAnsi" w:eastAsia="PMingLiU" w:hAnsiTheme="minorHAnsi" w:cs="Arial"/>
          <w:i/>
          <w:color w:val="000000"/>
          <w:lang w:val="hr-HR" w:eastAsia="hr-HR" w:bidi="hr-HR"/>
        </w:rPr>
        <w:t>reporting</w:t>
      </w:r>
      <w:proofErr w:type="spellEnd"/>
      <w:r w:rsidR="007C6016" w:rsidRPr="006B318F">
        <w:rPr>
          <w:rFonts w:asciiTheme="minorHAnsi" w:eastAsia="PMingLiU" w:hAnsiTheme="minorHAnsi" w:cs="Arial"/>
          <w:i/>
          <w:color w:val="000000"/>
          <w:lang w:val="hr-HR" w:eastAsia="hr-HR" w:bidi="hr-HR"/>
        </w:rPr>
        <w:t xml:space="preserve"> period </w:t>
      </w:r>
      <w:proofErr w:type="spellStart"/>
      <w:r w:rsidR="007C6016" w:rsidRPr="006B318F">
        <w:rPr>
          <w:rFonts w:asciiTheme="minorHAnsi" w:eastAsia="PMingLiU" w:hAnsiTheme="minorHAnsi" w:cs="Arial"/>
          <w:i/>
          <w:color w:val="000000"/>
          <w:lang w:val="hr-HR" w:eastAsia="hr-HR" w:bidi="hr-HR"/>
        </w:rPr>
        <w:t>and</w:t>
      </w:r>
      <w:proofErr w:type="spellEnd"/>
      <w:r w:rsidR="007C6016" w:rsidRPr="006B318F">
        <w:rPr>
          <w:rFonts w:asciiTheme="minorHAnsi" w:eastAsia="PMingLiU" w:hAnsiTheme="minorHAnsi" w:cs="Arial"/>
          <w:i/>
          <w:color w:val="000000"/>
          <w:lang w:val="hr-HR" w:eastAsia="hr-HR" w:bidi="hr-HR"/>
        </w:rPr>
        <w:t xml:space="preserve"> </w:t>
      </w:r>
      <w:proofErr w:type="spellStart"/>
      <w:r w:rsidR="007C6016" w:rsidRPr="006B318F">
        <w:rPr>
          <w:rFonts w:asciiTheme="minorHAnsi" w:eastAsia="PMingLiU" w:hAnsiTheme="minorHAnsi" w:cs="Arial"/>
          <w:i/>
          <w:color w:val="000000"/>
          <w:lang w:val="hr-HR" w:eastAsia="hr-HR" w:bidi="hr-HR"/>
        </w:rPr>
        <w:t>adopted</w:t>
      </w:r>
      <w:proofErr w:type="spellEnd"/>
      <w:r w:rsidR="007C6016" w:rsidRPr="006B318F">
        <w:rPr>
          <w:rFonts w:asciiTheme="minorHAnsi" w:eastAsia="PMingLiU" w:hAnsiTheme="minorHAnsi" w:cs="Arial"/>
          <w:i/>
          <w:color w:val="000000"/>
          <w:lang w:val="hr-HR" w:eastAsia="hr-HR" w:bidi="hr-HR"/>
        </w:rPr>
        <w:t xml:space="preserve"> </w:t>
      </w:r>
      <w:proofErr w:type="spellStart"/>
      <w:r w:rsidR="007C6016" w:rsidRPr="006B318F">
        <w:rPr>
          <w:rFonts w:asciiTheme="minorHAnsi" w:eastAsia="PMingLiU" w:hAnsiTheme="minorHAnsi" w:cs="Arial"/>
          <w:i/>
          <w:color w:val="000000"/>
          <w:lang w:val="hr-HR" w:eastAsia="hr-HR" w:bidi="hr-HR"/>
        </w:rPr>
        <w:t>in</w:t>
      </w:r>
      <w:proofErr w:type="spellEnd"/>
      <w:r w:rsidR="007C6016" w:rsidRPr="006B318F">
        <w:rPr>
          <w:rFonts w:asciiTheme="minorHAnsi" w:eastAsia="PMingLiU" w:hAnsiTheme="minorHAnsi" w:cs="Arial"/>
          <w:i/>
          <w:color w:val="000000"/>
          <w:lang w:val="hr-HR" w:eastAsia="hr-HR" w:bidi="hr-HR"/>
        </w:rPr>
        <w:t xml:space="preserve"> </w:t>
      </w:r>
      <w:proofErr w:type="spellStart"/>
      <w:r w:rsidR="007C6016" w:rsidRPr="006B318F">
        <w:rPr>
          <w:rFonts w:asciiTheme="minorHAnsi" w:eastAsia="PMingLiU" w:hAnsiTheme="minorHAnsi" w:cs="Arial"/>
          <w:i/>
          <w:color w:val="000000"/>
          <w:lang w:val="hr-HR" w:eastAsia="hr-HR" w:bidi="hr-HR"/>
        </w:rPr>
        <w:t>the</w:t>
      </w:r>
      <w:proofErr w:type="spellEnd"/>
      <w:r w:rsidR="007C6016" w:rsidRPr="006B318F">
        <w:rPr>
          <w:rFonts w:asciiTheme="minorHAnsi" w:eastAsia="PMingLiU" w:hAnsiTheme="minorHAnsi" w:cs="Arial"/>
          <w:i/>
          <w:color w:val="000000"/>
          <w:lang w:val="hr-HR" w:eastAsia="hr-HR" w:bidi="hr-HR"/>
        </w:rPr>
        <w:t xml:space="preserve"> European Union </w:t>
      </w:r>
      <w:proofErr w:type="spellStart"/>
      <w:r w:rsidR="007C6016" w:rsidRPr="006B318F">
        <w:rPr>
          <w:rFonts w:asciiTheme="minorHAnsi" w:eastAsia="PMingLiU" w:hAnsiTheme="minorHAnsi" w:cs="Arial"/>
          <w:i/>
          <w:color w:val="000000"/>
          <w:lang w:val="hr-HR" w:eastAsia="hr-HR" w:bidi="hr-HR"/>
        </w:rPr>
        <w:t>with</w:t>
      </w:r>
      <w:proofErr w:type="spellEnd"/>
      <w:r w:rsidR="007C6016" w:rsidRPr="006B318F">
        <w:rPr>
          <w:rFonts w:asciiTheme="minorHAnsi" w:eastAsia="PMingLiU" w:hAnsiTheme="minorHAnsi" w:cs="Arial"/>
          <w:i/>
          <w:color w:val="000000"/>
          <w:lang w:val="hr-HR" w:eastAsia="hr-HR" w:bidi="hr-HR"/>
        </w:rPr>
        <w:t xml:space="preserve"> </w:t>
      </w:r>
      <w:proofErr w:type="spellStart"/>
      <w:r w:rsidR="007C6016" w:rsidRPr="006B318F">
        <w:rPr>
          <w:rFonts w:asciiTheme="minorHAnsi" w:eastAsia="PMingLiU" w:hAnsiTheme="minorHAnsi" w:cs="Arial"/>
          <w:i/>
          <w:color w:val="000000"/>
          <w:lang w:val="hr-HR" w:eastAsia="hr-HR" w:bidi="hr-HR"/>
        </w:rPr>
        <w:t>the</w:t>
      </w:r>
      <w:proofErr w:type="spellEnd"/>
      <w:r w:rsidR="007C6016" w:rsidRPr="006B318F">
        <w:rPr>
          <w:rFonts w:asciiTheme="minorHAnsi" w:eastAsia="PMingLiU" w:hAnsiTheme="minorHAnsi" w:cs="Arial"/>
          <w:i/>
          <w:color w:val="000000"/>
          <w:lang w:val="hr-HR" w:eastAsia="hr-HR" w:bidi="hr-HR"/>
        </w:rPr>
        <w:t xml:space="preserve"> </w:t>
      </w:r>
      <w:proofErr w:type="spellStart"/>
      <w:r w:rsidR="007C6016" w:rsidRPr="006B318F">
        <w:rPr>
          <w:rFonts w:asciiTheme="minorHAnsi" w:eastAsia="PMingLiU" w:hAnsiTheme="minorHAnsi" w:cs="Arial"/>
          <w:i/>
          <w:color w:val="000000"/>
          <w:lang w:val="hr-HR" w:eastAsia="hr-HR" w:bidi="hr-HR"/>
        </w:rPr>
        <w:t>assessment</w:t>
      </w:r>
      <w:proofErr w:type="spellEnd"/>
      <w:r w:rsidR="007C6016" w:rsidRPr="006B318F">
        <w:rPr>
          <w:rFonts w:asciiTheme="minorHAnsi" w:eastAsia="PMingLiU" w:hAnsiTheme="minorHAnsi" w:cs="Arial"/>
          <w:i/>
          <w:color w:val="000000"/>
          <w:lang w:val="hr-HR" w:eastAsia="hr-HR" w:bidi="hr-HR"/>
        </w:rPr>
        <w:t xml:space="preserve"> </w:t>
      </w:r>
      <w:proofErr w:type="spellStart"/>
      <w:r w:rsidR="007C6016" w:rsidRPr="006B318F">
        <w:rPr>
          <w:rFonts w:asciiTheme="minorHAnsi" w:eastAsia="PMingLiU" w:hAnsiTheme="minorHAnsi" w:cs="Arial"/>
          <w:i/>
          <w:color w:val="000000"/>
          <w:lang w:val="hr-HR" w:eastAsia="hr-HR" w:bidi="hr-HR"/>
        </w:rPr>
        <w:t>of</w:t>
      </w:r>
      <w:proofErr w:type="spellEnd"/>
      <w:r w:rsidR="007C6016" w:rsidRPr="006B318F">
        <w:rPr>
          <w:rFonts w:asciiTheme="minorHAnsi" w:eastAsia="PMingLiU" w:hAnsiTheme="minorHAnsi" w:cs="Arial"/>
          <w:i/>
          <w:color w:val="000000"/>
          <w:lang w:val="hr-HR" w:eastAsia="hr-HR" w:bidi="hr-HR"/>
        </w:rPr>
        <w:t xml:space="preserve"> </w:t>
      </w:r>
      <w:proofErr w:type="spellStart"/>
      <w:r w:rsidR="007C6016" w:rsidRPr="006B318F">
        <w:rPr>
          <w:rFonts w:asciiTheme="minorHAnsi" w:eastAsia="PMingLiU" w:hAnsiTheme="minorHAnsi" w:cs="Arial"/>
          <w:i/>
          <w:color w:val="000000"/>
          <w:lang w:val="hr-HR" w:eastAsia="hr-HR" w:bidi="hr-HR"/>
        </w:rPr>
        <w:t>impact</w:t>
      </w:r>
      <w:proofErr w:type="spellEnd"/>
      <w:r w:rsidR="007C6016" w:rsidRPr="006B318F">
        <w:rPr>
          <w:rFonts w:asciiTheme="minorHAnsi" w:eastAsia="PMingLiU" w:hAnsiTheme="minorHAnsi" w:cs="Arial"/>
          <w:i/>
          <w:color w:val="000000"/>
          <w:lang w:val="hr-HR" w:eastAsia="hr-HR" w:bidi="hr-HR"/>
        </w:rPr>
        <w:t xml:space="preserve"> on </w:t>
      </w:r>
      <w:proofErr w:type="spellStart"/>
      <w:r w:rsidR="007C6016" w:rsidRPr="006B318F">
        <w:rPr>
          <w:rFonts w:asciiTheme="minorHAnsi" w:eastAsia="PMingLiU" w:hAnsiTheme="minorHAnsi" w:cs="Arial"/>
          <w:i/>
          <w:color w:val="000000"/>
          <w:lang w:val="hr-HR" w:eastAsia="hr-HR" w:bidi="hr-HR"/>
        </w:rPr>
        <w:t>the</w:t>
      </w:r>
      <w:proofErr w:type="spellEnd"/>
      <w:r w:rsidR="007C6016" w:rsidRPr="006B318F">
        <w:rPr>
          <w:rFonts w:asciiTheme="minorHAnsi" w:eastAsia="PMingLiU" w:hAnsiTheme="minorHAnsi" w:cs="Arial"/>
          <w:i/>
          <w:color w:val="000000"/>
          <w:lang w:val="hr-HR" w:eastAsia="hr-HR" w:bidi="hr-HR"/>
        </w:rPr>
        <w:t xml:space="preserve"> </w:t>
      </w:r>
      <w:proofErr w:type="spellStart"/>
      <w:r w:rsidR="007C6016" w:rsidRPr="006B318F">
        <w:rPr>
          <w:rFonts w:asciiTheme="minorHAnsi" w:eastAsia="PMingLiU" w:hAnsiTheme="minorHAnsi" w:cs="Arial"/>
          <w:i/>
          <w:color w:val="000000"/>
          <w:lang w:val="hr-HR" w:eastAsia="hr-HR" w:bidi="hr-HR"/>
        </w:rPr>
        <w:t>financial</w:t>
      </w:r>
      <w:proofErr w:type="spellEnd"/>
      <w:r w:rsidR="007C6016" w:rsidRPr="006B318F">
        <w:rPr>
          <w:rFonts w:asciiTheme="minorHAnsi" w:eastAsia="PMingLiU" w:hAnsiTheme="minorHAnsi" w:cs="Arial"/>
          <w:i/>
          <w:color w:val="000000"/>
          <w:lang w:val="hr-HR" w:eastAsia="hr-HR" w:bidi="hr-HR"/>
        </w:rPr>
        <w:t xml:space="preserve"> </w:t>
      </w:r>
      <w:proofErr w:type="spellStart"/>
      <w:r w:rsidR="007C6016" w:rsidRPr="006B318F">
        <w:rPr>
          <w:rFonts w:asciiTheme="minorHAnsi" w:eastAsia="PMingLiU" w:hAnsiTheme="minorHAnsi" w:cs="Arial"/>
          <w:i/>
          <w:color w:val="000000"/>
          <w:lang w:val="hr-HR" w:eastAsia="hr-HR" w:bidi="hr-HR"/>
        </w:rPr>
        <w:t>statements</w:t>
      </w:r>
      <w:proofErr w:type="spellEnd"/>
      <w:r w:rsidR="007C6016" w:rsidRPr="006B318F">
        <w:rPr>
          <w:rFonts w:asciiTheme="minorHAnsi" w:eastAsia="PMingLiU" w:hAnsiTheme="minorHAnsi" w:cs="Arial"/>
          <w:i/>
          <w:color w:val="000000"/>
          <w:lang w:val="hr-HR" w:eastAsia="hr-HR" w:bidi="hr-HR"/>
        </w:rPr>
        <w:t>:</w:t>
      </w:r>
    </w:p>
    <w:p w14:paraId="33514C83" w14:textId="77777777" w:rsidR="007C6016" w:rsidRDefault="007C6016" w:rsidP="007C6016">
      <w:pPr>
        <w:pStyle w:val="ListParagraph"/>
        <w:tabs>
          <w:tab w:val="left" w:pos="709"/>
        </w:tabs>
        <w:spacing w:after="0" w:line="240" w:lineRule="auto"/>
        <w:ind w:left="644"/>
        <w:jc w:val="both"/>
        <w:rPr>
          <w:rFonts w:asciiTheme="minorHAnsi" w:eastAsia="Times New Roman" w:hAnsiTheme="minorHAnsi" w:cs="Arial"/>
          <w:i/>
          <w:lang w:val="hr-HR"/>
        </w:rPr>
      </w:pPr>
    </w:p>
    <w:p w14:paraId="50F0F9E8" w14:textId="77777777" w:rsidR="007C6016" w:rsidRPr="00947CB7" w:rsidRDefault="007C6016" w:rsidP="006B318F">
      <w:pPr>
        <w:numPr>
          <w:ilvl w:val="0"/>
          <w:numId w:val="48"/>
        </w:numPr>
        <w:tabs>
          <w:tab w:val="left" w:pos="426"/>
        </w:tabs>
        <w:spacing w:after="0" w:line="240" w:lineRule="auto"/>
        <w:ind w:left="720" w:hanging="283"/>
        <w:contextualSpacing/>
        <w:jc w:val="both"/>
        <w:rPr>
          <w:rFonts w:asciiTheme="minorHAnsi" w:eastAsia="Times New Roman" w:hAnsiTheme="minorHAnsi" w:cs="Arial"/>
          <w:lang w:val="en-US"/>
        </w:rPr>
      </w:pPr>
      <w:r w:rsidRPr="00947CB7">
        <w:rPr>
          <w:rFonts w:asciiTheme="minorHAnsi" w:eastAsia="Times New Roman" w:hAnsiTheme="minorHAnsi" w:cs="Arial"/>
          <w:lang w:val="en-US"/>
        </w:rPr>
        <w:t xml:space="preserve">New IFRS 15 Revenue from Contracts with Customers (effective for periods beginning on or after 1 January 2018, adopted in the European Union on 22 September 2016) establishes a single comprehensive model for entities to use in accounting for revenue arising from contracts with customers. After its effective date, it will supersede the following standards and interpretations: IAS 18 Revenues; IAS 11 Construction Contracts; IFRIC 13 Customer Loyalty </w:t>
      </w:r>
      <w:proofErr w:type="spellStart"/>
      <w:r w:rsidRPr="00947CB7">
        <w:rPr>
          <w:rFonts w:asciiTheme="minorHAnsi" w:eastAsia="Times New Roman" w:hAnsiTheme="minorHAnsi" w:cs="Arial"/>
          <w:lang w:val="en-US"/>
        </w:rPr>
        <w:t>Programmes</w:t>
      </w:r>
      <w:proofErr w:type="spellEnd"/>
      <w:r w:rsidRPr="00947CB7">
        <w:rPr>
          <w:rFonts w:asciiTheme="minorHAnsi" w:eastAsia="Times New Roman" w:hAnsiTheme="minorHAnsi" w:cs="Arial"/>
          <w:lang w:val="en-US"/>
        </w:rPr>
        <w:t>; IFRIC 15 Agreements for the Construction of Real Estate; IFRIC 18 Transfer of Assets from Customers and SIC 31 Revenue – Barter Transactions Involving Advertising Services.</w:t>
      </w:r>
    </w:p>
    <w:p w14:paraId="47B01B96" w14:textId="77777777" w:rsidR="007C6016" w:rsidRPr="00947CB7" w:rsidRDefault="007C6016" w:rsidP="006B318F">
      <w:pPr>
        <w:tabs>
          <w:tab w:val="left" w:pos="5722"/>
        </w:tabs>
        <w:spacing w:after="0" w:line="240" w:lineRule="auto"/>
        <w:ind w:left="720" w:hanging="142"/>
        <w:contextualSpacing/>
        <w:jc w:val="both"/>
        <w:rPr>
          <w:rFonts w:asciiTheme="minorHAnsi" w:eastAsia="Times New Roman" w:hAnsiTheme="minorHAnsi" w:cs="Arial"/>
          <w:lang w:val="en-US"/>
        </w:rPr>
      </w:pPr>
      <w:r w:rsidRPr="00947CB7">
        <w:rPr>
          <w:rFonts w:asciiTheme="minorHAnsi" w:eastAsia="Times New Roman" w:hAnsiTheme="minorHAnsi" w:cs="Arial"/>
          <w:lang w:val="en-US"/>
        </w:rPr>
        <w:tab/>
        <w:t xml:space="preserve">The core principle of IFRS 15 is for companies to </w:t>
      </w:r>
      <w:proofErr w:type="spellStart"/>
      <w:r w:rsidRPr="00947CB7">
        <w:rPr>
          <w:rFonts w:asciiTheme="minorHAnsi" w:eastAsia="Times New Roman" w:hAnsiTheme="minorHAnsi" w:cs="Arial"/>
          <w:lang w:val="en-US"/>
        </w:rPr>
        <w:t>recognise</w:t>
      </w:r>
      <w:proofErr w:type="spellEnd"/>
      <w:r w:rsidRPr="00947CB7">
        <w:rPr>
          <w:rFonts w:asciiTheme="minorHAnsi" w:eastAsia="Times New Roman" w:hAnsiTheme="minorHAnsi" w:cs="Arial"/>
          <w:lang w:val="en-US"/>
        </w:rPr>
        <w:t xml:space="preserve"> revenues to depict the transfer of promised goods or services to customers in an amount that reflects the consideration to which the entity expects to be entitled in exchange for those goods or services.</w:t>
      </w:r>
    </w:p>
    <w:p w14:paraId="4A1F2F52" w14:textId="77777777" w:rsidR="007C6016" w:rsidRPr="00947CB7" w:rsidRDefault="007C6016" w:rsidP="006B318F">
      <w:pPr>
        <w:tabs>
          <w:tab w:val="left" w:pos="5722"/>
        </w:tabs>
        <w:spacing w:after="0" w:line="240" w:lineRule="auto"/>
        <w:ind w:left="720"/>
        <w:contextualSpacing/>
        <w:jc w:val="both"/>
        <w:rPr>
          <w:rFonts w:asciiTheme="minorHAnsi" w:eastAsia="Times New Roman" w:hAnsiTheme="minorHAnsi" w:cs="Arial"/>
          <w:lang w:val="en-US"/>
        </w:rPr>
      </w:pPr>
      <w:r w:rsidRPr="00947CB7">
        <w:rPr>
          <w:rFonts w:asciiTheme="minorHAnsi" w:eastAsia="Times New Roman" w:hAnsiTheme="minorHAnsi" w:cs="Arial"/>
          <w:lang w:val="en-US"/>
        </w:rPr>
        <w:t xml:space="preserve">The standard establishes a five-step model framework that will be applied to revenues generated from contracts with customers irrespective of the type of transaction or activity as follows: identify the contract(s) with a customer, identify the performance obligations in the contract, determine the transaction price, allocate the transaction price to the performance obligations in the contract and </w:t>
      </w:r>
      <w:proofErr w:type="spellStart"/>
      <w:r w:rsidRPr="00947CB7">
        <w:rPr>
          <w:rFonts w:asciiTheme="minorHAnsi" w:eastAsia="Times New Roman" w:hAnsiTheme="minorHAnsi" w:cs="Arial"/>
          <w:lang w:val="en-US"/>
        </w:rPr>
        <w:t>recognise</w:t>
      </w:r>
      <w:proofErr w:type="spellEnd"/>
      <w:r w:rsidRPr="00947CB7">
        <w:rPr>
          <w:rFonts w:asciiTheme="minorHAnsi" w:eastAsia="Times New Roman" w:hAnsiTheme="minorHAnsi" w:cs="Arial"/>
          <w:lang w:val="en-US"/>
        </w:rPr>
        <w:t xml:space="preserve"> revenues when (or as) the entity satisfies a performance obligation. However, the standard does not apply to financial instruments and other contractual rights or obligations within the scope of IAS 39 Financial Instruments: Recognition and Measurement, i.e. IFRS 9 Financial Instruments, IFRS 10 Consolidated Financial Statements, IFRS 11 Joint Arrangements, IAS 27 Separate Financial Statements and IAS 28 Investments in Associates and Joint Ventures, insurance contracts within the scope of IFRS 4 Insurance Contracts, and consequently it will not affect the Group after the initial application.</w:t>
      </w:r>
    </w:p>
    <w:p w14:paraId="296730DC" w14:textId="77777777" w:rsidR="007C6016" w:rsidRPr="00166751" w:rsidRDefault="007C6016" w:rsidP="006B318F">
      <w:pPr>
        <w:pStyle w:val="ListParagraph"/>
        <w:tabs>
          <w:tab w:val="left" w:pos="709"/>
        </w:tabs>
        <w:spacing w:after="0" w:line="240" w:lineRule="atLeast"/>
        <w:ind w:left="644"/>
        <w:jc w:val="both"/>
        <w:rPr>
          <w:rFonts w:asciiTheme="minorHAnsi" w:eastAsia="Times New Roman" w:hAnsiTheme="minorHAnsi" w:cs="Arial"/>
          <w:lang w:val="hr-HR"/>
        </w:rPr>
      </w:pPr>
    </w:p>
    <w:p w14:paraId="2FE1E119" w14:textId="77777777" w:rsidR="00F51BC3" w:rsidRDefault="007C6016" w:rsidP="006B318F">
      <w:pPr>
        <w:numPr>
          <w:ilvl w:val="0"/>
          <w:numId w:val="10"/>
        </w:numPr>
        <w:spacing w:after="0" w:line="240" w:lineRule="auto"/>
        <w:jc w:val="both"/>
        <w:rPr>
          <w:rFonts w:asciiTheme="minorHAnsi" w:eastAsia="Times New Roman" w:hAnsiTheme="minorHAnsi" w:cs="Arial"/>
        </w:rPr>
      </w:pPr>
      <w:r w:rsidRPr="00947CB7">
        <w:rPr>
          <w:rFonts w:asciiTheme="minorHAnsi" w:eastAsia="Times New Roman" w:hAnsiTheme="minorHAnsi" w:cs="Arial"/>
        </w:rPr>
        <w:t xml:space="preserve">IFRS 9 Financial instruments - in July 2014, the final wording of the new IFRS 9 Financial Instruments </w:t>
      </w:r>
      <w:r w:rsidRPr="00947CB7">
        <w:rPr>
          <w:rFonts w:asciiTheme="minorHAnsi" w:hAnsiTheme="minorHAnsi" w:cs="Arial"/>
        </w:rPr>
        <w:t>(effective for periods beginning on or after 1 January 2018,</w:t>
      </w:r>
      <w:r w:rsidRPr="00947CB7">
        <w:rPr>
          <w:rFonts w:asciiTheme="minorHAnsi" w:eastAsia="Times New Roman" w:hAnsiTheme="minorHAnsi" w:cs="Arial"/>
          <w:lang w:val="en-US"/>
        </w:rPr>
        <w:t xml:space="preserve"> adopted in the European Union on 22 November 2016</w:t>
      </w:r>
      <w:r w:rsidRPr="00947CB7">
        <w:rPr>
          <w:rFonts w:asciiTheme="minorHAnsi" w:hAnsiTheme="minorHAnsi" w:cs="Arial"/>
        </w:rPr>
        <w:t>),</w:t>
      </w:r>
      <w:r w:rsidRPr="00947CB7">
        <w:rPr>
          <w:rFonts w:asciiTheme="minorHAnsi" w:eastAsia="Times New Roman" w:hAnsiTheme="minorHAnsi" w:cs="Arial"/>
        </w:rPr>
        <w:t xml:space="preserve"> that shall from the date of its effectiveness completely replace IAS 39 Financial Instruments: Recognition and Measurement, and contains requirements relating to the recognition and measurement, impairment, de-recognition and hedge accounting in general.</w:t>
      </w:r>
      <w:r w:rsidR="00F51BC3">
        <w:rPr>
          <w:rFonts w:asciiTheme="minorHAnsi" w:eastAsia="Times New Roman" w:hAnsiTheme="minorHAnsi" w:cs="Arial"/>
        </w:rPr>
        <w:t xml:space="preserve"> </w:t>
      </w:r>
    </w:p>
    <w:p w14:paraId="1F66A59E" w14:textId="77777777" w:rsidR="00F51BC3" w:rsidRDefault="00F51BC3" w:rsidP="006B318F">
      <w:pPr>
        <w:spacing w:after="0" w:line="240" w:lineRule="auto"/>
        <w:ind w:left="720"/>
        <w:jc w:val="both"/>
        <w:rPr>
          <w:rFonts w:asciiTheme="minorHAnsi" w:eastAsia="Times New Roman" w:hAnsiTheme="minorHAnsi" w:cs="Arial"/>
        </w:rPr>
      </w:pPr>
    </w:p>
    <w:p w14:paraId="07F181DB" w14:textId="0AABDD4D" w:rsidR="007C6016" w:rsidRDefault="007C6016" w:rsidP="006B318F">
      <w:pPr>
        <w:spacing w:after="0" w:line="240" w:lineRule="auto"/>
        <w:ind w:left="720"/>
        <w:jc w:val="both"/>
        <w:rPr>
          <w:rFonts w:asciiTheme="minorHAnsi" w:eastAsia="Times New Roman" w:hAnsiTheme="minorHAnsi" w:cs="Arial"/>
        </w:rPr>
      </w:pPr>
      <w:r w:rsidRPr="00F51BC3">
        <w:rPr>
          <w:rFonts w:asciiTheme="minorHAnsi" w:eastAsia="Times New Roman" w:hAnsiTheme="minorHAnsi" w:cs="Arial"/>
          <w:i/>
        </w:rPr>
        <w:t xml:space="preserve">Classification and measurement of financial assets and financial liabilities – </w:t>
      </w:r>
      <w:r w:rsidRPr="00F51BC3">
        <w:rPr>
          <w:rFonts w:asciiTheme="minorHAnsi" w:eastAsia="Times New Roman" w:hAnsiTheme="minorHAnsi" w:cs="Arial"/>
        </w:rPr>
        <w:t>all recognised financial assets that are currently within the scope of IAS 39, shall from the date of application of IFRS 9 be measured either at amortised cost or at fair value.</w:t>
      </w:r>
    </w:p>
    <w:p w14:paraId="001BEC15" w14:textId="77777777" w:rsidR="00F51BC3" w:rsidRDefault="00F51BC3" w:rsidP="007C6016">
      <w:pPr>
        <w:keepNext/>
        <w:spacing w:after="0" w:line="240" w:lineRule="auto"/>
        <w:jc w:val="both"/>
        <w:rPr>
          <w:rFonts w:asciiTheme="minorHAnsi" w:hAnsiTheme="minorHAnsi"/>
        </w:rPr>
        <w:sectPr w:rsidR="00F51BC3" w:rsidSect="00947CB7">
          <w:footerReference w:type="default" r:id="rId47"/>
          <w:pgSz w:w="11907" w:h="16840"/>
          <w:pgMar w:top="1418" w:right="1134" w:bottom="1134" w:left="1418" w:header="851" w:footer="851" w:gutter="0"/>
          <w:cols w:space="720"/>
        </w:sectPr>
      </w:pPr>
    </w:p>
    <w:p w14:paraId="0FFA50C7" w14:textId="77777777" w:rsidR="000F1A13" w:rsidRDefault="000F1A13" w:rsidP="000F1A13">
      <w:pPr>
        <w:keepNext/>
        <w:tabs>
          <w:tab w:val="left" w:pos="426"/>
        </w:tabs>
        <w:spacing w:after="0" w:line="240" w:lineRule="auto"/>
        <w:jc w:val="both"/>
        <w:rPr>
          <w:rFonts w:eastAsia="Times New Roman" w:cs="Arial"/>
          <w:b/>
          <w:bCs/>
        </w:rPr>
      </w:pPr>
    </w:p>
    <w:p w14:paraId="10F98DAE" w14:textId="3A554AD6" w:rsidR="000F1A13" w:rsidRPr="006B318F" w:rsidRDefault="00F51BC3" w:rsidP="006B318F">
      <w:pPr>
        <w:keepNext/>
        <w:tabs>
          <w:tab w:val="left" w:pos="426"/>
        </w:tabs>
        <w:spacing w:after="0" w:line="240" w:lineRule="auto"/>
        <w:jc w:val="both"/>
        <w:rPr>
          <w:rFonts w:eastAsia="Times New Roman" w:cs="Arial"/>
          <w:b/>
          <w:bCs/>
        </w:rPr>
      </w:pPr>
      <w:r>
        <w:rPr>
          <w:rFonts w:eastAsia="Times New Roman" w:cs="Arial"/>
          <w:b/>
          <w:bCs/>
        </w:rPr>
        <w:t xml:space="preserve">3. </w:t>
      </w:r>
      <w:r w:rsidR="000F1A13" w:rsidRPr="006B318F">
        <w:rPr>
          <w:rFonts w:eastAsia="Times New Roman" w:cs="Arial"/>
          <w:b/>
          <w:bCs/>
        </w:rPr>
        <w:t>Summary of significant accounting policies (continued)</w:t>
      </w:r>
    </w:p>
    <w:p w14:paraId="50BD0634" w14:textId="77777777" w:rsidR="000F1A13" w:rsidRPr="00BE46A8" w:rsidRDefault="000F1A13" w:rsidP="000F1A13">
      <w:pPr>
        <w:pStyle w:val="ListParagraph"/>
        <w:keepNext/>
        <w:tabs>
          <w:tab w:val="left" w:pos="426"/>
        </w:tabs>
        <w:spacing w:after="0" w:line="240" w:lineRule="auto"/>
        <w:jc w:val="both"/>
        <w:rPr>
          <w:rFonts w:eastAsia="Times New Roman" w:cs="Arial"/>
          <w:b/>
          <w:bCs/>
        </w:rPr>
      </w:pPr>
    </w:p>
    <w:p w14:paraId="064B88DD" w14:textId="329AD93D" w:rsidR="008D2F72" w:rsidRPr="006B318F" w:rsidRDefault="00BE694D" w:rsidP="006B318F">
      <w:pPr>
        <w:pStyle w:val="ListParagraph"/>
        <w:numPr>
          <w:ilvl w:val="1"/>
          <w:numId w:val="97"/>
        </w:numPr>
        <w:tabs>
          <w:tab w:val="left" w:pos="284"/>
          <w:tab w:val="left" w:pos="426"/>
        </w:tabs>
        <w:spacing w:after="0" w:line="240" w:lineRule="auto"/>
        <w:jc w:val="both"/>
        <w:rPr>
          <w:sz w:val="20"/>
          <w:szCs w:val="20"/>
        </w:rPr>
      </w:pPr>
      <w:r>
        <w:rPr>
          <w:rFonts w:eastAsia="Times New Roman" w:cs="Arial"/>
          <w:b/>
        </w:rPr>
        <w:t xml:space="preserve"> </w:t>
      </w:r>
      <w:r w:rsidR="000F1A13" w:rsidRPr="006B318F">
        <w:rPr>
          <w:rFonts w:eastAsia="Times New Roman" w:cs="Arial"/>
          <w:b/>
        </w:rPr>
        <w:t>Adoption of new and amended International Financial Reporting Standards (continued):</w:t>
      </w:r>
    </w:p>
    <w:p w14:paraId="32A04CBE" w14:textId="77777777" w:rsidR="008D2F72" w:rsidRPr="006B318F" w:rsidRDefault="008D2F72" w:rsidP="006B318F">
      <w:pPr>
        <w:spacing w:after="0" w:line="240" w:lineRule="auto"/>
        <w:jc w:val="both"/>
        <w:rPr>
          <w:rFonts w:asciiTheme="minorHAnsi" w:eastAsia="Times New Roman" w:hAnsiTheme="minorHAnsi" w:cs="Arial"/>
          <w:sz w:val="20"/>
          <w:szCs w:val="20"/>
        </w:rPr>
      </w:pPr>
    </w:p>
    <w:p w14:paraId="4AACE772" w14:textId="77777777" w:rsidR="008D2F72" w:rsidRPr="00166751" w:rsidRDefault="008D2F72" w:rsidP="006B318F">
      <w:pPr>
        <w:pStyle w:val="ListParagraph"/>
        <w:numPr>
          <w:ilvl w:val="0"/>
          <w:numId w:val="100"/>
        </w:numPr>
        <w:tabs>
          <w:tab w:val="left" w:pos="709"/>
        </w:tabs>
        <w:spacing w:after="0" w:line="240" w:lineRule="auto"/>
        <w:jc w:val="both"/>
        <w:rPr>
          <w:rFonts w:asciiTheme="minorHAnsi" w:eastAsia="Times New Roman" w:hAnsiTheme="minorHAnsi" w:cs="Arial"/>
          <w:bCs/>
          <w:i/>
        </w:rPr>
      </w:pPr>
      <w:r w:rsidRPr="00166751">
        <w:rPr>
          <w:rFonts w:asciiTheme="minorHAnsi" w:eastAsia="Times New Roman" w:hAnsiTheme="minorHAnsi" w:cs="Arial"/>
          <w:bCs/>
          <w:i/>
        </w:rPr>
        <w:t>New and amended International Financial Reporting Standards not effective in the reporting period and adopted in the European Union with the assessment of impact on the financial statements (continued):</w:t>
      </w:r>
    </w:p>
    <w:p w14:paraId="6637D2C2" w14:textId="77777777" w:rsidR="008D2F72" w:rsidRPr="00166751" w:rsidRDefault="008D2F72" w:rsidP="00166751">
      <w:pPr>
        <w:pStyle w:val="ListParagraph"/>
        <w:spacing w:after="0" w:line="240" w:lineRule="auto"/>
        <w:jc w:val="both"/>
        <w:rPr>
          <w:rFonts w:asciiTheme="minorHAnsi" w:eastAsia="Times New Roman" w:hAnsiTheme="minorHAnsi" w:cs="Arial"/>
          <w:sz w:val="18"/>
          <w:szCs w:val="18"/>
        </w:rPr>
      </w:pPr>
    </w:p>
    <w:p w14:paraId="069D4E39" w14:textId="77777777" w:rsidR="00CB7AF2" w:rsidRPr="00166751" w:rsidRDefault="008D2F72" w:rsidP="005444AA">
      <w:pPr>
        <w:pStyle w:val="ListParagraph"/>
        <w:numPr>
          <w:ilvl w:val="0"/>
          <w:numId w:val="62"/>
        </w:numPr>
        <w:tabs>
          <w:tab w:val="left" w:pos="426"/>
        </w:tabs>
        <w:spacing w:after="120" w:line="240" w:lineRule="auto"/>
        <w:ind w:left="993" w:hanging="567"/>
        <w:jc w:val="both"/>
        <w:rPr>
          <w:rFonts w:eastAsia="PMingLiU" w:cs="Arial"/>
          <w:color w:val="000000"/>
          <w:lang w:val="hr-HR" w:eastAsia="hr-HR" w:bidi="hr-HR"/>
        </w:rPr>
      </w:pPr>
      <w:r w:rsidRPr="00947CB7">
        <w:rPr>
          <w:rFonts w:asciiTheme="minorHAnsi" w:eastAsia="Times New Roman" w:hAnsiTheme="minorHAnsi" w:cs="Arial"/>
        </w:rPr>
        <w:t>IFRS 9 Financial instruments</w:t>
      </w:r>
      <w:r>
        <w:rPr>
          <w:rFonts w:asciiTheme="minorHAnsi" w:eastAsia="Times New Roman" w:hAnsiTheme="minorHAnsi" w:cs="Arial"/>
        </w:rPr>
        <w:t xml:space="preserve"> (continued)</w:t>
      </w:r>
    </w:p>
    <w:p w14:paraId="1D8AF298" w14:textId="77777777" w:rsidR="008D2F72" w:rsidRPr="00947CB7" w:rsidRDefault="008D2F72" w:rsidP="005444AA">
      <w:pPr>
        <w:spacing w:after="120" w:line="240" w:lineRule="auto"/>
        <w:ind w:left="993"/>
        <w:jc w:val="both"/>
        <w:rPr>
          <w:rFonts w:asciiTheme="minorHAnsi" w:eastAsia="Times New Roman" w:hAnsiTheme="minorHAnsi" w:cs="Arial"/>
        </w:rPr>
      </w:pPr>
      <w:r w:rsidRPr="00947CB7">
        <w:rPr>
          <w:rFonts w:asciiTheme="minorHAnsi" w:eastAsia="Times New Roman" w:hAnsiTheme="minorHAnsi" w:cs="Arial"/>
          <w:i/>
        </w:rPr>
        <w:t xml:space="preserve">Impairment </w:t>
      </w:r>
      <w:r w:rsidRPr="00947CB7">
        <w:rPr>
          <w:rFonts w:asciiTheme="minorHAnsi" w:eastAsia="Times New Roman" w:hAnsiTheme="minorHAnsi" w:cs="Arial"/>
        </w:rPr>
        <w:t>– IFRS 9 introduces a new expected loss impairment model according to which the occurrence of a credit loss is no longer necessary to recognise impairment. The entities recognise the annual expected credit loss or the expected credit loss throughout the lifetime of a financial instrument, depending on whether the credit risk has increased significantly since initial recognition. Any measurement of expected credit losses shall reflect the probability of outcome, incorporate the time value of money and be based on reasonable and supportable information.</w:t>
      </w:r>
    </w:p>
    <w:p w14:paraId="14949C8A" w14:textId="77777777" w:rsidR="008D2F72" w:rsidRPr="00947CB7" w:rsidRDefault="008D2F72" w:rsidP="005444AA">
      <w:pPr>
        <w:spacing w:after="120" w:line="240" w:lineRule="auto"/>
        <w:ind w:left="993"/>
        <w:jc w:val="both"/>
        <w:rPr>
          <w:rFonts w:asciiTheme="minorHAnsi" w:eastAsia="Times New Roman" w:hAnsiTheme="minorHAnsi" w:cs="Arial"/>
        </w:rPr>
      </w:pPr>
      <w:r w:rsidRPr="00947CB7">
        <w:rPr>
          <w:rFonts w:asciiTheme="minorHAnsi" w:eastAsia="Times New Roman" w:hAnsiTheme="minorHAnsi" w:cs="Arial"/>
          <w:i/>
        </w:rPr>
        <w:t xml:space="preserve">Hedge accounting </w:t>
      </w:r>
      <w:r w:rsidRPr="00947CB7">
        <w:rPr>
          <w:rFonts w:asciiTheme="minorHAnsi" w:eastAsia="Times New Roman" w:hAnsiTheme="minorHAnsi" w:cs="Arial"/>
        </w:rPr>
        <w:t>– IRFS 9 introduces a substantially-reformed model for hedge accounting with enhanced disclosures about risk management activity. The new model represents a substantial overhaul of hedge accounting that aligns the accounting treatment with risk management activities.</w:t>
      </w:r>
    </w:p>
    <w:p w14:paraId="3045572C" w14:textId="77777777" w:rsidR="008D2F72" w:rsidRPr="00947CB7" w:rsidRDefault="008D2F72" w:rsidP="005444AA">
      <w:pPr>
        <w:tabs>
          <w:tab w:val="left" w:pos="5722"/>
        </w:tabs>
        <w:spacing w:after="120" w:line="240" w:lineRule="auto"/>
        <w:ind w:left="993"/>
        <w:jc w:val="both"/>
        <w:rPr>
          <w:rFonts w:asciiTheme="minorHAnsi" w:eastAsia="Times New Roman" w:hAnsiTheme="minorHAnsi" w:cs="Arial"/>
        </w:rPr>
      </w:pPr>
      <w:r w:rsidRPr="00947CB7">
        <w:rPr>
          <w:rFonts w:asciiTheme="minorHAnsi" w:eastAsia="Times New Roman" w:hAnsiTheme="minorHAnsi" w:cs="Arial"/>
        </w:rPr>
        <w:t xml:space="preserve">The Group shall not apply IFRS 9 in the period before its obligatory application. </w:t>
      </w:r>
    </w:p>
    <w:p w14:paraId="50423F47" w14:textId="77777777" w:rsidR="008D2F72" w:rsidRPr="00947CB7" w:rsidRDefault="008D2F72" w:rsidP="005444AA">
      <w:pPr>
        <w:autoSpaceDE w:val="0"/>
        <w:autoSpaceDN w:val="0"/>
        <w:adjustRightInd w:val="0"/>
        <w:spacing w:after="120" w:line="240" w:lineRule="auto"/>
        <w:ind w:left="993"/>
        <w:jc w:val="both"/>
        <w:rPr>
          <w:rFonts w:asciiTheme="minorHAnsi" w:eastAsia="Times New Roman" w:hAnsiTheme="minorHAnsi" w:cs="Verdana"/>
          <w:lang w:eastAsia="hr-HR"/>
        </w:rPr>
      </w:pPr>
      <w:r w:rsidRPr="00947CB7">
        <w:rPr>
          <w:rFonts w:asciiTheme="minorHAnsi" w:eastAsia="Times New Roman" w:hAnsiTheme="minorHAnsi" w:cs="Verdana"/>
          <w:lang w:eastAsia="hr-HR"/>
        </w:rPr>
        <w:t xml:space="preserve">During 2016, the Bank started the IFRS 9 Implementation Project, engaging external consultants. </w:t>
      </w:r>
    </w:p>
    <w:p w14:paraId="5E8DE3D4" w14:textId="77777777" w:rsidR="008D2F72" w:rsidRPr="00947CB7" w:rsidRDefault="008D2F72" w:rsidP="005444AA">
      <w:pPr>
        <w:autoSpaceDE w:val="0"/>
        <w:autoSpaceDN w:val="0"/>
        <w:adjustRightInd w:val="0"/>
        <w:spacing w:after="120" w:line="240" w:lineRule="auto"/>
        <w:ind w:left="993"/>
        <w:jc w:val="both"/>
        <w:rPr>
          <w:rFonts w:asciiTheme="minorHAnsi" w:eastAsia="Times New Roman" w:hAnsiTheme="minorHAnsi" w:cs="Verdana"/>
          <w:lang w:eastAsia="hr-HR"/>
        </w:rPr>
      </w:pPr>
      <w:r w:rsidRPr="00947CB7">
        <w:rPr>
          <w:rFonts w:asciiTheme="minorHAnsi" w:eastAsia="Times New Roman" w:hAnsiTheme="minorHAnsi" w:cs="Verdana"/>
          <w:lang w:eastAsia="hr-HR"/>
        </w:rPr>
        <w:t>Based on this project, the following phases are conducted:</w:t>
      </w:r>
    </w:p>
    <w:p w14:paraId="796FCF34" w14:textId="77777777" w:rsidR="008D2F72" w:rsidRPr="00947CB7" w:rsidRDefault="008D2F72" w:rsidP="005444AA">
      <w:pPr>
        <w:numPr>
          <w:ilvl w:val="0"/>
          <w:numId w:val="70"/>
        </w:numPr>
        <w:autoSpaceDE w:val="0"/>
        <w:autoSpaceDN w:val="0"/>
        <w:adjustRightInd w:val="0"/>
        <w:spacing w:after="0" w:line="240" w:lineRule="auto"/>
        <w:ind w:left="1434" w:hanging="357"/>
        <w:jc w:val="both"/>
        <w:rPr>
          <w:rFonts w:asciiTheme="minorHAnsi" w:eastAsia="Times New Roman" w:hAnsiTheme="minorHAnsi" w:cs="Verdana"/>
          <w:lang w:eastAsia="hr-HR"/>
        </w:rPr>
      </w:pPr>
      <w:r w:rsidRPr="00947CB7">
        <w:rPr>
          <w:rFonts w:asciiTheme="minorHAnsi" w:eastAsia="Times New Roman" w:hAnsiTheme="minorHAnsi" w:cs="Verdana"/>
          <w:lang w:eastAsia="hr-HR"/>
        </w:rPr>
        <w:t>Series of educations for acquainting employees with the IFRS 9 and its requirements</w:t>
      </w:r>
    </w:p>
    <w:p w14:paraId="516CFBFF" w14:textId="77777777" w:rsidR="008D2F72" w:rsidRPr="00947CB7" w:rsidRDefault="008D2F72" w:rsidP="005444AA">
      <w:pPr>
        <w:numPr>
          <w:ilvl w:val="0"/>
          <w:numId w:val="70"/>
        </w:numPr>
        <w:autoSpaceDE w:val="0"/>
        <w:autoSpaceDN w:val="0"/>
        <w:adjustRightInd w:val="0"/>
        <w:spacing w:after="0" w:line="240" w:lineRule="auto"/>
        <w:ind w:left="1434" w:hanging="357"/>
        <w:jc w:val="both"/>
        <w:rPr>
          <w:rFonts w:asciiTheme="minorHAnsi" w:eastAsia="Times New Roman" w:hAnsiTheme="minorHAnsi" w:cs="Verdana"/>
          <w:lang w:eastAsia="hr-HR"/>
        </w:rPr>
      </w:pPr>
      <w:r w:rsidRPr="00947CB7">
        <w:rPr>
          <w:rFonts w:asciiTheme="minorHAnsi" w:eastAsia="Times New Roman" w:hAnsiTheme="minorHAnsi" w:cs="Verdana"/>
          <w:lang w:eastAsia="hr-HR"/>
        </w:rPr>
        <w:t>Gap analysis between the current status and IFRS 9 requirements in the classification and measurement stream:</w:t>
      </w:r>
    </w:p>
    <w:p w14:paraId="5D0C3416" w14:textId="77777777" w:rsidR="008D2F72" w:rsidRPr="00947CB7" w:rsidRDefault="008D2F72" w:rsidP="005444AA">
      <w:pPr>
        <w:numPr>
          <w:ilvl w:val="1"/>
          <w:numId w:val="70"/>
        </w:numPr>
        <w:autoSpaceDE w:val="0"/>
        <w:autoSpaceDN w:val="0"/>
        <w:adjustRightInd w:val="0"/>
        <w:spacing w:after="0" w:line="240" w:lineRule="auto"/>
        <w:ind w:left="2154" w:hanging="357"/>
        <w:jc w:val="both"/>
        <w:rPr>
          <w:rFonts w:asciiTheme="minorHAnsi" w:eastAsia="Times New Roman" w:hAnsiTheme="minorHAnsi" w:cs="Verdana"/>
          <w:lang w:eastAsia="hr-HR"/>
        </w:rPr>
      </w:pPr>
      <w:r w:rsidRPr="00947CB7">
        <w:rPr>
          <w:rFonts w:asciiTheme="minorHAnsi" w:eastAsia="Times New Roman" w:hAnsiTheme="minorHAnsi" w:cs="Verdana"/>
          <w:lang w:eastAsia="hr-HR"/>
        </w:rPr>
        <w:t>Determine business models</w:t>
      </w:r>
    </w:p>
    <w:p w14:paraId="383710A7" w14:textId="77777777" w:rsidR="008D2F72" w:rsidRPr="00947CB7" w:rsidRDefault="008D2F72" w:rsidP="005444AA">
      <w:pPr>
        <w:numPr>
          <w:ilvl w:val="1"/>
          <w:numId w:val="70"/>
        </w:numPr>
        <w:autoSpaceDE w:val="0"/>
        <w:autoSpaceDN w:val="0"/>
        <w:adjustRightInd w:val="0"/>
        <w:spacing w:after="0" w:line="240" w:lineRule="auto"/>
        <w:ind w:left="2154" w:hanging="357"/>
        <w:jc w:val="both"/>
        <w:rPr>
          <w:rFonts w:asciiTheme="minorHAnsi" w:eastAsia="Times New Roman" w:hAnsiTheme="minorHAnsi" w:cs="Verdana"/>
          <w:lang w:eastAsia="hr-HR"/>
        </w:rPr>
      </w:pPr>
      <w:r w:rsidRPr="00947CB7">
        <w:rPr>
          <w:rFonts w:asciiTheme="minorHAnsi" w:eastAsia="Times New Roman" w:hAnsiTheme="minorHAnsi" w:cs="Verdana"/>
          <w:lang w:eastAsia="hr-HR"/>
        </w:rPr>
        <w:t>Determine characteristics of contracted cash flows</w:t>
      </w:r>
    </w:p>
    <w:p w14:paraId="33869648" w14:textId="77777777" w:rsidR="008D2F72" w:rsidRPr="00947CB7" w:rsidRDefault="008D2F72" w:rsidP="00DF3889">
      <w:pPr>
        <w:numPr>
          <w:ilvl w:val="0"/>
          <w:numId w:val="71"/>
        </w:numPr>
        <w:autoSpaceDE w:val="0"/>
        <w:autoSpaceDN w:val="0"/>
        <w:adjustRightInd w:val="0"/>
        <w:spacing w:after="0" w:line="240" w:lineRule="auto"/>
        <w:ind w:left="1418" w:hanging="284"/>
        <w:jc w:val="both"/>
        <w:rPr>
          <w:rFonts w:asciiTheme="minorHAnsi" w:eastAsia="Times New Roman" w:hAnsiTheme="minorHAnsi" w:cs="Verdana"/>
          <w:lang w:eastAsia="hr-HR"/>
        </w:rPr>
      </w:pPr>
      <w:r w:rsidRPr="00947CB7">
        <w:rPr>
          <w:rFonts w:asciiTheme="minorHAnsi" w:eastAsia="Times New Roman" w:hAnsiTheme="minorHAnsi" w:cs="Verdana"/>
          <w:lang w:eastAsia="hr-HR"/>
        </w:rPr>
        <w:t>Gap analysis between the current status and IFRS 9 requirements in the impairment stream,</w:t>
      </w:r>
    </w:p>
    <w:p w14:paraId="4D402A29" w14:textId="77777777" w:rsidR="008D2F72" w:rsidRPr="00947CB7" w:rsidRDefault="008D2F72">
      <w:pPr>
        <w:numPr>
          <w:ilvl w:val="0"/>
          <w:numId w:val="71"/>
        </w:numPr>
        <w:autoSpaceDE w:val="0"/>
        <w:autoSpaceDN w:val="0"/>
        <w:adjustRightInd w:val="0"/>
        <w:spacing w:after="0" w:line="240" w:lineRule="auto"/>
        <w:ind w:firstLine="414"/>
        <w:jc w:val="both"/>
        <w:rPr>
          <w:rFonts w:asciiTheme="minorHAnsi" w:eastAsia="Times New Roman" w:hAnsiTheme="minorHAnsi" w:cs="Verdana"/>
          <w:lang w:eastAsia="hr-HR"/>
        </w:rPr>
      </w:pPr>
      <w:r w:rsidRPr="00947CB7">
        <w:rPr>
          <w:rFonts w:asciiTheme="minorHAnsi" w:eastAsia="Times New Roman" w:hAnsiTheme="minorHAnsi" w:cs="Verdana"/>
          <w:lang w:eastAsia="hr-HR"/>
        </w:rPr>
        <w:t>Quantitative impact study of the IFRS 9 effects,</w:t>
      </w:r>
    </w:p>
    <w:p w14:paraId="319E5737" w14:textId="77777777" w:rsidR="008D2F72" w:rsidRPr="00947CB7" w:rsidRDefault="008D2F72">
      <w:pPr>
        <w:numPr>
          <w:ilvl w:val="0"/>
          <w:numId w:val="71"/>
        </w:numPr>
        <w:autoSpaceDE w:val="0"/>
        <w:autoSpaceDN w:val="0"/>
        <w:adjustRightInd w:val="0"/>
        <w:spacing w:after="0" w:line="240" w:lineRule="auto"/>
        <w:ind w:left="1418" w:hanging="284"/>
        <w:jc w:val="both"/>
        <w:rPr>
          <w:rFonts w:asciiTheme="minorHAnsi" w:eastAsia="Times New Roman" w:hAnsiTheme="minorHAnsi" w:cs="Verdana"/>
          <w:lang w:eastAsia="hr-HR"/>
        </w:rPr>
      </w:pPr>
      <w:r w:rsidRPr="00947CB7">
        <w:rPr>
          <w:rFonts w:asciiTheme="minorHAnsi" w:eastAsia="Times New Roman" w:hAnsiTheme="minorHAnsi" w:cs="Verdana"/>
          <w:lang w:eastAsia="hr-HR"/>
        </w:rPr>
        <w:t>Development of functional specifications for the IT application solution – software implementation,</w:t>
      </w:r>
    </w:p>
    <w:p w14:paraId="2284972C" w14:textId="77777777" w:rsidR="008D2F72" w:rsidRPr="00947CB7" w:rsidRDefault="008D2F72" w:rsidP="005444AA">
      <w:pPr>
        <w:numPr>
          <w:ilvl w:val="1"/>
          <w:numId w:val="71"/>
        </w:numPr>
        <w:autoSpaceDE w:val="0"/>
        <w:autoSpaceDN w:val="0"/>
        <w:adjustRightInd w:val="0"/>
        <w:spacing w:after="120" w:line="240" w:lineRule="auto"/>
        <w:ind w:hanging="306"/>
        <w:jc w:val="both"/>
        <w:rPr>
          <w:rFonts w:asciiTheme="minorHAnsi" w:eastAsia="Times New Roman" w:hAnsiTheme="minorHAnsi" w:cs="Verdana"/>
          <w:lang w:eastAsia="hr-HR"/>
        </w:rPr>
      </w:pPr>
      <w:r w:rsidRPr="00947CB7">
        <w:rPr>
          <w:rFonts w:asciiTheme="minorHAnsi" w:eastAsia="Times New Roman" w:hAnsiTheme="minorHAnsi" w:cs="Verdana"/>
          <w:lang w:eastAsia="hr-HR"/>
        </w:rPr>
        <w:t>Development of the impairment methodology according to the business models of the Bank – development of the model for calculating risk parameters required for expected credit loss calculation as required per IFRS 9.</w:t>
      </w:r>
    </w:p>
    <w:p w14:paraId="288F2EE2" w14:textId="34ED676E" w:rsidR="00566A6F" w:rsidRPr="00166751" w:rsidRDefault="008D2F72" w:rsidP="005444AA">
      <w:pPr>
        <w:tabs>
          <w:tab w:val="left" w:pos="1134"/>
        </w:tabs>
        <w:suppressAutoHyphens/>
        <w:autoSpaceDN w:val="0"/>
        <w:spacing w:after="120" w:line="240" w:lineRule="auto"/>
        <w:ind w:left="993"/>
        <w:jc w:val="both"/>
        <w:textAlignment w:val="baseline"/>
        <w:rPr>
          <w:rFonts w:asciiTheme="minorHAnsi" w:eastAsia="Times New Roman" w:hAnsiTheme="minorHAnsi" w:cs="Verdana"/>
          <w:sz w:val="18"/>
          <w:szCs w:val="18"/>
          <w:lang w:val="hr-HR" w:eastAsia="hr-HR"/>
        </w:rPr>
      </w:pPr>
      <w:r w:rsidRPr="00947CB7">
        <w:rPr>
          <w:rFonts w:asciiTheme="minorHAnsi" w:eastAsia="Times New Roman" w:hAnsiTheme="minorHAnsi" w:cs="Verdana"/>
          <w:lang w:eastAsia="hr-HR"/>
        </w:rPr>
        <w:t xml:space="preserve">For the classification and measurement stream, the Bank is </w:t>
      </w:r>
      <w:r w:rsidR="00F6163A">
        <w:rPr>
          <w:rFonts w:asciiTheme="minorHAnsi" w:eastAsia="Times New Roman" w:hAnsiTheme="minorHAnsi" w:cs="Verdana"/>
          <w:lang w:eastAsia="hr-HR"/>
        </w:rPr>
        <w:t xml:space="preserve">in the stage of defining </w:t>
      </w:r>
      <w:r w:rsidRPr="00947CB7">
        <w:rPr>
          <w:rFonts w:asciiTheme="minorHAnsi" w:eastAsia="Times New Roman" w:hAnsiTheme="minorHAnsi" w:cs="Verdana"/>
          <w:lang w:eastAsia="hr-HR"/>
        </w:rPr>
        <w:t>of the business models and other requirements of the IFRS 9 based on determined gaps and identified activities for bridging the gaps</w:t>
      </w:r>
      <w:r w:rsidRPr="00947CB7">
        <w:rPr>
          <w:rFonts w:asciiTheme="minorHAnsi" w:eastAsia="Times New Roman" w:hAnsiTheme="minorHAnsi" w:cs="Verdana"/>
          <w:lang w:val="hr-HR" w:eastAsia="hr-HR"/>
        </w:rPr>
        <w:t>.</w:t>
      </w:r>
    </w:p>
    <w:p w14:paraId="18065B10" w14:textId="4C10A455" w:rsidR="00C862C5" w:rsidRDefault="008D2F72" w:rsidP="005444AA">
      <w:pPr>
        <w:autoSpaceDE w:val="0"/>
        <w:autoSpaceDN w:val="0"/>
        <w:adjustRightInd w:val="0"/>
        <w:spacing w:after="120" w:line="240" w:lineRule="auto"/>
        <w:ind w:left="993"/>
        <w:jc w:val="both"/>
        <w:rPr>
          <w:rFonts w:asciiTheme="minorHAnsi" w:eastAsia="Times New Roman" w:hAnsiTheme="minorHAnsi" w:cs="Verdana"/>
          <w:lang w:eastAsia="hr-HR"/>
        </w:rPr>
        <w:sectPr w:rsidR="00C862C5" w:rsidSect="00947CB7">
          <w:footerReference w:type="default" r:id="rId48"/>
          <w:pgSz w:w="11907" w:h="16840"/>
          <w:pgMar w:top="1418" w:right="1134" w:bottom="1134" w:left="1418" w:header="851" w:footer="851" w:gutter="0"/>
          <w:cols w:space="720"/>
        </w:sectPr>
      </w:pPr>
      <w:r w:rsidRPr="00947CB7">
        <w:rPr>
          <w:rFonts w:asciiTheme="minorHAnsi" w:eastAsia="Times New Roman" w:hAnsiTheme="minorHAnsi" w:cs="Verdana"/>
          <w:lang w:eastAsia="hr-HR"/>
        </w:rPr>
        <w:t>.</w:t>
      </w:r>
    </w:p>
    <w:p w14:paraId="46E028D0" w14:textId="77777777" w:rsidR="008D2F72" w:rsidRPr="00947CB7" w:rsidRDefault="008D2F72" w:rsidP="00166751">
      <w:pPr>
        <w:autoSpaceDE w:val="0"/>
        <w:autoSpaceDN w:val="0"/>
        <w:adjustRightInd w:val="0"/>
        <w:spacing w:after="0" w:line="240" w:lineRule="auto"/>
        <w:ind w:left="993"/>
        <w:jc w:val="both"/>
        <w:rPr>
          <w:rFonts w:asciiTheme="minorHAnsi" w:eastAsia="Times New Roman" w:hAnsiTheme="minorHAnsi" w:cs="Verdana"/>
          <w:lang w:eastAsia="hr-HR"/>
        </w:rPr>
      </w:pPr>
    </w:p>
    <w:p w14:paraId="208A8FA7" w14:textId="77777777" w:rsidR="00C862C5" w:rsidRPr="00166751" w:rsidRDefault="00C862C5" w:rsidP="00166751">
      <w:pPr>
        <w:pStyle w:val="ListParagraph"/>
        <w:keepNext/>
        <w:numPr>
          <w:ilvl w:val="0"/>
          <w:numId w:val="84"/>
        </w:numPr>
        <w:tabs>
          <w:tab w:val="left" w:pos="426"/>
        </w:tabs>
        <w:spacing w:after="0" w:line="240" w:lineRule="auto"/>
        <w:jc w:val="both"/>
        <w:rPr>
          <w:rFonts w:eastAsia="Times New Roman" w:cs="Arial"/>
          <w:b/>
          <w:bCs/>
        </w:rPr>
      </w:pPr>
      <w:r w:rsidRPr="00166751">
        <w:rPr>
          <w:rFonts w:eastAsia="Times New Roman" w:cs="Arial"/>
          <w:b/>
          <w:bCs/>
        </w:rPr>
        <w:t>Summary of significant accounting policies (continued)</w:t>
      </w:r>
    </w:p>
    <w:p w14:paraId="7EB5B635" w14:textId="77777777" w:rsidR="00C862C5" w:rsidRPr="007E6640" w:rsidRDefault="00C862C5" w:rsidP="00C862C5">
      <w:pPr>
        <w:pStyle w:val="ListParagraph"/>
        <w:keepNext/>
        <w:tabs>
          <w:tab w:val="left" w:pos="426"/>
        </w:tabs>
        <w:spacing w:after="0" w:line="240" w:lineRule="auto"/>
        <w:jc w:val="both"/>
        <w:rPr>
          <w:rFonts w:eastAsia="Times New Roman" w:cs="Arial"/>
          <w:b/>
          <w:bCs/>
          <w:sz w:val="20"/>
          <w:szCs w:val="20"/>
        </w:rPr>
      </w:pPr>
    </w:p>
    <w:p w14:paraId="1C1C0678" w14:textId="77777777" w:rsidR="00C862C5" w:rsidRPr="00166751" w:rsidRDefault="00C862C5" w:rsidP="00166751">
      <w:pPr>
        <w:pStyle w:val="ListParagraph"/>
        <w:numPr>
          <w:ilvl w:val="1"/>
          <w:numId w:val="84"/>
        </w:numPr>
        <w:tabs>
          <w:tab w:val="left" w:pos="284"/>
          <w:tab w:val="left" w:pos="426"/>
        </w:tabs>
        <w:spacing w:after="0" w:line="240" w:lineRule="auto"/>
        <w:jc w:val="both"/>
        <w:rPr>
          <w:rFonts w:eastAsia="Times New Roman" w:cs="Arial"/>
          <w:b/>
        </w:rPr>
      </w:pPr>
      <w:r w:rsidRPr="00166751">
        <w:rPr>
          <w:rFonts w:eastAsia="Times New Roman" w:cs="Arial"/>
          <w:b/>
        </w:rPr>
        <w:t xml:space="preserve"> </w:t>
      </w:r>
      <w:r>
        <w:rPr>
          <w:rFonts w:eastAsia="Times New Roman" w:cs="Arial"/>
          <w:b/>
        </w:rPr>
        <w:t xml:space="preserve"> </w:t>
      </w:r>
      <w:r w:rsidRPr="00166751">
        <w:rPr>
          <w:rFonts w:eastAsia="Times New Roman" w:cs="Arial"/>
          <w:b/>
        </w:rPr>
        <w:t>Adoption of new and amended International Financial Reporting Standards (continued):</w:t>
      </w:r>
    </w:p>
    <w:p w14:paraId="7A30DCC4" w14:textId="77777777" w:rsidR="00C862C5" w:rsidRPr="007E6640" w:rsidRDefault="00C862C5" w:rsidP="00C862C5">
      <w:pPr>
        <w:pStyle w:val="ListParagraph"/>
        <w:spacing w:after="0" w:line="240" w:lineRule="auto"/>
        <w:jc w:val="both"/>
        <w:rPr>
          <w:rFonts w:asciiTheme="minorHAnsi" w:eastAsia="Times New Roman" w:hAnsiTheme="minorHAnsi" w:cs="Arial"/>
          <w:sz w:val="20"/>
          <w:szCs w:val="20"/>
        </w:rPr>
      </w:pPr>
    </w:p>
    <w:p w14:paraId="3F924DBB" w14:textId="357D26F9" w:rsidR="00C862C5" w:rsidRPr="00166751" w:rsidRDefault="00AC0D7B" w:rsidP="00166751">
      <w:pPr>
        <w:tabs>
          <w:tab w:val="left" w:pos="709"/>
        </w:tabs>
        <w:spacing w:after="0" w:line="240" w:lineRule="auto"/>
        <w:ind w:left="284" w:hanging="284"/>
        <w:jc w:val="both"/>
        <w:rPr>
          <w:rFonts w:asciiTheme="minorHAnsi" w:eastAsia="Times New Roman" w:hAnsiTheme="minorHAnsi" w:cs="Arial"/>
          <w:i/>
          <w:lang w:val="hr-HR"/>
        </w:rPr>
      </w:pPr>
      <w:r>
        <w:rPr>
          <w:rFonts w:asciiTheme="minorHAnsi" w:eastAsia="Times New Roman" w:hAnsiTheme="minorHAnsi" w:cs="Arial"/>
          <w:bCs/>
          <w:i/>
        </w:rPr>
        <w:t>c</w:t>
      </w:r>
      <w:r w:rsidR="00C862C5" w:rsidRPr="00166751">
        <w:rPr>
          <w:rFonts w:asciiTheme="minorHAnsi" w:eastAsia="Times New Roman" w:hAnsiTheme="minorHAnsi" w:cs="Arial"/>
          <w:bCs/>
          <w:i/>
        </w:rPr>
        <w:t>)</w:t>
      </w:r>
      <w:r w:rsidR="00C862C5">
        <w:rPr>
          <w:rFonts w:asciiTheme="minorHAnsi" w:eastAsia="Times New Roman" w:hAnsiTheme="minorHAnsi" w:cs="Arial"/>
          <w:bCs/>
          <w:i/>
        </w:rPr>
        <w:t xml:space="preserve"> </w:t>
      </w:r>
      <w:r w:rsidR="00C862C5" w:rsidRPr="00166751">
        <w:rPr>
          <w:rFonts w:asciiTheme="minorHAnsi" w:eastAsia="Times New Roman" w:hAnsiTheme="minorHAnsi" w:cs="Arial"/>
          <w:bCs/>
          <w:i/>
        </w:rPr>
        <w:t xml:space="preserve"> </w:t>
      </w:r>
      <w:r w:rsidR="00544A04">
        <w:rPr>
          <w:rFonts w:asciiTheme="minorHAnsi" w:eastAsia="Times New Roman" w:hAnsiTheme="minorHAnsi" w:cs="Arial"/>
          <w:bCs/>
          <w:i/>
        </w:rPr>
        <w:t xml:space="preserve"> </w:t>
      </w:r>
      <w:r w:rsidR="00C862C5" w:rsidRPr="00166751">
        <w:rPr>
          <w:rFonts w:asciiTheme="minorHAnsi" w:eastAsia="Times New Roman" w:hAnsiTheme="minorHAnsi" w:cs="Arial"/>
          <w:bCs/>
          <w:i/>
        </w:rPr>
        <w:t xml:space="preserve">New and amended International Financial Reporting Standards not </w:t>
      </w:r>
      <w:r w:rsidR="00C862C5" w:rsidRPr="00166751">
        <w:rPr>
          <w:rFonts w:ascii="Arial" w:eastAsia="Times New Roman" w:hAnsi="Arial" w:cs="Arial"/>
          <w:bCs/>
          <w:i/>
          <w:sz w:val="19"/>
          <w:szCs w:val="19"/>
        </w:rPr>
        <w:t xml:space="preserve">effective in </w:t>
      </w:r>
      <w:r w:rsidR="00C862C5" w:rsidRPr="00166751">
        <w:rPr>
          <w:rFonts w:asciiTheme="minorHAnsi" w:eastAsia="Times New Roman" w:hAnsiTheme="minorHAnsi" w:cs="Arial"/>
          <w:bCs/>
          <w:i/>
        </w:rPr>
        <w:t>the reporting period and adopted in the European Union with the assessment of impact on the financial statements (continued)</w:t>
      </w:r>
      <w:r w:rsidR="00C862C5" w:rsidRPr="00166751">
        <w:rPr>
          <w:rFonts w:asciiTheme="minorHAnsi" w:eastAsia="Times New Roman" w:hAnsiTheme="minorHAnsi" w:cs="Arial"/>
          <w:i/>
          <w:lang w:val="hr-HR"/>
        </w:rPr>
        <w:t>:</w:t>
      </w:r>
    </w:p>
    <w:p w14:paraId="6ABCC297" w14:textId="77777777" w:rsidR="00C862C5" w:rsidRPr="007E6640" w:rsidRDefault="00C862C5" w:rsidP="00166751">
      <w:pPr>
        <w:pStyle w:val="ListParagraph"/>
        <w:tabs>
          <w:tab w:val="left" w:pos="426"/>
        </w:tabs>
        <w:spacing w:after="0" w:line="240" w:lineRule="auto"/>
        <w:ind w:left="646"/>
        <w:jc w:val="both"/>
        <w:rPr>
          <w:rFonts w:asciiTheme="minorHAnsi" w:eastAsia="Times New Roman" w:hAnsiTheme="minorHAnsi" w:cs="Arial"/>
          <w:i/>
          <w:lang w:val="hr-HR"/>
        </w:rPr>
      </w:pPr>
    </w:p>
    <w:p w14:paraId="66821BE1" w14:textId="77777777" w:rsidR="00C862C5" w:rsidRPr="007E6640" w:rsidRDefault="00C862C5" w:rsidP="00166751">
      <w:pPr>
        <w:pStyle w:val="ListParagraph"/>
        <w:numPr>
          <w:ilvl w:val="0"/>
          <w:numId w:val="62"/>
        </w:numPr>
        <w:spacing w:after="0" w:line="240" w:lineRule="auto"/>
        <w:ind w:left="709" w:hanging="425"/>
        <w:jc w:val="both"/>
        <w:rPr>
          <w:rFonts w:eastAsia="PMingLiU" w:cs="Arial"/>
          <w:color w:val="000000"/>
          <w:lang w:val="hr-HR" w:eastAsia="hr-HR" w:bidi="hr-HR"/>
        </w:rPr>
      </w:pPr>
      <w:r w:rsidRPr="00947CB7">
        <w:rPr>
          <w:rFonts w:asciiTheme="minorHAnsi" w:eastAsia="Times New Roman" w:hAnsiTheme="minorHAnsi" w:cs="Arial"/>
        </w:rPr>
        <w:t>IFRS 9 Financial instruments</w:t>
      </w:r>
      <w:r>
        <w:rPr>
          <w:rFonts w:asciiTheme="minorHAnsi" w:eastAsia="Times New Roman" w:hAnsiTheme="minorHAnsi" w:cs="Arial"/>
        </w:rPr>
        <w:t xml:space="preserve"> (continued)</w:t>
      </w:r>
    </w:p>
    <w:p w14:paraId="3CD608B8" w14:textId="77777777" w:rsidR="00BF495C" w:rsidRDefault="00BF495C" w:rsidP="008D2F72">
      <w:pPr>
        <w:tabs>
          <w:tab w:val="left" w:pos="426"/>
        </w:tabs>
        <w:spacing w:after="0" w:line="240" w:lineRule="auto"/>
        <w:ind w:left="720"/>
        <w:contextualSpacing/>
        <w:jc w:val="both"/>
        <w:rPr>
          <w:rFonts w:asciiTheme="minorHAnsi" w:eastAsia="PMingLiU" w:hAnsiTheme="minorHAnsi" w:cs="Arial"/>
          <w:lang w:eastAsia="hr-HR" w:bidi="hr-HR"/>
        </w:rPr>
      </w:pPr>
    </w:p>
    <w:p w14:paraId="6C258EF7" w14:textId="3251F913" w:rsidR="00271B20" w:rsidRPr="00947CB7" w:rsidRDefault="00271B20" w:rsidP="008D2F72">
      <w:pPr>
        <w:tabs>
          <w:tab w:val="left" w:pos="426"/>
        </w:tabs>
        <w:spacing w:after="0" w:line="240" w:lineRule="auto"/>
        <w:ind w:left="720"/>
        <w:contextualSpacing/>
        <w:jc w:val="both"/>
        <w:rPr>
          <w:rFonts w:asciiTheme="minorHAnsi" w:eastAsia="PMingLiU" w:hAnsiTheme="minorHAnsi" w:cs="Arial"/>
          <w:lang w:eastAsia="hr-HR" w:bidi="hr-HR"/>
        </w:rPr>
      </w:pPr>
      <w:r w:rsidRPr="00271B20">
        <w:rPr>
          <w:rFonts w:asciiTheme="minorHAnsi" w:eastAsia="PMingLiU" w:hAnsiTheme="minorHAnsi" w:cs="Arial"/>
          <w:lang w:eastAsia="hr-HR" w:bidi="hr-HR"/>
        </w:rPr>
        <w:t xml:space="preserve">The impact in the field of impairment will depend on the determined methodology for calculating expected </w:t>
      </w:r>
      <w:r w:rsidR="00A474DD">
        <w:rPr>
          <w:rFonts w:asciiTheme="minorHAnsi" w:eastAsia="PMingLiU" w:hAnsiTheme="minorHAnsi" w:cs="Arial"/>
          <w:lang w:eastAsia="hr-HR" w:bidi="hr-HR"/>
        </w:rPr>
        <w:t xml:space="preserve">credit losses and modelling of </w:t>
      </w:r>
      <w:r w:rsidRPr="00271B20">
        <w:rPr>
          <w:rFonts w:asciiTheme="minorHAnsi" w:eastAsia="PMingLiU" w:hAnsiTheme="minorHAnsi" w:cs="Arial"/>
          <w:lang w:eastAsia="hr-HR" w:bidi="hr-HR"/>
        </w:rPr>
        <w:t>risk parameters based on expected credit losses. The adjustments of HBOR accounting policies and the process of financial reporting are being prepared simultaneously.</w:t>
      </w:r>
    </w:p>
    <w:p w14:paraId="1F44E5DD" w14:textId="77777777" w:rsidR="008D2F72" w:rsidRPr="00947CB7" w:rsidRDefault="008D2F72" w:rsidP="008D2F72">
      <w:pPr>
        <w:tabs>
          <w:tab w:val="left" w:pos="426"/>
        </w:tabs>
        <w:spacing w:after="0" w:line="240" w:lineRule="auto"/>
        <w:ind w:left="720"/>
        <w:contextualSpacing/>
        <w:jc w:val="both"/>
        <w:rPr>
          <w:rFonts w:asciiTheme="minorHAnsi" w:eastAsia="PMingLiU" w:hAnsiTheme="minorHAnsi" w:cs="Arial"/>
          <w:lang w:eastAsia="hr-HR" w:bidi="hr-HR"/>
        </w:rPr>
      </w:pPr>
    </w:p>
    <w:p w14:paraId="31331E69" w14:textId="77777777" w:rsidR="008D2F72" w:rsidRDefault="008D2F72" w:rsidP="008D2F72">
      <w:pPr>
        <w:tabs>
          <w:tab w:val="left" w:pos="8640"/>
        </w:tabs>
        <w:spacing w:after="0" w:line="240" w:lineRule="auto"/>
        <w:ind w:left="720" w:right="57"/>
        <w:jc w:val="both"/>
        <w:rPr>
          <w:rFonts w:asciiTheme="minorHAnsi" w:eastAsia="Times New Roman" w:hAnsiTheme="minorHAnsi"/>
        </w:rPr>
      </w:pPr>
      <w:r w:rsidRPr="00947CB7">
        <w:rPr>
          <w:rFonts w:asciiTheme="minorHAnsi" w:eastAsia="Times New Roman" w:hAnsiTheme="minorHAnsi"/>
        </w:rPr>
        <w:t>Temporary exemption has been granted to the subsidiary company – the HKO Group – owing to immateriality and will be applied from 1 January 2018 to 1 January 2021, i.e. the start of the implementation of the new insurance contracts Standard, unless otherwise determined by the Croatian Financial Services Supervisory Agency (HANFA).</w:t>
      </w:r>
    </w:p>
    <w:p w14:paraId="1EBA264E" w14:textId="77777777" w:rsidR="00BF495C" w:rsidRDefault="00BF495C" w:rsidP="008D2F72">
      <w:pPr>
        <w:tabs>
          <w:tab w:val="left" w:pos="8640"/>
        </w:tabs>
        <w:spacing w:after="0" w:line="240" w:lineRule="auto"/>
        <w:ind w:left="720" w:right="57"/>
        <w:jc w:val="both"/>
        <w:rPr>
          <w:rFonts w:asciiTheme="minorHAnsi" w:eastAsia="Times New Roman" w:hAnsiTheme="minorHAnsi"/>
        </w:rPr>
      </w:pPr>
    </w:p>
    <w:p w14:paraId="6668FB1A" w14:textId="0DA10041" w:rsidR="00BF495C" w:rsidRPr="00947CB7" w:rsidRDefault="00BF495C" w:rsidP="00BF495C">
      <w:pPr>
        <w:numPr>
          <w:ilvl w:val="0"/>
          <w:numId w:val="49"/>
        </w:numPr>
        <w:spacing w:after="0" w:line="240" w:lineRule="auto"/>
        <w:ind w:left="709" w:hanging="425"/>
        <w:contextualSpacing/>
        <w:jc w:val="both"/>
        <w:rPr>
          <w:rFonts w:asciiTheme="minorHAnsi" w:eastAsia="Times New Roman" w:hAnsiTheme="minorHAnsi" w:cs="Arial"/>
          <w:lang w:val="en-US"/>
        </w:rPr>
      </w:pPr>
      <w:r w:rsidRPr="00947CB7">
        <w:rPr>
          <w:rFonts w:asciiTheme="minorHAnsi" w:eastAsia="Times New Roman" w:hAnsiTheme="minorHAnsi" w:cs="Arial"/>
          <w:lang w:val="en-US"/>
        </w:rPr>
        <w:t xml:space="preserve">New IFRS 16 Leases (effective for periods beginning on or after 1 January 2019 adopted in the European Union </w:t>
      </w:r>
      <w:r>
        <w:rPr>
          <w:rFonts w:asciiTheme="minorHAnsi" w:eastAsia="Times New Roman" w:hAnsiTheme="minorHAnsi" w:cs="Arial"/>
          <w:lang w:val="en-US"/>
        </w:rPr>
        <w:t>on 9 November 2017</w:t>
      </w:r>
      <w:r w:rsidRPr="00947CB7">
        <w:rPr>
          <w:rFonts w:asciiTheme="minorHAnsi" w:eastAsia="Times New Roman" w:hAnsiTheme="minorHAnsi" w:cs="Arial"/>
          <w:lang w:val="en-US"/>
        </w:rPr>
        <w:t xml:space="preserve">) – sets out the principles for the recognition, measurement, presentation and disclosure of leases for both parties to a contract, i.e. the customer (“lessee”) and the supplier “lessor”). The new standard requires lessees to </w:t>
      </w:r>
      <w:proofErr w:type="spellStart"/>
      <w:r w:rsidRPr="00947CB7">
        <w:rPr>
          <w:rFonts w:asciiTheme="minorHAnsi" w:eastAsia="Times New Roman" w:hAnsiTheme="minorHAnsi" w:cs="Arial"/>
          <w:lang w:val="en-US"/>
        </w:rPr>
        <w:t>recogni</w:t>
      </w:r>
      <w:r>
        <w:rPr>
          <w:rFonts w:asciiTheme="minorHAnsi" w:eastAsia="Times New Roman" w:hAnsiTheme="minorHAnsi" w:cs="Arial"/>
          <w:lang w:val="en-US"/>
        </w:rPr>
        <w:t>s</w:t>
      </w:r>
      <w:r w:rsidRPr="00947CB7">
        <w:rPr>
          <w:rFonts w:asciiTheme="minorHAnsi" w:eastAsia="Times New Roman" w:hAnsiTheme="minorHAnsi" w:cs="Arial"/>
          <w:lang w:val="en-US"/>
        </w:rPr>
        <w:t>e</w:t>
      </w:r>
      <w:proofErr w:type="spellEnd"/>
      <w:r w:rsidRPr="00947CB7">
        <w:rPr>
          <w:rFonts w:asciiTheme="minorHAnsi" w:eastAsia="Times New Roman" w:hAnsiTheme="minorHAnsi" w:cs="Arial"/>
          <w:lang w:val="en-US"/>
        </w:rPr>
        <w:t xml:space="preserve"> most leases on their financial statements. Lessees will have a single accounting model for all leases, with certain exemptions.</w:t>
      </w:r>
    </w:p>
    <w:p w14:paraId="647613BF" w14:textId="77777777" w:rsidR="00BF495C" w:rsidRDefault="00BF495C" w:rsidP="00BF495C">
      <w:pPr>
        <w:tabs>
          <w:tab w:val="left" w:pos="1134"/>
        </w:tabs>
        <w:suppressAutoHyphens/>
        <w:autoSpaceDN w:val="0"/>
        <w:spacing w:after="0" w:line="240" w:lineRule="auto"/>
        <w:ind w:left="1134" w:hanging="425"/>
        <w:jc w:val="both"/>
        <w:textAlignment w:val="baseline"/>
        <w:rPr>
          <w:rFonts w:asciiTheme="minorHAnsi" w:eastAsia="Times New Roman" w:hAnsiTheme="minorHAnsi" w:cs="Arial"/>
          <w:lang w:val="en-US"/>
        </w:rPr>
      </w:pPr>
      <w:r w:rsidRPr="00947CB7">
        <w:rPr>
          <w:rFonts w:asciiTheme="minorHAnsi" w:eastAsia="Times New Roman" w:hAnsiTheme="minorHAnsi" w:cs="Arial"/>
          <w:lang w:val="en-US"/>
        </w:rPr>
        <w:t>The above new IFRS will not affect the significantly Group after the initial application</w:t>
      </w:r>
      <w:r>
        <w:rPr>
          <w:rFonts w:asciiTheme="minorHAnsi" w:eastAsia="Times New Roman" w:hAnsiTheme="minorHAnsi" w:cs="Arial"/>
          <w:lang w:val="en-US"/>
        </w:rPr>
        <w:t>.</w:t>
      </w:r>
    </w:p>
    <w:p w14:paraId="7A195B93" w14:textId="77777777" w:rsidR="00BF495C" w:rsidRDefault="00BF495C" w:rsidP="008D2F72">
      <w:pPr>
        <w:tabs>
          <w:tab w:val="left" w:pos="8640"/>
        </w:tabs>
        <w:spacing w:after="0" w:line="240" w:lineRule="auto"/>
        <w:ind w:left="720" w:right="57"/>
        <w:jc w:val="both"/>
        <w:rPr>
          <w:rFonts w:asciiTheme="minorHAnsi" w:eastAsia="Times New Roman" w:hAnsiTheme="minorHAnsi" w:cs="Verdana"/>
          <w:lang w:val="hr-HR" w:eastAsia="hr-HR"/>
        </w:rPr>
      </w:pPr>
    </w:p>
    <w:p w14:paraId="382BF988" w14:textId="4D2A217C" w:rsidR="00BF495C" w:rsidRPr="00947CB7" w:rsidRDefault="00BF495C" w:rsidP="00BF495C">
      <w:pPr>
        <w:numPr>
          <w:ilvl w:val="0"/>
          <w:numId w:val="48"/>
        </w:numPr>
        <w:tabs>
          <w:tab w:val="left" w:pos="709"/>
        </w:tabs>
        <w:spacing w:after="0" w:line="240" w:lineRule="auto"/>
        <w:ind w:left="709" w:hanging="425"/>
        <w:contextualSpacing/>
        <w:jc w:val="both"/>
        <w:rPr>
          <w:rFonts w:asciiTheme="minorHAnsi" w:eastAsia="Times New Roman" w:hAnsiTheme="minorHAnsi" w:cs="Arial"/>
          <w:lang w:val="en-US"/>
        </w:rPr>
      </w:pPr>
      <w:r w:rsidRPr="00947CB7">
        <w:rPr>
          <w:rFonts w:asciiTheme="minorHAnsi" w:eastAsia="Times New Roman" w:hAnsiTheme="minorHAnsi" w:cs="Arial"/>
          <w:lang w:val="en-US"/>
        </w:rPr>
        <w:t xml:space="preserve">Changes and amendments to IFRS </w:t>
      </w:r>
      <w:proofErr w:type="gramStart"/>
      <w:r w:rsidRPr="00947CB7">
        <w:rPr>
          <w:rFonts w:asciiTheme="minorHAnsi" w:eastAsia="Times New Roman" w:hAnsiTheme="minorHAnsi" w:cs="Arial"/>
          <w:lang w:val="en-US"/>
        </w:rPr>
        <w:t>15  Revenue</w:t>
      </w:r>
      <w:proofErr w:type="gramEnd"/>
      <w:r w:rsidRPr="00947CB7">
        <w:rPr>
          <w:rFonts w:asciiTheme="minorHAnsi" w:eastAsia="Times New Roman" w:hAnsiTheme="minorHAnsi" w:cs="Arial"/>
          <w:lang w:val="en-US"/>
        </w:rPr>
        <w:t xml:space="preserve"> from Contracts with Customers (effective for periods beginning on or after 1 January 2018, adopted in the European Union </w:t>
      </w:r>
      <w:r w:rsidR="00AC0D7B">
        <w:rPr>
          <w:rFonts w:asciiTheme="minorHAnsi" w:eastAsia="Times New Roman" w:hAnsiTheme="minorHAnsi" w:cs="Arial"/>
          <w:lang w:val="en-US"/>
        </w:rPr>
        <w:t>on 9 November 2017</w:t>
      </w:r>
      <w:r w:rsidRPr="00947CB7">
        <w:rPr>
          <w:rFonts w:asciiTheme="minorHAnsi" w:eastAsia="Times New Roman" w:hAnsiTheme="minorHAnsi" w:cs="Arial"/>
          <w:lang w:val="en-US"/>
        </w:rPr>
        <w:t>) – Clarifications to IFRS 15 issued.</w:t>
      </w:r>
    </w:p>
    <w:p w14:paraId="0A10B904" w14:textId="77777777" w:rsidR="00BF495C" w:rsidRPr="00947CB7" w:rsidRDefault="00BF495C" w:rsidP="00BF495C">
      <w:pPr>
        <w:spacing w:after="0" w:line="240" w:lineRule="auto"/>
        <w:ind w:left="708"/>
        <w:jc w:val="both"/>
        <w:rPr>
          <w:rFonts w:asciiTheme="minorHAnsi" w:eastAsiaTheme="minorHAnsi" w:hAnsiTheme="minorHAnsi" w:cstheme="minorBidi"/>
          <w:lang w:val="en-US"/>
        </w:rPr>
      </w:pPr>
      <w:r w:rsidRPr="00947CB7">
        <w:rPr>
          <w:rFonts w:asciiTheme="minorHAnsi" w:eastAsiaTheme="minorHAnsi" w:hAnsiTheme="minorHAnsi" w:cstheme="minorBidi"/>
          <w:lang w:val="en-US"/>
        </w:rPr>
        <w:t xml:space="preserve">The amendments do not change the underlying principles of the standard, just clarify and offer some additional transition relief.  </w:t>
      </w:r>
    </w:p>
    <w:p w14:paraId="3E96836E" w14:textId="77777777" w:rsidR="00BF495C" w:rsidRPr="00947CB7" w:rsidRDefault="00BF495C" w:rsidP="00BF495C">
      <w:pPr>
        <w:spacing w:after="0" w:line="240" w:lineRule="auto"/>
        <w:ind w:left="708"/>
        <w:rPr>
          <w:rFonts w:asciiTheme="minorHAnsi" w:eastAsiaTheme="minorHAnsi" w:hAnsiTheme="minorHAnsi" w:cstheme="minorBidi"/>
          <w:lang w:val="en-US"/>
        </w:rPr>
      </w:pPr>
    </w:p>
    <w:p w14:paraId="2F3CD68C" w14:textId="77777777" w:rsidR="00BF495C" w:rsidRPr="00947CB7" w:rsidRDefault="00BF495C" w:rsidP="00BF495C">
      <w:pPr>
        <w:tabs>
          <w:tab w:val="left" w:pos="426"/>
        </w:tabs>
        <w:spacing w:after="0" w:line="240" w:lineRule="auto"/>
        <w:ind w:left="709"/>
        <w:jc w:val="both"/>
        <w:rPr>
          <w:rFonts w:asciiTheme="minorHAnsi" w:eastAsia="Times New Roman" w:hAnsiTheme="minorHAnsi" w:cs="Arial"/>
          <w:lang w:val="en-US"/>
        </w:rPr>
      </w:pPr>
      <w:r w:rsidRPr="00947CB7">
        <w:rPr>
          <w:rFonts w:asciiTheme="minorHAnsi" w:eastAsia="Times New Roman" w:hAnsiTheme="minorHAnsi" w:cs="Arial"/>
          <w:lang w:val="en-US"/>
        </w:rPr>
        <w:t>The standard 15 does not apply to financial instruments and other contractual rights or obligations within the scope of IAS 39 Financial Instruments: Recognition and Measurement, i.e. IFRS 9 Financial Instruments, IFRS 10 Consolidated Financial Statements, IFRS 11 Joint Arrangements, IAS 27 Separate Financial Statements and IAS 28 Investments in Associates and Joint Ventures, insurance contracts within the scope of IFRS 4 Insurance Contracts, and consequently it will not affect the Group after the initial application.</w:t>
      </w:r>
    </w:p>
    <w:p w14:paraId="39DB0359" w14:textId="77777777" w:rsidR="00BF495C" w:rsidRDefault="00BF495C" w:rsidP="008D2F72">
      <w:pPr>
        <w:tabs>
          <w:tab w:val="left" w:pos="8640"/>
        </w:tabs>
        <w:spacing w:after="0" w:line="240" w:lineRule="auto"/>
        <w:ind w:left="720" w:right="57"/>
        <w:jc w:val="both"/>
        <w:rPr>
          <w:rFonts w:asciiTheme="minorHAnsi" w:eastAsia="Times New Roman" w:hAnsiTheme="minorHAnsi"/>
          <w:lang w:val="hr-HR"/>
        </w:rPr>
      </w:pPr>
    </w:p>
    <w:p w14:paraId="4DCAB6B3" w14:textId="2DF2E622" w:rsidR="00AC0D7B" w:rsidRPr="00947CB7" w:rsidRDefault="00AC0D7B" w:rsidP="00AC0D7B">
      <w:pPr>
        <w:numPr>
          <w:ilvl w:val="0"/>
          <w:numId w:val="48"/>
        </w:numPr>
        <w:tabs>
          <w:tab w:val="left" w:pos="709"/>
        </w:tabs>
        <w:spacing w:after="0" w:line="240" w:lineRule="auto"/>
        <w:ind w:left="709" w:hanging="425"/>
        <w:contextualSpacing/>
        <w:jc w:val="both"/>
        <w:rPr>
          <w:rFonts w:asciiTheme="minorHAnsi" w:eastAsia="Times New Roman" w:hAnsiTheme="minorHAnsi" w:cs="Arial"/>
          <w:lang w:val="hr-HR"/>
        </w:rPr>
      </w:pPr>
      <w:r w:rsidRPr="00947CB7">
        <w:rPr>
          <w:rFonts w:asciiTheme="minorHAnsi" w:eastAsia="Times New Roman" w:hAnsiTheme="minorHAnsi" w:cs="Arial"/>
          <w:lang w:val="en-US"/>
        </w:rPr>
        <w:t xml:space="preserve">Amendments to IFRS 4 Insurance Contracts - Applying IFRS 9 Financial Instruments with IFRS 4 (effective for periods beginning on or after 1 January 2018, adopted in the European Union </w:t>
      </w:r>
      <w:r>
        <w:rPr>
          <w:rFonts w:asciiTheme="minorHAnsi" w:eastAsia="Times New Roman" w:hAnsiTheme="minorHAnsi" w:cs="Arial"/>
          <w:lang w:val="en-US"/>
        </w:rPr>
        <w:t>on 9 November 2017</w:t>
      </w:r>
      <w:r w:rsidRPr="00947CB7">
        <w:rPr>
          <w:rFonts w:asciiTheme="minorHAnsi" w:eastAsia="Times New Roman" w:hAnsiTheme="minorHAnsi" w:cs="Arial"/>
          <w:lang w:val="en-US"/>
        </w:rPr>
        <w:t xml:space="preserve">) – the Amendments to existing requirements—IFRS 4 </w:t>
      </w:r>
      <w:r w:rsidRPr="00947CB7">
        <w:rPr>
          <w:rFonts w:asciiTheme="minorHAnsi" w:eastAsia="Times New Roman" w:hAnsiTheme="minorHAnsi" w:cs="Arial"/>
          <w:i/>
          <w:iCs/>
          <w:lang w:val="en-US"/>
        </w:rPr>
        <w:t>Insurance Contracts</w:t>
      </w:r>
      <w:r w:rsidRPr="00947CB7">
        <w:rPr>
          <w:rFonts w:asciiTheme="minorHAnsi" w:eastAsia="Times New Roman" w:hAnsiTheme="minorHAnsi" w:cs="Arial"/>
          <w:lang w:val="en-US"/>
        </w:rPr>
        <w:t xml:space="preserve">: </w:t>
      </w:r>
    </w:p>
    <w:p w14:paraId="74CFD5E1" w14:textId="77777777" w:rsidR="00AC0D7B" w:rsidRPr="00166751" w:rsidRDefault="00AC0D7B" w:rsidP="00AC0D7B">
      <w:pPr>
        <w:numPr>
          <w:ilvl w:val="0"/>
          <w:numId w:val="3"/>
        </w:numPr>
        <w:tabs>
          <w:tab w:val="clear" w:pos="1080"/>
          <w:tab w:val="left" w:pos="709"/>
          <w:tab w:val="num" w:pos="1134"/>
        </w:tabs>
        <w:spacing w:after="0" w:line="240" w:lineRule="auto"/>
        <w:ind w:hanging="229"/>
        <w:contextualSpacing/>
        <w:jc w:val="both"/>
        <w:rPr>
          <w:rFonts w:asciiTheme="minorHAnsi" w:eastAsia="Times New Roman" w:hAnsiTheme="minorHAnsi" w:cs="Arial"/>
          <w:b/>
          <w:bCs/>
          <w:sz w:val="19"/>
          <w:szCs w:val="20"/>
          <w:lang w:val="hr-HR"/>
        </w:rPr>
      </w:pPr>
      <w:r w:rsidRPr="0087374F">
        <w:rPr>
          <w:rFonts w:asciiTheme="minorHAnsi" w:eastAsia="Times New Roman" w:hAnsiTheme="minorHAnsi" w:cs="Arial"/>
          <w:lang w:val="en-US"/>
        </w:rPr>
        <w:t>the „temporary exemption“ - permit entities whose predominant activities are connected with insurance to defer the application of IFRS 9 until 2021; and</w:t>
      </w:r>
    </w:p>
    <w:p w14:paraId="7AC4AC90" w14:textId="77777777" w:rsidR="00AC0D7B" w:rsidRDefault="00AC0D7B" w:rsidP="00AC0D7B">
      <w:pPr>
        <w:tabs>
          <w:tab w:val="left" w:pos="709"/>
        </w:tabs>
        <w:spacing w:after="0" w:line="240" w:lineRule="auto"/>
        <w:ind w:left="1080"/>
        <w:contextualSpacing/>
        <w:jc w:val="both"/>
        <w:rPr>
          <w:rFonts w:asciiTheme="minorHAnsi" w:eastAsia="Times New Roman" w:hAnsiTheme="minorHAnsi" w:cs="Arial"/>
          <w:b/>
          <w:bCs/>
          <w:sz w:val="19"/>
          <w:szCs w:val="20"/>
          <w:lang w:val="hr-HR"/>
        </w:rPr>
        <w:sectPr w:rsidR="00AC0D7B" w:rsidSect="00C862C5">
          <w:footerReference w:type="default" r:id="rId49"/>
          <w:pgSz w:w="11907" w:h="16840"/>
          <w:pgMar w:top="1418" w:right="1134" w:bottom="1134" w:left="1701" w:header="851" w:footer="851" w:gutter="0"/>
          <w:cols w:space="720"/>
        </w:sectPr>
      </w:pPr>
    </w:p>
    <w:p w14:paraId="4A41300E" w14:textId="77777777" w:rsidR="00AC0D7B" w:rsidRDefault="00AC0D7B" w:rsidP="006B318F">
      <w:pPr>
        <w:keepNext/>
        <w:tabs>
          <w:tab w:val="left" w:pos="426"/>
        </w:tabs>
        <w:spacing w:after="0" w:line="240" w:lineRule="auto"/>
        <w:jc w:val="both"/>
        <w:rPr>
          <w:rFonts w:eastAsia="Times New Roman" w:cs="Arial"/>
          <w:b/>
          <w:bCs/>
        </w:rPr>
      </w:pPr>
    </w:p>
    <w:p w14:paraId="4BA0EBA5" w14:textId="64CA1409" w:rsidR="00AC0D7B" w:rsidRPr="006B318F" w:rsidRDefault="00AC0D7B">
      <w:pPr>
        <w:pStyle w:val="ListParagraph"/>
        <w:keepNext/>
        <w:numPr>
          <w:ilvl w:val="0"/>
          <w:numId w:val="101"/>
        </w:numPr>
        <w:tabs>
          <w:tab w:val="left" w:pos="426"/>
        </w:tabs>
        <w:spacing w:after="0" w:line="240" w:lineRule="auto"/>
        <w:jc w:val="both"/>
        <w:rPr>
          <w:rFonts w:eastAsia="Times New Roman" w:cs="Arial"/>
          <w:b/>
          <w:bCs/>
        </w:rPr>
      </w:pPr>
      <w:r w:rsidRPr="006B318F">
        <w:rPr>
          <w:rFonts w:eastAsia="Times New Roman" w:cs="Arial"/>
          <w:b/>
          <w:bCs/>
        </w:rPr>
        <w:t>Summary of significant accounting policies (continued)</w:t>
      </w:r>
    </w:p>
    <w:p w14:paraId="777D08E2" w14:textId="77777777" w:rsidR="00AC0D7B" w:rsidRPr="007E6640" w:rsidRDefault="00AC0D7B" w:rsidP="00AC0D7B">
      <w:pPr>
        <w:pStyle w:val="ListParagraph"/>
        <w:keepNext/>
        <w:tabs>
          <w:tab w:val="left" w:pos="426"/>
        </w:tabs>
        <w:spacing w:after="0" w:line="240" w:lineRule="auto"/>
        <w:jc w:val="both"/>
        <w:rPr>
          <w:rFonts w:eastAsia="Times New Roman" w:cs="Arial"/>
          <w:b/>
          <w:bCs/>
          <w:sz w:val="20"/>
          <w:szCs w:val="20"/>
        </w:rPr>
      </w:pPr>
    </w:p>
    <w:p w14:paraId="12CAAE2E" w14:textId="77777777" w:rsidR="00AC0D7B" w:rsidRPr="00166751" w:rsidRDefault="00AC0D7B" w:rsidP="00AC0D7B">
      <w:pPr>
        <w:pStyle w:val="ListParagraph"/>
        <w:numPr>
          <w:ilvl w:val="1"/>
          <w:numId w:val="101"/>
        </w:numPr>
        <w:tabs>
          <w:tab w:val="left" w:pos="284"/>
          <w:tab w:val="left" w:pos="426"/>
        </w:tabs>
        <w:spacing w:after="0" w:line="240" w:lineRule="auto"/>
        <w:jc w:val="both"/>
        <w:rPr>
          <w:rFonts w:eastAsia="Times New Roman" w:cs="Arial"/>
          <w:b/>
        </w:rPr>
      </w:pPr>
      <w:r w:rsidRPr="00166751">
        <w:rPr>
          <w:rFonts w:eastAsia="Times New Roman" w:cs="Arial"/>
          <w:b/>
        </w:rPr>
        <w:t xml:space="preserve"> </w:t>
      </w:r>
      <w:r>
        <w:rPr>
          <w:rFonts w:eastAsia="Times New Roman" w:cs="Arial"/>
          <w:b/>
        </w:rPr>
        <w:t xml:space="preserve"> </w:t>
      </w:r>
      <w:r w:rsidRPr="00166751">
        <w:rPr>
          <w:rFonts w:eastAsia="Times New Roman" w:cs="Arial"/>
          <w:b/>
        </w:rPr>
        <w:t>Adoption of new and amended International Financial Reporting Standards (continued):</w:t>
      </w:r>
    </w:p>
    <w:p w14:paraId="0488D9BB" w14:textId="77777777" w:rsidR="00AC0D7B" w:rsidRPr="007E6640" w:rsidRDefault="00AC0D7B" w:rsidP="00AC0D7B">
      <w:pPr>
        <w:pStyle w:val="ListParagraph"/>
        <w:spacing w:after="0" w:line="240" w:lineRule="auto"/>
        <w:jc w:val="both"/>
        <w:rPr>
          <w:rFonts w:asciiTheme="minorHAnsi" w:eastAsia="Times New Roman" w:hAnsiTheme="minorHAnsi" w:cs="Arial"/>
          <w:sz w:val="20"/>
          <w:szCs w:val="20"/>
        </w:rPr>
      </w:pPr>
    </w:p>
    <w:p w14:paraId="2A9B1417" w14:textId="77777777" w:rsidR="00AC0D7B" w:rsidRPr="00166751" w:rsidRDefault="00AC0D7B" w:rsidP="00AC0D7B">
      <w:pPr>
        <w:tabs>
          <w:tab w:val="left" w:pos="709"/>
        </w:tabs>
        <w:spacing w:after="0" w:line="240" w:lineRule="auto"/>
        <w:ind w:left="284" w:hanging="284"/>
        <w:jc w:val="both"/>
        <w:rPr>
          <w:rFonts w:asciiTheme="minorHAnsi" w:eastAsia="Times New Roman" w:hAnsiTheme="minorHAnsi" w:cs="Arial"/>
          <w:i/>
          <w:lang w:val="hr-HR"/>
        </w:rPr>
      </w:pPr>
      <w:r>
        <w:rPr>
          <w:rFonts w:asciiTheme="minorHAnsi" w:eastAsia="Times New Roman" w:hAnsiTheme="minorHAnsi" w:cs="Arial"/>
          <w:bCs/>
          <w:i/>
        </w:rPr>
        <w:t>c</w:t>
      </w:r>
      <w:r w:rsidRPr="00166751">
        <w:rPr>
          <w:rFonts w:asciiTheme="minorHAnsi" w:eastAsia="Times New Roman" w:hAnsiTheme="minorHAnsi" w:cs="Arial"/>
          <w:bCs/>
          <w:i/>
        </w:rPr>
        <w:t>)</w:t>
      </w:r>
      <w:r>
        <w:rPr>
          <w:rFonts w:asciiTheme="minorHAnsi" w:eastAsia="Times New Roman" w:hAnsiTheme="minorHAnsi" w:cs="Arial"/>
          <w:bCs/>
          <w:i/>
        </w:rPr>
        <w:t xml:space="preserve"> </w:t>
      </w:r>
      <w:r w:rsidRPr="00166751">
        <w:rPr>
          <w:rFonts w:asciiTheme="minorHAnsi" w:eastAsia="Times New Roman" w:hAnsiTheme="minorHAnsi" w:cs="Arial"/>
          <w:bCs/>
          <w:i/>
        </w:rPr>
        <w:t xml:space="preserve"> </w:t>
      </w:r>
      <w:r>
        <w:rPr>
          <w:rFonts w:asciiTheme="minorHAnsi" w:eastAsia="Times New Roman" w:hAnsiTheme="minorHAnsi" w:cs="Arial"/>
          <w:bCs/>
          <w:i/>
        </w:rPr>
        <w:t xml:space="preserve"> </w:t>
      </w:r>
      <w:r w:rsidRPr="00166751">
        <w:rPr>
          <w:rFonts w:asciiTheme="minorHAnsi" w:eastAsia="Times New Roman" w:hAnsiTheme="minorHAnsi" w:cs="Arial"/>
          <w:bCs/>
          <w:i/>
        </w:rPr>
        <w:t xml:space="preserve">New and amended International Financial Reporting Standards not </w:t>
      </w:r>
      <w:r w:rsidRPr="00166751">
        <w:rPr>
          <w:rFonts w:ascii="Arial" w:eastAsia="Times New Roman" w:hAnsi="Arial" w:cs="Arial"/>
          <w:bCs/>
          <w:i/>
          <w:sz w:val="19"/>
          <w:szCs w:val="19"/>
        </w:rPr>
        <w:t xml:space="preserve">effective in </w:t>
      </w:r>
      <w:r w:rsidRPr="00166751">
        <w:rPr>
          <w:rFonts w:asciiTheme="minorHAnsi" w:eastAsia="Times New Roman" w:hAnsiTheme="minorHAnsi" w:cs="Arial"/>
          <w:bCs/>
          <w:i/>
        </w:rPr>
        <w:t>the reporting period and adopted in the European Union with the assessment of impact on the financial statements (continued)</w:t>
      </w:r>
      <w:r w:rsidRPr="00166751">
        <w:rPr>
          <w:rFonts w:asciiTheme="minorHAnsi" w:eastAsia="Times New Roman" w:hAnsiTheme="minorHAnsi" w:cs="Arial"/>
          <w:i/>
          <w:lang w:val="hr-HR"/>
        </w:rPr>
        <w:t>:</w:t>
      </w:r>
    </w:p>
    <w:p w14:paraId="325D3921" w14:textId="77777777" w:rsidR="00AC0D7B" w:rsidRDefault="00AC0D7B" w:rsidP="006B318F">
      <w:pPr>
        <w:tabs>
          <w:tab w:val="left" w:pos="709"/>
        </w:tabs>
        <w:spacing w:after="0" w:line="240" w:lineRule="auto"/>
        <w:contextualSpacing/>
        <w:rPr>
          <w:rFonts w:asciiTheme="minorHAnsi" w:eastAsia="Times New Roman" w:hAnsiTheme="minorHAnsi" w:cs="Arial"/>
          <w:b/>
          <w:bCs/>
          <w:sz w:val="19"/>
          <w:szCs w:val="20"/>
          <w:lang w:val="hr-HR"/>
        </w:rPr>
      </w:pPr>
    </w:p>
    <w:p w14:paraId="79D1892D" w14:textId="1C239F50" w:rsidR="00AC0D7B" w:rsidRPr="006B318F" w:rsidRDefault="00AC0D7B" w:rsidP="006B318F">
      <w:pPr>
        <w:pStyle w:val="ListParagraph"/>
        <w:numPr>
          <w:ilvl w:val="0"/>
          <w:numId w:val="110"/>
        </w:numPr>
        <w:tabs>
          <w:tab w:val="left" w:pos="709"/>
        </w:tabs>
        <w:spacing w:after="0" w:line="240" w:lineRule="auto"/>
        <w:jc w:val="both"/>
        <w:rPr>
          <w:rFonts w:asciiTheme="minorHAnsi" w:eastAsia="Times New Roman" w:hAnsiTheme="minorHAnsi" w:cs="Arial"/>
          <w:sz w:val="24"/>
          <w:szCs w:val="24"/>
          <w:lang w:val="en-US"/>
        </w:rPr>
      </w:pPr>
      <w:r w:rsidRPr="006B318F">
        <w:rPr>
          <w:rFonts w:asciiTheme="minorHAnsi" w:eastAsia="Times New Roman" w:hAnsiTheme="minorHAnsi" w:cs="Arial"/>
          <w:lang w:val="en-US"/>
        </w:rPr>
        <w:t xml:space="preserve">the „overlay approach“ - permits all issuers of insurance contracts to </w:t>
      </w:r>
      <w:proofErr w:type="spellStart"/>
      <w:r w:rsidRPr="006B318F">
        <w:rPr>
          <w:rFonts w:asciiTheme="minorHAnsi" w:eastAsia="Times New Roman" w:hAnsiTheme="minorHAnsi" w:cs="Arial"/>
          <w:lang w:val="en-US"/>
        </w:rPr>
        <w:t>recognise</w:t>
      </w:r>
      <w:proofErr w:type="spellEnd"/>
      <w:r w:rsidRPr="006B318F">
        <w:rPr>
          <w:rFonts w:asciiTheme="minorHAnsi" w:eastAsia="Times New Roman" w:hAnsiTheme="minorHAnsi" w:cs="Arial"/>
          <w:lang w:val="en-US"/>
        </w:rPr>
        <w:t xml:space="preserve"> in other comprehensive income, rather than profit or loss, the volatility that could arise when IFRS 9 is applied before the new insurance contracts Standard is issued</w:t>
      </w:r>
      <w:r w:rsidRPr="006B318F">
        <w:rPr>
          <w:rFonts w:asciiTheme="minorHAnsi" w:eastAsia="Times New Roman" w:hAnsiTheme="minorHAnsi" w:cs="Arial"/>
          <w:sz w:val="24"/>
          <w:szCs w:val="24"/>
          <w:lang w:val="en-US"/>
        </w:rPr>
        <w:t>.</w:t>
      </w:r>
    </w:p>
    <w:p w14:paraId="76888F9C" w14:textId="77777777" w:rsidR="00AC0D7B" w:rsidRPr="00947CB7" w:rsidRDefault="00AC0D7B" w:rsidP="00AC0D7B">
      <w:pPr>
        <w:spacing w:after="0" w:line="240" w:lineRule="auto"/>
        <w:ind w:left="720" w:hanging="360"/>
        <w:jc w:val="both"/>
        <w:rPr>
          <w:rFonts w:asciiTheme="minorHAnsi" w:eastAsia="Times New Roman" w:hAnsiTheme="minorHAnsi" w:cs="Arial"/>
          <w:lang w:val="en-US"/>
        </w:rPr>
      </w:pPr>
    </w:p>
    <w:p w14:paraId="25BFF94E" w14:textId="3498B056" w:rsidR="00BF495C" w:rsidRPr="00947CB7" w:rsidRDefault="00AC0D7B">
      <w:pPr>
        <w:tabs>
          <w:tab w:val="left" w:pos="8640"/>
        </w:tabs>
        <w:spacing w:after="0" w:line="240" w:lineRule="auto"/>
        <w:ind w:left="720" w:right="57"/>
        <w:jc w:val="both"/>
        <w:rPr>
          <w:rFonts w:asciiTheme="minorHAnsi" w:eastAsia="Times New Roman" w:hAnsiTheme="minorHAnsi"/>
          <w:lang w:val="hr-HR"/>
        </w:rPr>
      </w:pPr>
      <w:r w:rsidRPr="00947CB7">
        <w:rPr>
          <w:rFonts w:asciiTheme="minorHAnsi" w:eastAsia="Times New Roman" w:hAnsiTheme="minorHAnsi"/>
        </w:rPr>
        <w:t>Temporary exemption has been granted to the subsidiary company – the HKO Group – owing to immateriality and will be applied from 1 January 2018 to 1 January 2021, i.e. the start of the implementation of the new insurance contracts Standard, unless otherwise determined by the Croatian Financial Services Supervisory Agency (HANFA).</w:t>
      </w:r>
    </w:p>
    <w:p w14:paraId="112274CB" w14:textId="77777777" w:rsidR="008D2F72" w:rsidRDefault="008D2F72" w:rsidP="006B318F">
      <w:pPr>
        <w:tabs>
          <w:tab w:val="left" w:pos="1134"/>
        </w:tabs>
        <w:suppressAutoHyphens/>
        <w:autoSpaceDN w:val="0"/>
        <w:spacing w:after="0" w:line="240" w:lineRule="auto"/>
        <w:jc w:val="both"/>
        <w:textAlignment w:val="baseline"/>
        <w:rPr>
          <w:rFonts w:asciiTheme="minorHAnsi" w:eastAsia="Times New Roman" w:hAnsiTheme="minorHAnsi" w:cs="Verdana"/>
          <w:lang w:val="hr-HR" w:eastAsia="hr-HR"/>
        </w:rPr>
      </w:pPr>
    </w:p>
    <w:p w14:paraId="71E750A2" w14:textId="77777777" w:rsidR="00544A04" w:rsidRPr="00F25503" w:rsidRDefault="00544A04" w:rsidP="006B318F">
      <w:pPr>
        <w:pStyle w:val="ListParagraph"/>
        <w:numPr>
          <w:ilvl w:val="0"/>
          <w:numId w:val="100"/>
        </w:numPr>
        <w:tabs>
          <w:tab w:val="left" w:pos="709"/>
        </w:tabs>
        <w:spacing w:after="0" w:line="240" w:lineRule="auto"/>
        <w:ind w:left="426" w:hanging="426"/>
        <w:jc w:val="both"/>
        <w:rPr>
          <w:rFonts w:asciiTheme="minorHAnsi" w:eastAsia="Times New Roman" w:hAnsiTheme="minorHAnsi" w:cs="Arial"/>
          <w:i/>
          <w:lang w:val="hr-HR"/>
        </w:rPr>
      </w:pPr>
      <w:r w:rsidRPr="00F25503">
        <w:rPr>
          <w:rFonts w:asciiTheme="minorHAnsi" w:eastAsia="Times New Roman" w:hAnsiTheme="minorHAnsi" w:cs="Arial"/>
          <w:bCs/>
          <w:i/>
        </w:rPr>
        <w:t>New and amended International Financial Reporting Standards</w:t>
      </w:r>
      <w:r>
        <w:rPr>
          <w:rFonts w:asciiTheme="minorHAnsi" w:eastAsia="Times New Roman" w:hAnsiTheme="minorHAnsi" w:cs="Arial"/>
          <w:bCs/>
          <w:i/>
        </w:rPr>
        <w:t xml:space="preserve"> that become </w:t>
      </w:r>
      <w:r w:rsidRPr="00F25503">
        <w:rPr>
          <w:rFonts w:ascii="Arial" w:eastAsia="Times New Roman" w:hAnsi="Arial" w:cs="Arial"/>
          <w:bCs/>
          <w:i/>
          <w:sz w:val="19"/>
          <w:szCs w:val="19"/>
        </w:rPr>
        <w:t>effective</w:t>
      </w:r>
      <w:r>
        <w:rPr>
          <w:rFonts w:ascii="Arial" w:eastAsia="Times New Roman" w:hAnsi="Arial" w:cs="Arial"/>
          <w:bCs/>
          <w:i/>
          <w:sz w:val="19"/>
          <w:szCs w:val="19"/>
        </w:rPr>
        <w:t xml:space="preserve"> after </w:t>
      </w:r>
      <w:r w:rsidRPr="00F25503">
        <w:rPr>
          <w:rFonts w:asciiTheme="minorHAnsi" w:eastAsia="Times New Roman" w:hAnsiTheme="minorHAnsi" w:cs="Arial"/>
          <w:bCs/>
          <w:i/>
        </w:rPr>
        <w:t>the reporting period</w:t>
      </w:r>
      <w:r>
        <w:rPr>
          <w:rFonts w:asciiTheme="minorHAnsi" w:eastAsia="Times New Roman" w:hAnsiTheme="minorHAnsi" w:cs="Arial"/>
          <w:bCs/>
          <w:i/>
        </w:rPr>
        <w:t>,</w:t>
      </w:r>
      <w:r w:rsidRPr="00F25503">
        <w:rPr>
          <w:rFonts w:asciiTheme="minorHAnsi" w:eastAsia="Times New Roman" w:hAnsiTheme="minorHAnsi" w:cs="Arial"/>
          <w:bCs/>
          <w:i/>
        </w:rPr>
        <w:t xml:space="preserve"> and </w:t>
      </w:r>
      <w:r>
        <w:rPr>
          <w:rFonts w:asciiTheme="minorHAnsi" w:eastAsia="Times New Roman" w:hAnsiTheme="minorHAnsi" w:cs="Arial"/>
          <w:bCs/>
          <w:i/>
        </w:rPr>
        <w:t xml:space="preserve">that </w:t>
      </w:r>
      <w:r w:rsidR="006A1FAD">
        <w:rPr>
          <w:rFonts w:asciiTheme="minorHAnsi" w:eastAsia="Times New Roman" w:hAnsiTheme="minorHAnsi" w:cs="Arial"/>
          <w:bCs/>
          <w:i/>
        </w:rPr>
        <w:t>h</w:t>
      </w:r>
      <w:r>
        <w:rPr>
          <w:rFonts w:asciiTheme="minorHAnsi" w:eastAsia="Times New Roman" w:hAnsiTheme="minorHAnsi" w:cs="Arial"/>
          <w:bCs/>
          <w:i/>
        </w:rPr>
        <w:t xml:space="preserve">ave not been </w:t>
      </w:r>
      <w:r w:rsidRPr="00F25503">
        <w:rPr>
          <w:rFonts w:asciiTheme="minorHAnsi" w:eastAsia="Times New Roman" w:hAnsiTheme="minorHAnsi" w:cs="Arial"/>
          <w:bCs/>
          <w:i/>
        </w:rPr>
        <w:t xml:space="preserve">adopted in the European Union </w:t>
      </w:r>
      <w:r>
        <w:rPr>
          <w:rFonts w:asciiTheme="minorHAnsi" w:eastAsia="Times New Roman" w:hAnsiTheme="minorHAnsi" w:cs="Arial"/>
          <w:bCs/>
          <w:i/>
        </w:rPr>
        <w:t>yet</w:t>
      </w:r>
      <w:r w:rsidRPr="00F25503">
        <w:rPr>
          <w:rFonts w:asciiTheme="minorHAnsi" w:eastAsia="Times New Roman" w:hAnsiTheme="minorHAnsi" w:cs="Arial"/>
          <w:i/>
          <w:lang w:val="hr-HR"/>
        </w:rPr>
        <w:t>:</w:t>
      </w:r>
    </w:p>
    <w:p w14:paraId="520D3C3B" w14:textId="77777777" w:rsidR="00544A04" w:rsidRDefault="00544A04" w:rsidP="00166751">
      <w:pPr>
        <w:tabs>
          <w:tab w:val="left" w:pos="1134"/>
        </w:tabs>
        <w:suppressAutoHyphens/>
        <w:autoSpaceDN w:val="0"/>
        <w:spacing w:after="0" w:line="240" w:lineRule="auto"/>
        <w:ind w:left="1134"/>
        <w:jc w:val="both"/>
        <w:textAlignment w:val="baseline"/>
        <w:rPr>
          <w:rFonts w:asciiTheme="minorHAnsi" w:eastAsia="Times New Roman" w:hAnsiTheme="minorHAnsi"/>
          <w:lang w:val="en-US"/>
        </w:rPr>
      </w:pPr>
    </w:p>
    <w:p w14:paraId="60CC7421" w14:textId="77777777" w:rsidR="00E70C43" w:rsidRPr="00947CB7" w:rsidRDefault="00E70C43" w:rsidP="00E70C43">
      <w:pPr>
        <w:numPr>
          <w:ilvl w:val="0"/>
          <w:numId w:val="10"/>
        </w:numPr>
        <w:spacing w:after="0" w:line="240" w:lineRule="auto"/>
        <w:contextualSpacing/>
        <w:jc w:val="both"/>
        <w:rPr>
          <w:rFonts w:asciiTheme="minorHAnsi" w:eastAsia="Times New Roman" w:hAnsiTheme="minorHAnsi" w:cs="Arial"/>
          <w:lang w:val="en-US"/>
        </w:rPr>
      </w:pPr>
      <w:r w:rsidRPr="00947CB7">
        <w:rPr>
          <w:rFonts w:asciiTheme="minorHAnsi" w:eastAsia="Times New Roman" w:hAnsiTheme="minorHAnsi" w:cs="Arial"/>
          <w:lang w:val="en-US"/>
        </w:rPr>
        <w:t>Amended IFRS 10 Consolidated Financial Statements and IAS 28 Investments in Associates and Joint Ventures (application deferred for an indefinite period) dealing with the sale or contribution of assets between an investor and its associate or joint venture in the way that, in a transaction involving an associate or a joint venture, the extend of gain or loss recognition depends on whether the assets sold or contributed constitute a business.</w:t>
      </w:r>
    </w:p>
    <w:p w14:paraId="1E9007E2" w14:textId="77777777" w:rsidR="00E70C43" w:rsidRDefault="00E70C43" w:rsidP="00E70C43">
      <w:pPr>
        <w:spacing w:after="0" w:line="240" w:lineRule="auto"/>
        <w:ind w:left="720"/>
        <w:jc w:val="both"/>
        <w:rPr>
          <w:rFonts w:asciiTheme="minorHAnsi" w:eastAsia="Times New Roman" w:hAnsiTheme="minorHAnsi" w:cs="Arial"/>
          <w:lang w:val="en-US"/>
        </w:rPr>
      </w:pPr>
      <w:r w:rsidRPr="00947CB7">
        <w:rPr>
          <w:rFonts w:asciiTheme="minorHAnsi" w:eastAsia="Times New Roman" w:hAnsiTheme="minorHAnsi" w:cs="Arial"/>
          <w:lang w:val="en-US"/>
        </w:rPr>
        <w:t>The Group shall apply the above amendments if such a transaction arises in the period after the start of the standard application.</w:t>
      </w:r>
    </w:p>
    <w:p w14:paraId="168B202D" w14:textId="77777777" w:rsidR="00E70C43" w:rsidRDefault="00E70C43" w:rsidP="00E70C43">
      <w:pPr>
        <w:spacing w:after="0" w:line="240" w:lineRule="auto"/>
        <w:ind w:left="720"/>
        <w:jc w:val="both"/>
        <w:rPr>
          <w:rFonts w:asciiTheme="minorHAnsi" w:eastAsia="Times New Roman" w:hAnsiTheme="minorHAnsi" w:cs="Arial"/>
          <w:lang w:val="en-US"/>
        </w:rPr>
      </w:pPr>
    </w:p>
    <w:p w14:paraId="755774E9" w14:textId="77777777" w:rsidR="00AC0D7B" w:rsidRPr="00947CB7" w:rsidRDefault="00AC0D7B" w:rsidP="00AC0D7B">
      <w:pPr>
        <w:numPr>
          <w:ilvl w:val="0"/>
          <w:numId w:val="62"/>
        </w:numPr>
        <w:spacing w:after="0" w:line="240" w:lineRule="auto"/>
        <w:ind w:left="567" w:hanging="283"/>
        <w:jc w:val="both"/>
        <w:rPr>
          <w:rFonts w:asciiTheme="minorHAnsi" w:eastAsia="Times New Roman" w:hAnsiTheme="minorHAnsi"/>
          <w:lang w:val="en" w:eastAsia="hr-HR"/>
        </w:rPr>
      </w:pPr>
      <w:r w:rsidRPr="00947CB7">
        <w:rPr>
          <w:rFonts w:asciiTheme="minorHAnsi" w:eastAsia="Times New Roman" w:hAnsiTheme="minorHAnsi"/>
          <w:bCs/>
          <w:kern w:val="3"/>
          <w:u w:val="single"/>
          <w:lang w:val="en" w:eastAsia="hr-HR"/>
        </w:rPr>
        <w:t>Annual improvements 2014-2016</w:t>
      </w:r>
      <w:r w:rsidRPr="00947CB7">
        <w:rPr>
          <w:rFonts w:asciiTheme="minorHAnsi" w:eastAsia="Times New Roman" w:hAnsiTheme="minorHAnsi"/>
          <w:bCs/>
          <w:kern w:val="3"/>
          <w:lang w:val="en" w:eastAsia="hr-HR"/>
        </w:rPr>
        <w:t xml:space="preserve"> - </w:t>
      </w:r>
      <w:r w:rsidRPr="00947CB7">
        <w:rPr>
          <w:rFonts w:asciiTheme="minorHAnsi" w:eastAsia="Times New Roman" w:hAnsiTheme="minorHAnsi"/>
          <w:lang w:val="en" w:eastAsia="hr-HR"/>
        </w:rPr>
        <w:t>The primary objective of the process is to enhance the quality of standards, by amending existing IFRSs to clarify guidance and wording, or to correct for relatively minor unintended consequences, conflicts or oversights.</w:t>
      </w:r>
    </w:p>
    <w:p w14:paraId="372CFED0" w14:textId="77777777" w:rsidR="00AC0D7B" w:rsidRPr="00947CB7" w:rsidRDefault="00AC0D7B" w:rsidP="00AC0D7B">
      <w:pPr>
        <w:spacing w:after="0" w:line="240" w:lineRule="auto"/>
        <w:ind w:firstLine="567"/>
        <w:jc w:val="both"/>
        <w:rPr>
          <w:rFonts w:asciiTheme="minorHAnsi" w:eastAsia="Times New Roman" w:hAnsiTheme="minorHAnsi"/>
          <w:lang w:val="en-US" w:eastAsia="hr-HR"/>
        </w:rPr>
      </w:pPr>
      <w:r w:rsidRPr="00947CB7">
        <w:rPr>
          <w:rFonts w:asciiTheme="minorHAnsi" w:eastAsia="Times New Roman" w:hAnsiTheme="minorHAnsi"/>
          <w:lang w:val="en-US" w:eastAsia="hr-HR"/>
        </w:rPr>
        <w:t>The issues included in this cycle are:</w:t>
      </w:r>
    </w:p>
    <w:p w14:paraId="54384841" w14:textId="77777777" w:rsidR="00AC0D7B" w:rsidRPr="00947CB7" w:rsidRDefault="00AC0D7B" w:rsidP="00AC0D7B">
      <w:pPr>
        <w:spacing w:after="0" w:line="240" w:lineRule="auto"/>
        <w:ind w:firstLine="567"/>
        <w:jc w:val="both"/>
        <w:rPr>
          <w:rFonts w:asciiTheme="minorHAnsi" w:eastAsia="Times New Roman" w:hAnsiTheme="minorHAnsi"/>
          <w:lang w:val="en-US" w:eastAsia="hr-HR"/>
        </w:rPr>
      </w:pPr>
    </w:p>
    <w:p w14:paraId="0E38C586" w14:textId="77777777" w:rsidR="00AC0D7B" w:rsidRDefault="00AC0D7B" w:rsidP="00AC0D7B">
      <w:pPr>
        <w:pStyle w:val="ListParagraph"/>
        <w:numPr>
          <w:ilvl w:val="0"/>
          <w:numId w:val="62"/>
        </w:numPr>
        <w:tabs>
          <w:tab w:val="left" w:pos="1134"/>
        </w:tabs>
        <w:suppressAutoHyphens/>
        <w:autoSpaceDN w:val="0"/>
        <w:spacing w:after="0" w:line="240" w:lineRule="auto"/>
        <w:ind w:left="1418" w:hanging="284"/>
        <w:jc w:val="both"/>
        <w:textAlignment w:val="baseline"/>
        <w:rPr>
          <w:rFonts w:asciiTheme="minorHAnsi" w:eastAsia="Times New Roman" w:hAnsiTheme="minorHAnsi"/>
          <w:lang w:val="en-US"/>
        </w:rPr>
      </w:pPr>
      <w:r w:rsidRPr="00166751">
        <w:rPr>
          <w:rFonts w:asciiTheme="minorHAnsi" w:eastAsia="Times New Roman" w:hAnsiTheme="minorHAnsi"/>
          <w:lang w:val="en-US"/>
        </w:rPr>
        <w:t xml:space="preserve">IFRS 1 </w:t>
      </w:r>
      <w:r w:rsidRPr="00166751">
        <w:rPr>
          <w:rFonts w:asciiTheme="minorHAnsi" w:eastAsia="Times New Roman" w:hAnsiTheme="minorHAnsi"/>
          <w:bCs/>
          <w:iCs/>
          <w:lang w:val="en-US"/>
        </w:rPr>
        <w:t xml:space="preserve">First-time </w:t>
      </w:r>
      <w:r>
        <w:rPr>
          <w:rFonts w:asciiTheme="minorHAnsi" w:eastAsia="Times New Roman" w:hAnsiTheme="minorHAnsi"/>
          <w:bCs/>
          <w:iCs/>
          <w:lang w:val="en-US"/>
        </w:rPr>
        <w:t>Application</w:t>
      </w:r>
      <w:r w:rsidRPr="00166751">
        <w:rPr>
          <w:rFonts w:asciiTheme="minorHAnsi" w:eastAsia="Times New Roman" w:hAnsiTheme="minorHAnsi"/>
          <w:bCs/>
          <w:iCs/>
          <w:lang w:val="en-US"/>
        </w:rPr>
        <w:t xml:space="preserve"> of International Financial Reporting Standards </w:t>
      </w:r>
      <w:r w:rsidRPr="00166751">
        <w:rPr>
          <w:rFonts w:asciiTheme="minorHAnsi" w:eastAsia="Times New Roman" w:hAnsiTheme="minorHAnsi" w:cs="Arial"/>
          <w:lang w:val="en-US"/>
        </w:rPr>
        <w:t>(effective for periods beginning on or after 1 January 2018, but have not been adopted in the European Union yet)</w:t>
      </w:r>
      <w:r w:rsidRPr="00166751">
        <w:rPr>
          <w:rFonts w:asciiTheme="minorHAnsi" w:eastAsia="Times New Roman" w:hAnsiTheme="minorHAnsi"/>
          <w:lang w:val="en-US"/>
        </w:rPr>
        <w:t xml:space="preserve">: </w:t>
      </w:r>
      <w:r w:rsidRPr="00166751">
        <w:rPr>
          <w:rFonts w:asciiTheme="minorHAnsi" w:eastAsia="Times New Roman" w:hAnsiTheme="minorHAnsi"/>
          <w:lang w:val="en-US" w:eastAsia="hr-HR"/>
        </w:rPr>
        <w:t>Deleted</w:t>
      </w:r>
      <w:r w:rsidRPr="00166751">
        <w:rPr>
          <w:rFonts w:asciiTheme="minorHAnsi" w:eastAsia="Times New Roman" w:hAnsiTheme="minorHAnsi"/>
          <w:lang w:val="en-US"/>
        </w:rPr>
        <w:t xml:space="preserve"> the short-term exemptions </w:t>
      </w:r>
      <w:r w:rsidRPr="00166751">
        <w:rPr>
          <w:rFonts w:asciiTheme="minorHAnsi" w:eastAsia="Times New Roman" w:hAnsiTheme="minorHAnsi"/>
          <w:lang w:val="en-US" w:eastAsia="hr-HR"/>
        </w:rPr>
        <w:t>in para</w:t>
      </w:r>
      <w:r w:rsidRPr="00166751">
        <w:rPr>
          <w:rFonts w:asciiTheme="minorHAnsi" w:eastAsia="Times New Roman" w:hAnsiTheme="minorHAnsi"/>
          <w:lang w:val="en-US" w:eastAsia="hr-HR"/>
        </w:rPr>
        <w:softHyphen/>
        <w:t>graphs E3–E7 of IFRS 1, because they have now served their intended purpose</w:t>
      </w:r>
      <w:r w:rsidRPr="00166751">
        <w:rPr>
          <w:rFonts w:asciiTheme="minorHAnsi" w:eastAsia="Times New Roman" w:hAnsiTheme="minorHAnsi"/>
          <w:lang w:val="en-US"/>
        </w:rPr>
        <w:t xml:space="preserve">. </w:t>
      </w:r>
    </w:p>
    <w:p w14:paraId="32FE6C57" w14:textId="77777777" w:rsidR="00AC0D7B" w:rsidRDefault="00AC0D7B" w:rsidP="00AC0D7B">
      <w:pPr>
        <w:pStyle w:val="ListParagraph"/>
        <w:tabs>
          <w:tab w:val="left" w:pos="1134"/>
        </w:tabs>
        <w:suppressAutoHyphens/>
        <w:autoSpaceDN w:val="0"/>
        <w:spacing w:after="0" w:line="240" w:lineRule="auto"/>
        <w:ind w:left="1418"/>
        <w:jc w:val="both"/>
        <w:textAlignment w:val="baseline"/>
        <w:rPr>
          <w:rFonts w:asciiTheme="minorHAnsi" w:eastAsia="Times New Roman" w:hAnsiTheme="minorHAnsi"/>
          <w:lang w:val="en-US"/>
        </w:rPr>
      </w:pPr>
    </w:p>
    <w:p w14:paraId="658F0418" w14:textId="77777777" w:rsidR="00AC0D7B" w:rsidRPr="00947CB7" w:rsidRDefault="00AC0D7B" w:rsidP="00AC0D7B">
      <w:pPr>
        <w:pStyle w:val="ListParagraph"/>
        <w:numPr>
          <w:ilvl w:val="0"/>
          <w:numId w:val="62"/>
        </w:numPr>
        <w:spacing w:after="0" w:line="240" w:lineRule="auto"/>
        <w:ind w:left="1418" w:hanging="284"/>
        <w:jc w:val="both"/>
        <w:rPr>
          <w:lang w:val="en-US"/>
        </w:rPr>
      </w:pPr>
      <w:r>
        <w:rPr>
          <w:rFonts w:asciiTheme="minorHAnsi" w:eastAsia="Times New Roman" w:hAnsiTheme="minorHAnsi"/>
          <w:lang w:val="en-US"/>
        </w:rPr>
        <w:t>IAS 28 Investments in Associates</w:t>
      </w:r>
      <w:r w:rsidRPr="00E70C43">
        <w:rPr>
          <w:bCs/>
          <w:iCs/>
          <w:lang w:val="en-US"/>
        </w:rPr>
        <w:t xml:space="preserve"> </w:t>
      </w:r>
      <w:r w:rsidRPr="00947CB7">
        <w:rPr>
          <w:bCs/>
          <w:iCs/>
          <w:lang w:val="en-US"/>
        </w:rPr>
        <w:t xml:space="preserve">and Joint Ventures </w:t>
      </w:r>
      <w:r w:rsidRPr="00947CB7">
        <w:rPr>
          <w:rFonts w:cs="Arial"/>
          <w:lang w:val="en-US"/>
        </w:rPr>
        <w:t>(effective for periods beginning on or after 1 January 2018, but have not been adopted in the European Union yet)</w:t>
      </w:r>
      <w:r w:rsidRPr="00947CB7">
        <w:rPr>
          <w:lang w:val="en-US"/>
        </w:rPr>
        <w:t xml:space="preserve">: </w:t>
      </w:r>
      <w:r w:rsidRPr="00947CB7">
        <w:rPr>
          <w:lang w:val="en-US" w:eastAsia="hr-HR"/>
        </w:rPr>
        <w:t>Clarified that the election to measure at fair value through profit or loss an investment in an associate or a joint venture that is held by an entity that is a venture capital organization, or other qualifying entity, is available for each investment in an associate or joint venture on an investment-by-investment basis, upon initial recognition.</w:t>
      </w:r>
    </w:p>
    <w:p w14:paraId="4BD1CE11" w14:textId="77777777" w:rsidR="00AC0D7B" w:rsidRPr="00947CB7" w:rsidRDefault="00AC0D7B" w:rsidP="00E70C43">
      <w:pPr>
        <w:spacing w:after="0" w:line="240" w:lineRule="auto"/>
        <w:ind w:left="720"/>
        <w:jc w:val="both"/>
        <w:rPr>
          <w:rFonts w:asciiTheme="minorHAnsi" w:eastAsia="Times New Roman" w:hAnsiTheme="minorHAnsi" w:cs="Arial"/>
          <w:lang w:val="en-US"/>
        </w:rPr>
      </w:pPr>
    </w:p>
    <w:p w14:paraId="1183744D" w14:textId="77777777" w:rsidR="00E70C43" w:rsidRDefault="00E70C43" w:rsidP="00E70C43">
      <w:pPr>
        <w:tabs>
          <w:tab w:val="left" w:pos="1134"/>
        </w:tabs>
        <w:suppressAutoHyphens/>
        <w:autoSpaceDN w:val="0"/>
        <w:spacing w:after="0" w:line="240" w:lineRule="auto"/>
        <w:ind w:left="1134" w:hanging="425"/>
        <w:jc w:val="both"/>
        <w:textAlignment w:val="baseline"/>
        <w:rPr>
          <w:rFonts w:asciiTheme="minorHAnsi" w:eastAsia="Times New Roman" w:hAnsiTheme="minorHAnsi" w:cs="Arial"/>
          <w:lang w:val="en-US"/>
        </w:rPr>
        <w:sectPr w:rsidR="00E70C43" w:rsidSect="00C862C5">
          <w:footerReference w:type="default" r:id="rId50"/>
          <w:pgSz w:w="11907" w:h="16840"/>
          <w:pgMar w:top="1418" w:right="1134" w:bottom="1134" w:left="1701" w:header="851" w:footer="851" w:gutter="0"/>
          <w:cols w:space="720"/>
        </w:sectPr>
      </w:pPr>
    </w:p>
    <w:p w14:paraId="7B11711B" w14:textId="77777777" w:rsidR="00AB228E" w:rsidRDefault="00AB228E" w:rsidP="00166751">
      <w:pPr>
        <w:keepNext/>
        <w:tabs>
          <w:tab w:val="left" w:pos="851"/>
        </w:tabs>
        <w:spacing w:after="0" w:line="240" w:lineRule="auto"/>
        <w:jc w:val="both"/>
        <w:rPr>
          <w:rFonts w:eastAsia="Times New Roman" w:cs="Arial"/>
          <w:b/>
          <w:bCs/>
        </w:rPr>
      </w:pPr>
    </w:p>
    <w:p w14:paraId="672D0F6B" w14:textId="77777777" w:rsidR="00E70C43" w:rsidRPr="00166751" w:rsidRDefault="00AB228E" w:rsidP="00166751">
      <w:pPr>
        <w:keepNext/>
        <w:tabs>
          <w:tab w:val="left" w:pos="851"/>
        </w:tabs>
        <w:spacing w:after="0" w:line="240" w:lineRule="auto"/>
        <w:jc w:val="both"/>
        <w:rPr>
          <w:rFonts w:eastAsia="Times New Roman" w:cs="Arial"/>
          <w:b/>
          <w:bCs/>
        </w:rPr>
      </w:pPr>
      <w:r w:rsidRPr="00AB228E">
        <w:rPr>
          <w:rFonts w:eastAsia="Times New Roman" w:cs="Arial"/>
          <w:b/>
          <w:bCs/>
        </w:rPr>
        <w:t>3.</w:t>
      </w:r>
      <w:r>
        <w:rPr>
          <w:rFonts w:eastAsia="Times New Roman" w:cs="Arial"/>
          <w:b/>
          <w:bCs/>
        </w:rPr>
        <w:t xml:space="preserve">    </w:t>
      </w:r>
      <w:r w:rsidR="00E70C43" w:rsidRPr="00166751">
        <w:rPr>
          <w:rFonts w:eastAsia="Times New Roman" w:cs="Arial"/>
          <w:b/>
          <w:bCs/>
        </w:rPr>
        <w:t>Summary of significant accounting policies (continued)</w:t>
      </w:r>
    </w:p>
    <w:p w14:paraId="46B56A64" w14:textId="77777777" w:rsidR="00E70C43" w:rsidRPr="007E6640" w:rsidRDefault="00E70C43" w:rsidP="00E70C43">
      <w:pPr>
        <w:pStyle w:val="ListParagraph"/>
        <w:keepNext/>
        <w:tabs>
          <w:tab w:val="left" w:pos="426"/>
        </w:tabs>
        <w:spacing w:after="0" w:line="240" w:lineRule="auto"/>
        <w:jc w:val="both"/>
        <w:rPr>
          <w:rFonts w:eastAsia="Times New Roman" w:cs="Arial"/>
          <w:b/>
          <w:bCs/>
          <w:sz w:val="20"/>
          <w:szCs w:val="20"/>
        </w:rPr>
      </w:pPr>
    </w:p>
    <w:p w14:paraId="38BF5519" w14:textId="77777777" w:rsidR="00E70C43" w:rsidRPr="00166751" w:rsidRDefault="00E70C43" w:rsidP="00166751">
      <w:pPr>
        <w:tabs>
          <w:tab w:val="left" w:pos="284"/>
          <w:tab w:val="left" w:pos="426"/>
        </w:tabs>
        <w:spacing w:after="0" w:line="240" w:lineRule="auto"/>
        <w:jc w:val="both"/>
        <w:rPr>
          <w:rFonts w:eastAsia="Times New Roman" w:cs="Arial"/>
          <w:b/>
        </w:rPr>
      </w:pPr>
      <w:r>
        <w:rPr>
          <w:rFonts w:eastAsia="Times New Roman" w:cs="Arial"/>
          <w:b/>
        </w:rPr>
        <w:t>3.2</w:t>
      </w:r>
      <w:proofErr w:type="gramStart"/>
      <w:r>
        <w:rPr>
          <w:rFonts w:eastAsia="Times New Roman" w:cs="Arial"/>
          <w:b/>
        </w:rPr>
        <w:t>.</w:t>
      </w:r>
      <w:r w:rsidRPr="00166751">
        <w:rPr>
          <w:rFonts w:eastAsia="Times New Roman" w:cs="Arial"/>
          <w:b/>
        </w:rPr>
        <w:t xml:space="preserve">  Adoption</w:t>
      </w:r>
      <w:proofErr w:type="gramEnd"/>
      <w:r w:rsidRPr="00166751">
        <w:rPr>
          <w:rFonts w:eastAsia="Times New Roman" w:cs="Arial"/>
          <w:b/>
        </w:rPr>
        <w:t xml:space="preserve"> of new and amended International Financial Reporting Standards (continued):</w:t>
      </w:r>
    </w:p>
    <w:p w14:paraId="1F306099" w14:textId="77777777" w:rsidR="00E70C43" w:rsidRDefault="00E70C43" w:rsidP="00E70C43">
      <w:pPr>
        <w:tabs>
          <w:tab w:val="left" w:pos="1134"/>
        </w:tabs>
        <w:suppressAutoHyphens/>
        <w:autoSpaceDN w:val="0"/>
        <w:spacing w:after="0" w:line="240" w:lineRule="auto"/>
        <w:ind w:left="1134"/>
        <w:jc w:val="both"/>
        <w:textAlignment w:val="baseline"/>
        <w:rPr>
          <w:rFonts w:asciiTheme="minorHAnsi" w:eastAsia="Times New Roman" w:hAnsiTheme="minorHAnsi" w:cs="Verdana"/>
          <w:lang w:val="hr-HR" w:eastAsia="hr-HR"/>
        </w:rPr>
      </w:pPr>
    </w:p>
    <w:p w14:paraId="05D7B1C3" w14:textId="2717D2D1" w:rsidR="00E70C43" w:rsidRDefault="0022355A" w:rsidP="006B318F">
      <w:pPr>
        <w:tabs>
          <w:tab w:val="left" w:pos="709"/>
        </w:tabs>
        <w:spacing w:after="0" w:line="240" w:lineRule="auto"/>
        <w:jc w:val="both"/>
        <w:rPr>
          <w:rFonts w:asciiTheme="minorHAnsi" w:eastAsia="Times New Roman" w:hAnsiTheme="minorHAnsi"/>
          <w:lang w:val="en-US"/>
        </w:rPr>
      </w:pPr>
      <w:r>
        <w:rPr>
          <w:rFonts w:asciiTheme="minorHAnsi" w:eastAsia="Times New Roman" w:hAnsiTheme="minorHAnsi" w:cs="Arial"/>
          <w:bCs/>
          <w:i/>
        </w:rPr>
        <w:t xml:space="preserve">d) </w:t>
      </w:r>
      <w:r w:rsidR="00E70C43" w:rsidRPr="006B318F">
        <w:rPr>
          <w:rFonts w:asciiTheme="minorHAnsi" w:eastAsia="Times New Roman" w:hAnsiTheme="minorHAnsi" w:cs="Arial"/>
          <w:bCs/>
          <w:i/>
        </w:rPr>
        <w:t xml:space="preserve">New and amended International Financial Reporting Standards that become </w:t>
      </w:r>
      <w:r w:rsidR="00E70C43" w:rsidRPr="006B318F">
        <w:rPr>
          <w:rFonts w:ascii="Arial" w:eastAsia="Times New Roman" w:hAnsi="Arial" w:cs="Arial"/>
          <w:bCs/>
          <w:i/>
          <w:sz w:val="19"/>
          <w:szCs w:val="19"/>
        </w:rPr>
        <w:t xml:space="preserve">effective after </w:t>
      </w:r>
      <w:r w:rsidR="00E70C43" w:rsidRPr="006B318F">
        <w:rPr>
          <w:rFonts w:asciiTheme="minorHAnsi" w:eastAsia="Times New Roman" w:hAnsiTheme="minorHAnsi" w:cs="Arial"/>
          <w:bCs/>
          <w:i/>
        </w:rPr>
        <w:t>the reporting period, and that nave not been adopted in the European Union yet (continued)</w:t>
      </w:r>
      <w:r w:rsidR="00E70C43" w:rsidRPr="006B318F">
        <w:rPr>
          <w:rFonts w:asciiTheme="minorHAnsi" w:eastAsia="Times New Roman" w:hAnsiTheme="minorHAnsi" w:cs="Arial"/>
          <w:i/>
          <w:lang w:val="hr-HR"/>
        </w:rPr>
        <w:t>:</w:t>
      </w:r>
    </w:p>
    <w:p w14:paraId="2B424784" w14:textId="77777777" w:rsidR="00E70C43" w:rsidRDefault="00E70C43" w:rsidP="00166751">
      <w:pPr>
        <w:pStyle w:val="ListParagraph"/>
        <w:tabs>
          <w:tab w:val="left" w:pos="1134"/>
        </w:tabs>
        <w:suppressAutoHyphens/>
        <w:autoSpaceDN w:val="0"/>
        <w:spacing w:after="0" w:line="240" w:lineRule="auto"/>
        <w:ind w:left="1418"/>
        <w:jc w:val="both"/>
        <w:textAlignment w:val="baseline"/>
        <w:rPr>
          <w:rFonts w:asciiTheme="minorHAnsi" w:eastAsia="Times New Roman" w:hAnsiTheme="minorHAnsi"/>
          <w:lang w:val="en-US"/>
        </w:rPr>
      </w:pPr>
    </w:p>
    <w:p w14:paraId="28BE4AA0" w14:textId="77777777" w:rsidR="00AB228E" w:rsidRPr="00947CB7" w:rsidRDefault="00AB228E" w:rsidP="00AB228E">
      <w:pPr>
        <w:numPr>
          <w:ilvl w:val="0"/>
          <w:numId w:val="48"/>
        </w:numPr>
        <w:tabs>
          <w:tab w:val="left" w:pos="709"/>
        </w:tabs>
        <w:spacing w:after="0" w:line="240" w:lineRule="auto"/>
        <w:ind w:left="709" w:hanging="425"/>
        <w:contextualSpacing/>
        <w:jc w:val="both"/>
        <w:rPr>
          <w:rFonts w:asciiTheme="minorHAnsi" w:eastAsia="Times New Roman" w:hAnsiTheme="minorHAnsi" w:cs="Arial"/>
          <w:color w:val="222222"/>
          <w:lang w:val="en-US" w:eastAsia="hr-HR"/>
        </w:rPr>
      </w:pPr>
      <w:r w:rsidRPr="00947CB7">
        <w:rPr>
          <w:rFonts w:asciiTheme="minorHAnsi" w:eastAsia="Times New Roman" w:hAnsiTheme="minorHAnsi" w:cs="Arial"/>
          <w:lang w:val="en-US"/>
        </w:rPr>
        <w:t>Changes and amendments to IFRS 2 Share-Based Payment (effective for periods beginning on or after 1 January 2018, but have not been adopted in the European Union yet) – issued clarifications of IFRS 2 regarding the classification and measurement of share-based payment transactions.</w:t>
      </w:r>
    </w:p>
    <w:p w14:paraId="2741B464" w14:textId="77777777" w:rsidR="00AB228E" w:rsidRPr="00947CB7" w:rsidRDefault="00AB228E" w:rsidP="00AB228E">
      <w:pPr>
        <w:tabs>
          <w:tab w:val="left" w:pos="426"/>
        </w:tabs>
        <w:spacing w:after="0" w:line="240" w:lineRule="auto"/>
        <w:jc w:val="both"/>
        <w:rPr>
          <w:rFonts w:asciiTheme="minorHAnsi" w:eastAsia="Times New Roman" w:hAnsiTheme="minorHAnsi" w:cs="Arial"/>
          <w:lang w:val="en-US"/>
        </w:rPr>
      </w:pPr>
      <w:r w:rsidRPr="00947CB7">
        <w:rPr>
          <w:rFonts w:asciiTheme="minorHAnsi" w:eastAsia="Times New Roman" w:hAnsiTheme="minorHAnsi" w:cs="Arial"/>
          <w:lang w:val="en-US"/>
        </w:rPr>
        <w:tab/>
      </w:r>
      <w:r w:rsidRPr="00947CB7">
        <w:rPr>
          <w:rFonts w:asciiTheme="minorHAnsi" w:eastAsia="Times New Roman" w:hAnsiTheme="minorHAnsi" w:cs="Arial"/>
          <w:lang w:val="en-US"/>
        </w:rPr>
        <w:tab/>
        <w:t>This amendment will not affect the Group after the initial application.</w:t>
      </w:r>
    </w:p>
    <w:p w14:paraId="2D5A59AA" w14:textId="77777777" w:rsidR="0022355A" w:rsidRPr="00947CB7" w:rsidRDefault="0022355A" w:rsidP="006B318F">
      <w:pPr>
        <w:spacing w:after="0" w:line="240" w:lineRule="auto"/>
        <w:jc w:val="both"/>
        <w:rPr>
          <w:rFonts w:asciiTheme="minorHAnsi" w:eastAsia="Times New Roman" w:hAnsiTheme="minorHAnsi"/>
        </w:rPr>
      </w:pPr>
    </w:p>
    <w:p w14:paraId="7E2EA585" w14:textId="77777777" w:rsidR="0022355A" w:rsidRPr="00947CB7" w:rsidRDefault="0022355A" w:rsidP="0022355A">
      <w:pPr>
        <w:numPr>
          <w:ilvl w:val="0"/>
          <w:numId w:val="61"/>
        </w:numPr>
        <w:spacing w:after="0" w:line="240" w:lineRule="auto"/>
        <w:jc w:val="both"/>
        <w:rPr>
          <w:rFonts w:asciiTheme="minorHAnsi" w:eastAsia="Times New Roman" w:hAnsiTheme="minorHAnsi"/>
          <w:lang w:val="en-US"/>
        </w:rPr>
      </w:pPr>
      <w:r w:rsidRPr="00947CB7">
        <w:rPr>
          <w:rFonts w:asciiTheme="minorHAnsi" w:eastAsia="Times New Roman" w:hAnsiTheme="minorHAnsi"/>
          <w:lang w:val="en"/>
        </w:rPr>
        <w:t xml:space="preserve">New interpretation - IFRIC 22 Foreign Currency Transactions and Advance Consideration </w:t>
      </w:r>
      <w:r w:rsidRPr="00947CB7">
        <w:rPr>
          <w:rFonts w:asciiTheme="minorHAnsi" w:eastAsia="Times New Roman" w:hAnsiTheme="minorHAnsi" w:cs="Arial"/>
          <w:lang w:val="en-US"/>
        </w:rPr>
        <w:t>(effective for periods beginning on or after 1 January 2018, but have not been adopted in the European Union yet)</w:t>
      </w:r>
      <w:r w:rsidRPr="00947CB7">
        <w:rPr>
          <w:rFonts w:asciiTheme="minorHAnsi" w:eastAsia="Times New Roman" w:hAnsiTheme="minorHAnsi"/>
          <w:lang w:val="en"/>
        </w:rPr>
        <w:t xml:space="preserve"> – </w:t>
      </w:r>
      <w:r w:rsidRPr="00947CB7">
        <w:rPr>
          <w:rFonts w:asciiTheme="minorHAnsi" w:eastAsia="Times New Roman" w:hAnsiTheme="minorHAnsi"/>
          <w:lang w:val="en" w:eastAsia="hr-HR"/>
        </w:rPr>
        <w:t>clarifies the accounting for transactions that include the receipt or payment of advance consideration in a foreign currency.</w:t>
      </w:r>
    </w:p>
    <w:p w14:paraId="5E90EC8E" w14:textId="77777777" w:rsidR="0022355A" w:rsidRPr="00947CB7" w:rsidRDefault="0022355A" w:rsidP="0022355A">
      <w:pPr>
        <w:spacing w:after="0" w:line="240" w:lineRule="auto"/>
        <w:ind w:left="720"/>
        <w:jc w:val="both"/>
        <w:rPr>
          <w:rFonts w:asciiTheme="minorHAnsi" w:eastAsia="Times New Roman" w:hAnsiTheme="minorHAnsi"/>
          <w:lang w:val="en" w:eastAsia="hr-HR"/>
        </w:rPr>
      </w:pPr>
      <w:r w:rsidRPr="00947CB7">
        <w:rPr>
          <w:rFonts w:asciiTheme="minorHAnsi" w:eastAsia="Times New Roman" w:hAnsiTheme="minorHAnsi"/>
          <w:lang w:val="en" w:eastAsia="hr-HR"/>
        </w:rPr>
        <w:t>The In</w:t>
      </w:r>
      <w:r w:rsidRPr="00947CB7">
        <w:rPr>
          <w:rFonts w:asciiTheme="minorHAnsi" w:eastAsia="Times New Roman" w:hAnsiTheme="minorHAnsi"/>
          <w:lang w:val="en" w:eastAsia="hr-HR"/>
        </w:rPr>
        <w:softHyphen/>
        <w:t>ter</w:t>
      </w:r>
      <w:r w:rsidRPr="00947CB7">
        <w:rPr>
          <w:rFonts w:asciiTheme="minorHAnsi" w:eastAsia="Times New Roman" w:hAnsiTheme="minorHAnsi"/>
          <w:lang w:val="en" w:eastAsia="hr-HR"/>
        </w:rPr>
        <w:softHyphen/>
        <w:t>pre</w:t>
      </w:r>
      <w:r w:rsidRPr="00947CB7">
        <w:rPr>
          <w:rFonts w:asciiTheme="minorHAnsi" w:eastAsia="Times New Roman" w:hAnsiTheme="minorHAnsi"/>
          <w:lang w:val="en" w:eastAsia="hr-HR"/>
        </w:rPr>
        <w:softHyphen/>
        <w:t>ta</w:t>
      </w:r>
      <w:r w:rsidRPr="00947CB7">
        <w:rPr>
          <w:rFonts w:asciiTheme="minorHAnsi" w:eastAsia="Times New Roman" w:hAnsiTheme="minorHAnsi"/>
          <w:lang w:val="en" w:eastAsia="hr-HR"/>
        </w:rPr>
        <w:softHyphen/>
        <w:t>tion covers foreign currency trans</w:t>
      </w:r>
      <w:r w:rsidRPr="00947CB7">
        <w:rPr>
          <w:rFonts w:asciiTheme="minorHAnsi" w:eastAsia="Times New Roman" w:hAnsiTheme="minorHAnsi"/>
          <w:lang w:val="en" w:eastAsia="hr-HR"/>
        </w:rPr>
        <w:softHyphen/>
        <w:t>ac</w:t>
      </w:r>
      <w:r w:rsidRPr="00947CB7">
        <w:rPr>
          <w:rFonts w:asciiTheme="minorHAnsi" w:eastAsia="Times New Roman" w:hAnsiTheme="minorHAnsi"/>
          <w:lang w:val="en" w:eastAsia="hr-HR"/>
        </w:rPr>
        <w:softHyphen/>
        <w:t xml:space="preserve">tions when an entity </w:t>
      </w:r>
      <w:proofErr w:type="spellStart"/>
      <w:r w:rsidRPr="00947CB7">
        <w:rPr>
          <w:rFonts w:asciiTheme="minorHAnsi" w:eastAsia="Times New Roman" w:hAnsiTheme="minorHAnsi"/>
          <w:lang w:val="en" w:eastAsia="hr-HR"/>
        </w:rPr>
        <w:t>recogni</w:t>
      </w:r>
      <w:r>
        <w:rPr>
          <w:rFonts w:asciiTheme="minorHAnsi" w:eastAsia="Times New Roman" w:hAnsiTheme="minorHAnsi"/>
          <w:lang w:val="en" w:eastAsia="hr-HR"/>
        </w:rPr>
        <w:t>s</w:t>
      </w:r>
      <w:r w:rsidRPr="00947CB7">
        <w:rPr>
          <w:rFonts w:asciiTheme="minorHAnsi" w:eastAsia="Times New Roman" w:hAnsiTheme="minorHAnsi"/>
          <w:lang w:val="en" w:eastAsia="hr-HR"/>
        </w:rPr>
        <w:t>es</w:t>
      </w:r>
      <w:proofErr w:type="spellEnd"/>
      <w:r w:rsidRPr="00947CB7">
        <w:rPr>
          <w:rFonts w:asciiTheme="minorHAnsi" w:eastAsia="Times New Roman" w:hAnsiTheme="minorHAnsi"/>
          <w:lang w:val="en" w:eastAsia="hr-HR"/>
        </w:rPr>
        <w:t xml:space="preserve"> a non-monetary asset or non-monetary liability arising from the payment or receipt of advance consideration before the entity </w:t>
      </w:r>
      <w:proofErr w:type="spellStart"/>
      <w:r w:rsidRPr="00947CB7">
        <w:rPr>
          <w:rFonts w:asciiTheme="minorHAnsi" w:eastAsia="Times New Roman" w:hAnsiTheme="minorHAnsi"/>
          <w:lang w:val="en" w:eastAsia="hr-HR"/>
        </w:rPr>
        <w:t>recogni</w:t>
      </w:r>
      <w:r>
        <w:rPr>
          <w:rFonts w:asciiTheme="minorHAnsi" w:eastAsia="Times New Roman" w:hAnsiTheme="minorHAnsi"/>
          <w:lang w:val="en" w:eastAsia="hr-HR"/>
        </w:rPr>
        <w:t>s</w:t>
      </w:r>
      <w:r w:rsidRPr="00947CB7">
        <w:rPr>
          <w:rFonts w:asciiTheme="minorHAnsi" w:eastAsia="Times New Roman" w:hAnsiTheme="minorHAnsi"/>
          <w:lang w:val="en" w:eastAsia="hr-HR"/>
        </w:rPr>
        <w:t>es</w:t>
      </w:r>
      <w:proofErr w:type="spellEnd"/>
      <w:r w:rsidRPr="00947CB7">
        <w:rPr>
          <w:rFonts w:asciiTheme="minorHAnsi" w:eastAsia="Times New Roman" w:hAnsiTheme="minorHAnsi"/>
          <w:lang w:val="en" w:eastAsia="hr-HR"/>
        </w:rPr>
        <w:t xml:space="preserve"> the related asset, expense or income. It does not apply when an entity measures the related asset, expense or income on initial recognition at fair value or at the fair value of the consideration received or payed at a date other than the date of initial recognition of the non-monetary asset or non-monetary liability. Also, the Interpretation need not be applied to income taxes, insurance contracts or reinsurance contracts.</w:t>
      </w:r>
    </w:p>
    <w:p w14:paraId="78CFEC8F" w14:textId="77777777" w:rsidR="0022355A" w:rsidRPr="00947CB7" w:rsidRDefault="0022355A" w:rsidP="0022355A">
      <w:pPr>
        <w:spacing w:after="0" w:line="240" w:lineRule="auto"/>
        <w:ind w:firstLine="720"/>
        <w:rPr>
          <w:rFonts w:asciiTheme="minorHAnsi" w:eastAsia="Times New Roman" w:hAnsiTheme="minorHAnsi"/>
          <w:lang w:val="en" w:eastAsia="hr-HR"/>
        </w:rPr>
      </w:pPr>
    </w:p>
    <w:p w14:paraId="5BB31625" w14:textId="77777777" w:rsidR="0022355A" w:rsidRPr="00947CB7" w:rsidRDefault="0022355A" w:rsidP="0022355A">
      <w:pPr>
        <w:spacing w:after="0" w:line="240" w:lineRule="auto"/>
        <w:ind w:firstLine="720"/>
        <w:rPr>
          <w:rFonts w:asciiTheme="minorHAnsi" w:eastAsia="Times New Roman" w:hAnsiTheme="minorHAnsi"/>
          <w:lang w:val="en" w:eastAsia="hr-HR"/>
        </w:rPr>
      </w:pPr>
      <w:r w:rsidRPr="00947CB7">
        <w:rPr>
          <w:rFonts w:asciiTheme="minorHAnsi" w:eastAsia="Times New Roman" w:hAnsiTheme="minorHAnsi"/>
          <w:lang w:val="en" w:eastAsia="hr-HR"/>
        </w:rPr>
        <w:t>The In</w:t>
      </w:r>
      <w:r w:rsidRPr="00947CB7">
        <w:rPr>
          <w:rFonts w:asciiTheme="minorHAnsi" w:eastAsia="Times New Roman" w:hAnsiTheme="minorHAnsi"/>
          <w:lang w:val="en" w:eastAsia="hr-HR"/>
        </w:rPr>
        <w:softHyphen/>
        <w:t>ter</w:t>
      </w:r>
      <w:r w:rsidRPr="00947CB7">
        <w:rPr>
          <w:rFonts w:asciiTheme="minorHAnsi" w:eastAsia="Times New Roman" w:hAnsiTheme="minorHAnsi"/>
          <w:lang w:val="en" w:eastAsia="hr-HR"/>
        </w:rPr>
        <w:softHyphen/>
        <w:t>pre</w:t>
      </w:r>
      <w:r w:rsidRPr="00947CB7">
        <w:rPr>
          <w:rFonts w:asciiTheme="minorHAnsi" w:eastAsia="Times New Roman" w:hAnsiTheme="minorHAnsi"/>
          <w:lang w:val="en" w:eastAsia="hr-HR"/>
        </w:rPr>
        <w:softHyphen/>
        <w:t>ta</w:t>
      </w:r>
      <w:r w:rsidRPr="00947CB7">
        <w:rPr>
          <w:rFonts w:asciiTheme="minorHAnsi" w:eastAsia="Times New Roman" w:hAnsiTheme="minorHAnsi"/>
          <w:lang w:val="en" w:eastAsia="hr-HR"/>
        </w:rPr>
        <w:softHyphen/>
        <w:t>tions Committee came to the following con</w:t>
      </w:r>
      <w:r w:rsidRPr="00947CB7">
        <w:rPr>
          <w:rFonts w:asciiTheme="minorHAnsi" w:eastAsia="Times New Roman" w:hAnsiTheme="minorHAnsi"/>
          <w:lang w:val="en" w:eastAsia="hr-HR"/>
        </w:rPr>
        <w:softHyphen/>
        <w:t>clu</w:t>
      </w:r>
      <w:r w:rsidRPr="00947CB7">
        <w:rPr>
          <w:rFonts w:asciiTheme="minorHAnsi" w:eastAsia="Times New Roman" w:hAnsiTheme="minorHAnsi"/>
          <w:lang w:val="en" w:eastAsia="hr-HR"/>
        </w:rPr>
        <w:softHyphen/>
        <w:t>sion:</w:t>
      </w:r>
    </w:p>
    <w:p w14:paraId="00656E60" w14:textId="77777777" w:rsidR="0022355A" w:rsidRDefault="0022355A" w:rsidP="0022355A">
      <w:pPr>
        <w:numPr>
          <w:ilvl w:val="0"/>
          <w:numId w:val="74"/>
        </w:numPr>
        <w:suppressAutoHyphens/>
        <w:autoSpaceDN w:val="0"/>
        <w:spacing w:after="0" w:line="240" w:lineRule="auto"/>
        <w:ind w:left="1418"/>
        <w:jc w:val="both"/>
        <w:textAlignment w:val="baseline"/>
        <w:rPr>
          <w:rFonts w:asciiTheme="minorHAnsi" w:eastAsia="Times New Roman" w:hAnsiTheme="minorHAnsi"/>
          <w:lang w:val="en" w:eastAsia="hr-HR"/>
        </w:rPr>
      </w:pPr>
      <w:r w:rsidRPr="00947CB7">
        <w:rPr>
          <w:rFonts w:asciiTheme="minorHAnsi" w:eastAsia="Times New Roman" w:hAnsiTheme="minorHAnsi"/>
          <w:lang w:val="en" w:eastAsia="hr-HR"/>
        </w:rPr>
        <w:t>The date of the trans</w:t>
      </w:r>
      <w:r w:rsidRPr="00947CB7">
        <w:rPr>
          <w:rFonts w:asciiTheme="minorHAnsi" w:eastAsia="Times New Roman" w:hAnsiTheme="minorHAnsi"/>
          <w:lang w:val="en" w:eastAsia="hr-HR"/>
        </w:rPr>
        <w:softHyphen/>
        <w:t>ac</w:t>
      </w:r>
      <w:r w:rsidRPr="00947CB7">
        <w:rPr>
          <w:rFonts w:asciiTheme="minorHAnsi" w:eastAsia="Times New Roman" w:hAnsiTheme="minorHAnsi"/>
          <w:lang w:val="en" w:eastAsia="hr-HR"/>
        </w:rPr>
        <w:softHyphen/>
        <w:t>tion, for the purpose of determining the exchange rate, is the date of initial recognition of the non-monetary prepayment asset or deferred income liability.</w:t>
      </w:r>
    </w:p>
    <w:p w14:paraId="0BF234D2" w14:textId="4E47FFB0" w:rsidR="0022355A" w:rsidRPr="0022355A" w:rsidRDefault="0022355A" w:rsidP="006B318F">
      <w:pPr>
        <w:numPr>
          <w:ilvl w:val="0"/>
          <w:numId w:val="74"/>
        </w:numPr>
        <w:suppressAutoHyphens/>
        <w:autoSpaceDN w:val="0"/>
        <w:spacing w:after="0" w:line="240" w:lineRule="auto"/>
        <w:ind w:left="1418"/>
        <w:jc w:val="both"/>
        <w:textAlignment w:val="baseline"/>
        <w:rPr>
          <w:rFonts w:asciiTheme="minorHAnsi" w:eastAsia="Times New Roman" w:hAnsiTheme="minorHAnsi"/>
          <w:lang w:val="en-US"/>
        </w:rPr>
      </w:pPr>
      <w:r w:rsidRPr="0022355A">
        <w:rPr>
          <w:rFonts w:asciiTheme="minorHAnsi" w:eastAsia="Times New Roman" w:hAnsiTheme="minorHAnsi"/>
          <w:lang w:val="en" w:eastAsia="hr-HR"/>
        </w:rPr>
        <w:t>If there are multiple payments or receipts in advance, a date of transaction is established for each payment or receipt.</w:t>
      </w:r>
    </w:p>
    <w:p w14:paraId="37BA1608" w14:textId="77777777" w:rsidR="0022355A" w:rsidRDefault="0022355A" w:rsidP="0022355A">
      <w:pPr>
        <w:suppressAutoHyphens/>
        <w:autoSpaceDN w:val="0"/>
        <w:spacing w:after="0" w:line="240" w:lineRule="auto"/>
        <w:jc w:val="both"/>
        <w:textAlignment w:val="baseline"/>
        <w:rPr>
          <w:rFonts w:asciiTheme="minorHAnsi" w:eastAsia="Times New Roman" w:hAnsiTheme="minorHAnsi"/>
          <w:lang w:val="en" w:eastAsia="hr-HR"/>
        </w:rPr>
      </w:pPr>
    </w:p>
    <w:p w14:paraId="78EC0C3E" w14:textId="77777777" w:rsidR="0022355A" w:rsidRDefault="0022355A" w:rsidP="0022355A">
      <w:pPr>
        <w:keepNext/>
        <w:numPr>
          <w:ilvl w:val="0"/>
          <w:numId w:val="61"/>
        </w:numPr>
        <w:spacing w:after="0" w:line="280" w:lineRule="atLeast"/>
        <w:jc w:val="both"/>
        <w:outlineLvl w:val="1"/>
        <w:rPr>
          <w:rFonts w:asciiTheme="minorHAnsi" w:eastAsia="Times New Roman" w:hAnsiTheme="minorHAnsi" w:cs="Arial"/>
          <w:bCs/>
          <w:lang w:val="en-US"/>
        </w:rPr>
      </w:pPr>
      <w:r w:rsidRPr="00947CB7">
        <w:rPr>
          <w:rFonts w:asciiTheme="minorHAnsi" w:eastAsia="Times New Roman" w:hAnsiTheme="minorHAnsi" w:cs="Arial"/>
          <w:bCs/>
          <w:lang w:val="en-US"/>
        </w:rPr>
        <w:t xml:space="preserve">Amendments to IAS 40 </w:t>
      </w:r>
      <w:r w:rsidRPr="00947CB7">
        <w:rPr>
          <w:rFonts w:asciiTheme="minorHAnsi" w:eastAsia="Times New Roman" w:hAnsiTheme="minorHAnsi" w:cs="Arial"/>
          <w:bCs/>
          <w:iCs/>
          <w:lang w:val="en-US"/>
        </w:rPr>
        <w:t>Investment Property</w:t>
      </w:r>
      <w:r w:rsidRPr="00947CB7">
        <w:rPr>
          <w:rFonts w:asciiTheme="minorHAnsi" w:eastAsia="Times New Roman" w:hAnsiTheme="minorHAnsi" w:cs="Arial"/>
          <w:bCs/>
          <w:lang w:val="en-US"/>
        </w:rPr>
        <w:t>—Transfers of investment property (effective for periods beginning on or after 1 January 2018, but have not been adopted in the European Union yet).</w:t>
      </w:r>
    </w:p>
    <w:p w14:paraId="22CB11B1" w14:textId="77777777" w:rsidR="0022355A" w:rsidRPr="006B318F" w:rsidRDefault="0022355A" w:rsidP="006B318F">
      <w:pPr>
        <w:spacing w:after="0" w:line="240" w:lineRule="auto"/>
        <w:jc w:val="both"/>
        <w:rPr>
          <w:rFonts w:asciiTheme="minorHAnsi" w:eastAsia="Times New Roman" w:hAnsiTheme="minorHAnsi"/>
          <w:lang w:val="en" w:eastAsia="hr-HR"/>
        </w:rPr>
      </w:pPr>
    </w:p>
    <w:p w14:paraId="637265CD" w14:textId="77777777" w:rsidR="0022355A" w:rsidRDefault="0022355A" w:rsidP="0022355A">
      <w:pPr>
        <w:pStyle w:val="ListParagraph"/>
        <w:spacing w:after="0" w:line="240" w:lineRule="auto"/>
        <w:jc w:val="both"/>
        <w:rPr>
          <w:rFonts w:asciiTheme="minorHAnsi" w:eastAsia="Times New Roman" w:hAnsiTheme="minorHAnsi"/>
          <w:lang w:val="en" w:eastAsia="hr-HR"/>
        </w:rPr>
      </w:pPr>
      <w:r w:rsidRPr="00166751">
        <w:rPr>
          <w:rFonts w:asciiTheme="minorHAnsi" w:eastAsia="Times New Roman" w:hAnsiTheme="minorHAnsi"/>
          <w:lang w:val="en" w:eastAsia="hr-HR"/>
        </w:rPr>
        <w:t>The amend</w:t>
      </w:r>
      <w:r w:rsidRPr="00166751">
        <w:rPr>
          <w:rFonts w:asciiTheme="minorHAnsi" w:eastAsia="Times New Roman" w:hAnsiTheme="minorHAnsi"/>
          <w:lang w:val="en" w:eastAsia="hr-HR"/>
        </w:rPr>
        <w:softHyphen/>
        <w:t xml:space="preserve">ments in </w:t>
      </w:r>
      <w:r w:rsidRPr="00166751">
        <w:rPr>
          <w:rFonts w:asciiTheme="minorHAnsi" w:eastAsia="Times New Roman" w:hAnsiTheme="minorHAnsi"/>
          <w:iCs/>
          <w:lang w:val="en" w:eastAsia="hr-HR"/>
        </w:rPr>
        <w:t>Transfers of In</w:t>
      </w:r>
      <w:r w:rsidRPr="00166751">
        <w:rPr>
          <w:rFonts w:asciiTheme="minorHAnsi" w:eastAsia="Times New Roman" w:hAnsiTheme="minorHAnsi"/>
          <w:iCs/>
          <w:lang w:val="en" w:eastAsia="hr-HR"/>
        </w:rPr>
        <w:softHyphen/>
        <w:t>vest</w:t>
      </w:r>
      <w:r w:rsidRPr="00166751">
        <w:rPr>
          <w:rFonts w:asciiTheme="minorHAnsi" w:eastAsia="Times New Roman" w:hAnsiTheme="minorHAnsi"/>
          <w:iCs/>
          <w:lang w:val="en" w:eastAsia="hr-HR"/>
        </w:rPr>
        <w:softHyphen/>
        <w:t xml:space="preserve">ment Property </w:t>
      </w:r>
      <w:r w:rsidRPr="00166751">
        <w:rPr>
          <w:rFonts w:asciiTheme="minorHAnsi" w:eastAsia="Times New Roman" w:hAnsiTheme="minorHAnsi"/>
          <w:lang w:val="en" w:eastAsia="hr-HR"/>
        </w:rPr>
        <w:t>are:</w:t>
      </w:r>
    </w:p>
    <w:p w14:paraId="36B853A6" w14:textId="77777777" w:rsidR="0022355A" w:rsidRPr="00166751" w:rsidRDefault="0022355A" w:rsidP="0022355A">
      <w:pPr>
        <w:pStyle w:val="ListParagraph"/>
        <w:spacing w:after="0" w:line="240" w:lineRule="auto"/>
        <w:jc w:val="both"/>
        <w:rPr>
          <w:rFonts w:asciiTheme="minorHAnsi" w:eastAsia="Times New Roman" w:hAnsiTheme="minorHAnsi"/>
          <w:lang w:val="en-US"/>
        </w:rPr>
      </w:pPr>
    </w:p>
    <w:p w14:paraId="586DC98A" w14:textId="77777777" w:rsidR="0022355A" w:rsidRPr="00947CB7" w:rsidRDefault="0022355A">
      <w:pPr>
        <w:numPr>
          <w:ilvl w:val="0"/>
          <w:numId w:val="75"/>
        </w:numPr>
        <w:suppressAutoHyphens/>
        <w:autoSpaceDN w:val="0"/>
        <w:spacing w:after="0" w:line="240" w:lineRule="auto"/>
        <w:ind w:left="1417" w:hanging="357"/>
        <w:jc w:val="both"/>
        <w:textAlignment w:val="baseline"/>
        <w:rPr>
          <w:rFonts w:asciiTheme="minorHAnsi" w:eastAsia="Times New Roman" w:hAnsiTheme="minorHAnsi"/>
          <w:lang w:val="en" w:eastAsia="hr-HR"/>
        </w:rPr>
      </w:pPr>
      <w:r w:rsidRPr="00947CB7">
        <w:rPr>
          <w:rFonts w:asciiTheme="minorHAnsi" w:eastAsia="Times New Roman" w:hAnsiTheme="minorHAnsi"/>
          <w:lang w:val="en" w:eastAsia="hr-HR"/>
        </w:rPr>
        <w:t>Paragraph 57 has been amended to state that an entity shall transfer a property to, or from, investment property when, and only when, there is evidence of a change in use. A change of use occurs if property meets, or ceases to meet, the definition of investment property. A change in management’s intentions for the use of a property by itself does not constitute evidence of a change in use.</w:t>
      </w:r>
    </w:p>
    <w:p w14:paraId="6255B2F9" w14:textId="41AB90CE" w:rsidR="0022355A" w:rsidRDefault="0022355A" w:rsidP="006B318F">
      <w:pPr>
        <w:numPr>
          <w:ilvl w:val="0"/>
          <w:numId w:val="75"/>
        </w:numPr>
        <w:suppressAutoHyphens/>
        <w:autoSpaceDN w:val="0"/>
        <w:spacing w:after="0" w:line="240" w:lineRule="auto"/>
        <w:ind w:left="1417" w:hanging="357"/>
        <w:jc w:val="both"/>
        <w:textAlignment w:val="baseline"/>
        <w:rPr>
          <w:rFonts w:asciiTheme="minorHAnsi" w:eastAsia="Times New Roman" w:hAnsiTheme="minorHAnsi"/>
          <w:lang w:val="en" w:eastAsia="hr-HR"/>
        </w:rPr>
      </w:pPr>
      <w:r w:rsidRPr="00947CB7">
        <w:rPr>
          <w:rFonts w:asciiTheme="minorHAnsi" w:eastAsia="Times New Roman" w:hAnsiTheme="minorHAnsi"/>
          <w:lang w:val="en" w:eastAsia="hr-HR"/>
        </w:rPr>
        <w:t>The list of evidence in paragraph 57(a) – (d) was designated as non-exhaustive list of examples instead of the previous exhaustive list</w:t>
      </w:r>
      <w:r>
        <w:rPr>
          <w:rFonts w:asciiTheme="minorHAnsi" w:eastAsia="Times New Roman" w:hAnsiTheme="minorHAnsi"/>
          <w:lang w:val="en" w:eastAsia="hr-HR"/>
        </w:rPr>
        <w:t>.</w:t>
      </w:r>
    </w:p>
    <w:p w14:paraId="0ECC776C" w14:textId="77777777" w:rsidR="003B21F2" w:rsidRPr="006B318F" w:rsidRDefault="003B21F2" w:rsidP="006B318F">
      <w:pPr>
        <w:suppressAutoHyphens/>
        <w:autoSpaceDN w:val="0"/>
        <w:spacing w:before="100" w:after="100" w:line="240" w:lineRule="auto"/>
        <w:jc w:val="both"/>
        <w:textAlignment w:val="baseline"/>
        <w:rPr>
          <w:rFonts w:asciiTheme="minorHAnsi" w:eastAsia="Times New Roman" w:hAnsiTheme="minorHAnsi"/>
          <w:lang w:val="en" w:eastAsia="hr-HR"/>
        </w:rPr>
        <w:sectPr w:rsidR="003B21F2" w:rsidRPr="006B318F" w:rsidSect="00C862C5">
          <w:footerReference w:type="default" r:id="rId51"/>
          <w:pgSz w:w="11907" w:h="16840"/>
          <w:pgMar w:top="1418" w:right="1134" w:bottom="1134" w:left="1701" w:header="851" w:footer="851" w:gutter="0"/>
          <w:cols w:space="720"/>
        </w:sectPr>
      </w:pPr>
    </w:p>
    <w:p w14:paraId="3646171B" w14:textId="77777777" w:rsidR="0087374F" w:rsidRDefault="0087374F" w:rsidP="006B318F">
      <w:pPr>
        <w:tabs>
          <w:tab w:val="left" w:pos="1134"/>
        </w:tabs>
        <w:suppressAutoHyphens/>
        <w:autoSpaceDN w:val="0"/>
        <w:spacing w:after="0" w:line="240" w:lineRule="auto"/>
        <w:jc w:val="both"/>
        <w:textAlignment w:val="baseline"/>
        <w:rPr>
          <w:rFonts w:asciiTheme="minorHAnsi" w:eastAsia="Times New Roman" w:hAnsiTheme="minorHAnsi"/>
          <w:lang w:val="en-US"/>
        </w:rPr>
      </w:pPr>
    </w:p>
    <w:p w14:paraId="39F12D2B" w14:textId="77777777" w:rsidR="0087374F" w:rsidRPr="007E6640" w:rsidRDefault="0087374F" w:rsidP="0087374F">
      <w:pPr>
        <w:keepNext/>
        <w:tabs>
          <w:tab w:val="left" w:pos="851"/>
        </w:tabs>
        <w:spacing w:after="0" w:line="240" w:lineRule="auto"/>
        <w:jc w:val="both"/>
        <w:rPr>
          <w:rFonts w:eastAsia="Times New Roman" w:cs="Arial"/>
          <w:b/>
          <w:bCs/>
        </w:rPr>
      </w:pPr>
      <w:r w:rsidRPr="00AB228E">
        <w:rPr>
          <w:rFonts w:eastAsia="Times New Roman" w:cs="Arial"/>
          <w:b/>
          <w:bCs/>
        </w:rPr>
        <w:t>3.</w:t>
      </w:r>
      <w:r>
        <w:rPr>
          <w:rFonts w:eastAsia="Times New Roman" w:cs="Arial"/>
          <w:b/>
          <w:bCs/>
        </w:rPr>
        <w:t xml:space="preserve">    </w:t>
      </w:r>
      <w:r w:rsidRPr="007E6640">
        <w:rPr>
          <w:rFonts w:eastAsia="Times New Roman" w:cs="Arial"/>
          <w:b/>
          <w:bCs/>
        </w:rPr>
        <w:t>Summary of significant accounting policies (continued)</w:t>
      </w:r>
    </w:p>
    <w:p w14:paraId="745E9399" w14:textId="77777777" w:rsidR="0087374F" w:rsidRPr="007E6640" w:rsidRDefault="0087374F" w:rsidP="0087374F">
      <w:pPr>
        <w:pStyle w:val="ListParagraph"/>
        <w:keepNext/>
        <w:tabs>
          <w:tab w:val="left" w:pos="426"/>
        </w:tabs>
        <w:spacing w:after="0" w:line="240" w:lineRule="auto"/>
        <w:jc w:val="both"/>
        <w:rPr>
          <w:rFonts w:eastAsia="Times New Roman" w:cs="Arial"/>
          <w:b/>
          <w:bCs/>
          <w:sz w:val="20"/>
          <w:szCs w:val="20"/>
        </w:rPr>
      </w:pPr>
    </w:p>
    <w:p w14:paraId="6B5151A3" w14:textId="77777777" w:rsidR="0087374F" w:rsidRPr="007E6640" w:rsidRDefault="0087374F" w:rsidP="0087374F">
      <w:pPr>
        <w:tabs>
          <w:tab w:val="left" w:pos="284"/>
          <w:tab w:val="left" w:pos="426"/>
        </w:tabs>
        <w:spacing w:after="0" w:line="240" w:lineRule="auto"/>
        <w:jc w:val="both"/>
        <w:rPr>
          <w:rFonts w:eastAsia="Times New Roman" w:cs="Arial"/>
          <w:b/>
        </w:rPr>
      </w:pPr>
      <w:r>
        <w:rPr>
          <w:rFonts w:eastAsia="Times New Roman" w:cs="Arial"/>
          <w:b/>
        </w:rPr>
        <w:t>3.2</w:t>
      </w:r>
      <w:proofErr w:type="gramStart"/>
      <w:r>
        <w:rPr>
          <w:rFonts w:eastAsia="Times New Roman" w:cs="Arial"/>
          <w:b/>
        </w:rPr>
        <w:t>.</w:t>
      </w:r>
      <w:r w:rsidRPr="007E6640">
        <w:rPr>
          <w:rFonts w:eastAsia="Times New Roman" w:cs="Arial"/>
          <w:b/>
        </w:rPr>
        <w:t xml:space="preserve">  Adoption</w:t>
      </w:r>
      <w:proofErr w:type="gramEnd"/>
      <w:r w:rsidRPr="007E6640">
        <w:rPr>
          <w:rFonts w:eastAsia="Times New Roman" w:cs="Arial"/>
          <w:b/>
        </w:rPr>
        <w:t xml:space="preserve"> of new and amended International Financial Reporting Standards (continued):</w:t>
      </w:r>
    </w:p>
    <w:p w14:paraId="29B5BA33" w14:textId="77777777" w:rsidR="0087374F" w:rsidRDefault="0087374F" w:rsidP="0087374F">
      <w:pPr>
        <w:tabs>
          <w:tab w:val="left" w:pos="1134"/>
        </w:tabs>
        <w:suppressAutoHyphens/>
        <w:autoSpaceDN w:val="0"/>
        <w:spacing w:after="0" w:line="240" w:lineRule="auto"/>
        <w:ind w:left="1134"/>
        <w:jc w:val="both"/>
        <w:textAlignment w:val="baseline"/>
        <w:rPr>
          <w:rFonts w:asciiTheme="minorHAnsi" w:eastAsia="Times New Roman" w:hAnsiTheme="minorHAnsi" w:cs="Verdana"/>
          <w:lang w:val="hr-HR" w:eastAsia="hr-HR"/>
        </w:rPr>
      </w:pPr>
    </w:p>
    <w:p w14:paraId="2A700CC6" w14:textId="74948C89" w:rsidR="0087374F" w:rsidRPr="00166751" w:rsidRDefault="0022355A" w:rsidP="006B318F">
      <w:pPr>
        <w:tabs>
          <w:tab w:val="left" w:pos="709"/>
        </w:tabs>
        <w:spacing w:after="0" w:line="240" w:lineRule="auto"/>
        <w:ind w:left="284" w:hanging="284"/>
        <w:jc w:val="both"/>
        <w:rPr>
          <w:rFonts w:asciiTheme="minorHAnsi" w:eastAsia="Times New Roman" w:hAnsiTheme="minorHAnsi"/>
          <w:lang w:val="en-US"/>
        </w:rPr>
      </w:pPr>
      <w:r>
        <w:rPr>
          <w:rFonts w:asciiTheme="minorHAnsi" w:eastAsia="Times New Roman" w:hAnsiTheme="minorHAnsi" w:cs="Arial"/>
          <w:bCs/>
          <w:i/>
        </w:rPr>
        <w:t>d</w:t>
      </w:r>
      <w:r w:rsidR="0087374F" w:rsidRPr="0087374F">
        <w:rPr>
          <w:rFonts w:asciiTheme="minorHAnsi" w:eastAsia="Times New Roman" w:hAnsiTheme="minorHAnsi" w:cs="Arial"/>
          <w:bCs/>
          <w:i/>
        </w:rPr>
        <w:t>)</w:t>
      </w:r>
      <w:r w:rsidR="0087374F">
        <w:rPr>
          <w:rFonts w:asciiTheme="minorHAnsi" w:eastAsia="Times New Roman" w:hAnsiTheme="minorHAnsi" w:cs="Arial"/>
          <w:bCs/>
          <w:i/>
        </w:rPr>
        <w:t xml:space="preserve">  </w:t>
      </w:r>
      <w:r w:rsidR="0087374F" w:rsidRPr="00166751">
        <w:rPr>
          <w:rFonts w:asciiTheme="minorHAnsi" w:eastAsia="Times New Roman" w:hAnsiTheme="minorHAnsi" w:cs="Arial"/>
          <w:bCs/>
          <w:i/>
        </w:rPr>
        <w:t xml:space="preserve">New and amended International Financial Reporting Standards that become </w:t>
      </w:r>
      <w:r w:rsidR="0087374F" w:rsidRPr="00166751">
        <w:rPr>
          <w:rFonts w:ascii="Arial" w:eastAsia="Times New Roman" w:hAnsi="Arial" w:cs="Arial"/>
          <w:bCs/>
          <w:i/>
          <w:sz w:val="19"/>
          <w:szCs w:val="19"/>
        </w:rPr>
        <w:t xml:space="preserve">effective after </w:t>
      </w:r>
      <w:r w:rsidR="0087374F" w:rsidRPr="00166751">
        <w:rPr>
          <w:rFonts w:asciiTheme="minorHAnsi" w:eastAsia="Times New Roman" w:hAnsiTheme="minorHAnsi" w:cs="Arial"/>
          <w:bCs/>
          <w:i/>
        </w:rPr>
        <w:t>the</w:t>
      </w:r>
      <w:r w:rsidR="0087374F">
        <w:rPr>
          <w:rFonts w:asciiTheme="minorHAnsi" w:eastAsia="Times New Roman" w:hAnsiTheme="minorHAnsi" w:cs="Arial"/>
          <w:bCs/>
          <w:i/>
        </w:rPr>
        <w:t xml:space="preserve"> </w:t>
      </w:r>
      <w:r w:rsidR="0087374F" w:rsidRPr="00166751">
        <w:rPr>
          <w:rFonts w:asciiTheme="minorHAnsi" w:eastAsia="Times New Roman" w:hAnsiTheme="minorHAnsi" w:cs="Arial"/>
          <w:bCs/>
          <w:i/>
        </w:rPr>
        <w:t xml:space="preserve">reporting period, and that </w:t>
      </w:r>
      <w:r w:rsidR="00284F8F">
        <w:rPr>
          <w:rFonts w:asciiTheme="minorHAnsi" w:eastAsia="Times New Roman" w:hAnsiTheme="minorHAnsi" w:cs="Arial"/>
          <w:bCs/>
          <w:i/>
        </w:rPr>
        <w:t>h</w:t>
      </w:r>
      <w:r w:rsidR="0087374F" w:rsidRPr="00166751">
        <w:rPr>
          <w:rFonts w:asciiTheme="minorHAnsi" w:eastAsia="Times New Roman" w:hAnsiTheme="minorHAnsi" w:cs="Arial"/>
          <w:bCs/>
          <w:i/>
        </w:rPr>
        <w:t>ave not been adopted in the European Union yet (continued)</w:t>
      </w:r>
      <w:r w:rsidR="0087374F" w:rsidRPr="00166751">
        <w:rPr>
          <w:rFonts w:asciiTheme="minorHAnsi" w:eastAsia="Times New Roman" w:hAnsiTheme="minorHAnsi" w:cs="Arial"/>
          <w:i/>
          <w:lang w:val="hr-HR"/>
        </w:rPr>
        <w:t>:</w:t>
      </w:r>
    </w:p>
    <w:p w14:paraId="678DEFA6" w14:textId="77777777" w:rsidR="004B7E3E" w:rsidRDefault="004B7E3E" w:rsidP="006B318F">
      <w:pPr>
        <w:spacing w:after="0" w:line="240" w:lineRule="auto"/>
        <w:ind w:left="993"/>
        <w:jc w:val="both"/>
        <w:rPr>
          <w:rFonts w:asciiTheme="minorHAnsi" w:eastAsia="Times New Roman" w:hAnsiTheme="minorHAnsi"/>
          <w:lang w:val="en" w:eastAsia="hr-HR"/>
        </w:rPr>
      </w:pPr>
    </w:p>
    <w:p w14:paraId="4B2FACD7" w14:textId="77777777" w:rsidR="004B7E3E" w:rsidRDefault="009827BC" w:rsidP="005444AA">
      <w:pPr>
        <w:pStyle w:val="ListParagraph"/>
        <w:numPr>
          <w:ilvl w:val="0"/>
          <w:numId w:val="61"/>
        </w:numPr>
        <w:spacing w:after="0" w:line="240" w:lineRule="auto"/>
        <w:jc w:val="both"/>
        <w:rPr>
          <w:rFonts w:asciiTheme="minorHAnsi" w:eastAsia="Times New Roman" w:hAnsiTheme="minorHAnsi"/>
          <w:lang w:val="en" w:eastAsia="hr-HR"/>
        </w:rPr>
      </w:pPr>
      <w:r>
        <w:rPr>
          <w:rFonts w:asciiTheme="minorHAnsi" w:eastAsia="Times New Roman" w:hAnsiTheme="minorHAnsi" w:cs="Arial"/>
          <w:bCs/>
          <w:lang w:val="en-US"/>
        </w:rPr>
        <w:t xml:space="preserve">New IFRS </w:t>
      </w:r>
      <w:proofErr w:type="gramStart"/>
      <w:r>
        <w:rPr>
          <w:rFonts w:asciiTheme="minorHAnsi" w:eastAsia="Times New Roman" w:hAnsiTheme="minorHAnsi" w:cs="Arial"/>
          <w:bCs/>
          <w:lang w:val="en-US"/>
        </w:rPr>
        <w:t>17  Insurance</w:t>
      </w:r>
      <w:proofErr w:type="gramEnd"/>
      <w:r>
        <w:rPr>
          <w:rFonts w:asciiTheme="minorHAnsi" w:eastAsia="Times New Roman" w:hAnsiTheme="minorHAnsi" w:cs="Arial"/>
          <w:bCs/>
          <w:lang w:val="en-US"/>
        </w:rPr>
        <w:t xml:space="preserve"> Contracts </w:t>
      </w:r>
      <w:r w:rsidRPr="00947CB7">
        <w:rPr>
          <w:rFonts w:asciiTheme="minorHAnsi" w:eastAsia="Times New Roman" w:hAnsiTheme="minorHAnsi" w:cs="Arial"/>
          <w:bCs/>
          <w:lang w:val="en-US"/>
        </w:rPr>
        <w:t>(effective for periods beginning on or after 1 January 20</w:t>
      </w:r>
      <w:r>
        <w:rPr>
          <w:rFonts w:asciiTheme="minorHAnsi" w:eastAsia="Times New Roman" w:hAnsiTheme="minorHAnsi" w:cs="Arial"/>
          <w:bCs/>
          <w:lang w:val="en-US"/>
        </w:rPr>
        <w:t>21</w:t>
      </w:r>
      <w:r w:rsidRPr="00947CB7">
        <w:rPr>
          <w:rFonts w:asciiTheme="minorHAnsi" w:eastAsia="Times New Roman" w:hAnsiTheme="minorHAnsi" w:cs="Arial"/>
          <w:bCs/>
          <w:lang w:val="en-US"/>
        </w:rPr>
        <w:t>, but have not been ado</w:t>
      </w:r>
      <w:r>
        <w:rPr>
          <w:rFonts w:asciiTheme="minorHAnsi" w:eastAsia="Times New Roman" w:hAnsiTheme="minorHAnsi" w:cs="Arial"/>
          <w:bCs/>
          <w:lang w:val="en-US"/>
        </w:rPr>
        <w:t xml:space="preserve">pted in the European Union yet) - </w:t>
      </w:r>
      <w:r w:rsidRPr="005444AA">
        <w:rPr>
          <w:color w:val="000000"/>
        </w:rPr>
        <w:t xml:space="preserve">replaces IFRS 4 Insurance Contracts. </w:t>
      </w:r>
      <w:r w:rsidRPr="009827BC">
        <w:rPr>
          <w:rFonts w:asciiTheme="minorHAnsi" w:eastAsia="Times New Roman" w:hAnsiTheme="minorHAnsi" w:cs="Arial"/>
          <w:bCs/>
          <w:lang w:val="en-US"/>
        </w:rPr>
        <w:t xml:space="preserve"> </w:t>
      </w:r>
      <w:r w:rsidRPr="009827BC">
        <w:rPr>
          <w:rFonts w:asciiTheme="minorHAnsi" w:eastAsia="Times New Roman" w:hAnsiTheme="minorHAnsi"/>
          <w:lang w:val="en" w:eastAsia="hr-HR"/>
        </w:rPr>
        <w:t xml:space="preserve"> </w:t>
      </w:r>
    </w:p>
    <w:p w14:paraId="3AC51FF9" w14:textId="40CB8754" w:rsidR="003837C6" w:rsidRPr="0022355A" w:rsidRDefault="003837C6">
      <w:pPr>
        <w:pStyle w:val="ListParagraph"/>
        <w:spacing w:after="0" w:line="240" w:lineRule="auto"/>
      </w:pPr>
      <w:r w:rsidRPr="005444AA">
        <w:rPr>
          <w:color w:val="000000"/>
        </w:rPr>
        <w:t>The overall objective of IFRS 17 is to provide a more useful and consistent accounting model for insurance contracts among entities issuing insurance contracts globally.</w:t>
      </w:r>
    </w:p>
    <w:p w14:paraId="3768679A" w14:textId="6A80D44C" w:rsidR="003837C6" w:rsidRPr="003837C6" w:rsidRDefault="005D7F26" w:rsidP="003837C6">
      <w:pPr>
        <w:suppressAutoHyphens/>
        <w:autoSpaceDN w:val="0"/>
        <w:spacing w:after="0" w:line="240" w:lineRule="auto"/>
        <w:ind w:left="720"/>
        <w:contextualSpacing/>
        <w:jc w:val="both"/>
        <w:textAlignment w:val="baseline"/>
        <w:rPr>
          <w:rFonts w:eastAsia="Times New Roman"/>
          <w:lang w:val="hr-HR" w:eastAsia="hr-HR"/>
        </w:rPr>
      </w:pPr>
      <w:proofErr w:type="spellStart"/>
      <w:r w:rsidRPr="005444AA">
        <w:rPr>
          <w:rFonts w:eastAsia="Times New Roman"/>
          <w:lang w:val="hr-HR" w:eastAsia="hr-HR"/>
        </w:rPr>
        <w:t>The</w:t>
      </w:r>
      <w:proofErr w:type="spellEnd"/>
      <w:r w:rsidRPr="005444AA">
        <w:rPr>
          <w:rFonts w:eastAsia="Times New Roman"/>
          <w:lang w:val="hr-HR" w:eastAsia="hr-HR"/>
        </w:rPr>
        <w:t xml:space="preserve"> Group </w:t>
      </w:r>
      <w:proofErr w:type="spellStart"/>
      <w:r w:rsidRPr="005444AA">
        <w:rPr>
          <w:rFonts w:eastAsia="Times New Roman"/>
          <w:lang w:val="hr-HR" w:eastAsia="hr-HR"/>
        </w:rPr>
        <w:t>plans</w:t>
      </w:r>
      <w:proofErr w:type="spellEnd"/>
      <w:r w:rsidRPr="005444AA">
        <w:rPr>
          <w:rFonts w:eastAsia="Times New Roman"/>
          <w:lang w:val="hr-HR" w:eastAsia="hr-HR"/>
        </w:rPr>
        <w:t xml:space="preserve"> to </w:t>
      </w:r>
      <w:proofErr w:type="spellStart"/>
      <w:r w:rsidRPr="005444AA">
        <w:rPr>
          <w:rFonts w:eastAsia="Times New Roman"/>
          <w:lang w:val="hr-HR" w:eastAsia="hr-HR"/>
        </w:rPr>
        <w:t>adopt</w:t>
      </w:r>
      <w:proofErr w:type="spellEnd"/>
      <w:r w:rsidRPr="005444AA">
        <w:rPr>
          <w:rFonts w:eastAsia="Times New Roman"/>
          <w:lang w:val="hr-HR" w:eastAsia="hr-HR"/>
        </w:rPr>
        <w:t xml:space="preserve"> </w:t>
      </w:r>
      <w:proofErr w:type="spellStart"/>
      <w:r w:rsidRPr="005444AA">
        <w:rPr>
          <w:rFonts w:eastAsia="Times New Roman"/>
          <w:lang w:val="hr-HR" w:eastAsia="hr-HR"/>
        </w:rPr>
        <w:t>the</w:t>
      </w:r>
      <w:proofErr w:type="spellEnd"/>
      <w:r w:rsidRPr="005444AA">
        <w:rPr>
          <w:rFonts w:eastAsia="Times New Roman"/>
          <w:lang w:val="hr-HR" w:eastAsia="hr-HR"/>
        </w:rPr>
        <w:t xml:space="preserve"> standard </w:t>
      </w:r>
      <w:proofErr w:type="spellStart"/>
      <w:r w:rsidRPr="005444AA">
        <w:rPr>
          <w:rFonts w:eastAsia="Times New Roman"/>
          <w:lang w:val="hr-HR" w:eastAsia="hr-HR"/>
        </w:rPr>
        <w:t>after</w:t>
      </w:r>
      <w:proofErr w:type="spellEnd"/>
      <w:r w:rsidRPr="005444AA">
        <w:rPr>
          <w:rFonts w:eastAsia="Times New Roman"/>
          <w:lang w:val="hr-HR" w:eastAsia="hr-HR"/>
        </w:rPr>
        <w:t xml:space="preserve"> </w:t>
      </w:r>
      <w:proofErr w:type="spellStart"/>
      <w:r w:rsidRPr="005444AA">
        <w:rPr>
          <w:rFonts w:eastAsia="Times New Roman"/>
          <w:lang w:val="hr-HR" w:eastAsia="hr-HR"/>
        </w:rPr>
        <w:t>it</w:t>
      </w:r>
      <w:proofErr w:type="spellEnd"/>
      <w:r w:rsidRPr="005444AA">
        <w:rPr>
          <w:rFonts w:eastAsia="Times New Roman"/>
          <w:lang w:val="hr-HR" w:eastAsia="hr-HR"/>
        </w:rPr>
        <w:t xml:space="preserve"> </w:t>
      </w:r>
      <w:proofErr w:type="spellStart"/>
      <w:r w:rsidR="006307E0" w:rsidRPr="005444AA">
        <w:rPr>
          <w:rFonts w:eastAsia="Times New Roman"/>
          <w:lang w:val="hr-HR" w:eastAsia="hr-HR"/>
        </w:rPr>
        <w:t>has</w:t>
      </w:r>
      <w:proofErr w:type="spellEnd"/>
      <w:r w:rsidRPr="005444AA">
        <w:rPr>
          <w:rFonts w:eastAsia="Times New Roman"/>
          <w:lang w:val="hr-HR" w:eastAsia="hr-HR"/>
        </w:rPr>
        <w:t xml:space="preserve"> </w:t>
      </w:r>
      <w:proofErr w:type="spellStart"/>
      <w:r w:rsidRPr="005444AA">
        <w:rPr>
          <w:rFonts w:eastAsia="Times New Roman"/>
          <w:lang w:val="hr-HR" w:eastAsia="hr-HR"/>
        </w:rPr>
        <w:t>become</w:t>
      </w:r>
      <w:proofErr w:type="spellEnd"/>
      <w:r w:rsidRPr="005444AA">
        <w:rPr>
          <w:rFonts w:eastAsia="Times New Roman"/>
          <w:lang w:val="hr-HR" w:eastAsia="hr-HR"/>
        </w:rPr>
        <w:t xml:space="preserve"> </w:t>
      </w:r>
      <w:proofErr w:type="spellStart"/>
      <w:r w:rsidRPr="005444AA">
        <w:rPr>
          <w:rFonts w:eastAsia="Times New Roman"/>
          <w:lang w:val="hr-HR" w:eastAsia="hr-HR"/>
        </w:rPr>
        <w:t>effective</w:t>
      </w:r>
      <w:proofErr w:type="spellEnd"/>
      <w:r w:rsidRPr="005444AA">
        <w:rPr>
          <w:rFonts w:eastAsia="Times New Roman"/>
          <w:lang w:val="hr-HR" w:eastAsia="hr-HR"/>
        </w:rPr>
        <w:t xml:space="preserve"> </w:t>
      </w:r>
      <w:proofErr w:type="spellStart"/>
      <w:r w:rsidRPr="005444AA">
        <w:rPr>
          <w:rFonts w:eastAsia="Times New Roman"/>
          <w:lang w:val="hr-HR" w:eastAsia="hr-HR"/>
        </w:rPr>
        <w:t>and</w:t>
      </w:r>
      <w:proofErr w:type="spellEnd"/>
      <w:r w:rsidRPr="005444AA">
        <w:rPr>
          <w:rFonts w:eastAsia="Times New Roman"/>
          <w:lang w:val="hr-HR" w:eastAsia="hr-HR"/>
        </w:rPr>
        <w:t xml:space="preserve"> </w:t>
      </w:r>
      <w:proofErr w:type="spellStart"/>
      <w:r w:rsidRPr="005444AA">
        <w:rPr>
          <w:rFonts w:eastAsia="Times New Roman"/>
          <w:lang w:val="hr-HR" w:eastAsia="hr-HR"/>
        </w:rPr>
        <w:t>currently</w:t>
      </w:r>
      <w:proofErr w:type="spellEnd"/>
      <w:r w:rsidRPr="005444AA">
        <w:rPr>
          <w:rFonts w:eastAsia="Times New Roman"/>
          <w:lang w:val="hr-HR" w:eastAsia="hr-HR"/>
        </w:rPr>
        <w:t xml:space="preserve"> </w:t>
      </w:r>
      <w:proofErr w:type="spellStart"/>
      <w:r w:rsidRPr="005444AA">
        <w:rPr>
          <w:rFonts w:eastAsia="Times New Roman"/>
          <w:lang w:val="hr-HR" w:eastAsia="hr-HR"/>
        </w:rPr>
        <w:t>estimates</w:t>
      </w:r>
      <w:proofErr w:type="spellEnd"/>
      <w:r w:rsidRPr="005444AA">
        <w:rPr>
          <w:rFonts w:eastAsia="Times New Roman"/>
          <w:lang w:val="hr-HR" w:eastAsia="hr-HR"/>
        </w:rPr>
        <w:t xml:space="preserve"> </w:t>
      </w:r>
      <w:proofErr w:type="spellStart"/>
      <w:r w:rsidRPr="005444AA">
        <w:rPr>
          <w:rFonts w:eastAsia="Times New Roman"/>
          <w:lang w:val="hr-HR" w:eastAsia="hr-HR"/>
        </w:rPr>
        <w:t>its</w:t>
      </w:r>
      <w:proofErr w:type="spellEnd"/>
      <w:r w:rsidRPr="005444AA">
        <w:rPr>
          <w:rFonts w:eastAsia="Times New Roman"/>
          <w:lang w:val="hr-HR" w:eastAsia="hr-HR"/>
        </w:rPr>
        <w:t xml:space="preserve"> </w:t>
      </w:r>
      <w:proofErr w:type="spellStart"/>
      <w:r w:rsidRPr="005444AA">
        <w:rPr>
          <w:rFonts w:eastAsia="Times New Roman"/>
          <w:lang w:val="hr-HR" w:eastAsia="hr-HR"/>
        </w:rPr>
        <w:t>impact</w:t>
      </w:r>
      <w:proofErr w:type="spellEnd"/>
      <w:r w:rsidR="003837C6" w:rsidRPr="00EA6B68">
        <w:rPr>
          <w:rFonts w:eastAsia="Times New Roman"/>
          <w:lang w:val="hr-HR" w:eastAsia="hr-HR"/>
        </w:rPr>
        <w:t>.</w:t>
      </w:r>
    </w:p>
    <w:p w14:paraId="3B5B581C" w14:textId="77777777" w:rsidR="003837C6" w:rsidRPr="005444AA" w:rsidRDefault="003837C6" w:rsidP="005444AA">
      <w:pPr>
        <w:pStyle w:val="ListParagraph"/>
        <w:spacing w:after="0" w:line="240" w:lineRule="auto"/>
        <w:jc w:val="both"/>
        <w:rPr>
          <w:rFonts w:asciiTheme="minorHAnsi" w:eastAsia="Times New Roman" w:hAnsiTheme="minorHAnsi"/>
          <w:lang w:val="en" w:eastAsia="hr-HR"/>
        </w:rPr>
      </w:pPr>
    </w:p>
    <w:p w14:paraId="2B96EEAD" w14:textId="5B13731C" w:rsidR="004B7E3E" w:rsidRPr="006B318F" w:rsidRDefault="00F17AF0" w:rsidP="006B318F">
      <w:pPr>
        <w:pStyle w:val="ListParagraph"/>
        <w:numPr>
          <w:ilvl w:val="0"/>
          <w:numId w:val="48"/>
        </w:numPr>
        <w:autoSpaceDE w:val="0"/>
        <w:autoSpaceDN w:val="0"/>
        <w:spacing w:after="0" w:line="240" w:lineRule="auto"/>
        <w:ind w:left="709" w:hanging="425"/>
        <w:jc w:val="both"/>
        <w:rPr>
          <w:rFonts w:asciiTheme="minorHAnsi" w:eastAsia="Times New Roman" w:hAnsiTheme="minorHAnsi"/>
          <w:lang w:val="en" w:eastAsia="hr-HR"/>
        </w:rPr>
      </w:pPr>
      <w:r w:rsidRPr="005444AA">
        <w:rPr>
          <w:rFonts w:asciiTheme="minorHAnsi" w:eastAsia="Times New Roman" w:hAnsiTheme="minorHAnsi"/>
          <w:lang w:val="en" w:eastAsia="hr-HR"/>
        </w:rPr>
        <w:t xml:space="preserve">New </w:t>
      </w:r>
      <w:r w:rsidR="00AF594B">
        <w:rPr>
          <w:rFonts w:asciiTheme="minorHAnsi" w:eastAsia="Times New Roman" w:hAnsiTheme="minorHAnsi"/>
          <w:lang w:val="en" w:eastAsia="hr-HR"/>
        </w:rPr>
        <w:t xml:space="preserve">Interpretation - </w:t>
      </w:r>
      <w:r w:rsidRPr="005444AA">
        <w:rPr>
          <w:rFonts w:asciiTheme="minorHAnsi" w:eastAsia="Times New Roman" w:hAnsiTheme="minorHAnsi"/>
          <w:lang w:val="en" w:eastAsia="hr-HR"/>
        </w:rPr>
        <w:t xml:space="preserve">IFRIC 23 </w:t>
      </w:r>
      <w:r w:rsidRPr="005444AA">
        <w:rPr>
          <w:rFonts w:ascii="EYInterstate-LightItalic" w:hAnsi="EYInterstate-LightItalic"/>
          <w:iCs/>
          <w:color w:val="000000"/>
        </w:rPr>
        <w:t>Uncertainty over Income Tax Treatments</w:t>
      </w:r>
      <w:r w:rsidRPr="00F17AF0">
        <w:rPr>
          <w:rFonts w:ascii="EYInterstate-LightItalic" w:hAnsi="EYInterstate-LightItalic"/>
          <w:iCs/>
          <w:color w:val="000000"/>
        </w:rPr>
        <w:t xml:space="preserve"> </w:t>
      </w:r>
      <w:r w:rsidRPr="005444AA">
        <w:rPr>
          <w:rFonts w:asciiTheme="minorHAnsi" w:eastAsia="Times New Roman" w:hAnsiTheme="minorHAnsi" w:cs="Arial"/>
          <w:bCs/>
          <w:lang w:val="en-US"/>
        </w:rPr>
        <w:t xml:space="preserve">(effective for periods beginning on or after 1 January 2019, but have not been adopted in the European Union yet) - </w:t>
      </w:r>
      <w:r w:rsidRPr="005444AA">
        <w:rPr>
          <w:rFonts w:ascii="EYInterstate-Light" w:hAnsi="EYInterstate-Light"/>
          <w:color w:val="000000"/>
        </w:rPr>
        <w:t>The Interpretation addresses the accounting for income taxes when tax treatments</w:t>
      </w:r>
      <w:r w:rsidRPr="00F17AF0">
        <w:rPr>
          <w:rFonts w:ascii="EYInterstate-Light" w:hAnsi="EYInterstate-Light"/>
          <w:color w:val="000000"/>
        </w:rPr>
        <w:t xml:space="preserve"> </w:t>
      </w:r>
      <w:r w:rsidRPr="005444AA">
        <w:rPr>
          <w:rFonts w:ascii="EYInterstate-Light" w:hAnsi="EYInterstate-Light"/>
          <w:color w:val="000000"/>
        </w:rPr>
        <w:t>involve uncertainty that affects the application of IAS 12. The Interpretation does</w:t>
      </w:r>
      <w:r w:rsidRPr="00F17AF0">
        <w:rPr>
          <w:rFonts w:ascii="EYInterstate-Light" w:hAnsi="EYInterstate-Light"/>
          <w:color w:val="000000"/>
        </w:rPr>
        <w:t xml:space="preserve"> </w:t>
      </w:r>
      <w:r w:rsidRPr="005444AA">
        <w:rPr>
          <w:rFonts w:ascii="EYInterstate-Light" w:hAnsi="EYInterstate-Light"/>
          <w:color w:val="000000"/>
        </w:rPr>
        <w:t>not apply to taxes or levies outside the scope of IAS 12, nor does it specifically</w:t>
      </w:r>
      <w:r w:rsidRPr="00F17AF0">
        <w:rPr>
          <w:rFonts w:ascii="EYInterstate-Light" w:hAnsi="EYInterstate-Light"/>
          <w:color w:val="000000"/>
        </w:rPr>
        <w:t xml:space="preserve"> </w:t>
      </w:r>
      <w:r w:rsidRPr="005444AA">
        <w:rPr>
          <w:rFonts w:ascii="EYInterstate-Light" w:hAnsi="EYInterstate-Light"/>
          <w:color w:val="000000"/>
        </w:rPr>
        <w:t>include requirements relating to interest and penalties associated with uncertain</w:t>
      </w:r>
      <w:r>
        <w:rPr>
          <w:rFonts w:ascii="EYInterstate-Light" w:hAnsi="EYInterstate-Light"/>
          <w:color w:val="000000"/>
        </w:rPr>
        <w:t xml:space="preserve"> </w:t>
      </w:r>
      <w:r w:rsidRPr="005444AA">
        <w:rPr>
          <w:rFonts w:ascii="EYInterstate-Light" w:hAnsi="EYInterstate-Light"/>
          <w:color w:val="000000"/>
        </w:rPr>
        <w:t>tax treatments.</w:t>
      </w:r>
    </w:p>
    <w:p w14:paraId="584F2DB3" w14:textId="6B5D57DA" w:rsidR="00F17AF0" w:rsidRDefault="00CB798F" w:rsidP="00F17AF0">
      <w:pPr>
        <w:suppressAutoHyphens/>
        <w:autoSpaceDN w:val="0"/>
        <w:spacing w:after="0" w:line="240" w:lineRule="auto"/>
        <w:ind w:left="720"/>
        <w:contextualSpacing/>
        <w:jc w:val="both"/>
        <w:textAlignment w:val="baseline"/>
        <w:rPr>
          <w:rFonts w:eastAsia="Times New Roman"/>
          <w:lang w:val="hr-HR" w:eastAsia="hr-HR"/>
        </w:rPr>
      </w:pPr>
      <w:proofErr w:type="spellStart"/>
      <w:r w:rsidRPr="005444AA">
        <w:rPr>
          <w:rFonts w:eastAsia="Times New Roman"/>
          <w:lang w:val="hr-HR" w:eastAsia="hr-HR"/>
        </w:rPr>
        <w:t>The</w:t>
      </w:r>
      <w:proofErr w:type="spellEnd"/>
      <w:r w:rsidRPr="005444AA">
        <w:rPr>
          <w:rFonts w:eastAsia="Times New Roman"/>
          <w:lang w:val="hr-HR" w:eastAsia="hr-HR"/>
        </w:rPr>
        <w:t xml:space="preserve"> Group </w:t>
      </w:r>
      <w:proofErr w:type="spellStart"/>
      <w:r w:rsidRPr="005444AA">
        <w:rPr>
          <w:rFonts w:eastAsia="Times New Roman"/>
          <w:lang w:val="hr-HR" w:eastAsia="hr-HR"/>
        </w:rPr>
        <w:t>currently</w:t>
      </w:r>
      <w:proofErr w:type="spellEnd"/>
      <w:r w:rsidRPr="005444AA">
        <w:rPr>
          <w:rFonts w:eastAsia="Times New Roman"/>
          <w:lang w:val="hr-HR" w:eastAsia="hr-HR"/>
        </w:rPr>
        <w:t xml:space="preserve"> </w:t>
      </w:r>
      <w:proofErr w:type="spellStart"/>
      <w:r w:rsidRPr="005444AA">
        <w:rPr>
          <w:rFonts w:eastAsia="Times New Roman"/>
          <w:lang w:val="hr-HR" w:eastAsia="hr-HR"/>
        </w:rPr>
        <w:t>estimates</w:t>
      </w:r>
      <w:proofErr w:type="spellEnd"/>
      <w:r w:rsidRPr="005444AA">
        <w:rPr>
          <w:rFonts w:eastAsia="Times New Roman"/>
          <w:lang w:val="hr-HR" w:eastAsia="hr-HR"/>
        </w:rPr>
        <w:t xml:space="preserve"> </w:t>
      </w:r>
      <w:proofErr w:type="spellStart"/>
      <w:r w:rsidRPr="005444AA">
        <w:rPr>
          <w:rFonts w:eastAsia="Times New Roman"/>
          <w:lang w:val="hr-HR" w:eastAsia="hr-HR"/>
        </w:rPr>
        <w:t>the</w:t>
      </w:r>
      <w:proofErr w:type="spellEnd"/>
      <w:r w:rsidRPr="005444AA">
        <w:rPr>
          <w:rFonts w:eastAsia="Times New Roman"/>
          <w:lang w:val="hr-HR" w:eastAsia="hr-HR"/>
        </w:rPr>
        <w:t xml:space="preserve"> </w:t>
      </w:r>
      <w:proofErr w:type="spellStart"/>
      <w:r w:rsidRPr="005444AA">
        <w:rPr>
          <w:rFonts w:eastAsia="Times New Roman"/>
          <w:lang w:val="hr-HR" w:eastAsia="hr-HR"/>
        </w:rPr>
        <w:t>impact</w:t>
      </w:r>
      <w:proofErr w:type="spellEnd"/>
      <w:r w:rsidRPr="005444AA">
        <w:rPr>
          <w:rFonts w:eastAsia="Times New Roman"/>
          <w:lang w:val="hr-HR" w:eastAsia="hr-HR"/>
        </w:rPr>
        <w:t xml:space="preserve"> </w:t>
      </w:r>
      <w:proofErr w:type="spellStart"/>
      <w:r w:rsidRPr="005444AA">
        <w:rPr>
          <w:rFonts w:eastAsia="Times New Roman"/>
          <w:lang w:val="hr-HR" w:eastAsia="hr-HR"/>
        </w:rPr>
        <w:t>of</w:t>
      </w:r>
      <w:proofErr w:type="spellEnd"/>
      <w:r w:rsidRPr="005444AA">
        <w:rPr>
          <w:rFonts w:eastAsia="Times New Roman"/>
          <w:lang w:val="hr-HR" w:eastAsia="hr-HR"/>
        </w:rPr>
        <w:t xml:space="preserve"> </w:t>
      </w:r>
      <w:proofErr w:type="spellStart"/>
      <w:r w:rsidRPr="005444AA">
        <w:rPr>
          <w:rFonts w:eastAsia="Times New Roman"/>
          <w:lang w:val="hr-HR" w:eastAsia="hr-HR"/>
        </w:rPr>
        <w:t>these</w:t>
      </w:r>
      <w:proofErr w:type="spellEnd"/>
      <w:r w:rsidRPr="005444AA">
        <w:rPr>
          <w:rFonts w:eastAsia="Times New Roman"/>
          <w:lang w:val="hr-HR" w:eastAsia="hr-HR"/>
        </w:rPr>
        <w:t xml:space="preserve"> </w:t>
      </w:r>
      <w:proofErr w:type="spellStart"/>
      <w:r w:rsidRPr="005444AA">
        <w:rPr>
          <w:rFonts w:eastAsia="Times New Roman"/>
          <w:lang w:val="hr-HR" w:eastAsia="hr-HR"/>
        </w:rPr>
        <w:t>interpretations</w:t>
      </w:r>
      <w:proofErr w:type="spellEnd"/>
      <w:r w:rsidRPr="005444AA">
        <w:rPr>
          <w:rFonts w:eastAsia="Times New Roman"/>
          <w:lang w:val="hr-HR" w:eastAsia="hr-HR"/>
        </w:rPr>
        <w:t xml:space="preserve"> on </w:t>
      </w:r>
      <w:proofErr w:type="spellStart"/>
      <w:r w:rsidRPr="005444AA">
        <w:rPr>
          <w:rFonts w:eastAsia="Times New Roman"/>
          <w:lang w:val="hr-HR" w:eastAsia="hr-HR"/>
        </w:rPr>
        <w:t>financial</w:t>
      </w:r>
      <w:proofErr w:type="spellEnd"/>
      <w:r w:rsidRPr="005444AA">
        <w:rPr>
          <w:rFonts w:eastAsia="Times New Roman"/>
          <w:lang w:val="hr-HR" w:eastAsia="hr-HR"/>
        </w:rPr>
        <w:t xml:space="preserve"> </w:t>
      </w:r>
      <w:proofErr w:type="spellStart"/>
      <w:r w:rsidRPr="005444AA">
        <w:rPr>
          <w:rFonts w:eastAsia="Times New Roman"/>
          <w:lang w:val="hr-HR" w:eastAsia="hr-HR"/>
        </w:rPr>
        <w:t>reporting</w:t>
      </w:r>
      <w:proofErr w:type="spellEnd"/>
      <w:r w:rsidR="00F17AF0" w:rsidRPr="00EA6B68">
        <w:rPr>
          <w:rFonts w:eastAsia="Times New Roman"/>
          <w:lang w:val="hr-HR" w:eastAsia="hr-HR"/>
        </w:rPr>
        <w:t>.</w:t>
      </w:r>
    </w:p>
    <w:p w14:paraId="56D23B6E" w14:textId="77777777" w:rsidR="00983175" w:rsidRDefault="00983175" w:rsidP="006B318F">
      <w:pPr>
        <w:suppressAutoHyphens/>
        <w:autoSpaceDN w:val="0"/>
        <w:spacing w:after="0" w:line="240" w:lineRule="auto"/>
        <w:jc w:val="both"/>
        <w:textAlignment w:val="baseline"/>
        <w:rPr>
          <w:rFonts w:eastAsia="Times New Roman"/>
          <w:lang w:val="hr-HR" w:eastAsia="hr-HR"/>
        </w:rPr>
      </w:pPr>
    </w:p>
    <w:p w14:paraId="1C4D9359" w14:textId="1433F1F6" w:rsidR="00983175" w:rsidRDefault="00983175" w:rsidP="006B318F">
      <w:pPr>
        <w:pStyle w:val="ListParagraph"/>
        <w:suppressAutoHyphens/>
        <w:autoSpaceDN w:val="0"/>
        <w:spacing w:after="0" w:line="240" w:lineRule="auto"/>
        <w:jc w:val="both"/>
        <w:textAlignment w:val="baseline"/>
        <w:rPr>
          <w:rFonts w:asciiTheme="minorHAnsi" w:eastAsia="Times New Roman" w:hAnsiTheme="minorHAnsi" w:cs="Arial"/>
          <w:bCs/>
          <w:lang w:val="en-US"/>
        </w:rPr>
      </w:pPr>
      <w:r w:rsidRPr="001C521F">
        <w:rPr>
          <w:rFonts w:asciiTheme="minorHAnsi" w:eastAsia="Times New Roman" w:hAnsiTheme="minorHAnsi"/>
          <w:lang w:val="en" w:eastAsia="hr-HR"/>
        </w:rPr>
        <w:t>Amend</w:t>
      </w:r>
      <w:r w:rsidRPr="001C521F">
        <w:rPr>
          <w:rFonts w:asciiTheme="minorHAnsi" w:eastAsia="Times New Roman" w:hAnsiTheme="minorHAnsi"/>
          <w:lang w:val="en" w:eastAsia="hr-HR"/>
        </w:rPr>
        <w:softHyphen/>
        <w:t xml:space="preserve">ments to IFRS 9 - </w:t>
      </w:r>
      <w:r w:rsidRPr="001C521F">
        <w:rPr>
          <w:lang w:eastAsia="hr-HR"/>
        </w:rPr>
        <w:t>„</w:t>
      </w:r>
      <w:r w:rsidRPr="001C521F">
        <w:rPr>
          <w:rFonts w:asciiTheme="minorHAnsi" w:eastAsia="Times New Roman" w:hAnsiTheme="minorHAnsi"/>
          <w:lang w:val="en" w:eastAsia="hr-HR"/>
        </w:rPr>
        <w:t>Pre</w:t>
      </w:r>
      <w:r w:rsidRPr="001C521F">
        <w:rPr>
          <w:rFonts w:asciiTheme="minorHAnsi" w:eastAsia="Times New Roman" w:hAnsiTheme="minorHAnsi"/>
          <w:lang w:val="en" w:eastAsia="hr-HR"/>
        </w:rPr>
        <w:softHyphen/>
        <w:t>pay</w:t>
      </w:r>
      <w:r w:rsidRPr="001C521F">
        <w:rPr>
          <w:rFonts w:asciiTheme="minorHAnsi" w:eastAsia="Times New Roman" w:hAnsiTheme="minorHAnsi"/>
          <w:lang w:val="en" w:eastAsia="hr-HR"/>
        </w:rPr>
        <w:softHyphen/>
        <w:t>ment Features with Negative Com</w:t>
      </w:r>
      <w:r w:rsidRPr="001C521F">
        <w:rPr>
          <w:rFonts w:asciiTheme="minorHAnsi" w:eastAsia="Times New Roman" w:hAnsiTheme="minorHAnsi"/>
          <w:lang w:val="en" w:eastAsia="hr-HR"/>
        </w:rPr>
        <w:softHyphen/>
        <w:t>pen</w:t>
      </w:r>
      <w:r w:rsidRPr="001C521F">
        <w:rPr>
          <w:rFonts w:asciiTheme="minorHAnsi" w:eastAsia="Times New Roman" w:hAnsiTheme="minorHAnsi"/>
          <w:lang w:val="en" w:eastAsia="hr-HR"/>
        </w:rPr>
        <w:softHyphen/>
        <w:t>sa</w:t>
      </w:r>
      <w:r w:rsidRPr="001C521F">
        <w:rPr>
          <w:rFonts w:asciiTheme="minorHAnsi" w:eastAsia="Times New Roman" w:hAnsiTheme="minorHAnsi"/>
          <w:lang w:val="en" w:eastAsia="hr-HR"/>
        </w:rPr>
        <w:softHyphen/>
        <w:t>tion</w:t>
      </w:r>
      <w:proofErr w:type="gramStart"/>
      <w:r w:rsidRPr="001C521F">
        <w:rPr>
          <w:lang w:eastAsia="hr-HR"/>
        </w:rPr>
        <w:t>“</w:t>
      </w:r>
      <w:r>
        <w:rPr>
          <w:lang w:eastAsia="hr-HR"/>
        </w:rPr>
        <w:t xml:space="preserve"> (</w:t>
      </w:r>
      <w:proofErr w:type="gramEnd"/>
      <w:r w:rsidRPr="00947CB7">
        <w:rPr>
          <w:rFonts w:asciiTheme="minorHAnsi" w:eastAsia="Times New Roman" w:hAnsiTheme="minorHAnsi" w:cs="Arial"/>
          <w:bCs/>
          <w:lang w:val="en-US"/>
        </w:rPr>
        <w:t>effective for periods beginning on or after 1 January 20</w:t>
      </w:r>
      <w:r>
        <w:rPr>
          <w:rFonts w:asciiTheme="minorHAnsi" w:eastAsia="Times New Roman" w:hAnsiTheme="minorHAnsi" w:cs="Arial"/>
          <w:bCs/>
          <w:lang w:val="en-US"/>
        </w:rPr>
        <w:t>19</w:t>
      </w:r>
      <w:r w:rsidRPr="00947CB7">
        <w:rPr>
          <w:rFonts w:asciiTheme="minorHAnsi" w:eastAsia="Times New Roman" w:hAnsiTheme="minorHAnsi" w:cs="Arial"/>
          <w:bCs/>
          <w:lang w:val="en-US"/>
        </w:rPr>
        <w:t>, but have not been ado</w:t>
      </w:r>
      <w:r>
        <w:rPr>
          <w:rFonts w:asciiTheme="minorHAnsi" w:eastAsia="Times New Roman" w:hAnsiTheme="minorHAnsi" w:cs="Arial"/>
          <w:bCs/>
          <w:lang w:val="en-US"/>
        </w:rPr>
        <w:t>pted in the European Union yet).</w:t>
      </w:r>
    </w:p>
    <w:p w14:paraId="671A6DBC" w14:textId="05F39243" w:rsidR="00983175" w:rsidRPr="006B318F" w:rsidRDefault="00983175" w:rsidP="006B318F">
      <w:pPr>
        <w:pStyle w:val="ListParagraph"/>
        <w:suppressAutoHyphens/>
        <w:autoSpaceDN w:val="0"/>
        <w:spacing w:after="0" w:line="240" w:lineRule="auto"/>
        <w:jc w:val="both"/>
        <w:textAlignment w:val="baseline"/>
        <w:rPr>
          <w:rFonts w:asciiTheme="minorHAnsi" w:eastAsia="Times New Roman" w:hAnsiTheme="minorHAnsi"/>
          <w:lang w:val="en" w:eastAsia="hr-HR"/>
        </w:rPr>
      </w:pPr>
      <w:r w:rsidRPr="006B318F">
        <w:rPr>
          <w:rFonts w:asciiTheme="minorHAnsi" w:eastAsia="Times New Roman" w:hAnsiTheme="minorHAnsi"/>
          <w:lang w:val="en" w:eastAsia="hr-HR"/>
        </w:rPr>
        <w:t xml:space="preserve">The amendments to the financial instruments Standard IFRS 9, allow companies to measure particular </w:t>
      </w:r>
      <w:proofErr w:type="spellStart"/>
      <w:r w:rsidRPr="006B318F">
        <w:rPr>
          <w:rFonts w:asciiTheme="minorHAnsi" w:eastAsia="Times New Roman" w:hAnsiTheme="minorHAnsi"/>
          <w:lang w:val="en" w:eastAsia="hr-HR"/>
        </w:rPr>
        <w:t>prepayable</w:t>
      </w:r>
      <w:proofErr w:type="spellEnd"/>
      <w:r w:rsidRPr="006B318F">
        <w:rPr>
          <w:rFonts w:asciiTheme="minorHAnsi" w:eastAsia="Times New Roman" w:hAnsiTheme="minorHAnsi"/>
          <w:lang w:val="en" w:eastAsia="hr-HR"/>
        </w:rPr>
        <w:t xml:space="preserve"> financial assets with so-called negative compensation at </w:t>
      </w:r>
      <w:proofErr w:type="spellStart"/>
      <w:r w:rsidRPr="006B318F">
        <w:rPr>
          <w:rFonts w:asciiTheme="minorHAnsi" w:eastAsia="Times New Roman" w:hAnsiTheme="minorHAnsi"/>
          <w:lang w:val="en" w:eastAsia="hr-HR"/>
        </w:rPr>
        <w:t>amortised</w:t>
      </w:r>
      <w:proofErr w:type="spellEnd"/>
      <w:r w:rsidRPr="006B318F">
        <w:rPr>
          <w:rFonts w:asciiTheme="minorHAnsi" w:eastAsia="Times New Roman" w:hAnsiTheme="minorHAnsi"/>
          <w:lang w:val="en" w:eastAsia="hr-HR"/>
        </w:rPr>
        <w:t xml:space="preserve"> cost or at fair value through other comprehensive income if a specified condition is met—instead of at fair value through profit or loss.</w:t>
      </w:r>
    </w:p>
    <w:p w14:paraId="52C7255E" w14:textId="7E23B7A4" w:rsidR="00271B20" w:rsidRDefault="00983175">
      <w:pPr>
        <w:spacing w:after="0" w:line="240" w:lineRule="auto"/>
        <w:ind w:left="720"/>
        <w:jc w:val="both"/>
        <w:rPr>
          <w:rFonts w:eastAsia="Times New Roman"/>
          <w:lang w:val="hr-HR" w:eastAsia="hr-HR"/>
        </w:rPr>
      </w:pPr>
      <w:proofErr w:type="spellStart"/>
      <w:r w:rsidRPr="005444AA">
        <w:rPr>
          <w:rFonts w:eastAsia="Times New Roman"/>
          <w:lang w:val="hr-HR" w:eastAsia="hr-HR"/>
        </w:rPr>
        <w:t>The</w:t>
      </w:r>
      <w:proofErr w:type="spellEnd"/>
      <w:r w:rsidRPr="005444AA">
        <w:rPr>
          <w:rFonts w:eastAsia="Times New Roman"/>
          <w:lang w:val="hr-HR" w:eastAsia="hr-HR"/>
        </w:rPr>
        <w:t xml:space="preserve"> Group </w:t>
      </w:r>
      <w:proofErr w:type="spellStart"/>
      <w:r w:rsidRPr="005444AA">
        <w:rPr>
          <w:rFonts w:eastAsia="Times New Roman"/>
          <w:lang w:val="hr-HR" w:eastAsia="hr-HR"/>
        </w:rPr>
        <w:t>currently</w:t>
      </w:r>
      <w:proofErr w:type="spellEnd"/>
      <w:r w:rsidRPr="005444AA">
        <w:rPr>
          <w:rFonts w:eastAsia="Times New Roman"/>
          <w:lang w:val="hr-HR" w:eastAsia="hr-HR"/>
        </w:rPr>
        <w:t xml:space="preserve"> </w:t>
      </w:r>
      <w:proofErr w:type="spellStart"/>
      <w:r w:rsidRPr="005444AA">
        <w:rPr>
          <w:rFonts w:eastAsia="Times New Roman"/>
          <w:lang w:val="hr-HR" w:eastAsia="hr-HR"/>
        </w:rPr>
        <w:t>estimates</w:t>
      </w:r>
      <w:proofErr w:type="spellEnd"/>
      <w:r w:rsidRPr="005444AA">
        <w:rPr>
          <w:rFonts w:eastAsia="Times New Roman"/>
          <w:lang w:val="hr-HR" w:eastAsia="hr-HR"/>
        </w:rPr>
        <w:t xml:space="preserve"> </w:t>
      </w:r>
      <w:proofErr w:type="spellStart"/>
      <w:r w:rsidRPr="005444AA">
        <w:rPr>
          <w:rFonts w:eastAsia="Times New Roman"/>
          <w:lang w:val="hr-HR" w:eastAsia="hr-HR"/>
        </w:rPr>
        <w:t>the</w:t>
      </w:r>
      <w:proofErr w:type="spellEnd"/>
      <w:r w:rsidRPr="005444AA">
        <w:rPr>
          <w:rFonts w:eastAsia="Times New Roman"/>
          <w:lang w:val="hr-HR" w:eastAsia="hr-HR"/>
        </w:rPr>
        <w:t xml:space="preserve"> </w:t>
      </w:r>
      <w:proofErr w:type="spellStart"/>
      <w:r w:rsidRPr="005444AA">
        <w:rPr>
          <w:rFonts w:eastAsia="Times New Roman"/>
          <w:lang w:val="hr-HR" w:eastAsia="hr-HR"/>
        </w:rPr>
        <w:t>impact</w:t>
      </w:r>
      <w:proofErr w:type="spellEnd"/>
      <w:r w:rsidRPr="005444AA">
        <w:rPr>
          <w:rFonts w:eastAsia="Times New Roman"/>
          <w:lang w:val="hr-HR" w:eastAsia="hr-HR"/>
        </w:rPr>
        <w:t xml:space="preserve"> </w:t>
      </w:r>
      <w:proofErr w:type="spellStart"/>
      <w:r w:rsidRPr="005444AA">
        <w:rPr>
          <w:rFonts w:eastAsia="Times New Roman"/>
          <w:lang w:val="hr-HR" w:eastAsia="hr-HR"/>
        </w:rPr>
        <w:t>of</w:t>
      </w:r>
      <w:proofErr w:type="spellEnd"/>
      <w:r w:rsidRPr="005444AA">
        <w:rPr>
          <w:rFonts w:eastAsia="Times New Roman"/>
          <w:lang w:val="hr-HR" w:eastAsia="hr-HR"/>
        </w:rPr>
        <w:t xml:space="preserve"> </w:t>
      </w:r>
      <w:proofErr w:type="spellStart"/>
      <w:r w:rsidRPr="005444AA">
        <w:rPr>
          <w:rFonts w:eastAsia="Times New Roman"/>
          <w:lang w:val="hr-HR" w:eastAsia="hr-HR"/>
        </w:rPr>
        <w:t>these</w:t>
      </w:r>
      <w:proofErr w:type="spellEnd"/>
      <w:r w:rsidRPr="005444AA">
        <w:rPr>
          <w:rFonts w:eastAsia="Times New Roman"/>
          <w:lang w:val="hr-HR" w:eastAsia="hr-HR"/>
        </w:rPr>
        <w:t xml:space="preserve"> </w:t>
      </w:r>
      <w:proofErr w:type="spellStart"/>
      <w:r w:rsidRPr="005444AA">
        <w:rPr>
          <w:rFonts w:eastAsia="Times New Roman"/>
          <w:lang w:val="hr-HR" w:eastAsia="hr-HR"/>
        </w:rPr>
        <w:t>interpretations</w:t>
      </w:r>
      <w:proofErr w:type="spellEnd"/>
      <w:r w:rsidRPr="005444AA">
        <w:rPr>
          <w:rFonts w:eastAsia="Times New Roman"/>
          <w:lang w:val="hr-HR" w:eastAsia="hr-HR"/>
        </w:rPr>
        <w:t xml:space="preserve"> on </w:t>
      </w:r>
      <w:proofErr w:type="spellStart"/>
      <w:r w:rsidRPr="005444AA">
        <w:rPr>
          <w:rFonts w:eastAsia="Times New Roman"/>
          <w:lang w:val="hr-HR" w:eastAsia="hr-HR"/>
        </w:rPr>
        <w:t>financial</w:t>
      </w:r>
      <w:proofErr w:type="spellEnd"/>
      <w:r w:rsidRPr="005444AA">
        <w:rPr>
          <w:rFonts w:eastAsia="Times New Roman"/>
          <w:lang w:val="hr-HR" w:eastAsia="hr-HR"/>
        </w:rPr>
        <w:t xml:space="preserve"> </w:t>
      </w:r>
      <w:proofErr w:type="spellStart"/>
      <w:r w:rsidRPr="005444AA">
        <w:rPr>
          <w:rFonts w:eastAsia="Times New Roman"/>
          <w:lang w:val="hr-HR" w:eastAsia="hr-HR"/>
        </w:rPr>
        <w:t>reporting</w:t>
      </w:r>
      <w:proofErr w:type="spellEnd"/>
      <w:r>
        <w:rPr>
          <w:rFonts w:eastAsia="Times New Roman"/>
          <w:lang w:val="hr-HR" w:eastAsia="hr-HR"/>
        </w:rPr>
        <w:t>.</w:t>
      </w:r>
    </w:p>
    <w:p w14:paraId="4560A2E7" w14:textId="77777777" w:rsidR="00271B20" w:rsidRDefault="00271B20" w:rsidP="006B318F">
      <w:pPr>
        <w:pStyle w:val="ListParagraph"/>
        <w:suppressAutoHyphens/>
        <w:autoSpaceDN w:val="0"/>
        <w:spacing w:after="0" w:line="240" w:lineRule="auto"/>
        <w:ind w:left="1440"/>
        <w:jc w:val="both"/>
        <w:textAlignment w:val="baseline"/>
        <w:rPr>
          <w:rFonts w:eastAsia="Times New Roman"/>
          <w:lang w:val="hr-HR" w:eastAsia="hr-HR"/>
        </w:rPr>
      </w:pPr>
    </w:p>
    <w:p w14:paraId="52CB5B68" w14:textId="3B4906C4" w:rsidR="00AD5D89" w:rsidRDefault="00AD5D89" w:rsidP="006B318F">
      <w:pPr>
        <w:pStyle w:val="ListParagraph"/>
        <w:numPr>
          <w:ilvl w:val="0"/>
          <w:numId w:val="109"/>
        </w:numPr>
        <w:suppressAutoHyphens/>
        <w:autoSpaceDN w:val="0"/>
        <w:spacing w:after="0" w:line="240" w:lineRule="auto"/>
        <w:jc w:val="both"/>
        <w:textAlignment w:val="baseline"/>
        <w:rPr>
          <w:rFonts w:asciiTheme="minorHAnsi" w:eastAsia="Times New Roman" w:hAnsiTheme="minorHAnsi" w:cs="Arial"/>
          <w:bCs/>
          <w:lang w:val="en-US"/>
        </w:rPr>
      </w:pPr>
      <w:proofErr w:type="spellStart"/>
      <w:r w:rsidRPr="006B318F">
        <w:rPr>
          <w:rFonts w:eastAsia="Times New Roman"/>
          <w:lang w:val="hr-HR" w:eastAsia="hr-HR"/>
        </w:rPr>
        <w:t>Amendments</w:t>
      </w:r>
      <w:proofErr w:type="spellEnd"/>
      <w:r w:rsidRPr="006B318F">
        <w:rPr>
          <w:rFonts w:eastAsia="Times New Roman"/>
          <w:lang w:val="hr-HR" w:eastAsia="hr-HR"/>
        </w:rPr>
        <w:t xml:space="preserve"> to IAS 28</w:t>
      </w:r>
      <w:r w:rsidR="00271B20" w:rsidRPr="006B318F">
        <w:rPr>
          <w:rFonts w:eastAsia="Times New Roman"/>
          <w:lang w:val="hr-HR" w:eastAsia="hr-HR"/>
        </w:rPr>
        <w:t xml:space="preserve"> </w:t>
      </w:r>
      <w:r w:rsidR="00271B20" w:rsidRPr="006B318F">
        <w:rPr>
          <w:rFonts w:asciiTheme="minorHAnsi" w:eastAsia="Times New Roman" w:hAnsiTheme="minorHAnsi"/>
          <w:lang w:val="en-US"/>
        </w:rPr>
        <w:t>Investments in Associates</w:t>
      </w:r>
      <w:r w:rsidR="00271B20" w:rsidRPr="00544F0B">
        <w:rPr>
          <w:bCs/>
          <w:iCs/>
          <w:lang w:val="en-US"/>
        </w:rPr>
        <w:t xml:space="preserve"> and Joint Ventures (</w:t>
      </w:r>
      <w:r w:rsidR="00271B20" w:rsidRPr="006B318F">
        <w:rPr>
          <w:rFonts w:asciiTheme="minorHAnsi" w:eastAsia="Times New Roman" w:hAnsiTheme="minorHAnsi" w:cs="Arial"/>
          <w:bCs/>
          <w:lang w:val="en-US"/>
        </w:rPr>
        <w:t>effective for periods beginning on or after 1 January 2019, but have not been adopted in the European Union yet).</w:t>
      </w:r>
    </w:p>
    <w:p w14:paraId="1B126093" w14:textId="77777777" w:rsidR="00271B20" w:rsidRDefault="00271B20" w:rsidP="006B318F">
      <w:pPr>
        <w:pStyle w:val="ListParagraph"/>
        <w:suppressAutoHyphens/>
        <w:autoSpaceDN w:val="0"/>
        <w:spacing w:after="0" w:line="240" w:lineRule="auto"/>
        <w:jc w:val="both"/>
        <w:textAlignment w:val="baseline"/>
        <w:rPr>
          <w:rFonts w:asciiTheme="minorHAnsi" w:eastAsia="Times New Roman" w:hAnsiTheme="minorHAnsi" w:cs="Arial"/>
          <w:bCs/>
          <w:lang w:val="en-US"/>
        </w:rPr>
      </w:pPr>
      <w:r w:rsidRPr="00271B20">
        <w:rPr>
          <w:rFonts w:asciiTheme="minorHAnsi" w:eastAsia="Times New Roman" w:hAnsiTheme="minorHAnsi" w:cs="Arial"/>
          <w:bCs/>
          <w:lang w:val="en-US"/>
        </w:rPr>
        <w:t xml:space="preserve">The Amendments clarify that an entity applies IFRS 9 Financial Instruments to long-term interests in an associate or joint venture that, in substance, form part of the net investment in the associate or joint venture but to which the equity method is not applied. </w:t>
      </w:r>
    </w:p>
    <w:p w14:paraId="7B954E2A" w14:textId="2B0F99E8" w:rsidR="00271B20" w:rsidRDefault="00271B20" w:rsidP="006B318F">
      <w:pPr>
        <w:pStyle w:val="ListParagraph"/>
        <w:suppressAutoHyphens/>
        <w:autoSpaceDN w:val="0"/>
        <w:spacing w:after="0" w:line="240" w:lineRule="auto"/>
        <w:jc w:val="both"/>
        <w:textAlignment w:val="baseline"/>
        <w:rPr>
          <w:rFonts w:asciiTheme="minorHAnsi" w:eastAsia="Times New Roman" w:hAnsiTheme="minorHAnsi" w:cs="Arial"/>
          <w:bCs/>
          <w:lang w:val="en-US"/>
        </w:rPr>
      </w:pPr>
      <w:r w:rsidRPr="00271B20">
        <w:rPr>
          <w:rFonts w:asciiTheme="minorHAnsi" w:eastAsia="Times New Roman" w:hAnsiTheme="minorHAnsi" w:cs="Arial"/>
          <w:bCs/>
          <w:lang w:val="en-US"/>
        </w:rPr>
        <w:t>An entity applies IFRS 9 to such long-term interests before it applies IAS 28. In applying IFRS 9, the entity does not take account of any adjustments to the carrying amount of long-term interests that arise from applying IAS 28.</w:t>
      </w:r>
    </w:p>
    <w:p w14:paraId="3490395C" w14:textId="2A87BF35" w:rsidR="000C3AD7" w:rsidRPr="006B318F" w:rsidRDefault="000C3AD7" w:rsidP="006B318F">
      <w:pPr>
        <w:pStyle w:val="ListParagraph"/>
        <w:suppressAutoHyphens/>
        <w:autoSpaceDN w:val="0"/>
        <w:spacing w:after="0" w:line="240" w:lineRule="auto"/>
        <w:jc w:val="both"/>
        <w:textAlignment w:val="baseline"/>
        <w:rPr>
          <w:rFonts w:asciiTheme="minorHAnsi" w:eastAsia="Times New Roman" w:hAnsiTheme="minorHAnsi" w:cs="Arial"/>
          <w:bCs/>
          <w:lang w:val="en-US"/>
        </w:rPr>
      </w:pPr>
      <w:proofErr w:type="spellStart"/>
      <w:r w:rsidRPr="005444AA">
        <w:rPr>
          <w:rFonts w:eastAsia="Times New Roman"/>
          <w:lang w:val="hr-HR" w:eastAsia="hr-HR"/>
        </w:rPr>
        <w:t>The</w:t>
      </w:r>
      <w:proofErr w:type="spellEnd"/>
      <w:r w:rsidRPr="005444AA">
        <w:rPr>
          <w:rFonts w:eastAsia="Times New Roman"/>
          <w:lang w:val="hr-HR" w:eastAsia="hr-HR"/>
        </w:rPr>
        <w:t xml:space="preserve"> Group </w:t>
      </w:r>
      <w:proofErr w:type="spellStart"/>
      <w:r w:rsidRPr="005444AA">
        <w:rPr>
          <w:rFonts w:eastAsia="Times New Roman"/>
          <w:lang w:val="hr-HR" w:eastAsia="hr-HR"/>
        </w:rPr>
        <w:t>currently</w:t>
      </w:r>
      <w:proofErr w:type="spellEnd"/>
      <w:r w:rsidRPr="005444AA">
        <w:rPr>
          <w:rFonts w:eastAsia="Times New Roman"/>
          <w:lang w:val="hr-HR" w:eastAsia="hr-HR"/>
        </w:rPr>
        <w:t xml:space="preserve"> </w:t>
      </w:r>
      <w:proofErr w:type="spellStart"/>
      <w:r w:rsidRPr="005444AA">
        <w:rPr>
          <w:rFonts w:eastAsia="Times New Roman"/>
          <w:lang w:val="hr-HR" w:eastAsia="hr-HR"/>
        </w:rPr>
        <w:t>estimates</w:t>
      </w:r>
      <w:proofErr w:type="spellEnd"/>
      <w:r w:rsidRPr="005444AA">
        <w:rPr>
          <w:rFonts w:eastAsia="Times New Roman"/>
          <w:lang w:val="hr-HR" w:eastAsia="hr-HR"/>
        </w:rPr>
        <w:t xml:space="preserve"> </w:t>
      </w:r>
      <w:proofErr w:type="spellStart"/>
      <w:r w:rsidRPr="005444AA">
        <w:rPr>
          <w:rFonts w:eastAsia="Times New Roman"/>
          <w:lang w:val="hr-HR" w:eastAsia="hr-HR"/>
        </w:rPr>
        <w:t>the</w:t>
      </w:r>
      <w:proofErr w:type="spellEnd"/>
      <w:r w:rsidRPr="005444AA">
        <w:rPr>
          <w:rFonts w:eastAsia="Times New Roman"/>
          <w:lang w:val="hr-HR" w:eastAsia="hr-HR"/>
        </w:rPr>
        <w:t xml:space="preserve"> </w:t>
      </w:r>
      <w:proofErr w:type="spellStart"/>
      <w:r w:rsidRPr="005444AA">
        <w:rPr>
          <w:rFonts w:eastAsia="Times New Roman"/>
          <w:lang w:val="hr-HR" w:eastAsia="hr-HR"/>
        </w:rPr>
        <w:t>impact</w:t>
      </w:r>
      <w:proofErr w:type="spellEnd"/>
      <w:r w:rsidRPr="005444AA">
        <w:rPr>
          <w:rFonts w:eastAsia="Times New Roman"/>
          <w:lang w:val="hr-HR" w:eastAsia="hr-HR"/>
        </w:rPr>
        <w:t xml:space="preserve"> </w:t>
      </w:r>
      <w:proofErr w:type="spellStart"/>
      <w:r w:rsidRPr="005444AA">
        <w:rPr>
          <w:rFonts w:eastAsia="Times New Roman"/>
          <w:lang w:val="hr-HR" w:eastAsia="hr-HR"/>
        </w:rPr>
        <w:t>of</w:t>
      </w:r>
      <w:proofErr w:type="spellEnd"/>
      <w:r w:rsidRPr="005444AA">
        <w:rPr>
          <w:rFonts w:eastAsia="Times New Roman"/>
          <w:lang w:val="hr-HR" w:eastAsia="hr-HR"/>
        </w:rPr>
        <w:t xml:space="preserve"> </w:t>
      </w:r>
      <w:proofErr w:type="spellStart"/>
      <w:r w:rsidRPr="005444AA">
        <w:rPr>
          <w:rFonts w:eastAsia="Times New Roman"/>
          <w:lang w:val="hr-HR" w:eastAsia="hr-HR"/>
        </w:rPr>
        <w:t>these</w:t>
      </w:r>
      <w:proofErr w:type="spellEnd"/>
      <w:r w:rsidRPr="005444AA">
        <w:rPr>
          <w:rFonts w:eastAsia="Times New Roman"/>
          <w:lang w:val="hr-HR" w:eastAsia="hr-HR"/>
        </w:rPr>
        <w:t xml:space="preserve"> </w:t>
      </w:r>
      <w:proofErr w:type="spellStart"/>
      <w:r w:rsidRPr="005444AA">
        <w:rPr>
          <w:rFonts w:eastAsia="Times New Roman"/>
          <w:lang w:val="hr-HR" w:eastAsia="hr-HR"/>
        </w:rPr>
        <w:t>interpretations</w:t>
      </w:r>
      <w:proofErr w:type="spellEnd"/>
      <w:r w:rsidRPr="005444AA">
        <w:rPr>
          <w:rFonts w:eastAsia="Times New Roman"/>
          <w:lang w:val="hr-HR" w:eastAsia="hr-HR"/>
        </w:rPr>
        <w:t xml:space="preserve"> on </w:t>
      </w:r>
      <w:proofErr w:type="spellStart"/>
      <w:r w:rsidRPr="005444AA">
        <w:rPr>
          <w:rFonts w:eastAsia="Times New Roman"/>
          <w:lang w:val="hr-HR" w:eastAsia="hr-HR"/>
        </w:rPr>
        <w:t>financial</w:t>
      </w:r>
      <w:proofErr w:type="spellEnd"/>
      <w:r w:rsidRPr="005444AA">
        <w:rPr>
          <w:rFonts w:eastAsia="Times New Roman"/>
          <w:lang w:val="hr-HR" w:eastAsia="hr-HR"/>
        </w:rPr>
        <w:t xml:space="preserve"> </w:t>
      </w:r>
      <w:proofErr w:type="spellStart"/>
      <w:r w:rsidRPr="005444AA">
        <w:rPr>
          <w:rFonts w:eastAsia="Times New Roman"/>
          <w:lang w:val="hr-HR" w:eastAsia="hr-HR"/>
        </w:rPr>
        <w:t>reporting</w:t>
      </w:r>
      <w:proofErr w:type="spellEnd"/>
      <w:r>
        <w:rPr>
          <w:rFonts w:eastAsia="Times New Roman"/>
          <w:lang w:val="hr-HR" w:eastAsia="hr-HR"/>
        </w:rPr>
        <w:t>.</w:t>
      </w:r>
    </w:p>
    <w:p w14:paraId="07AAD262" w14:textId="4741325E" w:rsidR="0022355A" w:rsidRDefault="0022355A" w:rsidP="006B318F">
      <w:pPr>
        <w:tabs>
          <w:tab w:val="left" w:pos="6510"/>
        </w:tabs>
        <w:rPr>
          <w:rFonts w:eastAsia="Times New Roman" w:cs="Arial"/>
          <w:sz w:val="19"/>
          <w:szCs w:val="19"/>
          <w:lang w:val="en"/>
        </w:rPr>
      </w:pPr>
      <w:r>
        <w:rPr>
          <w:rFonts w:eastAsia="Times New Roman" w:cs="Arial"/>
          <w:sz w:val="19"/>
          <w:szCs w:val="19"/>
          <w:lang w:val="en"/>
        </w:rPr>
        <w:tab/>
      </w:r>
    </w:p>
    <w:p w14:paraId="316EDEFC" w14:textId="056D256B" w:rsidR="00247D4C" w:rsidRDefault="0022355A" w:rsidP="006B318F">
      <w:pPr>
        <w:tabs>
          <w:tab w:val="left" w:pos="6510"/>
        </w:tabs>
        <w:rPr>
          <w:rFonts w:eastAsia="Times New Roman" w:cs="Arial"/>
          <w:sz w:val="19"/>
          <w:szCs w:val="19"/>
          <w:lang w:val="en"/>
        </w:rPr>
        <w:sectPr w:rsidR="00247D4C" w:rsidSect="00947CB7">
          <w:footerReference w:type="first" r:id="rId52"/>
          <w:pgSz w:w="11906" w:h="16838" w:code="9"/>
          <w:pgMar w:top="1418" w:right="1418" w:bottom="595" w:left="1134" w:header="709" w:footer="709" w:gutter="0"/>
          <w:cols w:space="708"/>
          <w:titlePg/>
          <w:docGrid w:linePitch="360"/>
        </w:sectPr>
      </w:pPr>
      <w:r>
        <w:rPr>
          <w:rFonts w:eastAsia="Times New Roman" w:cs="Arial"/>
          <w:sz w:val="19"/>
          <w:szCs w:val="19"/>
          <w:lang w:val="en"/>
        </w:rPr>
        <w:tab/>
      </w:r>
    </w:p>
    <w:p w14:paraId="5ACA4875" w14:textId="77777777" w:rsidR="00AE09B0" w:rsidRPr="00947CB7" w:rsidRDefault="00AE09B0" w:rsidP="00C4266C">
      <w:pPr>
        <w:spacing w:after="0" w:line="240" w:lineRule="auto"/>
        <w:rPr>
          <w:rFonts w:eastAsia="Times New Roman" w:cs="Arial"/>
          <w:sz w:val="19"/>
          <w:szCs w:val="19"/>
          <w:lang w:val="en"/>
        </w:rPr>
      </w:pPr>
    </w:p>
    <w:p w14:paraId="1D4A888C" w14:textId="77777777" w:rsidR="00AE09B0" w:rsidRPr="0034501D" w:rsidRDefault="00AE09B0" w:rsidP="006379CB">
      <w:pPr>
        <w:tabs>
          <w:tab w:val="left" w:pos="567"/>
        </w:tabs>
        <w:spacing w:after="0" w:line="240" w:lineRule="auto"/>
        <w:jc w:val="both"/>
        <w:rPr>
          <w:rFonts w:eastAsia="Times New Roman" w:cs="Calibri"/>
          <w:b/>
          <w:lang w:eastAsia="hr-HR"/>
        </w:rPr>
      </w:pPr>
      <w:r w:rsidRPr="0034501D">
        <w:rPr>
          <w:rFonts w:eastAsia="Times New Roman" w:cs="Calibri"/>
          <w:b/>
          <w:spacing w:val="-3"/>
          <w:lang w:eastAsia="hr-HR"/>
        </w:rPr>
        <w:t xml:space="preserve">4. </w:t>
      </w:r>
      <w:r w:rsidRPr="0034501D">
        <w:rPr>
          <w:rFonts w:eastAsia="Times New Roman" w:cs="Calibri"/>
          <w:b/>
          <w:spacing w:val="-3"/>
          <w:lang w:eastAsia="hr-HR"/>
        </w:rPr>
        <w:tab/>
      </w:r>
      <w:r w:rsidR="00A106A1" w:rsidRPr="0034501D">
        <w:rPr>
          <w:rFonts w:eastAsia="Times New Roman" w:cs="Calibri"/>
          <w:b/>
          <w:spacing w:val="-3"/>
          <w:lang w:eastAsia="hr-HR"/>
        </w:rPr>
        <w:t xml:space="preserve"> </w:t>
      </w:r>
      <w:r w:rsidR="00BE3DF8" w:rsidRPr="0034501D">
        <w:rPr>
          <w:rFonts w:cs="Arial"/>
          <w:b/>
        </w:rPr>
        <w:t>Interest income</w:t>
      </w:r>
    </w:p>
    <w:p w14:paraId="4F6526BE" w14:textId="77777777" w:rsidR="006379CB" w:rsidRPr="0034501D" w:rsidRDefault="006379CB" w:rsidP="006379CB">
      <w:pPr>
        <w:tabs>
          <w:tab w:val="left" w:pos="-720"/>
          <w:tab w:val="left" w:pos="426"/>
        </w:tabs>
        <w:suppressAutoHyphens/>
        <w:spacing w:after="0" w:line="240" w:lineRule="auto"/>
        <w:jc w:val="both"/>
        <w:rPr>
          <w:rFonts w:eastAsia="Times New Roman" w:cs="Arial"/>
        </w:rPr>
      </w:pPr>
    </w:p>
    <w:p w14:paraId="768C3697" w14:textId="77777777" w:rsidR="00AE09B0" w:rsidRPr="0034501D" w:rsidRDefault="00BE3DF8" w:rsidP="006379CB">
      <w:pPr>
        <w:tabs>
          <w:tab w:val="left" w:pos="-720"/>
          <w:tab w:val="left" w:pos="426"/>
        </w:tabs>
        <w:suppressAutoHyphens/>
        <w:spacing w:after="0" w:line="240" w:lineRule="auto"/>
        <w:jc w:val="both"/>
        <w:rPr>
          <w:rFonts w:eastAsia="Times New Roman" w:cs="Arial"/>
        </w:rPr>
      </w:pPr>
      <w:r w:rsidRPr="0034501D">
        <w:rPr>
          <w:rFonts w:cs="Arial"/>
        </w:rPr>
        <w:t>Interest income by borrowers</w:t>
      </w:r>
      <w:r w:rsidR="00202F35" w:rsidRPr="0034501D">
        <w:rPr>
          <w:rFonts w:eastAsia="Times New Roman" w:cs="Arial"/>
        </w:rPr>
        <w:t>:</w:t>
      </w:r>
    </w:p>
    <w:p w14:paraId="7C172A73" w14:textId="77777777" w:rsidR="00202F35" w:rsidRPr="0034501D" w:rsidRDefault="00202F35" w:rsidP="00202F35">
      <w:pPr>
        <w:pStyle w:val="ListParagraph"/>
        <w:tabs>
          <w:tab w:val="left" w:pos="-720"/>
          <w:tab w:val="left" w:pos="426"/>
        </w:tabs>
        <w:suppressAutoHyphens/>
        <w:spacing w:after="0" w:line="240" w:lineRule="auto"/>
        <w:ind w:left="714"/>
        <w:jc w:val="both"/>
        <w:rPr>
          <w:rFonts w:eastAsia="Times New Roman" w:cs="Calibri"/>
          <w:b/>
          <w:spacing w:val="-3"/>
          <w:lang w:eastAsia="hr-HR"/>
        </w:rPr>
      </w:pPr>
    </w:p>
    <w:tbl>
      <w:tblPr>
        <w:tblW w:w="5015" w:type="pct"/>
        <w:tblInd w:w="-142" w:type="dxa"/>
        <w:tblLayout w:type="fixed"/>
        <w:tblLook w:val="0000" w:firstRow="0" w:lastRow="0" w:firstColumn="0" w:lastColumn="0" w:noHBand="0" w:noVBand="0"/>
      </w:tblPr>
      <w:tblGrid>
        <w:gridCol w:w="2672"/>
        <w:gridCol w:w="1525"/>
        <w:gridCol w:w="1525"/>
        <w:gridCol w:w="1526"/>
        <w:gridCol w:w="1526"/>
        <w:gridCol w:w="1526"/>
        <w:gridCol w:w="1526"/>
        <w:gridCol w:w="1526"/>
        <w:gridCol w:w="1517"/>
      </w:tblGrid>
      <w:tr w:rsidR="00B05DE3" w:rsidRPr="0034501D" w14:paraId="6A8CE25C" w14:textId="77777777" w:rsidTr="004C0B45">
        <w:trPr>
          <w:trHeight w:val="322"/>
        </w:trPr>
        <w:tc>
          <w:tcPr>
            <w:tcW w:w="899" w:type="pct"/>
          </w:tcPr>
          <w:p w14:paraId="1FC477B0" w14:textId="77777777" w:rsidR="00B05DE3" w:rsidRPr="00AE5B06" w:rsidRDefault="00B05DE3" w:rsidP="004C0B45">
            <w:pPr>
              <w:tabs>
                <w:tab w:val="left" w:pos="-720"/>
              </w:tabs>
              <w:suppressAutoHyphens/>
              <w:spacing w:after="0" w:line="240" w:lineRule="auto"/>
              <w:ind w:right="4144"/>
              <w:jc w:val="right"/>
              <w:rPr>
                <w:rFonts w:eastAsia="Times New Roman" w:cs="Arial"/>
                <w:sz w:val="20"/>
                <w:szCs w:val="20"/>
              </w:rPr>
            </w:pPr>
          </w:p>
        </w:tc>
        <w:tc>
          <w:tcPr>
            <w:tcW w:w="2052" w:type="pct"/>
            <w:gridSpan w:val="4"/>
          </w:tcPr>
          <w:p w14:paraId="4F3062CB" w14:textId="77777777" w:rsidR="00B05DE3" w:rsidRPr="00AE5B06" w:rsidRDefault="000B7919" w:rsidP="004C0B45">
            <w:pPr>
              <w:spacing w:after="0" w:line="280" w:lineRule="exact"/>
              <w:jc w:val="right"/>
              <w:outlineLvl w:val="0"/>
              <w:rPr>
                <w:rFonts w:asciiTheme="minorHAnsi" w:eastAsia="Times New Roman" w:hAnsiTheme="minorHAnsi" w:cs="Arial"/>
                <w:b/>
                <w:bCs/>
                <w:sz w:val="20"/>
                <w:szCs w:val="20"/>
                <w:lang w:val="hr-HR"/>
              </w:rPr>
            </w:pPr>
            <w:r>
              <w:rPr>
                <w:rFonts w:eastAsia="Times New Roman" w:cs="Arial"/>
                <w:b/>
                <w:sz w:val="20"/>
                <w:szCs w:val="20"/>
              </w:rPr>
              <w:t>Group</w:t>
            </w:r>
            <w:r w:rsidR="00B05DE3">
              <w:rPr>
                <w:rFonts w:eastAsia="Times New Roman" w:cs="Arial"/>
                <w:b/>
                <w:sz w:val="20"/>
                <w:szCs w:val="20"/>
              </w:rPr>
              <w:t xml:space="preserve"> </w:t>
            </w:r>
          </w:p>
        </w:tc>
        <w:tc>
          <w:tcPr>
            <w:tcW w:w="2050" w:type="pct"/>
            <w:gridSpan w:val="4"/>
          </w:tcPr>
          <w:p w14:paraId="0E4AE702" w14:textId="77777777" w:rsidR="00B05DE3" w:rsidRPr="00AE5B06" w:rsidRDefault="00B05DE3" w:rsidP="004C0B45">
            <w:pPr>
              <w:spacing w:after="0" w:line="280" w:lineRule="exact"/>
              <w:jc w:val="right"/>
              <w:outlineLvl w:val="0"/>
              <w:rPr>
                <w:rFonts w:asciiTheme="minorHAnsi" w:eastAsia="Times New Roman" w:hAnsiTheme="minorHAnsi" w:cs="Arial"/>
                <w:b/>
                <w:bCs/>
                <w:sz w:val="20"/>
                <w:szCs w:val="20"/>
                <w:lang w:val="hr-HR"/>
              </w:rPr>
            </w:pPr>
            <w:r w:rsidRPr="007B5C5E">
              <w:rPr>
                <w:rFonts w:eastAsia="Times New Roman" w:cs="Arial"/>
                <w:b/>
                <w:sz w:val="20"/>
                <w:szCs w:val="20"/>
              </w:rPr>
              <w:t>Bank</w:t>
            </w:r>
          </w:p>
        </w:tc>
      </w:tr>
      <w:tr w:rsidR="00B05DE3" w:rsidRPr="0034501D" w14:paraId="7923AE18" w14:textId="77777777" w:rsidTr="004C0B45">
        <w:trPr>
          <w:trHeight w:val="322"/>
        </w:trPr>
        <w:tc>
          <w:tcPr>
            <w:tcW w:w="899" w:type="pct"/>
          </w:tcPr>
          <w:p w14:paraId="39D4CAD3" w14:textId="77777777" w:rsidR="00B05DE3" w:rsidRPr="00AE5B06" w:rsidRDefault="00B05DE3" w:rsidP="004C0B45">
            <w:pPr>
              <w:tabs>
                <w:tab w:val="left" w:pos="-720"/>
              </w:tabs>
              <w:suppressAutoHyphens/>
              <w:spacing w:after="0" w:line="240" w:lineRule="auto"/>
              <w:ind w:right="4144"/>
              <w:jc w:val="right"/>
              <w:rPr>
                <w:rFonts w:eastAsia="Times New Roman" w:cs="Arial"/>
                <w:sz w:val="20"/>
                <w:szCs w:val="20"/>
              </w:rPr>
            </w:pPr>
          </w:p>
        </w:tc>
        <w:tc>
          <w:tcPr>
            <w:tcW w:w="1026" w:type="pct"/>
            <w:gridSpan w:val="2"/>
          </w:tcPr>
          <w:p w14:paraId="3375CD9B" w14:textId="77777777" w:rsidR="00B05DE3" w:rsidRPr="00AE5B06" w:rsidRDefault="00B05DE3" w:rsidP="00B05DE3">
            <w:pPr>
              <w:spacing w:after="0" w:line="280" w:lineRule="exact"/>
              <w:jc w:val="center"/>
              <w:outlineLvl w:val="0"/>
              <w:rPr>
                <w:rFonts w:eastAsia="Times New Roman" w:cs="Arial"/>
                <w:b/>
                <w:bCs/>
                <w:sz w:val="20"/>
                <w:szCs w:val="20"/>
              </w:rPr>
            </w:pPr>
            <w:r w:rsidRPr="00584AE9">
              <w:rPr>
                <w:rFonts w:asciiTheme="minorHAnsi" w:eastAsia="Times New Roman" w:hAnsiTheme="minorHAnsi" w:cs="Arial"/>
                <w:b/>
                <w:bCs/>
                <w:sz w:val="20"/>
                <w:szCs w:val="20"/>
                <w:lang w:val="hr-HR"/>
              </w:rPr>
              <w:t>201</w:t>
            </w:r>
            <w:r>
              <w:rPr>
                <w:rFonts w:asciiTheme="minorHAnsi" w:eastAsia="Times New Roman" w:hAnsiTheme="minorHAnsi" w:cs="Arial"/>
                <w:b/>
                <w:bCs/>
                <w:sz w:val="20"/>
                <w:szCs w:val="20"/>
                <w:lang w:val="hr-HR"/>
              </w:rPr>
              <w:t>7</w:t>
            </w:r>
          </w:p>
        </w:tc>
        <w:tc>
          <w:tcPr>
            <w:tcW w:w="1026" w:type="pct"/>
            <w:gridSpan w:val="2"/>
          </w:tcPr>
          <w:p w14:paraId="495D7BB0" w14:textId="77777777" w:rsidR="00B05DE3" w:rsidRPr="00AE5B06" w:rsidRDefault="00B05DE3" w:rsidP="00B05DE3">
            <w:pPr>
              <w:spacing w:after="0" w:line="280" w:lineRule="exact"/>
              <w:jc w:val="center"/>
              <w:outlineLvl w:val="0"/>
              <w:rPr>
                <w:rFonts w:eastAsia="Times New Roman" w:cs="Arial"/>
                <w:b/>
                <w:bCs/>
                <w:sz w:val="20"/>
                <w:szCs w:val="20"/>
              </w:rPr>
            </w:pPr>
            <w:r w:rsidRPr="00584AE9">
              <w:rPr>
                <w:rFonts w:asciiTheme="minorHAnsi" w:eastAsia="Times New Roman" w:hAnsiTheme="minorHAnsi" w:cs="Arial"/>
                <w:b/>
                <w:bCs/>
                <w:sz w:val="20"/>
                <w:szCs w:val="20"/>
                <w:lang w:val="hr-HR"/>
              </w:rPr>
              <w:t>201</w:t>
            </w:r>
            <w:r>
              <w:rPr>
                <w:rFonts w:asciiTheme="minorHAnsi" w:eastAsia="Times New Roman" w:hAnsiTheme="minorHAnsi" w:cs="Arial"/>
                <w:b/>
                <w:bCs/>
                <w:sz w:val="20"/>
                <w:szCs w:val="20"/>
                <w:lang w:val="hr-HR"/>
              </w:rPr>
              <w:t>6</w:t>
            </w:r>
          </w:p>
        </w:tc>
        <w:tc>
          <w:tcPr>
            <w:tcW w:w="1026" w:type="pct"/>
            <w:gridSpan w:val="2"/>
          </w:tcPr>
          <w:p w14:paraId="225EFA9D" w14:textId="77777777" w:rsidR="00B05DE3" w:rsidRPr="00AE5B06" w:rsidRDefault="00B05DE3" w:rsidP="006276CB">
            <w:pPr>
              <w:spacing w:after="0" w:line="280" w:lineRule="exact"/>
              <w:jc w:val="center"/>
              <w:outlineLvl w:val="0"/>
              <w:rPr>
                <w:rFonts w:eastAsia="Times New Roman" w:cs="Arial"/>
                <w:b/>
                <w:bCs/>
                <w:sz w:val="20"/>
                <w:szCs w:val="20"/>
              </w:rPr>
            </w:pPr>
            <w:r w:rsidRPr="00584AE9">
              <w:rPr>
                <w:rFonts w:asciiTheme="minorHAnsi" w:eastAsia="Times New Roman" w:hAnsiTheme="minorHAnsi" w:cs="Arial"/>
                <w:b/>
                <w:bCs/>
                <w:sz w:val="20"/>
                <w:szCs w:val="20"/>
                <w:lang w:val="hr-HR"/>
              </w:rPr>
              <w:t>201</w:t>
            </w:r>
            <w:r w:rsidR="006276CB">
              <w:rPr>
                <w:rFonts w:asciiTheme="minorHAnsi" w:eastAsia="Times New Roman" w:hAnsiTheme="minorHAnsi" w:cs="Arial"/>
                <w:b/>
                <w:bCs/>
                <w:sz w:val="20"/>
                <w:szCs w:val="20"/>
                <w:lang w:val="hr-HR"/>
              </w:rPr>
              <w:t>7</w:t>
            </w:r>
          </w:p>
        </w:tc>
        <w:tc>
          <w:tcPr>
            <w:tcW w:w="1023" w:type="pct"/>
            <w:gridSpan w:val="2"/>
          </w:tcPr>
          <w:p w14:paraId="30C10D30" w14:textId="77777777" w:rsidR="00B05DE3" w:rsidRPr="00AE5B06" w:rsidRDefault="00B05DE3" w:rsidP="006276CB">
            <w:pPr>
              <w:spacing w:after="0" w:line="280" w:lineRule="exact"/>
              <w:jc w:val="center"/>
              <w:outlineLvl w:val="0"/>
              <w:rPr>
                <w:rFonts w:eastAsia="Times New Roman" w:cs="Arial"/>
                <w:b/>
                <w:bCs/>
                <w:sz w:val="20"/>
                <w:szCs w:val="20"/>
              </w:rPr>
            </w:pPr>
            <w:r w:rsidRPr="00584AE9">
              <w:rPr>
                <w:rFonts w:asciiTheme="minorHAnsi" w:eastAsia="Times New Roman" w:hAnsiTheme="minorHAnsi" w:cs="Arial"/>
                <w:b/>
                <w:bCs/>
                <w:sz w:val="20"/>
                <w:szCs w:val="20"/>
                <w:lang w:val="hr-HR"/>
              </w:rPr>
              <w:t>201</w:t>
            </w:r>
            <w:r w:rsidR="006276CB">
              <w:rPr>
                <w:rFonts w:asciiTheme="minorHAnsi" w:eastAsia="Times New Roman" w:hAnsiTheme="minorHAnsi" w:cs="Arial"/>
                <w:b/>
                <w:bCs/>
                <w:sz w:val="20"/>
                <w:szCs w:val="20"/>
                <w:lang w:val="hr-HR"/>
              </w:rPr>
              <w:t>6</w:t>
            </w:r>
          </w:p>
        </w:tc>
      </w:tr>
      <w:tr w:rsidR="00B05DE3" w:rsidRPr="0034501D" w14:paraId="428AC6BA" w14:textId="77777777" w:rsidTr="004C0B45">
        <w:trPr>
          <w:trHeight w:val="322"/>
        </w:trPr>
        <w:tc>
          <w:tcPr>
            <w:tcW w:w="899" w:type="pct"/>
          </w:tcPr>
          <w:p w14:paraId="68DACFBE" w14:textId="77777777" w:rsidR="00B05DE3" w:rsidRPr="00AE5B06" w:rsidRDefault="00B05DE3" w:rsidP="004C0B45">
            <w:pPr>
              <w:tabs>
                <w:tab w:val="left" w:pos="-720"/>
              </w:tabs>
              <w:suppressAutoHyphens/>
              <w:spacing w:after="0" w:line="240" w:lineRule="auto"/>
              <w:ind w:right="4144"/>
              <w:jc w:val="right"/>
              <w:rPr>
                <w:rFonts w:eastAsia="Times New Roman" w:cs="Arial"/>
                <w:sz w:val="20"/>
                <w:szCs w:val="20"/>
              </w:rPr>
            </w:pPr>
          </w:p>
        </w:tc>
        <w:tc>
          <w:tcPr>
            <w:tcW w:w="513" w:type="pct"/>
            <w:vAlign w:val="center"/>
          </w:tcPr>
          <w:p w14:paraId="2D60A423" w14:textId="77777777" w:rsidR="00B05DE3" w:rsidRPr="00584AE9" w:rsidRDefault="00B05DE3" w:rsidP="004C0B45">
            <w:pPr>
              <w:spacing w:after="0" w:line="301" w:lineRule="exact"/>
              <w:jc w:val="center"/>
              <w:outlineLvl w:val="0"/>
              <w:rPr>
                <w:rFonts w:eastAsia="Times New Roman" w:cs="Calibri"/>
                <w:bCs/>
                <w:sz w:val="20"/>
                <w:szCs w:val="20"/>
              </w:rPr>
            </w:pPr>
            <w:r w:rsidRPr="00584AE9">
              <w:rPr>
                <w:rFonts w:eastAsia="Times New Roman" w:cs="Calibri"/>
                <w:bCs/>
                <w:sz w:val="20"/>
                <w:szCs w:val="20"/>
              </w:rPr>
              <w:t>Current period</w:t>
            </w:r>
          </w:p>
          <w:p w14:paraId="6F858CB5" w14:textId="27D6165A" w:rsidR="00B05DE3" w:rsidRDefault="00337B86" w:rsidP="004C0B45">
            <w:pPr>
              <w:spacing w:after="0" w:line="280" w:lineRule="exact"/>
              <w:jc w:val="center"/>
              <w:outlineLvl w:val="0"/>
              <w:rPr>
                <w:rFonts w:cs="Calibri"/>
                <w:bCs/>
                <w:sz w:val="20"/>
                <w:szCs w:val="20"/>
              </w:rPr>
            </w:pPr>
            <w:r>
              <w:rPr>
                <w:rFonts w:cs="Calibri"/>
                <w:bCs/>
                <w:sz w:val="20"/>
                <w:szCs w:val="20"/>
              </w:rPr>
              <w:t>July</w:t>
            </w:r>
            <w:r w:rsidRPr="00584AE9">
              <w:rPr>
                <w:rFonts w:cs="Calibri"/>
                <w:bCs/>
                <w:sz w:val="20"/>
                <w:szCs w:val="20"/>
              </w:rPr>
              <w:t xml:space="preserve"> </w:t>
            </w:r>
            <w:r w:rsidR="00B05DE3" w:rsidRPr="00584AE9">
              <w:rPr>
                <w:rFonts w:cs="Calibri"/>
                <w:bCs/>
                <w:sz w:val="20"/>
                <w:szCs w:val="20"/>
              </w:rPr>
              <w:t xml:space="preserve">1 – </w:t>
            </w:r>
          </w:p>
          <w:p w14:paraId="7173EC38" w14:textId="5B244612" w:rsidR="00B05DE3" w:rsidRPr="00AE5B06" w:rsidRDefault="00337B86" w:rsidP="004C0B45">
            <w:pPr>
              <w:spacing w:after="0" w:line="280" w:lineRule="exact"/>
              <w:jc w:val="center"/>
              <w:outlineLvl w:val="0"/>
              <w:rPr>
                <w:rFonts w:eastAsia="Times New Roman" w:cs="Arial"/>
                <w:b/>
                <w:bCs/>
                <w:sz w:val="20"/>
                <w:szCs w:val="20"/>
              </w:rPr>
            </w:pPr>
            <w:r>
              <w:rPr>
                <w:rFonts w:cs="Calibri"/>
                <w:bCs/>
                <w:sz w:val="20"/>
                <w:szCs w:val="20"/>
              </w:rPr>
              <w:t>September</w:t>
            </w:r>
            <w:r w:rsidRPr="00584AE9">
              <w:rPr>
                <w:rFonts w:cs="Calibri"/>
                <w:bCs/>
                <w:sz w:val="20"/>
                <w:szCs w:val="20"/>
              </w:rPr>
              <w:t xml:space="preserve"> </w:t>
            </w:r>
            <w:r w:rsidR="00B05DE3" w:rsidRPr="00584AE9">
              <w:rPr>
                <w:rFonts w:cs="Calibri"/>
                <w:bCs/>
                <w:sz w:val="20"/>
                <w:szCs w:val="20"/>
              </w:rPr>
              <w:t>30</w:t>
            </w:r>
          </w:p>
        </w:tc>
        <w:tc>
          <w:tcPr>
            <w:tcW w:w="513" w:type="pct"/>
            <w:vAlign w:val="center"/>
          </w:tcPr>
          <w:p w14:paraId="073A12EA" w14:textId="77777777" w:rsidR="00B05DE3" w:rsidRPr="00584AE9" w:rsidRDefault="00B05DE3" w:rsidP="004C0B45">
            <w:pPr>
              <w:spacing w:after="0" w:line="301" w:lineRule="exact"/>
              <w:jc w:val="center"/>
              <w:outlineLvl w:val="0"/>
              <w:rPr>
                <w:rFonts w:eastAsia="Times New Roman" w:cs="Calibri"/>
                <w:bCs/>
                <w:sz w:val="20"/>
                <w:szCs w:val="20"/>
              </w:rPr>
            </w:pPr>
            <w:r w:rsidRPr="00584AE9">
              <w:rPr>
                <w:rFonts w:eastAsia="Times New Roman" w:cs="Calibri"/>
                <w:bCs/>
                <w:sz w:val="20"/>
                <w:szCs w:val="20"/>
              </w:rPr>
              <w:t>Cumulatively</w:t>
            </w:r>
          </w:p>
          <w:p w14:paraId="59F44424" w14:textId="19A11667" w:rsidR="00B05DE3" w:rsidRPr="00AE5B06" w:rsidRDefault="00B05DE3">
            <w:pPr>
              <w:spacing w:after="0" w:line="280" w:lineRule="exact"/>
              <w:jc w:val="center"/>
              <w:outlineLvl w:val="0"/>
              <w:rPr>
                <w:rFonts w:eastAsia="Times New Roman" w:cs="Arial"/>
                <w:b/>
                <w:bCs/>
                <w:sz w:val="20"/>
                <w:szCs w:val="20"/>
              </w:rPr>
            </w:pPr>
            <w:r w:rsidRPr="00584AE9">
              <w:rPr>
                <w:rFonts w:cs="Calibri"/>
                <w:bCs/>
                <w:sz w:val="20"/>
                <w:szCs w:val="20"/>
              </w:rPr>
              <w:t xml:space="preserve">January 1 – </w:t>
            </w:r>
            <w:r w:rsidR="00337B86">
              <w:rPr>
                <w:rFonts w:cs="Calibri"/>
                <w:bCs/>
                <w:sz w:val="20"/>
                <w:szCs w:val="20"/>
              </w:rPr>
              <w:t>September</w:t>
            </w:r>
            <w:r w:rsidR="00337B86" w:rsidRPr="00584AE9">
              <w:rPr>
                <w:rFonts w:cs="Calibri"/>
                <w:bCs/>
                <w:sz w:val="20"/>
                <w:szCs w:val="20"/>
              </w:rPr>
              <w:t xml:space="preserve"> </w:t>
            </w:r>
            <w:r w:rsidRPr="00584AE9">
              <w:rPr>
                <w:rFonts w:cs="Calibri"/>
                <w:bCs/>
                <w:sz w:val="20"/>
                <w:szCs w:val="20"/>
              </w:rPr>
              <w:t>30</w:t>
            </w:r>
          </w:p>
        </w:tc>
        <w:tc>
          <w:tcPr>
            <w:tcW w:w="513" w:type="pct"/>
            <w:vAlign w:val="center"/>
          </w:tcPr>
          <w:p w14:paraId="0AE70E92" w14:textId="77777777" w:rsidR="00B05DE3" w:rsidRPr="00584AE9" w:rsidRDefault="00B05DE3" w:rsidP="004C0B45">
            <w:pPr>
              <w:spacing w:after="0" w:line="301" w:lineRule="exact"/>
              <w:jc w:val="center"/>
              <w:outlineLvl w:val="0"/>
              <w:rPr>
                <w:rFonts w:eastAsia="Times New Roman" w:cs="Calibri"/>
                <w:bCs/>
                <w:sz w:val="20"/>
                <w:szCs w:val="20"/>
              </w:rPr>
            </w:pPr>
            <w:r w:rsidRPr="00584AE9">
              <w:rPr>
                <w:rFonts w:eastAsia="Times New Roman" w:cs="Calibri"/>
                <w:bCs/>
                <w:sz w:val="20"/>
                <w:szCs w:val="20"/>
              </w:rPr>
              <w:t>Current period</w:t>
            </w:r>
          </w:p>
          <w:p w14:paraId="5588A411" w14:textId="77777777" w:rsidR="00337B86" w:rsidRPr="00337B86" w:rsidRDefault="00337B86" w:rsidP="00337B86">
            <w:pPr>
              <w:spacing w:after="0" w:line="280" w:lineRule="exact"/>
              <w:jc w:val="center"/>
              <w:outlineLvl w:val="0"/>
              <w:rPr>
                <w:rFonts w:cs="Calibri"/>
                <w:bCs/>
                <w:sz w:val="20"/>
                <w:szCs w:val="20"/>
              </w:rPr>
            </w:pPr>
            <w:r w:rsidRPr="00337B86">
              <w:rPr>
                <w:rFonts w:cs="Calibri"/>
                <w:bCs/>
                <w:sz w:val="20"/>
                <w:szCs w:val="20"/>
              </w:rPr>
              <w:t xml:space="preserve">July 1 – </w:t>
            </w:r>
          </w:p>
          <w:p w14:paraId="2E54680B" w14:textId="555E1354" w:rsidR="00B05DE3" w:rsidRPr="00AE5B06" w:rsidRDefault="00337B86" w:rsidP="00337B86">
            <w:pPr>
              <w:spacing w:after="0" w:line="280" w:lineRule="exact"/>
              <w:jc w:val="center"/>
              <w:outlineLvl w:val="0"/>
              <w:rPr>
                <w:rFonts w:eastAsia="Times New Roman" w:cs="Arial"/>
                <w:b/>
                <w:bCs/>
                <w:sz w:val="20"/>
                <w:szCs w:val="20"/>
              </w:rPr>
            </w:pPr>
            <w:r w:rsidRPr="00337B86">
              <w:rPr>
                <w:rFonts w:cs="Calibri"/>
                <w:bCs/>
                <w:sz w:val="20"/>
                <w:szCs w:val="20"/>
              </w:rPr>
              <w:t>September 30</w:t>
            </w:r>
          </w:p>
        </w:tc>
        <w:tc>
          <w:tcPr>
            <w:tcW w:w="513" w:type="pct"/>
            <w:vAlign w:val="center"/>
          </w:tcPr>
          <w:p w14:paraId="77282D02" w14:textId="77777777" w:rsidR="00B05DE3" w:rsidRPr="00584AE9" w:rsidRDefault="00B05DE3" w:rsidP="004C0B45">
            <w:pPr>
              <w:spacing w:after="0" w:line="301" w:lineRule="exact"/>
              <w:jc w:val="center"/>
              <w:outlineLvl w:val="0"/>
              <w:rPr>
                <w:rFonts w:eastAsia="Times New Roman" w:cs="Calibri"/>
                <w:bCs/>
                <w:sz w:val="20"/>
                <w:szCs w:val="20"/>
              </w:rPr>
            </w:pPr>
            <w:r w:rsidRPr="00584AE9">
              <w:rPr>
                <w:rFonts w:eastAsia="Times New Roman" w:cs="Calibri"/>
                <w:bCs/>
                <w:sz w:val="20"/>
                <w:szCs w:val="20"/>
              </w:rPr>
              <w:t>Cumulatively</w:t>
            </w:r>
          </w:p>
          <w:p w14:paraId="5B539CB6" w14:textId="151862E6" w:rsidR="00B05DE3" w:rsidRPr="00AE5B06" w:rsidRDefault="00B05DE3" w:rsidP="004C0B45">
            <w:pPr>
              <w:spacing w:after="0" w:line="280" w:lineRule="exact"/>
              <w:jc w:val="center"/>
              <w:outlineLvl w:val="0"/>
              <w:rPr>
                <w:rFonts w:eastAsia="Times New Roman" w:cs="Arial"/>
                <w:b/>
                <w:bCs/>
                <w:sz w:val="20"/>
                <w:szCs w:val="20"/>
              </w:rPr>
            </w:pPr>
            <w:r w:rsidRPr="00584AE9">
              <w:rPr>
                <w:rFonts w:cs="Calibri"/>
                <w:bCs/>
                <w:sz w:val="20"/>
                <w:szCs w:val="20"/>
              </w:rPr>
              <w:t xml:space="preserve">January 1 – </w:t>
            </w:r>
            <w:r w:rsidR="00337B86" w:rsidRPr="00337B86">
              <w:rPr>
                <w:rFonts w:cs="Calibri"/>
                <w:bCs/>
                <w:sz w:val="20"/>
                <w:szCs w:val="20"/>
              </w:rPr>
              <w:t>September</w:t>
            </w:r>
            <w:r w:rsidRPr="00584AE9">
              <w:rPr>
                <w:rFonts w:cs="Calibri"/>
                <w:bCs/>
                <w:sz w:val="20"/>
                <w:szCs w:val="20"/>
              </w:rPr>
              <w:t xml:space="preserve"> 30</w:t>
            </w:r>
          </w:p>
        </w:tc>
        <w:tc>
          <w:tcPr>
            <w:tcW w:w="513" w:type="pct"/>
            <w:vAlign w:val="center"/>
          </w:tcPr>
          <w:p w14:paraId="31AFDD0B" w14:textId="77777777" w:rsidR="00B05DE3" w:rsidRPr="00584AE9" w:rsidRDefault="00B05DE3" w:rsidP="004C0B45">
            <w:pPr>
              <w:spacing w:after="0" w:line="301" w:lineRule="exact"/>
              <w:jc w:val="center"/>
              <w:outlineLvl w:val="0"/>
              <w:rPr>
                <w:rFonts w:eastAsia="Times New Roman" w:cs="Calibri"/>
                <w:bCs/>
                <w:sz w:val="20"/>
                <w:szCs w:val="20"/>
              </w:rPr>
            </w:pPr>
            <w:r w:rsidRPr="00584AE9">
              <w:rPr>
                <w:rFonts w:eastAsia="Times New Roman" w:cs="Calibri"/>
                <w:bCs/>
                <w:sz w:val="20"/>
                <w:szCs w:val="20"/>
              </w:rPr>
              <w:t>Current period</w:t>
            </w:r>
          </w:p>
          <w:p w14:paraId="0C9EE8FF" w14:textId="77777777" w:rsidR="00337B86" w:rsidRPr="00337B86" w:rsidRDefault="00337B86" w:rsidP="00337B86">
            <w:pPr>
              <w:spacing w:after="0" w:line="280" w:lineRule="exact"/>
              <w:jc w:val="center"/>
              <w:outlineLvl w:val="0"/>
              <w:rPr>
                <w:rFonts w:cs="Calibri"/>
                <w:bCs/>
                <w:sz w:val="20"/>
                <w:szCs w:val="20"/>
              </w:rPr>
            </w:pPr>
            <w:r w:rsidRPr="00337B86">
              <w:rPr>
                <w:rFonts w:cs="Calibri"/>
                <w:bCs/>
                <w:sz w:val="20"/>
                <w:szCs w:val="20"/>
              </w:rPr>
              <w:t xml:space="preserve">July 1 – </w:t>
            </w:r>
          </w:p>
          <w:p w14:paraId="4DF0E04F" w14:textId="03CF479C" w:rsidR="00B05DE3" w:rsidRPr="00AE5B06" w:rsidRDefault="00337B86" w:rsidP="00337B86">
            <w:pPr>
              <w:spacing w:after="0" w:line="280" w:lineRule="exact"/>
              <w:jc w:val="center"/>
              <w:outlineLvl w:val="0"/>
              <w:rPr>
                <w:rFonts w:eastAsia="Times New Roman" w:cs="Arial"/>
                <w:b/>
                <w:bCs/>
                <w:sz w:val="20"/>
                <w:szCs w:val="20"/>
              </w:rPr>
            </w:pPr>
            <w:r w:rsidRPr="00337B86">
              <w:rPr>
                <w:rFonts w:cs="Calibri"/>
                <w:bCs/>
                <w:sz w:val="20"/>
                <w:szCs w:val="20"/>
              </w:rPr>
              <w:t>September 30</w:t>
            </w:r>
          </w:p>
        </w:tc>
        <w:tc>
          <w:tcPr>
            <w:tcW w:w="513" w:type="pct"/>
            <w:vAlign w:val="center"/>
          </w:tcPr>
          <w:p w14:paraId="2CDA0D9E" w14:textId="77777777" w:rsidR="00B05DE3" w:rsidRPr="00584AE9" w:rsidRDefault="00B05DE3" w:rsidP="004C0B45">
            <w:pPr>
              <w:spacing w:after="0" w:line="301" w:lineRule="exact"/>
              <w:jc w:val="center"/>
              <w:outlineLvl w:val="0"/>
              <w:rPr>
                <w:rFonts w:eastAsia="Times New Roman" w:cs="Calibri"/>
                <w:bCs/>
                <w:sz w:val="20"/>
                <w:szCs w:val="20"/>
              </w:rPr>
            </w:pPr>
            <w:r w:rsidRPr="00584AE9">
              <w:rPr>
                <w:rFonts w:eastAsia="Times New Roman" w:cs="Calibri"/>
                <w:bCs/>
                <w:sz w:val="20"/>
                <w:szCs w:val="20"/>
              </w:rPr>
              <w:t>Cumulatively</w:t>
            </w:r>
          </w:p>
          <w:p w14:paraId="444934D9" w14:textId="41FACBD1" w:rsidR="00B05DE3" w:rsidRPr="00AE5B06" w:rsidRDefault="00B05DE3" w:rsidP="004C0B45">
            <w:pPr>
              <w:spacing w:after="0" w:line="280" w:lineRule="exact"/>
              <w:jc w:val="center"/>
              <w:outlineLvl w:val="0"/>
              <w:rPr>
                <w:rFonts w:eastAsia="Times New Roman" w:cs="Arial"/>
                <w:b/>
                <w:bCs/>
                <w:sz w:val="20"/>
                <w:szCs w:val="20"/>
              </w:rPr>
            </w:pPr>
            <w:r w:rsidRPr="00584AE9">
              <w:rPr>
                <w:rFonts w:cs="Calibri"/>
                <w:bCs/>
                <w:sz w:val="20"/>
                <w:szCs w:val="20"/>
              </w:rPr>
              <w:t xml:space="preserve">January 1 – </w:t>
            </w:r>
            <w:r w:rsidR="00337B86" w:rsidRPr="00337B86">
              <w:rPr>
                <w:rFonts w:cs="Calibri"/>
                <w:bCs/>
                <w:sz w:val="20"/>
                <w:szCs w:val="20"/>
              </w:rPr>
              <w:t>September</w:t>
            </w:r>
            <w:r w:rsidRPr="00584AE9">
              <w:rPr>
                <w:rFonts w:cs="Calibri"/>
                <w:bCs/>
                <w:sz w:val="20"/>
                <w:szCs w:val="20"/>
              </w:rPr>
              <w:t xml:space="preserve"> 30</w:t>
            </w:r>
          </w:p>
        </w:tc>
        <w:tc>
          <w:tcPr>
            <w:tcW w:w="513" w:type="pct"/>
            <w:vAlign w:val="center"/>
          </w:tcPr>
          <w:p w14:paraId="477D497D" w14:textId="77777777" w:rsidR="00B05DE3" w:rsidRPr="00584AE9" w:rsidRDefault="00B05DE3" w:rsidP="004C0B45">
            <w:pPr>
              <w:spacing w:after="0" w:line="301" w:lineRule="exact"/>
              <w:jc w:val="center"/>
              <w:outlineLvl w:val="0"/>
              <w:rPr>
                <w:rFonts w:eastAsia="Times New Roman" w:cs="Calibri"/>
                <w:bCs/>
                <w:sz w:val="20"/>
                <w:szCs w:val="20"/>
              </w:rPr>
            </w:pPr>
            <w:r w:rsidRPr="00584AE9">
              <w:rPr>
                <w:rFonts w:eastAsia="Times New Roman" w:cs="Calibri"/>
                <w:bCs/>
                <w:sz w:val="20"/>
                <w:szCs w:val="20"/>
              </w:rPr>
              <w:t>Current period</w:t>
            </w:r>
          </w:p>
          <w:p w14:paraId="2359D6EA" w14:textId="77777777" w:rsidR="00337B86" w:rsidRPr="00337B86" w:rsidRDefault="00337B86" w:rsidP="00337B86">
            <w:pPr>
              <w:spacing w:after="0" w:line="280" w:lineRule="exact"/>
              <w:jc w:val="center"/>
              <w:outlineLvl w:val="0"/>
              <w:rPr>
                <w:rFonts w:cs="Calibri"/>
                <w:bCs/>
                <w:sz w:val="20"/>
                <w:szCs w:val="20"/>
              </w:rPr>
            </w:pPr>
            <w:r w:rsidRPr="00337B86">
              <w:rPr>
                <w:rFonts w:cs="Calibri"/>
                <w:bCs/>
                <w:sz w:val="20"/>
                <w:szCs w:val="20"/>
              </w:rPr>
              <w:t xml:space="preserve">July 1 – </w:t>
            </w:r>
          </w:p>
          <w:p w14:paraId="3EC285F9" w14:textId="7FD27306" w:rsidR="00B05DE3" w:rsidRPr="00AE5B06" w:rsidRDefault="00337B86" w:rsidP="00337B86">
            <w:pPr>
              <w:spacing w:after="0" w:line="280" w:lineRule="exact"/>
              <w:jc w:val="center"/>
              <w:outlineLvl w:val="0"/>
              <w:rPr>
                <w:rFonts w:eastAsia="Times New Roman" w:cs="Arial"/>
                <w:b/>
                <w:bCs/>
                <w:sz w:val="20"/>
                <w:szCs w:val="20"/>
              </w:rPr>
            </w:pPr>
            <w:r w:rsidRPr="00337B86">
              <w:rPr>
                <w:rFonts w:cs="Calibri"/>
                <w:bCs/>
                <w:sz w:val="20"/>
                <w:szCs w:val="20"/>
              </w:rPr>
              <w:t>September 30</w:t>
            </w:r>
          </w:p>
        </w:tc>
        <w:tc>
          <w:tcPr>
            <w:tcW w:w="510" w:type="pct"/>
            <w:vAlign w:val="center"/>
          </w:tcPr>
          <w:p w14:paraId="479A6B69" w14:textId="77777777" w:rsidR="00B05DE3" w:rsidRPr="00584AE9" w:rsidRDefault="00B05DE3" w:rsidP="004C0B45">
            <w:pPr>
              <w:spacing w:after="0" w:line="301" w:lineRule="exact"/>
              <w:jc w:val="center"/>
              <w:outlineLvl w:val="0"/>
              <w:rPr>
                <w:rFonts w:eastAsia="Times New Roman" w:cs="Calibri"/>
                <w:bCs/>
                <w:sz w:val="20"/>
                <w:szCs w:val="20"/>
              </w:rPr>
            </w:pPr>
            <w:r w:rsidRPr="00584AE9">
              <w:rPr>
                <w:rFonts w:eastAsia="Times New Roman" w:cs="Calibri"/>
                <w:bCs/>
                <w:sz w:val="20"/>
                <w:szCs w:val="20"/>
              </w:rPr>
              <w:t>Cumulatively</w:t>
            </w:r>
          </w:p>
          <w:p w14:paraId="0A177FB4" w14:textId="4793B9AC" w:rsidR="00B05DE3" w:rsidRPr="00AE5B06" w:rsidRDefault="00B05DE3" w:rsidP="004C0B45">
            <w:pPr>
              <w:spacing w:after="0" w:line="280" w:lineRule="exact"/>
              <w:jc w:val="center"/>
              <w:outlineLvl w:val="0"/>
              <w:rPr>
                <w:rFonts w:eastAsia="Times New Roman" w:cs="Arial"/>
                <w:b/>
                <w:bCs/>
                <w:sz w:val="20"/>
                <w:szCs w:val="20"/>
              </w:rPr>
            </w:pPr>
            <w:r w:rsidRPr="00584AE9">
              <w:rPr>
                <w:rFonts w:cs="Calibri"/>
                <w:bCs/>
                <w:sz w:val="20"/>
                <w:szCs w:val="20"/>
              </w:rPr>
              <w:t xml:space="preserve">January 1 – </w:t>
            </w:r>
            <w:r w:rsidR="00337B86" w:rsidRPr="00337B86">
              <w:rPr>
                <w:rFonts w:cs="Calibri"/>
                <w:bCs/>
                <w:sz w:val="20"/>
                <w:szCs w:val="20"/>
              </w:rPr>
              <w:t>September</w:t>
            </w:r>
            <w:r w:rsidRPr="00584AE9">
              <w:rPr>
                <w:rFonts w:cs="Calibri"/>
                <w:bCs/>
                <w:sz w:val="20"/>
                <w:szCs w:val="20"/>
              </w:rPr>
              <w:t xml:space="preserve"> 30</w:t>
            </w:r>
          </w:p>
        </w:tc>
      </w:tr>
      <w:tr w:rsidR="00B05DE3" w:rsidRPr="0034501D" w14:paraId="50635C9A" w14:textId="77777777" w:rsidTr="004C0B45">
        <w:trPr>
          <w:trHeight w:val="165"/>
        </w:trPr>
        <w:tc>
          <w:tcPr>
            <w:tcW w:w="899" w:type="pct"/>
          </w:tcPr>
          <w:p w14:paraId="60F69919" w14:textId="77777777" w:rsidR="00B05DE3" w:rsidRPr="00AE5B06" w:rsidRDefault="00B05DE3" w:rsidP="004C0B45">
            <w:pPr>
              <w:tabs>
                <w:tab w:val="left" w:pos="-720"/>
              </w:tabs>
              <w:suppressAutoHyphens/>
              <w:spacing w:after="0" w:line="240" w:lineRule="auto"/>
              <w:ind w:right="4144"/>
              <w:jc w:val="right"/>
              <w:rPr>
                <w:rFonts w:eastAsia="Times New Roman" w:cs="Arial"/>
                <w:sz w:val="20"/>
                <w:szCs w:val="20"/>
              </w:rPr>
            </w:pPr>
          </w:p>
        </w:tc>
        <w:tc>
          <w:tcPr>
            <w:tcW w:w="513" w:type="pct"/>
          </w:tcPr>
          <w:p w14:paraId="6F5C3184" w14:textId="77777777" w:rsidR="00B05DE3" w:rsidRPr="00AE5B06" w:rsidRDefault="00B05DE3" w:rsidP="004C0B45">
            <w:pPr>
              <w:suppressAutoHyphens/>
              <w:spacing w:after="0" w:line="240" w:lineRule="auto"/>
              <w:jc w:val="right"/>
              <w:rPr>
                <w:rFonts w:eastAsia="Times New Roman" w:cs="Arial"/>
                <w:b/>
                <w:sz w:val="20"/>
                <w:szCs w:val="20"/>
              </w:rPr>
            </w:pPr>
          </w:p>
        </w:tc>
        <w:tc>
          <w:tcPr>
            <w:tcW w:w="513" w:type="pct"/>
          </w:tcPr>
          <w:p w14:paraId="3EE48233" w14:textId="77777777" w:rsidR="00B05DE3" w:rsidRPr="00AE5B06" w:rsidRDefault="00B05DE3" w:rsidP="004C0B45">
            <w:pPr>
              <w:suppressAutoHyphens/>
              <w:spacing w:after="0" w:line="240" w:lineRule="auto"/>
              <w:jc w:val="right"/>
              <w:rPr>
                <w:rFonts w:eastAsia="Times New Roman" w:cs="Arial"/>
                <w:b/>
                <w:sz w:val="20"/>
                <w:szCs w:val="20"/>
              </w:rPr>
            </w:pPr>
          </w:p>
        </w:tc>
        <w:tc>
          <w:tcPr>
            <w:tcW w:w="513" w:type="pct"/>
          </w:tcPr>
          <w:p w14:paraId="5F63B212" w14:textId="77777777" w:rsidR="00B05DE3" w:rsidRPr="00AE5B06" w:rsidRDefault="00B05DE3" w:rsidP="004C0B45">
            <w:pPr>
              <w:suppressAutoHyphens/>
              <w:spacing w:after="0" w:line="240" w:lineRule="auto"/>
              <w:jc w:val="right"/>
              <w:rPr>
                <w:rFonts w:eastAsia="Times New Roman" w:cs="Arial"/>
                <w:b/>
                <w:sz w:val="20"/>
                <w:szCs w:val="20"/>
              </w:rPr>
            </w:pPr>
          </w:p>
        </w:tc>
        <w:tc>
          <w:tcPr>
            <w:tcW w:w="513" w:type="pct"/>
          </w:tcPr>
          <w:p w14:paraId="0EB34AB0" w14:textId="77777777" w:rsidR="00B05DE3" w:rsidRPr="00AE5B06" w:rsidRDefault="00B05DE3" w:rsidP="004C0B45">
            <w:pPr>
              <w:suppressAutoHyphens/>
              <w:spacing w:after="0" w:line="240" w:lineRule="auto"/>
              <w:jc w:val="right"/>
              <w:rPr>
                <w:rFonts w:eastAsia="Times New Roman" w:cs="Arial"/>
                <w:b/>
                <w:sz w:val="20"/>
                <w:szCs w:val="20"/>
              </w:rPr>
            </w:pPr>
          </w:p>
        </w:tc>
        <w:tc>
          <w:tcPr>
            <w:tcW w:w="513" w:type="pct"/>
          </w:tcPr>
          <w:p w14:paraId="0F44F5DE" w14:textId="77777777" w:rsidR="00B05DE3" w:rsidRPr="00AE5B06" w:rsidRDefault="00B05DE3" w:rsidP="004C0B45">
            <w:pPr>
              <w:suppressAutoHyphens/>
              <w:spacing w:after="0" w:line="240" w:lineRule="auto"/>
              <w:jc w:val="right"/>
              <w:rPr>
                <w:rFonts w:eastAsia="Times New Roman" w:cs="Arial"/>
                <w:b/>
                <w:sz w:val="20"/>
                <w:szCs w:val="20"/>
              </w:rPr>
            </w:pPr>
          </w:p>
        </w:tc>
        <w:tc>
          <w:tcPr>
            <w:tcW w:w="513" w:type="pct"/>
          </w:tcPr>
          <w:p w14:paraId="6398F467" w14:textId="77777777" w:rsidR="00B05DE3" w:rsidRPr="00AE5B06" w:rsidRDefault="00B05DE3" w:rsidP="004C0B45">
            <w:pPr>
              <w:suppressAutoHyphens/>
              <w:spacing w:after="0" w:line="240" w:lineRule="auto"/>
              <w:jc w:val="right"/>
              <w:rPr>
                <w:rFonts w:eastAsia="Times New Roman" w:cs="Arial"/>
                <w:b/>
                <w:sz w:val="20"/>
                <w:szCs w:val="20"/>
              </w:rPr>
            </w:pPr>
          </w:p>
        </w:tc>
        <w:tc>
          <w:tcPr>
            <w:tcW w:w="513" w:type="pct"/>
          </w:tcPr>
          <w:p w14:paraId="7DE4FA71" w14:textId="77777777" w:rsidR="00B05DE3" w:rsidRPr="00AE5B06" w:rsidRDefault="00B05DE3" w:rsidP="004C0B45">
            <w:pPr>
              <w:suppressAutoHyphens/>
              <w:spacing w:after="0" w:line="240" w:lineRule="auto"/>
              <w:jc w:val="right"/>
              <w:rPr>
                <w:rFonts w:eastAsia="Times New Roman" w:cs="Arial"/>
                <w:b/>
                <w:sz w:val="20"/>
                <w:szCs w:val="20"/>
              </w:rPr>
            </w:pPr>
          </w:p>
        </w:tc>
        <w:tc>
          <w:tcPr>
            <w:tcW w:w="510" w:type="pct"/>
          </w:tcPr>
          <w:p w14:paraId="5468B7E3" w14:textId="77777777" w:rsidR="00B05DE3" w:rsidRPr="00AE5B06" w:rsidRDefault="00B05DE3" w:rsidP="004C0B45">
            <w:pPr>
              <w:suppressAutoHyphens/>
              <w:spacing w:after="0" w:line="240" w:lineRule="auto"/>
              <w:jc w:val="right"/>
              <w:rPr>
                <w:rFonts w:eastAsia="Times New Roman" w:cs="Arial"/>
                <w:b/>
                <w:sz w:val="20"/>
                <w:szCs w:val="20"/>
              </w:rPr>
            </w:pPr>
          </w:p>
        </w:tc>
      </w:tr>
      <w:tr w:rsidR="00EE632C" w:rsidRPr="0034501D" w14:paraId="1219C49F" w14:textId="77777777" w:rsidTr="006B318F">
        <w:trPr>
          <w:trHeight w:val="252"/>
        </w:trPr>
        <w:tc>
          <w:tcPr>
            <w:tcW w:w="899" w:type="pct"/>
            <w:vAlign w:val="bottom"/>
          </w:tcPr>
          <w:p w14:paraId="0EE45152" w14:textId="77777777" w:rsidR="00EE632C" w:rsidRPr="00AE5B06" w:rsidRDefault="00EE632C" w:rsidP="00EE632C">
            <w:pPr>
              <w:tabs>
                <w:tab w:val="right" w:pos="1202"/>
              </w:tabs>
              <w:spacing w:after="0" w:line="301" w:lineRule="exact"/>
              <w:outlineLvl w:val="0"/>
              <w:rPr>
                <w:rFonts w:eastAsia="Times New Roman" w:cs="Arial"/>
                <w:sz w:val="20"/>
                <w:szCs w:val="20"/>
              </w:rPr>
            </w:pPr>
            <w:r w:rsidRPr="00AE5B06">
              <w:rPr>
                <w:rFonts w:eastAsia="Times New Roman" w:cs="Arial"/>
                <w:sz w:val="20"/>
                <w:szCs w:val="20"/>
              </w:rPr>
              <w:t>Public sector</w:t>
            </w:r>
          </w:p>
        </w:tc>
        <w:tc>
          <w:tcPr>
            <w:tcW w:w="513" w:type="pct"/>
            <w:tcBorders>
              <w:top w:val="nil"/>
              <w:left w:val="nil"/>
              <w:bottom w:val="nil"/>
              <w:right w:val="nil"/>
            </w:tcBorders>
            <w:shd w:val="clear" w:color="auto" w:fill="auto"/>
            <w:vAlign w:val="bottom"/>
          </w:tcPr>
          <w:p w14:paraId="6810744E" w14:textId="2673F9A9" w:rsidR="00EE632C" w:rsidRPr="005444AA"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27,889</w:t>
            </w:r>
          </w:p>
        </w:tc>
        <w:tc>
          <w:tcPr>
            <w:tcW w:w="513" w:type="pct"/>
            <w:tcBorders>
              <w:top w:val="nil"/>
              <w:left w:val="nil"/>
              <w:bottom w:val="nil"/>
              <w:right w:val="nil"/>
            </w:tcBorders>
            <w:shd w:val="clear" w:color="auto" w:fill="auto"/>
            <w:vAlign w:val="bottom"/>
          </w:tcPr>
          <w:p w14:paraId="5A4AB30B" w14:textId="62005CF1" w:rsidR="00EE632C" w:rsidRPr="005444AA"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83,267</w:t>
            </w:r>
          </w:p>
        </w:tc>
        <w:tc>
          <w:tcPr>
            <w:tcW w:w="513" w:type="pct"/>
            <w:tcBorders>
              <w:top w:val="nil"/>
              <w:left w:val="nil"/>
              <w:bottom w:val="nil"/>
              <w:right w:val="nil"/>
            </w:tcBorders>
            <w:shd w:val="clear" w:color="auto" w:fill="auto"/>
          </w:tcPr>
          <w:p w14:paraId="7EC39D9C" w14:textId="78745432" w:rsidR="00EE632C" w:rsidRPr="006B318F"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28,832</w:t>
            </w:r>
          </w:p>
        </w:tc>
        <w:tc>
          <w:tcPr>
            <w:tcW w:w="513" w:type="pct"/>
            <w:tcBorders>
              <w:top w:val="nil"/>
              <w:left w:val="nil"/>
              <w:bottom w:val="nil"/>
              <w:right w:val="nil"/>
            </w:tcBorders>
            <w:shd w:val="clear" w:color="auto" w:fill="auto"/>
          </w:tcPr>
          <w:p w14:paraId="31826A1A" w14:textId="4E5ACA7C" w:rsidR="00EE632C" w:rsidRPr="006B318F"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89,750</w:t>
            </w:r>
          </w:p>
        </w:tc>
        <w:tc>
          <w:tcPr>
            <w:tcW w:w="513" w:type="pct"/>
            <w:tcBorders>
              <w:top w:val="nil"/>
              <w:left w:val="nil"/>
              <w:bottom w:val="nil"/>
              <w:right w:val="nil"/>
            </w:tcBorders>
            <w:shd w:val="clear" w:color="auto" w:fill="auto"/>
            <w:vAlign w:val="bottom"/>
          </w:tcPr>
          <w:p w14:paraId="732D27CE" w14:textId="01E19CC5" w:rsidR="00EE632C" w:rsidRPr="006B318F"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27,484</w:t>
            </w:r>
          </w:p>
        </w:tc>
        <w:tc>
          <w:tcPr>
            <w:tcW w:w="513" w:type="pct"/>
            <w:tcBorders>
              <w:top w:val="nil"/>
              <w:left w:val="nil"/>
              <w:bottom w:val="nil"/>
              <w:right w:val="nil"/>
            </w:tcBorders>
            <w:shd w:val="clear" w:color="auto" w:fill="auto"/>
            <w:vAlign w:val="bottom"/>
          </w:tcPr>
          <w:p w14:paraId="265D0B2A" w14:textId="6DE804BE" w:rsidR="00EE632C" w:rsidRPr="006B318F"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82,033</w:t>
            </w:r>
          </w:p>
        </w:tc>
        <w:tc>
          <w:tcPr>
            <w:tcW w:w="513" w:type="pct"/>
            <w:tcBorders>
              <w:top w:val="nil"/>
              <w:left w:val="nil"/>
              <w:bottom w:val="nil"/>
              <w:right w:val="nil"/>
            </w:tcBorders>
            <w:shd w:val="clear" w:color="auto" w:fill="auto"/>
          </w:tcPr>
          <w:p w14:paraId="5A821183" w14:textId="755E1C95" w:rsidR="00EE632C" w:rsidRPr="006B318F"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28,433</w:t>
            </w:r>
          </w:p>
        </w:tc>
        <w:tc>
          <w:tcPr>
            <w:tcW w:w="510" w:type="pct"/>
            <w:tcBorders>
              <w:top w:val="nil"/>
              <w:left w:val="nil"/>
              <w:bottom w:val="nil"/>
              <w:right w:val="nil"/>
            </w:tcBorders>
            <w:shd w:val="clear" w:color="auto" w:fill="auto"/>
          </w:tcPr>
          <w:p w14:paraId="4AE6C4D4" w14:textId="1F1D1BF8" w:rsidR="00EE632C" w:rsidRPr="006B318F"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88,565</w:t>
            </w:r>
          </w:p>
        </w:tc>
      </w:tr>
      <w:tr w:rsidR="00EE632C" w:rsidRPr="0034501D" w14:paraId="137FF5F1" w14:textId="77777777" w:rsidTr="006B318F">
        <w:trPr>
          <w:trHeight w:val="252"/>
        </w:trPr>
        <w:tc>
          <w:tcPr>
            <w:tcW w:w="899" w:type="pct"/>
            <w:vAlign w:val="bottom"/>
          </w:tcPr>
          <w:p w14:paraId="0198C5CE" w14:textId="77777777" w:rsidR="00EE632C" w:rsidRPr="00AE5B06" w:rsidRDefault="00EE632C" w:rsidP="00EE632C">
            <w:pPr>
              <w:tabs>
                <w:tab w:val="right" w:pos="1202"/>
              </w:tabs>
              <w:spacing w:after="0" w:line="301" w:lineRule="exact"/>
              <w:outlineLvl w:val="0"/>
              <w:rPr>
                <w:rFonts w:eastAsia="Times New Roman" w:cs="Arial"/>
                <w:sz w:val="20"/>
                <w:szCs w:val="20"/>
              </w:rPr>
            </w:pPr>
            <w:r w:rsidRPr="00AE5B06">
              <w:rPr>
                <w:rFonts w:eastAsia="Times New Roman" w:cs="Arial"/>
                <w:sz w:val="20"/>
                <w:szCs w:val="20"/>
              </w:rPr>
              <w:t>State-owned companies</w:t>
            </w:r>
          </w:p>
        </w:tc>
        <w:tc>
          <w:tcPr>
            <w:tcW w:w="513" w:type="pct"/>
            <w:tcBorders>
              <w:top w:val="nil"/>
              <w:left w:val="nil"/>
              <w:bottom w:val="nil"/>
              <w:right w:val="nil"/>
            </w:tcBorders>
            <w:shd w:val="clear" w:color="auto" w:fill="auto"/>
            <w:vAlign w:val="bottom"/>
          </w:tcPr>
          <w:p w14:paraId="5CE93298" w14:textId="39EAB28C" w:rsidR="00EE632C" w:rsidRPr="005444AA"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15,051</w:t>
            </w:r>
          </w:p>
        </w:tc>
        <w:tc>
          <w:tcPr>
            <w:tcW w:w="513" w:type="pct"/>
            <w:tcBorders>
              <w:top w:val="nil"/>
              <w:left w:val="nil"/>
              <w:bottom w:val="nil"/>
              <w:right w:val="nil"/>
            </w:tcBorders>
            <w:shd w:val="clear" w:color="auto" w:fill="auto"/>
            <w:vAlign w:val="bottom"/>
          </w:tcPr>
          <w:p w14:paraId="7946EB5A" w14:textId="5D6A3C8F" w:rsidR="00EE632C" w:rsidRPr="005444AA"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41,036</w:t>
            </w:r>
          </w:p>
        </w:tc>
        <w:tc>
          <w:tcPr>
            <w:tcW w:w="513" w:type="pct"/>
            <w:tcBorders>
              <w:top w:val="nil"/>
              <w:left w:val="nil"/>
              <w:bottom w:val="nil"/>
              <w:right w:val="nil"/>
            </w:tcBorders>
            <w:shd w:val="clear" w:color="auto" w:fill="auto"/>
          </w:tcPr>
          <w:p w14:paraId="30BFC3D9" w14:textId="7E8DE119" w:rsidR="00EE632C" w:rsidRPr="006B318F"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10,936</w:t>
            </w:r>
          </w:p>
        </w:tc>
        <w:tc>
          <w:tcPr>
            <w:tcW w:w="513" w:type="pct"/>
            <w:tcBorders>
              <w:top w:val="nil"/>
              <w:left w:val="nil"/>
              <w:bottom w:val="nil"/>
              <w:right w:val="nil"/>
            </w:tcBorders>
            <w:shd w:val="clear" w:color="auto" w:fill="auto"/>
          </w:tcPr>
          <w:p w14:paraId="47C921E4" w14:textId="3805F50F" w:rsidR="00EE632C" w:rsidRPr="006B318F"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29,574</w:t>
            </w:r>
          </w:p>
        </w:tc>
        <w:tc>
          <w:tcPr>
            <w:tcW w:w="513" w:type="pct"/>
            <w:tcBorders>
              <w:top w:val="nil"/>
              <w:left w:val="nil"/>
              <w:bottom w:val="nil"/>
              <w:right w:val="nil"/>
            </w:tcBorders>
            <w:shd w:val="clear" w:color="auto" w:fill="auto"/>
            <w:vAlign w:val="bottom"/>
          </w:tcPr>
          <w:p w14:paraId="0A25FB4D" w14:textId="201F03EF" w:rsidR="00EE632C" w:rsidRPr="006B318F"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15,051</w:t>
            </w:r>
          </w:p>
        </w:tc>
        <w:tc>
          <w:tcPr>
            <w:tcW w:w="513" w:type="pct"/>
            <w:tcBorders>
              <w:top w:val="nil"/>
              <w:left w:val="nil"/>
              <w:bottom w:val="nil"/>
              <w:right w:val="nil"/>
            </w:tcBorders>
            <w:shd w:val="clear" w:color="auto" w:fill="auto"/>
            <w:vAlign w:val="bottom"/>
          </w:tcPr>
          <w:p w14:paraId="6E2679C8" w14:textId="7CD54D22" w:rsidR="00EE632C" w:rsidRPr="006B318F"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41,036</w:t>
            </w:r>
          </w:p>
        </w:tc>
        <w:tc>
          <w:tcPr>
            <w:tcW w:w="513" w:type="pct"/>
            <w:tcBorders>
              <w:top w:val="nil"/>
              <w:left w:val="nil"/>
              <w:bottom w:val="nil"/>
              <w:right w:val="nil"/>
            </w:tcBorders>
            <w:shd w:val="clear" w:color="auto" w:fill="auto"/>
          </w:tcPr>
          <w:p w14:paraId="551AF26E" w14:textId="7156352A" w:rsidR="00EE632C" w:rsidRPr="006B318F"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10,936</w:t>
            </w:r>
          </w:p>
        </w:tc>
        <w:tc>
          <w:tcPr>
            <w:tcW w:w="510" w:type="pct"/>
            <w:tcBorders>
              <w:top w:val="nil"/>
              <w:left w:val="nil"/>
              <w:bottom w:val="nil"/>
              <w:right w:val="nil"/>
            </w:tcBorders>
            <w:shd w:val="clear" w:color="auto" w:fill="auto"/>
          </w:tcPr>
          <w:p w14:paraId="05D33AB5" w14:textId="1B2E580D" w:rsidR="00EE632C" w:rsidRPr="006B318F"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29,574</w:t>
            </w:r>
          </w:p>
        </w:tc>
      </w:tr>
      <w:tr w:rsidR="00EE632C" w:rsidRPr="0034501D" w14:paraId="3071D968" w14:textId="77777777" w:rsidTr="006B318F">
        <w:trPr>
          <w:trHeight w:val="252"/>
        </w:trPr>
        <w:tc>
          <w:tcPr>
            <w:tcW w:w="899" w:type="pct"/>
            <w:vAlign w:val="bottom"/>
          </w:tcPr>
          <w:p w14:paraId="2F0ADD44" w14:textId="77777777" w:rsidR="00EE632C" w:rsidRPr="00AE5B06" w:rsidRDefault="00EE632C" w:rsidP="00EE632C">
            <w:pPr>
              <w:tabs>
                <w:tab w:val="right" w:pos="1202"/>
              </w:tabs>
              <w:spacing w:after="0" w:line="301" w:lineRule="exact"/>
              <w:outlineLvl w:val="0"/>
              <w:rPr>
                <w:rFonts w:eastAsia="Times New Roman" w:cs="Arial"/>
                <w:sz w:val="20"/>
                <w:szCs w:val="20"/>
              </w:rPr>
            </w:pPr>
            <w:r w:rsidRPr="00AE5B06">
              <w:rPr>
                <w:rFonts w:eastAsia="Times New Roman" w:cs="Arial"/>
                <w:sz w:val="20"/>
                <w:szCs w:val="20"/>
              </w:rPr>
              <w:t>Foreign companies</w:t>
            </w:r>
          </w:p>
        </w:tc>
        <w:tc>
          <w:tcPr>
            <w:tcW w:w="513" w:type="pct"/>
            <w:tcBorders>
              <w:top w:val="nil"/>
              <w:left w:val="nil"/>
              <w:bottom w:val="nil"/>
              <w:right w:val="nil"/>
            </w:tcBorders>
            <w:shd w:val="clear" w:color="auto" w:fill="auto"/>
            <w:vAlign w:val="bottom"/>
          </w:tcPr>
          <w:p w14:paraId="4ED754D1" w14:textId="538DEC2D" w:rsidR="00EE632C" w:rsidRPr="005444AA"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3,025</w:t>
            </w:r>
          </w:p>
        </w:tc>
        <w:tc>
          <w:tcPr>
            <w:tcW w:w="513" w:type="pct"/>
            <w:tcBorders>
              <w:top w:val="nil"/>
              <w:left w:val="nil"/>
              <w:bottom w:val="nil"/>
              <w:right w:val="nil"/>
            </w:tcBorders>
            <w:shd w:val="clear" w:color="auto" w:fill="auto"/>
            <w:vAlign w:val="bottom"/>
          </w:tcPr>
          <w:p w14:paraId="35DDAAF8" w14:textId="0950F4C6" w:rsidR="00EE632C" w:rsidRPr="005444AA"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9,534</w:t>
            </w:r>
          </w:p>
        </w:tc>
        <w:tc>
          <w:tcPr>
            <w:tcW w:w="513" w:type="pct"/>
            <w:tcBorders>
              <w:top w:val="nil"/>
              <w:left w:val="nil"/>
              <w:bottom w:val="nil"/>
              <w:right w:val="nil"/>
            </w:tcBorders>
            <w:shd w:val="clear" w:color="auto" w:fill="auto"/>
          </w:tcPr>
          <w:p w14:paraId="13F4CC28" w14:textId="37CC7383" w:rsidR="00EE632C" w:rsidRPr="006B318F"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3,294</w:t>
            </w:r>
          </w:p>
        </w:tc>
        <w:tc>
          <w:tcPr>
            <w:tcW w:w="513" w:type="pct"/>
            <w:tcBorders>
              <w:top w:val="nil"/>
              <w:left w:val="nil"/>
              <w:bottom w:val="nil"/>
              <w:right w:val="nil"/>
            </w:tcBorders>
            <w:shd w:val="clear" w:color="auto" w:fill="auto"/>
          </w:tcPr>
          <w:p w14:paraId="3148C8C3" w14:textId="6301AC73" w:rsidR="00EE632C" w:rsidRPr="006B318F"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9,688</w:t>
            </w:r>
          </w:p>
        </w:tc>
        <w:tc>
          <w:tcPr>
            <w:tcW w:w="513" w:type="pct"/>
            <w:tcBorders>
              <w:top w:val="nil"/>
              <w:left w:val="nil"/>
              <w:bottom w:val="nil"/>
              <w:right w:val="nil"/>
            </w:tcBorders>
            <w:shd w:val="clear" w:color="auto" w:fill="auto"/>
            <w:vAlign w:val="bottom"/>
          </w:tcPr>
          <w:p w14:paraId="504ABD73" w14:textId="19BF88FE" w:rsidR="00EE632C" w:rsidRPr="006B318F"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3,025</w:t>
            </w:r>
          </w:p>
        </w:tc>
        <w:tc>
          <w:tcPr>
            <w:tcW w:w="513" w:type="pct"/>
            <w:tcBorders>
              <w:top w:val="nil"/>
              <w:left w:val="nil"/>
              <w:bottom w:val="nil"/>
              <w:right w:val="nil"/>
            </w:tcBorders>
            <w:shd w:val="clear" w:color="auto" w:fill="auto"/>
            <w:vAlign w:val="bottom"/>
          </w:tcPr>
          <w:p w14:paraId="5E52D219" w14:textId="7E9136D2" w:rsidR="00EE632C" w:rsidRPr="006B318F"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9,534</w:t>
            </w:r>
          </w:p>
        </w:tc>
        <w:tc>
          <w:tcPr>
            <w:tcW w:w="513" w:type="pct"/>
            <w:tcBorders>
              <w:top w:val="nil"/>
              <w:left w:val="nil"/>
              <w:bottom w:val="nil"/>
              <w:right w:val="nil"/>
            </w:tcBorders>
            <w:shd w:val="clear" w:color="auto" w:fill="auto"/>
          </w:tcPr>
          <w:p w14:paraId="2A52E372" w14:textId="5B3797B3" w:rsidR="00EE632C" w:rsidRPr="006B318F"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3,294</w:t>
            </w:r>
          </w:p>
        </w:tc>
        <w:tc>
          <w:tcPr>
            <w:tcW w:w="510" w:type="pct"/>
            <w:tcBorders>
              <w:top w:val="nil"/>
              <w:left w:val="nil"/>
              <w:bottom w:val="nil"/>
              <w:right w:val="nil"/>
            </w:tcBorders>
            <w:shd w:val="clear" w:color="auto" w:fill="auto"/>
          </w:tcPr>
          <w:p w14:paraId="48EC6880" w14:textId="4FCADA84" w:rsidR="00EE632C" w:rsidRPr="006B318F"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9,688</w:t>
            </w:r>
          </w:p>
        </w:tc>
      </w:tr>
      <w:tr w:rsidR="00EE632C" w:rsidRPr="0034501D" w14:paraId="36A23CA2" w14:textId="77777777" w:rsidTr="006B318F">
        <w:trPr>
          <w:trHeight w:val="252"/>
        </w:trPr>
        <w:tc>
          <w:tcPr>
            <w:tcW w:w="899" w:type="pct"/>
            <w:vAlign w:val="bottom"/>
          </w:tcPr>
          <w:p w14:paraId="1AAE3BA2" w14:textId="77777777" w:rsidR="00EE632C" w:rsidRPr="00AE5B06" w:rsidRDefault="00EE632C" w:rsidP="00EE632C">
            <w:pPr>
              <w:tabs>
                <w:tab w:val="right" w:pos="1202"/>
              </w:tabs>
              <w:spacing w:after="0" w:line="301" w:lineRule="exact"/>
              <w:outlineLvl w:val="0"/>
              <w:rPr>
                <w:rFonts w:eastAsia="Times New Roman" w:cs="Arial"/>
                <w:sz w:val="20"/>
                <w:szCs w:val="20"/>
              </w:rPr>
            </w:pPr>
            <w:r w:rsidRPr="00AE5B06">
              <w:rPr>
                <w:rFonts w:eastAsia="Times New Roman" w:cs="Arial"/>
                <w:sz w:val="20"/>
                <w:szCs w:val="20"/>
              </w:rPr>
              <w:t>Domestic companies</w:t>
            </w:r>
          </w:p>
        </w:tc>
        <w:tc>
          <w:tcPr>
            <w:tcW w:w="513" w:type="pct"/>
            <w:tcBorders>
              <w:top w:val="nil"/>
              <w:left w:val="nil"/>
              <w:bottom w:val="nil"/>
              <w:right w:val="nil"/>
            </w:tcBorders>
            <w:shd w:val="clear" w:color="auto" w:fill="auto"/>
            <w:vAlign w:val="bottom"/>
          </w:tcPr>
          <w:p w14:paraId="293268F4" w14:textId="65A72BCE" w:rsidR="00EE632C" w:rsidRPr="005444AA"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86,206</w:t>
            </w:r>
          </w:p>
        </w:tc>
        <w:tc>
          <w:tcPr>
            <w:tcW w:w="513" w:type="pct"/>
            <w:tcBorders>
              <w:top w:val="nil"/>
              <w:left w:val="nil"/>
              <w:bottom w:val="nil"/>
              <w:right w:val="nil"/>
            </w:tcBorders>
            <w:shd w:val="clear" w:color="auto" w:fill="auto"/>
            <w:vAlign w:val="bottom"/>
          </w:tcPr>
          <w:p w14:paraId="0DF12DD6" w14:textId="4EBC1365" w:rsidR="00EE632C" w:rsidRPr="005444AA"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272,668</w:t>
            </w:r>
          </w:p>
        </w:tc>
        <w:tc>
          <w:tcPr>
            <w:tcW w:w="513" w:type="pct"/>
            <w:tcBorders>
              <w:top w:val="nil"/>
              <w:left w:val="nil"/>
              <w:bottom w:val="nil"/>
              <w:right w:val="nil"/>
            </w:tcBorders>
            <w:shd w:val="clear" w:color="auto" w:fill="auto"/>
          </w:tcPr>
          <w:p w14:paraId="7878325F" w14:textId="0F194F0C" w:rsidR="00EE632C" w:rsidRPr="006B318F"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86,967</w:t>
            </w:r>
          </w:p>
        </w:tc>
        <w:tc>
          <w:tcPr>
            <w:tcW w:w="513" w:type="pct"/>
            <w:tcBorders>
              <w:top w:val="nil"/>
              <w:left w:val="nil"/>
              <w:bottom w:val="nil"/>
              <w:right w:val="nil"/>
            </w:tcBorders>
            <w:shd w:val="clear" w:color="auto" w:fill="auto"/>
          </w:tcPr>
          <w:p w14:paraId="3631593A" w14:textId="0D907995" w:rsidR="00EE632C" w:rsidRPr="006B318F"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249,075</w:t>
            </w:r>
          </w:p>
        </w:tc>
        <w:tc>
          <w:tcPr>
            <w:tcW w:w="513" w:type="pct"/>
            <w:tcBorders>
              <w:top w:val="nil"/>
              <w:left w:val="nil"/>
              <w:bottom w:val="nil"/>
              <w:right w:val="nil"/>
            </w:tcBorders>
            <w:shd w:val="clear" w:color="auto" w:fill="auto"/>
            <w:vAlign w:val="bottom"/>
          </w:tcPr>
          <w:p w14:paraId="1E38E382" w14:textId="0F6FDC0E" w:rsidR="00EE632C" w:rsidRPr="006B318F"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86,206</w:t>
            </w:r>
          </w:p>
        </w:tc>
        <w:tc>
          <w:tcPr>
            <w:tcW w:w="513" w:type="pct"/>
            <w:tcBorders>
              <w:top w:val="nil"/>
              <w:left w:val="nil"/>
              <w:bottom w:val="nil"/>
              <w:right w:val="nil"/>
            </w:tcBorders>
            <w:shd w:val="clear" w:color="auto" w:fill="auto"/>
            <w:vAlign w:val="bottom"/>
          </w:tcPr>
          <w:p w14:paraId="077CB91D" w14:textId="0DE37CAB" w:rsidR="00EE632C" w:rsidRPr="006B318F"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272,668</w:t>
            </w:r>
          </w:p>
        </w:tc>
        <w:tc>
          <w:tcPr>
            <w:tcW w:w="513" w:type="pct"/>
            <w:tcBorders>
              <w:top w:val="nil"/>
              <w:left w:val="nil"/>
              <w:bottom w:val="nil"/>
              <w:right w:val="nil"/>
            </w:tcBorders>
            <w:shd w:val="clear" w:color="auto" w:fill="auto"/>
          </w:tcPr>
          <w:p w14:paraId="56D63A91" w14:textId="4DB795C8" w:rsidR="00EE632C" w:rsidRPr="006B318F"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86,967</w:t>
            </w:r>
          </w:p>
        </w:tc>
        <w:tc>
          <w:tcPr>
            <w:tcW w:w="510" w:type="pct"/>
            <w:tcBorders>
              <w:top w:val="nil"/>
              <w:left w:val="nil"/>
              <w:bottom w:val="nil"/>
              <w:right w:val="nil"/>
            </w:tcBorders>
            <w:shd w:val="clear" w:color="auto" w:fill="auto"/>
          </w:tcPr>
          <w:p w14:paraId="7391ACE2" w14:textId="5C54A053" w:rsidR="00EE632C" w:rsidRPr="006B318F"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249,075</w:t>
            </w:r>
          </w:p>
        </w:tc>
      </w:tr>
      <w:tr w:rsidR="00EE632C" w:rsidRPr="0034501D" w14:paraId="41B07CDF" w14:textId="77777777" w:rsidTr="006B318F">
        <w:trPr>
          <w:trHeight w:val="252"/>
        </w:trPr>
        <w:tc>
          <w:tcPr>
            <w:tcW w:w="899" w:type="pct"/>
            <w:vAlign w:val="bottom"/>
          </w:tcPr>
          <w:p w14:paraId="08FCE74D" w14:textId="77777777" w:rsidR="00EE632C" w:rsidRPr="00AE5B06" w:rsidRDefault="00EE632C" w:rsidP="00EE632C">
            <w:pPr>
              <w:tabs>
                <w:tab w:val="right" w:pos="1202"/>
              </w:tabs>
              <w:spacing w:after="0" w:line="301" w:lineRule="exact"/>
              <w:outlineLvl w:val="0"/>
              <w:rPr>
                <w:rFonts w:eastAsia="Times New Roman" w:cs="Arial"/>
                <w:sz w:val="20"/>
                <w:szCs w:val="20"/>
              </w:rPr>
            </w:pPr>
            <w:r w:rsidRPr="00AE5B06">
              <w:rPr>
                <w:rFonts w:eastAsia="Times New Roman" w:cs="Arial"/>
                <w:sz w:val="20"/>
                <w:szCs w:val="20"/>
              </w:rPr>
              <w:t>Domestic financial institutions</w:t>
            </w:r>
          </w:p>
        </w:tc>
        <w:tc>
          <w:tcPr>
            <w:tcW w:w="513" w:type="pct"/>
            <w:tcBorders>
              <w:top w:val="nil"/>
              <w:left w:val="nil"/>
              <w:bottom w:val="nil"/>
              <w:right w:val="nil"/>
            </w:tcBorders>
            <w:shd w:val="clear" w:color="auto" w:fill="auto"/>
            <w:vAlign w:val="bottom"/>
          </w:tcPr>
          <w:p w14:paraId="69421D48" w14:textId="7879D6ED" w:rsidR="00EE632C" w:rsidRPr="005444AA"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61,449</w:t>
            </w:r>
          </w:p>
        </w:tc>
        <w:tc>
          <w:tcPr>
            <w:tcW w:w="513" w:type="pct"/>
            <w:tcBorders>
              <w:top w:val="nil"/>
              <w:left w:val="nil"/>
              <w:bottom w:val="nil"/>
              <w:right w:val="nil"/>
            </w:tcBorders>
            <w:shd w:val="clear" w:color="auto" w:fill="auto"/>
            <w:vAlign w:val="bottom"/>
          </w:tcPr>
          <w:p w14:paraId="286A48B8" w14:textId="04FE117D" w:rsidR="00EE632C" w:rsidRPr="005444AA"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187,271</w:t>
            </w:r>
          </w:p>
        </w:tc>
        <w:tc>
          <w:tcPr>
            <w:tcW w:w="513" w:type="pct"/>
            <w:tcBorders>
              <w:top w:val="nil"/>
              <w:left w:val="nil"/>
              <w:bottom w:val="nil"/>
              <w:right w:val="nil"/>
            </w:tcBorders>
            <w:shd w:val="clear" w:color="auto" w:fill="auto"/>
          </w:tcPr>
          <w:p w14:paraId="10749476" w14:textId="50D0F548" w:rsidR="00EE632C" w:rsidRPr="006B318F"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70,347</w:t>
            </w:r>
          </w:p>
        </w:tc>
        <w:tc>
          <w:tcPr>
            <w:tcW w:w="513" w:type="pct"/>
            <w:tcBorders>
              <w:top w:val="nil"/>
              <w:left w:val="nil"/>
              <w:bottom w:val="nil"/>
              <w:right w:val="nil"/>
            </w:tcBorders>
            <w:shd w:val="clear" w:color="auto" w:fill="auto"/>
          </w:tcPr>
          <w:p w14:paraId="63702FA2" w14:textId="68EA940E" w:rsidR="00EE632C" w:rsidRPr="006B318F"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215,894</w:t>
            </w:r>
          </w:p>
        </w:tc>
        <w:tc>
          <w:tcPr>
            <w:tcW w:w="513" w:type="pct"/>
            <w:tcBorders>
              <w:top w:val="nil"/>
              <w:left w:val="nil"/>
              <w:bottom w:val="nil"/>
              <w:right w:val="nil"/>
            </w:tcBorders>
            <w:shd w:val="clear" w:color="auto" w:fill="auto"/>
            <w:vAlign w:val="bottom"/>
          </w:tcPr>
          <w:p w14:paraId="61E03F9A" w14:textId="4975B187" w:rsidR="00EE632C" w:rsidRPr="006B318F"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61,449</w:t>
            </w:r>
          </w:p>
        </w:tc>
        <w:tc>
          <w:tcPr>
            <w:tcW w:w="513" w:type="pct"/>
            <w:tcBorders>
              <w:top w:val="nil"/>
              <w:left w:val="nil"/>
              <w:bottom w:val="nil"/>
              <w:right w:val="nil"/>
            </w:tcBorders>
            <w:shd w:val="clear" w:color="auto" w:fill="auto"/>
            <w:vAlign w:val="bottom"/>
          </w:tcPr>
          <w:p w14:paraId="72F4EA68" w14:textId="71B34E16" w:rsidR="00EE632C" w:rsidRPr="006B318F"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187,271</w:t>
            </w:r>
          </w:p>
        </w:tc>
        <w:tc>
          <w:tcPr>
            <w:tcW w:w="513" w:type="pct"/>
            <w:tcBorders>
              <w:top w:val="nil"/>
              <w:left w:val="nil"/>
              <w:bottom w:val="nil"/>
              <w:right w:val="nil"/>
            </w:tcBorders>
            <w:shd w:val="clear" w:color="auto" w:fill="auto"/>
          </w:tcPr>
          <w:p w14:paraId="38D19476" w14:textId="554FB6DD" w:rsidR="00EE632C" w:rsidRPr="006B318F"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70,341</w:t>
            </w:r>
          </w:p>
        </w:tc>
        <w:tc>
          <w:tcPr>
            <w:tcW w:w="510" w:type="pct"/>
            <w:tcBorders>
              <w:top w:val="nil"/>
              <w:left w:val="nil"/>
              <w:bottom w:val="nil"/>
              <w:right w:val="nil"/>
            </w:tcBorders>
            <w:shd w:val="clear" w:color="auto" w:fill="auto"/>
          </w:tcPr>
          <w:p w14:paraId="5B39564C" w14:textId="29E4074A" w:rsidR="00EE632C" w:rsidRPr="006B318F"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215,837</w:t>
            </w:r>
          </w:p>
        </w:tc>
      </w:tr>
      <w:tr w:rsidR="00EE632C" w:rsidRPr="0034501D" w14:paraId="3D4BB11F" w14:textId="77777777" w:rsidTr="006B318F">
        <w:trPr>
          <w:trHeight w:val="252"/>
        </w:trPr>
        <w:tc>
          <w:tcPr>
            <w:tcW w:w="899" w:type="pct"/>
            <w:vAlign w:val="bottom"/>
          </w:tcPr>
          <w:p w14:paraId="2AB359FE" w14:textId="77777777" w:rsidR="00EE632C" w:rsidRPr="00AE5B06" w:rsidRDefault="00EE632C" w:rsidP="00EE632C">
            <w:pPr>
              <w:tabs>
                <w:tab w:val="right" w:pos="1202"/>
              </w:tabs>
              <w:spacing w:after="0" w:line="301" w:lineRule="exact"/>
              <w:outlineLvl w:val="0"/>
              <w:rPr>
                <w:rFonts w:eastAsia="Times New Roman" w:cs="Arial"/>
                <w:sz w:val="20"/>
                <w:szCs w:val="20"/>
              </w:rPr>
            </w:pPr>
            <w:r w:rsidRPr="00AE5B06">
              <w:rPr>
                <w:rFonts w:eastAsia="Times New Roman" w:cs="Arial"/>
                <w:sz w:val="20"/>
                <w:szCs w:val="20"/>
              </w:rPr>
              <w:t>Foreign financial institutions</w:t>
            </w:r>
          </w:p>
        </w:tc>
        <w:tc>
          <w:tcPr>
            <w:tcW w:w="513" w:type="pct"/>
            <w:tcBorders>
              <w:top w:val="nil"/>
              <w:left w:val="nil"/>
              <w:bottom w:val="nil"/>
              <w:right w:val="nil"/>
            </w:tcBorders>
            <w:shd w:val="clear" w:color="auto" w:fill="auto"/>
            <w:vAlign w:val="bottom"/>
          </w:tcPr>
          <w:p w14:paraId="3D903D17" w14:textId="2BF87820" w:rsidR="00EE632C" w:rsidRPr="005444AA"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226</w:t>
            </w:r>
          </w:p>
        </w:tc>
        <w:tc>
          <w:tcPr>
            <w:tcW w:w="513" w:type="pct"/>
            <w:tcBorders>
              <w:top w:val="nil"/>
              <w:left w:val="nil"/>
              <w:bottom w:val="nil"/>
              <w:right w:val="nil"/>
            </w:tcBorders>
            <w:shd w:val="clear" w:color="auto" w:fill="auto"/>
            <w:vAlign w:val="bottom"/>
          </w:tcPr>
          <w:p w14:paraId="618470B2" w14:textId="76254015" w:rsidR="00EE632C" w:rsidRPr="005444AA"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399</w:t>
            </w:r>
          </w:p>
        </w:tc>
        <w:tc>
          <w:tcPr>
            <w:tcW w:w="513" w:type="pct"/>
            <w:tcBorders>
              <w:top w:val="nil"/>
              <w:left w:val="nil"/>
              <w:bottom w:val="nil"/>
              <w:right w:val="nil"/>
            </w:tcBorders>
            <w:shd w:val="clear" w:color="auto" w:fill="auto"/>
          </w:tcPr>
          <w:p w14:paraId="30E45899" w14:textId="0E186B61" w:rsidR="00EE632C" w:rsidRPr="006B318F"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34</w:t>
            </w:r>
          </w:p>
        </w:tc>
        <w:tc>
          <w:tcPr>
            <w:tcW w:w="513" w:type="pct"/>
            <w:tcBorders>
              <w:top w:val="nil"/>
              <w:left w:val="nil"/>
              <w:bottom w:val="nil"/>
              <w:right w:val="nil"/>
            </w:tcBorders>
            <w:shd w:val="clear" w:color="auto" w:fill="auto"/>
          </w:tcPr>
          <w:p w14:paraId="4327A9B1" w14:textId="59DC248E" w:rsidR="00EE632C" w:rsidRPr="006B318F"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97</w:t>
            </w:r>
          </w:p>
        </w:tc>
        <w:tc>
          <w:tcPr>
            <w:tcW w:w="513" w:type="pct"/>
            <w:tcBorders>
              <w:top w:val="nil"/>
              <w:left w:val="nil"/>
              <w:bottom w:val="nil"/>
              <w:right w:val="nil"/>
            </w:tcBorders>
            <w:shd w:val="clear" w:color="auto" w:fill="auto"/>
            <w:vAlign w:val="bottom"/>
          </w:tcPr>
          <w:p w14:paraId="63A5C969" w14:textId="6D733DE4" w:rsidR="00EE632C" w:rsidRPr="006B318F"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226</w:t>
            </w:r>
          </w:p>
        </w:tc>
        <w:tc>
          <w:tcPr>
            <w:tcW w:w="513" w:type="pct"/>
            <w:tcBorders>
              <w:top w:val="nil"/>
              <w:left w:val="nil"/>
              <w:bottom w:val="nil"/>
              <w:right w:val="nil"/>
            </w:tcBorders>
            <w:shd w:val="clear" w:color="auto" w:fill="auto"/>
            <w:vAlign w:val="bottom"/>
          </w:tcPr>
          <w:p w14:paraId="6A2CA060" w14:textId="791A39A7" w:rsidR="00EE632C" w:rsidRPr="006B318F"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399</w:t>
            </w:r>
          </w:p>
        </w:tc>
        <w:tc>
          <w:tcPr>
            <w:tcW w:w="513" w:type="pct"/>
            <w:tcBorders>
              <w:top w:val="nil"/>
              <w:left w:val="nil"/>
              <w:bottom w:val="nil"/>
              <w:right w:val="nil"/>
            </w:tcBorders>
            <w:shd w:val="clear" w:color="auto" w:fill="auto"/>
          </w:tcPr>
          <w:p w14:paraId="4D117DE8" w14:textId="7E22B62C" w:rsidR="00EE632C" w:rsidRPr="006B318F"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34</w:t>
            </w:r>
          </w:p>
        </w:tc>
        <w:tc>
          <w:tcPr>
            <w:tcW w:w="510" w:type="pct"/>
            <w:tcBorders>
              <w:top w:val="nil"/>
              <w:left w:val="nil"/>
              <w:bottom w:val="nil"/>
              <w:right w:val="nil"/>
            </w:tcBorders>
            <w:shd w:val="clear" w:color="auto" w:fill="auto"/>
          </w:tcPr>
          <w:p w14:paraId="331810DD" w14:textId="14B3B597" w:rsidR="00EE632C" w:rsidRPr="006B318F"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97</w:t>
            </w:r>
          </w:p>
        </w:tc>
      </w:tr>
      <w:tr w:rsidR="00EE632C" w:rsidRPr="0034501D" w14:paraId="201B0314" w14:textId="77777777" w:rsidTr="006B318F">
        <w:trPr>
          <w:trHeight w:val="250"/>
        </w:trPr>
        <w:tc>
          <w:tcPr>
            <w:tcW w:w="899" w:type="pct"/>
            <w:vAlign w:val="bottom"/>
          </w:tcPr>
          <w:p w14:paraId="1BD6CD01" w14:textId="77777777" w:rsidR="00EE632C" w:rsidRPr="00AE5B06" w:rsidRDefault="00EE632C" w:rsidP="00EE632C">
            <w:pPr>
              <w:tabs>
                <w:tab w:val="right" w:pos="1202"/>
              </w:tabs>
              <w:spacing w:after="0" w:line="240" w:lineRule="auto"/>
              <w:outlineLvl w:val="0"/>
              <w:rPr>
                <w:rFonts w:eastAsia="Times New Roman" w:cs="Arial"/>
                <w:sz w:val="20"/>
                <w:szCs w:val="20"/>
              </w:rPr>
            </w:pPr>
            <w:r w:rsidRPr="00AE5B06">
              <w:rPr>
                <w:rFonts w:eastAsia="Times New Roman" w:cs="Arial"/>
                <w:sz w:val="20"/>
                <w:szCs w:val="20"/>
              </w:rPr>
              <w:t>Penalty interest</w:t>
            </w:r>
          </w:p>
        </w:tc>
        <w:tc>
          <w:tcPr>
            <w:tcW w:w="513" w:type="pct"/>
            <w:tcBorders>
              <w:top w:val="nil"/>
              <w:left w:val="nil"/>
              <w:bottom w:val="nil"/>
              <w:right w:val="nil"/>
            </w:tcBorders>
            <w:shd w:val="clear" w:color="auto" w:fill="auto"/>
            <w:vAlign w:val="bottom"/>
          </w:tcPr>
          <w:p w14:paraId="1A835191" w14:textId="617932CE" w:rsidR="00EE632C" w:rsidRPr="005444AA"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3,993</w:t>
            </w:r>
          </w:p>
        </w:tc>
        <w:tc>
          <w:tcPr>
            <w:tcW w:w="513" w:type="pct"/>
            <w:tcBorders>
              <w:top w:val="nil"/>
              <w:left w:val="nil"/>
              <w:bottom w:val="nil"/>
              <w:right w:val="nil"/>
            </w:tcBorders>
            <w:shd w:val="clear" w:color="auto" w:fill="auto"/>
            <w:vAlign w:val="bottom"/>
          </w:tcPr>
          <w:p w14:paraId="3ADCF5FA" w14:textId="0C17149C" w:rsidR="00EE632C" w:rsidRPr="005444AA"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8,150</w:t>
            </w:r>
          </w:p>
        </w:tc>
        <w:tc>
          <w:tcPr>
            <w:tcW w:w="513" w:type="pct"/>
            <w:tcBorders>
              <w:top w:val="nil"/>
              <w:left w:val="nil"/>
              <w:bottom w:val="nil"/>
              <w:right w:val="nil"/>
            </w:tcBorders>
            <w:shd w:val="clear" w:color="auto" w:fill="auto"/>
          </w:tcPr>
          <w:p w14:paraId="49D54A8A" w14:textId="07AE9575" w:rsidR="00EE632C" w:rsidRPr="006B318F" w:rsidRDefault="00EE632C" w:rsidP="006B318F">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4,267</w:t>
            </w:r>
          </w:p>
        </w:tc>
        <w:tc>
          <w:tcPr>
            <w:tcW w:w="513" w:type="pct"/>
            <w:tcBorders>
              <w:top w:val="nil"/>
              <w:left w:val="nil"/>
              <w:bottom w:val="nil"/>
              <w:right w:val="nil"/>
            </w:tcBorders>
            <w:shd w:val="clear" w:color="auto" w:fill="auto"/>
          </w:tcPr>
          <w:p w14:paraId="16997E5B" w14:textId="69D1D718" w:rsidR="00EE632C" w:rsidRPr="006B318F" w:rsidRDefault="00EE632C" w:rsidP="006B318F">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10,607</w:t>
            </w:r>
          </w:p>
        </w:tc>
        <w:tc>
          <w:tcPr>
            <w:tcW w:w="513" w:type="pct"/>
            <w:tcBorders>
              <w:top w:val="nil"/>
              <w:left w:val="nil"/>
              <w:bottom w:val="nil"/>
              <w:right w:val="nil"/>
            </w:tcBorders>
            <w:shd w:val="clear" w:color="auto" w:fill="auto"/>
            <w:vAlign w:val="bottom"/>
          </w:tcPr>
          <w:p w14:paraId="199123F4" w14:textId="300842D0" w:rsidR="00EE632C" w:rsidRPr="006B318F" w:rsidRDefault="00EE632C" w:rsidP="006B318F">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3,993</w:t>
            </w:r>
          </w:p>
        </w:tc>
        <w:tc>
          <w:tcPr>
            <w:tcW w:w="513" w:type="pct"/>
            <w:tcBorders>
              <w:top w:val="nil"/>
              <w:left w:val="nil"/>
              <w:bottom w:val="nil"/>
              <w:right w:val="nil"/>
            </w:tcBorders>
            <w:shd w:val="clear" w:color="auto" w:fill="auto"/>
            <w:vAlign w:val="bottom"/>
          </w:tcPr>
          <w:p w14:paraId="701D18A3" w14:textId="1A422EF8" w:rsidR="00EE632C" w:rsidRPr="006B318F" w:rsidRDefault="00EE632C" w:rsidP="006B318F">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8,150</w:t>
            </w:r>
          </w:p>
        </w:tc>
        <w:tc>
          <w:tcPr>
            <w:tcW w:w="513" w:type="pct"/>
            <w:tcBorders>
              <w:top w:val="nil"/>
              <w:left w:val="nil"/>
              <w:bottom w:val="nil"/>
              <w:right w:val="nil"/>
            </w:tcBorders>
            <w:shd w:val="clear" w:color="auto" w:fill="auto"/>
          </w:tcPr>
          <w:p w14:paraId="27470C9E" w14:textId="3DEC83C8" w:rsidR="00EE632C" w:rsidRPr="006B318F"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4,267</w:t>
            </w:r>
          </w:p>
        </w:tc>
        <w:tc>
          <w:tcPr>
            <w:tcW w:w="510" w:type="pct"/>
            <w:tcBorders>
              <w:top w:val="nil"/>
              <w:left w:val="nil"/>
              <w:bottom w:val="nil"/>
              <w:right w:val="nil"/>
            </w:tcBorders>
            <w:shd w:val="clear" w:color="auto" w:fill="auto"/>
          </w:tcPr>
          <w:p w14:paraId="6BBBD659" w14:textId="5A1A82D3" w:rsidR="00EE632C" w:rsidRPr="006B318F" w:rsidRDefault="00EE632C" w:rsidP="00EE632C">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10,607</w:t>
            </w:r>
          </w:p>
        </w:tc>
      </w:tr>
      <w:tr w:rsidR="00EE632C" w:rsidRPr="0034501D" w14:paraId="7690588B" w14:textId="77777777" w:rsidTr="006B318F">
        <w:trPr>
          <w:trHeight w:val="252"/>
        </w:trPr>
        <w:tc>
          <w:tcPr>
            <w:tcW w:w="899" w:type="pct"/>
            <w:vAlign w:val="bottom"/>
          </w:tcPr>
          <w:p w14:paraId="4751DBB9" w14:textId="77777777" w:rsidR="00EE632C" w:rsidRPr="00AE5B06" w:rsidRDefault="00EE632C" w:rsidP="00EE632C">
            <w:pPr>
              <w:tabs>
                <w:tab w:val="right" w:pos="1202"/>
              </w:tabs>
              <w:spacing w:after="0" w:line="240" w:lineRule="auto"/>
              <w:outlineLvl w:val="0"/>
              <w:rPr>
                <w:rFonts w:eastAsia="Times New Roman" w:cs="Arial"/>
                <w:sz w:val="20"/>
                <w:szCs w:val="20"/>
              </w:rPr>
            </w:pPr>
            <w:r w:rsidRPr="00AE5B06">
              <w:rPr>
                <w:rFonts w:eastAsia="Times New Roman" w:cs="Arial"/>
                <w:sz w:val="20"/>
                <w:szCs w:val="20"/>
              </w:rPr>
              <w:t>Other</w:t>
            </w:r>
          </w:p>
        </w:tc>
        <w:tc>
          <w:tcPr>
            <w:tcW w:w="513" w:type="pct"/>
            <w:tcBorders>
              <w:top w:val="nil"/>
              <w:left w:val="nil"/>
              <w:bottom w:val="single" w:sz="4" w:space="0" w:color="auto"/>
              <w:right w:val="nil"/>
            </w:tcBorders>
            <w:shd w:val="clear" w:color="auto" w:fill="auto"/>
            <w:vAlign w:val="bottom"/>
          </w:tcPr>
          <w:p w14:paraId="2A6730A9" w14:textId="21CD71F0" w:rsidR="00EE632C" w:rsidRPr="006B318F" w:rsidRDefault="00EE632C" w:rsidP="006B318F">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11,517</w:t>
            </w:r>
          </w:p>
        </w:tc>
        <w:tc>
          <w:tcPr>
            <w:tcW w:w="513" w:type="pct"/>
            <w:tcBorders>
              <w:top w:val="nil"/>
              <w:left w:val="nil"/>
              <w:bottom w:val="single" w:sz="4" w:space="0" w:color="auto"/>
              <w:right w:val="nil"/>
            </w:tcBorders>
            <w:shd w:val="clear" w:color="auto" w:fill="auto"/>
            <w:vAlign w:val="bottom"/>
          </w:tcPr>
          <w:p w14:paraId="53C27ED0" w14:textId="01C300F2" w:rsidR="00EE632C" w:rsidRPr="006B318F" w:rsidRDefault="00EE632C" w:rsidP="006B318F">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58,872</w:t>
            </w:r>
          </w:p>
        </w:tc>
        <w:tc>
          <w:tcPr>
            <w:tcW w:w="513" w:type="pct"/>
            <w:tcBorders>
              <w:top w:val="nil"/>
              <w:left w:val="nil"/>
              <w:bottom w:val="single" w:sz="4" w:space="0" w:color="auto"/>
              <w:right w:val="nil"/>
            </w:tcBorders>
            <w:shd w:val="clear" w:color="auto" w:fill="auto"/>
          </w:tcPr>
          <w:p w14:paraId="6787CCF9" w14:textId="0B2FF43D" w:rsidR="00EE632C" w:rsidRPr="006B318F" w:rsidRDefault="00EE632C" w:rsidP="006B318F">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11,222</w:t>
            </w:r>
          </w:p>
        </w:tc>
        <w:tc>
          <w:tcPr>
            <w:tcW w:w="513" w:type="pct"/>
            <w:tcBorders>
              <w:top w:val="nil"/>
              <w:left w:val="nil"/>
              <w:bottom w:val="single" w:sz="4" w:space="0" w:color="auto"/>
              <w:right w:val="nil"/>
            </w:tcBorders>
            <w:shd w:val="clear" w:color="auto" w:fill="auto"/>
          </w:tcPr>
          <w:p w14:paraId="5FCF5D5F" w14:textId="3F82CF44" w:rsidR="00EE632C" w:rsidRPr="006B318F" w:rsidRDefault="00EE632C" w:rsidP="006B318F">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40,240</w:t>
            </w:r>
          </w:p>
        </w:tc>
        <w:tc>
          <w:tcPr>
            <w:tcW w:w="513" w:type="pct"/>
            <w:tcBorders>
              <w:top w:val="nil"/>
              <w:left w:val="nil"/>
              <w:bottom w:val="single" w:sz="4" w:space="0" w:color="auto"/>
              <w:right w:val="nil"/>
            </w:tcBorders>
            <w:shd w:val="clear" w:color="auto" w:fill="auto"/>
            <w:vAlign w:val="bottom"/>
          </w:tcPr>
          <w:p w14:paraId="313DFB73" w14:textId="29473CE2" w:rsidR="00EE632C" w:rsidRPr="006B318F" w:rsidRDefault="00EE632C" w:rsidP="006B318F">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11,517</w:t>
            </w:r>
          </w:p>
        </w:tc>
        <w:tc>
          <w:tcPr>
            <w:tcW w:w="513" w:type="pct"/>
            <w:tcBorders>
              <w:top w:val="nil"/>
              <w:left w:val="nil"/>
              <w:bottom w:val="single" w:sz="4" w:space="0" w:color="auto"/>
              <w:right w:val="nil"/>
            </w:tcBorders>
            <w:shd w:val="clear" w:color="auto" w:fill="auto"/>
            <w:vAlign w:val="bottom"/>
          </w:tcPr>
          <w:p w14:paraId="31E440DF" w14:textId="638B7769" w:rsidR="00EE632C" w:rsidRPr="006B318F" w:rsidRDefault="00EE632C" w:rsidP="006B318F">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58,872</w:t>
            </w:r>
          </w:p>
        </w:tc>
        <w:tc>
          <w:tcPr>
            <w:tcW w:w="513" w:type="pct"/>
            <w:tcBorders>
              <w:top w:val="nil"/>
              <w:left w:val="nil"/>
              <w:bottom w:val="single" w:sz="4" w:space="0" w:color="auto"/>
              <w:right w:val="nil"/>
            </w:tcBorders>
            <w:shd w:val="clear" w:color="auto" w:fill="auto"/>
          </w:tcPr>
          <w:p w14:paraId="1C99798A" w14:textId="492DAC56" w:rsidR="00EE632C" w:rsidRPr="006B318F" w:rsidRDefault="00EE632C" w:rsidP="006B318F">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11,222</w:t>
            </w:r>
          </w:p>
        </w:tc>
        <w:tc>
          <w:tcPr>
            <w:tcW w:w="510" w:type="pct"/>
            <w:tcBorders>
              <w:top w:val="nil"/>
              <w:left w:val="nil"/>
              <w:bottom w:val="single" w:sz="4" w:space="0" w:color="auto"/>
              <w:right w:val="nil"/>
            </w:tcBorders>
            <w:shd w:val="clear" w:color="auto" w:fill="auto"/>
          </w:tcPr>
          <w:p w14:paraId="46D86465" w14:textId="5D9B265E" w:rsidR="00EE632C" w:rsidRPr="006B318F" w:rsidRDefault="00EE632C" w:rsidP="006B318F">
            <w:pPr>
              <w:tabs>
                <w:tab w:val="right" w:pos="1202"/>
              </w:tabs>
              <w:spacing w:after="0" w:line="301"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40,240</w:t>
            </w:r>
          </w:p>
        </w:tc>
      </w:tr>
      <w:tr w:rsidR="00EE632C" w:rsidRPr="0034501D" w14:paraId="7DD88412" w14:textId="77777777" w:rsidTr="006B318F">
        <w:trPr>
          <w:trHeight w:val="301"/>
        </w:trPr>
        <w:tc>
          <w:tcPr>
            <w:tcW w:w="899" w:type="pct"/>
          </w:tcPr>
          <w:p w14:paraId="1AA1D53E" w14:textId="77777777" w:rsidR="00EE632C" w:rsidRPr="00AE5B06" w:rsidRDefault="00EE632C" w:rsidP="00EE632C">
            <w:pPr>
              <w:tabs>
                <w:tab w:val="right" w:pos="1202"/>
              </w:tabs>
              <w:spacing w:after="0" w:line="340" w:lineRule="exact"/>
              <w:outlineLvl w:val="0"/>
              <w:rPr>
                <w:rFonts w:eastAsia="Times New Roman" w:cs="Arial"/>
                <w:b/>
                <w:bCs/>
                <w:sz w:val="20"/>
                <w:szCs w:val="20"/>
              </w:rPr>
            </w:pPr>
          </w:p>
        </w:tc>
        <w:tc>
          <w:tcPr>
            <w:tcW w:w="513" w:type="pct"/>
            <w:tcBorders>
              <w:top w:val="single" w:sz="4" w:space="0" w:color="auto"/>
              <w:left w:val="nil"/>
              <w:bottom w:val="single" w:sz="12" w:space="0" w:color="auto"/>
              <w:right w:val="nil"/>
            </w:tcBorders>
            <w:shd w:val="clear" w:color="auto" w:fill="auto"/>
            <w:vAlign w:val="bottom"/>
          </w:tcPr>
          <w:p w14:paraId="4D7E7208" w14:textId="241BBBAB" w:rsidR="00EE632C" w:rsidRPr="006B318F" w:rsidRDefault="00EE632C" w:rsidP="006B318F">
            <w:pPr>
              <w:tabs>
                <w:tab w:val="right" w:pos="1202"/>
              </w:tabs>
              <w:spacing w:after="0" w:line="301" w:lineRule="exact"/>
              <w:jc w:val="right"/>
              <w:outlineLvl w:val="0"/>
              <w:rPr>
                <w:rFonts w:eastAsia="Times New Roman"/>
                <w:b/>
                <w:color w:val="000000"/>
                <w:sz w:val="20"/>
                <w:szCs w:val="20"/>
                <w:lang w:eastAsia="hr-HR"/>
              </w:rPr>
            </w:pPr>
            <w:r w:rsidRPr="006B318F">
              <w:rPr>
                <w:rFonts w:eastAsia="Times New Roman"/>
                <w:b/>
                <w:color w:val="000000"/>
                <w:sz w:val="20"/>
                <w:szCs w:val="20"/>
                <w:lang w:eastAsia="hr-HR"/>
              </w:rPr>
              <w:t>209,356</w:t>
            </w:r>
          </w:p>
        </w:tc>
        <w:tc>
          <w:tcPr>
            <w:tcW w:w="513" w:type="pct"/>
            <w:tcBorders>
              <w:top w:val="single" w:sz="4" w:space="0" w:color="auto"/>
              <w:left w:val="nil"/>
              <w:bottom w:val="single" w:sz="12" w:space="0" w:color="auto"/>
              <w:right w:val="nil"/>
            </w:tcBorders>
            <w:shd w:val="clear" w:color="auto" w:fill="auto"/>
            <w:vAlign w:val="bottom"/>
          </w:tcPr>
          <w:p w14:paraId="06E973D4" w14:textId="56FB4897" w:rsidR="00EE632C" w:rsidRPr="006B318F" w:rsidRDefault="00EE632C" w:rsidP="006B318F">
            <w:pPr>
              <w:tabs>
                <w:tab w:val="right" w:pos="1202"/>
              </w:tabs>
              <w:spacing w:after="0" w:line="301" w:lineRule="exact"/>
              <w:jc w:val="right"/>
              <w:outlineLvl w:val="0"/>
              <w:rPr>
                <w:rFonts w:eastAsia="Times New Roman"/>
                <w:b/>
                <w:color w:val="000000"/>
                <w:sz w:val="20"/>
                <w:szCs w:val="20"/>
                <w:lang w:eastAsia="hr-HR"/>
              </w:rPr>
            </w:pPr>
            <w:r w:rsidRPr="006B318F">
              <w:rPr>
                <w:rFonts w:eastAsia="Times New Roman"/>
                <w:b/>
                <w:color w:val="000000"/>
                <w:sz w:val="20"/>
                <w:szCs w:val="20"/>
                <w:lang w:eastAsia="hr-HR"/>
              </w:rPr>
              <w:t>661,197</w:t>
            </w:r>
          </w:p>
        </w:tc>
        <w:tc>
          <w:tcPr>
            <w:tcW w:w="513" w:type="pct"/>
            <w:tcBorders>
              <w:top w:val="single" w:sz="4" w:space="0" w:color="auto"/>
              <w:left w:val="nil"/>
              <w:bottom w:val="single" w:sz="12" w:space="0" w:color="auto"/>
              <w:right w:val="nil"/>
            </w:tcBorders>
            <w:shd w:val="clear" w:color="auto" w:fill="auto"/>
            <w:vAlign w:val="bottom"/>
          </w:tcPr>
          <w:p w14:paraId="450D341A" w14:textId="011CAEE9" w:rsidR="00EE632C" w:rsidRPr="006B318F" w:rsidRDefault="00EE632C" w:rsidP="006B318F">
            <w:pPr>
              <w:tabs>
                <w:tab w:val="right" w:pos="1202"/>
              </w:tabs>
              <w:spacing w:after="0" w:line="301" w:lineRule="exact"/>
              <w:jc w:val="right"/>
              <w:outlineLvl w:val="0"/>
              <w:rPr>
                <w:rFonts w:eastAsia="Times New Roman"/>
                <w:b/>
                <w:color w:val="000000"/>
                <w:sz w:val="20"/>
                <w:szCs w:val="20"/>
                <w:lang w:eastAsia="hr-HR"/>
              </w:rPr>
            </w:pPr>
            <w:r w:rsidRPr="006B318F">
              <w:rPr>
                <w:rFonts w:eastAsia="Times New Roman"/>
                <w:b/>
                <w:color w:val="000000"/>
                <w:sz w:val="20"/>
                <w:szCs w:val="20"/>
                <w:lang w:eastAsia="hr-HR"/>
              </w:rPr>
              <w:t>215,899</w:t>
            </w:r>
          </w:p>
        </w:tc>
        <w:tc>
          <w:tcPr>
            <w:tcW w:w="513" w:type="pct"/>
            <w:tcBorders>
              <w:top w:val="single" w:sz="4" w:space="0" w:color="auto"/>
              <w:left w:val="nil"/>
              <w:bottom w:val="single" w:sz="12" w:space="0" w:color="auto"/>
              <w:right w:val="nil"/>
            </w:tcBorders>
            <w:shd w:val="clear" w:color="auto" w:fill="auto"/>
            <w:vAlign w:val="bottom"/>
          </w:tcPr>
          <w:p w14:paraId="2694AA1B" w14:textId="446EE341" w:rsidR="00EE632C" w:rsidRPr="006B318F" w:rsidRDefault="00EE632C" w:rsidP="006B318F">
            <w:pPr>
              <w:tabs>
                <w:tab w:val="right" w:pos="1202"/>
              </w:tabs>
              <w:spacing w:after="0" w:line="301" w:lineRule="exact"/>
              <w:jc w:val="right"/>
              <w:outlineLvl w:val="0"/>
              <w:rPr>
                <w:rFonts w:eastAsia="Times New Roman"/>
                <w:b/>
                <w:color w:val="000000"/>
                <w:sz w:val="20"/>
                <w:szCs w:val="20"/>
                <w:lang w:eastAsia="hr-HR"/>
              </w:rPr>
            </w:pPr>
            <w:r w:rsidRPr="006B318F">
              <w:rPr>
                <w:rFonts w:eastAsia="Times New Roman"/>
                <w:b/>
                <w:color w:val="000000"/>
                <w:sz w:val="20"/>
                <w:szCs w:val="20"/>
                <w:lang w:eastAsia="hr-HR"/>
              </w:rPr>
              <w:t>644,925</w:t>
            </w:r>
          </w:p>
        </w:tc>
        <w:tc>
          <w:tcPr>
            <w:tcW w:w="513" w:type="pct"/>
            <w:tcBorders>
              <w:top w:val="single" w:sz="4" w:space="0" w:color="auto"/>
              <w:left w:val="nil"/>
              <w:bottom w:val="single" w:sz="12" w:space="0" w:color="auto"/>
              <w:right w:val="nil"/>
            </w:tcBorders>
            <w:shd w:val="clear" w:color="auto" w:fill="auto"/>
            <w:vAlign w:val="bottom"/>
          </w:tcPr>
          <w:p w14:paraId="304E8D6D" w14:textId="6D1120CF" w:rsidR="00EE632C" w:rsidRPr="006B318F" w:rsidRDefault="00EE632C" w:rsidP="006B318F">
            <w:pPr>
              <w:tabs>
                <w:tab w:val="right" w:pos="1202"/>
              </w:tabs>
              <w:spacing w:after="0" w:line="301" w:lineRule="exact"/>
              <w:jc w:val="right"/>
              <w:outlineLvl w:val="0"/>
              <w:rPr>
                <w:rFonts w:eastAsia="Times New Roman"/>
                <w:b/>
                <w:color w:val="000000"/>
                <w:sz w:val="20"/>
                <w:szCs w:val="20"/>
                <w:lang w:eastAsia="hr-HR"/>
              </w:rPr>
            </w:pPr>
            <w:r w:rsidRPr="006B318F">
              <w:rPr>
                <w:rFonts w:eastAsia="Times New Roman"/>
                <w:b/>
                <w:color w:val="000000"/>
                <w:sz w:val="20"/>
                <w:szCs w:val="20"/>
                <w:lang w:eastAsia="hr-HR"/>
              </w:rPr>
              <w:t>208,951</w:t>
            </w:r>
          </w:p>
        </w:tc>
        <w:tc>
          <w:tcPr>
            <w:tcW w:w="513" w:type="pct"/>
            <w:tcBorders>
              <w:top w:val="single" w:sz="4" w:space="0" w:color="auto"/>
              <w:left w:val="nil"/>
              <w:bottom w:val="single" w:sz="12" w:space="0" w:color="auto"/>
              <w:right w:val="nil"/>
            </w:tcBorders>
            <w:shd w:val="clear" w:color="auto" w:fill="auto"/>
            <w:vAlign w:val="bottom"/>
          </w:tcPr>
          <w:p w14:paraId="50944A3D" w14:textId="45249597" w:rsidR="00EE632C" w:rsidRPr="006B318F" w:rsidRDefault="00EE632C" w:rsidP="006B318F">
            <w:pPr>
              <w:tabs>
                <w:tab w:val="right" w:pos="1202"/>
              </w:tabs>
              <w:spacing w:after="0" w:line="301" w:lineRule="exact"/>
              <w:jc w:val="right"/>
              <w:outlineLvl w:val="0"/>
              <w:rPr>
                <w:rFonts w:eastAsia="Times New Roman"/>
                <w:b/>
                <w:color w:val="000000"/>
                <w:sz w:val="20"/>
                <w:szCs w:val="20"/>
                <w:lang w:eastAsia="hr-HR"/>
              </w:rPr>
            </w:pPr>
            <w:r w:rsidRPr="006B318F">
              <w:rPr>
                <w:rFonts w:eastAsia="Times New Roman"/>
                <w:b/>
                <w:color w:val="000000"/>
                <w:sz w:val="20"/>
                <w:szCs w:val="20"/>
                <w:lang w:eastAsia="hr-HR"/>
              </w:rPr>
              <w:t>659,963</w:t>
            </w:r>
          </w:p>
        </w:tc>
        <w:tc>
          <w:tcPr>
            <w:tcW w:w="513" w:type="pct"/>
            <w:tcBorders>
              <w:top w:val="single" w:sz="4" w:space="0" w:color="auto"/>
              <w:left w:val="nil"/>
              <w:bottom w:val="single" w:sz="12" w:space="0" w:color="auto"/>
              <w:right w:val="nil"/>
            </w:tcBorders>
            <w:shd w:val="clear" w:color="auto" w:fill="auto"/>
            <w:vAlign w:val="bottom"/>
          </w:tcPr>
          <w:p w14:paraId="63F0F67A" w14:textId="278BAD61" w:rsidR="00EE632C" w:rsidRPr="006B318F" w:rsidRDefault="00EE632C" w:rsidP="006B318F">
            <w:pPr>
              <w:tabs>
                <w:tab w:val="right" w:pos="1202"/>
              </w:tabs>
              <w:spacing w:after="0" w:line="301" w:lineRule="exact"/>
              <w:jc w:val="right"/>
              <w:outlineLvl w:val="0"/>
              <w:rPr>
                <w:rFonts w:eastAsia="Times New Roman"/>
                <w:b/>
                <w:color w:val="000000"/>
                <w:sz w:val="20"/>
                <w:szCs w:val="20"/>
                <w:lang w:eastAsia="hr-HR"/>
              </w:rPr>
            </w:pPr>
            <w:r w:rsidRPr="006B318F">
              <w:rPr>
                <w:rFonts w:eastAsia="Times New Roman"/>
                <w:b/>
                <w:color w:val="000000"/>
                <w:sz w:val="20"/>
                <w:szCs w:val="20"/>
                <w:lang w:eastAsia="hr-HR"/>
              </w:rPr>
              <w:t>215,494</w:t>
            </w:r>
          </w:p>
        </w:tc>
        <w:tc>
          <w:tcPr>
            <w:tcW w:w="510" w:type="pct"/>
            <w:tcBorders>
              <w:top w:val="single" w:sz="4" w:space="0" w:color="auto"/>
              <w:left w:val="nil"/>
              <w:bottom w:val="single" w:sz="12" w:space="0" w:color="auto"/>
              <w:right w:val="nil"/>
            </w:tcBorders>
            <w:shd w:val="clear" w:color="auto" w:fill="auto"/>
            <w:vAlign w:val="bottom"/>
          </w:tcPr>
          <w:p w14:paraId="2E2C8AE0" w14:textId="34872ED1" w:rsidR="00EE632C" w:rsidRPr="006B318F" w:rsidRDefault="00EE632C" w:rsidP="006B318F">
            <w:pPr>
              <w:tabs>
                <w:tab w:val="right" w:pos="1202"/>
              </w:tabs>
              <w:spacing w:after="0" w:line="301" w:lineRule="exact"/>
              <w:jc w:val="right"/>
              <w:outlineLvl w:val="0"/>
              <w:rPr>
                <w:rFonts w:eastAsia="Times New Roman"/>
                <w:b/>
                <w:color w:val="000000"/>
                <w:sz w:val="20"/>
                <w:szCs w:val="20"/>
                <w:lang w:eastAsia="hr-HR"/>
              </w:rPr>
            </w:pPr>
            <w:r w:rsidRPr="006B318F">
              <w:rPr>
                <w:rFonts w:eastAsia="Times New Roman"/>
                <w:b/>
                <w:color w:val="000000"/>
                <w:sz w:val="20"/>
                <w:szCs w:val="20"/>
                <w:lang w:eastAsia="hr-HR"/>
              </w:rPr>
              <w:t>643,683</w:t>
            </w:r>
          </w:p>
        </w:tc>
      </w:tr>
    </w:tbl>
    <w:p w14:paraId="764F986D" w14:textId="77777777" w:rsidR="00526AF1" w:rsidRDefault="00526AF1" w:rsidP="00115D91">
      <w:pPr>
        <w:spacing w:after="0" w:line="240" w:lineRule="auto"/>
        <w:jc w:val="both"/>
        <w:rPr>
          <w:rFonts w:eastAsia="Times New Roman" w:cs="Arial"/>
          <w:sz w:val="20"/>
          <w:szCs w:val="20"/>
        </w:rPr>
      </w:pPr>
    </w:p>
    <w:p w14:paraId="66979165" w14:textId="77777777" w:rsidR="00453078" w:rsidRDefault="00453078" w:rsidP="00584AE9">
      <w:pPr>
        <w:tabs>
          <w:tab w:val="left" w:pos="567"/>
        </w:tabs>
        <w:spacing w:after="0" w:line="240" w:lineRule="auto"/>
        <w:jc w:val="both"/>
        <w:rPr>
          <w:rFonts w:eastAsia="Times New Roman" w:cs="Arial"/>
        </w:rPr>
        <w:sectPr w:rsidR="00453078" w:rsidSect="001E3C1C">
          <w:footerReference w:type="first" r:id="rId53"/>
          <w:pgSz w:w="16838" w:h="11906" w:orient="landscape" w:code="9"/>
          <w:pgMar w:top="1418" w:right="595" w:bottom="1134" w:left="1418" w:header="709" w:footer="709" w:gutter="0"/>
          <w:cols w:space="708"/>
          <w:titlePg/>
          <w:docGrid w:linePitch="360"/>
        </w:sectPr>
      </w:pPr>
    </w:p>
    <w:p w14:paraId="5FB1BD03" w14:textId="77777777" w:rsidR="00453078" w:rsidRDefault="00453078" w:rsidP="00584AE9">
      <w:pPr>
        <w:tabs>
          <w:tab w:val="left" w:pos="567"/>
        </w:tabs>
        <w:spacing w:after="0" w:line="240" w:lineRule="auto"/>
        <w:jc w:val="both"/>
        <w:rPr>
          <w:rFonts w:eastAsia="Times New Roman" w:cs="Arial"/>
        </w:rPr>
      </w:pPr>
    </w:p>
    <w:p w14:paraId="40ACF674" w14:textId="77777777" w:rsidR="00453078" w:rsidRPr="00453078" w:rsidRDefault="00453078" w:rsidP="00584AE9">
      <w:pPr>
        <w:tabs>
          <w:tab w:val="left" w:pos="567"/>
        </w:tabs>
        <w:spacing w:after="0" w:line="240" w:lineRule="auto"/>
        <w:jc w:val="both"/>
        <w:rPr>
          <w:rFonts w:eastAsia="Times New Roman" w:cs="Arial"/>
          <w:b/>
        </w:rPr>
      </w:pPr>
      <w:r w:rsidRPr="00453078">
        <w:rPr>
          <w:rFonts w:eastAsia="Times New Roman" w:cs="Arial"/>
          <w:b/>
        </w:rPr>
        <w:t xml:space="preserve">4. </w:t>
      </w:r>
      <w:r w:rsidRPr="00453078">
        <w:rPr>
          <w:rFonts w:eastAsia="Times New Roman" w:cs="Arial"/>
          <w:b/>
        </w:rPr>
        <w:tab/>
        <w:t xml:space="preserve"> Interest income (continued)</w:t>
      </w:r>
    </w:p>
    <w:p w14:paraId="46779C3A" w14:textId="77777777" w:rsidR="00453078" w:rsidRDefault="00453078" w:rsidP="00584AE9">
      <w:pPr>
        <w:tabs>
          <w:tab w:val="left" w:pos="567"/>
        </w:tabs>
        <w:spacing w:after="0" w:line="240" w:lineRule="auto"/>
        <w:jc w:val="both"/>
        <w:rPr>
          <w:rFonts w:eastAsia="Times New Roman" w:cs="Arial"/>
        </w:rPr>
      </w:pPr>
    </w:p>
    <w:p w14:paraId="75B13FF9" w14:textId="77777777" w:rsidR="00200D8A" w:rsidRPr="0034501D" w:rsidRDefault="002268BB" w:rsidP="006379CB">
      <w:pPr>
        <w:spacing w:after="0" w:line="240" w:lineRule="auto"/>
        <w:jc w:val="both"/>
        <w:rPr>
          <w:rFonts w:eastAsia="Times New Roman" w:cs="Arial"/>
        </w:rPr>
      </w:pPr>
      <w:r w:rsidRPr="0034501D">
        <w:rPr>
          <w:rFonts w:cs="Arial"/>
        </w:rPr>
        <w:t>Interest income by type of facility</w:t>
      </w:r>
      <w:r w:rsidR="00AE09B0" w:rsidRPr="0034501D">
        <w:rPr>
          <w:rFonts w:eastAsia="Times New Roman" w:cs="Arial"/>
        </w:rPr>
        <w:t>:</w:t>
      </w:r>
    </w:p>
    <w:p w14:paraId="2BF02AAB" w14:textId="77777777" w:rsidR="00202F35" w:rsidRPr="00584AE9" w:rsidRDefault="00202F35" w:rsidP="00584AE9">
      <w:pPr>
        <w:spacing w:after="0" w:line="240" w:lineRule="auto"/>
        <w:jc w:val="both"/>
        <w:rPr>
          <w:rFonts w:eastAsia="Times New Roman" w:cs="Calibri"/>
          <w:sz w:val="24"/>
          <w:szCs w:val="24"/>
          <w:lang w:eastAsia="hr-HR"/>
        </w:rPr>
      </w:pPr>
    </w:p>
    <w:tbl>
      <w:tblPr>
        <w:tblW w:w="4919" w:type="pct"/>
        <w:tblLayout w:type="fixed"/>
        <w:tblCellMar>
          <w:left w:w="122" w:type="dxa"/>
          <w:right w:w="122" w:type="dxa"/>
        </w:tblCellMar>
        <w:tblLook w:val="0000" w:firstRow="0" w:lastRow="0" w:firstColumn="0" w:lastColumn="0" w:noHBand="0" w:noVBand="0"/>
      </w:tblPr>
      <w:tblGrid>
        <w:gridCol w:w="2446"/>
        <w:gridCol w:w="1515"/>
        <w:gridCol w:w="1517"/>
        <w:gridCol w:w="1516"/>
        <w:gridCol w:w="1519"/>
        <w:gridCol w:w="1516"/>
        <w:gridCol w:w="1517"/>
        <w:gridCol w:w="1516"/>
        <w:gridCol w:w="1517"/>
        <w:gridCol w:w="6"/>
      </w:tblGrid>
      <w:tr w:rsidR="00453078" w:rsidRPr="00453078" w14:paraId="2DBED698" w14:textId="77777777" w:rsidTr="004C0B45">
        <w:trPr>
          <w:trHeight w:val="146"/>
        </w:trPr>
        <w:tc>
          <w:tcPr>
            <w:tcW w:w="2446" w:type="dxa"/>
          </w:tcPr>
          <w:p w14:paraId="37A1BBA9" w14:textId="77777777" w:rsidR="00453078" w:rsidRPr="00453078" w:rsidRDefault="00453078" w:rsidP="00453078">
            <w:pPr>
              <w:tabs>
                <w:tab w:val="right" w:pos="1202"/>
              </w:tabs>
              <w:spacing w:after="0" w:line="301" w:lineRule="exact"/>
              <w:outlineLvl w:val="0"/>
              <w:rPr>
                <w:rFonts w:eastAsia="Times New Roman" w:cs="Arial"/>
                <w:sz w:val="20"/>
                <w:szCs w:val="20"/>
              </w:rPr>
            </w:pPr>
          </w:p>
        </w:tc>
        <w:tc>
          <w:tcPr>
            <w:tcW w:w="6067" w:type="dxa"/>
            <w:gridSpan w:val="4"/>
          </w:tcPr>
          <w:p w14:paraId="52A91E8E" w14:textId="77777777" w:rsidR="00453078" w:rsidRPr="00453078" w:rsidRDefault="00453078" w:rsidP="00453078">
            <w:pPr>
              <w:tabs>
                <w:tab w:val="right" w:pos="1202"/>
              </w:tabs>
              <w:spacing w:after="0" w:line="301" w:lineRule="exact"/>
              <w:jc w:val="right"/>
              <w:outlineLvl w:val="0"/>
              <w:rPr>
                <w:rFonts w:eastAsia="Times New Roman" w:cs="Arial"/>
                <w:spacing w:val="-2"/>
                <w:sz w:val="20"/>
                <w:szCs w:val="20"/>
              </w:rPr>
            </w:pPr>
            <w:r w:rsidRPr="00453078">
              <w:rPr>
                <w:rFonts w:eastAsia="Times New Roman" w:cs="Arial"/>
                <w:b/>
                <w:sz w:val="20"/>
                <w:szCs w:val="20"/>
              </w:rPr>
              <w:t>Group</w:t>
            </w:r>
          </w:p>
        </w:tc>
        <w:tc>
          <w:tcPr>
            <w:tcW w:w="6072" w:type="dxa"/>
            <w:gridSpan w:val="5"/>
          </w:tcPr>
          <w:p w14:paraId="3D061776" w14:textId="77777777" w:rsidR="00453078" w:rsidRPr="00453078" w:rsidRDefault="00453078" w:rsidP="00453078">
            <w:pPr>
              <w:tabs>
                <w:tab w:val="right" w:pos="1202"/>
              </w:tabs>
              <w:spacing w:after="0" w:line="301" w:lineRule="exact"/>
              <w:jc w:val="right"/>
              <w:outlineLvl w:val="0"/>
              <w:rPr>
                <w:rFonts w:eastAsia="Times New Roman" w:cs="Arial"/>
                <w:spacing w:val="-2"/>
                <w:sz w:val="20"/>
                <w:szCs w:val="20"/>
              </w:rPr>
            </w:pPr>
            <w:r w:rsidRPr="00453078">
              <w:rPr>
                <w:rFonts w:eastAsia="Times New Roman" w:cs="Arial"/>
                <w:b/>
                <w:sz w:val="20"/>
                <w:szCs w:val="20"/>
              </w:rPr>
              <w:t>Bank</w:t>
            </w:r>
          </w:p>
        </w:tc>
      </w:tr>
      <w:tr w:rsidR="00453078" w:rsidRPr="00453078" w14:paraId="2253F9E5" w14:textId="77777777" w:rsidTr="004C0B45">
        <w:trPr>
          <w:trHeight w:val="146"/>
        </w:trPr>
        <w:tc>
          <w:tcPr>
            <w:tcW w:w="2446" w:type="dxa"/>
          </w:tcPr>
          <w:p w14:paraId="0D3B5F10" w14:textId="77777777" w:rsidR="00453078" w:rsidRPr="00453078" w:rsidRDefault="00453078" w:rsidP="00453078">
            <w:pPr>
              <w:tabs>
                <w:tab w:val="right" w:pos="1202"/>
              </w:tabs>
              <w:spacing w:after="0" w:line="301" w:lineRule="exact"/>
              <w:outlineLvl w:val="0"/>
              <w:rPr>
                <w:rFonts w:eastAsia="Times New Roman" w:cs="Arial"/>
                <w:sz w:val="20"/>
                <w:szCs w:val="20"/>
              </w:rPr>
            </w:pPr>
          </w:p>
        </w:tc>
        <w:tc>
          <w:tcPr>
            <w:tcW w:w="3032" w:type="dxa"/>
            <w:gridSpan w:val="2"/>
          </w:tcPr>
          <w:p w14:paraId="39BA941F" w14:textId="77777777" w:rsidR="00453078" w:rsidRPr="00453078" w:rsidRDefault="00453078" w:rsidP="00EB2D9F">
            <w:pPr>
              <w:tabs>
                <w:tab w:val="right" w:pos="1202"/>
              </w:tabs>
              <w:spacing w:after="0" w:line="240" w:lineRule="auto"/>
              <w:jc w:val="center"/>
              <w:outlineLvl w:val="0"/>
              <w:rPr>
                <w:rFonts w:eastAsia="Times New Roman" w:cs="Arial"/>
                <w:spacing w:val="-2"/>
                <w:sz w:val="20"/>
                <w:szCs w:val="20"/>
              </w:rPr>
            </w:pPr>
            <w:r w:rsidRPr="00453078">
              <w:rPr>
                <w:rFonts w:asciiTheme="minorHAnsi" w:eastAsia="Times New Roman" w:hAnsiTheme="minorHAnsi" w:cs="Arial"/>
                <w:b/>
                <w:bCs/>
                <w:sz w:val="20"/>
                <w:szCs w:val="20"/>
                <w:lang w:val="hr-HR"/>
              </w:rPr>
              <w:t>201</w:t>
            </w:r>
            <w:r w:rsidR="00EB2D9F">
              <w:rPr>
                <w:rFonts w:asciiTheme="minorHAnsi" w:eastAsia="Times New Roman" w:hAnsiTheme="minorHAnsi" w:cs="Arial"/>
                <w:b/>
                <w:bCs/>
                <w:sz w:val="20"/>
                <w:szCs w:val="20"/>
                <w:lang w:val="hr-HR"/>
              </w:rPr>
              <w:t>7</w:t>
            </w:r>
          </w:p>
        </w:tc>
        <w:tc>
          <w:tcPr>
            <w:tcW w:w="3035" w:type="dxa"/>
            <w:gridSpan w:val="2"/>
          </w:tcPr>
          <w:p w14:paraId="45D142A7" w14:textId="77777777" w:rsidR="00453078" w:rsidRPr="00453078" w:rsidRDefault="00453078" w:rsidP="00EB2D9F">
            <w:pPr>
              <w:tabs>
                <w:tab w:val="right" w:pos="1202"/>
              </w:tabs>
              <w:spacing w:after="0" w:line="240" w:lineRule="auto"/>
              <w:jc w:val="center"/>
              <w:outlineLvl w:val="0"/>
              <w:rPr>
                <w:rFonts w:eastAsia="Times New Roman" w:cs="Arial"/>
                <w:spacing w:val="-2"/>
                <w:sz w:val="20"/>
                <w:szCs w:val="20"/>
              </w:rPr>
            </w:pPr>
            <w:r w:rsidRPr="00453078">
              <w:rPr>
                <w:rFonts w:asciiTheme="minorHAnsi" w:eastAsia="Times New Roman" w:hAnsiTheme="minorHAnsi" w:cs="Arial"/>
                <w:b/>
                <w:bCs/>
                <w:sz w:val="20"/>
                <w:szCs w:val="20"/>
                <w:lang w:val="hr-HR"/>
              </w:rPr>
              <w:t>201</w:t>
            </w:r>
            <w:r w:rsidR="00EB2D9F">
              <w:rPr>
                <w:rFonts w:asciiTheme="minorHAnsi" w:eastAsia="Times New Roman" w:hAnsiTheme="minorHAnsi" w:cs="Arial"/>
                <w:b/>
                <w:bCs/>
                <w:sz w:val="20"/>
                <w:szCs w:val="20"/>
                <w:lang w:val="hr-HR"/>
              </w:rPr>
              <w:t>6</w:t>
            </w:r>
          </w:p>
        </w:tc>
        <w:tc>
          <w:tcPr>
            <w:tcW w:w="3033" w:type="dxa"/>
            <w:gridSpan w:val="2"/>
          </w:tcPr>
          <w:p w14:paraId="07F6CEE6" w14:textId="3982FD3E" w:rsidR="00453078" w:rsidRPr="00453078" w:rsidRDefault="00453078" w:rsidP="004E6C79">
            <w:pPr>
              <w:tabs>
                <w:tab w:val="right" w:pos="1202"/>
              </w:tabs>
              <w:spacing w:after="0" w:line="240" w:lineRule="auto"/>
              <w:jc w:val="center"/>
              <w:outlineLvl w:val="0"/>
              <w:rPr>
                <w:rFonts w:eastAsia="Times New Roman" w:cs="Arial"/>
                <w:spacing w:val="-2"/>
                <w:sz w:val="20"/>
                <w:szCs w:val="20"/>
              </w:rPr>
            </w:pPr>
            <w:r w:rsidRPr="00453078">
              <w:rPr>
                <w:rFonts w:asciiTheme="minorHAnsi" w:eastAsia="Times New Roman" w:hAnsiTheme="minorHAnsi" w:cs="Arial"/>
                <w:b/>
                <w:bCs/>
                <w:sz w:val="20"/>
                <w:szCs w:val="20"/>
                <w:lang w:val="hr-HR"/>
              </w:rPr>
              <w:t>201</w:t>
            </w:r>
            <w:r w:rsidR="004E6C79">
              <w:rPr>
                <w:rFonts w:asciiTheme="minorHAnsi" w:eastAsia="Times New Roman" w:hAnsiTheme="minorHAnsi" w:cs="Arial"/>
                <w:b/>
                <w:bCs/>
                <w:sz w:val="20"/>
                <w:szCs w:val="20"/>
                <w:lang w:val="hr-HR"/>
              </w:rPr>
              <w:t>7</w:t>
            </w:r>
          </w:p>
        </w:tc>
        <w:tc>
          <w:tcPr>
            <w:tcW w:w="3039" w:type="dxa"/>
            <w:gridSpan w:val="3"/>
          </w:tcPr>
          <w:p w14:paraId="226BF2F2" w14:textId="5B33998D" w:rsidR="00453078" w:rsidRPr="00453078" w:rsidRDefault="00453078" w:rsidP="004E6C79">
            <w:pPr>
              <w:tabs>
                <w:tab w:val="right" w:pos="1202"/>
              </w:tabs>
              <w:spacing w:after="0" w:line="240" w:lineRule="auto"/>
              <w:jc w:val="center"/>
              <w:outlineLvl w:val="0"/>
              <w:rPr>
                <w:rFonts w:eastAsia="Times New Roman" w:cs="Arial"/>
                <w:spacing w:val="-2"/>
                <w:sz w:val="20"/>
                <w:szCs w:val="20"/>
              </w:rPr>
            </w:pPr>
            <w:r w:rsidRPr="00453078">
              <w:rPr>
                <w:rFonts w:asciiTheme="minorHAnsi" w:eastAsia="Times New Roman" w:hAnsiTheme="minorHAnsi" w:cs="Arial"/>
                <w:b/>
                <w:bCs/>
                <w:sz w:val="20"/>
                <w:szCs w:val="20"/>
                <w:lang w:val="hr-HR"/>
              </w:rPr>
              <w:t>201</w:t>
            </w:r>
            <w:r w:rsidR="004E6C79">
              <w:rPr>
                <w:rFonts w:asciiTheme="minorHAnsi" w:eastAsia="Times New Roman" w:hAnsiTheme="minorHAnsi" w:cs="Arial"/>
                <w:b/>
                <w:bCs/>
                <w:sz w:val="20"/>
                <w:szCs w:val="20"/>
                <w:lang w:val="hr-HR"/>
              </w:rPr>
              <w:t>6</w:t>
            </w:r>
          </w:p>
        </w:tc>
      </w:tr>
      <w:tr w:rsidR="00453078" w:rsidRPr="00453078" w14:paraId="02B9AD1A" w14:textId="77777777" w:rsidTr="004C0B45">
        <w:trPr>
          <w:gridAfter w:val="1"/>
          <w:wAfter w:w="6" w:type="dxa"/>
          <w:trHeight w:val="146"/>
        </w:trPr>
        <w:tc>
          <w:tcPr>
            <w:tcW w:w="2446" w:type="dxa"/>
          </w:tcPr>
          <w:p w14:paraId="0AA680B7" w14:textId="77777777" w:rsidR="00453078" w:rsidRPr="00453078" w:rsidRDefault="00453078" w:rsidP="00453078">
            <w:pPr>
              <w:tabs>
                <w:tab w:val="right" w:pos="1202"/>
              </w:tabs>
              <w:spacing w:after="0" w:line="301" w:lineRule="exact"/>
              <w:outlineLvl w:val="0"/>
              <w:rPr>
                <w:rFonts w:eastAsia="Times New Roman" w:cs="Arial"/>
                <w:sz w:val="20"/>
                <w:szCs w:val="20"/>
              </w:rPr>
            </w:pPr>
          </w:p>
        </w:tc>
        <w:tc>
          <w:tcPr>
            <w:tcW w:w="1515" w:type="dxa"/>
            <w:vAlign w:val="center"/>
          </w:tcPr>
          <w:p w14:paraId="30A49AA3" w14:textId="77777777" w:rsidR="00453078" w:rsidRPr="00453078" w:rsidRDefault="00453078" w:rsidP="00453078">
            <w:pPr>
              <w:spacing w:after="0" w:line="301" w:lineRule="exact"/>
              <w:jc w:val="center"/>
              <w:outlineLvl w:val="0"/>
              <w:rPr>
                <w:rFonts w:eastAsia="Times New Roman" w:cs="Calibri"/>
                <w:bCs/>
                <w:sz w:val="20"/>
                <w:szCs w:val="20"/>
              </w:rPr>
            </w:pPr>
            <w:r w:rsidRPr="00453078">
              <w:rPr>
                <w:rFonts w:eastAsia="Times New Roman" w:cs="Calibri"/>
                <w:bCs/>
                <w:sz w:val="20"/>
                <w:szCs w:val="20"/>
              </w:rPr>
              <w:t>Current period</w:t>
            </w:r>
          </w:p>
          <w:p w14:paraId="1C912F0B" w14:textId="77777777" w:rsidR="00337B86" w:rsidRPr="00337B86" w:rsidRDefault="00337B86" w:rsidP="00337B86">
            <w:pPr>
              <w:spacing w:after="0" w:line="280" w:lineRule="exact"/>
              <w:jc w:val="center"/>
              <w:outlineLvl w:val="0"/>
              <w:rPr>
                <w:rFonts w:cs="Calibri"/>
                <w:bCs/>
                <w:sz w:val="20"/>
                <w:szCs w:val="20"/>
              </w:rPr>
            </w:pPr>
            <w:r w:rsidRPr="00337B86">
              <w:rPr>
                <w:rFonts w:cs="Calibri"/>
                <w:bCs/>
                <w:sz w:val="20"/>
                <w:szCs w:val="20"/>
              </w:rPr>
              <w:t xml:space="preserve">July 1 – </w:t>
            </w:r>
          </w:p>
          <w:p w14:paraId="1C71A701" w14:textId="3079941A" w:rsidR="00453078" w:rsidRPr="00453078" w:rsidRDefault="00337B86" w:rsidP="00337B86">
            <w:pPr>
              <w:tabs>
                <w:tab w:val="right" w:pos="1202"/>
              </w:tabs>
              <w:spacing w:after="0" w:line="301" w:lineRule="exact"/>
              <w:jc w:val="center"/>
              <w:outlineLvl w:val="0"/>
              <w:rPr>
                <w:rFonts w:eastAsia="Times New Roman" w:cs="Arial"/>
                <w:spacing w:val="-2"/>
                <w:sz w:val="20"/>
                <w:szCs w:val="20"/>
              </w:rPr>
            </w:pPr>
            <w:r w:rsidRPr="00337B86">
              <w:rPr>
                <w:rFonts w:cs="Calibri"/>
                <w:bCs/>
                <w:sz w:val="20"/>
                <w:szCs w:val="20"/>
              </w:rPr>
              <w:t>September 30</w:t>
            </w:r>
          </w:p>
        </w:tc>
        <w:tc>
          <w:tcPr>
            <w:tcW w:w="1517" w:type="dxa"/>
            <w:vAlign w:val="center"/>
          </w:tcPr>
          <w:p w14:paraId="4F2084FD" w14:textId="77777777" w:rsidR="00453078" w:rsidRPr="00453078" w:rsidRDefault="00453078" w:rsidP="00453078">
            <w:pPr>
              <w:spacing w:after="0" w:line="301" w:lineRule="exact"/>
              <w:jc w:val="center"/>
              <w:outlineLvl w:val="0"/>
              <w:rPr>
                <w:rFonts w:eastAsia="Times New Roman" w:cs="Calibri"/>
                <w:bCs/>
                <w:sz w:val="20"/>
                <w:szCs w:val="20"/>
              </w:rPr>
            </w:pPr>
            <w:r w:rsidRPr="00453078">
              <w:rPr>
                <w:rFonts w:eastAsia="Times New Roman" w:cs="Calibri"/>
                <w:bCs/>
                <w:sz w:val="20"/>
                <w:szCs w:val="20"/>
              </w:rPr>
              <w:t>Cumulatively</w:t>
            </w:r>
          </w:p>
          <w:p w14:paraId="2D9ABD85" w14:textId="43337EB7" w:rsidR="00453078" w:rsidRPr="00453078" w:rsidRDefault="00453078" w:rsidP="00453078">
            <w:pPr>
              <w:tabs>
                <w:tab w:val="right" w:pos="1202"/>
              </w:tabs>
              <w:spacing w:after="0" w:line="301" w:lineRule="exact"/>
              <w:jc w:val="center"/>
              <w:outlineLvl w:val="0"/>
              <w:rPr>
                <w:rFonts w:eastAsia="Times New Roman" w:cs="Arial"/>
                <w:spacing w:val="-2"/>
                <w:sz w:val="20"/>
                <w:szCs w:val="20"/>
              </w:rPr>
            </w:pPr>
            <w:r w:rsidRPr="00453078">
              <w:rPr>
                <w:rFonts w:cs="Calibri"/>
                <w:bCs/>
                <w:sz w:val="20"/>
                <w:szCs w:val="20"/>
              </w:rPr>
              <w:t xml:space="preserve">January 1 – </w:t>
            </w:r>
            <w:r w:rsidR="00337B86" w:rsidRPr="00337B86">
              <w:rPr>
                <w:rFonts w:cs="Calibri"/>
                <w:bCs/>
                <w:sz w:val="20"/>
                <w:szCs w:val="20"/>
              </w:rPr>
              <w:t>September</w:t>
            </w:r>
            <w:r w:rsidRPr="00453078">
              <w:rPr>
                <w:rFonts w:cs="Calibri"/>
                <w:bCs/>
                <w:sz w:val="20"/>
                <w:szCs w:val="20"/>
              </w:rPr>
              <w:t xml:space="preserve"> 30</w:t>
            </w:r>
          </w:p>
        </w:tc>
        <w:tc>
          <w:tcPr>
            <w:tcW w:w="1516" w:type="dxa"/>
            <w:vAlign w:val="center"/>
          </w:tcPr>
          <w:p w14:paraId="24656877" w14:textId="77777777" w:rsidR="00453078" w:rsidRPr="00453078" w:rsidRDefault="00453078" w:rsidP="00453078">
            <w:pPr>
              <w:spacing w:after="0" w:line="301" w:lineRule="exact"/>
              <w:jc w:val="center"/>
              <w:outlineLvl w:val="0"/>
              <w:rPr>
                <w:rFonts w:eastAsia="Times New Roman" w:cs="Calibri"/>
                <w:bCs/>
                <w:sz w:val="20"/>
                <w:szCs w:val="20"/>
              </w:rPr>
            </w:pPr>
            <w:r w:rsidRPr="00453078">
              <w:rPr>
                <w:rFonts w:eastAsia="Times New Roman" w:cs="Calibri"/>
                <w:bCs/>
                <w:sz w:val="20"/>
                <w:szCs w:val="20"/>
              </w:rPr>
              <w:t>Current period</w:t>
            </w:r>
          </w:p>
          <w:p w14:paraId="0F968681" w14:textId="77777777" w:rsidR="00337B86" w:rsidRPr="00337B86" w:rsidRDefault="00337B86" w:rsidP="00337B86">
            <w:pPr>
              <w:spacing w:after="0" w:line="280" w:lineRule="exact"/>
              <w:jc w:val="center"/>
              <w:outlineLvl w:val="0"/>
              <w:rPr>
                <w:rFonts w:cs="Calibri"/>
                <w:bCs/>
                <w:sz w:val="20"/>
                <w:szCs w:val="20"/>
              </w:rPr>
            </w:pPr>
            <w:r w:rsidRPr="00337B86">
              <w:rPr>
                <w:rFonts w:cs="Calibri"/>
                <w:bCs/>
                <w:sz w:val="20"/>
                <w:szCs w:val="20"/>
              </w:rPr>
              <w:t xml:space="preserve">July 1 – </w:t>
            </w:r>
          </w:p>
          <w:p w14:paraId="0AF4F1F7" w14:textId="3CBBB7A8" w:rsidR="00453078" w:rsidRPr="00453078" w:rsidRDefault="00337B86" w:rsidP="00337B86">
            <w:pPr>
              <w:tabs>
                <w:tab w:val="right" w:pos="1202"/>
              </w:tabs>
              <w:spacing w:after="0" w:line="301" w:lineRule="exact"/>
              <w:jc w:val="center"/>
              <w:outlineLvl w:val="0"/>
              <w:rPr>
                <w:rFonts w:eastAsia="Times New Roman" w:cs="Arial"/>
                <w:spacing w:val="-2"/>
                <w:sz w:val="20"/>
                <w:szCs w:val="20"/>
              </w:rPr>
            </w:pPr>
            <w:r w:rsidRPr="00337B86">
              <w:rPr>
                <w:rFonts w:cs="Calibri"/>
                <w:bCs/>
                <w:sz w:val="20"/>
                <w:szCs w:val="20"/>
              </w:rPr>
              <w:t>September 30</w:t>
            </w:r>
          </w:p>
        </w:tc>
        <w:tc>
          <w:tcPr>
            <w:tcW w:w="1519" w:type="dxa"/>
            <w:vAlign w:val="center"/>
          </w:tcPr>
          <w:p w14:paraId="71F359DC" w14:textId="77777777" w:rsidR="00453078" w:rsidRPr="00453078" w:rsidRDefault="00453078" w:rsidP="00453078">
            <w:pPr>
              <w:spacing w:after="0" w:line="301" w:lineRule="exact"/>
              <w:jc w:val="center"/>
              <w:outlineLvl w:val="0"/>
              <w:rPr>
                <w:rFonts w:eastAsia="Times New Roman" w:cs="Calibri"/>
                <w:bCs/>
                <w:sz w:val="20"/>
                <w:szCs w:val="20"/>
              </w:rPr>
            </w:pPr>
            <w:r w:rsidRPr="00453078">
              <w:rPr>
                <w:rFonts w:eastAsia="Times New Roman" w:cs="Calibri"/>
                <w:bCs/>
                <w:sz w:val="20"/>
                <w:szCs w:val="20"/>
              </w:rPr>
              <w:t>Cumulatively</w:t>
            </w:r>
          </w:p>
          <w:p w14:paraId="1FCB318E" w14:textId="08818ACA" w:rsidR="00453078" w:rsidRPr="00453078" w:rsidRDefault="00453078" w:rsidP="00453078">
            <w:pPr>
              <w:tabs>
                <w:tab w:val="right" w:pos="1202"/>
              </w:tabs>
              <w:spacing w:after="0" w:line="301" w:lineRule="exact"/>
              <w:jc w:val="center"/>
              <w:outlineLvl w:val="0"/>
              <w:rPr>
                <w:rFonts w:eastAsia="Times New Roman" w:cs="Arial"/>
                <w:spacing w:val="-2"/>
                <w:sz w:val="20"/>
                <w:szCs w:val="20"/>
              </w:rPr>
            </w:pPr>
            <w:r w:rsidRPr="00453078">
              <w:rPr>
                <w:rFonts w:cs="Calibri"/>
                <w:bCs/>
                <w:sz w:val="20"/>
                <w:szCs w:val="20"/>
              </w:rPr>
              <w:t xml:space="preserve">January 1 – </w:t>
            </w:r>
            <w:r w:rsidR="00337B86" w:rsidRPr="00337B86">
              <w:rPr>
                <w:rFonts w:cs="Calibri"/>
                <w:bCs/>
                <w:sz w:val="20"/>
                <w:szCs w:val="20"/>
              </w:rPr>
              <w:t>September</w:t>
            </w:r>
            <w:r w:rsidRPr="00453078">
              <w:rPr>
                <w:rFonts w:cs="Calibri"/>
                <w:bCs/>
                <w:sz w:val="20"/>
                <w:szCs w:val="20"/>
              </w:rPr>
              <w:t xml:space="preserve"> 30</w:t>
            </w:r>
          </w:p>
        </w:tc>
        <w:tc>
          <w:tcPr>
            <w:tcW w:w="1516" w:type="dxa"/>
            <w:vAlign w:val="center"/>
          </w:tcPr>
          <w:p w14:paraId="5138C5F7" w14:textId="77777777" w:rsidR="00453078" w:rsidRPr="00453078" w:rsidRDefault="00453078" w:rsidP="00453078">
            <w:pPr>
              <w:spacing w:after="0" w:line="301" w:lineRule="exact"/>
              <w:jc w:val="center"/>
              <w:outlineLvl w:val="0"/>
              <w:rPr>
                <w:rFonts w:eastAsia="Times New Roman" w:cs="Calibri"/>
                <w:bCs/>
                <w:sz w:val="20"/>
                <w:szCs w:val="20"/>
              </w:rPr>
            </w:pPr>
            <w:r w:rsidRPr="00453078">
              <w:rPr>
                <w:rFonts w:eastAsia="Times New Roman" w:cs="Calibri"/>
                <w:bCs/>
                <w:sz w:val="20"/>
                <w:szCs w:val="20"/>
              </w:rPr>
              <w:t>Current period</w:t>
            </w:r>
          </w:p>
          <w:p w14:paraId="38207A5C" w14:textId="77777777" w:rsidR="00337B86" w:rsidRPr="00337B86" w:rsidRDefault="00337B86" w:rsidP="00337B86">
            <w:pPr>
              <w:spacing w:after="0" w:line="280" w:lineRule="exact"/>
              <w:jc w:val="center"/>
              <w:outlineLvl w:val="0"/>
              <w:rPr>
                <w:rFonts w:cs="Calibri"/>
                <w:bCs/>
                <w:sz w:val="20"/>
                <w:szCs w:val="20"/>
              </w:rPr>
            </w:pPr>
            <w:r w:rsidRPr="00337B86">
              <w:rPr>
                <w:rFonts w:cs="Calibri"/>
                <w:bCs/>
                <w:sz w:val="20"/>
                <w:szCs w:val="20"/>
              </w:rPr>
              <w:t xml:space="preserve">July 1 – </w:t>
            </w:r>
          </w:p>
          <w:p w14:paraId="0B59DC80" w14:textId="35714516" w:rsidR="00453078" w:rsidRPr="00453078" w:rsidRDefault="00337B86" w:rsidP="00337B86">
            <w:pPr>
              <w:tabs>
                <w:tab w:val="right" w:pos="1202"/>
              </w:tabs>
              <w:spacing w:after="0" w:line="301" w:lineRule="exact"/>
              <w:jc w:val="center"/>
              <w:outlineLvl w:val="0"/>
              <w:rPr>
                <w:rFonts w:eastAsia="Times New Roman" w:cs="Arial"/>
                <w:spacing w:val="-2"/>
                <w:sz w:val="20"/>
                <w:szCs w:val="20"/>
              </w:rPr>
            </w:pPr>
            <w:r w:rsidRPr="00337B86">
              <w:rPr>
                <w:rFonts w:cs="Calibri"/>
                <w:bCs/>
                <w:sz w:val="20"/>
                <w:szCs w:val="20"/>
              </w:rPr>
              <w:t>September 30</w:t>
            </w:r>
          </w:p>
        </w:tc>
        <w:tc>
          <w:tcPr>
            <w:tcW w:w="1517" w:type="dxa"/>
            <w:vAlign w:val="center"/>
          </w:tcPr>
          <w:p w14:paraId="116CDE3D" w14:textId="77777777" w:rsidR="00453078" w:rsidRPr="00453078" w:rsidRDefault="00453078" w:rsidP="00453078">
            <w:pPr>
              <w:spacing w:after="0" w:line="301" w:lineRule="exact"/>
              <w:jc w:val="center"/>
              <w:outlineLvl w:val="0"/>
              <w:rPr>
                <w:rFonts w:eastAsia="Times New Roman" w:cs="Calibri"/>
                <w:bCs/>
                <w:sz w:val="20"/>
                <w:szCs w:val="20"/>
              </w:rPr>
            </w:pPr>
            <w:r w:rsidRPr="00453078">
              <w:rPr>
                <w:rFonts w:eastAsia="Times New Roman" w:cs="Calibri"/>
                <w:bCs/>
                <w:sz w:val="20"/>
                <w:szCs w:val="20"/>
              </w:rPr>
              <w:t>Cumulatively</w:t>
            </w:r>
          </w:p>
          <w:p w14:paraId="1896856E" w14:textId="55742BAA" w:rsidR="00453078" w:rsidRPr="00453078" w:rsidRDefault="00453078" w:rsidP="00453078">
            <w:pPr>
              <w:tabs>
                <w:tab w:val="right" w:pos="1202"/>
              </w:tabs>
              <w:spacing w:after="0" w:line="301" w:lineRule="exact"/>
              <w:jc w:val="center"/>
              <w:outlineLvl w:val="0"/>
              <w:rPr>
                <w:rFonts w:eastAsia="Times New Roman" w:cs="Arial"/>
                <w:spacing w:val="-2"/>
                <w:sz w:val="20"/>
                <w:szCs w:val="20"/>
              </w:rPr>
            </w:pPr>
            <w:r w:rsidRPr="00453078">
              <w:rPr>
                <w:rFonts w:cs="Calibri"/>
                <w:bCs/>
                <w:sz w:val="20"/>
                <w:szCs w:val="20"/>
              </w:rPr>
              <w:t xml:space="preserve">January 1 – </w:t>
            </w:r>
            <w:r w:rsidR="00337B86" w:rsidRPr="00337B86">
              <w:rPr>
                <w:rFonts w:cs="Calibri"/>
                <w:bCs/>
                <w:sz w:val="20"/>
                <w:szCs w:val="20"/>
              </w:rPr>
              <w:t>September</w:t>
            </w:r>
            <w:r w:rsidRPr="00453078">
              <w:rPr>
                <w:rFonts w:cs="Calibri"/>
                <w:bCs/>
                <w:sz w:val="20"/>
                <w:szCs w:val="20"/>
              </w:rPr>
              <w:t xml:space="preserve"> 30</w:t>
            </w:r>
          </w:p>
        </w:tc>
        <w:tc>
          <w:tcPr>
            <w:tcW w:w="1516" w:type="dxa"/>
            <w:vAlign w:val="center"/>
          </w:tcPr>
          <w:p w14:paraId="61899A6F" w14:textId="77777777" w:rsidR="00453078" w:rsidRPr="00453078" w:rsidRDefault="00453078" w:rsidP="00453078">
            <w:pPr>
              <w:spacing w:after="0" w:line="301" w:lineRule="exact"/>
              <w:jc w:val="center"/>
              <w:outlineLvl w:val="0"/>
              <w:rPr>
                <w:rFonts w:eastAsia="Times New Roman" w:cs="Calibri"/>
                <w:bCs/>
                <w:sz w:val="20"/>
                <w:szCs w:val="20"/>
              </w:rPr>
            </w:pPr>
            <w:r w:rsidRPr="00453078">
              <w:rPr>
                <w:rFonts w:eastAsia="Times New Roman" w:cs="Calibri"/>
                <w:bCs/>
                <w:sz w:val="20"/>
                <w:szCs w:val="20"/>
              </w:rPr>
              <w:t>Current period</w:t>
            </w:r>
          </w:p>
          <w:p w14:paraId="09D2CCD9" w14:textId="77777777" w:rsidR="00337B86" w:rsidRPr="00337B86" w:rsidRDefault="00337B86" w:rsidP="00337B86">
            <w:pPr>
              <w:spacing w:after="0" w:line="280" w:lineRule="exact"/>
              <w:jc w:val="center"/>
              <w:outlineLvl w:val="0"/>
              <w:rPr>
                <w:rFonts w:cs="Calibri"/>
                <w:bCs/>
                <w:sz w:val="20"/>
                <w:szCs w:val="20"/>
              </w:rPr>
            </w:pPr>
            <w:r w:rsidRPr="00337B86">
              <w:rPr>
                <w:rFonts w:cs="Calibri"/>
                <w:bCs/>
                <w:sz w:val="20"/>
                <w:szCs w:val="20"/>
              </w:rPr>
              <w:t xml:space="preserve">July 1 – </w:t>
            </w:r>
          </w:p>
          <w:p w14:paraId="6B9E9CDE" w14:textId="0E6D078D" w:rsidR="00453078" w:rsidRPr="00453078" w:rsidRDefault="00337B86" w:rsidP="00337B86">
            <w:pPr>
              <w:tabs>
                <w:tab w:val="right" w:pos="1202"/>
              </w:tabs>
              <w:spacing w:after="0" w:line="301" w:lineRule="exact"/>
              <w:jc w:val="center"/>
              <w:outlineLvl w:val="0"/>
              <w:rPr>
                <w:rFonts w:eastAsia="Times New Roman" w:cs="Arial"/>
                <w:spacing w:val="-2"/>
                <w:sz w:val="20"/>
                <w:szCs w:val="20"/>
              </w:rPr>
            </w:pPr>
            <w:r w:rsidRPr="00337B86">
              <w:rPr>
                <w:rFonts w:cs="Calibri"/>
                <w:bCs/>
                <w:sz w:val="20"/>
                <w:szCs w:val="20"/>
              </w:rPr>
              <w:t>September 30</w:t>
            </w:r>
          </w:p>
        </w:tc>
        <w:tc>
          <w:tcPr>
            <w:tcW w:w="1517" w:type="dxa"/>
            <w:vAlign w:val="center"/>
          </w:tcPr>
          <w:p w14:paraId="3EF4F426" w14:textId="77777777" w:rsidR="00453078" w:rsidRPr="00453078" w:rsidRDefault="00453078" w:rsidP="00453078">
            <w:pPr>
              <w:spacing w:after="0" w:line="301" w:lineRule="exact"/>
              <w:jc w:val="center"/>
              <w:outlineLvl w:val="0"/>
              <w:rPr>
                <w:rFonts w:eastAsia="Times New Roman" w:cs="Calibri"/>
                <w:bCs/>
                <w:sz w:val="20"/>
                <w:szCs w:val="20"/>
              </w:rPr>
            </w:pPr>
            <w:r w:rsidRPr="00453078">
              <w:rPr>
                <w:rFonts w:eastAsia="Times New Roman" w:cs="Calibri"/>
                <w:bCs/>
                <w:sz w:val="20"/>
                <w:szCs w:val="20"/>
              </w:rPr>
              <w:t>Cumulatively</w:t>
            </w:r>
          </w:p>
          <w:p w14:paraId="56472740" w14:textId="07C76B9E" w:rsidR="00453078" w:rsidRPr="00453078" w:rsidRDefault="00453078" w:rsidP="00453078">
            <w:pPr>
              <w:tabs>
                <w:tab w:val="right" w:pos="1202"/>
              </w:tabs>
              <w:spacing w:after="0" w:line="301" w:lineRule="exact"/>
              <w:jc w:val="center"/>
              <w:outlineLvl w:val="0"/>
              <w:rPr>
                <w:rFonts w:eastAsia="Times New Roman" w:cs="Arial"/>
                <w:spacing w:val="-2"/>
                <w:sz w:val="20"/>
                <w:szCs w:val="20"/>
              </w:rPr>
            </w:pPr>
            <w:r w:rsidRPr="00453078">
              <w:rPr>
                <w:rFonts w:cs="Calibri"/>
                <w:bCs/>
                <w:sz w:val="20"/>
                <w:szCs w:val="20"/>
              </w:rPr>
              <w:t xml:space="preserve">January 1 – </w:t>
            </w:r>
            <w:r w:rsidR="00337B86" w:rsidRPr="00337B86">
              <w:rPr>
                <w:rFonts w:cs="Calibri"/>
                <w:bCs/>
                <w:sz w:val="20"/>
                <w:szCs w:val="20"/>
              </w:rPr>
              <w:t>September</w:t>
            </w:r>
            <w:r w:rsidRPr="00453078">
              <w:rPr>
                <w:rFonts w:cs="Calibri"/>
                <w:bCs/>
                <w:sz w:val="20"/>
                <w:szCs w:val="20"/>
              </w:rPr>
              <w:t xml:space="preserve"> 30</w:t>
            </w:r>
          </w:p>
        </w:tc>
      </w:tr>
      <w:tr w:rsidR="00453078" w:rsidRPr="00453078" w14:paraId="0EEA710F" w14:textId="77777777" w:rsidTr="004C0B45">
        <w:trPr>
          <w:gridAfter w:val="1"/>
          <w:wAfter w:w="6" w:type="dxa"/>
          <w:trHeight w:val="146"/>
        </w:trPr>
        <w:tc>
          <w:tcPr>
            <w:tcW w:w="2446" w:type="dxa"/>
          </w:tcPr>
          <w:p w14:paraId="283272AC" w14:textId="77777777" w:rsidR="00453078" w:rsidRPr="00453078" w:rsidRDefault="00453078" w:rsidP="00453078">
            <w:pPr>
              <w:tabs>
                <w:tab w:val="right" w:pos="1202"/>
              </w:tabs>
              <w:spacing w:after="0" w:line="301" w:lineRule="exact"/>
              <w:outlineLvl w:val="0"/>
              <w:rPr>
                <w:rFonts w:eastAsia="Times New Roman" w:cs="Arial"/>
                <w:sz w:val="20"/>
                <w:szCs w:val="20"/>
              </w:rPr>
            </w:pPr>
            <w:r w:rsidRPr="00453078">
              <w:rPr>
                <w:rFonts w:eastAsia="Times New Roman" w:cs="Arial"/>
                <w:sz w:val="20"/>
                <w:szCs w:val="20"/>
              </w:rPr>
              <w:t>Interest on loans</w:t>
            </w:r>
          </w:p>
        </w:tc>
        <w:tc>
          <w:tcPr>
            <w:tcW w:w="1515" w:type="dxa"/>
          </w:tcPr>
          <w:p w14:paraId="3265FB1E" w14:textId="77777777" w:rsidR="00453078" w:rsidRPr="00453078" w:rsidRDefault="00453078" w:rsidP="00453078">
            <w:pPr>
              <w:tabs>
                <w:tab w:val="right" w:pos="1202"/>
              </w:tabs>
              <w:spacing w:after="0" w:line="301" w:lineRule="exact"/>
              <w:jc w:val="right"/>
              <w:outlineLvl w:val="0"/>
              <w:rPr>
                <w:rFonts w:eastAsia="Times New Roman" w:cs="Arial"/>
                <w:spacing w:val="-2"/>
                <w:sz w:val="20"/>
                <w:szCs w:val="20"/>
              </w:rPr>
            </w:pPr>
          </w:p>
        </w:tc>
        <w:tc>
          <w:tcPr>
            <w:tcW w:w="1517" w:type="dxa"/>
          </w:tcPr>
          <w:p w14:paraId="0D5F7515" w14:textId="77777777" w:rsidR="00453078" w:rsidRPr="00453078" w:rsidRDefault="00453078" w:rsidP="00453078">
            <w:pPr>
              <w:tabs>
                <w:tab w:val="right" w:pos="1202"/>
              </w:tabs>
              <w:spacing w:after="0" w:line="301" w:lineRule="exact"/>
              <w:jc w:val="right"/>
              <w:outlineLvl w:val="0"/>
              <w:rPr>
                <w:rFonts w:eastAsia="Times New Roman" w:cs="Arial"/>
                <w:spacing w:val="-2"/>
                <w:sz w:val="20"/>
                <w:szCs w:val="20"/>
              </w:rPr>
            </w:pPr>
          </w:p>
        </w:tc>
        <w:tc>
          <w:tcPr>
            <w:tcW w:w="1516" w:type="dxa"/>
            <w:vAlign w:val="bottom"/>
          </w:tcPr>
          <w:p w14:paraId="221B6F89" w14:textId="77777777" w:rsidR="00453078" w:rsidRPr="00453078" w:rsidRDefault="00453078" w:rsidP="00453078">
            <w:pPr>
              <w:tabs>
                <w:tab w:val="right" w:pos="1202"/>
              </w:tabs>
              <w:spacing w:after="0" w:line="301" w:lineRule="exact"/>
              <w:jc w:val="right"/>
              <w:outlineLvl w:val="0"/>
              <w:rPr>
                <w:rFonts w:eastAsia="Times New Roman" w:cs="Arial"/>
                <w:spacing w:val="-2"/>
                <w:sz w:val="20"/>
                <w:szCs w:val="20"/>
              </w:rPr>
            </w:pPr>
          </w:p>
        </w:tc>
        <w:tc>
          <w:tcPr>
            <w:tcW w:w="1519" w:type="dxa"/>
            <w:vAlign w:val="bottom"/>
          </w:tcPr>
          <w:p w14:paraId="1192AA7F" w14:textId="77777777" w:rsidR="00453078" w:rsidRPr="00453078" w:rsidRDefault="00453078" w:rsidP="00453078">
            <w:pPr>
              <w:tabs>
                <w:tab w:val="right" w:pos="1202"/>
              </w:tabs>
              <w:spacing w:after="0" w:line="301" w:lineRule="exact"/>
              <w:jc w:val="right"/>
              <w:outlineLvl w:val="0"/>
              <w:rPr>
                <w:rFonts w:eastAsia="Times New Roman" w:cs="Arial"/>
                <w:spacing w:val="-2"/>
                <w:sz w:val="20"/>
                <w:szCs w:val="20"/>
              </w:rPr>
            </w:pPr>
          </w:p>
        </w:tc>
        <w:tc>
          <w:tcPr>
            <w:tcW w:w="1516" w:type="dxa"/>
          </w:tcPr>
          <w:p w14:paraId="42A387CE" w14:textId="77777777" w:rsidR="00453078" w:rsidRPr="00453078" w:rsidRDefault="00453078" w:rsidP="00453078">
            <w:pPr>
              <w:tabs>
                <w:tab w:val="right" w:pos="1202"/>
              </w:tabs>
              <w:spacing w:after="0" w:line="301" w:lineRule="exact"/>
              <w:jc w:val="right"/>
              <w:outlineLvl w:val="0"/>
              <w:rPr>
                <w:rFonts w:eastAsia="Times New Roman" w:cs="Arial"/>
                <w:spacing w:val="-2"/>
                <w:sz w:val="20"/>
                <w:szCs w:val="20"/>
              </w:rPr>
            </w:pPr>
          </w:p>
        </w:tc>
        <w:tc>
          <w:tcPr>
            <w:tcW w:w="1517" w:type="dxa"/>
          </w:tcPr>
          <w:p w14:paraId="169DB01F" w14:textId="77777777" w:rsidR="00453078" w:rsidRPr="00453078" w:rsidRDefault="00453078" w:rsidP="00453078">
            <w:pPr>
              <w:tabs>
                <w:tab w:val="right" w:pos="1202"/>
              </w:tabs>
              <w:spacing w:after="0" w:line="301" w:lineRule="exact"/>
              <w:jc w:val="right"/>
              <w:outlineLvl w:val="0"/>
              <w:rPr>
                <w:rFonts w:eastAsia="Times New Roman" w:cs="Arial"/>
                <w:spacing w:val="-2"/>
                <w:sz w:val="20"/>
                <w:szCs w:val="20"/>
              </w:rPr>
            </w:pPr>
          </w:p>
        </w:tc>
        <w:tc>
          <w:tcPr>
            <w:tcW w:w="1516" w:type="dxa"/>
          </w:tcPr>
          <w:p w14:paraId="3A7A5746" w14:textId="77777777" w:rsidR="00453078" w:rsidRPr="00453078" w:rsidRDefault="00453078" w:rsidP="00453078">
            <w:pPr>
              <w:tabs>
                <w:tab w:val="right" w:pos="1202"/>
              </w:tabs>
              <w:spacing w:after="0" w:line="301" w:lineRule="exact"/>
              <w:jc w:val="right"/>
              <w:outlineLvl w:val="0"/>
              <w:rPr>
                <w:rFonts w:eastAsia="Times New Roman" w:cs="Arial"/>
                <w:spacing w:val="-2"/>
                <w:sz w:val="20"/>
                <w:szCs w:val="20"/>
              </w:rPr>
            </w:pPr>
          </w:p>
        </w:tc>
        <w:tc>
          <w:tcPr>
            <w:tcW w:w="1517" w:type="dxa"/>
          </w:tcPr>
          <w:p w14:paraId="0272F33F" w14:textId="77777777" w:rsidR="00453078" w:rsidRPr="00453078" w:rsidRDefault="00453078" w:rsidP="00453078">
            <w:pPr>
              <w:tabs>
                <w:tab w:val="right" w:pos="1202"/>
              </w:tabs>
              <w:spacing w:after="0" w:line="301" w:lineRule="exact"/>
              <w:jc w:val="right"/>
              <w:outlineLvl w:val="0"/>
              <w:rPr>
                <w:rFonts w:eastAsia="Times New Roman" w:cs="Arial"/>
                <w:spacing w:val="-2"/>
                <w:sz w:val="20"/>
                <w:szCs w:val="20"/>
              </w:rPr>
            </w:pPr>
          </w:p>
        </w:tc>
      </w:tr>
      <w:tr w:rsidR="00245106" w:rsidRPr="00453078" w14:paraId="01D70547" w14:textId="77777777" w:rsidTr="006B318F">
        <w:trPr>
          <w:gridAfter w:val="1"/>
          <w:wAfter w:w="6" w:type="dxa"/>
          <w:trHeight w:val="214"/>
        </w:trPr>
        <w:tc>
          <w:tcPr>
            <w:tcW w:w="2446" w:type="dxa"/>
          </w:tcPr>
          <w:p w14:paraId="530016A1" w14:textId="77777777" w:rsidR="00245106" w:rsidRPr="00453078" w:rsidRDefault="00245106" w:rsidP="00245106">
            <w:pPr>
              <w:tabs>
                <w:tab w:val="right" w:pos="1202"/>
              </w:tabs>
              <w:spacing w:after="0" w:line="301" w:lineRule="exact"/>
              <w:outlineLvl w:val="0"/>
              <w:rPr>
                <w:rFonts w:eastAsia="Times New Roman" w:cs="Arial"/>
                <w:sz w:val="20"/>
                <w:szCs w:val="20"/>
              </w:rPr>
            </w:pPr>
            <w:r w:rsidRPr="00453078">
              <w:rPr>
                <w:rFonts w:eastAsia="Times New Roman" w:cs="Arial"/>
                <w:sz w:val="20"/>
                <w:szCs w:val="20"/>
              </w:rPr>
              <w:t xml:space="preserve">- financial institutions </w:t>
            </w:r>
          </w:p>
        </w:tc>
        <w:tc>
          <w:tcPr>
            <w:tcW w:w="1515" w:type="dxa"/>
            <w:tcBorders>
              <w:top w:val="nil"/>
              <w:left w:val="nil"/>
              <w:bottom w:val="nil"/>
              <w:right w:val="nil"/>
            </w:tcBorders>
            <w:shd w:val="clear" w:color="auto" w:fill="auto"/>
          </w:tcPr>
          <w:p w14:paraId="45710896" w14:textId="08783324" w:rsidR="00245106" w:rsidRPr="00453078" w:rsidRDefault="00245106" w:rsidP="00245106">
            <w:pPr>
              <w:tabs>
                <w:tab w:val="right" w:pos="1202"/>
              </w:tabs>
              <w:spacing w:after="0" w:line="301" w:lineRule="exact"/>
              <w:jc w:val="right"/>
              <w:outlineLvl w:val="0"/>
              <w:rPr>
                <w:rFonts w:eastAsia="Times New Roman" w:cs="Arial"/>
                <w:spacing w:val="-2"/>
                <w:sz w:val="20"/>
                <w:szCs w:val="20"/>
              </w:rPr>
            </w:pPr>
            <w:r w:rsidRPr="006B318F">
              <w:rPr>
                <w:rFonts w:eastAsia="Times New Roman" w:cs="Arial"/>
                <w:spacing w:val="-2"/>
                <w:sz w:val="20"/>
                <w:szCs w:val="20"/>
              </w:rPr>
              <w:t>61,206</w:t>
            </w:r>
          </w:p>
        </w:tc>
        <w:tc>
          <w:tcPr>
            <w:tcW w:w="1517" w:type="dxa"/>
            <w:tcBorders>
              <w:top w:val="nil"/>
              <w:left w:val="nil"/>
              <w:bottom w:val="nil"/>
              <w:right w:val="nil"/>
            </w:tcBorders>
            <w:shd w:val="clear" w:color="auto" w:fill="auto"/>
          </w:tcPr>
          <w:p w14:paraId="1C634420" w14:textId="064E9C09" w:rsidR="00245106" w:rsidRPr="00453078" w:rsidRDefault="00245106" w:rsidP="00245106">
            <w:pPr>
              <w:tabs>
                <w:tab w:val="right" w:pos="1202"/>
              </w:tabs>
              <w:spacing w:after="0" w:line="301" w:lineRule="exact"/>
              <w:jc w:val="right"/>
              <w:outlineLvl w:val="0"/>
              <w:rPr>
                <w:rFonts w:eastAsia="Times New Roman" w:cs="Arial"/>
                <w:spacing w:val="-2"/>
                <w:sz w:val="20"/>
                <w:szCs w:val="20"/>
              </w:rPr>
            </w:pPr>
            <w:r w:rsidRPr="006B318F">
              <w:rPr>
                <w:rFonts w:eastAsia="Times New Roman" w:cs="Arial"/>
                <w:spacing w:val="-2"/>
                <w:sz w:val="20"/>
                <w:szCs w:val="20"/>
              </w:rPr>
              <w:t>189,595</w:t>
            </w:r>
          </w:p>
        </w:tc>
        <w:tc>
          <w:tcPr>
            <w:tcW w:w="1516" w:type="dxa"/>
            <w:tcBorders>
              <w:top w:val="nil"/>
              <w:left w:val="nil"/>
              <w:bottom w:val="nil"/>
              <w:right w:val="nil"/>
            </w:tcBorders>
            <w:shd w:val="clear" w:color="auto" w:fill="auto"/>
          </w:tcPr>
          <w:p w14:paraId="27394D1A" w14:textId="10C4C257" w:rsidR="00245106" w:rsidRPr="00453078" w:rsidRDefault="00245106" w:rsidP="00245106">
            <w:pPr>
              <w:tabs>
                <w:tab w:val="right" w:pos="1202"/>
              </w:tabs>
              <w:spacing w:after="0" w:line="301" w:lineRule="exact"/>
              <w:jc w:val="right"/>
              <w:outlineLvl w:val="0"/>
              <w:rPr>
                <w:rFonts w:eastAsia="Times New Roman" w:cs="Arial"/>
                <w:spacing w:val="-2"/>
                <w:sz w:val="20"/>
                <w:szCs w:val="20"/>
              </w:rPr>
            </w:pPr>
            <w:r w:rsidRPr="006B318F">
              <w:rPr>
                <w:rFonts w:eastAsia="Times New Roman" w:cs="Arial"/>
                <w:spacing w:val="-2"/>
                <w:sz w:val="20"/>
                <w:szCs w:val="20"/>
              </w:rPr>
              <w:t>70,341</w:t>
            </w:r>
          </w:p>
        </w:tc>
        <w:tc>
          <w:tcPr>
            <w:tcW w:w="1519" w:type="dxa"/>
            <w:tcBorders>
              <w:top w:val="nil"/>
              <w:left w:val="nil"/>
              <w:bottom w:val="nil"/>
              <w:right w:val="nil"/>
            </w:tcBorders>
            <w:shd w:val="clear" w:color="auto" w:fill="auto"/>
          </w:tcPr>
          <w:p w14:paraId="5C4FB13D" w14:textId="67603881" w:rsidR="00245106" w:rsidRPr="00453078" w:rsidRDefault="00245106" w:rsidP="00245106">
            <w:pPr>
              <w:tabs>
                <w:tab w:val="right" w:pos="1202"/>
              </w:tabs>
              <w:spacing w:after="0" w:line="301" w:lineRule="exact"/>
              <w:jc w:val="right"/>
              <w:outlineLvl w:val="0"/>
              <w:rPr>
                <w:rFonts w:eastAsia="Times New Roman" w:cs="Arial"/>
                <w:spacing w:val="-2"/>
                <w:sz w:val="20"/>
                <w:szCs w:val="20"/>
              </w:rPr>
            </w:pPr>
            <w:r w:rsidRPr="006B318F">
              <w:rPr>
                <w:rFonts w:eastAsia="Times New Roman" w:cs="Arial"/>
                <w:spacing w:val="-2"/>
                <w:sz w:val="20"/>
                <w:szCs w:val="20"/>
              </w:rPr>
              <w:t>216,033</w:t>
            </w:r>
          </w:p>
        </w:tc>
        <w:tc>
          <w:tcPr>
            <w:tcW w:w="1516" w:type="dxa"/>
            <w:tcBorders>
              <w:top w:val="nil"/>
              <w:left w:val="nil"/>
              <w:bottom w:val="nil"/>
              <w:right w:val="nil"/>
            </w:tcBorders>
            <w:shd w:val="clear" w:color="auto" w:fill="auto"/>
          </w:tcPr>
          <w:p w14:paraId="784F6658" w14:textId="71648FD7" w:rsidR="00245106" w:rsidRPr="00453078" w:rsidRDefault="00245106" w:rsidP="00245106">
            <w:pPr>
              <w:tabs>
                <w:tab w:val="right" w:pos="1202"/>
              </w:tabs>
              <w:spacing w:after="0" w:line="301" w:lineRule="exact"/>
              <w:jc w:val="right"/>
              <w:outlineLvl w:val="0"/>
              <w:rPr>
                <w:rFonts w:eastAsia="Times New Roman" w:cs="Arial"/>
                <w:spacing w:val="-2"/>
                <w:sz w:val="20"/>
                <w:szCs w:val="20"/>
              </w:rPr>
            </w:pPr>
            <w:r w:rsidRPr="006B318F">
              <w:rPr>
                <w:rFonts w:eastAsia="Times New Roman" w:cs="Arial"/>
                <w:spacing w:val="-2"/>
                <w:sz w:val="20"/>
                <w:szCs w:val="20"/>
              </w:rPr>
              <w:t>61,206</w:t>
            </w:r>
          </w:p>
        </w:tc>
        <w:tc>
          <w:tcPr>
            <w:tcW w:w="1517" w:type="dxa"/>
            <w:tcBorders>
              <w:top w:val="nil"/>
              <w:left w:val="nil"/>
              <w:bottom w:val="nil"/>
              <w:right w:val="nil"/>
            </w:tcBorders>
            <w:shd w:val="clear" w:color="auto" w:fill="auto"/>
          </w:tcPr>
          <w:p w14:paraId="19164178" w14:textId="39EF2949" w:rsidR="00245106" w:rsidRPr="00453078" w:rsidRDefault="00245106" w:rsidP="00245106">
            <w:pPr>
              <w:tabs>
                <w:tab w:val="right" w:pos="1202"/>
              </w:tabs>
              <w:spacing w:after="0" w:line="301" w:lineRule="exact"/>
              <w:jc w:val="right"/>
              <w:outlineLvl w:val="0"/>
              <w:rPr>
                <w:rFonts w:eastAsia="Times New Roman" w:cs="Arial"/>
                <w:spacing w:val="-2"/>
                <w:sz w:val="20"/>
                <w:szCs w:val="20"/>
              </w:rPr>
            </w:pPr>
            <w:r w:rsidRPr="006B318F">
              <w:rPr>
                <w:rFonts w:eastAsia="Times New Roman" w:cs="Arial"/>
                <w:spacing w:val="-2"/>
                <w:sz w:val="20"/>
                <w:szCs w:val="20"/>
              </w:rPr>
              <w:t>189,595</w:t>
            </w:r>
          </w:p>
        </w:tc>
        <w:tc>
          <w:tcPr>
            <w:tcW w:w="1516" w:type="dxa"/>
            <w:tcBorders>
              <w:top w:val="nil"/>
              <w:left w:val="nil"/>
              <w:bottom w:val="nil"/>
              <w:right w:val="nil"/>
            </w:tcBorders>
            <w:shd w:val="clear" w:color="auto" w:fill="auto"/>
          </w:tcPr>
          <w:p w14:paraId="05DA6A0B" w14:textId="270FAADD" w:rsidR="00245106" w:rsidRPr="00453078" w:rsidRDefault="00245106" w:rsidP="00245106">
            <w:pPr>
              <w:tabs>
                <w:tab w:val="right" w:pos="1202"/>
              </w:tabs>
              <w:spacing w:after="0" w:line="301" w:lineRule="exact"/>
              <w:jc w:val="right"/>
              <w:outlineLvl w:val="0"/>
              <w:rPr>
                <w:rFonts w:eastAsia="Times New Roman" w:cs="Arial"/>
                <w:spacing w:val="-2"/>
                <w:sz w:val="20"/>
                <w:szCs w:val="20"/>
              </w:rPr>
            </w:pPr>
            <w:r w:rsidRPr="006B318F">
              <w:rPr>
                <w:rFonts w:eastAsia="Times New Roman" w:cs="Arial"/>
                <w:spacing w:val="-2"/>
                <w:sz w:val="20"/>
                <w:szCs w:val="20"/>
              </w:rPr>
              <w:t>70,341</w:t>
            </w:r>
          </w:p>
        </w:tc>
        <w:tc>
          <w:tcPr>
            <w:tcW w:w="1517" w:type="dxa"/>
            <w:tcBorders>
              <w:top w:val="nil"/>
              <w:left w:val="nil"/>
              <w:bottom w:val="nil"/>
              <w:right w:val="nil"/>
            </w:tcBorders>
            <w:shd w:val="clear" w:color="auto" w:fill="auto"/>
          </w:tcPr>
          <w:p w14:paraId="2722EC7B" w14:textId="1F1AB5DB" w:rsidR="00245106" w:rsidRPr="00453078" w:rsidRDefault="00245106" w:rsidP="00245106">
            <w:pPr>
              <w:tabs>
                <w:tab w:val="right" w:pos="1202"/>
              </w:tabs>
              <w:spacing w:after="0" w:line="301" w:lineRule="exact"/>
              <w:jc w:val="right"/>
              <w:outlineLvl w:val="0"/>
              <w:rPr>
                <w:rFonts w:eastAsia="Times New Roman" w:cs="Arial"/>
                <w:spacing w:val="-2"/>
                <w:sz w:val="20"/>
                <w:szCs w:val="20"/>
              </w:rPr>
            </w:pPr>
            <w:r w:rsidRPr="006B318F">
              <w:rPr>
                <w:rFonts w:eastAsia="Times New Roman" w:cs="Arial"/>
                <w:spacing w:val="-2"/>
                <w:sz w:val="20"/>
                <w:szCs w:val="20"/>
              </w:rPr>
              <w:t>216,033</w:t>
            </w:r>
          </w:p>
        </w:tc>
      </w:tr>
      <w:tr w:rsidR="00245106" w:rsidRPr="00453078" w14:paraId="2AC67B04" w14:textId="77777777" w:rsidTr="006B318F">
        <w:trPr>
          <w:gridAfter w:val="1"/>
          <w:wAfter w:w="6" w:type="dxa"/>
          <w:trHeight w:val="214"/>
        </w:trPr>
        <w:tc>
          <w:tcPr>
            <w:tcW w:w="2446" w:type="dxa"/>
          </w:tcPr>
          <w:p w14:paraId="30F2190F" w14:textId="77777777" w:rsidR="00245106" w:rsidRPr="00453078" w:rsidRDefault="00245106" w:rsidP="00245106">
            <w:pPr>
              <w:tabs>
                <w:tab w:val="right" w:pos="1202"/>
              </w:tabs>
              <w:spacing w:after="0" w:line="301" w:lineRule="exact"/>
              <w:outlineLvl w:val="0"/>
              <w:rPr>
                <w:rFonts w:eastAsia="Times New Roman" w:cs="Arial"/>
                <w:sz w:val="20"/>
                <w:szCs w:val="20"/>
              </w:rPr>
            </w:pPr>
            <w:r w:rsidRPr="00453078">
              <w:rPr>
                <w:rFonts w:eastAsia="Times New Roman" w:cs="Arial"/>
                <w:sz w:val="20"/>
                <w:szCs w:val="20"/>
              </w:rPr>
              <w:t xml:space="preserve">- other customers </w:t>
            </w:r>
          </w:p>
        </w:tc>
        <w:tc>
          <w:tcPr>
            <w:tcW w:w="1515" w:type="dxa"/>
            <w:tcBorders>
              <w:top w:val="nil"/>
              <w:left w:val="nil"/>
              <w:bottom w:val="nil"/>
              <w:right w:val="nil"/>
            </w:tcBorders>
            <w:shd w:val="clear" w:color="auto" w:fill="auto"/>
          </w:tcPr>
          <w:p w14:paraId="52B82AFE" w14:textId="5EBF56AB" w:rsidR="00245106" w:rsidRPr="00453078" w:rsidRDefault="00245106" w:rsidP="00245106">
            <w:pPr>
              <w:tabs>
                <w:tab w:val="right" w:pos="1202"/>
              </w:tabs>
              <w:spacing w:after="0" w:line="301" w:lineRule="exact"/>
              <w:jc w:val="right"/>
              <w:outlineLvl w:val="0"/>
              <w:rPr>
                <w:rFonts w:eastAsia="Times New Roman" w:cs="Arial"/>
                <w:spacing w:val="-2"/>
                <w:sz w:val="20"/>
                <w:szCs w:val="20"/>
              </w:rPr>
            </w:pPr>
            <w:r w:rsidRPr="006B318F">
              <w:rPr>
                <w:rFonts w:eastAsia="Times New Roman" w:cs="Arial"/>
                <w:spacing w:val="-2"/>
                <w:sz w:val="20"/>
                <w:szCs w:val="20"/>
              </w:rPr>
              <w:t>138,144</w:t>
            </w:r>
          </w:p>
        </w:tc>
        <w:tc>
          <w:tcPr>
            <w:tcW w:w="1517" w:type="dxa"/>
            <w:tcBorders>
              <w:top w:val="nil"/>
              <w:left w:val="nil"/>
              <w:bottom w:val="nil"/>
              <w:right w:val="nil"/>
            </w:tcBorders>
            <w:shd w:val="clear" w:color="auto" w:fill="auto"/>
          </w:tcPr>
          <w:p w14:paraId="7E563B3F" w14:textId="6D6CBC3B" w:rsidR="00245106" w:rsidRPr="00453078" w:rsidRDefault="00245106" w:rsidP="00245106">
            <w:pPr>
              <w:tabs>
                <w:tab w:val="right" w:pos="1202"/>
              </w:tabs>
              <w:spacing w:after="0" w:line="301" w:lineRule="exact"/>
              <w:jc w:val="right"/>
              <w:outlineLvl w:val="0"/>
              <w:rPr>
                <w:rFonts w:eastAsia="Times New Roman" w:cs="Arial"/>
                <w:spacing w:val="-2"/>
                <w:sz w:val="20"/>
                <w:szCs w:val="20"/>
              </w:rPr>
            </w:pPr>
            <w:r w:rsidRPr="006B318F">
              <w:rPr>
                <w:rFonts w:eastAsia="Times New Roman" w:cs="Arial"/>
                <w:spacing w:val="-2"/>
                <w:sz w:val="20"/>
                <w:szCs w:val="20"/>
              </w:rPr>
              <w:t>440,147</w:t>
            </w:r>
          </w:p>
        </w:tc>
        <w:tc>
          <w:tcPr>
            <w:tcW w:w="1516" w:type="dxa"/>
            <w:tcBorders>
              <w:top w:val="nil"/>
              <w:left w:val="nil"/>
              <w:bottom w:val="nil"/>
              <w:right w:val="nil"/>
            </w:tcBorders>
            <w:shd w:val="clear" w:color="auto" w:fill="auto"/>
          </w:tcPr>
          <w:p w14:paraId="4D2BCC15" w14:textId="7F7E02AA" w:rsidR="00245106" w:rsidRPr="00453078" w:rsidRDefault="00245106" w:rsidP="00245106">
            <w:pPr>
              <w:tabs>
                <w:tab w:val="right" w:pos="1202"/>
              </w:tabs>
              <w:spacing w:after="0" w:line="301" w:lineRule="exact"/>
              <w:jc w:val="right"/>
              <w:outlineLvl w:val="0"/>
              <w:rPr>
                <w:rFonts w:eastAsia="Times New Roman" w:cs="Arial"/>
                <w:spacing w:val="-2"/>
                <w:sz w:val="20"/>
                <w:szCs w:val="20"/>
              </w:rPr>
            </w:pPr>
            <w:r w:rsidRPr="006B318F">
              <w:rPr>
                <w:rFonts w:eastAsia="Times New Roman" w:cs="Arial"/>
                <w:spacing w:val="-2"/>
                <w:sz w:val="20"/>
                <w:szCs w:val="20"/>
              </w:rPr>
              <w:t>133,029</w:t>
            </w:r>
          </w:p>
        </w:tc>
        <w:tc>
          <w:tcPr>
            <w:tcW w:w="1519" w:type="dxa"/>
            <w:tcBorders>
              <w:top w:val="nil"/>
              <w:left w:val="nil"/>
              <w:bottom w:val="nil"/>
              <w:right w:val="nil"/>
            </w:tcBorders>
            <w:shd w:val="clear" w:color="auto" w:fill="auto"/>
          </w:tcPr>
          <w:p w14:paraId="2441268F" w14:textId="20392EDE" w:rsidR="00245106" w:rsidRPr="00453078" w:rsidRDefault="00245106" w:rsidP="00245106">
            <w:pPr>
              <w:tabs>
                <w:tab w:val="right" w:pos="1202"/>
              </w:tabs>
              <w:spacing w:after="0" w:line="301" w:lineRule="exact"/>
              <w:jc w:val="right"/>
              <w:outlineLvl w:val="0"/>
              <w:rPr>
                <w:rFonts w:eastAsia="Times New Roman" w:cs="Arial"/>
                <w:spacing w:val="-2"/>
                <w:sz w:val="20"/>
                <w:szCs w:val="20"/>
              </w:rPr>
            </w:pPr>
            <w:r w:rsidRPr="006B318F">
              <w:rPr>
                <w:rFonts w:eastAsia="Times New Roman" w:cs="Arial"/>
                <w:spacing w:val="-2"/>
                <w:sz w:val="20"/>
                <w:szCs w:val="20"/>
              </w:rPr>
              <w:t>391,634</w:t>
            </w:r>
          </w:p>
        </w:tc>
        <w:tc>
          <w:tcPr>
            <w:tcW w:w="1516" w:type="dxa"/>
            <w:tcBorders>
              <w:top w:val="nil"/>
              <w:left w:val="nil"/>
              <w:bottom w:val="nil"/>
              <w:right w:val="nil"/>
            </w:tcBorders>
            <w:shd w:val="clear" w:color="auto" w:fill="auto"/>
          </w:tcPr>
          <w:p w14:paraId="7271091F" w14:textId="4CC7BEE8" w:rsidR="00245106" w:rsidRPr="00453078" w:rsidRDefault="00245106" w:rsidP="00245106">
            <w:pPr>
              <w:tabs>
                <w:tab w:val="right" w:pos="1202"/>
              </w:tabs>
              <w:spacing w:after="0" w:line="301" w:lineRule="exact"/>
              <w:jc w:val="right"/>
              <w:outlineLvl w:val="0"/>
              <w:rPr>
                <w:rFonts w:eastAsia="Times New Roman" w:cs="Arial"/>
                <w:spacing w:val="-2"/>
                <w:sz w:val="20"/>
                <w:szCs w:val="20"/>
              </w:rPr>
            </w:pPr>
            <w:r w:rsidRPr="006B318F">
              <w:rPr>
                <w:rFonts w:eastAsia="Times New Roman" w:cs="Arial"/>
                <w:spacing w:val="-2"/>
                <w:sz w:val="20"/>
                <w:szCs w:val="20"/>
              </w:rPr>
              <w:t>138,144</w:t>
            </w:r>
          </w:p>
        </w:tc>
        <w:tc>
          <w:tcPr>
            <w:tcW w:w="1517" w:type="dxa"/>
            <w:tcBorders>
              <w:top w:val="nil"/>
              <w:left w:val="nil"/>
              <w:bottom w:val="nil"/>
              <w:right w:val="nil"/>
            </w:tcBorders>
            <w:shd w:val="clear" w:color="auto" w:fill="auto"/>
          </w:tcPr>
          <w:p w14:paraId="7577EDE8" w14:textId="25F3B654" w:rsidR="00245106" w:rsidRPr="00453078" w:rsidRDefault="00245106" w:rsidP="00245106">
            <w:pPr>
              <w:tabs>
                <w:tab w:val="right" w:pos="1202"/>
              </w:tabs>
              <w:spacing w:after="0" w:line="301" w:lineRule="exact"/>
              <w:jc w:val="right"/>
              <w:outlineLvl w:val="0"/>
              <w:rPr>
                <w:rFonts w:eastAsia="Times New Roman" w:cs="Arial"/>
                <w:spacing w:val="-2"/>
                <w:sz w:val="20"/>
                <w:szCs w:val="20"/>
              </w:rPr>
            </w:pPr>
            <w:r w:rsidRPr="006B318F">
              <w:rPr>
                <w:rFonts w:eastAsia="Times New Roman" w:cs="Arial"/>
                <w:spacing w:val="-2"/>
                <w:sz w:val="20"/>
                <w:szCs w:val="20"/>
              </w:rPr>
              <w:t>440,147</w:t>
            </w:r>
          </w:p>
        </w:tc>
        <w:tc>
          <w:tcPr>
            <w:tcW w:w="1516" w:type="dxa"/>
            <w:tcBorders>
              <w:top w:val="nil"/>
              <w:left w:val="nil"/>
              <w:bottom w:val="nil"/>
              <w:right w:val="nil"/>
            </w:tcBorders>
            <w:shd w:val="clear" w:color="auto" w:fill="auto"/>
          </w:tcPr>
          <w:p w14:paraId="14EEE308" w14:textId="11A68B83" w:rsidR="00245106" w:rsidRPr="00453078" w:rsidRDefault="00245106" w:rsidP="00245106">
            <w:pPr>
              <w:tabs>
                <w:tab w:val="right" w:pos="1202"/>
              </w:tabs>
              <w:spacing w:after="0" w:line="301" w:lineRule="exact"/>
              <w:jc w:val="right"/>
              <w:outlineLvl w:val="0"/>
              <w:rPr>
                <w:rFonts w:eastAsia="Times New Roman" w:cs="Arial"/>
                <w:spacing w:val="-2"/>
                <w:sz w:val="20"/>
                <w:szCs w:val="20"/>
              </w:rPr>
            </w:pPr>
            <w:r w:rsidRPr="006B318F">
              <w:rPr>
                <w:rFonts w:eastAsia="Times New Roman" w:cs="Arial"/>
                <w:spacing w:val="-2"/>
                <w:sz w:val="20"/>
                <w:szCs w:val="20"/>
              </w:rPr>
              <w:t>133,029</w:t>
            </w:r>
          </w:p>
        </w:tc>
        <w:tc>
          <w:tcPr>
            <w:tcW w:w="1517" w:type="dxa"/>
            <w:tcBorders>
              <w:top w:val="nil"/>
              <w:left w:val="nil"/>
              <w:bottom w:val="nil"/>
              <w:right w:val="nil"/>
            </w:tcBorders>
            <w:shd w:val="clear" w:color="auto" w:fill="auto"/>
          </w:tcPr>
          <w:p w14:paraId="2B88663A" w14:textId="3D42CFA5" w:rsidR="00245106" w:rsidRPr="00453078" w:rsidRDefault="00245106" w:rsidP="00245106">
            <w:pPr>
              <w:tabs>
                <w:tab w:val="right" w:pos="1202"/>
              </w:tabs>
              <w:spacing w:after="0" w:line="301" w:lineRule="exact"/>
              <w:jc w:val="right"/>
              <w:outlineLvl w:val="0"/>
              <w:rPr>
                <w:rFonts w:eastAsia="Times New Roman" w:cs="Arial"/>
                <w:spacing w:val="-2"/>
                <w:sz w:val="20"/>
                <w:szCs w:val="20"/>
              </w:rPr>
            </w:pPr>
            <w:r w:rsidRPr="006B318F">
              <w:rPr>
                <w:rFonts w:eastAsia="Times New Roman" w:cs="Arial"/>
                <w:spacing w:val="-2"/>
                <w:sz w:val="20"/>
                <w:szCs w:val="20"/>
              </w:rPr>
              <w:t>391,634</w:t>
            </w:r>
          </w:p>
        </w:tc>
      </w:tr>
      <w:tr w:rsidR="00245106" w:rsidRPr="00453078" w14:paraId="19D6BDB7" w14:textId="77777777" w:rsidTr="006B318F">
        <w:trPr>
          <w:gridAfter w:val="1"/>
          <w:wAfter w:w="6" w:type="dxa"/>
          <w:trHeight w:val="242"/>
        </w:trPr>
        <w:tc>
          <w:tcPr>
            <w:tcW w:w="2446" w:type="dxa"/>
          </w:tcPr>
          <w:p w14:paraId="1B6A07EC" w14:textId="77777777" w:rsidR="00245106" w:rsidRPr="00453078" w:rsidRDefault="00245106" w:rsidP="00245106">
            <w:pPr>
              <w:tabs>
                <w:tab w:val="right" w:pos="1202"/>
              </w:tabs>
              <w:spacing w:after="0" w:line="340" w:lineRule="exact"/>
              <w:outlineLvl w:val="0"/>
              <w:rPr>
                <w:rFonts w:eastAsia="Times New Roman" w:cs="Arial"/>
                <w:sz w:val="20"/>
                <w:szCs w:val="20"/>
              </w:rPr>
            </w:pPr>
          </w:p>
        </w:tc>
        <w:tc>
          <w:tcPr>
            <w:tcW w:w="1515" w:type="dxa"/>
            <w:tcBorders>
              <w:top w:val="single" w:sz="4" w:space="0" w:color="auto"/>
              <w:left w:val="nil"/>
              <w:bottom w:val="single" w:sz="4" w:space="0" w:color="auto"/>
              <w:right w:val="nil"/>
            </w:tcBorders>
            <w:shd w:val="clear" w:color="auto" w:fill="auto"/>
          </w:tcPr>
          <w:p w14:paraId="4DBE9671" w14:textId="4724C97A" w:rsidR="00245106" w:rsidRPr="00453078" w:rsidRDefault="00245106" w:rsidP="006B318F">
            <w:pPr>
              <w:tabs>
                <w:tab w:val="right" w:pos="1202"/>
              </w:tabs>
              <w:spacing w:after="0" w:line="301" w:lineRule="exact"/>
              <w:jc w:val="right"/>
              <w:outlineLvl w:val="0"/>
              <w:rPr>
                <w:rFonts w:eastAsia="Times New Roman" w:cs="Arial"/>
                <w:spacing w:val="-2"/>
                <w:sz w:val="20"/>
                <w:szCs w:val="20"/>
              </w:rPr>
            </w:pPr>
            <w:r w:rsidRPr="006B318F">
              <w:rPr>
                <w:rFonts w:eastAsia="Times New Roman" w:cs="Arial"/>
                <w:spacing w:val="-2"/>
                <w:sz w:val="20"/>
                <w:szCs w:val="20"/>
              </w:rPr>
              <w:t>199,350</w:t>
            </w:r>
          </w:p>
        </w:tc>
        <w:tc>
          <w:tcPr>
            <w:tcW w:w="1517" w:type="dxa"/>
            <w:tcBorders>
              <w:top w:val="single" w:sz="4" w:space="0" w:color="auto"/>
              <w:left w:val="nil"/>
              <w:bottom w:val="single" w:sz="4" w:space="0" w:color="auto"/>
              <w:right w:val="nil"/>
            </w:tcBorders>
            <w:shd w:val="clear" w:color="auto" w:fill="auto"/>
          </w:tcPr>
          <w:p w14:paraId="239E3F40" w14:textId="695233AC" w:rsidR="00245106" w:rsidRPr="00453078" w:rsidRDefault="00245106" w:rsidP="006B318F">
            <w:pPr>
              <w:tabs>
                <w:tab w:val="right" w:pos="1202"/>
              </w:tabs>
              <w:spacing w:after="0" w:line="301" w:lineRule="exact"/>
              <w:jc w:val="right"/>
              <w:outlineLvl w:val="0"/>
              <w:rPr>
                <w:rFonts w:eastAsia="Times New Roman" w:cs="Arial"/>
                <w:spacing w:val="-2"/>
                <w:sz w:val="20"/>
                <w:szCs w:val="20"/>
              </w:rPr>
            </w:pPr>
            <w:r w:rsidRPr="006B318F">
              <w:rPr>
                <w:rFonts w:eastAsia="Times New Roman" w:cs="Arial"/>
                <w:spacing w:val="-2"/>
                <w:sz w:val="20"/>
                <w:szCs w:val="20"/>
              </w:rPr>
              <w:t>629,742</w:t>
            </w:r>
          </w:p>
        </w:tc>
        <w:tc>
          <w:tcPr>
            <w:tcW w:w="1516" w:type="dxa"/>
            <w:tcBorders>
              <w:top w:val="single" w:sz="4" w:space="0" w:color="auto"/>
              <w:left w:val="nil"/>
              <w:bottom w:val="single" w:sz="4" w:space="0" w:color="auto"/>
              <w:right w:val="nil"/>
            </w:tcBorders>
            <w:shd w:val="clear" w:color="auto" w:fill="auto"/>
          </w:tcPr>
          <w:p w14:paraId="08ED37B2" w14:textId="11952BF9" w:rsidR="00245106" w:rsidRPr="00453078" w:rsidRDefault="00245106" w:rsidP="006B318F">
            <w:pPr>
              <w:tabs>
                <w:tab w:val="right" w:pos="1202"/>
              </w:tabs>
              <w:spacing w:after="0" w:line="301" w:lineRule="exact"/>
              <w:jc w:val="right"/>
              <w:outlineLvl w:val="0"/>
              <w:rPr>
                <w:rFonts w:eastAsia="Times New Roman" w:cs="Arial"/>
                <w:spacing w:val="-2"/>
                <w:sz w:val="20"/>
                <w:szCs w:val="20"/>
              </w:rPr>
            </w:pPr>
            <w:r w:rsidRPr="006B318F">
              <w:rPr>
                <w:rFonts w:eastAsia="Times New Roman" w:cs="Arial"/>
                <w:spacing w:val="-2"/>
                <w:sz w:val="20"/>
                <w:szCs w:val="20"/>
              </w:rPr>
              <w:t>203,370</w:t>
            </w:r>
          </w:p>
        </w:tc>
        <w:tc>
          <w:tcPr>
            <w:tcW w:w="1519" w:type="dxa"/>
            <w:tcBorders>
              <w:top w:val="single" w:sz="4" w:space="0" w:color="auto"/>
              <w:left w:val="nil"/>
              <w:bottom w:val="single" w:sz="4" w:space="0" w:color="auto"/>
              <w:right w:val="nil"/>
            </w:tcBorders>
            <w:shd w:val="clear" w:color="auto" w:fill="auto"/>
          </w:tcPr>
          <w:p w14:paraId="0F7E590C" w14:textId="22C4A4CF" w:rsidR="00245106" w:rsidRPr="00453078" w:rsidRDefault="00245106" w:rsidP="006B318F">
            <w:pPr>
              <w:tabs>
                <w:tab w:val="right" w:pos="1202"/>
              </w:tabs>
              <w:spacing w:after="0" w:line="301" w:lineRule="exact"/>
              <w:jc w:val="right"/>
              <w:outlineLvl w:val="0"/>
              <w:rPr>
                <w:rFonts w:eastAsia="Times New Roman" w:cs="Arial"/>
                <w:spacing w:val="-2"/>
                <w:sz w:val="20"/>
                <w:szCs w:val="20"/>
              </w:rPr>
            </w:pPr>
            <w:r w:rsidRPr="006B318F">
              <w:rPr>
                <w:rFonts w:eastAsia="Times New Roman" w:cs="Arial"/>
                <w:spacing w:val="-2"/>
                <w:sz w:val="20"/>
                <w:szCs w:val="20"/>
              </w:rPr>
              <w:t>607,667</w:t>
            </w:r>
          </w:p>
        </w:tc>
        <w:tc>
          <w:tcPr>
            <w:tcW w:w="1516" w:type="dxa"/>
            <w:tcBorders>
              <w:top w:val="single" w:sz="4" w:space="0" w:color="auto"/>
              <w:left w:val="nil"/>
              <w:bottom w:val="single" w:sz="4" w:space="0" w:color="auto"/>
              <w:right w:val="nil"/>
            </w:tcBorders>
            <w:shd w:val="clear" w:color="auto" w:fill="auto"/>
          </w:tcPr>
          <w:p w14:paraId="7D2AC95E" w14:textId="6CF35943" w:rsidR="00245106" w:rsidRPr="00453078" w:rsidRDefault="00245106" w:rsidP="006B318F">
            <w:pPr>
              <w:tabs>
                <w:tab w:val="right" w:pos="1202"/>
              </w:tabs>
              <w:spacing w:after="0" w:line="301" w:lineRule="exact"/>
              <w:jc w:val="right"/>
              <w:outlineLvl w:val="0"/>
              <w:rPr>
                <w:rFonts w:eastAsia="Times New Roman" w:cs="Arial"/>
                <w:spacing w:val="-2"/>
                <w:sz w:val="20"/>
                <w:szCs w:val="20"/>
              </w:rPr>
            </w:pPr>
            <w:r w:rsidRPr="006B318F">
              <w:rPr>
                <w:rFonts w:eastAsia="Times New Roman" w:cs="Arial"/>
                <w:spacing w:val="-2"/>
                <w:sz w:val="20"/>
                <w:szCs w:val="20"/>
              </w:rPr>
              <w:t>199,350</w:t>
            </w:r>
          </w:p>
        </w:tc>
        <w:tc>
          <w:tcPr>
            <w:tcW w:w="1517" w:type="dxa"/>
            <w:tcBorders>
              <w:top w:val="single" w:sz="4" w:space="0" w:color="auto"/>
              <w:left w:val="nil"/>
              <w:bottom w:val="single" w:sz="4" w:space="0" w:color="auto"/>
              <w:right w:val="nil"/>
            </w:tcBorders>
            <w:shd w:val="clear" w:color="auto" w:fill="auto"/>
          </w:tcPr>
          <w:p w14:paraId="6D7C1B33" w14:textId="4EB444CB" w:rsidR="00245106" w:rsidRPr="00453078" w:rsidRDefault="00245106" w:rsidP="006B318F">
            <w:pPr>
              <w:tabs>
                <w:tab w:val="right" w:pos="1202"/>
              </w:tabs>
              <w:spacing w:after="0" w:line="301" w:lineRule="exact"/>
              <w:jc w:val="right"/>
              <w:outlineLvl w:val="0"/>
              <w:rPr>
                <w:rFonts w:eastAsia="Times New Roman" w:cs="Arial"/>
                <w:spacing w:val="-2"/>
                <w:sz w:val="20"/>
                <w:szCs w:val="20"/>
              </w:rPr>
            </w:pPr>
            <w:r w:rsidRPr="006B318F">
              <w:rPr>
                <w:rFonts w:eastAsia="Times New Roman" w:cs="Arial"/>
                <w:spacing w:val="-2"/>
                <w:sz w:val="20"/>
                <w:szCs w:val="20"/>
              </w:rPr>
              <w:t>629,742</w:t>
            </w:r>
          </w:p>
        </w:tc>
        <w:tc>
          <w:tcPr>
            <w:tcW w:w="1516" w:type="dxa"/>
            <w:tcBorders>
              <w:top w:val="single" w:sz="4" w:space="0" w:color="auto"/>
              <w:left w:val="nil"/>
              <w:bottom w:val="single" w:sz="4" w:space="0" w:color="auto"/>
              <w:right w:val="nil"/>
            </w:tcBorders>
            <w:shd w:val="clear" w:color="auto" w:fill="auto"/>
          </w:tcPr>
          <w:p w14:paraId="4D2C5DB3" w14:textId="74BFF77C" w:rsidR="00245106" w:rsidRPr="006B318F" w:rsidRDefault="00245106" w:rsidP="006B318F">
            <w:pPr>
              <w:tabs>
                <w:tab w:val="right" w:pos="1202"/>
              </w:tabs>
              <w:spacing w:after="0" w:line="301" w:lineRule="exact"/>
              <w:jc w:val="right"/>
              <w:outlineLvl w:val="0"/>
              <w:rPr>
                <w:rFonts w:eastAsia="Times New Roman" w:cs="Arial"/>
                <w:spacing w:val="-2"/>
                <w:sz w:val="20"/>
                <w:szCs w:val="20"/>
              </w:rPr>
            </w:pPr>
            <w:r w:rsidRPr="006B318F">
              <w:rPr>
                <w:rFonts w:eastAsia="Times New Roman" w:cs="Arial"/>
                <w:spacing w:val="-2"/>
                <w:sz w:val="20"/>
                <w:szCs w:val="20"/>
              </w:rPr>
              <w:t>203,370</w:t>
            </w:r>
          </w:p>
        </w:tc>
        <w:tc>
          <w:tcPr>
            <w:tcW w:w="1517" w:type="dxa"/>
            <w:tcBorders>
              <w:top w:val="single" w:sz="4" w:space="0" w:color="auto"/>
              <w:left w:val="nil"/>
              <w:bottom w:val="single" w:sz="4" w:space="0" w:color="auto"/>
              <w:right w:val="nil"/>
            </w:tcBorders>
            <w:shd w:val="clear" w:color="auto" w:fill="auto"/>
          </w:tcPr>
          <w:p w14:paraId="3A1384B4" w14:textId="038644CA" w:rsidR="00245106" w:rsidRPr="006B318F" w:rsidRDefault="00245106" w:rsidP="006B318F">
            <w:pPr>
              <w:tabs>
                <w:tab w:val="right" w:pos="1202"/>
              </w:tabs>
              <w:spacing w:after="0" w:line="301" w:lineRule="exact"/>
              <w:jc w:val="right"/>
              <w:outlineLvl w:val="0"/>
              <w:rPr>
                <w:rFonts w:eastAsia="Times New Roman" w:cs="Arial"/>
                <w:spacing w:val="-2"/>
                <w:sz w:val="20"/>
                <w:szCs w:val="20"/>
              </w:rPr>
            </w:pPr>
            <w:r w:rsidRPr="006B318F">
              <w:rPr>
                <w:rFonts w:eastAsia="Times New Roman" w:cs="Arial"/>
                <w:spacing w:val="-2"/>
                <w:sz w:val="20"/>
                <w:szCs w:val="20"/>
              </w:rPr>
              <w:t>607,667</w:t>
            </w:r>
          </w:p>
        </w:tc>
      </w:tr>
      <w:tr w:rsidR="00245106" w:rsidRPr="00453078" w14:paraId="60FF7BA9" w14:textId="77777777" w:rsidTr="006B318F">
        <w:tblPrEx>
          <w:tblCellMar>
            <w:left w:w="119" w:type="dxa"/>
            <w:right w:w="119" w:type="dxa"/>
          </w:tblCellMar>
        </w:tblPrEx>
        <w:trPr>
          <w:gridAfter w:val="1"/>
          <w:wAfter w:w="6" w:type="dxa"/>
          <w:trHeight w:hRule="exact" w:val="80"/>
        </w:trPr>
        <w:tc>
          <w:tcPr>
            <w:tcW w:w="2446" w:type="dxa"/>
          </w:tcPr>
          <w:p w14:paraId="5E38E487" w14:textId="77777777" w:rsidR="00245106" w:rsidRPr="00453078" w:rsidRDefault="00245106" w:rsidP="00245106">
            <w:pPr>
              <w:tabs>
                <w:tab w:val="right" w:pos="1202"/>
              </w:tabs>
              <w:spacing w:after="0" w:line="301" w:lineRule="exact"/>
              <w:outlineLvl w:val="0"/>
              <w:rPr>
                <w:rFonts w:eastAsia="Times New Roman" w:cs="Arial"/>
                <w:sz w:val="20"/>
                <w:szCs w:val="20"/>
              </w:rPr>
            </w:pPr>
          </w:p>
        </w:tc>
        <w:tc>
          <w:tcPr>
            <w:tcW w:w="1515" w:type="dxa"/>
            <w:tcBorders>
              <w:top w:val="nil"/>
              <w:left w:val="nil"/>
              <w:bottom w:val="nil"/>
              <w:right w:val="nil"/>
            </w:tcBorders>
            <w:shd w:val="clear" w:color="auto" w:fill="auto"/>
          </w:tcPr>
          <w:p w14:paraId="47A40115" w14:textId="77777777" w:rsidR="00245106" w:rsidRPr="006B318F" w:rsidRDefault="00245106" w:rsidP="006B318F">
            <w:pPr>
              <w:tabs>
                <w:tab w:val="right" w:pos="1202"/>
              </w:tabs>
              <w:spacing w:after="0" w:line="301" w:lineRule="exact"/>
              <w:jc w:val="right"/>
              <w:outlineLvl w:val="0"/>
              <w:rPr>
                <w:rFonts w:eastAsia="Times New Roman" w:cs="Arial"/>
                <w:spacing w:val="-2"/>
                <w:sz w:val="20"/>
                <w:szCs w:val="20"/>
              </w:rPr>
            </w:pPr>
          </w:p>
        </w:tc>
        <w:tc>
          <w:tcPr>
            <w:tcW w:w="1517" w:type="dxa"/>
            <w:tcBorders>
              <w:top w:val="nil"/>
              <w:left w:val="nil"/>
              <w:bottom w:val="nil"/>
              <w:right w:val="nil"/>
            </w:tcBorders>
            <w:shd w:val="clear" w:color="auto" w:fill="auto"/>
          </w:tcPr>
          <w:p w14:paraId="79CA6DFF" w14:textId="77777777" w:rsidR="00245106" w:rsidRPr="006B318F" w:rsidRDefault="00245106" w:rsidP="006B318F">
            <w:pPr>
              <w:tabs>
                <w:tab w:val="right" w:pos="1202"/>
              </w:tabs>
              <w:spacing w:after="0" w:line="301" w:lineRule="exact"/>
              <w:jc w:val="right"/>
              <w:outlineLvl w:val="0"/>
              <w:rPr>
                <w:rFonts w:eastAsia="Times New Roman" w:cs="Arial"/>
                <w:spacing w:val="-2"/>
                <w:sz w:val="20"/>
                <w:szCs w:val="20"/>
              </w:rPr>
            </w:pPr>
          </w:p>
        </w:tc>
        <w:tc>
          <w:tcPr>
            <w:tcW w:w="1516" w:type="dxa"/>
            <w:tcBorders>
              <w:top w:val="single" w:sz="4" w:space="0" w:color="auto"/>
            </w:tcBorders>
          </w:tcPr>
          <w:p w14:paraId="65EADB00" w14:textId="77777777" w:rsidR="00245106" w:rsidRPr="006B318F" w:rsidRDefault="00245106" w:rsidP="006B318F">
            <w:pPr>
              <w:tabs>
                <w:tab w:val="right" w:pos="1202"/>
              </w:tabs>
              <w:spacing w:after="0" w:line="301" w:lineRule="exact"/>
              <w:jc w:val="right"/>
              <w:outlineLvl w:val="0"/>
              <w:rPr>
                <w:rFonts w:eastAsia="Times New Roman" w:cs="Arial"/>
                <w:spacing w:val="-2"/>
                <w:sz w:val="20"/>
                <w:szCs w:val="20"/>
              </w:rPr>
            </w:pPr>
          </w:p>
        </w:tc>
        <w:tc>
          <w:tcPr>
            <w:tcW w:w="1519" w:type="dxa"/>
            <w:tcBorders>
              <w:top w:val="single" w:sz="4" w:space="0" w:color="auto"/>
            </w:tcBorders>
          </w:tcPr>
          <w:p w14:paraId="7DE08981" w14:textId="77777777" w:rsidR="00245106" w:rsidRPr="006B318F" w:rsidRDefault="00245106" w:rsidP="006B318F">
            <w:pPr>
              <w:tabs>
                <w:tab w:val="right" w:pos="1202"/>
              </w:tabs>
              <w:spacing w:after="0" w:line="301" w:lineRule="exact"/>
              <w:jc w:val="right"/>
              <w:outlineLvl w:val="0"/>
              <w:rPr>
                <w:rFonts w:eastAsia="Times New Roman" w:cs="Arial"/>
                <w:spacing w:val="-2"/>
                <w:sz w:val="20"/>
                <w:szCs w:val="20"/>
              </w:rPr>
            </w:pPr>
          </w:p>
        </w:tc>
        <w:tc>
          <w:tcPr>
            <w:tcW w:w="1516" w:type="dxa"/>
            <w:tcBorders>
              <w:top w:val="nil"/>
              <w:left w:val="nil"/>
              <w:bottom w:val="nil"/>
              <w:right w:val="nil"/>
            </w:tcBorders>
            <w:shd w:val="clear" w:color="auto" w:fill="auto"/>
          </w:tcPr>
          <w:p w14:paraId="2A081965" w14:textId="77777777" w:rsidR="00245106" w:rsidRPr="006B318F" w:rsidRDefault="00245106" w:rsidP="006B318F">
            <w:pPr>
              <w:tabs>
                <w:tab w:val="right" w:pos="1202"/>
              </w:tabs>
              <w:spacing w:after="0" w:line="301" w:lineRule="exact"/>
              <w:jc w:val="right"/>
              <w:outlineLvl w:val="0"/>
              <w:rPr>
                <w:rFonts w:eastAsia="Times New Roman" w:cs="Arial"/>
                <w:spacing w:val="-2"/>
                <w:sz w:val="20"/>
                <w:szCs w:val="20"/>
              </w:rPr>
            </w:pPr>
          </w:p>
        </w:tc>
        <w:tc>
          <w:tcPr>
            <w:tcW w:w="1517" w:type="dxa"/>
            <w:tcBorders>
              <w:top w:val="nil"/>
              <w:left w:val="nil"/>
              <w:bottom w:val="nil"/>
              <w:right w:val="nil"/>
            </w:tcBorders>
            <w:shd w:val="clear" w:color="auto" w:fill="auto"/>
          </w:tcPr>
          <w:p w14:paraId="13C2F12A" w14:textId="77777777" w:rsidR="00245106" w:rsidRPr="006B318F" w:rsidRDefault="00245106" w:rsidP="006B318F">
            <w:pPr>
              <w:tabs>
                <w:tab w:val="right" w:pos="1202"/>
              </w:tabs>
              <w:spacing w:after="0" w:line="301" w:lineRule="exact"/>
              <w:jc w:val="right"/>
              <w:outlineLvl w:val="0"/>
              <w:rPr>
                <w:rFonts w:eastAsia="Times New Roman" w:cs="Arial"/>
                <w:spacing w:val="-2"/>
                <w:sz w:val="20"/>
                <w:szCs w:val="20"/>
              </w:rPr>
            </w:pPr>
          </w:p>
        </w:tc>
        <w:tc>
          <w:tcPr>
            <w:tcW w:w="1516" w:type="dxa"/>
            <w:tcBorders>
              <w:top w:val="single" w:sz="4" w:space="0" w:color="auto"/>
            </w:tcBorders>
          </w:tcPr>
          <w:p w14:paraId="38AA97F3" w14:textId="77777777" w:rsidR="00245106" w:rsidRPr="006B318F" w:rsidRDefault="00245106" w:rsidP="006B318F">
            <w:pPr>
              <w:tabs>
                <w:tab w:val="right" w:pos="1202"/>
              </w:tabs>
              <w:spacing w:after="0" w:line="301" w:lineRule="exact"/>
              <w:jc w:val="right"/>
              <w:outlineLvl w:val="0"/>
              <w:rPr>
                <w:rFonts w:eastAsia="Times New Roman" w:cs="Arial"/>
                <w:spacing w:val="-2"/>
                <w:sz w:val="20"/>
                <w:szCs w:val="20"/>
              </w:rPr>
            </w:pPr>
          </w:p>
        </w:tc>
        <w:tc>
          <w:tcPr>
            <w:tcW w:w="1517" w:type="dxa"/>
            <w:tcBorders>
              <w:top w:val="single" w:sz="4" w:space="0" w:color="auto"/>
            </w:tcBorders>
          </w:tcPr>
          <w:p w14:paraId="039407E5" w14:textId="77777777" w:rsidR="00245106" w:rsidRPr="006B318F" w:rsidRDefault="00245106" w:rsidP="006B318F">
            <w:pPr>
              <w:tabs>
                <w:tab w:val="right" w:pos="1202"/>
              </w:tabs>
              <w:spacing w:after="0" w:line="301" w:lineRule="exact"/>
              <w:jc w:val="right"/>
              <w:outlineLvl w:val="0"/>
              <w:rPr>
                <w:rFonts w:eastAsia="Times New Roman" w:cs="Arial"/>
                <w:spacing w:val="-2"/>
                <w:sz w:val="20"/>
                <w:szCs w:val="20"/>
              </w:rPr>
            </w:pPr>
          </w:p>
        </w:tc>
      </w:tr>
      <w:tr w:rsidR="00245106" w:rsidRPr="00453078" w14:paraId="62CEB455" w14:textId="77777777" w:rsidTr="006B318F">
        <w:trPr>
          <w:gridAfter w:val="1"/>
          <w:wAfter w:w="6" w:type="dxa"/>
          <w:trHeight w:val="214"/>
        </w:trPr>
        <w:tc>
          <w:tcPr>
            <w:tcW w:w="2446" w:type="dxa"/>
          </w:tcPr>
          <w:p w14:paraId="4437E753" w14:textId="77777777" w:rsidR="00245106" w:rsidRPr="00453078" w:rsidRDefault="00245106" w:rsidP="00245106">
            <w:pPr>
              <w:tabs>
                <w:tab w:val="right" w:pos="1202"/>
              </w:tabs>
              <w:spacing w:after="0" w:line="301" w:lineRule="exact"/>
              <w:outlineLvl w:val="0"/>
              <w:rPr>
                <w:rFonts w:eastAsia="Times New Roman" w:cs="Arial"/>
                <w:sz w:val="20"/>
                <w:szCs w:val="20"/>
              </w:rPr>
            </w:pPr>
            <w:r w:rsidRPr="00453078">
              <w:rPr>
                <w:rFonts w:eastAsia="Times New Roman" w:cs="Arial"/>
                <w:sz w:val="20"/>
                <w:szCs w:val="20"/>
              </w:rPr>
              <w:t>Investments in securities</w:t>
            </w:r>
          </w:p>
        </w:tc>
        <w:tc>
          <w:tcPr>
            <w:tcW w:w="1515" w:type="dxa"/>
            <w:tcBorders>
              <w:top w:val="nil"/>
              <w:left w:val="nil"/>
              <w:bottom w:val="nil"/>
              <w:right w:val="nil"/>
            </w:tcBorders>
            <w:shd w:val="clear" w:color="auto" w:fill="auto"/>
          </w:tcPr>
          <w:p w14:paraId="2FB22854" w14:textId="5109ACDC" w:rsidR="00245106" w:rsidRPr="006B318F" w:rsidRDefault="00245106" w:rsidP="00245106">
            <w:pPr>
              <w:tabs>
                <w:tab w:val="right" w:pos="1202"/>
              </w:tabs>
              <w:spacing w:after="0" w:line="301" w:lineRule="exact"/>
              <w:jc w:val="right"/>
              <w:outlineLvl w:val="0"/>
              <w:rPr>
                <w:rFonts w:eastAsia="Times New Roman" w:cs="Arial"/>
                <w:spacing w:val="-2"/>
                <w:sz w:val="20"/>
                <w:szCs w:val="20"/>
              </w:rPr>
            </w:pPr>
            <w:r w:rsidRPr="006B318F">
              <w:rPr>
                <w:rFonts w:eastAsia="Times New Roman" w:cs="Arial"/>
                <w:spacing w:val="-2"/>
                <w:sz w:val="20"/>
                <w:szCs w:val="20"/>
              </w:rPr>
              <w:t>9,777</w:t>
            </w:r>
          </w:p>
        </w:tc>
        <w:tc>
          <w:tcPr>
            <w:tcW w:w="1517" w:type="dxa"/>
            <w:tcBorders>
              <w:top w:val="nil"/>
              <w:left w:val="nil"/>
              <w:bottom w:val="nil"/>
              <w:right w:val="nil"/>
            </w:tcBorders>
            <w:shd w:val="clear" w:color="auto" w:fill="auto"/>
          </w:tcPr>
          <w:p w14:paraId="60C1FBCD" w14:textId="7B394597" w:rsidR="00245106" w:rsidRPr="006B318F" w:rsidRDefault="00245106" w:rsidP="00245106">
            <w:pPr>
              <w:tabs>
                <w:tab w:val="right" w:pos="1202"/>
              </w:tabs>
              <w:spacing w:after="0" w:line="301" w:lineRule="exact"/>
              <w:jc w:val="right"/>
              <w:outlineLvl w:val="0"/>
              <w:rPr>
                <w:rFonts w:eastAsia="Times New Roman" w:cs="Arial"/>
                <w:spacing w:val="-2"/>
                <w:sz w:val="20"/>
                <w:szCs w:val="20"/>
              </w:rPr>
            </w:pPr>
            <w:r w:rsidRPr="006B318F">
              <w:rPr>
                <w:rFonts w:eastAsia="Times New Roman" w:cs="Arial"/>
                <w:spacing w:val="-2"/>
                <w:sz w:val="20"/>
                <w:szCs w:val="20"/>
              </w:rPr>
              <w:t>31,047</w:t>
            </w:r>
          </w:p>
        </w:tc>
        <w:tc>
          <w:tcPr>
            <w:tcW w:w="1516" w:type="dxa"/>
            <w:tcBorders>
              <w:top w:val="nil"/>
              <w:left w:val="nil"/>
              <w:bottom w:val="nil"/>
              <w:right w:val="nil"/>
            </w:tcBorders>
            <w:shd w:val="clear" w:color="auto" w:fill="auto"/>
          </w:tcPr>
          <w:p w14:paraId="0CE5C6C9" w14:textId="5F2FB19B" w:rsidR="00245106" w:rsidRPr="006B318F" w:rsidRDefault="00245106" w:rsidP="00245106">
            <w:pPr>
              <w:tabs>
                <w:tab w:val="right" w:pos="1202"/>
              </w:tabs>
              <w:spacing w:after="0" w:line="301" w:lineRule="exact"/>
              <w:jc w:val="right"/>
              <w:outlineLvl w:val="0"/>
              <w:rPr>
                <w:rFonts w:eastAsia="Times New Roman" w:cs="Arial"/>
                <w:spacing w:val="-2"/>
                <w:sz w:val="20"/>
                <w:szCs w:val="20"/>
              </w:rPr>
            </w:pPr>
            <w:r w:rsidRPr="006B318F">
              <w:rPr>
                <w:rFonts w:eastAsia="Times New Roman" w:cs="Arial"/>
                <w:spacing w:val="-2"/>
                <w:sz w:val="20"/>
                <w:szCs w:val="20"/>
              </w:rPr>
              <w:t>12,485</w:t>
            </w:r>
          </w:p>
        </w:tc>
        <w:tc>
          <w:tcPr>
            <w:tcW w:w="1519" w:type="dxa"/>
            <w:tcBorders>
              <w:top w:val="nil"/>
              <w:left w:val="nil"/>
              <w:bottom w:val="nil"/>
              <w:right w:val="nil"/>
            </w:tcBorders>
            <w:shd w:val="clear" w:color="auto" w:fill="auto"/>
          </w:tcPr>
          <w:p w14:paraId="6607C24B" w14:textId="43BD7BF9" w:rsidR="00245106" w:rsidRPr="006B318F" w:rsidRDefault="00245106" w:rsidP="00245106">
            <w:pPr>
              <w:tabs>
                <w:tab w:val="right" w:pos="1202"/>
              </w:tabs>
              <w:spacing w:after="0" w:line="301" w:lineRule="exact"/>
              <w:jc w:val="right"/>
              <w:outlineLvl w:val="0"/>
              <w:rPr>
                <w:rFonts w:eastAsia="Times New Roman" w:cs="Arial"/>
                <w:spacing w:val="-2"/>
                <w:sz w:val="20"/>
                <w:szCs w:val="20"/>
              </w:rPr>
            </w:pPr>
            <w:r w:rsidRPr="006B318F">
              <w:rPr>
                <w:rFonts w:eastAsia="Times New Roman" w:cs="Arial"/>
                <w:spacing w:val="-2"/>
                <w:sz w:val="20"/>
                <w:szCs w:val="20"/>
              </w:rPr>
              <w:t>37,064</w:t>
            </w:r>
          </w:p>
        </w:tc>
        <w:tc>
          <w:tcPr>
            <w:tcW w:w="1516" w:type="dxa"/>
            <w:tcBorders>
              <w:top w:val="nil"/>
              <w:left w:val="nil"/>
              <w:bottom w:val="nil"/>
              <w:right w:val="nil"/>
            </w:tcBorders>
            <w:shd w:val="clear" w:color="auto" w:fill="auto"/>
          </w:tcPr>
          <w:p w14:paraId="52B596B4" w14:textId="5749D22D" w:rsidR="00245106" w:rsidRPr="006B318F" w:rsidRDefault="00245106" w:rsidP="00245106">
            <w:pPr>
              <w:tabs>
                <w:tab w:val="right" w:pos="1202"/>
              </w:tabs>
              <w:spacing w:after="0" w:line="301" w:lineRule="exact"/>
              <w:jc w:val="right"/>
              <w:outlineLvl w:val="0"/>
              <w:rPr>
                <w:rFonts w:eastAsia="Times New Roman" w:cs="Arial"/>
                <w:spacing w:val="-2"/>
                <w:sz w:val="20"/>
                <w:szCs w:val="20"/>
              </w:rPr>
            </w:pPr>
            <w:r w:rsidRPr="006B318F">
              <w:rPr>
                <w:rFonts w:eastAsia="Times New Roman" w:cs="Arial"/>
                <w:spacing w:val="-2"/>
                <w:sz w:val="20"/>
                <w:szCs w:val="20"/>
              </w:rPr>
              <w:t>9,372</w:t>
            </w:r>
          </w:p>
        </w:tc>
        <w:tc>
          <w:tcPr>
            <w:tcW w:w="1517" w:type="dxa"/>
            <w:tcBorders>
              <w:top w:val="nil"/>
              <w:left w:val="nil"/>
              <w:bottom w:val="nil"/>
              <w:right w:val="nil"/>
            </w:tcBorders>
            <w:shd w:val="clear" w:color="auto" w:fill="auto"/>
          </w:tcPr>
          <w:p w14:paraId="1B6360F8" w14:textId="4610F691" w:rsidR="00245106" w:rsidRPr="006B318F" w:rsidRDefault="00245106" w:rsidP="00245106">
            <w:pPr>
              <w:tabs>
                <w:tab w:val="right" w:pos="1202"/>
              </w:tabs>
              <w:spacing w:after="0" w:line="301" w:lineRule="exact"/>
              <w:jc w:val="right"/>
              <w:outlineLvl w:val="0"/>
              <w:rPr>
                <w:rFonts w:eastAsia="Times New Roman" w:cs="Arial"/>
                <w:spacing w:val="-2"/>
                <w:sz w:val="20"/>
                <w:szCs w:val="20"/>
              </w:rPr>
            </w:pPr>
            <w:r w:rsidRPr="006B318F">
              <w:rPr>
                <w:rFonts w:eastAsia="Times New Roman" w:cs="Arial"/>
                <w:spacing w:val="-2"/>
                <w:sz w:val="20"/>
                <w:szCs w:val="20"/>
              </w:rPr>
              <w:t>29,813</w:t>
            </w:r>
          </w:p>
        </w:tc>
        <w:tc>
          <w:tcPr>
            <w:tcW w:w="1516" w:type="dxa"/>
            <w:tcBorders>
              <w:top w:val="nil"/>
              <w:left w:val="nil"/>
              <w:bottom w:val="nil"/>
              <w:right w:val="nil"/>
            </w:tcBorders>
            <w:shd w:val="clear" w:color="auto" w:fill="auto"/>
          </w:tcPr>
          <w:p w14:paraId="4E8BBAF2" w14:textId="13CFF9F0" w:rsidR="00245106" w:rsidRPr="006B318F" w:rsidRDefault="00245106" w:rsidP="00245106">
            <w:pPr>
              <w:tabs>
                <w:tab w:val="right" w:pos="1202"/>
              </w:tabs>
              <w:spacing w:after="0" w:line="301" w:lineRule="exact"/>
              <w:jc w:val="right"/>
              <w:outlineLvl w:val="0"/>
              <w:rPr>
                <w:rFonts w:eastAsia="Times New Roman" w:cs="Arial"/>
                <w:spacing w:val="-2"/>
                <w:sz w:val="20"/>
                <w:szCs w:val="20"/>
              </w:rPr>
            </w:pPr>
            <w:r w:rsidRPr="006B318F">
              <w:rPr>
                <w:rFonts w:eastAsia="Times New Roman" w:cs="Arial"/>
                <w:spacing w:val="-2"/>
                <w:sz w:val="20"/>
                <w:szCs w:val="20"/>
              </w:rPr>
              <w:t>12,085</w:t>
            </w:r>
          </w:p>
        </w:tc>
        <w:tc>
          <w:tcPr>
            <w:tcW w:w="1517" w:type="dxa"/>
            <w:tcBorders>
              <w:top w:val="nil"/>
              <w:left w:val="nil"/>
              <w:bottom w:val="nil"/>
              <w:right w:val="nil"/>
            </w:tcBorders>
            <w:shd w:val="clear" w:color="auto" w:fill="auto"/>
          </w:tcPr>
          <w:p w14:paraId="618FC03C" w14:textId="2CB416D3" w:rsidR="00245106" w:rsidRPr="006B318F" w:rsidRDefault="00245106" w:rsidP="00245106">
            <w:pPr>
              <w:tabs>
                <w:tab w:val="right" w:pos="1202"/>
              </w:tabs>
              <w:spacing w:after="0" w:line="301" w:lineRule="exact"/>
              <w:jc w:val="right"/>
              <w:outlineLvl w:val="0"/>
              <w:rPr>
                <w:rFonts w:eastAsia="Times New Roman" w:cs="Arial"/>
                <w:spacing w:val="-2"/>
                <w:sz w:val="20"/>
                <w:szCs w:val="20"/>
              </w:rPr>
            </w:pPr>
            <w:r w:rsidRPr="006B318F">
              <w:rPr>
                <w:rFonts w:eastAsia="Times New Roman" w:cs="Arial"/>
                <w:spacing w:val="-2"/>
                <w:sz w:val="20"/>
                <w:szCs w:val="20"/>
              </w:rPr>
              <w:t>35,878</w:t>
            </w:r>
          </w:p>
        </w:tc>
      </w:tr>
      <w:tr w:rsidR="00245106" w:rsidRPr="00453078" w14:paraId="318B75BC" w14:textId="77777777" w:rsidTr="006B318F">
        <w:trPr>
          <w:gridAfter w:val="1"/>
          <w:wAfter w:w="6" w:type="dxa"/>
          <w:trHeight w:val="214"/>
        </w:trPr>
        <w:tc>
          <w:tcPr>
            <w:tcW w:w="2446" w:type="dxa"/>
          </w:tcPr>
          <w:p w14:paraId="7586C456" w14:textId="500623E1" w:rsidR="00245106" w:rsidRPr="00453078" w:rsidRDefault="00245106" w:rsidP="00245106">
            <w:pPr>
              <w:tabs>
                <w:tab w:val="right" w:pos="1202"/>
              </w:tabs>
              <w:spacing w:after="0" w:line="301" w:lineRule="exact"/>
              <w:outlineLvl w:val="0"/>
              <w:rPr>
                <w:rFonts w:eastAsia="Times New Roman" w:cs="Arial"/>
                <w:sz w:val="20"/>
                <w:szCs w:val="20"/>
              </w:rPr>
            </w:pPr>
            <w:r w:rsidRPr="00453078">
              <w:rPr>
                <w:rFonts w:eastAsia="Times New Roman" w:cs="Arial"/>
                <w:sz w:val="20"/>
                <w:szCs w:val="20"/>
              </w:rPr>
              <w:t>Deposits</w:t>
            </w:r>
          </w:p>
        </w:tc>
        <w:tc>
          <w:tcPr>
            <w:tcW w:w="1515" w:type="dxa"/>
            <w:tcBorders>
              <w:top w:val="nil"/>
              <w:left w:val="nil"/>
              <w:bottom w:val="nil"/>
              <w:right w:val="nil"/>
            </w:tcBorders>
            <w:shd w:val="clear" w:color="auto" w:fill="auto"/>
          </w:tcPr>
          <w:p w14:paraId="4E2702EA" w14:textId="2E37B709" w:rsidR="00245106" w:rsidRPr="006B318F" w:rsidDel="00337B86" w:rsidRDefault="00245106" w:rsidP="00245106">
            <w:pPr>
              <w:tabs>
                <w:tab w:val="right" w:pos="1202"/>
              </w:tabs>
              <w:spacing w:after="0" w:line="301" w:lineRule="exact"/>
              <w:jc w:val="right"/>
              <w:outlineLvl w:val="0"/>
              <w:rPr>
                <w:rFonts w:eastAsia="Times New Roman" w:cs="Arial"/>
                <w:spacing w:val="-2"/>
                <w:sz w:val="20"/>
                <w:szCs w:val="20"/>
              </w:rPr>
            </w:pPr>
            <w:r w:rsidRPr="006B318F">
              <w:rPr>
                <w:rFonts w:eastAsia="Times New Roman" w:cs="Arial"/>
                <w:spacing w:val="-2"/>
                <w:sz w:val="20"/>
                <w:szCs w:val="20"/>
              </w:rPr>
              <w:t>229</w:t>
            </w:r>
          </w:p>
        </w:tc>
        <w:tc>
          <w:tcPr>
            <w:tcW w:w="1517" w:type="dxa"/>
            <w:tcBorders>
              <w:top w:val="nil"/>
              <w:left w:val="nil"/>
              <w:bottom w:val="nil"/>
              <w:right w:val="nil"/>
            </w:tcBorders>
            <w:shd w:val="clear" w:color="auto" w:fill="auto"/>
          </w:tcPr>
          <w:p w14:paraId="49A7A599" w14:textId="2A759682" w:rsidR="00245106" w:rsidRPr="006B318F" w:rsidDel="00337B86" w:rsidRDefault="00245106" w:rsidP="00245106">
            <w:pPr>
              <w:tabs>
                <w:tab w:val="right" w:pos="1202"/>
              </w:tabs>
              <w:spacing w:after="0" w:line="301" w:lineRule="exact"/>
              <w:jc w:val="right"/>
              <w:outlineLvl w:val="0"/>
              <w:rPr>
                <w:rFonts w:eastAsia="Times New Roman" w:cs="Arial"/>
                <w:spacing w:val="-2"/>
                <w:sz w:val="20"/>
                <w:szCs w:val="20"/>
              </w:rPr>
            </w:pPr>
            <w:r w:rsidRPr="006B318F">
              <w:rPr>
                <w:rFonts w:eastAsia="Times New Roman" w:cs="Arial"/>
                <w:spacing w:val="-2"/>
                <w:sz w:val="20"/>
                <w:szCs w:val="20"/>
              </w:rPr>
              <w:t>408</w:t>
            </w:r>
          </w:p>
        </w:tc>
        <w:tc>
          <w:tcPr>
            <w:tcW w:w="1516" w:type="dxa"/>
            <w:tcBorders>
              <w:top w:val="nil"/>
              <w:left w:val="nil"/>
              <w:bottom w:val="nil"/>
              <w:right w:val="nil"/>
            </w:tcBorders>
            <w:shd w:val="clear" w:color="auto" w:fill="auto"/>
          </w:tcPr>
          <w:p w14:paraId="3F88A936" w14:textId="077FB24A" w:rsidR="00245106" w:rsidRPr="006B318F" w:rsidDel="00337B86" w:rsidRDefault="00245106" w:rsidP="00245106">
            <w:pPr>
              <w:tabs>
                <w:tab w:val="right" w:pos="1202"/>
              </w:tabs>
              <w:spacing w:after="0" w:line="301" w:lineRule="exact"/>
              <w:jc w:val="right"/>
              <w:outlineLvl w:val="0"/>
              <w:rPr>
                <w:rFonts w:eastAsia="Times New Roman" w:cs="Arial"/>
                <w:spacing w:val="-2"/>
                <w:sz w:val="20"/>
                <w:szCs w:val="20"/>
              </w:rPr>
            </w:pPr>
            <w:r w:rsidRPr="006B318F">
              <w:rPr>
                <w:rFonts w:eastAsia="Times New Roman" w:cs="Arial"/>
                <w:spacing w:val="-2"/>
                <w:sz w:val="20"/>
                <w:szCs w:val="20"/>
              </w:rPr>
              <w:t>44</w:t>
            </w:r>
          </w:p>
        </w:tc>
        <w:tc>
          <w:tcPr>
            <w:tcW w:w="1519" w:type="dxa"/>
            <w:tcBorders>
              <w:top w:val="nil"/>
              <w:left w:val="nil"/>
              <w:bottom w:val="nil"/>
              <w:right w:val="nil"/>
            </w:tcBorders>
            <w:shd w:val="clear" w:color="auto" w:fill="auto"/>
          </w:tcPr>
          <w:p w14:paraId="78D05328" w14:textId="48E76D64" w:rsidR="00245106" w:rsidRPr="006B318F" w:rsidDel="00337B86" w:rsidRDefault="00245106" w:rsidP="00245106">
            <w:pPr>
              <w:tabs>
                <w:tab w:val="right" w:pos="1202"/>
              </w:tabs>
              <w:spacing w:after="0" w:line="301" w:lineRule="exact"/>
              <w:jc w:val="right"/>
              <w:outlineLvl w:val="0"/>
              <w:rPr>
                <w:rFonts w:eastAsia="Times New Roman" w:cs="Arial"/>
                <w:spacing w:val="-2"/>
                <w:sz w:val="20"/>
                <w:szCs w:val="20"/>
              </w:rPr>
            </w:pPr>
            <w:r w:rsidRPr="006B318F">
              <w:rPr>
                <w:rFonts w:eastAsia="Times New Roman" w:cs="Arial"/>
                <w:spacing w:val="-2"/>
                <w:sz w:val="20"/>
                <w:szCs w:val="20"/>
              </w:rPr>
              <w:t>194</w:t>
            </w:r>
          </w:p>
        </w:tc>
        <w:tc>
          <w:tcPr>
            <w:tcW w:w="1516" w:type="dxa"/>
            <w:tcBorders>
              <w:top w:val="nil"/>
              <w:left w:val="nil"/>
              <w:bottom w:val="nil"/>
              <w:right w:val="nil"/>
            </w:tcBorders>
            <w:shd w:val="clear" w:color="auto" w:fill="auto"/>
          </w:tcPr>
          <w:p w14:paraId="6B131DDD" w14:textId="1B9C9212" w:rsidR="00245106" w:rsidRPr="006B318F" w:rsidDel="00337B86" w:rsidRDefault="00245106" w:rsidP="00245106">
            <w:pPr>
              <w:tabs>
                <w:tab w:val="right" w:pos="1202"/>
              </w:tabs>
              <w:spacing w:after="0" w:line="301" w:lineRule="exact"/>
              <w:jc w:val="right"/>
              <w:outlineLvl w:val="0"/>
              <w:rPr>
                <w:rFonts w:eastAsia="Times New Roman" w:cs="Arial"/>
                <w:spacing w:val="-2"/>
                <w:sz w:val="20"/>
                <w:szCs w:val="20"/>
              </w:rPr>
            </w:pPr>
            <w:r w:rsidRPr="006B318F">
              <w:rPr>
                <w:rFonts w:eastAsia="Times New Roman" w:cs="Arial"/>
                <w:spacing w:val="-2"/>
                <w:sz w:val="20"/>
                <w:szCs w:val="20"/>
              </w:rPr>
              <w:t>229</w:t>
            </w:r>
          </w:p>
        </w:tc>
        <w:tc>
          <w:tcPr>
            <w:tcW w:w="1517" w:type="dxa"/>
            <w:tcBorders>
              <w:top w:val="nil"/>
              <w:left w:val="nil"/>
              <w:bottom w:val="nil"/>
              <w:right w:val="nil"/>
            </w:tcBorders>
            <w:shd w:val="clear" w:color="auto" w:fill="auto"/>
          </w:tcPr>
          <w:p w14:paraId="576D9CB2" w14:textId="609C8A76" w:rsidR="00245106" w:rsidRPr="006B318F" w:rsidDel="00337B86" w:rsidRDefault="00245106" w:rsidP="00245106">
            <w:pPr>
              <w:tabs>
                <w:tab w:val="right" w:pos="1202"/>
              </w:tabs>
              <w:spacing w:after="0" w:line="301" w:lineRule="exact"/>
              <w:jc w:val="right"/>
              <w:outlineLvl w:val="0"/>
              <w:rPr>
                <w:rFonts w:eastAsia="Times New Roman" w:cs="Arial"/>
                <w:spacing w:val="-2"/>
                <w:sz w:val="20"/>
                <w:szCs w:val="20"/>
              </w:rPr>
            </w:pPr>
            <w:r w:rsidRPr="006B318F">
              <w:rPr>
                <w:rFonts w:eastAsia="Times New Roman" w:cs="Arial"/>
                <w:spacing w:val="-2"/>
                <w:sz w:val="20"/>
                <w:szCs w:val="20"/>
              </w:rPr>
              <w:t>408</w:t>
            </w:r>
          </w:p>
        </w:tc>
        <w:tc>
          <w:tcPr>
            <w:tcW w:w="1516" w:type="dxa"/>
            <w:tcBorders>
              <w:top w:val="nil"/>
              <w:left w:val="nil"/>
              <w:bottom w:val="nil"/>
              <w:right w:val="nil"/>
            </w:tcBorders>
            <w:shd w:val="clear" w:color="auto" w:fill="auto"/>
          </w:tcPr>
          <w:p w14:paraId="23214AC8" w14:textId="69EF360F" w:rsidR="00245106" w:rsidRPr="006B318F" w:rsidDel="00337B86" w:rsidRDefault="00245106" w:rsidP="00245106">
            <w:pPr>
              <w:tabs>
                <w:tab w:val="right" w:pos="1202"/>
              </w:tabs>
              <w:spacing w:after="0" w:line="301" w:lineRule="exact"/>
              <w:jc w:val="right"/>
              <w:outlineLvl w:val="0"/>
              <w:rPr>
                <w:rFonts w:eastAsia="Times New Roman" w:cs="Arial"/>
                <w:spacing w:val="-2"/>
                <w:sz w:val="20"/>
                <w:szCs w:val="20"/>
              </w:rPr>
            </w:pPr>
            <w:r w:rsidRPr="006B318F">
              <w:rPr>
                <w:rFonts w:eastAsia="Times New Roman" w:cs="Arial"/>
                <w:spacing w:val="-2"/>
                <w:sz w:val="20"/>
                <w:szCs w:val="20"/>
              </w:rPr>
              <w:t>39</w:t>
            </w:r>
          </w:p>
        </w:tc>
        <w:tc>
          <w:tcPr>
            <w:tcW w:w="1517" w:type="dxa"/>
            <w:tcBorders>
              <w:top w:val="nil"/>
              <w:left w:val="nil"/>
              <w:bottom w:val="nil"/>
              <w:right w:val="nil"/>
            </w:tcBorders>
            <w:shd w:val="clear" w:color="auto" w:fill="auto"/>
          </w:tcPr>
          <w:p w14:paraId="4F3EA6A2" w14:textId="18F9C3BB" w:rsidR="00245106" w:rsidRPr="006B318F" w:rsidDel="00337B86" w:rsidRDefault="00245106" w:rsidP="00245106">
            <w:pPr>
              <w:tabs>
                <w:tab w:val="right" w:pos="1202"/>
              </w:tabs>
              <w:spacing w:after="0" w:line="301" w:lineRule="exact"/>
              <w:jc w:val="right"/>
              <w:outlineLvl w:val="0"/>
              <w:rPr>
                <w:rFonts w:eastAsia="Times New Roman" w:cs="Arial"/>
                <w:spacing w:val="-2"/>
                <w:sz w:val="20"/>
                <w:szCs w:val="20"/>
              </w:rPr>
            </w:pPr>
            <w:r w:rsidRPr="006B318F">
              <w:rPr>
                <w:rFonts w:eastAsia="Times New Roman" w:cs="Arial"/>
                <w:spacing w:val="-2"/>
                <w:sz w:val="20"/>
                <w:szCs w:val="20"/>
              </w:rPr>
              <w:t>138</w:t>
            </w:r>
          </w:p>
        </w:tc>
      </w:tr>
      <w:tr w:rsidR="00B16278" w:rsidRPr="00453078" w14:paraId="7522CB49" w14:textId="77777777" w:rsidTr="006B318F">
        <w:trPr>
          <w:gridAfter w:val="1"/>
          <w:wAfter w:w="6" w:type="dxa"/>
          <w:trHeight w:val="214"/>
        </w:trPr>
        <w:tc>
          <w:tcPr>
            <w:tcW w:w="2446" w:type="dxa"/>
          </w:tcPr>
          <w:p w14:paraId="7582C983" w14:textId="77777777" w:rsidR="00B16278" w:rsidRPr="00453078" w:rsidRDefault="00B16278" w:rsidP="006B318F">
            <w:pPr>
              <w:tabs>
                <w:tab w:val="right" w:pos="1202"/>
              </w:tabs>
              <w:spacing w:after="0" w:line="301" w:lineRule="exact"/>
              <w:jc w:val="right"/>
              <w:outlineLvl w:val="0"/>
              <w:rPr>
                <w:rFonts w:eastAsia="Times New Roman" w:cs="Arial"/>
                <w:b/>
                <w:bCs/>
                <w:spacing w:val="-2"/>
                <w:sz w:val="20"/>
                <w:szCs w:val="20"/>
              </w:rPr>
            </w:pPr>
          </w:p>
        </w:tc>
        <w:tc>
          <w:tcPr>
            <w:tcW w:w="1515" w:type="dxa"/>
            <w:tcBorders>
              <w:top w:val="single" w:sz="4" w:space="0" w:color="auto"/>
              <w:left w:val="nil"/>
              <w:bottom w:val="single" w:sz="12" w:space="0" w:color="auto"/>
              <w:right w:val="nil"/>
            </w:tcBorders>
            <w:shd w:val="clear" w:color="auto" w:fill="auto"/>
          </w:tcPr>
          <w:p w14:paraId="3579AF43" w14:textId="13DC5DB1" w:rsidR="00B16278" w:rsidRPr="008D6EFE" w:rsidRDefault="00B16278" w:rsidP="006B318F">
            <w:pPr>
              <w:tabs>
                <w:tab w:val="right" w:pos="1202"/>
              </w:tabs>
              <w:spacing w:after="0" w:line="301" w:lineRule="exact"/>
              <w:jc w:val="right"/>
              <w:outlineLvl w:val="0"/>
              <w:rPr>
                <w:rFonts w:eastAsia="Times New Roman" w:cs="Arial"/>
                <w:b/>
                <w:spacing w:val="-2"/>
                <w:sz w:val="20"/>
                <w:szCs w:val="20"/>
              </w:rPr>
            </w:pPr>
            <w:r w:rsidRPr="006B318F">
              <w:rPr>
                <w:rFonts w:eastAsia="Times New Roman" w:cs="Arial"/>
                <w:b/>
                <w:spacing w:val="-2"/>
                <w:sz w:val="20"/>
                <w:szCs w:val="20"/>
              </w:rPr>
              <w:t>209</w:t>
            </w:r>
            <w:r>
              <w:rPr>
                <w:rFonts w:eastAsia="Times New Roman" w:cs="Arial"/>
                <w:b/>
                <w:spacing w:val="-2"/>
                <w:sz w:val="20"/>
                <w:szCs w:val="20"/>
              </w:rPr>
              <w:t>,</w:t>
            </w:r>
            <w:r w:rsidRPr="006B318F">
              <w:rPr>
                <w:rFonts w:eastAsia="Times New Roman" w:cs="Arial"/>
                <w:b/>
                <w:spacing w:val="-2"/>
                <w:sz w:val="20"/>
                <w:szCs w:val="20"/>
              </w:rPr>
              <w:t>356</w:t>
            </w:r>
          </w:p>
        </w:tc>
        <w:tc>
          <w:tcPr>
            <w:tcW w:w="1517" w:type="dxa"/>
            <w:tcBorders>
              <w:top w:val="single" w:sz="4" w:space="0" w:color="auto"/>
              <w:left w:val="nil"/>
              <w:bottom w:val="single" w:sz="12" w:space="0" w:color="auto"/>
              <w:right w:val="nil"/>
            </w:tcBorders>
            <w:shd w:val="clear" w:color="auto" w:fill="auto"/>
          </w:tcPr>
          <w:p w14:paraId="18455CCF" w14:textId="08031C42" w:rsidR="00B16278" w:rsidRPr="008D6EFE" w:rsidRDefault="00B16278" w:rsidP="006B318F">
            <w:pPr>
              <w:tabs>
                <w:tab w:val="right" w:pos="1202"/>
              </w:tabs>
              <w:spacing w:after="0" w:line="301" w:lineRule="exact"/>
              <w:jc w:val="right"/>
              <w:outlineLvl w:val="0"/>
              <w:rPr>
                <w:rFonts w:eastAsia="Times New Roman" w:cs="Arial"/>
                <w:b/>
                <w:spacing w:val="-2"/>
                <w:sz w:val="20"/>
                <w:szCs w:val="20"/>
              </w:rPr>
            </w:pPr>
            <w:r w:rsidRPr="006B318F">
              <w:rPr>
                <w:rFonts w:eastAsia="Times New Roman" w:cs="Arial"/>
                <w:b/>
                <w:spacing w:val="-2"/>
                <w:sz w:val="20"/>
                <w:szCs w:val="20"/>
              </w:rPr>
              <w:t>661</w:t>
            </w:r>
            <w:r>
              <w:rPr>
                <w:rFonts w:eastAsia="Times New Roman" w:cs="Arial"/>
                <w:b/>
                <w:spacing w:val="-2"/>
                <w:sz w:val="20"/>
                <w:szCs w:val="20"/>
              </w:rPr>
              <w:t>,</w:t>
            </w:r>
            <w:r w:rsidRPr="006B318F">
              <w:rPr>
                <w:rFonts w:eastAsia="Times New Roman" w:cs="Arial"/>
                <w:b/>
                <w:spacing w:val="-2"/>
                <w:sz w:val="20"/>
                <w:szCs w:val="20"/>
              </w:rPr>
              <w:t>197</w:t>
            </w:r>
          </w:p>
        </w:tc>
        <w:tc>
          <w:tcPr>
            <w:tcW w:w="1516" w:type="dxa"/>
            <w:tcBorders>
              <w:top w:val="single" w:sz="4" w:space="0" w:color="auto"/>
              <w:left w:val="nil"/>
              <w:bottom w:val="single" w:sz="12" w:space="0" w:color="auto"/>
              <w:right w:val="nil"/>
            </w:tcBorders>
            <w:shd w:val="clear" w:color="auto" w:fill="auto"/>
          </w:tcPr>
          <w:p w14:paraId="38061EE8" w14:textId="7A5FB1FE" w:rsidR="00B16278" w:rsidRPr="00A63E7A" w:rsidRDefault="00B16278" w:rsidP="006B318F">
            <w:pPr>
              <w:tabs>
                <w:tab w:val="right" w:pos="1202"/>
              </w:tabs>
              <w:spacing w:after="0" w:line="301" w:lineRule="exact"/>
              <w:jc w:val="right"/>
              <w:outlineLvl w:val="0"/>
              <w:rPr>
                <w:rFonts w:eastAsia="Times New Roman" w:cs="Arial"/>
                <w:b/>
                <w:spacing w:val="-2"/>
                <w:sz w:val="20"/>
                <w:szCs w:val="20"/>
              </w:rPr>
            </w:pPr>
            <w:r w:rsidRPr="006B318F">
              <w:rPr>
                <w:rFonts w:eastAsia="Times New Roman" w:cs="Arial"/>
                <w:b/>
                <w:spacing w:val="-2"/>
                <w:sz w:val="20"/>
                <w:szCs w:val="20"/>
              </w:rPr>
              <w:t>215,899</w:t>
            </w:r>
          </w:p>
        </w:tc>
        <w:tc>
          <w:tcPr>
            <w:tcW w:w="1519" w:type="dxa"/>
            <w:tcBorders>
              <w:top w:val="single" w:sz="4" w:space="0" w:color="auto"/>
              <w:left w:val="nil"/>
              <w:bottom w:val="single" w:sz="12" w:space="0" w:color="auto"/>
              <w:right w:val="nil"/>
            </w:tcBorders>
            <w:shd w:val="clear" w:color="auto" w:fill="auto"/>
          </w:tcPr>
          <w:p w14:paraId="5DDC7C7A" w14:textId="443C48F2" w:rsidR="00B16278" w:rsidRPr="00A63E7A" w:rsidRDefault="00B16278" w:rsidP="006B318F">
            <w:pPr>
              <w:tabs>
                <w:tab w:val="right" w:pos="1202"/>
              </w:tabs>
              <w:spacing w:after="0" w:line="301" w:lineRule="exact"/>
              <w:jc w:val="right"/>
              <w:outlineLvl w:val="0"/>
              <w:rPr>
                <w:rFonts w:eastAsia="Times New Roman" w:cs="Arial"/>
                <w:b/>
                <w:spacing w:val="-2"/>
                <w:sz w:val="20"/>
                <w:szCs w:val="20"/>
              </w:rPr>
            </w:pPr>
            <w:r w:rsidRPr="006B318F">
              <w:rPr>
                <w:rFonts w:eastAsia="Times New Roman" w:cs="Arial"/>
                <w:b/>
                <w:spacing w:val="-2"/>
                <w:sz w:val="20"/>
                <w:szCs w:val="20"/>
              </w:rPr>
              <w:t>644,925</w:t>
            </w:r>
          </w:p>
        </w:tc>
        <w:tc>
          <w:tcPr>
            <w:tcW w:w="1516" w:type="dxa"/>
            <w:tcBorders>
              <w:top w:val="single" w:sz="4" w:space="0" w:color="auto"/>
              <w:left w:val="nil"/>
              <w:bottom w:val="single" w:sz="12" w:space="0" w:color="auto"/>
              <w:right w:val="nil"/>
            </w:tcBorders>
            <w:shd w:val="clear" w:color="auto" w:fill="auto"/>
          </w:tcPr>
          <w:p w14:paraId="6EA0381F" w14:textId="57C74680" w:rsidR="00B16278" w:rsidRPr="008D6EFE" w:rsidRDefault="00B16278" w:rsidP="006B318F">
            <w:pPr>
              <w:tabs>
                <w:tab w:val="right" w:pos="1202"/>
              </w:tabs>
              <w:spacing w:after="0" w:line="301" w:lineRule="exact"/>
              <w:jc w:val="right"/>
              <w:outlineLvl w:val="0"/>
              <w:rPr>
                <w:rFonts w:eastAsia="Times New Roman" w:cs="Arial"/>
                <w:b/>
                <w:spacing w:val="-2"/>
                <w:sz w:val="20"/>
                <w:szCs w:val="20"/>
              </w:rPr>
            </w:pPr>
            <w:r w:rsidRPr="006B318F">
              <w:rPr>
                <w:rFonts w:eastAsia="Times New Roman" w:cs="Arial"/>
                <w:b/>
                <w:spacing w:val="-2"/>
                <w:sz w:val="20"/>
                <w:szCs w:val="20"/>
              </w:rPr>
              <w:t>208,951</w:t>
            </w:r>
          </w:p>
        </w:tc>
        <w:tc>
          <w:tcPr>
            <w:tcW w:w="1517" w:type="dxa"/>
            <w:tcBorders>
              <w:top w:val="single" w:sz="4" w:space="0" w:color="auto"/>
              <w:left w:val="nil"/>
              <w:bottom w:val="single" w:sz="12" w:space="0" w:color="auto"/>
              <w:right w:val="nil"/>
            </w:tcBorders>
            <w:shd w:val="clear" w:color="auto" w:fill="auto"/>
          </w:tcPr>
          <w:p w14:paraId="1395FB5E" w14:textId="12E88D7F" w:rsidR="00B16278" w:rsidRPr="008D6EFE" w:rsidRDefault="00B16278" w:rsidP="006B318F">
            <w:pPr>
              <w:tabs>
                <w:tab w:val="right" w:pos="1202"/>
              </w:tabs>
              <w:spacing w:after="0" w:line="301" w:lineRule="exact"/>
              <w:jc w:val="right"/>
              <w:outlineLvl w:val="0"/>
              <w:rPr>
                <w:rFonts w:eastAsia="Times New Roman" w:cs="Arial"/>
                <w:b/>
                <w:spacing w:val="-2"/>
                <w:sz w:val="20"/>
                <w:szCs w:val="20"/>
              </w:rPr>
            </w:pPr>
            <w:r w:rsidRPr="006B318F">
              <w:rPr>
                <w:rFonts w:eastAsia="Times New Roman" w:cs="Arial"/>
                <w:b/>
                <w:spacing w:val="-2"/>
                <w:sz w:val="20"/>
                <w:szCs w:val="20"/>
              </w:rPr>
              <w:t>659,963</w:t>
            </w:r>
          </w:p>
        </w:tc>
        <w:tc>
          <w:tcPr>
            <w:tcW w:w="1516" w:type="dxa"/>
            <w:tcBorders>
              <w:top w:val="single" w:sz="4" w:space="0" w:color="auto"/>
              <w:left w:val="nil"/>
              <w:bottom w:val="single" w:sz="12" w:space="0" w:color="auto"/>
              <w:right w:val="nil"/>
            </w:tcBorders>
            <w:shd w:val="clear" w:color="auto" w:fill="auto"/>
          </w:tcPr>
          <w:p w14:paraId="7BD91398" w14:textId="7E88F150" w:rsidR="00B16278" w:rsidRPr="006B318F" w:rsidRDefault="00B16278" w:rsidP="006B318F">
            <w:pPr>
              <w:tabs>
                <w:tab w:val="right" w:pos="1202"/>
              </w:tabs>
              <w:spacing w:after="0" w:line="301" w:lineRule="exact"/>
              <w:jc w:val="right"/>
              <w:outlineLvl w:val="0"/>
              <w:rPr>
                <w:rFonts w:eastAsia="Times New Roman" w:cs="Arial"/>
                <w:b/>
                <w:spacing w:val="-2"/>
                <w:sz w:val="20"/>
                <w:szCs w:val="20"/>
              </w:rPr>
            </w:pPr>
            <w:r w:rsidRPr="006B318F">
              <w:rPr>
                <w:rFonts w:eastAsia="Times New Roman" w:cs="Arial"/>
                <w:b/>
                <w:spacing w:val="-2"/>
                <w:sz w:val="20"/>
                <w:szCs w:val="20"/>
              </w:rPr>
              <w:t>215,494</w:t>
            </w:r>
          </w:p>
        </w:tc>
        <w:tc>
          <w:tcPr>
            <w:tcW w:w="1517" w:type="dxa"/>
            <w:tcBorders>
              <w:top w:val="single" w:sz="4" w:space="0" w:color="auto"/>
              <w:left w:val="nil"/>
              <w:bottom w:val="single" w:sz="12" w:space="0" w:color="auto"/>
              <w:right w:val="nil"/>
            </w:tcBorders>
            <w:shd w:val="clear" w:color="auto" w:fill="auto"/>
          </w:tcPr>
          <w:p w14:paraId="51D1B53D" w14:textId="669E8265" w:rsidR="00B16278" w:rsidRPr="006B318F" w:rsidRDefault="00B16278" w:rsidP="006B318F">
            <w:pPr>
              <w:tabs>
                <w:tab w:val="right" w:pos="1202"/>
              </w:tabs>
              <w:spacing w:after="0" w:line="301" w:lineRule="exact"/>
              <w:jc w:val="right"/>
              <w:outlineLvl w:val="0"/>
              <w:rPr>
                <w:rFonts w:eastAsia="Times New Roman" w:cs="Arial"/>
                <w:b/>
                <w:spacing w:val="-2"/>
                <w:sz w:val="20"/>
                <w:szCs w:val="20"/>
              </w:rPr>
            </w:pPr>
            <w:r w:rsidRPr="006B318F">
              <w:rPr>
                <w:rFonts w:eastAsia="Times New Roman" w:cs="Arial"/>
                <w:b/>
                <w:spacing w:val="-2"/>
                <w:sz w:val="20"/>
                <w:szCs w:val="20"/>
              </w:rPr>
              <w:t>643,683</w:t>
            </w:r>
          </w:p>
        </w:tc>
      </w:tr>
    </w:tbl>
    <w:p w14:paraId="52DD9F76" w14:textId="77777777" w:rsidR="00AE12ED" w:rsidRPr="0034501D" w:rsidRDefault="00AE12ED" w:rsidP="00BF3DE3">
      <w:pPr>
        <w:pStyle w:val="T1"/>
        <w:keepNext w:val="0"/>
        <w:spacing w:before="0" w:after="0" w:line="240" w:lineRule="auto"/>
        <w:rPr>
          <w:rFonts w:ascii="Calibri" w:hAnsi="Calibri" w:cs="Arial"/>
          <w:b w:val="0"/>
          <w:sz w:val="22"/>
          <w:szCs w:val="22"/>
          <w:lang w:val="en-GB"/>
        </w:rPr>
      </w:pPr>
    </w:p>
    <w:p w14:paraId="1B3B5A18" w14:textId="6458145D" w:rsidR="00AE09B0" w:rsidRPr="005253D3" w:rsidRDefault="00057BBD" w:rsidP="00392631">
      <w:pPr>
        <w:pStyle w:val="T1"/>
        <w:keepNext w:val="0"/>
        <w:spacing w:before="0" w:after="0" w:line="240" w:lineRule="auto"/>
        <w:rPr>
          <w:rFonts w:ascii="Calibri" w:hAnsi="Calibri" w:cs="Arial"/>
          <w:b w:val="0"/>
          <w:sz w:val="22"/>
          <w:szCs w:val="22"/>
          <w:lang w:val="en-GB"/>
        </w:rPr>
      </w:pPr>
      <w:r w:rsidRPr="005253D3">
        <w:rPr>
          <w:rFonts w:ascii="Calibri" w:hAnsi="Calibri" w:cs="Arial"/>
          <w:b w:val="0"/>
          <w:sz w:val="22"/>
          <w:szCs w:val="22"/>
          <w:lang w:val="en-GB"/>
        </w:rPr>
        <w:t>The difference between interest income and interest received or collected</w:t>
      </w:r>
      <w:r w:rsidR="00AE09B0" w:rsidRPr="005253D3">
        <w:rPr>
          <w:rFonts w:ascii="Calibri" w:hAnsi="Calibri" w:cs="Arial"/>
          <w:b w:val="0"/>
          <w:sz w:val="22"/>
          <w:szCs w:val="22"/>
          <w:lang w:val="en-GB"/>
        </w:rPr>
        <w:t xml:space="preserve"> (</w:t>
      </w:r>
      <w:r w:rsidRPr="005253D3">
        <w:rPr>
          <w:rFonts w:ascii="Calibri" w:hAnsi="Calibri" w:cs="Arial"/>
          <w:b w:val="0"/>
          <w:sz w:val="22"/>
          <w:szCs w:val="22"/>
          <w:lang w:val="en-GB"/>
        </w:rPr>
        <w:t>see Statement of Cash Flows</w:t>
      </w:r>
      <w:r w:rsidR="00AE09B0" w:rsidRPr="00695259">
        <w:rPr>
          <w:rFonts w:ascii="Calibri" w:hAnsi="Calibri" w:cs="Arial"/>
          <w:b w:val="0"/>
          <w:sz w:val="22"/>
          <w:szCs w:val="22"/>
          <w:lang w:val="en-GB"/>
        </w:rPr>
        <w:t xml:space="preserve">) </w:t>
      </w:r>
      <w:r w:rsidRPr="00695259">
        <w:rPr>
          <w:rFonts w:ascii="Calibri" w:hAnsi="Calibri" w:cs="Arial"/>
          <w:b w:val="0"/>
          <w:sz w:val="22"/>
          <w:szCs w:val="22"/>
          <w:lang w:val="en-GB"/>
        </w:rPr>
        <w:t>mostly relates to the income in respect to interest subsidies inflows that are recorded upon payment</w:t>
      </w:r>
      <w:r w:rsidR="00AE09B0" w:rsidRPr="00B82907">
        <w:rPr>
          <w:rFonts w:ascii="Calibri" w:hAnsi="Calibri" w:cs="Arial"/>
          <w:b w:val="0"/>
          <w:sz w:val="22"/>
          <w:szCs w:val="22"/>
          <w:lang w:val="en-GB"/>
        </w:rPr>
        <w:t xml:space="preserve">. </w:t>
      </w:r>
      <w:r w:rsidRPr="008267D8">
        <w:rPr>
          <w:rFonts w:ascii="Calibri" w:hAnsi="Calibri" w:cs="Arial"/>
          <w:b w:val="0"/>
          <w:sz w:val="22"/>
          <w:szCs w:val="22"/>
          <w:lang w:val="en-GB"/>
        </w:rPr>
        <w:t>The discounted amount of the interest</w:t>
      </w:r>
      <w:r w:rsidRPr="00B20BD7">
        <w:rPr>
          <w:rFonts w:ascii="Calibri" w:hAnsi="Calibri" w:cs="Arial"/>
          <w:b w:val="0"/>
          <w:sz w:val="22"/>
          <w:szCs w:val="22"/>
          <w:lang w:val="en-GB"/>
        </w:rPr>
        <w:t xml:space="preserve"> subsidies provided for the final user is presented as deferred interest income </w:t>
      </w:r>
      <w:r w:rsidR="00F33609" w:rsidRPr="00C06FC9">
        <w:rPr>
          <w:rFonts w:ascii="Calibri" w:hAnsi="Calibri" w:cs="Arial"/>
          <w:b w:val="0"/>
          <w:sz w:val="22"/>
          <w:szCs w:val="22"/>
          <w:lang w:val="en-GB"/>
        </w:rPr>
        <w:t>and is recogni</w:t>
      </w:r>
      <w:r w:rsidR="00D757F0">
        <w:rPr>
          <w:rFonts w:ascii="Calibri" w:hAnsi="Calibri" w:cs="Arial"/>
          <w:b w:val="0"/>
          <w:sz w:val="22"/>
          <w:szCs w:val="22"/>
          <w:lang w:val="en-GB"/>
        </w:rPr>
        <w:t>s</w:t>
      </w:r>
      <w:r w:rsidR="00F33609" w:rsidRPr="00C06FC9">
        <w:rPr>
          <w:rFonts w:ascii="Calibri" w:hAnsi="Calibri" w:cs="Arial"/>
          <w:b w:val="0"/>
          <w:sz w:val="22"/>
          <w:szCs w:val="22"/>
          <w:lang w:val="en-GB"/>
        </w:rPr>
        <w:t>ed in the statement of profit or loss and other comprehensive income on a time basis during the repayment of the loan</w:t>
      </w:r>
      <w:r w:rsidR="00AE09B0" w:rsidRPr="00003A70">
        <w:rPr>
          <w:rFonts w:ascii="Calibri" w:hAnsi="Calibri" w:cs="Arial"/>
          <w:b w:val="0"/>
          <w:bCs w:val="0"/>
          <w:sz w:val="22"/>
          <w:szCs w:val="22"/>
          <w:lang w:val="en-GB"/>
        </w:rPr>
        <w:t>.</w:t>
      </w:r>
      <w:r w:rsidR="00AE09B0" w:rsidRPr="00003A70">
        <w:rPr>
          <w:rFonts w:ascii="Calibri" w:hAnsi="Calibri" w:cs="Arial"/>
          <w:b w:val="0"/>
          <w:sz w:val="22"/>
          <w:szCs w:val="22"/>
          <w:lang w:val="en-GB"/>
        </w:rPr>
        <w:t xml:space="preserve"> </w:t>
      </w:r>
      <w:r w:rsidR="00F33609" w:rsidRPr="00D44151">
        <w:rPr>
          <w:rFonts w:ascii="Calibri" w:hAnsi="Calibri" w:cs="Arial"/>
          <w:b w:val="0"/>
          <w:sz w:val="22"/>
          <w:szCs w:val="22"/>
          <w:lang w:val="en-GB"/>
        </w:rPr>
        <w:t xml:space="preserve">Interest income earned on this basis </w:t>
      </w:r>
      <w:r w:rsidR="00F33609" w:rsidRPr="006513D6">
        <w:rPr>
          <w:rFonts w:ascii="Calibri" w:hAnsi="Calibri" w:cs="Arial"/>
          <w:b w:val="0"/>
          <w:sz w:val="22"/>
          <w:szCs w:val="22"/>
          <w:lang w:val="en-GB"/>
        </w:rPr>
        <w:t>for the period</w:t>
      </w:r>
      <w:r w:rsidR="00A23AEB" w:rsidRPr="005253D3">
        <w:rPr>
          <w:rFonts w:ascii="Calibri" w:hAnsi="Calibri" w:cs="Arial"/>
          <w:b w:val="0"/>
          <w:sz w:val="22"/>
          <w:szCs w:val="22"/>
          <w:lang w:val="en-GB"/>
        </w:rPr>
        <w:t xml:space="preserve"> 1</w:t>
      </w:r>
      <w:r w:rsidR="00F33609" w:rsidRPr="005253D3">
        <w:rPr>
          <w:rFonts w:ascii="Calibri" w:hAnsi="Calibri" w:cs="Arial"/>
          <w:b w:val="0"/>
          <w:sz w:val="22"/>
          <w:szCs w:val="22"/>
          <w:lang w:val="en-GB"/>
        </w:rPr>
        <w:t xml:space="preserve"> January </w:t>
      </w:r>
      <w:r w:rsidR="00392631">
        <w:rPr>
          <w:rFonts w:ascii="Calibri" w:hAnsi="Calibri" w:cs="Arial"/>
          <w:b w:val="0"/>
          <w:sz w:val="22"/>
          <w:szCs w:val="22"/>
          <w:lang w:val="en-GB"/>
        </w:rPr>
        <w:t>to</w:t>
      </w:r>
      <w:r w:rsidR="00F33609" w:rsidRPr="005253D3">
        <w:rPr>
          <w:rFonts w:ascii="Calibri" w:hAnsi="Calibri" w:cs="Arial"/>
          <w:b w:val="0"/>
          <w:sz w:val="22"/>
          <w:szCs w:val="22"/>
          <w:lang w:val="en-GB"/>
        </w:rPr>
        <w:t xml:space="preserve"> </w:t>
      </w:r>
      <w:r w:rsidR="008F2BB4" w:rsidRPr="008F2BB4">
        <w:rPr>
          <w:rFonts w:ascii="Calibri" w:hAnsi="Calibri" w:cs="Arial"/>
          <w:b w:val="0"/>
          <w:sz w:val="22"/>
          <w:szCs w:val="22"/>
          <w:lang w:val="en-GB"/>
        </w:rPr>
        <w:t xml:space="preserve">30 </w:t>
      </w:r>
      <w:r w:rsidR="00BA6627" w:rsidRPr="00BA6627">
        <w:rPr>
          <w:rFonts w:ascii="Calibri" w:hAnsi="Calibri" w:cs="Arial"/>
          <w:b w:val="0"/>
          <w:sz w:val="22"/>
          <w:szCs w:val="22"/>
          <w:lang w:val="en-GB"/>
        </w:rPr>
        <w:t>September</w:t>
      </w:r>
      <w:r w:rsidR="00BA6627" w:rsidRPr="00BA6627" w:rsidDel="00BA6627">
        <w:rPr>
          <w:rFonts w:ascii="Calibri" w:hAnsi="Calibri" w:cs="Arial"/>
          <w:b w:val="0"/>
          <w:sz w:val="22"/>
          <w:szCs w:val="22"/>
          <w:lang w:val="en-GB"/>
        </w:rPr>
        <w:t xml:space="preserve"> </w:t>
      </w:r>
      <w:r w:rsidR="00BD634B">
        <w:rPr>
          <w:rFonts w:ascii="Calibri" w:hAnsi="Calibri" w:cs="Arial"/>
          <w:b w:val="0"/>
          <w:sz w:val="22"/>
          <w:szCs w:val="22"/>
          <w:lang w:val="en-GB"/>
        </w:rPr>
        <w:t>2017</w:t>
      </w:r>
      <w:r w:rsidR="00CB06E0" w:rsidRPr="005253D3">
        <w:rPr>
          <w:rFonts w:ascii="Calibri" w:hAnsi="Calibri" w:cs="Arial"/>
          <w:b w:val="0"/>
          <w:sz w:val="22"/>
          <w:szCs w:val="22"/>
          <w:lang w:val="en-GB"/>
        </w:rPr>
        <w:t xml:space="preserve"> </w:t>
      </w:r>
      <w:r w:rsidR="00F33609" w:rsidRPr="005253D3">
        <w:rPr>
          <w:rFonts w:ascii="Calibri" w:hAnsi="Calibri" w:cs="Arial"/>
          <w:b w:val="0"/>
          <w:sz w:val="22"/>
          <w:szCs w:val="22"/>
          <w:lang w:val="en-GB"/>
        </w:rPr>
        <w:t>amounts to HRK</w:t>
      </w:r>
      <w:r w:rsidR="00AE09B0" w:rsidRPr="005253D3">
        <w:rPr>
          <w:rFonts w:ascii="Calibri" w:hAnsi="Calibri" w:cs="Arial"/>
          <w:b w:val="0"/>
          <w:sz w:val="22"/>
          <w:szCs w:val="22"/>
          <w:lang w:val="en-GB"/>
        </w:rPr>
        <w:t xml:space="preserve"> </w:t>
      </w:r>
      <w:r w:rsidR="000E5D30" w:rsidRPr="000E5D30">
        <w:rPr>
          <w:rFonts w:ascii="Calibri" w:hAnsi="Calibri" w:cs="Arial"/>
          <w:b w:val="0"/>
          <w:sz w:val="22"/>
          <w:szCs w:val="22"/>
          <w:lang w:val="en-GB"/>
        </w:rPr>
        <w:t xml:space="preserve">76,607 </w:t>
      </w:r>
      <w:r w:rsidR="00AE09B0" w:rsidRPr="005253D3">
        <w:rPr>
          <w:rFonts w:ascii="Calibri" w:hAnsi="Calibri" w:cs="Arial"/>
          <w:b w:val="0"/>
          <w:sz w:val="22"/>
          <w:szCs w:val="22"/>
          <w:lang w:val="en-GB"/>
        </w:rPr>
        <w:t>t</w:t>
      </w:r>
      <w:r w:rsidR="00F33609" w:rsidRPr="005253D3">
        <w:rPr>
          <w:rFonts w:ascii="Calibri" w:hAnsi="Calibri" w:cs="Arial"/>
          <w:b w:val="0"/>
          <w:sz w:val="22"/>
          <w:szCs w:val="22"/>
          <w:lang w:val="en-GB"/>
        </w:rPr>
        <w:t>housand</w:t>
      </w:r>
      <w:r w:rsidR="00AE09B0" w:rsidRPr="005253D3">
        <w:rPr>
          <w:rFonts w:ascii="Calibri" w:hAnsi="Calibri" w:cs="Arial"/>
          <w:b w:val="0"/>
          <w:sz w:val="22"/>
          <w:szCs w:val="22"/>
          <w:lang w:val="en-GB"/>
        </w:rPr>
        <w:t xml:space="preserve"> (</w:t>
      </w:r>
      <w:r w:rsidR="00B80592" w:rsidRPr="005253D3">
        <w:rPr>
          <w:rFonts w:ascii="Calibri" w:hAnsi="Calibri" w:cs="Arial"/>
          <w:b w:val="0"/>
          <w:sz w:val="22"/>
          <w:szCs w:val="22"/>
          <w:lang w:val="en-GB"/>
        </w:rPr>
        <w:t>1</w:t>
      </w:r>
      <w:r w:rsidR="00F33609" w:rsidRPr="005253D3">
        <w:rPr>
          <w:rFonts w:ascii="Calibri" w:hAnsi="Calibri" w:cs="Arial"/>
          <w:b w:val="0"/>
          <w:sz w:val="22"/>
          <w:szCs w:val="22"/>
          <w:lang w:val="en-GB"/>
        </w:rPr>
        <w:t xml:space="preserve"> January </w:t>
      </w:r>
      <w:r w:rsidR="00392631">
        <w:rPr>
          <w:rFonts w:ascii="Calibri" w:hAnsi="Calibri" w:cs="Arial"/>
          <w:b w:val="0"/>
          <w:sz w:val="22"/>
          <w:szCs w:val="22"/>
          <w:lang w:val="en-GB"/>
        </w:rPr>
        <w:t>to</w:t>
      </w:r>
      <w:r w:rsidR="00B80592" w:rsidRPr="005253D3">
        <w:rPr>
          <w:rFonts w:ascii="Calibri" w:hAnsi="Calibri" w:cs="Arial"/>
          <w:b w:val="0"/>
          <w:sz w:val="22"/>
          <w:szCs w:val="22"/>
          <w:lang w:val="en-GB"/>
        </w:rPr>
        <w:t xml:space="preserve"> </w:t>
      </w:r>
      <w:r w:rsidR="008F2BB4" w:rsidRPr="008F2BB4">
        <w:rPr>
          <w:rFonts w:ascii="Calibri" w:hAnsi="Calibri" w:cs="Arial"/>
          <w:b w:val="0"/>
          <w:sz w:val="22"/>
          <w:szCs w:val="22"/>
          <w:lang w:val="en-GB"/>
        </w:rPr>
        <w:t xml:space="preserve">30 </w:t>
      </w:r>
      <w:r w:rsidR="00BA6627" w:rsidRPr="00BA6627">
        <w:rPr>
          <w:rFonts w:ascii="Calibri" w:hAnsi="Calibri" w:cs="Arial"/>
          <w:b w:val="0"/>
          <w:sz w:val="22"/>
          <w:szCs w:val="22"/>
          <w:lang w:val="en-GB"/>
        </w:rPr>
        <w:t>September</w:t>
      </w:r>
      <w:r w:rsidR="00BA6627" w:rsidRPr="00BA6627" w:rsidDel="00BA6627">
        <w:rPr>
          <w:rFonts w:ascii="Calibri" w:hAnsi="Calibri" w:cs="Arial"/>
          <w:b w:val="0"/>
          <w:sz w:val="22"/>
          <w:szCs w:val="22"/>
          <w:lang w:val="en-GB"/>
        </w:rPr>
        <w:t xml:space="preserve"> </w:t>
      </w:r>
      <w:r w:rsidR="00CB06E0" w:rsidRPr="005253D3">
        <w:rPr>
          <w:rFonts w:ascii="Calibri" w:hAnsi="Calibri" w:cs="Arial"/>
          <w:b w:val="0"/>
          <w:sz w:val="22"/>
          <w:szCs w:val="22"/>
          <w:lang w:val="en-GB"/>
        </w:rPr>
        <w:t>201</w:t>
      </w:r>
      <w:r w:rsidR="00BD634B">
        <w:rPr>
          <w:rFonts w:ascii="Calibri" w:hAnsi="Calibri" w:cs="Arial"/>
          <w:b w:val="0"/>
          <w:sz w:val="22"/>
          <w:szCs w:val="22"/>
          <w:lang w:val="en-GB"/>
        </w:rPr>
        <w:t>6</w:t>
      </w:r>
      <w:r w:rsidR="00F33609" w:rsidRPr="005253D3">
        <w:rPr>
          <w:rFonts w:ascii="Calibri" w:hAnsi="Calibri" w:cs="Arial"/>
          <w:b w:val="0"/>
          <w:sz w:val="22"/>
          <w:szCs w:val="22"/>
          <w:lang w:val="en-GB"/>
        </w:rPr>
        <w:t>: HRK</w:t>
      </w:r>
      <w:r w:rsidR="00AE09B0" w:rsidRPr="005253D3">
        <w:rPr>
          <w:rFonts w:ascii="Calibri" w:hAnsi="Calibri" w:cs="Arial"/>
          <w:b w:val="0"/>
          <w:sz w:val="22"/>
          <w:szCs w:val="22"/>
          <w:lang w:val="en-GB"/>
        </w:rPr>
        <w:t xml:space="preserve"> </w:t>
      </w:r>
      <w:r w:rsidR="00BA6627" w:rsidRPr="00BA6627">
        <w:rPr>
          <w:rFonts w:ascii="Calibri" w:hAnsi="Calibri" w:cs="Arial"/>
          <w:b w:val="0"/>
          <w:sz w:val="22"/>
          <w:szCs w:val="22"/>
          <w:lang w:val="en-GB"/>
        </w:rPr>
        <w:t xml:space="preserve">98,485 </w:t>
      </w:r>
      <w:r w:rsidR="00AE09B0" w:rsidRPr="005253D3">
        <w:rPr>
          <w:rFonts w:ascii="Calibri" w:hAnsi="Calibri" w:cs="Arial"/>
          <w:b w:val="0"/>
          <w:sz w:val="22"/>
          <w:szCs w:val="22"/>
          <w:lang w:val="en-GB"/>
        </w:rPr>
        <w:t>t</w:t>
      </w:r>
      <w:r w:rsidR="00F33609" w:rsidRPr="005253D3">
        <w:rPr>
          <w:rFonts w:ascii="Calibri" w:hAnsi="Calibri" w:cs="Arial"/>
          <w:b w:val="0"/>
          <w:sz w:val="22"/>
          <w:szCs w:val="22"/>
          <w:lang w:val="en-GB"/>
        </w:rPr>
        <w:t>housand</w:t>
      </w:r>
      <w:r w:rsidR="00AE09B0" w:rsidRPr="005253D3">
        <w:rPr>
          <w:rFonts w:ascii="Calibri" w:hAnsi="Calibri" w:cs="Arial"/>
          <w:b w:val="0"/>
          <w:sz w:val="22"/>
          <w:szCs w:val="22"/>
          <w:lang w:val="en-GB"/>
        </w:rPr>
        <w:t xml:space="preserve">). </w:t>
      </w:r>
    </w:p>
    <w:p w14:paraId="4EFC1798" w14:textId="77777777" w:rsidR="00AE12ED" w:rsidRPr="0034501D" w:rsidRDefault="00AE12ED" w:rsidP="00A23AEB">
      <w:pPr>
        <w:pStyle w:val="T1"/>
        <w:keepNext w:val="0"/>
        <w:spacing w:before="0" w:after="0" w:line="240" w:lineRule="auto"/>
        <w:rPr>
          <w:rFonts w:ascii="Calibri" w:hAnsi="Calibri" w:cs="Arial"/>
          <w:b w:val="0"/>
          <w:sz w:val="22"/>
          <w:szCs w:val="22"/>
          <w:highlight w:val="yellow"/>
          <w:lang w:val="en-GB"/>
        </w:rPr>
      </w:pPr>
    </w:p>
    <w:p w14:paraId="382209FF" w14:textId="77777777" w:rsidR="00F33609" w:rsidRPr="0034501D" w:rsidRDefault="00F33609" w:rsidP="00947E0C">
      <w:pPr>
        <w:tabs>
          <w:tab w:val="left" w:pos="426"/>
        </w:tabs>
        <w:spacing w:after="0" w:line="240" w:lineRule="auto"/>
        <w:jc w:val="both"/>
        <w:rPr>
          <w:rFonts w:eastAsia="Times New Roman" w:cs="Arial"/>
        </w:rPr>
      </w:pPr>
      <w:r w:rsidRPr="0034501D">
        <w:rPr>
          <w:rFonts w:eastAsia="Times New Roman" w:cs="Arial"/>
        </w:rPr>
        <w:t>Further, the difference between interest income and interest collected relates to the amount of loan fees and accrued interest. Loan fees are collected after origination of the loan, but their recognition in the statement of profit or loss and other comprehensive income is performed using effective interest rate method. Accrued interest is recogni</w:t>
      </w:r>
      <w:r w:rsidR="00D757F0">
        <w:rPr>
          <w:rFonts w:eastAsia="Times New Roman" w:cs="Arial"/>
        </w:rPr>
        <w:t>s</w:t>
      </w:r>
      <w:r w:rsidRPr="0034501D">
        <w:rPr>
          <w:rFonts w:eastAsia="Times New Roman" w:cs="Arial"/>
        </w:rPr>
        <w:t>ed in the statement of profit or loss and other comprehensive income on a time basis.</w:t>
      </w:r>
    </w:p>
    <w:p w14:paraId="0CE64512" w14:textId="77777777" w:rsidR="00AE09B0" w:rsidRPr="0034501D" w:rsidRDefault="00AE09B0" w:rsidP="00BF3DE3">
      <w:pPr>
        <w:pStyle w:val="T1"/>
        <w:keepNext w:val="0"/>
        <w:spacing w:before="0" w:after="0" w:line="240" w:lineRule="auto"/>
        <w:rPr>
          <w:lang w:val="en-GB" w:eastAsia="hr-HR"/>
        </w:rPr>
        <w:sectPr w:rsidR="00AE09B0" w:rsidRPr="0034501D" w:rsidSect="001E3C1C">
          <w:footerReference w:type="first" r:id="rId54"/>
          <w:pgSz w:w="16838" w:h="11906" w:orient="landscape" w:code="9"/>
          <w:pgMar w:top="1418" w:right="595" w:bottom="1134" w:left="1418" w:header="709" w:footer="709" w:gutter="0"/>
          <w:cols w:space="708"/>
          <w:titlePg/>
          <w:docGrid w:linePitch="360"/>
        </w:sectPr>
      </w:pPr>
    </w:p>
    <w:p w14:paraId="78F47750" w14:textId="77777777" w:rsidR="00202F35" w:rsidRPr="0034501D" w:rsidRDefault="00202F35" w:rsidP="00202F35">
      <w:pPr>
        <w:tabs>
          <w:tab w:val="left" w:pos="142"/>
        </w:tabs>
        <w:spacing w:after="0" w:line="240" w:lineRule="auto"/>
        <w:jc w:val="both"/>
        <w:rPr>
          <w:rFonts w:eastAsia="Times New Roman" w:cs="Calibri"/>
          <w:b/>
          <w:lang w:eastAsia="hr-HR"/>
        </w:rPr>
      </w:pPr>
    </w:p>
    <w:p w14:paraId="5592259B" w14:textId="77777777" w:rsidR="006379CB" w:rsidRPr="0034501D" w:rsidRDefault="00AE09B0" w:rsidP="00584AE9">
      <w:pPr>
        <w:tabs>
          <w:tab w:val="left" w:pos="142"/>
          <w:tab w:val="left" w:pos="567"/>
        </w:tabs>
        <w:spacing w:after="240" w:line="240" w:lineRule="auto"/>
        <w:jc w:val="both"/>
        <w:rPr>
          <w:rFonts w:eastAsia="Times New Roman" w:cs="Calibri"/>
          <w:lang w:eastAsia="hr-HR"/>
        </w:rPr>
      </w:pPr>
      <w:r w:rsidRPr="0034501D">
        <w:rPr>
          <w:rFonts w:eastAsia="Times New Roman" w:cs="Calibri"/>
          <w:b/>
          <w:lang w:eastAsia="hr-HR"/>
        </w:rPr>
        <w:t xml:space="preserve">5. </w:t>
      </w:r>
      <w:r w:rsidRPr="0034501D">
        <w:rPr>
          <w:rFonts w:eastAsia="Times New Roman" w:cs="Calibri"/>
          <w:b/>
          <w:lang w:eastAsia="hr-HR"/>
        </w:rPr>
        <w:tab/>
      </w:r>
      <w:r w:rsidR="00F33609" w:rsidRPr="0034501D">
        <w:rPr>
          <w:rFonts w:eastAsia="Times New Roman" w:cs="Calibri"/>
          <w:b/>
          <w:lang w:eastAsia="hr-HR"/>
        </w:rPr>
        <w:t>Interest expense</w:t>
      </w:r>
      <w:r w:rsidRPr="0034501D">
        <w:rPr>
          <w:rFonts w:eastAsia="Times New Roman" w:cs="Calibri"/>
          <w:b/>
          <w:lang w:eastAsia="hr-HR"/>
        </w:rPr>
        <w:t xml:space="preserve"> </w:t>
      </w:r>
    </w:p>
    <w:p w14:paraId="62B99ABA" w14:textId="77777777" w:rsidR="00AE09B0" w:rsidRDefault="00F33609" w:rsidP="006379CB">
      <w:pPr>
        <w:spacing w:after="0" w:line="240" w:lineRule="auto"/>
        <w:jc w:val="both"/>
        <w:rPr>
          <w:rFonts w:eastAsia="Times New Roman" w:cs="Calibri"/>
          <w:lang w:eastAsia="hr-HR"/>
        </w:rPr>
      </w:pPr>
      <w:r w:rsidRPr="0034501D">
        <w:rPr>
          <w:rFonts w:eastAsia="Times New Roman" w:cs="Calibri"/>
          <w:lang w:eastAsia="hr-HR"/>
        </w:rPr>
        <w:t>Interest expense by type of payee</w:t>
      </w:r>
      <w:r w:rsidR="00202F35" w:rsidRPr="0034501D">
        <w:rPr>
          <w:rFonts w:eastAsia="Times New Roman" w:cs="Calibri"/>
          <w:lang w:eastAsia="hr-HR"/>
        </w:rPr>
        <w:t>:</w:t>
      </w:r>
    </w:p>
    <w:p w14:paraId="0571AF3C" w14:textId="77777777" w:rsidR="00200D8A" w:rsidRPr="0034501D" w:rsidRDefault="00200D8A" w:rsidP="006379CB">
      <w:pPr>
        <w:spacing w:after="0" w:line="240" w:lineRule="auto"/>
        <w:jc w:val="both"/>
        <w:rPr>
          <w:rFonts w:eastAsia="Times New Roman" w:cs="Calibri"/>
          <w:lang w:eastAsia="hr-HR"/>
        </w:rPr>
      </w:pPr>
    </w:p>
    <w:tbl>
      <w:tblPr>
        <w:tblW w:w="4885" w:type="pct"/>
        <w:tblLayout w:type="fixed"/>
        <w:tblCellMar>
          <w:left w:w="122" w:type="dxa"/>
          <w:right w:w="122" w:type="dxa"/>
        </w:tblCellMar>
        <w:tblLook w:val="0000" w:firstRow="0" w:lastRow="0" w:firstColumn="0" w:lastColumn="0" w:noHBand="0" w:noVBand="0"/>
      </w:tblPr>
      <w:tblGrid>
        <w:gridCol w:w="2438"/>
        <w:gridCol w:w="1505"/>
        <w:gridCol w:w="1506"/>
        <w:gridCol w:w="1506"/>
        <w:gridCol w:w="1506"/>
        <w:gridCol w:w="1505"/>
        <w:gridCol w:w="1506"/>
        <w:gridCol w:w="1506"/>
        <w:gridCol w:w="1506"/>
      </w:tblGrid>
      <w:tr w:rsidR="00C64FCA" w:rsidRPr="00C64FCA" w14:paraId="19C36651" w14:textId="77777777" w:rsidTr="0013539B">
        <w:trPr>
          <w:trHeight w:hRule="exact" w:val="284"/>
        </w:trPr>
        <w:tc>
          <w:tcPr>
            <w:tcW w:w="2438" w:type="dxa"/>
          </w:tcPr>
          <w:p w14:paraId="755C4638" w14:textId="77777777" w:rsidR="00C64FCA" w:rsidRPr="00C64FCA" w:rsidRDefault="00C64FCA" w:rsidP="00C64FCA">
            <w:pPr>
              <w:tabs>
                <w:tab w:val="left" w:pos="-720"/>
              </w:tabs>
              <w:suppressAutoHyphens/>
              <w:spacing w:after="0" w:line="240" w:lineRule="auto"/>
              <w:jc w:val="right"/>
              <w:rPr>
                <w:rFonts w:eastAsia="Times New Roman" w:cs="Arial"/>
                <w:spacing w:val="-3"/>
                <w:sz w:val="20"/>
                <w:szCs w:val="20"/>
              </w:rPr>
            </w:pPr>
          </w:p>
        </w:tc>
        <w:tc>
          <w:tcPr>
            <w:tcW w:w="6023" w:type="dxa"/>
            <w:gridSpan w:val="4"/>
            <w:vAlign w:val="bottom"/>
          </w:tcPr>
          <w:p w14:paraId="6FFEBFBD" w14:textId="77777777" w:rsidR="00C64FCA" w:rsidRPr="00C64FCA" w:rsidRDefault="00C64FCA" w:rsidP="00C64FCA">
            <w:pPr>
              <w:tabs>
                <w:tab w:val="right" w:pos="1202"/>
              </w:tabs>
              <w:spacing w:after="0" w:line="240" w:lineRule="atLeast"/>
              <w:jc w:val="right"/>
              <w:outlineLvl w:val="0"/>
              <w:rPr>
                <w:rFonts w:eastAsia="Times New Roman" w:cs="Arial"/>
                <w:b/>
                <w:sz w:val="20"/>
                <w:szCs w:val="20"/>
              </w:rPr>
            </w:pPr>
            <w:r w:rsidRPr="00C64FCA">
              <w:rPr>
                <w:rFonts w:eastAsia="Times New Roman" w:cs="Arial"/>
                <w:b/>
                <w:sz w:val="20"/>
                <w:szCs w:val="20"/>
              </w:rPr>
              <w:t>Group</w:t>
            </w:r>
            <w:r w:rsidRPr="00C64FCA" w:rsidDel="00833713">
              <w:rPr>
                <w:rFonts w:eastAsia="Times New Roman" w:cs="Arial"/>
                <w:b/>
                <w:sz w:val="20"/>
                <w:szCs w:val="20"/>
              </w:rPr>
              <w:t xml:space="preserve"> </w:t>
            </w:r>
          </w:p>
        </w:tc>
        <w:tc>
          <w:tcPr>
            <w:tcW w:w="6023" w:type="dxa"/>
            <w:gridSpan w:val="4"/>
            <w:vAlign w:val="bottom"/>
          </w:tcPr>
          <w:p w14:paraId="1B0E96FF" w14:textId="77777777" w:rsidR="00C64FCA" w:rsidRPr="00C64FCA" w:rsidRDefault="00C64FCA" w:rsidP="00C64FCA">
            <w:pPr>
              <w:tabs>
                <w:tab w:val="right" w:pos="1202"/>
              </w:tabs>
              <w:spacing w:after="0" w:line="240" w:lineRule="atLeast"/>
              <w:jc w:val="right"/>
              <w:outlineLvl w:val="0"/>
              <w:rPr>
                <w:rFonts w:eastAsia="Times New Roman" w:cs="Arial"/>
                <w:b/>
                <w:sz w:val="20"/>
                <w:szCs w:val="20"/>
              </w:rPr>
            </w:pPr>
            <w:r w:rsidRPr="00C64FCA">
              <w:rPr>
                <w:rFonts w:eastAsia="Times New Roman" w:cs="Arial"/>
                <w:b/>
                <w:sz w:val="20"/>
                <w:szCs w:val="20"/>
              </w:rPr>
              <w:t>Bank</w:t>
            </w:r>
          </w:p>
        </w:tc>
      </w:tr>
      <w:tr w:rsidR="00C64FCA" w:rsidRPr="00C64FCA" w14:paraId="20EB0FA7" w14:textId="77777777" w:rsidTr="0013539B">
        <w:trPr>
          <w:trHeight w:hRule="exact" w:val="284"/>
        </w:trPr>
        <w:tc>
          <w:tcPr>
            <w:tcW w:w="2438" w:type="dxa"/>
          </w:tcPr>
          <w:p w14:paraId="7838F54F" w14:textId="77777777" w:rsidR="00C64FCA" w:rsidRPr="00C64FCA" w:rsidRDefault="00C64FCA" w:rsidP="00C64FCA">
            <w:pPr>
              <w:tabs>
                <w:tab w:val="left" w:pos="-720"/>
              </w:tabs>
              <w:suppressAutoHyphens/>
              <w:spacing w:after="0" w:line="240" w:lineRule="auto"/>
              <w:jc w:val="right"/>
              <w:rPr>
                <w:rFonts w:eastAsia="Times New Roman" w:cs="Arial"/>
                <w:spacing w:val="-3"/>
                <w:sz w:val="20"/>
                <w:szCs w:val="20"/>
              </w:rPr>
            </w:pPr>
          </w:p>
        </w:tc>
        <w:tc>
          <w:tcPr>
            <w:tcW w:w="3011" w:type="dxa"/>
            <w:gridSpan w:val="2"/>
          </w:tcPr>
          <w:p w14:paraId="3C27C745" w14:textId="77777777" w:rsidR="00C64FCA" w:rsidRPr="00C64FCA" w:rsidRDefault="00C64FCA" w:rsidP="00C64FCA">
            <w:pPr>
              <w:tabs>
                <w:tab w:val="right" w:pos="1202"/>
              </w:tabs>
              <w:spacing w:after="0" w:line="240" w:lineRule="auto"/>
              <w:jc w:val="center"/>
              <w:outlineLvl w:val="0"/>
              <w:rPr>
                <w:rFonts w:eastAsia="Times New Roman" w:cs="Arial"/>
                <w:spacing w:val="-2"/>
                <w:sz w:val="20"/>
                <w:szCs w:val="20"/>
              </w:rPr>
            </w:pPr>
            <w:r w:rsidRPr="00C64FCA">
              <w:rPr>
                <w:rFonts w:asciiTheme="minorHAnsi" w:eastAsia="Times New Roman" w:hAnsiTheme="minorHAnsi" w:cs="Arial"/>
                <w:b/>
                <w:bCs/>
                <w:sz w:val="20"/>
                <w:szCs w:val="20"/>
                <w:lang w:val="hr-HR"/>
              </w:rPr>
              <w:t>201</w:t>
            </w:r>
            <w:r>
              <w:rPr>
                <w:rFonts w:asciiTheme="minorHAnsi" w:eastAsia="Times New Roman" w:hAnsiTheme="minorHAnsi" w:cs="Arial"/>
                <w:b/>
                <w:bCs/>
                <w:sz w:val="20"/>
                <w:szCs w:val="20"/>
                <w:lang w:val="hr-HR"/>
              </w:rPr>
              <w:t>7</w:t>
            </w:r>
          </w:p>
        </w:tc>
        <w:tc>
          <w:tcPr>
            <w:tcW w:w="3012" w:type="dxa"/>
            <w:gridSpan w:val="2"/>
          </w:tcPr>
          <w:p w14:paraId="5D146760" w14:textId="77777777" w:rsidR="00C64FCA" w:rsidRPr="00C64FCA" w:rsidRDefault="00C64FCA" w:rsidP="00C64FCA">
            <w:pPr>
              <w:tabs>
                <w:tab w:val="right" w:pos="1202"/>
              </w:tabs>
              <w:spacing w:after="0" w:line="240" w:lineRule="auto"/>
              <w:jc w:val="center"/>
              <w:outlineLvl w:val="0"/>
              <w:rPr>
                <w:rFonts w:eastAsia="Times New Roman" w:cs="Arial"/>
                <w:spacing w:val="-2"/>
                <w:sz w:val="20"/>
                <w:szCs w:val="20"/>
              </w:rPr>
            </w:pPr>
            <w:r w:rsidRPr="00C64FCA">
              <w:rPr>
                <w:rFonts w:asciiTheme="minorHAnsi" w:eastAsia="Times New Roman" w:hAnsiTheme="minorHAnsi" w:cs="Arial"/>
                <w:b/>
                <w:bCs/>
                <w:sz w:val="20"/>
                <w:szCs w:val="20"/>
                <w:lang w:val="hr-HR"/>
              </w:rPr>
              <w:t>201</w:t>
            </w:r>
            <w:r>
              <w:rPr>
                <w:rFonts w:asciiTheme="minorHAnsi" w:eastAsia="Times New Roman" w:hAnsiTheme="minorHAnsi" w:cs="Arial"/>
                <w:b/>
                <w:bCs/>
                <w:sz w:val="20"/>
                <w:szCs w:val="20"/>
                <w:lang w:val="hr-HR"/>
              </w:rPr>
              <w:t>6</w:t>
            </w:r>
          </w:p>
        </w:tc>
        <w:tc>
          <w:tcPr>
            <w:tcW w:w="3011" w:type="dxa"/>
            <w:gridSpan w:val="2"/>
          </w:tcPr>
          <w:p w14:paraId="72CEA863" w14:textId="77777777" w:rsidR="00C64FCA" w:rsidRPr="00C64FCA" w:rsidRDefault="00C64FCA" w:rsidP="00C64FCA">
            <w:pPr>
              <w:tabs>
                <w:tab w:val="right" w:pos="1202"/>
              </w:tabs>
              <w:spacing w:after="0" w:line="240" w:lineRule="auto"/>
              <w:jc w:val="center"/>
              <w:outlineLvl w:val="0"/>
              <w:rPr>
                <w:rFonts w:eastAsia="Times New Roman" w:cs="Arial"/>
                <w:spacing w:val="-2"/>
                <w:sz w:val="20"/>
                <w:szCs w:val="20"/>
              </w:rPr>
            </w:pPr>
            <w:r w:rsidRPr="00C64FCA">
              <w:rPr>
                <w:rFonts w:asciiTheme="minorHAnsi" w:eastAsia="Times New Roman" w:hAnsiTheme="minorHAnsi" w:cs="Arial"/>
                <w:b/>
                <w:bCs/>
                <w:sz w:val="20"/>
                <w:szCs w:val="20"/>
                <w:lang w:val="hr-HR"/>
              </w:rPr>
              <w:t>201</w:t>
            </w:r>
            <w:r>
              <w:rPr>
                <w:rFonts w:asciiTheme="minorHAnsi" w:eastAsia="Times New Roman" w:hAnsiTheme="minorHAnsi" w:cs="Arial"/>
                <w:b/>
                <w:bCs/>
                <w:sz w:val="20"/>
                <w:szCs w:val="20"/>
                <w:lang w:val="hr-HR"/>
              </w:rPr>
              <w:t>7</w:t>
            </w:r>
          </w:p>
        </w:tc>
        <w:tc>
          <w:tcPr>
            <w:tcW w:w="3012" w:type="dxa"/>
            <w:gridSpan w:val="2"/>
          </w:tcPr>
          <w:p w14:paraId="7D1EC7FC" w14:textId="77777777" w:rsidR="00C64FCA" w:rsidRPr="00C64FCA" w:rsidRDefault="00C64FCA" w:rsidP="00C64FCA">
            <w:pPr>
              <w:tabs>
                <w:tab w:val="right" w:pos="1202"/>
              </w:tabs>
              <w:spacing w:after="0" w:line="240" w:lineRule="auto"/>
              <w:jc w:val="center"/>
              <w:outlineLvl w:val="0"/>
              <w:rPr>
                <w:rFonts w:eastAsia="Times New Roman" w:cs="Arial"/>
                <w:spacing w:val="-2"/>
                <w:sz w:val="20"/>
                <w:szCs w:val="20"/>
              </w:rPr>
            </w:pPr>
            <w:r w:rsidRPr="00C64FCA">
              <w:rPr>
                <w:rFonts w:asciiTheme="minorHAnsi" w:eastAsia="Times New Roman" w:hAnsiTheme="minorHAnsi" w:cs="Arial"/>
                <w:b/>
                <w:bCs/>
                <w:sz w:val="20"/>
                <w:szCs w:val="20"/>
                <w:lang w:val="hr-HR"/>
              </w:rPr>
              <w:t>201</w:t>
            </w:r>
            <w:r>
              <w:rPr>
                <w:rFonts w:asciiTheme="minorHAnsi" w:eastAsia="Times New Roman" w:hAnsiTheme="minorHAnsi" w:cs="Arial"/>
                <w:b/>
                <w:bCs/>
                <w:sz w:val="20"/>
                <w:szCs w:val="20"/>
                <w:lang w:val="hr-HR"/>
              </w:rPr>
              <w:t>6</w:t>
            </w:r>
          </w:p>
        </w:tc>
      </w:tr>
      <w:tr w:rsidR="00C64FCA" w:rsidRPr="00C64FCA" w14:paraId="6D30E401" w14:textId="77777777" w:rsidTr="0013539B">
        <w:trPr>
          <w:trHeight w:val="442"/>
        </w:trPr>
        <w:tc>
          <w:tcPr>
            <w:tcW w:w="2438" w:type="dxa"/>
          </w:tcPr>
          <w:p w14:paraId="74C42BF1" w14:textId="77777777" w:rsidR="00C64FCA" w:rsidRPr="00C64FCA" w:rsidRDefault="00C64FCA" w:rsidP="00C64FCA">
            <w:pPr>
              <w:tabs>
                <w:tab w:val="left" w:pos="-720"/>
              </w:tabs>
              <w:suppressAutoHyphens/>
              <w:spacing w:after="0" w:line="240" w:lineRule="auto"/>
              <w:jc w:val="right"/>
              <w:rPr>
                <w:rFonts w:eastAsia="Times New Roman" w:cs="Arial"/>
                <w:spacing w:val="-3"/>
                <w:sz w:val="20"/>
                <w:szCs w:val="20"/>
              </w:rPr>
            </w:pPr>
          </w:p>
        </w:tc>
        <w:tc>
          <w:tcPr>
            <w:tcW w:w="1505" w:type="dxa"/>
            <w:vAlign w:val="center"/>
          </w:tcPr>
          <w:p w14:paraId="7BA8B5C6" w14:textId="77777777" w:rsidR="00337B86" w:rsidRPr="00337B86" w:rsidRDefault="00C64FCA" w:rsidP="00337B86">
            <w:pPr>
              <w:spacing w:after="0" w:line="240" w:lineRule="auto"/>
              <w:jc w:val="center"/>
              <w:outlineLvl w:val="0"/>
              <w:rPr>
                <w:rFonts w:eastAsia="Times New Roman" w:cs="Calibri"/>
                <w:bCs/>
                <w:sz w:val="20"/>
                <w:szCs w:val="20"/>
              </w:rPr>
            </w:pPr>
            <w:r w:rsidRPr="00C64FCA">
              <w:rPr>
                <w:rFonts w:eastAsia="Times New Roman" w:cs="Calibri"/>
                <w:bCs/>
                <w:sz w:val="20"/>
                <w:szCs w:val="20"/>
              </w:rPr>
              <w:t xml:space="preserve">Current period </w:t>
            </w:r>
            <w:r w:rsidR="00337B86" w:rsidRPr="00337B86">
              <w:rPr>
                <w:rFonts w:eastAsia="Times New Roman" w:cs="Calibri"/>
                <w:bCs/>
                <w:sz w:val="20"/>
                <w:szCs w:val="20"/>
              </w:rPr>
              <w:t xml:space="preserve">July 1 – </w:t>
            </w:r>
          </w:p>
          <w:p w14:paraId="5C64B1D3" w14:textId="58F0A408" w:rsidR="00C64FCA" w:rsidRPr="00C64FCA" w:rsidRDefault="00337B86" w:rsidP="00337B86">
            <w:pPr>
              <w:spacing w:after="0" w:line="240" w:lineRule="auto"/>
              <w:jc w:val="center"/>
              <w:outlineLvl w:val="0"/>
              <w:rPr>
                <w:rFonts w:eastAsia="Times New Roman" w:cs="Calibri"/>
                <w:bCs/>
                <w:sz w:val="20"/>
                <w:szCs w:val="20"/>
              </w:rPr>
            </w:pPr>
            <w:r w:rsidRPr="00337B86">
              <w:rPr>
                <w:rFonts w:eastAsia="Times New Roman" w:cs="Calibri"/>
                <w:bCs/>
                <w:sz w:val="20"/>
                <w:szCs w:val="20"/>
              </w:rPr>
              <w:t>September 30</w:t>
            </w:r>
          </w:p>
        </w:tc>
        <w:tc>
          <w:tcPr>
            <w:tcW w:w="1506" w:type="dxa"/>
            <w:vAlign w:val="center"/>
          </w:tcPr>
          <w:p w14:paraId="1E06C1D3" w14:textId="77777777" w:rsidR="00C64FCA" w:rsidRPr="00C64FCA" w:rsidRDefault="00C64FCA" w:rsidP="00C64FCA">
            <w:pPr>
              <w:spacing w:after="0" w:line="301" w:lineRule="exact"/>
              <w:jc w:val="center"/>
              <w:outlineLvl w:val="0"/>
              <w:rPr>
                <w:rFonts w:eastAsia="Times New Roman" w:cs="Calibri"/>
                <w:bCs/>
                <w:sz w:val="20"/>
                <w:szCs w:val="20"/>
              </w:rPr>
            </w:pPr>
            <w:r w:rsidRPr="00C64FCA">
              <w:rPr>
                <w:rFonts w:eastAsia="Times New Roman" w:cs="Calibri"/>
                <w:bCs/>
                <w:sz w:val="20"/>
                <w:szCs w:val="20"/>
              </w:rPr>
              <w:t>Cumulatively</w:t>
            </w:r>
          </w:p>
          <w:p w14:paraId="04466AC9" w14:textId="77777777" w:rsidR="00C64FCA" w:rsidRPr="00C64FCA" w:rsidRDefault="00C64FCA" w:rsidP="00C64FCA">
            <w:pPr>
              <w:spacing w:after="0" w:line="240" w:lineRule="auto"/>
              <w:jc w:val="center"/>
              <w:outlineLvl w:val="0"/>
              <w:rPr>
                <w:rFonts w:eastAsia="Times New Roman" w:cs="Calibri"/>
                <w:bCs/>
                <w:sz w:val="20"/>
                <w:szCs w:val="20"/>
              </w:rPr>
            </w:pPr>
            <w:r w:rsidRPr="00C64FCA">
              <w:rPr>
                <w:rFonts w:eastAsia="Times New Roman" w:cs="Calibri"/>
                <w:bCs/>
                <w:sz w:val="20"/>
                <w:szCs w:val="20"/>
              </w:rPr>
              <w:t>January 1 –</w:t>
            </w:r>
          </w:p>
          <w:p w14:paraId="1C7B5E2A" w14:textId="22D1B2E1" w:rsidR="00C64FCA" w:rsidRPr="00C64FCA" w:rsidRDefault="00337B86" w:rsidP="00C64FCA">
            <w:pPr>
              <w:spacing w:after="0" w:line="240" w:lineRule="auto"/>
              <w:jc w:val="center"/>
              <w:outlineLvl w:val="0"/>
              <w:rPr>
                <w:rFonts w:eastAsia="Times New Roman" w:cs="Calibri"/>
                <w:bCs/>
                <w:sz w:val="20"/>
                <w:szCs w:val="20"/>
              </w:rPr>
            </w:pPr>
            <w:r w:rsidRPr="00337B86">
              <w:rPr>
                <w:rFonts w:eastAsia="Times New Roman" w:cs="Calibri"/>
                <w:bCs/>
                <w:sz w:val="20"/>
                <w:szCs w:val="20"/>
              </w:rPr>
              <w:t>September</w:t>
            </w:r>
            <w:r w:rsidR="00C64FCA" w:rsidRPr="00C64FCA">
              <w:rPr>
                <w:rFonts w:eastAsia="Times New Roman" w:cs="Calibri"/>
                <w:bCs/>
                <w:sz w:val="20"/>
                <w:szCs w:val="20"/>
              </w:rPr>
              <w:t xml:space="preserve"> 30</w:t>
            </w:r>
          </w:p>
        </w:tc>
        <w:tc>
          <w:tcPr>
            <w:tcW w:w="1506" w:type="dxa"/>
            <w:vAlign w:val="center"/>
          </w:tcPr>
          <w:p w14:paraId="0A6EDF9D" w14:textId="77777777" w:rsidR="00337B86" w:rsidRPr="00337B86" w:rsidRDefault="00C64FCA" w:rsidP="00337B86">
            <w:pPr>
              <w:spacing w:after="0" w:line="240" w:lineRule="auto"/>
              <w:jc w:val="center"/>
              <w:outlineLvl w:val="0"/>
              <w:rPr>
                <w:rFonts w:eastAsia="Times New Roman" w:cs="Calibri"/>
                <w:bCs/>
                <w:sz w:val="20"/>
                <w:szCs w:val="20"/>
              </w:rPr>
            </w:pPr>
            <w:r w:rsidRPr="00C64FCA">
              <w:rPr>
                <w:rFonts w:eastAsia="Times New Roman" w:cs="Calibri"/>
                <w:bCs/>
                <w:sz w:val="20"/>
                <w:szCs w:val="20"/>
              </w:rPr>
              <w:t xml:space="preserve">Current period </w:t>
            </w:r>
            <w:r w:rsidR="00337B86" w:rsidRPr="00337B86">
              <w:rPr>
                <w:rFonts w:eastAsia="Times New Roman" w:cs="Calibri"/>
                <w:bCs/>
                <w:sz w:val="20"/>
                <w:szCs w:val="20"/>
              </w:rPr>
              <w:t xml:space="preserve">July 1 – </w:t>
            </w:r>
          </w:p>
          <w:p w14:paraId="5748037C" w14:textId="596B6866" w:rsidR="00C64FCA" w:rsidRPr="00C64FCA" w:rsidRDefault="00337B86" w:rsidP="00337B86">
            <w:pPr>
              <w:spacing w:after="0" w:line="240" w:lineRule="auto"/>
              <w:jc w:val="center"/>
              <w:outlineLvl w:val="0"/>
              <w:rPr>
                <w:rFonts w:eastAsia="Times New Roman" w:cs="Calibri"/>
                <w:bCs/>
                <w:sz w:val="20"/>
                <w:szCs w:val="20"/>
              </w:rPr>
            </w:pPr>
            <w:r w:rsidRPr="00337B86">
              <w:rPr>
                <w:rFonts w:eastAsia="Times New Roman" w:cs="Calibri"/>
                <w:bCs/>
                <w:sz w:val="20"/>
                <w:szCs w:val="20"/>
              </w:rPr>
              <w:t>September 30</w:t>
            </w:r>
          </w:p>
        </w:tc>
        <w:tc>
          <w:tcPr>
            <w:tcW w:w="1506" w:type="dxa"/>
            <w:vAlign w:val="center"/>
          </w:tcPr>
          <w:p w14:paraId="00BA843E" w14:textId="77777777" w:rsidR="00C64FCA" w:rsidRPr="00C64FCA" w:rsidRDefault="00C64FCA" w:rsidP="00C64FCA">
            <w:pPr>
              <w:spacing w:after="0" w:line="301" w:lineRule="exact"/>
              <w:jc w:val="center"/>
              <w:outlineLvl w:val="0"/>
              <w:rPr>
                <w:rFonts w:eastAsia="Times New Roman" w:cs="Calibri"/>
                <w:bCs/>
                <w:sz w:val="20"/>
                <w:szCs w:val="20"/>
              </w:rPr>
            </w:pPr>
            <w:r w:rsidRPr="00C64FCA">
              <w:rPr>
                <w:rFonts w:eastAsia="Times New Roman" w:cs="Calibri"/>
                <w:bCs/>
                <w:sz w:val="20"/>
                <w:szCs w:val="20"/>
              </w:rPr>
              <w:t>Cumulatively</w:t>
            </w:r>
          </w:p>
          <w:p w14:paraId="0E6FE9FC" w14:textId="77777777" w:rsidR="00C64FCA" w:rsidRPr="00C64FCA" w:rsidRDefault="00C64FCA" w:rsidP="00C64FCA">
            <w:pPr>
              <w:spacing w:after="0" w:line="240" w:lineRule="auto"/>
              <w:jc w:val="center"/>
              <w:outlineLvl w:val="0"/>
              <w:rPr>
                <w:rFonts w:eastAsia="Times New Roman" w:cs="Calibri"/>
                <w:bCs/>
                <w:sz w:val="20"/>
                <w:szCs w:val="20"/>
              </w:rPr>
            </w:pPr>
            <w:r w:rsidRPr="00C64FCA">
              <w:rPr>
                <w:rFonts w:eastAsia="Times New Roman" w:cs="Calibri"/>
                <w:bCs/>
                <w:sz w:val="20"/>
                <w:szCs w:val="20"/>
              </w:rPr>
              <w:t>January 1 –</w:t>
            </w:r>
          </w:p>
          <w:p w14:paraId="76702982" w14:textId="0890FAEF" w:rsidR="00C64FCA" w:rsidRPr="00C64FCA" w:rsidRDefault="00337B86" w:rsidP="00C64FCA">
            <w:pPr>
              <w:spacing w:after="0" w:line="240" w:lineRule="auto"/>
              <w:jc w:val="center"/>
              <w:outlineLvl w:val="0"/>
              <w:rPr>
                <w:rFonts w:eastAsia="Times New Roman" w:cs="Calibri"/>
                <w:bCs/>
                <w:sz w:val="20"/>
                <w:szCs w:val="20"/>
              </w:rPr>
            </w:pPr>
            <w:r w:rsidRPr="00337B86">
              <w:rPr>
                <w:rFonts w:eastAsia="Times New Roman" w:cs="Calibri"/>
                <w:bCs/>
                <w:sz w:val="20"/>
                <w:szCs w:val="20"/>
              </w:rPr>
              <w:t>September</w:t>
            </w:r>
            <w:r w:rsidR="00C64FCA" w:rsidRPr="00C64FCA">
              <w:rPr>
                <w:rFonts w:eastAsia="Times New Roman" w:cs="Calibri"/>
                <w:bCs/>
                <w:sz w:val="20"/>
                <w:szCs w:val="20"/>
              </w:rPr>
              <w:t xml:space="preserve"> 30</w:t>
            </w:r>
          </w:p>
        </w:tc>
        <w:tc>
          <w:tcPr>
            <w:tcW w:w="1505" w:type="dxa"/>
            <w:vAlign w:val="center"/>
          </w:tcPr>
          <w:p w14:paraId="1180ED99" w14:textId="77777777" w:rsidR="00337B86" w:rsidRPr="00337B86" w:rsidRDefault="00C64FCA" w:rsidP="00337B86">
            <w:pPr>
              <w:spacing w:after="0" w:line="240" w:lineRule="auto"/>
              <w:jc w:val="center"/>
              <w:outlineLvl w:val="0"/>
              <w:rPr>
                <w:rFonts w:eastAsia="Times New Roman" w:cs="Calibri"/>
                <w:bCs/>
                <w:sz w:val="20"/>
                <w:szCs w:val="20"/>
              </w:rPr>
            </w:pPr>
            <w:r w:rsidRPr="00C64FCA">
              <w:rPr>
                <w:rFonts w:eastAsia="Times New Roman" w:cs="Calibri"/>
                <w:bCs/>
                <w:sz w:val="20"/>
                <w:szCs w:val="20"/>
              </w:rPr>
              <w:t xml:space="preserve">Current period </w:t>
            </w:r>
            <w:r w:rsidR="00337B86" w:rsidRPr="00337B86">
              <w:rPr>
                <w:rFonts w:eastAsia="Times New Roman" w:cs="Calibri"/>
                <w:bCs/>
                <w:sz w:val="20"/>
                <w:szCs w:val="20"/>
              </w:rPr>
              <w:t xml:space="preserve">July 1 – </w:t>
            </w:r>
          </w:p>
          <w:p w14:paraId="2A40AC17" w14:textId="510EC577" w:rsidR="00C64FCA" w:rsidRPr="00C64FCA" w:rsidRDefault="00337B86" w:rsidP="00337B86">
            <w:pPr>
              <w:spacing w:after="0" w:line="240" w:lineRule="auto"/>
              <w:jc w:val="center"/>
              <w:outlineLvl w:val="0"/>
              <w:rPr>
                <w:rFonts w:eastAsia="Times New Roman" w:cs="Calibri"/>
                <w:bCs/>
                <w:sz w:val="20"/>
                <w:szCs w:val="20"/>
              </w:rPr>
            </w:pPr>
            <w:r w:rsidRPr="00337B86">
              <w:rPr>
                <w:rFonts w:eastAsia="Times New Roman" w:cs="Calibri"/>
                <w:bCs/>
                <w:sz w:val="20"/>
                <w:szCs w:val="20"/>
              </w:rPr>
              <w:t>September 30</w:t>
            </w:r>
          </w:p>
        </w:tc>
        <w:tc>
          <w:tcPr>
            <w:tcW w:w="1506" w:type="dxa"/>
            <w:vAlign w:val="center"/>
          </w:tcPr>
          <w:p w14:paraId="0E16CA5F" w14:textId="77777777" w:rsidR="00C64FCA" w:rsidRPr="00C64FCA" w:rsidRDefault="00C64FCA" w:rsidP="00C64FCA">
            <w:pPr>
              <w:spacing w:after="0" w:line="301" w:lineRule="exact"/>
              <w:jc w:val="center"/>
              <w:outlineLvl w:val="0"/>
              <w:rPr>
                <w:rFonts w:eastAsia="Times New Roman" w:cs="Calibri"/>
                <w:bCs/>
                <w:sz w:val="20"/>
                <w:szCs w:val="20"/>
              </w:rPr>
            </w:pPr>
            <w:r w:rsidRPr="00C64FCA">
              <w:rPr>
                <w:rFonts w:eastAsia="Times New Roman" w:cs="Calibri"/>
                <w:bCs/>
                <w:sz w:val="20"/>
                <w:szCs w:val="20"/>
              </w:rPr>
              <w:t>Cumulatively</w:t>
            </w:r>
          </w:p>
          <w:p w14:paraId="1B5E5417" w14:textId="77777777" w:rsidR="00C64FCA" w:rsidRPr="00C64FCA" w:rsidRDefault="00C64FCA" w:rsidP="00C64FCA">
            <w:pPr>
              <w:spacing w:after="0" w:line="240" w:lineRule="auto"/>
              <w:jc w:val="center"/>
              <w:outlineLvl w:val="0"/>
              <w:rPr>
                <w:rFonts w:eastAsia="Times New Roman" w:cs="Calibri"/>
                <w:bCs/>
                <w:sz w:val="20"/>
                <w:szCs w:val="20"/>
              </w:rPr>
            </w:pPr>
            <w:r w:rsidRPr="00C64FCA">
              <w:rPr>
                <w:rFonts w:eastAsia="Times New Roman" w:cs="Calibri"/>
                <w:bCs/>
                <w:sz w:val="20"/>
                <w:szCs w:val="20"/>
              </w:rPr>
              <w:t>January 1 –</w:t>
            </w:r>
          </w:p>
          <w:p w14:paraId="0CCCA4F7" w14:textId="3EBA3FC5" w:rsidR="00C64FCA" w:rsidRPr="00C64FCA" w:rsidRDefault="00337B86" w:rsidP="00C64FCA">
            <w:pPr>
              <w:spacing w:after="0" w:line="240" w:lineRule="auto"/>
              <w:jc w:val="center"/>
              <w:outlineLvl w:val="0"/>
              <w:rPr>
                <w:rFonts w:eastAsia="Times New Roman" w:cs="Calibri"/>
                <w:bCs/>
                <w:sz w:val="20"/>
                <w:szCs w:val="20"/>
              </w:rPr>
            </w:pPr>
            <w:r w:rsidRPr="00337B86">
              <w:rPr>
                <w:rFonts w:eastAsia="Times New Roman" w:cs="Calibri"/>
                <w:bCs/>
                <w:sz w:val="20"/>
                <w:szCs w:val="20"/>
              </w:rPr>
              <w:t>September</w:t>
            </w:r>
            <w:r w:rsidRPr="00337B86" w:rsidDel="00337B86">
              <w:rPr>
                <w:rFonts w:eastAsia="Times New Roman" w:cs="Calibri"/>
                <w:bCs/>
                <w:sz w:val="20"/>
                <w:szCs w:val="20"/>
              </w:rPr>
              <w:t xml:space="preserve"> </w:t>
            </w:r>
            <w:r w:rsidR="00C64FCA" w:rsidRPr="00C64FCA">
              <w:rPr>
                <w:rFonts w:eastAsia="Times New Roman" w:cs="Calibri"/>
                <w:bCs/>
                <w:sz w:val="20"/>
                <w:szCs w:val="20"/>
              </w:rPr>
              <w:t>30</w:t>
            </w:r>
          </w:p>
        </w:tc>
        <w:tc>
          <w:tcPr>
            <w:tcW w:w="1506" w:type="dxa"/>
            <w:vAlign w:val="center"/>
          </w:tcPr>
          <w:p w14:paraId="5C353473" w14:textId="77777777" w:rsidR="00337B86" w:rsidRPr="00337B86" w:rsidRDefault="00C64FCA" w:rsidP="00337B86">
            <w:pPr>
              <w:spacing w:after="0" w:line="240" w:lineRule="auto"/>
              <w:jc w:val="center"/>
              <w:outlineLvl w:val="0"/>
              <w:rPr>
                <w:rFonts w:eastAsia="Times New Roman" w:cs="Calibri"/>
                <w:bCs/>
                <w:sz w:val="20"/>
                <w:szCs w:val="20"/>
              </w:rPr>
            </w:pPr>
            <w:r w:rsidRPr="00C64FCA">
              <w:rPr>
                <w:rFonts w:eastAsia="Times New Roman" w:cs="Calibri"/>
                <w:bCs/>
                <w:sz w:val="20"/>
                <w:szCs w:val="20"/>
              </w:rPr>
              <w:t xml:space="preserve">Current period </w:t>
            </w:r>
            <w:r w:rsidR="00337B86" w:rsidRPr="00337B86">
              <w:rPr>
                <w:rFonts w:eastAsia="Times New Roman" w:cs="Calibri"/>
                <w:bCs/>
                <w:sz w:val="20"/>
                <w:szCs w:val="20"/>
              </w:rPr>
              <w:t xml:space="preserve">July 1 – </w:t>
            </w:r>
          </w:p>
          <w:p w14:paraId="5AF24338" w14:textId="2B834B24" w:rsidR="00C64FCA" w:rsidRPr="00C64FCA" w:rsidRDefault="00337B86" w:rsidP="00337B86">
            <w:pPr>
              <w:spacing w:after="0" w:line="240" w:lineRule="auto"/>
              <w:jc w:val="center"/>
              <w:outlineLvl w:val="0"/>
              <w:rPr>
                <w:rFonts w:eastAsia="Times New Roman" w:cs="Calibri"/>
                <w:bCs/>
                <w:sz w:val="20"/>
                <w:szCs w:val="20"/>
              </w:rPr>
            </w:pPr>
            <w:r w:rsidRPr="00337B86">
              <w:rPr>
                <w:rFonts w:eastAsia="Times New Roman" w:cs="Calibri"/>
                <w:bCs/>
                <w:sz w:val="20"/>
                <w:szCs w:val="20"/>
              </w:rPr>
              <w:t>September 30</w:t>
            </w:r>
          </w:p>
        </w:tc>
        <w:tc>
          <w:tcPr>
            <w:tcW w:w="1506" w:type="dxa"/>
            <w:vAlign w:val="center"/>
          </w:tcPr>
          <w:p w14:paraId="1B099795" w14:textId="77777777" w:rsidR="00C64FCA" w:rsidRPr="00C64FCA" w:rsidRDefault="00C64FCA" w:rsidP="00C64FCA">
            <w:pPr>
              <w:spacing w:after="0" w:line="301" w:lineRule="exact"/>
              <w:jc w:val="center"/>
              <w:outlineLvl w:val="0"/>
              <w:rPr>
                <w:rFonts w:eastAsia="Times New Roman" w:cs="Calibri"/>
                <w:bCs/>
                <w:sz w:val="20"/>
                <w:szCs w:val="20"/>
              </w:rPr>
            </w:pPr>
            <w:r w:rsidRPr="00C64FCA">
              <w:rPr>
                <w:rFonts w:eastAsia="Times New Roman" w:cs="Calibri"/>
                <w:bCs/>
                <w:sz w:val="20"/>
                <w:szCs w:val="20"/>
              </w:rPr>
              <w:t>Cumulatively</w:t>
            </w:r>
          </w:p>
          <w:p w14:paraId="5A08F99B" w14:textId="77777777" w:rsidR="00C64FCA" w:rsidRPr="00C64FCA" w:rsidRDefault="00C64FCA" w:rsidP="00C64FCA">
            <w:pPr>
              <w:spacing w:after="0" w:line="240" w:lineRule="auto"/>
              <w:jc w:val="center"/>
              <w:outlineLvl w:val="0"/>
              <w:rPr>
                <w:rFonts w:eastAsia="Times New Roman" w:cs="Calibri"/>
                <w:bCs/>
                <w:sz w:val="20"/>
                <w:szCs w:val="20"/>
              </w:rPr>
            </w:pPr>
            <w:r w:rsidRPr="00C64FCA">
              <w:rPr>
                <w:rFonts w:eastAsia="Times New Roman" w:cs="Calibri"/>
                <w:bCs/>
                <w:sz w:val="20"/>
                <w:szCs w:val="20"/>
              </w:rPr>
              <w:t>January 1 –</w:t>
            </w:r>
          </w:p>
          <w:p w14:paraId="255C9E48" w14:textId="66E67DEA" w:rsidR="00C64FCA" w:rsidRPr="00C64FCA" w:rsidRDefault="00337B86" w:rsidP="00C64FCA">
            <w:pPr>
              <w:spacing w:after="0" w:line="240" w:lineRule="auto"/>
              <w:jc w:val="center"/>
              <w:outlineLvl w:val="0"/>
              <w:rPr>
                <w:rFonts w:eastAsia="Times New Roman" w:cs="Calibri"/>
                <w:bCs/>
                <w:sz w:val="20"/>
                <w:szCs w:val="20"/>
              </w:rPr>
            </w:pPr>
            <w:r w:rsidRPr="00337B86">
              <w:rPr>
                <w:rFonts w:eastAsia="Times New Roman" w:cs="Calibri"/>
                <w:bCs/>
                <w:sz w:val="20"/>
                <w:szCs w:val="20"/>
              </w:rPr>
              <w:t>September</w:t>
            </w:r>
            <w:r w:rsidR="00C64FCA" w:rsidRPr="00C64FCA">
              <w:rPr>
                <w:rFonts w:eastAsia="Times New Roman" w:cs="Calibri"/>
                <w:bCs/>
                <w:sz w:val="20"/>
                <w:szCs w:val="20"/>
              </w:rPr>
              <w:t xml:space="preserve"> 30</w:t>
            </w:r>
          </w:p>
        </w:tc>
      </w:tr>
      <w:tr w:rsidR="00C64FCA" w:rsidRPr="00C64FCA" w14:paraId="2F582B63" w14:textId="77777777" w:rsidTr="0013539B">
        <w:tblPrEx>
          <w:tblCellMar>
            <w:left w:w="108" w:type="dxa"/>
            <w:right w:w="108" w:type="dxa"/>
          </w:tblCellMar>
        </w:tblPrEx>
        <w:trPr>
          <w:trHeight w:hRule="exact" w:val="57"/>
        </w:trPr>
        <w:tc>
          <w:tcPr>
            <w:tcW w:w="2438" w:type="dxa"/>
          </w:tcPr>
          <w:p w14:paraId="07A7EEE1" w14:textId="77777777" w:rsidR="00C64FCA" w:rsidRPr="00C64FCA" w:rsidRDefault="00C64FCA" w:rsidP="00C64FCA">
            <w:pPr>
              <w:tabs>
                <w:tab w:val="right" w:pos="1202"/>
              </w:tabs>
              <w:spacing w:after="0" w:line="301" w:lineRule="exact"/>
              <w:outlineLvl w:val="0"/>
              <w:rPr>
                <w:rFonts w:eastAsia="Times New Roman" w:cs="Arial"/>
                <w:sz w:val="20"/>
                <w:szCs w:val="20"/>
              </w:rPr>
            </w:pPr>
          </w:p>
        </w:tc>
        <w:tc>
          <w:tcPr>
            <w:tcW w:w="1505" w:type="dxa"/>
          </w:tcPr>
          <w:p w14:paraId="5083F299" w14:textId="77777777" w:rsidR="00C64FCA" w:rsidRPr="00C64FCA" w:rsidRDefault="00C64FCA" w:rsidP="00C64FCA">
            <w:pPr>
              <w:tabs>
                <w:tab w:val="right" w:pos="1202"/>
              </w:tabs>
              <w:spacing w:after="0" w:line="301" w:lineRule="exact"/>
              <w:jc w:val="right"/>
              <w:outlineLvl w:val="0"/>
              <w:rPr>
                <w:rFonts w:eastAsia="Times New Roman" w:cs="Arial"/>
                <w:sz w:val="20"/>
                <w:szCs w:val="20"/>
              </w:rPr>
            </w:pPr>
          </w:p>
        </w:tc>
        <w:tc>
          <w:tcPr>
            <w:tcW w:w="1506" w:type="dxa"/>
            <w:vAlign w:val="bottom"/>
          </w:tcPr>
          <w:p w14:paraId="70FEAEA5" w14:textId="77777777" w:rsidR="00C64FCA" w:rsidRPr="00C64FCA" w:rsidRDefault="00C64FCA" w:rsidP="00C64FCA">
            <w:pPr>
              <w:tabs>
                <w:tab w:val="right" w:pos="1202"/>
              </w:tabs>
              <w:spacing w:after="0" w:line="301" w:lineRule="exact"/>
              <w:jc w:val="right"/>
              <w:outlineLvl w:val="0"/>
              <w:rPr>
                <w:rFonts w:eastAsia="Times New Roman" w:cs="Arial"/>
                <w:sz w:val="20"/>
                <w:szCs w:val="20"/>
              </w:rPr>
            </w:pPr>
          </w:p>
        </w:tc>
        <w:tc>
          <w:tcPr>
            <w:tcW w:w="1506" w:type="dxa"/>
            <w:vAlign w:val="bottom"/>
          </w:tcPr>
          <w:p w14:paraId="757EF2B0" w14:textId="77777777" w:rsidR="00C64FCA" w:rsidRPr="00C64FCA" w:rsidRDefault="00C64FCA" w:rsidP="00C64FCA">
            <w:pPr>
              <w:tabs>
                <w:tab w:val="right" w:pos="1202"/>
              </w:tabs>
              <w:spacing w:after="0" w:line="301" w:lineRule="exact"/>
              <w:jc w:val="right"/>
              <w:outlineLvl w:val="0"/>
              <w:rPr>
                <w:rFonts w:eastAsia="Times New Roman" w:cs="Arial"/>
                <w:sz w:val="20"/>
                <w:szCs w:val="20"/>
              </w:rPr>
            </w:pPr>
          </w:p>
        </w:tc>
        <w:tc>
          <w:tcPr>
            <w:tcW w:w="1506" w:type="dxa"/>
          </w:tcPr>
          <w:p w14:paraId="223148CB" w14:textId="77777777" w:rsidR="00C64FCA" w:rsidRPr="00C64FCA" w:rsidRDefault="00C64FCA" w:rsidP="00C64FCA">
            <w:pPr>
              <w:tabs>
                <w:tab w:val="right" w:pos="1202"/>
              </w:tabs>
              <w:spacing w:after="0" w:line="301" w:lineRule="exact"/>
              <w:jc w:val="right"/>
              <w:outlineLvl w:val="0"/>
              <w:rPr>
                <w:rFonts w:eastAsia="Times New Roman" w:cs="Arial"/>
                <w:sz w:val="20"/>
                <w:szCs w:val="20"/>
              </w:rPr>
            </w:pPr>
          </w:p>
        </w:tc>
        <w:tc>
          <w:tcPr>
            <w:tcW w:w="1505" w:type="dxa"/>
          </w:tcPr>
          <w:p w14:paraId="57C25B27" w14:textId="77777777" w:rsidR="00C64FCA" w:rsidRPr="00C64FCA" w:rsidRDefault="00C64FCA" w:rsidP="00C64FCA">
            <w:pPr>
              <w:tabs>
                <w:tab w:val="right" w:pos="1202"/>
              </w:tabs>
              <w:spacing w:after="0" w:line="301" w:lineRule="exact"/>
              <w:jc w:val="right"/>
              <w:outlineLvl w:val="0"/>
              <w:rPr>
                <w:rFonts w:eastAsia="Times New Roman" w:cs="Arial"/>
                <w:sz w:val="20"/>
                <w:szCs w:val="20"/>
              </w:rPr>
            </w:pPr>
          </w:p>
        </w:tc>
        <w:tc>
          <w:tcPr>
            <w:tcW w:w="1506" w:type="dxa"/>
          </w:tcPr>
          <w:p w14:paraId="562FC4FA" w14:textId="77777777" w:rsidR="00C64FCA" w:rsidRPr="00C64FCA" w:rsidRDefault="00C64FCA" w:rsidP="00C64FCA">
            <w:pPr>
              <w:tabs>
                <w:tab w:val="right" w:pos="1202"/>
              </w:tabs>
              <w:spacing w:after="0" w:line="301" w:lineRule="exact"/>
              <w:jc w:val="right"/>
              <w:outlineLvl w:val="0"/>
              <w:rPr>
                <w:rFonts w:eastAsia="Times New Roman" w:cs="Arial"/>
                <w:sz w:val="20"/>
                <w:szCs w:val="20"/>
              </w:rPr>
            </w:pPr>
          </w:p>
        </w:tc>
        <w:tc>
          <w:tcPr>
            <w:tcW w:w="1506" w:type="dxa"/>
          </w:tcPr>
          <w:p w14:paraId="01A4948C" w14:textId="77777777" w:rsidR="00C64FCA" w:rsidRPr="00C64FCA" w:rsidRDefault="00C64FCA" w:rsidP="00C64FCA">
            <w:pPr>
              <w:tabs>
                <w:tab w:val="right" w:pos="1202"/>
              </w:tabs>
              <w:spacing w:after="0" w:line="301" w:lineRule="exact"/>
              <w:jc w:val="right"/>
              <w:outlineLvl w:val="0"/>
              <w:rPr>
                <w:rFonts w:eastAsia="Times New Roman" w:cs="Arial"/>
                <w:sz w:val="20"/>
                <w:szCs w:val="20"/>
              </w:rPr>
            </w:pPr>
          </w:p>
        </w:tc>
        <w:tc>
          <w:tcPr>
            <w:tcW w:w="1506" w:type="dxa"/>
          </w:tcPr>
          <w:p w14:paraId="21E37DA7" w14:textId="77777777" w:rsidR="00C64FCA" w:rsidRPr="00C64FCA" w:rsidRDefault="00C64FCA" w:rsidP="00C64FCA">
            <w:pPr>
              <w:tabs>
                <w:tab w:val="right" w:pos="1202"/>
              </w:tabs>
              <w:spacing w:after="0" w:line="301" w:lineRule="exact"/>
              <w:jc w:val="right"/>
              <w:outlineLvl w:val="0"/>
              <w:rPr>
                <w:rFonts w:eastAsia="Times New Roman" w:cs="Arial"/>
                <w:sz w:val="20"/>
                <w:szCs w:val="20"/>
              </w:rPr>
            </w:pPr>
          </w:p>
        </w:tc>
      </w:tr>
      <w:tr w:rsidR="00B13741" w:rsidRPr="00C64FCA" w14:paraId="5F3DD225" w14:textId="77777777" w:rsidTr="006B318F">
        <w:trPr>
          <w:trHeight w:val="462"/>
        </w:trPr>
        <w:tc>
          <w:tcPr>
            <w:tcW w:w="2438" w:type="dxa"/>
            <w:vAlign w:val="bottom"/>
          </w:tcPr>
          <w:p w14:paraId="64855163" w14:textId="77777777" w:rsidR="00B13741" w:rsidRPr="00C64FCA" w:rsidRDefault="00B13741" w:rsidP="00B13741">
            <w:pPr>
              <w:tabs>
                <w:tab w:val="right" w:pos="1202"/>
              </w:tabs>
              <w:spacing w:after="0" w:line="240" w:lineRule="auto"/>
              <w:outlineLvl w:val="0"/>
              <w:rPr>
                <w:rFonts w:eastAsia="Times New Roman" w:cs="Arial"/>
                <w:sz w:val="20"/>
                <w:szCs w:val="20"/>
              </w:rPr>
            </w:pPr>
            <w:r w:rsidRPr="00C64FCA">
              <w:rPr>
                <w:rFonts w:eastAsia="Times New Roman" w:cs="Arial"/>
                <w:sz w:val="20"/>
                <w:szCs w:val="20"/>
              </w:rPr>
              <w:t>Domestic financial institutions</w:t>
            </w:r>
          </w:p>
        </w:tc>
        <w:tc>
          <w:tcPr>
            <w:tcW w:w="1505" w:type="dxa"/>
            <w:tcBorders>
              <w:top w:val="nil"/>
              <w:left w:val="nil"/>
              <w:bottom w:val="nil"/>
              <w:right w:val="nil"/>
            </w:tcBorders>
            <w:shd w:val="clear" w:color="auto" w:fill="auto"/>
            <w:vAlign w:val="bottom"/>
          </w:tcPr>
          <w:p w14:paraId="6990320B" w14:textId="3379720B" w:rsidR="00B13741" w:rsidRPr="00C64FCA" w:rsidRDefault="00B13741" w:rsidP="00B13741">
            <w:pPr>
              <w:tabs>
                <w:tab w:val="right" w:pos="1202"/>
              </w:tabs>
              <w:spacing w:after="0" w:line="301" w:lineRule="exact"/>
              <w:jc w:val="right"/>
              <w:outlineLvl w:val="0"/>
              <w:rPr>
                <w:rFonts w:eastAsia="Times New Roman" w:cs="Arial"/>
                <w:sz w:val="20"/>
                <w:szCs w:val="20"/>
              </w:rPr>
            </w:pPr>
            <w:r w:rsidRPr="00FE65B6">
              <w:rPr>
                <w:rFonts w:eastAsia="Times New Roman" w:cs="Arial"/>
                <w:sz w:val="20"/>
                <w:szCs w:val="20"/>
              </w:rPr>
              <w:t>614</w:t>
            </w:r>
          </w:p>
        </w:tc>
        <w:tc>
          <w:tcPr>
            <w:tcW w:w="1506" w:type="dxa"/>
            <w:tcBorders>
              <w:top w:val="nil"/>
              <w:left w:val="nil"/>
              <w:bottom w:val="nil"/>
              <w:right w:val="nil"/>
            </w:tcBorders>
            <w:shd w:val="clear" w:color="auto" w:fill="auto"/>
            <w:vAlign w:val="bottom"/>
          </w:tcPr>
          <w:p w14:paraId="5BDCC7E1" w14:textId="5518E962" w:rsidR="00B13741" w:rsidRPr="00C64FCA" w:rsidRDefault="00B13741" w:rsidP="00B13741">
            <w:pPr>
              <w:tabs>
                <w:tab w:val="right" w:pos="1202"/>
              </w:tabs>
              <w:spacing w:after="0" w:line="301" w:lineRule="exact"/>
              <w:jc w:val="right"/>
              <w:outlineLvl w:val="0"/>
              <w:rPr>
                <w:rFonts w:eastAsia="Times New Roman" w:cs="Arial"/>
                <w:sz w:val="20"/>
                <w:szCs w:val="20"/>
              </w:rPr>
            </w:pPr>
            <w:r w:rsidRPr="00FE65B6">
              <w:rPr>
                <w:rFonts w:eastAsia="Times New Roman" w:cs="Arial"/>
                <w:sz w:val="20"/>
                <w:szCs w:val="20"/>
              </w:rPr>
              <w:t>2</w:t>
            </w:r>
            <w:r>
              <w:rPr>
                <w:rFonts w:eastAsia="Times New Roman" w:cs="Arial"/>
                <w:sz w:val="20"/>
                <w:szCs w:val="20"/>
              </w:rPr>
              <w:t>,</w:t>
            </w:r>
            <w:r w:rsidRPr="00FE65B6">
              <w:rPr>
                <w:rFonts w:eastAsia="Times New Roman" w:cs="Arial"/>
                <w:sz w:val="20"/>
                <w:szCs w:val="20"/>
              </w:rPr>
              <w:t>083</w:t>
            </w:r>
          </w:p>
        </w:tc>
        <w:tc>
          <w:tcPr>
            <w:tcW w:w="1506" w:type="dxa"/>
            <w:shd w:val="clear" w:color="auto" w:fill="auto"/>
            <w:vAlign w:val="bottom"/>
          </w:tcPr>
          <w:p w14:paraId="3FECF48E" w14:textId="37BE4931" w:rsidR="00B13741" w:rsidRPr="00C64FCA" w:rsidRDefault="00B13741" w:rsidP="00B13741">
            <w:pPr>
              <w:tabs>
                <w:tab w:val="right" w:pos="1202"/>
              </w:tabs>
              <w:spacing w:after="0" w:line="301" w:lineRule="exact"/>
              <w:jc w:val="right"/>
              <w:outlineLvl w:val="0"/>
              <w:rPr>
                <w:rFonts w:eastAsia="Times New Roman" w:cs="Arial"/>
                <w:sz w:val="20"/>
                <w:szCs w:val="20"/>
              </w:rPr>
            </w:pPr>
            <w:r w:rsidRPr="006B318F">
              <w:rPr>
                <w:rFonts w:eastAsia="Times New Roman" w:cs="Arial"/>
                <w:sz w:val="20"/>
                <w:szCs w:val="20"/>
              </w:rPr>
              <w:t>3,001</w:t>
            </w:r>
          </w:p>
        </w:tc>
        <w:tc>
          <w:tcPr>
            <w:tcW w:w="1506" w:type="dxa"/>
            <w:shd w:val="clear" w:color="auto" w:fill="auto"/>
            <w:vAlign w:val="bottom"/>
          </w:tcPr>
          <w:p w14:paraId="006EC20F" w14:textId="1A0AA88E" w:rsidR="00B13741" w:rsidRPr="00C64FCA" w:rsidRDefault="00B13741" w:rsidP="00B13741">
            <w:pPr>
              <w:tabs>
                <w:tab w:val="right" w:pos="1202"/>
              </w:tabs>
              <w:spacing w:after="0" w:line="301" w:lineRule="exact"/>
              <w:jc w:val="right"/>
              <w:outlineLvl w:val="0"/>
              <w:rPr>
                <w:rFonts w:eastAsia="Times New Roman" w:cs="Arial"/>
                <w:sz w:val="20"/>
                <w:szCs w:val="20"/>
              </w:rPr>
            </w:pPr>
            <w:r w:rsidRPr="006B318F">
              <w:rPr>
                <w:rFonts w:eastAsia="Times New Roman" w:cs="Arial"/>
                <w:sz w:val="20"/>
                <w:szCs w:val="20"/>
              </w:rPr>
              <w:t>8,324</w:t>
            </w:r>
          </w:p>
        </w:tc>
        <w:tc>
          <w:tcPr>
            <w:tcW w:w="1505" w:type="dxa"/>
            <w:tcBorders>
              <w:top w:val="nil"/>
              <w:left w:val="nil"/>
              <w:bottom w:val="nil"/>
              <w:right w:val="nil"/>
            </w:tcBorders>
            <w:shd w:val="clear" w:color="auto" w:fill="auto"/>
            <w:vAlign w:val="bottom"/>
          </w:tcPr>
          <w:p w14:paraId="34175E17" w14:textId="25F11B91" w:rsidR="00B13741" w:rsidRPr="00C64FCA" w:rsidRDefault="00B13741" w:rsidP="00B13741">
            <w:pPr>
              <w:tabs>
                <w:tab w:val="right" w:pos="1202"/>
              </w:tabs>
              <w:spacing w:after="0" w:line="301" w:lineRule="exact"/>
              <w:jc w:val="right"/>
              <w:outlineLvl w:val="0"/>
              <w:rPr>
                <w:rFonts w:eastAsia="Times New Roman" w:cs="Arial"/>
                <w:sz w:val="20"/>
                <w:szCs w:val="20"/>
              </w:rPr>
            </w:pPr>
            <w:r w:rsidRPr="006B318F">
              <w:rPr>
                <w:rFonts w:eastAsia="Times New Roman" w:cs="Arial"/>
                <w:sz w:val="20"/>
                <w:szCs w:val="20"/>
              </w:rPr>
              <w:t>614</w:t>
            </w:r>
          </w:p>
        </w:tc>
        <w:tc>
          <w:tcPr>
            <w:tcW w:w="1506" w:type="dxa"/>
            <w:tcBorders>
              <w:top w:val="nil"/>
              <w:left w:val="nil"/>
              <w:bottom w:val="nil"/>
              <w:right w:val="nil"/>
            </w:tcBorders>
            <w:shd w:val="clear" w:color="auto" w:fill="auto"/>
            <w:vAlign w:val="bottom"/>
          </w:tcPr>
          <w:p w14:paraId="7F816B60" w14:textId="2DBB4432" w:rsidR="00B13741" w:rsidRPr="00C64FCA" w:rsidRDefault="00B13741" w:rsidP="00B13741">
            <w:pPr>
              <w:tabs>
                <w:tab w:val="right" w:pos="1202"/>
              </w:tabs>
              <w:spacing w:after="0" w:line="301" w:lineRule="exact"/>
              <w:jc w:val="right"/>
              <w:outlineLvl w:val="0"/>
              <w:rPr>
                <w:rFonts w:eastAsia="Times New Roman" w:cs="Arial"/>
                <w:sz w:val="20"/>
                <w:szCs w:val="20"/>
              </w:rPr>
            </w:pPr>
            <w:r w:rsidRPr="006B318F">
              <w:rPr>
                <w:rFonts w:eastAsia="Times New Roman" w:cs="Arial"/>
                <w:sz w:val="20"/>
                <w:szCs w:val="20"/>
              </w:rPr>
              <w:t>2,083</w:t>
            </w:r>
          </w:p>
        </w:tc>
        <w:tc>
          <w:tcPr>
            <w:tcW w:w="1506" w:type="dxa"/>
            <w:shd w:val="clear" w:color="auto" w:fill="auto"/>
            <w:vAlign w:val="bottom"/>
          </w:tcPr>
          <w:p w14:paraId="2301311C" w14:textId="043406B0" w:rsidR="00B13741" w:rsidRPr="006B318F" w:rsidRDefault="00B13741" w:rsidP="006B318F">
            <w:pPr>
              <w:tabs>
                <w:tab w:val="right" w:pos="1202"/>
              </w:tabs>
              <w:spacing w:after="0" w:line="301" w:lineRule="exact"/>
              <w:jc w:val="right"/>
              <w:outlineLvl w:val="0"/>
              <w:rPr>
                <w:rFonts w:eastAsia="Times New Roman" w:cs="Arial"/>
                <w:sz w:val="20"/>
                <w:szCs w:val="20"/>
              </w:rPr>
            </w:pPr>
            <w:r w:rsidRPr="006B318F">
              <w:rPr>
                <w:rFonts w:eastAsia="Times New Roman" w:cs="Arial"/>
                <w:sz w:val="20"/>
                <w:szCs w:val="20"/>
              </w:rPr>
              <w:t>3,001</w:t>
            </w:r>
          </w:p>
        </w:tc>
        <w:tc>
          <w:tcPr>
            <w:tcW w:w="1506" w:type="dxa"/>
            <w:shd w:val="clear" w:color="auto" w:fill="auto"/>
            <w:vAlign w:val="bottom"/>
          </w:tcPr>
          <w:p w14:paraId="7FC5B857" w14:textId="5AF13D37" w:rsidR="00B13741" w:rsidRPr="006B318F" w:rsidRDefault="00B13741" w:rsidP="006B318F">
            <w:pPr>
              <w:tabs>
                <w:tab w:val="right" w:pos="1202"/>
              </w:tabs>
              <w:spacing w:after="0" w:line="301" w:lineRule="exact"/>
              <w:jc w:val="right"/>
              <w:outlineLvl w:val="0"/>
              <w:rPr>
                <w:rFonts w:eastAsia="Times New Roman" w:cs="Arial"/>
                <w:sz w:val="20"/>
                <w:szCs w:val="20"/>
              </w:rPr>
            </w:pPr>
            <w:r w:rsidRPr="006B318F">
              <w:rPr>
                <w:rFonts w:eastAsia="Times New Roman" w:cs="Arial"/>
                <w:sz w:val="20"/>
                <w:szCs w:val="20"/>
              </w:rPr>
              <w:t>8,324</w:t>
            </w:r>
          </w:p>
        </w:tc>
      </w:tr>
      <w:tr w:rsidR="00B13741" w:rsidRPr="00C64FCA" w14:paraId="07033BB9" w14:textId="77777777" w:rsidTr="006B318F">
        <w:trPr>
          <w:trHeight w:val="462"/>
        </w:trPr>
        <w:tc>
          <w:tcPr>
            <w:tcW w:w="2438" w:type="dxa"/>
            <w:vAlign w:val="bottom"/>
          </w:tcPr>
          <w:p w14:paraId="61B3CF0C" w14:textId="77777777" w:rsidR="00B13741" w:rsidRPr="00C64FCA" w:rsidRDefault="00B13741" w:rsidP="00B13741">
            <w:pPr>
              <w:tabs>
                <w:tab w:val="right" w:pos="1202"/>
              </w:tabs>
              <w:spacing w:after="0" w:line="240" w:lineRule="auto"/>
              <w:outlineLvl w:val="0"/>
              <w:rPr>
                <w:rFonts w:eastAsia="Times New Roman" w:cs="Arial"/>
                <w:sz w:val="20"/>
                <w:szCs w:val="20"/>
              </w:rPr>
            </w:pPr>
            <w:r w:rsidRPr="00C64FCA">
              <w:rPr>
                <w:rFonts w:eastAsia="Times New Roman" w:cs="Arial"/>
                <w:sz w:val="20"/>
                <w:szCs w:val="20"/>
              </w:rPr>
              <w:t>Foreign financial institutions</w:t>
            </w:r>
          </w:p>
        </w:tc>
        <w:tc>
          <w:tcPr>
            <w:tcW w:w="1505" w:type="dxa"/>
            <w:tcBorders>
              <w:top w:val="nil"/>
              <w:left w:val="nil"/>
              <w:bottom w:val="nil"/>
              <w:right w:val="nil"/>
            </w:tcBorders>
            <w:shd w:val="clear" w:color="auto" w:fill="auto"/>
            <w:vAlign w:val="bottom"/>
          </w:tcPr>
          <w:p w14:paraId="4A1AF7FE" w14:textId="73C6586B" w:rsidR="00B13741" w:rsidRPr="00C64FCA" w:rsidRDefault="00B13741" w:rsidP="00B13741">
            <w:pPr>
              <w:tabs>
                <w:tab w:val="right" w:pos="1202"/>
              </w:tabs>
              <w:spacing w:after="0" w:line="301" w:lineRule="exact"/>
              <w:jc w:val="right"/>
              <w:outlineLvl w:val="0"/>
              <w:rPr>
                <w:rFonts w:eastAsia="Times New Roman" w:cs="Arial"/>
                <w:sz w:val="20"/>
                <w:szCs w:val="20"/>
              </w:rPr>
            </w:pPr>
            <w:r w:rsidRPr="00FE65B6">
              <w:rPr>
                <w:rFonts w:eastAsia="Times New Roman" w:cs="Arial"/>
                <w:sz w:val="20"/>
                <w:szCs w:val="20"/>
              </w:rPr>
              <w:t>85</w:t>
            </w:r>
            <w:r>
              <w:rPr>
                <w:rFonts w:eastAsia="Times New Roman" w:cs="Arial"/>
                <w:sz w:val="20"/>
                <w:szCs w:val="20"/>
              </w:rPr>
              <w:t>,</w:t>
            </w:r>
            <w:r w:rsidRPr="00FE65B6">
              <w:rPr>
                <w:rFonts w:eastAsia="Times New Roman" w:cs="Arial"/>
                <w:sz w:val="20"/>
                <w:szCs w:val="20"/>
              </w:rPr>
              <w:t>694</w:t>
            </w:r>
          </w:p>
        </w:tc>
        <w:tc>
          <w:tcPr>
            <w:tcW w:w="1506" w:type="dxa"/>
            <w:tcBorders>
              <w:top w:val="nil"/>
              <w:left w:val="nil"/>
              <w:bottom w:val="nil"/>
              <w:right w:val="nil"/>
            </w:tcBorders>
            <w:shd w:val="clear" w:color="auto" w:fill="auto"/>
            <w:vAlign w:val="bottom"/>
          </w:tcPr>
          <w:p w14:paraId="07A8B60D" w14:textId="1B3B013A" w:rsidR="00B13741" w:rsidRPr="00C64FCA" w:rsidRDefault="00B13741" w:rsidP="00B13741">
            <w:pPr>
              <w:tabs>
                <w:tab w:val="right" w:pos="1202"/>
              </w:tabs>
              <w:spacing w:after="0" w:line="301" w:lineRule="exact"/>
              <w:jc w:val="right"/>
              <w:outlineLvl w:val="0"/>
              <w:rPr>
                <w:rFonts w:eastAsia="Times New Roman" w:cs="Arial"/>
                <w:sz w:val="20"/>
                <w:szCs w:val="20"/>
              </w:rPr>
            </w:pPr>
            <w:r w:rsidRPr="00FE65B6">
              <w:rPr>
                <w:rFonts w:eastAsia="Times New Roman" w:cs="Arial"/>
                <w:sz w:val="20"/>
                <w:szCs w:val="20"/>
              </w:rPr>
              <w:t>299</w:t>
            </w:r>
            <w:r>
              <w:rPr>
                <w:rFonts w:eastAsia="Times New Roman" w:cs="Arial"/>
                <w:sz w:val="20"/>
                <w:szCs w:val="20"/>
              </w:rPr>
              <w:t>,</w:t>
            </w:r>
            <w:r w:rsidRPr="00FE65B6">
              <w:rPr>
                <w:rFonts w:eastAsia="Times New Roman" w:cs="Arial"/>
                <w:sz w:val="20"/>
                <w:szCs w:val="20"/>
              </w:rPr>
              <w:t>378</w:t>
            </w:r>
          </w:p>
        </w:tc>
        <w:tc>
          <w:tcPr>
            <w:tcW w:w="1506" w:type="dxa"/>
            <w:tcBorders>
              <w:bottom w:val="single" w:sz="2" w:space="0" w:color="auto"/>
            </w:tcBorders>
            <w:shd w:val="clear" w:color="auto" w:fill="auto"/>
            <w:vAlign w:val="bottom"/>
          </w:tcPr>
          <w:p w14:paraId="6E5CBDFA" w14:textId="41AAC764" w:rsidR="00B13741" w:rsidRPr="00C64FCA" w:rsidRDefault="00B13741" w:rsidP="00B13741">
            <w:pPr>
              <w:tabs>
                <w:tab w:val="right" w:pos="1202"/>
              </w:tabs>
              <w:spacing w:after="0" w:line="301" w:lineRule="exact"/>
              <w:jc w:val="right"/>
              <w:outlineLvl w:val="0"/>
              <w:rPr>
                <w:rFonts w:eastAsia="Times New Roman" w:cs="Arial"/>
                <w:sz w:val="20"/>
                <w:szCs w:val="20"/>
              </w:rPr>
            </w:pPr>
            <w:r w:rsidRPr="006B318F">
              <w:rPr>
                <w:rFonts w:eastAsia="Times New Roman" w:cs="Arial"/>
                <w:sz w:val="20"/>
                <w:szCs w:val="20"/>
              </w:rPr>
              <w:t>109,638</w:t>
            </w:r>
          </w:p>
        </w:tc>
        <w:tc>
          <w:tcPr>
            <w:tcW w:w="1506" w:type="dxa"/>
            <w:tcBorders>
              <w:bottom w:val="single" w:sz="2" w:space="0" w:color="auto"/>
            </w:tcBorders>
            <w:shd w:val="clear" w:color="auto" w:fill="auto"/>
            <w:vAlign w:val="bottom"/>
          </w:tcPr>
          <w:p w14:paraId="76F114EE" w14:textId="4FB01F71" w:rsidR="00B13741" w:rsidRPr="00C64FCA" w:rsidRDefault="00B13741" w:rsidP="00B13741">
            <w:pPr>
              <w:tabs>
                <w:tab w:val="right" w:pos="1202"/>
              </w:tabs>
              <w:spacing w:after="0" w:line="301" w:lineRule="exact"/>
              <w:jc w:val="right"/>
              <w:outlineLvl w:val="0"/>
              <w:rPr>
                <w:rFonts w:eastAsia="Times New Roman" w:cs="Arial"/>
                <w:sz w:val="20"/>
                <w:szCs w:val="20"/>
              </w:rPr>
            </w:pPr>
            <w:r w:rsidRPr="006B318F">
              <w:rPr>
                <w:rFonts w:eastAsia="Times New Roman" w:cs="Arial"/>
                <w:sz w:val="20"/>
                <w:szCs w:val="20"/>
              </w:rPr>
              <w:t>332,551</w:t>
            </w:r>
          </w:p>
        </w:tc>
        <w:tc>
          <w:tcPr>
            <w:tcW w:w="1505" w:type="dxa"/>
            <w:tcBorders>
              <w:top w:val="nil"/>
              <w:left w:val="nil"/>
              <w:bottom w:val="nil"/>
              <w:right w:val="nil"/>
            </w:tcBorders>
            <w:shd w:val="clear" w:color="auto" w:fill="auto"/>
            <w:vAlign w:val="bottom"/>
          </w:tcPr>
          <w:p w14:paraId="19BCEB12" w14:textId="32B32345" w:rsidR="00B13741" w:rsidRPr="00C64FCA" w:rsidRDefault="00B13741" w:rsidP="00B13741">
            <w:pPr>
              <w:tabs>
                <w:tab w:val="right" w:pos="1202"/>
              </w:tabs>
              <w:spacing w:after="0" w:line="301" w:lineRule="exact"/>
              <w:jc w:val="right"/>
              <w:outlineLvl w:val="0"/>
              <w:rPr>
                <w:rFonts w:eastAsia="Times New Roman" w:cs="Arial"/>
                <w:sz w:val="20"/>
                <w:szCs w:val="20"/>
              </w:rPr>
            </w:pPr>
            <w:r w:rsidRPr="006B318F">
              <w:rPr>
                <w:rFonts w:eastAsia="Times New Roman" w:cs="Arial"/>
                <w:sz w:val="20"/>
                <w:szCs w:val="20"/>
              </w:rPr>
              <w:t>85,694</w:t>
            </w:r>
          </w:p>
        </w:tc>
        <w:tc>
          <w:tcPr>
            <w:tcW w:w="1506" w:type="dxa"/>
            <w:tcBorders>
              <w:top w:val="nil"/>
              <w:left w:val="nil"/>
              <w:bottom w:val="nil"/>
              <w:right w:val="nil"/>
            </w:tcBorders>
            <w:shd w:val="clear" w:color="auto" w:fill="auto"/>
            <w:vAlign w:val="bottom"/>
          </w:tcPr>
          <w:p w14:paraId="7F92C7B5" w14:textId="1D5CD327" w:rsidR="00B13741" w:rsidRPr="00C64FCA" w:rsidRDefault="00B13741" w:rsidP="00B13741">
            <w:pPr>
              <w:tabs>
                <w:tab w:val="right" w:pos="1202"/>
              </w:tabs>
              <w:spacing w:after="0" w:line="301" w:lineRule="exact"/>
              <w:jc w:val="right"/>
              <w:outlineLvl w:val="0"/>
              <w:rPr>
                <w:rFonts w:eastAsia="Times New Roman" w:cs="Arial"/>
                <w:sz w:val="20"/>
                <w:szCs w:val="20"/>
              </w:rPr>
            </w:pPr>
            <w:r w:rsidRPr="006B318F">
              <w:rPr>
                <w:rFonts w:eastAsia="Times New Roman" w:cs="Arial"/>
                <w:sz w:val="20"/>
                <w:szCs w:val="20"/>
              </w:rPr>
              <w:t>299,378</w:t>
            </w:r>
          </w:p>
        </w:tc>
        <w:tc>
          <w:tcPr>
            <w:tcW w:w="1506" w:type="dxa"/>
            <w:tcBorders>
              <w:bottom w:val="single" w:sz="2" w:space="0" w:color="auto"/>
            </w:tcBorders>
            <w:shd w:val="clear" w:color="auto" w:fill="auto"/>
            <w:vAlign w:val="bottom"/>
          </w:tcPr>
          <w:p w14:paraId="3D047778" w14:textId="0D1D44C8" w:rsidR="00B13741" w:rsidRPr="006B318F" w:rsidRDefault="00B13741" w:rsidP="006B318F">
            <w:pPr>
              <w:tabs>
                <w:tab w:val="right" w:pos="1202"/>
              </w:tabs>
              <w:spacing w:after="0" w:line="301" w:lineRule="exact"/>
              <w:jc w:val="right"/>
              <w:outlineLvl w:val="0"/>
              <w:rPr>
                <w:rFonts w:eastAsia="Times New Roman" w:cs="Arial"/>
                <w:sz w:val="20"/>
                <w:szCs w:val="20"/>
              </w:rPr>
            </w:pPr>
            <w:r w:rsidRPr="006B318F">
              <w:rPr>
                <w:rFonts w:eastAsia="Times New Roman" w:cs="Arial"/>
                <w:sz w:val="20"/>
                <w:szCs w:val="20"/>
              </w:rPr>
              <w:t>109,638</w:t>
            </w:r>
          </w:p>
        </w:tc>
        <w:tc>
          <w:tcPr>
            <w:tcW w:w="1506" w:type="dxa"/>
            <w:tcBorders>
              <w:bottom w:val="single" w:sz="2" w:space="0" w:color="auto"/>
            </w:tcBorders>
            <w:shd w:val="clear" w:color="auto" w:fill="auto"/>
            <w:vAlign w:val="bottom"/>
          </w:tcPr>
          <w:p w14:paraId="6F68153A" w14:textId="36E45651" w:rsidR="00B13741" w:rsidRPr="006B318F" w:rsidRDefault="00B13741" w:rsidP="006B318F">
            <w:pPr>
              <w:tabs>
                <w:tab w:val="right" w:pos="1202"/>
              </w:tabs>
              <w:spacing w:after="0" w:line="301" w:lineRule="exact"/>
              <w:jc w:val="right"/>
              <w:outlineLvl w:val="0"/>
              <w:rPr>
                <w:rFonts w:eastAsia="Times New Roman" w:cs="Arial"/>
                <w:sz w:val="20"/>
                <w:szCs w:val="20"/>
              </w:rPr>
            </w:pPr>
            <w:r w:rsidRPr="006B318F">
              <w:rPr>
                <w:rFonts w:eastAsia="Times New Roman" w:cs="Arial"/>
                <w:sz w:val="20"/>
                <w:szCs w:val="20"/>
              </w:rPr>
              <w:t>332,551</w:t>
            </w:r>
          </w:p>
        </w:tc>
      </w:tr>
      <w:tr w:rsidR="00B13741" w:rsidRPr="00C64FCA" w14:paraId="6646E30A" w14:textId="77777777" w:rsidTr="006B318F">
        <w:trPr>
          <w:trHeight w:hRule="exact" w:val="340"/>
        </w:trPr>
        <w:tc>
          <w:tcPr>
            <w:tcW w:w="2438" w:type="dxa"/>
          </w:tcPr>
          <w:p w14:paraId="2216E02E" w14:textId="77777777" w:rsidR="00B13741" w:rsidRPr="00C64FCA" w:rsidRDefault="00B13741" w:rsidP="00B13741">
            <w:pPr>
              <w:tabs>
                <w:tab w:val="right" w:pos="1202"/>
              </w:tabs>
              <w:spacing w:after="0" w:line="240" w:lineRule="auto"/>
              <w:outlineLvl w:val="0"/>
              <w:rPr>
                <w:rFonts w:eastAsia="Times New Roman" w:cs="Arial"/>
                <w:b/>
                <w:bCs/>
                <w:sz w:val="20"/>
                <w:szCs w:val="20"/>
              </w:rPr>
            </w:pPr>
          </w:p>
        </w:tc>
        <w:tc>
          <w:tcPr>
            <w:tcW w:w="1505" w:type="dxa"/>
            <w:tcBorders>
              <w:top w:val="single" w:sz="2" w:space="0" w:color="auto"/>
              <w:bottom w:val="single" w:sz="12" w:space="0" w:color="auto"/>
            </w:tcBorders>
            <w:shd w:val="clear" w:color="auto" w:fill="auto"/>
            <w:vAlign w:val="bottom"/>
          </w:tcPr>
          <w:p w14:paraId="62A3127C" w14:textId="70D03AF6" w:rsidR="00B13741" w:rsidRPr="006B318F" w:rsidRDefault="00B13741" w:rsidP="006B318F">
            <w:pPr>
              <w:tabs>
                <w:tab w:val="right" w:pos="1202"/>
              </w:tabs>
              <w:spacing w:after="0" w:line="301" w:lineRule="exact"/>
              <w:jc w:val="right"/>
              <w:outlineLvl w:val="0"/>
              <w:rPr>
                <w:rFonts w:eastAsia="Times New Roman" w:cs="Arial"/>
                <w:b/>
                <w:sz w:val="20"/>
                <w:szCs w:val="20"/>
              </w:rPr>
            </w:pPr>
            <w:r w:rsidRPr="008D6EFE">
              <w:rPr>
                <w:rFonts w:eastAsia="Times New Roman" w:cs="Arial"/>
                <w:b/>
                <w:sz w:val="20"/>
                <w:szCs w:val="20"/>
              </w:rPr>
              <w:t>86,308</w:t>
            </w:r>
          </w:p>
        </w:tc>
        <w:tc>
          <w:tcPr>
            <w:tcW w:w="1506" w:type="dxa"/>
            <w:tcBorders>
              <w:top w:val="single" w:sz="2" w:space="0" w:color="auto"/>
              <w:bottom w:val="single" w:sz="12" w:space="0" w:color="auto"/>
            </w:tcBorders>
            <w:shd w:val="clear" w:color="auto" w:fill="auto"/>
            <w:vAlign w:val="bottom"/>
          </w:tcPr>
          <w:p w14:paraId="25090DB8" w14:textId="7F72F1E4" w:rsidR="00B13741" w:rsidRPr="006B318F" w:rsidRDefault="00B13741" w:rsidP="006B318F">
            <w:pPr>
              <w:tabs>
                <w:tab w:val="right" w:pos="1202"/>
              </w:tabs>
              <w:spacing w:after="0" w:line="301" w:lineRule="exact"/>
              <w:jc w:val="right"/>
              <w:outlineLvl w:val="0"/>
              <w:rPr>
                <w:rFonts w:eastAsia="Times New Roman" w:cs="Arial"/>
                <w:b/>
                <w:sz w:val="20"/>
                <w:szCs w:val="20"/>
              </w:rPr>
            </w:pPr>
            <w:r w:rsidRPr="006B318F">
              <w:rPr>
                <w:rFonts w:eastAsia="Times New Roman" w:cs="Arial"/>
                <w:b/>
                <w:sz w:val="20"/>
                <w:szCs w:val="20"/>
              </w:rPr>
              <w:t>301,461</w:t>
            </w:r>
          </w:p>
        </w:tc>
        <w:tc>
          <w:tcPr>
            <w:tcW w:w="1506" w:type="dxa"/>
            <w:tcBorders>
              <w:top w:val="single" w:sz="2" w:space="0" w:color="auto"/>
              <w:bottom w:val="single" w:sz="12" w:space="0" w:color="auto"/>
            </w:tcBorders>
            <w:shd w:val="clear" w:color="auto" w:fill="auto"/>
            <w:vAlign w:val="bottom"/>
          </w:tcPr>
          <w:p w14:paraId="67600A2F" w14:textId="77B6A1D9" w:rsidR="00B13741" w:rsidRPr="006B318F" w:rsidRDefault="00B13741" w:rsidP="006B318F">
            <w:pPr>
              <w:tabs>
                <w:tab w:val="right" w:pos="1202"/>
              </w:tabs>
              <w:spacing w:after="0" w:line="301" w:lineRule="exact"/>
              <w:jc w:val="right"/>
              <w:outlineLvl w:val="0"/>
              <w:rPr>
                <w:rFonts w:eastAsia="Times New Roman" w:cs="Arial"/>
                <w:b/>
                <w:sz w:val="20"/>
                <w:szCs w:val="20"/>
              </w:rPr>
            </w:pPr>
            <w:r w:rsidRPr="006B318F">
              <w:rPr>
                <w:rFonts w:eastAsia="Times New Roman" w:cs="Arial"/>
                <w:b/>
                <w:sz w:val="20"/>
                <w:szCs w:val="20"/>
              </w:rPr>
              <w:t>112,639</w:t>
            </w:r>
          </w:p>
        </w:tc>
        <w:tc>
          <w:tcPr>
            <w:tcW w:w="1506" w:type="dxa"/>
            <w:tcBorders>
              <w:top w:val="single" w:sz="2" w:space="0" w:color="auto"/>
              <w:bottom w:val="single" w:sz="12" w:space="0" w:color="auto"/>
            </w:tcBorders>
            <w:shd w:val="clear" w:color="auto" w:fill="auto"/>
            <w:vAlign w:val="bottom"/>
          </w:tcPr>
          <w:p w14:paraId="6A738BB5" w14:textId="346C02EF" w:rsidR="00B13741" w:rsidRPr="006B318F" w:rsidRDefault="00B13741" w:rsidP="006B318F">
            <w:pPr>
              <w:spacing w:after="0" w:line="301" w:lineRule="exact"/>
              <w:jc w:val="right"/>
              <w:rPr>
                <w:rFonts w:eastAsia="Times New Roman" w:cs="Arial"/>
                <w:b/>
                <w:sz w:val="20"/>
                <w:szCs w:val="20"/>
              </w:rPr>
            </w:pPr>
            <w:r w:rsidRPr="006B318F">
              <w:rPr>
                <w:rFonts w:eastAsia="Times New Roman" w:cs="Arial"/>
                <w:b/>
                <w:sz w:val="20"/>
                <w:szCs w:val="20"/>
              </w:rPr>
              <w:t>340,875</w:t>
            </w:r>
          </w:p>
        </w:tc>
        <w:tc>
          <w:tcPr>
            <w:tcW w:w="1505" w:type="dxa"/>
            <w:tcBorders>
              <w:top w:val="single" w:sz="2" w:space="0" w:color="auto"/>
              <w:bottom w:val="single" w:sz="12" w:space="0" w:color="auto"/>
            </w:tcBorders>
            <w:shd w:val="clear" w:color="auto" w:fill="auto"/>
            <w:vAlign w:val="bottom"/>
          </w:tcPr>
          <w:p w14:paraId="6DC38866" w14:textId="2EB96377" w:rsidR="00B13741" w:rsidRPr="008D6EFE" w:rsidRDefault="00B13741" w:rsidP="006B318F">
            <w:pPr>
              <w:tabs>
                <w:tab w:val="right" w:pos="1202"/>
              </w:tabs>
              <w:spacing w:after="0" w:line="301" w:lineRule="exact"/>
              <w:jc w:val="right"/>
              <w:outlineLvl w:val="0"/>
              <w:rPr>
                <w:rFonts w:eastAsia="Times New Roman" w:cs="Arial"/>
                <w:b/>
                <w:sz w:val="20"/>
                <w:szCs w:val="20"/>
              </w:rPr>
            </w:pPr>
            <w:r w:rsidRPr="006B318F">
              <w:rPr>
                <w:rFonts w:eastAsia="Times New Roman" w:cs="Arial"/>
                <w:b/>
                <w:sz w:val="20"/>
                <w:szCs w:val="20"/>
              </w:rPr>
              <w:t>86,308</w:t>
            </w:r>
          </w:p>
        </w:tc>
        <w:tc>
          <w:tcPr>
            <w:tcW w:w="1506" w:type="dxa"/>
            <w:tcBorders>
              <w:top w:val="single" w:sz="2" w:space="0" w:color="auto"/>
              <w:bottom w:val="single" w:sz="12" w:space="0" w:color="auto"/>
            </w:tcBorders>
            <w:shd w:val="clear" w:color="auto" w:fill="auto"/>
            <w:vAlign w:val="bottom"/>
          </w:tcPr>
          <w:p w14:paraId="0154B59B" w14:textId="1929A180" w:rsidR="00B13741" w:rsidRPr="006B318F" w:rsidRDefault="00B13741" w:rsidP="006B318F">
            <w:pPr>
              <w:tabs>
                <w:tab w:val="right" w:pos="1202"/>
              </w:tabs>
              <w:spacing w:after="0" w:line="301" w:lineRule="exact"/>
              <w:jc w:val="right"/>
              <w:rPr>
                <w:rFonts w:eastAsia="Times New Roman" w:cs="Arial"/>
                <w:b/>
                <w:sz w:val="20"/>
                <w:szCs w:val="20"/>
              </w:rPr>
            </w:pPr>
            <w:r w:rsidRPr="006B318F">
              <w:rPr>
                <w:rFonts w:eastAsia="Times New Roman" w:cs="Arial"/>
                <w:b/>
                <w:sz w:val="20"/>
                <w:szCs w:val="20"/>
              </w:rPr>
              <w:t>301,461</w:t>
            </w:r>
          </w:p>
        </w:tc>
        <w:tc>
          <w:tcPr>
            <w:tcW w:w="1506" w:type="dxa"/>
            <w:tcBorders>
              <w:top w:val="single" w:sz="2" w:space="0" w:color="auto"/>
              <w:bottom w:val="single" w:sz="12" w:space="0" w:color="auto"/>
            </w:tcBorders>
            <w:shd w:val="clear" w:color="auto" w:fill="auto"/>
            <w:vAlign w:val="bottom"/>
          </w:tcPr>
          <w:p w14:paraId="29C7BB39" w14:textId="6D257A19" w:rsidR="00B13741" w:rsidRPr="006B318F" w:rsidRDefault="00B13741" w:rsidP="006B318F">
            <w:pPr>
              <w:tabs>
                <w:tab w:val="right" w:pos="1202"/>
              </w:tabs>
              <w:spacing w:after="0" w:line="301" w:lineRule="exact"/>
              <w:jc w:val="right"/>
              <w:outlineLvl w:val="0"/>
              <w:rPr>
                <w:rFonts w:eastAsia="Times New Roman" w:cs="Arial"/>
                <w:b/>
                <w:sz w:val="20"/>
                <w:szCs w:val="20"/>
              </w:rPr>
            </w:pPr>
            <w:r w:rsidRPr="006B318F">
              <w:rPr>
                <w:rFonts w:eastAsia="Times New Roman" w:cs="Arial"/>
                <w:b/>
                <w:sz w:val="20"/>
                <w:szCs w:val="20"/>
              </w:rPr>
              <w:t>112,639</w:t>
            </w:r>
          </w:p>
        </w:tc>
        <w:tc>
          <w:tcPr>
            <w:tcW w:w="1506" w:type="dxa"/>
            <w:tcBorders>
              <w:top w:val="single" w:sz="2" w:space="0" w:color="auto"/>
              <w:bottom w:val="single" w:sz="12" w:space="0" w:color="auto"/>
            </w:tcBorders>
            <w:shd w:val="clear" w:color="auto" w:fill="auto"/>
            <w:vAlign w:val="bottom"/>
          </w:tcPr>
          <w:p w14:paraId="6E665139" w14:textId="51C9FFAD" w:rsidR="00B13741" w:rsidRPr="006B318F" w:rsidRDefault="00B13741" w:rsidP="006B318F">
            <w:pPr>
              <w:tabs>
                <w:tab w:val="right" w:pos="1202"/>
              </w:tabs>
              <w:spacing w:after="0" w:line="301" w:lineRule="exact"/>
              <w:jc w:val="right"/>
              <w:outlineLvl w:val="0"/>
              <w:rPr>
                <w:rFonts w:eastAsia="Times New Roman" w:cs="Arial"/>
                <w:b/>
                <w:sz w:val="20"/>
                <w:szCs w:val="20"/>
              </w:rPr>
            </w:pPr>
            <w:r w:rsidRPr="006B318F">
              <w:rPr>
                <w:rFonts w:eastAsia="Times New Roman" w:cs="Arial"/>
                <w:b/>
                <w:sz w:val="20"/>
                <w:szCs w:val="20"/>
              </w:rPr>
              <w:t>340,875</w:t>
            </w:r>
          </w:p>
        </w:tc>
      </w:tr>
    </w:tbl>
    <w:p w14:paraId="4880EB72" w14:textId="77777777" w:rsidR="006379CB" w:rsidRPr="0034501D" w:rsidRDefault="006379CB" w:rsidP="006379CB">
      <w:pPr>
        <w:spacing w:after="0" w:line="240" w:lineRule="auto"/>
        <w:jc w:val="both"/>
        <w:rPr>
          <w:rFonts w:eastAsia="Times New Roman" w:cs="Calibri"/>
          <w:sz w:val="24"/>
          <w:szCs w:val="24"/>
          <w:lang w:eastAsia="hr-HR"/>
        </w:rPr>
      </w:pPr>
    </w:p>
    <w:p w14:paraId="14D55513" w14:textId="77777777" w:rsidR="00AE09B0" w:rsidRPr="0034501D" w:rsidRDefault="00F33609" w:rsidP="006379CB">
      <w:pPr>
        <w:spacing w:after="0" w:line="240" w:lineRule="auto"/>
        <w:jc w:val="both"/>
        <w:rPr>
          <w:rFonts w:eastAsia="Times New Roman" w:cs="Calibri"/>
          <w:lang w:eastAsia="hr-HR"/>
        </w:rPr>
      </w:pPr>
      <w:r w:rsidRPr="0034501D">
        <w:rPr>
          <w:rFonts w:cs="Arial"/>
        </w:rPr>
        <w:t>Interest expense by type of facility</w:t>
      </w:r>
      <w:r w:rsidR="00AE09B0" w:rsidRPr="0034501D">
        <w:rPr>
          <w:rFonts w:eastAsia="Times New Roman" w:cs="Calibri"/>
          <w:lang w:eastAsia="hr-HR"/>
        </w:rPr>
        <w:t>:</w:t>
      </w:r>
    </w:p>
    <w:p w14:paraId="572D7984" w14:textId="77777777" w:rsidR="00202F35" w:rsidRPr="0034501D" w:rsidRDefault="00202F35" w:rsidP="00202F35">
      <w:pPr>
        <w:spacing w:after="0" w:line="240" w:lineRule="auto"/>
        <w:ind w:firstLine="709"/>
        <w:jc w:val="both"/>
        <w:rPr>
          <w:rFonts w:eastAsia="Times New Roman" w:cs="Calibri"/>
          <w:lang w:eastAsia="hr-HR"/>
        </w:rPr>
      </w:pPr>
    </w:p>
    <w:tbl>
      <w:tblPr>
        <w:tblW w:w="4903" w:type="pct"/>
        <w:tblLayout w:type="fixed"/>
        <w:tblCellMar>
          <w:left w:w="122" w:type="dxa"/>
          <w:right w:w="122" w:type="dxa"/>
        </w:tblCellMar>
        <w:tblLook w:val="0000" w:firstRow="0" w:lastRow="0" w:firstColumn="0" w:lastColumn="0" w:noHBand="0" w:noVBand="0"/>
      </w:tblPr>
      <w:tblGrid>
        <w:gridCol w:w="2474"/>
        <w:gridCol w:w="1506"/>
        <w:gridCol w:w="1509"/>
        <w:gridCol w:w="1506"/>
        <w:gridCol w:w="1509"/>
        <w:gridCol w:w="1509"/>
        <w:gridCol w:w="1506"/>
        <w:gridCol w:w="1509"/>
        <w:gridCol w:w="1509"/>
      </w:tblGrid>
      <w:tr w:rsidR="00C64FCA" w:rsidRPr="00C64FCA" w14:paraId="39D4EBAB" w14:textId="77777777" w:rsidTr="0013539B">
        <w:trPr>
          <w:trHeight w:val="257"/>
        </w:trPr>
        <w:tc>
          <w:tcPr>
            <w:tcW w:w="851" w:type="pct"/>
          </w:tcPr>
          <w:p w14:paraId="069B9EF7" w14:textId="77777777" w:rsidR="00C64FCA" w:rsidRPr="00C64FCA" w:rsidRDefault="00C64FCA" w:rsidP="00C64FCA">
            <w:pPr>
              <w:tabs>
                <w:tab w:val="left" w:pos="-720"/>
              </w:tabs>
              <w:suppressAutoHyphens/>
              <w:spacing w:after="0" w:line="240" w:lineRule="auto"/>
              <w:jc w:val="right"/>
              <w:rPr>
                <w:rFonts w:eastAsia="Times New Roman" w:cs="Arial"/>
                <w:spacing w:val="-3"/>
                <w:sz w:val="20"/>
                <w:szCs w:val="20"/>
              </w:rPr>
            </w:pPr>
          </w:p>
        </w:tc>
        <w:tc>
          <w:tcPr>
            <w:tcW w:w="2074" w:type="pct"/>
            <w:gridSpan w:val="4"/>
            <w:vAlign w:val="bottom"/>
          </w:tcPr>
          <w:p w14:paraId="1B2E0D53" w14:textId="77777777" w:rsidR="00C64FCA" w:rsidRPr="00C64FCA" w:rsidRDefault="00C64FCA" w:rsidP="00C64FCA">
            <w:pPr>
              <w:spacing w:after="0" w:line="280" w:lineRule="exact"/>
              <w:jc w:val="right"/>
              <w:outlineLvl w:val="0"/>
              <w:rPr>
                <w:rFonts w:eastAsia="Times New Roman" w:cs="Arial"/>
                <w:b/>
                <w:bCs/>
                <w:sz w:val="20"/>
                <w:szCs w:val="20"/>
              </w:rPr>
            </w:pPr>
            <w:r w:rsidRPr="00C64FCA">
              <w:rPr>
                <w:rFonts w:eastAsia="Times New Roman" w:cs="Arial"/>
                <w:b/>
                <w:sz w:val="20"/>
                <w:szCs w:val="20"/>
              </w:rPr>
              <w:t>Group</w:t>
            </w:r>
            <w:r w:rsidRPr="00C64FCA" w:rsidDel="00833713">
              <w:rPr>
                <w:rFonts w:eastAsia="Times New Roman" w:cs="Arial"/>
                <w:b/>
                <w:sz w:val="20"/>
                <w:szCs w:val="20"/>
              </w:rPr>
              <w:t xml:space="preserve"> </w:t>
            </w:r>
          </w:p>
        </w:tc>
        <w:tc>
          <w:tcPr>
            <w:tcW w:w="2075" w:type="pct"/>
            <w:gridSpan w:val="4"/>
            <w:vAlign w:val="bottom"/>
          </w:tcPr>
          <w:p w14:paraId="50C1E758" w14:textId="77777777" w:rsidR="00C64FCA" w:rsidRPr="00C64FCA" w:rsidRDefault="00C64FCA" w:rsidP="00C64FCA">
            <w:pPr>
              <w:spacing w:after="0" w:line="280" w:lineRule="exact"/>
              <w:jc w:val="right"/>
              <w:outlineLvl w:val="0"/>
              <w:rPr>
                <w:rFonts w:eastAsia="Times New Roman" w:cs="Arial"/>
                <w:b/>
                <w:bCs/>
                <w:sz w:val="20"/>
                <w:szCs w:val="20"/>
              </w:rPr>
            </w:pPr>
            <w:r w:rsidRPr="00C64FCA">
              <w:rPr>
                <w:rFonts w:eastAsia="Times New Roman" w:cs="Arial"/>
                <w:b/>
                <w:sz w:val="20"/>
                <w:szCs w:val="20"/>
              </w:rPr>
              <w:t>Bank</w:t>
            </w:r>
          </w:p>
        </w:tc>
      </w:tr>
      <w:tr w:rsidR="00C64FCA" w:rsidRPr="00C64FCA" w14:paraId="542E8D9E" w14:textId="77777777" w:rsidTr="0013539B">
        <w:trPr>
          <w:trHeight w:val="257"/>
        </w:trPr>
        <w:tc>
          <w:tcPr>
            <w:tcW w:w="851" w:type="pct"/>
          </w:tcPr>
          <w:p w14:paraId="3861CAA6" w14:textId="77777777" w:rsidR="00C64FCA" w:rsidRPr="00C64FCA" w:rsidRDefault="00C64FCA" w:rsidP="00C64FCA">
            <w:pPr>
              <w:tabs>
                <w:tab w:val="left" w:pos="-720"/>
              </w:tabs>
              <w:suppressAutoHyphens/>
              <w:spacing w:after="0" w:line="240" w:lineRule="auto"/>
              <w:jc w:val="right"/>
              <w:rPr>
                <w:rFonts w:eastAsia="Times New Roman" w:cs="Arial"/>
                <w:spacing w:val="-3"/>
                <w:sz w:val="20"/>
                <w:szCs w:val="20"/>
              </w:rPr>
            </w:pPr>
          </w:p>
        </w:tc>
        <w:tc>
          <w:tcPr>
            <w:tcW w:w="1037" w:type="pct"/>
            <w:gridSpan w:val="2"/>
          </w:tcPr>
          <w:p w14:paraId="1AA81FBE" w14:textId="77777777" w:rsidR="00C64FCA" w:rsidRPr="00C64FCA" w:rsidRDefault="00C64FCA" w:rsidP="00C64FCA">
            <w:pPr>
              <w:tabs>
                <w:tab w:val="right" w:pos="1202"/>
              </w:tabs>
              <w:spacing w:after="0" w:line="240" w:lineRule="auto"/>
              <w:jc w:val="center"/>
              <w:outlineLvl w:val="0"/>
              <w:rPr>
                <w:rFonts w:eastAsia="Times New Roman" w:cs="Arial"/>
                <w:spacing w:val="-2"/>
                <w:sz w:val="20"/>
                <w:szCs w:val="20"/>
              </w:rPr>
            </w:pPr>
            <w:r w:rsidRPr="00C64FCA">
              <w:rPr>
                <w:rFonts w:asciiTheme="minorHAnsi" w:eastAsia="Times New Roman" w:hAnsiTheme="minorHAnsi" w:cs="Arial"/>
                <w:b/>
                <w:bCs/>
                <w:sz w:val="20"/>
                <w:szCs w:val="20"/>
                <w:lang w:val="hr-HR"/>
              </w:rPr>
              <w:t>201</w:t>
            </w:r>
            <w:r>
              <w:rPr>
                <w:rFonts w:asciiTheme="minorHAnsi" w:eastAsia="Times New Roman" w:hAnsiTheme="minorHAnsi" w:cs="Arial"/>
                <w:b/>
                <w:bCs/>
                <w:sz w:val="20"/>
                <w:szCs w:val="20"/>
                <w:lang w:val="hr-HR"/>
              </w:rPr>
              <w:t>7</w:t>
            </w:r>
          </w:p>
        </w:tc>
        <w:tc>
          <w:tcPr>
            <w:tcW w:w="1037" w:type="pct"/>
            <w:gridSpan w:val="2"/>
          </w:tcPr>
          <w:p w14:paraId="3ED682E8" w14:textId="08E61E1B" w:rsidR="00C64FCA" w:rsidRPr="00C64FCA" w:rsidRDefault="00C64FCA">
            <w:pPr>
              <w:tabs>
                <w:tab w:val="right" w:pos="1202"/>
              </w:tabs>
              <w:spacing w:after="0" w:line="240" w:lineRule="auto"/>
              <w:jc w:val="center"/>
              <w:outlineLvl w:val="0"/>
              <w:rPr>
                <w:rFonts w:eastAsia="Times New Roman" w:cs="Arial"/>
                <w:spacing w:val="-2"/>
                <w:sz w:val="20"/>
                <w:szCs w:val="20"/>
              </w:rPr>
            </w:pPr>
            <w:r w:rsidRPr="00C64FCA">
              <w:rPr>
                <w:rFonts w:asciiTheme="minorHAnsi" w:eastAsia="Times New Roman" w:hAnsiTheme="minorHAnsi" w:cs="Arial"/>
                <w:b/>
                <w:bCs/>
                <w:sz w:val="20"/>
                <w:szCs w:val="20"/>
                <w:lang w:val="hr-HR"/>
              </w:rPr>
              <w:t>201</w:t>
            </w:r>
            <w:r w:rsidR="000D7D7B">
              <w:rPr>
                <w:rFonts w:asciiTheme="minorHAnsi" w:eastAsia="Times New Roman" w:hAnsiTheme="minorHAnsi" w:cs="Arial"/>
                <w:b/>
                <w:bCs/>
                <w:sz w:val="20"/>
                <w:szCs w:val="20"/>
                <w:lang w:val="hr-HR"/>
              </w:rPr>
              <w:t>6</w:t>
            </w:r>
          </w:p>
        </w:tc>
        <w:tc>
          <w:tcPr>
            <w:tcW w:w="1037" w:type="pct"/>
            <w:gridSpan w:val="2"/>
          </w:tcPr>
          <w:p w14:paraId="4668D1AD" w14:textId="77777777" w:rsidR="00C64FCA" w:rsidRPr="00C64FCA" w:rsidRDefault="00C64FCA" w:rsidP="00C64FCA">
            <w:pPr>
              <w:tabs>
                <w:tab w:val="right" w:pos="1202"/>
              </w:tabs>
              <w:spacing w:after="0" w:line="240" w:lineRule="auto"/>
              <w:jc w:val="center"/>
              <w:outlineLvl w:val="0"/>
              <w:rPr>
                <w:rFonts w:eastAsia="Times New Roman" w:cs="Arial"/>
                <w:spacing w:val="-2"/>
                <w:sz w:val="20"/>
                <w:szCs w:val="20"/>
              </w:rPr>
            </w:pPr>
            <w:r w:rsidRPr="00C64FCA">
              <w:rPr>
                <w:rFonts w:asciiTheme="minorHAnsi" w:eastAsia="Times New Roman" w:hAnsiTheme="minorHAnsi" w:cs="Arial"/>
                <w:b/>
                <w:bCs/>
                <w:sz w:val="20"/>
                <w:szCs w:val="20"/>
                <w:lang w:val="hr-HR"/>
              </w:rPr>
              <w:t>201</w:t>
            </w:r>
            <w:r>
              <w:rPr>
                <w:rFonts w:asciiTheme="minorHAnsi" w:eastAsia="Times New Roman" w:hAnsiTheme="minorHAnsi" w:cs="Arial"/>
                <w:b/>
                <w:bCs/>
                <w:sz w:val="20"/>
                <w:szCs w:val="20"/>
                <w:lang w:val="hr-HR"/>
              </w:rPr>
              <w:t>7</w:t>
            </w:r>
          </w:p>
        </w:tc>
        <w:tc>
          <w:tcPr>
            <w:tcW w:w="1038" w:type="pct"/>
            <w:gridSpan w:val="2"/>
          </w:tcPr>
          <w:p w14:paraId="3E40BA0E" w14:textId="77777777" w:rsidR="00C64FCA" w:rsidRPr="00C64FCA" w:rsidRDefault="00C64FCA" w:rsidP="00C64FCA">
            <w:pPr>
              <w:tabs>
                <w:tab w:val="right" w:pos="1202"/>
              </w:tabs>
              <w:spacing w:after="0" w:line="240" w:lineRule="auto"/>
              <w:jc w:val="center"/>
              <w:outlineLvl w:val="0"/>
              <w:rPr>
                <w:rFonts w:eastAsia="Times New Roman" w:cs="Arial"/>
                <w:spacing w:val="-2"/>
                <w:sz w:val="20"/>
                <w:szCs w:val="20"/>
              </w:rPr>
            </w:pPr>
            <w:r w:rsidRPr="00C64FCA">
              <w:rPr>
                <w:rFonts w:asciiTheme="minorHAnsi" w:eastAsia="Times New Roman" w:hAnsiTheme="minorHAnsi" w:cs="Arial"/>
                <w:b/>
                <w:bCs/>
                <w:sz w:val="20"/>
                <w:szCs w:val="20"/>
                <w:lang w:val="hr-HR"/>
              </w:rPr>
              <w:t>201</w:t>
            </w:r>
            <w:r>
              <w:rPr>
                <w:rFonts w:asciiTheme="minorHAnsi" w:eastAsia="Times New Roman" w:hAnsiTheme="minorHAnsi" w:cs="Arial"/>
                <w:b/>
                <w:bCs/>
                <w:sz w:val="20"/>
                <w:szCs w:val="20"/>
                <w:lang w:val="hr-HR"/>
              </w:rPr>
              <w:t>6</w:t>
            </w:r>
          </w:p>
        </w:tc>
      </w:tr>
      <w:tr w:rsidR="00C64FCA" w:rsidRPr="00C64FCA" w14:paraId="33DE3ED3" w14:textId="77777777" w:rsidTr="0013539B">
        <w:trPr>
          <w:trHeight w:val="257"/>
        </w:trPr>
        <w:tc>
          <w:tcPr>
            <w:tcW w:w="851" w:type="pct"/>
          </w:tcPr>
          <w:p w14:paraId="18FBBAC5" w14:textId="77777777" w:rsidR="00C64FCA" w:rsidRPr="00C64FCA" w:rsidRDefault="00C64FCA" w:rsidP="00C64FCA">
            <w:pPr>
              <w:tabs>
                <w:tab w:val="left" w:pos="-720"/>
              </w:tabs>
              <w:suppressAutoHyphens/>
              <w:spacing w:after="0" w:line="240" w:lineRule="auto"/>
              <w:jc w:val="right"/>
              <w:rPr>
                <w:rFonts w:eastAsia="Times New Roman" w:cs="Arial"/>
                <w:spacing w:val="-3"/>
                <w:sz w:val="20"/>
                <w:szCs w:val="20"/>
              </w:rPr>
            </w:pPr>
          </w:p>
        </w:tc>
        <w:tc>
          <w:tcPr>
            <w:tcW w:w="518" w:type="pct"/>
            <w:vAlign w:val="center"/>
          </w:tcPr>
          <w:p w14:paraId="1C0414E5" w14:textId="77777777" w:rsidR="00337B86" w:rsidRPr="00337B86" w:rsidRDefault="00C64FCA" w:rsidP="00337B86">
            <w:pPr>
              <w:spacing w:after="0" w:line="240" w:lineRule="auto"/>
              <w:jc w:val="center"/>
              <w:outlineLvl w:val="0"/>
              <w:rPr>
                <w:rFonts w:eastAsia="Times New Roman" w:cs="Calibri"/>
                <w:bCs/>
                <w:sz w:val="20"/>
                <w:szCs w:val="20"/>
              </w:rPr>
            </w:pPr>
            <w:r w:rsidRPr="00C64FCA">
              <w:rPr>
                <w:rFonts w:eastAsia="Times New Roman" w:cs="Calibri"/>
                <w:bCs/>
                <w:sz w:val="20"/>
                <w:szCs w:val="20"/>
              </w:rPr>
              <w:t xml:space="preserve">Current period </w:t>
            </w:r>
            <w:r w:rsidR="00337B86" w:rsidRPr="00337B86">
              <w:rPr>
                <w:rFonts w:eastAsia="Times New Roman" w:cs="Calibri"/>
                <w:bCs/>
                <w:sz w:val="20"/>
                <w:szCs w:val="20"/>
              </w:rPr>
              <w:t xml:space="preserve">July 1 – </w:t>
            </w:r>
          </w:p>
          <w:p w14:paraId="7CDA53BF" w14:textId="70BDFA60" w:rsidR="00C64FCA" w:rsidRPr="00C64FCA" w:rsidDel="00B36F51" w:rsidRDefault="00337B86" w:rsidP="00337B86">
            <w:pPr>
              <w:spacing w:after="0" w:line="280" w:lineRule="exact"/>
              <w:jc w:val="center"/>
              <w:outlineLvl w:val="0"/>
              <w:rPr>
                <w:rFonts w:eastAsia="Times New Roman" w:cs="Arial"/>
                <w:b/>
                <w:bCs/>
                <w:sz w:val="20"/>
                <w:szCs w:val="20"/>
              </w:rPr>
            </w:pPr>
            <w:r w:rsidRPr="00337B86">
              <w:rPr>
                <w:rFonts w:eastAsia="Times New Roman" w:cs="Calibri"/>
                <w:bCs/>
                <w:sz w:val="20"/>
                <w:szCs w:val="20"/>
              </w:rPr>
              <w:t>September 30</w:t>
            </w:r>
          </w:p>
        </w:tc>
        <w:tc>
          <w:tcPr>
            <w:tcW w:w="519" w:type="pct"/>
            <w:vAlign w:val="center"/>
          </w:tcPr>
          <w:p w14:paraId="5ECBC5FD" w14:textId="77777777" w:rsidR="00C64FCA" w:rsidRPr="00C64FCA" w:rsidRDefault="00C64FCA" w:rsidP="00C64FCA">
            <w:pPr>
              <w:spacing w:after="0" w:line="301" w:lineRule="exact"/>
              <w:jc w:val="center"/>
              <w:outlineLvl w:val="0"/>
              <w:rPr>
                <w:rFonts w:eastAsia="Times New Roman" w:cs="Calibri"/>
                <w:bCs/>
                <w:sz w:val="20"/>
                <w:szCs w:val="20"/>
              </w:rPr>
            </w:pPr>
            <w:r w:rsidRPr="00C64FCA">
              <w:rPr>
                <w:rFonts w:eastAsia="Times New Roman" w:cs="Calibri"/>
                <w:bCs/>
                <w:sz w:val="20"/>
                <w:szCs w:val="20"/>
              </w:rPr>
              <w:t>Cumulatively</w:t>
            </w:r>
          </w:p>
          <w:p w14:paraId="4A7761A3" w14:textId="77777777" w:rsidR="00C64FCA" w:rsidRPr="00C64FCA" w:rsidRDefault="00C64FCA" w:rsidP="00C64FCA">
            <w:pPr>
              <w:spacing w:after="0" w:line="240" w:lineRule="auto"/>
              <w:jc w:val="center"/>
              <w:outlineLvl w:val="0"/>
              <w:rPr>
                <w:rFonts w:eastAsia="Times New Roman" w:cs="Calibri"/>
                <w:bCs/>
                <w:sz w:val="20"/>
                <w:szCs w:val="20"/>
              </w:rPr>
            </w:pPr>
            <w:r w:rsidRPr="00C64FCA">
              <w:rPr>
                <w:rFonts w:eastAsia="Times New Roman" w:cs="Calibri"/>
                <w:bCs/>
                <w:sz w:val="20"/>
                <w:szCs w:val="20"/>
              </w:rPr>
              <w:t>January 1 –</w:t>
            </w:r>
          </w:p>
          <w:p w14:paraId="60E9852D" w14:textId="433B1695" w:rsidR="00C64FCA" w:rsidRPr="00C64FCA" w:rsidDel="00B36F51" w:rsidRDefault="00337B86" w:rsidP="00C64FCA">
            <w:pPr>
              <w:spacing w:after="0" w:line="280" w:lineRule="exact"/>
              <w:jc w:val="center"/>
              <w:outlineLvl w:val="0"/>
              <w:rPr>
                <w:rFonts w:eastAsia="Times New Roman" w:cs="Arial"/>
                <w:b/>
                <w:bCs/>
                <w:sz w:val="20"/>
                <w:szCs w:val="20"/>
              </w:rPr>
            </w:pPr>
            <w:r w:rsidRPr="00337B86">
              <w:rPr>
                <w:rFonts w:cs="Calibri"/>
                <w:bCs/>
                <w:sz w:val="20"/>
              </w:rPr>
              <w:t>September</w:t>
            </w:r>
            <w:r w:rsidR="00C64FCA" w:rsidRPr="00C64FCA">
              <w:rPr>
                <w:rFonts w:cs="Calibri"/>
                <w:bCs/>
                <w:sz w:val="20"/>
              </w:rPr>
              <w:t xml:space="preserve"> 30</w:t>
            </w:r>
          </w:p>
        </w:tc>
        <w:tc>
          <w:tcPr>
            <w:tcW w:w="518" w:type="pct"/>
            <w:vAlign w:val="center"/>
          </w:tcPr>
          <w:p w14:paraId="7C7EE51D" w14:textId="77777777" w:rsidR="00337B86" w:rsidRPr="00337B86" w:rsidRDefault="00C64FCA" w:rsidP="00337B86">
            <w:pPr>
              <w:spacing w:after="0" w:line="240" w:lineRule="auto"/>
              <w:jc w:val="center"/>
              <w:outlineLvl w:val="0"/>
              <w:rPr>
                <w:rFonts w:eastAsia="Times New Roman" w:cs="Calibri"/>
                <w:bCs/>
                <w:sz w:val="20"/>
                <w:szCs w:val="20"/>
              </w:rPr>
            </w:pPr>
            <w:r w:rsidRPr="00C64FCA">
              <w:rPr>
                <w:rFonts w:eastAsia="Times New Roman" w:cs="Calibri"/>
                <w:bCs/>
                <w:sz w:val="20"/>
                <w:szCs w:val="20"/>
              </w:rPr>
              <w:t xml:space="preserve">Current period </w:t>
            </w:r>
            <w:r w:rsidR="00337B86" w:rsidRPr="00337B86">
              <w:rPr>
                <w:rFonts w:eastAsia="Times New Roman" w:cs="Calibri"/>
                <w:bCs/>
                <w:sz w:val="20"/>
                <w:szCs w:val="20"/>
              </w:rPr>
              <w:t xml:space="preserve">July 1 – </w:t>
            </w:r>
          </w:p>
          <w:p w14:paraId="163DC63B" w14:textId="58F56277" w:rsidR="00C64FCA" w:rsidRPr="00C64FCA" w:rsidDel="00B36F51" w:rsidRDefault="00337B86" w:rsidP="00337B86">
            <w:pPr>
              <w:spacing w:after="0" w:line="280" w:lineRule="exact"/>
              <w:jc w:val="center"/>
              <w:outlineLvl w:val="0"/>
              <w:rPr>
                <w:rFonts w:eastAsia="Times New Roman" w:cs="Arial"/>
                <w:b/>
                <w:bCs/>
                <w:sz w:val="20"/>
                <w:szCs w:val="20"/>
              </w:rPr>
            </w:pPr>
            <w:r w:rsidRPr="00337B86">
              <w:rPr>
                <w:rFonts w:eastAsia="Times New Roman" w:cs="Calibri"/>
                <w:bCs/>
                <w:sz w:val="20"/>
                <w:szCs w:val="20"/>
              </w:rPr>
              <w:t>September 30</w:t>
            </w:r>
          </w:p>
        </w:tc>
        <w:tc>
          <w:tcPr>
            <w:tcW w:w="519" w:type="pct"/>
            <w:vAlign w:val="center"/>
          </w:tcPr>
          <w:p w14:paraId="5AEA72EA" w14:textId="77777777" w:rsidR="00C64FCA" w:rsidRPr="00C64FCA" w:rsidRDefault="00C64FCA" w:rsidP="00C64FCA">
            <w:pPr>
              <w:spacing w:after="0" w:line="301" w:lineRule="exact"/>
              <w:jc w:val="center"/>
              <w:outlineLvl w:val="0"/>
              <w:rPr>
                <w:rFonts w:eastAsia="Times New Roman" w:cs="Calibri"/>
                <w:bCs/>
                <w:sz w:val="20"/>
                <w:szCs w:val="20"/>
              </w:rPr>
            </w:pPr>
            <w:r w:rsidRPr="00C64FCA">
              <w:rPr>
                <w:rFonts w:eastAsia="Times New Roman" w:cs="Calibri"/>
                <w:bCs/>
                <w:sz w:val="20"/>
                <w:szCs w:val="20"/>
              </w:rPr>
              <w:t>Cumulatively</w:t>
            </w:r>
          </w:p>
          <w:p w14:paraId="6F475EA9" w14:textId="77777777" w:rsidR="00C64FCA" w:rsidRPr="00C64FCA" w:rsidRDefault="00C64FCA" w:rsidP="00C64FCA">
            <w:pPr>
              <w:spacing w:after="0" w:line="240" w:lineRule="auto"/>
              <w:jc w:val="center"/>
              <w:outlineLvl w:val="0"/>
              <w:rPr>
                <w:rFonts w:eastAsia="Times New Roman" w:cs="Calibri"/>
                <w:bCs/>
                <w:sz w:val="20"/>
                <w:szCs w:val="20"/>
              </w:rPr>
            </w:pPr>
            <w:r w:rsidRPr="00C64FCA">
              <w:rPr>
                <w:rFonts w:eastAsia="Times New Roman" w:cs="Calibri"/>
                <w:bCs/>
                <w:sz w:val="20"/>
                <w:szCs w:val="20"/>
              </w:rPr>
              <w:t>January 1 –</w:t>
            </w:r>
          </w:p>
          <w:p w14:paraId="20076991" w14:textId="58CF48D8" w:rsidR="00C64FCA" w:rsidRPr="00C64FCA" w:rsidDel="00B36F51" w:rsidRDefault="00337B86" w:rsidP="00C64FCA">
            <w:pPr>
              <w:spacing w:after="0" w:line="280" w:lineRule="exact"/>
              <w:jc w:val="center"/>
              <w:outlineLvl w:val="0"/>
              <w:rPr>
                <w:rFonts w:eastAsia="Times New Roman" w:cs="Arial"/>
                <w:b/>
                <w:bCs/>
                <w:sz w:val="20"/>
                <w:szCs w:val="20"/>
              </w:rPr>
            </w:pPr>
            <w:r w:rsidRPr="00337B86">
              <w:rPr>
                <w:rFonts w:cs="Calibri"/>
                <w:bCs/>
                <w:sz w:val="20"/>
              </w:rPr>
              <w:t>September</w:t>
            </w:r>
            <w:r w:rsidR="00C64FCA" w:rsidRPr="00C64FCA">
              <w:rPr>
                <w:rFonts w:cs="Calibri"/>
                <w:bCs/>
                <w:sz w:val="20"/>
              </w:rPr>
              <w:t xml:space="preserve"> 30</w:t>
            </w:r>
          </w:p>
        </w:tc>
        <w:tc>
          <w:tcPr>
            <w:tcW w:w="519" w:type="pct"/>
            <w:vAlign w:val="center"/>
          </w:tcPr>
          <w:p w14:paraId="2D161214" w14:textId="77777777" w:rsidR="00337B86" w:rsidRPr="00337B86" w:rsidRDefault="00C64FCA" w:rsidP="00337B86">
            <w:pPr>
              <w:spacing w:after="0" w:line="240" w:lineRule="auto"/>
              <w:jc w:val="center"/>
              <w:outlineLvl w:val="0"/>
              <w:rPr>
                <w:rFonts w:eastAsia="Times New Roman" w:cs="Calibri"/>
                <w:bCs/>
                <w:sz w:val="20"/>
                <w:szCs w:val="20"/>
              </w:rPr>
            </w:pPr>
            <w:r w:rsidRPr="00C64FCA">
              <w:rPr>
                <w:rFonts w:eastAsia="Times New Roman" w:cs="Calibri"/>
                <w:bCs/>
                <w:sz w:val="20"/>
                <w:szCs w:val="20"/>
              </w:rPr>
              <w:t xml:space="preserve">Current period </w:t>
            </w:r>
            <w:r w:rsidR="00337B86" w:rsidRPr="00337B86">
              <w:rPr>
                <w:rFonts w:eastAsia="Times New Roman" w:cs="Calibri"/>
                <w:bCs/>
                <w:sz w:val="20"/>
                <w:szCs w:val="20"/>
              </w:rPr>
              <w:t xml:space="preserve">July 1 – </w:t>
            </w:r>
          </w:p>
          <w:p w14:paraId="07C65646" w14:textId="7356119D" w:rsidR="00C64FCA" w:rsidRPr="00C64FCA" w:rsidRDefault="00337B86" w:rsidP="00337B86">
            <w:pPr>
              <w:spacing w:after="0" w:line="280" w:lineRule="exact"/>
              <w:jc w:val="center"/>
              <w:outlineLvl w:val="0"/>
              <w:rPr>
                <w:rFonts w:eastAsia="Times New Roman" w:cs="Arial"/>
                <w:b/>
                <w:bCs/>
                <w:sz w:val="20"/>
                <w:szCs w:val="20"/>
              </w:rPr>
            </w:pPr>
            <w:r w:rsidRPr="00337B86">
              <w:rPr>
                <w:rFonts w:eastAsia="Times New Roman" w:cs="Calibri"/>
                <w:bCs/>
                <w:sz w:val="20"/>
                <w:szCs w:val="20"/>
              </w:rPr>
              <w:t>September 30</w:t>
            </w:r>
          </w:p>
        </w:tc>
        <w:tc>
          <w:tcPr>
            <w:tcW w:w="518" w:type="pct"/>
            <w:vAlign w:val="center"/>
          </w:tcPr>
          <w:p w14:paraId="5EE88216" w14:textId="77777777" w:rsidR="00C64FCA" w:rsidRPr="00C64FCA" w:rsidRDefault="00C64FCA" w:rsidP="00C64FCA">
            <w:pPr>
              <w:spacing w:after="0" w:line="301" w:lineRule="exact"/>
              <w:jc w:val="center"/>
              <w:outlineLvl w:val="0"/>
              <w:rPr>
                <w:rFonts w:eastAsia="Times New Roman" w:cs="Calibri"/>
                <w:bCs/>
                <w:sz w:val="20"/>
                <w:szCs w:val="20"/>
              </w:rPr>
            </w:pPr>
            <w:r w:rsidRPr="00C64FCA">
              <w:rPr>
                <w:rFonts w:eastAsia="Times New Roman" w:cs="Calibri"/>
                <w:bCs/>
                <w:sz w:val="20"/>
                <w:szCs w:val="20"/>
              </w:rPr>
              <w:t>Cumulatively</w:t>
            </w:r>
          </w:p>
          <w:p w14:paraId="18D36AD9" w14:textId="77777777" w:rsidR="00C64FCA" w:rsidRPr="00C64FCA" w:rsidRDefault="00C64FCA" w:rsidP="00C64FCA">
            <w:pPr>
              <w:spacing w:after="0" w:line="240" w:lineRule="auto"/>
              <w:jc w:val="center"/>
              <w:outlineLvl w:val="0"/>
              <w:rPr>
                <w:rFonts w:eastAsia="Times New Roman" w:cs="Calibri"/>
                <w:bCs/>
                <w:sz w:val="20"/>
                <w:szCs w:val="20"/>
              </w:rPr>
            </w:pPr>
            <w:r w:rsidRPr="00C64FCA">
              <w:rPr>
                <w:rFonts w:eastAsia="Times New Roman" w:cs="Calibri"/>
                <w:bCs/>
                <w:sz w:val="20"/>
                <w:szCs w:val="20"/>
              </w:rPr>
              <w:t>January 1 –</w:t>
            </w:r>
          </w:p>
          <w:p w14:paraId="01B6CD0B" w14:textId="47EE9D4F" w:rsidR="00C64FCA" w:rsidRPr="00C64FCA" w:rsidRDefault="00337B86" w:rsidP="00C64FCA">
            <w:pPr>
              <w:spacing w:after="0" w:line="280" w:lineRule="exact"/>
              <w:jc w:val="center"/>
              <w:outlineLvl w:val="0"/>
              <w:rPr>
                <w:rFonts w:eastAsia="Times New Roman" w:cs="Arial"/>
                <w:b/>
                <w:bCs/>
                <w:sz w:val="20"/>
                <w:szCs w:val="20"/>
              </w:rPr>
            </w:pPr>
            <w:r w:rsidRPr="00337B86">
              <w:rPr>
                <w:rFonts w:cs="Calibri"/>
                <w:bCs/>
                <w:sz w:val="20"/>
              </w:rPr>
              <w:t>September</w:t>
            </w:r>
            <w:r w:rsidR="00C64FCA" w:rsidRPr="00C64FCA">
              <w:rPr>
                <w:rFonts w:cs="Calibri"/>
                <w:bCs/>
                <w:sz w:val="20"/>
              </w:rPr>
              <w:t xml:space="preserve"> 30</w:t>
            </w:r>
          </w:p>
        </w:tc>
        <w:tc>
          <w:tcPr>
            <w:tcW w:w="519" w:type="pct"/>
            <w:vAlign w:val="center"/>
          </w:tcPr>
          <w:p w14:paraId="186BB074" w14:textId="77777777" w:rsidR="00337B86" w:rsidRPr="00337B86" w:rsidRDefault="00C64FCA" w:rsidP="00337B86">
            <w:pPr>
              <w:spacing w:after="0" w:line="240" w:lineRule="auto"/>
              <w:jc w:val="center"/>
              <w:outlineLvl w:val="0"/>
              <w:rPr>
                <w:rFonts w:eastAsia="Times New Roman" w:cs="Calibri"/>
                <w:bCs/>
                <w:sz w:val="20"/>
                <w:szCs w:val="20"/>
              </w:rPr>
            </w:pPr>
            <w:r w:rsidRPr="00C64FCA">
              <w:rPr>
                <w:rFonts w:eastAsia="Times New Roman" w:cs="Calibri"/>
                <w:bCs/>
                <w:sz w:val="20"/>
                <w:szCs w:val="20"/>
              </w:rPr>
              <w:t xml:space="preserve">Current period </w:t>
            </w:r>
            <w:r w:rsidR="00337B86" w:rsidRPr="00337B86">
              <w:rPr>
                <w:rFonts w:eastAsia="Times New Roman" w:cs="Calibri"/>
                <w:bCs/>
                <w:sz w:val="20"/>
                <w:szCs w:val="20"/>
              </w:rPr>
              <w:t xml:space="preserve">July 1 – </w:t>
            </w:r>
          </w:p>
          <w:p w14:paraId="528D9092" w14:textId="21FBF4A3" w:rsidR="00C64FCA" w:rsidRPr="00C64FCA" w:rsidRDefault="00337B86" w:rsidP="00337B86">
            <w:pPr>
              <w:spacing w:after="0" w:line="280" w:lineRule="exact"/>
              <w:jc w:val="center"/>
              <w:outlineLvl w:val="0"/>
              <w:rPr>
                <w:rFonts w:eastAsia="Times New Roman" w:cs="Arial"/>
                <w:b/>
                <w:bCs/>
                <w:sz w:val="20"/>
                <w:szCs w:val="20"/>
              </w:rPr>
            </w:pPr>
            <w:r w:rsidRPr="00337B86">
              <w:rPr>
                <w:rFonts w:eastAsia="Times New Roman" w:cs="Calibri"/>
                <w:bCs/>
                <w:sz w:val="20"/>
                <w:szCs w:val="20"/>
              </w:rPr>
              <w:t>September 30</w:t>
            </w:r>
          </w:p>
        </w:tc>
        <w:tc>
          <w:tcPr>
            <w:tcW w:w="519" w:type="pct"/>
            <w:vAlign w:val="center"/>
          </w:tcPr>
          <w:p w14:paraId="1BF000D7" w14:textId="77777777" w:rsidR="00C64FCA" w:rsidRPr="00C64FCA" w:rsidRDefault="00C64FCA" w:rsidP="00C64FCA">
            <w:pPr>
              <w:spacing w:after="0" w:line="301" w:lineRule="exact"/>
              <w:jc w:val="center"/>
              <w:outlineLvl w:val="0"/>
              <w:rPr>
                <w:rFonts w:eastAsia="Times New Roman" w:cs="Calibri"/>
                <w:bCs/>
                <w:sz w:val="20"/>
                <w:szCs w:val="20"/>
              </w:rPr>
            </w:pPr>
            <w:r w:rsidRPr="00C64FCA">
              <w:rPr>
                <w:rFonts w:eastAsia="Times New Roman" w:cs="Calibri"/>
                <w:bCs/>
                <w:sz w:val="20"/>
                <w:szCs w:val="20"/>
              </w:rPr>
              <w:t>Cumulatively</w:t>
            </w:r>
          </w:p>
          <w:p w14:paraId="615CFCBD" w14:textId="77777777" w:rsidR="00C64FCA" w:rsidRPr="00C64FCA" w:rsidRDefault="00C64FCA" w:rsidP="00C64FCA">
            <w:pPr>
              <w:spacing w:after="0" w:line="240" w:lineRule="auto"/>
              <w:jc w:val="center"/>
              <w:outlineLvl w:val="0"/>
              <w:rPr>
                <w:rFonts w:eastAsia="Times New Roman" w:cs="Calibri"/>
                <w:bCs/>
                <w:sz w:val="20"/>
                <w:szCs w:val="20"/>
              </w:rPr>
            </w:pPr>
            <w:r w:rsidRPr="00C64FCA">
              <w:rPr>
                <w:rFonts w:eastAsia="Times New Roman" w:cs="Calibri"/>
                <w:bCs/>
                <w:sz w:val="20"/>
                <w:szCs w:val="20"/>
              </w:rPr>
              <w:t>January 1 –</w:t>
            </w:r>
          </w:p>
          <w:p w14:paraId="4758C72F" w14:textId="59E4E0CA" w:rsidR="00C64FCA" w:rsidRPr="00C64FCA" w:rsidRDefault="00337B86" w:rsidP="00C64FCA">
            <w:pPr>
              <w:spacing w:after="0" w:line="280" w:lineRule="exact"/>
              <w:jc w:val="center"/>
              <w:outlineLvl w:val="0"/>
              <w:rPr>
                <w:rFonts w:eastAsia="Times New Roman" w:cs="Arial"/>
                <w:b/>
                <w:bCs/>
                <w:sz w:val="20"/>
                <w:szCs w:val="20"/>
              </w:rPr>
            </w:pPr>
            <w:r w:rsidRPr="00337B86">
              <w:rPr>
                <w:rFonts w:cs="Calibri"/>
                <w:bCs/>
                <w:sz w:val="20"/>
              </w:rPr>
              <w:t>September</w:t>
            </w:r>
            <w:r w:rsidR="00C64FCA" w:rsidRPr="00C64FCA">
              <w:rPr>
                <w:rFonts w:cs="Calibri"/>
                <w:bCs/>
                <w:sz w:val="20"/>
              </w:rPr>
              <w:t xml:space="preserve"> 30</w:t>
            </w:r>
          </w:p>
        </w:tc>
      </w:tr>
      <w:tr w:rsidR="00C64FCA" w:rsidRPr="00C64FCA" w14:paraId="4CE6C5EC" w14:textId="77777777" w:rsidTr="0013539B">
        <w:trPr>
          <w:trHeight w:hRule="exact" w:val="97"/>
        </w:trPr>
        <w:tc>
          <w:tcPr>
            <w:tcW w:w="851" w:type="pct"/>
          </w:tcPr>
          <w:p w14:paraId="701CFBF1" w14:textId="77777777" w:rsidR="00C64FCA" w:rsidRPr="00C64FCA" w:rsidRDefault="00C64FCA" w:rsidP="00C64FCA">
            <w:pPr>
              <w:tabs>
                <w:tab w:val="left" w:pos="-720"/>
              </w:tabs>
              <w:suppressAutoHyphens/>
              <w:spacing w:after="0" w:line="240" w:lineRule="auto"/>
              <w:rPr>
                <w:rFonts w:eastAsia="Times New Roman" w:cs="Arial"/>
                <w:b/>
                <w:spacing w:val="-3"/>
                <w:sz w:val="20"/>
                <w:szCs w:val="20"/>
              </w:rPr>
            </w:pPr>
          </w:p>
        </w:tc>
        <w:tc>
          <w:tcPr>
            <w:tcW w:w="518" w:type="pct"/>
          </w:tcPr>
          <w:p w14:paraId="22FA3DD8" w14:textId="77777777" w:rsidR="00C64FCA" w:rsidRPr="00C64FCA" w:rsidRDefault="00C64FCA" w:rsidP="00C64FCA">
            <w:pPr>
              <w:tabs>
                <w:tab w:val="left" w:pos="-720"/>
              </w:tabs>
              <w:suppressAutoHyphens/>
              <w:spacing w:after="0" w:line="240" w:lineRule="auto"/>
              <w:jc w:val="right"/>
              <w:rPr>
                <w:rFonts w:eastAsia="Times New Roman" w:cs="Arial"/>
                <w:b/>
                <w:spacing w:val="-3"/>
                <w:sz w:val="20"/>
                <w:szCs w:val="20"/>
              </w:rPr>
            </w:pPr>
          </w:p>
        </w:tc>
        <w:tc>
          <w:tcPr>
            <w:tcW w:w="519" w:type="pct"/>
          </w:tcPr>
          <w:p w14:paraId="75235385" w14:textId="77777777" w:rsidR="00C64FCA" w:rsidRPr="00C64FCA" w:rsidRDefault="00C64FCA" w:rsidP="00C64FCA">
            <w:pPr>
              <w:tabs>
                <w:tab w:val="left" w:pos="-720"/>
              </w:tabs>
              <w:suppressAutoHyphens/>
              <w:spacing w:after="0" w:line="240" w:lineRule="auto"/>
              <w:jc w:val="right"/>
              <w:rPr>
                <w:rFonts w:eastAsia="Times New Roman" w:cs="Arial"/>
                <w:b/>
                <w:spacing w:val="-3"/>
                <w:sz w:val="20"/>
                <w:szCs w:val="20"/>
              </w:rPr>
            </w:pPr>
          </w:p>
        </w:tc>
        <w:tc>
          <w:tcPr>
            <w:tcW w:w="518" w:type="pct"/>
          </w:tcPr>
          <w:p w14:paraId="6747FD2A" w14:textId="77777777" w:rsidR="00C64FCA" w:rsidRPr="00C64FCA" w:rsidRDefault="00C64FCA" w:rsidP="00C64FCA">
            <w:pPr>
              <w:tabs>
                <w:tab w:val="left" w:pos="-720"/>
              </w:tabs>
              <w:suppressAutoHyphens/>
              <w:spacing w:after="0" w:line="240" w:lineRule="auto"/>
              <w:jc w:val="right"/>
              <w:rPr>
                <w:rFonts w:eastAsia="Times New Roman" w:cs="Arial"/>
                <w:b/>
                <w:spacing w:val="-3"/>
                <w:sz w:val="20"/>
                <w:szCs w:val="20"/>
              </w:rPr>
            </w:pPr>
          </w:p>
        </w:tc>
        <w:tc>
          <w:tcPr>
            <w:tcW w:w="519" w:type="pct"/>
          </w:tcPr>
          <w:p w14:paraId="4FC82B2B" w14:textId="77777777" w:rsidR="00C64FCA" w:rsidRPr="00C64FCA" w:rsidRDefault="00C64FCA" w:rsidP="00C64FCA">
            <w:pPr>
              <w:tabs>
                <w:tab w:val="left" w:pos="-720"/>
              </w:tabs>
              <w:suppressAutoHyphens/>
              <w:spacing w:after="0" w:line="240" w:lineRule="auto"/>
              <w:jc w:val="right"/>
              <w:rPr>
                <w:rFonts w:eastAsia="Times New Roman" w:cs="Arial"/>
                <w:b/>
                <w:spacing w:val="-3"/>
                <w:sz w:val="20"/>
                <w:szCs w:val="20"/>
              </w:rPr>
            </w:pPr>
          </w:p>
        </w:tc>
        <w:tc>
          <w:tcPr>
            <w:tcW w:w="519" w:type="pct"/>
          </w:tcPr>
          <w:p w14:paraId="4D2CF493" w14:textId="77777777" w:rsidR="00C64FCA" w:rsidRPr="00C64FCA" w:rsidRDefault="00C64FCA" w:rsidP="00C64FCA">
            <w:pPr>
              <w:tabs>
                <w:tab w:val="left" w:pos="-720"/>
              </w:tabs>
              <w:suppressAutoHyphens/>
              <w:spacing w:after="0" w:line="240" w:lineRule="auto"/>
              <w:jc w:val="right"/>
              <w:rPr>
                <w:rFonts w:eastAsia="Times New Roman" w:cs="Arial"/>
                <w:b/>
                <w:spacing w:val="-3"/>
                <w:sz w:val="20"/>
                <w:szCs w:val="20"/>
              </w:rPr>
            </w:pPr>
          </w:p>
        </w:tc>
        <w:tc>
          <w:tcPr>
            <w:tcW w:w="518" w:type="pct"/>
          </w:tcPr>
          <w:p w14:paraId="50AF9114" w14:textId="77777777" w:rsidR="00C64FCA" w:rsidRPr="00C64FCA" w:rsidRDefault="00C64FCA" w:rsidP="00C64FCA">
            <w:pPr>
              <w:tabs>
                <w:tab w:val="left" w:pos="-720"/>
              </w:tabs>
              <w:suppressAutoHyphens/>
              <w:spacing w:after="0" w:line="240" w:lineRule="auto"/>
              <w:jc w:val="right"/>
              <w:rPr>
                <w:rFonts w:eastAsia="Times New Roman" w:cs="Arial"/>
                <w:b/>
                <w:spacing w:val="-3"/>
                <w:sz w:val="20"/>
                <w:szCs w:val="20"/>
              </w:rPr>
            </w:pPr>
          </w:p>
        </w:tc>
        <w:tc>
          <w:tcPr>
            <w:tcW w:w="519" w:type="pct"/>
          </w:tcPr>
          <w:p w14:paraId="7A5D98C2" w14:textId="77777777" w:rsidR="00C64FCA" w:rsidRPr="00C64FCA" w:rsidRDefault="00C64FCA" w:rsidP="00C64FCA">
            <w:pPr>
              <w:tabs>
                <w:tab w:val="left" w:pos="-720"/>
              </w:tabs>
              <w:suppressAutoHyphens/>
              <w:spacing w:after="0" w:line="240" w:lineRule="auto"/>
              <w:jc w:val="right"/>
              <w:rPr>
                <w:rFonts w:eastAsia="Times New Roman" w:cs="Arial"/>
                <w:b/>
                <w:spacing w:val="-3"/>
                <w:sz w:val="20"/>
                <w:szCs w:val="20"/>
              </w:rPr>
            </w:pPr>
          </w:p>
        </w:tc>
        <w:tc>
          <w:tcPr>
            <w:tcW w:w="519" w:type="pct"/>
          </w:tcPr>
          <w:p w14:paraId="73BA4B47" w14:textId="77777777" w:rsidR="00C64FCA" w:rsidRPr="00C64FCA" w:rsidRDefault="00C64FCA" w:rsidP="00C64FCA">
            <w:pPr>
              <w:tabs>
                <w:tab w:val="left" w:pos="-720"/>
              </w:tabs>
              <w:suppressAutoHyphens/>
              <w:spacing w:after="0" w:line="240" w:lineRule="auto"/>
              <w:jc w:val="right"/>
              <w:rPr>
                <w:rFonts w:eastAsia="Times New Roman" w:cs="Arial"/>
                <w:b/>
                <w:spacing w:val="-3"/>
                <w:sz w:val="20"/>
                <w:szCs w:val="20"/>
              </w:rPr>
            </w:pPr>
          </w:p>
        </w:tc>
      </w:tr>
      <w:tr w:rsidR="00B13741" w:rsidRPr="00C64FCA" w14:paraId="61DDB8AA" w14:textId="77777777" w:rsidTr="006B318F">
        <w:trPr>
          <w:trHeight w:val="103"/>
        </w:trPr>
        <w:tc>
          <w:tcPr>
            <w:tcW w:w="851" w:type="pct"/>
          </w:tcPr>
          <w:p w14:paraId="4C43D490" w14:textId="77777777" w:rsidR="00B13741" w:rsidRPr="00C64FCA" w:rsidRDefault="00B13741" w:rsidP="00B13741">
            <w:pPr>
              <w:tabs>
                <w:tab w:val="right" w:pos="1202"/>
              </w:tabs>
              <w:spacing w:after="0" w:line="301" w:lineRule="exact"/>
              <w:outlineLvl w:val="0"/>
              <w:rPr>
                <w:rFonts w:eastAsia="Times New Roman" w:cs="Arial"/>
                <w:b/>
                <w:sz w:val="20"/>
                <w:szCs w:val="20"/>
              </w:rPr>
            </w:pPr>
            <w:r w:rsidRPr="00C64FCA">
              <w:rPr>
                <w:rFonts w:eastAsia="Times New Roman" w:cs="Arial"/>
                <w:sz w:val="20"/>
                <w:szCs w:val="20"/>
              </w:rPr>
              <w:t xml:space="preserve">Borrowings </w:t>
            </w:r>
          </w:p>
        </w:tc>
        <w:tc>
          <w:tcPr>
            <w:tcW w:w="518" w:type="pct"/>
            <w:tcBorders>
              <w:top w:val="nil"/>
              <w:left w:val="nil"/>
              <w:bottom w:val="nil"/>
              <w:right w:val="nil"/>
            </w:tcBorders>
            <w:shd w:val="clear" w:color="auto" w:fill="auto"/>
            <w:vAlign w:val="bottom"/>
          </w:tcPr>
          <w:p w14:paraId="613E6C61" w14:textId="3C907B7A" w:rsidR="00B13741" w:rsidRPr="00C64FCA" w:rsidRDefault="00B13741" w:rsidP="00B13741">
            <w:pPr>
              <w:tabs>
                <w:tab w:val="right" w:pos="1202"/>
              </w:tabs>
              <w:spacing w:after="0" w:line="301" w:lineRule="exact"/>
              <w:ind w:left="65"/>
              <w:jc w:val="right"/>
              <w:outlineLvl w:val="0"/>
              <w:rPr>
                <w:rFonts w:eastAsia="Times New Roman" w:cs="Arial"/>
                <w:sz w:val="20"/>
                <w:szCs w:val="20"/>
              </w:rPr>
            </w:pPr>
            <w:r w:rsidRPr="006B318F">
              <w:rPr>
                <w:rFonts w:eastAsia="Times New Roman" w:cs="Arial"/>
                <w:sz w:val="20"/>
                <w:szCs w:val="20"/>
              </w:rPr>
              <w:t>67,813</w:t>
            </w:r>
          </w:p>
        </w:tc>
        <w:tc>
          <w:tcPr>
            <w:tcW w:w="519" w:type="pct"/>
            <w:tcBorders>
              <w:top w:val="nil"/>
              <w:left w:val="nil"/>
              <w:bottom w:val="nil"/>
              <w:right w:val="nil"/>
            </w:tcBorders>
            <w:shd w:val="clear" w:color="auto" w:fill="auto"/>
            <w:vAlign w:val="bottom"/>
          </w:tcPr>
          <w:p w14:paraId="32D0BDCD" w14:textId="0DDDC5D9" w:rsidR="00B13741" w:rsidRPr="00C64FCA" w:rsidRDefault="00B13741" w:rsidP="00B13741">
            <w:pPr>
              <w:tabs>
                <w:tab w:val="right" w:pos="1202"/>
              </w:tabs>
              <w:spacing w:after="0" w:line="301" w:lineRule="exact"/>
              <w:ind w:left="65"/>
              <w:jc w:val="right"/>
              <w:outlineLvl w:val="0"/>
              <w:rPr>
                <w:rFonts w:eastAsia="Times New Roman" w:cs="Arial"/>
                <w:sz w:val="20"/>
                <w:szCs w:val="20"/>
              </w:rPr>
            </w:pPr>
            <w:r w:rsidRPr="006B318F">
              <w:rPr>
                <w:rFonts w:eastAsia="Times New Roman" w:cs="Arial"/>
                <w:sz w:val="20"/>
                <w:szCs w:val="20"/>
              </w:rPr>
              <w:t>205,106</w:t>
            </w:r>
          </w:p>
        </w:tc>
        <w:tc>
          <w:tcPr>
            <w:tcW w:w="518" w:type="pct"/>
            <w:tcBorders>
              <w:top w:val="nil"/>
              <w:left w:val="nil"/>
              <w:bottom w:val="nil"/>
              <w:right w:val="nil"/>
            </w:tcBorders>
            <w:shd w:val="clear" w:color="auto" w:fill="auto"/>
            <w:vAlign w:val="bottom"/>
          </w:tcPr>
          <w:p w14:paraId="0D0E1EEB" w14:textId="0FFBD719" w:rsidR="00B13741" w:rsidRPr="00C64FCA" w:rsidRDefault="00B13741" w:rsidP="00B13741">
            <w:pPr>
              <w:tabs>
                <w:tab w:val="right" w:pos="1202"/>
              </w:tabs>
              <w:spacing w:after="0" w:line="301" w:lineRule="exact"/>
              <w:ind w:left="65"/>
              <w:jc w:val="right"/>
              <w:outlineLvl w:val="0"/>
              <w:rPr>
                <w:rFonts w:eastAsia="Times New Roman" w:cs="Arial"/>
                <w:sz w:val="20"/>
                <w:szCs w:val="20"/>
              </w:rPr>
            </w:pPr>
            <w:r w:rsidRPr="006B318F">
              <w:rPr>
                <w:rFonts w:eastAsia="Times New Roman" w:cs="Arial"/>
                <w:sz w:val="20"/>
                <w:szCs w:val="20"/>
              </w:rPr>
              <w:t>70,562</w:t>
            </w:r>
          </w:p>
        </w:tc>
        <w:tc>
          <w:tcPr>
            <w:tcW w:w="519" w:type="pct"/>
            <w:tcBorders>
              <w:top w:val="nil"/>
              <w:left w:val="nil"/>
              <w:bottom w:val="nil"/>
              <w:right w:val="nil"/>
            </w:tcBorders>
            <w:shd w:val="clear" w:color="auto" w:fill="auto"/>
            <w:vAlign w:val="bottom"/>
          </w:tcPr>
          <w:p w14:paraId="71C4CEBF" w14:textId="4B779593" w:rsidR="00B13741" w:rsidRPr="00C64FCA" w:rsidRDefault="00B13741" w:rsidP="00B13741">
            <w:pPr>
              <w:tabs>
                <w:tab w:val="right" w:pos="1202"/>
              </w:tabs>
              <w:spacing w:after="0" w:line="301" w:lineRule="exact"/>
              <w:ind w:left="65"/>
              <w:jc w:val="right"/>
              <w:outlineLvl w:val="0"/>
              <w:rPr>
                <w:rFonts w:eastAsia="Times New Roman" w:cs="Arial"/>
                <w:sz w:val="20"/>
                <w:szCs w:val="20"/>
              </w:rPr>
            </w:pPr>
            <w:r w:rsidRPr="006B318F">
              <w:rPr>
                <w:rFonts w:eastAsia="Times New Roman" w:cs="Arial"/>
                <w:sz w:val="20"/>
                <w:szCs w:val="20"/>
              </w:rPr>
              <w:t>210,352</w:t>
            </w:r>
          </w:p>
        </w:tc>
        <w:tc>
          <w:tcPr>
            <w:tcW w:w="519" w:type="pct"/>
            <w:tcBorders>
              <w:top w:val="nil"/>
              <w:left w:val="nil"/>
              <w:bottom w:val="nil"/>
              <w:right w:val="nil"/>
            </w:tcBorders>
            <w:shd w:val="clear" w:color="auto" w:fill="auto"/>
          </w:tcPr>
          <w:p w14:paraId="263C6A20" w14:textId="45B20AC8" w:rsidR="00B13741" w:rsidRPr="006B318F" w:rsidRDefault="00B13741" w:rsidP="006B318F">
            <w:pPr>
              <w:tabs>
                <w:tab w:val="right" w:pos="1202"/>
              </w:tabs>
              <w:spacing w:after="0" w:line="301" w:lineRule="exact"/>
              <w:jc w:val="right"/>
              <w:outlineLvl w:val="0"/>
              <w:rPr>
                <w:rFonts w:asciiTheme="minorHAnsi" w:hAnsiTheme="minorHAnsi" w:cs="Calibri"/>
                <w:sz w:val="20"/>
              </w:rPr>
            </w:pPr>
            <w:r w:rsidRPr="006B318F">
              <w:rPr>
                <w:rFonts w:asciiTheme="minorHAnsi" w:hAnsiTheme="minorHAnsi" w:cs="Calibri"/>
                <w:sz w:val="20"/>
              </w:rPr>
              <w:t>67,813</w:t>
            </w:r>
          </w:p>
        </w:tc>
        <w:tc>
          <w:tcPr>
            <w:tcW w:w="518" w:type="pct"/>
            <w:tcBorders>
              <w:top w:val="nil"/>
              <w:left w:val="nil"/>
              <w:bottom w:val="nil"/>
              <w:right w:val="nil"/>
            </w:tcBorders>
            <w:shd w:val="clear" w:color="auto" w:fill="auto"/>
          </w:tcPr>
          <w:p w14:paraId="76C02776" w14:textId="5A548773" w:rsidR="00B13741" w:rsidRPr="006B318F" w:rsidRDefault="00B13741" w:rsidP="006B318F">
            <w:pPr>
              <w:tabs>
                <w:tab w:val="right" w:pos="1202"/>
              </w:tabs>
              <w:spacing w:after="0" w:line="301" w:lineRule="exact"/>
              <w:jc w:val="right"/>
              <w:outlineLvl w:val="0"/>
              <w:rPr>
                <w:rFonts w:asciiTheme="minorHAnsi" w:hAnsiTheme="minorHAnsi" w:cs="Calibri"/>
                <w:sz w:val="20"/>
              </w:rPr>
            </w:pPr>
            <w:r w:rsidRPr="006B318F">
              <w:rPr>
                <w:rFonts w:asciiTheme="minorHAnsi" w:hAnsiTheme="minorHAnsi" w:cs="Calibri"/>
                <w:sz w:val="20"/>
              </w:rPr>
              <w:t>205,106</w:t>
            </w:r>
          </w:p>
        </w:tc>
        <w:tc>
          <w:tcPr>
            <w:tcW w:w="519" w:type="pct"/>
            <w:tcBorders>
              <w:top w:val="nil"/>
              <w:left w:val="nil"/>
              <w:bottom w:val="nil"/>
              <w:right w:val="nil"/>
            </w:tcBorders>
            <w:shd w:val="clear" w:color="auto" w:fill="auto"/>
            <w:vAlign w:val="bottom"/>
          </w:tcPr>
          <w:p w14:paraId="44B6D1E7" w14:textId="77DD3D16" w:rsidR="00B13741" w:rsidRPr="00C64FCA" w:rsidRDefault="00B13741" w:rsidP="00B13741">
            <w:pPr>
              <w:tabs>
                <w:tab w:val="right" w:pos="1202"/>
              </w:tabs>
              <w:spacing w:after="0" w:line="301" w:lineRule="exact"/>
              <w:jc w:val="right"/>
              <w:outlineLvl w:val="0"/>
              <w:rPr>
                <w:rFonts w:eastAsia="Times New Roman" w:cs="Arial"/>
                <w:sz w:val="20"/>
                <w:szCs w:val="20"/>
              </w:rPr>
            </w:pPr>
            <w:r>
              <w:rPr>
                <w:rFonts w:asciiTheme="minorHAnsi" w:hAnsiTheme="minorHAnsi" w:cs="Calibri"/>
                <w:sz w:val="20"/>
              </w:rPr>
              <w:t>70,562</w:t>
            </w:r>
          </w:p>
        </w:tc>
        <w:tc>
          <w:tcPr>
            <w:tcW w:w="519" w:type="pct"/>
            <w:tcBorders>
              <w:top w:val="nil"/>
              <w:left w:val="nil"/>
              <w:bottom w:val="nil"/>
              <w:right w:val="nil"/>
            </w:tcBorders>
            <w:shd w:val="clear" w:color="auto" w:fill="auto"/>
            <w:vAlign w:val="bottom"/>
          </w:tcPr>
          <w:p w14:paraId="349F6475" w14:textId="7D7D6DEC" w:rsidR="00B13741" w:rsidRPr="00C64FCA" w:rsidRDefault="00B13741" w:rsidP="00B13741">
            <w:pPr>
              <w:tabs>
                <w:tab w:val="right" w:pos="1202"/>
              </w:tabs>
              <w:spacing w:after="0" w:line="301" w:lineRule="exact"/>
              <w:jc w:val="right"/>
              <w:outlineLvl w:val="0"/>
              <w:rPr>
                <w:rFonts w:eastAsia="Times New Roman" w:cs="Arial"/>
                <w:sz w:val="20"/>
                <w:szCs w:val="20"/>
              </w:rPr>
            </w:pPr>
            <w:r>
              <w:rPr>
                <w:rFonts w:asciiTheme="minorHAnsi" w:hAnsiTheme="minorHAnsi" w:cs="Calibri"/>
                <w:sz w:val="20"/>
              </w:rPr>
              <w:t>210,352</w:t>
            </w:r>
          </w:p>
        </w:tc>
      </w:tr>
      <w:tr w:rsidR="00B13741" w:rsidRPr="00C64FCA" w14:paraId="5B352446" w14:textId="77777777" w:rsidTr="006B318F">
        <w:trPr>
          <w:trHeight w:val="103"/>
        </w:trPr>
        <w:tc>
          <w:tcPr>
            <w:tcW w:w="851" w:type="pct"/>
          </w:tcPr>
          <w:p w14:paraId="12023BA2" w14:textId="77777777" w:rsidR="00B13741" w:rsidRPr="00C64FCA" w:rsidRDefault="00B13741" w:rsidP="00B13741">
            <w:pPr>
              <w:tabs>
                <w:tab w:val="right" w:pos="1202"/>
              </w:tabs>
              <w:spacing w:after="0" w:line="301" w:lineRule="exact"/>
              <w:outlineLvl w:val="0"/>
              <w:rPr>
                <w:rFonts w:eastAsia="Times New Roman" w:cs="Arial"/>
                <w:b/>
                <w:sz w:val="20"/>
                <w:szCs w:val="20"/>
              </w:rPr>
            </w:pPr>
            <w:r w:rsidRPr="00C64FCA">
              <w:rPr>
                <w:rFonts w:eastAsia="Times New Roman" w:cs="Arial"/>
                <w:sz w:val="20"/>
                <w:szCs w:val="20"/>
              </w:rPr>
              <w:t xml:space="preserve">Debt securities </w:t>
            </w:r>
          </w:p>
        </w:tc>
        <w:tc>
          <w:tcPr>
            <w:tcW w:w="518" w:type="pct"/>
            <w:tcBorders>
              <w:top w:val="nil"/>
              <w:left w:val="nil"/>
              <w:bottom w:val="nil"/>
              <w:right w:val="nil"/>
            </w:tcBorders>
            <w:shd w:val="clear" w:color="auto" w:fill="auto"/>
            <w:vAlign w:val="bottom"/>
          </w:tcPr>
          <w:p w14:paraId="7AB68293" w14:textId="4FEEFD88" w:rsidR="00B13741" w:rsidRPr="00C64FCA" w:rsidRDefault="00B13741" w:rsidP="006B318F">
            <w:pPr>
              <w:tabs>
                <w:tab w:val="right" w:pos="1202"/>
              </w:tabs>
              <w:spacing w:after="0" w:line="301" w:lineRule="exact"/>
              <w:ind w:left="65"/>
              <w:jc w:val="right"/>
              <w:outlineLvl w:val="0"/>
              <w:rPr>
                <w:rFonts w:eastAsia="Times New Roman" w:cs="Arial"/>
                <w:sz w:val="20"/>
                <w:szCs w:val="20"/>
              </w:rPr>
            </w:pPr>
            <w:r w:rsidRPr="006B318F">
              <w:rPr>
                <w:rFonts w:eastAsia="Times New Roman" w:cs="Arial"/>
                <w:sz w:val="20"/>
                <w:szCs w:val="20"/>
              </w:rPr>
              <w:t>17,765</w:t>
            </w:r>
          </w:p>
        </w:tc>
        <w:tc>
          <w:tcPr>
            <w:tcW w:w="519" w:type="pct"/>
            <w:tcBorders>
              <w:top w:val="nil"/>
              <w:left w:val="nil"/>
              <w:bottom w:val="nil"/>
              <w:right w:val="nil"/>
            </w:tcBorders>
            <w:shd w:val="clear" w:color="auto" w:fill="auto"/>
            <w:vAlign w:val="bottom"/>
          </w:tcPr>
          <w:p w14:paraId="46BC419B" w14:textId="1E811B8E" w:rsidR="00B13741" w:rsidRPr="00C64FCA" w:rsidRDefault="00B13741" w:rsidP="006B318F">
            <w:pPr>
              <w:tabs>
                <w:tab w:val="right" w:pos="1202"/>
              </w:tabs>
              <w:spacing w:after="0" w:line="301" w:lineRule="exact"/>
              <w:ind w:left="65"/>
              <w:jc w:val="right"/>
              <w:outlineLvl w:val="0"/>
              <w:rPr>
                <w:rFonts w:eastAsia="Times New Roman" w:cs="Arial"/>
                <w:sz w:val="20"/>
                <w:szCs w:val="20"/>
              </w:rPr>
            </w:pPr>
            <w:r w:rsidRPr="006B318F">
              <w:rPr>
                <w:rFonts w:eastAsia="Times New Roman" w:cs="Arial"/>
                <w:sz w:val="20"/>
                <w:szCs w:val="20"/>
              </w:rPr>
              <w:t>95,364</w:t>
            </w:r>
          </w:p>
        </w:tc>
        <w:tc>
          <w:tcPr>
            <w:tcW w:w="518" w:type="pct"/>
            <w:tcBorders>
              <w:top w:val="nil"/>
              <w:left w:val="nil"/>
              <w:bottom w:val="nil"/>
              <w:right w:val="nil"/>
            </w:tcBorders>
            <w:shd w:val="clear" w:color="auto" w:fill="auto"/>
            <w:vAlign w:val="bottom"/>
          </w:tcPr>
          <w:p w14:paraId="3F2DA90E" w14:textId="5A0AE58F" w:rsidR="00B13741" w:rsidRPr="00C64FCA" w:rsidRDefault="00B13741" w:rsidP="006B318F">
            <w:pPr>
              <w:tabs>
                <w:tab w:val="right" w:pos="1202"/>
              </w:tabs>
              <w:spacing w:after="0" w:line="301" w:lineRule="exact"/>
              <w:ind w:left="65"/>
              <w:jc w:val="right"/>
              <w:outlineLvl w:val="0"/>
              <w:rPr>
                <w:rFonts w:eastAsia="Times New Roman" w:cs="Arial"/>
                <w:sz w:val="20"/>
                <w:szCs w:val="20"/>
              </w:rPr>
            </w:pPr>
            <w:r w:rsidRPr="006B318F">
              <w:rPr>
                <w:rFonts w:eastAsia="Times New Roman" w:cs="Arial"/>
                <w:sz w:val="20"/>
                <w:szCs w:val="20"/>
              </w:rPr>
              <w:t>42,076</w:t>
            </w:r>
          </w:p>
        </w:tc>
        <w:tc>
          <w:tcPr>
            <w:tcW w:w="519" w:type="pct"/>
            <w:tcBorders>
              <w:top w:val="nil"/>
              <w:left w:val="nil"/>
              <w:bottom w:val="nil"/>
              <w:right w:val="nil"/>
            </w:tcBorders>
            <w:shd w:val="clear" w:color="auto" w:fill="auto"/>
            <w:vAlign w:val="bottom"/>
          </w:tcPr>
          <w:p w14:paraId="55BB5E71" w14:textId="6F158A05" w:rsidR="00B13741" w:rsidRPr="00C64FCA" w:rsidRDefault="00B13741" w:rsidP="006B318F">
            <w:pPr>
              <w:tabs>
                <w:tab w:val="right" w:pos="1202"/>
              </w:tabs>
              <w:spacing w:after="0" w:line="301" w:lineRule="exact"/>
              <w:ind w:left="65"/>
              <w:jc w:val="right"/>
              <w:outlineLvl w:val="0"/>
              <w:rPr>
                <w:rFonts w:eastAsia="Times New Roman" w:cs="Arial"/>
                <w:sz w:val="20"/>
                <w:szCs w:val="20"/>
              </w:rPr>
            </w:pPr>
            <w:r w:rsidRPr="006B318F">
              <w:rPr>
                <w:rFonts w:eastAsia="Times New Roman" w:cs="Arial"/>
                <w:sz w:val="20"/>
                <w:szCs w:val="20"/>
              </w:rPr>
              <w:t>130,522</w:t>
            </w:r>
          </w:p>
        </w:tc>
        <w:tc>
          <w:tcPr>
            <w:tcW w:w="519" w:type="pct"/>
            <w:tcBorders>
              <w:top w:val="nil"/>
              <w:left w:val="nil"/>
              <w:bottom w:val="nil"/>
              <w:right w:val="nil"/>
            </w:tcBorders>
            <w:shd w:val="clear" w:color="auto" w:fill="auto"/>
          </w:tcPr>
          <w:p w14:paraId="10230585" w14:textId="285CD150" w:rsidR="00B13741" w:rsidRPr="006B318F" w:rsidRDefault="00B13741" w:rsidP="00B13741">
            <w:pPr>
              <w:tabs>
                <w:tab w:val="right" w:pos="1202"/>
              </w:tabs>
              <w:spacing w:after="0" w:line="301" w:lineRule="exact"/>
              <w:jc w:val="right"/>
              <w:outlineLvl w:val="0"/>
              <w:rPr>
                <w:rFonts w:asciiTheme="minorHAnsi" w:hAnsiTheme="minorHAnsi" w:cs="Calibri"/>
                <w:sz w:val="20"/>
              </w:rPr>
            </w:pPr>
            <w:r w:rsidRPr="006B318F">
              <w:rPr>
                <w:rFonts w:asciiTheme="minorHAnsi" w:hAnsiTheme="minorHAnsi" w:cs="Calibri"/>
                <w:sz w:val="20"/>
              </w:rPr>
              <w:t>17,765</w:t>
            </w:r>
          </w:p>
        </w:tc>
        <w:tc>
          <w:tcPr>
            <w:tcW w:w="518" w:type="pct"/>
            <w:tcBorders>
              <w:top w:val="nil"/>
              <w:left w:val="nil"/>
              <w:bottom w:val="nil"/>
              <w:right w:val="nil"/>
            </w:tcBorders>
            <w:shd w:val="clear" w:color="auto" w:fill="auto"/>
          </w:tcPr>
          <w:p w14:paraId="2A978B72" w14:textId="0BD6A855" w:rsidR="00B13741" w:rsidRPr="006B318F" w:rsidRDefault="00B13741" w:rsidP="00B13741">
            <w:pPr>
              <w:tabs>
                <w:tab w:val="right" w:pos="1202"/>
              </w:tabs>
              <w:spacing w:after="0" w:line="301" w:lineRule="exact"/>
              <w:jc w:val="right"/>
              <w:outlineLvl w:val="0"/>
              <w:rPr>
                <w:rFonts w:asciiTheme="minorHAnsi" w:hAnsiTheme="minorHAnsi" w:cs="Calibri"/>
                <w:sz w:val="20"/>
              </w:rPr>
            </w:pPr>
            <w:r w:rsidRPr="006B318F">
              <w:rPr>
                <w:rFonts w:asciiTheme="minorHAnsi" w:hAnsiTheme="minorHAnsi" w:cs="Calibri"/>
                <w:sz w:val="20"/>
              </w:rPr>
              <w:t>95,364</w:t>
            </w:r>
          </w:p>
        </w:tc>
        <w:tc>
          <w:tcPr>
            <w:tcW w:w="519" w:type="pct"/>
            <w:tcBorders>
              <w:top w:val="nil"/>
              <w:left w:val="nil"/>
              <w:bottom w:val="nil"/>
              <w:right w:val="nil"/>
            </w:tcBorders>
            <w:shd w:val="clear" w:color="auto" w:fill="auto"/>
            <w:vAlign w:val="bottom"/>
          </w:tcPr>
          <w:p w14:paraId="12CD5CDF" w14:textId="4504762F" w:rsidR="00B13741" w:rsidRPr="00C64FCA" w:rsidRDefault="00B13741" w:rsidP="00B13741">
            <w:pPr>
              <w:tabs>
                <w:tab w:val="right" w:pos="1202"/>
              </w:tabs>
              <w:spacing w:after="0" w:line="301" w:lineRule="exact"/>
              <w:jc w:val="right"/>
              <w:outlineLvl w:val="0"/>
              <w:rPr>
                <w:rFonts w:eastAsia="Times New Roman" w:cs="Arial"/>
                <w:sz w:val="20"/>
                <w:szCs w:val="20"/>
              </w:rPr>
            </w:pPr>
            <w:r>
              <w:rPr>
                <w:rFonts w:asciiTheme="minorHAnsi" w:hAnsiTheme="minorHAnsi" w:cs="Calibri"/>
                <w:sz w:val="20"/>
              </w:rPr>
              <w:t>42,076</w:t>
            </w:r>
          </w:p>
        </w:tc>
        <w:tc>
          <w:tcPr>
            <w:tcW w:w="519" w:type="pct"/>
            <w:tcBorders>
              <w:top w:val="nil"/>
              <w:left w:val="nil"/>
              <w:bottom w:val="nil"/>
              <w:right w:val="nil"/>
            </w:tcBorders>
            <w:shd w:val="clear" w:color="auto" w:fill="auto"/>
            <w:vAlign w:val="bottom"/>
          </w:tcPr>
          <w:p w14:paraId="6B70A349" w14:textId="5736B07B" w:rsidR="00B13741" w:rsidRPr="00C64FCA" w:rsidRDefault="00B13741" w:rsidP="00B13741">
            <w:pPr>
              <w:tabs>
                <w:tab w:val="right" w:pos="1202"/>
              </w:tabs>
              <w:spacing w:after="0" w:line="301" w:lineRule="exact"/>
              <w:jc w:val="right"/>
              <w:outlineLvl w:val="0"/>
              <w:rPr>
                <w:rFonts w:eastAsia="Times New Roman" w:cs="Arial"/>
                <w:sz w:val="20"/>
                <w:szCs w:val="20"/>
              </w:rPr>
            </w:pPr>
            <w:r>
              <w:rPr>
                <w:rFonts w:asciiTheme="minorHAnsi" w:hAnsiTheme="minorHAnsi" w:cs="Calibri"/>
                <w:sz w:val="20"/>
              </w:rPr>
              <w:t>130,522</w:t>
            </w:r>
          </w:p>
        </w:tc>
      </w:tr>
      <w:tr w:rsidR="00B13741" w:rsidRPr="00C64FCA" w14:paraId="2E3FD647" w14:textId="77777777" w:rsidTr="006B318F">
        <w:trPr>
          <w:trHeight w:val="103"/>
        </w:trPr>
        <w:tc>
          <w:tcPr>
            <w:tcW w:w="851" w:type="pct"/>
          </w:tcPr>
          <w:p w14:paraId="20BD7BE8" w14:textId="77777777" w:rsidR="00B13741" w:rsidRPr="00C64FCA" w:rsidRDefault="00B13741" w:rsidP="00B13741">
            <w:pPr>
              <w:tabs>
                <w:tab w:val="right" w:pos="1202"/>
              </w:tabs>
              <w:spacing w:after="0" w:line="301" w:lineRule="exact"/>
              <w:outlineLvl w:val="0"/>
              <w:rPr>
                <w:rFonts w:eastAsia="Times New Roman" w:cs="Arial"/>
                <w:sz w:val="20"/>
                <w:szCs w:val="20"/>
              </w:rPr>
            </w:pPr>
            <w:r w:rsidRPr="00A23F12">
              <w:rPr>
                <w:rFonts w:eastAsia="Times New Roman" w:cs="Arial"/>
                <w:sz w:val="20"/>
                <w:szCs w:val="20"/>
              </w:rPr>
              <w:t>Deposits</w:t>
            </w:r>
          </w:p>
        </w:tc>
        <w:tc>
          <w:tcPr>
            <w:tcW w:w="518" w:type="pct"/>
            <w:tcBorders>
              <w:top w:val="nil"/>
              <w:left w:val="nil"/>
              <w:bottom w:val="nil"/>
              <w:right w:val="nil"/>
            </w:tcBorders>
            <w:shd w:val="clear" w:color="auto" w:fill="auto"/>
            <w:vAlign w:val="bottom"/>
          </w:tcPr>
          <w:p w14:paraId="20472B08" w14:textId="681D3C7E" w:rsidR="00B13741" w:rsidRPr="00C64FCA" w:rsidRDefault="00B13741" w:rsidP="006B318F">
            <w:pPr>
              <w:tabs>
                <w:tab w:val="right" w:pos="1202"/>
              </w:tabs>
              <w:spacing w:after="0" w:line="301" w:lineRule="exact"/>
              <w:ind w:left="65"/>
              <w:jc w:val="right"/>
              <w:outlineLvl w:val="0"/>
              <w:rPr>
                <w:rFonts w:eastAsia="Times New Roman" w:cs="Arial"/>
                <w:sz w:val="20"/>
                <w:szCs w:val="20"/>
              </w:rPr>
            </w:pPr>
            <w:r w:rsidRPr="006B318F">
              <w:rPr>
                <w:rFonts w:eastAsia="Times New Roman" w:cs="Arial"/>
                <w:sz w:val="20"/>
                <w:szCs w:val="20"/>
              </w:rPr>
              <w:t>730</w:t>
            </w:r>
          </w:p>
        </w:tc>
        <w:tc>
          <w:tcPr>
            <w:tcW w:w="519" w:type="pct"/>
            <w:tcBorders>
              <w:top w:val="nil"/>
              <w:left w:val="nil"/>
              <w:bottom w:val="nil"/>
              <w:right w:val="nil"/>
            </w:tcBorders>
            <w:shd w:val="clear" w:color="auto" w:fill="auto"/>
            <w:vAlign w:val="bottom"/>
          </w:tcPr>
          <w:p w14:paraId="654A8AC6" w14:textId="44A6977F" w:rsidR="00B13741" w:rsidRPr="00C64FCA" w:rsidRDefault="00B13741" w:rsidP="006B318F">
            <w:pPr>
              <w:tabs>
                <w:tab w:val="right" w:pos="1202"/>
              </w:tabs>
              <w:spacing w:after="0" w:line="301" w:lineRule="exact"/>
              <w:ind w:left="65"/>
              <w:jc w:val="right"/>
              <w:outlineLvl w:val="0"/>
              <w:rPr>
                <w:rFonts w:eastAsia="Times New Roman" w:cs="Arial"/>
                <w:sz w:val="20"/>
                <w:szCs w:val="20"/>
              </w:rPr>
            </w:pPr>
            <w:r w:rsidRPr="006B318F">
              <w:rPr>
                <w:rFonts w:eastAsia="Times New Roman" w:cs="Arial"/>
                <w:sz w:val="20"/>
                <w:szCs w:val="20"/>
              </w:rPr>
              <w:t>991</w:t>
            </w:r>
          </w:p>
        </w:tc>
        <w:tc>
          <w:tcPr>
            <w:tcW w:w="518" w:type="pct"/>
            <w:tcBorders>
              <w:top w:val="nil"/>
              <w:left w:val="nil"/>
              <w:bottom w:val="nil"/>
              <w:right w:val="nil"/>
            </w:tcBorders>
            <w:shd w:val="clear" w:color="auto" w:fill="auto"/>
            <w:vAlign w:val="bottom"/>
          </w:tcPr>
          <w:p w14:paraId="77BAC8F5" w14:textId="760EFD78" w:rsidR="00B13741" w:rsidRPr="00C64FCA" w:rsidRDefault="00B13741" w:rsidP="006B318F">
            <w:pPr>
              <w:tabs>
                <w:tab w:val="right" w:pos="1202"/>
              </w:tabs>
              <w:spacing w:after="0" w:line="301" w:lineRule="exact"/>
              <w:ind w:left="65"/>
              <w:jc w:val="right"/>
              <w:outlineLvl w:val="0"/>
              <w:rPr>
                <w:rFonts w:eastAsia="Times New Roman" w:cs="Arial"/>
                <w:sz w:val="20"/>
                <w:szCs w:val="20"/>
              </w:rPr>
            </w:pPr>
            <w:r w:rsidRPr="006B318F">
              <w:rPr>
                <w:rFonts w:eastAsia="Times New Roman" w:cs="Arial"/>
                <w:sz w:val="20"/>
                <w:szCs w:val="20"/>
              </w:rPr>
              <w:t>1</w:t>
            </w:r>
          </w:p>
        </w:tc>
        <w:tc>
          <w:tcPr>
            <w:tcW w:w="519" w:type="pct"/>
            <w:tcBorders>
              <w:top w:val="nil"/>
              <w:left w:val="nil"/>
              <w:bottom w:val="nil"/>
              <w:right w:val="nil"/>
            </w:tcBorders>
            <w:shd w:val="clear" w:color="auto" w:fill="auto"/>
            <w:vAlign w:val="bottom"/>
          </w:tcPr>
          <w:p w14:paraId="53BC68F2" w14:textId="381EEDB7" w:rsidR="00B13741" w:rsidRPr="00C64FCA" w:rsidRDefault="00B13741" w:rsidP="006B318F">
            <w:pPr>
              <w:tabs>
                <w:tab w:val="right" w:pos="1202"/>
              </w:tabs>
              <w:spacing w:after="0" w:line="301" w:lineRule="exact"/>
              <w:ind w:left="65"/>
              <w:jc w:val="right"/>
              <w:outlineLvl w:val="0"/>
              <w:rPr>
                <w:rFonts w:eastAsia="Times New Roman" w:cs="Arial"/>
                <w:sz w:val="20"/>
                <w:szCs w:val="20"/>
              </w:rPr>
            </w:pPr>
            <w:r w:rsidRPr="006B318F">
              <w:rPr>
                <w:rFonts w:eastAsia="Times New Roman" w:cs="Arial"/>
                <w:sz w:val="20"/>
                <w:szCs w:val="20"/>
              </w:rPr>
              <w:t>1</w:t>
            </w:r>
          </w:p>
        </w:tc>
        <w:tc>
          <w:tcPr>
            <w:tcW w:w="519" w:type="pct"/>
            <w:tcBorders>
              <w:top w:val="nil"/>
              <w:left w:val="nil"/>
              <w:bottom w:val="nil"/>
              <w:right w:val="nil"/>
            </w:tcBorders>
            <w:shd w:val="clear" w:color="auto" w:fill="auto"/>
          </w:tcPr>
          <w:p w14:paraId="7E12F52F" w14:textId="460EC84A" w:rsidR="00B13741" w:rsidRPr="006B318F" w:rsidRDefault="00B13741" w:rsidP="00B13741">
            <w:pPr>
              <w:tabs>
                <w:tab w:val="right" w:pos="1202"/>
              </w:tabs>
              <w:spacing w:after="0" w:line="301" w:lineRule="exact"/>
              <w:jc w:val="right"/>
              <w:outlineLvl w:val="0"/>
              <w:rPr>
                <w:rFonts w:asciiTheme="minorHAnsi" w:hAnsiTheme="minorHAnsi" w:cs="Calibri"/>
                <w:sz w:val="20"/>
              </w:rPr>
            </w:pPr>
            <w:r w:rsidRPr="006B318F">
              <w:rPr>
                <w:rFonts w:asciiTheme="minorHAnsi" w:hAnsiTheme="minorHAnsi" w:cs="Calibri"/>
                <w:sz w:val="20"/>
              </w:rPr>
              <w:t>730</w:t>
            </w:r>
          </w:p>
        </w:tc>
        <w:tc>
          <w:tcPr>
            <w:tcW w:w="518" w:type="pct"/>
            <w:tcBorders>
              <w:top w:val="nil"/>
              <w:left w:val="nil"/>
              <w:bottom w:val="nil"/>
              <w:right w:val="nil"/>
            </w:tcBorders>
            <w:shd w:val="clear" w:color="auto" w:fill="auto"/>
          </w:tcPr>
          <w:p w14:paraId="38551425" w14:textId="4026A0F7" w:rsidR="00B13741" w:rsidRPr="006B318F" w:rsidRDefault="00B13741" w:rsidP="00B13741">
            <w:pPr>
              <w:tabs>
                <w:tab w:val="right" w:pos="1202"/>
              </w:tabs>
              <w:spacing w:after="0" w:line="301" w:lineRule="exact"/>
              <w:jc w:val="right"/>
              <w:outlineLvl w:val="0"/>
              <w:rPr>
                <w:rFonts w:asciiTheme="minorHAnsi" w:hAnsiTheme="minorHAnsi" w:cs="Calibri"/>
                <w:sz w:val="20"/>
              </w:rPr>
            </w:pPr>
            <w:r w:rsidRPr="006B318F">
              <w:rPr>
                <w:rFonts w:asciiTheme="minorHAnsi" w:hAnsiTheme="minorHAnsi" w:cs="Calibri"/>
                <w:sz w:val="20"/>
              </w:rPr>
              <w:t>991</w:t>
            </w:r>
          </w:p>
        </w:tc>
        <w:tc>
          <w:tcPr>
            <w:tcW w:w="519" w:type="pct"/>
            <w:tcBorders>
              <w:top w:val="nil"/>
              <w:left w:val="nil"/>
              <w:bottom w:val="nil"/>
              <w:right w:val="nil"/>
            </w:tcBorders>
            <w:shd w:val="clear" w:color="auto" w:fill="auto"/>
            <w:vAlign w:val="bottom"/>
          </w:tcPr>
          <w:p w14:paraId="32F2A3E3" w14:textId="59032C2D" w:rsidR="00B13741" w:rsidRPr="00C64FCA" w:rsidRDefault="00B13741" w:rsidP="00B13741">
            <w:pPr>
              <w:tabs>
                <w:tab w:val="right" w:pos="1202"/>
              </w:tabs>
              <w:spacing w:after="0" w:line="301" w:lineRule="exact"/>
              <w:jc w:val="right"/>
              <w:outlineLvl w:val="0"/>
              <w:rPr>
                <w:rFonts w:cs="Calibri"/>
                <w:sz w:val="20"/>
              </w:rPr>
            </w:pPr>
            <w:r>
              <w:rPr>
                <w:rFonts w:asciiTheme="minorHAnsi" w:hAnsiTheme="minorHAnsi" w:cs="Calibri"/>
                <w:sz w:val="20"/>
              </w:rPr>
              <w:t>1</w:t>
            </w:r>
          </w:p>
        </w:tc>
        <w:tc>
          <w:tcPr>
            <w:tcW w:w="519" w:type="pct"/>
            <w:tcBorders>
              <w:top w:val="nil"/>
              <w:left w:val="nil"/>
              <w:bottom w:val="nil"/>
              <w:right w:val="nil"/>
            </w:tcBorders>
            <w:shd w:val="clear" w:color="auto" w:fill="auto"/>
            <w:vAlign w:val="bottom"/>
          </w:tcPr>
          <w:p w14:paraId="21860A24" w14:textId="69C29A07" w:rsidR="00B13741" w:rsidRPr="00C64FCA" w:rsidRDefault="00B13741" w:rsidP="00B13741">
            <w:pPr>
              <w:tabs>
                <w:tab w:val="right" w:pos="1202"/>
              </w:tabs>
              <w:spacing w:after="0" w:line="301" w:lineRule="exact"/>
              <w:jc w:val="right"/>
              <w:outlineLvl w:val="0"/>
              <w:rPr>
                <w:rFonts w:asciiTheme="minorHAnsi" w:hAnsiTheme="minorHAnsi" w:cs="Arial"/>
                <w:sz w:val="20"/>
              </w:rPr>
            </w:pPr>
            <w:r>
              <w:rPr>
                <w:rFonts w:asciiTheme="minorHAnsi" w:hAnsiTheme="minorHAnsi" w:cs="Calibri"/>
                <w:sz w:val="20"/>
              </w:rPr>
              <w:t>1</w:t>
            </w:r>
          </w:p>
        </w:tc>
      </w:tr>
      <w:tr w:rsidR="00B13741" w:rsidRPr="00C64FCA" w14:paraId="32F4F772" w14:textId="77777777" w:rsidTr="006B318F">
        <w:trPr>
          <w:trHeight w:val="103"/>
        </w:trPr>
        <w:tc>
          <w:tcPr>
            <w:tcW w:w="851" w:type="pct"/>
          </w:tcPr>
          <w:p w14:paraId="620C3B68" w14:textId="77777777" w:rsidR="00B13741" w:rsidRPr="00C64FCA" w:rsidRDefault="00B13741" w:rsidP="00B13741">
            <w:pPr>
              <w:tabs>
                <w:tab w:val="right" w:pos="1202"/>
              </w:tabs>
              <w:spacing w:after="0" w:line="340" w:lineRule="exact"/>
              <w:outlineLvl w:val="0"/>
              <w:rPr>
                <w:rFonts w:eastAsia="Times New Roman" w:cs="Arial"/>
                <w:b/>
                <w:bCs/>
                <w:sz w:val="20"/>
                <w:szCs w:val="20"/>
              </w:rPr>
            </w:pPr>
          </w:p>
        </w:tc>
        <w:tc>
          <w:tcPr>
            <w:tcW w:w="518" w:type="pct"/>
            <w:tcBorders>
              <w:top w:val="single" w:sz="4" w:space="0" w:color="auto"/>
              <w:left w:val="nil"/>
              <w:bottom w:val="single" w:sz="12" w:space="0" w:color="auto"/>
              <w:right w:val="nil"/>
            </w:tcBorders>
            <w:shd w:val="clear" w:color="auto" w:fill="auto"/>
            <w:vAlign w:val="bottom"/>
          </w:tcPr>
          <w:p w14:paraId="0A4FE7EA" w14:textId="24F9F4A8" w:rsidR="00B13741" w:rsidRPr="00612106" w:rsidRDefault="00B13741" w:rsidP="006B318F">
            <w:pPr>
              <w:tabs>
                <w:tab w:val="right" w:pos="1202"/>
              </w:tabs>
              <w:spacing w:after="0" w:line="301" w:lineRule="exact"/>
              <w:ind w:left="65"/>
              <w:jc w:val="right"/>
              <w:outlineLvl w:val="0"/>
              <w:rPr>
                <w:rFonts w:eastAsia="Times New Roman" w:cs="Arial"/>
                <w:b/>
                <w:sz w:val="20"/>
                <w:szCs w:val="20"/>
              </w:rPr>
            </w:pPr>
            <w:r w:rsidRPr="006B318F">
              <w:rPr>
                <w:rFonts w:eastAsia="Times New Roman" w:cs="Arial"/>
                <w:b/>
                <w:sz w:val="20"/>
                <w:szCs w:val="20"/>
              </w:rPr>
              <w:t>86,308</w:t>
            </w:r>
          </w:p>
        </w:tc>
        <w:tc>
          <w:tcPr>
            <w:tcW w:w="519" w:type="pct"/>
            <w:tcBorders>
              <w:top w:val="single" w:sz="4" w:space="0" w:color="auto"/>
              <w:left w:val="nil"/>
              <w:bottom w:val="single" w:sz="12" w:space="0" w:color="auto"/>
              <w:right w:val="nil"/>
            </w:tcBorders>
            <w:shd w:val="clear" w:color="auto" w:fill="auto"/>
            <w:vAlign w:val="bottom"/>
          </w:tcPr>
          <w:p w14:paraId="3680BB66" w14:textId="242B8B1A" w:rsidR="00B13741" w:rsidRPr="00612106" w:rsidRDefault="00B13741" w:rsidP="006B318F">
            <w:pPr>
              <w:tabs>
                <w:tab w:val="right" w:pos="1202"/>
              </w:tabs>
              <w:spacing w:after="0" w:line="301" w:lineRule="exact"/>
              <w:ind w:left="65"/>
              <w:jc w:val="right"/>
              <w:outlineLvl w:val="0"/>
              <w:rPr>
                <w:rFonts w:eastAsia="Times New Roman" w:cs="Arial"/>
                <w:b/>
                <w:sz w:val="20"/>
                <w:szCs w:val="20"/>
              </w:rPr>
            </w:pPr>
            <w:r w:rsidRPr="006B318F">
              <w:rPr>
                <w:rFonts w:eastAsia="Times New Roman" w:cs="Arial"/>
                <w:b/>
                <w:sz w:val="20"/>
                <w:szCs w:val="20"/>
              </w:rPr>
              <w:t>301,461</w:t>
            </w:r>
          </w:p>
        </w:tc>
        <w:tc>
          <w:tcPr>
            <w:tcW w:w="518" w:type="pct"/>
            <w:tcBorders>
              <w:top w:val="single" w:sz="4" w:space="0" w:color="auto"/>
              <w:left w:val="nil"/>
              <w:bottom w:val="single" w:sz="12" w:space="0" w:color="auto"/>
              <w:right w:val="nil"/>
            </w:tcBorders>
            <w:shd w:val="clear" w:color="auto" w:fill="auto"/>
            <w:vAlign w:val="bottom"/>
          </w:tcPr>
          <w:p w14:paraId="03A20529" w14:textId="35843585" w:rsidR="00B13741" w:rsidRPr="008D6EFE" w:rsidRDefault="00B13741" w:rsidP="006B318F">
            <w:pPr>
              <w:tabs>
                <w:tab w:val="right" w:pos="1202"/>
              </w:tabs>
              <w:spacing w:after="0" w:line="301" w:lineRule="exact"/>
              <w:ind w:left="65"/>
              <w:jc w:val="right"/>
              <w:outlineLvl w:val="0"/>
              <w:rPr>
                <w:rFonts w:eastAsia="Times New Roman" w:cs="Arial"/>
                <w:b/>
                <w:sz w:val="20"/>
                <w:szCs w:val="20"/>
              </w:rPr>
            </w:pPr>
            <w:r w:rsidRPr="006B318F">
              <w:rPr>
                <w:rFonts w:eastAsia="Times New Roman" w:cs="Arial"/>
                <w:b/>
                <w:sz w:val="20"/>
                <w:szCs w:val="20"/>
              </w:rPr>
              <w:t>112,639</w:t>
            </w:r>
          </w:p>
        </w:tc>
        <w:tc>
          <w:tcPr>
            <w:tcW w:w="519" w:type="pct"/>
            <w:tcBorders>
              <w:top w:val="single" w:sz="4" w:space="0" w:color="auto"/>
              <w:left w:val="nil"/>
              <w:bottom w:val="single" w:sz="12" w:space="0" w:color="auto"/>
              <w:right w:val="nil"/>
            </w:tcBorders>
            <w:shd w:val="clear" w:color="auto" w:fill="auto"/>
            <w:vAlign w:val="bottom"/>
          </w:tcPr>
          <w:p w14:paraId="79ACA5D8" w14:textId="2C05F753" w:rsidR="00B13741" w:rsidRPr="008D6EFE" w:rsidRDefault="00B13741" w:rsidP="006B318F">
            <w:pPr>
              <w:tabs>
                <w:tab w:val="right" w:pos="1202"/>
              </w:tabs>
              <w:spacing w:after="0" w:line="301" w:lineRule="exact"/>
              <w:ind w:left="65"/>
              <w:jc w:val="right"/>
              <w:outlineLvl w:val="0"/>
              <w:rPr>
                <w:rFonts w:eastAsia="Times New Roman" w:cs="Arial"/>
                <w:b/>
                <w:sz w:val="20"/>
                <w:szCs w:val="20"/>
              </w:rPr>
            </w:pPr>
            <w:r w:rsidRPr="006B318F">
              <w:rPr>
                <w:rFonts w:eastAsia="Times New Roman" w:cs="Arial"/>
                <w:b/>
                <w:sz w:val="20"/>
                <w:szCs w:val="20"/>
              </w:rPr>
              <w:t>340,875</w:t>
            </w:r>
          </w:p>
        </w:tc>
        <w:tc>
          <w:tcPr>
            <w:tcW w:w="519" w:type="pct"/>
            <w:tcBorders>
              <w:top w:val="single" w:sz="4" w:space="0" w:color="auto"/>
              <w:left w:val="nil"/>
              <w:bottom w:val="single" w:sz="12" w:space="0" w:color="auto"/>
              <w:right w:val="nil"/>
            </w:tcBorders>
            <w:shd w:val="clear" w:color="auto" w:fill="auto"/>
          </w:tcPr>
          <w:p w14:paraId="6F635942" w14:textId="7BEDF3FB" w:rsidR="00B13741" w:rsidRPr="006B318F" w:rsidRDefault="00B13741" w:rsidP="008D6EFE">
            <w:pPr>
              <w:tabs>
                <w:tab w:val="right" w:pos="1202"/>
              </w:tabs>
              <w:spacing w:after="0" w:line="340" w:lineRule="exact"/>
              <w:jc w:val="right"/>
              <w:outlineLvl w:val="0"/>
              <w:rPr>
                <w:rFonts w:asciiTheme="minorHAnsi" w:hAnsiTheme="minorHAnsi" w:cs="Calibri"/>
                <w:b/>
                <w:sz w:val="20"/>
              </w:rPr>
            </w:pPr>
            <w:r w:rsidRPr="006B318F">
              <w:rPr>
                <w:rFonts w:asciiTheme="minorHAnsi" w:hAnsiTheme="minorHAnsi" w:cs="Calibri"/>
                <w:b/>
                <w:sz w:val="20"/>
              </w:rPr>
              <w:t>86,308</w:t>
            </w:r>
          </w:p>
        </w:tc>
        <w:tc>
          <w:tcPr>
            <w:tcW w:w="518" w:type="pct"/>
            <w:tcBorders>
              <w:top w:val="single" w:sz="4" w:space="0" w:color="auto"/>
              <w:left w:val="nil"/>
              <w:bottom w:val="single" w:sz="12" w:space="0" w:color="auto"/>
              <w:right w:val="nil"/>
            </w:tcBorders>
            <w:shd w:val="clear" w:color="auto" w:fill="auto"/>
          </w:tcPr>
          <w:p w14:paraId="51643AAD" w14:textId="72B5D34D" w:rsidR="00B13741" w:rsidRPr="006B318F" w:rsidRDefault="00B13741">
            <w:pPr>
              <w:tabs>
                <w:tab w:val="right" w:pos="1202"/>
              </w:tabs>
              <w:spacing w:after="0" w:line="340" w:lineRule="exact"/>
              <w:jc w:val="right"/>
              <w:outlineLvl w:val="0"/>
              <w:rPr>
                <w:rFonts w:asciiTheme="minorHAnsi" w:hAnsiTheme="minorHAnsi" w:cs="Calibri"/>
                <w:b/>
                <w:sz w:val="20"/>
              </w:rPr>
            </w:pPr>
            <w:r w:rsidRPr="006B318F">
              <w:rPr>
                <w:rFonts w:asciiTheme="minorHAnsi" w:hAnsiTheme="minorHAnsi" w:cs="Calibri"/>
                <w:b/>
                <w:sz w:val="20"/>
              </w:rPr>
              <w:t>301,461</w:t>
            </w:r>
          </w:p>
        </w:tc>
        <w:tc>
          <w:tcPr>
            <w:tcW w:w="519" w:type="pct"/>
            <w:tcBorders>
              <w:top w:val="single" w:sz="4" w:space="0" w:color="auto"/>
              <w:left w:val="nil"/>
              <w:bottom w:val="single" w:sz="12" w:space="0" w:color="auto"/>
              <w:right w:val="nil"/>
            </w:tcBorders>
            <w:shd w:val="clear" w:color="auto" w:fill="auto"/>
            <w:vAlign w:val="bottom"/>
          </w:tcPr>
          <w:p w14:paraId="0D2BE8E0" w14:textId="44781933" w:rsidR="00B13741" w:rsidRPr="00BA6627" w:rsidRDefault="00B13741" w:rsidP="00B13741">
            <w:pPr>
              <w:tabs>
                <w:tab w:val="right" w:pos="1202"/>
              </w:tabs>
              <w:spacing w:after="0" w:line="340" w:lineRule="exact"/>
              <w:jc w:val="right"/>
              <w:outlineLvl w:val="0"/>
              <w:rPr>
                <w:rFonts w:eastAsia="Times New Roman" w:cs="Arial"/>
                <w:b/>
                <w:bCs/>
                <w:sz w:val="20"/>
                <w:szCs w:val="20"/>
              </w:rPr>
            </w:pPr>
            <w:r w:rsidRPr="00BA6627">
              <w:rPr>
                <w:rFonts w:asciiTheme="minorHAnsi" w:hAnsiTheme="minorHAnsi" w:cs="Calibri"/>
                <w:b/>
                <w:sz w:val="20"/>
              </w:rPr>
              <w:t>112,639</w:t>
            </w:r>
          </w:p>
        </w:tc>
        <w:tc>
          <w:tcPr>
            <w:tcW w:w="519" w:type="pct"/>
            <w:tcBorders>
              <w:top w:val="single" w:sz="4" w:space="0" w:color="auto"/>
              <w:left w:val="nil"/>
              <w:bottom w:val="single" w:sz="12" w:space="0" w:color="auto"/>
              <w:right w:val="nil"/>
            </w:tcBorders>
            <w:shd w:val="clear" w:color="auto" w:fill="auto"/>
            <w:vAlign w:val="bottom"/>
          </w:tcPr>
          <w:p w14:paraId="68918DAC" w14:textId="4E6B867A" w:rsidR="00B13741" w:rsidRPr="00BA6627" w:rsidRDefault="00B13741" w:rsidP="00B13741">
            <w:pPr>
              <w:tabs>
                <w:tab w:val="right" w:pos="1202"/>
              </w:tabs>
              <w:spacing w:after="0" w:line="340" w:lineRule="exact"/>
              <w:jc w:val="right"/>
              <w:outlineLvl w:val="0"/>
              <w:rPr>
                <w:rFonts w:eastAsia="Times New Roman" w:cs="Arial"/>
                <w:b/>
                <w:bCs/>
                <w:sz w:val="20"/>
                <w:szCs w:val="20"/>
              </w:rPr>
            </w:pPr>
            <w:r w:rsidRPr="00BA6627">
              <w:rPr>
                <w:rFonts w:asciiTheme="minorHAnsi" w:hAnsiTheme="minorHAnsi" w:cs="Calibri"/>
                <w:b/>
                <w:sz w:val="20"/>
              </w:rPr>
              <w:t>340,875</w:t>
            </w:r>
          </w:p>
        </w:tc>
      </w:tr>
    </w:tbl>
    <w:p w14:paraId="7AC5A2D5" w14:textId="77777777" w:rsidR="00202F35" w:rsidRPr="0034501D" w:rsidRDefault="00202F35" w:rsidP="00202F35">
      <w:pPr>
        <w:keepNext/>
        <w:tabs>
          <w:tab w:val="left" w:pos="709"/>
        </w:tabs>
        <w:spacing w:after="0" w:line="240" w:lineRule="auto"/>
        <w:jc w:val="both"/>
        <w:rPr>
          <w:rFonts w:eastAsia="Times New Roman" w:cs="Arial"/>
        </w:rPr>
      </w:pPr>
    </w:p>
    <w:p w14:paraId="0B04BE18" w14:textId="77777777" w:rsidR="00AE09B0" w:rsidRPr="0034501D" w:rsidRDefault="00B5103A" w:rsidP="00202F35">
      <w:pPr>
        <w:keepNext/>
        <w:tabs>
          <w:tab w:val="left" w:pos="709"/>
        </w:tabs>
        <w:spacing w:after="0" w:line="240" w:lineRule="auto"/>
        <w:jc w:val="both"/>
        <w:rPr>
          <w:rFonts w:eastAsia="Times New Roman" w:cs="Arial"/>
        </w:rPr>
      </w:pPr>
      <w:r w:rsidRPr="0034501D">
        <w:rPr>
          <w:rFonts w:eastAsia="Times New Roman" w:cs="Arial"/>
        </w:rPr>
        <w:t>The difference between interest expense and interest paid</w:t>
      </w:r>
      <w:r w:rsidR="00AE09B0" w:rsidRPr="0034501D">
        <w:rPr>
          <w:rFonts w:eastAsia="Times New Roman" w:cs="Arial"/>
        </w:rPr>
        <w:t xml:space="preserve"> (</w:t>
      </w:r>
      <w:r w:rsidRPr="0034501D">
        <w:rPr>
          <w:rFonts w:eastAsia="Times New Roman" w:cs="Arial"/>
        </w:rPr>
        <w:t>see the Statement of Cash Flows</w:t>
      </w:r>
      <w:r w:rsidR="00AE09B0" w:rsidRPr="0034501D">
        <w:rPr>
          <w:rFonts w:eastAsia="Times New Roman" w:cs="Arial"/>
        </w:rPr>
        <w:t xml:space="preserve">) </w:t>
      </w:r>
      <w:r w:rsidRPr="0034501D">
        <w:rPr>
          <w:rFonts w:eastAsia="Times New Roman" w:cs="Arial"/>
        </w:rPr>
        <w:t>mostly relates to the changes in the amount of the interest accrued in relation to the prior year and the amortization of discount for issued debt securities</w:t>
      </w:r>
      <w:r w:rsidR="00AE09B0" w:rsidRPr="0034501D">
        <w:rPr>
          <w:rFonts w:eastAsia="Times New Roman" w:cs="Arial"/>
        </w:rPr>
        <w:t>.</w:t>
      </w:r>
    </w:p>
    <w:p w14:paraId="4FFD43CF" w14:textId="77777777" w:rsidR="00AE09B0" w:rsidRPr="0034501D" w:rsidRDefault="00AE09B0" w:rsidP="00202F35">
      <w:pPr>
        <w:spacing w:after="0" w:line="240" w:lineRule="auto"/>
        <w:jc w:val="both"/>
        <w:rPr>
          <w:rFonts w:eastAsia="Times New Roman" w:cs="Calibri"/>
          <w:sz w:val="24"/>
          <w:szCs w:val="24"/>
          <w:lang w:eastAsia="hr-HR"/>
        </w:rPr>
        <w:sectPr w:rsidR="00AE09B0" w:rsidRPr="0034501D" w:rsidSect="004C0B45">
          <w:footerReference w:type="first" r:id="rId55"/>
          <w:pgSz w:w="16838" w:h="11906" w:orient="landscape" w:code="9"/>
          <w:pgMar w:top="1418" w:right="595" w:bottom="1134" w:left="1418" w:header="709" w:footer="709" w:gutter="0"/>
          <w:cols w:space="708"/>
          <w:titlePg/>
          <w:docGrid w:linePitch="360"/>
        </w:sectPr>
      </w:pPr>
    </w:p>
    <w:p w14:paraId="421F32AB" w14:textId="77777777" w:rsidR="007B2C90" w:rsidRPr="0034501D" w:rsidRDefault="007B2C90" w:rsidP="007B2C90">
      <w:pPr>
        <w:pStyle w:val="T1"/>
        <w:spacing w:before="0" w:after="0" w:line="240" w:lineRule="auto"/>
        <w:rPr>
          <w:rFonts w:ascii="Calibri" w:hAnsi="Calibri" w:cs="Arial"/>
          <w:sz w:val="22"/>
          <w:szCs w:val="22"/>
          <w:lang w:val="en-GB"/>
        </w:rPr>
      </w:pPr>
    </w:p>
    <w:p w14:paraId="41E79520" w14:textId="77777777" w:rsidR="007B2C90" w:rsidRPr="0034501D" w:rsidRDefault="007B2C90" w:rsidP="006379CB">
      <w:pPr>
        <w:pStyle w:val="T1"/>
        <w:tabs>
          <w:tab w:val="left" w:pos="567"/>
        </w:tabs>
        <w:spacing w:before="0" w:after="0" w:line="240" w:lineRule="auto"/>
        <w:rPr>
          <w:rFonts w:ascii="Calibri" w:hAnsi="Calibri" w:cs="Arial"/>
          <w:sz w:val="22"/>
          <w:szCs w:val="22"/>
          <w:lang w:val="en-GB"/>
        </w:rPr>
      </w:pPr>
      <w:r w:rsidRPr="0034501D">
        <w:rPr>
          <w:rFonts w:ascii="Calibri" w:hAnsi="Calibri" w:cs="Arial"/>
          <w:sz w:val="22"/>
          <w:szCs w:val="22"/>
          <w:lang w:val="en-GB"/>
        </w:rPr>
        <w:t>6.</w:t>
      </w:r>
      <w:r w:rsidRPr="0034501D">
        <w:rPr>
          <w:rFonts w:ascii="Calibri" w:hAnsi="Calibri" w:cs="Arial"/>
          <w:sz w:val="22"/>
          <w:szCs w:val="22"/>
          <w:lang w:val="en-GB"/>
        </w:rPr>
        <w:tab/>
        <w:t>Operati</w:t>
      </w:r>
      <w:r w:rsidR="00FC16B5" w:rsidRPr="0034501D">
        <w:rPr>
          <w:rFonts w:ascii="Calibri" w:hAnsi="Calibri" w:cs="Arial"/>
          <w:sz w:val="22"/>
          <w:szCs w:val="22"/>
          <w:lang w:val="en-GB"/>
        </w:rPr>
        <w:t>ng expenses</w:t>
      </w:r>
    </w:p>
    <w:p w14:paraId="6C50BFA5" w14:textId="77777777" w:rsidR="007B2C90" w:rsidRPr="0034501D" w:rsidRDefault="007B2C90" w:rsidP="007B2C90">
      <w:pPr>
        <w:pStyle w:val="T1"/>
        <w:spacing w:before="0" w:after="0" w:line="240" w:lineRule="auto"/>
        <w:rPr>
          <w:rFonts w:ascii="Calibri" w:hAnsi="Calibri" w:cs="Arial"/>
          <w:sz w:val="22"/>
          <w:szCs w:val="22"/>
          <w:lang w:val="en-GB"/>
        </w:rPr>
      </w:pPr>
    </w:p>
    <w:p w14:paraId="70D500AB" w14:textId="77777777" w:rsidR="007B2C90" w:rsidRDefault="007B2C90" w:rsidP="007B2C90">
      <w:pPr>
        <w:pStyle w:val="TT"/>
        <w:tabs>
          <w:tab w:val="clear" w:pos="1202"/>
          <w:tab w:val="left" w:pos="-720"/>
          <w:tab w:val="left" w:pos="9600"/>
        </w:tabs>
        <w:suppressAutoHyphens/>
        <w:spacing w:line="240" w:lineRule="auto"/>
        <w:outlineLvl w:val="9"/>
        <w:rPr>
          <w:rFonts w:ascii="Calibri" w:hAnsi="Calibri" w:cs="Arial"/>
          <w:spacing w:val="-3"/>
          <w:sz w:val="22"/>
          <w:szCs w:val="22"/>
        </w:rPr>
      </w:pPr>
      <w:r w:rsidRPr="0034501D">
        <w:rPr>
          <w:rFonts w:ascii="Calibri" w:hAnsi="Calibri" w:cs="Arial"/>
          <w:spacing w:val="-3"/>
          <w:sz w:val="22"/>
          <w:szCs w:val="22"/>
        </w:rPr>
        <w:t>Operati</w:t>
      </w:r>
      <w:r w:rsidR="007A417D" w:rsidRPr="0034501D">
        <w:rPr>
          <w:rFonts w:ascii="Calibri" w:hAnsi="Calibri" w:cs="Arial"/>
          <w:spacing w:val="-3"/>
          <w:sz w:val="22"/>
          <w:szCs w:val="22"/>
        </w:rPr>
        <w:t>ng expenses can be shown as follows</w:t>
      </w:r>
      <w:r w:rsidRPr="0034501D">
        <w:rPr>
          <w:rFonts w:ascii="Calibri" w:hAnsi="Calibri" w:cs="Arial"/>
          <w:spacing w:val="-3"/>
          <w:sz w:val="22"/>
          <w:szCs w:val="22"/>
        </w:rPr>
        <w:t>:</w:t>
      </w:r>
    </w:p>
    <w:p w14:paraId="36879755" w14:textId="77777777" w:rsidR="002E013A" w:rsidRPr="0034501D" w:rsidRDefault="002E013A" w:rsidP="007B2C90">
      <w:pPr>
        <w:pStyle w:val="TT"/>
        <w:tabs>
          <w:tab w:val="clear" w:pos="1202"/>
          <w:tab w:val="left" w:pos="-720"/>
          <w:tab w:val="left" w:pos="9600"/>
        </w:tabs>
        <w:suppressAutoHyphens/>
        <w:spacing w:line="240" w:lineRule="auto"/>
        <w:outlineLvl w:val="9"/>
        <w:rPr>
          <w:rFonts w:ascii="Calibri" w:hAnsi="Calibri" w:cs="Arial"/>
          <w:spacing w:val="-3"/>
          <w:sz w:val="22"/>
          <w:szCs w:val="22"/>
        </w:rPr>
      </w:pPr>
    </w:p>
    <w:tbl>
      <w:tblPr>
        <w:tblW w:w="5000" w:type="pct"/>
        <w:tblInd w:w="-284" w:type="dxa"/>
        <w:tblCellMar>
          <w:left w:w="122" w:type="dxa"/>
          <w:right w:w="122" w:type="dxa"/>
        </w:tblCellMar>
        <w:tblLook w:val="0000" w:firstRow="0" w:lastRow="0" w:firstColumn="0" w:lastColumn="0" w:noHBand="0" w:noVBand="0"/>
      </w:tblPr>
      <w:tblGrid>
        <w:gridCol w:w="3215"/>
        <w:gridCol w:w="1400"/>
        <w:gridCol w:w="1459"/>
        <w:gridCol w:w="1405"/>
        <w:gridCol w:w="1518"/>
        <w:gridCol w:w="1399"/>
        <w:gridCol w:w="1515"/>
        <w:gridCol w:w="1399"/>
        <w:gridCol w:w="1515"/>
      </w:tblGrid>
      <w:tr w:rsidR="001E3C1C" w:rsidRPr="001E3C1C" w14:paraId="1A56F363" w14:textId="77777777" w:rsidTr="006B318F">
        <w:trPr>
          <w:trHeight w:val="56"/>
        </w:trPr>
        <w:tc>
          <w:tcPr>
            <w:tcW w:w="1084" w:type="pct"/>
          </w:tcPr>
          <w:p w14:paraId="0AC5716C" w14:textId="77777777" w:rsidR="001E3C1C" w:rsidRPr="001E3C1C" w:rsidRDefault="001E3C1C" w:rsidP="001E3C1C">
            <w:pPr>
              <w:tabs>
                <w:tab w:val="left" w:pos="-720"/>
              </w:tabs>
              <w:suppressAutoHyphens/>
              <w:spacing w:after="0" w:line="280" w:lineRule="exact"/>
              <w:jc w:val="right"/>
              <w:rPr>
                <w:rFonts w:cs="Arial"/>
                <w:spacing w:val="-3"/>
                <w:sz w:val="20"/>
                <w:szCs w:val="20"/>
              </w:rPr>
            </w:pPr>
          </w:p>
        </w:tc>
        <w:tc>
          <w:tcPr>
            <w:tcW w:w="1950" w:type="pct"/>
            <w:gridSpan w:val="4"/>
            <w:vAlign w:val="bottom"/>
          </w:tcPr>
          <w:p w14:paraId="539CF208" w14:textId="77777777" w:rsidR="001E3C1C" w:rsidRPr="001E3C1C" w:rsidRDefault="001E3C1C" w:rsidP="001E3C1C">
            <w:pPr>
              <w:tabs>
                <w:tab w:val="right" w:pos="1202"/>
              </w:tabs>
              <w:spacing w:after="0" w:line="240" w:lineRule="atLeast"/>
              <w:jc w:val="right"/>
              <w:outlineLvl w:val="0"/>
              <w:rPr>
                <w:rFonts w:eastAsia="Times New Roman" w:cs="Arial"/>
                <w:b/>
                <w:sz w:val="20"/>
                <w:szCs w:val="20"/>
              </w:rPr>
            </w:pPr>
            <w:r w:rsidRPr="001E3C1C">
              <w:rPr>
                <w:rFonts w:eastAsia="Times New Roman" w:cs="Arial"/>
                <w:b/>
                <w:sz w:val="20"/>
                <w:szCs w:val="20"/>
              </w:rPr>
              <w:t>Group</w:t>
            </w:r>
            <w:r w:rsidRPr="001E3C1C" w:rsidDel="00833713">
              <w:rPr>
                <w:rFonts w:eastAsia="Times New Roman" w:cs="Arial"/>
                <w:b/>
                <w:sz w:val="20"/>
                <w:szCs w:val="20"/>
              </w:rPr>
              <w:t xml:space="preserve"> </w:t>
            </w:r>
          </w:p>
        </w:tc>
        <w:tc>
          <w:tcPr>
            <w:tcW w:w="1966" w:type="pct"/>
            <w:gridSpan w:val="4"/>
            <w:vAlign w:val="bottom"/>
          </w:tcPr>
          <w:p w14:paraId="46FE06C8" w14:textId="77777777" w:rsidR="001E3C1C" w:rsidRPr="001E3C1C" w:rsidRDefault="001E3C1C" w:rsidP="001E3C1C">
            <w:pPr>
              <w:tabs>
                <w:tab w:val="right" w:pos="1202"/>
              </w:tabs>
              <w:spacing w:after="0" w:line="240" w:lineRule="atLeast"/>
              <w:jc w:val="right"/>
              <w:outlineLvl w:val="0"/>
              <w:rPr>
                <w:rFonts w:eastAsia="Times New Roman" w:cs="Arial"/>
                <w:b/>
                <w:sz w:val="20"/>
                <w:szCs w:val="20"/>
              </w:rPr>
            </w:pPr>
            <w:r w:rsidRPr="001E3C1C">
              <w:rPr>
                <w:rFonts w:eastAsia="Times New Roman" w:cs="Arial"/>
                <w:b/>
                <w:sz w:val="20"/>
                <w:szCs w:val="20"/>
              </w:rPr>
              <w:t>Bank</w:t>
            </w:r>
            <w:r w:rsidRPr="001E3C1C" w:rsidDel="00833713">
              <w:rPr>
                <w:rFonts w:eastAsia="Times New Roman" w:cs="Arial"/>
                <w:b/>
                <w:sz w:val="20"/>
                <w:szCs w:val="20"/>
              </w:rPr>
              <w:t xml:space="preserve"> </w:t>
            </w:r>
          </w:p>
        </w:tc>
      </w:tr>
      <w:tr w:rsidR="001E3C1C" w:rsidRPr="001E3C1C" w14:paraId="4184E99E" w14:textId="77777777" w:rsidTr="006B318F">
        <w:trPr>
          <w:trHeight w:val="56"/>
        </w:trPr>
        <w:tc>
          <w:tcPr>
            <w:tcW w:w="1084" w:type="pct"/>
          </w:tcPr>
          <w:p w14:paraId="14C3D072" w14:textId="77777777" w:rsidR="001E3C1C" w:rsidRPr="001E3C1C" w:rsidRDefault="001E3C1C" w:rsidP="001E3C1C">
            <w:pPr>
              <w:tabs>
                <w:tab w:val="left" w:pos="-720"/>
              </w:tabs>
              <w:suppressAutoHyphens/>
              <w:spacing w:after="0" w:line="280" w:lineRule="exact"/>
              <w:jc w:val="right"/>
              <w:rPr>
                <w:rFonts w:cs="Arial"/>
                <w:spacing w:val="-3"/>
                <w:sz w:val="20"/>
                <w:szCs w:val="20"/>
              </w:rPr>
            </w:pPr>
          </w:p>
        </w:tc>
        <w:tc>
          <w:tcPr>
            <w:tcW w:w="964" w:type="pct"/>
            <w:gridSpan w:val="2"/>
          </w:tcPr>
          <w:p w14:paraId="372050B9" w14:textId="7F1DA4D5" w:rsidR="001E3C1C" w:rsidRPr="001E3C1C" w:rsidRDefault="0097118D" w:rsidP="0097118D">
            <w:pPr>
              <w:tabs>
                <w:tab w:val="right" w:pos="1202"/>
              </w:tabs>
              <w:spacing w:after="0" w:line="240" w:lineRule="auto"/>
              <w:jc w:val="center"/>
              <w:outlineLvl w:val="0"/>
              <w:rPr>
                <w:rFonts w:eastAsia="Times New Roman" w:cs="Arial"/>
                <w:spacing w:val="-2"/>
                <w:sz w:val="20"/>
                <w:szCs w:val="20"/>
              </w:rPr>
            </w:pPr>
            <w:r w:rsidRPr="001E3C1C">
              <w:rPr>
                <w:rFonts w:asciiTheme="minorHAnsi" w:eastAsia="Times New Roman" w:hAnsiTheme="minorHAnsi" w:cs="Arial"/>
                <w:b/>
                <w:bCs/>
                <w:sz w:val="20"/>
                <w:szCs w:val="20"/>
                <w:lang w:val="hr-HR"/>
              </w:rPr>
              <w:t>201</w:t>
            </w:r>
            <w:r>
              <w:rPr>
                <w:rFonts w:asciiTheme="minorHAnsi" w:eastAsia="Times New Roman" w:hAnsiTheme="minorHAnsi" w:cs="Arial"/>
                <w:b/>
                <w:bCs/>
                <w:sz w:val="20"/>
                <w:szCs w:val="20"/>
                <w:lang w:val="hr-HR"/>
              </w:rPr>
              <w:t>7</w:t>
            </w:r>
          </w:p>
        </w:tc>
        <w:tc>
          <w:tcPr>
            <w:tcW w:w="986" w:type="pct"/>
            <w:gridSpan w:val="2"/>
          </w:tcPr>
          <w:p w14:paraId="6DC5A298" w14:textId="2F4973F8" w:rsidR="001E3C1C" w:rsidRPr="001E3C1C" w:rsidRDefault="0097118D" w:rsidP="00B85043">
            <w:pPr>
              <w:tabs>
                <w:tab w:val="right" w:pos="1202"/>
              </w:tabs>
              <w:spacing w:after="0" w:line="240" w:lineRule="auto"/>
              <w:jc w:val="center"/>
              <w:outlineLvl w:val="0"/>
              <w:rPr>
                <w:rFonts w:eastAsia="Times New Roman" w:cs="Arial"/>
                <w:spacing w:val="-2"/>
                <w:sz w:val="20"/>
                <w:szCs w:val="20"/>
              </w:rPr>
            </w:pPr>
            <w:r w:rsidRPr="001E3C1C">
              <w:rPr>
                <w:rFonts w:asciiTheme="minorHAnsi" w:eastAsia="Times New Roman" w:hAnsiTheme="minorHAnsi" w:cs="Arial"/>
                <w:b/>
                <w:bCs/>
                <w:sz w:val="20"/>
                <w:szCs w:val="20"/>
                <w:lang w:val="hr-HR"/>
              </w:rPr>
              <w:t>201</w:t>
            </w:r>
            <w:r>
              <w:rPr>
                <w:rFonts w:asciiTheme="minorHAnsi" w:eastAsia="Times New Roman" w:hAnsiTheme="minorHAnsi" w:cs="Arial"/>
                <w:b/>
                <w:bCs/>
                <w:sz w:val="20"/>
                <w:szCs w:val="20"/>
                <w:lang w:val="hr-HR"/>
              </w:rPr>
              <w:t>6</w:t>
            </w:r>
          </w:p>
        </w:tc>
        <w:tc>
          <w:tcPr>
            <w:tcW w:w="983" w:type="pct"/>
            <w:gridSpan w:val="2"/>
          </w:tcPr>
          <w:p w14:paraId="51FB95CE" w14:textId="2FF2BCD9" w:rsidR="001E3C1C" w:rsidRPr="001E3C1C" w:rsidRDefault="0097118D">
            <w:pPr>
              <w:tabs>
                <w:tab w:val="right" w:pos="1202"/>
              </w:tabs>
              <w:spacing w:after="0" w:line="240" w:lineRule="auto"/>
              <w:jc w:val="center"/>
              <w:outlineLvl w:val="0"/>
              <w:rPr>
                <w:rFonts w:eastAsia="Times New Roman" w:cs="Arial"/>
                <w:spacing w:val="-2"/>
                <w:sz w:val="20"/>
                <w:szCs w:val="20"/>
              </w:rPr>
            </w:pPr>
            <w:r w:rsidRPr="001E3C1C">
              <w:rPr>
                <w:rFonts w:asciiTheme="minorHAnsi" w:eastAsia="Times New Roman" w:hAnsiTheme="minorHAnsi" w:cs="Arial"/>
                <w:b/>
                <w:bCs/>
                <w:sz w:val="20"/>
                <w:szCs w:val="20"/>
                <w:lang w:val="hr-HR"/>
              </w:rPr>
              <w:t>201</w:t>
            </w:r>
            <w:r>
              <w:rPr>
                <w:rFonts w:asciiTheme="minorHAnsi" w:eastAsia="Times New Roman" w:hAnsiTheme="minorHAnsi" w:cs="Arial"/>
                <w:b/>
                <w:bCs/>
                <w:sz w:val="20"/>
                <w:szCs w:val="20"/>
                <w:lang w:val="hr-HR"/>
              </w:rPr>
              <w:t>7</w:t>
            </w:r>
          </w:p>
        </w:tc>
        <w:tc>
          <w:tcPr>
            <w:tcW w:w="983" w:type="pct"/>
            <w:gridSpan w:val="2"/>
          </w:tcPr>
          <w:p w14:paraId="3BAEF1F4" w14:textId="0E439CD0" w:rsidR="001E3C1C" w:rsidRPr="001E3C1C" w:rsidRDefault="0097118D">
            <w:pPr>
              <w:tabs>
                <w:tab w:val="right" w:pos="1202"/>
              </w:tabs>
              <w:spacing w:after="0" w:line="240" w:lineRule="auto"/>
              <w:jc w:val="center"/>
              <w:outlineLvl w:val="0"/>
              <w:rPr>
                <w:rFonts w:eastAsia="Times New Roman" w:cs="Arial"/>
                <w:spacing w:val="-2"/>
                <w:sz w:val="20"/>
                <w:szCs w:val="20"/>
              </w:rPr>
            </w:pPr>
            <w:r w:rsidRPr="001E3C1C">
              <w:rPr>
                <w:rFonts w:asciiTheme="minorHAnsi" w:eastAsia="Times New Roman" w:hAnsiTheme="minorHAnsi" w:cs="Arial"/>
                <w:b/>
                <w:bCs/>
                <w:sz w:val="20"/>
                <w:szCs w:val="20"/>
                <w:lang w:val="hr-HR"/>
              </w:rPr>
              <w:t>201</w:t>
            </w:r>
            <w:r>
              <w:rPr>
                <w:rFonts w:asciiTheme="minorHAnsi" w:eastAsia="Times New Roman" w:hAnsiTheme="minorHAnsi" w:cs="Arial"/>
                <w:b/>
                <w:bCs/>
                <w:sz w:val="20"/>
                <w:szCs w:val="20"/>
                <w:lang w:val="hr-HR"/>
              </w:rPr>
              <w:t>6</w:t>
            </w:r>
          </w:p>
        </w:tc>
      </w:tr>
      <w:tr w:rsidR="001E3C1C" w:rsidRPr="001E3C1C" w14:paraId="6B0580DB" w14:textId="77777777" w:rsidTr="00C9214D">
        <w:trPr>
          <w:trHeight w:val="56"/>
        </w:trPr>
        <w:tc>
          <w:tcPr>
            <w:tcW w:w="1084" w:type="pct"/>
          </w:tcPr>
          <w:p w14:paraId="23033348" w14:textId="77777777" w:rsidR="001E3C1C" w:rsidRPr="001E3C1C" w:rsidRDefault="001E3C1C" w:rsidP="001E3C1C">
            <w:pPr>
              <w:tabs>
                <w:tab w:val="left" w:pos="-720"/>
              </w:tabs>
              <w:suppressAutoHyphens/>
              <w:spacing w:after="0" w:line="280" w:lineRule="exact"/>
              <w:jc w:val="right"/>
              <w:rPr>
                <w:rFonts w:cs="Arial"/>
                <w:spacing w:val="-3"/>
                <w:sz w:val="20"/>
                <w:szCs w:val="20"/>
              </w:rPr>
            </w:pPr>
          </w:p>
        </w:tc>
        <w:tc>
          <w:tcPr>
            <w:tcW w:w="472" w:type="pct"/>
            <w:vAlign w:val="center"/>
          </w:tcPr>
          <w:p w14:paraId="31A12CAD" w14:textId="77777777" w:rsidR="00337B86" w:rsidRDefault="001E3C1C" w:rsidP="00337B86">
            <w:pPr>
              <w:spacing w:after="0" w:line="240" w:lineRule="auto"/>
              <w:jc w:val="center"/>
              <w:outlineLvl w:val="0"/>
              <w:rPr>
                <w:rFonts w:eastAsia="Times New Roman" w:cs="Calibri"/>
                <w:bCs/>
                <w:sz w:val="20"/>
                <w:szCs w:val="20"/>
              </w:rPr>
            </w:pPr>
            <w:r w:rsidRPr="001E3C1C">
              <w:rPr>
                <w:rFonts w:eastAsia="Times New Roman" w:cs="Calibri"/>
                <w:bCs/>
                <w:sz w:val="20"/>
                <w:szCs w:val="20"/>
              </w:rPr>
              <w:t>Current period</w:t>
            </w:r>
          </w:p>
          <w:p w14:paraId="748DBFB8" w14:textId="0F3BBD25" w:rsidR="00337B86" w:rsidRPr="00337B86" w:rsidRDefault="001E3C1C" w:rsidP="00337B86">
            <w:pPr>
              <w:spacing w:after="0" w:line="240" w:lineRule="auto"/>
              <w:jc w:val="center"/>
              <w:outlineLvl w:val="0"/>
              <w:rPr>
                <w:rFonts w:eastAsia="Times New Roman" w:cs="Calibri"/>
                <w:bCs/>
                <w:sz w:val="20"/>
                <w:szCs w:val="20"/>
              </w:rPr>
            </w:pPr>
            <w:r w:rsidRPr="001E3C1C">
              <w:rPr>
                <w:rFonts w:eastAsia="Times New Roman" w:cs="Calibri"/>
                <w:bCs/>
                <w:sz w:val="20"/>
                <w:szCs w:val="20"/>
              </w:rPr>
              <w:t xml:space="preserve"> </w:t>
            </w:r>
            <w:r w:rsidR="00337B86" w:rsidRPr="00337B86">
              <w:rPr>
                <w:rFonts w:eastAsia="Times New Roman" w:cs="Calibri"/>
                <w:bCs/>
                <w:sz w:val="20"/>
                <w:szCs w:val="20"/>
              </w:rPr>
              <w:t xml:space="preserve">July 1 – </w:t>
            </w:r>
          </w:p>
          <w:p w14:paraId="5B59337D" w14:textId="109CA990" w:rsidR="001E3C1C" w:rsidRPr="001E3C1C" w:rsidRDefault="00337B86" w:rsidP="00337B86">
            <w:pPr>
              <w:spacing w:after="0" w:line="240" w:lineRule="auto"/>
              <w:jc w:val="center"/>
              <w:outlineLvl w:val="0"/>
              <w:rPr>
                <w:rFonts w:eastAsia="Times New Roman" w:cs="Calibri"/>
                <w:bCs/>
                <w:sz w:val="20"/>
                <w:szCs w:val="20"/>
              </w:rPr>
            </w:pPr>
            <w:r w:rsidRPr="00337B86">
              <w:rPr>
                <w:rFonts w:eastAsia="Times New Roman" w:cs="Calibri"/>
                <w:bCs/>
                <w:sz w:val="20"/>
                <w:szCs w:val="20"/>
              </w:rPr>
              <w:t>September 30</w:t>
            </w:r>
          </w:p>
        </w:tc>
        <w:tc>
          <w:tcPr>
            <w:tcW w:w="492" w:type="pct"/>
            <w:vAlign w:val="center"/>
          </w:tcPr>
          <w:p w14:paraId="081933DB" w14:textId="77777777" w:rsidR="001E3C1C" w:rsidRPr="001E3C1C" w:rsidRDefault="001E3C1C" w:rsidP="001E3C1C">
            <w:pPr>
              <w:spacing w:after="0" w:line="301" w:lineRule="exact"/>
              <w:jc w:val="center"/>
              <w:outlineLvl w:val="0"/>
              <w:rPr>
                <w:rFonts w:eastAsia="Times New Roman" w:cs="Calibri"/>
                <w:bCs/>
                <w:sz w:val="20"/>
                <w:szCs w:val="20"/>
              </w:rPr>
            </w:pPr>
            <w:r w:rsidRPr="001E3C1C">
              <w:rPr>
                <w:rFonts w:eastAsia="Times New Roman" w:cs="Calibri"/>
                <w:bCs/>
                <w:sz w:val="20"/>
                <w:szCs w:val="20"/>
              </w:rPr>
              <w:t>Cumulatively</w:t>
            </w:r>
          </w:p>
          <w:p w14:paraId="49E70C2F" w14:textId="77777777" w:rsidR="001E3C1C" w:rsidRPr="001E3C1C" w:rsidRDefault="001E3C1C" w:rsidP="001E3C1C">
            <w:pPr>
              <w:spacing w:after="0" w:line="240" w:lineRule="auto"/>
              <w:jc w:val="center"/>
              <w:outlineLvl w:val="0"/>
              <w:rPr>
                <w:rFonts w:eastAsia="Times New Roman" w:cs="Calibri"/>
                <w:bCs/>
                <w:sz w:val="20"/>
                <w:szCs w:val="20"/>
              </w:rPr>
            </w:pPr>
            <w:r w:rsidRPr="001E3C1C">
              <w:rPr>
                <w:rFonts w:eastAsia="Times New Roman" w:cs="Calibri"/>
                <w:bCs/>
                <w:sz w:val="20"/>
                <w:szCs w:val="20"/>
              </w:rPr>
              <w:t>January 1 –</w:t>
            </w:r>
          </w:p>
          <w:p w14:paraId="3FCB46AF" w14:textId="6521BCF9" w:rsidR="001E3C1C" w:rsidRPr="001E3C1C" w:rsidRDefault="00337B86" w:rsidP="001E3C1C">
            <w:pPr>
              <w:spacing w:after="0" w:line="240" w:lineRule="auto"/>
              <w:jc w:val="center"/>
              <w:outlineLvl w:val="0"/>
              <w:rPr>
                <w:rFonts w:eastAsia="Times New Roman" w:cs="Calibri"/>
                <w:bCs/>
                <w:sz w:val="20"/>
                <w:szCs w:val="20"/>
              </w:rPr>
            </w:pPr>
            <w:r>
              <w:rPr>
                <w:rFonts w:eastAsia="Times New Roman" w:cs="Calibri"/>
                <w:bCs/>
                <w:sz w:val="20"/>
                <w:szCs w:val="20"/>
              </w:rPr>
              <w:t>September</w:t>
            </w:r>
            <w:r w:rsidRPr="001E3C1C">
              <w:rPr>
                <w:rFonts w:eastAsia="Times New Roman" w:cs="Calibri"/>
                <w:bCs/>
                <w:sz w:val="20"/>
                <w:szCs w:val="20"/>
              </w:rPr>
              <w:t xml:space="preserve"> </w:t>
            </w:r>
            <w:r w:rsidR="001E3C1C" w:rsidRPr="001E3C1C">
              <w:rPr>
                <w:rFonts w:eastAsia="Times New Roman" w:cs="Calibri"/>
                <w:bCs/>
                <w:sz w:val="20"/>
                <w:szCs w:val="20"/>
              </w:rPr>
              <w:t>30</w:t>
            </w:r>
          </w:p>
        </w:tc>
        <w:tc>
          <w:tcPr>
            <w:tcW w:w="474" w:type="pct"/>
            <w:vAlign w:val="center"/>
          </w:tcPr>
          <w:p w14:paraId="4C7226AF" w14:textId="77777777" w:rsidR="00337B86" w:rsidRPr="00337B86" w:rsidRDefault="001E3C1C" w:rsidP="00337B86">
            <w:pPr>
              <w:spacing w:after="0" w:line="240" w:lineRule="auto"/>
              <w:ind w:hanging="172"/>
              <w:jc w:val="center"/>
              <w:outlineLvl w:val="0"/>
              <w:rPr>
                <w:rFonts w:eastAsia="Times New Roman" w:cs="Calibri"/>
                <w:bCs/>
                <w:sz w:val="20"/>
                <w:szCs w:val="20"/>
              </w:rPr>
            </w:pPr>
            <w:r w:rsidRPr="001E3C1C">
              <w:rPr>
                <w:rFonts w:eastAsia="Times New Roman" w:cs="Calibri"/>
                <w:bCs/>
                <w:sz w:val="20"/>
                <w:szCs w:val="20"/>
              </w:rPr>
              <w:t xml:space="preserve">Current period </w:t>
            </w:r>
            <w:r w:rsidR="00337B86" w:rsidRPr="00337B86">
              <w:rPr>
                <w:rFonts w:eastAsia="Times New Roman" w:cs="Calibri"/>
                <w:bCs/>
                <w:sz w:val="20"/>
                <w:szCs w:val="20"/>
              </w:rPr>
              <w:t xml:space="preserve">July 1 – </w:t>
            </w:r>
          </w:p>
          <w:p w14:paraId="271B202F" w14:textId="49B51758" w:rsidR="001E3C1C" w:rsidRPr="001E3C1C" w:rsidRDefault="00337B86" w:rsidP="00337B86">
            <w:pPr>
              <w:spacing w:after="0" w:line="240" w:lineRule="auto"/>
              <w:jc w:val="center"/>
              <w:outlineLvl w:val="0"/>
              <w:rPr>
                <w:rFonts w:eastAsia="Times New Roman" w:cs="Calibri"/>
                <w:bCs/>
                <w:sz w:val="20"/>
                <w:szCs w:val="20"/>
              </w:rPr>
            </w:pPr>
            <w:r w:rsidRPr="00337B86">
              <w:rPr>
                <w:rFonts w:eastAsia="Times New Roman" w:cs="Calibri"/>
                <w:bCs/>
                <w:sz w:val="20"/>
                <w:szCs w:val="20"/>
              </w:rPr>
              <w:t>September 30</w:t>
            </w:r>
          </w:p>
        </w:tc>
        <w:tc>
          <w:tcPr>
            <w:tcW w:w="512" w:type="pct"/>
            <w:vAlign w:val="center"/>
          </w:tcPr>
          <w:p w14:paraId="56AE6FEF" w14:textId="77777777" w:rsidR="001E3C1C" w:rsidRPr="001E3C1C" w:rsidRDefault="001E3C1C" w:rsidP="001E3C1C">
            <w:pPr>
              <w:spacing w:after="0" w:line="301" w:lineRule="exact"/>
              <w:jc w:val="center"/>
              <w:outlineLvl w:val="0"/>
              <w:rPr>
                <w:rFonts w:eastAsia="Times New Roman" w:cs="Calibri"/>
                <w:bCs/>
                <w:sz w:val="20"/>
                <w:szCs w:val="20"/>
              </w:rPr>
            </w:pPr>
            <w:r w:rsidRPr="001E3C1C">
              <w:rPr>
                <w:rFonts w:eastAsia="Times New Roman" w:cs="Calibri"/>
                <w:bCs/>
                <w:sz w:val="20"/>
                <w:szCs w:val="20"/>
              </w:rPr>
              <w:t>Cumulatively</w:t>
            </w:r>
          </w:p>
          <w:p w14:paraId="7D08FAE3" w14:textId="77777777" w:rsidR="001E3C1C" w:rsidRPr="001E3C1C" w:rsidRDefault="001E3C1C" w:rsidP="001E3C1C">
            <w:pPr>
              <w:spacing w:after="0" w:line="240" w:lineRule="auto"/>
              <w:jc w:val="center"/>
              <w:outlineLvl w:val="0"/>
              <w:rPr>
                <w:rFonts w:eastAsia="Times New Roman" w:cs="Calibri"/>
                <w:bCs/>
                <w:sz w:val="20"/>
                <w:szCs w:val="20"/>
              </w:rPr>
            </w:pPr>
            <w:r w:rsidRPr="001E3C1C">
              <w:rPr>
                <w:rFonts w:eastAsia="Times New Roman" w:cs="Calibri"/>
                <w:bCs/>
                <w:sz w:val="20"/>
                <w:szCs w:val="20"/>
              </w:rPr>
              <w:t>January 1 –</w:t>
            </w:r>
          </w:p>
          <w:p w14:paraId="5C8DD937" w14:textId="434D5D51" w:rsidR="001E3C1C" w:rsidRPr="001E3C1C" w:rsidRDefault="00337B86" w:rsidP="001E3C1C">
            <w:pPr>
              <w:spacing w:after="0" w:line="240" w:lineRule="auto"/>
              <w:jc w:val="center"/>
              <w:outlineLvl w:val="0"/>
              <w:rPr>
                <w:rFonts w:eastAsia="Times New Roman" w:cs="Calibri"/>
                <w:bCs/>
                <w:sz w:val="20"/>
                <w:szCs w:val="20"/>
              </w:rPr>
            </w:pPr>
            <w:r w:rsidRPr="00337B86">
              <w:rPr>
                <w:rFonts w:eastAsia="Times New Roman" w:cs="Calibri"/>
                <w:bCs/>
                <w:sz w:val="20"/>
                <w:szCs w:val="20"/>
              </w:rPr>
              <w:t>September</w:t>
            </w:r>
            <w:r w:rsidR="001E3C1C" w:rsidRPr="001E3C1C">
              <w:rPr>
                <w:rFonts w:eastAsia="Times New Roman" w:cs="Calibri"/>
                <w:bCs/>
                <w:sz w:val="20"/>
                <w:szCs w:val="20"/>
              </w:rPr>
              <w:t xml:space="preserve"> 30</w:t>
            </w:r>
          </w:p>
        </w:tc>
        <w:tc>
          <w:tcPr>
            <w:tcW w:w="472" w:type="pct"/>
            <w:vAlign w:val="center"/>
          </w:tcPr>
          <w:p w14:paraId="5EF4E615" w14:textId="77777777" w:rsidR="00337B86" w:rsidRDefault="001E3C1C" w:rsidP="00337B86">
            <w:pPr>
              <w:spacing w:after="0" w:line="240" w:lineRule="auto"/>
              <w:jc w:val="center"/>
              <w:outlineLvl w:val="0"/>
              <w:rPr>
                <w:rFonts w:eastAsia="Times New Roman" w:cs="Calibri"/>
                <w:bCs/>
                <w:sz w:val="20"/>
                <w:szCs w:val="20"/>
              </w:rPr>
            </w:pPr>
            <w:r w:rsidRPr="001E3C1C">
              <w:rPr>
                <w:rFonts w:eastAsia="Times New Roman" w:cs="Calibri"/>
                <w:bCs/>
                <w:sz w:val="20"/>
                <w:szCs w:val="20"/>
              </w:rPr>
              <w:t xml:space="preserve">Current period </w:t>
            </w:r>
          </w:p>
          <w:p w14:paraId="3C92CD49" w14:textId="742B9329" w:rsidR="00337B86" w:rsidRPr="00337B86" w:rsidRDefault="00337B86" w:rsidP="00337B86">
            <w:pPr>
              <w:spacing w:after="0" w:line="240" w:lineRule="auto"/>
              <w:jc w:val="center"/>
              <w:outlineLvl w:val="0"/>
              <w:rPr>
                <w:rFonts w:eastAsia="Times New Roman" w:cs="Calibri"/>
                <w:bCs/>
                <w:sz w:val="20"/>
                <w:szCs w:val="20"/>
              </w:rPr>
            </w:pPr>
            <w:r w:rsidRPr="00337B86">
              <w:rPr>
                <w:rFonts w:eastAsia="Times New Roman" w:cs="Calibri"/>
                <w:bCs/>
                <w:sz w:val="20"/>
                <w:szCs w:val="20"/>
              </w:rPr>
              <w:t xml:space="preserve">July 1 – </w:t>
            </w:r>
          </w:p>
          <w:p w14:paraId="5EA0484A" w14:textId="5CB093CC" w:rsidR="001E3C1C" w:rsidRPr="001E3C1C" w:rsidRDefault="00337B86" w:rsidP="00337B86">
            <w:pPr>
              <w:spacing w:after="0" w:line="240" w:lineRule="auto"/>
              <w:jc w:val="center"/>
              <w:outlineLvl w:val="0"/>
              <w:rPr>
                <w:rFonts w:eastAsia="Times New Roman" w:cs="Calibri"/>
                <w:bCs/>
                <w:sz w:val="20"/>
                <w:szCs w:val="20"/>
              </w:rPr>
            </w:pPr>
            <w:r w:rsidRPr="00337B86">
              <w:rPr>
                <w:rFonts w:eastAsia="Times New Roman" w:cs="Calibri"/>
                <w:bCs/>
                <w:sz w:val="20"/>
                <w:szCs w:val="20"/>
              </w:rPr>
              <w:t>September 30</w:t>
            </w:r>
          </w:p>
        </w:tc>
        <w:tc>
          <w:tcPr>
            <w:tcW w:w="511" w:type="pct"/>
            <w:vAlign w:val="center"/>
          </w:tcPr>
          <w:p w14:paraId="460215BA" w14:textId="77777777" w:rsidR="001E3C1C" w:rsidRPr="001E3C1C" w:rsidRDefault="001E3C1C" w:rsidP="001E3C1C">
            <w:pPr>
              <w:spacing w:after="0" w:line="301" w:lineRule="exact"/>
              <w:jc w:val="center"/>
              <w:outlineLvl w:val="0"/>
              <w:rPr>
                <w:rFonts w:eastAsia="Times New Roman" w:cs="Calibri"/>
                <w:bCs/>
                <w:sz w:val="20"/>
                <w:szCs w:val="20"/>
              </w:rPr>
            </w:pPr>
            <w:r w:rsidRPr="001E3C1C">
              <w:rPr>
                <w:rFonts w:eastAsia="Times New Roman" w:cs="Calibri"/>
                <w:bCs/>
                <w:sz w:val="20"/>
                <w:szCs w:val="20"/>
              </w:rPr>
              <w:t>Cumulatively</w:t>
            </w:r>
          </w:p>
          <w:p w14:paraId="5908480D" w14:textId="77777777" w:rsidR="001E3C1C" w:rsidRPr="001E3C1C" w:rsidRDefault="001E3C1C" w:rsidP="001E3C1C">
            <w:pPr>
              <w:spacing w:after="0" w:line="240" w:lineRule="auto"/>
              <w:jc w:val="center"/>
              <w:outlineLvl w:val="0"/>
              <w:rPr>
                <w:rFonts w:eastAsia="Times New Roman" w:cs="Calibri"/>
                <w:bCs/>
                <w:sz w:val="20"/>
                <w:szCs w:val="20"/>
              </w:rPr>
            </w:pPr>
            <w:r w:rsidRPr="001E3C1C">
              <w:rPr>
                <w:rFonts w:eastAsia="Times New Roman" w:cs="Calibri"/>
                <w:bCs/>
                <w:sz w:val="20"/>
                <w:szCs w:val="20"/>
              </w:rPr>
              <w:t>January 1 –</w:t>
            </w:r>
          </w:p>
          <w:p w14:paraId="2DC0FF81" w14:textId="7D22F20B" w:rsidR="001E3C1C" w:rsidRPr="001E3C1C" w:rsidRDefault="00337B86" w:rsidP="001E3C1C">
            <w:pPr>
              <w:spacing w:after="0" w:line="240" w:lineRule="auto"/>
              <w:jc w:val="center"/>
              <w:outlineLvl w:val="0"/>
              <w:rPr>
                <w:rFonts w:eastAsia="Times New Roman" w:cs="Calibri"/>
                <w:bCs/>
                <w:sz w:val="20"/>
                <w:szCs w:val="20"/>
              </w:rPr>
            </w:pPr>
            <w:r w:rsidRPr="00337B86">
              <w:rPr>
                <w:rFonts w:eastAsia="Times New Roman" w:cs="Calibri"/>
                <w:bCs/>
                <w:sz w:val="20"/>
                <w:szCs w:val="20"/>
              </w:rPr>
              <w:t>September</w:t>
            </w:r>
            <w:r w:rsidR="001E3C1C" w:rsidRPr="001E3C1C">
              <w:rPr>
                <w:rFonts w:eastAsia="Times New Roman" w:cs="Calibri"/>
                <w:bCs/>
                <w:sz w:val="20"/>
                <w:szCs w:val="20"/>
              </w:rPr>
              <w:t xml:space="preserve"> 30</w:t>
            </w:r>
          </w:p>
        </w:tc>
        <w:tc>
          <w:tcPr>
            <w:tcW w:w="472" w:type="pct"/>
            <w:vAlign w:val="center"/>
          </w:tcPr>
          <w:p w14:paraId="46B97C70" w14:textId="77777777" w:rsidR="00337B86" w:rsidRDefault="001E3C1C" w:rsidP="00337B86">
            <w:pPr>
              <w:spacing w:after="0" w:line="240" w:lineRule="auto"/>
              <w:jc w:val="center"/>
              <w:outlineLvl w:val="0"/>
              <w:rPr>
                <w:rFonts w:eastAsia="Times New Roman" w:cs="Calibri"/>
                <w:bCs/>
                <w:sz w:val="20"/>
                <w:szCs w:val="20"/>
              </w:rPr>
            </w:pPr>
            <w:r w:rsidRPr="001E3C1C">
              <w:rPr>
                <w:rFonts w:eastAsia="Times New Roman" w:cs="Calibri"/>
                <w:bCs/>
                <w:sz w:val="20"/>
                <w:szCs w:val="20"/>
              </w:rPr>
              <w:t>Current period</w:t>
            </w:r>
          </w:p>
          <w:p w14:paraId="053D7442" w14:textId="54E7A7EF" w:rsidR="00337B86" w:rsidRPr="00337B86" w:rsidRDefault="001E3C1C" w:rsidP="00337B86">
            <w:pPr>
              <w:spacing w:after="0" w:line="240" w:lineRule="auto"/>
              <w:jc w:val="center"/>
              <w:outlineLvl w:val="0"/>
              <w:rPr>
                <w:rFonts w:eastAsia="Times New Roman" w:cs="Calibri"/>
                <w:bCs/>
                <w:sz w:val="20"/>
                <w:szCs w:val="20"/>
              </w:rPr>
            </w:pPr>
            <w:r w:rsidRPr="001E3C1C">
              <w:rPr>
                <w:rFonts w:eastAsia="Times New Roman" w:cs="Calibri"/>
                <w:bCs/>
                <w:sz w:val="20"/>
                <w:szCs w:val="20"/>
              </w:rPr>
              <w:t xml:space="preserve"> </w:t>
            </w:r>
            <w:r w:rsidR="00337B86" w:rsidRPr="00337B86">
              <w:rPr>
                <w:rFonts w:eastAsia="Times New Roman" w:cs="Calibri"/>
                <w:bCs/>
                <w:sz w:val="20"/>
                <w:szCs w:val="20"/>
              </w:rPr>
              <w:t xml:space="preserve">July 1 – </w:t>
            </w:r>
          </w:p>
          <w:p w14:paraId="627B45F9" w14:textId="561932ED" w:rsidR="001E3C1C" w:rsidRPr="001E3C1C" w:rsidRDefault="00337B86" w:rsidP="00337B86">
            <w:pPr>
              <w:spacing w:after="0" w:line="240" w:lineRule="auto"/>
              <w:jc w:val="center"/>
              <w:outlineLvl w:val="0"/>
              <w:rPr>
                <w:rFonts w:eastAsia="Times New Roman" w:cs="Calibri"/>
                <w:bCs/>
                <w:sz w:val="20"/>
                <w:szCs w:val="20"/>
              </w:rPr>
            </w:pPr>
            <w:r w:rsidRPr="00337B86">
              <w:rPr>
                <w:rFonts w:eastAsia="Times New Roman" w:cs="Calibri"/>
                <w:bCs/>
                <w:sz w:val="20"/>
                <w:szCs w:val="20"/>
              </w:rPr>
              <w:t>September 30</w:t>
            </w:r>
          </w:p>
        </w:tc>
        <w:tc>
          <w:tcPr>
            <w:tcW w:w="511" w:type="pct"/>
            <w:vAlign w:val="center"/>
          </w:tcPr>
          <w:p w14:paraId="2E384005" w14:textId="77777777" w:rsidR="001E3C1C" w:rsidRPr="001E3C1C" w:rsidRDefault="001E3C1C" w:rsidP="001E3C1C">
            <w:pPr>
              <w:spacing w:after="0" w:line="301" w:lineRule="exact"/>
              <w:jc w:val="center"/>
              <w:outlineLvl w:val="0"/>
              <w:rPr>
                <w:rFonts w:eastAsia="Times New Roman" w:cs="Calibri"/>
                <w:bCs/>
                <w:sz w:val="20"/>
                <w:szCs w:val="20"/>
              </w:rPr>
            </w:pPr>
            <w:r w:rsidRPr="001E3C1C">
              <w:rPr>
                <w:rFonts w:eastAsia="Times New Roman" w:cs="Calibri"/>
                <w:bCs/>
                <w:sz w:val="20"/>
                <w:szCs w:val="20"/>
              </w:rPr>
              <w:t>Cumulatively</w:t>
            </w:r>
          </w:p>
          <w:p w14:paraId="3EFCBC22" w14:textId="77777777" w:rsidR="001E3C1C" w:rsidRPr="001E3C1C" w:rsidRDefault="001E3C1C" w:rsidP="001E3C1C">
            <w:pPr>
              <w:spacing w:after="0" w:line="240" w:lineRule="auto"/>
              <w:jc w:val="center"/>
              <w:outlineLvl w:val="0"/>
              <w:rPr>
                <w:rFonts w:eastAsia="Times New Roman" w:cs="Calibri"/>
                <w:bCs/>
                <w:sz w:val="20"/>
                <w:szCs w:val="20"/>
              </w:rPr>
            </w:pPr>
            <w:r w:rsidRPr="001E3C1C">
              <w:rPr>
                <w:rFonts w:eastAsia="Times New Roman" w:cs="Calibri"/>
                <w:bCs/>
                <w:sz w:val="20"/>
                <w:szCs w:val="20"/>
              </w:rPr>
              <w:t>January 1 –</w:t>
            </w:r>
          </w:p>
          <w:p w14:paraId="00CA46A9" w14:textId="1FC39C78" w:rsidR="001E3C1C" w:rsidRPr="001E3C1C" w:rsidRDefault="00337B86" w:rsidP="001E3C1C">
            <w:pPr>
              <w:spacing w:after="0" w:line="240" w:lineRule="auto"/>
              <w:jc w:val="center"/>
              <w:outlineLvl w:val="0"/>
              <w:rPr>
                <w:rFonts w:eastAsia="Times New Roman" w:cs="Calibri"/>
                <w:bCs/>
                <w:sz w:val="20"/>
                <w:szCs w:val="20"/>
              </w:rPr>
            </w:pPr>
            <w:r w:rsidRPr="00337B86">
              <w:rPr>
                <w:rFonts w:eastAsia="Times New Roman" w:cs="Calibri"/>
                <w:bCs/>
                <w:sz w:val="20"/>
                <w:szCs w:val="20"/>
              </w:rPr>
              <w:t>September</w:t>
            </w:r>
            <w:r w:rsidR="001E3C1C" w:rsidRPr="001E3C1C">
              <w:rPr>
                <w:rFonts w:eastAsia="Times New Roman" w:cs="Calibri"/>
                <w:bCs/>
                <w:sz w:val="20"/>
                <w:szCs w:val="20"/>
              </w:rPr>
              <w:t xml:space="preserve"> 30</w:t>
            </w:r>
          </w:p>
        </w:tc>
      </w:tr>
      <w:tr w:rsidR="001E3C1C" w:rsidRPr="001E3C1C" w14:paraId="5DC92D02" w14:textId="77777777" w:rsidTr="0013539B">
        <w:trPr>
          <w:trHeight w:val="56"/>
        </w:trPr>
        <w:tc>
          <w:tcPr>
            <w:tcW w:w="5000" w:type="pct"/>
            <w:gridSpan w:val="9"/>
          </w:tcPr>
          <w:p w14:paraId="4D2D4BFE" w14:textId="77777777" w:rsidR="001E3C1C" w:rsidRPr="001E3C1C" w:rsidRDefault="001E3C1C" w:rsidP="001E3C1C">
            <w:pPr>
              <w:tabs>
                <w:tab w:val="left" w:pos="-720"/>
              </w:tabs>
              <w:suppressAutoHyphens/>
              <w:spacing w:after="0" w:line="280" w:lineRule="exact"/>
              <w:rPr>
                <w:rFonts w:cs="Arial"/>
                <w:b/>
                <w:spacing w:val="-3"/>
                <w:sz w:val="20"/>
                <w:szCs w:val="20"/>
              </w:rPr>
            </w:pPr>
            <w:r w:rsidRPr="001E3C1C">
              <w:rPr>
                <w:rFonts w:cs="Arial"/>
                <w:bCs/>
                <w:spacing w:val="-3"/>
                <w:sz w:val="20"/>
              </w:rPr>
              <w:t>General and administrative expenses:</w:t>
            </w:r>
          </w:p>
        </w:tc>
      </w:tr>
      <w:tr w:rsidR="00C9214D" w:rsidRPr="001E3C1C" w14:paraId="641E1340" w14:textId="77777777" w:rsidTr="006B318F">
        <w:trPr>
          <w:trHeight w:val="20"/>
        </w:trPr>
        <w:tc>
          <w:tcPr>
            <w:tcW w:w="1084" w:type="pct"/>
          </w:tcPr>
          <w:p w14:paraId="09D0887C" w14:textId="77777777" w:rsidR="00C9214D" w:rsidRPr="001E3C1C" w:rsidRDefault="00C9214D" w:rsidP="00C9214D">
            <w:pPr>
              <w:tabs>
                <w:tab w:val="right" w:pos="1202"/>
              </w:tabs>
              <w:spacing w:after="0" w:line="280" w:lineRule="exact"/>
              <w:outlineLvl w:val="0"/>
              <w:rPr>
                <w:rFonts w:eastAsia="Times New Roman" w:cs="Arial"/>
                <w:sz w:val="20"/>
                <w:szCs w:val="20"/>
              </w:rPr>
            </w:pPr>
            <w:r w:rsidRPr="001E3C1C">
              <w:rPr>
                <w:rFonts w:eastAsia="Times New Roman" w:cs="Calibri"/>
                <w:spacing w:val="-3"/>
                <w:sz w:val="20"/>
                <w:szCs w:val="20"/>
              </w:rPr>
              <w:t>Employee expenses</w:t>
            </w:r>
          </w:p>
        </w:tc>
        <w:tc>
          <w:tcPr>
            <w:tcW w:w="472" w:type="pct"/>
            <w:tcBorders>
              <w:top w:val="nil"/>
              <w:left w:val="nil"/>
              <w:bottom w:val="nil"/>
              <w:right w:val="nil"/>
            </w:tcBorders>
            <w:shd w:val="clear" w:color="auto" w:fill="auto"/>
            <w:vAlign w:val="bottom"/>
          </w:tcPr>
          <w:p w14:paraId="2010BFF6" w14:textId="2E56706D" w:rsidR="00C9214D" w:rsidRPr="006B318F" w:rsidRDefault="00C9214D" w:rsidP="006B318F">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22,448</w:t>
            </w:r>
          </w:p>
        </w:tc>
        <w:tc>
          <w:tcPr>
            <w:tcW w:w="492" w:type="pct"/>
            <w:tcBorders>
              <w:top w:val="nil"/>
              <w:left w:val="nil"/>
              <w:bottom w:val="nil"/>
              <w:right w:val="nil"/>
            </w:tcBorders>
            <w:shd w:val="clear" w:color="auto" w:fill="auto"/>
            <w:vAlign w:val="bottom"/>
          </w:tcPr>
          <w:p w14:paraId="3DA0FBB6" w14:textId="4523CE5A" w:rsidR="00C9214D" w:rsidRPr="006B318F" w:rsidRDefault="00C9214D" w:rsidP="006B318F">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68,070</w:t>
            </w:r>
          </w:p>
        </w:tc>
        <w:tc>
          <w:tcPr>
            <w:tcW w:w="474" w:type="pct"/>
            <w:tcBorders>
              <w:top w:val="nil"/>
              <w:left w:val="nil"/>
              <w:bottom w:val="nil"/>
              <w:right w:val="nil"/>
            </w:tcBorders>
            <w:shd w:val="clear" w:color="auto" w:fill="auto"/>
            <w:vAlign w:val="bottom"/>
          </w:tcPr>
          <w:p w14:paraId="63E5498F" w14:textId="09B03AD9" w:rsidR="00C9214D" w:rsidRPr="006B318F" w:rsidRDefault="00C9214D" w:rsidP="006B318F">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22,334</w:t>
            </w:r>
          </w:p>
        </w:tc>
        <w:tc>
          <w:tcPr>
            <w:tcW w:w="512" w:type="pct"/>
            <w:tcBorders>
              <w:top w:val="nil"/>
              <w:left w:val="nil"/>
              <w:bottom w:val="nil"/>
              <w:right w:val="nil"/>
            </w:tcBorders>
            <w:shd w:val="clear" w:color="auto" w:fill="auto"/>
            <w:vAlign w:val="bottom"/>
          </w:tcPr>
          <w:p w14:paraId="6E43E7FC" w14:textId="48CE5CBD" w:rsidR="00C9214D" w:rsidRPr="006B318F" w:rsidRDefault="00C9214D" w:rsidP="006B318F">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66,031</w:t>
            </w:r>
          </w:p>
        </w:tc>
        <w:tc>
          <w:tcPr>
            <w:tcW w:w="472" w:type="pct"/>
            <w:tcBorders>
              <w:top w:val="nil"/>
              <w:left w:val="nil"/>
              <w:bottom w:val="nil"/>
              <w:right w:val="nil"/>
            </w:tcBorders>
            <w:shd w:val="clear" w:color="auto" w:fill="auto"/>
            <w:vAlign w:val="bottom"/>
          </w:tcPr>
          <w:p w14:paraId="3E27A41C" w14:textId="2FC8AA8F" w:rsidR="00C9214D" w:rsidRPr="001E3C1C" w:rsidRDefault="00C9214D" w:rsidP="00C9214D">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21,561</w:t>
            </w:r>
          </w:p>
        </w:tc>
        <w:tc>
          <w:tcPr>
            <w:tcW w:w="511" w:type="pct"/>
            <w:tcBorders>
              <w:top w:val="nil"/>
              <w:left w:val="nil"/>
              <w:bottom w:val="nil"/>
              <w:right w:val="nil"/>
            </w:tcBorders>
            <w:shd w:val="clear" w:color="auto" w:fill="auto"/>
            <w:vAlign w:val="bottom"/>
          </w:tcPr>
          <w:p w14:paraId="11CF9FDD" w14:textId="4043F901" w:rsidR="00C9214D" w:rsidRPr="001E3C1C" w:rsidRDefault="00C9214D" w:rsidP="00C9214D">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65,494</w:t>
            </w:r>
          </w:p>
        </w:tc>
        <w:tc>
          <w:tcPr>
            <w:tcW w:w="472" w:type="pct"/>
            <w:tcBorders>
              <w:top w:val="nil"/>
              <w:left w:val="nil"/>
              <w:bottom w:val="nil"/>
              <w:right w:val="nil"/>
            </w:tcBorders>
            <w:shd w:val="clear" w:color="auto" w:fill="auto"/>
            <w:vAlign w:val="bottom"/>
          </w:tcPr>
          <w:p w14:paraId="6534A505" w14:textId="0AB47907" w:rsidR="00C9214D" w:rsidRPr="001E3C1C" w:rsidRDefault="00C9214D" w:rsidP="00C9214D">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21,674</w:t>
            </w:r>
          </w:p>
        </w:tc>
        <w:tc>
          <w:tcPr>
            <w:tcW w:w="511" w:type="pct"/>
            <w:tcBorders>
              <w:top w:val="nil"/>
              <w:left w:val="nil"/>
              <w:bottom w:val="nil"/>
              <w:right w:val="nil"/>
            </w:tcBorders>
            <w:shd w:val="clear" w:color="auto" w:fill="auto"/>
            <w:vAlign w:val="bottom"/>
          </w:tcPr>
          <w:p w14:paraId="2FAB9273" w14:textId="4893B6F7" w:rsidR="00C9214D" w:rsidRPr="001E3C1C" w:rsidRDefault="00C9214D" w:rsidP="00C9214D">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63,731</w:t>
            </w:r>
          </w:p>
        </w:tc>
      </w:tr>
      <w:tr w:rsidR="00C9214D" w:rsidRPr="001E3C1C" w14:paraId="66FF4884" w14:textId="77777777" w:rsidTr="006B318F">
        <w:trPr>
          <w:trHeight w:val="20"/>
        </w:trPr>
        <w:tc>
          <w:tcPr>
            <w:tcW w:w="1084" w:type="pct"/>
          </w:tcPr>
          <w:p w14:paraId="70D57768" w14:textId="77777777" w:rsidR="00C9214D" w:rsidRPr="001E3C1C" w:rsidRDefault="00C9214D" w:rsidP="00C9214D">
            <w:pPr>
              <w:tabs>
                <w:tab w:val="right" w:pos="1202"/>
              </w:tabs>
              <w:spacing w:after="0" w:line="280" w:lineRule="exact"/>
              <w:outlineLvl w:val="0"/>
              <w:rPr>
                <w:rFonts w:eastAsia="Times New Roman" w:cs="Arial"/>
                <w:sz w:val="20"/>
                <w:szCs w:val="20"/>
              </w:rPr>
            </w:pPr>
            <w:r w:rsidRPr="001E3C1C">
              <w:rPr>
                <w:rFonts w:eastAsia="Times New Roman" w:cs="Calibri"/>
                <w:bCs/>
                <w:spacing w:val="-2"/>
                <w:sz w:val="20"/>
                <w:szCs w:val="20"/>
              </w:rPr>
              <w:t>Depreciation</w:t>
            </w:r>
          </w:p>
        </w:tc>
        <w:tc>
          <w:tcPr>
            <w:tcW w:w="472" w:type="pct"/>
            <w:tcBorders>
              <w:top w:val="nil"/>
              <w:left w:val="nil"/>
              <w:bottom w:val="nil"/>
              <w:right w:val="nil"/>
            </w:tcBorders>
            <w:shd w:val="clear" w:color="auto" w:fill="auto"/>
            <w:vAlign w:val="bottom"/>
          </w:tcPr>
          <w:p w14:paraId="4852C5F8" w14:textId="65DF0F20" w:rsidR="00C9214D" w:rsidRPr="006B318F" w:rsidRDefault="00C9214D" w:rsidP="006B318F">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1,786</w:t>
            </w:r>
          </w:p>
        </w:tc>
        <w:tc>
          <w:tcPr>
            <w:tcW w:w="492" w:type="pct"/>
            <w:tcBorders>
              <w:top w:val="nil"/>
              <w:left w:val="nil"/>
              <w:bottom w:val="nil"/>
              <w:right w:val="nil"/>
            </w:tcBorders>
            <w:shd w:val="clear" w:color="auto" w:fill="auto"/>
            <w:vAlign w:val="bottom"/>
          </w:tcPr>
          <w:p w14:paraId="2A81983B" w14:textId="39541FF5" w:rsidR="00C9214D" w:rsidRPr="006B318F" w:rsidRDefault="00C9214D" w:rsidP="006B318F">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5,742</w:t>
            </w:r>
          </w:p>
        </w:tc>
        <w:tc>
          <w:tcPr>
            <w:tcW w:w="474" w:type="pct"/>
            <w:tcBorders>
              <w:top w:val="nil"/>
              <w:left w:val="nil"/>
              <w:bottom w:val="nil"/>
              <w:right w:val="nil"/>
            </w:tcBorders>
            <w:shd w:val="clear" w:color="auto" w:fill="auto"/>
            <w:vAlign w:val="bottom"/>
          </w:tcPr>
          <w:p w14:paraId="48B9E0CE" w14:textId="6B5AD1F8" w:rsidR="00C9214D" w:rsidRPr="006B318F" w:rsidRDefault="00C9214D" w:rsidP="006B318F">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1,764</w:t>
            </w:r>
          </w:p>
        </w:tc>
        <w:tc>
          <w:tcPr>
            <w:tcW w:w="512" w:type="pct"/>
            <w:tcBorders>
              <w:top w:val="nil"/>
              <w:left w:val="nil"/>
              <w:bottom w:val="nil"/>
              <w:right w:val="nil"/>
            </w:tcBorders>
            <w:shd w:val="clear" w:color="auto" w:fill="auto"/>
            <w:vAlign w:val="bottom"/>
          </w:tcPr>
          <w:p w14:paraId="1DF222B8" w14:textId="1635FA60" w:rsidR="00C9214D" w:rsidRPr="006B318F" w:rsidRDefault="00C9214D" w:rsidP="006B318F">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5,722</w:t>
            </w:r>
          </w:p>
        </w:tc>
        <w:tc>
          <w:tcPr>
            <w:tcW w:w="472" w:type="pct"/>
            <w:tcBorders>
              <w:top w:val="nil"/>
              <w:left w:val="nil"/>
              <w:bottom w:val="nil"/>
              <w:right w:val="nil"/>
            </w:tcBorders>
            <w:shd w:val="clear" w:color="auto" w:fill="auto"/>
            <w:vAlign w:val="bottom"/>
          </w:tcPr>
          <w:p w14:paraId="6D2AA530" w14:textId="2FD30247" w:rsidR="00C9214D" w:rsidRPr="001E3C1C" w:rsidRDefault="00C9214D" w:rsidP="00C9214D">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1,771</w:t>
            </w:r>
          </w:p>
        </w:tc>
        <w:tc>
          <w:tcPr>
            <w:tcW w:w="511" w:type="pct"/>
            <w:tcBorders>
              <w:top w:val="nil"/>
              <w:left w:val="nil"/>
              <w:bottom w:val="nil"/>
              <w:right w:val="nil"/>
            </w:tcBorders>
            <w:shd w:val="clear" w:color="auto" w:fill="auto"/>
            <w:vAlign w:val="bottom"/>
          </w:tcPr>
          <w:p w14:paraId="1810130F" w14:textId="4D0B299F" w:rsidR="00C9214D" w:rsidRPr="001E3C1C" w:rsidRDefault="00C9214D" w:rsidP="00C9214D">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5,697</w:t>
            </w:r>
          </w:p>
        </w:tc>
        <w:tc>
          <w:tcPr>
            <w:tcW w:w="472" w:type="pct"/>
            <w:tcBorders>
              <w:top w:val="nil"/>
              <w:left w:val="nil"/>
              <w:bottom w:val="nil"/>
              <w:right w:val="nil"/>
            </w:tcBorders>
            <w:shd w:val="clear" w:color="auto" w:fill="auto"/>
            <w:vAlign w:val="bottom"/>
          </w:tcPr>
          <w:p w14:paraId="3BB7DA3A" w14:textId="40488BB5" w:rsidR="00C9214D" w:rsidRPr="001E3C1C" w:rsidRDefault="00C9214D" w:rsidP="00C9214D">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1,747</w:t>
            </w:r>
          </w:p>
        </w:tc>
        <w:tc>
          <w:tcPr>
            <w:tcW w:w="511" w:type="pct"/>
            <w:tcBorders>
              <w:top w:val="nil"/>
              <w:left w:val="nil"/>
              <w:bottom w:val="nil"/>
              <w:right w:val="nil"/>
            </w:tcBorders>
            <w:shd w:val="clear" w:color="auto" w:fill="auto"/>
            <w:vAlign w:val="bottom"/>
          </w:tcPr>
          <w:p w14:paraId="173BAA41" w14:textId="3A247B84" w:rsidR="00C9214D" w:rsidRPr="001E3C1C" w:rsidRDefault="00C9214D" w:rsidP="00C9214D">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5,670</w:t>
            </w:r>
          </w:p>
        </w:tc>
      </w:tr>
      <w:tr w:rsidR="00C9214D" w:rsidRPr="001E3C1C" w14:paraId="476057CF" w14:textId="77777777" w:rsidTr="006B318F">
        <w:trPr>
          <w:trHeight w:val="20"/>
        </w:trPr>
        <w:tc>
          <w:tcPr>
            <w:tcW w:w="1084" w:type="pct"/>
          </w:tcPr>
          <w:p w14:paraId="6A8DE60A" w14:textId="77777777" w:rsidR="00C9214D" w:rsidRPr="001E3C1C" w:rsidRDefault="00C9214D" w:rsidP="00C9214D">
            <w:pPr>
              <w:tabs>
                <w:tab w:val="right" w:pos="1202"/>
              </w:tabs>
              <w:spacing w:after="0" w:line="280" w:lineRule="exact"/>
              <w:outlineLvl w:val="0"/>
              <w:rPr>
                <w:rFonts w:eastAsia="Times New Roman" w:cs="Arial"/>
                <w:spacing w:val="-3"/>
                <w:sz w:val="20"/>
                <w:szCs w:val="20"/>
              </w:rPr>
            </w:pPr>
            <w:r w:rsidRPr="001E3C1C">
              <w:rPr>
                <w:rFonts w:eastAsia="Times New Roman" w:cs="Arial"/>
                <w:sz w:val="20"/>
                <w:szCs w:val="20"/>
              </w:rPr>
              <w:t xml:space="preserve">Administration expenses </w:t>
            </w:r>
          </w:p>
        </w:tc>
        <w:tc>
          <w:tcPr>
            <w:tcW w:w="472" w:type="pct"/>
            <w:tcBorders>
              <w:top w:val="nil"/>
              <w:left w:val="nil"/>
              <w:bottom w:val="nil"/>
              <w:right w:val="nil"/>
            </w:tcBorders>
            <w:shd w:val="clear" w:color="auto" w:fill="auto"/>
            <w:vAlign w:val="bottom"/>
          </w:tcPr>
          <w:p w14:paraId="60BEF1A9" w14:textId="24A34BD9" w:rsidR="00C9214D" w:rsidRPr="006B318F" w:rsidRDefault="00C9214D" w:rsidP="006B318F">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2,141</w:t>
            </w:r>
          </w:p>
        </w:tc>
        <w:tc>
          <w:tcPr>
            <w:tcW w:w="492" w:type="pct"/>
            <w:tcBorders>
              <w:top w:val="nil"/>
              <w:left w:val="nil"/>
              <w:bottom w:val="nil"/>
              <w:right w:val="nil"/>
            </w:tcBorders>
            <w:shd w:val="clear" w:color="auto" w:fill="auto"/>
            <w:vAlign w:val="bottom"/>
          </w:tcPr>
          <w:p w14:paraId="1849CD0B" w14:textId="27A195F5" w:rsidR="00C9214D" w:rsidRPr="006B318F" w:rsidRDefault="00C9214D" w:rsidP="006B318F">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8,789</w:t>
            </w:r>
          </w:p>
        </w:tc>
        <w:tc>
          <w:tcPr>
            <w:tcW w:w="474" w:type="pct"/>
            <w:tcBorders>
              <w:top w:val="nil"/>
              <w:left w:val="nil"/>
              <w:bottom w:val="nil"/>
              <w:right w:val="nil"/>
            </w:tcBorders>
            <w:shd w:val="clear" w:color="auto" w:fill="auto"/>
            <w:vAlign w:val="bottom"/>
          </w:tcPr>
          <w:p w14:paraId="624BE102" w14:textId="7D028E79" w:rsidR="00C9214D" w:rsidRPr="006B318F" w:rsidRDefault="00C9214D" w:rsidP="006B318F">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3,091</w:t>
            </w:r>
          </w:p>
        </w:tc>
        <w:tc>
          <w:tcPr>
            <w:tcW w:w="512" w:type="pct"/>
            <w:tcBorders>
              <w:top w:val="nil"/>
              <w:left w:val="nil"/>
              <w:bottom w:val="nil"/>
              <w:right w:val="nil"/>
            </w:tcBorders>
            <w:shd w:val="clear" w:color="auto" w:fill="auto"/>
            <w:vAlign w:val="bottom"/>
          </w:tcPr>
          <w:p w14:paraId="1403E48B" w14:textId="6620BA2E" w:rsidR="00C9214D" w:rsidRPr="006B318F" w:rsidRDefault="00C9214D" w:rsidP="006B318F">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8,981</w:t>
            </w:r>
          </w:p>
        </w:tc>
        <w:tc>
          <w:tcPr>
            <w:tcW w:w="472" w:type="pct"/>
            <w:tcBorders>
              <w:top w:val="nil"/>
              <w:left w:val="nil"/>
              <w:bottom w:val="nil"/>
              <w:right w:val="nil"/>
            </w:tcBorders>
            <w:shd w:val="clear" w:color="auto" w:fill="auto"/>
            <w:vAlign w:val="bottom"/>
          </w:tcPr>
          <w:p w14:paraId="746361AA" w14:textId="10936B3A" w:rsidR="00C9214D" w:rsidRPr="001E3C1C" w:rsidRDefault="00C9214D" w:rsidP="00C9214D">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2,064</w:t>
            </w:r>
          </w:p>
        </w:tc>
        <w:tc>
          <w:tcPr>
            <w:tcW w:w="511" w:type="pct"/>
            <w:tcBorders>
              <w:top w:val="nil"/>
              <w:left w:val="nil"/>
              <w:bottom w:val="nil"/>
              <w:right w:val="nil"/>
            </w:tcBorders>
            <w:shd w:val="clear" w:color="auto" w:fill="auto"/>
            <w:vAlign w:val="bottom"/>
          </w:tcPr>
          <w:p w14:paraId="23A6A74D" w14:textId="028554DC" w:rsidR="00C9214D" w:rsidRPr="001E3C1C" w:rsidRDefault="00C9214D" w:rsidP="00C9214D">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8,536</w:t>
            </w:r>
          </w:p>
        </w:tc>
        <w:tc>
          <w:tcPr>
            <w:tcW w:w="472" w:type="pct"/>
            <w:tcBorders>
              <w:top w:val="nil"/>
              <w:left w:val="nil"/>
              <w:bottom w:val="nil"/>
              <w:right w:val="nil"/>
            </w:tcBorders>
            <w:shd w:val="clear" w:color="auto" w:fill="auto"/>
            <w:vAlign w:val="bottom"/>
          </w:tcPr>
          <w:p w14:paraId="4B6D0838" w14:textId="501525A8" w:rsidR="00C9214D" w:rsidRPr="001E3C1C" w:rsidRDefault="00C9214D" w:rsidP="00C9214D">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2,989</w:t>
            </w:r>
          </w:p>
        </w:tc>
        <w:tc>
          <w:tcPr>
            <w:tcW w:w="511" w:type="pct"/>
            <w:tcBorders>
              <w:top w:val="nil"/>
              <w:left w:val="nil"/>
              <w:bottom w:val="nil"/>
              <w:right w:val="nil"/>
            </w:tcBorders>
            <w:shd w:val="clear" w:color="auto" w:fill="auto"/>
            <w:vAlign w:val="bottom"/>
          </w:tcPr>
          <w:p w14:paraId="30E11E9E" w14:textId="56527E8A" w:rsidR="00C9214D" w:rsidRPr="001E3C1C" w:rsidRDefault="00C9214D" w:rsidP="00C9214D">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8,750</w:t>
            </w:r>
          </w:p>
        </w:tc>
      </w:tr>
      <w:tr w:rsidR="00C9214D" w:rsidRPr="001E3C1C" w14:paraId="56BE6FF8" w14:textId="77777777" w:rsidTr="006B318F">
        <w:trPr>
          <w:trHeight w:val="20"/>
        </w:trPr>
        <w:tc>
          <w:tcPr>
            <w:tcW w:w="1084" w:type="pct"/>
          </w:tcPr>
          <w:p w14:paraId="561573D1" w14:textId="77777777" w:rsidR="00C9214D" w:rsidRPr="001E3C1C" w:rsidRDefault="00C9214D" w:rsidP="00C9214D">
            <w:pPr>
              <w:tabs>
                <w:tab w:val="right" w:pos="1202"/>
              </w:tabs>
              <w:spacing w:after="0" w:line="280" w:lineRule="exact"/>
              <w:outlineLvl w:val="0"/>
              <w:rPr>
                <w:rFonts w:eastAsia="Times New Roman" w:cs="Arial"/>
                <w:sz w:val="20"/>
                <w:szCs w:val="20"/>
              </w:rPr>
            </w:pPr>
            <w:r w:rsidRPr="001E3C1C">
              <w:rPr>
                <w:rFonts w:eastAsia="Times New Roman" w:cs="Arial"/>
                <w:sz w:val="20"/>
                <w:szCs w:val="20"/>
              </w:rPr>
              <w:t>Material and services</w:t>
            </w:r>
          </w:p>
        </w:tc>
        <w:tc>
          <w:tcPr>
            <w:tcW w:w="472" w:type="pct"/>
            <w:tcBorders>
              <w:top w:val="nil"/>
              <w:left w:val="nil"/>
              <w:bottom w:val="nil"/>
              <w:right w:val="nil"/>
            </w:tcBorders>
            <w:shd w:val="clear" w:color="auto" w:fill="auto"/>
            <w:vAlign w:val="bottom"/>
          </w:tcPr>
          <w:p w14:paraId="10090E0B" w14:textId="35CD632D" w:rsidR="00C9214D" w:rsidRPr="006B318F" w:rsidRDefault="00C9214D" w:rsidP="006B318F">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7,028</w:t>
            </w:r>
          </w:p>
        </w:tc>
        <w:tc>
          <w:tcPr>
            <w:tcW w:w="492" w:type="pct"/>
            <w:tcBorders>
              <w:top w:val="nil"/>
              <w:left w:val="nil"/>
              <w:bottom w:val="nil"/>
              <w:right w:val="nil"/>
            </w:tcBorders>
            <w:shd w:val="clear" w:color="auto" w:fill="auto"/>
            <w:vAlign w:val="bottom"/>
          </w:tcPr>
          <w:p w14:paraId="466C6BCD" w14:textId="23629688" w:rsidR="00C9214D" w:rsidRPr="006B318F" w:rsidRDefault="00C9214D" w:rsidP="006B318F">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22,233</w:t>
            </w:r>
          </w:p>
        </w:tc>
        <w:tc>
          <w:tcPr>
            <w:tcW w:w="474" w:type="pct"/>
            <w:tcBorders>
              <w:top w:val="nil"/>
              <w:left w:val="nil"/>
              <w:bottom w:val="nil"/>
              <w:right w:val="nil"/>
            </w:tcBorders>
            <w:shd w:val="clear" w:color="auto" w:fill="auto"/>
            <w:vAlign w:val="bottom"/>
          </w:tcPr>
          <w:p w14:paraId="48706CF7" w14:textId="1835A970" w:rsidR="00C9214D" w:rsidRPr="006B318F" w:rsidRDefault="00C9214D" w:rsidP="006B318F">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7,327</w:t>
            </w:r>
          </w:p>
        </w:tc>
        <w:tc>
          <w:tcPr>
            <w:tcW w:w="512" w:type="pct"/>
            <w:tcBorders>
              <w:top w:val="nil"/>
              <w:left w:val="nil"/>
              <w:bottom w:val="nil"/>
              <w:right w:val="nil"/>
            </w:tcBorders>
            <w:shd w:val="clear" w:color="auto" w:fill="auto"/>
            <w:vAlign w:val="bottom"/>
          </w:tcPr>
          <w:p w14:paraId="1C11233D" w14:textId="5DB1F2D8" w:rsidR="00C9214D" w:rsidRPr="006B318F" w:rsidRDefault="00C9214D" w:rsidP="006B318F">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20,573</w:t>
            </w:r>
          </w:p>
        </w:tc>
        <w:tc>
          <w:tcPr>
            <w:tcW w:w="472" w:type="pct"/>
            <w:tcBorders>
              <w:top w:val="nil"/>
              <w:left w:val="nil"/>
              <w:bottom w:val="nil"/>
              <w:right w:val="nil"/>
            </w:tcBorders>
            <w:shd w:val="clear" w:color="auto" w:fill="auto"/>
            <w:vAlign w:val="bottom"/>
          </w:tcPr>
          <w:p w14:paraId="58819707" w14:textId="0EBE3B69" w:rsidR="00C9214D" w:rsidRPr="001E3C1C" w:rsidRDefault="00C9214D" w:rsidP="00C9214D">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6,551</w:t>
            </w:r>
          </w:p>
        </w:tc>
        <w:tc>
          <w:tcPr>
            <w:tcW w:w="511" w:type="pct"/>
            <w:tcBorders>
              <w:top w:val="nil"/>
              <w:left w:val="nil"/>
              <w:bottom w:val="nil"/>
              <w:right w:val="nil"/>
            </w:tcBorders>
            <w:shd w:val="clear" w:color="auto" w:fill="auto"/>
            <w:vAlign w:val="bottom"/>
          </w:tcPr>
          <w:p w14:paraId="7E8BC666" w14:textId="32F9F70C" w:rsidR="00C9214D" w:rsidRPr="001E3C1C" w:rsidRDefault="00C9214D" w:rsidP="00C9214D">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20,802</w:t>
            </w:r>
          </w:p>
        </w:tc>
        <w:tc>
          <w:tcPr>
            <w:tcW w:w="472" w:type="pct"/>
            <w:tcBorders>
              <w:top w:val="nil"/>
              <w:left w:val="nil"/>
              <w:bottom w:val="nil"/>
              <w:right w:val="nil"/>
            </w:tcBorders>
            <w:shd w:val="clear" w:color="auto" w:fill="auto"/>
            <w:vAlign w:val="bottom"/>
          </w:tcPr>
          <w:p w14:paraId="5347359C" w14:textId="3A876146" w:rsidR="00C9214D" w:rsidRPr="001E3C1C" w:rsidRDefault="00C9214D" w:rsidP="00C9214D">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6,921</w:t>
            </w:r>
          </w:p>
        </w:tc>
        <w:tc>
          <w:tcPr>
            <w:tcW w:w="511" w:type="pct"/>
            <w:tcBorders>
              <w:top w:val="nil"/>
              <w:left w:val="nil"/>
              <w:bottom w:val="nil"/>
              <w:right w:val="nil"/>
            </w:tcBorders>
            <w:shd w:val="clear" w:color="auto" w:fill="auto"/>
            <w:vAlign w:val="bottom"/>
          </w:tcPr>
          <w:p w14:paraId="6DE07391" w14:textId="76AB9311" w:rsidR="00C9214D" w:rsidRPr="001E3C1C" w:rsidRDefault="00C9214D" w:rsidP="00C9214D">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19,351</w:t>
            </w:r>
          </w:p>
        </w:tc>
      </w:tr>
      <w:tr w:rsidR="00C9214D" w:rsidRPr="001E3C1C" w14:paraId="1CCBCAD0" w14:textId="77777777" w:rsidTr="006B318F">
        <w:trPr>
          <w:trHeight w:val="85"/>
        </w:trPr>
        <w:tc>
          <w:tcPr>
            <w:tcW w:w="1084" w:type="pct"/>
          </w:tcPr>
          <w:p w14:paraId="62DA6551" w14:textId="77777777" w:rsidR="00C9214D" w:rsidRPr="001E3C1C" w:rsidRDefault="00C9214D" w:rsidP="00C9214D">
            <w:pPr>
              <w:tabs>
                <w:tab w:val="right" w:pos="1202"/>
              </w:tabs>
              <w:spacing w:after="0" w:line="280" w:lineRule="exact"/>
              <w:outlineLvl w:val="0"/>
              <w:rPr>
                <w:rFonts w:eastAsia="Times New Roman" w:cs="Arial"/>
                <w:sz w:val="20"/>
                <w:szCs w:val="20"/>
              </w:rPr>
            </w:pPr>
          </w:p>
        </w:tc>
        <w:tc>
          <w:tcPr>
            <w:tcW w:w="472" w:type="pct"/>
            <w:tcBorders>
              <w:top w:val="single" w:sz="4" w:space="0" w:color="auto"/>
              <w:left w:val="nil"/>
              <w:bottom w:val="single" w:sz="4" w:space="0" w:color="auto"/>
              <w:right w:val="nil"/>
            </w:tcBorders>
            <w:shd w:val="clear" w:color="auto" w:fill="auto"/>
            <w:vAlign w:val="bottom"/>
          </w:tcPr>
          <w:p w14:paraId="6F6DC7AA" w14:textId="2F35EECF" w:rsidR="00C9214D" w:rsidRPr="006B318F" w:rsidRDefault="00C9214D" w:rsidP="006B318F">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33,403</w:t>
            </w:r>
          </w:p>
        </w:tc>
        <w:tc>
          <w:tcPr>
            <w:tcW w:w="492" w:type="pct"/>
            <w:tcBorders>
              <w:top w:val="single" w:sz="4" w:space="0" w:color="auto"/>
              <w:left w:val="nil"/>
              <w:bottom w:val="single" w:sz="4" w:space="0" w:color="auto"/>
              <w:right w:val="nil"/>
            </w:tcBorders>
            <w:shd w:val="clear" w:color="auto" w:fill="auto"/>
            <w:vAlign w:val="bottom"/>
          </w:tcPr>
          <w:p w14:paraId="6191AC88" w14:textId="431749F3" w:rsidR="00C9214D" w:rsidRPr="006B318F" w:rsidRDefault="00C9214D" w:rsidP="006B318F">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104,834</w:t>
            </w:r>
          </w:p>
        </w:tc>
        <w:tc>
          <w:tcPr>
            <w:tcW w:w="474" w:type="pct"/>
            <w:tcBorders>
              <w:top w:val="single" w:sz="4" w:space="0" w:color="auto"/>
              <w:left w:val="nil"/>
              <w:bottom w:val="single" w:sz="4" w:space="0" w:color="auto"/>
              <w:right w:val="nil"/>
            </w:tcBorders>
            <w:shd w:val="clear" w:color="auto" w:fill="auto"/>
            <w:vAlign w:val="bottom"/>
          </w:tcPr>
          <w:p w14:paraId="2C94CD47" w14:textId="6F7CC571" w:rsidR="00C9214D" w:rsidRPr="006B318F" w:rsidRDefault="00C9214D" w:rsidP="006B318F">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34,516</w:t>
            </w:r>
          </w:p>
        </w:tc>
        <w:tc>
          <w:tcPr>
            <w:tcW w:w="512" w:type="pct"/>
            <w:tcBorders>
              <w:top w:val="single" w:sz="4" w:space="0" w:color="auto"/>
              <w:left w:val="nil"/>
              <w:bottom w:val="single" w:sz="4" w:space="0" w:color="auto"/>
              <w:right w:val="nil"/>
            </w:tcBorders>
            <w:shd w:val="clear" w:color="auto" w:fill="auto"/>
            <w:vAlign w:val="bottom"/>
          </w:tcPr>
          <w:p w14:paraId="6393D789" w14:textId="20AF7BE9" w:rsidR="00C9214D" w:rsidRPr="006B318F" w:rsidRDefault="00C9214D" w:rsidP="006B318F">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101,307</w:t>
            </w:r>
          </w:p>
        </w:tc>
        <w:tc>
          <w:tcPr>
            <w:tcW w:w="472" w:type="pct"/>
            <w:tcBorders>
              <w:top w:val="single" w:sz="4" w:space="0" w:color="auto"/>
              <w:left w:val="nil"/>
              <w:bottom w:val="single" w:sz="4" w:space="0" w:color="auto"/>
              <w:right w:val="nil"/>
            </w:tcBorders>
            <w:shd w:val="clear" w:color="auto" w:fill="auto"/>
            <w:vAlign w:val="bottom"/>
          </w:tcPr>
          <w:p w14:paraId="39C08C32" w14:textId="073156DD" w:rsidR="00C9214D" w:rsidRPr="00351D63" w:rsidRDefault="00C9214D" w:rsidP="00C9214D">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31,947</w:t>
            </w:r>
          </w:p>
        </w:tc>
        <w:tc>
          <w:tcPr>
            <w:tcW w:w="511" w:type="pct"/>
            <w:tcBorders>
              <w:top w:val="single" w:sz="4" w:space="0" w:color="auto"/>
              <w:left w:val="nil"/>
              <w:bottom w:val="single" w:sz="4" w:space="0" w:color="auto"/>
              <w:right w:val="nil"/>
            </w:tcBorders>
            <w:shd w:val="clear" w:color="auto" w:fill="auto"/>
            <w:vAlign w:val="bottom"/>
          </w:tcPr>
          <w:p w14:paraId="2ACF2372" w14:textId="0ADE1F20" w:rsidR="00C9214D" w:rsidRPr="00351D63" w:rsidRDefault="00C9214D" w:rsidP="00C9214D">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100,529</w:t>
            </w:r>
          </w:p>
        </w:tc>
        <w:tc>
          <w:tcPr>
            <w:tcW w:w="472" w:type="pct"/>
            <w:tcBorders>
              <w:top w:val="single" w:sz="4" w:space="0" w:color="auto"/>
              <w:left w:val="nil"/>
              <w:bottom w:val="single" w:sz="4" w:space="0" w:color="auto"/>
              <w:right w:val="nil"/>
            </w:tcBorders>
            <w:shd w:val="clear" w:color="auto" w:fill="auto"/>
            <w:vAlign w:val="bottom"/>
          </w:tcPr>
          <w:p w14:paraId="678F989D" w14:textId="065CC301" w:rsidR="00C9214D" w:rsidRPr="00351D63" w:rsidRDefault="00C9214D" w:rsidP="00C9214D">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33,331</w:t>
            </w:r>
          </w:p>
        </w:tc>
        <w:tc>
          <w:tcPr>
            <w:tcW w:w="511" w:type="pct"/>
            <w:tcBorders>
              <w:top w:val="single" w:sz="4" w:space="0" w:color="auto"/>
              <w:left w:val="nil"/>
              <w:bottom w:val="single" w:sz="4" w:space="0" w:color="auto"/>
              <w:right w:val="nil"/>
            </w:tcBorders>
            <w:shd w:val="clear" w:color="auto" w:fill="auto"/>
            <w:vAlign w:val="bottom"/>
          </w:tcPr>
          <w:p w14:paraId="0ADEB4D3" w14:textId="2FB1AF91" w:rsidR="00C9214D" w:rsidRPr="00351D63" w:rsidRDefault="00C9214D" w:rsidP="00C9214D">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97,502</w:t>
            </w:r>
          </w:p>
        </w:tc>
      </w:tr>
      <w:tr w:rsidR="00C9214D" w:rsidRPr="001E3C1C" w14:paraId="08064712" w14:textId="77777777" w:rsidTr="006B318F">
        <w:trPr>
          <w:trHeight w:val="56"/>
        </w:trPr>
        <w:tc>
          <w:tcPr>
            <w:tcW w:w="1084" w:type="pct"/>
          </w:tcPr>
          <w:p w14:paraId="51303DF7" w14:textId="77777777" w:rsidR="00C9214D" w:rsidRPr="001E3C1C" w:rsidRDefault="00C9214D" w:rsidP="00C9214D">
            <w:pPr>
              <w:tabs>
                <w:tab w:val="right" w:pos="1202"/>
              </w:tabs>
              <w:spacing w:after="0" w:line="280" w:lineRule="exact"/>
              <w:outlineLvl w:val="0"/>
              <w:rPr>
                <w:rFonts w:eastAsia="Times New Roman" w:cs="Arial"/>
                <w:sz w:val="20"/>
                <w:szCs w:val="20"/>
              </w:rPr>
            </w:pPr>
            <w:r w:rsidRPr="001E3C1C">
              <w:rPr>
                <w:rFonts w:eastAsia="Times New Roman" w:cs="Arial"/>
                <w:sz w:val="20"/>
                <w:szCs w:val="20"/>
              </w:rPr>
              <w:t xml:space="preserve">Other </w:t>
            </w:r>
            <w:r w:rsidRPr="001E3C1C">
              <w:rPr>
                <w:rFonts w:eastAsia="Times New Roman" w:cs="Arial"/>
                <w:bCs/>
                <w:spacing w:val="-3"/>
                <w:sz w:val="20"/>
                <w:szCs w:val="20"/>
              </w:rPr>
              <w:t>expenses</w:t>
            </w:r>
            <w:r w:rsidRPr="001E3C1C">
              <w:rPr>
                <w:rFonts w:eastAsia="Times New Roman" w:cs="Arial"/>
                <w:sz w:val="20"/>
                <w:szCs w:val="20"/>
              </w:rPr>
              <w:t>:</w:t>
            </w:r>
          </w:p>
        </w:tc>
        <w:tc>
          <w:tcPr>
            <w:tcW w:w="472" w:type="pct"/>
            <w:tcBorders>
              <w:top w:val="single" w:sz="4" w:space="0" w:color="auto"/>
            </w:tcBorders>
            <w:vAlign w:val="bottom"/>
          </w:tcPr>
          <w:p w14:paraId="42C6139B" w14:textId="77777777" w:rsidR="00C9214D" w:rsidRPr="006B318F" w:rsidRDefault="00C9214D" w:rsidP="006B318F">
            <w:pPr>
              <w:keepLines/>
              <w:tabs>
                <w:tab w:val="right" w:pos="1202"/>
              </w:tabs>
              <w:spacing w:after="0" w:line="240" w:lineRule="auto"/>
              <w:jc w:val="right"/>
              <w:outlineLvl w:val="0"/>
              <w:rPr>
                <w:rFonts w:eastAsia="Times New Roman" w:cs="Calibri"/>
                <w:sz w:val="20"/>
                <w:szCs w:val="20"/>
              </w:rPr>
            </w:pPr>
          </w:p>
        </w:tc>
        <w:tc>
          <w:tcPr>
            <w:tcW w:w="492" w:type="pct"/>
            <w:tcBorders>
              <w:top w:val="single" w:sz="4" w:space="0" w:color="auto"/>
            </w:tcBorders>
            <w:vAlign w:val="bottom"/>
          </w:tcPr>
          <w:p w14:paraId="43EB0A35" w14:textId="77777777" w:rsidR="00C9214D" w:rsidRPr="006B318F" w:rsidRDefault="00C9214D" w:rsidP="006B318F">
            <w:pPr>
              <w:keepLines/>
              <w:tabs>
                <w:tab w:val="right" w:pos="1202"/>
              </w:tabs>
              <w:spacing w:after="0" w:line="240" w:lineRule="auto"/>
              <w:jc w:val="right"/>
              <w:outlineLvl w:val="0"/>
              <w:rPr>
                <w:rFonts w:eastAsia="Times New Roman" w:cs="Calibri"/>
                <w:sz w:val="20"/>
                <w:szCs w:val="20"/>
              </w:rPr>
            </w:pPr>
          </w:p>
        </w:tc>
        <w:tc>
          <w:tcPr>
            <w:tcW w:w="474" w:type="pct"/>
            <w:tcBorders>
              <w:top w:val="single" w:sz="4" w:space="0" w:color="auto"/>
            </w:tcBorders>
            <w:vAlign w:val="bottom"/>
          </w:tcPr>
          <w:p w14:paraId="2AF3787C" w14:textId="77777777" w:rsidR="00C9214D" w:rsidRPr="001E3C1C" w:rsidRDefault="00C9214D" w:rsidP="00C9214D">
            <w:pPr>
              <w:tabs>
                <w:tab w:val="right" w:pos="1202"/>
              </w:tabs>
              <w:spacing w:after="0" w:line="280" w:lineRule="exact"/>
              <w:jc w:val="right"/>
              <w:outlineLvl w:val="0"/>
              <w:rPr>
                <w:rFonts w:eastAsia="Times New Roman" w:cs="Arial"/>
                <w:spacing w:val="-3"/>
                <w:sz w:val="20"/>
                <w:szCs w:val="20"/>
              </w:rPr>
            </w:pPr>
          </w:p>
        </w:tc>
        <w:tc>
          <w:tcPr>
            <w:tcW w:w="512" w:type="pct"/>
            <w:tcBorders>
              <w:top w:val="single" w:sz="4" w:space="0" w:color="auto"/>
            </w:tcBorders>
            <w:vAlign w:val="bottom"/>
          </w:tcPr>
          <w:p w14:paraId="5961EFBB" w14:textId="77777777" w:rsidR="00C9214D" w:rsidRPr="001E3C1C" w:rsidRDefault="00C9214D" w:rsidP="00C9214D">
            <w:pPr>
              <w:tabs>
                <w:tab w:val="right" w:pos="1202"/>
              </w:tabs>
              <w:spacing w:after="0" w:line="280" w:lineRule="exact"/>
              <w:jc w:val="right"/>
              <w:outlineLvl w:val="0"/>
              <w:rPr>
                <w:rFonts w:eastAsia="Times New Roman" w:cs="Arial"/>
                <w:spacing w:val="-3"/>
                <w:sz w:val="20"/>
                <w:szCs w:val="20"/>
              </w:rPr>
            </w:pPr>
          </w:p>
        </w:tc>
        <w:tc>
          <w:tcPr>
            <w:tcW w:w="472" w:type="pct"/>
            <w:tcBorders>
              <w:top w:val="single" w:sz="4" w:space="0" w:color="auto"/>
            </w:tcBorders>
            <w:vAlign w:val="bottom"/>
          </w:tcPr>
          <w:p w14:paraId="1D36CC1A" w14:textId="77777777" w:rsidR="00C9214D" w:rsidRPr="001E3C1C" w:rsidRDefault="00C9214D" w:rsidP="00C9214D">
            <w:pPr>
              <w:keepLines/>
              <w:tabs>
                <w:tab w:val="right" w:pos="1202"/>
              </w:tabs>
              <w:spacing w:after="0" w:line="240" w:lineRule="auto"/>
              <w:jc w:val="right"/>
              <w:outlineLvl w:val="0"/>
              <w:rPr>
                <w:rFonts w:eastAsia="Times New Roman" w:cs="Calibri"/>
                <w:sz w:val="20"/>
                <w:szCs w:val="20"/>
              </w:rPr>
            </w:pPr>
          </w:p>
        </w:tc>
        <w:tc>
          <w:tcPr>
            <w:tcW w:w="511" w:type="pct"/>
            <w:tcBorders>
              <w:top w:val="single" w:sz="4" w:space="0" w:color="auto"/>
            </w:tcBorders>
            <w:vAlign w:val="bottom"/>
          </w:tcPr>
          <w:p w14:paraId="5A40BBE3" w14:textId="77777777" w:rsidR="00C9214D" w:rsidRPr="001E3C1C" w:rsidRDefault="00C9214D" w:rsidP="00C9214D">
            <w:pPr>
              <w:keepLines/>
              <w:tabs>
                <w:tab w:val="right" w:pos="1202"/>
              </w:tabs>
              <w:spacing w:after="0" w:line="240" w:lineRule="auto"/>
              <w:jc w:val="right"/>
              <w:outlineLvl w:val="0"/>
              <w:rPr>
                <w:rFonts w:eastAsia="Times New Roman" w:cs="Calibri"/>
                <w:sz w:val="20"/>
                <w:szCs w:val="20"/>
              </w:rPr>
            </w:pPr>
          </w:p>
        </w:tc>
        <w:tc>
          <w:tcPr>
            <w:tcW w:w="472" w:type="pct"/>
            <w:tcBorders>
              <w:top w:val="nil"/>
              <w:left w:val="nil"/>
              <w:bottom w:val="nil"/>
              <w:right w:val="nil"/>
            </w:tcBorders>
            <w:shd w:val="clear" w:color="auto" w:fill="auto"/>
            <w:vAlign w:val="bottom"/>
          </w:tcPr>
          <w:p w14:paraId="0074E762" w14:textId="77777777" w:rsidR="00C9214D" w:rsidRPr="001E3C1C" w:rsidRDefault="00C9214D" w:rsidP="00C9214D">
            <w:pPr>
              <w:keepLines/>
              <w:tabs>
                <w:tab w:val="right" w:pos="1202"/>
              </w:tabs>
              <w:spacing w:after="0" w:line="240" w:lineRule="auto"/>
              <w:jc w:val="right"/>
              <w:outlineLvl w:val="0"/>
              <w:rPr>
                <w:rFonts w:eastAsia="Times New Roman" w:cs="Calibri"/>
                <w:sz w:val="20"/>
                <w:szCs w:val="20"/>
              </w:rPr>
            </w:pPr>
          </w:p>
        </w:tc>
        <w:tc>
          <w:tcPr>
            <w:tcW w:w="511" w:type="pct"/>
            <w:tcBorders>
              <w:top w:val="nil"/>
              <w:left w:val="nil"/>
              <w:bottom w:val="nil"/>
              <w:right w:val="nil"/>
            </w:tcBorders>
            <w:shd w:val="clear" w:color="auto" w:fill="auto"/>
            <w:vAlign w:val="bottom"/>
          </w:tcPr>
          <w:p w14:paraId="1FDD4E01" w14:textId="77777777" w:rsidR="00C9214D" w:rsidRPr="001E3C1C" w:rsidRDefault="00C9214D" w:rsidP="00C9214D">
            <w:pPr>
              <w:keepLines/>
              <w:tabs>
                <w:tab w:val="right" w:pos="1202"/>
              </w:tabs>
              <w:spacing w:after="0" w:line="240" w:lineRule="auto"/>
              <w:jc w:val="right"/>
              <w:outlineLvl w:val="0"/>
              <w:rPr>
                <w:rFonts w:eastAsia="Times New Roman" w:cs="Calibri"/>
                <w:sz w:val="20"/>
                <w:szCs w:val="20"/>
              </w:rPr>
            </w:pPr>
          </w:p>
        </w:tc>
      </w:tr>
      <w:tr w:rsidR="00C9214D" w:rsidRPr="001E3C1C" w14:paraId="0EEF4832" w14:textId="77777777" w:rsidTr="006B318F">
        <w:trPr>
          <w:trHeight w:val="56"/>
        </w:trPr>
        <w:tc>
          <w:tcPr>
            <w:tcW w:w="1084" w:type="pct"/>
          </w:tcPr>
          <w:p w14:paraId="73E1402F" w14:textId="77777777" w:rsidR="00C9214D" w:rsidRPr="001E3C1C" w:rsidRDefault="00C9214D" w:rsidP="00C9214D">
            <w:pPr>
              <w:tabs>
                <w:tab w:val="right" w:pos="1202"/>
              </w:tabs>
              <w:spacing w:after="0" w:line="280" w:lineRule="exact"/>
              <w:outlineLvl w:val="0"/>
              <w:rPr>
                <w:rFonts w:eastAsia="Times New Roman" w:cs="Arial"/>
                <w:spacing w:val="-3"/>
                <w:sz w:val="20"/>
                <w:szCs w:val="20"/>
              </w:rPr>
            </w:pPr>
            <w:r w:rsidRPr="001E3C1C">
              <w:rPr>
                <w:rFonts w:eastAsia="Times New Roman" w:cs="Arial"/>
                <w:sz w:val="20"/>
                <w:szCs w:val="20"/>
              </w:rPr>
              <w:t xml:space="preserve">Taxes and contributions </w:t>
            </w:r>
          </w:p>
        </w:tc>
        <w:tc>
          <w:tcPr>
            <w:tcW w:w="472" w:type="pct"/>
            <w:tcBorders>
              <w:top w:val="nil"/>
              <w:left w:val="nil"/>
              <w:bottom w:val="nil"/>
              <w:right w:val="nil"/>
            </w:tcBorders>
            <w:shd w:val="clear" w:color="auto" w:fill="auto"/>
            <w:vAlign w:val="bottom"/>
          </w:tcPr>
          <w:p w14:paraId="23684DF0" w14:textId="4EA91BFA" w:rsidR="00C9214D" w:rsidRPr="006B318F" w:rsidRDefault="00C9214D" w:rsidP="006B318F">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218</w:t>
            </w:r>
          </w:p>
        </w:tc>
        <w:tc>
          <w:tcPr>
            <w:tcW w:w="492" w:type="pct"/>
            <w:tcBorders>
              <w:top w:val="nil"/>
              <w:left w:val="nil"/>
              <w:bottom w:val="nil"/>
              <w:right w:val="nil"/>
            </w:tcBorders>
            <w:shd w:val="clear" w:color="auto" w:fill="auto"/>
            <w:vAlign w:val="bottom"/>
          </w:tcPr>
          <w:p w14:paraId="7382BFFC" w14:textId="48A3188A" w:rsidR="00C9214D" w:rsidRPr="006B318F" w:rsidRDefault="00C9214D" w:rsidP="006B318F">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523</w:t>
            </w:r>
          </w:p>
        </w:tc>
        <w:tc>
          <w:tcPr>
            <w:tcW w:w="474" w:type="pct"/>
            <w:tcBorders>
              <w:top w:val="nil"/>
              <w:left w:val="nil"/>
              <w:bottom w:val="nil"/>
              <w:right w:val="nil"/>
            </w:tcBorders>
            <w:shd w:val="clear" w:color="auto" w:fill="auto"/>
            <w:vAlign w:val="bottom"/>
          </w:tcPr>
          <w:p w14:paraId="7A0C118B" w14:textId="33F1545A" w:rsidR="00C9214D" w:rsidRPr="001E3C1C" w:rsidRDefault="00C9214D" w:rsidP="00C9214D">
            <w:pPr>
              <w:tabs>
                <w:tab w:val="right" w:pos="1202"/>
              </w:tabs>
              <w:spacing w:after="0" w:line="280" w:lineRule="exact"/>
              <w:jc w:val="right"/>
              <w:outlineLvl w:val="0"/>
              <w:rPr>
                <w:rFonts w:eastAsia="Times New Roman" w:cs="Arial"/>
                <w:spacing w:val="-3"/>
                <w:sz w:val="20"/>
                <w:szCs w:val="20"/>
              </w:rPr>
            </w:pPr>
            <w:r>
              <w:rPr>
                <w:rFonts w:asciiTheme="minorHAnsi" w:hAnsiTheme="minorHAnsi" w:cs="Arial"/>
                <w:spacing w:val="-3"/>
                <w:sz w:val="20"/>
                <w:lang w:val="hr-HR"/>
              </w:rPr>
              <w:t>174</w:t>
            </w:r>
          </w:p>
        </w:tc>
        <w:tc>
          <w:tcPr>
            <w:tcW w:w="512" w:type="pct"/>
            <w:tcBorders>
              <w:top w:val="nil"/>
              <w:left w:val="nil"/>
              <w:bottom w:val="nil"/>
              <w:right w:val="nil"/>
            </w:tcBorders>
            <w:shd w:val="clear" w:color="auto" w:fill="auto"/>
            <w:vAlign w:val="bottom"/>
          </w:tcPr>
          <w:p w14:paraId="3C09EA06" w14:textId="4C3DE1F4" w:rsidR="00C9214D" w:rsidRPr="001E3C1C" w:rsidRDefault="00C9214D" w:rsidP="00C9214D">
            <w:pPr>
              <w:tabs>
                <w:tab w:val="right" w:pos="1202"/>
              </w:tabs>
              <w:spacing w:after="0" w:line="280" w:lineRule="exact"/>
              <w:jc w:val="right"/>
              <w:outlineLvl w:val="0"/>
              <w:rPr>
                <w:rFonts w:eastAsia="Times New Roman" w:cs="Arial"/>
                <w:spacing w:val="-3"/>
                <w:sz w:val="20"/>
                <w:szCs w:val="20"/>
              </w:rPr>
            </w:pPr>
            <w:r>
              <w:rPr>
                <w:rFonts w:asciiTheme="minorHAnsi" w:hAnsiTheme="minorHAnsi" w:cs="Arial"/>
                <w:spacing w:val="-3"/>
                <w:sz w:val="20"/>
                <w:lang w:val="hr-HR"/>
              </w:rPr>
              <w:t>514</w:t>
            </w:r>
          </w:p>
        </w:tc>
        <w:tc>
          <w:tcPr>
            <w:tcW w:w="472" w:type="pct"/>
            <w:tcBorders>
              <w:top w:val="nil"/>
              <w:left w:val="nil"/>
              <w:bottom w:val="nil"/>
              <w:right w:val="nil"/>
            </w:tcBorders>
            <w:shd w:val="clear" w:color="auto" w:fill="auto"/>
            <w:vAlign w:val="bottom"/>
          </w:tcPr>
          <w:p w14:paraId="6363AAA4" w14:textId="7D121EA2" w:rsidR="00C9214D" w:rsidRPr="001E3C1C" w:rsidRDefault="00C9214D" w:rsidP="00C9214D">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217</w:t>
            </w:r>
          </w:p>
        </w:tc>
        <w:tc>
          <w:tcPr>
            <w:tcW w:w="511" w:type="pct"/>
            <w:tcBorders>
              <w:top w:val="nil"/>
              <w:left w:val="nil"/>
              <w:bottom w:val="nil"/>
              <w:right w:val="nil"/>
            </w:tcBorders>
            <w:shd w:val="clear" w:color="auto" w:fill="auto"/>
            <w:vAlign w:val="bottom"/>
          </w:tcPr>
          <w:p w14:paraId="019633D8" w14:textId="3B2E3A9E" w:rsidR="00C9214D" w:rsidRPr="001E3C1C" w:rsidRDefault="00C9214D" w:rsidP="00C9214D">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520</w:t>
            </w:r>
          </w:p>
        </w:tc>
        <w:tc>
          <w:tcPr>
            <w:tcW w:w="472" w:type="pct"/>
            <w:tcBorders>
              <w:top w:val="nil"/>
              <w:left w:val="nil"/>
              <w:bottom w:val="nil"/>
              <w:right w:val="nil"/>
            </w:tcBorders>
            <w:shd w:val="clear" w:color="auto" w:fill="auto"/>
            <w:vAlign w:val="bottom"/>
          </w:tcPr>
          <w:p w14:paraId="7A4F85E9" w14:textId="778B8C59" w:rsidR="00C9214D" w:rsidRPr="001E3C1C" w:rsidRDefault="00C9214D" w:rsidP="00C9214D">
            <w:pPr>
              <w:keepLines/>
              <w:tabs>
                <w:tab w:val="right" w:pos="1202"/>
              </w:tabs>
              <w:spacing w:after="0" w:line="240" w:lineRule="auto"/>
              <w:jc w:val="right"/>
              <w:outlineLvl w:val="0"/>
              <w:rPr>
                <w:rFonts w:eastAsia="Times New Roman" w:cs="Calibri"/>
                <w:sz w:val="20"/>
                <w:szCs w:val="20"/>
              </w:rPr>
            </w:pPr>
            <w:r>
              <w:rPr>
                <w:rFonts w:asciiTheme="minorHAnsi" w:hAnsiTheme="minorHAnsi" w:cs="Calibri"/>
                <w:sz w:val="20"/>
              </w:rPr>
              <w:t>171</w:t>
            </w:r>
          </w:p>
        </w:tc>
        <w:tc>
          <w:tcPr>
            <w:tcW w:w="511" w:type="pct"/>
            <w:tcBorders>
              <w:top w:val="nil"/>
              <w:left w:val="nil"/>
              <w:bottom w:val="nil"/>
              <w:right w:val="nil"/>
            </w:tcBorders>
            <w:shd w:val="clear" w:color="auto" w:fill="auto"/>
            <w:vAlign w:val="bottom"/>
          </w:tcPr>
          <w:p w14:paraId="57D12E6F" w14:textId="3F942114" w:rsidR="00C9214D" w:rsidRPr="001E3C1C" w:rsidRDefault="00C9214D" w:rsidP="00C9214D">
            <w:pPr>
              <w:keepLines/>
              <w:tabs>
                <w:tab w:val="right" w:pos="1202"/>
              </w:tabs>
              <w:spacing w:after="0" w:line="240" w:lineRule="auto"/>
              <w:jc w:val="right"/>
              <w:outlineLvl w:val="0"/>
              <w:rPr>
                <w:rFonts w:eastAsia="Times New Roman" w:cs="Calibri"/>
                <w:sz w:val="20"/>
                <w:szCs w:val="20"/>
              </w:rPr>
            </w:pPr>
            <w:r>
              <w:rPr>
                <w:rFonts w:asciiTheme="minorHAnsi" w:hAnsiTheme="minorHAnsi" w:cs="Calibri"/>
                <w:sz w:val="20"/>
              </w:rPr>
              <w:t>510</w:t>
            </w:r>
          </w:p>
        </w:tc>
      </w:tr>
      <w:tr w:rsidR="00C9214D" w:rsidRPr="001E3C1C" w14:paraId="5D44F3DE" w14:textId="77777777" w:rsidTr="006B318F">
        <w:trPr>
          <w:trHeight w:val="56"/>
        </w:trPr>
        <w:tc>
          <w:tcPr>
            <w:tcW w:w="1084" w:type="pct"/>
          </w:tcPr>
          <w:p w14:paraId="0CB160E9" w14:textId="77777777" w:rsidR="00C9214D" w:rsidRPr="001E3C1C" w:rsidRDefault="00C9214D" w:rsidP="00C9214D">
            <w:pPr>
              <w:tabs>
                <w:tab w:val="right" w:pos="1202"/>
              </w:tabs>
              <w:spacing w:after="0" w:line="280" w:lineRule="exact"/>
              <w:outlineLvl w:val="0"/>
              <w:rPr>
                <w:rFonts w:eastAsia="Times New Roman" w:cs="Arial"/>
                <w:spacing w:val="-3"/>
                <w:sz w:val="20"/>
                <w:szCs w:val="20"/>
              </w:rPr>
            </w:pPr>
            <w:r w:rsidRPr="001E3C1C">
              <w:rPr>
                <w:rFonts w:eastAsia="Times New Roman" w:cs="Arial"/>
                <w:sz w:val="20"/>
                <w:szCs w:val="20"/>
              </w:rPr>
              <w:t>Other expenses</w:t>
            </w:r>
          </w:p>
        </w:tc>
        <w:tc>
          <w:tcPr>
            <w:tcW w:w="472" w:type="pct"/>
            <w:tcBorders>
              <w:top w:val="nil"/>
              <w:left w:val="nil"/>
              <w:bottom w:val="nil"/>
              <w:right w:val="nil"/>
            </w:tcBorders>
            <w:shd w:val="clear" w:color="auto" w:fill="auto"/>
            <w:vAlign w:val="bottom"/>
          </w:tcPr>
          <w:p w14:paraId="0BDF8DB5" w14:textId="30C5C1BA" w:rsidR="00C9214D" w:rsidRPr="006B318F" w:rsidRDefault="00C9214D" w:rsidP="006B318F">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2,529</w:t>
            </w:r>
          </w:p>
        </w:tc>
        <w:tc>
          <w:tcPr>
            <w:tcW w:w="492" w:type="pct"/>
            <w:tcBorders>
              <w:top w:val="nil"/>
              <w:left w:val="nil"/>
              <w:bottom w:val="nil"/>
              <w:right w:val="nil"/>
            </w:tcBorders>
            <w:shd w:val="clear" w:color="auto" w:fill="auto"/>
            <w:vAlign w:val="bottom"/>
          </w:tcPr>
          <w:p w14:paraId="1A4C2209" w14:textId="2DA5BEA9" w:rsidR="00C9214D" w:rsidRPr="006B318F" w:rsidRDefault="00C9214D" w:rsidP="006B318F">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8,822</w:t>
            </w:r>
          </w:p>
        </w:tc>
        <w:tc>
          <w:tcPr>
            <w:tcW w:w="474" w:type="pct"/>
            <w:tcBorders>
              <w:top w:val="nil"/>
              <w:left w:val="nil"/>
              <w:bottom w:val="single" w:sz="4" w:space="0" w:color="auto"/>
              <w:right w:val="nil"/>
            </w:tcBorders>
            <w:shd w:val="clear" w:color="auto" w:fill="auto"/>
            <w:vAlign w:val="bottom"/>
          </w:tcPr>
          <w:p w14:paraId="75C27F78" w14:textId="4A9014D0" w:rsidR="00C9214D" w:rsidRPr="001E3C1C" w:rsidRDefault="00C9214D" w:rsidP="00C9214D">
            <w:pPr>
              <w:tabs>
                <w:tab w:val="right" w:pos="1202"/>
              </w:tabs>
              <w:spacing w:after="0" w:line="280" w:lineRule="exact"/>
              <w:jc w:val="right"/>
              <w:outlineLvl w:val="0"/>
              <w:rPr>
                <w:rFonts w:eastAsia="Times New Roman" w:cs="Arial"/>
                <w:spacing w:val="-3"/>
                <w:sz w:val="20"/>
                <w:szCs w:val="20"/>
              </w:rPr>
            </w:pPr>
            <w:r>
              <w:rPr>
                <w:rFonts w:asciiTheme="minorHAnsi" w:hAnsiTheme="minorHAnsi" w:cs="Arial"/>
                <w:spacing w:val="-3"/>
                <w:sz w:val="20"/>
                <w:lang w:val="hr-HR"/>
              </w:rPr>
              <w:t>2,663</w:t>
            </w:r>
          </w:p>
        </w:tc>
        <w:tc>
          <w:tcPr>
            <w:tcW w:w="512" w:type="pct"/>
            <w:tcBorders>
              <w:top w:val="nil"/>
              <w:left w:val="nil"/>
              <w:bottom w:val="single" w:sz="4" w:space="0" w:color="auto"/>
              <w:right w:val="nil"/>
            </w:tcBorders>
            <w:shd w:val="clear" w:color="auto" w:fill="auto"/>
            <w:vAlign w:val="bottom"/>
          </w:tcPr>
          <w:p w14:paraId="41A11462" w14:textId="147B4AFA" w:rsidR="00C9214D" w:rsidRPr="001E3C1C" w:rsidRDefault="00C9214D" w:rsidP="00C9214D">
            <w:pPr>
              <w:tabs>
                <w:tab w:val="right" w:pos="1202"/>
              </w:tabs>
              <w:spacing w:after="0" w:line="280" w:lineRule="exact"/>
              <w:jc w:val="right"/>
              <w:outlineLvl w:val="0"/>
              <w:rPr>
                <w:rFonts w:eastAsia="Times New Roman" w:cs="Arial"/>
                <w:spacing w:val="-3"/>
                <w:sz w:val="20"/>
                <w:szCs w:val="20"/>
              </w:rPr>
            </w:pPr>
            <w:r>
              <w:rPr>
                <w:rFonts w:asciiTheme="minorHAnsi" w:hAnsiTheme="minorHAnsi" w:cs="Arial"/>
                <w:spacing w:val="-3"/>
                <w:sz w:val="20"/>
                <w:lang w:val="hr-HR"/>
              </w:rPr>
              <w:t>17,431</w:t>
            </w:r>
          </w:p>
        </w:tc>
        <w:tc>
          <w:tcPr>
            <w:tcW w:w="472" w:type="pct"/>
            <w:tcBorders>
              <w:top w:val="nil"/>
              <w:left w:val="nil"/>
              <w:bottom w:val="nil"/>
              <w:right w:val="nil"/>
            </w:tcBorders>
            <w:shd w:val="clear" w:color="auto" w:fill="auto"/>
            <w:vAlign w:val="bottom"/>
          </w:tcPr>
          <w:p w14:paraId="5B97BBC2" w14:textId="58F8235F" w:rsidR="00C9214D" w:rsidRPr="001E3C1C" w:rsidRDefault="00C9214D" w:rsidP="00C9214D">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1,000</w:t>
            </w:r>
          </w:p>
        </w:tc>
        <w:tc>
          <w:tcPr>
            <w:tcW w:w="511" w:type="pct"/>
            <w:tcBorders>
              <w:top w:val="nil"/>
              <w:left w:val="nil"/>
              <w:bottom w:val="nil"/>
              <w:right w:val="nil"/>
            </w:tcBorders>
            <w:shd w:val="clear" w:color="auto" w:fill="auto"/>
            <w:vAlign w:val="bottom"/>
          </w:tcPr>
          <w:p w14:paraId="670AD83E" w14:textId="4271E973" w:rsidR="00C9214D" w:rsidRPr="001E3C1C" w:rsidRDefault="00C9214D" w:rsidP="00C9214D">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6,247</w:t>
            </w:r>
          </w:p>
        </w:tc>
        <w:tc>
          <w:tcPr>
            <w:tcW w:w="472" w:type="pct"/>
            <w:tcBorders>
              <w:top w:val="nil"/>
              <w:left w:val="nil"/>
              <w:bottom w:val="single" w:sz="4" w:space="0" w:color="auto"/>
              <w:right w:val="nil"/>
            </w:tcBorders>
            <w:shd w:val="clear" w:color="auto" w:fill="auto"/>
            <w:vAlign w:val="bottom"/>
          </w:tcPr>
          <w:p w14:paraId="2616A967" w14:textId="2715B6DF" w:rsidR="00C9214D" w:rsidRPr="001E3C1C" w:rsidRDefault="00C9214D" w:rsidP="00C9214D">
            <w:pPr>
              <w:keepLines/>
              <w:tabs>
                <w:tab w:val="right" w:pos="1202"/>
              </w:tabs>
              <w:spacing w:after="0" w:line="240" w:lineRule="auto"/>
              <w:jc w:val="right"/>
              <w:outlineLvl w:val="0"/>
              <w:rPr>
                <w:rFonts w:eastAsia="Times New Roman" w:cs="Calibri"/>
                <w:sz w:val="20"/>
                <w:szCs w:val="20"/>
              </w:rPr>
            </w:pPr>
            <w:r>
              <w:rPr>
                <w:rFonts w:asciiTheme="minorHAnsi" w:hAnsiTheme="minorHAnsi" w:cs="Calibri"/>
                <w:sz w:val="20"/>
              </w:rPr>
              <w:t>1,459</w:t>
            </w:r>
          </w:p>
        </w:tc>
        <w:tc>
          <w:tcPr>
            <w:tcW w:w="511" w:type="pct"/>
            <w:tcBorders>
              <w:top w:val="nil"/>
              <w:left w:val="nil"/>
              <w:bottom w:val="single" w:sz="4" w:space="0" w:color="auto"/>
              <w:right w:val="nil"/>
            </w:tcBorders>
            <w:shd w:val="clear" w:color="auto" w:fill="auto"/>
            <w:vAlign w:val="bottom"/>
          </w:tcPr>
          <w:p w14:paraId="4E6D96F4" w14:textId="0715578A" w:rsidR="00C9214D" w:rsidRPr="001E3C1C" w:rsidRDefault="00C9214D" w:rsidP="00C9214D">
            <w:pPr>
              <w:keepLines/>
              <w:tabs>
                <w:tab w:val="right" w:pos="1202"/>
              </w:tabs>
              <w:spacing w:after="0" w:line="240" w:lineRule="auto"/>
              <w:jc w:val="right"/>
              <w:outlineLvl w:val="0"/>
              <w:rPr>
                <w:rFonts w:eastAsia="Times New Roman" w:cs="Calibri"/>
                <w:sz w:val="20"/>
                <w:szCs w:val="20"/>
              </w:rPr>
            </w:pPr>
            <w:r>
              <w:rPr>
                <w:rFonts w:asciiTheme="minorHAnsi" w:hAnsiTheme="minorHAnsi" w:cs="Calibri"/>
                <w:sz w:val="20"/>
              </w:rPr>
              <w:t>13,999</w:t>
            </w:r>
          </w:p>
        </w:tc>
      </w:tr>
      <w:tr w:rsidR="00C9214D" w:rsidRPr="001E3C1C" w14:paraId="43183F38" w14:textId="77777777" w:rsidTr="006B318F">
        <w:trPr>
          <w:trHeight w:val="56"/>
        </w:trPr>
        <w:tc>
          <w:tcPr>
            <w:tcW w:w="1084" w:type="pct"/>
          </w:tcPr>
          <w:p w14:paraId="394C74B3" w14:textId="77777777" w:rsidR="00C9214D" w:rsidRPr="001E3C1C" w:rsidRDefault="00C9214D" w:rsidP="00C9214D">
            <w:pPr>
              <w:tabs>
                <w:tab w:val="right" w:pos="1202"/>
              </w:tabs>
              <w:spacing w:after="0" w:line="280" w:lineRule="exact"/>
              <w:outlineLvl w:val="0"/>
              <w:rPr>
                <w:rFonts w:eastAsia="Times New Roman" w:cs="Arial"/>
                <w:sz w:val="20"/>
                <w:szCs w:val="20"/>
              </w:rPr>
            </w:pPr>
          </w:p>
        </w:tc>
        <w:tc>
          <w:tcPr>
            <w:tcW w:w="472" w:type="pct"/>
            <w:tcBorders>
              <w:top w:val="single" w:sz="4" w:space="0" w:color="auto"/>
              <w:left w:val="nil"/>
              <w:bottom w:val="single" w:sz="4" w:space="0" w:color="auto"/>
              <w:right w:val="nil"/>
            </w:tcBorders>
            <w:shd w:val="clear" w:color="auto" w:fill="auto"/>
            <w:vAlign w:val="bottom"/>
          </w:tcPr>
          <w:p w14:paraId="4525C3D4" w14:textId="58CC0A65" w:rsidR="00C9214D" w:rsidRPr="006B318F" w:rsidRDefault="00C9214D" w:rsidP="006B318F">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2,747</w:t>
            </w:r>
          </w:p>
        </w:tc>
        <w:tc>
          <w:tcPr>
            <w:tcW w:w="492" w:type="pct"/>
            <w:tcBorders>
              <w:top w:val="single" w:sz="4" w:space="0" w:color="auto"/>
              <w:left w:val="nil"/>
              <w:bottom w:val="single" w:sz="4" w:space="0" w:color="auto"/>
              <w:right w:val="nil"/>
            </w:tcBorders>
            <w:shd w:val="clear" w:color="auto" w:fill="auto"/>
            <w:vAlign w:val="bottom"/>
          </w:tcPr>
          <w:p w14:paraId="54D67CD2" w14:textId="26B7A68D" w:rsidR="00C9214D" w:rsidRPr="006B318F" w:rsidRDefault="00C9214D" w:rsidP="006B318F">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9,345</w:t>
            </w:r>
          </w:p>
        </w:tc>
        <w:tc>
          <w:tcPr>
            <w:tcW w:w="474" w:type="pct"/>
            <w:tcBorders>
              <w:top w:val="single" w:sz="4" w:space="0" w:color="auto"/>
              <w:left w:val="nil"/>
              <w:bottom w:val="single" w:sz="4" w:space="0" w:color="auto"/>
              <w:right w:val="nil"/>
            </w:tcBorders>
            <w:shd w:val="clear" w:color="auto" w:fill="auto"/>
            <w:vAlign w:val="bottom"/>
          </w:tcPr>
          <w:p w14:paraId="437F7834" w14:textId="6E7D2B3D" w:rsidR="00C9214D" w:rsidRPr="00EA6A3D" w:rsidRDefault="00C9214D" w:rsidP="00C9214D">
            <w:pPr>
              <w:tabs>
                <w:tab w:val="right" w:pos="1202"/>
              </w:tabs>
              <w:spacing w:after="0" w:line="280" w:lineRule="exact"/>
              <w:jc w:val="right"/>
              <w:outlineLvl w:val="0"/>
              <w:rPr>
                <w:rFonts w:eastAsia="Times New Roman" w:cs="Arial"/>
                <w:spacing w:val="-3"/>
                <w:sz w:val="20"/>
                <w:szCs w:val="20"/>
              </w:rPr>
            </w:pPr>
            <w:r w:rsidRPr="00EA6A3D">
              <w:rPr>
                <w:rFonts w:asciiTheme="minorHAnsi" w:hAnsiTheme="minorHAnsi" w:cs="Arial"/>
                <w:spacing w:val="-3"/>
                <w:sz w:val="20"/>
                <w:lang w:val="hr-HR"/>
              </w:rPr>
              <w:t>2,837</w:t>
            </w:r>
          </w:p>
        </w:tc>
        <w:tc>
          <w:tcPr>
            <w:tcW w:w="512" w:type="pct"/>
            <w:tcBorders>
              <w:top w:val="single" w:sz="4" w:space="0" w:color="auto"/>
              <w:left w:val="nil"/>
              <w:bottom w:val="single" w:sz="4" w:space="0" w:color="auto"/>
              <w:right w:val="nil"/>
            </w:tcBorders>
            <w:shd w:val="clear" w:color="auto" w:fill="auto"/>
            <w:vAlign w:val="bottom"/>
          </w:tcPr>
          <w:p w14:paraId="0C333CA9" w14:textId="52F0AFF5" w:rsidR="00C9214D" w:rsidRPr="00EA6A3D" w:rsidRDefault="00C9214D" w:rsidP="00C9214D">
            <w:pPr>
              <w:tabs>
                <w:tab w:val="right" w:pos="1202"/>
              </w:tabs>
              <w:spacing w:after="0" w:line="280" w:lineRule="exact"/>
              <w:jc w:val="right"/>
              <w:outlineLvl w:val="0"/>
              <w:rPr>
                <w:rFonts w:eastAsia="Times New Roman" w:cs="Arial"/>
                <w:spacing w:val="-3"/>
                <w:sz w:val="20"/>
                <w:szCs w:val="20"/>
              </w:rPr>
            </w:pPr>
            <w:r w:rsidRPr="00EA6A3D">
              <w:rPr>
                <w:rFonts w:asciiTheme="minorHAnsi" w:hAnsiTheme="minorHAnsi" w:cs="Arial"/>
                <w:spacing w:val="-3"/>
                <w:sz w:val="20"/>
                <w:lang w:val="hr-HR"/>
              </w:rPr>
              <w:t>17,945</w:t>
            </w:r>
          </w:p>
        </w:tc>
        <w:tc>
          <w:tcPr>
            <w:tcW w:w="472" w:type="pct"/>
            <w:tcBorders>
              <w:top w:val="single" w:sz="4" w:space="0" w:color="auto"/>
              <w:left w:val="nil"/>
              <w:bottom w:val="single" w:sz="4" w:space="0" w:color="auto"/>
              <w:right w:val="nil"/>
            </w:tcBorders>
            <w:shd w:val="clear" w:color="auto" w:fill="auto"/>
            <w:vAlign w:val="bottom"/>
          </w:tcPr>
          <w:p w14:paraId="24AAC3BD" w14:textId="769B19F3" w:rsidR="00C9214D" w:rsidRPr="00EA6A3D" w:rsidRDefault="00C9214D" w:rsidP="00C9214D">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1,217</w:t>
            </w:r>
          </w:p>
        </w:tc>
        <w:tc>
          <w:tcPr>
            <w:tcW w:w="511" w:type="pct"/>
            <w:tcBorders>
              <w:top w:val="single" w:sz="4" w:space="0" w:color="auto"/>
              <w:left w:val="nil"/>
              <w:bottom w:val="single" w:sz="4" w:space="0" w:color="auto"/>
              <w:right w:val="nil"/>
            </w:tcBorders>
            <w:shd w:val="clear" w:color="auto" w:fill="auto"/>
            <w:vAlign w:val="bottom"/>
          </w:tcPr>
          <w:p w14:paraId="4623E0CF" w14:textId="373F7836" w:rsidR="00C9214D" w:rsidRPr="00EA6A3D" w:rsidRDefault="00C9214D" w:rsidP="00C9214D">
            <w:pPr>
              <w:keepLines/>
              <w:tabs>
                <w:tab w:val="right" w:pos="1202"/>
              </w:tabs>
              <w:spacing w:after="0" w:line="240" w:lineRule="auto"/>
              <w:jc w:val="right"/>
              <w:outlineLvl w:val="0"/>
              <w:rPr>
                <w:rFonts w:eastAsia="Times New Roman" w:cs="Calibri"/>
                <w:sz w:val="20"/>
                <w:szCs w:val="20"/>
              </w:rPr>
            </w:pPr>
            <w:r w:rsidRPr="006B318F">
              <w:rPr>
                <w:rFonts w:eastAsia="Times New Roman" w:cs="Calibri"/>
                <w:sz w:val="20"/>
                <w:szCs w:val="20"/>
              </w:rPr>
              <w:t>6,767</w:t>
            </w:r>
          </w:p>
        </w:tc>
        <w:tc>
          <w:tcPr>
            <w:tcW w:w="472" w:type="pct"/>
            <w:tcBorders>
              <w:top w:val="single" w:sz="4" w:space="0" w:color="auto"/>
              <w:left w:val="nil"/>
              <w:bottom w:val="single" w:sz="4" w:space="0" w:color="auto"/>
              <w:right w:val="nil"/>
            </w:tcBorders>
            <w:shd w:val="clear" w:color="auto" w:fill="auto"/>
            <w:vAlign w:val="bottom"/>
          </w:tcPr>
          <w:p w14:paraId="6974330C" w14:textId="18F3900D" w:rsidR="00C9214D" w:rsidRPr="00EA6A3D" w:rsidRDefault="00C9214D" w:rsidP="00C9214D">
            <w:pPr>
              <w:keepLines/>
              <w:tabs>
                <w:tab w:val="right" w:pos="1202"/>
              </w:tabs>
              <w:spacing w:after="0" w:line="240" w:lineRule="auto"/>
              <w:jc w:val="right"/>
              <w:outlineLvl w:val="0"/>
              <w:rPr>
                <w:rFonts w:eastAsia="Times New Roman" w:cs="Calibri"/>
                <w:sz w:val="20"/>
                <w:szCs w:val="20"/>
              </w:rPr>
            </w:pPr>
            <w:r w:rsidRPr="00EA6A3D">
              <w:rPr>
                <w:rFonts w:asciiTheme="minorHAnsi" w:hAnsiTheme="minorHAnsi" w:cs="Calibri"/>
                <w:sz w:val="20"/>
              </w:rPr>
              <w:t>1,630</w:t>
            </w:r>
          </w:p>
        </w:tc>
        <w:tc>
          <w:tcPr>
            <w:tcW w:w="511" w:type="pct"/>
            <w:tcBorders>
              <w:top w:val="single" w:sz="4" w:space="0" w:color="auto"/>
              <w:left w:val="nil"/>
              <w:bottom w:val="single" w:sz="4" w:space="0" w:color="auto"/>
              <w:right w:val="nil"/>
            </w:tcBorders>
            <w:shd w:val="clear" w:color="auto" w:fill="auto"/>
            <w:vAlign w:val="bottom"/>
          </w:tcPr>
          <w:p w14:paraId="29D74900" w14:textId="52EA13CB" w:rsidR="00C9214D" w:rsidRPr="00EA6A3D" w:rsidRDefault="00C9214D" w:rsidP="00C9214D">
            <w:pPr>
              <w:keepLines/>
              <w:tabs>
                <w:tab w:val="right" w:pos="1202"/>
              </w:tabs>
              <w:spacing w:after="0" w:line="240" w:lineRule="auto"/>
              <w:jc w:val="right"/>
              <w:outlineLvl w:val="0"/>
              <w:rPr>
                <w:rFonts w:eastAsia="Times New Roman" w:cs="Calibri"/>
                <w:sz w:val="20"/>
                <w:szCs w:val="20"/>
              </w:rPr>
            </w:pPr>
            <w:r w:rsidRPr="00EA6A3D">
              <w:rPr>
                <w:rFonts w:asciiTheme="minorHAnsi" w:hAnsiTheme="minorHAnsi" w:cs="Calibri"/>
                <w:sz w:val="20"/>
              </w:rPr>
              <w:t>14,509</w:t>
            </w:r>
          </w:p>
        </w:tc>
      </w:tr>
      <w:tr w:rsidR="00C9214D" w:rsidRPr="001E3C1C" w14:paraId="2E179014" w14:textId="77777777" w:rsidTr="00C9214D">
        <w:trPr>
          <w:trHeight w:val="95"/>
        </w:trPr>
        <w:tc>
          <w:tcPr>
            <w:tcW w:w="1084" w:type="pct"/>
          </w:tcPr>
          <w:p w14:paraId="143E265B" w14:textId="77777777" w:rsidR="00C9214D" w:rsidRPr="001E3C1C" w:rsidRDefault="00C9214D" w:rsidP="00C9214D">
            <w:pPr>
              <w:tabs>
                <w:tab w:val="right" w:pos="1202"/>
              </w:tabs>
              <w:spacing w:after="0" w:line="320" w:lineRule="exact"/>
              <w:outlineLvl w:val="0"/>
              <w:rPr>
                <w:rFonts w:eastAsia="Times New Roman" w:cs="Arial"/>
                <w:b/>
                <w:bCs/>
                <w:sz w:val="20"/>
                <w:szCs w:val="20"/>
              </w:rPr>
            </w:pPr>
          </w:p>
        </w:tc>
        <w:tc>
          <w:tcPr>
            <w:tcW w:w="472" w:type="pct"/>
            <w:tcBorders>
              <w:top w:val="single" w:sz="4" w:space="0" w:color="auto"/>
              <w:left w:val="nil"/>
              <w:bottom w:val="single" w:sz="12" w:space="0" w:color="000000" w:themeColor="text1"/>
              <w:right w:val="nil"/>
            </w:tcBorders>
            <w:shd w:val="clear" w:color="auto" w:fill="auto"/>
            <w:vAlign w:val="bottom"/>
          </w:tcPr>
          <w:p w14:paraId="2F5230D3" w14:textId="7906411D" w:rsidR="00C9214D" w:rsidRPr="008D6EFE" w:rsidRDefault="00C9214D" w:rsidP="008D6EFE">
            <w:pPr>
              <w:tabs>
                <w:tab w:val="right" w:pos="1202"/>
              </w:tabs>
              <w:spacing w:after="0" w:line="320" w:lineRule="exact"/>
              <w:jc w:val="right"/>
              <w:outlineLvl w:val="0"/>
              <w:rPr>
                <w:rFonts w:eastAsia="Times New Roman" w:cs="Arial"/>
                <w:b/>
                <w:bCs/>
                <w:spacing w:val="-3"/>
                <w:sz w:val="20"/>
                <w:szCs w:val="20"/>
              </w:rPr>
            </w:pPr>
            <w:r w:rsidRPr="006B318F">
              <w:rPr>
                <w:rFonts w:eastAsia="Times New Roman" w:cs="Arial"/>
                <w:b/>
                <w:bCs/>
                <w:spacing w:val="-3"/>
                <w:sz w:val="20"/>
                <w:szCs w:val="20"/>
              </w:rPr>
              <w:t>36,150</w:t>
            </w:r>
          </w:p>
        </w:tc>
        <w:tc>
          <w:tcPr>
            <w:tcW w:w="492" w:type="pct"/>
            <w:tcBorders>
              <w:top w:val="single" w:sz="4" w:space="0" w:color="auto"/>
              <w:left w:val="nil"/>
              <w:bottom w:val="single" w:sz="12" w:space="0" w:color="000000" w:themeColor="text1"/>
              <w:right w:val="nil"/>
            </w:tcBorders>
            <w:shd w:val="clear" w:color="auto" w:fill="auto"/>
            <w:vAlign w:val="bottom"/>
          </w:tcPr>
          <w:p w14:paraId="7F27D83A" w14:textId="7FFCE4BA" w:rsidR="00C9214D" w:rsidRPr="008D6EFE" w:rsidRDefault="00C9214D">
            <w:pPr>
              <w:tabs>
                <w:tab w:val="right" w:pos="1202"/>
              </w:tabs>
              <w:spacing w:after="0" w:line="320" w:lineRule="exact"/>
              <w:jc w:val="right"/>
              <w:outlineLvl w:val="0"/>
              <w:rPr>
                <w:rFonts w:eastAsia="Times New Roman" w:cs="Arial"/>
                <w:b/>
                <w:bCs/>
                <w:spacing w:val="-3"/>
                <w:sz w:val="20"/>
                <w:szCs w:val="20"/>
              </w:rPr>
            </w:pPr>
            <w:r w:rsidRPr="006B318F">
              <w:rPr>
                <w:rFonts w:eastAsia="Times New Roman" w:cs="Arial"/>
                <w:b/>
                <w:bCs/>
                <w:spacing w:val="-3"/>
                <w:sz w:val="20"/>
                <w:szCs w:val="20"/>
              </w:rPr>
              <w:t>114,179</w:t>
            </w:r>
          </w:p>
        </w:tc>
        <w:tc>
          <w:tcPr>
            <w:tcW w:w="474" w:type="pct"/>
            <w:tcBorders>
              <w:left w:val="nil"/>
              <w:bottom w:val="single" w:sz="12" w:space="0" w:color="auto"/>
              <w:right w:val="nil"/>
            </w:tcBorders>
            <w:shd w:val="clear" w:color="auto" w:fill="auto"/>
            <w:vAlign w:val="bottom"/>
          </w:tcPr>
          <w:p w14:paraId="369F3783" w14:textId="23DFA2B1" w:rsidR="00C9214D" w:rsidRPr="001E3C1C" w:rsidRDefault="00C9214D" w:rsidP="00C9214D">
            <w:pPr>
              <w:tabs>
                <w:tab w:val="right" w:pos="1202"/>
              </w:tabs>
              <w:spacing w:after="0" w:line="320" w:lineRule="exact"/>
              <w:jc w:val="right"/>
              <w:outlineLvl w:val="0"/>
              <w:rPr>
                <w:rFonts w:eastAsia="Times New Roman" w:cs="Arial"/>
                <w:b/>
                <w:bCs/>
                <w:spacing w:val="-3"/>
                <w:sz w:val="20"/>
                <w:szCs w:val="20"/>
              </w:rPr>
            </w:pPr>
            <w:r w:rsidRPr="006B318F">
              <w:rPr>
                <w:rFonts w:eastAsia="Times New Roman" w:cs="Arial"/>
                <w:b/>
                <w:bCs/>
                <w:spacing w:val="-3"/>
                <w:sz w:val="20"/>
                <w:szCs w:val="20"/>
              </w:rPr>
              <w:t>37,353</w:t>
            </w:r>
          </w:p>
        </w:tc>
        <w:tc>
          <w:tcPr>
            <w:tcW w:w="512" w:type="pct"/>
            <w:tcBorders>
              <w:left w:val="nil"/>
              <w:bottom w:val="single" w:sz="12" w:space="0" w:color="auto"/>
              <w:right w:val="nil"/>
            </w:tcBorders>
            <w:shd w:val="clear" w:color="auto" w:fill="auto"/>
            <w:vAlign w:val="bottom"/>
          </w:tcPr>
          <w:p w14:paraId="15215B9C" w14:textId="55712229" w:rsidR="00C9214D" w:rsidRPr="001E3C1C" w:rsidRDefault="00C9214D" w:rsidP="00C9214D">
            <w:pPr>
              <w:tabs>
                <w:tab w:val="right" w:pos="1202"/>
              </w:tabs>
              <w:spacing w:after="0" w:line="320" w:lineRule="exact"/>
              <w:jc w:val="right"/>
              <w:outlineLvl w:val="0"/>
              <w:rPr>
                <w:rFonts w:eastAsia="Times New Roman" w:cs="Arial"/>
                <w:b/>
                <w:bCs/>
                <w:spacing w:val="-3"/>
                <w:sz w:val="20"/>
                <w:szCs w:val="20"/>
              </w:rPr>
            </w:pPr>
            <w:r w:rsidRPr="006B318F">
              <w:rPr>
                <w:rFonts w:eastAsia="Times New Roman" w:cs="Arial"/>
                <w:b/>
                <w:bCs/>
                <w:spacing w:val="-3"/>
                <w:sz w:val="20"/>
                <w:szCs w:val="20"/>
              </w:rPr>
              <w:t>119,252</w:t>
            </w:r>
          </w:p>
        </w:tc>
        <w:tc>
          <w:tcPr>
            <w:tcW w:w="472" w:type="pct"/>
            <w:tcBorders>
              <w:top w:val="single" w:sz="4" w:space="0" w:color="auto"/>
              <w:left w:val="nil"/>
              <w:bottom w:val="single" w:sz="12" w:space="0" w:color="auto"/>
              <w:right w:val="nil"/>
            </w:tcBorders>
            <w:shd w:val="clear" w:color="auto" w:fill="auto"/>
            <w:vAlign w:val="bottom"/>
          </w:tcPr>
          <w:p w14:paraId="3BC419EF" w14:textId="70387222" w:rsidR="00C9214D" w:rsidRPr="006B318F" w:rsidRDefault="00C9214D" w:rsidP="00C9214D">
            <w:pPr>
              <w:keepLines/>
              <w:tabs>
                <w:tab w:val="right" w:pos="1202"/>
              </w:tabs>
              <w:spacing w:after="0" w:line="240" w:lineRule="auto"/>
              <w:jc w:val="right"/>
              <w:outlineLvl w:val="0"/>
              <w:rPr>
                <w:rFonts w:eastAsia="Times New Roman" w:cs="Arial"/>
                <w:b/>
                <w:bCs/>
                <w:spacing w:val="-3"/>
                <w:sz w:val="20"/>
                <w:szCs w:val="20"/>
              </w:rPr>
            </w:pPr>
            <w:r w:rsidRPr="006B318F">
              <w:rPr>
                <w:rFonts w:eastAsia="Times New Roman" w:cs="Arial"/>
                <w:b/>
                <w:bCs/>
                <w:spacing w:val="-3"/>
                <w:sz w:val="20"/>
                <w:szCs w:val="20"/>
              </w:rPr>
              <w:t>33,164</w:t>
            </w:r>
          </w:p>
        </w:tc>
        <w:tc>
          <w:tcPr>
            <w:tcW w:w="511" w:type="pct"/>
            <w:tcBorders>
              <w:top w:val="single" w:sz="4" w:space="0" w:color="auto"/>
              <w:left w:val="nil"/>
              <w:bottom w:val="single" w:sz="12" w:space="0" w:color="auto"/>
              <w:right w:val="nil"/>
            </w:tcBorders>
            <w:shd w:val="clear" w:color="auto" w:fill="auto"/>
            <w:vAlign w:val="bottom"/>
          </w:tcPr>
          <w:p w14:paraId="6D23AA62" w14:textId="407F6A21" w:rsidR="00C9214D" w:rsidRPr="006B318F" w:rsidRDefault="00C9214D" w:rsidP="00C9214D">
            <w:pPr>
              <w:keepLines/>
              <w:tabs>
                <w:tab w:val="right" w:pos="1202"/>
              </w:tabs>
              <w:spacing w:after="0" w:line="240" w:lineRule="auto"/>
              <w:jc w:val="right"/>
              <w:outlineLvl w:val="0"/>
              <w:rPr>
                <w:rFonts w:eastAsia="Times New Roman" w:cs="Arial"/>
                <w:b/>
                <w:bCs/>
                <w:spacing w:val="-3"/>
                <w:sz w:val="20"/>
                <w:szCs w:val="20"/>
              </w:rPr>
            </w:pPr>
            <w:r w:rsidRPr="006B318F">
              <w:rPr>
                <w:rFonts w:eastAsia="Times New Roman" w:cs="Arial"/>
                <w:b/>
                <w:bCs/>
                <w:spacing w:val="-3"/>
                <w:sz w:val="20"/>
                <w:szCs w:val="20"/>
              </w:rPr>
              <w:t>107,296</w:t>
            </w:r>
          </w:p>
        </w:tc>
        <w:tc>
          <w:tcPr>
            <w:tcW w:w="472" w:type="pct"/>
            <w:tcBorders>
              <w:left w:val="nil"/>
              <w:bottom w:val="single" w:sz="12" w:space="0" w:color="auto"/>
              <w:right w:val="nil"/>
            </w:tcBorders>
            <w:shd w:val="clear" w:color="auto" w:fill="auto"/>
            <w:vAlign w:val="bottom"/>
          </w:tcPr>
          <w:p w14:paraId="0C4C5329" w14:textId="73173D7D" w:rsidR="00C9214D" w:rsidRPr="006B318F" w:rsidRDefault="00C9214D" w:rsidP="00C9214D">
            <w:pPr>
              <w:keepLines/>
              <w:tabs>
                <w:tab w:val="right" w:pos="1202"/>
              </w:tabs>
              <w:spacing w:after="0" w:line="240" w:lineRule="auto"/>
              <w:jc w:val="right"/>
              <w:outlineLvl w:val="0"/>
              <w:rPr>
                <w:rFonts w:eastAsia="Times New Roman" w:cs="Arial"/>
                <w:b/>
                <w:bCs/>
                <w:spacing w:val="-3"/>
                <w:sz w:val="20"/>
                <w:szCs w:val="20"/>
              </w:rPr>
            </w:pPr>
            <w:r w:rsidRPr="006B318F">
              <w:rPr>
                <w:rFonts w:eastAsia="Times New Roman" w:cs="Arial"/>
                <w:b/>
                <w:bCs/>
                <w:spacing w:val="-3"/>
                <w:sz w:val="20"/>
                <w:szCs w:val="20"/>
              </w:rPr>
              <w:t>34,961</w:t>
            </w:r>
          </w:p>
        </w:tc>
        <w:tc>
          <w:tcPr>
            <w:tcW w:w="511" w:type="pct"/>
            <w:tcBorders>
              <w:left w:val="nil"/>
              <w:bottom w:val="single" w:sz="12" w:space="0" w:color="auto"/>
              <w:right w:val="nil"/>
            </w:tcBorders>
            <w:shd w:val="clear" w:color="auto" w:fill="auto"/>
            <w:vAlign w:val="bottom"/>
          </w:tcPr>
          <w:p w14:paraId="671F128D" w14:textId="5D9EEBE1" w:rsidR="00C9214D" w:rsidRPr="006B318F" w:rsidRDefault="00C9214D" w:rsidP="00C9214D">
            <w:pPr>
              <w:keepLines/>
              <w:tabs>
                <w:tab w:val="right" w:pos="1202"/>
              </w:tabs>
              <w:spacing w:after="0" w:line="240" w:lineRule="auto"/>
              <w:jc w:val="right"/>
              <w:outlineLvl w:val="0"/>
              <w:rPr>
                <w:rFonts w:eastAsia="Times New Roman" w:cs="Arial"/>
                <w:b/>
                <w:bCs/>
                <w:spacing w:val="-3"/>
                <w:sz w:val="20"/>
                <w:szCs w:val="20"/>
              </w:rPr>
            </w:pPr>
            <w:r w:rsidRPr="006B318F">
              <w:rPr>
                <w:rFonts w:eastAsia="Times New Roman" w:cs="Arial"/>
                <w:b/>
                <w:bCs/>
                <w:spacing w:val="-3"/>
                <w:sz w:val="20"/>
                <w:szCs w:val="20"/>
              </w:rPr>
              <w:t>112,011</w:t>
            </w:r>
          </w:p>
        </w:tc>
      </w:tr>
    </w:tbl>
    <w:p w14:paraId="58FF1579" w14:textId="77777777" w:rsidR="007B2C90" w:rsidRDefault="007B2C90" w:rsidP="007B2C90">
      <w:pPr>
        <w:spacing w:after="0" w:line="240" w:lineRule="exact"/>
      </w:pPr>
    </w:p>
    <w:p w14:paraId="4CE7A45D" w14:textId="77777777" w:rsidR="001E3C1C" w:rsidRDefault="001E3C1C" w:rsidP="007B2C90">
      <w:pPr>
        <w:spacing w:after="0" w:line="240" w:lineRule="exact"/>
        <w:sectPr w:rsidR="001E3C1C" w:rsidSect="001E3C1C">
          <w:footerReference w:type="first" r:id="rId56"/>
          <w:pgSz w:w="16838" w:h="11906" w:orient="landscape" w:code="9"/>
          <w:pgMar w:top="1418" w:right="595" w:bottom="1134" w:left="1418" w:header="709" w:footer="709" w:gutter="0"/>
          <w:cols w:space="708"/>
          <w:titlePg/>
          <w:docGrid w:linePitch="360"/>
        </w:sectPr>
      </w:pPr>
    </w:p>
    <w:p w14:paraId="6D9962B8" w14:textId="77777777" w:rsidR="002E013A" w:rsidRPr="0034501D" w:rsidRDefault="002E013A" w:rsidP="007B2C90">
      <w:pPr>
        <w:spacing w:after="0" w:line="240" w:lineRule="exact"/>
      </w:pPr>
    </w:p>
    <w:p w14:paraId="306D0C01" w14:textId="77777777" w:rsidR="00AF594B" w:rsidRDefault="00AF594B" w:rsidP="00AF594B">
      <w:pPr>
        <w:pStyle w:val="T1"/>
        <w:tabs>
          <w:tab w:val="left" w:pos="567"/>
        </w:tabs>
        <w:spacing w:before="0" w:after="0" w:line="240" w:lineRule="auto"/>
        <w:rPr>
          <w:rFonts w:ascii="Calibri" w:hAnsi="Calibri" w:cs="Arial"/>
          <w:sz w:val="22"/>
          <w:szCs w:val="22"/>
          <w:lang w:val="en-GB"/>
        </w:rPr>
      </w:pPr>
      <w:r w:rsidRPr="0034501D">
        <w:rPr>
          <w:rFonts w:ascii="Calibri" w:hAnsi="Calibri" w:cs="Arial"/>
          <w:sz w:val="22"/>
          <w:szCs w:val="22"/>
          <w:lang w:val="en-GB"/>
        </w:rPr>
        <w:t>6.</w:t>
      </w:r>
      <w:r w:rsidRPr="0034501D">
        <w:rPr>
          <w:rFonts w:ascii="Calibri" w:hAnsi="Calibri" w:cs="Arial"/>
          <w:sz w:val="22"/>
          <w:szCs w:val="22"/>
          <w:lang w:val="en-GB"/>
        </w:rPr>
        <w:tab/>
        <w:t>Operating expenses</w:t>
      </w:r>
      <w:r>
        <w:rPr>
          <w:rFonts w:ascii="Calibri" w:hAnsi="Calibri" w:cs="Arial"/>
          <w:sz w:val="22"/>
          <w:szCs w:val="22"/>
          <w:lang w:val="en-GB"/>
        </w:rPr>
        <w:t xml:space="preserve"> (continued)</w:t>
      </w:r>
    </w:p>
    <w:p w14:paraId="62725036" w14:textId="77777777" w:rsidR="00AF594B" w:rsidRPr="0034501D" w:rsidRDefault="00AF594B" w:rsidP="00AF594B">
      <w:pPr>
        <w:pStyle w:val="T1"/>
        <w:tabs>
          <w:tab w:val="left" w:pos="567"/>
        </w:tabs>
        <w:spacing w:before="0" w:after="0" w:line="240" w:lineRule="auto"/>
        <w:rPr>
          <w:rFonts w:ascii="Calibri" w:hAnsi="Calibri" w:cs="Arial"/>
          <w:sz w:val="22"/>
          <w:szCs w:val="22"/>
          <w:lang w:val="en-GB"/>
        </w:rPr>
      </w:pPr>
    </w:p>
    <w:p w14:paraId="727B2731" w14:textId="682522B2" w:rsidR="007B2C90" w:rsidRPr="005444AA" w:rsidRDefault="00675A95" w:rsidP="005444AA">
      <w:pPr>
        <w:spacing w:after="0" w:line="240" w:lineRule="auto"/>
        <w:rPr>
          <w:rFonts w:eastAsia="Times New Roman" w:cs="Calibri"/>
          <w:b/>
          <w:lang w:eastAsia="hr-HR"/>
        </w:rPr>
      </w:pPr>
      <w:r w:rsidRPr="0034501D">
        <w:rPr>
          <w:rFonts w:cs="Arial"/>
        </w:rPr>
        <w:t>Other expenses of the Group presented</w:t>
      </w:r>
      <w:r w:rsidR="007B2C90" w:rsidRPr="0034501D">
        <w:rPr>
          <w:rFonts w:cs="Arial"/>
        </w:rPr>
        <w:t xml:space="preserve"> </w:t>
      </w:r>
      <w:r w:rsidRPr="0034501D">
        <w:rPr>
          <w:rFonts w:cs="Arial"/>
        </w:rPr>
        <w:t>contain changes in technical reserves</w:t>
      </w:r>
      <w:r w:rsidR="007B2C90" w:rsidRPr="0034501D">
        <w:rPr>
          <w:rFonts w:cs="Arial"/>
        </w:rPr>
        <w:t>:</w:t>
      </w:r>
    </w:p>
    <w:p w14:paraId="4BA3BFF0" w14:textId="77777777" w:rsidR="00BD634B" w:rsidRDefault="00BD634B" w:rsidP="00DD73B7">
      <w:pPr>
        <w:rPr>
          <w:rFonts w:eastAsia="Times New Roman" w:cs="Arial"/>
          <w:lang w:val="en-US"/>
        </w:rPr>
      </w:pPr>
    </w:p>
    <w:tbl>
      <w:tblPr>
        <w:tblW w:w="4876" w:type="pct"/>
        <w:tblCellMar>
          <w:left w:w="122" w:type="dxa"/>
          <w:right w:w="122" w:type="dxa"/>
        </w:tblCellMar>
        <w:tblLook w:val="0000" w:firstRow="0" w:lastRow="0" w:firstColumn="0" w:lastColumn="0" w:noHBand="0" w:noVBand="0"/>
      </w:tblPr>
      <w:tblGrid>
        <w:gridCol w:w="2979"/>
        <w:gridCol w:w="1350"/>
        <w:gridCol w:w="1515"/>
        <w:gridCol w:w="1356"/>
        <w:gridCol w:w="1518"/>
        <w:gridCol w:w="1356"/>
        <w:gridCol w:w="1515"/>
        <w:gridCol w:w="1356"/>
        <w:gridCol w:w="1512"/>
      </w:tblGrid>
      <w:tr w:rsidR="0097118D" w:rsidRPr="0097118D" w14:paraId="160B568F" w14:textId="77777777" w:rsidTr="00964208">
        <w:trPr>
          <w:trHeight w:val="298"/>
        </w:trPr>
        <w:tc>
          <w:tcPr>
            <w:tcW w:w="1030" w:type="pct"/>
            <w:shd w:val="clear" w:color="auto" w:fill="auto"/>
          </w:tcPr>
          <w:p w14:paraId="64073F6A" w14:textId="77777777" w:rsidR="0097118D" w:rsidRPr="0097118D" w:rsidRDefault="0097118D" w:rsidP="0097118D">
            <w:pPr>
              <w:tabs>
                <w:tab w:val="left" w:pos="-720"/>
              </w:tabs>
              <w:suppressAutoHyphens/>
              <w:spacing w:after="0" w:line="280" w:lineRule="exact"/>
              <w:jc w:val="right"/>
              <w:rPr>
                <w:rFonts w:cs="Arial"/>
                <w:spacing w:val="-3"/>
                <w:sz w:val="20"/>
                <w:szCs w:val="20"/>
              </w:rPr>
            </w:pPr>
            <w:r w:rsidRPr="0097118D">
              <w:rPr>
                <w:rFonts w:cs="Arial"/>
                <w:spacing w:val="-3"/>
                <w:sz w:val="20"/>
                <w:szCs w:val="20"/>
              </w:rPr>
              <w:t xml:space="preserve">         </w:t>
            </w:r>
          </w:p>
        </w:tc>
        <w:tc>
          <w:tcPr>
            <w:tcW w:w="1985" w:type="pct"/>
            <w:gridSpan w:val="4"/>
            <w:vAlign w:val="bottom"/>
          </w:tcPr>
          <w:p w14:paraId="0518AE90" w14:textId="77777777" w:rsidR="0097118D" w:rsidRPr="0097118D" w:rsidRDefault="0097118D" w:rsidP="0097118D">
            <w:pPr>
              <w:tabs>
                <w:tab w:val="right" w:pos="1202"/>
              </w:tabs>
              <w:spacing w:after="0" w:line="240" w:lineRule="atLeast"/>
              <w:jc w:val="right"/>
              <w:outlineLvl w:val="0"/>
              <w:rPr>
                <w:rFonts w:eastAsia="Times New Roman" w:cs="Arial"/>
                <w:b/>
                <w:sz w:val="20"/>
                <w:szCs w:val="20"/>
              </w:rPr>
            </w:pPr>
            <w:r w:rsidRPr="0097118D">
              <w:rPr>
                <w:rFonts w:eastAsia="Times New Roman" w:cs="Arial"/>
                <w:b/>
                <w:sz w:val="20"/>
                <w:szCs w:val="20"/>
              </w:rPr>
              <w:t>Group</w:t>
            </w:r>
            <w:r w:rsidRPr="0097118D" w:rsidDel="00833713">
              <w:rPr>
                <w:rFonts w:eastAsia="Times New Roman" w:cs="Arial"/>
                <w:b/>
                <w:sz w:val="20"/>
                <w:szCs w:val="20"/>
              </w:rPr>
              <w:t xml:space="preserve"> </w:t>
            </w:r>
          </w:p>
        </w:tc>
        <w:tc>
          <w:tcPr>
            <w:tcW w:w="1986" w:type="pct"/>
            <w:gridSpan w:val="4"/>
            <w:vAlign w:val="bottom"/>
          </w:tcPr>
          <w:p w14:paraId="1EED70C1" w14:textId="77777777" w:rsidR="0097118D" w:rsidRPr="0097118D" w:rsidRDefault="0097118D" w:rsidP="0097118D">
            <w:pPr>
              <w:tabs>
                <w:tab w:val="right" w:pos="1202"/>
              </w:tabs>
              <w:spacing w:after="0" w:line="240" w:lineRule="atLeast"/>
              <w:jc w:val="right"/>
              <w:outlineLvl w:val="0"/>
              <w:rPr>
                <w:rFonts w:eastAsia="Times New Roman" w:cs="Arial"/>
                <w:b/>
                <w:sz w:val="20"/>
                <w:szCs w:val="20"/>
              </w:rPr>
            </w:pPr>
            <w:r w:rsidRPr="0097118D">
              <w:rPr>
                <w:rFonts w:eastAsia="Times New Roman" w:cs="Arial"/>
                <w:b/>
                <w:sz w:val="20"/>
                <w:szCs w:val="20"/>
              </w:rPr>
              <w:t>Bank</w:t>
            </w:r>
            <w:r w:rsidRPr="0097118D" w:rsidDel="00833713">
              <w:rPr>
                <w:rFonts w:eastAsia="Times New Roman" w:cs="Arial"/>
                <w:b/>
                <w:sz w:val="20"/>
                <w:szCs w:val="20"/>
              </w:rPr>
              <w:t xml:space="preserve"> </w:t>
            </w:r>
          </w:p>
        </w:tc>
      </w:tr>
      <w:tr w:rsidR="0097118D" w:rsidRPr="0097118D" w14:paraId="67954C6E" w14:textId="77777777" w:rsidTr="00964208">
        <w:trPr>
          <w:trHeight w:val="298"/>
        </w:trPr>
        <w:tc>
          <w:tcPr>
            <w:tcW w:w="1030" w:type="pct"/>
            <w:shd w:val="clear" w:color="auto" w:fill="auto"/>
          </w:tcPr>
          <w:p w14:paraId="4C047980" w14:textId="77777777" w:rsidR="0097118D" w:rsidRPr="0097118D" w:rsidRDefault="0097118D" w:rsidP="0097118D">
            <w:pPr>
              <w:tabs>
                <w:tab w:val="left" w:pos="-720"/>
              </w:tabs>
              <w:suppressAutoHyphens/>
              <w:spacing w:after="0" w:line="280" w:lineRule="exact"/>
              <w:jc w:val="right"/>
              <w:rPr>
                <w:rFonts w:cs="Arial"/>
                <w:spacing w:val="-3"/>
                <w:sz w:val="20"/>
                <w:szCs w:val="20"/>
              </w:rPr>
            </w:pPr>
          </w:p>
        </w:tc>
        <w:tc>
          <w:tcPr>
            <w:tcW w:w="991" w:type="pct"/>
            <w:gridSpan w:val="2"/>
          </w:tcPr>
          <w:p w14:paraId="62B5FD43" w14:textId="77777777" w:rsidR="0097118D" w:rsidRPr="0097118D" w:rsidRDefault="0097118D" w:rsidP="00B85043">
            <w:pPr>
              <w:tabs>
                <w:tab w:val="right" w:pos="1202"/>
              </w:tabs>
              <w:spacing w:after="0" w:line="240" w:lineRule="auto"/>
              <w:jc w:val="center"/>
              <w:outlineLvl w:val="0"/>
              <w:rPr>
                <w:rFonts w:eastAsia="Times New Roman" w:cs="Arial"/>
                <w:spacing w:val="-2"/>
                <w:sz w:val="20"/>
                <w:szCs w:val="20"/>
              </w:rPr>
            </w:pPr>
            <w:r w:rsidRPr="0097118D">
              <w:rPr>
                <w:rFonts w:asciiTheme="minorHAnsi" w:eastAsia="Times New Roman" w:hAnsiTheme="minorHAnsi" w:cs="Arial"/>
                <w:b/>
                <w:bCs/>
                <w:sz w:val="20"/>
                <w:szCs w:val="20"/>
                <w:lang w:val="hr-HR"/>
              </w:rPr>
              <w:t>201</w:t>
            </w:r>
            <w:r>
              <w:rPr>
                <w:rFonts w:asciiTheme="minorHAnsi" w:eastAsia="Times New Roman" w:hAnsiTheme="minorHAnsi" w:cs="Arial"/>
                <w:b/>
                <w:bCs/>
                <w:sz w:val="20"/>
                <w:szCs w:val="20"/>
                <w:lang w:val="hr-HR"/>
              </w:rPr>
              <w:t>7</w:t>
            </w:r>
          </w:p>
        </w:tc>
        <w:tc>
          <w:tcPr>
            <w:tcW w:w="994" w:type="pct"/>
            <w:gridSpan w:val="2"/>
          </w:tcPr>
          <w:p w14:paraId="7AC1E467" w14:textId="77777777" w:rsidR="0097118D" w:rsidRPr="0097118D" w:rsidRDefault="0097118D">
            <w:pPr>
              <w:tabs>
                <w:tab w:val="right" w:pos="1202"/>
              </w:tabs>
              <w:spacing w:after="0" w:line="240" w:lineRule="auto"/>
              <w:jc w:val="center"/>
              <w:outlineLvl w:val="0"/>
              <w:rPr>
                <w:rFonts w:eastAsia="Times New Roman" w:cs="Arial"/>
                <w:spacing w:val="-2"/>
                <w:sz w:val="20"/>
                <w:szCs w:val="20"/>
              </w:rPr>
            </w:pPr>
            <w:r w:rsidRPr="0097118D">
              <w:rPr>
                <w:rFonts w:asciiTheme="minorHAnsi" w:eastAsia="Times New Roman" w:hAnsiTheme="minorHAnsi" w:cs="Arial"/>
                <w:b/>
                <w:bCs/>
                <w:sz w:val="20"/>
                <w:szCs w:val="20"/>
                <w:lang w:val="hr-HR"/>
              </w:rPr>
              <w:t>201</w:t>
            </w:r>
            <w:r>
              <w:rPr>
                <w:rFonts w:asciiTheme="minorHAnsi" w:eastAsia="Times New Roman" w:hAnsiTheme="minorHAnsi" w:cs="Arial"/>
                <w:b/>
                <w:bCs/>
                <w:sz w:val="20"/>
                <w:szCs w:val="20"/>
                <w:lang w:val="hr-HR"/>
              </w:rPr>
              <w:t>6</w:t>
            </w:r>
          </w:p>
        </w:tc>
        <w:tc>
          <w:tcPr>
            <w:tcW w:w="993" w:type="pct"/>
            <w:gridSpan w:val="2"/>
          </w:tcPr>
          <w:p w14:paraId="7B64474A" w14:textId="77777777" w:rsidR="0097118D" w:rsidRPr="0097118D" w:rsidRDefault="0097118D">
            <w:pPr>
              <w:tabs>
                <w:tab w:val="right" w:pos="1202"/>
              </w:tabs>
              <w:spacing w:after="0" w:line="240" w:lineRule="auto"/>
              <w:jc w:val="center"/>
              <w:outlineLvl w:val="0"/>
              <w:rPr>
                <w:rFonts w:eastAsia="Times New Roman" w:cs="Arial"/>
                <w:spacing w:val="-2"/>
                <w:sz w:val="20"/>
                <w:szCs w:val="20"/>
              </w:rPr>
            </w:pPr>
            <w:r w:rsidRPr="0097118D">
              <w:rPr>
                <w:rFonts w:asciiTheme="minorHAnsi" w:eastAsia="Times New Roman" w:hAnsiTheme="minorHAnsi" w:cs="Arial"/>
                <w:b/>
                <w:bCs/>
                <w:sz w:val="20"/>
                <w:szCs w:val="20"/>
                <w:lang w:val="hr-HR"/>
              </w:rPr>
              <w:t>201</w:t>
            </w:r>
            <w:r>
              <w:rPr>
                <w:rFonts w:asciiTheme="minorHAnsi" w:eastAsia="Times New Roman" w:hAnsiTheme="minorHAnsi" w:cs="Arial"/>
                <w:b/>
                <w:bCs/>
                <w:sz w:val="20"/>
                <w:szCs w:val="20"/>
                <w:lang w:val="hr-HR"/>
              </w:rPr>
              <w:t>7</w:t>
            </w:r>
          </w:p>
        </w:tc>
        <w:tc>
          <w:tcPr>
            <w:tcW w:w="993" w:type="pct"/>
            <w:gridSpan w:val="2"/>
          </w:tcPr>
          <w:p w14:paraId="510FD619" w14:textId="77777777" w:rsidR="0097118D" w:rsidRPr="0097118D" w:rsidRDefault="0097118D">
            <w:pPr>
              <w:tabs>
                <w:tab w:val="right" w:pos="1202"/>
              </w:tabs>
              <w:spacing w:after="0" w:line="240" w:lineRule="auto"/>
              <w:jc w:val="center"/>
              <w:outlineLvl w:val="0"/>
              <w:rPr>
                <w:rFonts w:eastAsia="Times New Roman" w:cs="Arial"/>
                <w:spacing w:val="-2"/>
                <w:sz w:val="20"/>
                <w:szCs w:val="20"/>
              </w:rPr>
            </w:pPr>
            <w:r w:rsidRPr="0097118D">
              <w:rPr>
                <w:rFonts w:asciiTheme="minorHAnsi" w:eastAsia="Times New Roman" w:hAnsiTheme="minorHAnsi" w:cs="Arial"/>
                <w:b/>
                <w:bCs/>
                <w:sz w:val="20"/>
                <w:szCs w:val="20"/>
                <w:lang w:val="hr-HR"/>
              </w:rPr>
              <w:t>201</w:t>
            </w:r>
            <w:r>
              <w:rPr>
                <w:rFonts w:asciiTheme="minorHAnsi" w:eastAsia="Times New Roman" w:hAnsiTheme="minorHAnsi" w:cs="Arial"/>
                <w:b/>
                <w:bCs/>
                <w:sz w:val="20"/>
                <w:szCs w:val="20"/>
                <w:lang w:val="hr-HR"/>
              </w:rPr>
              <w:t>6</w:t>
            </w:r>
          </w:p>
        </w:tc>
      </w:tr>
      <w:tr w:rsidR="0097118D" w:rsidRPr="0097118D" w14:paraId="76752FB5" w14:textId="77777777" w:rsidTr="00964208">
        <w:trPr>
          <w:trHeight w:val="894"/>
        </w:trPr>
        <w:tc>
          <w:tcPr>
            <w:tcW w:w="1030" w:type="pct"/>
            <w:shd w:val="clear" w:color="auto" w:fill="auto"/>
          </w:tcPr>
          <w:p w14:paraId="65A1FF83" w14:textId="77777777" w:rsidR="0097118D" w:rsidRPr="0097118D" w:rsidRDefault="0097118D" w:rsidP="0097118D">
            <w:pPr>
              <w:tabs>
                <w:tab w:val="left" w:pos="-720"/>
              </w:tabs>
              <w:suppressAutoHyphens/>
              <w:spacing w:after="0" w:line="280" w:lineRule="exact"/>
              <w:rPr>
                <w:rFonts w:cs="Arial"/>
                <w:b/>
                <w:spacing w:val="-3"/>
                <w:sz w:val="20"/>
                <w:szCs w:val="20"/>
              </w:rPr>
            </w:pPr>
          </w:p>
        </w:tc>
        <w:tc>
          <w:tcPr>
            <w:tcW w:w="467" w:type="pct"/>
            <w:vAlign w:val="center"/>
          </w:tcPr>
          <w:p w14:paraId="30AC9F2B" w14:textId="77777777" w:rsidR="00337B86" w:rsidRDefault="0097118D" w:rsidP="00337B86">
            <w:pPr>
              <w:spacing w:after="0" w:line="240" w:lineRule="auto"/>
              <w:jc w:val="center"/>
              <w:outlineLvl w:val="0"/>
              <w:rPr>
                <w:rFonts w:eastAsia="Times New Roman" w:cs="Calibri"/>
                <w:bCs/>
                <w:sz w:val="20"/>
                <w:szCs w:val="20"/>
              </w:rPr>
            </w:pPr>
            <w:r w:rsidRPr="0097118D">
              <w:rPr>
                <w:rFonts w:eastAsia="Times New Roman" w:cs="Calibri"/>
                <w:bCs/>
                <w:sz w:val="20"/>
                <w:szCs w:val="20"/>
              </w:rPr>
              <w:t xml:space="preserve">Current period </w:t>
            </w:r>
          </w:p>
          <w:p w14:paraId="710757DD" w14:textId="6962FA01" w:rsidR="00337B86" w:rsidRPr="00337B86" w:rsidRDefault="00337B86" w:rsidP="00337B86">
            <w:pPr>
              <w:spacing w:after="0" w:line="240" w:lineRule="auto"/>
              <w:jc w:val="center"/>
              <w:outlineLvl w:val="0"/>
              <w:rPr>
                <w:rFonts w:eastAsia="Times New Roman" w:cs="Calibri"/>
                <w:bCs/>
                <w:sz w:val="20"/>
                <w:szCs w:val="20"/>
              </w:rPr>
            </w:pPr>
            <w:r w:rsidRPr="00337B86">
              <w:rPr>
                <w:rFonts w:eastAsia="Times New Roman" w:cs="Calibri"/>
                <w:bCs/>
                <w:sz w:val="20"/>
                <w:szCs w:val="20"/>
              </w:rPr>
              <w:t xml:space="preserve">July 1 – </w:t>
            </w:r>
          </w:p>
          <w:p w14:paraId="6EC871D2" w14:textId="5633BE55" w:rsidR="0097118D" w:rsidRPr="0097118D" w:rsidRDefault="00337B86" w:rsidP="00337B86">
            <w:pPr>
              <w:spacing w:after="0" w:line="240" w:lineRule="auto"/>
              <w:jc w:val="center"/>
              <w:outlineLvl w:val="0"/>
              <w:rPr>
                <w:rFonts w:eastAsia="Times New Roman" w:cs="Calibri"/>
                <w:bCs/>
                <w:sz w:val="20"/>
                <w:szCs w:val="20"/>
              </w:rPr>
            </w:pPr>
            <w:r w:rsidRPr="00337B86">
              <w:rPr>
                <w:rFonts w:eastAsia="Times New Roman" w:cs="Calibri"/>
                <w:bCs/>
                <w:sz w:val="20"/>
                <w:szCs w:val="20"/>
              </w:rPr>
              <w:t>September 30</w:t>
            </w:r>
          </w:p>
        </w:tc>
        <w:tc>
          <w:tcPr>
            <w:tcW w:w="524" w:type="pct"/>
            <w:shd w:val="clear" w:color="auto" w:fill="auto"/>
            <w:vAlign w:val="center"/>
          </w:tcPr>
          <w:p w14:paraId="1AC371B7" w14:textId="77777777" w:rsidR="0097118D" w:rsidRPr="0097118D" w:rsidRDefault="0097118D" w:rsidP="0097118D">
            <w:pPr>
              <w:spacing w:after="0" w:line="301" w:lineRule="exact"/>
              <w:jc w:val="center"/>
              <w:outlineLvl w:val="0"/>
              <w:rPr>
                <w:rFonts w:eastAsia="Times New Roman" w:cs="Calibri"/>
                <w:bCs/>
                <w:sz w:val="20"/>
                <w:szCs w:val="20"/>
              </w:rPr>
            </w:pPr>
            <w:r w:rsidRPr="0097118D">
              <w:rPr>
                <w:rFonts w:eastAsia="Times New Roman" w:cs="Calibri"/>
                <w:bCs/>
                <w:sz w:val="20"/>
                <w:szCs w:val="20"/>
              </w:rPr>
              <w:t>Cumulatively</w:t>
            </w:r>
          </w:p>
          <w:p w14:paraId="56EE26A9" w14:textId="77777777" w:rsidR="0097118D" w:rsidRPr="0097118D" w:rsidRDefault="0097118D" w:rsidP="0097118D">
            <w:pPr>
              <w:spacing w:after="0" w:line="240" w:lineRule="auto"/>
              <w:jc w:val="center"/>
              <w:outlineLvl w:val="0"/>
              <w:rPr>
                <w:rFonts w:eastAsia="Times New Roman" w:cs="Calibri"/>
                <w:bCs/>
                <w:sz w:val="20"/>
                <w:szCs w:val="20"/>
              </w:rPr>
            </w:pPr>
            <w:r w:rsidRPr="0097118D">
              <w:rPr>
                <w:rFonts w:eastAsia="Times New Roman" w:cs="Calibri"/>
                <w:bCs/>
                <w:sz w:val="20"/>
                <w:szCs w:val="20"/>
              </w:rPr>
              <w:t>January 1 –</w:t>
            </w:r>
          </w:p>
          <w:p w14:paraId="094E0F8B" w14:textId="1A19B8AB" w:rsidR="0097118D" w:rsidRPr="0097118D" w:rsidRDefault="00337B86" w:rsidP="0097118D">
            <w:pPr>
              <w:spacing w:after="0" w:line="240" w:lineRule="auto"/>
              <w:jc w:val="center"/>
              <w:outlineLvl w:val="0"/>
              <w:rPr>
                <w:rFonts w:eastAsia="Times New Roman" w:cs="Calibri"/>
                <w:bCs/>
                <w:sz w:val="20"/>
                <w:szCs w:val="20"/>
              </w:rPr>
            </w:pPr>
            <w:r w:rsidRPr="00337B86">
              <w:rPr>
                <w:rFonts w:eastAsia="Times New Roman" w:cs="Calibri"/>
                <w:bCs/>
                <w:sz w:val="20"/>
                <w:szCs w:val="20"/>
              </w:rPr>
              <w:t>September</w:t>
            </w:r>
            <w:r w:rsidR="0097118D" w:rsidRPr="0097118D">
              <w:rPr>
                <w:rFonts w:eastAsia="Times New Roman" w:cs="Calibri"/>
                <w:bCs/>
                <w:sz w:val="20"/>
                <w:szCs w:val="20"/>
              </w:rPr>
              <w:t xml:space="preserve"> 30</w:t>
            </w:r>
          </w:p>
        </w:tc>
        <w:tc>
          <w:tcPr>
            <w:tcW w:w="469" w:type="pct"/>
            <w:shd w:val="clear" w:color="auto" w:fill="auto"/>
            <w:vAlign w:val="center"/>
          </w:tcPr>
          <w:p w14:paraId="312ABA9C" w14:textId="77777777" w:rsidR="00337B86" w:rsidRPr="00337B86" w:rsidRDefault="0097118D" w:rsidP="00337B86">
            <w:pPr>
              <w:spacing w:after="0" w:line="240" w:lineRule="auto"/>
              <w:ind w:hanging="172"/>
              <w:jc w:val="center"/>
              <w:outlineLvl w:val="0"/>
              <w:rPr>
                <w:rFonts w:eastAsia="Times New Roman" w:cs="Calibri"/>
                <w:bCs/>
                <w:sz w:val="20"/>
                <w:szCs w:val="20"/>
              </w:rPr>
            </w:pPr>
            <w:r w:rsidRPr="0097118D">
              <w:rPr>
                <w:rFonts w:eastAsia="Times New Roman" w:cs="Calibri"/>
                <w:bCs/>
                <w:sz w:val="20"/>
                <w:szCs w:val="20"/>
              </w:rPr>
              <w:t xml:space="preserve">Current period </w:t>
            </w:r>
            <w:r w:rsidR="00337B86" w:rsidRPr="00337B86">
              <w:rPr>
                <w:rFonts w:eastAsia="Times New Roman" w:cs="Calibri"/>
                <w:bCs/>
                <w:sz w:val="20"/>
                <w:szCs w:val="20"/>
              </w:rPr>
              <w:t xml:space="preserve">July 1 – </w:t>
            </w:r>
          </w:p>
          <w:p w14:paraId="10D8335B" w14:textId="74F5E6D3" w:rsidR="0097118D" w:rsidRPr="0097118D" w:rsidRDefault="00337B86" w:rsidP="00337B86">
            <w:pPr>
              <w:spacing w:after="0" w:line="240" w:lineRule="auto"/>
              <w:jc w:val="center"/>
              <w:outlineLvl w:val="0"/>
              <w:rPr>
                <w:rFonts w:eastAsia="Times New Roman" w:cs="Calibri"/>
                <w:bCs/>
                <w:sz w:val="20"/>
                <w:szCs w:val="20"/>
              </w:rPr>
            </w:pPr>
            <w:r w:rsidRPr="00337B86">
              <w:rPr>
                <w:rFonts w:eastAsia="Times New Roman" w:cs="Calibri"/>
                <w:bCs/>
                <w:sz w:val="20"/>
                <w:szCs w:val="20"/>
              </w:rPr>
              <w:t>September 30</w:t>
            </w:r>
          </w:p>
        </w:tc>
        <w:tc>
          <w:tcPr>
            <w:tcW w:w="525" w:type="pct"/>
            <w:shd w:val="clear" w:color="auto" w:fill="auto"/>
            <w:vAlign w:val="center"/>
          </w:tcPr>
          <w:p w14:paraId="5136EAB9" w14:textId="77777777" w:rsidR="0097118D" w:rsidRPr="0097118D" w:rsidRDefault="0097118D" w:rsidP="0097118D">
            <w:pPr>
              <w:spacing w:after="0" w:line="301" w:lineRule="exact"/>
              <w:jc w:val="center"/>
              <w:outlineLvl w:val="0"/>
              <w:rPr>
                <w:rFonts w:eastAsia="Times New Roman" w:cs="Calibri"/>
                <w:bCs/>
                <w:sz w:val="20"/>
                <w:szCs w:val="20"/>
              </w:rPr>
            </w:pPr>
            <w:r w:rsidRPr="0097118D">
              <w:rPr>
                <w:rFonts w:eastAsia="Times New Roman" w:cs="Calibri"/>
                <w:bCs/>
                <w:sz w:val="20"/>
                <w:szCs w:val="20"/>
              </w:rPr>
              <w:t>Cumulatively</w:t>
            </w:r>
          </w:p>
          <w:p w14:paraId="42D78BAE" w14:textId="77777777" w:rsidR="0097118D" w:rsidRPr="0097118D" w:rsidRDefault="0097118D" w:rsidP="0097118D">
            <w:pPr>
              <w:spacing w:after="0" w:line="240" w:lineRule="auto"/>
              <w:jc w:val="center"/>
              <w:outlineLvl w:val="0"/>
              <w:rPr>
                <w:rFonts w:eastAsia="Times New Roman" w:cs="Calibri"/>
                <w:bCs/>
                <w:sz w:val="20"/>
                <w:szCs w:val="20"/>
              </w:rPr>
            </w:pPr>
            <w:r w:rsidRPr="0097118D">
              <w:rPr>
                <w:rFonts w:eastAsia="Times New Roman" w:cs="Calibri"/>
                <w:bCs/>
                <w:sz w:val="20"/>
                <w:szCs w:val="20"/>
              </w:rPr>
              <w:t>January 1 –</w:t>
            </w:r>
          </w:p>
          <w:p w14:paraId="62166F32" w14:textId="18A515A1" w:rsidR="0097118D" w:rsidRPr="0097118D" w:rsidRDefault="00337B86" w:rsidP="0097118D">
            <w:pPr>
              <w:spacing w:after="0" w:line="240" w:lineRule="auto"/>
              <w:jc w:val="center"/>
              <w:outlineLvl w:val="0"/>
              <w:rPr>
                <w:rFonts w:eastAsia="Times New Roman" w:cs="Calibri"/>
                <w:bCs/>
                <w:sz w:val="20"/>
                <w:szCs w:val="20"/>
              </w:rPr>
            </w:pPr>
            <w:r w:rsidRPr="00337B86">
              <w:rPr>
                <w:rFonts w:eastAsia="Times New Roman" w:cs="Calibri"/>
                <w:bCs/>
                <w:sz w:val="20"/>
                <w:szCs w:val="20"/>
              </w:rPr>
              <w:t>September</w:t>
            </w:r>
            <w:r w:rsidR="0097118D" w:rsidRPr="0097118D">
              <w:rPr>
                <w:rFonts w:eastAsia="Times New Roman" w:cs="Calibri"/>
                <w:bCs/>
                <w:sz w:val="20"/>
                <w:szCs w:val="20"/>
              </w:rPr>
              <w:t xml:space="preserve"> 30</w:t>
            </w:r>
          </w:p>
        </w:tc>
        <w:tc>
          <w:tcPr>
            <w:tcW w:w="469" w:type="pct"/>
            <w:vAlign w:val="center"/>
          </w:tcPr>
          <w:p w14:paraId="37492C8D" w14:textId="77777777" w:rsidR="00337B86" w:rsidRDefault="0097118D" w:rsidP="00337B86">
            <w:pPr>
              <w:spacing w:after="0" w:line="240" w:lineRule="auto"/>
              <w:jc w:val="center"/>
              <w:outlineLvl w:val="0"/>
              <w:rPr>
                <w:rFonts w:eastAsia="Times New Roman" w:cs="Calibri"/>
                <w:bCs/>
                <w:sz w:val="20"/>
                <w:szCs w:val="20"/>
              </w:rPr>
            </w:pPr>
            <w:r w:rsidRPr="0097118D">
              <w:rPr>
                <w:rFonts w:eastAsia="Times New Roman" w:cs="Calibri"/>
                <w:bCs/>
                <w:sz w:val="20"/>
                <w:szCs w:val="20"/>
              </w:rPr>
              <w:t xml:space="preserve">Current period </w:t>
            </w:r>
          </w:p>
          <w:p w14:paraId="09DF790A" w14:textId="0D3EEB4D" w:rsidR="00337B86" w:rsidRPr="00337B86" w:rsidRDefault="00337B86" w:rsidP="00337B86">
            <w:pPr>
              <w:spacing w:after="0" w:line="240" w:lineRule="auto"/>
              <w:jc w:val="center"/>
              <w:outlineLvl w:val="0"/>
              <w:rPr>
                <w:rFonts w:eastAsia="Times New Roman" w:cs="Calibri"/>
                <w:bCs/>
                <w:sz w:val="20"/>
                <w:szCs w:val="20"/>
              </w:rPr>
            </w:pPr>
            <w:r w:rsidRPr="00337B86">
              <w:rPr>
                <w:rFonts w:eastAsia="Times New Roman" w:cs="Calibri"/>
                <w:bCs/>
                <w:sz w:val="20"/>
                <w:szCs w:val="20"/>
              </w:rPr>
              <w:t xml:space="preserve">July 1 – </w:t>
            </w:r>
          </w:p>
          <w:p w14:paraId="5D755B7D" w14:textId="08D07EEA" w:rsidR="0097118D" w:rsidRPr="0097118D" w:rsidRDefault="00337B86" w:rsidP="00337B86">
            <w:pPr>
              <w:spacing w:after="0" w:line="240" w:lineRule="auto"/>
              <w:jc w:val="center"/>
              <w:outlineLvl w:val="0"/>
              <w:rPr>
                <w:rFonts w:eastAsia="Times New Roman" w:cs="Calibri"/>
                <w:bCs/>
                <w:sz w:val="20"/>
                <w:szCs w:val="20"/>
              </w:rPr>
            </w:pPr>
            <w:r w:rsidRPr="00337B86">
              <w:rPr>
                <w:rFonts w:eastAsia="Times New Roman" w:cs="Calibri"/>
                <w:bCs/>
                <w:sz w:val="20"/>
                <w:szCs w:val="20"/>
              </w:rPr>
              <w:t>September 30</w:t>
            </w:r>
          </w:p>
        </w:tc>
        <w:tc>
          <w:tcPr>
            <w:tcW w:w="524" w:type="pct"/>
            <w:vAlign w:val="center"/>
          </w:tcPr>
          <w:p w14:paraId="7A43A85E" w14:textId="77777777" w:rsidR="0097118D" w:rsidRPr="0097118D" w:rsidRDefault="0097118D" w:rsidP="0097118D">
            <w:pPr>
              <w:spacing w:after="0" w:line="301" w:lineRule="exact"/>
              <w:jc w:val="center"/>
              <w:outlineLvl w:val="0"/>
              <w:rPr>
                <w:rFonts w:eastAsia="Times New Roman" w:cs="Calibri"/>
                <w:bCs/>
                <w:sz w:val="20"/>
                <w:szCs w:val="20"/>
              </w:rPr>
            </w:pPr>
            <w:r w:rsidRPr="0097118D">
              <w:rPr>
                <w:rFonts w:eastAsia="Times New Roman" w:cs="Calibri"/>
                <w:bCs/>
                <w:sz w:val="20"/>
                <w:szCs w:val="20"/>
              </w:rPr>
              <w:t>Cumulatively</w:t>
            </w:r>
          </w:p>
          <w:p w14:paraId="109F15D0" w14:textId="77777777" w:rsidR="0097118D" w:rsidRPr="0097118D" w:rsidRDefault="0097118D" w:rsidP="0097118D">
            <w:pPr>
              <w:spacing w:after="0" w:line="240" w:lineRule="auto"/>
              <w:jc w:val="center"/>
              <w:outlineLvl w:val="0"/>
              <w:rPr>
                <w:rFonts w:eastAsia="Times New Roman" w:cs="Calibri"/>
                <w:bCs/>
                <w:sz w:val="20"/>
                <w:szCs w:val="20"/>
              </w:rPr>
            </w:pPr>
            <w:r w:rsidRPr="0097118D">
              <w:rPr>
                <w:rFonts w:eastAsia="Times New Roman" w:cs="Calibri"/>
                <w:bCs/>
                <w:sz w:val="20"/>
                <w:szCs w:val="20"/>
              </w:rPr>
              <w:t>January 1 –</w:t>
            </w:r>
          </w:p>
          <w:p w14:paraId="4214832F" w14:textId="41A18E4E" w:rsidR="0097118D" w:rsidRPr="0097118D" w:rsidRDefault="00337B86" w:rsidP="0097118D">
            <w:pPr>
              <w:spacing w:after="0" w:line="240" w:lineRule="auto"/>
              <w:jc w:val="center"/>
              <w:outlineLvl w:val="0"/>
              <w:rPr>
                <w:rFonts w:eastAsia="Times New Roman" w:cs="Calibri"/>
                <w:bCs/>
                <w:sz w:val="20"/>
                <w:szCs w:val="20"/>
              </w:rPr>
            </w:pPr>
            <w:r w:rsidRPr="00337B86">
              <w:rPr>
                <w:rFonts w:eastAsia="Times New Roman" w:cs="Calibri"/>
                <w:bCs/>
                <w:sz w:val="20"/>
                <w:szCs w:val="20"/>
              </w:rPr>
              <w:t>September</w:t>
            </w:r>
            <w:r w:rsidR="0097118D" w:rsidRPr="0097118D">
              <w:rPr>
                <w:rFonts w:eastAsia="Times New Roman" w:cs="Calibri"/>
                <w:bCs/>
                <w:sz w:val="20"/>
                <w:szCs w:val="20"/>
              </w:rPr>
              <w:t xml:space="preserve"> 30</w:t>
            </w:r>
          </w:p>
        </w:tc>
        <w:tc>
          <w:tcPr>
            <w:tcW w:w="469" w:type="pct"/>
            <w:vAlign w:val="center"/>
          </w:tcPr>
          <w:p w14:paraId="151DD9D9" w14:textId="77777777" w:rsidR="00337B86" w:rsidRDefault="0097118D" w:rsidP="00337B86">
            <w:pPr>
              <w:spacing w:after="0" w:line="240" w:lineRule="auto"/>
              <w:jc w:val="center"/>
              <w:outlineLvl w:val="0"/>
              <w:rPr>
                <w:rFonts w:eastAsia="Times New Roman" w:cs="Calibri"/>
                <w:bCs/>
                <w:sz w:val="20"/>
                <w:szCs w:val="20"/>
              </w:rPr>
            </w:pPr>
            <w:r w:rsidRPr="0097118D">
              <w:rPr>
                <w:rFonts w:eastAsia="Times New Roman" w:cs="Calibri"/>
                <w:bCs/>
                <w:sz w:val="20"/>
                <w:szCs w:val="20"/>
              </w:rPr>
              <w:t xml:space="preserve">Current period </w:t>
            </w:r>
          </w:p>
          <w:p w14:paraId="6F84FB9C" w14:textId="353B195F" w:rsidR="00337B86" w:rsidRPr="00337B86" w:rsidRDefault="00337B86" w:rsidP="00337B86">
            <w:pPr>
              <w:spacing w:after="0" w:line="240" w:lineRule="auto"/>
              <w:jc w:val="center"/>
              <w:outlineLvl w:val="0"/>
              <w:rPr>
                <w:rFonts w:eastAsia="Times New Roman" w:cs="Calibri"/>
                <w:bCs/>
                <w:sz w:val="20"/>
                <w:szCs w:val="20"/>
              </w:rPr>
            </w:pPr>
            <w:r w:rsidRPr="00337B86">
              <w:rPr>
                <w:rFonts w:eastAsia="Times New Roman" w:cs="Calibri"/>
                <w:bCs/>
                <w:sz w:val="20"/>
                <w:szCs w:val="20"/>
              </w:rPr>
              <w:t xml:space="preserve">July 1 – </w:t>
            </w:r>
          </w:p>
          <w:p w14:paraId="2B77D623" w14:textId="6EEDCA5C" w:rsidR="0097118D" w:rsidRPr="0097118D" w:rsidRDefault="00337B86" w:rsidP="00337B86">
            <w:pPr>
              <w:spacing w:after="0" w:line="240" w:lineRule="auto"/>
              <w:jc w:val="center"/>
              <w:outlineLvl w:val="0"/>
              <w:rPr>
                <w:rFonts w:eastAsia="Times New Roman" w:cs="Calibri"/>
                <w:bCs/>
                <w:sz w:val="20"/>
                <w:szCs w:val="20"/>
              </w:rPr>
            </w:pPr>
            <w:r w:rsidRPr="00337B86">
              <w:rPr>
                <w:rFonts w:eastAsia="Times New Roman" w:cs="Calibri"/>
                <w:bCs/>
                <w:sz w:val="20"/>
                <w:szCs w:val="20"/>
              </w:rPr>
              <w:t>September 30</w:t>
            </w:r>
          </w:p>
        </w:tc>
        <w:tc>
          <w:tcPr>
            <w:tcW w:w="524" w:type="pct"/>
            <w:vAlign w:val="center"/>
          </w:tcPr>
          <w:p w14:paraId="2F5EB450" w14:textId="77777777" w:rsidR="0097118D" w:rsidRPr="0097118D" w:rsidRDefault="0097118D" w:rsidP="0097118D">
            <w:pPr>
              <w:spacing w:after="0" w:line="301" w:lineRule="exact"/>
              <w:jc w:val="center"/>
              <w:outlineLvl w:val="0"/>
              <w:rPr>
                <w:rFonts w:eastAsia="Times New Roman" w:cs="Calibri"/>
                <w:bCs/>
                <w:sz w:val="20"/>
                <w:szCs w:val="20"/>
              </w:rPr>
            </w:pPr>
            <w:r w:rsidRPr="0097118D">
              <w:rPr>
                <w:rFonts w:eastAsia="Times New Roman" w:cs="Calibri"/>
                <w:bCs/>
                <w:sz w:val="20"/>
                <w:szCs w:val="20"/>
              </w:rPr>
              <w:t>Cumulatively</w:t>
            </w:r>
          </w:p>
          <w:p w14:paraId="5F38325C" w14:textId="77777777" w:rsidR="0097118D" w:rsidRPr="0097118D" w:rsidRDefault="0097118D" w:rsidP="0097118D">
            <w:pPr>
              <w:spacing w:after="0" w:line="240" w:lineRule="auto"/>
              <w:jc w:val="center"/>
              <w:outlineLvl w:val="0"/>
              <w:rPr>
                <w:rFonts w:eastAsia="Times New Roman" w:cs="Calibri"/>
                <w:bCs/>
                <w:sz w:val="20"/>
                <w:szCs w:val="20"/>
              </w:rPr>
            </w:pPr>
            <w:r w:rsidRPr="0097118D">
              <w:rPr>
                <w:rFonts w:eastAsia="Times New Roman" w:cs="Calibri"/>
                <w:bCs/>
                <w:sz w:val="20"/>
                <w:szCs w:val="20"/>
              </w:rPr>
              <w:t>January 1 –</w:t>
            </w:r>
          </w:p>
          <w:p w14:paraId="09F0D056" w14:textId="337929C1" w:rsidR="0097118D" w:rsidRPr="0097118D" w:rsidRDefault="00337B86" w:rsidP="0097118D">
            <w:pPr>
              <w:spacing w:after="0" w:line="240" w:lineRule="auto"/>
              <w:jc w:val="center"/>
              <w:outlineLvl w:val="0"/>
              <w:rPr>
                <w:rFonts w:eastAsia="Times New Roman" w:cs="Calibri"/>
                <w:bCs/>
                <w:sz w:val="20"/>
                <w:szCs w:val="20"/>
              </w:rPr>
            </w:pPr>
            <w:r w:rsidRPr="00337B86">
              <w:rPr>
                <w:rFonts w:eastAsia="Times New Roman" w:cs="Calibri"/>
                <w:bCs/>
                <w:sz w:val="20"/>
                <w:szCs w:val="20"/>
              </w:rPr>
              <w:t>September</w:t>
            </w:r>
            <w:r w:rsidR="0097118D" w:rsidRPr="0097118D">
              <w:rPr>
                <w:rFonts w:eastAsia="Times New Roman" w:cs="Calibri"/>
                <w:bCs/>
                <w:sz w:val="20"/>
                <w:szCs w:val="20"/>
              </w:rPr>
              <w:t xml:space="preserve"> 30</w:t>
            </w:r>
          </w:p>
        </w:tc>
      </w:tr>
      <w:tr w:rsidR="00964208" w:rsidRPr="0097118D" w14:paraId="7D64FECD" w14:textId="77777777" w:rsidTr="006B318F">
        <w:trPr>
          <w:trHeight w:hRule="exact" w:val="292"/>
        </w:trPr>
        <w:tc>
          <w:tcPr>
            <w:tcW w:w="1030" w:type="pct"/>
            <w:shd w:val="clear" w:color="auto" w:fill="auto"/>
            <w:vAlign w:val="bottom"/>
          </w:tcPr>
          <w:p w14:paraId="08B42300" w14:textId="77777777" w:rsidR="00964208" w:rsidRPr="0097118D" w:rsidRDefault="00964208" w:rsidP="00964208">
            <w:pPr>
              <w:tabs>
                <w:tab w:val="right" w:pos="1202"/>
              </w:tabs>
              <w:spacing w:after="0" w:line="280" w:lineRule="exact"/>
              <w:outlineLvl w:val="0"/>
              <w:rPr>
                <w:rFonts w:eastAsia="Times New Roman" w:cs="Arial"/>
                <w:sz w:val="20"/>
                <w:szCs w:val="20"/>
              </w:rPr>
            </w:pPr>
            <w:r w:rsidRPr="0097118D">
              <w:rPr>
                <w:rFonts w:eastAsia="Times New Roman" w:cs="Arial"/>
                <w:sz w:val="20"/>
                <w:szCs w:val="20"/>
              </w:rPr>
              <w:t>Changes in claims provisions</w:t>
            </w:r>
          </w:p>
        </w:tc>
        <w:tc>
          <w:tcPr>
            <w:tcW w:w="467" w:type="pct"/>
            <w:tcBorders>
              <w:top w:val="nil"/>
              <w:left w:val="nil"/>
              <w:bottom w:val="nil"/>
              <w:right w:val="nil"/>
            </w:tcBorders>
            <w:shd w:val="clear" w:color="auto" w:fill="auto"/>
            <w:vAlign w:val="bottom"/>
          </w:tcPr>
          <w:p w14:paraId="01AF6E60" w14:textId="4A438E2E" w:rsidR="00964208" w:rsidRPr="0097118D" w:rsidRDefault="00E157CE" w:rsidP="00964208">
            <w:pPr>
              <w:tabs>
                <w:tab w:val="right" w:pos="1202"/>
              </w:tabs>
              <w:spacing w:after="0" w:line="280" w:lineRule="exact"/>
              <w:ind w:left="65"/>
              <w:jc w:val="right"/>
              <w:outlineLvl w:val="0"/>
              <w:rPr>
                <w:rFonts w:eastAsia="Times New Roman"/>
                <w:sz w:val="20"/>
                <w:szCs w:val="20"/>
              </w:rPr>
            </w:pPr>
            <w:r w:rsidRPr="00E157CE">
              <w:rPr>
                <w:rFonts w:eastAsia="Times New Roman"/>
                <w:color w:val="000000"/>
                <w:sz w:val="20"/>
                <w:szCs w:val="20"/>
                <w:lang w:eastAsia="hr-HR"/>
              </w:rPr>
              <w:t xml:space="preserve">2,944 </w:t>
            </w:r>
          </w:p>
        </w:tc>
        <w:tc>
          <w:tcPr>
            <w:tcW w:w="524" w:type="pct"/>
            <w:tcBorders>
              <w:top w:val="nil"/>
              <w:left w:val="nil"/>
              <w:bottom w:val="nil"/>
              <w:right w:val="nil"/>
            </w:tcBorders>
            <w:shd w:val="clear" w:color="auto" w:fill="auto"/>
            <w:vAlign w:val="bottom"/>
          </w:tcPr>
          <w:p w14:paraId="422A1544" w14:textId="1CB255FA" w:rsidR="00964208" w:rsidRPr="0097118D" w:rsidRDefault="00E157CE" w:rsidP="00964208">
            <w:pPr>
              <w:tabs>
                <w:tab w:val="right" w:pos="1202"/>
              </w:tabs>
              <w:spacing w:after="0" w:line="280" w:lineRule="exact"/>
              <w:ind w:left="65"/>
              <w:jc w:val="right"/>
              <w:outlineLvl w:val="0"/>
              <w:rPr>
                <w:rFonts w:eastAsia="Times New Roman"/>
                <w:sz w:val="20"/>
                <w:szCs w:val="20"/>
              </w:rPr>
            </w:pPr>
            <w:r w:rsidRPr="00E157CE">
              <w:rPr>
                <w:rFonts w:eastAsia="Times New Roman"/>
                <w:color w:val="000000"/>
                <w:sz w:val="20"/>
                <w:szCs w:val="20"/>
                <w:lang w:eastAsia="hr-HR"/>
              </w:rPr>
              <w:t xml:space="preserve">3,743 </w:t>
            </w:r>
          </w:p>
        </w:tc>
        <w:tc>
          <w:tcPr>
            <w:tcW w:w="469" w:type="pct"/>
            <w:tcBorders>
              <w:top w:val="nil"/>
              <w:left w:val="nil"/>
              <w:bottom w:val="nil"/>
              <w:right w:val="nil"/>
            </w:tcBorders>
            <w:shd w:val="clear" w:color="auto" w:fill="auto"/>
          </w:tcPr>
          <w:p w14:paraId="637EBAFA" w14:textId="00991471" w:rsidR="00964208" w:rsidRPr="0097118D" w:rsidRDefault="00964208" w:rsidP="00964208">
            <w:pPr>
              <w:tabs>
                <w:tab w:val="right" w:pos="1202"/>
              </w:tabs>
              <w:spacing w:after="0" w:line="280" w:lineRule="exact"/>
              <w:ind w:left="65"/>
              <w:jc w:val="right"/>
              <w:outlineLvl w:val="0"/>
              <w:rPr>
                <w:rFonts w:eastAsia="Times New Roman"/>
                <w:sz w:val="20"/>
                <w:szCs w:val="20"/>
              </w:rPr>
            </w:pPr>
            <w:r w:rsidRPr="006B318F">
              <w:rPr>
                <w:rFonts w:eastAsia="Times New Roman"/>
                <w:sz w:val="20"/>
                <w:szCs w:val="20"/>
              </w:rPr>
              <w:t>1,249</w:t>
            </w:r>
          </w:p>
        </w:tc>
        <w:tc>
          <w:tcPr>
            <w:tcW w:w="525" w:type="pct"/>
            <w:tcBorders>
              <w:top w:val="nil"/>
              <w:left w:val="nil"/>
              <w:bottom w:val="nil"/>
              <w:right w:val="nil"/>
            </w:tcBorders>
            <w:shd w:val="clear" w:color="auto" w:fill="auto"/>
          </w:tcPr>
          <w:p w14:paraId="0FD80188" w14:textId="0BB1E482" w:rsidR="00964208" w:rsidRPr="0097118D" w:rsidRDefault="00964208" w:rsidP="00964208">
            <w:pPr>
              <w:tabs>
                <w:tab w:val="right" w:pos="1202"/>
              </w:tabs>
              <w:spacing w:after="0" w:line="280" w:lineRule="exact"/>
              <w:ind w:left="65"/>
              <w:jc w:val="right"/>
              <w:outlineLvl w:val="0"/>
              <w:rPr>
                <w:rFonts w:eastAsia="Times New Roman"/>
                <w:sz w:val="20"/>
                <w:szCs w:val="20"/>
              </w:rPr>
            </w:pPr>
            <w:r w:rsidRPr="006B318F">
              <w:rPr>
                <w:rFonts w:eastAsia="Times New Roman"/>
                <w:sz w:val="20"/>
                <w:szCs w:val="20"/>
              </w:rPr>
              <w:t>1,786</w:t>
            </w:r>
          </w:p>
        </w:tc>
        <w:tc>
          <w:tcPr>
            <w:tcW w:w="469" w:type="pct"/>
          </w:tcPr>
          <w:p w14:paraId="6CBF89C8" w14:textId="77777777" w:rsidR="00964208" w:rsidRPr="0097118D" w:rsidRDefault="00964208" w:rsidP="00964208">
            <w:pPr>
              <w:tabs>
                <w:tab w:val="right" w:pos="1202"/>
              </w:tabs>
              <w:spacing w:after="0" w:line="280" w:lineRule="exact"/>
              <w:jc w:val="right"/>
              <w:outlineLvl w:val="0"/>
              <w:rPr>
                <w:rFonts w:eastAsia="Times New Roman" w:cs="Arial"/>
                <w:sz w:val="20"/>
                <w:szCs w:val="20"/>
              </w:rPr>
            </w:pPr>
            <w:r w:rsidRPr="0097118D">
              <w:rPr>
                <w:rFonts w:asciiTheme="minorHAnsi" w:hAnsiTheme="minorHAnsi" w:cs="Arial"/>
                <w:sz w:val="20"/>
                <w:lang w:val="hr-HR"/>
              </w:rPr>
              <w:t>-</w:t>
            </w:r>
          </w:p>
        </w:tc>
        <w:tc>
          <w:tcPr>
            <w:tcW w:w="524" w:type="pct"/>
          </w:tcPr>
          <w:p w14:paraId="0B15B386" w14:textId="77777777" w:rsidR="00964208" w:rsidRPr="0097118D" w:rsidRDefault="00964208" w:rsidP="00964208">
            <w:pPr>
              <w:tabs>
                <w:tab w:val="right" w:pos="1202"/>
              </w:tabs>
              <w:spacing w:after="0" w:line="280" w:lineRule="exact"/>
              <w:jc w:val="right"/>
              <w:outlineLvl w:val="0"/>
              <w:rPr>
                <w:rFonts w:eastAsia="Times New Roman" w:cs="Arial"/>
                <w:sz w:val="20"/>
                <w:szCs w:val="20"/>
              </w:rPr>
            </w:pPr>
            <w:r w:rsidRPr="0097118D">
              <w:rPr>
                <w:rFonts w:asciiTheme="minorHAnsi" w:hAnsiTheme="minorHAnsi" w:cs="Arial"/>
                <w:sz w:val="20"/>
                <w:lang w:val="hr-HR"/>
              </w:rPr>
              <w:t>-</w:t>
            </w:r>
          </w:p>
        </w:tc>
        <w:tc>
          <w:tcPr>
            <w:tcW w:w="469" w:type="pct"/>
          </w:tcPr>
          <w:p w14:paraId="5A94C484" w14:textId="77777777" w:rsidR="00964208" w:rsidRPr="0097118D" w:rsidRDefault="00964208" w:rsidP="00964208">
            <w:pPr>
              <w:tabs>
                <w:tab w:val="right" w:pos="1202"/>
              </w:tabs>
              <w:spacing w:after="0" w:line="280" w:lineRule="exact"/>
              <w:jc w:val="right"/>
              <w:outlineLvl w:val="0"/>
              <w:rPr>
                <w:rFonts w:eastAsia="Times New Roman" w:cs="Arial"/>
                <w:sz w:val="20"/>
                <w:szCs w:val="20"/>
              </w:rPr>
            </w:pPr>
            <w:r w:rsidRPr="0097118D">
              <w:rPr>
                <w:rFonts w:asciiTheme="minorHAnsi" w:hAnsiTheme="minorHAnsi" w:cs="Arial"/>
                <w:sz w:val="20"/>
                <w:lang w:val="hr-HR"/>
              </w:rPr>
              <w:t>-</w:t>
            </w:r>
          </w:p>
        </w:tc>
        <w:tc>
          <w:tcPr>
            <w:tcW w:w="524" w:type="pct"/>
          </w:tcPr>
          <w:p w14:paraId="1843D592" w14:textId="77777777" w:rsidR="00964208" w:rsidRPr="0097118D" w:rsidRDefault="00964208" w:rsidP="00964208">
            <w:pPr>
              <w:tabs>
                <w:tab w:val="right" w:pos="1202"/>
              </w:tabs>
              <w:spacing w:after="0" w:line="280" w:lineRule="exact"/>
              <w:jc w:val="right"/>
              <w:outlineLvl w:val="0"/>
              <w:rPr>
                <w:rFonts w:eastAsia="Times New Roman" w:cs="Arial"/>
                <w:sz w:val="20"/>
                <w:szCs w:val="20"/>
              </w:rPr>
            </w:pPr>
            <w:r w:rsidRPr="0097118D">
              <w:rPr>
                <w:rFonts w:asciiTheme="minorHAnsi" w:hAnsiTheme="minorHAnsi" w:cs="Arial"/>
                <w:sz w:val="20"/>
                <w:lang w:val="hr-HR"/>
              </w:rPr>
              <w:t>-</w:t>
            </w:r>
          </w:p>
        </w:tc>
      </w:tr>
      <w:tr w:rsidR="00964208" w:rsidRPr="0097118D" w14:paraId="663AB2A4" w14:textId="77777777" w:rsidTr="006B318F">
        <w:trPr>
          <w:trHeight w:val="119"/>
        </w:trPr>
        <w:tc>
          <w:tcPr>
            <w:tcW w:w="1030" w:type="pct"/>
            <w:shd w:val="clear" w:color="auto" w:fill="auto"/>
            <w:vAlign w:val="bottom"/>
          </w:tcPr>
          <w:p w14:paraId="26900A97" w14:textId="77777777" w:rsidR="00964208" w:rsidRPr="0097118D" w:rsidRDefault="00964208" w:rsidP="00964208">
            <w:pPr>
              <w:tabs>
                <w:tab w:val="right" w:pos="1202"/>
              </w:tabs>
              <w:spacing w:after="0" w:line="280" w:lineRule="exact"/>
              <w:outlineLvl w:val="0"/>
              <w:rPr>
                <w:rFonts w:eastAsia="Times New Roman" w:cs="Arial"/>
                <w:sz w:val="20"/>
                <w:szCs w:val="20"/>
              </w:rPr>
            </w:pPr>
            <w:r w:rsidRPr="0097118D">
              <w:rPr>
                <w:rFonts w:eastAsia="Times New Roman" w:cs="Arial"/>
                <w:sz w:val="20"/>
                <w:szCs w:val="20"/>
              </w:rPr>
              <w:t>Changes in claims provisions, reinsurer's share</w:t>
            </w:r>
          </w:p>
        </w:tc>
        <w:tc>
          <w:tcPr>
            <w:tcW w:w="467" w:type="pct"/>
            <w:tcBorders>
              <w:top w:val="nil"/>
              <w:left w:val="nil"/>
              <w:bottom w:val="nil"/>
              <w:right w:val="nil"/>
            </w:tcBorders>
            <w:shd w:val="clear" w:color="auto" w:fill="auto"/>
            <w:vAlign w:val="bottom"/>
          </w:tcPr>
          <w:p w14:paraId="7EF3101A" w14:textId="4297FE35" w:rsidR="00964208" w:rsidRPr="0097118D" w:rsidRDefault="00E157CE" w:rsidP="00964208">
            <w:pPr>
              <w:tabs>
                <w:tab w:val="right" w:pos="1202"/>
              </w:tabs>
              <w:spacing w:after="0" w:line="280" w:lineRule="exact"/>
              <w:jc w:val="right"/>
              <w:outlineLvl w:val="0"/>
              <w:rPr>
                <w:rFonts w:eastAsia="Times New Roman"/>
                <w:sz w:val="20"/>
                <w:szCs w:val="20"/>
              </w:rPr>
            </w:pPr>
            <w:r w:rsidRPr="00E157CE">
              <w:rPr>
                <w:rFonts w:eastAsia="Times New Roman"/>
                <w:color w:val="000000"/>
                <w:sz w:val="20"/>
                <w:szCs w:val="20"/>
                <w:lang w:eastAsia="hr-HR"/>
              </w:rPr>
              <w:t>(1,629)</w:t>
            </w:r>
            <w:r w:rsidRPr="00E157CE" w:rsidDel="00337B86">
              <w:rPr>
                <w:rFonts w:eastAsia="Times New Roman"/>
                <w:color w:val="000000"/>
                <w:sz w:val="20"/>
                <w:szCs w:val="20"/>
                <w:lang w:eastAsia="hr-HR"/>
              </w:rPr>
              <w:t xml:space="preserve"> </w:t>
            </w:r>
          </w:p>
        </w:tc>
        <w:tc>
          <w:tcPr>
            <w:tcW w:w="524" w:type="pct"/>
            <w:tcBorders>
              <w:top w:val="nil"/>
              <w:left w:val="nil"/>
              <w:bottom w:val="nil"/>
              <w:right w:val="nil"/>
            </w:tcBorders>
            <w:shd w:val="clear" w:color="auto" w:fill="auto"/>
            <w:vAlign w:val="bottom"/>
          </w:tcPr>
          <w:p w14:paraId="4DBDC010" w14:textId="5C001852" w:rsidR="00964208" w:rsidRPr="0097118D" w:rsidRDefault="00E157CE" w:rsidP="00964208">
            <w:pPr>
              <w:tabs>
                <w:tab w:val="right" w:pos="1202"/>
              </w:tabs>
              <w:spacing w:after="0" w:line="280" w:lineRule="exact"/>
              <w:jc w:val="right"/>
              <w:outlineLvl w:val="0"/>
              <w:rPr>
                <w:rFonts w:eastAsia="Times New Roman"/>
                <w:sz w:val="20"/>
                <w:szCs w:val="20"/>
              </w:rPr>
            </w:pPr>
            <w:r w:rsidRPr="00E157CE">
              <w:rPr>
                <w:rFonts w:eastAsia="Times New Roman"/>
                <w:color w:val="000000"/>
                <w:sz w:val="20"/>
                <w:szCs w:val="20"/>
                <w:lang w:eastAsia="hr-HR"/>
              </w:rPr>
              <w:t>(1,894)</w:t>
            </w:r>
            <w:r w:rsidRPr="00E157CE" w:rsidDel="00337B86">
              <w:rPr>
                <w:rFonts w:eastAsia="Times New Roman"/>
                <w:color w:val="000000"/>
                <w:sz w:val="20"/>
                <w:szCs w:val="20"/>
                <w:lang w:eastAsia="hr-HR"/>
              </w:rPr>
              <w:t xml:space="preserve"> </w:t>
            </w:r>
          </w:p>
        </w:tc>
        <w:tc>
          <w:tcPr>
            <w:tcW w:w="469" w:type="pct"/>
            <w:tcBorders>
              <w:top w:val="nil"/>
              <w:left w:val="nil"/>
              <w:bottom w:val="nil"/>
              <w:right w:val="nil"/>
            </w:tcBorders>
            <w:shd w:val="clear" w:color="auto" w:fill="auto"/>
            <w:vAlign w:val="bottom"/>
          </w:tcPr>
          <w:p w14:paraId="037E0127" w14:textId="0AB1FAE0" w:rsidR="00964208" w:rsidRPr="00A63E7A" w:rsidRDefault="00964208">
            <w:pPr>
              <w:tabs>
                <w:tab w:val="right" w:pos="1202"/>
              </w:tabs>
              <w:spacing w:after="0" w:line="280" w:lineRule="exact"/>
              <w:jc w:val="right"/>
              <w:outlineLvl w:val="0"/>
              <w:rPr>
                <w:rFonts w:eastAsia="Times New Roman" w:cs="Arial"/>
                <w:sz w:val="20"/>
                <w:szCs w:val="20"/>
              </w:rPr>
            </w:pPr>
            <w:r w:rsidRPr="006B318F">
              <w:rPr>
                <w:rFonts w:eastAsia="Times New Roman" w:cs="Arial"/>
                <w:sz w:val="20"/>
                <w:szCs w:val="20"/>
              </w:rPr>
              <w:t>(437)</w:t>
            </w:r>
          </w:p>
        </w:tc>
        <w:tc>
          <w:tcPr>
            <w:tcW w:w="525" w:type="pct"/>
            <w:tcBorders>
              <w:top w:val="nil"/>
              <w:left w:val="nil"/>
              <w:bottom w:val="nil"/>
              <w:right w:val="nil"/>
            </w:tcBorders>
            <w:shd w:val="clear" w:color="auto" w:fill="auto"/>
            <w:vAlign w:val="bottom"/>
          </w:tcPr>
          <w:p w14:paraId="13FEF8C2" w14:textId="68F22B3B" w:rsidR="00964208" w:rsidRPr="00A63E7A" w:rsidRDefault="00964208">
            <w:pPr>
              <w:tabs>
                <w:tab w:val="right" w:pos="1202"/>
              </w:tabs>
              <w:spacing w:after="0" w:line="280" w:lineRule="exact"/>
              <w:jc w:val="right"/>
              <w:outlineLvl w:val="0"/>
              <w:rPr>
                <w:rFonts w:eastAsia="Times New Roman" w:cs="Arial"/>
                <w:sz w:val="20"/>
                <w:szCs w:val="20"/>
              </w:rPr>
            </w:pPr>
            <w:r w:rsidRPr="006B318F">
              <w:rPr>
                <w:rFonts w:eastAsia="Times New Roman" w:cs="Arial"/>
                <w:sz w:val="20"/>
                <w:szCs w:val="20"/>
              </w:rPr>
              <w:t>(1,031)</w:t>
            </w:r>
          </w:p>
        </w:tc>
        <w:tc>
          <w:tcPr>
            <w:tcW w:w="469" w:type="pct"/>
            <w:tcBorders>
              <w:bottom w:val="single" w:sz="2" w:space="0" w:color="auto"/>
            </w:tcBorders>
            <w:vAlign w:val="bottom"/>
          </w:tcPr>
          <w:p w14:paraId="3799D7CF" w14:textId="77777777" w:rsidR="00964208" w:rsidRPr="0097118D" w:rsidRDefault="00964208" w:rsidP="00964208">
            <w:pPr>
              <w:tabs>
                <w:tab w:val="right" w:pos="1202"/>
              </w:tabs>
              <w:spacing w:after="0" w:line="280" w:lineRule="exact"/>
              <w:jc w:val="right"/>
              <w:outlineLvl w:val="0"/>
              <w:rPr>
                <w:rFonts w:eastAsia="Times New Roman" w:cs="Arial"/>
                <w:sz w:val="20"/>
                <w:szCs w:val="20"/>
              </w:rPr>
            </w:pPr>
            <w:r w:rsidRPr="0097118D">
              <w:rPr>
                <w:rFonts w:asciiTheme="minorHAnsi" w:hAnsiTheme="minorHAnsi" w:cs="Arial"/>
                <w:sz w:val="20"/>
                <w:lang w:val="hr-HR"/>
              </w:rPr>
              <w:t>-</w:t>
            </w:r>
          </w:p>
        </w:tc>
        <w:tc>
          <w:tcPr>
            <w:tcW w:w="524" w:type="pct"/>
            <w:tcBorders>
              <w:bottom w:val="single" w:sz="2" w:space="0" w:color="auto"/>
            </w:tcBorders>
            <w:vAlign w:val="bottom"/>
          </w:tcPr>
          <w:p w14:paraId="23F8F5EB" w14:textId="77777777" w:rsidR="00964208" w:rsidRPr="0097118D" w:rsidRDefault="00964208" w:rsidP="00964208">
            <w:pPr>
              <w:tabs>
                <w:tab w:val="right" w:pos="1202"/>
              </w:tabs>
              <w:spacing w:after="0" w:line="280" w:lineRule="exact"/>
              <w:jc w:val="right"/>
              <w:outlineLvl w:val="0"/>
              <w:rPr>
                <w:rFonts w:eastAsia="Times New Roman" w:cs="Arial"/>
                <w:sz w:val="20"/>
                <w:szCs w:val="20"/>
              </w:rPr>
            </w:pPr>
            <w:r w:rsidRPr="0097118D">
              <w:rPr>
                <w:rFonts w:asciiTheme="minorHAnsi" w:hAnsiTheme="minorHAnsi" w:cs="Arial"/>
                <w:sz w:val="20"/>
                <w:lang w:val="hr-HR"/>
              </w:rPr>
              <w:t>-</w:t>
            </w:r>
          </w:p>
        </w:tc>
        <w:tc>
          <w:tcPr>
            <w:tcW w:w="469" w:type="pct"/>
            <w:tcBorders>
              <w:bottom w:val="single" w:sz="2" w:space="0" w:color="auto"/>
            </w:tcBorders>
            <w:vAlign w:val="bottom"/>
          </w:tcPr>
          <w:p w14:paraId="20FF0A6B" w14:textId="77777777" w:rsidR="00964208" w:rsidRPr="0097118D" w:rsidRDefault="00964208" w:rsidP="00964208">
            <w:pPr>
              <w:tabs>
                <w:tab w:val="right" w:pos="1202"/>
              </w:tabs>
              <w:spacing w:after="0" w:line="280" w:lineRule="exact"/>
              <w:jc w:val="right"/>
              <w:outlineLvl w:val="0"/>
              <w:rPr>
                <w:rFonts w:eastAsia="Times New Roman" w:cs="Arial"/>
                <w:sz w:val="20"/>
                <w:szCs w:val="20"/>
              </w:rPr>
            </w:pPr>
            <w:r w:rsidRPr="0097118D">
              <w:rPr>
                <w:rFonts w:asciiTheme="minorHAnsi" w:hAnsiTheme="minorHAnsi" w:cs="Arial"/>
                <w:sz w:val="20"/>
                <w:lang w:val="hr-HR"/>
              </w:rPr>
              <w:t>-</w:t>
            </w:r>
          </w:p>
        </w:tc>
        <w:tc>
          <w:tcPr>
            <w:tcW w:w="524" w:type="pct"/>
            <w:tcBorders>
              <w:bottom w:val="single" w:sz="2" w:space="0" w:color="auto"/>
            </w:tcBorders>
            <w:vAlign w:val="bottom"/>
          </w:tcPr>
          <w:p w14:paraId="733F80BC" w14:textId="77777777" w:rsidR="00964208" w:rsidRPr="0097118D" w:rsidRDefault="00964208" w:rsidP="00964208">
            <w:pPr>
              <w:tabs>
                <w:tab w:val="right" w:pos="1202"/>
              </w:tabs>
              <w:spacing w:after="0" w:line="280" w:lineRule="exact"/>
              <w:jc w:val="right"/>
              <w:outlineLvl w:val="0"/>
              <w:rPr>
                <w:rFonts w:eastAsia="Times New Roman" w:cs="Arial"/>
                <w:sz w:val="20"/>
                <w:szCs w:val="20"/>
              </w:rPr>
            </w:pPr>
            <w:r w:rsidRPr="0097118D">
              <w:rPr>
                <w:rFonts w:asciiTheme="minorHAnsi" w:hAnsiTheme="minorHAnsi" w:cs="Arial"/>
                <w:sz w:val="20"/>
                <w:lang w:val="hr-HR"/>
              </w:rPr>
              <w:t>-</w:t>
            </w:r>
          </w:p>
        </w:tc>
      </w:tr>
      <w:tr w:rsidR="00A51A45" w:rsidRPr="0097118D" w14:paraId="15D49A79" w14:textId="77777777" w:rsidTr="006B318F">
        <w:trPr>
          <w:trHeight w:val="119"/>
        </w:trPr>
        <w:tc>
          <w:tcPr>
            <w:tcW w:w="1030" w:type="pct"/>
            <w:shd w:val="clear" w:color="auto" w:fill="auto"/>
            <w:vAlign w:val="bottom"/>
          </w:tcPr>
          <w:p w14:paraId="74E431A4" w14:textId="77777777" w:rsidR="00A51A45" w:rsidRPr="0097118D" w:rsidRDefault="00A51A45" w:rsidP="00A51A45">
            <w:pPr>
              <w:tabs>
                <w:tab w:val="right" w:pos="1202"/>
              </w:tabs>
              <w:spacing w:after="0" w:line="280" w:lineRule="exact"/>
              <w:outlineLvl w:val="0"/>
              <w:rPr>
                <w:rFonts w:eastAsia="Times New Roman" w:cs="Arial"/>
                <w:b/>
                <w:sz w:val="20"/>
                <w:szCs w:val="20"/>
              </w:rPr>
            </w:pPr>
            <w:r w:rsidRPr="0097118D">
              <w:rPr>
                <w:rFonts w:eastAsia="Times New Roman" w:cs="Arial"/>
                <w:b/>
                <w:sz w:val="20"/>
                <w:szCs w:val="20"/>
              </w:rPr>
              <w:t>Expenses of insurance operations</w:t>
            </w:r>
          </w:p>
        </w:tc>
        <w:tc>
          <w:tcPr>
            <w:tcW w:w="467" w:type="pct"/>
            <w:tcBorders>
              <w:top w:val="single" w:sz="4" w:space="0" w:color="auto"/>
              <w:left w:val="nil"/>
              <w:bottom w:val="single" w:sz="12" w:space="0" w:color="000000" w:themeColor="text1"/>
              <w:right w:val="nil"/>
            </w:tcBorders>
            <w:shd w:val="clear" w:color="auto" w:fill="auto"/>
            <w:vAlign w:val="bottom"/>
          </w:tcPr>
          <w:p w14:paraId="71514847" w14:textId="2D7157B1" w:rsidR="00A51A45" w:rsidRPr="0097118D" w:rsidRDefault="00A51A45" w:rsidP="00A51A45">
            <w:pPr>
              <w:tabs>
                <w:tab w:val="right" w:pos="1202"/>
              </w:tabs>
              <w:spacing w:after="0" w:line="320" w:lineRule="exact"/>
              <w:jc w:val="right"/>
              <w:outlineLvl w:val="0"/>
              <w:rPr>
                <w:b/>
                <w:bCs/>
                <w:color w:val="000000"/>
                <w:sz w:val="20"/>
              </w:rPr>
            </w:pPr>
            <w:r w:rsidRPr="006B318F">
              <w:rPr>
                <w:b/>
                <w:bCs/>
                <w:color w:val="000000"/>
                <w:sz w:val="20"/>
              </w:rPr>
              <w:t xml:space="preserve"> 1,315 </w:t>
            </w:r>
          </w:p>
        </w:tc>
        <w:tc>
          <w:tcPr>
            <w:tcW w:w="524" w:type="pct"/>
            <w:tcBorders>
              <w:top w:val="single" w:sz="4" w:space="0" w:color="auto"/>
              <w:left w:val="nil"/>
              <w:bottom w:val="single" w:sz="12" w:space="0" w:color="000000" w:themeColor="text1"/>
              <w:right w:val="nil"/>
            </w:tcBorders>
            <w:shd w:val="clear" w:color="auto" w:fill="auto"/>
            <w:vAlign w:val="bottom"/>
          </w:tcPr>
          <w:p w14:paraId="564EB49E" w14:textId="703DF24C" w:rsidR="00A51A45" w:rsidRPr="0097118D" w:rsidRDefault="00A51A45" w:rsidP="00A51A45">
            <w:pPr>
              <w:tabs>
                <w:tab w:val="right" w:pos="1202"/>
              </w:tabs>
              <w:spacing w:after="0" w:line="320" w:lineRule="exact"/>
              <w:jc w:val="right"/>
              <w:outlineLvl w:val="0"/>
              <w:rPr>
                <w:b/>
                <w:bCs/>
                <w:color w:val="000000"/>
                <w:sz w:val="20"/>
              </w:rPr>
            </w:pPr>
            <w:r w:rsidRPr="006B318F">
              <w:rPr>
                <w:b/>
                <w:bCs/>
                <w:color w:val="000000"/>
                <w:sz w:val="20"/>
              </w:rPr>
              <w:t xml:space="preserve"> 1,849 </w:t>
            </w:r>
          </w:p>
        </w:tc>
        <w:tc>
          <w:tcPr>
            <w:tcW w:w="469" w:type="pct"/>
            <w:tcBorders>
              <w:top w:val="single" w:sz="4" w:space="0" w:color="auto"/>
              <w:left w:val="nil"/>
              <w:bottom w:val="single" w:sz="12" w:space="0" w:color="auto"/>
              <w:right w:val="nil"/>
            </w:tcBorders>
            <w:shd w:val="clear" w:color="auto" w:fill="auto"/>
            <w:vAlign w:val="bottom"/>
          </w:tcPr>
          <w:p w14:paraId="2473EFBC" w14:textId="13853503" w:rsidR="00A51A45" w:rsidRPr="006B318F" w:rsidRDefault="00A51A45" w:rsidP="00A51A45">
            <w:pPr>
              <w:tabs>
                <w:tab w:val="right" w:pos="1202"/>
              </w:tabs>
              <w:spacing w:after="0" w:line="320" w:lineRule="exact"/>
              <w:jc w:val="right"/>
              <w:outlineLvl w:val="0"/>
              <w:rPr>
                <w:b/>
                <w:bCs/>
                <w:color w:val="000000"/>
                <w:sz w:val="20"/>
              </w:rPr>
            </w:pPr>
            <w:r w:rsidRPr="006B318F">
              <w:rPr>
                <w:b/>
                <w:bCs/>
                <w:color w:val="000000"/>
                <w:sz w:val="20"/>
              </w:rPr>
              <w:t>812</w:t>
            </w:r>
          </w:p>
        </w:tc>
        <w:tc>
          <w:tcPr>
            <w:tcW w:w="525" w:type="pct"/>
            <w:tcBorders>
              <w:top w:val="single" w:sz="4" w:space="0" w:color="auto"/>
              <w:left w:val="nil"/>
              <w:bottom w:val="single" w:sz="12" w:space="0" w:color="auto"/>
              <w:right w:val="nil"/>
            </w:tcBorders>
            <w:shd w:val="clear" w:color="auto" w:fill="auto"/>
            <w:vAlign w:val="bottom"/>
          </w:tcPr>
          <w:p w14:paraId="0EC0CD13" w14:textId="784F810A" w:rsidR="00A51A45" w:rsidRPr="006B318F" w:rsidRDefault="00A51A45" w:rsidP="00A51A45">
            <w:pPr>
              <w:tabs>
                <w:tab w:val="right" w:pos="1202"/>
              </w:tabs>
              <w:spacing w:after="0" w:line="320" w:lineRule="exact"/>
              <w:jc w:val="right"/>
              <w:outlineLvl w:val="0"/>
              <w:rPr>
                <w:b/>
                <w:bCs/>
                <w:color w:val="000000"/>
                <w:sz w:val="20"/>
              </w:rPr>
            </w:pPr>
            <w:r w:rsidRPr="006B318F">
              <w:rPr>
                <w:b/>
                <w:bCs/>
                <w:color w:val="000000"/>
                <w:sz w:val="20"/>
              </w:rPr>
              <w:t>755</w:t>
            </w:r>
          </w:p>
        </w:tc>
        <w:tc>
          <w:tcPr>
            <w:tcW w:w="469" w:type="pct"/>
            <w:tcBorders>
              <w:bottom w:val="single" w:sz="12" w:space="0" w:color="auto"/>
            </w:tcBorders>
            <w:vAlign w:val="bottom"/>
          </w:tcPr>
          <w:p w14:paraId="15881A36" w14:textId="77777777" w:rsidR="00A51A45" w:rsidRPr="0097118D" w:rsidRDefault="00A51A45" w:rsidP="00A51A45">
            <w:pPr>
              <w:tabs>
                <w:tab w:val="right" w:pos="1202"/>
              </w:tabs>
              <w:spacing w:after="0" w:line="320" w:lineRule="exact"/>
              <w:jc w:val="right"/>
              <w:outlineLvl w:val="0"/>
              <w:rPr>
                <w:rFonts w:eastAsia="Times New Roman" w:cs="Arial"/>
                <w:b/>
                <w:bCs/>
                <w:sz w:val="20"/>
                <w:szCs w:val="20"/>
              </w:rPr>
            </w:pPr>
            <w:r w:rsidRPr="0097118D">
              <w:rPr>
                <w:rFonts w:asciiTheme="minorHAnsi" w:hAnsiTheme="minorHAnsi" w:cs="Arial"/>
                <w:b/>
                <w:bCs/>
                <w:sz w:val="20"/>
                <w:lang w:val="hr-HR"/>
              </w:rPr>
              <w:t>-</w:t>
            </w:r>
          </w:p>
        </w:tc>
        <w:tc>
          <w:tcPr>
            <w:tcW w:w="524" w:type="pct"/>
            <w:tcBorders>
              <w:bottom w:val="single" w:sz="12" w:space="0" w:color="auto"/>
            </w:tcBorders>
            <w:vAlign w:val="bottom"/>
          </w:tcPr>
          <w:p w14:paraId="216247F6" w14:textId="77777777" w:rsidR="00A51A45" w:rsidRPr="0097118D" w:rsidRDefault="00A51A45" w:rsidP="00A51A45">
            <w:pPr>
              <w:tabs>
                <w:tab w:val="right" w:pos="1202"/>
              </w:tabs>
              <w:spacing w:after="0" w:line="320" w:lineRule="exact"/>
              <w:jc w:val="right"/>
              <w:outlineLvl w:val="0"/>
              <w:rPr>
                <w:rFonts w:eastAsia="Times New Roman" w:cs="Arial"/>
                <w:b/>
                <w:bCs/>
                <w:sz w:val="20"/>
                <w:szCs w:val="20"/>
              </w:rPr>
            </w:pPr>
            <w:r w:rsidRPr="0097118D">
              <w:rPr>
                <w:rFonts w:asciiTheme="minorHAnsi" w:hAnsiTheme="minorHAnsi" w:cs="Arial"/>
                <w:b/>
                <w:bCs/>
                <w:sz w:val="20"/>
                <w:lang w:val="hr-HR"/>
              </w:rPr>
              <w:t>-</w:t>
            </w:r>
          </w:p>
        </w:tc>
        <w:tc>
          <w:tcPr>
            <w:tcW w:w="469" w:type="pct"/>
            <w:tcBorders>
              <w:bottom w:val="single" w:sz="12" w:space="0" w:color="auto"/>
            </w:tcBorders>
            <w:vAlign w:val="bottom"/>
          </w:tcPr>
          <w:p w14:paraId="526F60A3" w14:textId="77777777" w:rsidR="00A51A45" w:rsidRPr="0097118D" w:rsidRDefault="00A51A45" w:rsidP="00A51A45">
            <w:pPr>
              <w:keepLines/>
              <w:tabs>
                <w:tab w:val="right" w:pos="1202"/>
              </w:tabs>
              <w:spacing w:after="0" w:line="240" w:lineRule="auto"/>
              <w:jc w:val="right"/>
              <w:outlineLvl w:val="0"/>
              <w:rPr>
                <w:rFonts w:eastAsia="Times New Roman" w:cs="Calibri"/>
                <w:b/>
                <w:sz w:val="20"/>
                <w:szCs w:val="20"/>
              </w:rPr>
            </w:pPr>
            <w:r w:rsidRPr="0097118D">
              <w:rPr>
                <w:rFonts w:asciiTheme="minorHAnsi" w:hAnsiTheme="minorHAnsi" w:cs="Arial"/>
                <w:b/>
                <w:bCs/>
                <w:sz w:val="20"/>
                <w:lang w:val="hr-HR"/>
              </w:rPr>
              <w:t>-</w:t>
            </w:r>
          </w:p>
        </w:tc>
        <w:tc>
          <w:tcPr>
            <w:tcW w:w="524" w:type="pct"/>
            <w:tcBorders>
              <w:bottom w:val="single" w:sz="12" w:space="0" w:color="auto"/>
            </w:tcBorders>
            <w:vAlign w:val="bottom"/>
          </w:tcPr>
          <w:p w14:paraId="15DB36DE" w14:textId="77777777" w:rsidR="00A51A45" w:rsidRPr="0097118D" w:rsidRDefault="00A51A45" w:rsidP="00A51A45">
            <w:pPr>
              <w:keepLines/>
              <w:tabs>
                <w:tab w:val="right" w:pos="1202"/>
              </w:tabs>
              <w:spacing w:after="0" w:line="240" w:lineRule="auto"/>
              <w:jc w:val="right"/>
              <w:outlineLvl w:val="0"/>
              <w:rPr>
                <w:rFonts w:eastAsia="Times New Roman" w:cs="Calibri"/>
                <w:b/>
                <w:sz w:val="20"/>
                <w:szCs w:val="20"/>
              </w:rPr>
            </w:pPr>
            <w:r w:rsidRPr="0097118D">
              <w:rPr>
                <w:rFonts w:asciiTheme="minorHAnsi" w:hAnsiTheme="minorHAnsi" w:cs="Arial"/>
                <w:b/>
                <w:bCs/>
                <w:sz w:val="20"/>
                <w:lang w:val="hr-HR"/>
              </w:rPr>
              <w:t>-</w:t>
            </w:r>
          </w:p>
        </w:tc>
      </w:tr>
    </w:tbl>
    <w:p w14:paraId="1836D3CC" w14:textId="25C30534" w:rsidR="0097118D" w:rsidRDefault="00F0222D" w:rsidP="005444AA">
      <w:pPr>
        <w:tabs>
          <w:tab w:val="left" w:pos="6728"/>
        </w:tabs>
        <w:rPr>
          <w:rFonts w:eastAsia="Times New Roman" w:cs="Arial"/>
          <w:lang w:val="en-US"/>
        </w:rPr>
      </w:pPr>
      <w:r>
        <w:rPr>
          <w:rFonts w:eastAsia="Times New Roman" w:cs="Arial"/>
          <w:lang w:val="en-US"/>
        </w:rPr>
        <w:tab/>
      </w:r>
    </w:p>
    <w:p w14:paraId="0A6809A9" w14:textId="72EA8E94" w:rsidR="00AE2DA1" w:rsidRPr="00AE2DA1" w:rsidRDefault="00AE2DA1" w:rsidP="00AE2DA1">
      <w:pPr>
        <w:keepNext/>
        <w:spacing w:after="0" w:line="240" w:lineRule="auto"/>
        <w:jc w:val="both"/>
        <w:rPr>
          <w:rFonts w:asciiTheme="minorHAnsi" w:eastAsia="Times New Roman" w:hAnsiTheme="minorHAnsi" w:cs="Arial"/>
          <w:lang w:val="en-US"/>
        </w:rPr>
      </w:pPr>
      <w:r w:rsidRPr="009C2D15">
        <w:rPr>
          <w:rFonts w:asciiTheme="minorHAnsi" w:eastAsia="Times New Roman" w:hAnsiTheme="minorHAnsi" w:cs="Arial"/>
          <w:lang w:val="en-US"/>
        </w:rPr>
        <w:t xml:space="preserve">The most significant part of provisions for losses relates to the IBNR provision, the method of calculation of which was changed as compared to the same </w:t>
      </w:r>
      <w:r w:rsidR="005444AA" w:rsidRPr="009C2D15">
        <w:rPr>
          <w:rFonts w:asciiTheme="minorHAnsi" w:eastAsia="Times New Roman" w:hAnsiTheme="minorHAnsi" w:cs="Arial"/>
          <w:lang w:val="en-US"/>
        </w:rPr>
        <w:t>reporting</w:t>
      </w:r>
      <w:r w:rsidR="00940306" w:rsidRPr="009C2D15">
        <w:rPr>
          <w:rFonts w:asciiTheme="minorHAnsi" w:eastAsia="Times New Roman" w:hAnsiTheme="minorHAnsi" w:cs="Arial"/>
          <w:lang w:val="en-US"/>
        </w:rPr>
        <w:t xml:space="preserve"> date </w:t>
      </w:r>
      <w:r w:rsidRPr="009C2D15">
        <w:rPr>
          <w:rFonts w:asciiTheme="minorHAnsi" w:eastAsia="Times New Roman" w:hAnsiTheme="minorHAnsi" w:cs="Arial"/>
          <w:lang w:val="en-US"/>
        </w:rPr>
        <w:t xml:space="preserve">of the previous year. The </w:t>
      </w:r>
      <w:proofErr w:type="spellStart"/>
      <w:r w:rsidRPr="009C2D15">
        <w:rPr>
          <w:rFonts w:asciiTheme="minorHAnsi" w:eastAsia="Times New Roman" w:hAnsiTheme="minorHAnsi" w:cs="Arial"/>
          <w:lang w:val="en-US"/>
        </w:rPr>
        <w:t>Bornhuetter</w:t>
      </w:r>
      <w:proofErr w:type="spellEnd"/>
      <w:r w:rsidRPr="009C2D15">
        <w:rPr>
          <w:rFonts w:asciiTheme="minorHAnsi" w:eastAsia="Times New Roman" w:hAnsiTheme="minorHAnsi" w:cs="Arial"/>
          <w:lang w:val="en-US"/>
        </w:rPr>
        <w:t>-Ferguson method was used for the gross amount of provisions</w:t>
      </w:r>
      <w:r w:rsidR="0074111B" w:rsidRPr="009C2D15">
        <w:rPr>
          <w:rFonts w:asciiTheme="minorHAnsi" w:eastAsia="Times New Roman" w:hAnsiTheme="minorHAnsi" w:cs="Arial"/>
          <w:lang w:val="en-US"/>
        </w:rPr>
        <w:t>.</w:t>
      </w:r>
      <w:r w:rsidRPr="009C2D15">
        <w:rPr>
          <w:rFonts w:asciiTheme="minorHAnsi" w:eastAsia="Times New Roman" w:hAnsiTheme="minorHAnsi" w:cs="Arial"/>
          <w:lang w:val="en-US"/>
        </w:rPr>
        <w:t xml:space="preserve">  </w:t>
      </w:r>
      <w:r w:rsidR="009C2D15" w:rsidRPr="006B318F">
        <w:rPr>
          <w:rFonts w:asciiTheme="minorHAnsi" w:eastAsia="Times New Roman" w:hAnsiTheme="minorHAnsi" w:cs="Arial"/>
          <w:lang w:val="en-US"/>
        </w:rPr>
        <w:t>The provisions and the share of reinsurance decreased in gross amount as compared to the same reporting date of the previous year. The reinsurance share is determined in accordance with the valid terms and conditions of the reinsurance contract.</w:t>
      </w:r>
    </w:p>
    <w:p w14:paraId="544755FC" w14:textId="77777777" w:rsidR="00365545" w:rsidRPr="0034501D" w:rsidRDefault="00365545">
      <w:pPr>
        <w:spacing w:after="0" w:line="240" w:lineRule="auto"/>
        <w:jc w:val="both"/>
      </w:pPr>
    </w:p>
    <w:p w14:paraId="4FBA8A39" w14:textId="77777777" w:rsidR="00EC7DCD" w:rsidRPr="0034501D" w:rsidRDefault="00EC7DCD" w:rsidP="00365545">
      <w:pPr>
        <w:pStyle w:val="ListParagraph"/>
        <w:spacing w:after="0" w:line="240" w:lineRule="auto"/>
        <w:ind w:left="567"/>
        <w:jc w:val="both"/>
        <w:rPr>
          <w:rFonts w:eastAsia="Times New Roman" w:cs="Calibri"/>
          <w:b/>
          <w:lang w:eastAsia="hr-HR"/>
        </w:rPr>
      </w:pPr>
    </w:p>
    <w:p w14:paraId="42559934" w14:textId="77777777" w:rsidR="00EC7DCD" w:rsidRPr="0034501D" w:rsidRDefault="00EC7DCD" w:rsidP="00365545">
      <w:pPr>
        <w:pStyle w:val="ListParagraph"/>
        <w:spacing w:after="0" w:line="240" w:lineRule="auto"/>
        <w:ind w:left="567"/>
        <w:jc w:val="both"/>
        <w:rPr>
          <w:rFonts w:eastAsia="Times New Roman" w:cs="Calibri"/>
          <w:b/>
          <w:lang w:eastAsia="hr-HR"/>
        </w:rPr>
        <w:sectPr w:rsidR="00EC7DCD" w:rsidRPr="0034501D" w:rsidSect="001E3C1C">
          <w:footerReference w:type="first" r:id="rId57"/>
          <w:pgSz w:w="16838" w:h="11906" w:orient="landscape" w:code="9"/>
          <w:pgMar w:top="1418" w:right="595" w:bottom="1134" w:left="1418" w:header="709" w:footer="709" w:gutter="0"/>
          <w:cols w:space="708"/>
          <w:titlePg/>
          <w:docGrid w:linePitch="360"/>
        </w:sectPr>
      </w:pPr>
    </w:p>
    <w:p w14:paraId="68E33A54" w14:textId="77777777" w:rsidR="00202F35" w:rsidRPr="0034501D" w:rsidRDefault="00202F35" w:rsidP="00202F35">
      <w:pPr>
        <w:pStyle w:val="ListParagraph"/>
        <w:spacing w:after="0" w:line="240" w:lineRule="auto"/>
        <w:ind w:left="567"/>
        <w:jc w:val="both"/>
        <w:rPr>
          <w:rFonts w:eastAsia="Times New Roman" w:cs="Calibri"/>
          <w:b/>
          <w:lang w:eastAsia="hr-HR"/>
        </w:rPr>
      </w:pPr>
    </w:p>
    <w:p w14:paraId="70418B91" w14:textId="77777777" w:rsidR="00AE09B0" w:rsidRDefault="00762673" w:rsidP="006379CB">
      <w:pPr>
        <w:pStyle w:val="ListParagraph"/>
        <w:numPr>
          <w:ilvl w:val="0"/>
          <w:numId w:val="44"/>
        </w:numPr>
        <w:spacing w:after="0" w:line="240" w:lineRule="auto"/>
        <w:ind w:left="567" w:hanging="567"/>
        <w:jc w:val="both"/>
        <w:rPr>
          <w:rFonts w:eastAsia="Times New Roman" w:cs="Calibri"/>
          <w:b/>
          <w:lang w:eastAsia="hr-HR"/>
        </w:rPr>
      </w:pPr>
      <w:r w:rsidRPr="0034501D">
        <w:rPr>
          <w:rFonts w:cs="Arial"/>
          <w:b/>
        </w:rPr>
        <w:t>Impairment loss and provisions</w:t>
      </w:r>
      <w:r w:rsidR="00202F35" w:rsidRPr="0034501D">
        <w:rPr>
          <w:rFonts w:eastAsia="Times New Roman" w:cs="Calibri"/>
          <w:b/>
          <w:lang w:eastAsia="hr-HR"/>
        </w:rPr>
        <w:t>:</w:t>
      </w:r>
    </w:p>
    <w:p w14:paraId="1D943ED3" w14:textId="77777777" w:rsidR="00AF594B" w:rsidRPr="0034501D" w:rsidRDefault="00AF594B" w:rsidP="005444AA">
      <w:pPr>
        <w:pStyle w:val="ListParagraph"/>
        <w:spacing w:after="0" w:line="240" w:lineRule="auto"/>
        <w:ind w:left="567"/>
        <w:jc w:val="both"/>
        <w:rPr>
          <w:rFonts w:eastAsia="Times New Roman" w:cs="Calibri"/>
          <w:b/>
          <w:lang w:eastAsia="hr-HR"/>
        </w:rPr>
      </w:pPr>
    </w:p>
    <w:p w14:paraId="5B3AF5F3" w14:textId="77777777" w:rsidR="00AF594B" w:rsidRPr="0034501D" w:rsidRDefault="00AF594B" w:rsidP="005444AA">
      <w:pPr>
        <w:pStyle w:val="T1"/>
        <w:spacing w:before="0" w:after="0" w:line="240" w:lineRule="auto"/>
        <w:rPr>
          <w:rFonts w:cs="Arial"/>
          <w:b w:val="0"/>
          <w:bCs w:val="0"/>
          <w:lang w:val="en-GB"/>
        </w:rPr>
      </w:pPr>
      <w:r w:rsidRPr="0034501D">
        <w:rPr>
          <w:rFonts w:ascii="Calibri" w:hAnsi="Calibri" w:cs="Arial"/>
          <w:b w:val="0"/>
          <w:bCs w:val="0"/>
          <w:sz w:val="22"/>
          <w:szCs w:val="22"/>
          <w:lang w:val="en-GB"/>
        </w:rPr>
        <w:t>The provision for impairment losses on placements may be summarized as follows</w:t>
      </w:r>
      <w:r w:rsidRPr="0034501D">
        <w:rPr>
          <w:rFonts w:cs="Arial"/>
          <w:b w:val="0"/>
          <w:bCs w:val="0"/>
          <w:lang w:val="en-GB"/>
        </w:rPr>
        <w:t>:</w:t>
      </w:r>
    </w:p>
    <w:tbl>
      <w:tblPr>
        <w:tblW w:w="4981" w:type="pct"/>
        <w:tblInd w:w="-284" w:type="dxa"/>
        <w:tblLayout w:type="fixed"/>
        <w:tblCellMar>
          <w:left w:w="120" w:type="dxa"/>
          <w:right w:w="57" w:type="dxa"/>
        </w:tblCellMar>
        <w:tblLook w:val="0000" w:firstRow="0" w:lastRow="0" w:firstColumn="0" w:lastColumn="0" w:noHBand="0" w:noVBand="0"/>
      </w:tblPr>
      <w:tblGrid>
        <w:gridCol w:w="3260"/>
        <w:gridCol w:w="1438"/>
        <w:gridCol w:w="1438"/>
        <w:gridCol w:w="1438"/>
        <w:gridCol w:w="1439"/>
        <w:gridCol w:w="1439"/>
        <w:gridCol w:w="1439"/>
        <w:gridCol w:w="1439"/>
        <w:gridCol w:w="1439"/>
      </w:tblGrid>
      <w:tr w:rsidR="0097118D" w:rsidRPr="0097118D" w14:paraId="4E3EB635" w14:textId="77777777" w:rsidTr="0013539B">
        <w:trPr>
          <w:trHeight w:val="235"/>
        </w:trPr>
        <w:tc>
          <w:tcPr>
            <w:tcW w:w="1104" w:type="pct"/>
          </w:tcPr>
          <w:p w14:paraId="3FB03C45" w14:textId="77777777" w:rsidR="0097118D" w:rsidRPr="0097118D" w:rsidRDefault="0097118D" w:rsidP="0097118D">
            <w:pPr>
              <w:tabs>
                <w:tab w:val="right" w:pos="1202"/>
              </w:tabs>
              <w:spacing w:after="0" w:line="240" w:lineRule="atLeast"/>
              <w:outlineLvl w:val="0"/>
              <w:rPr>
                <w:rFonts w:eastAsia="Times New Roman" w:cs="Arial"/>
                <w:b/>
                <w:sz w:val="20"/>
                <w:szCs w:val="20"/>
              </w:rPr>
            </w:pPr>
          </w:p>
        </w:tc>
        <w:tc>
          <w:tcPr>
            <w:tcW w:w="1948" w:type="pct"/>
            <w:gridSpan w:val="4"/>
            <w:vAlign w:val="bottom"/>
          </w:tcPr>
          <w:p w14:paraId="6704ED05" w14:textId="77777777" w:rsidR="0097118D" w:rsidRPr="0097118D" w:rsidRDefault="0097118D" w:rsidP="0097118D">
            <w:pPr>
              <w:tabs>
                <w:tab w:val="right" w:pos="1202"/>
              </w:tabs>
              <w:spacing w:after="0" w:line="240" w:lineRule="atLeast"/>
              <w:jc w:val="right"/>
              <w:outlineLvl w:val="0"/>
              <w:rPr>
                <w:rFonts w:eastAsia="Times New Roman" w:cs="Arial"/>
                <w:b/>
                <w:sz w:val="20"/>
                <w:szCs w:val="20"/>
              </w:rPr>
            </w:pPr>
            <w:r w:rsidRPr="0097118D">
              <w:rPr>
                <w:rFonts w:eastAsia="Times New Roman" w:cs="Arial"/>
                <w:b/>
                <w:sz w:val="20"/>
                <w:szCs w:val="20"/>
              </w:rPr>
              <w:t>Group</w:t>
            </w:r>
            <w:r w:rsidRPr="0097118D" w:rsidDel="00833713">
              <w:rPr>
                <w:rFonts w:eastAsia="Times New Roman" w:cs="Arial"/>
                <w:b/>
                <w:sz w:val="20"/>
                <w:szCs w:val="20"/>
              </w:rPr>
              <w:t xml:space="preserve"> </w:t>
            </w:r>
          </w:p>
        </w:tc>
        <w:tc>
          <w:tcPr>
            <w:tcW w:w="1949" w:type="pct"/>
            <w:gridSpan w:val="4"/>
            <w:vAlign w:val="bottom"/>
          </w:tcPr>
          <w:p w14:paraId="4305BD5F" w14:textId="77777777" w:rsidR="0097118D" w:rsidRPr="0097118D" w:rsidRDefault="0097118D" w:rsidP="0097118D">
            <w:pPr>
              <w:tabs>
                <w:tab w:val="right" w:pos="1202"/>
              </w:tabs>
              <w:spacing w:after="0" w:line="240" w:lineRule="atLeast"/>
              <w:jc w:val="right"/>
              <w:outlineLvl w:val="0"/>
              <w:rPr>
                <w:rFonts w:eastAsia="Times New Roman" w:cs="Arial"/>
                <w:b/>
                <w:sz w:val="20"/>
                <w:szCs w:val="20"/>
              </w:rPr>
            </w:pPr>
            <w:r w:rsidRPr="0097118D">
              <w:rPr>
                <w:rFonts w:eastAsia="Times New Roman" w:cs="Arial"/>
                <w:b/>
                <w:sz w:val="20"/>
                <w:szCs w:val="20"/>
              </w:rPr>
              <w:t>Bank</w:t>
            </w:r>
            <w:r w:rsidRPr="0097118D" w:rsidDel="00833713">
              <w:rPr>
                <w:rFonts w:eastAsia="Times New Roman" w:cs="Arial"/>
                <w:b/>
                <w:sz w:val="20"/>
                <w:szCs w:val="20"/>
              </w:rPr>
              <w:t xml:space="preserve"> </w:t>
            </w:r>
          </w:p>
        </w:tc>
      </w:tr>
      <w:tr w:rsidR="0097118D" w:rsidRPr="0097118D" w14:paraId="454B4531" w14:textId="77777777" w:rsidTr="0013539B">
        <w:trPr>
          <w:trHeight w:val="235"/>
        </w:trPr>
        <w:tc>
          <w:tcPr>
            <w:tcW w:w="1104" w:type="pct"/>
          </w:tcPr>
          <w:p w14:paraId="56E10125" w14:textId="77777777" w:rsidR="0097118D" w:rsidRPr="0097118D" w:rsidRDefault="0097118D" w:rsidP="0097118D">
            <w:pPr>
              <w:tabs>
                <w:tab w:val="right" w:pos="1202"/>
              </w:tabs>
              <w:spacing w:after="0" w:line="240" w:lineRule="atLeast"/>
              <w:outlineLvl w:val="0"/>
              <w:rPr>
                <w:rFonts w:eastAsia="Times New Roman" w:cs="Arial"/>
                <w:b/>
                <w:sz w:val="20"/>
                <w:szCs w:val="20"/>
              </w:rPr>
            </w:pPr>
          </w:p>
        </w:tc>
        <w:tc>
          <w:tcPr>
            <w:tcW w:w="974" w:type="pct"/>
            <w:gridSpan w:val="2"/>
          </w:tcPr>
          <w:p w14:paraId="10F5C5E1" w14:textId="77777777" w:rsidR="0097118D" w:rsidRPr="0097118D" w:rsidRDefault="0097118D" w:rsidP="00B85043">
            <w:pPr>
              <w:tabs>
                <w:tab w:val="right" w:pos="1202"/>
              </w:tabs>
              <w:spacing w:after="0" w:line="240" w:lineRule="atLeast"/>
              <w:jc w:val="center"/>
              <w:outlineLvl w:val="0"/>
              <w:rPr>
                <w:rFonts w:eastAsia="Times New Roman" w:cs="Arial"/>
                <w:b/>
                <w:sz w:val="20"/>
                <w:szCs w:val="20"/>
              </w:rPr>
            </w:pPr>
            <w:r w:rsidRPr="0097118D">
              <w:rPr>
                <w:rFonts w:asciiTheme="minorHAnsi" w:eastAsia="Times New Roman" w:hAnsiTheme="minorHAnsi" w:cs="Arial"/>
                <w:b/>
                <w:bCs/>
                <w:sz w:val="20"/>
                <w:szCs w:val="20"/>
                <w:lang w:val="hr-HR"/>
              </w:rPr>
              <w:t>201</w:t>
            </w:r>
            <w:r w:rsidR="00AE5AA9">
              <w:rPr>
                <w:rFonts w:asciiTheme="minorHAnsi" w:eastAsia="Times New Roman" w:hAnsiTheme="minorHAnsi" w:cs="Arial"/>
                <w:b/>
                <w:bCs/>
                <w:sz w:val="20"/>
                <w:szCs w:val="20"/>
                <w:lang w:val="hr-HR"/>
              </w:rPr>
              <w:t>7</w:t>
            </w:r>
          </w:p>
        </w:tc>
        <w:tc>
          <w:tcPr>
            <w:tcW w:w="974" w:type="pct"/>
            <w:gridSpan w:val="2"/>
          </w:tcPr>
          <w:p w14:paraId="3FB50F9F" w14:textId="77777777" w:rsidR="0097118D" w:rsidRPr="0097118D" w:rsidRDefault="0097118D">
            <w:pPr>
              <w:tabs>
                <w:tab w:val="right" w:pos="1202"/>
              </w:tabs>
              <w:spacing w:after="0" w:line="240" w:lineRule="atLeast"/>
              <w:jc w:val="center"/>
              <w:outlineLvl w:val="0"/>
              <w:rPr>
                <w:rFonts w:eastAsia="Times New Roman" w:cs="Arial"/>
                <w:b/>
                <w:sz w:val="20"/>
                <w:szCs w:val="20"/>
              </w:rPr>
            </w:pPr>
            <w:r w:rsidRPr="0097118D">
              <w:rPr>
                <w:rFonts w:asciiTheme="minorHAnsi" w:eastAsia="Times New Roman" w:hAnsiTheme="minorHAnsi" w:cs="Arial"/>
                <w:b/>
                <w:bCs/>
                <w:sz w:val="20"/>
                <w:szCs w:val="20"/>
                <w:lang w:val="hr-HR"/>
              </w:rPr>
              <w:t>201</w:t>
            </w:r>
            <w:r w:rsidR="00AE5AA9">
              <w:rPr>
                <w:rFonts w:asciiTheme="minorHAnsi" w:eastAsia="Times New Roman" w:hAnsiTheme="minorHAnsi" w:cs="Arial"/>
                <w:b/>
                <w:bCs/>
                <w:sz w:val="20"/>
                <w:szCs w:val="20"/>
                <w:lang w:val="hr-HR"/>
              </w:rPr>
              <w:t>6</w:t>
            </w:r>
          </w:p>
        </w:tc>
        <w:tc>
          <w:tcPr>
            <w:tcW w:w="974" w:type="pct"/>
            <w:gridSpan w:val="2"/>
          </w:tcPr>
          <w:p w14:paraId="20251A29" w14:textId="77777777" w:rsidR="0097118D" w:rsidRPr="0097118D" w:rsidRDefault="0097118D">
            <w:pPr>
              <w:tabs>
                <w:tab w:val="right" w:pos="1202"/>
              </w:tabs>
              <w:spacing w:after="0" w:line="240" w:lineRule="atLeast"/>
              <w:jc w:val="center"/>
              <w:outlineLvl w:val="0"/>
              <w:rPr>
                <w:rFonts w:eastAsia="Times New Roman" w:cs="Arial"/>
                <w:b/>
                <w:sz w:val="20"/>
                <w:szCs w:val="20"/>
              </w:rPr>
            </w:pPr>
            <w:r w:rsidRPr="0097118D">
              <w:rPr>
                <w:rFonts w:asciiTheme="minorHAnsi" w:eastAsia="Times New Roman" w:hAnsiTheme="minorHAnsi" w:cs="Arial"/>
                <w:b/>
                <w:bCs/>
                <w:sz w:val="20"/>
                <w:szCs w:val="20"/>
                <w:lang w:val="hr-HR"/>
              </w:rPr>
              <w:t>201</w:t>
            </w:r>
            <w:r w:rsidR="00AE5AA9">
              <w:rPr>
                <w:rFonts w:asciiTheme="minorHAnsi" w:eastAsia="Times New Roman" w:hAnsiTheme="minorHAnsi" w:cs="Arial"/>
                <w:b/>
                <w:bCs/>
                <w:sz w:val="20"/>
                <w:szCs w:val="20"/>
                <w:lang w:val="hr-HR"/>
              </w:rPr>
              <w:t>7</w:t>
            </w:r>
          </w:p>
        </w:tc>
        <w:tc>
          <w:tcPr>
            <w:tcW w:w="974" w:type="pct"/>
            <w:gridSpan w:val="2"/>
          </w:tcPr>
          <w:p w14:paraId="4A6950BD" w14:textId="77777777" w:rsidR="0097118D" w:rsidRPr="0097118D" w:rsidRDefault="0097118D">
            <w:pPr>
              <w:tabs>
                <w:tab w:val="right" w:pos="1202"/>
              </w:tabs>
              <w:spacing w:after="0" w:line="240" w:lineRule="atLeast"/>
              <w:jc w:val="center"/>
              <w:outlineLvl w:val="0"/>
              <w:rPr>
                <w:rFonts w:eastAsia="Times New Roman" w:cs="Arial"/>
                <w:b/>
                <w:sz w:val="20"/>
                <w:szCs w:val="20"/>
              </w:rPr>
            </w:pPr>
            <w:r w:rsidRPr="0097118D">
              <w:rPr>
                <w:rFonts w:asciiTheme="minorHAnsi" w:eastAsia="Times New Roman" w:hAnsiTheme="minorHAnsi" w:cs="Arial"/>
                <w:b/>
                <w:bCs/>
                <w:sz w:val="20"/>
                <w:szCs w:val="20"/>
                <w:lang w:val="hr-HR"/>
              </w:rPr>
              <w:t>201</w:t>
            </w:r>
            <w:r w:rsidR="00AE5AA9">
              <w:rPr>
                <w:rFonts w:asciiTheme="minorHAnsi" w:eastAsia="Times New Roman" w:hAnsiTheme="minorHAnsi" w:cs="Arial"/>
                <w:b/>
                <w:bCs/>
                <w:sz w:val="20"/>
                <w:szCs w:val="20"/>
                <w:lang w:val="hr-HR"/>
              </w:rPr>
              <w:t>6</w:t>
            </w:r>
          </w:p>
        </w:tc>
      </w:tr>
      <w:tr w:rsidR="0097118D" w:rsidRPr="0097118D" w14:paraId="414D2C64" w14:textId="77777777" w:rsidTr="0013539B">
        <w:trPr>
          <w:trHeight w:val="763"/>
        </w:trPr>
        <w:tc>
          <w:tcPr>
            <w:tcW w:w="1104" w:type="pct"/>
          </w:tcPr>
          <w:p w14:paraId="73AA3D2B" w14:textId="77777777" w:rsidR="0097118D" w:rsidRPr="0097118D" w:rsidRDefault="0097118D" w:rsidP="0097118D">
            <w:pPr>
              <w:tabs>
                <w:tab w:val="right" w:pos="1202"/>
              </w:tabs>
              <w:spacing w:after="0" w:line="240" w:lineRule="atLeast"/>
              <w:outlineLvl w:val="0"/>
              <w:rPr>
                <w:rFonts w:eastAsia="Times New Roman" w:cs="Arial"/>
                <w:b/>
                <w:sz w:val="20"/>
                <w:szCs w:val="20"/>
              </w:rPr>
            </w:pPr>
          </w:p>
        </w:tc>
        <w:tc>
          <w:tcPr>
            <w:tcW w:w="487" w:type="pct"/>
            <w:vAlign w:val="center"/>
          </w:tcPr>
          <w:p w14:paraId="6084823A" w14:textId="77777777" w:rsidR="009A0DF2" w:rsidRPr="009A0DF2" w:rsidRDefault="0097118D" w:rsidP="009A0DF2">
            <w:pPr>
              <w:spacing w:after="0" w:line="240" w:lineRule="auto"/>
              <w:jc w:val="center"/>
              <w:outlineLvl w:val="0"/>
              <w:rPr>
                <w:rFonts w:eastAsia="Times New Roman" w:cs="Calibri"/>
                <w:bCs/>
                <w:sz w:val="20"/>
                <w:szCs w:val="20"/>
              </w:rPr>
            </w:pPr>
            <w:r w:rsidRPr="0097118D">
              <w:rPr>
                <w:rFonts w:eastAsia="Times New Roman" w:cs="Calibri"/>
                <w:bCs/>
                <w:sz w:val="20"/>
                <w:szCs w:val="20"/>
              </w:rPr>
              <w:t xml:space="preserve">Current period </w:t>
            </w:r>
            <w:r w:rsidR="009A0DF2" w:rsidRPr="009A0DF2">
              <w:rPr>
                <w:rFonts w:eastAsia="Times New Roman" w:cs="Calibri"/>
                <w:bCs/>
                <w:sz w:val="20"/>
                <w:szCs w:val="20"/>
              </w:rPr>
              <w:t xml:space="preserve">July 1 – </w:t>
            </w:r>
          </w:p>
          <w:p w14:paraId="53FDC1B2" w14:textId="069580CD" w:rsidR="0097118D" w:rsidRPr="0097118D" w:rsidRDefault="009A0DF2" w:rsidP="009A0DF2">
            <w:pPr>
              <w:spacing w:after="0" w:line="240" w:lineRule="auto"/>
              <w:jc w:val="center"/>
              <w:outlineLvl w:val="0"/>
              <w:rPr>
                <w:rFonts w:eastAsia="Times New Roman" w:cs="Calibri"/>
                <w:bCs/>
                <w:sz w:val="20"/>
                <w:szCs w:val="20"/>
              </w:rPr>
            </w:pPr>
            <w:r w:rsidRPr="009A0DF2">
              <w:rPr>
                <w:rFonts w:eastAsia="Times New Roman" w:cs="Calibri"/>
                <w:bCs/>
                <w:sz w:val="20"/>
                <w:szCs w:val="20"/>
              </w:rPr>
              <w:t>September 30</w:t>
            </w:r>
          </w:p>
        </w:tc>
        <w:tc>
          <w:tcPr>
            <w:tcW w:w="487" w:type="pct"/>
            <w:vAlign w:val="center"/>
          </w:tcPr>
          <w:p w14:paraId="48FCA9DF" w14:textId="77777777" w:rsidR="0097118D" w:rsidRPr="0097118D" w:rsidRDefault="0097118D" w:rsidP="0097118D">
            <w:pPr>
              <w:spacing w:after="0" w:line="240" w:lineRule="auto"/>
              <w:ind w:left="-120" w:firstLine="120"/>
              <w:jc w:val="center"/>
              <w:outlineLvl w:val="0"/>
              <w:rPr>
                <w:rFonts w:eastAsia="Times New Roman" w:cs="Calibri"/>
                <w:bCs/>
                <w:sz w:val="20"/>
                <w:szCs w:val="20"/>
              </w:rPr>
            </w:pPr>
            <w:r w:rsidRPr="0097118D">
              <w:rPr>
                <w:rFonts w:eastAsia="Times New Roman" w:cs="Calibri"/>
                <w:bCs/>
                <w:sz w:val="20"/>
                <w:szCs w:val="20"/>
              </w:rPr>
              <w:t>Cumulatively</w:t>
            </w:r>
          </w:p>
          <w:p w14:paraId="200DB28B" w14:textId="77777777" w:rsidR="0097118D" w:rsidRPr="0097118D" w:rsidRDefault="0097118D" w:rsidP="0097118D">
            <w:pPr>
              <w:spacing w:after="0" w:line="240" w:lineRule="auto"/>
              <w:jc w:val="center"/>
              <w:outlineLvl w:val="0"/>
              <w:rPr>
                <w:rFonts w:eastAsia="Times New Roman" w:cs="Calibri"/>
                <w:bCs/>
                <w:sz w:val="20"/>
                <w:szCs w:val="20"/>
              </w:rPr>
            </w:pPr>
            <w:r w:rsidRPr="0097118D">
              <w:rPr>
                <w:rFonts w:eastAsia="Times New Roman" w:cs="Calibri"/>
                <w:bCs/>
                <w:sz w:val="20"/>
                <w:szCs w:val="20"/>
              </w:rPr>
              <w:t>January 1 –</w:t>
            </w:r>
          </w:p>
          <w:p w14:paraId="488752DD" w14:textId="307AD9AB" w:rsidR="0097118D" w:rsidRPr="0097118D" w:rsidRDefault="009A0DF2" w:rsidP="0097118D">
            <w:pPr>
              <w:spacing w:after="0" w:line="240" w:lineRule="auto"/>
              <w:jc w:val="center"/>
              <w:outlineLvl w:val="0"/>
              <w:rPr>
                <w:rFonts w:eastAsia="Times New Roman" w:cs="Calibri"/>
                <w:bCs/>
                <w:sz w:val="20"/>
                <w:szCs w:val="20"/>
              </w:rPr>
            </w:pPr>
            <w:r w:rsidRPr="009A0DF2">
              <w:rPr>
                <w:rFonts w:eastAsia="Times New Roman" w:cs="Calibri"/>
                <w:bCs/>
                <w:sz w:val="20"/>
                <w:szCs w:val="20"/>
              </w:rPr>
              <w:t>September</w:t>
            </w:r>
            <w:r w:rsidRPr="009A0DF2" w:rsidDel="009A0DF2">
              <w:rPr>
                <w:rFonts w:eastAsia="Times New Roman" w:cs="Calibri"/>
                <w:bCs/>
                <w:sz w:val="20"/>
                <w:szCs w:val="20"/>
              </w:rPr>
              <w:t xml:space="preserve"> </w:t>
            </w:r>
            <w:r w:rsidR="0097118D" w:rsidRPr="0097118D">
              <w:rPr>
                <w:rFonts w:eastAsia="Times New Roman" w:cs="Calibri"/>
                <w:bCs/>
                <w:sz w:val="20"/>
                <w:szCs w:val="20"/>
              </w:rPr>
              <w:t>30</w:t>
            </w:r>
          </w:p>
        </w:tc>
        <w:tc>
          <w:tcPr>
            <w:tcW w:w="487" w:type="pct"/>
            <w:vAlign w:val="center"/>
          </w:tcPr>
          <w:p w14:paraId="42956261" w14:textId="77777777" w:rsidR="009A0DF2" w:rsidRPr="009A0DF2" w:rsidRDefault="0097118D" w:rsidP="009A0DF2">
            <w:pPr>
              <w:spacing w:after="0" w:line="240" w:lineRule="auto"/>
              <w:jc w:val="center"/>
              <w:outlineLvl w:val="0"/>
              <w:rPr>
                <w:rFonts w:eastAsia="Times New Roman" w:cs="Calibri"/>
                <w:bCs/>
                <w:sz w:val="20"/>
                <w:szCs w:val="20"/>
              </w:rPr>
            </w:pPr>
            <w:r w:rsidRPr="0097118D">
              <w:rPr>
                <w:rFonts w:eastAsia="Times New Roman" w:cs="Calibri"/>
                <w:bCs/>
                <w:sz w:val="20"/>
                <w:szCs w:val="20"/>
              </w:rPr>
              <w:t xml:space="preserve">Current period </w:t>
            </w:r>
            <w:r w:rsidR="009A0DF2" w:rsidRPr="009A0DF2">
              <w:rPr>
                <w:rFonts w:eastAsia="Times New Roman" w:cs="Calibri"/>
                <w:bCs/>
                <w:sz w:val="20"/>
                <w:szCs w:val="20"/>
              </w:rPr>
              <w:t xml:space="preserve">July 1 – </w:t>
            </w:r>
          </w:p>
          <w:p w14:paraId="58663461" w14:textId="3A1EC92A" w:rsidR="0097118D" w:rsidRPr="0097118D" w:rsidRDefault="009A0DF2" w:rsidP="009A0DF2">
            <w:pPr>
              <w:spacing w:after="0" w:line="240" w:lineRule="auto"/>
              <w:jc w:val="center"/>
              <w:outlineLvl w:val="0"/>
              <w:rPr>
                <w:rFonts w:eastAsia="Times New Roman" w:cs="Calibri"/>
                <w:bCs/>
                <w:sz w:val="20"/>
                <w:szCs w:val="20"/>
              </w:rPr>
            </w:pPr>
            <w:r w:rsidRPr="009A0DF2">
              <w:rPr>
                <w:rFonts w:eastAsia="Times New Roman" w:cs="Calibri"/>
                <w:bCs/>
                <w:sz w:val="20"/>
                <w:szCs w:val="20"/>
              </w:rPr>
              <w:t>September 30</w:t>
            </w:r>
          </w:p>
        </w:tc>
        <w:tc>
          <w:tcPr>
            <w:tcW w:w="487" w:type="pct"/>
            <w:vAlign w:val="center"/>
          </w:tcPr>
          <w:p w14:paraId="63F4467A" w14:textId="77777777" w:rsidR="0097118D" w:rsidRPr="0097118D" w:rsidRDefault="0097118D" w:rsidP="0097118D">
            <w:pPr>
              <w:spacing w:after="0" w:line="240" w:lineRule="auto"/>
              <w:ind w:left="-120" w:firstLine="120"/>
              <w:jc w:val="center"/>
              <w:outlineLvl w:val="0"/>
              <w:rPr>
                <w:rFonts w:eastAsia="Times New Roman" w:cs="Calibri"/>
                <w:bCs/>
                <w:sz w:val="20"/>
                <w:szCs w:val="20"/>
              </w:rPr>
            </w:pPr>
            <w:r w:rsidRPr="0097118D">
              <w:rPr>
                <w:rFonts w:eastAsia="Times New Roman" w:cs="Calibri"/>
                <w:bCs/>
                <w:sz w:val="20"/>
                <w:szCs w:val="20"/>
              </w:rPr>
              <w:t>Cumulatively</w:t>
            </w:r>
          </w:p>
          <w:p w14:paraId="2D409CF9" w14:textId="77777777" w:rsidR="0097118D" w:rsidRPr="0097118D" w:rsidRDefault="0097118D" w:rsidP="0097118D">
            <w:pPr>
              <w:spacing w:after="0" w:line="240" w:lineRule="auto"/>
              <w:jc w:val="center"/>
              <w:outlineLvl w:val="0"/>
              <w:rPr>
                <w:rFonts w:eastAsia="Times New Roman" w:cs="Calibri"/>
                <w:bCs/>
                <w:sz w:val="20"/>
                <w:szCs w:val="20"/>
              </w:rPr>
            </w:pPr>
            <w:r w:rsidRPr="0097118D">
              <w:rPr>
                <w:rFonts w:eastAsia="Times New Roman" w:cs="Calibri"/>
                <w:bCs/>
                <w:sz w:val="20"/>
                <w:szCs w:val="20"/>
              </w:rPr>
              <w:t>January 1 –</w:t>
            </w:r>
          </w:p>
          <w:p w14:paraId="22D2D074" w14:textId="4A183051" w:rsidR="0097118D" w:rsidRPr="0097118D" w:rsidRDefault="009A0DF2" w:rsidP="0097118D">
            <w:pPr>
              <w:spacing w:after="0" w:line="240" w:lineRule="auto"/>
              <w:ind w:left="-122" w:firstLine="122"/>
              <w:jc w:val="center"/>
              <w:outlineLvl w:val="0"/>
              <w:rPr>
                <w:rFonts w:eastAsia="Times New Roman" w:cs="Calibri"/>
                <w:bCs/>
                <w:sz w:val="20"/>
                <w:szCs w:val="20"/>
              </w:rPr>
            </w:pPr>
            <w:r w:rsidRPr="009A0DF2">
              <w:rPr>
                <w:rFonts w:eastAsia="Times New Roman" w:cs="Calibri"/>
                <w:bCs/>
                <w:sz w:val="20"/>
                <w:szCs w:val="20"/>
              </w:rPr>
              <w:t>September</w:t>
            </w:r>
            <w:r w:rsidR="0097118D" w:rsidRPr="0097118D">
              <w:rPr>
                <w:rFonts w:eastAsia="Times New Roman" w:cs="Calibri"/>
                <w:bCs/>
                <w:sz w:val="20"/>
                <w:szCs w:val="20"/>
              </w:rPr>
              <w:t xml:space="preserve"> 30</w:t>
            </w:r>
          </w:p>
        </w:tc>
        <w:tc>
          <w:tcPr>
            <w:tcW w:w="487" w:type="pct"/>
            <w:vAlign w:val="center"/>
          </w:tcPr>
          <w:p w14:paraId="7559CBF2" w14:textId="77777777" w:rsidR="009A0DF2" w:rsidRPr="009A0DF2" w:rsidRDefault="0097118D" w:rsidP="009A0DF2">
            <w:pPr>
              <w:spacing w:after="0" w:line="240" w:lineRule="auto"/>
              <w:jc w:val="center"/>
              <w:outlineLvl w:val="0"/>
              <w:rPr>
                <w:rFonts w:eastAsia="Times New Roman" w:cs="Calibri"/>
                <w:bCs/>
                <w:sz w:val="20"/>
                <w:szCs w:val="20"/>
              </w:rPr>
            </w:pPr>
            <w:r w:rsidRPr="0097118D">
              <w:rPr>
                <w:rFonts w:eastAsia="Times New Roman" w:cs="Calibri"/>
                <w:bCs/>
                <w:sz w:val="20"/>
                <w:szCs w:val="20"/>
              </w:rPr>
              <w:t xml:space="preserve">Current period </w:t>
            </w:r>
            <w:r w:rsidR="009A0DF2" w:rsidRPr="009A0DF2">
              <w:rPr>
                <w:rFonts w:eastAsia="Times New Roman" w:cs="Calibri"/>
                <w:bCs/>
                <w:sz w:val="20"/>
                <w:szCs w:val="20"/>
              </w:rPr>
              <w:t xml:space="preserve">July 1 – </w:t>
            </w:r>
          </w:p>
          <w:p w14:paraId="1AD4A714" w14:textId="24C48FBD" w:rsidR="0097118D" w:rsidRPr="0097118D" w:rsidRDefault="009A0DF2" w:rsidP="009A0DF2">
            <w:pPr>
              <w:spacing w:after="0" w:line="240" w:lineRule="auto"/>
              <w:jc w:val="center"/>
              <w:outlineLvl w:val="0"/>
              <w:rPr>
                <w:rFonts w:eastAsia="Times New Roman" w:cs="Calibri"/>
                <w:bCs/>
                <w:sz w:val="20"/>
                <w:szCs w:val="20"/>
              </w:rPr>
            </w:pPr>
            <w:r w:rsidRPr="009A0DF2">
              <w:rPr>
                <w:rFonts w:eastAsia="Times New Roman" w:cs="Calibri"/>
                <w:bCs/>
                <w:sz w:val="20"/>
                <w:szCs w:val="20"/>
              </w:rPr>
              <w:t>September 30</w:t>
            </w:r>
          </w:p>
        </w:tc>
        <w:tc>
          <w:tcPr>
            <w:tcW w:w="487" w:type="pct"/>
            <w:vAlign w:val="center"/>
          </w:tcPr>
          <w:p w14:paraId="6B1A5B44" w14:textId="77777777" w:rsidR="0097118D" w:rsidRPr="0097118D" w:rsidRDefault="0097118D" w:rsidP="0097118D">
            <w:pPr>
              <w:spacing w:after="0" w:line="240" w:lineRule="auto"/>
              <w:ind w:left="-120" w:firstLine="120"/>
              <w:jc w:val="center"/>
              <w:outlineLvl w:val="0"/>
              <w:rPr>
                <w:rFonts w:eastAsia="Times New Roman" w:cs="Calibri"/>
                <w:bCs/>
                <w:sz w:val="20"/>
                <w:szCs w:val="20"/>
              </w:rPr>
            </w:pPr>
            <w:r w:rsidRPr="0097118D">
              <w:rPr>
                <w:rFonts w:eastAsia="Times New Roman" w:cs="Calibri"/>
                <w:bCs/>
                <w:sz w:val="20"/>
                <w:szCs w:val="20"/>
              </w:rPr>
              <w:t>Cumulatively</w:t>
            </w:r>
          </w:p>
          <w:p w14:paraId="6D2C37F6" w14:textId="77777777" w:rsidR="0097118D" w:rsidRPr="0097118D" w:rsidRDefault="0097118D" w:rsidP="0097118D">
            <w:pPr>
              <w:spacing w:after="0" w:line="240" w:lineRule="auto"/>
              <w:jc w:val="center"/>
              <w:outlineLvl w:val="0"/>
              <w:rPr>
                <w:rFonts w:eastAsia="Times New Roman" w:cs="Calibri"/>
                <w:bCs/>
                <w:sz w:val="20"/>
                <w:szCs w:val="20"/>
              </w:rPr>
            </w:pPr>
            <w:r w:rsidRPr="0097118D">
              <w:rPr>
                <w:rFonts w:eastAsia="Times New Roman" w:cs="Calibri"/>
                <w:bCs/>
                <w:sz w:val="20"/>
                <w:szCs w:val="20"/>
              </w:rPr>
              <w:t>January 1 –</w:t>
            </w:r>
          </w:p>
          <w:p w14:paraId="546BC6BC" w14:textId="23CB09C1" w:rsidR="0097118D" w:rsidRPr="0097118D" w:rsidRDefault="009A0DF2" w:rsidP="0097118D">
            <w:pPr>
              <w:spacing w:after="0" w:line="240" w:lineRule="auto"/>
              <w:jc w:val="center"/>
              <w:outlineLvl w:val="0"/>
              <w:rPr>
                <w:rFonts w:eastAsia="Times New Roman" w:cs="Calibri"/>
                <w:bCs/>
                <w:sz w:val="20"/>
                <w:szCs w:val="20"/>
              </w:rPr>
            </w:pPr>
            <w:r w:rsidRPr="009A0DF2">
              <w:rPr>
                <w:rFonts w:eastAsia="Times New Roman" w:cs="Calibri"/>
                <w:bCs/>
                <w:sz w:val="20"/>
                <w:szCs w:val="20"/>
              </w:rPr>
              <w:t>September</w:t>
            </w:r>
            <w:r w:rsidR="0097118D" w:rsidRPr="0097118D">
              <w:rPr>
                <w:rFonts w:eastAsia="Times New Roman" w:cs="Calibri"/>
                <w:bCs/>
                <w:sz w:val="20"/>
                <w:szCs w:val="20"/>
              </w:rPr>
              <w:t xml:space="preserve"> 30</w:t>
            </w:r>
          </w:p>
        </w:tc>
        <w:tc>
          <w:tcPr>
            <w:tcW w:w="487" w:type="pct"/>
            <w:vAlign w:val="center"/>
          </w:tcPr>
          <w:p w14:paraId="6B944338" w14:textId="77777777" w:rsidR="009A0DF2" w:rsidRPr="009A0DF2" w:rsidRDefault="0097118D" w:rsidP="009A0DF2">
            <w:pPr>
              <w:spacing w:after="0" w:line="240" w:lineRule="auto"/>
              <w:jc w:val="center"/>
              <w:outlineLvl w:val="0"/>
              <w:rPr>
                <w:rFonts w:eastAsia="Times New Roman" w:cs="Calibri"/>
                <w:bCs/>
                <w:sz w:val="20"/>
                <w:szCs w:val="20"/>
              </w:rPr>
            </w:pPr>
            <w:r w:rsidRPr="0097118D">
              <w:rPr>
                <w:rFonts w:eastAsia="Times New Roman" w:cs="Calibri"/>
                <w:bCs/>
                <w:sz w:val="20"/>
                <w:szCs w:val="20"/>
              </w:rPr>
              <w:t xml:space="preserve">Current period </w:t>
            </w:r>
            <w:r w:rsidR="009A0DF2" w:rsidRPr="009A0DF2">
              <w:rPr>
                <w:rFonts w:eastAsia="Times New Roman" w:cs="Calibri"/>
                <w:bCs/>
                <w:sz w:val="20"/>
                <w:szCs w:val="20"/>
              </w:rPr>
              <w:t xml:space="preserve">July 1 – </w:t>
            </w:r>
          </w:p>
          <w:p w14:paraId="26DFCF67" w14:textId="6E8C84B8" w:rsidR="0097118D" w:rsidRPr="0097118D" w:rsidRDefault="009A0DF2" w:rsidP="009A0DF2">
            <w:pPr>
              <w:spacing w:after="0" w:line="240" w:lineRule="auto"/>
              <w:jc w:val="center"/>
              <w:outlineLvl w:val="0"/>
              <w:rPr>
                <w:rFonts w:eastAsia="Times New Roman" w:cs="Calibri"/>
                <w:bCs/>
                <w:sz w:val="20"/>
                <w:szCs w:val="20"/>
              </w:rPr>
            </w:pPr>
            <w:r w:rsidRPr="009A0DF2">
              <w:rPr>
                <w:rFonts w:eastAsia="Times New Roman" w:cs="Calibri"/>
                <w:bCs/>
                <w:sz w:val="20"/>
                <w:szCs w:val="20"/>
              </w:rPr>
              <w:t>September 30</w:t>
            </w:r>
          </w:p>
        </w:tc>
        <w:tc>
          <w:tcPr>
            <w:tcW w:w="487" w:type="pct"/>
            <w:vAlign w:val="center"/>
          </w:tcPr>
          <w:p w14:paraId="73246015" w14:textId="77777777" w:rsidR="0097118D" w:rsidRPr="0097118D" w:rsidRDefault="0097118D" w:rsidP="0097118D">
            <w:pPr>
              <w:spacing w:after="0" w:line="240" w:lineRule="auto"/>
              <w:ind w:left="-120" w:right="-129" w:firstLine="120"/>
              <w:jc w:val="center"/>
              <w:outlineLvl w:val="0"/>
              <w:rPr>
                <w:rFonts w:eastAsia="Times New Roman" w:cs="Calibri"/>
                <w:bCs/>
                <w:sz w:val="20"/>
                <w:szCs w:val="20"/>
              </w:rPr>
            </w:pPr>
            <w:r w:rsidRPr="0097118D">
              <w:rPr>
                <w:rFonts w:eastAsia="Times New Roman" w:cs="Calibri"/>
                <w:bCs/>
                <w:sz w:val="20"/>
                <w:szCs w:val="20"/>
              </w:rPr>
              <w:t>Cumulatively</w:t>
            </w:r>
          </w:p>
          <w:p w14:paraId="5586F246" w14:textId="77777777" w:rsidR="0097118D" w:rsidRPr="0097118D" w:rsidRDefault="0097118D" w:rsidP="0097118D">
            <w:pPr>
              <w:spacing w:after="0" w:line="240" w:lineRule="auto"/>
              <w:jc w:val="center"/>
              <w:outlineLvl w:val="0"/>
              <w:rPr>
                <w:rFonts w:eastAsia="Times New Roman" w:cs="Calibri"/>
                <w:bCs/>
                <w:sz w:val="20"/>
                <w:szCs w:val="20"/>
              </w:rPr>
            </w:pPr>
            <w:r w:rsidRPr="0097118D">
              <w:rPr>
                <w:rFonts w:eastAsia="Times New Roman" w:cs="Calibri"/>
                <w:bCs/>
                <w:sz w:val="20"/>
                <w:szCs w:val="20"/>
              </w:rPr>
              <w:t>January 1 –</w:t>
            </w:r>
          </w:p>
          <w:p w14:paraId="35094FF5" w14:textId="1FCC6B66" w:rsidR="0097118D" w:rsidRPr="0097118D" w:rsidRDefault="009A0DF2" w:rsidP="0097118D">
            <w:pPr>
              <w:spacing w:after="0" w:line="240" w:lineRule="auto"/>
              <w:jc w:val="center"/>
              <w:outlineLvl w:val="0"/>
              <w:rPr>
                <w:rFonts w:eastAsia="Times New Roman" w:cs="Calibri"/>
                <w:bCs/>
                <w:sz w:val="20"/>
                <w:szCs w:val="20"/>
              </w:rPr>
            </w:pPr>
            <w:r w:rsidRPr="009A0DF2">
              <w:rPr>
                <w:rFonts w:eastAsia="Times New Roman" w:cs="Calibri"/>
                <w:bCs/>
                <w:sz w:val="20"/>
                <w:szCs w:val="20"/>
              </w:rPr>
              <w:t>September</w:t>
            </w:r>
            <w:r w:rsidR="0097118D" w:rsidRPr="0097118D">
              <w:rPr>
                <w:rFonts w:eastAsia="Times New Roman" w:cs="Calibri"/>
                <w:bCs/>
                <w:sz w:val="20"/>
                <w:szCs w:val="20"/>
              </w:rPr>
              <w:t xml:space="preserve"> 30</w:t>
            </w:r>
          </w:p>
        </w:tc>
      </w:tr>
      <w:tr w:rsidR="00CC6DE9" w:rsidRPr="0097118D" w14:paraId="569779BA" w14:textId="77777777" w:rsidTr="006B318F">
        <w:trPr>
          <w:trHeight w:hRule="exact" w:val="494"/>
        </w:trPr>
        <w:tc>
          <w:tcPr>
            <w:tcW w:w="1104" w:type="pct"/>
            <w:vAlign w:val="bottom"/>
          </w:tcPr>
          <w:p w14:paraId="48ACCF9F" w14:textId="77777777" w:rsidR="00CC6DE9" w:rsidRPr="0097118D" w:rsidRDefault="00CC6DE9" w:rsidP="00CC6DE9">
            <w:pPr>
              <w:tabs>
                <w:tab w:val="left" w:pos="-720"/>
              </w:tabs>
              <w:suppressAutoHyphens/>
              <w:spacing w:after="0" w:line="240" w:lineRule="auto"/>
              <w:rPr>
                <w:rFonts w:eastAsia="Times New Roman" w:cs="Arial"/>
                <w:bCs/>
                <w:spacing w:val="-3"/>
                <w:sz w:val="20"/>
                <w:szCs w:val="20"/>
                <w:lang w:val="hr-HR"/>
              </w:rPr>
            </w:pPr>
            <w:r w:rsidRPr="0097118D">
              <w:rPr>
                <w:rFonts w:eastAsia="Times New Roman" w:cs="Arial"/>
                <w:sz w:val="20"/>
                <w:szCs w:val="20"/>
              </w:rPr>
              <w:t>Impairment losses on cash on hand and due from banks</w:t>
            </w:r>
          </w:p>
        </w:tc>
        <w:tc>
          <w:tcPr>
            <w:tcW w:w="487" w:type="pct"/>
            <w:tcBorders>
              <w:top w:val="nil"/>
              <w:left w:val="nil"/>
              <w:bottom w:val="nil"/>
              <w:right w:val="nil"/>
            </w:tcBorders>
            <w:shd w:val="clear" w:color="auto" w:fill="auto"/>
            <w:vAlign w:val="bottom"/>
          </w:tcPr>
          <w:p w14:paraId="28A5D1B1" w14:textId="0040F8E8" w:rsidR="00CC6DE9" w:rsidRPr="0097118D" w:rsidRDefault="00CC6DE9" w:rsidP="00CC6DE9">
            <w:pPr>
              <w:tabs>
                <w:tab w:val="left" w:pos="-720"/>
              </w:tabs>
              <w:suppressAutoHyphens/>
              <w:spacing w:after="0" w:line="280" w:lineRule="exact"/>
              <w:jc w:val="right"/>
              <w:rPr>
                <w:rFonts w:eastAsia="Times New Roman" w:cs="Arial"/>
                <w:bCs/>
                <w:spacing w:val="-3"/>
                <w:sz w:val="20"/>
                <w:szCs w:val="20"/>
              </w:rPr>
            </w:pPr>
            <w:r w:rsidRPr="006B318F">
              <w:rPr>
                <w:rFonts w:eastAsia="Times New Roman" w:cs="Arial"/>
                <w:bCs/>
                <w:spacing w:val="-3"/>
                <w:sz w:val="20"/>
                <w:szCs w:val="20"/>
              </w:rPr>
              <w:t xml:space="preserve"> 1,769 </w:t>
            </w:r>
          </w:p>
        </w:tc>
        <w:tc>
          <w:tcPr>
            <w:tcW w:w="487" w:type="pct"/>
            <w:tcBorders>
              <w:top w:val="nil"/>
              <w:left w:val="nil"/>
              <w:bottom w:val="nil"/>
              <w:right w:val="nil"/>
            </w:tcBorders>
            <w:shd w:val="clear" w:color="auto" w:fill="auto"/>
            <w:vAlign w:val="bottom"/>
          </w:tcPr>
          <w:p w14:paraId="7C6A3F5A" w14:textId="57998F62" w:rsidR="00CC6DE9" w:rsidRPr="0097118D" w:rsidRDefault="00CC6DE9" w:rsidP="00CC6DE9">
            <w:pPr>
              <w:tabs>
                <w:tab w:val="left" w:pos="-720"/>
              </w:tabs>
              <w:suppressAutoHyphens/>
              <w:spacing w:after="0" w:line="280" w:lineRule="exact"/>
              <w:jc w:val="right"/>
              <w:rPr>
                <w:rFonts w:eastAsia="Times New Roman" w:cs="Arial"/>
                <w:bCs/>
                <w:spacing w:val="-3"/>
                <w:sz w:val="20"/>
                <w:szCs w:val="20"/>
              </w:rPr>
            </w:pPr>
            <w:r w:rsidRPr="006B318F">
              <w:rPr>
                <w:rFonts w:eastAsia="Times New Roman" w:cs="Arial"/>
                <w:bCs/>
                <w:spacing w:val="-3"/>
                <w:sz w:val="20"/>
                <w:szCs w:val="20"/>
              </w:rPr>
              <w:t xml:space="preserve"> 557 </w:t>
            </w:r>
          </w:p>
        </w:tc>
        <w:tc>
          <w:tcPr>
            <w:tcW w:w="487" w:type="pct"/>
            <w:tcBorders>
              <w:top w:val="nil"/>
              <w:left w:val="nil"/>
              <w:bottom w:val="nil"/>
              <w:right w:val="nil"/>
            </w:tcBorders>
            <w:shd w:val="clear" w:color="auto" w:fill="auto"/>
            <w:vAlign w:val="bottom"/>
          </w:tcPr>
          <w:p w14:paraId="130D478D" w14:textId="391E77CC" w:rsidR="00CC6DE9" w:rsidRPr="0097118D" w:rsidRDefault="00CC6DE9" w:rsidP="00CC6DE9">
            <w:pPr>
              <w:tabs>
                <w:tab w:val="left" w:pos="-720"/>
              </w:tabs>
              <w:suppressAutoHyphens/>
              <w:spacing w:after="0" w:line="280" w:lineRule="exact"/>
              <w:jc w:val="right"/>
              <w:rPr>
                <w:rFonts w:eastAsia="Times New Roman" w:cs="Arial"/>
                <w:bCs/>
                <w:spacing w:val="-3"/>
                <w:sz w:val="20"/>
                <w:szCs w:val="20"/>
              </w:rPr>
            </w:pPr>
            <w:r w:rsidRPr="006B318F">
              <w:rPr>
                <w:rFonts w:eastAsia="Times New Roman" w:cs="Arial"/>
                <w:bCs/>
                <w:spacing w:val="-3"/>
                <w:sz w:val="20"/>
                <w:szCs w:val="20"/>
              </w:rPr>
              <w:t>3,148</w:t>
            </w:r>
          </w:p>
        </w:tc>
        <w:tc>
          <w:tcPr>
            <w:tcW w:w="487" w:type="pct"/>
            <w:tcBorders>
              <w:top w:val="nil"/>
              <w:left w:val="nil"/>
              <w:bottom w:val="nil"/>
              <w:right w:val="nil"/>
            </w:tcBorders>
            <w:shd w:val="clear" w:color="auto" w:fill="auto"/>
            <w:vAlign w:val="bottom"/>
          </w:tcPr>
          <w:p w14:paraId="7F7E9667" w14:textId="60E6A320" w:rsidR="00CC6DE9" w:rsidRPr="0097118D" w:rsidRDefault="00CC6DE9" w:rsidP="00CC6DE9">
            <w:pPr>
              <w:tabs>
                <w:tab w:val="left" w:pos="-720"/>
              </w:tabs>
              <w:suppressAutoHyphens/>
              <w:spacing w:after="0" w:line="280" w:lineRule="exact"/>
              <w:jc w:val="right"/>
              <w:rPr>
                <w:rFonts w:eastAsia="Times New Roman" w:cs="Arial"/>
                <w:bCs/>
                <w:spacing w:val="-3"/>
                <w:sz w:val="20"/>
                <w:szCs w:val="20"/>
              </w:rPr>
            </w:pPr>
            <w:r w:rsidRPr="006B318F">
              <w:rPr>
                <w:rFonts w:eastAsia="Times New Roman" w:cs="Arial"/>
                <w:bCs/>
                <w:spacing w:val="-3"/>
                <w:sz w:val="20"/>
                <w:szCs w:val="20"/>
              </w:rPr>
              <w:t>2,356</w:t>
            </w:r>
          </w:p>
        </w:tc>
        <w:tc>
          <w:tcPr>
            <w:tcW w:w="487" w:type="pct"/>
            <w:tcBorders>
              <w:top w:val="nil"/>
              <w:left w:val="nil"/>
              <w:bottom w:val="nil"/>
              <w:right w:val="nil"/>
            </w:tcBorders>
            <w:shd w:val="clear" w:color="auto" w:fill="auto"/>
            <w:vAlign w:val="bottom"/>
          </w:tcPr>
          <w:p w14:paraId="365CF7BD" w14:textId="0B0CF08C" w:rsidR="00CC6DE9" w:rsidRPr="0097118D" w:rsidRDefault="00CC6DE9" w:rsidP="00CC6DE9">
            <w:pPr>
              <w:tabs>
                <w:tab w:val="right" w:pos="1202"/>
              </w:tabs>
              <w:spacing w:after="0" w:line="240" w:lineRule="exact"/>
              <w:jc w:val="right"/>
              <w:outlineLvl w:val="0"/>
              <w:rPr>
                <w:rFonts w:eastAsia="Times New Roman" w:cs="Arial"/>
                <w:sz w:val="20"/>
                <w:szCs w:val="20"/>
              </w:rPr>
            </w:pPr>
            <w:r w:rsidRPr="006B318F">
              <w:rPr>
                <w:rFonts w:eastAsia="Times New Roman" w:cs="Arial"/>
                <w:sz w:val="20"/>
                <w:szCs w:val="20"/>
              </w:rPr>
              <w:t xml:space="preserve"> 1,769 </w:t>
            </w:r>
          </w:p>
        </w:tc>
        <w:tc>
          <w:tcPr>
            <w:tcW w:w="487" w:type="pct"/>
            <w:tcBorders>
              <w:top w:val="nil"/>
              <w:left w:val="nil"/>
              <w:bottom w:val="nil"/>
              <w:right w:val="nil"/>
            </w:tcBorders>
            <w:shd w:val="clear" w:color="auto" w:fill="auto"/>
            <w:vAlign w:val="bottom"/>
          </w:tcPr>
          <w:p w14:paraId="2798CD20" w14:textId="0A74F03F" w:rsidR="00CC6DE9" w:rsidRPr="0097118D" w:rsidRDefault="00CC6DE9" w:rsidP="00CC6DE9">
            <w:pPr>
              <w:tabs>
                <w:tab w:val="right" w:pos="1202"/>
              </w:tabs>
              <w:spacing w:after="0" w:line="240" w:lineRule="exact"/>
              <w:jc w:val="right"/>
              <w:outlineLvl w:val="0"/>
              <w:rPr>
                <w:rFonts w:eastAsia="Times New Roman" w:cs="Arial"/>
                <w:sz w:val="20"/>
                <w:szCs w:val="20"/>
              </w:rPr>
            </w:pPr>
            <w:r w:rsidRPr="006B318F">
              <w:rPr>
                <w:rFonts w:eastAsia="Times New Roman" w:cs="Arial"/>
                <w:sz w:val="20"/>
                <w:szCs w:val="20"/>
              </w:rPr>
              <w:t xml:space="preserve"> 557 </w:t>
            </w:r>
          </w:p>
        </w:tc>
        <w:tc>
          <w:tcPr>
            <w:tcW w:w="487" w:type="pct"/>
            <w:tcBorders>
              <w:top w:val="nil"/>
              <w:left w:val="nil"/>
              <w:bottom w:val="nil"/>
              <w:right w:val="nil"/>
            </w:tcBorders>
            <w:shd w:val="clear" w:color="auto" w:fill="auto"/>
            <w:vAlign w:val="bottom"/>
          </w:tcPr>
          <w:p w14:paraId="2C0218B2" w14:textId="43315C01" w:rsidR="00CC6DE9" w:rsidRPr="006B318F" w:rsidRDefault="00CC6DE9" w:rsidP="00CC6DE9">
            <w:pPr>
              <w:tabs>
                <w:tab w:val="right" w:pos="1202"/>
              </w:tabs>
              <w:spacing w:after="0" w:line="240" w:lineRule="exact"/>
              <w:jc w:val="right"/>
              <w:outlineLvl w:val="0"/>
              <w:rPr>
                <w:rFonts w:eastAsia="Times New Roman" w:cs="Arial"/>
                <w:sz w:val="20"/>
                <w:szCs w:val="20"/>
              </w:rPr>
            </w:pPr>
            <w:r w:rsidRPr="006B318F">
              <w:rPr>
                <w:rFonts w:eastAsia="Times New Roman" w:cs="Arial"/>
                <w:sz w:val="20"/>
                <w:szCs w:val="20"/>
              </w:rPr>
              <w:t>3,148</w:t>
            </w:r>
          </w:p>
        </w:tc>
        <w:tc>
          <w:tcPr>
            <w:tcW w:w="487" w:type="pct"/>
            <w:tcBorders>
              <w:top w:val="nil"/>
              <w:left w:val="nil"/>
              <w:bottom w:val="nil"/>
              <w:right w:val="nil"/>
            </w:tcBorders>
            <w:shd w:val="clear" w:color="auto" w:fill="auto"/>
            <w:vAlign w:val="bottom"/>
          </w:tcPr>
          <w:p w14:paraId="677A36DC" w14:textId="57A37844" w:rsidR="00CC6DE9" w:rsidRPr="006B318F" w:rsidRDefault="00CC6DE9" w:rsidP="00CC6DE9">
            <w:pPr>
              <w:tabs>
                <w:tab w:val="right" w:pos="1202"/>
              </w:tabs>
              <w:spacing w:after="0" w:line="240" w:lineRule="exact"/>
              <w:jc w:val="right"/>
              <w:outlineLvl w:val="0"/>
              <w:rPr>
                <w:rFonts w:eastAsia="Times New Roman" w:cs="Arial"/>
                <w:sz w:val="20"/>
                <w:szCs w:val="20"/>
              </w:rPr>
            </w:pPr>
            <w:r w:rsidRPr="006B318F">
              <w:rPr>
                <w:rFonts w:eastAsia="Times New Roman" w:cs="Arial"/>
                <w:sz w:val="20"/>
                <w:szCs w:val="20"/>
              </w:rPr>
              <w:t>2,356</w:t>
            </w:r>
          </w:p>
        </w:tc>
      </w:tr>
      <w:tr w:rsidR="00CC6DE9" w:rsidRPr="0097118D" w14:paraId="3E4B78A2" w14:textId="77777777" w:rsidTr="006B318F">
        <w:trPr>
          <w:trHeight w:hRule="exact" w:val="558"/>
        </w:trPr>
        <w:tc>
          <w:tcPr>
            <w:tcW w:w="1104" w:type="pct"/>
            <w:vAlign w:val="bottom"/>
          </w:tcPr>
          <w:p w14:paraId="0C25AC51" w14:textId="77777777" w:rsidR="00CC6DE9" w:rsidRPr="0097118D" w:rsidRDefault="00CC6DE9" w:rsidP="00CC6DE9">
            <w:pPr>
              <w:tabs>
                <w:tab w:val="left" w:pos="-720"/>
              </w:tabs>
              <w:suppressAutoHyphens/>
              <w:spacing w:after="0" w:line="240" w:lineRule="auto"/>
              <w:rPr>
                <w:rFonts w:eastAsia="Times New Roman" w:cs="Arial"/>
                <w:bCs/>
                <w:spacing w:val="-3"/>
                <w:sz w:val="20"/>
                <w:szCs w:val="20"/>
                <w:lang w:val="hr-HR"/>
              </w:rPr>
            </w:pPr>
            <w:r w:rsidRPr="0097118D">
              <w:rPr>
                <w:rFonts w:eastAsia="Times New Roman" w:cs="Arial"/>
                <w:sz w:val="20"/>
                <w:szCs w:val="20"/>
              </w:rPr>
              <w:t>Impairment losses on deposits with other banks</w:t>
            </w:r>
          </w:p>
        </w:tc>
        <w:tc>
          <w:tcPr>
            <w:tcW w:w="487" w:type="pct"/>
            <w:tcBorders>
              <w:top w:val="nil"/>
              <w:left w:val="nil"/>
              <w:bottom w:val="nil"/>
              <w:right w:val="nil"/>
            </w:tcBorders>
            <w:shd w:val="clear" w:color="auto" w:fill="auto"/>
            <w:vAlign w:val="bottom"/>
          </w:tcPr>
          <w:p w14:paraId="1C504771" w14:textId="3549A3BE" w:rsidR="00CC6DE9" w:rsidRPr="0097118D" w:rsidRDefault="00CC6DE9" w:rsidP="00CC6DE9">
            <w:pPr>
              <w:tabs>
                <w:tab w:val="left" w:pos="-720"/>
              </w:tabs>
              <w:suppressAutoHyphens/>
              <w:spacing w:after="0" w:line="280" w:lineRule="exact"/>
              <w:jc w:val="right"/>
              <w:rPr>
                <w:rFonts w:eastAsia="Times New Roman" w:cs="Arial"/>
                <w:bCs/>
                <w:spacing w:val="-3"/>
                <w:sz w:val="20"/>
                <w:szCs w:val="20"/>
              </w:rPr>
            </w:pPr>
            <w:r w:rsidRPr="006B318F">
              <w:rPr>
                <w:rFonts w:eastAsia="Times New Roman" w:cs="Arial"/>
                <w:bCs/>
                <w:spacing w:val="-3"/>
                <w:sz w:val="20"/>
                <w:szCs w:val="20"/>
              </w:rPr>
              <w:t xml:space="preserve"> (18)</w:t>
            </w:r>
          </w:p>
        </w:tc>
        <w:tc>
          <w:tcPr>
            <w:tcW w:w="487" w:type="pct"/>
            <w:tcBorders>
              <w:top w:val="nil"/>
              <w:left w:val="nil"/>
              <w:bottom w:val="nil"/>
              <w:right w:val="nil"/>
            </w:tcBorders>
            <w:shd w:val="clear" w:color="auto" w:fill="auto"/>
            <w:vAlign w:val="bottom"/>
          </w:tcPr>
          <w:p w14:paraId="4ED16D60" w14:textId="651B7E19" w:rsidR="00CC6DE9" w:rsidRPr="0097118D" w:rsidRDefault="00CC6DE9" w:rsidP="00CC6DE9">
            <w:pPr>
              <w:tabs>
                <w:tab w:val="left" w:pos="-720"/>
              </w:tabs>
              <w:suppressAutoHyphens/>
              <w:spacing w:after="0" w:line="280" w:lineRule="exact"/>
              <w:jc w:val="right"/>
              <w:rPr>
                <w:rFonts w:eastAsia="Times New Roman" w:cs="Arial"/>
                <w:bCs/>
                <w:spacing w:val="-3"/>
                <w:sz w:val="20"/>
                <w:szCs w:val="20"/>
              </w:rPr>
            </w:pPr>
            <w:r w:rsidRPr="006B318F">
              <w:rPr>
                <w:rFonts w:eastAsia="Times New Roman" w:cs="Arial"/>
                <w:bCs/>
                <w:spacing w:val="-3"/>
                <w:sz w:val="20"/>
                <w:szCs w:val="20"/>
              </w:rPr>
              <w:t xml:space="preserve"> (247)</w:t>
            </w:r>
          </w:p>
        </w:tc>
        <w:tc>
          <w:tcPr>
            <w:tcW w:w="487" w:type="pct"/>
            <w:tcBorders>
              <w:top w:val="nil"/>
              <w:left w:val="nil"/>
              <w:bottom w:val="nil"/>
              <w:right w:val="nil"/>
            </w:tcBorders>
            <w:shd w:val="clear" w:color="auto" w:fill="auto"/>
            <w:vAlign w:val="bottom"/>
          </w:tcPr>
          <w:p w14:paraId="535DE5F9" w14:textId="6AC16942" w:rsidR="00CC6DE9" w:rsidRPr="0097118D" w:rsidRDefault="00CC6DE9" w:rsidP="00CC6DE9">
            <w:pPr>
              <w:tabs>
                <w:tab w:val="left" w:pos="-720"/>
              </w:tabs>
              <w:suppressAutoHyphens/>
              <w:spacing w:after="0" w:line="280" w:lineRule="exact"/>
              <w:jc w:val="right"/>
              <w:rPr>
                <w:rFonts w:eastAsia="Times New Roman" w:cs="Arial"/>
                <w:bCs/>
                <w:spacing w:val="-3"/>
                <w:sz w:val="20"/>
                <w:szCs w:val="20"/>
              </w:rPr>
            </w:pPr>
            <w:r w:rsidRPr="006B318F">
              <w:rPr>
                <w:rFonts w:eastAsia="Times New Roman" w:cs="Arial"/>
                <w:bCs/>
                <w:spacing w:val="-3"/>
                <w:sz w:val="20"/>
                <w:szCs w:val="20"/>
              </w:rPr>
              <w:t>(111)</w:t>
            </w:r>
          </w:p>
        </w:tc>
        <w:tc>
          <w:tcPr>
            <w:tcW w:w="487" w:type="pct"/>
            <w:tcBorders>
              <w:top w:val="nil"/>
              <w:left w:val="nil"/>
              <w:bottom w:val="nil"/>
              <w:right w:val="nil"/>
            </w:tcBorders>
            <w:shd w:val="clear" w:color="auto" w:fill="auto"/>
            <w:vAlign w:val="bottom"/>
          </w:tcPr>
          <w:p w14:paraId="544C6316" w14:textId="18F00390" w:rsidR="00CC6DE9" w:rsidRPr="0097118D" w:rsidRDefault="00CC6DE9" w:rsidP="00CC6DE9">
            <w:pPr>
              <w:tabs>
                <w:tab w:val="left" w:pos="-720"/>
              </w:tabs>
              <w:suppressAutoHyphens/>
              <w:spacing w:after="0" w:line="280" w:lineRule="exact"/>
              <w:jc w:val="right"/>
              <w:rPr>
                <w:rFonts w:eastAsia="Times New Roman" w:cs="Arial"/>
                <w:bCs/>
                <w:spacing w:val="-3"/>
                <w:sz w:val="20"/>
                <w:szCs w:val="20"/>
              </w:rPr>
            </w:pPr>
            <w:r w:rsidRPr="006B318F">
              <w:rPr>
                <w:rFonts w:eastAsia="Times New Roman" w:cs="Arial"/>
                <w:bCs/>
                <w:spacing w:val="-3"/>
                <w:sz w:val="20"/>
                <w:szCs w:val="20"/>
              </w:rPr>
              <w:t>(2,153)</w:t>
            </w:r>
          </w:p>
        </w:tc>
        <w:tc>
          <w:tcPr>
            <w:tcW w:w="487" w:type="pct"/>
            <w:tcBorders>
              <w:top w:val="nil"/>
              <w:left w:val="nil"/>
              <w:bottom w:val="nil"/>
              <w:right w:val="nil"/>
            </w:tcBorders>
            <w:shd w:val="clear" w:color="auto" w:fill="auto"/>
            <w:vAlign w:val="bottom"/>
          </w:tcPr>
          <w:p w14:paraId="118236D6" w14:textId="4AC56515" w:rsidR="00CC6DE9" w:rsidRPr="0097118D" w:rsidRDefault="00CC6DE9" w:rsidP="00CC6DE9">
            <w:pPr>
              <w:tabs>
                <w:tab w:val="right" w:pos="1202"/>
              </w:tabs>
              <w:spacing w:after="0" w:line="240" w:lineRule="exact"/>
              <w:jc w:val="right"/>
              <w:outlineLvl w:val="0"/>
              <w:rPr>
                <w:rFonts w:eastAsia="Times New Roman" w:cs="Arial"/>
                <w:sz w:val="20"/>
                <w:szCs w:val="20"/>
              </w:rPr>
            </w:pPr>
            <w:r w:rsidRPr="006B318F">
              <w:rPr>
                <w:rFonts w:eastAsia="Times New Roman" w:cs="Arial"/>
                <w:sz w:val="20"/>
                <w:szCs w:val="20"/>
              </w:rPr>
              <w:t xml:space="preserve"> (18)</w:t>
            </w:r>
          </w:p>
        </w:tc>
        <w:tc>
          <w:tcPr>
            <w:tcW w:w="487" w:type="pct"/>
            <w:tcBorders>
              <w:top w:val="nil"/>
              <w:left w:val="nil"/>
              <w:bottom w:val="nil"/>
              <w:right w:val="nil"/>
            </w:tcBorders>
            <w:shd w:val="clear" w:color="auto" w:fill="auto"/>
            <w:vAlign w:val="bottom"/>
          </w:tcPr>
          <w:p w14:paraId="4B7E5C2D" w14:textId="11C3B232" w:rsidR="00CC6DE9" w:rsidRPr="0097118D" w:rsidRDefault="00CC6DE9" w:rsidP="00CC6DE9">
            <w:pPr>
              <w:tabs>
                <w:tab w:val="right" w:pos="1202"/>
              </w:tabs>
              <w:spacing w:after="0" w:line="240" w:lineRule="exact"/>
              <w:jc w:val="right"/>
              <w:outlineLvl w:val="0"/>
              <w:rPr>
                <w:rFonts w:eastAsia="Times New Roman" w:cs="Arial"/>
                <w:sz w:val="20"/>
                <w:szCs w:val="20"/>
              </w:rPr>
            </w:pPr>
            <w:r w:rsidRPr="006B318F">
              <w:rPr>
                <w:rFonts w:eastAsia="Times New Roman" w:cs="Arial"/>
                <w:sz w:val="20"/>
                <w:szCs w:val="20"/>
              </w:rPr>
              <w:t xml:space="preserve"> (247)</w:t>
            </w:r>
          </w:p>
        </w:tc>
        <w:tc>
          <w:tcPr>
            <w:tcW w:w="487" w:type="pct"/>
            <w:tcBorders>
              <w:top w:val="nil"/>
              <w:left w:val="nil"/>
              <w:bottom w:val="nil"/>
              <w:right w:val="nil"/>
            </w:tcBorders>
            <w:shd w:val="clear" w:color="auto" w:fill="auto"/>
            <w:vAlign w:val="bottom"/>
          </w:tcPr>
          <w:p w14:paraId="49A2F92C" w14:textId="1B97DA4B" w:rsidR="00CC6DE9" w:rsidRPr="006B318F" w:rsidRDefault="00CC6DE9" w:rsidP="00CC6DE9">
            <w:pPr>
              <w:tabs>
                <w:tab w:val="right" w:pos="1202"/>
              </w:tabs>
              <w:spacing w:after="0" w:line="240" w:lineRule="exact"/>
              <w:jc w:val="right"/>
              <w:outlineLvl w:val="0"/>
              <w:rPr>
                <w:rFonts w:eastAsia="Times New Roman" w:cs="Arial"/>
                <w:sz w:val="20"/>
                <w:szCs w:val="20"/>
              </w:rPr>
            </w:pPr>
            <w:r w:rsidRPr="006B318F">
              <w:rPr>
                <w:rFonts w:eastAsia="Times New Roman" w:cs="Arial"/>
                <w:sz w:val="20"/>
                <w:szCs w:val="20"/>
              </w:rPr>
              <w:t>(111)</w:t>
            </w:r>
          </w:p>
        </w:tc>
        <w:tc>
          <w:tcPr>
            <w:tcW w:w="487" w:type="pct"/>
            <w:tcBorders>
              <w:top w:val="nil"/>
              <w:left w:val="nil"/>
              <w:bottom w:val="nil"/>
              <w:right w:val="nil"/>
            </w:tcBorders>
            <w:shd w:val="clear" w:color="auto" w:fill="auto"/>
            <w:vAlign w:val="bottom"/>
          </w:tcPr>
          <w:p w14:paraId="0C3DEA20" w14:textId="2B9E3694" w:rsidR="00CC6DE9" w:rsidRPr="006B318F" w:rsidRDefault="00CC6DE9" w:rsidP="00CC6DE9">
            <w:pPr>
              <w:tabs>
                <w:tab w:val="right" w:pos="1202"/>
              </w:tabs>
              <w:spacing w:after="0" w:line="240" w:lineRule="exact"/>
              <w:jc w:val="right"/>
              <w:outlineLvl w:val="0"/>
              <w:rPr>
                <w:rFonts w:eastAsia="Times New Roman" w:cs="Arial"/>
                <w:sz w:val="20"/>
                <w:szCs w:val="20"/>
              </w:rPr>
            </w:pPr>
            <w:r w:rsidRPr="006B318F">
              <w:rPr>
                <w:rFonts w:eastAsia="Times New Roman" w:cs="Arial"/>
                <w:sz w:val="20"/>
                <w:szCs w:val="20"/>
              </w:rPr>
              <w:t>(2,153)</w:t>
            </w:r>
          </w:p>
        </w:tc>
      </w:tr>
      <w:tr w:rsidR="00CC6DE9" w:rsidRPr="0097118D" w14:paraId="04ECA2CF" w14:textId="77777777" w:rsidTr="006B318F">
        <w:trPr>
          <w:trHeight w:hRule="exact" w:val="496"/>
        </w:trPr>
        <w:tc>
          <w:tcPr>
            <w:tcW w:w="1104" w:type="pct"/>
            <w:vAlign w:val="bottom"/>
          </w:tcPr>
          <w:p w14:paraId="705FC2BA" w14:textId="77777777" w:rsidR="00CC6DE9" w:rsidRPr="0097118D" w:rsidRDefault="00CC6DE9" w:rsidP="00CC6DE9">
            <w:pPr>
              <w:tabs>
                <w:tab w:val="left" w:pos="-720"/>
              </w:tabs>
              <w:suppressAutoHyphens/>
              <w:spacing w:after="0" w:line="240" w:lineRule="auto"/>
              <w:rPr>
                <w:rFonts w:eastAsia="Times New Roman" w:cs="Arial"/>
                <w:bCs/>
                <w:spacing w:val="-3"/>
                <w:sz w:val="20"/>
                <w:szCs w:val="20"/>
                <w:lang w:val="hr-HR"/>
              </w:rPr>
            </w:pPr>
            <w:r w:rsidRPr="0097118D">
              <w:rPr>
                <w:rFonts w:eastAsia="Times New Roman" w:cs="Arial"/>
                <w:sz w:val="20"/>
                <w:szCs w:val="20"/>
              </w:rPr>
              <w:t>Impairment losses on loans to financial institutions</w:t>
            </w:r>
          </w:p>
        </w:tc>
        <w:tc>
          <w:tcPr>
            <w:tcW w:w="487" w:type="pct"/>
            <w:tcBorders>
              <w:top w:val="nil"/>
              <w:left w:val="nil"/>
              <w:bottom w:val="nil"/>
              <w:right w:val="nil"/>
            </w:tcBorders>
            <w:shd w:val="clear" w:color="auto" w:fill="auto"/>
            <w:vAlign w:val="bottom"/>
          </w:tcPr>
          <w:p w14:paraId="24BE5EA5" w14:textId="6FA0A29B" w:rsidR="00CC6DE9" w:rsidRPr="006B318F" w:rsidRDefault="00CC6DE9" w:rsidP="00CC6DE9">
            <w:pPr>
              <w:tabs>
                <w:tab w:val="left" w:pos="-720"/>
              </w:tabs>
              <w:suppressAutoHyphens/>
              <w:spacing w:after="0" w:line="280" w:lineRule="exact"/>
              <w:jc w:val="right"/>
              <w:rPr>
                <w:rFonts w:eastAsia="Times New Roman" w:cs="Arial"/>
                <w:bCs/>
                <w:spacing w:val="-3"/>
                <w:sz w:val="20"/>
                <w:szCs w:val="20"/>
              </w:rPr>
            </w:pPr>
            <w:r w:rsidRPr="006B318F">
              <w:rPr>
                <w:rFonts w:eastAsia="Times New Roman" w:cs="Arial"/>
                <w:bCs/>
                <w:spacing w:val="-3"/>
                <w:sz w:val="20"/>
                <w:szCs w:val="20"/>
              </w:rPr>
              <w:t xml:space="preserve"> (40,725)</w:t>
            </w:r>
          </w:p>
        </w:tc>
        <w:tc>
          <w:tcPr>
            <w:tcW w:w="487" w:type="pct"/>
            <w:tcBorders>
              <w:top w:val="nil"/>
              <w:left w:val="nil"/>
              <w:bottom w:val="nil"/>
              <w:right w:val="nil"/>
            </w:tcBorders>
            <w:shd w:val="clear" w:color="auto" w:fill="auto"/>
            <w:vAlign w:val="bottom"/>
          </w:tcPr>
          <w:p w14:paraId="3641AA32" w14:textId="008B0228" w:rsidR="00CC6DE9" w:rsidRPr="006B318F" w:rsidRDefault="00CC6DE9" w:rsidP="00CC6DE9">
            <w:pPr>
              <w:tabs>
                <w:tab w:val="left" w:pos="-720"/>
              </w:tabs>
              <w:suppressAutoHyphens/>
              <w:spacing w:after="0" w:line="280" w:lineRule="exact"/>
              <w:jc w:val="right"/>
              <w:rPr>
                <w:rFonts w:eastAsia="Times New Roman" w:cs="Arial"/>
                <w:bCs/>
                <w:spacing w:val="-3"/>
                <w:sz w:val="20"/>
                <w:szCs w:val="20"/>
              </w:rPr>
            </w:pPr>
            <w:r w:rsidRPr="006B318F">
              <w:rPr>
                <w:rFonts w:eastAsia="Times New Roman" w:cs="Arial"/>
                <w:bCs/>
                <w:spacing w:val="-3"/>
                <w:sz w:val="20"/>
                <w:szCs w:val="20"/>
              </w:rPr>
              <w:t xml:space="preserve"> (98,079)</w:t>
            </w:r>
          </w:p>
        </w:tc>
        <w:tc>
          <w:tcPr>
            <w:tcW w:w="487" w:type="pct"/>
            <w:tcBorders>
              <w:top w:val="nil"/>
              <w:left w:val="nil"/>
              <w:bottom w:val="nil"/>
              <w:right w:val="nil"/>
            </w:tcBorders>
            <w:shd w:val="clear" w:color="auto" w:fill="auto"/>
            <w:vAlign w:val="bottom"/>
          </w:tcPr>
          <w:p w14:paraId="102B1A3B" w14:textId="6FDE7718" w:rsidR="00CC6DE9" w:rsidRPr="0097118D" w:rsidRDefault="00CC6DE9" w:rsidP="00CC6DE9">
            <w:pPr>
              <w:tabs>
                <w:tab w:val="left" w:pos="-720"/>
              </w:tabs>
              <w:suppressAutoHyphens/>
              <w:spacing w:after="0" w:line="280" w:lineRule="exact"/>
              <w:jc w:val="right"/>
              <w:rPr>
                <w:rFonts w:eastAsia="Times New Roman" w:cs="Arial"/>
                <w:bCs/>
                <w:spacing w:val="-3"/>
                <w:sz w:val="20"/>
                <w:szCs w:val="20"/>
              </w:rPr>
            </w:pPr>
            <w:r w:rsidRPr="006B318F">
              <w:rPr>
                <w:rFonts w:eastAsia="Times New Roman" w:cs="Arial"/>
                <w:bCs/>
                <w:spacing w:val="-3"/>
                <w:sz w:val="20"/>
                <w:szCs w:val="20"/>
              </w:rPr>
              <w:t>(11,204)</w:t>
            </w:r>
          </w:p>
        </w:tc>
        <w:tc>
          <w:tcPr>
            <w:tcW w:w="487" w:type="pct"/>
            <w:tcBorders>
              <w:top w:val="nil"/>
              <w:left w:val="nil"/>
              <w:bottom w:val="nil"/>
              <w:right w:val="nil"/>
            </w:tcBorders>
            <w:shd w:val="clear" w:color="auto" w:fill="auto"/>
            <w:vAlign w:val="bottom"/>
          </w:tcPr>
          <w:p w14:paraId="609A09A5" w14:textId="448BC742" w:rsidR="00CC6DE9" w:rsidRPr="0097118D" w:rsidRDefault="00CC6DE9" w:rsidP="00CC6DE9">
            <w:pPr>
              <w:tabs>
                <w:tab w:val="left" w:pos="-720"/>
              </w:tabs>
              <w:suppressAutoHyphens/>
              <w:spacing w:after="0" w:line="280" w:lineRule="exact"/>
              <w:jc w:val="right"/>
              <w:rPr>
                <w:rFonts w:eastAsia="Times New Roman" w:cs="Arial"/>
                <w:bCs/>
                <w:spacing w:val="-3"/>
                <w:sz w:val="20"/>
                <w:szCs w:val="20"/>
              </w:rPr>
            </w:pPr>
            <w:r w:rsidRPr="006B318F">
              <w:rPr>
                <w:rFonts w:eastAsia="Times New Roman" w:cs="Arial"/>
                <w:bCs/>
                <w:spacing w:val="-3"/>
                <w:sz w:val="20"/>
                <w:szCs w:val="20"/>
              </w:rPr>
              <w:t>(39,839)</w:t>
            </w:r>
          </w:p>
        </w:tc>
        <w:tc>
          <w:tcPr>
            <w:tcW w:w="487" w:type="pct"/>
            <w:tcBorders>
              <w:top w:val="nil"/>
              <w:left w:val="nil"/>
              <w:bottom w:val="nil"/>
              <w:right w:val="nil"/>
            </w:tcBorders>
            <w:shd w:val="clear" w:color="auto" w:fill="auto"/>
            <w:vAlign w:val="bottom"/>
          </w:tcPr>
          <w:p w14:paraId="1070F256" w14:textId="416817CD" w:rsidR="00CC6DE9" w:rsidRPr="0097118D" w:rsidRDefault="00CC6DE9" w:rsidP="00CC6DE9">
            <w:pPr>
              <w:tabs>
                <w:tab w:val="right" w:pos="1202"/>
              </w:tabs>
              <w:spacing w:after="0" w:line="240" w:lineRule="exact"/>
              <w:jc w:val="right"/>
              <w:outlineLvl w:val="0"/>
              <w:rPr>
                <w:rFonts w:eastAsia="Times New Roman" w:cs="Arial"/>
                <w:sz w:val="20"/>
                <w:szCs w:val="20"/>
              </w:rPr>
            </w:pPr>
            <w:r w:rsidRPr="006B318F">
              <w:rPr>
                <w:rFonts w:eastAsia="Times New Roman" w:cs="Arial"/>
                <w:sz w:val="20"/>
                <w:szCs w:val="20"/>
              </w:rPr>
              <w:t xml:space="preserve"> (40,725)</w:t>
            </w:r>
          </w:p>
        </w:tc>
        <w:tc>
          <w:tcPr>
            <w:tcW w:w="487" w:type="pct"/>
            <w:tcBorders>
              <w:top w:val="nil"/>
              <w:left w:val="nil"/>
              <w:bottom w:val="nil"/>
              <w:right w:val="nil"/>
            </w:tcBorders>
            <w:shd w:val="clear" w:color="auto" w:fill="auto"/>
            <w:vAlign w:val="bottom"/>
          </w:tcPr>
          <w:p w14:paraId="580D763A" w14:textId="5165F1BB" w:rsidR="00CC6DE9" w:rsidRPr="0097118D" w:rsidRDefault="00CC6DE9" w:rsidP="00CC6DE9">
            <w:pPr>
              <w:tabs>
                <w:tab w:val="right" w:pos="1202"/>
              </w:tabs>
              <w:spacing w:after="0" w:line="240" w:lineRule="exact"/>
              <w:jc w:val="right"/>
              <w:outlineLvl w:val="0"/>
              <w:rPr>
                <w:rFonts w:eastAsia="Times New Roman" w:cs="Arial"/>
                <w:sz w:val="20"/>
                <w:szCs w:val="20"/>
              </w:rPr>
            </w:pPr>
            <w:r w:rsidRPr="006B318F">
              <w:rPr>
                <w:rFonts w:eastAsia="Times New Roman" w:cs="Arial"/>
                <w:sz w:val="20"/>
                <w:szCs w:val="20"/>
              </w:rPr>
              <w:t xml:space="preserve"> (98,079)</w:t>
            </w:r>
          </w:p>
        </w:tc>
        <w:tc>
          <w:tcPr>
            <w:tcW w:w="487" w:type="pct"/>
            <w:tcBorders>
              <w:top w:val="nil"/>
              <w:left w:val="nil"/>
              <w:bottom w:val="nil"/>
              <w:right w:val="nil"/>
            </w:tcBorders>
            <w:shd w:val="clear" w:color="auto" w:fill="auto"/>
            <w:vAlign w:val="bottom"/>
          </w:tcPr>
          <w:p w14:paraId="177D76A0" w14:textId="4EF7801B" w:rsidR="00CC6DE9" w:rsidRPr="006B318F" w:rsidRDefault="00CC6DE9" w:rsidP="00CC6DE9">
            <w:pPr>
              <w:tabs>
                <w:tab w:val="right" w:pos="1202"/>
              </w:tabs>
              <w:spacing w:after="0" w:line="240" w:lineRule="exact"/>
              <w:jc w:val="right"/>
              <w:outlineLvl w:val="0"/>
              <w:rPr>
                <w:rFonts w:eastAsia="Times New Roman" w:cs="Arial"/>
                <w:sz w:val="20"/>
                <w:szCs w:val="20"/>
              </w:rPr>
            </w:pPr>
            <w:r w:rsidRPr="006B318F">
              <w:rPr>
                <w:rFonts w:eastAsia="Times New Roman" w:cs="Arial"/>
                <w:sz w:val="20"/>
                <w:szCs w:val="20"/>
              </w:rPr>
              <w:t>(11,204)</w:t>
            </w:r>
          </w:p>
        </w:tc>
        <w:tc>
          <w:tcPr>
            <w:tcW w:w="487" w:type="pct"/>
            <w:tcBorders>
              <w:top w:val="nil"/>
              <w:left w:val="nil"/>
              <w:bottom w:val="nil"/>
              <w:right w:val="nil"/>
            </w:tcBorders>
            <w:shd w:val="clear" w:color="auto" w:fill="auto"/>
            <w:vAlign w:val="bottom"/>
          </w:tcPr>
          <w:p w14:paraId="433C8CA6" w14:textId="07FA583D" w:rsidR="00CC6DE9" w:rsidRPr="006B318F" w:rsidRDefault="00CC6DE9" w:rsidP="00CC6DE9">
            <w:pPr>
              <w:tabs>
                <w:tab w:val="right" w:pos="1202"/>
              </w:tabs>
              <w:spacing w:after="0" w:line="240" w:lineRule="exact"/>
              <w:jc w:val="right"/>
              <w:outlineLvl w:val="0"/>
              <w:rPr>
                <w:rFonts w:eastAsia="Times New Roman" w:cs="Arial"/>
                <w:sz w:val="20"/>
                <w:szCs w:val="20"/>
              </w:rPr>
            </w:pPr>
            <w:r w:rsidRPr="006B318F">
              <w:rPr>
                <w:rFonts w:eastAsia="Times New Roman" w:cs="Arial"/>
                <w:sz w:val="20"/>
                <w:szCs w:val="20"/>
              </w:rPr>
              <w:t>(39,839)</w:t>
            </w:r>
          </w:p>
        </w:tc>
      </w:tr>
      <w:tr w:rsidR="00CC6DE9" w:rsidRPr="0097118D" w14:paraId="6E0FC10C" w14:textId="77777777" w:rsidTr="006B318F">
        <w:trPr>
          <w:trHeight w:hRule="exact" w:val="554"/>
        </w:trPr>
        <w:tc>
          <w:tcPr>
            <w:tcW w:w="1104" w:type="pct"/>
            <w:vAlign w:val="bottom"/>
          </w:tcPr>
          <w:p w14:paraId="052EA543" w14:textId="77777777" w:rsidR="00CC6DE9" w:rsidRPr="0097118D" w:rsidRDefault="00CC6DE9" w:rsidP="00CC6DE9">
            <w:pPr>
              <w:tabs>
                <w:tab w:val="left" w:pos="-720"/>
              </w:tabs>
              <w:suppressAutoHyphens/>
              <w:spacing w:after="0" w:line="240" w:lineRule="auto"/>
              <w:rPr>
                <w:rFonts w:eastAsia="Times New Roman" w:cs="Arial"/>
                <w:bCs/>
                <w:spacing w:val="-3"/>
                <w:sz w:val="20"/>
                <w:szCs w:val="20"/>
                <w:lang w:val="hr-HR"/>
              </w:rPr>
            </w:pPr>
            <w:r w:rsidRPr="0097118D">
              <w:rPr>
                <w:rFonts w:eastAsia="Times New Roman" w:cs="Arial"/>
                <w:sz w:val="20"/>
                <w:szCs w:val="20"/>
              </w:rPr>
              <w:t>Impairment losses on loans to other customers and interest</w:t>
            </w:r>
          </w:p>
        </w:tc>
        <w:tc>
          <w:tcPr>
            <w:tcW w:w="487" w:type="pct"/>
            <w:tcBorders>
              <w:top w:val="nil"/>
              <w:left w:val="nil"/>
              <w:bottom w:val="nil"/>
              <w:right w:val="nil"/>
            </w:tcBorders>
            <w:shd w:val="clear" w:color="auto" w:fill="auto"/>
            <w:vAlign w:val="bottom"/>
          </w:tcPr>
          <w:p w14:paraId="6986A872" w14:textId="2A17DA21" w:rsidR="00CC6DE9" w:rsidRPr="0097118D" w:rsidRDefault="00CC6DE9" w:rsidP="00CC6DE9">
            <w:pPr>
              <w:tabs>
                <w:tab w:val="left" w:pos="-720"/>
              </w:tabs>
              <w:suppressAutoHyphens/>
              <w:spacing w:after="0" w:line="280" w:lineRule="exact"/>
              <w:jc w:val="right"/>
              <w:rPr>
                <w:rFonts w:eastAsia="Times New Roman" w:cs="Arial"/>
                <w:bCs/>
                <w:spacing w:val="-3"/>
                <w:sz w:val="20"/>
                <w:szCs w:val="20"/>
              </w:rPr>
            </w:pPr>
            <w:r w:rsidRPr="006B318F">
              <w:rPr>
                <w:rFonts w:eastAsia="Times New Roman" w:cs="Arial"/>
                <w:bCs/>
                <w:spacing w:val="-3"/>
                <w:sz w:val="20"/>
                <w:szCs w:val="20"/>
              </w:rPr>
              <w:t xml:space="preserve"> 83,463 </w:t>
            </w:r>
          </w:p>
        </w:tc>
        <w:tc>
          <w:tcPr>
            <w:tcW w:w="487" w:type="pct"/>
            <w:tcBorders>
              <w:top w:val="nil"/>
              <w:left w:val="nil"/>
              <w:bottom w:val="nil"/>
              <w:right w:val="nil"/>
            </w:tcBorders>
            <w:shd w:val="clear" w:color="auto" w:fill="auto"/>
            <w:vAlign w:val="bottom"/>
          </w:tcPr>
          <w:p w14:paraId="6DF90496" w14:textId="7017DFC7" w:rsidR="00CC6DE9" w:rsidRPr="0097118D" w:rsidRDefault="00CC6DE9" w:rsidP="00CC6DE9">
            <w:pPr>
              <w:tabs>
                <w:tab w:val="left" w:pos="-720"/>
              </w:tabs>
              <w:suppressAutoHyphens/>
              <w:spacing w:after="0" w:line="280" w:lineRule="exact"/>
              <w:jc w:val="right"/>
              <w:rPr>
                <w:rFonts w:eastAsia="Times New Roman" w:cs="Arial"/>
                <w:bCs/>
                <w:spacing w:val="-3"/>
                <w:sz w:val="20"/>
                <w:szCs w:val="20"/>
              </w:rPr>
            </w:pPr>
            <w:r w:rsidRPr="006B318F">
              <w:rPr>
                <w:rFonts w:eastAsia="Times New Roman" w:cs="Arial"/>
                <w:bCs/>
                <w:spacing w:val="-3"/>
                <w:sz w:val="20"/>
                <w:szCs w:val="20"/>
              </w:rPr>
              <w:t xml:space="preserve"> 201,224 </w:t>
            </w:r>
          </w:p>
        </w:tc>
        <w:tc>
          <w:tcPr>
            <w:tcW w:w="487" w:type="pct"/>
            <w:tcBorders>
              <w:top w:val="nil"/>
              <w:left w:val="nil"/>
              <w:bottom w:val="nil"/>
              <w:right w:val="nil"/>
            </w:tcBorders>
            <w:shd w:val="clear" w:color="auto" w:fill="auto"/>
            <w:vAlign w:val="bottom"/>
          </w:tcPr>
          <w:p w14:paraId="0531F345" w14:textId="5EF0D38C" w:rsidR="00CC6DE9" w:rsidRPr="0097118D" w:rsidRDefault="00CC6DE9" w:rsidP="00CC6DE9">
            <w:pPr>
              <w:tabs>
                <w:tab w:val="left" w:pos="-720"/>
              </w:tabs>
              <w:suppressAutoHyphens/>
              <w:spacing w:after="0" w:line="280" w:lineRule="exact"/>
              <w:jc w:val="right"/>
              <w:rPr>
                <w:rFonts w:eastAsia="Times New Roman" w:cs="Arial"/>
                <w:bCs/>
                <w:spacing w:val="-3"/>
                <w:sz w:val="20"/>
                <w:szCs w:val="20"/>
              </w:rPr>
            </w:pPr>
            <w:r w:rsidRPr="006B318F">
              <w:rPr>
                <w:rFonts w:eastAsia="Times New Roman" w:cs="Arial"/>
                <w:bCs/>
                <w:spacing w:val="-3"/>
                <w:sz w:val="20"/>
                <w:szCs w:val="20"/>
              </w:rPr>
              <w:t>9,388</w:t>
            </w:r>
          </w:p>
        </w:tc>
        <w:tc>
          <w:tcPr>
            <w:tcW w:w="487" w:type="pct"/>
            <w:tcBorders>
              <w:top w:val="nil"/>
              <w:left w:val="nil"/>
              <w:bottom w:val="nil"/>
              <w:right w:val="nil"/>
            </w:tcBorders>
            <w:shd w:val="clear" w:color="auto" w:fill="auto"/>
            <w:vAlign w:val="bottom"/>
          </w:tcPr>
          <w:p w14:paraId="684E4C72" w14:textId="57F07E3F" w:rsidR="00CC6DE9" w:rsidRPr="0097118D" w:rsidRDefault="00CC6DE9" w:rsidP="00CC6DE9">
            <w:pPr>
              <w:tabs>
                <w:tab w:val="left" w:pos="-720"/>
              </w:tabs>
              <w:suppressAutoHyphens/>
              <w:spacing w:after="0" w:line="280" w:lineRule="exact"/>
              <w:jc w:val="right"/>
              <w:rPr>
                <w:rFonts w:eastAsia="Times New Roman" w:cs="Arial"/>
                <w:bCs/>
                <w:spacing w:val="-3"/>
                <w:sz w:val="20"/>
                <w:szCs w:val="20"/>
              </w:rPr>
            </w:pPr>
            <w:r w:rsidRPr="006B318F">
              <w:rPr>
                <w:rFonts w:eastAsia="Times New Roman" w:cs="Arial"/>
                <w:bCs/>
                <w:spacing w:val="-3"/>
                <w:sz w:val="20"/>
                <w:szCs w:val="20"/>
              </w:rPr>
              <w:t>47,812</w:t>
            </w:r>
          </w:p>
        </w:tc>
        <w:tc>
          <w:tcPr>
            <w:tcW w:w="487" w:type="pct"/>
            <w:tcBorders>
              <w:top w:val="nil"/>
              <w:left w:val="nil"/>
              <w:bottom w:val="nil"/>
              <w:right w:val="nil"/>
            </w:tcBorders>
            <w:shd w:val="clear" w:color="auto" w:fill="auto"/>
            <w:vAlign w:val="bottom"/>
          </w:tcPr>
          <w:p w14:paraId="1ED79BF7" w14:textId="40280F4D" w:rsidR="00CC6DE9" w:rsidRPr="0097118D" w:rsidRDefault="00CC6DE9" w:rsidP="00CC6DE9">
            <w:pPr>
              <w:tabs>
                <w:tab w:val="right" w:pos="1202"/>
              </w:tabs>
              <w:spacing w:after="0" w:line="240" w:lineRule="exact"/>
              <w:jc w:val="right"/>
              <w:outlineLvl w:val="0"/>
              <w:rPr>
                <w:rFonts w:eastAsia="Times New Roman" w:cs="Arial"/>
                <w:sz w:val="20"/>
                <w:szCs w:val="20"/>
              </w:rPr>
            </w:pPr>
            <w:r w:rsidRPr="006B318F">
              <w:rPr>
                <w:rFonts w:eastAsia="Times New Roman" w:cs="Arial"/>
                <w:sz w:val="20"/>
                <w:szCs w:val="20"/>
              </w:rPr>
              <w:t xml:space="preserve"> 83,463 </w:t>
            </w:r>
          </w:p>
        </w:tc>
        <w:tc>
          <w:tcPr>
            <w:tcW w:w="487" w:type="pct"/>
            <w:tcBorders>
              <w:top w:val="nil"/>
              <w:left w:val="nil"/>
              <w:bottom w:val="nil"/>
              <w:right w:val="nil"/>
            </w:tcBorders>
            <w:shd w:val="clear" w:color="auto" w:fill="auto"/>
            <w:vAlign w:val="bottom"/>
          </w:tcPr>
          <w:p w14:paraId="50871172" w14:textId="5BDFE3B3" w:rsidR="00CC6DE9" w:rsidRPr="0097118D" w:rsidRDefault="00CC6DE9" w:rsidP="00CC6DE9">
            <w:pPr>
              <w:tabs>
                <w:tab w:val="right" w:pos="1202"/>
              </w:tabs>
              <w:spacing w:after="0" w:line="240" w:lineRule="exact"/>
              <w:jc w:val="right"/>
              <w:outlineLvl w:val="0"/>
              <w:rPr>
                <w:rFonts w:eastAsia="Times New Roman" w:cs="Arial"/>
                <w:sz w:val="20"/>
                <w:szCs w:val="20"/>
              </w:rPr>
            </w:pPr>
            <w:r w:rsidRPr="006B318F">
              <w:rPr>
                <w:rFonts w:eastAsia="Times New Roman" w:cs="Arial"/>
                <w:sz w:val="20"/>
                <w:szCs w:val="20"/>
              </w:rPr>
              <w:t xml:space="preserve"> 201,224 </w:t>
            </w:r>
          </w:p>
        </w:tc>
        <w:tc>
          <w:tcPr>
            <w:tcW w:w="487" w:type="pct"/>
            <w:tcBorders>
              <w:top w:val="nil"/>
              <w:left w:val="nil"/>
              <w:bottom w:val="nil"/>
              <w:right w:val="nil"/>
            </w:tcBorders>
            <w:shd w:val="clear" w:color="auto" w:fill="auto"/>
            <w:vAlign w:val="bottom"/>
          </w:tcPr>
          <w:p w14:paraId="68B51D86" w14:textId="372F24FE" w:rsidR="00CC6DE9" w:rsidRPr="006B318F" w:rsidRDefault="00CC6DE9" w:rsidP="00CC6DE9">
            <w:pPr>
              <w:tabs>
                <w:tab w:val="right" w:pos="1202"/>
              </w:tabs>
              <w:spacing w:after="0" w:line="240" w:lineRule="exact"/>
              <w:jc w:val="right"/>
              <w:outlineLvl w:val="0"/>
              <w:rPr>
                <w:rFonts w:eastAsia="Times New Roman" w:cs="Arial"/>
                <w:sz w:val="20"/>
                <w:szCs w:val="20"/>
              </w:rPr>
            </w:pPr>
            <w:r w:rsidRPr="006B318F">
              <w:rPr>
                <w:rFonts w:eastAsia="Times New Roman" w:cs="Arial"/>
                <w:sz w:val="20"/>
                <w:szCs w:val="20"/>
              </w:rPr>
              <w:t>9,388</w:t>
            </w:r>
          </w:p>
        </w:tc>
        <w:tc>
          <w:tcPr>
            <w:tcW w:w="487" w:type="pct"/>
            <w:tcBorders>
              <w:top w:val="nil"/>
              <w:left w:val="nil"/>
              <w:bottom w:val="nil"/>
              <w:right w:val="nil"/>
            </w:tcBorders>
            <w:shd w:val="clear" w:color="auto" w:fill="auto"/>
            <w:vAlign w:val="bottom"/>
          </w:tcPr>
          <w:p w14:paraId="073A9917" w14:textId="26AAEB62" w:rsidR="00CC6DE9" w:rsidRPr="006B318F" w:rsidRDefault="00CC6DE9" w:rsidP="00CC6DE9">
            <w:pPr>
              <w:tabs>
                <w:tab w:val="right" w:pos="1202"/>
              </w:tabs>
              <w:spacing w:after="0" w:line="240" w:lineRule="exact"/>
              <w:jc w:val="right"/>
              <w:outlineLvl w:val="0"/>
              <w:rPr>
                <w:rFonts w:eastAsia="Times New Roman" w:cs="Arial"/>
                <w:sz w:val="20"/>
                <w:szCs w:val="20"/>
              </w:rPr>
            </w:pPr>
            <w:r w:rsidRPr="006B318F">
              <w:rPr>
                <w:rFonts w:eastAsia="Times New Roman" w:cs="Arial"/>
                <w:sz w:val="20"/>
                <w:szCs w:val="20"/>
              </w:rPr>
              <w:t>47,812</w:t>
            </w:r>
          </w:p>
        </w:tc>
      </w:tr>
      <w:tr w:rsidR="00CC6DE9" w:rsidRPr="0097118D" w14:paraId="283FF353" w14:textId="77777777" w:rsidTr="006B318F">
        <w:trPr>
          <w:trHeight w:hRule="exact" w:val="563"/>
        </w:trPr>
        <w:tc>
          <w:tcPr>
            <w:tcW w:w="1104" w:type="pct"/>
            <w:vAlign w:val="bottom"/>
          </w:tcPr>
          <w:p w14:paraId="6D6DE450" w14:textId="77777777" w:rsidR="00CC6DE9" w:rsidRPr="0097118D" w:rsidRDefault="00CC6DE9" w:rsidP="00CC6DE9">
            <w:pPr>
              <w:tabs>
                <w:tab w:val="left" w:pos="-720"/>
              </w:tabs>
              <w:suppressAutoHyphens/>
              <w:spacing w:after="0" w:line="240" w:lineRule="auto"/>
              <w:rPr>
                <w:rFonts w:eastAsia="Times New Roman" w:cs="Arial"/>
                <w:bCs/>
                <w:spacing w:val="-3"/>
                <w:sz w:val="20"/>
                <w:szCs w:val="20"/>
                <w:lang w:val="hr-HR"/>
              </w:rPr>
            </w:pPr>
            <w:r w:rsidRPr="0097118D">
              <w:rPr>
                <w:rFonts w:eastAsia="Times New Roman" w:cs="Arial"/>
                <w:sz w:val="20"/>
                <w:szCs w:val="20"/>
              </w:rPr>
              <w:t>Impairment losses on non-current assets held for sale</w:t>
            </w:r>
          </w:p>
        </w:tc>
        <w:tc>
          <w:tcPr>
            <w:tcW w:w="487" w:type="pct"/>
            <w:tcBorders>
              <w:top w:val="nil"/>
              <w:left w:val="nil"/>
              <w:bottom w:val="nil"/>
              <w:right w:val="nil"/>
            </w:tcBorders>
            <w:shd w:val="clear" w:color="auto" w:fill="auto"/>
            <w:vAlign w:val="bottom"/>
          </w:tcPr>
          <w:p w14:paraId="2BDCD41D" w14:textId="0614D08B" w:rsidR="00CC6DE9" w:rsidRPr="0097118D" w:rsidRDefault="00CC6DE9" w:rsidP="00CC6DE9">
            <w:pPr>
              <w:tabs>
                <w:tab w:val="left" w:pos="-720"/>
              </w:tabs>
              <w:suppressAutoHyphens/>
              <w:spacing w:after="0" w:line="280" w:lineRule="exact"/>
              <w:jc w:val="right"/>
              <w:rPr>
                <w:rFonts w:eastAsia="Times New Roman" w:cs="Arial"/>
                <w:bCs/>
                <w:spacing w:val="-3"/>
                <w:sz w:val="20"/>
                <w:szCs w:val="20"/>
              </w:rPr>
            </w:pPr>
            <w:r w:rsidRPr="006B318F">
              <w:rPr>
                <w:rFonts w:eastAsia="Times New Roman" w:cs="Arial"/>
                <w:bCs/>
                <w:spacing w:val="-3"/>
                <w:sz w:val="20"/>
                <w:szCs w:val="20"/>
              </w:rPr>
              <w:t xml:space="preserve"> (15)</w:t>
            </w:r>
          </w:p>
        </w:tc>
        <w:tc>
          <w:tcPr>
            <w:tcW w:w="487" w:type="pct"/>
            <w:tcBorders>
              <w:top w:val="nil"/>
              <w:left w:val="nil"/>
              <w:bottom w:val="nil"/>
              <w:right w:val="nil"/>
            </w:tcBorders>
            <w:shd w:val="clear" w:color="auto" w:fill="auto"/>
            <w:vAlign w:val="bottom"/>
          </w:tcPr>
          <w:p w14:paraId="51C22A89" w14:textId="679111FA" w:rsidR="00CC6DE9" w:rsidRPr="0097118D" w:rsidRDefault="00CC6DE9" w:rsidP="00CC6DE9">
            <w:pPr>
              <w:tabs>
                <w:tab w:val="left" w:pos="-720"/>
              </w:tabs>
              <w:suppressAutoHyphens/>
              <w:spacing w:after="0" w:line="280" w:lineRule="exact"/>
              <w:jc w:val="right"/>
              <w:rPr>
                <w:rFonts w:eastAsia="Times New Roman" w:cs="Arial"/>
                <w:bCs/>
                <w:spacing w:val="-3"/>
                <w:sz w:val="20"/>
                <w:szCs w:val="20"/>
              </w:rPr>
            </w:pPr>
            <w:r w:rsidRPr="006B318F">
              <w:rPr>
                <w:rFonts w:eastAsia="Times New Roman" w:cs="Arial"/>
                <w:bCs/>
                <w:spacing w:val="-3"/>
                <w:sz w:val="20"/>
                <w:szCs w:val="20"/>
              </w:rPr>
              <w:t xml:space="preserve"> (27)</w:t>
            </w:r>
          </w:p>
        </w:tc>
        <w:tc>
          <w:tcPr>
            <w:tcW w:w="487" w:type="pct"/>
            <w:tcBorders>
              <w:top w:val="nil"/>
              <w:left w:val="nil"/>
              <w:bottom w:val="nil"/>
              <w:right w:val="nil"/>
            </w:tcBorders>
            <w:shd w:val="clear" w:color="auto" w:fill="auto"/>
            <w:vAlign w:val="bottom"/>
          </w:tcPr>
          <w:p w14:paraId="20E6A6FC" w14:textId="436B877A" w:rsidR="00CC6DE9" w:rsidRPr="0097118D" w:rsidRDefault="00CC6DE9" w:rsidP="00CC6DE9">
            <w:pPr>
              <w:tabs>
                <w:tab w:val="left" w:pos="-720"/>
              </w:tabs>
              <w:suppressAutoHyphens/>
              <w:spacing w:after="0" w:line="280" w:lineRule="exact"/>
              <w:jc w:val="right"/>
              <w:rPr>
                <w:rFonts w:eastAsia="Times New Roman" w:cs="Arial"/>
                <w:bCs/>
                <w:spacing w:val="-3"/>
                <w:sz w:val="20"/>
                <w:szCs w:val="20"/>
              </w:rPr>
            </w:pPr>
            <w:r w:rsidRPr="006B318F">
              <w:rPr>
                <w:rFonts w:eastAsia="Times New Roman" w:cs="Arial"/>
                <w:bCs/>
                <w:spacing w:val="-3"/>
                <w:sz w:val="20"/>
                <w:szCs w:val="20"/>
              </w:rPr>
              <w:t>(37)</w:t>
            </w:r>
          </w:p>
        </w:tc>
        <w:tc>
          <w:tcPr>
            <w:tcW w:w="487" w:type="pct"/>
            <w:tcBorders>
              <w:top w:val="nil"/>
              <w:left w:val="nil"/>
              <w:bottom w:val="nil"/>
              <w:right w:val="nil"/>
            </w:tcBorders>
            <w:shd w:val="clear" w:color="auto" w:fill="auto"/>
            <w:vAlign w:val="bottom"/>
          </w:tcPr>
          <w:p w14:paraId="4BA0C386" w14:textId="0F391D21" w:rsidR="00CC6DE9" w:rsidRPr="0097118D" w:rsidRDefault="00CC6DE9" w:rsidP="00CC6DE9">
            <w:pPr>
              <w:tabs>
                <w:tab w:val="left" w:pos="-720"/>
              </w:tabs>
              <w:suppressAutoHyphens/>
              <w:spacing w:after="0" w:line="280" w:lineRule="exact"/>
              <w:jc w:val="right"/>
              <w:rPr>
                <w:rFonts w:eastAsia="Times New Roman" w:cs="Arial"/>
                <w:bCs/>
                <w:spacing w:val="-3"/>
                <w:sz w:val="20"/>
                <w:szCs w:val="20"/>
              </w:rPr>
            </w:pPr>
            <w:r w:rsidRPr="006B318F">
              <w:rPr>
                <w:rFonts w:eastAsia="Times New Roman" w:cs="Arial"/>
                <w:bCs/>
                <w:spacing w:val="-3"/>
                <w:sz w:val="20"/>
                <w:szCs w:val="20"/>
              </w:rPr>
              <w:t>(89)</w:t>
            </w:r>
          </w:p>
        </w:tc>
        <w:tc>
          <w:tcPr>
            <w:tcW w:w="487" w:type="pct"/>
            <w:tcBorders>
              <w:top w:val="nil"/>
              <w:left w:val="nil"/>
              <w:bottom w:val="nil"/>
              <w:right w:val="nil"/>
            </w:tcBorders>
            <w:shd w:val="clear" w:color="auto" w:fill="auto"/>
            <w:vAlign w:val="bottom"/>
          </w:tcPr>
          <w:p w14:paraId="7179CB6F" w14:textId="1D1F2B3F" w:rsidR="00CC6DE9" w:rsidRPr="0097118D" w:rsidRDefault="00CC6DE9" w:rsidP="00CC6DE9">
            <w:pPr>
              <w:tabs>
                <w:tab w:val="right" w:pos="1202"/>
              </w:tabs>
              <w:spacing w:after="0" w:line="240" w:lineRule="exact"/>
              <w:jc w:val="right"/>
              <w:outlineLvl w:val="0"/>
              <w:rPr>
                <w:rFonts w:eastAsia="Times New Roman" w:cs="Arial"/>
                <w:sz w:val="20"/>
                <w:szCs w:val="20"/>
              </w:rPr>
            </w:pPr>
            <w:r w:rsidRPr="006B318F">
              <w:rPr>
                <w:rFonts w:eastAsia="Times New Roman" w:cs="Arial"/>
                <w:sz w:val="20"/>
                <w:szCs w:val="20"/>
              </w:rPr>
              <w:t xml:space="preserve"> (15)</w:t>
            </w:r>
          </w:p>
        </w:tc>
        <w:tc>
          <w:tcPr>
            <w:tcW w:w="487" w:type="pct"/>
            <w:tcBorders>
              <w:top w:val="nil"/>
              <w:left w:val="nil"/>
              <w:bottom w:val="nil"/>
              <w:right w:val="nil"/>
            </w:tcBorders>
            <w:shd w:val="clear" w:color="auto" w:fill="auto"/>
            <w:vAlign w:val="bottom"/>
          </w:tcPr>
          <w:p w14:paraId="687E66C5" w14:textId="4FCAC276" w:rsidR="00CC6DE9" w:rsidRPr="0097118D" w:rsidRDefault="00CC6DE9" w:rsidP="00CC6DE9">
            <w:pPr>
              <w:tabs>
                <w:tab w:val="right" w:pos="1202"/>
              </w:tabs>
              <w:spacing w:after="0" w:line="240" w:lineRule="exact"/>
              <w:jc w:val="right"/>
              <w:outlineLvl w:val="0"/>
              <w:rPr>
                <w:rFonts w:eastAsia="Times New Roman" w:cs="Arial"/>
                <w:sz w:val="20"/>
                <w:szCs w:val="20"/>
              </w:rPr>
            </w:pPr>
            <w:r w:rsidRPr="006B318F">
              <w:rPr>
                <w:rFonts w:eastAsia="Times New Roman" w:cs="Arial"/>
                <w:sz w:val="20"/>
                <w:szCs w:val="20"/>
              </w:rPr>
              <w:t xml:space="preserve"> (27)</w:t>
            </w:r>
          </w:p>
        </w:tc>
        <w:tc>
          <w:tcPr>
            <w:tcW w:w="487" w:type="pct"/>
            <w:tcBorders>
              <w:top w:val="nil"/>
              <w:left w:val="nil"/>
              <w:bottom w:val="nil"/>
              <w:right w:val="nil"/>
            </w:tcBorders>
            <w:shd w:val="clear" w:color="auto" w:fill="auto"/>
            <w:vAlign w:val="bottom"/>
          </w:tcPr>
          <w:p w14:paraId="543980BC" w14:textId="30931A03" w:rsidR="00CC6DE9" w:rsidRPr="006B318F" w:rsidRDefault="00CC6DE9" w:rsidP="00CC6DE9">
            <w:pPr>
              <w:tabs>
                <w:tab w:val="right" w:pos="1202"/>
              </w:tabs>
              <w:spacing w:after="0" w:line="240" w:lineRule="exact"/>
              <w:jc w:val="right"/>
              <w:outlineLvl w:val="0"/>
              <w:rPr>
                <w:rFonts w:eastAsia="Times New Roman" w:cs="Arial"/>
                <w:sz w:val="20"/>
                <w:szCs w:val="20"/>
              </w:rPr>
            </w:pPr>
            <w:r w:rsidRPr="006B318F">
              <w:rPr>
                <w:rFonts w:eastAsia="Times New Roman" w:cs="Arial"/>
                <w:sz w:val="20"/>
                <w:szCs w:val="20"/>
              </w:rPr>
              <w:t>(37)</w:t>
            </w:r>
          </w:p>
        </w:tc>
        <w:tc>
          <w:tcPr>
            <w:tcW w:w="487" w:type="pct"/>
            <w:tcBorders>
              <w:top w:val="nil"/>
              <w:left w:val="nil"/>
              <w:bottom w:val="nil"/>
              <w:right w:val="nil"/>
            </w:tcBorders>
            <w:shd w:val="clear" w:color="auto" w:fill="auto"/>
            <w:vAlign w:val="bottom"/>
          </w:tcPr>
          <w:p w14:paraId="3D0C9F16" w14:textId="1659A335" w:rsidR="00CC6DE9" w:rsidRPr="006B318F" w:rsidRDefault="00CC6DE9" w:rsidP="00CC6DE9">
            <w:pPr>
              <w:tabs>
                <w:tab w:val="right" w:pos="1202"/>
              </w:tabs>
              <w:spacing w:after="0" w:line="240" w:lineRule="exact"/>
              <w:jc w:val="right"/>
              <w:outlineLvl w:val="0"/>
              <w:rPr>
                <w:rFonts w:eastAsia="Times New Roman" w:cs="Arial"/>
                <w:sz w:val="20"/>
                <w:szCs w:val="20"/>
              </w:rPr>
            </w:pPr>
            <w:r w:rsidRPr="006B318F">
              <w:rPr>
                <w:rFonts w:eastAsia="Times New Roman" w:cs="Arial"/>
                <w:sz w:val="20"/>
                <w:szCs w:val="20"/>
              </w:rPr>
              <w:t>(89)</w:t>
            </w:r>
          </w:p>
        </w:tc>
      </w:tr>
      <w:tr w:rsidR="00CC6DE9" w:rsidRPr="0097118D" w14:paraId="3CBF752E" w14:textId="77777777" w:rsidTr="006B318F">
        <w:trPr>
          <w:trHeight w:hRule="exact" w:val="283"/>
        </w:trPr>
        <w:tc>
          <w:tcPr>
            <w:tcW w:w="1104" w:type="pct"/>
            <w:vAlign w:val="bottom"/>
          </w:tcPr>
          <w:p w14:paraId="225848ED" w14:textId="77777777" w:rsidR="00CC6DE9" w:rsidRPr="0097118D" w:rsidRDefault="00CC6DE9" w:rsidP="00CC6DE9">
            <w:pPr>
              <w:tabs>
                <w:tab w:val="left" w:pos="-720"/>
              </w:tabs>
              <w:suppressAutoHyphens/>
              <w:spacing w:after="0" w:line="240" w:lineRule="auto"/>
              <w:rPr>
                <w:rFonts w:eastAsia="Times New Roman" w:cs="Arial"/>
                <w:bCs/>
                <w:spacing w:val="-3"/>
                <w:sz w:val="20"/>
                <w:szCs w:val="20"/>
                <w:lang w:val="hr-HR"/>
              </w:rPr>
            </w:pPr>
            <w:r w:rsidRPr="0097118D">
              <w:rPr>
                <w:rFonts w:eastAsia="Times New Roman" w:cs="Arial"/>
                <w:sz w:val="20"/>
                <w:szCs w:val="20"/>
              </w:rPr>
              <w:t>Impairment losses on other assets</w:t>
            </w:r>
          </w:p>
        </w:tc>
        <w:tc>
          <w:tcPr>
            <w:tcW w:w="487" w:type="pct"/>
            <w:tcBorders>
              <w:top w:val="nil"/>
              <w:left w:val="nil"/>
              <w:bottom w:val="nil"/>
              <w:right w:val="nil"/>
            </w:tcBorders>
            <w:shd w:val="clear" w:color="auto" w:fill="auto"/>
            <w:vAlign w:val="bottom"/>
          </w:tcPr>
          <w:p w14:paraId="2FF264D2" w14:textId="07D6F1FD" w:rsidR="00CC6DE9" w:rsidRPr="0097118D" w:rsidRDefault="00CC6DE9" w:rsidP="00CC6DE9">
            <w:pPr>
              <w:tabs>
                <w:tab w:val="left" w:pos="-720"/>
              </w:tabs>
              <w:suppressAutoHyphens/>
              <w:spacing w:after="0" w:line="280" w:lineRule="exact"/>
              <w:jc w:val="right"/>
              <w:rPr>
                <w:rFonts w:eastAsia="Times New Roman" w:cs="Arial"/>
                <w:bCs/>
                <w:spacing w:val="-3"/>
                <w:sz w:val="20"/>
                <w:szCs w:val="20"/>
              </w:rPr>
            </w:pPr>
            <w:r w:rsidRPr="00FE65B6">
              <w:rPr>
                <w:rFonts w:eastAsia="Times New Roman" w:cs="Arial"/>
                <w:bCs/>
                <w:spacing w:val="-3"/>
                <w:sz w:val="20"/>
                <w:szCs w:val="20"/>
              </w:rPr>
              <w:t xml:space="preserve"> 61 </w:t>
            </w:r>
          </w:p>
        </w:tc>
        <w:tc>
          <w:tcPr>
            <w:tcW w:w="487" w:type="pct"/>
            <w:tcBorders>
              <w:top w:val="nil"/>
              <w:left w:val="nil"/>
              <w:bottom w:val="nil"/>
              <w:right w:val="nil"/>
            </w:tcBorders>
            <w:shd w:val="clear" w:color="auto" w:fill="auto"/>
            <w:vAlign w:val="bottom"/>
          </w:tcPr>
          <w:p w14:paraId="01129307" w14:textId="5C0E2032" w:rsidR="00CC6DE9" w:rsidRPr="0097118D" w:rsidRDefault="00CC6DE9" w:rsidP="00CC6DE9">
            <w:pPr>
              <w:tabs>
                <w:tab w:val="left" w:pos="-720"/>
              </w:tabs>
              <w:suppressAutoHyphens/>
              <w:spacing w:after="0" w:line="280" w:lineRule="exact"/>
              <w:jc w:val="right"/>
              <w:rPr>
                <w:rFonts w:eastAsia="Times New Roman" w:cs="Arial"/>
                <w:bCs/>
                <w:spacing w:val="-3"/>
                <w:sz w:val="20"/>
                <w:szCs w:val="20"/>
              </w:rPr>
            </w:pPr>
            <w:r w:rsidRPr="00FE65B6">
              <w:rPr>
                <w:rFonts w:eastAsia="Times New Roman" w:cs="Arial"/>
                <w:bCs/>
                <w:spacing w:val="-3"/>
                <w:sz w:val="20"/>
                <w:szCs w:val="20"/>
              </w:rPr>
              <w:t xml:space="preserve"> 593 </w:t>
            </w:r>
          </w:p>
        </w:tc>
        <w:tc>
          <w:tcPr>
            <w:tcW w:w="487" w:type="pct"/>
            <w:tcBorders>
              <w:top w:val="nil"/>
              <w:left w:val="nil"/>
              <w:bottom w:val="nil"/>
              <w:right w:val="nil"/>
            </w:tcBorders>
            <w:shd w:val="clear" w:color="auto" w:fill="auto"/>
            <w:vAlign w:val="bottom"/>
          </w:tcPr>
          <w:p w14:paraId="409F12A3" w14:textId="24F5FB3A" w:rsidR="00CC6DE9" w:rsidRPr="0097118D" w:rsidRDefault="00CC6DE9" w:rsidP="00CC6DE9">
            <w:pPr>
              <w:tabs>
                <w:tab w:val="left" w:pos="-720"/>
              </w:tabs>
              <w:suppressAutoHyphens/>
              <w:spacing w:after="0" w:line="280" w:lineRule="exact"/>
              <w:jc w:val="right"/>
              <w:rPr>
                <w:rFonts w:eastAsia="Times New Roman" w:cs="Arial"/>
                <w:bCs/>
                <w:spacing w:val="-3"/>
                <w:sz w:val="20"/>
                <w:szCs w:val="20"/>
              </w:rPr>
            </w:pPr>
            <w:r w:rsidRPr="006B318F">
              <w:rPr>
                <w:rFonts w:eastAsia="Times New Roman" w:cs="Arial"/>
                <w:bCs/>
                <w:spacing w:val="-3"/>
                <w:sz w:val="20"/>
                <w:szCs w:val="20"/>
              </w:rPr>
              <w:t>(293)</w:t>
            </w:r>
          </w:p>
        </w:tc>
        <w:tc>
          <w:tcPr>
            <w:tcW w:w="487" w:type="pct"/>
            <w:tcBorders>
              <w:top w:val="nil"/>
              <w:left w:val="nil"/>
              <w:bottom w:val="nil"/>
              <w:right w:val="nil"/>
            </w:tcBorders>
            <w:shd w:val="clear" w:color="auto" w:fill="auto"/>
            <w:vAlign w:val="bottom"/>
          </w:tcPr>
          <w:p w14:paraId="319ADFAB" w14:textId="0BB3AA7A" w:rsidR="00CC6DE9" w:rsidRPr="0097118D" w:rsidRDefault="00CC6DE9" w:rsidP="00CC6DE9">
            <w:pPr>
              <w:tabs>
                <w:tab w:val="left" w:pos="-720"/>
              </w:tabs>
              <w:suppressAutoHyphens/>
              <w:spacing w:after="0" w:line="280" w:lineRule="exact"/>
              <w:jc w:val="right"/>
              <w:rPr>
                <w:rFonts w:eastAsia="Times New Roman" w:cs="Arial"/>
                <w:bCs/>
                <w:spacing w:val="-3"/>
                <w:sz w:val="20"/>
                <w:szCs w:val="20"/>
              </w:rPr>
            </w:pPr>
            <w:r w:rsidRPr="006B318F">
              <w:rPr>
                <w:rFonts w:eastAsia="Times New Roman" w:cs="Arial"/>
                <w:bCs/>
                <w:spacing w:val="-3"/>
                <w:sz w:val="20"/>
                <w:szCs w:val="20"/>
              </w:rPr>
              <w:t>348</w:t>
            </w:r>
          </w:p>
        </w:tc>
        <w:tc>
          <w:tcPr>
            <w:tcW w:w="487" w:type="pct"/>
            <w:tcBorders>
              <w:top w:val="nil"/>
              <w:left w:val="nil"/>
              <w:bottom w:val="nil"/>
              <w:right w:val="nil"/>
            </w:tcBorders>
            <w:shd w:val="clear" w:color="auto" w:fill="auto"/>
            <w:vAlign w:val="bottom"/>
          </w:tcPr>
          <w:p w14:paraId="1D836A01" w14:textId="069FCBF6" w:rsidR="00CC6DE9" w:rsidRPr="0097118D" w:rsidRDefault="00CC6DE9" w:rsidP="00612106">
            <w:pPr>
              <w:tabs>
                <w:tab w:val="right" w:pos="1202"/>
              </w:tabs>
              <w:spacing w:after="0" w:line="240" w:lineRule="exact"/>
              <w:jc w:val="right"/>
              <w:outlineLvl w:val="0"/>
              <w:rPr>
                <w:rFonts w:eastAsia="Times New Roman" w:cs="Arial"/>
                <w:sz w:val="20"/>
                <w:szCs w:val="20"/>
              </w:rPr>
            </w:pPr>
            <w:r w:rsidRPr="006B318F">
              <w:rPr>
                <w:rFonts w:eastAsia="Times New Roman" w:cs="Arial"/>
                <w:sz w:val="20"/>
                <w:szCs w:val="20"/>
              </w:rPr>
              <w:t xml:space="preserve"> </w:t>
            </w:r>
            <w:r w:rsidR="0017683F">
              <w:rPr>
                <w:rFonts w:eastAsia="Times New Roman" w:cs="Arial"/>
                <w:sz w:val="20"/>
                <w:szCs w:val="20"/>
              </w:rPr>
              <w:t>7</w:t>
            </w:r>
            <w:r w:rsidRPr="006B318F">
              <w:rPr>
                <w:rFonts w:eastAsia="Times New Roman" w:cs="Arial"/>
                <w:sz w:val="20"/>
                <w:szCs w:val="20"/>
              </w:rPr>
              <w:t xml:space="preserve"> </w:t>
            </w:r>
          </w:p>
        </w:tc>
        <w:tc>
          <w:tcPr>
            <w:tcW w:w="487" w:type="pct"/>
            <w:tcBorders>
              <w:top w:val="nil"/>
              <w:left w:val="nil"/>
              <w:bottom w:val="nil"/>
              <w:right w:val="nil"/>
            </w:tcBorders>
            <w:shd w:val="clear" w:color="auto" w:fill="auto"/>
            <w:vAlign w:val="bottom"/>
          </w:tcPr>
          <w:p w14:paraId="55867BC2" w14:textId="3B605457" w:rsidR="00CC6DE9" w:rsidRPr="0097118D" w:rsidRDefault="00CC6DE9">
            <w:pPr>
              <w:tabs>
                <w:tab w:val="right" w:pos="1202"/>
              </w:tabs>
              <w:spacing w:after="0" w:line="240" w:lineRule="exact"/>
              <w:jc w:val="right"/>
              <w:outlineLvl w:val="0"/>
              <w:rPr>
                <w:rFonts w:eastAsia="Times New Roman" w:cs="Arial"/>
                <w:sz w:val="20"/>
                <w:szCs w:val="20"/>
              </w:rPr>
            </w:pPr>
            <w:r w:rsidRPr="006B318F">
              <w:rPr>
                <w:rFonts w:eastAsia="Times New Roman" w:cs="Arial"/>
                <w:sz w:val="20"/>
                <w:szCs w:val="20"/>
              </w:rPr>
              <w:t xml:space="preserve"> </w:t>
            </w:r>
            <w:r w:rsidR="0017683F">
              <w:rPr>
                <w:rFonts w:eastAsia="Times New Roman" w:cs="Arial"/>
                <w:sz w:val="20"/>
                <w:szCs w:val="20"/>
              </w:rPr>
              <w:t>4</w:t>
            </w:r>
            <w:r w:rsidR="0035340C">
              <w:rPr>
                <w:rFonts w:eastAsia="Times New Roman" w:cs="Arial"/>
                <w:sz w:val="20"/>
                <w:szCs w:val="20"/>
              </w:rPr>
              <w:t>9</w:t>
            </w:r>
            <w:r w:rsidR="0017683F">
              <w:rPr>
                <w:rFonts w:eastAsia="Times New Roman" w:cs="Arial"/>
                <w:sz w:val="20"/>
                <w:szCs w:val="20"/>
              </w:rPr>
              <w:t>0</w:t>
            </w:r>
            <w:r w:rsidRPr="006B318F">
              <w:rPr>
                <w:rFonts w:eastAsia="Times New Roman" w:cs="Arial"/>
                <w:sz w:val="20"/>
                <w:szCs w:val="20"/>
              </w:rPr>
              <w:t xml:space="preserve"> </w:t>
            </w:r>
          </w:p>
        </w:tc>
        <w:tc>
          <w:tcPr>
            <w:tcW w:w="487" w:type="pct"/>
            <w:tcBorders>
              <w:top w:val="nil"/>
              <w:left w:val="nil"/>
              <w:bottom w:val="nil"/>
              <w:right w:val="nil"/>
            </w:tcBorders>
            <w:shd w:val="clear" w:color="auto" w:fill="auto"/>
            <w:vAlign w:val="bottom"/>
          </w:tcPr>
          <w:p w14:paraId="2346A1B0" w14:textId="79905B61" w:rsidR="00CC6DE9" w:rsidRPr="006B318F" w:rsidRDefault="00CC6DE9" w:rsidP="00CC6DE9">
            <w:pPr>
              <w:tabs>
                <w:tab w:val="right" w:pos="1202"/>
              </w:tabs>
              <w:spacing w:after="0" w:line="240" w:lineRule="exact"/>
              <w:jc w:val="right"/>
              <w:outlineLvl w:val="0"/>
              <w:rPr>
                <w:rFonts w:eastAsia="Times New Roman" w:cs="Arial"/>
                <w:sz w:val="20"/>
                <w:szCs w:val="20"/>
              </w:rPr>
            </w:pPr>
            <w:r w:rsidRPr="006B318F">
              <w:rPr>
                <w:rFonts w:eastAsia="Times New Roman" w:cs="Arial"/>
                <w:sz w:val="20"/>
                <w:szCs w:val="20"/>
              </w:rPr>
              <w:t>(296)</w:t>
            </w:r>
          </w:p>
        </w:tc>
        <w:tc>
          <w:tcPr>
            <w:tcW w:w="487" w:type="pct"/>
            <w:tcBorders>
              <w:top w:val="nil"/>
              <w:left w:val="nil"/>
              <w:bottom w:val="nil"/>
              <w:right w:val="nil"/>
            </w:tcBorders>
            <w:shd w:val="clear" w:color="auto" w:fill="auto"/>
            <w:vAlign w:val="bottom"/>
          </w:tcPr>
          <w:p w14:paraId="67B5991A" w14:textId="320E86E9" w:rsidR="00CC6DE9" w:rsidRPr="006B318F" w:rsidRDefault="00CC6DE9" w:rsidP="00CC6DE9">
            <w:pPr>
              <w:tabs>
                <w:tab w:val="right" w:pos="1202"/>
              </w:tabs>
              <w:spacing w:after="0" w:line="240" w:lineRule="exact"/>
              <w:jc w:val="right"/>
              <w:outlineLvl w:val="0"/>
              <w:rPr>
                <w:rFonts w:eastAsia="Times New Roman" w:cs="Arial"/>
                <w:sz w:val="20"/>
                <w:szCs w:val="20"/>
              </w:rPr>
            </w:pPr>
            <w:r w:rsidRPr="006B318F">
              <w:rPr>
                <w:rFonts w:eastAsia="Times New Roman" w:cs="Arial"/>
                <w:sz w:val="20"/>
                <w:szCs w:val="20"/>
              </w:rPr>
              <w:t>348</w:t>
            </w:r>
          </w:p>
        </w:tc>
      </w:tr>
      <w:tr w:rsidR="00CC6DE9" w:rsidRPr="0097118D" w14:paraId="5789894A" w14:textId="77777777" w:rsidTr="006B318F">
        <w:trPr>
          <w:trHeight w:hRule="exact" w:val="560"/>
        </w:trPr>
        <w:tc>
          <w:tcPr>
            <w:tcW w:w="1104" w:type="pct"/>
            <w:vAlign w:val="bottom"/>
          </w:tcPr>
          <w:p w14:paraId="17FF2D6C" w14:textId="77777777" w:rsidR="00CC6DE9" w:rsidRPr="0097118D" w:rsidRDefault="00CC6DE9" w:rsidP="00CC6DE9">
            <w:pPr>
              <w:tabs>
                <w:tab w:val="left" w:pos="-720"/>
              </w:tabs>
              <w:suppressAutoHyphens/>
              <w:spacing w:after="0" w:line="240" w:lineRule="auto"/>
              <w:rPr>
                <w:rFonts w:eastAsia="Times New Roman" w:cs="Arial"/>
                <w:bCs/>
                <w:spacing w:val="-3"/>
                <w:sz w:val="20"/>
                <w:szCs w:val="20"/>
                <w:lang w:val="hr-HR"/>
              </w:rPr>
            </w:pPr>
            <w:r w:rsidRPr="0097118D">
              <w:rPr>
                <w:rFonts w:eastAsia="Times New Roman" w:cs="Arial"/>
                <w:sz w:val="20"/>
                <w:szCs w:val="20"/>
              </w:rPr>
              <w:t>Total increase in provision for impairment losses on assets</w:t>
            </w:r>
          </w:p>
        </w:tc>
        <w:tc>
          <w:tcPr>
            <w:tcW w:w="487" w:type="pct"/>
            <w:tcBorders>
              <w:top w:val="single" w:sz="4" w:space="0" w:color="auto"/>
              <w:left w:val="nil"/>
              <w:bottom w:val="single" w:sz="4" w:space="0" w:color="auto"/>
              <w:right w:val="nil"/>
            </w:tcBorders>
            <w:shd w:val="clear" w:color="auto" w:fill="auto"/>
            <w:vAlign w:val="bottom"/>
          </w:tcPr>
          <w:p w14:paraId="337E3531" w14:textId="725A570F" w:rsidR="00CC6DE9" w:rsidRPr="0097118D" w:rsidRDefault="00CC6DE9" w:rsidP="00CC6DE9">
            <w:pPr>
              <w:tabs>
                <w:tab w:val="left" w:pos="-720"/>
              </w:tabs>
              <w:suppressAutoHyphens/>
              <w:spacing w:after="0" w:line="280" w:lineRule="exact"/>
              <w:jc w:val="right"/>
              <w:rPr>
                <w:rFonts w:eastAsia="Times New Roman" w:cs="Arial"/>
                <w:bCs/>
                <w:spacing w:val="-3"/>
                <w:sz w:val="20"/>
                <w:szCs w:val="20"/>
              </w:rPr>
            </w:pPr>
            <w:r w:rsidRPr="006B318F">
              <w:rPr>
                <w:rFonts w:eastAsia="Times New Roman" w:cs="Arial"/>
                <w:bCs/>
                <w:spacing w:val="-3"/>
                <w:sz w:val="20"/>
                <w:szCs w:val="20"/>
              </w:rPr>
              <w:t xml:space="preserve"> 44,535 </w:t>
            </w:r>
          </w:p>
        </w:tc>
        <w:tc>
          <w:tcPr>
            <w:tcW w:w="487" w:type="pct"/>
            <w:tcBorders>
              <w:top w:val="single" w:sz="4" w:space="0" w:color="auto"/>
              <w:left w:val="nil"/>
              <w:bottom w:val="single" w:sz="4" w:space="0" w:color="auto"/>
              <w:right w:val="nil"/>
            </w:tcBorders>
            <w:shd w:val="clear" w:color="auto" w:fill="auto"/>
            <w:vAlign w:val="bottom"/>
          </w:tcPr>
          <w:p w14:paraId="0BCB720B" w14:textId="0ECAC00E" w:rsidR="00CC6DE9" w:rsidRPr="0097118D" w:rsidRDefault="00CC6DE9" w:rsidP="00CC6DE9">
            <w:pPr>
              <w:tabs>
                <w:tab w:val="left" w:pos="-720"/>
              </w:tabs>
              <w:suppressAutoHyphens/>
              <w:spacing w:after="0" w:line="280" w:lineRule="exact"/>
              <w:jc w:val="right"/>
              <w:rPr>
                <w:rFonts w:eastAsia="Times New Roman" w:cs="Arial"/>
                <w:bCs/>
                <w:spacing w:val="-3"/>
                <w:sz w:val="20"/>
                <w:szCs w:val="20"/>
              </w:rPr>
            </w:pPr>
            <w:r w:rsidRPr="006B318F">
              <w:rPr>
                <w:rFonts w:eastAsia="Times New Roman" w:cs="Arial"/>
                <w:bCs/>
                <w:spacing w:val="-3"/>
                <w:sz w:val="20"/>
                <w:szCs w:val="20"/>
              </w:rPr>
              <w:t xml:space="preserve"> 104,021 </w:t>
            </w:r>
          </w:p>
        </w:tc>
        <w:tc>
          <w:tcPr>
            <w:tcW w:w="487" w:type="pct"/>
            <w:tcBorders>
              <w:top w:val="single" w:sz="4" w:space="0" w:color="auto"/>
              <w:left w:val="nil"/>
              <w:bottom w:val="single" w:sz="4" w:space="0" w:color="auto"/>
              <w:right w:val="nil"/>
            </w:tcBorders>
            <w:shd w:val="clear" w:color="auto" w:fill="auto"/>
            <w:vAlign w:val="bottom"/>
          </w:tcPr>
          <w:p w14:paraId="16E2D04A" w14:textId="13369841" w:rsidR="00CC6DE9" w:rsidRPr="0097118D" w:rsidRDefault="00CC6DE9" w:rsidP="00CC6DE9">
            <w:pPr>
              <w:tabs>
                <w:tab w:val="left" w:pos="-720"/>
              </w:tabs>
              <w:suppressAutoHyphens/>
              <w:spacing w:after="0" w:line="280" w:lineRule="exact"/>
              <w:jc w:val="right"/>
              <w:rPr>
                <w:rFonts w:eastAsia="Times New Roman" w:cs="Arial"/>
                <w:bCs/>
                <w:spacing w:val="-3"/>
                <w:sz w:val="20"/>
                <w:szCs w:val="20"/>
              </w:rPr>
            </w:pPr>
            <w:r w:rsidRPr="006B318F">
              <w:rPr>
                <w:rFonts w:eastAsia="Times New Roman" w:cs="Arial"/>
                <w:bCs/>
                <w:spacing w:val="-3"/>
                <w:sz w:val="20"/>
                <w:szCs w:val="20"/>
              </w:rPr>
              <w:t>891</w:t>
            </w:r>
          </w:p>
        </w:tc>
        <w:tc>
          <w:tcPr>
            <w:tcW w:w="487" w:type="pct"/>
            <w:tcBorders>
              <w:top w:val="single" w:sz="4" w:space="0" w:color="auto"/>
              <w:left w:val="nil"/>
              <w:bottom w:val="single" w:sz="4" w:space="0" w:color="auto"/>
              <w:right w:val="nil"/>
            </w:tcBorders>
            <w:shd w:val="clear" w:color="auto" w:fill="auto"/>
            <w:vAlign w:val="bottom"/>
          </w:tcPr>
          <w:p w14:paraId="165D5484" w14:textId="307BADD0" w:rsidR="00CC6DE9" w:rsidRPr="0097118D" w:rsidRDefault="00CC6DE9" w:rsidP="00CC6DE9">
            <w:pPr>
              <w:tabs>
                <w:tab w:val="left" w:pos="-720"/>
              </w:tabs>
              <w:suppressAutoHyphens/>
              <w:spacing w:after="0" w:line="280" w:lineRule="exact"/>
              <w:jc w:val="right"/>
              <w:rPr>
                <w:rFonts w:eastAsia="Times New Roman" w:cs="Arial"/>
                <w:bCs/>
                <w:spacing w:val="-3"/>
                <w:sz w:val="20"/>
                <w:szCs w:val="20"/>
              </w:rPr>
            </w:pPr>
            <w:r w:rsidRPr="006B318F">
              <w:rPr>
                <w:rFonts w:eastAsia="Times New Roman" w:cs="Arial"/>
                <w:bCs/>
                <w:spacing w:val="-3"/>
                <w:sz w:val="20"/>
                <w:szCs w:val="20"/>
              </w:rPr>
              <w:t>8,435</w:t>
            </w:r>
          </w:p>
        </w:tc>
        <w:tc>
          <w:tcPr>
            <w:tcW w:w="487" w:type="pct"/>
            <w:tcBorders>
              <w:top w:val="single" w:sz="4" w:space="0" w:color="auto"/>
              <w:left w:val="nil"/>
              <w:bottom w:val="single" w:sz="4" w:space="0" w:color="auto"/>
              <w:right w:val="nil"/>
            </w:tcBorders>
            <w:shd w:val="clear" w:color="auto" w:fill="auto"/>
            <w:vAlign w:val="bottom"/>
          </w:tcPr>
          <w:p w14:paraId="1580172F" w14:textId="13C7C0E2" w:rsidR="00CC6DE9" w:rsidRPr="006B318F" w:rsidRDefault="00CC6DE9" w:rsidP="00CC6DE9">
            <w:pPr>
              <w:tabs>
                <w:tab w:val="right" w:pos="1202"/>
              </w:tabs>
              <w:spacing w:after="0" w:line="240" w:lineRule="exact"/>
              <w:jc w:val="right"/>
              <w:outlineLvl w:val="0"/>
              <w:rPr>
                <w:rFonts w:eastAsia="Times New Roman" w:cs="Arial"/>
                <w:sz w:val="20"/>
                <w:szCs w:val="20"/>
              </w:rPr>
            </w:pPr>
            <w:r w:rsidRPr="006B318F">
              <w:rPr>
                <w:rFonts w:eastAsia="Times New Roman" w:cs="Arial"/>
                <w:sz w:val="20"/>
                <w:szCs w:val="20"/>
              </w:rPr>
              <w:t xml:space="preserve"> 44,481 </w:t>
            </w:r>
          </w:p>
        </w:tc>
        <w:tc>
          <w:tcPr>
            <w:tcW w:w="487" w:type="pct"/>
            <w:tcBorders>
              <w:top w:val="single" w:sz="4" w:space="0" w:color="auto"/>
              <w:left w:val="nil"/>
              <w:bottom w:val="single" w:sz="4" w:space="0" w:color="auto"/>
              <w:right w:val="nil"/>
            </w:tcBorders>
            <w:shd w:val="clear" w:color="auto" w:fill="auto"/>
            <w:vAlign w:val="bottom"/>
          </w:tcPr>
          <w:p w14:paraId="6E0627A2" w14:textId="713F5A0B" w:rsidR="00CC6DE9" w:rsidRPr="006B318F" w:rsidRDefault="00CC6DE9" w:rsidP="00CC6DE9">
            <w:pPr>
              <w:tabs>
                <w:tab w:val="right" w:pos="1202"/>
              </w:tabs>
              <w:spacing w:after="0" w:line="240" w:lineRule="exact"/>
              <w:jc w:val="right"/>
              <w:outlineLvl w:val="0"/>
              <w:rPr>
                <w:rFonts w:eastAsia="Times New Roman" w:cs="Arial"/>
                <w:sz w:val="20"/>
                <w:szCs w:val="20"/>
              </w:rPr>
            </w:pPr>
            <w:r w:rsidRPr="006B318F">
              <w:rPr>
                <w:rFonts w:eastAsia="Times New Roman" w:cs="Arial"/>
                <w:sz w:val="20"/>
                <w:szCs w:val="20"/>
              </w:rPr>
              <w:t xml:space="preserve"> 103,918 </w:t>
            </w:r>
          </w:p>
        </w:tc>
        <w:tc>
          <w:tcPr>
            <w:tcW w:w="487" w:type="pct"/>
            <w:tcBorders>
              <w:top w:val="single" w:sz="4" w:space="0" w:color="auto"/>
              <w:left w:val="nil"/>
              <w:bottom w:val="single" w:sz="4" w:space="0" w:color="auto"/>
              <w:right w:val="nil"/>
            </w:tcBorders>
            <w:shd w:val="clear" w:color="auto" w:fill="auto"/>
            <w:vAlign w:val="bottom"/>
          </w:tcPr>
          <w:p w14:paraId="7D2B6F94" w14:textId="266E3DD3" w:rsidR="00CC6DE9" w:rsidRPr="006B318F" w:rsidRDefault="00CC6DE9" w:rsidP="00CC6DE9">
            <w:pPr>
              <w:tabs>
                <w:tab w:val="right" w:pos="1202"/>
              </w:tabs>
              <w:spacing w:after="0" w:line="240" w:lineRule="exact"/>
              <w:jc w:val="right"/>
              <w:outlineLvl w:val="0"/>
              <w:rPr>
                <w:rFonts w:eastAsia="Times New Roman" w:cs="Arial"/>
                <w:sz w:val="20"/>
                <w:szCs w:val="20"/>
              </w:rPr>
            </w:pPr>
            <w:r w:rsidRPr="006B318F">
              <w:rPr>
                <w:rFonts w:eastAsia="Times New Roman" w:cs="Arial"/>
                <w:sz w:val="20"/>
                <w:szCs w:val="20"/>
              </w:rPr>
              <w:t>888</w:t>
            </w:r>
          </w:p>
        </w:tc>
        <w:tc>
          <w:tcPr>
            <w:tcW w:w="487" w:type="pct"/>
            <w:tcBorders>
              <w:top w:val="single" w:sz="4" w:space="0" w:color="auto"/>
              <w:left w:val="nil"/>
              <w:bottom w:val="single" w:sz="4" w:space="0" w:color="auto"/>
              <w:right w:val="nil"/>
            </w:tcBorders>
            <w:shd w:val="clear" w:color="auto" w:fill="auto"/>
            <w:vAlign w:val="bottom"/>
          </w:tcPr>
          <w:p w14:paraId="0664792E" w14:textId="25D3BA47" w:rsidR="00CC6DE9" w:rsidRPr="006B318F" w:rsidRDefault="00CC6DE9">
            <w:pPr>
              <w:tabs>
                <w:tab w:val="right" w:pos="1202"/>
              </w:tabs>
              <w:spacing w:after="0" w:line="240" w:lineRule="exact"/>
              <w:jc w:val="right"/>
              <w:outlineLvl w:val="0"/>
              <w:rPr>
                <w:rFonts w:eastAsia="Times New Roman" w:cs="Arial"/>
                <w:sz w:val="20"/>
                <w:szCs w:val="20"/>
              </w:rPr>
            </w:pPr>
            <w:r w:rsidRPr="006B318F">
              <w:rPr>
                <w:rFonts w:eastAsia="Times New Roman" w:cs="Arial"/>
                <w:sz w:val="20"/>
                <w:szCs w:val="20"/>
              </w:rPr>
              <w:t>8</w:t>
            </w:r>
            <w:r w:rsidR="009A21F4">
              <w:rPr>
                <w:rFonts w:eastAsia="Times New Roman" w:cs="Arial"/>
                <w:sz w:val="20"/>
                <w:szCs w:val="20"/>
              </w:rPr>
              <w:t>,</w:t>
            </w:r>
            <w:r w:rsidRPr="006B318F">
              <w:rPr>
                <w:rFonts w:eastAsia="Times New Roman" w:cs="Arial"/>
                <w:sz w:val="20"/>
                <w:szCs w:val="20"/>
              </w:rPr>
              <w:t>435</w:t>
            </w:r>
          </w:p>
        </w:tc>
      </w:tr>
      <w:tr w:rsidR="00CC6DE9" w:rsidRPr="0097118D" w14:paraId="4B8AF21D" w14:textId="77777777" w:rsidTr="006B318F">
        <w:trPr>
          <w:trHeight w:hRule="exact" w:val="520"/>
        </w:trPr>
        <w:tc>
          <w:tcPr>
            <w:tcW w:w="1104" w:type="pct"/>
            <w:vAlign w:val="bottom"/>
          </w:tcPr>
          <w:p w14:paraId="5264C2D5" w14:textId="77777777" w:rsidR="00CC6DE9" w:rsidRPr="0097118D" w:rsidRDefault="00CC6DE9" w:rsidP="00CC6DE9">
            <w:pPr>
              <w:tabs>
                <w:tab w:val="left" w:pos="-720"/>
              </w:tabs>
              <w:suppressAutoHyphens/>
              <w:spacing w:after="0" w:line="240" w:lineRule="auto"/>
              <w:rPr>
                <w:rFonts w:eastAsia="Times New Roman" w:cs="Arial"/>
                <w:bCs/>
                <w:spacing w:val="-3"/>
                <w:sz w:val="20"/>
                <w:szCs w:val="20"/>
                <w:lang w:val="hr-HR"/>
              </w:rPr>
            </w:pPr>
            <w:r w:rsidRPr="0097118D">
              <w:rPr>
                <w:rFonts w:eastAsia="Times New Roman" w:cs="Arial"/>
                <w:sz w:val="20"/>
                <w:szCs w:val="20"/>
              </w:rPr>
              <w:t>Provision for guarantees and commitments</w:t>
            </w:r>
          </w:p>
        </w:tc>
        <w:tc>
          <w:tcPr>
            <w:tcW w:w="487" w:type="pct"/>
            <w:tcBorders>
              <w:top w:val="nil"/>
              <w:left w:val="nil"/>
              <w:bottom w:val="nil"/>
              <w:right w:val="nil"/>
            </w:tcBorders>
            <w:shd w:val="clear" w:color="auto" w:fill="auto"/>
            <w:vAlign w:val="bottom"/>
          </w:tcPr>
          <w:p w14:paraId="7E93553E" w14:textId="469DEF43" w:rsidR="00CC6DE9" w:rsidRPr="0097118D" w:rsidRDefault="00CC6DE9" w:rsidP="00CC6DE9">
            <w:pPr>
              <w:tabs>
                <w:tab w:val="left" w:pos="-720"/>
              </w:tabs>
              <w:suppressAutoHyphens/>
              <w:spacing w:after="0" w:line="280" w:lineRule="exact"/>
              <w:jc w:val="right"/>
              <w:rPr>
                <w:rFonts w:eastAsia="Times New Roman" w:cs="Arial"/>
                <w:bCs/>
                <w:spacing w:val="-3"/>
                <w:sz w:val="20"/>
                <w:szCs w:val="20"/>
              </w:rPr>
            </w:pPr>
            <w:r w:rsidRPr="006B318F">
              <w:rPr>
                <w:rFonts w:eastAsia="Times New Roman" w:cs="Arial"/>
                <w:bCs/>
                <w:spacing w:val="-3"/>
                <w:sz w:val="20"/>
                <w:szCs w:val="20"/>
              </w:rPr>
              <w:t xml:space="preserve"> 1,074 </w:t>
            </w:r>
          </w:p>
        </w:tc>
        <w:tc>
          <w:tcPr>
            <w:tcW w:w="487" w:type="pct"/>
            <w:tcBorders>
              <w:top w:val="nil"/>
              <w:left w:val="nil"/>
              <w:bottom w:val="nil"/>
              <w:right w:val="nil"/>
            </w:tcBorders>
            <w:shd w:val="clear" w:color="auto" w:fill="auto"/>
            <w:vAlign w:val="bottom"/>
          </w:tcPr>
          <w:p w14:paraId="753A32FE" w14:textId="33F0C365" w:rsidR="00CC6DE9" w:rsidRPr="0097118D" w:rsidRDefault="00CC6DE9" w:rsidP="00CC6DE9">
            <w:pPr>
              <w:tabs>
                <w:tab w:val="left" w:pos="-720"/>
              </w:tabs>
              <w:suppressAutoHyphens/>
              <w:spacing w:after="0" w:line="280" w:lineRule="exact"/>
              <w:jc w:val="right"/>
              <w:rPr>
                <w:rFonts w:eastAsia="Times New Roman" w:cs="Arial"/>
                <w:bCs/>
                <w:spacing w:val="-3"/>
                <w:sz w:val="20"/>
                <w:szCs w:val="20"/>
              </w:rPr>
            </w:pPr>
            <w:r w:rsidRPr="006B318F">
              <w:rPr>
                <w:rFonts w:eastAsia="Times New Roman" w:cs="Arial"/>
                <w:bCs/>
                <w:spacing w:val="-3"/>
                <w:sz w:val="20"/>
                <w:szCs w:val="20"/>
              </w:rPr>
              <w:t xml:space="preserve"> (7,336)</w:t>
            </w:r>
          </w:p>
        </w:tc>
        <w:tc>
          <w:tcPr>
            <w:tcW w:w="487" w:type="pct"/>
            <w:tcBorders>
              <w:top w:val="nil"/>
              <w:left w:val="nil"/>
              <w:bottom w:val="nil"/>
              <w:right w:val="nil"/>
            </w:tcBorders>
            <w:shd w:val="clear" w:color="auto" w:fill="auto"/>
            <w:vAlign w:val="bottom"/>
          </w:tcPr>
          <w:p w14:paraId="54C323B2" w14:textId="3684BC4E" w:rsidR="00CC6DE9" w:rsidRPr="0097118D" w:rsidRDefault="00CC6DE9" w:rsidP="00CC6DE9">
            <w:pPr>
              <w:tabs>
                <w:tab w:val="left" w:pos="-720"/>
              </w:tabs>
              <w:suppressAutoHyphens/>
              <w:spacing w:after="0" w:line="280" w:lineRule="exact"/>
              <w:jc w:val="right"/>
              <w:rPr>
                <w:rFonts w:eastAsia="Times New Roman" w:cs="Arial"/>
                <w:bCs/>
                <w:spacing w:val="-3"/>
                <w:sz w:val="20"/>
                <w:szCs w:val="20"/>
              </w:rPr>
            </w:pPr>
            <w:r w:rsidRPr="006B318F">
              <w:rPr>
                <w:rFonts w:eastAsia="Times New Roman" w:cs="Arial"/>
                <w:bCs/>
                <w:spacing w:val="-3"/>
                <w:sz w:val="20"/>
                <w:szCs w:val="20"/>
              </w:rPr>
              <w:t>21,680</w:t>
            </w:r>
          </w:p>
        </w:tc>
        <w:tc>
          <w:tcPr>
            <w:tcW w:w="487" w:type="pct"/>
            <w:tcBorders>
              <w:top w:val="nil"/>
              <w:left w:val="nil"/>
              <w:bottom w:val="nil"/>
              <w:right w:val="nil"/>
            </w:tcBorders>
            <w:shd w:val="clear" w:color="auto" w:fill="auto"/>
            <w:vAlign w:val="bottom"/>
          </w:tcPr>
          <w:p w14:paraId="5D3D5361" w14:textId="1D38C22C" w:rsidR="00CC6DE9" w:rsidRPr="0097118D" w:rsidRDefault="00CC6DE9" w:rsidP="00CC6DE9">
            <w:pPr>
              <w:tabs>
                <w:tab w:val="left" w:pos="-720"/>
              </w:tabs>
              <w:suppressAutoHyphens/>
              <w:spacing w:after="0" w:line="280" w:lineRule="exact"/>
              <w:jc w:val="right"/>
              <w:rPr>
                <w:rFonts w:eastAsia="Times New Roman" w:cs="Arial"/>
                <w:bCs/>
                <w:spacing w:val="-3"/>
                <w:sz w:val="20"/>
                <w:szCs w:val="20"/>
              </w:rPr>
            </w:pPr>
            <w:r w:rsidRPr="006B318F">
              <w:rPr>
                <w:rFonts w:eastAsia="Times New Roman" w:cs="Arial"/>
                <w:bCs/>
                <w:spacing w:val="-3"/>
                <w:sz w:val="20"/>
                <w:szCs w:val="20"/>
              </w:rPr>
              <w:t>18,817</w:t>
            </w:r>
          </w:p>
        </w:tc>
        <w:tc>
          <w:tcPr>
            <w:tcW w:w="487" w:type="pct"/>
            <w:tcBorders>
              <w:top w:val="nil"/>
              <w:left w:val="nil"/>
              <w:bottom w:val="nil"/>
              <w:right w:val="nil"/>
            </w:tcBorders>
            <w:shd w:val="clear" w:color="auto" w:fill="auto"/>
            <w:vAlign w:val="bottom"/>
          </w:tcPr>
          <w:p w14:paraId="14B4A9C6" w14:textId="257DD08D" w:rsidR="00CC6DE9" w:rsidRPr="006B318F" w:rsidRDefault="00CC6DE9" w:rsidP="00CC6DE9">
            <w:pPr>
              <w:tabs>
                <w:tab w:val="right" w:pos="1202"/>
              </w:tabs>
              <w:spacing w:after="0" w:line="240" w:lineRule="exact"/>
              <w:jc w:val="right"/>
              <w:outlineLvl w:val="0"/>
              <w:rPr>
                <w:rFonts w:eastAsia="Times New Roman" w:cs="Arial"/>
                <w:sz w:val="20"/>
                <w:szCs w:val="20"/>
              </w:rPr>
            </w:pPr>
            <w:r w:rsidRPr="006B318F">
              <w:rPr>
                <w:rFonts w:eastAsia="Times New Roman" w:cs="Arial"/>
                <w:sz w:val="20"/>
                <w:szCs w:val="20"/>
              </w:rPr>
              <w:t xml:space="preserve"> 1,074 </w:t>
            </w:r>
          </w:p>
        </w:tc>
        <w:tc>
          <w:tcPr>
            <w:tcW w:w="487" w:type="pct"/>
            <w:tcBorders>
              <w:top w:val="nil"/>
              <w:left w:val="nil"/>
              <w:bottom w:val="nil"/>
              <w:right w:val="nil"/>
            </w:tcBorders>
            <w:shd w:val="clear" w:color="auto" w:fill="auto"/>
            <w:vAlign w:val="bottom"/>
          </w:tcPr>
          <w:p w14:paraId="71E1DC3B" w14:textId="66B67E66" w:rsidR="00CC6DE9" w:rsidRPr="006B318F" w:rsidRDefault="00CC6DE9" w:rsidP="00CC6DE9">
            <w:pPr>
              <w:tabs>
                <w:tab w:val="right" w:pos="1202"/>
              </w:tabs>
              <w:spacing w:after="0" w:line="240" w:lineRule="exact"/>
              <w:jc w:val="right"/>
              <w:outlineLvl w:val="0"/>
              <w:rPr>
                <w:rFonts w:eastAsia="Times New Roman" w:cs="Arial"/>
                <w:sz w:val="20"/>
                <w:szCs w:val="20"/>
              </w:rPr>
            </w:pPr>
            <w:r w:rsidRPr="006B318F">
              <w:rPr>
                <w:rFonts w:eastAsia="Times New Roman" w:cs="Arial"/>
                <w:sz w:val="20"/>
                <w:szCs w:val="20"/>
              </w:rPr>
              <w:t xml:space="preserve"> (7,336)</w:t>
            </w:r>
          </w:p>
        </w:tc>
        <w:tc>
          <w:tcPr>
            <w:tcW w:w="487" w:type="pct"/>
            <w:tcBorders>
              <w:top w:val="nil"/>
              <w:left w:val="nil"/>
              <w:bottom w:val="nil"/>
              <w:right w:val="nil"/>
            </w:tcBorders>
            <w:shd w:val="clear" w:color="auto" w:fill="auto"/>
            <w:vAlign w:val="bottom"/>
          </w:tcPr>
          <w:p w14:paraId="00CAB255" w14:textId="021BEC58" w:rsidR="00CC6DE9" w:rsidRPr="006B318F" w:rsidRDefault="00CC6DE9" w:rsidP="00CC6DE9">
            <w:pPr>
              <w:tabs>
                <w:tab w:val="right" w:pos="1202"/>
              </w:tabs>
              <w:spacing w:after="0" w:line="240" w:lineRule="exact"/>
              <w:jc w:val="right"/>
              <w:outlineLvl w:val="0"/>
              <w:rPr>
                <w:rFonts w:eastAsia="Times New Roman" w:cs="Arial"/>
                <w:sz w:val="20"/>
                <w:szCs w:val="20"/>
              </w:rPr>
            </w:pPr>
            <w:r w:rsidRPr="006B318F">
              <w:rPr>
                <w:rFonts w:eastAsia="Times New Roman" w:cs="Arial"/>
                <w:sz w:val="20"/>
                <w:szCs w:val="20"/>
              </w:rPr>
              <w:t>21,680</w:t>
            </w:r>
          </w:p>
        </w:tc>
        <w:tc>
          <w:tcPr>
            <w:tcW w:w="487" w:type="pct"/>
            <w:tcBorders>
              <w:top w:val="nil"/>
              <w:left w:val="nil"/>
              <w:bottom w:val="nil"/>
              <w:right w:val="nil"/>
            </w:tcBorders>
            <w:shd w:val="clear" w:color="auto" w:fill="auto"/>
            <w:vAlign w:val="bottom"/>
          </w:tcPr>
          <w:p w14:paraId="7B2813C2" w14:textId="0446A4EB" w:rsidR="00CC6DE9" w:rsidRPr="006B318F" w:rsidRDefault="00CC6DE9" w:rsidP="00CC6DE9">
            <w:pPr>
              <w:tabs>
                <w:tab w:val="right" w:pos="1202"/>
              </w:tabs>
              <w:spacing w:after="0" w:line="240" w:lineRule="exact"/>
              <w:jc w:val="right"/>
              <w:outlineLvl w:val="0"/>
              <w:rPr>
                <w:rFonts w:eastAsia="Times New Roman" w:cs="Arial"/>
                <w:sz w:val="20"/>
                <w:szCs w:val="20"/>
              </w:rPr>
            </w:pPr>
            <w:r w:rsidRPr="006B318F">
              <w:rPr>
                <w:rFonts w:eastAsia="Times New Roman" w:cs="Arial"/>
                <w:sz w:val="20"/>
                <w:szCs w:val="20"/>
              </w:rPr>
              <w:t>18,817</w:t>
            </w:r>
          </w:p>
        </w:tc>
      </w:tr>
      <w:tr w:rsidR="00CC6DE9" w:rsidRPr="0097118D" w14:paraId="7AFF80F3" w14:textId="77777777" w:rsidTr="006B318F">
        <w:trPr>
          <w:trHeight w:hRule="exact" w:val="303"/>
        </w:trPr>
        <w:tc>
          <w:tcPr>
            <w:tcW w:w="1104" w:type="pct"/>
            <w:vAlign w:val="bottom"/>
          </w:tcPr>
          <w:p w14:paraId="2C77127C" w14:textId="77777777" w:rsidR="00CC6DE9" w:rsidRPr="0097118D" w:rsidRDefault="00CC6DE9" w:rsidP="00CC6DE9">
            <w:pPr>
              <w:tabs>
                <w:tab w:val="left" w:pos="-720"/>
              </w:tabs>
              <w:suppressAutoHyphens/>
              <w:spacing w:after="0" w:line="240" w:lineRule="auto"/>
              <w:rPr>
                <w:rFonts w:eastAsia="Times New Roman" w:cs="Arial"/>
                <w:bCs/>
                <w:spacing w:val="-3"/>
                <w:sz w:val="20"/>
                <w:szCs w:val="20"/>
              </w:rPr>
            </w:pPr>
            <w:r w:rsidRPr="0097118D">
              <w:rPr>
                <w:rFonts w:eastAsia="Times New Roman" w:cs="Arial"/>
                <w:sz w:val="20"/>
                <w:szCs w:val="20"/>
              </w:rPr>
              <w:t>Other provisions</w:t>
            </w:r>
          </w:p>
        </w:tc>
        <w:tc>
          <w:tcPr>
            <w:tcW w:w="487" w:type="pct"/>
            <w:tcBorders>
              <w:top w:val="nil"/>
              <w:left w:val="nil"/>
              <w:bottom w:val="nil"/>
              <w:right w:val="nil"/>
            </w:tcBorders>
            <w:shd w:val="clear" w:color="auto" w:fill="auto"/>
            <w:vAlign w:val="bottom"/>
          </w:tcPr>
          <w:p w14:paraId="6F0CF19E" w14:textId="253180A6" w:rsidR="00CC6DE9" w:rsidRPr="006B318F" w:rsidRDefault="00CC6DE9" w:rsidP="00CC6DE9">
            <w:pPr>
              <w:tabs>
                <w:tab w:val="left" w:pos="-720"/>
              </w:tabs>
              <w:suppressAutoHyphens/>
              <w:spacing w:after="0" w:line="280" w:lineRule="exact"/>
              <w:jc w:val="right"/>
              <w:rPr>
                <w:rFonts w:eastAsia="Times New Roman" w:cs="Arial"/>
                <w:bCs/>
                <w:spacing w:val="-3"/>
                <w:sz w:val="20"/>
                <w:szCs w:val="20"/>
              </w:rPr>
            </w:pPr>
            <w:r w:rsidRPr="006B318F">
              <w:rPr>
                <w:rFonts w:eastAsia="Times New Roman" w:cs="Arial"/>
                <w:bCs/>
                <w:spacing w:val="-3"/>
                <w:sz w:val="20"/>
                <w:szCs w:val="20"/>
              </w:rPr>
              <w:t xml:space="preserve"> 3,164 </w:t>
            </w:r>
          </w:p>
        </w:tc>
        <w:tc>
          <w:tcPr>
            <w:tcW w:w="487" w:type="pct"/>
            <w:tcBorders>
              <w:top w:val="nil"/>
              <w:left w:val="nil"/>
              <w:bottom w:val="nil"/>
              <w:right w:val="nil"/>
            </w:tcBorders>
            <w:shd w:val="clear" w:color="auto" w:fill="auto"/>
            <w:vAlign w:val="bottom"/>
          </w:tcPr>
          <w:p w14:paraId="5E9E1AAE" w14:textId="77213064" w:rsidR="00CC6DE9" w:rsidRPr="006B318F" w:rsidRDefault="00CC6DE9" w:rsidP="00CC6DE9">
            <w:pPr>
              <w:tabs>
                <w:tab w:val="left" w:pos="-720"/>
              </w:tabs>
              <w:suppressAutoHyphens/>
              <w:spacing w:after="0" w:line="280" w:lineRule="exact"/>
              <w:jc w:val="right"/>
              <w:rPr>
                <w:rFonts w:eastAsia="Times New Roman" w:cs="Arial"/>
                <w:bCs/>
                <w:spacing w:val="-3"/>
                <w:sz w:val="20"/>
                <w:szCs w:val="20"/>
              </w:rPr>
            </w:pPr>
            <w:r w:rsidRPr="006B318F">
              <w:rPr>
                <w:rFonts w:eastAsia="Times New Roman" w:cs="Arial"/>
                <w:bCs/>
                <w:spacing w:val="-3"/>
                <w:sz w:val="20"/>
                <w:szCs w:val="20"/>
              </w:rPr>
              <w:t xml:space="preserve"> (4,787)</w:t>
            </w:r>
          </w:p>
        </w:tc>
        <w:tc>
          <w:tcPr>
            <w:tcW w:w="487" w:type="pct"/>
            <w:tcBorders>
              <w:top w:val="nil"/>
              <w:left w:val="nil"/>
              <w:bottom w:val="nil"/>
              <w:right w:val="nil"/>
            </w:tcBorders>
            <w:shd w:val="clear" w:color="auto" w:fill="auto"/>
            <w:vAlign w:val="bottom"/>
          </w:tcPr>
          <w:p w14:paraId="72726EC8" w14:textId="4F4A63F3" w:rsidR="00CC6DE9" w:rsidRPr="006B318F" w:rsidRDefault="00CC6DE9" w:rsidP="00CC6DE9">
            <w:pPr>
              <w:tabs>
                <w:tab w:val="left" w:pos="-720"/>
              </w:tabs>
              <w:suppressAutoHyphens/>
              <w:spacing w:after="0" w:line="280" w:lineRule="exact"/>
              <w:jc w:val="right"/>
              <w:rPr>
                <w:rFonts w:eastAsia="Times New Roman" w:cs="Arial"/>
                <w:bCs/>
                <w:spacing w:val="-3"/>
                <w:sz w:val="20"/>
                <w:szCs w:val="20"/>
              </w:rPr>
            </w:pPr>
            <w:r w:rsidRPr="006B318F">
              <w:rPr>
                <w:rFonts w:eastAsia="Times New Roman" w:cs="Arial"/>
                <w:bCs/>
                <w:spacing w:val="-3"/>
                <w:sz w:val="20"/>
                <w:szCs w:val="20"/>
              </w:rPr>
              <w:t>1,278</w:t>
            </w:r>
          </w:p>
        </w:tc>
        <w:tc>
          <w:tcPr>
            <w:tcW w:w="487" w:type="pct"/>
            <w:tcBorders>
              <w:top w:val="nil"/>
              <w:left w:val="nil"/>
              <w:bottom w:val="nil"/>
              <w:right w:val="nil"/>
            </w:tcBorders>
            <w:shd w:val="clear" w:color="auto" w:fill="auto"/>
            <w:vAlign w:val="bottom"/>
          </w:tcPr>
          <w:p w14:paraId="2B10EC3D" w14:textId="73E94DFF" w:rsidR="00CC6DE9" w:rsidRPr="006B318F" w:rsidRDefault="00CC6DE9" w:rsidP="00CC6DE9">
            <w:pPr>
              <w:tabs>
                <w:tab w:val="left" w:pos="-720"/>
              </w:tabs>
              <w:suppressAutoHyphens/>
              <w:spacing w:after="0" w:line="280" w:lineRule="exact"/>
              <w:jc w:val="right"/>
              <w:rPr>
                <w:rFonts w:eastAsia="Times New Roman" w:cs="Arial"/>
                <w:bCs/>
                <w:spacing w:val="-3"/>
                <w:sz w:val="20"/>
                <w:szCs w:val="20"/>
              </w:rPr>
            </w:pPr>
            <w:r w:rsidRPr="006B318F">
              <w:rPr>
                <w:rFonts w:eastAsia="Times New Roman" w:cs="Arial"/>
                <w:bCs/>
                <w:spacing w:val="-3"/>
                <w:sz w:val="20"/>
                <w:szCs w:val="20"/>
              </w:rPr>
              <w:t>17,555</w:t>
            </w:r>
          </w:p>
        </w:tc>
        <w:tc>
          <w:tcPr>
            <w:tcW w:w="487" w:type="pct"/>
            <w:tcBorders>
              <w:top w:val="nil"/>
              <w:left w:val="nil"/>
              <w:bottom w:val="nil"/>
              <w:right w:val="nil"/>
            </w:tcBorders>
            <w:shd w:val="clear" w:color="auto" w:fill="auto"/>
            <w:vAlign w:val="bottom"/>
          </w:tcPr>
          <w:p w14:paraId="4343A41F" w14:textId="58621EFB" w:rsidR="00CC6DE9" w:rsidRPr="006B318F" w:rsidRDefault="00CC6DE9" w:rsidP="00CC6DE9">
            <w:pPr>
              <w:tabs>
                <w:tab w:val="right" w:pos="1202"/>
              </w:tabs>
              <w:spacing w:after="0" w:line="240" w:lineRule="exact"/>
              <w:jc w:val="right"/>
              <w:outlineLvl w:val="0"/>
              <w:rPr>
                <w:rFonts w:eastAsia="Times New Roman" w:cs="Arial"/>
                <w:sz w:val="20"/>
                <w:szCs w:val="20"/>
              </w:rPr>
            </w:pPr>
            <w:r w:rsidRPr="006B318F">
              <w:rPr>
                <w:rFonts w:eastAsia="Times New Roman" w:cs="Arial"/>
                <w:sz w:val="20"/>
                <w:szCs w:val="20"/>
              </w:rPr>
              <w:t xml:space="preserve"> 3,164 </w:t>
            </w:r>
          </w:p>
        </w:tc>
        <w:tc>
          <w:tcPr>
            <w:tcW w:w="487" w:type="pct"/>
            <w:tcBorders>
              <w:top w:val="nil"/>
              <w:left w:val="nil"/>
              <w:bottom w:val="nil"/>
              <w:right w:val="nil"/>
            </w:tcBorders>
            <w:shd w:val="clear" w:color="auto" w:fill="auto"/>
            <w:vAlign w:val="bottom"/>
          </w:tcPr>
          <w:p w14:paraId="14FC0970" w14:textId="474B5A06" w:rsidR="00CC6DE9" w:rsidRPr="006B318F" w:rsidRDefault="00CC6DE9" w:rsidP="00CC6DE9">
            <w:pPr>
              <w:tabs>
                <w:tab w:val="right" w:pos="1202"/>
              </w:tabs>
              <w:spacing w:after="0" w:line="240" w:lineRule="exact"/>
              <w:jc w:val="right"/>
              <w:outlineLvl w:val="0"/>
              <w:rPr>
                <w:rFonts w:eastAsia="Times New Roman" w:cs="Arial"/>
                <w:sz w:val="20"/>
                <w:szCs w:val="20"/>
              </w:rPr>
            </w:pPr>
            <w:r w:rsidRPr="006B318F">
              <w:rPr>
                <w:rFonts w:eastAsia="Times New Roman" w:cs="Arial"/>
                <w:sz w:val="20"/>
                <w:szCs w:val="20"/>
              </w:rPr>
              <w:t xml:space="preserve"> (4,713)</w:t>
            </w:r>
          </w:p>
        </w:tc>
        <w:tc>
          <w:tcPr>
            <w:tcW w:w="487" w:type="pct"/>
            <w:tcBorders>
              <w:top w:val="nil"/>
              <w:left w:val="nil"/>
              <w:bottom w:val="nil"/>
              <w:right w:val="nil"/>
            </w:tcBorders>
            <w:shd w:val="clear" w:color="auto" w:fill="auto"/>
            <w:vAlign w:val="bottom"/>
          </w:tcPr>
          <w:p w14:paraId="2402CECD" w14:textId="30C98607" w:rsidR="00CC6DE9" w:rsidRPr="006B318F" w:rsidRDefault="00CC6DE9" w:rsidP="00CC6DE9">
            <w:pPr>
              <w:tabs>
                <w:tab w:val="right" w:pos="1202"/>
              </w:tabs>
              <w:spacing w:after="0" w:line="240" w:lineRule="exact"/>
              <w:jc w:val="right"/>
              <w:outlineLvl w:val="0"/>
              <w:rPr>
                <w:rFonts w:eastAsia="Times New Roman" w:cs="Arial"/>
                <w:sz w:val="20"/>
                <w:szCs w:val="20"/>
              </w:rPr>
            </w:pPr>
            <w:r w:rsidRPr="006B318F">
              <w:rPr>
                <w:rFonts w:eastAsia="Times New Roman" w:cs="Arial"/>
                <w:sz w:val="20"/>
                <w:szCs w:val="20"/>
              </w:rPr>
              <w:t>1,312</w:t>
            </w:r>
          </w:p>
        </w:tc>
        <w:tc>
          <w:tcPr>
            <w:tcW w:w="487" w:type="pct"/>
            <w:tcBorders>
              <w:top w:val="nil"/>
              <w:left w:val="nil"/>
              <w:bottom w:val="nil"/>
              <w:right w:val="nil"/>
            </w:tcBorders>
            <w:shd w:val="clear" w:color="auto" w:fill="auto"/>
            <w:vAlign w:val="bottom"/>
          </w:tcPr>
          <w:p w14:paraId="1AC46265" w14:textId="3E2778F5" w:rsidR="00CC6DE9" w:rsidRPr="006B318F" w:rsidRDefault="00CC6DE9" w:rsidP="00CC6DE9">
            <w:pPr>
              <w:tabs>
                <w:tab w:val="right" w:pos="1202"/>
              </w:tabs>
              <w:spacing w:after="0" w:line="240" w:lineRule="exact"/>
              <w:jc w:val="right"/>
              <w:outlineLvl w:val="0"/>
              <w:rPr>
                <w:rFonts w:eastAsia="Times New Roman" w:cs="Arial"/>
                <w:sz w:val="20"/>
                <w:szCs w:val="20"/>
              </w:rPr>
            </w:pPr>
            <w:r w:rsidRPr="006B318F">
              <w:rPr>
                <w:rFonts w:eastAsia="Times New Roman" w:cs="Arial"/>
                <w:sz w:val="20"/>
                <w:szCs w:val="20"/>
              </w:rPr>
              <w:t>17,628</w:t>
            </w:r>
          </w:p>
        </w:tc>
      </w:tr>
      <w:tr w:rsidR="00CC6DE9" w:rsidRPr="0097118D" w14:paraId="6DB306B8" w14:textId="77777777" w:rsidTr="006B318F">
        <w:trPr>
          <w:trHeight w:hRule="exact" w:val="779"/>
        </w:trPr>
        <w:tc>
          <w:tcPr>
            <w:tcW w:w="1104" w:type="pct"/>
            <w:vAlign w:val="bottom"/>
          </w:tcPr>
          <w:p w14:paraId="3702D653" w14:textId="77777777" w:rsidR="00CC6DE9" w:rsidRPr="0097118D" w:rsidRDefault="00CC6DE9" w:rsidP="00CC6DE9">
            <w:pPr>
              <w:tabs>
                <w:tab w:val="left" w:pos="-720"/>
              </w:tabs>
              <w:suppressAutoHyphens/>
              <w:spacing w:after="0" w:line="240" w:lineRule="auto"/>
              <w:rPr>
                <w:rFonts w:eastAsia="Times New Roman" w:cs="Arial"/>
                <w:bCs/>
                <w:spacing w:val="-3"/>
                <w:sz w:val="20"/>
                <w:szCs w:val="20"/>
                <w:lang w:val="hr-HR"/>
              </w:rPr>
            </w:pPr>
            <w:r w:rsidRPr="0097118D">
              <w:rPr>
                <w:rFonts w:eastAsia="Times New Roman" w:cs="Arial"/>
                <w:sz w:val="20"/>
                <w:szCs w:val="20"/>
              </w:rPr>
              <w:t>Total increase/(decrease) in provision for guarantees and commitments and other provisions</w:t>
            </w:r>
            <w:r w:rsidRPr="0097118D">
              <w:rPr>
                <w:rFonts w:eastAsia="Times New Roman" w:cs="Arial"/>
                <w:bCs/>
                <w:spacing w:val="-3"/>
                <w:sz w:val="20"/>
                <w:szCs w:val="20"/>
              </w:rPr>
              <w:t xml:space="preserve"> </w:t>
            </w:r>
          </w:p>
        </w:tc>
        <w:tc>
          <w:tcPr>
            <w:tcW w:w="487" w:type="pct"/>
            <w:tcBorders>
              <w:top w:val="single" w:sz="4" w:space="0" w:color="auto"/>
              <w:left w:val="nil"/>
              <w:bottom w:val="single" w:sz="4" w:space="0" w:color="auto"/>
              <w:right w:val="nil"/>
            </w:tcBorders>
            <w:shd w:val="clear" w:color="auto" w:fill="auto"/>
            <w:vAlign w:val="bottom"/>
          </w:tcPr>
          <w:p w14:paraId="02E5054C" w14:textId="0B58349C" w:rsidR="00CC6DE9" w:rsidRPr="0097118D" w:rsidRDefault="00CC6DE9" w:rsidP="00CC6DE9">
            <w:pPr>
              <w:tabs>
                <w:tab w:val="left" w:pos="-720"/>
              </w:tabs>
              <w:suppressAutoHyphens/>
              <w:spacing w:after="0" w:line="280" w:lineRule="exact"/>
              <w:jc w:val="right"/>
              <w:rPr>
                <w:rFonts w:eastAsia="Times New Roman" w:cs="Arial"/>
                <w:bCs/>
                <w:spacing w:val="-3"/>
                <w:sz w:val="20"/>
                <w:szCs w:val="20"/>
              </w:rPr>
            </w:pPr>
            <w:r w:rsidRPr="006B318F">
              <w:rPr>
                <w:rFonts w:eastAsia="Times New Roman" w:cs="Arial"/>
                <w:bCs/>
                <w:spacing w:val="-3"/>
                <w:sz w:val="20"/>
                <w:szCs w:val="20"/>
              </w:rPr>
              <w:t xml:space="preserve"> 4,238 </w:t>
            </w:r>
          </w:p>
        </w:tc>
        <w:tc>
          <w:tcPr>
            <w:tcW w:w="487" w:type="pct"/>
            <w:tcBorders>
              <w:top w:val="single" w:sz="4" w:space="0" w:color="auto"/>
              <w:left w:val="nil"/>
              <w:bottom w:val="single" w:sz="4" w:space="0" w:color="auto"/>
              <w:right w:val="nil"/>
            </w:tcBorders>
            <w:shd w:val="clear" w:color="auto" w:fill="auto"/>
            <w:vAlign w:val="bottom"/>
          </w:tcPr>
          <w:p w14:paraId="2708F19A" w14:textId="51E703D6" w:rsidR="00CC6DE9" w:rsidRPr="0097118D" w:rsidRDefault="00CC6DE9" w:rsidP="00CC6DE9">
            <w:pPr>
              <w:tabs>
                <w:tab w:val="left" w:pos="-720"/>
              </w:tabs>
              <w:suppressAutoHyphens/>
              <w:spacing w:after="0" w:line="280" w:lineRule="exact"/>
              <w:jc w:val="right"/>
              <w:rPr>
                <w:rFonts w:eastAsia="Times New Roman" w:cs="Arial"/>
                <w:bCs/>
                <w:spacing w:val="-3"/>
                <w:sz w:val="20"/>
                <w:szCs w:val="20"/>
              </w:rPr>
            </w:pPr>
            <w:r w:rsidRPr="006B318F">
              <w:rPr>
                <w:rFonts w:eastAsia="Times New Roman" w:cs="Arial"/>
                <w:bCs/>
                <w:spacing w:val="-3"/>
                <w:sz w:val="20"/>
                <w:szCs w:val="20"/>
              </w:rPr>
              <w:t xml:space="preserve"> (12,123)</w:t>
            </w:r>
          </w:p>
        </w:tc>
        <w:tc>
          <w:tcPr>
            <w:tcW w:w="487" w:type="pct"/>
            <w:tcBorders>
              <w:top w:val="single" w:sz="4" w:space="0" w:color="auto"/>
              <w:left w:val="nil"/>
              <w:bottom w:val="single" w:sz="4" w:space="0" w:color="auto"/>
              <w:right w:val="nil"/>
            </w:tcBorders>
            <w:shd w:val="clear" w:color="auto" w:fill="auto"/>
            <w:vAlign w:val="bottom"/>
          </w:tcPr>
          <w:p w14:paraId="1D29753F" w14:textId="268B074E" w:rsidR="00CC6DE9" w:rsidRPr="0097118D" w:rsidRDefault="00CC6DE9" w:rsidP="00CC6DE9">
            <w:pPr>
              <w:tabs>
                <w:tab w:val="left" w:pos="-720"/>
              </w:tabs>
              <w:suppressAutoHyphens/>
              <w:spacing w:after="0" w:line="280" w:lineRule="exact"/>
              <w:jc w:val="right"/>
              <w:rPr>
                <w:rFonts w:eastAsia="Times New Roman" w:cs="Arial"/>
                <w:bCs/>
                <w:spacing w:val="-3"/>
                <w:sz w:val="20"/>
                <w:szCs w:val="20"/>
              </w:rPr>
            </w:pPr>
            <w:r w:rsidRPr="006B318F">
              <w:rPr>
                <w:rFonts w:eastAsia="Times New Roman" w:cs="Arial"/>
                <w:bCs/>
                <w:spacing w:val="-3"/>
                <w:sz w:val="20"/>
                <w:szCs w:val="20"/>
              </w:rPr>
              <w:t>22,958</w:t>
            </w:r>
          </w:p>
        </w:tc>
        <w:tc>
          <w:tcPr>
            <w:tcW w:w="487" w:type="pct"/>
            <w:tcBorders>
              <w:top w:val="single" w:sz="4" w:space="0" w:color="auto"/>
              <w:left w:val="nil"/>
              <w:bottom w:val="single" w:sz="4" w:space="0" w:color="auto"/>
              <w:right w:val="nil"/>
            </w:tcBorders>
            <w:shd w:val="clear" w:color="auto" w:fill="auto"/>
            <w:vAlign w:val="bottom"/>
          </w:tcPr>
          <w:p w14:paraId="5A83A343" w14:textId="3EA3F7A7" w:rsidR="00CC6DE9" w:rsidRPr="0097118D" w:rsidRDefault="00CC6DE9" w:rsidP="00CC6DE9">
            <w:pPr>
              <w:tabs>
                <w:tab w:val="left" w:pos="-720"/>
              </w:tabs>
              <w:suppressAutoHyphens/>
              <w:spacing w:after="0" w:line="280" w:lineRule="exact"/>
              <w:jc w:val="right"/>
              <w:rPr>
                <w:rFonts w:eastAsia="Times New Roman" w:cs="Arial"/>
                <w:bCs/>
                <w:spacing w:val="-3"/>
                <w:sz w:val="20"/>
                <w:szCs w:val="20"/>
              </w:rPr>
            </w:pPr>
            <w:r w:rsidRPr="006B318F">
              <w:rPr>
                <w:rFonts w:eastAsia="Times New Roman" w:cs="Arial"/>
                <w:bCs/>
                <w:spacing w:val="-3"/>
                <w:sz w:val="20"/>
                <w:szCs w:val="20"/>
              </w:rPr>
              <w:t>36,372</w:t>
            </w:r>
          </w:p>
        </w:tc>
        <w:tc>
          <w:tcPr>
            <w:tcW w:w="487" w:type="pct"/>
            <w:tcBorders>
              <w:top w:val="single" w:sz="4" w:space="0" w:color="auto"/>
              <w:left w:val="nil"/>
              <w:bottom w:val="single" w:sz="4" w:space="0" w:color="auto"/>
              <w:right w:val="nil"/>
            </w:tcBorders>
            <w:shd w:val="clear" w:color="auto" w:fill="auto"/>
            <w:vAlign w:val="bottom"/>
          </w:tcPr>
          <w:p w14:paraId="071B3615" w14:textId="3360A3FA" w:rsidR="00CC6DE9" w:rsidRPr="006B318F" w:rsidRDefault="00CC6DE9" w:rsidP="00CC6DE9">
            <w:pPr>
              <w:tabs>
                <w:tab w:val="right" w:pos="1202"/>
              </w:tabs>
              <w:spacing w:after="0" w:line="240" w:lineRule="exact"/>
              <w:jc w:val="right"/>
              <w:outlineLvl w:val="0"/>
              <w:rPr>
                <w:rFonts w:eastAsia="Times New Roman" w:cs="Arial"/>
                <w:sz w:val="20"/>
                <w:szCs w:val="20"/>
              </w:rPr>
            </w:pPr>
            <w:r w:rsidRPr="006B318F">
              <w:rPr>
                <w:rFonts w:eastAsia="Times New Roman" w:cs="Arial"/>
                <w:sz w:val="20"/>
                <w:szCs w:val="20"/>
              </w:rPr>
              <w:t xml:space="preserve"> 4,238 </w:t>
            </w:r>
          </w:p>
        </w:tc>
        <w:tc>
          <w:tcPr>
            <w:tcW w:w="487" w:type="pct"/>
            <w:tcBorders>
              <w:top w:val="single" w:sz="4" w:space="0" w:color="auto"/>
              <w:left w:val="nil"/>
              <w:bottom w:val="single" w:sz="4" w:space="0" w:color="auto"/>
              <w:right w:val="nil"/>
            </w:tcBorders>
            <w:shd w:val="clear" w:color="auto" w:fill="auto"/>
            <w:vAlign w:val="bottom"/>
          </w:tcPr>
          <w:p w14:paraId="39F676F5" w14:textId="1D7F6D49" w:rsidR="00CC6DE9" w:rsidRPr="006B318F" w:rsidRDefault="00CC6DE9" w:rsidP="00CC6DE9">
            <w:pPr>
              <w:tabs>
                <w:tab w:val="right" w:pos="1202"/>
              </w:tabs>
              <w:spacing w:after="0" w:line="240" w:lineRule="exact"/>
              <w:jc w:val="right"/>
              <w:outlineLvl w:val="0"/>
              <w:rPr>
                <w:rFonts w:eastAsia="Times New Roman" w:cs="Arial"/>
                <w:sz w:val="20"/>
                <w:szCs w:val="20"/>
              </w:rPr>
            </w:pPr>
            <w:r w:rsidRPr="006B318F">
              <w:rPr>
                <w:rFonts w:eastAsia="Times New Roman" w:cs="Arial"/>
                <w:sz w:val="20"/>
                <w:szCs w:val="20"/>
              </w:rPr>
              <w:t xml:space="preserve"> (12,049)</w:t>
            </w:r>
          </w:p>
        </w:tc>
        <w:tc>
          <w:tcPr>
            <w:tcW w:w="487" w:type="pct"/>
            <w:tcBorders>
              <w:top w:val="single" w:sz="4" w:space="0" w:color="auto"/>
              <w:left w:val="nil"/>
              <w:bottom w:val="single" w:sz="4" w:space="0" w:color="auto"/>
              <w:right w:val="nil"/>
            </w:tcBorders>
            <w:shd w:val="clear" w:color="auto" w:fill="auto"/>
            <w:vAlign w:val="bottom"/>
          </w:tcPr>
          <w:p w14:paraId="3F3E58BD" w14:textId="3C905D97" w:rsidR="00CC6DE9" w:rsidRPr="006B318F" w:rsidRDefault="00CC6DE9" w:rsidP="00CC6DE9">
            <w:pPr>
              <w:tabs>
                <w:tab w:val="right" w:pos="1202"/>
              </w:tabs>
              <w:spacing w:after="0" w:line="240" w:lineRule="exact"/>
              <w:jc w:val="right"/>
              <w:outlineLvl w:val="0"/>
              <w:rPr>
                <w:rFonts w:eastAsia="Times New Roman" w:cs="Arial"/>
                <w:sz w:val="20"/>
                <w:szCs w:val="20"/>
              </w:rPr>
            </w:pPr>
            <w:r w:rsidRPr="006B318F">
              <w:rPr>
                <w:rFonts w:eastAsia="Times New Roman" w:cs="Arial"/>
                <w:sz w:val="20"/>
                <w:szCs w:val="20"/>
              </w:rPr>
              <w:t>22,992</w:t>
            </w:r>
          </w:p>
        </w:tc>
        <w:tc>
          <w:tcPr>
            <w:tcW w:w="487" w:type="pct"/>
            <w:tcBorders>
              <w:top w:val="single" w:sz="4" w:space="0" w:color="auto"/>
              <w:left w:val="nil"/>
              <w:bottom w:val="single" w:sz="4" w:space="0" w:color="auto"/>
              <w:right w:val="nil"/>
            </w:tcBorders>
            <w:shd w:val="clear" w:color="auto" w:fill="auto"/>
            <w:vAlign w:val="bottom"/>
          </w:tcPr>
          <w:p w14:paraId="55DF2C4A" w14:textId="09633C0E" w:rsidR="00CC6DE9" w:rsidRPr="006B318F" w:rsidRDefault="00CC6DE9" w:rsidP="00CC6DE9">
            <w:pPr>
              <w:tabs>
                <w:tab w:val="right" w:pos="1202"/>
              </w:tabs>
              <w:spacing w:after="0" w:line="240" w:lineRule="exact"/>
              <w:jc w:val="right"/>
              <w:outlineLvl w:val="0"/>
              <w:rPr>
                <w:rFonts w:eastAsia="Times New Roman" w:cs="Arial"/>
                <w:sz w:val="20"/>
                <w:szCs w:val="20"/>
              </w:rPr>
            </w:pPr>
            <w:r w:rsidRPr="006B318F">
              <w:rPr>
                <w:rFonts w:eastAsia="Times New Roman" w:cs="Arial"/>
                <w:sz w:val="20"/>
                <w:szCs w:val="20"/>
              </w:rPr>
              <w:t>36,445</w:t>
            </w:r>
          </w:p>
        </w:tc>
      </w:tr>
      <w:tr w:rsidR="00CC6DE9" w:rsidRPr="0097118D" w14:paraId="398888A5" w14:textId="77777777" w:rsidTr="006B318F">
        <w:trPr>
          <w:trHeight w:hRule="exact" w:val="279"/>
        </w:trPr>
        <w:tc>
          <w:tcPr>
            <w:tcW w:w="1104" w:type="pct"/>
            <w:vAlign w:val="bottom"/>
          </w:tcPr>
          <w:p w14:paraId="0815BA02" w14:textId="77777777" w:rsidR="00CC6DE9" w:rsidRPr="0097118D" w:rsidRDefault="00CC6DE9" w:rsidP="00CC6DE9">
            <w:pPr>
              <w:tabs>
                <w:tab w:val="right" w:pos="1202"/>
              </w:tabs>
              <w:spacing w:after="0" w:line="240" w:lineRule="exact"/>
              <w:outlineLvl w:val="0"/>
              <w:rPr>
                <w:rFonts w:eastAsia="Times New Roman" w:cs="Arial"/>
                <w:b/>
                <w:bCs/>
                <w:spacing w:val="-2"/>
                <w:sz w:val="20"/>
                <w:szCs w:val="20"/>
              </w:rPr>
            </w:pPr>
            <w:r w:rsidRPr="0097118D">
              <w:rPr>
                <w:rFonts w:eastAsia="Times New Roman" w:cs="Arial"/>
                <w:b/>
                <w:bCs/>
                <w:sz w:val="20"/>
                <w:szCs w:val="20"/>
              </w:rPr>
              <w:t>Total increase of provisions</w:t>
            </w:r>
          </w:p>
        </w:tc>
        <w:tc>
          <w:tcPr>
            <w:tcW w:w="487" w:type="pct"/>
            <w:tcBorders>
              <w:top w:val="nil"/>
              <w:left w:val="nil"/>
              <w:bottom w:val="single" w:sz="12" w:space="0" w:color="000000" w:themeColor="text1"/>
              <w:right w:val="nil"/>
            </w:tcBorders>
            <w:shd w:val="clear" w:color="auto" w:fill="auto"/>
            <w:vAlign w:val="bottom"/>
          </w:tcPr>
          <w:p w14:paraId="448D8743" w14:textId="3F03A287" w:rsidR="00CC6DE9" w:rsidRPr="006B318F" w:rsidRDefault="00CC6DE9" w:rsidP="006B318F">
            <w:pPr>
              <w:tabs>
                <w:tab w:val="left" w:pos="-720"/>
              </w:tabs>
              <w:suppressAutoHyphens/>
              <w:spacing w:after="0" w:line="280" w:lineRule="exact"/>
              <w:jc w:val="right"/>
              <w:rPr>
                <w:rFonts w:eastAsia="Times New Roman" w:cs="Arial"/>
                <w:b/>
                <w:bCs/>
                <w:spacing w:val="-3"/>
                <w:sz w:val="20"/>
                <w:szCs w:val="20"/>
              </w:rPr>
            </w:pPr>
            <w:r w:rsidRPr="006B318F">
              <w:rPr>
                <w:rFonts w:eastAsia="Times New Roman" w:cs="Arial"/>
                <w:b/>
                <w:bCs/>
                <w:spacing w:val="-3"/>
                <w:sz w:val="20"/>
                <w:szCs w:val="20"/>
              </w:rPr>
              <w:t xml:space="preserve"> 48,773 </w:t>
            </w:r>
          </w:p>
        </w:tc>
        <w:tc>
          <w:tcPr>
            <w:tcW w:w="487" w:type="pct"/>
            <w:tcBorders>
              <w:top w:val="nil"/>
              <w:left w:val="nil"/>
              <w:bottom w:val="single" w:sz="12" w:space="0" w:color="000000" w:themeColor="text1"/>
              <w:right w:val="nil"/>
            </w:tcBorders>
            <w:shd w:val="clear" w:color="auto" w:fill="auto"/>
            <w:vAlign w:val="bottom"/>
          </w:tcPr>
          <w:p w14:paraId="048AF973" w14:textId="097EECCA" w:rsidR="00CC6DE9" w:rsidRPr="006B318F" w:rsidRDefault="00CC6DE9" w:rsidP="006B318F">
            <w:pPr>
              <w:tabs>
                <w:tab w:val="left" w:pos="-720"/>
              </w:tabs>
              <w:suppressAutoHyphens/>
              <w:spacing w:after="0" w:line="280" w:lineRule="exact"/>
              <w:jc w:val="right"/>
              <w:rPr>
                <w:rFonts w:eastAsia="Times New Roman" w:cs="Arial"/>
                <w:b/>
                <w:bCs/>
                <w:spacing w:val="-3"/>
                <w:sz w:val="20"/>
                <w:szCs w:val="20"/>
              </w:rPr>
            </w:pPr>
            <w:r w:rsidRPr="006B318F">
              <w:rPr>
                <w:rFonts w:eastAsia="Times New Roman" w:cs="Arial"/>
                <w:b/>
                <w:bCs/>
                <w:spacing w:val="-3"/>
                <w:sz w:val="20"/>
                <w:szCs w:val="20"/>
              </w:rPr>
              <w:t xml:space="preserve"> 91,898 </w:t>
            </w:r>
          </w:p>
        </w:tc>
        <w:tc>
          <w:tcPr>
            <w:tcW w:w="487" w:type="pct"/>
            <w:tcBorders>
              <w:top w:val="single" w:sz="4" w:space="0" w:color="auto"/>
              <w:left w:val="nil"/>
              <w:bottom w:val="single" w:sz="12" w:space="0" w:color="auto"/>
              <w:right w:val="nil"/>
            </w:tcBorders>
            <w:shd w:val="clear" w:color="auto" w:fill="auto"/>
            <w:vAlign w:val="bottom"/>
          </w:tcPr>
          <w:p w14:paraId="629057AA" w14:textId="654EA964" w:rsidR="00CC6DE9" w:rsidRPr="006B318F" w:rsidRDefault="00CC6DE9" w:rsidP="006B318F">
            <w:pPr>
              <w:tabs>
                <w:tab w:val="left" w:pos="-720"/>
              </w:tabs>
              <w:suppressAutoHyphens/>
              <w:spacing w:after="0" w:line="280" w:lineRule="exact"/>
              <w:jc w:val="right"/>
              <w:rPr>
                <w:rFonts w:eastAsia="Times New Roman" w:cs="Arial"/>
                <w:b/>
                <w:bCs/>
                <w:spacing w:val="-3"/>
                <w:sz w:val="20"/>
                <w:szCs w:val="20"/>
              </w:rPr>
            </w:pPr>
            <w:r w:rsidRPr="006B318F">
              <w:rPr>
                <w:rFonts w:eastAsia="Times New Roman" w:cs="Arial"/>
                <w:b/>
                <w:bCs/>
                <w:spacing w:val="-3"/>
                <w:sz w:val="20"/>
                <w:szCs w:val="20"/>
              </w:rPr>
              <w:t>23,849</w:t>
            </w:r>
          </w:p>
        </w:tc>
        <w:tc>
          <w:tcPr>
            <w:tcW w:w="487" w:type="pct"/>
            <w:tcBorders>
              <w:top w:val="single" w:sz="4" w:space="0" w:color="auto"/>
              <w:left w:val="nil"/>
              <w:bottom w:val="single" w:sz="12" w:space="0" w:color="auto"/>
              <w:right w:val="nil"/>
            </w:tcBorders>
            <w:shd w:val="clear" w:color="auto" w:fill="auto"/>
            <w:vAlign w:val="bottom"/>
          </w:tcPr>
          <w:p w14:paraId="567FF903" w14:textId="15C56162" w:rsidR="00CC6DE9" w:rsidRPr="006B318F" w:rsidRDefault="00CC6DE9" w:rsidP="006B318F">
            <w:pPr>
              <w:tabs>
                <w:tab w:val="left" w:pos="-720"/>
              </w:tabs>
              <w:suppressAutoHyphens/>
              <w:spacing w:after="0" w:line="280" w:lineRule="exact"/>
              <w:jc w:val="right"/>
              <w:rPr>
                <w:rFonts w:eastAsia="Times New Roman" w:cs="Arial"/>
                <w:b/>
                <w:bCs/>
                <w:spacing w:val="-3"/>
                <w:sz w:val="20"/>
                <w:szCs w:val="20"/>
              </w:rPr>
            </w:pPr>
            <w:r w:rsidRPr="006B318F">
              <w:rPr>
                <w:rFonts w:eastAsia="Times New Roman" w:cs="Arial"/>
                <w:b/>
                <w:bCs/>
                <w:spacing w:val="-3"/>
                <w:sz w:val="20"/>
                <w:szCs w:val="20"/>
              </w:rPr>
              <w:t>44,807</w:t>
            </w:r>
          </w:p>
        </w:tc>
        <w:tc>
          <w:tcPr>
            <w:tcW w:w="487" w:type="pct"/>
            <w:tcBorders>
              <w:top w:val="nil"/>
              <w:left w:val="nil"/>
              <w:bottom w:val="single" w:sz="12" w:space="0" w:color="000000" w:themeColor="text1"/>
              <w:right w:val="nil"/>
            </w:tcBorders>
            <w:shd w:val="clear" w:color="auto" w:fill="auto"/>
            <w:vAlign w:val="bottom"/>
          </w:tcPr>
          <w:p w14:paraId="0680C348" w14:textId="5035B056" w:rsidR="00CC6DE9" w:rsidRPr="006B318F" w:rsidRDefault="00CC6DE9" w:rsidP="006B318F">
            <w:pPr>
              <w:tabs>
                <w:tab w:val="right" w:pos="1202"/>
              </w:tabs>
              <w:spacing w:after="0" w:line="240" w:lineRule="exact"/>
              <w:jc w:val="right"/>
              <w:outlineLvl w:val="0"/>
              <w:rPr>
                <w:rFonts w:eastAsia="Times New Roman" w:cs="Arial"/>
                <w:b/>
                <w:sz w:val="20"/>
                <w:szCs w:val="20"/>
              </w:rPr>
            </w:pPr>
            <w:r w:rsidRPr="006B318F">
              <w:rPr>
                <w:rFonts w:eastAsia="Times New Roman" w:cs="Arial"/>
                <w:b/>
                <w:sz w:val="20"/>
                <w:szCs w:val="20"/>
              </w:rPr>
              <w:t xml:space="preserve"> 48,719 </w:t>
            </w:r>
          </w:p>
        </w:tc>
        <w:tc>
          <w:tcPr>
            <w:tcW w:w="487" w:type="pct"/>
            <w:tcBorders>
              <w:top w:val="nil"/>
              <w:left w:val="nil"/>
              <w:bottom w:val="single" w:sz="12" w:space="0" w:color="000000" w:themeColor="text1"/>
              <w:right w:val="nil"/>
            </w:tcBorders>
            <w:shd w:val="clear" w:color="auto" w:fill="auto"/>
            <w:vAlign w:val="bottom"/>
          </w:tcPr>
          <w:p w14:paraId="14D056CF" w14:textId="36BAB4E0" w:rsidR="00CC6DE9" w:rsidRPr="006B318F" w:rsidRDefault="00CC6DE9" w:rsidP="006B318F">
            <w:pPr>
              <w:tabs>
                <w:tab w:val="right" w:pos="1202"/>
              </w:tabs>
              <w:spacing w:after="0" w:line="240" w:lineRule="exact"/>
              <w:jc w:val="right"/>
              <w:outlineLvl w:val="0"/>
              <w:rPr>
                <w:rFonts w:eastAsia="Times New Roman" w:cs="Arial"/>
                <w:b/>
                <w:sz w:val="20"/>
                <w:szCs w:val="20"/>
              </w:rPr>
            </w:pPr>
            <w:r w:rsidRPr="006B318F">
              <w:rPr>
                <w:rFonts w:eastAsia="Times New Roman" w:cs="Arial"/>
                <w:b/>
                <w:sz w:val="20"/>
                <w:szCs w:val="20"/>
              </w:rPr>
              <w:t xml:space="preserve"> 91,869 </w:t>
            </w:r>
          </w:p>
        </w:tc>
        <w:tc>
          <w:tcPr>
            <w:tcW w:w="487" w:type="pct"/>
            <w:tcBorders>
              <w:top w:val="single" w:sz="4" w:space="0" w:color="auto"/>
              <w:left w:val="nil"/>
              <w:bottom w:val="single" w:sz="12" w:space="0" w:color="auto"/>
              <w:right w:val="nil"/>
            </w:tcBorders>
            <w:shd w:val="clear" w:color="auto" w:fill="auto"/>
            <w:vAlign w:val="bottom"/>
          </w:tcPr>
          <w:p w14:paraId="179EF8C7" w14:textId="33B9C2DA" w:rsidR="00CC6DE9" w:rsidRPr="006B318F" w:rsidRDefault="00CC6DE9" w:rsidP="006B318F">
            <w:pPr>
              <w:tabs>
                <w:tab w:val="right" w:pos="1202"/>
              </w:tabs>
              <w:spacing w:after="0" w:line="240" w:lineRule="exact"/>
              <w:jc w:val="right"/>
              <w:outlineLvl w:val="0"/>
              <w:rPr>
                <w:rFonts w:eastAsia="Times New Roman" w:cs="Arial"/>
                <w:b/>
                <w:sz w:val="20"/>
                <w:szCs w:val="20"/>
              </w:rPr>
            </w:pPr>
            <w:r w:rsidRPr="006B318F">
              <w:rPr>
                <w:rFonts w:eastAsia="Times New Roman" w:cs="Arial"/>
                <w:b/>
                <w:sz w:val="20"/>
                <w:szCs w:val="20"/>
              </w:rPr>
              <w:t>23,880</w:t>
            </w:r>
          </w:p>
        </w:tc>
        <w:tc>
          <w:tcPr>
            <w:tcW w:w="487" w:type="pct"/>
            <w:tcBorders>
              <w:top w:val="single" w:sz="4" w:space="0" w:color="auto"/>
              <w:left w:val="nil"/>
              <w:bottom w:val="single" w:sz="12" w:space="0" w:color="auto"/>
              <w:right w:val="nil"/>
            </w:tcBorders>
            <w:shd w:val="clear" w:color="auto" w:fill="auto"/>
            <w:vAlign w:val="bottom"/>
          </w:tcPr>
          <w:p w14:paraId="48BA98E6" w14:textId="7874F7FD" w:rsidR="00CC6DE9" w:rsidRPr="006B318F" w:rsidRDefault="00CC6DE9" w:rsidP="006B318F">
            <w:pPr>
              <w:tabs>
                <w:tab w:val="right" w:pos="1202"/>
              </w:tabs>
              <w:spacing w:after="0" w:line="240" w:lineRule="exact"/>
              <w:jc w:val="right"/>
              <w:outlineLvl w:val="0"/>
              <w:rPr>
                <w:rFonts w:eastAsia="Times New Roman" w:cs="Arial"/>
                <w:b/>
                <w:sz w:val="20"/>
                <w:szCs w:val="20"/>
              </w:rPr>
            </w:pPr>
            <w:r w:rsidRPr="006B318F">
              <w:rPr>
                <w:rFonts w:eastAsia="Times New Roman" w:cs="Arial"/>
                <w:b/>
                <w:sz w:val="20"/>
                <w:szCs w:val="20"/>
              </w:rPr>
              <w:t>44,880</w:t>
            </w:r>
          </w:p>
        </w:tc>
      </w:tr>
    </w:tbl>
    <w:p w14:paraId="45EEFAA8" w14:textId="77777777" w:rsidR="0097118D" w:rsidRDefault="0097118D" w:rsidP="00202F35">
      <w:pPr>
        <w:pStyle w:val="T1"/>
        <w:spacing w:before="0" w:after="0" w:line="240" w:lineRule="auto"/>
        <w:rPr>
          <w:rFonts w:ascii="Calibri" w:hAnsi="Calibri" w:cs="Calibri"/>
          <w:bCs w:val="0"/>
          <w:sz w:val="22"/>
          <w:szCs w:val="22"/>
          <w:lang w:val="en-GB" w:eastAsia="hr-HR"/>
        </w:rPr>
        <w:sectPr w:rsidR="0097118D" w:rsidSect="0097118D">
          <w:footerReference w:type="default" r:id="rId58"/>
          <w:pgSz w:w="16838" w:h="11906" w:orient="landscape" w:code="9"/>
          <w:pgMar w:top="1418" w:right="595" w:bottom="1134" w:left="1418" w:header="708" w:footer="708" w:gutter="0"/>
          <w:cols w:space="708"/>
          <w:docGrid w:linePitch="360"/>
        </w:sectPr>
      </w:pPr>
    </w:p>
    <w:p w14:paraId="7C12DB44" w14:textId="77777777" w:rsidR="0097118D" w:rsidRDefault="0097118D" w:rsidP="00202F35">
      <w:pPr>
        <w:pStyle w:val="T1"/>
        <w:spacing w:before="0" w:after="0" w:line="240" w:lineRule="auto"/>
        <w:rPr>
          <w:rFonts w:ascii="Calibri" w:hAnsi="Calibri" w:cs="Calibri"/>
          <w:bCs w:val="0"/>
          <w:sz w:val="22"/>
          <w:szCs w:val="22"/>
          <w:lang w:val="en-GB" w:eastAsia="hr-HR"/>
        </w:rPr>
      </w:pPr>
    </w:p>
    <w:p w14:paraId="7A72B08B" w14:textId="77777777" w:rsidR="0097118D" w:rsidRDefault="0097118D" w:rsidP="00202F35">
      <w:pPr>
        <w:pStyle w:val="T1"/>
        <w:spacing w:before="0" w:after="0" w:line="240" w:lineRule="auto"/>
        <w:rPr>
          <w:rFonts w:ascii="Calibri" w:hAnsi="Calibri" w:cs="Calibri"/>
          <w:bCs w:val="0"/>
          <w:sz w:val="22"/>
          <w:szCs w:val="22"/>
          <w:lang w:val="en-GB" w:eastAsia="hr-HR"/>
        </w:rPr>
      </w:pPr>
      <w:r w:rsidRPr="0097118D">
        <w:rPr>
          <w:rFonts w:ascii="Calibri" w:hAnsi="Calibri" w:cs="Calibri"/>
          <w:bCs w:val="0"/>
          <w:sz w:val="22"/>
          <w:szCs w:val="22"/>
          <w:lang w:val="en-GB" w:eastAsia="hr-HR"/>
        </w:rPr>
        <w:t>7.</w:t>
      </w:r>
      <w:r w:rsidRPr="0097118D">
        <w:rPr>
          <w:rFonts w:ascii="Calibri" w:hAnsi="Calibri" w:cs="Calibri"/>
          <w:bCs w:val="0"/>
          <w:sz w:val="22"/>
          <w:szCs w:val="22"/>
          <w:lang w:val="en-GB" w:eastAsia="hr-HR"/>
        </w:rPr>
        <w:tab/>
        <w:t>Impairment loss and provisions (continued):</w:t>
      </w:r>
    </w:p>
    <w:p w14:paraId="7B5B558F" w14:textId="77777777" w:rsidR="003F7264" w:rsidRDefault="003F7264" w:rsidP="00202F35">
      <w:pPr>
        <w:pStyle w:val="accountingpolicytitle"/>
        <w:rPr>
          <w:rFonts w:ascii="Calibri" w:hAnsi="Calibri" w:cs="Arial"/>
          <w:b w:val="0"/>
          <w:sz w:val="22"/>
          <w:szCs w:val="22"/>
          <w:lang w:val="en-GB"/>
        </w:rPr>
      </w:pPr>
    </w:p>
    <w:p w14:paraId="79EE3646" w14:textId="77777777" w:rsidR="009702B0" w:rsidRPr="009702B0" w:rsidRDefault="009702B0" w:rsidP="009702B0">
      <w:pPr>
        <w:spacing w:after="0" w:line="240" w:lineRule="auto"/>
        <w:jc w:val="both"/>
        <w:rPr>
          <w:rFonts w:eastAsia="Times New Roman" w:cs="Arial"/>
        </w:rPr>
      </w:pPr>
      <w:r w:rsidRPr="009702B0">
        <w:rPr>
          <w:rFonts w:eastAsia="Times New Roman" w:cs="Arial"/>
        </w:rPr>
        <w:t xml:space="preserve">The Bank regularly monitors its loans and receivables to assess impairment. The Bank uses its experience of judgements to estimate the amount of any impairment loss in cases when a borrower is in financial difficulties and there are several available sources of historical data relating to similar borrowers. </w:t>
      </w:r>
    </w:p>
    <w:p w14:paraId="42A51EC7" w14:textId="77777777" w:rsidR="009702B0" w:rsidRPr="009702B0" w:rsidRDefault="009702B0" w:rsidP="009702B0">
      <w:pPr>
        <w:spacing w:after="0" w:line="240" w:lineRule="auto"/>
        <w:jc w:val="both"/>
        <w:rPr>
          <w:rFonts w:eastAsia="Times New Roman" w:cs="Arial"/>
        </w:rPr>
      </w:pPr>
    </w:p>
    <w:p w14:paraId="539AA22A" w14:textId="77777777" w:rsidR="009702B0" w:rsidRPr="009702B0" w:rsidRDefault="009702B0" w:rsidP="009702B0">
      <w:pPr>
        <w:spacing w:after="0" w:line="240" w:lineRule="auto"/>
        <w:jc w:val="both"/>
        <w:rPr>
          <w:rFonts w:eastAsia="Times New Roman" w:cs="Arial"/>
        </w:rPr>
      </w:pPr>
      <w:r w:rsidRPr="009702B0">
        <w:rPr>
          <w:rFonts w:eastAsia="Times New Roman" w:cs="Arial"/>
        </w:rPr>
        <w:t>Similarly, the Bank estimates changes in future cash flows using the data indicating an adverse change in the payment status of borrowers in a group, or national or local economic conditions that correlate with defaults on assets in the group.</w:t>
      </w:r>
    </w:p>
    <w:p w14:paraId="6E4C1858" w14:textId="77777777" w:rsidR="009702B0" w:rsidRPr="009702B0" w:rsidRDefault="009702B0" w:rsidP="009702B0">
      <w:pPr>
        <w:spacing w:after="0" w:line="240" w:lineRule="auto"/>
        <w:jc w:val="both"/>
        <w:rPr>
          <w:rFonts w:eastAsia="Times New Roman" w:cs="Arial"/>
        </w:rPr>
      </w:pPr>
    </w:p>
    <w:p w14:paraId="784EE82B" w14:textId="77777777" w:rsidR="009702B0" w:rsidRPr="009702B0" w:rsidRDefault="009702B0" w:rsidP="009702B0">
      <w:pPr>
        <w:spacing w:after="0" w:line="240" w:lineRule="auto"/>
        <w:jc w:val="both"/>
        <w:rPr>
          <w:rFonts w:eastAsia="Times New Roman" w:cs="Arial"/>
        </w:rPr>
      </w:pPr>
      <w:r w:rsidRPr="009702B0">
        <w:rPr>
          <w:rFonts w:eastAsia="Times New Roman" w:cs="Arial"/>
        </w:rPr>
        <w:t>The management uses estimates based on the historical loss experience for assets with credit risk characteristics and objective evidence of impairment similar to those in the group of loans and receivables. The Bank uses its experience and judgment to adjust available data for a group of loans or receivables according to current market conditions.</w:t>
      </w:r>
    </w:p>
    <w:p w14:paraId="062DB1BC" w14:textId="77777777" w:rsidR="009702B0" w:rsidRPr="009702B0" w:rsidRDefault="009702B0" w:rsidP="009702B0">
      <w:pPr>
        <w:spacing w:after="0" w:line="240" w:lineRule="auto"/>
        <w:jc w:val="both"/>
        <w:rPr>
          <w:rFonts w:eastAsia="Times New Roman" w:cs="Arial"/>
        </w:rPr>
      </w:pPr>
    </w:p>
    <w:p w14:paraId="2208335E" w14:textId="77777777" w:rsidR="009702B0" w:rsidRPr="009702B0" w:rsidRDefault="008A4E85" w:rsidP="009702B0">
      <w:pPr>
        <w:tabs>
          <w:tab w:val="left" w:pos="-720"/>
        </w:tabs>
        <w:suppressAutoHyphens/>
        <w:spacing w:after="0" w:line="240" w:lineRule="auto"/>
        <w:jc w:val="both"/>
        <w:rPr>
          <w:rFonts w:asciiTheme="minorHAnsi" w:eastAsiaTheme="minorHAnsi" w:hAnsiTheme="minorHAnsi" w:cstheme="minorHAnsi"/>
          <w:spacing w:val="-3"/>
        </w:rPr>
        <w:sectPr w:rsidR="009702B0" w:rsidRPr="009702B0" w:rsidSect="005444AA">
          <w:footerReference w:type="default" r:id="rId59"/>
          <w:pgSz w:w="11906" w:h="16838" w:code="9"/>
          <w:pgMar w:top="595" w:right="1134" w:bottom="1418" w:left="1418" w:header="708" w:footer="708" w:gutter="0"/>
          <w:cols w:space="708"/>
          <w:docGrid w:linePitch="360"/>
        </w:sectPr>
      </w:pPr>
      <w:r>
        <w:t xml:space="preserve"> </w:t>
      </w:r>
    </w:p>
    <w:p w14:paraId="2FA76E39" w14:textId="77777777" w:rsidR="009702B0" w:rsidRPr="009702B0" w:rsidRDefault="009702B0" w:rsidP="009702B0">
      <w:pPr>
        <w:tabs>
          <w:tab w:val="left" w:pos="-720"/>
        </w:tabs>
        <w:spacing w:after="0" w:line="240" w:lineRule="auto"/>
        <w:jc w:val="both"/>
        <w:rPr>
          <w:rFonts w:eastAsia="Times New Roman" w:cs="Calibri"/>
          <w:sz w:val="24"/>
          <w:szCs w:val="24"/>
          <w:lang w:eastAsia="hr-HR"/>
        </w:rPr>
      </w:pPr>
    </w:p>
    <w:p w14:paraId="453C48B7" w14:textId="77777777" w:rsidR="009702B0" w:rsidRPr="009702B0" w:rsidRDefault="009702B0" w:rsidP="009702B0">
      <w:pPr>
        <w:keepNext/>
        <w:numPr>
          <w:ilvl w:val="0"/>
          <w:numId w:val="44"/>
        </w:numPr>
        <w:tabs>
          <w:tab w:val="left" w:pos="567"/>
        </w:tabs>
        <w:spacing w:after="0" w:line="240" w:lineRule="auto"/>
        <w:ind w:hanging="720"/>
        <w:contextualSpacing/>
        <w:jc w:val="both"/>
        <w:rPr>
          <w:rFonts w:eastAsia="Times New Roman" w:cs="Arial"/>
          <w:b/>
          <w:bCs/>
        </w:rPr>
      </w:pPr>
      <w:r w:rsidRPr="009702B0">
        <w:rPr>
          <w:rFonts w:eastAsia="Times New Roman" w:cs="Arial"/>
          <w:b/>
          <w:bCs/>
        </w:rPr>
        <w:t>Cash on hand and due from banks</w:t>
      </w:r>
    </w:p>
    <w:p w14:paraId="34BE5D50" w14:textId="77777777" w:rsidR="009702B0" w:rsidRPr="009702B0" w:rsidRDefault="009702B0" w:rsidP="009702B0">
      <w:pPr>
        <w:keepNext/>
        <w:tabs>
          <w:tab w:val="left" w:pos="567"/>
        </w:tabs>
        <w:spacing w:after="0" w:line="240" w:lineRule="auto"/>
        <w:ind w:left="720"/>
        <w:contextualSpacing/>
        <w:jc w:val="both"/>
        <w:rPr>
          <w:rFonts w:eastAsia="Times New Roman" w:cs="Arial"/>
          <w:b/>
          <w:bCs/>
        </w:rPr>
      </w:pPr>
    </w:p>
    <w:tbl>
      <w:tblPr>
        <w:tblW w:w="5000" w:type="pct"/>
        <w:tblLayout w:type="fixed"/>
        <w:tblLook w:val="0000" w:firstRow="0" w:lastRow="0" w:firstColumn="0" w:lastColumn="0" w:noHBand="0" w:noVBand="0"/>
      </w:tblPr>
      <w:tblGrid>
        <w:gridCol w:w="3946"/>
        <w:gridCol w:w="1351"/>
        <w:gridCol w:w="1353"/>
        <w:gridCol w:w="1351"/>
        <w:gridCol w:w="1353"/>
      </w:tblGrid>
      <w:tr w:rsidR="009702B0" w:rsidRPr="009702B0" w14:paraId="10D064F6" w14:textId="77777777" w:rsidTr="009702B0">
        <w:trPr>
          <w:trHeight w:val="296"/>
        </w:trPr>
        <w:tc>
          <w:tcPr>
            <w:tcW w:w="2109" w:type="pct"/>
          </w:tcPr>
          <w:p w14:paraId="060E8ED2" w14:textId="77777777" w:rsidR="009702B0" w:rsidRPr="009702B0" w:rsidRDefault="009702B0" w:rsidP="009702B0">
            <w:pPr>
              <w:tabs>
                <w:tab w:val="left" w:pos="-720"/>
              </w:tabs>
              <w:suppressAutoHyphens/>
              <w:spacing w:after="0" w:line="220" w:lineRule="exact"/>
              <w:rPr>
                <w:rFonts w:eastAsia="Times New Roman" w:cs="Arial"/>
                <w:sz w:val="20"/>
                <w:szCs w:val="20"/>
              </w:rPr>
            </w:pPr>
          </w:p>
        </w:tc>
        <w:tc>
          <w:tcPr>
            <w:tcW w:w="1445" w:type="pct"/>
            <w:gridSpan w:val="2"/>
            <w:vAlign w:val="center"/>
          </w:tcPr>
          <w:p w14:paraId="7789D013" w14:textId="77777777" w:rsidR="009702B0" w:rsidRPr="009702B0" w:rsidRDefault="009702B0" w:rsidP="009702B0">
            <w:pPr>
              <w:tabs>
                <w:tab w:val="right" w:pos="1202"/>
              </w:tabs>
              <w:spacing w:after="0" w:line="220" w:lineRule="exact"/>
              <w:jc w:val="right"/>
              <w:outlineLvl w:val="0"/>
              <w:rPr>
                <w:rFonts w:eastAsia="Times New Roman" w:cs="Arial"/>
                <w:b/>
                <w:sz w:val="20"/>
                <w:szCs w:val="20"/>
              </w:rPr>
            </w:pPr>
            <w:r w:rsidRPr="009702B0">
              <w:rPr>
                <w:rFonts w:eastAsia="Times New Roman" w:cs="Arial"/>
                <w:b/>
                <w:sz w:val="20"/>
                <w:szCs w:val="20"/>
              </w:rPr>
              <w:t>Group</w:t>
            </w:r>
          </w:p>
        </w:tc>
        <w:tc>
          <w:tcPr>
            <w:tcW w:w="1445" w:type="pct"/>
            <w:gridSpan w:val="2"/>
            <w:vAlign w:val="center"/>
          </w:tcPr>
          <w:p w14:paraId="7D00552C" w14:textId="77777777" w:rsidR="009702B0" w:rsidRPr="009702B0" w:rsidRDefault="009702B0" w:rsidP="009702B0">
            <w:pPr>
              <w:tabs>
                <w:tab w:val="right" w:pos="1202"/>
              </w:tabs>
              <w:spacing w:after="0" w:line="220" w:lineRule="exact"/>
              <w:jc w:val="right"/>
              <w:outlineLvl w:val="0"/>
              <w:rPr>
                <w:rFonts w:eastAsia="Times New Roman" w:cs="Arial"/>
                <w:b/>
                <w:sz w:val="20"/>
                <w:szCs w:val="20"/>
              </w:rPr>
            </w:pPr>
            <w:r w:rsidRPr="009702B0">
              <w:rPr>
                <w:rFonts w:eastAsia="Times New Roman" w:cs="Arial"/>
                <w:b/>
                <w:sz w:val="20"/>
                <w:szCs w:val="20"/>
              </w:rPr>
              <w:t>Bank</w:t>
            </w:r>
          </w:p>
        </w:tc>
      </w:tr>
      <w:tr w:rsidR="00BD634B" w:rsidRPr="009702B0" w14:paraId="4F5FE12D" w14:textId="77777777" w:rsidTr="009702B0">
        <w:trPr>
          <w:trHeight w:val="366"/>
        </w:trPr>
        <w:tc>
          <w:tcPr>
            <w:tcW w:w="2109" w:type="pct"/>
          </w:tcPr>
          <w:p w14:paraId="25BDDB1B" w14:textId="77777777" w:rsidR="00BD634B" w:rsidRPr="009702B0" w:rsidRDefault="00BD634B" w:rsidP="00BD634B">
            <w:pPr>
              <w:tabs>
                <w:tab w:val="left" w:pos="-720"/>
              </w:tabs>
              <w:suppressAutoHyphens/>
              <w:spacing w:after="0" w:line="220" w:lineRule="exact"/>
              <w:rPr>
                <w:rFonts w:eastAsia="Times New Roman" w:cs="Arial"/>
                <w:sz w:val="20"/>
                <w:szCs w:val="20"/>
              </w:rPr>
            </w:pPr>
          </w:p>
        </w:tc>
        <w:tc>
          <w:tcPr>
            <w:tcW w:w="722" w:type="pct"/>
            <w:vAlign w:val="center"/>
          </w:tcPr>
          <w:p w14:paraId="7F8B54F3" w14:textId="3A5A9A19" w:rsidR="00BD634B" w:rsidRPr="00BD634B" w:rsidRDefault="009A0DF2" w:rsidP="00BD634B">
            <w:pPr>
              <w:spacing w:after="0" w:line="280" w:lineRule="exact"/>
              <w:jc w:val="right"/>
              <w:outlineLvl w:val="0"/>
              <w:rPr>
                <w:rFonts w:eastAsia="Times New Roman" w:cs="Arial"/>
                <w:b/>
                <w:bCs/>
                <w:sz w:val="20"/>
                <w:szCs w:val="20"/>
              </w:rPr>
            </w:pPr>
            <w:r>
              <w:rPr>
                <w:rFonts w:eastAsia="Times New Roman" w:cs="Arial"/>
                <w:b/>
                <w:bCs/>
                <w:sz w:val="20"/>
                <w:szCs w:val="20"/>
              </w:rPr>
              <w:t>Sep</w:t>
            </w:r>
            <w:r w:rsidRPr="00E966C4">
              <w:rPr>
                <w:rFonts w:eastAsia="Times New Roman" w:cs="Arial"/>
                <w:b/>
                <w:bCs/>
                <w:sz w:val="20"/>
                <w:szCs w:val="20"/>
              </w:rPr>
              <w:t xml:space="preserve"> </w:t>
            </w:r>
            <w:r w:rsidR="00E966C4" w:rsidRPr="00E966C4">
              <w:rPr>
                <w:rFonts w:eastAsia="Times New Roman" w:cs="Arial"/>
                <w:b/>
                <w:bCs/>
                <w:sz w:val="20"/>
                <w:szCs w:val="20"/>
              </w:rPr>
              <w:t>30</w:t>
            </w:r>
            <w:r w:rsidR="00BD634B" w:rsidRPr="00BD634B">
              <w:rPr>
                <w:rFonts w:eastAsia="Times New Roman" w:cs="Arial"/>
                <w:b/>
                <w:bCs/>
                <w:sz w:val="20"/>
                <w:szCs w:val="20"/>
              </w:rPr>
              <w:t>, 201</w:t>
            </w:r>
            <w:r w:rsidR="00BD634B">
              <w:rPr>
                <w:rFonts w:eastAsia="Times New Roman" w:cs="Arial"/>
                <w:b/>
                <w:bCs/>
                <w:sz w:val="20"/>
                <w:szCs w:val="20"/>
              </w:rPr>
              <w:t>7</w:t>
            </w:r>
          </w:p>
        </w:tc>
        <w:tc>
          <w:tcPr>
            <w:tcW w:w="723" w:type="pct"/>
            <w:vAlign w:val="center"/>
          </w:tcPr>
          <w:p w14:paraId="1F46ECAF" w14:textId="77777777" w:rsidR="00BD634B" w:rsidRPr="009702B0" w:rsidRDefault="00BD634B" w:rsidP="00BD634B">
            <w:pPr>
              <w:spacing w:after="0" w:line="280" w:lineRule="exact"/>
              <w:jc w:val="right"/>
              <w:outlineLvl w:val="0"/>
              <w:rPr>
                <w:rFonts w:eastAsia="Times New Roman" w:cs="Arial"/>
                <w:b/>
                <w:bCs/>
                <w:sz w:val="20"/>
                <w:szCs w:val="20"/>
              </w:rPr>
            </w:pPr>
            <w:r w:rsidRPr="009702B0">
              <w:rPr>
                <w:rFonts w:eastAsia="Times New Roman" w:cs="Arial"/>
                <w:b/>
                <w:bCs/>
                <w:sz w:val="20"/>
                <w:szCs w:val="20"/>
              </w:rPr>
              <w:t>Dec 31, 201</w:t>
            </w:r>
            <w:r>
              <w:rPr>
                <w:rFonts w:eastAsia="Times New Roman" w:cs="Arial"/>
                <w:b/>
                <w:bCs/>
                <w:sz w:val="20"/>
                <w:szCs w:val="20"/>
              </w:rPr>
              <w:t>6</w:t>
            </w:r>
          </w:p>
        </w:tc>
        <w:tc>
          <w:tcPr>
            <w:tcW w:w="722" w:type="pct"/>
            <w:vAlign w:val="center"/>
          </w:tcPr>
          <w:p w14:paraId="7EF2B988" w14:textId="40D68E38" w:rsidR="00BD634B" w:rsidRPr="00BD634B" w:rsidRDefault="009A0DF2" w:rsidP="00BD634B">
            <w:pPr>
              <w:spacing w:after="0" w:line="280" w:lineRule="exact"/>
              <w:jc w:val="right"/>
              <w:outlineLvl w:val="0"/>
              <w:rPr>
                <w:rFonts w:eastAsia="Times New Roman" w:cs="Arial"/>
                <w:b/>
                <w:bCs/>
                <w:sz w:val="20"/>
                <w:szCs w:val="20"/>
              </w:rPr>
            </w:pPr>
            <w:r>
              <w:rPr>
                <w:rFonts w:eastAsia="Times New Roman" w:cs="Arial"/>
                <w:b/>
                <w:bCs/>
                <w:sz w:val="20"/>
                <w:szCs w:val="20"/>
              </w:rPr>
              <w:t>Sep</w:t>
            </w:r>
            <w:r w:rsidRPr="00E966C4">
              <w:rPr>
                <w:rFonts w:eastAsia="Times New Roman" w:cs="Arial"/>
                <w:b/>
                <w:bCs/>
                <w:sz w:val="20"/>
                <w:szCs w:val="20"/>
              </w:rPr>
              <w:t xml:space="preserve"> </w:t>
            </w:r>
            <w:r w:rsidR="00E966C4" w:rsidRPr="00E966C4">
              <w:rPr>
                <w:rFonts w:eastAsia="Times New Roman" w:cs="Arial"/>
                <w:b/>
                <w:bCs/>
                <w:sz w:val="20"/>
                <w:szCs w:val="20"/>
              </w:rPr>
              <w:t>30,</w:t>
            </w:r>
            <w:r w:rsidR="00BD634B" w:rsidRPr="00BD634B">
              <w:rPr>
                <w:rFonts w:eastAsia="Times New Roman" w:cs="Arial"/>
                <w:b/>
                <w:bCs/>
                <w:sz w:val="20"/>
                <w:szCs w:val="20"/>
              </w:rPr>
              <w:t xml:space="preserve"> 201</w:t>
            </w:r>
            <w:r w:rsidR="00BD634B">
              <w:rPr>
                <w:rFonts w:eastAsia="Times New Roman" w:cs="Arial"/>
                <w:b/>
                <w:bCs/>
                <w:sz w:val="20"/>
                <w:szCs w:val="20"/>
              </w:rPr>
              <w:t>7</w:t>
            </w:r>
          </w:p>
        </w:tc>
        <w:tc>
          <w:tcPr>
            <w:tcW w:w="723" w:type="pct"/>
            <w:vAlign w:val="center"/>
          </w:tcPr>
          <w:p w14:paraId="40C48CF1" w14:textId="77777777" w:rsidR="00BD634B" w:rsidRPr="009702B0" w:rsidRDefault="00BD634B" w:rsidP="00BD634B">
            <w:pPr>
              <w:spacing w:after="0" w:line="280" w:lineRule="exact"/>
              <w:jc w:val="right"/>
              <w:outlineLvl w:val="0"/>
              <w:rPr>
                <w:rFonts w:eastAsia="Times New Roman" w:cs="Arial"/>
                <w:b/>
                <w:bCs/>
                <w:sz w:val="20"/>
                <w:szCs w:val="20"/>
              </w:rPr>
            </w:pPr>
            <w:r w:rsidRPr="009702B0">
              <w:rPr>
                <w:rFonts w:eastAsia="Times New Roman" w:cs="Arial"/>
                <w:b/>
                <w:bCs/>
                <w:sz w:val="20"/>
                <w:szCs w:val="20"/>
              </w:rPr>
              <w:t>Dec 31, 201</w:t>
            </w:r>
            <w:r>
              <w:rPr>
                <w:rFonts w:eastAsia="Times New Roman" w:cs="Arial"/>
                <w:b/>
                <w:bCs/>
                <w:sz w:val="20"/>
                <w:szCs w:val="20"/>
              </w:rPr>
              <w:t>6</w:t>
            </w:r>
          </w:p>
        </w:tc>
      </w:tr>
      <w:tr w:rsidR="00F72520" w:rsidRPr="009702B0" w14:paraId="41CE096E" w14:textId="77777777" w:rsidTr="006B318F">
        <w:trPr>
          <w:trHeight w:hRule="exact" w:val="397"/>
        </w:trPr>
        <w:tc>
          <w:tcPr>
            <w:tcW w:w="2109" w:type="pct"/>
            <w:vAlign w:val="bottom"/>
          </w:tcPr>
          <w:p w14:paraId="2C4E5D35" w14:textId="77777777" w:rsidR="00F72520" w:rsidRPr="009702B0" w:rsidRDefault="00F72520" w:rsidP="00F72520">
            <w:pPr>
              <w:tabs>
                <w:tab w:val="right" w:pos="1202"/>
              </w:tabs>
              <w:spacing w:after="0" w:line="240" w:lineRule="exact"/>
              <w:outlineLvl w:val="0"/>
              <w:rPr>
                <w:rFonts w:eastAsia="Times New Roman" w:cs="Arial"/>
                <w:sz w:val="20"/>
                <w:szCs w:val="20"/>
              </w:rPr>
            </w:pPr>
            <w:r w:rsidRPr="009702B0">
              <w:rPr>
                <w:rFonts w:cs="Arial"/>
                <w:sz w:val="20"/>
                <w:szCs w:val="20"/>
              </w:rPr>
              <w:t>Account with the Croatian National Bank</w:t>
            </w:r>
            <w:r w:rsidRPr="009702B0">
              <w:rPr>
                <w:rFonts w:eastAsia="Times New Roman" w:cs="Arial"/>
                <w:sz w:val="20"/>
                <w:szCs w:val="20"/>
              </w:rPr>
              <w:t xml:space="preserve"> </w:t>
            </w:r>
          </w:p>
        </w:tc>
        <w:tc>
          <w:tcPr>
            <w:tcW w:w="722" w:type="pct"/>
            <w:tcBorders>
              <w:top w:val="nil"/>
              <w:left w:val="nil"/>
              <w:bottom w:val="nil"/>
              <w:right w:val="nil"/>
            </w:tcBorders>
            <w:shd w:val="clear" w:color="auto" w:fill="auto"/>
            <w:vAlign w:val="bottom"/>
          </w:tcPr>
          <w:p w14:paraId="555A7645" w14:textId="3F6DD9AB" w:rsidR="00F72520" w:rsidRPr="006B318F" w:rsidRDefault="00F72520" w:rsidP="006B318F">
            <w:pPr>
              <w:spacing w:after="0" w:line="240" w:lineRule="auto"/>
              <w:jc w:val="right"/>
              <w:rPr>
                <w:color w:val="000000"/>
                <w:sz w:val="20"/>
                <w:szCs w:val="20"/>
              </w:rPr>
            </w:pPr>
            <w:r w:rsidRPr="006B318F">
              <w:rPr>
                <w:color w:val="000000"/>
                <w:sz w:val="20"/>
                <w:szCs w:val="20"/>
              </w:rPr>
              <w:t xml:space="preserve"> 378,200 </w:t>
            </w:r>
          </w:p>
        </w:tc>
        <w:tc>
          <w:tcPr>
            <w:tcW w:w="723" w:type="pct"/>
            <w:tcBorders>
              <w:top w:val="nil"/>
              <w:left w:val="nil"/>
              <w:bottom w:val="nil"/>
              <w:right w:val="nil"/>
            </w:tcBorders>
            <w:shd w:val="clear" w:color="auto" w:fill="auto"/>
            <w:vAlign w:val="bottom"/>
          </w:tcPr>
          <w:p w14:paraId="0A7821DE" w14:textId="77777777" w:rsidR="00F72520" w:rsidRPr="000C1F7F" w:rsidRDefault="00F72520" w:rsidP="00F72520">
            <w:pPr>
              <w:spacing w:after="0" w:line="240" w:lineRule="auto"/>
              <w:jc w:val="right"/>
              <w:rPr>
                <w:rFonts w:eastAsia="Times New Roman"/>
                <w:color w:val="000000"/>
                <w:sz w:val="20"/>
                <w:szCs w:val="20"/>
                <w:lang w:eastAsia="hr-HR"/>
              </w:rPr>
            </w:pPr>
            <w:r w:rsidRPr="000C1F7F">
              <w:rPr>
                <w:color w:val="000000"/>
                <w:sz w:val="20"/>
                <w:szCs w:val="20"/>
              </w:rPr>
              <w:t>186</w:t>
            </w:r>
            <w:r>
              <w:rPr>
                <w:color w:val="000000"/>
                <w:sz w:val="20"/>
                <w:szCs w:val="20"/>
              </w:rPr>
              <w:t>,</w:t>
            </w:r>
            <w:r w:rsidRPr="000C1F7F">
              <w:rPr>
                <w:color w:val="000000"/>
                <w:sz w:val="20"/>
                <w:szCs w:val="20"/>
              </w:rPr>
              <w:t>167</w:t>
            </w:r>
          </w:p>
        </w:tc>
        <w:tc>
          <w:tcPr>
            <w:tcW w:w="722" w:type="pct"/>
            <w:tcBorders>
              <w:top w:val="nil"/>
              <w:left w:val="nil"/>
              <w:bottom w:val="nil"/>
              <w:right w:val="nil"/>
            </w:tcBorders>
            <w:shd w:val="clear" w:color="auto" w:fill="auto"/>
            <w:vAlign w:val="bottom"/>
          </w:tcPr>
          <w:p w14:paraId="3DB7EB3C" w14:textId="27F9BC90" w:rsidR="00F72520" w:rsidRPr="006B318F" w:rsidRDefault="00F72520" w:rsidP="006B318F">
            <w:pPr>
              <w:spacing w:after="0" w:line="240" w:lineRule="auto"/>
              <w:jc w:val="right"/>
              <w:rPr>
                <w:color w:val="000000"/>
                <w:sz w:val="20"/>
                <w:szCs w:val="20"/>
              </w:rPr>
            </w:pPr>
            <w:r w:rsidRPr="006B318F">
              <w:rPr>
                <w:color w:val="000000"/>
                <w:sz w:val="20"/>
                <w:szCs w:val="20"/>
              </w:rPr>
              <w:t xml:space="preserve"> 378,200 </w:t>
            </w:r>
          </w:p>
        </w:tc>
        <w:tc>
          <w:tcPr>
            <w:tcW w:w="723" w:type="pct"/>
            <w:tcBorders>
              <w:top w:val="nil"/>
              <w:left w:val="nil"/>
              <w:bottom w:val="nil"/>
              <w:right w:val="nil"/>
            </w:tcBorders>
            <w:shd w:val="clear" w:color="auto" w:fill="auto"/>
            <w:vAlign w:val="bottom"/>
          </w:tcPr>
          <w:p w14:paraId="53C82F5E" w14:textId="77777777" w:rsidR="00F72520" w:rsidRPr="000C1F7F" w:rsidRDefault="00F72520" w:rsidP="00F72520">
            <w:pPr>
              <w:spacing w:after="0" w:line="240" w:lineRule="auto"/>
              <w:jc w:val="right"/>
              <w:rPr>
                <w:rFonts w:eastAsia="Times New Roman"/>
                <w:color w:val="000000"/>
                <w:sz w:val="20"/>
                <w:szCs w:val="20"/>
                <w:lang w:eastAsia="hr-HR"/>
              </w:rPr>
            </w:pPr>
            <w:r w:rsidRPr="000C1F7F">
              <w:rPr>
                <w:color w:val="000000"/>
                <w:sz w:val="20"/>
                <w:szCs w:val="20"/>
              </w:rPr>
              <w:t>186</w:t>
            </w:r>
            <w:r>
              <w:rPr>
                <w:color w:val="000000"/>
                <w:sz w:val="20"/>
                <w:szCs w:val="20"/>
              </w:rPr>
              <w:t>,</w:t>
            </w:r>
            <w:r w:rsidRPr="000C1F7F">
              <w:rPr>
                <w:color w:val="000000"/>
                <w:sz w:val="20"/>
                <w:szCs w:val="20"/>
              </w:rPr>
              <w:t>167</w:t>
            </w:r>
          </w:p>
        </w:tc>
      </w:tr>
      <w:tr w:rsidR="00F72520" w:rsidRPr="009702B0" w14:paraId="7DCB501A" w14:textId="77777777" w:rsidTr="006B318F">
        <w:trPr>
          <w:trHeight w:hRule="exact" w:val="397"/>
        </w:trPr>
        <w:tc>
          <w:tcPr>
            <w:tcW w:w="2109" w:type="pct"/>
            <w:vAlign w:val="bottom"/>
          </w:tcPr>
          <w:p w14:paraId="184CAA76" w14:textId="77777777" w:rsidR="00F72520" w:rsidRPr="009702B0" w:rsidRDefault="00F72520" w:rsidP="00F72520">
            <w:pPr>
              <w:tabs>
                <w:tab w:val="right" w:pos="1202"/>
              </w:tabs>
              <w:spacing w:after="0" w:line="240" w:lineRule="exact"/>
              <w:outlineLvl w:val="0"/>
              <w:rPr>
                <w:rFonts w:eastAsia="Times New Roman" w:cs="Arial"/>
                <w:sz w:val="20"/>
                <w:szCs w:val="20"/>
              </w:rPr>
            </w:pPr>
            <w:r w:rsidRPr="009702B0">
              <w:rPr>
                <w:rFonts w:eastAsia="Times New Roman" w:cs="Arial"/>
                <w:sz w:val="20"/>
                <w:szCs w:val="20"/>
              </w:rPr>
              <w:t>Due from domestic banks in foreign currency</w:t>
            </w:r>
          </w:p>
        </w:tc>
        <w:tc>
          <w:tcPr>
            <w:tcW w:w="722" w:type="pct"/>
            <w:tcBorders>
              <w:top w:val="nil"/>
              <w:left w:val="nil"/>
              <w:bottom w:val="nil"/>
              <w:right w:val="nil"/>
            </w:tcBorders>
            <w:shd w:val="clear" w:color="auto" w:fill="auto"/>
            <w:vAlign w:val="bottom"/>
          </w:tcPr>
          <w:p w14:paraId="5034411D" w14:textId="193B2CBE" w:rsidR="00F72520" w:rsidRPr="006B318F" w:rsidRDefault="00F72520" w:rsidP="006B318F">
            <w:pPr>
              <w:spacing w:after="0" w:line="240" w:lineRule="auto"/>
              <w:jc w:val="right"/>
              <w:rPr>
                <w:color w:val="000000"/>
                <w:sz w:val="20"/>
                <w:szCs w:val="20"/>
              </w:rPr>
            </w:pPr>
            <w:r w:rsidRPr="006B318F">
              <w:rPr>
                <w:color w:val="000000"/>
                <w:sz w:val="20"/>
                <w:szCs w:val="20"/>
              </w:rPr>
              <w:t xml:space="preserve"> 2,773 </w:t>
            </w:r>
          </w:p>
        </w:tc>
        <w:tc>
          <w:tcPr>
            <w:tcW w:w="723" w:type="pct"/>
            <w:tcBorders>
              <w:top w:val="nil"/>
              <w:left w:val="nil"/>
              <w:bottom w:val="nil"/>
              <w:right w:val="nil"/>
            </w:tcBorders>
            <w:shd w:val="clear" w:color="auto" w:fill="auto"/>
            <w:vAlign w:val="bottom"/>
          </w:tcPr>
          <w:p w14:paraId="7FB2E3FA" w14:textId="77777777" w:rsidR="00F72520" w:rsidRPr="000C1F7F" w:rsidRDefault="00F72520" w:rsidP="00F72520">
            <w:pPr>
              <w:spacing w:after="0" w:line="240" w:lineRule="auto"/>
              <w:jc w:val="right"/>
              <w:rPr>
                <w:rFonts w:eastAsia="Times New Roman"/>
                <w:color w:val="000000"/>
                <w:sz w:val="20"/>
                <w:szCs w:val="20"/>
                <w:lang w:eastAsia="hr-HR"/>
              </w:rPr>
            </w:pPr>
            <w:r w:rsidRPr="000C1F7F">
              <w:rPr>
                <w:color w:val="000000"/>
                <w:sz w:val="20"/>
                <w:szCs w:val="20"/>
              </w:rPr>
              <w:t>1</w:t>
            </w:r>
            <w:r>
              <w:rPr>
                <w:color w:val="000000"/>
                <w:sz w:val="20"/>
                <w:szCs w:val="20"/>
              </w:rPr>
              <w:t>,</w:t>
            </w:r>
            <w:r w:rsidRPr="000C1F7F">
              <w:rPr>
                <w:color w:val="000000"/>
                <w:sz w:val="20"/>
                <w:szCs w:val="20"/>
              </w:rPr>
              <w:t>626</w:t>
            </w:r>
          </w:p>
        </w:tc>
        <w:tc>
          <w:tcPr>
            <w:tcW w:w="722" w:type="pct"/>
            <w:tcBorders>
              <w:top w:val="nil"/>
              <w:left w:val="nil"/>
              <w:bottom w:val="nil"/>
              <w:right w:val="nil"/>
            </w:tcBorders>
            <w:shd w:val="clear" w:color="auto" w:fill="auto"/>
            <w:vAlign w:val="bottom"/>
          </w:tcPr>
          <w:p w14:paraId="0CE0E3FC" w14:textId="5A08A996" w:rsidR="00F72520" w:rsidRPr="006B318F" w:rsidRDefault="00F72520" w:rsidP="006B318F">
            <w:pPr>
              <w:spacing w:after="0" w:line="240" w:lineRule="auto"/>
              <w:jc w:val="right"/>
              <w:rPr>
                <w:color w:val="000000"/>
                <w:sz w:val="20"/>
                <w:szCs w:val="20"/>
              </w:rPr>
            </w:pPr>
            <w:r w:rsidRPr="006B318F">
              <w:rPr>
                <w:color w:val="000000"/>
                <w:sz w:val="20"/>
                <w:szCs w:val="20"/>
              </w:rPr>
              <w:t xml:space="preserve"> 2,773 </w:t>
            </w:r>
          </w:p>
        </w:tc>
        <w:tc>
          <w:tcPr>
            <w:tcW w:w="723" w:type="pct"/>
            <w:tcBorders>
              <w:top w:val="nil"/>
              <w:left w:val="nil"/>
              <w:bottom w:val="nil"/>
              <w:right w:val="nil"/>
            </w:tcBorders>
            <w:shd w:val="clear" w:color="auto" w:fill="auto"/>
            <w:vAlign w:val="bottom"/>
          </w:tcPr>
          <w:p w14:paraId="2A96FF42" w14:textId="77777777" w:rsidR="00F72520" w:rsidRPr="000C1F7F" w:rsidRDefault="00F72520" w:rsidP="00F72520">
            <w:pPr>
              <w:spacing w:after="0" w:line="240" w:lineRule="auto"/>
              <w:jc w:val="right"/>
              <w:rPr>
                <w:rFonts w:eastAsia="Times New Roman"/>
                <w:color w:val="000000"/>
                <w:sz w:val="20"/>
                <w:szCs w:val="20"/>
                <w:lang w:eastAsia="hr-HR"/>
              </w:rPr>
            </w:pPr>
            <w:r w:rsidRPr="000C1F7F">
              <w:rPr>
                <w:color w:val="000000"/>
                <w:sz w:val="20"/>
                <w:szCs w:val="20"/>
              </w:rPr>
              <w:t>1</w:t>
            </w:r>
            <w:r>
              <w:rPr>
                <w:color w:val="000000"/>
                <w:sz w:val="20"/>
                <w:szCs w:val="20"/>
              </w:rPr>
              <w:t>,</w:t>
            </w:r>
            <w:r w:rsidRPr="000C1F7F">
              <w:rPr>
                <w:color w:val="000000"/>
                <w:sz w:val="20"/>
                <w:szCs w:val="20"/>
              </w:rPr>
              <w:t>626</w:t>
            </w:r>
          </w:p>
        </w:tc>
      </w:tr>
      <w:tr w:rsidR="00F72520" w:rsidRPr="009702B0" w14:paraId="623A8A14" w14:textId="77777777" w:rsidTr="006B318F">
        <w:trPr>
          <w:trHeight w:hRule="exact" w:val="397"/>
        </w:trPr>
        <w:tc>
          <w:tcPr>
            <w:tcW w:w="2109" w:type="pct"/>
            <w:vAlign w:val="bottom"/>
          </w:tcPr>
          <w:p w14:paraId="7BCD006F" w14:textId="77777777" w:rsidR="00F72520" w:rsidRPr="009702B0" w:rsidRDefault="00F72520" w:rsidP="00F72520">
            <w:pPr>
              <w:tabs>
                <w:tab w:val="right" w:pos="1202"/>
              </w:tabs>
              <w:spacing w:after="0" w:line="240" w:lineRule="exact"/>
              <w:outlineLvl w:val="0"/>
              <w:rPr>
                <w:rFonts w:eastAsia="Times New Roman" w:cs="Arial"/>
                <w:sz w:val="20"/>
                <w:szCs w:val="20"/>
              </w:rPr>
            </w:pPr>
            <w:r w:rsidRPr="009702B0">
              <w:rPr>
                <w:rFonts w:eastAsia="Times New Roman" w:cs="Arial"/>
                <w:sz w:val="20"/>
                <w:szCs w:val="20"/>
              </w:rPr>
              <w:t xml:space="preserve">Due from foreign banks in foreign currency </w:t>
            </w:r>
          </w:p>
        </w:tc>
        <w:tc>
          <w:tcPr>
            <w:tcW w:w="722" w:type="pct"/>
            <w:tcBorders>
              <w:top w:val="nil"/>
              <w:left w:val="nil"/>
              <w:bottom w:val="nil"/>
              <w:right w:val="nil"/>
            </w:tcBorders>
            <w:shd w:val="clear" w:color="auto" w:fill="auto"/>
            <w:vAlign w:val="bottom"/>
          </w:tcPr>
          <w:p w14:paraId="0296A06F" w14:textId="24AB0961" w:rsidR="00F72520" w:rsidRPr="006B318F" w:rsidRDefault="00F72520" w:rsidP="006B318F">
            <w:pPr>
              <w:spacing w:after="0" w:line="240" w:lineRule="auto"/>
              <w:jc w:val="right"/>
              <w:rPr>
                <w:color w:val="000000"/>
                <w:sz w:val="20"/>
                <w:szCs w:val="20"/>
              </w:rPr>
            </w:pPr>
            <w:r w:rsidRPr="006B318F">
              <w:rPr>
                <w:color w:val="000000"/>
                <w:sz w:val="20"/>
                <w:szCs w:val="20"/>
              </w:rPr>
              <w:t xml:space="preserve"> 360,294 </w:t>
            </w:r>
          </w:p>
        </w:tc>
        <w:tc>
          <w:tcPr>
            <w:tcW w:w="723" w:type="pct"/>
            <w:tcBorders>
              <w:top w:val="nil"/>
              <w:left w:val="nil"/>
              <w:bottom w:val="nil"/>
              <w:right w:val="nil"/>
            </w:tcBorders>
            <w:shd w:val="clear" w:color="auto" w:fill="auto"/>
            <w:vAlign w:val="bottom"/>
          </w:tcPr>
          <w:p w14:paraId="67956A69" w14:textId="77777777" w:rsidR="00F72520" w:rsidRPr="000C1F7F" w:rsidRDefault="00F72520" w:rsidP="00F72520">
            <w:pPr>
              <w:spacing w:after="0" w:line="240" w:lineRule="auto"/>
              <w:jc w:val="right"/>
              <w:rPr>
                <w:rFonts w:eastAsia="Times New Roman"/>
                <w:color w:val="000000"/>
                <w:sz w:val="20"/>
                <w:szCs w:val="20"/>
                <w:lang w:eastAsia="hr-HR"/>
              </w:rPr>
            </w:pPr>
            <w:r w:rsidRPr="000C1F7F">
              <w:rPr>
                <w:color w:val="000000"/>
                <w:sz w:val="20"/>
                <w:szCs w:val="20"/>
              </w:rPr>
              <w:t>305</w:t>
            </w:r>
            <w:r>
              <w:rPr>
                <w:color w:val="000000"/>
                <w:sz w:val="20"/>
                <w:szCs w:val="20"/>
              </w:rPr>
              <w:t>,</w:t>
            </w:r>
            <w:r w:rsidRPr="000C1F7F">
              <w:rPr>
                <w:color w:val="000000"/>
                <w:sz w:val="20"/>
                <w:szCs w:val="20"/>
              </w:rPr>
              <w:t>981</w:t>
            </w:r>
          </w:p>
        </w:tc>
        <w:tc>
          <w:tcPr>
            <w:tcW w:w="722" w:type="pct"/>
            <w:tcBorders>
              <w:top w:val="nil"/>
              <w:left w:val="nil"/>
              <w:bottom w:val="nil"/>
              <w:right w:val="nil"/>
            </w:tcBorders>
            <w:shd w:val="clear" w:color="auto" w:fill="auto"/>
            <w:vAlign w:val="bottom"/>
          </w:tcPr>
          <w:p w14:paraId="6A201ECD" w14:textId="09EE2245" w:rsidR="00F72520" w:rsidRPr="006B318F" w:rsidRDefault="00F72520" w:rsidP="006B318F">
            <w:pPr>
              <w:spacing w:after="0" w:line="240" w:lineRule="auto"/>
              <w:jc w:val="right"/>
              <w:rPr>
                <w:color w:val="000000"/>
                <w:sz w:val="20"/>
                <w:szCs w:val="20"/>
              </w:rPr>
            </w:pPr>
            <w:r w:rsidRPr="006B318F">
              <w:rPr>
                <w:color w:val="000000"/>
                <w:sz w:val="20"/>
                <w:szCs w:val="20"/>
              </w:rPr>
              <w:t xml:space="preserve"> 360,294 </w:t>
            </w:r>
          </w:p>
        </w:tc>
        <w:tc>
          <w:tcPr>
            <w:tcW w:w="723" w:type="pct"/>
            <w:tcBorders>
              <w:top w:val="nil"/>
              <w:left w:val="nil"/>
              <w:bottom w:val="nil"/>
              <w:right w:val="nil"/>
            </w:tcBorders>
            <w:shd w:val="clear" w:color="auto" w:fill="auto"/>
            <w:vAlign w:val="bottom"/>
          </w:tcPr>
          <w:p w14:paraId="6D4A9B73" w14:textId="77777777" w:rsidR="00F72520" w:rsidRPr="000C1F7F" w:rsidRDefault="00F72520" w:rsidP="00F72520">
            <w:pPr>
              <w:spacing w:after="0" w:line="240" w:lineRule="auto"/>
              <w:jc w:val="right"/>
              <w:rPr>
                <w:rFonts w:eastAsia="Times New Roman"/>
                <w:color w:val="000000"/>
                <w:sz w:val="20"/>
                <w:szCs w:val="20"/>
                <w:lang w:eastAsia="hr-HR"/>
              </w:rPr>
            </w:pPr>
            <w:r w:rsidRPr="000C1F7F">
              <w:rPr>
                <w:color w:val="000000"/>
                <w:sz w:val="20"/>
                <w:szCs w:val="20"/>
              </w:rPr>
              <w:t>305</w:t>
            </w:r>
            <w:r>
              <w:rPr>
                <w:color w:val="000000"/>
                <w:sz w:val="20"/>
                <w:szCs w:val="20"/>
              </w:rPr>
              <w:t>,</w:t>
            </w:r>
            <w:r w:rsidRPr="000C1F7F">
              <w:rPr>
                <w:color w:val="000000"/>
                <w:sz w:val="20"/>
                <w:szCs w:val="20"/>
              </w:rPr>
              <w:t>981</w:t>
            </w:r>
          </w:p>
        </w:tc>
      </w:tr>
      <w:tr w:rsidR="00F72520" w:rsidRPr="009702B0" w14:paraId="16E36C4B" w14:textId="77777777" w:rsidTr="006B318F">
        <w:trPr>
          <w:trHeight w:hRule="exact" w:val="397"/>
        </w:trPr>
        <w:tc>
          <w:tcPr>
            <w:tcW w:w="2109" w:type="pct"/>
            <w:vAlign w:val="bottom"/>
          </w:tcPr>
          <w:p w14:paraId="7AD0127B" w14:textId="77777777" w:rsidR="00F72520" w:rsidRPr="009702B0" w:rsidRDefault="00F72520" w:rsidP="00F72520">
            <w:pPr>
              <w:tabs>
                <w:tab w:val="right" w:pos="1202"/>
              </w:tabs>
              <w:spacing w:after="0" w:line="240" w:lineRule="exact"/>
              <w:outlineLvl w:val="0"/>
              <w:rPr>
                <w:rFonts w:eastAsia="Times New Roman" w:cs="Arial"/>
                <w:sz w:val="20"/>
                <w:szCs w:val="20"/>
              </w:rPr>
            </w:pPr>
            <w:r w:rsidRPr="009702B0">
              <w:rPr>
                <w:rFonts w:cs="Arial"/>
                <w:sz w:val="20"/>
                <w:szCs w:val="20"/>
              </w:rPr>
              <w:t>Due from domestic banks in HRK</w:t>
            </w:r>
          </w:p>
        </w:tc>
        <w:tc>
          <w:tcPr>
            <w:tcW w:w="722" w:type="pct"/>
            <w:tcBorders>
              <w:top w:val="nil"/>
              <w:left w:val="nil"/>
              <w:bottom w:val="nil"/>
              <w:right w:val="nil"/>
            </w:tcBorders>
            <w:shd w:val="clear" w:color="auto" w:fill="auto"/>
            <w:vAlign w:val="bottom"/>
          </w:tcPr>
          <w:p w14:paraId="1B61E422" w14:textId="0E14607C" w:rsidR="00F72520" w:rsidRPr="006B318F" w:rsidRDefault="00F72520" w:rsidP="006B318F">
            <w:pPr>
              <w:spacing w:after="0" w:line="240" w:lineRule="auto"/>
              <w:jc w:val="right"/>
              <w:rPr>
                <w:color w:val="000000"/>
                <w:sz w:val="20"/>
                <w:szCs w:val="20"/>
              </w:rPr>
            </w:pPr>
            <w:r w:rsidRPr="006B318F">
              <w:rPr>
                <w:color w:val="000000"/>
                <w:sz w:val="20"/>
                <w:szCs w:val="20"/>
              </w:rPr>
              <w:t xml:space="preserve"> 2,286 </w:t>
            </w:r>
          </w:p>
        </w:tc>
        <w:tc>
          <w:tcPr>
            <w:tcW w:w="723" w:type="pct"/>
            <w:tcBorders>
              <w:top w:val="nil"/>
              <w:left w:val="nil"/>
              <w:bottom w:val="nil"/>
              <w:right w:val="nil"/>
            </w:tcBorders>
            <w:shd w:val="clear" w:color="auto" w:fill="auto"/>
            <w:vAlign w:val="bottom"/>
          </w:tcPr>
          <w:p w14:paraId="1579B21D" w14:textId="77777777" w:rsidR="00F72520" w:rsidRPr="000C1F7F" w:rsidRDefault="00F72520" w:rsidP="00F72520">
            <w:pPr>
              <w:spacing w:after="0" w:line="240" w:lineRule="auto"/>
              <w:jc w:val="right"/>
              <w:rPr>
                <w:rFonts w:eastAsia="Times New Roman"/>
                <w:color w:val="000000"/>
                <w:sz w:val="20"/>
                <w:szCs w:val="20"/>
                <w:lang w:eastAsia="hr-HR"/>
              </w:rPr>
            </w:pPr>
            <w:r w:rsidRPr="000C1F7F">
              <w:rPr>
                <w:color w:val="000000"/>
                <w:sz w:val="20"/>
                <w:szCs w:val="20"/>
              </w:rPr>
              <w:t>551</w:t>
            </w:r>
          </w:p>
        </w:tc>
        <w:tc>
          <w:tcPr>
            <w:tcW w:w="722" w:type="pct"/>
            <w:tcBorders>
              <w:top w:val="nil"/>
              <w:left w:val="nil"/>
              <w:bottom w:val="nil"/>
              <w:right w:val="nil"/>
            </w:tcBorders>
            <w:shd w:val="clear" w:color="auto" w:fill="auto"/>
            <w:vAlign w:val="bottom"/>
          </w:tcPr>
          <w:p w14:paraId="78B2BA21" w14:textId="3EC63A22" w:rsidR="00F72520" w:rsidRPr="006B318F" w:rsidRDefault="00F72520" w:rsidP="006B318F">
            <w:pPr>
              <w:spacing w:after="0" w:line="240" w:lineRule="auto"/>
              <w:jc w:val="right"/>
              <w:rPr>
                <w:color w:val="000000"/>
                <w:sz w:val="20"/>
                <w:szCs w:val="20"/>
              </w:rPr>
            </w:pPr>
            <w:r w:rsidRPr="006B318F">
              <w:rPr>
                <w:color w:val="000000"/>
                <w:sz w:val="20"/>
                <w:szCs w:val="20"/>
              </w:rPr>
              <w:t xml:space="preserve"> - </w:t>
            </w:r>
          </w:p>
        </w:tc>
        <w:tc>
          <w:tcPr>
            <w:tcW w:w="723" w:type="pct"/>
            <w:tcBorders>
              <w:top w:val="nil"/>
              <w:left w:val="nil"/>
              <w:bottom w:val="nil"/>
              <w:right w:val="nil"/>
            </w:tcBorders>
            <w:shd w:val="clear" w:color="auto" w:fill="auto"/>
            <w:vAlign w:val="bottom"/>
          </w:tcPr>
          <w:p w14:paraId="7B9B7BA5" w14:textId="77777777" w:rsidR="00F72520" w:rsidRPr="000C1F7F" w:rsidRDefault="00F72520" w:rsidP="00F72520">
            <w:pPr>
              <w:spacing w:after="0" w:line="240" w:lineRule="auto"/>
              <w:jc w:val="right"/>
              <w:rPr>
                <w:rFonts w:eastAsia="Times New Roman"/>
                <w:color w:val="000000"/>
                <w:sz w:val="20"/>
                <w:szCs w:val="20"/>
                <w:lang w:eastAsia="hr-HR"/>
              </w:rPr>
            </w:pPr>
            <w:r w:rsidRPr="000C1F7F">
              <w:rPr>
                <w:color w:val="000000"/>
                <w:sz w:val="20"/>
                <w:szCs w:val="20"/>
              </w:rPr>
              <w:t>-</w:t>
            </w:r>
          </w:p>
        </w:tc>
      </w:tr>
      <w:tr w:rsidR="00F307E7" w:rsidRPr="009702B0" w14:paraId="31C39025" w14:textId="77777777" w:rsidTr="00AA20DA">
        <w:trPr>
          <w:trHeight w:val="265"/>
        </w:trPr>
        <w:tc>
          <w:tcPr>
            <w:tcW w:w="2109" w:type="pct"/>
            <w:vAlign w:val="bottom"/>
          </w:tcPr>
          <w:p w14:paraId="2DBE3CC2" w14:textId="77777777" w:rsidR="00F307E7" w:rsidRPr="009702B0" w:rsidRDefault="00F307E7" w:rsidP="00F307E7">
            <w:pPr>
              <w:tabs>
                <w:tab w:val="right" w:pos="1202"/>
              </w:tabs>
              <w:spacing w:after="0" w:line="280" w:lineRule="exact"/>
              <w:outlineLvl w:val="0"/>
              <w:rPr>
                <w:rFonts w:eastAsia="Times New Roman" w:cs="Arial"/>
                <w:iCs/>
                <w:sz w:val="20"/>
                <w:szCs w:val="20"/>
              </w:rPr>
            </w:pPr>
          </w:p>
        </w:tc>
        <w:tc>
          <w:tcPr>
            <w:tcW w:w="722" w:type="pct"/>
            <w:tcBorders>
              <w:top w:val="single" w:sz="4" w:space="0" w:color="auto"/>
              <w:left w:val="nil"/>
              <w:bottom w:val="single" w:sz="4" w:space="0" w:color="auto"/>
              <w:right w:val="nil"/>
            </w:tcBorders>
            <w:shd w:val="clear" w:color="auto" w:fill="auto"/>
            <w:vAlign w:val="bottom"/>
          </w:tcPr>
          <w:p w14:paraId="762DAB33" w14:textId="07882BF3" w:rsidR="00F307E7" w:rsidRPr="009702B0" w:rsidRDefault="00F72520" w:rsidP="00F307E7">
            <w:pPr>
              <w:tabs>
                <w:tab w:val="right" w:pos="1202"/>
              </w:tabs>
              <w:spacing w:after="0" w:line="280" w:lineRule="exact"/>
              <w:jc w:val="right"/>
              <w:outlineLvl w:val="0"/>
              <w:rPr>
                <w:rFonts w:eastAsia="Times New Roman" w:cs="Arial"/>
                <w:sz w:val="20"/>
                <w:szCs w:val="20"/>
              </w:rPr>
            </w:pPr>
            <w:r w:rsidRPr="00F72520">
              <w:rPr>
                <w:rFonts w:eastAsia="Times New Roman"/>
                <w:color w:val="000000"/>
                <w:sz w:val="20"/>
                <w:szCs w:val="20"/>
                <w:lang w:eastAsia="hr-HR"/>
              </w:rPr>
              <w:t xml:space="preserve">743,553 </w:t>
            </w:r>
          </w:p>
        </w:tc>
        <w:tc>
          <w:tcPr>
            <w:tcW w:w="723" w:type="pct"/>
            <w:tcBorders>
              <w:top w:val="single" w:sz="4" w:space="0" w:color="auto"/>
              <w:left w:val="nil"/>
              <w:bottom w:val="single" w:sz="4" w:space="0" w:color="auto"/>
              <w:right w:val="nil"/>
            </w:tcBorders>
            <w:shd w:val="clear" w:color="auto" w:fill="auto"/>
            <w:vAlign w:val="bottom"/>
          </w:tcPr>
          <w:p w14:paraId="510DC3BB" w14:textId="77777777" w:rsidR="00F307E7" w:rsidRPr="000C1F7F" w:rsidRDefault="00F307E7" w:rsidP="00F307E7">
            <w:pPr>
              <w:spacing w:after="0" w:line="240" w:lineRule="auto"/>
              <w:jc w:val="right"/>
              <w:rPr>
                <w:rFonts w:eastAsia="Times New Roman"/>
                <w:color w:val="000000"/>
                <w:sz w:val="20"/>
                <w:szCs w:val="20"/>
                <w:lang w:eastAsia="hr-HR"/>
              </w:rPr>
            </w:pPr>
            <w:r w:rsidRPr="000C1F7F">
              <w:rPr>
                <w:rFonts w:eastAsia="Times New Roman" w:cs="Arial"/>
                <w:sz w:val="20"/>
                <w:szCs w:val="20"/>
              </w:rPr>
              <w:t>494</w:t>
            </w:r>
            <w:r>
              <w:rPr>
                <w:rFonts w:eastAsia="Times New Roman" w:cs="Arial"/>
                <w:sz w:val="20"/>
                <w:szCs w:val="20"/>
              </w:rPr>
              <w:t>,</w:t>
            </w:r>
            <w:r w:rsidRPr="000C1F7F">
              <w:rPr>
                <w:rFonts w:eastAsia="Times New Roman" w:cs="Arial"/>
                <w:sz w:val="20"/>
                <w:szCs w:val="20"/>
              </w:rPr>
              <w:t>325</w:t>
            </w:r>
          </w:p>
        </w:tc>
        <w:tc>
          <w:tcPr>
            <w:tcW w:w="722" w:type="pct"/>
            <w:tcBorders>
              <w:top w:val="single" w:sz="4" w:space="0" w:color="auto"/>
              <w:left w:val="nil"/>
              <w:bottom w:val="single" w:sz="4" w:space="0" w:color="auto"/>
              <w:right w:val="nil"/>
            </w:tcBorders>
            <w:shd w:val="clear" w:color="auto" w:fill="auto"/>
            <w:vAlign w:val="bottom"/>
          </w:tcPr>
          <w:p w14:paraId="181AAEAF" w14:textId="05289066" w:rsidR="00F307E7" w:rsidRPr="009702B0" w:rsidRDefault="00F72520" w:rsidP="00F307E7">
            <w:pPr>
              <w:tabs>
                <w:tab w:val="right" w:pos="1202"/>
              </w:tabs>
              <w:spacing w:after="0" w:line="280" w:lineRule="exact"/>
              <w:jc w:val="right"/>
              <w:outlineLvl w:val="0"/>
              <w:rPr>
                <w:rFonts w:eastAsia="Times New Roman" w:cs="Arial"/>
                <w:sz w:val="20"/>
                <w:szCs w:val="20"/>
              </w:rPr>
            </w:pPr>
            <w:r w:rsidRPr="00F72520">
              <w:rPr>
                <w:rFonts w:eastAsia="Times New Roman"/>
                <w:color w:val="000000"/>
                <w:sz w:val="20"/>
                <w:szCs w:val="20"/>
                <w:lang w:eastAsia="hr-HR"/>
              </w:rPr>
              <w:t xml:space="preserve">741,267 </w:t>
            </w:r>
          </w:p>
        </w:tc>
        <w:tc>
          <w:tcPr>
            <w:tcW w:w="723" w:type="pct"/>
            <w:tcBorders>
              <w:top w:val="single" w:sz="4" w:space="0" w:color="auto"/>
              <w:left w:val="nil"/>
              <w:bottom w:val="single" w:sz="4" w:space="0" w:color="auto"/>
              <w:right w:val="nil"/>
            </w:tcBorders>
            <w:shd w:val="clear" w:color="auto" w:fill="auto"/>
            <w:vAlign w:val="bottom"/>
          </w:tcPr>
          <w:p w14:paraId="52AC2991" w14:textId="77777777" w:rsidR="00F307E7" w:rsidRPr="000C1F7F" w:rsidRDefault="00F307E7" w:rsidP="00F307E7">
            <w:pPr>
              <w:spacing w:after="0" w:line="240" w:lineRule="auto"/>
              <w:jc w:val="right"/>
              <w:rPr>
                <w:rFonts w:eastAsia="Times New Roman"/>
                <w:color w:val="000000"/>
                <w:sz w:val="20"/>
                <w:szCs w:val="20"/>
                <w:lang w:eastAsia="hr-HR"/>
              </w:rPr>
            </w:pPr>
            <w:r w:rsidRPr="000C1F7F">
              <w:rPr>
                <w:rFonts w:eastAsia="Times New Roman"/>
                <w:color w:val="000000"/>
                <w:sz w:val="20"/>
                <w:szCs w:val="20"/>
                <w:lang w:eastAsia="hr-HR"/>
              </w:rPr>
              <w:t>493</w:t>
            </w:r>
            <w:r>
              <w:rPr>
                <w:rFonts w:eastAsia="Times New Roman"/>
                <w:color w:val="000000"/>
                <w:sz w:val="20"/>
                <w:szCs w:val="20"/>
                <w:lang w:eastAsia="hr-HR"/>
              </w:rPr>
              <w:t>,</w:t>
            </w:r>
            <w:r w:rsidRPr="000C1F7F">
              <w:rPr>
                <w:rFonts w:eastAsia="Times New Roman"/>
                <w:color w:val="000000"/>
                <w:sz w:val="20"/>
                <w:szCs w:val="20"/>
                <w:lang w:eastAsia="hr-HR"/>
              </w:rPr>
              <w:t>774</w:t>
            </w:r>
          </w:p>
        </w:tc>
      </w:tr>
      <w:tr w:rsidR="00F307E7" w:rsidRPr="009702B0" w14:paraId="5EB3D4C8" w14:textId="77777777" w:rsidTr="00AA20DA">
        <w:trPr>
          <w:trHeight w:val="278"/>
        </w:trPr>
        <w:tc>
          <w:tcPr>
            <w:tcW w:w="2109" w:type="pct"/>
            <w:vAlign w:val="bottom"/>
          </w:tcPr>
          <w:p w14:paraId="367DA792" w14:textId="77777777" w:rsidR="00F307E7" w:rsidRPr="009702B0" w:rsidRDefault="00F307E7" w:rsidP="00F307E7">
            <w:pPr>
              <w:tabs>
                <w:tab w:val="right" w:pos="1202"/>
              </w:tabs>
              <w:spacing w:after="0" w:line="240" w:lineRule="exact"/>
              <w:outlineLvl w:val="0"/>
              <w:rPr>
                <w:rFonts w:eastAsia="Times New Roman" w:cs="Arial"/>
                <w:sz w:val="20"/>
                <w:szCs w:val="20"/>
              </w:rPr>
            </w:pPr>
            <w:r w:rsidRPr="009702B0">
              <w:rPr>
                <w:rFonts w:cs="Arial"/>
                <w:sz w:val="20"/>
                <w:szCs w:val="20"/>
              </w:rPr>
              <w:t>Provisions for impairment losses</w:t>
            </w:r>
          </w:p>
        </w:tc>
        <w:tc>
          <w:tcPr>
            <w:tcW w:w="722" w:type="pct"/>
            <w:tcBorders>
              <w:top w:val="nil"/>
              <w:left w:val="nil"/>
              <w:bottom w:val="single" w:sz="4" w:space="0" w:color="auto"/>
              <w:right w:val="nil"/>
            </w:tcBorders>
            <w:shd w:val="clear" w:color="auto" w:fill="auto"/>
            <w:vAlign w:val="bottom"/>
          </w:tcPr>
          <w:p w14:paraId="0D925480" w14:textId="2A7BDBED" w:rsidR="00F307E7" w:rsidRPr="009702B0" w:rsidRDefault="00F72520" w:rsidP="00F307E7">
            <w:pPr>
              <w:tabs>
                <w:tab w:val="right" w:pos="1202"/>
              </w:tabs>
              <w:spacing w:after="0" w:line="240" w:lineRule="exact"/>
              <w:jc w:val="right"/>
              <w:outlineLvl w:val="0"/>
              <w:rPr>
                <w:rFonts w:eastAsia="Times New Roman" w:cs="Arial"/>
                <w:sz w:val="20"/>
                <w:szCs w:val="20"/>
              </w:rPr>
            </w:pPr>
            <w:r w:rsidRPr="00F72520">
              <w:rPr>
                <w:rFonts w:eastAsia="Times New Roman"/>
                <w:color w:val="000000"/>
                <w:sz w:val="20"/>
                <w:szCs w:val="20"/>
                <w:lang w:eastAsia="hr-HR"/>
              </w:rPr>
              <w:t xml:space="preserve">(3,636) </w:t>
            </w:r>
          </w:p>
        </w:tc>
        <w:tc>
          <w:tcPr>
            <w:tcW w:w="723" w:type="pct"/>
            <w:tcBorders>
              <w:top w:val="nil"/>
              <w:left w:val="nil"/>
              <w:bottom w:val="single" w:sz="4" w:space="0" w:color="auto"/>
              <w:right w:val="nil"/>
            </w:tcBorders>
            <w:shd w:val="clear" w:color="auto" w:fill="auto"/>
            <w:vAlign w:val="bottom"/>
          </w:tcPr>
          <w:p w14:paraId="41C0586A" w14:textId="77777777" w:rsidR="00F307E7" w:rsidRPr="000C1F7F" w:rsidRDefault="00F307E7" w:rsidP="006B318F">
            <w:pPr>
              <w:tabs>
                <w:tab w:val="right" w:pos="1202"/>
              </w:tabs>
              <w:spacing w:after="0" w:line="240" w:lineRule="exact"/>
              <w:jc w:val="right"/>
              <w:outlineLvl w:val="0"/>
              <w:rPr>
                <w:rFonts w:eastAsia="Times New Roman"/>
                <w:color w:val="000000"/>
                <w:sz w:val="20"/>
                <w:szCs w:val="20"/>
                <w:lang w:eastAsia="hr-HR"/>
              </w:rPr>
            </w:pPr>
            <w:r w:rsidRPr="006B318F">
              <w:rPr>
                <w:rFonts w:eastAsia="Times New Roman"/>
                <w:color w:val="000000"/>
                <w:sz w:val="20"/>
                <w:szCs w:val="20"/>
                <w:lang w:eastAsia="hr-HR"/>
              </w:rPr>
              <w:t>(3,079)</w:t>
            </w:r>
          </w:p>
        </w:tc>
        <w:tc>
          <w:tcPr>
            <w:tcW w:w="722" w:type="pct"/>
            <w:tcBorders>
              <w:top w:val="nil"/>
              <w:left w:val="nil"/>
              <w:bottom w:val="single" w:sz="4" w:space="0" w:color="auto"/>
              <w:right w:val="nil"/>
            </w:tcBorders>
            <w:shd w:val="clear" w:color="auto" w:fill="auto"/>
            <w:vAlign w:val="bottom"/>
          </w:tcPr>
          <w:p w14:paraId="0B0CB0E7" w14:textId="48B2EB73" w:rsidR="00F307E7" w:rsidRPr="009702B0" w:rsidRDefault="00F72520" w:rsidP="00F307E7">
            <w:pPr>
              <w:tabs>
                <w:tab w:val="right" w:pos="1202"/>
              </w:tabs>
              <w:spacing w:after="0" w:line="240" w:lineRule="exact"/>
              <w:jc w:val="right"/>
              <w:outlineLvl w:val="0"/>
              <w:rPr>
                <w:rFonts w:eastAsia="Times New Roman" w:cs="Arial"/>
                <w:sz w:val="20"/>
                <w:szCs w:val="20"/>
              </w:rPr>
            </w:pPr>
            <w:r w:rsidRPr="00F72520">
              <w:rPr>
                <w:rFonts w:eastAsia="Times New Roman"/>
                <w:color w:val="000000"/>
                <w:sz w:val="20"/>
                <w:szCs w:val="20"/>
                <w:lang w:eastAsia="hr-HR"/>
              </w:rPr>
              <w:t xml:space="preserve">(3,636) </w:t>
            </w:r>
          </w:p>
        </w:tc>
        <w:tc>
          <w:tcPr>
            <w:tcW w:w="723" w:type="pct"/>
            <w:tcBorders>
              <w:top w:val="nil"/>
              <w:left w:val="nil"/>
              <w:bottom w:val="single" w:sz="4" w:space="0" w:color="auto"/>
              <w:right w:val="nil"/>
            </w:tcBorders>
            <w:shd w:val="clear" w:color="auto" w:fill="auto"/>
            <w:vAlign w:val="bottom"/>
          </w:tcPr>
          <w:p w14:paraId="00EB51F5" w14:textId="77777777" w:rsidR="00F307E7" w:rsidRPr="000C1F7F" w:rsidRDefault="00F307E7" w:rsidP="006B318F">
            <w:pPr>
              <w:tabs>
                <w:tab w:val="right" w:pos="1202"/>
              </w:tabs>
              <w:spacing w:after="0" w:line="240" w:lineRule="exact"/>
              <w:jc w:val="right"/>
              <w:outlineLvl w:val="0"/>
              <w:rPr>
                <w:rFonts w:eastAsia="Times New Roman"/>
                <w:color w:val="000000"/>
                <w:sz w:val="20"/>
                <w:szCs w:val="20"/>
                <w:lang w:eastAsia="hr-HR"/>
              </w:rPr>
            </w:pPr>
            <w:r w:rsidRPr="000C1F7F">
              <w:rPr>
                <w:rFonts w:eastAsia="Times New Roman"/>
                <w:color w:val="000000"/>
                <w:sz w:val="20"/>
                <w:szCs w:val="20"/>
                <w:lang w:eastAsia="hr-HR"/>
              </w:rPr>
              <w:t>(3</w:t>
            </w:r>
            <w:r>
              <w:rPr>
                <w:rFonts w:eastAsia="Times New Roman"/>
                <w:color w:val="000000"/>
                <w:sz w:val="20"/>
                <w:szCs w:val="20"/>
                <w:lang w:eastAsia="hr-HR"/>
              </w:rPr>
              <w:t>,</w:t>
            </w:r>
            <w:r w:rsidRPr="000C1F7F">
              <w:rPr>
                <w:rFonts w:eastAsia="Times New Roman"/>
                <w:color w:val="000000"/>
                <w:sz w:val="20"/>
                <w:szCs w:val="20"/>
                <w:lang w:eastAsia="hr-HR"/>
              </w:rPr>
              <w:t>079)</w:t>
            </w:r>
          </w:p>
        </w:tc>
      </w:tr>
      <w:tr w:rsidR="00F307E7" w:rsidRPr="009702B0" w14:paraId="2893B53B" w14:textId="77777777" w:rsidTr="00AA20DA">
        <w:trPr>
          <w:trHeight w:val="276"/>
        </w:trPr>
        <w:tc>
          <w:tcPr>
            <w:tcW w:w="2109" w:type="pct"/>
            <w:vAlign w:val="bottom"/>
          </w:tcPr>
          <w:p w14:paraId="33F6E003" w14:textId="77777777" w:rsidR="00F307E7" w:rsidRPr="009702B0" w:rsidRDefault="00F307E7" w:rsidP="00F307E7">
            <w:pPr>
              <w:tabs>
                <w:tab w:val="right" w:pos="1202"/>
              </w:tabs>
              <w:spacing w:after="0" w:line="280" w:lineRule="exact"/>
              <w:outlineLvl w:val="0"/>
              <w:rPr>
                <w:rFonts w:eastAsia="Times New Roman" w:cs="Arial"/>
                <w:b/>
                <w:bCs/>
                <w:sz w:val="20"/>
                <w:szCs w:val="20"/>
              </w:rPr>
            </w:pPr>
          </w:p>
        </w:tc>
        <w:tc>
          <w:tcPr>
            <w:tcW w:w="722" w:type="pct"/>
            <w:tcBorders>
              <w:top w:val="nil"/>
              <w:left w:val="nil"/>
              <w:bottom w:val="single" w:sz="12" w:space="0" w:color="auto"/>
              <w:right w:val="nil"/>
            </w:tcBorders>
            <w:shd w:val="clear" w:color="auto" w:fill="auto"/>
            <w:vAlign w:val="bottom"/>
          </w:tcPr>
          <w:p w14:paraId="20FCB2DA" w14:textId="3C55702A" w:rsidR="00F307E7" w:rsidRPr="009702B0" w:rsidRDefault="00F72520" w:rsidP="00F307E7">
            <w:pPr>
              <w:tabs>
                <w:tab w:val="right" w:pos="1202"/>
              </w:tabs>
              <w:spacing w:after="0" w:line="280" w:lineRule="exact"/>
              <w:jc w:val="right"/>
              <w:outlineLvl w:val="0"/>
              <w:rPr>
                <w:rFonts w:eastAsia="Times New Roman" w:cs="Arial"/>
                <w:b/>
                <w:bCs/>
                <w:snapToGrid w:val="0"/>
                <w:sz w:val="20"/>
                <w:szCs w:val="20"/>
              </w:rPr>
            </w:pPr>
            <w:r w:rsidRPr="00F72520">
              <w:rPr>
                <w:rFonts w:eastAsia="Times New Roman"/>
                <w:b/>
                <w:bCs/>
                <w:color w:val="000000"/>
                <w:sz w:val="20"/>
                <w:szCs w:val="20"/>
                <w:lang w:eastAsia="hr-HR"/>
              </w:rPr>
              <w:t>739,917</w:t>
            </w:r>
          </w:p>
        </w:tc>
        <w:tc>
          <w:tcPr>
            <w:tcW w:w="723" w:type="pct"/>
            <w:tcBorders>
              <w:top w:val="nil"/>
              <w:left w:val="nil"/>
              <w:bottom w:val="single" w:sz="12" w:space="0" w:color="auto"/>
              <w:right w:val="nil"/>
            </w:tcBorders>
            <w:shd w:val="clear" w:color="auto" w:fill="auto"/>
            <w:vAlign w:val="bottom"/>
          </w:tcPr>
          <w:p w14:paraId="19660DEB" w14:textId="77777777" w:rsidR="00F307E7" w:rsidRPr="000C1F7F" w:rsidRDefault="00F307E7" w:rsidP="00F307E7">
            <w:pPr>
              <w:spacing w:after="0" w:line="240" w:lineRule="auto"/>
              <w:jc w:val="right"/>
              <w:rPr>
                <w:rFonts w:eastAsia="Times New Roman"/>
                <w:b/>
                <w:bCs/>
                <w:color w:val="000000"/>
                <w:sz w:val="20"/>
                <w:szCs w:val="20"/>
                <w:lang w:eastAsia="hr-HR"/>
              </w:rPr>
            </w:pPr>
            <w:r w:rsidRPr="000C1F7F">
              <w:rPr>
                <w:rFonts w:eastAsia="Times New Roman" w:cs="Arial"/>
                <w:b/>
                <w:bCs/>
                <w:snapToGrid w:val="0"/>
                <w:sz w:val="20"/>
                <w:szCs w:val="20"/>
              </w:rPr>
              <w:t>491</w:t>
            </w:r>
            <w:r>
              <w:rPr>
                <w:rFonts w:eastAsia="Times New Roman" w:cs="Arial"/>
                <w:b/>
                <w:bCs/>
                <w:snapToGrid w:val="0"/>
                <w:sz w:val="20"/>
                <w:szCs w:val="20"/>
              </w:rPr>
              <w:t>,</w:t>
            </w:r>
            <w:r w:rsidRPr="000C1F7F">
              <w:rPr>
                <w:rFonts w:eastAsia="Times New Roman" w:cs="Arial"/>
                <w:b/>
                <w:bCs/>
                <w:snapToGrid w:val="0"/>
                <w:sz w:val="20"/>
                <w:szCs w:val="20"/>
              </w:rPr>
              <w:t>246</w:t>
            </w:r>
          </w:p>
        </w:tc>
        <w:tc>
          <w:tcPr>
            <w:tcW w:w="722" w:type="pct"/>
            <w:tcBorders>
              <w:top w:val="nil"/>
              <w:left w:val="nil"/>
              <w:bottom w:val="single" w:sz="12" w:space="0" w:color="auto"/>
              <w:right w:val="nil"/>
            </w:tcBorders>
            <w:shd w:val="clear" w:color="auto" w:fill="auto"/>
            <w:vAlign w:val="bottom"/>
          </w:tcPr>
          <w:p w14:paraId="7B30B71A" w14:textId="4E7EBCB6" w:rsidR="00F307E7" w:rsidRPr="005444AA" w:rsidRDefault="00F72520" w:rsidP="005444AA">
            <w:pPr>
              <w:spacing w:after="0" w:line="240" w:lineRule="auto"/>
              <w:jc w:val="right"/>
              <w:rPr>
                <w:rFonts w:eastAsia="Times New Roman"/>
                <w:b/>
                <w:bCs/>
                <w:color w:val="000000"/>
                <w:sz w:val="20"/>
                <w:szCs w:val="20"/>
                <w:lang w:eastAsia="hr-HR"/>
              </w:rPr>
            </w:pPr>
            <w:r w:rsidRPr="00F72520">
              <w:rPr>
                <w:rFonts w:eastAsia="Times New Roman"/>
                <w:b/>
                <w:bCs/>
                <w:color w:val="000000"/>
                <w:sz w:val="20"/>
                <w:szCs w:val="20"/>
                <w:lang w:eastAsia="hr-HR"/>
              </w:rPr>
              <w:t xml:space="preserve">737,631 </w:t>
            </w:r>
          </w:p>
        </w:tc>
        <w:tc>
          <w:tcPr>
            <w:tcW w:w="723" w:type="pct"/>
            <w:tcBorders>
              <w:top w:val="nil"/>
              <w:left w:val="nil"/>
              <w:bottom w:val="single" w:sz="12" w:space="0" w:color="auto"/>
              <w:right w:val="nil"/>
            </w:tcBorders>
            <w:shd w:val="clear" w:color="auto" w:fill="auto"/>
            <w:vAlign w:val="bottom"/>
          </w:tcPr>
          <w:p w14:paraId="16ED4C45" w14:textId="77777777" w:rsidR="00F307E7" w:rsidRPr="000C1F7F" w:rsidRDefault="00F307E7" w:rsidP="00F307E7">
            <w:pPr>
              <w:spacing w:after="0" w:line="240" w:lineRule="auto"/>
              <w:jc w:val="right"/>
              <w:rPr>
                <w:rFonts w:eastAsia="Times New Roman"/>
                <w:b/>
                <w:bCs/>
                <w:color w:val="000000"/>
                <w:sz w:val="20"/>
                <w:szCs w:val="20"/>
                <w:lang w:eastAsia="hr-HR"/>
              </w:rPr>
            </w:pPr>
            <w:r w:rsidRPr="000C1F7F">
              <w:rPr>
                <w:rFonts w:eastAsia="Times New Roman"/>
                <w:b/>
                <w:bCs/>
                <w:color w:val="000000"/>
                <w:sz w:val="20"/>
                <w:szCs w:val="20"/>
                <w:lang w:eastAsia="hr-HR"/>
              </w:rPr>
              <w:t>490</w:t>
            </w:r>
            <w:r>
              <w:rPr>
                <w:rFonts w:eastAsia="Times New Roman"/>
                <w:b/>
                <w:bCs/>
                <w:color w:val="000000"/>
                <w:sz w:val="20"/>
                <w:szCs w:val="20"/>
                <w:lang w:eastAsia="hr-HR"/>
              </w:rPr>
              <w:t>,</w:t>
            </w:r>
            <w:r w:rsidRPr="000C1F7F">
              <w:rPr>
                <w:rFonts w:eastAsia="Times New Roman"/>
                <w:b/>
                <w:bCs/>
                <w:color w:val="000000"/>
                <w:sz w:val="20"/>
                <w:szCs w:val="20"/>
                <w:lang w:eastAsia="hr-HR"/>
              </w:rPr>
              <w:t>695</w:t>
            </w:r>
          </w:p>
        </w:tc>
      </w:tr>
    </w:tbl>
    <w:p w14:paraId="459C5AD2" w14:textId="77777777" w:rsidR="009702B0" w:rsidRPr="009702B0" w:rsidRDefault="009702B0" w:rsidP="009702B0">
      <w:pPr>
        <w:tabs>
          <w:tab w:val="left" w:pos="-720"/>
        </w:tabs>
        <w:spacing w:after="0" w:line="240" w:lineRule="auto"/>
        <w:jc w:val="both"/>
        <w:rPr>
          <w:rFonts w:eastAsia="Times New Roman" w:cs="Calibri"/>
          <w:sz w:val="24"/>
          <w:szCs w:val="24"/>
          <w:lang w:eastAsia="hr-HR"/>
        </w:rPr>
      </w:pPr>
    </w:p>
    <w:p w14:paraId="1A550195" w14:textId="77777777" w:rsidR="009702B0" w:rsidRPr="009702B0" w:rsidRDefault="009702B0" w:rsidP="009702B0">
      <w:pPr>
        <w:spacing w:after="0" w:line="240" w:lineRule="auto"/>
        <w:jc w:val="both"/>
        <w:rPr>
          <w:rFonts w:cs="Arial"/>
        </w:rPr>
      </w:pPr>
    </w:p>
    <w:p w14:paraId="4A2A7C0F" w14:textId="77777777" w:rsidR="009702B0" w:rsidRPr="009702B0" w:rsidRDefault="009702B0" w:rsidP="009702B0">
      <w:pPr>
        <w:keepNext/>
        <w:spacing w:after="0" w:line="240" w:lineRule="auto"/>
        <w:jc w:val="both"/>
        <w:rPr>
          <w:rFonts w:eastAsia="Times New Roman" w:cs="Arial"/>
          <w:bCs/>
        </w:rPr>
        <w:sectPr w:rsidR="009702B0" w:rsidRPr="009702B0" w:rsidSect="00947CB7">
          <w:footerReference w:type="default" r:id="rId60"/>
          <w:footerReference w:type="first" r:id="rId61"/>
          <w:pgSz w:w="11906" w:h="16838" w:code="9"/>
          <w:pgMar w:top="1418" w:right="1418" w:bottom="595" w:left="1134" w:header="709" w:footer="709" w:gutter="0"/>
          <w:cols w:space="708"/>
          <w:titlePg/>
          <w:docGrid w:linePitch="360"/>
        </w:sectPr>
      </w:pPr>
    </w:p>
    <w:p w14:paraId="5AE61780" w14:textId="77777777" w:rsidR="009702B0" w:rsidRPr="009702B0" w:rsidRDefault="009702B0" w:rsidP="009702B0">
      <w:pPr>
        <w:tabs>
          <w:tab w:val="left" w:pos="-720"/>
          <w:tab w:val="left" w:pos="567"/>
        </w:tabs>
        <w:spacing w:after="0" w:line="240" w:lineRule="auto"/>
        <w:jc w:val="both"/>
        <w:rPr>
          <w:rFonts w:eastAsia="Times New Roman" w:cs="Calibri"/>
          <w:b/>
          <w:lang w:eastAsia="hr-HR"/>
        </w:rPr>
      </w:pPr>
    </w:p>
    <w:p w14:paraId="4820715A" w14:textId="77777777" w:rsidR="009702B0" w:rsidRPr="009702B0" w:rsidRDefault="009702B0" w:rsidP="009702B0">
      <w:pPr>
        <w:tabs>
          <w:tab w:val="left" w:pos="-720"/>
          <w:tab w:val="left" w:pos="567"/>
        </w:tabs>
        <w:spacing w:after="0" w:line="240" w:lineRule="auto"/>
        <w:jc w:val="both"/>
        <w:rPr>
          <w:rFonts w:eastAsia="Times New Roman" w:cs="Calibri"/>
          <w:b/>
          <w:lang w:eastAsia="hr-HR"/>
        </w:rPr>
      </w:pPr>
      <w:r w:rsidRPr="009702B0">
        <w:rPr>
          <w:rFonts w:eastAsia="Times New Roman" w:cs="Calibri"/>
          <w:b/>
          <w:lang w:eastAsia="hr-HR"/>
        </w:rPr>
        <w:t>9.</w:t>
      </w:r>
      <w:r w:rsidRPr="009702B0">
        <w:rPr>
          <w:rFonts w:eastAsia="Times New Roman" w:cs="Calibri"/>
          <w:b/>
          <w:lang w:eastAsia="hr-HR"/>
        </w:rPr>
        <w:tab/>
        <w:t>Loans to financial institutions</w:t>
      </w:r>
    </w:p>
    <w:tbl>
      <w:tblPr>
        <w:tblW w:w="5228" w:type="pct"/>
        <w:tblInd w:w="-142" w:type="dxa"/>
        <w:tblLayout w:type="fixed"/>
        <w:tblCellMar>
          <w:left w:w="119" w:type="dxa"/>
          <w:bottom w:w="28" w:type="dxa"/>
          <w:right w:w="119" w:type="dxa"/>
        </w:tblCellMar>
        <w:tblLook w:val="0000" w:firstRow="0" w:lastRow="0" w:firstColumn="0" w:lastColumn="0" w:noHBand="0" w:noVBand="0"/>
      </w:tblPr>
      <w:tblGrid>
        <w:gridCol w:w="4253"/>
        <w:gridCol w:w="1382"/>
        <w:gridCol w:w="1382"/>
        <w:gridCol w:w="1382"/>
        <w:gridCol w:w="1382"/>
      </w:tblGrid>
      <w:tr w:rsidR="009702B0" w:rsidRPr="009702B0" w14:paraId="209ABBBB" w14:textId="77777777" w:rsidTr="00BC5874">
        <w:trPr>
          <w:trHeight w:hRule="exact" w:val="231"/>
        </w:trPr>
        <w:tc>
          <w:tcPr>
            <w:tcW w:w="4253" w:type="dxa"/>
            <w:vAlign w:val="center"/>
          </w:tcPr>
          <w:p w14:paraId="1FA95A18" w14:textId="77777777" w:rsidR="009702B0" w:rsidRPr="009702B0" w:rsidRDefault="009702B0" w:rsidP="009702B0">
            <w:pPr>
              <w:tabs>
                <w:tab w:val="left" w:pos="-720"/>
              </w:tabs>
              <w:suppressAutoHyphens/>
              <w:spacing w:after="0" w:line="240" w:lineRule="auto"/>
              <w:jc w:val="right"/>
              <w:rPr>
                <w:rFonts w:eastAsia="Times New Roman" w:cs="Arial"/>
                <w:spacing w:val="-3"/>
                <w:sz w:val="20"/>
                <w:szCs w:val="20"/>
              </w:rPr>
            </w:pPr>
          </w:p>
        </w:tc>
        <w:tc>
          <w:tcPr>
            <w:tcW w:w="2764" w:type="dxa"/>
            <w:gridSpan w:val="2"/>
            <w:vAlign w:val="center"/>
          </w:tcPr>
          <w:p w14:paraId="3EF220BD" w14:textId="77777777" w:rsidR="009702B0" w:rsidRPr="009702B0" w:rsidRDefault="009702B0" w:rsidP="009702B0">
            <w:pPr>
              <w:tabs>
                <w:tab w:val="right" w:pos="1202"/>
              </w:tabs>
              <w:spacing w:after="0" w:line="220" w:lineRule="exact"/>
              <w:jc w:val="right"/>
              <w:outlineLvl w:val="0"/>
              <w:rPr>
                <w:rFonts w:eastAsia="Times New Roman" w:cs="Arial"/>
                <w:b/>
                <w:sz w:val="20"/>
                <w:szCs w:val="20"/>
              </w:rPr>
            </w:pPr>
            <w:r w:rsidRPr="009702B0">
              <w:rPr>
                <w:rFonts w:eastAsia="Times New Roman" w:cs="Arial"/>
                <w:b/>
                <w:sz w:val="20"/>
                <w:szCs w:val="20"/>
              </w:rPr>
              <w:t>Group</w:t>
            </w:r>
          </w:p>
        </w:tc>
        <w:tc>
          <w:tcPr>
            <w:tcW w:w="2764" w:type="dxa"/>
            <w:gridSpan w:val="2"/>
            <w:vAlign w:val="center"/>
          </w:tcPr>
          <w:p w14:paraId="69DEBA37" w14:textId="77777777" w:rsidR="009702B0" w:rsidRPr="009702B0" w:rsidRDefault="009702B0" w:rsidP="009702B0">
            <w:pPr>
              <w:tabs>
                <w:tab w:val="right" w:pos="1202"/>
              </w:tabs>
              <w:spacing w:after="0" w:line="220" w:lineRule="exact"/>
              <w:jc w:val="right"/>
              <w:outlineLvl w:val="0"/>
              <w:rPr>
                <w:rFonts w:eastAsia="Times New Roman" w:cs="Arial"/>
                <w:b/>
                <w:sz w:val="20"/>
                <w:szCs w:val="20"/>
              </w:rPr>
            </w:pPr>
            <w:r w:rsidRPr="009702B0">
              <w:rPr>
                <w:rFonts w:eastAsia="Times New Roman" w:cs="Arial"/>
                <w:b/>
                <w:sz w:val="20"/>
                <w:szCs w:val="20"/>
              </w:rPr>
              <w:t>Bank</w:t>
            </w:r>
          </w:p>
        </w:tc>
      </w:tr>
      <w:tr w:rsidR="00AA20DA" w:rsidRPr="009702B0" w14:paraId="7F61A2BD" w14:textId="77777777" w:rsidTr="00BC5874">
        <w:trPr>
          <w:trHeight w:hRule="exact" w:val="283"/>
        </w:trPr>
        <w:tc>
          <w:tcPr>
            <w:tcW w:w="4253" w:type="dxa"/>
            <w:vAlign w:val="center"/>
          </w:tcPr>
          <w:p w14:paraId="6B20B00D" w14:textId="77777777" w:rsidR="00AA20DA" w:rsidRPr="009702B0" w:rsidRDefault="00AA20DA" w:rsidP="00AA20DA">
            <w:pPr>
              <w:tabs>
                <w:tab w:val="left" w:pos="-720"/>
              </w:tabs>
              <w:suppressAutoHyphens/>
              <w:spacing w:after="0" w:line="240" w:lineRule="auto"/>
              <w:jc w:val="right"/>
              <w:rPr>
                <w:rFonts w:eastAsia="Times New Roman" w:cs="Arial"/>
                <w:spacing w:val="-3"/>
                <w:sz w:val="20"/>
                <w:szCs w:val="20"/>
              </w:rPr>
            </w:pPr>
          </w:p>
        </w:tc>
        <w:tc>
          <w:tcPr>
            <w:tcW w:w="1382" w:type="dxa"/>
            <w:vAlign w:val="center"/>
          </w:tcPr>
          <w:p w14:paraId="600EC8A0" w14:textId="6F1A7612" w:rsidR="00AA20DA" w:rsidRPr="00BD634B" w:rsidRDefault="009A0DF2" w:rsidP="00AA20DA">
            <w:pPr>
              <w:spacing w:after="0" w:line="280" w:lineRule="exact"/>
              <w:jc w:val="right"/>
              <w:outlineLvl w:val="0"/>
              <w:rPr>
                <w:rFonts w:eastAsia="Times New Roman" w:cs="Arial"/>
                <w:b/>
                <w:bCs/>
                <w:sz w:val="20"/>
                <w:szCs w:val="20"/>
              </w:rPr>
            </w:pPr>
            <w:r>
              <w:rPr>
                <w:rFonts w:eastAsia="Times New Roman" w:cs="Arial"/>
                <w:b/>
                <w:bCs/>
                <w:sz w:val="20"/>
                <w:szCs w:val="20"/>
              </w:rPr>
              <w:t>Sep</w:t>
            </w:r>
            <w:r w:rsidRPr="00B45DC1">
              <w:rPr>
                <w:rFonts w:eastAsia="Times New Roman" w:cs="Arial"/>
                <w:b/>
                <w:bCs/>
                <w:sz w:val="20"/>
                <w:szCs w:val="20"/>
              </w:rPr>
              <w:t xml:space="preserve"> </w:t>
            </w:r>
            <w:r w:rsidR="00B45DC1" w:rsidRPr="00B45DC1">
              <w:rPr>
                <w:rFonts w:eastAsia="Times New Roman" w:cs="Arial"/>
                <w:b/>
                <w:bCs/>
                <w:sz w:val="20"/>
                <w:szCs w:val="20"/>
              </w:rPr>
              <w:t>30</w:t>
            </w:r>
            <w:r w:rsidR="00AA20DA" w:rsidRPr="00BD634B">
              <w:rPr>
                <w:rFonts w:eastAsia="Times New Roman" w:cs="Arial"/>
                <w:b/>
                <w:bCs/>
                <w:sz w:val="20"/>
                <w:szCs w:val="20"/>
              </w:rPr>
              <w:t>, 201</w:t>
            </w:r>
            <w:r w:rsidR="00AA20DA">
              <w:rPr>
                <w:rFonts w:eastAsia="Times New Roman" w:cs="Arial"/>
                <w:b/>
                <w:bCs/>
                <w:sz w:val="20"/>
                <w:szCs w:val="20"/>
              </w:rPr>
              <w:t>7</w:t>
            </w:r>
          </w:p>
        </w:tc>
        <w:tc>
          <w:tcPr>
            <w:tcW w:w="1382" w:type="dxa"/>
            <w:vAlign w:val="center"/>
          </w:tcPr>
          <w:p w14:paraId="32337D2A" w14:textId="77777777" w:rsidR="00AA20DA" w:rsidRPr="009702B0" w:rsidRDefault="00AA20DA" w:rsidP="00AA20DA">
            <w:pPr>
              <w:spacing w:after="0" w:line="280" w:lineRule="exact"/>
              <w:jc w:val="right"/>
              <w:outlineLvl w:val="0"/>
              <w:rPr>
                <w:rFonts w:eastAsia="Times New Roman" w:cs="Arial"/>
                <w:b/>
                <w:bCs/>
                <w:sz w:val="20"/>
                <w:szCs w:val="20"/>
              </w:rPr>
            </w:pPr>
            <w:r w:rsidRPr="009702B0">
              <w:rPr>
                <w:rFonts w:eastAsia="Times New Roman" w:cs="Arial"/>
                <w:b/>
                <w:bCs/>
                <w:sz w:val="20"/>
                <w:szCs w:val="20"/>
              </w:rPr>
              <w:t>Dec 31, 201</w:t>
            </w:r>
            <w:r>
              <w:rPr>
                <w:rFonts w:eastAsia="Times New Roman" w:cs="Arial"/>
                <w:b/>
                <w:bCs/>
                <w:sz w:val="20"/>
                <w:szCs w:val="20"/>
              </w:rPr>
              <w:t>6</w:t>
            </w:r>
          </w:p>
        </w:tc>
        <w:tc>
          <w:tcPr>
            <w:tcW w:w="1382" w:type="dxa"/>
            <w:vAlign w:val="center"/>
          </w:tcPr>
          <w:p w14:paraId="7C558254" w14:textId="65307637" w:rsidR="00AA20DA" w:rsidRPr="00BD634B" w:rsidRDefault="009A0DF2" w:rsidP="00AA20DA">
            <w:pPr>
              <w:spacing w:after="0" w:line="280" w:lineRule="exact"/>
              <w:jc w:val="right"/>
              <w:outlineLvl w:val="0"/>
              <w:rPr>
                <w:rFonts w:eastAsia="Times New Roman" w:cs="Arial"/>
                <w:b/>
                <w:bCs/>
                <w:sz w:val="20"/>
                <w:szCs w:val="20"/>
              </w:rPr>
            </w:pPr>
            <w:r>
              <w:rPr>
                <w:rFonts w:eastAsia="Times New Roman" w:cs="Arial"/>
                <w:b/>
                <w:bCs/>
                <w:sz w:val="20"/>
                <w:szCs w:val="20"/>
              </w:rPr>
              <w:t>Sep</w:t>
            </w:r>
            <w:r w:rsidRPr="00B45DC1">
              <w:rPr>
                <w:rFonts w:eastAsia="Times New Roman" w:cs="Arial"/>
                <w:b/>
                <w:bCs/>
                <w:sz w:val="20"/>
                <w:szCs w:val="20"/>
              </w:rPr>
              <w:t xml:space="preserve"> </w:t>
            </w:r>
            <w:r w:rsidR="00B45DC1" w:rsidRPr="00B45DC1">
              <w:rPr>
                <w:rFonts w:eastAsia="Times New Roman" w:cs="Arial"/>
                <w:b/>
                <w:bCs/>
                <w:sz w:val="20"/>
                <w:szCs w:val="20"/>
              </w:rPr>
              <w:t>30</w:t>
            </w:r>
            <w:r w:rsidR="00AA20DA" w:rsidRPr="00BD634B">
              <w:rPr>
                <w:rFonts w:eastAsia="Times New Roman" w:cs="Arial"/>
                <w:b/>
                <w:bCs/>
                <w:sz w:val="20"/>
                <w:szCs w:val="20"/>
              </w:rPr>
              <w:t>, 201</w:t>
            </w:r>
            <w:r w:rsidR="00AA20DA">
              <w:rPr>
                <w:rFonts w:eastAsia="Times New Roman" w:cs="Arial"/>
                <w:b/>
                <w:bCs/>
                <w:sz w:val="20"/>
                <w:szCs w:val="20"/>
              </w:rPr>
              <w:t>7</w:t>
            </w:r>
          </w:p>
        </w:tc>
        <w:tc>
          <w:tcPr>
            <w:tcW w:w="1382" w:type="dxa"/>
            <w:vAlign w:val="center"/>
          </w:tcPr>
          <w:p w14:paraId="7775DB0E" w14:textId="77777777" w:rsidR="00AA20DA" w:rsidRPr="009702B0" w:rsidRDefault="00AA20DA" w:rsidP="00AA20DA">
            <w:pPr>
              <w:spacing w:after="0" w:line="280" w:lineRule="exact"/>
              <w:jc w:val="right"/>
              <w:outlineLvl w:val="0"/>
              <w:rPr>
                <w:rFonts w:eastAsia="Times New Roman" w:cs="Arial"/>
                <w:b/>
                <w:bCs/>
                <w:sz w:val="20"/>
                <w:szCs w:val="20"/>
              </w:rPr>
            </w:pPr>
            <w:r w:rsidRPr="009702B0">
              <w:rPr>
                <w:rFonts w:eastAsia="Times New Roman" w:cs="Arial"/>
                <w:b/>
                <w:bCs/>
                <w:sz w:val="20"/>
                <w:szCs w:val="20"/>
              </w:rPr>
              <w:t>Dec 31, 201</w:t>
            </w:r>
            <w:r>
              <w:rPr>
                <w:rFonts w:eastAsia="Times New Roman" w:cs="Arial"/>
                <w:b/>
                <w:bCs/>
                <w:sz w:val="20"/>
                <w:szCs w:val="20"/>
              </w:rPr>
              <w:t>6</w:t>
            </w:r>
          </w:p>
        </w:tc>
      </w:tr>
      <w:tr w:rsidR="00F93F44" w:rsidRPr="009702B0" w14:paraId="16922652" w14:textId="77777777" w:rsidTr="006B318F">
        <w:trPr>
          <w:trHeight w:hRule="exact" w:val="345"/>
        </w:trPr>
        <w:tc>
          <w:tcPr>
            <w:tcW w:w="4253" w:type="dxa"/>
            <w:vAlign w:val="bottom"/>
          </w:tcPr>
          <w:p w14:paraId="5FAD3A33" w14:textId="77777777" w:rsidR="00F93F44" w:rsidRPr="009702B0" w:rsidRDefault="00F93F44" w:rsidP="00F93F44">
            <w:pPr>
              <w:tabs>
                <w:tab w:val="right" w:pos="1202"/>
              </w:tabs>
              <w:spacing w:after="0" w:line="301" w:lineRule="exact"/>
              <w:outlineLvl w:val="0"/>
              <w:rPr>
                <w:rFonts w:eastAsia="Times New Roman" w:cs="Arial"/>
                <w:sz w:val="20"/>
                <w:szCs w:val="20"/>
              </w:rPr>
            </w:pPr>
            <w:r w:rsidRPr="00BC5874">
              <w:rPr>
                <w:rFonts w:eastAsia="Times New Roman" w:cs="Arial"/>
                <w:sz w:val="20"/>
                <w:szCs w:val="20"/>
              </w:rPr>
              <w:t>Long-term loans under loan programmes</w:t>
            </w:r>
          </w:p>
        </w:tc>
        <w:tc>
          <w:tcPr>
            <w:tcW w:w="1382" w:type="dxa"/>
            <w:tcBorders>
              <w:top w:val="nil"/>
              <w:left w:val="nil"/>
              <w:bottom w:val="nil"/>
              <w:right w:val="nil"/>
            </w:tcBorders>
            <w:shd w:val="clear" w:color="auto" w:fill="auto"/>
            <w:vAlign w:val="bottom"/>
          </w:tcPr>
          <w:p w14:paraId="139E9504" w14:textId="3DF9CF64" w:rsidR="00F93F44" w:rsidRPr="006B318F" w:rsidRDefault="00F93F44" w:rsidP="006B318F">
            <w:pPr>
              <w:spacing w:after="0" w:line="240" w:lineRule="auto"/>
              <w:jc w:val="right"/>
              <w:rPr>
                <w:sz w:val="20"/>
                <w:szCs w:val="20"/>
              </w:rPr>
            </w:pPr>
            <w:r w:rsidRPr="006B318F">
              <w:rPr>
                <w:sz w:val="20"/>
                <w:szCs w:val="20"/>
              </w:rPr>
              <w:t xml:space="preserve"> 11,227,670 </w:t>
            </w:r>
          </w:p>
        </w:tc>
        <w:tc>
          <w:tcPr>
            <w:tcW w:w="1382" w:type="dxa"/>
            <w:tcBorders>
              <w:top w:val="nil"/>
              <w:left w:val="nil"/>
              <w:bottom w:val="nil"/>
              <w:right w:val="nil"/>
            </w:tcBorders>
            <w:shd w:val="clear" w:color="auto" w:fill="auto"/>
            <w:vAlign w:val="bottom"/>
          </w:tcPr>
          <w:p w14:paraId="45C76FCD" w14:textId="77777777" w:rsidR="00F93F44" w:rsidRPr="000C1F7F" w:rsidRDefault="00F93F44" w:rsidP="00F93F44">
            <w:pPr>
              <w:spacing w:after="0" w:line="240" w:lineRule="auto"/>
              <w:jc w:val="right"/>
              <w:rPr>
                <w:rFonts w:eastAsia="Times New Roman"/>
                <w:color w:val="000000"/>
                <w:sz w:val="20"/>
                <w:szCs w:val="20"/>
                <w:lang w:eastAsia="hr-HR"/>
              </w:rPr>
            </w:pPr>
            <w:r w:rsidRPr="000C1F7F">
              <w:rPr>
                <w:sz w:val="20"/>
                <w:szCs w:val="20"/>
              </w:rPr>
              <w:t>11</w:t>
            </w:r>
            <w:r>
              <w:rPr>
                <w:sz w:val="20"/>
                <w:szCs w:val="20"/>
              </w:rPr>
              <w:t>,</w:t>
            </w:r>
            <w:r w:rsidRPr="000C1F7F">
              <w:rPr>
                <w:sz w:val="20"/>
                <w:szCs w:val="20"/>
              </w:rPr>
              <w:t>918</w:t>
            </w:r>
            <w:r>
              <w:rPr>
                <w:sz w:val="20"/>
                <w:szCs w:val="20"/>
              </w:rPr>
              <w:t>,</w:t>
            </w:r>
            <w:r w:rsidRPr="000C1F7F">
              <w:rPr>
                <w:sz w:val="20"/>
                <w:szCs w:val="20"/>
              </w:rPr>
              <w:t>947</w:t>
            </w:r>
          </w:p>
        </w:tc>
        <w:tc>
          <w:tcPr>
            <w:tcW w:w="1382" w:type="dxa"/>
            <w:tcBorders>
              <w:top w:val="nil"/>
              <w:left w:val="nil"/>
              <w:bottom w:val="nil"/>
              <w:right w:val="nil"/>
            </w:tcBorders>
            <w:shd w:val="clear" w:color="auto" w:fill="auto"/>
            <w:vAlign w:val="bottom"/>
          </w:tcPr>
          <w:p w14:paraId="0F18F1E7" w14:textId="289DBB25" w:rsidR="00F93F44" w:rsidRPr="006B318F" w:rsidRDefault="00F93F44" w:rsidP="008D6EFE">
            <w:pPr>
              <w:spacing w:after="0" w:line="240" w:lineRule="auto"/>
              <w:jc w:val="right"/>
              <w:rPr>
                <w:sz w:val="20"/>
                <w:szCs w:val="20"/>
              </w:rPr>
            </w:pPr>
            <w:r w:rsidRPr="006B318F">
              <w:rPr>
                <w:sz w:val="20"/>
                <w:szCs w:val="20"/>
              </w:rPr>
              <w:t xml:space="preserve"> 11,227,670 </w:t>
            </w:r>
          </w:p>
        </w:tc>
        <w:tc>
          <w:tcPr>
            <w:tcW w:w="1382" w:type="dxa"/>
            <w:tcBorders>
              <w:top w:val="nil"/>
              <w:left w:val="nil"/>
              <w:bottom w:val="nil"/>
              <w:right w:val="nil"/>
            </w:tcBorders>
            <w:shd w:val="clear" w:color="auto" w:fill="auto"/>
            <w:vAlign w:val="bottom"/>
          </w:tcPr>
          <w:p w14:paraId="4B04EA02" w14:textId="77777777" w:rsidR="00F93F44" w:rsidRPr="000C1F7F" w:rsidRDefault="00F93F44" w:rsidP="00F93F44">
            <w:pPr>
              <w:spacing w:after="0" w:line="240" w:lineRule="auto"/>
              <w:jc w:val="right"/>
              <w:rPr>
                <w:rFonts w:eastAsia="Times New Roman"/>
                <w:color w:val="000000"/>
                <w:sz w:val="20"/>
                <w:szCs w:val="20"/>
                <w:lang w:eastAsia="hr-HR"/>
              </w:rPr>
            </w:pPr>
            <w:r w:rsidRPr="000C1F7F">
              <w:rPr>
                <w:sz w:val="20"/>
                <w:szCs w:val="20"/>
              </w:rPr>
              <w:t>11</w:t>
            </w:r>
            <w:r>
              <w:rPr>
                <w:sz w:val="20"/>
                <w:szCs w:val="20"/>
              </w:rPr>
              <w:t>,</w:t>
            </w:r>
            <w:r w:rsidRPr="000C1F7F">
              <w:rPr>
                <w:sz w:val="20"/>
                <w:szCs w:val="20"/>
              </w:rPr>
              <w:t>918</w:t>
            </w:r>
            <w:r>
              <w:rPr>
                <w:sz w:val="20"/>
                <w:szCs w:val="20"/>
              </w:rPr>
              <w:t>,</w:t>
            </w:r>
            <w:r w:rsidRPr="000C1F7F">
              <w:rPr>
                <w:sz w:val="20"/>
                <w:szCs w:val="20"/>
              </w:rPr>
              <w:t>947</w:t>
            </w:r>
          </w:p>
        </w:tc>
      </w:tr>
      <w:tr w:rsidR="00F93F44" w:rsidRPr="009702B0" w14:paraId="574199F9" w14:textId="77777777" w:rsidTr="006B318F">
        <w:trPr>
          <w:trHeight w:hRule="exact" w:val="265"/>
        </w:trPr>
        <w:tc>
          <w:tcPr>
            <w:tcW w:w="4253" w:type="dxa"/>
            <w:vAlign w:val="bottom"/>
          </w:tcPr>
          <w:p w14:paraId="7FD4D839" w14:textId="77777777" w:rsidR="00F93F44" w:rsidRPr="009702B0" w:rsidRDefault="00F93F44" w:rsidP="00F93F44">
            <w:pPr>
              <w:tabs>
                <w:tab w:val="right" w:pos="1202"/>
              </w:tabs>
              <w:spacing w:after="0" w:line="301" w:lineRule="exact"/>
              <w:outlineLvl w:val="0"/>
              <w:rPr>
                <w:rFonts w:eastAsia="Times New Roman" w:cs="Arial"/>
                <w:sz w:val="20"/>
                <w:szCs w:val="20"/>
              </w:rPr>
            </w:pPr>
            <w:r w:rsidRPr="00BC5874">
              <w:rPr>
                <w:rFonts w:eastAsia="Times New Roman" w:cs="Arial"/>
                <w:sz w:val="20"/>
                <w:szCs w:val="20"/>
              </w:rPr>
              <w:t>Short-term loans and reverse repo transactions</w:t>
            </w:r>
          </w:p>
        </w:tc>
        <w:tc>
          <w:tcPr>
            <w:tcW w:w="1382" w:type="dxa"/>
            <w:tcBorders>
              <w:top w:val="nil"/>
              <w:left w:val="nil"/>
              <w:bottom w:val="nil"/>
              <w:right w:val="nil"/>
            </w:tcBorders>
            <w:shd w:val="clear" w:color="auto" w:fill="auto"/>
            <w:vAlign w:val="bottom"/>
          </w:tcPr>
          <w:p w14:paraId="23780B01" w14:textId="1C3379EA" w:rsidR="00F93F44" w:rsidRPr="006B318F" w:rsidRDefault="00F93F44" w:rsidP="008D6EFE">
            <w:pPr>
              <w:tabs>
                <w:tab w:val="right" w:pos="1202"/>
              </w:tabs>
              <w:spacing w:after="0" w:line="301" w:lineRule="exact"/>
              <w:jc w:val="right"/>
              <w:outlineLvl w:val="0"/>
              <w:rPr>
                <w:sz w:val="20"/>
                <w:szCs w:val="20"/>
              </w:rPr>
            </w:pPr>
            <w:r w:rsidRPr="006B318F">
              <w:rPr>
                <w:sz w:val="20"/>
                <w:szCs w:val="20"/>
              </w:rPr>
              <w:t xml:space="preserve"> 1,312,480 </w:t>
            </w:r>
          </w:p>
        </w:tc>
        <w:tc>
          <w:tcPr>
            <w:tcW w:w="1382" w:type="dxa"/>
            <w:tcBorders>
              <w:top w:val="nil"/>
              <w:left w:val="nil"/>
              <w:bottom w:val="nil"/>
              <w:right w:val="nil"/>
            </w:tcBorders>
            <w:shd w:val="clear" w:color="auto" w:fill="auto"/>
            <w:vAlign w:val="bottom"/>
          </w:tcPr>
          <w:p w14:paraId="4F4AE86C" w14:textId="77777777" w:rsidR="00F93F44" w:rsidRPr="00166751" w:rsidRDefault="00F93F44" w:rsidP="00F93F44">
            <w:pPr>
              <w:tabs>
                <w:tab w:val="right" w:pos="1202"/>
              </w:tabs>
              <w:spacing w:after="0" w:line="301" w:lineRule="exact"/>
              <w:jc w:val="right"/>
              <w:outlineLvl w:val="0"/>
              <w:rPr>
                <w:sz w:val="20"/>
                <w:szCs w:val="20"/>
              </w:rPr>
            </w:pPr>
            <w:r w:rsidRPr="000C1F7F">
              <w:rPr>
                <w:sz w:val="20"/>
                <w:szCs w:val="20"/>
              </w:rPr>
              <w:t>362</w:t>
            </w:r>
            <w:r>
              <w:rPr>
                <w:sz w:val="20"/>
                <w:szCs w:val="20"/>
              </w:rPr>
              <w:t>,</w:t>
            </w:r>
            <w:r w:rsidRPr="000C1F7F">
              <w:rPr>
                <w:sz w:val="20"/>
                <w:szCs w:val="20"/>
              </w:rPr>
              <w:t>489</w:t>
            </w:r>
          </w:p>
        </w:tc>
        <w:tc>
          <w:tcPr>
            <w:tcW w:w="1382" w:type="dxa"/>
            <w:tcBorders>
              <w:top w:val="nil"/>
              <w:left w:val="nil"/>
              <w:bottom w:val="nil"/>
              <w:right w:val="nil"/>
            </w:tcBorders>
            <w:shd w:val="clear" w:color="auto" w:fill="auto"/>
            <w:vAlign w:val="bottom"/>
          </w:tcPr>
          <w:p w14:paraId="07C366E2" w14:textId="6D98F0C3" w:rsidR="00F93F44" w:rsidRPr="00166751" w:rsidRDefault="00F93F44" w:rsidP="008D6EFE">
            <w:pPr>
              <w:tabs>
                <w:tab w:val="right" w:pos="1202"/>
              </w:tabs>
              <w:spacing w:after="0" w:line="301" w:lineRule="exact"/>
              <w:jc w:val="right"/>
              <w:outlineLvl w:val="0"/>
              <w:rPr>
                <w:sz w:val="20"/>
                <w:szCs w:val="20"/>
              </w:rPr>
            </w:pPr>
            <w:r w:rsidRPr="006B318F">
              <w:rPr>
                <w:sz w:val="20"/>
                <w:szCs w:val="20"/>
              </w:rPr>
              <w:t xml:space="preserve"> 1,312,480 </w:t>
            </w:r>
          </w:p>
        </w:tc>
        <w:tc>
          <w:tcPr>
            <w:tcW w:w="1382" w:type="dxa"/>
            <w:tcBorders>
              <w:top w:val="nil"/>
              <w:left w:val="nil"/>
              <w:bottom w:val="nil"/>
              <w:right w:val="nil"/>
            </w:tcBorders>
            <w:shd w:val="clear" w:color="auto" w:fill="auto"/>
            <w:vAlign w:val="bottom"/>
          </w:tcPr>
          <w:p w14:paraId="6E4E91F0" w14:textId="77777777" w:rsidR="00F93F44" w:rsidRPr="00166751" w:rsidRDefault="00F93F44" w:rsidP="00F93F44">
            <w:pPr>
              <w:tabs>
                <w:tab w:val="right" w:pos="1202"/>
              </w:tabs>
              <w:spacing w:after="0" w:line="301" w:lineRule="exact"/>
              <w:jc w:val="right"/>
              <w:outlineLvl w:val="0"/>
              <w:rPr>
                <w:sz w:val="20"/>
                <w:szCs w:val="20"/>
              </w:rPr>
            </w:pPr>
            <w:r w:rsidRPr="000C1F7F">
              <w:rPr>
                <w:sz w:val="20"/>
                <w:szCs w:val="20"/>
              </w:rPr>
              <w:t>362</w:t>
            </w:r>
            <w:r>
              <w:rPr>
                <w:sz w:val="20"/>
                <w:szCs w:val="20"/>
              </w:rPr>
              <w:t>,</w:t>
            </w:r>
            <w:r w:rsidRPr="000C1F7F">
              <w:rPr>
                <w:sz w:val="20"/>
                <w:szCs w:val="20"/>
              </w:rPr>
              <w:t>489</w:t>
            </w:r>
          </w:p>
        </w:tc>
      </w:tr>
      <w:tr w:rsidR="00F93F44" w:rsidRPr="009702B0" w14:paraId="4A7D008B" w14:textId="77777777" w:rsidTr="006B318F">
        <w:trPr>
          <w:trHeight w:hRule="exact" w:val="292"/>
        </w:trPr>
        <w:tc>
          <w:tcPr>
            <w:tcW w:w="4253" w:type="dxa"/>
            <w:vAlign w:val="bottom"/>
          </w:tcPr>
          <w:p w14:paraId="0ABCD3FB" w14:textId="77777777" w:rsidR="00F93F44" w:rsidRPr="009702B0" w:rsidRDefault="00F93F44" w:rsidP="00F93F44">
            <w:pPr>
              <w:tabs>
                <w:tab w:val="right" w:pos="1202"/>
              </w:tabs>
              <w:spacing w:after="0" w:line="301" w:lineRule="exact"/>
              <w:outlineLvl w:val="0"/>
              <w:rPr>
                <w:rFonts w:eastAsia="Times New Roman" w:cs="Arial"/>
                <w:sz w:val="20"/>
                <w:szCs w:val="20"/>
              </w:rPr>
            </w:pPr>
            <w:r w:rsidRPr="009702B0">
              <w:rPr>
                <w:rFonts w:eastAsia="Times New Roman" w:cs="Arial"/>
                <w:sz w:val="20"/>
                <w:szCs w:val="20"/>
              </w:rPr>
              <w:t>Accrued interest</w:t>
            </w:r>
          </w:p>
        </w:tc>
        <w:tc>
          <w:tcPr>
            <w:tcW w:w="1382" w:type="dxa"/>
            <w:tcBorders>
              <w:top w:val="nil"/>
              <w:left w:val="nil"/>
              <w:bottom w:val="nil"/>
              <w:right w:val="nil"/>
            </w:tcBorders>
            <w:shd w:val="clear" w:color="auto" w:fill="auto"/>
            <w:vAlign w:val="bottom"/>
          </w:tcPr>
          <w:p w14:paraId="091CF497" w14:textId="0E305DE0" w:rsidR="00F93F44" w:rsidRPr="006B318F" w:rsidRDefault="00F93F44" w:rsidP="008D6EFE">
            <w:pPr>
              <w:tabs>
                <w:tab w:val="right" w:pos="1202"/>
              </w:tabs>
              <w:spacing w:after="0" w:line="301" w:lineRule="exact"/>
              <w:jc w:val="right"/>
              <w:outlineLvl w:val="0"/>
              <w:rPr>
                <w:sz w:val="20"/>
                <w:szCs w:val="20"/>
              </w:rPr>
            </w:pPr>
            <w:r w:rsidRPr="006B318F">
              <w:rPr>
                <w:sz w:val="20"/>
                <w:szCs w:val="20"/>
              </w:rPr>
              <w:t xml:space="preserve"> 30,833 </w:t>
            </w:r>
          </w:p>
        </w:tc>
        <w:tc>
          <w:tcPr>
            <w:tcW w:w="1382" w:type="dxa"/>
            <w:tcBorders>
              <w:top w:val="nil"/>
              <w:left w:val="nil"/>
              <w:bottom w:val="nil"/>
              <w:right w:val="nil"/>
            </w:tcBorders>
            <w:shd w:val="clear" w:color="auto" w:fill="auto"/>
            <w:vAlign w:val="bottom"/>
          </w:tcPr>
          <w:p w14:paraId="36E0055F" w14:textId="77777777" w:rsidR="00F93F44" w:rsidRPr="00166751" w:rsidRDefault="00F93F44" w:rsidP="00F93F44">
            <w:pPr>
              <w:tabs>
                <w:tab w:val="right" w:pos="1202"/>
              </w:tabs>
              <w:spacing w:after="0" w:line="301" w:lineRule="exact"/>
              <w:jc w:val="right"/>
              <w:outlineLvl w:val="0"/>
              <w:rPr>
                <w:sz w:val="20"/>
                <w:szCs w:val="20"/>
              </w:rPr>
            </w:pPr>
            <w:r w:rsidRPr="000C1F7F">
              <w:rPr>
                <w:sz w:val="20"/>
                <w:szCs w:val="20"/>
              </w:rPr>
              <w:t>37</w:t>
            </w:r>
            <w:r>
              <w:rPr>
                <w:sz w:val="20"/>
                <w:szCs w:val="20"/>
              </w:rPr>
              <w:t>,</w:t>
            </w:r>
            <w:r w:rsidRPr="000C1F7F">
              <w:rPr>
                <w:sz w:val="20"/>
                <w:szCs w:val="20"/>
              </w:rPr>
              <w:t>363</w:t>
            </w:r>
          </w:p>
        </w:tc>
        <w:tc>
          <w:tcPr>
            <w:tcW w:w="1382" w:type="dxa"/>
            <w:tcBorders>
              <w:top w:val="nil"/>
              <w:left w:val="nil"/>
              <w:bottom w:val="nil"/>
              <w:right w:val="nil"/>
            </w:tcBorders>
            <w:shd w:val="clear" w:color="auto" w:fill="auto"/>
            <w:vAlign w:val="bottom"/>
          </w:tcPr>
          <w:p w14:paraId="4B3AD00C" w14:textId="69E69483" w:rsidR="00F93F44" w:rsidRPr="00166751" w:rsidRDefault="00F93F44" w:rsidP="008D6EFE">
            <w:pPr>
              <w:tabs>
                <w:tab w:val="right" w:pos="1202"/>
              </w:tabs>
              <w:spacing w:after="0" w:line="301" w:lineRule="exact"/>
              <w:jc w:val="right"/>
              <w:outlineLvl w:val="0"/>
              <w:rPr>
                <w:sz w:val="20"/>
                <w:szCs w:val="20"/>
              </w:rPr>
            </w:pPr>
            <w:r w:rsidRPr="006B318F">
              <w:rPr>
                <w:sz w:val="20"/>
                <w:szCs w:val="20"/>
              </w:rPr>
              <w:t xml:space="preserve"> 30,833 </w:t>
            </w:r>
          </w:p>
        </w:tc>
        <w:tc>
          <w:tcPr>
            <w:tcW w:w="1382" w:type="dxa"/>
            <w:tcBorders>
              <w:top w:val="nil"/>
              <w:left w:val="nil"/>
              <w:bottom w:val="nil"/>
              <w:right w:val="nil"/>
            </w:tcBorders>
            <w:shd w:val="clear" w:color="auto" w:fill="auto"/>
            <w:vAlign w:val="bottom"/>
          </w:tcPr>
          <w:p w14:paraId="2A4C4197" w14:textId="77777777" w:rsidR="00F93F44" w:rsidRPr="00166751" w:rsidRDefault="00F93F44" w:rsidP="00F93F44">
            <w:pPr>
              <w:tabs>
                <w:tab w:val="right" w:pos="1202"/>
              </w:tabs>
              <w:spacing w:after="0" w:line="301" w:lineRule="exact"/>
              <w:jc w:val="right"/>
              <w:outlineLvl w:val="0"/>
              <w:rPr>
                <w:sz w:val="20"/>
                <w:szCs w:val="20"/>
              </w:rPr>
            </w:pPr>
            <w:r w:rsidRPr="000C1F7F">
              <w:rPr>
                <w:sz w:val="20"/>
                <w:szCs w:val="20"/>
              </w:rPr>
              <w:t>37</w:t>
            </w:r>
            <w:r>
              <w:rPr>
                <w:sz w:val="20"/>
                <w:szCs w:val="20"/>
              </w:rPr>
              <w:t>,</w:t>
            </w:r>
            <w:r w:rsidRPr="000C1F7F">
              <w:rPr>
                <w:sz w:val="20"/>
                <w:szCs w:val="20"/>
              </w:rPr>
              <w:t>363</w:t>
            </w:r>
          </w:p>
        </w:tc>
      </w:tr>
      <w:tr w:rsidR="00F93F44" w:rsidRPr="009702B0" w14:paraId="2CB908E7" w14:textId="77777777" w:rsidTr="006B318F">
        <w:trPr>
          <w:trHeight w:hRule="exact" w:val="269"/>
        </w:trPr>
        <w:tc>
          <w:tcPr>
            <w:tcW w:w="4253" w:type="dxa"/>
            <w:vAlign w:val="bottom"/>
          </w:tcPr>
          <w:p w14:paraId="388AA14C" w14:textId="77777777" w:rsidR="00F93F44" w:rsidRPr="009702B0" w:rsidRDefault="00F93F44" w:rsidP="00F93F44">
            <w:pPr>
              <w:tabs>
                <w:tab w:val="right" w:pos="1202"/>
              </w:tabs>
              <w:spacing w:after="0" w:line="240" w:lineRule="auto"/>
              <w:outlineLvl w:val="0"/>
              <w:rPr>
                <w:rFonts w:eastAsia="Times New Roman" w:cs="Arial"/>
                <w:sz w:val="20"/>
                <w:szCs w:val="20"/>
              </w:rPr>
            </w:pPr>
            <w:r w:rsidRPr="009702B0">
              <w:rPr>
                <w:rFonts w:eastAsia="Times New Roman" w:cs="Arial"/>
                <w:sz w:val="20"/>
                <w:szCs w:val="20"/>
              </w:rPr>
              <w:t>Deferred recognition of loan origination fees</w:t>
            </w:r>
          </w:p>
        </w:tc>
        <w:tc>
          <w:tcPr>
            <w:tcW w:w="1382" w:type="dxa"/>
            <w:tcBorders>
              <w:top w:val="nil"/>
              <w:left w:val="nil"/>
              <w:bottom w:val="single" w:sz="4" w:space="0" w:color="auto"/>
              <w:right w:val="nil"/>
            </w:tcBorders>
            <w:shd w:val="clear" w:color="auto" w:fill="auto"/>
            <w:vAlign w:val="bottom"/>
          </w:tcPr>
          <w:p w14:paraId="395AC16B" w14:textId="6980B68D" w:rsidR="00F93F44" w:rsidRPr="006B318F" w:rsidRDefault="00F93F44" w:rsidP="008D6EFE">
            <w:pPr>
              <w:tabs>
                <w:tab w:val="right" w:pos="1202"/>
              </w:tabs>
              <w:spacing w:after="0" w:line="301" w:lineRule="exact"/>
              <w:jc w:val="right"/>
              <w:outlineLvl w:val="0"/>
              <w:rPr>
                <w:sz w:val="20"/>
                <w:szCs w:val="20"/>
              </w:rPr>
            </w:pPr>
            <w:r w:rsidRPr="006B318F">
              <w:rPr>
                <w:sz w:val="20"/>
                <w:szCs w:val="20"/>
              </w:rPr>
              <w:t xml:space="preserve"> (60,070)</w:t>
            </w:r>
          </w:p>
        </w:tc>
        <w:tc>
          <w:tcPr>
            <w:tcW w:w="1382" w:type="dxa"/>
            <w:tcBorders>
              <w:top w:val="nil"/>
              <w:left w:val="nil"/>
              <w:bottom w:val="single" w:sz="4" w:space="0" w:color="auto"/>
              <w:right w:val="nil"/>
            </w:tcBorders>
            <w:shd w:val="clear" w:color="auto" w:fill="auto"/>
            <w:vAlign w:val="bottom"/>
          </w:tcPr>
          <w:p w14:paraId="69BAF36B" w14:textId="77777777" w:rsidR="00F93F44" w:rsidRPr="00166751" w:rsidRDefault="00F93F44" w:rsidP="00F93F44">
            <w:pPr>
              <w:tabs>
                <w:tab w:val="right" w:pos="1202"/>
              </w:tabs>
              <w:spacing w:after="0" w:line="301" w:lineRule="exact"/>
              <w:jc w:val="right"/>
              <w:outlineLvl w:val="0"/>
              <w:rPr>
                <w:sz w:val="20"/>
                <w:szCs w:val="20"/>
              </w:rPr>
            </w:pPr>
            <w:r w:rsidRPr="000C1F7F">
              <w:rPr>
                <w:sz w:val="20"/>
                <w:szCs w:val="20"/>
              </w:rPr>
              <w:t>(66</w:t>
            </w:r>
            <w:r>
              <w:rPr>
                <w:sz w:val="20"/>
                <w:szCs w:val="20"/>
              </w:rPr>
              <w:t>,</w:t>
            </w:r>
            <w:r w:rsidRPr="000C1F7F">
              <w:rPr>
                <w:sz w:val="20"/>
                <w:szCs w:val="20"/>
              </w:rPr>
              <w:t>371)</w:t>
            </w:r>
          </w:p>
        </w:tc>
        <w:tc>
          <w:tcPr>
            <w:tcW w:w="1382" w:type="dxa"/>
            <w:tcBorders>
              <w:top w:val="nil"/>
              <w:left w:val="nil"/>
              <w:bottom w:val="single" w:sz="4" w:space="0" w:color="auto"/>
              <w:right w:val="nil"/>
            </w:tcBorders>
            <w:shd w:val="clear" w:color="auto" w:fill="auto"/>
            <w:vAlign w:val="bottom"/>
          </w:tcPr>
          <w:p w14:paraId="44195000" w14:textId="649C54E0" w:rsidR="00F93F44" w:rsidRPr="00166751" w:rsidRDefault="00F93F44" w:rsidP="008D6EFE">
            <w:pPr>
              <w:tabs>
                <w:tab w:val="right" w:pos="1202"/>
              </w:tabs>
              <w:spacing w:after="0" w:line="301" w:lineRule="exact"/>
              <w:jc w:val="right"/>
              <w:outlineLvl w:val="0"/>
              <w:rPr>
                <w:sz w:val="20"/>
                <w:szCs w:val="20"/>
              </w:rPr>
            </w:pPr>
            <w:r w:rsidRPr="006B318F">
              <w:rPr>
                <w:sz w:val="20"/>
                <w:szCs w:val="20"/>
              </w:rPr>
              <w:t xml:space="preserve"> (60,070)</w:t>
            </w:r>
          </w:p>
        </w:tc>
        <w:tc>
          <w:tcPr>
            <w:tcW w:w="1382" w:type="dxa"/>
            <w:tcBorders>
              <w:top w:val="nil"/>
              <w:left w:val="nil"/>
              <w:bottom w:val="single" w:sz="4" w:space="0" w:color="auto"/>
              <w:right w:val="nil"/>
            </w:tcBorders>
            <w:shd w:val="clear" w:color="auto" w:fill="auto"/>
            <w:vAlign w:val="bottom"/>
          </w:tcPr>
          <w:p w14:paraId="1A1EDAB5" w14:textId="77777777" w:rsidR="00F93F44" w:rsidRPr="00166751" w:rsidRDefault="00F93F44" w:rsidP="00F93F44">
            <w:pPr>
              <w:tabs>
                <w:tab w:val="right" w:pos="1202"/>
              </w:tabs>
              <w:spacing w:after="0" w:line="301" w:lineRule="exact"/>
              <w:jc w:val="right"/>
              <w:outlineLvl w:val="0"/>
              <w:rPr>
                <w:sz w:val="20"/>
                <w:szCs w:val="20"/>
              </w:rPr>
            </w:pPr>
            <w:r w:rsidRPr="000C1F7F">
              <w:rPr>
                <w:sz w:val="20"/>
                <w:szCs w:val="20"/>
              </w:rPr>
              <w:t xml:space="preserve"> (66</w:t>
            </w:r>
            <w:r>
              <w:rPr>
                <w:sz w:val="20"/>
                <w:szCs w:val="20"/>
              </w:rPr>
              <w:t>,</w:t>
            </w:r>
            <w:r w:rsidRPr="000C1F7F">
              <w:rPr>
                <w:sz w:val="20"/>
                <w:szCs w:val="20"/>
              </w:rPr>
              <w:t>371)</w:t>
            </w:r>
          </w:p>
        </w:tc>
      </w:tr>
      <w:tr w:rsidR="00F93F44" w:rsidRPr="009702B0" w14:paraId="28C44294" w14:textId="77777777" w:rsidTr="006B318F">
        <w:trPr>
          <w:trHeight w:val="333"/>
        </w:trPr>
        <w:tc>
          <w:tcPr>
            <w:tcW w:w="4253" w:type="dxa"/>
          </w:tcPr>
          <w:p w14:paraId="519753C5" w14:textId="77777777" w:rsidR="00F93F44" w:rsidRPr="009702B0" w:rsidRDefault="00F93F44" w:rsidP="00F93F44">
            <w:pPr>
              <w:tabs>
                <w:tab w:val="left" w:pos="-720"/>
              </w:tabs>
              <w:suppressAutoHyphens/>
              <w:spacing w:after="0" w:line="240" w:lineRule="auto"/>
              <w:rPr>
                <w:rFonts w:eastAsia="Times New Roman" w:cs="Arial"/>
                <w:iCs/>
                <w:spacing w:val="-2"/>
                <w:sz w:val="20"/>
                <w:szCs w:val="20"/>
              </w:rPr>
            </w:pPr>
          </w:p>
        </w:tc>
        <w:tc>
          <w:tcPr>
            <w:tcW w:w="1382" w:type="dxa"/>
            <w:tcBorders>
              <w:top w:val="nil"/>
              <w:left w:val="nil"/>
              <w:bottom w:val="single" w:sz="4" w:space="0" w:color="auto"/>
              <w:right w:val="nil"/>
            </w:tcBorders>
            <w:shd w:val="clear" w:color="auto" w:fill="auto"/>
            <w:vAlign w:val="bottom"/>
          </w:tcPr>
          <w:p w14:paraId="35757BD7" w14:textId="5C71120E" w:rsidR="00F93F44" w:rsidRPr="006B318F" w:rsidRDefault="00F93F44" w:rsidP="006B318F">
            <w:pPr>
              <w:spacing w:after="0" w:line="240" w:lineRule="auto"/>
              <w:jc w:val="right"/>
              <w:rPr>
                <w:rFonts w:eastAsia="Times New Roman"/>
                <w:color w:val="000000"/>
                <w:sz w:val="20"/>
                <w:szCs w:val="20"/>
                <w:lang w:eastAsia="hr-HR"/>
              </w:rPr>
            </w:pPr>
            <w:r w:rsidRPr="006B318F">
              <w:rPr>
                <w:rFonts w:eastAsia="Times New Roman"/>
                <w:color w:val="000000"/>
                <w:sz w:val="20"/>
                <w:szCs w:val="20"/>
                <w:lang w:eastAsia="hr-HR"/>
              </w:rPr>
              <w:t xml:space="preserve">12,510,913 </w:t>
            </w:r>
          </w:p>
        </w:tc>
        <w:tc>
          <w:tcPr>
            <w:tcW w:w="1382" w:type="dxa"/>
            <w:tcBorders>
              <w:top w:val="nil"/>
              <w:left w:val="nil"/>
              <w:bottom w:val="single" w:sz="4" w:space="0" w:color="auto"/>
              <w:right w:val="nil"/>
            </w:tcBorders>
            <w:shd w:val="clear" w:color="auto" w:fill="auto"/>
            <w:vAlign w:val="bottom"/>
          </w:tcPr>
          <w:p w14:paraId="771CC7AF" w14:textId="77777777" w:rsidR="00F93F44" w:rsidRPr="000C1F7F" w:rsidRDefault="00F93F44" w:rsidP="00F93F44">
            <w:pPr>
              <w:spacing w:after="0" w:line="240" w:lineRule="auto"/>
              <w:jc w:val="right"/>
              <w:rPr>
                <w:rFonts w:eastAsia="Times New Roman"/>
                <w:color w:val="000000"/>
                <w:sz w:val="20"/>
                <w:szCs w:val="20"/>
                <w:lang w:eastAsia="hr-HR"/>
              </w:rPr>
            </w:pPr>
            <w:r w:rsidRPr="000C1F7F">
              <w:rPr>
                <w:rFonts w:eastAsia="Times New Roman"/>
                <w:color w:val="000000"/>
                <w:sz w:val="20"/>
                <w:szCs w:val="20"/>
                <w:lang w:eastAsia="hr-HR"/>
              </w:rPr>
              <w:t>12</w:t>
            </w:r>
            <w:r>
              <w:rPr>
                <w:rFonts w:eastAsia="Times New Roman"/>
                <w:color w:val="000000"/>
                <w:sz w:val="20"/>
                <w:szCs w:val="20"/>
                <w:lang w:eastAsia="hr-HR"/>
              </w:rPr>
              <w:t>,</w:t>
            </w:r>
            <w:r w:rsidRPr="000C1F7F">
              <w:rPr>
                <w:rFonts w:eastAsia="Times New Roman"/>
                <w:color w:val="000000"/>
                <w:sz w:val="20"/>
                <w:szCs w:val="20"/>
                <w:lang w:eastAsia="hr-HR"/>
              </w:rPr>
              <w:t>252</w:t>
            </w:r>
            <w:r>
              <w:rPr>
                <w:rFonts w:eastAsia="Times New Roman"/>
                <w:color w:val="000000"/>
                <w:sz w:val="20"/>
                <w:szCs w:val="20"/>
                <w:lang w:eastAsia="hr-HR"/>
              </w:rPr>
              <w:t>,</w:t>
            </w:r>
            <w:r w:rsidRPr="000C1F7F">
              <w:rPr>
                <w:rFonts w:eastAsia="Times New Roman"/>
                <w:color w:val="000000"/>
                <w:sz w:val="20"/>
                <w:szCs w:val="20"/>
                <w:lang w:eastAsia="hr-HR"/>
              </w:rPr>
              <w:t>428</w:t>
            </w:r>
          </w:p>
        </w:tc>
        <w:tc>
          <w:tcPr>
            <w:tcW w:w="1382" w:type="dxa"/>
            <w:tcBorders>
              <w:top w:val="nil"/>
              <w:left w:val="nil"/>
              <w:bottom w:val="single" w:sz="4" w:space="0" w:color="auto"/>
              <w:right w:val="nil"/>
            </w:tcBorders>
            <w:shd w:val="clear" w:color="auto" w:fill="auto"/>
            <w:vAlign w:val="bottom"/>
          </w:tcPr>
          <w:p w14:paraId="262589F3" w14:textId="78CE8683" w:rsidR="00F93F44" w:rsidRPr="008D6EFE" w:rsidRDefault="00F93F44" w:rsidP="00F93F44">
            <w:pPr>
              <w:spacing w:after="0" w:line="240" w:lineRule="auto"/>
              <w:jc w:val="right"/>
              <w:rPr>
                <w:rFonts w:eastAsia="Times New Roman"/>
                <w:color w:val="000000"/>
                <w:sz w:val="20"/>
                <w:szCs w:val="20"/>
                <w:lang w:eastAsia="hr-HR"/>
              </w:rPr>
            </w:pPr>
            <w:r w:rsidRPr="006B318F">
              <w:rPr>
                <w:rFonts w:eastAsia="Times New Roman"/>
                <w:color w:val="000000"/>
                <w:sz w:val="20"/>
                <w:szCs w:val="20"/>
                <w:lang w:eastAsia="hr-HR"/>
              </w:rPr>
              <w:t xml:space="preserve">12,510,913 </w:t>
            </w:r>
          </w:p>
        </w:tc>
        <w:tc>
          <w:tcPr>
            <w:tcW w:w="1382" w:type="dxa"/>
            <w:tcBorders>
              <w:top w:val="nil"/>
              <w:left w:val="nil"/>
              <w:bottom w:val="single" w:sz="4" w:space="0" w:color="auto"/>
              <w:right w:val="nil"/>
            </w:tcBorders>
            <w:shd w:val="clear" w:color="auto" w:fill="auto"/>
            <w:vAlign w:val="bottom"/>
          </w:tcPr>
          <w:p w14:paraId="0929EF0C" w14:textId="77777777" w:rsidR="00F93F44" w:rsidRPr="000C1F7F" w:rsidRDefault="00F93F44" w:rsidP="00F93F44">
            <w:pPr>
              <w:spacing w:after="0" w:line="240" w:lineRule="auto"/>
              <w:jc w:val="right"/>
              <w:rPr>
                <w:rFonts w:eastAsia="Times New Roman"/>
                <w:color w:val="000000"/>
                <w:sz w:val="20"/>
                <w:szCs w:val="20"/>
                <w:lang w:eastAsia="hr-HR"/>
              </w:rPr>
            </w:pPr>
            <w:r w:rsidRPr="000C1F7F">
              <w:rPr>
                <w:rFonts w:eastAsia="Times New Roman"/>
                <w:color w:val="000000"/>
                <w:sz w:val="20"/>
                <w:szCs w:val="20"/>
                <w:lang w:eastAsia="hr-HR"/>
              </w:rPr>
              <w:t>12</w:t>
            </w:r>
            <w:r>
              <w:rPr>
                <w:rFonts w:eastAsia="Times New Roman"/>
                <w:color w:val="000000"/>
                <w:sz w:val="20"/>
                <w:szCs w:val="20"/>
                <w:lang w:eastAsia="hr-HR"/>
              </w:rPr>
              <w:t>,</w:t>
            </w:r>
            <w:r w:rsidRPr="000C1F7F">
              <w:rPr>
                <w:rFonts w:eastAsia="Times New Roman"/>
                <w:color w:val="000000"/>
                <w:sz w:val="20"/>
                <w:szCs w:val="20"/>
                <w:lang w:eastAsia="hr-HR"/>
              </w:rPr>
              <w:t>252</w:t>
            </w:r>
            <w:r>
              <w:rPr>
                <w:rFonts w:eastAsia="Times New Roman"/>
                <w:color w:val="000000"/>
                <w:sz w:val="20"/>
                <w:szCs w:val="20"/>
                <w:lang w:eastAsia="hr-HR"/>
              </w:rPr>
              <w:t>,</w:t>
            </w:r>
            <w:r w:rsidRPr="000C1F7F">
              <w:rPr>
                <w:rFonts w:eastAsia="Times New Roman"/>
                <w:color w:val="000000"/>
                <w:sz w:val="20"/>
                <w:szCs w:val="20"/>
                <w:lang w:eastAsia="hr-HR"/>
              </w:rPr>
              <w:t>428</w:t>
            </w:r>
          </w:p>
        </w:tc>
      </w:tr>
      <w:tr w:rsidR="00F93F44" w:rsidRPr="009702B0" w14:paraId="66E41DA0" w14:textId="77777777" w:rsidTr="006B318F">
        <w:trPr>
          <w:trHeight w:hRule="exact" w:val="292"/>
        </w:trPr>
        <w:tc>
          <w:tcPr>
            <w:tcW w:w="4253" w:type="dxa"/>
          </w:tcPr>
          <w:p w14:paraId="0C3AE97B" w14:textId="77777777" w:rsidR="00F93F44" w:rsidRPr="009702B0" w:rsidRDefault="00F93F44" w:rsidP="00F93F44">
            <w:pPr>
              <w:tabs>
                <w:tab w:val="right" w:pos="1202"/>
              </w:tabs>
              <w:spacing w:after="0" w:line="280" w:lineRule="exact"/>
              <w:outlineLvl w:val="0"/>
              <w:rPr>
                <w:rFonts w:eastAsia="Times New Roman" w:cs="Arial"/>
                <w:sz w:val="20"/>
                <w:szCs w:val="20"/>
              </w:rPr>
            </w:pPr>
            <w:r w:rsidRPr="009702B0">
              <w:rPr>
                <w:rFonts w:eastAsia="Times New Roman" w:cs="Arial"/>
                <w:sz w:val="20"/>
                <w:szCs w:val="20"/>
              </w:rPr>
              <w:t>Provisions for impairment losses</w:t>
            </w:r>
          </w:p>
        </w:tc>
        <w:tc>
          <w:tcPr>
            <w:tcW w:w="1382" w:type="dxa"/>
            <w:tcBorders>
              <w:top w:val="nil"/>
              <w:left w:val="nil"/>
              <w:bottom w:val="nil"/>
              <w:right w:val="nil"/>
            </w:tcBorders>
            <w:shd w:val="clear" w:color="auto" w:fill="auto"/>
            <w:vAlign w:val="bottom"/>
          </w:tcPr>
          <w:p w14:paraId="4B1BD29F" w14:textId="3D53ADED" w:rsidR="00F93F44" w:rsidRPr="006B318F" w:rsidRDefault="00F93F44" w:rsidP="006B318F">
            <w:pPr>
              <w:spacing w:after="0" w:line="240" w:lineRule="auto"/>
              <w:jc w:val="right"/>
              <w:rPr>
                <w:rFonts w:eastAsia="Times New Roman"/>
                <w:color w:val="000000"/>
                <w:sz w:val="20"/>
                <w:szCs w:val="20"/>
                <w:lang w:eastAsia="hr-HR"/>
              </w:rPr>
            </w:pPr>
            <w:r w:rsidRPr="006B318F">
              <w:rPr>
                <w:rFonts w:eastAsia="Times New Roman"/>
                <w:color w:val="000000"/>
                <w:sz w:val="20"/>
                <w:szCs w:val="20"/>
                <w:lang w:eastAsia="hr-HR"/>
              </w:rPr>
              <w:t xml:space="preserve">(263,626) </w:t>
            </w:r>
          </w:p>
        </w:tc>
        <w:tc>
          <w:tcPr>
            <w:tcW w:w="1382" w:type="dxa"/>
            <w:tcBorders>
              <w:top w:val="nil"/>
              <w:left w:val="nil"/>
              <w:bottom w:val="single" w:sz="4" w:space="0" w:color="auto"/>
              <w:right w:val="nil"/>
            </w:tcBorders>
            <w:shd w:val="clear" w:color="auto" w:fill="auto"/>
            <w:vAlign w:val="bottom"/>
          </w:tcPr>
          <w:p w14:paraId="056C0DC9" w14:textId="77777777" w:rsidR="00F93F44" w:rsidRPr="000C1F7F" w:rsidRDefault="00F93F44" w:rsidP="00F93F44">
            <w:pPr>
              <w:spacing w:after="0" w:line="240" w:lineRule="auto"/>
              <w:jc w:val="right"/>
              <w:rPr>
                <w:rFonts w:eastAsia="Times New Roman"/>
                <w:color w:val="000000"/>
                <w:sz w:val="20"/>
                <w:szCs w:val="20"/>
                <w:lang w:eastAsia="hr-HR"/>
              </w:rPr>
            </w:pPr>
            <w:r w:rsidRPr="000C1F7F">
              <w:rPr>
                <w:rFonts w:eastAsia="Times New Roman"/>
                <w:color w:val="000000"/>
                <w:sz w:val="20"/>
                <w:szCs w:val="20"/>
                <w:lang w:eastAsia="hr-HR"/>
              </w:rPr>
              <w:t>(363</w:t>
            </w:r>
            <w:r>
              <w:rPr>
                <w:rFonts w:eastAsia="Times New Roman"/>
                <w:color w:val="000000"/>
                <w:sz w:val="20"/>
                <w:szCs w:val="20"/>
                <w:lang w:eastAsia="hr-HR"/>
              </w:rPr>
              <w:t>,</w:t>
            </w:r>
            <w:r w:rsidRPr="000C1F7F">
              <w:rPr>
                <w:rFonts w:eastAsia="Times New Roman"/>
                <w:color w:val="000000"/>
                <w:sz w:val="20"/>
                <w:szCs w:val="20"/>
                <w:lang w:eastAsia="hr-HR"/>
              </w:rPr>
              <w:t>317)</w:t>
            </w:r>
          </w:p>
        </w:tc>
        <w:tc>
          <w:tcPr>
            <w:tcW w:w="1382" w:type="dxa"/>
            <w:tcBorders>
              <w:top w:val="nil"/>
              <w:left w:val="nil"/>
              <w:bottom w:val="nil"/>
              <w:right w:val="nil"/>
            </w:tcBorders>
            <w:shd w:val="clear" w:color="auto" w:fill="auto"/>
            <w:vAlign w:val="bottom"/>
          </w:tcPr>
          <w:p w14:paraId="1D597A57" w14:textId="4E442A33" w:rsidR="00F93F44" w:rsidRPr="00E57123" w:rsidRDefault="00F93F44" w:rsidP="00F93F44">
            <w:pPr>
              <w:spacing w:after="0" w:line="240" w:lineRule="auto"/>
              <w:jc w:val="right"/>
              <w:rPr>
                <w:rFonts w:eastAsia="Times New Roman"/>
                <w:color w:val="000000"/>
                <w:sz w:val="20"/>
                <w:szCs w:val="20"/>
                <w:lang w:eastAsia="hr-HR"/>
              </w:rPr>
            </w:pPr>
            <w:r w:rsidRPr="006B318F">
              <w:rPr>
                <w:rFonts w:eastAsia="Times New Roman"/>
                <w:color w:val="000000"/>
                <w:sz w:val="20"/>
                <w:szCs w:val="20"/>
                <w:lang w:eastAsia="hr-HR"/>
              </w:rPr>
              <w:t xml:space="preserve">(263,626) </w:t>
            </w:r>
          </w:p>
        </w:tc>
        <w:tc>
          <w:tcPr>
            <w:tcW w:w="1382" w:type="dxa"/>
            <w:tcBorders>
              <w:top w:val="nil"/>
              <w:left w:val="nil"/>
              <w:bottom w:val="single" w:sz="4" w:space="0" w:color="auto"/>
              <w:right w:val="nil"/>
            </w:tcBorders>
            <w:shd w:val="clear" w:color="auto" w:fill="auto"/>
            <w:vAlign w:val="bottom"/>
          </w:tcPr>
          <w:p w14:paraId="0CB7166D" w14:textId="77777777" w:rsidR="00F93F44" w:rsidRPr="000C1F7F" w:rsidRDefault="00F93F44" w:rsidP="00F93F44">
            <w:pPr>
              <w:spacing w:after="0" w:line="240" w:lineRule="auto"/>
              <w:jc w:val="right"/>
              <w:rPr>
                <w:rFonts w:eastAsia="Times New Roman"/>
                <w:color w:val="000000"/>
                <w:sz w:val="20"/>
                <w:szCs w:val="20"/>
                <w:lang w:eastAsia="hr-HR"/>
              </w:rPr>
            </w:pPr>
            <w:r w:rsidRPr="000C1F7F">
              <w:rPr>
                <w:rFonts w:eastAsia="Times New Roman"/>
                <w:color w:val="000000"/>
                <w:sz w:val="20"/>
                <w:szCs w:val="20"/>
                <w:lang w:eastAsia="hr-HR"/>
              </w:rPr>
              <w:t>(363</w:t>
            </w:r>
            <w:r>
              <w:rPr>
                <w:rFonts w:eastAsia="Times New Roman"/>
                <w:color w:val="000000"/>
                <w:sz w:val="20"/>
                <w:szCs w:val="20"/>
                <w:lang w:eastAsia="hr-HR"/>
              </w:rPr>
              <w:t>,</w:t>
            </w:r>
            <w:r w:rsidRPr="000C1F7F">
              <w:rPr>
                <w:rFonts w:eastAsia="Times New Roman"/>
                <w:color w:val="000000"/>
                <w:sz w:val="20"/>
                <w:szCs w:val="20"/>
                <w:lang w:eastAsia="hr-HR"/>
              </w:rPr>
              <w:t>317)</w:t>
            </w:r>
          </w:p>
        </w:tc>
      </w:tr>
      <w:tr w:rsidR="00F93F44" w:rsidRPr="009702B0" w14:paraId="061C1799" w14:textId="77777777" w:rsidTr="006B318F">
        <w:trPr>
          <w:trHeight w:hRule="exact" w:val="227"/>
        </w:trPr>
        <w:tc>
          <w:tcPr>
            <w:tcW w:w="4253" w:type="dxa"/>
          </w:tcPr>
          <w:p w14:paraId="58516EA5" w14:textId="77777777" w:rsidR="00F93F44" w:rsidRPr="009702B0" w:rsidRDefault="00F93F44" w:rsidP="00F93F44">
            <w:pPr>
              <w:tabs>
                <w:tab w:val="left" w:pos="-720"/>
              </w:tabs>
              <w:suppressAutoHyphens/>
              <w:spacing w:after="0" w:line="240" w:lineRule="auto"/>
              <w:rPr>
                <w:rFonts w:eastAsia="Times New Roman" w:cs="Arial"/>
                <w:b/>
                <w:bCs/>
                <w:sz w:val="20"/>
                <w:szCs w:val="20"/>
              </w:rPr>
            </w:pPr>
          </w:p>
        </w:tc>
        <w:tc>
          <w:tcPr>
            <w:tcW w:w="1382" w:type="dxa"/>
            <w:tcBorders>
              <w:top w:val="single" w:sz="4" w:space="0" w:color="auto"/>
              <w:left w:val="nil"/>
              <w:bottom w:val="single" w:sz="12" w:space="0" w:color="auto"/>
              <w:right w:val="nil"/>
            </w:tcBorders>
            <w:shd w:val="clear" w:color="auto" w:fill="auto"/>
            <w:vAlign w:val="bottom"/>
          </w:tcPr>
          <w:p w14:paraId="470EA2E2" w14:textId="1E12A32D" w:rsidR="00F93F44" w:rsidRPr="009702B0" w:rsidRDefault="00F93F44" w:rsidP="006B318F">
            <w:pPr>
              <w:spacing w:after="0" w:line="240" w:lineRule="auto"/>
              <w:jc w:val="right"/>
              <w:rPr>
                <w:rFonts w:eastAsia="Times New Roman" w:cs="Arial"/>
                <w:b/>
                <w:bCs/>
                <w:sz w:val="20"/>
                <w:szCs w:val="20"/>
              </w:rPr>
            </w:pPr>
            <w:r w:rsidRPr="006B318F">
              <w:rPr>
                <w:rFonts w:eastAsia="Times New Roman"/>
                <w:b/>
                <w:bCs/>
                <w:color w:val="000000"/>
                <w:sz w:val="20"/>
                <w:szCs w:val="20"/>
                <w:lang w:eastAsia="hr-HR"/>
              </w:rPr>
              <w:t>12,247,287</w:t>
            </w:r>
            <w:r w:rsidRPr="008F7BA7">
              <w:t xml:space="preserve"> </w:t>
            </w:r>
          </w:p>
        </w:tc>
        <w:tc>
          <w:tcPr>
            <w:tcW w:w="1382" w:type="dxa"/>
            <w:tcBorders>
              <w:top w:val="single" w:sz="4" w:space="0" w:color="auto"/>
              <w:left w:val="nil"/>
              <w:bottom w:val="single" w:sz="12" w:space="0" w:color="auto"/>
              <w:right w:val="nil"/>
            </w:tcBorders>
            <w:shd w:val="clear" w:color="auto" w:fill="auto"/>
            <w:vAlign w:val="bottom"/>
          </w:tcPr>
          <w:p w14:paraId="178B8402" w14:textId="77777777" w:rsidR="00F93F44" w:rsidRPr="000C1F7F" w:rsidRDefault="00F93F44" w:rsidP="00F93F44">
            <w:pPr>
              <w:spacing w:after="0" w:line="240" w:lineRule="auto"/>
              <w:jc w:val="right"/>
              <w:rPr>
                <w:rFonts w:eastAsia="Times New Roman"/>
                <w:b/>
                <w:bCs/>
                <w:color w:val="000000"/>
                <w:sz w:val="20"/>
                <w:szCs w:val="20"/>
                <w:lang w:eastAsia="hr-HR"/>
              </w:rPr>
            </w:pPr>
            <w:r w:rsidRPr="000C1F7F">
              <w:rPr>
                <w:rFonts w:eastAsia="Times New Roman"/>
                <w:b/>
                <w:bCs/>
                <w:color w:val="000000"/>
                <w:sz w:val="20"/>
                <w:szCs w:val="20"/>
                <w:lang w:eastAsia="hr-HR"/>
              </w:rPr>
              <w:t>11</w:t>
            </w:r>
            <w:r>
              <w:rPr>
                <w:rFonts w:eastAsia="Times New Roman"/>
                <w:b/>
                <w:bCs/>
                <w:color w:val="000000"/>
                <w:sz w:val="20"/>
                <w:szCs w:val="20"/>
                <w:lang w:eastAsia="hr-HR"/>
              </w:rPr>
              <w:t>,</w:t>
            </w:r>
            <w:r w:rsidRPr="000C1F7F">
              <w:rPr>
                <w:rFonts w:eastAsia="Times New Roman"/>
                <w:b/>
                <w:bCs/>
                <w:color w:val="000000"/>
                <w:sz w:val="20"/>
                <w:szCs w:val="20"/>
                <w:lang w:eastAsia="hr-HR"/>
              </w:rPr>
              <w:t>889</w:t>
            </w:r>
            <w:r>
              <w:rPr>
                <w:rFonts w:eastAsia="Times New Roman"/>
                <w:b/>
                <w:bCs/>
                <w:color w:val="000000"/>
                <w:sz w:val="20"/>
                <w:szCs w:val="20"/>
                <w:lang w:eastAsia="hr-HR"/>
              </w:rPr>
              <w:t>,</w:t>
            </w:r>
            <w:r w:rsidRPr="000C1F7F">
              <w:rPr>
                <w:rFonts w:eastAsia="Times New Roman"/>
                <w:b/>
                <w:bCs/>
                <w:color w:val="000000"/>
                <w:sz w:val="20"/>
                <w:szCs w:val="20"/>
                <w:lang w:eastAsia="hr-HR"/>
              </w:rPr>
              <w:t>111</w:t>
            </w:r>
          </w:p>
        </w:tc>
        <w:tc>
          <w:tcPr>
            <w:tcW w:w="1382" w:type="dxa"/>
            <w:tcBorders>
              <w:top w:val="single" w:sz="4" w:space="0" w:color="auto"/>
              <w:left w:val="nil"/>
              <w:bottom w:val="single" w:sz="12" w:space="0" w:color="auto"/>
              <w:right w:val="nil"/>
            </w:tcBorders>
            <w:shd w:val="clear" w:color="auto" w:fill="auto"/>
            <w:vAlign w:val="bottom"/>
          </w:tcPr>
          <w:p w14:paraId="5E53F447" w14:textId="2590CB23" w:rsidR="00F93F44" w:rsidRPr="000C1F7F" w:rsidRDefault="00F93F44" w:rsidP="00F93F44">
            <w:pPr>
              <w:spacing w:after="0" w:line="240" w:lineRule="auto"/>
              <w:jc w:val="right"/>
              <w:rPr>
                <w:rFonts w:eastAsia="Times New Roman"/>
                <w:b/>
                <w:bCs/>
                <w:color w:val="000000"/>
                <w:sz w:val="20"/>
                <w:szCs w:val="20"/>
                <w:lang w:eastAsia="hr-HR"/>
              </w:rPr>
            </w:pPr>
            <w:r w:rsidRPr="006B318F">
              <w:rPr>
                <w:rFonts w:eastAsia="Times New Roman"/>
                <w:b/>
                <w:bCs/>
                <w:color w:val="000000"/>
                <w:sz w:val="20"/>
                <w:szCs w:val="20"/>
                <w:lang w:eastAsia="hr-HR"/>
              </w:rPr>
              <w:t xml:space="preserve">12,247,287 </w:t>
            </w:r>
          </w:p>
        </w:tc>
        <w:tc>
          <w:tcPr>
            <w:tcW w:w="1382" w:type="dxa"/>
            <w:tcBorders>
              <w:top w:val="single" w:sz="4" w:space="0" w:color="auto"/>
              <w:left w:val="nil"/>
              <w:bottom w:val="single" w:sz="12" w:space="0" w:color="auto"/>
              <w:right w:val="nil"/>
            </w:tcBorders>
            <w:shd w:val="clear" w:color="auto" w:fill="auto"/>
            <w:vAlign w:val="bottom"/>
          </w:tcPr>
          <w:p w14:paraId="55CF206F" w14:textId="77777777" w:rsidR="00F93F44" w:rsidRPr="000C1F7F" w:rsidRDefault="00F93F44" w:rsidP="00F93F44">
            <w:pPr>
              <w:spacing w:after="0" w:line="240" w:lineRule="auto"/>
              <w:jc w:val="right"/>
              <w:rPr>
                <w:rFonts w:eastAsia="Times New Roman"/>
                <w:b/>
                <w:bCs/>
                <w:color w:val="000000"/>
                <w:sz w:val="20"/>
                <w:szCs w:val="20"/>
                <w:lang w:eastAsia="hr-HR"/>
              </w:rPr>
            </w:pPr>
            <w:r w:rsidRPr="000C1F7F">
              <w:rPr>
                <w:rFonts w:eastAsia="Times New Roman"/>
                <w:b/>
                <w:bCs/>
                <w:color w:val="000000"/>
                <w:sz w:val="20"/>
                <w:szCs w:val="20"/>
                <w:lang w:eastAsia="hr-HR"/>
              </w:rPr>
              <w:t>11</w:t>
            </w:r>
            <w:r>
              <w:rPr>
                <w:rFonts w:eastAsia="Times New Roman"/>
                <w:b/>
                <w:bCs/>
                <w:color w:val="000000"/>
                <w:sz w:val="20"/>
                <w:szCs w:val="20"/>
                <w:lang w:eastAsia="hr-HR"/>
              </w:rPr>
              <w:t>,</w:t>
            </w:r>
            <w:r w:rsidRPr="000C1F7F">
              <w:rPr>
                <w:rFonts w:eastAsia="Times New Roman"/>
                <w:b/>
                <w:bCs/>
                <w:color w:val="000000"/>
                <w:sz w:val="20"/>
                <w:szCs w:val="20"/>
                <w:lang w:eastAsia="hr-HR"/>
              </w:rPr>
              <w:t>889</w:t>
            </w:r>
            <w:r>
              <w:rPr>
                <w:rFonts w:eastAsia="Times New Roman"/>
                <w:b/>
                <w:bCs/>
                <w:color w:val="000000"/>
                <w:sz w:val="20"/>
                <w:szCs w:val="20"/>
                <w:lang w:eastAsia="hr-HR"/>
              </w:rPr>
              <w:t>,</w:t>
            </w:r>
            <w:r w:rsidRPr="000C1F7F">
              <w:rPr>
                <w:rFonts w:eastAsia="Times New Roman"/>
                <w:b/>
                <w:bCs/>
                <w:color w:val="000000"/>
                <w:sz w:val="20"/>
                <w:szCs w:val="20"/>
                <w:lang w:eastAsia="hr-HR"/>
              </w:rPr>
              <w:t>111</w:t>
            </w:r>
          </w:p>
        </w:tc>
      </w:tr>
    </w:tbl>
    <w:p w14:paraId="7EC1F0D1" w14:textId="77777777" w:rsidR="009702B0" w:rsidRPr="009702B0" w:rsidRDefault="009702B0" w:rsidP="009702B0">
      <w:pPr>
        <w:tabs>
          <w:tab w:val="left" w:pos="-720"/>
        </w:tabs>
        <w:spacing w:after="0" w:line="240" w:lineRule="auto"/>
        <w:jc w:val="both"/>
        <w:rPr>
          <w:rFonts w:eastAsia="Times New Roman" w:cs="Calibri"/>
          <w:sz w:val="24"/>
          <w:szCs w:val="24"/>
          <w:lang w:eastAsia="hr-HR"/>
        </w:rPr>
      </w:pPr>
    </w:p>
    <w:p w14:paraId="71407084" w14:textId="77777777" w:rsidR="009702B0" w:rsidRPr="009702B0" w:rsidRDefault="009702B0" w:rsidP="009702B0">
      <w:pPr>
        <w:tabs>
          <w:tab w:val="left" w:pos="-720"/>
          <w:tab w:val="left" w:pos="567"/>
          <w:tab w:val="left" w:pos="851"/>
        </w:tabs>
        <w:spacing w:after="0" w:line="240" w:lineRule="auto"/>
        <w:contextualSpacing/>
        <w:rPr>
          <w:rFonts w:eastAsia="Times New Roman" w:cs="Calibri"/>
          <w:lang w:eastAsia="hr-HR"/>
        </w:rPr>
      </w:pPr>
      <w:r w:rsidRPr="009702B0">
        <w:rPr>
          <w:rFonts w:eastAsia="Times New Roman" w:cs="Calibri"/>
          <w:lang w:eastAsia="hr-HR"/>
        </w:rPr>
        <w:t>Loans to financial institutions by purpose of the loan programmes:</w:t>
      </w:r>
    </w:p>
    <w:tbl>
      <w:tblPr>
        <w:tblW w:w="5228" w:type="pct"/>
        <w:tblInd w:w="-142" w:type="dxa"/>
        <w:tblLayout w:type="fixed"/>
        <w:tblCellMar>
          <w:left w:w="107" w:type="dxa"/>
          <w:right w:w="107" w:type="dxa"/>
        </w:tblCellMar>
        <w:tblLook w:val="0000" w:firstRow="0" w:lastRow="0" w:firstColumn="0" w:lastColumn="0" w:noHBand="0" w:noVBand="0"/>
      </w:tblPr>
      <w:tblGrid>
        <w:gridCol w:w="4253"/>
        <w:gridCol w:w="1382"/>
        <w:gridCol w:w="1382"/>
        <w:gridCol w:w="1382"/>
        <w:gridCol w:w="1382"/>
      </w:tblGrid>
      <w:tr w:rsidR="009702B0" w:rsidRPr="00AA20DA" w14:paraId="4F9A88D1" w14:textId="77777777" w:rsidTr="00BC5874">
        <w:trPr>
          <w:trHeight w:hRule="exact" w:val="219"/>
        </w:trPr>
        <w:tc>
          <w:tcPr>
            <w:tcW w:w="4253" w:type="dxa"/>
            <w:vAlign w:val="center"/>
          </w:tcPr>
          <w:p w14:paraId="50297C0D" w14:textId="77777777" w:rsidR="009702B0" w:rsidRPr="00AA20DA" w:rsidRDefault="009702B0" w:rsidP="009702B0">
            <w:pPr>
              <w:tabs>
                <w:tab w:val="left" w:pos="-720"/>
              </w:tabs>
              <w:suppressAutoHyphens/>
              <w:spacing w:after="0" w:line="240" w:lineRule="auto"/>
              <w:ind w:firstLine="35"/>
              <w:jc w:val="right"/>
              <w:rPr>
                <w:rFonts w:eastAsia="Times New Roman" w:cs="Arial"/>
                <w:spacing w:val="-3"/>
                <w:sz w:val="20"/>
                <w:szCs w:val="20"/>
              </w:rPr>
            </w:pPr>
          </w:p>
        </w:tc>
        <w:tc>
          <w:tcPr>
            <w:tcW w:w="2764" w:type="dxa"/>
            <w:gridSpan w:val="2"/>
            <w:vAlign w:val="center"/>
          </w:tcPr>
          <w:p w14:paraId="6288E18D" w14:textId="77777777" w:rsidR="009702B0" w:rsidRPr="00AA20DA" w:rsidRDefault="009702B0" w:rsidP="009702B0">
            <w:pPr>
              <w:tabs>
                <w:tab w:val="right" w:pos="1202"/>
              </w:tabs>
              <w:spacing w:after="0" w:line="220" w:lineRule="exact"/>
              <w:jc w:val="right"/>
              <w:outlineLvl w:val="0"/>
              <w:rPr>
                <w:rFonts w:eastAsia="Times New Roman" w:cs="Arial"/>
                <w:b/>
                <w:sz w:val="20"/>
                <w:szCs w:val="20"/>
              </w:rPr>
            </w:pPr>
            <w:r w:rsidRPr="00AA20DA">
              <w:rPr>
                <w:rFonts w:eastAsia="Times New Roman" w:cs="Arial"/>
                <w:b/>
                <w:sz w:val="20"/>
                <w:szCs w:val="20"/>
              </w:rPr>
              <w:t>Group</w:t>
            </w:r>
          </w:p>
        </w:tc>
        <w:tc>
          <w:tcPr>
            <w:tcW w:w="2764" w:type="dxa"/>
            <w:gridSpan w:val="2"/>
            <w:vAlign w:val="center"/>
          </w:tcPr>
          <w:p w14:paraId="3841CE77" w14:textId="77777777" w:rsidR="009702B0" w:rsidRPr="00AA20DA" w:rsidRDefault="009702B0" w:rsidP="009702B0">
            <w:pPr>
              <w:tabs>
                <w:tab w:val="right" w:pos="1202"/>
              </w:tabs>
              <w:spacing w:after="0" w:line="220" w:lineRule="exact"/>
              <w:jc w:val="right"/>
              <w:outlineLvl w:val="0"/>
              <w:rPr>
                <w:rFonts w:eastAsia="Times New Roman" w:cs="Arial"/>
                <w:b/>
                <w:sz w:val="20"/>
                <w:szCs w:val="20"/>
              </w:rPr>
            </w:pPr>
            <w:r w:rsidRPr="00AA20DA">
              <w:rPr>
                <w:rFonts w:eastAsia="Times New Roman" w:cs="Arial"/>
                <w:b/>
                <w:sz w:val="20"/>
                <w:szCs w:val="20"/>
              </w:rPr>
              <w:t>Bank</w:t>
            </w:r>
          </w:p>
        </w:tc>
      </w:tr>
      <w:tr w:rsidR="00AA20DA" w:rsidRPr="00AA20DA" w14:paraId="05BC7F02" w14:textId="77777777" w:rsidTr="00BC5874">
        <w:trPr>
          <w:trHeight w:hRule="exact" w:val="283"/>
        </w:trPr>
        <w:tc>
          <w:tcPr>
            <w:tcW w:w="4253" w:type="dxa"/>
            <w:vAlign w:val="center"/>
          </w:tcPr>
          <w:p w14:paraId="767F8EBE" w14:textId="77777777" w:rsidR="00AA20DA" w:rsidRPr="00AA20DA" w:rsidRDefault="00AA20DA" w:rsidP="00AA20DA">
            <w:pPr>
              <w:tabs>
                <w:tab w:val="left" w:pos="-720"/>
              </w:tabs>
              <w:suppressAutoHyphens/>
              <w:spacing w:after="0" w:line="240" w:lineRule="auto"/>
              <w:ind w:firstLine="35"/>
              <w:jc w:val="right"/>
              <w:rPr>
                <w:rFonts w:eastAsia="Times New Roman" w:cs="Arial"/>
                <w:spacing w:val="-3"/>
                <w:sz w:val="20"/>
                <w:szCs w:val="20"/>
              </w:rPr>
            </w:pPr>
          </w:p>
        </w:tc>
        <w:tc>
          <w:tcPr>
            <w:tcW w:w="1382" w:type="dxa"/>
            <w:vAlign w:val="center"/>
          </w:tcPr>
          <w:p w14:paraId="1694008B" w14:textId="3ECDD442" w:rsidR="00AA20DA" w:rsidRPr="00BD634B" w:rsidRDefault="009A0DF2" w:rsidP="00AA20DA">
            <w:pPr>
              <w:spacing w:after="0" w:line="280" w:lineRule="exact"/>
              <w:jc w:val="right"/>
              <w:outlineLvl w:val="0"/>
              <w:rPr>
                <w:rFonts w:eastAsia="Times New Roman" w:cs="Arial"/>
                <w:b/>
                <w:bCs/>
                <w:sz w:val="20"/>
                <w:szCs w:val="20"/>
              </w:rPr>
            </w:pPr>
            <w:r>
              <w:rPr>
                <w:rFonts w:eastAsia="Times New Roman" w:cs="Arial"/>
                <w:b/>
                <w:bCs/>
                <w:sz w:val="20"/>
                <w:szCs w:val="20"/>
              </w:rPr>
              <w:t>Sep</w:t>
            </w:r>
            <w:r w:rsidRPr="00B45DC1">
              <w:rPr>
                <w:rFonts w:eastAsia="Times New Roman" w:cs="Arial"/>
                <w:b/>
                <w:bCs/>
                <w:sz w:val="20"/>
                <w:szCs w:val="20"/>
              </w:rPr>
              <w:t xml:space="preserve"> </w:t>
            </w:r>
            <w:r w:rsidR="00B45DC1" w:rsidRPr="00B45DC1">
              <w:rPr>
                <w:rFonts w:eastAsia="Times New Roman" w:cs="Arial"/>
                <w:b/>
                <w:bCs/>
                <w:sz w:val="20"/>
                <w:szCs w:val="20"/>
              </w:rPr>
              <w:t xml:space="preserve">30, </w:t>
            </w:r>
            <w:r w:rsidR="00AA20DA" w:rsidRPr="00BD634B">
              <w:rPr>
                <w:rFonts w:eastAsia="Times New Roman" w:cs="Arial"/>
                <w:b/>
                <w:bCs/>
                <w:sz w:val="20"/>
                <w:szCs w:val="20"/>
              </w:rPr>
              <w:t>201</w:t>
            </w:r>
            <w:r w:rsidR="00AA20DA" w:rsidRPr="00AA20DA">
              <w:rPr>
                <w:rFonts w:eastAsia="Times New Roman" w:cs="Arial"/>
                <w:b/>
                <w:bCs/>
                <w:sz w:val="20"/>
                <w:szCs w:val="20"/>
              </w:rPr>
              <w:t>7</w:t>
            </w:r>
          </w:p>
        </w:tc>
        <w:tc>
          <w:tcPr>
            <w:tcW w:w="1382" w:type="dxa"/>
            <w:vAlign w:val="center"/>
          </w:tcPr>
          <w:p w14:paraId="46E58F2A" w14:textId="77777777" w:rsidR="00AA20DA" w:rsidRPr="00AA20DA" w:rsidRDefault="00AA20DA" w:rsidP="00AA20DA">
            <w:pPr>
              <w:spacing w:after="0" w:line="280" w:lineRule="exact"/>
              <w:jc w:val="right"/>
              <w:outlineLvl w:val="0"/>
              <w:rPr>
                <w:rFonts w:eastAsia="Times New Roman" w:cs="Arial"/>
                <w:b/>
                <w:bCs/>
                <w:sz w:val="20"/>
                <w:szCs w:val="20"/>
              </w:rPr>
            </w:pPr>
            <w:r w:rsidRPr="00AA20DA">
              <w:rPr>
                <w:rFonts w:eastAsia="Times New Roman" w:cs="Arial"/>
                <w:b/>
                <w:bCs/>
                <w:sz w:val="20"/>
                <w:szCs w:val="20"/>
              </w:rPr>
              <w:t>Dec 31, 2016</w:t>
            </w:r>
          </w:p>
        </w:tc>
        <w:tc>
          <w:tcPr>
            <w:tcW w:w="1382" w:type="dxa"/>
            <w:vAlign w:val="center"/>
          </w:tcPr>
          <w:p w14:paraId="6FB220B6" w14:textId="7954B9F2" w:rsidR="00AA20DA" w:rsidRPr="00BD634B" w:rsidRDefault="009A0DF2" w:rsidP="00AA20DA">
            <w:pPr>
              <w:spacing w:after="0" w:line="280" w:lineRule="exact"/>
              <w:jc w:val="right"/>
              <w:outlineLvl w:val="0"/>
              <w:rPr>
                <w:rFonts w:eastAsia="Times New Roman" w:cs="Arial"/>
                <w:b/>
                <w:bCs/>
                <w:sz w:val="20"/>
                <w:szCs w:val="20"/>
              </w:rPr>
            </w:pPr>
            <w:r>
              <w:rPr>
                <w:rFonts w:eastAsia="Times New Roman" w:cs="Arial"/>
                <w:b/>
                <w:bCs/>
                <w:sz w:val="20"/>
                <w:szCs w:val="20"/>
              </w:rPr>
              <w:t>Sep</w:t>
            </w:r>
            <w:r w:rsidRPr="00B45DC1">
              <w:rPr>
                <w:rFonts w:eastAsia="Times New Roman" w:cs="Arial"/>
                <w:b/>
                <w:bCs/>
                <w:sz w:val="20"/>
                <w:szCs w:val="20"/>
              </w:rPr>
              <w:t xml:space="preserve"> </w:t>
            </w:r>
            <w:r w:rsidR="00B45DC1" w:rsidRPr="00B45DC1">
              <w:rPr>
                <w:rFonts w:eastAsia="Times New Roman" w:cs="Arial"/>
                <w:b/>
                <w:bCs/>
                <w:sz w:val="20"/>
                <w:szCs w:val="20"/>
              </w:rPr>
              <w:t xml:space="preserve">30, </w:t>
            </w:r>
            <w:r w:rsidR="00AA20DA" w:rsidRPr="00BD634B">
              <w:rPr>
                <w:rFonts w:eastAsia="Times New Roman" w:cs="Arial"/>
                <w:b/>
                <w:bCs/>
                <w:sz w:val="20"/>
                <w:szCs w:val="20"/>
              </w:rPr>
              <w:t>201</w:t>
            </w:r>
            <w:r w:rsidR="00AA20DA" w:rsidRPr="00AA20DA">
              <w:rPr>
                <w:rFonts w:eastAsia="Times New Roman" w:cs="Arial"/>
                <w:b/>
                <w:bCs/>
                <w:sz w:val="20"/>
                <w:szCs w:val="20"/>
              </w:rPr>
              <w:t>7</w:t>
            </w:r>
          </w:p>
        </w:tc>
        <w:tc>
          <w:tcPr>
            <w:tcW w:w="1382" w:type="dxa"/>
            <w:vAlign w:val="center"/>
          </w:tcPr>
          <w:p w14:paraId="1F9DD9E2" w14:textId="77777777" w:rsidR="00AA20DA" w:rsidRPr="00AA20DA" w:rsidRDefault="00AA20DA" w:rsidP="00AA20DA">
            <w:pPr>
              <w:spacing w:after="0" w:line="280" w:lineRule="exact"/>
              <w:jc w:val="right"/>
              <w:outlineLvl w:val="0"/>
              <w:rPr>
                <w:rFonts w:eastAsia="Times New Roman" w:cs="Arial"/>
                <w:b/>
                <w:bCs/>
                <w:sz w:val="20"/>
                <w:szCs w:val="20"/>
              </w:rPr>
            </w:pPr>
            <w:r w:rsidRPr="00AA20DA">
              <w:rPr>
                <w:rFonts w:eastAsia="Times New Roman" w:cs="Arial"/>
                <w:b/>
                <w:bCs/>
                <w:sz w:val="20"/>
                <w:szCs w:val="20"/>
              </w:rPr>
              <w:t>Dec 31, 2016</w:t>
            </w:r>
          </w:p>
        </w:tc>
      </w:tr>
      <w:tr w:rsidR="00203C24" w:rsidRPr="00AA20DA" w14:paraId="45E1FF0D" w14:textId="77777777" w:rsidTr="006B318F">
        <w:trPr>
          <w:trHeight w:hRule="exact" w:val="468"/>
        </w:trPr>
        <w:tc>
          <w:tcPr>
            <w:tcW w:w="4253" w:type="dxa"/>
            <w:vAlign w:val="bottom"/>
          </w:tcPr>
          <w:p w14:paraId="2B612347" w14:textId="77777777" w:rsidR="00203C24" w:rsidRPr="00AA20DA" w:rsidRDefault="00203C24" w:rsidP="00203C24">
            <w:pPr>
              <w:tabs>
                <w:tab w:val="right" w:pos="1202"/>
              </w:tabs>
              <w:spacing w:after="0" w:line="240" w:lineRule="auto"/>
              <w:outlineLvl w:val="0"/>
              <w:rPr>
                <w:rFonts w:eastAsia="Times New Roman" w:cs="Arial"/>
                <w:sz w:val="20"/>
                <w:szCs w:val="20"/>
              </w:rPr>
            </w:pPr>
            <w:r w:rsidRPr="00AA20DA">
              <w:rPr>
                <w:rFonts w:eastAsia="Times New Roman" w:cs="Arial"/>
                <w:sz w:val="20"/>
                <w:szCs w:val="20"/>
              </w:rPr>
              <w:t>Loan programme for reconstruction and development of the economy</w:t>
            </w:r>
          </w:p>
        </w:tc>
        <w:tc>
          <w:tcPr>
            <w:tcW w:w="1382" w:type="dxa"/>
            <w:tcBorders>
              <w:top w:val="nil"/>
              <w:left w:val="nil"/>
              <w:bottom w:val="nil"/>
              <w:right w:val="nil"/>
            </w:tcBorders>
            <w:shd w:val="clear" w:color="auto" w:fill="auto"/>
            <w:vAlign w:val="bottom"/>
          </w:tcPr>
          <w:p w14:paraId="4893336F" w14:textId="426E6E2D" w:rsidR="00203C24" w:rsidRPr="006B318F" w:rsidRDefault="00203C24" w:rsidP="006B318F">
            <w:pPr>
              <w:spacing w:after="0" w:line="240" w:lineRule="auto"/>
              <w:jc w:val="right"/>
              <w:rPr>
                <w:color w:val="000000"/>
                <w:sz w:val="20"/>
                <w:szCs w:val="20"/>
              </w:rPr>
            </w:pPr>
            <w:r w:rsidRPr="006B318F">
              <w:rPr>
                <w:color w:val="000000"/>
                <w:sz w:val="20"/>
                <w:szCs w:val="20"/>
              </w:rPr>
              <w:t xml:space="preserve"> 2,330,026 </w:t>
            </w:r>
          </w:p>
        </w:tc>
        <w:tc>
          <w:tcPr>
            <w:tcW w:w="1382" w:type="dxa"/>
            <w:tcBorders>
              <w:top w:val="nil"/>
              <w:left w:val="nil"/>
              <w:bottom w:val="nil"/>
              <w:right w:val="nil"/>
            </w:tcBorders>
            <w:shd w:val="clear" w:color="auto" w:fill="auto"/>
            <w:vAlign w:val="bottom"/>
          </w:tcPr>
          <w:p w14:paraId="5228FE98" w14:textId="77777777" w:rsidR="00203C24" w:rsidRPr="00AA20DA" w:rsidRDefault="00203C24" w:rsidP="00203C24">
            <w:pPr>
              <w:spacing w:after="0" w:line="240" w:lineRule="auto"/>
              <w:jc w:val="right"/>
              <w:rPr>
                <w:rFonts w:eastAsia="Times New Roman"/>
                <w:color w:val="000000"/>
                <w:sz w:val="20"/>
                <w:szCs w:val="20"/>
                <w:lang w:eastAsia="hr-HR"/>
              </w:rPr>
            </w:pPr>
            <w:r w:rsidRPr="00AA20DA">
              <w:rPr>
                <w:color w:val="000000"/>
                <w:sz w:val="20"/>
                <w:szCs w:val="20"/>
              </w:rPr>
              <w:t>2,775,682</w:t>
            </w:r>
          </w:p>
        </w:tc>
        <w:tc>
          <w:tcPr>
            <w:tcW w:w="1382" w:type="dxa"/>
            <w:tcBorders>
              <w:top w:val="nil"/>
              <w:left w:val="nil"/>
              <w:bottom w:val="nil"/>
              <w:right w:val="nil"/>
            </w:tcBorders>
            <w:shd w:val="clear" w:color="auto" w:fill="auto"/>
            <w:vAlign w:val="bottom"/>
          </w:tcPr>
          <w:p w14:paraId="09BBDBD2" w14:textId="2B46CCCF" w:rsidR="00203C24" w:rsidRPr="00AA20DA" w:rsidRDefault="00203C24" w:rsidP="00203C24">
            <w:pPr>
              <w:spacing w:after="0" w:line="240" w:lineRule="auto"/>
              <w:jc w:val="right"/>
              <w:rPr>
                <w:rFonts w:eastAsia="Times New Roman"/>
                <w:color w:val="000000"/>
                <w:sz w:val="20"/>
                <w:szCs w:val="20"/>
                <w:lang w:eastAsia="hr-HR"/>
              </w:rPr>
            </w:pPr>
            <w:r w:rsidRPr="00FE65B6">
              <w:rPr>
                <w:color w:val="000000"/>
                <w:sz w:val="20"/>
                <w:szCs w:val="20"/>
              </w:rPr>
              <w:t xml:space="preserve"> 2,330,026 </w:t>
            </w:r>
          </w:p>
        </w:tc>
        <w:tc>
          <w:tcPr>
            <w:tcW w:w="1382" w:type="dxa"/>
            <w:tcBorders>
              <w:top w:val="nil"/>
              <w:left w:val="nil"/>
              <w:bottom w:val="nil"/>
              <w:right w:val="nil"/>
            </w:tcBorders>
            <w:shd w:val="clear" w:color="auto" w:fill="auto"/>
            <w:vAlign w:val="bottom"/>
          </w:tcPr>
          <w:p w14:paraId="06ECCF86" w14:textId="77777777" w:rsidR="00203C24" w:rsidRPr="00AA20DA" w:rsidRDefault="00203C24" w:rsidP="00203C24">
            <w:pPr>
              <w:spacing w:after="0" w:line="240" w:lineRule="auto"/>
              <w:jc w:val="right"/>
              <w:rPr>
                <w:rFonts w:eastAsia="Times New Roman"/>
                <w:color w:val="000000"/>
                <w:sz w:val="20"/>
                <w:szCs w:val="20"/>
                <w:lang w:eastAsia="hr-HR"/>
              </w:rPr>
            </w:pPr>
            <w:r w:rsidRPr="00AA20DA">
              <w:rPr>
                <w:sz w:val="20"/>
                <w:szCs w:val="20"/>
              </w:rPr>
              <w:t>2,775,682</w:t>
            </w:r>
          </w:p>
        </w:tc>
      </w:tr>
      <w:tr w:rsidR="00203C24" w:rsidRPr="00AA20DA" w14:paraId="76F4172E" w14:textId="77777777" w:rsidTr="006B318F">
        <w:trPr>
          <w:trHeight w:hRule="exact" w:val="276"/>
        </w:trPr>
        <w:tc>
          <w:tcPr>
            <w:tcW w:w="4253" w:type="dxa"/>
            <w:vAlign w:val="bottom"/>
          </w:tcPr>
          <w:p w14:paraId="0A02787B" w14:textId="77777777" w:rsidR="00203C24" w:rsidRPr="00AA20DA" w:rsidRDefault="00203C24" w:rsidP="00203C24">
            <w:pPr>
              <w:tabs>
                <w:tab w:val="right" w:pos="1202"/>
              </w:tabs>
              <w:spacing w:after="0" w:line="240" w:lineRule="auto"/>
              <w:outlineLvl w:val="0"/>
              <w:rPr>
                <w:rFonts w:eastAsia="Times New Roman" w:cs="Arial"/>
                <w:sz w:val="20"/>
                <w:szCs w:val="20"/>
              </w:rPr>
            </w:pPr>
            <w:r w:rsidRPr="00AA20DA">
              <w:rPr>
                <w:rFonts w:eastAsia="Times New Roman" w:cs="Arial"/>
                <w:sz w:val="20"/>
                <w:szCs w:val="20"/>
              </w:rPr>
              <w:t>Export financing</w:t>
            </w:r>
          </w:p>
        </w:tc>
        <w:tc>
          <w:tcPr>
            <w:tcW w:w="1382" w:type="dxa"/>
            <w:tcBorders>
              <w:top w:val="nil"/>
              <w:left w:val="nil"/>
              <w:bottom w:val="nil"/>
              <w:right w:val="nil"/>
            </w:tcBorders>
            <w:shd w:val="clear" w:color="auto" w:fill="auto"/>
            <w:vAlign w:val="bottom"/>
          </w:tcPr>
          <w:p w14:paraId="1BD4C999" w14:textId="562BE888" w:rsidR="00203C24" w:rsidRPr="006B318F" w:rsidRDefault="00203C24" w:rsidP="006B318F">
            <w:pPr>
              <w:spacing w:after="0" w:line="240" w:lineRule="auto"/>
              <w:jc w:val="right"/>
              <w:rPr>
                <w:color w:val="000000"/>
                <w:sz w:val="20"/>
                <w:szCs w:val="20"/>
              </w:rPr>
            </w:pPr>
            <w:r w:rsidRPr="006B318F">
              <w:rPr>
                <w:color w:val="000000"/>
                <w:sz w:val="20"/>
                <w:szCs w:val="20"/>
              </w:rPr>
              <w:t xml:space="preserve"> 3,260,880 </w:t>
            </w:r>
          </w:p>
        </w:tc>
        <w:tc>
          <w:tcPr>
            <w:tcW w:w="1382" w:type="dxa"/>
            <w:tcBorders>
              <w:top w:val="nil"/>
              <w:left w:val="nil"/>
              <w:bottom w:val="nil"/>
              <w:right w:val="nil"/>
            </w:tcBorders>
            <w:shd w:val="clear" w:color="auto" w:fill="auto"/>
            <w:vAlign w:val="bottom"/>
          </w:tcPr>
          <w:p w14:paraId="4D46ADED" w14:textId="77777777" w:rsidR="00203C24" w:rsidRPr="00AA20DA" w:rsidRDefault="00203C24" w:rsidP="00203C24">
            <w:pPr>
              <w:spacing w:after="0" w:line="240" w:lineRule="auto"/>
              <w:jc w:val="right"/>
              <w:rPr>
                <w:rFonts w:eastAsia="Times New Roman"/>
                <w:color w:val="000000"/>
                <w:sz w:val="20"/>
                <w:szCs w:val="20"/>
                <w:lang w:eastAsia="hr-HR"/>
              </w:rPr>
            </w:pPr>
            <w:r w:rsidRPr="00AA20DA">
              <w:rPr>
                <w:color w:val="000000"/>
                <w:sz w:val="20"/>
                <w:szCs w:val="20"/>
              </w:rPr>
              <w:t>3,466,148</w:t>
            </w:r>
          </w:p>
        </w:tc>
        <w:tc>
          <w:tcPr>
            <w:tcW w:w="1382" w:type="dxa"/>
            <w:tcBorders>
              <w:top w:val="nil"/>
              <w:left w:val="nil"/>
              <w:bottom w:val="nil"/>
              <w:right w:val="nil"/>
            </w:tcBorders>
            <w:shd w:val="clear" w:color="auto" w:fill="auto"/>
            <w:vAlign w:val="bottom"/>
          </w:tcPr>
          <w:p w14:paraId="2B8B318B" w14:textId="1D1CFB28" w:rsidR="00203C24" w:rsidRPr="00AA20DA" w:rsidRDefault="00203C24" w:rsidP="00203C24">
            <w:pPr>
              <w:spacing w:after="0" w:line="240" w:lineRule="auto"/>
              <w:jc w:val="right"/>
              <w:rPr>
                <w:rFonts w:eastAsia="Times New Roman"/>
                <w:color w:val="000000"/>
                <w:sz w:val="20"/>
                <w:szCs w:val="20"/>
                <w:lang w:eastAsia="hr-HR"/>
              </w:rPr>
            </w:pPr>
            <w:r w:rsidRPr="00FE65B6">
              <w:rPr>
                <w:color w:val="000000"/>
                <w:sz w:val="20"/>
                <w:szCs w:val="20"/>
              </w:rPr>
              <w:t xml:space="preserve"> 3,260,880 </w:t>
            </w:r>
          </w:p>
        </w:tc>
        <w:tc>
          <w:tcPr>
            <w:tcW w:w="1382" w:type="dxa"/>
            <w:tcBorders>
              <w:top w:val="nil"/>
              <w:left w:val="nil"/>
              <w:bottom w:val="nil"/>
              <w:right w:val="nil"/>
            </w:tcBorders>
            <w:shd w:val="clear" w:color="auto" w:fill="auto"/>
            <w:vAlign w:val="bottom"/>
          </w:tcPr>
          <w:p w14:paraId="15F8702C" w14:textId="77777777" w:rsidR="00203C24" w:rsidRPr="00AA20DA" w:rsidRDefault="00203C24" w:rsidP="00203C24">
            <w:pPr>
              <w:spacing w:after="0" w:line="240" w:lineRule="auto"/>
              <w:jc w:val="right"/>
              <w:rPr>
                <w:rFonts w:eastAsia="Times New Roman"/>
                <w:color w:val="000000"/>
                <w:sz w:val="20"/>
                <w:szCs w:val="20"/>
                <w:lang w:eastAsia="hr-HR"/>
              </w:rPr>
            </w:pPr>
            <w:r w:rsidRPr="00AA20DA">
              <w:rPr>
                <w:sz w:val="20"/>
                <w:szCs w:val="20"/>
              </w:rPr>
              <w:t>3,466,148</w:t>
            </w:r>
          </w:p>
        </w:tc>
      </w:tr>
      <w:tr w:rsidR="00203C24" w:rsidRPr="00AA20DA" w14:paraId="05F19AD6" w14:textId="77777777" w:rsidTr="006B318F">
        <w:trPr>
          <w:trHeight w:hRule="exact" w:val="753"/>
        </w:trPr>
        <w:tc>
          <w:tcPr>
            <w:tcW w:w="4253" w:type="dxa"/>
            <w:vAlign w:val="bottom"/>
          </w:tcPr>
          <w:p w14:paraId="0D2A3FB1" w14:textId="77777777" w:rsidR="00203C24" w:rsidRPr="00AA20DA" w:rsidRDefault="00203C24" w:rsidP="00203C24">
            <w:pPr>
              <w:tabs>
                <w:tab w:val="right" w:pos="1202"/>
              </w:tabs>
              <w:spacing w:after="0" w:line="240" w:lineRule="auto"/>
              <w:outlineLvl w:val="0"/>
              <w:rPr>
                <w:rFonts w:eastAsia="Times New Roman" w:cs="Arial"/>
                <w:sz w:val="20"/>
                <w:szCs w:val="20"/>
              </w:rPr>
            </w:pPr>
            <w:r w:rsidRPr="00AA20DA">
              <w:rPr>
                <w:rFonts w:eastAsia="Times New Roman" w:cs="Arial"/>
                <w:sz w:val="20"/>
                <w:szCs w:val="20"/>
              </w:rPr>
              <w:t>Loan programme for reconstruction and development of infrastructure in the Republic of Croatia</w:t>
            </w:r>
          </w:p>
        </w:tc>
        <w:tc>
          <w:tcPr>
            <w:tcW w:w="1382" w:type="dxa"/>
            <w:tcBorders>
              <w:top w:val="nil"/>
              <w:left w:val="nil"/>
              <w:bottom w:val="nil"/>
              <w:right w:val="nil"/>
            </w:tcBorders>
            <w:shd w:val="clear" w:color="auto" w:fill="auto"/>
            <w:vAlign w:val="bottom"/>
          </w:tcPr>
          <w:p w14:paraId="28DA2612" w14:textId="7BDBE679" w:rsidR="00203C24" w:rsidRPr="006B318F" w:rsidRDefault="00203C24" w:rsidP="006B318F">
            <w:pPr>
              <w:spacing w:after="0" w:line="240" w:lineRule="auto"/>
              <w:jc w:val="right"/>
              <w:rPr>
                <w:color w:val="000000"/>
                <w:sz w:val="20"/>
                <w:szCs w:val="20"/>
              </w:rPr>
            </w:pPr>
            <w:r w:rsidRPr="006B318F">
              <w:rPr>
                <w:color w:val="000000"/>
                <w:sz w:val="20"/>
                <w:szCs w:val="20"/>
              </w:rPr>
              <w:t xml:space="preserve"> 1,595,280 </w:t>
            </w:r>
          </w:p>
        </w:tc>
        <w:tc>
          <w:tcPr>
            <w:tcW w:w="1382" w:type="dxa"/>
            <w:tcBorders>
              <w:top w:val="nil"/>
              <w:left w:val="nil"/>
              <w:bottom w:val="nil"/>
              <w:right w:val="nil"/>
            </w:tcBorders>
            <w:shd w:val="clear" w:color="auto" w:fill="auto"/>
            <w:vAlign w:val="bottom"/>
          </w:tcPr>
          <w:p w14:paraId="53F33FED" w14:textId="77777777" w:rsidR="00203C24" w:rsidRPr="00AA20DA" w:rsidRDefault="00203C24" w:rsidP="00203C24">
            <w:pPr>
              <w:spacing w:after="0" w:line="240" w:lineRule="auto"/>
              <w:jc w:val="right"/>
              <w:rPr>
                <w:rFonts w:eastAsia="Times New Roman"/>
                <w:color w:val="000000"/>
                <w:sz w:val="20"/>
                <w:szCs w:val="20"/>
                <w:lang w:eastAsia="hr-HR"/>
              </w:rPr>
            </w:pPr>
            <w:r w:rsidRPr="00AA20DA">
              <w:rPr>
                <w:color w:val="000000"/>
                <w:sz w:val="20"/>
                <w:szCs w:val="20"/>
              </w:rPr>
              <w:t>1,602,331</w:t>
            </w:r>
          </w:p>
        </w:tc>
        <w:tc>
          <w:tcPr>
            <w:tcW w:w="1382" w:type="dxa"/>
            <w:tcBorders>
              <w:top w:val="nil"/>
              <w:left w:val="nil"/>
              <w:bottom w:val="nil"/>
              <w:right w:val="nil"/>
            </w:tcBorders>
            <w:shd w:val="clear" w:color="auto" w:fill="auto"/>
            <w:vAlign w:val="bottom"/>
          </w:tcPr>
          <w:p w14:paraId="35E85A90" w14:textId="1AFA203B" w:rsidR="00203C24" w:rsidRPr="00AA20DA" w:rsidRDefault="00203C24" w:rsidP="00203C24">
            <w:pPr>
              <w:spacing w:after="0" w:line="240" w:lineRule="auto"/>
              <w:jc w:val="right"/>
              <w:rPr>
                <w:rFonts w:eastAsia="Times New Roman"/>
                <w:color w:val="000000"/>
                <w:sz w:val="20"/>
                <w:szCs w:val="20"/>
                <w:lang w:eastAsia="hr-HR"/>
              </w:rPr>
            </w:pPr>
            <w:r w:rsidRPr="00FE65B6">
              <w:rPr>
                <w:color w:val="000000"/>
                <w:sz w:val="20"/>
                <w:szCs w:val="20"/>
              </w:rPr>
              <w:t xml:space="preserve"> 1,595,280 </w:t>
            </w:r>
          </w:p>
        </w:tc>
        <w:tc>
          <w:tcPr>
            <w:tcW w:w="1382" w:type="dxa"/>
            <w:tcBorders>
              <w:top w:val="nil"/>
              <w:left w:val="nil"/>
              <w:bottom w:val="nil"/>
              <w:right w:val="nil"/>
            </w:tcBorders>
            <w:shd w:val="clear" w:color="auto" w:fill="auto"/>
            <w:vAlign w:val="bottom"/>
          </w:tcPr>
          <w:p w14:paraId="2DE71CA2" w14:textId="77777777" w:rsidR="00203C24" w:rsidRDefault="00203C24" w:rsidP="00203C24">
            <w:pPr>
              <w:spacing w:after="0" w:line="240" w:lineRule="auto"/>
              <w:jc w:val="right"/>
              <w:rPr>
                <w:sz w:val="20"/>
                <w:szCs w:val="20"/>
              </w:rPr>
            </w:pPr>
          </w:p>
          <w:p w14:paraId="16422FEC" w14:textId="77777777" w:rsidR="00203C24" w:rsidRDefault="00203C24" w:rsidP="00203C24">
            <w:pPr>
              <w:spacing w:after="0" w:line="240" w:lineRule="auto"/>
              <w:jc w:val="right"/>
              <w:rPr>
                <w:sz w:val="20"/>
                <w:szCs w:val="20"/>
              </w:rPr>
            </w:pPr>
          </w:p>
          <w:p w14:paraId="043525A3" w14:textId="77777777" w:rsidR="00203C24" w:rsidRPr="00AA20DA" w:rsidRDefault="00203C24" w:rsidP="00203C24">
            <w:pPr>
              <w:spacing w:after="0" w:line="240" w:lineRule="auto"/>
              <w:jc w:val="right"/>
              <w:rPr>
                <w:rFonts w:eastAsia="Times New Roman"/>
                <w:color w:val="000000"/>
                <w:sz w:val="20"/>
                <w:szCs w:val="20"/>
                <w:lang w:eastAsia="hr-HR"/>
              </w:rPr>
            </w:pPr>
            <w:r w:rsidRPr="00AA20DA">
              <w:rPr>
                <w:sz w:val="20"/>
                <w:szCs w:val="20"/>
              </w:rPr>
              <w:t>1,602,331</w:t>
            </w:r>
          </w:p>
        </w:tc>
      </w:tr>
      <w:tr w:rsidR="00203C24" w:rsidRPr="00AA20DA" w14:paraId="59AF288B" w14:textId="77777777" w:rsidTr="006B318F">
        <w:trPr>
          <w:trHeight w:hRule="exact" w:val="530"/>
        </w:trPr>
        <w:tc>
          <w:tcPr>
            <w:tcW w:w="4253" w:type="dxa"/>
            <w:vAlign w:val="bottom"/>
          </w:tcPr>
          <w:p w14:paraId="20CDB532" w14:textId="77777777" w:rsidR="00203C24" w:rsidRPr="00AA20DA" w:rsidRDefault="00203C24" w:rsidP="00203C24">
            <w:pPr>
              <w:tabs>
                <w:tab w:val="right" w:pos="1202"/>
              </w:tabs>
              <w:spacing w:after="0" w:line="240" w:lineRule="auto"/>
              <w:outlineLvl w:val="0"/>
              <w:rPr>
                <w:rFonts w:eastAsia="Times New Roman" w:cs="Arial"/>
                <w:sz w:val="20"/>
                <w:szCs w:val="20"/>
              </w:rPr>
            </w:pPr>
            <w:r w:rsidRPr="00AA20DA">
              <w:rPr>
                <w:rFonts w:eastAsia="Times New Roman" w:cs="Arial"/>
                <w:sz w:val="20"/>
                <w:szCs w:val="20"/>
              </w:rPr>
              <w:t>Loan programme for small and medium-sized enterprises</w:t>
            </w:r>
          </w:p>
        </w:tc>
        <w:tc>
          <w:tcPr>
            <w:tcW w:w="1382" w:type="dxa"/>
            <w:tcBorders>
              <w:top w:val="nil"/>
              <w:left w:val="nil"/>
              <w:bottom w:val="nil"/>
              <w:right w:val="nil"/>
            </w:tcBorders>
            <w:shd w:val="clear" w:color="auto" w:fill="auto"/>
            <w:vAlign w:val="bottom"/>
          </w:tcPr>
          <w:p w14:paraId="0EAD1483" w14:textId="08B34417" w:rsidR="00203C24" w:rsidRPr="006B318F" w:rsidRDefault="00203C24" w:rsidP="006B318F">
            <w:pPr>
              <w:spacing w:after="0" w:line="240" w:lineRule="auto"/>
              <w:jc w:val="right"/>
              <w:rPr>
                <w:color w:val="000000"/>
                <w:sz w:val="20"/>
                <w:szCs w:val="20"/>
              </w:rPr>
            </w:pPr>
            <w:r w:rsidRPr="006B318F">
              <w:rPr>
                <w:color w:val="000000"/>
                <w:sz w:val="20"/>
                <w:szCs w:val="20"/>
              </w:rPr>
              <w:t xml:space="preserve"> 4,032,457 </w:t>
            </w:r>
          </w:p>
        </w:tc>
        <w:tc>
          <w:tcPr>
            <w:tcW w:w="1382" w:type="dxa"/>
            <w:tcBorders>
              <w:top w:val="nil"/>
              <w:left w:val="nil"/>
              <w:bottom w:val="nil"/>
              <w:right w:val="nil"/>
            </w:tcBorders>
            <w:shd w:val="clear" w:color="auto" w:fill="auto"/>
            <w:vAlign w:val="bottom"/>
          </w:tcPr>
          <w:p w14:paraId="20F894CC" w14:textId="77777777" w:rsidR="00203C24" w:rsidRPr="00AA20DA" w:rsidRDefault="00203C24" w:rsidP="00203C24">
            <w:pPr>
              <w:spacing w:after="0" w:line="240" w:lineRule="auto"/>
              <w:jc w:val="right"/>
              <w:rPr>
                <w:rFonts w:eastAsia="Times New Roman"/>
                <w:color w:val="000000"/>
                <w:sz w:val="20"/>
                <w:szCs w:val="20"/>
                <w:lang w:eastAsia="hr-HR"/>
              </w:rPr>
            </w:pPr>
            <w:r w:rsidRPr="00AA20DA">
              <w:rPr>
                <w:color w:val="000000"/>
                <w:sz w:val="20"/>
                <w:szCs w:val="20"/>
              </w:rPr>
              <w:t>4,064,711</w:t>
            </w:r>
          </w:p>
        </w:tc>
        <w:tc>
          <w:tcPr>
            <w:tcW w:w="1382" w:type="dxa"/>
            <w:tcBorders>
              <w:top w:val="nil"/>
              <w:left w:val="nil"/>
              <w:bottom w:val="nil"/>
              <w:right w:val="nil"/>
            </w:tcBorders>
            <w:shd w:val="clear" w:color="auto" w:fill="auto"/>
            <w:vAlign w:val="bottom"/>
          </w:tcPr>
          <w:p w14:paraId="7B711A37" w14:textId="58539B46" w:rsidR="00203C24" w:rsidRPr="00AA20DA" w:rsidRDefault="00203C24" w:rsidP="00203C24">
            <w:pPr>
              <w:spacing w:after="0" w:line="240" w:lineRule="auto"/>
              <w:jc w:val="right"/>
              <w:rPr>
                <w:rFonts w:eastAsia="Times New Roman"/>
                <w:color w:val="000000"/>
                <w:sz w:val="20"/>
                <w:szCs w:val="20"/>
                <w:lang w:eastAsia="hr-HR"/>
              </w:rPr>
            </w:pPr>
            <w:r w:rsidRPr="00FE65B6">
              <w:rPr>
                <w:color w:val="000000"/>
                <w:sz w:val="20"/>
                <w:szCs w:val="20"/>
              </w:rPr>
              <w:t xml:space="preserve"> 4,032,457 </w:t>
            </w:r>
          </w:p>
        </w:tc>
        <w:tc>
          <w:tcPr>
            <w:tcW w:w="1382" w:type="dxa"/>
            <w:tcBorders>
              <w:top w:val="nil"/>
              <w:left w:val="nil"/>
              <w:bottom w:val="nil"/>
              <w:right w:val="nil"/>
            </w:tcBorders>
            <w:shd w:val="clear" w:color="auto" w:fill="auto"/>
            <w:vAlign w:val="bottom"/>
          </w:tcPr>
          <w:p w14:paraId="3D07B474" w14:textId="77777777" w:rsidR="00203C24" w:rsidRDefault="00203C24" w:rsidP="00203C24">
            <w:pPr>
              <w:spacing w:after="0" w:line="240" w:lineRule="auto"/>
              <w:jc w:val="right"/>
              <w:rPr>
                <w:sz w:val="20"/>
                <w:szCs w:val="20"/>
              </w:rPr>
            </w:pPr>
          </w:p>
          <w:p w14:paraId="6BA2A55F" w14:textId="77777777" w:rsidR="00203C24" w:rsidRPr="00AA20DA" w:rsidRDefault="00203C24" w:rsidP="00203C24">
            <w:pPr>
              <w:spacing w:after="0" w:line="240" w:lineRule="auto"/>
              <w:jc w:val="right"/>
              <w:rPr>
                <w:rFonts w:eastAsia="Times New Roman"/>
                <w:color w:val="000000"/>
                <w:sz w:val="20"/>
                <w:szCs w:val="20"/>
                <w:lang w:eastAsia="hr-HR"/>
              </w:rPr>
            </w:pPr>
            <w:r w:rsidRPr="00AA20DA">
              <w:rPr>
                <w:sz w:val="20"/>
                <w:szCs w:val="20"/>
              </w:rPr>
              <w:t>4,064,711</w:t>
            </w:r>
          </w:p>
        </w:tc>
      </w:tr>
      <w:tr w:rsidR="00203C24" w:rsidRPr="00AA20DA" w14:paraId="29DA4B09" w14:textId="77777777" w:rsidTr="006B318F">
        <w:trPr>
          <w:trHeight w:hRule="exact" w:val="464"/>
        </w:trPr>
        <w:tc>
          <w:tcPr>
            <w:tcW w:w="4253" w:type="dxa"/>
            <w:vAlign w:val="bottom"/>
          </w:tcPr>
          <w:p w14:paraId="2FB3403A" w14:textId="77777777" w:rsidR="00203C24" w:rsidRPr="00AA20DA" w:rsidRDefault="00203C24" w:rsidP="00203C24">
            <w:pPr>
              <w:tabs>
                <w:tab w:val="right" w:pos="1202"/>
              </w:tabs>
              <w:spacing w:after="0" w:line="240" w:lineRule="auto"/>
              <w:outlineLvl w:val="0"/>
              <w:rPr>
                <w:rFonts w:eastAsia="Times New Roman" w:cs="Arial"/>
                <w:sz w:val="20"/>
                <w:szCs w:val="20"/>
              </w:rPr>
            </w:pPr>
            <w:r w:rsidRPr="00AA20DA">
              <w:rPr>
                <w:rFonts w:eastAsia="Times New Roman" w:cs="Arial"/>
                <w:sz w:val="20"/>
                <w:szCs w:val="20"/>
              </w:rPr>
              <w:t>Loan programme for war-torn and demolished housing and business facilities</w:t>
            </w:r>
          </w:p>
        </w:tc>
        <w:tc>
          <w:tcPr>
            <w:tcW w:w="1382" w:type="dxa"/>
            <w:tcBorders>
              <w:top w:val="nil"/>
              <w:left w:val="nil"/>
              <w:bottom w:val="nil"/>
              <w:right w:val="nil"/>
            </w:tcBorders>
            <w:shd w:val="clear" w:color="auto" w:fill="auto"/>
            <w:vAlign w:val="bottom"/>
          </w:tcPr>
          <w:p w14:paraId="0AB3C1D9" w14:textId="1A78BCE6" w:rsidR="00203C24" w:rsidRPr="006B318F" w:rsidRDefault="00203C24" w:rsidP="006B318F">
            <w:pPr>
              <w:spacing w:after="0" w:line="240" w:lineRule="auto"/>
              <w:jc w:val="right"/>
              <w:rPr>
                <w:color w:val="000000"/>
                <w:sz w:val="20"/>
                <w:szCs w:val="20"/>
              </w:rPr>
            </w:pPr>
            <w:r w:rsidRPr="006B318F">
              <w:rPr>
                <w:color w:val="000000"/>
                <w:sz w:val="20"/>
                <w:szCs w:val="20"/>
              </w:rPr>
              <w:t xml:space="preserve"> 9,027 </w:t>
            </w:r>
          </w:p>
        </w:tc>
        <w:tc>
          <w:tcPr>
            <w:tcW w:w="1382" w:type="dxa"/>
            <w:tcBorders>
              <w:top w:val="nil"/>
              <w:left w:val="nil"/>
              <w:bottom w:val="nil"/>
              <w:right w:val="nil"/>
            </w:tcBorders>
            <w:shd w:val="clear" w:color="auto" w:fill="auto"/>
            <w:vAlign w:val="bottom"/>
          </w:tcPr>
          <w:p w14:paraId="2D204DF7" w14:textId="77777777" w:rsidR="00203C24" w:rsidRPr="00AA20DA" w:rsidRDefault="00203C24" w:rsidP="00203C24">
            <w:pPr>
              <w:spacing w:after="0" w:line="240" w:lineRule="auto"/>
              <w:jc w:val="right"/>
              <w:rPr>
                <w:rFonts w:eastAsia="Times New Roman"/>
                <w:color w:val="000000"/>
                <w:sz w:val="20"/>
                <w:szCs w:val="20"/>
                <w:lang w:eastAsia="hr-HR"/>
              </w:rPr>
            </w:pPr>
            <w:r w:rsidRPr="00AA20DA">
              <w:rPr>
                <w:color w:val="000000"/>
                <w:sz w:val="20"/>
                <w:szCs w:val="20"/>
              </w:rPr>
              <w:t>10,075</w:t>
            </w:r>
          </w:p>
        </w:tc>
        <w:tc>
          <w:tcPr>
            <w:tcW w:w="1382" w:type="dxa"/>
            <w:tcBorders>
              <w:top w:val="nil"/>
              <w:left w:val="nil"/>
              <w:bottom w:val="nil"/>
              <w:right w:val="nil"/>
            </w:tcBorders>
            <w:shd w:val="clear" w:color="auto" w:fill="auto"/>
            <w:vAlign w:val="bottom"/>
          </w:tcPr>
          <w:p w14:paraId="4B5BD60B" w14:textId="4754002F" w:rsidR="00203C24" w:rsidRPr="00AA20DA" w:rsidRDefault="00203C24" w:rsidP="00203C24">
            <w:pPr>
              <w:spacing w:after="0" w:line="240" w:lineRule="auto"/>
              <w:jc w:val="right"/>
              <w:rPr>
                <w:rFonts w:eastAsia="Times New Roman"/>
                <w:color w:val="000000"/>
                <w:sz w:val="20"/>
                <w:szCs w:val="20"/>
                <w:lang w:eastAsia="hr-HR"/>
              </w:rPr>
            </w:pPr>
            <w:r w:rsidRPr="00FE65B6">
              <w:rPr>
                <w:color w:val="000000"/>
                <w:sz w:val="20"/>
                <w:szCs w:val="20"/>
              </w:rPr>
              <w:t xml:space="preserve"> 9,027 </w:t>
            </w:r>
          </w:p>
        </w:tc>
        <w:tc>
          <w:tcPr>
            <w:tcW w:w="1382" w:type="dxa"/>
            <w:tcBorders>
              <w:top w:val="nil"/>
              <w:left w:val="nil"/>
              <w:bottom w:val="nil"/>
              <w:right w:val="nil"/>
            </w:tcBorders>
            <w:shd w:val="clear" w:color="auto" w:fill="auto"/>
            <w:vAlign w:val="bottom"/>
          </w:tcPr>
          <w:p w14:paraId="1D2F519E" w14:textId="77777777" w:rsidR="00203C24" w:rsidRDefault="00203C24" w:rsidP="00203C24">
            <w:pPr>
              <w:spacing w:after="0" w:line="240" w:lineRule="auto"/>
              <w:jc w:val="right"/>
              <w:rPr>
                <w:sz w:val="20"/>
                <w:szCs w:val="20"/>
              </w:rPr>
            </w:pPr>
          </w:p>
          <w:p w14:paraId="3B5AEA46" w14:textId="77777777" w:rsidR="00203C24" w:rsidRPr="00AA20DA" w:rsidRDefault="00203C24" w:rsidP="00203C24">
            <w:pPr>
              <w:spacing w:after="0" w:line="240" w:lineRule="auto"/>
              <w:jc w:val="right"/>
              <w:rPr>
                <w:rFonts w:eastAsia="Times New Roman"/>
                <w:color w:val="000000"/>
                <w:sz w:val="20"/>
                <w:szCs w:val="20"/>
                <w:lang w:eastAsia="hr-HR"/>
              </w:rPr>
            </w:pPr>
            <w:r w:rsidRPr="00AA20DA">
              <w:rPr>
                <w:sz w:val="20"/>
                <w:szCs w:val="20"/>
              </w:rPr>
              <w:t>10,075</w:t>
            </w:r>
          </w:p>
        </w:tc>
      </w:tr>
      <w:tr w:rsidR="00203C24" w:rsidRPr="00AA20DA" w14:paraId="2FD96ED3" w14:textId="77777777" w:rsidTr="006B318F">
        <w:trPr>
          <w:trHeight w:hRule="exact" w:val="273"/>
        </w:trPr>
        <w:tc>
          <w:tcPr>
            <w:tcW w:w="4253" w:type="dxa"/>
            <w:vAlign w:val="bottom"/>
          </w:tcPr>
          <w:p w14:paraId="367D5650" w14:textId="77777777" w:rsidR="00203C24" w:rsidRPr="00AA20DA" w:rsidRDefault="00203C24" w:rsidP="00203C24">
            <w:pPr>
              <w:tabs>
                <w:tab w:val="right" w:pos="1202"/>
              </w:tabs>
              <w:spacing w:after="0" w:line="240" w:lineRule="auto"/>
              <w:outlineLvl w:val="0"/>
              <w:rPr>
                <w:rFonts w:eastAsia="Times New Roman" w:cs="Arial"/>
                <w:sz w:val="20"/>
                <w:szCs w:val="20"/>
              </w:rPr>
            </w:pPr>
            <w:r w:rsidRPr="00AA20DA">
              <w:rPr>
                <w:rFonts w:eastAsia="Times New Roman" w:cs="Arial"/>
                <w:sz w:val="20"/>
                <w:szCs w:val="20"/>
              </w:rPr>
              <w:t>Other</w:t>
            </w:r>
          </w:p>
        </w:tc>
        <w:tc>
          <w:tcPr>
            <w:tcW w:w="1382" w:type="dxa"/>
            <w:tcBorders>
              <w:top w:val="nil"/>
              <w:left w:val="nil"/>
              <w:bottom w:val="nil"/>
              <w:right w:val="nil"/>
            </w:tcBorders>
            <w:shd w:val="clear" w:color="auto" w:fill="auto"/>
            <w:vAlign w:val="bottom"/>
          </w:tcPr>
          <w:p w14:paraId="0164FDD4" w14:textId="7C97E177" w:rsidR="00203C24" w:rsidRPr="006B318F" w:rsidRDefault="00203C24" w:rsidP="006B318F">
            <w:pPr>
              <w:spacing w:after="0" w:line="240" w:lineRule="auto"/>
              <w:jc w:val="right"/>
              <w:rPr>
                <w:color w:val="000000"/>
                <w:sz w:val="20"/>
                <w:szCs w:val="20"/>
              </w:rPr>
            </w:pPr>
            <w:r w:rsidRPr="006B318F">
              <w:rPr>
                <w:color w:val="000000"/>
                <w:sz w:val="20"/>
                <w:szCs w:val="20"/>
              </w:rPr>
              <w:t xml:space="preserve"> 1,312,480 </w:t>
            </w:r>
          </w:p>
        </w:tc>
        <w:tc>
          <w:tcPr>
            <w:tcW w:w="1382" w:type="dxa"/>
            <w:tcBorders>
              <w:top w:val="nil"/>
              <w:left w:val="nil"/>
              <w:bottom w:val="nil"/>
              <w:right w:val="nil"/>
            </w:tcBorders>
            <w:shd w:val="clear" w:color="auto" w:fill="auto"/>
            <w:vAlign w:val="bottom"/>
          </w:tcPr>
          <w:p w14:paraId="1A6A5B6D" w14:textId="77777777" w:rsidR="00203C24" w:rsidRPr="00166751" w:rsidRDefault="00203C24" w:rsidP="00203C24">
            <w:pPr>
              <w:tabs>
                <w:tab w:val="right" w:pos="1202"/>
              </w:tabs>
              <w:spacing w:after="0" w:line="280" w:lineRule="exact"/>
              <w:jc w:val="right"/>
              <w:outlineLvl w:val="0"/>
              <w:rPr>
                <w:rFonts w:asciiTheme="minorHAnsi" w:eastAsiaTheme="minorHAnsi" w:hAnsiTheme="minorHAnsi" w:cstheme="minorBidi"/>
                <w:sz w:val="20"/>
                <w:szCs w:val="20"/>
              </w:rPr>
            </w:pPr>
            <w:r w:rsidRPr="00166751">
              <w:rPr>
                <w:rFonts w:asciiTheme="minorHAnsi" w:eastAsiaTheme="minorHAnsi" w:hAnsiTheme="minorHAnsi" w:cstheme="minorBidi"/>
                <w:sz w:val="20"/>
                <w:szCs w:val="20"/>
              </w:rPr>
              <w:t>362,489</w:t>
            </w:r>
          </w:p>
        </w:tc>
        <w:tc>
          <w:tcPr>
            <w:tcW w:w="1382" w:type="dxa"/>
            <w:tcBorders>
              <w:top w:val="nil"/>
              <w:left w:val="nil"/>
              <w:bottom w:val="nil"/>
              <w:right w:val="nil"/>
            </w:tcBorders>
            <w:shd w:val="clear" w:color="auto" w:fill="auto"/>
            <w:vAlign w:val="bottom"/>
          </w:tcPr>
          <w:p w14:paraId="7D421AEB" w14:textId="7D231AD7" w:rsidR="00203C24" w:rsidRPr="00166751" w:rsidRDefault="00203C24" w:rsidP="00203C24">
            <w:pPr>
              <w:tabs>
                <w:tab w:val="right" w:pos="1202"/>
              </w:tabs>
              <w:spacing w:after="0" w:line="280" w:lineRule="exact"/>
              <w:jc w:val="right"/>
              <w:outlineLvl w:val="0"/>
              <w:rPr>
                <w:rFonts w:asciiTheme="minorHAnsi" w:eastAsiaTheme="minorHAnsi" w:hAnsiTheme="minorHAnsi" w:cstheme="minorBidi"/>
                <w:sz w:val="20"/>
                <w:szCs w:val="20"/>
              </w:rPr>
            </w:pPr>
            <w:r w:rsidRPr="00FE65B6">
              <w:rPr>
                <w:color w:val="000000"/>
                <w:sz w:val="20"/>
                <w:szCs w:val="20"/>
              </w:rPr>
              <w:t xml:space="preserve"> 1,312,480 </w:t>
            </w:r>
          </w:p>
        </w:tc>
        <w:tc>
          <w:tcPr>
            <w:tcW w:w="1382" w:type="dxa"/>
            <w:tcBorders>
              <w:top w:val="nil"/>
              <w:left w:val="nil"/>
              <w:bottom w:val="nil"/>
              <w:right w:val="nil"/>
            </w:tcBorders>
            <w:shd w:val="clear" w:color="auto" w:fill="auto"/>
            <w:vAlign w:val="bottom"/>
          </w:tcPr>
          <w:p w14:paraId="6C0FA929" w14:textId="77777777" w:rsidR="00203C24" w:rsidRPr="00AA20DA" w:rsidRDefault="00203C24" w:rsidP="00203C24">
            <w:pPr>
              <w:tabs>
                <w:tab w:val="right" w:pos="1202"/>
              </w:tabs>
              <w:spacing w:after="0" w:line="280" w:lineRule="exact"/>
              <w:jc w:val="right"/>
              <w:outlineLvl w:val="0"/>
              <w:rPr>
                <w:rFonts w:eastAsia="Times New Roman"/>
                <w:color w:val="000000"/>
                <w:sz w:val="20"/>
                <w:szCs w:val="20"/>
                <w:lang w:eastAsia="hr-HR"/>
              </w:rPr>
            </w:pPr>
            <w:r w:rsidRPr="00AA20DA">
              <w:rPr>
                <w:sz w:val="20"/>
                <w:szCs w:val="20"/>
              </w:rPr>
              <w:t>362,489</w:t>
            </w:r>
          </w:p>
        </w:tc>
      </w:tr>
      <w:tr w:rsidR="00203C24" w:rsidRPr="00AA20DA" w14:paraId="0A27DF73" w14:textId="77777777" w:rsidTr="006B318F">
        <w:trPr>
          <w:trHeight w:hRule="exact" w:val="276"/>
        </w:trPr>
        <w:tc>
          <w:tcPr>
            <w:tcW w:w="4253" w:type="dxa"/>
            <w:vAlign w:val="bottom"/>
          </w:tcPr>
          <w:p w14:paraId="437D61E7" w14:textId="77777777" w:rsidR="00203C24" w:rsidRPr="00AA20DA" w:rsidRDefault="00203C24" w:rsidP="00203C24">
            <w:pPr>
              <w:tabs>
                <w:tab w:val="right" w:pos="1202"/>
              </w:tabs>
              <w:spacing w:after="0" w:line="240" w:lineRule="auto"/>
              <w:outlineLvl w:val="0"/>
              <w:rPr>
                <w:rFonts w:eastAsia="Times New Roman" w:cs="Arial"/>
                <w:sz w:val="20"/>
                <w:szCs w:val="20"/>
              </w:rPr>
            </w:pPr>
            <w:r w:rsidRPr="00AA20DA">
              <w:rPr>
                <w:rFonts w:eastAsia="Times New Roman" w:cs="Arial"/>
                <w:sz w:val="20"/>
                <w:szCs w:val="20"/>
              </w:rPr>
              <w:t>Accrued interest</w:t>
            </w:r>
          </w:p>
        </w:tc>
        <w:tc>
          <w:tcPr>
            <w:tcW w:w="1382" w:type="dxa"/>
            <w:tcBorders>
              <w:top w:val="nil"/>
              <w:left w:val="nil"/>
              <w:bottom w:val="nil"/>
              <w:right w:val="nil"/>
            </w:tcBorders>
            <w:shd w:val="clear" w:color="auto" w:fill="auto"/>
            <w:vAlign w:val="bottom"/>
          </w:tcPr>
          <w:p w14:paraId="3C21BF2C" w14:textId="46C9A4C3" w:rsidR="00203C24" w:rsidRPr="006B318F" w:rsidRDefault="00203C24" w:rsidP="006B318F">
            <w:pPr>
              <w:spacing w:after="0" w:line="240" w:lineRule="auto"/>
              <w:jc w:val="right"/>
              <w:rPr>
                <w:color w:val="000000"/>
                <w:sz w:val="20"/>
                <w:szCs w:val="20"/>
              </w:rPr>
            </w:pPr>
            <w:r w:rsidRPr="006B318F">
              <w:rPr>
                <w:color w:val="000000"/>
                <w:sz w:val="20"/>
                <w:szCs w:val="20"/>
              </w:rPr>
              <w:t xml:space="preserve"> 30,833 </w:t>
            </w:r>
          </w:p>
        </w:tc>
        <w:tc>
          <w:tcPr>
            <w:tcW w:w="1382" w:type="dxa"/>
            <w:tcBorders>
              <w:top w:val="nil"/>
              <w:left w:val="nil"/>
              <w:bottom w:val="nil"/>
              <w:right w:val="nil"/>
            </w:tcBorders>
            <w:shd w:val="clear" w:color="auto" w:fill="auto"/>
            <w:vAlign w:val="bottom"/>
          </w:tcPr>
          <w:p w14:paraId="75AFD62B" w14:textId="77777777" w:rsidR="00203C24" w:rsidRPr="00AA20DA" w:rsidRDefault="00203C24" w:rsidP="00203C24">
            <w:pPr>
              <w:spacing w:after="0" w:line="240" w:lineRule="auto"/>
              <w:jc w:val="right"/>
              <w:rPr>
                <w:rFonts w:eastAsia="Times New Roman"/>
                <w:color w:val="000000"/>
                <w:sz w:val="20"/>
                <w:szCs w:val="20"/>
                <w:lang w:eastAsia="hr-HR"/>
              </w:rPr>
            </w:pPr>
            <w:r w:rsidRPr="00AA20DA">
              <w:rPr>
                <w:color w:val="000000"/>
                <w:sz w:val="20"/>
                <w:szCs w:val="20"/>
              </w:rPr>
              <w:t>37,363</w:t>
            </w:r>
          </w:p>
        </w:tc>
        <w:tc>
          <w:tcPr>
            <w:tcW w:w="1382" w:type="dxa"/>
            <w:tcBorders>
              <w:top w:val="nil"/>
              <w:left w:val="nil"/>
              <w:bottom w:val="nil"/>
              <w:right w:val="nil"/>
            </w:tcBorders>
            <w:shd w:val="clear" w:color="auto" w:fill="auto"/>
            <w:vAlign w:val="bottom"/>
          </w:tcPr>
          <w:p w14:paraId="75B831FE" w14:textId="527F8207" w:rsidR="00203C24" w:rsidRPr="00AA20DA" w:rsidRDefault="00203C24" w:rsidP="00203C24">
            <w:pPr>
              <w:spacing w:after="0" w:line="240" w:lineRule="auto"/>
              <w:jc w:val="right"/>
              <w:rPr>
                <w:rFonts w:eastAsia="Times New Roman"/>
                <w:color w:val="000000"/>
                <w:sz w:val="20"/>
                <w:szCs w:val="20"/>
                <w:lang w:eastAsia="hr-HR"/>
              </w:rPr>
            </w:pPr>
            <w:r w:rsidRPr="00FE65B6">
              <w:rPr>
                <w:color w:val="000000"/>
                <w:sz w:val="20"/>
                <w:szCs w:val="20"/>
              </w:rPr>
              <w:t xml:space="preserve"> 30,833 </w:t>
            </w:r>
          </w:p>
        </w:tc>
        <w:tc>
          <w:tcPr>
            <w:tcW w:w="1382" w:type="dxa"/>
            <w:tcBorders>
              <w:top w:val="nil"/>
              <w:left w:val="nil"/>
              <w:bottom w:val="nil"/>
              <w:right w:val="nil"/>
            </w:tcBorders>
            <w:shd w:val="clear" w:color="auto" w:fill="auto"/>
            <w:vAlign w:val="bottom"/>
          </w:tcPr>
          <w:p w14:paraId="3662DF93" w14:textId="77777777" w:rsidR="00203C24" w:rsidRPr="00AA20DA" w:rsidRDefault="00203C24" w:rsidP="00203C24">
            <w:pPr>
              <w:spacing w:after="0" w:line="240" w:lineRule="auto"/>
              <w:jc w:val="right"/>
              <w:rPr>
                <w:rFonts w:eastAsia="Times New Roman"/>
                <w:color w:val="000000"/>
                <w:sz w:val="20"/>
                <w:szCs w:val="20"/>
                <w:lang w:eastAsia="hr-HR"/>
              </w:rPr>
            </w:pPr>
            <w:r w:rsidRPr="00AA20DA">
              <w:rPr>
                <w:sz w:val="20"/>
                <w:szCs w:val="20"/>
              </w:rPr>
              <w:t>37,363</w:t>
            </w:r>
          </w:p>
        </w:tc>
      </w:tr>
      <w:tr w:rsidR="00203C24" w:rsidRPr="00AA20DA" w14:paraId="47B9CD6A" w14:textId="77777777" w:rsidTr="006B318F">
        <w:trPr>
          <w:trHeight w:hRule="exact" w:val="276"/>
        </w:trPr>
        <w:tc>
          <w:tcPr>
            <w:tcW w:w="4253" w:type="dxa"/>
            <w:vAlign w:val="bottom"/>
          </w:tcPr>
          <w:p w14:paraId="36B3F879" w14:textId="77777777" w:rsidR="00203C24" w:rsidRPr="00AA20DA" w:rsidRDefault="00203C24" w:rsidP="00203C24">
            <w:pPr>
              <w:tabs>
                <w:tab w:val="right" w:pos="1202"/>
              </w:tabs>
              <w:spacing w:after="0" w:line="240" w:lineRule="auto"/>
              <w:outlineLvl w:val="0"/>
              <w:rPr>
                <w:rFonts w:eastAsia="Times New Roman" w:cs="Arial"/>
                <w:sz w:val="20"/>
                <w:szCs w:val="20"/>
              </w:rPr>
            </w:pPr>
            <w:r w:rsidRPr="00AA20DA">
              <w:rPr>
                <w:rFonts w:eastAsia="Times New Roman" w:cs="Arial"/>
                <w:sz w:val="20"/>
                <w:szCs w:val="20"/>
              </w:rPr>
              <w:t>Deferred recognition of loan fees</w:t>
            </w:r>
          </w:p>
        </w:tc>
        <w:tc>
          <w:tcPr>
            <w:tcW w:w="1382" w:type="dxa"/>
            <w:tcBorders>
              <w:top w:val="nil"/>
              <w:left w:val="nil"/>
              <w:bottom w:val="nil"/>
              <w:right w:val="nil"/>
            </w:tcBorders>
            <w:shd w:val="clear" w:color="auto" w:fill="auto"/>
            <w:vAlign w:val="bottom"/>
          </w:tcPr>
          <w:p w14:paraId="31500E8D" w14:textId="00AC3118" w:rsidR="00203C24" w:rsidRPr="006B318F" w:rsidRDefault="00203C24" w:rsidP="006B318F">
            <w:pPr>
              <w:spacing w:after="0" w:line="240" w:lineRule="auto"/>
              <w:jc w:val="right"/>
              <w:rPr>
                <w:color w:val="000000"/>
                <w:sz w:val="20"/>
                <w:szCs w:val="20"/>
              </w:rPr>
            </w:pPr>
            <w:r w:rsidRPr="006B318F">
              <w:rPr>
                <w:color w:val="000000"/>
                <w:sz w:val="20"/>
                <w:szCs w:val="20"/>
              </w:rPr>
              <w:t xml:space="preserve"> (60,070)</w:t>
            </w:r>
          </w:p>
        </w:tc>
        <w:tc>
          <w:tcPr>
            <w:tcW w:w="1382" w:type="dxa"/>
            <w:tcBorders>
              <w:top w:val="nil"/>
              <w:left w:val="nil"/>
              <w:bottom w:val="nil"/>
              <w:right w:val="nil"/>
            </w:tcBorders>
            <w:shd w:val="clear" w:color="auto" w:fill="auto"/>
            <w:vAlign w:val="bottom"/>
          </w:tcPr>
          <w:p w14:paraId="674B13D5" w14:textId="77777777" w:rsidR="00203C24" w:rsidRDefault="00203C24" w:rsidP="00203C24">
            <w:pPr>
              <w:tabs>
                <w:tab w:val="right" w:pos="1202"/>
              </w:tabs>
              <w:spacing w:after="0" w:line="280" w:lineRule="exact"/>
              <w:jc w:val="right"/>
              <w:outlineLvl w:val="0"/>
              <w:rPr>
                <w:color w:val="000000"/>
                <w:sz w:val="20"/>
                <w:szCs w:val="20"/>
              </w:rPr>
            </w:pPr>
            <w:r w:rsidRPr="00AA20DA">
              <w:rPr>
                <w:color w:val="000000"/>
                <w:sz w:val="20"/>
                <w:szCs w:val="20"/>
              </w:rPr>
              <w:t xml:space="preserve"> (66,</w:t>
            </w:r>
            <w:r>
              <w:rPr>
                <w:color w:val="000000"/>
                <w:sz w:val="20"/>
                <w:szCs w:val="20"/>
              </w:rPr>
              <w:t>371)</w:t>
            </w:r>
          </w:p>
          <w:p w14:paraId="4644BFB3" w14:textId="77777777" w:rsidR="00203C24" w:rsidRPr="00AA20DA" w:rsidRDefault="00203C24" w:rsidP="00203C24">
            <w:pPr>
              <w:tabs>
                <w:tab w:val="right" w:pos="1202"/>
              </w:tabs>
              <w:spacing w:after="0" w:line="280" w:lineRule="exact"/>
              <w:jc w:val="right"/>
              <w:outlineLvl w:val="0"/>
              <w:rPr>
                <w:rFonts w:eastAsia="Times New Roman"/>
                <w:color w:val="000000"/>
                <w:sz w:val="20"/>
                <w:szCs w:val="20"/>
                <w:lang w:eastAsia="hr-HR"/>
              </w:rPr>
            </w:pPr>
            <w:r w:rsidRPr="00AA20DA">
              <w:rPr>
                <w:color w:val="000000"/>
                <w:sz w:val="20"/>
                <w:szCs w:val="20"/>
              </w:rPr>
              <w:t>371)</w:t>
            </w:r>
          </w:p>
        </w:tc>
        <w:tc>
          <w:tcPr>
            <w:tcW w:w="1382" w:type="dxa"/>
            <w:tcBorders>
              <w:top w:val="nil"/>
              <w:left w:val="nil"/>
              <w:bottom w:val="nil"/>
              <w:right w:val="nil"/>
            </w:tcBorders>
            <w:shd w:val="clear" w:color="auto" w:fill="auto"/>
            <w:vAlign w:val="bottom"/>
          </w:tcPr>
          <w:p w14:paraId="567B1064" w14:textId="7B165631" w:rsidR="00203C24" w:rsidRPr="00AA20DA" w:rsidRDefault="00203C24" w:rsidP="00203C24">
            <w:pPr>
              <w:spacing w:after="0" w:line="240" w:lineRule="auto"/>
              <w:jc w:val="right"/>
              <w:rPr>
                <w:rFonts w:eastAsia="Times New Roman"/>
                <w:color w:val="000000"/>
                <w:sz w:val="20"/>
                <w:szCs w:val="20"/>
                <w:lang w:eastAsia="hr-HR"/>
              </w:rPr>
            </w:pPr>
            <w:r w:rsidRPr="00FE65B6">
              <w:rPr>
                <w:color w:val="000000"/>
                <w:sz w:val="20"/>
                <w:szCs w:val="20"/>
              </w:rPr>
              <w:t xml:space="preserve"> (60,070)</w:t>
            </w:r>
          </w:p>
        </w:tc>
        <w:tc>
          <w:tcPr>
            <w:tcW w:w="1382" w:type="dxa"/>
            <w:tcBorders>
              <w:top w:val="nil"/>
              <w:left w:val="nil"/>
              <w:bottom w:val="nil"/>
              <w:right w:val="nil"/>
            </w:tcBorders>
            <w:shd w:val="clear" w:color="auto" w:fill="auto"/>
            <w:vAlign w:val="bottom"/>
          </w:tcPr>
          <w:p w14:paraId="4A30A86A" w14:textId="77777777" w:rsidR="00203C24" w:rsidRPr="00AA20DA" w:rsidRDefault="00203C24" w:rsidP="00203C24">
            <w:pPr>
              <w:spacing w:after="0" w:line="240" w:lineRule="auto"/>
              <w:jc w:val="right"/>
              <w:rPr>
                <w:rFonts w:eastAsia="Times New Roman"/>
                <w:color w:val="000000"/>
                <w:sz w:val="20"/>
                <w:szCs w:val="20"/>
                <w:lang w:eastAsia="hr-HR"/>
              </w:rPr>
            </w:pPr>
            <w:r w:rsidRPr="00AA20DA">
              <w:rPr>
                <w:sz w:val="20"/>
                <w:szCs w:val="20"/>
              </w:rPr>
              <w:t xml:space="preserve">  (66,371)</w:t>
            </w:r>
          </w:p>
        </w:tc>
      </w:tr>
      <w:tr w:rsidR="00203C24" w:rsidRPr="00AA20DA" w14:paraId="378B57A1" w14:textId="77777777" w:rsidTr="005444AA">
        <w:trPr>
          <w:trHeight w:val="244"/>
        </w:trPr>
        <w:tc>
          <w:tcPr>
            <w:tcW w:w="4253" w:type="dxa"/>
          </w:tcPr>
          <w:p w14:paraId="3E0A2C5B" w14:textId="77777777" w:rsidR="00203C24" w:rsidRPr="00AA20DA" w:rsidRDefault="00203C24" w:rsidP="00203C24">
            <w:pPr>
              <w:tabs>
                <w:tab w:val="right" w:pos="1202"/>
              </w:tabs>
              <w:spacing w:after="0" w:line="240" w:lineRule="auto"/>
              <w:outlineLvl w:val="0"/>
              <w:rPr>
                <w:rFonts w:eastAsia="Times New Roman" w:cs="Arial"/>
                <w:sz w:val="20"/>
                <w:szCs w:val="20"/>
              </w:rPr>
            </w:pPr>
          </w:p>
        </w:tc>
        <w:tc>
          <w:tcPr>
            <w:tcW w:w="1382" w:type="dxa"/>
            <w:tcBorders>
              <w:top w:val="single" w:sz="4" w:space="0" w:color="auto"/>
              <w:left w:val="nil"/>
              <w:bottom w:val="single" w:sz="4" w:space="0" w:color="auto"/>
              <w:right w:val="nil"/>
            </w:tcBorders>
            <w:shd w:val="clear" w:color="auto" w:fill="auto"/>
            <w:vAlign w:val="bottom"/>
          </w:tcPr>
          <w:p w14:paraId="27547886" w14:textId="37064BDD" w:rsidR="00203C24" w:rsidRPr="00AA20DA" w:rsidRDefault="00203C24" w:rsidP="00203C24">
            <w:pPr>
              <w:tabs>
                <w:tab w:val="right" w:pos="1202"/>
              </w:tabs>
              <w:spacing w:after="0" w:line="280" w:lineRule="exact"/>
              <w:jc w:val="right"/>
              <w:outlineLvl w:val="0"/>
              <w:rPr>
                <w:rFonts w:eastAsia="Times New Roman" w:cs="Arial"/>
                <w:sz w:val="20"/>
                <w:szCs w:val="20"/>
              </w:rPr>
            </w:pPr>
            <w:r w:rsidRPr="00203C24">
              <w:rPr>
                <w:sz w:val="20"/>
                <w:szCs w:val="20"/>
              </w:rPr>
              <w:t xml:space="preserve">12,510,913 </w:t>
            </w:r>
          </w:p>
        </w:tc>
        <w:tc>
          <w:tcPr>
            <w:tcW w:w="1382" w:type="dxa"/>
            <w:tcBorders>
              <w:top w:val="single" w:sz="4" w:space="0" w:color="auto"/>
              <w:left w:val="nil"/>
              <w:bottom w:val="single" w:sz="4" w:space="0" w:color="auto"/>
              <w:right w:val="nil"/>
            </w:tcBorders>
            <w:shd w:val="clear" w:color="auto" w:fill="auto"/>
            <w:vAlign w:val="bottom"/>
          </w:tcPr>
          <w:p w14:paraId="6EA081DF" w14:textId="77777777" w:rsidR="00203C24" w:rsidRPr="00166751" w:rsidRDefault="00203C24" w:rsidP="00203C24">
            <w:pPr>
              <w:tabs>
                <w:tab w:val="right" w:pos="1202"/>
              </w:tabs>
              <w:spacing w:after="0" w:line="280" w:lineRule="exact"/>
              <w:jc w:val="right"/>
              <w:outlineLvl w:val="0"/>
              <w:rPr>
                <w:rFonts w:asciiTheme="minorHAnsi" w:eastAsiaTheme="minorHAnsi" w:hAnsiTheme="minorHAnsi" w:cstheme="minorBidi"/>
                <w:sz w:val="20"/>
                <w:szCs w:val="20"/>
              </w:rPr>
            </w:pPr>
            <w:r w:rsidRPr="00166751">
              <w:rPr>
                <w:rFonts w:asciiTheme="minorHAnsi" w:eastAsiaTheme="minorHAnsi" w:hAnsiTheme="minorHAnsi" w:cstheme="minorBidi"/>
                <w:sz w:val="20"/>
                <w:szCs w:val="20"/>
              </w:rPr>
              <w:t>12,252,428</w:t>
            </w:r>
          </w:p>
        </w:tc>
        <w:tc>
          <w:tcPr>
            <w:tcW w:w="1382" w:type="dxa"/>
            <w:tcBorders>
              <w:top w:val="single" w:sz="4" w:space="0" w:color="auto"/>
              <w:left w:val="nil"/>
              <w:bottom w:val="single" w:sz="4" w:space="0" w:color="auto"/>
              <w:right w:val="nil"/>
            </w:tcBorders>
            <w:shd w:val="clear" w:color="auto" w:fill="auto"/>
            <w:vAlign w:val="bottom"/>
          </w:tcPr>
          <w:p w14:paraId="1EA33602" w14:textId="78A5E58D" w:rsidR="00203C24" w:rsidRPr="00166751" w:rsidRDefault="00203C24" w:rsidP="00203C24">
            <w:pPr>
              <w:tabs>
                <w:tab w:val="right" w:pos="1202"/>
              </w:tabs>
              <w:spacing w:after="0" w:line="280" w:lineRule="exact"/>
              <w:jc w:val="right"/>
              <w:outlineLvl w:val="0"/>
              <w:rPr>
                <w:rFonts w:asciiTheme="minorHAnsi" w:eastAsiaTheme="minorHAnsi" w:hAnsiTheme="minorHAnsi" w:cstheme="minorBidi"/>
                <w:sz w:val="20"/>
                <w:szCs w:val="20"/>
              </w:rPr>
            </w:pPr>
            <w:r w:rsidRPr="00203C24">
              <w:rPr>
                <w:sz w:val="20"/>
                <w:szCs w:val="20"/>
              </w:rPr>
              <w:t xml:space="preserve">12,510,913 </w:t>
            </w:r>
          </w:p>
        </w:tc>
        <w:tc>
          <w:tcPr>
            <w:tcW w:w="1382" w:type="dxa"/>
            <w:tcBorders>
              <w:top w:val="single" w:sz="4" w:space="0" w:color="auto"/>
              <w:left w:val="nil"/>
              <w:bottom w:val="single" w:sz="4" w:space="0" w:color="auto"/>
              <w:right w:val="nil"/>
            </w:tcBorders>
            <w:shd w:val="clear" w:color="auto" w:fill="auto"/>
            <w:vAlign w:val="bottom"/>
          </w:tcPr>
          <w:p w14:paraId="765BB713" w14:textId="77777777" w:rsidR="00203C24" w:rsidRPr="00166751" w:rsidRDefault="00203C24" w:rsidP="00203C24">
            <w:pPr>
              <w:tabs>
                <w:tab w:val="right" w:pos="1202"/>
              </w:tabs>
              <w:spacing w:after="0" w:line="280" w:lineRule="exact"/>
              <w:jc w:val="right"/>
              <w:outlineLvl w:val="0"/>
              <w:rPr>
                <w:rFonts w:asciiTheme="minorHAnsi" w:eastAsiaTheme="minorHAnsi" w:hAnsiTheme="minorHAnsi" w:cstheme="minorBidi"/>
                <w:sz w:val="20"/>
                <w:szCs w:val="20"/>
              </w:rPr>
            </w:pPr>
            <w:r w:rsidRPr="00166751">
              <w:rPr>
                <w:rFonts w:asciiTheme="minorHAnsi" w:eastAsiaTheme="minorHAnsi" w:hAnsiTheme="minorHAnsi" w:cstheme="minorBidi"/>
                <w:sz w:val="20"/>
                <w:szCs w:val="20"/>
              </w:rPr>
              <w:t>12,252,428</w:t>
            </w:r>
          </w:p>
        </w:tc>
      </w:tr>
      <w:tr w:rsidR="00203C24" w:rsidRPr="00AA20DA" w14:paraId="32FF9C5C" w14:textId="77777777" w:rsidTr="005444AA">
        <w:trPr>
          <w:trHeight w:hRule="exact" w:val="306"/>
        </w:trPr>
        <w:tc>
          <w:tcPr>
            <w:tcW w:w="4253" w:type="dxa"/>
            <w:vAlign w:val="bottom"/>
          </w:tcPr>
          <w:p w14:paraId="77AD7B8D" w14:textId="77777777" w:rsidR="00203C24" w:rsidRPr="00AA20DA" w:rsidRDefault="00203C24" w:rsidP="00203C24">
            <w:pPr>
              <w:tabs>
                <w:tab w:val="right" w:pos="1202"/>
              </w:tabs>
              <w:spacing w:after="0" w:line="240" w:lineRule="auto"/>
              <w:outlineLvl w:val="0"/>
              <w:rPr>
                <w:rFonts w:eastAsia="Times New Roman" w:cs="Arial"/>
                <w:sz w:val="20"/>
                <w:szCs w:val="20"/>
              </w:rPr>
            </w:pPr>
            <w:r w:rsidRPr="00AA20DA">
              <w:rPr>
                <w:rFonts w:eastAsia="Times New Roman" w:cs="Arial"/>
                <w:sz w:val="20"/>
                <w:szCs w:val="20"/>
              </w:rPr>
              <w:t>Provisions for impairment losses</w:t>
            </w:r>
          </w:p>
        </w:tc>
        <w:tc>
          <w:tcPr>
            <w:tcW w:w="1382" w:type="dxa"/>
            <w:tcBorders>
              <w:top w:val="nil"/>
              <w:left w:val="nil"/>
              <w:bottom w:val="single" w:sz="4" w:space="0" w:color="auto"/>
              <w:right w:val="nil"/>
            </w:tcBorders>
            <w:shd w:val="clear" w:color="auto" w:fill="auto"/>
            <w:vAlign w:val="bottom"/>
          </w:tcPr>
          <w:p w14:paraId="5569B5AD" w14:textId="7FE7C8EA" w:rsidR="00203C24" w:rsidRPr="00AA20DA" w:rsidRDefault="00203C24" w:rsidP="00203C24">
            <w:pPr>
              <w:tabs>
                <w:tab w:val="right" w:pos="1202"/>
              </w:tabs>
              <w:spacing w:after="0" w:line="280" w:lineRule="exact"/>
              <w:jc w:val="right"/>
              <w:outlineLvl w:val="0"/>
              <w:rPr>
                <w:rFonts w:eastAsia="Times New Roman" w:cs="Arial"/>
                <w:sz w:val="20"/>
                <w:szCs w:val="20"/>
              </w:rPr>
            </w:pPr>
            <w:r w:rsidRPr="00203C24">
              <w:rPr>
                <w:sz w:val="20"/>
                <w:szCs w:val="20"/>
              </w:rPr>
              <w:t xml:space="preserve">(263,626) </w:t>
            </w:r>
          </w:p>
        </w:tc>
        <w:tc>
          <w:tcPr>
            <w:tcW w:w="1382" w:type="dxa"/>
            <w:tcBorders>
              <w:top w:val="nil"/>
              <w:left w:val="nil"/>
              <w:bottom w:val="single" w:sz="4" w:space="0" w:color="auto"/>
              <w:right w:val="nil"/>
            </w:tcBorders>
            <w:shd w:val="clear" w:color="auto" w:fill="auto"/>
            <w:vAlign w:val="bottom"/>
          </w:tcPr>
          <w:p w14:paraId="536B8596" w14:textId="77777777" w:rsidR="00203C24" w:rsidRPr="00AA20DA" w:rsidRDefault="00203C24" w:rsidP="00203C24">
            <w:pPr>
              <w:spacing w:after="0" w:line="240" w:lineRule="auto"/>
              <w:jc w:val="right"/>
              <w:rPr>
                <w:rFonts w:eastAsia="Times New Roman"/>
                <w:color w:val="000000"/>
                <w:sz w:val="20"/>
                <w:szCs w:val="20"/>
                <w:lang w:eastAsia="hr-HR"/>
              </w:rPr>
            </w:pPr>
            <w:r w:rsidRPr="00AA20DA">
              <w:rPr>
                <w:rFonts w:eastAsia="Times New Roman"/>
                <w:color w:val="000000"/>
                <w:sz w:val="20"/>
                <w:szCs w:val="20"/>
                <w:lang w:eastAsia="hr-HR"/>
              </w:rPr>
              <w:t>(363,317)</w:t>
            </w:r>
          </w:p>
        </w:tc>
        <w:tc>
          <w:tcPr>
            <w:tcW w:w="1382" w:type="dxa"/>
            <w:tcBorders>
              <w:top w:val="nil"/>
              <w:left w:val="nil"/>
              <w:bottom w:val="single" w:sz="4" w:space="0" w:color="auto"/>
              <w:right w:val="nil"/>
            </w:tcBorders>
            <w:shd w:val="clear" w:color="auto" w:fill="auto"/>
            <w:vAlign w:val="bottom"/>
          </w:tcPr>
          <w:p w14:paraId="5EF0C03B" w14:textId="784EB3E0" w:rsidR="00203C24" w:rsidRPr="00AA20DA" w:rsidRDefault="00203C24" w:rsidP="00203C24">
            <w:pPr>
              <w:spacing w:after="0" w:line="240" w:lineRule="auto"/>
              <w:jc w:val="right"/>
              <w:rPr>
                <w:rFonts w:eastAsia="Times New Roman"/>
                <w:color w:val="000000"/>
                <w:sz w:val="20"/>
                <w:szCs w:val="20"/>
                <w:lang w:eastAsia="hr-HR"/>
              </w:rPr>
            </w:pPr>
            <w:r w:rsidRPr="00203C24">
              <w:rPr>
                <w:sz w:val="20"/>
                <w:szCs w:val="20"/>
              </w:rPr>
              <w:t xml:space="preserve">(263,626) </w:t>
            </w:r>
          </w:p>
        </w:tc>
        <w:tc>
          <w:tcPr>
            <w:tcW w:w="1382" w:type="dxa"/>
            <w:tcBorders>
              <w:top w:val="nil"/>
              <w:left w:val="nil"/>
              <w:bottom w:val="single" w:sz="4" w:space="0" w:color="auto"/>
              <w:right w:val="nil"/>
            </w:tcBorders>
            <w:shd w:val="clear" w:color="auto" w:fill="auto"/>
            <w:vAlign w:val="bottom"/>
          </w:tcPr>
          <w:p w14:paraId="550B711F" w14:textId="77777777" w:rsidR="00203C24" w:rsidRPr="00AA20DA" w:rsidRDefault="00203C24" w:rsidP="00203C24">
            <w:pPr>
              <w:spacing w:after="0" w:line="240" w:lineRule="auto"/>
              <w:jc w:val="right"/>
              <w:rPr>
                <w:rFonts w:eastAsia="Times New Roman"/>
                <w:color w:val="000000"/>
                <w:sz w:val="20"/>
                <w:szCs w:val="20"/>
                <w:lang w:eastAsia="hr-HR"/>
              </w:rPr>
            </w:pPr>
            <w:r w:rsidRPr="00AA20DA">
              <w:rPr>
                <w:rFonts w:eastAsia="Times New Roman"/>
                <w:color w:val="000000"/>
                <w:sz w:val="20"/>
                <w:szCs w:val="20"/>
                <w:lang w:eastAsia="hr-HR"/>
              </w:rPr>
              <w:t>(363,317)</w:t>
            </w:r>
          </w:p>
        </w:tc>
      </w:tr>
      <w:tr w:rsidR="00203C24" w:rsidRPr="00AA20DA" w14:paraId="1EB5B84E" w14:textId="77777777" w:rsidTr="005444AA">
        <w:trPr>
          <w:trHeight w:val="227"/>
        </w:trPr>
        <w:tc>
          <w:tcPr>
            <w:tcW w:w="4253" w:type="dxa"/>
          </w:tcPr>
          <w:p w14:paraId="131E570E" w14:textId="77777777" w:rsidR="00203C24" w:rsidRPr="00AA20DA" w:rsidRDefault="00203C24" w:rsidP="00203C24">
            <w:pPr>
              <w:tabs>
                <w:tab w:val="right" w:pos="1202"/>
              </w:tabs>
              <w:spacing w:after="0" w:line="240" w:lineRule="auto"/>
              <w:outlineLvl w:val="0"/>
              <w:rPr>
                <w:rFonts w:eastAsia="Times New Roman" w:cs="Arial"/>
                <w:b/>
                <w:bCs/>
                <w:sz w:val="20"/>
                <w:szCs w:val="20"/>
              </w:rPr>
            </w:pPr>
          </w:p>
        </w:tc>
        <w:tc>
          <w:tcPr>
            <w:tcW w:w="1382" w:type="dxa"/>
            <w:tcBorders>
              <w:top w:val="single" w:sz="4" w:space="0" w:color="auto"/>
              <w:left w:val="nil"/>
              <w:bottom w:val="single" w:sz="12" w:space="0" w:color="auto"/>
              <w:right w:val="nil"/>
            </w:tcBorders>
            <w:shd w:val="clear" w:color="auto" w:fill="auto"/>
            <w:vAlign w:val="bottom"/>
          </w:tcPr>
          <w:p w14:paraId="0DFE8191" w14:textId="7E577F2C" w:rsidR="00203C24" w:rsidRPr="00166751" w:rsidRDefault="00203C24" w:rsidP="00203C24">
            <w:pPr>
              <w:spacing w:after="0" w:line="240" w:lineRule="auto"/>
              <w:jc w:val="right"/>
              <w:rPr>
                <w:rFonts w:eastAsia="Times New Roman"/>
                <w:b/>
                <w:bCs/>
                <w:color w:val="000000"/>
                <w:sz w:val="20"/>
                <w:szCs w:val="20"/>
                <w:lang w:eastAsia="hr-HR"/>
              </w:rPr>
            </w:pPr>
            <w:r w:rsidRPr="00203C24">
              <w:rPr>
                <w:rFonts w:eastAsia="Times New Roman"/>
                <w:b/>
                <w:bCs/>
                <w:color w:val="000000"/>
                <w:sz w:val="20"/>
                <w:szCs w:val="20"/>
                <w:lang w:eastAsia="hr-HR"/>
              </w:rPr>
              <w:t xml:space="preserve">12,247,287 </w:t>
            </w:r>
          </w:p>
        </w:tc>
        <w:tc>
          <w:tcPr>
            <w:tcW w:w="1382" w:type="dxa"/>
            <w:tcBorders>
              <w:top w:val="single" w:sz="4" w:space="0" w:color="auto"/>
              <w:left w:val="nil"/>
              <w:bottom w:val="single" w:sz="12" w:space="0" w:color="auto"/>
              <w:right w:val="nil"/>
            </w:tcBorders>
            <w:shd w:val="clear" w:color="auto" w:fill="auto"/>
            <w:vAlign w:val="bottom"/>
          </w:tcPr>
          <w:p w14:paraId="77BD441B" w14:textId="77777777" w:rsidR="00203C24" w:rsidRPr="00AA20DA" w:rsidRDefault="00203C24" w:rsidP="00203C24">
            <w:pPr>
              <w:spacing w:after="0" w:line="240" w:lineRule="auto"/>
              <w:jc w:val="right"/>
              <w:rPr>
                <w:rFonts w:eastAsia="Times New Roman"/>
                <w:b/>
                <w:bCs/>
                <w:color w:val="000000"/>
                <w:sz w:val="20"/>
                <w:szCs w:val="20"/>
                <w:lang w:eastAsia="hr-HR"/>
              </w:rPr>
            </w:pPr>
            <w:r w:rsidRPr="00AA20DA">
              <w:rPr>
                <w:rFonts w:eastAsia="Times New Roman"/>
                <w:b/>
                <w:bCs/>
                <w:color w:val="000000"/>
                <w:sz w:val="20"/>
                <w:szCs w:val="20"/>
                <w:lang w:eastAsia="hr-HR"/>
              </w:rPr>
              <w:t>11,889,111</w:t>
            </w:r>
          </w:p>
        </w:tc>
        <w:tc>
          <w:tcPr>
            <w:tcW w:w="1382" w:type="dxa"/>
            <w:tcBorders>
              <w:top w:val="single" w:sz="4" w:space="0" w:color="auto"/>
              <w:left w:val="nil"/>
              <w:bottom w:val="single" w:sz="12" w:space="0" w:color="auto"/>
              <w:right w:val="nil"/>
            </w:tcBorders>
            <w:shd w:val="clear" w:color="auto" w:fill="auto"/>
            <w:vAlign w:val="bottom"/>
          </w:tcPr>
          <w:p w14:paraId="32EAB4FF" w14:textId="7DB6C347" w:rsidR="00203C24" w:rsidRPr="00AA20DA" w:rsidRDefault="00203C24" w:rsidP="00203C24">
            <w:pPr>
              <w:spacing w:after="0" w:line="240" w:lineRule="auto"/>
              <w:jc w:val="right"/>
              <w:rPr>
                <w:rFonts w:eastAsia="Times New Roman"/>
                <w:b/>
                <w:bCs/>
                <w:color w:val="000000"/>
                <w:sz w:val="20"/>
                <w:szCs w:val="20"/>
                <w:lang w:eastAsia="hr-HR"/>
              </w:rPr>
            </w:pPr>
            <w:r w:rsidRPr="00203C24">
              <w:rPr>
                <w:rFonts w:eastAsia="Times New Roman"/>
                <w:b/>
                <w:bCs/>
                <w:color w:val="000000"/>
                <w:sz w:val="20"/>
                <w:szCs w:val="20"/>
                <w:lang w:eastAsia="hr-HR"/>
              </w:rPr>
              <w:t xml:space="preserve">12,247,287 </w:t>
            </w:r>
          </w:p>
        </w:tc>
        <w:tc>
          <w:tcPr>
            <w:tcW w:w="1382" w:type="dxa"/>
            <w:tcBorders>
              <w:top w:val="single" w:sz="4" w:space="0" w:color="auto"/>
              <w:left w:val="nil"/>
              <w:bottom w:val="single" w:sz="12" w:space="0" w:color="auto"/>
              <w:right w:val="nil"/>
            </w:tcBorders>
            <w:shd w:val="clear" w:color="auto" w:fill="auto"/>
            <w:vAlign w:val="bottom"/>
          </w:tcPr>
          <w:p w14:paraId="712E77C5" w14:textId="77777777" w:rsidR="00203C24" w:rsidRPr="00AA20DA" w:rsidRDefault="00203C24" w:rsidP="00203C24">
            <w:pPr>
              <w:spacing w:after="0" w:line="240" w:lineRule="auto"/>
              <w:jc w:val="right"/>
              <w:rPr>
                <w:rFonts w:eastAsia="Times New Roman"/>
                <w:b/>
                <w:bCs/>
                <w:color w:val="000000"/>
                <w:sz w:val="20"/>
                <w:szCs w:val="20"/>
                <w:lang w:eastAsia="hr-HR"/>
              </w:rPr>
            </w:pPr>
            <w:r w:rsidRPr="00AA20DA">
              <w:rPr>
                <w:rFonts w:eastAsia="Times New Roman"/>
                <w:b/>
                <w:bCs/>
                <w:color w:val="000000"/>
                <w:sz w:val="20"/>
                <w:szCs w:val="20"/>
                <w:lang w:eastAsia="hr-HR"/>
              </w:rPr>
              <w:t>11,889,111</w:t>
            </w:r>
          </w:p>
        </w:tc>
      </w:tr>
    </w:tbl>
    <w:p w14:paraId="3C6C4601" w14:textId="77777777" w:rsidR="008D05FD" w:rsidRDefault="008D05FD" w:rsidP="00BA3F2A">
      <w:pPr>
        <w:keepNext/>
        <w:spacing w:after="0" w:line="240" w:lineRule="auto"/>
        <w:jc w:val="both"/>
        <w:rPr>
          <w:rFonts w:eastAsia="Times New Roman" w:cs="Arial"/>
          <w:sz w:val="21"/>
          <w:szCs w:val="21"/>
        </w:rPr>
      </w:pPr>
    </w:p>
    <w:p w14:paraId="20C65AA6" w14:textId="0FE4125F" w:rsidR="009702B0" w:rsidRPr="00166751" w:rsidRDefault="009702B0" w:rsidP="00BA3F2A">
      <w:pPr>
        <w:keepNext/>
        <w:spacing w:after="0" w:line="240" w:lineRule="auto"/>
        <w:jc w:val="both"/>
        <w:rPr>
          <w:rFonts w:eastAsia="Times New Roman" w:cs="Arial"/>
        </w:rPr>
      </w:pPr>
      <w:r w:rsidRPr="00166751">
        <w:rPr>
          <w:rFonts w:eastAsia="Times New Roman" w:cs="Arial"/>
        </w:rPr>
        <w:t xml:space="preserve">Average interest rates for total loans to financial institutions, at year level, are stated at </w:t>
      </w:r>
      <w:r w:rsidR="00AB5264">
        <w:rPr>
          <w:rFonts w:eastAsia="Times New Roman" w:cs="Arial"/>
        </w:rPr>
        <w:t>0.91</w:t>
      </w:r>
      <w:r w:rsidRPr="00166751">
        <w:rPr>
          <w:rFonts w:eastAsia="Times New Roman" w:cs="Arial"/>
        </w:rPr>
        <w:t>% (</w:t>
      </w:r>
      <w:r w:rsidRPr="00166751">
        <w:rPr>
          <w:rFonts w:eastAsia="Times New Roman" w:cs="Arial"/>
          <w:bCs/>
        </w:rPr>
        <w:t xml:space="preserve">1 January to </w:t>
      </w:r>
      <w:r w:rsidR="00861F3F" w:rsidRPr="00861F3F">
        <w:rPr>
          <w:rFonts w:eastAsia="Times New Roman" w:cs="Arial"/>
          <w:bCs/>
        </w:rPr>
        <w:t xml:space="preserve">30 </w:t>
      </w:r>
      <w:r w:rsidR="0098293C">
        <w:rPr>
          <w:rFonts w:eastAsia="Times New Roman" w:cs="Arial"/>
          <w:bCs/>
        </w:rPr>
        <w:t>September</w:t>
      </w:r>
      <w:r w:rsidR="0098293C" w:rsidRPr="00861F3F">
        <w:rPr>
          <w:rFonts w:eastAsia="Times New Roman" w:cs="Arial"/>
          <w:bCs/>
        </w:rPr>
        <w:t xml:space="preserve"> </w:t>
      </w:r>
      <w:r w:rsidR="00AA20DA" w:rsidRPr="00166751">
        <w:rPr>
          <w:rFonts w:eastAsia="Times New Roman" w:cs="Arial"/>
          <w:bCs/>
        </w:rPr>
        <w:t>2016</w:t>
      </w:r>
      <w:r w:rsidRPr="00166751">
        <w:rPr>
          <w:rFonts w:eastAsia="Times New Roman" w:cs="Arial"/>
          <w:bCs/>
        </w:rPr>
        <w:t xml:space="preserve">: </w:t>
      </w:r>
      <w:r w:rsidRPr="00166751">
        <w:rPr>
          <w:rFonts w:eastAsia="Times New Roman" w:cs="Arial"/>
        </w:rPr>
        <w:t>1.</w:t>
      </w:r>
      <w:r w:rsidR="0098293C" w:rsidRPr="00166751">
        <w:rPr>
          <w:rFonts w:eastAsia="Times New Roman" w:cs="Arial"/>
        </w:rPr>
        <w:t>1</w:t>
      </w:r>
      <w:r w:rsidR="0098293C">
        <w:rPr>
          <w:rFonts w:eastAsia="Times New Roman" w:cs="Arial"/>
        </w:rPr>
        <w:t>0</w:t>
      </w:r>
      <w:r w:rsidRPr="00166751">
        <w:rPr>
          <w:rFonts w:eastAsia="Times New Roman" w:cs="Arial"/>
        </w:rPr>
        <w:t xml:space="preserve">%) and </w:t>
      </w:r>
      <w:r w:rsidR="002A2C96">
        <w:rPr>
          <w:rFonts w:eastAsia="Times New Roman" w:cs="Arial"/>
        </w:rPr>
        <w:t xml:space="preserve">are equal to average interest rates </w:t>
      </w:r>
      <w:r w:rsidRPr="00166751">
        <w:rPr>
          <w:rFonts w:eastAsia="Times New Roman" w:cs="Arial"/>
        </w:rPr>
        <w:t>for loans under HBOR loan programmes excluding the liquidity reserve).</w:t>
      </w:r>
    </w:p>
    <w:p w14:paraId="74905450" w14:textId="77777777" w:rsidR="008D05FD" w:rsidRPr="00166751" w:rsidRDefault="008D05FD" w:rsidP="00BA3F2A">
      <w:pPr>
        <w:keepNext/>
        <w:spacing w:after="0" w:line="240" w:lineRule="auto"/>
        <w:jc w:val="both"/>
        <w:rPr>
          <w:rFonts w:eastAsia="Times New Roman" w:cs="Arial"/>
        </w:rPr>
      </w:pPr>
    </w:p>
    <w:p w14:paraId="5FFF823D" w14:textId="77777777" w:rsidR="009702B0" w:rsidRPr="00166751" w:rsidRDefault="009702B0" w:rsidP="00BA3F2A">
      <w:pPr>
        <w:keepNext/>
        <w:spacing w:after="0" w:line="240" w:lineRule="auto"/>
        <w:jc w:val="both"/>
        <w:rPr>
          <w:rFonts w:eastAsia="Times New Roman" w:cs="Arial"/>
        </w:rPr>
      </w:pPr>
      <w:r w:rsidRPr="00166751">
        <w:rPr>
          <w:rFonts w:eastAsia="Times New Roman" w:cs="Arial"/>
        </w:rPr>
        <w:t>Average interest rates reflect the ratio of interest income generated from the mentioned placements and average assets.</w:t>
      </w:r>
    </w:p>
    <w:p w14:paraId="68343DB1" w14:textId="77777777" w:rsidR="008D05FD" w:rsidRPr="00166751" w:rsidRDefault="008D05FD" w:rsidP="00BA3F2A">
      <w:pPr>
        <w:keepNext/>
        <w:spacing w:after="0" w:line="240" w:lineRule="auto"/>
        <w:jc w:val="both"/>
        <w:rPr>
          <w:rFonts w:eastAsia="Times New Roman" w:cs="Arial"/>
        </w:rPr>
      </w:pPr>
    </w:p>
    <w:p w14:paraId="372F9FD8" w14:textId="7DE043F4" w:rsidR="009702B0" w:rsidRPr="00166751" w:rsidRDefault="009702B0" w:rsidP="00BA3F2A">
      <w:pPr>
        <w:keepNext/>
        <w:spacing w:after="0" w:line="240" w:lineRule="auto"/>
        <w:jc w:val="both"/>
        <w:rPr>
          <w:rFonts w:eastAsia="Times New Roman"/>
          <w:bCs/>
        </w:rPr>
      </w:pPr>
      <w:r w:rsidRPr="00166751">
        <w:rPr>
          <w:rFonts w:eastAsia="Times New Roman" w:cs="Arial"/>
        </w:rPr>
        <w:t>Item „Other</w:t>
      </w:r>
      <w:proofErr w:type="gramStart"/>
      <w:r w:rsidRPr="00166751">
        <w:rPr>
          <w:rFonts w:eastAsia="Times New Roman" w:cs="Arial"/>
        </w:rPr>
        <w:t>“ refers</w:t>
      </w:r>
      <w:proofErr w:type="gramEnd"/>
      <w:r w:rsidRPr="00166751">
        <w:rPr>
          <w:rFonts w:eastAsia="Times New Roman" w:cs="Arial"/>
        </w:rPr>
        <w:t xml:space="preserve"> to reverse REPO agreements in the total amount of HRK </w:t>
      </w:r>
      <w:r w:rsidR="00AB5264" w:rsidRPr="00AB5264">
        <w:rPr>
          <w:rFonts w:eastAsia="Times New Roman" w:cs="Arial"/>
        </w:rPr>
        <w:t xml:space="preserve">1,312,480 </w:t>
      </w:r>
      <w:r w:rsidRPr="00166751">
        <w:rPr>
          <w:rFonts w:eastAsia="Times New Roman" w:cs="Arial"/>
        </w:rPr>
        <w:t>thousand (31 December 201</w:t>
      </w:r>
      <w:r w:rsidR="00AA20DA" w:rsidRPr="00166751">
        <w:rPr>
          <w:rFonts w:eastAsia="Times New Roman" w:cs="Arial"/>
        </w:rPr>
        <w:t>6</w:t>
      </w:r>
      <w:r w:rsidRPr="00166751">
        <w:rPr>
          <w:rFonts w:eastAsia="Times New Roman" w:cs="Arial"/>
        </w:rPr>
        <w:t xml:space="preserve">: HRK </w:t>
      </w:r>
      <w:r w:rsidR="00AA20DA" w:rsidRPr="00166751">
        <w:rPr>
          <w:rFonts w:eastAsia="Times New Roman" w:cs="Arial"/>
        </w:rPr>
        <w:t>232,489</w:t>
      </w:r>
      <w:r w:rsidRPr="00166751">
        <w:rPr>
          <w:rFonts w:eastAsia="Times New Roman" w:cs="Arial"/>
        </w:rPr>
        <w:t xml:space="preserve"> thousand). The above placements are collateralised by securities in the amount of HRK</w:t>
      </w:r>
      <w:r w:rsidRPr="00166751">
        <w:rPr>
          <w:rFonts w:eastAsia="Times New Roman"/>
          <w:bCs/>
        </w:rPr>
        <w:t xml:space="preserve"> </w:t>
      </w:r>
      <w:r w:rsidR="00AB5264" w:rsidRPr="00AB5264">
        <w:rPr>
          <w:rFonts w:eastAsia="Times New Roman"/>
          <w:bCs/>
        </w:rPr>
        <w:t xml:space="preserve">1,403,847 </w:t>
      </w:r>
      <w:r w:rsidRPr="00166751">
        <w:rPr>
          <w:rFonts w:eastAsia="Times New Roman"/>
          <w:bCs/>
        </w:rPr>
        <w:t>thousand (31 December 201</w:t>
      </w:r>
      <w:r w:rsidR="00AA20DA" w:rsidRPr="00166751">
        <w:rPr>
          <w:rFonts w:eastAsia="Times New Roman"/>
          <w:bCs/>
        </w:rPr>
        <w:t>6</w:t>
      </w:r>
      <w:r w:rsidRPr="00166751">
        <w:rPr>
          <w:rFonts w:eastAsia="Times New Roman"/>
          <w:bCs/>
        </w:rPr>
        <w:t xml:space="preserve">: HRK </w:t>
      </w:r>
      <w:r w:rsidR="00AA20DA" w:rsidRPr="00166751">
        <w:rPr>
          <w:rFonts w:eastAsia="Times New Roman"/>
          <w:bCs/>
        </w:rPr>
        <w:t>247,026</w:t>
      </w:r>
      <w:r w:rsidRPr="00166751">
        <w:rPr>
          <w:rFonts w:eastAsia="Times New Roman"/>
          <w:bCs/>
        </w:rPr>
        <w:t xml:space="preserve"> thousand).</w:t>
      </w:r>
    </w:p>
    <w:p w14:paraId="3913F491" w14:textId="77777777" w:rsidR="008D05FD" w:rsidRPr="00166751" w:rsidRDefault="008D05FD" w:rsidP="00BA3F2A">
      <w:pPr>
        <w:keepNext/>
        <w:spacing w:after="0" w:line="240" w:lineRule="auto"/>
        <w:jc w:val="both"/>
        <w:rPr>
          <w:rFonts w:eastAsia="Times New Roman"/>
          <w:bCs/>
        </w:rPr>
      </w:pPr>
    </w:p>
    <w:p w14:paraId="4D9A2303" w14:textId="06629EED" w:rsidR="009702B0" w:rsidRPr="00166751" w:rsidRDefault="009702B0" w:rsidP="00BA3F2A">
      <w:pPr>
        <w:tabs>
          <w:tab w:val="left" w:pos="-720"/>
        </w:tabs>
        <w:suppressAutoHyphens/>
        <w:spacing w:after="0" w:line="240" w:lineRule="auto"/>
        <w:jc w:val="both"/>
        <w:rPr>
          <w:rFonts w:cs="Arial"/>
        </w:rPr>
      </w:pPr>
      <w:r w:rsidRPr="00166751">
        <w:t xml:space="preserve">In the reporting period, provisions for loans to financial institutions in the amount of HRK </w:t>
      </w:r>
      <w:r w:rsidR="00AB5264" w:rsidRPr="00AB5264">
        <w:t xml:space="preserve">13,869 </w:t>
      </w:r>
      <w:r w:rsidRPr="00166751">
        <w:t xml:space="preserve">thousand were charged and provisions in the amount of HRK </w:t>
      </w:r>
      <w:r w:rsidR="00AB5264" w:rsidRPr="00AB5264">
        <w:t xml:space="preserve">111,948 </w:t>
      </w:r>
      <w:r w:rsidRPr="00166751">
        <w:t>thousand were reversed.</w:t>
      </w:r>
    </w:p>
    <w:p w14:paraId="2D3DF6BE" w14:textId="77777777" w:rsidR="009702B0" w:rsidRPr="009702B0" w:rsidRDefault="009702B0" w:rsidP="00BA3F2A">
      <w:pPr>
        <w:tabs>
          <w:tab w:val="left" w:pos="-720"/>
        </w:tabs>
        <w:suppressAutoHyphens/>
        <w:spacing w:after="0" w:line="240" w:lineRule="auto"/>
        <w:jc w:val="both"/>
        <w:rPr>
          <w:rFonts w:cs="Arial"/>
          <w:sz w:val="21"/>
          <w:szCs w:val="21"/>
        </w:rPr>
        <w:sectPr w:rsidR="009702B0" w:rsidRPr="009702B0" w:rsidSect="00947CB7">
          <w:footerReference w:type="first" r:id="rId62"/>
          <w:pgSz w:w="11906" w:h="16838" w:code="9"/>
          <w:pgMar w:top="1418" w:right="1418" w:bottom="595" w:left="1134" w:header="709" w:footer="709" w:gutter="0"/>
          <w:cols w:space="708"/>
          <w:titlePg/>
          <w:docGrid w:linePitch="360"/>
        </w:sectPr>
      </w:pPr>
    </w:p>
    <w:p w14:paraId="3D2FA9E5" w14:textId="77777777" w:rsidR="009702B0" w:rsidRPr="009702B0" w:rsidRDefault="009702B0" w:rsidP="009702B0">
      <w:pPr>
        <w:keepNext/>
        <w:spacing w:after="0" w:line="240" w:lineRule="auto"/>
        <w:jc w:val="both"/>
        <w:rPr>
          <w:rFonts w:eastAsia="Times New Roman"/>
          <w:bCs/>
        </w:rPr>
      </w:pPr>
    </w:p>
    <w:p w14:paraId="68958BFB" w14:textId="77777777" w:rsidR="009702B0" w:rsidRPr="009702B0" w:rsidRDefault="009702B0" w:rsidP="009702B0">
      <w:pPr>
        <w:tabs>
          <w:tab w:val="left" w:pos="-720"/>
          <w:tab w:val="left" w:pos="567"/>
        </w:tabs>
        <w:spacing w:after="0" w:line="240" w:lineRule="auto"/>
        <w:jc w:val="both"/>
        <w:rPr>
          <w:rFonts w:eastAsia="Times New Roman" w:cs="Calibri"/>
          <w:b/>
          <w:lang w:eastAsia="hr-HR"/>
        </w:rPr>
      </w:pPr>
      <w:r w:rsidRPr="009702B0">
        <w:rPr>
          <w:rFonts w:eastAsia="Times New Roman" w:cs="Calibri"/>
          <w:b/>
          <w:lang w:eastAsia="hr-HR"/>
        </w:rPr>
        <w:t xml:space="preserve">10. </w:t>
      </w:r>
      <w:r w:rsidRPr="009702B0">
        <w:rPr>
          <w:rFonts w:eastAsia="Times New Roman" w:cs="Calibri"/>
          <w:b/>
          <w:lang w:eastAsia="hr-HR"/>
        </w:rPr>
        <w:tab/>
        <w:t>Loans to other customers</w:t>
      </w:r>
    </w:p>
    <w:tbl>
      <w:tblPr>
        <w:tblW w:w="5000" w:type="pct"/>
        <w:tblLayout w:type="fixed"/>
        <w:tblCellMar>
          <w:left w:w="119" w:type="dxa"/>
          <w:right w:w="119" w:type="dxa"/>
        </w:tblCellMar>
        <w:tblLook w:val="0000" w:firstRow="0" w:lastRow="0" w:firstColumn="0" w:lastColumn="0" w:noHBand="0" w:noVBand="0"/>
      </w:tblPr>
      <w:tblGrid>
        <w:gridCol w:w="3825"/>
        <w:gridCol w:w="1379"/>
        <w:gridCol w:w="1379"/>
        <w:gridCol w:w="1379"/>
        <w:gridCol w:w="1392"/>
      </w:tblGrid>
      <w:tr w:rsidR="009702B0" w:rsidRPr="009702B0" w14:paraId="0E74AF4F" w14:textId="77777777" w:rsidTr="00BA3F2A">
        <w:trPr>
          <w:trHeight w:hRule="exact" w:val="247"/>
        </w:trPr>
        <w:tc>
          <w:tcPr>
            <w:tcW w:w="2045" w:type="pct"/>
            <w:vAlign w:val="center"/>
          </w:tcPr>
          <w:p w14:paraId="4C281B90" w14:textId="77777777" w:rsidR="009702B0" w:rsidRPr="009702B0" w:rsidRDefault="009702B0" w:rsidP="009702B0">
            <w:pPr>
              <w:tabs>
                <w:tab w:val="left" w:pos="-720"/>
              </w:tabs>
              <w:suppressAutoHyphens/>
              <w:spacing w:after="0" w:line="200" w:lineRule="exact"/>
              <w:jc w:val="right"/>
              <w:rPr>
                <w:rFonts w:eastAsia="Times New Roman" w:cs="Arial"/>
                <w:spacing w:val="-2"/>
                <w:sz w:val="20"/>
                <w:szCs w:val="20"/>
              </w:rPr>
            </w:pPr>
          </w:p>
        </w:tc>
        <w:tc>
          <w:tcPr>
            <w:tcW w:w="1474" w:type="pct"/>
            <w:gridSpan w:val="2"/>
            <w:vAlign w:val="center"/>
          </w:tcPr>
          <w:p w14:paraId="39B6350F" w14:textId="77777777" w:rsidR="009702B0" w:rsidRPr="009702B0" w:rsidRDefault="009702B0" w:rsidP="009702B0">
            <w:pPr>
              <w:tabs>
                <w:tab w:val="right" w:pos="1202"/>
              </w:tabs>
              <w:spacing w:after="0" w:line="200" w:lineRule="exact"/>
              <w:jc w:val="right"/>
              <w:outlineLvl w:val="0"/>
              <w:rPr>
                <w:rFonts w:eastAsia="Times New Roman" w:cs="Arial"/>
                <w:b/>
                <w:sz w:val="20"/>
                <w:szCs w:val="20"/>
              </w:rPr>
            </w:pPr>
            <w:r w:rsidRPr="009702B0">
              <w:rPr>
                <w:rFonts w:eastAsia="Times New Roman" w:cs="Arial"/>
                <w:b/>
                <w:sz w:val="20"/>
                <w:szCs w:val="20"/>
              </w:rPr>
              <w:t>Group</w:t>
            </w:r>
          </w:p>
        </w:tc>
        <w:tc>
          <w:tcPr>
            <w:tcW w:w="1481" w:type="pct"/>
            <w:gridSpan w:val="2"/>
            <w:vAlign w:val="center"/>
          </w:tcPr>
          <w:p w14:paraId="1E1E60CF" w14:textId="77777777" w:rsidR="009702B0" w:rsidRPr="009702B0" w:rsidRDefault="009702B0" w:rsidP="009702B0">
            <w:pPr>
              <w:tabs>
                <w:tab w:val="right" w:pos="1202"/>
              </w:tabs>
              <w:spacing w:after="0" w:line="200" w:lineRule="exact"/>
              <w:jc w:val="right"/>
              <w:outlineLvl w:val="0"/>
              <w:rPr>
                <w:rFonts w:eastAsia="Times New Roman" w:cs="Arial"/>
                <w:b/>
                <w:sz w:val="20"/>
                <w:szCs w:val="20"/>
              </w:rPr>
            </w:pPr>
            <w:r w:rsidRPr="009702B0">
              <w:rPr>
                <w:rFonts w:eastAsia="Times New Roman" w:cs="Arial"/>
                <w:b/>
                <w:sz w:val="20"/>
                <w:szCs w:val="20"/>
              </w:rPr>
              <w:t>Bank</w:t>
            </w:r>
          </w:p>
        </w:tc>
      </w:tr>
      <w:tr w:rsidR="00AA20DA" w:rsidRPr="009702B0" w14:paraId="319E2FCA" w14:textId="77777777" w:rsidTr="00BA3F2A">
        <w:trPr>
          <w:trHeight w:hRule="exact" w:val="323"/>
        </w:trPr>
        <w:tc>
          <w:tcPr>
            <w:tcW w:w="2045" w:type="pct"/>
            <w:vAlign w:val="center"/>
          </w:tcPr>
          <w:p w14:paraId="2D760F77" w14:textId="77777777" w:rsidR="00AA20DA" w:rsidRPr="009702B0" w:rsidRDefault="00AA20DA" w:rsidP="00AA20DA">
            <w:pPr>
              <w:tabs>
                <w:tab w:val="left" w:pos="-720"/>
              </w:tabs>
              <w:suppressAutoHyphens/>
              <w:spacing w:after="0" w:line="200" w:lineRule="exact"/>
              <w:jc w:val="right"/>
              <w:rPr>
                <w:rFonts w:eastAsia="Times New Roman" w:cs="Arial"/>
                <w:spacing w:val="-2"/>
                <w:sz w:val="20"/>
                <w:szCs w:val="20"/>
              </w:rPr>
            </w:pPr>
          </w:p>
        </w:tc>
        <w:tc>
          <w:tcPr>
            <w:tcW w:w="737" w:type="pct"/>
            <w:vAlign w:val="center"/>
          </w:tcPr>
          <w:p w14:paraId="253C10B0" w14:textId="10779928" w:rsidR="00AA20DA" w:rsidRPr="00BD634B" w:rsidRDefault="009A0DF2" w:rsidP="00AA20DA">
            <w:pPr>
              <w:spacing w:after="0" w:line="280" w:lineRule="exact"/>
              <w:jc w:val="right"/>
              <w:outlineLvl w:val="0"/>
              <w:rPr>
                <w:rFonts w:eastAsia="Times New Roman" w:cs="Arial"/>
                <w:b/>
                <w:bCs/>
                <w:sz w:val="20"/>
                <w:szCs w:val="20"/>
              </w:rPr>
            </w:pPr>
            <w:r>
              <w:rPr>
                <w:rFonts w:eastAsia="Times New Roman" w:cs="Arial"/>
                <w:b/>
                <w:bCs/>
                <w:sz w:val="20"/>
                <w:szCs w:val="20"/>
              </w:rPr>
              <w:t>Sep</w:t>
            </w:r>
            <w:r w:rsidRPr="006F5561">
              <w:rPr>
                <w:rFonts w:eastAsia="Times New Roman" w:cs="Arial"/>
                <w:b/>
                <w:bCs/>
                <w:sz w:val="20"/>
                <w:szCs w:val="20"/>
              </w:rPr>
              <w:t xml:space="preserve"> </w:t>
            </w:r>
            <w:r w:rsidR="006F5561" w:rsidRPr="006F5561">
              <w:rPr>
                <w:rFonts w:eastAsia="Times New Roman" w:cs="Arial"/>
                <w:b/>
                <w:bCs/>
                <w:sz w:val="20"/>
                <w:szCs w:val="20"/>
              </w:rPr>
              <w:t>30</w:t>
            </w:r>
            <w:r w:rsidR="00AA20DA" w:rsidRPr="00BD634B">
              <w:rPr>
                <w:rFonts w:eastAsia="Times New Roman" w:cs="Arial"/>
                <w:b/>
                <w:bCs/>
                <w:sz w:val="20"/>
                <w:szCs w:val="20"/>
              </w:rPr>
              <w:t>, 201</w:t>
            </w:r>
            <w:r w:rsidR="00AA20DA" w:rsidRPr="00AA20DA">
              <w:rPr>
                <w:rFonts w:eastAsia="Times New Roman" w:cs="Arial"/>
                <w:b/>
                <w:bCs/>
                <w:sz w:val="20"/>
                <w:szCs w:val="20"/>
              </w:rPr>
              <w:t>7</w:t>
            </w:r>
          </w:p>
        </w:tc>
        <w:tc>
          <w:tcPr>
            <w:tcW w:w="737" w:type="pct"/>
            <w:vAlign w:val="center"/>
          </w:tcPr>
          <w:p w14:paraId="0C58FC38" w14:textId="77777777" w:rsidR="00AA20DA" w:rsidRPr="00AA20DA" w:rsidRDefault="00AA20DA" w:rsidP="00AA20DA">
            <w:pPr>
              <w:spacing w:after="0" w:line="280" w:lineRule="exact"/>
              <w:jc w:val="right"/>
              <w:outlineLvl w:val="0"/>
              <w:rPr>
                <w:rFonts w:eastAsia="Times New Roman" w:cs="Arial"/>
                <w:b/>
                <w:bCs/>
                <w:sz w:val="20"/>
                <w:szCs w:val="20"/>
              </w:rPr>
            </w:pPr>
            <w:r w:rsidRPr="00AA20DA">
              <w:rPr>
                <w:rFonts w:eastAsia="Times New Roman" w:cs="Arial"/>
                <w:b/>
                <w:bCs/>
                <w:sz w:val="20"/>
                <w:szCs w:val="20"/>
              </w:rPr>
              <w:t>Dec 31, 2016</w:t>
            </w:r>
          </w:p>
        </w:tc>
        <w:tc>
          <w:tcPr>
            <w:tcW w:w="737" w:type="pct"/>
            <w:vAlign w:val="center"/>
          </w:tcPr>
          <w:p w14:paraId="4CD0A05F" w14:textId="573B49B4" w:rsidR="00AA20DA" w:rsidRPr="00BD634B" w:rsidRDefault="009A0DF2" w:rsidP="00AA20DA">
            <w:pPr>
              <w:spacing w:after="0" w:line="280" w:lineRule="exact"/>
              <w:jc w:val="right"/>
              <w:outlineLvl w:val="0"/>
              <w:rPr>
                <w:rFonts w:eastAsia="Times New Roman" w:cs="Arial"/>
                <w:b/>
                <w:bCs/>
                <w:sz w:val="20"/>
                <w:szCs w:val="20"/>
              </w:rPr>
            </w:pPr>
            <w:r>
              <w:rPr>
                <w:rFonts w:eastAsia="Times New Roman" w:cs="Arial"/>
                <w:b/>
                <w:bCs/>
                <w:sz w:val="20"/>
                <w:szCs w:val="20"/>
              </w:rPr>
              <w:t>Sep</w:t>
            </w:r>
            <w:r w:rsidRPr="006F5561">
              <w:rPr>
                <w:rFonts w:eastAsia="Times New Roman" w:cs="Arial"/>
                <w:b/>
                <w:bCs/>
                <w:sz w:val="20"/>
                <w:szCs w:val="20"/>
              </w:rPr>
              <w:t xml:space="preserve"> </w:t>
            </w:r>
            <w:r w:rsidR="006F5561" w:rsidRPr="006F5561">
              <w:rPr>
                <w:rFonts w:eastAsia="Times New Roman" w:cs="Arial"/>
                <w:b/>
                <w:bCs/>
                <w:sz w:val="20"/>
                <w:szCs w:val="20"/>
              </w:rPr>
              <w:t>30</w:t>
            </w:r>
            <w:r w:rsidR="00AA20DA" w:rsidRPr="00BD634B">
              <w:rPr>
                <w:rFonts w:eastAsia="Times New Roman" w:cs="Arial"/>
                <w:b/>
                <w:bCs/>
                <w:sz w:val="20"/>
                <w:szCs w:val="20"/>
              </w:rPr>
              <w:t>, 201</w:t>
            </w:r>
            <w:r w:rsidR="00AA20DA" w:rsidRPr="00AA20DA">
              <w:rPr>
                <w:rFonts w:eastAsia="Times New Roman" w:cs="Arial"/>
                <w:b/>
                <w:bCs/>
                <w:sz w:val="20"/>
                <w:szCs w:val="20"/>
              </w:rPr>
              <w:t>7</w:t>
            </w:r>
          </w:p>
        </w:tc>
        <w:tc>
          <w:tcPr>
            <w:tcW w:w="744" w:type="pct"/>
            <w:vAlign w:val="center"/>
          </w:tcPr>
          <w:p w14:paraId="7AA546E8" w14:textId="77777777" w:rsidR="00AA20DA" w:rsidRPr="00AA20DA" w:rsidRDefault="00AA20DA" w:rsidP="00AA20DA">
            <w:pPr>
              <w:spacing w:after="0" w:line="280" w:lineRule="exact"/>
              <w:jc w:val="right"/>
              <w:outlineLvl w:val="0"/>
              <w:rPr>
                <w:rFonts w:eastAsia="Times New Roman" w:cs="Arial"/>
                <w:b/>
                <w:bCs/>
                <w:sz w:val="20"/>
                <w:szCs w:val="20"/>
              </w:rPr>
            </w:pPr>
            <w:r w:rsidRPr="00AA20DA">
              <w:rPr>
                <w:rFonts w:eastAsia="Times New Roman" w:cs="Arial"/>
                <w:b/>
                <w:bCs/>
                <w:sz w:val="20"/>
                <w:szCs w:val="20"/>
              </w:rPr>
              <w:t>Dec 31, 2016</w:t>
            </w:r>
          </w:p>
        </w:tc>
      </w:tr>
      <w:tr w:rsidR="001249A2" w:rsidRPr="009702B0" w14:paraId="1131F3B4" w14:textId="77777777" w:rsidTr="006B318F">
        <w:trPr>
          <w:trHeight w:hRule="exact" w:val="255"/>
        </w:trPr>
        <w:tc>
          <w:tcPr>
            <w:tcW w:w="2045" w:type="pct"/>
            <w:vAlign w:val="bottom"/>
          </w:tcPr>
          <w:p w14:paraId="1C9C1574" w14:textId="77777777" w:rsidR="001249A2" w:rsidRPr="009702B0" w:rsidRDefault="001249A2" w:rsidP="001249A2">
            <w:pPr>
              <w:tabs>
                <w:tab w:val="right" w:pos="1202"/>
              </w:tabs>
              <w:spacing w:after="0" w:line="200" w:lineRule="exact"/>
              <w:outlineLvl w:val="0"/>
              <w:rPr>
                <w:rFonts w:eastAsia="Times New Roman" w:cs="Arial"/>
                <w:sz w:val="20"/>
                <w:szCs w:val="20"/>
              </w:rPr>
            </w:pPr>
            <w:r w:rsidRPr="009702B0">
              <w:rPr>
                <w:rFonts w:eastAsia="Times New Roman" w:cs="Arial"/>
                <w:sz w:val="20"/>
                <w:szCs w:val="20"/>
              </w:rPr>
              <w:t>Domestic companies</w:t>
            </w:r>
          </w:p>
        </w:tc>
        <w:tc>
          <w:tcPr>
            <w:tcW w:w="737" w:type="pct"/>
            <w:tcBorders>
              <w:top w:val="nil"/>
              <w:left w:val="nil"/>
              <w:bottom w:val="nil"/>
              <w:right w:val="nil"/>
            </w:tcBorders>
            <w:shd w:val="clear" w:color="auto" w:fill="auto"/>
            <w:vAlign w:val="bottom"/>
          </w:tcPr>
          <w:p w14:paraId="2AEFB80B" w14:textId="1B1F9291" w:rsidR="001249A2" w:rsidRPr="006B318F" w:rsidRDefault="001249A2" w:rsidP="001249A2">
            <w:pPr>
              <w:tabs>
                <w:tab w:val="right" w:pos="1202"/>
              </w:tabs>
              <w:spacing w:after="0" w:line="200" w:lineRule="exact"/>
              <w:jc w:val="right"/>
              <w:outlineLvl w:val="0"/>
              <w:rPr>
                <w:color w:val="000000"/>
                <w:sz w:val="20"/>
                <w:szCs w:val="20"/>
              </w:rPr>
            </w:pPr>
            <w:r w:rsidRPr="006B318F">
              <w:rPr>
                <w:color w:val="000000"/>
                <w:sz w:val="20"/>
                <w:szCs w:val="20"/>
              </w:rPr>
              <w:t>10,759,127</w:t>
            </w:r>
          </w:p>
        </w:tc>
        <w:tc>
          <w:tcPr>
            <w:tcW w:w="737" w:type="pct"/>
            <w:tcBorders>
              <w:top w:val="nil"/>
              <w:left w:val="nil"/>
              <w:bottom w:val="nil"/>
              <w:right w:val="nil"/>
            </w:tcBorders>
            <w:shd w:val="clear" w:color="auto" w:fill="auto"/>
            <w:vAlign w:val="bottom"/>
          </w:tcPr>
          <w:p w14:paraId="49743A9D" w14:textId="77777777" w:rsidR="001249A2" w:rsidRPr="00166751" w:rsidRDefault="001249A2" w:rsidP="001249A2">
            <w:pPr>
              <w:tabs>
                <w:tab w:val="right" w:pos="1202"/>
              </w:tabs>
              <w:spacing w:after="0" w:line="200" w:lineRule="exact"/>
              <w:jc w:val="right"/>
              <w:outlineLvl w:val="0"/>
              <w:rPr>
                <w:color w:val="000000"/>
                <w:sz w:val="20"/>
                <w:szCs w:val="20"/>
              </w:rPr>
            </w:pPr>
            <w:r w:rsidRPr="00532810">
              <w:rPr>
                <w:color w:val="000000"/>
                <w:sz w:val="20"/>
                <w:szCs w:val="20"/>
              </w:rPr>
              <w:t>10</w:t>
            </w:r>
            <w:r>
              <w:rPr>
                <w:color w:val="000000"/>
                <w:sz w:val="20"/>
                <w:szCs w:val="20"/>
              </w:rPr>
              <w:t>,</w:t>
            </w:r>
            <w:r w:rsidRPr="00532810">
              <w:rPr>
                <w:color w:val="000000"/>
                <w:sz w:val="20"/>
                <w:szCs w:val="20"/>
              </w:rPr>
              <w:t>463</w:t>
            </w:r>
            <w:r>
              <w:rPr>
                <w:color w:val="000000"/>
                <w:sz w:val="20"/>
                <w:szCs w:val="20"/>
              </w:rPr>
              <w:t>,</w:t>
            </w:r>
            <w:r w:rsidRPr="00532810">
              <w:rPr>
                <w:color w:val="000000"/>
                <w:sz w:val="20"/>
                <w:szCs w:val="20"/>
              </w:rPr>
              <w:t>392</w:t>
            </w:r>
          </w:p>
        </w:tc>
        <w:tc>
          <w:tcPr>
            <w:tcW w:w="737" w:type="pct"/>
            <w:tcBorders>
              <w:top w:val="nil"/>
              <w:left w:val="nil"/>
              <w:bottom w:val="nil"/>
              <w:right w:val="nil"/>
            </w:tcBorders>
            <w:shd w:val="clear" w:color="auto" w:fill="auto"/>
            <w:vAlign w:val="bottom"/>
          </w:tcPr>
          <w:p w14:paraId="0AF970DB" w14:textId="4B2917C9" w:rsidR="001249A2" w:rsidRPr="00166751" w:rsidRDefault="001249A2" w:rsidP="001249A2">
            <w:pPr>
              <w:tabs>
                <w:tab w:val="right" w:pos="1202"/>
              </w:tabs>
              <w:spacing w:after="0" w:line="200" w:lineRule="exact"/>
              <w:jc w:val="right"/>
              <w:outlineLvl w:val="0"/>
              <w:rPr>
                <w:color w:val="000000"/>
                <w:sz w:val="20"/>
                <w:szCs w:val="20"/>
              </w:rPr>
            </w:pPr>
            <w:r w:rsidRPr="00FE65B6">
              <w:rPr>
                <w:color w:val="000000"/>
                <w:sz w:val="20"/>
                <w:szCs w:val="20"/>
              </w:rPr>
              <w:t>10,759,127</w:t>
            </w:r>
          </w:p>
        </w:tc>
        <w:tc>
          <w:tcPr>
            <w:tcW w:w="744" w:type="pct"/>
            <w:tcBorders>
              <w:top w:val="nil"/>
              <w:left w:val="nil"/>
              <w:bottom w:val="nil"/>
              <w:right w:val="nil"/>
            </w:tcBorders>
            <w:shd w:val="clear" w:color="auto" w:fill="auto"/>
            <w:vAlign w:val="bottom"/>
          </w:tcPr>
          <w:p w14:paraId="1E6B308A" w14:textId="77777777" w:rsidR="001249A2" w:rsidRPr="00166751" w:rsidRDefault="001249A2" w:rsidP="001249A2">
            <w:pPr>
              <w:tabs>
                <w:tab w:val="right" w:pos="1202"/>
              </w:tabs>
              <w:spacing w:after="0" w:line="200" w:lineRule="exact"/>
              <w:jc w:val="right"/>
              <w:outlineLvl w:val="0"/>
              <w:rPr>
                <w:color w:val="000000"/>
                <w:sz w:val="20"/>
                <w:szCs w:val="20"/>
              </w:rPr>
            </w:pPr>
            <w:r w:rsidRPr="00532810">
              <w:rPr>
                <w:color w:val="000000"/>
                <w:sz w:val="20"/>
                <w:szCs w:val="20"/>
              </w:rPr>
              <w:t>10</w:t>
            </w:r>
            <w:r>
              <w:rPr>
                <w:color w:val="000000"/>
                <w:sz w:val="20"/>
                <w:szCs w:val="20"/>
              </w:rPr>
              <w:t>,</w:t>
            </w:r>
            <w:r w:rsidRPr="00532810">
              <w:rPr>
                <w:color w:val="000000"/>
                <w:sz w:val="20"/>
                <w:szCs w:val="20"/>
              </w:rPr>
              <w:t>463</w:t>
            </w:r>
            <w:r>
              <w:rPr>
                <w:color w:val="000000"/>
                <w:sz w:val="20"/>
                <w:szCs w:val="20"/>
              </w:rPr>
              <w:t>,</w:t>
            </w:r>
            <w:r w:rsidRPr="00532810">
              <w:rPr>
                <w:color w:val="000000"/>
                <w:sz w:val="20"/>
                <w:szCs w:val="20"/>
              </w:rPr>
              <w:t>392</w:t>
            </w:r>
          </w:p>
        </w:tc>
      </w:tr>
      <w:tr w:rsidR="001249A2" w:rsidRPr="009702B0" w14:paraId="4BECC6C2" w14:textId="77777777" w:rsidTr="006B318F">
        <w:trPr>
          <w:trHeight w:hRule="exact" w:val="255"/>
        </w:trPr>
        <w:tc>
          <w:tcPr>
            <w:tcW w:w="2045" w:type="pct"/>
            <w:vAlign w:val="bottom"/>
          </w:tcPr>
          <w:p w14:paraId="445F0480" w14:textId="77777777" w:rsidR="001249A2" w:rsidRPr="009702B0" w:rsidRDefault="001249A2" w:rsidP="001249A2">
            <w:pPr>
              <w:tabs>
                <w:tab w:val="right" w:pos="1202"/>
              </w:tabs>
              <w:spacing w:after="0" w:line="200" w:lineRule="exact"/>
              <w:outlineLvl w:val="0"/>
              <w:rPr>
                <w:rFonts w:eastAsia="Times New Roman" w:cs="Arial"/>
                <w:spacing w:val="-3"/>
                <w:sz w:val="20"/>
                <w:szCs w:val="20"/>
              </w:rPr>
            </w:pPr>
            <w:r w:rsidRPr="009702B0">
              <w:rPr>
                <w:rFonts w:eastAsia="Times New Roman" w:cs="Arial"/>
                <w:sz w:val="20"/>
                <w:szCs w:val="20"/>
              </w:rPr>
              <w:t>State-owned companies</w:t>
            </w:r>
          </w:p>
        </w:tc>
        <w:tc>
          <w:tcPr>
            <w:tcW w:w="737" w:type="pct"/>
            <w:tcBorders>
              <w:top w:val="nil"/>
              <w:left w:val="nil"/>
              <w:bottom w:val="nil"/>
              <w:right w:val="nil"/>
            </w:tcBorders>
            <w:shd w:val="clear" w:color="auto" w:fill="auto"/>
            <w:vAlign w:val="bottom"/>
          </w:tcPr>
          <w:p w14:paraId="0C3C809D" w14:textId="0554F20C" w:rsidR="001249A2" w:rsidRPr="006B318F" w:rsidRDefault="001249A2" w:rsidP="001249A2">
            <w:pPr>
              <w:tabs>
                <w:tab w:val="right" w:pos="1202"/>
              </w:tabs>
              <w:spacing w:after="0" w:line="200" w:lineRule="exact"/>
              <w:jc w:val="right"/>
              <w:outlineLvl w:val="0"/>
              <w:rPr>
                <w:color w:val="000000"/>
                <w:sz w:val="20"/>
                <w:szCs w:val="20"/>
              </w:rPr>
            </w:pPr>
            <w:r w:rsidRPr="006B318F">
              <w:rPr>
                <w:color w:val="000000"/>
                <w:sz w:val="20"/>
                <w:szCs w:val="20"/>
              </w:rPr>
              <w:t>1,267,664</w:t>
            </w:r>
          </w:p>
        </w:tc>
        <w:tc>
          <w:tcPr>
            <w:tcW w:w="737" w:type="pct"/>
            <w:tcBorders>
              <w:top w:val="nil"/>
              <w:left w:val="nil"/>
              <w:bottom w:val="nil"/>
              <w:right w:val="nil"/>
            </w:tcBorders>
            <w:shd w:val="clear" w:color="auto" w:fill="auto"/>
            <w:vAlign w:val="bottom"/>
          </w:tcPr>
          <w:p w14:paraId="081EBFE9" w14:textId="77777777" w:rsidR="001249A2" w:rsidRPr="00532810" w:rsidRDefault="001249A2" w:rsidP="001249A2">
            <w:pPr>
              <w:spacing w:after="0" w:line="240" w:lineRule="auto"/>
              <w:jc w:val="right"/>
              <w:rPr>
                <w:rFonts w:eastAsia="Times New Roman"/>
                <w:color w:val="000000"/>
                <w:sz w:val="20"/>
                <w:szCs w:val="20"/>
                <w:lang w:eastAsia="hr-HR"/>
              </w:rPr>
            </w:pPr>
            <w:r w:rsidRPr="00532810">
              <w:rPr>
                <w:color w:val="000000"/>
                <w:sz w:val="20"/>
                <w:szCs w:val="20"/>
              </w:rPr>
              <w:t>1</w:t>
            </w:r>
            <w:r>
              <w:rPr>
                <w:color w:val="000000"/>
                <w:sz w:val="20"/>
                <w:szCs w:val="20"/>
              </w:rPr>
              <w:t>,</w:t>
            </w:r>
            <w:r w:rsidRPr="00532810">
              <w:rPr>
                <w:color w:val="000000"/>
                <w:sz w:val="20"/>
                <w:szCs w:val="20"/>
              </w:rPr>
              <w:t>183</w:t>
            </w:r>
            <w:r>
              <w:rPr>
                <w:color w:val="000000"/>
                <w:sz w:val="20"/>
                <w:szCs w:val="20"/>
              </w:rPr>
              <w:t>,</w:t>
            </w:r>
            <w:r w:rsidRPr="00532810">
              <w:rPr>
                <w:color w:val="000000"/>
                <w:sz w:val="20"/>
                <w:szCs w:val="20"/>
              </w:rPr>
              <w:t>103</w:t>
            </w:r>
          </w:p>
        </w:tc>
        <w:tc>
          <w:tcPr>
            <w:tcW w:w="737" w:type="pct"/>
            <w:tcBorders>
              <w:top w:val="nil"/>
              <w:left w:val="nil"/>
              <w:bottom w:val="nil"/>
              <w:right w:val="nil"/>
            </w:tcBorders>
            <w:shd w:val="clear" w:color="auto" w:fill="auto"/>
            <w:vAlign w:val="bottom"/>
          </w:tcPr>
          <w:p w14:paraId="1EB4FBF4" w14:textId="5DB52101" w:rsidR="001249A2" w:rsidRPr="00532810" w:rsidRDefault="001249A2" w:rsidP="001249A2">
            <w:pPr>
              <w:tabs>
                <w:tab w:val="right" w:pos="1202"/>
              </w:tabs>
              <w:spacing w:after="0" w:line="200" w:lineRule="exact"/>
              <w:jc w:val="right"/>
              <w:outlineLvl w:val="0"/>
              <w:rPr>
                <w:rFonts w:eastAsia="Times New Roman" w:cs="Arial"/>
                <w:sz w:val="20"/>
                <w:szCs w:val="20"/>
              </w:rPr>
            </w:pPr>
            <w:r w:rsidRPr="00FE65B6">
              <w:rPr>
                <w:color w:val="000000"/>
                <w:sz w:val="20"/>
                <w:szCs w:val="20"/>
              </w:rPr>
              <w:t>1,267,664</w:t>
            </w:r>
          </w:p>
        </w:tc>
        <w:tc>
          <w:tcPr>
            <w:tcW w:w="744" w:type="pct"/>
            <w:tcBorders>
              <w:top w:val="nil"/>
              <w:left w:val="nil"/>
              <w:bottom w:val="nil"/>
              <w:right w:val="nil"/>
            </w:tcBorders>
            <w:shd w:val="clear" w:color="auto" w:fill="auto"/>
            <w:vAlign w:val="bottom"/>
          </w:tcPr>
          <w:p w14:paraId="20327CDC" w14:textId="77777777" w:rsidR="001249A2" w:rsidRPr="00532810" w:rsidRDefault="001249A2" w:rsidP="001249A2">
            <w:pPr>
              <w:spacing w:after="0" w:line="240" w:lineRule="auto"/>
              <w:jc w:val="right"/>
              <w:rPr>
                <w:rFonts w:eastAsia="Times New Roman"/>
                <w:color w:val="000000"/>
                <w:sz w:val="20"/>
                <w:szCs w:val="20"/>
                <w:lang w:eastAsia="hr-HR"/>
              </w:rPr>
            </w:pPr>
            <w:r w:rsidRPr="00532810">
              <w:rPr>
                <w:color w:val="000000"/>
                <w:sz w:val="20"/>
                <w:szCs w:val="20"/>
              </w:rPr>
              <w:t>1</w:t>
            </w:r>
            <w:r>
              <w:rPr>
                <w:color w:val="000000"/>
                <w:sz w:val="20"/>
                <w:szCs w:val="20"/>
              </w:rPr>
              <w:t>,</w:t>
            </w:r>
            <w:r w:rsidRPr="00532810">
              <w:rPr>
                <w:color w:val="000000"/>
                <w:sz w:val="20"/>
                <w:szCs w:val="20"/>
              </w:rPr>
              <w:t>183</w:t>
            </w:r>
            <w:r>
              <w:rPr>
                <w:color w:val="000000"/>
                <w:sz w:val="20"/>
                <w:szCs w:val="20"/>
              </w:rPr>
              <w:t>,</w:t>
            </w:r>
            <w:r w:rsidRPr="00532810">
              <w:rPr>
                <w:color w:val="000000"/>
                <w:sz w:val="20"/>
                <w:szCs w:val="20"/>
              </w:rPr>
              <w:t>103</w:t>
            </w:r>
          </w:p>
        </w:tc>
      </w:tr>
      <w:tr w:rsidR="001249A2" w:rsidRPr="009702B0" w14:paraId="0A8FB0E0" w14:textId="77777777" w:rsidTr="006B318F">
        <w:trPr>
          <w:trHeight w:hRule="exact" w:val="255"/>
        </w:trPr>
        <w:tc>
          <w:tcPr>
            <w:tcW w:w="2045" w:type="pct"/>
            <w:vAlign w:val="bottom"/>
          </w:tcPr>
          <w:p w14:paraId="5591DB37" w14:textId="77777777" w:rsidR="001249A2" w:rsidRPr="009702B0" w:rsidRDefault="001249A2" w:rsidP="001249A2">
            <w:pPr>
              <w:tabs>
                <w:tab w:val="right" w:pos="1202"/>
              </w:tabs>
              <w:spacing w:after="0" w:line="200" w:lineRule="exact"/>
              <w:outlineLvl w:val="0"/>
              <w:rPr>
                <w:rFonts w:eastAsia="Times New Roman" w:cs="Arial"/>
                <w:spacing w:val="-3"/>
                <w:sz w:val="20"/>
                <w:szCs w:val="20"/>
              </w:rPr>
            </w:pPr>
            <w:r w:rsidRPr="009702B0">
              <w:rPr>
                <w:rFonts w:eastAsia="Times New Roman" w:cs="Arial"/>
                <w:sz w:val="20"/>
                <w:szCs w:val="20"/>
              </w:rPr>
              <w:t>Public sector</w:t>
            </w:r>
          </w:p>
        </w:tc>
        <w:tc>
          <w:tcPr>
            <w:tcW w:w="737" w:type="pct"/>
            <w:tcBorders>
              <w:top w:val="nil"/>
              <w:left w:val="nil"/>
              <w:bottom w:val="nil"/>
              <w:right w:val="nil"/>
            </w:tcBorders>
            <w:shd w:val="clear" w:color="auto" w:fill="auto"/>
            <w:vAlign w:val="bottom"/>
          </w:tcPr>
          <w:p w14:paraId="5793A58B" w14:textId="0DC1C646" w:rsidR="001249A2" w:rsidRPr="006B318F" w:rsidRDefault="001249A2" w:rsidP="001249A2">
            <w:pPr>
              <w:tabs>
                <w:tab w:val="right" w:pos="1202"/>
              </w:tabs>
              <w:spacing w:after="0" w:line="200" w:lineRule="exact"/>
              <w:jc w:val="right"/>
              <w:outlineLvl w:val="0"/>
              <w:rPr>
                <w:color w:val="000000"/>
                <w:sz w:val="20"/>
                <w:szCs w:val="20"/>
              </w:rPr>
            </w:pPr>
            <w:r w:rsidRPr="006B318F">
              <w:rPr>
                <w:color w:val="000000"/>
                <w:sz w:val="20"/>
                <w:szCs w:val="20"/>
              </w:rPr>
              <w:t>1,646,614</w:t>
            </w:r>
          </w:p>
        </w:tc>
        <w:tc>
          <w:tcPr>
            <w:tcW w:w="737" w:type="pct"/>
            <w:tcBorders>
              <w:top w:val="nil"/>
              <w:left w:val="nil"/>
              <w:bottom w:val="nil"/>
              <w:right w:val="nil"/>
            </w:tcBorders>
            <w:shd w:val="clear" w:color="auto" w:fill="auto"/>
            <w:vAlign w:val="bottom"/>
          </w:tcPr>
          <w:p w14:paraId="5642BA29" w14:textId="77777777" w:rsidR="001249A2" w:rsidRPr="00532810" w:rsidRDefault="001249A2" w:rsidP="001249A2">
            <w:pPr>
              <w:spacing w:after="0" w:line="240" w:lineRule="auto"/>
              <w:jc w:val="right"/>
              <w:rPr>
                <w:rFonts w:eastAsia="Times New Roman"/>
                <w:color w:val="000000"/>
                <w:sz w:val="20"/>
                <w:szCs w:val="20"/>
                <w:lang w:eastAsia="hr-HR"/>
              </w:rPr>
            </w:pPr>
            <w:r w:rsidRPr="00532810">
              <w:rPr>
                <w:color w:val="000000"/>
                <w:sz w:val="20"/>
                <w:szCs w:val="20"/>
              </w:rPr>
              <w:t>1</w:t>
            </w:r>
            <w:r>
              <w:rPr>
                <w:color w:val="000000"/>
                <w:sz w:val="20"/>
                <w:szCs w:val="20"/>
              </w:rPr>
              <w:t>,</w:t>
            </w:r>
            <w:r w:rsidRPr="00532810">
              <w:rPr>
                <w:color w:val="000000"/>
                <w:sz w:val="20"/>
                <w:szCs w:val="20"/>
              </w:rPr>
              <w:t>528</w:t>
            </w:r>
            <w:r>
              <w:rPr>
                <w:color w:val="000000"/>
                <w:sz w:val="20"/>
                <w:szCs w:val="20"/>
              </w:rPr>
              <w:t>,</w:t>
            </w:r>
            <w:r w:rsidRPr="00532810">
              <w:rPr>
                <w:color w:val="000000"/>
                <w:sz w:val="20"/>
                <w:szCs w:val="20"/>
              </w:rPr>
              <w:t>564</w:t>
            </w:r>
          </w:p>
        </w:tc>
        <w:tc>
          <w:tcPr>
            <w:tcW w:w="737" w:type="pct"/>
            <w:tcBorders>
              <w:top w:val="nil"/>
              <w:left w:val="nil"/>
              <w:bottom w:val="nil"/>
              <w:right w:val="nil"/>
            </w:tcBorders>
            <w:shd w:val="clear" w:color="auto" w:fill="auto"/>
            <w:vAlign w:val="bottom"/>
          </w:tcPr>
          <w:p w14:paraId="58EC899D" w14:textId="14E4A64D" w:rsidR="001249A2" w:rsidRPr="00532810" w:rsidRDefault="001249A2" w:rsidP="001249A2">
            <w:pPr>
              <w:tabs>
                <w:tab w:val="right" w:pos="1202"/>
              </w:tabs>
              <w:spacing w:after="0" w:line="200" w:lineRule="exact"/>
              <w:jc w:val="right"/>
              <w:outlineLvl w:val="0"/>
              <w:rPr>
                <w:rFonts w:eastAsia="Times New Roman" w:cs="Arial"/>
                <w:sz w:val="20"/>
                <w:szCs w:val="20"/>
              </w:rPr>
            </w:pPr>
            <w:r w:rsidRPr="00FE65B6">
              <w:rPr>
                <w:color w:val="000000"/>
                <w:sz w:val="20"/>
                <w:szCs w:val="20"/>
              </w:rPr>
              <w:t>1,646,614</w:t>
            </w:r>
          </w:p>
        </w:tc>
        <w:tc>
          <w:tcPr>
            <w:tcW w:w="744" w:type="pct"/>
            <w:tcBorders>
              <w:top w:val="nil"/>
              <w:left w:val="nil"/>
              <w:bottom w:val="nil"/>
              <w:right w:val="nil"/>
            </w:tcBorders>
            <w:shd w:val="clear" w:color="auto" w:fill="auto"/>
            <w:vAlign w:val="bottom"/>
          </w:tcPr>
          <w:p w14:paraId="05683A42" w14:textId="77777777" w:rsidR="001249A2" w:rsidRPr="00532810" w:rsidRDefault="001249A2" w:rsidP="001249A2">
            <w:pPr>
              <w:spacing w:after="0" w:line="240" w:lineRule="auto"/>
              <w:jc w:val="right"/>
              <w:rPr>
                <w:rFonts w:eastAsia="Times New Roman"/>
                <w:color w:val="000000"/>
                <w:sz w:val="20"/>
                <w:szCs w:val="20"/>
                <w:lang w:eastAsia="hr-HR"/>
              </w:rPr>
            </w:pPr>
            <w:r w:rsidRPr="00532810">
              <w:rPr>
                <w:color w:val="000000"/>
                <w:sz w:val="20"/>
                <w:szCs w:val="20"/>
              </w:rPr>
              <w:t>1</w:t>
            </w:r>
            <w:r>
              <w:rPr>
                <w:color w:val="000000"/>
                <w:sz w:val="20"/>
                <w:szCs w:val="20"/>
              </w:rPr>
              <w:t>,</w:t>
            </w:r>
            <w:r w:rsidRPr="00532810">
              <w:rPr>
                <w:color w:val="000000"/>
                <w:sz w:val="20"/>
                <w:szCs w:val="20"/>
              </w:rPr>
              <w:t>528</w:t>
            </w:r>
            <w:r>
              <w:rPr>
                <w:color w:val="000000"/>
                <w:sz w:val="20"/>
                <w:szCs w:val="20"/>
              </w:rPr>
              <w:t>,</w:t>
            </w:r>
            <w:r w:rsidRPr="00532810">
              <w:rPr>
                <w:color w:val="000000"/>
                <w:sz w:val="20"/>
                <w:szCs w:val="20"/>
              </w:rPr>
              <w:t>564</w:t>
            </w:r>
          </w:p>
        </w:tc>
      </w:tr>
      <w:tr w:rsidR="001249A2" w:rsidRPr="009702B0" w14:paraId="7FD323DD" w14:textId="77777777" w:rsidTr="006B318F">
        <w:trPr>
          <w:trHeight w:hRule="exact" w:val="255"/>
        </w:trPr>
        <w:tc>
          <w:tcPr>
            <w:tcW w:w="2045" w:type="pct"/>
            <w:vAlign w:val="bottom"/>
          </w:tcPr>
          <w:p w14:paraId="45812C02" w14:textId="77777777" w:rsidR="001249A2" w:rsidRPr="009702B0" w:rsidRDefault="001249A2" w:rsidP="001249A2">
            <w:pPr>
              <w:tabs>
                <w:tab w:val="right" w:pos="1202"/>
              </w:tabs>
              <w:spacing w:after="0" w:line="200" w:lineRule="exact"/>
              <w:outlineLvl w:val="0"/>
              <w:rPr>
                <w:rFonts w:eastAsia="Times New Roman" w:cs="Arial"/>
                <w:sz w:val="20"/>
                <w:szCs w:val="20"/>
              </w:rPr>
            </w:pPr>
            <w:r w:rsidRPr="009702B0">
              <w:rPr>
                <w:rFonts w:eastAsia="Times New Roman" w:cs="Arial"/>
                <w:sz w:val="20"/>
                <w:szCs w:val="20"/>
              </w:rPr>
              <w:t>Foreign companies</w:t>
            </w:r>
          </w:p>
        </w:tc>
        <w:tc>
          <w:tcPr>
            <w:tcW w:w="737" w:type="pct"/>
            <w:tcBorders>
              <w:top w:val="nil"/>
              <w:left w:val="nil"/>
              <w:bottom w:val="nil"/>
              <w:right w:val="nil"/>
            </w:tcBorders>
            <w:shd w:val="clear" w:color="auto" w:fill="auto"/>
            <w:vAlign w:val="bottom"/>
          </w:tcPr>
          <w:p w14:paraId="07823022" w14:textId="517D8ABC" w:rsidR="001249A2" w:rsidRPr="006B318F" w:rsidRDefault="001249A2" w:rsidP="001249A2">
            <w:pPr>
              <w:tabs>
                <w:tab w:val="right" w:pos="1202"/>
              </w:tabs>
              <w:spacing w:after="0" w:line="200" w:lineRule="exact"/>
              <w:jc w:val="right"/>
              <w:outlineLvl w:val="0"/>
              <w:rPr>
                <w:color w:val="000000"/>
                <w:sz w:val="20"/>
                <w:szCs w:val="20"/>
              </w:rPr>
            </w:pPr>
            <w:r w:rsidRPr="006B318F">
              <w:rPr>
                <w:color w:val="000000"/>
                <w:sz w:val="20"/>
                <w:szCs w:val="20"/>
              </w:rPr>
              <w:t>336,354</w:t>
            </w:r>
          </w:p>
        </w:tc>
        <w:tc>
          <w:tcPr>
            <w:tcW w:w="737" w:type="pct"/>
            <w:tcBorders>
              <w:top w:val="nil"/>
              <w:left w:val="nil"/>
              <w:bottom w:val="nil"/>
              <w:right w:val="nil"/>
            </w:tcBorders>
            <w:shd w:val="clear" w:color="auto" w:fill="auto"/>
            <w:vAlign w:val="bottom"/>
          </w:tcPr>
          <w:p w14:paraId="287D2EF1" w14:textId="77777777" w:rsidR="001249A2" w:rsidRPr="00532810" w:rsidRDefault="001249A2" w:rsidP="001249A2">
            <w:pPr>
              <w:spacing w:after="0" w:line="240" w:lineRule="auto"/>
              <w:jc w:val="right"/>
              <w:rPr>
                <w:rFonts w:eastAsia="Times New Roman"/>
                <w:color w:val="000000"/>
                <w:sz w:val="20"/>
                <w:szCs w:val="20"/>
                <w:lang w:eastAsia="hr-HR"/>
              </w:rPr>
            </w:pPr>
            <w:r w:rsidRPr="00532810">
              <w:rPr>
                <w:color w:val="000000"/>
                <w:sz w:val="20"/>
                <w:szCs w:val="20"/>
              </w:rPr>
              <w:t>237</w:t>
            </w:r>
            <w:r>
              <w:rPr>
                <w:color w:val="000000"/>
                <w:sz w:val="20"/>
                <w:szCs w:val="20"/>
              </w:rPr>
              <w:t>,</w:t>
            </w:r>
            <w:r w:rsidRPr="00532810">
              <w:rPr>
                <w:color w:val="000000"/>
                <w:sz w:val="20"/>
                <w:szCs w:val="20"/>
              </w:rPr>
              <w:t>429</w:t>
            </w:r>
          </w:p>
        </w:tc>
        <w:tc>
          <w:tcPr>
            <w:tcW w:w="737" w:type="pct"/>
            <w:tcBorders>
              <w:top w:val="nil"/>
              <w:left w:val="nil"/>
              <w:bottom w:val="nil"/>
              <w:right w:val="nil"/>
            </w:tcBorders>
            <w:shd w:val="clear" w:color="auto" w:fill="auto"/>
            <w:vAlign w:val="bottom"/>
          </w:tcPr>
          <w:p w14:paraId="657E9BEE" w14:textId="1B06021F" w:rsidR="001249A2" w:rsidRPr="00532810" w:rsidRDefault="001249A2" w:rsidP="001249A2">
            <w:pPr>
              <w:tabs>
                <w:tab w:val="right" w:pos="1202"/>
              </w:tabs>
              <w:spacing w:after="0" w:line="200" w:lineRule="exact"/>
              <w:jc w:val="right"/>
              <w:outlineLvl w:val="0"/>
              <w:rPr>
                <w:rFonts w:eastAsia="Times New Roman" w:cs="Arial"/>
                <w:sz w:val="20"/>
                <w:szCs w:val="20"/>
              </w:rPr>
            </w:pPr>
            <w:r w:rsidRPr="00FE65B6">
              <w:rPr>
                <w:color w:val="000000"/>
                <w:sz w:val="20"/>
                <w:szCs w:val="20"/>
              </w:rPr>
              <w:t>336,354</w:t>
            </w:r>
          </w:p>
        </w:tc>
        <w:tc>
          <w:tcPr>
            <w:tcW w:w="744" w:type="pct"/>
            <w:tcBorders>
              <w:top w:val="nil"/>
              <w:left w:val="nil"/>
              <w:bottom w:val="nil"/>
              <w:right w:val="nil"/>
            </w:tcBorders>
            <w:shd w:val="clear" w:color="auto" w:fill="auto"/>
            <w:vAlign w:val="bottom"/>
          </w:tcPr>
          <w:p w14:paraId="4530E522" w14:textId="77777777" w:rsidR="001249A2" w:rsidRPr="00532810" w:rsidRDefault="001249A2" w:rsidP="001249A2">
            <w:pPr>
              <w:spacing w:after="0" w:line="240" w:lineRule="auto"/>
              <w:jc w:val="right"/>
              <w:rPr>
                <w:rFonts w:eastAsia="Times New Roman"/>
                <w:color w:val="000000"/>
                <w:sz w:val="20"/>
                <w:szCs w:val="20"/>
                <w:lang w:eastAsia="hr-HR"/>
              </w:rPr>
            </w:pPr>
            <w:r w:rsidRPr="00532810">
              <w:rPr>
                <w:color w:val="000000"/>
                <w:sz w:val="20"/>
                <w:szCs w:val="20"/>
              </w:rPr>
              <w:t>237</w:t>
            </w:r>
            <w:r>
              <w:rPr>
                <w:color w:val="000000"/>
                <w:sz w:val="20"/>
                <w:szCs w:val="20"/>
              </w:rPr>
              <w:t>,</w:t>
            </w:r>
            <w:r w:rsidRPr="00532810">
              <w:rPr>
                <w:color w:val="000000"/>
                <w:sz w:val="20"/>
                <w:szCs w:val="20"/>
              </w:rPr>
              <w:t>429</w:t>
            </w:r>
          </w:p>
        </w:tc>
      </w:tr>
      <w:tr w:rsidR="001249A2" w:rsidRPr="009702B0" w14:paraId="62D9E0CA" w14:textId="77777777" w:rsidTr="006B318F">
        <w:trPr>
          <w:trHeight w:hRule="exact" w:val="255"/>
        </w:trPr>
        <w:tc>
          <w:tcPr>
            <w:tcW w:w="2045" w:type="pct"/>
            <w:vAlign w:val="bottom"/>
          </w:tcPr>
          <w:p w14:paraId="6213BF4F" w14:textId="77777777" w:rsidR="001249A2" w:rsidRPr="009702B0" w:rsidRDefault="001249A2" w:rsidP="001249A2">
            <w:pPr>
              <w:tabs>
                <w:tab w:val="right" w:pos="1202"/>
              </w:tabs>
              <w:spacing w:after="0" w:line="200" w:lineRule="exact"/>
              <w:outlineLvl w:val="0"/>
              <w:rPr>
                <w:rFonts w:eastAsia="Times New Roman" w:cs="Arial"/>
                <w:sz w:val="20"/>
                <w:szCs w:val="20"/>
              </w:rPr>
            </w:pPr>
            <w:r w:rsidRPr="009702B0">
              <w:rPr>
                <w:rFonts w:eastAsia="Times New Roman" w:cs="Arial"/>
                <w:sz w:val="20"/>
                <w:szCs w:val="20"/>
              </w:rPr>
              <w:t>Non-profit institutions</w:t>
            </w:r>
          </w:p>
        </w:tc>
        <w:tc>
          <w:tcPr>
            <w:tcW w:w="737" w:type="pct"/>
            <w:tcBorders>
              <w:top w:val="nil"/>
              <w:left w:val="nil"/>
              <w:bottom w:val="nil"/>
              <w:right w:val="nil"/>
            </w:tcBorders>
            <w:shd w:val="clear" w:color="auto" w:fill="auto"/>
            <w:vAlign w:val="bottom"/>
          </w:tcPr>
          <w:p w14:paraId="2A9F1470" w14:textId="5E38FD0F" w:rsidR="001249A2" w:rsidRPr="006B318F" w:rsidRDefault="001249A2" w:rsidP="001249A2">
            <w:pPr>
              <w:tabs>
                <w:tab w:val="right" w:pos="1202"/>
              </w:tabs>
              <w:spacing w:after="0" w:line="200" w:lineRule="exact"/>
              <w:jc w:val="right"/>
              <w:outlineLvl w:val="0"/>
              <w:rPr>
                <w:color w:val="000000"/>
                <w:sz w:val="20"/>
                <w:szCs w:val="20"/>
              </w:rPr>
            </w:pPr>
            <w:r w:rsidRPr="006B318F">
              <w:rPr>
                <w:color w:val="000000"/>
                <w:sz w:val="20"/>
                <w:szCs w:val="20"/>
              </w:rPr>
              <w:t>1,712</w:t>
            </w:r>
          </w:p>
        </w:tc>
        <w:tc>
          <w:tcPr>
            <w:tcW w:w="737" w:type="pct"/>
            <w:tcBorders>
              <w:top w:val="nil"/>
              <w:left w:val="nil"/>
              <w:bottom w:val="nil"/>
              <w:right w:val="nil"/>
            </w:tcBorders>
            <w:shd w:val="clear" w:color="auto" w:fill="auto"/>
            <w:vAlign w:val="bottom"/>
          </w:tcPr>
          <w:p w14:paraId="33DFE541" w14:textId="77777777" w:rsidR="001249A2" w:rsidRPr="00532810" w:rsidRDefault="001249A2" w:rsidP="001249A2">
            <w:pPr>
              <w:spacing w:after="0" w:line="240" w:lineRule="auto"/>
              <w:jc w:val="right"/>
              <w:rPr>
                <w:rFonts w:eastAsia="Times New Roman"/>
                <w:color w:val="000000"/>
                <w:sz w:val="20"/>
                <w:szCs w:val="20"/>
                <w:lang w:eastAsia="hr-HR"/>
              </w:rPr>
            </w:pPr>
            <w:r w:rsidRPr="00532810">
              <w:rPr>
                <w:color w:val="000000"/>
                <w:sz w:val="20"/>
                <w:szCs w:val="20"/>
              </w:rPr>
              <w:t>1</w:t>
            </w:r>
            <w:r>
              <w:rPr>
                <w:color w:val="000000"/>
                <w:sz w:val="20"/>
                <w:szCs w:val="20"/>
              </w:rPr>
              <w:t>,</w:t>
            </w:r>
            <w:r w:rsidRPr="00532810">
              <w:rPr>
                <w:color w:val="000000"/>
                <w:sz w:val="20"/>
                <w:szCs w:val="20"/>
              </w:rPr>
              <w:t>712</w:t>
            </w:r>
          </w:p>
        </w:tc>
        <w:tc>
          <w:tcPr>
            <w:tcW w:w="737" w:type="pct"/>
            <w:tcBorders>
              <w:top w:val="nil"/>
              <w:left w:val="nil"/>
              <w:bottom w:val="nil"/>
              <w:right w:val="nil"/>
            </w:tcBorders>
            <w:shd w:val="clear" w:color="auto" w:fill="auto"/>
            <w:vAlign w:val="bottom"/>
          </w:tcPr>
          <w:p w14:paraId="2F6ABCEA" w14:textId="16E241DB" w:rsidR="001249A2" w:rsidRPr="00532810" w:rsidRDefault="001249A2" w:rsidP="001249A2">
            <w:pPr>
              <w:tabs>
                <w:tab w:val="right" w:pos="1202"/>
              </w:tabs>
              <w:spacing w:after="0" w:line="200" w:lineRule="exact"/>
              <w:jc w:val="right"/>
              <w:outlineLvl w:val="0"/>
              <w:rPr>
                <w:rFonts w:eastAsia="Times New Roman" w:cs="Arial"/>
                <w:sz w:val="20"/>
                <w:szCs w:val="20"/>
              </w:rPr>
            </w:pPr>
            <w:r w:rsidRPr="00FE65B6">
              <w:rPr>
                <w:color w:val="000000"/>
                <w:sz w:val="20"/>
                <w:szCs w:val="20"/>
              </w:rPr>
              <w:t>1,712</w:t>
            </w:r>
          </w:p>
        </w:tc>
        <w:tc>
          <w:tcPr>
            <w:tcW w:w="744" w:type="pct"/>
            <w:tcBorders>
              <w:top w:val="nil"/>
              <w:left w:val="nil"/>
              <w:bottom w:val="nil"/>
              <w:right w:val="nil"/>
            </w:tcBorders>
            <w:shd w:val="clear" w:color="auto" w:fill="auto"/>
            <w:vAlign w:val="bottom"/>
          </w:tcPr>
          <w:p w14:paraId="2CDE2FBB" w14:textId="77777777" w:rsidR="001249A2" w:rsidRPr="00532810" w:rsidRDefault="001249A2" w:rsidP="001249A2">
            <w:pPr>
              <w:spacing w:after="0" w:line="240" w:lineRule="auto"/>
              <w:jc w:val="right"/>
              <w:rPr>
                <w:rFonts w:eastAsia="Times New Roman"/>
                <w:color w:val="000000"/>
                <w:sz w:val="20"/>
                <w:szCs w:val="20"/>
                <w:lang w:eastAsia="hr-HR"/>
              </w:rPr>
            </w:pPr>
            <w:r w:rsidRPr="00532810">
              <w:rPr>
                <w:color w:val="000000"/>
                <w:sz w:val="20"/>
                <w:szCs w:val="20"/>
              </w:rPr>
              <w:t>1</w:t>
            </w:r>
            <w:r>
              <w:rPr>
                <w:color w:val="000000"/>
                <w:sz w:val="20"/>
                <w:szCs w:val="20"/>
              </w:rPr>
              <w:t>,</w:t>
            </w:r>
            <w:r w:rsidRPr="00532810">
              <w:rPr>
                <w:color w:val="000000"/>
                <w:sz w:val="20"/>
                <w:szCs w:val="20"/>
              </w:rPr>
              <w:t>712</w:t>
            </w:r>
          </w:p>
        </w:tc>
      </w:tr>
      <w:tr w:rsidR="001249A2" w:rsidRPr="009702B0" w14:paraId="6DC67882" w14:textId="77777777" w:rsidTr="006B318F">
        <w:trPr>
          <w:trHeight w:hRule="exact" w:val="255"/>
        </w:trPr>
        <w:tc>
          <w:tcPr>
            <w:tcW w:w="2045" w:type="pct"/>
            <w:vAlign w:val="bottom"/>
          </w:tcPr>
          <w:p w14:paraId="5B9186A3" w14:textId="77777777" w:rsidR="001249A2" w:rsidRPr="009702B0" w:rsidRDefault="001249A2" w:rsidP="001249A2">
            <w:pPr>
              <w:tabs>
                <w:tab w:val="right" w:pos="1202"/>
              </w:tabs>
              <w:spacing w:after="0" w:line="200" w:lineRule="exact"/>
              <w:outlineLvl w:val="0"/>
              <w:rPr>
                <w:rFonts w:eastAsia="Times New Roman" w:cs="Arial"/>
                <w:sz w:val="20"/>
                <w:szCs w:val="20"/>
              </w:rPr>
            </w:pPr>
            <w:r w:rsidRPr="009702B0">
              <w:rPr>
                <w:rFonts w:eastAsia="Times New Roman" w:cs="Arial"/>
                <w:sz w:val="20"/>
                <w:szCs w:val="20"/>
              </w:rPr>
              <w:t>Other</w:t>
            </w:r>
          </w:p>
        </w:tc>
        <w:tc>
          <w:tcPr>
            <w:tcW w:w="737" w:type="pct"/>
            <w:tcBorders>
              <w:top w:val="nil"/>
              <w:left w:val="nil"/>
              <w:bottom w:val="nil"/>
              <w:right w:val="nil"/>
            </w:tcBorders>
            <w:shd w:val="clear" w:color="auto" w:fill="auto"/>
            <w:vAlign w:val="bottom"/>
          </w:tcPr>
          <w:p w14:paraId="78E71293" w14:textId="54F2887C" w:rsidR="001249A2" w:rsidRPr="006B318F" w:rsidRDefault="001249A2" w:rsidP="001249A2">
            <w:pPr>
              <w:tabs>
                <w:tab w:val="right" w:pos="1202"/>
              </w:tabs>
              <w:spacing w:after="0" w:line="200" w:lineRule="exact"/>
              <w:jc w:val="right"/>
              <w:outlineLvl w:val="0"/>
              <w:rPr>
                <w:color w:val="000000"/>
                <w:sz w:val="20"/>
                <w:szCs w:val="20"/>
              </w:rPr>
            </w:pPr>
            <w:r w:rsidRPr="006B318F">
              <w:rPr>
                <w:color w:val="000000"/>
                <w:sz w:val="20"/>
                <w:szCs w:val="20"/>
              </w:rPr>
              <w:t>667,111</w:t>
            </w:r>
          </w:p>
        </w:tc>
        <w:tc>
          <w:tcPr>
            <w:tcW w:w="737" w:type="pct"/>
            <w:tcBorders>
              <w:top w:val="nil"/>
              <w:left w:val="nil"/>
              <w:bottom w:val="nil"/>
              <w:right w:val="nil"/>
            </w:tcBorders>
            <w:shd w:val="clear" w:color="auto" w:fill="auto"/>
            <w:vAlign w:val="bottom"/>
          </w:tcPr>
          <w:p w14:paraId="53C078CD" w14:textId="77777777" w:rsidR="001249A2" w:rsidRPr="00532810" w:rsidRDefault="001249A2" w:rsidP="001249A2">
            <w:pPr>
              <w:spacing w:after="0" w:line="240" w:lineRule="auto"/>
              <w:jc w:val="right"/>
              <w:rPr>
                <w:rFonts w:eastAsia="Times New Roman"/>
                <w:color w:val="000000"/>
                <w:sz w:val="20"/>
                <w:szCs w:val="20"/>
                <w:lang w:eastAsia="hr-HR"/>
              </w:rPr>
            </w:pPr>
            <w:r w:rsidRPr="00532810">
              <w:rPr>
                <w:color w:val="000000"/>
                <w:sz w:val="20"/>
                <w:szCs w:val="20"/>
              </w:rPr>
              <w:t>712</w:t>
            </w:r>
            <w:r>
              <w:rPr>
                <w:color w:val="000000"/>
                <w:sz w:val="20"/>
                <w:szCs w:val="20"/>
              </w:rPr>
              <w:t>,</w:t>
            </w:r>
            <w:r w:rsidRPr="00532810">
              <w:rPr>
                <w:color w:val="000000"/>
                <w:sz w:val="20"/>
                <w:szCs w:val="20"/>
              </w:rPr>
              <w:t>400</w:t>
            </w:r>
          </w:p>
        </w:tc>
        <w:tc>
          <w:tcPr>
            <w:tcW w:w="737" w:type="pct"/>
            <w:tcBorders>
              <w:top w:val="nil"/>
              <w:left w:val="nil"/>
              <w:bottom w:val="nil"/>
              <w:right w:val="nil"/>
            </w:tcBorders>
            <w:shd w:val="clear" w:color="auto" w:fill="auto"/>
            <w:vAlign w:val="bottom"/>
          </w:tcPr>
          <w:p w14:paraId="19E743CA" w14:textId="47041775" w:rsidR="001249A2" w:rsidRPr="00532810" w:rsidRDefault="001249A2" w:rsidP="001249A2">
            <w:pPr>
              <w:tabs>
                <w:tab w:val="right" w:pos="1202"/>
              </w:tabs>
              <w:spacing w:after="0" w:line="200" w:lineRule="exact"/>
              <w:jc w:val="right"/>
              <w:outlineLvl w:val="0"/>
              <w:rPr>
                <w:rFonts w:eastAsia="Times New Roman" w:cs="Arial"/>
                <w:sz w:val="20"/>
                <w:szCs w:val="20"/>
              </w:rPr>
            </w:pPr>
            <w:r w:rsidRPr="00FE65B6">
              <w:rPr>
                <w:color w:val="000000"/>
                <w:sz w:val="20"/>
                <w:szCs w:val="20"/>
              </w:rPr>
              <w:t>667,111</w:t>
            </w:r>
          </w:p>
        </w:tc>
        <w:tc>
          <w:tcPr>
            <w:tcW w:w="744" w:type="pct"/>
            <w:tcBorders>
              <w:top w:val="nil"/>
              <w:left w:val="nil"/>
              <w:bottom w:val="nil"/>
              <w:right w:val="nil"/>
            </w:tcBorders>
            <w:shd w:val="clear" w:color="auto" w:fill="auto"/>
            <w:vAlign w:val="bottom"/>
          </w:tcPr>
          <w:p w14:paraId="582064C3" w14:textId="77777777" w:rsidR="001249A2" w:rsidRPr="00532810" w:rsidRDefault="001249A2" w:rsidP="001249A2">
            <w:pPr>
              <w:spacing w:after="0" w:line="240" w:lineRule="auto"/>
              <w:jc w:val="right"/>
              <w:rPr>
                <w:rFonts w:eastAsia="Times New Roman"/>
                <w:color w:val="000000"/>
                <w:sz w:val="20"/>
                <w:szCs w:val="20"/>
                <w:lang w:eastAsia="hr-HR"/>
              </w:rPr>
            </w:pPr>
            <w:r w:rsidRPr="00532810">
              <w:rPr>
                <w:color w:val="000000"/>
                <w:sz w:val="20"/>
                <w:szCs w:val="20"/>
              </w:rPr>
              <w:t>712</w:t>
            </w:r>
            <w:r>
              <w:rPr>
                <w:color w:val="000000"/>
                <w:sz w:val="20"/>
                <w:szCs w:val="20"/>
              </w:rPr>
              <w:t>,</w:t>
            </w:r>
            <w:r w:rsidRPr="00532810">
              <w:rPr>
                <w:color w:val="000000"/>
                <w:sz w:val="20"/>
                <w:szCs w:val="20"/>
              </w:rPr>
              <w:t>400</w:t>
            </w:r>
          </w:p>
        </w:tc>
      </w:tr>
      <w:tr w:rsidR="001249A2" w:rsidRPr="009702B0" w14:paraId="089D6434" w14:textId="77777777" w:rsidTr="006B318F">
        <w:trPr>
          <w:trHeight w:hRule="exact" w:val="255"/>
        </w:trPr>
        <w:tc>
          <w:tcPr>
            <w:tcW w:w="2045" w:type="pct"/>
            <w:vAlign w:val="bottom"/>
          </w:tcPr>
          <w:p w14:paraId="720A141A" w14:textId="77777777" w:rsidR="001249A2" w:rsidRPr="009702B0" w:rsidRDefault="001249A2" w:rsidP="001249A2">
            <w:pPr>
              <w:tabs>
                <w:tab w:val="right" w:pos="1202"/>
              </w:tabs>
              <w:spacing w:after="0" w:line="200" w:lineRule="exact"/>
              <w:outlineLvl w:val="0"/>
              <w:rPr>
                <w:rFonts w:eastAsia="Times New Roman" w:cs="Arial"/>
                <w:sz w:val="20"/>
                <w:szCs w:val="20"/>
              </w:rPr>
            </w:pPr>
            <w:r w:rsidRPr="009702B0">
              <w:rPr>
                <w:rFonts w:eastAsia="Times New Roman" w:cs="Arial"/>
                <w:sz w:val="20"/>
                <w:szCs w:val="20"/>
              </w:rPr>
              <w:t>Accrued interest</w:t>
            </w:r>
          </w:p>
        </w:tc>
        <w:tc>
          <w:tcPr>
            <w:tcW w:w="737" w:type="pct"/>
            <w:tcBorders>
              <w:top w:val="nil"/>
              <w:left w:val="nil"/>
              <w:bottom w:val="nil"/>
              <w:right w:val="nil"/>
            </w:tcBorders>
            <w:shd w:val="clear" w:color="auto" w:fill="auto"/>
            <w:vAlign w:val="bottom"/>
          </w:tcPr>
          <w:p w14:paraId="07B21379" w14:textId="0DE95A13" w:rsidR="001249A2" w:rsidRPr="006B318F" w:rsidRDefault="001249A2" w:rsidP="001249A2">
            <w:pPr>
              <w:tabs>
                <w:tab w:val="right" w:pos="1202"/>
              </w:tabs>
              <w:spacing w:after="0" w:line="200" w:lineRule="exact"/>
              <w:jc w:val="right"/>
              <w:outlineLvl w:val="0"/>
              <w:rPr>
                <w:color w:val="000000"/>
                <w:sz w:val="20"/>
                <w:szCs w:val="20"/>
              </w:rPr>
            </w:pPr>
            <w:r w:rsidRPr="006B318F">
              <w:rPr>
                <w:color w:val="000000"/>
                <w:sz w:val="20"/>
                <w:szCs w:val="20"/>
              </w:rPr>
              <w:t>92,497</w:t>
            </w:r>
          </w:p>
        </w:tc>
        <w:tc>
          <w:tcPr>
            <w:tcW w:w="737" w:type="pct"/>
            <w:tcBorders>
              <w:top w:val="nil"/>
              <w:left w:val="nil"/>
              <w:bottom w:val="nil"/>
              <w:right w:val="nil"/>
            </w:tcBorders>
            <w:shd w:val="clear" w:color="auto" w:fill="auto"/>
            <w:vAlign w:val="bottom"/>
          </w:tcPr>
          <w:p w14:paraId="55A1BD55" w14:textId="77777777" w:rsidR="001249A2" w:rsidRPr="00532810" w:rsidRDefault="001249A2" w:rsidP="001249A2">
            <w:pPr>
              <w:spacing w:after="0" w:line="240" w:lineRule="auto"/>
              <w:jc w:val="right"/>
              <w:rPr>
                <w:rFonts w:eastAsia="Times New Roman"/>
                <w:color w:val="000000"/>
                <w:sz w:val="20"/>
                <w:szCs w:val="20"/>
                <w:lang w:eastAsia="hr-HR"/>
              </w:rPr>
            </w:pPr>
            <w:r w:rsidRPr="00532810">
              <w:rPr>
                <w:color w:val="000000"/>
                <w:sz w:val="20"/>
                <w:szCs w:val="20"/>
              </w:rPr>
              <w:t>83</w:t>
            </w:r>
            <w:r>
              <w:rPr>
                <w:color w:val="000000"/>
                <w:sz w:val="20"/>
                <w:szCs w:val="20"/>
              </w:rPr>
              <w:t>,</w:t>
            </w:r>
            <w:r w:rsidRPr="00532810">
              <w:rPr>
                <w:color w:val="000000"/>
                <w:sz w:val="20"/>
                <w:szCs w:val="20"/>
              </w:rPr>
              <w:t>423</w:t>
            </w:r>
          </w:p>
        </w:tc>
        <w:tc>
          <w:tcPr>
            <w:tcW w:w="737" w:type="pct"/>
            <w:tcBorders>
              <w:top w:val="nil"/>
              <w:left w:val="nil"/>
              <w:bottom w:val="nil"/>
              <w:right w:val="nil"/>
            </w:tcBorders>
            <w:shd w:val="clear" w:color="auto" w:fill="auto"/>
            <w:vAlign w:val="bottom"/>
          </w:tcPr>
          <w:p w14:paraId="38E93E72" w14:textId="56F46AF6" w:rsidR="001249A2" w:rsidRPr="00532810" w:rsidRDefault="001249A2" w:rsidP="001249A2">
            <w:pPr>
              <w:tabs>
                <w:tab w:val="right" w:pos="1202"/>
              </w:tabs>
              <w:spacing w:after="0" w:line="200" w:lineRule="exact"/>
              <w:jc w:val="right"/>
              <w:outlineLvl w:val="0"/>
              <w:rPr>
                <w:rFonts w:eastAsia="Times New Roman" w:cs="Arial"/>
                <w:sz w:val="20"/>
                <w:szCs w:val="20"/>
              </w:rPr>
            </w:pPr>
            <w:r w:rsidRPr="00FE65B6">
              <w:rPr>
                <w:color w:val="000000"/>
                <w:sz w:val="20"/>
                <w:szCs w:val="20"/>
              </w:rPr>
              <w:t>92,497</w:t>
            </w:r>
          </w:p>
        </w:tc>
        <w:tc>
          <w:tcPr>
            <w:tcW w:w="744" w:type="pct"/>
            <w:tcBorders>
              <w:top w:val="nil"/>
              <w:left w:val="nil"/>
              <w:bottom w:val="nil"/>
              <w:right w:val="nil"/>
            </w:tcBorders>
            <w:shd w:val="clear" w:color="auto" w:fill="auto"/>
            <w:vAlign w:val="bottom"/>
          </w:tcPr>
          <w:p w14:paraId="670D69B6" w14:textId="77777777" w:rsidR="001249A2" w:rsidRPr="00532810" w:rsidRDefault="001249A2" w:rsidP="001249A2">
            <w:pPr>
              <w:spacing w:after="0" w:line="240" w:lineRule="auto"/>
              <w:jc w:val="right"/>
              <w:rPr>
                <w:rFonts w:eastAsia="Times New Roman"/>
                <w:color w:val="000000"/>
                <w:sz w:val="20"/>
                <w:szCs w:val="20"/>
                <w:lang w:eastAsia="hr-HR"/>
              </w:rPr>
            </w:pPr>
            <w:r w:rsidRPr="00532810">
              <w:rPr>
                <w:color w:val="000000"/>
                <w:sz w:val="20"/>
                <w:szCs w:val="20"/>
              </w:rPr>
              <w:t>83</w:t>
            </w:r>
            <w:r>
              <w:rPr>
                <w:color w:val="000000"/>
                <w:sz w:val="20"/>
                <w:szCs w:val="20"/>
              </w:rPr>
              <w:t>,</w:t>
            </w:r>
            <w:r w:rsidRPr="00532810">
              <w:rPr>
                <w:color w:val="000000"/>
                <w:sz w:val="20"/>
                <w:szCs w:val="20"/>
              </w:rPr>
              <w:t>423</w:t>
            </w:r>
          </w:p>
        </w:tc>
      </w:tr>
      <w:tr w:rsidR="001249A2" w:rsidRPr="009702B0" w14:paraId="574BD494" w14:textId="77777777" w:rsidTr="006B318F">
        <w:trPr>
          <w:trHeight w:hRule="exact" w:val="454"/>
        </w:trPr>
        <w:tc>
          <w:tcPr>
            <w:tcW w:w="2045" w:type="pct"/>
            <w:vAlign w:val="bottom"/>
          </w:tcPr>
          <w:p w14:paraId="1919E6C0" w14:textId="77777777" w:rsidR="001249A2" w:rsidRPr="009702B0" w:rsidRDefault="001249A2" w:rsidP="001249A2">
            <w:pPr>
              <w:tabs>
                <w:tab w:val="right" w:pos="1202"/>
              </w:tabs>
              <w:spacing w:after="0" w:line="200" w:lineRule="exact"/>
              <w:outlineLvl w:val="0"/>
              <w:rPr>
                <w:rFonts w:eastAsia="Times New Roman" w:cs="Arial"/>
                <w:sz w:val="20"/>
                <w:szCs w:val="20"/>
              </w:rPr>
            </w:pPr>
            <w:r w:rsidRPr="009702B0">
              <w:rPr>
                <w:rFonts w:eastAsia="Times New Roman" w:cs="Arial"/>
                <w:sz w:val="20"/>
                <w:szCs w:val="20"/>
              </w:rPr>
              <w:t>Deferred recognition of loan origination fees</w:t>
            </w:r>
          </w:p>
        </w:tc>
        <w:tc>
          <w:tcPr>
            <w:tcW w:w="737" w:type="pct"/>
            <w:tcBorders>
              <w:top w:val="nil"/>
              <w:left w:val="nil"/>
              <w:bottom w:val="nil"/>
              <w:right w:val="nil"/>
            </w:tcBorders>
            <w:shd w:val="clear" w:color="auto" w:fill="auto"/>
            <w:vAlign w:val="bottom"/>
          </w:tcPr>
          <w:p w14:paraId="11B60EA6" w14:textId="43F91637" w:rsidR="001249A2" w:rsidRPr="006B318F" w:rsidRDefault="001249A2" w:rsidP="001249A2">
            <w:pPr>
              <w:tabs>
                <w:tab w:val="right" w:pos="1202"/>
              </w:tabs>
              <w:spacing w:after="0" w:line="200" w:lineRule="exact"/>
              <w:jc w:val="right"/>
              <w:outlineLvl w:val="0"/>
              <w:rPr>
                <w:color w:val="000000"/>
                <w:sz w:val="20"/>
                <w:szCs w:val="20"/>
              </w:rPr>
            </w:pPr>
            <w:r w:rsidRPr="006B318F">
              <w:rPr>
                <w:color w:val="000000"/>
                <w:sz w:val="20"/>
                <w:szCs w:val="20"/>
              </w:rPr>
              <w:t xml:space="preserve"> (113,917)</w:t>
            </w:r>
          </w:p>
        </w:tc>
        <w:tc>
          <w:tcPr>
            <w:tcW w:w="737" w:type="pct"/>
            <w:tcBorders>
              <w:top w:val="nil"/>
              <w:left w:val="nil"/>
              <w:bottom w:val="nil"/>
              <w:right w:val="nil"/>
            </w:tcBorders>
            <w:shd w:val="clear" w:color="auto" w:fill="auto"/>
            <w:vAlign w:val="bottom"/>
          </w:tcPr>
          <w:p w14:paraId="105CA0F1" w14:textId="77777777" w:rsidR="001249A2" w:rsidRPr="00532810" w:rsidRDefault="001249A2" w:rsidP="001249A2">
            <w:pPr>
              <w:spacing w:after="0" w:line="240" w:lineRule="auto"/>
              <w:jc w:val="right"/>
              <w:rPr>
                <w:rFonts w:eastAsia="Times New Roman"/>
                <w:color w:val="000000"/>
                <w:sz w:val="20"/>
                <w:szCs w:val="20"/>
                <w:lang w:eastAsia="hr-HR"/>
              </w:rPr>
            </w:pPr>
            <w:r w:rsidRPr="00532810">
              <w:rPr>
                <w:color w:val="000000"/>
                <w:sz w:val="20"/>
                <w:szCs w:val="20"/>
              </w:rPr>
              <w:t xml:space="preserve"> (119</w:t>
            </w:r>
            <w:r>
              <w:rPr>
                <w:color w:val="000000"/>
                <w:sz w:val="20"/>
                <w:szCs w:val="20"/>
              </w:rPr>
              <w:t>,</w:t>
            </w:r>
            <w:r w:rsidRPr="00532810">
              <w:rPr>
                <w:color w:val="000000"/>
                <w:sz w:val="20"/>
                <w:szCs w:val="20"/>
              </w:rPr>
              <w:t>328)</w:t>
            </w:r>
          </w:p>
        </w:tc>
        <w:tc>
          <w:tcPr>
            <w:tcW w:w="737" w:type="pct"/>
            <w:tcBorders>
              <w:top w:val="nil"/>
              <w:left w:val="nil"/>
              <w:bottom w:val="nil"/>
              <w:right w:val="nil"/>
            </w:tcBorders>
            <w:shd w:val="clear" w:color="auto" w:fill="auto"/>
            <w:vAlign w:val="bottom"/>
          </w:tcPr>
          <w:p w14:paraId="4C96FE97" w14:textId="6F87DF2C" w:rsidR="001249A2" w:rsidRPr="00532810" w:rsidRDefault="001249A2" w:rsidP="001249A2">
            <w:pPr>
              <w:tabs>
                <w:tab w:val="right" w:pos="1202"/>
              </w:tabs>
              <w:spacing w:after="0" w:line="200" w:lineRule="exact"/>
              <w:jc w:val="right"/>
              <w:outlineLvl w:val="0"/>
              <w:rPr>
                <w:rFonts w:eastAsia="Times New Roman" w:cs="Arial"/>
                <w:sz w:val="20"/>
                <w:szCs w:val="20"/>
              </w:rPr>
            </w:pPr>
            <w:r w:rsidRPr="00FE65B6">
              <w:rPr>
                <w:color w:val="000000"/>
                <w:sz w:val="20"/>
                <w:szCs w:val="20"/>
              </w:rPr>
              <w:t xml:space="preserve"> (113,917)</w:t>
            </w:r>
          </w:p>
        </w:tc>
        <w:tc>
          <w:tcPr>
            <w:tcW w:w="744" w:type="pct"/>
            <w:tcBorders>
              <w:top w:val="nil"/>
              <w:left w:val="nil"/>
              <w:bottom w:val="nil"/>
              <w:right w:val="nil"/>
            </w:tcBorders>
            <w:shd w:val="clear" w:color="auto" w:fill="auto"/>
            <w:vAlign w:val="bottom"/>
          </w:tcPr>
          <w:p w14:paraId="57B1B3CE" w14:textId="77777777" w:rsidR="001249A2" w:rsidRPr="00532810" w:rsidRDefault="001249A2" w:rsidP="001249A2">
            <w:pPr>
              <w:spacing w:after="0" w:line="240" w:lineRule="auto"/>
              <w:jc w:val="right"/>
              <w:rPr>
                <w:rFonts w:eastAsia="Times New Roman"/>
                <w:color w:val="000000"/>
                <w:sz w:val="20"/>
                <w:szCs w:val="20"/>
                <w:lang w:eastAsia="hr-HR"/>
              </w:rPr>
            </w:pPr>
            <w:r w:rsidRPr="00532810">
              <w:rPr>
                <w:color w:val="000000"/>
                <w:sz w:val="20"/>
                <w:szCs w:val="20"/>
              </w:rPr>
              <w:t xml:space="preserve"> (119</w:t>
            </w:r>
            <w:r>
              <w:rPr>
                <w:color w:val="000000"/>
                <w:sz w:val="20"/>
                <w:szCs w:val="20"/>
              </w:rPr>
              <w:t>,</w:t>
            </w:r>
            <w:r w:rsidRPr="00532810">
              <w:rPr>
                <w:color w:val="000000"/>
                <w:sz w:val="20"/>
                <w:szCs w:val="20"/>
              </w:rPr>
              <w:t>328)</w:t>
            </w:r>
          </w:p>
        </w:tc>
      </w:tr>
      <w:tr w:rsidR="001249A2" w:rsidRPr="009702B0" w14:paraId="5273BB3C" w14:textId="77777777" w:rsidTr="00AA20DA">
        <w:trPr>
          <w:trHeight w:val="266"/>
        </w:trPr>
        <w:tc>
          <w:tcPr>
            <w:tcW w:w="2045" w:type="pct"/>
            <w:vAlign w:val="bottom"/>
          </w:tcPr>
          <w:p w14:paraId="13271D71" w14:textId="77777777" w:rsidR="001249A2" w:rsidRPr="009702B0" w:rsidRDefault="001249A2" w:rsidP="001249A2">
            <w:pPr>
              <w:tabs>
                <w:tab w:val="right" w:pos="1202"/>
              </w:tabs>
              <w:spacing w:after="0" w:line="200" w:lineRule="exact"/>
              <w:outlineLvl w:val="0"/>
              <w:rPr>
                <w:rFonts w:eastAsia="Times New Roman" w:cs="Arial"/>
                <w:spacing w:val="-3"/>
                <w:sz w:val="20"/>
                <w:szCs w:val="20"/>
              </w:rPr>
            </w:pPr>
          </w:p>
        </w:tc>
        <w:tc>
          <w:tcPr>
            <w:tcW w:w="737" w:type="pct"/>
            <w:tcBorders>
              <w:top w:val="single" w:sz="4" w:space="0" w:color="auto"/>
              <w:left w:val="nil"/>
              <w:bottom w:val="single" w:sz="4" w:space="0" w:color="auto"/>
              <w:right w:val="nil"/>
            </w:tcBorders>
            <w:shd w:val="clear" w:color="auto" w:fill="auto"/>
            <w:vAlign w:val="bottom"/>
          </w:tcPr>
          <w:p w14:paraId="5EA12C33" w14:textId="1FD112C2" w:rsidR="001249A2" w:rsidRPr="006B318F" w:rsidRDefault="001249A2">
            <w:pPr>
              <w:tabs>
                <w:tab w:val="right" w:pos="1202"/>
              </w:tabs>
              <w:spacing w:after="0" w:line="200" w:lineRule="exact"/>
              <w:jc w:val="right"/>
              <w:outlineLvl w:val="0"/>
              <w:rPr>
                <w:rFonts w:eastAsia="Times New Roman"/>
                <w:color w:val="000000"/>
                <w:sz w:val="20"/>
                <w:szCs w:val="20"/>
                <w:lang w:eastAsia="hr-HR"/>
              </w:rPr>
            </w:pPr>
            <w:r w:rsidRPr="001249A2">
              <w:rPr>
                <w:rFonts w:eastAsia="Times New Roman"/>
                <w:color w:val="000000"/>
                <w:sz w:val="20"/>
                <w:szCs w:val="20"/>
                <w:lang w:eastAsia="hr-HR"/>
              </w:rPr>
              <w:t>14,657,162</w:t>
            </w:r>
          </w:p>
        </w:tc>
        <w:tc>
          <w:tcPr>
            <w:tcW w:w="737" w:type="pct"/>
            <w:tcBorders>
              <w:top w:val="single" w:sz="4" w:space="0" w:color="auto"/>
              <w:left w:val="nil"/>
              <w:bottom w:val="single" w:sz="4" w:space="0" w:color="auto"/>
              <w:right w:val="nil"/>
            </w:tcBorders>
            <w:shd w:val="clear" w:color="auto" w:fill="auto"/>
            <w:vAlign w:val="bottom"/>
          </w:tcPr>
          <w:p w14:paraId="68298A8C" w14:textId="77777777" w:rsidR="001249A2" w:rsidRPr="00532810" w:rsidRDefault="001249A2" w:rsidP="006B318F">
            <w:pPr>
              <w:tabs>
                <w:tab w:val="right" w:pos="1202"/>
              </w:tabs>
              <w:spacing w:after="0" w:line="200" w:lineRule="exact"/>
              <w:jc w:val="right"/>
              <w:outlineLvl w:val="0"/>
              <w:rPr>
                <w:rFonts w:eastAsia="Times New Roman"/>
                <w:color w:val="000000"/>
                <w:sz w:val="20"/>
                <w:szCs w:val="20"/>
                <w:lang w:eastAsia="hr-HR"/>
              </w:rPr>
            </w:pPr>
            <w:r w:rsidRPr="00532810">
              <w:rPr>
                <w:rFonts w:eastAsia="Times New Roman"/>
                <w:color w:val="000000"/>
                <w:sz w:val="20"/>
                <w:szCs w:val="20"/>
                <w:lang w:eastAsia="hr-HR"/>
              </w:rPr>
              <w:t>14</w:t>
            </w:r>
            <w:r>
              <w:rPr>
                <w:rFonts w:eastAsia="Times New Roman"/>
                <w:color w:val="000000"/>
                <w:sz w:val="20"/>
                <w:szCs w:val="20"/>
                <w:lang w:eastAsia="hr-HR"/>
              </w:rPr>
              <w:t>,</w:t>
            </w:r>
            <w:r w:rsidRPr="00532810">
              <w:rPr>
                <w:rFonts w:eastAsia="Times New Roman"/>
                <w:color w:val="000000"/>
                <w:sz w:val="20"/>
                <w:szCs w:val="20"/>
                <w:lang w:eastAsia="hr-HR"/>
              </w:rPr>
              <w:t>090</w:t>
            </w:r>
            <w:r>
              <w:rPr>
                <w:rFonts w:eastAsia="Times New Roman"/>
                <w:color w:val="000000"/>
                <w:sz w:val="20"/>
                <w:szCs w:val="20"/>
                <w:lang w:eastAsia="hr-HR"/>
              </w:rPr>
              <w:t>,</w:t>
            </w:r>
            <w:r w:rsidRPr="00532810">
              <w:rPr>
                <w:rFonts w:eastAsia="Times New Roman"/>
                <w:color w:val="000000"/>
                <w:sz w:val="20"/>
                <w:szCs w:val="20"/>
                <w:lang w:eastAsia="hr-HR"/>
              </w:rPr>
              <w:t>695</w:t>
            </w:r>
          </w:p>
        </w:tc>
        <w:tc>
          <w:tcPr>
            <w:tcW w:w="737" w:type="pct"/>
            <w:tcBorders>
              <w:top w:val="single" w:sz="4" w:space="0" w:color="auto"/>
              <w:left w:val="nil"/>
              <w:bottom w:val="single" w:sz="4" w:space="0" w:color="auto"/>
              <w:right w:val="nil"/>
            </w:tcBorders>
            <w:shd w:val="clear" w:color="auto" w:fill="auto"/>
            <w:vAlign w:val="bottom"/>
          </w:tcPr>
          <w:p w14:paraId="1CB51DE3" w14:textId="32D9038C" w:rsidR="001249A2" w:rsidRPr="00532810" w:rsidRDefault="001249A2" w:rsidP="001249A2">
            <w:pPr>
              <w:tabs>
                <w:tab w:val="right" w:pos="1202"/>
              </w:tabs>
              <w:spacing w:after="0" w:line="200" w:lineRule="exact"/>
              <w:jc w:val="right"/>
              <w:outlineLvl w:val="0"/>
              <w:rPr>
                <w:rFonts w:eastAsia="Times New Roman" w:cs="Arial"/>
                <w:sz w:val="20"/>
                <w:szCs w:val="20"/>
              </w:rPr>
            </w:pPr>
            <w:r w:rsidRPr="001249A2">
              <w:rPr>
                <w:rFonts w:eastAsia="Times New Roman"/>
                <w:color w:val="000000"/>
                <w:sz w:val="20"/>
                <w:szCs w:val="20"/>
                <w:lang w:eastAsia="hr-HR"/>
              </w:rPr>
              <w:t>14,657,162</w:t>
            </w:r>
          </w:p>
        </w:tc>
        <w:tc>
          <w:tcPr>
            <w:tcW w:w="744" w:type="pct"/>
            <w:tcBorders>
              <w:top w:val="single" w:sz="4" w:space="0" w:color="auto"/>
              <w:left w:val="nil"/>
              <w:bottom w:val="single" w:sz="4" w:space="0" w:color="auto"/>
              <w:right w:val="nil"/>
            </w:tcBorders>
            <w:shd w:val="clear" w:color="auto" w:fill="auto"/>
            <w:vAlign w:val="bottom"/>
          </w:tcPr>
          <w:p w14:paraId="6B485F0F" w14:textId="77777777" w:rsidR="001249A2" w:rsidRPr="00532810" w:rsidRDefault="001249A2" w:rsidP="006B318F">
            <w:pPr>
              <w:tabs>
                <w:tab w:val="right" w:pos="1202"/>
              </w:tabs>
              <w:spacing w:after="0" w:line="200" w:lineRule="exact"/>
              <w:jc w:val="right"/>
              <w:outlineLvl w:val="0"/>
              <w:rPr>
                <w:rFonts w:eastAsia="Times New Roman"/>
                <w:color w:val="000000"/>
                <w:sz w:val="20"/>
                <w:szCs w:val="20"/>
                <w:lang w:eastAsia="hr-HR"/>
              </w:rPr>
            </w:pPr>
            <w:r w:rsidRPr="00532810">
              <w:rPr>
                <w:rFonts w:eastAsia="Times New Roman"/>
                <w:color w:val="000000"/>
                <w:sz w:val="20"/>
                <w:szCs w:val="20"/>
                <w:lang w:eastAsia="hr-HR"/>
              </w:rPr>
              <w:t>14</w:t>
            </w:r>
            <w:r>
              <w:rPr>
                <w:rFonts w:eastAsia="Times New Roman"/>
                <w:color w:val="000000"/>
                <w:sz w:val="20"/>
                <w:szCs w:val="20"/>
                <w:lang w:eastAsia="hr-HR"/>
              </w:rPr>
              <w:t>,</w:t>
            </w:r>
            <w:r w:rsidRPr="00532810">
              <w:rPr>
                <w:rFonts w:eastAsia="Times New Roman"/>
                <w:color w:val="000000"/>
                <w:sz w:val="20"/>
                <w:szCs w:val="20"/>
                <w:lang w:eastAsia="hr-HR"/>
              </w:rPr>
              <w:t>090</w:t>
            </w:r>
            <w:r>
              <w:rPr>
                <w:rFonts w:eastAsia="Times New Roman"/>
                <w:color w:val="000000"/>
                <w:sz w:val="20"/>
                <w:szCs w:val="20"/>
                <w:lang w:eastAsia="hr-HR"/>
              </w:rPr>
              <w:t>,</w:t>
            </w:r>
            <w:r w:rsidRPr="00532810">
              <w:rPr>
                <w:rFonts w:eastAsia="Times New Roman"/>
                <w:color w:val="000000"/>
                <w:sz w:val="20"/>
                <w:szCs w:val="20"/>
                <w:lang w:eastAsia="hr-HR"/>
              </w:rPr>
              <w:t>695</w:t>
            </w:r>
          </w:p>
        </w:tc>
      </w:tr>
      <w:tr w:rsidR="001249A2" w:rsidRPr="009702B0" w14:paraId="63056B43" w14:textId="77777777" w:rsidTr="00AA20DA">
        <w:trPr>
          <w:trHeight w:hRule="exact" w:val="291"/>
        </w:trPr>
        <w:tc>
          <w:tcPr>
            <w:tcW w:w="2045" w:type="pct"/>
            <w:vAlign w:val="bottom"/>
          </w:tcPr>
          <w:p w14:paraId="3CE2BF25" w14:textId="77777777" w:rsidR="001249A2" w:rsidRPr="009702B0" w:rsidRDefault="001249A2" w:rsidP="001249A2">
            <w:pPr>
              <w:tabs>
                <w:tab w:val="right" w:pos="1202"/>
              </w:tabs>
              <w:spacing w:after="0" w:line="200" w:lineRule="exact"/>
              <w:outlineLvl w:val="0"/>
              <w:rPr>
                <w:rFonts w:eastAsia="Times New Roman" w:cs="Arial"/>
                <w:sz w:val="20"/>
                <w:szCs w:val="20"/>
              </w:rPr>
            </w:pPr>
            <w:r w:rsidRPr="009702B0">
              <w:rPr>
                <w:rFonts w:eastAsia="Times New Roman" w:cs="Arial"/>
                <w:sz w:val="20"/>
                <w:szCs w:val="20"/>
              </w:rPr>
              <w:t>Provisions for impairment losses</w:t>
            </w:r>
          </w:p>
        </w:tc>
        <w:tc>
          <w:tcPr>
            <w:tcW w:w="737" w:type="pct"/>
            <w:tcBorders>
              <w:top w:val="nil"/>
              <w:left w:val="nil"/>
              <w:bottom w:val="single" w:sz="4" w:space="0" w:color="auto"/>
              <w:right w:val="nil"/>
            </w:tcBorders>
            <w:shd w:val="clear" w:color="auto" w:fill="auto"/>
            <w:vAlign w:val="bottom"/>
          </w:tcPr>
          <w:p w14:paraId="61CBB9D1" w14:textId="056DE081" w:rsidR="001249A2" w:rsidRPr="009702B0" w:rsidRDefault="001249A2" w:rsidP="001249A2">
            <w:pPr>
              <w:tabs>
                <w:tab w:val="right" w:pos="1202"/>
              </w:tabs>
              <w:spacing w:after="0" w:line="200" w:lineRule="exact"/>
              <w:jc w:val="right"/>
              <w:outlineLvl w:val="0"/>
              <w:rPr>
                <w:rFonts w:eastAsia="Times New Roman" w:cs="Arial"/>
                <w:spacing w:val="-2"/>
                <w:sz w:val="20"/>
                <w:szCs w:val="20"/>
              </w:rPr>
            </w:pPr>
            <w:r w:rsidRPr="001249A2">
              <w:rPr>
                <w:rFonts w:eastAsia="Times New Roman"/>
                <w:color w:val="000000"/>
                <w:sz w:val="20"/>
                <w:szCs w:val="20"/>
                <w:lang w:eastAsia="hr-HR"/>
              </w:rPr>
              <w:t>(2,743,950)</w:t>
            </w:r>
            <w:r w:rsidRPr="001249A2" w:rsidDel="009A0DF2">
              <w:rPr>
                <w:rFonts w:eastAsia="Times New Roman"/>
                <w:color w:val="000000"/>
                <w:sz w:val="20"/>
                <w:szCs w:val="20"/>
                <w:lang w:eastAsia="hr-HR"/>
              </w:rPr>
              <w:t xml:space="preserve"> </w:t>
            </w:r>
          </w:p>
        </w:tc>
        <w:tc>
          <w:tcPr>
            <w:tcW w:w="737" w:type="pct"/>
            <w:tcBorders>
              <w:top w:val="nil"/>
              <w:left w:val="nil"/>
              <w:bottom w:val="single" w:sz="4" w:space="0" w:color="auto"/>
              <w:right w:val="nil"/>
            </w:tcBorders>
            <w:shd w:val="clear" w:color="auto" w:fill="auto"/>
            <w:vAlign w:val="bottom"/>
          </w:tcPr>
          <w:p w14:paraId="5FA47CC9" w14:textId="77777777" w:rsidR="001249A2" w:rsidRPr="00532810" w:rsidRDefault="001249A2" w:rsidP="006B318F">
            <w:pPr>
              <w:tabs>
                <w:tab w:val="right" w:pos="1202"/>
              </w:tabs>
              <w:spacing w:after="0" w:line="200" w:lineRule="exact"/>
              <w:jc w:val="right"/>
              <w:outlineLvl w:val="0"/>
              <w:rPr>
                <w:rFonts w:eastAsia="Times New Roman"/>
                <w:color w:val="000000"/>
                <w:sz w:val="20"/>
                <w:szCs w:val="20"/>
                <w:lang w:eastAsia="hr-HR"/>
              </w:rPr>
            </w:pPr>
            <w:r w:rsidRPr="00532810">
              <w:rPr>
                <w:rFonts w:eastAsia="Times New Roman"/>
                <w:color w:val="000000"/>
                <w:sz w:val="20"/>
                <w:szCs w:val="20"/>
                <w:lang w:eastAsia="hr-HR"/>
              </w:rPr>
              <w:t>(2</w:t>
            </w:r>
            <w:r>
              <w:rPr>
                <w:rFonts w:eastAsia="Times New Roman"/>
                <w:color w:val="000000"/>
                <w:sz w:val="20"/>
                <w:szCs w:val="20"/>
                <w:lang w:eastAsia="hr-HR"/>
              </w:rPr>
              <w:t>,</w:t>
            </w:r>
            <w:r w:rsidRPr="00532810">
              <w:rPr>
                <w:rFonts w:eastAsia="Times New Roman"/>
                <w:color w:val="000000"/>
                <w:sz w:val="20"/>
                <w:szCs w:val="20"/>
                <w:lang w:eastAsia="hr-HR"/>
              </w:rPr>
              <w:t>579</w:t>
            </w:r>
            <w:r>
              <w:rPr>
                <w:rFonts w:eastAsia="Times New Roman"/>
                <w:color w:val="000000"/>
                <w:sz w:val="20"/>
                <w:szCs w:val="20"/>
                <w:lang w:eastAsia="hr-HR"/>
              </w:rPr>
              <w:t>,</w:t>
            </w:r>
            <w:r w:rsidRPr="00532810">
              <w:rPr>
                <w:rFonts w:eastAsia="Times New Roman"/>
                <w:color w:val="000000"/>
                <w:sz w:val="20"/>
                <w:szCs w:val="20"/>
                <w:lang w:eastAsia="hr-HR"/>
              </w:rPr>
              <w:t>501)</w:t>
            </w:r>
          </w:p>
        </w:tc>
        <w:tc>
          <w:tcPr>
            <w:tcW w:w="737" w:type="pct"/>
            <w:tcBorders>
              <w:top w:val="nil"/>
              <w:left w:val="nil"/>
              <w:bottom w:val="single" w:sz="4" w:space="0" w:color="auto"/>
              <w:right w:val="nil"/>
            </w:tcBorders>
            <w:shd w:val="clear" w:color="auto" w:fill="auto"/>
            <w:vAlign w:val="bottom"/>
          </w:tcPr>
          <w:p w14:paraId="44542082" w14:textId="0C20F8DE" w:rsidR="001249A2" w:rsidRPr="00532810" w:rsidRDefault="001249A2" w:rsidP="001249A2">
            <w:pPr>
              <w:tabs>
                <w:tab w:val="right" w:pos="1202"/>
              </w:tabs>
              <w:spacing w:after="0" w:line="200" w:lineRule="exact"/>
              <w:jc w:val="right"/>
              <w:outlineLvl w:val="0"/>
              <w:rPr>
                <w:rFonts w:eastAsia="Times New Roman" w:cs="Arial"/>
                <w:spacing w:val="-2"/>
                <w:sz w:val="20"/>
                <w:szCs w:val="20"/>
              </w:rPr>
            </w:pPr>
            <w:r w:rsidRPr="001249A2">
              <w:rPr>
                <w:rFonts w:eastAsia="Times New Roman"/>
                <w:color w:val="000000"/>
                <w:sz w:val="20"/>
                <w:szCs w:val="20"/>
                <w:lang w:eastAsia="hr-HR"/>
              </w:rPr>
              <w:t>(2,743,950)</w:t>
            </w:r>
            <w:r w:rsidRPr="001249A2" w:rsidDel="009A0DF2">
              <w:rPr>
                <w:rFonts w:eastAsia="Times New Roman"/>
                <w:color w:val="000000"/>
                <w:sz w:val="20"/>
                <w:szCs w:val="20"/>
                <w:lang w:eastAsia="hr-HR"/>
              </w:rPr>
              <w:t xml:space="preserve"> </w:t>
            </w:r>
          </w:p>
        </w:tc>
        <w:tc>
          <w:tcPr>
            <w:tcW w:w="744" w:type="pct"/>
            <w:tcBorders>
              <w:top w:val="nil"/>
              <w:left w:val="nil"/>
              <w:bottom w:val="single" w:sz="4" w:space="0" w:color="auto"/>
              <w:right w:val="nil"/>
            </w:tcBorders>
            <w:shd w:val="clear" w:color="auto" w:fill="auto"/>
            <w:vAlign w:val="bottom"/>
          </w:tcPr>
          <w:p w14:paraId="6A6FEDDF" w14:textId="77777777" w:rsidR="001249A2" w:rsidRPr="00532810" w:rsidRDefault="001249A2" w:rsidP="006B318F">
            <w:pPr>
              <w:tabs>
                <w:tab w:val="right" w:pos="1202"/>
              </w:tabs>
              <w:spacing w:after="0" w:line="200" w:lineRule="exact"/>
              <w:jc w:val="right"/>
              <w:outlineLvl w:val="0"/>
              <w:rPr>
                <w:rFonts w:eastAsia="Times New Roman"/>
                <w:color w:val="000000"/>
                <w:sz w:val="20"/>
                <w:szCs w:val="20"/>
                <w:lang w:eastAsia="hr-HR"/>
              </w:rPr>
            </w:pPr>
            <w:r w:rsidRPr="00532810">
              <w:rPr>
                <w:rFonts w:eastAsia="Times New Roman"/>
                <w:color w:val="000000"/>
                <w:sz w:val="20"/>
                <w:szCs w:val="20"/>
                <w:lang w:eastAsia="hr-HR"/>
              </w:rPr>
              <w:t>(2</w:t>
            </w:r>
            <w:r>
              <w:rPr>
                <w:rFonts w:eastAsia="Times New Roman"/>
                <w:color w:val="000000"/>
                <w:sz w:val="20"/>
                <w:szCs w:val="20"/>
                <w:lang w:eastAsia="hr-HR"/>
              </w:rPr>
              <w:t>,</w:t>
            </w:r>
            <w:r w:rsidRPr="00532810">
              <w:rPr>
                <w:rFonts w:eastAsia="Times New Roman"/>
                <w:color w:val="000000"/>
                <w:sz w:val="20"/>
                <w:szCs w:val="20"/>
                <w:lang w:eastAsia="hr-HR"/>
              </w:rPr>
              <w:t>579</w:t>
            </w:r>
            <w:r>
              <w:rPr>
                <w:rFonts w:eastAsia="Times New Roman"/>
                <w:color w:val="000000"/>
                <w:sz w:val="20"/>
                <w:szCs w:val="20"/>
                <w:lang w:eastAsia="hr-HR"/>
              </w:rPr>
              <w:t>,</w:t>
            </w:r>
            <w:r w:rsidRPr="00532810">
              <w:rPr>
                <w:rFonts w:eastAsia="Times New Roman"/>
                <w:color w:val="000000"/>
                <w:sz w:val="20"/>
                <w:szCs w:val="20"/>
                <w:lang w:eastAsia="hr-HR"/>
              </w:rPr>
              <w:t>501)</w:t>
            </w:r>
          </w:p>
        </w:tc>
      </w:tr>
      <w:tr w:rsidR="001249A2" w:rsidRPr="009702B0" w14:paraId="2BA51813" w14:textId="77777777" w:rsidTr="00AA20DA">
        <w:trPr>
          <w:trHeight w:hRule="exact" w:val="284"/>
        </w:trPr>
        <w:tc>
          <w:tcPr>
            <w:tcW w:w="2045" w:type="pct"/>
            <w:vAlign w:val="bottom"/>
          </w:tcPr>
          <w:p w14:paraId="61F0CEB7" w14:textId="77777777" w:rsidR="001249A2" w:rsidRPr="009702B0" w:rsidRDefault="001249A2" w:rsidP="001249A2">
            <w:pPr>
              <w:tabs>
                <w:tab w:val="right" w:pos="1202"/>
              </w:tabs>
              <w:spacing w:after="0" w:line="280" w:lineRule="exact"/>
              <w:outlineLvl w:val="0"/>
              <w:rPr>
                <w:rFonts w:eastAsia="Times New Roman" w:cs="Arial"/>
                <w:b/>
                <w:bCs/>
                <w:sz w:val="20"/>
                <w:szCs w:val="20"/>
              </w:rPr>
            </w:pPr>
          </w:p>
        </w:tc>
        <w:tc>
          <w:tcPr>
            <w:tcW w:w="737" w:type="pct"/>
            <w:tcBorders>
              <w:top w:val="single" w:sz="4" w:space="0" w:color="auto"/>
              <w:left w:val="nil"/>
              <w:bottom w:val="single" w:sz="12" w:space="0" w:color="auto"/>
              <w:right w:val="nil"/>
            </w:tcBorders>
            <w:shd w:val="clear" w:color="auto" w:fill="auto"/>
            <w:vAlign w:val="bottom"/>
          </w:tcPr>
          <w:p w14:paraId="6E373977" w14:textId="5AE7DBAE" w:rsidR="001249A2" w:rsidRPr="006B318F" w:rsidRDefault="001249A2" w:rsidP="006B318F">
            <w:pPr>
              <w:spacing w:after="0" w:line="240" w:lineRule="auto"/>
              <w:jc w:val="right"/>
              <w:rPr>
                <w:rFonts w:eastAsia="Times New Roman"/>
                <w:b/>
                <w:bCs/>
                <w:color w:val="000000"/>
                <w:sz w:val="20"/>
                <w:szCs w:val="20"/>
                <w:lang w:eastAsia="hr-HR"/>
              </w:rPr>
            </w:pPr>
            <w:r w:rsidRPr="001249A2">
              <w:rPr>
                <w:rFonts w:eastAsia="Times New Roman"/>
                <w:b/>
                <w:bCs/>
                <w:color w:val="000000"/>
                <w:sz w:val="20"/>
                <w:szCs w:val="20"/>
                <w:lang w:eastAsia="hr-HR"/>
              </w:rPr>
              <w:t>11,913,212</w:t>
            </w:r>
          </w:p>
        </w:tc>
        <w:tc>
          <w:tcPr>
            <w:tcW w:w="737" w:type="pct"/>
            <w:tcBorders>
              <w:top w:val="single" w:sz="4" w:space="0" w:color="auto"/>
              <w:left w:val="nil"/>
              <w:bottom w:val="single" w:sz="12" w:space="0" w:color="auto"/>
              <w:right w:val="nil"/>
            </w:tcBorders>
            <w:shd w:val="clear" w:color="auto" w:fill="auto"/>
            <w:vAlign w:val="bottom"/>
          </w:tcPr>
          <w:p w14:paraId="57A47527" w14:textId="77777777" w:rsidR="001249A2" w:rsidRPr="00532810" w:rsidRDefault="001249A2" w:rsidP="001249A2">
            <w:pPr>
              <w:spacing w:after="0" w:line="240" w:lineRule="auto"/>
              <w:jc w:val="right"/>
              <w:rPr>
                <w:rFonts w:eastAsia="Times New Roman"/>
                <w:b/>
                <w:bCs/>
                <w:color w:val="000000"/>
                <w:sz w:val="20"/>
                <w:szCs w:val="20"/>
                <w:lang w:eastAsia="hr-HR"/>
              </w:rPr>
            </w:pPr>
            <w:r w:rsidRPr="00532810">
              <w:rPr>
                <w:rFonts w:eastAsia="Times New Roman"/>
                <w:b/>
                <w:bCs/>
                <w:color w:val="000000"/>
                <w:sz w:val="20"/>
                <w:szCs w:val="20"/>
                <w:lang w:eastAsia="hr-HR"/>
              </w:rPr>
              <w:t>11</w:t>
            </w:r>
            <w:r>
              <w:rPr>
                <w:rFonts w:eastAsia="Times New Roman"/>
                <w:b/>
                <w:bCs/>
                <w:color w:val="000000"/>
                <w:sz w:val="20"/>
                <w:szCs w:val="20"/>
                <w:lang w:eastAsia="hr-HR"/>
              </w:rPr>
              <w:t>,</w:t>
            </w:r>
            <w:r w:rsidRPr="00532810">
              <w:rPr>
                <w:rFonts w:eastAsia="Times New Roman"/>
                <w:b/>
                <w:bCs/>
                <w:color w:val="000000"/>
                <w:sz w:val="20"/>
                <w:szCs w:val="20"/>
                <w:lang w:eastAsia="hr-HR"/>
              </w:rPr>
              <w:t>511</w:t>
            </w:r>
            <w:r>
              <w:rPr>
                <w:rFonts w:eastAsia="Times New Roman"/>
                <w:b/>
                <w:bCs/>
                <w:color w:val="000000"/>
                <w:sz w:val="20"/>
                <w:szCs w:val="20"/>
                <w:lang w:eastAsia="hr-HR"/>
              </w:rPr>
              <w:t>,</w:t>
            </w:r>
            <w:r w:rsidRPr="00532810">
              <w:rPr>
                <w:rFonts w:eastAsia="Times New Roman"/>
                <w:b/>
                <w:bCs/>
                <w:color w:val="000000"/>
                <w:sz w:val="20"/>
                <w:szCs w:val="20"/>
                <w:lang w:eastAsia="hr-HR"/>
              </w:rPr>
              <w:t>194</w:t>
            </w:r>
          </w:p>
        </w:tc>
        <w:tc>
          <w:tcPr>
            <w:tcW w:w="737" w:type="pct"/>
            <w:tcBorders>
              <w:top w:val="single" w:sz="4" w:space="0" w:color="auto"/>
              <w:left w:val="nil"/>
              <w:bottom w:val="single" w:sz="12" w:space="0" w:color="auto"/>
              <w:right w:val="nil"/>
            </w:tcBorders>
            <w:shd w:val="clear" w:color="auto" w:fill="auto"/>
            <w:vAlign w:val="bottom"/>
          </w:tcPr>
          <w:p w14:paraId="5B2F3ACC" w14:textId="335ABCC3" w:rsidR="001249A2" w:rsidRPr="00532810" w:rsidRDefault="001249A2" w:rsidP="001249A2">
            <w:pPr>
              <w:tabs>
                <w:tab w:val="right" w:pos="1202"/>
              </w:tabs>
              <w:spacing w:after="0" w:line="260" w:lineRule="exact"/>
              <w:jc w:val="right"/>
              <w:outlineLvl w:val="0"/>
              <w:rPr>
                <w:rFonts w:eastAsia="Times New Roman" w:cs="Arial"/>
                <w:b/>
                <w:bCs/>
                <w:spacing w:val="-2"/>
                <w:sz w:val="20"/>
                <w:szCs w:val="20"/>
              </w:rPr>
            </w:pPr>
            <w:r w:rsidRPr="001249A2">
              <w:rPr>
                <w:rFonts w:eastAsia="Times New Roman"/>
                <w:b/>
                <w:bCs/>
                <w:color w:val="000000"/>
                <w:sz w:val="20"/>
                <w:szCs w:val="20"/>
                <w:lang w:eastAsia="hr-HR"/>
              </w:rPr>
              <w:t>11,913,212</w:t>
            </w:r>
          </w:p>
        </w:tc>
        <w:tc>
          <w:tcPr>
            <w:tcW w:w="744" w:type="pct"/>
            <w:tcBorders>
              <w:top w:val="single" w:sz="4" w:space="0" w:color="auto"/>
              <w:left w:val="nil"/>
              <w:bottom w:val="single" w:sz="12" w:space="0" w:color="auto"/>
              <w:right w:val="nil"/>
            </w:tcBorders>
            <w:shd w:val="clear" w:color="auto" w:fill="auto"/>
            <w:vAlign w:val="bottom"/>
          </w:tcPr>
          <w:p w14:paraId="3DEF97F3" w14:textId="77777777" w:rsidR="001249A2" w:rsidRPr="00532810" w:rsidRDefault="001249A2" w:rsidP="001249A2">
            <w:pPr>
              <w:spacing w:after="0" w:line="240" w:lineRule="auto"/>
              <w:jc w:val="right"/>
              <w:rPr>
                <w:rFonts w:eastAsia="Times New Roman"/>
                <w:b/>
                <w:bCs/>
                <w:color w:val="000000"/>
                <w:sz w:val="20"/>
                <w:szCs w:val="20"/>
                <w:lang w:eastAsia="hr-HR"/>
              </w:rPr>
            </w:pPr>
            <w:r w:rsidRPr="00532810">
              <w:rPr>
                <w:rFonts w:eastAsia="Times New Roman"/>
                <w:b/>
                <w:bCs/>
                <w:color w:val="000000"/>
                <w:sz w:val="20"/>
                <w:szCs w:val="20"/>
                <w:lang w:eastAsia="hr-HR"/>
              </w:rPr>
              <w:t>11</w:t>
            </w:r>
            <w:r>
              <w:rPr>
                <w:rFonts w:eastAsia="Times New Roman"/>
                <w:b/>
                <w:bCs/>
                <w:color w:val="000000"/>
                <w:sz w:val="20"/>
                <w:szCs w:val="20"/>
                <w:lang w:eastAsia="hr-HR"/>
              </w:rPr>
              <w:t>,</w:t>
            </w:r>
            <w:r w:rsidRPr="00532810">
              <w:rPr>
                <w:rFonts w:eastAsia="Times New Roman"/>
                <w:b/>
                <w:bCs/>
                <w:color w:val="000000"/>
                <w:sz w:val="20"/>
                <w:szCs w:val="20"/>
                <w:lang w:eastAsia="hr-HR"/>
              </w:rPr>
              <w:t>511</w:t>
            </w:r>
            <w:r>
              <w:rPr>
                <w:rFonts w:eastAsia="Times New Roman"/>
                <w:b/>
                <w:bCs/>
                <w:color w:val="000000"/>
                <w:sz w:val="20"/>
                <w:szCs w:val="20"/>
                <w:lang w:eastAsia="hr-HR"/>
              </w:rPr>
              <w:t>,</w:t>
            </w:r>
            <w:r w:rsidRPr="00532810">
              <w:rPr>
                <w:rFonts w:eastAsia="Times New Roman"/>
                <w:b/>
                <w:bCs/>
                <w:color w:val="000000"/>
                <w:sz w:val="20"/>
                <w:szCs w:val="20"/>
                <w:lang w:eastAsia="hr-HR"/>
              </w:rPr>
              <w:t>194</w:t>
            </w:r>
          </w:p>
        </w:tc>
      </w:tr>
    </w:tbl>
    <w:p w14:paraId="77995FB9" w14:textId="77777777" w:rsidR="009702B0" w:rsidRPr="009702B0" w:rsidRDefault="009702B0" w:rsidP="009702B0">
      <w:pPr>
        <w:tabs>
          <w:tab w:val="left" w:pos="-720"/>
        </w:tabs>
        <w:spacing w:after="0" w:line="240" w:lineRule="auto"/>
        <w:jc w:val="both"/>
        <w:rPr>
          <w:rFonts w:eastAsia="Times New Roman" w:cs="Calibri"/>
          <w:sz w:val="24"/>
          <w:szCs w:val="24"/>
          <w:lang w:eastAsia="hr-HR"/>
        </w:rPr>
      </w:pPr>
    </w:p>
    <w:p w14:paraId="51FA3FB5" w14:textId="77777777" w:rsidR="009702B0" w:rsidRPr="009702B0" w:rsidRDefault="009702B0" w:rsidP="009702B0">
      <w:pPr>
        <w:tabs>
          <w:tab w:val="left" w:pos="-720"/>
          <w:tab w:val="left" w:pos="0"/>
          <w:tab w:val="left" w:pos="851"/>
        </w:tabs>
        <w:spacing w:after="120" w:line="240" w:lineRule="auto"/>
        <w:contextualSpacing/>
        <w:rPr>
          <w:rFonts w:eastAsia="Times New Roman" w:cs="Calibri"/>
          <w:lang w:eastAsia="hr-HR"/>
        </w:rPr>
      </w:pPr>
      <w:r w:rsidRPr="009702B0">
        <w:rPr>
          <w:rFonts w:eastAsia="Times New Roman" w:cs="Calibri"/>
          <w:lang w:eastAsia="hr-HR"/>
        </w:rPr>
        <w:t>Loans to other customers by loan programmes:</w:t>
      </w:r>
    </w:p>
    <w:tbl>
      <w:tblPr>
        <w:tblW w:w="5000" w:type="pct"/>
        <w:tblLayout w:type="fixed"/>
        <w:tblCellMar>
          <w:left w:w="107" w:type="dxa"/>
          <w:right w:w="107" w:type="dxa"/>
        </w:tblCellMar>
        <w:tblLook w:val="0000" w:firstRow="0" w:lastRow="0" w:firstColumn="0" w:lastColumn="0" w:noHBand="0" w:noVBand="0"/>
      </w:tblPr>
      <w:tblGrid>
        <w:gridCol w:w="3846"/>
        <w:gridCol w:w="1377"/>
        <w:gridCol w:w="1377"/>
        <w:gridCol w:w="1377"/>
        <w:gridCol w:w="1377"/>
      </w:tblGrid>
      <w:tr w:rsidR="009702B0" w:rsidRPr="009702B0" w14:paraId="7C7F33DB" w14:textId="77777777" w:rsidTr="009702B0">
        <w:trPr>
          <w:trHeight w:hRule="exact" w:val="286"/>
        </w:trPr>
        <w:tc>
          <w:tcPr>
            <w:tcW w:w="2056" w:type="pct"/>
            <w:vAlign w:val="center"/>
          </w:tcPr>
          <w:p w14:paraId="086AD434" w14:textId="77777777" w:rsidR="009702B0" w:rsidRPr="009702B0" w:rsidRDefault="009702B0" w:rsidP="009702B0">
            <w:pPr>
              <w:tabs>
                <w:tab w:val="left" w:pos="-720"/>
              </w:tabs>
              <w:suppressAutoHyphens/>
              <w:spacing w:after="0" w:line="240" w:lineRule="auto"/>
              <w:rPr>
                <w:rFonts w:eastAsia="Times New Roman" w:cs="Arial"/>
                <w:spacing w:val="-3"/>
                <w:sz w:val="20"/>
                <w:szCs w:val="20"/>
              </w:rPr>
            </w:pPr>
          </w:p>
        </w:tc>
        <w:tc>
          <w:tcPr>
            <w:tcW w:w="1472" w:type="pct"/>
            <w:gridSpan w:val="2"/>
            <w:vAlign w:val="center"/>
          </w:tcPr>
          <w:p w14:paraId="055B9361" w14:textId="77777777" w:rsidR="009702B0" w:rsidRPr="009702B0" w:rsidRDefault="009702B0" w:rsidP="009702B0">
            <w:pPr>
              <w:tabs>
                <w:tab w:val="right" w:pos="1202"/>
              </w:tabs>
              <w:spacing w:after="0" w:line="220" w:lineRule="exact"/>
              <w:jc w:val="right"/>
              <w:outlineLvl w:val="0"/>
              <w:rPr>
                <w:rFonts w:eastAsia="Times New Roman" w:cs="Arial"/>
                <w:b/>
                <w:sz w:val="20"/>
                <w:szCs w:val="20"/>
              </w:rPr>
            </w:pPr>
            <w:r w:rsidRPr="009702B0">
              <w:rPr>
                <w:rFonts w:eastAsia="Times New Roman" w:cs="Arial"/>
                <w:b/>
                <w:sz w:val="20"/>
                <w:szCs w:val="20"/>
              </w:rPr>
              <w:t>Group</w:t>
            </w:r>
          </w:p>
        </w:tc>
        <w:tc>
          <w:tcPr>
            <w:tcW w:w="1472" w:type="pct"/>
            <w:gridSpan w:val="2"/>
            <w:vAlign w:val="center"/>
          </w:tcPr>
          <w:p w14:paraId="2531A477" w14:textId="77777777" w:rsidR="009702B0" w:rsidRPr="009702B0" w:rsidRDefault="009702B0" w:rsidP="009702B0">
            <w:pPr>
              <w:tabs>
                <w:tab w:val="right" w:pos="1202"/>
              </w:tabs>
              <w:spacing w:after="0" w:line="220" w:lineRule="exact"/>
              <w:jc w:val="right"/>
              <w:outlineLvl w:val="0"/>
              <w:rPr>
                <w:rFonts w:eastAsia="Times New Roman" w:cs="Arial"/>
                <w:b/>
                <w:sz w:val="20"/>
                <w:szCs w:val="20"/>
              </w:rPr>
            </w:pPr>
            <w:r w:rsidRPr="009702B0">
              <w:rPr>
                <w:rFonts w:eastAsia="Times New Roman" w:cs="Arial"/>
                <w:b/>
                <w:sz w:val="20"/>
                <w:szCs w:val="20"/>
              </w:rPr>
              <w:t>Bank</w:t>
            </w:r>
          </w:p>
        </w:tc>
      </w:tr>
      <w:tr w:rsidR="00AA20DA" w:rsidRPr="009702B0" w14:paraId="34D280CD" w14:textId="77777777" w:rsidTr="009702B0">
        <w:trPr>
          <w:trHeight w:hRule="exact" w:val="315"/>
        </w:trPr>
        <w:tc>
          <w:tcPr>
            <w:tcW w:w="2056" w:type="pct"/>
            <w:vAlign w:val="center"/>
          </w:tcPr>
          <w:p w14:paraId="36F55577" w14:textId="77777777" w:rsidR="00AA20DA" w:rsidRPr="009702B0" w:rsidRDefault="00AA20DA" w:rsidP="00AA20DA">
            <w:pPr>
              <w:tabs>
                <w:tab w:val="left" w:pos="-720"/>
              </w:tabs>
              <w:suppressAutoHyphens/>
              <w:spacing w:after="0" w:line="240" w:lineRule="auto"/>
              <w:rPr>
                <w:rFonts w:eastAsia="Times New Roman" w:cs="Arial"/>
                <w:spacing w:val="-3"/>
                <w:sz w:val="20"/>
                <w:szCs w:val="20"/>
              </w:rPr>
            </w:pPr>
          </w:p>
        </w:tc>
        <w:tc>
          <w:tcPr>
            <w:tcW w:w="736" w:type="pct"/>
            <w:vAlign w:val="center"/>
          </w:tcPr>
          <w:p w14:paraId="7CDC8846" w14:textId="3B086400" w:rsidR="00AA20DA" w:rsidRPr="00BD634B" w:rsidRDefault="009A0DF2" w:rsidP="00AA20DA">
            <w:pPr>
              <w:spacing w:after="0" w:line="280" w:lineRule="exact"/>
              <w:jc w:val="right"/>
              <w:outlineLvl w:val="0"/>
              <w:rPr>
                <w:rFonts w:eastAsia="Times New Roman" w:cs="Arial"/>
                <w:b/>
                <w:bCs/>
                <w:sz w:val="20"/>
                <w:szCs w:val="20"/>
              </w:rPr>
            </w:pPr>
            <w:r>
              <w:rPr>
                <w:rFonts w:eastAsia="Times New Roman" w:cs="Arial"/>
                <w:b/>
                <w:bCs/>
                <w:sz w:val="20"/>
                <w:szCs w:val="20"/>
              </w:rPr>
              <w:t>Sep</w:t>
            </w:r>
            <w:r w:rsidRPr="006F5561">
              <w:rPr>
                <w:rFonts w:eastAsia="Times New Roman" w:cs="Arial"/>
                <w:b/>
                <w:bCs/>
                <w:sz w:val="20"/>
                <w:szCs w:val="20"/>
              </w:rPr>
              <w:t xml:space="preserve"> </w:t>
            </w:r>
            <w:r w:rsidR="006F5561" w:rsidRPr="006F5561">
              <w:rPr>
                <w:rFonts w:eastAsia="Times New Roman" w:cs="Arial"/>
                <w:b/>
                <w:bCs/>
                <w:sz w:val="20"/>
                <w:szCs w:val="20"/>
              </w:rPr>
              <w:t>30</w:t>
            </w:r>
            <w:r w:rsidR="00AA20DA" w:rsidRPr="00BD634B">
              <w:rPr>
                <w:rFonts w:eastAsia="Times New Roman" w:cs="Arial"/>
                <w:b/>
                <w:bCs/>
                <w:sz w:val="20"/>
                <w:szCs w:val="20"/>
              </w:rPr>
              <w:t>, 201</w:t>
            </w:r>
            <w:r w:rsidR="00AA20DA" w:rsidRPr="00AA20DA">
              <w:rPr>
                <w:rFonts w:eastAsia="Times New Roman" w:cs="Arial"/>
                <w:b/>
                <w:bCs/>
                <w:sz w:val="20"/>
                <w:szCs w:val="20"/>
              </w:rPr>
              <w:t>7</w:t>
            </w:r>
          </w:p>
        </w:tc>
        <w:tc>
          <w:tcPr>
            <w:tcW w:w="736" w:type="pct"/>
            <w:vAlign w:val="center"/>
          </w:tcPr>
          <w:p w14:paraId="3364E1A9" w14:textId="77777777" w:rsidR="00AA20DA" w:rsidRPr="00AA20DA" w:rsidRDefault="00AA20DA" w:rsidP="00AA20DA">
            <w:pPr>
              <w:spacing w:after="0" w:line="280" w:lineRule="exact"/>
              <w:jc w:val="right"/>
              <w:outlineLvl w:val="0"/>
              <w:rPr>
                <w:rFonts w:eastAsia="Times New Roman" w:cs="Arial"/>
                <w:b/>
                <w:bCs/>
                <w:sz w:val="20"/>
                <w:szCs w:val="20"/>
              </w:rPr>
            </w:pPr>
            <w:r w:rsidRPr="00AA20DA">
              <w:rPr>
                <w:rFonts w:eastAsia="Times New Roman" w:cs="Arial"/>
                <w:b/>
                <w:bCs/>
                <w:sz w:val="20"/>
                <w:szCs w:val="20"/>
              </w:rPr>
              <w:t>Dec 31, 2016</w:t>
            </w:r>
          </w:p>
        </w:tc>
        <w:tc>
          <w:tcPr>
            <w:tcW w:w="736" w:type="pct"/>
            <w:vAlign w:val="center"/>
          </w:tcPr>
          <w:p w14:paraId="4031F087" w14:textId="4BF121B3" w:rsidR="00AA20DA" w:rsidRPr="00BD634B" w:rsidRDefault="009A0DF2" w:rsidP="00AA20DA">
            <w:pPr>
              <w:spacing w:after="0" w:line="280" w:lineRule="exact"/>
              <w:jc w:val="right"/>
              <w:outlineLvl w:val="0"/>
              <w:rPr>
                <w:rFonts w:eastAsia="Times New Roman" w:cs="Arial"/>
                <w:b/>
                <w:bCs/>
                <w:sz w:val="20"/>
                <w:szCs w:val="20"/>
              </w:rPr>
            </w:pPr>
            <w:r>
              <w:rPr>
                <w:rFonts w:eastAsia="Times New Roman" w:cs="Arial"/>
                <w:b/>
                <w:bCs/>
                <w:sz w:val="20"/>
                <w:szCs w:val="20"/>
              </w:rPr>
              <w:t>Sep</w:t>
            </w:r>
            <w:r w:rsidRPr="006F5561">
              <w:rPr>
                <w:rFonts w:eastAsia="Times New Roman" w:cs="Arial"/>
                <w:b/>
                <w:bCs/>
                <w:sz w:val="20"/>
                <w:szCs w:val="20"/>
              </w:rPr>
              <w:t xml:space="preserve"> </w:t>
            </w:r>
            <w:r w:rsidR="006F5561" w:rsidRPr="006F5561">
              <w:rPr>
                <w:rFonts w:eastAsia="Times New Roman" w:cs="Arial"/>
                <w:b/>
                <w:bCs/>
                <w:sz w:val="20"/>
                <w:szCs w:val="20"/>
              </w:rPr>
              <w:t>30</w:t>
            </w:r>
            <w:r w:rsidR="00AA20DA" w:rsidRPr="00BD634B">
              <w:rPr>
                <w:rFonts w:eastAsia="Times New Roman" w:cs="Arial"/>
                <w:b/>
                <w:bCs/>
                <w:sz w:val="20"/>
                <w:szCs w:val="20"/>
              </w:rPr>
              <w:t>, 201</w:t>
            </w:r>
            <w:r w:rsidR="00AA20DA" w:rsidRPr="00AA20DA">
              <w:rPr>
                <w:rFonts w:eastAsia="Times New Roman" w:cs="Arial"/>
                <w:b/>
                <w:bCs/>
                <w:sz w:val="20"/>
                <w:szCs w:val="20"/>
              </w:rPr>
              <w:t>7</w:t>
            </w:r>
          </w:p>
        </w:tc>
        <w:tc>
          <w:tcPr>
            <w:tcW w:w="736" w:type="pct"/>
            <w:vAlign w:val="center"/>
          </w:tcPr>
          <w:p w14:paraId="56E5469B" w14:textId="77777777" w:rsidR="00AA20DA" w:rsidRPr="00AA20DA" w:rsidRDefault="00AA20DA" w:rsidP="00AA20DA">
            <w:pPr>
              <w:spacing w:after="0" w:line="280" w:lineRule="exact"/>
              <w:jc w:val="right"/>
              <w:outlineLvl w:val="0"/>
              <w:rPr>
                <w:rFonts w:eastAsia="Times New Roman" w:cs="Arial"/>
                <w:b/>
                <w:bCs/>
                <w:sz w:val="20"/>
                <w:szCs w:val="20"/>
              </w:rPr>
            </w:pPr>
            <w:r w:rsidRPr="00AA20DA">
              <w:rPr>
                <w:rFonts w:eastAsia="Times New Roman" w:cs="Arial"/>
                <w:b/>
                <w:bCs/>
                <w:sz w:val="20"/>
                <w:szCs w:val="20"/>
              </w:rPr>
              <w:t>Dec 31, 2016</w:t>
            </w:r>
          </w:p>
        </w:tc>
      </w:tr>
      <w:tr w:rsidR="007F74E7" w:rsidRPr="009702B0" w14:paraId="1C691B2E" w14:textId="77777777" w:rsidTr="006B318F">
        <w:trPr>
          <w:trHeight w:hRule="exact" w:val="542"/>
        </w:trPr>
        <w:tc>
          <w:tcPr>
            <w:tcW w:w="2056" w:type="pct"/>
            <w:vAlign w:val="bottom"/>
          </w:tcPr>
          <w:p w14:paraId="0AA3FFCF" w14:textId="77777777" w:rsidR="007F74E7" w:rsidRPr="009702B0" w:rsidRDefault="007F74E7" w:rsidP="007F74E7">
            <w:pPr>
              <w:tabs>
                <w:tab w:val="right" w:pos="1202"/>
              </w:tabs>
              <w:spacing w:after="0" w:line="240" w:lineRule="auto"/>
              <w:outlineLvl w:val="0"/>
              <w:rPr>
                <w:rFonts w:eastAsia="Times New Roman" w:cs="Arial"/>
                <w:sz w:val="20"/>
                <w:szCs w:val="20"/>
              </w:rPr>
            </w:pPr>
            <w:r w:rsidRPr="009702B0">
              <w:rPr>
                <w:rFonts w:cs="Arial"/>
                <w:sz w:val="20"/>
                <w:szCs w:val="20"/>
              </w:rPr>
              <w:t>Loan programme for reconstruction and development of the economy</w:t>
            </w:r>
          </w:p>
        </w:tc>
        <w:tc>
          <w:tcPr>
            <w:tcW w:w="736" w:type="pct"/>
            <w:tcBorders>
              <w:top w:val="nil"/>
              <w:left w:val="nil"/>
              <w:bottom w:val="nil"/>
              <w:right w:val="nil"/>
            </w:tcBorders>
            <w:shd w:val="clear" w:color="auto" w:fill="auto"/>
            <w:vAlign w:val="bottom"/>
          </w:tcPr>
          <w:p w14:paraId="509958AD" w14:textId="25FF5C19" w:rsidR="007F74E7" w:rsidRPr="006B318F" w:rsidRDefault="007F74E7" w:rsidP="006B318F">
            <w:pPr>
              <w:spacing w:after="0" w:line="240" w:lineRule="auto"/>
              <w:jc w:val="right"/>
              <w:rPr>
                <w:color w:val="000000"/>
                <w:sz w:val="20"/>
              </w:rPr>
            </w:pPr>
            <w:r w:rsidRPr="006B318F">
              <w:rPr>
                <w:color w:val="000000"/>
                <w:sz w:val="20"/>
              </w:rPr>
              <w:t>4,150,093</w:t>
            </w:r>
          </w:p>
        </w:tc>
        <w:tc>
          <w:tcPr>
            <w:tcW w:w="736" w:type="pct"/>
            <w:tcBorders>
              <w:top w:val="nil"/>
              <w:left w:val="nil"/>
              <w:bottom w:val="nil"/>
              <w:right w:val="nil"/>
            </w:tcBorders>
            <w:shd w:val="clear" w:color="auto" w:fill="auto"/>
            <w:vAlign w:val="bottom"/>
          </w:tcPr>
          <w:p w14:paraId="25EBD2B2" w14:textId="77777777" w:rsidR="007F74E7" w:rsidRPr="001F00C6" w:rsidRDefault="007F74E7" w:rsidP="007F74E7">
            <w:pPr>
              <w:spacing w:after="0" w:line="240" w:lineRule="auto"/>
              <w:jc w:val="right"/>
              <w:rPr>
                <w:rFonts w:eastAsia="Times New Roman"/>
                <w:color w:val="000000"/>
                <w:sz w:val="20"/>
                <w:szCs w:val="20"/>
                <w:lang w:eastAsia="hr-HR"/>
              </w:rPr>
            </w:pPr>
            <w:r w:rsidRPr="00CC1164">
              <w:rPr>
                <w:color w:val="000000"/>
                <w:sz w:val="20"/>
              </w:rPr>
              <w:t>4</w:t>
            </w:r>
            <w:r>
              <w:rPr>
                <w:color w:val="000000"/>
                <w:sz w:val="20"/>
              </w:rPr>
              <w:t>,</w:t>
            </w:r>
            <w:r w:rsidRPr="00CC1164">
              <w:rPr>
                <w:color w:val="000000"/>
                <w:sz w:val="20"/>
              </w:rPr>
              <w:t>123</w:t>
            </w:r>
            <w:r>
              <w:rPr>
                <w:color w:val="000000"/>
                <w:sz w:val="20"/>
              </w:rPr>
              <w:t>,</w:t>
            </w:r>
            <w:r w:rsidRPr="00CC1164">
              <w:rPr>
                <w:color w:val="000000"/>
                <w:sz w:val="20"/>
              </w:rPr>
              <w:t>892</w:t>
            </w:r>
          </w:p>
        </w:tc>
        <w:tc>
          <w:tcPr>
            <w:tcW w:w="736" w:type="pct"/>
            <w:tcBorders>
              <w:top w:val="nil"/>
              <w:left w:val="nil"/>
              <w:bottom w:val="nil"/>
              <w:right w:val="nil"/>
            </w:tcBorders>
            <w:shd w:val="clear" w:color="auto" w:fill="auto"/>
            <w:vAlign w:val="bottom"/>
          </w:tcPr>
          <w:p w14:paraId="62FEB514" w14:textId="564B86F2" w:rsidR="007F74E7" w:rsidRPr="001F00C6" w:rsidRDefault="007F74E7" w:rsidP="007F74E7">
            <w:pPr>
              <w:spacing w:after="0" w:line="240" w:lineRule="auto"/>
              <w:jc w:val="right"/>
              <w:rPr>
                <w:rFonts w:eastAsia="Times New Roman"/>
                <w:color w:val="000000"/>
                <w:sz w:val="20"/>
                <w:szCs w:val="20"/>
                <w:lang w:eastAsia="hr-HR"/>
              </w:rPr>
            </w:pPr>
            <w:r w:rsidRPr="00FE65B6">
              <w:rPr>
                <w:color w:val="000000"/>
                <w:sz w:val="20"/>
              </w:rPr>
              <w:t>4,150,093</w:t>
            </w:r>
          </w:p>
        </w:tc>
        <w:tc>
          <w:tcPr>
            <w:tcW w:w="736" w:type="pct"/>
            <w:tcBorders>
              <w:top w:val="nil"/>
              <w:left w:val="nil"/>
              <w:bottom w:val="nil"/>
              <w:right w:val="nil"/>
            </w:tcBorders>
            <w:shd w:val="clear" w:color="auto" w:fill="auto"/>
            <w:vAlign w:val="bottom"/>
          </w:tcPr>
          <w:p w14:paraId="6075A5DE" w14:textId="77777777" w:rsidR="007F74E7" w:rsidRPr="001F00C6" w:rsidRDefault="007F74E7" w:rsidP="007F74E7">
            <w:pPr>
              <w:spacing w:after="0" w:line="240" w:lineRule="auto"/>
              <w:jc w:val="right"/>
              <w:rPr>
                <w:rFonts w:eastAsia="Times New Roman"/>
                <w:color w:val="000000"/>
                <w:sz w:val="20"/>
                <w:szCs w:val="20"/>
                <w:lang w:eastAsia="hr-HR"/>
              </w:rPr>
            </w:pPr>
            <w:r w:rsidRPr="00CC1164">
              <w:rPr>
                <w:color w:val="000000"/>
                <w:sz w:val="20"/>
              </w:rPr>
              <w:t>4</w:t>
            </w:r>
            <w:r>
              <w:rPr>
                <w:color w:val="000000"/>
                <w:sz w:val="20"/>
              </w:rPr>
              <w:t>,</w:t>
            </w:r>
            <w:r w:rsidRPr="00CC1164">
              <w:rPr>
                <w:color w:val="000000"/>
                <w:sz w:val="20"/>
              </w:rPr>
              <w:t>123</w:t>
            </w:r>
            <w:r>
              <w:rPr>
                <w:color w:val="000000"/>
                <w:sz w:val="20"/>
              </w:rPr>
              <w:t>,</w:t>
            </w:r>
            <w:r w:rsidRPr="00CC1164">
              <w:rPr>
                <w:color w:val="000000"/>
                <w:sz w:val="20"/>
              </w:rPr>
              <w:t>892</w:t>
            </w:r>
          </w:p>
        </w:tc>
      </w:tr>
      <w:tr w:rsidR="007F74E7" w:rsidRPr="009702B0" w14:paraId="7741338B" w14:textId="77777777" w:rsidTr="006B318F">
        <w:trPr>
          <w:trHeight w:hRule="exact" w:val="255"/>
        </w:trPr>
        <w:tc>
          <w:tcPr>
            <w:tcW w:w="2056" w:type="pct"/>
            <w:vAlign w:val="bottom"/>
          </w:tcPr>
          <w:p w14:paraId="07446BE9" w14:textId="77777777" w:rsidR="007F74E7" w:rsidRPr="009702B0" w:rsidRDefault="007F74E7" w:rsidP="007F74E7">
            <w:pPr>
              <w:tabs>
                <w:tab w:val="right" w:pos="1202"/>
              </w:tabs>
              <w:spacing w:after="0" w:line="240" w:lineRule="auto"/>
              <w:outlineLvl w:val="0"/>
              <w:rPr>
                <w:rFonts w:eastAsia="Times New Roman" w:cs="Arial"/>
                <w:sz w:val="20"/>
                <w:szCs w:val="20"/>
              </w:rPr>
            </w:pPr>
            <w:r w:rsidRPr="009702B0">
              <w:rPr>
                <w:rFonts w:cs="Arial"/>
                <w:sz w:val="20"/>
                <w:szCs w:val="20"/>
              </w:rPr>
              <w:t>Export financing</w:t>
            </w:r>
          </w:p>
        </w:tc>
        <w:tc>
          <w:tcPr>
            <w:tcW w:w="736" w:type="pct"/>
            <w:tcBorders>
              <w:top w:val="nil"/>
              <w:left w:val="nil"/>
              <w:bottom w:val="nil"/>
              <w:right w:val="nil"/>
            </w:tcBorders>
            <w:shd w:val="clear" w:color="auto" w:fill="auto"/>
            <w:vAlign w:val="bottom"/>
          </w:tcPr>
          <w:p w14:paraId="66EC85F6" w14:textId="411FB96F" w:rsidR="007F74E7" w:rsidRPr="006B318F" w:rsidRDefault="007F74E7" w:rsidP="006B318F">
            <w:pPr>
              <w:spacing w:after="0" w:line="240" w:lineRule="auto"/>
              <w:jc w:val="right"/>
              <w:rPr>
                <w:color w:val="000000"/>
                <w:sz w:val="20"/>
              </w:rPr>
            </w:pPr>
            <w:r w:rsidRPr="006B318F">
              <w:rPr>
                <w:color w:val="000000"/>
                <w:sz w:val="20"/>
              </w:rPr>
              <w:t>5,207,562</w:t>
            </w:r>
          </w:p>
        </w:tc>
        <w:tc>
          <w:tcPr>
            <w:tcW w:w="736" w:type="pct"/>
            <w:tcBorders>
              <w:top w:val="nil"/>
              <w:left w:val="nil"/>
              <w:bottom w:val="nil"/>
              <w:right w:val="nil"/>
            </w:tcBorders>
            <w:shd w:val="clear" w:color="auto" w:fill="auto"/>
            <w:vAlign w:val="bottom"/>
          </w:tcPr>
          <w:p w14:paraId="1ADC10AD" w14:textId="77777777" w:rsidR="007F74E7" w:rsidRPr="001F00C6" w:rsidRDefault="007F74E7" w:rsidP="007F74E7">
            <w:pPr>
              <w:spacing w:after="0" w:line="240" w:lineRule="auto"/>
              <w:jc w:val="right"/>
              <w:rPr>
                <w:rFonts w:eastAsia="Times New Roman"/>
                <w:color w:val="000000"/>
                <w:sz w:val="20"/>
                <w:szCs w:val="20"/>
                <w:lang w:eastAsia="hr-HR"/>
              </w:rPr>
            </w:pPr>
            <w:r w:rsidRPr="00CC1164">
              <w:rPr>
                <w:color w:val="000000"/>
                <w:sz w:val="20"/>
              </w:rPr>
              <w:t>4</w:t>
            </w:r>
            <w:r>
              <w:rPr>
                <w:color w:val="000000"/>
                <w:sz w:val="20"/>
              </w:rPr>
              <w:t>,</w:t>
            </w:r>
            <w:r w:rsidRPr="00CC1164">
              <w:rPr>
                <w:color w:val="000000"/>
                <w:sz w:val="20"/>
              </w:rPr>
              <w:t>687</w:t>
            </w:r>
            <w:r>
              <w:rPr>
                <w:color w:val="000000"/>
                <w:sz w:val="20"/>
              </w:rPr>
              <w:t>,</w:t>
            </w:r>
            <w:r w:rsidRPr="00CC1164">
              <w:rPr>
                <w:color w:val="000000"/>
                <w:sz w:val="20"/>
              </w:rPr>
              <w:t>115</w:t>
            </w:r>
          </w:p>
        </w:tc>
        <w:tc>
          <w:tcPr>
            <w:tcW w:w="736" w:type="pct"/>
            <w:tcBorders>
              <w:top w:val="nil"/>
              <w:left w:val="nil"/>
              <w:bottom w:val="nil"/>
              <w:right w:val="nil"/>
            </w:tcBorders>
            <w:shd w:val="clear" w:color="auto" w:fill="auto"/>
            <w:vAlign w:val="bottom"/>
          </w:tcPr>
          <w:p w14:paraId="07787C51" w14:textId="1C669C23" w:rsidR="007F74E7" w:rsidRPr="001F00C6" w:rsidRDefault="007F74E7" w:rsidP="007F74E7">
            <w:pPr>
              <w:spacing w:after="0" w:line="240" w:lineRule="auto"/>
              <w:jc w:val="right"/>
              <w:rPr>
                <w:rFonts w:eastAsia="Times New Roman"/>
                <w:color w:val="000000"/>
                <w:sz w:val="20"/>
                <w:szCs w:val="20"/>
                <w:lang w:eastAsia="hr-HR"/>
              </w:rPr>
            </w:pPr>
            <w:r w:rsidRPr="00FE65B6">
              <w:rPr>
                <w:color w:val="000000"/>
                <w:sz w:val="20"/>
              </w:rPr>
              <w:t>5,207,562</w:t>
            </w:r>
          </w:p>
        </w:tc>
        <w:tc>
          <w:tcPr>
            <w:tcW w:w="736" w:type="pct"/>
            <w:tcBorders>
              <w:top w:val="nil"/>
              <w:left w:val="nil"/>
              <w:bottom w:val="nil"/>
              <w:right w:val="nil"/>
            </w:tcBorders>
            <w:shd w:val="clear" w:color="auto" w:fill="auto"/>
            <w:vAlign w:val="bottom"/>
          </w:tcPr>
          <w:p w14:paraId="3445DD22" w14:textId="77777777" w:rsidR="007F74E7" w:rsidRPr="001F00C6" w:rsidRDefault="007F74E7" w:rsidP="007F74E7">
            <w:pPr>
              <w:spacing w:after="0" w:line="240" w:lineRule="auto"/>
              <w:jc w:val="right"/>
              <w:rPr>
                <w:rFonts w:eastAsia="Times New Roman"/>
                <w:color w:val="000000"/>
                <w:sz w:val="20"/>
                <w:szCs w:val="20"/>
                <w:lang w:eastAsia="hr-HR"/>
              </w:rPr>
            </w:pPr>
            <w:r w:rsidRPr="00CC1164">
              <w:rPr>
                <w:color w:val="000000"/>
                <w:sz w:val="20"/>
              </w:rPr>
              <w:t>4</w:t>
            </w:r>
            <w:r>
              <w:rPr>
                <w:color w:val="000000"/>
                <w:sz w:val="20"/>
              </w:rPr>
              <w:t>,</w:t>
            </w:r>
            <w:r w:rsidRPr="00CC1164">
              <w:rPr>
                <w:color w:val="000000"/>
                <w:sz w:val="20"/>
              </w:rPr>
              <w:t>687</w:t>
            </w:r>
            <w:r>
              <w:rPr>
                <w:color w:val="000000"/>
                <w:sz w:val="20"/>
              </w:rPr>
              <w:t>,</w:t>
            </w:r>
            <w:r w:rsidRPr="00CC1164">
              <w:rPr>
                <w:color w:val="000000"/>
                <w:sz w:val="20"/>
              </w:rPr>
              <w:t>115</w:t>
            </w:r>
          </w:p>
        </w:tc>
      </w:tr>
      <w:tr w:rsidR="007F74E7" w:rsidRPr="009702B0" w14:paraId="137A1047" w14:textId="77777777" w:rsidTr="006B318F">
        <w:trPr>
          <w:trHeight w:hRule="exact" w:val="492"/>
        </w:trPr>
        <w:tc>
          <w:tcPr>
            <w:tcW w:w="2056" w:type="pct"/>
            <w:vAlign w:val="bottom"/>
          </w:tcPr>
          <w:p w14:paraId="1B6365AB" w14:textId="77777777" w:rsidR="007F74E7" w:rsidRPr="009702B0" w:rsidRDefault="007F74E7" w:rsidP="007F74E7">
            <w:pPr>
              <w:tabs>
                <w:tab w:val="right" w:pos="1202"/>
              </w:tabs>
              <w:spacing w:after="0" w:line="240" w:lineRule="auto"/>
              <w:outlineLvl w:val="0"/>
              <w:rPr>
                <w:rFonts w:eastAsia="Times New Roman" w:cs="Arial"/>
                <w:sz w:val="20"/>
                <w:szCs w:val="20"/>
              </w:rPr>
            </w:pPr>
            <w:r w:rsidRPr="009702B0">
              <w:rPr>
                <w:rFonts w:cs="Arial"/>
                <w:sz w:val="20"/>
                <w:szCs w:val="20"/>
              </w:rPr>
              <w:t>Loan programme for reconstruction and development of infrastructure in the</w:t>
            </w:r>
            <w:r w:rsidRPr="009702B0">
              <w:rPr>
                <w:rFonts w:cs="Arial"/>
              </w:rPr>
              <w:t xml:space="preserve"> Republic of Croatia</w:t>
            </w:r>
          </w:p>
        </w:tc>
        <w:tc>
          <w:tcPr>
            <w:tcW w:w="736" w:type="pct"/>
            <w:tcBorders>
              <w:top w:val="nil"/>
              <w:left w:val="nil"/>
              <w:bottom w:val="nil"/>
              <w:right w:val="nil"/>
            </w:tcBorders>
            <w:shd w:val="clear" w:color="auto" w:fill="auto"/>
            <w:vAlign w:val="bottom"/>
          </w:tcPr>
          <w:p w14:paraId="4F400280" w14:textId="67E871BC" w:rsidR="007F74E7" w:rsidRPr="00166751" w:rsidRDefault="007F74E7" w:rsidP="007F74E7">
            <w:pPr>
              <w:spacing w:after="0" w:line="240" w:lineRule="auto"/>
              <w:jc w:val="right"/>
              <w:rPr>
                <w:color w:val="000000"/>
                <w:sz w:val="20"/>
              </w:rPr>
            </w:pPr>
            <w:r w:rsidRPr="006B318F">
              <w:rPr>
                <w:color w:val="000000"/>
                <w:sz w:val="20"/>
              </w:rPr>
              <w:t>3,233,109</w:t>
            </w:r>
          </w:p>
        </w:tc>
        <w:tc>
          <w:tcPr>
            <w:tcW w:w="736" w:type="pct"/>
            <w:tcBorders>
              <w:top w:val="nil"/>
              <w:left w:val="nil"/>
              <w:bottom w:val="nil"/>
              <w:right w:val="nil"/>
            </w:tcBorders>
            <w:shd w:val="clear" w:color="auto" w:fill="auto"/>
            <w:vAlign w:val="bottom"/>
          </w:tcPr>
          <w:p w14:paraId="65ACB6DF" w14:textId="77777777" w:rsidR="007F74E7" w:rsidRPr="001F00C6" w:rsidRDefault="007F74E7" w:rsidP="007F74E7">
            <w:pPr>
              <w:spacing w:after="0" w:line="240" w:lineRule="auto"/>
              <w:jc w:val="right"/>
              <w:rPr>
                <w:rFonts w:eastAsia="Times New Roman"/>
                <w:color w:val="000000"/>
                <w:sz w:val="20"/>
                <w:szCs w:val="20"/>
                <w:lang w:eastAsia="hr-HR"/>
              </w:rPr>
            </w:pPr>
            <w:r w:rsidRPr="00CC1164">
              <w:rPr>
                <w:color w:val="000000"/>
                <w:sz w:val="20"/>
              </w:rPr>
              <w:t>3</w:t>
            </w:r>
            <w:r>
              <w:rPr>
                <w:color w:val="000000"/>
                <w:sz w:val="20"/>
              </w:rPr>
              <w:t>,</w:t>
            </w:r>
            <w:r w:rsidRPr="00CC1164">
              <w:rPr>
                <w:color w:val="000000"/>
                <w:sz w:val="20"/>
              </w:rPr>
              <w:t>075</w:t>
            </w:r>
            <w:r>
              <w:rPr>
                <w:color w:val="000000"/>
                <w:sz w:val="20"/>
              </w:rPr>
              <w:t>,</w:t>
            </w:r>
            <w:r w:rsidRPr="00CC1164">
              <w:rPr>
                <w:color w:val="000000"/>
                <w:sz w:val="20"/>
              </w:rPr>
              <w:t>022</w:t>
            </w:r>
          </w:p>
        </w:tc>
        <w:tc>
          <w:tcPr>
            <w:tcW w:w="736" w:type="pct"/>
            <w:tcBorders>
              <w:top w:val="nil"/>
              <w:left w:val="nil"/>
              <w:bottom w:val="nil"/>
              <w:right w:val="nil"/>
            </w:tcBorders>
            <w:shd w:val="clear" w:color="auto" w:fill="auto"/>
            <w:vAlign w:val="bottom"/>
          </w:tcPr>
          <w:p w14:paraId="2DF08911" w14:textId="5D328E9A" w:rsidR="007F74E7" w:rsidRPr="001F00C6" w:rsidRDefault="007F74E7" w:rsidP="007F74E7">
            <w:pPr>
              <w:spacing w:after="0" w:line="240" w:lineRule="auto"/>
              <w:jc w:val="right"/>
              <w:rPr>
                <w:rFonts w:eastAsia="Times New Roman"/>
                <w:color w:val="000000"/>
                <w:sz w:val="20"/>
                <w:szCs w:val="20"/>
                <w:lang w:eastAsia="hr-HR"/>
              </w:rPr>
            </w:pPr>
            <w:r w:rsidRPr="00FE65B6">
              <w:rPr>
                <w:color w:val="000000"/>
                <w:sz w:val="20"/>
              </w:rPr>
              <w:t>3,233,109</w:t>
            </w:r>
          </w:p>
        </w:tc>
        <w:tc>
          <w:tcPr>
            <w:tcW w:w="736" w:type="pct"/>
            <w:tcBorders>
              <w:top w:val="nil"/>
              <w:left w:val="nil"/>
              <w:bottom w:val="nil"/>
              <w:right w:val="nil"/>
            </w:tcBorders>
            <w:shd w:val="clear" w:color="auto" w:fill="auto"/>
            <w:vAlign w:val="bottom"/>
          </w:tcPr>
          <w:p w14:paraId="7FC714E8" w14:textId="77777777" w:rsidR="007F74E7" w:rsidRPr="001F00C6" w:rsidRDefault="007F74E7" w:rsidP="007F74E7">
            <w:pPr>
              <w:spacing w:after="0" w:line="240" w:lineRule="auto"/>
              <w:jc w:val="right"/>
              <w:rPr>
                <w:rFonts w:eastAsia="Times New Roman"/>
                <w:color w:val="000000"/>
                <w:sz w:val="20"/>
                <w:szCs w:val="20"/>
                <w:lang w:eastAsia="hr-HR"/>
              </w:rPr>
            </w:pPr>
            <w:r w:rsidRPr="00CC1164">
              <w:rPr>
                <w:color w:val="000000"/>
                <w:sz w:val="20"/>
              </w:rPr>
              <w:t>3</w:t>
            </w:r>
            <w:r>
              <w:rPr>
                <w:color w:val="000000"/>
                <w:sz w:val="20"/>
              </w:rPr>
              <w:t>,</w:t>
            </w:r>
            <w:r w:rsidRPr="00CC1164">
              <w:rPr>
                <w:color w:val="000000"/>
                <w:sz w:val="20"/>
              </w:rPr>
              <w:t>075</w:t>
            </w:r>
            <w:r>
              <w:rPr>
                <w:color w:val="000000"/>
                <w:sz w:val="20"/>
              </w:rPr>
              <w:t>,</w:t>
            </w:r>
            <w:r w:rsidRPr="00CC1164">
              <w:rPr>
                <w:color w:val="000000"/>
                <w:sz w:val="20"/>
              </w:rPr>
              <w:t>022</w:t>
            </w:r>
          </w:p>
        </w:tc>
      </w:tr>
      <w:tr w:rsidR="007F74E7" w:rsidRPr="009702B0" w14:paraId="3AE2EF53" w14:textId="77777777" w:rsidTr="006B318F">
        <w:trPr>
          <w:trHeight w:hRule="exact" w:val="511"/>
        </w:trPr>
        <w:tc>
          <w:tcPr>
            <w:tcW w:w="2056" w:type="pct"/>
            <w:vAlign w:val="bottom"/>
          </w:tcPr>
          <w:p w14:paraId="4CCF4158" w14:textId="77777777" w:rsidR="007F74E7" w:rsidRPr="009702B0" w:rsidRDefault="007F74E7" w:rsidP="007F74E7">
            <w:pPr>
              <w:tabs>
                <w:tab w:val="right" w:pos="1202"/>
              </w:tabs>
              <w:spacing w:after="0" w:line="240" w:lineRule="auto"/>
              <w:outlineLvl w:val="0"/>
              <w:rPr>
                <w:rFonts w:eastAsia="Times New Roman" w:cs="Arial"/>
                <w:sz w:val="20"/>
                <w:szCs w:val="20"/>
              </w:rPr>
            </w:pPr>
            <w:r w:rsidRPr="009702B0">
              <w:rPr>
                <w:rFonts w:cs="Arial"/>
                <w:sz w:val="20"/>
                <w:szCs w:val="20"/>
              </w:rPr>
              <w:t>Loan programme for small and medium-sized enterprises</w:t>
            </w:r>
          </w:p>
        </w:tc>
        <w:tc>
          <w:tcPr>
            <w:tcW w:w="736" w:type="pct"/>
            <w:tcBorders>
              <w:top w:val="nil"/>
              <w:left w:val="nil"/>
              <w:bottom w:val="nil"/>
              <w:right w:val="nil"/>
            </w:tcBorders>
            <w:shd w:val="clear" w:color="auto" w:fill="auto"/>
            <w:vAlign w:val="bottom"/>
          </w:tcPr>
          <w:p w14:paraId="460AA6BC" w14:textId="1AABC96F" w:rsidR="007F74E7" w:rsidRPr="006B318F" w:rsidRDefault="007F74E7" w:rsidP="006B318F">
            <w:pPr>
              <w:spacing w:after="0" w:line="240" w:lineRule="auto"/>
              <w:jc w:val="right"/>
              <w:rPr>
                <w:color w:val="000000"/>
                <w:sz w:val="20"/>
              </w:rPr>
            </w:pPr>
            <w:r w:rsidRPr="006B318F">
              <w:rPr>
                <w:color w:val="000000"/>
                <w:sz w:val="20"/>
              </w:rPr>
              <w:t>2,039,616</w:t>
            </w:r>
          </w:p>
        </w:tc>
        <w:tc>
          <w:tcPr>
            <w:tcW w:w="736" w:type="pct"/>
            <w:tcBorders>
              <w:top w:val="nil"/>
              <w:left w:val="nil"/>
              <w:bottom w:val="nil"/>
              <w:right w:val="nil"/>
            </w:tcBorders>
            <w:shd w:val="clear" w:color="auto" w:fill="auto"/>
            <w:vAlign w:val="bottom"/>
          </w:tcPr>
          <w:p w14:paraId="21AB4501" w14:textId="77777777" w:rsidR="007F74E7" w:rsidRPr="001F00C6" w:rsidRDefault="007F74E7" w:rsidP="007F74E7">
            <w:pPr>
              <w:spacing w:after="0" w:line="240" w:lineRule="auto"/>
              <w:jc w:val="right"/>
              <w:rPr>
                <w:rFonts w:eastAsia="Times New Roman"/>
                <w:color w:val="000000"/>
                <w:sz w:val="20"/>
                <w:szCs w:val="20"/>
                <w:lang w:eastAsia="hr-HR"/>
              </w:rPr>
            </w:pPr>
            <w:r w:rsidRPr="00CC1164">
              <w:rPr>
                <w:color w:val="000000"/>
                <w:sz w:val="20"/>
              </w:rPr>
              <w:t>2</w:t>
            </w:r>
            <w:r>
              <w:rPr>
                <w:color w:val="000000"/>
                <w:sz w:val="20"/>
              </w:rPr>
              <w:t>,</w:t>
            </w:r>
            <w:r w:rsidRPr="00CC1164">
              <w:rPr>
                <w:color w:val="000000"/>
                <w:sz w:val="20"/>
              </w:rPr>
              <w:t>158</w:t>
            </w:r>
            <w:r>
              <w:rPr>
                <w:color w:val="000000"/>
                <w:sz w:val="20"/>
              </w:rPr>
              <w:t>,</w:t>
            </w:r>
            <w:r w:rsidRPr="00CC1164">
              <w:rPr>
                <w:color w:val="000000"/>
                <w:sz w:val="20"/>
              </w:rPr>
              <w:t>612</w:t>
            </w:r>
          </w:p>
        </w:tc>
        <w:tc>
          <w:tcPr>
            <w:tcW w:w="736" w:type="pct"/>
            <w:tcBorders>
              <w:top w:val="nil"/>
              <w:left w:val="nil"/>
              <w:bottom w:val="nil"/>
              <w:right w:val="nil"/>
            </w:tcBorders>
            <w:shd w:val="clear" w:color="auto" w:fill="auto"/>
            <w:vAlign w:val="bottom"/>
          </w:tcPr>
          <w:p w14:paraId="4282EE83" w14:textId="0C7C8B28" w:rsidR="007F74E7" w:rsidRPr="001F00C6" w:rsidRDefault="007F74E7" w:rsidP="007F74E7">
            <w:pPr>
              <w:spacing w:after="0" w:line="240" w:lineRule="auto"/>
              <w:jc w:val="right"/>
              <w:rPr>
                <w:rFonts w:eastAsia="Times New Roman"/>
                <w:color w:val="000000"/>
                <w:sz w:val="20"/>
                <w:szCs w:val="20"/>
                <w:lang w:eastAsia="hr-HR"/>
              </w:rPr>
            </w:pPr>
            <w:r w:rsidRPr="00FE65B6">
              <w:rPr>
                <w:color w:val="000000"/>
                <w:sz w:val="20"/>
              </w:rPr>
              <w:t>2,039,616</w:t>
            </w:r>
          </w:p>
        </w:tc>
        <w:tc>
          <w:tcPr>
            <w:tcW w:w="736" w:type="pct"/>
            <w:tcBorders>
              <w:top w:val="nil"/>
              <w:left w:val="nil"/>
              <w:bottom w:val="nil"/>
              <w:right w:val="nil"/>
            </w:tcBorders>
            <w:shd w:val="clear" w:color="auto" w:fill="auto"/>
            <w:vAlign w:val="bottom"/>
          </w:tcPr>
          <w:p w14:paraId="3404E571" w14:textId="77777777" w:rsidR="007F74E7" w:rsidRPr="001F00C6" w:rsidRDefault="007F74E7" w:rsidP="007F74E7">
            <w:pPr>
              <w:spacing w:after="0" w:line="240" w:lineRule="auto"/>
              <w:jc w:val="right"/>
              <w:rPr>
                <w:rFonts w:eastAsia="Times New Roman"/>
                <w:color w:val="000000"/>
                <w:sz w:val="20"/>
                <w:szCs w:val="20"/>
                <w:lang w:eastAsia="hr-HR"/>
              </w:rPr>
            </w:pPr>
            <w:r w:rsidRPr="00CC1164">
              <w:rPr>
                <w:color w:val="000000"/>
                <w:sz w:val="20"/>
              </w:rPr>
              <w:t>2</w:t>
            </w:r>
            <w:r>
              <w:rPr>
                <w:color w:val="000000"/>
                <w:sz w:val="20"/>
              </w:rPr>
              <w:t>,</w:t>
            </w:r>
            <w:r w:rsidRPr="00CC1164">
              <w:rPr>
                <w:color w:val="000000"/>
                <w:sz w:val="20"/>
              </w:rPr>
              <w:t>158</w:t>
            </w:r>
            <w:r>
              <w:rPr>
                <w:color w:val="000000"/>
                <w:sz w:val="20"/>
              </w:rPr>
              <w:t>,</w:t>
            </w:r>
            <w:r w:rsidRPr="00CC1164">
              <w:rPr>
                <w:color w:val="000000"/>
                <w:sz w:val="20"/>
              </w:rPr>
              <w:t>612</w:t>
            </w:r>
          </w:p>
        </w:tc>
      </w:tr>
      <w:tr w:rsidR="007F74E7" w:rsidRPr="009702B0" w14:paraId="100CD9D0" w14:textId="77777777" w:rsidTr="006B318F">
        <w:trPr>
          <w:trHeight w:hRule="exact" w:val="255"/>
        </w:trPr>
        <w:tc>
          <w:tcPr>
            <w:tcW w:w="2056" w:type="pct"/>
            <w:vAlign w:val="bottom"/>
          </w:tcPr>
          <w:p w14:paraId="2F0423BC" w14:textId="77777777" w:rsidR="007F74E7" w:rsidRPr="009702B0" w:rsidRDefault="007F74E7" w:rsidP="007F74E7">
            <w:pPr>
              <w:tabs>
                <w:tab w:val="right" w:pos="1202"/>
              </w:tabs>
              <w:spacing w:after="0" w:line="240" w:lineRule="auto"/>
              <w:outlineLvl w:val="0"/>
              <w:rPr>
                <w:rFonts w:eastAsia="Times New Roman" w:cs="Arial"/>
                <w:sz w:val="20"/>
                <w:szCs w:val="20"/>
              </w:rPr>
            </w:pPr>
            <w:r w:rsidRPr="009702B0">
              <w:rPr>
                <w:rFonts w:eastAsia="Times New Roman" w:cs="Arial"/>
                <w:sz w:val="20"/>
                <w:szCs w:val="20"/>
              </w:rPr>
              <w:t>Other</w:t>
            </w:r>
          </w:p>
        </w:tc>
        <w:tc>
          <w:tcPr>
            <w:tcW w:w="736" w:type="pct"/>
            <w:tcBorders>
              <w:top w:val="nil"/>
              <w:left w:val="nil"/>
              <w:bottom w:val="nil"/>
              <w:right w:val="nil"/>
            </w:tcBorders>
            <w:shd w:val="clear" w:color="auto" w:fill="auto"/>
            <w:vAlign w:val="bottom"/>
          </w:tcPr>
          <w:p w14:paraId="4CDBC24E" w14:textId="3350AA35" w:rsidR="007F74E7" w:rsidRPr="006B318F" w:rsidRDefault="007F74E7" w:rsidP="006B318F">
            <w:pPr>
              <w:spacing w:after="0" w:line="240" w:lineRule="auto"/>
              <w:jc w:val="right"/>
              <w:rPr>
                <w:color w:val="000000"/>
                <w:sz w:val="20"/>
              </w:rPr>
            </w:pPr>
            <w:r w:rsidRPr="006B318F">
              <w:rPr>
                <w:color w:val="000000"/>
                <w:sz w:val="20"/>
              </w:rPr>
              <w:t>48,202</w:t>
            </w:r>
          </w:p>
        </w:tc>
        <w:tc>
          <w:tcPr>
            <w:tcW w:w="736" w:type="pct"/>
            <w:tcBorders>
              <w:top w:val="nil"/>
              <w:left w:val="nil"/>
              <w:bottom w:val="nil"/>
              <w:right w:val="nil"/>
            </w:tcBorders>
            <w:shd w:val="clear" w:color="auto" w:fill="auto"/>
            <w:vAlign w:val="bottom"/>
          </w:tcPr>
          <w:p w14:paraId="25BA1077" w14:textId="77777777" w:rsidR="007F74E7" w:rsidRPr="001F00C6" w:rsidRDefault="007F74E7" w:rsidP="007F74E7">
            <w:pPr>
              <w:tabs>
                <w:tab w:val="right" w:pos="1202"/>
              </w:tabs>
              <w:spacing w:after="0" w:line="260" w:lineRule="exact"/>
              <w:jc w:val="right"/>
              <w:outlineLvl w:val="0"/>
              <w:rPr>
                <w:rFonts w:eastAsia="Times New Roman"/>
                <w:color w:val="000000"/>
                <w:sz w:val="20"/>
                <w:szCs w:val="20"/>
                <w:lang w:eastAsia="hr-HR"/>
              </w:rPr>
            </w:pPr>
            <w:r w:rsidRPr="00166751">
              <w:rPr>
                <w:rFonts w:eastAsia="Times New Roman"/>
                <w:color w:val="000000"/>
                <w:sz w:val="20"/>
                <w:szCs w:val="20"/>
                <w:lang w:eastAsia="hr-HR"/>
              </w:rPr>
              <w:t>81,959</w:t>
            </w:r>
          </w:p>
        </w:tc>
        <w:tc>
          <w:tcPr>
            <w:tcW w:w="736" w:type="pct"/>
            <w:tcBorders>
              <w:top w:val="nil"/>
              <w:left w:val="nil"/>
              <w:bottom w:val="nil"/>
              <w:right w:val="nil"/>
            </w:tcBorders>
            <w:shd w:val="clear" w:color="auto" w:fill="auto"/>
            <w:vAlign w:val="bottom"/>
          </w:tcPr>
          <w:p w14:paraId="6E166ECF" w14:textId="19EC837D" w:rsidR="007F74E7" w:rsidRPr="001F00C6" w:rsidRDefault="007F74E7" w:rsidP="007F74E7">
            <w:pPr>
              <w:tabs>
                <w:tab w:val="right" w:pos="1202"/>
              </w:tabs>
              <w:spacing w:after="0" w:line="260" w:lineRule="exact"/>
              <w:jc w:val="right"/>
              <w:outlineLvl w:val="0"/>
              <w:rPr>
                <w:rFonts w:eastAsia="Times New Roman"/>
                <w:color w:val="000000"/>
                <w:sz w:val="20"/>
                <w:szCs w:val="20"/>
                <w:lang w:eastAsia="hr-HR"/>
              </w:rPr>
            </w:pPr>
            <w:r w:rsidRPr="00FE65B6">
              <w:rPr>
                <w:color w:val="000000"/>
                <w:sz w:val="20"/>
              </w:rPr>
              <w:t>48,202</w:t>
            </w:r>
          </w:p>
        </w:tc>
        <w:tc>
          <w:tcPr>
            <w:tcW w:w="736" w:type="pct"/>
            <w:tcBorders>
              <w:top w:val="nil"/>
              <w:left w:val="nil"/>
              <w:bottom w:val="nil"/>
              <w:right w:val="nil"/>
            </w:tcBorders>
            <w:shd w:val="clear" w:color="auto" w:fill="auto"/>
            <w:vAlign w:val="bottom"/>
          </w:tcPr>
          <w:p w14:paraId="6DA5E346" w14:textId="77777777" w:rsidR="007F74E7" w:rsidRPr="001F00C6" w:rsidRDefault="007F74E7" w:rsidP="007F74E7">
            <w:pPr>
              <w:tabs>
                <w:tab w:val="right" w:pos="1202"/>
              </w:tabs>
              <w:spacing w:after="0" w:line="260" w:lineRule="exact"/>
              <w:jc w:val="right"/>
              <w:outlineLvl w:val="0"/>
              <w:rPr>
                <w:rFonts w:eastAsia="Times New Roman"/>
                <w:color w:val="000000"/>
                <w:sz w:val="20"/>
                <w:szCs w:val="20"/>
                <w:lang w:eastAsia="hr-HR"/>
              </w:rPr>
            </w:pPr>
            <w:r w:rsidRPr="00166751">
              <w:rPr>
                <w:rFonts w:eastAsia="Times New Roman"/>
                <w:color w:val="000000"/>
                <w:sz w:val="20"/>
                <w:szCs w:val="20"/>
                <w:lang w:eastAsia="hr-HR"/>
              </w:rPr>
              <w:t>81,959</w:t>
            </w:r>
          </w:p>
        </w:tc>
      </w:tr>
      <w:tr w:rsidR="007F74E7" w:rsidRPr="009702B0" w14:paraId="0BAC8192" w14:textId="77777777" w:rsidTr="006B318F">
        <w:trPr>
          <w:trHeight w:hRule="exact" w:val="283"/>
        </w:trPr>
        <w:tc>
          <w:tcPr>
            <w:tcW w:w="2056" w:type="pct"/>
            <w:vAlign w:val="bottom"/>
          </w:tcPr>
          <w:p w14:paraId="580CAAE5" w14:textId="77777777" w:rsidR="007F74E7" w:rsidRPr="009702B0" w:rsidRDefault="007F74E7" w:rsidP="007F74E7">
            <w:pPr>
              <w:tabs>
                <w:tab w:val="right" w:pos="1202"/>
              </w:tabs>
              <w:spacing w:after="0" w:line="240" w:lineRule="auto"/>
              <w:outlineLvl w:val="0"/>
              <w:rPr>
                <w:rFonts w:eastAsia="Times New Roman" w:cs="Arial"/>
                <w:sz w:val="20"/>
                <w:szCs w:val="20"/>
              </w:rPr>
            </w:pPr>
            <w:r w:rsidRPr="009702B0">
              <w:rPr>
                <w:rFonts w:eastAsia="Times New Roman" w:cs="Arial"/>
                <w:sz w:val="20"/>
                <w:szCs w:val="20"/>
              </w:rPr>
              <w:t>Accrued interest</w:t>
            </w:r>
          </w:p>
        </w:tc>
        <w:tc>
          <w:tcPr>
            <w:tcW w:w="736" w:type="pct"/>
            <w:tcBorders>
              <w:top w:val="nil"/>
              <w:left w:val="nil"/>
              <w:bottom w:val="nil"/>
              <w:right w:val="nil"/>
            </w:tcBorders>
            <w:shd w:val="clear" w:color="auto" w:fill="auto"/>
            <w:vAlign w:val="bottom"/>
          </w:tcPr>
          <w:p w14:paraId="79050514" w14:textId="470B17FA" w:rsidR="007F74E7" w:rsidRPr="006B318F" w:rsidRDefault="007F74E7" w:rsidP="006B318F">
            <w:pPr>
              <w:spacing w:after="0" w:line="240" w:lineRule="auto"/>
              <w:jc w:val="right"/>
              <w:rPr>
                <w:color w:val="000000"/>
                <w:sz w:val="20"/>
              </w:rPr>
            </w:pPr>
            <w:r w:rsidRPr="006B318F">
              <w:rPr>
                <w:color w:val="000000"/>
                <w:sz w:val="20"/>
              </w:rPr>
              <w:t>92,497</w:t>
            </w:r>
          </w:p>
        </w:tc>
        <w:tc>
          <w:tcPr>
            <w:tcW w:w="736" w:type="pct"/>
            <w:tcBorders>
              <w:top w:val="nil"/>
              <w:left w:val="nil"/>
              <w:bottom w:val="nil"/>
              <w:right w:val="nil"/>
            </w:tcBorders>
            <w:shd w:val="clear" w:color="auto" w:fill="auto"/>
            <w:vAlign w:val="bottom"/>
          </w:tcPr>
          <w:p w14:paraId="50A0D410" w14:textId="77777777" w:rsidR="007F74E7" w:rsidRPr="001F00C6" w:rsidRDefault="007F74E7" w:rsidP="007F74E7">
            <w:pPr>
              <w:tabs>
                <w:tab w:val="right" w:pos="1202"/>
              </w:tabs>
              <w:spacing w:after="0" w:line="260" w:lineRule="exact"/>
              <w:jc w:val="right"/>
              <w:outlineLvl w:val="0"/>
              <w:rPr>
                <w:rFonts w:eastAsia="Times New Roman"/>
                <w:color w:val="000000"/>
                <w:sz w:val="20"/>
                <w:szCs w:val="20"/>
                <w:lang w:eastAsia="hr-HR"/>
              </w:rPr>
            </w:pPr>
            <w:r w:rsidRPr="00166751">
              <w:rPr>
                <w:rFonts w:eastAsia="Times New Roman"/>
                <w:color w:val="000000"/>
                <w:sz w:val="20"/>
                <w:szCs w:val="20"/>
                <w:lang w:eastAsia="hr-HR"/>
              </w:rPr>
              <w:t>83,423</w:t>
            </w:r>
          </w:p>
        </w:tc>
        <w:tc>
          <w:tcPr>
            <w:tcW w:w="736" w:type="pct"/>
            <w:tcBorders>
              <w:top w:val="nil"/>
              <w:left w:val="nil"/>
              <w:bottom w:val="nil"/>
              <w:right w:val="nil"/>
            </w:tcBorders>
            <w:shd w:val="clear" w:color="auto" w:fill="auto"/>
            <w:vAlign w:val="bottom"/>
          </w:tcPr>
          <w:p w14:paraId="44F45722" w14:textId="02C04CD0" w:rsidR="007F74E7" w:rsidRPr="001F00C6" w:rsidRDefault="007F74E7" w:rsidP="007F74E7">
            <w:pPr>
              <w:tabs>
                <w:tab w:val="right" w:pos="1202"/>
              </w:tabs>
              <w:spacing w:after="0" w:line="260" w:lineRule="exact"/>
              <w:jc w:val="right"/>
              <w:outlineLvl w:val="0"/>
              <w:rPr>
                <w:rFonts w:eastAsia="Times New Roman"/>
                <w:color w:val="000000"/>
                <w:sz w:val="20"/>
                <w:szCs w:val="20"/>
                <w:lang w:eastAsia="hr-HR"/>
              </w:rPr>
            </w:pPr>
            <w:r w:rsidRPr="00FE65B6">
              <w:rPr>
                <w:color w:val="000000"/>
                <w:sz w:val="20"/>
              </w:rPr>
              <w:t>92,497</w:t>
            </w:r>
          </w:p>
        </w:tc>
        <w:tc>
          <w:tcPr>
            <w:tcW w:w="736" w:type="pct"/>
            <w:tcBorders>
              <w:top w:val="nil"/>
              <w:left w:val="nil"/>
              <w:bottom w:val="nil"/>
              <w:right w:val="nil"/>
            </w:tcBorders>
            <w:shd w:val="clear" w:color="auto" w:fill="auto"/>
            <w:vAlign w:val="bottom"/>
          </w:tcPr>
          <w:p w14:paraId="6CBF8DB6" w14:textId="77777777" w:rsidR="007F74E7" w:rsidRPr="001F00C6" w:rsidRDefault="007F74E7" w:rsidP="007F74E7">
            <w:pPr>
              <w:tabs>
                <w:tab w:val="right" w:pos="1202"/>
              </w:tabs>
              <w:spacing w:after="0" w:line="260" w:lineRule="exact"/>
              <w:jc w:val="right"/>
              <w:outlineLvl w:val="0"/>
              <w:rPr>
                <w:rFonts w:eastAsia="Times New Roman"/>
                <w:color w:val="000000"/>
                <w:sz w:val="20"/>
                <w:szCs w:val="20"/>
                <w:lang w:eastAsia="hr-HR"/>
              </w:rPr>
            </w:pPr>
            <w:r w:rsidRPr="00166751">
              <w:rPr>
                <w:rFonts w:eastAsia="Times New Roman"/>
                <w:color w:val="000000"/>
                <w:sz w:val="20"/>
                <w:szCs w:val="20"/>
                <w:lang w:eastAsia="hr-HR"/>
              </w:rPr>
              <w:t>83,423</w:t>
            </w:r>
          </w:p>
        </w:tc>
      </w:tr>
      <w:tr w:rsidR="007F74E7" w:rsidRPr="009702B0" w14:paraId="29929E89" w14:textId="77777777" w:rsidTr="006B318F">
        <w:trPr>
          <w:trHeight w:hRule="exact" w:val="284"/>
        </w:trPr>
        <w:tc>
          <w:tcPr>
            <w:tcW w:w="2056" w:type="pct"/>
            <w:vAlign w:val="bottom"/>
          </w:tcPr>
          <w:p w14:paraId="73F37AA7" w14:textId="77777777" w:rsidR="007F74E7" w:rsidRPr="009702B0" w:rsidRDefault="007F74E7" w:rsidP="007F74E7">
            <w:pPr>
              <w:tabs>
                <w:tab w:val="right" w:pos="1202"/>
              </w:tabs>
              <w:spacing w:after="0" w:line="240" w:lineRule="auto"/>
              <w:outlineLvl w:val="0"/>
              <w:rPr>
                <w:rFonts w:eastAsia="Times New Roman" w:cs="Arial"/>
                <w:sz w:val="20"/>
                <w:szCs w:val="20"/>
              </w:rPr>
            </w:pPr>
            <w:r w:rsidRPr="009702B0">
              <w:rPr>
                <w:rFonts w:cs="Arial"/>
                <w:sz w:val="20"/>
                <w:szCs w:val="20"/>
              </w:rPr>
              <w:t>Deferred recognition of loan origination</w:t>
            </w:r>
            <w:r w:rsidRPr="009702B0">
              <w:rPr>
                <w:rFonts w:cs="Arial"/>
              </w:rPr>
              <w:t xml:space="preserve"> </w:t>
            </w:r>
            <w:r w:rsidRPr="009702B0">
              <w:rPr>
                <w:rFonts w:cs="Arial"/>
                <w:sz w:val="20"/>
                <w:szCs w:val="20"/>
              </w:rPr>
              <w:t>fees</w:t>
            </w:r>
          </w:p>
        </w:tc>
        <w:tc>
          <w:tcPr>
            <w:tcW w:w="736" w:type="pct"/>
            <w:tcBorders>
              <w:top w:val="nil"/>
              <w:left w:val="nil"/>
              <w:bottom w:val="nil"/>
              <w:right w:val="nil"/>
            </w:tcBorders>
            <w:shd w:val="clear" w:color="auto" w:fill="auto"/>
            <w:vAlign w:val="bottom"/>
          </w:tcPr>
          <w:p w14:paraId="5EB556D8" w14:textId="598213EE" w:rsidR="007F74E7" w:rsidRPr="006B318F" w:rsidRDefault="007F74E7" w:rsidP="006B318F">
            <w:pPr>
              <w:spacing w:after="0" w:line="240" w:lineRule="auto"/>
              <w:jc w:val="right"/>
              <w:rPr>
                <w:color w:val="000000"/>
                <w:sz w:val="20"/>
              </w:rPr>
            </w:pPr>
            <w:r w:rsidRPr="006B318F">
              <w:rPr>
                <w:color w:val="000000"/>
                <w:sz w:val="20"/>
              </w:rPr>
              <w:t xml:space="preserve"> (113,917)</w:t>
            </w:r>
          </w:p>
        </w:tc>
        <w:tc>
          <w:tcPr>
            <w:tcW w:w="736" w:type="pct"/>
            <w:tcBorders>
              <w:top w:val="nil"/>
              <w:left w:val="nil"/>
              <w:bottom w:val="nil"/>
              <w:right w:val="nil"/>
            </w:tcBorders>
            <w:shd w:val="clear" w:color="auto" w:fill="auto"/>
            <w:vAlign w:val="bottom"/>
          </w:tcPr>
          <w:p w14:paraId="6DD1982C" w14:textId="77777777" w:rsidR="007F74E7" w:rsidRPr="00166751" w:rsidRDefault="007F74E7" w:rsidP="007F74E7">
            <w:pPr>
              <w:tabs>
                <w:tab w:val="right" w:pos="1202"/>
              </w:tabs>
              <w:spacing w:after="0" w:line="260" w:lineRule="exact"/>
              <w:jc w:val="right"/>
              <w:outlineLvl w:val="0"/>
              <w:rPr>
                <w:color w:val="000000"/>
                <w:sz w:val="20"/>
              </w:rPr>
            </w:pPr>
            <w:r w:rsidRPr="00CC1164">
              <w:rPr>
                <w:color w:val="000000"/>
                <w:sz w:val="20"/>
              </w:rPr>
              <w:t xml:space="preserve"> (119</w:t>
            </w:r>
            <w:r>
              <w:rPr>
                <w:color w:val="000000"/>
                <w:sz w:val="20"/>
              </w:rPr>
              <w:t>,</w:t>
            </w:r>
            <w:r w:rsidRPr="00CC1164">
              <w:rPr>
                <w:color w:val="000000"/>
                <w:sz w:val="20"/>
              </w:rPr>
              <w:t>328)</w:t>
            </w:r>
          </w:p>
        </w:tc>
        <w:tc>
          <w:tcPr>
            <w:tcW w:w="736" w:type="pct"/>
            <w:tcBorders>
              <w:top w:val="nil"/>
              <w:left w:val="nil"/>
              <w:bottom w:val="nil"/>
              <w:right w:val="nil"/>
            </w:tcBorders>
            <w:shd w:val="clear" w:color="auto" w:fill="auto"/>
            <w:vAlign w:val="bottom"/>
          </w:tcPr>
          <w:p w14:paraId="1CC7CBEB" w14:textId="3637839E" w:rsidR="007F74E7" w:rsidRPr="00166751" w:rsidRDefault="007F74E7" w:rsidP="007F74E7">
            <w:pPr>
              <w:tabs>
                <w:tab w:val="right" w:pos="1202"/>
              </w:tabs>
              <w:spacing w:after="0" w:line="260" w:lineRule="exact"/>
              <w:jc w:val="right"/>
              <w:outlineLvl w:val="0"/>
              <w:rPr>
                <w:color w:val="000000"/>
                <w:sz w:val="20"/>
              </w:rPr>
            </w:pPr>
            <w:r w:rsidRPr="00FE65B6">
              <w:rPr>
                <w:color w:val="000000"/>
                <w:sz w:val="20"/>
              </w:rPr>
              <w:t xml:space="preserve"> (113,917)</w:t>
            </w:r>
          </w:p>
        </w:tc>
        <w:tc>
          <w:tcPr>
            <w:tcW w:w="736" w:type="pct"/>
            <w:tcBorders>
              <w:top w:val="nil"/>
              <w:left w:val="nil"/>
              <w:bottom w:val="nil"/>
              <w:right w:val="nil"/>
            </w:tcBorders>
            <w:shd w:val="clear" w:color="auto" w:fill="auto"/>
            <w:vAlign w:val="bottom"/>
          </w:tcPr>
          <w:p w14:paraId="37E6BAA2" w14:textId="77777777" w:rsidR="007F74E7" w:rsidRPr="00166751" w:rsidRDefault="007F74E7" w:rsidP="007F74E7">
            <w:pPr>
              <w:tabs>
                <w:tab w:val="right" w:pos="1202"/>
              </w:tabs>
              <w:spacing w:after="0" w:line="260" w:lineRule="exact"/>
              <w:jc w:val="right"/>
              <w:outlineLvl w:val="0"/>
              <w:rPr>
                <w:color w:val="000000"/>
                <w:sz w:val="20"/>
              </w:rPr>
            </w:pPr>
            <w:r w:rsidRPr="00CC1164">
              <w:rPr>
                <w:color w:val="000000"/>
                <w:sz w:val="20"/>
              </w:rPr>
              <w:t xml:space="preserve"> (119</w:t>
            </w:r>
            <w:r>
              <w:rPr>
                <w:color w:val="000000"/>
                <w:sz w:val="20"/>
              </w:rPr>
              <w:t>,</w:t>
            </w:r>
            <w:r w:rsidRPr="00CC1164">
              <w:rPr>
                <w:color w:val="000000"/>
                <w:sz w:val="20"/>
              </w:rPr>
              <w:t>328)</w:t>
            </w:r>
          </w:p>
        </w:tc>
      </w:tr>
      <w:tr w:rsidR="007F74E7" w:rsidRPr="009702B0" w14:paraId="797D61FB" w14:textId="77777777" w:rsidTr="00AA20DA">
        <w:trPr>
          <w:trHeight w:val="250"/>
        </w:trPr>
        <w:tc>
          <w:tcPr>
            <w:tcW w:w="2056" w:type="pct"/>
            <w:vAlign w:val="bottom"/>
          </w:tcPr>
          <w:p w14:paraId="78D8C4C2" w14:textId="77777777" w:rsidR="007F74E7" w:rsidRPr="009702B0" w:rsidRDefault="007F74E7" w:rsidP="007F74E7">
            <w:pPr>
              <w:tabs>
                <w:tab w:val="right" w:pos="1202"/>
              </w:tabs>
              <w:spacing w:after="0" w:line="220" w:lineRule="exact"/>
              <w:outlineLvl w:val="0"/>
              <w:rPr>
                <w:rFonts w:eastAsia="Times New Roman" w:cs="Arial"/>
                <w:spacing w:val="-3"/>
                <w:sz w:val="20"/>
                <w:szCs w:val="20"/>
              </w:rPr>
            </w:pPr>
          </w:p>
        </w:tc>
        <w:tc>
          <w:tcPr>
            <w:tcW w:w="736" w:type="pct"/>
            <w:tcBorders>
              <w:top w:val="single" w:sz="4" w:space="0" w:color="auto"/>
              <w:left w:val="nil"/>
              <w:bottom w:val="single" w:sz="4" w:space="0" w:color="auto"/>
              <w:right w:val="nil"/>
            </w:tcBorders>
            <w:shd w:val="clear" w:color="auto" w:fill="auto"/>
            <w:vAlign w:val="bottom"/>
          </w:tcPr>
          <w:p w14:paraId="2F014242" w14:textId="099043B7" w:rsidR="007F74E7" w:rsidRPr="009702B0" w:rsidRDefault="007F74E7" w:rsidP="007F74E7">
            <w:pPr>
              <w:tabs>
                <w:tab w:val="right" w:pos="1202"/>
              </w:tabs>
              <w:spacing w:after="0" w:line="220" w:lineRule="exact"/>
              <w:jc w:val="right"/>
              <w:outlineLvl w:val="0"/>
              <w:rPr>
                <w:rFonts w:eastAsia="Times New Roman" w:cs="Arial"/>
                <w:sz w:val="20"/>
                <w:szCs w:val="20"/>
              </w:rPr>
            </w:pPr>
            <w:r w:rsidRPr="007F74E7">
              <w:rPr>
                <w:rFonts w:eastAsia="Times New Roman"/>
                <w:color w:val="000000"/>
                <w:sz w:val="20"/>
                <w:szCs w:val="20"/>
                <w:lang w:eastAsia="hr-HR"/>
              </w:rPr>
              <w:t>14,657,162</w:t>
            </w:r>
          </w:p>
        </w:tc>
        <w:tc>
          <w:tcPr>
            <w:tcW w:w="736" w:type="pct"/>
            <w:tcBorders>
              <w:top w:val="single" w:sz="4" w:space="0" w:color="auto"/>
              <w:left w:val="nil"/>
              <w:bottom w:val="single" w:sz="4" w:space="0" w:color="auto"/>
              <w:right w:val="nil"/>
            </w:tcBorders>
            <w:shd w:val="clear" w:color="auto" w:fill="auto"/>
            <w:vAlign w:val="bottom"/>
          </w:tcPr>
          <w:p w14:paraId="5E57BA83" w14:textId="77777777" w:rsidR="007F74E7" w:rsidRPr="001F00C6" w:rsidRDefault="007F74E7" w:rsidP="007F74E7">
            <w:pPr>
              <w:tabs>
                <w:tab w:val="right" w:pos="1202"/>
              </w:tabs>
              <w:spacing w:after="0" w:line="220" w:lineRule="exact"/>
              <w:jc w:val="right"/>
              <w:outlineLvl w:val="0"/>
              <w:rPr>
                <w:rFonts w:eastAsia="Times New Roman"/>
                <w:color w:val="000000"/>
                <w:sz w:val="20"/>
                <w:szCs w:val="20"/>
                <w:lang w:eastAsia="hr-HR"/>
              </w:rPr>
            </w:pPr>
            <w:r w:rsidRPr="00532810">
              <w:rPr>
                <w:rFonts w:eastAsia="Times New Roman"/>
                <w:color w:val="000000"/>
                <w:sz w:val="20"/>
                <w:szCs w:val="20"/>
                <w:lang w:eastAsia="hr-HR"/>
              </w:rPr>
              <w:t>14</w:t>
            </w:r>
            <w:r>
              <w:rPr>
                <w:rFonts w:eastAsia="Times New Roman"/>
                <w:color w:val="000000"/>
                <w:sz w:val="20"/>
                <w:szCs w:val="20"/>
                <w:lang w:eastAsia="hr-HR"/>
              </w:rPr>
              <w:t>,</w:t>
            </w:r>
            <w:r w:rsidRPr="00532810">
              <w:rPr>
                <w:rFonts w:eastAsia="Times New Roman"/>
                <w:color w:val="000000"/>
                <w:sz w:val="20"/>
                <w:szCs w:val="20"/>
                <w:lang w:eastAsia="hr-HR"/>
              </w:rPr>
              <w:t>090</w:t>
            </w:r>
            <w:r>
              <w:rPr>
                <w:rFonts w:eastAsia="Times New Roman"/>
                <w:color w:val="000000"/>
                <w:sz w:val="20"/>
                <w:szCs w:val="20"/>
                <w:lang w:eastAsia="hr-HR"/>
              </w:rPr>
              <w:t>,</w:t>
            </w:r>
            <w:r w:rsidRPr="00532810">
              <w:rPr>
                <w:rFonts w:eastAsia="Times New Roman"/>
                <w:color w:val="000000"/>
                <w:sz w:val="20"/>
                <w:szCs w:val="20"/>
                <w:lang w:eastAsia="hr-HR"/>
              </w:rPr>
              <w:t>695</w:t>
            </w:r>
          </w:p>
        </w:tc>
        <w:tc>
          <w:tcPr>
            <w:tcW w:w="736" w:type="pct"/>
            <w:tcBorders>
              <w:top w:val="single" w:sz="4" w:space="0" w:color="auto"/>
              <w:left w:val="nil"/>
              <w:bottom w:val="single" w:sz="4" w:space="0" w:color="auto"/>
              <w:right w:val="nil"/>
            </w:tcBorders>
            <w:shd w:val="clear" w:color="auto" w:fill="auto"/>
            <w:vAlign w:val="bottom"/>
          </w:tcPr>
          <w:p w14:paraId="669B19F1" w14:textId="4D589E48" w:rsidR="007F74E7" w:rsidRPr="001F00C6" w:rsidRDefault="007F74E7" w:rsidP="007F74E7">
            <w:pPr>
              <w:tabs>
                <w:tab w:val="right" w:pos="1202"/>
              </w:tabs>
              <w:spacing w:after="0" w:line="220" w:lineRule="exact"/>
              <w:jc w:val="right"/>
              <w:outlineLvl w:val="0"/>
              <w:rPr>
                <w:rFonts w:eastAsia="Times New Roman"/>
                <w:color w:val="000000"/>
                <w:sz w:val="20"/>
                <w:szCs w:val="20"/>
                <w:lang w:eastAsia="hr-HR"/>
              </w:rPr>
            </w:pPr>
            <w:r w:rsidRPr="007F74E7">
              <w:rPr>
                <w:rFonts w:eastAsia="Times New Roman"/>
                <w:color w:val="000000"/>
                <w:sz w:val="20"/>
                <w:szCs w:val="20"/>
                <w:lang w:eastAsia="hr-HR"/>
              </w:rPr>
              <w:t>14,657,162</w:t>
            </w:r>
          </w:p>
        </w:tc>
        <w:tc>
          <w:tcPr>
            <w:tcW w:w="736" w:type="pct"/>
            <w:tcBorders>
              <w:top w:val="single" w:sz="4" w:space="0" w:color="auto"/>
              <w:left w:val="nil"/>
              <w:bottom w:val="single" w:sz="4" w:space="0" w:color="auto"/>
              <w:right w:val="nil"/>
            </w:tcBorders>
            <w:shd w:val="clear" w:color="auto" w:fill="auto"/>
            <w:vAlign w:val="bottom"/>
          </w:tcPr>
          <w:p w14:paraId="673F1109" w14:textId="77777777" w:rsidR="007F74E7" w:rsidRPr="001F00C6" w:rsidRDefault="007F74E7" w:rsidP="007F74E7">
            <w:pPr>
              <w:tabs>
                <w:tab w:val="right" w:pos="1202"/>
              </w:tabs>
              <w:spacing w:after="0" w:line="220" w:lineRule="exact"/>
              <w:jc w:val="right"/>
              <w:outlineLvl w:val="0"/>
              <w:rPr>
                <w:rFonts w:eastAsia="Times New Roman"/>
                <w:color w:val="000000"/>
                <w:sz w:val="20"/>
                <w:szCs w:val="20"/>
                <w:lang w:eastAsia="hr-HR"/>
              </w:rPr>
            </w:pPr>
            <w:r w:rsidRPr="00532810">
              <w:rPr>
                <w:rFonts w:eastAsia="Times New Roman"/>
                <w:color w:val="000000"/>
                <w:sz w:val="20"/>
                <w:szCs w:val="20"/>
                <w:lang w:eastAsia="hr-HR"/>
              </w:rPr>
              <w:t>14</w:t>
            </w:r>
            <w:r>
              <w:rPr>
                <w:rFonts w:eastAsia="Times New Roman"/>
                <w:color w:val="000000"/>
                <w:sz w:val="20"/>
                <w:szCs w:val="20"/>
                <w:lang w:eastAsia="hr-HR"/>
              </w:rPr>
              <w:t>,</w:t>
            </w:r>
            <w:r w:rsidRPr="00532810">
              <w:rPr>
                <w:rFonts w:eastAsia="Times New Roman"/>
                <w:color w:val="000000"/>
                <w:sz w:val="20"/>
                <w:szCs w:val="20"/>
                <w:lang w:eastAsia="hr-HR"/>
              </w:rPr>
              <w:t>090</w:t>
            </w:r>
            <w:r>
              <w:rPr>
                <w:rFonts w:eastAsia="Times New Roman"/>
                <w:color w:val="000000"/>
                <w:sz w:val="20"/>
                <w:szCs w:val="20"/>
                <w:lang w:eastAsia="hr-HR"/>
              </w:rPr>
              <w:t>,</w:t>
            </w:r>
            <w:r w:rsidRPr="00532810">
              <w:rPr>
                <w:rFonts w:eastAsia="Times New Roman"/>
                <w:color w:val="000000"/>
                <w:sz w:val="20"/>
                <w:szCs w:val="20"/>
                <w:lang w:eastAsia="hr-HR"/>
              </w:rPr>
              <w:t>695</w:t>
            </w:r>
          </w:p>
        </w:tc>
      </w:tr>
      <w:tr w:rsidR="007F74E7" w:rsidRPr="009702B0" w14:paraId="315BDD35" w14:textId="77777777" w:rsidTr="00166751">
        <w:trPr>
          <w:trHeight w:val="328"/>
        </w:trPr>
        <w:tc>
          <w:tcPr>
            <w:tcW w:w="2056" w:type="pct"/>
            <w:vAlign w:val="bottom"/>
          </w:tcPr>
          <w:p w14:paraId="5A24C09C" w14:textId="77777777" w:rsidR="007F74E7" w:rsidRPr="009702B0" w:rsidRDefault="007F74E7" w:rsidP="007F74E7">
            <w:pPr>
              <w:tabs>
                <w:tab w:val="right" w:pos="1202"/>
              </w:tabs>
              <w:spacing w:after="0" w:line="220" w:lineRule="exact"/>
              <w:outlineLvl w:val="0"/>
              <w:rPr>
                <w:rFonts w:eastAsia="Times New Roman" w:cs="Arial"/>
                <w:sz w:val="20"/>
                <w:szCs w:val="20"/>
              </w:rPr>
            </w:pPr>
            <w:r w:rsidRPr="009702B0">
              <w:rPr>
                <w:rFonts w:cs="Arial"/>
                <w:sz w:val="20"/>
                <w:szCs w:val="20"/>
              </w:rPr>
              <w:t>Provisions for impairment losses</w:t>
            </w:r>
          </w:p>
        </w:tc>
        <w:tc>
          <w:tcPr>
            <w:tcW w:w="736" w:type="pct"/>
            <w:tcBorders>
              <w:top w:val="nil"/>
              <w:left w:val="nil"/>
              <w:bottom w:val="single" w:sz="4" w:space="0" w:color="auto"/>
              <w:right w:val="nil"/>
            </w:tcBorders>
            <w:shd w:val="clear" w:color="auto" w:fill="auto"/>
            <w:vAlign w:val="bottom"/>
          </w:tcPr>
          <w:p w14:paraId="4EFE0633" w14:textId="69496726" w:rsidR="007F74E7" w:rsidRPr="009702B0" w:rsidRDefault="007F74E7" w:rsidP="007F74E7">
            <w:pPr>
              <w:tabs>
                <w:tab w:val="right" w:pos="1202"/>
              </w:tabs>
              <w:spacing w:after="0" w:line="220" w:lineRule="exact"/>
              <w:jc w:val="right"/>
              <w:outlineLvl w:val="0"/>
              <w:rPr>
                <w:rFonts w:eastAsia="Times New Roman" w:cs="Arial"/>
                <w:sz w:val="20"/>
                <w:szCs w:val="20"/>
              </w:rPr>
            </w:pPr>
            <w:r w:rsidRPr="007F74E7">
              <w:rPr>
                <w:rFonts w:eastAsia="Times New Roman"/>
                <w:color w:val="000000"/>
                <w:sz w:val="20"/>
                <w:szCs w:val="20"/>
                <w:lang w:eastAsia="hr-HR"/>
              </w:rPr>
              <w:t xml:space="preserve">(2,743,950) </w:t>
            </w:r>
          </w:p>
        </w:tc>
        <w:tc>
          <w:tcPr>
            <w:tcW w:w="736" w:type="pct"/>
            <w:tcBorders>
              <w:top w:val="nil"/>
              <w:left w:val="nil"/>
              <w:bottom w:val="single" w:sz="4" w:space="0" w:color="auto"/>
              <w:right w:val="nil"/>
            </w:tcBorders>
            <w:shd w:val="clear" w:color="auto" w:fill="auto"/>
            <w:vAlign w:val="bottom"/>
          </w:tcPr>
          <w:p w14:paraId="0240B117" w14:textId="77777777" w:rsidR="007F74E7" w:rsidRPr="001F00C6" w:rsidRDefault="007F74E7" w:rsidP="007F74E7">
            <w:pPr>
              <w:tabs>
                <w:tab w:val="right" w:pos="1202"/>
              </w:tabs>
              <w:spacing w:after="0" w:line="220" w:lineRule="exact"/>
              <w:jc w:val="right"/>
              <w:outlineLvl w:val="0"/>
              <w:rPr>
                <w:rFonts w:eastAsia="Times New Roman"/>
                <w:color w:val="000000"/>
                <w:sz w:val="20"/>
                <w:szCs w:val="20"/>
                <w:lang w:eastAsia="hr-HR"/>
              </w:rPr>
            </w:pPr>
            <w:r w:rsidRPr="00532810">
              <w:rPr>
                <w:rFonts w:eastAsia="Times New Roman"/>
                <w:color w:val="000000"/>
                <w:sz w:val="20"/>
                <w:szCs w:val="20"/>
                <w:lang w:eastAsia="hr-HR"/>
              </w:rPr>
              <w:t>(2</w:t>
            </w:r>
            <w:r>
              <w:rPr>
                <w:rFonts w:eastAsia="Times New Roman"/>
                <w:color w:val="000000"/>
                <w:sz w:val="20"/>
                <w:szCs w:val="20"/>
                <w:lang w:eastAsia="hr-HR"/>
              </w:rPr>
              <w:t>,</w:t>
            </w:r>
            <w:r w:rsidRPr="00532810">
              <w:rPr>
                <w:rFonts w:eastAsia="Times New Roman"/>
                <w:color w:val="000000"/>
                <w:sz w:val="20"/>
                <w:szCs w:val="20"/>
                <w:lang w:eastAsia="hr-HR"/>
              </w:rPr>
              <w:t>579</w:t>
            </w:r>
            <w:r>
              <w:rPr>
                <w:rFonts w:eastAsia="Times New Roman"/>
                <w:color w:val="000000"/>
                <w:sz w:val="20"/>
                <w:szCs w:val="20"/>
                <w:lang w:eastAsia="hr-HR"/>
              </w:rPr>
              <w:t>,</w:t>
            </w:r>
            <w:r w:rsidRPr="00532810">
              <w:rPr>
                <w:rFonts w:eastAsia="Times New Roman"/>
                <w:color w:val="000000"/>
                <w:sz w:val="20"/>
                <w:szCs w:val="20"/>
                <w:lang w:eastAsia="hr-HR"/>
              </w:rPr>
              <w:t>501)</w:t>
            </w:r>
          </w:p>
        </w:tc>
        <w:tc>
          <w:tcPr>
            <w:tcW w:w="736" w:type="pct"/>
            <w:tcBorders>
              <w:top w:val="nil"/>
              <w:left w:val="nil"/>
              <w:bottom w:val="single" w:sz="4" w:space="0" w:color="auto"/>
              <w:right w:val="nil"/>
            </w:tcBorders>
            <w:shd w:val="clear" w:color="auto" w:fill="auto"/>
            <w:vAlign w:val="bottom"/>
          </w:tcPr>
          <w:p w14:paraId="06D67BAD" w14:textId="4A90C9DA" w:rsidR="007F74E7" w:rsidRPr="001F00C6" w:rsidRDefault="007F74E7" w:rsidP="007F74E7">
            <w:pPr>
              <w:tabs>
                <w:tab w:val="right" w:pos="1202"/>
              </w:tabs>
              <w:spacing w:after="0" w:line="220" w:lineRule="exact"/>
              <w:jc w:val="right"/>
              <w:outlineLvl w:val="0"/>
              <w:rPr>
                <w:rFonts w:eastAsia="Times New Roman"/>
                <w:color w:val="000000"/>
                <w:sz w:val="20"/>
                <w:szCs w:val="20"/>
                <w:lang w:eastAsia="hr-HR"/>
              </w:rPr>
            </w:pPr>
            <w:r w:rsidRPr="007F74E7">
              <w:rPr>
                <w:rFonts w:eastAsia="Times New Roman"/>
                <w:color w:val="000000"/>
                <w:sz w:val="20"/>
                <w:szCs w:val="20"/>
                <w:lang w:eastAsia="hr-HR"/>
              </w:rPr>
              <w:t xml:space="preserve">(2,743,950) </w:t>
            </w:r>
          </w:p>
        </w:tc>
        <w:tc>
          <w:tcPr>
            <w:tcW w:w="736" w:type="pct"/>
            <w:tcBorders>
              <w:top w:val="nil"/>
              <w:left w:val="nil"/>
              <w:bottom w:val="single" w:sz="4" w:space="0" w:color="auto"/>
              <w:right w:val="nil"/>
            </w:tcBorders>
            <w:shd w:val="clear" w:color="auto" w:fill="auto"/>
            <w:vAlign w:val="bottom"/>
          </w:tcPr>
          <w:p w14:paraId="6D5357CA" w14:textId="77777777" w:rsidR="007F74E7" w:rsidRPr="001F00C6" w:rsidRDefault="007F74E7" w:rsidP="007F74E7">
            <w:pPr>
              <w:tabs>
                <w:tab w:val="right" w:pos="1202"/>
              </w:tabs>
              <w:spacing w:after="0" w:line="220" w:lineRule="exact"/>
              <w:jc w:val="right"/>
              <w:outlineLvl w:val="0"/>
              <w:rPr>
                <w:rFonts w:eastAsia="Times New Roman"/>
                <w:color w:val="000000"/>
                <w:sz w:val="20"/>
                <w:szCs w:val="20"/>
                <w:lang w:eastAsia="hr-HR"/>
              </w:rPr>
            </w:pPr>
            <w:r w:rsidRPr="00532810">
              <w:rPr>
                <w:rFonts w:eastAsia="Times New Roman"/>
                <w:color w:val="000000"/>
                <w:sz w:val="20"/>
                <w:szCs w:val="20"/>
                <w:lang w:eastAsia="hr-HR"/>
              </w:rPr>
              <w:t>(2</w:t>
            </w:r>
            <w:r>
              <w:rPr>
                <w:rFonts w:eastAsia="Times New Roman"/>
                <w:color w:val="000000"/>
                <w:sz w:val="20"/>
                <w:szCs w:val="20"/>
                <w:lang w:eastAsia="hr-HR"/>
              </w:rPr>
              <w:t>,</w:t>
            </w:r>
            <w:r w:rsidRPr="00532810">
              <w:rPr>
                <w:rFonts w:eastAsia="Times New Roman"/>
                <w:color w:val="000000"/>
                <w:sz w:val="20"/>
                <w:szCs w:val="20"/>
                <w:lang w:eastAsia="hr-HR"/>
              </w:rPr>
              <w:t>579</w:t>
            </w:r>
            <w:r>
              <w:rPr>
                <w:rFonts w:eastAsia="Times New Roman"/>
                <w:color w:val="000000"/>
                <w:sz w:val="20"/>
                <w:szCs w:val="20"/>
                <w:lang w:eastAsia="hr-HR"/>
              </w:rPr>
              <w:t>,</w:t>
            </w:r>
            <w:r w:rsidRPr="00532810">
              <w:rPr>
                <w:rFonts w:eastAsia="Times New Roman"/>
                <w:color w:val="000000"/>
                <w:sz w:val="20"/>
                <w:szCs w:val="20"/>
                <w:lang w:eastAsia="hr-HR"/>
              </w:rPr>
              <w:t>501)</w:t>
            </w:r>
          </w:p>
        </w:tc>
      </w:tr>
      <w:tr w:rsidR="007F74E7" w:rsidRPr="009702B0" w14:paraId="6C180E89" w14:textId="77777777" w:rsidTr="00166751">
        <w:trPr>
          <w:trHeight w:val="339"/>
        </w:trPr>
        <w:tc>
          <w:tcPr>
            <w:tcW w:w="2056" w:type="pct"/>
            <w:vAlign w:val="bottom"/>
          </w:tcPr>
          <w:p w14:paraId="2C41F620" w14:textId="77777777" w:rsidR="007F74E7" w:rsidRPr="009702B0" w:rsidRDefault="007F74E7" w:rsidP="007F74E7">
            <w:pPr>
              <w:tabs>
                <w:tab w:val="right" w:pos="1202"/>
              </w:tabs>
              <w:spacing w:after="0" w:line="240" w:lineRule="auto"/>
              <w:outlineLvl w:val="0"/>
              <w:rPr>
                <w:rFonts w:eastAsia="Times New Roman" w:cs="Arial"/>
                <w:b/>
                <w:bCs/>
                <w:sz w:val="20"/>
                <w:szCs w:val="20"/>
              </w:rPr>
            </w:pPr>
          </w:p>
        </w:tc>
        <w:tc>
          <w:tcPr>
            <w:tcW w:w="736" w:type="pct"/>
            <w:tcBorders>
              <w:top w:val="single" w:sz="4" w:space="0" w:color="auto"/>
              <w:left w:val="nil"/>
              <w:bottom w:val="single" w:sz="12" w:space="0" w:color="auto"/>
              <w:right w:val="nil"/>
            </w:tcBorders>
            <w:shd w:val="clear" w:color="auto" w:fill="auto"/>
            <w:vAlign w:val="bottom"/>
          </w:tcPr>
          <w:p w14:paraId="798BE21E" w14:textId="2ADAC2F3" w:rsidR="007F74E7" w:rsidRPr="009702B0" w:rsidRDefault="007F74E7" w:rsidP="007F74E7">
            <w:pPr>
              <w:tabs>
                <w:tab w:val="right" w:pos="1202"/>
              </w:tabs>
              <w:spacing w:after="0" w:line="260" w:lineRule="exact"/>
              <w:jc w:val="right"/>
              <w:outlineLvl w:val="0"/>
              <w:rPr>
                <w:rFonts w:eastAsia="Times New Roman" w:cs="Arial"/>
                <w:b/>
                <w:bCs/>
                <w:spacing w:val="-2"/>
                <w:sz w:val="20"/>
                <w:szCs w:val="20"/>
              </w:rPr>
            </w:pPr>
            <w:r w:rsidRPr="007F74E7">
              <w:rPr>
                <w:rFonts w:eastAsia="Times New Roman"/>
                <w:b/>
                <w:bCs/>
                <w:color w:val="000000"/>
                <w:sz w:val="20"/>
                <w:szCs w:val="20"/>
                <w:lang w:eastAsia="hr-HR"/>
              </w:rPr>
              <w:t>11,913,212</w:t>
            </w:r>
          </w:p>
        </w:tc>
        <w:tc>
          <w:tcPr>
            <w:tcW w:w="736" w:type="pct"/>
            <w:tcBorders>
              <w:top w:val="single" w:sz="4" w:space="0" w:color="auto"/>
              <w:left w:val="nil"/>
              <w:bottom w:val="single" w:sz="12" w:space="0" w:color="auto"/>
              <w:right w:val="nil"/>
            </w:tcBorders>
            <w:shd w:val="clear" w:color="auto" w:fill="auto"/>
            <w:vAlign w:val="bottom"/>
          </w:tcPr>
          <w:p w14:paraId="066E9775" w14:textId="77777777" w:rsidR="007F74E7" w:rsidRPr="001F00C6" w:rsidRDefault="007F74E7" w:rsidP="007F74E7">
            <w:pPr>
              <w:spacing w:after="0" w:line="240" w:lineRule="auto"/>
              <w:jc w:val="right"/>
              <w:rPr>
                <w:rFonts w:eastAsia="Times New Roman"/>
                <w:b/>
                <w:bCs/>
                <w:color w:val="000000"/>
                <w:sz w:val="20"/>
                <w:szCs w:val="20"/>
                <w:lang w:eastAsia="hr-HR"/>
              </w:rPr>
            </w:pPr>
            <w:r w:rsidRPr="00532810">
              <w:rPr>
                <w:rFonts w:eastAsia="Times New Roman"/>
                <w:b/>
                <w:bCs/>
                <w:color w:val="000000"/>
                <w:sz w:val="20"/>
                <w:szCs w:val="20"/>
                <w:lang w:eastAsia="hr-HR"/>
              </w:rPr>
              <w:t>11</w:t>
            </w:r>
            <w:r>
              <w:rPr>
                <w:rFonts w:eastAsia="Times New Roman"/>
                <w:b/>
                <w:bCs/>
                <w:color w:val="000000"/>
                <w:sz w:val="20"/>
                <w:szCs w:val="20"/>
                <w:lang w:eastAsia="hr-HR"/>
              </w:rPr>
              <w:t>,</w:t>
            </w:r>
            <w:r w:rsidRPr="00532810">
              <w:rPr>
                <w:rFonts w:eastAsia="Times New Roman"/>
                <w:b/>
                <w:bCs/>
                <w:color w:val="000000"/>
                <w:sz w:val="20"/>
                <w:szCs w:val="20"/>
                <w:lang w:eastAsia="hr-HR"/>
              </w:rPr>
              <w:t>511</w:t>
            </w:r>
            <w:r>
              <w:rPr>
                <w:rFonts w:eastAsia="Times New Roman"/>
                <w:b/>
                <w:bCs/>
                <w:color w:val="000000"/>
                <w:sz w:val="20"/>
                <w:szCs w:val="20"/>
                <w:lang w:eastAsia="hr-HR"/>
              </w:rPr>
              <w:t>,</w:t>
            </w:r>
            <w:r w:rsidRPr="00532810">
              <w:rPr>
                <w:rFonts w:eastAsia="Times New Roman"/>
                <w:b/>
                <w:bCs/>
                <w:color w:val="000000"/>
                <w:sz w:val="20"/>
                <w:szCs w:val="20"/>
                <w:lang w:eastAsia="hr-HR"/>
              </w:rPr>
              <w:t>194</w:t>
            </w:r>
          </w:p>
        </w:tc>
        <w:tc>
          <w:tcPr>
            <w:tcW w:w="736" w:type="pct"/>
            <w:tcBorders>
              <w:top w:val="single" w:sz="4" w:space="0" w:color="auto"/>
              <w:left w:val="nil"/>
              <w:bottom w:val="single" w:sz="12" w:space="0" w:color="auto"/>
              <w:right w:val="nil"/>
            </w:tcBorders>
            <w:shd w:val="clear" w:color="auto" w:fill="auto"/>
            <w:vAlign w:val="bottom"/>
          </w:tcPr>
          <w:p w14:paraId="5BB50F09" w14:textId="61D47DC6" w:rsidR="007F74E7" w:rsidRPr="001F00C6" w:rsidRDefault="007F74E7" w:rsidP="007F74E7">
            <w:pPr>
              <w:spacing w:after="0" w:line="240" w:lineRule="auto"/>
              <w:jc w:val="right"/>
              <w:rPr>
                <w:rFonts w:eastAsia="Times New Roman"/>
                <w:b/>
                <w:bCs/>
                <w:color w:val="000000"/>
                <w:sz w:val="20"/>
                <w:szCs w:val="20"/>
                <w:lang w:eastAsia="hr-HR"/>
              </w:rPr>
            </w:pPr>
            <w:r w:rsidRPr="007F74E7">
              <w:rPr>
                <w:rFonts w:eastAsia="Times New Roman"/>
                <w:b/>
                <w:bCs/>
                <w:color w:val="000000"/>
                <w:sz w:val="20"/>
                <w:szCs w:val="20"/>
                <w:lang w:eastAsia="hr-HR"/>
              </w:rPr>
              <w:t>11,913,212</w:t>
            </w:r>
          </w:p>
        </w:tc>
        <w:tc>
          <w:tcPr>
            <w:tcW w:w="736" w:type="pct"/>
            <w:tcBorders>
              <w:top w:val="single" w:sz="4" w:space="0" w:color="auto"/>
              <w:left w:val="nil"/>
              <w:bottom w:val="single" w:sz="12" w:space="0" w:color="auto"/>
              <w:right w:val="nil"/>
            </w:tcBorders>
            <w:shd w:val="clear" w:color="auto" w:fill="auto"/>
            <w:vAlign w:val="bottom"/>
          </w:tcPr>
          <w:p w14:paraId="4C0EBA90" w14:textId="77777777" w:rsidR="007F74E7" w:rsidRPr="001F00C6" w:rsidRDefault="007F74E7" w:rsidP="007F74E7">
            <w:pPr>
              <w:spacing w:after="0" w:line="240" w:lineRule="auto"/>
              <w:jc w:val="right"/>
              <w:rPr>
                <w:rFonts w:eastAsia="Times New Roman"/>
                <w:b/>
                <w:bCs/>
                <w:color w:val="000000"/>
                <w:sz w:val="20"/>
                <w:szCs w:val="20"/>
                <w:lang w:eastAsia="hr-HR"/>
              </w:rPr>
            </w:pPr>
            <w:r w:rsidRPr="00532810">
              <w:rPr>
                <w:rFonts w:eastAsia="Times New Roman"/>
                <w:b/>
                <w:bCs/>
                <w:color w:val="000000"/>
                <w:sz w:val="20"/>
                <w:szCs w:val="20"/>
                <w:lang w:eastAsia="hr-HR"/>
              </w:rPr>
              <w:t>11</w:t>
            </w:r>
            <w:r>
              <w:rPr>
                <w:rFonts w:eastAsia="Times New Roman"/>
                <w:b/>
                <w:bCs/>
                <w:color w:val="000000"/>
                <w:sz w:val="20"/>
                <w:szCs w:val="20"/>
                <w:lang w:eastAsia="hr-HR"/>
              </w:rPr>
              <w:t>,</w:t>
            </w:r>
            <w:r w:rsidRPr="00532810">
              <w:rPr>
                <w:rFonts w:eastAsia="Times New Roman"/>
                <w:b/>
                <w:bCs/>
                <w:color w:val="000000"/>
                <w:sz w:val="20"/>
                <w:szCs w:val="20"/>
                <w:lang w:eastAsia="hr-HR"/>
              </w:rPr>
              <w:t>511</w:t>
            </w:r>
            <w:r>
              <w:rPr>
                <w:rFonts w:eastAsia="Times New Roman"/>
                <w:b/>
                <w:bCs/>
                <w:color w:val="000000"/>
                <w:sz w:val="20"/>
                <w:szCs w:val="20"/>
                <w:lang w:eastAsia="hr-HR"/>
              </w:rPr>
              <w:t>,</w:t>
            </w:r>
            <w:r w:rsidRPr="00532810">
              <w:rPr>
                <w:rFonts w:eastAsia="Times New Roman"/>
                <w:b/>
                <w:bCs/>
                <w:color w:val="000000"/>
                <w:sz w:val="20"/>
                <w:szCs w:val="20"/>
                <w:lang w:eastAsia="hr-HR"/>
              </w:rPr>
              <w:t>194</w:t>
            </w:r>
          </w:p>
        </w:tc>
      </w:tr>
    </w:tbl>
    <w:p w14:paraId="71F29102" w14:textId="77777777" w:rsidR="00AA20DA" w:rsidRDefault="00AA20DA" w:rsidP="00BA3F2A">
      <w:pPr>
        <w:keepNext/>
        <w:spacing w:after="0" w:line="240" w:lineRule="auto"/>
        <w:jc w:val="both"/>
        <w:rPr>
          <w:rFonts w:eastAsia="Times New Roman" w:cs="Arial"/>
          <w:sz w:val="21"/>
          <w:szCs w:val="21"/>
        </w:rPr>
      </w:pPr>
    </w:p>
    <w:p w14:paraId="01B1E1A8" w14:textId="3719B42B" w:rsidR="009702B0" w:rsidRPr="00166751" w:rsidRDefault="009702B0" w:rsidP="00BA3F2A">
      <w:pPr>
        <w:keepNext/>
        <w:spacing w:after="0" w:line="240" w:lineRule="auto"/>
        <w:jc w:val="both"/>
        <w:rPr>
          <w:rFonts w:eastAsia="Times New Roman" w:cs="Arial"/>
        </w:rPr>
      </w:pPr>
      <w:r w:rsidRPr="00166751">
        <w:rPr>
          <w:rFonts w:eastAsia="Times New Roman" w:cs="Arial"/>
        </w:rPr>
        <w:t xml:space="preserve">Average interest rates for total loans to other customers, at </w:t>
      </w:r>
      <w:r w:rsidR="00B77E74">
        <w:rPr>
          <w:rFonts w:eastAsia="Times New Roman" w:cs="Arial"/>
        </w:rPr>
        <w:t>annual</w:t>
      </w:r>
      <w:r w:rsidR="00B77E74" w:rsidRPr="00166751">
        <w:rPr>
          <w:rFonts w:eastAsia="Times New Roman" w:cs="Arial"/>
        </w:rPr>
        <w:t xml:space="preserve"> </w:t>
      </w:r>
      <w:r w:rsidRPr="00166751">
        <w:rPr>
          <w:rFonts w:eastAsia="Times New Roman" w:cs="Arial"/>
        </w:rPr>
        <w:t xml:space="preserve">level, are stated at </w:t>
      </w:r>
      <w:r w:rsidR="000B3A7E">
        <w:rPr>
          <w:rFonts w:eastAsia="Times New Roman" w:cs="Arial"/>
        </w:rPr>
        <w:t>2.11</w:t>
      </w:r>
      <w:r w:rsidRPr="00166751">
        <w:rPr>
          <w:rFonts w:eastAsia="Times New Roman" w:cs="Arial"/>
        </w:rPr>
        <w:t xml:space="preserve">% (1 January to </w:t>
      </w:r>
      <w:r w:rsidR="00861F3F" w:rsidRPr="00861F3F">
        <w:rPr>
          <w:rFonts w:eastAsia="Times New Roman" w:cs="Arial"/>
        </w:rPr>
        <w:t xml:space="preserve">30 </w:t>
      </w:r>
      <w:r w:rsidR="00882ECF">
        <w:rPr>
          <w:rFonts w:eastAsia="Times New Roman" w:cs="Arial"/>
        </w:rPr>
        <w:t>Septe</w:t>
      </w:r>
      <w:r w:rsidR="004922DF">
        <w:rPr>
          <w:rFonts w:eastAsia="Times New Roman" w:cs="Arial"/>
        </w:rPr>
        <w:t>m</w:t>
      </w:r>
      <w:r w:rsidR="00882ECF">
        <w:rPr>
          <w:rFonts w:eastAsia="Times New Roman" w:cs="Arial"/>
        </w:rPr>
        <w:t>ber</w:t>
      </w:r>
      <w:r w:rsidR="00882ECF" w:rsidRPr="00861F3F">
        <w:rPr>
          <w:rFonts w:eastAsia="Times New Roman" w:cs="Arial"/>
        </w:rPr>
        <w:t xml:space="preserve"> </w:t>
      </w:r>
      <w:r w:rsidR="00AA20DA" w:rsidRPr="00166751">
        <w:rPr>
          <w:rFonts w:eastAsia="Times New Roman" w:cs="Arial"/>
        </w:rPr>
        <w:t>2016</w:t>
      </w:r>
      <w:r w:rsidRPr="00166751">
        <w:rPr>
          <w:rFonts w:eastAsia="Times New Roman" w:cs="Arial"/>
        </w:rPr>
        <w:t xml:space="preserve">: </w:t>
      </w:r>
      <w:r w:rsidR="00AA20DA" w:rsidRPr="00166751">
        <w:rPr>
          <w:rFonts w:eastAsia="Times New Roman" w:cs="Arial"/>
        </w:rPr>
        <w:t>2.</w:t>
      </w:r>
      <w:r w:rsidR="00861F3F" w:rsidRPr="00166751">
        <w:rPr>
          <w:rFonts w:eastAsia="Times New Roman" w:cs="Arial"/>
        </w:rPr>
        <w:t>0</w:t>
      </w:r>
      <w:r w:rsidR="00882ECF">
        <w:rPr>
          <w:rFonts w:eastAsia="Times New Roman" w:cs="Arial"/>
        </w:rPr>
        <w:t>0</w:t>
      </w:r>
      <w:r w:rsidRPr="00166751">
        <w:rPr>
          <w:rFonts w:eastAsia="Times New Roman" w:cs="Arial"/>
        </w:rPr>
        <w:t xml:space="preserve">%). </w:t>
      </w:r>
    </w:p>
    <w:p w14:paraId="202A9B1D" w14:textId="77777777" w:rsidR="008D05FD" w:rsidRPr="00166751" w:rsidRDefault="008D05FD" w:rsidP="00BA3F2A">
      <w:pPr>
        <w:keepNext/>
        <w:spacing w:after="0" w:line="240" w:lineRule="auto"/>
        <w:jc w:val="both"/>
        <w:rPr>
          <w:rFonts w:ascii="Arial" w:eastAsia="Times New Roman" w:hAnsi="Arial" w:cs="Arial"/>
          <w:b/>
          <w:bCs/>
          <w:lang w:val="pl-PL"/>
        </w:rPr>
      </w:pPr>
    </w:p>
    <w:p w14:paraId="1D8D5A0B" w14:textId="77777777" w:rsidR="009702B0" w:rsidRPr="00166751" w:rsidRDefault="009702B0" w:rsidP="00BA3F2A">
      <w:pPr>
        <w:keepNext/>
        <w:spacing w:after="0" w:line="240" w:lineRule="auto"/>
        <w:jc w:val="both"/>
        <w:rPr>
          <w:rFonts w:eastAsia="Times New Roman" w:cs="Arial"/>
        </w:rPr>
      </w:pPr>
      <w:r w:rsidRPr="00166751">
        <w:rPr>
          <w:rFonts w:eastAsia="Times New Roman" w:cs="Arial"/>
        </w:rPr>
        <w:t>Average interest rates reflect the ratio of interest income generated from the mentioned placements and average assets.</w:t>
      </w:r>
    </w:p>
    <w:p w14:paraId="52C40C72" w14:textId="77777777" w:rsidR="008D05FD" w:rsidRPr="00166751" w:rsidRDefault="008D05FD" w:rsidP="00BA3F2A">
      <w:pPr>
        <w:keepNext/>
        <w:spacing w:after="0" w:line="240" w:lineRule="auto"/>
        <w:jc w:val="both"/>
        <w:rPr>
          <w:rFonts w:ascii="Arial" w:eastAsia="Times New Roman" w:hAnsi="Arial" w:cs="Arial"/>
          <w:b/>
          <w:bCs/>
          <w:lang w:val="pl-PL"/>
        </w:rPr>
      </w:pPr>
    </w:p>
    <w:p w14:paraId="461E50F3" w14:textId="2B1D8BAC" w:rsidR="009702B0" w:rsidRDefault="009702B0" w:rsidP="00BA3F2A">
      <w:pPr>
        <w:keepNext/>
        <w:spacing w:after="0" w:line="240" w:lineRule="auto"/>
        <w:jc w:val="both"/>
        <w:rPr>
          <w:rFonts w:eastAsia="Times New Roman" w:cs="Arial"/>
        </w:rPr>
      </w:pPr>
      <w:r w:rsidRPr="00166751">
        <w:rPr>
          <w:rFonts w:eastAsia="Times New Roman" w:cs="Arial"/>
        </w:rPr>
        <w:t xml:space="preserve">In the reporting period, provisions for loans to other customers in the amount of HRK </w:t>
      </w:r>
      <w:r w:rsidR="000B3A7E" w:rsidRPr="000B3A7E">
        <w:rPr>
          <w:rFonts w:eastAsia="Times New Roman" w:cs="Arial"/>
        </w:rPr>
        <w:t xml:space="preserve">384,499 </w:t>
      </w:r>
      <w:r w:rsidRPr="00166751">
        <w:rPr>
          <w:rFonts w:eastAsia="Times New Roman" w:cs="Arial"/>
        </w:rPr>
        <w:t xml:space="preserve">thousand were charged and provisions in the amount of HRK </w:t>
      </w:r>
      <w:r w:rsidR="000B3A7E" w:rsidRPr="000B3A7E">
        <w:rPr>
          <w:rFonts w:eastAsia="Times New Roman" w:cs="Arial"/>
        </w:rPr>
        <w:t xml:space="preserve">181,153 </w:t>
      </w:r>
      <w:r w:rsidRPr="00166751">
        <w:rPr>
          <w:rFonts w:eastAsia="Times New Roman" w:cs="Arial"/>
        </w:rPr>
        <w:t>thousand were reversed.</w:t>
      </w:r>
    </w:p>
    <w:p w14:paraId="14144476" w14:textId="77777777" w:rsidR="0064299F" w:rsidRPr="00166751" w:rsidRDefault="0064299F" w:rsidP="00BA3F2A">
      <w:pPr>
        <w:keepNext/>
        <w:spacing w:after="0" w:line="240" w:lineRule="auto"/>
        <w:jc w:val="both"/>
        <w:rPr>
          <w:rFonts w:eastAsia="Times New Roman" w:cs="Arial"/>
        </w:rPr>
      </w:pPr>
    </w:p>
    <w:p w14:paraId="6CCA4B47" w14:textId="77777777" w:rsidR="00C932F2" w:rsidRDefault="00C932F2" w:rsidP="00C932F2">
      <w:pPr>
        <w:rPr>
          <w:rFonts w:asciiTheme="minorHAnsi" w:eastAsia="Times New Roman" w:hAnsiTheme="minorHAnsi" w:cs="Calibri"/>
          <w:sz w:val="21"/>
          <w:szCs w:val="21"/>
          <w:lang w:val="en-US" w:eastAsia="hr-HR"/>
        </w:rPr>
      </w:pPr>
    </w:p>
    <w:p w14:paraId="27B6D5CF" w14:textId="77777777" w:rsidR="007322EF" w:rsidRPr="00166751" w:rsidRDefault="007322EF" w:rsidP="00166751">
      <w:pPr>
        <w:rPr>
          <w:rFonts w:asciiTheme="minorHAnsi" w:eastAsia="Times New Roman" w:hAnsiTheme="minorHAnsi" w:cs="Calibri"/>
          <w:sz w:val="21"/>
          <w:szCs w:val="21"/>
          <w:lang w:val="en-US" w:eastAsia="hr-HR"/>
        </w:rPr>
        <w:sectPr w:rsidR="007322EF" w:rsidRPr="00166751" w:rsidSect="00947CB7">
          <w:footerReference w:type="default" r:id="rId63"/>
          <w:footerReference w:type="first" r:id="rId64"/>
          <w:pgSz w:w="11906" w:h="16838" w:code="9"/>
          <w:pgMar w:top="1418" w:right="1418" w:bottom="595" w:left="1134" w:header="709" w:footer="709" w:gutter="0"/>
          <w:cols w:space="708"/>
          <w:titlePg/>
          <w:docGrid w:linePitch="360"/>
        </w:sectPr>
      </w:pPr>
    </w:p>
    <w:p w14:paraId="2C353925" w14:textId="77777777" w:rsidR="009702B0" w:rsidRPr="009702B0" w:rsidRDefault="009702B0" w:rsidP="009702B0">
      <w:pPr>
        <w:tabs>
          <w:tab w:val="left" w:pos="-720"/>
          <w:tab w:val="left" w:pos="993"/>
        </w:tabs>
        <w:spacing w:after="0" w:line="240" w:lineRule="auto"/>
        <w:jc w:val="both"/>
        <w:rPr>
          <w:rFonts w:eastAsia="Times New Roman" w:cs="Arial"/>
          <w:b/>
        </w:rPr>
      </w:pPr>
    </w:p>
    <w:p w14:paraId="10DE1D35" w14:textId="77777777" w:rsidR="009702B0" w:rsidRPr="009702B0" w:rsidRDefault="009702B0" w:rsidP="009702B0">
      <w:pPr>
        <w:tabs>
          <w:tab w:val="left" w:pos="-720"/>
          <w:tab w:val="left" w:pos="567"/>
        </w:tabs>
        <w:spacing w:after="0" w:line="240" w:lineRule="auto"/>
        <w:jc w:val="both"/>
        <w:rPr>
          <w:rFonts w:eastAsia="Times New Roman" w:cs="Arial"/>
          <w:b/>
        </w:rPr>
      </w:pPr>
      <w:r w:rsidRPr="009702B0">
        <w:rPr>
          <w:rFonts w:eastAsia="Times New Roman" w:cs="Arial"/>
          <w:b/>
        </w:rPr>
        <w:t>11.</w:t>
      </w:r>
      <w:r w:rsidRPr="009702B0">
        <w:rPr>
          <w:rFonts w:eastAsia="Times New Roman" w:cs="Arial"/>
          <w:b/>
        </w:rPr>
        <w:tab/>
        <w:t>Assets available for sale</w:t>
      </w:r>
    </w:p>
    <w:p w14:paraId="341328C9" w14:textId="77777777" w:rsidR="009702B0" w:rsidRPr="009702B0" w:rsidRDefault="009702B0" w:rsidP="009702B0">
      <w:pPr>
        <w:tabs>
          <w:tab w:val="left" w:pos="-720"/>
          <w:tab w:val="left" w:pos="993"/>
        </w:tabs>
        <w:spacing w:after="0" w:line="240" w:lineRule="auto"/>
        <w:jc w:val="both"/>
        <w:rPr>
          <w:rFonts w:eastAsia="Times New Roman" w:cs="Arial"/>
          <w:b/>
          <w:sz w:val="24"/>
          <w:szCs w:val="24"/>
        </w:rPr>
      </w:pPr>
    </w:p>
    <w:tbl>
      <w:tblPr>
        <w:tblpPr w:leftFromText="180" w:rightFromText="180" w:vertAnchor="text" w:horzAnchor="margin" w:tblpY="141"/>
        <w:tblW w:w="5077" w:type="pct"/>
        <w:tblLayout w:type="fixed"/>
        <w:tblCellMar>
          <w:left w:w="122" w:type="dxa"/>
          <w:right w:w="122" w:type="dxa"/>
        </w:tblCellMar>
        <w:tblLook w:val="0000" w:firstRow="0" w:lastRow="0" w:firstColumn="0" w:lastColumn="0" w:noHBand="0" w:noVBand="0"/>
      </w:tblPr>
      <w:tblGrid>
        <w:gridCol w:w="3967"/>
        <w:gridCol w:w="1278"/>
        <w:gridCol w:w="1419"/>
        <w:gridCol w:w="1417"/>
        <w:gridCol w:w="1417"/>
      </w:tblGrid>
      <w:tr w:rsidR="009702B0" w:rsidRPr="005C426C" w14:paraId="42CB5B03" w14:textId="77777777" w:rsidTr="00166751">
        <w:trPr>
          <w:trHeight w:hRule="exact" w:val="281"/>
        </w:trPr>
        <w:tc>
          <w:tcPr>
            <w:tcW w:w="2088" w:type="pct"/>
            <w:vAlign w:val="center"/>
          </w:tcPr>
          <w:p w14:paraId="5E107924" w14:textId="77777777" w:rsidR="009702B0" w:rsidRPr="00166751" w:rsidRDefault="009702B0" w:rsidP="009702B0">
            <w:pPr>
              <w:tabs>
                <w:tab w:val="right" w:pos="1202"/>
              </w:tabs>
              <w:spacing w:after="0" w:line="260" w:lineRule="exact"/>
              <w:outlineLvl w:val="0"/>
              <w:rPr>
                <w:rFonts w:eastAsia="Times New Roman" w:cs="Arial"/>
                <w:sz w:val="18"/>
                <w:szCs w:val="18"/>
              </w:rPr>
            </w:pPr>
          </w:p>
        </w:tc>
        <w:tc>
          <w:tcPr>
            <w:tcW w:w="1420" w:type="pct"/>
            <w:gridSpan w:val="2"/>
            <w:vAlign w:val="center"/>
          </w:tcPr>
          <w:p w14:paraId="390436EA" w14:textId="77777777"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Group</w:t>
            </w:r>
          </w:p>
        </w:tc>
        <w:tc>
          <w:tcPr>
            <w:tcW w:w="1492" w:type="pct"/>
            <w:gridSpan w:val="2"/>
            <w:vAlign w:val="center"/>
          </w:tcPr>
          <w:p w14:paraId="71BB8ADE" w14:textId="77777777"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Bank</w:t>
            </w:r>
          </w:p>
        </w:tc>
      </w:tr>
      <w:tr w:rsidR="00AA20DA" w:rsidRPr="005C426C" w14:paraId="6E209DC7" w14:textId="77777777" w:rsidTr="00166751">
        <w:trPr>
          <w:trHeight w:hRule="exact" w:val="281"/>
        </w:trPr>
        <w:tc>
          <w:tcPr>
            <w:tcW w:w="2088" w:type="pct"/>
            <w:vAlign w:val="center"/>
          </w:tcPr>
          <w:p w14:paraId="0E6F5F61" w14:textId="77777777" w:rsidR="00AA20DA" w:rsidRPr="00166751" w:rsidRDefault="00AA20DA" w:rsidP="00AA20DA">
            <w:pPr>
              <w:tabs>
                <w:tab w:val="right" w:pos="1202"/>
              </w:tabs>
              <w:spacing w:after="0" w:line="260" w:lineRule="exact"/>
              <w:outlineLvl w:val="0"/>
              <w:rPr>
                <w:rFonts w:eastAsia="Times New Roman" w:cs="Arial"/>
                <w:sz w:val="18"/>
                <w:szCs w:val="18"/>
              </w:rPr>
            </w:pPr>
          </w:p>
        </w:tc>
        <w:tc>
          <w:tcPr>
            <w:tcW w:w="673" w:type="pct"/>
            <w:vAlign w:val="center"/>
          </w:tcPr>
          <w:p w14:paraId="61AAC52F" w14:textId="345F7688" w:rsidR="00AA20DA" w:rsidRPr="00166751" w:rsidRDefault="00393EE5" w:rsidP="00AA20DA">
            <w:pPr>
              <w:spacing w:after="0" w:line="280" w:lineRule="exact"/>
              <w:jc w:val="right"/>
              <w:outlineLvl w:val="0"/>
              <w:rPr>
                <w:rFonts w:eastAsia="Times New Roman" w:cs="Arial"/>
                <w:b/>
                <w:bCs/>
                <w:sz w:val="18"/>
                <w:szCs w:val="18"/>
              </w:rPr>
            </w:pPr>
            <w:r>
              <w:rPr>
                <w:rFonts w:eastAsia="Times New Roman" w:cs="Arial"/>
                <w:b/>
                <w:bCs/>
                <w:sz w:val="18"/>
                <w:szCs w:val="18"/>
              </w:rPr>
              <w:t>Sep</w:t>
            </w:r>
            <w:r w:rsidRPr="00685806">
              <w:rPr>
                <w:rFonts w:eastAsia="Times New Roman" w:cs="Arial"/>
                <w:b/>
                <w:bCs/>
                <w:sz w:val="18"/>
                <w:szCs w:val="18"/>
              </w:rPr>
              <w:t xml:space="preserve"> </w:t>
            </w:r>
            <w:r w:rsidR="00685806" w:rsidRPr="00685806">
              <w:rPr>
                <w:rFonts w:eastAsia="Times New Roman" w:cs="Arial"/>
                <w:b/>
                <w:bCs/>
                <w:sz w:val="18"/>
                <w:szCs w:val="18"/>
              </w:rPr>
              <w:t>30</w:t>
            </w:r>
            <w:r w:rsidR="00AA20DA" w:rsidRPr="00166751">
              <w:rPr>
                <w:rFonts w:eastAsia="Times New Roman" w:cs="Arial"/>
                <w:b/>
                <w:bCs/>
                <w:sz w:val="18"/>
                <w:szCs w:val="18"/>
              </w:rPr>
              <w:t>, 2017</w:t>
            </w:r>
          </w:p>
        </w:tc>
        <w:tc>
          <w:tcPr>
            <w:tcW w:w="747" w:type="pct"/>
            <w:vAlign w:val="center"/>
          </w:tcPr>
          <w:p w14:paraId="6F5B77B5" w14:textId="77777777" w:rsidR="00AA20DA" w:rsidRPr="00166751" w:rsidRDefault="00AA20DA" w:rsidP="00AA20DA">
            <w:pPr>
              <w:spacing w:after="0" w:line="280" w:lineRule="exact"/>
              <w:jc w:val="right"/>
              <w:outlineLvl w:val="0"/>
              <w:rPr>
                <w:rFonts w:eastAsia="Times New Roman" w:cs="Arial"/>
                <w:b/>
                <w:bCs/>
                <w:sz w:val="18"/>
                <w:szCs w:val="18"/>
              </w:rPr>
            </w:pPr>
            <w:r w:rsidRPr="00166751">
              <w:rPr>
                <w:rFonts w:eastAsia="Times New Roman" w:cs="Arial"/>
                <w:b/>
                <w:bCs/>
                <w:sz w:val="18"/>
                <w:szCs w:val="18"/>
              </w:rPr>
              <w:t>Dec 31, 2016</w:t>
            </w:r>
          </w:p>
        </w:tc>
        <w:tc>
          <w:tcPr>
            <w:tcW w:w="746" w:type="pct"/>
            <w:vAlign w:val="center"/>
          </w:tcPr>
          <w:p w14:paraId="230C6094" w14:textId="4D531B6B" w:rsidR="00AA20DA" w:rsidRPr="00166751" w:rsidRDefault="00393EE5" w:rsidP="00AA20DA">
            <w:pPr>
              <w:spacing w:after="0" w:line="280" w:lineRule="exact"/>
              <w:jc w:val="right"/>
              <w:outlineLvl w:val="0"/>
              <w:rPr>
                <w:rFonts w:eastAsia="Times New Roman" w:cs="Arial"/>
                <w:b/>
                <w:bCs/>
                <w:sz w:val="18"/>
                <w:szCs w:val="18"/>
              </w:rPr>
            </w:pPr>
            <w:r>
              <w:rPr>
                <w:rFonts w:eastAsia="Times New Roman" w:cs="Arial"/>
                <w:b/>
                <w:bCs/>
                <w:sz w:val="18"/>
                <w:szCs w:val="18"/>
              </w:rPr>
              <w:t xml:space="preserve">Sep </w:t>
            </w:r>
            <w:r w:rsidR="00685806" w:rsidRPr="00685806">
              <w:rPr>
                <w:rFonts w:eastAsia="Times New Roman" w:cs="Arial"/>
                <w:b/>
                <w:bCs/>
                <w:sz w:val="18"/>
                <w:szCs w:val="18"/>
              </w:rPr>
              <w:t>30</w:t>
            </w:r>
            <w:r w:rsidR="00AA20DA" w:rsidRPr="00166751">
              <w:rPr>
                <w:rFonts w:eastAsia="Times New Roman" w:cs="Arial"/>
                <w:b/>
                <w:bCs/>
                <w:sz w:val="18"/>
                <w:szCs w:val="18"/>
              </w:rPr>
              <w:t>, 2017</w:t>
            </w:r>
          </w:p>
        </w:tc>
        <w:tc>
          <w:tcPr>
            <w:tcW w:w="746" w:type="pct"/>
            <w:vAlign w:val="center"/>
          </w:tcPr>
          <w:p w14:paraId="2CE1D121" w14:textId="77777777" w:rsidR="00AA20DA" w:rsidRPr="00166751" w:rsidRDefault="00AA20DA" w:rsidP="00AA20DA">
            <w:pPr>
              <w:spacing w:after="0" w:line="280" w:lineRule="exact"/>
              <w:jc w:val="right"/>
              <w:outlineLvl w:val="0"/>
              <w:rPr>
                <w:rFonts w:eastAsia="Times New Roman" w:cs="Arial"/>
                <w:b/>
                <w:bCs/>
                <w:sz w:val="18"/>
                <w:szCs w:val="18"/>
              </w:rPr>
            </w:pPr>
            <w:r w:rsidRPr="00166751">
              <w:rPr>
                <w:rFonts w:eastAsia="Times New Roman" w:cs="Arial"/>
                <w:b/>
                <w:bCs/>
                <w:sz w:val="18"/>
                <w:szCs w:val="18"/>
              </w:rPr>
              <w:t>Dec 31, 2016</w:t>
            </w:r>
          </w:p>
        </w:tc>
      </w:tr>
      <w:tr w:rsidR="00CF29CE" w:rsidRPr="005C426C" w:rsidDel="00561A80" w14:paraId="6145EEA7" w14:textId="77777777" w:rsidTr="00166751">
        <w:trPr>
          <w:trHeight w:hRule="exact" w:val="281"/>
        </w:trPr>
        <w:tc>
          <w:tcPr>
            <w:tcW w:w="2088" w:type="pct"/>
          </w:tcPr>
          <w:p w14:paraId="7451BD5F" w14:textId="77777777" w:rsidR="009702B0" w:rsidRPr="00166751" w:rsidRDefault="009702B0" w:rsidP="009702B0">
            <w:pPr>
              <w:tabs>
                <w:tab w:val="right" w:pos="1202"/>
              </w:tabs>
              <w:spacing w:after="0" w:line="260" w:lineRule="exact"/>
              <w:outlineLvl w:val="0"/>
              <w:rPr>
                <w:rFonts w:eastAsia="Times New Roman" w:cs="Arial"/>
                <w:b/>
                <w:i/>
                <w:spacing w:val="-2"/>
                <w:sz w:val="18"/>
                <w:szCs w:val="18"/>
              </w:rPr>
            </w:pPr>
            <w:r w:rsidRPr="00166751">
              <w:rPr>
                <w:rFonts w:eastAsia="Times New Roman" w:cs="Arial"/>
                <w:b/>
                <w:i/>
                <w:spacing w:val="-2"/>
                <w:sz w:val="18"/>
                <w:szCs w:val="18"/>
              </w:rPr>
              <w:t>Debt instruments:</w:t>
            </w:r>
          </w:p>
        </w:tc>
        <w:tc>
          <w:tcPr>
            <w:tcW w:w="673" w:type="pct"/>
          </w:tcPr>
          <w:p w14:paraId="7EDADCDE" w14:textId="77777777" w:rsidR="009702B0" w:rsidRPr="00166751" w:rsidDel="00561A80" w:rsidRDefault="009702B0" w:rsidP="009702B0">
            <w:pPr>
              <w:tabs>
                <w:tab w:val="right" w:pos="1202"/>
              </w:tabs>
              <w:spacing w:after="0" w:line="260" w:lineRule="exact"/>
              <w:jc w:val="right"/>
              <w:outlineLvl w:val="0"/>
              <w:rPr>
                <w:rFonts w:eastAsia="Times New Roman" w:cs="Arial"/>
                <w:spacing w:val="-2"/>
                <w:sz w:val="18"/>
                <w:szCs w:val="18"/>
              </w:rPr>
            </w:pPr>
          </w:p>
        </w:tc>
        <w:tc>
          <w:tcPr>
            <w:tcW w:w="747" w:type="pct"/>
          </w:tcPr>
          <w:p w14:paraId="2D583E7D" w14:textId="77777777" w:rsidR="009702B0" w:rsidRPr="00166751" w:rsidDel="00561A80" w:rsidRDefault="009702B0" w:rsidP="009702B0">
            <w:pPr>
              <w:tabs>
                <w:tab w:val="right" w:pos="1202"/>
              </w:tabs>
              <w:spacing w:after="0" w:line="260" w:lineRule="exact"/>
              <w:jc w:val="right"/>
              <w:outlineLvl w:val="0"/>
              <w:rPr>
                <w:rFonts w:eastAsia="Times New Roman" w:cs="Arial"/>
                <w:spacing w:val="-2"/>
                <w:sz w:val="18"/>
                <w:szCs w:val="18"/>
              </w:rPr>
            </w:pPr>
          </w:p>
        </w:tc>
        <w:tc>
          <w:tcPr>
            <w:tcW w:w="746" w:type="pct"/>
          </w:tcPr>
          <w:p w14:paraId="2D621568" w14:textId="77777777" w:rsidR="009702B0" w:rsidRPr="00166751" w:rsidDel="00561A80" w:rsidRDefault="009702B0" w:rsidP="009702B0">
            <w:pPr>
              <w:tabs>
                <w:tab w:val="right" w:pos="1202"/>
              </w:tabs>
              <w:spacing w:after="0" w:line="260" w:lineRule="exact"/>
              <w:jc w:val="right"/>
              <w:outlineLvl w:val="0"/>
              <w:rPr>
                <w:rFonts w:eastAsia="Times New Roman" w:cs="Arial"/>
                <w:spacing w:val="-2"/>
                <w:sz w:val="18"/>
                <w:szCs w:val="18"/>
              </w:rPr>
            </w:pPr>
          </w:p>
        </w:tc>
        <w:tc>
          <w:tcPr>
            <w:tcW w:w="746" w:type="pct"/>
          </w:tcPr>
          <w:p w14:paraId="26DC0203" w14:textId="77777777" w:rsidR="009702B0" w:rsidRPr="00166751" w:rsidDel="00561A80" w:rsidRDefault="009702B0" w:rsidP="009702B0">
            <w:pPr>
              <w:tabs>
                <w:tab w:val="right" w:pos="1202"/>
              </w:tabs>
              <w:spacing w:after="0" w:line="260" w:lineRule="exact"/>
              <w:jc w:val="right"/>
              <w:outlineLvl w:val="0"/>
              <w:rPr>
                <w:rFonts w:eastAsia="Times New Roman" w:cs="Arial"/>
                <w:spacing w:val="-2"/>
                <w:sz w:val="18"/>
                <w:szCs w:val="18"/>
              </w:rPr>
            </w:pPr>
          </w:p>
        </w:tc>
      </w:tr>
      <w:tr w:rsidR="00CF29CE" w:rsidRPr="005C426C" w:rsidDel="00561A80" w14:paraId="0CADE399" w14:textId="77777777" w:rsidTr="00166751">
        <w:trPr>
          <w:trHeight w:hRule="exact" w:val="281"/>
        </w:trPr>
        <w:tc>
          <w:tcPr>
            <w:tcW w:w="2088" w:type="pct"/>
          </w:tcPr>
          <w:p w14:paraId="52E15409" w14:textId="77777777" w:rsidR="009702B0" w:rsidRPr="00166751" w:rsidRDefault="009702B0" w:rsidP="009702B0">
            <w:pPr>
              <w:tabs>
                <w:tab w:val="right" w:pos="1202"/>
              </w:tabs>
              <w:spacing w:after="0" w:line="260" w:lineRule="exact"/>
              <w:outlineLvl w:val="0"/>
              <w:rPr>
                <w:rFonts w:eastAsia="Times New Roman" w:cs="Arial"/>
                <w:b/>
                <w:spacing w:val="-2"/>
                <w:sz w:val="18"/>
                <w:szCs w:val="18"/>
              </w:rPr>
            </w:pPr>
            <w:r w:rsidRPr="00166751">
              <w:rPr>
                <w:rFonts w:eastAsia="Times New Roman" w:cs="Arial"/>
                <w:b/>
                <w:spacing w:val="-2"/>
                <w:sz w:val="18"/>
                <w:szCs w:val="18"/>
              </w:rPr>
              <w:t>Listed debt instruments:</w:t>
            </w:r>
          </w:p>
        </w:tc>
        <w:tc>
          <w:tcPr>
            <w:tcW w:w="673" w:type="pct"/>
          </w:tcPr>
          <w:p w14:paraId="2961AF2B" w14:textId="77777777" w:rsidR="009702B0" w:rsidRPr="00166751" w:rsidDel="00561A80" w:rsidRDefault="009702B0" w:rsidP="009702B0">
            <w:pPr>
              <w:tabs>
                <w:tab w:val="right" w:pos="1202"/>
              </w:tabs>
              <w:spacing w:after="0" w:line="260" w:lineRule="exact"/>
              <w:jc w:val="right"/>
              <w:outlineLvl w:val="0"/>
              <w:rPr>
                <w:rFonts w:eastAsia="Times New Roman" w:cs="Arial"/>
                <w:spacing w:val="-2"/>
                <w:sz w:val="18"/>
                <w:szCs w:val="18"/>
              </w:rPr>
            </w:pPr>
          </w:p>
        </w:tc>
        <w:tc>
          <w:tcPr>
            <w:tcW w:w="747" w:type="pct"/>
          </w:tcPr>
          <w:p w14:paraId="2389CC8E" w14:textId="77777777" w:rsidR="009702B0" w:rsidRPr="00166751" w:rsidDel="00561A80" w:rsidRDefault="009702B0" w:rsidP="009702B0">
            <w:pPr>
              <w:tabs>
                <w:tab w:val="right" w:pos="1202"/>
              </w:tabs>
              <w:spacing w:after="0" w:line="260" w:lineRule="exact"/>
              <w:jc w:val="right"/>
              <w:outlineLvl w:val="0"/>
              <w:rPr>
                <w:rFonts w:eastAsia="Times New Roman" w:cs="Arial"/>
                <w:spacing w:val="-2"/>
                <w:sz w:val="18"/>
                <w:szCs w:val="18"/>
              </w:rPr>
            </w:pPr>
          </w:p>
        </w:tc>
        <w:tc>
          <w:tcPr>
            <w:tcW w:w="746" w:type="pct"/>
          </w:tcPr>
          <w:p w14:paraId="78792572" w14:textId="77777777" w:rsidR="009702B0" w:rsidRPr="00166751" w:rsidDel="00561A80" w:rsidRDefault="009702B0" w:rsidP="009702B0">
            <w:pPr>
              <w:tabs>
                <w:tab w:val="right" w:pos="1202"/>
              </w:tabs>
              <w:spacing w:after="0" w:line="260" w:lineRule="exact"/>
              <w:jc w:val="right"/>
              <w:outlineLvl w:val="0"/>
              <w:rPr>
                <w:rFonts w:eastAsia="Times New Roman" w:cs="Arial"/>
                <w:spacing w:val="-2"/>
                <w:sz w:val="18"/>
                <w:szCs w:val="18"/>
              </w:rPr>
            </w:pPr>
          </w:p>
        </w:tc>
        <w:tc>
          <w:tcPr>
            <w:tcW w:w="746" w:type="pct"/>
          </w:tcPr>
          <w:p w14:paraId="5A9E79A7" w14:textId="77777777" w:rsidR="009702B0" w:rsidRPr="00166751" w:rsidDel="00561A80" w:rsidRDefault="009702B0" w:rsidP="009702B0">
            <w:pPr>
              <w:tabs>
                <w:tab w:val="right" w:pos="1202"/>
              </w:tabs>
              <w:spacing w:after="0" w:line="260" w:lineRule="exact"/>
              <w:jc w:val="right"/>
              <w:outlineLvl w:val="0"/>
              <w:rPr>
                <w:rFonts w:eastAsia="Times New Roman" w:cs="Arial"/>
                <w:spacing w:val="-2"/>
                <w:sz w:val="18"/>
                <w:szCs w:val="18"/>
              </w:rPr>
            </w:pPr>
          </w:p>
        </w:tc>
      </w:tr>
      <w:tr w:rsidR="00557599" w:rsidRPr="005C426C" w14:paraId="0E0D9EFB" w14:textId="77777777" w:rsidTr="006B318F">
        <w:trPr>
          <w:trHeight w:hRule="exact" w:val="574"/>
        </w:trPr>
        <w:tc>
          <w:tcPr>
            <w:tcW w:w="2088" w:type="pct"/>
            <w:vAlign w:val="bottom"/>
          </w:tcPr>
          <w:p w14:paraId="06011597" w14:textId="77777777" w:rsidR="00557599" w:rsidRPr="00166751" w:rsidRDefault="00557599" w:rsidP="00557599">
            <w:pPr>
              <w:tabs>
                <w:tab w:val="right" w:pos="1202"/>
              </w:tabs>
              <w:spacing w:after="0" w:line="260" w:lineRule="exact"/>
              <w:outlineLvl w:val="0"/>
              <w:rPr>
                <w:rFonts w:eastAsia="Times New Roman" w:cs="Arial"/>
                <w:spacing w:val="-2"/>
                <w:sz w:val="18"/>
                <w:szCs w:val="18"/>
              </w:rPr>
            </w:pPr>
            <w:r w:rsidRPr="00166751">
              <w:rPr>
                <w:rFonts w:eastAsia="Times New Roman" w:cs="Arial"/>
                <w:spacing w:val="-2"/>
                <w:sz w:val="18"/>
                <w:szCs w:val="18"/>
              </w:rPr>
              <w:t>Bonds of the Ministry of Finance of the Republic of Croatia</w:t>
            </w:r>
          </w:p>
        </w:tc>
        <w:tc>
          <w:tcPr>
            <w:tcW w:w="673" w:type="pct"/>
            <w:tcBorders>
              <w:top w:val="nil"/>
              <w:left w:val="nil"/>
              <w:bottom w:val="nil"/>
              <w:right w:val="nil"/>
            </w:tcBorders>
            <w:shd w:val="clear" w:color="auto" w:fill="auto"/>
            <w:vAlign w:val="bottom"/>
          </w:tcPr>
          <w:p w14:paraId="72A5ED63" w14:textId="084FB3D0" w:rsidR="00557599" w:rsidRPr="005444AA" w:rsidRDefault="00557599" w:rsidP="00557599">
            <w:pPr>
              <w:pStyle w:val="Tot"/>
              <w:spacing w:line="240" w:lineRule="exact"/>
              <w:jc w:val="right"/>
              <w:rPr>
                <w:rFonts w:asciiTheme="minorHAnsi" w:hAnsiTheme="minorHAnsi"/>
                <w:sz w:val="18"/>
                <w:szCs w:val="18"/>
              </w:rPr>
            </w:pPr>
            <w:r w:rsidRPr="006B318F">
              <w:rPr>
                <w:rFonts w:asciiTheme="minorHAnsi" w:hAnsiTheme="minorHAnsi"/>
                <w:sz w:val="18"/>
                <w:szCs w:val="18"/>
              </w:rPr>
              <w:t>896,476</w:t>
            </w:r>
          </w:p>
        </w:tc>
        <w:tc>
          <w:tcPr>
            <w:tcW w:w="747" w:type="pct"/>
            <w:tcBorders>
              <w:top w:val="nil"/>
              <w:left w:val="nil"/>
              <w:bottom w:val="nil"/>
              <w:right w:val="nil"/>
            </w:tcBorders>
            <w:shd w:val="clear" w:color="auto" w:fill="auto"/>
            <w:vAlign w:val="bottom"/>
          </w:tcPr>
          <w:p w14:paraId="6290DD42" w14:textId="77777777" w:rsidR="00557599" w:rsidRPr="00166751" w:rsidRDefault="00557599" w:rsidP="00557599">
            <w:pPr>
              <w:pStyle w:val="Tot"/>
              <w:spacing w:line="240" w:lineRule="exact"/>
              <w:jc w:val="right"/>
              <w:rPr>
                <w:rFonts w:asciiTheme="minorHAnsi" w:hAnsiTheme="minorHAnsi" w:cs="Arial"/>
                <w:spacing w:val="-2"/>
                <w:sz w:val="18"/>
                <w:szCs w:val="18"/>
                <w:lang w:val="hr-HR"/>
              </w:rPr>
            </w:pPr>
            <w:r w:rsidRPr="00166751">
              <w:rPr>
                <w:rFonts w:asciiTheme="minorHAnsi" w:hAnsiTheme="minorHAnsi"/>
                <w:sz w:val="18"/>
                <w:szCs w:val="18"/>
              </w:rPr>
              <w:t>925,887</w:t>
            </w:r>
          </w:p>
        </w:tc>
        <w:tc>
          <w:tcPr>
            <w:tcW w:w="746" w:type="pct"/>
            <w:tcBorders>
              <w:top w:val="nil"/>
              <w:left w:val="nil"/>
              <w:bottom w:val="nil"/>
              <w:right w:val="nil"/>
            </w:tcBorders>
            <w:shd w:val="clear" w:color="auto" w:fill="auto"/>
            <w:vAlign w:val="bottom"/>
          </w:tcPr>
          <w:p w14:paraId="6A851533" w14:textId="74B1E12A" w:rsidR="00557599" w:rsidRPr="005444AA" w:rsidRDefault="00557599" w:rsidP="00557599">
            <w:pPr>
              <w:pStyle w:val="Tot"/>
              <w:spacing w:line="240" w:lineRule="exact"/>
              <w:jc w:val="right"/>
              <w:rPr>
                <w:rFonts w:asciiTheme="minorHAnsi" w:hAnsiTheme="minorHAnsi"/>
                <w:sz w:val="18"/>
                <w:szCs w:val="18"/>
              </w:rPr>
            </w:pPr>
            <w:r w:rsidRPr="006B318F">
              <w:rPr>
                <w:rFonts w:asciiTheme="minorHAnsi" w:hAnsiTheme="minorHAnsi"/>
                <w:sz w:val="18"/>
                <w:szCs w:val="18"/>
              </w:rPr>
              <w:t>853,824</w:t>
            </w:r>
          </w:p>
        </w:tc>
        <w:tc>
          <w:tcPr>
            <w:tcW w:w="746" w:type="pct"/>
            <w:tcBorders>
              <w:top w:val="nil"/>
              <w:left w:val="nil"/>
              <w:bottom w:val="nil"/>
              <w:right w:val="nil"/>
            </w:tcBorders>
            <w:shd w:val="clear" w:color="auto" w:fill="auto"/>
            <w:vAlign w:val="bottom"/>
          </w:tcPr>
          <w:p w14:paraId="0E8B38C5" w14:textId="77777777" w:rsidR="00557599" w:rsidRPr="00166751" w:rsidRDefault="00557599" w:rsidP="00557599">
            <w:pPr>
              <w:pStyle w:val="Tot"/>
              <w:spacing w:line="240" w:lineRule="exact"/>
              <w:jc w:val="right"/>
              <w:rPr>
                <w:rFonts w:asciiTheme="minorHAnsi" w:hAnsiTheme="minorHAnsi" w:cs="Arial"/>
                <w:spacing w:val="-2"/>
                <w:sz w:val="18"/>
                <w:szCs w:val="18"/>
                <w:lang w:val="hr-HR"/>
              </w:rPr>
            </w:pPr>
            <w:r w:rsidRPr="00166751">
              <w:rPr>
                <w:rFonts w:asciiTheme="minorHAnsi" w:hAnsiTheme="minorHAnsi"/>
                <w:sz w:val="18"/>
                <w:szCs w:val="18"/>
              </w:rPr>
              <w:t>884,914</w:t>
            </w:r>
          </w:p>
        </w:tc>
      </w:tr>
      <w:tr w:rsidR="00557599" w:rsidRPr="005C426C" w14:paraId="795692D4" w14:textId="77777777" w:rsidTr="006B318F">
        <w:trPr>
          <w:trHeight w:hRule="exact" w:val="284"/>
        </w:trPr>
        <w:tc>
          <w:tcPr>
            <w:tcW w:w="2088" w:type="pct"/>
            <w:vAlign w:val="bottom"/>
          </w:tcPr>
          <w:p w14:paraId="3B98CC9D" w14:textId="77777777" w:rsidR="00557599" w:rsidRPr="00166751" w:rsidRDefault="00557599" w:rsidP="00557599">
            <w:pPr>
              <w:tabs>
                <w:tab w:val="right" w:pos="1202"/>
              </w:tabs>
              <w:spacing w:after="0" w:line="260" w:lineRule="exact"/>
              <w:outlineLvl w:val="0"/>
              <w:rPr>
                <w:rFonts w:eastAsia="Times New Roman" w:cs="Arial"/>
                <w:spacing w:val="-2"/>
                <w:sz w:val="18"/>
                <w:szCs w:val="18"/>
              </w:rPr>
            </w:pPr>
            <w:r w:rsidRPr="00166751">
              <w:rPr>
                <w:rFonts w:eastAsia="Times New Roman" w:cs="Arial"/>
                <w:spacing w:val="-2"/>
                <w:sz w:val="18"/>
                <w:szCs w:val="18"/>
              </w:rPr>
              <w:t>Financial institution bonds</w:t>
            </w:r>
          </w:p>
        </w:tc>
        <w:tc>
          <w:tcPr>
            <w:tcW w:w="673" w:type="pct"/>
            <w:tcBorders>
              <w:top w:val="nil"/>
              <w:left w:val="nil"/>
              <w:bottom w:val="nil"/>
              <w:right w:val="nil"/>
            </w:tcBorders>
            <w:shd w:val="clear" w:color="auto" w:fill="auto"/>
            <w:vAlign w:val="bottom"/>
          </w:tcPr>
          <w:p w14:paraId="6FEE7D2C" w14:textId="671807B5" w:rsidR="00557599" w:rsidRPr="005444AA" w:rsidRDefault="00557599" w:rsidP="00557599">
            <w:pPr>
              <w:pStyle w:val="Tot"/>
              <w:spacing w:line="240" w:lineRule="exact"/>
              <w:jc w:val="right"/>
              <w:rPr>
                <w:rFonts w:asciiTheme="minorHAnsi" w:hAnsiTheme="minorHAnsi"/>
                <w:sz w:val="18"/>
                <w:szCs w:val="18"/>
              </w:rPr>
            </w:pPr>
            <w:r w:rsidRPr="006B318F">
              <w:rPr>
                <w:rFonts w:asciiTheme="minorHAnsi" w:hAnsiTheme="minorHAnsi"/>
                <w:sz w:val="18"/>
                <w:szCs w:val="18"/>
              </w:rPr>
              <w:t>511</w:t>
            </w:r>
          </w:p>
        </w:tc>
        <w:tc>
          <w:tcPr>
            <w:tcW w:w="747" w:type="pct"/>
            <w:tcBorders>
              <w:top w:val="nil"/>
              <w:left w:val="nil"/>
              <w:bottom w:val="nil"/>
              <w:right w:val="nil"/>
            </w:tcBorders>
            <w:shd w:val="clear" w:color="auto" w:fill="auto"/>
            <w:vAlign w:val="bottom"/>
          </w:tcPr>
          <w:p w14:paraId="2B44EE88" w14:textId="77777777" w:rsidR="00557599" w:rsidRPr="00166751" w:rsidRDefault="00557599" w:rsidP="00557599">
            <w:pPr>
              <w:pStyle w:val="Tot"/>
              <w:spacing w:line="240" w:lineRule="exact"/>
              <w:jc w:val="right"/>
              <w:rPr>
                <w:rFonts w:asciiTheme="minorHAnsi" w:hAnsiTheme="minorHAnsi" w:cs="Arial"/>
                <w:spacing w:val="-2"/>
                <w:sz w:val="18"/>
                <w:szCs w:val="18"/>
                <w:lang w:val="hr-HR"/>
              </w:rPr>
            </w:pPr>
            <w:r w:rsidRPr="00166751">
              <w:rPr>
                <w:rFonts w:asciiTheme="minorHAnsi" w:hAnsiTheme="minorHAnsi"/>
                <w:sz w:val="18"/>
                <w:szCs w:val="18"/>
              </w:rPr>
              <w:t>910</w:t>
            </w:r>
          </w:p>
        </w:tc>
        <w:tc>
          <w:tcPr>
            <w:tcW w:w="746" w:type="pct"/>
            <w:tcBorders>
              <w:top w:val="nil"/>
              <w:left w:val="nil"/>
              <w:bottom w:val="nil"/>
              <w:right w:val="nil"/>
            </w:tcBorders>
            <w:shd w:val="clear" w:color="auto" w:fill="auto"/>
            <w:vAlign w:val="bottom"/>
          </w:tcPr>
          <w:p w14:paraId="0E7FA077" w14:textId="1FECA9E9" w:rsidR="00557599" w:rsidRPr="005444AA" w:rsidRDefault="00557599" w:rsidP="00557599">
            <w:pPr>
              <w:pStyle w:val="Tot"/>
              <w:spacing w:line="240" w:lineRule="exact"/>
              <w:jc w:val="right"/>
              <w:rPr>
                <w:rFonts w:asciiTheme="minorHAnsi" w:hAnsiTheme="minorHAnsi"/>
                <w:sz w:val="18"/>
                <w:szCs w:val="18"/>
              </w:rPr>
            </w:pPr>
            <w:r w:rsidRPr="006B318F">
              <w:rPr>
                <w:rFonts w:asciiTheme="minorHAnsi" w:hAnsiTheme="minorHAnsi"/>
                <w:sz w:val="18"/>
                <w:szCs w:val="18"/>
              </w:rPr>
              <w:t>-</w:t>
            </w:r>
          </w:p>
        </w:tc>
        <w:tc>
          <w:tcPr>
            <w:tcW w:w="746" w:type="pct"/>
            <w:tcBorders>
              <w:top w:val="nil"/>
              <w:left w:val="nil"/>
              <w:bottom w:val="nil"/>
              <w:right w:val="nil"/>
            </w:tcBorders>
            <w:shd w:val="clear" w:color="auto" w:fill="auto"/>
            <w:vAlign w:val="bottom"/>
          </w:tcPr>
          <w:p w14:paraId="513BAC87" w14:textId="77777777" w:rsidR="00557599" w:rsidRPr="00166751" w:rsidRDefault="00557599" w:rsidP="00557599">
            <w:pPr>
              <w:pStyle w:val="Tot"/>
              <w:spacing w:line="240" w:lineRule="exact"/>
              <w:jc w:val="right"/>
              <w:rPr>
                <w:rFonts w:asciiTheme="minorHAnsi" w:hAnsiTheme="minorHAnsi" w:cs="Arial"/>
                <w:spacing w:val="-2"/>
                <w:sz w:val="18"/>
                <w:szCs w:val="18"/>
                <w:lang w:val="hr-HR"/>
              </w:rPr>
            </w:pPr>
            <w:r w:rsidRPr="00166751">
              <w:rPr>
                <w:rFonts w:asciiTheme="minorHAnsi" w:hAnsiTheme="minorHAnsi"/>
                <w:sz w:val="18"/>
                <w:szCs w:val="18"/>
              </w:rPr>
              <w:t>-</w:t>
            </w:r>
          </w:p>
        </w:tc>
      </w:tr>
      <w:tr w:rsidR="00557599" w:rsidRPr="005C426C" w14:paraId="38845255" w14:textId="77777777" w:rsidTr="006B318F">
        <w:trPr>
          <w:trHeight w:hRule="exact" w:val="288"/>
        </w:trPr>
        <w:tc>
          <w:tcPr>
            <w:tcW w:w="2088" w:type="pct"/>
            <w:vAlign w:val="bottom"/>
          </w:tcPr>
          <w:p w14:paraId="094BBC6A" w14:textId="77777777" w:rsidR="00557599" w:rsidRPr="00166751" w:rsidRDefault="00557599" w:rsidP="00557599">
            <w:pPr>
              <w:tabs>
                <w:tab w:val="right" w:pos="1202"/>
              </w:tabs>
              <w:spacing w:after="0" w:line="260" w:lineRule="exact"/>
              <w:outlineLvl w:val="0"/>
              <w:rPr>
                <w:rFonts w:eastAsia="Times New Roman" w:cs="Arial"/>
                <w:spacing w:val="-2"/>
                <w:sz w:val="18"/>
                <w:szCs w:val="18"/>
              </w:rPr>
            </w:pPr>
            <w:r w:rsidRPr="00166751">
              <w:rPr>
                <w:rFonts w:eastAsia="Times New Roman" w:cs="Arial"/>
                <w:spacing w:val="-2"/>
                <w:sz w:val="18"/>
                <w:szCs w:val="18"/>
              </w:rPr>
              <w:t>Corporate bonds</w:t>
            </w:r>
          </w:p>
        </w:tc>
        <w:tc>
          <w:tcPr>
            <w:tcW w:w="673" w:type="pct"/>
            <w:tcBorders>
              <w:top w:val="nil"/>
              <w:left w:val="nil"/>
              <w:bottom w:val="nil"/>
              <w:right w:val="nil"/>
            </w:tcBorders>
            <w:shd w:val="clear" w:color="auto" w:fill="auto"/>
            <w:vAlign w:val="bottom"/>
          </w:tcPr>
          <w:p w14:paraId="3987E97A" w14:textId="553F0C7C" w:rsidR="00557599" w:rsidRPr="005444AA" w:rsidRDefault="00557599" w:rsidP="00557599">
            <w:pPr>
              <w:pStyle w:val="Tot"/>
              <w:spacing w:line="240" w:lineRule="exact"/>
              <w:jc w:val="right"/>
              <w:rPr>
                <w:rFonts w:asciiTheme="minorHAnsi" w:hAnsiTheme="minorHAnsi"/>
                <w:sz w:val="18"/>
                <w:szCs w:val="18"/>
              </w:rPr>
            </w:pPr>
            <w:r w:rsidRPr="006B318F">
              <w:rPr>
                <w:rFonts w:asciiTheme="minorHAnsi" w:hAnsiTheme="minorHAnsi"/>
                <w:sz w:val="18"/>
                <w:szCs w:val="18"/>
              </w:rPr>
              <w:t>1,152</w:t>
            </w:r>
          </w:p>
        </w:tc>
        <w:tc>
          <w:tcPr>
            <w:tcW w:w="747" w:type="pct"/>
            <w:tcBorders>
              <w:top w:val="nil"/>
              <w:left w:val="nil"/>
              <w:bottom w:val="nil"/>
              <w:right w:val="nil"/>
            </w:tcBorders>
            <w:shd w:val="clear" w:color="auto" w:fill="auto"/>
            <w:vAlign w:val="bottom"/>
          </w:tcPr>
          <w:p w14:paraId="2E14C54A" w14:textId="77777777" w:rsidR="00557599" w:rsidRPr="00166751" w:rsidRDefault="00557599" w:rsidP="00557599">
            <w:pPr>
              <w:pStyle w:val="Tot"/>
              <w:spacing w:line="240" w:lineRule="exact"/>
              <w:jc w:val="right"/>
              <w:rPr>
                <w:rFonts w:asciiTheme="minorHAnsi" w:hAnsiTheme="minorHAnsi" w:cs="Arial"/>
                <w:spacing w:val="-2"/>
                <w:sz w:val="18"/>
                <w:szCs w:val="18"/>
                <w:lang w:val="hr-HR"/>
              </w:rPr>
            </w:pPr>
            <w:r w:rsidRPr="00166751">
              <w:rPr>
                <w:rFonts w:asciiTheme="minorHAnsi" w:hAnsiTheme="minorHAnsi"/>
                <w:sz w:val="18"/>
                <w:szCs w:val="18"/>
              </w:rPr>
              <w:t>1,161</w:t>
            </w:r>
          </w:p>
        </w:tc>
        <w:tc>
          <w:tcPr>
            <w:tcW w:w="746" w:type="pct"/>
            <w:tcBorders>
              <w:top w:val="nil"/>
              <w:left w:val="nil"/>
              <w:bottom w:val="nil"/>
              <w:right w:val="nil"/>
            </w:tcBorders>
            <w:shd w:val="clear" w:color="auto" w:fill="auto"/>
            <w:vAlign w:val="bottom"/>
          </w:tcPr>
          <w:p w14:paraId="6DE164CC" w14:textId="6ECEDDC4" w:rsidR="00557599" w:rsidRPr="005444AA" w:rsidRDefault="00557599" w:rsidP="00557599">
            <w:pPr>
              <w:pStyle w:val="Tot"/>
              <w:spacing w:line="240" w:lineRule="exact"/>
              <w:jc w:val="right"/>
              <w:rPr>
                <w:rFonts w:asciiTheme="minorHAnsi" w:hAnsiTheme="minorHAnsi"/>
                <w:sz w:val="18"/>
                <w:szCs w:val="18"/>
              </w:rPr>
            </w:pPr>
            <w:r w:rsidRPr="006B318F">
              <w:rPr>
                <w:rFonts w:asciiTheme="minorHAnsi" w:hAnsiTheme="minorHAnsi"/>
                <w:sz w:val="18"/>
                <w:szCs w:val="18"/>
              </w:rPr>
              <w:t>-</w:t>
            </w:r>
          </w:p>
        </w:tc>
        <w:tc>
          <w:tcPr>
            <w:tcW w:w="746" w:type="pct"/>
            <w:tcBorders>
              <w:top w:val="nil"/>
              <w:left w:val="nil"/>
              <w:bottom w:val="nil"/>
              <w:right w:val="nil"/>
            </w:tcBorders>
            <w:shd w:val="clear" w:color="auto" w:fill="auto"/>
            <w:vAlign w:val="bottom"/>
          </w:tcPr>
          <w:p w14:paraId="7AE4D9CC" w14:textId="77777777" w:rsidR="00557599" w:rsidRPr="00166751" w:rsidRDefault="00557599" w:rsidP="00557599">
            <w:pPr>
              <w:pStyle w:val="Tot"/>
              <w:spacing w:line="240" w:lineRule="exact"/>
              <w:jc w:val="right"/>
              <w:rPr>
                <w:rFonts w:asciiTheme="minorHAnsi" w:hAnsiTheme="minorHAnsi" w:cs="Arial"/>
                <w:spacing w:val="-2"/>
                <w:sz w:val="18"/>
                <w:szCs w:val="18"/>
                <w:lang w:val="hr-HR"/>
              </w:rPr>
            </w:pPr>
            <w:r w:rsidRPr="00166751">
              <w:rPr>
                <w:rFonts w:asciiTheme="minorHAnsi" w:hAnsiTheme="minorHAnsi"/>
                <w:sz w:val="18"/>
                <w:szCs w:val="18"/>
              </w:rPr>
              <w:t>-</w:t>
            </w:r>
          </w:p>
        </w:tc>
      </w:tr>
      <w:tr w:rsidR="00557599" w:rsidRPr="005C426C" w14:paraId="493CA09B" w14:textId="77777777" w:rsidTr="006B318F">
        <w:trPr>
          <w:trHeight w:hRule="exact" w:val="546"/>
        </w:trPr>
        <w:tc>
          <w:tcPr>
            <w:tcW w:w="2088" w:type="pct"/>
            <w:vAlign w:val="bottom"/>
          </w:tcPr>
          <w:p w14:paraId="47575E05" w14:textId="77777777" w:rsidR="00557599" w:rsidRPr="00166751" w:rsidRDefault="00557599" w:rsidP="00557599">
            <w:pPr>
              <w:tabs>
                <w:tab w:val="right" w:pos="1202"/>
              </w:tabs>
              <w:spacing w:after="0" w:line="260" w:lineRule="exact"/>
              <w:outlineLvl w:val="0"/>
              <w:rPr>
                <w:rFonts w:eastAsia="Times New Roman" w:cs="Arial"/>
                <w:spacing w:val="-2"/>
                <w:sz w:val="18"/>
                <w:szCs w:val="18"/>
              </w:rPr>
            </w:pPr>
            <w:r w:rsidRPr="00166751">
              <w:rPr>
                <w:rFonts w:eastAsia="Times New Roman" w:cs="Arial"/>
                <w:spacing w:val="-2"/>
                <w:sz w:val="18"/>
                <w:szCs w:val="18"/>
              </w:rPr>
              <w:t>Treasury bills of the Ministry of Finance of the Republic of Croatia</w:t>
            </w:r>
          </w:p>
        </w:tc>
        <w:tc>
          <w:tcPr>
            <w:tcW w:w="673" w:type="pct"/>
            <w:tcBorders>
              <w:top w:val="nil"/>
              <w:left w:val="nil"/>
              <w:right w:val="nil"/>
            </w:tcBorders>
            <w:shd w:val="clear" w:color="auto" w:fill="auto"/>
            <w:vAlign w:val="bottom"/>
          </w:tcPr>
          <w:p w14:paraId="7DBEC92B" w14:textId="111E978D" w:rsidR="00557599" w:rsidRPr="005444AA" w:rsidRDefault="00557599" w:rsidP="00557599">
            <w:pPr>
              <w:pStyle w:val="Tot"/>
              <w:spacing w:line="240" w:lineRule="exact"/>
              <w:jc w:val="right"/>
              <w:rPr>
                <w:rFonts w:asciiTheme="minorHAnsi" w:hAnsiTheme="minorHAnsi"/>
                <w:sz w:val="18"/>
                <w:szCs w:val="18"/>
              </w:rPr>
            </w:pPr>
            <w:r w:rsidRPr="006B318F">
              <w:rPr>
                <w:rFonts w:asciiTheme="minorHAnsi" w:hAnsiTheme="minorHAnsi"/>
                <w:sz w:val="18"/>
                <w:szCs w:val="18"/>
              </w:rPr>
              <w:t>1,548,521</w:t>
            </w:r>
          </w:p>
        </w:tc>
        <w:tc>
          <w:tcPr>
            <w:tcW w:w="747" w:type="pct"/>
            <w:tcBorders>
              <w:top w:val="nil"/>
              <w:left w:val="nil"/>
              <w:bottom w:val="nil"/>
              <w:right w:val="nil"/>
            </w:tcBorders>
            <w:shd w:val="clear" w:color="auto" w:fill="auto"/>
            <w:vAlign w:val="bottom"/>
          </w:tcPr>
          <w:p w14:paraId="1B387148" w14:textId="77777777" w:rsidR="00557599" w:rsidRPr="00166751" w:rsidRDefault="00557599" w:rsidP="00557599">
            <w:pPr>
              <w:pStyle w:val="Tot"/>
              <w:spacing w:line="240" w:lineRule="exact"/>
              <w:jc w:val="right"/>
              <w:rPr>
                <w:rFonts w:asciiTheme="minorHAnsi" w:hAnsiTheme="minorHAnsi" w:cs="Arial"/>
                <w:spacing w:val="-2"/>
                <w:sz w:val="18"/>
                <w:szCs w:val="18"/>
                <w:lang w:val="hr-HR"/>
              </w:rPr>
            </w:pPr>
            <w:r w:rsidRPr="00166751">
              <w:rPr>
                <w:rFonts w:asciiTheme="minorHAnsi" w:hAnsiTheme="minorHAnsi"/>
                <w:sz w:val="18"/>
                <w:szCs w:val="18"/>
              </w:rPr>
              <w:t>1,500,420</w:t>
            </w:r>
          </w:p>
        </w:tc>
        <w:tc>
          <w:tcPr>
            <w:tcW w:w="746" w:type="pct"/>
            <w:tcBorders>
              <w:top w:val="nil"/>
              <w:left w:val="nil"/>
              <w:right w:val="nil"/>
            </w:tcBorders>
            <w:shd w:val="clear" w:color="auto" w:fill="auto"/>
            <w:vAlign w:val="bottom"/>
          </w:tcPr>
          <w:p w14:paraId="5F5E97F8" w14:textId="5DA8ACB3" w:rsidR="00557599" w:rsidRPr="005444AA" w:rsidRDefault="00557599" w:rsidP="00557599">
            <w:pPr>
              <w:pStyle w:val="Tot"/>
              <w:spacing w:line="240" w:lineRule="exact"/>
              <w:jc w:val="right"/>
              <w:rPr>
                <w:rFonts w:asciiTheme="minorHAnsi" w:hAnsiTheme="minorHAnsi"/>
                <w:sz w:val="18"/>
                <w:szCs w:val="18"/>
              </w:rPr>
            </w:pPr>
            <w:r w:rsidRPr="006B318F">
              <w:rPr>
                <w:rFonts w:asciiTheme="minorHAnsi" w:hAnsiTheme="minorHAnsi"/>
                <w:sz w:val="18"/>
                <w:szCs w:val="18"/>
              </w:rPr>
              <w:t>1,548,521</w:t>
            </w:r>
          </w:p>
        </w:tc>
        <w:tc>
          <w:tcPr>
            <w:tcW w:w="746" w:type="pct"/>
            <w:tcBorders>
              <w:top w:val="nil"/>
              <w:left w:val="nil"/>
              <w:bottom w:val="nil"/>
              <w:right w:val="nil"/>
            </w:tcBorders>
            <w:shd w:val="clear" w:color="auto" w:fill="auto"/>
            <w:vAlign w:val="bottom"/>
          </w:tcPr>
          <w:p w14:paraId="4AF8E381" w14:textId="77777777" w:rsidR="00557599" w:rsidRPr="00166751" w:rsidRDefault="00557599" w:rsidP="00557599">
            <w:pPr>
              <w:pStyle w:val="Tot"/>
              <w:spacing w:line="240" w:lineRule="exact"/>
              <w:jc w:val="right"/>
              <w:rPr>
                <w:rFonts w:asciiTheme="minorHAnsi" w:hAnsiTheme="minorHAnsi" w:cs="Arial"/>
                <w:spacing w:val="-2"/>
                <w:sz w:val="18"/>
                <w:szCs w:val="18"/>
                <w:lang w:val="hr-HR"/>
              </w:rPr>
            </w:pPr>
            <w:r w:rsidRPr="00166751">
              <w:rPr>
                <w:rFonts w:asciiTheme="minorHAnsi" w:hAnsiTheme="minorHAnsi"/>
                <w:sz w:val="18"/>
                <w:szCs w:val="18"/>
              </w:rPr>
              <w:t>1,500,420</w:t>
            </w:r>
          </w:p>
        </w:tc>
      </w:tr>
      <w:tr w:rsidR="00557599" w:rsidRPr="005C426C" w14:paraId="6E626C78" w14:textId="77777777" w:rsidTr="006B318F">
        <w:trPr>
          <w:trHeight w:hRule="exact" w:val="284"/>
        </w:trPr>
        <w:tc>
          <w:tcPr>
            <w:tcW w:w="2088" w:type="pct"/>
            <w:vAlign w:val="bottom"/>
          </w:tcPr>
          <w:p w14:paraId="35EA44DC" w14:textId="77777777" w:rsidR="00557599" w:rsidRPr="00166751" w:rsidRDefault="00557599" w:rsidP="00557599">
            <w:pPr>
              <w:tabs>
                <w:tab w:val="right" w:pos="1202"/>
              </w:tabs>
              <w:spacing w:after="0" w:line="260" w:lineRule="exact"/>
              <w:outlineLvl w:val="0"/>
              <w:rPr>
                <w:rFonts w:eastAsia="Times New Roman" w:cs="Arial"/>
                <w:spacing w:val="-2"/>
                <w:sz w:val="18"/>
                <w:szCs w:val="18"/>
              </w:rPr>
            </w:pPr>
            <w:r w:rsidRPr="00166751">
              <w:rPr>
                <w:rFonts w:eastAsia="Times New Roman" w:cs="Arial"/>
                <w:spacing w:val="-2"/>
                <w:sz w:val="18"/>
                <w:szCs w:val="18"/>
              </w:rPr>
              <w:t>Accrued interest</w:t>
            </w:r>
          </w:p>
        </w:tc>
        <w:tc>
          <w:tcPr>
            <w:tcW w:w="673" w:type="pct"/>
            <w:tcBorders>
              <w:top w:val="nil"/>
              <w:left w:val="nil"/>
              <w:right w:val="nil"/>
            </w:tcBorders>
            <w:shd w:val="clear" w:color="auto" w:fill="auto"/>
            <w:vAlign w:val="bottom"/>
          </w:tcPr>
          <w:p w14:paraId="77606AA2" w14:textId="2AF63CE0" w:rsidR="00557599" w:rsidRPr="005444AA" w:rsidRDefault="00557599" w:rsidP="006B318F">
            <w:pPr>
              <w:pStyle w:val="Tot"/>
              <w:spacing w:line="260" w:lineRule="exact"/>
              <w:jc w:val="right"/>
              <w:rPr>
                <w:rFonts w:asciiTheme="minorHAnsi" w:hAnsiTheme="minorHAnsi"/>
                <w:sz w:val="18"/>
                <w:szCs w:val="18"/>
              </w:rPr>
            </w:pPr>
            <w:r w:rsidRPr="006B318F">
              <w:rPr>
                <w:rFonts w:asciiTheme="minorHAnsi" w:hAnsiTheme="minorHAnsi"/>
                <w:color w:val="000000"/>
                <w:sz w:val="18"/>
                <w:szCs w:val="18"/>
              </w:rPr>
              <w:t>10,369</w:t>
            </w:r>
          </w:p>
        </w:tc>
        <w:tc>
          <w:tcPr>
            <w:tcW w:w="747" w:type="pct"/>
            <w:tcBorders>
              <w:top w:val="nil"/>
              <w:left w:val="nil"/>
              <w:bottom w:val="nil"/>
              <w:right w:val="nil"/>
            </w:tcBorders>
            <w:shd w:val="clear" w:color="auto" w:fill="auto"/>
            <w:vAlign w:val="bottom"/>
          </w:tcPr>
          <w:p w14:paraId="48E7CA54" w14:textId="77777777" w:rsidR="00557599" w:rsidRPr="00166751" w:rsidRDefault="00557599" w:rsidP="00557599">
            <w:pPr>
              <w:pStyle w:val="Tot"/>
              <w:spacing w:line="260" w:lineRule="exact"/>
              <w:jc w:val="right"/>
              <w:rPr>
                <w:rFonts w:asciiTheme="minorHAnsi" w:hAnsiTheme="minorHAnsi" w:cs="Arial"/>
                <w:spacing w:val="-2"/>
                <w:sz w:val="18"/>
                <w:szCs w:val="18"/>
                <w:lang w:val="hr-HR"/>
              </w:rPr>
            </w:pPr>
            <w:r w:rsidRPr="00166751">
              <w:rPr>
                <w:rFonts w:asciiTheme="minorHAnsi" w:hAnsiTheme="minorHAnsi"/>
                <w:color w:val="000000"/>
                <w:sz w:val="18"/>
                <w:szCs w:val="18"/>
              </w:rPr>
              <w:t>14,495</w:t>
            </w:r>
          </w:p>
        </w:tc>
        <w:tc>
          <w:tcPr>
            <w:tcW w:w="746" w:type="pct"/>
            <w:tcBorders>
              <w:top w:val="nil"/>
              <w:left w:val="nil"/>
              <w:right w:val="nil"/>
            </w:tcBorders>
            <w:shd w:val="clear" w:color="auto" w:fill="auto"/>
            <w:vAlign w:val="bottom"/>
          </w:tcPr>
          <w:p w14:paraId="7F49CD8E" w14:textId="438A1BCA" w:rsidR="00557599" w:rsidRPr="006B318F" w:rsidRDefault="00557599" w:rsidP="006B318F">
            <w:pPr>
              <w:pStyle w:val="Tot"/>
              <w:spacing w:line="260" w:lineRule="exact"/>
              <w:jc w:val="right"/>
              <w:rPr>
                <w:rFonts w:asciiTheme="minorHAnsi" w:hAnsiTheme="minorHAnsi"/>
                <w:color w:val="000000"/>
                <w:sz w:val="18"/>
                <w:szCs w:val="18"/>
              </w:rPr>
            </w:pPr>
            <w:r w:rsidRPr="006B318F">
              <w:rPr>
                <w:rFonts w:asciiTheme="minorHAnsi" w:hAnsiTheme="minorHAnsi"/>
                <w:color w:val="000000"/>
                <w:sz w:val="18"/>
                <w:szCs w:val="18"/>
              </w:rPr>
              <w:t>9,883</w:t>
            </w:r>
          </w:p>
        </w:tc>
        <w:tc>
          <w:tcPr>
            <w:tcW w:w="746" w:type="pct"/>
            <w:tcBorders>
              <w:top w:val="nil"/>
              <w:left w:val="nil"/>
              <w:bottom w:val="nil"/>
              <w:right w:val="nil"/>
            </w:tcBorders>
            <w:shd w:val="clear" w:color="auto" w:fill="auto"/>
            <w:vAlign w:val="bottom"/>
          </w:tcPr>
          <w:p w14:paraId="4D5FC702" w14:textId="77777777" w:rsidR="00557599" w:rsidRPr="00166751" w:rsidRDefault="00557599" w:rsidP="00557599">
            <w:pPr>
              <w:pStyle w:val="Tot"/>
              <w:spacing w:line="260" w:lineRule="exact"/>
              <w:jc w:val="right"/>
              <w:rPr>
                <w:rFonts w:asciiTheme="minorHAnsi" w:hAnsiTheme="minorHAnsi" w:cs="Arial"/>
                <w:spacing w:val="-2"/>
                <w:sz w:val="18"/>
                <w:szCs w:val="18"/>
                <w:lang w:val="hr-HR"/>
              </w:rPr>
            </w:pPr>
            <w:r w:rsidRPr="00166751">
              <w:rPr>
                <w:rFonts w:asciiTheme="minorHAnsi" w:hAnsiTheme="minorHAnsi"/>
                <w:color w:val="000000"/>
                <w:sz w:val="18"/>
                <w:szCs w:val="18"/>
              </w:rPr>
              <w:t>13,890</w:t>
            </w:r>
          </w:p>
        </w:tc>
      </w:tr>
      <w:tr w:rsidR="00557599" w:rsidRPr="005C426C" w14:paraId="3459474B" w14:textId="77777777" w:rsidTr="006B318F">
        <w:trPr>
          <w:trHeight w:val="120"/>
        </w:trPr>
        <w:tc>
          <w:tcPr>
            <w:tcW w:w="2088" w:type="pct"/>
          </w:tcPr>
          <w:p w14:paraId="50E82224" w14:textId="77777777" w:rsidR="00557599" w:rsidRPr="00166751" w:rsidRDefault="00557599" w:rsidP="00557599">
            <w:pPr>
              <w:tabs>
                <w:tab w:val="right" w:pos="1202"/>
              </w:tabs>
              <w:spacing w:after="0" w:line="240" w:lineRule="auto"/>
              <w:outlineLvl w:val="0"/>
              <w:rPr>
                <w:rFonts w:eastAsia="Times New Roman" w:cs="Arial"/>
                <w:spacing w:val="-2"/>
                <w:sz w:val="18"/>
                <w:szCs w:val="18"/>
              </w:rPr>
            </w:pPr>
          </w:p>
        </w:tc>
        <w:tc>
          <w:tcPr>
            <w:tcW w:w="673" w:type="pct"/>
            <w:tcBorders>
              <w:top w:val="single" w:sz="4" w:space="0" w:color="auto"/>
              <w:bottom w:val="single" w:sz="4" w:space="0" w:color="auto"/>
            </w:tcBorders>
            <w:vAlign w:val="bottom"/>
          </w:tcPr>
          <w:p w14:paraId="7472A44E" w14:textId="2458F9FD" w:rsidR="00557599" w:rsidRPr="00166751" w:rsidRDefault="00557599" w:rsidP="00557599">
            <w:pPr>
              <w:tabs>
                <w:tab w:val="right" w:pos="1202"/>
              </w:tabs>
              <w:spacing w:after="0" w:line="240" w:lineRule="auto"/>
              <w:jc w:val="right"/>
              <w:outlineLvl w:val="0"/>
              <w:rPr>
                <w:rFonts w:asciiTheme="minorHAnsi" w:eastAsia="Times New Roman" w:hAnsiTheme="minorHAnsi" w:cs="Arial"/>
                <w:b/>
                <w:noProof/>
                <w:spacing w:val="-2"/>
                <w:sz w:val="18"/>
                <w:szCs w:val="18"/>
                <w:lang w:val="hr-HR" w:eastAsia="hr-HR"/>
              </w:rPr>
            </w:pPr>
            <w:r w:rsidRPr="00557599">
              <w:rPr>
                <w:rFonts w:asciiTheme="minorHAnsi" w:eastAsia="Times New Roman" w:hAnsiTheme="minorHAnsi" w:cs="Arial"/>
                <w:b/>
                <w:noProof/>
                <w:spacing w:val="-2"/>
                <w:sz w:val="18"/>
                <w:szCs w:val="18"/>
                <w:lang w:val="hr-HR" w:eastAsia="hr-HR"/>
              </w:rPr>
              <w:t>2,457,029</w:t>
            </w:r>
          </w:p>
        </w:tc>
        <w:tc>
          <w:tcPr>
            <w:tcW w:w="747" w:type="pct"/>
            <w:tcBorders>
              <w:top w:val="single" w:sz="4" w:space="0" w:color="auto"/>
              <w:bottom w:val="single" w:sz="12" w:space="0" w:color="auto"/>
            </w:tcBorders>
            <w:vAlign w:val="bottom"/>
          </w:tcPr>
          <w:p w14:paraId="6D162D62" w14:textId="77777777" w:rsidR="00557599" w:rsidRPr="00166751" w:rsidRDefault="00557599" w:rsidP="00557599">
            <w:pPr>
              <w:tabs>
                <w:tab w:val="right" w:pos="1202"/>
              </w:tabs>
              <w:spacing w:after="0" w:line="240" w:lineRule="auto"/>
              <w:jc w:val="right"/>
              <w:outlineLvl w:val="0"/>
              <w:rPr>
                <w:rFonts w:asciiTheme="minorHAnsi" w:eastAsia="Times New Roman" w:hAnsiTheme="minorHAnsi" w:cs="Arial"/>
                <w:b/>
                <w:noProof/>
                <w:spacing w:val="-2"/>
                <w:sz w:val="18"/>
                <w:szCs w:val="18"/>
                <w:lang w:val="hr-HR" w:eastAsia="hr-HR"/>
              </w:rPr>
            </w:pPr>
            <w:r w:rsidRPr="00166751">
              <w:rPr>
                <w:rFonts w:asciiTheme="minorHAnsi" w:eastAsia="Times New Roman" w:hAnsiTheme="minorHAnsi" w:cs="Arial"/>
                <w:b/>
                <w:noProof/>
                <w:spacing w:val="-2"/>
                <w:sz w:val="18"/>
                <w:szCs w:val="18"/>
                <w:lang w:val="hr-HR" w:eastAsia="hr-HR"/>
              </w:rPr>
              <w:t>2,442,873</w:t>
            </w:r>
          </w:p>
        </w:tc>
        <w:tc>
          <w:tcPr>
            <w:tcW w:w="746" w:type="pct"/>
            <w:tcBorders>
              <w:top w:val="single" w:sz="4" w:space="0" w:color="auto"/>
              <w:bottom w:val="single" w:sz="4" w:space="0" w:color="auto"/>
            </w:tcBorders>
          </w:tcPr>
          <w:p w14:paraId="06D7FBEC" w14:textId="023D9D77" w:rsidR="00557599" w:rsidRPr="00166751" w:rsidRDefault="00557599" w:rsidP="00557599">
            <w:pPr>
              <w:tabs>
                <w:tab w:val="right" w:pos="1202"/>
              </w:tabs>
              <w:spacing w:after="0" w:line="240" w:lineRule="auto"/>
              <w:jc w:val="right"/>
              <w:outlineLvl w:val="0"/>
              <w:rPr>
                <w:rFonts w:asciiTheme="minorHAnsi" w:eastAsia="Times New Roman" w:hAnsiTheme="minorHAnsi" w:cs="Arial"/>
                <w:b/>
                <w:noProof/>
                <w:spacing w:val="-2"/>
                <w:sz w:val="18"/>
                <w:szCs w:val="18"/>
                <w:lang w:val="hr-HR" w:eastAsia="hr-HR"/>
              </w:rPr>
            </w:pPr>
            <w:r w:rsidRPr="006B318F">
              <w:rPr>
                <w:rFonts w:asciiTheme="minorHAnsi" w:eastAsia="Times New Roman" w:hAnsiTheme="minorHAnsi" w:cs="Arial"/>
                <w:b/>
                <w:noProof/>
                <w:spacing w:val="-2"/>
                <w:sz w:val="18"/>
                <w:szCs w:val="18"/>
                <w:lang w:val="hr-HR" w:eastAsia="hr-HR"/>
              </w:rPr>
              <w:t>2,412,228</w:t>
            </w:r>
          </w:p>
        </w:tc>
        <w:tc>
          <w:tcPr>
            <w:tcW w:w="746" w:type="pct"/>
            <w:tcBorders>
              <w:top w:val="single" w:sz="4" w:space="0" w:color="auto"/>
              <w:bottom w:val="single" w:sz="12" w:space="0" w:color="auto"/>
            </w:tcBorders>
            <w:vAlign w:val="bottom"/>
          </w:tcPr>
          <w:p w14:paraId="26E82ED4" w14:textId="77777777" w:rsidR="00557599" w:rsidRPr="00166751" w:rsidRDefault="00557599" w:rsidP="00557599">
            <w:pPr>
              <w:tabs>
                <w:tab w:val="right" w:pos="1202"/>
              </w:tabs>
              <w:spacing w:after="0" w:line="240" w:lineRule="auto"/>
              <w:jc w:val="right"/>
              <w:outlineLvl w:val="0"/>
              <w:rPr>
                <w:rFonts w:asciiTheme="minorHAnsi" w:eastAsia="Times New Roman" w:hAnsiTheme="minorHAnsi" w:cs="Arial"/>
                <w:b/>
                <w:noProof/>
                <w:spacing w:val="-2"/>
                <w:sz w:val="18"/>
                <w:szCs w:val="18"/>
                <w:lang w:val="hr-HR" w:eastAsia="hr-HR"/>
              </w:rPr>
            </w:pPr>
            <w:r w:rsidRPr="00166751">
              <w:rPr>
                <w:rFonts w:asciiTheme="minorHAnsi" w:eastAsia="Times New Roman" w:hAnsiTheme="minorHAnsi" w:cs="Arial"/>
                <w:b/>
                <w:noProof/>
                <w:spacing w:val="-2"/>
                <w:sz w:val="18"/>
                <w:szCs w:val="18"/>
                <w:lang w:val="hr-HR" w:eastAsia="hr-HR"/>
              </w:rPr>
              <w:t>2,399,224</w:t>
            </w:r>
          </w:p>
        </w:tc>
      </w:tr>
      <w:tr w:rsidR="00685806" w:rsidRPr="005C426C" w:rsidDel="00561A80" w14:paraId="750B81FF" w14:textId="77777777" w:rsidTr="006B318F">
        <w:trPr>
          <w:trHeight w:val="49"/>
        </w:trPr>
        <w:tc>
          <w:tcPr>
            <w:tcW w:w="2088" w:type="pct"/>
            <w:vAlign w:val="bottom"/>
          </w:tcPr>
          <w:p w14:paraId="6010DEA3" w14:textId="77777777" w:rsidR="00685806" w:rsidRPr="00166751" w:rsidRDefault="00685806" w:rsidP="005444AA">
            <w:pPr>
              <w:tabs>
                <w:tab w:val="right" w:pos="1202"/>
              </w:tabs>
              <w:spacing w:after="0" w:line="140" w:lineRule="exact"/>
              <w:outlineLvl w:val="0"/>
              <w:rPr>
                <w:rFonts w:eastAsia="Times New Roman" w:cs="Arial"/>
                <w:b/>
                <w:i/>
                <w:spacing w:val="-2"/>
                <w:sz w:val="18"/>
                <w:szCs w:val="18"/>
              </w:rPr>
            </w:pPr>
          </w:p>
        </w:tc>
        <w:tc>
          <w:tcPr>
            <w:tcW w:w="673" w:type="pct"/>
            <w:tcBorders>
              <w:top w:val="single" w:sz="12" w:space="0" w:color="auto"/>
            </w:tcBorders>
            <w:vAlign w:val="bottom"/>
          </w:tcPr>
          <w:p w14:paraId="0239FD9E" w14:textId="77777777" w:rsidR="00685806" w:rsidRPr="00166751" w:rsidDel="00561A80" w:rsidRDefault="00685806" w:rsidP="005444AA">
            <w:pPr>
              <w:tabs>
                <w:tab w:val="right" w:pos="1202"/>
              </w:tabs>
              <w:spacing w:after="0" w:line="140" w:lineRule="exact"/>
              <w:jc w:val="right"/>
              <w:outlineLvl w:val="0"/>
              <w:rPr>
                <w:rFonts w:eastAsia="Times New Roman" w:cs="Arial"/>
                <w:spacing w:val="-2"/>
                <w:sz w:val="18"/>
                <w:szCs w:val="18"/>
              </w:rPr>
            </w:pPr>
          </w:p>
        </w:tc>
        <w:tc>
          <w:tcPr>
            <w:tcW w:w="747" w:type="pct"/>
            <w:tcBorders>
              <w:top w:val="single" w:sz="12" w:space="0" w:color="auto"/>
            </w:tcBorders>
            <w:vAlign w:val="bottom"/>
          </w:tcPr>
          <w:p w14:paraId="05C3472E" w14:textId="77777777" w:rsidR="00685806" w:rsidRPr="00166751" w:rsidDel="00561A80" w:rsidRDefault="00685806" w:rsidP="005444AA">
            <w:pPr>
              <w:tabs>
                <w:tab w:val="right" w:pos="1202"/>
              </w:tabs>
              <w:spacing w:after="0" w:line="140" w:lineRule="exact"/>
              <w:jc w:val="right"/>
              <w:outlineLvl w:val="0"/>
              <w:rPr>
                <w:rFonts w:eastAsia="Times New Roman" w:cs="Arial"/>
                <w:spacing w:val="-2"/>
                <w:sz w:val="18"/>
                <w:szCs w:val="18"/>
              </w:rPr>
            </w:pPr>
          </w:p>
        </w:tc>
        <w:tc>
          <w:tcPr>
            <w:tcW w:w="746" w:type="pct"/>
            <w:tcBorders>
              <w:top w:val="single" w:sz="12" w:space="0" w:color="auto"/>
            </w:tcBorders>
            <w:vAlign w:val="bottom"/>
          </w:tcPr>
          <w:p w14:paraId="2F8E6CB5" w14:textId="77777777" w:rsidR="00685806" w:rsidRPr="00166751" w:rsidDel="00561A80" w:rsidRDefault="00685806" w:rsidP="005444AA">
            <w:pPr>
              <w:tabs>
                <w:tab w:val="right" w:pos="1202"/>
              </w:tabs>
              <w:spacing w:after="0" w:line="140" w:lineRule="exact"/>
              <w:jc w:val="right"/>
              <w:outlineLvl w:val="0"/>
              <w:rPr>
                <w:rFonts w:eastAsia="Times New Roman" w:cs="Arial"/>
                <w:spacing w:val="-2"/>
                <w:sz w:val="18"/>
                <w:szCs w:val="18"/>
              </w:rPr>
            </w:pPr>
          </w:p>
        </w:tc>
        <w:tc>
          <w:tcPr>
            <w:tcW w:w="746" w:type="pct"/>
            <w:tcBorders>
              <w:top w:val="single" w:sz="12" w:space="0" w:color="auto"/>
            </w:tcBorders>
            <w:vAlign w:val="bottom"/>
          </w:tcPr>
          <w:p w14:paraId="05ED20AF" w14:textId="77777777" w:rsidR="00685806" w:rsidRPr="00166751" w:rsidDel="00561A80" w:rsidRDefault="00685806" w:rsidP="005444AA">
            <w:pPr>
              <w:tabs>
                <w:tab w:val="right" w:pos="1202"/>
              </w:tabs>
              <w:spacing w:after="0" w:line="140" w:lineRule="exact"/>
              <w:jc w:val="right"/>
              <w:outlineLvl w:val="0"/>
              <w:rPr>
                <w:rFonts w:eastAsia="Times New Roman" w:cs="Arial"/>
                <w:spacing w:val="-2"/>
                <w:sz w:val="18"/>
                <w:szCs w:val="18"/>
              </w:rPr>
            </w:pPr>
          </w:p>
        </w:tc>
      </w:tr>
      <w:tr w:rsidR="00685806" w:rsidRPr="005C426C" w:rsidDel="00561A80" w14:paraId="3FCBEAC9" w14:textId="77777777" w:rsidTr="006B318F">
        <w:trPr>
          <w:trHeight w:val="281"/>
        </w:trPr>
        <w:tc>
          <w:tcPr>
            <w:tcW w:w="2088" w:type="pct"/>
            <w:vAlign w:val="bottom"/>
          </w:tcPr>
          <w:p w14:paraId="55870078" w14:textId="77777777" w:rsidR="00685806" w:rsidRPr="00166751" w:rsidRDefault="00685806" w:rsidP="00685806">
            <w:pPr>
              <w:tabs>
                <w:tab w:val="right" w:pos="1202"/>
              </w:tabs>
              <w:spacing w:after="0" w:line="260" w:lineRule="exact"/>
              <w:outlineLvl w:val="0"/>
              <w:rPr>
                <w:rFonts w:eastAsia="Times New Roman" w:cs="Arial"/>
                <w:b/>
                <w:i/>
                <w:spacing w:val="-2"/>
                <w:sz w:val="18"/>
                <w:szCs w:val="18"/>
              </w:rPr>
            </w:pPr>
            <w:r w:rsidRPr="00166751">
              <w:rPr>
                <w:rFonts w:cs="Arial"/>
                <w:b/>
                <w:spacing w:val="-2"/>
                <w:sz w:val="18"/>
                <w:szCs w:val="18"/>
              </w:rPr>
              <w:t>Unlisted debt instruments:</w:t>
            </w:r>
          </w:p>
        </w:tc>
        <w:tc>
          <w:tcPr>
            <w:tcW w:w="673" w:type="pct"/>
            <w:vAlign w:val="bottom"/>
          </w:tcPr>
          <w:p w14:paraId="3729E252" w14:textId="77777777" w:rsidR="00685806" w:rsidRPr="00166751" w:rsidDel="00561A80" w:rsidRDefault="00685806" w:rsidP="00685806">
            <w:pPr>
              <w:tabs>
                <w:tab w:val="right" w:pos="1202"/>
              </w:tabs>
              <w:spacing w:after="0" w:line="260" w:lineRule="exact"/>
              <w:jc w:val="right"/>
              <w:outlineLvl w:val="0"/>
              <w:rPr>
                <w:rFonts w:eastAsia="Times New Roman" w:cs="Arial"/>
                <w:spacing w:val="-2"/>
                <w:sz w:val="18"/>
                <w:szCs w:val="18"/>
              </w:rPr>
            </w:pPr>
          </w:p>
        </w:tc>
        <w:tc>
          <w:tcPr>
            <w:tcW w:w="747" w:type="pct"/>
            <w:vAlign w:val="bottom"/>
          </w:tcPr>
          <w:p w14:paraId="5CDC3EC0" w14:textId="77777777" w:rsidR="00685806" w:rsidRPr="00166751" w:rsidDel="00561A80" w:rsidRDefault="00685806" w:rsidP="00685806">
            <w:pPr>
              <w:tabs>
                <w:tab w:val="right" w:pos="1202"/>
              </w:tabs>
              <w:spacing w:after="0" w:line="260" w:lineRule="exact"/>
              <w:jc w:val="right"/>
              <w:outlineLvl w:val="0"/>
              <w:rPr>
                <w:rFonts w:eastAsia="Times New Roman" w:cs="Arial"/>
                <w:spacing w:val="-2"/>
                <w:sz w:val="18"/>
                <w:szCs w:val="18"/>
              </w:rPr>
            </w:pPr>
          </w:p>
        </w:tc>
        <w:tc>
          <w:tcPr>
            <w:tcW w:w="746" w:type="pct"/>
            <w:vAlign w:val="bottom"/>
          </w:tcPr>
          <w:p w14:paraId="08603939" w14:textId="77777777" w:rsidR="00685806" w:rsidRPr="00166751" w:rsidDel="00561A80" w:rsidRDefault="00685806" w:rsidP="00685806">
            <w:pPr>
              <w:tabs>
                <w:tab w:val="right" w:pos="1202"/>
              </w:tabs>
              <w:spacing w:after="0" w:line="260" w:lineRule="exact"/>
              <w:jc w:val="right"/>
              <w:outlineLvl w:val="0"/>
              <w:rPr>
                <w:rFonts w:eastAsia="Times New Roman" w:cs="Arial"/>
                <w:spacing w:val="-2"/>
                <w:sz w:val="18"/>
                <w:szCs w:val="18"/>
              </w:rPr>
            </w:pPr>
          </w:p>
        </w:tc>
        <w:tc>
          <w:tcPr>
            <w:tcW w:w="746" w:type="pct"/>
            <w:vAlign w:val="bottom"/>
          </w:tcPr>
          <w:p w14:paraId="6E8001A4" w14:textId="77777777" w:rsidR="00685806" w:rsidRPr="00166751" w:rsidDel="00561A80" w:rsidRDefault="00685806" w:rsidP="00685806">
            <w:pPr>
              <w:tabs>
                <w:tab w:val="right" w:pos="1202"/>
              </w:tabs>
              <w:spacing w:after="0" w:line="260" w:lineRule="exact"/>
              <w:jc w:val="right"/>
              <w:outlineLvl w:val="0"/>
              <w:rPr>
                <w:rFonts w:eastAsia="Times New Roman" w:cs="Arial"/>
                <w:spacing w:val="-2"/>
                <w:sz w:val="18"/>
                <w:szCs w:val="18"/>
              </w:rPr>
            </w:pPr>
          </w:p>
        </w:tc>
      </w:tr>
      <w:tr w:rsidR="00557599" w:rsidRPr="005C426C" w:rsidDel="00561A80" w14:paraId="64324266" w14:textId="77777777" w:rsidTr="006B318F">
        <w:trPr>
          <w:trHeight w:val="158"/>
        </w:trPr>
        <w:tc>
          <w:tcPr>
            <w:tcW w:w="2088" w:type="pct"/>
            <w:vAlign w:val="bottom"/>
          </w:tcPr>
          <w:p w14:paraId="0CFB04C1" w14:textId="77777777" w:rsidR="00557599" w:rsidRPr="00166751" w:rsidRDefault="00557599" w:rsidP="00557599">
            <w:pPr>
              <w:tabs>
                <w:tab w:val="right" w:pos="1202"/>
              </w:tabs>
              <w:spacing w:after="0" w:line="260" w:lineRule="exact"/>
              <w:outlineLvl w:val="0"/>
              <w:rPr>
                <w:rFonts w:eastAsia="Times New Roman" w:cs="Arial"/>
                <w:b/>
                <w:i/>
                <w:spacing w:val="-2"/>
                <w:sz w:val="18"/>
                <w:szCs w:val="18"/>
              </w:rPr>
            </w:pPr>
            <w:r w:rsidRPr="00166751">
              <w:rPr>
                <w:rFonts w:cs="Arial"/>
                <w:sz w:val="18"/>
                <w:szCs w:val="18"/>
              </w:rPr>
              <w:t>Corporate bonds</w:t>
            </w:r>
          </w:p>
        </w:tc>
        <w:tc>
          <w:tcPr>
            <w:tcW w:w="673" w:type="pct"/>
            <w:tcBorders>
              <w:top w:val="nil"/>
              <w:left w:val="nil"/>
              <w:bottom w:val="nil"/>
              <w:right w:val="nil"/>
            </w:tcBorders>
            <w:shd w:val="clear" w:color="auto" w:fill="auto"/>
            <w:vAlign w:val="bottom"/>
          </w:tcPr>
          <w:p w14:paraId="14F20A87" w14:textId="10CE9A8D" w:rsidR="00557599" w:rsidRPr="006B318F" w:rsidDel="00561A80" w:rsidRDefault="00557599" w:rsidP="006B318F">
            <w:pPr>
              <w:pStyle w:val="Tot"/>
              <w:spacing w:line="240" w:lineRule="exact"/>
              <w:jc w:val="right"/>
              <w:rPr>
                <w:rFonts w:asciiTheme="minorHAnsi" w:hAnsiTheme="minorHAnsi"/>
                <w:color w:val="000000"/>
                <w:sz w:val="18"/>
                <w:szCs w:val="18"/>
              </w:rPr>
            </w:pPr>
            <w:r w:rsidRPr="006B318F">
              <w:rPr>
                <w:rFonts w:asciiTheme="minorHAnsi" w:hAnsiTheme="minorHAnsi"/>
                <w:color w:val="000000"/>
                <w:sz w:val="18"/>
                <w:szCs w:val="18"/>
              </w:rPr>
              <w:t>512</w:t>
            </w:r>
          </w:p>
        </w:tc>
        <w:tc>
          <w:tcPr>
            <w:tcW w:w="747" w:type="pct"/>
            <w:tcBorders>
              <w:top w:val="nil"/>
              <w:left w:val="nil"/>
              <w:bottom w:val="nil"/>
              <w:right w:val="nil"/>
            </w:tcBorders>
            <w:shd w:val="clear" w:color="auto" w:fill="auto"/>
            <w:vAlign w:val="bottom"/>
          </w:tcPr>
          <w:p w14:paraId="248A892E" w14:textId="77777777" w:rsidR="00557599" w:rsidRPr="00166751" w:rsidRDefault="00557599" w:rsidP="00557599">
            <w:pPr>
              <w:pStyle w:val="Tot"/>
              <w:spacing w:line="240" w:lineRule="exact"/>
              <w:jc w:val="right"/>
              <w:rPr>
                <w:rFonts w:asciiTheme="minorHAnsi" w:hAnsiTheme="minorHAnsi" w:cs="Arial"/>
                <w:b/>
                <w:sz w:val="18"/>
                <w:szCs w:val="18"/>
                <w:lang w:val="hr-HR"/>
              </w:rPr>
            </w:pPr>
            <w:r w:rsidRPr="00166751">
              <w:rPr>
                <w:rFonts w:asciiTheme="minorHAnsi" w:hAnsiTheme="minorHAnsi"/>
                <w:color w:val="000000"/>
                <w:sz w:val="18"/>
                <w:szCs w:val="18"/>
              </w:rPr>
              <w:t>502</w:t>
            </w:r>
          </w:p>
        </w:tc>
        <w:tc>
          <w:tcPr>
            <w:tcW w:w="746" w:type="pct"/>
            <w:tcBorders>
              <w:top w:val="nil"/>
              <w:left w:val="nil"/>
              <w:right w:val="nil"/>
            </w:tcBorders>
            <w:shd w:val="clear" w:color="auto" w:fill="auto"/>
            <w:vAlign w:val="bottom"/>
          </w:tcPr>
          <w:p w14:paraId="71BD5CA9" w14:textId="610BCF2A" w:rsidR="00557599" w:rsidRPr="005444AA" w:rsidDel="00561A80" w:rsidRDefault="00557599" w:rsidP="00557599">
            <w:pPr>
              <w:pStyle w:val="Tot"/>
              <w:spacing w:line="240" w:lineRule="exact"/>
              <w:jc w:val="right"/>
              <w:rPr>
                <w:rFonts w:asciiTheme="minorHAnsi" w:hAnsiTheme="minorHAnsi"/>
                <w:color w:val="000000"/>
                <w:sz w:val="18"/>
                <w:szCs w:val="18"/>
              </w:rPr>
            </w:pPr>
            <w:r w:rsidRPr="006B318F">
              <w:rPr>
                <w:rFonts w:asciiTheme="minorHAnsi" w:hAnsiTheme="minorHAnsi"/>
                <w:color w:val="000000"/>
                <w:sz w:val="18"/>
                <w:szCs w:val="18"/>
              </w:rPr>
              <w:t xml:space="preserve">512 </w:t>
            </w:r>
          </w:p>
        </w:tc>
        <w:tc>
          <w:tcPr>
            <w:tcW w:w="746" w:type="pct"/>
            <w:tcBorders>
              <w:top w:val="nil"/>
              <w:left w:val="nil"/>
              <w:bottom w:val="nil"/>
              <w:right w:val="nil"/>
            </w:tcBorders>
            <w:shd w:val="clear" w:color="auto" w:fill="auto"/>
            <w:vAlign w:val="bottom"/>
          </w:tcPr>
          <w:p w14:paraId="0898AD05" w14:textId="77777777" w:rsidR="00557599" w:rsidRPr="00166751" w:rsidRDefault="00557599" w:rsidP="00557599">
            <w:pPr>
              <w:pStyle w:val="Tot"/>
              <w:spacing w:line="240" w:lineRule="exact"/>
              <w:jc w:val="right"/>
              <w:rPr>
                <w:rFonts w:asciiTheme="minorHAnsi" w:hAnsiTheme="minorHAnsi" w:cs="Arial"/>
                <w:b/>
                <w:sz w:val="18"/>
                <w:szCs w:val="18"/>
                <w:lang w:val="hr-HR"/>
              </w:rPr>
            </w:pPr>
            <w:r w:rsidRPr="00166751">
              <w:rPr>
                <w:rFonts w:asciiTheme="minorHAnsi" w:hAnsiTheme="minorHAnsi"/>
                <w:color w:val="000000"/>
                <w:sz w:val="18"/>
                <w:szCs w:val="18"/>
              </w:rPr>
              <w:t>502</w:t>
            </w:r>
          </w:p>
        </w:tc>
      </w:tr>
      <w:tr w:rsidR="00557599" w:rsidRPr="005C426C" w:rsidDel="00561A80" w14:paraId="4649A776" w14:textId="77777777" w:rsidTr="006B318F">
        <w:trPr>
          <w:trHeight w:val="173"/>
        </w:trPr>
        <w:tc>
          <w:tcPr>
            <w:tcW w:w="2088" w:type="pct"/>
            <w:vAlign w:val="bottom"/>
          </w:tcPr>
          <w:p w14:paraId="772A3BFC" w14:textId="77777777" w:rsidR="00557599" w:rsidRPr="00166751" w:rsidRDefault="00557599" w:rsidP="00557599">
            <w:pPr>
              <w:tabs>
                <w:tab w:val="right" w:pos="1202"/>
              </w:tabs>
              <w:spacing w:after="0" w:line="260" w:lineRule="exact"/>
              <w:outlineLvl w:val="0"/>
              <w:rPr>
                <w:rFonts w:eastAsia="Times New Roman" w:cs="Arial"/>
                <w:b/>
                <w:i/>
                <w:spacing w:val="-2"/>
                <w:sz w:val="18"/>
                <w:szCs w:val="18"/>
              </w:rPr>
            </w:pPr>
            <w:r w:rsidRPr="00166751">
              <w:rPr>
                <w:rFonts w:cs="Arial"/>
                <w:sz w:val="18"/>
                <w:szCs w:val="18"/>
              </w:rPr>
              <w:t>Accrued interest</w:t>
            </w:r>
          </w:p>
        </w:tc>
        <w:tc>
          <w:tcPr>
            <w:tcW w:w="673" w:type="pct"/>
            <w:tcBorders>
              <w:top w:val="nil"/>
              <w:left w:val="nil"/>
              <w:bottom w:val="nil"/>
              <w:right w:val="nil"/>
            </w:tcBorders>
            <w:shd w:val="clear" w:color="auto" w:fill="auto"/>
            <w:vAlign w:val="bottom"/>
          </w:tcPr>
          <w:p w14:paraId="2A4C3932" w14:textId="1D177B17" w:rsidR="00557599" w:rsidRPr="006B318F" w:rsidDel="00561A80" w:rsidRDefault="00557599" w:rsidP="006B318F">
            <w:pPr>
              <w:pStyle w:val="Tot"/>
              <w:spacing w:line="240" w:lineRule="exact"/>
              <w:jc w:val="right"/>
              <w:rPr>
                <w:rFonts w:asciiTheme="minorHAnsi" w:hAnsiTheme="minorHAnsi"/>
                <w:color w:val="000000"/>
                <w:sz w:val="18"/>
                <w:szCs w:val="18"/>
              </w:rPr>
            </w:pPr>
            <w:r w:rsidRPr="006B318F">
              <w:rPr>
                <w:rFonts w:asciiTheme="minorHAnsi" w:hAnsiTheme="minorHAnsi"/>
                <w:color w:val="000000"/>
                <w:sz w:val="18"/>
                <w:szCs w:val="18"/>
              </w:rPr>
              <w:t>150</w:t>
            </w:r>
          </w:p>
        </w:tc>
        <w:tc>
          <w:tcPr>
            <w:tcW w:w="747" w:type="pct"/>
            <w:tcBorders>
              <w:top w:val="nil"/>
              <w:left w:val="nil"/>
              <w:bottom w:val="nil"/>
              <w:right w:val="nil"/>
            </w:tcBorders>
            <w:shd w:val="clear" w:color="auto" w:fill="auto"/>
            <w:vAlign w:val="bottom"/>
          </w:tcPr>
          <w:p w14:paraId="493AF660" w14:textId="77777777" w:rsidR="00557599" w:rsidRPr="00166751" w:rsidRDefault="00557599" w:rsidP="00557599">
            <w:pPr>
              <w:pStyle w:val="Tot"/>
              <w:spacing w:line="240" w:lineRule="exact"/>
              <w:jc w:val="right"/>
              <w:rPr>
                <w:rFonts w:asciiTheme="minorHAnsi" w:hAnsiTheme="minorHAnsi" w:cs="Arial"/>
                <w:b/>
                <w:sz w:val="18"/>
                <w:szCs w:val="18"/>
                <w:lang w:val="hr-HR"/>
              </w:rPr>
            </w:pPr>
            <w:r w:rsidRPr="00166751">
              <w:rPr>
                <w:rFonts w:asciiTheme="minorHAnsi" w:hAnsiTheme="minorHAnsi"/>
                <w:color w:val="000000"/>
                <w:sz w:val="18"/>
                <w:szCs w:val="18"/>
              </w:rPr>
              <w:t>99</w:t>
            </w:r>
          </w:p>
        </w:tc>
        <w:tc>
          <w:tcPr>
            <w:tcW w:w="746" w:type="pct"/>
            <w:tcBorders>
              <w:top w:val="nil"/>
              <w:left w:val="nil"/>
              <w:right w:val="nil"/>
            </w:tcBorders>
            <w:shd w:val="clear" w:color="auto" w:fill="auto"/>
            <w:vAlign w:val="bottom"/>
          </w:tcPr>
          <w:p w14:paraId="760A9817" w14:textId="28D9EC5C" w:rsidR="00557599" w:rsidRPr="005444AA" w:rsidDel="00561A80" w:rsidRDefault="00557599" w:rsidP="00557599">
            <w:pPr>
              <w:pStyle w:val="Tot"/>
              <w:spacing w:line="240" w:lineRule="exact"/>
              <w:jc w:val="right"/>
              <w:rPr>
                <w:rFonts w:asciiTheme="minorHAnsi" w:hAnsiTheme="minorHAnsi"/>
                <w:color w:val="000000"/>
                <w:sz w:val="18"/>
                <w:szCs w:val="18"/>
              </w:rPr>
            </w:pPr>
            <w:r w:rsidRPr="006B318F">
              <w:rPr>
                <w:rFonts w:asciiTheme="minorHAnsi" w:hAnsiTheme="minorHAnsi"/>
                <w:color w:val="000000"/>
                <w:sz w:val="18"/>
                <w:szCs w:val="18"/>
              </w:rPr>
              <w:t xml:space="preserve">150 </w:t>
            </w:r>
          </w:p>
        </w:tc>
        <w:tc>
          <w:tcPr>
            <w:tcW w:w="746" w:type="pct"/>
            <w:tcBorders>
              <w:top w:val="nil"/>
              <w:left w:val="nil"/>
              <w:bottom w:val="nil"/>
              <w:right w:val="nil"/>
            </w:tcBorders>
            <w:shd w:val="clear" w:color="auto" w:fill="auto"/>
            <w:vAlign w:val="bottom"/>
          </w:tcPr>
          <w:p w14:paraId="0F7994AF" w14:textId="77777777" w:rsidR="00557599" w:rsidRPr="00166751" w:rsidRDefault="00557599" w:rsidP="00557599">
            <w:pPr>
              <w:pStyle w:val="Tot"/>
              <w:spacing w:line="240" w:lineRule="exact"/>
              <w:jc w:val="right"/>
              <w:rPr>
                <w:rFonts w:asciiTheme="minorHAnsi" w:hAnsiTheme="minorHAnsi" w:cs="Arial"/>
                <w:b/>
                <w:sz w:val="18"/>
                <w:szCs w:val="18"/>
                <w:lang w:val="hr-HR"/>
              </w:rPr>
            </w:pPr>
            <w:r w:rsidRPr="00166751">
              <w:rPr>
                <w:rFonts w:asciiTheme="minorHAnsi" w:hAnsiTheme="minorHAnsi"/>
                <w:color w:val="000000"/>
                <w:sz w:val="18"/>
                <w:szCs w:val="18"/>
              </w:rPr>
              <w:t>99</w:t>
            </w:r>
          </w:p>
        </w:tc>
      </w:tr>
      <w:tr w:rsidR="007B4658" w:rsidRPr="005C426C" w:rsidDel="00561A80" w14:paraId="3640CEBF" w14:textId="77777777" w:rsidTr="006B318F">
        <w:trPr>
          <w:trHeight w:val="179"/>
        </w:trPr>
        <w:tc>
          <w:tcPr>
            <w:tcW w:w="2088" w:type="pct"/>
            <w:vAlign w:val="bottom"/>
          </w:tcPr>
          <w:p w14:paraId="12AA21F4" w14:textId="77777777" w:rsidR="007B4658" w:rsidRPr="00166751" w:rsidRDefault="007B4658" w:rsidP="007B4658">
            <w:pPr>
              <w:tabs>
                <w:tab w:val="right" w:pos="1202"/>
              </w:tabs>
              <w:spacing w:after="0" w:line="260" w:lineRule="exact"/>
              <w:outlineLvl w:val="0"/>
              <w:rPr>
                <w:rFonts w:cs="Arial"/>
                <w:sz w:val="18"/>
                <w:szCs w:val="18"/>
              </w:rPr>
            </w:pPr>
          </w:p>
        </w:tc>
        <w:tc>
          <w:tcPr>
            <w:tcW w:w="673" w:type="pct"/>
            <w:tcBorders>
              <w:top w:val="single" w:sz="4" w:space="0" w:color="auto"/>
              <w:bottom w:val="single" w:sz="4" w:space="0" w:color="auto"/>
            </w:tcBorders>
            <w:vAlign w:val="bottom"/>
          </w:tcPr>
          <w:p w14:paraId="23E53714" w14:textId="4B4D5871" w:rsidR="007B4658" w:rsidRPr="00166751" w:rsidDel="00561A80" w:rsidRDefault="00557599" w:rsidP="007B4658">
            <w:pPr>
              <w:tabs>
                <w:tab w:val="right" w:pos="1202"/>
              </w:tabs>
              <w:spacing w:after="0" w:line="260" w:lineRule="exact"/>
              <w:jc w:val="right"/>
              <w:outlineLvl w:val="0"/>
              <w:rPr>
                <w:rFonts w:eastAsia="Times New Roman" w:cs="Arial"/>
                <w:b/>
                <w:spacing w:val="-2"/>
                <w:sz w:val="18"/>
                <w:szCs w:val="18"/>
              </w:rPr>
            </w:pPr>
            <w:r w:rsidRPr="00557599">
              <w:rPr>
                <w:rFonts w:eastAsia="Times New Roman" w:cs="Arial"/>
                <w:b/>
                <w:spacing w:val="-2"/>
                <w:sz w:val="18"/>
                <w:szCs w:val="18"/>
              </w:rPr>
              <w:t>662</w:t>
            </w:r>
          </w:p>
        </w:tc>
        <w:tc>
          <w:tcPr>
            <w:tcW w:w="747" w:type="pct"/>
            <w:tcBorders>
              <w:top w:val="single" w:sz="4" w:space="0" w:color="auto"/>
              <w:bottom w:val="single" w:sz="12" w:space="0" w:color="auto"/>
            </w:tcBorders>
            <w:vAlign w:val="bottom"/>
          </w:tcPr>
          <w:p w14:paraId="2B7EBEE7" w14:textId="77777777" w:rsidR="007B4658" w:rsidRPr="00166751" w:rsidDel="00561A80" w:rsidRDefault="007B4658" w:rsidP="007B4658">
            <w:pPr>
              <w:tabs>
                <w:tab w:val="right" w:pos="1202"/>
              </w:tabs>
              <w:spacing w:after="0" w:line="260" w:lineRule="exact"/>
              <w:jc w:val="right"/>
              <w:outlineLvl w:val="0"/>
              <w:rPr>
                <w:rFonts w:eastAsia="Times New Roman" w:cs="Arial"/>
                <w:b/>
                <w:spacing w:val="-2"/>
                <w:sz w:val="18"/>
                <w:szCs w:val="18"/>
              </w:rPr>
            </w:pPr>
            <w:r w:rsidRPr="00166751">
              <w:rPr>
                <w:rFonts w:eastAsia="Times New Roman" w:cs="Arial"/>
                <w:b/>
                <w:spacing w:val="-2"/>
                <w:sz w:val="18"/>
                <w:szCs w:val="18"/>
              </w:rPr>
              <w:t>601</w:t>
            </w:r>
          </w:p>
        </w:tc>
        <w:tc>
          <w:tcPr>
            <w:tcW w:w="746" w:type="pct"/>
            <w:tcBorders>
              <w:top w:val="single" w:sz="4" w:space="0" w:color="auto"/>
              <w:bottom w:val="single" w:sz="4" w:space="0" w:color="auto"/>
            </w:tcBorders>
            <w:vAlign w:val="bottom"/>
          </w:tcPr>
          <w:p w14:paraId="386E6615" w14:textId="7146CAC7" w:rsidR="007B4658" w:rsidRPr="00166751" w:rsidDel="00561A80" w:rsidRDefault="00557599" w:rsidP="007B4658">
            <w:pPr>
              <w:tabs>
                <w:tab w:val="right" w:pos="1202"/>
              </w:tabs>
              <w:spacing w:after="0" w:line="260" w:lineRule="exact"/>
              <w:jc w:val="right"/>
              <w:outlineLvl w:val="0"/>
              <w:rPr>
                <w:rFonts w:eastAsia="Times New Roman" w:cs="Arial"/>
                <w:b/>
                <w:spacing w:val="-2"/>
                <w:sz w:val="18"/>
                <w:szCs w:val="18"/>
              </w:rPr>
            </w:pPr>
            <w:r w:rsidRPr="00557599">
              <w:rPr>
                <w:rFonts w:eastAsia="Times New Roman" w:cs="Arial"/>
                <w:b/>
                <w:spacing w:val="-2"/>
                <w:sz w:val="18"/>
                <w:szCs w:val="18"/>
              </w:rPr>
              <w:t>662</w:t>
            </w:r>
          </w:p>
        </w:tc>
        <w:tc>
          <w:tcPr>
            <w:tcW w:w="746" w:type="pct"/>
            <w:tcBorders>
              <w:top w:val="single" w:sz="4" w:space="0" w:color="auto"/>
              <w:bottom w:val="single" w:sz="12" w:space="0" w:color="auto"/>
            </w:tcBorders>
            <w:vAlign w:val="bottom"/>
          </w:tcPr>
          <w:p w14:paraId="7E4EF603" w14:textId="77777777" w:rsidR="007B4658" w:rsidRPr="00166751" w:rsidDel="00561A80" w:rsidRDefault="007B4658" w:rsidP="007B4658">
            <w:pPr>
              <w:tabs>
                <w:tab w:val="right" w:pos="1202"/>
              </w:tabs>
              <w:spacing w:after="0" w:line="260" w:lineRule="exact"/>
              <w:jc w:val="right"/>
              <w:outlineLvl w:val="0"/>
              <w:rPr>
                <w:rFonts w:eastAsia="Times New Roman" w:cs="Arial"/>
                <w:b/>
                <w:spacing w:val="-2"/>
                <w:sz w:val="18"/>
                <w:szCs w:val="18"/>
              </w:rPr>
            </w:pPr>
            <w:r w:rsidRPr="00166751">
              <w:rPr>
                <w:rFonts w:eastAsia="Times New Roman" w:cs="Arial"/>
                <w:b/>
                <w:spacing w:val="-2"/>
                <w:sz w:val="18"/>
                <w:szCs w:val="18"/>
              </w:rPr>
              <w:t>601</w:t>
            </w:r>
          </w:p>
        </w:tc>
      </w:tr>
      <w:tr w:rsidR="00685806" w:rsidRPr="005C426C" w:rsidDel="00561A80" w14:paraId="11D0264E" w14:textId="77777777" w:rsidTr="005444AA">
        <w:trPr>
          <w:trHeight w:val="69"/>
        </w:trPr>
        <w:tc>
          <w:tcPr>
            <w:tcW w:w="2088" w:type="pct"/>
            <w:vAlign w:val="bottom"/>
          </w:tcPr>
          <w:p w14:paraId="6F484063" w14:textId="77777777" w:rsidR="00685806" w:rsidRPr="00166751" w:rsidRDefault="00685806" w:rsidP="005444AA">
            <w:pPr>
              <w:tabs>
                <w:tab w:val="right" w:pos="1202"/>
              </w:tabs>
              <w:spacing w:after="0" w:line="140" w:lineRule="exact"/>
              <w:outlineLvl w:val="0"/>
              <w:rPr>
                <w:rFonts w:cs="Arial"/>
                <w:sz w:val="18"/>
                <w:szCs w:val="18"/>
              </w:rPr>
            </w:pPr>
          </w:p>
        </w:tc>
        <w:tc>
          <w:tcPr>
            <w:tcW w:w="673" w:type="pct"/>
            <w:tcBorders>
              <w:top w:val="single" w:sz="12" w:space="0" w:color="auto"/>
            </w:tcBorders>
            <w:vAlign w:val="bottom"/>
          </w:tcPr>
          <w:p w14:paraId="41DB0F59" w14:textId="77777777" w:rsidR="00685806" w:rsidRPr="00166751" w:rsidRDefault="00685806" w:rsidP="005444AA">
            <w:pPr>
              <w:tabs>
                <w:tab w:val="right" w:pos="1202"/>
              </w:tabs>
              <w:spacing w:after="0" w:line="140" w:lineRule="exact"/>
              <w:jc w:val="right"/>
              <w:outlineLvl w:val="0"/>
              <w:rPr>
                <w:rFonts w:eastAsia="Times New Roman" w:cs="Arial"/>
                <w:b/>
                <w:noProof/>
                <w:spacing w:val="-2"/>
                <w:sz w:val="18"/>
                <w:szCs w:val="18"/>
                <w:lang w:eastAsia="hr-HR"/>
              </w:rPr>
            </w:pPr>
          </w:p>
        </w:tc>
        <w:tc>
          <w:tcPr>
            <w:tcW w:w="747" w:type="pct"/>
            <w:tcBorders>
              <w:top w:val="single" w:sz="12" w:space="0" w:color="auto"/>
            </w:tcBorders>
            <w:vAlign w:val="bottom"/>
          </w:tcPr>
          <w:p w14:paraId="0BE8AD11" w14:textId="77777777" w:rsidR="00685806" w:rsidRPr="00166751" w:rsidRDefault="00685806" w:rsidP="005444AA">
            <w:pPr>
              <w:tabs>
                <w:tab w:val="right" w:pos="1202"/>
              </w:tabs>
              <w:spacing w:after="0" w:line="140" w:lineRule="exact"/>
              <w:jc w:val="right"/>
              <w:outlineLvl w:val="0"/>
              <w:rPr>
                <w:rFonts w:asciiTheme="minorHAnsi" w:hAnsiTheme="minorHAnsi"/>
                <w:b/>
                <w:sz w:val="18"/>
                <w:szCs w:val="18"/>
                <w:lang w:val="hr-HR"/>
              </w:rPr>
            </w:pPr>
          </w:p>
        </w:tc>
        <w:tc>
          <w:tcPr>
            <w:tcW w:w="746" w:type="pct"/>
            <w:tcBorders>
              <w:top w:val="single" w:sz="12" w:space="0" w:color="auto"/>
            </w:tcBorders>
            <w:vAlign w:val="bottom"/>
          </w:tcPr>
          <w:p w14:paraId="78440F95" w14:textId="77777777" w:rsidR="00685806" w:rsidRPr="00166751" w:rsidRDefault="00685806" w:rsidP="005444AA">
            <w:pPr>
              <w:tabs>
                <w:tab w:val="right" w:pos="1202"/>
              </w:tabs>
              <w:spacing w:after="0" w:line="140" w:lineRule="exact"/>
              <w:jc w:val="right"/>
              <w:outlineLvl w:val="0"/>
              <w:rPr>
                <w:rFonts w:asciiTheme="minorHAnsi" w:hAnsiTheme="minorHAnsi" w:cs="Arial"/>
                <w:b/>
                <w:noProof/>
                <w:spacing w:val="-2"/>
                <w:sz w:val="18"/>
                <w:szCs w:val="18"/>
                <w:lang w:val="hr-HR" w:eastAsia="hr-HR"/>
              </w:rPr>
            </w:pPr>
          </w:p>
        </w:tc>
        <w:tc>
          <w:tcPr>
            <w:tcW w:w="746" w:type="pct"/>
            <w:tcBorders>
              <w:top w:val="single" w:sz="12" w:space="0" w:color="auto"/>
            </w:tcBorders>
            <w:vAlign w:val="bottom"/>
          </w:tcPr>
          <w:p w14:paraId="6616BFFC" w14:textId="77777777" w:rsidR="00685806" w:rsidRPr="00166751" w:rsidRDefault="00685806" w:rsidP="005444AA">
            <w:pPr>
              <w:tabs>
                <w:tab w:val="right" w:pos="1202"/>
              </w:tabs>
              <w:spacing w:after="0" w:line="140" w:lineRule="exact"/>
              <w:jc w:val="right"/>
              <w:outlineLvl w:val="0"/>
              <w:rPr>
                <w:rFonts w:asciiTheme="minorHAnsi" w:hAnsiTheme="minorHAnsi"/>
                <w:b/>
                <w:sz w:val="18"/>
                <w:szCs w:val="18"/>
                <w:lang w:val="hr-HR"/>
              </w:rPr>
            </w:pPr>
          </w:p>
        </w:tc>
      </w:tr>
      <w:tr w:rsidR="00685806" w:rsidRPr="005C426C" w:rsidDel="00561A80" w14:paraId="4B32A059" w14:textId="77777777" w:rsidTr="005444AA">
        <w:trPr>
          <w:trHeight w:val="281"/>
        </w:trPr>
        <w:tc>
          <w:tcPr>
            <w:tcW w:w="2088" w:type="pct"/>
            <w:vAlign w:val="bottom"/>
          </w:tcPr>
          <w:p w14:paraId="795A2632" w14:textId="77777777" w:rsidR="00685806" w:rsidRPr="00166751" w:rsidRDefault="00685806" w:rsidP="00685806">
            <w:pPr>
              <w:tabs>
                <w:tab w:val="right" w:pos="1202"/>
              </w:tabs>
              <w:spacing w:after="0" w:line="260" w:lineRule="exact"/>
              <w:outlineLvl w:val="0"/>
              <w:rPr>
                <w:rFonts w:cs="Arial"/>
                <w:sz w:val="18"/>
                <w:szCs w:val="18"/>
              </w:rPr>
            </w:pPr>
            <w:r w:rsidRPr="00166751">
              <w:rPr>
                <w:rFonts w:eastAsia="Times New Roman" w:cs="Arial"/>
                <w:b/>
                <w:i/>
                <w:spacing w:val="-2"/>
                <w:sz w:val="18"/>
                <w:szCs w:val="18"/>
              </w:rPr>
              <w:t>Equity instruments:</w:t>
            </w:r>
          </w:p>
        </w:tc>
        <w:tc>
          <w:tcPr>
            <w:tcW w:w="673" w:type="pct"/>
            <w:vAlign w:val="bottom"/>
          </w:tcPr>
          <w:p w14:paraId="12783E48" w14:textId="77777777" w:rsidR="00685806" w:rsidRPr="00166751" w:rsidRDefault="00685806" w:rsidP="00685806">
            <w:pPr>
              <w:tabs>
                <w:tab w:val="right" w:pos="1202"/>
              </w:tabs>
              <w:spacing w:after="0" w:line="260" w:lineRule="exact"/>
              <w:jc w:val="right"/>
              <w:outlineLvl w:val="0"/>
              <w:rPr>
                <w:rFonts w:eastAsia="Times New Roman" w:cs="Arial"/>
                <w:b/>
                <w:noProof/>
                <w:spacing w:val="-2"/>
                <w:sz w:val="18"/>
                <w:szCs w:val="18"/>
                <w:lang w:eastAsia="hr-HR"/>
              </w:rPr>
            </w:pPr>
          </w:p>
        </w:tc>
        <w:tc>
          <w:tcPr>
            <w:tcW w:w="747" w:type="pct"/>
            <w:vAlign w:val="bottom"/>
          </w:tcPr>
          <w:p w14:paraId="29FA1C36" w14:textId="77777777" w:rsidR="00685806" w:rsidRPr="00166751" w:rsidRDefault="00685806" w:rsidP="00685806">
            <w:pPr>
              <w:tabs>
                <w:tab w:val="right" w:pos="1202"/>
              </w:tabs>
              <w:spacing w:after="0" w:line="260" w:lineRule="exact"/>
              <w:jc w:val="right"/>
              <w:outlineLvl w:val="0"/>
              <w:rPr>
                <w:rFonts w:asciiTheme="minorHAnsi" w:hAnsiTheme="minorHAnsi"/>
                <w:b/>
                <w:sz w:val="18"/>
                <w:szCs w:val="18"/>
                <w:lang w:val="hr-HR"/>
              </w:rPr>
            </w:pPr>
          </w:p>
        </w:tc>
        <w:tc>
          <w:tcPr>
            <w:tcW w:w="746" w:type="pct"/>
            <w:vAlign w:val="bottom"/>
          </w:tcPr>
          <w:p w14:paraId="7B19051A" w14:textId="77777777" w:rsidR="00685806" w:rsidRPr="00166751" w:rsidRDefault="00685806" w:rsidP="00685806">
            <w:pPr>
              <w:tabs>
                <w:tab w:val="right" w:pos="1202"/>
              </w:tabs>
              <w:spacing w:after="0" w:line="260" w:lineRule="exact"/>
              <w:jc w:val="right"/>
              <w:outlineLvl w:val="0"/>
              <w:rPr>
                <w:rFonts w:asciiTheme="minorHAnsi" w:hAnsiTheme="minorHAnsi" w:cs="Arial"/>
                <w:b/>
                <w:noProof/>
                <w:spacing w:val="-2"/>
                <w:sz w:val="18"/>
                <w:szCs w:val="18"/>
                <w:lang w:val="hr-HR" w:eastAsia="hr-HR"/>
              </w:rPr>
            </w:pPr>
          </w:p>
        </w:tc>
        <w:tc>
          <w:tcPr>
            <w:tcW w:w="746" w:type="pct"/>
            <w:vAlign w:val="bottom"/>
          </w:tcPr>
          <w:p w14:paraId="09E5AD36" w14:textId="77777777" w:rsidR="00685806" w:rsidRPr="00166751" w:rsidRDefault="00685806" w:rsidP="00685806">
            <w:pPr>
              <w:tabs>
                <w:tab w:val="right" w:pos="1202"/>
              </w:tabs>
              <w:spacing w:after="0" w:line="260" w:lineRule="exact"/>
              <w:jc w:val="right"/>
              <w:outlineLvl w:val="0"/>
              <w:rPr>
                <w:rFonts w:asciiTheme="minorHAnsi" w:hAnsiTheme="minorHAnsi"/>
                <w:b/>
                <w:sz w:val="18"/>
                <w:szCs w:val="18"/>
                <w:lang w:val="hr-HR"/>
              </w:rPr>
            </w:pPr>
          </w:p>
        </w:tc>
      </w:tr>
      <w:tr w:rsidR="00685806" w:rsidRPr="005C426C" w:rsidDel="00561A80" w14:paraId="02CF5713" w14:textId="77777777" w:rsidTr="005444AA">
        <w:trPr>
          <w:trHeight w:val="281"/>
        </w:trPr>
        <w:tc>
          <w:tcPr>
            <w:tcW w:w="2088" w:type="pct"/>
            <w:vAlign w:val="bottom"/>
          </w:tcPr>
          <w:p w14:paraId="703E44DB" w14:textId="77777777" w:rsidR="00685806" w:rsidRPr="00166751" w:rsidRDefault="00685806" w:rsidP="00685806">
            <w:pPr>
              <w:tabs>
                <w:tab w:val="right" w:pos="1202"/>
              </w:tabs>
              <w:spacing w:after="0" w:line="260" w:lineRule="exact"/>
              <w:outlineLvl w:val="0"/>
              <w:rPr>
                <w:rFonts w:eastAsia="Times New Roman" w:cs="Arial"/>
                <w:b/>
                <w:spacing w:val="-2"/>
                <w:sz w:val="18"/>
                <w:szCs w:val="18"/>
              </w:rPr>
            </w:pPr>
            <w:r w:rsidRPr="00166751">
              <w:rPr>
                <w:rFonts w:eastAsia="Times New Roman" w:cs="Arial"/>
                <w:b/>
                <w:spacing w:val="-2"/>
                <w:sz w:val="18"/>
                <w:szCs w:val="18"/>
              </w:rPr>
              <w:t>Listed equity instruments:</w:t>
            </w:r>
          </w:p>
        </w:tc>
        <w:tc>
          <w:tcPr>
            <w:tcW w:w="673" w:type="pct"/>
            <w:vAlign w:val="bottom"/>
          </w:tcPr>
          <w:p w14:paraId="1FE46D30" w14:textId="77777777" w:rsidR="00685806" w:rsidRPr="00166751" w:rsidRDefault="00685806" w:rsidP="00685806">
            <w:pPr>
              <w:tabs>
                <w:tab w:val="right" w:pos="1202"/>
              </w:tabs>
              <w:spacing w:after="0" w:line="260" w:lineRule="exact"/>
              <w:jc w:val="right"/>
              <w:outlineLvl w:val="0"/>
              <w:rPr>
                <w:rFonts w:eastAsia="Times New Roman" w:cs="Arial"/>
                <w:b/>
                <w:noProof/>
                <w:spacing w:val="-2"/>
                <w:sz w:val="18"/>
                <w:szCs w:val="18"/>
                <w:lang w:eastAsia="hr-HR"/>
              </w:rPr>
            </w:pPr>
          </w:p>
        </w:tc>
        <w:tc>
          <w:tcPr>
            <w:tcW w:w="747" w:type="pct"/>
            <w:vAlign w:val="bottom"/>
          </w:tcPr>
          <w:p w14:paraId="193D8602" w14:textId="77777777" w:rsidR="00685806" w:rsidRPr="00166751" w:rsidRDefault="00685806" w:rsidP="00685806">
            <w:pPr>
              <w:tabs>
                <w:tab w:val="right" w:pos="1202"/>
              </w:tabs>
              <w:spacing w:after="0" w:line="260" w:lineRule="exact"/>
              <w:jc w:val="right"/>
              <w:outlineLvl w:val="0"/>
              <w:rPr>
                <w:rFonts w:asciiTheme="minorHAnsi" w:hAnsiTheme="minorHAnsi"/>
                <w:b/>
                <w:sz w:val="18"/>
                <w:szCs w:val="18"/>
                <w:lang w:val="hr-HR"/>
              </w:rPr>
            </w:pPr>
          </w:p>
        </w:tc>
        <w:tc>
          <w:tcPr>
            <w:tcW w:w="746" w:type="pct"/>
            <w:vAlign w:val="bottom"/>
          </w:tcPr>
          <w:p w14:paraId="684ABDB6" w14:textId="77777777" w:rsidR="00685806" w:rsidRPr="00166751" w:rsidRDefault="00685806" w:rsidP="00685806">
            <w:pPr>
              <w:tabs>
                <w:tab w:val="right" w:pos="1202"/>
              </w:tabs>
              <w:spacing w:after="0" w:line="260" w:lineRule="exact"/>
              <w:jc w:val="right"/>
              <w:outlineLvl w:val="0"/>
              <w:rPr>
                <w:rFonts w:asciiTheme="minorHAnsi" w:hAnsiTheme="minorHAnsi" w:cs="Arial"/>
                <w:b/>
                <w:noProof/>
                <w:spacing w:val="-2"/>
                <w:sz w:val="18"/>
                <w:szCs w:val="18"/>
                <w:lang w:val="hr-HR" w:eastAsia="hr-HR"/>
              </w:rPr>
            </w:pPr>
          </w:p>
        </w:tc>
        <w:tc>
          <w:tcPr>
            <w:tcW w:w="746" w:type="pct"/>
            <w:vAlign w:val="bottom"/>
          </w:tcPr>
          <w:p w14:paraId="165CD7CB" w14:textId="77777777" w:rsidR="00685806" w:rsidRPr="00166751" w:rsidRDefault="00685806" w:rsidP="00685806">
            <w:pPr>
              <w:tabs>
                <w:tab w:val="right" w:pos="1202"/>
              </w:tabs>
              <w:spacing w:after="0" w:line="260" w:lineRule="exact"/>
              <w:jc w:val="right"/>
              <w:outlineLvl w:val="0"/>
              <w:rPr>
                <w:rFonts w:asciiTheme="minorHAnsi" w:hAnsiTheme="minorHAnsi"/>
                <w:b/>
                <w:sz w:val="18"/>
                <w:szCs w:val="18"/>
                <w:lang w:val="hr-HR"/>
              </w:rPr>
            </w:pPr>
          </w:p>
        </w:tc>
      </w:tr>
      <w:tr w:rsidR="00557599" w:rsidRPr="005C426C" w:rsidDel="00561A80" w14:paraId="0BB43188" w14:textId="77777777" w:rsidTr="006B318F">
        <w:trPr>
          <w:trHeight w:val="274"/>
        </w:trPr>
        <w:tc>
          <w:tcPr>
            <w:tcW w:w="2088" w:type="pct"/>
            <w:vAlign w:val="bottom"/>
          </w:tcPr>
          <w:p w14:paraId="674C1C96" w14:textId="77777777" w:rsidR="00557599" w:rsidRPr="00166751" w:rsidRDefault="00557599" w:rsidP="00557599">
            <w:pPr>
              <w:tabs>
                <w:tab w:val="right" w:pos="1202"/>
              </w:tabs>
              <w:spacing w:after="0" w:line="260" w:lineRule="exact"/>
              <w:outlineLvl w:val="0"/>
              <w:rPr>
                <w:rFonts w:eastAsia="Times New Roman" w:cs="Arial"/>
                <w:spacing w:val="-2"/>
                <w:sz w:val="18"/>
                <w:szCs w:val="18"/>
              </w:rPr>
            </w:pPr>
            <w:r w:rsidRPr="00166751">
              <w:rPr>
                <w:rFonts w:eastAsia="Times New Roman" w:cs="Arial"/>
                <w:spacing w:val="-2"/>
                <w:sz w:val="18"/>
                <w:szCs w:val="18"/>
              </w:rPr>
              <w:t xml:space="preserve">Investments in </w:t>
            </w:r>
            <w:r>
              <w:rPr>
                <w:rFonts w:eastAsia="Times New Roman" w:cs="Arial"/>
                <w:spacing w:val="-2"/>
                <w:sz w:val="18"/>
                <w:szCs w:val="18"/>
              </w:rPr>
              <w:t>companies’</w:t>
            </w:r>
            <w:r w:rsidRPr="00166751">
              <w:rPr>
                <w:rFonts w:eastAsia="Times New Roman" w:cs="Arial"/>
                <w:spacing w:val="-2"/>
                <w:sz w:val="18"/>
                <w:szCs w:val="18"/>
              </w:rPr>
              <w:t xml:space="preserve"> shares </w:t>
            </w:r>
          </w:p>
        </w:tc>
        <w:tc>
          <w:tcPr>
            <w:tcW w:w="673" w:type="pct"/>
            <w:tcBorders>
              <w:top w:val="nil"/>
              <w:left w:val="nil"/>
              <w:right w:val="nil"/>
            </w:tcBorders>
            <w:shd w:val="clear" w:color="auto" w:fill="auto"/>
            <w:vAlign w:val="bottom"/>
          </w:tcPr>
          <w:p w14:paraId="6DF19888" w14:textId="43DE2B6E" w:rsidR="00557599" w:rsidRPr="00166751" w:rsidDel="00561A80" w:rsidRDefault="00557599" w:rsidP="00557599">
            <w:pPr>
              <w:tabs>
                <w:tab w:val="right" w:pos="1202"/>
              </w:tabs>
              <w:spacing w:after="0" w:line="260" w:lineRule="exact"/>
              <w:jc w:val="right"/>
              <w:outlineLvl w:val="0"/>
              <w:rPr>
                <w:rFonts w:eastAsia="Times New Roman" w:cs="Arial"/>
                <w:spacing w:val="-2"/>
                <w:sz w:val="18"/>
                <w:szCs w:val="18"/>
              </w:rPr>
            </w:pPr>
            <w:r w:rsidRPr="00557599">
              <w:rPr>
                <w:rFonts w:eastAsia="Times New Roman" w:cs="Arial"/>
                <w:spacing w:val="-2"/>
                <w:sz w:val="18"/>
                <w:szCs w:val="18"/>
              </w:rPr>
              <w:t>16,805</w:t>
            </w:r>
          </w:p>
        </w:tc>
        <w:tc>
          <w:tcPr>
            <w:tcW w:w="747" w:type="pct"/>
            <w:tcBorders>
              <w:top w:val="nil"/>
              <w:left w:val="nil"/>
              <w:bottom w:val="single" w:sz="4" w:space="0" w:color="auto"/>
              <w:right w:val="nil"/>
            </w:tcBorders>
            <w:shd w:val="clear" w:color="auto" w:fill="auto"/>
            <w:vAlign w:val="bottom"/>
          </w:tcPr>
          <w:p w14:paraId="68759BC8" w14:textId="77777777" w:rsidR="00557599" w:rsidRPr="00166751" w:rsidDel="00561A80" w:rsidRDefault="00557599" w:rsidP="00557599">
            <w:pPr>
              <w:tabs>
                <w:tab w:val="right" w:pos="1202"/>
              </w:tabs>
              <w:spacing w:after="0" w:line="260" w:lineRule="exact"/>
              <w:jc w:val="right"/>
              <w:outlineLvl w:val="0"/>
              <w:rPr>
                <w:rFonts w:eastAsia="Times New Roman" w:cs="Arial"/>
                <w:spacing w:val="-2"/>
                <w:sz w:val="18"/>
                <w:szCs w:val="18"/>
              </w:rPr>
            </w:pPr>
            <w:r w:rsidRPr="00166751">
              <w:rPr>
                <w:rFonts w:eastAsia="Times New Roman" w:cs="Arial"/>
                <w:spacing w:val="-2"/>
                <w:sz w:val="18"/>
                <w:szCs w:val="18"/>
              </w:rPr>
              <w:t>10,938</w:t>
            </w:r>
          </w:p>
        </w:tc>
        <w:tc>
          <w:tcPr>
            <w:tcW w:w="746" w:type="pct"/>
            <w:tcBorders>
              <w:top w:val="nil"/>
              <w:left w:val="nil"/>
              <w:right w:val="nil"/>
            </w:tcBorders>
            <w:shd w:val="clear" w:color="auto" w:fill="auto"/>
            <w:vAlign w:val="bottom"/>
          </w:tcPr>
          <w:p w14:paraId="02E62399" w14:textId="3D34ED9B" w:rsidR="00557599" w:rsidRPr="00166751" w:rsidDel="00561A80" w:rsidRDefault="00557599" w:rsidP="00557599">
            <w:pPr>
              <w:tabs>
                <w:tab w:val="right" w:pos="1202"/>
              </w:tabs>
              <w:spacing w:after="0" w:line="260" w:lineRule="exact"/>
              <w:jc w:val="right"/>
              <w:outlineLvl w:val="0"/>
              <w:rPr>
                <w:rFonts w:eastAsia="Times New Roman" w:cs="Arial"/>
                <w:spacing w:val="-2"/>
                <w:sz w:val="18"/>
                <w:szCs w:val="18"/>
              </w:rPr>
            </w:pPr>
            <w:r w:rsidRPr="006B318F">
              <w:rPr>
                <w:rFonts w:eastAsia="Times New Roman" w:cs="Arial"/>
                <w:spacing w:val="-2"/>
                <w:sz w:val="18"/>
                <w:szCs w:val="18"/>
              </w:rPr>
              <w:t>16,805</w:t>
            </w:r>
          </w:p>
        </w:tc>
        <w:tc>
          <w:tcPr>
            <w:tcW w:w="746" w:type="pct"/>
            <w:tcBorders>
              <w:top w:val="nil"/>
              <w:left w:val="nil"/>
              <w:bottom w:val="single" w:sz="4" w:space="0" w:color="auto"/>
              <w:right w:val="nil"/>
            </w:tcBorders>
            <w:shd w:val="clear" w:color="auto" w:fill="auto"/>
            <w:vAlign w:val="bottom"/>
          </w:tcPr>
          <w:p w14:paraId="51F05330" w14:textId="77777777" w:rsidR="00557599" w:rsidRPr="00166751" w:rsidDel="00561A80" w:rsidRDefault="00557599" w:rsidP="00557599">
            <w:pPr>
              <w:tabs>
                <w:tab w:val="right" w:pos="1202"/>
              </w:tabs>
              <w:spacing w:after="0" w:line="260" w:lineRule="exact"/>
              <w:jc w:val="right"/>
              <w:outlineLvl w:val="0"/>
              <w:rPr>
                <w:rFonts w:eastAsia="Times New Roman" w:cs="Arial"/>
                <w:spacing w:val="-2"/>
                <w:sz w:val="18"/>
                <w:szCs w:val="18"/>
              </w:rPr>
            </w:pPr>
            <w:r w:rsidRPr="00166751">
              <w:rPr>
                <w:rFonts w:eastAsia="Times New Roman" w:cs="Arial"/>
                <w:spacing w:val="-2"/>
                <w:sz w:val="18"/>
                <w:szCs w:val="18"/>
              </w:rPr>
              <w:t>10,938</w:t>
            </w:r>
          </w:p>
        </w:tc>
      </w:tr>
      <w:tr w:rsidR="00557599" w:rsidRPr="005C426C" w:rsidDel="00561A80" w14:paraId="6FFB5BFC" w14:textId="77777777" w:rsidTr="006B318F">
        <w:trPr>
          <w:trHeight w:val="222"/>
        </w:trPr>
        <w:tc>
          <w:tcPr>
            <w:tcW w:w="2088" w:type="pct"/>
          </w:tcPr>
          <w:p w14:paraId="1ADCF7C3" w14:textId="77777777" w:rsidR="00557599" w:rsidRPr="00166751" w:rsidRDefault="00557599" w:rsidP="00557599">
            <w:pPr>
              <w:tabs>
                <w:tab w:val="right" w:pos="1202"/>
              </w:tabs>
              <w:spacing w:after="0" w:line="260" w:lineRule="exact"/>
              <w:outlineLvl w:val="0"/>
              <w:rPr>
                <w:rFonts w:eastAsia="Times New Roman" w:cs="Arial"/>
                <w:spacing w:val="-2"/>
                <w:sz w:val="18"/>
                <w:szCs w:val="18"/>
              </w:rPr>
            </w:pPr>
          </w:p>
        </w:tc>
        <w:tc>
          <w:tcPr>
            <w:tcW w:w="673" w:type="pct"/>
            <w:tcBorders>
              <w:top w:val="single" w:sz="4" w:space="0" w:color="auto"/>
              <w:left w:val="nil"/>
              <w:bottom w:val="single" w:sz="4" w:space="0" w:color="auto"/>
              <w:right w:val="nil"/>
            </w:tcBorders>
            <w:shd w:val="clear" w:color="auto" w:fill="auto"/>
            <w:vAlign w:val="bottom"/>
          </w:tcPr>
          <w:p w14:paraId="2A19C703" w14:textId="328C3A90" w:rsidR="00557599" w:rsidRPr="00166751" w:rsidDel="00561A80" w:rsidRDefault="00557599" w:rsidP="00557599">
            <w:pPr>
              <w:tabs>
                <w:tab w:val="right" w:pos="1202"/>
              </w:tabs>
              <w:spacing w:after="0" w:line="260" w:lineRule="exact"/>
              <w:jc w:val="right"/>
              <w:outlineLvl w:val="0"/>
              <w:rPr>
                <w:rFonts w:eastAsia="Times New Roman" w:cs="Arial"/>
                <w:b/>
                <w:spacing w:val="-2"/>
                <w:sz w:val="18"/>
                <w:szCs w:val="18"/>
              </w:rPr>
            </w:pPr>
            <w:r w:rsidRPr="00557599">
              <w:rPr>
                <w:rFonts w:eastAsia="Times New Roman"/>
                <w:b/>
                <w:color w:val="000000"/>
                <w:sz w:val="18"/>
                <w:szCs w:val="18"/>
              </w:rPr>
              <w:t>16,805</w:t>
            </w:r>
          </w:p>
        </w:tc>
        <w:tc>
          <w:tcPr>
            <w:tcW w:w="747" w:type="pct"/>
            <w:tcBorders>
              <w:top w:val="single" w:sz="4" w:space="0" w:color="auto"/>
              <w:left w:val="nil"/>
              <w:bottom w:val="single" w:sz="4" w:space="0" w:color="auto"/>
              <w:right w:val="nil"/>
            </w:tcBorders>
            <w:shd w:val="clear" w:color="auto" w:fill="auto"/>
            <w:vAlign w:val="bottom"/>
          </w:tcPr>
          <w:p w14:paraId="39F48965" w14:textId="77777777" w:rsidR="00557599" w:rsidRPr="00166751" w:rsidDel="00561A80" w:rsidRDefault="00557599" w:rsidP="00557599">
            <w:pPr>
              <w:tabs>
                <w:tab w:val="right" w:pos="1202"/>
              </w:tabs>
              <w:spacing w:after="0" w:line="260" w:lineRule="exact"/>
              <w:jc w:val="right"/>
              <w:outlineLvl w:val="0"/>
              <w:rPr>
                <w:rFonts w:eastAsia="Times New Roman" w:cs="Arial"/>
                <w:b/>
                <w:spacing w:val="-2"/>
                <w:sz w:val="18"/>
                <w:szCs w:val="18"/>
              </w:rPr>
            </w:pPr>
            <w:r w:rsidRPr="00166751">
              <w:rPr>
                <w:rFonts w:eastAsia="Times New Roman" w:cs="Arial"/>
                <w:b/>
                <w:spacing w:val="-2"/>
                <w:sz w:val="18"/>
                <w:szCs w:val="18"/>
              </w:rPr>
              <w:t>10,938</w:t>
            </w:r>
          </w:p>
        </w:tc>
        <w:tc>
          <w:tcPr>
            <w:tcW w:w="746" w:type="pct"/>
            <w:tcBorders>
              <w:top w:val="single" w:sz="4" w:space="0" w:color="auto"/>
              <w:left w:val="nil"/>
              <w:bottom w:val="single" w:sz="4" w:space="0" w:color="auto"/>
              <w:right w:val="nil"/>
            </w:tcBorders>
            <w:shd w:val="clear" w:color="auto" w:fill="auto"/>
          </w:tcPr>
          <w:p w14:paraId="7547B038" w14:textId="48AF6554" w:rsidR="00557599" w:rsidRPr="00166751" w:rsidDel="00561A80" w:rsidRDefault="00557599" w:rsidP="00557599">
            <w:pPr>
              <w:tabs>
                <w:tab w:val="right" w:pos="1202"/>
              </w:tabs>
              <w:spacing w:after="0" w:line="260" w:lineRule="exact"/>
              <w:jc w:val="right"/>
              <w:outlineLvl w:val="0"/>
              <w:rPr>
                <w:rFonts w:eastAsia="Times New Roman" w:cs="Arial"/>
                <w:b/>
                <w:spacing w:val="-2"/>
                <w:sz w:val="18"/>
                <w:szCs w:val="18"/>
              </w:rPr>
            </w:pPr>
            <w:r w:rsidRPr="006B318F">
              <w:rPr>
                <w:rFonts w:eastAsia="Times New Roman" w:cs="Arial"/>
                <w:b/>
                <w:spacing w:val="-2"/>
                <w:sz w:val="18"/>
                <w:szCs w:val="18"/>
              </w:rPr>
              <w:t>16,805</w:t>
            </w:r>
          </w:p>
        </w:tc>
        <w:tc>
          <w:tcPr>
            <w:tcW w:w="746" w:type="pct"/>
            <w:tcBorders>
              <w:top w:val="single" w:sz="4" w:space="0" w:color="auto"/>
              <w:left w:val="nil"/>
              <w:bottom w:val="single" w:sz="4" w:space="0" w:color="auto"/>
              <w:right w:val="nil"/>
            </w:tcBorders>
            <w:shd w:val="clear" w:color="auto" w:fill="auto"/>
            <w:vAlign w:val="bottom"/>
          </w:tcPr>
          <w:p w14:paraId="5A404DF3" w14:textId="77777777" w:rsidR="00557599" w:rsidRPr="00166751" w:rsidDel="00561A80" w:rsidRDefault="00557599" w:rsidP="00557599">
            <w:pPr>
              <w:tabs>
                <w:tab w:val="right" w:pos="1202"/>
              </w:tabs>
              <w:spacing w:after="0" w:line="260" w:lineRule="exact"/>
              <w:jc w:val="right"/>
              <w:outlineLvl w:val="0"/>
              <w:rPr>
                <w:rFonts w:eastAsia="Times New Roman" w:cs="Arial"/>
                <w:b/>
                <w:spacing w:val="-2"/>
                <w:sz w:val="18"/>
                <w:szCs w:val="18"/>
              </w:rPr>
            </w:pPr>
            <w:r w:rsidRPr="00166751">
              <w:rPr>
                <w:rFonts w:eastAsia="Times New Roman" w:cs="Arial"/>
                <w:b/>
                <w:spacing w:val="-2"/>
                <w:sz w:val="18"/>
                <w:szCs w:val="18"/>
              </w:rPr>
              <w:t>10,938</w:t>
            </w:r>
          </w:p>
        </w:tc>
      </w:tr>
      <w:tr w:rsidR="00685806" w:rsidRPr="005C426C" w:rsidDel="00561A80" w14:paraId="08414E8E" w14:textId="77777777" w:rsidTr="005444AA">
        <w:trPr>
          <w:trHeight w:val="281"/>
        </w:trPr>
        <w:tc>
          <w:tcPr>
            <w:tcW w:w="2088" w:type="pct"/>
          </w:tcPr>
          <w:p w14:paraId="1904C44A" w14:textId="77777777" w:rsidR="00685806" w:rsidRPr="00166751" w:rsidRDefault="00685806" w:rsidP="00685806">
            <w:pPr>
              <w:tabs>
                <w:tab w:val="right" w:pos="1202"/>
              </w:tabs>
              <w:spacing w:after="0" w:line="260" w:lineRule="exact"/>
              <w:outlineLvl w:val="0"/>
              <w:rPr>
                <w:rFonts w:eastAsia="Times New Roman" w:cs="Arial"/>
                <w:spacing w:val="-2"/>
                <w:sz w:val="18"/>
                <w:szCs w:val="18"/>
              </w:rPr>
            </w:pPr>
          </w:p>
        </w:tc>
        <w:tc>
          <w:tcPr>
            <w:tcW w:w="673" w:type="pct"/>
            <w:vAlign w:val="bottom"/>
          </w:tcPr>
          <w:p w14:paraId="66EB1A88" w14:textId="77777777" w:rsidR="00685806" w:rsidRPr="00166751" w:rsidDel="00561A80" w:rsidRDefault="00685806" w:rsidP="00685806">
            <w:pPr>
              <w:tabs>
                <w:tab w:val="right" w:pos="1202"/>
              </w:tabs>
              <w:spacing w:after="0" w:line="260" w:lineRule="exact"/>
              <w:jc w:val="right"/>
              <w:outlineLvl w:val="0"/>
              <w:rPr>
                <w:rFonts w:eastAsia="Times New Roman" w:cs="Arial"/>
                <w:spacing w:val="-2"/>
                <w:sz w:val="18"/>
                <w:szCs w:val="18"/>
              </w:rPr>
            </w:pPr>
          </w:p>
        </w:tc>
        <w:tc>
          <w:tcPr>
            <w:tcW w:w="747" w:type="pct"/>
            <w:vAlign w:val="bottom"/>
          </w:tcPr>
          <w:p w14:paraId="6465B077" w14:textId="77777777" w:rsidR="00685806" w:rsidRPr="00166751" w:rsidDel="00561A80" w:rsidRDefault="00685806" w:rsidP="00685806">
            <w:pPr>
              <w:tabs>
                <w:tab w:val="right" w:pos="1202"/>
              </w:tabs>
              <w:spacing w:after="0" w:line="260" w:lineRule="exact"/>
              <w:jc w:val="right"/>
              <w:outlineLvl w:val="0"/>
              <w:rPr>
                <w:rFonts w:eastAsia="Times New Roman" w:cs="Arial"/>
                <w:spacing w:val="-2"/>
                <w:sz w:val="18"/>
                <w:szCs w:val="18"/>
              </w:rPr>
            </w:pPr>
          </w:p>
        </w:tc>
        <w:tc>
          <w:tcPr>
            <w:tcW w:w="746" w:type="pct"/>
            <w:vAlign w:val="bottom"/>
          </w:tcPr>
          <w:p w14:paraId="2C2FB600" w14:textId="77777777" w:rsidR="00685806" w:rsidRPr="00166751" w:rsidDel="00561A80" w:rsidRDefault="00685806" w:rsidP="00685806">
            <w:pPr>
              <w:tabs>
                <w:tab w:val="right" w:pos="1202"/>
              </w:tabs>
              <w:spacing w:after="0" w:line="260" w:lineRule="exact"/>
              <w:jc w:val="right"/>
              <w:outlineLvl w:val="0"/>
              <w:rPr>
                <w:rFonts w:eastAsia="Times New Roman" w:cs="Arial"/>
                <w:spacing w:val="-2"/>
                <w:sz w:val="18"/>
                <w:szCs w:val="18"/>
              </w:rPr>
            </w:pPr>
          </w:p>
        </w:tc>
        <w:tc>
          <w:tcPr>
            <w:tcW w:w="746" w:type="pct"/>
            <w:vAlign w:val="bottom"/>
          </w:tcPr>
          <w:p w14:paraId="3D65DFA3" w14:textId="77777777" w:rsidR="00685806" w:rsidRPr="00166751" w:rsidDel="00561A80" w:rsidRDefault="00685806" w:rsidP="00685806">
            <w:pPr>
              <w:tabs>
                <w:tab w:val="right" w:pos="1202"/>
              </w:tabs>
              <w:spacing w:after="0" w:line="260" w:lineRule="exact"/>
              <w:jc w:val="right"/>
              <w:outlineLvl w:val="0"/>
              <w:rPr>
                <w:rFonts w:eastAsia="Times New Roman" w:cs="Arial"/>
                <w:spacing w:val="-2"/>
                <w:sz w:val="18"/>
                <w:szCs w:val="18"/>
              </w:rPr>
            </w:pPr>
          </w:p>
        </w:tc>
      </w:tr>
      <w:tr w:rsidR="00685806" w:rsidRPr="005C426C" w14:paraId="00848CC1" w14:textId="77777777" w:rsidTr="005444AA">
        <w:trPr>
          <w:trHeight w:hRule="exact" w:val="235"/>
        </w:trPr>
        <w:tc>
          <w:tcPr>
            <w:tcW w:w="2088" w:type="pct"/>
          </w:tcPr>
          <w:p w14:paraId="4C6F44FF" w14:textId="77777777" w:rsidR="00685806" w:rsidRPr="00166751" w:rsidRDefault="00685806" w:rsidP="00685806">
            <w:pPr>
              <w:tabs>
                <w:tab w:val="right" w:pos="1202"/>
              </w:tabs>
              <w:spacing w:after="0" w:line="260" w:lineRule="exact"/>
              <w:outlineLvl w:val="0"/>
              <w:rPr>
                <w:rFonts w:eastAsia="Times New Roman" w:cs="Arial"/>
                <w:sz w:val="18"/>
                <w:szCs w:val="18"/>
              </w:rPr>
            </w:pPr>
            <w:r w:rsidRPr="00166751">
              <w:rPr>
                <w:rFonts w:eastAsia="Times New Roman" w:cs="Arial"/>
                <w:b/>
                <w:spacing w:val="-2"/>
                <w:sz w:val="18"/>
                <w:szCs w:val="18"/>
              </w:rPr>
              <w:t>Unlisted equity instruments:</w:t>
            </w:r>
          </w:p>
        </w:tc>
        <w:tc>
          <w:tcPr>
            <w:tcW w:w="673" w:type="pct"/>
            <w:vAlign w:val="bottom"/>
          </w:tcPr>
          <w:p w14:paraId="63B6D94E" w14:textId="77777777" w:rsidR="00685806" w:rsidRPr="00166751" w:rsidRDefault="00685806" w:rsidP="00685806">
            <w:pPr>
              <w:tabs>
                <w:tab w:val="right" w:pos="1202"/>
              </w:tabs>
              <w:spacing w:after="0" w:line="260" w:lineRule="exact"/>
              <w:jc w:val="right"/>
              <w:outlineLvl w:val="0"/>
              <w:rPr>
                <w:rFonts w:eastAsia="Times New Roman" w:cs="Arial"/>
                <w:sz w:val="18"/>
                <w:szCs w:val="18"/>
              </w:rPr>
            </w:pPr>
          </w:p>
        </w:tc>
        <w:tc>
          <w:tcPr>
            <w:tcW w:w="747" w:type="pct"/>
            <w:vAlign w:val="bottom"/>
          </w:tcPr>
          <w:p w14:paraId="78BB6A09" w14:textId="77777777" w:rsidR="00685806" w:rsidRPr="00166751" w:rsidRDefault="00685806" w:rsidP="00685806">
            <w:pPr>
              <w:tabs>
                <w:tab w:val="right" w:pos="1202"/>
              </w:tabs>
              <w:spacing w:after="0" w:line="260" w:lineRule="exact"/>
              <w:jc w:val="right"/>
              <w:outlineLvl w:val="0"/>
              <w:rPr>
                <w:rFonts w:eastAsia="Times New Roman" w:cs="Arial"/>
                <w:sz w:val="18"/>
                <w:szCs w:val="18"/>
              </w:rPr>
            </w:pPr>
          </w:p>
        </w:tc>
        <w:tc>
          <w:tcPr>
            <w:tcW w:w="746" w:type="pct"/>
            <w:vAlign w:val="bottom"/>
          </w:tcPr>
          <w:p w14:paraId="48DFE044" w14:textId="77777777" w:rsidR="00685806" w:rsidRPr="00166751" w:rsidRDefault="00685806" w:rsidP="00685806">
            <w:pPr>
              <w:tabs>
                <w:tab w:val="right" w:pos="1202"/>
              </w:tabs>
              <w:spacing w:after="0" w:line="260" w:lineRule="exact"/>
              <w:jc w:val="right"/>
              <w:outlineLvl w:val="0"/>
              <w:rPr>
                <w:rFonts w:eastAsia="Times New Roman" w:cs="Arial"/>
                <w:sz w:val="18"/>
                <w:szCs w:val="18"/>
              </w:rPr>
            </w:pPr>
          </w:p>
        </w:tc>
        <w:tc>
          <w:tcPr>
            <w:tcW w:w="746" w:type="pct"/>
            <w:vAlign w:val="bottom"/>
          </w:tcPr>
          <w:p w14:paraId="4FAB7A6D" w14:textId="77777777" w:rsidR="00685806" w:rsidRPr="00166751" w:rsidRDefault="00685806" w:rsidP="00685806">
            <w:pPr>
              <w:tabs>
                <w:tab w:val="right" w:pos="1202"/>
              </w:tabs>
              <w:spacing w:after="0" w:line="260" w:lineRule="exact"/>
              <w:jc w:val="right"/>
              <w:outlineLvl w:val="0"/>
              <w:rPr>
                <w:rFonts w:eastAsia="Times New Roman" w:cs="Arial"/>
                <w:sz w:val="18"/>
                <w:szCs w:val="18"/>
              </w:rPr>
            </w:pPr>
          </w:p>
        </w:tc>
      </w:tr>
      <w:tr w:rsidR="005A76C4" w:rsidRPr="005C426C" w14:paraId="764442BB" w14:textId="77777777" w:rsidTr="006B318F">
        <w:trPr>
          <w:trHeight w:hRule="exact" w:val="295"/>
        </w:trPr>
        <w:tc>
          <w:tcPr>
            <w:tcW w:w="2088" w:type="pct"/>
            <w:vAlign w:val="center"/>
          </w:tcPr>
          <w:p w14:paraId="781883D4" w14:textId="77777777" w:rsidR="005A76C4" w:rsidRPr="00166751" w:rsidRDefault="005A76C4" w:rsidP="005A76C4">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Investments in shares of foreign legal entities</w:t>
            </w:r>
          </w:p>
        </w:tc>
        <w:tc>
          <w:tcPr>
            <w:tcW w:w="673" w:type="pct"/>
            <w:tcBorders>
              <w:top w:val="nil"/>
              <w:left w:val="nil"/>
              <w:bottom w:val="nil"/>
              <w:right w:val="nil"/>
            </w:tcBorders>
            <w:shd w:val="clear" w:color="auto" w:fill="auto"/>
            <w:vAlign w:val="bottom"/>
          </w:tcPr>
          <w:p w14:paraId="5F86534D" w14:textId="0BCF1824" w:rsidR="005A76C4" w:rsidRPr="006B318F" w:rsidRDefault="005A76C4" w:rsidP="006B318F">
            <w:pPr>
              <w:pStyle w:val="Tot"/>
              <w:spacing w:line="240" w:lineRule="exact"/>
              <w:jc w:val="right"/>
              <w:rPr>
                <w:rFonts w:asciiTheme="minorHAnsi" w:hAnsiTheme="minorHAnsi"/>
                <w:color w:val="000000"/>
                <w:sz w:val="18"/>
                <w:szCs w:val="18"/>
              </w:rPr>
            </w:pPr>
            <w:r w:rsidRPr="006B318F">
              <w:rPr>
                <w:rFonts w:asciiTheme="minorHAnsi" w:hAnsiTheme="minorHAnsi"/>
                <w:color w:val="000000"/>
                <w:sz w:val="18"/>
                <w:szCs w:val="18"/>
              </w:rPr>
              <w:t>35</w:t>
            </w:r>
          </w:p>
        </w:tc>
        <w:tc>
          <w:tcPr>
            <w:tcW w:w="747" w:type="pct"/>
            <w:tcBorders>
              <w:top w:val="nil"/>
              <w:left w:val="nil"/>
              <w:bottom w:val="nil"/>
              <w:right w:val="nil"/>
            </w:tcBorders>
            <w:shd w:val="clear" w:color="auto" w:fill="auto"/>
            <w:vAlign w:val="bottom"/>
          </w:tcPr>
          <w:p w14:paraId="3F369CF2" w14:textId="77777777" w:rsidR="005A76C4" w:rsidRPr="00166751" w:rsidRDefault="005A76C4" w:rsidP="005A76C4">
            <w:pPr>
              <w:pStyle w:val="Tot"/>
              <w:spacing w:line="240" w:lineRule="exact"/>
              <w:jc w:val="right"/>
              <w:rPr>
                <w:rFonts w:asciiTheme="minorHAnsi" w:hAnsiTheme="minorHAnsi" w:cs="Arial"/>
                <w:sz w:val="18"/>
                <w:szCs w:val="18"/>
                <w:lang w:val="hr-HR"/>
              </w:rPr>
            </w:pPr>
            <w:r w:rsidRPr="00166751">
              <w:rPr>
                <w:rFonts w:asciiTheme="minorHAnsi" w:hAnsiTheme="minorHAnsi"/>
                <w:color w:val="000000"/>
                <w:sz w:val="18"/>
                <w:szCs w:val="18"/>
              </w:rPr>
              <w:t>32</w:t>
            </w:r>
          </w:p>
        </w:tc>
        <w:tc>
          <w:tcPr>
            <w:tcW w:w="746" w:type="pct"/>
            <w:tcBorders>
              <w:top w:val="nil"/>
              <w:left w:val="nil"/>
              <w:bottom w:val="nil"/>
              <w:right w:val="nil"/>
            </w:tcBorders>
            <w:shd w:val="clear" w:color="auto" w:fill="auto"/>
            <w:vAlign w:val="bottom"/>
          </w:tcPr>
          <w:p w14:paraId="2D2FBFF0" w14:textId="22DDE1A4" w:rsidR="005A76C4" w:rsidRPr="005444AA" w:rsidRDefault="005A76C4" w:rsidP="005A76C4">
            <w:pPr>
              <w:pStyle w:val="Tot"/>
              <w:spacing w:line="240" w:lineRule="exact"/>
              <w:jc w:val="right"/>
              <w:rPr>
                <w:rFonts w:asciiTheme="minorHAnsi" w:hAnsiTheme="minorHAnsi"/>
                <w:color w:val="000000"/>
                <w:sz w:val="18"/>
                <w:szCs w:val="18"/>
              </w:rPr>
            </w:pPr>
            <w:r w:rsidRPr="006B318F">
              <w:rPr>
                <w:rFonts w:asciiTheme="minorHAnsi" w:hAnsiTheme="minorHAnsi"/>
                <w:color w:val="000000"/>
                <w:sz w:val="18"/>
                <w:szCs w:val="18"/>
              </w:rPr>
              <w:t>35</w:t>
            </w:r>
          </w:p>
        </w:tc>
        <w:tc>
          <w:tcPr>
            <w:tcW w:w="746" w:type="pct"/>
            <w:tcBorders>
              <w:top w:val="nil"/>
              <w:left w:val="nil"/>
              <w:bottom w:val="nil"/>
              <w:right w:val="nil"/>
            </w:tcBorders>
            <w:shd w:val="clear" w:color="auto" w:fill="auto"/>
            <w:vAlign w:val="bottom"/>
          </w:tcPr>
          <w:p w14:paraId="1BE333BB" w14:textId="77777777" w:rsidR="005A76C4" w:rsidRPr="00166751" w:rsidRDefault="005A76C4" w:rsidP="005A76C4">
            <w:pPr>
              <w:pStyle w:val="Tot"/>
              <w:spacing w:line="240" w:lineRule="exact"/>
              <w:jc w:val="right"/>
              <w:rPr>
                <w:rFonts w:asciiTheme="minorHAnsi" w:hAnsiTheme="minorHAnsi" w:cs="Arial"/>
                <w:sz w:val="18"/>
                <w:szCs w:val="18"/>
                <w:lang w:val="hr-HR"/>
              </w:rPr>
            </w:pPr>
            <w:r w:rsidRPr="00166751">
              <w:rPr>
                <w:rFonts w:asciiTheme="minorHAnsi" w:hAnsiTheme="minorHAnsi"/>
                <w:color w:val="000000"/>
                <w:sz w:val="18"/>
                <w:szCs w:val="18"/>
              </w:rPr>
              <w:t>32</w:t>
            </w:r>
          </w:p>
        </w:tc>
      </w:tr>
      <w:tr w:rsidR="005A76C4" w:rsidRPr="005C426C" w14:paraId="3D83BECF" w14:textId="77777777" w:rsidTr="006B318F">
        <w:trPr>
          <w:trHeight w:hRule="exact" w:val="235"/>
        </w:trPr>
        <w:tc>
          <w:tcPr>
            <w:tcW w:w="2088" w:type="pct"/>
            <w:vAlign w:val="center"/>
          </w:tcPr>
          <w:p w14:paraId="33C0E9CF" w14:textId="77777777" w:rsidR="005A76C4" w:rsidRPr="00166751" w:rsidRDefault="005A76C4" w:rsidP="005A76C4">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Investments in financial institutions shares</w:t>
            </w:r>
          </w:p>
        </w:tc>
        <w:tc>
          <w:tcPr>
            <w:tcW w:w="673" w:type="pct"/>
            <w:tcBorders>
              <w:top w:val="nil"/>
              <w:left w:val="nil"/>
              <w:bottom w:val="nil"/>
              <w:right w:val="nil"/>
            </w:tcBorders>
            <w:shd w:val="clear" w:color="auto" w:fill="auto"/>
            <w:vAlign w:val="bottom"/>
          </w:tcPr>
          <w:p w14:paraId="0AD67701" w14:textId="35260BC6" w:rsidR="005A76C4" w:rsidRPr="006B318F" w:rsidRDefault="005A76C4" w:rsidP="006B318F">
            <w:pPr>
              <w:pStyle w:val="Tot"/>
              <w:spacing w:line="240" w:lineRule="exact"/>
              <w:jc w:val="right"/>
              <w:rPr>
                <w:rFonts w:asciiTheme="minorHAnsi" w:hAnsiTheme="minorHAnsi"/>
                <w:color w:val="000000"/>
                <w:sz w:val="18"/>
                <w:szCs w:val="18"/>
              </w:rPr>
            </w:pPr>
            <w:r w:rsidRPr="006B318F">
              <w:rPr>
                <w:rFonts w:asciiTheme="minorHAnsi" w:hAnsiTheme="minorHAnsi"/>
                <w:color w:val="000000"/>
                <w:sz w:val="18"/>
                <w:szCs w:val="18"/>
              </w:rPr>
              <w:t>161</w:t>
            </w:r>
          </w:p>
        </w:tc>
        <w:tc>
          <w:tcPr>
            <w:tcW w:w="747" w:type="pct"/>
            <w:tcBorders>
              <w:top w:val="nil"/>
              <w:left w:val="nil"/>
              <w:bottom w:val="nil"/>
              <w:right w:val="nil"/>
            </w:tcBorders>
            <w:shd w:val="clear" w:color="auto" w:fill="auto"/>
            <w:vAlign w:val="bottom"/>
          </w:tcPr>
          <w:p w14:paraId="60A01BCE" w14:textId="77777777" w:rsidR="005A76C4" w:rsidRPr="00166751" w:rsidRDefault="005A76C4" w:rsidP="005A76C4">
            <w:pPr>
              <w:pStyle w:val="Tot"/>
              <w:spacing w:line="240" w:lineRule="exact"/>
              <w:jc w:val="right"/>
              <w:rPr>
                <w:rFonts w:asciiTheme="minorHAnsi" w:hAnsiTheme="minorHAnsi" w:cs="Arial"/>
                <w:sz w:val="18"/>
                <w:szCs w:val="18"/>
                <w:lang w:val="hr-HR"/>
              </w:rPr>
            </w:pPr>
            <w:r w:rsidRPr="00166751">
              <w:rPr>
                <w:rFonts w:asciiTheme="minorHAnsi" w:hAnsiTheme="minorHAnsi"/>
                <w:color w:val="000000"/>
                <w:sz w:val="18"/>
                <w:szCs w:val="18"/>
              </w:rPr>
              <w:t>161</w:t>
            </w:r>
          </w:p>
        </w:tc>
        <w:tc>
          <w:tcPr>
            <w:tcW w:w="746" w:type="pct"/>
            <w:tcBorders>
              <w:top w:val="nil"/>
              <w:left w:val="nil"/>
              <w:bottom w:val="nil"/>
              <w:right w:val="nil"/>
            </w:tcBorders>
            <w:shd w:val="clear" w:color="auto" w:fill="auto"/>
            <w:vAlign w:val="bottom"/>
          </w:tcPr>
          <w:p w14:paraId="7957A1BF" w14:textId="0F9E7171" w:rsidR="005A76C4" w:rsidRPr="005444AA" w:rsidRDefault="005A76C4" w:rsidP="005A76C4">
            <w:pPr>
              <w:pStyle w:val="Tot"/>
              <w:spacing w:line="240" w:lineRule="exact"/>
              <w:jc w:val="right"/>
              <w:rPr>
                <w:rFonts w:asciiTheme="minorHAnsi" w:hAnsiTheme="minorHAnsi"/>
                <w:color w:val="000000"/>
                <w:sz w:val="18"/>
                <w:szCs w:val="18"/>
              </w:rPr>
            </w:pPr>
            <w:r w:rsidRPr="006B318F">
              <w:rPr>
                <w:rFonts w:asciiTheme="minorHAnsi" w:hAnsiTheme="minorHAnsi"/>
                <w:color w:val="000000"/>
                <w:sz w:val="18"/>
                <w:szCs w:val="18"/>
              </w:rPr>
              <w:t>161</w:t>
            </w:r>
          </w:p>
        </w:tc>
        <w:tc>
          <w:tcPr>
            <w:tcW w:w="746" w:type="pct"/>
            <w:tcBorders>
              <w:top w:val="nil"/>
              <w:left w:val="nil"/>
              <w:bottom w:val="nil"/>
              <w:right w:val="nil"/>
            </w:tcBorders>
            <w:shd w:val="clear" w:color="auto" w:fill="auto"/>
            <w:vAlign w:val="bottom"/>
          </w:tcPr>
          <w:p w14:paraId="31E51C84" w14:textId="77777777" w:rsidR="005A76C4" w:rsidRPr="00166751" w:rsidRDefault="005A76C4" w:rsidP="005A76C4">
            <w:pPr>
              <w:pStyle w:val="Tot"/>
              <w:spacing w:line="240" w:lineRule="exact"/>
              <w:jc w:val="right"/>
              <w:rPr>
                <w:rFonts w:asciiTheme="minorHAnsi" w:hAnsiTheme="minorHAnsi" w:cs="Arial"/>
                <w:sz w:val="18"/>
                <w:szCs w:val="18"/>
                <w:lang w:val="hr-HR"/>
              </w:rPr>
            </w:pPr>
            <w:r w:rsidRPr="00166751">
              <w:rPr>
                <w:rFonts w:asciiTheme="minorHAnsi" w:hAnsiTheme="minorHAnsi"/>
                <w:color w:val="000000"/>
                <w:sz w:val="18"/>
                <w:szCs w:val="18"/>
              </w:rPr>
              <w:t>161</w:t>
            </w:r>
          </w:p>
        </w:tc>
      </w:tr>
      <w:tr w:rsidR="005A76C4" w:rsidRPr="005C426C" w14:paraId="0998EE9E" w14:textId="77777777" w:rsidTr="006B318F">
        <w:trPr>
          <w:trHeight w:hRule="exact" w:val="251"/>
        </w:trPr>
        <w:tc>
          <w:tcPr>
            <w:tcW w:w="2088" w:type="pct"/>
            <w:vAlign w:val="center"/>
          </w:tcPr>
          <w:p w14:paraId="023BD04A" w14:textId="77777777" w:rsidR="005A76C4" w:rsidRPr="00166751" w:rsidRDefault="005A76C4" w:rsidP="005A76C4">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Shares of foreign financial institutions – EIF</w:t>
            </w:r>
          </w:p>
        </w:tc>
        <w:tc>
          <w:tcPr>
            <w:tcW w:w="673" w:type="pct"/>
            <w:tcBorders>
              <w:top w:val="nil"/>
              <w:left w:val="nil"/>
              <w:right w:val="nil"/>
            </w:tcBorders>
            <w:shd w:val="clear" w:color="auto" w:fill="auto"/>
            <w:vAlign w:val="bottom"/>
          </w:tcPr>
          <w:p w14:paraId="4BB24621" w14:textId="4C72AC9B" w:rsidR="005A76C4" w:rsidRPr="006B318F" w:rsidRDefault="005A76C4" w:rsidP="006B318F">
            <w:pPr>
              <w:pStyle w:val="Tot"/>
              <w:spacing w:line="240" w:lineRule="exact"/>
              <w:jc w:val="right"/>
              <w:rPr>
                <w:rFonts w:asciiTheme="minorHAnsi" w:hAnsiTheme="minorHAnsi"/>
                <w:color w:val="000000"/>
                <w:sz w:val="18"/>
                <w:szCs w:val="18"/>
              </w:rPr>
            </w:pPr>
            <w:r w:rsidRPr="006B318F">
              <w:rPr>
                <w:rFonts w:asciiTheme="minorHAnsi" w:hAnsiTheme="minorHAnsi"/>
                <w:color w:val="000000"/>
                <w:sz w:val="18"/>
                <w:szCs w:val="18"/>
              </w:rPr>
              <w:t>25,371</w:t>
            </w:r>
          </w:p>
        </w:tc>
        <w:tc>
          <w:tcPr>
            <w:tcW w:w="747" w:type="pct"/>
            <w:tcBorders>
              <w:top w:val="nil"/>
              <w:left w:val="nil"/>
              <w:right w:val="nil"/>
            </w:tcBorders>
            <w:shd w:val="clear" w:color="auto" w:fill="auto"/>
            <w:vAlign w:val="bottom"/>
          </w:tcPr>
          <w:p w14:paraId="11393004" w14:textId="77777777" w:rsidR="005A76C4" w:rsidRPr="00166751" w:rsidRDefault="005A76C4" w:rsidP="005A76C4">
            <w:pPr>
              <w:pStyle w:val="TT"/>
              <w:spacing w:line="240" w:lineRule="exact"/>
              <w:jc w:val="right"/>
              <w:rPr>
                <w:rFonts w:asciiTheme="minorHAnsi" w:hAnsiTheme="minorHAnsi" w:cs="Arial"/>
                <w:sz w:val="18"/>
                <w:szCs w:val="18"/>
                <w:lang w:val="hr-HR"/>
              </w:rPr>
            </w:pPr>
            <w:r w:rsidRPr="00166751">
              <w:rPr>
                <w:rFonts w:asciiTheme="minorHAnsi" w:hAnsiTheme="minorHAnsi"/>
                <w:color w:val="000000"/>
                <w:sz w:val="18"/>
                <w:szCs w:val="18"/>
              </w:rPr>
              <w:t>25,815</w:t>
            </w:r>
          </w:p>
        </w:tc>
        <w:tc>
          <w:tcPr>
            <w:tcW w:w="746" w:type="pct"/>
            <w:tcBorders>
              <w:top w:val="nil"/>
              <w:left w:val="nil"/>
              <w:right w:val="nil"/>
            </w:tcBorders>
            <w:shd w:val="clear" w:color="auto" w:fill="auto"/>
            <w:vAlign w:val="bottom"/>
          </w:tcPr>
          <w:p w14:paraId="59F3D3A2" w14:textId="665484C2" w:rsidR="005A76C4" w:rsidRPr="005444AA" w:rsidRDefault="005A76C4" w:rsidP="005A76C4">
            <w:pPr>
              <w:pStyle w:val="Tot"/>
              <w:spacing w:line="240" w:lineRule="exact"/>
              <w:jc w:val="right"/>
              <w:rPr>
                <w:rFonts w:asciiTheme="minorHAnsi" w:hAnsiTheme="minorHAnsi"/>
                <w:color w:val="000000"/>
                <w:sz w:val="18"/>
                <w:szCs w:val="18"/>
              </w:rPr>
            </w:pPr>
            <w:r w:rsidRPr="006B318F">
              <w:rPr>
                <w:rFonts w:asciiTheme="minorHAnsi" w:hAnsiTheme="minorHAnsi"/>
                <w:color w:val="000000"/>
                <w:sz w:val="18"/>
                <w:szCs w:val="18"/>
              </w:rPr>
              <w:t>25,371</w:t>
            </w:r>
          </w:p>
        </w:tc>
        <w:tc>
          <w:tcPr>
            <w:tcW w:w="746" w:type="pct"/>
            <w:tcBorders>
              <w:top w:val="nil"/>
              <w:left w:val="nil"/>
              <w:right w:val="nil"/>
            </w:tcBorders>
            <w:shd w:val="clear" w:color="auto" w:fill="auto"/>
            <w:vAlign w:val="bottom"/>
          </w:tcPr>
          <w:p w14:paraId="7A0AC0F2" w14:textId="77777777" w:rsidR="005A76C4" w:rsidRPr="00166751" w:rsidDel="00561A80" w:rsidRDefault="005A76C4" w:rsidP="005A76C4">
            <w:pPr>
              <w:pStyle w:val="TT"/>
              <w:spacing w:line="240" w:lineRule="exact"/>
              <w:jc w:val="right"/>
              <w:rPr>
                <w:rFonts w:asciiTheme="minorHAnsi" w:hAnsiTheme="minorHAnsi" w:cs="Arial"/>
                <w:sz w:val="18"/>
                <w:szCs w:val="18"/>
                <w:lang w:val="hr-HR"/>
              </w:rPr>
            </w:pPr>
            <w:r w:rsidRPr="00166751">
              <w:rPr>
                <w:rFonts w:asciiTheme="minorHAnsi" w:hAnsiTheme="minorHAnsi"/>
                <w:color w:val="000000"/>
                <w:sz w:val="18"/>
                <w:szCs w:val="18"/>
              </w:rPr>
              <w:t>25,815</w:t>
            </w:r>
          </w:p>
        </w:tc>
      </w:tr>
      <w:tr w:rsidR="005A76C4" w:rsidRPr="005C426C" w14:paraId="7E6F62EB" w14:textId="77777777" w:rsidTr="006B318F">
        <w:trPr>
          <w:trHeight w:hRule="exact" w:val="235"/>
        </w:trPr>
        <w:tc>
          <w:tcPr>
            <w:tcW w:w="2088" w:type="pct"/>
            <w:vAlign w:val="center"/>
          </w:tcPr>
          <w:p w14:paraId="4B06C9B0" w14:textId="77777777" w:rsidR="005A76C4" w:rsidRPr="00166751" w:rsidRDefault="005A76C4" w:rsidP="005A76C4">
            <w:pPr>
              <w:tabs>
                <w:tab w:val="right" w:pos="1202"/>
              </w:tabs>
              <w:spacing w:after="0" w:line="240" w:lineRule="exact"/>
              <w:outlineLvl w:val="0"/>
              <w:rPr>
                <w:rFonts w:eastAsia="Times New Roman" w:cs="Arial"/>
                <w:spacing w:val="-2"/>
                <w:sz w:val="18"/>
                <w:szCs w:val="18"/>
              </w:rPr>
            </w:pPr>
            <w:r w:rsidRPr="00166751">
              <w:rPr>
                <w:rFonts w:eastAsia="Times New Roman" w:cs="Arial"/>
                <w:spacing w:val="-2"/>
                <w:sz w:val="18"/>
                <w:szCs w:val="18"/>
              </w:rPr>
              <w:t xml:space="preserve">Investments in </w:t>
            </w:r>
            <w:r>
              <w:rPr>
                <w:rFonts w:eastAsia="Times New Roman" w:cs="Arial"/>
                <w:spacing w:val="-2"/>
                <w:sz w:val="18"/>
                <w:szCs w:val="18"/>
              </w:rPr>
              <w:t>companies’</w:t>
            </w:r>
            <w:r w:rsidRPr="00166751">
              <w:rPr>
                <w:rFonts w:eastAsia="Times New Roman" w:cs="Arial"/>
                <w:spacing w:val="-2"/>
                <w:sz w:val="18"/>
                <w:szCs w:val="18"/>
              </w:rPr>
              <w:t xml:space="preserve"> shares</w:t>
            </w:r>
          </w:p>
        </w:tc>
        <w:tc>
          <w:tcPr>
            <w:tcW w:w="673" w:type="pct"/>
            <w:tcBorders>
              <w:top w:val="nil"/>
              <w:left w:val="nil"/>
              <w:right w:val="nil"/>
            </w:tcBorders>
            <w:shd w:val="clear" w:color="auto" w:fill="auto"/>
            <w:vAlign w:val="bottom"/>
          </w:tcPr>
          <w:p w14:paraId="5E7437CF" w14:textId="5375E722" w:rsidR="005A76C4" w:rsidRPr="006B318F" w:rsidRDefault="005A76C4" w:rsidP="006B318F">
            <w:pPr>
              <w:pStyle w:val="Tot"/>
              <w:spacing w:line="240" w:lineRule="exact"/>
              <w:jc w:val="right"/>
              <w:rPr>
                <w:rFonts w:asciiTheme="minorHAnsi" w:hAnsiTheme="minorHAnsi"/>
                <w:color w:val="000000"/>
                <w:sz w:val="18"/>
                <w:szCs w:val="18"/>
              </w:rPr>
            </w:pPr>
            <w:r w:rsidRPr="006B318F">
              <w:rPr>
                <w:rFonts w:asciiTheme="minorHAnsi" w:hAnsiTheme="minorHAnsi"/>
                <w:color w:val="000000"/>
                <w:sz w:val="18"/>
                <w:szCs w:val="18"/>
              </w:rPr>
              <w:t>16,725</w:t>
            </w:r>
          </w:p>
        </w:tc>
        <w:tc>
          <w:tcPr>
            <w:tcW w:w="747" w:type="pct"/>
            <w:tcBorders>
              <w:top w:val="nil"/>
              <w:left w:val="nil"/>
              <w:bottom w:val="single" w:sz="4" w:space="0" w:color="auto"/>
              <w:right w:val="nil"/>
            </w:tcBorders>
            <w:shd w:val="clear" w:color="auto" w:fill="auto"/>
            <w:vAlign w:val="bottom"/>
          </w:tcPr>
          <w:p w14:paraId="2B8DD5FE" w14:textId="77777777" w:rsidR="005A76C4" w:rsidRPr="00166751" w:rsidRDefault="005A76C4" w:rsidP="005A76C4">
            <w:pPr>
              <w:pStyle w:val="Tot"/>
              <w:spacing w:line="240" w:lineRule="exact"/>
              <w:jc w:val="right"/>
              <w:rPr>
                <w:rFonts w:asciiTheme="minorHAnsi" w:hAnsiTheme="minorHAnsi" w:cs="Arial"/>
                <w:sz w:val="18"/>
                <w:szCs w:val="18"/>
                <w:lang w:val="hr-HR"/>
              </w:rPr>
            </w:pPr>
            <w:r w:rsidRPr="00166751">
              <w:rPr>
                <w:rFonts w:asciiTheme="minorHAnsi" w:hAnsiTheme="minorHAnsi"/>
                <w:color w:val="000000"/>
                <w:sz w:val="18"/>
                <w:szCs w:val="18"/>
              </w:rPr>
              <w:t>16,725</w:t>
            </w:r>
          </w:p>
        </w:tc>
        <w:tc>
          <w:tcPr>
            <w:tcW w:w="746" w:type="pct"/>
            <w:tcBorders>
              <w:top w:val="nil"/>
              <w:left w:val="nil"/>
              <w:right w:val="nil"/>
            </w:tcBorders>
            <w:shd w:val="clear" w:color="auto" w:fill="auto"/>
            <w:vAlign w:val="bottom"/>
          </w:tcPr>
          <w:p w14:paraId="7B574A49" w14:textId="6D30E954" w:rsidR="005A76C4" w:rsidRPr="005444AA" w:rsidRDefault="005A76C4" w:rsidP="005A76C4">
            <w:pPr>
              <w:pStyle w:val="Tot"/>
              <w:spacing w:line="240" w:lineRule="exact"/>
              <w:jc w:val="right"/>
              <w:rPr>
                <w:rFonts w:asciiTheme="minorHAnsi" w:hAnsiTheme="minorHAnsi"/>
                <w:color w:val="000000"/>
                <w:sz w:val="18"/>
                <w:szCs w:val="18"/>
              </w:rPr>
            </w:pPr>
            <w:r w:rsidRPr="006B318F">
              <w:rPr>
                <w:rFonts w:asciiTheme="minorHAnsi" w:hAnsiTheme="minorHAnsi"/>
                <w:color w:val="000000"/>
                <w:sz w:val="18"/>
                <w:szCs w:val="18"/>
              </w:rPr>
              <w:t>16,725</w:t>
            </w:r>
          </w:p>
        </w:tc>
        <w:tc>
          <w:tcPr>
            <w:tcW w:w="746" w:type="pct"/>
            <w:tcBorders>
              <w:top w:val="nil"/>
              <w:left w:val="nil"/>
              <w:bottom w:val="single" w:sz="4" w:space="0" w:color="auto"/>
              <w:right w:val="nil"/>
            </w:tcBorders>
            <w:shd w:val="clear" w:color="auto" w:fill="auto"/>
            <w:vAlign w:val="bottom"/>
          </w:tcPr>
          <w:p w14:paraId="5EC9CAA1" w14:textId="77777777" w:rsidR="005A76C4" w:rsidRPr="00166751" w:rsidRDefault="005A76C4" w:rsidP="005A76C4">
            <w:pPr>
              <w:pStyle w:val="Tot"/>
              <w:spacing w:line="240" w:lineRule="exact"/>
              <w:jc w:val="right"/>
              <w:rPr>
                <w:rFonts w:asciiTheme="minorHAnsi" w:hAnsiTheme="minorHAnsi" w:cs="Arial"/>
                <w:sz w:val="18"/>
                <w:szCs w:val="18"/>
                <w:lang w:val="hr-HR"/>
              </w:rPr>
            </w:pPr>
            <w:r w:rsidRPr="00166751">
              <w:rPr>
                <w:rFonts w:asciiTheme="minorHAnsi" w:hAnsiTheme="minorHAnsi"/>
                <w:color w:val="000000"/>
                <w:sz w:val="18"/>
                <w:szCs w:val="18"/>
              </w:rPr>
              <w:t>16,725</w:t>
            </w:r>
          </w:p>
        </w:tc>
      </w:tr>
      <w:tr w:rsidR="007B4658" w:rsidRPr="005C426C" w14:paraId="43C1E8A6" w14:textId="77777777" w:rsidTr="005444AA">
        <w:trPr>
          <w:trHeight w:val="251"/>
        </w:trPr>
        <w:tc>
          <w:tcPr>
            <w:tcW w:w="2088" w:type="pct"/>
            <w:vAlign w:val="center"/>
          </w:tcPr>
          <w:p w14:paraId="1232C8CF" w14:textId="77777777" w:rsidR="007B4658" w:rsidRPr="00166751" w:rsidRDefault="007B4658" w:rsidP="007B4658">
            <w:pPr>
              <w:tabs>
                <w:tab w:val="right" w:pos="1202"/>
              </w:tabs>
              <w:spacing w:after="0" w:line="240" w:lineRule="exact"/>
              <w:outlineLvl w:val="0"/>
              <w:rPr>
                <w:rFonts w:eastAsia="Times New Roman" w:cs="Arial"/>
                <w:spacing w:val="-2"/>
                <w:sz w:val="18"/>
                <w:szCs w:val="18"/>
              </w:rPr>
            </w:pPr>
            <w:r w:rsidRPr="00166751">
              <w:rPr>
                <w:rFonts w:eastAsia="Times New Roman"/>
                <w:sz w:val="18"/>
                <w:szCs w:val="18"/>
              </w:rPr>
              <w:t>Provision for impairment losses</w:t>
            </w:r>
          </w:p>
        </w:tc>
        <w:tc>
          <w:tcPr>
            <w:tcW w:w="673" w:type="pct"/>
            <w:tcBorders>
              <w:top w:val="single" w:sz="4" w:space="0" w:color="auto"/>
              <w:bottom w:val="single" w:sz="4" w:space="0" w:color="auto"/>
            </w:tcBorders>
            <w:vAlign w:val="bottom"/>
          </w:tcPr>
          <w:p w14:paraId="414E755B" w14:textId="08741D87" w:rsidR="007B4658" w:rsidRPr="00166751" w:rsidRDefault="00557599" w:rsidP="007B4658">
            <w:pPr>
              <w:tabs>
                <w:tab w:val="right" w:pos="1202"/>
              </w:tabs>
              <w:spacing w:after="0" w:line="240" w:lineRule="exact"/>
              <w:jc w:val="right"/>
              <w:outlineLvl w:val="0"/>
              <w:rPr>
                <w:rFonts w:eastAsia="Times New Roman"/>
                <w:sz w:val="18"/>
                <w:szCs w:val="18"/>
              </w:rPr>
            </w:pPr>
            <w:r w:rsidRPr="00557599">
              <w:rPr>
                <w:rFonts w:eastAsia="Times New Roman"/>
                <w:sz w:val="18"/>
                <w:szCs w:val="18"/>
              </w:rPr>
              <w:t xml:space="preserve">(16,725)  </w:t>
            </w:r>
          </w:p>
        </w:tc>
        <w:tc>
          <w:tcPr>
            <w:tcW w:w="747" w:type="pct"/>
            <w:tcBorders>
              <w:top w:val="single" w:sz="4" w:space="0" w:color="auto"/>
              <w:bottom w:val="single" w:sz="4" w:space="0" w:color="auto"/>
            </w:tcBorders>
            <w:vAlign w:val="bottom"/>
          </w:tcPr>
          <w:p w14:paraId="79F8FAD3" w14:textId="77777777" w:rsidR="007B4658" w:rsidRPr="00166751" w:rsidRDefault="007B4658" w:rsidP="007B4658">
            <w:pPr>
              <w:tabs>
                <w:tab w:val="right" w:pos="1202"/>
              </w:tabs>
              <w:spacing w:after="0" w:line="240" w:lineRule="exact"/>
              <w:jc w:val="right"/>
              <w:outlineLvl w:val="0"/>
              <w:rPr>
                <w:rFonts w:eastAsia="Times New Roman"/>
                <w:sz w:val="18"/>
                <w:szCs w:val="18"/>
              </w:rPr>
            </w:pPr>
            <w:r w:rsidRPr="00166751">
              <w:rPr>
                <w:rFonts w:eastAsia="Times New Roman"/>
                <w:sz w:val="18"/>
                <w:szCs w:val="18"/>
              </w:rPr>
              <w:t>(16,725)</w:t>
            </w:r>
          </w:p>
        </w:tc>
        <w:tc>
          <w:tcPr>
            <w:tcW w:w="746" w:type="pct"/>
            <w:tcBorders>
              <w:top w:val="single" w:sz="4" w:space="0" w:color="auto"/>
              <w:bottom w:val="single" w:sz="4" w:space="0" w:color="auto"/>
            </w:tcBorders>
            <w:vAlign w:val="bottom"/>
          </w:tcPr>
          <w:p w14:paraId="5FBB5787" w14:textId="699D67A2" w:rsidR="007B4658" w:rsidRPr="00166751" w:rsidRDefault="005A76C4" w:rsidP="007B4658">
            <w:pPr>
              <w:tabs>
                <w:tab w:val="right" w:pos="1202"/>
              </w:tabs>
              <w:spacing w:after="0" w:line="240" w:lineRule="exact"/>
              <w:jc w:val="right"/>
              <w:outlineLvl w:val="0"/>
              <w:rPr>
                <w:rFonts w:eastAsia="Times New Roman"/>
                <w:sz w:val="18"/>
                <w:szCs w:val="18"/>
              </w:rPr>
            </w:pPr>
            <w:r w:rsidRPr="005A76C4">
              <w:rPr>
                <w:rFonts w:eastAsia="Times New Roman"/>
                <w:sz w:val="18"/>
                <w:szCs w:val="18"/>
              </w:rPr>
              <w:t xml:space="preserve">(16,725) </w:t>
            </w:r>
          </w:p>
        </w:tc>
        <w:tc>
          <w:tcPr>
            <w:tcW w:w="746" w:type="pct"/>
            <w:tcBorders>
              <w:top w:val="single" w:sz="4" w:space="0" w:color="auto"/>
              <w:bottom w:val="single" w:sz="4" w:space="0" w:color="auto"/>
            </w:tcBorders>
            <w:vAlign w:val="bottom"/>
          </w:tcPr>
          <w:p w14:paraId="3119BF05" w14:textId="77777777" w:rsidR="007B4658" w:rsidRPr="00166751" w:rsidRDefault="007B4658" w:rsidP="007B4658">
            <w:pPr>
              <w:tabs>
                <w:tab w:val="right" w:pos="1202"/>
              </w:tabs>
              <w:spacing w:after="0" w:line="240" w:lineRule="exact"/>
              <w:jc w:val="right"/>
              <w:outlineLvl w:val="0"/>
              <w:rPr>
                <w:rFonts w:eastAsia="Times New Roman"/>
                <w:sz w:val="18"/>
                <w:szCs w:val="18"/>
              </w:rPr>
            </w:pPr>
            <w:r w:rsidRPr="00166751">
              <w:rPr>
                <w:rFonts w:eastAsia="Times New Roman"/>
                <w:sz w:val="18"/>
                <w:szCs w:val="18"/>
              </w:rPr>
              <w:t>(16,725)</w:t>
            </w:r>
          </w:p>
        </w:tc>
      </w:tr>
      <w:tr w:rsidR="007B4658" w:rsidRPr="005C426C" w14:paraId="4405C8F8" w14:textId="77777777" w:rsidTr="005444AA">
        <w:trPr>
          <w:trHeight w:val="278"/>
        </w:trPr>
        <w:tc>
          <w:tcPr>
            <w:tcW w:w="2088" w:type="pct"/>
          </w:tcPr>
          <w:p w14:paraId="01070D3D" w14:textId="77777777" w:rsidR="007B4658" w:rsidRPr="00166751" w:rsidRDefault="007B4658" w:rsidP="007B4658">
            <w:pPr>
              <w:tabs>
                <w:tab w:val="right" w:pos="1202"/>
              </w:tabs>
              <w:spacing w:after="0" w:line="260" w:lineRule="exact"/>
              <w:outlineLvl w:val="0"/>
              <w:rPr>
                <w:rFonts w:eastAsia="Times New Roman" w:cs="Arial"/>
                <w:spacing w:val="-2"/>
                <w:sz w:val="18"/>
                <w:szCs w:val="18"/>
              </w:rPr>
            </w:pPr>
          </w:p>
        </w:tc>
        <w:tc>
          <w:tcPr>
            <w:tcW w:w="673" w:type="pct"/>
            <w:tcBorders>
              <w:top w:val="single" w:sz="4" w:space="0" w:color="auto"/>
              <w:bottom w:val="single" w:sz="4" w:space="0" w:color="auto"/>
            </w:tcBorders>
            <w:vAlign w:val="bottom"/>
          </w:tcPr>
          <w:p w14:paraId="069383FA" w14:textId="569D9667" w:rsidR="007B4658" w:rsidRPr="00166751" w:rsidRDefault="00557599" w:rsidP="007B4658">
            <w:pPr>
              <w:tabs>
                <w:tab w:val="right" w:pos="1202"/>
              </w:tabs>
              <w:spacing w:after="0" w:line="260" w:lineRule="exact"/>
              <w:jc w:val="right"/>
              <w:outlineLvl w:val="0"/>
              <w:rPr>
                <w:rFonts w:eastAsia="Times New Roman"/>
                <w:b/>
                <w:sz w:val="18"/>
                <w:szCs w:val="18"/>
              </w:rPr>
            </w:pPr>
            <w:r w:rsidRPr="00557599">
              <w:rPr>
                <w:rFonts w:eastAsia="Times New Roman" w:cs="Arial"/>
                <w:b/>
                <w:sz w:val="18"/>
                <w:szCs w:val="18"/>
              </w:rPr>
              <w:t>25,567</w:t>
            </w:r>
          </w:p>
        </w:tc>
        <w:tc>
          <w:tcPr>
            <w:tcW w:w="747" w:type="pct"/>
            <w:tcBorders>
              <w:top w:val="single" w:sz="4" w:space="0" w:color="auto"/>
              <w:bottom w:val="single" w:sz="4" w:space="0" w:color="auto"/>
            </w:tcBorders>
            <w:vAlign w:val="bottom"/>
          </w:tcPr>
          <w:p w14:paraId="643AC4BE" w14:textId="77777777" w:rsidR="007B4658" w:rsidRPr="00166751" w:rsidRDefault="007B4658" w:rsidP="007B4658">
            <w:pPr>
              <w:tabs>
                <w:tab w:val="right" w:pos="1202"/>
              </w:tabs>
              <w:spacing w:after="0" w:line="260" w:lineRule="exact"/>
              <w:jc w:val="right"/>
              <w:outlineLvl w:val="0"/>
              <w:rPr>
                <w:rFonts w:eastAsia="Times New Roman"/>
                <w:b/>
                <w:sz w:val="18"/>
                <w:szCs w:val="18"/>
              </w:rPr>
            </w:pPr>
            <w:r w:rsidRPr="00166751">
              <w:rPr>
                <w:rFonts w:eastAsia="Times New Roman"/>
                <w:b/>
                <w:sz w:val="18"/>
                <w:szCs w:val="18"/>
              </w:rPr>
              <w:t>26,008</w:t>
            </w:r>
          </w:p>
        </w:tc>
        <w:tc>
          <w:tcPr>
            <w:tcW w:w="746" w:type="pct"/>
            <w:tcBorders>
              <w:top w:val="single" w:sz="4" w:space="0" w:color="auto"/>
              <w:bottom w:val="single" w:sz="4" w:space="0" w:color="auto"/>
            </w:tcBorders>
            <w:vAlign w:val="bottom"/>
          </w:tcPr>
          <w:p w14:paraId="3D9A97D4" w14:textId="769FE47A" w:rsidR="007B4658" w:rsidRPr="00166751" w:rsidRDefault="005A76C4" w:rsidP="007B4658">
            <w:pPr>
              <w:tabs>
                <w:tab w:val="right" w:pos="1202"/>
              </w:tabs>
              <w:spacing w:after="0" w:line="260" w:lineRule="exact"/>
              <w:jc w:val="right"/>
              <w:outlineLvl w:val="0"/>
              <w:rPr>
                <w:rFonts w:eastAsia="Times New Roman" w:cs="Arial"/>
                <w:b/>
                <w:sz w:val="18"/>
                <w:szCs w:val="18"/>
              </w:rPr>
            </w:pPr>
            <w:r w:rsidRPr="005A76C4">
              <w:rPr>
                <w:rFonts w:eastAsia="Times New Roman" w:cs="Arial"/>
                <w:b/>
                <w:sz w:val="18"/>
                <w:szCs w:val="18"/>
              </w:rPr>
              <w:t>25,567</w:t>
            </w:r>
          </w:p>
        </w:tc>
        <w:tc>
          <w:tcPr>
            <w:tcW w:w="746" w:type="pct"/>
            <w:tcBorders>
              <w:top w:val="single" w:sz="4" w:space="0" w:color="auto"/>
              <w:bottom w:val="single" w:sz="4" w:space="0" w:color="auto"/>
            </w:tcBorders>
            <w:vAlign w:val="bottom"/>
          </w:tcPr>
          <w:p w14:paraId="6EBF82B2" w14:textId="77777777" w:rsidR="007B4658" w:rsidRPr="00166751" w:rsidRDefault="007B4658" w:rsidP="007B4658">
            <w:pPr>
              <w:tabs>
                <w:tab w:val="right" w:pos="1202"/>
              </w:tabs>
              <w:spacing w:after="0" w:line="260" w:lineRule="exact"/>
              <w:jc w:val="right"/>
              <w:outlineLvl w:val="0"/>
              <w:rPr>
                <w:rFonts w:eastAsia="Times New Roman"/>
                <w:b/>
                <w:sz w:val="18"/>
                <w:szCs w:val="18"/>
              </w:rPr>
            </w:pPr>
            <w:r w:rsidRPr="00166751">
              <w:rPr>
                <w:rFonts w:eastAsia="Times New Roman"/>
                <w:b/>
                <w:sz w:val="18"/>
                <w:szCs w:val="18"/>
              </w:rPr>
              <w:t>26,008</w:t>
            </w:r>
          </w:p>
        </w:tc>
      </w:tr>
      <w:tr w:rsidR="007B4658" w:rsidRPr="005C426C" w14:paraId="1FF9764D" w14:textId="77777777" w:rsidTr="005444AA">
        <w:trPr>
          <w:trHeight w:val="290"/>
        </w:trPr>
        <w:tc>
          <w:tcPr>
            <w:tcW w:w="2088" w:type="pct"/>
          </w:tcPr>
          <w:p w14:paraId="2CFBB7EC" w14:textId="77777777" w:rsidR="007B4658" w:rsidRPr="00166751" w:rsidRDefault="007B4658" w:rsidP="007B4658">
            <w:pPr>
              <w:tabs>
                <w:tab w:val="right" w:pos="1202"/>
              </w:tabs>
              <w:spacing w:after="0" w:line="260" w:lineRule="exact"/>
              <w:outlineLvl w:val="0"/>
              <w:rPr>
                <w:rFonts w:eastAsia="Times New Roman" w:cs="Arial"/>
                <w:b/>
                <w:i/>
                <w:spacing w:val="-2"/>
                <w:sz w:val="18"/>
                <w:szCs w:val="18"/>
              </w:rPr>
            </w:pPr>
            <w:r w:rsidRPr="00166751">
              <w:rPr>
                <w:rFonts w:eastAsia="Times New Roman" w:cs="Arial"/>
                <w:b/>
                <w:i/>
                <w:spacing w:val="-2"/>
                <w:sz w:val="18"/>
                <w:szCs w:val="18"/>
              </w:rPr>
              <w:t>Investments in investment funds:</w:t>
            </w:r>
          </w:p>
        </w:tc>
        <w:tc>
          <w:tcPr>
            <w:tcW w:w="673" w:type="pct"/>
            <w:tcBorders>
              <w:top w:val="single" w:sz="4" w:space="0" w:color="auto"/>
            </w:tcBorders>
            <w:vAlign w:val="bottom"/>
          </w:tcPr>
          <w:p w14:paraId="4FCBACCE" w14:textId="77777777" w:rsidR="007B4658" w:rsidRPr="00166751" w:rsidRDefault="007B4658" w:rsidP="007B4658">
            <w:pPr>
              <w:tabs>
                <w:tab w:val="right" w:pos="1202"/>
              </w:tabs>
              <w:spacing w:after="0" w:line="260" w:lineRule="exact"/>
              <w:jc w:val="right"/>
              <w:outlineLvl w:val="0"/>
              <w:rPr>
                <w:rFonts w:eastAsia="Times New Roman" w:cs="Arial"/>
                <w:sz w:val="18"/>
                <w:szCs w:val="18"/>
              </w:rPr>
            </w:pPr>
          </w:p>
        </w:tc>
        <w:tc>
          <w:tcPr>
            <w:tcW w:w="747" w:type="pct"/>
            <w:tcBorders>
              <w:top w:val="single" w:sz="4" w:space="0" w:color="auto"/>
            </w:tcBorders>
            <w:vAlign w:val="bottom"/>
          </w:tcPr>
          <w:p w14:paraId="53B12D08" w14:textId="77777777" w:rsidR="007B4658" w:rsidRPr="00166751" w:rsidRDefault="007B4658" w:rsidP="007B4658">
            <w:pPr>
              <w:tabs>
                <w:tab w:val="right" w:pos="1202"/>
              </w:tabs>
              <w:spacing w:after="0" w:line="260" w:lineRule="exact"/>
              <w:jc w:val="right"/>
              <w:outlineLvl w:val="0"/>
              <w:rPr>
                <w:rFonts w:eastAsia="Times New Roman" w:cs="Arial"/>
                <w:sz w:val="18"/>
                <w:szCs w:val="18"/>
              </w:rPr>
            </w:pPr>
          </w:p>
        </w:tc>
        <w:tc>
          <w:tcPr>
            <w:tcW w:w="746" w:type="pct"/>
            <w:tcBorders>
              <w:top w:val="single" w:sz="4" w:space="0" w:color="auto"/>
            </w:tcBorders>
            <w:vAlign w:val="bottom"/>
          </w:tcPr>
          <w:p w14:paraId="4F196FB6" w14:textId="77777777" w:rsidR="007B4658" w:rsidRPr="00166751" w:rsidRDefault="007B4658" w:rsidP="007B4658">
            <w:pPr>
              <w:tabs>
                <w:tab w:val="right" w:pos="1202"/>
              </w:tabs>
              <w:spacing w:after="0" w:line="260" w:lineRule="exact"/>
              <w:jc w:val="right"/>
              <w:outlineLvl w:val="0"/>
              <w:rPr>
                <w:rFonts w:eastAsia="Times New Roman" w:cs="Arial"/>
                <w:sz w:val="18"/>
                <w:szCs w:val="18"/>
              </w:rPr>
            </w:pPr>
          </w:p>
        </w:tc>
        <w:tc>
          <w:tcPr>
            <w:tcW w:w="746" w:type="pct"/>
            <w:tcBorders>
              <w:top w:val="single" w:sz="4" w:space="0" w:color="auto"/>
            </w:tcBorders>
            <w:vAlign w:val="bottom"/>
          </w:tcPr>
          <w:p w14:paraId="1DDF70DC" w14:textId="77777777" w:rsidR="007B4658" w:rsidRPr="00166751" w:rsidRDefault="007B4658" w:rsidP="007B4658">
            <w:pPr>
              <w:tabs>
                <w:tab w:val="right" w:pos="1202"/>
              </w:tabs>
              <w:spacing w:after="0" w:line="260" w:lineRule="exact"/>
              <w:jc w:val="right"/>
              <w:outlineLvl w:val="0"/>
              <w:rPr>
                <w:rFonts w:eastAsia="Times New Roman" w:cs="Arial"/>
                <w:sz w:val="18"/>
                <w:szCs w:val="18"/>
              </w:rPr>
            </w:pPr>
          </w:p>
        </w:tc>
      </w:tr>
      <w:tr w:rsidR="007B4658" w:rsidRPr="005C426C" w14:paraId="438763A6" w14:textId="77777777" w:rsidTr="005444AA">
        <w:trPr>
          <w:trHeight w:val="206"/>
        </w:trPr>
        <w:tc>
          <w:tcPr>
            <w:tcW w:w="2088" w:type="pct"/>
          </w:tcPr>
          <w:p w14:paraId="403C1B4D" w14:textId="77777777" w:rsidR="007B4658" w:rsidRPr="00166751" w:rsidRDefault="007B4658" w:rsidP="007B4658">
            <w:pPr>
              <w:tabs>
                <w:tab w:val="right" w:pos="1202"/>
              </w:tabs>
              <w:spacing w:after="0" w:line="260" w:lineRule="exact"/>
              <w:outlineLvl w:val="0"/>
              <w:rPr>
                <w:rFonts w:eastAsia="Times New Roman" w:cs="Arial"/>
                <w:sz w:val="18"/>
                <w:szCs w:val="18"/>
              </w:rPr>
            </w:pPr>
            <w:r w:rsidRPr="00166751">
              <w:rPr>
                <w:rFonts w:eastAsia="Times New Roman" w:cs="Arial"/>
                <w:sz w:val="18"/>
                <w:szCs w:val="18"/>
              </w:rPr>
              <w:t>Shares classified as assets available for sale</w:t>
            </w:r>
          </w:p>
        </w:tc>
        <w:tc>
          <w:tcPr>
            <w:tcW w:w="673" w:type="pct"/>
            <w:tcBorders>
              <w:bottom w:val="single" w:sz="4" w:space="0" w:color="auto"/>
            </w:tcBorders>
            <w:vAlign w:val="bottom"/>
          </w:tcPr>
          <w:p w14:paraId="5CF01CB5" w14:textId="549FDF0B" w:rsidR="007B4658" w:rsidRPr="00166751" w:rsidRDefault="00557599" w:rsidP="007B4658">
            <w:pPr>
              <w:tabs>
                <w:tab w:val="right" w:pos="1202"/>
              </w:tabs>
              <w:spacing w:after="0" w:line="260" w:lineRule="exact"/>
              <w:jc w:val="right"/>
              <w:outlineLvl w:val="0"/>
              <w:rPr>
                <w:rFonts w:eastAsia="Times New Roman" w:cs="Arial"/>
                <w:sz w:val="18"/>
                <w:szCs w:val="18"/>
              </w:rPr>
            </w:pPr>
            <w:r w:rsidRPr="00557599">
              <w:rPr>
                <w:rFonts w:eastAsia="Times New Roman"/>
                <w:sz w:val="18"/>
                <w:szCs w:val="18"/>
              </w:rPr>
              <w:t>813,982</w:t>
            </w:r>
          </w:p>
        </w:tc>
        <w:tc>
          <w:tcPr>
            <w:tcW w:w="747" w:type="pct"/>
            <w:tcBorders>
              <w:bottom w:val="single" w:sz="4" w:space="0" w:color="auto"/>
            </w:tcBorders>
            <w:vAlign w:val="bottom"/>
          </w:tcPr>
          <w:p w14:paraId="028A2D64" w14:textId="77777777" w:rsidR="007B4658" w:rsidRPr="00166751" w:rsidRDefault="007B4658" w:rsidP="007B4658">
            <w:pPr>
              <w:tabs>
                <w:tab w:val="right" w:pos="1202"/>
              </w:tabs>
              <w:spacing w:after="0" w:line="260" w:lineRule="exact"/>
              <w:jc w:val="right"/>
              <w:outlineLvl w:val="0"/>
              <w:rPr>
                <w:rFonts w:eastAsia="Times New Roman"/>
                <w:sz w:val="18"/>
                <w:szCs w:val="18"/>
                <w:lang w:val="en-US"/>
              </w:rPr>
            </w:pPr>
            <w:r w:rsidRPr="00166751">
              <w:rPr>
                <w:rFonts w:eastAsia="Times New Roman"/>
                <w:sz w:val="18"/>
                <w:szCs w:val="18"/>
                <w:lang w:val="en-US"/>
              </w:rPr>
              <w:t>909,614</w:t>
            </w:r>
          </w:p>
        </w:tc>
        <w:tc>
          <w:tcPr>
            <w:tcW w:w="746" w:type="pct"/>
            <w:tcBorders>
              <w:bottom w:val="single" w:sz="4" w:space="0" w:color="auto"/>
            </w:tcBorders>
            <w:shd w:val="clear" w:color="auto" w:fill="auto"/>
            <w:vAlign w:val="bottom"/>
          </w:tcPr>
          <w:p w14:paraId="09FBFC72" w14:textId="35862A22" w:rsidR="007B4658" w:rsidRPr="00166751" w:rsidRDefault="005A76C4" w:rsidP="007B4658">
            <w:pPr>
              <w:tabs>
                <w:tab w:val="right" w:pos="1202"/>
              </w:tabs>
              <w:spacing w:after="0" w:line="260" w:lineRule="exact"/>
              <w:jc w:val="right"/>
              <w:outlineLvl w:val="0"/>
              <w:rPr>
                <w:rFonts w:eastAsia="Times New Roman" w:cs="Arial"/>
                <w:sz w:val="18"/>
                <w:szCs w:val="18"/>
              </w:rPr>
            </w:pPr>
            <w:r w:rsidRPr="005A76C4">
              <w:rPr>
                <w:rFonts w:eastAsia="Times New Roman" w:cs="Arial"/>
                <w:sz w:val="18"/>
                <w:szCs w:val="18"/>
              </w:rPr>
              <w:t>809,258</w:t>
            </w:r>
          </w:p>
        </w:tc>
        <w:tc>
          <w:tcPr>
            <w:tcW w:w="746" w:type="pct"/>
            <w:tcBorders>
              <w:bottom w:val="single" w:sz="4" w:space="0" w:color="auto"/>
            </w:tcBorders>
            <w:vAlign w:val="bottom"/>
          </w:tcPr>
          <w:p w14:paraId="23104DDA" w14:textId="77777777" w:rsidR="007B4658" w:rsidRPr="00166751" w:rsidRDefault="007B4658" w:rsidP="007B4658">
            <w:pPr>
              <w:tabs>
                <w:tab w:val="right" w:pos="1202"/>
              </w:tabs>
              <w:spacing w:after="0" w:line="260" w:lineRule="exact"/>
              <w:jc w:val="right"/>
              <w:outlineLvl w:val="0"/>
              <w:rPr>
                <w:rFonts w:eastAsia="Times New Roman" w:cs="Arial"/>
                <w:sz w:val="18"/>
                <w:szCs w:val="18"/>
              </w:rPr>
            </w:pPr>
            <w:r w:rsidRPr="00166751">
              <w:rPr>
                <w:rFonts w:eastAsia="Times New Roman" w:cs="Arial"/>
                <w:sz w:val="18"/>
                <w:szCs w:val="18"/>
              </w:rPr>
              <w:t>906,803</w:t>
            </w:r>
          </w:p>
        </w:tc>
      </w:tr>
      <w:tr w:rsidR="007B4658" w:rsidRPr="005C426C" w14:paraId="21950CDC" w14:textId="77777777" w:rsidTr="005444AA">
        <w:trPr>
          <w:trHeight w:val="221"/>
        </w:trPr>
        <w:tc>
          <w:tcPr>
            <w:tcW w:w="2088" w:type="pct"/>
          </w:tcPr>
          <w:p w14:paraId="3C06C27D" w14:textId="77777777" w:rsidR="007B4658" w:rsidRPr="00166751" w:rsidRDefault="007B4658" w:rsidP="007B4658">
            <w:pPr>
              <w:tabs>
                <w:tab w:val="right" w:pos="1202"/>
              </w:tabs>
              <w:spacing w:after="0" w:line="260" w:lineRule="exact"/>
              <w:outlineLvl w:val="0"/>
              <w:rPr>
                <w:rFonts w:eastAsia="Times New Roman" w:cs="Arial"/>
                <w:sz w:val="18"/>
                <w:szCs w:val="18"/>
              </w:rPr>
            </w:pPr>
          </w:p>
        </w:tc>
        <w:tc>
          <w:tcPr>
            <w:tcW w:w="673" w:type="pct"/>
            <w:tcBorders>
              <w:top w:val="single" w:sz="4" w:space="0" w:color="auto"/>
              <w:bottom w:val="single" w:sz="4" w:space="0" w:color="auto"/>
            </w:tcBorders>
            <w:vAlign w:val="bottom"/>
          </w:tcPr>
          <w:p w14:paraId="6A601C36" w14:textId="47B6119E" w:rsidR="007B4658" w:rsidRPr="00166751" w:rsidRDefault="00557599" w:rsidP="007B4658">
            <w:pPr>
              <w:tabs>
                <w:tab w:val="right" w:pos="1202"/>
              </w:tabs>
              <w:spacing w:after="0" w:line="260" w:lineRule="exact"/>
              <w:jc w:val="right"/>
              <w:outlineLvl w:val="0"/>
              <w:rPr>
                <w:rFonts w:eastAsia="Times New Roman" w:cs="Arial"/>
                <w:b/>
                <w:sz w:val="18"/>
                <w:szCs w:val="18"/>
              </w:rPr>
            </w:pPr>
            <w:r w:rsidRPr="00557599">
              <w:rPr>
                <w:rFonts w:eastAsia="Times New Roman" w:cs="Arial"/>
                <w:b/>
                <w:sz w:val="18"/>
                <w:szCs w:val="18"/>
              </w:rPr>
              <w:t>813,982</w:t>
            </w:r>
          </w:p>
        </w:tc>
        <w:tc>
          <w:tcPr>
            <w:tcW w:w="747" w:type="pct"/>
            <w:tcBorders>
              <w:top w:val="single" w:sz="4" w:space="0" w:color="auto"/>
              <w:bottom w:val="single" w:sz="4" w:space="0" w:color="auto"/>
            </w:tcBorders>
            <w:vAlign w:val="bottom"/>
          </w:tcPr>
          <w:p w14:paraId="0427258D" w14:textId="77777777" w:rsidR="007B4658" w:rsidRPr="00166751" w:rsidRDefault="007B4658" w:rsidP="007B4658">
            <w:pPr>
              <w:tabs>
                <w:tab w:val="right" w:pos="1202"/>
              </w:tabs>
              <w:spacing w:after="0" w:line="260" w:lineRule="exact"/>
              <w:jc w:val="right"/>
              <w:outlineLvl w:val="0"/>
              <w:rPr>
                <w:rFonts w:eastAsia="Times New Roman" w:cs="Arial"/>
                <w:b/>
                <w:sz w:val="18"/>
                <w:szCs w:val="18"/>
              </w:rPr>
            </w:pPr>
            <w:r w:rsidRPr="00166751">
              <w:rPr>
                <w:rFonts w:eastAsia="Times New Roman" w:cs="Arial"/>
                <w:b/>
                <w:sz w:val="18"/>
                <w:szCs w:val="18"/>
              </w:rPr>
              <w:t>909,614</w:t>
            </w:r>
          </w:p>
        </w:tc>
        <w:tc>
          <w:tcPr>
            <w:tcW w:w="746" w:type="pct"/>
            <w:tcBorders>
              <w:top w:val="single" w:sz="4" w:space="0" w:color="auto"/>
              <w:bottom w:val="single" w:sz="4" w:space="0" w:color="auto"/>
            </w:tcBorders>
            <w:vAlign w:val="bottom"/>
          </w:tcPr>
          <w:p w14:paraId="6CD85535" w14:textId="5178FE4C" w:rsidR="007B4658" w:rsidRPr="00166751" w:rsidRDefault="005A76C4" w:rsidP="007B4658">
            <w:pPr>
              <w:tabs>
                <w:tab w:val="right" w:pos="1202"/>
              </w:tabs>
              <w:spacing w:after="0" w:line="260" w:lineRule="exact"/>
              <w:jc w:val="right"/>
              <w:outlineLvl w:val="0"/>
              <w:rPr>
                <w:rFonts w:eastAsia="Times New Roman" w:cs="Arial"/>
                <w:b/>
                <w:sz w:val="18"/>
                <w:szCs w:val="18"/>
              </w:rPr>
            </w:pPr>
            <w:r w:rsidRPr="005A76C4">
              <w:rPr>
                <w:rFonts w:eastAsia="Times New Roman" w:cs="Arial"/>
                <w:b/>
                <w:sz w:val="18"/>
                <w:szCs w:val="18"/>
              </w:rPr>
              <w:t>809,258</w:t>
            </w:r>
          </w:p>
        </w:tc>
        <w:tc>
          <w:tcPr>
            <w:tcW w:w="746" w:type="pct"/>
            <w:tcBorders>
              <w:top w:val="single" w:sz="4" w:space="0" w:color="auto"/>
              <w:bottom w:val="single" w:sz="4" w:space="0" w:color="auto"/>
            </w:tcBorders>
            <w:vAlign w:val="bottom"/>
          </w:tcPr>
          <w:p w14:paraId="4249BAEE" w14:textId="77777777" w:rsidR="007B4658" w:rsidRPr="00166751" w:rsidRDefault="007B4658" w:rsidP="007B4658">
            <w:pPr>
              <w:tabs>
                <w:tab w:val="right" w:pos="1202"/>
              </w:tabs>
              <w:spacing w:after="0" w:line="260" w:lineRule="exact"/>
              <w:jc w:val="right"/>
              <w:outlineLvl w:val="0"/>
              <w:rPr>
                <w:rFonts w:eastAsia="Times New Roman" w:cs="Arial"/>
                <w:b/>
                <w:sz w:val="18"/>
                <w:szCs w:val="18"/>
              </w:rPr>
            </w:pPr>
            <w:r w:rsidRPr="00166751">
              <w:rPr>
                <w:rFonts w:eastAsia="Times New Roman" w:cs="Arial"/>
                <w:b/>
                <w:sz w:val="18"/>
                <w:szCs w:val="18"/>
              </w:rPr>
              <w:t>906,803</w:t>
            </w:r>
          </w:p>
        </w:tc>
      </w:tr>
      <w:tr w:rsidR="007B4658" w:rsidRPr="005C426C" w14:paraId="76978294" w14:textId="77777777" w:rsidTr="005444AA">
        <w:trPr>
          <w:trHeight w:val="389"/>
        </w:trPr>
        <w:tc>
          <w:tcPr>
            <w:tcW w:w="2088" w:type="pct"/>
            <w:vAlign w:val="bottom"/>
          </w:tcPr>
          <w:p w14:paraId="6E1B29F0" w14:textId="77777777" w:rsidR="007B4658" w:rsidRPr="00166751" w:rsidRDefault="007B4658" w:rsidP="007B4658">
            <w:pPr>
              <w:tabs>
                <w:tab w:val="right" w:pos="1202"/>
              </w:tabs>
              <w:spacing w:after="0" w:line="260" w:lineRule="exact"/>
              <w:outlineLvl w:val="0"/>
              <w:rPr>
                <w:rFonts w:eastAsia="Times New Roman" w:cs="Arial"/>
                <w:sz w:val="18"/>
                <w:szCs w:val="18"/>
              </w:rPr>
            </w:pPr>
            <w:r w:rsidRPr="00166751">
              <w:rPr>
                <w:rFonts w:eastAsia="Times New Roman" w:cs="Arial"/>
                <w:b/>
                <w:bCs/>
                <w:sz w:val="18"/>
                <w:szCs w:val="18"/>
              </w:rPr>
              <w:t xml:space="preserve">Balance  </w:t>
            </w:r>
          </w:p>
        </w:tc>
        <w:tc>
          <w:tcPr>
            <w:tcW w:w="673" w:type="pct"/>
            <w:tcBorders>
              <w:top w:val="single" w:sz="4" w:space="0" w:color="auto"/>
              <w:bottom w:val="single" w:sz="12" w:space="0" w:color="auto"/>
            </w:tcBorders>
            <w:shd w:val="clear" w:color="auto" w:fill="auto"/>
            <w:vAlign w:val="bottom"/>
          </w:tcPr>
          <w:p w14:paraId="2324CA1C" w14:textId="4168B836" w:rsidR="007B4658" w:rsidRPr="00166751" w:rsidRDefault="00557599" w:rsidP="007B4658">
            <w:pPr>
              <w:tabs>
                <w:tab w:val="right" w:pos="1202"/>
              </w:tabs>
              <w:spacing w:after="0" w:line="260" w:lineRule="exact"/>
              <w:jc w:val="right"/>
              <w:outlineLvl w:val="0"/>
              <w:rPr>
                <w:rFonts w:eastAsia="Times New Roman" w:cs="Arial"/>
                <w:b/>
                <w:sz w:val="18"/>
                <w:szCs w:val="18"/>
              </w:rPr>
            </w:pPr>
            <w:r w:rsidRPr="00557599">
              <w:rPr>
                <w:rFonts w:eastAsia="Times New Roman" w:cs="Arial"/>
                <w:b/>
                <w:sz w:val="18"/>
                <w:szCs w:val="18"/>
              </w:rPr>
              <w:t>3,314,045</w:t>
            </w:r>
          </w:p>
        </w:tc>
        <w:tc>
          <w:tcPr>
            <w:tcW w:w="747" w:type="pct"/>
            <w:tcBorders>
              <w:top w:val="single" w:sz="4" w:space="0" w:color="auto"/>
              <w:bottom w:val="single" w:sz="12" w:space="0" w:color="auto"/>
            </w:tcBorders>
            <w:vAlign w:val="bottom"/>
          </w:tcPr>
          <w:p w14:paraId="556A59A1" w14:textId="77777777" w:rsidR="007B4658" w:rsidRPr="00166751" w:rsidRDefault="007B4658" w:rsidP="007B4658">
            <w:pPr>
              <w:tabs>
                <w:tab w:val="right" w:pos="1202"/>
              </w:tabs>
              <w:spacing w:after="0" w:line="260" w:lineRule="exact"/>
              <w:jc w:val="right"/>
              <w:outlineLvl w:val="0"/>
              <w:rPr>
                <w:rFonts w:eastAsia="Times New Roman" w:cs="Arial"/>
                <w:b/>
                <w:sz w:val="18"/>
                <w:szCs w:val="18"/>
              </w:rPr>
            </w:pPr>
            <w:r w:rsidRPr="00166751">
              <w:rPr>
                <w:rFonts w:eastAsia="Times New Roman" w:cs="Arial"/>
                <w:b/>
                <w:sz w:val="18"/>
                <w:szCs w:val="18"/>
              </w:rPr>
              <w:t>3,390,034</w:t>
            </w:r>
          </w:p>
        </w:tc>
        <w:tc>
          <w:tcPr>
            <w:tcW w:w="746" w:type="pct"/>
            <w:tcBorders>
              <w:top w:val="single" w:sz="4" w:space="0" w:color="auto"/>
              <w:bottom w:val="single" w:sz="12" w:space="0" w:color="auto"/>
            </w:tcBorders>
            <w:shd w:val="clear" w:color="auto" w:fill="auto"/>
            <w:vAlign w:val="bottom"/>
          </w:tcPr>
          <w:p w14:paraId="6BFD5DF0" w14:textId="569F22CA" w:rsidR="007B4658" w:rsidRPr="00166751" w:rsidRDefault="005A76C4" w:rsidP="007B4658">
            <w:pPr>
              <w:tabs>
                <w:tab w:val="right" w:pos="1202"/>
              </w:tabs>
              <w:spacing w:after="0" w:line="260" w:lineRule="exact"/>
              <w:jc w:val="right"/>
              <w:outlineLvl w:val="0"/>
              <w:rPr>
                <w:rFonts w:eastAsia="Times New Roman"/>
                <w:b/>
                <w:bCs/>
                <w:color w:val="000000"/>
                <w:sz w:val="18"/>
                <w:szCs w:val="18"/>
                <w:lang w:eastAsia="hr-HR"/>
              </w:rPr>
            </w:pPr>
            <w:r w:rsidRPr="005A76C4">
              <w:rPr>
                <w:rFonts w:eastAsia="Times New Roman" w:cs="Arial"/>
                <w:b/>
                <w:sz w:val="18"/>
                <w:szCs w:val="18"/>
              </w:rPr>
              <w:t>3,264,520</w:t>
            </w:r>
          </w:p>
        </w:tc>
        <w:tc>
          <w:tcPr>
            <w:tcW w:w="746" w:type="pct"/>
            <w:tcBorders>
              <w:top w:val="single" w:sz="4" w:space="0" w:color="auto"/>
              <w:bottom w:val="single" w:sz="12" w:space="0" w:color="auto"/>
            </w:tcBorders>
            <w:vAlign w:val="bottom"/>
          </w:tcPr>
          <w:p w14:paraId="7209A1F7" w14:textId="77777777" w:rsidR="007B4658" w:rsidRPr="00166751" w:rsidRDefault="007B4658" w:rsidP="007B4658">
            <w:pPr>
              <w:tabs>
                <w:tab w:val="right" w:pos="1202"/>
              </w:tabs>
              <w:spacing w:after="0" w:line="260" w:lineRule="exact"/>
              <w:jc w:val="right"/>
              <w:outlineLvl w:val="0"/>
              <w:rPr>
                <w:rFonts w:eastAsia="Times New Roman" w:cs="Arial"/>
                <w:b/>
                <w:sz w:val="18"/>
                <w:szCs w:val="18"/>
              </w:rPr>
            </w:pPr>
            <w:r w:rsidRPr="00166751">
              <w:rPr>
                <w:rFonts w:eastAsia="Times New Roman" w:cs="Arial"/>
                <w:b/>
                <w:sz w:val="18"/>
                <w:szCs w:val="18"/>
              </w:rPr>
              <w:t>3,343,574</w:t>
            </w:r>
          </w:p>
        </w:tc>
      </w:tr>
    </w:tbl>
    <w:p w14:paraId="2D795FBA" w14:textId="77777777" w:rsidR="009702B0" w:rsidRPr="009702B0" w:rsidRDefault="009702B0" w:rsidP="009702B0">
      <w:pPr>
        <w:tabs>
          <w:tab w:val="left" w:pos="-720"/>
        </w:tabs>
        <w:spacing w:after="0" w:line="240" w:lineRule="auto"/>
        <w:jc w:val="both"/>
        <w:rPr>
          <w:rFonts w:eastAsia="Times New Roman" w:cs="Calibri"/>
          <w:sz w:val="24"/>
          <w:szCs w:val="24"/>
          <w:lang w:eastAsia="hr-HR"/>
        </w:rPr>
      </w:pPr>
    </w:p>
    <w:p w14:paraId="245A3512" w14:textId="77777777" w:rsidR="009702B0" w:rsidRPr="009702B0" w:rsidRDefault="009702B0" w:rsidP="009702B0">
      <w:pPr>
        <w:tabs>
          <w:tab w:val="left" w:pos="-720"/>
        </w:tabs>
        <w:spacing w:after="0" w:line="240" w:lineRule="auto"/>
        <w:jc w:val="both"/>
        <w:rPr>
          <w:rFonts w:eastAsia="Times New Roman" w:cs="Calibri"/>
          <w:sz w:val="24"/>
          <w:szCs w:val="24"/>
          <w:lang w:eastAsia="hr-HR"/>
        </w:rPr>
      </w:pPr>
    </w:p>
    <w:p w14:paraId="33B2A67E" w14:textId="77777777" w:rsidR="009702B0" w:rsidRPr="009702B0" w:rsidRDefault="009702B0" w:rsidP="009702B0">
      <w:pPr>
        <w:tabs>
          <w:tab w:val="left" w:pos="-720"/>
        </w:tabs>
        <w:spacing w:after="0" w:line="240" w:lineRule="auto"/>
        <w:jc w:val="both"/>
        <w:rPr>
          <w:rFonts w:eastAsia="Times New Roman" w:cs="Calibri"/>
          <w:sz w:val="24"/>
          <w:szCs w:val="24"/>
          <w:lang w:eastAsia="hr-HR"/>
        </w:rPr>
      </w:pPr>
    </w:p>
    <w:p w14:paraId="67A9F707" w14:textId="77777777" w:rsidR="009702B0" w:rsidRPr="009702B0" w:rsidRDefault="009702B0" w:rsidP="009702B0">
      <w:pPr>
        <w:tabs>
          <w:tab w:val="left" w:pos="-720"/>
        </w:tabs>
        <w:spacing w:after="0" w:line="240" w:lineRule="auto"/>
        <w:jc w:val="both"/>
        <w:rPr>
          <w:rFonts w:eastAsia="Times New Roman" w:cs="Calibri"/>
          <w:sz w:val="24"/>
          <w:szCs w:val="24"/>
          <w:lang w:eastAsia="hr-HR"/>
        </w:rPr>
      </w:pPr>
    </w:p>
    <w:p w14:paraId="7E76BDC7" w14:textId="77777777" w:rsidR="009702B0" w:rsidRPr="009702B0" w:rsidRDefault="009702B0" w:rsidP="009702B0">
      <w:pPr>
        <w:tabs>
          <w:tab w:val="left" w:pos="-720"/>
        </w:tabs>
        <w:spacing w:after="0" w:line="240" w:lineRule="auto"/>
        <w:jc w:val="both"/>
        <w:rPr>
          <w:rFonts w:eastAsia="Times New Roman" w:cs="Calibri"/>
          <w:sz w:val="24"/>
          <w:szCs w:val="24"/>
          <w:lang w:eastAsia="hr-HR"/>
        </w:rPr>
      </w:pPr>
    </w:p>
    <w:p w14:paraId="2C5B6D43" w14:textId="77777777" w:rsidR="009702B0" w:rsidRPr="009702B0" w:rsidRDefault="009702B0" w:rsidP="009702B0">
      <w:pPr>
        <w:tabs>
          <w:tab w:val="left" w:pos="-720"/>
        </w:tabs>
        <w:spacing w:after="0" w:line="240" w:lineRule="auto"/>
        <w:jc w:val="both"/>
        <w:rPr>
          <w:rFonts w:eastAsia="Times New Roman" w:cs="Calibri"/>
          <w:sz w:val="24"/>
          <w:szCs w:val="24"/>
          <w:lang w:eastAsia="hr-HR"/>
        </w:rPr>
        <w:sectPr w:rsidR="009702B0" w:rsidRPr="009702B0" w:rsidSect="00947CB7">
          <w:footerReference w:type="default" r:id="rId65"/>
          <w:footerReference w:type="first" r:id="rId66"/>
          <w:pgSz w:w="11906" w:h="16838" w:code="9"/>
          <w:pgMar w:top="1418" w:right="1418" w:bottom="595" w:left="1134" w:header="709" w:footer="709" w:gutter="0"/>
          <w:cols w:space="708"/>
          <w:titlePg/>
          <w:docGrid w:linePitch="360"/>
        </w:sectPr>
      </w:pPr>
    </w:p>
    <w:p w14:paraId="4A7B6175" w14:textId="77777777" w:rsidR="009702B0" w:rsidRPr="009702B0" w:rsidRDefault="009702B0" w:rsidP="009702B0">
      <w:pPr>
        <w:tabs>
          <w:tab w:val="left" w:pos="-720"/>
          <w:tab w:val="left" w:pos="993"/>
        </w:tabs>
        <w:spacing w:after="0" w:line="240" w:lineRule="auto"/>
        <w:jc w:val="both"/>
        <w:rPr>
          <w:rFonts w:eastAsia="Times New Roman" w:cs="Arial"/>
          <w:b/>
        </w:rPr>
      </w:pPr>
    </w:p>
    <w:p w14:paraId="7A568F3B" w14:textId="77777777" w:rsidR="009702B0" w:rsidRPr="009702B0" w:rsidRDefault="009702B0" w:rsidP="009702B0">
      <w:pPr>
        <w:tabs>
          <w:tab w:val="left" w:pos="-720"/>
          <w:tab w:val="left" w:pos="567"/>
        </w:tabs>
        <w:spacing w:after="240" w:line="240" w:lineRule="auto"/>
        <w:jc w:val="both"/>
        <w:rPr>
          <w:rFonts w:eastAsia="Times New Roman" w:cs="Arial"/>
          <w:b/>
        </w:rPr>
      </w:pPr>
      <w:r w:rsidRPr="009702B0">
        <w:rPr>
          <w:rFonts w:eastAsia="Times New Roman" w:cs="Arial"/>
          <w:b/>
        </w:rPr>
        <w:t>11</w:t>
      </w:r>
      <w:r w:rsidR="00907F67">
        <w:rPr>
          <w:rFonts w:eastAsia="Times New Roman" w:cs="Arial"/>
          <w:b/>
        </w:rPr>
        <w:t>.</w:t>
      </w:r>
      <w:r w:rsidRPr="009702B0">
        <w:rPr>
          <w:rFonts w:eastAsia="Times New Roman" w:cs="Arial"/>
          <w:b/>
        </w:rPr>
        <w:tab/>
        <w:t>Assets available for sale (continued)</w:t>
      </w:r>
    </w:p>
    <w:p w14:paraId="65C1C072" w14:textId="77777777" w:rsidR="009702B0" w:rsidRPr="009702B0" w:rsidRDefault="009702B0" w:rsidP="00F639EA">
      <w:pPr>
        <w:tabs>
          <w:tab w:val="left" w:pos="-720"/>
        </w:tabs>
        <w:suppressAutoHyphens/>
        <w:spacing w:after="0" w:line="240" w:lineRule="auto"/>
        <w:ind w:left="851" w:hanging="851"/>
        <w:contextualSpacing/>
        <w:rPr>
          <w:rFonts w:eastAsia="Times New Roman" w:cs="Calibri"/>
          <w:b/>
          <w:spacing w:val="-3"/>
          <w:lang w:eastAsia="hr-HR"/>
        </w:rPr>
      </w:pPr>
      <w:r w:rsidRPr="009702B0">
        <w:rPr>
          <w:rFonts w:eastAsia="Times New Roman" w:cs="Calibri"/>
          <w:spacing w:val="-3"/>
          <w:lang w:eastAsia="hr-HR"/>
        </w:rPr>
        <w:t>The following text contains investment breakdown:</w:t>
      </w:r>
    </w:p>
    <w:p w14:paraId="5500B28D" w14:textId="77777777" w:rsidR="009702B0" w:rsidRPr="009702B0" w:rsidRDefault="009702B0" w:rsidP="009702B0">
      <w:pPr>
        <w:spacing w:after="0" w:line="240" w:lineRule="auto"/>
      </w:pPr>
    </w:p>
    <w:tbl>
      <w:tblPr>
        <w:tblW w:w="11535" w:type="dxa"/>
        <w:tblInd w:w="-142" w:type="dxa"/>
        <w:tblLayout w:type="fixed"/>
        <w:tblLook w:val="04A0" w:firstRow="1" w:lastRow="0" w:firstColumn="1" w:lastColumn="0" w:noHBand="0" w:noVBand="1"/>
      </w:tblPr>
      <w:tblGrid>
        <w:gridCol w:w="2836"/>
        <w:gridCol w:w="1134"/>
        <w:gridCol w:w="1134"/>
        <w:gridCol w:w="1261"/>
        <w:gridCol w:w="1033"/>
        <w:gridCol w:w="1034"/>
        <w:gridCol w:w="1033"/>
        <w:gridCol w:w="1035"/>
        <w:gridCol w:w="1035"/>
      </w:tblGrid>
      <w:tr w:rsidR="004B3CBB" w:rsidRPr="00F639EA" w14:paraId="7945555A" w14:textId="77777777" w:rsidTr="00166751">
        <w:trPr>
          <w:gridAfter w:val="1"/>
          <w:wAfter w:w="1035" w:type="dxa"/>
          <w:trHeight w:val="161"/>
        </w:trPr>
        <w:tc>
          <w:tcPr>
            <w:tcW w:w="2836" w:type="dxa"/>
            <w:tcBorders>
              <w:left w:val="nil"/>
              <w:right w:val="nil"/>
            </w:tcBorders>
            <w:shd w:val="clear" w:color="auto" w:fill="auto"/>
            <w:noWrap/>
            <w:vAlign w:val="bottom"/>
          </w:tcPr>
          <w:p w14:paraId="16CE9C99" w14:textId="77777777" w:rsidR="004B3CBB" w:rsidRPr="00F639EA" w:rsidRDefault="004B3CBB" w:rsidP="00F639EA">
            <w:pPr>
              <w:spacing w:after="0" w:line="240" w:lineRule="auto"/>
              <w:jc w:val="both"/>
              <w:rPr>
                <w:rFonts w:asciiTheme="minorHAnsi" w:eastAsia="Times New Roman" w:hAnsiTheme="minorHAnsi" w:cs="Arial"/>
                <w:b/>
                <w:color w:val="000000"/>
                <w:sz w:val="18"/>
                <w:szCs w:val="18"/>
                <w:lang w:eastAsia="hr-HR"/>
              </w:rPr>
            </w:pPr>
          </w:p>
        </w:tc>
        <w:tc>
          <w:tcPr>
            <w:tcW w:w="1134" w:type="dxa"/>
            <w:tcBorders>
              <w:left w:val="nil"/>
              <w:right w:val="nil"/>
            </w:tcBorders>
            <w:shd w:val="clear" w:color="auto" w:fill="auto"/>
            <w:vAlign w:val="bottom"/>
          </w:tcPr>
          <w:p w14:paraId="0F5A571A" w14:textId="77777777" w:rsidR="004B3CBB" w:rsidRPr="00F639EA" w:rsidRDefault="004B3CBB" w:rsidP="00F639EA">
            <w:pPr>
              <w:spacing w:after="0" w:line="240" w:lineRule="auto"/>
              <w:jc w:val="center"/>
              <w:rPr>
                <w:rFonts w:asciiTheme="minorHAnsi" w:eastAsia="Times New Roman" w:hAnsiTheme="minorHAnsi" w:cs="Arial"/>
                <w:b/>
                <w:color w:val="000000"/>
                <w:sz w:val="18"/>
                <w:szCs w:val="18"/>
                <w:lang w:eastAsia="hr-HR"/>
              </w:rPr>
            </w:pPr>
          </w:p>
        </w:tc>
        <w:tc>
          <w:tcPr>
            <w:tcW w:w="1134" w:type="dxa"/>
            <w:tcBorders>
              <w:left w:val="nil"/>
              <w:right w:val="nil"/>
            </w:tcBorders>
            <w:shd w:val="clear" w:color="auto" w:fill="auto"/>
            <w:vAlign w:val="bottom"/>
          </w:tcPr>
          <w:p w14:paraId="17CC38CB" w14:textId="77777777" w:rsidR="004B3CBB" w:rsidRPr="00F639EA" w:rsidRDefault="004B3CBB" w:rsidP="00F639EA">
            <w:pPr>
              <w:spacing w:after="0" w:line="240" w:lineRule="auto"/>
              <w:jc w:val="center"/>
              <w:rPr>
                <w:rFonts w:asciiTheme="minorHAnsi" w:eastAsia="Times New Roman" w:hAnsiTheme="minorHAnsi" w:cs="Arial"/>
                <w:b/>
                <w:color w:val="000000"/>
                <w:sz w:val="18"/>
                <w:szCs w:val="18"/>
                <w:lang w:eastAsia="hr-HR"/>
              </w:rPr>
            </w:pPr>
          </w:p>
        </w:tc>
        <w:tc>
          <w:tcPr>
            <w:tcW w:w="1261" w:type="dxa"/>
            <w:tcBorders>
              <w:left w:val="nil"/>
              <w:right w:val="nil"/>
            </w:tcBorders>
            <w:shd w:val="clear" w:color="auto" w:fill="auto"/>
            <w:vAlign w:val="bottom"/>
          </w:tcPr>
          <w:p w14:paraId="10AB8E01" w14:textId="77777777" w:rsidR="004B3CBB" w:rsidRPr="00F639EA" w:rsidRDefault="004B3CBB" w:rsidP="00F639EA">
            <w:pPr>
              <w:spacing w:after="0" w:line="240" w:lineRule="auto"/>
              <w:jc w:val="center"/>
              <w:rPr>
                <w:rFonts w:asciiTheme="minorHAnsi" w:eastAsia="Times New Roman" w:hAnsiTheme="minorHAnsi" w:cs="Arial"/>
                <w:b/>
                <w:color w:val="000000"/>
                <w:sz w:val="18"/>
                <w:szCs w:val="18"/>
                <w:lang w:eastAsia="hr-HR"/>
              </w:rPr>
            </w:pPr>
          </w:p>
        </w:tc>
        <w:tc>
          <w:tcPr>
            <w:tcW w:w="2067" w:type="dxa"/>
            <w:gridSpan w:val="2"/>
            <w:tcBorders>
              <w:left w:val="nil"/>
              <w:right w:val="nil"/>
            </w:tcBorders>
            <w:vAlign w:val="bottom"/>
          </w:tcPr>
          <w:p w14:paraId="20737011" w14:textId="77777777" w:rsidR="004B3CBB" w:rsidRPr="00F639EA" w:rsidRDefault="004B3CBB" w:rsidP="00F639EA">
            <w:pPr>
              <w:spacing w:after="0" w:line="240" w:lineRule="auto"/>
              <w:jc w:val="right"/>
              <w:rPr>
                <w:rFonts w:asciiTheme="minorHAnsi" w:eastAsia="Times New Roman" w:hAnsiTheme="minorHAnsi" w:cs="Arial"/>
                <w:b/>
                <w:color w:val="000000"/>
                <w:sz w:val="18"/>
                <w:szCs w:val="18"/>
                <w:lang w:eastAsia="hr-HR"/>
              </w:rPr>
            </w:pPr>
            <w:r w:rsidRPr="00F639EA">
              <w:rPr>
                <w:rFonts w:asciiTheme="minorHAnsi" w:eastAsia="Times New Roman" w:hAnsiTheme="minorHAnsi" w:cs="Arial"/>
                <w:b/>
                <w:color w:val="000000"/>
                <w:sz w:val="18"/>
                <w:szCs w:val="18"/>
                <w:lang w:eastAsia="hr-HR"/>
              </w:rPr>
              <w:t>Group</w:t>
            </w:r>
          </w:p>
        </w:tc>
        <w:tc>
          <w:tcPr>
            <w:tcW w:w="2068" w:type="dxa"/>
            <w:gridSpan w:val="2"/>
            <w:tcBorders>
              <w:left w:val="nil"/>
              <w:right w:val="nil"/>
            </w:tcBorders>
            <w:shd w:val="clear" w:color="auto" w:fill="auto"/>
            <w:vAlign w:val="bottom"/>
          </w:tcPr>
          <w:p w14:paraId="079EFC65" w14:textId="77777777" w:rsidR="004B3CBB" w:rsidRPr="00F639EA" w:rsidRDefault="004B3CBB" w:rsidP="00F639EA">
            <w:pPr>
              <w:spacing w:after="0" w:line="240" w:lineRule="auto"/>
              <w:jc w:val="right"/>
              <w:rPr>
                <w:rFonts w:asciiTheme="minorHAnsi" w:eastAsia="Times New Roman" w:hAnsiTheme="minorHAnsi" w:cs="Arial"/>
                <w:b/>
                <w:color w:val="000000"/>
                <w:sz w:val="18"/>
                <w:szCs w:val="18"/>
                <w:lang w:eastAsia="hr-HR"/>
              </w:rPr>
            </w:pPr>
            <w:r w:rsidRPr="00F639EA">
              <w:rPr>
                <w:rFonts w:asciiTheme="minorHAnsi" w:eastAsia="Times New Roman" w:hAnsiTheme="minorHAnsi" w:cs="Arial"/>
                <w:b/>
                <w:color w:val="000000"/>
                <w:sz w:val="18"/>
                <w:szCs w:val="18"/>
                <w:lang w:eastAsia="hr-HR"/>
              </w:rPr>
              <w:t>Bank</w:t>
            </w:r>
          </w:p>
        </w:tc>
      </w:tr>
      <w:tr w:rsidR="004B3CBB" w:rsidRPr="00F639EA" w14:paraId="379055AA" w14:textId="77777777" w:rsidTr="00166751">
        <w:trPr>
          <w:gridAfter w:val="1"/>
          <w:wAfter w:w="1035" w:type="dxa"/>
          <w:trHeight w:hRule="exact" w:val="326"/>
        </w:trPr>
        <w:tc>
          <w:tcPr>
            <w:tcW w:w="2836" w:type="dxa"/>
            <w:tcBorders>
              <w:left w:val="nil"/>
              <w:right w:val="nil"/>
            </w:tcBorders>
            <w:shd w:val="clear" w:color="auto" w:fill="auto"/>
            <w:noWrap/>
            <w:vAlign w:val="bottom"/>
          </w:tcPr>
          <w:p w14:paraId="73E85368" w14:textId="77777777" w:rsidR="004B3CBB" w:rsidRPr="00F639EA" w:rsidRDefault="004B3CBB" w:rsidP="00F639EA">
            <w:pPr>
              <w:spacing w:after="0" w:line="240" w:lineRule="auto"/>
              <w:jc w:val="both"/>
              <w:rPr>
                <w:rFonts w:asciiTheme="minorHAnsi" w:eastAsia="Times New Roman" w:hAnsiTheme="minorHAnsi" w:cs="Arial"/>
                <w:b/>
                <w:color w:val="000000"/>
                <w:sz w:val="18"/>
                <w:szCs w:val="18"/>
                <w:lang w:eastAsia="hr-HR"/>
              </w:rPr>
            </w:pPr>
          </w:p>
        </w:tc>
        <w:tc>
          <w:tcPr>
            <w:tcW w:w="1134" w:type="dxa"/>
            <w:vMerge w:val="restart"/>
            <w:tcBorders>
              <w:left w:val="nil"/>
              <w:right w:val="nil"/>
            </w:tcBorders>
            <w:shd w:val="clear" w:color="auto" w:fill="auto"/>
            <w:vAlign w:val="center"/>
          </w:tcPr>
          <w:p w14:paraId="32D4A469" w14:textId="77777777" w:rsidR="004B3CBB" w:rsidRPr="00F639EA" w:rsidRDefault="004B3CBB" w:rsidP="00F639EA">
            <w:pPr>
              <w:spacing w:after="0" w:line="240" w:lineRule="auto"/>
              <w:jc w:val="center"/>
              <w:rPr>
                <w:rFonts w:asciiTheme="minorHAnsi" w:eastAsia="Times New Roman" w:hAnsiTheme="minorHAnsi" w:cs="Arial"/>
                <w:b/>
                <w:color w:val="000000"/>
                <w:sz w:val="18"/>
                <w:szCs w:val="18"/>
                <w:lang w:eastAsia="hr-HR"/>
              </w:rPr>
            </w:pPr>
            <w:r w:rsidRPr="00F639EA">
              <w:rPr>
                <w:rFonts w:asciiTheme="minorHAnsi" w:eastAsia="Times New Roman" w:hAnsiTheme="minorHAnsi" w:cs="Arial"/>
                <w:b/>
                <w:color w:val="000000"/>
                <w:sz w:val="18"/>
                <w:szCs w:val="18"/>
                <w:lang w:eastAsia="hr-HR"/>
              </w:rPr>
              <w:t>Date of issue</w:t>
            </w:r>
          </w:p>
        </w:tc>
        <w:tc>
          <w:tcPr>
            <w:tcW w:w="1134" w:type="dxa"/>
            <w:vMerge w:val="restart"/>
            <w:tcBorders>
              <w:left w:val="nil"/>
              <w:right w:val="nil"/>
            </w:tcBorders>
            <w:shd w:val="clear" w:color="auto" w:fill="auto"/>
            <w:vAlign w:val="center"/>
          </w:tcPr>
          <w:p w14:paraId="22B40BB7" w14:textId="77777777" w:rsidR="004B3CBB" w:rsidRPr="00F639EA" w:rsidRDefault="004B3CBB" w:rsidP="00F639EA">
            <w:pPr>
              <w:spacing w:after="0" w:line="240" w:lineRule="auto"/>
              <w:jc w:val="center"/>
              <w:rPr>
                <w:rFonts w:asciiTheme="minorHAnsi" w:eastAsia="Times New Roman" w:hAnsiTheme="minorHAnsi" w:cs="Arial"/>
                <w:b/>
                <w:color w:val="000000"/>
                <w:sz w:val="18"/>
                <w:szCs w:val="18"/>
                <w:lang w:eastAsia="hr-HR"/>
              </w:rPr>
            </w:pPr>
            <w:r w:rsidRPr="00F639EA">
              <w:rPr>
                <w:rFonts w:asciiTheme="minorHAnsi" w:eastAsia="Times New Roman" w:hAnsiTheme="minorHAnsi" w:cs="Arial"/>
                <w:b/>
                <w:color w:val="000000"/>
                <w:sz w:val="18"/>
                <w:szCs w:val="18"/>
                <w:lang w:eastAsia="hr-HR"/>
              </w:rPr>
              <w:t>Date of maturity</w:t>
            </w:r>
          </w:p>
        </w:tc>
        <w:tc>
          <w:tcPr>
            <w:tcW w:w="1261" w:type="dxa"/>
            <w:vMerge w:val="restart"/>
            <w:tcBorders>
              <w:left w:val="nil"/>
              <w:right w:val="nil"/>
            </w:tcBorders>
            <w:shd w:val="clear" w:color="auto" w:fill="auto"/>
            <w:vAlign w:val="center"/>
          </w:tcPr>
          <w:p w14:paraId="70322E77" w14:textId="77777777" w:rsidR="004B3CBB" w:rsidRPr="00F639EA" w:rsidRDefault="004B3CBB" w:rsidP="00F639EA">
            <w:pPr>
              <w:spacing w:after="0" w:line="240" w:lineRule="auto"/>
              <w:jc w:val="center"/>
              <w:rPr>
                <w:rFonts w:asciiTheme="minorHAnsi" w:eastAsia="Times New Roman" w:hAnsiTheme="minorHAnsi" w:cs="Arial"/>
                <w:b/>
                <w:color w:val="000000"/>
                <w:sz w:val="18"/>
                <w:szCs w:val="18"/>
                <w:lang w:eastAsia="hr-HR"/>
              </w:rPr>
            </w:pPr>
            <w:r w:rsidRPr="00F639EA">
              <w:rPr>
                <w:rFonts w:asciiTheme="minorHAnsi" w:eastAsia="Times New Roman" w:hAnsiTheme="minorHAnsi" w:cs="Arial"/>
                <w:b/>
                <w:color w:val="000000"/>
                <w:sz w:val="18"/>
                <w:szCs w:val="18"/>
                <w:lang w:eastAsia="hr-HR"/>
              </w:rPr>
              <w:t>Interest rate</w:t>
            </w:r>
          </w:p>
          <w:p w14:paraId="502D73E8" w14:textId="77777777" w:rsidR="004B3CBB" w:rsidRPr="00F639EA" w:rsidRDefault="004B3CBB" w:rsidP="00F639EA">
            <w:pPr>
              <w:spacing w:after="0" w:line="240" w:lineRule="auto"/>
              <w:jc w:val="center"/>
              <w:rPr>
                <w:rFonts w:asciiTheme="minorHAnsi" w:eastAsia="Times New Roman" w:hAnsiTheme="minorHAnsi" w:cs="Arial"/>
                <w:b/>
                <w:color w:val="000000"/>
                <w:sz w:val="18"/>
                <w:szCs w:val="18"/>
                <w:lang w:eastAsia="hr-HR"/>
              </w:rPr>
            </w:pPr>
            <w:r w:rsidRPr="00F639EA">
              <w:rPr>
                <w:rFonts w:asciiTheme="minorHAnsi" w:eastAsia="Times New Roman" w:hAnsiTheme="minorHAnsi" w:cs="Arial"/>
                <w:b/>
                <w:color w:val="000000"/>
                <w:sz w:val="18"/>
                <w:szCs w:val="18"/>
                <w:lang w:eastAsia="hr-HR"/>
              </w:rPr>
              <w:t>(%)</w:t>
            </w:r>
          </w:p>
        </w:tc>
        <w:tc>
          <w:tcPr>
            <w:tcW w:w="1033" w:type="dxa"/>
            <w:vMerge w:val="restart"/>
            <w:vAlign w:val="center"/>
          </w:tcPr>
          <w:p w14:paraId="7AC45BAD" w14:textId="320675AA" w:rsidR="004B3CBB" w:rsidRPr="00F639EA" w:rsidRDefault="00393EE5" w:rsidP="00F639EA">
            <w:pPr>
              <w:spacing w:after="0" w:line="240" w:lineRule="auto"/>
              <w:jc w:val="right"/>
              <w:rPr>
                <w:rFonts w:asciiTheme="minorHAnsi" w:eastAsia="Times New Roman" w:hAnsiTheme="minorHAnsi" w:cs="Arial"/>
                <w:b/>
                <w:color w:val="000000"/>
                <w:sz w:val="18"/>
                <w:szCs w:val="18"/>
                <w:lang w:eastAsia="hr-HR"/>
              </w:rPr>
            </w:pPr>
            <w:proofErr w:type="spellStart"/>
            <w:r>
              <w:rPr>
                <w:rFonts w:asciiTheme="minorHAnsi" w:eastAsia="Times New Roman" w:hAnsiTheme="minorHAnsi" w:cs="Arial"/>
                <w:b/>
                <w:sz w:val="18"/>
                <w:szCs w:val="18"/>
                <w:lang w:val="hr-HR"/>
              </w:rPr>
              <w:t>Sep</w:t>
            </w:r>
            <w:proofErr w:type="spellEnd"/>
            <w:r w:rsidRPr="00B85043">
              <w:rPr>
                <w:rFonts w:asciiTheme="minorHAnsi" w:eastAsia="Times New Roman" w:hAnsiTheme="minorHAnsi" w:cs="Arial"/>
                <w:b/>
                <w:sz w:val="18"/>
                <w:szCs w:val="18"/>
                <w:lang w:val="hr-HR"/>
              </w:rPr>
              <w:t xml:space="preserve"> </w:t>
            </w:r>
            <w:r w:rsidR="00B85043" w:rsidRPr="00B85043">
              <w:rPr>
                <w:rFonts w:asciiTheme="minorHAnsi" w:eastAsia="Times New Roman" w:hAnsiTheme="minorHAnsi" w:cs="Arial"/>
                <w:b/>
                <w:sz w:val="18"/>
                <w:szCs w:val="18"/>
                <w:lang w:val="hr-HR"/>
              </w:rPr>
              <w:t>30</w:t>
            </w:r>
            <w:r w:rsidR="00394384">
              <w:rPr>
                <w:rFonts w:asciiTheme="minorHAnsi" w:eastAsia="Times New Roman" w:hAnsiTheme="minorHAnsi" w:cs="Arial"/>
                <w:b/>
                <w:sz w:val="18"/>
                <w:szCs w:val="18"/>
                <w:lang w:val="hr-HR"/>
              </w:rPr>
              <w:t>,</w:t>
            </w:r>
            <w:r w:rsidR="004B3CBB">
              <w:rPr>
                <w:rFonts w:asciiTheme="minorHAnsi" w:eastAsia="Times New Roman" w:hAnsiTheme="minorHAnsi" w:cs="Arial"/>
                <w:b/>
                <w:sz w:val="18"/>
                <w:szCs w:val="18"/>
                <w:lang w:val="hr-HR"/>
              </w:rPr>
              <w:t xml:space="preserve"> </w:t>
            </w:r>
            <w:r w:rsidR="004B3CBB" w:rsidRPr="00F639EA">
              <w:rPr>
                <w:rFonts w:asciiTheme="minorHAnsi" w:eastAsia="Times New Roman" w:hAnsiTheme="minorHAnsi" w:cs="Arial"/>
                <w:b/>
                <w:sz w:val="18"/>
                <w:szCs w:val="18"/>
                <w:lang w:val="hr-HR"/>
              </w:rPr>
              <w:t>201</w:t>
            </w:r>
            <w:r w:rsidR="004B3CBB">
              <w:rPr>
                <w:rFonts w:asciiTheme="minorHAnsi" w:eastAsia="Times New Roman" w:hAnsiTheme="minorHAnsi" w:cs="Arial"/>
                <w:b/>
                <w:sz w:val="18"/>
                <w:szCs w:val="18"/>
                <w:lang w:val="hr-HR"/>
              </w:rPr>
              <w:t>7</w:t>
            </w:r>
          </w:p>
        </w:tc>
        <w:tc>
          <w:tcPr>
            <w:tcW w:w="1034" w:type="dxa"/>
            <w:vMerge w:val="restart"/>
            <w:vAlign w:val="center"/>
          </w:tcPr>
          <w:p w14:paraId="59FDF83A" w14:textId="77777777" w:rsidR="004B3CBB" w:rsidRPr="00F639EA" w:rsidRDefault="004B3CBB" w:rsidP="00F639EA">
            <w:pPr>
              <w:spacing w:after="0" w:line="240" w:lineRule="auto"/>
              <w:jc w:val="right"/>
              <w:rPr>
                <w:rFonts w:asciiTheme="minorHAnsi" w:eastAsia="Times New Roman" w:hAnsiTheme="minorHAnsi" w:cs="Arial"/>
                <w:b/>
                <w:color w:val="000000"/>
                <w:sz w:val="18"/>
                <w:szCs w:val="18"/>
                <w:lang w:eastAsia="hr-HR"/>
              </w:rPr>
            </w:pPr>
            <w:proofErr w:type="spellStart"/>
            <w:r>
              <w:rPr>
                <w:rFonts w:asciiTheme="minorHAnsi" w:eastAsia="Times New Roman" w:hAnsiTheme="minorHAnsi" w:cs="Arial"/>
                <w:b/>
                <w:sz w:val="18"/>
                <w:szCs w:val="18"/>
                <w:lang w:val="hr-HR"/>
              </w:rPr>
              <w:t>Dec</w:t>
            </w:r>
            <w:proofErr w:type="spellEnd"/>
            <w:r>
              <w:rPr>
                <w:rFonts w:asciiTheme="minorHAnsi" w:eastAsia="Times New Roman" w:hAnsiTheme="minorHAnsi" w:cs="Arial"/>
                <w:b/>
                <w:sz w:val="18"/>
                <w:szCs w:val="18"/>
                <w:lang w:val="hr-HR"/>
              </w:rPr>
              <w:t xml:space="preserve"> 31</w:t>
            </w:r>
            <w:r w:rsidR="00394384">
              <w:rPr>
                <w:rFonts w:asciiTheme="minorHAnsi" w:eastAsia="Times New Roman" w:hAnsiTheme="minorHAnsi" w:cs="Arial"/>
                <w:b/>
                <w:sz w:val="18"/>
                <w:szCs w:val="18"/>
                <w:lang w:val="hr-HR"/>
              </w:rPr>
              <w:t>,</w:t>
            </w:r>
            <w:r>
              <w:rPr>
                <w:rFonts w:asciiTheme="minorHAnsi" w:eastAsia="Times New Roman" w:hAnsiTheme="minorHAnsi" w:cs="Arial"/>
                <w:b/>
                <w:sz w:val="18"/>
                <w:szCs w:val="18"/>
                <w:lang w:val="hr-HR"/>
              </w:rPr>
              <w:t xml:space="preserve"> </w:t>
            </w:r>
            <w:r w:rsidRPr="00F639EA">
              <w:rPr>
                <w:rFonts w:asciiTheme="minorHAnsi" w:eastAsia="Times New Roman" w:hAnsiTheme="minorHAnsi" w:cs="Arial"/>
                <w:b/>
                <w:sz w:val="18"/>
                <w:szCs w:val="18"/>
                <w:lang w:val="hr-HR"/>
              </w:rPr>
              <w:t>201</w:t>
            </w:r>
            <w:r>
              <w:rPr>
                <w:rFonts w:asciiTheme="minorHAnsi" w:eastAsia="Times New Roman" w:hAnsiTheme="minorHAnsi" w:cs="Arial"/>
                <w:b/>
                <w:sz w:val="18"/>
                <w:szCs w:val="18"/>
                <w:lang w:val="hr-HR"/>
              </w:rPr>
              <w:t>6</w:t>
            </w:r>
          </w:p>
        </w:tc>
        <w:tc>
          <w:tcPr>
            <w:tcW w:w="1033" w:type="dxa"/>
            <w:vMerge w:val="restart"/>
            <w:vAlign w:val="center"/>
          </w:tcPr>
          <w:p w14:paraId="7F28B6FD" w14:textId="3CDCC77C" w:rsidR="004B3CBB" w:rsidRPr="00F639EA" w:rsidRDefault="00393EE5" w:rsidP="00F639EA">
            <w:pPr>
              <w:spacing w:after="0" w:line="240" w:lineRule="auto"/>
              <w:jc w:val="right"/>
              <w:rPr>
                <w:rFonts w:asciiTheme="minorHAnsi" w:eastAsia="Times New Roman" w:hAnsiTheme="minorHAnsi" w:cs="Arial"/>
                <w:b/>
                <w:color w:val="000000"/>
                <w:sz w:val="18"/>
                <w:szCs w:val="18"/>
                <w:lang w:eastAsia="hr-HR"/>
              </w:rPr>
            </w:pPr>
            <w:proofErr w:type="spellStart"/>
            <w:r>
              <w:rPr>
                <w:rFonts w:asciiTheme="minorHAnsi" w:eastAsia="Times New Roman" w:hAnsiTheme="minorHAnsi" w:cs="Arial"/>
                <w:b/>
                <w:sz w:val="18"/>
                <w:szCs w:val="18"/>
                <w:lang w:val="hr-HR"/>
              </w:rPr>
              <w:t>Sep</w:t>
            </w:r>
            <w:proofErr w:type="spellEnd"/>
            <w:r w:rsidRPr="00B85043">
              <w:rPr>
                <w:rFonts w:asciiTheme="minorHAnsi" w:eastAsia="Times New Roman" w:hAnsiTheme="minorHAnsi" w:cs="Arial"/>
                <w:b/>
                <w:sz w:val="18"/>
                <w:szCs w:val="18"/>
                <w:lang w:val="hr-HR"/>
              </w:rPr>
              <w:t xml:space="preserve"> </w:t>
            </w:r>
            <w:r w:rsidR="00B85043" w:rsidRPr="00B85043">
              <w:rPr>
                <w:rFonts w:asciiTheme="minorHAnsi" w:eastAsia="Times New Roman" w:hAnsiTheme="minorHAnsi" w:cs="Arial"/>
                <w:b/>
                <w:sz w:val="18"/>
                <w:szCs w:val="18"/>
                <w:lang w:val="hr-HR"/>
              </w:rPr>
              <w:t>30</w:t>
            </w:r>
            <w:r w:rsidR="00394384">
              <w:rPr>
                <w:rFonts w:asciiTheme="minorHAnsi" w:eastAsia="Times New Roman" w:hAnsiTheme="minorHAnsi" w:cs="Arial"/>
                <w:b/>
                <w:sz w:val="18"/>
                <w:szCs w:val="18"/>
                <w:lang w:val="hr-HR"/>
              </w:rPr>
              <w:t>,</w:t>
            </w:r>
            <w:r w:rsidR="004B3CBB">
              <w:rPr>
                <w:rFonts w:asciiTheme="minorHAnsi" w:eastAsia="Times New Roman" w:hAnsiTheme="minorHAnsi" w:cs="Arial"/>
                <w:b/>
                <w:sz w:val="18"/>
                <w:szCs w:val="18"/>
                <w:lang w:val="hr-HR"/>
              </w:rPr>
              <w:t xml:space="preserve"> </w:t>
            </w:r>
            <w:r w:rsidR="004B3CBB" w:rsidRPr="00F639EA">
              <w:rPr>
                <w:rFonts w:asciiTheme="minorHAnsi" w:eastAsia="Times New Roman" w:hAnsiTheme="minorHAnsi" w:cs="Arial"/>
                <w:b/>
                <w:sz w:val="18"/>
                <w:szCs w:val="18"/>
                <w:lang w:val="hr-HR"/>
              </w:rPr>
              <w:t>201</w:t>
            </w:r>
            <w:r w:rsidR="004B3CBB">
              <w:rPr>
                <w:rFonts w:asciiTheme="minorHAnsi" w:eastAsia="Times New Roman" w:hAnsiTheme="minorHAnsi" w:cs="Arial"/>
                <w:b/>
                <w:sz w:val="18"/>
                <w:szCs w:val="18"/>
                <w:lang w:val="hr-HR"/>
              </w:rPr>
              <w:t>7</w:t>
            </w:r>
          </w:p>
        </w:tc>
        <w:tc>
          <w:tcPr>
            <w:tcW w:w="1035" w:type="dxa"/>
            <w:vMerge w:val="restart"/>
            <w:vAlign w:val="center"/>
          </w:tcPr>
          <w:p w14:paraId="5800F3A8" w14:textId="77777777" w:rsidR="004B3CBB" w:rsidRPr="00F639EA" w:rsidRDefault="004B3CBB" w:rsidP="00F639EA">
            <w:pPr>
              <w:spacing w:after="0" w:line="240" w:lineRule="auto"/>
              <w:jc w:val="right"/>
              <w:rPr>
                <w:rFonts w:asciiTheme="minorHAnsi" w:eastAsia="Times New Roman" w:hAnsiTheme="minorHAnsi" w:cs="Arial"/>
                <w:b/>
                <w:color w:val="000000"/>
                <w:sz w:val="18"/>
                <w:szCs w:val="18"/>
                <w:lang w:eastAsia="hr-HR"/>
              </w:rPr>
            </w:pPr>
            <w:proofErr w:type="spellStart"/>
            <w:r>
              <w:rPr>
                <w:rFonts w:asciiTheme="minorHAnsi" w:eastAsia="Times New Roman" w:hAnsiTheme="minorHAnsi" w:cs="Arial"/>
                <w:b/>
                <w:sz w:val="18"/>
                <w:szCs w:val="18"/>
                <w:lang w:val="hr-HR"/>
              </w:rPr>
              <w:t>Dec</w:t>
            </w:r>
            <w:proofErr w:type="spellEnd"/>
            <w:r>
              <w:rPr>
                <w:rFonts w:asciiTheme="minorHAnsi" w:eastAsia="Times New Roman" w:hAnsiTheme="minorHAnsi" w:cs="Arial"/>
                <w:b/>
                <w:sz w:val="18"/>
                <w:szCs w:val="18"/>
                <w:lang w:val="hr-HR"/>
              </w:rPr>
              <w:t xml:space="preserve"> 31</w:t>
            </w:r>
            <w:r w:rsidR="00394384">
              <w:rPr>
                <w:rFonts w:asciiTheme="minorHAnsi" w:eastAsia="Times New Roman" w:hAnsiTheme="minorHAnsi" w:cs="Arial"/>
                <w:b/>
                <w:sz w:val="18"/>
                <w:szCs w:val="18"/>
                <w:lang w:val="hr-HR"/>
              </w:rPr>
              <w:t>,</w:t>
            </w:r>
            <w:r>
              <w:rPr>
                <w:rFonts w:asciiTheme="minorHAnsi" w:eastAsia="Times New Roman" w:hAnsiTheme="minorHAnsi" w:cs="Arial"/>
                <w:b/>
                <w:sz w:val="18"/>
                <w:szCs w:val="18"/>
                <w:lang w:val="hr-HR"/>
              </w:rPr>
              <w:t xml:space="preserve"> </w:t>
            </w:r>
            <w:r w:rsidRPr="00F639EA">
              <w:rPr>
                <w:rFonts w:asciiTheme="minorHAnsi" w:eastAsia="Times New Roman" w:hAnsiTheme="minorHAnsi" w:cs="Arial"/>
                <w:b/>
                <w:sz w:val="18"/>
                <w:szCs w:val="18"/>
                <w:lang w:val="hr-HR"/>
              </w:rPr>
              <w:t>201</w:t>
            </w:r>
            <w:r>
              <w:rPr>
                <w:rFonts w:asciiTheme="minorHAnsi" w:eastAsia="Times New Roman" w:hAnsiTheme="minorHAnsi" w:cs="Arial"/>
                <w:b/>
                <w:sz w:val="18"/>
                <w:szCs w:val="18"/>
                <w:lang w:val="hr-HR"/>
              </w:rPr>
              <w:t>6</w:t>
            </w:r>
          </w:p>
        </w:tc>
      </w:tr>
      <w:tr w:rsidR="004B3CBB" w:rsidRPr="00F639EA" w14:paraId="75F0DF81" w14:textId="77777777" w:rsidTr="00166751">
        <w:trPr>
          <w:gridAfter w:val="1"/>
          <w:wAfter w:w="1035" w:type="dxa"/>
          <w:trHeight w:hRule="exact" w:val="287"/>
        </w:trPr>
        <w:tc>
          <w:tcPr>
            <w:tcW w:w="2836" w:type="dxa"/>
            <w:tcBorders>
              <w:left w:val="nil"/>
              <w:right w:val="nil"/>
            </w:tcBorders>
            <w:shd w:val="clear" w:color="auto" w:fill="auto"/>
            <w:noWrap/>
            <w:vAlign w:val="bottom"/>
          </w:tcPr>
          <w:p w14:paraId="3733283C" w14:textId="77777777" w:rsidR="004B3CBB" w:rsidRPr="00F639EA" w:rsidRDefault="004B3CBB" w:rsidP="00F639EA">
            <w:pPr>
              <w:spacing w:after="0" w:line="240" w:lineRule="auto"/>
              <w:jc w:val="both"/>
              <w:rPr>
                <w:rFonts w:asciiTheme="minorHAnsi" w:eastAsia="Times New Roman" w:hAnsiTheme="minorHAnsi" w:cs="Arial"/>
                <w:color w:val="000000"/>
                <w:sz w:val="18"/>
                <w:szCs w:val="18"/>
                <w:lang w:eastAsia="hr-HR"/>
              </w:rPr>
            </w:pPr>
          </w:p>
        </w:tc>
        <w:tc>
          <w:tcPr>
            <w:tcW w:w="1134" w:type="dxa"/>
            <w:vMerge/>
            <w:tcBorders>
              <w:left w:val="nil"/>
              <w:right w:val="nil"/>
            </w:tcBorders>
            <w:shd w:val="clear" w:color="auto" w:fill="auto"/>
            <w:vAlign w:val="center"/>
          </w:tcPr>
          <w:p w14:paraId="409B5898" w14:textId="77777777" w:rsidR="004B3CBB" w:rsidRPr="00F639EA" w:rsidRDefault="004B3CBB" w:rsidP="00F639EA">
            <w:pPr>
              <w:spacing w:after="0" w:line="240" w:lineRule="auto"/>
              <w:jc w:val="center"/>
              <w:rPr>
                <w:rFonts w:asciiTheme="minorHAnsi" w:eastAsia="Times New Roman" w:hAnsiTheme="minorHAnsi" w:cs="Arial"/>
                <w:b/>
                <w:color w:val="000000"/>
                <w:sz w:val="18"/>
                <w:szCs w:val="18"/>
                <w:lang w:eastAsia="hr-HR"/>
              </w:rPr>
            </w:pPr>
          </w:p>
        </w:tc>
        <w:tc>
          <w:tcPr>
            <w:tcW w:w="1134" w:type="dxa"/>
            <w:vMerge/>
            <w:tcBorders>
              <w:left w:val="nil"/>
              <w:right w:val="nil"/>
            </w:tcBorders>
            <w:shd w:val="clear" w:color="auto" w:fill="auto"/>
            <w:vAlign w:val="center"/>
          </w:tcPr>
          <w:p w14:paraId="22A28E0C" w14:textId="77777777" w:rsidR="004B3CBB" w:rsidRPr="00F639EA" w:rsidRDefault="004B3CBB" w:rsidP="00F639EA">
            <w:pPr>
              <w:spacing w:after="0" w:line="240" w:lineRule="auto"/>
              <w:jc w:val="center"/>
              <w:rPr>
                <w:rFonts w:asciiTheme="minorHAnsi" w:eastAsia="Times New Roman" w:hAnsiTheme="minorHAnsi" w:cs="Arial"/>
                <w:b/>
                <w:color w:val="000000"/>
                <w:sz w:val="18"/>
                <w:szCs w:val="18"/>
                <w:lang w:eastAsia="hr-HR"/>
              </w:rPr>
            </w:pPr>
          </w:p>
        </w:tc>
        <w:tc>
          <w:tcPr>
            <w:tcW w:w="1261" w:type="dxa"/>
            <w:vMerge/>
            <w:tcBorders>
              <w:left w:val="nil"/>
            </w:tcBorders>
            <w:shd w:val="clear" w:color="auto" w:fill="auto"/>
            <w:vAlign w:val="center"/>
          </w:tcPr>
          <w:p w14:paraId="51301922" w14:textId="77777777" w:rsidR="004B3CBB" w:rsidRPr="00F639EA" w:rsidRDefault="004B3CBB" w:rsidP="00F639EA">
            <w:pPr>
              <w:spacing w:after="0" w:line="240" w:lineRule="auto"/>
              <w:jc w:val="center"/>
              <w:rPr>
                <w:rFonts w:asciiTheme="minorHAnsi" w:eastAsia="Times New Roman" w:hAnsiTheme="minorHAnsi" w:cs="Arial"/>
                <w:b/>
                <w:color w:val="000000"/>
                <w:sz w:val="18"/>
                <w:szCs w:val="18"/>
                <w:lang w:eastAsia="hr-HR"/>
              </w:rPr>
            </w:pPr>
          </w:p>
        </w:tc>
        <w:tc>
          <w:tcPr>
            <w:tcW w:w="1033" w:type="dxa"/>
            <w:vMerge/>
            <w:vAlign w:val="center"/>
          </w:tcPr>
          <w:p w14:paraId="3D40FEB9" w14:textId="77777777" w:rsidR="004B3CBB" w:rsidRPr="00F639EA" w:rsidRDefault="004B3CBB" w:rsidP="00F639EA">
            <w:pPr>
              <w:tabs>
                <w:tab w:val="right" w:pos="1202"/>
              </w:tabs>
              <w:spacing w:after="0" w:line="240" w:lineRule="atLeast"/>
              <w:jc w:val="right"/>
              <w:outlineLvl w:val="0"/>
              <w:rPr>
                <w:rFonts w:asciiTheme="minorHAnsi" w:eastAsia="Times New Roman" w:hAnsiTheme="minorHAnsi" w:cs="Arial"/>
                <w:b/>
                <w:sz w:val="18"/>
                <w:szCs w:val="18"/>
              </w:rPr>
            </w:pPr>
          </w:p>
        </w:tc>
        <w:tc>
          <w:tcPr>
            <w:tcW w:w="1034" w:type="dxa"/>
            <w:vMerge/>
            <w:vAlign w:val="center"/>
          </w:tcPr>
          <w:p w14:paraId="0178E317" w14:textId="77777777" w:rsidR="004B3CBB" w:rsidRPr="00F639EA" w:rsidRDefault="004B3CBB" w:rsidP="00F639EA">
            <w:pPr>
              <w:tabs>
                <w:tab w:val="right" w:pos="1202"/>
              </w:tabs>
              <w:spacing w:after="0" w:line="240" w:lineRule="atLeast"/>
              <w:jc w:val="right"/>
              <w:outlineLvl w:val="0"/>
              <w:rPr>
                <w:rFonts w:asciiTheme="minorHAnsi" w:eastAsia="Times New Roman" w:hAnsiTheme="minorHAnsi" w:cs="Arial"/>
                <w:b/>
                <w:sz w:val="18"/>
                <w:szCs w:val="18"/>
              </w:rPr>
            </w:pPr>
          </w:p>
        </w:tc>
        <w:tc>
          <w:tcPr>
            <w:tcW w:w="1033" w:type="dxa"/>
            <w:vMerge/>
            <w:shd w:val="clear" w:color="auto" w:fill="auto"/>
            <w:vAlign w:val="center"/>
          </w:tcPr>
          <w:p w14:paraId="15ACA1B4" w14:textId="77777777" w:rsidR="004B3CBB" w:rsidRPr="00F639EA" w:rsidRDefault="004B3CBB" w:rsidP="00F639EA">
            <w:pPr>
              <w:tabs>
                <w:tab w:val="right" w:pos="1202"/>
              </w:tabs>
              <w:spacing w:after="0" w:line="240" w:lineRule="atLeast"/>
              <w:jc w:val="right"/>
              <w:outlineLvl w:val="0"/>
              <w:rPr>
                <w:rFonts w:asciiTheme="minorHAnsi" w:eastAsia="Times New Roman" w:hAnsiTheme="minorHAnsi" w:cs="Arial"/>
                <w:b/>
                <w:sz w:val="18"/>
                <w:szCs w:val="18"/>
              </w:rPr>
            </w:pPr>
          </w:p>
        </w:tc>
        <w:tc>
          <w:tcPr>
            <w:tcW w:w="1035" w:type="dxa"/>
            <w:vMerge/>
            <w:vAlign w:val="center"/>
          </w:tcPr>
          <w:p w14:paraId="1AC440A6" w14:textId="77777777" w:rsidR="004B3CBB" w:rsidRPr="00F639EA" w:rsidRDefault="004B3CBB" w:rsidP="00F639EA">
            <w:pPr>
              <w:tabs>
                <w:tab w:val="right" w:pos="1202"/>
              </w:tabs>
              <w:spacing w:after="0" w:line="240" w:lineRule="atLeast"/>
              <w:jc w:val="right"/>
              <w:outlineLvl w:val="0"/>
              <w:rPr>
                <w:rFonts w:asciiTheme="minorHAnsi" w:eastAsia="Times New Roman" w:hAnsiTheme="minorHAnsi" w:cs="Arial"/>
                <w:b/>
                <w:sz w:val="18"/>
                <w:szCs w:val="18"/>
              </w:rPr>
            </w:pPr>
          </w:p>
        </w:tc>
      </w:tr>
      <w:tr w:rsidR="004B3CBB" w:rsidRPr="00F639EA" w14:paraId="1D23587D" w14:textId="77777777" w:rsidTr="00166751">
        <w:trPr>
          <w:gridAfter w:val="1"/>
          <w:wAfter w:w="1035" w:type="dxa"/>
          <w:trHeight w:hRule="exact" w:val="309"/>
        </w:trPr>
        <w:tc>
          <w:tcPr>
            <w:tcW w:w="2836" w:type="dxa"/>
            <w:tcBorders>
              <w:top w:val="nil"/>
              <w:left w:val="nil"/>
              <w:bottom w:val="nil"/>
              <w:right w:val="nil"/>
            </w:tcBorders>
            <w:shd w:val="clear" w:color="auto" w:fill="auto"/>
            <w:noWrap/>
            <w:vAlign w:val="center"/>
            <w:hideMark/>
          </w:tcPr>
          <w:p w14:paraId="34BB4D17" w14:textId="77777777" w:rsidR="004B3CBB" w:rsidRPr="00F639EA" w:rsidRDefault="004B3CBB" w:rsidP="00F639EA">
            <w:pPr>
              <w:spacing w:after="0" w:line="240" w:lineRule="auto"/>
              <w:rPr>
                <w:rFonts w:asciiTheme="minorHAnsi" w:eastAsia="Times New Roman" w:hAnsiTheme="minorHAnsi" w:cs="Arial"/>
                <w:b/>
                <w:bCs/>
                <w:sz w:val="18"/>
                <w:szCs w:val="18"/>
                <w:lang w:eastAsia="hr-HR"/>
              </w:rPr>
            </w:pPr>
            <w:r w:rsidRPr="00F639EA">
              <w:rPr>
                <w:rFonts w:asciiTheme="minorHAnsi" w:eastAsia="Times New Roman" w:hAnsiTheme="minorHAnsi" w:cs="Arial"/>
                <w:b/>
                <w:bCs/>
                <w:sz w:val="18"/>
                <w:szCs w:val="18"/>
                <w:lang w:eastAsia="hr-HR"/>
              </w:rPr>
              <w:t>Debt instruments:</w:t>
            </w:r>
          </w:p>
        </w:tc>
        <w:tc>
          <w:tcPr>
            <w:tcW w:w="1134" w:type="dxa"/>
            <w:tcBorders>
              <w:top w:val="nil"/>
              <w:left w:val="nil"/>
              <w:bottom w:val="nil"/>
              <w:right w:val="nil"/>
            </w:tcBorders>
            <w:shd w:val="clear" w:color="auto" w:fill="auto"/>
            <w:noWrap/>
            <w:vAlign w:val="bottom"/>
            <w:hideMark/>
          </w:tcPr>
          <w:p w14:paraId="108938E9" w14:textId="77777777" w:rsidR="004B3CBB" w:rsidRPr="00F639EA" w:rsidRDefault="004B3CBB" w:rsidP="00F639EA">
            <w:pPr>
              <w:spacing w:after="0" w:line="240" w:lineRule="auto"/>
              <w:jc w:val="center"/>
              <w:rPr>
                <w:rFonts w:asciiTheme="minorHAnsi" w:eastAsia="Times New Roman" w:hAnsiTheme="minorHAnsi" w:cs="Arial"/>
                <w:b/>
                <w:bCs/>
                <w:sz w:val="18"/>
                <w:szCs w:val="18"/>
                <w:lang w:eastAsia="hr-HR"/>
              </w:rPr>
            </w:pPr>
          </w:p>
        </w:tc>
        <w:tc>
          <w:tcPr>
            <w:tcW w:w="1134" w:type="dxa"/>
            <w:tcBorders>
              <w:top w:val="nil"/>
              <w:left w:val="nil"/>
              <w:bottom w:val="nil"/>
              <w:right w:val="nil"/>
            </w:tcBorders>
            <w:shd w:val="clear" w:color="auto" w:fill="auto"/>
            <w:noWrap/>
            <w:vAlign w:val="bottom"/>
            <w:hideMark/>
          </w:tcPr>
          <w:p w14:paraId="7B58F60B" w14:textId="77777777" w:rsidR="004B3CBB" w:rsidRPr="00F639EA" w:rsidRDefault="004B3CBB" w:rsidP="00F639EA">
            <w:pPr>
              <w:spacing w:after="0" w:line="240" w:lineRule="auto"/>
              <w:jc w:val="both"/>
              <w:rPr>
                <w:rFonts w:asciiTheme="minorHAnsi" w:eastAsia="Times New Roman" w:hAnsiTheme="minorHAnsi" w:cs="Arial"/>
                <w:b/>
                <w:bCs/>
                <w:sz w:val="18"/>
                <w:szCs w:val="18"/>
                <w:lang w:eastAsia="hr-HR"/>
              </w:rPr>
            </w:pPr>
          </w:p>
        </w:tc>
        <w:tc>
          <w:tcPr>
            <w:tcW w:w="1261" w:type="dxa"/>
            <w:tcBorders>
              <w:top w:val="nil"/>
              <w:left w:val="nil"/>
              <w:bottom w:val="nil"/>
              <w:right w:val="nil"/>
            </w:tcBorders>
            <w:shd w:val="clear" w:color="auto" w:fill="auto"/>
            <w:vAlign w:val="bottom"/>
            <w:hideMark/>
          </w:tcPr>
          <w:p w14:paraId="1EE3F511" w14:textId="77777777" w:rsidR="004B3CBB" w:rsidRPr="00F639EA" w:rsidRDefault="004B3CBB" w:rsidP="00F639EA">
            <w:pPr>
              <w:spacing w:after="0" w:line="240" w:lineRule="auto"/>
              <w:jc w:val="both"/>
              <w:rPr>
                <w:rFonts w:asciiTheme="minorHAnsi" w:eastAsia="Times New Roman" w:hAnsiTheme="minorHAnsi" w:cs="Arial"/>
                <w:color w:val="000000"/>
                <w:sz w:val="18"/>
                <w:szCs w:val="18"/>
                <w:lang w:eastAsia="hr-HR"/>
              </w:rPr>
            </w:pPr>
          </w:p>
        </w:tc>
        <w:tc>
          <w:tcPr>
            <w:tcW w:w="1033" w:type="dxa"/>
            <w:tcBorders>
              <w:top w:val="nil"/>
              <w:left w:val="nil"/>
              <w:bottom w:val="nil"/>
              <w:right w:val="nil"/>
            </w:tcBorders>
          </w:tcPr>
          <w:p w14:paraId="2A3D4466" w14:textId="77777777" w:rsidR="004B3CBB" w:rsidRPr="00F639EA" w:rsidRDefault="004B3CBB" w:rsidP="00F639EA">
            <w:pPr>
              <w:spacing w:after="0" w:line="240" w:lineRule="auto"/>
              <w:jc w:val="both"/>
              <w:rPr>
                <w:rFonts w:asciiTheme="minorHAnsi" w:eastAsia="Times New Roman" w:hAnsiTheme="minorHAnsi" w:cs="Arial"/>
                <w:color w:val="000000"/>
                <w:sz w:val="18"/>
                <w:szCs w:val="18"/>
                <w:lang w:eastAsia="hr-HR"/>
              </w:rPr>
            </w:pPr>
          </w:p>
        </w:tc>
        <w:tc>
          <w:tcPr>
            <w:tcW w:w="1034" w:type="dxa"/>
            <w:tcBorders>
              <w:top w:val="nil"/>
              <w:left w:val="nil"/>
              <w:bottom w:val="nil"/>
              <w:right w:val="nil"/>
            </w:tcBorders>
          </w:tcPr>
          <w:p w14:paraId="0B75D1E1" w14:textId="77777777" w:rsidR="004B3CBB" w:rsidRPr="00F639EA" w:rsidRDefault="004B3CBB" w:rsidP="00F639EA">
            <w:pPr>
              <w:spacing w:after="0" w:line="240" w:lineRule="auto"/>
              <w:jc w:val="both"/>
              <w:rPr>
                <w:rFonts w:asciiTheme="minorHAnsi" w:eastAsia="Times New Roman" w:hAnsiTheme="minorHAnsi" w:cs="Arial"/>
                <w:color w:val="000000"/>
                <w:sz w:val="18"/>
                <w:szCs w:val="18"/>
                <w:lang w:eastAsia="hr-HR"/>
              </w:rPr>
            </w:pPr>
          </w:p>
        </w:tc>
        <w:tc>
          <w:tcPr>
            <w:tcW w:w="1033" w:type="dxa"/>
            <w:tcBorders>
              <w:top w:val="nil"/>
              <w:left w:val="nil"/>
              <w:bottom w:val="nil"/>
              <w:right w:val="nil"/>
            </w:tcBorders>
            <w:shd w:val="clear" w:color="auto" w:fill="auto"/>
            <w:vAlign w:val="bottom"/>
            <w:hideMark/>
          </w:tcPr>
          <w:p w14:paraId="42014987" w14:textId="77777777" w:rsidR="004B3CBB" w:rsidRPr="00F639EA" w:rsidRDefault="004B3CBB" w:rsidP="00F639EA">
            <w:pPr>
              <w:spacing w:after="0" w:line="240" w:lineRule="auto"/>
              <w:jc w:val="both"/>
              <w:rPr>
                <w:rFonts w:asciiTheme="minorHAnsi" w:eastAsia="Times New Roman" w:hAnsiTheme="minorHAnsi" w:cs="Arial"/>
                <w:color w:val="000000"/>
                <w:sz w:val="18"/>
                <w:szCs w:val="18"/>
                <w:lang w:eastAsia="hr-HR"/>
              </w:rPr>
            </w:pPr>
          </w:p>
        </w:tc>
        <w:tc>
          <w:tcPr>
            <w:tcW w:w="1035" w:type="dxa"/>
            <w:tcBorders>
              <w:top w:val="nil"/>
              <w:left w:val="nil"/>
              <w:bottom w:val="nil"/>
              <w:right w:val="nil"/>
            </w:tcBorders>
            <w:vAlign w:val="bottom"/>
          </w:tcPr>
          <w:p w14:paraId="466EA100" w14:textId="77777777" w:rsidR="004B3CBB" w:rsidRPr="00F639EA" w:rsidRDefault="004B3CBB" w:rsidP="00F639EA">
            <w:pPr>
              <w:spacing w:after="0" w:line="240" w:lineRule="auto"/>
              <w:jc w:val="both"/>
              <w:rPr>
                <w:rFonts w:asciiTheme="minorHAnsi" w:eastAsia="Times New Roman" w:hAnsiTheme="minorHAnsi" w:cs="Arial"/>
                <w:color w:val="000000"/>
                <w:sz w:val="18"/>
                <w:szCs w:val="18"/>
                <w:lang w:eastAsia="hr-HR"/>
              </w:rPr>
            </w:pPr>
          </w:p>
        </w:tc>
      </w:tr>
      <w:tr w:rsidR="004B3CBB" w:rsidRPr="00F639EA" w14:paraId="3CA66502" w14:textId="77777777" w:rsidTr="00166751">
        <w:trPr>
          <w:gridAfter w:val="1"/>
          <w:wAfter w:w="1035" w:type="dxa"/>
          <w:trHeight w:hRule="exact" w:val="205"/>
        </w:trPr>
        <w:tc>
          <w:tcPr>
            <w:tcW w:w="2836" w:type="dxa"/>
            <w:tcBorders>
              <w:top w:val="nil"/>
              <w:left w:val="nil"/>
              <w:bottom w:val="nil"/>
              <w:right w:val="nil"/>
            </w:tcBorders>
            <w:shd w:val="clear" w:color="auto" w:fill="auto"/>
            <w:noWrap/>
            <w:vAlign w:val="bottom"/>
          </w:tcPr>
          <w:p w14:paraId="700684EE" w14:textId="77777777" w:rsidR="004B3CBB" w:rsidRPr="00F639EA" w:rsidRDefault="004B3CBB" w:rsidP="00F639EA">
            <w:pPr>
              <w:spacing w:after="0" w:line="240" w:lineRule="auto"/>
              <w:jc w:val="both"/>
              <w:rPr>
                <w:rFonts w:asciiTheme="minorHAnsi" w:eastAsia="Times New Roman" w:hAnsiTheme="minorHAnsi" w:cs="Arial"/>
                <w:bCs/>
                <w:sz w:val="18"/>
                <w:szCs w:val="18"/>
                <w:lang w:eastAsia="hr-HR"/>
              </w:rPr>
            </w:pPr>
            <w:r w:rsidRPr="00F639EA">
              <w:rPr>
                <w:rFonts w:asciiTheme="minorHAnsi" w:eastAsia="Times New Roman" w:hAnsiTheme="minorHAnsi" w:cs="Arial"/>
                <w:bCs/>
                <w:sz w:val="18"/>
                <w:szCs w:val="18"/>
                <w:lang w:eastAsia="hr-HR"/>
              </w:rPr>
              <w:t>Listed debt instruments:</w:t>
            </w:r>
          </w:p>
        </w:tc>
        <w:tc>
          <w:tcPr>
            <w:tcW w:w="1134" w:type="dxa"/>
            <w:tcBorders>
              <w:top w:val="nil"/>
              <w:left w:val="nil"/>
              <w:bottom w:val="nil"/>
              <w:right w:val="nil"/>
            </w:tcBorders>
            <w:shd w:val="clear" w:color="auto" w:fill="auto"/>
            <w:vAlign w:val="bottom"/>
          </w:tcPr>
          <w:p w14:paraId="45269047" w14:textId="77777777" w:rsidR="004B3CBB" w:rsidRPr="00F639EA" w:rsidRDefault="004B3CBB" w:rsidP="00F639EA">
            <w:pPr>
              <w:spacing w:after="0" w:line="240" w:lineRule="auto"/>
              <w:jc w:val="center"/>
              <w:rPr>
                <w:rFonts w:asciiTheme="minorHAnsi" w:eastAsia="Times New Roman" w:hAnsiTheme="minorHAnsi" w:cs="Arial"/>
                <w:b/>
                <w:bCs/>
                <w:sz w:val="18"/>
                <w:szCs w:val="18"/>
                <w:lang w:eastAsia="hr-HR"/>
              </w:rPr>
            </w:pPr>
          </w:p>
        </w:tc>
        <w:tc>
          <w:tcPr>
            <w:tcW w:w="1134" w:type="dxa"/>
            <w:tcBorders>
              <w:top w:val="nil"/>
              <w:left w:val="nil"/>
              <w:bottom w:val="nil"/>
              <w:right w:val="nil"/>
            </w:tcBorders>
            <w:shd w:val="clear" w:color="auto" w:fill="auto"/>
            <w:noWrap/>
            <w:vAlign w:val="bottom"/>
          </w:tcPr>
          <w:p w14:paraId="7379CA55" w14:textId="77777777" w:rsidR="004B3CBB" w:rsidRPr="00F639EA" w:rsidRDefault="004B3CBB" w:rsidP="00F639EA">
            <w:pPr>
              <w:spacing w:after="0" w:line="240" w:lineRule="auto"/>
              <w:jc w:val="both"/>
              <w:rPr>
                <w:rFonts w:asciiTheme="minorHAnsi" w:eastAsia="Times New Roman" w:hAnsiTheme="minorHAnsi" w:cs="Arial"/>
                <w:b/>
                <w:bCs/>
                <w:sz w:val="18"/>
                <w:szCs w:val="18"/>
                <w:lang w:eastAsia="hr-HR"/>
              </w:rPr>
            </w:pPr>
          </w:p>
        </w:tc>
        <w:tc>
          <w:tcPr>
            <w:tcW w:w="1261" w:type="dxa"/>
            <w:tcBorders>
              <w:top w:val="nil"/>
              <w:left w:val="nil"/>
              <w:bottom w:val="nil"/>
              <w:right w:val="nil"/>
            </w:tcBorders>
            <w:shd w:val="clear" w:color="auto" w:fill="auto"/>
            <w:vAlign w:val="bottom"/>
          </w:tcPr>
          <w:p w14:paraId="22541737" w14:textId="77777777" w:rsidR="004B3CBB" w:rsidRPr="00F639EA" w:rsidRDefault="004B3CBB" w:rsidP="00F639EA">
            <w:pPr>
              <w:spacing w:after="0" w:line="240" w:lineRule="auto"/>
              <w:jc w:val="both"/>
              <w:rPr>
                <w:rFonts w:asciiTheme="minorHAnsi" w:eastAsia="Times New Roman" w:hAnsiTheme="minorHAnsi" w:cs="Arial"/>
                <w:color w:val="000000"/>
                <w:sz w:val="18"/>
                <w:szCs w:val="18"/>
                <w:lang w:eastAsia="hr-HR"/>
              </w:rPr>
            </w:pPr>
          </w:p>
        </w:tc>
        <w:tc>
          <w:tcPr>
            <w:tcW w:w="1033" w:type="dxa"/>
            <w:tcBorders>
              <w:top w:val="nil"/>
              <w:left w:val="nil"/>
              <w:bottom w:val="nil"/>
              <w:right w:val="nil"/>
            </w:tcBorders>
          </w:tcPr>
          <w:p w14:paraId="0F0B6808" w14:textId="77777777" w:rsidR="004B3CBB" w:rsidRPr="00F639EA" w:rsidRDefault="004B3CBB" w:rsidP="00F639EA">
            <w:pPr>
              <w:spacing w:after="0" w:line="240" w:lineRule="auto"/>
              <w:jc w:val="both"/>
              <w:rPr>
                <w:rFonts w:asciiTheme="minorHAnsi" w:eastAsia="Times New Roman" w:hAnsiTheme="minorHAnsi" w:cs="Arial"/>
                <w:color w:val="000000"/>
                <w:sz w:val="18"/>
                <w:szCs w:val="18"/>
                <w:lang w:eastAsia="hr-HR"/>
              </w:rPr>
            </w:pPr>
          </w:p>
        </w:tc>
        <w:tc>
          <w:tcPr>
            <w:tcW w:w="1034" w:type="dxa"/>
            <w:tcBorders>
              <w:top w:val="nil"/>
              <w:left w:val="nil"/>
              <w:bottom w:val="nil"/>
              <w:right w:val="nil"/>
            </w:tcBorders>
          </w:tcPr>
          <w:p w14:paraId="43A2C695" w14:textId="77777777" w:rsidR="004B3CBB" w:rsidRPr="00F639EA" w:rsidRDefault="004B3CBB" w:rsidP="00F639EA">
            <w:pPr>
              <w:spacing w:after="0" w:line="240" w:lineRule="auto"/>
              <w:jc w:val="both"/>
              <w:rPr>
                <w:rFonts w:asciiTheme="minorHAnsi" w:eastAsia="Times New Roman" w:hAnsiTheme="minorHAnsi" w:cs="Arial"/>
                <w:color w:val="000000"/>
                <w:sz w:val="18"/>
                <w:szCs w:val="18"/>
                <w:lang w:eastAsia="hr-HR"/>
              </w:rPr>
            </w:pPr>
          </w:p>
        </w:tc>
        <w:tc>
          <w:tcPr>
            <w:tcW w:w="1033" w:type="dxa"/>
            <w:tcBorders>
              <w:top w:val="nil"/>
              <w:left w:val="nil"/>
              <w:bottom w:val="nil"/>
              <w:right w:val="nil"/>
            </w:tcBorders>
            <w:shd w:val="clear" w:color="auto" w:fill="auto"/>
          </w:tcPr>
          <w:p w14:paraId="56A92D80" w14:textId="77777777" w:rsidR="004B3CBB" w:rsidRPr="00F639EA" w:rsidRDefault="004B3CBB" w:rsidP="00F639EA">
            <w:pPr>
              <w:spacing w:after="0" w:line="240" w:lineRule="auto"/>
              <w:jc w:val="both"/>
              <w:rPr>
                <w:rFonts w:asciiTheme="minorHAnsi" w:eastAsia="Times New Roman" w:hAnsiTheme="minorHAnsi" w:cs="Arial"/>
                <w:color w:val="000000"/>
                <w:sz w:val="18"/>
                <w:szCs w:val="18"/>
                <w:lang w:eastAsia="hr-HR"/>
              </w:rPr>
            </w:pPr>
          </w:p>
        </w:tc>
        <w:tc>
          <w:tcPr>
            <w:tcW w:w="1035" w:type="dxa"/>
            <w:tcBorders>
              <w:top w:val="nil"/>
              <w:left w:val="nil"/>
              <w:bottom w:val="nil"/>
              <w:right w:val="nil"/>
            </w:tcBorders>
          </w:tcPr>
          <w:p w14:paraId="33436C81" w14:textId="77777777" w:rsidR="004B3CBB" w:rsidRPr="00F639EA" w:rsidRDefault="004B3CBB" w:rsidP="00F639EA">
            <w:pPr>
              <w:spacing w:after="0" w:line="240" w:lineRule="auto"/>
              <w:jc w:val="both"/>
              <w:rPr>
                <w:rFonts w:asciiTheme="minorHAnsi" w:eastAsia="Times New Roman" w:hAnsiTheme="minorHAnsi" w:cs="Arial"/>
                <w:color w:val="000000"/>
                <w:sz w:val="18"/>
                <w:szCs w:val="18"/>
                <w:lang w:eastAsia="hr-HR"/>
              </w:rPr>
            </w:pPr>
          </w:p>
        </w:tc>
      </w:tr>
      <w:tr w:rsidR="004B3CBB" w:rsidRPr="00F639EA" w14:paraId="02238E0F" w14:textId="77777777" w:rsidTr="00166751">
        <w:trPr>
          <w:gridAfter w:val="1"/>
          <w:wAfter w:w="1035" w:type="dxa"/>
          <w:trHeight w:hRule="exact" w:val="205"/>
        </w:trPr>
        <w:tc>
          <w:tcPr>
            <w:tcW w:w="5104" w:type="dxa"/>
            <w:gridSpan w:val="3"/>
            <w:tcBorders>
              <w:top w:val="nil"/>
              <w:left w:val="nil"/>
              <w:bottom w:val="nil"/>
              <w:right w:val="nil"/>
            </w:tcBorders>
            <w:shd w:val="clear" w:color="auto" w:fill="auto"/>
            <w:noWrap/>
            <w:vAlign w:val="bottom"/>
            <w:hideMark/>
          </w:tcPr>
          <w:p w14:paraId="567DD6E4" w14:textId="77777777" w:rsidR="004B3CBB" w:rsidRPr="00F639EA" w:rsidRDefault="004B3CBB" w:rsidP="00F639EA">
            <w:pPr>
              <w:spacing w:after="0" w:line="240" w:lineRule="auto"/>
              <w:jc w:val="both"/>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eastAsia="hr-HR"/>
              </w:rPr>
              <w:t>Bonds of the Republic of Croatia indexed to foreign currency:</w:t>
            </w:r>
          </w:p>
        </w:tc>
        <w:tc>
          <w:tcPr>
            <w:tcW w:w="1261" w:type="dxa"/>
            <w:tcBorders>
              <w:top w:val="nil"/>
              <w:left w:val="nil"/>
              <w:bottom w:val="nil"/>
              <w:right w:val="nil"/>
            </w:tcBorders>
            <w:shd w:val="clear" w:color="auto" w:fill="auto"/>
            <w:noWrap/>
            <w:vAlign w:val="bottom"/>
          </w:tcPr>
          <w:p w14:paraId="34A9C883" w14:textId="77777777" w:rsidR="004B3CBB" w:rsidRPr="00F639EA" w:rsidRDefault="004B3CBB" w:rsidP="00F639EA">
            <w:pPr>
              <w:spacing w:after="0" w:line="240" w:lineRule="auto"/>
              <w:jc w:val="right"/>
              <w:rPr>
                <w:rFonts w:asciiTheme="minorHAnsi" w:eastAsia="Times New Roman" w:hAnsiTheme="minorHAnsi" w:cs="Arial"/>
                <w:color w:val="000000"/>
                <w:sz w:val="18"/>
                <w:szCs w:val="18"/>
                <w:lang w:eastAsia="hr-HR"/>
              </w:rPr>
            </w:pPr>
          </w:p>
        </w:tc>
        <w:tc>
          <w:tcPr>
            <w:tcW w:w="1033" w:type="dxa"/>
            <w:tcBorders>
              <w:top w:val="nil"/>
              <w:left w:val="nil"/>
              <w:bottom w:val="nil"/>
              <w:right w:val="nil"/>
            </w:tcBorders>
          </w:tcPr>
          <w:p w14:paraId="707E21B4" w14:textId="77777777" w:rsidR="004B3CBB" w:rsidRPr="00F639EA" w:rsidRDefault="004B3CBB" w:rsidP="00F639EA">
            <w:pPr>
              <w:spacing w:after="0" w:line="240" w:lineRule="auto"/>
              <w:jc w:val="right"/>
              <w:rPr>
                <w:rFonts w:asciiTheme="minorHAnsi" w:eastAsia="Times New Roman" w:hAnsiTheme="minorHAnsi" w:cs="Arial"/>
                <w:color w:val="000000"/>
                <w:sz w:val="18"/>
                <w:szCs w:val="18"/>
                <w:lang w:eastAsia="hr-HR"/>
              </w:rPr>
            </w:pPr>
          </w:p>
        </w:tc>
        <w:tc>
          <w:tcPr>
            <w:tcW w:w="1034" w:type="dxa"/>
            <w:tcBorders>
              <w:top w:val="nil"/>
              <w:left w:val="nil"/>
              <w:bottom w:val="nil"/>
              <w:right w:val="nil"/>
            </w:tcBorders>
          </w:tcPr>
          <w:p w14:paraId="31DFE79C" w14:textId="77777777" w:rsidR="004B3CBB" w:rsidRPr="00F639EA" w:rsidRDefault="004B3CBB" w:rsidP="00F639EA">
            <w:pPr>
              <w:spacing w:after="0" w:line="240" w:lineRule="auto"/>
              <w:jc w:val="right"/>
              <w:rPr>
                <w:rFonts w:asciiTheme="minorHAnsi" w:eastAsia="Times New Roman" w:hAnsiTheme="minorHAnsi" w:cs="Arial"/>
                <w:color w:val="000000"/>
                <w:sz w:val="18"/>
                <w:szCs w:val="18"/>
                <w:lang w:eastAsia="hr-HR"/>
              </w:rPr>
            </w:pPr>
          </w:p>
        </w:tc>
        <w:tc>
          <w:tcPr>
            <w:tcW w:w="1033" w:type="dxa"/>
            <w:tcBorders>
              <w:top w:val="nil"/>
              <w:left w:val="nil"/>
              <w:bottom w:val="nil"/>
              <w:right w:val="nil"/>
            </w:tcBorders>
            <w:shd w:val="clear" w:color="auto" w:fill="auto"/>
            <w:noWrap/>
            <w:vAlign w:val="bottom"/>
          </w:tcPr>
          <w:p w14:paraId="75C510D4" w14:textId="77777777" w:rsidR="004B3CBB" w:rsidRPr="00F639EA" w:rsidRDefault="004B3CBB" w:rsidP="00F639EA">
            <w:pPr>
              <w:spacing w:after="0" w:line="240" w:lineRule="auto"/>
              <w:jc w:val="right"/>
              <w:rPr>
                <w:rFonts w:asciiTheme="minorHAnsi" w:eastAsia="Times New Roman" w:hAnsiTheme="minorHAnsi" w:cs="Arial"/>
                <w:color w:val="000000"/>
                <w:sz w:val="18"/>
                <w:szCs w:val="18"/>
                <w:lang w:eastAsia="hr-HR"/>
              </w:rPr>
            </w:pPr>
          </w:p>
        </w:tc>
        <w:tc>
          <w:tcPr>
            <w:tcW w:w="1035" w:type="dxa"/>
            <w:tcBorders>
              <w:top w:val="nil"/>
              <w:left w:val="nil"/>
              <w:bottom w:val="nil"/>
              <w:right w:val="nil"/>
            </w:tcBorders>
          </w:tcPr>
          <w:p w14:paraId="242387F5" w14:textId="77777777" w:rsidR="004B3CBB" w:rsidRPr="00F639EA" w:rsidRDefault="004B3CBB" w:rsidP="00F639EA">
            <w:pPr>
              <w:spacing w:after="0" w:line="240" w:lineRule="auto"/>
              <w:jc w:val="right"/>
              <w:rPr>
                <w:rFonts w:asciiTheme="minorHAnsi" w:eastAsia="Times New Roman" w:hAnsiTheme="minorHAnsi" w:cs="Arial"/>
                <w:color w:val="000000"/>
                <w:sz w:val="18"/>
                <w:szCs w:val="18"/>
                <w:lang w:eastAsia="hr-HR"/>
              </w:rPr>
            </w:pPr>
          </w:p>
        </w:tc>
      </w:tr>
      <w:tr w:rsidR="00F850F1" w:rsidRPr="00F639EA" w14:paraId="5E392516" w14:textId="77777777" w:rsidTr="006B318F">
        <w:trPr>
          <w:gridAfter w:val="1"/>
          <w:wAfter w:w="1035" w:type="dxa"/>
          <w:trHeight w:hRule="exact" w:val="205"/>
        </w:trPr>
        <w:tc>
          <w:tcPr>
            <w:tcW w:w="2836" w:type="dxa"/>
            <w:tcBorders>
              <w:top w:val="nil"/>
              <w:left w:val="nil"/>
              <w:bottom w:val="nil"/>
              <w:right w:val="nil"/>
            </w:tcBorders>
            <w:shd w:val="clear" w:color="auto" w:fill="auto"/>
            <w:noWrap/>
            <w:vAlign w:val="bottom"/>
            <w:hideMark/>
          </w:tcPr>
          <w:p w14:paraId="290D96F0" w14:textId="77777777" w:rsidR="00F850F1" w:rsidRPr="00F639EA" w:rsidRDefault="00F850F1" w:rsidP="00F850F1">
            <w:pPr>
              <w:spacing w:after="0" w:line="240" w:lineRule="auto"/>
              <w:jc w:val="right"/>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eastAsia="hr-HR"/>
              </w:rPr>
              <w:t>RHMF-O-19BA</w:t>
            </w:r>
          </w:p>
        </w:tc>
        <w:tc>
          <w:tcPr>
            <w:tcW w:w="1134" w:type="dxa"/>
            <w:tcBorders>
              <w:top w:val="nil"/>
              <w:left w:val="nil"/>
              <w:bottom w:val="nil"/>
              <w:right w:val="nil"/>
            </w:tcBorders>
            <w:shd w:val="clear" w:color="auto" w:fill="auto"/>
            <w:noWrap/>
            <w:vAlign w:val="bottom"/>
            <w:hideMark/>
          </w:tcPr>
          <w:p w14:paraId="09644597" w14:textId="77777777" w:rsidR="00F850F1" w:rsidRPr="00F639EA" w:rsidRDefault="00F850F1" w:rsidP="00F850F1">
            <w:pPr>
              <w:spacing w:after="0" w:line="240" w:lineRule="auto"/>
              <w:jc w:val="right"/>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eastAsia="hr-HR"/>
              </w:rPr>
              <w:t>29.11.2004</w:t>
            </w:r>
          </w:p>
        </w:tc>
        <w:tc>
          <w:tcPr>
            <w:tcW w:w="1134" w:type="dxa"/>
            <w:tcBorders>
              <w:top w:val="nil"/>
              <w:left w:val="nil"/>
              <w:bottom w:val="nil"/>
              <w:right w:val="nil"/>
            </w:tcBorders>
            <w:shd w:val="clear" w:color="auto" w:fill="auto"/>
            <w:noWrap/>
            <w:vAlign w:val="bottom"/>
            <w:hideMark/>
          </w:tcPr>
          <w:p w14:paraId="66CE7883" w14:textId="6D5A7806" w:rsidR="00F850F1" w:rsidRPr="00F639EA" w:rsidRDefault="00F850F1" w:rsidP="00F850F1">
            <w:pPr>
              <w:spacing w:after="0" w:line="240" w:lineRule="auto"/>
              <w:jc w:val="right"/>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eastAsia="hr-HR"/>
              </w:rPr>
              <w:t>29.11.2019</w:t>
            </w:r>
          </w:p>
        </w:tc>
        <w:tc>
          <w:tcPr>
            <w:tcW w:w="1261" w:type="dxa"/>
            <w:tcBorders>
              <w:top w:val="nil"/>
              <w:left w:val="nil"/>
              <w:bottom w:val="nil"/>
              <w:right w:val="nil"/>
            </w:tcBorders>
            <w:shd w:val="clear" w:color="auto" w:fill="auto"/>
            <w:noWrap/>
            <w:vAlign w:val="bottom"/>
          </w:tcPr>
          <w:p w14:paraId="19F21E72" w14:textId="77777777" w:rsidR="00F850F1" w:rsidRPr="00F639EA" w:rsidRDefault="00F850F1" w:rsidP="00F850F1">
            <w:pPr>
              <w:spacing w:after="0" w:line="240" w:lineRule="auto"/>
              <w:jc w:val="center"/>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eastAsia="hr-HR"/>
              </w:rPr>
              <w:t>5.375</w:t>
            </w:r>
          </w:p>
        </w:tc>
        <w:tc>
          <w:tcPr>
            <w:tcW w:w="1033" w:type="dxa"/>
            <w:tcBorders>
              <w:top w:val="nil"/>
              <w:left w:val="nil"/>
              <w:bottom w:val="nil"/>
              <w:right w:val="nil"/>
            </w:tcBorders>
            <w:shd w:val="clear" w:color="auto" w:fill="auto"/>
            <w:vAlign w:val="bottom"/>
          </w:tcPr>
          <w:p w14:paraId="7886C19E" w14:textId="7CDDB9E2"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6B318F">
              <w:rPr>
                <w:rFonts w:asciiTheme="minorHAnsi" w:eastAsia="Times New Roman" w:hAnsiTheme="minorHAnsi" w:cs="Arial"/>
                <w:sz w:val="18"/>
                <w:szCs w:val="18"/>
                <w:lang w:val="hr-HR"/>
              </w:rPr>
              <w:t>47,794</w:t>
            </w:r>
          </w:p>
        </w:tc>
        <w:tc>
          <w:tcPr>
            <w:tcW w:w="1034" w:type="dxa"/>
            <w:tcBorders>
              <w:top w:val="nil"/>
              <w:left w:val="nil"/>
              <w:bottom w:val="nil"/>
              <w:right w:val="nil"/>
            </w:tcBorders>
            <w:shd w:val="clear" w:color="auto" w:fill="auto"/>
            <w:vAlign w:val="bottom"/>
          </w:tcPr>
          <w:p w14:paraId="64BED22B" w14:textId="77777777"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48,602</w:t>
            </w:r>
          </w:p>
        </w:tc>
        <w:tc>
          <w:tcPr>
            <w:tcW w:w="1033" w:type="dxa"/>
            <w:tcBorders>
              <w:top w:val="nil"/>
              <w:left w:val="nil"/>
              <w:bottom w:val="nil"/>
              <w:right w:val="nil"/>
            </w:tcBorders>
            <w:shd w:val="clear" w:color="auto" w:fill="auto"/>
            <w:noWrap/>
            <w:vAlign w:val="bottom"/>
          </w:tcPr>
          <w:p w14:paraId="07919A8F" w14:textId="61310B23"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FE65B6">
              <w:rPr>
                <w:rFonts w:eastAsia="Times New Roman"/>
                <w:sz w:val="18"/>
                <w:szCs w:val="18"/>
                <w:lang w:val="en-US"/>
              </w:rPr>
              <w:t>46</w:t>
            </w:r>
            <w:r>
              <w:rPr>
                <w:rFonts w:eastAsia="Times New Roman"/>
                <w:sz w:val="18"/>
                <w:szCs w:val="18"/>
                <w:lang w:val="en-US"/>
              </w:rPr>
              <w:t>,</w:t>
            </w:r>
            <w:r w:rsidRPr="00FE65B6">
              <w:rPr>
                <w:rFonts w:eastAsia="Times New Roman"/>
                <w:sz w:val="18"/>
                <w:szCs w:val="18"/>
                <w:lang w:val="en-US"/>
              </w:rPr>
              <w:t>794</w:t>
            </w:r>
          </w:p>
        </w:tc>
        <w:tc>
          <w:tcPr>
            <w:tcW w:w="1035" w:type="dxa"/>
            <w:tcBorders>
              <w:top w:val="nil"/>
              <w:left w:val="nil"/>
              <w:bottom w:val="nil"/>
              <w:right w:val="nil"/>
            </w:tcBorders>
            <w:shd w:val="clear" w:color="auto" w:fill="auto"/>
            <w:vAlign w:val="bottom"/>
          </w:tcPr>
          <w:p w14:paraId="77E318BE" w14:textId="77777777"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47,588</w:t>
            </w:r>
          </w:p>
        </w:tc>
      </w:tr>
      <w:tr w:rsidR="00F850F1" w:rsidRPr="00F639EA" w14:paraId="6957D172" w14:textId="77777777" w:rsidTr="006B318F">
        <w:trPr>
          <w:gridAfter w:val="1"/>
          <w:wAfter w:w="1035" w:type="dxa"/>
          <w:trHeight w:hRule="exact" w:val="205"/>
        </w:trPr>
        <w:tc>
          <w:tcPr>
            <w:tcW w:w="2836" w:type="dxa"/>
            <w:tcBorders>
              <w:top w:val="nil"/>
              <w:left w:val="nil"/>
              <w:bottom w:val="nil"/>
              <w:right w:val="nil"/>
            </w:tcBorders>
            <w:shd w:val="clear" w:color="auto" w:fill="auto"/>
            <w:noWrap/>
            <w:vAlign w:val="bottom"/>
            <w:hideMark/>
          </w:tcPr>
          <w:p w14:paraId="5150A4C4" w14:textId="77777777" w:rsidR="00F850F1" w:rsidRPr="00F639EA" w:rsidRDefault="00F850F1" w:rsidP="00F850F1">
            <w:pPr>
              <w:spacing w:after="0" w:line="240" w:lineRule="auto"/>
              <w:jc w:val="right"/>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eastAsia="hr-HR"/>
              </w:rPr>
              <w:t>RHMF-O -227E</w:t>
            </w:r>
          </w:p>
        </w:tc>
        <w:tc>
          <w:tcPr>
            <w:tcW w:w="1134" w:type="dxa"/>
            <w:tcBorders>
              <w:top w:val="nil"/>
              <w:left w:val="nil"/>
              <w:bottom w:val="nil"/>
              <w:right w:val="nil"/>
            </w:tcBorders>
            <w:shd w:val="clear" w:color="auto" w:fill="auto"/>
            <w:noWrap/>
            <w:vAlign w:val="bottom"/>
            <w:hideMark/>
          </w:tcPr>
          <w:p w14:paraId="1DCDE300" w14:textId="64EC7DD2" w:rsidR="00F850F1" w:rsidRPr="00F639EA" w:rsidRDefault="00F850F1" w:rsidP="00F850F1">
            <w:pPr>
              <w:spacing w:after="0" w:line="240" w:lineRule="auto"/>
              <w:jc w:val="right"/>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eastAsia="hr-HR"/>
              </w:rPr>
              <w:t>22.7.2011</w:t>
            </w:r>
          </w:p>
        </w:tc>
        <w:tc>
          <w:tcPr>
            <w:tcW w:w="1134" w:type="dxa"/>
            <w:tcBorders>
              <w:top w:val="nil"/>
              <w:left w:val="nil"/>
              <w:bottom w:val="nil"/>
              <w:right w:val="nil"/>
            </w:tcBorders>
            <w:shd w:val="clear" w:color="auto" w:fill="auto"/>
            <w:noWrap/>
            <w:vAlign w:val="bottom"/>
            <w:hideMark/>
          </w:tcPr>
          <w:p w14:paraId="7E8A2AC6" w14:textId="5FA3D474" w:rsidR="00F850F1" w:rsidRPr="00F639EA" w:rsidRDefault="00F850F1" w:rsidP="00F850F1">
            <w:pPr>
              <w:spacing w:after="0" w:line="240" w:lineRule="auto"/>
              <w:jc w:val="right"/>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eastAsia="hr-HR"/>
              </w:rPr>
              <w:t>22.7.2022</w:t>
            </w:r>
          </w:p>
        </w:tc>
        <w:tc>
          <w:tcPr>
            <w:tcW w:w="1261" w:type="dxa"/>
            <w:tcBorders>
              <w:top w:val="nil"/>
              <w:left w:val="nil"/>
              <w:bottom w:val="nil"/>
              <w:right w:val="nil"/>
            </w:tcBorders>
            <w:shd w:val="clear" w:color="auto" w:fill="auto"/>
            <w:noWrap/>
            <w:vAlign w:val="bottom"/>
            <w:hideMark/>
          </w:tcPr>
          <w:p w14:paraId="1597DB7A" w14:textId="77777777" w:rsidR="00F850F1" w:rsidRPr="00F639EA" w:rsidRDefault="00F850F1" w:rsidP="00F850F1">
            <w:pPr>
              <w:spacing w:after="0" w:line="240" w:lineRule="auto"/>
              <w:jc w:val="center"/>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eastAsia="hr-HR"/>
              </w:rPr>
              <w:t>6.5</w:t>
            </w:r>
          </w:p>
        </w:tc>
        <w:tc>
          <w:tcPr>
            <w:tcW w:w="1033" w:type="dxa"/>
            <w:tcBorders>
              <w:top w:val="nil"/>
              <w:left w:val="nil"/>
              <w:bottom w:val="nil"/>
              <w:right w:val="nil"/>
            </w:tcBorders>
            <w:shd w:val="clear" w:color="auto" w:fill="auto"/>
            <w:vAlign w:val="bottom"/>
          </w:tcPr>
          <w:p w14:paraId="7DCBA05F" w14:textId="31851741"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6B318F">
              <w:rPr>
                <w:rFonts w:asciiTheme="minorHAnsi" w:eastAsia="Times New Roman" w:hAnsiTheme="minorHAnsi" w:cs="Arial"/>
                <w:sz w:val="18"/>
                <w:szCs w:val="18"/>
                <w:lang w:val="hr-HR"/>
              </w:rPr>
              <w:t>174,498</w:t>
            </w:r>
          </w:p>
        </w:tc>
        <w:tc>
          <w:tcPr>
            <w:tcW w:w="1034" w:type="dxa"/>
            <w:tcBorders>
              <w:top w:val="nil"/>
              <w:left w:val="nil"/>
              <w:bottom w:val="nil"/>
              <w:right w:val="nil"/>
            </w:tcBorders>
            <w:shd w:val="clear" w:color="auto" w:fill="auto"/>
            <w:vAlign w:val="bottom"/>
          </w:tcPr>
          <w:p w14:paraId="07D4608A" w14:textId="77777777"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172,432</w:t>
            </w:r>
          </w:p>
        </w:tc>
        <w:tc>
          <w:tcPr>
            <w:tcW w:w="1033" w:type="dxa"/>
            <w:tcBorders>
              <w:top w:val="nil"/>
              <w:left w:val="nil"/>
              <w:bottom w:val="nil"/>
              <w:right w:val="nil"/>
            </w:tcBorders>
            <w:shd w:val="clear" w:color="auto" w:fill="auto"/>
            <w:noWrap/>
            <w:vAlign w:val="bottom"/>
          </w:tcPr>
          <w:p w14:paraId="798843B4" w14:textId="59D9F4C6"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FE65B6">
              <w:rPr>
                <w:rFonts w:eastAsia="Times New Roman"/>
                <w:sz w:val="18"/>
                <w:szCs w:val="18"/>
                <w:lang w:val="en-US"/>
              </w:rPr>
              <w:t>174</w:t>
            </w:r>
            <w:r>
              <w:rPr>
                <w:rFonts w:eastAsia="Times New Roman"/>
                <w:sz w:val="18"/>
                <w:szCs w:val="18"/>
                <w:lang w:val="en-US"/>
              </w:rPr>
              <w:t>,</w:t>
            </w:r>
            <w:r w:rsidRPr="00FE65B6">
              <w:rPr>
                <w:rFonts w:eastAsia="Times New Roman"/>
                <w:sz w:val="18"/>
                <w:szCs w:val="18"/>
                <w:lang w:val="en-US"/>
              </w:rPr>
              <w:t>498</w:t>
            </w:r>
          </w:p>
        </w:tc>
        <w:tc>
          <w:tcPr>
            <w:tcW w:w="1035" w:type="dxa"/>
            <w:tcBorders>
              <w:top w:val="nil"/>
              <w:left w:val="nil"/>
              <w:bottom w:val="nil"/>
              <w:right w:val="nil"/>
            </w:tcBorders>
            <w:shd w:val="clear" w:color="auto" w:fill="auto"/>
            <w:vAlign w:val="bottom"/>
          </w:tcPr>
          <w:p w14:paraId="7B9A4BB8" w14:textId="77777777"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172,432</w:t>
            </w:r>
          </w:p>
        </w:tc>
      </w:tr>
      <w:tr w:rsidR="00F850F1" w:rsidRPr="00F639EA" w14:paraId="54493A2E" w14:textId="77777777" w:rsidTr="006B318F">
        <w:trPr>
          <w:gridAfter w:val="1"/>
          <w:wAfter w:w="1035" w:type="dxa"/>
          <w:trHeight w:hRule="exact" w:val="205"/>
        </w:trPr>
        <w:tc>
          <w:tcPr>
            <w:tcW w:w="2836" w:type="dxa"/>
            <w:tcBorders>
              <w:top w:val="nil"/>
              <w:left w:val="nil"/>
              <w:bottom w:val="nil"/>
              <w:right w:val="nil"/>
            </w:tcBorders>
            <w:shd w:val="clear" w:color="auto" w:fill="auto"/>
            <w:noWrap/>
            <w:vAlign w:val="bottom"/>
          </w:tcPr>
          <w:p w14:paraId="690AE923" w14:textId="77777777" w:rsidR="00F850F1" w:rsidRPr="00F639EA" w:rsidRDefault="00F850F1" w:rsidP="00F850F1">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en-US" w:eastAsia="hr-HR"/>
              </w:rPr>
              <w:t>RHMF-O-247E</w:t>
            </w:r>
          </w:p>
        </w:tc>
        <w:tc>
          <w:tcPr>
            <w:tcW w:w="1134" w:type="dxa"/>
            <w:tcBorders>
              <w:top w:val="nil"/>
              <w:left w:val="nil"/>
              <w:bottom w:val="nil"/>
              <w:right w:val="nil"/>
            </w:tcBorders>
            <w:shd w:val="clear" w:color="auto" w:fill="auto"/>
            <w:noWrap/>
            <w:vAlign w:val="bottom"/>
          </w:tcPr>
          <w:p w14:paraId="629EE50A" w14:textId="41868FC8" w:rsidR="00F850F1" w:rsidRPr="00F639EA" w:rsidRDefault="00F850F1" w:rsidP="00F850F1">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en-US" w:eastAsia="hr-HR"/>
              </w:rPr>
              <w:t>10.7.2013</w:t>
            </w:r>
          </w:p>
        </w:tc>
        <w:tc>
          <w:tcPr>
            <w:tcW w:w="1134" w:type="dxa"/>
            <w:tcBorders>
              <w:top w:val="nil"/>
              <w:left w:val="nil"/>
              <w:bottom w:val="nil"/>
              <w:right w:val="nil"/>
            </w:tcBorders>
            <w:shd w:val="clear" w:color="auto" w:fill="auto"/>
            <w:noWrap/>
            <w:vAlign w:val="bottom"/>
          </w:tcPr>
          <w:p w14:paraId="04C59E1B" w14:textId="6246B65C" w:rsidR="00F850F1" w:rsidRPr="00F639EA" w:rsidRDefault="00F850F1" w:rsidP="00F850F1">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en-US" w:eastAsia="hr-HR"/>
              </w:rPr>
              <w:t>10.7.2024</w:t>
            </w:r>
          </w:p>
        </w:tc>
        <w:tc>
          <w:tcPr>
            <w:tcW w:w="1261" w:type="dxa"/>
            <w:tcBorders>
              <w:top w:val="nil"/>
              <w:left w:val="nil"/>
              <w:bottom w:val="nil"/>
              <w:right w:val="nil"/>
            </w:tcBorders>
            <w:shd w:val="clear" w:color="auto" w:fill="auto"/>
            <w:noWrap/>
            <w:vAlign w:val="bottom"/>
          </w:tcPr>
          <w:p w14:paraId="2C4F33BF" w14:textId="77777777" w:rsidR="00F850F1" w:rsidRPr="00F639EA" w:rsidRDefault="00F850F1" w:rsidP="00F850F1">
            <w:pPr>
              <w:spacing w:after="0" w:line="240" w:lineRule="auto"/>
              <w:jc w:val="center"/>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en-US" w:eastAsia="hr-HR"/>
              </w:rPr>
              <w:t>5.75</w:t>
            </w:r>
          </w:p>
        </w:tc>
        <w:tc>
          <w:tcPr>
            <w:tcW w:w="1033" w:type="dxa"/>
            <w:tcBorders>
              <w:top w:val="nil"/>
              <w:left w:val="nil"/>
              <w:bottom w:val="nil"/>
              <w:right w:val="nil"/>
            </w:tcBorders>
            <w:shd w:val="clear" w:color="auto" w:fill="auto"/>
            <w:vAlign w:val="bottom"/>
          </w:tcPr>
          <w:p w14:paraId="7580FA3B" w14:textId="199039CE"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6B318F">
              <w:rPr>
                <w:rFonts w:asciiTheme="minorHAnsi" w:eastAsia="Times New Roman" w:hAnsiTheme="minorHAnsi" w:cs="Arial"/>
                <w:sz w:val="18"/>
                <w:szCs w:val="18"/>
                <w:lang w:val="hr-HR"/>
              </w:rPr>
              <w:t>18,195</w:t>
            </w:r>
          </w:p>
        </w:tc>
        <w:tc>
          <w:tcPr>
            <w:tcW w:w="1034" w:type="dxa"/>
            <w:tcBorders>
              <w:top w:val="nil"/>
              <w:left w:val="nil"/>
              <w:bottom w:val="nil"/>
              <w:right w:val="nil"/>
            </w:tcBorders>
            <w:shd w:val="clear" w:color="auto" w:fill="auto"/>
            <w:vAlign w:val="bottom"/>
          </w:tcPr>
          <w:p w14:paraId="700C8D16" w14:textId="77777777"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17,802</w:t>
            </w:r>
          </w:p>
        </w:tc>
        <w:tc>
          <w:tcPr>
            <w:tcW w:w="1033" w:type="dxa"/>
            <w:tcBorders>
              <w:top w:val="nil"/>
              <w:left w:val="nil"/>
              <w:bottom w:val="nil"/>
              <w:right w:val="nil"/>
            </w:tcBorders>
            <w:shd w:val="clear" w:color="auto" w:fill="auto"/>
            <w:noWrap/>
            <w:vAlign w:val="bottom"/>
          </w:tcPr>
          <w:p w14:paraId="2C8D7550" w14:textId="4D066090"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FE65B6">
              <w:rPr>
                <w:rFonts w:eastAsia="Times New Roman"/>
                <w:sz w:val="18"/>
                <w:szCs w:val="18"/>
                <w:lang w:val="en-US"/>
              </w:rPr>
              <w:t>12</w:t>
            </w:r>
            <w:r>
              <w:rPr>
                <w:rFonts w:eastAsia="Times New Roman"/>
                <w:sz w:val="18"/>
                <w:szCs w:val="18"/>
                <w:lang w:val="en-US"/>
              </w:rPr>
              <w:t>,</w:t>
            </w:r>
            <w:r w:rsidRPr="00FE65B6">
              <w:rPr>
                <w:rFonts w:eastAsia="Times New Roman"/>
                <w:sz w:val="18"/>
                <w:szCs w:val="18"/>
                <w:lang w:val="en-US"/>
              </w:rPr>
              <w:t>853</w:t>
            </w:r>
          </w:p>
        </w:tc>
        <w:tc>
          <w:tcPr>
            <w:tcW w:w="1035" w:type="dxa"/>
            <w:tcBorders>
              <w:top w:val="nil"/>
              <w:left w:val="nil"/>
              <w:bottom w:val="nil"/>
              <w:right w:val="nil"/>
            </w:tcBorders>
            <w:shd w:val="clear" w:color="auto" w:fill="auto"/>
            <w:vAlign w:val="bottom"/>
          </w:tcPr>
          <w:p w14:paraId="49DA3C54" w14:textId="77777777"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12,558</w:t>
            </w:r>
          </w:p>
        </w:tc>
      </w:tr>
      <w:tr w:rsidR="00F850F1" w:rsidRPr="00F639EA" w14:paraId="60F9AB52" w14:textId="77777777" w:rsidTr="006B318F">
        <w:trPr>
          <w:gridAfter w:val="1"/>
          <w:wAfter w:w="1035" w:type="dxa"/>
          <w:trHeight w:hRule="exact" w:val="205"/>
        </w:trPr>
        <w:tc>
          <w:tcPr>
            <w:tcW w:w="2836" w:type="dxa"/>
            <w:tcBorders>
              <w:top w:val="nil"/>
              <w:left w:val="nil"/>
              <w:bottom w:val="nil"/>
              <w:right w:val="nil"/>
            </w:tcBorders>
            <w:shd w:val="clear" w:color="auto" w:fill="auto"/>
            <w:noWrap/>
            <w:vAlign w:val="bottom"/>
          </w:tcPr>
          <w:p w14:paraId="1849E47C" w14:textId="77777777" w:rsidR="00F850F1" w:rsidRPr="00F639EA" w:rsidRDefault="00F850F1" w:rsidP="00F850F1">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eastAsia="hr-HR"/>
              </w:rPr>
              <w:t>RHMF-O-203E</w:t>
            </w:r>
          </w:p>
        </w:tc>
        <w:tc>
          <w:tcPr>
            <w:tcW w:w="1134" w:type="dxa"/>
            <w:tcBorders>
              <w:top w:val="nil"/>
              <w:left w:val="nil"/>
              <w:bottom w:val="nil"/>
              <w:right w:val="nil"/>
            </w:tcBorders>
            <w:shd w:val="clear" w:color="auto" w:fill="auto"/>
            <w:noWrap/>
            <w:vAlign w:val="bottom"/>
          </w:tcPr>
          <w:p w14:paraId="65CF207E" w14:textId="2D500620" w:rsidR="00F850F1" w:rsidRPr="00F639EA" w:rsidRDefault="00F850F1" w:rsidP="00F850F1">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hr-HR"/>
              </w:rPr>
              <w:t>5.3.2010</w:t>
            </w:r>
          </w:p>
        </w:tc>
        <w:tc>
          <w:tcPr>
            <w:tcW w:w="1134" w:type="dxa"/>
            <w:tcBorders>
              <w:top w:val="nil"/>
              <w:left w:val="nil"/>
              <w:bottom w:val="nil"/>
              <w:right w:val="nil"/>
            </w:tcBorders>
            <w:shd w:val="clear" w:color="auto" w:fill="auto"/>
            <w:noWrap/>
            <w:vAlign w:val="bottom"/>
          </w:tcPr>
          <w:p w14:paraId="561E6B7F" w14:textId="7207B3D7" w:rsidR="00F850F1" w:rsidRPr="00F639EA" w:rsidRDefault="00F850F1" w:rsidP="00F850F1">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hr-HR"/>
              </w:rPr>
              <w:t>5.3.2020</w:t>
            </w:r>
          </w:p>
        </w:tc>
        <w:tc>
          <w:tcPr>
            <w:tcW w:w="1261" w:type="dxa"/>
            <w:tcBorders>
              <w:top w:val="nil"/>
              <w:left w:val="nil"/>
              <w:bottom w:val="nil"/>
              <w:right w:val="nil"/>
            </w:tcBorders>
            <w:shd w:val="clear" w:color="auto" w:fill="auto"/>
            <w:noWrap/>
            <w:vAlign w:val="bottom"/>
          </w:tcPr>
          <w:p w14:paraId="680ECC4A" w14:textId="77777777" w:rsidR="00F850F1" w:rsidRPr="00F639EA" w:rsidRDefault="00F850F1" w:rsidP="00F850F1">
            <w:pPr>
              <w:spacing w:after="0" w:line="240" w:lineRule="auto"/>
              <w:jc w:val="center"/>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hr-HR"/>
              </w:rPr>
              <w:t>6.5</w:t>
            </w:r>
          </w:p>
        </w:tc>
        <w:tc>
          <w:tcPr>
            <w:tcW w:w="1033" w:type="dxa"/>
            <w:tcBorders>
              <w:top w:val="nil"/>
              <w:left w:val="nil"/>
              <w:bottom w:val="nil"/>
              <w:right w:val="nil"/>
            </w:tcBorders>
            <w:shd w:val="clear" w:color="auto" w:fill="auto"/>
            <w:vAlign w:val="bottom"/>
          </w:tcPr>
          <w:p w14:paraId="1AC014F7" w14:textId="08B34E28"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6B318F">
              <w:rPr>
                <w:rFonts w:asciiTheme="minorHAnsi" w:eastAsia="Times New Roman" w:hAnsiTheme="minorHAnsi" w:cs="Arial"/>
                <w:sz w:val="18"/>
                <w:szCs w:val="18"/>
                <w:lang w:val="hr-HR"/>
              </w:rPr>
              <w:t>865</w:t>
            </w:r>
          </w:p>
        </w:tc>
        <w:tc>
          <w:tcPr>
            <w:tcW w:w="1034" w:type="dxa"/>
            <w:tcBorders>
              <w:top w:val="nil"/>
              <w:left w:val="nil"/>
              <w:bottom w:val="nil"/>
              <w:right w:val="nil"/>
            </w:tcBorders>
            <w:shd w:val="clear" w:color="auto" w:fill="auto"/>
            <w:vAlign w:val="bottom"/>
          </w:tcPr>
          <w:p w14:paraId="55F118A7" w14:textId="77777777"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875</w:t>
            </w:r>
          </w:p>
        </w:tc>
        <w:tc>
          <w:tcPr>
            <w:tcW w:w="1033" w:type="dxa"/>
            <w:tcBorders>
              <w:top w:val="nil"/>
              <w:left w:val="nil"/>
              <w:bottom w:val="nil"/>
              <w:right w:val="nil"/>
            </w:tcBorders>
            <w:shd w:val="clear" w:color="auto" w:fill="auto"/>
            <w:noWrap/>
            <w:vAlign w:val="bottom"/>
          </w:tcPr>
          <w:p w14:paraId="1D4B9F1A" w14:textId="61C9FFD7" w:rsidR="00F850F1" w:rsidRPr="005444AA" w:rsidRDefault="00F850F1" w:rsidP="00F850F1">
            <w:pPr>
              <w:spacing w:after="0" w:line="240" w:lineRule="auto"/>
              <w:jc w:val="right"/>
              <w:rPr>
                <w:rFonts w:asciiTheme="minorHAnsi" w:eastAsia="Times New Roman" w:hAnsiTheme="minorHAnsi" w:cs="Arial"/>
                <w:sz w:val="18"/>
                <w:szCs w:val="18"/>
                <w:lang w:val="hr-HR"/>
              </w:rPr>
            </w:pPr>
            <w:r>
              <w:rPr>
                <w:rFonts w:eastAsia="Times New Roman"/>
                <w:sz w:val="18"/>
                <w:szCs w:val="18"/>
                <w:lang w:val="en-US"/>
              </w:rPr>
              <w:t>-</w:t>
            </w:r>
          </w:p>
        </w:tc>
        <w:tc>
          <w:tcPr>
            <w:tcW w:w="1035" w:type="dxa"/>
            <w:tcBorders>
              <w:top w:val="nil"/>
              <w:left w:val="nil"/>
              <w:bottom w:val="nil"/>
              <w:right w:val="nil"/>
            </w:tcBorders>
            <w:shd w:val="clear" w:color="auto" w:fill="auto"/>
            <w:vAlign w:val="bottom"/>
          </w:tcPr>
          <w:p w14:paraId="79237984" w14:textId="77777777"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w:t>
            </w:r>
          </w:p>
        </w:tc>
      </w:tr>
      <w:tr w:rsidR="00B85043" w:rsidRPr="00F639EA" w14:paraId="6ADADA12" w14:textId="77777777" w:rsidTr="006B318F">
        <w:trPr>
          <w:gridAfter w:val="1"/>
          <w:wAfter w:w="1035" w:type="dxa"/>
          <w:trHeight w:hRule="exact" w:val="205"/>
        </w:trPr>
        <w:tc>
          <w:tcPr>
            <w:tcW w:w="5104" w:type="dxa"/>
            <w:gridSpan w:val="3"/>
            <w:tcBorders>
              <w:top w:val="nil"/>
              <w:left w:val="nil"/>
              <w:bottom w:val="nil"/>
              <w:right w:val="nil"/>
            </w:tcBorders>
            <w:shd w:val="clear" w:color="auto" w:fill="auto"/>
            <w:noWrap/>
            <w:vAlign w:val="bottom"/>
            <w:hideMark/>
          </w:tcPr>
          <w:p w14:paraId="652E580E" w14:textId="77777777" w:rsidR="00B85043" w:rsidRPr="00F639EA" w:rsidRDefault="00B85043" w:rsidP="00B85043">
            <w:pPr>
              <w:spacing w:after="0" w:line="240" w:lineRule="auto"/>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eastAsia="hr-HR"/>
              </w:rPr>
              <w:t>Bonds of the Republic of Croatia in foreign currency:</w:t>
            </w:r>
          </w:p>
        </w:tc>
        <w:tc>
          <w:tcPr>
            <w:tcW w:w="1261" w:type="dxa"/>
            <w:tcBorders>
              <w:top w:val="nil"/>
              <w:left w:val="nil"/>
              <w:bottom w:val="nil"/>
              <w:right w:val="nil"/>
            </w:tcBorders>
            <w:shd w:val="clear" w:color="auto" w:fill="auto"/>
            <w:noWrap/>
            <w:vAlign w:val="bottom"/>
          </w:tcPr>
          <w:p w14:paraId="3DF5072C" w14:textId="77777777" w:rsidR="00B85043" w:rsidRPr="00F639EA" w:rsidRDefault="00B85043" w:rsidP="00B85043">
            <w:pPr>
              <w:spacing w:after="0" w:line="240" w:lineRule="auto"/>
              <w:jc w:val="center"/>
              <w:rPr>
                <w:rFonts w:asciiTheme="minorHAnsi" w:eastAsia="Times New Roman" w:hAnsiTheme="minorHAnsi" w:cs="Arial"/>
                <w:sz w:val="18"/>
                <w:szCs w:val="18"/>
                <w:lang w:eastAsia="hr-HR"/>
              </w:rPr>
            </w:pPr>
          </w:p>
        </w:tc>
        <w:tc>
          <w:tcPr>
            <w:tcW w:w="1033" w:type="dxa"/>
            <w:tcBorders>
              <w:top w:val="nil"/>
              <w:left w:val="nil"/>
              <w:bottom w:val="nil"/>
              <w:right w:val="nil"/>
            </w:tcBorders>
            <w:vAlign w:val="bottom"/>
          </w:tcPr>
          <w:p w14:paraId="7C210703" w14:textId="77777777" w:rsidR="00B85043" w:rsidRPr="005444AA" w:rsidRDefault="00B85043" w:rsidP="00B85043">
            <w:pPr>
              <w:spacing w:after="0" w:line="240" w:lineRule="auto"/>
              <w:jc w:val="right"/>
              <w:rPr>
                <w:rFonts w:asciiTheme="minorHAnsi" w:eastAsia="Times New Roman" w:hAnsiTheme="minorHAnsi" w:cs="Arial"/>
                <w:sz w:val="18"/>
                <w:szCs w:val="18"/>
                <w:lang w:val="hr-HR"/>
              </w:rPr>
            </w:pPr>
          </w:p>
        </w:tc>
        <w:tc>
          <w:tcPr>
            <w:tcW w:w="1034" w:type="dxa"/>
            <w:tcBorders>
              <w:top w:val="nil"/>
              <w:left w:val="nil"/>
              <w:bottom w:val="nil"/>
              <w:right w:val="nil"/>
            </w:tcBorders>
            <w:vAlign w:val="bottom"/>
          </w:tcPr>
          <w:p w14:paraId="1A16EABD" w14:textId="77777777" w:rsidR="00B85043" w:rsidRPr="005444AA" w:rsidRDefault="00B85043" w:rsidP="00B85043">
            <w:pPr>
              <w:spacing w:after="0" w:line="240" w:lineRule="auto"/>
              <w:jc w:val="right"/>
              <w:rPr>
                <w:rFonts w:asciiTheme="minorHAnsi" w:eastAsia="Times New Roman" w:hAnsiTheme="minorHAnsi" w:cs="Arial"/>
                <w:sz w:val="18"/>
                <w:szCs w:val="18"/>
                <w:lang w:val="hr-HR"/>
              </w:rPr>
            </w:pPr>
          </w:p>
        </w:tc>
        <w:tc>
          <w:tcPr>
            <w:tcW w:w="1033" w:type="dxa"/>
            <w:tcBorders>
              <w:top w:val="nil"/>
              <w:left w:val="nil"/>
              <w:bottom w:val="nil"/>
              <w:right w:val="nil"/>
            </w:tcBorders>
            <w:shd w:val="clear" w:color="auto" w:fill="auto"/>
            <w:noWrap/>
            <w:vAlign w:val="bottom"/>
          </w:tcPr>
          <w:p w14:paraId="7C3816D2" w14:textId="77777777" w:rsidR="00B85043" w:rsidRPr="005444AA" w:rsidRDefault="00B85043" w:rsidP="00B85043">
            <w:pPr>
              <w:spacing w:after="0" w:line="240" w:lineRule="auto"/>
              <w:jc w:val="right"/>
              <w:rPr>
                <w:rFonts w:asciiTheme="minorHAnsi" w:eastAsia="Times New Roman" w:hAnsiTheme="minorHAnsi" w:cs="Arial"/>
                <w:sz w:val="18"/>
                <w:szCs w:val="18"/>
                <w:lang w:val="hr-HR"/>
              </w:rPr>
            </w:pPr>
          </w:p>
        </w:tc>
        <w:tc>
          <w:tcPr>
            <w:tcW w:w="1035" w:type="dxa"/>
            <w:tcBorders>
              <w:top w:val="nil"/>
              <w:left w:val="nil"/>
              <w:bottom w:val="nil"/>
              <w:right w:val="nil"/>
            </w:tcBorders>
            <w:vAlign w:val="bottom"/>
          </w:tcPr>
          <w:p w14:paraId="0ED05F0B" w14:textId="77777777" w:rsidR="00B85043" w:rsidRPr="005444AA" w:rsidRDefault="00B85043" w:rsidP="00B85043">
            <w:pPr>
              <w:spacing w:after="0" w:line="240" w:lineRule="auto"/>
              <w:jc w:val="right"/>
              <w:rPr>
                <w:rFonts w:asciiTheme="minorHAnsi" w:eastAsia="Times New Roman" w:hAnsiTheme="minorHAnsi" w:cs="Arial"/>
                <w:sz w:val="18"/>
                <w:szCs w:val="18"/>
                <w:lang w:val="hr-HR"/>
              </w:rPr>
            </w:pPr>
          </w:p>
        </w:tc>
      </w:tr>
      <w:tr w:rsidR="00F850F1" w:rsidRPr="00F639EA" w14:paraId="2D7C9E78" w14:textId="77777777" w:rsidTr="006B318F">
        <w:trPr>
          <w:gridAfter w:val="1"/>
          <w:wAfter w:w="1035" w:type="dxa"/>
          <w:trHeight w:hRule="exact" w:val="205"/>
        </w:trPr>
        <w:tc>
          <w:tcPr>
            <w:tcW w:w="2836" w:type="dxa"/>
            <w:tcBorders>
              <w:top w:val="nil"/>
              <w:left w:val="nil"/>
              <w:bottom w:val="nil"/>
              <w:right w:val="nil"/>
            </w:tcBorders>
            <w:shd w:val="clear" w:color="auto" w:fill="auto"/>
            <w:noWrap/>
            <w:vAlign w:val="bottom"/>
            <w:hideMark/>
          </w:tcPr>
          <w:p w14:paraId="68ECE3C4" w14:textId="77777777" w:rsidR="00F850F1" w:rsidRPr="00F639EA" w:rsidRDefault="00F850F1" w:rsidP="00F850F1">
            <w:pPr>
              <w:spacing w:after="0" w:line="240" w:lineRule="auto"/>
              <w:jc w:val="right"/>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eastAsia="hr-HR"/>
              </w:rPr>
              <w:t>XS0645940288</w:t>
            </w:r>
          </w:p>
        </w:tc>
        <w:tc>
          <w:tcPr>
            <w:tcW w:w="1134" w:type="dxa"/>
            <w:tcBorders>
              <w:top w:val="nil"/>
              <w:left w:val="nil"/>
              <w:bottom w:val="nil"/>
              <w:right w:val="nil"/>
            </w:tcBorders>
            <w:shd w:val="clear" w:color="auto" w:fill="auto"/>
            <w:noWrap/>
            <w:vAlign w:val="bottom"/>
            <w:hideMark/>
          </w:tcPr>
          <w:p w14:paraId="62EAC086" w14:textId="1CD21F5C" w:rsidR="00F850F1" w:rsidRPr="00F639EA" w:rsidRDefault="00F850F1" w:rsidP="00F850F1">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eastAsia="hr-HR"/>
              </w:rPr>
              <w:t>8.7.2011</w:t>
            </w:r>
          </w:p>
        </w:tc>
        <w:tc>
          <w:tcPr>
            <w:tcW w:w="1134" w:type="dxa"/>
            <w:tcBorders>
              <w:top w:val="nil"/>
              <w:left w:val="nil"/>
              <w:bottom w:val="nil"/>
              <w:right w:val="nil"/>
            </w:tcBorders>
            <w:shd w:val="clear" w:color="auto" w:fill="auto"/>
            <w:noWrap/>
            <w:vAlign w:val="bottom"/>
            <w:hideMark/>
          </w:tcPr>
          <w:p w14:paraId="62E8CB37" w14:textId="4409CE49" w:rsidR="00F850F1" w:rsidRPr="00F639EA" w:rsidRDefault="00F850F1" w:rsidP="00F850F1">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eastAsia="hr-HR"/>
              </w:rPr>
              <w:t>9.7.2018</w:t>
            </w:r>
          </w:p>
        </w:tc>
        <w:tc>
          <w:tcPr>
            <w:tcW w:w="1261" w:type="dxa"/>
            <w:tcBorders>
              <w:top w:val="nil"/>
              <w:left w:val="nil"/>
              <w:bottom w:val="nil"/>
              <w:right w:val="nil"/>
            </w:tcBorders>
            <w:shd w:val="clear" w:color="auto" w:fill="auto"/>
            <w:noWrap/>
            <w:vAlign w:val="bottom"/>
            <w:hideMark/>
          </w:tcPr>
          <w:p w14:paraId="17C8E476" w14:textId="77777777" w:rsidR="00F850F1" w:rsidRPr="00F639EA" w:rsidRDefault="00F850F1" w:rsidP="00F850F1">
            <w:pPr>
              <w:spacing w:after="0" w:line="240" w:lineRule="auto"/>
              <w:jc w:val="center"/>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eastAsia="hr-HR"/>
              </w:rPr>
              <w:t>5.875</w:t>
            </w:r>
          </w:p>
        </w:tc>
        <w:tc>
          <w:tcPr>
            <w:tcW w:w="1033" w:type="dxa"/>
            <w:tcBorders>
              <w:top w:val="nil"/>
              <w:left w:val="nil"/>
              <w:bottom w:val="nil"/>
              <w:right w:val="nil"/>
            </w:tcBorders>
            <w:shd w:val="clear" w:color="auto" w:fill="auto"/>
            <w:vAlign w:val="bottom"/>
          </w:tcPr>
          <w:p w14:paraId="10F1306D" w14:textId="1D68B47F"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6B318F">
              <w:rPr>
                <w:rFonts w:asciiTheme="minorHAnsi" w:eastAsia="Times New Roman" w:hAnsiTheme="minorHAnsi" w:cs="Arial"/>
                <w:sz w:val="18"/>
                <w:szCs w:val="18"/>
                <w:lang w:val="hr-HR"/>
              </w:rPr>
              <w:t>54,760</w:t>
            </w:r>
          </w:p>
        </w:tc>
        <w:tc>
          <w:tcPr>
            <w:tcW w:w="1034" w:type="dxa"/>
            <w:tcBorders>
              <w:top w:val="nil"/>
              <w:left w:val="nil"/>
              <w:bottom w:val="nil"/>
              <w:right w:val="nil"/>
            </w:tcBorders>
            <w:shd w:val="clear" w:color="auto" w:fill="auto"/>
            <w:vAlign w:val="bottom"/>
          </w:tcPr>
          <w:p w14:paraId="0FDB89DC" w14:textId="77777777"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57,370</w:t>
            </w:r>
          </w:p>
        </w:tc>
        <w:tc>
          <w:tcPr>
            <w:tcW w:w="1033" w:type="dxa"/>
            <w:tcBorders>
              <w:top w:val="nil"/>
              <w:left w:val="nil"/>
              <w:bottom w:val="nil"/>
              <w:right w:val="nil"/>
            </w:tcBorders>
            <w:shd w:val="clear" w:color="auto" w:fill="auto"/>
            <w:noWrap/>
            <w:vAlign w:val="bottom"/>
          </w:tcPr>
          <w:p w14:paraId="7444829A" w14:textId="54E13A5C"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FE65B6">
              <w:rPr>
                <w:rFonts w:eastAsia="Times New Roman"/>
                <w:sz w:val="18"/>
                <w:szCs w:val="18"/>
                <w:lang w:val="en-US"/>
              </w:rPr>
              <w:t>54</w:t>
            </w:r>
            <w:r>
              <w:rPr>
                <w:rFonts w:eastAsia="Times New Roman"/>
                <w:sz w:val="18"/>
                <w:szCs w:val="18"/>
                <w:lang w:val="en-US"/>
              </w:rPr>
              <w:t>,</w:t>
            </w:r>
            <w:r w:rsidRPr="00FE65B6">
              <w:rPr>
                <w:rFonts w:eastAsia="Times New Roman"/>
                <w:sz w:val="18"/>
                <w:szCs w:val="18"/>
                <w:lang w:val="en-US"/>
              </w:rPr>
              <w:t>760</w:t>
            </w:r>
          </w:p>
        </w:tc>
        <w:tc>
          <w:tcPr>
            <w:tcW w:w="1035" w:type="dxa"/>
            <w:tcBorders>
              <w:top w:val="nil"/>
              <w:left w:val="nil"/>
              <w:bottom w:val="nil"/>
              <w:right w:val="nil"/>
            </w:tcBorders>
            <w:shd w:val="clear" w:color="auto" w:fill="auto"/>
            <w:vAlign w:val="bottom"/>
          </w:tcPr>
          <w:p w14:paraId="03534B4E" w14:textId="77777777"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57,370</w:t>
            </w:r>
          </w:p>
        </w:tc>
      </w:tr>
      <w:tr w:rsidR="00F850F1" w:rsidRPr="00F639EA" w14:paraId="3395600F" w14:textId="77777777" w:rsidTr="006B318F">
        <w:trPr>
          <w:gridAfter w:val="1"/>
          <w:wAfter w:w="1035" w:type="dxa"/>
          <w:trHeight w:hRule="exact" w:val="205"/>
        </w:trPr>
        <w:tc>
          <w:tcPr>
            <w:tcW w:w="2836" w:type="dxa"/>
            <w:tcBorders>
              <w:top w:val="nil"/>
              <w:left w:val="nil"/>
              <w:bottom w:val="nil"/>
              <w:right w:val="nil"/>
            </w:tcBorders>
            <w:shd w:val="clear" w:color="auto" w:fill="auto"/>
            <w:noWrap/>
            <w:vAlign w:val="bottom"/>
          </w:tcPr>
          <w:p w14:paraId="20D81EBD" w14:textId="77777777" w:rsidR="00F850F1" w:rsidRPr="00F639EA" w:rsidRDefault="00F850F1" w:rsidP="00F850F1">
            <w:pPr>
              <w:spacing w:after="0" w:line="240" w:lineRule="auto"/>
              <w:jc w:val="right"/>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val="en-US" w:eastAsia="hr-HR"/>
              </w:rPr>
              <w:t>XS0776179656</w:t>
            </w:r>
          </w:p>
        </w:tc>
        <w:tc>
          <w:tcPr>
            <w:tcW w:w="1134" w:type="dxa"/>
            <w:tcBorders>
              <w:top w:val="nil"/>
              <w:left w:val="nil"/>
              <w:bottom w:val="nil"/>
              <w:right w:val="nil"/>
            </w:tcBorders>
            <w:shd w:val="clear" w:color="auto" w:fill="auto"/>
            <w:noWrap/>
            <w:vAlign w:val="bottom"/>
          </w:tcPr>
          <w:p w14:paraId="1E200B89" w14:textId="3417D206" w:rsidR="00F850F1" w:rsidRPr="00F639EA" w:rsidRDefault="00F850F1" w:rsidP="00F850F1">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val="en-US" w:eastAsia="hr-HR"/>
              </w:rPr>
              <w:t>27.4.2012</w:t>
            </w:r>
          </w:p>
        </w:tc>
        <w:tc>
          <w:tcPr>
            <w:tcW w:w="1134" w:type="dxa"/>
            <w:tcBorders>
              <w:top w:val="nil"/>
              <w:left w:val="nil"/>
              <w:bottom w:val="nil"/>
              <w:right w:val="nil"/>
            </w:tcBorders>
            <w:shd w:val="clear" w:color="auto" w:fill="auto"/>
            <w:noWrap/>
            <w:vAlign w:val="bottom"/>
          </w:tcPr>
          <w:p w14:paraId="4E673633" w14:textId="10E10A52" w:rsidR="00F850F1" w:rsidRPr="00F639EA" w:rsidRDefault="00F850F1" w:rsidP="00F850F1">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val="en-US" w:eastAsia="hr-HR"/>
              </w:rPr>
              <w:t>27.4.2017</w:t>
            </w:r>
          </w:p>
        </w:tc>
        <w:tc>
          <w:tcPr>
            <w:tcW w:w="1261" w:type="dxa"/>
            <w:tcBorders>
              <w:top w:val="nil"/>
              <w:left w:val="nil"/>
              <w:bottom w:val="nil"/>
              <w:right w:val="nil"/>
            </w:tcBorders>
            <w:shd w:val="clear" w:color="auto" w:fill="auto"/>
            <w:noWrap/>
            <w:vAlign w:val="bottom"/>
          </w:tcPr>
          <w:p w14:paraId="68971B8A" w14:textId="77777777" w:rsidR="00F850F1" w:rsidRPr="00F639EA" w:rsidRDefault="00F850F1" w:rsidP="00F850F1">
            <w:pPr>
              <w:spacing w:after="0" w:line="240" w:lineRule="auto"/>
              <w:jc w:val="center"/>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val="en-US" w:eastAsia="hr-HR"/>
              </w:rPr>
              <w:t>6.25</w:t>
            </w:r>
          </w:p>
        </w:tc>
        <w:tc>
          <w:tcPr>
            <w:tcW w:w="1033" w:type="dxa"/>
            <w:tcBorders>
              <w:top w:val="nil"/>
              <w:left w:val="nil"/>
              <w:bottom w:val="nil"/>
              <w:right w:val="nil"/>
            </w:tcBorders>
            <w:shd w:val="clear" w:color="auto" w:fill="auto"/>
            <w:vAlign w:val="bottom"/>
          </w:tcPr>
          <w:p w14:paraId="0808753F" w14:textId="5F88CD89"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6B318F">
              <w:rPr>
                <w:rFonts w:asciiTheme="minorHAnsi" w:eastAsia="Times New Roman" w:hAnsiTheme="minorHAnsi" w:cs="Arial"/>
                <w:sz w:val="18"/>
                <w:szCs w:val="18"/>
                <w:lang w:val="hr-HR"/>
              </w:rPr>
              <w:t>-</w:t>
            </w:r>
          </w:p>
        </w:tc>
        <w:tc>
          <w:tcPr>
            <w:tcW w:w="1034" w:type="dxa"/>
            <w:tcBorders>
              <w:top w:val="nil"/>
              <w:left w:val="nil"/>
              <w:bottom w:val="nil"/>
              <w:right w:val="nil"/>
            </w:tcBorders>
            <w:shd w:val="clear" w:color="auto" w:fill="auto"/>
            <w:vAlign w:val="bottom"/>
          </w:tcPr>
          <w:p w14:paraId="4786ABE2" w14:textId="77777777"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14,529</w:t>
            </w:r>
          </w:p>
        </w:tc>
        <w:tc>
          <w:tcPr>
            <w:tcW w:w="1033" w:type="dxa"/>
            <w:tcBorders>
              <w:top w:val="nil"/>
              <w:left w:val="nil"/>
              <w:bottom w:val="nil"/>
              <w:right w:val="nil"/>
            </w:tcBorders>
            <w:shd w:val="clear" w:color="auto" w:fill="auto"/>
            <w:noWrap/>
            <w:vAlign w:val="bottom"/>
          </w:tcPr>
          <w:p w14:paraId="147CC735" w14:textId="1E41F31D"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FE65B6">
              <w:rPr>
                <w:rFonts w:eastAsia="Times New Roman"/>
                <w:sz w:val="18"/>
                <w:szCs w:val="18"/>
                <w:lang w:val="en-US"/>
              </w:rPr>
              <w:t>-</w:t>
            </w:r>
          </w:p>
        </w:tc>
        <w:tc>
          <w:tcPr>
            <w:tcW w:w="1035" w:type="dxa"/>
            <w:tcBorders>
              <w:top w:val="nil"/>
              <w:left w:val="nil"/>
              <w:bottom w:val="nil"/>
              <w:right w:val="nil"/>
            </w:tcBorders>
            <w:shd w:val="clear" w:color="auto" w:fill="auto"/>
            <w:vAlign w:val="bottom"/>
          </w:tcPr>
          <w:p w14:paraId="11F30862" w14:textId="77777777"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14,529</w:t>
            </w:r>
          </w:p>
        </w:tc>
      </w:tr>
      <w:tr w:rsidR="00F850F1" w:rsidRPr="00F639EA" w14:paraId="37DB82A2" w14:textId="77777777" w:rsidTr="006B318F">
        <w:trPr>
          <w:gridAfter w:val="1"/>
          <w:wAfter w:w="1035" w:type="dxa"/>
          <w:trHeight w:hRule="exact" w:val="205"/>
        </w:trPr>
        <w:tc>
          <w:tcPr>
            <w:tcW w:w="2836" w:type="dxa"/>
            <w:tcBorders>
              <w:top w:val="nil"/>
              <w:left w:val="nil"/>
              <w:bottom w:val="nil"/>
              <w:right w:val="nil"/>
            </w:tcBorders>
            <w:shd w:val="clear" w:color="auto" w:fill="auto"/>
            <w:noWrap/>
            <w:vAlign w:val="bottom"/>
          </w:tcPr>
          <w:p w14:paraId="0492EBBB" w14:textId="77777777" w:rsidR="00F850F1" w:rsidRPr="00F639EA" w:rsidRDefault="00F850F1" w:rsidP="00F850F1">
            <w:pPr>
              <w:spacing w:after="0" w:line="240" w:lineRule="auto"/>
              <w:jc w:val="right"/>
              <w:rPr>
                <w:rFonts w:asciiTheme="minorHAnsi" w:eastAsia="Times New Roman" w:hAnsiTheme="minorHAnsi" w:cs="Arial"/>
                <w:sz w:val="18"/>
                <w:szCs w:val="18"/>
                <w:lang w:val="en-US" w:eastAsia="hr-HR"/>
              </w:rPr>
            </w:pPr>
            <w:r w:rsidRPr="00F639EA">
              <w:rPr>
                <w:rFonts w:asciiTheme="minorHAnsi" w:eastAsia="Times New Roman" w:hAnsiTheme="minorHAnsi" w:cs="Arial"/>
                <w:sz w:val="18"/>
                <w:szCs w:val="18"/>
                <w:lang w:val="en-US" w:eastAsia="hr-HR"/>
              </w:rPr>
              <w:t>XS1117298916</w:t>
            </w:r>
          </w:p>
        </w:tc>
        <w:tc>
          <w:tcPr>
            <w:tcW w:w="1134" w:type="dxa"/>
            <w:tcBorders>
              <w:top w:val="nil"/>
              <w:left w:val="nil"/>
              <w:bottom w:val="nil"/>
              <w:right w:val="nil"/>
            </w:tcBorders>
            <w:shd w:val="clear" w:color="auto" w:fill="auto"/>
            <w:noWrap/>
            <w:vAlign w:val="bottom"/>
          </w:tcPr>
          <w:p w14:paraId="136A14F7" w14:textId="05B69683" w:rsidR="00F850F1" w:rsidRPr="00F639EA" w:rsidRDefault="00F850F1" w:rsidP="00F850F1">
            <w:pPr>
              <w:spacing w:after="0" w:line="240" w:lineRule="auto"/>
              <w:jc w:val="righ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sz w:val="18"/>
                <w:szCs w:val="18"/>
                <w:lang w:val="hr-HR"/>
              </w:rPr>
              <w:t>11</w:t>
            </w:r>
            <w:r>
              <w:rPr>
                <w:rFonts w:asciiTheme="minorHAnsi" w:eastAsia="Times New Roman" w:hAnsiTheme="minorHAnsi" w:cs="Arial"/>
                <w:sz w:val="18"/>
                <w:szCs w:val="18"/>
                <w:lang w:val="hr-HR"/>
              </w:rPr>
              <w:t>.</w:t>
            </w:r>
            <w:r w:rsidRPr="00F639EA">
              <w:rPr>
                <w:rFonts w:asciiTheme="minorHAnsi" w:eastAsia="Times New Roman" w:hAnsiTheme="minorHAnsi" w:cs="Arial"/>
                <w:sz w:val="18"/>
                <w:szCs w:val="18"/>
                <w:lang w:val="hr-HR"/>
              </w:rPr>
              <w:t>3.2015</w:t>
            </w:r>
          </w:p>
        </w:tc>
        <w:tc>
          <w:tcPr>
            <w:tcW w:w="1134" w:type="dxa"/>
            <w:tcBorders>
              <w:top w:val="nil"/>
              <w:left w:val="nil"/>
              <w:bottom w:val="nil"/>
              <w:right w:val="nil"/>
            </w:tcBorders>
            <w:shd w:val="clear" w:color="auto" w:fill="auto"/>
            <w:noWrap/>
            <w:vAlign w:val="bottom"/>
          </w:tcPr>
          <w:p w14:paraId="67B30BC3" w14:textId="48B8DD41" w:rsidR="00F850F1" w:rsidRPr="00F639EA" w:rsidRDefault="00F850F1" w:rsidP="00F850F1">
            <w:pPr>
              <w:spacing w:after="0" w:line="240" w:lineRule="auto"/>
              <w:jc w:val="righ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sz w:val="18"/>
                <w:szCs w:val="18"/>
                <w:lang w:val="hr-HR"/>
              </w:rPr>
              <w:t>11.3.2025</w:t>
            </w:r>
          </w:p>
        </w:tc>
        <w:tc>
          <w:tcPr>
            <w:tcW w:w="1261" w:type="dxa"/>
            <w:tcBorders>
              <w:top w:val="nil"/>
              <w:left w:val="nil"/>
              <w:bottom w:val="nil"/>
              <w:right w:val="nil"/>
            </w:tcBorders>
            <w:shd w:val="clear" w:color="auto" w:fill="auto"/>
            <w:noWrap/>
            <w:vAlign w:val="bottom"/>
          </w:tcPr>
          <w:p w14:paraId="5AD73558" w14:textId="77777777" w:rsidR="00F850F1" w:rsidRPr="00F639EA" w:rsidRDefault="00F850F1" w:rsidP="00F850F1">
            <w:pPr>
              <w:spacing w:after="0" w:line="240" w:lineRule="auto"/>
              <w:jc w:val="center"/>
              <w:rPr>
                <w:rFonts w:asciiTheme="minorHAnsi" w:eastAsia="Times New Roman" w:hAnsiTheme="minorHAnsi" w:cs="Arial"/>
                <w:sz w:val="18"/>
                <w:szCs w:val="18"/>
                <w:lang w:val="en-US" w:eastAsia="hr-HR"/>
              </w:rPr>
            </w:pPr>
            <w:r w:rsidRPr="00F639EA">
              <w:rPr>
                <w:rFonts w:asciiTheme="minorHAnsi" w:eastAsia="Times New Roman" w:hAnsiTheme="minorHAnsi" w:cs="Arial"/>
                <w:sz w:val="18"/>
                <w:szCs w:val="18"/>
                <w:lang w:val="hr-HR"/>
              </w:rPr>
              <w:t>3.0</w:t>
            </w:r>
          </w:p>
        </w:tc>
        <w:tc>
          <w:tcPr>
            <w:tcW w:w="1033" w:type="dxa"/>
            <w:tcBorders>
              <w:top w:val="nil"/>
              <w:left w:val="nil"/>
              <w:bottom w:val="nil"/>
              <w:right w:val="nil"/>
            </w:tcBorders>
            <w:shd w:val="clear" w:color="auto" w:fill="auto"/>
            <w:vAlign w:val="bottom"/>
          </w:tcPr>
          <w:p w14:paraId="0D265454" w14:textId="63185A0D"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6B318F">
              <w:rPr>
                <w:rFonts w:asciiTheme="minorHAnsi" w:eastAsia="Times New Roman" w:hAnsiTheme="minorHAnsi" w:cs="Arial"/>
                <w:sz w:val="18"/>
                <w:szCs w:val="18"/>
                <w:lang w:val="hr-HR"/>
              </w:rPr>
              <w:t>56,397</w:t>
            </w:r>
          </w:p>
        </w:tc>
        <w:tc>
          <w:tcPr>
            <w:tcW w:w="1034" w:type="dxa"/>
            <w:tcBorders>
              <w:top w:val="nil"/>
              <w:left w:val="nil"/>
              <w:bottom w:val="nil"/>
              <w:right w:val="nil"/>
            </w:tcBorders>
            <w:shd w:val="clear" w:color="auto" w:fill="auto"/>
            <w:vAlign w:val="bottom"/>
          </w:tcPr>
          <w:p w14:paraId="127DC873" w14:textId="77777777"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53,248</w:t>
            </w:r>
          </w:p>
        </w:tc>
        <w:tc>
          <w:tcPr>
            <w:tcW w:w="1033" w:type="dxa"/>
            <w:tcBorders>
              <w:top w:val="nil"/>
              <w:left w:val="nil"/>
              <w:bottom w:val="nil"/>
              <w:right w:val="nil"/>
            </w:tcBorders>
            <w:shd w:val="clear" w:color="auto" w:fill="auto"/>
            <w:noWrap/>
            <w:vAlign w:val="bottom"/>
          </w:tcPr>
          <w:p w14:paraId="7E7FA483" w14:textId="38439F9B"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FE65B6">
              <w:rPr>
                <w:rFonts w:eastAsia="Times New Roman"/>
                <w:sz w:val="18"/>
                <w:szCs w:val="18"/>
                <w:lang w:val="en-US"/>
              </w:rPr>
              <w:t>56</w:t>
            </w:r>
            <w:r>
              <w:rPr>
                <w:rFonts w:eastAsia="Times New Roman"/>
                <w:sz w:val="18"/>
                <w:szCs w:val="18"/>
                <w:lang w:val="en-US"/>
              </w:rPr>
              <w:t>,</w:t>
            </w:r>
            <w:r w:rsidRPr="00FE65B6">
              <w:rPr>
                <w:rFonts w:eastAsia="Times New Roman"/>
                <w:sz w:val="18"/>
                <w:szCs w:val="18"/>
                <w:lang w:val="en-US"/>
              </w:rPr>
              <w:t>397</w:t>
            </w:r>
          </w:p>
        </w:tc>
        <w:tc>
          <w:tcPr>
            <w:tcW w:w="1035" w:type="dxa"/>
            <w:tcBorders>
              <w:top w:val="nil"/>
              <w:left w:val="nil"/>
              <w:bottom w:val="nil"/>
              <w:right w:val="nil"/>
            </w:tcBorders>
            <w:shd w:val="clear" w:color="auto" w:fill="auto"/>
            <w:vAlign w:val="bottom"/>
          </w:tcPr>
          <w:p w14:paraId="01D73366" w14:textId="77777777" w:rsidR="00F850F1" w:rsidRPr="006B318F" w:rsidRDefault="00F850F1" w:rsidP="00F850F1">
            <w:pPr>
              <w:spacing w:after="0" w:line="240" w:lineRule="auto"/>
              <w:jc w:val="right"/>
              <w:rPr>
                <w:rFonts w:eastAsia="Times New Roman"/>
                <w:sz w:val="18"/>
                <w:szCs w:val="18"/>
                <w:lang w:val="en-US"/>
              </w:rPr>
            </w:pPr>
            <w:r w:rsidRPr="006B318F">
              <w:rPr>
                <w:rFonts w:eastAsia="Times New Roman"/>
                <w:sz w:val="18"/>
                <w:szCs w:val="18"/>
                <w:lang w:val="en-US"/>
              </w:rPr>
              <w:t>53,248</w:t>
            </w:r>
          </w:p>
        </w:tc>
      </w:tr>
      <w:tr w:rsidR="00B85043" w:rsidRPr="00F639EA" w14:paraId="0671F0A3" w14:textId="77777777" w:rsidTr="006B318F">
        <w:trPr>
          <w:gridAfter w:val="1"/>
          <w:wAfter w:w="1035" w:type="dxa"/>
          <w:trHeight w:hRule="exact" w:val="205"/>
        </w:trPr>
        <w:tc>
          <w:tcPr>
            <w:tcW w:w="5104" w:type="dxa"/>
            <w:gridSpan w:val="3"/>
            <w:tcBorders>
              <w:top w:val="nil"/>
              <w:left w:val="nil"/>
              <w:bottom w:val="nil"/>
              <w:right w:val="nil"/>
            </w:tcBorders>
            <w:shd w:val="clear" w:color="auto" w:fill="auto"/>
            <w:noWrap/>
            <w:vAlign w:val="bottom"/>
            <w:hideMark/>
          </w:tcPr>
          <w:p w14:paraId="7B2F4BA1" w14:textId="77777777" w:rsidR="00B85043" w:rsidRPr="00F639EA" w:rsidRDefault="00B85043" w:rsidP="00B85043">
            <w:pPr>
              <w:spacing w:after="0" w:line="240" w:lineRule="auto"/>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eastAsia="hr-HR"/>
              </w:rPr>
              <w:t>Bonds of the Republic of Croatia in HRK:</w:t>
            </w:r>
          </w:p>
        </w:tc>
        <w:tc>
          <w:tcPr>
            <w:tcW w:w="1261" w:type="dxa"/>
            <w:tcBorders>
              <w:top w:val="nil"/>
              <w:left w:val="nil"/>
              <w:bottom w:val="nil"/>
              <w:right w:val="nil"/>
            </w:tcBorders>
            <w:shd w:val="clear" w:color="auto" w:fill="auto"/>
            <w:noWrap/>
            <w:vAlign w:val="bottom"/>
          </w:tcPr>
          <w:p w14:paraId="60755AF8" w14:textId="77777777" w:rsidR="00B85043" w:rsidRPr="00F639EA" w:rsidRDefault="00B85043" w:rsidP="00B85043">
            <w:pPr>
              <w:spacing w:after="0" w:line="240" w:lineRule="auto"/>
              <w:jc w:val="center"/>
              <w:rPr>
                <w:rFonts w:asciiTheme="minorHAnsi" w:eastAsia="Times New Roman" w:hAnsiTheme="minorHAnsi" w:cs="Arial"/>
                <w:sz w:val="18"/>
                <w:szCs w:val="18"/>
                <w:lang w:eastAsia="hr-HR"/>
              </w:rPr>
            </w:pPr>
          </w:p>
        </w:tc>
        <w:tc>
          <w:tcPr>
            <w:tcW w:w="1033" w:type="dxa"/>
            <w:tcBorders>
              <w:top w:val="nil"/>
              <w:left w:val="nil"/>
              <w:bottom w:val="nil"/>
              <w:right w:val="nil"/>
            </w:tcBorders>
            <w:vAlign w:val="bottom"/>
          </w:tcPr>
          <w:p w14:paraId="112FC320" w14:textId="77777777" w:rsidR="00B85043" w:rsidRPr="005444AA" w:rsidRDefault="00B85043" w:rsidP="00B85043">
            <w:pPr>
              <w:spacing w:after="0" w:line="240" w:lineRule="auto"/>
              <w:jc w:val="right"/>
              <w:rPr>
                <w:rFonts w:asciiTheme="minorHAnsi" w:eastAsia="Times New Roman" w:hAnsiTheme="minorHAnsi" w:cs="Arial"/>
                <w:sz w:val="18"/>
                <w:szCs w:val="18"/>
                <w:lang w:val="hr-HR"/>
              </w:rPr>
            </w:pPr>
          </w:p>
        </w:tc>
        <w:tc>
          <w:tcPr>
            <w:tcW w:w="1034" w:type="dxa"/>
            <w:tcBorders>
              <w:top w:val="nil"/>
              <w:left w:val="nil"/>
              <w:bottom w:val="nil"/>
              <w:right w:val="nil"/>
            </w:tcBorders>
            <w:vAlign w:val="bottom"/>
          </w:tcPr>
          <w:p w14:paraId="705D4CBB" w14:textId="77777777" w:rsidR="00B85043" w:rsidRPr="005444AA" w:rsidRDefault="00B85043" w:rsidP="00B85043">
            <w:pPr>
              <w:spacing w:after="0" w:line="240" w:lineRule="auto"/>
              <w:jc w:val="right"/>
              <w:rPr>
                <w:rFonts w:asciiTheme="minorHAnsi" w:eastAsia="Times New Roman" w:hAnsiTheme="minorHAnsi" w:cs="Arial"/>
                <w:sz w:val="18"/>
                <w:szCs w:val="18"/>
                <w:lang w:val="hr-HR"/>
              </w:rPr>
            </w:pPr>
          </w:p>
        </w:tc>
        <w:tc>
          <w:tcPr>
            <w:tcW w:w="1033" w:type="dxa"/>
            <w:tcBorders>
              <w:top w:val="nil"/>
              <w:left w:val="nil"/>
              <w:bottom w:val="nil"/>
              <w:right w:val="nil"/>
            </w:tcBorders>
            <w:shd w:val="clear" w:color="auto" w:fill="auto"/>
            <w:noWrap/>
            <w:vAlign w:val="bottom"/>
          </w:tcPr>
          <w:p w14:paraId="4655A548" w14:textId="77777777" w:rsidR="00B85043" w:rsidRPr="005444AA" w:rsidRDefault="00B85043" w:rsidP="00B85043">
            <w:pPr>
              <w:spacing w:after="0" w:line="240" w:lineRule="auto"/>
              <w:jc w:val="right"/>
              <w:rPr>
                <w:rFonts w:asciiTheme="minorHAnsi" w:eastAsia="Times New Roman" w:hAnsiTheme="minorHAnsi" w:cs="Arial"/>
                <w:sz w:val="18"/>
                <w:szCs w:val="18"/>
                <w:lang w:val="hr-HR"/>
              </w:rPr>
            </w:pPr>
          </w:p>
        </w:tc>
        <w:tc>
          <w:tcPr>
            <w:tcW w:w="1035" w:type="dxa"/>
            <w:tcBorders>
              <w:top w:val="nil"/>
              <w:left w:val="nil"/>
              <w:bottom w:val="nil"/>
              <w:right w:val="nil"/>
            </w:tcBorders>
            <w:vAlign w:val="bottom"/>
          </w:tcPr>
          <w:p w14:paraId="5EB2A507" w14:textId="77777777" w:rsidR="00B85043" w:rsidRPr="005444AA" w:rsidRDefault="00B85043" w:rsidP="00B85043">
            <w:pPr>
              <w:spacing w:after="0" w:line="240" w:lineRule="auto"/>
              <w:jc w:val="right"/>
              <w:rPr>
                <w:rFonts w:asciiTheme="minorHAnsi" w:eastAsia="Times New Roman" w:hAnsiTheme="minorHAnsi" w:cs="Arial"/>
                <w:sz w:val="18"/>
                <w:szCs w:val="18"/>
                <w:lang w:val="hr-HR"/>
              </w:rPr>
            </w:pPr>
          </w:p>
        </w:tc>
      </w:tr>
      <w:tr w:rsidR="00F850F1" w:rsidRPr="00F639EA" w14:paraId="3CA4DBBE" w14:textId="77777777" w:rsidTr="006B318F">
        <w:trPr>
          <w:gridAfter w:val="1"/>
          <w:wAfter w:w="1035" w:type="dxa"/>
          <w:trHeight w:hRule="exact" w:val="205"/>
        </w:trPr>
        <w:tc>
          <w:tcPr>
            <w:tcW w:w="2836" w:type="dxa"/>
            <w:tcBorders>
              <w:top w:val="nil"/>
              <w:left w:val="nil"/>
              <w:bottom w:val="nil"/>
              <w:right w:val="nil"/>
            </w:tcBorders>
            <w:shd w:val="clear" w:color="auto" w:fill="auto"/>
            <w:noWrap/>
            <w:vAlign w:val="bottom"/>
          </w:tcPr>
          <w:p w14:paraId="5C2950B0" w14:textId="77777777" w:rsidR="00F850F1" w:rsidRPr="00F639EA" w:rsidRDefault="00F850F1" w:rsidP="00F850F1">
            <w:pPr>
              <w:spacing w:after="0" w:line="240" w:lineRule="auto"/>
              <w:jc w:val="right"/>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val="en-US" w:eastAsia="hr-HR"/>
              </w:rPr>
              <w:t>RHMF-O-172A</w:t>
            </w:r>
          </w:p>
        </w:tc>
        <w:tc>
          <w:tcPr>
            <w:tcW w:w="1134" w:type="dxa"/>
            <w:tcBorders>
              <w:top w:val="nil"/>
              <w:left w:val="nil"/>
              <w:bottom w:val="nil"/>
              <w:right w:val="nil"/>
            </w:tcBorders>
            <w:shd w:val="clear" w:color="auto" w:fill="auto"/>
            <w:noWrap/>
            <w:vAlign w:val="bottom"/>
          </w:tcPr>
          <w:p w14:paraId="380967F9" w14:textId="2A3C3E96" w:rsidR="00F850F1" w:rsidRPr="00F639EA" w:rsidRDefault="00F850F1" w:rsidP="00F850F1">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val="en-US" w:eastAsia="hr-HR"/>
              </w:rPr>
              <w:t>8.2.2007</w:t>
            </w:r>
          </w:p>
        </w:tc>
        <w:tc>
          <w:tcPr>
            <w:tcW w:w="1134" w:type="dxa"/>
            <w:tcBorders>
              <w:top w:val="nil"/>
              <w:left w:val="nil"/>
              <w:bottom w:val="nil"/>
              <w:right w:val="nil"/>
            </w:tcBorders>
            <w:shd w:val="clear" w:color="auto" w:fill="auto"/>
            <w:noWrap/>
            <w:vAlign w:val="bottom"/>
          </w:tcPr>
          <w:p w14:paraId="5BE694D8" w14:textId="6439C0A1" w:rsidR="00F850F1" w:rsidRPr="00F639EA" w:rsidRDefault="00F850F1" w:rsidP="00F850F1">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val="en-US" w:eastAsia="hr-HR"/>
              </w:rPr>
              <w:t>8.2.2017</w:t>
            </w:r>
          </w:p>
        </w:tc>
        <w:tc>
          <w:tcPr>
            <w:tcW w:w="1261" w:type="dxa"/>
            <w:tcBorders>
              <w:top w:val="nil"/>
              <w:left w:val="nil"/>
              <w:bottom w:val="nil"/>
              <w:right w:val="nil"/>
            </w:tcBorders>
            <w:shd w:val="clear" w:color="auto" w:fill="auto"/>
            <w:noWrap/>
            <w:vAlign w:val="bottom"/>
          </w:tcPr>
          <w:p w14:paraId="37E9170F" w14:textId="77777777" w:rsidR="00F850F1" w:rsidRPr="00F639EA" w:rsidRDefault="00F850F1" w:rsidP="00F850F1">
            <w:pPr>
              <w:spacing w:after="0" w:line="240" w:lineRule="auto"/>
              <w:jc w:val="center"/>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val="en-US" w:eastAsia="hr-HR"/>
              </w:rPr>
              <w:t>4.75</w:t>
            </w:r>
          </w:p>
        </w:tc>
        <w:tc>
          <w:tcPr>
            <w:tcW w:w="1033" w:type="dxa"/>
            <w:tcBorders>
              <w:top w:val="nil"/>
              <w:left w:val="nil"/>
              <w:bottom w:val="nil"/>
              <w:right w:val="nil"/>
            </w:tcBorders>
            <w:shd w:val="clear" w:color="auto" w:fill="auto"/>
            <w:vAlign w:val="bottom"/>
          </w:tcPr>
          <w:p w14:paraId="04266635" w14:textId="154ED2F4"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6B318F">
              <w:rPr>
                <w:rFonts w:asciiTheme="minorHAnsi" w:eastAsia="Times New Roman" w:hAnsiTheme="minorHAnsi" w:cs="Arial"/>
                <w:sz w:val="18"/>
                <w:szCs w:val="18"/>
                <w:lang w:val="hr-HR"/>
              </w:rPr>
              <w:t>-</w:t>
            </w:r>
          </w:p>
        </w:tc>
        <w:tc>
          <w:tcPr>
            <w:tcW w:w="1034" w:type="dxa"/>
            <w:tcBorders>
              <w:top w:val="nil"/>
              <w:left w:val="nil"/>
              <w:bottom w:val="nil"/>
              <w:right w:val="nil"/>
            </w:tcBorders>
            <w:shd w:val="clear" w:color="auto" w:fill="auto"/>
            <w:vAlign w:val="bottom"/>
          </w:tcPr>
          <w:p w14:paraId="502BA4DE" w14:textId="77777777"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100,995</w:t>
            </w:r>
          </w:p>
        </w:tc>
        <w:tc>
          <w:tcPr>
            <w:tcW w:w="1033" w:type="dxa"/>
            <w:tcBorders>
              <w:top w:val="nil"/>
              <w:left w:val="nil"/>
              <w:bottom w:val="nil"/>
              <w:right w:val="nil"/>
            </w:tcBorders>
            <w:shd w:val="clear" w:color="auto" w:fill="auto"/>
            <w:noWrap/>
            <w:vAlign w:val="bottom"/>
          </w:tcPr>
          <w:p w14:paraId="3560B988" w14:textId="0BFFA5B9" w:rsidR="00F850F1" w:rsidRPr="005444AA" w:rsidRDefault="00F850F1" w:rsidP="00F850F1">
            <w:pPr>
              <w:spacing w:after="0" w:line="240" w:lineRule="auto"/>
              <w:jc w:val="right"/>
              <w:rPr>
                <w:rFonts w:asciiTheme="minorHAnsi" w:eastAsia="Times New Roman" w:hAnsiTheme="minorHAnsi" w:cs="Arial"/>
                <w:sz w:val="18"/>
                <w:szCs w:val="18"/>
                <w:lang w:val="hr-HR"/>
              </w:rPr>
            </w:pPr>
            <w:r>
              <w:rPr>
                <w:rFonts w:eastAsia="Times New Roman"/>
                <w:sz w:val="18"/>
                <w:szCs w:val="18"/>
                <w:lang w:val="en-US"/>
              </w:rPr>
              <w:t>-</w:t>
            </w:r>
          </w:p>
        </w:tc>
        <w:tc>
          <w:tcPr>
            <w:tcW w:w="1035" w:type="dxa"/>
            <w:tcBorders>
              <w:top w:val="nil"/>
              <w:left w:val="nil"/>
              <w:bottom w:val="nil"/>
              <w:right w:val="nil"/>
            </w:tcBorders>
            <w:shd w:val="clear" w:color="auto" w:fill="auto"/>
            <w:vAlign w:val="bottom"/>
          </w:tcPr>
          <w:p w14:paraId="5ABA6AED" w14:textId="77777777"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100,410</w:t>
            </w:r>
          </w:p>
        </w:tc>
      </w:tr>
      <w:tr w:rsidR="00F850F1" w:rsidRPr="00F639EA" w14:paraId="64BE99CF" w14:textId="77777777" w:rsidTr="006B318F">
        <w:trPr>
          <w:gridAfter w:val="1"/>
          <w:wAfter w:w="1035" w:type="dxa"/>
          <w:trHeight w:hRule="exact" w:val="205"/>
        </w:trPr>
        <w:tc>
          <w:tcPr>
            <w:tcW w:w="2836" w:type="dxa"/>
            <w:tcBorders>
              <w:top w:val="nil"/>
              <w:left w:val="nil"/>
              <w:bottom w:val="nil"/>
              <w:right w:val="nil"/>
            </w:tcBorders>
            <w:shd w:val="clear" w:color="auto" w:fill="auto"/>
            <w:noWrap/>
            <w:vAlign w:val="bottom"/>
          </w:tcPr>
          <w:p w14:paraId="1B8ED31B" w14:textId="77777777" w:rsidR="00F850F1" w:rsidRPr="00F639EA" w:rsidRDefault="00F850F1" w:rsidP="00F850F1">
            <w:pPr>
              <w:spacing w:after="0" w:line="240" w:lineRule="auto"/>
              <w:jc w:val="right"/>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val="en-US" w:eastAsia="hr-HR"/>
              </w:rPr>
              <w:t>RHMF-O-187A</w:t>
            </w:r>
          </w:p>
        </w:tc>
        <w:tc>
          <w:tcPr>
            <w:tcW w:w="1134" w:type="dxa"/>
            <w:tcBorders>
              <w:top w:val="nil"/>
              <w:left w:val="nil"/>
              <w:bottom w:val="nil"/>
              <w:right w:val="nil"/>
            </w:tcBorders>
            <w:shd w:val="clear" w:color="auto" w:fill="auto"/>
            <w:noWrap/>
            <w:vAlign w:val="bottom"/>
          </w:tcPr>
          <w:p w14:paraId="5145666F" w14:textId="02B071B7" w:rsidR="00F850F1" w:rsidRPr="00F639EA" w:rsidRDefault="00F850F1" w:rsidP="00F850F1">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val="en-US" w:eastAsia="hr-HR"/>
              </w:rPr>
              <w:t>10.7.2013</w:t>
            </w:r>
          </w:p>
        </w:tc>
        <w:tc>
          <w:tcPr>
            <w:tcW w:w="1134" w:type="dxa"/>
            <w:tcBorders>
              <w:top w:val="nil"/>
              <w:left w:val="nil"/>
              <w:bottom w:val="nil"/>
              <w:right w:val="nil"/>
            </w:tcBorders>
            <w:shd w:val="clear" w:color="auto" w:fill="auto"/>
            <w:noWrap/>
            <w:vAlign w:val="bottom"/>
          </w:tcPr>
          <w:p w14:paraId="6E778FEE" w14:textId="46073187" w:rsidR="00F850F1" w:rsidRPr="00F639EA" w:rsidRDefault="00F850F1" w:rsidP="00F850F1">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val="en-US" w:eastAsia="hr-HR"/>
              </w:rPr>
              <w:t>10.7.2018</w:t>
            </w:r>
          </w:p>
        </w:tc>
        <w:tc>
          <w:tcPr>
            <w:tcW w:w="1261" w:type="dxa"/>
            <w:tcBorders>
              <w:top w:val="nil"/>
              <w:left w:val="nil"/>
              <w:bottom w:val="nil"/>
              <w:right w:val="nil"/>
            </w:tcBorders>
            <w:shd w:val="clear" w:color="auto" w:fill="auto"/>
            <w:noWrap/>
            <w:vAlign w:val="bottom"/>
          </w:tcPr>
          <w:p w14:paraId="7BD994F8" w14:textId="77777777" w:rsidR="00F850F1" w:rsidRPr="00F639EA" w:rsidRDefault="00F850F1" w:rsidP="00F850F1">
            <w:pPr>
              <w:spacing w:after="0" w:line="240" w:lineRule="auto"/>
              <w:jc w:val="center"/>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val="en-US" w:eastAsia="hr-HR"/>
              </w:rPr>
              <w:t>5.25</w:t>
            </w:r>
          </w:p>
        </w:tc>
        <w:tc>
          <w:tcPr>
            <w:tcW w:w="1033" w:type="dxa"/>
            <w:tcBorders>
              <w:top w:val="nil"/>
              <w:left w:val="nil"/>
              <w:bottom w:val="nil"/>
              <w:right w:val="nil"/>
            </w:tcBorders>
            <w:shd w:val="clear" w:color="auto" w:fill="auto"/>
            <w:vAlign w:val="bottom"/>
          </w:tcPr>
          <w:p w14:paraId="6534E381" w14:textId="69855DD5"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6B318F">
              <w:rPr>
                <w:rFonts w:asciiTheme="minorHAnsi" w:eastAsia="Times New Roman" w:hAnsiTheme="minorHAnsi" w:cs="Arial"/>
                <w:sz w:val="18"/>
                <w:szCs w:val="18"/>
                <w:lang w:val="hr-HR"/>
              </w:rPr>
              <w:t>41,450</w:t>
            </w:r>
          </w:p>
        </w:tc>
        <w:tc>
          <w:tcPr>
            <w:tcW w:w="1034" w:type="dxa"/>
            <w:tcBorders>
              <w:top w:val="nil"/>
              <w:left w:val="nil"/>
              <w:bottom w:val="nil"/>
              <w:right w:val="nil"/>
            </w:tcBorders>
            <w:shd w:val="clear" w:color="auto" w:fill="auto"/>
            <w:vAlign w:val="bottom"/>
          </w:tcPr>
          <w:p w14:paraId="3908BDFB" w14:textId="77777777"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42,406</w:t>
            </w:r>
          </w:p>
        </w:tc>
        <w:tc>
          <w:tcPr>
            <w:tcW w:w="1033" w:type="dxa"/>
            <w:tcBorders>
              <w:top w:val="nil"/>
              <w:left w:val="nil"/>
              <w:bottom w:val="nil"/>
              <w:right w:val="nil"/>
            </w:tcBorders>
            <w:shd w:val="clear" w:color="auto" w:fill="auto"/>
            <w:noWrap/>
            <w:vAlign w:val="bottom"/>
          </w:tcPr>
          <w:p w14:paraId="1F6D122A" w14:textId="3C6D93FD"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FE65B6">
              <w:rPr>
                <w:rFonts w:eastAsia="Times New Roman"/>
                <w:sz w:val="18"/>
                <w:szCs w:val="18"/>
                <w:lang w:val="en-US"/>
              </w:rPr>
              <w:t>36</w:t>
            </w:r>
            <w:r>
              <w:rPr>
                <w:rFonts w:eastAsia="Times New Roman"/>
                <w:sz w:val="18"/>
                <w:szCs w:val="18"/>
                <w:lang w:val="en-US"/>
              </w:rPr>
              <w:t>,</w:t>
            </w:r>
            <w:r w:rsidRPr="00FE65B6">
              <w:rPr>
                <w:rFonts w:eastAsia="Times New Roman"/>
                <w:sz w:val="18"/>
                <w:szCs w:val="18"/>
                <w:lang w:val="en-US"/>
              </w:rPr>
              <w:t>255</w:t>
            </w:r>
          </w:p>
        </w:tc>
        <w:tc>
          <w:tcPr>
            <w:tcW w:w="1035" w:type="dxa"/>
            <w:tcBorders>
              <w:top w:val="nil"/>
              <w:left w:val="nil"/>
              <w:bottom w:val="nil"/>
              <w:right w:val="nil"/>
            </w:tcBorders>
            <w:shd w:val="clear" w:color="auto" w:fill="auto"/>
            <w:vAlign w:val="bottom"/>
          </w:tcPr>
          <w:p w14:paraId="365E8FC7" w14:textId="77777777"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37,094</w:t>
            </w:r>
          </w:p>
        </w:tc>
      </w:tr>
      <w:tr w:rsidR="00F850F1" w:rsidRPr="00F639EA" w14:paraId="1C3E45BE" w14:textId="77777777" w:rsidTr="006B318F">
        <w:trPr>
          <w:gridAfter w:val="1"/>
          <w:wAfter w:w="1035" w:type="dxa"/>
          <w:trHeight w:hRule="exact" w:val="205"/>
        </w:trPr>
        <w:tc>
          <w:tcPr>
            <w:tcW w:w="2836" w:type="dxa"/>
            <w:tcBorders>
              <w:top w:val="nil"/>
              <w:left w:val="nil"/>
              <w:bottom w:val="nil"/>
              <w:right w:val="nil"/>
            </w:tcBorders>
            <w:shd w:val="clear" w:color="auto" w:fill="auto"/>
            <w:noWrap/>
            <w:vAlign w:val="bottom"/>
          </w:tcPr>
          <w:p w14:paraId="7F1F9634" w14:textId="77777777" w:rsidR="00F850F1" w:rsidRPr="00F639EA" w:rsidRDefault="00F850F1" w:rsidP="00F850F1">
            <w:pPr>
              <w:spacing w:after="0" w:line="240" w:lineRule="auto"/>
              <w:jc w:val="right"/>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val="en-US" w:eastAsia="hr-HR"/>
              </w:rPr>
              <w:t>RHMF-O-17BA</w:t>
            </w:r>
          </w:p>
        </w:tc>
        <w:tc>
          <w:tcPr>
            <w:tcW w:w="1134" w:type="dxa"/>
            <w:tcBorders>
              <w:top w:val="nil"/>
              <w:left w:val="nil"/>
              <w:bottom w:val="nil"/>
              <w:right w:val="nil"/>
            </w:tcBorders>
            <w:shd w:val="clear" w:color="auto" w:fill="auto"/>
            <w:noWrap/>
            <w:vAlign w:val="bottom"/>
          </w:tcPr>
          <w:p w14:paraId="79D23A54" w14:textId="2601190E" w:rsidR="00F850F1" w:rsidRPr="00F639EA" w:rsidRDefault="00F850F1" w:rsidP="00F850F1">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val="en-US" w:eastAsia="hr-HR"/>
              </w:rPr>
              <w:t>25.11.2010</w:t>
            </w:r>
          </w:p>
        </w:tc>
        <w:tc>
          <w:tcPr>
            <w:tcW w:w="1134" w:type="dxa"/>
            <w:tcBorders>
              <w:top w:val="nil"/>
              <w:left w:val="nil"/>
              <w:bottom w:val="nil"/>
              <w:right w:val="nil"/>
            </w:tcBorders>
            <w:shd w:val="clear" w:color="auto" w:fill="auto"/>
            <w:noWrap/>
            <w:vAlign w:val="bottom"/>
          </w:tcPr>
          <w:p w14:paraId="1114A905" w14:textId="132AE3AA" w:rsidR="00F850F1" w:rsidRPr="00F639EA" w:rsidRDefault="00F850F1" w:rsidP="00F850F1">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val="en-US" w:eastAsia="hr-HR"/>
              </w:rPr>
              <w:t>25.11.2017</w:t>
            </w:r>
          </w:p>
        </w:tc>
        <w:tc>
          <w:tcPr>
            <w:tcW w:w="1261" w:type="dxa"/>
            <w:tcBorders>
              <w:top w:val="nil"/>
              <w:left w:val="nil"/>
              <w:bottom w:val="nil"/>
              <w:right w:val="nil"/>
            </w:tcBorders>
            <w:shd w:val="clear" w:color="auto" w:fill="auto"/>
            <w:noWrap/>
            <w:vAlign w:val="bottom"/>
          </w:tcPr>
          <w:p w14:paraId="60A4EC12" w14:textId="77777777" w:rsidR="00F850F1" w:rsidRPr="00F639EA" w:rsidRDefault="00F850F1" w:rsidP="00F850F1">
            <w:pPr>
              <w:spacing w:after="0" w:line="240" w:lineRule="auto"/>
              <w:jc w:val="center"/>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val="en-US" w:eastAsia="hr-HR"/>
              </w:rPr>
              <w:t>6.25</w:t>
            </w:r>
          </w:p>
        </w:tc>
        <w:tc>
          <w:tcPr>
            <w:tcW w:w="1033" w:type="dxa"/>
            <w:tcBorders>
              <w:top w:val="nil"/>
              <w:left w:val="nil"/>
              <w:bottom w:val="nil"/>
              <w:right w:val="nil"/>
            </w:tcBorders>
            <w:shd w:val="clear" w:color="auto" w:fill="auto"/>
            <w:vAlign w:val="bottom"/>
          </w:tcPr>
          <w:p w14:paraId="320164C7" w14:textId="52D3220F"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6B318F">
              <w:rPr>
                <w:rFonts w:asciiTheme="minorHAnsi" w:eastAsia="Times New Roman" w:hAnsiTheme="minorHAnsi" w:cs="Arial"/>
                <w:sz w:val="18"/>
                <w:szCs w:val="18"/>
                <w:lang w:val="hr-HR"/>
              </w:rPr>
              <w:t>155,808</w:t>
            </w:r>
          </w:p>
        </w:tc>
        <w:tc>
          <w:tcPr>
            <w:tcW w:w="1034" w:type="dxa"/>
            <w:tcBorders>
              <w:top w:val="nil"/>
              <w:left w:val="nil"/>
              <w:bottom w:val="nil"/>
              <w:right w:val="nil"/>
            </w:tcBorders>
            <w:shd w:val="clear" w:color="auto" w:fill="auto"/>
            <w:vAlign w:val="bottom"/>
          </w:tcPr>
          <w:p w14:paraId="7A83F1E4" w14:textId="77777777"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161,910</w:t>
            </w:r>
          </w:p>
        </w:tc>
        <w:tc>
          <w:tcPr>
            <w:tcW w:w="1033" w:type="dxa"/>
            <w:tcBorders>
              <w:top w:val="nil"/>
              <w:left w:val="nil"/>
              <w:bottom w:val="nil"/>
              <w:right w:val="nil"/>
            </w:tcBorders>
            <w:shd w:val="clear" w:color="auto" w:fill="auto"/>
            <w:noWrap/>
            <w:vAlign w:val="bottom"/>
          </w:tcPr>
          <w:p w14:paraId="32E3C299" w14:textId="08CE686D"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FE65B6">
              <w:rPr>
                <w:rFonts w:eastAsia="Times New Roman"/>
                <w:sz w:val="18"/>
                <w:szCs w:val="18"/>
                <w:lang w:val="en-US"/>
              </w:rPr>
              <w:t>151</w:t>
            </w:r>
            <w:r>
              <w:rPr>
                <w:rFonts w:eastAsia="Times New Roman"/>
                <w:sz w:val="18"/>
                <w:szCs w:val="18"/>
                <w:lang w:val="en-US"/>
              </w:rPr>
              <w:t>,</w:t>
            </w:r>
            <w:r w:rsidRPr="00FE65B6">
              <w:rPr>
                <w:rFonts w:eastAsia="Times New Roman"/>
                <w:sz w:val="18"/>
                <w:szCs w:val="18"/>
                <w:lang w:val="en-US"/>
              </w:rPr>
              <w:t>263</w:t>
            </w:r>
          </w:p>
        </w:tc>
        <w:tc>
          <w:tcPr>
            <w:tcW w:w="1035" w:type="dxa"/>
            <w:tcBorders>
              <w:top w:val="nil"/>
              <w:left w:val="nil"/>
              <w:bottom w:val="nil"/>
              <w:right w:val="nil"/>
            </w:tcBorders>
            <w:shd w:val="clear" w:color="auto" w:fill="auto"/>
            <w:vAlign w:val="bottom"/>
          </w:tcPr>
          <w:p w14:paraId="66AD2A57" w14:textId="77777777"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157,185</w:t>
            </w:r>
          </w:p>
        </w:tc>
      </w:tr>
      <w:tr w:rsidR="00F850F1" w:rsidRPr="00F639EA" w14:paraId="42BB2835" w14:textId="77777777" w:rsidTr="006B318F">
        <w:trPr>
          <w:gridAfter w:val="1"/>
          <w:wAfter w:w="1035" w:type="dxa"/>
          <w:trHeight w:hRule="exact" w:val="205"/>
        </w:trPr>
        <w:tc>
          <w:tcPr>
            <w:tcW w:w="2836" w:type="dxa"/>
            <w:tcBorders>
              <w:top w:val="nil"/>
              <w:left w:val="nil"/>
              <w:bottom w:val="nil"/>
              <w:right w:val="nil"/>
            </w:tcBorders>
            <w:shd w:val="clear" w:color="auto" w:fill="auto"/>
            <w:noWrap/>
            <w:vAlign w:val="bottom"/>
          </w:tcPr>
          <w:p w14:paraId="1C064059" w14:textId="77777777" w:rsidR="00F850F1" w:rsidRPr="00F639EA" w:rsidRDefault="00F850F1" w:rsidP="00F850F1">
            <w:pPr>
              <w:spacing w:after="0" w:line="240" w:lineRule="auto"/>
              <w:jc w:val="right"/>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val="en-US" w:eastAsia="hr-HR"/>
              </w:rPr>
              <w:t>RHMF-O-203A</w:t>
            </w:r>
          </w:p>
        </w:tc>
        <w:tc>
          <w:tcPr>
            <w:tcW w:w="1134" w:type="dxa"/>
            <w:tcBorders>
              <w:top w:val="nil"/>
              <w:left w:val="nil"/>
              <w:bottom w:val="nil"/>
              <w:right w:val="nil"/>
            </w:tcBorders>
            <w:shd w:val="clear" w:color="auto" w:fill="auto"/>
            <w:noWrap/>
            <w:vAlign w:val="bottom"/>
          </w:tcPr>
          <w:p w14:paraId="36DF6442" w14:textId="3C44E92A" w:rsidR="00F850F1" w:rsidRPr="00F639EA" w:rsidRDefault="00F850F1" w:rsidP="00F850F1">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val="en-US" w:eastAsia="hr-HR"/>
              </w:rPr>
              <w:t>5.3.2010</w:t>
            </w:r>
          </w:p>
        </w:tc>
        <w:tc>
          <w:tcPr>
            <w:tcW w:w="1134" w:type="dxa"/>
            <w:tcBorders>
              <w:top w:val="nil"/>
              <w:left w:val="nil"/>
              <w:bottom w:val="nil"/>
              <w:right w:val="nil"/>
            </w:tcBorders>
            <w:shd w:val="clear" w:color="auto" w:fill="auto"/>
            <w:noWrap/>
            <w:vAlign w:val="bottom"/>
          </w:tcPr>
          <w:p w14:paraId="33160E38" w14:textId="3AB1D377" w:rsidR="00F850F1" w:rsidRPr="00F639EA" w:rsidRDefault="00F850F1" w:rsidP="00F850F1">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val="en-US" w:eastAsia="hr-HR"/>
              </w:rPr>
              <w:t>5.3.2020</w:t>
            </w:r>
          </w:p>
        </w:tc>
        <w:tc>
          <w:tcPr>
            <w:tcW w:w="1261" w:type="dxa"/>
            <w:tcBorders>
              <w:top w:val="nil"/>
              <w:left w:val="nil"/>
              <w:bottom w:val="nil"/>
              <w:right w:val="nil"/>
            </w:tcBorders>
            <w:shd w:val="clear" w:color="auto" w:fill="auto"/>
            <w:noWrap/>
            <w:vAlign w:val="bottom"/>
          </w:tcPr>
          <w:p w14:paraId="702C56CD" w14:textId="77777777" w:rsidR="00F850F1" w:rsidRPr="00F639EA" w:rsidRDefault="00F850F1" w:rsidP="00F850F1">
            <w:pPr>
              <w:spacing w:after="0" w:line="240" w:lineRule="auto"/>
              <w:jc w:val="center"/>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val="en-US" w:eastAsia="hr-HR"/>
              </w:rPr>
              <w:t>6.75</w:t>
            </w:r>
          </w:p>
        </w:tc>
        <w:tc>
          <w:tcPr>
            <w:tcW w:w="1033" w:type="dxa"/>
            <w:tcBorders>
              <w:top w:val="nil"/>
              <w:left w:val="nil"/>
              <w:bottom w:val="nil"/>
              <w:right w:val="nil"/>
            </w:tcBorders>
            <w:shd w:val="clear" w:color="auto" w:fill="auto"/>
            <w:vAlign w:val="bottom"/>
          </w:tcPr>
          <w:p w14:paraId="700AFC38" w14:textId="7188E24E"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6B318F">
              <w:rPr>
                <w:rFonts w:asciiTheme="minorHAnsi" w:eastAsia="Times New Roman" w:hAnsiTheme="minorHAnsi" w:cs="Arial"/>
                <w:sz w:val="18"/>
                <w:szCs w:val="18"/>
                <w:lang w:val="hr-HR"/>
              </w:rPr>
              <w:t>2,987</w:t>
            </w:r>
          </w:p>
        </w:tc>
        <w:tc>
          <w:tcPr>
            <w:tcW w:w="1034" w:type="dxa"/>
            <w:tcBorders>
              <w:top w:val="nil"/>
              <w:left w:val="nil"/>
              <w:bottom w:val="nil"/>
              <w:right w:val="nil"/>
            </w:tcBorders>
            <w:shd w:val="clear" w:color="auto" w:fill="auto"/>
            <w:vAlign w:val="bottom"/>
          </w:tcPr>
          <w:p w14:paraId="707AD306" w14:textId="77777777"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3,003</w:t>
            </w:r>
          </w:p>
        </w:tc>
        <w:tc>
          <w:tcPr>
            <w:tcW w:w="1033" w:type="dxa"/>
            <w:tcBorders>
              <w:top w:val="nil"/>
              <w:left w:val="nil"/>
              <w:bottom w:val="nil"/>
              <w:right w:val="nil"/>
            </w:tcBorders>
            <w:shd w:val="clear" w:color="auto" w:fill="auto"/>
            <w:noWrap/>
            <w:vAlign w:val="bottom"/>
          </w:tcPr>
          <w:p w14:paraId="32FE6F90" w14:textId="2B5EB9D5" w:rsidR="00F850F1" w:rsidRPr="005444AA" w:rsidRDefault="00F850F1" w:rsidP="00F850F1">
            <w:pPr>
              <w:spacing w:after="0" w:line="240" w:lineRule="auto"/>
              <w:jc w:val="right"/>
              <w:rPr>
                <w:rFonts w:asciiTheme="minorHAnsi" w:eastAsia="Times New Roman" w:hAnsiTheme="minorHAnsi" w:cs="Arial"/>
                <w:sz w:val="18"/>
                <w:szCs w:val="18"/>
                <w:lang w:val="hr-HR"/>
              </w:rPr>
            </w:pPr>
            <w:r>
              <w:rPr>
                <w:rFonts w:eastAsia="Times New Roman"/>
                <w:sz w:val="18"/>
                <w:szCs w:val="18"/>
                <w:lang w:val="en-US"/>
              </w:rPr>
              <w:t>-</w:t>
            </w:r>
          </w:p>
        </w:tc>
        <w:tc>
          <w:tcPr>
            <w:tcW w:w="1035" w:type="dxa"/>
            <w:tcBorders>
              <w:top w:val="nil"/>
              <w:left w:val="nil"/>
              <w:bottom w:val="nil"/>
              <w:right w:val="nil"/>
            </w:tcBorders>
            <w:shd w:val="clear" w:color="auto" w:fill="auto"/>
            <w:vAlign w:val="bottom"/>
          </w:tcPr>
          <w:p w14:paraId="660AADD1" w14:textId="77777777"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w:t>
            </w:r>
          </w:p>
        </w:tc>
      </w:tr>
      <w:tr w:rsidR="00F850F1" w:rsidRPr="00F639EA" w14:paraId="4D203FCD" w14:textId="77777777" w:rsidTr="006B318F">
        <w:trPr>
          <w:gridAfter w:val="1"/>
          <w:wAfter w:w="1035" w:type="dxa"/>
          <w:trHeight w:hRule="exact" w:val="205"/>
        </w:trPr>
        <w:tc>
          <w:tcPr>
            <w:tcW w:w="2836" w:type="dxa"/>
            <w:tcBorders>
              <w:top w:val="nil"/>
              <w:left w:val="nil"/>
              <w:bottom w:val="nil"/>
              <w:right w:val="nil"/>
            </w:tcBorders>
            <w:shd w:val="clear" w:color="auto" w:fill="auto"/>
            <w:noWrap/>
            <w:vAlign w:val="center"/>
          </w:tcPr>
          <w:p w14:paraId="210247B5" w14:textId="77777777" w:rsidR="00F850F1" w:rsidRPr="00F639EA" w:rsidRDefault="00F850F1" w:rsidP="00F850F1">
            <w:pPr>
              <w:spacing w:after="0" w:line="240" w:lineRule="auto"/>
              <w:jc w:val="right"/>
              <w:rPr>
                <w:rFonts w:asciiTheme="minorHAnsi" w:eastAsia="Times New Roman" w:hAnsiTheme="minorHAnsi" w:cs="Arial"/>
                <w:sz w:val="18"/>
                <w:szCs w:val="18"/>
                <w:lang w:val="en-US" w:eastAsia="hr-HR"/>
              </w:rPr>
            </w:pPr>
            <w:r w:rsidRPr="00F639EA">
              <w:rPr>
                <w:rFonts w:asciiTheme="minorHAnsi" w:eastAsia="Times New Roman" w:hAnsiTheme="minorHAnsi" w:cs="Arial"/>
                <w:sz w:val="18"/>
                <w:szCs w:val="18"/>
                <w:lang w:val="hr-HR"/>
              </w:rPr>
              <w:t>RHMF-O-257A</w:t>
            </w:r>
          </w:p>
        </w:tc>
        <w:tc>
          <w:tcPr>
            <w:tcW w:w="1134" w:type="dxa"/>
            <w:tcBorders>
              <w:top w:val="nil"/>
              <w:left w:val="nil"/>
              <w:bottom w:val="nil"/>
              <w:right w:val="nil"/>
            </w:tcBorders>
            <w:shd w:val="clear" w:color="auto" w:fill="auto"/>
            <w:noWrap/>
            <w:vAlign w:val="center"/>
          </w:tcPr>
          <w:p w14:paraId="6F85A50C" w14:textId="3C67DF6F" w:rsidR="00F850F1" w:rsidRPr="00F639EA" w:rsidRDefault="00F850F1" w:rsidP="00F850F1">
            <w:pPr>
              <w:spacing w:after="0" w:line="240" w:lineRule="auto"/>
              <w:jc w:val="righ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sz w:val="18"/>
                <w:szCs w:val="18"/>
                <w:lang w:val="hr-HR"/>
              </w:rPr>
              <w:t>9.7.2015</w:t>
            </w:r>
          </w:p>
        </w:tc>
        <w:tc>
          <w:tcPr>
            <w:tcW w:w="1134" w:type="dxa"/>
            <w:tcBorders>
              <w:top w:val="nil"/>
              <w:left w:val="nil"/>
              <w:bottom w:val="nil"/>
              <w:right w:val="nil"/>
            </w:tcBorders>
            <w:shd w:val="clear" w:color="auto" w:fill="auto"/>
            <w:noWrap/>
            <w:vAlign w:val="center"/>
          </w:tcPr>
          <w:p w14:paraId="7519A355" w14:textId="77F3853B" w:rsidR="00F850F1" w:rsidRPr="00F639EA" w:rsidRDefault="00F850F1" w:rsidP="00F850F1">
            <w:pPr>
              <w:spacing w:after="0" w:line="240" w:lineRule="auto"/>
              <w:jc w:val="righ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sz w:val="18"/>
                <w:szCs w:val="18"/>
                <w:lang w:val="hr-HR"/>
              </w:rPr>
              <w:t>9.7.2025</w:t>
            </w:r>
          </w:p>
        </w:tc>
        <w:tc>
          <w:tcPr>
            <w:tcW w:w="1261" w:type="dxa"/>
            <w:tcBorders>
              <w:top w:val="nil"/>
              <w:left w:val="nil"/>
              <w:bottom w:val="nil"/>
              <w:right w:val="nil"/>
            </w:tcBorders>
            <w:shd w:val="clear" w:color="auto" w:fill="auto"/>
            <w:noWrap/>
            <w:vAlign w:val="bottom"/>
          </w:tcPr>
          <w:p w14:paraId="739BFC52" w14:textId="77777777" w:rsidR="00F850F1" w:rsidRPr="00F639EA" w:rsidRDefault="00F850F1" w:rsidP="00F850F1">
            <w:pPr>
              <w:spacing w:after="0" w:line="240" w:lineRule="auto"/>
              <w:jc w:val="center"/>
              <w:rPr>
                <w:rFonts w:asciiTheme="minorHAnsi" w:eastAsia="Times New Roman" w:hAnsiTheme="minorHAnsi" w:cs="Arial"/>
                <w:sz w:val="18"/>
                <w:szCs w:val="18"/>
                <w:lang w:val="en-US" w:eastAsia="hr-HR"/>
              </w:rPr>
            </w:pPr>
            <w:r w:rsidRPr="00F639EA">
              <w:rPr>
                <w:rFonts w:asciiTheme="minorHAnsi" w:eastAsia="Times New Roman" w:hAnsiTheme="minorHAnsi" w:cs="Arial"/>
                <w:sz w:val="18"/>
                <w:szCs w:val="18"/>
                <w:lang w:val="hr-HR"/>
              </w:rPr>
              <w:t>4.5</w:t>
            </w:r>
          </w:p>
        </w:tc>
        <w:tc>
          <w:tcPr>
            <w:tcW w:w="1033" w:type="dxa"/>
            <w:tcBorders>
              <w:top w:val="nil"/>
              <w:left w:val="nil"/>
              <w:bottom w:val="nil"/>
              <w:right w:val="nil"/>
            </w:tcBorders>
            <w:shd w:val="clear" w:color="auto" w:fill="auto"/>
            <w:vAlign w:val="bottom"/>
          </w:tcPr>
          <w:p w14:paraId="422BCD26" w14:textId="6C0BDEA4"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6B318F">
              <w:rPr>
                <w:rFonts w:asciiTheme="minorHAnsi" w:eastAsia="Times New Roman" w:hAnsiTheme="minorHAnsi" w:cs="Arial"/>
                <w:sz w:val="18"/>
                <w:szCs w:val="18"/>
                <w:lang w:val="hr-HR"/>
              </w:rPr>
              <w:t>9,647</w:t>
            </w:r>
          </w:p>
        </w:tc>
        <w:tc>
          <w:tcPr>
            <w:tcW w:w="1034" w:type="dxa"/>
            <w:tcBorders>
              <w:top w:val="nil"/>
              <w:left w:val="nil"/>
              <w:bottom w:val="nil"/>
              <w:right w:val="nil"/>
            </w:tcBorders>
            <w:shd w:val="clear" w:color="auto" w:fill="auto"/>
            <w:vAlign w:val="bottom"/>
          </w:tcPr>
          <w:p w14:paraId="256A1248" w14:textId="77777777"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9,335</w:t>
            </w:r>
          </w:p>
        </w:tc>
        <w:tc>
          <w:tcPr>
            <w:tcW w:w="1033" w:type="dxa"/>
            <w:tcBorders>
              <w:top w:val="nil"/>
              <w:left w:val="nil"/>
              <w:bottom w:val="nil"/>
              <w:right w:val="nil"/>
            </w:tcBorders>
            <w:shd w:val="clear" w:color="auto" w:fill="auto"/>
            <w:noWrap/>
            <w:vAlign w:val="bottom"/>
          </w:tcPr>
          <w:p w14:paraId="714C2813" w14:textId="1E69379C" w:rsidR="00F850F1" w:rsidRPr="005444AA" w:rsidRDefault="00F850F1" w:rsidP="00F850F1">
            <w:pPr>
              <w:spacing w:after="0" w:line="240" w:lineRule="auto"/>
              <w:jc w:val="right"/>
              <w:rPr>
                <w:rFonts w:asciiTheme="minorHAnsi" w:eastAsia="Times New Roman" w:hAnsiTheme="minorHAnsi" w:cs="Arial"/>
                <w:sz w:val="18"/>
                <w:szCs w:val="18"/>
                <w:lang w:val="hr-HR"/>
              </w:rPr>
            </w:pPr>
            <w:r>
              <w:rPr>
                <w:rFonts w:eastAsia="Times New Roman"/>
                <w:sz w:val="18"/>
                <w:szCs w:val="18"/>
                <w:lang w:val="en-US"/>
              </w:rPr>
              <w:t>-</w:t>
            </w:r>
          </w:p>
        </w:tc>
        <w:tc>
          <w:tcPr>
            <w:tcW w:w="1035" w:type="dxa"/>
            <w:tcBorders>
              <w:top w:val="nil"/>
              <w:left w:val="nil"/>
              <w:bottom w:val="nil"/>
              <w:right w:val="nil"/>
            </w:tcBorders>
            <w:shd w:val="clear" w:color="auto" w:fill="auto"/>
            <w:vAlign w:val="bottom"/>
          </w:tcPr>
          <w:p w14:paraId="11AA4B87" w14:textId="77777777"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w:t>
            </w:r>
          </w:p>
        </w:tc>
      </w:tr>
      <w:tr w:rsidR="00F850F1" w:rsidRPr="00F639EA" w14:paraId="54D16A9E" w14:textId="77777777" w:rsidTr="006B318F">
        <w:trPr>
          <w:gridAfter w:val="1"/>
          <w:wAfter w:w="1035" w:type="dxa"/>
          <w:trHeight w:hRule="exact" w:val="205"/>
        </w:trPr>
        <w:tc>
          <w:tcPr>
            <w:tcW w:w="2836" w:type="dxa"/>
            <w:tcBorders>
              <w:top w:val="nil"/>
              <w:left w:val="nil"/>
              <w:bottom w:val="nil"/>
              <w:right w:val="nil"/>
            </w:tcBorders>
            <w:shd w:val="clear" w:color="auto" w:fill="auto"/>
            <w:noWrap/>
            <w:vAlign w:val="center"/>
          </w:tcPr>
          <w:p w14:paraId="693C796E" w14:textId="77777777" w:rsidR="00F850F1" w:rsidRPr="00F639EA" w:rsidRDefault="00F850F1" w:rsidP="00F850F1">
            <w:pPr>
              <w:spacing w:after="0" w:line="240" w:lineRule="auto"/>
              <w:jc w:val="right"/>
              <w:rPr>
                <w:rFonts w:asciiTheme="minorHAnsi" w:eastAsia="Times New Roman" w:hAnsiTheme="minorHAnsi" w:cs="Arial"/>
                <w:sz w:val="18"/>
                <w:szCs w:val="18"/>
                <w:lang w:val="en-US" w:eastAsia="hr-HR"/>
              </w:rPr>
            </w:pPr>
            <w:r w:rsidRPr="00F639EA">
              <w:rPr>
                <w:rFonts w:asciiTheme="minorHAnsi" w:eastAsia="Times New Roman" w:hAnsiTheme="minorHAnsi" w:cs="Arial"/>
                <w:sz w:val="18"/>
                <w:szCs w:val="18"/>
                <w:lang w:val="hr-HR"/>
              </w:rPr>
              <w:t>RHMF-O-26CA</w:t>
            </w:r>
          </w:p>
        </w:tc>
        <w:tc>
          <w:tcPr>
            <w:tcW w:w="1134" w:type="dxa"/>
            <w:tcBorders>
              <w:top w:val="nil"/>
              <w:left w:val="nil"/>
              <w:bottom w:val="nil"/>
              <w:right w:val="nil"/>
            </w:tcBorders>
            <w:shd w:val="clear" w:color="auto" w:fill="auto"/>
            <w:noWrap/>
            <w:vAlign w:val="center"/>
          </w:tcPr>
          <w:p w14:paraId="500B689F" w14:textId="3C0DC7B7" w:rsidR="00F850F1" w:rsidRPr="00F639EA" w:rsidRDefault="00F850F1" w:rsidP="00F850F1">
            <w:pPr>
              <w:spacing w:after="0" w:line="240" w:lineRule="auto"/>
              <w:jc w:val="righ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sz w:val="18"/>
                <w:szCs w:val="18"/>
                <w:lang w:val="hr-HR"/>
              </w:rPr>
              <w:t>14.12.2015</w:t>
            </w:r>
          </w:p>
        </w:tc>
        <w:tc>
          <w:tcPr>
            <w:tcW w:w="1134" w:type="dxa"/>
            <w:tcBorders>
              <w:top w:val="nil"/>
              <w:left w:val="nil"/>
              <w:bottom w:val="nil"/>
              <w:right w:val="nil"/>
            </w:tcBorders>
            <w:shd w:val="clear" w:color="auto" w:fill="auto"/>
            <w:noWrap/>
            <w:vAlign w:val="center"/>
          </w:tcPr>
          <w:p w14:paraId="60B978AC" w14:textId="77B394C3" w:rsidR="00F850F1" w:rsidRPr="00F639EA" w:rsidRDefault="00F850F1" w:rsidP="00F850F1">
            <w:pPr>
              <w:spacing w:after="0" w:line="240" w:lineRule="auto"/>
              <w:jc w:val="righ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sz w:val="18"/>
                <w:szCs w:val="18"/>
                <w:lang w:val="hr-HR"/>
              </w:rPr>
              <w:t>14.12.2026</w:t>
            </w:r>
          </w:p>
        </w:tc>
        <w:tc>
          <w:tcPr>
            <w:tcW w:w="1261" w:type="dxa"/>
            <w:tcBorders>
              <w:top w:val="nil"/>
              <w:left w:val="nil"/>
              <w:bottom w:val="nil"/>
              <w:right w:val="nil"/>
            </w:tcBorders>
            <w:shd w:val="clear" w:color="auto" w:fill="auto"/>
            <w:noWrap/>
            <w:vAlign w:val="bottom"/>
          </w:tcPr>
          <w:p w14:paraId="46574151" w14:textId="77777777" w:rsidR="00F850F1" w:rsidRPr="00F639EA" w:rsidRDefault="00F850F1" w:rsidP="00F850F1">
            <w:pPr>
              <w:spacing w:after="0" w:line="240" w:lineRule="auto"/>
              <w:jc w:val="center"/>
              <w:rPr>
                <w:rFonts w:asciiTheme="minorHAnsi" w:eastAsia="Times New Roman" w:hAnsiTheme="minorHAnsi" w:cs="Arial"/>
                <w:sz w:val="18"/>
                <w:szCs w:val="18"/>
                <w:lang w:val="en-US" w:eastAsia="hr-HR"/>
              </w:rPr>
            </w:pPr>
            <w:r w:rsidRPr="00F639EA">
              <w:rPr>
                <w:rFonts w:asciiTheme="minorHAnsi" w:eastAsia="Times New Roman" w:hAnsiTheme="minorHAnsi" w:cs="Arial"/>
                <w:sz w:val="18"/>
                <w:szCs w:val="18"/>
                <w:lang w:val="hr-HR"/>
              </w:rPr>
              <w:t>4.25</w:t>
            </w:r>
          </w:p>
        </w:tc>
        <w:tc>
          <w:tcPr>
            <w:tcW w:w="1033" w:type="dxa"/>
            <w:tcBorders>
              <w:top w:val="nil"/>
              <w:left w:val="nil"/>
              <w:bottom w:val="nil"/>
              <w:right w:val="nil"/>
            </w:tcBorders>
            <w:shd w:val="clear" w:color="auto" w:fill="auto"/>
            <w:vAlign w:val="bottom"/>
          </w:tcPr>
          <w:p w14:paraId="1C718A4F" w14:textId="4587233A"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6B318F">
              <w:rPr>
                <w:rFonts w:asciiTheme="minorHAnsi" w:eastAsia="Times New Roman" w:hAnsiTheme="minorHAnsi" w:cs="Arial"/>
                <w:sz w:val="18"/>
                <w:szCs w:val="18"/>
                <w:lang w:val="hr-HR"/>
              </w:rPr>
              <w:t>43,152</w:t>
            </w:r>
          </w:p>
        </w:tc>
        <w:tc>
          <w:tcPr>
            <w:tcW w:w="1034" w:type="dxa"/>
            <w:tcBorders>
              <w:top w:val="nil"/>
              <w:left w:val="nil"/>
              <w:bottom w:val="nil"/>
              <w:right w:val="nil"/>
            </w:tcBorders>
            <w:shd w:val="clear" w:color="auto" w:fill="auto"/>
            <w:vAlign w:val="bottom"/>
          </w:tcPr>
          <w:p w14:paraId="4AD3AFEC" w14:textId="77777777"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41,909</w:t>
            </w:r>
          </w:p>
        </w:tc>
        <w:tc>
          <w:tcPr>
            <w:tcW w:w="1033" w:type="dxa"/>
            <w:tcBorders>
              <w:top w:val="nil"/>
              <w:left w:val="nil"/>
              <w:bottom w:val="nil"/>
              <w:right w:val="nil"/>
            </w:tcBorders>
            <w:shd w:val="clear" w:color="auto" w:fill="auto"/>
            <w:noWrap/>
            <w:vAlign w:val="bottom"/>
          </w:tcPr>
          <w:p w14:paraId="3610C58E" w14:textId="6C5F53D1"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FE65B6">
              <w:rPr>
                <w:rFonts w:eastAsia="Times New Roman"/>
                <w:sz w:val="18"/>
                <w:szCs w:val="18"/>
                <w:lang w:val="en-US"/>
              </w:rPr>
              <w:t>34</w:t>
            </w:r>
            <w:r>
              <w:rPr>
                <w:rFonts w:eastAsia="Times New Roman"/>
                <w:sz w:val="18"/>
                <w:szCs w:val="18"/>
                <w:lang w:val="en-US"/>
              </w:rPr>
              <w:t>,</w:t>
            </w:r>
            <w:r w:rsidRPr="00FE65B6">
              <w:rPr>
                <w:rFonts w:eastAsia="Times New Roman"/>
                <w:sz w:val="18"/>
                <w:szCs w:val="18"/>
                <w:lang w:val="en-US"/>
              </w:rPr>
              <w:t>115</w:t>
            </w:r>
          </w:p>
        </w:tc>
        <w:tc>
          <w:tcPr>
            <w:tcW w:w="1035" w:type="dxa"/>
            <w:tcBorders>
              <w:top w:val="nil"/>
              <w:left w:val="nil"/>
              <w:bottom w:val="nil"/>
              <w:right w:val="nil"/>
            </w:tcBorders>
            <w:shd w:val="clear" w:color="auto" w:fill="auto"/>
            <w:vAlign w:val="bottom"/>
          </w:tcPr>
          <w:p w14:paraId="3C77A3BD" w14:textId="77777777"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33,089</w:t>
            </w:r>
          </w:p>
        </w:tc>
      </w:tr>
      <w:tr w:rsidR="00F850F1" w:rsidRPr="00F639EA" w14:paraId="06817DCC" w14:textId="77777777" w:rsidTr="006B318F">
        <w:trPr>
          <w:gridAfter w:val="1"/>
          <w:wAfter w:w="1035" w:type="dxa"/>
          <w:trHeight w:hRule="exact" w:val="205"/>
        </w:trPr>
        <w:tc>
          <w:tcPr>
            <w:tcW w:w="2836" w:type="dxa"/>
            <w:tcBorders>
              <w:top w:val="nil"/>
              <w:left w:val="nil"/>
              <w:bottom w:val="nil"/>
              <w:right w:val="nil"/>
            </w:tcBorders>
            <w:shd w:val="clear" w:color="auto" w:fill="auto"/>
            <w:noWrap/>
            <w:vAlign w:val="center"/>
          </w:tcPr>
          <w:p w14:paraId="00F40AE4" w14:textId="77777777" w:rsidR="00F850F1" w:rsidRPr="00F639EA" w:rsidRDefault="00F850F1" w:rsidP="00F850F1">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RHMF-O-217A</w:t>
            </w:r>
          </w:p>
        </w:tc>
        <w:tc>
          <w:tcPr>
            <w:tcW w:w="1134" w:type="dxa"/>
            <w:tcBorders>
              <w:top w:val="nil"/>
              <w:left w:val="nil"/>
              <w:bottom w:val="nil"/>
              <w:right w:val="nil"/>
            </w:tcBorders>
            <w:shd w:val="clear" w:color="auto" w:fill="auto"/>
            <w:noWrap/>
            <w:vAlign w:val="center"/>
          </w:tcPr>
          <w:p w14:paraId="2D5277FD" w14:textId="2C838B88" w:rsidR="00F850F1" w:rsidRPr="00F639EA" w:rsidRDefault="00F850F1" w:rsidP="00F850F1">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8.7.2016</w:t>
            </w:r>
          </w:p>
        </w:tc>
        <w:tc>
          <w:tcPr>
            <w:tcW w:w="1134" w:type="dxa"/>
            <w:tcBorders>
              <w:top w:val="nil"/>
              <w:left w:val="nil"/>
              <w:bottom w:val="nil"/>
              <w:right w:val="nil"/>
            </w:tcBorders>
            <w:shd w:val="clear" w:color="auto" w:fill="auto"/>
            <w:noWrap/>
            <w:vAlign w:val="center"/>
          </w:tcPr>
          <w:p w14:paraId="4FD1F05D" w14:textId="4D8CA39E" w:rsidR="00F850F1" w:rsidRPr="00F639EA" w:rsidRDefault="00F850F1" w:rsidP="00F850F1">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8.7.2021</w:t>
            </w:r>
          </w:p>
        </w:tc>
        <w:tc>
          <w:tcPr>
            <w:tcW w:w="1261" w:type="dxa"/>
            <w:tcBorders>
              <w:top w:val="nil"/>
              <w:left w:val="nil"/>
              <w:bottom w:val="nil"/>
              <w:right w:val="nil"/>
            </w:tcBorders>
            <w:shd w:val="clear" w:color="auto" w:fill="auto"/>
            <w:noWrap/>
            <w:vAlign w:val="bottom"/>
          </w:tcPr>
          <w:p w14:paraId="43FF01C1" w14:textId="77777777" w:rsidR="00F850F1" w:rsidRPr="00F639EA" w:rsidRDefault="00F850F1" w:rsidP="00F850F1">
            <w:pPr>
              <w:spacing w:after="0" w:line="240" w:lineRule="auto"/>
              <w:jc w:val="center"/>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2.75</w:t>
            </w:r>
          </w:p>
        </w:tc>
        <w:tc>
          <w:tcPr>
            <w:tcW w:w="1033" w:type="dxa"/>
            <w:tcBorders>
              <w:top w:val="nil"/>
              <w:left w:val="nil"/>
              <w:bottom w:val="nil"/>
              <w:right w:val="nil"/>
            </w:tcBorders>
            <w:shd w:val="clear" w:color="auto" w:fill="auto"/>
            <w:vAlign w:val="bottom"/>
          </w:tcPr>
          <w:p w14:paraId="28F322BB" w14:textId="201F5A69" w:rsidR="00F850F1" w:rsidRPr="00F639EA" w:rsidRDefault="00F850F1" w:rsidP="00F850F1">
            <w:pPr>
              <w:spacing w:after="0" w:line="240" w:lineRule="auto"/>
              <w:jc w:val="right"/>
              <w:rPr>
                <w:rFonts w:asciiTheme="minorHAnsi" w:eastAsia="Times New Roman" w:hAnsiTheme="minorHAnsi" w:cs="Arial"/>
                <w:sz w:val="18"/>
                <w:szCs w:val="18"/>
                <w:lang w:val="hr-HR"/>
              </w:rPr>
            </w:pPr>
            <w:r w:rsidRPr="006B318F">
              <w:rPr>
                <w:rFonts w:asciiTheme="minorHAnsi" w:eastAsia="Times New Roman" w:hAnsiTheme="minorHAnsi" w:cs="Arial"/>
                <w:sz w:val="18"/>
                <w:szCs w:val="18"/>
                <w:lang w:val="hr-HR"/>
              </w:rPr>
              <w:t>206,787</w:t>
            </w:r>
          </w:p>
        </w:tc>
        <w:tc>
          <w:tcPr>
            <w:tcW w:w="1034" w:type="dxa"/>
            <w:tcBorders>
              <w:top w:val="nil"/>
              <w:left w:val="nil"/>
              <w:bottom w:val="nil"/>
              <w:right w:val="nil"/>
            </w:tcBorders>
            <w:shd w:val="clear" w:color="auto" w:fill="auto"/>
            <w:vAlign w:val="bottom"/>
          </w:tcPr>
          <w:p w14:paraId="12881CB4" w14:textId="77777777" w:rsidR="00F850F1" w:rsidRPr="00F639EA" w:rsidRDefault="00F850F1" w:rsidP="00F850F1">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201,471</w:t>
            </w:r>
          </w:p>
        </w:tc>
        <w:tc>
          <w:tcPr>
            <w:tcW w:w="1033" w:type="dxa"/>
            <w:tcBorders>
              <w:top w:val="nil"/>
              <w:left w:val="nil"/>
              <w:bottom w:val="nil"/>
              <w:right w:val="nil"/>
            </w:tcBorders>
            <w:shd w:val="clear" w:color="auto" w:fill="auto"/>
            <w:noWrap/>
            <w:vAlign w:val="bottom"/>
          </w:tcPr>
          <w:p w14:paraId="0AC1E4C9" w14:textId="6DDC2DC2" w:rsidR="00F850F1" w:rsidRPr="00F639EA" w:rsidRDefault="00F850F1" w:rsidP="00F850F1">
            <w:pPr>
              <w:spacing w:after="0" w:line="240" w:lineRule="auto"/>
              <w:jc w:val="right"/>
              <w:rPr>
                <w:rFonts w:asciiTheme="minorHAnsi" w:eastAsia="Times New Roman" w:hAnsiTheme="minorHAnsi" w:cs="Arial"/>
                <w:sz w:val="18"/>
                <w:szCs w:val="18"/>
                <w:lang w:val="hr-HR"/>
              </w:rPr>
            </w:pPr>
            <w:r w:rsidRPr="00FE65B6">
              <w:rPr>
                <w:rFonts w:eastAsia="Times New Roman"/>
                <w:sz w:val="18"/>
                <w:szCs w:val="18"/>
                <w:lang w:val="en-US"/>
              </w:rPr>
              <w:t>204</w:t>
            </w:r>
            <w:r>
              <w:rPr>
                <w:rFonts w:eastAsia="Times New Roman"/>
                <w:sz w:val="18"/>
                <w:szCs w:val="18"/>
                <w:lang w:val="en-US"/>
              </w:rPr>
              <w:t>,</w:t>
            </w:r>
            <w:r w:rsidRPr="00FE65B6">
              <w:rPr>
                <w:rFonts w:eastAsia="Times New Roman"/>
                <w:sz w:val="18"/>
                <w:szCs w:val="18"/>
                <w:lang w:val="en-US"/>
              </w:rPr>
              <w:t>672</w:t>
            </w:r>
          </w:p>
        </w:tc>
        <w:tc>
          <w:tcPr>
            <w:tcW w:w="1035" w:type="dxa"/>
            <w:tcBorders>
              <w:top w:val="nil"/>
              <w:left w:val="nil"/>
              <w:bottom w:val="nil"/>
              <w:right w:val="nil"/>
            </w:tcBorders>
            <w:shd w:val="clear" w:color="auto" w:fill="auto"/>
            <w:vAlign w:val="bottom"/>
          </w:tcPr>
          <w:p w14:paraId="4B7299C2" w14:textId="77777777" w:rsidR="00F850F1" w:rsidRPr="00F639EA" w:rsidRDefault="00F850F1" w:rsidP="00F850F1">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199,411</w:t>
            </w:r>
          </w:p>
        </w:tc>
      </w:tr>
      <w:tr w:rsidR="00F850F1" w:rsidRPr="00F639EA" w14:paraId="722BE0C5" w14:textId="77777777" w:rsidTr="006B318F">
        <w:trPr>
          <w:trHeight w:hRule="exact" w:val="205"/>
        </w:trPr>
        <w:tc>
          <w:tcPr>
            <w:tcW w:w="2836" w:type="dxa"/>
            <w:tcBorders>
              <w:top w:val="nil"/>
              <w:left w:val="nil"/>
              <w:bottom w:val="nil"/>
              <w:right w:val="nil"/>
            </w:tcBorders>
            <w:shd w:val="clear" w:color="auto" w:fill="auto"/>
            <w:noWrap/>
            <w:vAlign w:val="center"/>
          </w:tcPr>
          <w:p w14:paraId="30C3B82D" w14:textId="77777777" w:rsidR="00F850F1" w:rsidRPr="00F639EA" w:rsidRDefault="00F850F1" w:rsidP="00F850F1">
            <w:pPr>
              <w:spacing w:after="0" w:line="240" w:lineRule="auto"/>
              <w:jc w:val="right"/>
              <w:rPr>
                <w:rFonts w:asciiTheme="minorHAnsi" w:eastAsia="Times New Roman" w:hAnsiTheme="minorHAnsi" w:cs="Arial"/>
                <w:sz w:val="18"/>
                <w:szCs w:val="18"/>
                <w:lang w:val="hr-HR"/>
              </w:rPr>
            </w:pPr>
            <w:r w:rsidRPr="009F6ADE">
              <w:rPr>
                <w:rFonts w:eastAsia="Times New Roman" w:cs="Arial"/>
                <w:sz w:val="18"/>
                <w:szCs w:val="18"/>
              </w:rPr>
              <w:t>RHMF-O-2</w:t>
            </w:r>
            <w:r>
              <w:rPr>
                <w:rFonts w:eastAsia="Times New Roman" w:cs="Arial"/>
                <w:sz w:val="18"/>
                <w:szCs w:val="18"/>
              </w:rPr>
              <w:t>22</w:t>
            </w:r>
            <w:r w:rsidRPr="009F6ADE">
              <w:rPr>
                <w:rFonts w:eastAsia="Times New Roman" w:cs="Arial"/>
                <w:sz w:val="18"/>
                <w:szCs w:val="18"/>
              </w:rPr>
              <w:t>A</w:t>
            </w:r>
          </w:p>
        </w:tc>
        <w:tc>
          <w:tcPr>
            <w:tcW w:w="1134" w:type="dxa"/>
            <w:tcBorders>
              <w:top w:val="nil"/>
              <w:left w:val="nil"/>
              <w:bottom w:val="nil"/>
              <w:right w:val="nil"/>
            </w:tcBorders>
            <w:shd w:val="clear" w:color="auto" w:fill="auto"/>
            <w:noWrap/>
            <w:vAlign w:val="center"/>
          </w:tcPr>
          <w:p w14:paraId="5F7D719C" w14:textId="5D547998" w:rsidR="00F850F1" w:rsidRPr="00F639EA" w:rsidRDefault="00F850F1" w:rsidP="00F850F1">
            <w:pPr>
              <w:spacing w:after="0" w:line="240" w:lineRule="auto"/>
              <w:jc w:val="right"/>
              <w:rPr>
                <w:rFonts w:asciiTheme="minorHAnsi" w:eastAsia="Times New Roman" w:hAnsiTheme="minorHAnsi" w:cs="Arial"/>
                <w:sz w:val="18"/>
                <w:szCs w:val="18"/>
                <w:lang w:val="hr-HR"/>
              </w:rPr>
            </w:pPr>
            <w:r>
              <w:rPr>
                <w:rFonts w:eastAsia="Times New Roman" w:cs="Arial"/>
                <w:sz w:val="18"/>
                <w:szCs w:val="18"/>
              </w:rPr>
              <w:t>7.2.2017</w:t>
            </w:r>
          </w:p>
        </w:tc>
        <w:tc>
          <w:tcPr>
            <w:tcW w:w="1134" w:type="dxa"/>
            <w:tcBorders>
              <w:top w:val="nil"/>
              <w:left w:val="nil"/>
              <w:bottom w:val="nil"/>
              <w:right w:val="nil"/>
            </w:tcBorders>
            <w:shd w:val="clear" w:color="auto" w:fill="auto"/>
            <w:noWrap/>
            <w:vAlign w:val="center"/>
          </w:tcPr>
          <w:p w14:paraId="6A7C50A6" w14:textId="0CC9A3B3" w:rsidR="00F850F1" w:rsidRPr="00F639EA" w:rsidRDefault="00F850F1" w:rsidP="00F850F1">
            <w:pPr>
              <w:spacing w:after="0" w:line="240" w:lineRule="auto"/>
              <w:jc w:val="right"/>
              <w:rPr>
                <w:rFonts w:asciiTheme="minorHAnsi" w:eastAsia="Times New Roman" w:hAnsiTheme="minorHAnsi" w:cs="Arial"/>
                <w:sz w:val="18"/>
                <w:szCs w:val="18"/>
                <w:lang w:val="hr-HR"/>
              </w:rPr>
            </w:pPr>
            <w:r>
              <w:rPr>
                <w:rFonts w:eastAsia="Times New Roman" w:cs="Arial"/>
                <w:sz w:val="18"/>
                <w:szCs w:val="18"/>
              </w:rPr>
              <w:t>7.2.2022</w:t>
            </w:r>
          </w:p>
        </w:tc>
        <w:tc>
          <w:tcPr>
            <w:tcW w:w="1261" w:type="dxa"/>
            <w:tcBorders>
              <w:top w:val="nil"/>
              <w:left w:val="nil"/>
              <w:bottom w:val="nil"/>
              <w:right w:val="nil"/>
            </w:tcBorders>
            <w:shd w:val="clear" w:color="auto" w:fill="auto"/>
            <w:noWrap/>
            <w:vAlign w:val="bottom"/>
          </w:tcPr>
          <w:p w14:paraId="3E2EEE7C" w14:textId="77777777" w:rsidR="00F850F1" w:rsidRPr="00F639EA" w:rsidRDefault="00F850F1" w:rsidP="00F850F1">
            <w:pPr>
              <w:spacing w:after="0" w:line="240" w:lineRule="auto"/>
              <w:jc w:val="center"/>
              <w:rPr>
                <w:rFonts w:asciiTheme="minorHAnsi" w:eastAsia="Times New Roman" w:hAnsiTheme="minorHAnsi" w:cs="Arial"/>
                <w:sz w:val="18"/>
                <w:szCs w:val="18"/>
                <w:lang w:val="hr-HR"/>
              </w:rPr>
            </w:pPr>
            <w:r>
              <w:rPr>
                <w:rFonts w:eastAsia="Times New Roman" w:cs="Arial"/>
                <w:sz w:val="18"/>
                <w:szCs w:val="18"/>
              </w:rPr>
              <w:t>2.25</w:t>
            </w:r>
          </w:p>
        </w:tc>
        <w:tc>
          <w:tcPr>
            <w:tcW w:w="1033" w:type="dxa"/>
            <w:tcBorders>
              <w:top w:val="nil"/>
              <w:left w:val="nil"/>
              <w:bottom w:val="nil"/>
              <w:right w:val="nil"/>
            </w:tcBorders>
            <w:shd w:val="clear" w:color="auto" w:fill="auto"/>
            <w:vAlign w:val="bottom"/>
          </w:tcPr>
          <w:p w14:paraId="297FE064" w14:textId="32D44D7C" w:rsidR="00F850F1" w:rsidRPr="00F639EA" w:rsidRDefault="00F850F1" w:rsidP="00F850F1">
            <w:pPr>
              <w:spacing w:after="0" w:line="240" w:lineRule="auto"/>
              <w:jc w:val="right"/>
              <w:rPr>
                <w:rFonts w:asciiTheme="minorHAnsi" w:eastAsia="Times New Roman" w:hAnsiTheme="minorHAnsi" w:cs="Arial"/>
                <w:sz w:val="18"/>
                <w:szCs w:val="18"/>
                <w:lang w:val="hr-HR"/>
              </w:rPr>
            </w:pPr>
            <w:r w:rsidRPr="006B318F">
              <w:rPr>
                <w:rFonts w:asciiTheme="minorHAnsi" w:eastAsia="Times New Roman" w:hAnsiTheme="minorHAnsi" w:cs="Arial"/>
                <w:sz w:val="18"/>
                <w:szCs w:val="18"/>
                <w:lang w:val="hr-HR"/>
              </w:rPr>
              <w:t>72,115</w:t>
            </w:r>
          </w:p>
        </w:tc>
        <w:tc>
          <w:tcPr>
            <w:tcW w:w="1034" w:type="dxa"/>
            <w:tcBorders>
              <w:top w:val="nil"/>
              <w:left w:val="nil"/>
              <w:bottom w:val="nil"/>
              <w:right w:val="nil"/>
            </w:tcBorders>
            <w:shd w:val="clear" w:color="auto" w:fill="auto"/>
            <w:vAlign w:val="bottom"/>
          </w:tcPr>
          <w:p w14:paraId="29D031E6" w14:textId="77777777"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w:t>
            </w:r>
          </w:p>
        </w:tc>
        <w:tc>
          <w:tcPr>
            <w:tcW w:w="1033" w:type="dxa"/>
            <w:tcBorders>
              <w:top w:val="nil"/>
              <w:left w:val="nil"/>
              <w:bottom w:val="nil"/>
              <w:right w:val="nil"/>
            </w:tcBorders>
            <w:shd w:val="clear" w:color="auto" w:fill="auto"/>
            <w:noWrap/>
            <w:vAlign w:val="bottom"/>
          </w:tcPr>
          <w:p w14:paraId="331708AA" w14:textId="15AD5801" w:rsidR="00F850F1" w:rsidRPr="00F639EA" w:rsidRDefault="00F850F1" w:rsidP="00F850F1">
            <w:pPr>
              <w:spacing w:after="0" w:line="240" w:lineRule="auto"/>
              <w:jc w:val="right"/>
              <w:rPr>
                <w:rFonts w:asciiTheme="minorHAnsi" w:eastAsia="Times New Roman" w:hAnsiTheme="minorHAnsi" w:cs="Arial"/>
                <w:sz w:val="18"/>
                <w:szCs w:val="18"/>
                <w:lang w:val="hr-HR"/>
              </w:rPr>
            </w:pPr>
            <w:r w:rsidRPr="00FE65B6">
              <w:rPr>
                <w:rFonts w:eastAsia="Times New Roman"/>
                <w:sz w:val="18"/>
                <w:szCs w:val="18"/>
                <w:lang w:val="en-US"/>
              </w:rPr>
              <w:t>72</w:t>
            </w:r>
            <w:r>
              <w:rPr>
                <w:rFonts w:eastAsia="Times New Roman"/>
                <w:sz w:val="18"/>
                <w:szCs w:val="18"/>
                <w:lang w:val="en-US"/>
              </w:rPr>
              <w:t>,</w:t>
            </w:r>
            <w:r w:rsidRPr="00FE65B6">
              <w:rPr>
                <w:rFonts w:eastAsia="Times New Roman"/>
                <w:sz w:val="18"/>
                <w:szCs w:val="18"/>
                <w:lang w:val="en-US"/>
              </w:rPr>
              <w:t>115</w:t>
            </w:r>
          </w:p>
        </w:tc>
        <w:tc>
          <w:tcPr>
            <w:tcW w:w="1035" w:type="dxa"/>
            <w:tcBorders>
              <w:top w:val="nil"/>
              <w:left w:val="nil"/>
              <w:bottom w:val="nil"/>
              <w:right w:val="nil"/>
            </w:tcBorders>
            <w:shd w:val="clear" w:color="auto" w:fill="auto"/>
            <w:vAlign w:val="bottom"/>
          </w:tcPr>
          <w:p w14:paraId="15B43FDF" w14:textId="77777777"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w:t>
            </w:r>
          </w:p>
        </w:tc>
        <w:tc>
          <w:tcPr>
            <w:tcW w:w="1035" w:type="dxa"/>
            <w:tcBorders>
              <w:top w:val="nil"/>
              <w:left w:val="nil"/>
              <w:bottom w:val="nil"/>
              <w:right w:val="nil"/>
            </w:tcBorders>
            <w:shd w:val="clear" w:color="auto" w:fill="auto"/>
            <w:vAlign w:val="center"/>
          </w:tcPr>
          <w:p w14:paraId="3F0306E2" w14:textId="77777777" w:rsidR="00F850F1" w:rsidRPr="00F639EA" w:rsidRDefault="00F850F1" w:rsidP="00F850F1">
            <w:pPr>
              <w:spacing w:after="0" w:line="240" w:lineRule="auto"/>
            </w:pPr>
          </w:p>
        </w:tc>
      </w:tr>
      <w:tr w:rsidR="00F850F1" w:rsidRPr="00F639EA" w14:paraId="3EC7F4CC" w14:textId="77777777" w:rsidTr="006B318F">
        <w:trPr>
          <w:trHeight w:hRule="exact" w:val="205"/>
        </w:trPr>
        <w:tc>
          <w:tcPr>
            <w:tcW w:w="2836" w:type="dxa"/>
            <w:tcBorders>
              <w:top w:val="nil"/>
              <w:left w:val="nil"/>
              <w:bottom w:val="nil"/>
              <w:right w:val="nil"/>
            </w:tcBorders>
            <w:shd w:val="clear" w:color="auto" w:fill="auto"/>
            <w:noWrap/>
            <w:vAlign w:val="center"/>
          </w:tcPr>
          <w:p w14:paraId="185AC926" w14:textId="77777777" w:rsidR="00F850F1" w:rsidRPr="00F639EA" w:rsidRDefault="00F850F1" w:rsidP="00F850F1">
            <w:pPr>
              <w:spacing w:after="0" w:line="240" w:lineRule="auto"/>
              <w:jc w:val="right"/>
              <w:rPr>
                <w:rFonts w:asciiTheme="minorHAnsi" w:eastAsia="Times New Roman" w:hAnsiTheme="minorHAnsi" w:cs="Arial"/>
                <w:sz w:val="18"/>
                <w:szCs w:val="18"/>
                <w:lang w:val="hr-HR"/>
              </w:rPr>
            </w:pPr>
            <w:r w:rsidRPr="009F6ADE">
              <w:rPr>
                <w:rFonts w:eastAsia="Times New Roman" w:cs="Arial"/>
                <w:sz w:val="18"/>
                <w:szCs w:val="18"/>
              </w:rPr>
              <w:t>RHMF-O-2</w:t>
            </w:r>
            <w:r>
              <w:rPr>
                <w:rFonts w:eastAsia="Times New Roman" w:cs="Arial"/>
                <w:sz w:val="18"/>
                <w:szCs w:val="18"/>
              </w:rPr>
              <w:t>82</w:t>
            </w:r>
            <w:r w:rsidRPr="009F6ADE">
              <w:rPr>
                <w:rFonts w:eastAsia="Times New Roman" w:cs="Arial"/>
                <w:sz w:val="18"/>
                <w:szCs w:val="18"/>
              </w:rPr>
              <w:t>A</w:t>
            </w:r>
          </w:p>
        </w:tc>
        <w:tc>
          <w:tcPr>
            <w:tcW w:w="1134" w:type="dxa"/>
            <w:tcBorders>
              <w:top w:val="nil"/>
              <w:left w:val="nil"/>
              <w:bottom w:val="nil"/>
              <w:right w:val="nil"/>
            </w:tcBorders>
            <w:shd w:val="clear" w:color="auto" w:fill="auto"/>
            <w:noWrap/>
            <w:vAlign w:val="center"/>
          </w:tcPr>
          <w:p w14:paraId="6DE379B7" w14:textId="4DF6E6CC" w:rsidR="00F850F1" w:rsidRPr="00F639EA" w:rsidRDefault="00F850F1" w:rsidP="00F850F1">
            <w:pPr>
              <w:spacing w:after="0" w:line="240" w:lineRule="auto"/>
              <w:jc w:val="right"/>
              <w:rPr>
                <w:rFonts w:asciiTheme="minorHAnsi" w:eastAsia="Times New Roman" w:hAnsiTheme="minorHAnsi" w:cs="Arial"/>
                <w:sz w:val="18"/>
                <w:szCs w:val="18"/>
                <w:lang w:val="hr-HR"/>
              </w:rPr>
            </w:pPr>
            <w:r>
              <w:rPr>
                <w:rFonts w:eastAsia="Times New Roman" w:cs="Arial"/>
                <w:sz w:val="18"/>
                <w:szCs w:val="18"/>
              </w:rPr>
              <w:t>7.2.2017</w:t>
            </w:r>
          </w:p>
        </w:tc>
        <w:tc>
          <w:tcPr>
            <w:tcW w:w="1134" w:type="dxa"/>
            <w:tcBorders>
              <w:top w:val="nil"/>
              <w:left w:val="nil"/>
              <w:bottom w:val="nil"/>
              <w:right w:val="nil"/>
            </w:tcBorders>
            <w:shd w:val="clear" w:color="auto" w:fill="auto"/>
            <w:noWrap/>
            <w:vAlign w:val="center"/>
          </w:tcPr>
          <w:p w14:paraId="4AC14330" w14:textId="1400F71B" w:rsidR="00F850F1" w:rsidRPr="00F639EA" w:rsidRDefault="00F850F1" w:rsidP="00F850F1">
            <w:pPr>
              <w:spacing w:after="0" w:line="240" w:lineRule="auto"/>
              <w:jc w:val="right"/>
              <w:rPr>
                <w:rFonts w:asciiTheme="minorHAnsi" w:eastAsia="Times New Roman" w:hAnsiTheme="minorHAnsi" w:cs="Arial"/>
                <w:sz w:val="18"/>
                <w:szCs w:val="18"/>
                <w:lang w:val="hr-HR"/>
              </w:rPr>
            </w:pPr>
            <w:r>
              <w:rPr>
                <w:rFonts w:eastAsia="Times New Roman" w:cs="Arial"/>
                <w:sz w:val="18"/>
                <w:szCs w:val="18"/>
              </w:rPr>
              <w:t>7.2.2028</w:t>
            </w:r>
          </w:p>
        </w:tc>
        <w:tc>
          <w:tcPr>
            <w:tcW w:w="1261" w:type="dxa"/>
            <w:tcBorders>
              <w:top w:val="nil"/>
              <w:left w:val="nil"/>
              <w:bottom w:val="nil"/>
              <w:right w:val="nil"/>
            </w:tcBorders>
            <w:shd w:val="clear" w:color="auto" w:fill="auto"/>
            <w:noWrap/>
            <w:vAlign w:val="bottom"/>
          </w:tcPr>
          <w:p w14:paraId="733B5CE1" w14:textId="77777777" w:rsidR="00F850F1" w:rsidRPr="00F639EA" w:rsidRDefault="00F850F1" w:rsidP="00F850F1">
            <w:pPr>
              <w:spacing w:after="0" w:line="240" w:lineRule="auto"/>
              <w:jc w:val="center"/>
              <w:rPr>
                <w:rFonts w:asciiTheme="minorHAnsi" w:eastAsia="Times New Roman" w:hAnsiTheme="minorHAnsi" w:cs="Arial"/>
                <w:sz w:val="18"/>
                <w:szCs w:val="18"/>
                <w:lang w:val="hr-HR"/>
              </w:rPr>
            </w:pPr>
            <w:r>
              <w:rPr>
                <w:rFonts w:eastAsia="Times New Roman" w:cs="Arial"/>
                <w:sz w:val="18"/>
                <w:szCs w:val="18"/>
              </w:rPr>
              <w:t>2.875</w:t>
            </w:r>
          </w:p>
        </w:tc>
        <w:tc>
          <w:tcPr>
            <w:tcW w:w="1033" w:type="dxa"/>
            <w:tcBorders>
              <w:top w:val="nil"/>
              <w:left w:val="nil"/>
              <w:bottom w:val="nil"/>
              <w:right w:val="nil"/>
            </w:tcBorders>
            <w:shd w:val="clear" w:color="auto" w:fill="auto"/>
            <w:vAlign w:val="bottom"/>
          </w:tcPr>
          <w:p w14:paraId="476718C7" w14:textId="3615DC8E" w:rsidR="00F850F1" w:rsidRPr="00F639EA" w:rsidRDefault="00F850F1" w:rsidP="00F850F1">
            <w:pPr>
              <w:spacing w:after="0" w:line="240" w:lineRule="auto"/>
              <w:jc w:val="right"/>
              <w:rPr>
                <w:rFonts w:asciiTheme="minorHAnsi" w:eastAsia="Times New Roman" w:hAnsiTheme="minorHAnsi" w:cs="Arial"/>
                <w:sz w:val="18"/>
                <w:szCs w:val="18"/>
                <w:lang w:val="hr-HR"/>
              </w:rPr>
            </w:pPr>
            <w:r w:rsidRPr="006B318F">
              <w:rPr>
                <w:rFonts w:asciiTheme="minorHAnsi" w:eastAsia="Times New Roman" w:hAnsiTheme="minorHAnsi" w:cs="Arial"/>
                <w:sz w:val="18"/>
                <w:szCs w:val="18"/>
                <w:lang w:val="hr-HR"/>
              </w:rPr>
              <w:t>12,021</w:t>
            </w:r>
          </w:p>
        </w:tc>
        <w:tc>
          <w:tcPr>
            <w:tcW w:w="1034" w:type="dxa"/>
            <w:tcBorders>
              <w:top w:val="nil"/>
              <w:left w:val="nil"/>
              <w:bottom w:val="nil"/>
              <w:right w:val="nil"/>
            </w:tcBorders>
            <w:shd w:val="clear" w:color="auto" w:fill="auto"/>
            <w:vAlign w:val="bottom"/>
          </w:tcPr>
          <w:p w14:paraId="592E59A4" w14:textId="77777777"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w:t>
            </w:r>
          </w:p>
        </w:tc>
        <w:tc>
          <w:tcPr>
            <w:tcW w:w="1033" w:type="dxa"/>
            <w:tcBorders>
              <w:top w:val="nil"/>
              <w:left w:val="nil"/>
              <w:bottom w:val="nil"/>
              <w:right w:val="nil"/>
            </w:tcBorders>
            <w:shd w:val="clear" w:color="auto" w:fill="auto"/>
            <w:noWrap/>
            <w:vAlign w:val="bottom"/>
          </w:tcPr>
          <w:p w14:paraId="6231D021" w14:textId="7FBB0448" w:rsidR="00F850F1" w:rsidRPr="00F639EA" w:rsidRDefault="00F850F1" w:rsidP="00F850F1">
            <w:pPr>
              <w:spacing w:after="0" w:line="240" w:lineRule="auto"/>
              <w:jc w:val="right"/>
              <w:rPr>
                <w:rFonts w:asciiTheme="minorHAnsi" w:eastAsia="Times New Roman" w:hAnsiTheme="minorHAnsi" w:cs="Arial"/>
                <w:sz w:val="18"/>
                <w:szCs w:val="18"/>
                <w:lang w:val="hr-HR"/>
              </w:rPr>
            </w:pPr>
            <w:r w:rsidRPr="00FE65B6">
              <w:rPr>
                <w:rFonts w:eastAsia="Times New Roman"/>
                <w:sz w:val="18"/>
                <w:szCs w:val="18"/>
                <w:lang w:val="en-US"/>
              </w:rPr>
              <w:t>10</w:t>
            </w:r>
            <w:r>
              <w:rPr>
                <w:rFonts w:eastAsia="Times New Roman"/>
                <w:sz w:val="18"/>
                <w:szCs w:val="18"/>
                <w:lang w:val="en-US"/>
              </w:rPr>
              <w:t>,</w:t>
            </w:r>
            <w:r w:rsidRPr="00FE65B6">
              <w:rPr>
                <w:rFonts w:eastAsia="Times New Roman"/>
                <w:sz w:val="18"/>
                <w:szCs w:val="18"/>
                <w:lang w:val="en-US"/>
              </w:rPr>
              <w:t>102</w:t>
            </w:r>
          </w:p>
        </w:tc>
        <w:tc>
          <w:tcPr>
            <w:tcW w:w="1035" w:type="dxa"/>
            <w:tcBorders>
              <w:top w:val="nil"/>
              <w:left w:val="nil"/>
              <w:bottom w:val="nil"/>
              <w:right w:val="nil"/>
            </w:tcBorders>
            <w:shd w:val="clear" w:color="auto" w:fill="auto"/>
            <w:vAlign w:val="bottom"/>
          </w:tcPr>
          <w:p w14:paraId="2C0A5CE1" w14:textId="77777777"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w:t>
            </w:r>
          </w:p>
        </w:tc>
        <w:tc>
          <w:tcPr>
            <w:tcW w:w="1035" w:type="dxa"/>
            <w:tcBorders>
              <w:top w:val="nil"/>
              <w:left w:val="nil"/>
              <w:bottom w:val="nil"/>
              <w:right w:val="nil"/>
            </w:tcBorders>
            <w:shd w:val="clear" w:color="auto" w:fill="auto"/>
            <w:vAlign w:val="center"/>
          </w:tcPr>
          <w:p w14:paraId="2499E3E1" w14:textId="77777777" w:rsidR="00F850F1" w:rsidRPr="00F639EA" w:rsidRDefault="00F850F1" w:rsidP="00F850F1">
            <w:pPr>
              <w:spacing w:after="0" w:line="240" w:lineRule="auto"/>
            </w:pPr>
          </w:p>
        </w:tc>
      </w:tr>
      <w:tr w:rsidR="00B85043" w:rsidRPr="00F639EA" w14:paraId="3F1AA3BD" w14:textId="77777777" w:rsidTr="006B318F">
        <w:trPr>
          <w:gridAfter w:val="1"/>
          <w:wAfter w:w="1035" w:type="dxa"/>
          <w:trHeight w:hRule="exact" w:val="205"/>
        </w:trPr>
        <w:tc>
          <w:tcPr>
            <w:tcW w:w="5104" w:type="dxa"/>
            <w:gridSpan w:val="3"/>
            <w:tcBorders>
              <w:top w:val="nil"/>
              <w:left w:val="nil"/>
              <w:bottom w:val="nil"/>
              <w:right w:val="nil"/>
            </w:tcBorders>
            <w:shd w:val="clear" w:color="auto" w:fill="auto"/>
            <w:noWrap/>
            <w:vAlign w:val="bottom"/>
          </w:tcPr>
          <w:p w14:paraId="18070995" w14:textId="77777777" w:rsidR="00B85043" w:rsidRPr="00F639EA" w:rsidRDefault="00B85043" w:rsidP="00B85043">
            <w:pPr>
              <w:spacing w:after="0" w:line="240" w:lineRule="auto"/>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sz w:val="18"/>
                <w:szCs w:val="18"/>
                <w:lang w:val="en-US" w:eastAsia="hr-HR"/>
              </w:rPr>
              <w:t>Financial institution bonds in HRK:</w:t>
            </w:r>
          </w:p>
        </w:tc>
        <w:tc>
          <w:tcPr>
            <w:tcW w:w="1261" w:type="dxa"/>
            <w:tcBorders>
              <w:top w:val="nil"/>
              <w:left w:val="nil"/>
              <w:bottom w:val="nil"/>
              <w:right w:val="nil"/>
            </w:tcBorders>
            <w:shd w:val="clear" w:color="auto" w:fill="auto"/>
            <w:noWrap/>
            <w:vAlign w:val="bottom"/>
          </w:tcPr>
          <w:p w14:paraId="610759F1" w14:textId="77777777" w:rsidR="00B85043" w:rsidRPr="00F639EA" w:rsidRDefault="00B85043" w:rsidP="00B85043">
            <w:pPr>
              <w:spacing w:after="0" w:line="240" w:lineRule="auto"/>
              <w:jc w:val="center"/>
              <w:rPr>
                <w:rFonts w:asciiTheme="minorHAnsi" w:eastAsia="Times New Roman" w:hAnsiTheme="minorHAnsi" w:cs="Arial"/>
                <w:sz w:val="18"/>
                <w:szCs w:val="18"/>
                <w:lang w:val="en-US" w:eastAsia="hr-HR"/>
              </w:rPr>
            </w:pPr>
          </w:p>
        </w:tc>
        <w:tc>
          <w:tcPr>
            <w:tcW w:w="1033" w:type="dxa"/>
            <w:tcBorders>
              <w:top w:val="nil"/>
              <w:left w:val="nil"/>
              <w:bottom w:val="nil"/>
              <w:right w:val="nil"/>
            </w:tcBorders>
            <w:vAlign w:val="bottom"/>
          </w:tcPr>
          <w:p w14:paraId="721250F5" w14:textId="77777777" w:rsidR="00B85043" w:rsidRPr="005444AA" w:rsidRDefault="00B85043" w:rsidP="00B85043">
            <w:pPr>
              <w:spacing w:after="0" w:line="240" w:lineRule="auto"/>
              <w:jc w:val="right"/>
              <w:rPr>
                <w:rFonts w:asciiTheme="minorHAnsi" w:eastAsia="Times New Roman" w:hAnsiTheme="minorHAnsi" w:cs="Arial"/>
                <w:sz w:val="18"/>
                <w:szCs w:val="18"/>
                <w:lang w:val="hr-HR"/>
              </w:rPr>
            </w:pPr>
          </w:p>
        </w:tc>
        <w:tc>
          <w:tcPr>
            <w:tcW w:w="1034" w:type="dxa"/>
            <w:tcBorders>
              <w:top w:val="nil"/>
              <w:left w:val="nil"/>
              <w:bottom w:val="nil"/>
              <w:right w:val="nil"/>
            </w:tcBorders>
            <w:vAlign w:val="bottom"/>
          </w:tcPr>
          <w:p w14:paraId="43B8C21C" w14:textId="77777777" w:rsidR="00B85043" w:rsidRPr="005444AA" w:rsidRDefault="00B85043" w:rsidP="00B85043">
            <w:pPr>
              <w:spacing w:after="0" w:line="240" w:lineRule="auto"/>
              <w:jc w:val="right"/>
              <w:rPr>
                <w:rFonts w:asciiTheme="minorHAnsi" w:eastAsia="Times New Roman" w:hAnsiTheme="minorHAnsi" w:cs="Arial"/>
                <w:sz w:val="18"/>
                <w:szCs w:val="18"/>
                <w:lang w:val="hr-HR"/>
              </w:rPr>
            </w:pPr>
          </w:p>
        </w:tc>
        <w:tc>
          <w:tcPr>
            <w:tcW w:w="1033" w:type="dxa"/>
            <w:tcBorders>
              <w:top w:val="nil"/>
              <w:left w:val="nil"/>
              <w:bottom w:val="nil"/>
              <w:right w:val="nil"/>
            </w:tcBorders>
            <w:noWrap/>
            <w:vAlign w:val="bottom"/>
          </w:tcPr>
          <w:p w14:paraId="21FB96CC" w14:textId="77777777" w:rsidR="00B85043" w:rsidRPr="005444AA" w:rsidRDefault="00B85043" w:rsidP="00B85043">
            <w:pPr>
              <w:spacing w:after="0" w:line="240" w:lineRule="auto"/>
              <w:jc w:val="right"/>
              <w:rPr>
                <w:rFonts w:asciiTheme="minorHAnsi" w:eastAsia="Times New Roman" w:hAnsiTheme="minorHAnsi" w:cs="Arial"/>
                <w:sz w:val="18"/>
                <w:szCs w:val="18"/>
                <w:lang w:val="hr-HR"/>
              </w:rPr>
            </w:pPr>
          </w:p>
        </w:tc>
        <w:tc>
          <w:tcPr>
            <w:tcW w:w="1035" w:type="dxa"/>
            <w:tcBorders>
              <w:top w:val="nil"/>
              <w:left w:val="nil"/>
              <w:bottom w:val="nil"/>
              <w:right w:val="nil"/>
            </w:tcBorders>
            <w:shd w:val="clear" w:color="auto" w:fill="auto"/>
            <w:vAlign w:val="bottom"/>
          </w:tcPr>
          <w:p w14:paraId="4BD4D5CB" w14:textId="77777777" w:rsidR="00B85043" w:rsidRPr="005444AA" w:rsidRDefault="00B85043" w:rsidP="00B85043">
            <w:pPr>
              <w:spacing w:after="0" w:line="240" w:lineRule="auto"/>
              <w:jc w:val="right"/>
              <w:rPr>
                <w:rFonts w:asciiTheme="minorHAnsi" w:eastAsia="Times New Roman" w:hAnsiTheme="minorHAnsi" w:cs="Arial"/>
                <w:sz w:val="18"/>
                <w:szCs w:val="18"/>
                <w:lang w:val="hr-HR"/>
              </w:rPr>
            </w:pPr>
          </w:p>
        </w:tc>
      </w:tr>
      <w:tr w:rsidR="00B85043" w:rsidRPr="00F639EA" w14:paraId="78712227" w14:textId="77777777" w:rsidTr="006B318F">
        <w:trPr>
          <w:gridAfter w:val="1"/>
          <w:wAfter w:w="1035" w:type="dxa"/>
          <w:trHeight w:hRule="exact" w:val="205"/>
        </w:trPr>
        <w:tc>
          <w:tcPr>
            <w:tcW w:w="2836" w:type="dxa"/>
            <w:shd w:val="clear" w:color="auto" w:fill="auto"/>
            <w:noWrap/>
            <w:vAlign w:val="bottom"/>
          </w:tcPr>
          <w:p w14:paraId="7C085F13" w14:textId="77777777" w:rsidR="00B85043" w:rsidRPr="00F639EA" w:rsidRDefault="00B85043" w:rsidP="00B85043">
            <w:pPr>
              <w:spacing w:after="0" w:line="180" w:lineRule="exact"/>
              <w:jc w:val="right"/>
              <w:rPr>
                <w:rFonts w:asciiTheme="minorHAnsi" w:eastAsia="Times New Roman" w:hAnsiTheme="minorHAnsi" w:cs="Arial"/>
                <w:sz w:val="18"/>
                <w:szCs w:val="18"/>
                <w:lang w:val="en-US" w:eastAsia="hr-HR"/>
              </w:rPr>
            </w:pPr>
            <w:r w:rsidRPr="00F639EA">
              <w:rPr>
                <w:rFonts w:asciiTheme="minorHAnsi" w:eastAsia="Times New Roman" w:hAnsiTheme="minorHAnsi" w:cs="Arial"/>
                <w:sz w:val="18"/>
                <w:szCs w:val="18"/>
                <w:lang w:val="en-US" w:eastAsia="hr-HR"/>
              </w:rPr>
              <w:t>RIBA-O-17BA</w:t>
            </w:r>
          </w:p>
        </w:tc>
        <w:tc>
          <w:tcPr>
            <w:tcW w:w="1134" w:type="dxa"/>
            <w:shd w:val="clear" w:color="auto" w:fill="auto"/>
            <w:noWrap/>
            <w:vAlign w:val="bottom"/>
          </w:tcPr>
          <w:p w14:paraId="68345ECD" w14:textId="676D0DA4" w:rsidR="00B85043" w:rsidRPr="00F639EA" w:rsidRDefault="00B85043" w:rsidP="00B85043">
            <w:pPr>
              <w:spacing w:after="0" w:line="180" w:lineRule="exact"/>
              <w:jc w:val="righ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color w:val="000000"/>
                <w:sz w:val="18"/>
                <w:szCs w:val="18"/>
                <w:lang w:val="en-US" w:eastAsia="hr-HR"/>
              </w:rPr>
              <w:t>23.11.2012</w:t>
            </w:r>
          </w:p>
        </w:tc>
        <w:tc>
          <w:tcPr>
            <w:tcW w:w="1134" w:type="dxa"/>
            <w:shd w:val="clear" w:color="auto" w:fill="auto"/>
            <w:noWrap/>
            <w:vAlign w:val="bottom"/>
          </w:tcPr>
          <w:p w14:paraId="3C25C4E6" w14:textId="5DB12B10" w:rsidR="00B85043" w:rsidRPr="00F639EA" w:rsidRDefault="00B85043" w:rsidP="00B85043">
            <w:pPr>
              <w:spacing w:after="0" w:line="180" w:lineRule="exact"/>
              <w:jc w:val="righ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color w:val="000000"/>
                <w:sz w:val="18"/>
                <w:szCs w:val="18"/>
                <w:lang w:val="en-US" w:eastAsia="hr-HR"/>
              </w:rPr>
              <w:t>23.11.2017</w:t>
            </w:r>
          </w:p>
        </w:tc>
        <w:tc>
          <w:tcPr>
            <w:tcW w:w="1261" w:type="dxa"/>
            <w:shd w:val="clear" w:color="auto" w:fill="auto"/>
            <w:noWrap/>
            <w:vAlign w:val="bottom"/>
          </w:tcPr>
          <w:p w14:paraId="0FFF9103" w14:textId="77777777" w:rsidR="00B85043" w:rsidRPr="00F639EA" w:rsidRDefault="00B85043" w:rsidP="00B85043">
            <w:pPr>
              <w:spacing w:after="0" w:line="180" w:lineRule="exact"/>
              <w:jc w:val="center"/>
              <w:rPr>
                <w:rFonts w:asciiTheme="minorHAnsi" w:eastAsia="Times New Roman" w:hAnsiTheme="minorHAnsi" w:cs="Arial"/>
                <w:sz w:val="18"/>
                <w:szCs w:val="18"/>
                <w:lang w:val="en-US" w:eastAsia="hr-HR"/>
              </w:rPr>
            </w:pPr>
            <w:r w:rsidRPr="00F639EA">
              <w:rPr>
                <w:rFonts w:asciiTheme="minorHAnsi" w:eastAsia="Times New Roman" w:hAnsiTheme="minorHAnsi" w:cs="Arial"/>
                <w:sz w:val="18"/>
                <w:szCs w:val="18"/>
                <w:lang w:val="en-US" w:eastAsia="hr-HR"/>
              </w:rPr>
              <w:t>5.88</w:t>
            </w:r>
          </w:p>
        </w:tc>
        <w:tc>
          <w:tcPr>
            <w:tcW w:w="1033" w:type="dxa"/>
            <w:tcBorders>
              <w:top w:val="nil"/>
              <w:left w:val="nil"/>
              <w:bottom w:val="nil"/>
              <w:right w:val="nil"/>
            </w:tcBorders>
            <w:shd w:val="clear" w:color="auto" w:fill="auto"/>
            <w:vAlign w:val="bottom"/>
          </w:tcPr>
          <w:p w14:paraId="5A6AD151" w14:textId="44A0300C" w:rsidR="00B85043" w:rsidRPr="005444AA" w:rsidRDefault="00D77F20" w:rsidP="00B85043">
            <w:pPr>
              <w:spacing w:after="0" w:line="240" w:lineRule="auto"/>
              <w:jc w:val="right"/>
              <w:rPr>
                <w:rFonts w:asciiTheme="minorHAnsi" w:eastAsia="Times New Roman" w:hAnsiTheme="minorHAnsi" w:cs="Arial"/>
                <w:sz w:val="18"/>
                <w:szCs w:val="18"/>
                <w:lang w:val="hr-HR"/>
              </w:rPr>
            </w:pPr>
            <w:r w:rsidRPr="00D77F20">
              <w:rPr>
                <w:rFonts w:asciiTheme="minorHAnsi" w:eastAsia="Times New Roman" w:hAnsiTheme="minorHAnsi" w:cs="Arial"/>
                <w:sz w:val="18"/>
                <w:szCs w:val="18"/>
                <w:lang w:val="hr-HR"/>
              </w:rPr>
              <w:t>511</w:t>
            </w:r>
          </w:p>
        </w:tc>
        <w:tc>
          <w:tcPr>
            <w:tcW w:w="1034" w:type="dxa"/>
            <w:tcBorders>
              <w:top w:val="nil"/>
              <w:left w:val="nil"/>
              <w:bottom w:val="nil"/>
              <w:right w:val="nil"/>
            </w:tcBorders>
            <w:shd w:val="clear" w:color="auto" w:fill="auto"/>
            <w:vAlign w:val="bottom"/>
          </w:tcPr>
          <w:p w14:paraId="4EECF73A" w14:textId="77777777" w:rsidR="00B85043" w:rsidRPr="005444AA" w:rsidRDefault="00B85043" w:rsidP="00B85043">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522</w:t>
            </w:r>
          </w:p>
        </w:tc>
        <w:tc>
          <w:tcPr>
            <w:tcW w:w="1033" w:type="dxa"/>
            <w:tcBorders>
              <w:top w:val="nil"/>
              <w:left w:val="nil"/>
              <w:bottom w:val="nil"/>
              <w:right w:val="nil"/>
            </w:tcBorders>
            <w:shd w:val="clear" w:color="auto" w:fill="auto"/>
            <w:noWrap/>
            <w:vAlign w:val="bottom"/>
          </w:tcPr>
          <w:p w14:paraId="73D54E00" w14:textId="506019CB" w:rsidR="00B85043" w:rsidRPr="005444AA" w:rsidRDefault="00F850F1" w:rsidP="00B85043">
            <w:pPr>
              <w:spacing w:after="0" w:line="240" w:lineRule="auto"/>
              <w:jc w:val="right"/>
              <w:rPr>
                <w:rFonts w:asciiTheme="minorHAnsi" w:eastAsia="Times New Roman" w:hAnsiTheme="minorHAnsi" w:cs="Arial"/>
                <w:sz w:val="18"/>
                <w:szCs w:val="18"/>
                <w:lang w:val="hr-HR"/>
              </w:rPr>
            </w:pPr>
            <w:r>
              <w:rPr>
                <w:rFonts w:asciiTheme="minorHAnsi" w:eastAsia="Times New Roman" w:hAnsiTheme="minorHAnsi" w:cs="Arial"/>
                <w:sz w:val="18"/>
                <w:szCs w:val="18"/>
                <w:lang w:val="hr-HR"/>
              </w:rPr>
              <w:t>-</w:t>
            </w:r>
          </w:p>
        </w:tc>
        <w:tc>
          <w:tcPr>
            <w:tcW w:w="1035" w:type="dxa"/>
            <w:tcBorders>
              <w:top w:val="nil"/>
              <w:left w:val="nil"/>
              <w:bottom w:val="nil"/>
              <w:right w:val="nil"/>
            </w:tcBorders>
            <w:shd w:val="clear" w:color="auto" w:fill="auto"/>
            <w:vAlign w:val="bottom"/>
          </w:tcPr>
          <w:p w14:paraId="591E3F59" w14:textId="77777777" w:rsidR="00B85043" w:rsidRPr="005444AA" w:rsidRDefault="00B85043" w:rsidP="00B85043">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w:t>
            </w:r>
          </w:p>
        </w:tc>
      </w:tr>
      <w:tr w:rsidR="00B85043" w:rsidRPr="00F639EA" w14:paraId="65735C56" w14:textId="77777777" w:rsidTr="006B318F">
        <w:trPr>
          <w:gridAfter w:val="1"/>
          <w:wAfter w:w="1035" w:type="dxa"/>
          <w:trHeight w:hRule="exact" w:val="205"/>
        </w:trPr>
        <w:tc>
          <w:tcPr>
            <w:tcW w:w="5104" w:type="dxa"/>
            <w:gridSpan w:val="3"/>
            <w:shd w:val="clear" w:color="auto" w:fill="auto"/>
            <w:noWrap/>
            <w:vAlign w:val="bottom"/>
          </w:tcPr>
          <w:p w14:paraId="273836CB" w14:textId="77777777" w:rsidR="00B85043" w:rsidRPr="00F639EA" w:rsidRDefault="00B85043" w:rsidP="00B85043">
            <w:pPr>
              <w:spacing w:after="0" w:line="180" w:lineRule="exac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sz w:val="18"/>
                <w:szCs w:val="18"/>
                <w:lang w:val="en-US" w:eastAsia="hr-HR"/>
              </w:rPr>
              <w:t>Financial institution bonds indexed to foreign currency:</w:t>
            </w:r>
          </w:p>
        </w:tc>
        <w:tc>
          <w:tcPr>
            <w:tcW w:w="1261" w:type="dxa"/>
            <w:shd w:val="clear" w:color="auto" w:fill="auto"/>
            <w:noWrap/>
            <w:vAlign w:val="bottom"/>
          </w:tcPr>
          <w:p w14:paraId="329AD0B4" w14:textId="77777777" w:rsidR="00B85043" w:rsidRPr="00F639EA" w:rsidRDefault="00B85043" w:rsidP="00B85043">
            <w:pPr>
              <w:spacing w:after="0" w:line="180" w:lineRule="exact"/>
              <w:jc w:val="center"/>
              <w:rPr>
                <w:rFonts w:asciiTheme="minorHAnsi" w:eastAsia="Times New Roman" w:hAnsiTheme="minorHAnsi" w:cs="Arial"/>
                <w:sz w:val="18"/>
                <w:szCs w:val="18"/>
                <w:lang w:val="en-US" w:eastAsia="hr-HR"/>
              </w:rPr>
            </w:pPr>
          </w:p>
        </w:tc>
        <w:tc>
          <w:tcPr>
            <w:tcW w:w="1033" w:type="dxa"/>
            <w:tcBorders>
              <w:top w:val="nil"/>
              <w:left w:val="nil"/>
              <w:bottom w:val="nil"/>
              <w:right w:val="nil"/>
            </w:tcBorders>
            <w:vAlign w:val="bottom"/>
          </w:tcPr>
          <w:p w14:paraId="784563C0" w14:textId="77777777" w:rsidR="00B85043" w:rsidRPr="005444AA" w:rsidRDefault="00B85043" w:rsidP="00B85043">
            <w:pPr>
              <w:spacing w:after="0" w:line="240" w:lineRule="auto"/>
              <w:jc w:val="right"/>
              <w:rPr>
                <w:rFonts w:asciiTheme="minorHAnsi" w:eastAsia="Times New Roman" w:hAnsiTheme="minorHAnsi" w:cs="Arial"/>
                <w:sz w:val="18"/>
                <w:szCs w:val="18"/>
                <w:lang w:val="hr-HR"/>
              </w:rPr>
            </w:pPr>
          </w:p>
        </w:tc>
        <w:tc>
          <w:tcPr>
            <w:tcW w:w="1034" w:type="dxa"/>
            <w:tcBorders>
              <w:top w:val="nil"/>
              <w:left w:val="nil"/>
              <w:bottom w:val="nil"/>
              <w:right w:val="nil"/>
            </w:tcBorders>
            <w:vAlign w:val="bottom"/>
          </w:tcPr>
          <w:p w14:paraId="1910BF34" w14:textId="77777777" w:rsidR="00B85043" w:rsidRPr="005444AA" w:rsidRDefault="00B85043" w:rsidP="00B85043">
            <w:pPr>
              <w:spacing w:after="0" w:line="240" w:lineRule="auto"/>
              <w:jc w:val="right"/>
              <w:rPr>
                <w:rFonts w:asciiTheme="minorHAnsi" w:eastAsia="Times New Roman" w:hAnsiTheme="minorHAnsi" w:cs="Arial"/>
                <w:sz w:val="18"/>
                <w:szCs w:val="18"/>
                <w:lang w:val="hr-HR"/>
              </w:rPr>
            </w:pPr>
          </w:p>
        </w:tc>
        <w:tc>
          <w:tcPr>
            <w:tcW w:w="1033" w:type="dxa"/>
            <w:tcBorders>
              <w:top w:val="nil"/>
              <w:left w:val="nil"/>
              <w:bottom w:val="nil"/>
              <w:right w:val="nil"/>
            </w:tcBorders>
            <w:shd w:val="clear" w:color="auto" w:fill="auto"/>
            <w:noWrap/>
            <w:vAlign w:val="bottom"/>
          </w:tcPr>
          <w:p w14:paraId="3283EA82" w14:textId="77777777" w:rsidR="00B85043" w:rsidRPr="005444AA" w:rsidRDefault="00B85043" w:rsidP="00B85043">
            <w:pPr>
              <w:spacing w:after="0" w:line="240" w:lineRule="auto"/>
              <w:jc w:val="right"/>
              <w:rPr>
                <w:rFonts w:asciiTheme="minorHAnsi" w:eastAsia="Times New Roman" w:hAnsiTheme="minorHAnsi" w:cs="Arial"/>
                <w:sz w:val="18"/>
                <w:szCs w:val="18"/>
                <w:lang w:val="hr-HR"/>
              </w:rPr>
            </w:pPr>
          </w:p>
        </w:tc>
        <w:tc>
          <w:tcPr>
            <w:tcW w:w="1035" w:type="dxa"/>
            <w:tcBorders>
              <w:top w:val="nil"/>
              <w:left w:val="nil"/>
              <w:bottom w:val="nil"/>
              <w:right w:val="nil"/>
            </w:tcBorders>
            <w:shd w:val="clear" w:color="auto" w:fill="auto"/>
            <w:vAlign w:val="bottom"/>
          </w:tcPr>
          <w:p w14:paraId="09C8550C" w14:textId="77777777" w:rsidR="00B85043" w:rsidRPr="005444AA" w:rsidRDefault="00B85043" w:rsidP="00B85043">
            <w:pPr>
              <w:spacing w:after="0" w:line="240" w:lineRule="auto"/>
              <w:jc w:val="right"/>
              <w:rPr>
                <w:rFonts w:asciiTheme="minorHAnsi" w:eastAsia="Times New Roman" w:hAnsiTheme="minorHAnsi" w:cs="Arial"/>
                <w:sz w:val="18"/>
                <w:szCs w:val="18"/>
                <w:lang w:val="hr-HR"/>
              </w:rPr>
            </w:pPr>
          </w:p>
        </w:tc>
      </w:tr>
      <w:tr w:rsidR="00B85043" w:rsidRPr="00F639EA" w14:paraId="4121C0A5" w14:textId="77777777" w:rsidTr="006B318F">
        <w:trPr>
          <w:gridAfter w:val="1"/>
          <w:wAfter w:w="1035" w:type="dxa"/>
          <w:trHeight w:hRule="exact" w:val="205"/>
        </w:trPr>
        <w:tc>
          <w:tcPr>
            <w:tcW w:w="2836" w:type="dxa"/>
            <w:shd w:val="clear" w:color="auto" w:fill="auto"/>
            <w:noWrap/>
            <w:vAlign w:val="bottom"/>
          </w:tcPr>
          <w:p w14:paraId="15AA4B2D" w14:textId="77777777" w:rsidR="00B85043" w:rsidRPr="00F639EA" w:rsidRDefault="00B85043" w:rsidP="00B85043">
            <w:pPr>
              <w:spacing w:after="0" w:line="180" w:lineRule="exact"/>
              <w:jc w:val="right"/>
              <w:rPr>
                <w:rFonts w:asciiTheme="minorHAnsi" w:eastAsia="Times New Roman" w:hAnsiTheme="minorHAnsi" w:cs="Arial"/>
                <w:sz w:val="18"/>
                <w:szCs w:val="18"/>
                <w:lang w:val="en-US" w:eastAsia="hr-HR"/>
              </w:rPr>
            </w:pPr>
            <w:r w:rsidRPr="00F639EA">
              <w:rPr>
                <w:rFonts w:asciiTheme="minorHAnsi" w:eastAsia="Times New Roman" w:hAnsiTheme="minorHAnsi" w:cs="Arial"/>
                <w:sz w:val="18"/>
                <w:szCs w:val="18"/>
                <w:lang w:val="en-US" w:eastAsia="hr-HR"/>
              </w:rPr>
              <w:t>RIBA-O-177A</w:t>
            </w:r>
          </w:p>
        </w:tc>
        <w:tc>
          <w:tcPr>
            <w:tcW w:w="1134" w:type="dxa"/>
            <w:tcBorders>
              <w:top w:val="nil"/>
              <w:left w:val="nil"/>
              <w:bottom w:val="nil"/>
              <w:right w:val="nil"/>
            </w:tcBorders>
            <w:shd w:val="clear" w:color="auto" w:fill="auto"/>
            <w:noWrap/>
            <w:vAlign w:val="center"/>
          </w:tcPr>
          <w:p w14:paraId="4112C175" w14:textId="0B530057" w:rsidR="00B85043" w:rsidRPr="00F639EA" w:rsidRDefault="00B85043" w:rsidP="00B85043">
            <w:pPr>
              <w:spacing w:after="0" w:line="180" w:lineRule="exact"/>
              <w:jc w:val="righ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sz w:val="18"/>
                <w:szCs w:val="18"/>
                <w:lang w:val="hr-HR"/>
              </w:rPr>
              <w:t>18.7.2011</w:t>
            </w:r>
          </w:p>
        </w:tc>
        <w:tc>
          <w:tcPr>
            <w:tcW w:w="1134" w:type="dxa"/>
            <w:tcBorders>
              <w:top w:val="nil"/>
              <w:left w:val="nil"/>
              <w:bottom w:val="nil"/>
              <w:right w:val="nil"/>
            </w:tcBorders>
            <w:shd w:val="clear" w:color="auto" w:fill="auto"/>
            <w:noWrap/>
            <w:vAlign w:val="center"/>
          </w:tcPr>
          <w:p w14:paraId="0794839E" w14:textId="0A40C1CE" w:rsidR="00B85043" w:rsidRPr="00F639EA" w:rsidRDefault="00B85043" w:rsidP="00B85043">
            <w:pPr>
              <w:spacing w:after="0" w:line="180" w:lineRule="exact"/>
              <w:jc w:val="righ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sz w:val="18"/>
                <w:szCs w:val="18"/>
                <w:lang w:val="hr-HR"/>
              </w:rPr>
              <w:t>18.7.2017</w:t>
            </w:r>
          </w:p>
        </w:tc>
        <w:tc>
          <w:tcPr>
            <w:tcW w:w="1261" w:type="dxa"/>
            <w:tcBorders>
              <w:top w:val="nil"/>
              <w:left w:val="nil"/>
              <w:bottom w:val="nil"/>
              <w:right w:val="nil"/>
            </w:tcBorders>
            <w:shd w:val="clear" w:color="auto" w:fill="auto"/>
            <w:noWrap/>
            <w:vAlign w:val="bottom"/>
          </w:tcPr>
          <w:p w14:paraId="6789FD44" w14:textId="77777777" w:rsidR="00B85043" w:rsidRPr="00F639EA" w:rsidRDefault="00B85043" w:rsidP="00B85043">
            <w:pPr>
              <w:spacing w:after="0" w:line="180" w:lineRule="exact"/>
              <w:jc w:val="center"/>
              <w:rPr>
                <w:rFonts w:asciiTheme="minorHAnsi" w:eastAsia="Times New Roman" w:hAnsiTheme="minorHAnsi" w:cs="Arial"/>
                <w:sz w:val="18"/>
                <w:szCs w:val="18"/>
                <w:lang w:val="en-US" w:eastAsia="hr-HR"/>
              </w:rPr>
            </w:pPr>
            <w:r w:rsidRPr="00F639EA">
              <w:rPr>
                <w:rFonts w:asciiTheme="minorHAnsi" w:eastAsia="Times New Roman" w:hAnsiTheme="minorHAnsi" w:cs="Arial"/>
                <w:sz w:val="18"/>
                <w:szCs w:val="18"/>
                <w:lang w:val="hr-HR"/>
              </w:rPr>
              <w:t>6.5</w:t>
            </w:r>
          </w:p>
        </w:tc>
        <w:tc>
          <w:tcPr>
            <w:tcW w:w="1033" w:type="dxa"/>
            <w:tcBorders>
              <w:top w:val="nil"/>
              <w:left w:val="nil"/>
              <w:bottom w:val="nil"/>
              <w:right w:val="nil"/>
            </w:tcBorders>
            <w:shd w:val="clear" w:color="auto" w:fill="auto"/>
            <w:vAlign w:val="bottom"/>
          </w:tcPr>
          <w:p w14:paraId="33C614BD" w14:textId="11CA6DFF" w:rsidR="00B85043" w:rsidRPr="005444AA" w:rsidRDefault="00D77F20" w:rsidP="00B85043">
            <w:pPr>
              <w:spacing w:after="0" w:line="240" w:lineRule="auto"/>
              <w:jc w:val="right"/>
              <w:rPr>
                <w:rFonts w:asciiTheme="minorHAnsi" w:eastAsia="Times New Roman" w:hAnsiTheme="minorHAnsi" w:cs="Arial"/>
                <w:sz w:val="18"/>
                <w:szCs w:val="18"/>
                <w:lang w:val="hr-HR"/>
              </w:rPr>
            </w:pPr>
            <w:r>
              <w:rPr>
                <w:rFonts w:asciiTheme="minorHAnsi" w:eastAsia="Times New Roman" w:hAnsiTheme="minorHAnsi" w:cs="Arial"/>
                <w:sz w:val="18"/>
                <w:szCs w:val="18"/>
                <w:lang w:val="hr-HR"/>
              </w:rPr>
              <w:t>-</w:t>
            </w:r>
          </w:p>
        </w:tc>
        <w:tc>
          <w:tcPr>
            <w:tcW w:w="1034" w:type="dxa"/>
            <w:tcBorders>
              <w:top w:val="nil"/>
              <w:left w:val="nil"/>
              <w:bottom w:val="nil"/>
              <w:right w:val="nil"/>
            </w:tcBorders>
            <w:shd w:val="clear" w:color="auto" w:fill="auto"/>
            <w:vAlign w:val="bottom"/>
          </w:tcPr>
          <w:p w14:paraId="511653E0" w14:textId="77777777" w:rsidR="00B85043" w:rsidRPr="005444AA" w:rsidRDefault="00B85043" w:rsidP="00B85043">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388</w:t>
            </w:r>
          </w:p>
        </w:tc>
        <w:tc>
          <w:tcPr>
            <w:tcW w:w="1033" w:type="dxa"/>
            <w:tcBorders>
              <w:top w:val="nil"/>
              <w:left w:val="nil"/>
              <w:bottom w:val="nil"/>
              <w:right w:val="nil"/>
            </w:tcBorders>
            <w:shd w:val="clear" w:color="auto" w:fill="auto"/>
            <w:noWrap/>
            <w:vAlign w:val="bottom"/>
          </w:tcPr>
          <w:p w14:paraId="609CA193" w14:textId="1DEA7CAC" w:rsidR="00B85043" w:rsidRPr="005444AA" w:rsidRDefault="00F850F1" w:rsidP="00B85043">
            <w:pPr>
              <w:spacing w:after="0" w:line="240" w:lineRule="auto"/>
              <w:jc w:val="right"/>
              <w:rPr>
                <w:rFonts w:asciiTheme="minorHAnsi" w:eastAsia="Times New Roman" w:hAnsiTheme="minorHAnsi" w:cs="Arial"/>
                <w:sz w:val="18"/>
                <w:szCs w:val="18"/>
                <w:lang w:val="hr-HR"/>
              </w:rPr>
            </w:pPr>
            <w:r>
              <w:rPr>
                <w:rFonts w:asciiTheme="minorHAnsi" w:eastAsia="Times New Roman" w:hAnsiTheme="minorHAnsi" w:cs="Arial"/>
                <w:sz w:val="18"/>
                <w:szCs w:val="18"/>
                <w:lang w:val="hr-HR"/>
              </w:rPr>
              <w:t>-</w:t>
            </w:r>
          </w:p>
        </w:tc>
        <w:tc>
          <w:tcPr>
            <w:tcW w:w="1035" w:type="dxa"/>
            <w:tcBorders>
              <w:top w:val="nil"/>
              <w:left w:val="nil"/>
              <w:bottom w:val="nil"/>
              <w:right w:val="nil"/>
            </w:tcBorders>
            <w:shd w:val="clear" w:color="auto" w:fill="auto"/>
            <w:vAlign w:val="bottom"/>
          </w:tcPr>
          <w:p w14:paraId="73EF5F23" w14:textId="77777777" w:rsidR="00B85043" w:rsidRPr="005444AA" w:rsidRDefault="00B85043" w:rsidP="00B85043">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w:t>
            </w:r>
          </w:p>
        </w:tc>
      </w:tr>
      <w:tr w:rsidR="00B85043" w:rsidRPr="00F639EA" w14:paraId="2F2B9F4D" w14:textId="77777777" w:rsidTr="006B318F">
        <w:trPr>
          <w:gridAfter w:val="1"/>
          <w:wAfter w:w="1035" w:type="dxa"/>
          <w:trHeight w:hRule="exact" w:val="205"/>
        </w:trPr>
        <w:tc>
          <w:tcPr>
            <w:tcW w:w="5104" w:type="dxa"/>
            <w:gridSpan w:val="3"/>
            <w:shd w:val="clear" w:color="auto" w:fill="auto"/>
            <w:noWrap/>
            <w:vAlign w:val="bottom"/>
          </w:tcPr>
          <w:p w14:paraId="46E84864" w14:textId="77777777" w:rsidR="00B85043" w:rsidRPr="00F639EA" w:rsidRDefault="00B85043" w:rsidP="00B85043">
            <w:pPr>
              <w:spacing w:after="0" w:line="180" w:lineRule="exac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en-US" w:eastAsia="hr-HR"/>
              </w:rPr>
              <w:t>Corporate bonds in HRK:</w:t>
            </w:r>
          </w:p>
        </w:tc>
        <w:tc>
          <w:tcPr>
            <w:tcW w:w="1261" w:type="dxa"/>
            <w:tcBorders>
              <w:top w:val="nil"/>
              <w:left w:val="nil"/>
              <w:bottom w:val="nil"/>
              <w:right w:val="nil"/>
            </w:tcBorders>
            <w:shd w:val="clear" w:color="auto" w:fill="auto"/>
            <w:noWrap/>
            <w:vAlign w:val="center"/>
          </w:tcPr>
          <w:p w14:paraId="582E04FC" w14:textId="77777777" w:rsidR="00B85043" w:rsidRPr="00F639EA" w:rsidRDefault="00B85043" w:rsidP="00B85043">
            <w:pPr>
              <w:spacing w:after="0" w:line="180" w:lineRule="exact"/>
              <w:jc w:val="center"/>
              <w:rPr>
                <w:rFonts w:asciiTheme="minorHAnsi" w:eastAsia="Times New Roman" w:hAnsiTheme="minorHAnsi" w:cs="Arial"/>
                <w:sz w:val="18"/>
                <w:szCs w:val="18"/>
                <w:lang w:val="hr-HR"/>
              </w:rPr>
            </w:pPr>
          </w:p>
        </w:tc>
        <w:tc>
          <w:tcPr>
            <w:tcW w:w="1033" w:type="dxa"/>
            <w:tcBorders>
              <w:top w:val="nil"/>
              <w:left w:val="nil"/>
              <w:bottom w:val="nil"/>
              <w:right w:val="nil"/>
            </w:tcBorders>
            <w:shd w:val="clear" w:color="auto" w:fill="auto"/>
            <w:vAlign w:val="bottom"/>
          </w:tcPr>
          <w:p w14:paraId="78821D85" w14:textId="77777777" w:rsidR="00B85043" w:rsidRPr="00F639EA" w:rsidRDefault="00B85043" w:rsidP="00B85043">
            <w:pPr>
              <w:spacing w:after="0" w:line="240" w:lineRule="auto"/>
              <w:jc w:val="right"/>
              <w:rPr>
                <w:rFonts w:asciiTheme="minorHAnsi" w:eastAsia="Times New Roman" w:hAnsiTheme="minorHAnsi" w:cs="Arial"/>
                <w:sz w:val="18"/>
                <w:szCs w:val="18"/>
                <w:lang w:val="hr-HR"/>
              </w:rPr>
            </w:pPr>
          </w:p>
        </w:tc>
        <w:tc>
          <w:tcPr>
            <w:tcW w:w="1034" w:type="dxa"/>
            <w:tcBorders>
              <w:top w:val="nil"/>
              <w:left w:val="nil"/>
              <w:bottom w:val="nil"/>
              <w:right w:val="nil"/>
            </w:tcBorders>
            <w:shd w:val="clear" w:color="auto" w:fill="auto"/>
            <w:vAlign w:val="bottom"/>
          </w:tcPr>
          <w:p w14:paraId="32B37FB0" w14:textId="77777777" w:rsidR="00B85043" w:rsidRPr="00F639EA" w:rsidRDefault="00B85043" w:rsidP="00B85043">
            <w:pPr>
              <w:spacing w:after="0" w:line="240" w:lineRule="auto"/>
              <w:jc w:val="right"/>
              <w:rPr>
                <w:rFonts w:asciiTheme="minorHAnsi" w:eastAsia="Times New Roman" w:hAnsiTheme="minorHAnsi" w:cs="Arial"/>
                <w:sz w:val="18"/>
                <w:szCs w:val="18"/>
                <w:lang w:val="hr-HR"/>
              </w:rPr>
            </w:pPr>
          </w:p>
        </w:tc>
        <w:tc>
          <w:tcPr>
            <w:tcW w:w="1033" w:type="dxa"/>
            <w:tcBorders>
              <w:top w:val="nil"/>
              <w:left w:val="nil"/>
              <w:bottom w:val="nil"/>
              <w:right w:val="nil"/>
            </w:tcBorders>
            <w:shd w:val="clear" w:color="auto" w:fill="auto"/>
            <w:noWrap/>
            <w:vAlign w:val="bottom"/>
          </w:tcPr>
          <w:p w14:paraId="2B364CE5" w14:textId="77777777" w:rsidR="00B85043" w:rsidRPr="00F639EA" w:rsidRDefault="00B85043" w:rsidP="00B85043">
            <w:pPr>
              <w:spacing w:after="0" w:line="240" w:lineRule="auto"/>
              <w:jc w:val="right"/>
              <w:rPr>
                <w:rFonts w:asciiTheme="minorHAnsi" w:eastAsia="Times New Roman" w:hAnsiTheme="minorHAnsi" w:cs="Arial"/>
                <w:sz w:val="18"/>
                <w:szCs w:val="18"/>
                <w:lang w:val="hr-HR"/>
              </w:rPr>
            </w:pPr>
          </w:p>
        </w:tc>
        <w:tc>
          <w:tcPr>
            <w:tcW w:w="1035" w:type="dxa"/>
            <w:tcBorders>
              <w:top w:val="nil"/>
              <w:left w:val="nil"/>
              <w:bottom w:val="nil"/>
              <w:right w:val="nil"/>
            </w:tcBorders>
            <w:shd w:val="clear" w:color="auto" w:fill="auto"/>
            <w:vAlign w:val="bottom"/>
          </w:tcPr>
          <w:p w14:paraId="5D30AB61" w14:textId="77777777" w:rsidR="00B85043" w:rsidRPr="00F639EA" w:rsidRDefault="00B85043" w:rsidP="00B85043">
            <w:pPr>
              <w:spacing w:after="0" w:line="240" w:lineRule="auto"/>
              <w:jc w:val="right"/>
              <w:rPr>
                <w:rFonts w:asciiTheme="minorHAnsi" w:eastAsia="Times New Roman" w:hAnsiTheme="minorHAnsi" w:cs="Arial"/>
                <w:sz w:val="18"/>
                <w:szCs w:val="18"/>
                <w:lang w:val="hr-HR"/>
              </w:rPr>
            </w:pPr>
          </w:p>
        </w:tc>
      </w:tr>
      <w:tr w:rsidR="00B85043" w:rsidRPr="00F639EA" w14:paraId="5DBBAE09" w14:textId="77777777" w:rsidTr="006B318F">
        <w:trPr>
          <w:gridAfter w:val="1"/>
          <w:wAfter w:w="1035" w:type="dxa"/>
          <w:trHeight w:hRule="exact" w:val="205"/>
        </w:trPr>
        <w:tc>
          <w:tcPr>
            <w:tcW w:w="2836" w:type="dxa"/>
            <w:tcBorders>
              <w:top w:val="nil"/>
              <w:left w:val="nil"/>
              <w:bottom w:val="nil"/>
              <w:right w:val="nil"/>
            </w:tcBorders>
            <w:shd w:val="clear" w:color="auto" w:fill="auto"/>
            <w:noWrap/>
            <w:vAlign w:val="center"/>
          </w:tcPr>
          <w:p w14:paraId="378B1880" w14:textId="77777777" w:rsidR="00B85043" w:rsidRPr="00F639EA" w:rsidRDefault="00B85043" w:rsidP="00B85043">
            <w:pPr>
              <w:spacing w:after="0" w:line="180" w:lineRule="exact"/>
              <w:jc w:val="right"/>
              <w:rPr>
                <w:rFonts w:asciiTheme="minorHAnsi" w:eastAsia="Times New Roman" w:hAnsiTheme="minorHAnsi" w:cs="Arial"/>
                <w:sz w:val="18"/>
                <w:szCs w:val="18"/>
                <w:lang w:val="en-US" w:eastAsia="hr-HR"/>
              </w:rPr>
            </w:pPr>
            <w:r w:rsidRPr="00F639EA">
              <w:rPr>
                <w:rFonts w:asciiTheme="minorHAnsi" w:eastAsia="Times New Roman" w:hAnsiTheme="minorHAnsi"/>
                <w:sz w:val="18"/>
                <w:szCs w:val="18"/>
                <w:lang w:val="en-US" w:eastAsia="hr-HR"/>
              </w:rPr>
              <w:t>JDGL-O-20CA</w:t>
            </w:r>
          </w:p>
        </w:tc>
        <w:tc>
          <w:tcPr>
            <w:tcW w:w="1134" w:type="dxa"/>
            <w:tcBorders>
              <w:top w:val="nil"/>
              <w:left w:val="nil"/>
              <w:bottom w:val="nil"/>
              <w:right w:val="nil"/>
            </w:tcBorders>
            <w:shd w:val="clear" w:color="auto" w:fill="auto"/>
            <w:noWrap/>
            <w:vAlign w:val="center"/>
          </w:tcPr>
          <w:p w14:paraId="6E37C3EF" w14:textId="414011C9" w:rsidR="00B85043" w:rsidRPr="00F639EA" w:rsidRDefault="00B85043" w:rsidP="00B85043">
            <w:pPr>
              <w:spacing w:after="0" w:line="180" w:lineRule="exact"/>
              <w:jc w:val="right"/>
              <w:rPr>
                <w:rFonts w:asciiTheme="minorHAnsi" w:eastAsia="Times New Roman" w:hAnsiTheme="minorHAnsi" w:cs="Arial"/>
                <w:sz w:val="18"/>
                <w:szCs w:val="18"/>
                <w:lang w:val="hr-HR"/>
              </w:rPr>
            </w:pPr>
            <w:r w:rsidRPr="00F639EA">
              <w:rPr>
                <w:rFonts w:asciiTheme="minorHAnsi" w:eastAsia="Times New Roman" w:hAnsiTheme="minorHAnsi"/>
                <w:sz w:val="18"/>
                <w:szCs w:val="18"/>
                <w:lang w:val="en-US" w:eastAsia="hr-HR"/>
              </w:rPr>
              <w:t>21.12.2015</w:t>
            </w:r>
          </w:p>
        </w:tc>
        <w:tc>
          <w:tcPr>
            <w:tcW w:w="1134" w:type="dxa"/>
            <w:tcBorders>
              <w:top w:val="nil"/>
              <w:left w:val="nil"/>
              <w:bottom w:val="nil"/>
              <w:right w:val="nil"/>
            </w:tcBorders>
            <w:shd w:val="clear" w:color="auto" w:fill="auto"/>
            <w:noWrap/>
            <w:vAlign w:val="center"/>
          </w:tcPr>
          <w:p w14:paraId="6C649511" w14:textId="51F72017" w:rsidR="00B85043" w:rsidRPr="00F639EA" w:rsidRDefault="00B85043" w:rsidP="00B85043">
            <w:pPr>
              <w:spacing w:after="0" w:line="180" w:lineRule="exact"/>
              <w:jc w:val="right"/>
              <w:rPr>
                <w:rFonts w:asciiTheme="minorHAnsi" w:eastAsia="Times New Roman" w:hAnsiTheme="minorHAnsi" w:cs="Arial"/>
                <w:sz w:val="18"/>
                <w:szCs w:val="18"/>
                <w:lang w:val="hr-HR"/>
              </w:rPr>
            </w:pPr>
            <w:r w:rsidRPr="00F639EA">
              <w:rPr>
                <w:rFonts w:asciiTheme="minorHAnsi" w:eastAsia="Times New Roman" w:hAnsiTheme="minorHAnsi"/>
                <w:sz w:val="18"/>
                <w:szCs w:val="18"/>
                <w:lang w:val="en-US" w:eastAsia="hr-HR"/>
              </w:rPr>
              <w:t>21.12.2020</w:t>
            </w:r>
          </w:p>
        </w:tc>
        <w:tc>
          <w:tcPr>
            <w:tcW w:w="1261" w:type="dxa"/>
            <w:tcBorders>
              <w:top w:val="nil"/>
              <w:left w:val="nil"/>
              <w:bottom w:val="nil"/>
              <w:right w:val="nil"/>
            </w:tcBorders>
            <w:shd w:val="clear" w:color="auto" w:fill="auto"/>
            <w:noWrap/>
            <w:vAlign w:val="bottom"/>
          </w:tcPr>
          <w:p w14:paraId="69B7A715" w14:textId="77777777" w:rsidR="00B85043" w:rsidRPr="00F639EA" w:rsidRDefault="00B85043" w:rsidP="00B85043">
            <w:pPr>
              <w:spacing w:after="0" w:line="180" w:lineRule="exact"/>
              <w:jc w:val="center"/>
              <w:rPr>
                <w:rFonts w:asciiTheme="minorHAnsi" w:eastAsia="Times New Roman" w:hAnsiTheme="minorHAnsi" w:cs="Arial"/>
                <w:sz w:val="18"/>
                <w:szCs w:val="18"/>
                <w:lang w:val="hr-HR"/>
              </w:rPr>
            </w:pPr>
            <w:r w:rsidRPr="00F639EA">
              <w:rPr>
                <w:rFonts w:asciiTheme="minorHAnsi" w:eastAsia="Times New Roman" w:hAnsiTheme="minorHAnsi"/>
                <w:sz w:val="18"/>
                <w:szCs w:val="18"/>
                <w:lang w:val="en-US" w:eastAsia="hr-HR"/>
              </w:rPr>
              <w:t>5.81</w:t>
            </w:r>
          </w:p>
        </w:tc>
        <w:tc>
          <w:tcPr>
            <w:tcW w:w="1033" w:type="dxa"/>
            <w:tcBorders>
              <w:top w:val="nil"/>
              <w:left w:val="nil"/>
              <w:bottom w:val="nil"/>
              <w:right w:val="nil"/>
            </w:tcBorders>
            <w:shd w:val="clear" w:color="auto" w:fill="auto"/>
            <w:vAlign w:val="bottom"/>
          </w:tcPr>
          <w:p w14:paraId="4591BED9" w14:textId="47BD8C54" w:rsidR="00B85043" w:rsidRPr="00F639EA" w:rsidRDefault="00D77F20" w:rsidP="00B85043">
            <w:pPr>
              <w:spacing w:after="0" w:line="240" w:lineRule="auto"/>
              <w:jc w:val="right"/>
              <w:rPr>
                <w:rFonts w:asciiTheme="minorHAnsi" w:eastAsia="Times New Roman" w:hAnsiTheme="minorHAnsi" w:cs="Arial"/>
                <w:sz w:val="18"/>
                <w:szCs w:val="18"/>
                <w:lang w:val="hr-HR"/>
              </w:rPr>
            </w:pPr>
            <w:r w:rsidRPr="00D77F20">
              <w:rPr>
                <w:rFonts w:asciiTheme="minorHAnsi" w:eastAsia="Times New Roman" w:hAnsiTheme="minorHAnsi" w:cs="Arial"/>
                <w:sz w:val="18"/>
                <w:szCs w:val="18"/>
                <w:lang w:val="hr-HR"/>
              </w:rPr>
              <w:t>769</w:t>
            </w:r>
          </w:p>
        </w:tc>
        <w:tc>
          <w:tcPr>
            <w:tcW w:w="1034" w:type="dxa"/>
            <w:tcBorders>
              <w:top w:val="nil"/>
              <w:left w:val="nil"/>
              <w:bottom w:val="nil"/>
              <w:right w:val="nil"/>
            </w:tcBorders>
            <w:shd w:val="clear" w:color="auto" w:fill="auto"/>
            <w:vAlign w:val="bottom"/>
          </w:tcPr>
          <w:p w14:paraId="03536C18" w14:textId="77777777" w:rsidR="00B85043" w:rsidRPr="00F639EA" w:rsidRDefault="00B85043" w:rsidP="00B85043">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770</w:t>
            </w:r>
          </w:p>
        </w:tc>
        <w:tc>
          <w:tcPr>
            <w:tcW w:w="1033" w:type="dxa"/>
            <w:tcBorders>
              <w:top w:val="nil"/>
              <w:left w:val="nil"/>
              <w:bottom w:val="nil"/>
              <w:right w:val="nil"/>
            </w:tcBorders>
            <w:shd w:val="clear" w:color="auto" w:fill="auto"/>
            <w:noWrap/>
            <w:vAlign w:val="bottom"/>
          </w:tcPr>
          <w:p w14:paraId="32667F5B" w14:textId="4DBD550C" w:rsidR="00B85043" w:rsidRPr="00F639EA" w:rsidRDefault="00F850F1" w:rsidP="00B85043">
            <w:pPr>
              <w:spacing w:after="0" w:line="240" w:lineRule="auto"/>
              <w:jc w:val="right"/>
              <w:rPr>
                <w:rFonts w:asciiTheme="minorHAnsi" w:eastAsia="Times New Roman" w:hAnsiTheme="minorHAnsi" w:cs="Arial"/>
                <w:sz w:val="18"/>
                <w:szCs w:val="18"/>
                <w:lang w:val="hr-HR"/>
              </w:rPr>
            </w:pPr>
            <w:r>
              <w:rPr>
                <w:rFonts w:asciiTheme="minorHAnsi" w:eastAsia="Times New Roman" w:hAnsiTheme="minorHAnsi" w:cs="Arial"/>
                <w:sz w:val="18"/>
                <w:szCs w:val="18"/>
                <w:lang w:val="hr-HR"/>
              </w:rPr>
              <w:t>-</w:t>
            </w:r>
          </w:p>
        </w:tc>
        <w:tc>
          <w:tcPr>
            <w:tcW w:w="1035" w:type="dxa"/>
            <w:tcBorders>
              <w:top w:val="nil"/>
              <w:left w:val="nil"/>
              <w:bottom w:val="nil"/>
              <w:right w:val="nil"/>
            </w:tcBorders>
            <w:shd w:val="clear" w:color="auto" w:fill="auto"/>
            <w:vAlign w:val="bottom"/>
          </w:tcPr>
          <w:p w14:paraId="2130871A" w14:textId="77777777" w:rsidR="00B85043" w:rsidRPr="00F639EA" w:rsidRDefault="00B85043" w:rsidP="00B85043">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w:t>
            </w:r>
          </w:p>
        </w:tc>
      </w:tr>
      <w:tr w:rsidR="00DE19C8" w:rsidRPr="00F639EA" w14:paraId="492EA462" w14:textId="77777777" w:rsidTr="006B318F">
        <w:trPr>
          <w:gridAfter w:val="1"/>
          <w:wAfter w:w="1035" w:type="dxa"/>
          <w:trHeight w:hRule="exact" w:val="262"/>
        </w:trPr>
        <w:tc>
          <w:tcPr>
            <w:tcW w:w="5104" w:type="dxa"/>
            <w:gridSpan w:val="3"/>
            <w:shd w:val="clear" w:color="auto" w:fill="auto"/>
            <w:noWrap/>
            <w:vAlign w:val="bottom"/>
          </w:tcPr>
          <w:p w14:paraId="041074F4" w14:textId="77777777" w:rsidR="00DE19C8" w:rsidRPr="00F639EA" w:rsidRDefault="00DE19C8" w:rsidP="00166751">
            <w:pPr>
              <w:spacing w:after="0" w:line="240" w:lineRule="auto"/>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color w:val="000000"/>
                <w:sz w:val="18"/>
                <w:szCs w:val="18"/>
                <w:lang w:val="en-US" w:eastAsia="hr-HR"/>
              </w:rPr>
              <w:t xml:space="preserve">Corporate bonds indexed to foreign currency: </w:t>
            </w:r>
          </w:p>
        </w:tc>
        <w:tc>
          <w:tcPr>
            <w:tcW w:w="1261" w:type="dxa"/>
            <w:tcBorders>
              <w:top w:val="nil"/>
              <w:left w:val="nil"/>
              <w:bottom w:val="nil"/>
              <w:right w:val="nil"/>
            </w:tcBorders>
            <w:shd w:val="clear" w:color="auto" w:fill="auto"/>
            <w:noWrap/>
            <w:vAlign w:val="bottom"/>
          </w:tcPr>
          <w:p w14:paraId="0663546A" w14:textId="77777777" w:rsidR="00DE19C8" w:rsidRPr="00F639EA" w:rsidRDefault="00DE19C8" w:rsidP="00BB095B">
            <w:pPr>
              <w:spacing w:after="0" w:line="240" w:lineRule="auto"/>
              <w:jc w:val="center"/>
              <w:rPr>
                <w:rFonts w:asciiTheme="minorHAnsi" w:eastAsia="Times New Roman" w:hAnsiTheme="minorHAnsi" w:cs="Arial"/>
                <w:sz w:val="18"/>
                <w:szCs w:val="18"/>
                <w:lang w:val="en-US" w:eastAsia="hr-HR"/>
              </w:rPr>
            </w:pPr>
          </w:p>
        </w:tc>
        <w:tc>
          <w:tcPr>
            <w:tcW w:w="1033" w:type="dxa"/>
            <w:tcBorders>
              <w:top w:val="nil"/>
              <w:left w:val="nil"/>
              <w:bottom w:val="nil"/>
              <w:right w:val="nil"/>
            </w:tcBorders>
            <w:vAlign w:val="bottom"/>
          </w:tcPr>
          <w:p w14:paraId="2BAA1A96" w14:textId="77777777" w:rsidR="00DE19C8" w:rsidRPr="005444AA" w:rsidRDefault="00DE19C8" w:rsidP="00BB095B">
            <w:pPr>
              <w:spacing w:after="0" w:line="240" w:lineRule="auto"/>
              <w:jc w:val="right"/>
              <w:rPr>
                <w:rFonts w:asciiTheme="minorHAnsi" w:eastAsia="Times New Roman" w:hAnsiTheme="minorHAnsi" w:cs="Arial"/>
                <w:sz w:val="18"/>
                <w:szCs w:val="18"/>
                <w:lang w:val="hr-HR"/>
              </w:rPr>
            </w:pPr>
          </w:p>
        </w:tc>
        <w:tc>
          <w:tcPr>
            <w:tcW w:w="1034" w:type="dxa"/>
            <w:tcBorders>
              <w:top w:val="nil"/>
              <w:left w:val="nil"/>
              <w:bottom w:val="nil"/>
              <w:right w:val="nil"/>
            </w:tcBorders>
            <w:vAlign w:val="bottom"/>
          </w:tcPr>
          <w:p w14:paraId="37CAA92F" w14:textId="77777777" w:rsidR="00DE19C8" w:rsidRPr="005444AA" w:rsidRDefault="00DE19C8" w:rsidP="00BB095B">
            <w:pPr>
              <w:spacing w:after="0" w:line="240" w:lineRule="auto"/>
              <w:jc w:val="right"/>
              <w:rPr>
                <w:rFonts w:asciiTheme="minorHAnsi" w:eastAsia="Times New Roman" w:hAnsiTheme="minorHAnsi" w:cs="Arial"/>
                <w:sz w:val="18"/>
                <w:szCs w:val="18"/>
                <w:lang w:val="hr-HR"/>
              </w:rPr>
            </w:pPr>
          </w:p>
        </w:tc>
        <w:tc>
          <w:tcPr>
            <w:tcW w:w="1033" w:type="dxa"/>
            <w:tcBorders>
              <w:top w:val="nil"/>
              <w:left w:val="nil"/>
              <w:bottom w:val="nil"/>
              <w:right w:val="nil"/>
            </w:tcBorders>
            <w:shd w:val="clear" w:color="auto" w:fill="auto"/>
            <w:noWrap/>
            <w:vAlign w:val="bottom"/>
          </w:tcPr>
          <w:p w14:paraId="74C94EDB" w14:textId="77777777" w:rsidR="00DE19C8" w:rsidRPr="005444AA" w:rsidRDefault="00DE19C8" w:rsidP="00BB095B">
            <w:pPr>
              <w:spacing w:after="0" w:line="240" w:lineRule="auto"/>
              <w:jc w:val="right"/>
              <w:rPr>
                <w:rFonts w:asciiTheme="minorHAnsi" w:eastAsia="Times New Roman" w:hAnsiTheme="minorHAnsi" w:cs="Arial"/>
                <w:sz w:val="18"/>
                <w:szCs w:val="18"/>
                <w:lang w:val="hr-HR"/>
              </w:rPr>
            </w:pPr>
          </w:p>
        </w:tc>
        <w:tc>
          <w:tcPr>
            <w:tcW w:w="1035" w:type="dxa"/>
            <w:tcBorders>
              <w:top w:val="nil"/>
              <w:left w:val="nil"/>
              <w:bottom w:val="nil"/>
              <w:right w:val="nil"/>
            </w:tcBorders>
            <w:vAlign w:val="bottom"/>
          </w:tcPr>
          <w:p w14:paraId="69E31F24" w14:textId="77777777" w:rsidR="00DE19C8" w:rsidRPr="005444AA" w:rsidRDefault="00DE19C8" w:rsidP="00BB095B">
            <w:pPr>
              <w:spacing w:after="0" w:line="240" w:lineRule="auto"/>
              <w:jc w:val="right"/>
              <w:rPr>
                <w:rFonts w:asciiTheme="minorHAnsi" w:eastAsia="Times New Roman" w:hAnsiTheme="minorHAnsi" w:cs="Arial"/>
                <w:sz w:val="18"/>
                <w:szCs w:val="18"/>
                <w:lang w:val="hr-HR"/>
              </w:rPr>
            </w:pPr>
          </w:p>
        </w:tc>
      </w:tr>
      <w:tr w:rsidR="004B3CBB" w:rsidRPr="00F639EA" w14:paraId="4E43B71C" w14:textId="77777777" w:rsidTr="006B318F">
        <w:trPr>
          <w:gridAfter w:val="1"/>
          <w:wAfter w:w="1035" w:type="dxa"/>
          <w:trHeight w:hRule="exact" w:val="205"/>
        </w:trPr>
        <w:tc>
          <w:tcPr>
            <w:tcW w:w="2836" w:type="dxa"/>
            <w:shd w:val="clear" w:color="auto" w:fill="auto"/>
            <w:noWrap/>
            <w:vAlign w:val="bottom"/>
          </w:tcPr>
          <w:p w14:paraId="1D652A8E" w14:textId="77777777" w:rsidR="004B3CBB" w:rsidRPr="00F639EA" w:rsidRDefault="004B3CBB" w:rsidP="00BB095B">
            <w:pPr>
              <w:spacing w:after="0" w:line="180" w:lineRule="exact"/>
              <w:jc w:val="right"/>
              <w:rPr>
                <w:rFonts w:asciiTheme="minorHAnsi" w:eastAsia="Times New Roman" w:hAnsiTheme="minorHAnsi" w:cs="Arial"/>
                <w:sz w:val="18"/>
                <w:szCs w:val="18"/>
                <w:lang w:val="en-US" w:eastAsia="hr-HR"/>
              </w:rPr>
            </w:pPr>
            <w:r w:rsidRPr="00F639EA">
              <w:rPr>
                <w:rFonts w:asciiTheme="minorHAnsi" w:eastAsia="Times New Roman" w:hAnsiTheme="minorHAnsi" w:cs="Arial"/>
                <w:sz w:val="18"/>
                <w:szCs w:val="18"/>
                <w:lang w:val="en-US" w:eastAsia="hr-HR"/>
              </w:rPr>
              <w:t>JRLN-O-17AA</w:t>
            </w:r>
          </w:p>
        </w:tc>
        <w:tc>
          <w:tcPr>
            <w:tcW w:w="1134" w:type="dxa"/>
            <w:shd w:val="clear" w:color="auto" w:fill="auto"/>
            <w:noWrap/>
            <w:vAlign w:val="bottom"/>
          </w:tcPr>
          <w:p w14:paraId="4D1E5317" w14:textId="0BF4B94A" w:rsidR="004B3CBB" w:rsidRPr="00F639EA" w:rsidRDefault="004B3CBB" w:rsidP="00BB095B">
            <w:pPr>
              <w:spacing w:after="0" w:line="180" w:lineRule="exact"/>
              <w:jc w:val="righ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color w:val="000000"/>
                <w:sz w:val="18"/>
                <w:szCs w:val="18"/>
                <w:lang w:val="en-US" w:eastAsia="hr-HR"/>
              </w:rPr>
              <w:t>24.10.2012</w:t>
            </w:r>
          </w:p>
        </w:tc>
        <w:tc>
          <w:tcPr>
            <w:tcW w:w="1134" w:type="dxa"/>
            <w:shd w:val="clear" w:color="auto" w:fill="auto"/>
            <w:noWrap/>
            <w:vAlign w:val="bottom"/>
          </w:tcPr>
          <w:p w14:paraId="1F667A77" w14:textId="4674F3E5" w:rsidR="004B3CBB" w:rsidRPr="00F639EA" w:rsidRDefault="004B3CBB" w:rsidP="00BB095B">
            <w:pPr>
              <w:spacing w:after="0" w:line="180" w:lineRule="exact"/>
              <w:jc w:val="righ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color w:val="000000"/>
                <w:sz w:val="18"/>
                <w:szCs w:val="18"/>
                <w:lang w:val="en-US" w:eastAsia="hr-HR"/>
              </w:rPr>
              <w:t>24.10.2017</w:t>
            </w:r>
          </w:p>
        </w:tc>
        <w:tc>
          <w:tcPr>
            <w:tcW w:w="1261" w:type="dxa"/>
            <w:shd w:val="clear" w:color="auto" w:fill="auto"/>
            <w:noWrap/>
            <w:vAlign w:val="bottom"/>
          </w:tcPr>
          <w:p w14:paraId="3974EA4B" w14:textId="77777777" w:rsidR="004B3CBB" w:rsidRPr="006B318F" w:rsidRDefault="004B3CBB" w:rsidP="00BB095B">
            <w:pPr>
              <w:spacing w:after="0" w:line="180" w:lineRule="exact"/>
              <w:jc w:val="center"/>
              <w:rPr>
                <w:rFonts w:asciiTheme="minorHAnsi" w:eastAsia="Times New Roman" w:hAnsiTheme="minorHAnsi" w:cs="Arial"/>
                <w:sz w:val="18"/>
                <w:szCs w:val="18"/>
                <w:highlight w:val="yellow"/>
                <w:lang w:val="en-US" w:eastAsia="hr-HR"/>
              </w:rPr>
            </w:pPr>
            <w:r w:rsidRPr="004B24F6">
              <w:rPr>
                <w:rFonts w:asciiTheme="minorHAnsi" w:eastAsia="Times New Roman" w:hAnsiTheme="minorHAnsi" w:cs="Arial"/>
                <w:sz w:val="18"/>
                <w:szCs w:val="18"/>
                <w:lang w:val="en-US" w:eastAsia="hr-HR"/>
              </w:rPr>
              <w:t>6.5</w:t>
            </w:r>
          </w:p>
        </w:tc>
        <w:tc>
          <w:tcPr>
            <w:tcW w:w="1033" w:type="dxa"/>
            <w:tcBorders>
              <w:top w:val="nil"/>
              <w:left w:val="nil"/>
              <w:bottom w:val="nil"/>
              <w:right w:val="nil"/>
            </w:tcBorders>
            <w:shd w:val="clear" w:color="auto" w:fill="auto"/>
            <w:vAlign w:val="bottom"/>
          </w:tcPr>
          <w:p w14:paraId="554D0886" w14:textId="737481BA" w:rsidR="004B3CBB" w:rsidRPr="005444AA" w:rsidRDefault="00D77F20" w:rsidP="00BB095B">
            <w:pPr>
              <w:spacing w:after="0" w:line="240" w:lineRule="auto"/>
              <w:jc w:val="right"/>
              <w:rPr>
                <w:rFonts w:asciiTheme="minorHAnsi" w:eastAsia="Times New Roman" w:hAnsiTheme="minorHAnsi" w:cs="Arial"/>
                <w:sz w:val="18"/>
                <w:szCs w:val="18"/>
                <w:lang w:val="hr-HR"/>
              </w:rPr>
            </w:pPr>
            <w:r w:rsidRPr="00D77F20">
              <w:rPr>
                <w:rFonts w:asciiTheme="minorHAnsi" w:eastAsia="Times New Roman" w:hAnsiTheme="minorHAnsi" w:cs="Arial"/>
                <w:sz w:val="18"/>
                <w:szCs w:val="18"/>
                <w:lang w:val="hr-HR"/>
              </w:rPr>
              <w:t>383</w:t>
            </w:r>
          </w:p>
        </w:tc>
        <w:tc>
          <w:tcPr>
            <w:tcW w:w="1034" w:type="dxa"/>
            <w:tcBorders>
              <w:top w:val="nil"/>
              <w:left w:val="nil"/>
              <w:bottom w:val="nil"/>
              <w:right w:val="nil"/>
            </w:tcBorders>
            <w:shd w:val="clear" w:color="auto" w:fill="auto"/>
            <w:vAlign w:val="bottom"/>
          </w:tcPr>
          <w:p w14:paraId="074CEF40" w14:textId="77777777" w:rsidR="004B3CBB" w:rsidRPr="005444AA" w:rsidRDefault="004B3CBB" w:rsidP="00BB095B">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391</w:t>
            </w:r>
          </w:p>
        </w:tc>
        <w:tc>
          <w:tcPr>
            <w:tcW w:w="1033" w:type="dxa"/>
            <w:tcBorders>
              <w:top w:val="nil"/>
              <w:left w:val="nil"/>
              <w:bottom w:val="nil"/>
              <w:right w:val="nil"/>
            </w:tcBorders>
            <w:shd w:val="clear" w:color="auto" w:fill="auto"/>
            <w:noWrap/>
            <w:vAlign w:val="bottom"/>
          </w:tcPr>
          <w:p w14:paraId="2D831350" w14:textId="57A1AAA4" w:rsidR="004B3CBB" w:rsidRPr="005444AA" w:rsidRDefault="00F850F1" w:rsidP="00BB095B">
            <w:pPr>
              <w:spacing w:after="0" w:line="240" w:lineRule="auto"/>
              <w:jc w:val="right"/>
              <w:rPr>
                <w:rFonts w:asciiTheme="minorHAnsi" w:eastAsia="Times New Roman" w:hAnsiTheme="minorHAnsi" w:cs="Arial"/>
                <w:sz w:val="18"/>
                <w:szCs w:val="18"/>
                <w:lang w:val="hr-HR"/>
              </w:rPr>
            </w:pPr>
            <w:r>
              <w:rPr>
                <w:rFonts w:asciiTheme="minorHAnsi" w:eastAsia="Times New Roman" w:hAnsiTheme="minorHAnsi" w:cs="Arial"/>
                <w:sz w:val="18"/>
                <w:szCs w:val="18"/>
                <w:lang w:val="hr-HR"/>
              </w:rPr>
              <w:t>-</w:t>
            </w:r>
          </w:p>
        </w:tc>
        <w:tc>
          <w:tcPr>
            <w:tcW w:w="1035" w:type="dxa"/>
            <w:tcBorders>
              <w:top w:val="nil"/>
              <w:left w:val="nil"/>
              <w:bottom w:val="nil"/>
              <w:right w:val="nil"/>
            </w:tcBorders>
            <w:shd w:val="clear" w:color="auto" w:fill="auto"/>
            <w:vAlign w:val="bottom"/>
          </w:tcPr>
          <w:p w14:paraId="1888AC39" w14:textId="77777777" w:rsidR="004B3CBB" w:rsidRPr="005444AA" w:rsidRDefault="004B3CBB" w:rsidP="00BB095B">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w:t>
            </w:r>
          </w:p>
        </w:tc>
      </w:tr>
      <w:tr w:rsidR="00F850F1" w:rsidRPr="00F639EA" w14:paraId="40DA0B1B" w14:textId="77777777" w:rsidTr="006B318F">
        <w:trPr>
          <w:gridAfter w:val="1"/>
          <w:wAfter w:w="1035" w:type="dxa"/>
          <w:trHeight w:hRule="exact" w:val="205"/>
        </w:trPr>
        <w:tc>
          <w:tcPr>
            <w:tcW w:w="3970" w:type="dxa"/>
            <w:gridSpan w:val="2"/>
            <w:shd w:val="clear" w:color="auto" w:fill="auto"/>
            <w:noWrap/>
            <w:vAlign w:val="bottom"/>
          </w:tcPr>
          <w:p w14:paraId="68C59C48" w14:textId="77777777" w:rsidR="00F850F1" w:rsidRPr="00F639EA" w:rsidRDefault="00F850F1" w:rsidP="00F850F1">
            <w:pPr>
              <w:spacing w:after="0" w:line="180" w:lineRule="exac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sz w:val="18"/>
                <w:szCs w:val="18"/>
                <w:lang w:eastAsia="hr-HR"/>
              </w:rPr>
              <w:t xml:space="preserve">Treasury bills in HRK up to </w:t>
            </w:r>
            <w:r>
              <w:rPr>
                <w:rFonts w:asciiTheme="minorHAnsi" w:eastAsia="Times New Roman" w:hAnsiTheme="minorHAnsi" w:cs="Arial"/>
                <w:sz w:val="18"/>
                <w:szCs w:val="18"/>
                <w:lang w:eastAsia="hr-HR"/>
              </w:rPr>
              <w:t>281 days</w:t>
            </w:r>
          </w:p>
        </w:tc>
        <w:tc>
          <w:tcPr>
            <w:tcW w:w="1134" w:type="dxa"/>
            <w:shd w:val="clear" w:color="auto" w:fill="auto"/>
            <w:noWrap/>
            <w:vAlign w:val="bottom"/>
          </w:tcPr>
          <w:p w14:paraId="000956AB" w14:textId="77777777" w:rsidR="00F850F1" w:rsidRPr="00F639EA" w:rsidRDefault="00F850F1" w:rsidP="00F850F1">
            <w:pPr>
              <w:spacing w:after="0" w:line="180" w:lineRule="exact"/>
              <w:jc w:val="right"/>
              <w:rPr>
                <w:rFonts w:asciiTheme="minorHAnsi" w:eastAsia="Times New Roman" w:hAnsiTheme="minorHAnsi" w:cs="Arial"/>
                <w:color w:val="000000"/>
                <w:sz w:val="18"/>
                <w:szCs w:val="18"/>
                <w:lang w:val="en-US" w:eastAsia="hr-HR"/>
              </w:rPr>
            </w:pPr>
          </w:p>
        </w:tc>
        <w:tc>
          <w:tcPr>
            <w:tcW w:w="1261" w:type="dxa"/>
            <w:tcBorders>
              <w:top w:val="nil"/>
              <w:left w:val="nil"/>
              <w:bottom w:val="nil"/>
              <w:right w:val="nil"/>
            </w:tcBorders>
            <w:shd w:val="clear" w:color="auto" w:fill="auto"/>
            <w:noWrap/>
            <w:vAlign w:val="bottom"/>
          </w:tcPr>
          <w:p w14:paraId="014E8FCD" w14:textId="701C28F9" w:rsidR="00F850F1" w:rsidRPr="006B318F" w:rsidRDefault="00F850F1" w:rsidP="00F850F1">
            <w:pPr>
              <w:spacing w:after="0" w:line="180" w:lineRule="exact"/>
              <w:jc w:val="center"/>
              <w:rPr>
                <w:rFonts w:asciiTheme="minorHAnsi" w:eastAsia="Times New Roman" w:hAnsiTheme="minorHAnsi" w:cs="Arial"/>
                <w:sz w:val="18"/>
                <w:szCs w:val="18"/>
                <w:highlight w:val="yellow"/>
                <w:lang w:val="en-US" w:eastAsia="hr-HR"/>
              </w:rPr>
            </w:pPr>
            <w:r w:rsidRPr="004B24F6">
              <w:rPr>
                <w:rFonts w:eastAsia="Times New Roman" w:cs="Arial"/>
                <w:color w:val="000000"/>
                <w:sz w:val="18"/>
                <w:szCs w:val="18"/>
              </w:rPr>
              <w:t>0,728</w:t>
            </w:r>
          </w:p>
        </w:tc>
        <w:tc>
          <w:tcPr>
            <w:tcW w:w="1033" w:type="dxa"/>
            <w:tcBorders>
              <w:top w:val="nil"/>
              <w:left w:val="nil"/>
              <w:bottom w:val="nil"/>
              <w:right w:val="nil"/>
            </w:tcBorders>
            <w:shd w:val="clear" w:color="auto" w:fill="auto"/>
            <w:vAlign w:val="bottom"/>
          </w:tcPr>
          <w:p w14:paraId="3DEF6F5C" w14:textId="035CB8AB"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6B318F">
              <w:rPr>
                <w:rFonts w:asciiTheme="minorHAnsi" w:eastAsia="Times New Roman" w:hAnsiTheme="minorHAnsi" w:cs="Arial"/>
                <w:sz w:val="18"/>
                <w:szCs w:val="18"/>
                <w:lang w:val="hr-HR"/>
              </w:rPr>
              <w:t>29,978</w:t>
            </w:r>
          </w:p>
        </w:tc>
        <w:tc>
          <w:tcPr>
            <w:tcW w:w="1034" w:type="dxa"/>
            <w:tcBorders>
              <w:top w:val="nil"/>
              <w:left w:val="nil"/>
              <w:bottom w:val="nil"/>
              <w:right w:val="nil"/>
            </w:tcBorders>
            <w:shd w:val="clear" w:color="auto" w:fill="auto"/>
            <w:vAlign w:val="bottom"/>
          </w:tcPr>
          <w:p w14:paraId="258FF349" w14:textId="77777777" w:rsidR="00F850F1" w:rsidRPr="00F639EA" w:rsidRDefault="00F850F1" w:rsidP="00F850F1">
            <w:pPr>
              <w:spacing w:after="0" w:line="240" w:lineRule="auto"/>
              <w:jc w:val="right"/>
              <w:rPr>
                <w:rFonts w:asciiTheme="minorHAnsi" w:eastAsia="Times New Roman" w:hAnsiTheme="minorHAnsi" w:cs="Arial"/>
                <w:sz w:val="18"/>
                <w:szCs w:val="18"/>
                <w:lang w:val="hr-HR"/>
              </w:rPr>
            </w:pPr>
            <w:r>
              <w:rPr>
                <w:rFonts w:asciiTheme="minorHAnsi" w:eastAsia="Times New Roman" w:hAnsiTheme="minorHAnsi" w:cs="Arial"/>
                <w:sz w:val="18"/>
                <w:szCs w:val="18"/>
                <w:lang w:val="hr-HR"/>
              </w:rPr>
              <w:t>-</w:t>
            </w:r>
          </w:p>
        </w:tc>
        <w:tc>
          <w:tcPr>
            <w:tcW w:w="1033" w:type="dxa"/>
            <w:tcBorders>
              <w:top w:val="nil"/>
              <w:left w:val="nil"/>
              <w:bottom w:val="nil"/>
              <w:right w:val="nil"/>
            </w:tcBorders>
            <w:shd w:val="clear" w:color="auto" w:fill="auto"/>
            <w:noWrap/>
            <w:vAlign w:val="bottom"/>
          </w:tcPr>
          <w:p w14:paraId="1E74EBAC" w14:textId="1725344B"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FE65B6">
              <w:rPr>
                <w:rFonts w:eastAsia="Times New Roman"/>
                <w:color w:val="000000"/>
                <w:sz w:val="18"/>
                <w:szCs w:val="18"/>
                <w:lang w:val="en-US"/>
              </w:rPr>
              <w:t>29</w:t>
            </w:r>
            <w:r>
              <w:rPr>
                <w:rFonts w:eastAsia="Times New Roman"/>
                <w:color w:val="000000"/>
                <w:sz w:val="18"/>
                <w:szCs w:val="18"/>
                <w:lang w:val="en-US"/>
              </w:rPr>
              <w:t>,</w:t>
            </w:r>
            <w:r w:rsidRPr="00FE65B6">
              <w:rPr>
                <w:rFonts w:eastAsia="Times New Roman"/>
                <w:color w:val="000000"/>
                <w:sz w:val="18"/>
                <w:szCs w:val="18"/>
                <w:lang w:val="en-US"/>
              </w:rPr>
              <w:t>978</w:t>
            </w:r>
          </w:p>
        </w:tc>
        <w:tc>
          <w:tcPr>
            <w:tcW w:w="1035" w:type="dxa"/>
            <w:tcBorders>
              <w:top w:val="nil"/>
              <w:left w:val="nil"/>
              <w:bottom w:val="nil"/>
              <w:right w:val="nil"/>
            </w:tcBorders>
            <w:shd w:val="clear" w:color="auto" w:fill="auto"/>
            <w:vAlign w:val="bottom"/>
          </w:tcPr>
          <w:p w14:paraId="0681E926" w14:textId="77777777" w:rsidR="00F850F1" w:rsidRPr="00F639EA" w:rsidRDefault="00F850F1" w:rsidP="00F850F1">
            <w:pPr>
              <w:spacing w:after="0" w:line="240" w:lineRule="auto"/>
              <w:jc w:val="right"/>
              <w:rPr>
                <w:rFonts w:asciiTheme="minorHAnsi" w:eastAsia="Times New Roman" w:hAnsiTheme="minorHAnsi" w:cs="Arial"/>
                <w:sz w:val="18"/>
                <w:szCs w:val="18"/>
                <w:lang w:val="hr-HR"/>
              </w:rPr>
            </w:pPr>
            <w:r>
              <w:rPr>
                <w:rFonts w:asciiTheme="minorHAnsi" w:eastAsia="Times New Roman" w:hAnsiTheme="minorHAnsi" w:cs="Arial"/>
                <w:sz w:val="18"/>
                <w:szCs w:val="18"/>
                <w:lang w:val="hr-HR"/>
              </w:rPr>
              <w:t>-</w:t>
            </w:r>
          </w:p>
        </w:tc>
      </w:tr>
      <w:tr w:rsidR="00F850F1" w:rsidRPr="00F639EA" w14:paraId="0D767BE4" w14:textId="77777777" w:rsidTr="006B318F">
        <w:trPr>
          <w:gridAfter w:val="1"/>
          <w:wAfter w:w="1035" w:type="dxa"/>
          <w:trHeight w:hRule="exact" w:val="205"/>
        </w:trPr>
        <w:tc>
          <w:tcPr>
            <w:tcW w:w="3970" w:type="dxa"/>
            <w:gridSpan w:val="2"/>
            <w:tcBorders>
              <w:top w:val="nil"/>
              <w:left w:val="nil"/>
              <w:bottom w:val="nil"/>
              <w:right w:val="nil"/>
            </w:tcBorders>
            <w:shd w:val="clear" w:color="auto" w:fill="auto"/>
            <w:noWrap/>
            <w:vAlign w:val="bottom"/>
            <w:hideMark/>
          </w:tcPr>
          <w:p w14:paraId="07E8DC69" w14:textId="77777777" w:rsidR="00F850F1" w:rsidRPr="00F639EA" w:rsidRDefault="00F850F1" w:rsidP="00F850F1">
            <w:pPr>
              <w:spacing w:after="0" w:line="240" w:lineRule="auto"/>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eastAsia="hr-HR"/>
              </w:rPr>
              <w:t xml:space="preserve">Treasury bills in HRK up to 364 </w:t>
            </w:r>
            <w:r>
              <w:rPr>
                <w:rFonts w:asciiTheme="minorHAnsi" w:eastAsia="Times New Roman" w:hAnsiTheme="minorHAnsi" w:cs="Arial"/>
                <w:sz w:val="18"/>
                <w:szCs w:val="18"/>
                <w:lang w:eastAsia="hr-HR"/>
              </w:rPr>
              <w:t>days</w:t>
            </w:r>
          </w:p>
        </w:tc>
        <w:tc>
          <w:tcPr>
            <w:tcW w:w="1134" w:type="dxa"/>
            <w:tcBorders>
              <w:top w:val="nil"/>
              <w:left w:val="nil"/>
              <w:bottom w:val="nil"/>
              <w:right w:val="nil"/>
            </w:tcBorders>
            <w:shd w:val="clear" w:color="auto" w:fill="auto"/>
            <w:noWrap/>
            <w:vAlign w:val="bottom"/>
          </w:tcPr>
          <w:p w14:paraId="0B5C5435" w14:textId="77777777" w:rsidR="00F850F1" w:rsidRPr="00F639EA" w:rsidRDefault="00F850F1" w:rsidP="00F850F1">
            <w:pPr>
              <w:spacing w:after="0" w:line="240" w:lineRule="auto"/>
              <w:jc w:val="right"/>
              <w:rPr>
                <w:rFonts w:asciiTheme="minorHAnsi" w:eastAsia="Times New Roman" w:hAnsiTheme="minorHAnsi" w:cs="Arial"/>
                <w:color w:val="000000"/>
                <w:sz w:val="18"/>
                <w:szCs w:val="18"/>
                <w:lang w:eastAsia="hr-HR"/>
              </w:rPr>
            </w:pPr>
          </w:p>
        </w:tc>
        <w:tc>
          <w:tcPr>
            <w:tcW w:w="1261" w:type="dxa"/>
            <w:tcBorders>
              <w:top w:val="nil"/>
              <w:left w:val="nil"/>
              <w:bottom w:val="nil"/>
              <w:right w:val="nil"/>
            </w:tcBorders>
            <w:shd w:val="clear" w:color="auto" w:fill="auto"/>
            <w:noWrap/>
            <w:vAlign w:val="bottom"/>
          </w:tcPr>
          <w:p w14:paraId="7017213C" w14:textId="0953CF41" w:rsidR="00F850F1" w:rsidRPr="006B318F" w:rsidRDefault="00F850F1" w:rsidP="00F850F1">
            <w:pPr>
              <w:spacing w:after="0" w:line="240" w:lineRule="auto"/>
              <w:jc w:val="center"/>
              <w:rPr>
                <w:rFonts w:asciiTheme="minorHAnsi" w:eastAsia="Times New Roman" w:hAnsiTheme="minorHAnsi" w:cs="Arial"/>
                <w:color w:val="000000"/>
                <w:sz w:val="18"/>
                <w:szCs w:val="18"/>
                <w:highlight w:val="yellow"/>
                <w:lang w:val="en-US" w:eastAsia="hr-HR"/>
              </w:rPr>
            </w:pPr>
            <w:r w:rsidRPr="004B24F6">
              <w:rPr>
                <w:rFonts w:eastAsia="Times New Roman" w:cs="Arial"/>
                <w:color w:val="000000"/>
                <w:sz w:val="18"/>
                <w:szCs w:val="18"/>
              </w:rPr>
              <w:t>0,398-0,856</w:t>
            </w:r>
            <w:r w:rsidRPr="006B318F">
              <w:rPr>
                <w:rFonts w:eastAsia="Times New Roman" w:cs="Arial"/>
                <w:color w:val="000000"/>
                <w:sz w:val="18"/>
                <w:szCs w:val="18"/>
                <w:highlight w:val="yellow"/>
              </w:rPr>
              <w:t xml:space="preserve"> 0,.856</w:t>
            </w:r>
          </w:p>
        </w:tc>
        <w:tc>
          <w:tcPr>
            <w:tcW w:w="1033" w:type="dxa"/>
            <w:tcBorders>
              <w:top w:val="nil"/>
              <w:left w:val="nil"/>
              <w:bottom w:val="nil"/>
              <w:right w:val="nil"/>
            </w:tcBorders>
            <w:shd w:val="clear" w:color="auto" w:fill="auto"/>
            <w:vAlign w:val="bottom"/>
          </w:tcPr>
          <w:p w14:paraId="4262EC8A" w14:textId="6F42B851"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6B318F">
              <w:rPr>
                <w:rFonts w:asciiTheme="minorHAnsi" w:eastAsia="Times New Roman" w:hAnsiTheme="minorHAnsi" w:cs="Arial"/>
                <w:sz w:val="18"/>
                <w:szCs w:val="18"/>
                <w:lang w:val="hr-HR"/>
              </w:rPr>
              <w:t>1,106,421</w:t>
            </w:r>
          </w:p>
        </w:tc>
        <w:tc>
          <w:tcPr>
            <w:tcW w:w="1034" w:type="dxa"/>
            <w:tcBorders>
              <w:top w:val="nil"/>
              <w:left w:val="nil"/>
              <w:bottom w:val="nil"/>
              <w:right w:val="nil"/>
            </w:tcBorders>
            <w:shd w:val="clear" w:color="auto" w:fill="auto"/>
            <w:vAlign w:val="bottom"/>
          </w:tcPr>
          <w:p w14:paraId="681939C8" w14:textId="77777777"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1,087,406</w:t>
            </w:r>
          </w:p>
        </w:tc>
        <w:tc>
          <w:tcPr>
            <w:tcW w:w="1033" w:type="dxa"/>
            <w:tcBorders>
              <w:top w:val="nil"/>
              <w:left w:val="nil"/>
              <w:bottom w:val="nil"/>
              <w:right w:val="nil"/>
            </w:tcBorders>
            <w:shd w:val="clear" w:color="auto" w:fill="auto"/>
            <w:noWrap/>
            <w:vAlign w:val="bottom"/>
          </w:tcPr>
          <w:p w14:paraId="2ACA8AB8" w14:textId="6DA5F51B"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FE65B6">
              <w:rPr>
                <w:rFonts w:eastAsia="Times New Roman"/>
                <w:color w:val="000000"/>
                <w:sz w:val="18"/>
                <w:szCs w:val="18"/>
                <w:lang w:val="en-US"/>
              </w:rPr>
              <w:t>1</w:t>
            </w:r>
            <w:r>
              <w:rPr>
                <w:rFonts w:eastAsia="Times New Roman"/>
                <w:color w:val="000000"/>
                <w:sz w:val="18"/>
                <w:szCs w:val="18"/>
                <w:lang w:val="en-US"/>
              </w:rPr>
              <w:t>,</w:t>
            </w:r>
            <w:r w:rsidRPr="00FE65B6">
              <w:rPr>
                <w:rFonts w:eastAsia="Times New Roman"/>
                <w:color w:val="000000"/>
                <w:sz w:val="18"/>
                <w:szCs w:val="18"/>
                <w:lang w:val="en-US"/>
              </w:rPr>
              <w:t>106</w:t>
            </w:r>
            <w:r>
              <w:rPr>
                <w:rFonts w:eastAsia="Times New Roman"/>
                <w:color w:val="000000"/>
                <w:sz w:val="18"/>
                <w:szCs w:val="18"/>
                <w:lang w:val="en-US"/>
              </w:rPr>
              <w:t>,</w:t>
            </w:r>
            <w:r w:rsidRPr="00FE65B6">
              <w:rPr>
                <w:rFonts w:eastAsia="Times New Roman"/>
                <w:color w:val="000000"/>
                <w:sz w:val="18"/>
                <w:szCs w:val="18"/>
                <w:lang w:val="en-US"/>
              </w:rPr>
              <w:t>421</w:t>
            </w:r>
          </w:p>
        </w:tc>
        <w:tc>
          <w:tcPr>
            <w:tcW w:w="1035" w:type="dxa"/>
            <w:tcBorders>
              <w:top w:val="nil"/>
              <w:left w:val="nil"/>
              <w:bottom w:val="nil"/>
              <w:right w:val="nil"/>
            </w:tcBorders>
            <w:shd w:val="clear" w:color="auto" w:fill="auto"/>
            <w:vAlign w:val="bottom"/>
          </w:tcPr>
          <w:p w14:paraId="37387F40" w14:textId="77777777"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1,087,406</w:t>
            </w:r>
          </w:p>
        </w:tc>
      </w:tr>
      <w:tr w:rsidR="00F850F1" w:rsidRPr="00F639EA" w14:paraId="7A5A5E30" w14:textId="77777777" w:rsidTr="006B318F">
        <w:trPr>
          <w:gridAfter w:val="1"/>
          <w:wAfter w:w="1035" w:type="dxa"/>
          <w:trHeight w:hRule="exact" w:val="229"/>
        </w:trPr>
        <w:tc>
          <w:tcPr>
            <w:tcW w:w="3970" w:type="dxa"/>
            <w:gridSpan w:val="2"/>
            <w:tcBorders>
              <w:top w:val="nil"/>
              <w:left w:val="nil"/>
              <w:bottom w:val="nil"/>
              <w:right w:val="nil"/>
            </w:tcBorders>
            <w:shd w:val="clear" w:color="auto" w:fill="auto"/>
            <w:noWrap/>
            <w:vAlign w:val="bottom"/>
          </w:tcPr>
          <w:p w14:paraId="157B91CD" w14:textId="77777777" w:rsidR="00F850F1" w:rsidRPr="00F639EA" w:rsidRDefault="00F850F1" w:rsidP="00F850F1">
            <w:pPr>
              <w:spacing w:after="0" w:line="240" w:lineRule="auto"/>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pl-PL" w:eastAsia="hr-HR"/>
              </w:rPr>
              <w:t>Treasury bills in foreign currency up to 455 days</w:t>
            </w:r>
          </w:p>
        </w:tc>
        <w:tc>
          <w:tcPr>
            <w:tcW w:w="1134" w:type="dxa"/>
            <w:tcBorders>
              <w:top w:val="nil"/>
              <w:left w:val="nil"/>
              <w:bottom w:val="nil"/>
              <w:right w:val="nil"/>
            </w:tcBorders>
            <w:shd w:val="clear" w:color="auto" w:fill="auto"/>
            <w:noWrap/>
            <w:vAlign w:val="bottom"/>
          </w:tcPr>
          <w:p w14:paraId="40953340" w14:textId="77777777" w:rsidR="00F850F1" w:rsidRPr="00F639EA" w:rsidRDefault="00F850F1" w:rsidP="00F850F1">
            <w:pPr>
              <w:spacing w:after="0" w:line="240" w:lineRule="auto"/>
              <w:jc w:val="right"/>
              <w:rPr>
                <w:rFonts w:asciiTheme="minorHAnsi" w:eastAsia="Times New Roman" w:hAnsiTheme="minorHAnsi" w:cs="Arial"/>
                <w:color w:val="000000"/>
                <w:sz w:val="18"/>
                <w:szCs w:val="18"/>
                <w:lang w:eastAsia="hr-HR"/>
              </w:rPr>
            </w:pPr>
          </w:p>
        </w:tc>
        <w:tc>
          <w:tcPr>
            <w:tcW w:w="1261" w:type="dxa"/>
            <w:tcBorders>
              <w:top w:val="nil"/>
              <w:left w:val="nil"/>
              <w:bottom w:val="nil"/>
              <w:right w:val="nil"/>
            </w:tcBorders>
            <w:shd w:val="clear" w:color="auto" w:fill="auto"/>
            <w:noWrap/>
            <w:vAlign w:val="bottom"/>
          </w:tcPr>
          <w:p w14:paraId="36DBE68F" w14:textId="12B90C6A" w:rsidR="00F850F1" w:rsidRPr="006B318F" w:rsidRDefault="00F850F1" w:rsidP="00F850F1">
            <w:pPr>
              <w:spacing w:after="0" w:line="240" w:lineRule="auto"/>
              <w:jc w:val="center"/>
              <w:rPr>
                <w:rFonts w:asciiTheme="minorHAnsi" w:eastAsia="Times New Roman" w:hAnsiTheme="minorHAnsi" w:cs="Arial"/>
                <w:color w:val="000000"/>
                <w:sz w:val="18"/>
                <w:szCs w:val="18"/>
                <w:highlight w:val="yellow"/>
                <w:lang w:val="en-US" w:eastAsia="hr-HR"/>
              </w:rPr>
            </w:pPr>
            <w:r w:rsidRPr="004B24F6">
              <w:rPr>
                <w:rFonts w:eastAsia="Times New Roman" w:cs="Arial"/>
                <w:color w:val="000000"/>
                <w:sz w:val="18"/>
                <w:szCs w:val="18"/>
              </w:rPr>
              <w:t>0,267</w:t>
            </w:r>
          </w:p>
        </w:tc>
        <w:tc>
          <w:tcPr>
            <w:tcW w:w="1033" w:type="dxa"/>
            <w:tcBorders>
              <w:top w:val="nil"/>
              <w:left w:val="nil"/>
              <w:bottom w:val="nil"/>
              <w:right w:val="nil"/>
            </w:tcBorders>
            <w:shd w:val="clear" w:color="auto" w:fill="auto"/>
            <w:vAlign w:val="bottom"/>
          </w:tcPr>
          <w:p w14:paraId="2D28BA4B" w14:textId="601DFEDF"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6B318F">
              <w:rPr>
                <w:rFonts w:asciiTheme="minorHAnsi" w:eastAsia="Times New Roman" w:hAnsiTheme="minorHAnsi" w:cs="Arial"/>
                <w:sz w:val="18"/>
                <w:szCs w:val="18"/>
                <w:lang w:val="hr-HR"/>
              </w:rPr>
              <w:t>412,123</w:t>
            </w:r>
          </w:p>
        </w:tc>
        <w:tc>
          <w:tcPr>
            <w:tcW w:w="1034" w:type="dxa"/>
            <w:tcBorders>
              <w:top w:val="nil"/>
              <w:left w:val="nil"/>
              <w:bottom w:val="nil"/>
              <w:right w:val="nil"/>
            </w:tcBorders>
            <w:shd w:val="clear" w:color="auto" w:fill="auto"/>
            <w:vAlign w:val="bottom"/>
          </w:tcPr>
          <w:p w14:paraId="0E7F8785" w14:textId="77777777"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413,014</w:t>
            </w:r>
          </w:p>
        </w:tc>
        <w:tc>
          <w:tcPr>
            <w:tcW w:w="1033" w:type="dxa"/>
            <w:tcBorders>
              <w:top w:val="nil"/>
              <w:left w:val="nil"/>
              <w:bottom w:val="nil"/>
              <w:right w:val="nil"/>
            </w:tcBorders>
            <w:shd w:val="clear" w:color="auto" w:fill="auto"/>
            <w:noWrap/>
            <w:vAlign w:val="bottom"/>
          </w:tcPr>
          <w:p w14:paraId="4D7EBC9A" w14:textId="79C78BF9"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FE65B6">
              <w:rPr>
                <w:rFonts w:eastAsia="Times New Roman"/>
                <w:color w:val="000000"/>
                <w:sz w:val="18"/>
                <w:szCs w:val="18"/>
                <w:lang w:val="en-US"/>
              </w:rPr>
              <w:t>412</w:t>
            </w:r>
            <w:r>
              <w:rPr>
                <w:rFonts w:eastAsia="Times New Roman"/>
                <w:color w:val="000000"/>
                <w:sz w:val="18"/>
                <w:szCs w:val="18"/>
                <w:lang w:val="en-US"/>
              </w:rPr>
              <w:t>,</w:t>
            </w:r>
            <w:r w:rsidRPr="00FE65B6">
              <w:rPr>
                <w:rFonts w:eastAsia="Times New Roman"/>
                <w:color w:val="000000"/>
                <w:sz w:val="18"/>
                <w:szCs w:val="18"/>
                <w:lang w:val="en-US"/>
              </w:rPr>
              <w:t>123</w:t>
            </w:r>
          </w:p>
        </w:tc>
        <w:tc>
          <w:tcPr>
            <w:tcW w:w="1035" w:type="dxa"/>
            <w:tcBorders>
              <w:top w:val="nil"/>
              <w:left w:val="nil"/>
              <w:bottom w:val="nil"/>
              <w:right w:val="nil"/>
            </w:tcBorders>
            <w:shd w:val="clear" w:color="auto" w:fill="auto"/>
            <w:vAlign w:val="bottom"/>
          </w:tcPr>
          <w:p w14:paraId="12163E22" w14:textId="77777777" w:rsidR="00F850F1" w:rsidRPr="005444AA" w:rsidRDefault="00F850F1" w:rsidP="00F850F1">
            <w:pPr>
              <w:spacing w:after="0" w:line="240" w:lineRule="auto"/>
              <w:jc w:val="right"/>
              <w:rPr>
                <w:rFonts w:asciiTheme="minorHAnsi" w:eastAsia="Times New Roman" w:hAnsiTheme="minorHAnsi" w:cs="Arial"/>
                <w:sz w:val="18"/>
                <w:szCs w:val="18"/>
                <w:lang w:val="hr-HR"/>
              </w:rPr>
            </w:pPr>
            <w:r w:rsidRPr="005444AA">
              <w:rPr>
                <w:rFonts w:asciiTheme="minorHAnsi" w:eastAsia="Times New Roman" w:hAnsiTheme="minorHAnsi" w:cs="Arial"/>
                <w:sz w:val="18"/>
                <w:szCs w:val="18"/>
                <w:lang w:val="hr-HR"/>
              </w:rPr>
              <w:t>413,014</w:t>
            </w:r>
          </w:p>
        </w:tc>
      </w:tr>
      <w:tr w:rsidR="00F850F1" w:rsidRPr="00F639EA" w14:paraId="2BF23A75" w14:textId="77777777" w:rsidTr="006B318F">
        <w:trPr>
          <w:gridAfter w:val="1"/>
          <w:wAfter w:w="1035" w:type="dxa"/>
          <w:trHeight w:hRule="exact" w:val="205"/>
        </w:trPr>
        <w:tc>
          <w:tcPr>
            <w:tcW w:w="3970" w:type="dxa"/>
            <w:gridSpan w:val="2"/>
            <w:tcBorders>
              <w:top w:val="nil"/>
              <w:left w:val="nil"/>
              <w:bottom w:val="single" w:sz="4" w:space="0" w:color="auto"/>
              <w:right w:val="nil"/>
            </w:tcBorders>
            <w:shd w:val="clear" w:color="auto" w:fill="auto"/>
            <w:noWrap/>
            <w:vAlign w:val="bottom"/>
            <w:hideMark/>
          </w:tcPr>
          <w:p w14:paraId="77DC4E58" w14:textId="77777777" w:rsidR="00F850F1" w:rsidRPr="00F639EA" w:rsidRDefault="00F850F1" w:rsidP="00F850F1">
            <w:pPr>
              <w:spacing w:after="0" w:line="240" w:lineRule="auto"/>
              <w:rPr>
                <w:rFonts w:asciiTheme="minorHAnsi" w:eastAsia="Times New Roman" w:hAnsiTheme="minorHAnsi" w:cs="Arial"/>
                <w:color w:val="000000"/>
                <w:sz w:val="18"/>
                <w:szCs w:val="18"/>
                <w:lang w:eastAsia="hr-HR"/>
              </w:rPr>
            </w:pPr>
            <w:r w:rsidRPr="00F639EA">
              <w:rPr>
                <w:rFonts w:asciiTheme="minorHAnsi" w:eastAsia="Times New Roman" w:hAnsiTheme="minorHAnsi" w:cs="Arial"/>
                <w:bCs/>
                <w:color w:val="000000"/>
                <w:sz w:val="18"/>
                <w:szCs w:val="18"/>
                <w:lang w:eastAsia="hr-HR"/>
              </w:rPr>
              <w:t>Accrued interest</w:t>
            </w:r>
          </w:p>
        </w:tc>
        <w:tc>
          <w:tcPr>
            <w:tcW w:w="1134" w:type="dxa"/>
            <w:tcBorders>
              <w:top w:val="nil"/>
              <w:left w:val="nil"/>
              <w:bottom w:val="single" w:sz="4" w:space="0" w:color="auto"/>
              <w:right w:val="nil"/>
            </w:tcBorders>
            <w:shd w:val="clear" w:color="auto" w:fill="auto"/>
            <w:noWrap/>
            <w:vAlign w:val="center"/>
          </w:tcPr>
          <w:p w14:paraId="59B6905C" w14:textId="77777777" w:rsidR="00F850F1" w:rsidRPr="00F639EA" w:rsidRDefault="00F850F1" w:rsidP="00F850F1">
            <w:pPr>
              <w:spacing w:after="0" w:line="240" w:lineRule="auto"/>
              <w:jc w:val="right"/>
              <w:rPr>
                <w:rFonts w:asciiTheme="minorHAnsi" w:eastAsia="Times New Roman" w:hAnsiTheme="minorHAnsi" w:cs="Arial"/>
                <w:color w:val="000000"/>
                <w:sz w:val="18"/>
                <w:szCs w:val="18"/>
                <w:lang w:eastAsia="hr-HR"/>
              </w:rPr>
            </w:pPr>
          </w:p>
        </w:tc>
        <w:tc>
          <w:tcPr>
            <w:tcW w:w="1261" w:type="dxa"/>
            <w:tcBorders>
              <w:top w:val="nil"/>
              <w:left w:val="nil"/>
              <w:bottom w:val="single" w:sz="4" w:space="0" w:color="auto"/>
              <w:right w:val="nil"/>
            </w:tcBorders>
            <w:shd w:val="clear" w:color="auto" w:fill="auto"/>
            <w:noWrap/>
            <w:vAlign w:val="center"/>
          </w:tcPr>
          <w:p w14:paraId="4BCD0624" w14:textId="77777777" w:rsidR="00F850F1" w:rsidRPr="00F639EA" w:rsidRDefault="00F850F1" w:rsidP="00F850F1">
            <w:pPr>
              <w:spacing w:after="0" w:line="240" w:lineRule="auto"/>
              <w:jc w:val="center"/>
              <w:rPr>
                <w:rFonts w:asciiTheme="minorHAnsi" w:eastAsia="Times New Roman" w:hAnsiTheme="minorHAnsi" w:cs="Arial"/>
                <w:color w:val="000000"/>
                <w:sz w:val="18"/>
                <w:szCs w:val="18"/>
                <w:lang w:eastAsia="hr-HR"/>
              </w:rPr>
            </w:pPr>
          </w:p>
        </w:tc>
        <w:tc>
          <w:tcPr>
            <w:tcW w:w="1033" w:type="dxa"/>
            <w:tcBorders>
              <w:top w:val="nil"/>
              <w:left w:val="nil"/>
              <w:bottom w:val="nil"/>
              <w:right w:val="nil"/>
            </w:tcBorders>
            <w:shd w:val="clear" w:color="auto" w:fill="auto"/>
            <w:vAlign w:val="bottom"/>
          </w:tcPr>
          <w:p w14:paraId="1371826D" w14:textId="7751BCED" w:rsidR="00F850F1" w:rsidRPr="006B318F" w:rsidRDefault="00F850F1" w:rsidP="00F850F1">
            <w:pPr>
              <w:spacing w:after="0" w:line="240" w:lineRule="auto"/>
              <w:jc w:val="right"/>
              <w:rPr>
                <w:rFonts w:asciiTheme="minorHAnsi" w:eastAsia="Times New Roman" w:hAnsiTheme="minorHAnsi" w:cs="Arial"/>
                <w:sz w:val="18"/>
                <w:szCs w:val="18"/>
                <w:lang w:val="hr-HR"/>
              </w:rPr>
            </w:pPr>
            <w:r w:rsidRPr="006B318F">
              <w:rPr>
                <w:rFonts w:asciiTheme="minorHAnsi" w:eastAsia="Times New Roman" w:hAnsiTheme="minorHAnsi" w:cs="Arial"/>
                <w:sz w:val="18"/>
                <w:szCs w:val="18"/>
                <w:lang w:val="hr-HR"/>
              </w:rPr>
              <w:t>10,369</w:t>
            </w:r>
          </w:p>
        </w:tc>
        <w:tc>
          <w:tcPr>
            <w:tcW w:w="1034" w:type="dxa"/>
            <w:tcBorders>
              <w:top w:val="nil"/>
              <w:left w:val="nil"/>
              <w:bottom w:val="single" w:sz="4" w:space="0" w:color="auto"/>
              <w:right w:val="nil"/>
            </w:tcBorders>
            <w:shd w:val="clear" w:color="auto" w:fill="auto"/>
            <w:vAlign w:val="bottom"/>
          </w:tcPr>
          <w:p w14:paraId="04A53FEE" w14:textId="77777777" w:rsidR="00F850F1" w:rsidRPr="005444AA" w:rsidRDefault="00F850F1" w:rsidP="00F850F1">
            <w:pPr>
              <w:spacing w:after="0" w:line="240" w:lineRule="auto"/>
              <w:jc w:val="right"/>
              <w:rPr>
                <w:rFonts w:asciiTheme="minorHAnsi" w:eastAsia="Times New Roman" w:hAnsiTheme="minorHAnsi"/>
                <w:color w:val="000000"/>
                <w:sz w:val="18"/>
                <w:szCs w:val="18"/>
                <w:lang w:val="en-US"/>
              </w:rPr>
            </w:pPr>
            <w:r w:rsidRPr="00F639EA">
              <w:rPr>
                <w:rFonts w:asciiTheme="minorHAnsi" w:eastAsia="Times New Roman" w:hAnsiTheme="minorHAnsi"/>
                <w:color w:val="000000"/>
                <w:sz w:val="18"/>
                <w:szCs w:val="18"/>
                <w:lang w:val="en-US"/>
              </w:rPr>
              <w:t>14,495</w:t>
            </w:r>
          </w:p>
        </w:tc>
        <w:tc>
          <w:tcPr>
            <w:tcW w:w="1033" w:type="dxa"/>
            <w:tcBorders>
              <w:top w:val="nil"/>
              <w:left w:val="nil"/>
              <w:bottom w:val="nil"/>
              <w:right w:val="nil"/>
            </w:tcBorders>
            <w:shd w:val="clear" w:color="auto" w:fill="auto"/>
            <w:noWrap/>
            <w:vAlign w:val="bottom"/>
          </w:tcPr>
          <w:p w14:paraId="52924701" w14:textId="15C9B87A" w:rsidR="00F850F1" w:rsidRPr="005444AA" w:rsidRDefault="00F850F1" w:rsidP="00F850F1">
            <w:pPr>
              <w:spacing w:after="0" w:line="240" w:lineRule="auto"/>
              <w:jc w:val="right"/>
              <w:rPr>
                <w:rFonts w:asciiTheme="minorHAnsi" w:eastAsia="Times New Roman" w:hAnsiTheme="minorHAnsi"/>
                <w:color w:val="000000"/>
                <w:sz w:val="18"/>
                <w:szCs w:val="18"/>
                <w:lang w:val="en-US"/>
              </w:rPr>
            </w:pPr>
            <w:r w:rsidRPr="00FE65B6">
              <w:rPr>
                <w:rFonts w:eastAsia="Times New Roman"/>
                <w:color w:val="000000"/>
                <w:sz w:val="18"/>
                <w:szCs w:val="18"/>
                <w:lang w:val="en-US"/>
              </w:rPr>
              <w:t>9</w:t>
            </w:r>
            <w:r>
              <w:rPr>
                <w:rFonts w:eastAsia="Times New Roman"/>
                <w:color w:val="000000"/>
                <w:sz w:val="18"/>
                <w:szCs w:val="18"/>
                <w:lang w:val="en-US"/>
              </w:rPr>
              <w:t>,</w:t>
            </w:r>
            <w:r w:rsidRPr="00FE65B6">
              <w:rPr>
                <w:rFonts w:eastAsia="Times New Roman"/>
                <w:color w:val="000000"/>
                <w:sz w:val="18"/>
                <w:szCs w:val="18"/>
                <w:lang w:val="en-US"/>
              </w:rPr>
              <w:t>883</w:t>
            </w:r>
          </w:p>
        </w:tc>
        <w:tc>
          <w:tcPr>
            <w:tcW w:w="1035" w:type="dxa"/>
            <w:tcBorders>
              <w:top w:val="nil"/>
              <w:left w:val="nil"/>
              <w:bottom w:val="single" w:sz="4" w:space="0" w:color="auto"/>
              <w:right w:val="nil"/>
            </w:tcBorders>
            <w:shd w:val="clear" w:color="auto" w:fill="auto"/>
            <w:vAlign w:val="bottom"/>
          </w:tcPr>
          <w:p w14:paraId="50BADE62" w14:textId="77777777" w:rsidR="00F850F1" w:rsidRPr="005444AA" w:rsidRDefault="00F850F1" w:rsidP="00F850F1">
            <w:pPr>
              <w:spacing w:after="0" w:line="240" w:lineRule="auto"/>
              <w:jc w:val="right"/>
              <w:rPr>
                <w:rFonts w:asciiTheme="minorHAnsi" w:eastAsia="Times New Roman" w:hAnsiTheme="minorHAnsi"/>
                <w:color w:val="000000"/>
                <w:sz w:val="18"/>
                <w:szCs w:val="18"/>
                <w:lang w:val="en-US"/>
              </w:rPr>
            </w:pPr>
            <w:r w:rsidRPr="005444AA">
              <w:rPr>
                <w:rFonts w:asciiTheme="minorHAnsi" w:eastAsia="Times New Roman" w:hAnsiTheme="minorHAnsi"/>
                <w:color w:val="000000"/>
                <w:sz w:val="18"/>
                <w:szCs w:val="18"/>
                <w:lang w:val="en-US"/>
              </w:rPr>
              <w:t>13,890</w:t>
            </w:r>
          </w:p>
        </w:tc>
      </w:tr>
      <w:tr w:rsidR="004B3CBB" w:rsidRPr="00F639EA" w14:paraId="51A850F0" w14:textId="77777777" w:rsidTr="005444AA">
        <w:trPr>
          <w:gridAfter w:val="1"/>
          <w:wAfter w:w="1035" w:type="dxa"/>
          <w:trHeight w:val="247"/>
        </w:trPr>
        <w:tc>
          <w:tcPr>
            <w:tcW w:w="2836" w:type="dxa"/>
            <w:tcBorders>
              <w:top w:val="single" w:sz="4" w:space="0" w:color="auto"/>
              <w:left w:val="nil"/>
              <w:bottom w:val="single" w:sz="12" w:space="0" w:color="auto"/>
              <w:right w:val="nil"/>
            </w:tcBorders>
            <w:shd w:val="clear" w:color="auto" w:fill="auto"/>
            <w:noWrap/>
            <w:vAlign w:val="bottom"/>
          </w:tcPr>
          <w:p w14:paraId="06B960B7" w14:textId="77777777" w:rsidR="004B3CBB" w:rsidRPr="00F639EA" w:rsidRDefault="004B3CBB" w:rsidP="00BB095B">
            <w:pPr>
              <w:spacing w:after="0" w:line="240" w:lineRule="auto"/>
              <w:jc w:val="both"/>
              <w:rPr>
                <w:rFonts w:asciiTheme="minorHAnsi" w:eastAsia="Times New Roman" w:hAnsiTheme="minorHAnsi" w:cs="Arial"/>
                <w:b/>
                <w:bCs/>
                <w:color w:val="000000"/>
                <w:sz w:val="18"/>
                <w:szCs w:val="18"/>
                <w:lang w:eastAsia="hr-HR"/>
              </w:rPr>
            </w:pPr>
          </w:p>
        </w:tc>
        <w:tc>
          <w:tcPr>
            <w:tcW w:w="1134" w:type="dxa"/>
            <w:tcBorders>
              <w:top w:val="single" w:sz="4" w:space="0" w:color="auto"/>
              <w:left w:val="nil"/>
              <w:bottom w:val="single" w:sz="12" w:space="0" w:color="auto"/>
              <w:right w:val="nil"/>
            </w:tcBorders>
            <w:shd w:val="clear" w:color="auto" w:fill="auto"/>
            <w:noWrap/>
            <w:vAlign w:val="bottom"/>
          </w:tcPr>
          <w:p w14:paraId="10C00787" w14:textId="77777777"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p>
        </w:tc>
        <w:tc>
          <w:tcPr>
            <w:tcW w:w="1134" w:type="dxa"/>
            <w:tcBorders>
              <w:top w:val="single" w:sz="4" w:space="0" w:color="auto"/>
              <w:left w:val="nil"/>
              <w:bottom w:val="single" w:sz="12" w:space="0" w:color="auto"/>
              <w:right w:val="nil"/>
            </w:tcBorders>
            <w:shd w:val="clear" w:color="auto" w:fill="auto"/>
            <w:noWrap/>
            <w:vAlign w:val="bottom"/>
          </w:tcPr>
          <w:p w14:paraId="31ED7E9D" w14:textId="77777777"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p>
        </w:tc>
        <w:tc>
          <w:tcPr>
            <w:tcW w:w="1261" w:type="dxa"/>
            <w:tcBorders>
              <w:top w:val="single" w:sz="4" w:space="0" w:color="auto"/>
              <w:left w:val="nil"/>
              <w:bottom w:val="single" w:sz="12" w:space="0" w:color="auto"/>
              <w:right w:val="nil"/>
            </w:tcBorders>
            <w:shd w:val="clear" w:color="auto" w:fill="auto"/>
            <w:noWrap/>
            <w:vAlign w:val="bottom"/>
          </w:tcPr>
          <w:p w14:paraId="7F1F2C31" w14:textId="77777777" w:rsidR="004B3CBB" w:rsidRPr="00F639EA" w:rsidRDefault="004B3CBB" w:rsidP="00BB095B">
            <w:pPr>
              <w:spacing w:after="0" w:line="240" w:lineRule="auto"/>
              <w:jc w:val="center"/>
              <w:rPr>
                <w:rFonts w:asciiTheme="minorHAnsi" w:eastAsia="Times New Roman" w:hAnsiTheme="minorHAnsi" w:cs="Arial"/>
                <w:color w:val="000000"/>
                <w:sz w:val="18"/>
                <w:szCs w:val="18"/>
                <w:lang w:eastAsia="hr-HR"/>
              </w:rPr>
            </w:pPr>
          </w:p>
        </w:tc>
        <w:tc>
          <w:tcPr>
            <w:tcW w:w="1033" w:type="dxa"/>
            <w:tcBorders>
              <w:top w:val="single" w:sz="4" w:space="0" w:color="auto"/>
              <w:left w:val="nil"/>
              <w:bottom w:val="single" w:sz="8" w:space="0" w:color="auto"/>
              <w:right w:val="nil"/>
            </w:tcBorders>
            <w:shd w:val="clear" w:color="auto" w:fill="auto"/>
            <w:vAlign w:val="bottom"/>
          </w:tcPr>
          <w:p w14:paraId="69EF47DD" w14:textId="76B6D4D8" w:rsidR="004B3CBB" w:rsidRPr="005444AA" w:rsidRDefault="00D77F20" w:rsidP="00BB095B">
            <w:pPr>
              <w:spacing w:after="0" w:line="240" w:lineRule="auto"/>
              <w:jc w:val="right"/>
              <w:rPr>
                <w:rFonts w:asciiTheme="minorHAnsi" w:eastAsia="Times New Roman" w:hAnsiTheme="minorHAnsi" w:cs="Arial"/>
                <w:b/>
                <w:bCs/>
                <w:color w:val="000000"/>
                <w:sz w:val="18"/>
                <w:szCs w:val="18"/>
                <w:lang w:val="hr-HR"/>
              </w:rPr>
            </w:pPr>
            <w:r w:rsidRPr="00D77F20">
              <w:rPr>
                <w:rFonts w:asciiTheme="minorHAnsi" w:eastAsia="Times New Roman" w:hAnsiTheme="minorHAnsi" w:cs="Arial"/>
                <w:b/>
                <w:bCs/>
                <w:color w:val="000000"/>
                <w:sz w:val="18"/>
                <w:szCs w:val="18"/>
                <w:lang w:val="hr-HR"/>
              </w:rPr>
              <w:t>2,457,029</w:t>
            </w:r>
          </w:p>
        </w:tc>
        <w:tc>
          <w:tcPr>
            <w:tcW w:w="1034" w:type="dxa"/>
            <w:tcBorders>
              <w:top w:val="single" w:sz="4" w:space="0" w:color="auto"/>
              <w:left w:val="nil"/>
              <w:bottom w:val="single" w:sz="12" w:space="0" w:color="auto"/>
              <w:right w:val="nil"/>
            </w:tcBorders>
            <w:shd w:val="clear" w:color="auto" w:fill="auto"/>
            <w:vAlign w:val="bottom"/>
          </w:tcPr>
          <w:p w14:paraId="1BA4D110" w14:textId="77777777" w:rsidR="004B3CBB" w:rsidRPr="005444AA" w:rsidRDefault="004B3CBB" w:rsidP="00BB095B">
            <w:pPr>
              <w:spacing w:after="0" w:line="240" w:lineRule="auto"/>
              <w:jc w:val="right"/>
              <w:rPr>
                <w:rFonts w:asciiTheme="minorHAnsi" w:eastAsia="Times New Roman" w:hAnsiTheme="minorHAnsi" w:cs="Arial"/>
                <w:b/>
                <w:bCs/>
                <w:color w:val="000000"/>
                <w:sz w:val="18"/>
                <w:szCs w:val="18"/>
                <w:lang w:val="hr-HR"/>
              </w:rPr>
            </w:pPr>
            <w:r w:rsidRPr="00F639EA">
              <w:rPr>
                <w:rFonts w:asciiTheme="minorHAnsi" w:eastAsia="Times New Roman" w:hAnsiTheme="minorHAnsi" w:cs="Arial"/>
                <w:b/>
                <w:bCs/>
                <w:color w:val="000000"/>
                <w:sz w:val="18"/>
                <w:szCs w:val="18"/>
                <w:lang w:val="hr-HR"/>
              </w:rPr>
              <w:t>2,442,873</w:t>
            </w:r>
          </w:p>
        </w:tc>
        <w:tc>
          <w:tcPr>
            <w:tcW w:w="1033" w:type="dxa"/>
            <w:tcBorders>
              <w:top w:val="single" w:sz="4" w:space="0" w:color="auto"/>
              <w:left w:val="nil"/>
              <w:bottom w:val="single" w:sz="12" w:space="0" w:color="auto"/>
              <w:right w:val="nil"/>
            </w:tcBorders>
            <w:shd w:val="clear" w:color="auto" w:fill="auto"/>
            <w:noWrap/>
            <w:vAlign w:val="bottom"/>
          </w:tcPr>
          <w:p w14:paraId="1CF51C3F" w14:textId="5F1048F8" w:rsidR="004B3CBB" w:rsidRPr="005444AA" w:rsidRDefault="00F850F1" w:rsidP="00BB095B">
            <w:pPr>
              <w:spacing w:after="0" w:line="240" w:lineRule="auto"/>
              <w:jc w:val="right"/>
              <w:rPr>
                <w:rFonts w:asciiTheme="minorHAnsi" w:eastAsia="Times New Roman" w:hAnsiTheme="minorHAnsi" w:cs="Arial"/>
                <w:b/>
                <w:bCs/>
                <w:color w:val="000000"/>
                <w:sz w:val="18"/>
                <w:szCs w:val="18"/>
                <w:lang w:val="hr-HR"/>
              </w:rPr>
            </w:pPr>
            <w:r w:rsidRPr="00F850F1">
              <w:rPr>
                <w:rFonts w:asciiTheme="minorHAnsi" w:eastAsia="Times New Roman" w:hAnsiTheme="minorHAnsi" w:cs="Arial"/>
                <w:b/>
                <w:bCs/>
                <w:color w:val="000000"/>
                <w:sz w:val="18"/>
                <w:szCs w:val="18"/>
                <w:lang w:val="hr-HR"/>
              </w:rPr>
              <w:t>2,412,228</w:t>
            </w:r>
          </w:p>
        </w:tc>
        <w:tc>
          <w:tcPr>
            <w:tcW w:w="1035" w:type="dxa"/>
            <w:tcBorders>
              <w:top w:val="single" w:sz="4" w:space="0" w:color="auto"/>
              <w:left w:val="nil"/>
              <w:bottom w:val="single" w:sz="12" w:space="0" w:color="auto"/>
              <w:right w:val="nil"/>
            </w:tcBorders>
            <w:shd w:val="clear" w:color="auto" w:fill="auto"/>
            <w:vAlign w:val="bottom"/>
          </w:tcPr>
          <w:p w14:paraId="024950AB" w14:textId="77777777" w:rsidR="004B3CBB" w:rsidRPr="005444AA" w:rsidRDefault="004B3CBB" w:rsidP="00BB095B">
            <w:pPr>
              <w:spacing w:after="0" w:line="240" w:lineRule="auto"/>
              <w:jc w:val="right"/>
              <w:rPr>
                <w:rFonts w:asciiTheme="minorHAnsi" w:eastAsia="Times New Roman" w:hAnsiTheme="minorHAnsi" w:cs="Arial"/>
                <w:b/>
                <w:bCs/>
                <w:color w:val="000000"/>
                <w:sz w:val="18"/>
                <w:szCs w:val="18"/>
                <w:lang w:val="hr-HR"/>
              </w:rPr>
            </w:pPr>
            <w:r w:rsidRPr="00F639EA">
              <w:rPr>
                <w:rFonts w:asciiTheme="minorHAnsi" w:eastAsia="Times New Roman" w:hAnsiTheme="minorHAnsi" w:cs="Arial"/>
                <w:b/>
                <w:bCs/>
                <w:color w:val="000000"/>
                <w:sz w:val="18"/>
                <w:szCs w:val="18"/>
                <w:lang w:val="hr-HR"/>
              </w:rPr>
              <w:t>2,399,224</w:t>
            </w:r>
          </w:p>
        </w:tc>
      </w:tr>
      <w:tr w:rsidR="004B3CBB" w:rsidRPr="00F639EA" w14:paraId="36CF4B66" w14:textId="77777777" w:rsidTr="005444AA">
        <w:trPr>
          <w:gridAfter w:val="1"/>
          <w:wAfter w:w="1035" w:type="dxa"/>
          <w:trHeight w:val="366"/>
        </w:trPr>
        <w:tc>
          <w:tcPr>
            <w:tcW w:w="2836" w:type="dxa"/>
            <w:tcBorders>
              <w:top w:val="single" w:sz="12" w:space="0" w:color="auto"/>
              <w:left w:val="nil"/>
              <w:right w:val="nil"/>
            </w:tcBorders>
            <w:shd w:val="clear" w:color="auto" w:fill="auto"/>
            <w:noWrap/>
            <w:vAlign w:val="center"/>
          </w:tcPr>
          <w:p w14:paraId="4135F675" w14:textId="77777777" w:rsidR="004B3CBB" w:rsidRPr="00F639EA" w:rsidRDefault="004B3CBB" w:rsidP="00BB095B">
            <w:pPr>
              <w:spacing w:after="0" w:line="240" w:lineRule="auto"/>
              <w:rPr>
                <w:rFonts w:asciiTheme="minorHAnsi" w:eastAsia="Times New Roman" w:hAnsiTheme="minorHAnsi" w:cs="Arial"/>
                <w:b/>
                <w:bCs/>
                <w:color w:val="000000"/>
                <w:sz w:val="18"/>
                <w:szCs w:val="18"/>
                <w:lang w:eastAsia="hr-HR"/>
              </w:rPr>
            </w:pPr>
            <w:r w:rsidRPr="00F639EA">
              <w:rPr>
                <w:rFonts w:asciiTheme="minorHAnsi" w:eastAsia="Times New Roman" w:hAnsiTheme="minorHAnsi" w:cs="Arial"/>
                <w:b/>
                <w:bCs/>
                <w:color w:val="000000"/>
                <w:sz w:val="18"/>
                <w:szCs w:val="18"/>
                <w:lang w:eastAsia="hr-HR"/>
              </w:rPr>
              <w:t>Unlisted debt instruments:</w:t>
            </w:r>
          </w:p>
        </w:tc>
        <w:tc>
          <w:tcPr>
            <w:tcW w:w="1134" w:type="dxa"/>
            <w:tcBorders>
              <w:top w:val="single" w:sz="12" w:space="0" w:color="auto"/>
              <w:left w:val="nil"/>
              <w:right w:val="nil"/>
            </w:tcBorders>
            <w:shd w:val="clear" w:color="auto" w:fill="auto"/>
            <w:noWrap/>
            <w:vAlign w:val="bottom"/>
          </w:tcPr>
          <w:p w14:paraId="4E3CCD3B" w14:textId="77777777"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p>
        </w:tc>
        <w:tc>
          <w:tcPr>
            <w:tcW w:w="1134" w:type="dxa"/>
            <w:tcBorders>
              <w:top w:val="single" w:sz="12" w:space="0" w:color="auto"/>
              <w:left w:val="nil"/>
              <w:right w:val="nil"/>
            </w:tcBorders>
            <w:shd w:val="clear" w:color="auto" w:fill="auto"/>
            <w:noWrap/>
            <w:vAlign w:val="bottom"/>
          </w:tcPr>
          <w:p w14:paraId="0D9A2B66" w14:textId="77777777"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p>
        </w:tc>
        <w:tc>
          <w:tcPr>
            <w:tcW w:w="1261" w:type="dxa"/>
            <w:tcBorders>
              <w:top w:val="single" w:sz="12" w:space="0" w:color="auto"/>
              <w:left w:val="nil"/>
              <w:right w:val="nil"/>
            </w:tcBorders>
            <w:shd w:val="clear" w:color="auto" w:fill="auto"/>
            <w:noWrap/>
            <w:vAlign w:val="bottom"/>
          </w:tcPr>
          <w:p w14:paraId="6E7FAF29" w14:textId="77777777" w:rsidR="004B3CBB" w:rsidRPr="00F639EA" w:rsidRDefault="004B3CBB" w:rsidP="00BB095B">
            <w:pPr>
              <w:spacing w:after="0" w:line="240" w:lineRule="auto"/>
              <w:jc w:val="center"/>
              <w:rPr>
                <w:rFonts w:asciiTheme="minorHAnsi" w:eastAsia="Times New Roman" w:hAnsiTheme="minorHAnsi" w:cs="Arial"/>
                <w:color w:val="000000"/>
                <w:sz w:val="18"/>
                <w:szCs w:val="18"/>
                <w:lang w:eastAsia="hr-HR"/>
              </w:rPr>
            </w:pPr>
          </w:p>
        </w:tc>
        <w:tc>
          <w:tcPr>
            <w:tcW w:w="1033" w:type="dxa"/>
            <w:tcBorders>
              <w:top w:val="single" w:sz="12" w:space="0" w:color="auto"/>
              <w:left w:val="nil"/>
              <w:right w:val="nil"/>
            </w:tcBorders>
            <w:vAlign w:val="bottom"/>
          </w:tcPr>
          <w:p w14:paraId="336FA032" w14:textId="77777777" w:rsidR="004B3CBB" w:rsidRPr="00F639EA" w:rsidRDefault="004B3CBB" w:rsidP="00BB095B">
            <w:pPr>
              <w:spacing w:after="0" w:line="240" w:lineRule="auto"/>
              <w:jc w:val="right"/>
              <w:rPr>
                <w:rFonts w:asciiTheme="minorHAnsi" w:eastAsia="Times New Roman" w:hAnsiTheme="minorHAnsi" w:cs="Arial"/>
                <w:b/>
                <w:color w:val="000000"/>
                <w:sz w:val="18"/>
                <w:szCs w:val="18"/>
                <w:lang w:eastAsia="hr-HR"/>
              </w:rPr>
            </w:pPr>
          </w:p>
        </w:tc>
        <w:tc>
          <w:tcPr>
            <w:tcW w:w="1034" w:type="dxa"/>
            <w:tcBorders>
              <w:top w:val="single" w:sz="12" w:space="0" w:color="auto"/>
              <w:left w:val="nil"/>
              <w:right w:val="nil"/>
            </w:tcBorders>
            <w:vAlign w:val="bottom"/>
          </w:tcPr>
          <w:p w14:paraId="5C617202" w14:textId="77777777" w:rsidR="004B3CBB" w:rsidRPr="00F639EA" w:rsidRDefault="004B3CBB" w:rsidP="00BB095B">
            <w:pPr>
              <w:spacing w:after="0" w:line="240" w:lineRule="auto"/>
              <w:jc w:val="right"/>
              <w:rPr>
                <w:rFonts w:asciiTheme="minorHAnsi" w:eastAsia="Times New Roman" w:hAnsiTheme="minorHAnsi" w:cs="Arial"/>
                <w:b/>
                <w:color w:val="000000"/>
                <w:sz w:val="18"/>
                <w:szCs w:val="18"/>
                <w:lang w:eastAsia="hr-HR"/>
              </w:rPr>
            </w:pPr>
          </w:p>
        </w:tc>
        <w:tc>
          <w:tcPr>
            <w:tcW w:w="1033" w:type="dxa"/>
            <w:tcBorders>
              <w:top w:val="single" w:sz="12" w:space="0" w:color="auto"/>
              <w:left w:val="nil"/>
              <w:right w:val="nil"/>
            </w:tcBorders>
            <w:shd w:val="clear" w:color="auto" w:fill="auto"/>
            <w:noWrap/>
            <w:vAlign w:val="bottom"/>
          </w:tcPr>
          <w:p w14:paraId="215F9A62" w14:textId="77777777" w:rsidR="004B3CBB" w:rsidRPr="00F639EA" w:rsidRDefault="004B3CBB" w:rsidP="00BB095B">
            <w:pPr>
              <w:spacing w:after="0" w:line="240" w:lineRule="auto"/>
              <w:jc w:val="right"/>
              <w:rPr>
                <w:rFonts w:asciiTheme="minorHAnsi" w:eastAsia="Times New Roman" w:hAnsiTheme="minorHAnsi" w:cs="Arial"/>
                <w:b/>
                <w:color w:val="000000"/>
                <w:sz w:val="18"/>
                <w:szCs w:val="18"/>
                <w:lang w:eastAsia="hr-HR"/>
              </w:rPr>
            </w:pPr>
          </w:p>
        </w:tc>
        <w:tc>
          <w:tcPr>
            <w:tcW w:w="1035" w:type="dxa"/>
            <w:tcBorders>
              <w:top w:val="single" w:sz="12" w:space="0" w:color="auto"/>
              <w:left w:val="nil"/>
              <w:right w:val="nil"/>
            </w:tcBorders>
            <w:shd w:val="clear" w:color="auto" w:fill="auto"/>
            <w:vAlign w:val="bottom"/>
          </w:tcPr>
          <w:p w14:paraId="6BB26B67" w14:textId="77777777" w:rsidR="004B3CBB" w:rsidRPr="00F639EA" w:rsidRDefault="004B3CBB" w:rsidP="00BB095B">
            <w:pPr>
              <w:spacing w:after="0" w:line="240" w:lineRule="auto"/>
              <w:jc w:val="right"/>
              <w:rPr>
                <w:rFonts w:asciiTheme="minorHAnsi" w:eastAsia="Times New Roman" w:hAnsiTheme="minorHAnsi" w:cs="Arial"/>
                <w:b/>
                <w:color w:val="000000"/>
                <w:sz w:val="18"/>
                <w:szCs w:val="18"/>
                <w:lang w:eastAsia="hr-HR"/>
              </w:rPr>
            </w:pPr>
          </w:p>
        </w:tc>
      </w:tr>
      <w:tr w:rsidR="007F1AF0" w:rsidRPr="00F639EA" w14:paraId="7D12A5E7" w14:textId="77777777" w:rsidTr="005444AA">
        <w:trPr>
          <w:gridAfter w:val="1"/>
          <w:wAfter w:w="1035" w:type="dxa"/>
          <w:trHeight w:val="247"/>
        </w:trPr>
        <w:tc>
          <w:tcPr>
            <w:tcW w:w="5104" w:type="dxa"/>
            <w:gridSpan w:val="3"/>
            <w:tcBorders>
              <w:left w:val="nil"/>
              <w:right w:val="nil"/>
            </w:tcBorders>
            <w:shd w:val="clear" w:color="auto" w:fill="auto"/>
            <w:noWrap/>
            <w:vAlign w:val="bottom"/>
          </w:tcPr>
          <w:p w14:paraId="498C60FF" w14:textId="77777777" w:rsidR="007F1AF0" w:rsidRPr="00F639EA" w:rsidRDefault="007F1AF0" w:rsidP="00166751">
            <w:pPr>
              <w:spacing w:after="0" w:line="240" w:lineRule="auto"/>
              <w:rPr>
                <w:rFonts w:asciiTheme="minorHAnsi" w:eastAsia="Times New Roman" w:hAnsiTheme="minorHAnsi" w:cs="Arial"/>
                <w:color w:val="000000"/>
                <w:sz w:val="18"/>
                <w:szCs w:val="18"/>
                <w:lang w:eastAsia="hr-HR"/>
              </w:rPr>
            </w:pPr>
            <w:r w:rsidRPr="00F639EA">
              <w:rPr>
                <w:rFonts w:asciiTheme="minorHAnsi" w:eastAsia="Times New Roman" w:hAnsiTheme="minorHAnsi" w:cs="Arial"/>
                <w:bCs/>
                <w:color w:val="000000"/>
                <w:sz w:val="18"/>
                <w:szCs w:val="18"/>
                <w:lang w:eastAsia="hr-HR"/>
              </w:rPr>
              <w:t>Corporate bonds indexed to foreign currency:</w:t>
            </w:r>
          </w:p>
        </w:tc>
        <w:tc>
          <w:tcPr>
            <w:tcW w:w="1261" w:type="dxa"/>
            <w:tcBorders>
              <w:left w:val="nil"/>
              <w:right w:val="nil"/>
            </w:tcBorders>
            <w:shd w:val="clear" w:color="auto" w:fill="auto"/>
            <w:noWrap/>
            <w:vAlign w:val="bottom"/>
          </w:tcPr>
          <w:p w14:paraId="2971E16B" w14:textId="77777777" w:rsidR="007F1AF0" w:rsidRPr="00F639EA" w:rsidRDefault="007F1AF0" w:rsidP="00BB095B">
            <w:pPr>
              <w:spacing w:after="0" w:line="240" w:lineRule="auto"/>
              <w:jc w:val="center"/>
              <w:rPr>
                <w:rFonts w:asciiTheme="minorHAnsi" w:eastAsia="Times New Roman" w:hAnsiTheme="minorHAnsi" w:cs="Arial"/>
                <w:color w:val="000000"/>
                <w:sz w:val="18"/>
                <w:szCs w:val="18"/>
                <w:lang w:eastAsia="hr-HR"/>
              </w:rPr>
            </w:pPr>
          </w:p>
        </w:tc>
        <w:tc>
          <w:tcPr>
            <w:tcW w:w="1033" w:type="dxa"/>
            <w:tcBorders>
              <w:left w:val="nil"/>
              <w:right w:val="nil"/>
            </w:tcBorders>
            <w:vAlign w:val="bottom"/>
          </w:tcPr>
          <w:p w14:paraId="10E183FD" w14:textId="77777777" w:rsidR="007F1AF0" w:rsidRPr="00F639EA" w:rsidRDefault="007F1AF0" w:rsidP="00BB095B">
            <w:pPr>
              <w:spacing w:after="0" w:line="240" w:lineRule="auto"/>
              <w:jc w:val="right"/>
              <w:rPr>
                <w:rFonts w:asciiTheme="minorHAnsi" w:eastAsia="Times New Roman" w:hAnsiTheme="minorHAnsi" w:cs="Arial"/>
                <w:b/>
                <w:color w:val="000000"/>
                <w:sz w:val="18"/>
                <w:szCs w:val="18"/>
                <w:lang w:eastAsia="hr-HR"/>
              </w:rPr>
            </w:pPr>
          </w:p>
        </w:tc>
        <w:tc>
          <w:tcPr>
            <w:tcW w:w="1034" w:type="dxa"/>
            <w:tcBorders>
              <w:left w:val="nil"/>
              <w:right w:val="nil"/>
            </w:tcBorders>
            <w:vAlign w:val="bottom"/>
          </w:tcPr>
          <w:p w14:paraId="36914AA4" w14:textId="77777777" w:rsidR="007F1AF0" w:rsidRPr="00F639EA" w:rsidRDefault="007F1AF0" w:rsidP="00BB095B">
            <w:pPr>
              <w:spacing w:after="0" w:line="240" w:lineRule="auto"/>
              <w:jc w:val="right"/>
              <w:rPr>
                <w:rFonts w:asciiTheme="minorHAnsi" w:eastAsia="Times New Roman" w:hAnsiTheme="minorHAnsi" w:cs="Arial"/>
                <w:b/>
                <w:color w:val="000000"/>
                <w:sz w:val="18"/>
                <w:szCs w:val="18"/>
                <w:lang w:val="en-US" w:eastAsia="hr-HR"/>
              </w:rPr>
            </w:pPr>
          </w:p>
        </w:tc>
        <w:tc>
          <w:tcPr>
            <w:tcW w:w="1033" w:type="dxa"/>
            <w:tcBorders>
              <w:left w:val="nil"/>
              <w:right w:val="nil"/>
            </w:tcBorders>
            <w:shd w:val="clear" w:color="auto" w:fill="auto"/>
            <w:noWrap/>
            <w:vAlign w:val="bottom"/>
          </w:tcPr>
          <w:p w14:paraId="7EE94539" w14:textId="77777777" w:rsidR="007F1AF0" w:rsidRPr="00F639EA" w:rsidRDefault="007F1AF0" w:rsidP="00BB095B">
            <w:pPr>
              <w:spacing w:after="0" w:line="240" w:lineRule="auto"/>
              <w:jc w:val="right"/>
              <w:rPr>
                <w:rFonts w:asciiTheme="minorHAnsi" w:eastAsia="Times New Roman" w:hAnsiTheme="minorHAnsi" w:cs="Arial"/>
                <w:b/>
                <w:color w:val="000000"/>
                <w:sz w:val="18"/>
                <w:szCs w:val="18"/>
                <w:lang w:eastAsia="hr-HR"/>
              </w:rPr>
            </w:pPr>
          </w:p>
        </w:tc>
        <w:tc>
          <w:tcPr>
            <w:tcW w:w="1035" w:type="dxa"/>
            <w:tcBorders>
              <w:left w:val="nil"/>
              <w:right w:val="nil"/>
            </w:tcBorders>
            <w:vAlign w:val="bottom"/>
          </w:tcPr>
          <w:p w14:paraId="56119F21" w14:textId="77777777" w:rsidR="007F1AF0" w:rsidRPr="00F639EA" w:rsidRDefault="007F1AF0" w:rsidP="00BB095B">
            <w:pPr>
              <w:spacing w:after="0" w:line="240" w:lineRule="auto"/>
              <w:jc w:val="right"/>
              <w:rPr>
                <w:rFonts w:asciiTheme="minorHAnsi" w:eastAsia="Times New Roman" w:hAnsiTheme="minorHAnsi" w:cs="Arial"/>
                <w:b/>
                <w:color w:val="000000"/>
                <w:sz w:val="18"/>
                <w:szCs w:val="18"/>
                <w:lang w:eastAsia="hr-HR"/>
              </w:rPr>
            </w:pPr>
          </w:p>
        </w:tc>
      </w:tr>
      <w:tr w:rsidR="00F850F1" w:rsidRPr="00F639EA" w14:paraId="75A94E76" w14:textId="77777777" w:rsidTr="006B318F">
        <w:trPr>
          <w:gridAfter w:val="1"/>
          <w:wAfter w:w="1035" w:type="dxa"/>
          <w:trHeight w:val="247"/>
        </w:trPr>
        <w:tc>
          <w:tcPr>
            <w:tcW w:w="2836" w:type="dxa"/>
            <w:tcBorders>
              <w:left w:val="nil"/>
              <w:right w:val="nil"/>
            </w:tcBorders>
            <w:shd w:val="clear" w:color="auto" w:fill="auto"/>
            <w:noWrap/>
            <w:vAlign w:val="bottom"/>
          </w:tcPr>
          <w:p w14:paraId="4F7384DB" w14:textId="77777777" w:rsidR="00F850F1" w:rsidRPr="00F639EA" w:rsidRDefault="00F850F1" w:rsidP="00F850F1">
            <w:pPr>
              <w:spacing w:after="0" w:line="240" w:lineRule="auto"/>
              <w:jc w:val="right"/>
              <w:rPr>
                <w:rFonts w:asciiTheme="minorHAnsi" w:eastAsia="Times New Roman" w:hAnsiTheme="minorHAnsi" w:cs="Arial"/>
                <w:bCs/>
                <w:color w:val="000000"/>
                <w:sz w:val="18"/>
                <w:szCs w:val="18"/>
                <w:lang w:eastAsia="hr-HR"/>
              </w:rPr>
            </w:pPr>
            <w:r w:rsidRPr="00F639EA">
              <w:rPr>
                <w:rFonts w:asciiTheme="minorHAnsi" w:eastAsia="Times New Roman" w:hAnsiTheme="minorHAnsi" w:cs="Arial"/>
                <w:bCs/>
                <w:color w:val="000000"/>
                <w:sz w:val="18"/>
                <w:szCs w:val="18"/>
                <w:lang w:eastAsia="hr-HR"/>
              </w:rPr>
              <w:t>LNGU-O-31AE</w:t>
            </w:r>
          </w:p>
        </w:tc>
        <w:tc>
          <w:tcPr>
            <w:tcW w:w="1134" w:type="dxa"/>
            <w:tcBorders>
              <w:top w:val="nil"/>
              <w:left w:val="nil"/>
              <w:bottom w:val="nil"/>
              <w:right w:val="nil"/>
            </w:tcBorders>
            <w:shd w:val="clear" w:color="auto" w:fill="auto"/>
            <w:noWrap/>
            <w:vAlign w:val="center"/>
          </w:tcPr>
          <w:p w14:paraId="1DBC9BCE" w14:textId="73110A90" w:rsidR="00F850F1" w:rsidRPr="00F639EA" w:rsidRDefault="00F850F1" w:rsidP="00F850F1">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hr-HR"/>
              </w:rPr>
              <w:t>24.7.2015</w:t>
            </w:r>
          </w:p>
        </w:tc>
        <w:tc>
          <w:tcPr>
            <w:tcW w:w="1134" w:type="dxa"/>
            <w:tcBorders>
              <w:top w:val="nil"/>
              <w:left w:val="nil"/>
              <w:bottom w:val="nil"/>
              <w:right w:val="nil"/>
            </w:tcBorders>
            <w:shd w:val="clear" w:color="auto" w:fill="auto"/>
            <w:noWrap/>
            <w:vAlign w:val="center"/>
          </w:tcPr>
          <w:p w14:paraId="67B1E3EF" w14:textId="6FCF1D43" w:rsidR="00F850F1" w:rsidRPr="00F639EA" w:rsidRDefault="00F850F1" w:rsidP="00F850F1">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hr-HR"/>
              </w:rPr>
              <w:t>15.10.2031</w:t>
            </w:r>
          </w:p>
        </w:tc>
        <w:tc>
          <w:tcPr>
            <w:tcW w:w="1261" w:type="dxa"/>
            <w:tcBorders>
              <w:top w:val="nil"/>
              <w:left w:val="nil"/>
              <w:bottom w:val="nil"/>
              <w:right w:val="nil"/>
            </w:tcBorders>
            <w:shd w:val="clear" w:color="auto" w:fill="auto"/>
            <w:noWrap/>
            <w:vAlign w:val="center"/>
          </w:tcPr>
          <w:p w14:paraId="2E822736" w14:textId="77777777" w:rsidR="00F850F1" w:rsidRPr="00F639EA" w:rsidRDefault="00F850F1" w:rsidP="00F850F1">
            <w:pPr>
              <w:spacing w:after="0" w:line="240" w:lineRule="auto"/>
              <w:jc w:val="center"/>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hr-HR"/>
              </w:rPr>
              <w:t>4.5</w:t>
            </w:r>
          </w:p>
        </w:tc>
        <w:tc>
          <w:tcPr>
            <w:tcW w:w="1033" w:type="dxa"/>
            <w:tcBorders>
              <w:top w:val="nil"/>
              <w:left w:val="nil"/>
              <w:bottom w:val="nil"/>
              <w:right w:val="nil"/>
            </w:tcBorders>
            <w:shd w:val="clear" w:color="auto" w:fill="auto"/>
            <w:vAlign w:val="bottom"/>
          </w:tcPr>
          <w:p w14:paraId="5226FEDC" w14:textId="0ECC3E85" w:rsidR="00F850F1" w:rsidRPr="005444AA" w:rsidRDefault="00F850F1" w:rsidP="00F850F1">
            <w:pPr>
              <w:spacing w:after="0" w:line="240" w:lineRule="auto"/>
              <w:jc w:val="right"/>
              <w:rPr>
                <w:rFonts w:asciiTheme="minorHAnsi" w:eastAsia="Times New Roman" w:hAnsiTheme="minorHAnsi" w:cs="Arial"/>
                <w:color w:val="000000"/>
                <w:sz w:val="18"/>
                <w:szCs w:val="18"/>
                <w:lang w:val="hr-HR"/>
              </w:rPr>
            </w:pPr>
            <w:r w:rsidRPr="006B318F">
              <w:rPr>
                <w:rFonts w:asciiTheme="minorHAnsi" w:eastAsia="Times New Roman" w:hAnsiTheme="minorHAnsi" w:cs="Arial"/>
                <w:color w:val="000000"/>
                <w:sz w:val="18"/>
                <w:szCs w:val="18"/>
                <w:lang w:val="hr-HR"/>
              </w:rPr>
              <w:t>512</w:t>
            </w:r>
          </w:p>
        </w:tc>
        <w:tc>
          <w:tcPr>
            <w:tcW w:w="1034" w:type="dxa"/>
            <w:tcBorders>
              <w:top w:val="nil"/>
              <w:left w:val="nil"/>
              <w:bottom w:val="nil"/>
              <w:right w:val="nil"/>
            </w:tcBorders>
            <w:shd w:val="clear" w:color="auto" w:fill="auto"/>
            <w:vAlign w:val="bottom"/>
          </w:tcPr>
          <w:p w14:paraId="3D0C1943" w14:textId="77777777" w:rsidR="00F850F1" w:rsidRPr="005444AA" w:rsidRDefault="00F850F1" w:rsidP="00F850F1">
            <w:pPr>
              <w:spacing w:after="0" w:line="240" w:lineRule="auto"/>
              <w:jc w:val="right"/>
              <w:rPr>
                <w:rFonts w:asciiTheme="minorHAnsi" w:eastAsia="Times New Roman" w:hAnsiTheme="minorHAnsi" w:cs="Arial"/>
                <w:color w:val="000000"/>
                <w:sz w:val="18"/>
                <w:szCs w:val="18"/>
                <w:lang w:val="hr-HR"/>
              </w:rPr>
            </w:pPr>
            <w:r w:rsidRPr="00F639EA">
              <w:rPr>
                <w:rFonts w:asciiTheme="minorHAnsi" w:eastAsia="Times New Roman" w:hAnsiTheme="minorHAnsi" w:cs="Arial"/>
                <w:color w:val="000000"/>
                <w:sz w:val="18"/>
                <w:szCs w:val="18"/>
                <w:lang w:val="hr-HR"/>
              </w:rPr>
              <w:t>502</w:t>
            </w:r>
          </w:p>
        </w:tc>
        <w:tc>
          <w:tcPr>
            <w:tcW w:w="1033" w:type="dxa"/>
            <w:tcBorders>
              <w:top w:val="nil"/>
              <w:left w:val="nil"/>
              <w:bottom w:val="nil"/>
              <w:right w:val="nil"/>
            </w:tcBorders>
            <w:shd w:val="clear" w:color="auto" w:fill="auto"/>
            <w:noWrap/>
            <w:vAlign w:val="bottom"/>
          </w:tcPr>
          <w:p w14:paraId="1431E2EE" w14:textId="4C87216C" w:rsidR="00F850F1" w:rsidRPr="005444AA" w:rsidRDefault="00F850F1" w:rsidP="00F850F1">
            <w:pPr>
              <w:spacing w:after="0" w:line="240" w:lineRule="auto"/>
              <w:jc w:val="right"/>
              <w:rPr>
                <w:rFonts w:asciiTheme="minorHAnsi" w:eastAsia="Times New Roman" w:hAnsiTheme="minorHAnsi" w:cs="Arial"/>
                <w:color w:val="000000"/>
                <w:sz w:val="18"/>
                <w:szCs w:val="18"/>
                <w:lang w:val="hr-HR"/>
              </w:rPr>
            </w:pPr>
            <w:r w:rsidRPr="00A0329A">
              <w:rPr>
                <w:rFonts w:eastAsia="Times New Roman" w:cs="Arial"/>
                <w:color w:val="000000"/>
                <w:sz w:val="18"/>
                <w:szCs w:val="18"/>
              </w:rPr>
              <w:t>512</w:t>
            </w:r>
          </w:p>
        </w:tc>
        <w:tc>
          <w:tcPr>
            <w:tcW w:w="1035" w:type="dxa"/>
            <w:tcBorders>
              <w:top w:val="nil"/>
              <w:left w:val="nil"/>
              <w:bottom w:val="nil"/>
              <w:right w:val="nil"/>
            </w:tcBorders>
            <w:shd w:val="clear" w:color="auto" w:fill="auto"/>
            <w:vAlign w:val="bottom"/>
          </w:tcPr>
          <w:p w14:paraId="58DB71CB" w14:textId="77777777" w:rsidR="00F850F1" w:rsidRPr="005444AA" w:rsidRDefault="00F850F1" w:rsidP="00F850F1">
            <w:pPr>
              <w:spacing w:after="0" w:line="240" w:lineRule="auto"/>
              <w:jc w:val="right"/>
              <w:rPr>
                <w:rFonts w:asciiTheme="minorHAnsi" w:eastAsia="Times New Roman" w:hAnsiTheme="minorHAnsi" w:cs="Arial"/>
                <w:color w:val="000000"/>
                <w:sz w:val="18"/>
                <w:szCs w:val="18"/>
                <w:lang w:val="hr-HR"/>
              </w:rPr>
            </w:pPr>
            <w:r w:rsidRPr="00F639EA">
              <w:rPr>
                <w:rFonts w:asciiTheme="minorHAnsi" w:eastAsia="Times New Roman" w:hAnsiTheme="minorHAnsi" w:cs="Arial"/>
                <w:color w:val="000000"/>
                <w:sz w:val="18"/>
                <w:szCs w:val="18"/>
                <w:lang w:val="hr-HR"/>
              </w:rPr>
              <w:t>502</w:t>
            </w:r>
          </w:p>
        </w:tc>
      </w:tr>
      <w:tr w:rsidR="00F850F1" w:rsidRPr="00F639EA" w14:paraId="22FE870E" w14:textId="77777777" w:rsidTr="006B318F">
        <w:trPr>
          <w:gridAfter w:val="1"/>
          <w:wAfter w:w="1035" w:type="dxa"/>
          <w:trHeight w:val="247"/>
        </w:trPr>
        <w:tc>
          <w:tcPr>
            <w:tcW w:w="2836" w:type="dxa"/>
            <w:tcBorders>
              <w:left w:val="nil"/>
              <w:bottom w:val="single" w:sz="4" w:space="0" w:color="auto"/>
              <w:right w:val="nil"/>
            </w:tcBorders>
            <w:shd w:val="clear" w:color="auto" w:fill="auto"/>
            <w:noWrap/>
            <w:vAlign w:val="bottom"/>
          </w:tcPr>
          <w:p w14:paraId="7B33FD46" w14:textId="77777777" w:rsidR="00F850F1" w:rsidRPr="00F639EA" w:rsidRDefault="00F850F1" w:rsidP="00F850F1">
            <w:pPr>
              <w:spacing w:after="0" w:line="240" w:lineRule="auto"/>
              <w:jc w:val="both"/>
              <w:rPr>
                <w:rFonts w:asciiTheme="minorHAnsi" w:eastAsia="Times New Roman" w:hAnsiTheme="minorHAnsi" w:cs="Arial"/>
                <w:bCs/>
                <w:color w:val="000000"/>
                <w:sz w:val="18"/>
                <w:szCs w:val="18"/>
                <w:lang w:eastAsia="hr-HR"/>
              </w:rPr>
            </w:pPr>
            <w:r w:rsidRPr="00F639EA">
              <w:rPr>
                <w:rFonts w:asciiTheme="minorHAnsi" w:eastAsia="Times New Roman" w:hAnsiTheme="minorHAnsi" w:cs="Arial"/>
                <w:bCs/>
                <w:color w:val="000000"/>
                <w:sz w:val="18"/>
                <w:szCs w:val="18"/>
                <w:lang w:eastAsia="hr-HR"/>
              </w:rPr>
              <w:t>Accrued interest</w:t>
            </w:r>
          </w:p>
        </w:tc>
        <w:tc>
          <w:tcPr>
            <w:tcW w:w="1134" w:type="dxa"/>
            <w:tcBorders>
              <w:left w:val="nil"/>
              <w:bottom w:val="single" w:sz="4" w:space="0" w:color="auto"/>
              <w:right w:val="nil"/>
            </w:tcBorders>
            <w:shd w:val="clear" w:color="auto" w:fill="auto"/>
            <w:noWrap/>
            <w:vAlign w:val="bottom"/>
          </w:tcPr>
          <w:p w14:paraId="148862BD" w14:textId="77777777" w:rsidR="00F850F1" w:rsidRPr="00F639EA" w:rsidRDefault="00F850F1" w:rsidP="00F850F1">
            <w:pPr>
              <w:spacing w:after="0" w:line="240" w:lineRule="auto"/>
              <w:jc w:val="right"/>
              <w:rPr>
                <w:rFonts w:asciiTheme="minorHAnsi" w:eastAsia="Times New Roman" w:hAnsiTheme="minorHAnsi" w:cs="Arial"/>
                <w:color w:val="000000"/>
                <w:sz w:val="18"/>
                <w:szCs w:val="18"/>
                <w:lang w:eastAsia="hr-HR"/>
              </w:rPr>
            </w:pPr>
          </w:p>
        </w:tc>
        <w:tc>
          <w:tcPr>
            <w:tcW w:w="1134" w:type="dxa"/>
            <w:tcBorders>
              <w:left w:val="nil"/>
              <w:bottom w:val="single" w:sz="4" w:space="0" w:color="auto"/>
              <w:right w:val="nil"/>
            </w:tcBorders>
            <w:shd w:val="clear" w:color="auto" w:fill="auto"/>
            <w:noWrap/>
            <w:vAlign w:val="bottom"/>
          </w:tcPr>
          <w:p w14:paraId="4F40AD53" w14:textId="77777777" w:rsidR="00F850F1" w:rsidRPr="00F639EA" w:rsidRDefault="00F850F1" w:rsidP="00F850F1">
            <w:pPr>
              <w:spacing w:after="0" w:line="240" w:lineRule="auto"/>
              <w:jc w:val="right"/>
              <w:rPr>
                <w:rFonts w:asciiTheme="minorHAnsi" w:eastAsia="Times New Roman" w:hAnsiTheme="minorHAnsi" w:cs="Arial"/>
                <w:color w:val="000000"/>
                <w:sz w:val="18"/>
                <w:szCs w:val="18"/>
                <w:lang w:eastAsia="hr-HR"/>
              </w:rPr>
            </w:pPr>
          </w:p>
        </w:tc>
        <w:tc>
          <w:tcPr>
            <w:tcW w:w="1261" w:type="dxa"/>
            <w:tcBorders>
              <w:left w:val="nil"/>
              <w:bottom w:val="single" w:sz="4" w:space="0" w:color="auto"/>
              <w:right w:val="nil"/>
            </w:tcBorders>
            <w:shd w:val="clear" w:color="auto" w:fill="auto"/>
            <w:noWrap/>
            <w:vAlign w:val="bottom"/>
          </w:tcPr>
          <w:p w14:paraId="7F46199F" w14:textId="77777777" w:rsidR="00F850F1" w:rsidRPr="00F639EA" w:rsidRDefault="00F850F1" w:rsidP="00F850F1">
            <w:pPr>
              <w:spacing w:after="0" w:line="240" w:lineRule="auto"/>
              <w:jc w:val="both"/>
              <w:rPr>
                <w:rFonts w:asciiTheme="minorHAnsi" w:eastAsia="Times New Roman" w:hAnsiTheme="minorHAnsi" w:cs="Arial"/>
                <w:color w:val="000000"/>
                <w:sz w:val="18"/>
                <w:szCs w:val="18"/>
                <w:lang w:eastAsia="hr-HR"/>
              </w:rPr>
            </w:pPr>
          </w:p>
        </w:tc>
        <w:tc>
          <w:tcPr>
            <w:tcW w:w="1033" w:type="dxa"/>
            <w:tcBorders>
              <w:top w:val="nil"/>
              <w:left w:val="nil"/>
              <w:bottom w:val="nil"/>
              <w:right w:val="nil"/>
            </w:tcBorders>
            <w:shd w:val="clear" w:color="auto" w:fill="auto"/>
          </w:tcPr>
          <w:p w14:paraId="3F51EC1D" w14:textId="771A1368" w:rsidR="00F850F1" w:rsidRPr="005444AA" w:rsidRDefault="00F850F1" w:rsidP="00F850F1">
            <w:pPr>
              <w:spacing w:after="0" w:line="240" w:lineRule="auto"/>
              <w:jc w:val="right"/>
              <w:rPr>
                <w:rFonts w:asciiTheme="minorHAnsi" w:eastAsia="Times New Roman" w:hAnsiTheme="minorHAnsi" w:cs="Arial"/>
                <w:color w:val="000000"/>
                <w:sz w:val="18"/>
                <w:szCs w:val="18"/>
                <w:lang w:val="hr-HR"/>
              </w:rPr>
            </w:pPr>
            <w:r w:rsidRPr="006B318F">
              <w:rPr>
                <w:rFonts w:asciiTheme="minorHAnsi" w:eastAsia="Times New Roman" w:hAnsiTheme="minorHAnsi" w:cs="Arial"/>
                <w:color w:val="000000"/>
                <w:sz w:val="18"/>
                <w:szCs w:val="18"/>
                <w:lang w:val="hr-HR"/>
              </w:rPr>
              <w:t>150</w:t>
            </w:r>
          </w:p>
        </w:tc>
        <w:tc>
          <w:tcPr>
            <w:tcW w:w="1034" w:type="dxa"/>
            <w:tcBorders>
              <w:top w:val="nil"/>
              <w:left w:val="nil"/>
              <w:bottom w:val="single" w:sz="4" w:space="0" w:color="auto"/>
              <w:right w:val="nil"/>
            </w:tcBorders>
            <w:shd w:val="clear" w:color="auto" w:fill="auto"/>
            <w:vAlign w:val="bottom"/>
          </w:tcPr>
          <w:p w14:paraId="44DBD80C" w14:textId="77777777" w:rsidR="00F850F1" w:rsidRPr="005444AA" w:rsidRDefault="00F850F1" w:rsidP="00F850F1">
            <w:pPr>
              <w:spacing w:after="0" w:line="240" w:lineRule="auto"/>
              <w:jc w:val="right"/>
              <w:rPr>
                <w:rFonts w:asciiTheme="minorHAnsi" w:eastAsia="Times New Roman" w:hAnsiTheme="minorHAnsi" w:cs="Arial"/>
                <w:color w:val="000000"/>
                <w:sz w:val="18"/>
                <w:szCs w:val="18"/>
                <w:lang w:val="hr-HR"/>
              </w:rPr>
            </w:pPr>
            <w:r w:rsidRPr="00F639EA">
              <w:rPr>
                <w:rFonts w:asciiTheme="minorHAnsi" w:eastAsia="Times New Roman" w:hAnsiTheme="minorHAnsi" w:cs="Arial"/>
                <w:color w:val="000000"/>
                <w:sz w:val="18"/>
                <w:szCs w:val="18"/>
                <w:lang w:val="hr-HR"/>
              </w:rPr>
              <w:t>99</w:t>
            </w:r>
          </w:p>
        </w:tc>
        <w:tc>
          <w:tcPr>
            <w:tcW w:w="1033" w:type="dxa"/>
            <w:tcBorders>
              <w:top w:val="nil"/>
              <w:left w:val="nil"/>
              <w:bottom w:val="nil"/>
              <w:right w:val="nil"/>
            </w:tcBorders>
            <w:shd w:val="clear" w:color="auto" w:fill="auto"/>
            <w:noWrap/>
            <w:vAlign w:val="bottom"/>
          </w:tcPr>
          <w:p w14:paraId="40FC1116" w14:textId="3E67818E" w:rsidR="00F850F1" w:rsidRPr="005444AA" w:rsidRDefault="00F850F1" w:rsidP="00F850F1">
            <w:pPr>
              <w:spacing w:after="0" w:line="240" w:lineRule="auto"/>
              <w:jc w:val="right"/>
              <w:rPr>
                <w:rFonts w:asciiTheme="minorHAnsi" w:eastAsia="Times New Roman" w:hAnsiTheme="minorHAnsi" w:cs="Arial"/>
                <w:color w:val="000000"/>
                <w:sz w:val="18"/>
                <w:szCs w:val="18"/>
                <w:lang w:val="hr-HR"/>
              </w:rPr>
            </w:pPr>
            <w:r w:rsidRPr="00A0329A">
              <w:rPr>
                <w:rFonts w:eastAsia="Times New Roman" w:cs="Arial"/>
                <w:color w:val="000000"/>
                <w:sz w:val="18"/>
                <w:szCs w:val="18"/>
              </w:rPr>
              <w:t>150</w:t>
            </w:r>
          </w:p>
        </w:tc>
        <w:tc>
          <w:tcPr>
            <w:tcW w:w="1035" w:type="dxa"/>
            <w:tcBorders>
              <w:top w:val="nil"/>
              <w:left w:val="nil"/>
              <w:bottom w:val="single" w:sz="4" w:space="0" w:color="auto"/>
              <w:right w:val="nil"/>
            </w:tcBorders>
            <w:shd w:val="clear" w:color="auto" w:fill="auto"/>
            <w:vAlign w:val="bottom"/>
          </w:tcPr>
          <w:p w14:paraId="212852D5" w14:textId="77777777" w:rsidR="00F850F1" w:rsidRPr="005444AA" w:rsidRDefault="00F850F1" w:rsidP="00F850F1">
            <w:pPr>
              <w:spacing w:after="0" w:line="240" w:lineRule="auto"/>
              <w:jc w:val="right"/>
              <w:rPr>
                <w:rFonts w:asciiTheme="minorHAnsi" w:eastAsia="Times New Roman" w:hAnsiTheme="minorHAnsi" w:cs="Arial"/>
                <w:color w:val="000000"/>
                <w:sz w:val="18"/>
                <w:szCs w:val="18"/>
                <w:lang w:val="hr-HR"/>
              </w:rPr>
            </w:pPr>
            <w:r w:rsidRPr="00F639EA">
              <w:rPr>
                <w:rFonts w:asciiTheme="minorHAnsi" w:eastAsia="Times New Roman" w:hAnsiTheme="minorHAnsi" w:cs="Arial"/>
                <w:color w:val="000000"/>
                <w:sz w:val="18"/>
                <w:szCs w:val="18"/>
                <w:lang w:val="hr-HR"/>
              </w:rPr>
              <w:t>99</w:t>
            </w:r>
          </w:p>
        </w:tc>
      </w:tr>
      <w:tr w:rsidR="004B3CBB" w:rsidRPr="00F639EA" w14:paraId="2E457334" w14:textId="77777777" w:rsidTr="005444AA">
        <w:trPr>
          <w:gridAfter w:val="1"/>
          <w:wAfter w:w="1035" w:type="dxa"/>
          <w:trHeight w:val="247"/>
        </w:trPr>
        <w:tc>
          <w:tcPr>
            <w:tcW w:w="2836" w:type="dxa"/>
            <w:tcBorders>
              <w:top w:val="single" w:sz="4" w:space="0" w:color="auto"/>
              <w:left w:val="nil"/>
              <w:bottom w:val="single" w:sz="12" w:space="0" w:color="auto"/>
              <w:right w:val="nil"/>
            </w:tcBorders>
            <w:shd w:val="clear" w:color="auto" w:fill="auto"/>
            <w:noWrap/>
            <w:vAlign w:val="bottom"/>
          </w:tcPr>
          <w:p w14:paraId="198FD71D" w14:textId="77777777" w:rsidR="004B3CBB" w:rsidRPr="00F639EA" w:rsidRDefault="004B3CBB" w:rsidP="00BB095B">
            <w:pPr>
              <w:spacing w:after="0" w:line="240" w:lineRule="auto"/>
              <w:jc w:val="both"/>
              <w:rPr>
                <w:rFonts w:asciiTheme="minorHAnsi" w:eastAsia="Times New Roman" w:hAnsiTheme="minorHAnsi" w:cs="Arial"/>
                <w:bCs/>
                <w:color w:val="000000"/>
                <w:sz w:val="18"/>
                <w:szCs w:val="18"/>
                <w:lang w:eastAsia="hr-HR"/>
              </w:rPr>
            </w:pPr>
          </w:p>
        </w:tc>
        <w:tc>
          <w:tcPr>
            <w:tcW w:w="1134" w:type="dxa"/>
            <w:tcBorders>
              <w:top w:val="single" w:sz="4" w:space="0" w:color="auto"/>
              <w:left w:val="nil"/>
              <w:bottom w:val="single" w:sz="12" w:space="0" w:color="auto"/>
              <w:right w:val="nil"/>
            </w:tcBorders>
            <w:shd w:val="clear" w:color="auto" w:fill="auto"/>
            <w:noWrap/>
            <w:vAlign w:val="bottom"/>
          </w:tcPr>
          <w:p w14:paraId="3E3C41C3" w14:textId="77777777"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p>
        </w:tc>
        <w:tc>
          <w:tcPr>
            <w:tcW w:w="1134" w:type="dxa"/>
            <w:tcBorders>
              <w:top w:val="single" w:sz="4" w:space="0" w:color="auto"/>
              <w:left w:val="nil"/>
              <w:bottom w:val="single" w:sz="12" w:space="0" w:color="auto"/>
              <w:right w:val="nil"/>
            </w:tcBorders>
            <w:shd w:val="clear" w:color="auto" w:fill="auto"/>
            <w:noWrap/>
            <w:vAlign w:val="bottom"/>
          </w:tcPr>
          <w:p w14:paraId="28B3A198" w14:textId="77777777"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p>
        </w:tc>
        <w:tc>
          <w:tcPr>
            <w:tcW w:w="1261" w:type="dxa"/>
            <w:tcBorders>
              <w:top w:val="single" w:sz="4" w:space="0" w:color="auto"/>
              <w:left w:val="nil"/>
              <w:bottom w:val="single" w:sz="12" w:space="0" w:color="auto"/>
              <w:right w:val="nil"/>
            </w:tcBorders>
            <w:shd w:val="clear" w:color="auto" w:fill="auto"/>
            <w:noWrap/>
            <w:vAlign w:val="bottom"/>
          </w:tcPr>
          <w:p w14:paraId="0E4B1033" w14:textId="77777777" w:rsidR="004B3CBB" w:rsidRPr="00F639EA" w:rsidRDefault="004B3CBB" w:rsidP="00BB095B">
            <w:pPr>
              <w:spacing w:after="0" w:line="240" w:lineRule="auto"/>
              <w:jc w:val="both"/>
              <w:rPr>
                <w:rFonts w:asciiTheme="minorHAnsi" w:eastAsia="Times New Roman" w:hAnsiTheme="minorHAnsi" w:cs="Arial"/>
                <w:color w:val="000000"/>
                <w:sz w:val="18"/>
                <w:szCs w:val="18"/>
                <w:lang w:eastAsia="hr-HR"/>
              </w:rPr>
            </w:pPr>
          </w:p>
        </w:tc>
        <w:tc>
          <w:tcPr>
            <w:tcW w:w="1033" w:type="dxa"/>
            <w:tcBorders>
              <w:top w:val="single" w:sz="4" w:space="0" w:color="auto"/>
              <w:left w:val="nil"/>
              <w:bottom w:val="single" w:sz="12" w:space="0" w:color="auto"/>
              <w:right w:val="nil"/>
            </w:tcBorders>
            <w:shd w:val="clear" w:color="auto" w:fill="auto"/>
            <w:vAlign w:val="bottom"/>
          </w:tcPr>
          <w:p w14:paraId="70B92F0B" w14:textId="23E1F955" w:rsidR="004B3CBB" w:rsidRPr="00F639EA" w:rsidRDefault="00D77F20" w:rsidP="00BB095B">
            <w:pPr>
              <w:spacing w:after="0" w:line="240" w:lineRule="auto"/>
              <w:jc w:val="right"/>
              <w:rPr>
                <w:rFonts w:asciiTheme="minorHAnsi" w:eastAsia="Times New Roman" w:hAnsiTheme="minorHAnsi" w:cs="Arial"/>
                <w:b/>
                <w:color w:val="000000"/>
                <w:sz w:val="18"/>
                <w:szCs w:val="18"/>
                <w:lang w:eastAsia="hr-HR"/>
              </w:rPr>
            </w:pPr>
            <w:r w:rsidRPr="00D77F20">
              <w:rPr>
                <w:rFonts w:asciiTheme="minorHAnsi" w:eastAsia="Times New Roman" w:hAnsiTheme="minorHAnsi" w:cs="Arial"/>
                <w:b/>
                <w:color w:val="000000"/>
                <w:sz w:val="18"/>
                <w:szCs w:val="18"/>
                <w:lang w:eastAsia="hr-HR"/>
              </w:rPr>
              <w:t>662</w:t>
            </w:r>
          </w:p>
        </w:tc>
        <w:tc>
          <w:tcPr>
            <w:tcW w:w="1034" w:type="dxa"/>
            <w:tcBorders>
              <w:top w:val="single" w:sz="4" w:space="0" w:color="auto"/>
              <w:left w:val="nil"/>
              <w:bottom w:val="single" w:sz="12" w:space="0" w:color="auto"/>
              <w:right w:val="nil"/>
            </w:tcBorders>
            <w:shd w:val="clear" w:color="auto" w:fill="auto"/>
            <w:vAlign w:val="bottom"/>
          </w:tcPr>
          <w:p w14:paraId="0B4EB3E2" w14:textId="77777777" w:rsidR="004B3CBB" w:rsidRPr="00F639EA" w:rsidRDefault="004B3CBB" w:rsidP="00BB095B">
            <w:pPr>
              <w:spacing w:after="0" w:line="240" w:lineRule="auto"/>
              <w:jc w:val="right"/>
              <w:rPr>
                <w:rFonts w:asciiTheme="minorHAnsi" w:eastAsia="Times New Roman" w:hAnsiTheme="minorHAnsi" w:cs="Arial"/>
                <w:b/>
                <w:color w:val="000000"/>
                <w:sz w:val="18"/>
                <w:szCs w:val="18"/>
                <w:lang w:eastAsia="hr-HR"/>
              </w:rPr>
            </w:pPr>
            <w:r w:rsidRPr="00F639EA">
              <w:rPr>
                <w:rFonts w:asciiTheme="minorHAnsi" w:eastAsia="Times New Roman" w:hAnsiTheme="minorHAnsi" w:cs="Arial"/>
                <w:b/>
                <w:bCs/>
                <w:color w:val="000000"/>
                <w:sz w:val="18"/>
                <w:szCs w:val="18"/>
                <w:lang w:val="hr-HR"/>
              </w:rPr>
              <w:t>601</w:t>
            </w:r>
          </w:p>
        </w:tc>
        <w:tc>
          <w:tcPr>
            <w:tcW w:w="1033" w:type="dxa"/>
            <w:tcBorders>
              <w:top w:val="single" w:sz="4" w:space="0" w:color="auto"/>
              <w:left w:val="nil"/>
              <w:bottom w:val="single" w:sz="12" w:space="0" w:color="auto"/>
              <w:right w:val="nil"/>
            </w:tcBorders>
            <w:shd w:val="clear" w:color="auto" w:fill="auto"/>
            <w:noWrap/>
            <w:vAlign w:val="bottom"/>
          </w:tcPr>
          <w:p w14:paraId="65579461" w14:textId="2F26F611" w:rsidR="004B3CBB" w:rsidRPr="00F639EA" w:rsidRDefault="00F850F1" w:rsidP="00BB095B">
            <w:pPr>
              <w:spacing w:after="0" w:line="240" w:lineRule="auto"/>
              <w:jc w:val="right"/>
              <w:rPr>
                <w:rFonts w:asciiTheme="minorHAnsi" w:eastAsia="Times New Roman" w:hAnsiTheme="minorHAnsi" w:cs="Arial"/>
                <w:b/>
                <w:color w:val="000000"/>
                <w:sz w:val="18"/>
                <w:szCs w:val="18"/>
                <w:lang w:eastAsia="hr-HR"/>
              </w:rPr>
            </w:pPr>
            <w:r w:rsidRPr="00F850F1">
              <w:rPr>
                <w:rFonts w:asciiTheme="minorHAnsi" w:eastAsia="Times New Roman" w:hAnsiTheme="minorHAnsi" w:cs="Arial"/>
                <w:b/>
                <w:color w:val="000000"/>
                <w:sz w:val="18"/>
                <w:szCs w:val="18"/>
                <w:lang w:eastAsia="hr-HR"/>
              </w:rPr>
              <w:t>662</w:t>
            </w:r>
          </w:p>
        </w:tc>
        <w:tc>
          <w:tcPr>
            <w:tcW w:w="1035" w:type="dxa"/>
            <w:tcBorders>
              <w:top w:val="single" w:sz="4" w:space="0" w:color="auto"/>
              <w:left w:val="nil"/>
              <w:bottom w:val="single" w:sz="12" w:space="0" w:color="auto"/>
              <w:right w:val="nil"/>
            </w:tcBorders>
            <w:shd w:val="clear" w:color="auto" w:fill="auto"/>
            <w:vAlign w:val="bottom"/>
          </w:tcPr>
          <w:p w14:paraId="6BE43EAD" w14:textId="77777777" w:rsidR="004B3CBB" w:rsidRPr="00F639EA" w:rsidRDefault="004B3CBB" w:rsidP="00BB095B">
            <w:pPr>
              <w:spacing w:after="0" w:line="240" w:lineRule="auto"/>
              <w:jc w:val="right"/>
              <w:rPr>
                <w:rFonts w:asciiTheme="minorHAnsi" w:eastAsia="Times New Roman" w:hAnsiTheme="minorHAnsi" w:cs="Arial"/>
                <w:b/>
                <w:color w:val="000000"/>
                <w:sz w:val="18"/>
                <w:szCs w:val="18"/>
                <w:lang w:eastAsia="hr-HR"/>
              </w:rPr>
            </w:pPr>
            <w:r w:rsidRPr="00F639EA">
              <w:rPr>
                <w:rFonts w:asciiTheme="minorHAnsi" w:eastAsia="Times New Roman" w:hAnsiTheme="minorHAnsi" w:cs="Arial"/>
                <w:b/>
                <w:bCs/>
                <w:color w:val="000000"/>
                <w:sz w:val="18"/>
                <w:szCs w:val="18"/>
                <w:lang w:val="hr-HR"/>
              </w:rPr>
              <w:t>601</w:t>
            </w:r>
          </w:p>
        </w:tc>
      </w:tr>
    </w:tbl>
    <w:p w14:paraId="39614B36" w14:textId="77777777" w:rsidR="009702B0" w:rsidRPr="009702B0" w:rsidRDefault="009702B0" w:rsidP="009702B0">
      <w:pPr>
        <w:spacing w:after="0" w:line="240" w:lineRule="auto"/>
      </w:pPr>
    </w:p>
    <w:p w14:paraId="648F2EBB" w14:textId="77777777" w:rsidR="009702B0" w:rsidRPr="009702B0" w:rsidRDefault="009702B0" w:rsidP="009702B0">
      <w:pPr>
        <w:spacing w:after="0" w:line="240" w:lineRule="auto"/>
      </w:pPr>
    </w:p>
    <w:p w14:paraId="6400AD26" w14:textId="77777777" w:rsidR="009702B0" w:rsidRPr="009702B0" w:rsidRDefault="009702B0" w:rsidP="009702B0"/>
    <w:p w14:paraId="08FF7641" w14:textId="77777777" w:rsidR="009702B0" w:rsidRPr="009702B0" w:rsidRDefault="009702B0" w:rsidP="009702B0">
      <w:pPr>
        <w:spacing w:after="0" w:line="240" w:lineRule="auto"/>
      </w:pPr>
    </w:p>
    <w:p w14:paraId="4B686139" w14:textId="77777777" w:rsidR="009702B0" w:rsidRPr="009702B0" w:rsidRDefault="009702B0" w:rsidP="009702B0">
      <w:pPr>
        <w:sectPr w:rsidR="009702B0" w:rsidRPr="009702B0" w:rsidSect="00947CB7">
          <w:footerReference w:type="first" r:id="rId67"/>
          <w:pgSz w:w="11906" w:h="16838" w:code="9"/>
          <w:pgMar w:top="1418" w:right="1418" w:bottom="595" w:left="1134" w:header="709" w:footer="709" w:gutter="0"/>
          <w:cols w:space="708"/>
          <w:titlePg/>
          <w:docGrid w:linePitch="360"/>
        </w:sectPr>
      </w:pPr>
    </w:p>
    <w:p w14:paraId="7E6697BA" w14:textId="77777777" w:rsidR="009702B0" w:rsidRPr="009702B0" w:rsidRDefault="009702B0" w:rsidP="009702B0">
      <w:pPr>
        <w:tabs>
          <w:tab w:val="left" w:pos="-720"/>
          <w:tab w:val="left" w:pos="993"/>
        </w:tabs>
        <w:spacing w:after="0" w:line="240" w:lineRule="auto"/>
        <w:jc w:val="both"/>
        <w:rPr>
          <w:rFonts w:eastAsia="Times New Roman" w:cs="Arial"/>
          <w:b/>
        </w:rPr>
      </w:pPr>
    </w:p>
    <w:p w14:paraId="40D7BA79" w14:textId="77777777" w:rsidR="009702B0" w:rsidRPr="009702B0" w:rsidRDefault="009702B0" w:rsidP="009702B0">
      <w:pPr>
        <w:tabs>
          <w:tab w:val="left" w:pos="-720"/>
          <w:tab w:val="left" w:pos="567"/>
        </w:tabs>
        <w:spacing w:after="0" w:line="240" w:lineRule="auto"/>
        <w:jc w:val="both"/>
        <w:rPr>
          <w:rFonts w:eastAsia="Times New Roman" w:cs="Arial"/>
          <w:b/>
        </w:rPr>
      </w:pPr>
      <w:r w:rsidRPr="009702B0">
        <w:rPr>
          <w:rFonts w:eastAsia="Times New Roman" w:cs="Arial"/>
          <w:b/>
        </w:rPr>
        <w:t>11.</w:t>
      </w:r>
      <w:r w:rsidRPr="009702B0">
        <w:rPr>
          <w:rFonts w:eastAsia="Times New Roman" w:cs="Arial"/>
          <w:b/>
        </w:rPr>
        <w:tab/>
        <w:t>Assets available for sale (continued)</w:t>
      </w:r>
    </w:p>
    <w:p w14:paraId="2F199032" w14:textId="77777777" w:rsidR="009702B0" w:rsidRPr="009702B0" w:rsidRDefault="009702B0" w:rsidP="009702B0">
      <w:pPr>
        <w:tabs>
          <w:tab w:val="left" w:pos="-720"/>
          <w:tab w:val="left" w:pos="993"/>
        </w:tabs>
        <w:spacing w:after="0" w:line="240" w:lineRule="auto"/>
        <w:jc w:val="both"/>
        <w:rPr>
          <w:rFonts w:eastAsia="Times New Roman" w:cs="Arial"/>
          <w:b/>
        </w:rPr>
      </w:pPr>
    </w:p>
    <w:p w14:paraId="02BD98A6" w14:textId="77777777" w:rsidR="009702B0" w:rsidRDefault="009702B0" w:rsidP="00F639EA">
      <w:pPr>
        <w:tabs>
          <w:tab w:val="left" w:pos="-720"/>
        </w:tabs>
        <w:suppressAutoHyphens/>
        <w:spacing w:after="0" w:line="240" w:lineRule="auto"/>
        <w:ind w:left="851" w:hanging="851"/>
        <w:contextualSpacing/>
        <w:rPr>
          <w:rFonts w:eastAsia="Times New Roman" w:cs="Calibri"/>
          <w:spacing w:val="-3"/>
          <w:lang w:eastAsia="hr-HR"/>
        </w:rPr>
      </w:pPr>
      <w:r w:rsidRPr="009702B0">
        <w:rPr>
          <w:rFonts w:eastAsia="Times New Roman" w:cs="Calibri"/>
          <w:spacing w:val="-3"/>
          <w:lang w:eastAsia="hr-HR"/>
        </w:rPr>
        <w:t>The following text contains investment breakdown (continued):</w:t>
      </w:r>
    </w:p>
    <w:p w14:paraId="3E95BA8C" w14:textId="77777777" w:rsidR="00CC4889" w:rsidRPr="009702B0" w:rsidRDefault="00CC4889" w:rsidP="00F639EA">
      <w:pPr>
        <w:tabs>
          <w:tab w:val="left" w:pos="-720"/>
        </w:tabs>
        <w:suppressAutoHyphens/>
        <w:spacing w:after="0" w:line="240" w:lineRule="auto"/>
        <w:ind w:left="851" w:hanging="851"/>
        <w:contextualSpacing/>
        <w:rPr>
          <w:rFonts w:eastAsia="Times New Roman" w:cs="Calibri"/>
          <w:spacing w:val="-3"/>
          <w:lang w:eastAsia="hr-HR"/>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1413"/>
        <w:gridCol w:w="1376"/>
        <w:gridCol w:w="1378"/>
        <w:gridCol w:w="1376"/>
      </w:tblGrid>
      <w:tr w:rsidR="00D918E3" w:rsidRPr="00D918E3" w14:paraId="648CA29E" w14:textId="77777777" w:rsidTr="00AE534B">
        <w:tc>
          <w:tcPr>
            <w:tcW w:w="3816" w:type="dxa"/>
          </w:tcPr>
          <w:p w14:paraId="11226714" w14:textId="77777777" w:rsidR="00D918E3" w:rsidRPr="00D918E3" w:rsidRDefault="00D918E3" w:rsidP="00D918E3">
            <w:pPr>
              <w:tabs>
                <w:tab w:val="left" w:pos="-720"/>
              </w:tabs>
              <w:suppressAutoHyphens/>
              <w:spacing w:after="0" w:line="240" w:lineRule="auto"/>
              <w:contextualSpacing/>
              <w:rPr>
                <w:rFonts w:asciiTheme="minorHAnsi" w:hAnsiTheme="minorHAnsi" w:cs="Calibri"/>
                <w:spacing w:val="-3"/>
                <w:sz w:val="18"/>
                <w:szCs w:val="18"/>
                <w:lang w:eastAsia="hr-HR"/>
              </w:rPr>
            </w:pPr>
          </w:p>
        </w:tc>
        <w:tc>
          <w:tcPr>
            <w:tcW w:w="2789" w:type="dxa"/>
            <w:gridSpan w:val="2"/>
            <w:vAlign w:val="bottom"/>
          </w:tcPr>
          <w:p w14:paraId="6FD9290E" w14:textId="77777777" w:rsidR="00D918E3" w:rsidRPr="00C8749E" w:rsidRDefault="00D918E3" w:rsidP="00D918E3">
            <w:pPr>
              <w:spacing w:after="0" w:line="240" w:lineRule="auto"/>
              <w:jc w:val="right"/>
              <w:rPr>
                <w:rFonts w:asciiTheme="minorHAnsi" w:hAnsiTheme="minorHAnsi" w:cs="Arial"/>
                <w:b/>
                <w:color w:val="000000"/>
                <w:sz w:val="18"/>
                <w:szCs w:val="18"/>
                <w:lang w:eastAsia="hr-HR"/>
              </w:rPr>
            </w:pPr>
            <w:r w:rsidRPr="00C8749E">
              <w:rPr>
                <w:rFonts w:asciiTheme="minorHAnsi" w:hAnsiTheme="minorHAnsi" w:cs="Arial"/>
                <w:b/>
                <w:color w:val="000000"/>
                <w:sz w:val="18"/>
                <w:szCs w:val="18"/>
                <w:lang w:eastAsia="hr-HR"/>
              </w:rPr>
              <w:t>Group</w:t>
            </w:r>
          </w:p>
        </w:tc>
        <w:tc>
          <w:tcPr>
            <w:tcW w:w="2754" w:type="dxa"/>
            <w:gridSpan w:val="2"/>
            <w:shd w:val="clear" w:color="auto" w:fill="auto"/>
            <w:vAlign w:val="bottom"/>
          </w:tcPr>
          <w:p w14:paraId="7908E02A" w14:textId="77777777" w:rsidR="00D918E3" w:rsidRPr="00C8749E" w:rsidRDefault="00D918E3" w:rsidP="00D918E3">
            <w:pPr>
              <w:spacing w:after="0" w:line="240" w:lineRule="auto"/>
              <w:jc w:val="right"/>
              <w:rPr>
                <w:rFonts w:asciiTheme="minorHAnsi" w:hAnsiTheme="minorHAnsi" w:cs="Arial"/>
                <w:b/>
                <w:color w:val="000000"/>
                <w:sz w:val="18"/>
                <w:szCs w:val="18"/>
                <w:lang w:eastAsia="hr-HR"/>
              </w:rPr>
            </w:pPr>
            <w:r w:rsidRPr="00C8749E">
              <w:rPr>
                <w:rFonts w:asciiTheme="minorHAnsi" w:hAnsiTheme="minorHAnsi" w:cs="Arial"/>
                <w:b/>
                <w:color w:val="000000"/>
                <w:sz w:val="18"/>
                <w:szCs w:val="18"/>
                <w:lang w:eastAsia="hr-HR"/>
              </w:rPr>
              <w:t>Bank</w:t>
            </w:r>
          </w:p>
        </w:tc>
      </w:tr>
      <w:tr w:rsidR="00D918E3" w:rsidRPr="00D918E3" w14:paraId="22AD52A5" w14:textId="77777777" w:rsidTr="00AE534B">
        <w:tc>
          <w:tcPr>
            <w:tcW w:w="3816" w:type="dxa"/>
          </w:tcPr>
          <w:p w14:paraId="02476EE1" w14:textId="77777777" w:rsidR="00D918E3" w:rsidRPr="00D918E3" w:rsidRDefault="00D918E3" w:rsidP="00D918E3">
            <w:pPr>
              <w:tabs>
                <w:tab w:val="left" w:pos="-720"/>
              </w:tabs>
              <w:suppressAutoHyphens/>
              <w:spacing w:after="0" w:line="240" w:lineRule="auto"/>
              <w:contextualSpacing/>
              <w:rPr>
                <w:rFonts w:asciiTheme="minorHAnsi" w:hAnsiTheme="minorHAnsi" w:cs="Calibri"/>
                <w:spacing w:val="-3"/>
                <w:sz w:val="18"/>
                <w:szCs w:val="18"/>
                <w:lang w:eastAsia="hr-HR"/>
              </w:rPr>
            </w:pPr>
          </w:p>
        </w:tc>
        <w:tc>
          <w:tcPr>
            <w:tcW w:w="1413" w:type="dxa"/>
            <w:vAlign w:val="center"/>
          </w:tcPr>
          <w:p w14:paraId="09755B4C" w14:textId="04BAA8E5" w:rsidR="00D918E3" w:rsidRPr="00F639EA" w:rsidRDefault="00393EE5" w:rsidP="00D918E3">
            <w:pPr>
              <w:spacing w:after="0" w:line="240" w:lineRule="auto"/>
              <w:jc w:val="right"/>
              <w:rPr>
                <w:rFonts w:asciiTheme="minorHAnsi" w:hAnsiTheme="minorHAnsi" w:cs="Arial"/>
                <w:b/>
                <w:color w:val="000000"/>
                <w:sz w:val="18"/>
                <w:szCs w:val="18"/>
                <w:lang w:eastAsia="hr-HR"/>
              </w:rPr>
            </w:pPr>
            <w:proofErr w:type="spellStart"/>
            <w:r>
              <w:rPr>
                <w:rFonts w:asciiTheme="minorHAnsi" w:hAnsiTheme="minorHAnsi" w:cs="Arial"/>
                <w:b/>
                <w:sz w:val="18"/>
                <w:szCs w:val="18"/>
                <w:lang w:val="hr-HR"/>
              </w:rPr>
              <w:t>Sep</w:t>
            </w:r>
            <w:proofErr w:type="spellEnd"/>
            <w:r w:rsidRPr="00C93B24">
              <w:rPr>
                <w:rFonts w:asciiTheme="minorHAnsi" w:hAnsiTheme="minorHAnsi" w:cs="Arial"/>
                <w:b/>
                <w:sz w:val="18"/>
                <w:szCs w:val="18"/>
                <w:lang w:val="hr-HR"/>
              </w:rPr>
              <w:t xml:space="preserve"> </w:t>
            </w:r>
            <w:r w:rsidR="00C93B24" w:rsidRPr="00C93B24">
              <w:rPr>
                <w:rFonts w:asciiTheme="minorHAnsi" w:hAnsiTheme="minorHAnsi" w:cs="Arial"/>
                <w:b/>
                <w:sz w:val="18"/>
                <w:szCs w:val="18"/>
                <w:lang w:val="hr-HR"/>
              </w:rPr>
              <w:t>30</w:t>
            </w:r>
            <w:r w:rsidR="00394384">
              <w:rPr>
                <w:rFonts w:asciiTheme="minorHAnsi" w:hAnsiTheme="minorHAnsi" w:cs="Arial"/>
                <w:b/>
                <w:sz w:val="18"/>
                <w:szCs w:val="18"/>
                <w:lang w:val="hr-HR"/>
              </w:rPr>
              <w:t>,</w:t>
            </w:r>
            <w:r w:rsidR="00D918E3" w:rsidRPr="00CC4889">
              <w:rPr>
                <w:rFonts w:asciiTheme="minorHAnsi" w:hAnsiTheme="minorHAnsi" w:cs="Arial"/>
                <w:b/>
                <w:sz w:val="18"/>
                <w:szCs w:val="18"/>
                <w:lang w:val="hr-HR"/>
              </w:rPr>
              <w:t xml:space="preserve"> </w:t>
            </w:r>
            <w:r w:rsidR="00D918E3" w:rsidRPr="00F639EA">
              <w:rPr>
                <w:rFonts w:asciiTheme="minorHAnsi" w:hAnsiTheme="minorHAnsi" w:cs="Arial"/>
                <w:b/>
                <w:sz w:val="18"/>
                <w:szCs w:val="18"/>
                <w:lang w:val="hr-HR"/>
              </w:rPr>
              <w:t>201</w:t>
            </w:r>
            <w:r w:rsidR="00D918E3" w:rsidRPr="00CC4889">
              <w:rPr>
                <w:rFonts w:asciiTheme="minorHAnsi" w:hAnsiTheme="minorHAnsi" w:cs="Arial"/>
                <w:b/>
                <w:sz w:val="18"/>
                <w:szCs w:val="18"/>
                <w:lang w:val="hr-HR"/>
              </w:rPr>
              <w:t>7</w:t>
            </w:r>
          </w:p>
        </w:tc>
        <w:tc>
          <w:tcPr>
            <w:tcW w:w="1376" w:type="dxa"/>
            <w:vAlign w:val="center"/>
          </w:tcPr>
          <w:p w14:paraId="763C36DE" w14:textId="77777777" w:rsidR="00D918E3" w:rsidRPr="00F639EA" w:rsidRDefault="00D918E3" w:rsidP="00D918E3">
            <w:pPr>
              <w:spacing w:after="0" w:line="240" w:lineRule="auto"/>
              <w:jc w:val="right"/>
              <w:rPr>
                <w:rFonts w:asciiTheme="minorHAnsi" w:hAnsiTheme="minorHAnsi" w:cs="Arial"/>
                <w:b/>
                <w:color w:val="000000"/>
                <w:sz w:val="18"/>
                <w:szCs w:val="18"/>
                <w:lang w:eastAsia="hr-HR"/>
              </w:rPr>
            </w:pPr>
            <w:r w:rsidRPr="00B30F36">
              <w:rPr>
                <w:rFonts w:asciiTheme="minorHAnsi" w:hAnsiTheme="minorHAnsi" w:cs="Arial"/>
                <w:b/>
                <w:sz w:val="18"/>
                <w:szCs w:val="18"/>
              </w:rPr>
              <w:t>Dec</w:t>
            </w:r>
            <w:r w:rsidRPr="00CC4889">
              <w:rPr>
                <w:rFonts w:asciiTheme="minorHAnsi" w:hAnsiTheme="minorHAnsi" w:cs="Arial"/>
                <w:b/>
                <w:sz w:val="18"/>
                <w:szCs w:val="18"/>
                <w:lang w:val="hr-HR"/>
              </w:rPr>
              <w:t xml:space="preserve"> 31</w:t>
            </w:r>
            <w:r w:rsidR="00394384">
              <w:rPr>
                <w:rFonts w:asciiTheme="minorHAnsi" w:hAnsiTheme="minorHAnsi" w:cs="Arial"/>
                <w:b/>
                <w:sz w:val="18"/>
                <w:szCs w:val="18"/>
                <w:lang w:val="hr-HR"/>
              </w:rPr>
              <w:t>,</w:t>
            </w:r>
            <w:r w:rsidRPr="00CC4889">
              <w:rPr>
                <w:rFonts w:asciiTheme="minorHAnsi" w:hAnsiTheme="minorHAnsi" w:cs="Arial"/>
                <w:b/>
                <w:sz w:val="18"/>
                <w:szCs w:val="18"/>
                <w:lang w:val="hr-HR"/>
              </w:rPr>
              <w:t xml:space="preserve"> </w:t>
            </w:r>
            <w:r w:rsidRPr="00F639EA">
              <w:rPr>
                <w:rFonts w:asciiTheme="minorHAnsi" w:hAnsiTheme="minorHAnsi" w:cs="Arial"/>
                <w:b/>
                <w:sz w:val="18"/>
                <w:szCs w:val="18"/>
                <w:lang w:val="hr-HR"/>
              </w:rPr>
              <w:t>201</w:t>
            </w:r>
            <w:r w:rsidRPr="00CC4889">
              <w:rPr>
                <w:rFonts w:asciiTheme="minorHAnsi" w:hAnsiTheme="minorHAnsi" w:cs="Arial"/>
                <w:b/>
                <w:sz w:val="18"/>
                <w:szCs w:val="18"/>
                <w:lang w:val="hr-HR"/>
              </w:rPr>
              <w:t>6</w:t>
            </w:r>
          </w:p>
        </w:tc>
        <w:tc>
          <w:tcPr>
            <w:tcW w:w="1378" w:type="dxa"/>
            <w:vAlign w:val="center"/>
          </w:tcPr>
          <w:p w14:paraId="7F11E5AF" w14:textId="07EE0DF2" w:rsidR="00D918E3" w:rsidRPr="00F639EA" w:rsidRDefault="00393EE5" w:rsidP="00D918E3">
            <w:pPr>
              <w:spacing w:after="0" w:line="240" w:lineRule="auto"/>
              <w:jc w:val="right"/>
              <w:rPr>
                <w:rFonts w:asciiTheme="minorHAnsi" w:hAnsiTheme="minorHAnsi" w:cs="Arial"/>
                <w:b/>
                <w:color w:val="000000"/>
                <w:sz w:val="18"/>
                <w:szCs w:val="18"/>
                <w:lang w:eastAsia="hr-HR"/>
              </w:rPr>
            </w:pPr>
            <w:proofErr w:type="spellStart"/>
            <w:r>
              <w:rPr>
                <w:rFonts w:asciiTheme="minorHAnsi" w:hAnsiTheme="minorHAnsi" w:cs="Arial"/>
                <w:b/>
                <w:sz w:val="18"/>
                <w:szCs w:val="18"/>
                <w:lang w:val="hr-HR"/>
              </w:rPr>
              <w:t>Sep</w:t>
            </w:r>
            <w:proofErr w:type="spellEnd"/>
            <w:r w:rsidRPr="00C93B24">
              <w:rPr>
                <w:rFonts w:asciiTheme="minorHAnsi" w:hAnsiTheme="minorHAnsi" w:cs="Arial"/>
                <w:b/>
                <w:sz w:val="18"/>
                <w:szCs w:val="18"/>
                <w:lang w:val="hr-HR"/>
              </w:rPr>
              <w:t xml:space="preserve"> </w:t>
            </w:r>
            <w:r w:rsidR="00C93B24" w:rsidRPr="00C93B24">
              <w:rPr>
                <w:rFonts w:asciiTheme="minorHAnsi" w:hAnsiTheme="minorHAnsi" w:cs="Arial"/>
                <w:b/>
                <w:sz w:val="18"/>
                <w:szCs w:val="18"/>
                <w:lang w:val="hr-HR"/>
              </w:rPr>
              <w:t>30</w:t>
            </w:r>
            <w:r w:rsidR="00394384">
              <w:rPr>
                <w:rFonts w:asciiTheme="minorHAnsi" w:hAnsiTheme="minorHAnsi" w:cs="Arial"/>
                <w:b/>
                <w:sz w:val="18"/>
                <w:szCs w:val="18"/>
                <w:lang w:val="hr-HR"/>
              </w:rPr>
              <w:t>,</w:t>
            </w:r>
            <w:r w:rsidR="00D918E3" w:rsidRPr="00CC4889">
              <w:rPr>
                <w:rFonts w:asciiTheme="minorHAnsi" w:hAnsiTheme="minorHAnsi" w:cs="Arial"/>
                <w:b/>
                <w:sz w:val="18"/>
                <w:szCs w:val="18"/>
                <w:lang w:val="hr-HR"/>
              </w:rPr>
              <w:t xml:space="preserve"> </w:t>
            </w:r>
            <w:r w:rsidR="00D918E3" w:rsidRPr="00F639EA">
              <w:rPr>
                <w:rFonts w:asciiTheme="minorHAnsi" w:hAnsiTheme="minorHAnsi" w:cs="Arial"/>
                <w:b/>
                <w:sz w:val="18"/>
                <w:szCs w:val="18"/>
                <w:lang w:val="hr-HR"/>
              </w:rPr>
              <w:t>201</w:t>
            </w:r>
            <w:r w:rsidR="00D918E3" w:rsidRPr="00CC4889">
              <w:rPr>
                <w:rFonts w:asciiTheme="minorHAnsi" w:hAnsiTheme="minorHAnsi" w:cs="Arial"/>
                <w:b/>
                <w:sz w:val="18"/>
                <w:szCs w:val="18"/>
                <w:lang w:val="hr-HR"/>
              </w:rPr>
              <w:t>7</w:t>
            </w:r>
          </w:p>
        </w:tc>
        <w:tc>
          <w:tcPr>
            <w:tcW w:w="1376" w:type="dxa"/>
            <w:vAlign w:val="center"/>
          </w:tcPr>
          <w:p w14:paraId="6CA57603" w14:textId="77777777" w:rsidR="00D918E3" w:rsidRPr="00F639EA" w:rsidRDefault="00D918E3" w:rsidP="00D918E3">
            <w:pPr>
              <w:spacing w:after="0" w:line="240" w:lineRule="auto"/>
              <w:jc w:val="right"/>
              <w:rPr>
                <w:rFonts w:asciiTheme="minorHAnsi" w:hAnsiTheme="minorHAnsi" w:cs="Arial"/>
                <w:b/>
                <w:color w:val="000000"/>
                <w:sz w:val="18"/>
                <w:szCs w:val="18"/>
                <w:lang w:eastAsia="hr-HR"/>
              </w:rPr>
            </w:pPr>
            <w:r w:rsidRPr="00B30F36">
              <w:rPr>
                <w:rFonts w:asciiTheme="minorHAnsi" w:hAnsiTheme="minorHAnsi" w:cs="Arial"/>
                <w:b/>
                <w:sz w:val="18"/>
                <w:szCs w:val="18"/>
              </w:rPr>
              <w:t>Dec</w:t>
            </w:r>
            <w:r w:rsidRPr="00CC4889">
              <w:rPr>
                <w:rFonts w:asciiTheme="minorHAnsi" w:hAnsiTheme="minorHAnsi" w:cs="Arial"/>
                <w:b/>
                <w:sz w:val="18"/>
                <w:szCs w:val="18"/>
                <w:lang w:val="hr-HR"/>
              </w:rPr>
              <w:t xml:space="preserve"> 31</w:t>
            </w:r>
            <w:r w:rsidR="00394384">
              <w:rPr>
                <w:rFonts w:asciiTheme="minorHAnsi" w:hAnsiTheme="minorHAnsi" w:cs="Arial"/>
                <w:b/>
                <w:sz w:val="18"/>
                <w:szCs w:val="18"/>
                <w:lang w:val="hr-HR"/>
              </w:rPr>
              <w:t>,</w:t>
            </w:r>
            <w:r w:rsidRPr="00CC4889">
              <w:rPr>
                <w:rFonts w:asciiTheme="minorHAnsi" w:hAnsiTheme="minorHAnsi" w:cs="Arial"/>
                <w:b/>
                <w:sz w:val="18"/>
                <w:szCs w:val="18"/>
                <w:lang w:val="hr-HR"/>
              </w:rPr>
              <w:t xml:space="preserve"> </w:t>
            </w:r>
            <w:r w:rsidRPr="00F639EA">
              <w:rPr>
                <w:rFonts w:asciiTheme="minorHAnsi" w:hAnsiTheme="minorHAnsi" w:cs="Arial"/>
                <w:b/>
                <w:sz w:val="18"/>
                <w:szCs w:val="18"/>
                <w:lang w:val="hr-HR"/>
              </w:rPr>
              <w:t>201</w:t>
            </w:r>
            <w:r w:rsidRPr="00CC4889">
              <w:rPr>
                <w:rFonts w:asciiTheme="minorHAnsi" w:hAnsiTheme="minorHAnsi" w:cs="Arial"/>
                <w:b/>
                <w:sz w:val="18"/>
                <w:szCs w:val="18"/>
                <w:lang w:val="hr-HR"/>
              </w:rPr>
              <w:t>6</w:t>
            </w:r>
          </w:p>
        </w:tc>
      </w:tr>
      <w:tr w:rsidR="003A1D32" w:rsidRPr="00D918E3" w14:paraId="509FAE55" w14:textId="77777777" w:rsidTr="00AE534B">
        <w:tc>
          <w:tcPr>
            <w:tcW w:w="3816" w:type="dxa"/>
          </w:tcPr>
          <w:p w14:paraId="6E4839AA" w14:textId="77777777" w:rsidR="003A1D32" w:rsidRPr="00D918E3" w:rsidRDefault="003A1D32" w:rsidP="00D918E3">
            <w:pPr>
              <w:tabs>
                <w:tab w:val="left" w:pos="-720"/>
              </w:tabs>
              <w:suppressAutoHyphens/>
              <w:spacing w:after="0" w:line="240" w:lineRule="auto"/>
              <w:contextualSpacing/>
              <w:rPr>
                <w:rFonts w:asciiTheme="minorHAnsi" w:hAnsiTheme="minorHAnsi" w:cs="Calibri"/>
                <w:spacing w:val="-3"/>
                <w:sz w:val="18"/>
                <w:szCs w:val="18"/>
                <w:lang w:eastAsia="hr-HR"/>
              </w:rPr>
            </w:pPr>
          </w:p>
        </w:tc>
        <w:tc>
          <w:tcPr>
            <w:tcW w:w="1413" w:type="dxa"/>
            <w:vAlign w:val="center"/>
          </w:tcPr>
          <w:p w14:paraId="63D911A9" w14:textId="77777777" w:rsidR="003A1D32" w:rsidRPr="00CC4889" w:rsidRDefault="003A1D32" w:rsidP="00D918E3">
            <w:pPr>
              <w:spacing w:after="0" w:line="240" w:lineRule="auto"/>
              <w:jc w:val="right"/>
              <w:rPr>
                <w:rFonts w:asciiTheme="minorHAnsi" w:hAnsiTheme="minorHAnsi" w:cs="Arial"/>
                <w:b/>
                <w:sz w:val="18"/>
                <w:szCs w:val="18"/>
                <w:lang w:val="hr-HR"/>
              </w:rPr>
            </w:pPr>
          </w:p>
        </w:tc>
        <w:tc>
          <w:tcPr>
            <w:tcW w:w="1376" w:type="dxa"/>
            <w:vAlign w:val="center"/>
          </w:tcPr>
          <w:p w14:paraId="1987779C" w14:textId="77777777" w:rsidR="003A1D32" w:rsidRPr="00CC4889" w:rsidRDefault="003A1D32" w:rsidP="00D918E3">
            <w:pPr>
              <w:spacing w:after="0" w:line="240" w:lineRule="auto"/>
              <w:jc w:val="right"/>
              <w:rPr>
                <w:rFonts w:asciiTheme="minorHAnsi" w:hAnsiTheme="minorHAnsi" w:cs="Arial"/>
                <w:b/>
                <w:sz w:val="18"/>
                <w:szCs w:val="18"/>
                <w:lang w:val="hr-HR"/>
              </w:rPr>
            </w:pPr>
          </w:p>
        </w:tc>
        <w:tc>
          <w:tcPr>
            <w:tcW w:w="1378" w:type="dxa"/>
            <w:vAlign w:val="center"/>
          </w:tcPr>
          <w:p w14:paraId="7D044EC5" w14:textId="77777777" w:rsidR="003A1D32" w:rsidRPr="00CC4889" w:rsidRDefault="003A1D32" w:rsidP="00D918E3">
            <w:pPr>
              <w:spacing w:after="0" w:line="240" w:lineRule="auto"/>
              <w:jc w:val="right"/>
              <w:rPr>
                <w:rFonts w:asciiTheme="minorHAnsi" w:hAnsiTheme="minorHAnsi" w:cs="Arial"/>
                <w:b/>
                <w:sz w:val="18"/>
                <w:szCs w:val="18"/>
                <w:lang w:val="hr-HR"/>
              </w:rPr>
            </w:pPr>
          </w:p>
        </w:tc>
        <w:tc>
          <w:tcPr>
            <w:tcW w:w="1376" w:type="dxa"/>
            <w:vAlign w:val="center"/>
          </w:tcPr>
          <w:p w14:paraId="294ED720" w14:textId="77777777" w:rsidR="003A1D32" w:rsidRPr="00CC4889" w:rsidRDefault="003A1D32" w:rsidP="00D918E3">
            <w:pPr>
              <w:spacing w:after="0" w:line="240" w:lineRule="auto"/>
              <w:jc w:val="right"/>
              <w:rPr>
                <w:rFonts w:asciiTheme="minorHAnsi" w:hAnsiTheme="minorHAnsi" w:cs="Arial"/>
                <w:b/>
                <w:sz w:val="18"/>
                <w:szCs w:val="18"/>
                <w:lang w:val="hr-HR"/>
              </w:rPr>
            </w:pPr>
          </w:p>
        </w:tc>
      </w:tr>
      <w:tr w:rsidR="00D918E3" w:rsidRPr="00D918E3" w14:paraId="5002DE7D" w14:textId="77777777" w:rsidTr="00AE534B">
        <w:tc>
          <w:tcPr>
            <w:tcW w:w="3816" w:type="dxa"/>
          </w:tcPr>
          <w:p w14:paraId="18EFC634" w14:textId="77777777" w:rsidR="00D918E3" w:rsidRPr="00CC4889" w:rsidRDefault="00D918E3" w:rsidP="009702B0">
            <w:pPr>
              <w:tabs>
                <w:tab w:val="left" w:pos="-720"/>
              </w:tabs>
              <w:suppressAutoHyphens/>
              <w:spacing w:after="0" w:line="240" w:lineRule="auto"/>
              <w:contextualSpacing/>
              <w:rPr>
                <w:rFonts w:asciiTheme="minorHAnsi" w:hAnsiTheme="minorHAnsi" w:cs="Calibri"/>
                <w:b/>
                <w:spacing w:val="-3"/>
                <w:sz w:val="18"/>
                <w:szCs w:val="18"/>
                <w:lang w:eastAsia="hr-HR"/>
              </w:rPr>
            </w:pPr>
            <w:r w:rsidRPr="00CC4889">
              <w:rPr>
                <w:rFonts w:asciiTheme="minorHAnsi" w:hAnsiTheme="minorHAnsi" w:cs="Calibri"/>
                <w:b/>
                <w:spacing w:val="-3"/>
                <w:sz w:val="18"/>
                <w:szCs w:val="18"/>
                <w:lang w:eastAsia="hr-HR"/>
              </w:rPr>
              <w:t>Equity instruments:</w:t>
            </w:r>
          </w:p>
        </w:tc>
        <w:tc>
          <w:tcPr>
            <w:tcW w:w="1413" w:type="dxa"/>
          </w:tcPr>
          <w:p w14:paraId="41936BC4" w14:textId="77777777" w:rsidR="00D918E3" w:rsidRPr="00D918E3" w:rsidRDefault="00D918E3" w:rsidP="009702B0">
            <w:pPr>
              <w:tabs>
                <w:tab w:val="left" w:pos="-720"/>
              </w:tabs>
              <w:suppressAutoHyphens/>
              <w:spacing w:after="0" w:line="240" w:lineRule="auto"/>
              <w:contextualSpacing/>
              <w:rPr>
                <w:rFonts w:asciiTheme="minorHAnsi" w:hAnsiTheme="minorHAnsi" w:cs="Calibri"/>
                <w:spacing w:val="-3"/>
                <w:sz w:val="18"/>
                <w:szCs w:val="18"/>
                <w:lang w:eastAsia="hr-HR"/>
              </w:rPr>
            </w:pPr>
          </w:p>
        </w:tc>
        <w:tc>
          <w:tcPr>
            <w:tcW w:w="1376" w:type="dxa"/>
          </w:tcPr>
          <w:p w14:paraId="4F9A24DB" w14:textId="77777777" w:rsidR="00D918E3" w:rsidRPr="00D918E3" w:rsidRDefault="00D918E3" w:rsidP="009702B0">
            <w:pPr>
              <w:tabs>
                <w:tab w:val="left" w:pos="-720"/>
              </w:tabs>
              <w:suppressAutoHyphens/>
              <w:spacing w:after="0" w:line="240" w:lineRule="auto"/>
              <w:contextualSpacing/>
              <w:rPr>
                <w:rFonts w:asciiTheme="minorHAnsi" w:hAnsiTheme="minorHAnsi" w:cs="Calibri"/>
                <w:spacing w:val="-3"/>
                <w:sz w:val="18"/>
                <w:szCs w:val="18"/>
                <w:lang w:eastAsia="hr-HR"/>
              </w:rPr>
            </w:pPr>
          </w:p>
        </w:tc>
        <w:tc>
          <w:tcPr>
            <w:tcW w:w="1378" w:type="dxa"/>
          </w:tcPr>
          <w:p w14:paraId="6784B98D" w14:textId="77777777" w:rsidR="00D918E3" w:rsidRPr="00D918E3" w:rsidRDefault="00D918E3" w:rsidP="009702B0">
            <w:pPr>
              <w:tabs>
                <w:tab w:val="left" w:pos="-720"/>
              </w:tabs>
              <w:suppressAutoHyphens/>
              <w:spacing w:after="0" w:line="240" w:lineRule="auto"/>
              <w:contextualSpacing/>
              <w:rPr>
                <w:rFonts w:asciiTheme="minorHAnsi" w:hAnsiTheme="minorHAnsi" w:cs="Calibri"/>
                <w:spacing w:val="-3"/>
                <w:sz w:val="18"/>
                <w:szCs w:val="18"/>
                <w:lang w:eastAsia="hr-HR"/>
              </w:rPr>
            </w:pPr>
          </w:p>
        </w:tc>
        <w:tc>
          <w:tcPr>
            <w:tcW w:w="1376" w:type="dxa"/>
          </w:tcPr>
          <w:p w14:paraId="69CF47D0" w14:textId="77777777" w:rsidR="00D918E3" w:rsidRPr="00D918E3" w:rsidRDefault="00D918E3" w:rsidP="009702B0">
            <w:pPr>
              <w:tabs>
                <w:tab w:val="left" w:pos="-720"/>
              </w:tabs>
              <w:suppressAutoHyphens/>
              <w:spacing w:after="0" w:line="240" w:lineRule="auto"/>
              <w:contextualSpacing/>
              <w:rPr>
                <w:rFonts w:asciiTheme="minorHAnsi" w:hAnsiTheme="minorHAnsi" w:cs="Calibri"/>
                <w:spacing w:val="-3"/>
                <w:sz w:val="18"/>
                <w:szCs w:val="18"/>
                <w:lang w:eastAsia="hr-HR"/>
              </w:rPr>
            </w:pPr>
          </w:p>
        </w:tc>
      </w:tr>
      <w:tr w:rsidR="00CC4889" w:rsidRPr="00D918E3" w14:paraId="022D2F59" w14:textId="77777777" w:rsidTr="00AE534B">
        <w:tc>
          <w:tcPr>
            <w:tcW w:w="3816" w:type="dxa"/>
          </w:tcPr>
          <w:p w14:paraId="191E38C7" w14:textId="77777777" w:rsidR="00CC4889" w:rsidRPr="00D918E3" w:rsidRDefault="00CC4889" w:rsidP="00CC4889">
            <w:pPr>
              <w:tabs>
                <w:tab w:val="left" w:pos="-720"/>
              </w:tabs>
              <w:suppressAutoHyphens/>
              <w:spacing w:after="0" w:line="240" w:lineRule="auto"/>
              <w:contextualSpacing/>
              <w:rPr>
                <w:rFonts w:asciiTheme="minorHAnsi" w:hAnsiTheme="minorHAnsi" w:cs="Calibri"/>
                <w:spacing w:val="-3"/>
                <w:sz w:val="18"/>
                <w:szCs w:val="18"/>
                <w:lang w:eastAsia="hr-HR"/>
              </w:rPr>
            </w:pPr>
            <w:r w:rsidRPr="00D918E3">
              <w:rPr>
                <w:rFonts w:asciiTheme="minorHAnsi" w:hAnsiTheme="minorHAnsi" w:cs="Calibri"/>
                <w:spacing w:val="-3"/>
                <w:sz w:val="18"/>
                <w:szCs w:val="18"/>
                <w:lang w:eastAsia="hr-HR"/>
              </w:rPr>
              <w:t>Listed equity instruments:</w:t>
            </w:r>
          </w:p>
        </w:tc>
        <w:tc>
          <w:tcPr>
            <w:tcW w:w="1413" w:type="dxa"/>
          </w:tcPr>
          <w:p w14:paraId="3774FC31" w14:textId="77777777" w:rsidR="00CC4889" w:rsidRPr="00D918E3" w:rsidRDefault="00CC4889" w:rsidP="00CC4889">
            <w:pPr>
              <w:tabs>
                <w:tab w:val="left" w:pos="-720"/>
              </w:tabs>
              <w:suppressAutoHyphens/>
              <w:spacing w:after="0" w:line="240" w:lineRule="auto"/>
              <w:contextualSpacing/>
              <w:rPr>
                <w:rFonts w:asciiTheme="minorHAnsi" w:hAnsiTheme="minorHAnsi" w:cs="Calibri"/>
                <w:spacing w:val="-3"/>
                <w:sz w:val="18"/>
                <w:szCs w:val="18"/>
                <w:lang w:eastAsia="hr-HR"/>
              </w:rPr>
            </w:pPr>
          </w:p>
        </w:tc>
        <w:tc>
          <w:tcPr>
            <w:tcW w:w="1376" w:type="dxa"/>
            <w:vAlign w:val="bottom"/>
          </w:tcPr>
          <w:p w14:paraId="1DFBABBC" w14:textId="77777777" w:rsidR="00CC4889" w:rsidRPr="00C8749E" w:rsidRDefault="00CC4889" w:rsidP="00CC4889">
            <w:pPr>
              <w:spacing w:after="0" w:line="220" w:lineRule="exact"/>
              <w:jc w:val="right"/>
              <w:rPr>
                <w:rFonts w:asciiTheme="minorHAnsi" w:hAnsiTheme="minorHAnsi" w:cs="Arial"/>
                <w:color w:val="000000"/>
                <w:sz w:val="18"/>
                <w:szCs w:val="18"/>
                <w:lang w:eastAsia="hr-HR"/>
              </w:rPr>
            </w:pPr>
          </w:p>
        </w:tc>
        <w:tc>
          <w:tcPr>
            <w:tcW w:w="1378" w:type="dxa"/>
          </w:tcPr>
          <w:p w14:paraId="5AF80D28" w14:textId="77777777" w:rsidR="00CC4889" w:rsidRPr="00D918E3" w:rsidRDefault="00CC4889" w:rsidP="00CC4889">
            <w:pPr>
              <w:tabs>
                <w:tab w:val="left" w:pos="-720"/>
              </w:tabs>
              <w:suppressAutoHyphens/>
              <w:spacing w:after="0" w:line="240" w:lineRule="auto"/>
              <w:contextualSpacing/>
              <w:rPr>
                <w:rFonts w:asciiTheme="minorHAnsi" w:hAnsiTheme="minorHAnsi" w:cs="Calibri"/>
                <w:spacing w:val="-3"/>
                <w:sz w:val="18"/>
                <w:szCs w:val="18"/>
                <w:lang w:eastAsia="hr-HR"/>
              </w:rPr>
            </w:pPr>
          </w:p>
        </w:tc>
        <w:tc>
          <w:tcPr>
            <w:tcW w:w="1376" w:type="dxa"/>
            <w:vAlign w:val="bottom"/>
          </w:tcPr>
          <w:p w14:paraId="791DAAC5" w14:textId="77777777" w:rsidR="00CC4889" w:rsidRPr="00C8749E" w:rsidRDefault="00CC4889" w:rsidP="00CC4889">
            <w:pPr>
              <w:spacing w:after="0" w:line="220" w:lineRule="exact"/>
              <w:jc w:val="right"/>
              <w:rPr>
                <w:rFonts w:asciiTheme="minorHAnsi" w:hAnsiTheme="minorHAnsi" w:cs="Arial"/>
                <w:color w:val="000000"/>
                <w:sz w:val="18"/>
                <w:szCs w:val="18"/>
                <w:lang w:eastAsia="hr-HR"/>
              </w:rPr>
            </w:pPr>
          </w:p>
        </w:tc>
      </w:tr>
      <w:tr w:rsidR="00595BD7" w:rsidRPr="00D918E3" w14:paraId="4EF2AD11" w14:textId="77777777" w:rsidTr="00AE534B">
        <w:tc>
          <w:tcPr>
            <w:tcW w:w="3816" w:type="dxa"/>
            <w:tcBorders>
              <w:bottom w:val="single" w:sz="4" w:space="0" w:color="auto"/>
            </w:tcBorders>
          </w:tcPr>
          <w:p w14:paraId="1A7E0C7A" w14:textId="77777777" w:rsidR="00595BD7" w:rsidRPr="00CC4889" w:rsidRDefault="00595BD7" w:rsidP="00595BD7">
            <w:pPr>
              <w:tabs>
                <w:tab w:val="left" w:pos="-720"/>
              </w:tabs>
              <w:suppressAutoHyphens/>
              <w:spacing w:after="0" w:line="240" w:lineRule="auto"/>
              <w:contextualSpacing/>
              <w:rPr>
                <w:rFonts w:asciiTheme="minorHAnsi" w:hAnsiTheme="minorHAnsi" w:cs="Calibri"/>
                <w:spacing w:val="-3"/>
                <w:sz w:val="18"/>
                <w:szCs w:val="18"/>
                <w:lang w:eastAsia="hr-HR"/>
              </w:rPr>
            </w:pPr>
            <w:r w:rsidRPr="00CC4889">
              <w:rPr>
                <w:rFonts w:asciiTheme="minorHAnsi" w:hAnsiTheme="minorHAnsi" w:cs="Calibri"/>
                <w:spacing w:val="-3"/>
                <w:sz w:val="18"/>
                <w:szCs w:val="18"/>
                <w:lang w:eastAsia="hr-HR"/>
              </w:rPr>
              <w:t>Investments in compan</w:t>
            </w:r>
            <w:r>
              <w:rPr>
                <w:rFonts w:asciiTheme="minorHAnsi" w:hAnsiTheme="minorHAnsi" w:cs="Calibri"/>
                <w:spacing w:val="-3"/>
                <w:sz w:val="18"/>
                <w:szCs w:val="18"/>
                <w:lang w:eastAsia="hr-HR"/>
              </w:rPr>
              <w:t>ies’</w:t>
            </w:r>
            <w:r w:rsidRPr="00CC4889">
              <w:rPr>
                <w:rFonts w:asciiTheme="minorHAnsi" w:hAnsiTheme="minorHAnsi" w:cs="Calibri"/>
                <w:spacing w:val="-3"/>
                <w:sz w:val="18"/>
                <w:szCs w:val="18"/>
                <w:lang w:eastAsia="hr-HR"/>
              </w:rPr>
              <w:t xml:space="preserve"> shares</w:t>
            </w:r>
          </w:p>
        </w:tc>
        <w:tc>
          <w:tcPr>
            <w:tcW w:w="1413" w:type="dxa"/>
            <w:tcBorders>
              <w:bottom w:val="single" w:sz="4" w:space="0" w:color="auto"/>
            </w:tcBorders>
            <w:vAlign w:val="bottom"/>
          </w:tcPr>
          <w:p w14:paraId="70B15F10" w14:textId="5299AB98" w:rsidR="00595BD7" w:rsidRPr="00166751" w:rsidRDefault="00EA3C2B" w:rsidP="006B318F">
            <w:pPr>
              <w:spacing w:after="0" w:line="220" w:lineRule="exact"/>
              <w:jc w:val="right"/>
              <w:rPr>
                <w:rFonts w:asciiTheme="minorHAnsi" w:hAnsiTheme="minorHAnsi" w:cs="Calibri"/>
                <w:spacing w:val="-3"/>
                <w:sz w:val="18"/>
                <w:szCs w:val="18"/>
                <w:lang w:eastAsia="hr-HR"/>
              </w:rPr>
            </w:pPr>
            <w:r w:rsidRPr="00EA3C2B">
              <w:rPr>
                <w:rFonts w:asciiTheme="minorHAnsi" w:hAnsiTheme="minorHAnsi" w:cs="Arial"/>
                <w:color w:val="000000"/>
                <w:sz w:val="18"/>
                <w:szCs w:val="18"/>
                <w:lang w:eastAsia="hr-HR"/>
              </w:rPr>
              <w:t>16,805</w:t>
            </w:r>
          </w:p>
        </w:tc>
        <w:tc>
          <w:tcPr>
            <w:tcW w:w="1376" w:type="dxa"/>
            <w:tcBorders>
              <w:bottom w:val="single" w:sz="4" w:space="0" w:color="auto"/>
            </w:tcBorders>
            <w:vAlign w:val="bottom"/>
          </w:tcPr>
          <w:p w14:paraId="5F98E93D" w14:textId="77777777" w:rsidR="00595BD7" w:rsidRPr="00C8749E" w:rsidRDefault="00595BD7" w:rsidP="00595BD7">
            <w:pPr>
              <w:spacing w:after="0" w:line="220" w:lineRule="exact"/>
              <w:jc w:val="right"/>
              <w:rPr>
                <w:rFonts w:asciiTheme="minorHAnsi" w:hAnsiTheme="minorHAnsi" w:cs="Arial"/>
                <w:color w:val="000000"/>
                <w:sz w:val="18"/>
                <w:szCs w:val="18"/>
                <w:lang w:eastAsia="hr-HR"/>
              </w:rPr>
            </w:pPr>
            <w:r w:rsidRPr="00C8749E">
              <w:rPr>
                <w:rFonts w:asciiTheme="minorHAnsi" w:hAnsiTheme="minorHAnsi" w:cs="Arial"/>
                <w:color w:val="000000"/>
                <w:sz w:val="18"/>
                <w:szCs w:val="18"/>
                <w:lang w:eastAsia="hr-HR"/>
              </w:rPr>
              <w:t>10,938</w:t>
            </w:r>
          </w:p>
        </w:tc>
        <w:tc>
          <w:tcPr>
            <w:tcW w:w="1378" w:type="dxa"/>
            <w:tcBorders>
              <w:bottom w:val="single" w:sz="4" w:space="0" w:color="auto"/>
            </w:tcBorders>
            <w:vAlign w:val="bottom"/>
          </w:tcPr>
          <w:p w14:paraId="0838AFE4" w14:textId="6C58C646" w:rsidR="00595BD7" w:rsidRPr="006B318F" w:rsidRDefault="00EA3C2B" w:rsidP="006B318F">
            <w:pPr>
              <w:spacing w:after="0" w:line="220" w:lineRule="exact"/>
              <w:jc w:val="right"/>
              <w:rPr>
                <w:rFonts w:asciiTheme="minorHAnsi" w:hAnsiTheme="minorHAnsi" w:cs="Arial"/>
                <w:color w:val="000000"/>
                <w:sz w:val="18"/>
                <w:szCs w:val="18"/>
                <w:lang w:eastAsia="hr-HR"/>
              </w:rPr>
            </w:pPr>
            <w:r w:rsidRPr="00EA3C2B">
              <w:rPr>
                <w:rFonts w:asciiTheme="minorHAnsi" w:hAnsiTheme="minorHAnsi" w:cs="Arial"/>
                <w:color w:val="000000"/>
                <w:sz w:val="18"/>
                <w:szCs w:val="18"/>
                <w:lang w:eastAsia="hr-HR"/>
              </w:rPr>
              <w:t>16,805</w:t>
            </w:r>
          </w:p>
        </w:tc>
        <w:tc>
          <w:tcPr>
            <w:tcW w:w="1376" w:type="dxa"/>
            <w:tcBorders>
              <w:bottom w:val="single" w:sz="4" w:space="0" w:color="auto"/>
            </w:tcBorders>
            <w:vAlign w:val="bottom"/>
          </w:tcPr>
          <w:p w14:paraId="01C0726F" w14:textId="77777777" w:rsidR="00595BD7" w:rsidRPr="00C8749E" w:rsidRDefault="00595BD7" w:rsidP="00595BD7">
            <w:pPr>
              <w:spacing w:after="0" w:line="220" w:lineRule="exact"/>
              <w:jc w:val="right"/>
              <w:rPr>
                <w:rFonts w:asciiTheme="minorHAnsi" w:hAnsiTheme="minorHAnsi" w:cs="Arial"/>
                <w:color w:val="000000"/>
                <w:sz w:val="18"/>
                <w:szCs w:val="18"/>
                <w:lang w:eastAsia="hr-HR"/>
              </w:rPr>
            </w:pPr>
            <w:r w:rsidRPr="00C8749E">
              <w:rPr>
                <w:rFonts w:asciiTheme="minorHAnsi" w:hAnsiTheme="minorHAnsi" w:cs="Arial"/>
                <w:color w:val="000000"/>
                <w:sz w:val="18"/>
                <w:szCs w:val="18"/>
                <w:lang w:eastAsia="hr-HR"/>
              </w:rPr>
              <w:t>10,938</w:t>
            </w:r>
          </w:p>
        </w:tc>
      </w:tr>
      <w:tr w:rsidR="00595BD7" w:rsidRPr="00D918E3" w14:paraId="4DC45CD3" w14:textId="77777777" w:rsidTr="00230054">
        <w:tc>
          <w:tcPr>
            <w:tcW w:w="3816" w:type="dxa"/>
            <w:tcBorders>
              <w:top w:val="single" w:sz="4" w:space="0" w:color="auto"/>
              <w:bottom w:val="single" w:sz="8" w:space="0" w:color="auto"/>
            </w:tcBorders>
          </w:tcPr>
          <w:p w14:paraId="4EE64D7A" w14:textId="77777777" w:rsidR="00595BD7" w:rsidRPr="00D918E3" w:rsidRDefault="00595BD7" w:rsidP="00595BD7">
            <w:pPr>
              <w:tabs>
                <w:tab w:val="left" w:pos="-720"/>
              </w:tabs>
              <w:suppressAutoHyphens/>
              <w:spacing w:after="0" w:line="240" w:lineRule="auto"/>
              <w:contextualSpacing/>
              <w:rPr>
                <w:rFonts w:asciiTheme="minorHAnsi" w:hAnsiTheme="minorHAnsi" w:cs="Calibri"/>
                <w:spacing w:val="-3"/>
                <w:sz w:val="18"/>
                <w:szCs w:val="18"/>
                <w:lang w:eastAsia="hr-HR"/>
              </w:rPr>
            </w:pPr>
          </w:p>
        </w:tc>
        <w:tc>
          <w:tcPr>
            <w:tcW w:w="1413" w:type="dxa"/>
            <w:tcBorders>
              <w:top w:val="single" w:sz="4" w:space="0" w:color="auto"/>
              <w:bottom w:val="single" w:sz="8" w:space="0" w:color="auto"/>
            </w:tcBorders>
            <w:vAlign w:val="bottom"/>
          </w:tcPr>
          <w:p w14:paraId="74372C2A" w14:textId="24BB6664" w:rsidR="00595BD7" w:rsidRPr="00C8749E" w:rsidRDefault="00EA3C2B" w:rsidP="00595BD7">
            <w:pPr>
              <w:spacing w:after="0" w:line="220" w:lineRule="exact"/>
              <w:jc w:val="right"/>
              <w:rPr>
                <w:rFonts w:asciiTheme="minorHAnsi" w:hAnsiTheme="minorHAnsi" w:cs="Arial"/>
                <w:b/>
                <w:color w:val="000000"/>
                <w:sz w:val="18"/>
                <w:szCs w:val="18"/>
                <w:lang w:eastAsia="hr-HR"/>
              </w:rPr>
            </w:pPr>
            <w:r w:rsidRPr="00EA3C2B">
              <w:rPr>
                <w:rFonts w:asciiTheme="minorHAnsi" w:hAnsiTheme="minorHAnsi" w:cs="Arial"/>
                <w:b/>
                <w:color w:val="000000"/>
                <w:sz w:val="18"/>
                <w:szCs w:val="18"/>
                <w:lang w:eastAsia="hr-HR"/>
              </w:rPr>
              <w:t>16,805</w:t>
            </w:r>
          </w:p>
        </w:tc>
        <w:tc>
          <w:tcPr>
            <w:tcW w:w="1376" w:type="dxa"/>
            <w:tcBorders>
              <w:top w:val="single" w:sz="4" w:space="0" w:color="auto"/>
              <w:bottom w:val="single" w:sz="8" w:space="0" w:color="auto"/>
            </w:tcBorders>
            <w:vAlign w:val="bottom"/>
          </w:tcPr>
          <w:p w14:paraId="03A64837" w14:textId="77777777" w:rsidR="00595BD7" w:rsidRPr="00C8749E" w:rsidRDefault="00595BD7" w:rsidP="00595BD7">
            <w:pPr>
              <w:spacing w:after="0" w:line="220" w:lineRule="exact"/>
              <w:jc w:val="right"/>
              <w:rPr>
                <w:rFonts w:asciiTheme="minorHAnsi" w:hAnsiTheme="minorHAnsi" w:cs="Arial"/>
                <w:b/>
                <w:color w:val="000000"/>
                <w:sz w:val="18"/>
                <w:szCs w:val="18"/>
                <w:lang w:eastAsia="hr-HR"/>
              </w:rPr>
            </w:pPr>
            <w:r w:rsidRPr="00C8749E">
              <w:rPr>
                <w:rFonts w:asciiTheme="minorHAnsi" w:hAnsiTheme="minorHAnsi" w:cs="Arial"/>
                <w:b/>
                <w:color w:val="000000"/>
                <w:sz w:val="18"/>
                <w:szCs w:val="18"/>
                <w:lang w:eastAsia="hr-HR"/>
              </w:rPr>
              <w:t>10,938</w:t>
            </w:r>
          </w:p>
        </w:tc>
        <w:tc>
          <w:tcPr>
            <w:tcW w:w="1378" w:type="dxa"/>
            <w:tcBorders>
              <w:top w:val="single" w:sz="4" w:space="0" w:color="auto"/>
              <w:bottom w:val="single" w:sz="8" w:space="0" w:color="auto"/>
            </w:tcBorders>
            <w:vAlign w:val="bottom"/>
          </w:tcPr>
          <w:p w14:paraId="1D2D0A53" w14:textId="4453C0A7" w:rsidR="00595BD7" w:rsidRPr="00C8749E" w:rsidRDefault="00EA3C2B" w:rsidP="00595BD7">
            <w:pPr>
              <w:spacing w:after="0" w:line="220" w:lineRule="exact"/>
              <w:jc w:val="right"/>
              <w:rPr>
                <w:rFonts w:asciiTheme="minorHAnsi" w:hAnsiTheme="minorHAnsi" w:cs="Arial"/>
                <w:b/>
                <w:color w:val="000000"/>
                <w:sz w:val="18"/>
                <w:szCs w:val="18"/>
                <w:lang w:eastAsia="hr-HR"/>
              </w:rPr>
            </w:pPr>
            <w:r w:rsidRPr="00EA3C2B">
              <w:rPr>
                <w:rFonts w:asciiTheme="minorHAnsi" w:hAnsiTheme="minorHAnsi" w:cs="Arial"/>
                <w:b/>
                <w:color w:val="000000"/>
                <w:sz w:val="18"/>
                <w:szCs w:val="18"/>
                <w:lang w:eastAsia="hr-HR"/>
              </w:rPr>
              <w:t>16,805</w:t>
            </w:r>
          </w:p>
        </w:tc>
        <w:tc>
          <w:tcPr>
            <w:tcW w:w="1376" w:type="dxa"/>
            <w:tcBorders>
              <w:top w:val="single" w:sz="4" w:space="0" w:color="auto"/>
              <w:bottom w:val="single" w:sz="8" w:space="0" w:color="auto"/>
            </w:tcBorders>
            <w:vAlign w:val="bottom"/>
          </w:tcPr>
          <w:p w14:paraId="63F1C94C" w14:textId="77777777" w:rsidR="00595BD7" w:rsidRPr="00C8749E" w:rsidRDefault="00595BD7" w:rsidP="00595BD7">
            <w:pPr>
              <w:spacing w:after="0" w:line="220" w:lineRule="exact"/>
              <w:jc w:val="right"/>
              <w:rPr>
                <w:rFonts w:asciiTheme="minorHAnsi" w:hAnsiTheme="minorHAnsi" w:cs="Arial"/>
                <w:b/>
                <w:color w:val="000000"/>
                <w:sz w:val="18"/>
                <w:szCs w:val="18"/>
                <w:lang w:eastAsia="hr-HR"/>
              </w:rPr>
            </w:pPr>
            <w:r w:rsidRPr="00C8749E">
              <w:rPr>
                <w:rFonts w:asciiTheme="minorHAnsi" w:hAnsiTheme="minorHAnsi" w:cs="Arial"/>
                <w:b/>
                <w:color w:val="000000"/>
                <w:sz w:val="18"/>
                <w:szCs w:val="18"/>
                <w:lang w:eastAsia="hr-HR"/>
              </w:rPr>
              <w:t>10,938</w:t>
            </w:r>
          </w:p>
        </w:tc>
      </w:tr>
      <w:tr w:rsidR="00595BD7" w:rsidRPr="00D918E3" w14:paraId="0857751F" w14:textId="77777777" w:rsidTr="00230054">
        <w:tc>
          <w:tcPr>
            <w:tcW w:w="3816" w:type="dxa"/>
            <w:tcBorders>
              <w:top w:val="single" w:sz="8" w:space="0" w:color="auto"/>
            </w:tcBorders>
          </w:tcPr>
          <w:p w14:paraId="0129D9EE" w14:textId="77777777" w:rsidR="00595BD7" w:rsidRPr="00D918E3" w:rsidRDefault="00595BD7" w:rsidP="00595BD7">
            <w:pPr>
              <w:tabs>
                <w:tab w:val="left" w:pos="-720"/>
              </w:tabs>
              <w:suppressAutoHyphens/>
              <w:spacing w:after="0" w:line="240" w:lineRule="auto"/>
              <w:contextualSpacing/>
              <w:rPr>
                <w:rFonts w:asciiTheme="minorHAnsi" w:hAnsiTheme="minorHAnsi" w:cs="Calibri"/>
                <w:spacing w:val="-3"/>
                <w:sz w:val="18"/>
                <w:szCs w:val="18"/>
                <w:lang w:eastAsia="hr-HR"/>
              </w:rPr>
            </w:pPr>
          </w:p>
        </w:tc>
        <w:tc>
          <w:tcPr>
            <w:tcW w:w="1413" w:type="dxa"/>
            <w:tcBorders>
              <w:top w:val="single" w:sz="8" w:space="0" w:color="auto"/>
            </w:tcBorders>
            <w:vAlign w:val="bottom"/>
          </w:tcPr>
          <w:p w14:paraId="3D9A39AE" w14:textId="77777777" w:rsidR="00595BD7" w:rsidRPr="00C8749E" w:rsidRDefault="00595BD7" w:rsidP="00595BD7">
            <w:pPr>
              <w:spacing w:after="0" w:line="220" w:lineRule="exact"/>
              <w:jc w:val="right"/>
              <w:rPr>
                <w:rFonts w:asciiTheme="minorHAnsi" w:hAnsiTheme="minorHAnsi" w:cs="Arial"/>
                <w:b/>
                <w:color w:val="000000"/>
                <w:sz w:val="18"/>
                <w:szCs w:val="18"/>
                <w:lang w:eastAsia="hr-HR"/>
              </w:rPr>
            </w:pPr>
          </w:p>
        </w:tc>
        <w:tc>
          <w:tcPr>
            <w:tcW w:w="1376" w:type="dxa"/>
            <w:tcBorders>
              <w:top w:val="single" w:sz="8" w:space="0" w:color="auto"/>
            </w:tcBorders>
            <w:vAlign w:val="bottom"/>
          </w:tcPr>
          <w:p w14:paraId="60A3A738" w14:textId="77777777" w:rsidR="00595BD7" w:rsidRPr="00C8749E" w:rsidRDefault="00595BD7" w:rsidP="00595BD7">
            <w:pPr>
              <w:spacing w:after="0" w:line="220" w:lineRule="exact"/>
              <w:jc w:val="right"/>
              <w:rPr>
                <w:rFonts w:asciiTheme="minorHAnsi" w:hAnsiTheme="minorHAnsi" w:cs="Arial"/>
                <w:b/>
                <w:color w:val="000000"/>
                <w:sz w:val="18"/>
                <w:szCs w:val="18"/>
                <w:lang w:eastAsia="hr-HR"/>
              </w:rPr>
            </w:pPr>
          </w:p>
        </w:tc>
        <w:tc>
          <w:tcPr>
            <w:tcW w:w="1378" w:type="dxa"/>
            <w:tcBorders>
              <w:top w:val="single" w:sz="8" w:space="0" w:color="auto"/>
            </w:tcBorders>
            <w:vAlign w:val="bottom"/>
          </w:tcPr>
          <w:p w14:paraId="015300F0" w14:textId="77777777" w:rsidR="00595BD7" w:rsidRPr="00C8749E" w:rsidRDefault="00595BD7" w:rsidP="00595BD7">
            <w:pPr>
              <w:spacing w:after="0" w:line="220" w:lineRule="exact"/>
              <w:jc w:val="right"/>
              <w:rPr>
                <w:rFonts w:asciiTheme="minorHAnsi" w:hAnsiTheme="minorHAnsi" w:cs="Arial"/>
                <w:b/>
                <w:color w:val="000000"/>
                <w:sz w:val="18"/>
                <w:szCs w:val="18"/>
                <w:lang w:eastAsia="hr-HR"/>
              </w:rPr>
            </w:pPr>
          </w:p>
        </w:tc>
        <w:tc>
          <w:tcPr>
            <w:tcW w:w="1376" w:type="dxa"/>
            <w:tcBorders>
              <w:top w:val="single" w:sz="8" w:space="0" w:color="auto"/>
            </w:tcBorders>
            <w:vAlign w:val="bottom"/>
          </w:tcPr>
          <w:p w14:paraId="6857B8BF" w14:textId="77777777" w:rsidR="00595BD7" w:rsidRPr="00C8749E" w:rsidRDefault="00595BD7" w:rsidP="00595BD7">
            <w:pPr>
              <w:spacing w:after="0" w:line="220" w:lineRule="exact"/>
              <w:jc w:val="right"/>
              <w:rPr>
                <w:rFonts w:asciiTheme="minorHAnsi" w:hAnsiTheme="minorHAnsi" w:cs="Arial"/>
                <w:b/>
                <w:color w:val="000000"/>
                <w:sz w:val="18"/>
                <w:szCs w:val="18"/>
                <w:lang w:eastAsia="hr-HR"/>
              </w:rPr>
            </w:pPr>
          </w:p>
        </w:tc>
      </w:tr>
      <w:tr w:rsidR="00595BD7" w:rsidRPr="00D918E3" w14:paraId="6A6F7D73" w14:textId="77777777" w:rsidTr="00AE534B">
        <w:tc>
          <w:tcPr>
            <w:tcW w:w="3816" w:type="dxa"/>
          </w:tcPr>
          <w:p w14:paraId="1E34DD43" w14:textId="77777777" w:rsidR="00595BD7" w:rsidRPr="00D918E3" w:rsidRDefault="00595BD7" w:rsidP="00595BD7">
            <w:pPr>
              <w:tabs>
                <w:tab w:val="left" w:pos="-720"/>
              </w:tabs>
              <w:suppressAutoHyphens/>
              <w:spacing w:after="0" w:line="240" w:lineRule="auto"/>
              <w:contextualSpacing/>
              <w:rPr>
                <w:rFonts w:asciiTheme="minorHAnsi" w:hAnsiTheme="minorHAnsi" w:cs="Calibri"/>
                <w:spacing w:val="-3"/>
                <w:sz w:val="18"/>
                <w:szCs w:val="18"/>
                <w:lang w:eastAsia="hr-HR"/>
              </w:rPr>
            </w:pPr>
            <w:r w:rsidRPr="00D918E3">
              <w:rPr>
                <w:rFonts w:asciiTheme="minorHAnsi" w:hAnsiTheme="minorHAnsi" w:cs="Calibri"/>
                <w:spacing w:val="-3"/>
                <w:sz w:val="18"/>
                <w:szCs w:val="18"/>
                <w:lang w:eastAsia="hr-HR"/>
              </w:rPr>
              <w:t>Unlisted equity instruments:</w:t>
            </w:r>
          </w:p>
        </w:tc>
        <w:tc>
          <w:tcPr>
            <w:tcW w:w="1413" w:type="dxa"/>
            <w:vAlign w:val="bottom"/>
          </w:tcPr>
          <w:p w14:paraId="6D191340" w14:textId="77777777" w:rsidR="00595BD7" w:rsidRPr="00D918E3" w:rsidRDefault="00595BD7" w:rsidP="00595BD7">
            <w:pPr>
              <w:tabs>
                <w:tab w:val="left" w:pos="-720"/>
              </w:tabs>
              <w:suppressAutoHyphens/>
              <w:spacing w:after="0" w:line="240" w:lineRule="auto"/>
              <w:contextualSpacing/>
              <w:jc w:val="right"/>
              <w:rPr>
                <w:rFonts w:asciiTheme="minorHAnsi" w:hAnsiTheme="minorHAnsi" w:cs="Calibri"/>
                <w:spacing w:val="-3"/>
                <w:sz w:val="18"/>
                <w:szCs w:val="18"/>
                <w:lang w:eastAsia="hr-HR"/>
              </w:rPr>
            </w:pPr>
          </w:p>
        </w:tc>
        <w:tc>
          <w:tcPr>
            <w:tcW w:w="1376" w:type="dxa"/>
            <w:vAlign w:val="bottom"/>
          </w:tcPr>
          <w:p w14:paraId="76047C20" w14:textId="77777777" w:rsidR="00595BD7" w:rsidRPr="00D918E3" w:rsidRDefault="00595BD7" w:rsidP="00595BD7">
            <w:pPr>
              <w:tabs>
                <w:tab w:val="left" w:pos="-720"/>
              </w:tabs>
              <w:suppressAutoHyphens/>
              <w:spacing w:after="0" w:line="240" w:lineRule="auto"/>
              <w:contextualSpacing/>
              <w:jc w:val="right"/>
              <w:rPr>
                <w:rFonts w:asciiTheme="minorHAnsi" w:hAnsiTheme="minorHAnsi" w:cs="Calibri"/>
                <w:spacing w:val="-3"/>
                <w:sz w:val="18"/>
                <w:szCs w:val="18"/>
                <w:lang w:eastAsia="hr-HR"/>
              </w:rPr>
            </w:pPr>
          </w:p>
        </w:tc>
        <w:tc>
          <w:tcPr>
            <w:tcW w:w="1378" w:type="dxa"/>
            <w:vAlign w:val="bottom"/>
          </w:tcPr>
          <w:p w14:paraId="251ADDD3" w14:textId="77777777" w:rsidR="00595BD7" w:rsidRPr="00D918E3" w:rsidRDefault="00595BD7" w:rsidP="00595BD7">
            <w:pPr>
              <w:tabs>
                <w:tab w:val="left" w:pos="-720"/>
              </w:tabs>
              <w:suppressAutoHyphens/>
              <w:spacing w:after="0" w:line="240" w:lineRule="auto"/>
              <w:contextualSpacing/>
              <w:jc w:val="right"/>
              <w:rPr>
                <w:rFonts w:asciiTheme="minorHAnsi" w:hAnsiTheme="minorHAnsi" w:cs="Calibri"/>
                <w:spacing w:val="-3"/>
                <w:sz w:val="18"/>
                <w:szCs w:val="18"/>
                <w:lang w:eastAsia="hr-HR"/>
              </w:rPr>
            </w:pPr>
          </w:p>
        </w:tc>
        <w:tc>
          <w:tcPr>
            <w:tcW w:w="1376" w:type="dxa"/>
            <w:vAlign w:val="bottom"/>
          </w:tcPr>
          <w:p w14:paraId="12BCA76B" w14:textId="77777777" w:rsidR="00595BD7" w:rsidRPr="00D918E3" w:rsidRDefault="00595BD7" w:rsidP="00595BD7">
            <w:pPr>
              <w:tabs>
                <w:tab w:val="left" w:pos="-720"/>
              </w:tabs>
              <w:suppressAutoHyphens/>
              <w:spacing w:after="0" w:line="240" w:lineRule="auto"/>
              <w:contextualSpacing/>
              <w:jc w:val="right"/>
              <w:rPr>
                <w:rFonts w:asciiTheme="minorHAnsi" w:hAnsiTheme="minorHAnsi" w:cs="Calibri"/>
                <w:spacing w:val="-3"/>
                <w:sz w:val="18"/>
                <w:szCs w:val="18"/>
                <w:lang w:eastAsia="hr-HR"/>
              </w:rPr>
            </w:pPr>
          </w:p>
        </w:tc>
      </w:tr>
      <w:tr w:rsidR="00EA3C2B" w:rsidRPr="00D918E3" w14:paraId="06D2DD95" w14:textId="77777777" w:rsidTr="006B318F">
        <w:tc>
          <w:tcPr>
            <w:tcW w:w="3816" w:type="dxa"/>
          </w:tcPr>
          <w:p w14:paraId="522C8CDA" w14:textId="77777777" w:rsidR="00EA3C2B" w:rsidRPr="00D918E3" w:rsidRDefault="00EA3C2B" w:rsidP="00EA3C2B">
            <w:pPr>
              <w:tabs>
                <w:tab w:val="left" w:pos="-720"/>
              </w:tabs>
              <w:suppressAutoHyphens/>
              <w:spacing w:after="0" w:line="240" w:lineRule="auto"/>
              <w:contextualSpacing/>
              <w:rPr>
                <w:rFonts w:asciiTheme="minorHAnsi" w:hAnsiTheme="minorHAnsi" w:cs="Calibri"/>
                <w:spacing w:val="-3"/>
                <w:sz w:val="18"/>
                <w:szCs w:val="18"/>
                <w:lang w:eastAsia="hr-HR"/>
              </w:rPr>
            </w:pPr>
            <w:r w:rsidRPr="00D918E3">
              <w:rPr>
                <w:rFonts w:asciiTheme="minorHAnsi" w:hAnsiTheme="minorHAnsi" w:cs="Calibri"/>
                <w:spacing w:val="-3"/>
                <w:sz w:val="18"/>
                <w:szCs w:val="18"/>
                <w:lang w:eastAsia="hr-HR"/>
              </w:rPr>
              <w:t>Investments in shares of foreign legal entities in foreign currency</w:t>
            </w:r>
          </w:p>
        </w:tc>
        <w:tc>
          <w:tcPr>
            <w:tcW w:w="1413" w:type="dxa"/>
            <w:tcBorders>
              <w:top w:val="nil"/>
              <w:left w:val="nil"/>
              <w:bottom w:val="nil"/>
              <w:right w:val="nil"/>
            </w:tcBorders>
            <w:shd w:val="clear" w:color="auto" w:fill="auto"/>
            <w:vAlign w:val="bottom"/>
          </w:tcPr>
          <w:p w14:paraId="12246C80" w14:textId="5C129498" w:rsidR="00EA3C2B" w:rsidRPr="006B318F" w:rsidRDefault="00EA3C2B" w:rsidP="006B318F">
            <w:pPr>
              <w:spacing w:after="0" w:line="220" w:lineRule="exact"/>
              <w:jc w:val="right"/>
              <w:rPr>
                <w:rFonts w:asciiTheme="minorHAnsi" w:hAnsiTheme="minorHAnsi" w:cs="Arial"/>
                <w:color w:val="000000"/>
                <w:sz w:val="18"/>
                <w:szCs w:val="18"/>
                <w:lang w:eastAsia="hr-HR"/>
              </w:rPr>
            </w:pPr>
            <w:r w:rsidRPr="006B318F">
              <w:rPr>
                <w:rFonts w:asciiTheme="minorHAnsi" w:hAnsiTheme="minorHAnsi" w:cs="Arial"/>
                <w:color w:val="000000"/>
                <w:sz w:val="18"/>
                <w:szCs w:val="18"/>
                <w:lang w:eastAsia="hr-HR"/>
              </w:rPr>
              <w:t>35</w:t>
            </w:r>
          </w:p>
        </w:tc>
        <w:tc>
          <w:tcPr>
            <w:tcW w:w="1376" w:type="dxa"/>
            <w:shd w:val="clear" w:color="auto" w:fill="auto"/>
            <w:vAlign w:val="bottom"/>
          </w:tcPr>
          <w:p w14:paraId="1A633428" w14:textId="77777777" w:rsidR="00EA3C2B" w:rsidRPr="00C8749E" w:rsidRDefault="00EA3C2B" w:rsidP="00EA3C2B">
            <w:pPr>
              <w:spacing w:after="0" w:line="220" w:lineRule="exact"/>
              <w:jc w:val="right"/>
              <w:rPr>
                <w:rFonts w:asciiTheme="minorHAnsi" w:hAnsiTheme="minorHAnsi" w:cs="Arial"/>
                <w:color w:val="000000"/>
                <w:sz w:val="18"/>
                <w:szCs w:val="18"/>
                <w:lang w:eastAsia="hr-HR"/>
              </w:rPr>
            </w:pPr>
            <w:r>
              <w:rPr>
                <w:rFonts w:asciiTheme="minorHAnsi" w:hAnsiTheme="minorHAnsi" w:cs="Arial"/>
                <w:color w:val="000000"/>
                <w:sz w:val="18"/>
                <w:szCs w:val="18"/>
                <w:lang w:val="hr-HR"/>
              </w:rPr>
              <w:t>32</w:t>
            </w:r>
          </w:p>
        </w:tc>
        <w:tc>
          <w:tcPr>
            <w:tcW w:w="1378" w:type="dxa"/>
            <w:shd w:val="clear" w:color="auto" w:fill="auto"/>
            <w:vAlign w:val="bottom"/>
          </w:tcPr>
          <w:p w14:paraId="6AD4AB36" w14:textId="4FDB6176" w:rsidR="00EA3C2B" w:rsidRPr="006B318F" w:rsidRDefault="00EA3C2B" w:rsidP="006B318F">
            <w:pPr>
              <w:spacing w:after="0" w:line="220" w:lineRule="exact"/>
              <w:jc w:val="right"/>
              <w:rPr>
                <w:rFonts w:asciiTheme="minorHAnsi" w:hAnsiTheme="minorHAnsi" w:cs="Arial"/>
                <w:color w:val="000000"/>
                <w:sz w:val="18"/>
                <w:szCs w:val="18"/>
                <w:lang w:val="hr-HR"/>
              </w:rPr>
            </w:pPr>
            <w:r w:rsidRPr="006B318F">
              <w:rPr>
                <w:rFonts w:asciiTheme="minorHAnsi" w:hAnsiTheme="minorHAnsi" w:cs="Arial"/>
                <w:color w:val="000000"/>
                <w:sz w:val="18"/>
                <w:szCs w:val="18"/>
                <w:lang w:val="hr-HR"/>
              </w:rPr>
              <w:t>35</w:t>
            </w:r>
          </w:p>
        </w:tc>
        <w:tc>
          <w:tcPr>
            <w:tcW w:w="1376" w:type="dxa"/>
            <w:shd w:val="clear" w:color="auto" w:fill="auto"/>
            <w:vAlign w:val="bottom"/>
          </w:tcPr>
          <w:p w14:paraId="7BB917CC" w14:textId="77777777" w:rsidR="00EA3C2B" w:rsidRPr="00C8749E" w:rsidRDefault="00EA3C2B" w:rsidP="00EA3C2B">
            <w:pPr>
              <w:spacing w:after="0" w:line="220" w:lineRule="exact"/>
              <w:jc w:val="right"/>
              <w:rPr>
                <w:rFonts w:asciiTheme="minorHAnsi" w:hAnsiTheme="minorHAnsi" w:cs="Arial"/>
                <w:color w:val="000000"/>
                <w:sz w:val="18"/>
                <w:szCs w:val="18"/>
                <w:lang w:eastAsia="hr-HR"/>
              </w:rPr>
            </w:pPr>
            <w:r>
              <w:rPr>
                <w:rFonts w:asciiTheme="minorHAnsi" w:hAnsiTheme="minorHAnsi" w:cs="Arial"/>
                <w:color w:val="000000"/>
                <w:sz w:val="18"/>
                <w:szCs w:val="18"/>
                <w:lang w:val="hr-HR"/>
              </w:rPr>
              <w:t>32</w:t>
            </w:r>
          </w:p>
        </w:tc>
      </w:tr>
      <w:tr w:rsidR="00EA3C2B" w:rsidRPr="00D918E3" w14:paraId="132DD79B" w14:textId="77777777" w:rsidTr="006B318F">
        <w:tc>
          <w:tcPr>
            <w:tcW w:w="3816" w:type="dxa"/>
          </w:tcPr>
          <w:p w14:paraId="628B42F7" w14:textId="77777777" w:rsidR="00EA3C2B" w:rsidRPr="00D918E3" w:rsidRDefault="00EA3C2B" w:rsidP="00EA3C2B">
            <w:pPr>
              <w:tabs>
                <w:tab w:val="left" w:pos="-720"/>
              </w:tabs>
              <w:suppressAutoHyphens/>
              <w:spacing w:after="0" w:line="240" w:lineRule="auto"/>
              <w:contextualSpacing/>
              <w:rPr>
                <w:rFonts w:asciiTheme="minorHAnsi" w:hAnsiTheme="minorHAnsi" w:cs="Calibri"/>
                <w:spacing w:val="-3"/>
                <w:sz w:val="18"/>
                <w:szCs w:val="18"/>
                <w:lang w:eastAsia="hr-HR"/>
              </w:rPr>
            </w:pPr>
            <w:r w:rsidRPr="00D918E3">
              <w:rPr>
                <w:rFonts w:asciiTheme="minorHAnsi" w:hAnsiTheme="minorHAnsi" w:cs="Calibri"/>
                <w:spacing w:val="-3"/>
                <w:sz w:val="18"/>
                <w:szCs w:val="18"/>
                <w:lang w:eastAsia="hr-HR"/>
              </w:rPr>
              <w:t>Investments in financial institutions’ shares</w:t>
            </w:r>
          </w:p>
        </w:tc>
        <w:tc>
          <w:tcPr>
            <w:tcW w:w="1413" w:type="dxa"/>
            <w:tcBorders>
              <w:top w:val="nil"/>
              <w:left w:val="nil"/>
              <w:bottom w:val="nil"/>
              <w:right w:val="nil"/>
            </w:tcBorders>
            <w:shd w:val="clear" w:color="auto" w:fill="auto"/>
            <w:vAlign w:val="bottom"/>
          </w:tcPr>
          <w:p w14:paraId="1394F385" w14:textId="2E36C855" w:rsidR="00EA3C2B" w:rsidRPr="006B318F" w:rsidRDefault="00EA3C2B" w:rsidP="006B318F">
            <w:pPr>
              <w:spacing w:after="0" w:line="220" w:lineRule="exact"/>
              <w:jc w:val="right"/>
              <w:rPr>
                <w:rFonts w:asciiTheme="minorHAnsi" w:hAnsiTheme="minorHAnsi" w:cs="Arial"/>
                <w:color w:val="000000"/>
                <w:sz w:val="18"/>
                <w:szCs w:val="18"/>
                <w:lang w:eastAsia="hr-HR"/>
              </w:rPr>
            </w:pPr>
            <w:r w:rsidRPr="006B318F">
              <w:rPr>
                <w:rFonts w:asciiTheme="minorHAnsi" w:hAnsiTheme="minorHAnsi" w:cs="Arial"/>
                <w:color w:val="000000"/>
                <w:sz w:val="18"/>
                <w:szCs w:val="18"/>
                <w:lang w:eastAsia="hr-HR"/>
              </w:rPr>
              <w:t>161</w:t>
            </w:r>
          </w:p>
        </w:tc>
        <w:tc>
          <w:tcPr>
            <w:tcW w:w="1376" w:type="dxa"/>
            <w:shd w:val="clear" w:color="auto" w:fill="auto"/>
            <w:vAlign w:val="bottom"/>
          </w:tcPr>
          <w:p w14:paraId="544EFD79" w14:textId="77777777" w:rsidR="00EA3C2B" w:rsidRPr="00C8749E" w:rsidRDefault="00EA3C2B" w:rsidP="00EA3C2B">
            <w:pPr>
              <w:spacing w:after="0" w:line="220" w:lineRule="exact"/>
              <w:jc w:val="right"/>
              <w:rPr>
                <w:rFonts w:asciiTheme="minorHAnsi" w:hAnsiTheme="minorHAnsi" w:cs="Arial"/>
                <w:color w:val="000000"/>
                <w:sz w:val="18"/>
                <w:szCs w:val="18"/>
                <w:lang w:eastAsia="hr-HR"/>
              </w:rPr>
            </w:pPr>
            <w:r w:rsidRPr="00C8749E">
              <w:rPr>
                <w:rFonts w:asciiTheme="minorHAnsi" w:hAnsiTheme="minorHAnsi" w:cs="Arial"/>
                <w:color w:val="000000"/>
                <w:sz w:val="18"/>
                <w:szCs w:val="18"/>
                <w:lang w:val="hr-HR"/>
              </w:rPr>
              <w:t>161</w:t>
            </w:r>
          </w:p>
        </w:tc>
        <w:tc>
          <w:tcPr>
            <w:tcW w:w="1378" w:type="dxa"/>
            <w:shd w:val="clear" w:color="auto" w:fill="auto"/>
            <w:vAlign w:val="bottom"/>
          </w:tcPr>
          <w:p w14:paraId="755EE1B9" w14:textId="06B01DE7" w:rsidR="00EA3C2B" w:rsidRPr="006B318F" w:rsidRDefault="00EA3C2B" w:rsidP="006B318F">
            <w:pPr>
              <w:spacing w:after="0" w:line="220" w:lineRule="exact"/>
              <w:jc w:val="right"/>
              <w:rPr>
                <w:rFonts w:asciiTheme="minorHAnsi" w:hAnsiTheme="minorHAnsi" w:cs="Arial"/>
                <w:color w:val="000000"/>
                <w:sz w:val="18"/>
                <w:szCs w:val="18"/>
                <w:lang w:val="hr-HR"/>
              </w:rPr>
            </w:pPr>
            <w:r w:rsidRPr="006B318F">
              <w:rPr>
                <w:rFonts w:asciiTheme="minorHAnsi" w:hAnsiTheme="minorHAnsi" w:cs="Arial"/>
                <w:color w:val="000000"/>
                <w:sz w:val="18"/>
                <w:szCs w:val="18"/>
                <w:lang w:val="hr-HR"/>
              </w:rPr>
              <w:t>161</w:t>
            </w:r>
          </w:p>
        </w:tc>
        <w:tc>
          <w:tcPr>
            <w:tcW w:w="1376" w:type="dxa"/>
            <w:shd w:val="clear" w:color="auto" w:fill="auto"/>
            <w:vAlign w:val="bottom"/>
          </w:tcPr>
          <w:p w14:paraId="54065D15" w14:textId="77777777" w:rsidR="00EA3C2B" w:rsidRPr="00C8749E" w:rsidRDefault="00EA3C2B" w:rsidP="00EA3C2B">
            <w:pPr>
              <w:spacing w:after="0" w:line="220" w:lineRule="exact"/>
              <w:jc w:val="right"/>
              <w:rPr>
                <w:rFonts w:asciiTheme="minorHAnsi" w:hAnsiTheme="minorHAnsi" w:cs="Arial"/>
                <w:color w:val="000000"/>
                <w:sz w:val="18"/>
                <w:szCs w:val="18"/>
                <w:lang w:eastAsia="hr-HR"/>
              </w:rPr>
            </w:pPr>
            <w:r w:rsidRPr="00C8749E">
              <w:rPr>
                <w:rFonts w:asciiTheme="minorHAnsi" w:hAnsiTheme="minorHAnsi" w:cs="Arial"/>
                <w:color w:val="000000"/>
                <w:sz w:val="18"/>
                <w:szCs w:val="18"/>
                <w:lang w:val="hr-HR"/>
              </w:rPr>
              <w:t>161</w:t>
            </w:r>
          </w:p>
        </w:tc>
      </w:tr>
      <w:tr w:rsidR="00EA3C2B" w:rsidRPr="00D918E3" w14:paraId="22E79B1D" w14:textId="77777777" w:rsidTr="006B318F">
        <w:tc>
          <w:tcPr>
            <w:tcW w:w="3816" w:type="dxa"/>
          </w:tcPr>
          <w:p w14:paraId="60B51B24" w14:textId="77777777" w:rsidR="00EA3C2B" w:rsidRPr="00D918E3" w:rsidRDefault="00EA3C2B" w:rsidP="00EA3C2B">
            <w:pPr>
              <w:tabs>
                <w:tab w:val="left" w:pos="-720"/>
              </w:tabs>
              <w:suppressAutoHyphens/>
              <w:spacing w:after="0" w:line="240" w:lineRule="auto"/>
              <w:contextualSpacing/>
              <w:rPr>
                <w:rFonts w:asciiTheme="minorHAnsi" w:hAnsiTheme="minorHAnsi" w:cs="Calibri"/>
                <w:spacing w:val="-3"/>
                <w:sz w:val="18"/>
                <w:szCs w:val="18"/>
                <w:lang w:eastAsia="hr-HR"/>
              </w:rPr>
            </w:pPr>
            <w:r w:rsidRPr="00D918E3">
              <w:rPr>
                <w:rFonts w:asciiTheme="minorHAnsi" w:hAnsiTheme="minorHAnsi" w:cs="Calibri"/>
                <w:spacing w:val="-3"/>
                <w:sz w:val="18"/>
                <w:szCs w:val="18"/>
                <w:lang w:eastAsia="hr-HR"/>
              </w:rPr>
              <w:t>Investments in shares of foreign financial institutions in foreign currency - EIF</w:t>
            </w:r>
          </w:p>
        </w:tc>
        <w:tc>
          <w:tcPr>
            <w:tcW w:w="1413" w:type="dxa"/>
            <w:tcBorders>
              <w:top w:val="nil"/>
              <w:left w:val="nil"/>
              <w:bottom w:val="nil"/>
              <w:right w:val="nil"/>
            </w:tcBorders>
            <w:shd w:val="clear" w:color="auto" w:fill="auto"/>
            <w:vAlign w:val="bottom"/>
          </w:tcPr>
          <w:p w14:paraId="1EDF1902" w14:textId="2D77E329" w:rsidR="00EA3C2B" w:rsidRPr="006B318F" w:rsidRDefault="00EA3C2B">
            <w:pPr>
              <w:spacing w:after="0" w:line="220" w:lineRule="exact"/>
              <w:jc w:val="right"/>
              <w:rPr>
                <w:rFonts w:asciiTheme="minorHAnsi" w:hAnsiTheme="minorHAnsi" w:cs="Arial"/>
                <w:color w:val="000000"/>
                <w:sz w:val="18"/>
                <w:szCs w:val="18"/>
                <w:lang w:eastAsia="hr-HR"/>
              </w:rPr>
            </w:pPr>
            <w:r w:rsidRPr="006B318F">
              <w:rPr>
                <w:rFonts w:asciiTheme="minorHAnsi" w:hAnsiTheme="minorHAnsi" w:cs="Arial"/>
                <w:color w:val="000000"/>
                <w:sz w:val="18"/>
                <w:szCs w:val="18"/>
                <w:lang w:eastAsia="hr-HR"/>
              </w:rPr>
              <w:t>25</w:t>
            </w:r>
            <w:r w:rsidR="00612106">
              <w:rPr>
                <w:rFonts w:asciiTheme="minorHAnsi" w:hAnsiTheme="minorHAnsi" w:cs="Arial"/>
                <w:color w:val="000000"/>
                <w:sz w:val="18"/>
                <w:szCs w:val="18"/>
                <w:lang w:eastAsia="hr-HR"/>
              </w:rPr>
              <w:t>,</w:t>
            </w:r>
            <w:r w:rsidRPr="006B318F">
              <w:rPr>
                <w:rFonts w:asciiTheme="minorHAnsi" w:hAnsiTheme="minorHAnsi" w:cs="Arial"/>
                <w:color w:val="000000"/>
                <w:sz w:val="18"/>
                <w:szCs w:val="18"/>
                <w:lang w:eastAsia="hr-HR"/>
              </w:rPr>
              <w:t>371</w:t>
            </w:r>
          </w:p>
        </w:tc>
        <w:tc>
          <w:tcPr>
            <w:tcW w:w="1376" w:type="dxa"/>
            <w:shd w:val="clear" w:color="auto" w:fill="auto"/>
            <w:vAlign w:val="bottom"/>
          </w:tcPr>
          <w:p w14:paraId="6FCF2EE6" w14:textId="77777777" w:rsidR="00EA3C2B" w:rsidRPr="00C8749E" w:rsidRDefault="00EA3C2B" w:rsidP="00EA3C2B">
            <w:pPr>
              <w:spacing w:after="0" w:line="220" w:lineRule="exact"/>
              <w:jc w:val="right"/>
              <w:rPr>
                <w:rFonts w:asciiTheme="minorHAnsi" w:hAnsiTheme="minorHAnsi" w:cs="Arial"/>
                <w:color w:val="000000"/>
                <w:sz w:val="18"/>
                <w:szCs w:val="18"/>
                <w:lang w:eastAsia="hr-HR"/>
              </w:rPr>
            </w:pPr>
            <w:r>
              <w:rPr>
                <w:rFonts w:asciiTheme="minorHAnsi" w:hAnsiTheme="minorHAnsi" w:cs="Arial"/>
                <w:color w:val="000000"/>
                <w:sz w:val="18"/>
                <w:szCs w:val="18"/>
                <w:lang w:val="hr-HR"/>
              </w:rPr>
              <w:t>25,815</w:t>
            </w:r>
          </w:p>
        </w:tc>
        <w:tc>
          <w:tcPr>
            <w:tcW w:w="1378" w:type="dxa"/>
            <w:shd w:val="clear" w:color="auto" w:fill="auto"/>
            <w:vAlign w:val="bottom"/>
          </w:tcPr>
          <w:p w14:paraId="7A473133" w14:textId="6B52773B" w:rsidR="00EA3C2B" w:rsidRPr="005444AA" w:rsidRDefault="00EA3C2B" w:rsidP="006B318F">
            <w:pPr>
              <w:spacing w:after="0" w:line="220" w:lineRule="exact"/>
              <w:jc w:val="right"/>
              <w:rPr>
                <w:rFonts w:asciiTheme="minorHAnsi" w:hAnsiTheme="minorHAnsi" w:cs="Arial"/>
                <w:color w:val="000000"/>
                <w:sz w:val="18"/>
                <w:szCs w:val="18"/>
                <w:lang w:val="hr-HR"/>
              </w:rPr>
            </w:pPr>
            <w:r w:rsidRPr="006B318F">
              <w:rPr>
                <w:rFonts w:asciiTheme="minorHAnsi" w:hAnsiTheme="minorHAnsi" w:cs="Arial"/>
                <w:color w:val="000000"/>
                <w:sz w:val="18"/>
                <w:szCs w:val="18"/>
                <w:lang w:val="hr-HR"/>
              </w:rPr>
              <w:t>25,371</w:t>
            </w:r>
          </w:p>
        </w:tc>
        <w:tc>
          <w:tcPr>
            <w:tcW w:w="1376" w:type="dxa"/>
            <w:shd w:val="clear" w:color="auto" w:fill="auto"/>
            <w:vAlign w:val="bottom"/>
          </w:tcPr>
          <w:p w14:paraId="18377747" w14:textId="77777777" w:rsidR="00EA3C2B" w:rsidRPr="005444AA" w:rsidRDefault="00EA3C2B" w:rsidP="00EA3C2B">
            <w:pPr>
              <w:spacing w:after="0" w:line="220" w:lineRule="exact"/>
              <w:jc w:val="right"/>
              <w:rPr>
                <w:rFonts w:asciiTheme="minorHAnsi" w:hAnsiTheme="minorHAnsi" w:cs="Arial"/>
                <w:color w:val="000000"/>
                <w:sz w:val="18"/>
                <w:szCs w:val="18"/>
                <w:lang w:val="hr-HR"/>
              </w:rPr>
            </w:pPr>
            <w:r>
              <w:rPr>
                <w:rFonts w:asciiTheme="minorHAnsi" w:hAnsiTheme="minorHAnsi" w:cs="Arial"/>
                <w:color w:val="000000"/>
                <w:sz w:val="18"/>
                <w:szCs w:val="18"/>
                <w:lang w:val="hr-HR"/>
              </w:rPr>
              <w:t>25,815</w:t>
            </w:r>
          </w:p>
        </w:tc>
      </w:tr>
      <w:tr w:rsidR="00EA3C2B" w:rsidRPr="00D918E3" w14:paraId="70B1F335" w14:textId="77777777" w:rsidTr="006B318F">
        <w:tc>
          <w:tcPr>
            <w:tcW w:w="3816" w:type="dxa"/>
            <w:tcBorders>
              <w:bottom w:val="single" w:sz="4" w:space="0" w:color="auto"/>
            </w:tcBorders>
          </w:tcPr>
          <w:p w14:paraId="2A36637B" w14:textId="77777777" w:rsidR="00EA3C2B" w:rsidRPr="00D918E3" w:rsidRDefault="00EA3C2B" w:rsidP="00EA3C2B">
            <w:pPr>
              <w:tabs>
                <w:tab w:val="left" w:pos="-720"/>
              </w:tabs>
              <w:suppressAutoHyphens/>
              <w:spacing w:after="0" w:line="240" w:lineRule="auto"/>
              <w:contextualSpacing/>
              <w:rPr>
                <w:rFonts w:asciiTheme="minorHAnsi" w:hAnsiTheme="minorHAnsi" w:cs="Calibri"/>
                <w:spacing w:val="-3"/>
                <w:sz w:val="18"/>
                <w:szCs w:val="18"/>
                <w:lang w:eastAsia="hr-HR"/>
              </w:rPr>
            </w:pPr>
            <w:r w:rsidRPr="00D918E3">
              <w:rPr>
                <w:rFonts w:asciiTheme="minorHAnsi" w:hAnsiTheme="minorHAnsi" w:cs="Calibri"/>
                <w:spacing w:val="-3"/>
                <w:sz w:val="18"/>
                <w:szCs w:val="18"/>
                <w:lang w:eastAsia="hr-HR"/>
              </w:rPr>
              <w:t>Investments in compan</w:t>
            </w:r>
            <w:r>
              <w:rPr>
                <w:rFonts w:asciiTheme="minorHAnsi" w:hAnsiTheme="minorHAnsi" w:cs="Calibri"/>
                <w:spacing w:val="-3"/>
                <w:sz w:val="18"/>
                <w:szCs w:val="18"/>
                <w:lang w:eastAsia="hr-HR"/>
              </w:rPr>
              <w:t>ies’</w:t>
            </w:r>
            <w:r w:rsidRPr="00D918E3">
              <w:rPr>
                <w:rFonts w:asciiTheme="minorHAnsi" w:hAnsiTheme="minorHAnsi" w:cs="Calibri"/>
                <w:spacing w:val="-3"/>
                <w:sz w:val="18"/>
                <w:szCs w:val="18"/>
                <w:lang w:eastAsia="hr-HR"/>
              </w:rPr>
              <w:t xml:space="preserve"> shares</w:t>
            </w:r>
          </w:p>
        </w:tc>
        <w:tc>
          <w:tcPr>
            <w:tcW w:w="1413" w:type="dxa"/>
            <w:tcBorders>
              <w:top w:val="nil"/>
              <w:left w:val="nil"/>
              <w:bottom w:val="nil"/>
              <w:right w:val="nil"/>
            </w:tcBorders>
            <w:shd w:val="clear" w:color="auto" w:fill="auto"/>
            <w:vAlign w:val="bottom"/>
          </w:tcPr>
          <w:p w14:paraId="03932527" w14:textId="55B4FC62" w:rsidR="00EA3C2B" w:rsidRPr="006B318F" w:rsidRDefault="00EA3C2B">
            <w:pPr>
              <w:spacing w:after="0" w:line="220" w:lineRule="exact"/>
              <w:jc w:val="right"/>
              <w:rPr>
                <w:rFonts w:asciiTheme="minorHAnsi" w:hAnsiTheme="minorHAnsi" w:cs="Arial"/>
                <w:color w:val="000000"/>
                <w:sz w:val="18"/>
                <w:szCs w:val="18"/>
                <w:lang w:eastAsia="hr-HR"/>
              </w:rPr>
            </w:pPr>
            <w:r w:rsidRPr="006B318F">
              <w:rPr>
                <w:rFonts w:asciiTheme="minorHAnsi" w:hAnsiTheme="minorHAnsi" w:cs="Arial"/>
                <w:color w:val="000000"/>
                <w:sz w:val="18"/>
                <w:szCs w:val="18"/>
                <w:lang w:eastAsia="hr-HR"/>
              </w:rPr>
              <w:t>16</w:t>
            </w:r>
            <w:r w:rsidR="00612106">
              <w:rPr>
                <w:rFonts w:asciiTheme="minorHAnsi" w:hAnsiTheme="minorHAnsi" w:cs="Arial"/>
                <w:color w:val="000000"/>
                <w:sz w:val="18"/>
                <w:szCs w:val="18"/>
                <w:lang w:eastAsia="hr-HR"/>
              </w:rPr>
              <w:t>,</w:t>
            </w:r>
            <w:r w:rsidRPr="006B318F">
              <w:rPr>
                <w:rFonts w:asciiTheme="minorHAnsi" w:hAnsiTheme="minorHAnsi" w:cs="Arial"/>
                <w:color w:val="000000"/>
                <w:sz w:val="18"/>
                <w:szCs w:val="18"/>
                <w:lang w:eastAsia="hr-HR"/>
              </w:rPr>
              <w:t>725</w:t>
            </w:r>
          </w:p>
        </w:tc>
        <w:tc>
          <w:tcPr>
            <w:tcW w:w="1376" w:type="dxa"/>
            <w:tcBorders>
              <w:bottom w:val="single" w:sz="4" w:space="0" w:color="auto"/>
            </w:tcBorders>
            <w:shd w:val="clear" w:color="auto" w:fill="auto"/>
            <w:vAlign w:val="bottom"/>
          </w:tcPr>
          <w:p w14:paraId="3F04F6E0" w14:textId="77777777" w:rsidR="00EA3C2B" w:rsidRPr="00C8749E" w:rsidRDefault="00EA3C2B" w:rsidP="00EA3C2B">
            <w:pPr>
              <w:spacing w:after="0" w:line="220" w:lineRule="exact"/>
              <w:jc w:val="right"/>
              <w:rPr>
                <w:rFonts w:asciiTheme="minorHAnsi" w:hAnsiTheme="minorHAnsi" w:cs="Arial"/>
                <w:color w:val="000000"/>
                <w:sz w:val="18"/>
                <w:szCs w:val="18"/>
                <w:lang w:eastAsia="hr-HR"/>
              </w:rPr>
            </w:pPr>
            <w:r>
              <w:rPr>
                <w:rFonts w:asciiTheme="minorHAnsi" w:hAnsiTheme="minorHAnsi" w:cs="Arial"/>
                <w:color w:val="000000"/>
                <w:sz w:val="18"/>
                <w:szCs w:val="18"/>
                <w:lang w:val="hr-HR"/>
              </w:rPr>
              <w:t>16,725</w:t>
            </w:r>
          </w:p>
        </w:tc>
        <w:tc>
          <w:tcPr>
            <w:tcW w:w="1378" w:type="dxa"/>
            <w:tcBorders>
              <w:bottom w:val="single" w:sz="4" w:space="0" w:color="auto"/>
            </w:tcBorders>
            <w:shd w:val="clear" w:color="auto" w:fill="auto"/>
            <w:vAlign w:val="bottom"/>
          </w:tcPr>
          <w:p w14:paraId="3C7FC192" w14:textId="1B430F73" w:rsidR="00EA3C2B" w:rsidRPr="006B318F" w:rsidRDefault="00EA3C2B" w:rsidP="00EA3C2B">
            <w:pPr>
              <w:spacing w:after="0" w:line="220" w:lineRule="exact"/>
              <w:jc w:val="right"/>
              <w:rPr>
                <w:rFonts w:asciiTheme="minorHAnsi" w:hAnsiTheme="minorHAnsi" w:cs="Arial"/>
                <w:color w:val="000000"/>
                <w:sz w:val="18"/>
                <w:szCs w:val="18"/>
                <w:lang w:val="hr-HR"/>
              </w:rPr>
            </w:pPr>
            <w:r w:rsidRPr="006B318F">
              <w:rPr>
                <w:rFonts w:asciiTheme="minorHAnsi" w:hAnsiTheme="minorHAnsi" w:cs="Arial"/>
                <w:color w:val="000000"/>
                <w:sz w:val="18"/>
                <w:szCs w:val="18"/>
                <w:lang w:val="hr-HR"/>
              </w:rPr>
              <w:t>16,725</w:t>
            </w:r>
          </w:p>
        </w:tc>
        <w:tc>
          <w:tcPr>
            <w:tcW w:w="1376" w:type="dxa"/>
            <w:tcBorders>
              <w:bottom w:val="single" w:sz="4" w:space="0" w:color="auto"/>
            </w:tcBorders>
            <w:shd w:val="clear" w:color="auto" w:fill="auto"/>
            <w:vAlign w:val="bottom"/>
          </w:tcPr>
          <w:p w14:paraId="0C31E1D9" w14:textId="77777777" w:rsidR="00EA3C2B" w:rsidRPr="00C8749E" w:rsidRDefault="00EA3C2B" w:rsidP="00EA3C2B">
            <w:pPr>
              <w:spacing w:after="0" w:line="220" w:lineRule="exact"/>
              <w:jc w:val="right"/>
              <w:rPr>
                <w:rFonts w:asciiTheme="minorHAnsi" w:hAnsiTheme="minorHAnsi" w:cs="Arial"/>
                <w:color w:val="000000"/>
                <w:sz w:val="18"/>
                <w:szCs w:val="18"/>
                <w:lang w:eastAsia="hr-HR"/>
              </w:rPr>
            </w:pPr>
            <w:r>
              <w:rPr>
                <w:rFonts w:asciiTheme="minorHAnsi" w:hAnsiTheme="minorHAnsi" w:cs="Arial"/>
                <w:color w:val="000000"/>
                <w:sz w:val="18"/>
                <w:szCs w:val="18"/>
                <w:lang w:val="hr-HR"/>
              </w:rPr>
              <w:t>16,725</w:t>
            </w:r>
          </w:p>
        </w:tc>
      </w:tr>
      <w:tr w:rsidR="00AE534B" w:rsidRPr="00D918E3" w14:paraId="44D82794" w14:textId="77777777" w:rsidTr="00AE534B">
        <w:tc>
          <w:tcPr>
            <w:tcW w:w="3816" w:type="dxa"/>
            <w:tcBorders>
              <w:top w:val="single" w:sz="4" w:space="0" w:color="auto"/>
              <w:bottom w:val="single" w:sz="4" w:space="0" w:color="auto"/>
            </w:tcBorders>
          </w:tcPr>
          <w:p w14:paraId="75CC2CFD" w14:textId="77777777" w:rsidR="00AE534B" w:rsidRPr="00D918E3" w:rsidRDefault="00AE534B" w:rsidP="00AE534B">
            <w:pPr>
              <w:tabs>
                <w:tab w:val="left" w:pos="-720"/>
              </w:tabs>
              <w:suppressAutoHyphens/>
              <w:spacing w:after="0" w:line="240" w:lineRule="auto"/>
              <w:contextualSpacing/>
              <w:rPr>
                <w:rFonts w:asciiTheme="minorHAnsi" w:hAnsiTheme="minorHAnsi" w:cs="Calibri"/>
                <w:spacing w:val="-3"/>
                <w:sz w:val="18"/>
                <w:szCs w:val="18"/>
                <w:lang w:eastAsia="hr-HR"/>
              </w:rPr>
            </w:pPr>
            <w:r w:rsidRPr="00D918E3">
              <w:rPr>
                <w:rFonts w:asciiTheme="minorHAnsi" w:hAnsiTheme="minorHAnsi" w:cs="Calibri"/>
                <w:spacing w:val="-3"/>
                <w:sz w:val="18"/>
                <w:szCs w:val="18"/>
                <w:lang w:eastAsia="hr-HR"/>
              </w:rPr>
              <w:t>Provisions for impairment losses</w:t>
            </w:r>
          </w:p>
        </w:tc>
        <w:tc>
          <w:tcPr>
            <w:tcW w:w="1413" w:type="dxa"/>
            <w:tcBorders>
              <w:top w:val="single" w:sz="4" w:space="0" w:color="auto"/>
              <w:bottom w:val="single" w:sz="4" w:space="0" w:color="auto"/>
            </w:tcBorders>
            <w:vAlign w:val="bottom"/>
          </w:tcPr>
          <w:p w14:paraId="34E6E61D" w14:textId="76B46C11" w:rsidR="00AE534B" w:rsidRPr="00D918E3" w:rsidRDefault="00EA3C2B" w:rsidP="00AE534B">
            <w:pPr>
              <w:tabs>
                <w:tab w:val="left" w:pos="-720"/>
              </w:tabs>
              <w:suppressAutoHyphens/>
              <w:spacing w:after="0" w:line="240" w:lineRule="auto"/>
              <w:contextualSpacing/>
              <w:jc w:val="right"/>
              <w:rPr>
                <w:rFonts w:asciiTheme="minorHAnsi" w:hAnsiTheme="minorHAnsi" w:cs="Calibri"/>
                <w:spacing w:val="-3"/>
                <w:sz w:val="18"/>
                <w:szCs w:val="18"/>
                <w:lang w:eastAsia="hr-HR"/>
              </w:rPr>
            </w:pPr>
            <w:r w:rsidRPr="00EA3C2B">
              <w:rPr>
                <w:rFonts w:asciiTheme="minorHAnsi" w:hAnsiTheme="minorHAnsi" w:cs="Calibri"/>
                <w:spacing w:val="-3"/>
                <w:sz w:val="18"/>
                <w:szCs w:val="18"/>
                <w:lang w:eastAsia="hr-HR"/>
              </w:rPr>
              <w:t>(16,725)</w:t>
            </w:r>
            <w:r w:rsidRPr="00EA3C2B" w:rsidDel="00393EE5">
              <w:rPr>
                <w:rFonts w:asciiTheme="minorHAnsi" w:hAnsiTheme="minorHAnsi" w:cs="Calibri"/>
                <w:spacing w:val="-3"/>
                <w:sz w:val="18"/>
                <w:szCs w:val="18"/>
                <w:lang w:eastAsia="hr-HR"/>
              </w:rPr>
              <w:t xml:space="preserve"> </w:t>
            </w:r>
          </w:p>
        </w:tc>
        <w:tc>
          <w:tcPr>
            <w:tcW w:w="1376" w:type="dxa"/>
            <w:tcBorders>
              <w:top w:val="single" w:sz="4" w:space="0" w:color="auto"/>
              <w:bottom w:val="single" w:sz="4" w:space="0" w:color="auto"/>
            </w:tcBorders>
            <w:vAlign w:val="bottom"/>
          </w:tcPr>
          <w:p w14:paraId="1916B849" w14:textId="77777777" w:rsidR="00AE534B" w:rsidRPr="00D918E3" w:rsidRDefault="00AE534B" w:rsidP="00AE534B">
            <w:pPr>
              <w:tabs>
                <w:tab w:val="left" w:pos="-720"/>
              </w:tabs>
              <w:suppressAutoHyphens/>
              <w:spacing w:after="0" w:line="240" w:lineRule="auto"/>
              <w:contextualSpacing/>
              <w:jc w:val="right"/>
              <w:rPr>
                <w:rFonts w:asciiTheme="minorHAnsi" w:hAnsiTheme="minorHAnsi" w:cs="Calibri"/>
                <w:spacing w:val="-3"/>
                <w:sz w:val="18"/>
                <w:szCs w:val="18"/>
                <w:lang w:eastAsia="hr-HR"/>
              </w:rPr>
            </w:pPr>
            <w:r w:rsidRPr="00CC4889">
              <w:rPr>
                <w:rFonts w:asciiTheme="minorHAnsi" w:hAnsiTheme="minorHAnsi" w:cs="Calibri"/>
                <w:spacing w:val="-3"/>
                <w:sz w:val="18"/>
                <w:szCs w:val="18"/>
                <w:lang w:eastAsia="hr-HR"/>
              </w:rPr>
              <w:t>(16,725)</w:t>
            </w:r>
          </w:p>
        </w:tc>
        <w:tc>
          <w:tcPr>
            <w:tcW w:w="1378" w:type="dxa"/>
            <w:tcBorders>
              <w:top w:val="single" w:sz="4" w:space="0" w:color="auto"/>
              <w:bottom w:val="single" w:sz="4" w:space="0" w:color="auto"/>
            </w:tcBorders>
            <w:vAlign w:val="bottom"/>
          </w:tcPr>
          <w:p w14:paraId="17A88284" w14:textId="02A2B859" w:rsidR="00AE534B" w:rsidRPr="00D918E3" w:rsidRDefault="00EA3C2B" w:rsidP="00AE534B">
            <w:pPr>
              <w:tabs>
                <w:tab w:val="left" w:pos="-720"/>
              </w:tabs>
              <w:suppressAutoHyphens/>
              <w:spacing w:after="0" w:line="240" w:lineRule="auto"/>
              <w:contextualSpacing/>
              <w:jc w:val="right"/>
              <w:rPr>
                <w:rFonts w:asciiTheme="minorHAnsi" w:hAnsiTheme="minorHAnsi" w:cs="Calibri"/>
                <w:spacing w:val="-3"/>
                <w:sz w:val="18"/>
                <w:szCs w:val="18"/>
                <w:lang w:eastAsia="hr-HR"/>
              </w:rPr>
            </w:pPr>
            <w:r w:rsidRPr="00EA3C2B">
              <w:rPr>
                <w:rFonts w:asciiTheme="minorHAnsi" w:hAnsiTheme="minorHAnsi" w:cs="Calibri"/>
                <w:spacing w:val="-3"/>
                <w:sz w:val="18"/>
                <w:szCs w:val="18"/>
                <w:lang w:eastAsia="hr-HR"/>
              </w:rPr>
              <w:t>(16,725)</w:t>
            </w:r>
            <w:r w:rsidRPr="00EA3C2B" w:rsidDel="00393EE5">
              <w:rPr>
                <w:rFonts w:asciiTheme="minorHAnsi" w:hAnsiTheme="minorHAnsi" w:cs="Calibri"/>
                <w:spacing w:val="-3"/>
                <w:sz w:val="18"/>
                <w:szCs w:val="18"/>
                <w:lang w:eastAsia="hr-HR"/>
              </w:rPr>
              <w:t xml:space="preserve"> </w:t>
            </w:r>
          </w:p>
        </w:tc>
        <w:tc>
          <w:tcPr>
            <w:tcW w:w="1376" w:type="dxa"/>
            <w:tcBorders>
              <w:top w:val="single" w:sz="4" w:space="0" w:color="auto"/>
              <w:bottom w:val="single" w:sz="4" w:space="0" w:color="auto"/>
            </w:tcBorders>
            <w:vAlign w:val="bottom"/>
          </w:tcPr>
          <w:p w14:paraId="36A3CC0F" w14:textId="77777777" w:rsidR="00AE534B" w:rsidRPr="00D918E3" w:rsidRDefault="00AE534B" w:rsidP="00AE534B">
            <w:pPr>
              <w:tabs>
                <w:tab w:val="left" w:pos="-720"/>
              </w:tabs>
              <w:suppressAutoHyphens/>
              <w:spacing w:after="0" w:line="240" w:lineRule="auto"/>
              <w:contextualSpacing/>
              <w:jc w:val="right"/>
              <w:rPr>
                <w:rFonts w:asciiTheme="minorHAnsi" w:hAnsiTheme="minorHAnsi" w:cs="Calibri"/>
                <w:spacing w:val="-3"/>
                <w:sz w:val="18"/>
                <w:szCs w:val="18"/>
                <w:lang w:eastAsia="hr-HR"/>
              </w:rPr>
            </w:pPr>
            <w:r w:rsidRPr="00CC4889">
              <w:rPr>
                <w:rFonts w:asciiTheme="minorHAnsi" w:hAnsiTheme="minorHAnsi" w:cs="Calibri"/>
                <w:spacing w:val="-3"/>
                <w:sz w:val="18"/>
                <w:szCs w:val="18"/>
                <w:lang w:eastAsia="hr-HR"/>
              </w:rPr>
              <w:t>(16,725)</w:t>
            </w:r>
          </w:p>
        </w:tc>
      </w:tr>
      <w:tr w:rsidR="00AE534B" w:rsidRPr="00D918E3" w14:paraId="3BD90035" w14:textId="77777777" w:rsidTr="00AE534B">
        <w:tc>
          <w:tcPr>
            <w:tcW w:w="3816" w:type="dxa"/>
            <w:tcBorders>
              <w:top w:val="single" w:sz="4" w:space="0" w:color="auto"/>
              <w:bottom w:val="single" w:sz="4" w:space="0" w:color="auto"/>
            </w:tcBorders>
          </w:tcPr>
          <w:p w14:paraId="33732139" w14:textId="77777777" w:rsidR="00AE534B" w:rsidRPr="00D918E3" w:rsidRDefault="00AE534B" w:rsidP="00AE534B">
            <w:pPr>
              <w:tabs>
                <w:tab w:val="left" w:pos="-720"/>
              </w:tabs>
              <w:suppressAutoHyphens/>
              <w:spacing w:after="0" w:line="240" w:lineRule="auto"/>
              <w:contextualSpacing/>
              <w:rPr>
                <w:rFonts w:asciiTheme="minorHAnsi" w:hAnsiTheme="minorHAnsi" w:cs="Calibri"/>
                <w:spacing w:val="-3"/>
                <w:sz w:val="18"/>
                <w:szCs w:val="18"/>
                <w:lang w:eastAsia="hr-HR"/>
              </w:rPr>
            </w:pPr>
          </w:p>
        </w:tc>
        <w:tc>
          <w:tcPr>
            <w:tcW w:w="1413" w:type="dxa"/>
            <w:tcBorders>
              <w:top w:val="single" w:sz="4" w:space="0" w:color="auto"/>
              <w:bottom w:val="single" w:sz="4" w:space="0" w:color="auto"/>
            </w:tcBorders>
            <w:vAlign w:val="bottom"/>
          </w:tcPr>
          <w:p w14:paraId="62CE53FB" w14:textId="3786DEA9" w:rsidR="00AE534B" w:rsidRPr="00D918E3" w:rsidRDefault="00EA3C2B" w:rsidP="00AE534B">
            <w:pPr>
              <w:tabs>
                <w:tab w:val="left" w:pos="-720"/>
              </w:tabs>
              <w:suppressAutoHyphens/>
              <w:spacing w:after="0" w:line="240" w:lineRule="auto"/>
              <w:contextualSpacing/>
              <w:jc w:val="right"/>
              <w:rPr>
                <w:rFonts w:asciiTheme="minorHAnsi" w:hAnsiTheme="minorHAnsi" w:cs="Calibri"/>
                <w:spacing w:val="-3"/>
                <w:sz w:val="18"/>
                <w:szCs w:val="18"/>
                <w:lang w:eastAsia="hr-HR"/>
              </w:rPr>
            </w:pPr>
            <w:r w:rsidRPr="00EA3C2B">
              <w:rPr>
                <w:b/>
                <w:bCs/>
                <w:sz w:val="18"/>
                <w:szCs w:val="18"/>
                <w:lang w:eastAsia="hr-HR"/>
              </w:rPr>
              <w:t>25,567</w:t>
            </w:r>
          </w:p>
        </w:tc>
        <w:tc>
          <w:tcPr>
            <w:tcW w:w="1376" w:type="dxa"/>
            <w:tcBorders>
              <w:top w:val="single" w:sz="4" w:space="0" w:color="auto"/>
              <w:bottom w:val="single" w:sz="4" w:space="0" w:color="auto"/>
            </w:tcBorders>
            <w:shd w:val="clear" w:color="auto" w:fill="auto"/>
            <w:vAlign w:val="bottom"/>
          </w:tcPr>
          <w:p w14:paraId="2078C0F1" w14:textId="77777777" w:rsidR="00AE534B" w:rsidRPr="00C8749E" w:rsidRDefault="00AE534B" w:rsidP="00AE534B">
            <w:pPr>
              <w:spacing w:after="0" w:line="220" w:lineRule="exact"/>
              <w:jc w:val="right"/>
              <w:rPr>
                <w:rFonts w:asciiTheme="minorHAnsi" w:hAnsiTheme="minorHAnsi" w:cs="Arial"/>
                <w:b/>
                <w:color w:val="000000"/>
                <w:sz w:val="18"/>
                <w:szCs w:val="18"/>
                <w:lang w:eastAsia="hr-HR"/>
              </w:rPr>
            </w:pPr>
            <w:r>
              <w:rPr>
                <w:rFonts w:asciiTheme="minorHAnsi" w:hAnsiTheme="minorHAnsi" w:cs="Arial"/>
                <w:b/>
                <w:bCs/>
                <w:color w:val="000000"/>
                <w:sz w:val="18"/>
                <w:szCs w:val="18"/>
                <w:lang w:val="hr-HR"/>
              </w:rPr>
              <w:t>26,008</w:t>
            </w:r>
          </w:p>
        </w:tc>
        <w:tc>
          <w:tcPr>
            <w:tcW w:w="1378" w:type="dxa"/>
            <w:tcBorders>
              <w:top w:val="single" w:sz="4" w:space="0" w:color="auto"/>
              <w:bottom w:val="single" w:sz="4" w:space="0" w:color="auto"/>
            </w:tcBorders>
            <w:vAlign w:val="bottom"/>
          </w:tcPr>
          <w:p w14:paraId="538EA196" w14:textId="4C18D94E" w:rsidR="00AE534B" w:rsidRPr="00D918E3" w:rsidRDefault="00EA3C2B" w:rsidP="00AE534B">
            <w:pPr>
              <w:tabs>
                <w:tab w:val="left" w:pos="-720"/>
              </w:tabs>
              <w:suppressAutoHyphens/>
              <w:spacing w:after="0" w:line="240" w:lineRule="auto"/>
              <w:contextualSpacing/>
              <w:jc w:val="right"/>
              <w:rPr>
                <w:rFonts w:asciiTheme="minorHAnsi" w:hAnsiTheme="minorHAnsi" w:cs="Calibri"/>
                <w:spacing w:val="-3"/>
                <w:sz w:val="18"/>
                <w:szCs w:val="18"/>
                <w:lang w:eastAsia="hr-HR"/>
              </w:rPr>
            </w:pPr>
            <w:r w:rsidRPr="00EA3C2B">
              <w:rPr>
                <w:b/>
                <w:sz w:val="18"/>
                <w:szCs w:val="18"/>
                <w:lang w:eastAsia="hr-HR"/>
              </w:rPr>
              <w:t>25,567</w:t>
            </w:r>
          </w:p>
        </w:tc>
        <w:tc>
          <w:tcPr>
            <w:tcW w:w="1376" w:type="dxa"/>
            <w:tcBorders>
              <w:top w:val="single" w:sz="4" w:space="0" w:color="auto"/>
              <w:bottom w:val="single" w:sz="4" w:space="0" w:color="auto"/>
            </w:tcBorders>
            <w:shd w:val="clear" w:color="auto" w:fill="auto"/>
            <w:vAlign w:val="bottom"/>
          </w:tcPr>
          <w:p w14:paraId="21D9CEA3" w14:textId="77777777" w:rsidR="00AE534B" w:rsidRPr="00C8749E" w:rsidRDefault="00AE534B" w:rsidP="00AE534B">
            <w:pPr>
              <w:spacing w:after="0" w:line="220" w:lineRule="exact"/>
              <w:jc w:val="right"/>
              <w:rPr>
                <w:rFonts w:asciiTheme="minorHAnsi" w:hAnsiTheme="minorHAnsi" w:cs="Arial"/>
                <w:b/>
                <w:color w:val="000000"/>
                <w:sz w:val="18"/>
                <w:szCs w:val="18"/>
                <w:lang w:eastAsia="hr-HR"/>
              </w:rPr>
            </w:pPr>
            <w:r>
              <w:rPr>
                <w:rFonts w:asciiTheme="minorHAnsi" w:hAnsiTheme="minorHAnsi" w:cs="Arial"/>
                <w:b/>
                <w:bCs/>
                <w:color w:val="000000"/>
                <w:sz w:val="18"/>
                <w:szCs w:val="18"/>
                <w:lang w:val="hr-HR"/>
              </w:rPr>
              <w:t>26,008</w:t>
            </w:r>
          </w:p>
        </w:tc>
      </w:tr>
      <w:tr w:rsidR="00AE534B" w:rsidRPr="00D918E3" w14:paraId="11B34326" w14:textId="77777777" w:rsidTr="00AE534B">
        <w:tc>
          <w:tcPr>
            <w:tcW w:w="3816" w:type="dxa"/>
            <w:tcBorders>
              <w:top w:val="single" w:sz="4" w:space="0" w:color="auto"/>
              <w:bottom w:val="single" w:sz="4" w:space="0" w:color="auto"/>
            </w:tcBorders>
          </w:tcPr>
          <w:p w14:paraId="0EE9C58D" w14:textId="77777777" w:rsidR="00AE534B" w:rsidRPr="00CC4889" w:rsidRDefault="00AE534B" w:rsidP="00AE534B">
            <w:pPr>
              <w:tabs>
                <w:tab w:val="left" w:pos="-720"/>
              </w:tabs>
              <w:suppressAutoHyphens/>
              <w:spacing w:after="0" w:line="240" w:lineRule="auto"/>
              <w:contextualSpacing/>
              <w:rPr>
                <w:rFonts w:asciiTheme="minorHAnsi" w:hAnsiTheme="minorHAnsi" w:cs="Calibri"/>
                <w:b/>
                <w:spacing w:val="-3"/>
                <w:sz w:val="18"/>
                <w:szCs w:val="18"/>
                <w:lang w:eastAsia="hr-HR"/>
              </w:rPr>
            </w:pPr>
            <w:r w:rsidRPr="00CC4889">
              <w:rPr>
                <w:rFonts w:asciiTheme="minorHAnsi" w:hAnsiTheme="minorHAnsi" w:cs="Calibri"/>
                <w:b/>
                <w:spacing w:val="-3"/>
                <w:sz w:val="18"/>
                <w:szCs w:val="18"/>
                <w:lang w:eastAsia="hr-HR"/>
              </w:rPr>
              <w:t>Investments in investments funds in the Republic of Croatia</w:t>
            </w:r>
          </w:p>
        </w:tc>
        <w:tc>
          <w:tcPr>
            <w:tcW w:w="1413" w:type="dxa"/>
            <w:tcBorders>
              <w:top w:val="single" w:sz="4" w:space="0" w:color="auto"/>
              <w:bottom w:val="single" w:sz="4" w:space="0" w:color="auto"/>
            </w:tcBorders>
            <w:vAlign w:val="bottom"/>
          </w:tcPr>
          <w:p w14:paraId="394C72F6" w14:textId="705562FE" w:rsidR="00AE534B" w:rsidRPr="00CC4889" w:rsidRDefault="00EA3C2B" w:rsidP="00612106">
            <w:pPr>
              <w:tabs>
                <w:tab w:val="left" w:pos="-720"/>
              </w:tabs>
              <w:suppressAutoHyphens/>
              <w:spacing w:after="0" w:line="240" w:lineRule="auto"/>
              <w:contextualSpacing/>
              <w:jc w:val="right"/>
              <w:rPr>
                <w:rFonts w:asciiTheme="minorHAnsi" w:hAnsiTheme="minorHAnsi" w:cs="Calibri"/>
                <w:b/>
                <w:spacing w:val="-3"/>
                <w:sz w:val="18"/>
                <w:szCs w:val="18"/>
                <w:lang w:eastAsia="hr-HR"/>
              </w:rPr>
            </w:pPr>
            <w:r w:rsidRPr="00EA3C2B">
              <w:rPr>
                <w:b/>
                <w:bCs/>
                <w:sz w:val="18"/>
                <w:szCs w:val="18"/>
                <w:lang w:eastAsia="hr-HR"/>
              </w:rPr>
              <w:t>813</w:t>
            </w:r>
            <w:r>
              <w:rPr>
                <w:b/>
                <w:bCs/>
                <w:sz w:val="18"/>
                <w:szCs w:val="18"/>
                <w:lang w:eastAsia="hr-HR"/>
              </w:rPr>
              <w:t>,</w:t>
            </w:r>
            <w:r w:rsidRPr="00EA3C2B">
              <w:rPr>
                <w:b/>
                <w:bCs/>
                <w:sz w:val="18"/>
                <w:szCs w:val="18"/>
                <w:lang w:eastAsia="hr-HR"/>
              </w:rPr>
              <w:t>982</w:t>
            </w:r>
          </w:p>
        </w:tc>
        <w:tc>
          <w:tcPr>
            <w:tcW w:w="1376" w:type="dxa"/>
            <w:tcBorders>
              <w:top w:val="single" w:sz="4" w:space="0" w:color="auto"/>
              <w:bottom w:val="single" w:sz="4" w:space="0" w:color="auto"/>
            </w:tcBorders>
            <w:shd w:val="clear" w:color="auto" w:fill="auto"/>
            <w:vAlign w:val="bottom"/>
          </w:tcPr>
          <w:p w14:paraId="44E31ECF" w14:textId="77777777" w:rsidR="00AE534B" w:rsidRPr="00C8749E" w:rsidRDefault="00AE534B" w:rsidP="00AE534B">
            <w:pPr>
              <w:spacing w:after="0" w:line="220" w:lineRule="exact"/>
              <w:jc w:val="right"/>
              <w:rPr>
                <w:rFonts w:asciiTheme="minorHAnsi" w:hAnsiTheme="minorHAnsi" w:cs="Arial"/>
                <w:b/>
                <w:color w:val="000000"/>
                <w:sz w:val="18"/>
                <w:szCs w:val="18"/>
                <w:lang w:eastAsia="hr-HR"/>
              </w:rPr>
            </w:pPr>
            <w:r>
              <w:rPr>
                <w:rFonts w:asciiTheme="minorHAnsi" w:hAnsiTheme="minorHAnsi" w:cs="Arial"/>
                <w:b/>
                <w:color w:val="000000"/>
                <w:sz w:val="18"/>
                <w:szCs w:val="18"/>
                <w:lang w:eastAsia="hr-HR"/>
              </w:rPr>
              <w:t>909,614</w:t>
            </w:r>
          </w:p>
        </w:tc>
        <w:tc>
          <w:tcPr>
            <w:tcW w:w="1378" w:type="dxa"/>
            <w:tcBorders>
              <w:top w:val="single" w:sz="4" w:space="0" w:color="auto"/>
              <w:bottom w:val="single" w:sz="4" w:space="0" w:color="auto"/>
            </w:tcBorders>
            <w:vAlign w:val="bottom"/>
          </w:tcPr>
          <w:p w14:paraId="5821C410" w14:textId="16C3AC6D" w:rsidR="00AE534B" w:rsidRPr="00CC4889" w:rsidRDefault="00EA3C2B" w:rsidP="00AE534B">
            <w:pPr>
              <w:tabs>
                <w:tab w:val="left" w:pos="-720"/>
              </w:tabs>
              <w:suppressAutoHyphens/>
              <w:spacing w:after="0" w:line="240" w:lineRule="auto"/>
              <w:contextualSpacing/>
              <w:jc w:val="right"/>
              <w:rPr>
                <w:rFonts w:asciiTheme="minorHAnsi" w:hAnsiTheme="minorHAnsi" w:cs="Calibri"/>
                <w:b/>
                <w:spacing w:val="-3"/>
                <w:sz w:val="18"/>
                <w:szCs w:val="18"/>
                <w:lang w:eastAsia="hr-HR"/>
              </w:rPr>
            </w:pPr>
            <w:r w:rsidRPr="00EA3C2B">
              <w:rPr>
                <w:b/>
                <w:bCs/>
                <w:sz w:val="18"/>
                <w:szCs w:val="18"/>
                <w:lang w:eastAsia="hr-HR"/>
              </w:rPr>
              <w:t>809,258</w:t>
            </w:r>
          </w:p>
        </w:tc>
        <w:tc>
          <w:tcPr>
            <w:tcW w:w="1376" w:type="dxa"/>
            <w:tcBorders>
              <w:top w:val="single" w:sz="4" w:space="0" w:color="auto"/>
              <w:bottom w:val="single" w:sz="4" w:space="0" w:color="auto"/>
            </w:tcBorders>
            <w:shd w:val="clear" w:color="auto" w:fill="auto"/>
            <w:vAlign w:val="bottom"/>
          </w:tcPr>
          <w:p w14:paraId="226B83FD" w14:textId="77777777" w:rsidR="00AE534B" w:rsidRPr="00C8749E" w:rsidRDefault="00AE534B" w:rsidP="00AE534B">
            <w:pPr>
              <w:spacing w:after="0" w:line="220" w:lineRule="exact"/>
              <w:jc w:val="right"/>
              <w:rPr>
                <w:rFonts w:asciiTheme="minorHAnsi" w:hAnsiTheme="minorHAnsi" w:cs="Arial"/>
                <w:b/>
                <w:color w:val="000000"/>
                <w:sz w:val="18"/>
                <w:szCs w:val="18"/>
                <w:lang w:eastAsia="hr-HR"/>
              </w:rPr>
            </w:pPr>
            <w:r>
              <w:rPr>
                <w:rFonts w:asciiTheme="minorHAnsi" w:hAnsiTheme="minorHAnsi" w:cs="Arial"/>
                <w:b/>
                <w:color w:val="000000"/>
                <w:sz w:val="18"/>
                <w:szCs w:val="18"/>
                <w:lang w:eastAsia="hr-HR"/>
              </w:rPr>
              <w:t>906,803</w:t>
            </w:r>
          </w:p>
        </w:tc>
      </w:tr>
      <w:tr w:rsidR="00AE534B" w:rsidRPr="00D918E3" w14:paraId="534A7457" w14:textId="77777777" w:rsidTr="00AE534B">
        <w:tc>
          <w:tcPr>
            <w:tcW w:w="3816" w:type="dxa"/>
            <w:tcBorders>
              <w:top w:val="single" w:sz="4" w:space="0" w:color="auto"/>
              <w:bottom w:val="single" w:sz="12" w:space="0" w:color="auto"/>
            </w:tcBorders>
          </w:tcPr>
          <w:p w14:paraId="2523D229" w14:textId="77777777" w:rsidR="00AE534B" w:rsidRPr="00CC4889" w:rsidRDefault="00AE534B" w:rsidP="00AE534B">
            <w:pPr>
              <w:tabs>
                <w:tab w:val="left" w:pos="-720"/>
              </w:tabs>
              <w:suppressAutoHyphens/>
              <w:spacing w:after="0" w:line="240" w:lineRule="auto"/>
              <w:contextualSpacing/>
              <w:rPr>
                <w:rFonts w:asciiTheme="minorHAnsi" w:hAnsiTheme="minorHAnsi" w:cs="Calibri"/>
                <w:b/>
                <w:spacing w:val="-3"/>
                <w:sz w:val="18"/>
                <w:szCs w:val="18"/>
                <w:lang w:eastAsia="hr-HR"/>
              </w:rPr>
            </w:pPr>
            <w:r w:rsidRPr="00CC4889">
              <w:rPr>
                <w:rFonts w:asciiTheme="minorHAnsi" w:hAnsiTheme="minorHAnsi" w:cs="Calibri"/>
                <w:b/>
                <w:spacing w:val="-3"/>
                <w:sz w:val="18"/>
                <w:szCs w:val="18"/>
                <w:lang w:eastAsia="hr-HR"/>
              </w:rPr>
              <w:t>Total</w:t>
            </w:r>
          </w:p>
        </w:tc>
        <w:tc>
          <w:tcPr>
            <w:tcW w:w="1413" w:type="dxa"/>
            <w:tcBorders>
              <w:top w:val="single" w:sz="4" w:space="0" w:color="auto"/>
              <w:bottom w:val="single" w:sz="12" w:space="0" w:color="auto"/>
            </w:tcBorders>
            <w:vAlign w:val="bottom"/>
          </w:tcPr>
          <w:p w14:paraId="6A424210" w14:textId="6BBA98B4" w:rsidR="00AE534B" w:rsidRPr="00CC4889" w:rsidRDefault="00EA3C2B" w:rsidP="00AE534B">
            <w:pPr>
              <w:tabs>
                <w:tab w:val="left" w:pos="-720"/>
              </w:tabs>
              <w:suppressAutoHyphens/>
              <w:spacing w:after="0" w:line="240" w:lineRule="auto"/>
              <w:contextualSpacing/>
              <w:jc w:val="right"/>
              <w:rPr>
                <w:rFonts w:asciiTheme="minorHAnsi" w:hAnsiTheme="minorHAnsi" w:cs="Calibri"/>
                <w:b/>
                <w:spacing w:val="-3"/>
                <w:sz w:val="18"/>
                <w:szCs w:val="18"/>
                <w:lang w:eastAsia="hr-HR"/>
              </w:rPr>
            </w:pPr>
            <w:r w:rsidRPr="00EA3C2B">
              <w:rPr>
                <w:b/>
                <w:bCs/>
                <w:sz w:val="18"/>
                <w:szCs w:val="18"/>
                <w:lang w:eastAsia="hr-HR"/>
              </w:rPr>
              <w:t>3,314,045</w:t>
            </w:r>
          </w:p>
        </w:tc>
        <w:tc>
          <w:tcPr>
            <w:tcW w:w="1376" w:type="dxa"/>
            <w:tcBorders>
              <w:top w:val="single" w:sz="4" w:space="0" w:color="auto"/>
              <w:bottom w:val="single" w:sz="12" w:space="0" w:color="auto"/>
            </w:tcBorders>
            <w:shd w:val="clear" w:color="auto" w:fill="auto"/>
            <w:vAlign w:val="bottom"/>
          </w:tcPr>
          <w:p w14:paraId="0AED517B" w14:textId="77777777" w:rsidR="00AE534B" w:rsidRPr="00C8749E" w:rsidRDefault="00AE534B" w:rsidP="00AE534B">
            <w:pPr>
              <w:spacing w:after="0" w:line="220" w:lineRule="exact"/>
              <w:jc w:val="right"/>
              <w:rPr>
                <w:rFonts w:asciiTheme="minorHAnsi" w:hAnsiTheme="minorHAnsi" w:cs="Arial"/>
                <w:b/>
                <w:color w:val="000000"/>
                <w:sz w:val="18"/>
                <w:szCs w:val="18"/>
                <w:lang w:eastAsia="hr-HR"/>
              </w:rPr>
            </w:pPr>
            <w:r>
              <w:rPr>
                <w:rFonts w:asciiTheme="minorHAnsi" w:hAnsiTheme="minorHAnsi" w:cs="Arial"/>
                <w:b/>
                <w:bCs/>
                <w:color w:val="000000"/>
                <w:sz w:val="18"/>
                <w:szCs w:val="18"/>
                <w:lang w:val="hr-HR"/>
              </w:rPr>
              <w:t>3,390,034</w:t>
            </w:r>
          </w:p>
        </w:tc>
        <w:tc>
          <w:tcPr>
            <w:tcW w:w="1378" w:type="dxa"/>
            <w:tcBorders>
              <w:top w:val="single" w:sz="4" w:space="0" w:color="auto"/>
              <w:bottom w:val="single" w:sz="12" w:space="0" w:color="auto"/>
            </w:tcBorders>
            <w:vAlign w:val="bottom"/>
          </w:tcPr>
          <w:p w14:paraId="4D5BA437" w14:textId="708119B0" w:rsidR="00AE534B" w:rsidRPr="00CC4889" w:rsidRDefault="00EA3C2B" w:rsidP="00AE534B">
            <w:pPr>
              <w:tabs>
                <w:tab w:val="left" w:pos="-720"/>
              </w:tabs>
              <w:suppressAutoHyphens/>
              <w:spacing w:after="0" w:line="240" w:lineRule="auto"/>
              <w:contextualSpacing/>
              <w:jc w:val="right"/>
              <w:rPr>
                <w:rFonts w:asciiTheme="minorHAnsi" w:hAnsiTheme="minorHAnsi" w:cs="Calibri"/>
                <w:b/>
                <w:spacing w:val="-3"/>
                <w:sz w:val="18"/>
                <w:szCs w:val="18"/>
                <w:lang w:eastAsia="hr-HR"/>
              </w:rPr>
            </w:pPr>
            <w:r w:rsidRPr="00EA3C2B">
              <w:rPr>
                <w:b/>
                <w:bCs/>
                <w:sz w:val="18"/>
                <w:szCs w:val="18"/>
                <w:lang w:eastAsia="hr-HR"/>
              </w:rPr>
              <w:t>3,264,520</w:t>
            </w:r>
          </w:p>
        </w:tc>
        <w:tc>
          <w:tcPr>
            <w:tcW w:w="1376" w:type="dxa"/>
            <w:tcBorders>
              <w:top w:val="single" w:sz="4" w:space="0" w:color="auto"/>
              <w:bottom w:val="single" w:sz="12" w:space="0" w:color="auto"/>
            </w:tcBorders>
            <w:shd w:val="clear" w:color="auto" w:fill="auto"/>
            <w:vAlign w:val="bottom"/>
          </w:tcPr>
          <w:p w14:paraId="4FB7A53A" w14:textId="7E9F8434" w:rsidR="00AE534B" w:rsidRPr="00C8749E" w:rsidRDefault="00AE534B" w:rsidP="001D3A7F">
            <w:pPr>
              <w:spacing w:after="0" w:line="220" w:lineRule="exact"/>
              <w:jc w:val="right"/>
              <w:rPr>
                <w:rFonts w:asciiTheme="minorHAnsi" w:hAnsiTheme="minorHAnsi" w:cs="Arial"/>
                <w:b/>
                <w:color w:val="000000"/>
                <w:sz w:val="18"/>
                <w:szCs w:val="18"/>
                <w:lang w:eastAsia="hr-HR"/>
              </w:rPr>
            </w:pPr>
            <w:r>
              <w:rPr>
                <w:rFonts w:asciiTheme="minorHAnsi" w:hAnsiTheme="minorHAnsi" w:cs="Arial"/>
                <w:b/>
                <w:bCs/>
                <w:color w:val="000000"/>
                <w:sz w:val="18"/>
                <w:szCs w:val="18"/>
                <w:lang w:val="hr-HR"/>
              </w:rPr>
              <w:t>3,34</w:t>
            </w:r>
            <w:r w:rsidR="001D3A7F">
              <w:rPr>
                <w:rFonts w:asciiTheme="minorHAnsi" w:hAnsiTheme="minorHAnsi" w:cs="Arial"/>
                <w:b/>
                <w:bCs/>
                <w:color w:val="000000"/>
                <w:sz w:val="18"/>
                <w:szCs w:val="18"/>
                <w:lang w:val="hr-HR"/>
              </w:rPr>
              <w:t>3</w:t>
            </w:r>
            <w:r>
              <w:rPr>
                <w:rFonts w:asciiTheme="minorHAnsi" w:hAnsiTheme="minorHAnsi" w:cs="Arial"/>
                <w:b/>
                <w:bCs/>
                <w:color w:val="000000"/>
                <w:sz w:val="18"/>
                <w:szCs w:val="18"/>
                <w:lang w:val="hr-HR"/>
              </w:rPr>
              <w:t>,574</w:t>
            </w:r>
          </w:p>
        </w:tc>
      </w:tr>
    </w:tbl>
    <w:p w14:paraId="6A5E1860" w14:textId="77777777" w:rsidR="009702B0" w:rsidRDefault="009702B0" w:rsidP="009702B0">
      <w:pPr>
        <w:tabs>
          <w:tab w:val="left" w:pos="-720"/>
        </w:tabs>
        <w:suppressAutoHyphens/>
        <w:spacing w:after="0" w:line="240" w:lineRule="auto"/>
        <w:ind w:left="851"/>
        <w:contextualSpacing/>
        <w:rPr>
          <w:rFonts w:eastAsia="Times New Roman" w:cs="Calibri"/>
          <w:b/>
          <w:spacing w:val="-3"/>
          <w:lang w:eastAsia="hr-HR"/>
        </w:rPr>
      </w:pPr>
    </w:p>
    <w:p w14:paraId="36DA14DC" w14:textId="77777777" w:rsidR="00F639EA" w:rsidRPr="009702B0" w:rsidRDefault="00F639EA" w:rsidP="00F639EA">
      <w:pPr>
        <w:tabs>
          <w:tab w:val="left" w:pos="-720"/>
        </w:tabs>
        <w:suppressAutoHyphens/>
        <w:spacing w:after="0" w:line="240" w:lineRule="auto"/>
        <w:ind w:left="851" w:hanging="851"/>
        <w:contextualSpacing/>
        <w:rPr>
          <w:rFonts w:eastAsia="Times New Roman" w:cs="Calibri"/>
          <w:b/>
          <w:spacing w:val="-3"/>
          <w:lang w:eastAsia="hr-HR"/>
        </w:rPr>
      </w:pPr>
    </w:p>
    <w:p w14:paraId="675F0AAB" w14:textId="77777777" w:rsidR="009702B0" w:rsidRPr="009702B0" w:rsidRDefault="009702B0" w:rsidP="009702B0">
      <w:pPr>
        <w:tabs>
          <w:tab w:val="left" w:pos="-720"/>
        </w:tabs>
        <w:spacing w:after="0" w:line="240" w:lineRule="auto"/>
        <w:jc w:val="both"/>
        <w:rPr>
          <w:rFonts w:eastAsia="Times New Roman" w:cs="Calibri"/>
          <w:sz w:val="24"/>
          <w:szCs w:val="24"/>
          <w:lang w:eastAsia="hr-HR"/>
        </w:rPr>
      </w:pPr>
    </w:p>
    <w:p w14:paraId="44293EA7" w14:textId="77777777" w:rsidR="009702B0" w:rsidRPr="009702B0" w:rsidRDefault="009702B0" w:rsidP="009702B0">
      <w:pPr>
        <w:tabs>
          <w:tab w:val="left" w:pos="-720"/>
        </w:tabs>
        <w:spacing w:after="0" w:line="240" w:lineRule="auto"/>
        <w:jc w:val="both"/>
        <w:rPr>
          <w:rFonts w:eastAsia="Times New Roman" w:cs="Calibri"/>
          <w:sz w:val="24"/>
          <w:szCs w:val="24"/>
          <w:lang w:eastAsia="hr-HR"/>
        </w:rPr>
        <w:sectPr w:rsidR="009702B0" w:rsidRPr="009702B0" w:rsidSect="00947CB7">
          <w:footerReference w:type="first" r:id="rId68"/>
          <w:pgSz w:w="11906" w:h="16838" w:code="9"/>
          <w:pgMar w:top="1418" w:right="1418" w:bottom="595" w:left="1134" w:header="709" w:footer="709" w:gutter="0"/>
          <w:cols w:space="708"/>
          <w:titlePg/>
          <w:docGrid w:linePitch="360"/>
        </w:sectPr>
      </w:pPr>
    </w:p>
    <w:p w14:paraId="7D556228" w14:textId="77777777" w:rsidR="009702B0" w:rsidRPr="009702B0" w:rsidRDefault="009702B0" w:rsidP="009702B0">
      <w:pPr>
        <w:tabs>
          <w:tab w:val="left" w:pos="-720"/>
        </w:tabs>
        <w:spacing w:after="0" w:line="240" w:lineRule="auto"/>
        <w:jc w:val="both"/>
        <w:rPr>
          <w:rFonts w:eastAsia="Times New Roman" w:cs="Calibri"/>
          <w:b/>
          <w:lang w:eastAsia="hr-HR"/>
        </w:rPr>
      </w:pPr>
    </w:p>
    <w:p w14:paraId="4FA3A266" w14:textId="77777777" w:rsidR="009702B0" w:rsidRPr="009702B0" w:rsidRDefault="009702B0" w:rsidP="009702B0">
      <w:pPr>
        <w:tabs>
          <w:tab w:val="left" w:pos="-720"/>
        </w:tabs>
        <w:spacing w:after="0" w:line="240" w:lineRule="auto"/>
        <w:jc w:val="both"/>
        <w:rPr>
          <w:rFonts w:eastAsia="Times New Roman" w:cs="Calibri"/>
          <w:b/>
          <w:lang w:eastAsia="hr-HR"/>
        </w:rPr>
      </w:pPr>
      <w:r w:rsidRPr="009702B0">
        <w:rPr>
          <w:rFonts w:eastAsia="Times New Roman" w:cs="Calibri"/>
          <w:b/>
          <w:lang w:eastAsia="hr-HR"/>
        </w:rPr>
        <w:t xml:space="preserve">12. </w:t>
      </w:r>
      <w:r w:rsidRPr="009702B0">
        <w:rPr>
          <w:rFonts w:eastAsia="Times New Roman" w:cs="Calibri"/>
          <w:b/>
          <w:lang w:eastAsia="hr-HR"/>
        </w:rPr>
        <w:tab/>
        <w:t>Borrowings</w:t>
      </w:r>
    </w:p>
    <w:p w14:paraId="539A0549" w14:textId="77777777" w:rsidR="009702B0" w:rsidRPr="006B318F" w:rsidRDefault="009702B0" w:rsidP="009702B0">
      <w:pPr>
        <w:tabs>
          <w:tab w:val="left" w:pos="-720"/>
        </w:tabs>
        <w:spacing w:after="0" w:line="240" w:lineRule="auto"/>
        <w:jc w:val="both"/>
        <w:rPr>
          <w:rFonts w:eastAsia="Times New Roman" w:cs="Calibri"/>
          <w:b/>
          <w:sz w:val="16"/>
          <w:szCs w:val="16"/>
          <w:lang w:eastAsia="hr-HR"/>
        </w:rPr>
      </w:pPr>
    </w:p>
    <w:tbl>
      <w:tblPr>
        <w:tblW w:w="5045" w:type="pct"/>
        <w:tblLayout w:type="fixed"/>
        <w:tblCellMar>
          <w:left w:w="119" w:type="dxa"/>
          <w:right w:w="119" w:type="dxa"/>
        </w:tblCellMar>
        <w:tblLook w:val="0000" w:firstRow="0" w:lastRow="0" w:firstColumn="0" w:lastColumn="0" w:noHBand="0" w:noVBand="0"/>
      </w:tblPr>
      <w:tblGrid>
        <w:gridCol w:w="3938"/>
        <w:gridCol w:w="1452"/>
        <w:gridCol w:w="1299"/>
        <w:gridCol w:w="1450"/>
        <w:gridCol w:w="1299"/>
      </w:tblGrid>
      <w:tr w:rsidR="009702B0" w:rsidRPr="009702B0" w14:paraId="434A21FC" w14:textId="77777777" w:rsidTr="006B318F">
        <w:trPr>
          <w:trHeight w:hRule="exact" w:val="208"/>
        </w:trPr>
        <w:tc>
          <w:tcPr>
            <w:tcW w:w="2086" w:type="pct"/>
            <w:vAlign w:val="center"/>
          </w:tcPr>
          <w:p w14:paraId="56C9A061" w14:textId="77777777" w:rsidR="009702B0" w:rsidRPr="009702B0" w:rsidRDefault="009702B0" w:rsidP="009702B0">
            <w:pPr>
              <w:tabs>
                <w:tab w:val="left" w:pos="-1963"/>
              </w:tabs>
              <w:suppressAutoHyphens/>
              <w:spacing w:after="0" w:line="240" w:lineRule="auto"/>
              <w:jc w:val="center"/>
              <w:rPr>
                <w:rFonts w:eastAsia="Times New Roman" w:cs="Arial"/>
                <w:spacing w:val="-3"/>
                <w:sz w:val="20"/>
                <w:szCs w:val="20"/>
              </w:rPr>
            </w:pPr>
          </w:p>
        </w:tc>
        <w:tc>
          <w:tcPr>
            <w:tcW w:w="1457" w:type="pct"/>
            <w:gridSpan w:val="2"/>
            <w:vAlign w:val="center"/>
          </w:tcPr>
          <w:p w14:paraId="101A816F" w14:textId="77777777" w:rsidR="009702B0" w:rsidRPr="009702B0" w:rsidRDefault="009702B0" w:rsidP="009702B0">
            <w:pPr>
              <w:tabs>
                <w:tab w:val="right" w:pos="1202"/>
              </w:tabs>
              <w:spacing w:after="0" w:line="220" w:lineRule="exact"/>
              <w:jc w:val="right"/>
              <w:outlineLvl w:val="0"/>
              <w:rPr>
                <w:rFonts w:eastAsia="Times New Roman" w:cs="Arial"/>
                <w:b/>
                <w:sz w:val="20"/>
                <w:szCs w:val="20"/>
              </w:rPr>
            </w:pPr>
            <w:r w:rsidRPr="009702B0">
              <w:rPr>
                <w:rFonts w:eastAsia="Times New Roman" w:cs="Arial"/>
                <w:b/>
                <w:sz w:val="20"/>
                <w:szCs w:val="20"/>
              </w:rPr>
              <w:t>Group</w:t>
            </w:r>
          </w:p>
        </w:tc>
        <w:tc>
          <w:tcPr>
            <w:tcW w:w="1456" w:type="pct"/>
            <w:gridSpan w:val="2"/>
            <w:vAlign w:val="center"/>
          </w:tcPr>
          <w:p w14:paraId="63E42AC8" w14:textId="77777777" w:rsidR="009702B0" w:rsidRPr="009702B0" w:rsidRDefault="009702B0" w:rsidP="009702B0">
            <w:pPr>
              <w:tabs>
                <w:tab w:val="right" w:pos="1202"/>
              </w:tabs>
              <w:spacing w:after="0" w:line="220" w:lineRule="exact"/>
              <w:jc w:val="right"/>
              <w:outlineLvl w:val="0"/>
              <w:rPr>
                <w:rFonts w:eastAsia="Times New Roman" w:cs="Arial"/>
                <w:b/>
                <w:sz w:val="20"/>
                <w:szCs w:val="20"/>
              </w:rPr>
            </w:pPr>
            <w:r w:rsidRPr="009702B0">
              <w:rPr>
                <w:rFonts w:eastAsia="Times New Roman" w:cs="Arial"/>
                <w:b/>
                <w:sz w:val="20"/>
                <w:szCs w:val="20"/>
              </w:rPr>
              <w:t>Bank</w:t>
            </w:r>
          </w:p>
        </w:tc>
      </w:tr>
      <w:tr w:rsidR="009702B0" w:rsidRPr="009702B0" w14:paraId="53485473" w14:textId="77777777" w:rsidTr="006B318F">
        <w:trPr>
          <w:trHeight w:hRule="exact" w:val="248"/>
        </w:trPr>
        <w:tc>
          <w:tcPr>
            <w:tcW w:w="2086" w:type="pct"/>
            <w:vAlign w:val="center"/>
          </w:tcPr>
          <w:p w14:paraId="0E068689" w14:textId="77777777" w:rsidR="009702B0" w:rsidRPr="009702B0" w:rsidRDefault="009702B0" w:rsidP="009702B0">
            <w:pPr>
              <w:tabs>
                <w:tab w:val="left" w:pos="-1963"/>
              </w:tabs>
              <w:suppressAutoHyphens/>
              <w:spacing w:after="0" w:line="240" w:lineRule="auto"/>
              <w:jc w:val="center"/>
              <w:rPr>
                <w:rFonts w:eastAsia="Times New Roman" w:cs="Arial"/>
                <w:spacing w:val="-3"/>
                <w:sz w:val="20"/>
                <w:szCs w:val="20"/>
              </w:rPr>
            </w:pPr>
          </w:p>
        </w:tc>
        <w:tc>
          <w:tcPr>
            <w:tcW w:w="769" w:type="pct"/>
            <w:vAlign w:val="center"/>
          </w:tcPr>
          <w:p w14:paraId="2B63DBE9" w14:textId="23C36F26" w:rsidR="009702B0" w:rsidRPr="009702B0" w:rsidRDefault="00393EE5" w:rsidP="009702B0">
            <w:pPr>
              <w:spacing w:after="0" w:line="280" w:lineRule="exact"/>
              <w:jc w:val="right"/>
              <w:outlineLvl w:val="0"/>
              <w:rPr>
                <w:rFonts w:eastAsia="Times New Roman" w:cs="Arial"/>
                <w:b/>
                <w:bCs/>
                <w:sz w:val="20"/>
                <w:szCs w:val="20"/>
              </w:rPr>
            </w:pPr>
            <w:r>
              <w:rPr>
                <w:rFonts w:eastAsia="Times New Roman" w:cs="Arial"/>
                <w:b/>
                <w:sz w:val="20"/>
                <w:szCs w:val="20"/>
              </w:rPr>
              <w:t>Sep</w:t>
            </w:r>
            <w:r w:rsidRPr="00AA45A6">
              <w:rPr>
                <w:rFonts w:eastAsia="Times New Roman" w:cs="Arial"/>
                <w:b/>
                <w:sz w:val="20"/>
                <w:szCs w:val="20"/>
              </w:rPr>
              <w:t xml:space="preserve"> </w:t>
            </w:r>
            <w:r w:rsidR="00AA45A6" w:rsidRPr="00AA45A6">
              <w:rPr>
                <w:rFonts w:eastAsia="Times New Roman" w:cs="Arial"/>
                <w:b/>
                <w:sz w:val="20"/>
                <w:szCs w:val="20"/>
              </w:rPr>
              <w:t>30</w:t>
            </w:r>
            <w:r w:rsidR="009702B0" w:rsidRPr="009702B0">
              <w:rPr>
                <w:rFonts w:eastAsia="Times New Roman" w:cs="Arial"/>
                <w:b/>
                <w:sz w:val="20"/>
                <w:szCs w:val="20"/>
              </w:rPr>
              <w:t>, 201</w:t>
            </w:r>
            <w:r w:rsidR="00394384">
              <w:rPr>
                <w:rFonts w:eastAsia="Times New Roman" w:cs="Arial"/>
                <w:b/>
                <w:sz w:val="20"/>
                <w:szCs w:val="20"/>
              </w:rPr>
              <w:t>7</w:t>
            </w:r>
          </w:p>
        </w:tc>
        <w:tc>
          <w:tcPr>
            <w:tcW w:w="688" w:type="pct"/>
            <w:vAlign w:val="center"/>
          </w:tcPr>
          <w:p w14:paraId="30F83E94" w14:textId="77777777" w:rsidR="009702B0" w:rsidRPr="009702B0" w:rsidRDefault="009702B0" w:rsidP="009702B0">
            <w:pPr>
              <w:spacing w:after="0" w:line="280" w:lineRule="exact"/>
              <w:jc w:val="right"/>
              <w:outlineLvl w:val="0"/>
              <w:rPr>
                <w:rFonts w:eastAsia="Times New Roman" w:cs="Arial"/>
                <w:b/>
                <w:bCs/>
                <w:sz w:val="20"/>
                <w:szCs w:val="20"/>
              </w:rPr>
            </w:pPr>
            <w:r w:rsidRPr="009702B0">
              <w:rPr>
                <w:rFonts w:eastAsia="Times New Roman" w:cs="Arial"/>
                <w:b/>
                <w:bCs/>
                <w:sz w:val="20"/>
                <w:szCs w:val="20"/>
              </w:rPr>
              <w:t>Dec 31, 201</w:t>
            </w:r>
            <w:r w:rsidR="00394384">
              <w:rPr>
                <w:rFonts w:eastAsia="Times New Roman" w:cs="Arial"/>
                <w:b/>
                <w:bCs/>
                <w:sz w:val="20"/>
                <w:szCs w:val="20"/>
              </w:rPr>
              <w:t>6</w:t>
            </w:r>
          </w:p>
        </w:tc>
        <w:tc>
          <w:tcPr>
            <w:tcW w:w="768" w:type="pct"/>
            <w:vAlign w:val="center"/>
          </w:tcPr>
          <w:p w14:paraId="3E8591CD" w14:textId="1B8BC22C" w:rsidR="009702B0" w:rsidRPr="009702B0" w:rsidRDefault="00393EE5" w:rsidP="009702B0">
            <w:pPr>
              <w:spacing w:after="0" w:line="280" w:lineRule="exact"/>
              <w:jc w:val="right"/>
              <w:outlineLvl w:val="0"/>
              <w:rPr>
                <w:rFonts w:eastAsia="Times New Roman" w:cs="Arial"/>
                <w:b/>
                <w:bCs/>
                <w:sz w:val="20"/>
                <w:szCs w:val="20"/>
              </w:rPr>
            </w:pPr>
            <w:r>
              <w:rPr>
                <w:rFonts w:eastAsia="Times New Roman" w:cs="Arial"/>
                <w:b/>
                <w:sz w:val="20"/>
                <w:szCs w:val="20"/>
              </w:rPr>
              <w:t>Sep</w:t>
            </w:r>
            <w:r w:rsidRPr="00AA45A6">
              <w:rPr>
                <w:rFonts w:eastAsia="Times New Roman" w:cs="Arial"/>
                <w:b/>
                <w:sz w:val="20"/>
                <w:szCs w:val="20"/>
              </w:rPr>
              <w:t xml:space="preserve"> </w:t>
            </w:r>
            <w:r w:rsidR="00AA45A6" w:rsidRPr="00AA45A6">
              <w:rPr>
                <w:rFonts w:eastAsia="Times New Roman" w:cs="Arial"/>
                <w:b/>
                <w:sz w:val="20"/>
                <w:szCs w:val="20"/>
              </w:rPr>
              <w:t>30</w:t>
            </w:r>
            <w:r w:rsidR="009702B0" w:rsidRPr="009702B0">
              <w:rPr>
                <w:rFonts w:eastAsia="Times New Roman" w:cs="Arial"/>
                <w:b/>
                <w:sz w:val="20"/>
                <w:szCs w:val="20"/>
              </w:rPr>
              <w:t>, 201</w:t>
            </w:r>
            <w:r w:rsidR="00394384">
              <w:rPr>
                <w:rFonts w:eastAsia="Times New Roman" w:cs="Arial"/>
                <w:b/>
                <w:sz w:val="20"/>
                <w:szCs w:val="20"/>
              </w:rPr>
              <w:t>7</w:t>
            </w:r>
          </w:p>
        </w:tc>
        <w:tc>
          <w:tcPr>
            <w:tcW w:w="688" w:type="pct"/>
            <w:vAlign w:val="center"/>
          </w:tcPr>
          <w:p w14:paraId="25373DBD" w14:textId="77777777" w:rsidR="009702B0" w:rsidRPr="009702B0" w:rsidRDefault="009702B0" w:rsidP="009702B0">
            <w:pPr>
              <w:spacing w:after="0" w:line="280" w:lineRule="exact"/>
              <w:jc w:val="right"/>
              <w:outlineLvl w:val="0"/>
              <w:rPr>
                <w:rFonts w:eastAsia="Times New Roman" w:cs="Arial"/>
                <w:b/>
                <w:bCs/>
                <w:sz w:val="20"/>
                <w:szCs w:val="20"/>
              </w:rPr>
            </w:pPr>
            <w:r w:rsidRPr="009702B0">
              <w:rPr>
                <w:rFonts w:eastAsia="Times New Roman" w:cs="Arial"/>
                <w:b/>
                <w:bCs/>
                <w:sz w:val="20"/>
                <w:szCs w:val="20"/>
              </w:rPr>
              <w:t>Dec 31, 201</w:t>
            </w:r>
            <w:r w:rsidR="00394384">
              <w:rPr>
                <w:rFonts w:eastAsia="Times New Roman" w:cs="Arial"/>
                <w:b/>
                <w:bCs/>
                <w:sz w:val="20"/>
                <w:szCs w:val="20"/>
              </w:rPr>
              <w:t>6</w:t>
            </w:r>
          </w:p>
        </w:tc>
      </w:tr>
      <w:tr w:rsidR="007778CC" w:rsidRPr="009702B0" w14:paraId="43B8DF95" w14:textId="77777777" w:rsidTr="006B318F">
        <w:trPr>
          <w:trHeight w:val="260"/>
        </w:trPr>
        <w:tc>
          <w:tcPr>
            <w:tcW w:w="2086" w:type="pct"/>
          </w:tcPr>
          <w:p w14:paraId="18DCA2FC" w14:textId="77777777" w:rsidR="007778CC" w:rsidRPr="005444AA" w:rsidRDefault="007778CC" w:rsidP="007778CC">
            <w:pPr>
              <w:tabs>
                <w:tab w:val="right" w:pos="1202"/>
              </w:tabs>
              <w:spacing w:after="0" w:line="301" w:lineRule="exact"/>
              <w:outlineLvl w:val="0"/>
              <w:rPr>
                <w:rFonts w:eastAsia="Times New Roman" w:cs="Arial"/>
                <w:sz w:val="18"/>
                <w:szCs w:val="18"/>
              </w:rPr>
            </w:pPr>
            <w:r w:rsidRPr="005444AA">
              <w:rPr>
                <w:rFonts w:eastAsia="Times New Roman" w:cs="Arial"/>
                <w:sz w:val="18"/>
                <w:szCs w:val="18"/>
              </w:rPr>
              <w:t xml:space="preserve">Balance as of 1 January </w:t>
            </w:r>
          </w:p>
        </w:tc>
        <w:tc>
          <w:tcPr>
            <w:tcW w:w="769" w:type="pct"/>
            <w:tcBorders>
              <w:top w:val="nil"/>
              <w:left w:val="nil"/>
              <w:right w:val="nil"/>
            </w:tcBorders>
            <w:shd w:val="clear" w:color="auto" w:fill="auto"/>
            <w:vAlign w:val="bottom"/>
          </w:tcPr>
          <w:p w14:paraId="636563E7" w14:textId="5BA4E2C1" w:rsidR="007778CC" w:rsidRPr="006B318F" w:rsidRDefault="007778CC" w:rsidP="007778CC">
            <w:pPr>
              <w:tabs>
                <w:tab w:val="right" w:pos="1202"/>
              </w:tabs>
              <w:spacing w:after="0" w:line="301" w:lineRule="exact"/>
              <w:jc w:val="right"/>
              <w:outlineLvl w:val="0"/>
              <w:rPr>
                <w:sz w:val="18"/>
                <w:szCs w:val="18"/>
              </w:rPr>
            </w:pPr>
            <w:r w:rsidRPr="006B318F">
              <w:rPr>
                <w:sz w:val="18"/>
                <w:szCs w:val="18"/>
              </w:rPr>
              <w:t>13,378,057</w:t>
            </w:r>
          </w:p>
        </w:tc>
        <w:tc>
          <w:tcPr>
            <w:tcW w:w="688" w:type="pct"/>
            <w:vAlign w:val="bottom"/>
          </w:tcPr>
          <w:p w14:paraId="43B68443" w14:textId="77777777" w:rsidR="007778CC" w:rsidRPr="005444AA" w:rsidRDefault="007778CC" w:rsidP="007778CC">
            <w:pPr>
              <w:tabs>
                <w:tab w:val="right" w:pos="1202"/>
              </w:tabs>
              <w:spacing w:after="0" w:line="301" w:lineRule="exact"/>
              <w:jc w:val="right"/>
              <w:outlineLvl w:val="0"/>
              <w:rPr>
                <w:rFonts w:eastAsia="Times New Roman" w:cs="Arial"/>
                <w:sz w:val="18"/>
                <w:szCs w:val="18"/>
              </w:rPr>
            </w:pPr>
            <w:r w:rsidRPr="005444AA">
              <w:rPr>
                <w:sz w:val="18"/>
                <w:szCs w:val="18"/>
              </w:rPr>
              <w:t>11,453,796</w:t>
            </w:r>
          </w:p>
        </w:tc>
        <w:tc>
          <w:tcPr>
            <w:tcW w:w="768" w:type="pct"/>
            <w:tcBorders>
              <w:top w:val="nil"/>
              <w:left w:val="nil"/>
              <w:right w:val="nil"/>
            </w:tcBorders>
            <w:shd w:val="clear" w:color="auto" w:fill="auto"/>
            <w:vAlign w:val="bottom"/>
          </w:tcPr>
          <w:p w14:paraId="4BFCD508" w14:textId="5F9BFEF9" w:rsidR="007778CC" w:rsidRPr="005444AA" w:rsidRDefault="007778CC" w:rsidP="007778CC">
            <w:pPr>
              <w:tabs>
                <w:tab w:val="right" w:pos="1202"/>
              </w:tabs>
              <w:spacing w:after="0" w:line="301" w:lineRule="exact"/>
              <w:jc w:val="right"/>
              <w:outlineLvl w:val="0"/>
              <w:rPr>
                <w:rFonts w:eastAsia="Times New Roman" w:cs="Arial"/>
                <w:sz w:val="18"/>
                <w:szCs w:val="18"/>
              </w:rPr>
            </w:pPr>
            <w:r w:rsidRPr="00FE65B6">
              <w:rPr>
                <w:color w:val="000000"/>
                <w:sz w:val="18"/>
                <w:szCs w:val="18"/>
              </w:rPr>
              <w:t>13</w:t>
            </w:r>
            <w:r>
              <w:rPr>
                <w:color w:val="000000"/>
                <w:sz w:val="18"/>
                <w:szCs w:val="18"/>
              </w:rPr>
              <w:t>,</w:t>
            </w:r>
            <w:r w:rsidRPr="00FE65B6">
              <w:rPr>
                <w:color w:val="000000"/>
                <w:sz w:val="18"/>
                <w:szCs w:val="18"/>
              </w:rPr>
              <w:t>378</w:t>
            </w:r>
            <w:r>
              <w:rPr>
                <w:color w:val="000000"/>
                <w:sz w:val="18"/>
                <w:szCs w:val="18"/>
              </w:rPr>
              <w:t>,</w:t>
            </w:r>
            <w:r w:rsidRPr="00FE65B6">
              <w:rPr>
                <w:color w:val="000000"/>
                <w:sz w:val="18"/>
                <w:szCs w:val="18"/>
              </w:rPr>
              <w:t>057</w:t>
            </w:r>
          </w:p>
        </w:tc>
        <w:tc>
          <w:tcPr>
            <w:tcW w:w="688" w:type="pct"/>
            <w:tcBorders>
              <w:top w:val="nil"/>
              <w:left w:val="nil"/>
              <w:bottom w:val="nil"/>
              <w:right w:val="nil"/>
            </w:tcBorders>
            <w:shd w:val="clear" w:color="auto" w:fill="auto"/>
            <w:vAlign w:val="bottom"/>
          </w:tcPr>
          <w:p w14:paraId="3D8573D1" w14:textId="77777777" w:rsidR="007778CC" w:rsidRPr="005444AA" w:rsidRDefault="007778CC" w:rsidP="007778CC">
            <w:pPr>
              <w:tabs>
                <w:tab w:val="right" w:pos="1202"/>
              </w:tabs>
              <w:spacing w:after="0" w:line="301" w:lineRule="exact"/>
              <w:jc w:val="right"/>
              <w:outlineLvl w:val="0"/>
              <w:rPr>
                <w:rFonts w:eastAsia="Times New Roman" w:cs="Arial"/>
                <w:sz w:val="18"/>
                <w:szCs w:val="18"/>
              </w:rPr>
            </w:pPr>
            <w:r w:rsidRPr="005444AA">
              <w:rPr>
                <w:color w:val="000000"/>
                <w:sz w:val="18"/>
                <w:szCs w:val="18"/>
              </w:rPr>
              <w:t>11,453,796</w:t>
            </w:r>
          </w:p>
        </w:tc>
      </w:tr>
      <w:tr w:rsidR="007778CC" w:rsidRPr="009702B0" w14:paraId="4935D5D8" w14:textId="77777777" w:rsidTr="006B318F">
        <w:trPr>
          <w:trHeight w:val="247"/>
        </w:trPr>
        <w:tc>
          <w:tcPr>
            <w:tcW w:w="2086" w:type="pct"/>
          </w:tcPr>
          <w:p w14:paraId="26663BFC" w14:textId="77777777" w:rsidR="007778CC" w:rsidRPr="005444AA" w:rsidRDefault="007778CC" w:rsidP="007778CC">
            <w:pPr>
              <w:tabs>
                <w:tab w:val="right" w:pos="1202"/>
              </w:tabs>
              <w:spacing w:after="0" w:line="301" w:lineRule="exact"/>
              <w:outlineLvl w:val="0"/>
              <w:rPr>
                <w:rFonts w:eastAsia="Times New Roman" w:cs="Arial"/>
                <w:sz w:val="18"/>
                <w:szCs w:val="18"/>
              </w:rPr>
            </w:pPr>
            <w:r w:rsidRPr="005444AA">
              <w:rPr>
                <w:rFonts w:eastAsia="Times New Roman" w:cs="Arial"/>
                <w:sz w:val="18"/>
                <w:szCs w:val="18"/>
              </w:rPr>
              <w:t>New borrowings</w:t>
            </w:r>
          </w:p>
        </w:tc>
        <w:tc>
          <w:tcPr>
            <w:tcW w:w="769" w:type="pct"/>
            <w:tcBorders>
              <w:top w:val="nil"/>
              <w:left w:val="nil"/>
              <w:bottom w:val="nil"/>
              <w:right w:val="nil"/>
            </w:tcBorders>
            <w:shd w:val="clear" w:color="000000" w:fill="auto"/>
            <w:vAlign w:val="bottom"/>
          </w:tcPr>
          <w:p w14:paraId="3B17F8C1" w14:textId="7E916FC5" w:rsidR="007778CC" w:rsidRPr="006B318F" w:rsidRDefault="007778CC" w:rsidP="007778CC">
            <w:pPr>
              <w:tabs>
                <w:tab w:val="right" w:pos="1202"/>
              </w:tabs>
              <w:spacing w:after="0" w:line="301" w:lineRule="exact"/>
              <w:jc w:val="right"/>
              <w:outlineLvl w:val="0"/>
              <w:rPr>
                <w:sz w:val="18"/>
                <w:szCs w:val="18"/>
              </w:rPr>
            </w:pPr>
            <w:r w:rsidRPr="006B318F">
              <w:rPr>
                <w:sz w:val="18"/>
                <w:szCs w:val="18"/>
              </w:rPr>
              <w:t>3,255,181</w:t>
            </w:r>
          </w:p>
        </w:tc>
        <w:tc>
          <w:tcPr>
            <w:tcW w:w="688" w:type="pct"/>
            <w:vAlign w:val="bottom"/>
          </w:tcPr>
          <w:p w14:paraId="21AEE586" w14:textId="77777777" w:rsidR="007778CC" w:rsidRPr="005444AA" w:rsidRDefault="007778CC" w:rsidP="007778CC">
            <w:pPr>
              <w:tabs>
                <w:tab w:val="right" w:pos="1202"/>
              </w:tabs>
              <w:spacing w:after="0" w:line="301" w:lineRule="exact"/>
              <w:jc w:val="right"/>
              <w:outlineLvl w:val="0"/>
              <w:rPr>
                <w:rFonts w:eastAsia="Times New Roman" w:cs="Arial"/>
                <w:sz w:val="18"/>
                <w:szCs w:val="18"/>
              </w:rPr>
            </w:pPr>
            <w:r w:rsidRPr="005444AA">
              <w:rPr>
                <w:sz w:val="18"/>
                <w:szCs w:val="18"/>
              </w:rPr>
              <w:t>3,730,867</w:t>
            </w:r>
          </w:p>
        </w:tc>
        <w:tc>
          <w:tcPr>
            <w:tcW w:w="768" w:type="pct"/>
            <w:tcBorders>
              <w:top w:val="nil"/>
              <w:left w:val="nil"/>
              <w:bottom w:val="nil"/>
              <w:right w:val="nil"/>
            </w:tcBorders>
            <w:shd w:val="clear" w:color="000000" w:fill="auto"/>
            <w:vAlign w:val="bottom"/>
          </w:tcPr>
          <w:p w14:paraId="4DA7FE40" w14:textId="2C79C630" w:rsidR="007778CC" w:rsidRPr="005444AA" w:rsidRDefault="007778CC" w:rsidP="007778CC">
            <w:pPr>
              <w:tabs>
                <w:tab w:val="right" w:pos="1202"/>
              </w:tabs>
              <w:spacing w:after="0" w:line="301" w:lineRule="exact"/>
              <w:jc w:val="right"/>
              <w:outlineLvl w:val="0"/>
              <w:rPr>
                <w:rFonts w:eastAsia="Times New Roman" w:cs="Arial"/>
                <w:sz w:val="18"/>
                <w:szCs w:val="18"/>
              </w:rPr>
            </w:pPr>
            <w:r w:rsidRPr="00FE65B6">
              <w:rPr>
                <w:color w:val="000000"/>
                <w:sz w:val="18"/>
                <w:szCs w:val="18"/>
              </w:rPr>
              <w:t>3</w:t>
            </w:r>
            <w:r>
              <w:rPr>
                <w:color w:val="000000"/>
                <w:sz w:val="18"/>
                <w:szCs w:val="18"/>
              </w:rPr>
              <w:t>,</w:t>
            </w:r>
            <w:r w:rsidRPr="00FE65B6">
              <w:rPr>
                <w:color w:val="000000"/>
                <w:sz w:val="18"/>
                <w:szCs w:val="18"/>
              </w:rPr>
              <w:t>255</w:t>
            </w:r>
            <w:r>
              <w:rPr>
                <w:color w:val="000000"/>
                <w:sz w:val="18"/>
                <w:szCs w:val="18"/>
              </w:rPr>
              <w:t>,</w:t>
            </w:r>
            <w:r w:rsidRPr="00FE65B6">
              <w:rPr>
                <w:color w:val="000000"/>
                <w:sz w:val="18"/>
                <w:szCs w:val="18"/>
              </w:rPr>
              <w:t>181</w:t>
            </w:r>
          </w:p>
        </w:tc>
        <w:tc>
          <w:tcPr>
            <w:tcW w:w="688" w:type="pct"/>
            <w:tcBorders>
              <w:top w:val="nil"/>
              <w:left w:val="nil"/>
              <w:bottom w:val="nil"/>
              <w:right w:val="nil"/>
            </w:tcBorders>
            <w:shd w:val="clear" w:color="auto" w:fill="auto"/>
            <w:vAlign w:val="bottom"/>
          </w:tcPr>
          <w:p w14:paraId="40D1BC69" w14:textId="77777777" w:rsidR="007778CC" w:rsidRPr="005444AA" w:rsidRDefault="007778CC" w:rsidP="007778CC">
            <w:pPr>
              <w:tabs>
                <w:tab w:val="right" w:pos="1202"/>
              </w:tabs>
              <w:spacing w:after="0" w:line="301" w:lineRule="exact"/>
              <w:jc w:val="right"/>
              <w:outlineLvl w:val="0"/>
              <w:rPr>
                <w:rFonts w:eastAsia="Times New Roman" w:cs="Arial"/>
                <w:sz w:val="18"/>
                <w:szCs w:val="18"/>
              </w:rPr>
            </w:pPr>
            <w:r w:rsidRPr="005444AA">
              <w:rPr>
                <w:color w:val="000000"/>
                <w:sz w:val="18"/>
                <w:szCs w:val="18"/>
              </w:rPr>
              <w:t>3,730,867</w:t>
            </w:r>
          </w:p>
        </w:tc>
      </w:tr>
      <w:tr w:rsidR="007778CC" w:rsidRPr="009702B0" w14:paraId="6E7D40D5" w14:textId="77777777" w:rsidTr="006B318F">
        <w:trPr>
          <w:trHeight w:val="260"/>
        </w:trPr>
        <w:tc>
          <w:tcPr>
            <w:tcW w:w="2086" w:type="pct"/>
          </w:tcPr>
          <w:p w14:paraId="3159A72C" w14:textId="77777777" w:rsidR="007778CC" w:rsidRPr="005444AA" w:rsidRDefault="007778CC" w:rsidP="007778CC">
            <w:pPr>
              <w:tabs>
                <w:tab w:val="right" w:pos="1202"/>
              </w:tabs>
              <w:spacing w:after="0" w:line="301" w:lineRule="exact"/>
              <w:outlineLvl w:val="0"/>
              <w:rPr>
                <w:rFonts w:eastAsia="Times New Roman" w:cs="Arial"/>
                <w:sz w:val="18"/>
                <w:szCs w:val="18"/>
              </w:rPr>
            </w:pPr>
            <w:r w:rsidRPr="005444AA">
              <w:rPr>
                <w:rFonts w:eastAsia="Times New Roman" w:cs="Arial"/>
                <w:sz w:val="18"/>
                <w:szCs w:val="18"/>
              </w:rPr>
              <w:t>Repayments</w:t>
            </w:r>
          </w:p>
        </w:tc>
        <w:tc>
          <w:tcPr>
            <w:tcW w:w="769" w:type="pct"/>
            <w:tcBorders>
              <w:top w:val="nil"/>
              <w:left w:val="nil"/>
              <w:bottom w:val="nil"/>
              <w:right w:val="nil"/>
            </w:tcBorders>
            <w:shd w:val="clear" w:color="000000" w:fill="auto"/>
            <w:vAlign w:val="bottom"/>
          </w:tcPr>
          <w:p w14:paraId="576F0572" w14:textId="56B4EF63" w:rsidR="007778CC" w:rsidRPr="006B318F" w:rsidRDefault="007778CC" w:rsidP="007778CC">
            <w:pPr>
              <w:tabs>
                <w:tab w:val="right" w:pos="1202"/>
              </w:tabs>
              <w:spacing w:after="0" w:line="301" w:lineRule="exact"/>
              <w:jc w:val="right"/>
              <w:outlineLvl w:val="0"/>
              <w:rPr>
                <w:sz w:val="18"/>
                <w:szCs w:val="18"/>
              </w:rPr>
            </w:pPr>
            <w:r w:rsidRPr="006B318F">
              <w:rPr>
                <w:sz w:val="18"/>
                <w:szCs w:val="18"/>
              </w:rPr>
              <w:t xml:space="preserve"> (1,195,372)</w:t>
            </w:r>
          </w:p>
        </w:tc>
        <w:tc>
          <w:tcPr>
            <w:tcW w:w="688" w:type="pct"/>
            <w:vAlign w:val="bottom"/>
          </w:tcPr>
          <w:p w14:paraId="5930C4AC" w14:textId="77777777" w:rsidR="007778CC" w:rsidRPr="005444AA" w:rsidRDefault="007778CC" w:rsidP="007778CC">
            <w:pPr>
              <w:tabs>
                <w:tab w:val="right" w:pos="1202"/>
              </w:tabs>
              <w:spacing w:after="0" w:line="301" w:lineRule="exact"/>
              <w:jc w:val="right"/>
              <w:outlineLvl w:val="0"/>
              <w:rPr>
                <w:rFonts w:eastAsia="Times New Roman" w:cs="Arial"/>
                <w:sz w:val="18"/>
                <w:szCs w:val="18"/>
              </w:rPr>
            </w:pPr>
            <w:r w:rsidRPr="005444AA">
              <w:rPr>
                <w:sz w:val="18"/>
                <w:szCs w:val="18"/>
              </w:rPr>
              <w:t xml:space="preserve"> (1,730,849)</w:t>
            </w:r>
          </w:p>
        </w:tc>
        <w:tc>
          <w:tcPr>
            <w:tcW w:w="768" w:type="pct"/>
            <w:tcBorders>
              <w:top w:val="nil"/>
              <w:left w:val="nil"/>
              <w:bottom w:val="nil"/>
              <w:right w:val="nil"/>
            </w:tcBorders>
            <w:shd w:val="clear" w:color="000000" w:fill="auto"/>
            <w:vAlign w:val="bottom"/>
          </w:tcPr>
          <w:p w14:paraId="3EF5E7A8" w14:textId="76507B88" w:rsidR="007778CC" w:rsidRPr="005444AA" w:rsidRDefault="007778CC" w:rsidP="007778CC">
            <w:pPr>
              <w:tabs>
                <w:tab w:val="right" w:pos="1202"/>
              </w:tabs>
              <w:spacing w:after="0" w:line="301" w:lineRule="exact"/>
              <w:jc w:val="right"/>
              <w:outlineLvl w:val="0"/>
              <w:rPr>
                <w:rFonts w:eastAsia="Times New Roman" w:cs="Arial"/>
                <w:sz w:val="18"/>
                <w:szCs w:val="18"/>
              </w:rPr>
            </w:pPr>
            <w:r w:rsidRPr="00FE65B6">
              <w:rPr>
                <w:color w:val="000000"/>
                <w:sz w:val="18"/>
                <w:szCs w:val="18"/>
              </w:rPr>
              <w:t xml:space="preserve"> (1</w:t>
            </w:r>
            <w:r>
              <w:rPr>
                <w:color w:val="000000"/>
                <w:sz w:val="18"/>
                <w:szCs w:val="18"/>
              </w:rPr>
              <w:t>,</w:t>
            </w:r>
            <w:r w:rsidRPr="00FE65B6">
              <w:rPr>
                <w:color w:val="000000"/>
                <w:sz w:val="18"/>
                <w:szCs w:val="18"/>
              </w:rPr>
              <w:t>195</w:t>
            </w:r>
            <w:r>
              <w:rPr>
                <w:color w:val="000000"/>
                <w:sz w:val="18"/>
                <w:szCs w:val="18"/>
              </w:rPr>
              <w:t>,</w:t>
            </w:r>
            <w:r w:rsidRPr="00FE65B6">
              <w:rPr>
                <w:color w:val="000000"/>
                <w:sz w:val="18"/>
                <w:szCs w:val="18"/>
              </w:rPr>
              <w:t>372)</w:t>
            </w:r>
          </w:p>
        </w:tc>
        <w:tc>
          <w:tcPr>
            <w:tcW w:w="688" w:type="pct"/>
            <w:tcBorders>
              <w:top w:val="nil"/>
              <w:left w:val="nil"/>
              <w:bottom w:val="nil"/>
              <w:right w:val="nil"/>
            </w:tcBorders>
            <w:shd w:val="clear" w:color="auto" w:fill="auto"/>
            <w:vAlign w:val="bottom"/>
          </w:tcPr>
          <w:p w14:paraId="7AC4E474" w14:textId="77777777" w:rsidR="007778CC" w:rsidRPr="005444AA" w:rsidRDefault="007778CC" w:rsidP="007778CC">
            <w:pPr>
              <w:tabs>
                <w:tab w:val="right" w:pos="1202"/>
              </w:tabs>
              <w:spacing w:after="0" w:line="301" w:lineRule="exact"/>
              <w:jc w:val="right"/>
              <w:outlineLvl w:val="0"/>
              <w:rPr>
                <w:rFonts w:eastAsia="Times New Roman" w:cs="Arial"/>
                <w:sz w:val="18"/>
                <w:szCs w:val="18"/>
              </w:rPr>
            </w:pPr>
            <w:r w:rsidRPr="005444AA">
              <w:rPr>
                <w:color w:val="000000"/>
                <w:sz w:val="18"/>
                <w:szCs w:val="18"/>
              </w:rPr>
              <w:t xml:space="preserve"> (1,730,849)</w:t>
            </w:r>
          </w:p>
        </w:tc>
      </w:tr>
      <w:tr w:rsidR="007778CC" w:rsidRPr="009702B0" w14:paraId="2C4FE6B0" w14:textId="77777777" w:rsidTr="006B318F">
        <w:trPr>
          <w:trHeight w:val="260"/>
        </w:trPr>
        <w:tc>
          <w:tcPr>
            <w:tcW w:w="2086" w:type="pct"/>
          </w:tcPr>
          <w:p w14:paraId="562D0D9C" w14:textId="77777777" w:rsidR="007778CC" w:rsidRPr="005444AA" w:rsidRDefault="007778CC" w:rsidP="007778CC">
            <w:pPr>
              <w:tabs>
                <w:tab w:val="right" w:pos="1202"/>
              </w:tabs>
              <w:spacing w:after="0" w:line="301" w:lineRule="exact"/>
              <w:outlineLvl w:val="0"/>
              <w:rPr>
                <w:rFonts w:eastAsia="Times New Roman" w:cs="Arial"/>
                <w:sz w:val="18"/>
                <w:szCs w:val="18"/>
              </w:rPr>
            </w:pPr>
            <w:r w:rsidRPr="005444AA">
              <w:rPr>
                <w:rFonts w:eastAsia="Times New Roman" w:cs="Arial"/>
                <w:sz w:val="18"/>
                <w:szCs w:val="18"/>
              </w:rPr>
              <w:t>Net foreign exchange gains/(losses)</w:t>
            </w:r>
          </w:p>
        </w:tc>
        <w:tc>
          <w:tcPr>
            <w:tcW w:w="769" w:type="pct"/>
            <w:tcBorders>
              <w:top w:val="nil"/>
              <w:left w:val="nil"/>
              <w:bottom w:val="single" w:sz="4" w:space="0" w:color="auto"/>
              <w:right w:val="nil"/>
            </w:tcBorders>
            <w:shd w:val="clear" w:color="auto" w:fill="auto"/>
            <w:vAlign w:val="bottom"/>
          </w:tcPr>
          <w:p w14:paraId="196FF89C" w14:textId="08A0170E" w:rsidR="007778CC" w:rsidRPr="006B318F" w:rsidRDefault="007778CC" w:rsidP="007778CC">
            <w:pPr>
              <w:tabs>
                <w:tab w:val="right" w:pos="1202"/>
              </w:tabs>
              <w:spacing w:after="0" w:line="301" w:lineRule="exact"/>
              <w:jc w:val="right"/>
              <w:outlineLvl w:val="0"/>
              <w:rPr>
                <w:sz w:val="18"/>
                <w:szCs w:val="18"/>
              </w:rPr>
            </w:pPr>
            <w:r w:rsidRPr="006B318F">
              <w:rPr>
                <w:sz w:val="18"/>
                <w:szCs w:val="18"/>
              </w:rPr>
              <w:t xml:space="preserve"> (126,396)</w:t>
            </w:r>
          </w:p>
        </w:tc>
        <w:tc>
          <w:tcPr>
            <w:tcW w:w="688" w:type="pct"/>
            <w:vAlign w:val="bottom"/>
          </w:tcPr>
          <w:p w14:paraId="77A13177" w14:textId="77777777" w:rsidR="007778CC" w:rsidRPr="005444AA" w:rsidRDefault="007778CC" w:rsidP="007778CC">
            <w:pPr>
              <w:tabs>
                <w:tab w:val="right" w:pos="1202"/>
              </w:tabs>
              <w:spacing w:after="0" w:line="301" w:lineRule="exact"/>
              <w:jc w:val="right"/>
              <w:outlineLvl w:val="0"/>
              <w:rPr>
                <w:rFonts w:eastAsia="Times New Roman" w:cs="Arial"/>
                <w:sz w:val="18"/>
                <w:szCs w:val="18"/>
              </w:rPr>
            </w:pPr>
            <w:r w:rsidRPr="005444AA">
              <w:rPr>
                <w:sz w:val="18"/>
                <w:szCs w:val="18"/>
              </w:rPr>
              <w:t xml:space="preserve"> (75,757)</w:t>
            </w:r>
          </w:p>
        </w:tc>
        <w:tc>
          <w:tcPr>
            <w:tcW w:w="768" w:type="pct"/>
            <w:tcBorders>
              <w:top w:val="nil"/>
              <w:left w:val="nil"/>
              <w:bottom w:val="single" w:sz="4" w:space="0" w:color="auto"/>
              <w:right w:val="nil"/>
            </w:tcBorders>
            <w:shd w:val="clear" w:color="auto" w:fill="auto"/>
            <w:vAlign w:val="bottom"/>
          </w:tcPr>
          <w:p w14:paraId="7DF3964A" w14:textId="00A1374D" w:rsidR="007778CC" w:rsidRPr="005444AA" w:rsidRDefault="007778CC" w:rsidP="007778CC">
            <w:pPr>
              <w:tabs>
                <w:tab w:val="right" w:pos="1202"/>
              </w:tabs>
              <w:spacing w:after="0" w:line="301" w:lineRule="exact"/>
              <w:jc w:val="right"/>
              <w:outlineLvl w:val="0"/>
              <w:rPr>
                <w:rFonts w:eastAsia="Times New Roman" w:cs="Arial"/>
                <w:sz w:val="18"/>
                <w:szCs w:val="18"/>
              </w:rPr>
            </w:pPr>
            <w:r w:rsidRPr="00FE65B6">
              <w:rPr>
                <w:color w:val="000000"/>
                <w:sz w:val="18"/>
                <w:szCs w:val="18"/>
              </w:rPr>
              <w:t xml:space="preserve"> (126</w:t>
            </w:r>
            <w:r>
              <w:rPr>
                <w:color w:val="000000"/>
                <w:sz w:val="18"/>
                <w:szCs w:val="18"/>
              </w:rPr>
              <w:t>,</w:t>
            </w:r>
            <w:r w:rsidRPr="00FE65B6">
              <w:rPr>
                <w:color w:val="000000"/>
                <w:sz w:val="18"/>
                <w:szCs w:val="18"/>
              </w:rPr>
              <w:t>396)</w:t>
            </w:r>
          </w:p>
        </w:tc>
        <w:tc>
          <w:tcPr>
            <w:tcW w:w="688" w:type="pct"/>
            <w:tcBorders>
              <w:top w:val="nil"/>
              <w:left w:val="nil"/>
              <w:bottom w:val="nil"/>
              <w:right w:val="nil"/>
            </w:tcBorders>
            <w:shd w:val="clear" w:color="auto" w:fill="auto"/>
            <w:vAlign w:val="bottom"/>
          </w:tcPr>
          <w:p w14:paraId="04D9A307" w14:textId="77777777" w:rsidR="007778CC" w:rsidRPr="005444AA" w:rsidRDefault="007778CC" w:rsidP="007778CC">
            <w:pPr>
              <w:tabs>
                <w:tab w:val="right" w:pos="1202"/>
              </w:tabs>
              <w:spacing w:after="0" w:line="301" w:lineRule="exact"/>
              <w:jc w:val="right"/>
              <w:outlineLvl w:val="0"/>
              <w:rPr>
                <w:rFonts w:eastAsia="Times New Roman" w:cs="Arial"/>
                <w:sz w:val="18"/>
                <w:szCs w:val="18"/>
              </w:rPr>
            </w:pPr>
            <w:r w:rsidRPr="005444AA">
              <w:rPr>
                <w:color w:val="000000"/>
                <w:sz w:val="18"/>
                <w:szCs w:val="18"/>
              </w:rPr>
              <w:t xml:space="preserve"> (75,757)</w:t>
            </w:r>
          </w:p>
        </w:tc>
      </w:tr>
      <w:tr w:rsidR="007778CC" w:rsidRPr="009702B0" w14:paraId="7A43960F" w14:textId="77777777" w:rsidTr="006B318F">
        <w:trPr>
          <w:trHeight w:val="260"/>
        </w:trPr>
        <w:tc>
          <w:tcPr>
            <w:tcW w:w="2086" w:type="pct"/>
          </w:tcPr>
          <w:p w14:paraId="1051A8AF" w14:textId="77777777" w:rsidR="007778CC" w:rsidRPr="005444AA" w:rsidRDefault="007778CC" w:rsidP="007778CC">
            <w:pPr>
              <w:tabs>
                <w:tab w:val="right" w:pos="1202"/>
              </w:tabs>
              <w:spacing w:after="0" w:line="301" w:lineRule="exact"/>
              <w:outlineLvl w:val="0"/>
              <w:rPr>
                <w:rFonts w:eastAsia="Times New Roman" w:cs="Arial"/>
                <w:i/>
                <w:sz w:val="18"/>
                <w:szCs w:val="18"/>
              </w:rPr>
            </w:pPr>
          </w:p>
        </w:tc>
        <w:tc>
          <w:tcPr>
            <w:tcW w:w="769" w:type="pct"/>
            <w:tcBorders>
              <w:top w:val="nil"/>
              <w:left w:val="nil"/>
              <w:bottom w:val="single" w:sz="4" w:space="0" w:color="auto"/>
              <w:right w:val="nil"/>
            </w:tcBorders>
            <w:shd w:val="clear" w:color="auto" w:fill="auto"/>
            <w:vAlign w:val="bottom"/>
          </w:tcPr>
          <w:p w14:paraId="27C104A3" w14:textId="43D335D3" w:rsidR="007778CC" w:rsidRPr="006B318F" w:rsidRDefault="007778CC" w:rsidP="007778CC">
            <w:pPr>
              <w:tabs>
                <w:tab w:val="right" w:pos="1202"/>
              </w:tabs>
              <w:spacing w:after="0" w:line="301" w:lineRule="exact"/>
              <w:jc w:val="right"/>
              <w:outlineLvl w:val="0"/>
              <w:rPr>
                <w:sz w:val="18"/>
                <w:szCs w:val="18"/>
              </w:rPr>
            </w:pPr>
            <w:r w:rsidRPr="006B318F">
              <w:rPr>
                <w:sz w:val="18"/>
                <w:szCs w:val="18"/>
              </w:rPr>
              <w:t>15,311,470</w:t>
            </w:r>
          </w:p>
        </w:tc>
        <w:tc>
          <w:tcPr>
            <w:tcW w:w="688" w:type="pct"/>
            <w:tcBorders>
              <w:top w:val="single" w:sz="4" w:space="0" w:color="auto"/>
              <w:bottom w:val="single" w:sz="4" w:space="0" w:color="auto"/>
            </w:tcBorders>
            <w:vAlign w:val="bottom"/>
          </w:tcPr>
          <w:p w14:paraId="32DBAA7F" w14:textId="77777777" w:rsidR="007778CC" w:rsidRPr="005444AA" w:rsidRDefault="007778CC" w:rsidP="007778CC">
            <w:pPr>
              <w:tabs>
                <w:tab w:val="right" w:pos="1202"/>
              </w:tabs>
              <w:spacing w:after="0" w:line="301" w:lineRule="exact"/>
              <w:jc w:val="right"/>
              <w:outlineLvl w:val="0"/>
              <w:rPr>
                <w:rFonts w:eastAsia="Times New Roman" w:cs="Arial"/>
                <w:sz w:val="18"/>
                <w:szCs w:val="18"/>
              </w:rPr>
            </w:pPr>
            <w:r w:rsidRPr="005444AA">
              <w:rPr>
                <w:rFonts w:eastAsia="Times New Roman" w:cs="Arial"/>
                <w:sz w:val="18"/>
                <w:szCs w:val="18"/>
              </w:rPr>
              <w:t>13,378,057</w:t>
            </w:r>
          </w:p>
        </w:tc>
        <w:tc>
          <w:tcPr>
            <w:tcW w:w="768" w:type="pct"/>
            <w:tcBorders>
              <w:top w:val="nil"/>
              <w:left w:val="nil"/>
              <w:bottom w:val="single" w:sz="4" w:space="0" w:color="auto"/>
              <w:right w:val="nil"/>
            </w:tcBorders>
            <w:shd w:val="clear" w:color="auto" w:fill="auto"/>
            <w:vAlign w:val="bottom"/>
          </w:tcPr>
          <w:p w14:paraId="30289657" w14:textId="18C4C9FB" w:rsidR="007778CC" w:rsidRPr="005444AA" w:rsidRDefault="007778CC" w:rsidP="007778CC">
            <w:pPr>
              <w:tabs>
                <w:tab w:val="right" w:pos="1202"/>
              </w:tabs>
              <w:spacing w:after="0" w:line="301" w:lineRule="exact"/>
              <w:jc w:val="right"/>
              <w:outlineLvl w:val="0"/>
              <w:rPr>
                <w:rFonts w:eastAsia="Times New Roman" w:cs="Arial"/>
                <w:sz w:val="18"/>
                <w:szCs w:val="18"/>
              </w:rPr>
            </w:pPr>
            <w:r w:rsidRPr="001136D5">
              <w:rPr>
                <w:color w:val="000000"/>
                <w:sz w:val="18"/>
                <w:szCs w:val="18"/>
              </w:rPr>
              <w:t>15</w:t>
            </w:r>
            <w:r>
              <w:rPr>
                <w:color w:val="000000"/>
                <w:sz w:val="18"/>
                <w:szCs w:val="18"/>
              </w:rPr>
              <w:t>,</w:t>
            </w:r>
            <w:r w:rsidRPr="001136D5">
              <w:rPr>
                <w:color w:val="000000"/>
                <w:sz w:val="18"/>
                <w:szCs w:val="18"/>
              </w:rPr>
              <w:t>311</w:t>
            </w:r>
            <w:r>
              <w:rPr>
                <w:color w:val="000000"/>
                <w:sz w:val="18"/>
                <w:szCs w:val="18"/>
              </w:rPr>
              <w:t>,</w:t>
            </w:r>
            <w:r w:rsidRPr="001136D5">
              <w:rPr>
                <w:color w:val="000000"/>
                <w:sz w:val="18"/>
                <w:szCs w:val="18"/>
              </w:rPr>
              <w:t>470</w:t>
            </w:r>
          </w:p>
        </w:tc>
        <w:tc>
          <w:tcPr>
            <w:tcW w:w="688" w:type="pct"/>
            <w:tcBorders>
              <w:top w:val="single" w:sz="4" w:space="0" w:color="auto"/>
              <w:bottom w:val="single" w:sz="4" w:space="0" w:color="auto"/>
            </w:tcBorders>
            <w:vAlign w:val="bottom"/>
          </w:tcPr>
          <w:p w14:paraId="201C5708" w14:textId="77777777" w:rsidR="007778CC" w:rsidRPr="005444AA" w:rsidRDefault="007778CC" w:rsidP="007778CC">
            <w:pPr>
              <w:tabs>
                <w:tab w:val="right" w:pos="1202"/>
              </w:tabs>
              <w:spacing w:after="0" w:line="301" w:lineRule="exact"/>
              <w:jc w:val="right"/>
              <w:outlineLvl w:val="0"/>
              <w:rPr>
                <w:rFonts w:eastAsia="Times New Roman" w:cs="Arial"/>
                <w:sz w:val="18"/>
                <w:szCs w:val="18"/>
              </w:rPr>
            </w:pPr>
            <w:r w:rsidRPr="005444AA">
              <w:rPr>
                <w:rFonts w:eastAsia="Times New Roman" w:cs="Arial"/>
                <w:sz w:val="18"/>
                <w:szCs w:val="18"/>
              </w:rPr>
              <w:t>13,378,057</w:t>
            </w:r>
          </w:p>
        </w:tc>
      </w:tr>
      <w:tr w:rsidR="007778CC" w:rsidRPr="009702B0" w14:paraId="06CCF067" w14:textId="77777777" w:rsidTr="006B318F">
        <w:trPr>
          <w:trHeight w:val="260"/>
        </w:trPr>
        <w:tc>
          <w:tcPr>
            <w:tcW w:w="2086" w:type="pct"/>
          </w:tcPr>
          <w:p w14:paraId="0DE0BA95" w14:textId="77777777" w:rsidR="007778CC" w:rsidRPr="005444AA" w:rsidRDefault="007778CC" w:rsidP="007778CC">
            <w:pPr>
              <w:tabs>
                <w:tab w:val="right" w:pos="1202"/>
              </w:tabs>
              <w:spacing w:after="0" w:line="301" w:lineRule="exact"/>
              <w:outlineLvl w:val="0"/>
              <w:rPr>
                <w:rFonts w:eastAsia="Times New Roman" w:cs="Arial"/>
                <w:sz w:val="18"/>
                <w:szCs w:val="18"/>
              </w:rPr>
            </w:pPr>
            <w:r w:rsidRPr="005444AA">
              <w:rPr>
                <w:rFonts w:eastAsia="Times New Roman" w:cs="Arial"/>
                <w:sz w:val="18"/>
                <w:szCs w:val="18"/>
              </w:rPr>
              <w:t>Accrued interest</w:t>
            </w:r>
          </w:p>
        </w:tc>
        <w:tc>
          <w:tcPr>
            <w:tcW w:w="769" w:type="pct"/>
            <w:tcBorders>
              <w:top w:val="nil"/>
              <w:left w:val="nil"/>
              <w:bottom w:val="nil"/>
              <w:right w:val="nil"/>
            </w:tcBorders>
            <w:shd w:val="clear" w:color="auto" w:fill="auto"/>
            <w:vAlign w:val="bottom"/>
          </w:tcPr>
          <w:p w14:paraId="0162A6CC" w14:textId="50855775" w:rsidR="007778CC" w:rsidRPr="006B318F" w:rsidRDefault="007778CC" w:rsidP="007778CC">
            <w:pPr>
              <w:tabs>
                <w:tab w:val="right" w:pos="1202"/>
              </w:tabs>
              <w:spacing w:after="0" w:line="301" w:lineRule="exact"/>
              <w:jc w:val="right"/>
              <w:outlineLvl w:val="0"/>
              <w:rPr>
                <w:sz w:val="18"/>
                <w:szCs w:val="18"/>
              </w:rPr>
            </w:pPr>
            <w:r w:rsidRPr="006B318F">
              <w:rPr>
                <w:sz w:val="18"/>
                <w:szCs w:val="18"/>
              </w:rPr>
              <w:t>72,632</w:t>
            </w:r>
          </w:p>
        </w:tc>
        <w:tc>
          <w:tcPr>
            <w:tcW w:w="688" w:type="pct"/>
            <w:vAlign w:val="bottom"/>
          </w:tcPr>
          <w:p w14:paraId="40A58A38" w14:textId="77777777" w:rsidR="007778CC" w:rsidRPr="005444AA" w:rsidRDefault="007778CC" w:rsidP="007778CC">
            <w:pPr>
              <w:tabs>
                <w:tab w:val="right" w:pos="1202"/>
              </w:tabs>
              <w:spacing w:after="0" w:line="301" w:lineRule="exact"/>
              <w:jc w:val="right"/>
              <w:outlineLvl w:val="0"/>
              <w:rPr>
                <w:rFonts w:eastAsia="Times New Roman" w:cs="Arial"/>
                <w:sz w:val="18"/>
                <w:szCs w:val="18"/>
              </w:rPr>
            </w:pPr>
            <w:r w:rsidRPr="005444AA">
              <w:rPr>
                <w:sz w:val="18"/>
                <w:szCs w:val="18"/>
              </w:rPr>
              <w:t>64,018</w:t>
            </w:r>
          </w:p>
        </w:tc>
        <w:tc>
          <w:tcPr>
            <w:tcW w:w="768" w:type="pct"/>
            <w:tcBorders>
              <w:top w:val="nil"/>
              <w:left w:val="nil"/>
              <w:bottom w:val="nil"/>
              <w:right w:val="nil"/>
            </w:tcBorders>
            <w:shd w:val="clear" w:color="auto" w:fill="auto"/>
            <w:vAlign w:val="bottom"/>
          </w:tcPr>
          <w:p w14:paraId="29B46355" w14:textId="267902F7" w:rsidR="007778CC" w:rsidRPr="005444AA" w:rsidRDefault="007778CC" w:rsidP="007778CC">
            <w:pPr>
              <w:tabs>
                <w:tab w:val="right" w:pos="1202"/>
              </w:tabs>
              <w:spacing w:after="0" w:line="301" w:lineRule="exact"/>
              <w:jc w:val="right"/>
              <w:outlineLvl w:val="0"/>
              <w:rPr>
                <w:rFonts w:eastAsia="Times New Roman" w:cs="Arial"/>
                <w:spacing w:val="-2"/>
                <w:sz w:val="18"/>
                <w:szCs w:val="18"/>
              </w:rPr>
            </w:pPr>
            <w:r w:rsidRPr="00FE65B6">
              <w:rPr>
                <w:color w:val="000000"/>
                <w:sz w:val="18"/>
                <w:szCs w:val="18"/>
              </w:rPr>
              <w:t>72</w:t>
            </w:r>
            <w:r>
              <w:rPr>
                <w:color w:val="000000"/>
                <w:sz w:val="18"/>
                <w:szCs w:val="18"/>
              </w:rPr>
              <w:t>,</w:t>
            </w:r>
            <w:r w:rsidRPr="00FE65B6">
              <w:rPr>
                <w:color w:val="000000"/>
                <w:sz w:val="18"/>
                <w:szCs w:val="18"/>
              </w:rPr>
              <w:t>632</w:t>
            </w:r>
          </w:p>
        </w:tc>
        <w:tc>
          <w:tcPr>
            <w:tcW w:w="688" w:type="pct"/>
            <w:vAlign w:val="bottom"/>
          </w:tcPr>
          <w:p w14:paraId="085382C8" w14:textId="77777777" w:rsidR="007778CC" w:rsidRPr="005444AA" w:rsidRDefault="007778CC" w:rsidP="007778CC">
            <w:pPr>
              <w:tabs>
                <w:tab w:val="right" w:pos="1202"/>
              </w:tabs>
              <w:spacing w:after="0" w:line="301" w:lineRule="exact"/>
              <w:jc w:val="right"/>
              <w:outlineLvl w:val="0"/>
              <w:rPr>
                <w:rFonts w:eastAsia="Times New Roman" w:cs="Arial"/>
                <w:sz w:val="18"/>
                <w:szCs w:val="18"/>
              </w:rPr>
            </w:pPr>
            <w:r w:rsidRPr="005444AA">
              <w:rPr>
                <w:sz w:val="18"/>
                <w:szCs w:val="18"/>
              </w:rPr>
              <w:t>64,018</w:t>
            </w:r>
          </w:p>
        </w:tc>
      </w:tr>
      <w:tr w:rsidR="007778CC" w:rsidRPr="009702B0" w14:paraId="5D2E9721" w14:textId="77777777" w:rsidTr="006B318F">
        <w:trPr>
          <w:trHeight w:val="371"/>
        </w:trPr>
        <w:tc>
          <w:tcPr>
            <w:tcW w:w="2086" w:type="pct"/>
            <w:vAlign w:val="bottom"/>
          </w:tcPr>
          <w:p w14:paraId="7F2F464D" w14:textId="77777777" w:rsidR="007778CC" w:rsidRPr="005444AA" w:rsidRDefault="007778CC" w:rsidP="007778CC">
            <w:pPr>
              <w:tabs>
                <w:tab w:val="right" w:pos="1202"/>
              </w:tabs>
              <w:spacing w:after="0" w:line="240" w:lineRule="auto"/>
              <w:outlineLvl w:val="0"/>
              <w:rPr>
                <w:rFonts w:eastAsia="Times New Roman" w:cs="Arial"/>
                <w:sz w:val="18"/>
                <w:szCs w:val="18"/>
              </w:rPr>
            </w:pPr>
            <w:r w:rsidRPr="005444AA">
              <w:rPr>
                <w:rFonts w:eastAsia="Times New Roman" w:cs="Arial"/>
                <w:sz w:val="18"/>
                <w:szCs w:val="18"/>
              </w:rPr>
              <w:t>Deferred recognition of borrowing origination fees</w:t>
            </w:r>
          </w:p>
        </w:tc>
        <w:tc>
          <w:tcPr>
            <w:tcW w:w="769" w:type="pct"/>
            <w:tcBorders>
              <w:top w:val="nil"/>
              <w:left w:val="nil"/>
              <w:bottom w:val="single" w:sz="4" w:space="0" w:color="auto"/>
              <w:right w:val="nil"/>
            </w:tcBorders>
            <w:shd w:val="clear" w:color="auto" w:fill="auto"/>
            <w:vAlign w:val="bottom"/>
          </w:tcPr>
          <w:p w14:paraId="53A90297" w14:textId="0B7380F2" w:rsidR="007778CC" w:rsidRPr="006B318F" w:rsidRDefault="007778CC" w:rsidP="007778CC">
            <w:pPr>
              <w:tabs>
                <w:tab w:val="right" w:pos="1202"/>
              </w:tabs>
              <w:spacing w:after="0" w:line="301" w:lineRule="exact"/>
              <w:jc w:val="right"/>
              <w:outlineLvl w:val="0"/>
              <w:rPr>
                <w:sz w:val="18"/>
                <w:szCs w:val="18"/>
              </w:rPr>
            </w:pPr>
            <w:r w:rsidRPr="006B318F">
              <w:rPr>
                <w:sz w:val="18"/>
                <w:szCs w:val="18"/>
              </w:rPr>
              <w:t xml:space="preserve"> (48,268)</w:t>
            </w:r>
          </w:p>
        </w:tc>
        <w:tc>
          <w:tcPr>
            <w:tcW w:w="688" w:type="pct"/>
            <w:tcBorders>
              <w:bottom w:val="single" w:sz="4" w:space="0" w:color="auto"/>
            </w:tcBorders>
            <w:vAlign w:val="bottom"/>
          </w:tcPr>
          <w:p w14:paraId="15D53632" w14:textId="77777777" w:rsidR="007778CC" w:rsidRPr="005444AA" w:rsidRDefault="007778CC" w:rsidP="007778CC">
            <w:pPr>
              <w:tabs>
                <w:tab w:val="right" w:pos="1202"/>
              </w:tabs>
              <w:spacing w:after="0" w:line="301" w:lineRule="exact"/>
              <w:jc w:val="right"/>
              <w:outlineLvl w:val="0"/>
              <w:rPr>
                <w:rFonts w:eastAsia="Times New Roman" w:cs="Arial"/>
                <w:sz w:val="18"/>
                <w:szCs w:val="18"/>
              </w:rPr>
            </w:pPr>
            <w:r w:rsidRPr="005444AA">
              <w:rPr>
                <w:sz w:val="18"/>
                <w:szCs w:val="18"/>
              </w:rPr>
              <w:t xml:space="preserve"> (50,326)</w:t>
            </w:r>
          </w:p>
        </w:tc>
        <w:tc>
          <w:tcPr>
            <w:tcW w:w="768" w:type="pct"/>
            <w:tcBorders>
              <w:top w:val="nil"/>
              <w:left w:val="nil"/>
              <w:bottom w:val="single" w:sz="4" w:space="0" w:color="auto"/>
              <w:right w:val="nil"/>
            </w:tcBorders>
            <w:shd w:val="clear" w:color="auto" w:fill="auto"/>
            <w:vAlign w:val="bottom"/>
          </w:tcPr>
          <w:p w14:paraId="2F8CDFC0" w14:textId="692674C4" w:rsidR="007778CC" w:rsidRPr="005444AA" w:rsidRDefault="007778CC" w:rsidP="007778CC">
            <w:pPr>
              <w:tabs>
                <w:tab w:val="right" w:pos="1202"/>
              </w:tabs>
              <w:spacing w:after="0" w:line="301" w:lineRule="exact"/>
              <w:jc w:val="right"/>
              <w:outlineLvl w:val="0"/>
              <w:rPr>
                <w:rFonts w:eastAsia="Times New Roman" w:cs="Arial"/>
                <w:spacing w:val="-2"/>
                <w:sz w:val="18"/>
                <w:szCs w:val="18"/>
              </w:rPr>
            </w:pPr>
            <w:r w:rsidRPr="00FE65B6">
              <w:rPr>
                <w:color w:val="000000"/>
                <w:sz w:val="18"/>
                <w:szCs w:val="18"/>
              </w:rPr>
              <w:t xml:space="preserve"> (48</w:t>
            </w:r>
            <w:r>
              <w:rPr>
                <w:color w:val="000000"/>
                <w:sz w:val="18"/>
                <w:szCs w:val="18"/>
              </w:rPr>
              <w:t>,</w:t>
            </w:r>
            <w:r w:rsidRPr="00FE65B6">
              <w:rPr>
                <w:color w:val="000000"/>
                <w:sz w:val="18"/>
                <w:szCs w:val="18"/>
              </w:rPr>
              <w:t>268)</w:t>
            </w:r>
          </w:p>
        </w:tc>
        <w:tc>
          <w:tcPr>
            <w:tcW w:w="688" w:type="pct"/>
            <w:tcBorders>
              <w:bottom w:val="single" w:sz="4" w:space="0" w:color="auto"/>
            </w:tcBorders>
            <w:vAlign w:val="bottom"/>
          </w:tcPr>
          <w:p w14:paraId="4A709C72" w14:textId="77777777" w:rsidR="007778CC" w:rsidRPr="005444AA" w:rsidRDefault="007778CC" w:rsidP="007778CC">
            <w:pPr>
              <w:tabs>
                <w:tab w:val="right" w:pos="1202"/>
              </w:tabs>
              <w:spacing w:after="0" w:line="301" w:lineRule="exact"/>
              <w:jc w:val="right"/>
              <w:outlineLvl w:val="0"/>
              <w:rPr>
                <w:rFonts w:eastAsia="Times New Roman" w:cs="Arial"/>
                <w:sz w:val="18"/>
                <w:szCs w:val="18"/>
              </w:rPr>
            </w:pPr>
            <w:r w:rsidRPr="005444AA">
              <w:rPr>
                <w:sz w:val="18"/>
                <w:szCs w:val="18"/>
              </w:rPr>
              <w:t xml:space="preserve"> (50,326)</w:t>
            </w:r>
          </w:p>
        </w:tc>
      </w:tr>
      <w:tr w:rsidR="007778CC" w:rsidRPr="009702B0" w14:paraId="26D4B91A" w14:textId="77777777" w:rsidTr="006B318F">
        <w:trPr>
          <w:trHeight w:val="290"/>
        </w:trPr>
        <w:tc>
          <w:tcPr>
            <w:tcW w:w="2086" w:type="pct"/>
          </w:tcPr>
          <w:p w14:paraId="5F68C565" w14:textId="77777777" w:rsidR="007778CC" w:rsidRPr="005444AA" w:rsidRDefault="007778CC" w:rsidP="007778CC">
            <w:pPr>
              <w:tabs>
                <w:tab w:val="right" w:pos="1202"/>
              </w:tabs>
              <w:spacing w:after="0" w:line="340" w:lineRule="exact"/>
              <w:outlineLvl w:val="0"/>
              <w:rPr>
                <w:rFonts w:eastAsia="Times New Roman" w:cs="Arial"/>
                <w:b/>
                <w:bCs/>
                <w:sz w:val="18"/>
                <w:szCs w:val="18"/>
              </w:rPr>
            </w:pPr>
            <w:r w:rsidRPr="005444AA">
              <w:rPr>
                <w:rFonts w:eastAsia="Times New Roman" w:cs="Arial"/>
                <w:b/>
                <w:bCs/>
                <w:sz w:val="18"/>
                <w:szCs w:val="18"/>
              </w:rPr>
              <w:t xml:space="preserve">Balance </w:t>
            </w:r>
          </w:p>
        </w:tc>
        <w:tc>
          <w:tcPr>
            <w:tcW w:w="769" w:type="pct"/>
            <w:tcBorders>
              <w:top w:val="single" w:sz="4" w:space="0" w:color="auto"/>
              <w:left w:val="nil"/>
              <w:bottom w:val="single" w:sz="12" w:space="0" w:color="auto"/>
              <w:right w:val="nil"/>
            </w:tcBorders>
            <w:shd w:val="clear" w:color="auto" w:fill="auto"/>
            <w:vAlign w:val="bottom"/>
          </w:tcPr>
          <w:p w14:paraId="5169AFEC" w14:textId="035A6D88" w:rsidR="007778CC" w:rsidRPr="006B318F" w:rsidRDefault="007778CC" w:rsidP="008D6EFE">
            <w:pPr>
              <w:tabs>
                <w:tab w:val="right" w:pos="1202"/>
              </w:tabs>
              <w:spacing w:after="0" w:line="340" w:lineRule="exact"/>
              <w:jc w:val="right"/>
              <w:outlineLvl w:val="0"/>
              <w:rPr>
                <w:b/>
                <w:color w:val="000000"/>
                <w:sz w:val="18"/>
                <w:szCs w:val="18"/>
              </w:rPr>
            </w:pPr>
            <w:r w:rsidRPr="006B318F">
              <w:rPr>
                <w:b/>
                <w:color w:val="000000"/>
                <w:sz w:val="18"/>
                <w:szCs w:val="18"/>
              </w:rPr>
              <w:t>15,335,834</w:t>
            </w:r>
          </w:p>
        </w:tc>
        <w:tc>
          <w:tcPr>
            <w:tcW w:w="688" w:type="pct"/>
            <w:tcBorders>
              <w:top w:val="single" w:sz="4" w:space="0" w:color="auto"/>
              <w:bottom w:val="single" w:sz="12" w:space="0" w:color="auto"/>
            </w:tcBorders>
            <w:vAlign w:val="bottom"/>
          </w:tcPr>
          <w:p w14:paraId="5E8ED0B7" w14:textId="77777777" w:rsidR="007778CC" w:rsidRPr="005444AA" w:rsidRDefault="007778CC" w:rsidP="007778CC">
            <w:pPr>
              <w:tabs>
                <w:tab w:val="right" w:pos="1202"/>
              </w:tabs>
              <w:spacing w:after="0" w:line="340" w:lineRule="exact"/>
              <w:jc w:val="right"/>
              <w:outlineLvl w:val="0"/>
              <w:rPr>
                <w:b/>
                <w:color w:val="000000"/>
                <w:sz w:val="18"/>
                <w:szCs w:val="18"/>
              </w:rPr>
            </w:pPr>
            <w:r w:rsidRPr="005444AA">
              <w:rPr>
                <w:b/>
                <w:color w:val="000000"/>
                <w:sz w:val="18"/>
                <w:szCs w:val="18"/>
              </w:rPr>
              <w:t>13,391,749</w:t>
            </w:r>
          </w:p>
        </w:tc>
        <w:tc>
          <w:tcPr>
            <w:tcW w:w="768" w:type="pct"/>
            <w:tcBorders>
              <w:top w:val="single" w:sz="4" w:space="0" w:color="auto"/>
              <w:left w:val="nil"/>
              <w:bottom w:val="single" w:sz="12" w:space="0" w:color="auto"/>
              <w:right w:val="nil"/>
            </w:tcBorders>
            <w:shd w:val="clear" w:color="auto" w:fill="auto"/>
            <w:vAlign w:val="bottom"/>
          </w:tcPr>
          <w:p w14:paraId="27E9F079" w14:textId="3F28A437" w:rsidR="007778CC" w:rsidRPr="005444AA" w:rsidRDefault="007778CC" w:rsidP="007778CC">
            <w:pPr>
              <w:tabs>
                <w:tab w:val="right" w:pos="1202"/>
              </w:tabs>
              <w:spacing w:after="0" w:line="340" w:lineRule="exact"/>
              <w:jc w:val="right"/>
              <w:outlineLvl w:val="0"/>
              <w:rPr>
                <w:b/>
                <w:color w:val="000000"/>
                <w:sz w:val="18"/>
                <w:szCs w:val="18"/>
              </w:rPr>
            </w:pPr>
            <w:r w:rsidRPr="001136D5">
              <w:rPr>
                <w:rFonts w:eastAsia="Times New Roman" w:cs="Arial"/>
                <w:b/>
                <w:sz w:val="18"/>
                <w:szCs w:val="18"/>
              </w:rPr>
              <w:t>15</w:t>
            </w:r>
            <w:r>
              <w:rPr>
                <w:rFonts w:eastAsia="Times New Roman" w:cs="Arial"/>
                <w:b/>
                <w:sz w:val="18"/>
                <w:szCs w:val="18"/>
              </w:rPr>
              <w:t>,</w:t>
            </w:r>
            <w:r w:rsidRPr="001136D5">
              <w:rPr>
                <w:rFonts w:eastAsia="Times New Roman" w:cs="Arial"/>
                <w:b/>
                <w:sz w:val="18"/>
                <w:szCs w:val="18"/>
              </w:rPr>
              <w:t>335</w:t>
            </w:r>
            <w:r>
              <w:rPr>
                <w:rFonts w:eastAsia="Times New Roman" w:cs="Arial"/>
                <w:b/>
                <w:sz w:val="18"/>
                <w:szCs w:val="18"/>
              </w:rPr>
              <w:t>,</w:t>
            </w:r>
            <w:r w:rsidRPr="001136D5">
              <w:rPr>
                <w:rFonts w:eastAsia="Times New Roman" w:cs="Arial"/>
                <w:b/>
                <w:sz w:val="18"/>
                <w:szCs w:val="18"/>
              </w:rPr>
              <w:t>834</w:t>
            </w:r>
          </w:p>
        </w:tc>
        <w:tc>
          <w:tcPr>
            <w:tcW w:w="688" w:type="pct"/>
            <w:tcBorders>
              <w:top w:val="single" w:sz="4" w:space="0" w:color="auto"/>
              <w:bottom w:val="single" w:sz="12" w:space="0" w:color="auto"/>
            </w:tcBorders>
            <w:vAlign w:val="bottom"/>
          </w:tcPr>
          <w:p w14:paraId="54BB0C53" w14:textId="77777777" w:rsidR="007778CC" w:rsidRPr="005444AA" w:rsidRDefault="007778CC" w:rsidP="007778CC">
            <w:pPr>
              <w:tabs>
                <w:tab w:val="right" w:pos="1202"/>
              </w:tabs>
              <w:spacing w:after="0" w:line="340" w:lineRule="exact"/>
              <w:jc w:val="right"/>
              <w:outlineLvl w:val="0"/>
              <w:rPr>
                <w:b/>
                <w:color w:val="000000"/>
                <w:sz w:val="18"/>
                <w:szCs w:val="18"/>
              </w:rPr>
            </w:pPr>
            <w:r w:rsidRPr="005444AA">
              <w:rPr>
                <w:b/>
                <w:color w:val="000000"/>
                <w:sz w:val="18"/>
                <w:szCs w:val="18"/>
              </w:rPr>
              <w:t>13,391,749</w:t>
            </w:r>
          </w:p>
        </w:tc>
      </w:tr>
    </w:tbl>
    <w:p w14:paraId="49CDD1F8" w14:textId="77777777" w:rsidR="009702B0" w:rsidRPr="005444AA" w:rsidRDefault="009702B0" w:rsidP="009702B0">
      <w:pPr>
        <w:tabs>
          <w:tab w:val="left" w:pos="-720"/>
        </w:tabs>
        <w:spacing w:after="0" w:line="240" w:lineRule="auto"/>
        <w:jc w:val="both"/>
        <w:rPr>
          <w:rFonts w:eastAsia="Times New Roman" w:cs="Calibri"/>
          <w:b/>
          <w:sz w:val="20"/>
          <w:szCs w:val="20"/>
          <w:lang w:eastAsia="hr-HR"/>
        </w:rPr>
      </w:pPr>
    </w:p>
    <w:p w14:paraId="77FCE16B" w14:textId="1530B976" w:rsidR="009702B0" w:rsidRPr="005444AA" w:rsidRDefault="009702B0" w:rsidP="005444AA">
      <w:pPr>
        <w:spacing w:after="0" w:line="240" w:lineRule="auto"/>
        <w:jc w:val="both"/>
        <w:rPr>
          <w:rFonts w:cs="Arial"/>
        </w:rPr>
      </w:pPr>
      <w:r w:rsidRPr="005444AA">
        <w:rPr>
          <w:rFonts w:cs="Arial"/>
        </w:rPr>
        <w:t xml:space="preserve">The </w:t>
      </w:r>
      <w:r w:rsidR="00B77E74">
        <w:rPr>
          <w:rFonts w:cs="Arial"/>
        </w:rPr>
        <w:t>B</w:t>
      </w:r>
      <w:r w:rsidRPr="005444AA">
        <w:rPr>
          <w:rFonts w:cs="Arial"/>
        </w:rPr>
        <w:t xml:space="preserve">ank is subject to </w:t>
      </w:r>
      <w:r w:rsidR="00441D44" w:rsidRPr="005444AA">
        <w:rPr>
          <w:rFonts w:cs="Arial"/>
        </w:rPr>
        <w:t>different</w:t>
      </w:r>
      <w:r w:rsidRPr="005444AA">
        <w:rPr>
          <w:rFonts w:cs="Arial"/>
        </w:rPr>
        <w:t xml:space="preserve"> financial c</w:t>
      </w:r>
      <w:r w:rsidR="00441D44" w:rsidRPr="005444AA">
        <w:rPr>
          <w:rFonts w:cs="Arial"/>
        </w:rPr>
        <w:t>ovenants arising</w:t>
      </w:r>
      <w:r w:rsidRPr="005444AA">
        <w:rPr>
          <w:rFonts w:cs="Arial"/>
        </w:rPr>
        <w:t xml:space="preserve"> from the Contract. As of </w:t>
      </w:r>
      <w:r w:rsidR="00F90F31" w:rsidRPr="005444AA">
        <w:rPr>
          <w:rFonts w:cs="Arial"/>
        </w:rPr>
        <w:t xml:space="preserve">30 </w:t>
      </w:r>
      <w:r w:rsidR="00882ECF">
        <w:rPr>
          <w:rFonts w:cs="Arial"/>
        </w:rPr>
        <w:t>September</w:t>
      </w:r>
      <w:r w:rsidR="00882ECF" w:rsidRPr="005444AA">
        <w:rPr>
          <w:rFonts w:cs="Arial"/>
        </w:rPr>
        <w:t xml:space="preserve"> </w:t>
      </w:r>
      <w:r w:rsidR="00F90F31" w:rsidRPr="005444AA">
        <w:rPr>
          <w:rFonts w:cs="Arial"/>
        </w:rPr>
        <w:t>2</w:t>
      </w:r>
      <w:r w:rsidR="003A1D32" w:rsidRPr="005444AA">
        <w:rPr>
          <w:rFonts w:cs="Arial"/>
        </w:rPr>
        <w:t>017</w:t>
      </w:r>
      <w:r w:rsidRPr="005444AA">
        <w:rPr>
          <w:rFonts w:cs="Arial"/>
        </w:rPr>
        <w:t xml:space="preserve"> the Bank was in compliance with all required financial </w:t>
      </w:r>
      <w:r w:rsidR="00272412" w:rsidRPr="005444AA">
        <w:rPr>
          <w:rFonts w:cs="Arial"/>
        </w:rPr>
        <w:t>covenants</w:t>
      </w:r>
      <w:r w:rsidRPr="005444AA">
        <w:rPr>
          <w:rFonts w:cs="Arial"/>
        </w:rPr>
        <w:t xml:space="preserve"> from the Contract.</w:t>
      </w:r>
    </w:p>
    <w:p w14:paraId="3B60CD44" w14:textId="77777777" w:rsidR="00E257C9" w:rsidRPr="006B318F" w:rsidRDefault="00E257C9" w:rsidP="005444AA">
      <w:pPr>
        <w:spacing w:after="0" w:line="240" w:lineRule="auto"/>
        <w:jc w:val="both"/>
        <w:rPr>
          <w:rFonts w:cs="Arial"/>
          <w:sz w:val="16"/>
          <w:szCs w:val="16"/>
        </w:rPr>
      </w:pPr>
    </w:p>
    <w:p w14:paraId="0BAF8C3D" w14:textId="4D08CF64" w:rsidR="00E257C9" w:rsidRPr="005444AA" w:rsidRDefault="00E257C9" w:rsidP="005444AA">
      <w:pPr>
        <w:spacing w:after="0" w:line="240" w:lineRule="auto"/>
        <w:jc w:val="both"/>
        <w:rPr>
          <w:rFonts w:cs="Arial"/>
        </w:rPr>
      </w:pPr>
      <w:r w:rsidRPr="005444AA">
        <w:rPr>
          <w:rFonts w:cs="Arial"/>
        </w:rPr>
        <w:t xml:space="preserve">Average interest rates on borrowings, on </w:t>
      </w:r>
      <w:r w:rsidR="00B77E74">
        <w:rPr>
          <w:rFonts w:cs="Arial"/>
        </w:rPr>
        <w:t>annual</w:t>
      </w:r>
      <w:r w:rsidR="00B77E74" w:rsidRPr="005444AA">
        <w:rPr>
          <w:rFonts w:cs="Arial"/>
        </w:rPr>
        <w:t xml:space="preserve"> </w:t>
      </w:r>
      <w:r w:rsidRPr="005444AA">
        <w:rPr>
          <w:rFonts w:cs="Arial"/>
        </w:rPr>
        <w:t xml:space="preserve">level, are </w:t>
      </w:r>
      <w:r w:rsidR="007778CC">
        <w:rPr>
          <w:rFonts w:cs="Arial"/>
        </w:rPr>
        <w:t>1.55</w:t>
      </w:r>
      <w:r w:rsidRPr="005444AA">
        <w:rPr>
          <w:rFonts w:cs="Arial"/>
        </w:rPr>
        <w:t>% (</w:t>
      </w:r>
      <w:r w:rsidR="003724ED" w:rsidRPr="005444AA">
        <w:rPr>
          <w:rFonts w:cs="Arial"/>
        </w:rPr>
        <w:t xml:space="preserve">1 January to 30 </w:t>
      </w:r>
      <w:r w:rsidR="00882ECF">
        <w:rPr>
          <w:rFonts w:cs="Arial"/>
        </w:rPr>
        <w:t>September</w:t>
      </w:r>
      <w:r w:rsidR="00882ECF" w:rsidRPr="005444AA">
        <w:rPr>
          <w:rFonts w:cs="Arial"/>
        </w:rPr>
        <w:t xml:space="preserve"> </w:t>
      </w:r>
      <w:r w:rsidR="003724ED" w:rsidRPr="005444AA">
        <w:rPr>
          <w:rFonts w:cs="Arial"/>
        </w:rPr>
        <w:t xml:space="preserve">2016: </w:t>
      </w:r>
      <w:r w:rsidR="007778CC">
        <w:rPr>
          <w:rFonts w:cs="Arial"/>
        </w:rPr>
        <w:t>1.71</w:t>
      </w:r>
      <w:r w:rsidR="003724ED" w:rsidRPr="005444AA">
        <w:rPr>
          <w:rFonts w:cs="Arial"/>
        </w:rPr>
        <w:t xml:space="preserve">%). </w:t>
      </w:r>
    </w:p>
    <w:p w14:paraId="68A3AE2A" w14:textId="1C21E05A" w:rsidR="00E257C9" w:rsidRDefault="00E257C9" w:rsidP="005444AA">
      <w:pPr>
        <w:spacing w:after="0" w:line="240" w:lineRule="auto"/>
        <w:jc w:val="both"/>
        <w:rPr>
          <w:rFonts w:cs="Arial"/>
        </w:rPr>
      </w:pPr>
      <w:r w:rsidRPr="005444AA">
        <w:rPr>
          <w:rFonts w:cs="Arial"/>
        </w:rPr>
        <w:t xml:space="preserve">Average interest rates represent </w:t>
      </w:r>
      <w:r w:rsidR="0046111C">
        <w:rPr>
          <w:rFonts w:cs="Arial"/>
        </w:rPr>
        <w:t>the</w:t>
      </w:r>
      <w:r w:rsidR="0046111C" w:rsidRPr="009A7C27">
        <w:t xml:space="preserve"> </w:t>
      </w:r>
      <w:r w:rsidRPr="005444AA">
        <w:rPr>
          <w:rFonts w:cs="Arial"/>
        </w:rPr>
        <w:t>ratio of interest expenses on borrowings and average</w:t>
      </w:r>
      <w:r w:rsidR="00707142">
        <w:rPr>
          <w:rFonts w:cs="Arial"/>
        </w:rPr>
        <w:t xml:space="preserve"> total</w:t>
      </w:r>
      <w:r w:rsidRPr="005444AA">
        <w:rPr>
          <w:rFonts w:cs="Arial"/>
        </w:rPr>
        <w:t xml:space="preserve"> liabilities.</w:t>
      </w:r>
    </w:p>
    <w:p w14:paraId="5AA89DCF" w14:textId="77777777" w:rsidR="00747C99" w:rsidRPr="006B318F" w:rsidRDefault="00747C99" w:rsidP="005444AA">
      <w:pPr>
        <w:spacing w:after="0" w:line="240" w:lineRule="auto"/>
        <w:jc w:val="both"/>
        <w:rPr>
          <w:rFonts w:cs="Arial"/>
          <w:sz w:val="16"/>
          <w:szCs w:val="16"/>
        </w:rPr>
      </w:pPr>
    </w:p>
    <w:p w14:paraId="6A5D6F53" w14:textId="77777777" w:rsidR="009702B0" w:rsidRPr="006B318F" w:rsidRDefault="009702B0" w:rsidP="009702B0">
      <w:pPr>
        <w:tabs>
          <w:tab w:val="left" w:pos="-720"/>
        </w:tabs>
        <w:spacing w:after="0" w:line="240" w:lineRule="auto"/>
        <w:jc w:val="both"/>
        <w:rPr>
          <w:rFonts w:eastAsia="Times New Roman" w:cs="Calibri"/>
          <w:b/>
          <w:sz w:val="16"/>
          <w:szCs w:val="16"/>
          <w:lang w:eastAsia="hr-HR"/>
        </w:rPr>
      </w:pPr>
    </w:p>
    <w:p w14:paraId="084D36FC" w14:textId="77777777" w:rsidR="009702B0" w:rsidRPr="009702B0" w:rsidRDefault="009702B0" w:rsidP="009702B0">
      <w:pPr>
        <w:tabs>
          <w:tab w:val="left" w:pos="-720"/>
        </w:tabs>
        <w:spacing w:after="0" w:line="240" w:lineRule="auto"/>
        <w:jc w:val="both"/>
        <w:rPr>
          <w:rFonts w:eastAsia="Times New Roman" w:cs="Calibri"/>
          <w:b/>
          <w:lang w:eastAsia="hr-HR"/>
        </w:rPr>
      </w:pPr>
      <w:r w:rsidRPr="009702B0">
        <w:rPr>
          <w:rFonts w:eastAsia="Times New Roman" w:cs="Calibri"/>
          <w:b/>
          <w:lang w:eastAsia="hr-HR"/>
        </w:rPr>
        <w:t xml:space="preserve">13. </w:t>
      </w:r>
      <w:r w:rsidRPr="009702B0">
        <w:rPr>
          <w:rFonts w:eastAsia="Times New Roman" w:cs="Calibri"/>
          <w:b/>
          <w:lang w:eastAsia="hr-HR"/>
        </w:rPr>
        <w:tab/>
        <w:t>Bonds payable</w:t>
      </w:r>
    </w:p>
    <w:p w14:paraId="154321D7" w14:textId="77777777" w:rsidR="009702B0" w:rsidRPr="00747C99" w:rsidRDefault="009702B0" w:rsidP="009702B0">
      <w:pPr>
        <w:tabs>
          <w:tab w:val="left" w:pos="-720"/>
        </w:tabs>
        <w:spacing w:after="0" w:line="240" w:lineRule="auto"/>
        <w:jc w:val="both"/>
        <w:rPr>
          <w:rFonts w:eastAsia="Times New Roman" w:cs="Calibri"/>
          <w:b/>
          <w:sz w:val="16"/>
          <w:szCs w:val="16"/>
          <w:lang w:eastAsia="hr-HR"/>
        </w:rPr>
      </w:pPr>
    </w:p>
    <w:p w14:paraId="4B75E2BD" w14:textId="77777777" w:rsidR="009702B0" w:rsidRPr="009702B0" w:rsidRDefault="009702B0" w:rsidP="009702B0">
      <w:pPr>
        <w:tabs>
          <w:tab w:val="left" w:pos="-720"/>
        </w:tabs>
        <w:spacing w:after="0" w:line="240" w:lineRule="auto"/>
        <w:jc w:val="both"/>
        <w:rPr>
          <w:rFonts w:eastAsia="Times New Roman" w:cs="Calibri"/>
          <w:lang w:eastAsia="hr-HR"/>
        </w:rPr>
      </w:pPr>
      <w:r w:rsidRPr="009702B0">
        <w:rPr>
          <w:rFonts w:eastAsia="Times New Roman" w:cs="Calibri"/>
          <w:lang w:eastAsia="hr-HR"/>
        </w:rPr>
        <w:t>The book value of bonds includes interest.</w:t>
      </w:r>
    </w:p>
    <w:p w14:paraId="048837E4" w14:textId="77777777" w:rsidR="009702B0" w:rsidRPr="006B318F" w:rsidRDefault="009702B0" w:rsidP="009702B0">
      <w:pPr>
        <w:tabs>
          <w:tab w:val="left" w:pos="-720"/>
        </w:tabs>
        <w:spacing w:after="0" w:line="240" w:lineRule="auto"/>
        <w:jc w:val="both"/>
        <w:rPr>
          <w:rFonts w:eastAsia="Times New Roman" w:cs="Calibri"/>
          <w:b/>
          <w:sz w:val="16"/>
          <w:szCs w:val="16"/>
          <w:lang w:eastAsia="hr-HR"/>
        </w:rPr>
      </w:pPr>
    </w:p>
    <w:tbl>
      <w:tblPr>
        <w:tblpPr w:leftFromText="181" w:rightFromText="181" w:vertAnchor="text" w:horzAnchor="margin" w:tblpX="-34" w:tblpY="1"/>
        <w:tblW w:w="5026" w:type="pct"/>
        <w:tblLayout w:type="fixed"/>
        <w:tblLook w:val="0000" w:firstRow="0" w:lastRow="0" w:firstColumn="0" w:lastColumn="0" w:noHBand="0" w:noVBand="0"/>
      </w:tblPr>
      <w:tblGrid>
        <w:gridCol w:w="3021"/>
        <w:gridCol w:w="1099"/>
        <w:gridCol w:w="1418"/>
        <w:gridCol w:w="1277"/>
        <w:gridCol w:w="1279"/>
        <w:gridCol w:w="1309"/>
      </w:tblGrid>
      <w:tr w:rsidR="009702B0" w:rsidRPr="009702B0" w14:paraId="0EA201B5" w14:textId="77777777" w:rsidTr="006B318F">
        <w:trPr>
          <w:trHeight w:val="721"/>
        </w:trPr>
        <w:tc>
          <w:tcPr>
            <w:tcW w:w="1606" w:type="pct"/>
            <w:vAlign w:val="center"/>
          </w:tcPr>
          <w:p w14:paraId="78D4E763" w14:textId="77777777" w:rsidR="009702B0" w:rsidRPr="009702B0" w:rsidRDefault="009702B0" w:rsidP="009702B0">
            <w:pPr>
              <w:tabs>
                <w:tab w:val="left" w:pos="-1843"/>
              </w:tabs>
              <w:suppressAutoHyphens/>
              <w:spacing w:after="0" w:line="240" w:lineRule="auto"/>
              <w:rPr>
                <w:rFonts w:eastAsia="Times New Roman" w:cs="Arial"/>
                <w:b/>
                <w:spacing w:val="-3"/>
                <w:sz w:val="20"/>
                <w:szCs w:val="20"/>
              </w:rPr>
            </w:pPr>
            <w:r w:rsidRPr="009702B0">
              <w:rPr>
                <w:rFonts w:eastAsia="Times New Roman" w:cs="Arial"/>
                <w:b/>
                <w:spacing w:val="-3"/>
                <w:sz w:val="20"/>
                <w:szCs w:val="20"/>
              </w:rPr>
              <w:t>Group and Bank</w:t>
            </w:r>
          </w:p>
        </w:tc>
        <w:tc>
          <w:tcPr>
            <w:tcW w:w="584" w:type="pct"/>
            <w:vAlign w:val="center"/>
          </w:tcPr>
          <w:p w14:paraId="1ABDBEB2" w14:textId="77777777" w:rsidR="009702B0" w:rsidRPr="009702B0" w:rsidRDefault="009702B0" w:rsidP="009702B0">
            <w:pPr>
              <w:tabs>
                <w:tab w:val="right" w:pos="1202"/>
              </w:tabs>
              <w:spacing w:after="0" w:line="240" w:lineRule="atLeast"/>
              <w:jc w:val="center"/>
              <w:outlineLvl w:val="0"/>
              <w:rPr>
                <w:rFonts w:eastAsia="Times New Roman" w:cs="Arial"/>
                <w:b/>
                <w:sz w:val="20"/>
                <w:szCs w:val="20"/>
              </w:rPr>
            </w:pPr>
            <w:r w:rsidRPr="009702B0">
              <w:rPr>
                <w:rFonts w:eastAsia="Times New Roman" w:cs="Arial"/>
                <w:b/>
                <w:sz w:val="20"/>
                <w:szCs w:val="20"/>
              </w:rPr>
              <w:t>Effective interest rate</w:t>
            </w:r>
          </w:p>
        </w:tc>
        <w:tc>
          <w:tcPr>
            <w:tcW w:w="754" w:type="pct"/>
            <w:vAlign w:val="bottom"/>
          </w:tcPr>
          <w:p w14:paraId="7C4984B5" w14:textId="77777777" w:rsidR="009702B0" w:rsidRPr="009702B0" w:rsidRDefault="009702B0" w:rsidP="009702B0">
            <w:pPr>
              <w:tabs>
                <w:tab w:val="right" w:pos="1202"/>
              </w:tabs>
              <w:spacing w:after="0" w:line="240" w:lineRule="atLeast"/>
              <w:jc w:val="right"/>
              <w:outlineLvl w:val="0"/>
              <w:rPr>
                <w:rFonts w:eastAsia="Times New Roman" w:cs="Arial"/>
                <w:b/>
                <w:sz w:val="20"/>
                <w:szCs w:val="20"/>
              </w:rPr>
            </w:pPr>
            <w:r w:rsidRPr="009702B0">
              <w:rPr>
                <w:rFonts w:eastAsia="Times New Roman" w:cs="Arial"/>
                <w:b/>
                <w:sz w:val="20"/>
                <w:szCs w:val="20"/>
              </w:rPr>
              <w:t xml:space="preserve">Fair </w:t>
            </w:r>
          </w:p>
          <w:p w14:paraId="2B750FFD" w14:textId="77777777" w:rsidR="009702B0" w:rsidRPr="009702B0" w:rsidRDefault="009702B0" w:rsidP="009702B0">
            <w:pPr>
              <w:tabs>
                <w:tab w:val="right" w:pos="1202"/>
              </w:tabs>
              <w:spacing w:after="0" w:line="240" w:lineRule="atLeast"/>
              <w:jc w:val="right"/>
              <w:outlineLvl w:val="0"/>
              <w:rPr>
                <w:rFonts w:eastAsia="Times New Roman" w:cs="Arial"/>
                <w:b/>
                <w:bCs/>
                <w:sz w:val="20"/>
                <w:szCs w:val="20"/>
              </w:rPr>
            </w:pPr>
            <w:r w:rsidRPr="009702B0">
              <w:rPr>
                <w:rFonts w:eastAsia="Times New Roman" w:cs="Arial"/>
                <w:b/>
                <w:sz w:val="20"/>
                <w:szCs w:val="20"/>
              </w:rPr>
              <w:t xml:space="preserve">value </w:t>
            </w:r>
            <w:r w:rsidRPr="009702B0">
              <w:rPr>
                <w:rFonts w:eastAsia="Times New Roman" w:cs="Arial"/>
                <w:b/>
                <w:bCs/>
                <w:sz w:val="20"/>
                <w:szCs w:val="20"/>
              </w:rPr>
              <w:t xml:space="preserve"> </w:t>
            </w:r>
          </w:p>
          <w:p w14:paraId="44F316AE" w14:textId="66090BDD" w:rsidR="009702B0" w:rsidRPr="009702B0" w:rsidRDefault="00393EE5" w:rsidP="009702B0">
            <w:pPr>
              <w:tabs>
                <w:tab w:val="right" w:pos="1202"/>
              </w:tabs>
              <w:spacing w:after="0" w:line="240" w:lineRule="atLeast"/>
              <w:jc w:val="right"/>
              <w:outlineLvl w:val="0"/>
              <w:rPr>
                <w:rFonts w:eastAsia="Times New Roman" w:cs="Arial"/>
                <w:b/>
                <w:sz w:val="20"/>
                <w:szCs w:val="20"/>
              </w:rPr>
            </w:pPr>
            <w:r>
              <w:rPr>
                <w:rFonts w:eastAsia="Times New Roman" w:cs="Arial"/>
                <w:b/>
                <w:bCs/>
                <w:sz w:val="20"/>
                <w:szCs w:val="20"/>
              </w:rPr>
              <w:t>Sep</w:t>
            </w:r>
            <w:r w:rsidRPr="00AA45A6">
              <w:rPr>
                <w:rFonts w:eastAsia="Times New Roman" w:cs="Arial"/>
                <w:b/>
                <w:bCs/>
                <w:sz w:val="20"/>
                <w:szCs w:val="20"/>
              </w:rPr>
              <w:t xml:space="preserve"> </w:t>
            </w:r>
            <w:r w:rsidR="00AA45A6" w:rsidRPr="00AA45A6">
              <w:rPr>
                <w:rFonts w:eastAsia="Times New Roman" w:cs="Arial"/>
                <w:b/>
                <w:bCs/>
                <w:sz w:val="20"/>
                <w:szCs w:val="20"/>
              </w:rPr>
              <w:t>30</w:t>
            </w:r>
            <w:r w:rsidR="003A1D32">
              <w:rPr>
                <w:rFonts w:eastAsia="Times New Roman" w:cs="Arial"/>
                <w:b/>
                <w:bCs/>
                <w:sz w:val="20"/>
                <w:szCs w:val="20"/>
              </w:rPr>
              <w:t>, 2017</w:t>
            </w:r>
          </w:p>
        </w:tc>
        <w:tc>
          <w:tcPr>
            <w:tcW w:w="679" w:type="pct"/>
            <w:vAlign w:val="bottom"/>
          </w:tcPr>
          <w:p w14:paraId="3CB9ECC6" w14:textId="77777777" w:rsidR="009702B0" w:rsidRPr="009702B0" w:rsidRDefault="009702B0" w:rsidP="009702B0">
            <w:pPr>
              <w:tabs>
                <w:tab w:val="right" w:pos="1202"/>
              </w:tabs>
              <w:spacing w:after="0" w:line="240" w:lineRule="atLeast"/>
              <w:ind w:left="-152"/>
              <w:jc w:val="right"/>
              <w:outlineLvl w:val="0"/>
              <w:rPr>
                <w:rFonts w:eastAsia="Times New Roman" w:cs="Arial"/>
                <w:b/>
                <w:sz w:val="20"/>
                <w:szCs w:val="20"/>
              </w:rPr>
            </w:pPr>
            <w:r w:rsidRPr="009702B0">
              <w:rPr>
                <w:rFonts w:eastAsia="Times New Roman" w:cs="Arial"/>
                <w:b/>
                <w:sz w:val="20"/>
                <w:szCs w:val="20"/>
              </w:rPr>
              <w:t>Net book value</w:t>
            </w:r>
          </w:p>
          <w:p w14:paraId="43BD406C" w14:textId="041903A4" w:rsidR="009702B0" w:rsidRPr="009702B0" w:rsidRDefault="00393EE5" w:rsidP="009702B0">
            <w:pPr>
              <w:tabs>
                <w:tab w:val="right" w:pos="1202"/>
              </w:tabs>
              <w:spacing w:after="0" w:line="240" w:lineRule="atLeast"/>
              <w:ind w:left="-152"/>
              <w:jc w:val="right"/>
              <w:outlineLvl w:val="0"/>
              <w:rPr>
                <w:rFonts w:eastAsia="Times New Roman" w:cs="Arial"/>
                <w:b/>
                <w:sz w:val="20"/>
                <w:szCs w:val="20"/>
              </w:rPr>
            </w:pPr>
            <w:r>
              <w:rPr>
                <w:rFonts w:eastAsia="Times New Roman" w:cs="Arial"/>
                <w:b/>
                <w:bCs/>
                <w:sz w:val="20"/>
                <w:szCs w:val="20"/>
              </w:rPr>
              <w:t>Sep</w:t>
            </w:r>
            <w:r w:rsidRPr="00AA45A6">
              <w:rPr>
                <w:rFonts w:eastAsia="Times New Roman" w:cs="Arial"/>
                <w:b/>
                <w:bCs/>
                <w:sz w:val="20"/>
                <w:szCs w:val="20"/>
              </w:rPr>
              <w:t xml:space="preserve"> </w:t>
            </w:r>
            <w:r w:rsidR="00AA45A6" w:rsidRPr="00AA45A6">
              <w:rPr>
                <w:rFonts w:eastAsia="Times New Roman" w:cs="Arial"/>
                <w:b/>
                <w:bCs/>
                <w:sz w:val="20"/>
                <w:szCs w:val="20"/>
              </w:rPr>
              <w:t>30</w:t>
            </w:r>
            <w:r w:rsidR="003A1D32">
              <w:rPr>
                <w:rFonts w:eastAsia="Times New Roman" w:cs="Arial"/>
                <w:b/>
                <w:bCs/>
                <w:sz w:val="20"/>
                <w:szCs w:val="20"/>
              </w:rPr>
              <w:t>, 2017</w:t>
            </w:r>
          </w:p>
        </w:tc>
        <w:tc>
          <w:tcPr>
            <w:tcW w:w="680" w:type="pct"/>
            <w:vAlign w:val="bottom"/>
          </w:tcPr>
          <w:p w14:paraId="4E5D3691" w14:textId="77777777" w:rsidR="009702B0" w:rsidRPr="009702B0" w:rsidRDefault="009702B0" w:rsidP="009702B0">
            <w:pPr>
              <w:tabs>
                <w:tab w:val="right" w:pos="1202"/>
              </w:tabs>
              <w:spacing w:after="0" w:line="240" w:lineRule="atLeast"/>
              <w:jc w:val="right"/>
              <w:outlineLvl w:val="0"/>
              <w:rPr>
                <w:rFonts w:eastAsia="Times New Roman" w:cs="Arial"/>
                <w:b/>
                <w:sz w:val="20"/>
                <w:szCs w:val="20"/>
              </w:rPr>
            </w:pPr>
            <w:r w:rsidRPr="009702B0">
              <w:rPr>
                <w:rFonts w:eastAsia="Times New Roman" w:cs="Arial"/>
                <w:b/>
                <w:sz w:val="20"/>
                <w:szCs w:val="20"/>
              </w:rPr>
              <w:t>Fair</w:t>
            </w:r>
          </w:p>
          <w:p w14:paraId="69032F84" w14:textId="77777777" w:rsidR="009702B0" w:rsidRPr="009702B0" w:rsidRDefault="009702B0" w:rsidP="009702B0">
            <w:pPr>
              <w:tabs>
                <w:tab w:val="right" w:pos="1202"/>
              </w:tabs>
              <w:spacing w:after="0" w:line="240" w:lineRule="atLeast"/>
              <w:jc w:val="right"/>
              <w:outlineLvl w:val="0"/>
              <w:rPr>
                <w:rFonts w:eastAsia="Times New Roman" w:cs="Arial"/>
                <w:b/>
                <w:sz w:val="20"/>
                <w:szCs w:val="20"/>
              </w:rPr>
            </w:pPr>
            <w:r w:rsidRPr="009702B0">
              <w:rPr>
                <w:rFonts w:eastAsia="Times New Roman" w:cs="Arial"/>
                <w:b/>
                <w:sz w:val="20"/>
                <w:szCs w:val="20"/>
              </w:rPr>
              <w:t xml:space="preserve"> value  </w:t>
            </w:r>
          </w:p>
          <w:p w14:paraId="3A42C8CC" w14:textId="77777777" w:rsidR="009702B0" w:rsidRPr="009702B0" w:rsidRDefault="009702B0" w:rsidP="009702B0">
            <w:pPr>
              <w:tabs>
                <w:tab w:val="right" w:pos="1202"/>
              </w:tabs>
              <w:spacing w:after="0" w:line="240" w:lineRule="atLeast"/>
              <w:jc w:val="right"/>
              <w:outlineLvl w:val="0"/>
              <w:rPr>
                <w:rFonts w:eastAsia="Times New Roman" w:cs="Arial"/>
                <w:b/>
                <w:sz w:val="20"/>
                <w:szCs w:val="20"/>
              </w:rPr>
            </w:pPr>
            <w:r w:rsidRPr="009702B0">
              <w:rPr>
                <w:rFonts w:eastAsia="Times New Roman" w:cs="Arial"/>
                <w:b/>
                <w:sz w:val="20"/>
                <w:szCs w:val="20"/>
              </w:rPr>
              <w:t>Dec 31, 2015</w:t>
            </w:r>
          </w:p>
        </w:tc>
        <w:tc>
          <w:tcPr>
            <w:tcW w:w="696" w:type="pct"/>
            <w:vAlign w:val="bottom"/>
          </w:tcPr>
          <w:p w14:paraId="2F1E1EE4" w14:textId="77777777" w:rsidR="009702B0" w:rsidRPr="009702B0" w:rsidRDefault="009702B0" w:rsidP="009702B0">
            <w:pPr>
              <w:tabs>
                <w:tab w:val="right" w:pos="1202"/>
              </w:tabs>
              <w:spacing w:after="0" w:line="240" w:lineRule="atLeast"/>
              <w:ind w:left="-152"/>
              <w:jc w:val="right"/>
              <w:outlineLvl w:val="0"/>
              <w:rPr>
                <w:rFonts w:eastAsia="Times New Roman" w:cs="Arial"/>
                <w:b/>
                <w:sz w:val="20"/>
                <w:szCs w:val="20"/>
              </w:rPr>
            </w:pPr>
            <w:r w:rsidRPr="009702B0">
              <w:rPr>
                <w:rFonts w:eastAsia="Times New Roman" w:cs="Arial"/>
                <w:b/>
                <w:sz w:val="20"/>
                <w:szCs w:val="20"/>
              </w:rPr>
              <w:t>Net book value</w:t>
            </w:r>
          </w:p>
          <w:p w14:paraId="3193D012" w14:textId="77777777" w:rsidR="009702B0" w:rsidRPr="009702B0" w:rsidRDefault="009702B0" w:rsidP="009702B0">
            <w:pPr>
              <w:tabs>
                <w:tab w:val="right" w:pos="1202"/>
              </w:tabs>
              <w:spacing w:after="0" w:line="240" w:lineRule="atLeast"/>
              <w:ind w:left="-152"/>
              <w:jc w:val="right"/>
              <w:outlineLvl w:val="0"/>
              <w:rPr>
                <w:rFonts w:eastAsia="Times New Roman" w:cs="Arial"/>
                <w:b/>
                <w:sz w:val="20"/>
                <w:szCs w:val="20"/>
              </w:rPr>
            </w:pPr>
            <w:r w:rsidRPr="009702B0">
              <w:rPr>
                <w:rFonts w:eastAsia="Times New Roman" w:cs="Arial"/>
                <w:b/>
                <w:sz w:val="20"/>
                <w:szCs w:val="20"/>
              </w:rPr>
              <w:t>Dec 31, 2015</w:t>
            </w:r>
          </w:p>
        </w:tc>
      </w:tr>
      <w:tr w:rsidR="00CD6F3D" w:rsidRPr="00185F3A" w:rsidDel="00CC32A8" w14:paraId="7252CF1B" w14:textId="77777777" w:rsidTr="006B318F">
        <w:trPr>
          <w:trHeight w:val="294"/>
        </w:trPr>
        <w:tc>
          <w:tcPr>
            <w:tcW w:w="1606" w:type="pct"/>
          </w:tcPr>
          <w:p w14:paraId="782834F2" w14:textId="77777777" w:rsidR="00CD6F3D" w:rsidRPr="005444AA" w:rsidRDefault="00CD6F3D" w:rsidP="00CD6F3D">
            <w:pPr>
              <w:tabs>
                <w:tab w:val="right" w:pos="1202"/>
              </w:tabs>
              <w:spacing w:after="0" w:line="301" w:lineRule="exact"/>
              <w:outlineLvl w:val="0"/>
              <w:rPr>
                <w:rFonts w:eastAsia="Times New Roman" w:cs="Arial"/>
                <w:sz w:val="18"/>
                <w:szCs w:val="18"/>
              </w:rPr>
            </w:pPr>
            <w:r w:rsidRPr="005444AA">
              <w:rPr>
                <w:rFonts w:eastAsia="Times New Roman" w:cs="Arial"/>
                <w:sz w:val="18"/>
                <w:szCs w:val="18"/>
              </w:rPr>
              <w:t>Bonds EUR 250 million</w:t>
            </w:r>
          </w:p>
        </w:tc>
        <w:tc>
          <w:tcPr>
            <w:tcW w:w="584" w:type="pct"/>
            <w:vAlign w:val="bottom"/>
          </w:tcPr>
          <w:p w14:paraId="398430F5" w14:textId="77777777" w:rsidR="00CD6F3D" w:rsidRPr="00A63E7A" w:rsidRDefault="00CD6F3D" w:rsidP="00CD6F3D">
            <w:pPr>
              <w:tabs>
                <w:tab w:val="right" w:pos="1202"/>
              </w:tabs>
              <w:spacing w:after="0" w:line="301" w:lineRule="exact"/>
              <w:jc w:val="center"/>
              <w:outlineLvl w:val="0"/>
              <w:rPr>
                <w:rFonts w:eastAsia="Times New Roman" w:cs="Arial"/>
                <w:sz w:val="18"/>
                <w:szCs w:val="18"/>
              </w:rPr>
            </w:pPr>
            <w:r w:rsidRPr="00A63E7A">
              <w:rPr>
                <w:rFonts w:eastAsia="Times New Roman" w:cs="Arial"/>
                <w:sz w:val="18"/>
                <w:szCs w:val="18"/>
              </w:rPr>
              <w:t>5.076</w:t>
            </w:r>
          </w:p>
        </w:tc>
        <w:tc>
          <w:tcPr>
            <w:tcW w:w="754" w:type="pct"/>
            <w:tcBorders>
              <w:top w:val="nil"/>
              <w:left w:val="nil"/>
              <w:bottom w:val="nil"/>
              <w:right w:val="nil"/>
            </w:tcBorders>
            <w:shd w:val="clear" w:color="auto" w:fill="auto"/>
            <w:vAlign w:val="bottom"/>
          </w:tcPr>
          <w:p w14:paraId="1F570963" w14:textId="4EAD62B3" w:rsidR="00CD6F3D" w:rsidRPr="005444AA" w:rsidRDefault="00CD6F3D" w:rsidP="00CD6F3D">
            <w:pPr>
              <w:tabs>
                <w:tab w:val="right" w:pos="1202"/>
              </w:tabs>
              <w:spacing w:after="0" w:line="301" w:lineRule="exact"/>
              <w:jc w:val="right"/>
              <w:outlineLvl w:val="0"/>
              <w:rPr>
                <w:rFonts w:eastAsia="Times New Roman" w:cs="Arial"/>
                <w:sz w:val="18"/>
                <w:szCs w:val="18"/>
              </w:rPr>
            </w:pPr>
            <w:r>
              <w:rPr>
                <w:color w:val="000000"/>
                <w:sz w:val="18"/>
                <w:szCs w:val="18"/>
              </w:rPr>
              <w:t>-</w:t>
            </w:r>
          </w:p>
        </w:tc>
        <w:tc>
          <w:tcPr>
            <w:tcW w:w="679" w:type="pct"/>
            <w:tcBorders>
              <w:top w:val="nil"/>
              <w:left w:val="nil"/>
              <w:bottom w:val="nil"/>
              <w:right w:val="nil"/>
            </w:tcBorders>
            <w:shd w:val="clear" w:color="auto" w:fill="auto"/>
            <w:vAlign w:val="bottom"/>
          </w:tcPr>
          <w:p w14:paraId="690FE165" w14:textId="6CB048BD" w:rsidR="00CD6F3D" w:rsidRPr="005444AA" w:rsidDel="00CC32A8" w:rsidRDefault="00CD6F3D" w:rsidP="00CD6F3D">
            <w:pPr>
              <w:tabs>
                <w:tab w:val="right" w:pos="1202"/>
              </w:tabs>
              <w:spacing w:after="0" w:line="301" w:lineRule="exact"/>
              <w:jc w:val="right"/>
              <w:outlineLvl w:val="0"/>
              <w:rPr>
                <w:rFonts w:eastAsia="Times New Roman" w:cs="Arial"/>
                <w:sz w:val="18"/>
                <w:szCs w:val="18"/>
              </w:rPr>
            </w:pPr>
            <w:r>
              <w:rPr>
                <w:color w:val="000000"/>
                <w:sz w:val="18"/>
                <w:szCs w:val="18"/>
              </w:rPr>
              <w:t>-</w:t>
            </w:r>
          </w:p>
        </w:tc>
        <w:tc>
          <w:tcPr>
            <w:tcW w:w="680" w:type="pct"/>
            <w:tcBorders>
              <w:top w:val="nil"/>
              <w:left w:val="nil"/>
              <w:bottom w:val="nil"/>
              <w:right w:val="nil"/>
            </w:tcBorders>
            <w:shd w:val="clear" w:color="auto" w:fill="auto"/>
            <w:vAlign w:val="bottom"/>
          </w:tcPr>
          <w:p w14:paraId="2146D601" w14:textId="77777777" w:rsidR="00CD6F3D" w:rsidRPr="005444AA" w:rsidRDefault="00CD6F3D" w:rsidP="00CD6F3D">
            <w:pPr>
              <w:tabs>
                <w:tab w:val="right" w:pos="1202"/>
              </w:tabs>
              <w:spacing w:after="0" w:line="240" w:lineRule="auto"/>
              <w:jc w:val="right"/>
              <w:outlineLvl w:val="0"/>
              <w:rPr>
                <w:rFonts w:eastAsia="Times New Roman" w:cs="Arial"/>
                <w:sz w:val="18"/>
                <w:szCs w:val="18"/>
              </w:rPr>
            </w:pPr>
            <w:r w:rsidRPr="005444AA">
              <w:rPr>
                <w:color w:val="000000"/>
                <w:sz w:val="18"/>
                <w:szCs w:val="18"/>
              </w:rPr>
              <w:t>1,915,899</w:t>
            </w:r>
          </w:p>
        </w:tc>
        <w:tc>
          <w:tcPr>
            <w:tcW w:w="696" w:type="pct"/>
            <w:tcBorders>
              <w:top w:val="nil"/>
              <w:left w:val="nil"/>
              <w:bottom w:val="nil"/>
              <w:right w:val="nil"/>
            </w:tcBorders>
            <w:shd w:val="clear" w:color="auto" w:fill="auto"/>
            <w:vAlign w:val="bottom"/>
          </w:tcPr>
          <w:p w14:paraId="358CB6EF" w14:textId="77777777" w:rsidR="00CD6F3D" w:rsidRPr="005444AA" w:rsidRDefault="00CD6F3D" w:rsidP="00CD6F3D">
            <w:pPr>
              <w:tabs>
                <w:tab w:val="right" w:pos="1202"/>
              </w:tabs>
              <w:spacing w:after="0" w:line="240" w:lineRule="auto"/>
              <w:jc w:val="right"/>
              <w:outlineLvl w:val="0"/>
              <w:rPr>
                <w:rFonts w:eastAsia="Times New Roman" w:cs="Arial"/>
                <w:sz w:val="18"/>
                <w:szCs w:val="18"/>
              </w:rPr>
            </w:pPr>
            <w:r w:rsidRPr="005444AA">
              <w:rPr>
                <w:color w:val="000000"/>
                <w:sz w:val="18"/>
                <w:szCs w:val="18"/>
              </w:rPr>
              <w:t>1,888,837</w:t>
            </w:r>
          </w:p>
        </w:tc>
      </w:tr>
      <w:tr w:rsidR="00CD6F3D" w:rsidRPr="00185F3A" w14:paraId="138C081C" w14:textId="77777777" w:rsidTr="006B318F">
        <w:trPr>
          <w:trHeight w:val="294"/>
        </w:trPr>
        <w:tc>
          <w:tcPr>
            <w:tcW w:w="1606" w:type="pct"/>
          </w:tcPr>
          <w:p w14:paraId="6DE0284E" w14:textId="77777777" w:rsidR="00CD6F3D" w:rsidRPr="005444AA" w:rsidRDefault="00CD6F3D" w:rsidP="00CD6F3D">
            <w:pPr>
              <w:tabs>
                <w:tab w:val="right" w:pos="1202"/>
              </w:tabs>
              <w:spacing w:after="0" w:line="301" w:lineRule="exact"/>
              <w:outlineLvl w:val="0"/>
              <w:rPr>
                <w:rFonts w:eastAsia="Times New Roman" w:cs="Arial"/>
                <w:sz w:val="18"/>
                <w:szCs w:val="18"/>
              </w:rPr>
            </w:pPr>
            <w:r w:rsidRPr="005444AA">
              <w:rPr>
                <w:rFonts w:eastAsia="Times New Roman" w:cs="Arial"/>
                <w:sz w:val="18"/>
                <w:szCs w:val="18"/>
              </w:rPr>
              <w:t>Bonds EUR 150 million</w:t>
            </w:r>
          </w:p>
        </w:tc>
        <w:tc>
          <w:tcPr>
            <w:tcW w:w="584" w:type="pct"/>
            <w:vAlign w:val="bottom"/>
          </w:tcPr>
          <w:p w14:paraId="4B772EF2" w14:textId="77777777" w:rsidR="00CD6F3D" w:rsidRPr="00A63E7A" w:rsidRDefault="00CD6F3D" w:rsidP="00CD6F3D">
            <w:pPr>
              <w:tabs>
                <w:tab w:val="right" w:pos="1202"/>
              </w:tabs>
              <w:spacing w:after="0" w:line="301" w:lineRule="exact"/>
              <w:jc w:val="center"/>
              <w:outlineLvl w:val="0"/>
              <w:rPr>
                <w:rFonts w:eastAsia="Times New Roman" w:cs="Arial"/>
                <w:sz w:val="18"/>
                <w:szCs w:val="18"/>
              </w:rPr>
            </w:pPr>
            <w:r w:rsidRPr="00A63E7A">
              <w:rPr>
                <w:rFonts w:eastAsia="Times New Roman" w:cs="Arial"/>
                <w:sz w:val="18"/>
                <w:szCs w:val="18"/>
              </w:rPr>
              <w:t>6.37</w:t>
            </w:r>
          </w:p>
        </w:tc>
        <w:tc>
          <w:tcPr>
            <w:tcW w:w="754" w:type="pct"/>
            <w:tcBorders>
              <w:top w:val="nil"/>
              <w:left w:val="nil"/>
              <w:bottom w:val="nil"/>
              <w:right w:val="nil"/>
            </w:tcBorders>
            <w:shd w:val="clear" w:color="auto" w:fill="auto"/>
            <w:vAlign w:val="bottom"/>
          </w:tcPr>
          <w:p w14:paraId="3650E86F" w14:textId="41E36116" w:rsidR="00CD6F3D" w:rsidRPr="005444AA" w:rsidRDefault="00CD6F3D" w:rsidP="00CD6F3D">
            <w:pPr>
              <w:tabs>
                <w:tab w:val="right" w:pos="1202"/>
              </w:tabs>
              <w:spacing w:after="0" w:line="301" w:lineRule="exact"/>
              <w:jc w:val="right"/>
              <w:outlineLvl w:val="0"/>
              <w:rPr>
                <w:rFonts w:eastAsia="Times New Roman" w:cs="Arial"/>
                <w:sz w:val="18"/>
                <w:szCs w:val="18"/>
              </w:rPr>
            </w:pPr>
            <w:r w:rsidRPr="001136D5">
              <w:rPr>
                <w:color w:val="000000"/>
                <w:sz w:val="18"/>
                <w:szCs w:val="18"/>
              </w:rPr>
              <w:t>1</w:t>
            </w:r>
            <w:r>
              <w:rPr>
                <w:color w:val="000000"/>
                <w:sz w:val="18"/>
                <w:szCs w:val="18"/>
              </w:rPr>
              <w:t>,</w:t>
            </w:r>
            <w:r w:rsidRPr="001136D5">
              <w:rPr>
                <w:color w:val="000000"/>
                <w:sz w:val="18"/>
                <w:szCs w:val="18"/>
              </w:rPr>
              <w:t>251</w:t>
            </w:r>
            <w:r>
              <w:rPr>
                <w:color w:val="000000"/>
                <w:sz w:val="18"/>
                <w:szCs w:val="18"/>
              </w:rPr>
              <w:t>,</w:t>
            </w:r>
            <w:r w:rsidRPr="001136D5">
              <w:rPr>
                <w:color w:val="000000"/>
                <w:sz w:val="18"/>
                <w:szCs w:val="18"/>
              </w:rPr>
              <w:t>981</w:t>
            </w:r>
          </w:p>
        </w:tc>
        <w:tc>
          <w:tcPr>
            <w:tcW w:w="679" w:type="pct"/>
            <w:tcBorders>
              <w:top w:val="nil"/>
              <w:left w:val="nil"/>
              <w:bottom w:val="nil"/>
              <w:right w:val="nil"/>
            </w:tcBorders>
            <w:shd w:val="clear" w:color="auto" w:fill="auto"/>
            <w:vAlign w:val="bottom"/>
          </w:tcPr>
          <w:p w14:paraId="58F1C117" w14:textId="4B106E85" w:rsidR="00CD6F3D" w:rsidRPr="005444AA" w:rsidRDefault="00CD6F3D" w:rsidP="00CD6F3D">
            <w:pPr>
              <w:tabs>
                <w:tab w:val="right" w:pos="1202"/>
              </w:tabs>
              <w:spacing w:after="0" w:line="301" w:lineRule="exact"/>
              <w:jc w:val="right"/>
              <w:outlineLvl w:val="0"/>
              <w:rPr>
                <w:rFonts w:eastAsia="Times New Roman" w:cs="Arial"/>
                <w:sz w:val="18"/>
                <w:szCs w:val="18"/>
              </w:rPr>
            </w:pPr>
            <w:r w:rsidRPr="00FE65B6">
              <w:rPr>
                <w:color w:val="000000"/>
                <w:sz w:val="18"/>
                <w:szCs w:val="18"/>
              </w:rPr>
              <w:t>1</w:t>
            </w:r>
            <w:r>
              <w:rPr>
                <w:color w:val="000000"/>
                <w:sz w:val="18"/>
                <w:szCs w:val="18"/>
              </w:rPr>
              <w:t>,</w:t>
            </w:r>
            <w:r w:rsidRPr="00FE65B6">
              <w:rPr>
                <w:color w:val="000000"/>
                <w:sz w:val="18"/>
                <w:szCs w:val="18"/>
              </w:rPr>
              <w:t>114</w:t>
            </w:r>
            <w:r>
              <w:rPr>
                <w:color w:val="000000"/>
                <w:sz w:val="18"/>
                <w:szCs w:val="18"/>
              </w:rPr>
              <w:t>,</w:t>
            </w:r>
            <w:r w:rsidRPr="00FE65B6">
              <w:rPr>
                <w:color w:val="000000"/>
                <w:sz w:val="18"/>
                <w:szCs w:val="18"/>
              </w:rPr>
              <w:t>784</w:t>
            </w:r>
          </w:p>
        </w:tc>
        <w:tc>
          <w:tcPr>
            <w:tcW w:w="680" w:type="pct"/>
            <w:tcBorders>
              <w:top w:val="nil"/>
              <w:left w:val="nil"/>
              <w:bottom w:val="nil"/>
              <w:right w:val="nil"/>
            </w:tcBorders>
            <w:shd w:val="clear" w:color="auto" w:fill="auto"/>
            <w:vAlign w:val="bottom"/>
          </w:tcPr>
          <w:p w14:paraId="4D89763B" w14:textId="77777777" w:rsidR="00CD6F3D" w:rsidRPr="005444AA" w:rsidRDefault="00CD6F3D" w:rsidP="00CD6F3D">
            <w:pPr>
              <w:tabs>
                <w:tab w:val="right" w:pos="1202"/>
              </w:tabs>
              <w:spacing w:after="0" w:line="240" w:lineRule="auto"/>
              <w:jc w:val="right"/>
              <w:outlineLvl w:val="0"/>
              <w:rPr>
                <w:rFonts w:eastAsia="Times New Roman" w:cs="Arial"/>
                <w:sz w:val="18"/>
                <w:szCs w:val="18"/>
              </w:rPr>
            </w:pPr>
            <w:r w:rsidRPr="005444AA">
              <w:rPr>
                <w:color w:val="000000"/>
                <w:sz w:val="18"/>
                <w:szCs w:val="18"/>
              </w:rPr>
              <w:t>1,270,695</w:t>
            </w:r>
          </w:p>
        </w:tc>
        <w:tc>
          <w:tcPr>
            <w:tcW w:w="696" w:type="pct"/>
            <w:tcBorders>
              <w:top w:val="nil"/>
              <w:left w:val="nil"/>
              <w:bottom w:val="nil"/>
              <w:right w:val="nil"/>
            </w:tcBorders>
            <w:shd w:val="clear" w:color="auto" w:fill="auto"/>
            <w:vAlign w:val="bottom"/>
          </w:tcPr>
          <w:p w14:paraId="2D899E56" w14:textId="77777777" w:rsidR="00CD6F3D" w:rsidRPr="005444AA" w:rsidRDefault="00CD6F3D" w:rsidP="00CD6F3D">
            <w:pPr>
              <w:tabs>
                <w:tab w:val="right" w:pos="1202"/>
              </w:tabs>
              <w:spacing w:after="0" w:line="240" w:lineRule="auto"/>
              <w:jc w:val="right"/>
              <w:outlineLvl w:val="0"/>
              <w:rPr>
                <w:rFonts w:eastAsia="Times New Roman" w:cs="Arial"/>
                <w:sz w:val="18"/>
                <w:szCs w:val="18"/>
              </w:rPr>
            </w:pPr>
            <w:r w:rsidRPr="005444AA">
              <w:rPr>
                <w:color w:val="000000"/>
                <w:sz w:val="18"/>
                <w:szCs w:val="18"/>
              </w:rPr>
              <w:t>1,121,261</w:t>
            </w:r>
          </w:p>
        </w:tc>
      </w:tr>
      <w:tr w:rsidR="00CD6F3D" w:rsidRPr="00185F3A" w14:paraId="1358342F" w14:textId="77777777" w:rsidTr="006B318F">
        <w:trPr>
          <w:trHeight w:val="225"/>
        </w:trPr>
        <w:tc>
          <w:tcPr>
            <w:tcW w:w="1606" w:type="pct"/>
          </w:tcPr>
          <w:p w14:paraId="7E1FDCDB" w14:textId="77777777" w:rsidR="00CD6F3D" w:rsidRPr="005444AA" w:rsidRDefault="00CD6F3D" w:rsidP="00CD6F3D">
            <w:pPr>
              <w:tabs>
                <w:tab w:val="right" w:pos="1202"/>
              </w:tabs>
              <w:spacing w:after="0" w:line="301" w:lineRule="exact"/>
              <w:outlineLvl w:val="0"/>
              <w:rPr>
                <w:rFonts w:eastAsia="Times New Roman" w:cs="Arial"/>
                <w:sz w:val="18"/>
                <w:szCs w:val="18"/>
              </w:rPr>
            </w:pPr>
            <w:r w:rsidRPr="005444AA">
              <w:rPr>
                <w:rFonts w:eastAsia="Times New Roman" w:cs="Arial"/>
                <w:sz w:val="18"/>
                <w:szCs w:val="18"/>
              </w:rPr>
              <w:t>Accrued interest</w:t>
            </w:r>
          </w:p>
        </w:tc>
        <w:tc>
          <w:tcPr>
            <w:tcW w:w="584" w:type="pct"/>
            <w:vAlign w:val="bottom"/>
          </w:tcPr>
          <w:p w14:paraId="2768B0BA" w14:textId="77777777" w:rsidR="00CD6F3D" w:rsidRPr="005444AA" w:rsidRDefault="00CD6F3D" w:rsidP="00CD6F3D">
            <w:pPr>
              <w:tabs>
                <w:tab w:val="right" w:pos="1202"/>
              </w:tabs>
              <w:spacing w:after="0" w:line="301" w:lineRule="exact"/>
              <w:jc w:val="center"/>
              <w:outlineLvl w:val="0"/>
              <w:rPr>
                <w:rFonts w:eastAsia="Times New Roman" w:cs="Arial"/>
                <w:sz w:val="18"/>
                <w:szCs w:val="18"/>
              </w:rPr>
            </w:pPr>
          </w:p>
        </w:tc>
        <w:tc>
          <w:tcPr>
            <w:tcW w:w="754" w:type="pct"/>
            <w:tcBorders>
              <w:top w:val="nil"/>
              <w:left w:val="nil"/>
              <w:bottom w:val="nil"/>
              <w:right w:val="nil"/>
            </w:tcBorders>
            <w:shd w:val="clear" w:color="auto" w:fill="auto"/>
            <w:vAlign w:val="bottom"/>
          </w:tcPr>
          <w:p w14:paraId="76508A16" w14:textId="506CC2E0" w:rsidR="00CD6F3D" w:rsidRPr="005444AA" w:rsidRDefault="00CD6F3D" w:rsidP="00CD6F3D">
            <w:pPr>
              <w:tabs>
                <w:tab w:val="right" w:pos="1202"/>
              </w:tabs>
              <w:spacing w:after="0" w:line="301" w:lineRule="exact"/>
              <w:jc w:val="right"/>
              <w:outlineLvl w:val="0"/>
              <w:rPr>
                <w:rFonts w:eastAsia="Times New Roman" w:cs="Arial"/>
                <w:sz w:val="18"/>
                <w:szCs w:val="18"/>
              </w:rPr>
            </w:pPr>
            <w:r>
              <w:rPr>
                <w:color w:val="000000"/>
                <w:sz w:val="18"/>
                <w:szCs w:val="18"/>
              </w:rPr>
              <w:t>-</w:t>
            </w:r>
          </w:p>
        </w:tc>
        <w:tc>
          <w:tcPr>
            <w:tcW w:w="679" w:type="pct"/>
            <w:tcBorders>
              <w:top w:val="nil"/>
              <w:left w:val="nil"/>
              <w:bottom w:val="nil"/>
              <w:right w:val="nil"/>
            </w:tcBorders>
            <w:shd w:val="clear" w:color="auto" w:fill="auto"/>
            <w:vAlign w:val="bottom"/>
          </w:tcPr>
          <w:p w14:paraId="0ACE68E1" w14:textId="777CEE0D" w:rsidR="00CD6F3D" w:rsidRPr="005444AA" w:rsidRDefault="00CD6F3D" w:rsidP="00CD6F3D">
            <w:pPr>
              <w:tabs>
                <w:tab w:val="right" w:pos="1202"/>
              </w:tabs>
              <w:spacing w:after="0" w:line="301" w:lineRule="exact"/>
              <w:jc w:val="right"/>
              <w:outlineLvl w:val="0"/>
              <w:rPr>
                <w:rFonts w:eastAsia="Times New Roman" w:cs="Arial"/>
                <w:sz w:val="18"/>
                <w:szCs w:val="18"/>
              </w:rPr>
            </w:pPr>
            <w:r w:rsidRPr="00FE65B6">
              <w:rPr>
                <w:color w:val="000000"/>
                <w:sz w:val="18"/>
                <w:szCs w:val="18"/>
              </w:rPr>
              <w:t>26</w:t>
            </w:r>
            <w:r>
              <w:rPr>
                <w:color w:val="000000"/>
                <w:sz w:val="18"/>
                <w:szCs w:val="18"/>
              </w:rPr>
              <w:t>,</w:t>
            </w:r>
            <w:r w:rsidRPr="00FE65B6">
              <w:rPr>
                <w:color w:val="000000"/>
                <w:sz w:val="18"/>
                <w:szCs w:val="18"/>
              </w:rPr>
              <w:t>805</w:t>
            </w:r>
          </w:p>
        </w:tc>
        <w:tc>
          <w:tcPr>
            <w:tcW w:w="680" w:type="pct"/>
            <w:tcBorders>
              <w:top w:val="nil"/>
              <w:left w:val="nil"/>
              <w:bottom w:val="nil"/>
              <w:right w:val="nil"/>
            </w:tcBorders>
            <w:shd w:val="clear" w:color="auto" w:fill="auto"/>
            <w:vAlign w:val="bottom"/>
          </w:tcPr>
          <w:p w14:paraId="2B9A2F05" w14:textId="77777777" w:rsidR="00CD6F3D" w:rsidRPr="005444AA" w:rsidRDefault="00CD6F3D" w:rsidP="00CD6F3D">
            <w:pPr>
              <w:tabs>
                <w:tab w:val="right" w:pos="1202"/>
              </w:tabs>
              <w:spacing w:after="0" w:line="240" w:lineRule="auto"/>
              <w:jc w:val="right"/>
              <w:outlineLvl w:val="0"/>
              <w:rPr>
                <w:rFonts w:eastAsia="Times New Roman" w:cs="Arial"/>
                <w:sz w:val="18"/>
                <w:szCs w:val="18"/>
              </w:rPr>
            </w:pPr>
            <w:r w:rsidRPr="005444AA">
              <w:rPr>
                <w:color w:val="000000"/>
                <w:sz w:val="18"/>
                <w:szCs w:val="18"/>
              </w:rPr>
              <w:t xml:space="preserve"> - </w:t>
            </w:r>
          </w:p>
        </w:tc>
        <w:tc>
          <w:tcPr>
            <w:tcW w:w="696" w:type="pct"/>
            <w:tcBorders>
              <w:top w:val="nil"/>
              <w:left w:val="nil"/>
              <w:bottom w:val="nil"/>
              <w:right w:val="nil"/>
            </w:tcBorders>
            <w:shd w:val="clear" w:color="auto" w:fill="auto"/>
            <w:vAlign w:val="bottom"/>
          </w:tcPr>
          <w:p w14:paraId="550A9DE5" w14:textId="77777777" w:rsidR="00CD6F3D" w:rsidRPr="005444AA" w:rsidRDefault="00CD6F3D" w:rsidP="00CD6F3D">
            <w:pPr>
              <w:tabs>
                <w:tab w:val="right" w:pos="1202"/>
              </w:tabs>
              <w:spacing w:after="0" w:line="240" w:lineRule="auto"/>
              <w:jc w:val="right"/>
              <w:outlineLvl w:val="0"/>
              <w:rPr>
                <w:rFonts w:eastAsia="Times New Roman" w:cs="Arial"/>
                <w:sz w:val="18"/>
                <w:szCs w:val="18"/>
              </w:rPr>
            </w:pPr>
            <w:r w:rsidRPr="005444AA">
              <w:rPr>
                <w:color w:val="000000"/>
                <w:sz w:val="18"/>
                <w:szCs w:val="18"/>
              </w:rPr>
              <w:t>95,932</w:t>
            </w:r>
          </w:p>
        </w:tc>
      </w:tr>
      <w:tr w:rsidR="00CD6F3D" w:rsidRPr="00185F3A" w14:paraId="10F2E452" w14:textId="77777777" w:rsidTr="006B318F">
        <w:trPr>
          <w:trHeight w:val="340"/>
        </w:trPr>
        <w:tc>
          <w:tcPr>
            <w:tcW w:w="1606" w:type="pct"/>
          </w:tcPr>
          <w:p w14:paraId="39D6A852" w14:textId="77777777" w:rsidR="00CD6F3D" w:rsidRPr="005444AA" w:rsidRDefault="00CD6F3D" w:rsidP="00CD6F3D">
            <w:pPr>
              <w:tabs>
                <w:tab w:val="right" w:pos="1202"/>
              </w:tabs>
              <w:spacing w:after="0" w:line="240" w:lineRule="auto"/>
              <w:outlineLvl w:val="0"/>
              <w:rPr>
                <w:rFonts w:eastAsia="Times New Roman" w:cs="Arial"/>
                <w:sz w:val="18"/>
                <w:szCs w:val="18"/>
              </w:rPr>
            </w:pPr>
            <w:r w:rsidRPr="005444AA">
              <w:rPr>
                <w:rFonts w:eastAsia="Times New Roman" w:cs="Arial"/>
                <w:sz w:val="18"/>
                <w:szCs w:val="18"/>
              </w:rPr>
              <w:t>Deferred recognition of bond payable origination fees</w:t>
            </w:r>
          </w:p>
        </w:tc>
        <w:tc>
          <w:tcPr>
            <w:tcW w:w="584" w:type="pct"/>
            <w:vAlign w:val="bottom"/>
          </w:tcPr>
          <w:p w14:paraId="7B0422EF" w14:textId="77777777" w:rsidR="00CD6F3D" w:rsidRPr="005444AA" w:rsidRDefault="00CD6F3D" w:rsidP="00CD6F3D">
            <w:pPr>
              <w:tabs>
                <w:tab w:val="right" w:pos="1202"/>
              </w:tabs>
              <w:spacing w:after="0" w:line="301" w:lineRule="exact"/>
              <w:jc w:val="center"/>
              <w:outlineLvl w:val="0"/>
              <w:rPr>
                <w:rFonts w:eastAsia="Times New Roman" w:cs="Arial"/>
                <w:sz w:val="18"/>
                <w:szCs w:val="18"/>
              </w:rPr>
            </w:pPr>
          </w:p>
        </w:tc>
        <w:tc>
          <w:tcPr>
            <w:tcW w:w="754" w:type="pct"/>
            <w:tcBorders>
              <w:top w:val="nil"/>
              <w:left w:val="nil"/>
              <w:bottom w:val="single" w:sz="4" w:space="0" w:color="auto"/>
              <w:right w:val="nil"/>
            </w:tcBorders>
            <w:shd w:val="clear" w:color="auto" w:fill="auto"/>
            <w:vAlign w:val="bottom"/>
          </w:tcPr>
          <w:p w14:paraId="68BD2029" w14:textId="0EC57165" w:rsidR="00CD6F3D" w:rsidRPr="005444AA" w:rsidRDefault="00CD6F3D" w:rsidP="00CD6F3D">
            <w:pPr>
              <w:tabs>
                <w:tab w:val="right" w:pos="1202"/>
              </w:tabs>
              <w:spacing w:after="0" w:line="301" w:lineRule="exact"/>
              <w:jc w:val="right"/>
              <w:outlineLvl w:val="0"/>
              <w:rPr>
                <w:rFonts w:eastAsia="Times New Roman" w:cs="Arial"/>
                <w:sz w:val="18"/>
                <w:szCs w:val="18"/>
              </w:rPr>
            </w:pPr>
            <w:r>
              <w:rPr>
                <w:color w:val="000000"/>
                <w:sz w:val="18"/>
                <w:szCs w:val="18"/>
              </w:rPr>
              <w:t>-</w:t>
            </w:r>
          </w:p>
        </w:tc>
        <w:tc>
          <w:tcPr>
            <w:tcW w:w="679" w:type="pct"/>
            <w:tcBorders>
              <w:top w:val="nil"/>
              <w:left w:val="nil"/>
              <w:bottom w:val="single" w:sz="4" w:space="0" w:color="auto"/>
              <w:right w:val="nil"/>
            </w:tcBorders>
            <w:shd w:val="clear" w:color="auto" w:fill="auto"/>
            <w:vAlign w:val="bottom"/>
          </w:tcPr>
          <w:p w14:paraId="3A87B01E" w14:textId="479BEF28" w:rsidR="00CD6F3D" w:rsidRPr="005444AA" w:rsidRDefault="00CD6F3D" w:rsidP="00CD6F3D">
            <w:pPr>
              <w:tabs>
                <w:tab w:val="right" w:pos="1202"/>
              </w:tabs>
              <w:spacing w:after="0" w:line="301" w:lineRule="exact"/>
              <w:jc w:val="right"/>
              <w:outlineLvl w:val="0"/>
              <w:rPr>
                <w:rFonts w:eastAsia="Times New Roman" w:cs="Arial"/>
                <w:sz w:val="18"/>
                <w:szCs w:val="18"/>
              </w:rPr>
            </w:pPr>
            <w:r w:rsidRPr="00FE65B6">
              <w:rPr>
                <w:color w:val="000000"/>
                <w:sz w:val="18"/>
                <w:szCs w:val="18"/>
              </w:rPr>
              <w:t xml:space="preserve"> (367)</w:t>
            </w:r>
          </w:p>
        </w:tc>
        <w:tc>
          <w:tcPr>
            <w:tcW w:w="680" w:type="pct"/>
            <w:tcBorders>
              <w:top w:val="nil"/>
              <w:left w:val="nil"/>
              <w:bottom w:val="single" w:sz="4" w:space="0" w:color="auto"/>
              <w:right w:val="nil"/>
            </w:tcBorders>
            <w:shd w:val="clear" w:color="auto" w:fill="auto"/>
            <w:vAlign w:val="bottom"/>
          </w:tcPr>
          <w:p w14:paraId="027C45F8" w14:textId="77777777" w:rsidR="00CD6F3D" w:rsidRPr="005444AA" w:rsidRDefault="00CD6F3D" w:rsidP="00CD6F3D">
            <w:pPr>
              <w:tabs>
                <w:tab w:val="right" w:pos="1202"/>
              </w:tabs>
              <w:spacing w:after="0" w:line="240" w:lineRule="auto"/>
              <w:jc w:val="right"/>
              <w:outlineLvl w:val="0"/>
              <w:rPr>
                <w:rFonts w:eastAsia="Times New Roman" w:cs="Arial"/>
                <w:sz w:val="18"/>
                <w:szCs w:val="18"/>
              </w:rPr>
            </w:pPr>
            <w:r w:rsidRPr="005444AA">
              <w:rPr>
                <w:color w:val="000000"/>
                <w:sz w:val="18"/>
                <w:szCs w:val="18"/>
              </w:rPr>
              <w:t xml:space="preserve"> - </w:t>
            </w:r>
          </w:p>
        </w:tc>
        <w:tc>
          <w:tcPr>
            <w:tcW w:w="696" w:type="pct"/>
            <w:tcBorders>
              <w:top w:val="nil"/>
              <w:left w:val="nil"/>
              <w:bottom w:val="single" w:sz="4" w:space="0" w:color="auto"/>
              <w:right w:val="nil"/>
            </w:tcBorders>
            <w:shd w:val="clear" w:color="auto" w:fill="auto"/>
            <w:vAlign w:val="bottom"/>
          </w:tcPr>
          <w:p w14:paraId="7494F11D" w14:textId="77777777" w:rsidR="00CD6F3D" w:rsidRPr="005444AA" w:rsidRDefault="00CD6F3D" w:rsidP="00CD6F3D">
            <w:pPr>
              <w:tabs>
                <w:tab w:val="right" w:pos="1202"/>
              </w:tabs>
              <w:spacing w:after="0" w:line="240" w:lineRule="auto"/>
              <w:jc w:val="right"/>
              <w:outlineLvl w:val="0"/>
              <w:rPr>
                <w:rFonts w:eastAsia="Times New Roman" w:cs="Arial"/>
                <w:sz w:val="18"/>
                <w:szCs w:val="18"/>
              </w:rPr>
            </w:pPr>
            <w:r w:rsidRPr="005444AA">
              <w:rPr>
                <w:color w:val="000000"/>
                <w:sz w:val="18"/>
                <w:szCs w:val="18"/>
              </w:rPr>
              <w:t xml:space="preserve"> (461)</w:t>
            </w:r>
          </w:p>
        </w:tc>
      </w:tr>
      <w:tr w:rsidR="00CD6F3D" w:rsidRPr="00185F3A" w14:paraId="591292D0" w14:textId="77777777" w:rsidTr="006B318F">
        <w:trPr>
          <w:trHeight w:val="328"/>
        </w:trPr>
        <w:tc>
          <w:tcPr>
            <w:tcW w:w="1606" w:type="pct"/>
          </w:tcPr>
          <w:p w14:paraId="512DCEDE" w14:textId="77777777" w:rsidR="00CD6F3D" w:rsidRPr="005444AA" w:rsidRDefault="00CD6F3D" w:rsidP="00CD6F3D">
            <w:pPr>
              <w:tabs>
                <w:tab w:val="left" w:pos="-1843"/>
              </w:tabs>
              <w:suppressAutoHyphens/>
              <w:spacing w:after="0" w:line="240" w:lineRule="auto"/>
              <w:rPr>
                <w:rFonts w:eastAsia="Times New Roman" w:cs="Arial"/>
                <w:b/>
                <w:bCs/>
                <w:spacing w:val="-3"/>
                <w:sz w:val="18"/>
                <w:szCs w:val="18"/>
                <w:u w:val="single"/>
              </w:rPr>
            </w:pPr>
          </w:p>
        </w:tc>
        <w:tc>
          <w:tcPr>
            <w:tcW w:w="584" w:type="pct"/>
            <w:vAlign w:val="bottom"/>
          </w:tcPr>
          <w:p w14:paraId="6565F383" w14:textId="77777777" w:rsidR="00CD6F3D" w:rsidRPr="005444AA" w:rsidRDefault="00CD6F3D" w:rsidP="00CD6F3D">
            <w:pPr>
              <w:tabs>
                <w:tab w:val="right" w:pos="1202"/>
              </w:tabs>
              <w:spacing w:after="0" w:line="340" w:lineRule="exact"/>
              <w:jc w:val="right"/>
              <w:outlineLvl w:val="0"/>
              <w:rPr>
                <w:rFonts w:eastAsia="Times New Roman" w:cs="Arial"/>
                <w:b/>
                <w:bCs/>
                <w:sz w:val="18"/>
                <w:szCs w:val="18"/>
              </w:rPr>
            </w:pPr>
          </w:p>
        </w:tc>
        <w:tc>
          <w:tcPr>
            <w:tcW w:w="754" w:type="pct"/>
            <w:tcBorders>
              <w:top w:val="single" w:sz="4" w:space="0" w:color="auto"/>
              <w:left w:val="nil"/>
              <w:bottom w:val="single" w:sz="12" w:space="0" w:color="auto"/>
              <w:right w:val="nil"/>
            </w:tcBorders>
            <w:shd w:val="clear" w:color="auto" w:fill="auto"/>
            <w:vAlign w:val="center"/>
          </w:tcPr>
          <w:p w14:paraId="133BD2C4" w14:textId="4432A59A" w:rsidR="00CD6F3D" w:rsidRPr="005444AA" w:rsidRDefault="00CD6F3D" w:rsidP="00CD6F3D">
            <w:pPr>
              <w:tabs>
                <w:tab w:val="right" w:pos="1202"/>
              </w:tabs>
              <w:spacing w:after="0" w:line="340" w:lineRule="exact"/>
              <w:jc w:val="right"/>
              <w:outlineLvl w:val="0"/>
              <w:rPr>
                <w:rFonts w:eastAsia="Times New Roman" w:cs="Arial"/>
                <w:b/>
                <w:bCs/>
                <w:sz w:val="18"/>
                <w:szCs w:val="18"/>
              </w:rPr>
            </w:pPr>
            <w:r w:rsidRPr="001136D5">
              <w:rPr>
                <w:b/>
                <w:color w:val="000000"/>
                <w:sz w:val="18"/>
                <w:szCs w:val="18"/>
              </w:rPr>
              <w:t>1</w:t>
            </w:r>
            <w:r>
              <w:rPr>
                <w:b/>
                <w:color w:val="000000"/>
                <w:sz w:val="18"/>
                <w:szCs w:val="18"/>
              </w:rPr>
              <w:t>,</w:t>
            </w:r>
            <w:r w:rsidRPr="001136D5">
              <w:rPr>
                <w:b/>
                <w:color w:val="000000"/>
                <w:sz w:val="18"/>
                <w:szCs w:val="18"/>
              </w:rPr>
              <w:t>251</w:t>
            </w:r>
            <w:r>
              <w:rPr>
                <w:b/>
                <w:color w:val="000000"/>
                <w:sz w:val="18"/>
                <w:szCs w:val="18"/>
              </w:rPr>
              <w:t>,</w:t>
            </w:r>
            <w:r w:rsidRPr="001136D5">
              <w:rPr>
                <w:b/>
                <w:color w:val="000000"/>
                <w:sz w:val="18"/>
                <w:szCs w:val="18"/>
              </w:rPr>
              <w:t>981</w:t>
            </w:r>
          </w:p>
        </w:tc>
        <w:tc>
          <w:tcPr>
            <w:tcW w:w="679" w:type="pct"/>
            <w:tcBorders>
              <w:top w:val="single" w:sz="4" w:space="0" w:color="auto"/>
              <w:left w:val="nil"/>
              <w:bottom w:val="single" w:sz="12" w:space="0" w:color="auto"/>
              <w:right w:val="nil"/>
            </w:tcBorders>
            <w:shd w:val="clear" w:color="auto" w:fill="auto"/>
            <w:vAlign w:val="center"/>
          </w:tcPr>
          <w:p w14:paraId="79116B70" w14:textId="6607D724" w:rsidR="00CD6F3D" w:rsidRPr="005444AA" w:rsidRDefault="00CD6F3D" w:rsidP="00CD6F3D">
            <w:pPr>
              <w:tabs>
                <w:tab w:val="right" w:pos="1202"/>
              </w:tabs>
              <w:spacing w:after="0" w:line="340" w:lineRule="exact"/>
              <w:jc w:val="right"/>
              <w:outlineLvl w:val="0"/>
              <w:rPr>
                <w:rFonts w:eastAsiaTheme="minorHAnsi" w:cstheme="minorBidi"/>
                <w:b/>
                <w:color w:val="000000"/>
                <w:sz w:val="18"/>
                <w:szCs w:val="18"/>
              </w:rPr>
            </w:pPr>
            <w:r w:rsidRPr="001136D5">
              <w:rPr>
                <w:b/>
                <w:color w:val="000000"/>
                <w:sz w:val="18"/>
                <w:szCs w:val="18"/>
              </w:rPr>
              <w:t>1</w:t>
            </w:r>
            <w:r>
              <w:rPr>
                <w:b/>
                <w:color w:val="000000"/>
                <w:sz w:val="18"/>
                <w:szCs w:val="18"/>
              </w:rPr>
              <w:t>,</w:t>
            </w:r>
            <w:r w:rsidRPr="001136D5">
              <w:rPr>
                <w:b/>
                <w:color w:val="000000"/>
                <w:sz w:val="18"/>
                <w:szCs w:val="18"/>
              </w:rPr>
              <w:t>141</w:t>
            </w:r>
            <w:r>
              <w:rPr>
                <w:b/>
                <w:color w:val="000000"/>
                <w:sz w:val="18"/>
                <w:szCs w:val="18"/>
              </w:rPr>
              <w:t>,</w:t>
            </w:r>
            <w:r w:rsidRPr="001136D5">
              <w:rPr>
                <w:b/>
                <w:color w:val="000000"/>
                <w:sz w:val="18"/>
                <w:szCs w:val="18"/>
              </w:rPr>
              <w:t>222</w:t>
            </w:r>
          </w:p>
        </w:tc>
        <w:tc>
          <w:tcPr>
            <w:tcW w:w="680" w:type="pct"/>
            <w:tcBorders>
              <w:top w:val="single" w:sz="4" w:space="0" w:color="auto"/>
              <w:left w:val="nil"/>
              <w:bottom w:val="single" w:sz="12" w:space="0" w:color="auto"/>
              <w:right w:val="nil"/>
            </w:tcBorders>
            <w:shd w:val="clear" w:color="auto" w:fill="auto"/>
            <w:vAlign w:val="bottom"/>
          </w:tcPr>
          <w:p w14:paraId="2C539768" w14:textId="77777777" w:rsidR="00CD6F3D" w:rsidRPr="005444AA" w:rsidRDefault="00CD6F3D" w:rsidP="00CD6F3D">
            <w:pPr>
              <w:tabs>
                <w:tab w:val="right" w:pos="1202"/>
              </w:tabs>
              <w:spacing w:after="0" w:line="340" w:lineRule="exact"/>
              <w:jc w:val="right"/>
              <w:outlineLvl w:val="0"/>
              <w:rPr>
                <w:rFonts w:eastAsiaTheme="minorHAnsi" w:cstheme="minorBidi"/>
                <w:b/>
                <w:color w:val="000000"/>
                <w:sz w:val="18"/>
                <w:szCs w:val="18"/>
              </w:rPr>
            </w:pPr>
            <w:r w:rsidRPr="005444AA">
              <w:rPr>
                <w:rFonts w:eastAsiaTheme="minorHAnsi" w:cstheme="minorBidi"/>
                <w:b/>
                <w:color w:val="000000"/>
                <w:sz w:val="18"/>
                <w:szCs w:val="18"/>
              </w:rPr>
              <w:t>3,186,594</w:t>
            </w:r>
          </w:p>
        </w:tc>
        <w:tc>
          <w:tcPr>
            <w:tcW w:w="696" w:type="pct"/>
            <w:tcBorders>
              <w:top w:val="single" w:sz="4" w:space="0" w:color="auto"/>
              <w:left w:val="nil"/>
              <w:bottom w:val="single" w:sz="12" w:space="0" w:color="auto"/>
              <w:right w:val="nil"/>
            </w:tcBorders>
            <w:shd w:val="clear" w:color="auto" w:fill="auto"/>
            <w:vAlign w:val="bottom"/>
          </w:tcPr>
          <w:p w14:paraId="1DE44407" w14:textId="77777777" w:rsidR="00CD6F3D" w:rsidRPr="005444AA" w:rsidRDefault="00CD6F3D" w:rsidP="00CD6F3D">
            <w:pPr>
              <w:tabs>
                <w:tab w:val="right" w:pos="1202"/>
              </w:tabs>
              <w:spacing w:after="0" w:line="340" w:lineRule="exact"/>
              <w:jc w:val="right"/>
              <w:outlineLvl w:val="0"/>
              <w:rPr>
                <w:rFonts w:eastAsiaTheme="minorHAnsi" w:cstheme="minorBidi"/>
                <w:b/>
                <w:color w:val="000000"/>
                <w:sz w:val="18"/>
                <w:szCs w:val="18"/>
              </w:rPr>
            </w:pPr>
            <w:r w:rsidRPr="005444AA">
              <w:rPr>
                <w:rFonts w:eastAsiaTheme="minorHAnsi" w:cstheme="minorBidi"/>
                <w:b/>
                <w:color w:val="000000"/>
                <w:sz w:val="18"/>
                <w:szCs w:val="18"/>
              </w:rPr>
              <w:t>3,105,569</w:t>
            </w:r>
          </w:p>
        </w:tc>
      </w:tr>
    </w:tbl>
    <w:p w14:paraId="38972056" w14:textId="77777777" w:rsidR="009702B0" w:rsidRPr="00747C99" w:rsidRDefault="009702B0" w:rsidP="009702B0">
      <w:pPr>
        <w:tabs>
          <w:tab w:val="left" w:pos="-720"/>
          <w:tab w:val="left" w:pos="426"/>
        </w:tabs>
        <w:suppressAutoHyphens/>
        <w:spacing w:after="0" w:line="240" w:lineRule="auto"/>
        <w:ind w:left="720"/>
        <w:contextualSpacing/>
        <w:jc w:val="both"/>
        <w:rPr>
          <w:rFonts w:eastAsia="Times New Roman" w:cs="Calibri"/>
          <w:b/>
          <w:spacing w:val="-3"/>
          <w:sz w:val="14"/>
          <w:szCs w:val="14"/>
          <w:lang w:eastAsia="hr-HR"/>
        </w:rPr>
      </w:pPr>
    </w:p>
    <w:p w14:paraId="18C056DD" w14:textId="77777777" w:rsidR="009702B0" w:rsidRDefault="009702B0" w:rsidP="009702B0">
      <w:pPr>
        <w:spacing w:after="0" w:line="240" w:lineRule="auto"/>
        <w:jc w:val="both"/>
        <w:rPr>
          <w:rFonts w:cs="Arial"/>
        </w:rPr>
      </w:pPr>
      <w:r w:rsidRPr="009702B0">
        <w:rPr>
          <w:rFonts w:cs="Arial"/>
        </w:rPr>
        <w:t>The fair value of bonds issued by HBOR is presented by using level 2 inputs corroborated by the market and observable at Bloomberg service on the basis of the mid-rate of Bloomberg Generic prices (BGN)</w:t>
      </w:r>
      <w:r w:rsidR="003A659E">
        <w:rPr>
          <w:rFonts w:cs="Arial"/>
        </w:rPr>
        <w:t>.</w:t>
      </w:r>
    </w:p>
    <w:p w14:paraId="25D12B09" w14:textId="77777777" w:rsidR="00E257C9" w:rsidRPr="006B318F" w:rsidRDefault="00E257C9" w:rsidP="009702B0">
      <w:pPr>
        <w:spacing w:after="0" w:line="240" w:lineRule="auto"/>
        <w:jc w:val="both"/>
        <w:rPr>
          <w:rFonts w:cs="Arial"/>
          <w:sz w:val="16"/>
          <w:szCs w:val="16"/>
        </w:rPr>
      </w:pPr>
    </w:p>
    <w:p w14:paraId="646CCE6F" w14:textId="08EE4050" w:rsidR="00E257C9" w:rsidRPr="005444AA" w:rsidRDefault="00E257C9" w:rsidP="00E257C9">
      <w:pPr>
        <w:spacing w:after="0" w:line="240" w:lineRule="auto"/>
        <w:jc w:val="both"/>
        <w:rPr>
          <w:rFonts w:cs="Arial"/>
        </w:rPr>
      </w:pPr>
      <w:r w:rsidRPr="005444AA">
        <w:rPr>
          <w:rFonts w:cs="Arial"/>
        </w:rPr>
        <w:t>Average interest rates on bonds payable</w:t>
      </w:r>
      <w:r w:rsidR="003724ED" w:rsidRPr="005444AA">
        <w:rPr>
          <w:rFonts w:cs="Arial"/>
        </w:rPr>
        <w:t>, on yearly level,</w:t>
      </w:r>
      <w:r w:rsidRPr="005444AA">
        <w:rPr>
          <w:rFonts w:cs="Arial"/>
        </w:rPr>
        <w:t xml:space="preserve"> are </w:t>
      </w:r>
      <w:r w:rsidR="00CD6F3D">
        <w:rPr>
          <w:rFonts w:cs="Arial"/>
        </w:rPr>
        <w:t>0.72</w:t>
      </w:r>
      <w:r w:rsidRPr="005444AA">
        <w:rPr>
          <w:rFonts w:cs="Arial"/>
        </w:rPr>
        <w:t>% (</w:t>
      </w:r>
      <w:r w:rsidR="003724ED" w:rsidRPr="005444AA">
        <w:rPr>
          <w:rFonts w:cs="Arial"/>
        </w:rPr>
        <w:t xml:space="preserve">1 January to 30 </w:t>
      </w:r>
      <w:r w:rsidR="00882ECF">
        <w:rPr>
          <w:rFonts w:cs="Arial"/>
        </w:rPr>
        <w:t>September</w:t>
      </w:r>
      <w:r w:rsidR="00882ECF" w:rsidRPr="005444AA">
        <w:rPr>
          <w:rFonts w:cs="Arial"/>
        </w:rPr>
        <w:t xml:space="preserve"> </w:t>
      </w:r>
      <w:r w:rsidR="003724ED" w:rsidRPr="005444AA">
        <w:rPr>
          <w:rFonts w:cs="Arial"/>
        </w:rPr>
        <w:t xml:space="preserve">2016: </w:t>
      </w:r>
      <w:r w:rsidR="0018522E" w:rsidRPr="001E6E95">
        <w:rPr>
          <w:rFonts w:cs="Arial"/>
        </w:rPr>
        <w:t>1</w:t>
      </w:r>
      <w:r w:rsidR="003724ED" w:rsidRPr="001E6E95">
        <w:rPr>
          <w:rFonts w:cs="Arial"/>
        </w:rPr>
        <w:t>.</w:t>
      </w:r>
      <w:r w:rsidR="001E6E95" w:rsidRPr="001E6E95">
        <w:rPr>
          <w:rFonts w:cs="Arial"/>
        </w:rPr>
        <w:t>06</w:t>
      </w:r>
      <w:r w:rsidR="003724ED" w:rsidRPr="001E6E95">
        <w:rPr>
          <w:rFonts w:cs="Arial"/>
        </w:rPr>
        <w:t>%</w:t>
      </w:r>
      <w:r w:rsidR="003724ED" w:rsidRPr="005444AA">
        <w:rPr>
          <w:rFonts w:cs="Arial"/>
        </w:rPr>
        <w:t>).</w:t>
      </w:r>
    </w:p>
    <w:p w14:paraId="3D38742E" w14:textId="67CCD3C6" w:rsidR="00E257C9" w:rsidRPr="00E257C9" w:rsidRDefault="00E257C9" w:rsidP="00E257C9">
      <w:pPr>
        <w:spacing w:after="0" w:line="240" w:lineRule="auto"/>
        <w:jc w:val="both"/>
        <w:rPr>
          <w:rFonts w:asciiTheme="minorHAnsi" w:eastAsia="Times New Roman" w:hAnsiTheme="minorHAnsi" w:cs="Arial"/>
        </w:rPr>
      </w:pPr>
      <w:r w:rsidRPr="005444AA">
        <w:rPr>
          <w:rFonts w:cs="Arial"/>
        </w:rPr>
        <w:t xml:space="preserve">Average interest rates represent </w:t>
      </w:r>
      <w:r w:rsidR="00F63BBC">
        <w:rPr>
          <w:rFonts w:cs="Arial"/>
        </w:rPr>
        <w:t xml:space="preserve">the </w:t>
      </w:r>
      <w:r w:rsidRPr="005444AA">
        <w:rPr>
          <w:rFonts w:cs="Arial"/>
        </w:rPr>
        <w:t xml:space="preserve">ratio of interest expenses on bonds payable and average </w:t>
      </w:r>
      <w:r w:rsidR="00565EF9">
        <w:rPr>
          <w:rFonts w:cs="Arial"/>
        </w:rPr>
        <w:t xml:space="preserve">total </w:t>
      </w:r>
      <w:r w:rsidRPr="005444AA">
        <w:rPr>
          <w:rFonts w:cs="Arial"/>
        </w:rPr>
        <w:t>liabilities</w:t>
      </w:r>
      <w:r w:rsidRPr="00E257C9">
        <w:rPr>
          <w:rFonts w:asciiTheme="minorHAnsi" w:eastAsia="Times New Roman" w:hAnsiTheme="minorHAnsi" w:cs="Arial"/>
        </w:rPr>
        <w:t>.</w:t>
      </w:r>
    </w:p>
    <w:p w14:paraId="2BEBDC37" w14:textId="77777777" w:rsidR="003F2F86" w:rsidRPr="006B318F" w:rsidRDefault="003F2F86" w:rsidP="009702B0">
      <w:pPr>
        <w:spacing w:after="0" w:line="240" w:lineRule="auto"/>
        <w:jc w:val="both"/>
        <w:rPr>
          <w:rFonts w:cs="Arial"/>
          <w:b/>
          <w:sz w:val="16"/>
          <w:szCs w:val="16"/>
        </w:rPr>
      </w:pPr>
    </w:p>
    <w:p w14:paraId="4FDC3A83" w14:textId="37E54EB6" w:rsidR="00185F3A" w:rsidRPr="0011200B" w:rsidRDefault="009877D4" w:rsidP="005444AA">
      <w:pPr>
        <w:spacing w:after="0" w:line="240" w:lineRule="auto"/>
        <w:jc w:val="both"/>
        <w:rPr>
          <w:rFonts w:cs="Arial"/>
        </w:rPr>
      </w:pPr>
      <w:r w:rsidRPr="0011200B">
        <w:rPr>
          <w:rFonts w:cs="Arial"/>
        </w:rPr>
        <w:t>On 13 Jun</w:t>
      </w:r>
      <w:r w:rsidR="00F63BBC">
        <w:rPr>
          <w:rFonts w:cs="Arial"/>
        </w:rPr>
        <w:t>e</w:t>
      </w:r>
      <w:r w:rsidRPr="0011200B">
        <w:rPr>
          <w:rFonts w:cs="Arial"/>
        </w:rPr>
        <w:t xml:space="preserve"> 2017, HBOR redeemed long-term securities of HRK 1,852,051 thousan</w:t>
      </w:r>
      <w:r w:rsidR="00E257C9" w:rsidRPr="0011200B">
        <w:rPr>
          <w:rFonts w:cs="Arial"/>
        </w:rPr>
        <w:t>d</w:t>
      </w:r>
      <w:r w:rsidRPr="0011200B">
        <w:rPr>
          <w:rFonts w:cs="Arial"/>
        </w:rPr>
        <w:t xml:space="preserve"> together with interest of HRK 92</w:t>
      </w:r>
      <w:r w:rsidR="00F63BBC">
        <w:rPr>
          <w:rFonts w:cs="Arial"/>
        </w:rPr>
        <w:t>,</w:t>
      </w:r>
      <w:r w:rsidRPr="0011200B">
        <w:rPr>
          <w:rFonts w:cs="Arial"/>
        </w:rPr>
        <w:t>603 thousand.</w:t>
      </w:r>
    </w:p>
    <w:p w14:paraId="4EBD8569" w14:textId="77777777" w:rsidR="00185F3A" w:rsidRPr="005D16E9" w:rsidRDefault="00185F3A" w:rsidP="005444AA">
      <w:pPr>
        <w:spacing w:after="0" w:line="240" w:lineRule="auto"/>
        <w:jc w:val="both"/>
        <w:rPr>
          <w:rFonts w:cs="Arial"/>
          <w:sz w:val="16"/>
          <w:szCs w:val="16"/>
        </w:rPr>
      </w:pPr>
    </w:p>
    <w:p w14:paraId="4F23690D" w14:textId="60169831" w:rsidR="009702B0" w:rsidRPr="009702B0" w:rsidRDefault="009877D4" w:rsidP="005444AA">
      <w:pPr>
        <w:jc w:val="both"/>
        <w:rPr>
          <w:rFonts w:eastAsia="Times New Roman" w:cs="Calibri"/>
          <w:b/>
          <w:spacing w:val="-3"/>
          <w:sz w:val="24"/>
          <w:szCs w:val="24"/>
          <w:lang w:eastAsia="hr-HR"/>
        </w:rPr>
      </w:pPr>
      <w:r w:rsidRPr="00491B8D">
        <w:rPr>
          <w:rFonts w:cs="Arial"/>
        </w:rPr>
        <w:t xml:space="preserve">According to the Agreement </w:t>
      </w:r>
      <w:r w:rsidRPr="003B6E88">
        <w:rPr>
          <w:rFonts w:cs="Arial"/>
        </w:rPr>
        <w:t>between HBOR and Deutsche Bank AG London</w:t>
      </w:r>
      <w:r w:rsidR="00565EF9">
        <w:rPr>
          <w:rFonts w:cs="Arial"/>
        </w:rPr>
        <w:t xml:space="preserve"> Branch and J.P. Morgan Securities PLC</w:t>
      </w:r>
      <w:r w:rsidRPr="003B6E88">
        <w:rPr>
          <w:rFonts w:cs="Arial"/>
        </w:rPr>
        <w:t xml:space="preserve"> (as joint lead managers), </w:t>
      </w:r>
      <w:r w:rsidR="00F63BBC" w:rsidRPr="003B6E88">
        <w:rPr>
          <w:rFonts w:cs="Arial"/>
        </w:rPr>
        <w:t>on 1</w:t>
      </w:r>
      <w:r w:rsidR="00565EF9">
        <w:rPr>
          <w:rFonts w:cs="Arial"/>
        </w:rPr>
        <w:t>3</w:t>
      </w:r>
      <w:r w:rsidR="00F63BBC" w:rsidRPr="003B6E88">
        <w:rPr>
          <w:rFonts w:cs="Arial"/>
        </w:rPr>
        <w:t xml:space="preserve"> </w:t>
      </w:r>
      <w:r w:rsidR="00565EF9">
        <w:rPr>
          <w:rFonts w:cs="Arial"/>
        </w:rPr>
        <w:t>August</w:t>
      </w:r>
      <w:r w:rsidR="00F63BBC" w:rsidRPr="003B6E88">
        <w:rPr>
          <w:rFonts w:cs="Arial"/>
        </w:rPr>
        <w:t xml:space="preserve"> 20</w:t>
      </w:r>
      <w:r w:rsidR="00565EF9">
        <w:rPr>
          <w:rFonts w:cs="Arial"/>
        </w:rPr>
        <w:t>13</w:t>
      </w:r>
      <w:r w:rsidR="00F63BBC" w:rsidRPr="003B6E88">
        <w:rPr>
          <w:rFonts w:cs="Arial"/>
        </w:rPr>
        <w:t xml:space="preserve"> </w:t>
      </w:r>
      <w:r w:rsidRPr="003B6E88">
        <w:rPr>
          <w:rFonts w:cs="Arial"/>
        </w:rPr>
        <w:t xml:space="preserve">HBOR issued bonds of EUR </w:t>
      </w:r>
      <w:r w:rsidR="00565EF9">
        <w:rPr>
          <w:rFonts w:cs="Arial"/>
        </w:rPr>
        <w:t>1</w:t>
      </w:r>
      <w:r w:rsidRPr="003B6E88">
        <w:rPr>
          <w:rFonts w:cs="Arial"/>
        </w:rPr>
        <w:t>50,000 thousand</w:t>
      </w:r>
      <w:r w:rsidR="00565EF9">
        <w:rPr>
          <w:rFonts w:cs="Arial"/>
        </w:rPr>
        <w:t xml:space="preserve"> (HRK </w:t>
      </w:r>
      <w:r w:rsidR="00CD6F3D" w:rsidRPr="00CD6F3D">
        <w:rPr>
          <w:rFonts w:cs="Arial"/>
        </w:rPr>
        <w:t xml:space="preserve">1,114,784 </w:t>
      </w:r>
      <w:r w:rsidR="00565EF9">
        <w:rPr>
          <w:rFonts w:cs="Arial"/>
        </w:rPr>
        <w:t xml:space="preserve">thousand as at 30 </w:t>
      </w:r>
      <w:r w:rsidR="00305F5B">
        <w:rPr>
          <w:rFonts w:cs="Arial"/>
        </w:rPr>
        <w:t xml:space="preserve">September </w:t>
      </w:r>
      <w:r w:rsidR="00565EF9">
        <w:rPr>
          <w:rFonts w:cs="Arial"/>
        </w:rPr>
        <w:t xml:space="preserve">2017 and HRK </w:t>
      </w:r>
      <w:r w:rsidR="00CD6F3D" w:rsidRPr="00CD6F3D">
        <w:rPr>
          <w:rFonts w:cs="Arial"/>
        </w:rPr>
        <w:t xml:space="preserve">1,121,261 </w:t>
      </w:r>
      <w:r w:rsidR="00565EF9">
        <w:rPr>
          <w:rFonts w:cs="Arial"/>
        </w:rPr>
        <w:t>thousand as at 31 December 2016)</w:t>
      </w:r>
      <w:r w:rsidRPr="003B6E88">
        <w:rPr>
          <w:rFonts w:cs="Arial"/>
        </w:rPr>
        <w:t xml:space="preserve"> with maturity period of </w:t>
      </w:r>
      <w:r w:rsidR="00565EF9">
        <w:rPr>
          <w:rFonts w:cs="Arial"/>
        </w:rPr>
        <w:t>6</w:t>
      </w:r>
      <w:r w:rsidRPr="003B6E88">
        <w:rPr>
          <w:rFonts w:cs="Arial"/>
        </w:rPr>
        <w:t xml:space="preserve"> years </w:t>
      </w:r>
      <w:r w:rsidR="00565EF9">
        <w:rPr>
          <w:rFonts w:cs="Arial"/>
        </w:rPr>
        <w:t xml:space="preserve">and 9 months </w:t>
      </w:r>
      <w:r w:rsidRPr="003B6E88">
        <w:rPr>
          <w:rFonts w:cs="Arial"/>
        </w:rPr>
        <w:t xml:space="preserve">and fixed interest rate of </w:t>
      </w:r>
      <w:r w:rsidR="00565EF9">
        <w:rPr>
          <w:rFonts w:cs="Arial"/>
        </w:rPr>
        <w:t>6</w:t>
      </w:r>
      <w:r w:rsidRPr="003B6E88">
        <w:rPr>
          <w:rFonts w:cs="Arial"/>
        </w:rPr>
        <w:t>.0%.</w:t>
      </w:r>
    </w:p>
    <w:p w14:paraId="1C820306" w14:textId="77777777" w:rsidR="009702B0" w:rsidRPr="009702B0" w:rsidRDefault="009702B0" w:rsidP="009702B0">
      <w:pPr>
        <w:tabs>
          <w:tab w:val="left" w:pos="-720"/>
          <w:tab w:val="left" w:pos="426"/>
        </w:tabs>
        <w:suppressAutoHyphens/>
        <w:spacing w:after="0" w:line="240" w:lineRule="auto"/>
        <w:ind w:left="720"/>
        <w:contextualSpacing/>
        <w:jc w:val="both"/>
        <w:rPr>
          <w:rFonts w:eastAsia="Times New Roman" w:cs="Calibri"/>
          <w:b/>
          <w:spacing w:val="-3"/>
          <w:sz w:val="24"/>
          <w:szCs w:val="24"/>
          <w:lang w:eastAsia="hr-HR"/>
        </w:rPr>
        <w:sectPr w:rsidR="009702B0" w:rsidRPr="009702B0" w:rsidSect="00947CB7">
          <w:footerReference w:type="first" r:id="rId69"/>
          <w:pgSz w:w="11906" w:h="16838" w:code="9"/>
          <w:pgMar w:top="1418" w:right="1418" w:bottom="595" w:left="1134" w:header="709" w:footer="709" w:gutter="0"/>
          <w:cols w:space="708"/>
          <w:titlePg/>
          <w:docGrid w:linePitch="360"/>
        </w:sectPr>
      </w:pPr>
    </w:p>
    <w:p w14:paraId="42BAB4DA" w14:textId="77777777" w:rsidR="009702B0" w:rsidRPr="009702B0" w:rsidRDefault="009702B0" w:rsidP="009702B0">
      <w:pPr>
        <w:spacing w:after="0" w:line="240" w:lineRule="auto"/>
        <w:jc w:val="both"/>
        <w:rPr>
          <w:rFonts w:eastAsia="Times New Roman" w:cs="Calibri"/>
          <w:sz w:val="24"/>
          <w:szCs w:val="24"/>
          <w:lang w:eastAsia="hr-HR"/>
        </w:rPr>
      </w:pPr>
    </w:p>
    <w:p w14:paraId="0FB8E777" w14:textId="77777777" w:rsidR="009702B0" w:rsidRPr="009702B0" w:rsidRDefault="009702B0" w:rsidP="009702B0">
      <w:pPr>
        <w:tabs>
          <w:tab w:val="left" w:pos="-720"/>
          <w:tab w:val="left" w:pos="567"/>
        </w:tabs>
        <w:suppressAutoHyphens/>
        <w:spacing w:after="0" w:line="240" w:lineRule="auto"/>
        <w:jc w:val="both"/>
        <w:rPr>
          <w:rFonts w:eastAsia="Times New Roman" w:cs="Calibri"/>
          <w:b/>
          <w:spacing w:val="-3"/>
          <w:lang w:eastAsia="hr-HR"/>
        </w:rPr>
      </w:pPr>
      <w:r w:rsidRPr="009702B0">
        <w:rPr>
          <w:rFonts w:eastAsia="Times New Roman" w:cs="Calibri"/>
          <w:b/>
          <w:spacing w:val="-3"/>
          <w:lang w:eastAsia="hr-HR"/>
        </w:rPr>
        <w:t>14</w:t>
      </w:r>
      <w:r w:rsidR="0093213F">
        <w:rPr>
          <w:rFonts w:eastAsia="Times New Roman" w:cs="Calibri"/>
          <w:b/>
          <w:spacing w:val="-3"/>
          <w:lang w:eastAsia="hr-HR"/>
        </w:rPr>
        <w:t>.</w:t>
      </w:r>
      <w:r w:rsidRPr="009702B0">
        <w:rPr>
          <w:rFonts w:eastAsia="Times New Roman" w:cs="Calibri"/>
          <w:b/>
          <w:spacing w:val="-3"/>
          <w:lang w:eastAsia="hr-HR"/>
        </w:rPr>
        <w:t xml:space="preserve"> </w:t>
      </w:r>
      <w:r w:rsidRPr="009702B0">
        <w:rPr>
          <w:rFonts w:eastAsia="Times New Roman" w:cs="Calibri"/>
          <w:b/>
          <w:spacing w:val="-3"/>
          <w:lang w:eastAsia="hr-HR"/>
        </w:rPr>
        <w:tab/>
      </w:r>
      <w:r w:rsidRPr="009702B0">
        <w:rPr>
          <w:rFonts w:eastAsia="Times New Roman" w:cs="Calibri"/>
          <w:b/>
          <w:spacing w:val="-3"/>
          <w:lang w:eastAsia="hr-HR"/>
        </w:rPr>
        <w:tab/>
      </w:r>
      <w:r w:rsidRPr="009702B0">
        <w:rPr>
          <w:b/>
        </w:rPr>
        <w:t>Guarantees and commitments</w:t>
      </w:r>
    </w:p>
    <w:p w14:paraId="439472A8" w14:textId="77777777" w:rsidR="009702B0" w:rsidRPr="009702B0" w:rsidRDefault="009702B0" w:rsidP="009702B0">
      <w:pPr>
        <w:tabs>
          <w:tab w:val="left" w:pos="-720"/>
          <w:tab w:val="left" w:pos="426"/>
        </w:tabs>
        <w:suppressAutoHyphens/>
        <w:spacing w:after="0" w:line="240" w:lineRule="auto"/>
        <w:jc w:val="both"/>
        <w:rPr>
          <w:rFonts w:eastAsia="Times New Roman" w:cs="Calibri"/>
          <w:b/>
          <w:spacing w:val="-3"/>
          <w:lang w:eastAsia="hr-HR"/>
        </w:rPr>
      </w:pPr>
    </w:p>
    <w:p w14:paraId="30FF7A3D" w14:textId="77777777" w:rsidR="009702B0" w:rsidRPr="009702B0" w:rsidRDefault="009702B0" w:rsidP="009702B0">
      <w:pPr>
        <w:keepNext/>
        <w:spacing w:after="0" w:line="240" w:lineRule="auto"/>
        <w:jc w:val="both"/>
        <w:rPr>
          <w:rFonts w:eastAsia="Times New Roman" w:cs="Arial"/>
          <w:bCs/>
        </w:rPr>
      </w:pPr>
      <w:r w:rsidRPr="009702B0">
        <w:rPr>
          <w:rFonts w:eastAsia="Times New Roman" w:cs="Arial"/>
          <w:bCs/>
        </w:rPr>
        <w:t>In its regular activities, the Bank contracts various commitments and contingent liabilities. The purpose of these instruments is to ensure that the funds are available to a customer when required.</w:t>
      </w:r>
    </w:p>
    <w:p w14:paraId="54013C84" w14:textId="77777777" w:rsidR="009702B0" w:rsidRPr="009702B0" w:rsidRDefault="009702B0" w:rsidP="009702B0">
      <w:pPr>
        <w:tabs>
          <w:tab w:val="left" w:pos="-720"/>
          <w:tab w:val="left" w:pos="426"/>
        </w:tabs>
        <w:suppressAutoHyphens/>
        <w:spacing w:after="0" w:line="240" w:lineRule="auto"/>
        <w:jc w:val="both"/>
        <w:rPr>
          <w:rFonts w:eastAsia="Times New Roman" w:cs="Calibri"/>
          <w:spacing w:val="-3"/>
          <w:lang w:eastAsia="hr-HR"/>
        </w:rPr>
      </w:pPr>
    </w:p>
    <w:p w14:paraId="4E7B834C" w14:textId="7E9ADE1B" w:rsidR="009702B0" w:rsidRPr="009702B0" w:rsidRDefault="009702B0" w:rsidP="009702B0">
      <w:pPr>
        <w:tabs>
          <w:tab w:val="left" w:pos="-720"/>
          <w:tab w:val="left" w:pos="426"/>
        </w:tabs>
        <w:suppressAutoHyphens/>
        <w:spacing w:after="0" w:line="240" w:lineRule="auto"/>
        <w:jc w:val="both"/>
        <w:rPr>
          <w:rFonts w:eastAsia="Times New Roman" w:cs="Calibri"/>
          <w:spacing w:val="-3"/>
          <w:lang w:eastAsia="hr-HR"/>
        </w:rPr>
      </w:pPr>
      <w:r w:rsidRPr="003A659E">
        <w:rPr>
          <w:rFonts w:eastAsia="Times New Roman" w:cs="Calibri"/>
          <w:spacing w:val="-3"/>
          <w:lang w:eastAsia="hr-HR"/>
        </w:rPr>
        <w:t xml:space="preserve">The balance of total gross contingent liabilities as of </w:t>
      </w:r>
      <w:r w:rsidR="00861F3F" w:rsidRPr="00861F3F">
        <w:rPr>
          <w:rFonts w:eastAsia="Times New Roman" w:cs="Calibri"/>
          <w:spacing w:val="-3"/>
          <w:lang w:eastAsia="hr-HR"/>
        </w:rPr>
        <w:t xml:space="preserve">30 </w:t>
      </w:r>
      <w:r w:rsidR="00DA51A6">
        <w:rPr>
          <w:rFonts w:eastAsia="Times New Roman" w:cs="Calibri"/>
          <w:spacing w:val="-3"/>
          <w:lang w:eastAsia="hr-HR"/>
        </w:rPr>
        <w:t>September</w:t>
      </w:r>
      <w:r w:rsidR="00DA51A6" w:rsidRPr="00861F3F">
        <w:rPr>
          <w:rFonts w:eastAsia="Times New Roman" w:cs="Calibri"/>
          <w:spacing w:val="-3"/>
          <w:lang w:eastAsia="hr-HR"/>
        </w:rPr>
        <w:t xml:space="preserve"> </w:t>
      </w:r>
      <w:r w:rsidR="00BC5874" w:rsidRPr="005B1CA5">
        <w:rPr>
          <w:rFonts w:eastAsia="Times New Roman" w:cs="Calibri"/>
          <w:spacing w:val="-3"/>
          <w:lang w:eastAsia="hr-HR"/>
        </w:rPr>
        <w:t>2017</w:t>
      </w:r>
      <w:r w:rsidRPr="005B1CA5">
        <w:rPr>
          <w:rFonts w:eastAsia="Times New Roman" w:cs="Calibri"/>
          <w:spacing w:val="-3"/>
          <w:lang w:eastAsia="hr-HR"/>
        </w:rPr>
        <w:t xml:space="preserve"> amounted to HRK </w:t>
      </w:r>
      <w:r w:rsidR="00CD6F3D" w:rsidRPr="00CD6F3D">
        <w:rPr>
          <w:rFonts w:eastAsia="Times New Roman" w:cs="Calibri"/>
          <w:spacing w:val="-3"/>
          <w:lang w:eastAsia="hr-HR"/>
        </w:rPr>
        <w:t xml:space="preserve">5,665,776 </w:t>
      </w:r>
      <w:r w:rsidRPr="003A659E">
        <w:rPr>
          <w:rFonts w:eastAsia="Times New Roman" w:cs="Calibri"/>
          <w:spacing w:val="-3"/>
          <w:lang w:eastAsia="hr-HR"/>
        </w:rPr>
        <w:t>thousand</w:t>
      </w:r>
      <w:proofErr w:type="gramStart"/>
      <w:r w:rsidRPr="003A659E">
        <w:rPr>
          <w:rFonts w:eastAsia="Times New Roman" w:cs="Calibri"/>
          <w:spacing w:val="-3"/>
          <w:lang w:eastAsia="hr-HR"/>
        </w:rPr>
        <w:t xml:space="preserve">,  </w:t>
      </w:r>
      <w:r w:rsidR="002A596B" w:rsidRPr="005444AA">
        <w:rPr>
          <w:rFonts w:eastAsia="Times New Roman" w:cs="Calibri"/>
          <w:spacing w:val="-3"/>
          <w:lang w:eastAsia="hr-HR"/>
        </w:rPr>
        <w:t>de</w:t>
      </w:r>
      <w:r w:rsidR="002A596B" w:rsidRPr="002A596B">
        <w:rPr>
          <w:rFonts w:eastAsia="Times New Roman" w:cs="Calibri"/>
          <w:spacing w:val="-3"/>
          <w:lang w:eastAsia="hr-HR"/>
        </w:rPr>
        <w:t>creased</w:t>
      </w:r>
      <w:proofErr w:type="gramEnd"/>
      <w:r w:rsidR="002A596B" w:rsidRPr="002A596B">
        <w:rPr>
          <w:rFonts w:eastAsia="Times New Roman" w:cs="Calibri"/>
          <w:spacing w:val="-3"/>
          <w:lang w:eastAsia="hr-HR"/>
        </w:rPr>
        <w:t xml:space="preserve"> </w:t>
      </w:r>
      <w:r w:rsidR="005B1CA5" w:rsidRPr="002A596B">
        <w:rPr>
          <w:rFonts w:eastAsia="Times New Roman" w:cs="Calibri"/>
          <w:spacing w:val="-3"/>
          <w:lang w:eastAsia="hr-HR"/>
        </w:rPr>
        <w:t>by</w:t>
      </w:r>
      <w:r w:rsidRPr="002A596B">
        <w:rPr>
          <w:rFonts w:eastAsia="Times New Roman" w:cs="Calibri"/>
          <w:spacing w:val="-3"/>
          <w:lang w:eastAsia="hr-HR"/>
        </w:rPr>
        <w:t xml:space="preserve"> </w:t>
      </w:r>
      <w:r w:rsidR="00CD6F3D">
        <w:rPr>
          <w:rFonts w:eastAsia="Times New Roman" w:cs="Calibri"/>
          <w:spacing w:val="-3"/>
          <w:lang w:eastAsia="hr-HR"/>
        </w:rPr>
        <w:t>7</w:t>
      </w:r>
      <w:r w:rsidRPr="00166751">
        <w:rPr>
          <w:rFonts w:eastAsia="Times New Roman" w:cs="Calibri"/>
          <w:spacing w:val="-3"/>
          <w:lang w:eastAsia="hr-HR"/>
        </w:rPr>
        <w:t>%</w:t>
      </w:r>
      <w:r w:rsidRPr="003A659E">
        <w:rPr>
          <w:rFonts w:eastAsia="Times New Roman" w:cs="Calibri"/>
          <w:spacing w:val="-3"/>
          <w:lang w:eastAsia="hr-HR"/>
        </w:rPr>
        <w:t xml:space="preserve"> compared with the beginning of the year</w:t>
      </w:r>
      <w:r w:rsidRPr="005B1CA5">
        <w:rPr>
          <w:rFonts w:eastAsia="Times New Roman" w:cs="Calibri"/>
          <w:spacing w:val="-3"/>
          <w:lang w:eastAsia="hr-HR"/>
        </w:rPr>
        <w:t>. Overview of guarantees and</w:t>
      </w:r>
      <w:r w:rsidRPr="009702B0">
        <w:rPr>
          <w:rFonts w:eastAsia="Times New Roman" w:cs="Calibri"/>
          <w:spacing w:val="-3"/>
          <w:lang w:eastAsia="hr-HR"/>
        </w:rPr>
        <w:t xml:space="preserve"> commitments:</w:t>
      </w:r>
    </w:p>
    <w:p w14:paraId="7368D14C" w14:textId="77777777" w:rsidR="009702B0" w:rsidRPr="009702B0" w:rsidRDefault="009702B0" w:rsidP="009702B0">
      <w:pPr>
        <w:tabs>
          <w:tab w:val="left" w:pos="-720"/>
          <w:tab w:val="left" w:pos="426"/>
        </w:tabs>
        <w:suppressAutoHyphens/>
        <w:spacing w:after="0" w:line="240" w:lineRule="auto"/>
        <w:jc w:val="both"/>
        <w:rPr>
          <w:rFonts w:eastAsia="Times New Roman" w:cs="Calibri"/>
          <w:spacing w:val="-3"/>
          <w:lang w:eastAsia="hr-HR"/>
        </w:rPr>
      </w:pPr>
    </w:p>
    <w:tbl>
      <w:tblPr>
        <w:tblW w:w="4958" w:type="pct"/>
        <w:tblLayout w:type="fixed"/>
        <w:tblCellMar>
          <w:left w:w="122" w:type="dxa"/>
          <w:right w:w="122" w:type="dxa"/>
        </w:tblCellMar>
        <w:tblLook w:val="0000" w:firstRow="0" w:lastRow="0" w:firstColumn="0" w:lastColumn="0" w:noHBand="0" w:noVBand="0"/>
      </w:tblPr>
      <w:tblGrid>
        <w:gridCol w:w="5398"/>
        <w:gridCol w:w="1940"/>
        <w:gridCol w:w="1937"/>
      </w:tblGrid>
      <w:tr w:rsidR="009702B0" w:rsidRPr="009702B0" w14:paraId="71771154" w14:textId="77777777" w:rsidTr="009702B0">
        <w:trPr>
          <w:trHeight w:val="206"/>
        </w:trPr>
        <w:tc>
          <w:tcPr>
            <w:tcW w:w="2910" w:type="pct"/>
          </w:tcPr>
          <w:p w14:paraId="173256E2" w14:textId="77777777" w:rsidR="009702B0" w:rsidRPr="009702B0" w:rsidRDefault="009702B0" w:rsidP="009702B0">
            <w:pPr>
              <w:tabs>
                <w:tab w:val="left" w:pos="-720"/>
              </w:tabs>
              <w:suppressAutoHyphens/>
              <w:spacing w:after="0" w:line="240" w:lineRule="exact"/>
              <w:rPr>
                <w:rFonts w:eastAsia="Times New Roman" w:cs="Arial"/>
                <w:spacing w:val="-3"/>
                <w:sz w:val="20"/>
                <w:szCs w:val="20"/>
              </w:rPr>
            </w:pPr>
            <w:r w:rsidRPr="009702B0">
              <w:rPr>
                <w:rFonts w:eastAsia="Times New Roman" w:cs="Arial"/>
                <w:b/>
                <w:sz w:val="20"/>
                <w:szCs w:val="20"/>
              </w:rPr>
              <w:t>Group and Bank</w:t>
            </w:r>
          </w:p>
        </w:tc>
        <w:tc>
          <w:tcPr>
            <w:tcW w:w="2090" w:type="pct"/>
            <w:gridSpan w:val="2"/>
          </w:tcPr>
          <w:p w14:paraId="013BE2C3" w14:textId="77777777" w:rsidR="009702B0" w:rsidRPr="009702B0" w:rsidRDefault="009702B0" w:rsidP="009702B0">
            <w:pPr>
              <w:tabs>
                <w:tab w:val="right" w:pos="1202"/>
              </w:tabs>
              <w:spacing w:after="0" w:line="240" w:lineRule="exact"/>
              <w:jc w:val="right"/>
              <w:outlineLvl w:val="0"/>
              <w:rPr>
                <w:rFonts w:eastAsia="Times New Roman" w:cs="Arial"/>
                <w:b/>
                <w:sz w:val="20"/>
                <w:szCs w:val="20"/>
              </w:rPr>
            </w:pPr>
          </w:p>
        </w:tc>
      </w:tr>
      <w:tr w:rsidR="009702B0" w:rsidRPr="009702B0" w14:paraId="43ABB5FE" w14:textId="77777777" w:rsidTr="009702B0">
        <w:trPr>
          <w:trHeight w:val="293"/>
        </w:trPr>
        <w:tc>
          <w:tcPr>
            <w:tcW w:w="2910" w:type="pct"/>
          </w:tcPr>
          <w:p w14:paraId="7FE0B016" w14:textId="77777777" w:rsidR="009702B0" w:rsidRPr="009702B0" w:rsidRDefault="009702B0" w:rsidP="009702B0">
            <w:pPr>
              <w:tabs>
                <w:tab w:val="left" w:pos="-720"/>
              </w:tabs>
              <w:suppressAutoHyphens/>
              <w:spacing w:after="0" w:line="240" w:lineRule="exact"/>
              <w:jc w:val="right"/>
              <w:rPr>
                <w:rFonts w:eastAsia="Times New Roman" w:cs="Arial"/>
                <w:spacing w:val="-3"/>
                <w:sz w:val="20"/>
                <w:szCs w:val="20"/>
              </w:rPr>
            </w:pPr>
          </w:p>
        </w:tc>
        <w:tc>
          <w:tcPr>
            <w:tcW w:w="1046" w:type="pct"/>
            <w:vAlign w:val="bottom"/>
          </w:tcPr>
          <w:p w14:paraId="69D02903" w14:textId="1647A341" w:rsidR="009702B0" w:rsidRPr="009702B0" w:rsidRDefault="00393EE5" w:rsidP="009702B0">
            <w:pPr>
              <w:spacing w:after="0" w:line="280" w:lineRule="exact"/>
              <w:jc w:val="right"/>
              <w:outlineLvl w:val="0"/>
              <w:rPr>
                <w:rFonts w:eastAsia="Times New Roman" w:cs="Arial"/>
                <w:b/>
                <w:bCs/>
                <w:sz w:val="20"/>
                <w:szCs w:val="20"/>
              </w:rPr>
            </w:pPr>
            <w:r>
              <w:rPr>
                <w:rFonts w:eastAsia="Times New Roman" w:cs="Arial"/>
                <w:b/>
                <w:bCs/>
                <w:sz w:val="20"/>
                <w:szCs w:val="20"/>
              </w:rPr>
              <w:t>Sep</w:t>
            </w:r>
            <w:r w:rsidRPr="00263F58">
              <w:rPr>
                <w:rFonts w:eastAsia="Times New Roman" w:cs="Arial"/>
                <w:b/>
                <w:bCs/>
                <w:sz w:val="20"/>
                <w:szCs w:val="20"/>
              </w:rPr>
              <w:t xml:space="preserve"> </w:t>
            </w:r>
            <w:r w:rsidR="00263F58" w:rsidRPr="00263F58">
              <w:rPr>
                <w:rFonts w:eastAsia="Times New Roman" w:cs="Arial"/>
                <w:b/>
                <w:bCs/>
                <w:sz w:val="20"/>
                <w:szCs w:val="20"/>
              </w:rPr>
              <w:t>30</w:t>
            </w:r>
            <w:r w:rsidR="00BC5874">
              <w:rPr>
                <w:rFonts w:eastAsia="Times New Roman" w:cs="Arial"/>
                <w:b/>
                <w:bCs/>
                <w:sz w:val="20"/>
                <w:szCs w:val="20"/>
              </w:rPr>
              <w:t>, 2017</w:t>
            </w:r>
          </w:p>
        </w:tc>
        <w:tc>
          <w:tcPr>
            <w:tcW w:w="1044" w:type="pct"/>
            <w:vAlign w:val="bottom"/>
          </w:tcPr>
          <w:p w14:paraId="71C23D04" w14:textId="77777777" w:rsidR="009702B0" w:rsidRPr="009702B0" w:rsidRDefault="009702B0" w:rsidP="00BC5874">
            <w:pPr>
              <w:spacing w:after="0" w:line="280" w:lineRule="exact"/>
              <w:jc w:val="right"/>
              <w:outlineLvl w:val="0"/>
              <w:rPr>
                <w:rFonts w:eastAsia="Times New Roman" w:cs="Arial"/>
                <w:b/>
                <w:bCs/>
                <w:sz w:val="20"/>
                <w:szCs w:val="20"/>
              </w:rPr>
            </w:pPr>
            <w:r w:rsidRPr="009702B0">
              <w:rPr>
                <w:rFonts w:eastAsia="Times New Roman" w:cs="Arial"/>
                <w:b/>
                <w:bCs/>
                <w:sz w:val="20"/>
                <w:szCs w:val="20"/>
              </w:rPr>
              <w:t>Dec 31, 201</w:t>
            </w:r>
            <w:r w:rsidR="00BC5874">
              <w:rPr>
                <w:rFonts w:eastAsia="Times New Roman" w:cs="Arial"/>
                <w:b/>
                <w:bCs/>
                <w:sz w:val="20"/>
                <w:szCs w:val="20"/>
              </w:rPr>
              <w:t>6</w:t>
            </w:r>
          </w:p>
        </w:tc>
      </w:tr>
      <w:tr w:rsidR="003F7E92" w:rsidRPr="009702B0" w14:paraId="0A4A44FA" w14:textId="77777777" w:rsidTr="005444AA">
        <w:trPr>
          <w:trHeight w:val="293"/>
        </w:trPr>
        <w:tc>
          <w:tcPr>
            <w:tcW w:w="2910" w:type="pct"/>
            <w:shd w:val="clear" w:color="auto" w:fill="auto"/>
            <w:vAlign w:val="bottom"/>
          </w:tcPr>
          <w:p w14:paraId="2D71AEB6" w14:textId="77777777" w:rsidR="003F7E92" w:rsidRPr="009702B0" w:rsidRDefault="003F7E92" w:rsidP="003F7E92">
            <w:pPr>
              <w:spacing w:after="0" w:line="240" w:lineRule="auto"/>
              <w:rPr>
                <w:rFonts w:eastAsia="Times New Roman"/>
                <w:color w:val="000000"/>
                <w:sz w:val="20"/>
                <w:szCs w:val="20"/>
                <w:lang w:eastAsia="hr-HR"/>
              </w:rPr>
            </w:pPr>
            <w:r w:rsidRPr="009702B0">
              <w:rPr>
                <w:rFonts w:eastAsia="Times New Roman" w:cs="Arial"/>
                <w:sz w:val="20"/>
                <w:szCs w:val="20"/>
              </w:rPr>
              <w:t>Guarantees issued in HRK</w:t>
            </w:r>
          </w:p>
        </w:tc>
        <w:tc>
          <w:tcPr>
            <w:tcW w:w="1046" w:type="pct"/>
            <w:tcBorders>
              <w:top w:val="nil"/>
              <w:left w:val="nil"/>
              <w:bottom w:val="nil"/>
              <w:right w:val="nil"/>
            </w:tcBorders>
            <w:shd w:val="clear" w:color="auto" w:fill="auto"/>
            <w:vAlign w:val="bottom"/>
          </w:tcPr>
          <w:p w14:paraId="7D4842FF" w14:textId="77F2297E" w:rsidR="003F7E92" w:rsidRPr="005444AA" w:rsidRDefault="003F7E92" w:rsidP="003F7E92">
            <w:pPr>
              <w:spacing w:after="0" w:line="240" w:lineRule="auto"/>
              <w:jc w:val="right"/>
              <w:rPr>
                <w:color w:val="000000"/>
                <w:sz w:val="20"/>
                <w:szCs w:val="20"/>
              </w:rPr>
            </w:pPr>
            <w:r w:rsidRPr="00FE65B6">
              <w:rPr>
                <w:color w:val="000000"/>
                <w:sz w:val="20"/>
                <w:szCs w:val="20"/>
              </w:rPr>
              <w:t>21</w:t>
            </w:r>
            <w:r>
              <w:rPr>
                <w:color w:val="000000"/>
                <w:sz w:val="20"/>
                <w:szCs w:val="20"/>
              </w:rPr>
              <w:t>,</w:t>
            </w:r>
            <w:r w:rsidRPr="00FE65B6">
              <w:rPr>
                <w:color w:val="000000"/>
                <w:sz w:val="20"/>
                <w:szCs w:val="20"/>
              </w:rPr>
              <w:t>239</w:t>
            </w:r>
          </w:p>
        </w:tc>
        <w:tc>
          <w:tcPr>
            <w:tcW w:w="1044" w:type="pct"/>
            <w:tcBorders>
              <w:top w:val="nil"/>
              <w:left w:val="nil"/>
              <w:bottom w:val="nil"/>
              <w:right w:val="nil"/>
            </w:tcBorders>
            <w:shd w:val="clear" w:color="auto" w:fill="auto"/>
            <w:vAlign w:val="bottom"/>
          </w:tcPr>
          <w:p w14:paraId="583F2A65" w14:textId="77777777" w:rsidR="003F7E92" w:rsidRPr="00682116" w:rsidRDefault="003F7E92" w:rsidP="003F7E92">
            <w:pPr>
              <w:spacing w:after="0" w:line="240" w:lineRule="auto"/>
              <w:jc w:val="right"/>
              <w:rPr>
                <w:rFonts w:eastAsia="Times New Roman" w:cs="Arial"/>
                <w:color w:val="000000"/>
                <w:sz w:val="20"/>
                <w:szCs w:val="20"/>
                <w:lang w:eastAsia="hr-HR"/>
              </w:rPr>
            </w:pPr>
            <w:r w:rsidRPr="00682116">
              <w:rPr>
                <w:color w:val="000000"/>
                <w:sz w:val="20"/>
                <w:szCs w:val="20"/>
              </w:rPr>
              <w:t>32</w:t>
            </w:r>
            <w:r>
              <w:rPr>
                <w:color w:val="000000"/>
                <w:sz w:val="20"/>
                <w:szCs w:val="20"/>
              </w:rPr>
              <w:t>,</w:t>
            </w:r>
            <w:r w:rsidRPr="00682116">
              <w:rPr>
                <w:color w:val="000000"/>
                <w:sz w:val="20"/>
                <w:szCs w:val="20"/>
              </w:rPr>
              <w:t>409</w:t>
            </w:r>
          </w:p>
        </w:tc>
      </w:tr>
      <w:tr w:rsidR="003F7E92" w:rsidRPr="009702B0" w14:paraId="75226D76" w14:textId="77777777" w:rsidTr="005444AA">
        <w:tblPrEx>
          <w:tblCellMar>
            <w:left w:w="107" w:type="dxa"/>
            <w:right w:w="107" w:type="dxa"/>
          </w:tblCellMar>
        </w:tblPrEx>
        <w:trPr>
          <w:trHeight w:val="117"/>
        </w:trPr>
        <w:tc>
          <w:tcPr>
            <w:tcW w:w="2910" w:type="pct"/>
            <w:shd w:val="clear" w:color="auto" w:fill="auto"/>
            <w:vAlign w:val="bottom"/>
          </w:tcPr>
          <w:p w14:paraId="5E44EDF4" w14:textId="77777777" w:rsidR="003F7E92" w:rsidRPr="009702B0" w:rsidRDefault="003F7E92" w:rsidP="003F7E92">
            <w:pPr>
              <w:spacing w:after="0" w:line="240" w:lineRule="auto"/>
              <w:rPr>
                <w:rFonts w:eastAsia="Times New Roman"/>
                <w:color w:val="000000"/>
                <w:sz w:val="20"/>
                <w:szCs w:val="20"/>
                <w:lang w:eastAsia="hr-HR"/>
              </w:rPr>
            </w:pPr>
            <w:r w:rsidRPr="009702B0">
              <w:rPr>
                <w:rFonts w:eastAsia="Times New Roman" w:cs="Arial"/>
                <w:sz w:val="20"/>
                <w:szCs w:val="20"/>
              </w:rPr>
              <w:t>Guarantees issued in foreign currency</w:t>
            </w:r>
          </w:p>
        </w:tc>
        <w:tc>
          <w:tcPr>
            <w:tcW w:w="1046" w:type="pct"/>
            <w:tcBorders>
              <w:top w:val="nil"/>
              <w:left w:val="nil"/>
              <w:bottom w:val="nil"/>
              <w:right w:val="nil"/>
            </w:tcBorders>
            <w:shd w:val="clear" w:color="auto" w:fill="auto"/>
            <w:vAlign w:val="bottom"/>
          </w:tcPr>
          <w:p w14:paraId="1569A041" w14:textId="0601C3FD" w:rsidR="003F7E92" w:rsidRPr="005444AA" w:rsidRDefault="003F7E92" w:rsidP="003F7E92">
            <w:pPr>
              <w:spacing w:after="0" w:line="240" w:lineRule="auto"/>
              <w:jc w:val="right"/>
              <w:rPr>
                <w:color w:val="000000"/>
                <w:sz w:val="20"/>
                <w:szCs w:val="20"/>
              </w:rPr>
            </w:pPr>
            <w:r w:rsidRPr="00FE65B6">
              <w:rPr>
                <w:color w:val="000000"/>
                <w:sz w:val="20"/>
                <w:szCs w:val="20"/>
              </w:rPr>
              <w:t>2</w:t>
            </w:r>
            <w:r>
              <w:rPr>
                <w:color w:val="000000"/>
                <w:sz w:val="20"/>
                <w:szCs w:val="20"/>
              </w:rPr>
              <w:t>,</w:t>
            </w:r>
            <w:r w:rsidRPr="00FE65B6">
              <w:rPr>
                <w:color w:val="000000"/>
                <w:sz w:val="20"/>
                <w:szCs w:val="20"/>
              </w:rPr>
              <w:t>220</w:t>
            </w:r>
            <w:r>
              <w:rPr>
                <w:color w:val="000000"/>
                <w:sz w:val="20"/>
                <w:szCs w:val="20"/>
              </w:rPr>
              <w:t>,</w:t>
            </w:r>
            <w:r w:rsidRPr="00FE65B6">
              <w:rPr>
                <w:color w:val="000000"/>
                <w:sz w:val="20"/>
                <w:szCs w:val="20"/>
              </w:rPr>
              <w:t>372</w:t>
            </w:r>
          </w:p>
        </w:tc>
        <w:tc>
          <w:tcPr>
            <w:tcW w:w="1044" w:type="pct"/>
            <w:tcBorders>
              <w:top w:val="nil"/>
              <w:left w:val="nil"/>
              <w:bottom w:val="nil"/>
              <w:right w:val="nil"/>
            </w:tcBorders>
            <w:shd w:val="clear" w:color="auto" w:fill="auto"/>
            <w:vAlign w:val="bottom"/>
          </w:tcPr>
          <w:p w14:paraId="1035A5B3" w14:textId="77777777" w:rsidR="003F7E92" w:rsidRPr="00682116" w:rsidRDefault="003F7E92" w:rsidP="003F7E92">
            <w:pPr>
              <w:spacing w:after="0" w:line="240" w:lineRule="auto"/>
              <w:jc w:val="right"/>
              <w:rPr>
                <w:rFonts w:eastAsia="Times New Roman" w:cs="Arial"/>
                <w:color w:val="000000"/>
                <w:sz w:val="20"/>
                <w:szCs w:val="20"/>
                <w:lang w:eastAsia="hr-HR"/>
              </w:rPr>
            </w:pPr>
            <w:r w:rsidRPr="00682116">
              <w:rPr>
                <w:color w:val="000000"/>
                <w:sz w:val="20"/>
                <w:szCs w:val="20"/>
              </w:rPr>
              <w:t>2</w:t>
            </w:r>
            <w:r>
              <w:rPr>
                <w:color w:val="000000"/>
                <w:sz w:val="20"/>
                <w:szCs w:val="20"/>
              </w:rPr>
              <w:t>,</w:t>
            </w:r>
            <w:r w:rsidRPr="00682116">
              <w:rPr>
                <w:color w:val="000000"/>
                <w:sz w:val="20"/>
                <w:szCs w:val="20"/>
              </w:rPr>
              <w:t>007</w:t>
            </w:r>
            <w:r>
              <w:rPr>
                <w:color w:val="000000"/>
                <w:sz w:val="20"/>
                <w:szCs w:val="20"/>
              </w:rPr>
              <w:t>,</w:t>
            </w:r>
            <w:r w:rsidRPr="00682116">
              <w:rPr>
                <w:color w:val="000000"/>
                <w:sz w:val="20"/>
                <w:szCs w:val="20"/>
              </w:rPr>
              <w:t>578</w:t>
            </w:r>
          </w:p>
        </w:tc>
      </w:tr>
      <w:tr w:rsidR="003F7E92" w:rsidRPr="009702B0" w14:paraId="6FFC0A91" w14:textId="77777777" w:rsidTr="005444AA">
        <w:tblPrEx>
          <w:tblCellMar>
            <w:left w:w="107" w:type="dxa"/>
            <w:right w:w="107" w:type="dxa"/>
          </w:tblCellMar>
        </w:tblPrEx>
        <w:trPr>
          <w:trHeight w:val="117"/>
        </w:trPr>
        <w:tc>
          <w:tcPr>
            <w:tcW w:w="2910" w:type="pct"/>
            <w:shd w:val="clear" w:color="auto" w:fill="auto"/>
            <w:vAlign w:val="bottom"/>
          </w:tcPr>
          <w:p w14:paraId="44CE32DD" w14:textId="77777777" w:rsidR="003F7E92" w:rsidRPr="009702B0" w:rsidRDefault="003F7E92" w:rsidP="003F7E92">
            <w:pPr>
              <w:spacing w:after="0" w:line="240" w:lineRule="auto"/>
              <w:rPr>
                <w:rFonts w:eastAsia="Times New Roman"/>
                <w:color w:val="000000"/>
                <w:sz w:val="20"/>
                <w:szCs w:val="20"/>
                <w:lang w:eastAsia="hr-HR"/>
              </w:rPr>
            </w:pPr>
            <w:r w:rsidRPr="009702B0">
              <w:rPr>
                <w:rFonts w:eastAsia="Times New Roman" w:cs="Arial"/>
                <w:sz w:val="20"/>
                <w:szCs w:val="20"/>
              </w:rPr>
              <w:t>Undrawn loans</w:t>
            </w:r>
          </w:p>
        </w:tc>
        <w:tc>
          <w:tcPr>
            <w:tcW w:w="1046" w:type="pct"/>
            <w:tcBorders>
              <w:top w:val="nil"/>
              <w:left w:val="nil"/>
              <w:bottom w:val="nil"/>
              <w:right w:val="nil"/>
            </w:tcBorders>
            <w:shd w:val="clear" w:color="auto" w:fill="auto"/>
            <w:vAlign w:val="bottom"/>
          </w:tcPr>
          <w:p w14:paraId="358230D0" w14:textId="346F2F92" w:rsidR="003F7E92" w:rsidRPr="005444AA" w:rsidRDefault="003F7E92" w:rsidP="003F7E92">
            <w:pPr>
              <w:spacing w:after="0" w:line="240" w:lineRule="auto"/>
              <w:jc w:val="right"/>
              <w:rPr>
                <w:color w:val="000000"/>
                <w:sz w:val="20"/>
                <w:szCs w:val="20"/>
              </w:rPr>
            </w:pPr>
            <w:r w:rsidRPr="00105629">
              <w:rPr>
                <w:color w:val="000000"/>
                <w:sz w:val="20"/>
                <w:szCs w:val="20"/>
              </w:rPr>
              <w:t>3</w:t>
            </w:r>
            <w:r>
              <w:rPr>
                <w:color w:val="000000"/>
                <w:sz w:val="20"/>
                <w:szCs w:val="20"/>
              </w:rPr>
              <w:t>,</w:t>
            </w:r>
            <w:r w:rsidRPr="00105629">
              <w:rPr>
                <w:color w:val="000000"/>
                <w:sz w:val="20"/>
                <w:szCs w:val="20"/>
              </w:rPr>
              <w:t>374</w:t>
            </w:r>
            <w:r>
              <w:rPr>
                <w:color w:val="000000"/>
                <w:sz w:val="20"/>
                <w:szCs w:val="20"/>
              </w:rPr>
              <w:t>,</w:t>
            </w:r>
            <w:r w:rsidRPr="00105629">
              <w:rPr>
                <w:color w:val="000000"/>
                <w:sz w:val="20"/>
                <w:szCs w:val="20"/>
              </w:rPr>
              <w:t>845</w:t>
            </w:r>
          </w:p>
        </w:tc>
        <w:tc>
          <w:tcPr>
            <w:tcW w:w="1044" w:type="pct"/>
            <w:tcBorders>
              <w:top w:val="nil"/>
              <w:left w:val="nil"/>
              <w:bottom w:val="nil"/>
              <w:right w:val="nil"/>
            </w:tcBorders>
            <w:shd w:val="clear" w:color="auto" w:fill="auto"/>
            <w:vAlign w:val="bottom"/>
          </w:tcPr>
          <w:p w14:paraId="5E975DF3" w14:textId="77777777" w:rsidR="003F7E92" w:rsidRPr="00682116" w:rsidRDefault="003F7E92" w:rsidP="003F7E92">
            <w:pPr>
              <w:spacing w:after="0" w:line="240" w:lineRule="auto"/>
              <w:jc w:val="right"/>
              <w:rPr>
                <w:rFonts w:eastAsia="Times New Roman" w:cs="Arial"/>
                <w:color w:val="000000"/>
                <w:sz w:val="20"/>
                <w:szCs w:val="20"/>
                <w:lang w:eastAsia="hr-HR"/>
              </w:rPr>
            </w:pPr>
            <w:r w:rsidRPr="00682116">
              <w:rPr>
                <w:color w:val="000000"/>
                <w:sz w:val="20"/>
                <w:szCs w:val="20"/>
              </w:rPr>
              <w:t xml:space="preserve">    3</w:t>
            </w:r>
            <w:r>
              <w:rPr>
                <w:color w:val="000000"/>
                <w:sz w:val="20"/>
                <w:szCs w:val="20"/>
              </w:rPr>
              <w:t>,</w:t>
            </w:r>
            <w:r w:rsidRPr="00682116">
              <w:rPr>
                <w:color w:val="000000"/>
                <w:sz w:val="20"/>
                <w:szCs w:val="20"/>
              </w:rPr>
              <w:t>978</w:t>
            </w:r>
            <w:r>
              <w:rPr>
                <w:color w:val="000000"/>
                <w:sz w:val="20"/>
                <w:szCs w:val="20"/>
              </w:rPr>
              <w:t>,</w:t>
            </w:r>
            <w:r w:rsidRPr="00682116">
              <w:rPr>
                <w:color w:val="000000"/>
                <w:sz w:val="20"/>
                <w:szCs w:val="20"/>
              </w:rPr>
              <w:t xml:space="preserve">340 </w:t>
            </w:r>
          </w:p>
        </w:tc>
      </w:tr>
      <w:tr w:rsidR="003F7E92" w:rsidRPr="009702B0" w14:paraId="17C57BA6" w14:textId="77777777" w:rsidTr="005444AA">
        <w:tblPrEx>
          <w:tblCellMar>
            <w:left w:w="107" w:type="dxa"/>
            <w:right w:w="107" w:type="dxa"/>
          </w:tblCellMar>
        </w:tblPrEx>
        <w:trPr>
          <w:trHeight w:val="117"/>
        </w:trPr>
        <w:tc>
          <w:tcPr>
            <w:tcW w:w="2910" w:type="pct"/>
            <w:shd w:val="clear" w:color="auto" w:fill="auto"/>
            <w:vAlign w:val="bottom"/>
          </w:tcPr>
          <w:p w14:paraId="332E4DF8" w14:textId="77777777" w:rsidR="003F7E92" w:rsidRPr="009702B0" w:rsidRDefault="003F7E92" w:rsidP="003F7E92">
            <w:pPr>
              <w:spacing w:after="0" w:line="240" w:lineRule="auto"/>
              <w:rPr>
                <w:rFonts w:eastAsia="Times New Roman"/>
                <w:color w:val="000000"/>
                <w:sz w:val="20"/>
                <w:szCs w:val="20"/>
                <w:lang w:eastAsia="hr-HR"/>
              </w:rPr>
            </w:pPr>
            <w:r w:rsidRPr="009702B0">
              <w:rPr>
                <w:rFonts w:eastAsia="Times New Roman" w:cs="Arial"/>
                <w:sz w:val="20"/>
                <w:szCs w:val="20"/>
              </w:rPr>
              <w:t>EIF – subscribed, not called up capital</w:t>
            </w:r>
          </w:p>
        </w:tc>
        <w:tc>
          <w:tcPr>
            <w:tcW w:w="1046" w:type="pct"/>
            <w:tcBorders>
              <w:top w:val="nil"/>
              <w:left w:val="nil"/>
              <w:bottom w:val="nil"/>
              <w:right w:val="nil"/>
            </w:tcBorders>
            <w:shd w:val="clear" w:color="auto" w:fill="auto"/>
            <w:vAlign w:val="bottom"/>
          </w:tcPr>
          <w:p w14:paraId="1271EF26" w14:textId="0BF7CAF0" w:rsidR="003F7E92" w:rsidRPr="005444AA" w:rsidRDefault="003F7E92" w:rsidP="003F7E92">
            <w:pPr>
              <w:spacing w:after="0" w:line="240" w:lineRule="auto"/>
              <w:jc w:val="right"/>
              <w:rPr>
                <w:color w:val="000000"/>
                <w:sz w:val="20"/>
                <w:szCs w:val="20"/>
              </w:rPr>
            </w:pPr>
            <w:r w:rsidRPr="00105629">
              <w:rPr>
                <w:color w:val="000000"/>
                <w:sz w:val="20"/>
                <w:szCs w:val="20"/>
              </w:rPr>
              <w:t>47</w:t>
            </w:r>
            <w:r>
              <w:rPr>
                <w:color w:val="000000"/>
                <w:sz w:val="20"/>
                <w:szCs w:val="20"/>
              </w:rPr>
              <w:t>,</w:t>
            </w:r>
            <w:r w:rsidRPr="00105629">
              <w:rPr>
                <w:color w:val="000000"/>
                <w:sz w:val="20"/>
                <w:szCs w:val="20"/>
              </w:rPr>
              <w:t>981</w:t>
            </w:r>
          </w:p>
        </w:tc>
        <w:tc>
          <w:tcPr>
            <w:tcW w:w="1044" w:type="pct"/>
            <w:tcBorders>
              <w:top w:val="nil"/>
              <w:left w:val="nil"/>
              <w:bottom w:val="nil"/>
              <w:right w:val="nil"/>
            </w:tcBorders>
            <w:shd w:val="clear" w:color="auto" w:fill="auto"/>
            <w:vAlign w:val="bottom"/>
          </w:tcPr>
          <w:p w14:paraId="37F0464B" w14:textId="77777777" w:rsidR="003F7E92" w:rsidRPr="00682116" w:rsidRDefault="003F7E92" w:rsidP="003F7E92">
            <w:pPr>
              <w:spacing w:after="0" w:line="240" w:lineRule="auto"/>
              <w:jc w:val="right"/>
              <w:rPr>
                <w:rFonts w:eastAsia="Times New Roman" w:cs="Arial"/>
                <w:color w:val="000000"/>
                <w:sz w:val="20"/>
                <w:szCs w:val="20"/>
                <w:lang w:eastAsia="hr-HR"/>
              </w:rPr>
            </w:pPr>
            <w:r w:rsidRPr="00682116">
              <w:rPr>
                <w:color w:val="000000"/>
                <w:sz w:val="20"/>
                <w:szCs w:val="20"/>
              </w:rPr>
              <w:t xml:space="preserve">        48</w:t>
            </w:r>
            <w:r>
              <w:rPr>
                <w:color w:val="000000"/>
                <w:sz w:val="20"/>
                <w:szCs w:val="20"/>
              </w:rPr>
              <w:t>,</w:t>
            </w:r>
            <w:r w:rsidRPr="00682116">
              <w:rPr>
                <w:color w:val="000000"/>
                <w:sz w:val="20"/>
                <w:szCs w:val="20"/>
              </w:rPr>
              <w:t xml:space="preserve">370 </w:t>
            </w:r>
          </w:p>
        </w:tc>
      </w:tr>
      <w:tr w:rsidR="003F7E92" w:rsidRPr="009702B0" w14:paraId="7BB7CF29" w14:textId="77777777" w:rsidTr="005444AA">
        <w:tblPrEx>
          <w:tblCellMar>
            <w:left w:w="107" w:type="dxa"/>
            <w:right w:w="107" w:type="dxa"/>
          </w:tblCellMar>
        </w:tblPrEx>
        <w:trPr>
          <w:trHeight w:val="117"/>
        </w:trPr>
        <w:tc>
          <w:tcPr>
            <w:tcW w:w="2910" w:type="pct"/>
            <w:shd w:val="clear" w:color="auto" w:fill="auto"/>
            <w:vAlign w:val="bottom"/>
          </w:tcPr>
          <w:p w14:paraId="0E253EF6" w14:textId="77777777" w:rsidR="003F7E92" w:rsidRPr="009702B0" w:rsidRDefault="003F7E92" w:rsidP="003F7E92">
            <w:pPr>
              <w:spacing w:after="0" w:line="240" w:lineRule="auto"/>
              <w:rPr>
                <w:rFonts w:eastAsia="Times New Roman" w:cs="Arial"/>
                <w:sz w:val="20"/>
                <w:szCs w:val="20"/>
              </w:rPr>
            </w:pPr>
            <w:r>
              <w:rPr>
                <w:rFonts w:eastAsia="Times New Roman" w:cs="Arial"/>
                <w:sz w:val="20"/>
                <w:szCs w:val="20"/>
              </w:rPr>
              <w:t>Open letters of credit in foreign currency</w:t>
            </w:r>
          </w:p>
        </w:tc>
        <w:tc>
          <w:tcPr>
            <w:tcW w:w="1046" w:type="pct"/>
            <w:tcBorders>
              <w:top w:val="nil"/>
              <w:left w:val="nil"/>
              <w:bottom w:val="nil"/>
              <w:right w:val="nil"/>
            </w:tcBorders>
            <w:shd w:val="clear" w:color="auto" w:fill="auto"/>
            <w:vAlign w:val="bottom"/>
          </w:tcPr>
          <w:p w14:paraId="45ED2AEC" w14:textId="6C844637" w:rsidR="003F7E92" w:rsidRPr="005444AA" w:rsidRDefault="003F7E92" w:rsidP="003F7E92">
            <w:pPr>
              <w:spacing w:after="0" w:line="240" w:lineRule="auto"/>
              <w:jc w:val="right"/>
              <w:rPr>
                <w:color w:val="000000"/>
                <w:sz w:val="20"/>
                <w:szCs w:val="20"/>
              </w:rPr>
            </w:pPr>
            <w:r w:rsidRPr="00105629">
              <w:rPr>
                <w:color w:val="000000"/>
                <w:sz w:val="20"/>
                <w:szCs w:val="20"/>
              </w:rPr>
              <w:t>1</w:t>
            </w:r>
            <w:r>
              <w:rPr>
                <w:color w:val="000000"/>
                <w:sz w:val="20"/>
                <w:szCs w:val="20"/>
              </w:rPr>
              <w:t>,</w:t>
            </w:r>
            <w:r w:rsidRPr="00105629">
              <w:rPr>
                <w:color w:val="000000"/>
                <w:sz w:val="20"/>
                <w:szCs w:val="20"/>
              </w:rPr>
              <w:t>000</w:t>
            </w:r>
          </w:p>
        </w:tc>
        <w:tc>
          <w:tcPr>
            <w:tcW w:w="1044" w:type="pct"/>
            <w:tcBorders>
              <w:top w:val="nil"/>
              <w:left w:val="nil"/>
              <w:bottom w:val="nil"/>
              <w:right w:val="nil"/>
            </w:tcBorders>
            <w:shd w:val="clear" w:color="auto" w:fill="auto"/>
            <w:vAlign w:val="bottom"/>
          </w:tcPr>
          <w:p w14:paraId="36948B7B" w14:textId="77777777" w:rsidR="003F7E92" w:rsidRPr="00682116" w:rsidRDefault="003F7E92" w:rsidP="003F7E92">
            <w:pPr>
              <w:spacing w:after="0" w:line="240" w:lineRule="auto"/>
              <w:jc w:val="right"/>
              <w:rPr>
                <w:color w:val="000000"/>
                <w:sz w:val="20"/>
                <w:szCs w:val="20"/>
              </w:rPr>
            </w:pPr>
            <w:r>
              <w:rPr>
                <w:color w:val="000000"/>
                <w:sz w:val="20"/>
                <w:szCs w:val="20"/>
              </w:rPr>
              <w:t>-</w:t>
            </w:r>
          </w:p>
        </w:tc>
      </w:tr>
      <w:tr w:rsidR="003F7E92" w:rsidRPr="009702B0" w14:paraId="7A7AECBB" w14:textId="77777777" w:rsidTr="005444AA">
        <w:tblPrEx>
          <w:tblCellMar>
            <w:left w:w="107" w:type="dxa"/>
            <w:right w:w="107" w:type="dxa"/>
          </w:tblCellMar>
        </w:tblPrEx>
        <w:trPr>
          <w:trHeight w:val="117"/>
        </w:trPr>
        <w:tc>
          <w:tcPr>
            <w:tcW w:w="2910" w:type="pct"/>
            <w:shd w:val="clear" w:color="auto" w:fill="auto"/>
            <w:vAlign w:val="bottom"/>
          </w:tcPr>
          <w:p w14:paraId="55936429" w14:textId="77777777" w:rsidR="003F7E92" w:rsidRPr="009702B0" w:rsidRDefault="003F7E92" w:rsidP="003F7E92">
            <w:pPr>
              <w:spacing w:after="0" w:line="240" w:lineRule="auto"/>
              <w:rPr>
                <w:rFonts w:eastAsia="Times New Roman"/>
                <w:color w:val="000000"/>
                <w:sz w:val="20"/>
                <w:szCs w:val="20"/>
                <w:lang w:eastAsia="hr-HR"/>
              </w:rPr>
            </w:pPr>
            <w:r w:rsidRPr="009702B0">
              <w:rPr>
                <w:rFonts w:eastAsia="Times New Roman" w:cs="Arial"/>
                <w:sz w:val="20"/>
                <w:szCs w:val="20"/>
              </w:rPr>
              <w:t>Other irrevocable contingent liabilities</w:t>
            </w:r>
          </w:p>
        </w:tc>
        <w:tc>
          <w:tcPr>
            <w:tcW w:w="1046" w:type="pct"/>
            <w:tcBorders>
              <w:top w:val="nil"/>
              <w:left w:val="nil"/>
              <w:bottom w:val="single" w:sz="6" w:space="0" w:color="auto"/>
              <w:right w:val="nil"/>
            </w:tcBorders>
            <w:shd w:val="clear" w:color="auto" w:fill="auto"/>
            <w:vAlign w:val="bottom"/>
          </w:tcPr>
          <w:p w14:paraId="127653EF" w14:textId="2986A25E" w:rsidR="003F7E92" w:rsidRPr="005444AA" w:rsidRDefault="003F7E92" w:rsidP="003F7E92">
            <w:pPr>
              <w:spacing w:after="0" w:line="240" w:lineRule="auto"/>
              <w:jc w:val="right"/>
              <w:rPr>
                <w:color w:val="000000"/>
                <w:sz w:val="20"/>
                <w:szCs w:val="20"/>
              </w:rPr>
            </w:pPr>
            <w:r w:rsidRPr="00105629">
              <w:rPr>
                <w:color w:val="000000"/>
                <w:sz w:val="20"/>
                <w:szCs w:val="20"/>
              </w:rPr>
              <w:t>339</w:t>
            </w:r>
          </w:p>
        </w:tc>
        <w:tc>
          <w:tcPr>
            <w:tcW w:w="1044" w:type="pct"/>
            <w:tcBorders>
              <w:top w:val="nil"/>
              <w:left w:val="nil"/>
              <w:bottom w:val="nil"/>
              <w:right w:val="nil"/>
            </w:tcBorders>
            <w:shd w:val="clear" w:color="auto" w:fill="auto"/>
            <w:vAlign w:val="bottom"/>
          </w:tcPr>
          <w:p w14:paraId="607EC5E6" w14:textId="77777777" w:rsidR="003F7E92" w:rsidRPr="00682116" w:rsidRDefault="003F7E92" w:rsidP="003F7E92">
            <w:pPr>
              <w:spacing w:after="0" w:line="240" w:lineRule="auto"/>
              <w:jc w:val="right"/>
              <w:rPr>
                <w:rFonts w:eastAsia="Times New Roman" w:cs="Arial"/>
                <w:color w:val="000000"/>
                <w:sz w:val="20"/>
                <w:szCs w:val="20"/>
                <w:lang w:eastAsia="hr-HR"/>
              </w:rPr>
            </w:pPr>
            <w:r w:rsidRPr="00682116">
              <w:rPr>
                <w:color w:val="000000"/>
                <w:sz w:val="20"/>
                <w:szCs w:val="20"/>
              </w:rPr>
              <w:t xml:space="preserve">           339 </w:t>
            </w:r>
          </w:p>
        </w:tc>
      </w:tr>
      <w:tr w:rsidR="003F7E92" w:rsidRPr="009702B0" w14:paraId="1991DF14" w14:textId="77777777" w:rsidTr="00BC5874">
        <w:tblPrEx>
          <w:tblCellMar>
            <w:left w:w="107" w:type="dxa"/>
            <w:right w:w="107" w:type="dxa"/>
          </w:tblCellMar>
        </w:tblPrEx>
        <w:trPr>
          <w:trHeight w:val="117"/>
        </w:trPr>
        <w:tc>
          <w:tcPr>
            <w:tcW w:w="2910" w:type="pct"/>
            <w:shd w:val="clear" w:color="auto" w:fill="auto"/>
            <w:vAlign w:val="bottom"/>
          </w:tcPr>
          <w:p w14:paraId="58D8BC84" w14:textId="77777777" w:rsidR="003F7E92" w:rsidRPr="009702B0" w:rsidRDefault="003F7E92" w:rsidP="003F7E92">
            <w:pPr>
              <w:spacing w:after="0" w:line="240" w:lineRule="auto"/>
              <w:rPr>
                <w:rFonts w:eastAsia="Times New Roman"/>
                <w:color w:val="000000"/>
                <w:sz w:val="20"/>
                <w:szCs w:val="20"/>
                <w:lang w:eastAsia="hr-HR"/>
              </w:rPr>
            </w:pPr>
          </w:p>
        </w:tc>
        <w:tc>
          <w:tcPr>
            <w:tcW w:w="1046" w:type="pct"/>
            <w:tcBorders>
              <w:top w:val="single" w:sz="6" w:space="0" w:color="auto"/>
              <w:left w:val="nil"/>
              <w:bottom w:val="single" w:sz="6" w:space="0" w:color="auto"/>
              <w:right w:val="nil"/>
            </w:tcBorders>
            <w:shd w:val="clear" w:color="auto" w:fill="auto"/>
            <w:vAlign w:val="center"/>
          </w:tcPr>
          <w:p w14:paraId="0DC4F417" w14:textId="2D0FC9B0" w:rsidR="003F7E92" w:rsidRPr="009702B0" w:rsidRDefault="003F7E92" w:rsidP="003F7E92">
            <w:pPr>
              <w:tabs>
                <w:tab w:val="right" w:pos="1202"/>
              </w:tabs>
              <w:spacing w:after="0" w:line="240" w:lineRule="exact"/>
              <w:jc w:val="right"/>
              <w:outlineLvl w:val="0"/>
              <w:rPr>
                <w:rFonts w:eastAsia="Times New Roman" w:cs="Arial"/>
                <w:sz w:val="20"/>
                <w:szCs w:val="20"/>
              </w:rPr>
            </w:pPr>
            <w:r w:rsidRPr="00610710">
              <w:rPr>
                <w:color w:val="000000"/>
                <w:sz w:val="20"/>
                <w:szCs w:val="20"/>
              </w:rPr>
              <w:t>5</w:t>
            </w:r>
            <w:r>
              <w:rPr>
                <w:color w:val="000000"/>
                <w:sz w:val="20"/>
                <w:szCs w:val="20"/>
              </w:rPr>
              <w:t>,</w:t>
            </w:r>
            <w:r w:rsidRPr="00610710">
              <w:rPr>
                <w:color w:val="000000"/>
                <w:sz w:val="20"/>
                <w:szCs w:val="20"/>
              </w:rPr>
              <w:t>665</w:t>
            </w:r>
            <w:r>
              <w:rPr>
                <w:color w:val="000000"/>
                <w:sz w:val="20"/>
                <w:szCs w:val="20"/>
              </w:rPr>
              <w:t>,</w:t>
            </w:r>
            <w:r w:rsidRPr="00610710">
              <w:rPr>
                <w:color w:val="000000"/>
                <w:sz w:val="20"/>
                <w:szCs w:val="20"/>
              </w:rPr>
              <w:t>776</w:t>
            </w:r>
          </w:p>
        </w:tc>
        <w:tc>
          <w:tcPr>
            <w:tcW w:w="1044" w:type="pct"/>
            <w:tcBorders>
              <w:top w:val="single" w:sz="6" w:space="0" w:color="auto"/>
              <w:left w:val="nil"/>
              <w:bottom w:val="single" w:sz="6" w:space="0" w:color="auto"/>
            </w:tcBorders>
            <w:vAlign w:val="center"/>
          </w:tcPr>
          <w:p w14:paraId="57D4CB8E" w14:textId="77777777" w:rsidR="003F7E92" w:rsidRPr="00682116" w:rsidRDefault="003F7E92" w:rsidP="003F7E92">
            <w:pPr>
              <w:spacing w:after="0" w:line="240" w:lineRule="auto"/>
              <w:jc w:val="right"/>
              <w:rPr>
                <w:rFonts w:eastAsia="Times New Roman" w:cs="Arial"/>
                <w:color w:val="000000"/>
                <w:sz w:val="20"/>
                <w:szCs w:val="20"/>
                <w:lang w:eastAsia="hr-HR"/>
              </w:rPr>
            </w:pPr>
            <w:r w:rsidRPr="00682116">
              <w:rPr>
                <w:rFonts w:eastAsia="Times New Roman" w:cs="Arial"/>
                <w:color w:val="000000"/>
                <w:sz w:val="20"/>
                <w:szCs w:val="20"/>
                <w:lang w:eastAsia="hr-HR"/>
              </w:rPr>
              <w:t>6</w:t>
            </w:r>
            <w:r>
              <w:rPr>
                <w:rFonts w:eastAsia="Times New Roman" w:cs="Arial"/>
                <w:color w:val="000000"/>
                <w:sz w:val="20"/>
                <w:szCs w:val="20"/>
                <w:lang w:eastAsia="hr-HR"/>
              </w:rPr>
              <w:t>,</w:t>
            </w:r>
            <w:r w:rsidRPr="00682116">
              <w:rPr>
                <w:rFonts w:eastAsia="Times New Roman" w:cs="Arial"/>
                <w:color w:val="000000"/>
                <w:sz w:val="20"/>
                <w:szCs w:val="20"/>
                <w:lang w:eastAsia="hr-HR"/>
              </w:rPr>
              <w:t>067</w:t>
            </w:r>
            <w:r>
              <w:rPr>
                <w:rFonts w:eastAsia="Times New Roman" w:cs="Arial"/>
                <w:color w:val="000000"/>
                <w:sz w:val="20"/>
                <w:szCs w:val="20"/>
                <w:lang w:eastAsia="hr-HR"/>
              </w:rPr>
              <w:t>,</w:t>
            </w:r>
            <w:r w:rsidRPr="00682116">
              <w:rPr>
                <w:rFonts w:eastAsia="Times New Roman" w:cs="Arial"/>
                <w:color w:val="000000"/>
                <w:sz w:val="20"/>
                <w:szCs w:val="20"/>
                <w:lang w:eastAsia="hr-HR"/>
              </w:rPr>
              <w:t>036</w:t>
            </w:r>
          </w:p>
        </w:tc>
      </w:tr>
      <w:tr w:rsidR="003F7E92" w:rsidRPr="009702B0" w14:paraId="36893E32" w14:textId="77777777" w:rsidTr="00BC5874">
        <w:tblPrEx>
          <w:tblCellMar>
            <w:left w:w="107" w:type="dxa"/>
            <w:right w:w="107" w:type="dxa"/>
          </w:tblCellMar>
        </w:tblPrEx>
        <w:trPr>
          <w:trHeight w:val="117"/>
        </w:trPr>
        <w:tc>
          <w:tcPr>
            <w:tcW w:w="2910" w:type="pct"/>
            <w:shd w:val="clear" w:color="auto" w:fill="auto"/>
            <w:vAlign w:val="bottom"/>
          </w:tcPr>
          <w:p w14:paraId="0C27C99A" w14:textId="77777777" w:rsidR="003F7E92" w:rsidRPr="009702B0" w:rsidRDefault="003F7E92" w:rsidP="003F7E92">
            <w:pPr>
              <w:spacing w:after="0" w:line="240" w:lineRule="auto"/>
              <w:rPr>
                <w:rFonts w:eastAsia="Times New Roman"/>
                <w:color w:val="000000"/>
                <w:sz w:val="20"/>
                <w:szCs w:val="20"/>
                <w:lang w:val="en-US" w:eastAsia="hr-HR"/>
              </w:rPr>
            </w:pPr>
            <w:r w:rsidRPr="009702B0">
              <w:rPr>
                <w:rFonts w:eastAsia="Times New Roman" w:cs="Arial"/>
                <w:sz w:val="20"/>
                <w:szCs w:val="20"/>
              </w:rPr>
              <w:t>Provisions for guarantees and commitments</w:t>
            </w:r>
          </w:p>
        </w:tc>
        <w:tc>
          <w:tcPr>
            <w:tcW w:w="1046" w:type="pct"/>
            <w:tcBorders>
              <w:top w:val="single" w:sz="6" w:space="0" w:color="auto"/>
              <w:left w:val="nil"/>
              <w:bottom w:val="single" w:sz="6" w:space="0" w:color="auto"/>
              <w:right w:val="nil"/>
            </w:tcBorders>
            <w:shd w:val="clear" w:color="auto" w:fill="auto"/>
            <w:vAlign w:val="center"/>
          </w:tcPr>
          <w:p w14:paraId="6D6DC96C" w14:textId="51B94119" w:rsidR="003F7E92" w:rsidRPr="009702B0" w:rsidRDefault="003F7E92" w:rsidP="003F7E92">
            <w:pPr>
              <w:tabs>
                <w:tab w:val="right" w:pos="1202"/>
              </w:tabs>
              <w:spacing w:after="0" w:line="240" w:lineRule="exact"/>
              <w:jc w:val="right"/>
              <w:outlineLvl w:val="0"/>
              <w:rPr>
                <w:rFonts w:eastAsia="Times New Roman" w:cs="Arial"/>
                <w:sz w:val="20"/>
                <w:szCs w:val="20"/>
              </w:rPr>
            </w:pPr>
            <w:r w:rsidRPr="00610710">
              <w:rPr>
                <w:color w:val="000000"/>
                <w:sz w:val="20"/>
                <w:szCs w:val="20"/>
              </w:rPr>
              <w:t>(67</w:t>
            </w:r>
            <w:r>
              <w:rPr>
                <w:color w:val="000000"/>
                <w:sz w:val="20"/>
                <w:szCs w:val="20"/>
              </w:rPr>
              <w:t>,</w:t>
            </w:r>
            <w:r w:rsidRPr="00610710">
              <w:rPr>
                <w:color w:val="000000"/>
                <w:sz w:val="20"/>
                <w:szCs w:val="20"/>
              </w:rPr>
              <w:t>548)</w:t>
            </w:r>
            <w:r w:rsidRPr="00610710" w:rsidDel="00983784">
              <w:rPr>
                <w:color w:val="000000"/>
                <w:sz w:val="20"/>
                <w:szCs w:val="20"/>
              </w:rPr>
              <w:t xml:space="preserve"> </w:t>
            </w:r>
          </w:p>
        </w:tc>
        <w:tc>
          <w:tcPr>
            <w:tcW w:w="1044" w:type="pct"/>
            <w:tcBorders>
              <w:top w:val="single" w:sz="6" w:space="0" w:color="auto"/>
              <w:left w:val="nil"/>
              <w:bottom w:val="single" w:sz="6" w:space="0" w:color="auto"/>
            </w:tcBorders>
            <w:vAlign w:val="center"/>
          </w:tcPr>
          <w:p w14:paraId="27D52215" w14:textId="77777777" w:rsidR="003F7E92" w:rsidRPr="00682116" w:rsidRDefault="003F7E92" w:rsidP="003F7E92">
            <w:pPr>
              <w:spacing w:after="0" w:line="240" w:lineRule="auto"/>
              <w:jc w:val="right"/>
              <w:rPr>
                <w:rFonts w:eastAsia="Times New Roman" w:cs="Arial"/>
                <w:color w:val="000000"/>
                <w:sz w:val="20"/>
                <w:szCs w:val="20"/>
                <w:lang w:eastAsia="hr-HR"/>
              </w:rPr>
            </w:pPr>
            <w:r w:rsidRPr="00682116">
              <w:rPr>
                <w:rFonts w:eastAsia="Times New Roman" w:cs="Arial"/>
                <w:color w:val="000000"/>
                <w:sz w:val="20"/>
                <w:szCs w:val="20"/>
                <w:lang w:eastAsia="hr-HR"/>
              </w:rPr>
              <w:t>(75</w:t>
            </w:r>
            <w:r>
              <w:rPr>
                <w:rFonts w:eastAsia="Times New Roman" w:cs="Arial"/>
                <w:color w:val="000000"/>
                <w:sz w:val="20"/>
                <w:szCs w:val="20"/>
                <w:lang w:eastAsia="hr-HR"/>
              </w:rPr>
              <w:t>,</w:t>
            </w:r>
            <w:r w:rsidRPr="00682116">
              <w:rPr>
                <w:rFonts w:eastAsia="Times New Roman" w:cs="Arial"/>
                <w:color w:val="000000"/>
                <w:sz w:val="20"/>
                <w:szCs w:val="20"/>
                <w:lang w:eastAsia="hr-HR"/>
              </w:rPr>
              <w:t>103)</w:t>
            </w:r>
          </w:p>
        </w:tc>
      </w:tr>
      <w:tr w:rsidR="003F7E92" w:rsidRPr="009702B0" w14:paraId="27C3675B" w14:textId="77777777" w:rsidTr="00166751">
        <w:tblPrEx>
          <w:tblCellMar>
            <w:left w:w="107" w:type="dxa"/>
            <w:right w:w="107" w:type="dxa"/>
          </w:tblCellMar>
        </w:tblPrEx>
        <w:trPr>
          <w:trHeight w:val="342"/>
        </w:trPr>
        <w:tc>
          <w:tcPr>
            <w:tcW w:w="2910" w:type="pct"/>
            <w:shd w:val="clear" w:color="auto" w:fill="auto"/>
            <w:vAlign w:val="center"/>
          </w:tcPr>
          <w:p w14:paraId="4A23D157" w14:textId="77777777" w:rsidR="003F7E92" w:rsidRPr="009702B0" w:rsidRDefault="003F7E92" w:rsidP="003F7E92">
            <w:pPr>
              <w:spacing w:after="0" w:line="240" w:lineRule="auto"/>
              <w:rPr>
                <w:rFonts w:eastAsia="Times New Roman"/>
                <w:b/>
                <w:bCs/>
                <w:color w:val="000000"/>
                <w:sz w:val="20"/>
                <w:szCs w:val="20"/>
                <w:lang w:eastAsia="hr-HR"/>
              </w:rPr>
            </w:pPr>
          </w:p>
        </w:tc>
        <w:tc>
          <w:tcPr>
            <w:tcW w:w="1046" w:type="pct"/>
            <w:tcBorders>
              <w:top w:val="single" w:sz="6" w:space="0" w:color="auto"/>
              <w:left w:val="nil"/>
              <w:bottom w:val="single" w:sz="12" w:space="0" w:color="auto"/>
              <w:right w:val="nil"/>
            </w:tcBorders>
            <w:shd w:val="clear" w:color="auto" w:fill="auto"/>
            <w:vAlign w:val="center"/>
          </w:tcPr>
          <w:p w14:paraId="5B22D3E4" w14:textId="4B0345F5" w:rsidR="003F7E92" w:rsidRPr="00BA3F2A" w:rsidRDefault="003F7E92" w:rsidP="006B318F">
            <w:pPr>
              <w:spacing w:after="0" w:line="240" w:lineRule="auto"/>
              <w:jc w:val="right"/>
              <w:rPr>
                <w:rFonts w:eastAsia="Times New Roman" w:cs="Arial"/>
                <w:b/>
                <w:color w:val="000000"/>
                <w:sz w:val="20"/>
                <w:szCs w:val="20"/>
                <w:lang w:eastAsia="hr-HR"/>
              </w:rPr>
            </w:pPr>
            <w:r w:rsidRPr="006B318F">
              <w:rPr>
                <w:rFonts w:eastAsia="Times New Roman" w:cs="Arial"/>
                <w:b/>
                <w:color w:val="000000"/>
                <w:sz w:val="20"/>
                <w:szCs w:val="20"/>
                <w:lang w:eastAsia="hr-HR"/>
              </w:rPr>
              <w:t>5,598,228</w:t>
            </w:r>
          </w:p>
        </w:tc>
        <w:tc>
          <w:tcPr>
            <w:tcW w:w="1044" w:type="pct"/>
            <w:tcBorders>
              <w:top w:val="single" w:sz="6" w:space="0" w:color="auto"/>
              <w:left w:val="nil"/>
              <w:bottom w:val="single" w:sz="12" w:space="0" w:color="auto"/>
            </w:tcBorders>
            <w:vAlign w:val="center"/>
          </w:tcPr>
          <w:p w14:paraId="6227B123" w14:textId="77777777" w:rsidR="003F7E92" w:rsidRPr="00682116" w:rsidRDefault="003F7E92" w:rsidP="003F7E92">
            <w:pPr>
              <w:spacing w:after="0" w:line="240" w:lineRule="auto"/>
              <w:jc w:val="right"/>
              <w:rPr>
                <w:rFonts w:eastAsia="Times New Roman" w:cs="Arial"/>
                <w:b/>
                <w:color w:val="000000"/>
                <w:sz w:val="20"/>
                <w:szCs w:val="20"/>
                <w:lang w:eastAsia="hr-HR"/>
              </w:rPr>
            </w:pPr>
            <w:r w:rsidRPr="00682116">
              <w:rPr>
                <w:rFonts w:eastAsia="Times New Roman" w:cs="Arial"/>
                <w:b/>
                <w:color w:val="000000"/>
                <w:sz w:val="20"/>
                <w:szCs w:val="20"/>
                <w:lang w:eastAsia="hr-HR"/>
              </w:rPr>
              <w:t>5</w:t>
            </w:r>
            <w:r>
              <w:rPr>
                <w:rFonts w:eastAsia="Times New Roman" w:cs="Arial"/>
                <w:b/>
                <w:color w:val="000000"/>
                <w:sz w:val="20"/>
                <w:szCs w:val="20"/>
                <w:lang w:eastAsia="hr-HR"/>
              </w:rPr>
              <w:t>,</w:t>
            </w:r>
            <w:r w:rsidRPr="00682116">
              <w:rPr>
                <w:rFonts w:eastAsia="Times New Roman" w:cs="Arial"/>
                <w:b/>
                <w:color w:val="000000"/>
                <w:sz w:val="20"/>
                <w:szCs w:val="20"/>
                <w:lang w:eastAsia="hr-HR"/>
              </w:rPr>
              <w:t>991</w:t>
            </w:r>
            <w:r>
              <w:rPr>
                <w:rFonts w:eastAsia="Times New Roman" w:cs="Arial"/>
                <w:b/>
                <w:color w:val="000000"/>
                <w:sz w:val="20"/>
                <w:szCs w:val="20"/>
                <w:lang w:eastAsia="hr-HR"/>
              </w:rPr>
              <w:t>,</w:t>
            </w:r>
            <w:r w:rsidRPr="00682116">
              <w:rPr>
                <w:rFonts w:eastAsia="Times New Roman" w:cs="Arial"/>
                <w:b/>
                <w:color w:val="000000"/>
                <w:sz w:val="20"/>
                <w:szCs w:val="20"/>
                <w:lang w:eastAsia="hr-HR"/>
              </w:rPr>
              <w:t>933</w:t>
            </w:r>
          </w:p>
        </w:tc>
      </w:tr>
    </w:tbl>
    <w:p w14:paraId="0E60C728" w14:textId="77777777" w:rsidR="008D05FD" w:rsidRDefault="008D05FD" w:rsidP="00BA3F2A">
      <w:pPr>
        <w:spacing w:after="0" w:line="240" w:lineRule="auto"/>
        <w:jc w:val="both"/>
        <w:rPr>
          <w:rFonts w:eastAsia="Times New Roman" w:cs="Arial"/>
        </w:rPr>
      </w:pPr>
    </w:p>
    <w:p w14:paraId="31C50CBE" w14:textId="77777777" w:rsidR="009702B0" w:rsidRPr="009702B0" w:rsidRDefault="009702B0" w:rsidP="005444AA">
      <w:pPr>
        <w:spacing w:after="120" w:line="240" w:lineRule="auto"/>
        <w:jc w:val="both"/>
        <w:rPr>
          <w:rFonts w:eastAsia="Times New Roman" w:cs="Arial"/>
        </w:rPr>
      </w:pPr>
      <w:r w:rsidRPr="009702B0">
        <w:rPr>
          <w:rFonts w:eastAsia="Times New Roman" w:cs="Arial"/>
        </w:rPr>
        <w:t xml:space="preserve">Guarantees </w:t>
      </w:r>
    </w:p>
    <w:p w14:paraId="1C8A8A7C" w14:textId="77777777" w:rsidR="009702B0" w:rsidRPr="009702B0" w:rsidRDefault="009702B0" w:rsidP="005444AA">
      <w:pPr>
        <w:spacing w:after="120" w:line="240" w:lineRule="auto"/>
        <w:jc w:val="both"/>
        <w:rPr>
          <w:rFonts w:eastAsia="Times New Roman" w:cs="Arial"/>
          <w:bCs/>
        </w:rPr>
      </w:pPr>
      <w:r w:rsidRPr="009702B0">
        <w:rPr>
          <w:rFonts w:eastAsia="Times New Roman" w:cs="Arial"/>
          <w:bCs/>
        </w:rPr>
        <w:t>Issued guarantees and open letters of credit represent the liability to the Bank to make payments on behalf of customers if the customer is unable to honour its commitments towards third parties or in the event of a specific act, generally related to the export or import of goods and other purposes specified in the contracts with the customers. Guarantees and letters of credit bear the same credit risk as loans.</w:t>
      </w:r>
    </w:p>
    <w:p w14:paraId="452636B1" w14:textId="579F94BB" w:rsidR="009702B0" w:rsidRPr="009702B0" w:rsidRDefault="009702B0" w:rsidP="005444AA">
      <w:pPr>
        <w:keepNext/>
        <w:spacing w:after="120" w:line="240" w:lineRule="auto"/>
        <w:jc w:val="both"/>
        <w:rPr>
          <w:rFonts w:eastAsia="Times New Roman" w:cs="Arial"/>
        </w:rPr>
      </w:pPr>
      <w:r w:rsidRPr="009702B0">
        <w:rPr>
          <w:rFonts w:eastAsia="Times New Roman" w:cs="Arial"/>
        </w:rPr>
        <w:t xml:space="preserve">Bank guarantees are, to the extent </w:t>
      </w:r>
      <w:r w:rsidRPr="00215F97">
        <w:rPr>
          <w:rFonts w:eastAsia="Times New Roman" w:cs="Arial"/>
        </w:rPr>
        <w:t xml:space="preserve">of </w:t>
      </w:r>
      <w:r w:rsidR="003F7E92">
        <w:rPr>
          <w:rFonts w:eastAsia="Times New Roman" w:cs="Arial"/>
          <w:bCs/>
        </w:rPr>
        <w:t>83</w:t>
      </w:r>
      <w:r w:rsidRPr="00166751">
        <w:rPr>
          <w:rFonts w:eastAsia="Times New Roman" w:cs="Arial"/>
          <w:bCs/>
        </w:rPr>
        <w:t>%</w:t>
      </w:r>
      <w:r w:rsidRPr="00215F97">
        <w:rPr>
          <w:rFonts w:eastAsia="Times New Roman" w:cs="Arial"/>
          <w:bCs/>
        </w:rPr>
        <w:t>,</w:t>
      </w:r>
      <w:r w:rsidRPr="009702B0">
        <w:rPr>
          <w:rFonts w:eastAsia="Times New Roman" w:cs="Arial"/>
          <w:bCs/>
        </w:rPr>
        <w:t xml:space="preserve"> </w:t>
      </w:r>
      <w:r w:rsidRPr="009702B0">
        <w:rPr>
          <w:rFonts w:eastAsia="Times New Roman" w:cs="Arial"/>
        </w:rPr>
        <w:t>collaterali</w:t>
      </w:r>
      <w:r w:rsidR="00215F97">
        <w:rPr>
          <w:rFonts w:eastAsia="Times New Roman" w:cs="Arial"/>
        </w:rPr>
        <w:t>s</w:t>
      </w:r>
      <w:r w:rsidRPr="009702B0">
        <w:rPr>
          <w:rFonts w:eastAsia="Times New Roman" w:cs="Arial"/>
        </w:rPr>
        <w:t>ed by the guarantees, deposits and bank guarantees</w:t>
      </w:r>
      <w:r w:rsidR="00C4108C">
        <w:rPr>
          <w:rFonts w:eastAsia="Times New Roman" w:cs="Arial"/>
        </w:rPr>
        <w:t xml:space="preserve">. </w:t>
      </w:r>
      <w:r w:rsidR="00215F97">
        <w:rPr>
          <w:rFonts w:eastAsia="Times New Roman" w:cs="Arial"/>
        </w:rPr>
        <w:t>Open letters of credit are fully covered by deposits.</w:t>
      </w:r>
    </w:p>
    <w:p w14:paraId="19FD4E15" w14:textId="77777777" w:rsidR="009702B0" w:rsidRPr="009702B0" w:rsidRDefault="009702B0" w:rsidP="005444AA">
      <w:pPr>
        <w:spacing w:after="120" w:line="240" w:lineRule="auto"/>
        <w:jc w:val="both"/>
        <w:rPr>
          <w:rFonts w:eastAsia="Times New Roman" w:cs="Arial"/>
        </w:rPr>
      </w:pPr>
      <w:r w:rsidRPr="009702B0">
        <w:rPr>
          <w:rFonts w:eastAsia="Times New Roman" w:cs="Arial"/>
        </w:rPr>
        <w:t>Commitments upon undrawn loans</w:t>
      </w:r>
    </w:p>
    <w:p w14:paraId="68B45721" w14:textId="77777777" w:rsidR="009702B0" w:rsidRDefault="009702B0" w:rsidP="005444AA">
      <w:pPr>
        <w:spacing w:after="120" w:line="240" w:lineRule="auto"/>
        <w:jc w:val="both"/>
        <w:rPr>
          <w:rFonts w:eastAsia="Times New Roman" w:cs="Arial"/>
          <w:bCs/>
        </w:rPr>
      </w:pPr>
      <w:r w:rsidRPr="009702B0">
        <w:rPr>
          <w:rFonts w:eastAsia="Times New Roman" w:cs="Arial"/>
          <w:bCs/>
        </w:rPr>
        <w:t>The Bank has an obligation to disburse funds for loans and revolving loans upon committed undrawn loans. The expiry date of disbursement or other termination clause is determined by the contract. Disbursements are exercised in several withdrawals, depending on the purpose of the loan, phase of the project or documentation needed for disbursement. Since commitments may expire without being drawn upon, the total contractual amounts do not necessarily represent future cash outflows.</w:t>
      </w:r>
    </w:p>
    <w:p w14:paraId="5CF6A6DE" w14:textId="77777777" w:rsidR="009702B0" w:rsidRPr="009702B0" w:rsidRDefault="009702B0" w:rsidP="005444AA">
      <w:pPr>
        <w:keepNext/>
        <w:spacing w:after="120" w:line="240" w:lineRule="auto"/>
        <w:jc w:val="both"/>
        <w:rPr>
          <w:rFonts w:eastAsia="Times New Roman" w:cs="Arial"/>
          <w:bCs/>
        </w:rPr>
      </w:pPr>
      <w:r w:rsidRPr="009702B0">
        <w:rPr>
          <w:rFonts w:eastAsia="Times New Roman" w:cs="Arial"/>
          <w:bCs/>
        </w:rPr>
        <w:t>Committed undrawn loans include less potential credit risk than loans, since most commitments depend upon meeting specific terms and conditions by the customers in order to use the funds. The Bank monitors the terms to maturity of loan commitments.</w:t>
      </w:r>
    </w:p>
    <w:p w14:paraId="47399EAA" w14:textId="77777777" w:rsidR="009702B0" w:rsidRPr="009702B0" w:rsidRDefault="009702B0" w:rsidP="005444AA">
      <w:pPr>
        <w:spacing w:after="120" w:line="240" w:lineRule="auto"/>
        <w:jc w:val="both"/>
        <w:rPr>
          <w:rFonts w:eastAsia="Times New Roman" w:cs="Calibri"/>
          <w:lang w:eastAsia="hr-HR"/>
        </w:rPr>
      </w:pPr>
      <w:r w:rsidRPr="009702B0">
        <w:rPr>
          <w:rFonts w:eastAsia="Times New Roman" w:cs="Calibri"/>
          <w:lang w:eastAsia="hr-HR"/>
        </w:rPr>
        <w:t>Other irrevocable contingent liabilities</w:t>
      </w:r>
    </w:p>
    <w:p w14:paraId="7EE08449" w14:textId="77777777" w:rsidR="009702B0" w:rsidRPr="009702B0" w:rsidRDefault="009702B0" w:rsidP="005444AA">
      <w:pPr>
        <w:spacing w:after="120" w:line="240" w:lineRule="auto"/>
        <w:jc w:val="both"/>
        <w:rPr>
          <w:rFonts w:eastAsia="Times New Roman" w:cs="Calibri"/>
          <w:lang w:eastAsia="hr-HR"/>
        </w:rPr>
      </w:pPr>
      <w:r w:rsidRPr="009702B0">
        <w:rPr>
          <w:rFonts w:eastAsia="Times New Roman" w:cs="Calibri"/>
          <w:lang w:eastAsia="hr-HR"/>
        </w:rPr>
        <w:t>Other irrevocable contingent liabilities relate to HBOR’s obligation based on the Agreement concluded on 24 January 2014 with HBOR – Export Credit Insurance performing transactions for and on behalf of the Republic of Croatia. Pursuant to this Agreement, HBOR shall, in case of disposal of the real estate taken over and the recovery from debtors in a pre-bankruptcy settlement, provided that certain conditions have been fulfilled, pay the recovered funds to the Guarantee fund of the Export Credit Insurance.</w:t>
      </w:r>
    </w:p>
    <w:p w14:paraId="063FF090" w14:textId="77777777" w:rsidR="009702B0" w:rsidRPr="009702B0" w:rsidRDefault="009702B0" w:rsidP="005444AA">
      <w:pPr>
        <w:spacing w:after="120" w:line="240" w:lineRule="auto"/>
        <w:jc w:val="both"/>
        <w:rPr>
          <w:rFonts w:eastAsia="Times New Roman" w:cs="Calibri"/>
          <w:lang w:eastAsia="hr-HR"/>
        </w:rPr>
        <w:sectPr w:rsidR="009702B0" w:rsidRPr="009702B0" w:rsidSect="00947CB7">
          <w:footerReference w:type="default" r:id="rId70"/>
          <w:footerReference w:type="first" r:id="rId71"/>
          <w:pgSz w:w="11906" w:h="16838" w:code="9"/>
          <w:pgMar w:top="1418" w:right="1418" w:bottom="595" w:left="1134" w:header="709" w:footer="709" w:gutter="0"/>
          <w:cols w:space="708"/>
          <w:titlePg/>
          <w:docGrid w:linePitch="360"/>
        </w:sectPr>
      </w:pPr>
    </w:p>
    <w:p w14:paraId="5DFC8A85" w14:textId="77777777" w:rsidR="009702B0" w:rsidRPr="009702B0" w:rsidRDefault="009702B0" w:rsidP="005444AA">
      <w:pPr>
        <w:tabs>
          <w:tab w:val="left" w:pos="567"/>
          <w:tab w:val="left" w:pos="709"/>
        </w:tabs>
        <w:spacing w:after="120" w:line="240" w:lineRule="auto"/>
        <w:jc w:val="both"/>
        <w:rPr>
          <w:rFonts w:eastAsia="Times New Roman" w:cs="Arial"/>
          <w:b/>
        </w:rPr>
      </w:pPr>
    </w:p>
    <w:p w14:paraId="3C5AF1B9" w14:textId="77777777" w:rsidR="009702B0" w:rsidRPr="009702B0" w:rsidRDefault="009702B0" w:rsidP="009702B0">
      <w:pPr>
        <w:tabs>
          <w:tab w:val="left" w:pos="567"/>
          <w:tab w:val="left" w:pos="709"/>
        </w:tabs>
        <w:spacing w:after="0" w:line="240" w:lineRule="auto"/>
        <w:jc w:val="both"/>
        <w:rPr>
          <w:rFonts w:eastAsia="Times New Roman" w:cs="Arial"/>
          <w:b/>
        </w:rPr>
      </w:pPr>
      <w:r w:rsidRPr="009702B0">
        <w:rPr>
          <w:rFonts w:eastAsia="Times New Roman" w:cs="Arial"/>
          <w:b/>
        </w:rPr>
        <w:t xml:space="preserve">15. </w:t>
      </w:r>
      <w:r w:rsidRPr="009702B0">
        <w:rPr>
          <w:rFonts w:eastAsia="Times New Roman" w:cs="Arial"/>
          <w:b/>
        </w:rPr>
        <w:tab/>
        <w:t>Related-party transactions</w:t>
      </w:r>
    </w:p>
    <w:p w14:paraId="07F82525" w14:textId="77777777" w:rsidR="009702B0" w:rsidRPr="009702B0" w:rsidRDefault="009702B0" w:rsidP="009702B0">
      <w:pPr>
        <w:tabs>
          <w:tab w:val="left" w:pos="567"/>
          <w:tab w:val="left" w:pos="709"/>
        </w:tabs>
        <w:spacing w:after="0" w:line="240" w:lineRule="auto"/>
        <w:jc w:val="both"/>
        <w:rPr>
          <w:rFonts w:eastAsia="Times New Roman" w:cs="Arial"/>
          <w:b/>
        </w:rPr>
      </w:pPr>
    </w:p>
    <w:p w14:paraId="55B5B53C" w14:textId="77777777" w:rsidR="009702B0" w:rsidRPr="009702B0" w:rsidRDefault="009702B0" w:rsidP="009702B0">
      <w:pPr>
        <w:keepNext/>
        <w:spacing w:after="0" w:line="240" w:lineRule="auto"/>
        <w:jc w:val="both"/>
        <w:rPr>
          <w:rFonts w:eastAsia="Times New Roman" w:cs="Arial"/>
          <w:bCs/>
        </w:rPr>
      </w:pPr>
      <w:r w:rsidRPr="009702B0">
        <w:rPr>
          <w:rFonts w:eastAsia="Times New Roman" w:cs="Arial"/>
        </w:rPr>
        <w:t xml:space="preserve">Related parties are companies </w:t>
      </w:r>
      <w:r w:rsidRPr="009702B0">
        <w:rPr>
          <w:rFonts w:eastAsia="Times New Roman" w:cs="Arial"/>
          <w:bCs/>
        </w:rPr>
        <w:t xml:space="preserve">that directly or indirectly, through one or more intermediaries, control, or are controlled by, the reporting company.  </w:t>
      </w:r>
    </w:p>
    <w:p w14:paraId="36F6B2DD" w14:textId="77777777" w:rsidR="009702B0" w:rsidRPr="009702B0" w:rsidRDefault="009702B0" w:rsidP="009702B0">
      <w:pPr>
        <w:keepNext/>
        <w:spacing w:before="120" w:after="0" w:line="240" w:lineRule="auto"/>
        <w:jc w:val="both"/>
        <w:rPr>
          <w:rFonts w:eastAsia="Times New Roman" w:cs="Arial"/>
          <w:bCs/>
        </w:rPr>
      </w:pPr>
      <w:r w:rsidRPr="009702B0">
        <w:rPr>
          <w:rFonts w:eastAsia="Times New Roman" w:cs="Arial"/>
          <w:bCs/>
        </w:rPr>
        <w:t>The majority of related-party transactions relate to the transactions with the Republic of Croatia, the 100% owner of the Bank and state-owned companies over which the Republic of Croatia has the controlling influence.</w:t>
      </w:r>
    </w:p>
    <w:p w14:paraId="313889A0" w14:textId="77777777" w:rsidR="009702B0" w:rsidRPr="009702B0" w:rsidRDefault="009702B0" w:rsidP="009702B0">
      <w:pPr>
        <w:keepNext/>
        <w:spacing w:before="120" w:after="0" w:line="300" w:lineRule="exact"/>
        <w:jc w:val="both"/>
        <w:rPr>
          <w:rFonts w:eastAsia="Times New Roman" w:cs="Arial"/>
          <w:bCs/>
        </w:rPr>
      </w:pPr>
      <w:r w:rsidRPr="009702B0">
        <w:rPr>
          <w:rFonts w:eastAsia="Times New Roman" w:cs="Arial"/>
          <w:bCs/>
        </w:rPr>
        <w:t>All transactions stated were carried out under usual/regular conditions of the Bank.</w:t>
      </w:r>
    </w:p>
    <w:p w14:paraId="61048196" w14:textId="06995157" w:rsidR="009702B0" w:rsidRPr="009702B0" w:rsidRDefault="009702B0" w:rsidP="009702B0">
      <w:pPr>
        <w:keepNext/>
        <w:tabs>
          <w:tab w:val="left" w:pos="567"/>
        </w:tabs>
        <w:spacing w:before="120" w:after="0" w:line="240" w:lineRule="auto"/>
        <w:jc w:val="both"/>
        <w:rPr>
          <w:rFonts w:eastAsia="Times New Roman" w:cs="Arial"/>
          <w:bCs/>
        </w:rPr>
      </w:pPr>
      <w:r w:rsidRPr="009702B0">
        <w:t xml:space="preserve">Exposure and liabilities as of </w:t>
      </w:r>
      <w:r w:rsidR="00861F3F" w:rsidRPr="00861F3F">
        <w:t xml:space="preserve">30 </w:t>
      </w:r>
      <w:r w:rsidR="00456071">
        <w:t>September</w:t>
      </w:r>
      <w:r w:rsidR="00456071" w:rsidRPr="00861F3F">
        <w:t xml:space="preserve"> </w:t>
      </w:r>
      <w:r w:rsidR="00D0783E">
        <w:t>2017</w:t>
      </w:r>
      <w:r w:rsidRPr="009702B0">
        <w:t xml:space="preserve"> and 31 December 201</w:t>
      </w:r>
      <w:r w:rsidR="00D0783E">
        <w:t>6</w:t>
      </w:r>
      <w:r w:rsidRPr="009702B0">
        <w:t xml:space="preserve">, and income and expense for the period 1 January to </w:t>
      </w:r>
      <w:r w:rsidR="00861F3F" w:rsidRPr="00861F3F">
        <w:t xml:space="preserve">30 </w:t>
      </w:r>
      <w:r w:rsidR="00C4108C">
        <w:t>September</w:t>
      </w:r>
      <w:r w:rsidR="00C4108C" w:rsidRPr="00861F3F">
        <w:t xml:space="preserve"> </w:t>
      </w:r>
      <w:r w:rsidR="00D0783E" w:rsidRPr="00D0783E">
        <w:t>2017</w:t>
      </w:r>
      <w:r w:rsidRPr="009702B0">
        <w:t xml:space="preserve"> and for the period 1 January to </w:t>
      </w:r>
      <w:r w:rsidR="00861F3F" w:rsidRPr="00861F3F">
        <w:t xml:space="preserve">30 </w:t>
      </w:r>
      <w:r w:rsidR="00C4108C">
        <w:t>September</w:t>
      </w:r>
      <w:r w:rsidR="00C4108C" w:rsidRPr="00861F3F">
        <w:t xml:space="preserve"> </w:t>
      </w:r>
      <w:r w:rsidR="00D0783E" w:rsidRPr="00D0783E">
        <w:t>201</w:t>
      </w:r>
      <w:r w:rsidR="00D0783E">
        <w:t>6</w:t>
      </w:r>
      <w:r w:rsidRPr="009702B0">
        <w:t xml:space="preserve"> arising from transactions with related parties, including the Bank’s key management personnel, include the following</w:t>
      </w:r>
      <w:r w:rsidRPr="009702B0">
        <w:rPr>
          <w:rFonts w:eastAsia="Times New Roman" w:cs="Arial"/>
          <w:bCs/>
        </w:rPr>
        <w:t xml:space="preserve">: </w:t>
      </w:r>
    </w:p>
    <w:p w14:paraId="04EC35C2" w14:textId="77777777" w:rsidR="009702B0" w:rsidRPr="009702B0" w:rsidRDefault="009702B0" w:rsidP="009702B0">
      <w:pPr>
        <w:keepNext/>
        <w:spacing w:after="0" w:line="240" w:lineRule="auto"/>
        <w:jc w:val="both"/>
        <w:rPr>
          <w:rFonts w:eastAsia="Times New Roman" w:cs="Arial"/>
          <w:bCs/>
        </w:rPr>
      </w:pPr>
    </w:p>
    <w:p w14:paraId="74D6F3EB" w14:textId="77777777" w:rsidR="009702B0" w:rsidRPr="009702B0" w:rsidRDefault="009702B0" w:rsidP="009702B0">
      <w:pPr>
        <w:keepNext/>
        <w:numPr>
          <w:ilvl w:val="0"/>
          <w:numId w:val="14"/>
        </w:numPr>
        <w:spacing w:after="0" w:line="240" w:lineRule="auto"/>
        <w:jc w:val="both"/>
        <w:rPr>
          <w:rFonts w:eastAsia="Times New Roman" w:cs="Arial"/>
          <w:bCs/>
        </w:rPr>
      </w:pPr>
      <w:r w:rsidRPr="009702B0">
        <w:rPr>
          <w:rFonts w:eastAsia="Times New Roman" w:cs="Arial"/>
          <w:bCs/>
        </w:rPr>
        <w:t>Related-party transactions</w:t>
      </w:r>
    </w:p>
    <w:p w14:paraId="75587129" w14:textId="77777777" w:rsidR="009702B0" w:rsidRPr="009702B0" w:rsidRDefault="009702B0" w:rsidP="009702B0">
      <w:pPr>
        <w:keepNext/>
        <w:spacing w:after="0" w:line="240" w:lineRule="auto"/>
        <w:ind w:left="357"/>
        <w:jc w:val="both"/>
        <w:rPr>
          <w:rFonts w:eastAsia="Times New Roman" w:cs="Arial"/>
          <w:bCs/>
          <w:sz w:val="24"/>
          <w:szCs w:val="24"/>
        </w:rPr>
      </w:pPr>
    </w:p>
    <w:tbl>
      <w:tblPr>
        <w:tblW w:w="4877" w:type="pct"/>
        <w:jc w:val="center"/>
        <w:tblLayout w:type="fixed"/>
        <w:tblCellMar>
          <w:left w:w="113" w:type="dxa"/>
          <w:right w:w="85" w:type="dxa"/>
        </w:tblCellMar>
        <w:tblLook w:val="00A0" w:firstRow="1" w:lastRow="0" w:firstColumn="1" w:lastColumn="0" w:noHBand="0" w:noVBand="0"/>
      </w:tblPr>
      <w:tblGrid>
        <w:gridCol w:w="3686"/>
        <w:gridCol w:w="1412"/>
        <w:gridCol w:w="1339"/>
        <w:gridCol w:w="1337"/>
        <w:gridCol w:w="6"/>
        <w:gridCol w:w="1344"/>
      </w:tblGrid>
      <w:tr w:rsidR="009702B0" w:rsidRPr="009702B0" w14:paraId="67858C6E" w14:textId="77777777" w:rsidTr="009702B0">
        <w:trPr>
          <w:trHeight w:hRule="exact" w:val="294"/>
          <w:jc w:val="center"/>
        </w:trPr>
        <w:tc>
          <w:tcPr>
            <w:tcW w:w="3686" w:type="dxa"/>
            <w:vAlign w:val="bottom"/>
          </w:tcPr>
          <w:p w14:paraId="5CFA1639" w14:textId="77777777" w:rsidR="009702B0" w:rsidRPr="009702B0" w:rsidRDefault="009702B0" w:rsidP="009702B0">
            <w:pPr>
              <w:tabs>
                <w:tab w:val="right" w:pos="1202"/>
              </w:tabs>
              <w:spacing w:after="0" w:line="240" w:lineRule="auto"/>
              <w:outlineLvl w:val="0"/>
              <w:rPr>
                <w:rFonts w:eastAsia="Times New Roman" w:cs="Arial"/>
                <w:sz w:val="20"/>
                <w:szCs w:val="20"/>
              </w:rPr>
            </w:pPr>
            <w:r w:rsidRPr="009702B0">
              <w:rPr>
                <w:rFonts w:eastAsia="Times New Roman" w:cs="Arial"/>
                <w:b/>
                <w:sz w:val="20"/>
                <w:szCs w:val="20"/>
              </w:rPr>
              <w:t>Group</w:t>
            </w:r>
          </w:p>
        </w:tc>
        <w:tc>
          <w:tcPr>
            <w:tcW w:w="1412" w:type="dxa"/>
            <w:vAlign w:val="bottom"/>
          </w:tcPr>
          <w:p w14:paraId="01336AF1" w14:textId="77777777"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Exposure</w:t>
            </w:r>
          </w:p>
        </w:tc>
        <w:tc>
          <w:tcPr>
            <w:tcW w:w="1339" w:type="dxa"/>
            <w:vAlign w:val="bottom"/>
          </w:tcPr>
          <w:p w14:paraId="2C9A580C" w14:textId="77777777"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Liabilities</w:t>
            </w:r>
          </w:p>
        </w:tc>
        <w:tc>
          <w:tcPr>
            <w:tcW w:w="1343" w:type="dxa"/>
            <w:gridSpan w:val="2"/>
            <w:vAlign w:val="bottom"/>
          </w:tcPr>
          <w:p w14:paraId="38309C8D" w14:textId="77777777"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Exposure</w:t>
            </w:r>
          </w:p>
        </w:tc>
        <w:tc>
          <w:tcPr>
            <w:tcW w:w="1344" w:type="dxa"/>
            <w:vAlign w:val="bottom"/>
          </w:tcPr>
          <w:p w14:paraId="3BF2AA8C" w14:textId="77777777"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Liabilities</w:t>
            </w:r>
          </w:p>
        </w:tc>
      </w:tr>
      <w:tr w:rsidR="009702B0" w:rsidRPr="009702B0" w14:paraId="63345A90" w14:textId="77777777" w:rsidTr="009702B0">
        <w:trPr>
          <w:trHeight w:hRule="exact" w:val="294"/>
          <w:jc w:val="center"/>
        </w:trPr>
        <w:tc>
          <w:tcPr>
            <w:tcW w:w="3686" w:type="dxa"/>
            <w:vAlign w:val="bottom"/>
          </w:tcPr>
          <w:p w14:paraId="0969546C" w14:textId="77777777" w:rsidR="009702B0" w:rsidRPr="009702B0" w:rsidRDefault="009702B0" w:rsidP="009702B0">
            <w:pPr>
              <w:tabs>
                <w:tab w:val="right" w:pos="1202"/>
              </w:tabs>
              <w:spacing w:after="0" w:line="240" w:lineRule="auto"/>
              <w:outlineLvl w:val="0"/>
              <w:rPr>
                <w:rFonts w:eastAsia="Times New Roman" w:cs="Arial"/>
                <w:sz w:val="20"/>
                <w:szCs w:val="20"/>
              </w:rPr>
            </w:pPr>
          </w:p>
        </w:tc>
        <w:tc>
          <w:tcPr>
            <w:tcW w:w="1412" w:type="dxa"/>
            <w:vAlign w:val="bottom"/>
          </w:tcPr>
          <w:p w14:paraId="28D85B66" w14:textId="42D21E78" w:rsidR="009702B0" w:rsidRPr="009702B0" w:rsidRDefault="00393EE5">
            <w:pPr>
              <w:tabs>
                <w:tab w:val="right" w:pos="1202"/>
              </w:tabs>
              <w:spacing w:after="0" w:line="240" w:lineRule="auto"/>
              <w:jc w:val="right"/>
              <w:outlineLvl w:val="0"/>
              <w:rPr>
                <w:rFonts w:eastAsia="Times New Roman" w:cs="Arial"/>
                <w:b/>
                <w:bCs/>
                <w:iCs/>
                <w:sz w:val="20"/>
                <w:szCs w:val="20"/>
              </w:rPr>
            </w:pPr>
            <w:r>
              <w:rPr>
                <w:rFonts w:eastAsia="Times New Roman" w:cs="Arial"/>
                <w:b/>
                <w:bCs/>
                <w:sz w:val="20"/>
                <w:szCs w:val="20"/>
              </w:rPr>
              <w:t>Sep</w:t>
            </w:r>
            <w:r w:rsidRPr="002F6821">
              <w:rPr>
                <w:rFonts w:eastAsia="Times New Roman" w:cs="Arial"/>
                <w:b/>
                <w:bCs/>
                <w:sz w:val="20"/>
                <w:szCs w:val="20"/>
              </w:rPr>
              <w:t xml:space="preserve"> </w:t>
            </w:r>
            <w:r w:rsidR="002F6821" w:rsidRPr="002F6821">
              <w:rPr>
                <w:rFonts w:eastAsia="Times New Roman" w:cs="Arial"/>
                <w:b/>
                <w:bCs/>
                <w:sz w:val="20"/>
                <w:szCs w:val="20"/>
              </w:rPr>
              <w:t>30</w:t>
            </w:r>
            <w:r w:rsidR="00D0783E">
              <w:rPr>
                <w:rFonts w:eastAsia="Times New Roman" w:cs="Arial"/>
                <w:b/>
                <w:bCs/>
                <w:sz w:val="20"/>
                <w:szCs w:val="20"/>
              </w:rPr>
              <w:t>, 2017</w:t>
            </w:r>
          </w:p>
        </w:tc>
        <w:tc>
          <w:tcPr>
            <w:tcW w:w="1339" w:type="dxa"/>
            <w:vAlign w:val="bottom"/>
          </w:tcPr>
          <w:p w14:paraId="0F371952" w14:textId="11E7AD59" w:rsidR="009702B0" w:rsidRPr="009702B0" w:rsidRDefault="00393EE5">
            <w:pPr>
              <w:tabs>
                <w:tab w:val="right" w:pos="1202"/>
              </w:tabs>
              <w:spacing w:after="0" w:line="240" w:lineRule="auto"/>
              <w:jc w:val="right"/>
              <w:outlineLvl w:val="0"/>
              <w:rPr>
                <w:rFonts w:eastAsia="Times New Roman" w:cs="Arial"/>
                <w:b/>
                <w:bCs/>
                <w:iCs/>
                <w:sz w:val="20"/>
                <w:szCs w:val="20"/>
              </w:rPr>
            </w:pPr>
            <w:r>
              <w:rPr>
                <w:rFonts w:eastAsia="Times New Roman" w:cs="Arial"/>
                <w:b/>
                <w:bCs/>
                <w:sz w:val="20"/>
                <w:szCs w:val="20"/>
              </w:rPr>
              <w:t>Sep</w:t>
            </w:r>
            <w:r w:rsidRPr="002F6821">
              <w:rPr>
                <w:rFonts w:eastAsia="Times New Roman" w:cs="Arial"/>
                <w:b/>
                <w:bCs/>
                <w:sz w:val="20"/>
                <w:szCs w:val="20"/>
              </w:rPr>
              <w:t xml:space="preserve"> </w:t>
            </w:r>
            <w:r w:rsidR="002F6821" w:rsidRPr="002F6821">
              <w:rPr>
                <w:rFonts w:eastAsia="Times New Roman" w:cs="Arial"/>
                <w:b/>
                <w:bCs/>
                <w:sz w:val="20"/>
                <w:szCs w:val="20"/>
              </w:rPr>
              <w:t>30</w:t>
            </w:r>
            <w:r w:rsidR="00D0783E" w:rsidRPr="00D0783E">
              <w:rPr>
                <w:rFonts w:eastAsia="Times New Roman" w:cs="Arial"/>
                <w:b/>
                <w:bCs/>
                <w:sz w:val="20"/>
                <w:szCs w:val="20"/>
              </w:rPr>
              <w:t>, 2017</w:t>
            </w:r>
          </w:p>
        </w:tc>
        <w:tc>
          <w:tcPr>
            <w:tcW w:w="1337" w:type="dxa"/>
            <w:vAlign w:val="bottom"/>
          </w:tcPr>
          <w:p w14:paraId="4FD31A48" w14:textId="77777777" w:rsidR="009702B0" w:rsidRPr="009702B0" w:rsidRDefault="009702B0" w:rsidP="00D0783E">
            <w:pPr>
              <w:tabs>
                <w:tab w:val="right" w:pos="1202"/>
              </w:tabs>
              <w:spacing w:after="0" w:line="240" w:lineRule="auto"/>
              <w:jc w:val="right"/>
              <w:outlineLvl w:val="0"/>
              <w:rPr>
                <w:rFonts w:eastAsia="Times New Roman" w:cs="Arial"/>
                <w:b/>
                <w:bCs/>
                <w:iCs/>
                <w:sz w:val="20"/>
                <w:szCs w:val="20"/>
              </w:rPr>
            </w:pPr>
            <w:r w:rsidRPr="009702B0">
              <w:rPr>
                <w:rFonts w:eastAsia="Times New Roman" w:cs="Arial"/>
                <w:b/>
                <w:sz w:val="20"/>
                <w:szCs w:val="20"/>
              </w:rPr>
              <w:t xml:space="preserve">Dec 31, </w:t>
            </w:r>
            <w:r w:rsidRPr="009702B0">
              <w:rPr>
                <w:rFonts w:eastAsia="Times New Roman" w:cs="Arial"/>
                <w:b/>
                <w:bCs/>
                <w:iCs/>
                <w:sz w:val="20"/>
                <w:szCs w:val="20"/>
              </w:rPr>
              <w:t>201</w:t>
            </w:r>
            <w:r w:rsidR="00D0783E">
              <w:rPr>
                <w:rFonts w:eastAsia="Times New Roman" w:cs="Arial"/>
                <w:b/>
                <w:bCs/>
                <w:iCs/>
                <w:sz w:val="20"/>
                <w:szCs w:val="20"/>
              </w:rPr>
              <w:t>6</w:t>
            </w:r>
          </w:p>
        </w:tc>
        <w:tc>
          <w:tcPr>
            <w:tcW w:w="1350" w:type="dxa"/>
            <w:gridSpan w:val="2"/>
            <w:vAlign w:val="bottom"/>
          </w:tcPr>
          <w:p w14:paraId="70A41E89" w14:textId="77777777" w:rsidR="009702B0" w:rsidRPr="009702B0" w:rsidRDefault="009702B0" w:rsidP="00D0783E">
            <w:pPr>
              <w:tabs>
                <w:tab w:val="right" w:pos="1202"/>
              </w:tabs>
              <w:spacing w:after="0" w:line="240" w:lineRule="auto"/>
              <w:jc w:val="right"/>
              <w:outlineLvl w:val="0"/>
              <w:rPr>
                <w:rFonts w:eastAsia="Times New Roman" w:cs="Arial"/>
                <w:b/>
                <w:bCs/>
                <w:iCs/>
                <w:sz w:val="20"/>
                <w:szCs w:val="20"/>
              </w:rPr>
            </w:pPr>
            <w:r w:rsidRPr="009702B0">
              <w:rPr>
                <w:rFonts w:eastAsia="Times New Roman" w:cs="Arial"/>
                <w:b/>
                <w:sz w:val="20"/>
                <w:szCs w:val="20"/>
              </w:rPr>
              <w:t xml:space="preserve">Dec 31, </w:t>
            </w:r>
            <w:r w:rsidRPr="009702B0">
              <w:rPr>
                <w:rFonts w:eastAsia="Times New Roman" w:cs="Arial"/>
                <w:b/>
                <w:bCs/>
                <w:iCs/>
                <w:sz w:val="20"/>
                <w:szCs w:val="20"/>
              </w:rPr>
              <w:t>201</w:t>
            </w:r>
            <w:r w:rsidR="00D0783E">
              <w:rPr>
                <w:rFonts w:eastAsia="Times New Roman" w:cs="Arial"/>
                <w:b/>
                <w:bCs/>
                <w:iCs/>
                <w:sz w:val="20"/>
                <w:szCs w:val="20"/>
              </w:rPr>
              <w:t>6</w:t>
            </w:r>
          </w:p>
        </w:tc>
      </w:tr>
      <w:tr w:rsidR="00985E10" w:rsidRPr="009702B0" w14:paraId="7DAAAD8E" w14:textId="77777777" w:rsidTr="006B318F">
        <w:trPr>
          <w:trHeight w:hRule="exact" w:val="370"/>
          <w:jc w:val="center"/>
        </w:trPr>
        <w:tc>
          <w:tcPr>
            <w:tcW w:w="3686" w:type="dxa"/>
            <w:vAlign w:val="bottom"/>
          </w:tcPr>
          <w:p w14:paraId="6A833C9F" w14:textId="77777777" w:rsidR="00985E10" w:rsidRPr="009702B0" w:rsidRDefault="00985E10" w:rsidP="00985E10">
            <w:pPr>
              <w:tabs>
                <w:tab w:val="right" w:pos="1202"/>
              </w:tabs>
              <w:spacing w:after="0" w:line="240" w:lineRule="auto"/>
              <w:outlineLvl w:val="0"/>
              <w:rPr>
                <w:rFonts w:eastAsia="Times New Roman" w:cs="Arial"/>
                <w:sz w:val="20"/>
                <w:szCs w:val="20"/>
              </w:rPr>
            </w:pPr>
            <w:r w:rsidRPr="009702B0">
              <w:rPr>
                <w:rFonts w:eastAsia="Times New Roman" w:cs="Arial"/>
                <w:sz w:val="20"/>
                <w:szCs w:val="20"/>
              </w:rPr>
              <w:t>Owner</w:t>
            </w:r>
          </w:p>
        </w:tc>
        <w:tc>
          <w:tcPr>
            <w:tcW w:w="1412" w:type="dxa"/>
            <w:tcBorders>
              <w:top w:val="nil"/>
              <w:bottom w:val="nil"/>
              <w:right w:val="nil"/>
            </w:tcBorders>
            <w:shd w:val="clear" w:color="000000" w:fill="auto"/>
            <w:vAlign w:val="bottom"/>
          </w:tcPr>
          <w:p w14:paraId="47B998B2" w14:textId="7FF1FB4E" w:rsidR="00985E10" w:rsidRPr="005444AA" w:rsidRDefault="00985E10" w:rsidP="00985E10">
            <w:pPr>
              <w:pStyle w:val="TT"/>
              <w:spacing w:line="280" w:lineRule="exact"/>
              <w:jc w:val="right"/>
              <w:rPr>
                <w:rFonts w:asciiTheme="minorHAnsi" w:hAnsiTheme="minorHAnsi"/>
                <w:sz w:val="20"/>
              </w:rPr>
            </w:pPr>
            <w:r>
              <w:rPr>
                <w:rFonts w:asciiTheme="minorHAnsi" w:hAnsiTheme="minorHAnsi"/>
                <w:sz w:val="20"/>
              </w:rPr>
              <w:t>3,019,212</w:t>
            </w:r>
          </w:p>
        </w:tc>
        <w:tc>
          <w:tcPr>
            <w:tcW w:w="1339" w:type="dxa"/>
            <w:tcBorders>
              <w:top w:val="nil"/>
              <w:bottom w:val="nil"/>
              <w:right w:val="nil"/>
            </w:tcBorders>
            <w:shd w:val="clear" w:color="000000" w:fill="auto"/>
            <w:vAlign w:val="bottom"/>
          </w:tcPr>
          <w:p w14:paraId="3623C4F3" w14:textId="0142E696" w:rsidR="00985E10" w:rsidRPr="005444AA" w:rsidRDefault="00985E10" w:rsidP="00985E10">
            <w:pPr>
              <w:pStyle w:val="TT"/>
              <w:spacing w:line="280" w:lineRule="exact"/>
              <w:jc w:val="right"/>
              <w:rPr>
                <w:rFonts w:asciiTheme="minorHAnsi" w:hAnsiTheme="minorHAnsi"/>
                <w:sz w:val="20"/>
              </w:rPr>
            </w:pPr>
            <w:r>
              <w:rPr>
                <w:rFonts w:asciiTheme="minorHAnsi" w:hAnsiTheme="minorHAnsi"/>
                <w:sz w:val="20"/>
              </w:rPr>
              <w:t>173,846</w:t>
            </w:r>
          </w:p>
        </w:tc>
        <w:tc>
          <w:tcPr>
            <w:tcW w:w="1337" w:type="dxa"/>
            <w:tcBorders>
              <w:top w:val="nil"/>
              <w:bottom w:val="nil"/>
              <w:right w:val="nil"/>
            </w:tcBorders>
            <w:shd w:val="clear" w:color="auto" w:fill="auto"/>
            <w:vAlign w:val="bottom"/>
          </w:tcPr>
          <w:p w14:paraId="1547616B" w14:textId="77777777" w:rsidR="00985E10" w:rsidRPr="00682116" w:rsidRDefault="00985E10" w:rsidP="00985E10">
            <w:pPr>
              <w:pStyle w:val="TT"/>
              <w:spacing w:line="280" w:lineRule="exact"/>
              <w:jc w:val="right"/>
              <w:rPr>
                <w:rFonts w:asciiTheme="minorHAnsi" w:hAnsiTheme="minorHAnsi" w:cs="Arial"/>
                <w:bCs/>
                <w:iCs/>
                <w:sz w:val="20"/>
                <w:lang w:val="hr-HR"/>
              </w:rPr>
            </w:pPr>
            <w:r w:rsidRPr="00682116">
              <w:rPr>
                <w:rFonts w:asciiTheme="minorHAnsi" w:hAnsiTheme="minorHAnsi"/>
                <w:sz w:val="20"/>
              </w:rPr>
              <w:t>3</w:t>
            </w:r>
            <w:r>
              <w:rPr>
                <w:rFonts w:asciiTheme="minorHAnsi" w:hAnsiTheme="minorHAnsi"/>
                <w:sz w:val="20"/>
              </w:rPr>
              <w:t>,</w:t>
            </w:r>
            <w:r w:rsidRPr="00682116">
              <w:rPr>
                <w:rFonts w:asciiTheme="minorHAnsi" w:hAnsiTheme="minorHAnsi"/>
                <w:sz w:val="20"/>
              </w:rPr>
              <w:t>193</w:t>
            </w:r>
            <w:r>
              <w:rPr>
                <w:rFonts w:asciiTheme="minorHAnsi" w:hAnsiTheme="minorHAnsi"/>
                <w:sz w:val="20"/>
              </w:rPr>
              <w:t>,</w:t>
            </w:r>
            <w:r w:rsidRPr="00682116">
              <w:rPr>
                <w:rFonts w:asciiTheme="minorHAnsi" w:hAnsiTheme="minorHAnsi"/>
                <w:sz w:val="20"/>
              </w:rPr>
              <w:t>565</w:t>
            </w:r>
          </w:p>
        </w:tc>
        <w:tc>
          <w:tcPr>
            <w:tcW w:w="1350" w:type="dxa"/>
            <w:gridSpan w:val="2"/>
            <w:tcBorders>
              <w:top w:val="nil"/>
              <w:left w:val="nil"/>
              <w:bottom w:val="nil"/>
              <w:right w:val="nil"/>
            </w:tcBorders>
            <w:shd w:val="clear" w:color="auto" w:fill="auto"/>
            <w:vAlign w:val="bottom"/>
          </w:tcPr>
          <w:p w14:paraId="6E70EFC1" w14:textId="77777777" w:rsidR="00985E10" w:rsidRPr="00682116" w:rsidRDefault="00985E10" w:rsidP="00985E10">
            <w:pPr>
              <w:pStyle w:val="TT"/>
              <w:spacing w:line="280" w:lineRule="exact"/>
              <w:jc w:val="right"/>
              <w:rPr>
                <w:rFonts w:asciiTheme="minorHAnsi" w:hAnsiTheme="minorHAnsi" w:cs="Arial"/>
                <w:bCs/>
                <w:iCs/>
                <w:sz w:val="20"/>
                <w:lang w:val="hr-HR"/>
              </w:rPr>
            </w:pPr>
            <w:r w:rsidRPr="00682116">
              <w:rPr>
                <w:rFonts w:asciiTheme="minorHAnsi" w:hAnsiTheme="minorHAnsi"/>
                <w:sz w:val="20"/>
              </w:rPr>
              <w:t>153</w:t>
            </w:r>
            <w:r>
              <w:rPr>
                <w:rFonts w:asciiTheme="minorHAnsi" w:hAnsiTheme="minorHAnsi"/>
                <w:sz w:val="20"/>
              </w:rPr>
              <w:t>,</w:t>
            </w:r>
            <w:r w:rsidRPr="00682116">
              <w:rPr>
                <w:rFonts w:asciiTheme="minorHAnsi" w:hAnsiTheme="minorHAnsi"/>
                <w:sz w:val="20"/>
              </w:rPr>
              <w:t>374</w:t>
            </w:r>
          </w:p>
        </w:tc>
      </w:tr>
      <w:tr w:rsidR="00985E10" w:rsidRPr="009702B0" w14:paraId="4340DF9A" w14:textId="77777777" w:rsidTr="006B318F">
        <w:trPr>
          <w:trHeight w:val="19"/>
          <w:jc w:val="center"/>
        </w:trPr>
        <w:tc>
          <w:tcPr>
            <w:tcW w:w="3686" w:type="dxa"/>
            <w:vAlign w:val="bottom"/>
          </w:tcPr>
          <w:p w14:paraId="17D116E7" w14:textId="77777777" w:rsidR="00985E10" w:rsidRPr="009702B0" w:rsidRDefault="00985E10" w:rsidP="00985E10">
            <w:pPr>
              <w:tabs>
                <w:tab w:val="right" w:pos="1202"/>
              </w:tabs>
              <w:spacing w:after="0" w:line="240" w:lineRule="auto"/>
              <w:outlineLvl w:val="0"/>
              <w:rPr>
                <w:rFonts w:eastAsia="Times New Roman" w:cs="Arial"/>
                <w:sz w:val="20"/>
                <w:szCs w:val="20"/>
              </w:rPr>
            </w:pPr>
            <w:r w:rsidRPr="009702B0">
              <w:rPr>
                <w:rFonts w:eastAsia="Times New Roman" w:cs="Arial"/>
                <w:sz w:val="20"/>
                <w:szCs w:val="20"/>
              </w:rPr>
              <w:t>Government funds, executive authorities and agencies</w:t>
            </w:r>
          </w:p>
        </w:tc>
        <w:tc>
          <w:tcPr>
            <w:tcW w:w="1412" w:type="dxa"/>
            <w:tcBorders>
              <w:top w:val="nil"/>
              <w:bottom w:val="nil"/>
              <w:right w:val="nil"/>
            </w:tcBorders>
            <w:shd w:val="clear" w:color="auto" w:fill="auto"/>
            <w:vAlign w:val="bottom"/>
          </w:tcPr>
          <w:p w14:paraId="4B684833" w14:textId="7E94B6B8" w:rsidR="00985E10" w:rsidRPr="005444AA" w:rsidRDefault="00985E10" w:rsidP="00985E10">
            <w:pPr>
              <w:pStyle w:val="TT"/>
              <w:spacing w:line="280" w:lineRule="exact"/>
              <w:jc w:val="right"/>
              <w:rPr>
                <w:rFonts w:asciiTheme="minorHAnsi" w:hAnsiTheme="minorHAnsi"/>
                <w:sz w:val="20"/>
              </w:rPr>
            </w:pPr>
            <w:r>
              <w:rPr>
                <w:rFonts w:asciiTheme="minorHAnsi" w:hAnsiTheme="minorHAnsi"/>
                <w:sz w:val="20"/>
              </w:rPr>
              <w:t>1,007,177</w:t>
            </w:r>
          </w:p>
        </w:tc>
        <w:tc>
          <w:tcPr>
            <w:tcW w:w="1339" w:type="dxa"/>
            <w:tcBorders>
              <w:top w:val="nil"/>
              <w:bottom w:val="nil"/>
              <w:right w:val="nil"/>
            </w:tcBorders>
            <w:shd w:val="clear" w:color="auto" w:fill="auto"/>
            <w:vAlign w:val="bottom"/>
          </w:tcPr>
          <w:p w14:paraId="7AA6B3C6" w14:textId="2A32B3D2" w:rsidR="00985E10" w:rsidRPr="005444AA" w:rsidRDefault="00985E10" w:rsidP="00985E10">
            <w:pPr>
              <w:pStyle w:val="TT"/>
              <w:spacing w:line="280" w:lineRule="exact"/>
              <w:jc w:val="right"/>
              <w:rPr>
                <w:rFonts w:asciiTheme="minorHAnsi" w:hAnsiTheme="minorHAnsi"/>
                <w:sz w:val="20"/>
              </w:rPr>
            </w:pPr>
            <w:r>
              <w:rPr>
                <w:rFonts w:asciiTheme="minorHAnsi" w:hAnsiTheme="minorHAnsi"/>
                <w:sz w:val="20"/>
              </w:rPr>
              <w:t>175,824</w:t>
            </w:r>
          </w:p>
        </w:tc>
        <w:tc>
          <w:tcPr>
            <w:tcW w:w="1337" w:type="dxa"/>
            <w:tcBorders>
              <w:top w:val="nil"/>
              <w:bottom w:val="nil"/>
              <w:right w:val="nil"/>
            </w:tcBorders>
            <w:shd w:val="clear" w:color="auto" w:fill="auto"/>
            <w:vAlign w:val="bottom"/>
          </w:tcPr>
          <w:p w14:paraId="684BBEAB" w14:textId="77777777" w:rsidR="00985E10" w:rsidRPr="00682116" w:rsidRDefault="00985E10" w:rsidP="00985E10">
            <w:pPr>
              <w:pStyle w:val="TT"/>
              <w:spacing w:line="280" w:lineRule="exact"/>
              <w:jc w:val="right"/>
              <w:rPr>
                <w:rFonts w:asciiTheme="minorHAnsi" w:hAnsiTheme="minorHAnsi" w:cs="Arial"/>
                <w:bCs/>
                <w:iCs/>
                <w:sz w:val="20"/>
                <w:lang w:val="hr-HR"/>
              </w:rPr>
            </w:pPr>
            <w:r w:rsidRPr="00682116">
              <w:rPr>
                <w:rFonts w:asciiTheme="minorHAnsi" w:hAnsiTheme="minorHAnsi"/>
                <w:sz w:val="20"/>
              </w:rPr>
              <w:t>1</w:t>
            </w:r>
            <w:r>
              <w:rPr>
                <w:rFonts w:asciiTheme="minorHAnsi" w:hAnsiTheme="minorHAnsi"/>
                <w:sz w:val="20"/>
              </w:rPr>
              <w:t>,</w:t>
            </w:r>
            <w:r w:rsidRPr="00682116">
              <w:rPr>
                <w:rFonts w:asciiTheme="minorHAnsi" w:hAnsiTheme="minorHAnsi"/>
                <w:sz w:val="20"/>
              </w:rPr>
              <w:t>087</w:t>
            </w:r>
            <w:r>
              <w:rPr>
                <w:rFonts w:asciiTheme="minorHAnsi" w:hAnsiTheme="minorHAnsi"/>
                <w:sz w:val="20"/>
              </w:rPr>
              <w:t>,</w:t>
            </w:r>
            <w:r w:rsidRPr="00682116">
              <w:rPr>
                <w:rFonts w:asciiTheme="minorHAnsi" w:hAnsiTheme="minorHAnsi"/>
                <w:sz w:val="20"/>
              </w:rPr>
              <w:t>460</w:t>
            </w:r>
          </w:p>
        </w:tc>
        <w:tc>
          <w:tcPr>
            <w:tcW w:w="1350" w:type="dxa"/>
            <w:gridSpan w:val="2"/>
            <w:tcBorders>
              <w:top w:val="nil"/>
              <w:left w:val="nil"/>
              <w:bottom w:val="nil"/>
              <w:right w:val="nil"/>
            </w:tcBorders>
            <w:shd w:val="clear" w:color="auto" w:fill="auto"/>
            <w:vAlign w:val="bottom"/>
          </w:tcPr>
          <w:p w14:paraId="3CDE9D2F" w14:textId="77777777" w:rsidR="00985E10" w:rsidRPr="00682116" w:rsidRDefault="00985E10" w:rsidP="00985E10">
            <w:pPr>
              <w:pStyle w:val="TT"/>
              <w:spacing w:line="280" w:lineRule="exact"/>
              <w:jc w:val="right"/>
              <w:rPr>
                <w:rFonts w:asciiTheme="minorHAnsi" w:hAnsiTheme="minorHAnsi" w:cs="Arial"/>
                <w:bCs/>
                <w:iCs/>
                <w:sz w:val="20"/>
                <w:lang w:val="hr-HR"/>
              </w:rPr>
            </w:pPr>
            <w:r w:rsidRPr="00682116">
              <w:rPr>
                <w:rFonts w:asciiTheme="minorHAnsi" w:hAnsiTheme="minorHAnsi"/>
                <w:sz w:val="20"/>
              </w:rPr>
              <w:t>14</w:t>
            </w:r>
            <w:r>
              <w:rPr>
                <w:rFonts w:asciiTheme="minorHAnsi" w:hAnsiTheme="minorHAnsi"/>
                <w:sz w:val="20"/>
              </w:rPr>
              <w:t>,</w:t>
            </w:r>
            <w:r w:rsidRPr="00682116">
              <w:rPr>
                <w:rFonts w:asciiTheme="minorHAnsi" w:hAnsiTheme="minorHAnsi"/>
                <w:sz w:val="20"/>
              </w:rPr>
              <w:t>214</w:t>
            </w:r>
          </w:p>
        </w:tc>
      </w:tr>
      <w:tr w:rsidR="00985E10" w:rsidRPr="009702B0" w14:paraId="3C8F0699" w14:textId="77777777" w:rsidTr="006B318F">
        <w:trPr>
          <w:trHeight w:val="19"/>
          <w:jc w:val="center"/>
        </w:trPr>
        <w:tc>
          <w:tcPr>
            <w:tcW w:w="3686" w:type="dxa"/>
            <w:vAlign w:val="bottom"/>
          </w:tcPr>
          <w:p w14:paraId="2ACEF462" w14:textId="77777777" w:rsidR="00985E10" w:rsidRPr="009702B0" w:rsidRDefault="00985E10" w:rsidP="00985E10">
            <w:pPr>
              <w:tabs>
                <w:tab w:val="right" w:pos="1202"/>
              </w:tabs>
              <w:spacing w:after="0" w:line="240" w:lineRule="auto"/>
              <w:outlineLvl w:val="0"/>
              <w:rPr>
                <w:rFonts w:eastAsia="Times New Roman" w:cs="Arial"/>
                <w:sz w:val="20"/>
                <w:szCs w:val="20"/>
              </w:rPr>
            </w:pPr>
            <w:r w:rsidRPr="009702B0">
              <w:rPr>
                <w:rFonts w:eastAsia="Times New Roman" w:cs="Arial"/>
                <w:sz w:val="20"/>
                <w:szCs w:val="20"/>
              </w:rPr>
              <w:t>State-owned companies</w:t>
            </w:r>
          </w:p>
        </w:tc>
        <w:tc>
          <w:tcPr>
            <w:tcW w:w="1412" w:type="dxa"/>
            <w:tcBorders>
              <w:top w:val="nil"/>
              <w:right w:val="nil"/>
            </w:tcBorders>
            <w:shd w:val="clear" w:color="auto" w:fill="auto"/>
            <w:vAlign w:val="bottom"/>
          </w:tcPr>
          <w:p w14:paraId="60821A7B" w14:textId="762951C8" w:rsidR="00985E10" w:rsidRPr="005444AA" w:rsidRDefault="00985E10" w:rsidP="00985E10">
            <w:pPr>
              <w:pStyle w:val="TT"/>
              <w:spacing w:line="280" w:lineRule="exact"/>
              <w:jc w:val="right"/>
              <w:rPr>
                <w:rFonts w:asciiTheme="minorHAnsi" w:hAnsiTheme="minorHAnsi"/>
                <w:sz w:val="20"/>
              </w:rPr>
            </w:pPr>
            <w:r>
              <w:rPr>
                <w:rFonts w:asciiTheme="minorHAnsi" w:hAnsiTheme="minorHAnsi"/>
                <w:sz w:val="20"/>
              </w:rPr>
              <w:t>1,283,327</w:t>
            </w:r>
          </w:p>
        </w:tc>
        <w:tc>
          <w:tcPr>
            <w:tcW w:w="1339" w:type="dxa"/>
            <w:tcBorders>
              <w:top w:val="nil"/>
              <w:right w:val="nil"/>
            </w:tcBorders>
            <w:shd w:val="clear" w:color="auto" w:fill="auto"/>
            <w:vAlign w:val="bottom"/>
          </w:tcPr>
          <w:p w14:paraId="7A3EDA70" w14:textId="2A336556" w:rsidR="00985E10" w:rsidRPr="005444AA" w:rsidRDefault="00985E10" w:rsidP="00985E10">
            <w:pPr>
              <w:pStyle w:val="TT"/>
              <w:spacing w:line="280" w:lineRule="exact"/>
              <w:jc w:val="right"/>
              <w:rPr>
                <w:rFonts w:asciiTheme="minorHAnsi" w:hAnsiTheme="minorHAnsi"/>
                <w:sz w:val="20"/>
              </w:rPr>
            </w:pPr>
            <w:r>
              <w:rPr>
                <w:rFonts w:asciiTheme="minorHAnsi" w:hAnsiTheme="minorHAnsi"/>
                <w:sz w:val="20"/>
              </w:rPr>
              <w:t>2</w:t>
            </w:r>
          </w:p>
        </w:tc>
        <w:tc>
          <w:tcPr>
            <w:tcW w:w="1337" w:type="dxa"/>
            <w:tcBorders>
              <w:top w:val="nil"/>
              <w:bottom w:val="nil"/>
              <w:right w:val="nil"/>
            </w:tcBorders>
            <w:shd w:val="clear" w:color="auto" w:fill="auto"/>
            <w:vAlign w:val="bottom"/>
          </w:tcPr>
          <w:p w14:paraId="584F0142" w14:textId="77777777" w:rsidR="00985E10" w:rsidRPr="00682116" w:rsidRDefault="00985E10" w:rsidP="00985E10">
            <w:pPr>
              <w:pStyle w:val="TT"/>
              <w:spacing w:line="280" w:lineRule="exact"/>
              <w:jc w:val="right"/>
              <w:rPr>
                <w:rFonts w:asciiTheme="minorHAnsi" w:hAnsiTheme="minorHAnsi" w:cs="Arial"/>
                <w:bCs/>
                <w:iCs/>
                <w:sz w:val="20"/>
                <w:lang w:val="hr-HR"/>
              </w:rPr>
            </w:pPr>
            <w:r w:rsidRPr="00682116">
              <w:rPr>
                <w:rFonts w:asciiTheme="minorHAnsi" w:hAnsiTheme="minorHAnsi"/>
                <w:sz w:val="20"/>
              </w:rPr>
              <w:t>1</w:t>
            </w:r>
            <w:r>
              <w:rPr>
                <w:rFonts w:asciiTheme="minorHAnsi" w:hAnsiTheme="minorHAnsi"/>
                <w:sz w:val="20"/>
              </w:rPr>
              <w:t>,</w:t>
            </w:r>
            <w:r w:rsidRPr="00682116">
              <w:rPr>
                <w:rFonts w:asciiTheme="minorHAnsi" w:hAnsiTheme="minorHAnsi"/>
                <w:sz w:val="20"/>
              </w:rPr>
              <w:t>193</w:t>
            </w:r>
            <w:r>
              <w:rPr>
                <w:rFonts w:asciiTheme="minorHAnsi" w:hAnsiTheme="minorHAnsi"/>
                <w:sz w:val="20"/>
              </w:rPr>
              <w:t>,</w:t>
            </w:r>
            <w:r w:rsidRPr="00682116">
              <w:rPr>
                <w:rFonts w:asciiTheme="minorHAnsi" w:hAnsiTheme="minorHAnsi"/>
                <w:sz w:val="20"/>
              </w:rPr>
              <w:t>668</w:t>
            </w:r>
          </w:p>
        </w:tc>
        <w:tc>
          <w:tcPr>
            <w:tcW w:w="1350" w:type="dxa"/>
            <w:gridSpan w:val="2"/>
            <w:tcBorders>
              <w:top w:val="nil"/>
              <w:left w:val="nil"/>
              <w:bottom w:val="nil"/>
              <w:right w:val="nil"/>
            </w:tcBorders>
            <w:shd w:val="clear" w:color="auto" w:fill="auto"/>
            <w:vAlign w:val="bottom"/>
          </w:tcPr>
          <w:p w14:paraId="69F02381" w14:textId="77777777" w:rsidR="00985E10" w:rsidRPr="00682116" w:rsidRDefault="00985E10" w:rsidP="00985E10">
            <w:pPr>
              <w:pStyle w:val="TT"/>
              <w:spacing w:line="280" w:lineRule="exact"/>
              <w:jc w:val="right"/>
              <w:rPr>
                <w:rFonts w:asciiTheme="minorHAnsi" w:hAnsiTheme="minorHAnsi" w:cs="Arial"/>
                <w:bCs/>
                <w:iCs/>
                <w:sz w:val="20"/>
                <w:lang w:val="hr-HR"/>
              </w:rPr>
            </w:pPr>
            <w:r w:rsidRPr="00682116">
              <w:rPr>
                <w:rFonts w:asciiTheme="minorHAnsi" w:hAnsiTheme="minorHAnsi"/>
                <w:sz w:val="20"/>
              </w:rPr>
              <w:t>2</w:t>
            </w:r>
          </w:p>
        </w:tc>
      </w:tr>
      <w:tr w:rsidR="00985E10" w:rsidRPr="009702B0" w14:paraId="07833AA2" w14:textId="77777777" w:rsidTr="006B318F">
        <w:trPr>
          <w:trHeight w:hRule="exact" w:val="284"/>
          <w:jc w:val="center"/>
        </w:trPr>
        <w:tc>
          <w:tcPr>
            <w:tcW w:w="3686" w:type="dxa"/>
            <w:vAlign w:val="bottom"/>
          </w:tcPr>
          <w:p w14:paraId="55FCE34A" w14:textId="77777777" w:rsidR="00985E10" w:rsidRPr="009702B0" w:rsidRDefault="00985E10" w:rsidP="00985E10">
            <w:pPr>
              <w:tabs>
                <w:tab w:val="right" w:pos="1202"/>
              </w:tabs>
              <w:spacing w:after="0" w:line="240" w:lineRule="auto"/>
              <w:outlineLvl w:val="0"/>
              <w:rPr>
                <w:rFonts w:eastAsia="Times New Roman" w:cs="Arial"/>
                <w:bCs/>
                <w:sz w:val="20"/>
                <w:szCs w:val="20"/>
              </w:rPr>
            </w:pPr>
            <w:r w:rsidRPr="009702B0">
              <w:rPr>
                <w:rFonts w:eastAsia="Times New Roman" w:cs="Arial"/>
                <w:sz w:val="20"/>
                <w:szCs w:val="20"/>
              </w:rPr>
              <w:t>Associates</w:t>
            </w:r>
          </w:p>
        </w:tc>
        <w:tc>
          <w:tcPr>
            <w:tcW w:w="1412" w:type="dxa"/>
            <w:tcBorders>
              <w:top w:val="nil"/>
              <w:bottom w:val="nil"/>
              <w:right w:val="nil"/>
            </w:tcBorders>
            <w:shd w:val="clear" w:color="000000" w:fill="auto"/>
            <w:vAlign w:val="bottom"/>
          </w:tcPr>
          <w:p w14:paraId="61A86134" w14:textId="10C35B81" w:rsidR="00985E10" w:rsidRPr="005444AA" w:rsidRDefault="00985E10" w:rsidP="00985E10">
            <w:pPr>
              <w:pStyle w:val="TT"/>
              <w:spacing w:line="280" w:lineRule="exact"/>
              <w:jc w:val="right"/>
              <w:rPr>
                <w:rFonts w:asciiTheme="minorHAnsi" w:hAnsiTheme="minorHAnsi"/>
                <w:sz w:val="20"/>
              </w:rPr>
            </w:pPr>
            <w:r>
              <w:rPr>
                <w:rFonts w:asciiTheme="minorHAnsi" w:hAnsiTheme="minorHAnsi"/>
                <w:sz w:val="20"/>
              </w:rPr>
              <w:t>4</w:t>
            </w:r>
          </w:p>
        </w:tc>
        <w:tc>
          <w:tcPr>
            <w:tcW w:w="1339" w:type="dxa"/>
            <w:tcBorders>
              <w:top w:val="nil"/>
              <w:bottom w:val="nil"/>
              <w:right w:val="nil"/>
            </w:tcBorders>
            <w:shd w:val="clear" w:color="000000" w:fill="auto"/>
            <w:vAlign w:val="bottom"/>
          </w:tcPr>
          <w:p w14:paraId="13A5E122" w14:textId="319A0D60" w:rsidR="00985E10" w:rsidRPr="005444AA" w:rsidRDefault="00985E10" w:rsidP="00985E10">
            <w:pPr>
              <w:pStyle w:val="TT"/>
              <w:spacing w:line="280" w:lineRule="exact"/>
              <w:jc w:val="right"/>
              <w:rPr>
                <w:rFonts w:asciiTheme="minorHAnsi" w:hAnsiTheme="minorHAnsi"/>
                <w:sz w:val="20"/>
              </w:rPr>
            </w:pPr>
            <w:r>
              <w:rPr>
                <w:rFonts w:asciiTheme="minorHAnsi" w:hAnsiTheme="minorHAnsi"/>
                <w:sz w:val="20"/>
              </w:rPr>
              <w:t>-</w:t>
            </w:r>
          </w:p>
        </w:tc>
        <w:tc>
          <w:tcPr>
            <w:tcW w:w="1337" w:type="dxa"/>
            <w:tcBorders>
              <w:top w:val="nil"/>
              <w:bottom w:val="nil"/>
              <w:right w:val="nil"/>
            </w:tcBorders>
            <w:shd w:val="clear" w:color="auto" w:fill="auto"/>
            <w:vAlign w:val="bottom"/>
          </w:tcPr>
          <w:p w14:paraId="5DBA95A3" w14:textId="77777777" w:rsidR="00985E10" w:rsidRPr="00682116" w:rsidRDefault="00985E10" w:rsidP="00985E10">
            <w:pPr>
              <w:pStyle w:val="TT"/>
              <w:spacing w:line="280" w:lineRule="exact"/>
              <w:jc w:val="right"/>
              <w:rPr>
                <w:rFonts w:asciiTheme="minorHAnsi" w:hAnsiTheme="minorHAnsi" w:cs="Arial"/>
                <w:bCs/>
                <w:iCs/>
                <w:sz w:val="20"/>
                <w:lang w:val="hr-HR"/>
              </w:rPr>
            </w:pPr>
            <w:r w:rsidRPr="00682116">
              <w:rPr>
                <w:rFonts w:asciiTheme="minorHAnsi" w:hAnsiTheme="minorHAnsi"/>
                <w:sz w:val="20"/>
              </w:rPr>
              <w:t>6</w:t>
            </w:r>
          </w:p>
        </w:tc>
        <w:tc>
          <w:tcPr>
            <w:tcW w:w="1350" w:type="dxa"/>
            <w:gridSpan w:val="2"/>
            <w:tcBorders>
              <w:top w:val="nil"/>
              <w:left w:val="nil"/>
              <w:bottom w:val="nil"/>
              <w:right w:val="nil"/>
            </w:tcBorders>
            <w:shd w:val="clear" w:color="auto" w:fill="auto"/>
            <w:vAlign w:val="bottom"/>
          </w:tcPr>
          <w:p w14:paraId="5A0B8892" w14:textId="77777777" w:rsidR="00985E10" w:rsidRPr="00682116" w:rsidRDefault="00985E10" w:rsidP="00985E10">
            <w:pPr>
              <w:pStyle w:val="TT"/>
              <w:spacing w:line="280" w:lineRule="exact"/>
              <w:jc w:val="right"/>
              <w:rPr>
                <w:rFonts w:asciiTheme="minorHAnsi" w:hAnsiTheme="minorHAnsi" w:cs="Arial"/>
                <w:bCs/>
                <w:iCs/>
                <w:sz w:val="20"/>
                <w:lang w:val="hr-HR"/>
              </w:rPr>
            </w:pPr>
            <w:r w:rsidRPr="00682116">
              <w:rPr>
                <w:rFonts w:asciiTheme="minorHAnsi" w:hAnsiTheme="minorHAnsi"/>
                <w:sz w:val="20"/>
              </w:rPr>
              <w:t>-</w:t>
            </w:r>
          </w:p>
        </w:tc>
      </w:tr>
      <w:tr w:rsidR="00985E10" w:rsidRPr="009702B0" w14:paraId="478F312E" w14:textId="77777777" w:rsidTr="006B318F">
        <w:trPr>
          <w:trHeight w:hRule="exact" w:val="284"/>
          <w:jc w:val="center"/>
        </w:trPr>
        <w:tc>
          <w:tcPr>
            <w:tcW w:w="3686" w:type="dxa"/>
            <w:vAlign w:val="bottom"/>
          </w:tcPr>
          <w:p w14:paraId="506D1A6A" w14:textId="77777777" w:rsidR="00985E10" w:rsidRPr="009702B0" w:rsidRDefault="00985E10" w:rsidP="00985E10">
            <w:pPr>
              <w:tabs>
                <w:tab w:val="right" w:pos="1202"/>
              </w:tabs>
              <w:spacing w:after="0" w:line="240" w:lineRule="auto"/>
              <w:outlineLvl w:val="0"/>
              <w:rPr>
                <w:rFonts w:eastAsia="Times New Roman" w:cs="Arial"/>
                <w:bCs/>
                <w:sz w:val="20"/>
                <w:szCs w:val="20"/>
              </w:rPr>
            </w:pPr>
            <w:r w:rsidRPr="009702B0">
              <w:rPr>
                <w:rFonts w:eastAsia="Times New Roman" w:cs="Arial"/>
                <w:bCs/>
                <w:sz w:val="20"/>
                <w:szCs w:val="20"/>
              </w:rPr>
              <w:t>Other intra-group transactions</w:t>
            </w:r>
          </w:p>
        </w:tc>
        <w:tc>
          <w:tcPr>
            <w:tcW w:w="1412" w:type="dxa"/>
            <w:tcBorders>
              <w:top w:val="nil"/>
              <w:right w:val="nil"/>
            </w:tcBorders>
            <w:shd w:val="clear" w:color="auto" w:fill="auto"/>
            <w:vAlign w:val="bottom"/>
          </w:tcPr>
          <w:p w14:paraId="049B2BE1" w14:textId="7DFFE779" w:rsidR="00985E10" w:rsidRPr="005444AA" w:rsidRDefault="00985E10" w:rsidP="00985E10">
            <w:pPr>
              <w:pStyle w:val="TT"/>
              <w:spacing w:line="280" w:lineRule="exact"/>
              <w:jc w:val="right"/>
              <w:rPr>
                <w:rFonts w:asciiTheme="minorHAnsi" w:hAnsiTheme="minorHAnsi"/>
                <w:sz w:val="20"/>
              </w:rPr>
            </w:pPr>
            <w:r>
              <w:rPr>
                <w:rFonts w:asciiTheme="minorHAnsi" w:hAnsiTheme="minorHAnsi"/>
                <w:sz w:val="20"/>
              </w:rPr>
              <w:t>-</w:t>
            </w:r>
          </w:p>
        </w:tc>
        <w:tc>
          <w:tcPr>
            <w:tcW w:w="1339" w:type="dxa"/>
            <w:tcBorders>
              <w:top w:val="nil"/>
              <w:right w:val="nil"/>
            </w:tcBorders>
            <w:shd w:val="clear" w:color="auto" w:fill="auto"/>
            <w:vAlign w:val="bottom"/>
          </w:tcPr>
          <w:p w14:paraId="4FEF0245" w14:textId="5D6017B9" w:rsidR="00985E10" w:rsidRPr="005444AA" w:rsidRDefault="00985E10" w:rsidP="00985E10">
            <w:pPr>
              <w:pStyle w:val="TT"/>
              <w:spacing w:line="280" w:lineRule="exact"/>
              <w:jc w:val="right"/>
              <w:rPr>
                <w:rFonts w:asciiTheme="minorHAnsi" w:hAnsiTheme="minorHAnsi"/>
                <w:sz w:val="20"/>
              </w:rPr>
            </w:pPr>
            <w:r>
              <w:rPr>
                <w:rFonts w:asciiTheme="minorHAnsi" w:hAnsiTheme="minorHAnsi"/>
                <w:sz w:val="20"/>
              </w:rPr>
              <w:t>-</w:t>
            </w:r>
          </w:p>
        </w:tc>
        <w:tc>
          <w:tcPr>
            <w:tcW w:w="1337" w:type="dxa"/>
            <w:vAlign w:val="bottom"/>
          </w:tcPr>
          <w:p w14:paraId="1F36FF5D" w14:textId="77777777" w:rsidR="00985E10" w:rsidRPr="00682116" w:rsidRDefault="00985E10" w:rsidP="00985E10">
            <w:pPr>
              <w:pStyle w:val="TT"/>
              <w:spacing w:line="280" w:lineRule="exact"/>
              <w:jc w:val="right"/>
              <w:rPr>
                <w:rFonts w:asciiTheme="minorHAnsi" w:hAnsiTheme="minorHAnsi" w:cs="Arial"/>
                <w:bCs/>
                <w:iCs/>
                <w:sz w:val="20"/>
                <w:lang w:val="hr-HR"/>
              </w:rPr>
            </w:pPr>
            <w:r w:rsidRPr="00682116">
              <w:rPr>
                <w:rFonts w:asciiTheme="minorHAnsi" w:hAnsiTheme="minorHAnsi"/>
                <w:sz w:val="20"/>
              </w:rPr>
              <w:t>-</w:t>
            </w:r>
          </w:p>
        </w:tc>
        <w:tc>
          <w:tcPr>
            <w:tcW w:w="1350" w:type="dxa"/>
            <w:gridSpan w:val="2"/>
            <w:vAlign w:val="bottom"/>
          </w:tcPr>
          <w:p w14:paraId="1BEF54A6" w14:textId="77777777" w:rsidR="00985E10" w:rsidRPr="00682116" w:rsidRDefault="00985E10" w:rsidP="00985E10">
            <w:pPr>
              <w:pStyle w:val="TT"/>
              <w:spacing w:line="280" w:lineRule="exact"/>
              <w:jc w:val="right"/>
              <w:rPr>
                <w:rFonts w:asciiTheme="minorHAnsi" w:hAnsiTheme="minorHAnsi" w:cs="Arial"/>
                <w:bCs/>
                <w:iCs/>
                <w:sz w:val="20"/>
                <w:lang w:val="hr-HR"/>
              </w:rPr>
            </w:pPr>
            <w:r w:rsidRPr="00682116">
              <w:rPr>
                <w:rFonts w:asciiTheme="minorHAnsi" w:hAnsiTheme="minorHAnsi"/>
                <w:sz w:val="20"/>
              </w:rPr>
              <w:t>-</w:t>
            </w:r>
          </w:p>
        </w:tc>
      </w:tr>
      <w:tr w:rsidR="00985E10" w:rsidRPr="009702B0" w14:paraId="23814F24" w14:textId="77777777" w:rsidTr="006B318F">
        <w:trPr>
          <w:trHeight w:hRule="exact" w:val="284"/>
          <w:jc w:val="center"/>
        </w:trPr>
        <w:tc>
          <w:tcPr>
            <w:tcW w:w="3686" w:type="dxa"/>
            <w:vAlign w:val="bottom"/>
          </w:tcPr>
          <w:p w14:paraId="5B5E997C" w14:textId="77777777" w:rsidR="00985E10" w:rsidRPr="009702B0" w:rsidRDefault="00985E10" w:rsidP="00985E10">
            <w:pPr>
              <w:tabs>
                <w:tab w:val="right" w:pos="1202"/>
              </w:tabs>
              <w:spacing w:after="0" w:line="240" w:lineRule="auto"/>
              <w:outlineLvl w:val="0"/>
              <w:rPr>
                <w:rFonts w:eastAsia="Times New Roman" w:cs="Arial"/>
                <w:bCs/>
                <w:sz w:val="20"/>
                <w:szCs w:val="20"/>
              </w:rPr>
            </w:pPr>
            <w:r w:rsidRPr="009702B0">
              <w:rPr>
                <w:rFonts w:eastAsia="Times New Roman" w:cs="Arial"/>
                <w:bCs/>
                <w:sz w:val="20"/>
                <w:szCs w:val="20"/>
              </w:rPr>
              <w:t>Key management personnel</w:t>
            </w:r>
          </w:p>
        </w:tc>
        <w:tc>
          <w:tcPr>
            <w:tcW w:w="1412" w:type="dxa"/>
            <w:tcBorders>
              <w:top w:val="nil"/>
              <w:bottom w:val="single" w:sz="4" w:space="0" w:color="auto"/>
              <w:right w:val="nil"/>
            </w:tcBorders>
            <w:shd w:val="clear" w:color="auto" w:fill="auto"/>
            <w:vAlign w:val="bottom"/>
          </w:tcPr>
          <w:p w14:paraId="573319D7" w14:textId="4A7AFD55" w:rsidR="00985E10" w:rsidRPr="005444AA" w:rsidRDefault="00985E10" w:rsidP="00985E10">
            <w:pPr>
              <w:pStyle w:val="TT"/>
              <w:spacing w:line="280" w:lineRule="exact"/>
              <w:jc w:val="right"/>
              <w:rPr>
                <w:rFonts w:asciiTheme="minorHAnsi" w:hAnsiTheme="minorHAnsi"/>
                <w:sz w:val="20"/>
              </w:rPr>
            </w:pPr>
            <w:r>
              <w:rPr>
                <w:rFonts w:asciiTheme="minorHAnsi" w:hAnsiTheme="minorHAnsi"/>
                <w:sz w:val="20"/>
              </w:rPr>
              <w:t>4,027</w:t>
            </w:r>
          </w:p>
        </w:tc>
        <w:tc>
          <w:tcPr>
            <w:tcW w:w="1339" w:type="dxa"/>
            <w:tcBorders>
              <w:top w:val="nil"/>
              <w:bottom w:val="single" w:sz="4" w:space="0" w:color="auto"/>
              <w:right w:val="nil"/>
            </w:tcBorders>
            <w:shd w:val="clear" w:color="auto" w:fill="auto"/>
            <w:vAlign w:val="bottom"/>
          </w:tcPr>
          <w:p w14:paraId="5E73273E" w14:textId="6B5579A5" w:rsidR="00985E10" w:rsidRPr="005444AA" w:rsidRDefault="00985E10" w:rsidP="00985E10">
            <w:pPr>
              <w:pStyle w:val="TT"/>
              <w:spacing w:line="280" w:lineRule="exact"/>
              <w:jc w:val="right"/>
              <w:rPr>
                <w:rFonts w:asciiTheme="minorHAnsi" w:hAnsiTheme="minorHAnsi"/>
                <w:sz w:val="20"/>
              </w:rPr>
            </w:pPr>
            <w:r>
              <w:rPr>
                <w:rFonts w:asciiTheme="minorHAnsi" w:hAnsiTheme="minorHAnsi"/>
                <w:sz w:val="20"/>
              </w:rPr>
              <w:t>-</w:t>
            </w:r>
          </w:p>
        </w:tc>
        <w:tc>
          <w:tcPr>
            <w:tcW w:w="1337" w:type="dxa"/>
            <w:tcBorders>
              <w:top w:val="nil"/>
              <w:bottom w:val="single" w:sz="4" w:space="0" w:color="auto"/>
              <w:right w:val="nil"/>
            </w:tcBorders>
            <w:shd w:val="clear" w:color="auto" w:fill="auto"/>
            <w:vAlign w:val="bottom"/>
          </w:tcPr>
          <w:p w14:paraId="02B56313" w14:textId="77777777" w:rsidR="00985E10" w:rsidRPr="00682116" w:rsidRDefault="00985E10" w:rsidP="00985E10">
            <w:pPr>
              <w:pStyle w:val="TT"/>
              <w:spacing w:line="280" w:lineRule="exact"/>
              <w:jc w:val="right"/>
              <w:rPr>
                <w:rFonts w:asciiTheme="minorHAnsi" w:hAnsiTheme="minorHAnsi" w:cs="Arial"/>
                <w:bCs/>
                <w:iCs/>
                <w:sz w:val="20"/>
                <w:lang w:val="hr-HR"/>
              </w:rPr>
            </w:pPr>
            <w:r w:rsidRPr="00682116">
              <w:rPr>
                <w:rFonts w:asciiTheme="minorHAnsi" w:hAnsiTheme="minorHAnsi"/>
                <w:sz w:val="20"/>
              </w:rPr>
              <w:t>4</w:t>
            </w:r>
            <w:r>
              <w:rPr>
                <w:rFonts w:asciiTheme="minorHAnsi" w:hAnsiTheme="minorHAnsi"/>
                <w:sz w:val="20"/>
              </w:rPr>
              <w:t>,</w:t>
            </w:r>
            <w:r w:rsidRPr="00682116">
              <w:rPr>
                <w:rFonts w:asciiTheme="minorHAnsi" w:hAnsiTheme="minorHAnsi"/>
                <w:sz w:val="20"/>
              </w:rPr>
              <w:t>289</w:t>
            </w:r>
          </w:p>
        </w:tc>
        <w:tc>
          <w:tcPr>
            <w:tcW w:w="1350" w:type="dxa"/>
            <w:gridSpan w:val="2"/>
            <w:tcBorders>
              <w:top w:val="nil"/>
              <w:left w:val="nil"/>
              <w:bottom w:val="single" w:sz="4" w:space="0" w:color="auto"/>
              <w:right w:val="nil"/>
            </w:tcBorders>
            <w:shd w:val="clear" w:color="auto" w:fill="auto"/>
            <w:vAlign w:val="bottom"/>
          </w:tcPr>
          <w:p w14:paraId="03A67273" w14:textId="77777777" w:rsidR="00985E10" w:rsidRPr="00682116" w:rsidRDefault="00985E10" w:rsidP="00985E10">
            <w:pPr>
              <w:pStyle w:val="TT"/>
              <w:spacing w:line="280" w:lineRule="exact"/>
              <w:jc w:val="right"/>
              <w:rPr>
                <w:rFonts w:asciiTheme="minorHAnsi" w:hAnsiTheme="minorHAnsi" w:cs="Arial"/>
                <w:bCs/>
                <w:iCs/>
                <w:sz w:val="20"/>
                <w:lang w:val="hr-HR"/>
              </w:rPr>
            </w:pPr>
            <w:r w:rsidRPr="00682116">
              <w:rPr>
                <w:rFonts w:asciiTheme="minorHAnsi" w:hAnsiTheme="minorHAnsi"/>
                <w:sz w:val="20"/>
              </w:rPr>
              <w:t>-</w:t>
            </w:r>
          </w:p>
        </w:tc>
      </w:tr>
      <w:tr w:rsidR="00985E10" w:rsidRPr="009702B0" w14:paraId="2EA0686A" w14:textId="77777777" w:rsidTr="005444AA">
        <w:trPr>
          <w:trHeight w:hRule="exact" w:val="284"/>
          <w:jc w:val="center"/>
        </w:trPr>
        <w:tc>
          <w:tcPr>
            <w:tcW w:w="3686" w:type="dxa"/>
            <w:vAlign w:val="bottom"/>
          </w:tcPr>
          <w:p w14:paraId="32C5ECBD" w14:textId="77777777" w:rsidR="00985E10" w:rsidRPr="009702B0" w:rsidRDefault="00985E10" w:rsidP="00985E10">
            <w:pPr>
              <w:tabs>
                <w:tab w:val="right" w:pos="1202"/>
              </w:tabs>
              <w:spacing w:after="0" w:line="240" w:lineRule="auto"/>
              <w:outlineLvl w:val="0"/>
              <w:rPr>
                <w:rFonts w:eastAsia="Times New Roman" w:cs="Arial"/>
                <w:b/>
                <w:sz w:val="20"/>
                <w:szCs w:val="20"/>
              </w:rPr>
            </w:pPr>
            <w:r w:rsidRPr="009702B0">
              <w:rPr>
                <w:rFonts w:eastAsia="Times New Roman" w:cs="Arial"/>
                <w:b/>
                <w:sz w:val="20"/>
                <w:szCs w:val="20"/>
              </w:rPr>
              <w:t>Total</w:t>
            </w:r>
          </w:p>
        </w:tc>
        <w:tc>
          <w:tcPr>
            <w:tcW w:w="1412" w:type="dxa"/>
            <w:tcBorders>
              <w:top w:val="single" w:sz="4" w:space="0" w:color="auto"/>
              <w:bottom w:val="single" w:sz="12" w:space="0" w:color="auto"/>
              <w:right w:val="nil"/>
            </w:tcBorders>
            <w:shd w:val="clear" w:color="auto" w:fill="auto"/>
            <w:vAlign w:val="bottom"/>
          </w:tcPr>
          <w:p w14:paraId="6E17E2FD" w14:textId="274F7722" w:rsidR="00985E10" w:rsidRPr="005444AA" w:rsidRDefault="00985E10" w:rsidP="00985E10">
            <w:pPr>
              <w:tabs>
                <w:tab w:val="right" w:pos="1202"/>
              </w:tabs>
              <w:spacing w:after="0" w:line="240" w:lineRule="auto"/>
              <w:jc w:val="right"/>
              <w:outlineLvl w:val="0"/>
              <w:rPr>
                <w:b/>
                <w:sz w:val="20"/>
                <w:szCs w:val="20"/>
              </w:rPr>
            </w:pPr>
            <w:r>
              <w:rPr>
                <w:b/>
                <w:sz w:val="20"/>
                <w:szCs w:val="20"/>
              </w:rPr>
              <w:t>5,313,747</w:t>
            </w:r>
          </w:p>
        </w:tc>
        <w:tc>
          <w:tcPr>
            <w:tcW w:w="1339" w:type="dxa"/>
            <w:tcBorders>
              <w:top w:val="single" w:sz="4" w:space="0" w:color="auto"/>
              <w:bottom w:val="single" w:sz="12" w:space="0" w:color="auto"/>
              <w:right w:val="nil"/>
            </w:tcBorders>
            <w:shd w:val="clear" w:color="auto" w:fill="auto"/>
            <w:vAlign w:val="bottom"/>
          </w:tcPr>
          <w:p w14:paraId="256C01AE" w14:textId="073B61AD" w:rsidR="00985E10" w:rsidRPr="005444AA" w:rsidRDefault="00985E10" w:rsidP="00985E10">
            <w:pPr>
              <w:tabs>
                <w:tab w:val="right" w:pos="1202"/>
              </w:tabs>
              <w:spacing w:after="0" w:line="240" w:lineRule="auto"/>
              <w:jc w:val="right"/>
              <w:outlineLvl w:val="0"/>
              <w:rPr>
                <w:b/>
                <w:sz w:val="20"/>
                <w:szCs w:val="20"/>
              </w:rPr>
            </w:pPr>
            <w:r>
              <w:rPr>
                <w:b/>
                <w:sz w:val="20"/>
                <w:szCs w:val="20"/>
              </w:rPr>
              <w:t>349,672</w:t>
            </w:r>
          </w:p>
        </w:tc>
        <w:tc>
          <w:tcPr>
            <w:tcW w:w="1337" w:type="dxa"/>
            <w:tcBorders>
              <w:top w:val="single" w:sz="4" w:space="0" w:color="auto"/>
              <w:bottom w:val="single" w:sz="12" w:space="0" w:color="auto"/>
            </w:tcBorders>
            <w:shd w:val="clear" w:color="auto" w:fill="auto"/>
            <w:vAlign w:val="bottom"/>
          </w:tcPr>
          <w:p w14:paraId="3B893286" w14:textId="77777777" w:rsidR="00985E10" w:rsidRPr="00682116" w:rsidRDefault="00985E10" w:rsidP="00985E10">
            <w:pPr>
              <w:tabs>
                <w:tab w:val="right" w:pos="1202"/>
              </w:tabs>
              <w:spacing w:after="0" w:line="240" w:lineRule="auto"/>
              <w:jc w:val="right"/>
              <w:outlineLvl w:val="0"/>
              <w:rPr>
                <w:rFonts w:cs="Arial"/>
                <w:b/>
                <w:bCs/>
                <w:sz w:val="20"/>
                <w:szCs w:val="20"/>
              </w:rPr>
            </w:pPr>
            <w:r w:rsidRPr="00682116">
              <w:rPr>
                <w:b/>
                <w:sz w:val="20"/>
                <w:szCs w:val="20"/>
              </w:rPr>
              <w:t>5</w:t>
            </w:r>
            <w:r>
              <w:rPr>
                <w:b/>
                <w:sz w:val="20"/>
                <w:szCs w:val="20"/>
              </w:rPr>
              <w:t>,</w:t>
            </w:r>
            <w:r w:rsidRPr="00682116">
              <w:rPr>
                <w:b/>
                <w:sz w:val="20"/>
                <w:szCs w:val="20"/>
              </w:rPr>
              <w:t>478</w:t>
            </w:r>
            <w:r>
              <w:rPr>
                <w:b/>
                <w:sz w:val="20"/>
                <w:szCs w:val="20"/>
              </w:rPr>
              <w:t>,</w:t>
            </w:r>
            <w:r w:rsidRPr="00682116">
              <w:rPr>
                <w:b/>
                <w:sz w:val="20"/>
                <w:szCs w:val="20"/>
              </w:rPr>
              <w:t>988</w:t>
            </w:r>
          </w:p>
        </w:tc>
        <w:tc>
          <w:tcPr>
            <w:tcW w:w="1350" w:type="dxa"/>
            <w:gridSpan w:val="2"/>
            <w:tcBorders>
              <w:top w:val="single" w:sz="4" w:space="0" w:color="auto"/>
              <w:bottom w:val="single" w:sz="12" w:space="0" w:color="auto"/>
            </w:tcBorders>
            <w:shd w:val="clear" w:color="auto" w:fill="auto"/>
            <w:vAlign w:val="bottom"/>
          </w:tcPr>
          <w:p w14:paraId="19640F01" w14:textId="77777777" w:rsidR="00985E10" w:rsidRPr="00682116" w:rsidRDefault="00985E10" w:rsidP="00985E10">
            <w:pPr>
              <w:tabs>
                <w:tab w:val="right" w:pos="1202"/>
              </w:tabs>
              <w:spacing w:after="0" w:line="240" w:lineRule="auto"/>
              <w:jc w:val="right"/>
              <w:outlineLvl w:val="0"/>
              <w:rPr>
                <w:rFonts w:cs="Arial"/>
                <w:b/>
                <w:bCs/>
                <w:sz w:val="20"/>
                <w:szCs w:val="20"/>
              </w:rPr>
            </w:pPr>
            <w:r w:rsidRPr="00682116">
              <w:rPr>
                <w:b/>
                <w:sz w:val="20"/>
                <w:szCs w:val="20"/>
              </w:rPr>
              <w:t>167</w:t>
            </w:r>
            <w:r>
              <w:rPr>
                <w:b/>
                <w:sz w:val="20"/>
                <w:szCs w:val="20"/>
              </w:rPr>
              <w:t>,</w:t>
            </w:r>
            <w:r w:rsidRPr="00682116">
              <w:rPr>
                <w:b/>
                <w:sz w:val="20"/>
                <w:szCs w:val="20"/>
              </w:rPr>
              <w:t>590</w:t>
            </w:r>
          </w:p>
        </w:tc>
      </w:tr>
    </w:tbl>
    <w:p w14:paraId="5AD2762F" w14:textId="77777777" w:rsidR="009702B0" w:rsidRPr="009702B0" w:rsidRDefault="009702B0" w:rsidP="009702B0">
      <w:pPr>
        <w:spacing w:after="0" w:line="240" w:lineRule="auto"/>
        <w:jc w:val="both"/>
        <w:rPr>
          <w:rFonts w:eastAsia="Times New Roman" w:cs="Arial"/>
          <w:bCs/>
          <w:sz w:val="24"/>
          <w:szCs w:val="24"/>
          <w:highlight w:val="yellow"/>
        </w:rPr>
      </w:pPr>
    </w:p>
    <w:p w14:paraId="570CD472" w14:textId="77777777" w:rsidR="009702B0" w:rsidRPr="009702B0" w:rsidRDefault="009702B0" w:rsidP="009702B0">
      <w:pPr>
        <w:spacing w:after="0" w:line="240" w:lineRule="auto"/>
        <w:jc w:val="both"/>
        <w:rPr>
          <w:rFonts w:eastAsia="Times New Roman" w:cs="Arial"/>
          <w:bCs/>
          <w:sz w:val="24"/>
          <w:szCs w:val="24"/>
          <w:highlight w:val="yellow"/>
        </w:rPr>
      </w:pPr>
    </w:p>
    <w:tbl>
      <w:tblPr>
        <w:tblW w:w="4925" w:type="pct"/>
        <w:jc w:val="center"/>
        <w:tblLayout w:type="fixed"/>
        <w:tblCellMar>
          <w:left w:w="113" w:type="dxa"/>
          <w:right w:w="85" w:type="dxa"/>
        </w:tblCellMar>
        <w:tblLook w:val="00A0" w:firstRow="1" w:lastRow="0" w:firstColumn="1" w:lastColumn="0" w:noHBand="0" w:noVBand="0"/>
      </w:tblPr>
      <w:tblGrid>
        <w:gridCol w:w="3708"/>
        <w:gridCol w:w="1394"/>
        <w:gridCol w:w="1395"/>
        <w:gridCol w:w="1394"/>
        <w:gridCol w:w="1323"/>
      </w:tblGrid>
      <w:tr w:rsidR="009702B0" w:rsidRPr="009702B0" w14:paraId="46F9D53D" w14:textId="77777777" w:rsidTr="00BA3F2A">
        <w:trPr>
          <w:cantSplit/>
          <w:trHeight w:val="14"/>
          <w:jc w:val="center"/>
        </w:trPr>
        <w:tc>
          <w:tcPr>
            <w:tcW w:w="3708" w:type="dxa"/>
            <w:vAlign w:val="bottom"/>
          </w:tcPr>
          <w:p w14:paraId="223EFE6B" w14:textId="77777777" w:rsidR="009702B0" w:rsidRPr="009702B0" w:rsidRDefault="009702B0" w:rsidP="009702B0">
            <w:pPr>
              <w:tabs>
                <w:tab w:val="right" w:pos="1202"/>
              </w:tabs>
              <w:spacing w:after="0" w:line="240" w:lineRule="auto"/>
              <w:outlineLvl w:val="0"/>
              <w:rPr>
                <w:rFonts w:eastAsia="Times New Roman" w:cs="Arial"/>
                <w:sz w:val="20"/>
                <w:szCs w:val="20"/>
              </w:rPr>
            </w:pPr>
            <w:r w:rsidRPr="009702B0">
              <w:rPr>
                <w:rFonts w:eastAsia="Times New Roman" w:cs="Arial"/>
                <w:b/>
                <w:sz w:val="20"/>
                <w:szCs w:val="20"/>
              </w:rPr>
              <w:t>Group</w:t>
            </w:r>
          </w:p>
        </w:tc>
        <w:tc>
          <w:tcPr>
            <w:tcW w:w="1394" w:type="dxa"/>
            <w:vAlign w:val="bottom"/>
          </w:tcPr>
          <w:p w14:paraId="65B32303" w14:textId="77777777"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Income</w:t>
            </w:r>
          </w:p>
        </w:tc>
        <w:tc>
          <w:tcPr>
            <w:tcW w:w="1395" w:type="dxa"/>
            <w:vAlign w:val="bottom"/>
          </w:tcPr>
          <w:p w14:paraId="2453299F" w14:textId="77777777"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Expense</w:t>
            </w:r>
          </w:p>
        </w:tc>
        <w:tc>
          <w:tcPr>
            <w:tcW w:w="1394" w:type="dxa"/>
            <w:vAlign w:val="bottom"/>
          </w:tcPr>
          <w:p w14:paraId="25707215" w14:textId="77777777"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Income</w:t>
            </w:r>
          </w:p>
        </w:tc>
        <w:tc>
          <w:tcPr>
            <w:tcW w:w="1323" w:type="dxa"/>
            <w:vAlign w:val="bottom"/>
          </w:tcPr>
          <w:p w14:paraId="65D567BE" w14:textId="77777777"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Expense</w:t>
            </w:r>
          </w:p>
        </w:tc>
      </w:tr>
      <w:tr w:rsidR="00D0783E" w:rsidRPr="009702B0" w14:paraId="48E1A339" w14:textId="77777777" w:rsidTr="006B318F">
        <w:trPr>
          <w:cantSplit/>
          <w:trHeight w:hRule="exact" w:val="561"/>
          <w:jc w:val="center"/>
        </w:trPr>
        <w:tc>
          <w:tcPr>
            <w:tcW w:w="3708" w:type="dxa"/>
            <w:vAlign w:val="bottom"/>
          </w:tcPr>
          <w:p w14:paraId="7976709B" w14:textId="77777777" w:rsidR="00D0783E" w:rsidRPr="009702B0" w:rsidRDefault="00D0783E" w:rsidP="00D0783E">
            <w:pPr>
              <w:tabs>
                <w:tab w:val="right" w:pos="1202"/>
              </w:tabs>
              <w:spacing w:after="0" w:line="240" w:lineRule="auto"/>
              <w:outlineLvl w:val="0"/>
              <w:rPr>
                <w:rFonts w:eastAsia="Times New Roman" w:cs="Arial"/>
                <w:b/>
                <w:sz w:val="20"/>
                <w:szCs w:val="20"/>
              </w:rPr>
            </w:pPr>
          </w:p>
        </w:tc>
        <w:tc>
          <w:tcPr>
            <w:tcW w:w="1394" w:type="dxa"/>
          </w:tcPr>
          <w:p w14:paraId="4FCAD648" w14:textId="0C1EEBF0" w:rsidR="00D0783E" w:rsidRPr="00D0783E" w:rsidRDefault="001A555F">
            <w:pPr>
              <w:tabs>
                <w:tab w:val="right" w:pos="1202"/>
              </w:tabs>
              <w:spacing w:after="0" w:line="240" w:lineRule="auto"/>
              <w:jc w:val="right"/>
              <w:outlineLvl w:val="0"/>
              <w:rPr>
                <w:rFonts w:eastAsia="Times New Roman" w:cs="Arial"/>
                <w:b/>
                <w:bCs/>
                <w:sz w:val="20"/>
                <w:szCs w:val="20"/>
              </w:rPr>
            </w:pPr>
            <w:r>
              <w:rPr>
                <w:rFonts w:eastAsia="Times New Roman" w:cs="Arial"/>
                <w:b/>
                <w:bCs/>
                <w:sz w:val="20"/>
                <w:szCs w:val="20"/>
              </w:rPr>
              <w:t xml:space="preserve"> Jan </w:t>
            </w:r>
            <w:r w:rsidR="0049173E">
              <w:rPr>
                <w:rFonts w:eastAsia="Times New Roman" w:cs="Arial"/>
                <w:b/>
                <w:bCs/>
                <w:sz w:val="20"/>
                <w:szCs w:val="20"/>
              </w:rPr>
              <w:t xml:space="preserve">1 </w:t>
            </w:r>
            <w:r>
              <w:rPr>
                <w:rFonts w:eastAsia="Times New Roman" w:cs="Arial"/>
                <w:b/>
                <w:bCs/>
                <w:sz w:val="20"/>
                <w:szCs w:val="20"/>
              </w:rPr>
              <w:t>to</w:t>
            </w:r>
            <w:r w:rsidR="0049173E">
              <w:rPr>
                <w:rFonts w:eastAsia="Times New Roman" w:cs="Arial"/>
                <w:b/>
                <w:bCs/>
                <w:sz w:val="20"/>
                <w:szCs w:val="20"/>
              </w:rPr>
              <w:t xml:space="preserve"> </w:t>
            </w:r>
            <w:r w:rsidR="00393EE5">
              <w:rPr>
                <w:rFonts w:eastAsia="Times New Roman" w:cs="Arial"/>
                <w:b/>
                <w:bCs/>
                <w:sz w:val="20"/>
                <w:szCs w:val="20"/>
              </w:rPr>
              <w:t>Sep</w:t>
            </w:r>
            <w:r w:rsidR="00393EE5" w:rsidRPr="002F6821">
              <w:rPr>
                <w:rFonts w:eastAsia="Times New Roman" w:cs="Arial"/>
                <w:b/>
                <w:bCs/>
                <w:sz w:val="20"/>
                <w:szCs w:val="20"/>
              </w:rPr>
              <w:t xml:space="preserve"> </w:t>
            </w:r>
            <w:r w:rsidR="002F6821" w:rsidRPr="002F6821">
              <w:rPr>
                <w:rFonts w:eastAsia="Times New Roman" w:cs="Arial"/>
                <w:b/>
                <w:bCs/>
                <w:sz w:val="20"/>
                <w:szCs w:val="20"/>
              </w:rPr>
              <w:t>30</w:t>
            </w:r>
            <w:r w:rsidR="00D0783E" w:rsidRPr="00D0783E">
              <w:rPr>
                <w:rFonts w:eastAsia="Times New Roman" w:cs="Arial"/>
                <w:b/>
                <w:bCs/>
                <w:sz w:val="20"/>
                <w:szCs w:val="20"/>
              </w:rPr>
              <w:t>, 2017</w:t>
            </w:r>
          </w:p>
        </w:tc>
        <w:tc>
          <w:tcPr>
            <w:tcW w:w="1395" w:type="dxa"/>
          </w:tcPr>
          <w:p w14:paraId="338B5841" w14:textId="194E119C" w:rsidR="00D0783E" w:rsidRPr="00D0783E" w:rsidRDefault="0049173E">
            <w:pPr>
              <w:tabs>
                <w:tab w:val="right" w:pos="1202"/>
              </w:tabs>
              <w:spacing w:after="0" w:line="240" w:lineRule="auto"/>
              <w:jc w:val="right"/>
              <w:outlineLvl w:val="0"/>
              <w:rPr>
                <w:rFonts w:eastAsia="Times New Roman" w:cs="Arial"/>
                <w:b/>
                <w:bCs/>
                <w:sz w:val="20"/>
                <w:szCs w:val="20"/>
              </w:rPr>
            </w:pPr>
            <w:r>
              <w:rPr>
                <w:rFonts w:eastAsia="Times New Roman" w:cs="Arial"/>
                <w:b/>
                <w:bCs/>
                <w:sz w:val="20"/>
                <w:szCs w:val="20"/>
              </w:rPr>
              <w:t xml:space="preserve">Jan 1 to </w:t>
            </w:r>
            <w:r w:rsidR="00393EE5">
              <w:rPr>
                <w:rFonts w:eastAsia="Times New Roman" w:cs="Arial"/>
                <w:b/>
                <w:bCs/>
                <w:sz w:val="20"/>
                <w:szCs w:val="20"/>
              </w:rPr>
              <w:t>Sep</w:t>
            </w:r>
            <w:r w:rsidR="00393EE5" w:rsidRPr="002F6821">
              <w:rPr>
                <w:rFonts w:eastAsia="Times New Roman" w:cs="Arial"/>
                <w:b/>
                <w:bCs/>
                <w:sz w:val="20"/>
                <w:szCs w:val="20"/>
              </w:rPr>
              <w:t xml:space="preserve"> </w:t>
            </w:r>
            <w:r w:rsidR="002F6821" w:rsidRPr="002F6821">
              <w:rPr>
                <w:rFonts w:eastAsia="Times New Roman" w:cs="Arial"/>
                <w:b/>
                <w:bCs/>
                <w:sz w:val="20"/>
                <w:szCs w:val="20"/>
              </w:rPr>
              <w:t>30</w:t>
            </w:r>
            <w:r w:rsidR="00D0783E" w:rsidRPr="00D0783E">
              <w:rPr>
                <w:rFonts w:eastAsia="Times New Roman" w:cs="Arial"/>
                <w:b/>
                <w:bCs/>
                <w:sz w:val="20"/>
                <w:szCs w:val="20"/>
              </w:rPr>
              <w:t>, 2017</w:t>
            </w:r>
          </w:p>
        </w:tc>
        <w:tc>
          <w:tcPr>
            <w:tcW w:w="1394" w:type="dxa"/>
          </w:tcPr>
          <w:p w14:paraId="03C59620" w14:textId="630642B8" w:rsidR="00D0783E" w:rsidRPr="00D0783E" w:rsidRDefault="0049173E">
            <w:pPr>
              <w:tabs>
                <w:tab w:val="right" w:pos="1202"/>
              </w:tabs>
              <w:spacing w:after="0" w:line="240" w:lineRule="auto"/>
              <w:jc w:val="right"/>
              <w:outlineLvl w:val="0"/>
              <w:rPr>
                <w:rFonts w:eastAsia="Times New Roman" w:cs="Arial"/>
                <w:b/>
                <w:bCs/>
                <w:sz w:val="20"/>
                <w:szCs w:val="20"/>
              </w:rPr>
            </w:pPr>
            <w:r>
              <w:rPr>
                <w:rFonts w:eastAsia="Times New Roman" w:cs="Arial"/>
                <w:b/>
                <w:bCs/>
                <w:sz w:val="20"/>
                <w:szCs w:val="20"/>
              </w:rPr>
              <w:t xml:space="preserve">Jan 1 to </w:t>
            </w:r>
            <w:r w:rsidR="00393EE5">
              <w:rPr>
                <w:rFonts w:eastAsia="Times New Roman" w:cs="Arial"/>
                <w:b/>
                <w:bCs/>
                <w:sz w:val="20"/>
                <w:szCs w:val="20"/>
              </w:rPr>
              <w:t>Sep</w:t>
            </w:r>
            <w:r w:rsidR="002F6821" w:rsidRPr="002F6821">
              <w:rPr>
                <w:rFonts w:eastAsia="Times New Roman" w:cs="Arial"/>
                <w:b/>
                <w:bCs/>
                <w:sz w:val="20"/>
                <w:szCs w:val="20"/>
              </w:rPr>
              <w:t xml:space="preserve"> 30</w:t>
            </w:r>
            <w:r w:rsidR="00D0783E" w:rsidRPr="00D0783E">
              <w:rPr>
                <w:rFonts w:eastAsia="Times New Roman" w:cs="Arial"/>
                <w:b/>
                <w:bCs/>
                <w:sz w:val="20"/>
                <w:szCs w:val="20"/>
              </w:rPr>
              <w:t>, 2016</w:t>
            </w:r>
          </w:p>
        </w:tc>
        <w:tc>
          <w:tcPr>
            <w:tcW w:w="1323" w:type="dxa"/>
          </w:tcPr>
          <w:p w14:paraId="4E1CFB4D" w14:textId="023A7DC4" w:rsidR="00D0783E" w:rsidRPr="00D0783E" w:rsidRDefault="0049173E">
            <w:pPr>
              <w:tabs>
                <w:tab w:val="right" w:pos="1202"/>
              </w:tabs>
              <w:spacing w:after="0" w:line="240" w:lineRule="auto"/>
              <w:jc w:val="right"/>
              <w:outlineLvl w:val="0"/>
              <w:rPr>
                <w:rFonts w:eastAsia="Times New Roman" w:cs="Arial"/>
                <w:b/>
                <w:bCs/>
                <w:sz w:val="20"/>
                <w:szCs w:val="20"/>
              </w:rPr>
            </w:pPr>
            <w:r>
              <w:rPr>
                <w:rFonts w:eastAsia="Times New Roman" w:cs="Arial"/>
                <w:b/>
                <w:bCs/>
                <w:sz w:val="20"/>
                <w:szCs w:val="20"/>
              </w:rPr>
              <w:t xml:space="preserve">Jan 1 to </w:t>
            </w:r>
            <w:r w:rsidR="00393EE5">
              <w:rPr>
                <w:rFonts w:eastAsia="Times New Roman" w:cs="Arial"/>
                <w:b/>
                <w:bCs/>
                <w:sz w:val="20"/>
                <w:szCs w:val="20"/>
              </w:rPr>
              <w:t>Sep</w:t>
            </w:r>
            <w:r w:rsidR="00393EE5" w:rsidRPr="002F6821">
              <w:rPr>
                <w:rFonts w:eastAsia="Times New Roman" w:cs="Arial"/>
                <w:b/>
                <w:bCs/>
                <w:sz w:val="20"/>
                <w:szCs w:val="20"/>
              </w:rPr>
              <w:t xml:space="preserve"> </w:t>
            </w:r>
            <w:r w:rsidR="002F6821" w:rsidRPr="002F6821">
              <w:rPr>
                <w:rFonts w:eastAsia="Times New Roman" w:cs="Arial"/>
                <w:b/>
                <w:bCs/>
                <w:sz w:val="20"/>
                <w:szCs w:val="20"/>
              </w:rPr>
              <w:t>30</w:t>
            </w:r>
            <w:r w:rsidR="00D0783E" w:rsidRPr="00D0783E">
              <w:rPr>
                <w:rFonts w:eastAsia="Times New Roman" w:cs="Arial"/>
                <w:b/>
                <w:bCs/>
                <w:sz w:val="20"/>
                <w:szCs w:val="20"/>
              </w:rPr>
              <w:t>, 2016</w:t>
            </w:r>
          </w:p>
        </w:tc>
      </w:tr>
      <w:tr w:rsidR="00985E10" w:rsidRPr="009702B0" w14:paraId="61F3C062" w14:textId="77777777" w:rsidTr="006B318F">
        <w:trPr>
          <w:cantSplit/>
          <w:trHeight w:hRule="exact" w:val="369"/>
          <w:jc w:val="center"/>
        </w:trPr>
        <w:tc>
          <w:tcPr>
            <w:tcW w:w="3708" w:type="dxa"/>
            <w:vAlign w:val="bottom"/>
          </w:tcPr>
          <w:p w14:paraId="133F8AEA" w14:textId="77777777" w:rsidR="00985E10" w:rsidRPr="009702B0" w:rsidRDefault="00985E10" w:rsidP="00985E10">
            <w:pPr>
              <w:tabs>
                <w:tab w:val="right" w:pos="1202"/>
              </w:tabs>
              <w:spacing w:after="0" w:line="240" w:lineRule="auto"/>
              <w:outlineLvl w:val="0"/>
              <w:rPr>
                <w:rFonts w:eastAsia="Times New Roman" w:cs="Arial"/>
                <w:sz w:val="20"/>
                <w:szCs w:val="20"/>
              </w:rPr>
            </w:pPr>
            <w:r w:rsidRPr="009702B0">
              <w:rPr>
                <w:rFonts w:eastAsia="Times New Roman" w:cs="Arial"/>
                <w:sz w:val="20"/>
                <w:szCs w:val="20"/>
              </w:rPr>
              <w:t>Owner</w:t>
            </w:r>
          </w:p>
        </w:tc>
        <w:tc>
          <w:tcPr>
            <w:tcW w:w="1394" w:type="dxa"/>
            <w:tcBorders>
              <w:top w:val="nil"/>
              <w:left w:val="nil"/>
              <w:bottom w:val="nil"/>
              <w:right w:val="nil"/>
            </w:tcBorders>
            <w:shd w:val="clear" w:color="000000" w:fill="auto"/>
            <w:vAlign w:val="bottom"/>
          </w:tcPr>
          <w:p w14:paraId="07C0F83F" w14:textId="18F7716B" w:rsidR="00985E10" w:rsidRPr="006B318F" w:rsidRDefault="00985E10" w:rsidP="00985E10">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61,481</w:t>
            </w:r>
          </w:p>
        </w:tc>
        <w:tc>
          <w:tcPr>
            <w:tcW w:w="1395" w:type="dxa"/>
            <w:tcBorders>
              <w:top w:val="nil"/>
              <w:left w:val="nil"/>
              <w:bottom w:val="nil"/>
              <w:right w:val="nil"/>
            </w:tcBorders>
            <w:shd w:val="clear" w:color="000000" w:fill="auto"/>
            <w:vAlign w:val="bottom"/>
          </w:tcPr>
          <w:p w14:paraId="11003612" w14:textId="67C6C59A" w:rsidR="00985E10" w:rsidRPr="006B318F" w:rsidRDefault="00985E10" w:rsidP="00985E10">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496</w:t>
            </w:r>
          </w:p>
        </w:tc>
        <w:tc>
          <w:tcPr>
            <w:tcW w:w="1394" w:type="dxa"/>
            <w:tcBorders>
              <w:top w:val="nil"/>
              <w:left w:val="nil"/>
              <w:bottom w:val="nil"/>
              <w:right w:val="nil"/>
            </w:tcBorders>
            <w:shd w:val="clear" w:color="000000" w:fill="auto"/>
            <w:vAlign w:val="bottom"/>
          </w:tcPr>
          <w:p w14:paraId="50271852" w14:textId="644104A2" w:rsidR="00985E10" w:rsidRPr="006B318F" w:rsidRDefault="00985E10" w:rsidP="00985E10">
            <w:pPr>
              <w:tabs>
                <w:tab w:val="right" w:pos="1202"/>
              </w:tabs>
              <w:spacing w:after="0" w:line="240" w:lineRule="auto"/>
              <w:jc w:val="right"/>
              <w:outlineLvl w:val="0"/>
              <w:rPr>
                <w:rFonts w:cs="Arial"/>
                <w:sz w:val="20"/>
                <w:szCs w:val="20"/>
              </w:rPr>
            </w:pPr>
            <w:r w:rsidRPr="005F1FBF">
              <w:rPr>
                <w:rFonts w:eastAsia="Times New Roman" w:cs="Arial"/>
                <w:bCs/>
                <w:iCs/>
                <w:sz w:val="20"/>
                <w:szCs w:val="20"/>
              </w:rPr>
              <w:t>70</w:t>
            </w:r>
            <w:r>
              <w:rPr>
                <w:rFonts w:eastAsia="Times New Roman" w:cs="Arial"/>
                <w:bCs/>
                <w:iCs/>
                <w:sz w:val="20"/>
                <w:szCs w:val="20"/>
              </w:rPr>
              <w:t>,</w:t>
            </w:r>
            <w:r w:rsidRPr="005F1FBF">
              <w:rPr>
                <w:rFonts w:eastAsia="Times New Roman" w:cs="Arial"/>
                <w:bCs/>
                <w:iCs/>
                <w:sz w:val="20"/>
                <w:szCs w:val="20"/>
              </w:rPr>
              <w:t>624</w:t>
            </w:r>
          </w:p>
        </w:tc>
        <w:tc>
          <w:tcPr>
            <w:tcW w:w="1323" w:type="dxa"/>
            <w:tcBorders>
              <w:top w:val="nil"/>
              <w:left w:val="nil"/>
              <w:bottom w:val="nil"/>
            </w:tcBorders>
            <w:shd w:val="clear" w:color="000000" w:fill="auto"/>
            <w:vAlign w:val="bottom"/>
          </w:tcPr>
          <w:p w14:paraId="06DCDC15" w14:textId="21A6B67E" w:rsidR="00985E10" w:rsidRPr="006B318F" w:rsidRDefault="00985E10" w:rsidP="00985E10">
            <w:pPr>
              <w:tabs>
                <w:tab w:val="right" w:pos="1202"/>
              </w:tabs>
              <w:spacing w:after="0" w:line="240" w:lineRule="auto"/>
              <w:jc w:val="right"/>
              <w:outlineLvl w:val="0"/>
              <w:rPr>
                <w:rFonts w:cs="Arial"/>
                <w:sz w:val="20"/>
                <w:szCs w:val="20"/>
              </w:rPr>
            </w:pPr>
            <w:r w:rsidRPr="005F1FBF">
              <w:rPr>
                <w:rFonts w:eastAsia="Times New Roman" w:cs="Arial"/>
                <w:bCs/>
                <w:iCs/>
                <w:sz w:val="20"/>
                <w:szCs w:val="20"/>
              </w:rPr>
              <w:t>5</w:t>
            </w:r>
            <w:r>
              <w:rPr>
                <w:rFonts w:eastAsia="Times New Roman" w:cs="Arial"/>
                <w:bCs/>
                <w:iCs/>
                <w:sz w:val="20"/>
                <w:szCs w:val="20"/>
              </w:rPr>
              <w:t>,</w:t>
            </w:r>
            <w:r w:rsidRPr="005F1FBF">
              <w:rPr>
                <w:rFonts w:eastAsia="Times New Roman" w:cs="Arial"/>
                <w:bCs/>
                <w:iCs/>
                <w:sz w:val="20"/>
                <w:szCs w:val="20"/>
              </w:rPr>
              <w:t>228</w:t>
            </w:r>
          </w:p>
        </w:tc>
      </w:tr>
      <w:tr w:rsidR="00985E10" w:rsidRPr="009702B0" w14:paraId="6DB2EE26" w14:textId="77777777" w:rsidTr="006B318F">
        <w:trPr>
          <w:cantSplit/>
          <w:trHeight w:val="14"/>
          <w:jc w:val="center"/>
        </w:trPr>
        <w:tc>
          <w:tcPr>
            <w:tcW w:w="3708" w:type="dxa"/>
            <w:vAlign w:val="bottom"/>
          </w:tcPr>
          <w:p w14:paraId="5F2856A0" w14:textId="77777777" w:rsidR="00985E10" w:rsidRPr="009702B0" w:rsidRDefault="00985E10" w:rsidP="00985E10">
            <w:pPr>
              <w:tabs>
                <w:tab w:val="right" w:pos="1202"/>
              </w:tabs>
              <w:spacing w:after="0" w:line="240" w:lineRule="auto"/>
              <w:outlineLvl w:val="0"/>
              <w:rPr>
                <w:rFonts w:eastAsia="Times New Roman" w:cs="Arial"/>
                <w:sz w:val="20"/>
                <w:szCs w:val="20"/>
              </w:rPr>
            </w:pPr>
            <w:r w:rsidRPr="009702B0">
              <w:rPr>
                <w:rFonts w:eastAsia="Times New Roman" w:cs="Arial"/>
                <w:sz w:val="20"/>
                <w:szCs w:val="20"/>
              </w:rPr>
              <w:t>Government funds, executive authorities and agencies</w:t>
            </w:r>
          </w:p>
        </w:tc>
        <w:tc>
          <w:tcPr>
            <w:tcW w:w="1394" w:type="dxa"/>
            <w:tcBorders>
              <w:top w:val="nil"/>
              <w:left w:val="nil"/>
              <w:bottom w:val="nil"/>
              <w:right w:val="nil"/>
            </w:tcBorders>
            <w:shd w:val="clear" w:color="auto" w:fill="auto"/>
            <w:vAlign w:val="bottom"/>
          </w:tcPr>
          <w:p w14:paraId="29902EF7" w14:textId="13B3D1F9" w:rsidR="00985E10" w:rsidRPr="006B318F" w:rsidRDefault="00985E10" w:rsidP="00985E10">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22,864</w:t>
            </w:r>
          </w:p>
        </w:tc>
        <w:tc>
          <w:tcPr>
            <w:tcW w:w="1395" w:type="dxa"/>
            <w:tcBorders>
              <w:top w:val="nil"/>
              <w:left w:val="nil"/>
              <w:bottom w:val="nil"/>
              <w:right w:val="nil"/>
            </w:tcBorders>
            <w:shd w:val="clear" w:color="auto" w:fill="auto"/>
            <w:vAlign w:val="bottom"/>
          </w:tcPr>
          <w:p w14:paraId="1B66705B" w14:textId="748AFAE5" w:rsidR="00985E10" w:rsidRPr="006B318F" w:rsidRDefault="00985E10" w:rsidP="00985E10">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612</w:t>
            </w:r>
          </w:p>
        </w:tc>
        <w:tc>
          <w:tcPr>
            <w:tcW w:w="1394" w:type="dxa"/>
            <w:tcBorders>
              <w:top w:val="nil"/>
              <w:left w:val="nil"/>
              <w:bottom w:val="nil"/>
              <w:right w:val="nil"/>
            </w:tcBorders>
            <w:shd w:val="clear" w:color="auto" w:fill="auto"/>
            <w:vAlign w:val="bottom"/>
          </w:tcPr>
          <w:p w14:paraId="43F1167F" w14:textId="28C4331C" w:rsidR="00985E10" w:rsidRPr="006B318F" w:rsidRDefault="00985E10" w:rsidP="00985E10">
            <w:pPr>
              <w:tabs>
                <w:tab w:val="right" w:pos="1202"/>
              </w:tabs>
              <w:spacing w:after="0" w:line="240" w:lineRule="auto"/>
              <w:jc w:val="right"/>
              <w:outlineLvl w:val="0"/>
              <w:rPr>
                <w:rFonts w:cs="Arial"/>
                <w:sz w:val="20"/>
                <w:szCs w:val="20"/>
              </w:rPr>
            </w:pPr>
            <w:r w:rsidRPr="005F1FBF">
              <w:rPr>
                <w:rFonts w:eastAsia="Times New Roman" w:cs="Arial"/>
                <w:bCs/>
                <w:iCs/>
                <w:sz w:val="20"/>
                <w:szCs w:val="20"/>
              </w:rPr>
              <w:t>15</w:t>
            </w:r>
            <w:r>
              <w:rPr>
                <w:rFonts w:eastAsia="Times New Roman" w:cs="Arial"/>
                <w:bCs/>
                <w:iCs/>
                <w:sz w:val="20"/>
                <w:szCs w:val="20"/>
              </w:rPr>
              <w:t>,</w:t>
            </w:r>
            <w:r w:rsidRPr="005F1FBF">
              <w:rPr>
                <w:rFonts w:eastAsia="Times New Roman" w:cs="Arial"/>
                <w:bCs/>
                <w:iCs/>
                <w:sz w:val="20"/>
                <w:szCs w:val="20"/>
              </w:rPr>
              <w:t>920</w:t>
            </w:r>
          </w:p>
        </w:tc>
        <w:tc>
          <w:tcPr>
            <w:tcW w:w="1323" w:type="dxa"/>
            <w:tcBorders>
              <w:top w:val="nil"/>
              <w:left w:val="nil"/>
              <w:bottom w:val="nil"/>
            </w:tcBorders>
            <w:shd w:val="clear" w:color="auto" w:fill="auto"/>
            <w:vAlign w:val="bottom"/>
          </w:tcPr>
          <w:p w14:paraId="12F8CBE6" w14:textId="09E978CA" w:rsidR="00985E10" w:rsidRPr="006B318F" w:rsidRDefault="00985E10" w:rsidP="00985E10">
            <w:pPr>
              <w:tabs>
                <w:tab w:val="right" w:pos="1202"/>
              </w:tabs>
              <w:spacing w:after="0" w:line="240" w:lineRule="auto"/>
              <w:jc w:val="right"/>
              <w:outlineLvl w:val="0"/>
              <w:rPr>
                <w:rFonts w:cs="Arial"/>
                <w:sz w:val="20"/>
                <w:szCs w:val="20"/>
              </w:rPr>
            </w:pPr>
            <w:r w:rsidRPr="005F1FBF">
              <w:rPr>
                <w:rFonts w:eastAsia="Times New Roman" w:cs="Arial"/>
                <w:bCs/>
                <w:iCs/>
                <w:sz w:val="20"/>
                <w:szCs w:val="20"/>
              </w:rPr>
              <w:t>952</w:t>
            </w:r>
          </w:p>
        </w:tc>
      </w:tr>
      <w:tr w:rsidR="00985E10" w:rsidRPr="009702B0" w14:paraId="3222FB30" w14:textId="77777777" w:rsidTr="006B318F">
        <w:trPr>
          <w:cantSplit/>
          <w:trHeight w:hRule="exact" w:val="284"/>
          <w:jc w:val="center"/>
        </w:trPr>
        <w:tc>
          <w:tcPr>
            <w:tcW w:w="3708" w:type="dxa"/>
            <w:vAlign w:val="bottom"/>
          </w:tcPr>
          <w:p w14:paraId="04671F78" w14:textId="77777777" w:rsidR="00985E10" w:rsidRPr="009702B0" w:rsidRDefault="00985E10" w:rsidP="00985E10">
            <w:pPr>
              <w:tabs>
                <w:tab w:val="right" w:pos="1202"/>
              </w:tabs>
              <w:spacing w:after="0" w:line="240" w:lineRule="auto"/>
              <w:outlineLvl w:val="0"/>
              <w:rPr>
                <w:rFonts w:eastAsia="Times New Roman" w:cs="Arial"/>
                <w:sz w:val="20"/>
                <w:szCs w:val="20"/>
              </w:rPr>
            </w:pPr>
            <w:r w:rsidRPr="009702B0">
              <w:rPr>
                <w:rFonts w:eastAsia="Times New Roman" w:cs="Arial"/>
                <w:sz w:val="20"/>
                <w:szCs w:val="20"/>
              </w:rPr>
              <w:t>State-owned companies</w:t>
            </w:r>
          </w:p>
        </w:tc>
        <w:tc>
          <w:tcPr>
            <w:tcW w:w="1394" w:type="dxa"/>
            <w:tcBorders>
              <w:top w:val="nil"/>
              <w:left w:val="nil"/>
              <w:right w:val="nil"/>
            </w:tcBorders>
            <w:shd w:val="clear" w:color="auto" w:fill="auto"/>
            <w:vAlign w:val="bottom"/>
          </w:tcPr>
          <w:p w14:paraId="032EF538" w14:textId="5CCB9906" w:rsidR="00985E10" w:rsidRPr="006B318F" w:rsidRDefault="00985E10" w:rsidP="00985E10">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47,676</w:t>
            </w:r>
          </w:p>
        </w:tc>
        <w:tc>
          <w:tcPr>
            <w:tcW w:w="1395" w:type="dxa"/>
            <w:tcBorders>
              <w:top w:val="nil"/>
              <w:left w:val="nil"/>
              <w:right w:val="nil"/>
            </w:tcBorders>
            <w:shd w:val="clear" w:color="auto" w:fill="auto"/>
            <w:vAlign w:val="bottom"/>
          </w:tcPr>
          <w:p w14:paraId="3B8228C8" w14:textId="09BA6B80" w:rsidR="00985E10" w:rsidRPr="006B318F" w:rsidRDefault="00985E10" w:rsidP="00985E10">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3,765</w:t>
            </w:r>
          </w:p>
        </w:tc>
        <w:tc>
          <w:tcPr>
            <w:tcW w:w="1394" w:type="dxa"/>
            <w:tcBorders>
              <w:top w:val="nil"/>
              <w:left w:val="nil"/>
              <w:right w:val="nil"/>
            </w:tcBorders>
            <w:shd w:val="clear" w:color="auto" w:fill="auto"/>
            <w:vAlign w:val="bottom"/>
          </w:tcPr>
          <w:p w14:paraId="0B63466C" w14:textId="45C9C987" w:rsidR="00985E10" w:rsidRPr="006B318F" w:rsidRDefault="00985E10" w:rsidP="00985E10">
            <w:pPr>
              <w:tabs>
                <w:tab w:val="right" w:pos="1202"/>
              </w:tabs>
              <w:spacing w:after="0" w:line="240" w:lineRule="auto"/>
              <w:jc w:val="right"/>
              <w:outlineLvl w:val="0"/>
              <w:rPr>
                <w:rFonts w:cs="Arial"/>
                <w:sz w:val="20"/>
                <w:szCs w:val="20"/>
              </w:rPr>
            </w:pPr>
            <w:r w:rsidRPr="005F1FBF">
              <w:rPr>
                <w:rFonts w:eastAsia="Times New Roman" w:cs="Arial"/>
                <w:bCs/>
                <w:iCs/>
                <w:sz w:val="20"/>
                <w:szCs w:val="20"/>
              </w:rPr>
              <w:t>38</w:t>
            </w:r>
            <w:r>
              <w:rPr>
                <w:rFonts w:eastAsia="Times New Roman" w:cs="Arial"/>
                <w:bCs/>
                <w:iCs/>
                <w:sz w:val="20"/>
                <w:szCs w:val="20"/>
              </w:rPr>
              <w:t>,</w:t>
            </w:r>
            <w:r w:rsidRPr="005F1FBF">
              <w:rPr>
                <w:rFonts w:eastAsia="Times New Roman" w:cs="Arial"/>
                <w:bCs/>
                <w:iCs/>
                <w:sz w:val="20"/>
                <w:szCs w:val="20"/>
              </w:rPr>
              <w:t>069</w:t>
            </w:r>
          </w:p>
        </w:tc>
        <w:tc>
          <w:tcPr>
            <w:tcW w:w="1323" w:type="dxa"/>
            <w:tcBorders>
              <w:top w:val="nil"/>
              <w:left w:val="nil"/>
            </w:tcBorders>
            <w:shd w:val="clear" w:color="auto" w:fill="auto"/>
            <w:vAlign w:val="bottom"/>
          </w:tcPr>
          <w:p w14:paraId="7A914578" w14:textId="68039412" w:rsidR="00985E10" w:rsidRPr="006B318F" w:rsidRDefault="00985E10" w:rsidP="00985E10">
            <w:pPr>
              <w:tabs>
                <w:tab w:val="right" w:pos="1202"/>
              </w:tabs>
              <w:spacing w:after="0" w:line="240" w:lineRule="auto"/>
              <w:jc w:val="right"/>
              <w:outlineLvl w:val="0"/>
              <w:rPr>
                <w:rFonts w:cs="Arial"/>
                <w:sz w:val="20"/>
                <w:szCs w:val="20"/>
              </w:rPr>
            </w:pPr>
            <w:r w:rsidRPr="005F1FBF">
              <w:rPr>
                <w:rFonts w:eastAsia="Times New Roman" w:cs="Arial"/>
                <w:bCs/>
                <w:iCs/>
                <w:sz w:val="20"/>
                <w:szCs w:val="20"/>
              </w:rPr>
              <w:t>9</w:t>
            </w:r>
            <w:r>
              <w:rPr>
                <w:rFonts w:eastAsia="Times New Roman" w:cs="Arial"/>
                <w:bCs/>
                <w:iCs/>
                <w:sz w:val="20"/>
                <w:szCs w:val="20"/>
              </w:rPr>
              <w:t>,</w:t>
            </w:r>
            <w:r w:rsidRPr="005F1FBF">
              <w:rPr>
                <w:rFonts w:eastAsia="Times New Roman" w:cs="Arial"/>
                <w:bCs/>
                <w:iCs/>
                <w:sz w:val="20"/>
                <w:szCs w:val="20"/>
              </w:rPr>
              <w:t>877</w:t>
            </w:r>
          </w:p>
        </w:tc>
      </w:tr>
      <w:tr w:rsidR="00985E10" w:rsidRPr="009702B0" w14:paraId="0405A04F" w14:textId="77777777" w:rsidTr="006B318F">
        <w:trPr>
          <w:cantSplit/>
          <w:trHeight w:hRule="exact" w:val="284"/>
          <w:jc w:val="center"/>
        </w:trPr>
        <w:tc>
          <w:tcPr>
            <w:tcW w:w="3708" w:type="dxa"/>
            <w:vAlign w:val="bottom"/>
          </w:tcPr>
          <w:p w14:paraId="030B3E2D" w14:textId="77777777" w:rsidR="00985E10" w:rsidRPr="009702B0" w:rsidRDefault="00985E10" w:rsidP="00985E10">
            <w:pPr>
              <w:tabs>
                <w:tab w:val="right" w:pos="1202"/>
              </w:tabs>
              <w:spacing w:after="0" w:line="240" w:lineRule="auto"/>
              <w:outlineLvl w:val="0"/>
              <w:rPr>
                <w:rFonts w:eastAsia="Times New Roman" w:cs="Arial"/>
                <w:bCs/>
                <w:sz w:val="20"/>
                <w:szCs w:val="20"/>
              </w:rPr>
            </w:pPr>
            <w:r w:rsidRPr="009702B0">
              <w:rPr>
                <w:rFonts w:eastAsia="Times New Roman" w:cs="Arial"/>
                <w:sz w:val="20"/>
                <w:szCs w:val="20"/>
              </w:rPr>
              <w:t>Associates</w:t>
            </w:r>
          </w:p>
        </w:tc>
        <w:tc>
          <w:tcPr>
            <w:tcW w:w="1394" w:type="dxa"/>
            <w:tcBorders>
              <w:top w:val="nil"/>
              <w:left w:val="nil"/>
              <w:bottom w:val="nil"/>
              <w:right w:val="nil"/>
            </w:tcBorders>
            <w:shd w:val="clear" w:color="000000" w:fill="auto"/>
            <w:vAlign w:val="bottom"/>
          </w:tcPr>
          <w:p w14:paraId="615D00BD" w14:textId="6C5456BF" w:rsidR="00985E10" w:rsidRPr="006B318F" w:rsidRDefault="00985E10" w:rsidP="00985E10">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3,814</w:t>
            </w:r>
          </w:p>
        </w:tc>
        <w:tc>
          <w:tcPr>
            <w:tcW w:w="1395" w:type="dxa"/>
            <w:tcBorders>
              <w:top w:val="nil"/>
              <w:left w:val="nil"/>
              <w:bottom w:val="nil"/>
              <w:right w:val="nil"/>
            </w:tcBorders>
            <w:shd w:val="clear" w:color="000000" w:fill="auto"/>
            <w:vAlign w:val="bottom"/>
          </w:tcPr>
          <w:p w14:paraId="47F23BF0" w14:textId="7A90BFEA" w:rsidR="00985E10" w:rsidRPr="006B318F" w:rsidRDefault="00985E10" w:rsidP="00985E10">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w:t>
            </w:r>
          </w:p>
        </w:tc>
        <w:tc>
          <w:tcPr>
            <w:tcW w:w="1394" w:type="dxa"/>
            <w:tcBorders>
              <w:top w:val="nil"/>
              <w:left w:val="nil"/>
              <w:bottom w:val="nil"/>
              <w:right w:val="nil"/>
            </w:tcBorders>
            <w:shd w:val="clear" w:color="000000" w:fill="auto"/>
            <w:vAlign w:val="bottom"/>
          </w:tcPr>
          <w:p w14:paraId="32F23889" w14:textId="1E1F6ED1" w:rsidR="00985E10" w:rsidRPr="006B318F" w:rsidRDefault="00985E10" w:rsidP="00985E10">
            <w:pPr>
              <w:tabs>
                <w:tab w:val="right" w:pos="1202"/>
              </w:tabs>
              <w:spacing w:after="0" w:line="240" w:lineRule="auto"/>
              <w:jc w:val="right"/>
              <w:outlineLvl w:val="0"/>
              <w:rPr>
                <w:rFonts w:cs="Arial"/>
                <w:sz w:val="20"/>
                <w:szCs w:val="20"/>
              </w:rPr>
            </w:pPr>
            <w:r w:rsidRPr="005F1FBF">
              <w:rPr>
                <w:rFonts w:eastAsia="Times New Roman" w:cs="Arial"/>
                <w:bCs/>
                <w:iCs/>
                <w:sz w:val="20"/>
                <w:szCs w:val="20"/>
              </w:rPr>
              <w:t>536</w:t>
            </w:r>
          </w:p>
        </w:tc>
        <w:tc>
          <w:tcPr>
            <w:tcW w:w="1323" w:type="dxa"/>
            <w:tcBorders>
              <w:top w:val="nil"/>
              <w:left w:val="nil"/>
              <w:bottom w:val="nil"/>
            </w:tcBorders>
            <w:shd w:val="clear" w:color="000000" w:fill="auto"/>
            <w:vAlign w:val="bottom"/>
          </w:tcPr>
          <w:p w14:paraId="116FAB27" w14:textId="36EB16AD" w:rsidR="00985E10" w:rsidRPr="006B318F" w:rsidRDefault="00985E10" w:rsidP="00985E10">
            <w:pPr>
              <w:tabs>
                <w:tab w:val="right" w:pos="1202"/>
              </w:tabs>
              <w:spacing w:after="0" w:line="240" w:lineRule="auto"/>
              <w:jc w:val="right"/>
              <w:outlineLvl w:val="0"/>
              <w:rPr>
                <w:rFonts w:cs="Arial"/>
                <w:sz w:val="20"/>
                <w:szCs w:val="20"/>
              </w:rPr>
            </w:pPr>
            <w:r>
              <w:rPr>
                <w:rFonts w:eastAsia="Times New Roman" w:cs="Arial"/>
                <w:bCs/>
                <w:iCs/>
                <w:sz w:val="20"/>
                <w:szCs w:val="20"/>
              </w:rPr>
              <w:t>-</w:t>
            </w:r>
          </w:p>
        </w:tc>
      </w:tr>
      <w:tr w:rsidR="00985E10" w:rsidRPr="009702B0" w14:paraId="75930CE9" w14:textId="77777777" w:rsidTr="006B318F">
        <w:trPr>
          <w:cantSplit/>
          <w:trHeight w:hRule="exact" w:val="284"/>
          <w:jc w:val="center"/>
        </w:trPr>
        <w:tc>
          <w:tcPr>
            <w:tcW w:w="3708" w:type="dxa"/>
            <w:vAlign w:val="bottom"/>
          </w:tcPr>
          <w:p w14:paraId="66E39F75" w14:textId="77777777" w:rsidR="00985E10" w:rsidRPr="009702B0" w:rsidRDefault="00985E10" w:rsidP="00985E10">
            <w:pPr>
              <w:tabs>
                <w:tab w:val="right" w:pos="1202"/>
              </w:tabs>
              <w:spacing w:after="0" w:line="240" w:lineRule="auto"/>
              <w:outlineLvl w:val="0"/>
              <w:rPr>
                <w:rFonts w:eastAsia="Times New Roman" w:cs="Arial"/>
                <w:bCs/>
                <w:sz w:val="20"/>
                <w:szCs w:val="20"/>
              </w:rPr>
            </w:pPr>
            <w:r w:rsidRPr="009702B0">
              <w:rPr>
                <w:rFonts w:eastAsia="Times New Roman" w:cs="Arial"/>
                <w:bCs/>
                <w:sz w:val="20"/>
                <w:szCs w:val="20"/>
              </w:rPr>
              <w:t>Other intra-group transactions</w:t>
            </w:r>
          </w:p>
        </w:tc>
        <w:tc>
          <w:tcPr>
            <w:tcW w:w="1394" w:type="dxa"/>
            <w:tcBorders>
              <w:top w:val="nil"/>
              <w:left w:val="nil"/>
              <w:right w:val="nil"/>
            </w:tcBorders>
            <w:shd w:val="clear" w:color="auto" w:fill="auto"/>
            <w:vAlign w:val="bottom"/>
          </w:tcPr>
          <w:p w14:paraId="45694483" w14:textId="73D1C103" w:rsidR="00985E10" w:rsidRPr="006B318F" w:rsidRDefault="00985E10" w:rsidP="00985E10">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w:t>
            </w:r>
          </w:p>
        </w:tc>
        <w:tc>
          <w:tcPr>
            <w:tcW w:w="1395" w:type="dxa"/>
            <w:tcBorders>
              <w:top w:val="nil"/>
              <w:left w:val="nil"/>
              <w:right w:val="nil"/>
            </w:tcBorders>
            <w:shd w:val="clear" w:color="auto" w:fill="auto"/>
            <w:vAlign w:val="bottom"/>
          </w:tcPr>
          <w:p w14:paraId="72763CD7" w14:textId="50E68BF2" w:rsidR="00985E10" w:rsidRPr="006B318F" w:rsidRDefault="00985E10" w:rsidP="00985E10">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w:t>
            </w:r>
          </w:p>
        </w:tc>
        <w:tc>
          <w:tcPr>
            <w:tcW w:w="1394" w:type="dxa"/>
            <w:tcBorders>
              <w:top w:val="nil"/>
              <w:left w:val="nil"/>
              <w:right w:val="nil"/>
            </w:tcBorders>
            <w:shd w:val="clear" w:color="auto" w:fill="auto"/>
            <w:vAlign w:val="bottom"/>
          </w:tcPr>
          <w:p w14:paraId="3D08E97C" w14:textId="3793A67F" w:rsidR="00985E10" w:rsidRPr="006B318F" w:rsidRDefault="00985E10" w:rsidP="00985E10">
            <w:pPr>
              <w:tabs>
                <w:tab w:val="right" w:pos="1202"/>
              </w:tabs>
              <w:spacing w:after="0" w:line="240" w:lineRule="auto"/>
              <w:jc w:val="right"/>
              <w:outlineLvl w:val="0"/>
              <w:rPr>
                <w:rFonts w:cs="Arial"/>
                <w:sz w:val="20"/>
                <w:szCs w:val="20"/>
              </w:rPr>
            </w:pPr>
            <w:r>
              <w:rPr>
                <w:rFonts w:eastAsia="Times New Roman" w:cs="Arial"/>
                <w:bCs/>
                <w:iCs/>
                <w:sz w:val="20"/>
                <w:szCs w:val="20"/>
              </w:rPr>
              <w:t>-</w:t>
            </w:r>
          </w:p>
        </w:tc>
        <w:tc>
          <w:tcPr>
            <w:tcW w:w="1323" w:type="dxa"/>
            <w:tcBorders>
              <w:top w:val="nil"/>
              <w:left w:val="nil"/>
            </w:tcBorders>
            <w:shd w:val="clear" w:color="auto" w:fill="auto"/>
            <w:vAlign w:val="bottom"/>
          </w:tcPr>
          <w:p w14:paraId="19F20ABF" w14:textId="366718F9" w:rsidR="00985E10" w:rsidRPr="006B318F" w:rsidRDefault="00985E10" w:rsidP="00985E10">
            <w:pPr>
              <w:tabs>
                <w:tab w:val="right" w:pos="1202"/>
              </w:tabs>
              <w:spacing w:after="0" w:line="240" w:lineRule="auto"/>
              <w:jc w:val="right"/>
              <w:outlineLvl w:val="0"/>
              <w:rPr>
                <w:rFonts w:cs="Arial"/>
                <w:sz w:val="20"/>
                <w:szCs w:val="20"/>
              </w:rPr>
            </w:pPr>
            <w:r w:rsidRPr="005F1FBF">
              <w:rPr>
                <w:rFonts w:eastAsia="Times New Roman" w:cs="Arial"/>
                <w:bCs/>
                <w:iCs/>
                <w:sz w:val="20"/>
                <w:szCs w:val="20"/>
              </w:rPr>
              <w:t>53</w:t>
            </w:r>
          </w:p>
        </w:tc>
      </w:tr>
      <w:tr w:rsidR="00985E10" w:rsidRPr="009702B0" w14:paraId="19241E90" w14:textId="77777777" w:rsidTr="006B318F">
        <w:trPr>
          <w:cantSplit/>
          <w:trHeight w:hRule="exact" w:val="284"/>
          <w:jc w:val="center"/>
        </w:trPr>
        <w:tc>
          <w:tcPr>
            <w:tcW w:w="3708" w:type="dxa"/>
            <w:vAlign w:val="bottom"/>
          </w:tcPr>
          <w:p w14:paraId="25634A72" w14:textId="77777777" w:rsidR="00985E10" w:rsidRPr="009702B0" w:rsidRDefault="00985E10" w:rsidP="00985E10">
            <w:pPr>
              <w:tabs>
                <w:tab w:val="right" w:pos="1202"/>
              </w:tabs>
              <w:spacing w:after="0" w:line="240" w:lineRule="auto"/>
              <w:outlineLvl w:val="0"/>
              <w:rPr>
                <w:rFonts w:eastAsia="Times New Roman" w:cs="Arial"/>
                <w:bCs/>
                <w:sz w:val="20"/>
                <w:szCs w:val="20"/>
              </w:rPr>
            </w:pPr>
            <w:r w:rsidRPr="009702B0">
              <w:rPr>
                <w:rFonts w:eastAsia="Times New Roman" w:cs="Arial"/>
                <w:bCs/>
                <w:sz w:val="20"/>
                <w:szCs w:val="20"/>
              </w:rPr>
              <w:t>Key management personnel</w:t>
            </w:r>
          </w:p>
        </w:tc>
        <w:tc>
          <w:tcPr>
            <w:tcW w:w="1394" w:type="dxa"/>
            <w:tcBorders>
              <w:top w:val="nil"/>
              <w:left w:val="nil"/>
              <w:bottom w:val="single" w:sz="4" w:space="0" w:color="auto"/>
              <w:right w:val="nil"/>
            </w:tcBorders>
            <w:shd w:val="clear" w:color="auto" w:fill="auto"/>
            <w:vAlign w:val="bottom"/>
          </w:tcPr>
          <w:p w14:paraId="6D2BBE5E" w14:textId="2C35E332" w:rsidR="00985E10" w:rsidRPr="006B318F" w:rsidRDefault="00985E10" w:rsidP="00985E10">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95</w:t>
            </w:r>
          </w:p>
        </w:tc>
        <w:tc>
          <w:tcPr>
            <w:tcW w:w="1395" w:type="dxa"/>
            <w:tcBorders>
              <w:top w:val="nil"/>
              <w:left w:val="nil"/>
              <w:bottom w:val="single" w:sz="4" w:space="0" w:color="auto"/>
              <w:right w:val="nil"/>
            </w:tcBorders>
            <w:shd w:val="clear" w:color="auto" w:fill="auto"/>
            <w:vAlign w:val="bottom"/>
          </w:tcPr>
          <w:p w14:paraId="42331CE0" w14:textId="2A59CDBB" w:rsidR="00985E10" w:rsidRPr="006B318F" w:rsidRDefault="00985E10" w:rsidP="00985E10">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w:t>
            </w:r>
          </w:p>
        </w:tc>
        <w:tc>
          <w:tcPr>
            <w:tcW w:w="1394" w:type="dxa"/>
            <w:tcBorders>
              <w:top w:val="nil"/>
              <w:left w:val="nil"/>
              <w:bottom w:val="single" w:sz="4" w:space="0" w:color="auto"/>
              <w:right w:val="nil"/>
            </w:tcBorders>
            <w:shd w:val="clear" w:color="auto" w:fill="auto"/>
            <w:vAlign w:val="bottom"/>
          </w:tcPr>
          <w:p w14:paraId="3DE7999D" w14:textId="52364D3C" w:rsidR="00985E10" w:rsidRPr="006B318F" w:rsidRDefault="00985E10" w:rsidP="00985E10">
            <w:pPr>
              <w:tabs>
                <w:tab w:val="right" w:pos="1202"/>
              </w:tabs>
              <w:spacing w:after="0" w:line="240" w:lineRule="auto"/>
              <w:jc w:val="right"/>
              <w:outlineLvl w:val="0"/>
              <w:rPr>
                <w:rFonts w:cs="Arial"/>
                <w:sz w:val="20"/>
                <w:szCs w:val="20"/>
              </w:rPr>
            </w:pPr>
            <w:r w:rsidRPr="005F1FBF">
              <w:rPr>
                <w:rFonts w:eastAsia="Times New Roman" w:cs="Arial"/>
                <w:bCs/>
                <w:iCs/>
                <w:sz w:val="20"/>
                <w:szCs w:val="20"/>
              </w:rPr>
              <w:t>110</w:t>
            </w:r>
          </w:p>
        </w:tc>
        <w:tc>
          <w:tcPr>
            <w:tcW w:w="1323" w:type="dxa"/>
            <w:tcBorders>
              <w:top w:val="nil"/>
              <w:left w:val="nil"/>
              <w:bottom w:val="single" w:sz="4" w:space="0" w:color="auto"/>
            </w:tcBorders>
            <w:shd w:val="clear" w:color="000000" w:fill="auto"/>
            <w:vAlign w:val="bottom"/>
          </w:tcPr>
          <w:p w14:paraId="78FCE683" w14:textId="083DC985" w:rsidR="00985E10" w:rsidRPr="006B318F" w:rsidRDefault="00985E10" w:rsidP="00985E10">
            <w:pPr>
              <w:tabs>
                <w:tab w:val="right" w:pos="1202"/>
              </w:tabs>
              <w:spacing w:after="0" w:line="240" w:lineRule="auto"/>
              <w:jc w:val="right"/>
              <w:outlineLvl w:val="0"/>
              <w:rPr>
                <w:rFonts w:cs="Arial"/>
                <w:sz w:val="20"/>
                <w:szCs w:val="20"/>
              </w:rPr>
            </w:pPr>
            <w:r>
              <w:rPr>
                <w:rFonts w:eastAsia="Times New Roman" w:cs="Arial"/>
                <w:bCs/>
                <w:iCs/>
                <w:sz w:val="20"/>
                <w:szCs w:val="20"/>
              </w:rPr>
              <w:t>-</w:t>
            </w:r>
          </w:p>
        </w:tc>
      </w:tr>
      <w:tr w:rsidR="00985E10" w:rsidRPr="009702B0" w14:paraId="536F0231" w14:textId="77777777" w:rsidTr="006B318F">
        <w:trPr>
          <w:cantSplit/>
          <w:trHeight w:hRule="exact" w:val="284"/>
          <w:jc w:val="center"/>
        </w:trPr>
        <w:tc>
          <w:tcPr>
            <w:tcW w:w="3708" w:type="dxa"/>
            <w:vAlign w:val="bottom"/>
          </w:tcPr>
          <w:p w14:paraId="19B52E3E" w14:textId="77777777" w:rsidR="00985E10" w:rsidRPr="009702B0" w:rsidRDefault="00985E10" w:rsidP="00985E10">
            <w:pPr>
              <w:tabs>
                <w:tab w:val="right" w:pos="1202"/>
              </w:tabs>
              <w:spacing w:after="0" w:line="240" w:lineRule="auto"/>
              <w:outlineLvl w:val="0"/>
              <w:rPr>
                <w:rFonts w:eastAsia="Times New Roman" w:cs="Arial"/>
                <w:b/>
                <w:sz w:val="20"/>
                <w:szCs w:val="20"/>
              </w:rPr>
            </w:pPr>
            <w:r w:rsidRPr="009702B0">
              <w:rPr>
                <w:rFonts w:eastAsia="Times New Roman" w:cs="Arial"/>
                <w:b/>
                <w:sz w:val="20"/>
                <w:szCs w:val="20"/>
              </w:rPr>
              <w:t>Total</w:t>
            </w:r>
          </w:p>
        </w:tc>
        <w:tc>
          <w:tcPr>
            <w:tcW w:w="1394" w:type="dxa"/>
            <w:tcBorders>
              <w:top w:val="single" w:sz="4" w:space="0" w:color="auto"/>
              <w:left w:val="nil"/>
              <w:bottom w:val="single" w:sz="12" w:space="0" w:color="auto"/>
              <w:right w:val="nil"/>
            </w:tcBorders>
            <w:shd w:val="clear" w:color="auto" w:fill="auto"/>
            <w:vAlign w:val="bottom"/>
          </w:tcPr>
          <w:p w14:paraId="56BBAF47" w14:textId="4568BB2C" w:rsidR="00985E10" w:rsidRPr="006B318F" w:rsidRDefault="00985E10" w:rsidP="00985E10">
            <w:pPr>
              <w:tabs>
                <w:tab w:val="right" w:pos="1202"/>
              </w:tabs>
              <w:spacing w:after="0" w:line="240" w:lineRule="auto"/>
              <w:jc w:val="right"/>
              <w:outlineLvl w:val="0"/>
              <w:rPr>
                <w:rFonts w:eastAsia="Times New Roman" w:cs="Arial"/>
                <w:b/>
                <w:iCs/>
                <w:sz w:val="20"/>
                <w:szCs w:val="20"/>
              </w:rPr>
            </w:pPr>
            <w:r>
              <w:rPr>
                <w:rFonts w:eastAsia="Times New Roman" w:cs="Arial"/>
                <w:b/>
                <w:iCs/>
                <w:sz w:val="20"/>
                <w:szCs w:val="20"/>
              </w:rPr>
              <w:t>135,930</w:t>
            </w:r>
          </w:p>
        </w:tc>
        <w:tc>
          <w:tcPr>
            <w:tcW w:w="1395" w:type="dxa"/>
            <w:tcBorders>
              <w:top w:val="single" w:sz="4" w:space="0" w:color="auto"/>
              <w:left w:val="nil"/>
              <w:bottom w:val="single" w:sz="12" w:space="0" w:color="auto"/>
              <w:right w:val="nil"/>
            </w:tcBorders>
            <w:shd w:val="clear" w:color="auto" w:fill="auto"/>
            <w:vAlign w:val="bottom"/>
          </w:tcPr>
          <w:p w14:paraId="79401DD1" w14:textId="5DE1683D" w:rsidR="00985E10" w:rsidRPr="006B318F" w:rsidRDefault="00985E10" w:rsidP="00985E10">
            <w:pPr>
              <w:tabs>
                <w:tab w:val="right" w:pos="1202"/>
              </w:tabs>
              <w:spacing w:after="0" w:line="240" w:lineRule="auto"/>
              <w:jc w:val="right"/>
              <w:outlineLvl w:val="0"/>
              <w:rPr>
                <w:rFonts w:eastAsia="Times New Roman" w:cs="Arial"/>
                <w:b/>
                <w:iCs/>
                <w:sz w:val="20"/>
                <w:szCs w:val="20"/>
              </w:rPr>
            </w:pPr>
            <w:r>
              <w:rPr>
                <w:rFonts w:eastAsia="Times New Roman" w:cs="Arial"/>
                <w:b/>
                <w:iCs/>
                <w:sz w:val="20"/>
                <w:szCs w:val="20"/>
              </w:rPr>
              <w:t>4,873</w:t>
            </w:r>
          </w:p>
        </w:tc>
        <w:tc>
          <w:tcPr>
            <w:tcW w:w="1394" w:type="dxa"/>
            <w:tcBorders>
              <w:top w:val="single" w:sz="4" w:space="0" w:color="auto"/>
              <w:left w:val="nil"/>
              <w:bottom w:val="single" w:sz="12" w:space="0" w:color="auto"/>
              <w:right w:val="nil"/>
            </w:tcBorders>
            <w:shd w:val="clear" w:color="auto" w:fill="auto"/>
            <w:vAlign w:val="bottom"/>
          </w:tcPr>
          <w:p w14:paraId="2BC4D1C3" w14:textId="2B68E386" w:rsidR="00985E10" w:rsidRPr="006B318F" w:rsidRDefault="00985E10" w:rsidP="00985E10">
            <w:pPr>
              <w:tabs>
                <w:tab w:val="right" w:pos="1202"/>
              </w:tabs>
              <w:spacing w:after="0" w:line="240" w:lineRule="auto"/>
              <w:jc w:val="right"/>
              <w:outlineLvl w:val="0"/>
              <w:rPr>
                <w:rFonts w:cs="Arial"/>
                <w:b/>
                <w:sz w:val="20"/>
                <w:szCs w:val="20"/>
              </w:rPr>
            </w:pPr>
            <w:r w:rsidRPr="005F1FBF">
              <w:rPr>
                <w:rFonts w:eastAsia="Times New Roman" w:cs="Arial"/>
                <w:b/>
                <w:iCs/>
                <w:sz w:val="20"/>
                <w:szCs w:val="20"/>
              </w:rPr>
              <w:t>125</w:t>
            </w:r>
            <w:r>
              <w:rPr>
                <w:rFonts w:eastAsia="Times New Roman" w:cs="Arial"/>
                <w:b/>
                <w:iCs/>
                <w:sz w:val="20"/>
                <w:szCs w:val="20"/>
              </w:rPr>
              <w:t>,</w:t>
            </w:r>
            <w:r w:rsidRPr="005F1FBF">
              <w:rPr>
                <w:rFonts w:eastAsia="Times New Roman" w:cs="Arial"/>
                <w:b/>
                <w:iCs/>
                <w:sz w:val="20"/>
                <w:szCs w:val="20"/>
              </w:rPr>
              <w:t>259</w:t>
            </w:r>
          </w:p>
        </w:tc>
        <w:tc>
          <w:tcPr>
            <w:tcW w:w="1323" w:type="dxa"/>
            <w:tcBorders>
              <w:top w:val="single" w:sz="4" w:space="0" w:color="auto"/>
              <w:left w:val="nil"/>
              <w:bottom w:val="single" w:sz="12" w:space="0" w:color="auto"/>
            </w:tcBorders>
            <w:shd w:val="clear" w:color="auto" w:fill="auto"/>
            <w:vAlign w:val="bottom"/>
          </w:tcPr>
          <w:p w14:paraId="38B002FA" w14:textId="71ED4CB7" w:rsidR="00985E10" w:rsidRPr="006B318F" w:rsidRDefault="00985E10" w:rsidP="00985E10">
            <w:pPr>
              <w:tabs>
                <w:tab w:val="right" w:pos="1202"/>
              </w:tabs>
              <w:spacing w:after="0" w:line="240" w:lineRule="auto"/>
              <w:jc w:val="right"/>
              <w:outlineLvl w:val="0"/>
              <w:rPr>
                <w:rFonts w:cs="Arial"/>
                <w:b/>
                <w:sz w:val="20"/>
                <w:szCs w:val="20"/>
              </w:rPr>
            </w:pPr>
            <w:r w:rsidRPr="005F1FBF">
              <w:rPr>
                <w:rFonts w:eastAsia="Times New Roman" w:cs="Arial"/>
                <w:b/>
                <w:iCs/>
                <w:sz w:val="20"/>
                <w:szCs w:val="20"/>
              </w:rPr>
              <w:t>16</w:t>
            </w:r>
            <w:r>
              <w:rPr>
                <w:rFonts w:eastAsia="Times New Roman" w:cs="Arial"/>
                <w:b/>
                <w:iCs/>
                <w:sz w:val="20"/>
                <w:szCs w:val="20"/>
              </w:rPr>
              <w:t>,</w:t>
            </w:r>
            <w:r w:rsidRPr="005F1FBF">
              <w:rPr>
                <w:rFonts w:eastAsia="Times New Roman" w:cs="Arial"/>
                <w:b/>
                <w:iCs/>
                <w:sz w:val="20"/>
                <w:szCs w:val="20"/>
              </w:rPr>
              <w:t>110</w:t>
            </w:r>
          </w:p>
        </w:tc>
      </w:tr>
    </w:tbl>
    <w:p w14:paraId="64B3F5AE" w14:textId="77777777" w:rsidR="009702B0" w:rsidRPr="009702B0" w:rsidRDefault="009702B0" w:rsidP="009702B0">
      <w:pPr>
        <w:spacing w:after="0" w:line="240" w:lineRule="auto"/>
        <w:jc w:val="both"/>
        <w:rPr>
          <w:rFonts w:eastAsia="Times New Roman" w:cs="Arial"/>
          <w:bCs/>
          <w:sz w:val="24"/>
          <w:szCs w:val="24"/>
          <w:highlight w:val="yellow"/>
        </w:rPr>
      </w:pPr>
    </w:p>
    <w:p w14:paraId="66E4F2EB" w14:textId="77777777" w:rsidR="009702B0" w:rsidRPr="009702B0" w:rsidRDefault="009702B0" w:rsidP="009702B0">
      <w:pPr>
        <w:spacing w:after="0" w:line="240" w:lineRule="auto"/>
        <w:jc w:val="both"/>
        <w:rPr>
          <w:rFonts w:eastAsia="Times New Roman" w:cs="Arial"/>
          <w:bCs/>
          <w:sz w:val="24"/>
          <w:szCs w:val="24"/>
          <w:highlight w:val="yellow"/>
        </w:rPr>
      </w:pPr>
    </w:p>
    <w:p w14:paraId="784811FC" w14:textId="77777777" w:rsidR="009702B0" w:rsidRPr="009702B0" w:rsidRDefault="009702B0" w:rsidP="009702B0">
      <w:pPr>
        <w:spacing w:after="0" w:line="240" w:lineRule="auto"/>
        <w:jc w:val="both"/>
        <w:rPr>
          <w:rFonts w:eastAsia="Times New Roman" w:cs="Arial"/>
          <w:bCs/>
          <w:sz w:val="24"/>
          <w:szCs w:val="24"/>
          <w:highlight w:val="yellow"/>
        </w:rPr>
      </w:pPr>
    </w:p>
    <w:p w14:paraId="59B7672F" w14:textId="77777777" w:rsidR="009702B0" w:rsidRPr="009702B0" w:rsidRDefault="009702B0" w:rsidP="009702B0">
      <w:pPr>
        <w:spacing w:after="0" w:line="240" w:lineRule="auto"/>
        <w:jc w:val="both"/>
        <w:rPr>
          <w:rFonts w:eastAsia="Times New Roman" w:cs="Arial"/>
          <w:bCs/>
          <w:sz w:val="24"/>
          <w:szCs w:val="24"/>
          <w:highlight w:val="yellow"/>
        </w:rPr>
      </w:pPr>
    </w:p>
    <w:p w14:paraId="6BFE511C" w14:textId="77777777" w:rsidR="009702B0" w:rsidRPr="009702B0" w:rsidRDefault="009702B0" w:rsidP="009702B0">
      <w:pPr>
        <w:spacing w:after="0" w:line="240" w:lineRule="auto"/>
        <w:jc w:val="both"/>
        <w:rPr>
          <w:rFonts w:eastAsia="Times New Roman" w:cs="Arial"/>
          <w:bCs/>
          <w:sz w:val="24"/>
          <w:szCs w:val="24"/>
          <w:highlight w:val="yellow"/>
        </w:rPr>
      </w:pPr>
    </w:p>
    <w:p w14:paraId="167A939D" w14:textId="77777777" w:rsidR="009702B0" w:rsidRPr="009702B0" w:rsidRDefault="009702B0" w:rsidP="009702B0">
      <w:pPr>
        <w:spacing w:after="0" w:line="240" w:lineRule="auto"/>
        <w:jc w:val="both"/>
        <w:rPr>
          <w:rFonts w:eastAsia="Times New Roman" w:cs="Arial"/>
          <w:bCs/>
          <w:sz w:val="24"/>
          <w:szCs w:val="24"/>
          <w:highlight w:val="yellow"/>
        </w:rPr>
        <w:sectPr w:rsidR="009702B0" w:rsidRPr="009702B0" w:rsidSect="00947CB7">
          <w:footerReference w:type="first" r:id="rId72"/>
          <w:pgSz w:w="11906" w:h="16838" w:code="9"/>
          <w:pgMar w:top="1418" w:right="1418" w:bottom="595" w:left="1134" w:header="709" w:footer="709" w:gutter="0"/>
          <w:cols w:space="708"/>
          <w:titlePg/>
          <w:docGrid w:linePitch="360"/>
        </w:sectPr>
      </w:pPr>
    </w:p>
    <w:p w14:paraId="777DABFF" w14:textId="77777777" w:rsidR="009702B0" w:rsidRPr="009702B0" w:rsidRDefault="009702B0" w:rsidP="009702B0">
      <w:pPr>
        <w:spacing w:after="0" w:line="240" w:lineRule="auto"/>
        <w:jc w:val="both"/>
        <w:rPr>
          <w:rFonts w:eastAsia="Times New Roman" w:cs="Arial"/>
          <w:bCs/>
          <w:highlight w:val="yellow"/>
        </w:rPr>
      </w:pPr>
    </w:p>
    <w:p w14:paraId="2B3C5E28" w14:textId="77777777" w:rsidR="009702B0" w:rsidRPr="009702B0" w:rsidRDefault="009702B0" w:rsidP="009702B0">
      <w:pPr>
        <w:keepNext/>
        <w:tabs>
          <w:tab w:val="left" w:pos="567"/>
        </w:tabs>
        <w:spacing w:after="0" w:line="240" w:lineRule="auto"/>
        <w:jc w:val="both"/>
        <w:rPr>
          <w:rFonts w:eastAsia="Times New Roman" w:cs="Arial"/>
          <w:b/>
          <w:bCs/>
        </w:rPr>
      </w:pPr>
      <w:r w:rsidRPr="009702B0">
        <w:rPr>
          <w:rFonts w:eastAsia="Times New Roman" w:cs="Arial"/>
          <w:b/>
          <w:bCs/>
        </w:rPr>
        <w:t>15.</w:t>
      </w:r>
      <w:r w:rsidRPr="009702B0">
        <w:rPr>
          <w:rFonts w:eastAsia="Times New Roman" w:cs="Arial"/>
          <w:b/>
          <w:bCs/>
        </w:rPr>
        <w:tab/>
      </w:r>
      <w:r w:rsidRPr="009702B0">
        <w:rPr>
          <w:rFonts w:eastAsia="Times New Roman" w:cs="Arial"/>
          <w:b/>
        </w:rPr>
        <w:t>Related-party transactions</w:t>
      </w:r>
      <w:r w:rsidRPr="009702B0">
        <w:rPr>
          <w:rFonts w:eastAsia="Times New Roman" w:cs="Arial"/>
          <w:b/>
          <w:bCs/>
        </w:rPr>
        <w:t xml:space="preserve"> (continued)</w:t>
      </w:r>
    </w:p>
    <w:p w14:paraId="45F4FC92" w14:textId="77777777" w:rsidR="009702B0" w:rsidRPr="009702B0" w:rsidRDefault="009702B0" w:rsidP="009702B0">
      <w:pPr>
        <w:keepNext/>
        <w:spacing w:after="0" w:line="240" w:lineRule="auto"/>
        <w:jc w:val="both"/>
        <w:rPr>
          <w:rFonts w:eastAsia="Times New Roman" w:cs="Arial"/>
          <w:b/>
          <w:bCs/>
          <w:highlight w:val="yellow"/>
        </w:rPr>
      </w:pPr>
    </w:p>
    <w:p w14:paraId="628A5749" w14:textId="77777777" w:rsidR="009702B0" w:rsidRPr="009702B0" w:rsidRDefault="009702B0" w:rsidP="009702B0">
      <w:pPr>
        <w:keepNext/>
        <w:tabs>
          <w:tab w:val="left" w:pos="567"/>
        </w:tabs>
        <w:spacing w:after="0" w:line="240" w:lineRule="auto"/>
        <w:jc w:val="both"/>
        <w:rPr>
          <w:rFonts w:eastAsia="Times New Roman" w:cs="Arial"/>
          <w:bCs/>
          <w:highlight w:val="yellow"/>
        </w:rPr>
      </w:pPr>
      <w:r w:rsidRPr="009702B0">
        <w:rPr>
          <w:rFonts w:eastAsia="Times New Roman" w:cs="Arial"/>
          <w:bCs/>
        </w:rPr>
        <w:t>a)</w:t>
      </w:r>
      <w:r w:rsidRPr="009702B0">
        <w:rPr>
          <w:rFonts w:eastAsia="Times New Roman" w:cs="Arial"/>
          <w:bCs/>
        </w:rPr>
        <w:tab/>
      </w:r>
      <w:r w:rsidRPr="009702B0">
        <w:rPr>
          <w:rFonts w:eastAsia="Times New Roman" w:cs="Arial"/>
        </w:rPr>
        <w:t>Related-party transactions</w:t>
      </w:r>
      <w:r w:rsidRPr="009702B0">
        <w:rPr>
          <w:rFonts w:eastAsia="Times New Roman" w:cs="Arial"/>
          <w:bCs/>
        </w:rPr>
        <w:t xml:space="preserve"> (continued)</w:t>
      </w:r>
    </w:p>
    <w:p w14:paraId="70437B16" w14:textId="77777777" w:rsidR="009702B0" w:rsidRPr="009702B0" w:rsidRDefault="009702B0" w:rsidP="009702B0">
      <w:pPr>
        <w:keepNext/>
        <w:spacing w:after="0" w:line="240" w:lineRule="auto"/>
        <w:jc w:val="both"/>
        <w:rPr>
          <w:rFonts w:eastAsia="Times New Roman" w:cs="Arial"/>
          <w:bCs/>
          <w:highlight w:val="yellow"/>
        </w:rPr>
      </w:pPr>
    </w:p>
    <w:p w14:paraId="67D5E696" w14:textId="77777777" w:rsidR="009702B0" w:rsidRPr="009702B0" w:rsidRDefault="009702B0" w:rsidP="009702B0">
      <w:pPr>
        <w:tabs>
          <w:tab w:val="left" w:pos="426"/>
        </w:tabs>
        <w:spacing w:after="0" w:line="240" w:lineRule="auto"/>
        <w:jc w:val="both"/>
        <w:rPr>
          <w:rFonts w:eastAsia="Times New Roman" w:cs="Arial"/>
          <w:sz w:val="24"/>
          <w:szCs w:val="24"/>
        </w:rPr>
      </w:pPr>
    </w:p>
    <w:tbl>
      <w:tblPr>
        <w:tblW w:w="4886" w:type="pct"/>
        <w:jc w:val="center"/>
        <w:tblLayout w:type="fixed"/>
        <w:tblCellMar>
          <w:left w:w="113" w:type="dxa"/>
          <w:right w:w="85" w:type="dxa"/>
        </w:tblCellMar>
        <w:tblLook w:val="00A0" w:firstRow="1" w:lastRow="0" w:firstColumn="1" w:lastColumn="0" w:noHBand="0" w:noVBand="0"/>
      </w:tblPr>
      <w:tblGrid>
        <w:gridCol w:w="3733"/>
        <w:gridCol w:w="1357"/>
        <w:gridCol w:w="16"/>
        <w:gridCol w:w="1342"/>
        <w:gridCol w:w="1340"/>
        <w:gridCol w:w="6"/>
        <w:gridCol w:w="1347"/>
      </w:tblGrid>
      <w:tr w:rsidR="009702B0" w:rsidRPr="009702B0" w14:paraId="4D80C5A7" w14:textId="77777777" w:rsidTr="009702B0">
        <w:trPr>
          <w:trHeight w:val="19"/>
          <w:jc w:val="center"/>
        </w:trPr>
        <w:tc>
          <w:tcPr>
            <w:tcW w:w="3733" w:type="dxa"/>
            <w:vAlign w:val="bottom"/>
          </w:tcPr>
          <w:p w14:paraId="13FC0267" w14:textId="77777777" w:rsidR="009702B0" w:rsidRPr="009702B0" w:rsidRDefault="009702B0" w:rsidP="009702B0">
            <w:pPr>
              <w:tabs>
                <w:tab w:val="right" w:pos="1202"/>
              </w:tabs>
              <w:spacing w:after="0" w:line="240" w:lineRule="auto"/>
              <w:outlineLvl w:val="0"/>
              <w:rPr>
                <w:rFonts w:eastAsia="Times New Roman" w:cs="Arial"/>
                <w:sz w:val="20"/>
                <w:szCs w:val="20"/>
              </w:rPr>
            </w:pPr>
            <w:r w:rsidRPr="009702B0">
              <w:rPr>
                <w:rFonts w:eastAsia="Times New Roman" w:cs="Arial"/>
                <w:b/>
                <w:sz w:val="20"/>
                <w:szCs w:val="20"/>
              </w:rPr>
              <w:t>Bank</w:t>
            </w:r>
          </w:p>
        </w:tc>
        <w:tc>
          <w:tcPr>
            <w:tcW w:w="1357" w:type="dxa"/>
            <w:vAlign w:val="bottom"/>
          </w:tcPr>
          <w:p w14:paraId="45F4F133" w14:textId="77777777"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Exposure</w:t>
            </w:r>
          </w:p>
        </w:tc>
        <w:tc>
          <w:tcPr>
            <w:tcW w:w="1358" w:type="dxa"/>
            <w:gridSpan w:val="2"/>
            <w:vAlign w:val="bottom"/>
          </w:tcPr>
          <w:p w14:paraId="60D60BD0" w14:textId="77777777"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Liabilities</w:t>
            </w:r>
          </w:p>
        </w:tc>
        <w:tc>
          <w:tcPr>
            <w:tcW w:w="1346" w:type="dxa"/>
            <w:gridSpan w:val="2"/>
            <w:vAlign w:val="bottom"/>
          </w:tcPr>
          <w:p w14:paraId="0E90260C" w14:textId="77777777"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Exposure</w:t>
            </w:r>
          </w:p>
        </w:tc>
        <w:tc>
          <w:tcPr>
            <w:tcW w:w="1347" w:type="dxa"/>
            <w:vAlign w:val="bottom"/>
          </w:tcPr>
          <w:p w14:paraId="4B105B06" w14:textId="77777777"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Liabilities</w:t>
            </w:r>
          </w:p>
        </w:tc>
      </w:tr>
      <w:tr w:rsidR="00D0783E" w:rsidRPr="009702B0" w14:paraId="4458E651" w14:textId="77777777" w:rsidTr="009702B0">
        <w:trPr>
          <w:trHeight w:val="323"/>
          <w:jc w:val="center"/>
        </w:trPr>
        <w:tc>
          <w:tcPr>
            <w:tcW w:w="3733" w:type="dxa"/>
            <w:vAlign w:val="bottom"/>
          </w:tcPr>
          <w:p w14:paraId="602B74A7" w14:textId="77777777" w:rsidR="00D0783E" w:rsidRPr="009702B0" w:rsidRDefault="00D0783E" w:rsidP="00D0783E">
            <w:pPr>
              <w:tabs>
                <w:tab w:val="right" w:pos="1202"/>
              </w:tabs>
              <w:spacing w:after="0" w:line="240" w:lineRule="auto"/>
              <w:outlineLvl w:val="0"/>
              <w:rPr>
                <w:rFonts w:eastAsia="Times New Roman" w:cs="Arial"/>
                <w:sz w:val="20"/>
                <w:szCs w:val="20"/>
              </w:rPr>
            </w:pPr>
          </w:p>
        </w:tc>
        <w:tc>
          <w:tcPr>
            <w:tcW w:w="1373" w:type="dxa"/>
            <w:gridSpan w:val="2"/>
            <w:vAlign w:val="bottom"/>
          </w:tcPr>
          <w:p w14:paraId="7E271477" w14:textId="37A4FBCC" w:rsidR="00D0783E" w:rsidRPr="009702B0" w:rsidRDefault="009A674B" w:rsidP="00D0783E">
            <w:pPr>
              <w:tabs>
                <w:tab w:val="right" w:pos="1202"/>
              </w:tabs>
              <w:spacing w:after="0" w:line="240" w:lineRule="auto"/>
              <w:jc w:val="right"/>
              <w:outlineLvl w:val="0"/>
              <w:rPr>
                <w:rFonts w:eastAsia="Times New Roman" w:cs="Arial"/>
                <w:b/>
                <w:bCs/>
                <w:iCs/>
                <w:sz w:val="20"/>
                <w:szCs w:val="20"/>
              </w:rPr>
            </w:pPr>
            <w:r>
              <w:rPr>
                <w:rFonts w:eastAsia="Times New Roman" w:cs="Arial"/>
                <w:b/>
                <w:bCs/>
                <w:sz w:val="20"/>
                <w:szCs w:val="20"/>
              </w:rPr>
              <w:t>Sep</w:t>
            </w:r>
            <w:r w:rsidRPr="00E21C30">
              <w:rPr>
                <w:rFonts w:eastAsia="Times New Roman" w:cs="Arial"/>
                <w:b/>
                <w:bCs/>
                <w:sz w:val="20"/>
                <w:szCs w:val="20"/>
              </w:rPr>
              <w:t xml:space="preserve"> </w:t>
            </w:r>
            <w:r w:rsidR="00E21C30" w:rsidRPr="00E21C30">
              <w:rPr>
                <w:rFonts w:eastAsia="Times New Roman" w:cs="Arial"/>
                <w:b/>
                <w:bCs/>
                <w:sz w:val="20"/>
                <w:szCs w:val="20"/>
              </w:rPr>
              <w:t>30</w:t>
            </w:r>
            <w:r w:rsidR="00D0783E">
              <w:rPr>
                <w:rFonts w:eastAsia="Times New Roman" w:cs="Arial"/>
                <w:b/>
                <w:bCs/>
                <w:sz w:val="20"/>
                <w:szCs w:val="20"/>
              </w:rPr>
              <w:t>, 2017</w:t>
            </w:r>
          </w:p>
        </w:tc>
        <w:tc>
          <w:tcPr>
            <w:tcW w:w="1342" w:type="dxa"/>
            <w:vAlign w:val="bottom"/>
          </w:tcPr>
          <w:p w14:paraId="3C49055A" w14:textId="4F5C8990" w:rsidR="00D0783E" w:rsidRPr="009702B0" w:rsidRDefault="009A674B" w:rsidP="00D0783E">
            <w:pPr>
              <w:tabs>
                <w:tab w:val="right" w:pos="1202"/>
              </w:tabs>
              <w:spacing w:after="0" w:line="240" w:lineRule="auto"/>
              <w:jc w:val="right"/>
              <w:outlineLvl w:val="0"/>
              <w:rPr>
                <w:rFonts w:eastAsia="Times New Roman" w:cs="Arial"/>
                <w:b/>
                <w:bCs/>
                <w:iCs/>
                <w:sz w:val="20"/>
                <w:szCs w:val="20"/>
              </w:rPr>
            </w:pPr>
            <w:r>
              <w:rPr>
                <w:rFonts w:eastAsia="Times New Roman" w:cs="Arial"/>
                <w:b/>
                <w:bCs/>
                <w:sz w:val="20"/>
                <w:szCs w:val="20"/>
              </w:rPr>
              <w:t>Sep</w:t>
            </w:r>
            <w:r w:rsidRPr="00E21C30">
              <w:rPr>
                <w:rFonts w:eastAsia="Times New Roman" w:cs="Arial"/>
                <w:b/>
                <w:bCs/>
                <w:sz w:val="20"/>
                <w:szCs w:val="20"/>
              </w:rPr>
              <w:t xml:space="preserve"> </w:t>
            </w:r>
            <w:r w:rsidR="00E21C30" w:rsidRPr="00E21C30">
              <w:rPr>
                <w:rFonts w:eastAsia="Times New Roman" w:cs="Arial"/>
                <w:b/>
                <w:bCs/>
                <w:sz w:val="20"/>
                <w:szCs w:val="20"/>
              </w:rPr>
              <w:t>30</w:t>
            </w:r>
            <w:r w:rsidR="00D0783E" w:rsidRPr="00D0783E">
              <w:rPr>
                <w:rFonts w:eastAsia="Times New Roman" w:cs="Arial"/>
                <w:b/>
                <w:bCs/>
                <w:sz w:val="20"/>
                <w:szCs w:val="20"/>
              </w:rPr>
              <w:t>, 2017</w:t>
            </w:r>
          </w:p>
        </w:tc>
        <w:tc>
          <w:tcPr>
            <w:tcW w:w="1340" w:type="dxa"/>
            <w:vAlign w:val="bottom"/>
          </w:tcPr>
          <w:p w14:paraId="585F2BBB" w14:textId="77777777" w:rsidR="00D0783E" w:rsidRPr="009702B0" w:rsidRDefault="00D0783E" w:rsidP="00D0783E">
            <w:pPr>
              <w:tabs>
                <w:tab w:val="right" w:pos="1202"/>
              </w:tabs>
              <w:spacing w:after="0" w:line="240" w:lineRule="auto"/>
              <w:jc w:val="right"/>
              <w:outlineLvl w:val="0"/>
              <w:rPr>
                <w:rFonts w:eastAsia="Times New Roman" w:cs="Arial"/>
                <w:b/>
                <w:bCs/>
                <w:iCs/>
                <w:sz w:val="20"/>
                <w:szCs w:val="20"/>
              </w:rPr>
            </w:pPr>
            <w:r w:rsidRPr="009702B0">
              <w:rPr>
                <w:rFonts w:eastAsia="Times New Roman" w:cs="Arial"/>
                <w:b/>
                <w:sz w:val="20"/>
                <w:szCs w:val="20"/>
              </w:rPr>
              <w:t xml:space="preserve">Dec 31, </w:t>
            </w:r>
            <w:r w:rsidRPr="009702B0">
              <w:rPr>
                <w:rFonts w:eastAsia="Times New Roman" w:cs="Arial"/>
                <w:b/>
                <w:bCs/>
                <w:iCs/>
                <w:sz w:val="20"/>
                <w:szCs w:val="20"/>
              </w:rPr>
              <w:t>201</w:t>
            </w:r>
            <w:r>
              <w:rPr>
                <w:rFonts w:eastAsia="Times New Roman" w:cs="Arial"/>
                <w:b/>
                <w:bCs/>
                <w:iCs/>
                <w:sz w:val="20"/>
                <w:szCs w:val="20"/>
              </w:rPr>
              <w:t>6</w:t>
            </w:r>
          </w:p>
        </w:tc>
        <w:tc>
          <w:tcPr>
            <w:tcW w:w="1353" w:type="dxa"/>
            <w:gridSpan w:val="2"/>
            <w:vAlign w:val="bottom"/>
          </w:tcPr>
          <w:p w14:paraId="561D7D33" w14:textId="77777777" w:rsidR="00D0783E" w:rsidRPr="009702B0" w:rsidRDefault="00D0783E" w:rsidP="00D0783E">
            <w:pPr>
              <w:tabs>
                <w:tab w:val="right" w:pos="1202"/>
              </w:tabs>
              <w:spacing w:after="0" w:line="240" w:lineRule="auto"/>
              <w:jc w:val="right"/>
              <w:outlineLvl w:val="0"/>
              <w:rPr>
                <w:rFonts w:eastAsia="Times New Roman" w:cs="Arial"/>
                <w:b/>
                <w:bCs/>
                <w:iCs/>
                <w:sz w:val="20"/>
                <w:szCs w:val="20"/>
              </w:rPr>
            </w:pPr>
            <w:r w:rsidRPr="009702B0">
              <w:rPr>
                <w:rFonts w:eastAsia="Times New Roman" w:cs="Arial"/>
                <w:b/>
                <w:sz w:val="20"/>
                <w:szCs w:val="20"/>
              </w:rPr>
              <w:t xml:space="preserve">Dec 31, </w:t>
            </w:r>
            <w:r w:rsidRPr="009702B0">
              <w:rPr>
                <w:rFonts w:eastAsia="Times New Roman" w:cs="Arial"/>
                <w:b/>
                <w:bCs/>
                <w:iCs/>
                <w:sz w:val="20"/>
                <w:szCs w:val="20"/>
              </w:rPr>
              <w:t>201</w:t>
            </w:r>
            <w:r>
              <w:rPr>
                <w:rFonts w:eastAsia="Times New Roman" w:cs="Arial"/>
                <w:b/>
                <w:bCs/>
                <w:iCs/>
                <w:sz w:val="20"/>
                <w:szCs w:val="20"/>
              </w:rPr>
              <w:t>6</w:t>
            </w:r>
          </w:p>
        </w:tc>
      </w:tr>
      <w:tr w:rsidR="00985E10" w:rsidRPr="009702B0" w14:paraId="75317E43" w14:textId="77777777" w:rsidTr="005444AA">
        <w:trPr>
          <w:trHeight w:val="369"/>
          <w:jc w:val="center"/>
        </w:trPr>
        <w:tc>
          <w:tcPr>
            <w:tcW w:w="3733" w:type="dxa"/>
            <w:vAlign w:val="bottom"/>
          </w:tcPr>
          <w:p w14:paraId="218894A2" w14:textId="77777777" w:rsidR="00985E10" w:rsidRPr="009702B0" w:rsidRDefault="00985E10" w:rsidP="00985E10">
            <w:pPr>
              <w:tabs>
                <w:tab w:val="right" w:pos="1202"/>
              </w:tabs>
              <w:spacing w:after="0" w:line="240" w:lineRule="auto"/>
              <w:outlineLvl w:val="0"/>
              <w:rPr>
                <w:rFonts w:eastAsia="Times New Roman" w:cs="Arial"/>
                <w:sz w:val="20"/>
                <w:szCs w:val="20"/>
              </w:rPr>
            </w:pPr>
            <w:r w:rsidRPr="009702B0">
              <w:rPr>
                <w:rFonts w:eastAsia="Times New Roman" w:cs="Arial"/>
                <w:sz w:val="20"/>
                <w:szCs w:val="20"/>
              </w:rPr>
              <w:t>Owner</w:t>
            </w:r>
          </w:p>
        </w:tc>
        <w:tc>
          <w:tcPr>
            <w:tcW w:w="1373" w:type="dxa"/>
            <w:gridSpan w:val="2"/>
            <w:tcBorders>
              <w:top w:val="nil"/>
              <w:bottom w:val="nil"/>
              <w:right w:val="nil"/>
            </w:tcBorders>
            <w:shd w:val="clear" w:color="auto" w:fill="auto"/>
            <w:vAlign w:val="bottom"/>
          </w:tcPr>
          <w:p w14:paraId="0FBAD136" w14:textId="2C164BF4" w:rsidR="00985E10" w:rsidRPr="006B318F" w:rsidRDefault="00985E10" w:rsidP="006B318F">
            <w:pPr>
              <w:pStyle w:val="TT"/>
              <w:spacing w:line="280" w:lineRule="exact"/>
              <w:jc w:val="right"/>
              <w:rPr>
                <w:rFonts w:asciiTheme="minorHAnsi" w:hAnsiTheme="minorHAnsi"/>
                <w:sz w:val="20"/>
              </w:rPr>
            </w:pPr>
            <w:r>
              <w:rPr>
                <w:rFonts w:asciiTheme="minorHAnsi" w:hAnsiTheme="minorHAnsi"/>
                <w:sz w:val="20"/>
              </w:rPr>
              <w:t>3,019,212</w:t>
            </w:r>
          </w:p>
        </w:tc>
        <w:tc>
          <w:tcPr>
            <w:tcW w:w="1342" w:type="dxa"/>
            <w:tcBorders>
              <w:top w:val="nil"/>
              <w:bottom w:val="nil"/>
              <w:right w:val="nil"/>
            </w:tcBorders>
            <w:shd w:val="clear" w:color="auto" w:fill="auto"/>
            <w:vAlign w:val="bottom"/>
          </w:tcPr>
          <w:p w14:paraId="0CF8CD9A" w14:textId="6E6CA608" w:rsidR="00985E10" w:rsidRPr="006B318F" w:rsidRDefault="00985E10" w:rsidP="006B318F">
            <w:pPr>
              <w:pStyle w:val="TT"/>
              <w:spacing w:line="280" w:lineRule="exact"/>
              <w:jc w:val="right"/>
              <w:rPr>
                <w:rFonts w:asciiTheme="minorHAnsi" w:hAnsiTheme="minorHAnsi"/>
                <w:sz w:val="20"/>
              </w:rPr>
            </w:pPr>
            <w:r>
              <w:rPr>
                <w:rFonts w:asciiTheme="minorHAnsi" w:hAnsiTheme="minorHAnsi"/>
                <w:sz w:val="20"/>
              </w:rPr>
              <w:t>173,846</w:t>
            </w:r>
          </w:p>
        </w:tc>
        <w:tc>
          <w:tcPr>
            <w:tcW w:w="1340" w:type="dxa"/>
            <w:tcBorders>
              <w:top w:val="nil"/>
              <w:bottom w:val="nil"/>
              <w:right w:val="nil"/>
            </w:tcBorders>
            <w:shd w:val="clear" w:color="auto" w:fill="auto"/>
            <w:vAlign w:val="bottom"/>
          </w:tcPr>
          <w:p w14:paraId="3FF43D46" w14:textId="77777777" w:rsidR="00985E10" w:rsidRPr="002A6FA6" w:rsidRDefault="00985E10" w:rsidP="00985E10">
            <w:pPr>
              <w:pStyle w:val="TT"/>
              <w:spacing w:line="280" w:lineRule="exact"/>
              <w:jc w:val="right"/>
              <w:rPr>
                <w:rFonts w:asciiTheme="minorHAnsi" w:hAnsiTheme="minorHAnsi" w:cs="Arial"/>
                <w:bCs/>
                <w:iCs/>
                <w:sz w:val="20"/>
                <w:lang w:val="hr-HR"/>
              </w:rPr>
            </w:pPr>
            <w:r w:rsidRPr="002A6FA6">
              <w:rPr>
                <w:rFonts w:asciiTheme="minorHAnsi" w:hAnsiTheme="minorHAnsi"/>
                <w:sz w:val="20"/>
              </w:rPr>
              <w:t>3</w:t>
            </w:r>
            <w:r>
              <w:rPr>
                <w:rFonts w:asciiTheme="minorHAnsi" w:hAnsiTheme="minorHAnsi"/>
                <w:sz w:val="20"/>
              </w:rPr>
              <w:t>,</w:t>
            </w:r>
            <w:r w:rsidRPr="002A6FA6">
              <w:rPr>
                <w:rFonts w:asciiTheme="minorHAnsi" w:hAnsiTheme="minorHAnsi"/>
                <w:sz w:val="20"/>
              </w:rPr>
              <w:t>193</w:t>
            </w:r>
            <w:r>
              <w:rPr>
                <w:rFonts w:asciiTheme="minorHAnsi" w:hAnsiTheme="minorHAnsi"/>
                <w:sz w:val="20"/>
              </w:rPr>
              <w:t>,</w:t>
            </w:r>
            <w:r w:rsidRPr="002A6FA6">
              <w:rPr>
                <w:rFonts w:asciiTheme="minorHAnsi" w:hAnsiTheme="minorHAnsi"/>
                <w:sz w:val="20"/>
              </w:rPr>
              <w:t>565</w:t>
            </w:r>
          </w:p>
        </w:tc>
        <w:tc>
          <w:tcPr>
            <w:tcW w:w="1353" w:type="dxa"/>
            <w:gridSpan w:val="2"/>
            <w:tcBorders>
              <w:top w:val="nil"/>
              <w:left w:val="nil"/>
              <w:bottom w:val="nil"/>
              <w:right w:val="nil"/>
            </w:tcBorders>
            <w:shd w:val="clear" w:color="auto" w:fill="auto"/>
            <w:vAlign w:val="bottom"/>
          </w:tcPr>
          <w:p w14:paraId="17DF8657" w14:textId="77777777" w:rsidR="00985E10" w:rsidRPr="002A6FA6" w:rsidRDefault="00985E10" w:rsidP="00985E10">
            <w:pPr>
              <w:pStyle w:val="TT"/>
              <w:spacing w:line="280" w:lineRule="exact"/>
              <w:jc w:val="right"/>
              <w:rPr>
                <w:rFonts w:asciiTheme="minorHAnsi" w:hAnsiTheme="minorHAnsi" w:cs="Arial"/>
                <w:bCs/>
                <w:iCs/>
                <w:sz w:val="20"/>
                <w:lang w:val="hr-HR"/>
              </w:rPr>
            </w:pPr>
            <w:r w:rsidRPr="002A6FA6">
              <w:rPr>
                <w:rFonts w:asciiTheme="minorHAnsi" w:hAnsiTheme="minorHAnsi"/>
                <w:sz w:val="20"/>
              </w:rPr>
              <w:t>153</w:t>
            </w:r>
            <w:r>
              <w:rPr>
                <w:rFonts w:asciiTheme="minorHAnsi" w:hAnsiTheme="minorHAnsi"/>
                <w:sz w:val="20"/>
              </w:rPr>
              <w:t>,</w:t>
            </w:r>
            <w:r w:rsidRPr="002A6FA6">
              <w:rPr>
                <w:rFonts w:asciiTheme="minorHAnsi" w:hAnsiTheme="minorHAnsi"/>
                <w:sz w:val="20"/>
              </w:rPr>
              <w:t>374</w:t>
            </w:r>
          </w:p>
        </w:tc>
      </w:tr>
      <w:tr w:rsidR="00985E10" w:rsidRPr="009702B0" w14:paraId="44926393" w14:textId="77777777" w:rsidTr="005444AA">
        <w:trPr>
          <w:trHeight w:val="19"/>
          <w:jc w:val="center"/>
        </w:trPr>
        <w:tc>
          <w:tcPr>
            <w:tcW w:w="3733" w:type="dxa"/>
            <w:vAlign w:val="bottom"/>
          </w:tcPr>
          <w:p w14:paraId="06C5B532" w14:textId="77777777" w:rsidR="00985E10" w:rsidRPr="009702B0" w:rsidRDefault="00985E10" w:rsidP="00985E10">
            <w:pPr>
              <w:tabs>
                <w:tab w:val="right" w:pos="1202"/>
              </w:tabs>
              <w:spacing w:after="0" w:line="240" w:lineRule="auto"/>
              <w:outlineLvl w:val="0"/>
              <w:rPr>
                <w:rFonts w:eastAsia="Times New Roman" w:cs="Arial"/>
                <w:sz w:val="20"/>
                <w:szCs w:val="20"/>
              </w:rPr>
            </w:pPr>
            <w:r w:rsidRPr="009702B0">
              <w:rPr>
                <w:rFonts w:eastAsia="Times New Roman" w:cs="Arial"/>
                <w:sz w:val="20"/>
                <w:szCs w:val="20"/>
              </w:rPr>
              <w:t>Government funds, executive authorities and agencies</w:t>
            </w:r>
          </w:p>
        </w:tc>
        <w:tc>
          <w:tcPr>
            <w:tcW w:w="1373" w:type="dxa"/>
            <w:gridSpan w:val="2"/>
            <w:tcBorders>
              <w:top w:val="nil"/>
              <w:bottom w:val="nil"/>
              <w:right w:val="nil"/>
            </w:tcBorders>
            <w:shd w:val="clear" w:color="auto" w:fill="auto"/>
            <w:vAlign w:val="bottom"/>
          </w:tcPr>
          <w:p w14:paraId="69C50585" w14:textId="592A6B4E" w:rsidR="00985E10" w:rsidRPr="006B318F" w:rsidRDefault="00985E10" w:rsidP="006B318F">
            <w:pPr>
              <w:pStyle w:val="TT"/>
              <w:spacing w:line="280" w:lineRule="exact"/>
              <w:jc w:val="right"/>
              <w:rPr>
                <w:rFonts w:asciiTheme="minorHAnsi" w:hAnsiTheme="minorHAnsi"/>
                <w:sz w:val="20"/>
              </w:rPr>
            </w:pPr>
            <w:r>
              <w:rPr>
                <w:rFonts w:asciiTheme="minorHAnsi" w:hAnsiTheme="minorHAnsi"/>
                <w:sz w:val="20"/>
              </w:rPr>
              <w:t>963,096</w:t>
            </w:r>
          </w:p>
        </w:tc>
        <w:tc>
          <w:tcPr>
            <w:tcW w:w="1342" w:type="dxa"/>
            <w:tcBorders>
              <w:top w:val="nil"/>
              <w:bottom w:val="nil"/>
              <w:right w:val="nil"/>
            </w:tcBorders>
            <w:shd w:val="clear" w:color="auto" w:fill="auto"/>
            <w:vAlign w:val="bottom"/>
          </w:tcPr>
          <w:p w14:paraId="4671AEA9" w14:textId="4B63667A" w:rsidR="00985E10" w:rsidRPr="006B318F" w:rsidRDefault="00985E10" w:rsidP="006B318F">
            <w:pPr>
              <w:pStyle w:val="TT"/>
              <w:spacing w:line="280" w:lineRule="exact"/>
              <w:jc w:val="right"/>
              <w:rPr>
                <w:rFonts w:asciiTheme="minorHAnsi" w:hAnsiTheme="minorHAnsi"/>
                <w:sz w:val="20"/>
              </w:rPr>
            </w:pPr>
            <w:r>
              <w:rPr>
                <w:rFonts w:asciiTheme="minorHAnsi" w:hAnsiTheme="minorHAnsi"/>
                <w:sz w:val="20"/>
              </w:rPr>
              <w:t>175,713</w:t>
            </w:r>
          </w:p>
        </w:tc>
        <w:tc>
          <w:tcPr>
            <w:tcW w:w="1340" w:type="dxa"/>
            <w:tcBorders>
              <w:top w:val="nil"/>
              <w:bottom w:val="nil"/>
              <w:right w:val="nil"/>
            </w:tcBorders>
            <w:shd w:val="clear" w:color="auto" w:fill="auto"/>
            <w:vAlign w:val="bottom"/>
          </w:tcPr>
          <w:p w14:paraId="12466017" w14:textId="77777777" w:rsidR="00985E10" w:rsidRPr="002A6FA6" w:rsidRDefault="00985E10" w:rsidP="00985E10">
            <w:pPr>
              <w:pStyle w:val="TT"/>
              <w:spacing w:line="280" w:lineRule="exact"/>
              <w:jc w:val="right"/>
              <w:rPr>
                <w:rFonts w:asciiTheme="minorHAnsi" w:hAnsiTheme="minorHAnsi" w:cs="Arial"/>
                <w:bCs/>
                <w:iCs/>
                <w:sz w:val="20"/>
                <w:lang w:val="hr-HR"/>
              </w:rPr>
            </w:pPr>
            <w:r w:rsidRPr="002A6FA6">
              <w:rPr>
                <w:rFonts w:asciiTheme="minorHAnsi" w:hAnsiTheme="minorHAnsi"/>
                <w:sz w:val="20"/>
              </w:rPr>
              <w:t>1</w:t>
            </w:r>
            <w:r>
              <w:rPr>
                <w:rFonts w:asciiTheme="minorHAnsi" w:hAnsiTheme="minorHAnsi"/>
                <w:sz w:val="20"/>
              </w:rPr>
              <w:t>,</w:t>
            </w:r>
            <w:r w:rsidRPr="002A6FA6">
              <w:rPr>
                <w:rFonts w:asciiTheme="minorHAnsi" w:hAnsiTheme="minorHAnsi"/>
                <w:sz w:val="20"/>
              </w:rPr>
              <w:t>044</w:t>
            </w:r>
            <w:r>
              <w:rPr>
                <w:rFonts w:asciiTheme="minorHAnsi" w:hAnsiTheme="minorHAnsi"/>
                <w:sz w:val="20"/>
              </w:rPr>
              <w:t>,</w:t>
            </w:r>
            <w:r w:rsidRPr="002A6FA6">
              <w:rPr>
                <w:rFonts w:asciiTheme="minorHAnsi" w:hAnsiTheme="minorHAnsi"/>
                <w:sz w:val="20"/>
              </w:rPr>
              <w:t>382</w:t>
            </w:r>
          </w:p>
        </w:tc>
        <w:tc>
          <w:tcPr>
            <w:tcW w:w="1353" w:type="dxa"/>
            <w:gridSpan w:val="2"/>
            <w:tcBorders>
              <w:top w:val="nil"/>
              <w:left w:val="nil"/>
              <w:bottom w:val="nil"/>
              <w:right w:val="nil"/>
            </w:tcBorders>
            <w:shd w:val="clear" w:color="auto" w:fill="auto"/>
            <w:vAlign w:val="bottom"/>
          </w:tcPr>
          <w:p w14:paraId="30E10BE7" w14:textId="77777777" w:rsidR="00985E10" w:rsidRPr="002A6FA6" w:rsidRDefault="00985E10" w:rsidP="00985E10">
            <w:pPr>
              <w:pStyle w:val="TT"/>
              <w:spacing w:line="280" w:lineRule="exact"/>
              <w:jc w:val="right"/>
              <w:rPr>
                <w:rFonts w:asciiTheme="minorHAnsi" w:hAnsiTheme="minorHAnsi" w:cs="Arial"/>
                <w:bCs/>
                <w:iCs/>
                <w:sz w:val="20"/>
                <w:lang w:val="hr-HR"/>
              </w:rPr>
            </w:pPr>
            <w:r w:rsidRPr="002A6FA6">
              <w:rPr>
                <w:rFonts w:asciiTheme="minorHAnsi" w:hAnsiTheme="minorHAnsi"/>
                <w:sz w:val="20"/>
              </w:rPr>
              <w:t>14</w:t>
            </w:r>
            <w:r>
              <w:rPr>
                <w:rFonts w:asciiTheme="minorHAnsi" w:hAnsiTheme="minorHAnsi"/>
                <w:sz w:val="20"/>
              </w:rPr>
              <w:t>,</w:t>
            </w:r>
            <w:r w:rsidRPr="002A6FA6">
              <w:rPr>
                <w:rFonts w:asciiTheme="minorHAnsi" w:hAnsiTheme="minorHAnsi"/>
                <w:sz w:val="20"/>
              </w:rPr>
              <w:t>079</w:t>
            </w:r>
          </w:p>
        </w:tc>
      </w:tr>
      <w:tr w:rsidR="00985E10" w:rsidRPr="009702B0" w14:paraId="0FECDD15" w14:textId="77777777" w:rsidTr="005444AA">
        <w:trPr>
          <w:trHeight w:hRule="exact" w:val="284"/>
          <w:jc w:val="center"/>
        </w:trPr>
        <w:tc>
          <w:tcPr>
            <w:tcW w:w="3733" w:type="dxa"/>
            <w:vAlign w:val="bottom"/>
          </w:tcPr>
          <w:p w14:paraId="3F02E342" w14:textId="77777777" w:rsidR="00985E10" w:rsidRPr="009702B0" w:rsidRDefault="00985E10" w:rsidP="00985E10">
            <w:pPr>
              <w:tabs>
                <w:tab w:val="right" w:pos="1202"/>
              </w:tabs>
              <w:spacing w:after="0" w:line="240" w:lineRule="auto"/>
              <w:outlineLvl w:val="0"/>
              <w:rPr>
                <w:rFonts w:eastAsia="Times New Roman" w:cs="Arial"/>
                <w:sz w:val="20"/>
                <w:szCs w:val="20"/>
              </w:rPr>
            </w:pPr>
            <w:r w:rsidRPr="009702B0">
              <w:rPr>
                <w:rFonts w:eastAsia="Times New Roman" w:cs="Arial"/>
                <w:sz w:val="20"/>
                <w:szCs w:val="20"/>
              </w:rPr>
              <w:t>State-owned companies</w:t>
            </w:r>
          </w:p>
        </w:tc>
        <w:tc>
          <w:tcPr>
            <w:tcW w:w="1373" w:type="dxa"/>
            <w:gridSpan w:val="2"/>
            <w:tcBorders>
              <w:top w:val="nil"/>
              <w:bottom w:val="nil"/>
              <w:right w:val="nil"/>
            </w:tcBorders>
            <w:shd w:val="clear" w:color="auto" w:fill="auto"/>
            <w:vAlign w:val="bottom"/>
          </w:tcPr>
          <w:p w14:paraId="6CD5212F" w14:textId="3F5F39AD" w:rsidR="00985E10" w:rsidRPr="006B318F" w:rsidRDefault="00985E10" w:rsidP="006B318F">
            <w:pPr>
              <w:pStyle w:val="TT"/>
              <w:spacing w:line="280" w:lineRule="exact"/>
              <w:jc w:val="right"/>
              <w:rPr>
                <w:rFonts w:asciiTheme="minorHAnsi" w:hAnsiTheme="minorHAnsi"/>
                <w:sz w:val="20"/>
              </w:rPr>
            </w:pPr>
            <w:r>
              <w:rPr>
                <w:rFonts w:asciiTheme="minorHAnsi" w:hAnsiTheme="minorHAnsi"/>
                <w:sz w:val="20"/>
              </w:rPr>
              <w:t>1,282,942</w:t>
            </w:r>
          </w:p>
        </w:tc>
        <w:tc>
          <w:tcPr>
            <w:tcW w:w="1342" w:type="dxa"/>
            <w:tcBorders>
              <w:top w:val="nil"/>
              <w:bottom w:val="nil"/>
              <w:right w:val="nil"/>
            </w:tcBorders>
            <w:shd w:val="clear" w:color="auto" w:fill="auto"/>
            <w:vAlign w:val="bottom"/>
          </w:tcPr>
          <w:p w14:paraId="5217F29E" w14:textId="43347624" w:rsidR="00985E10" w:rsidRPr="006B318F" w:rsidRDefault="00985E10" w:rsidP="006B318F">
            <w:pPr>
              <w:pStyle w:val="TT"/>
              <w:spacing w:line="280" w:lineRule="exact"/>
              <w:jc w:val="right"/>
              <w:rPr>
                <w:rFonts w:asciiTheme="minorHAnsi" w:hAnsiTheme="minorHAnsi"/>
                <w:sz w:val="20"/>
              </w:rPr>
            </w:pPr>
            <w:r>
              <w:rPr>
                <w:rFonts w:asciiTheme="minorHAnsi" w:hAnsiTheme="minorHAnsi"/>
                <w:sz w:val="20"/>
              </w:rPr>
              <w:t>-</w:t>
            </w:r>
          </w:p>
        </w:tc>
        <w:tc>
          <w:tcPr>
            <w:tcW w:w="1340" w:type="dxa"/>
            <w:tcBorders>
              <w:top w:val="nil"/>
              <w:bottom w:val="nil"/>
              <w:right w:val="nil"/>
            </w:tcBorders>
            <w:shd w:val="clear" w:color="auto" w:fill="auto"/>
            <w:vAlign w:val="bottom"/>
          </w:tcPr>
          <w:p w14:paraId="7BC3768E" w14:textId="77777777" w:rsidR="00985E10" w:rsidRPr="002A6FA6" w:rsidRDefault="00985E10" w:rsidP="00985E10">
            <w:pPr>
              <w:pStyle w:val="TT"/>
              <w:spacing w:line="280" w:lineRule="exact"/>
              <w:jc w:val="right"/>
              <w:rPr>
                <w:rFonts w:asciiTheme="minorHAnsi" w:hAnsiTheme="minorHAnsi" w:cs="Arial"/>
                <w:bCs/>
                <w:iCs/>
                <w:sz w:val="20"/>
                <w:lang w:val="hr-HR"/>
              </w:rPr>
            </w:pPr>
            <w:r w:rsidRPr="002A6FA6">
              <w:rPr>
                <w:rFonts w:asciiTheme="minorHAnsi" w:hAnsiTheme="minorHAnsi"/>
                <w:sz w:val="20"/>
              </w:rPr>
              <w:t>1</w:t>
            </w:r>
            <w:r>
              <w:rPr>
                <w:rFonts w:asciiTheme="minorHAnsi" w:hAnsiTheme="minorHAnsi"/>
                <w:sz w:val="20"/>
              </w:rPr>
              <w:t>,</w:t>
            </w:r>
            <w:r w:rsidRPr="002A6FA6">
              <w:rPr>
                <w:rFonts w:asciiTheme="minorHAnsi" w:hAnsiTheme="minorHAnsi"/>
                <w:sz w:val="20"/>
              </w:rPr>
              <w:t>193</w:t>
            </w:r>
            <w:r>
              <w:rPr>
                <w:rFonts w:asciiTheme="minorHAnsi" w:hAnsiTheme="minorHAnsi"/>
                <w:sz w:val="20"/>
              </w:rPr>
              <w:t>,</w:t>
            </w:r>
            <w:r w:rsidRPr="002A6FA6">
              <w:rPr>
                <w:rFonts w:asciiTheme="minorHAnsi" w:hAnsiTheme="minorHAnsi"/>
                <w:sz w:val="20"/>
              </w:rPr>
              <w:t>271</w:t>
            </w:r>
          </w:p>
        </w:tc>
        <w:tc>
          <w:tcPr>
            <w:tcW w:w="1353" w:type="dxa"/>
            <w:gridSpan w:val="2"/>
            <w:tcBorders>
              <w:top w:val="nil"/>
              <w:left w:val="nil"/>
              <w:bottom w:val="nil"/>
              <w:right w:val="nil"/>
            </w:tcBorders>
            <w:shd w:val="clear" w:color="auto" w:fill="auto"/>
            <w:vAlign w:val="bottom"/>
          </w:tcPr>
          <w:p w14:paraId="14A819A7" w14:textId="77777777" w:rsidR="00985E10" w:rsidRPr="002A6FA6" w:rsidRDefault="00985E10" w:rsidP="00985E10">
            <w:pPr>
              <w:pStyle w:val="TT"/>
              <w:spacing w:line="280" w:lineRule="exact"/>
              <w:jc w:val="right"/>
              <w:rPr>
                <w:rFonts w:asciiTheme="minorHAnsi" w:hAnsiTheme="minorHAnsi" w:cs="Arial"/>
                <w:bCs/>
                <w:iCs/>
                <w:sz w:val="20"/>
                <w:lang w:val="hr-HR"/>
              </w:rPr>
            </w:pPr>
            <w:r w:rsidRPr="002A6FA6">
              <w:rPr>
                <w:rFonts w:asciiTheme="minorHAnsi" w:hAnsiTheme="minorHAnsi"/>
                <w:sz w:val="20"/>
              </w:rPr>
              <w:t>-</w:t>
            </w:r>
          </w:p>
        </w:tc>
      </w:tr>
      <w:tr w:rsidR="00985E10" w:rsidRPr="009702B0" w14:paraId="298DEF97" w14:textId="77777777" w:rsidTr="005444AA">
        <w:trPr>
          <w:trHeight w:hRule="exact" w:val="284"/>
          <w:jc w:val="center"/>
        </w:trPr>
        <w:tc>
          <w:tcPr>
            <w:tcW w:w="3733" w:type="dxa"/>
            <w:vAlign w:val="bottom"/>
          </w:tcPr>
          <w:p w14:paraId="0CEA3810" w14:textId="77777777" w:rsidR="00985E10" w:rsidRPr="009702B0" w:rsidRDefault="00985E10" w:rsidP="00985E10">
            <w:pPr>
              <w:tabs>
                <w:tab w:val="right" w:pos="1202"/>
              </w:tabs>
              <w:spacing w:after="0" w:line="240" w:lineRule="auto"/>
              <w:outlineLvl w:val="0"/>
              <w:rPr>
                <w:rFonts w:eastAsia="Times New Roman" w:cs="Arial"/>
                <w:sz w:val="20"/>
                <w:szCs w:val="20"/>
              </w:rPr>
            </w:pPr>
            <w:r w:rsidRPr="009702B0">
              <w:rPr>
                <w:rFonts w:eastAsia="Times New Roman" w:cs="Arial"/>
                <w:sz w:val="20"/>
                <w:szCs w:val="20"/>
              </w:rPr>
              <w:t>Subsidiary companies</w:t>
            </w:r>
          </w:p>
        </w:tc>
        <w:tc>
          <w:tcPr>
            <w:tcW w:w="1373" w:type="dxa"/>
            <w:gridSpan w:val="2"/>
            <w:tcBorders>
              <w:top w:val="nil"/>
              <w:bottom w:val="nil"/>
              <w:right w:val="nil"/>
            </w:tcBorders>
            <w:shd w:val="clear" w:color="auto" w:fill="auto"/>
            <w:vAlign w:val="bottom"/>
          </w:tcPr>
          <w:p w14:paraId="10757197" w14:textId="4EA52A2E" w:rsidR="00985E10" w:rsidRPr="006B318F" w:rsidRDefault="00985E10" w:rsidP="006B318F">
            <w:pPr>
              <w:pStyle w:val="TT"/>
              <w:spacing w:line="280" w:lineRule="exact"/>
              <w:jc w:val="right"/>
              <w:rPr>
                <w:rFonts w:asciiTheme="minorHAnsi" w:hAnsiTheme="minorHAnsi"/>
                <w:sz w:val="20"/>
              </w:rPr>
            </w:pPr>
            <w:r>
              <w:rPr>
                <w:rFonts w:asciiTheme="minorHAnsi" w:hAnsiTheme="minorHAnsi"/>
                <w:sz w:val="20"/>
              </w:rPr>
              <w:t>36,124</w:t>
            </w:r>
          </w:p>
        </w:tc>
        <w:tc>
          <w:tcPr>
            <w:tcW w:w="1342" w:type="dxa"/>
            <w:tcBorders>
              <w:top w:val="nil"/>
              <w:bottom w:val="nil"/>
              <w:right w:val="nil"/>
            </w:tcBorders>
            <w:shd w:val="clear" w:color="auto" w:fill="auto"/>
            <w:vAlign w:val="bottom"/>
          </w:tcPr>
          <w:p w14:paraId="0493750B" w14:textId="314FFE27" w:rsidR="00985E10" w:rsidRPr="006B318F" w:rsidRDefault="00985E10" w:rsidP="006B318F">
            <w:pPr>
              <w:pStyle w:val="TT"/>
              <w:spacing w:line="280" w:lineRule="exact"/>
              <w:jc w:val="right"/>
              <w:rPr>
                <w:rFonts w:asciiTheme="minorHAnsi" w:hAnsiTheme="minorHAnsi"/>
                <w:sz w:val="20"/>
              </w:rPr>
            </w:pPr>
            <w:r>
              <w:rPr>
                <w:rFonts w:asciiTheme="minorHAnsi" w:hAnsiTheme="minorHAnsi"/>
                <w:sz w:val="20"/>
              </w:rPr>
              <w:t>-</w:t>
            </w:r>
          </w:p>
        </w:tc>
        <w:tc>
          <w:tcPr>
            <w:tcW w:w="1340" w:type="dxa"/>
            <w:tcBorders>
              <w:top w:val="nil"/>
              <w:bottom w:val="nil"/>
              <w:right w:val="nil"/>
            </w:tcBorders>
            <w:shd w:val="clear" w:color="auto" w:fill="auto"/>
            <w:vAlign w:val="bottom"/>
          </w:tcPr>
          <w:p w14:paraId="27FDC98A" w14:textId="77777777" w:rsidR="00985E10" w:rsidRPr="002A6FA6" w:rsidRDefault="00985E10" w:rsidP="00985E10">
            <w:pPr>
              <w:pStyle w:val="TT"/>
              <w:spacing w:line="280" w:lineRule="exact"/>
              <w:jc w:val="right"/>
              <w:rPr>
                <w:rFonts w:asciiTheme="minorHAnsi" w:hAnsiTheme="minorHAnsi" w:cs="Arial"/>
                <w:bCs/>
                <w:iCs/>
                <w:sz w:val="20"/>
                <w:lang w:val="hr-HR"/>
              </w:rPr>
            </w:pPr>
            <w:r w:rsidRPr="002A6FA6">
              <w:rPr>
                <w:rFonts w:asciiTheme="minorHAnsi" w:hAnsiTheme="minorHAnsi"/>
                <w:sz w:val="20"/>
              </w:rPr>
              <w:t>36</w:t>
            </w:r>
            <w:r>
              <w:rPr>
                <w:rFonts w:asciiTheme="minorHAnsi" w:hAnsiTheme="minorHAnsi"/>
                <w:sz w:val="20"/>
              </w:rPr>
              <w:t>,</w:t>
            </w:r>
            <w:r w:rsidRPr="002A6FA6">
              <w:rPr>
                <w:rFonts w:asciiTheme="minorHAnsi" w:hAnsiTheme="minorHAnsi"/>
                <w:sz w:val="20"/>
              </w:rPr>
              <w:t>124</w:t>
            </w:r>
          </w:p>
        </w:tc>
        <w:tc>
          <w:tcPr>
            <w:tcW w:w="1353" w:type="dxa"/>
            <w:gridSpan w:val="2"/>
            <w:tcBorders>
              <w:top w:val="nil"/>
              <w:left w:val="nil"/>
              <w:bottom w:val="nil"/>
              <w:right w:val="nil"/>
            </w:tcBorders>
            <w:shd w:val="clear" w:color="auto" w:fill="auto"/>
            <w:vAlign w:val="bottom"/>
          </w:tcPr>
          <w:p w14:paraId="4E2982DB" w14:textId="77777777" w:rsidR="00985E10" w:rsidRPr="002A6FA6" w:rsidRDefault="00985E10" w:rsidP="00985E10">
            <w:pPr>
              <w:pStyle w:val="TT"/>
              <w:spacing w:line="280" w:lineRule="exact"/>
              <w:jc w:val="right"/>
              <w:rPr>
                <w:rFonts w:asciiTheme="minorHAnsi" w:hAnsiTheme="minorHAnsi" w:cs="Arial"/>
                <w:bCs/>
                <w:iCs/>
                <w:sz w:val="20"/>
                <w:lang w:val="hr-HR"/>
              </w:rPr>
            </w:pPr>
            <w:r w:rsidRPr="002A6FA6">
              <w:rPr>
                <w:rFonts w:asciiTheme="minorHAnsi" w:hAnsiTheme="minorHAnsi"/>
                <w:sz w:val="20"/>
              </w:rPr>
              <w:t>-</w:t>
            </w:r>
          </w:p>
        </w:tc>
      </w:tr>
      <w:tr w:rsidR="00985E10" w:rsidRPr="009702B0" w14:paraId="5E156436" w14:textId="77777777" w:rsidTr="005444AA">
        <w:trPr>
          <w:trHeight w:hRule="exact" w:val="284"/>
          <w:jc w:val="center"/>
        </w:trPr>
        <w:tc>
          <w:tcPr>
            <w:tcW w:w="3733" w:type="dxa"/>
            <w:vAlign w:val="bottom"/>
          </w:tcPr>
          <w:p w14:paraId="452D3A23" w14:textId="77777777" w:rsidR="00985E10" w:rsidRPr="009702B0" w:rsidRDefault="00985E10" w:rsidP="00985E10">
            <w:pPr>
              <w:tabs>
                <w:tab w:val="right" w:pos="1202"/>
              </w:tabs>
              <w:spacing w:after="0" w:line="240" w:lineRule="auto"/>
              <w:outlineLvl w:val="0"/>
              <w:rPr>
                <w:rFonts w:eastAsia="Times New Roman" w:cs="Arial"/>
                <w:bCs/>
                <w:sz w:val="20"/>
                <w:szCs w:val="20"/>
              </w:rPr>
            </w:pPr>
            <w:r w:rsidRPr="009702B0">
              <w:rPr>
                <w:rFonts w:eastAsia="Times New Roman" w:cs="Arial"/>
                <w:sz w:val="20"/>
                <w:szCs w:val="20"/>
              </w:rPr>
              <w:t>Associates</w:t>
            </w:r>
          </w:p>
        </w:tc>
        <w:tc>
          <w:tcPr>
            <w:tcW w:w="1373" w:type="dxa"/>
            <w:gridSpan w:val="2"/>
            <w:tcBorders>
              <w:top w:val="nil"/>
              <w:right w:val="nil"/>
            </w:tcBorders>
            <w:shd w:val="clear" w:color="auto" w:fill="auto"/>
            <w:vAlign w:val="bottom"/>
          </w:tcPr>
          <w:p w14:paraId="731C3916" w14:textId="64D5F708" w:rsidR="00985E10" w:rsidRPr="006B318F" w:rsidRDefault="00985E10" w:rsidP="006B318F">
            <w:pPr>
              <w:pStyle w:val="TT"/>
              <w:spacing w:line="280" w:lineRule="exact"/>
              <w:jc w:val="right"/>
              <w:rPr>
                <w:rFonts w:asciiTheme="minorHAnsi" w:hAnsiTheme="minorHAnsi"/>
                <w:sz w:val="20"/>
              </w:rPr>
            </w:pPr>
            <w:r>
              <w:rPr>
                <w:rFonts w:asciiTheme="minorHAnsi" w:hAnsiTheme="minorHAnsi"/>
                <w:sz w:val="20"/>
              </w:rPr>
              <w:t>4</w:t>
            </w:r>
          </w:p>
        </w:tc>
        <w:tc>
          <w:tcPr>
            <w:tcW w:w="1342" w:type="dxa"/>
            <w:tcBorders>
              <w:top w:val="nil"/>
              <w:right w:val="nil"/>
            </w:tcBorders>
            <w:shd w:val="clear" w:color="auto" w:fill="auto"/>
            <w:vAlign w:val="bottom"/>
          </w:tcPr>
          <w:p w14:paraId="1CC7022C" w14:textId="7F72D813" w:rsidR="00985E10" w:rsidRPr="006B318F" w:rsidRDefault="00985E10" w:rsidP="006B318F">
            <w:pPr>
              <w:pStyle w:val="TT"/>
              <w:spacing w:line="280" w:lineRule="exact"/>
              <w:jc w:val="right"/>
              <w:rPr>
                <w:rFonts w:asciiTheme="minorHAnsi" w:hAnsiTheme="minorHAnsi"/>
                <w:sz w:val="20"/>
              </w:rPr>
            </w:pPr>
            <w:r>
              <w:rPr>
                <w:rFonts w:asciiTheme="minorHAnsi" w:hAnsiTheme="minorHAnsi"/>
                <w:sz w:val="20"/>
              </w:rPr>
              <w:t>-</w:t>
            </w:r>
          </w:p>
        </w:tc>
        <w:tc>
          <w:tcPr>
            <w:tcW w:w="1340" w:type="dxa"/>
            <w:tcBorders>
              <w:top w:val="nil"/>
              <w:bottom w:val="nil"/>
              <w:right w:val="nil"/>
            </w:tcBorders>
            <w:shd w:val="clear" w:color="auto" w:fill="auto"/>
            <w:vAlign w:val="bottom"/>
          </w:tcPr>
          <w:p w14:paraId="19AB0B28" w14:textId="77777777" w:rsidR="00985E10" w:rsidRPr="002A6FA6" w:rsidRDefault="00985E10" w:rsidP="00985E10">
            <w:pPr>
              <w:pStyle w:val="TT"/>
              <w:spacing w:line="280" w:lineRule="exact"/>
              <w:jc w:val="right"/>
              <w:rPr>
                <w:rFonts w:asciiTheme="minorHAnsi" w:hAnsiTheme="minorHAnsi" w:cs="Arial"/>
                <w:bCs/>
                <w:iCs/>
                <w:sz w:val="20"/>
                <w:lang w:val="hr-HR"/>
              </w:rPr>
            </w:pPr>
            <w:r w:rsidRPr="002A6FA6">
              <w:rPr>
                <w:rFonts w:asciiTheme="minorHAnsi" w:hAnsiTheme="minorHAnsi"/>
                <w:sz w:val="20"/>
              </w:rPr>
              <w:t>6</w:t>
            </w:r>
          </w:p>
        </w:tc>
        <w:tc>
          <w:tcPr>
            <w:tcW w:w="1353" w:type="dxa"/>
            <w:gridSpan w:val="2"/>
            <w:tcBorders>
              <w:top w:val="nil"/>
              <w:left w:val="nil"/>
              <w:bottom w:val="nil"/>
              <w:right w:val="nil"/>
            </w:tcBorders>
            <w:shd w:val="clear" w:color="auto" w:fill="auto"/>
            <w:vAlign w:val="bottom"/>
          </w:tcPr>
          <w:p w14:paraId="51D7C7B6" w14:textId="77777777" w:rsidR="00985E10" w:rsidRPr="002A6FA6" w:rsidRDefault="00985E10" w:rsidP="00985E10">
            <w:pPr>
              <w:pStyle w:val="TT"/>
              <w:spacing w:line="280" w:lineRule="exact"/>
              <w:jc w:val="right"/>
              <w:rPr>
                <w:rFonts w:asciiTheme="minorHAnsi" w:hAnsiTheme="minorHAnsi" w:cs="Arial"/>
                <w:bCs/>
                <w:iCs/>
                <w:sz w:val="20"/>
                <w:lang w:val="hr-HR"/>
              </w:rPr>
            </w:pPr>
            <w:r w:rsidRPr="002A6FA6">
              <w:rPr>
                <w:rFonts w:asciiTheme="minorHAnsi" w:hAnsiTheme="minorHAnsi"/>
                <w:sz w:val="20"/>
              </w:rPr>
              <w:t>-</w:t>
            </w:r>
          </w:p>
        </w:tc>
      </w:tr>
      <w:tr w:rsidR="00985E10" w:rsidRPr="009702B0" w14:paraId="4E1B4C79" w14:textId="77777777" w:rsidTr="005444AA">
        <w:trPr>
          <w:trHeight w:hRule="exact" w:val="284"/>
          <w:jc w:val="center"/>
        </w:trPr>
        <w:tc>
          <w:tcPr>
            <w:tcW w:w="3733" w:type="dxa"/>
            <w:vAlign w:val="bottom"/>
          </w:tcPr>
          <w:p w14:paraId="75B25650" w14:textId="77777777" w:rsidR="00985E10" w:rsidRPr="009702B0" w:rsidRDefault="00985E10" w:rsidP="00985E10">
            <w:pPr>
              <w:tabs>
                <w:tab w:val="right" w:pos="1202"/>
              </w:tabs>
              <w:spacing w:after="0" w:line="240" w:lineRule="auto"/>
              <w:outlineLvl w:val="0"/>
              <w:rPr>
                <w:rFonts w:eastAsia="Times New Roman" w:cs="Arial"/>
                <w:bCs/>
                <w:sz w:val="20"/>
                <w:szCs w:val="20"/>
              </w:rPr>
            </w:pPr>
            <w:r w:rsidRPr="009702B0">
              <w:rPr>
                <w:rFonts w:eastAsia="Times New Roman" w:cs="Arial"/>
                <w:bCs/>
                <w:sz w:val="20"/>
                <w:szCs w:val="20"/>
              </w:rPr>
              <w:t>Key management personnel</w:t>
            </w:r>
          </w:p>
        </w:tc>
        <w:tc>
          <w:tcPr>
            <w:tcW w:w="1373" w:type="dxa"/>
            <w:gridSpan w:val="2"/>
            <w:tcBorders>
              <w:top w:val="nil"/>
              <w:bottom w:val="single" w:sz="4" w:space="0" w:color="auto"/>
              <w:right w:val="nil"/>
            </w:tcBorders>
            <w:shd w:val="clear" w:color="auto" w:fill="auto"/>
            <w:vAlign w:val="bottom"/>
          </w:tcPr>
          <w:p w14:paraId="55A62E14" w14:textId="73D85FDD" w:rsidR="00985E10" w:rsidRPr="006B318F" w:rsidRDefault="00985E10" w:rsidP="006B318F">
            <w:pPr>
              <w:pStyle w:val="TT"/>
              <w:spacing w:line="280" w:lineRule="exact"/>
              <w:jc w:val="right"/>
              <w:rPr>
                <w:rFonts w:asciiTheme="minorHAnsi" w:hAnsiTheme="minorHAnsi"/>
                <w:sz w:val="20"/>
              </w:rPr>
            </w:pPr>
            <w:r>
              <w:rPr>
                <w:rFonts w:asciiTheme="minorHAnsi" w:hAnsiTheme="minorHAnsi"/>
                <w:sz w:val="20"/>
              </w:rPr>
              <w:t>3,783</w:t>
            </w:r>
          </w:p>
        </w:tc>
        <w:tc>
          <w:tcPr>
            <w:tcW w:w="1342" w:type="dxa"/>
            <w:tcBorders>
              <w:top w:val="nil"/>
              <w:bottom w:val="single" w:sz="4" w:space="0" w:color="auto"/>
              <w:right w:val="nil"/>
            </w:tcBorders>
            <w:shd w:val="clear" w:color="auto" w:fill="auto"/>
            <w:vAlign w:val="bottom"/>
          </w:tcPr>
          <w:p w14:paraId="63428836" w14:textId="4EE29101" w:rsidR="00985E10" w:rsidRPr="006B318F" w:rsidRDefault="00985E10" w:rsidP="006B318F">
            <w:pPr>
              <w:pStyle w:val="TT"/>
              <w:spacing w:line="280" w:lineRule="exact"/>
              <w:jc w:val="right"/>
              <w:rPr>
                <w:rFonts w:asciiTheme="minorHAnsi" w:hAnsiTheme="minorHAnsi"/>
                <w:sz w:val="20"/>
              </w:rPr>
            </w:pPr>
            <w:r>
              <w:rPr>
                <w:rFonts w:asciiTheme="minorHAnsi" w:hAnsiTheme="minorHAnsi"/>
                <w:sz w:val="20"/>
              </w:rPr>
              <w:t>-</w:t>
            </w:r>
          </w:p>
        </w:tc>
        <w:tc>
          <w:tcPr>
            <w:tcW w:w="1340" w:type="dxa"/>
            <w:tcBorders>
              <w:top w:val="nil"/>
              <w:bottom w:val="single" w:sz="4" w:space="0" w:color="auto"/>
              <w:right w:val="nil"/>
            </w:tcBorders>
            <w:shd w:val="clear" w:color="auto" w:fill="auto"/>
            <w:vAlign w:val="bottom"/>
          </w:tcPr>
          <w:p w14:paraId="0A705C62" w14:textId="77777777" w:rsidR="00985E10" w:rsidRPr="002A6FA6" w:rsidRDefault="00985E10" w:rsidP="00985E10">
            <w:pPr>
              <w:pStyle w:val="TT"/>
              <w:spacing w:line="280" w:lineRule="exact"/>
              <w:jc w:val="right"/>
              <w:rPr>
                <w:rFonts w:asciiTheme="minorHAnsi" w:hAnsiTheme="minorHAnsi" w:cs="Arial"/>
                <w:bCs/>
                <w:iCs/>
                <w:sz w:val="20"/>
                <w:lang w:val="hr-HR"/>
              </w:rPr>
            </w:pPr>
            <w:r w:rsidRPr="002A6FA6">
              <w:rPr>
                <w:rFonts w:asciiTheme="minorHAnsi" w:hAnsiTheme="minorHAnsi"/>
                <w:sz w:val="20"/>
              </w:rPr>
              <w:t>4</w:t>
            </w:r>
            <w:r>
              <w:rPr>
                <w:rFonts w:asciiTheme="minorHAnsi" w:hAnsiTheme="minorHAnsi"/>
                <w:sz w:val="20"/>
              </w:rPr>
              <w:t>,</w:t>
            </w:r>
            <w:r w:rsidRPr="002A6FA6">
              <w:rPr>
                <w:rFonts w:asciiTheme="minorHAnsi" w:hAnsiTheme="minorHAnsi"/>
                <w:sz w:val="20"/>
              </w:rPr>
              <w:t>000</w:t>
            </w:r>
          </w:p>
        </w:tc>
        <w:tc>
          <w:tcPr>
            <w:tcW w:w="1353" w:type="dxa"/>
            <w:gridSpan w:val="2"/>
            <w:tcBorders>
              <w:top w:val="nil"/>
              <w:left w:val="nil"/>
              <w:bottom w:val="single" w:sz="4" w:space="0" w:color="auto"/>
              <w:right w:val="nil"/>
            </w:tcBorders>
            <w:shd w:val="clear" w:color="auto" w:fill="auto"/>
            <w:vAlign w:val="bottom"/>
          </w:tcPr>
          <w:p w14:paraId="1394CA23" w14:textId="77777777" w:rsidR="00985E10" w:rsidRPr="002A6FA6" w:rsidRDefault="00985E10" w:rsidP="00985E10">
            <w:pPr>
              <w:pStyle w:val="TT"/>
              <w:spacing w:line="280" w:lineRule="exact"/>
              <w:jc w:val="right"/>
              <w:rPr>
                <w:rFonts w:asciiTheme="minorHAnsi" w:hAnsiTheme="minorHAnsi" w:cs="Arial"/>
                <w:bCs/>
                <w:iCs/>
                <w:sz w:val="20"/>
                <w:lang w:val="hr-HR"/>
              </w:rPr>
            </w:pPr>
            <w:r w:rsidRPr="002A6FA6">
              <w:rPr>
                <w:rFonts w:asciiTheme="minorHAnsi" w:hAnsiTheme="minorHAnsi"/>
                <w:sz w:val="20"/>
              </w:rPr>
              <w:t>-</w:t>
            </w:r>
          </w:p>
        </w:tc>
      </w:tr>
      <w:tr w:rsidR="00985E10" w:rsidRPr="009702B0" w14:paraId="4501C132" w14:textId="77777777" w:rsidTr="005444AA">
        <w:trPr>
          <w:trHeight w:hRule="exact" w:val="284"/>
          <w:jc w:val="center"/>
        </w:trPr>
        <w:tc>
          <w:tcPr>
            <w:tcW w:w="3733" w:type="dxa"/>
            <w:vAlign w:val="bottom"/>
          </w:tcPr>
          <w:p w14:paraId="08519ACC" w14:textId="77777777" w:rsidR="00985E10" w:rsidRPr="009702B0" w:rsidRDefault="00985E10" w:rsidP="00985E10">
            <w:pPr>
              <w:tabs>
                <w:tab w:val="right" w:pos="1202"/>
              </w:tabs>
              <w:spacing w:after="0" w:line="240" w:lineRule="auto"/>
              <w:outlineLvl w:val="0"/>
              <w:rPr>
                <w:rFonts w:eastAsia="Times New Roman" w:cs="Arial"/>
                <w:b/>
                <w:sz w:val="20"/>
                <w:szCs w:val="20"/>
              </w:rPr>
            </w:pPr>
            <w:r w:rsidRPr="009702B0">
              <w:rPr>
                <w:rFonts w:eastAsia="Times New Roman" w:cs="Arial"/>
                <w:b/>
                <w:sz w:val="20"/>
                <w:szCs w:val="20"/>
              </w:rPr>
              <w:t>Total</w:t>
            </w:r>
          </w:p>
        </w:tc>
        <w:tc>
          <w:tcPr>
            <w:tcW w:w="1373" w:type="dxa"/>
            <w:gridSpan w:val="2"/>
            <w:tcBorders>
              <w:top w:val="single" w:sz="4" w:space="0" w:color="auto"/>
              <w:bottom w:val="single" w:sz="12" w:space="0" w:color="auto"/>
              <w:right w:val="nil"/>
            </w:tcBorders>
            <w:shd w:val="clear" w:color="auto" w:fill="auto"/>
            <w:vAlign w:val="bottom"/>
          </w:tcPr>
          <w:p w14:paraId="3DAC399C" w14:textId="64E1A69B" w:rsidR="00985E10" w:rsidRPr="006B318F" w:rsidRDefault="00985E10" w:rsidP="00985E10">
            <w:pPr>
              <w:tabs>
                <w:tab w:val="right" w:pos="1202"/>
              </w:tabs>
              <w:spacing w:after="0" w:line="240" w:lineRule="auto"/>
              <w:jc w:val="right"/>
              <w:outlineLvl w:val="0"/>
              <w:rPr>
                <w:b/>
                <w:sz w:val="20"/>
                <w:szCs w:val="20"/>
              </w:rPr>
            </w:pPr>
            <w:r w:rsidRPr="006B318F">
              <w:rPr>
                <w:b/>
                <w:sz w:val="20"/>
                <w:szCs w:val="20"/>
              </w:rPr>
              <w:t>5,305,161</w:t>
            </w:r>
          </w:p>
        </w:tc>
        <w:tc>
          <w:tcPr>
            <w:tcW w:w="1342" w:type="dxa"/>
            <w:tcBorders>
              <w:top w:val="single" w:sz="4" w:space="0" w:color="auto"/>
              <w:bottom w:val="single" w:sz="12" w:space="0" w:color="auto"/>
              <w:right w:val="nil"/>
            </w:tcBorders>
            <w:shd w:val="clear" w:color="auto" w:fill="auto"/>
            <w:vAlign w:val="bottom"/>
          </w:tcPr>
          <w:p w14:paraId="132AE3AD" w14:textId="3FC180F2" w:rsidR="00985E10" w:rsidRPr="006B318F" w:rsidRDefault="00985E10" w:rsidP="00985E10">
            <w:pPr>
              <w:tabs>
                <w:tab w:val="right" w:pos="1202"/>
              </w:tabs>
              <w:spacing w:after="0" w:line="240" w:lineRule="auto"/>
              <w:jc w:val="right"/>
              <w:outlineLvl w:val="0"/>
              <w:rPr>
                <w:b/>
                <w:sz w:val="20"/>
                <w:szCs w:val="20"/>
              </w:rPr>
            </w:pPr>
            <w:r w:rsidRPr="006B318F">
              <w:rPr>
                <w:b/>
                <w:sz w:val="20"/>
                <w:szCs w:val="20"/>
              </w:rPr>
              <w:t>349,559</w:t>
            </w:r>
          </w:p>
        </w:tc>
        <w:tc>
          <w:tcPr>
            <w:tcW w:w="1340" w:type="dxa"/>
            <w:tcBorders>
              <w:top w:val="single" w:sz="4" w:space="0" w:color="auto"/>
              <w:bottom w:val="single" w:sz="12" w:space="0" w:color="auto"/>
              <w:right w:val="nil"/>
            </w:tcBorders>
            <w:shd w:val="clear" w:color="auto" w:fill="auto"/>
            <w:vAlign w:val="bottom"/>
          </w:tcPr>
          <w:p w14:paraId="6F6D1AB1" w14:textId="77777777" w:rsidR="00985E10" w:rsidRPr="002A6FA6" w:rsidRDefault="00985E10" w:rsidP="00985E10">
            <w:pPr>
              <w:tabs>
                <w:tab w:val="right" w:pos="1202"/>
              </w:tabs>
              <w:spacing w:after="0" w:line="240" w:lineRule="auto"/>
              <w:jc w:val="right"/>
              <w:outlineLvl w:val="0"/>
              <w:rPr>
                <w:rFonts w:cs="Arial"/>
                <w:b/>
                <w:iCs/>
                <w:sz w:val="20"/>
                <w:szCs w:val="20"/>
              </w:rPr>
            </w:pPr>
            <w:r w:rsidRPr="002A6FA6">
              <w:rPr>
                <w:b/>
                <w:sz w:val="20"/>
                <w:szCs w:val="20"/>
              </w:rPr>
              <w:t>5</w:t>
            </w:r>
            <w:r>
              <w:rPr>
                <w:b/>
                <w:sz w:val="20"/>
                <w:szCs w:val="20"/>
              </w:rPr>
              <w:t>,</w:t>
            </w:r>
            <w:r w:rsidRPr="002A6FA6">
              <w:rPr>
                <w:b/>
                <w:sz w:val="20"/>
                <w:szCs w:val="20"/>
              </w:rPr>
              <w:t>471</w:t>
            </w:r>
            <w:r>
              <w:rPr>
                <w:b/>
                <w:sz w:val="20"/>
                <w:szCs w:val="20"/>
              </w:rPr>
              <w:t>,</w:t>
            </w:r>
            <w:r w:rsidRPr="002A6FA6">
              <w:rPr>
                <w:b/>
                <w:sz w:val="20"/>
                <w:szCs w:val="20"/>
              </w:rPr>
              <w:t>348</w:t>
            </w:r>
          </w:p>
        </w:tc>
        <w:tc>
          <w:tcPr>
            <w:tcW w:w="1353" w:type="dxa"/>
            <w:gridSpan w:val="2"/>
            <w:tcBorders>
              <w:top w:val="single" w:sz="4" w:space="0" w:color="auto"/>
              <w:left w:val="nil"/>
              <w:bottom w:val="single" w:sz="12" w:space="0" w:color="auto"/>
              <w:right w:val="nil"/>
            </w:tcBorders>
            <w:shd w:val="clear" w:color="auto" w:fill="auto"/>
            <w:vAlign w:val="bottom"/>
          </w:tcPr>
          <w:p w14:paraId="47A5F701" w14:textId="77777777" w:rsidR="00985E10" w:rsidRPr="002A6FA6" w:rsidRDefault="00985E10" w:rsidP="00985E10">
            <w:pPr>
              <w:tabs>
                <w:tab w:val="right" w:pos="1202"/>
              </w:tabs>
              <w:spacing w:after="0" w:line="240" w:lineRule="auto"/>
              <w:jc w:val="right"/>
              <w:outlineLvl w:val="0"/>
              <w:rPr>
                <w:rFonts w:cs="Arial"/>
                <w:b/>
                <w:iCs/>
                <w:sz w:val="20"/>
                <w:szCs w:val="20"/>
              </w:rPr>
            </w:pPr>
            <w:r w:rsidRPr="002A6FA6">
              <w:rPr>
                <w:b/>
                <w:sz w:val="20"/>
                <w:szCs w:val="20"/>
              </w:rPr>
              <w:t>167</w:t>
            </w:r>
            <w:r>
              <w:rPr>
                <w:b/>
                <w:sz w:val="20"/>
                <w:szCs w:val="20"/>
              </w:rPr>
              <w:t>,</w:t>
            </w:r>
            <w:r w:rsidRPr="002A6FA6">
              <w:rPr>
                <w:b/>
                <w:sz w:val="20"/>
                <w:szCs w:val="20"/>
              </w:rPr>
              <w:t>453</w:t>
            </w:r>
          </w:p>
        </w:tc>
      </w:tr>
    </w:tbl>
    <w:p w14:paraId="6F5D8137" w14:textId="77777777" w:rsidR="009702B0" w:rsidRPr="009702B0" w:rsidRDefault="009702B0" w:rsidP="009702B0">
      <w:pPr>
        <w:spacing w:after="0" w:line="240" w:lineRule="auto"/>
        <w:jc w:val="both"/>
        <w:rPr>
          <w:rFonts w:eastAsia="Times New Roman" w:cs="Arial"/>
          <w:b/>
          <w:sz w:val="24"/>
          <w:szCs w:val="24"/>
        </w:rPr>
      </w:pPr>
    </w:p>
    <w:p w14:paraId="713303F4" w14:textId="77777777" w:rsidR="009702B0" w:rsidRPr="009702B0" w:rsidRDefault="009702B0" w:rsidP="009702B0">
      <w:pPr>
        <w:spacing w:after="0" w:line="240" w:lineRule="auto"/>
        <w:jc w:val="both"/>
        <w:rPr>
          <w:rFonts w:eastAsia="Times New Roman" w:cs="Arial"/>
          <w:b/>
          <w:sz w:val="24"/>
          <w:szCs w:val="24"/>
        </w:rPr>
      </w:pPr>
    </w:p>
    <w:tbl>
      <w:tblPr>
        <w:tblW w:w="4925" w:type="pct"/>
        <w:jc w:val="center"/>
        <w:tblLayout w:type="fixed"/>
        <w:tblCellMar>
          <w:left w:w="113" w:type="dxa"/>
          <w:right w:w="85" w:type="dxa"/>
        </w:tblCellMar>
        <w:tblLook w:val="00A0" w:firstRow="1" w:lastRow="0" w:firstColumn="1" w:lastColumn="0" w:noHBand="0" w:noVBand="0"/>
      </w:tblPr>
      <w:tblGrid>
        <w:gridCol w:w="3713"/>
        <w:gridCol w:w="1381"/>
        <w:gridCol w:w="16"/>
        <w:gridCol w:w="1365"/>
        <w:gridCol w:w="1332"/>
        <w:gridCol w:w="57"/>
        <w:gridCol w:w="1350"/>
      </w:tblGrid>
      <w:tr w:rsidR="009702B0" w:rsidRPr="009702B0" w14:paraId="17384A62" w14:textId="77777777" w:rsidTr="00BA3F2A">
        <w:trPr>
          <w:trHeight w:val="14"/>
          <w:jc w:val="center"/>
        </w:trPr>
        <w:tc>
          <w:tcPr>
            <w:tcW w:w="3713" w:type="dxa"/>
            <w:vAlign w:val="bottom"/>
          </w:tcPr>
          <w:p w14:paraId="4D2B93E9" w14:textId="77777777" w:rsidR="009702B0" w:rsidRPr="009702B0" w:rsidRDefault="009702B0" w:rsidP="009702B0">
            <w:pPr>
              <w:tabs>
                <w:tab w:val="right" w:pos="1202"/>
              </w:tabs>
              <w:spacing w:after="0" w:line="240" w:lineRule="auto"/>
              <w:outlineLvl w:val="0"/>
              <w:rPr>
                <w:rFonts w:eastAsia="Times New Roman" w:cs="Arial"/>
                <w:sz w:val="20"/>
                <w:szCs w:val="20"/>
              </w:rPr>
            </w:pPr>
            <w:r w:rsidRPr="009702B0">
              <w:rPr>
                <w:rFonts w:eastAsia="Times New Roman" w:cs="Arial"/>
                <w:b/>
                <w:sz w:val="20"/>
                <w:szCs w:val="20"/>
              </w:rPr>
              <w:t>Bank</w:t>
            </w:r>
          </w:p>
        </w:tc>
        <w:tc>
          <w:tcPr>
            <w:tcW w:w="1381" w:type="dxa"/>
            <w:vAlign w:val="bottom"/>
          </w:tcPr>
          <w:p w14:paraId="1BD63D9E" w14:textId="77777777"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Income</w:t>
            </w:r>
          </w:p>
        </w:tc>
        <w:tc>
          <w:tcPr>
            <w:tcW w:w="1381" w:type="dxa"/>
            <w:gridSpan w:val="2"/>
            <w:vAlign w:val="bottom"/>
          </w:tcPr>
          <w:p w14:paraId="0506A66D" w14:textId="77777777"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Expense</w:t>
            </w:r>
          </w:p>
        </w:tc>
        <w:tc>
          <w:tcPr>
            <w:tcW w:w="1332" w:type="dxa"/>
            <w:vAlign w:val="bottom"/>
          </w:tcPr>
          <w:p w14:paraId="6B2B56C5" w14:textId="77777777"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Income</w:t>
            </w:r>
          </w:p>
        </w:tc>
        <w:tc>
          <w:tcPr>
            <w:tcW w:w="1407" w:type="dxa"/>
            <w:gridSpan w:val="2"/>
            <w:vAlign w:val="bottom"/>
          </w:tcPr>
          <w:p w14:paraId="78ACC617" w14:textId="77777777"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Expense</w:t>
            </w:r>
          </w:p>
        </w:tc>
      </w:tr>
      <w:tr w:rsidR="0049173E" w:rsidRPr="009702B0" w14:paraId="557BBB66" w14:textId="77777777" w:rsidTr="00747C99">
        <w:trPr>
          <w:trHeight w:hRule="exact" w:val="533"/>
          <w:jc w:val="center"/>
        </w:trPr>
        <w:tc>
          <w:tcPr>
            <w:tcW w:w="3713" w:type="dxa"/>
            <w:vAlign w:val="bottom"/>
          </w:tcPr>
          <w:p w14:paraId="658A45F9" w14:textId="77777777" w:rsidR="0049173E" w:rsidRPr="009702B0" w:rsidRDefault="0049173E" w:rsidP="0049173E">
            <w:pPr>
              <w:tabs>
                <w:tab w:val="right" w:pos="1202"/>
              </w:tabs>
              <w:spacing w:after="0" w:line="240" w:lineRule="auto"/>
              <w:outlineLvl w:val="0"/>
              <w:rPr>
                <w:rFonts w:eastAsia="Times New Roman" w:cs="Arial"/>
                <w:b/>
                <w:sz w:val="20"/>
                <w:szCs w:val="20"/>
              </w:rPr>
            </w:pPr>
          </w:p>
        </w:tc>
        <w:tc>
          <w:tcPr>
            <w:tcW w:w="1397" w:type="dxa"/>
            <w:gridSpan w:val="2"/>
          </w:tcPr>
          <w:p w14:paraId="04AB6064" w14:textId="7D7C8852" w:rsidR="0049173E" w:rsidRPr="00D0783E" w:rsidRDefault="0049173E">
            <w:pPr>
              <w:tabs>
                <w:tab w:val="right" w:pos="1202"/>
              </w:tabs>
              <w:spacing w:after="0" w:line="240" w:lineRule="auto"/>
              <w:jc w:val="right"/>
              <w:outlineLvl w:val="0"/>
              <w:rPr>
                <w:rFonts w:eastAsia="Times New Roman" w:cs="Arial"/>
                <w:b/>
                <w:bCs/>
                <w:sz w:val="20"/>
                <w:szCs w:val="20"/>
              </w:rPr>
            </w:pPr>
            <w:r>
              <w:rPr>
                <w:rFonts w:eastAsia="Times New Roman" w:cs="Arial"/>
                <w:b/>
                <w:bCs/>
                <w:sz w:val="20"/>
                <w:szCs w:val="20"/>
              </w:rPr>
              <w:t xml:space="preserve"> Jan 1 to </w:t>
            </w:r>
            <w:r w:rsidR="009A674B">
              <w:rPr>
                <w:rFonts w:eastAsia="Times New Roman" w:cs="Arial"/>
                <w:b/>
                <w:bCs/>
                <w:sz w:val="20"/>
                <w:szCs w:val="20"/>
              </w:rPr>
              <w:t>Sep</w:t>
            </w:r>
            <w:r w:rsidR="009A674B" w:rsidRPr="002F6821">
              <w:rPr>
                <w:rFonts w:eastAsia="Times New Roman" w:cs="Arial"/>
                <w:b/>
                <w:bCs/>
                <w:sz w:val="20"/>
                <w:szCs w:val="20"/>
              </w:rPr>
              <w:t xml:space="preserve"> </w:t>
            </w:r>
            <w:r w:rsidRPr="002F6821">
              <w:rPr>
                <w:rFonts w:eastAsia="Times New Roman" w:cs="Arial"/>
                <w:b/>
                <w:bCs/>
                <w:sz w:val="20"/>
                <w:szCs w:val="20"/>
              </w:rPr>
              <w:t>30</w:t>
            </w:r>
            <w:r w:rsidRPr="00D0783E">
              <w:rPr>
                <w:rFonts w:eastAsia="Times New Roman" w:cs="Arial"/>
                <w:b/>
                <w:bCs/>
                <w:sz w:val="20"/>
                <w:szCs w:val="20"/>
              </w:rPr>
              <w:t>, 2017</w:t>
            </w:r>
          </w:p>
        </w:tc>
        <w:tc>
          <w:tcPr>
            <w:tcW w:w="1365" w:type="dxa"/>
          </w:tcPr>
          <w:p w14:paraId="3D9D8444" w14:textId="227899AE" w:rsidR="0049173E" w:rsidRPr="00D0783E" w:rsidRDefault="0049173E">
            <w:pPr>
              <w:tabs>
                <w:tab w:val="right" w:pos="1202"/>
              </w:tabs>
              <w:spacing w:after="0" w:line="240" w:lineRule="auto"/>
              <w:jc w:val="right"/>
              <w:outlineLvl w:val="0"/>
              <w:rPr>
                <w:rFonts w:eastAsia="Times New Roman" w:cs="Arial"/>
                <w:b/>
                <w:bCs/>
                <w:sz w:val="20"/>
                <w:szCs w:val="20"/>
              </w:rPr>
            </w:pPr>
            <w:r>
              <w:rPr>
                <w:rFonts w:eastAsia="Times New Roman" w:cs="Arial"/>
                <w:b/>
                <w:bCs/>
                <w:sz w:val="20"/>
                <w:szCs w:val="20"/>
              </w:rPr>
              <w:t>Jan 1 to</w:t>
            </w:r>
            <w:r w:rsidR="009A674B">
              <w:rPr>
                <w:rFonts w:eastAsia="Times New Roman" w:cs="Arial"/>
                <w:b/>
                <w:bCs/>
                <w:sz w:val="20"/>
                <w:szCs w:val="20"/>
              </w:rPr>
              <w:t xml:space="preserve"> Sep</w:t>
            </w:r>
            <w:r w:rsidRPr="002F6821">
              <w:rPr>
                <w:rFonts w:eastAsia="Times New Roman" w:cs="Arial"/>
                <w:b/>
                <w:bCs/>
                <w:sz w:val="20"/>
                <w:szCs w:val="20"/>
              </w:rPr>
              <w:t xml:space="preserve"> 30</w:t>
            </w:r>
            <w:r w:rsidRPr="00D0783E">
              <w:rPr>
                <w:rFonts w:eastAsia="Times New Roman" w:cs="Arial"/>
                <w:b/>
                <w:bCs/>
                <w:sz w:val="20"/>
                <w:szCs w:val="20"/>
              </w:rPr>
              <w:t>, 2017</w:t>
            </w:r>
          </w:p>
        </w:tc>
        <w:tc>
          <w:tcPr>
            <w:tcW w:w="1389" w:type="dxa"/>
            <w:gridSpan w:val="2"/>
          </w:tcPr>
          <w:p w14:paraId="5EE7F76C" w14:textId="07AC7E62" w:rsidR="0049173E" w:rsidRPr="00D0783E" w:rsidRDefault="0049173E">
            <w:pPr>
              <w:tabs>
                <w:tab w:val="right" w:pos="1202"/>
              </w:tabs>
              <w:spacing w:after="0" w:line="240" w:lineRule="auto"/>
              <w:jc w:val="right"/>
              <w:outlineLvl w:val="0"/>
              <w:rPr>
                <w:rFonts w:eastAsia="Times New Roman" w:cs="Arial"/>
                <w:b/>
                <w:bCs/>
                <w:sz w:val="20"/>
                <w:szCs w:val="20"/>
              </w:rPr>
            </w:pPr>
            <w:r>
              <w:rPr>
                <w:rFonts w:eastAsia="Times New Roman" w:cs="Arial"/>
                <w:b/>
                <w:bCs/>
                <w:sz w:val="20"/>
                <w:szCs w:val="20"/>
              </w:rPr>
              <w:t xml:space="preserve">Jan 1 to </w:t>
            </w:r>
            <w:r w:rsidR="009A674B">
              <w:rPr>
                <w:rFonts w:eastAsia="Times New Roman" w:cs="Arial"/>
                <w:b/>
                <w:bCs/>
                <w:sz w:val="20"/>
                <w:szCs w:val="20"/>
              </w:rPr>
              <w:t>Sep</w:t>
            </w:r>
            <w:r w:rsidR="009A674B" w:rsidRPr="002F6821">
              <w:rPr>
                <w:rFonts w:eastAsia="Times New Roman" w:cs="Arial"/>
                <w:b/>
                <w:bCs/>
                <w:sz w:val="20"/>
                <w:szCs w:val="20"/>
              </w:rPr>
              <w:t xml:space="preserve"> </w:t>
            </w:r>
            <w:r w:rsidRPr="002F6821">
              <w:rPr>
                <w:rFonts w:eastAsia="Times New Roman" w:cs="Arial"/>
                <w:b/>
                <w:bCs/>
                <w:sz w:val="20"/>
                <w:szCs w:val="20"/>
              </w:rPr>
              <w:t>30</w:t>
            </w:r>
            <w:r w:rsidRPr="00D0783E">
              <w:rPr>
                <w:rFonts w:eastAsia="Times New Roman" w:cs="Arial"/>
                <w:b/>
                <w:bCs/>
                <w:sz w:val="20"/>
                <w:szCs w:val="20"/>
              </w:rPr>
              <w:t>, 2016</w:t>
            </w:r>
          </w:p>
        </w:tc>
        <w:tc>
          <w:tcPr>
            <w:tcW w:w="1350" w:type="dxa"/>
          </w:tcPr>
          <w:p w14:paraId="040BD875" w14:textId="7F7924BA" w:rsidR="0049173E" w:rsidRPr="00D0783E" w:rsidRDefault="0049173E">
            <w:pPr>
              <w:tabs>
                <w:tab w:val="right" w:pos="1202"/>
              </w:tabs>
              <w:spacing w:after="0" w:line="240" w:lineRule="auto"/>
              <w:jc w:val="right"/>
              <w:outlineLvl w:val="0"/>
              <w:rPr>
                <w:rFonts w:eastAsia="Times New Roman" w:cs="Arial"/>
                <w:b/>
                <w:bCs/>
                <w:sz w:val="20"/>
                <w:szCs w:val="20"/>
              </w:rPr>
            </w:pPr>
            <w:r>
              <w:rPr>
                <w:rFonts w:eastAsia="Times New Roman" w:cs="Arial"/>
                <w:b/>
                <w:bCs/>
                <w:sz w:val="20"/>
                <w:szCs w:val="20"/>
              </w:rPr>
              <w:t xml:space="preserve">Jan 1 to </w:t>
            </w:r>
            <w:r w:rsidR="009A674B">
              <w:rPr>
                <w:rFonts w:eastAsia="Times New Roman" w:cs="Arial"/>
                <w:b/>
                <w:bCs/>
                <w:sz w:val="20"/>
                <w:szCs w:val="20"/>
              </w:rPr>
              <w:t xml:space="preserve">Sep </w:t>
            </w:r>
            <w:r w:rsidRPr="002F6821">
              <w:rPr>
                <w:rFonts w:eastAsia="Times New Roman" w:cs="Arial"/>
                <w:b/>
                <w:bCs/>
                <w:sz w:val="20"/>
                <w:szCs w:val="20"/>
              </w:rPr>
              <w:t>30</w:t>
            </w:r>
            <w:r w:rsidRPr="00D0783E">
              <w:rPr>
                <w:rFonts w:eastAsia="Times New Roman" w:cs="Arial"/>
                <w:b/>
                <w:bCs/>
                <w:sz w:val="20"/>
                <w:szCs w:val="20"/>
              </w:rPr>
              <w:t>, 2016</w:t>
            </w:r>
          </w:p>
        </w:tc>
      </w:tr>
      <w:tr w:rsidR="00985E10" w:rsidRPr="009702B0" w14:paraId="2590DB0D" w14:textId="77777777" w:rsidTr="00D0783E">
        <w:trPr>
          <w:trHeight w:val="381"/>
          <w:jc w:val="center"/>
        </w:trPr>
        <w:tc>
          <w:tcPr>
            <w:tcW w:w="3713" w:type="dxa"/>
            <w:vAlign w:val="bottom"/>
          </w:tcPr>
          <w:p w14:paraId="06D1090E" w14:textId="77777777" w:rsidR="00985E10" w:rsidRPr="009702B0" w:rsidRDefault="00985E10" w:rsidP="00985E10">
            <w:pPr>
              <w:tabs>
                <w:tab w:val="right" w:pos="1202"/>
              </w:tabs>
              <w:spacing w:after="0" w:line="240" w:lineRule="auto"/>
              <w:outlineLvl w:val="0"/>
              <w:rPr>
                <w:rFonts w:eastAsia="Times New Roman" w:cs="Arial"/>
                <w:sz w:val="20"/>
                <w:szCs w:val="20"/>
              </w:rPr>
            </w:pPr>
            <w:r w:rsidRPr="009702B0">
              <w:rPr>
                <w:rFonts w:eastAsia="Times New Roman" w:cs="Arial"/>
                <w:sz w:val="20"/>
                <w:szCs w:val="20"/>
              </w:rPr>
              <w:t>Owner</w:t>
            </w:r>
          </w:p>
        </w:tc>
        <w:tc>
          <w:tcPr>
            <w:tcW w:w="1397" w:type="dxa"/>
            <w:gridSpan w:val="2"/>
            <w:tcBorders>
              <w:top w:val="nil"/>
              <w:left w:val="nil"/>
              <w:bottom w:val="nil"/>
              <w:right w:val="nil"/>
            </w:tcBorders>
            <w:shd w:val="clear" w:color="auto" w:fill="auto"/>
            <w:vAlign w:val="bottom"/>
          </w:tcPr>
          <w:p w14:paraId="1C551F20" w14:textId="6582FD70" w:rsidR="00985E10" w:rsidRPr="009702B0" w:rsidRDefault="00985E10" w:rsidP="00985E10">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61,481</w:t>
            </w:r>
          </w:p>
        </w:tc>
        <w:tc>
          <w:tcPr>
            <w:tcW w:w="1365" w:type="dxa"/>
            <w:tcBorders>
              <w:top w:val="nil"/>
              <w:left w:val="nil"/>
              <w:bottom w:val="nil"/>
              <w:right w:val="nil"/>
            </w:tcBorders>
            <w:shd w:val="clear" w:color="auto" w:fill="auto"/>
            <w:vAlign w:val="bottom"/>
          </w:tcPr>
          <w:p w14:paraId="0897DB94" w14:textId="6D4193EB" w:rsidR="00985E10" w:rsidRPr="009702B0" w:rsidRDefault="00985E10" w:rsidP="00985E10">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496</w:t>
            </w:r>
          </w:p>
        </w:tc>
        <w:tc>
          <w:tcPr>
            <w:tcW w:w="1389" w:type="dxa"/>
            <w:gridSpan w:val="2"/>
            <w:tcBorders>
              <w:top w:val="nil"/>
              <w:left w:val="nil"/>
              <w:bottom w:val="nil"/>
              <w:right w:val="nil"/>
            </w:tcBorders>
            <w:shd w:val="clear" w:color="auto" w:fill="auto"/>
            <w:vAlign w:val="bottom"/>
          </w:tcPr>
          <w:p w14:paraId="44CF8525" w14:textId="732443AF" w:rsidR="00985E10" w:rsidRPr="00F3766F" w:rsidRDefault="00985E10" w:rsidP="00985E10">
            <w:pPr>
              <w:tabs>
                <w:tab w:val="right" w:pos="1202"/>
              </w:tabs>
              <w:spacing w:after="0" w:line="240" w:lineRule="auto"/>
              <w:jc w:val="right"/>
              <w:outlineLvl w:val="0"/>
              <w:rPr>
                <w:rFonts w:eastAsia="Times New Roman" w:cs="Arial"/>
                <w:bCs/>
                <w:iCs/>
                <w:sz w:val="20"/>
                <w:szCs w:val="20"/>
              </w:rPr>
            </w:pPr>
            <w:r w:rsidRPr="005F1FBF">
              <w:rPr>
                <w:rFonts w:eastAsia="Times New Roman" w:cs="Arial"/>
                <w:bCs/>
                <w:iCs/>
                <w:sz w:val="20"/>
                <w:szCs w:val="20"/>
              </w:rPr>
              <w:t>70</w:t>
            </w:r>
            <w:r>
              <w:rPr>
                <w:rFonts w:eastAsia="Times New Roman" w:cs="Arial"/>
                <w:bCs/>
                <w:iCs/>
                <w:sz w:val="20"/>
                <w:szCs w:val="20"/>
              </w:rPr>
              <w:t>,</w:t>
            </w:r>
            <w:r w:rsidRPr="005F1FBF">
              <w:rPr>
                <w:rFonts w:eastAsia="Times New Roman" w:cs="Arial"/>
                <w:bCs/>
                <w:iCs/>
                <w:sz w:val="20"/>
                <w:szCs w:val="20"/>
              </w:rPr>
              <w:t>624</w:t>
            </w:r>
          </w:p>
        </w:tc>
        <w:tc>
          <w:tcPr>
            <w:tcW w:w="1350" w:type="dxa"/>
            <w:tcBorders>
              <w:top w:val="nil"/>
              <w:left w:val="nil"/>
              <w:bottom w:val="nil"/>
              <w:right w:val="nil"/>
            </w:tcBorders>
            <w:shd w:val="clear" w:color="auto" w:fill="auto"/>
            <w:vAlign w:val="bottom"/>
          </w:tcPr>
          <w:p w14:paraId="6833C81C" w14:textId="6C9FCC1E" w:rsidR="00985E10" w:rsidRPr="00F3766F" w:rsidRDefault="00985E10" w:rsidP="00985E10">
            <w:pPr>
              <w:tabs>
                <w:tab w:val="right" w:pos="1202"/>
              </w:tabs>
              <w:spacing w:after="0" w:line="240" w:lineRule="auto"/>
              <w:jc w:val="right"/>
              <w:outlineLvl w:val="0"/>
              <w:rPr>
                <w:rFonts w:eastAsia="Times New Roman" w:cs="Arial"/>
                <w:bCs/>
                <w:iCs/>
                <w:sz w:val="20"/>
                <w:szCs w:val="20"/>
              </w:rPr>
            </w:pPr>
            <w:r w:rsidRPr="005F1FBF">
              <w:rPr>
                <w:rFonts w:eastAsia="Times New Roman" w:cs="Arial"/>
                <w:bCs/>
                <w:iCs/>
                <w:sz w:val="20"/>
                <w:szCs w:val="20"/>
              </w:rPr>
              <w:t>5</w:t>
            </w:r>
            <w:r>
              <w:rPr>
                <w:rFonts w:eastAsia="Times New Roman" w:cs="Arial"/>
                <w:bCs/>
                <w:iCs/>
                <w:sz w:val="20"/>
                <w:szCs w:val="20"/>
              </w:rPr>
              <w:t>,</w:t>
            </w:r>
            <w:r w:rsidRPr="005F1FBF">
              <w:rPr>
                <w:rFonts w:eastAsia="Times New Roman" w:cs="Arial"/>
                <w:bCs/>
                <w:iCs/>
                <w:sz w:val="20"/>
                <w:szCs w:val="20"/>
              </w:rPr>
              <w:t>228</w:t>
            </w:r>
          </w:p>
        </w:tc>
      </w:tr>
      <w:tr w:rsidR="00985E10" w:rsidRPr="009702B0" w14:paraId="3E4786E7" w14:textId="77777777" w:rsidTr="00BA3F2A">
        <w:trPr>
          <w:trHeight w:val="14"/>
          <w:jc w:val="center"/>
        </w:trPr>
        <w:tc>
          <w:tcPr>
            <w:tcW w:w="3713" w:type="dxa"/>
            <w:vAlign w:val="bottom"/>
          </w:tcPr>
          <w:p w14:paraId="41304562" w14:textId="77777777" w:rsidR="00985E10" w:rsidRPr="009702B0" w:rsidRDefault="00985E10" w:rsidP="00985E10">
            <w:pPr>
              <w:tabs>
                <w:tab w:val="right" w:pos="1202"/>
              </w:tabs>
              <w:spacing w:after="0" w:line="240" w:lineRule="auto"/>
              <w:outlineLvl w:val="0"/>
              <w:rPr>
                <w:rFonts w:eastAsia="Times New Roman" w:cs="Arial"/>
                <w:sz w:val="20"/>
                <w:szCs w:val="20"/>
              </w:rPr>
            </w:pPr>
            <w:r w:rsidRPr="009702B0">
              <w:rPr>
                <w:rFonts w:eastAsia="Times New Roman" w:cs="Arial"/>
                <w:sz w:val="20"/>
                <w:szCs w:val="20"/>
              </w:rPr>
              <w:t>Government funds, executive authorities and agencies</w:t>
            </w:r>
          </w:p>
        </w:tc>
        <w:tc>
          <w:tcPr>
            <w:tcW w:w="1397" w:type="dxa"/>
            <w:gridSpan w:val="2"/>
            <w:tcBorders>
              <w:top w:val="nil"/>
              <w:left w:val="nil"/>
              <w:bottom w:val="nil"/>
              <w:right w:val="nil"/>
            </w:tcBorders>
            <w:shd w:val="clear" w:color="auto" w:fill="auto"/>
            <w:vAlign w:val="bottom"/>
          </w:tcPr>
          <w:p w14:paraId="73E29B43" w14:textId="49668020" w:rsidR="00985E10" w:rsidRPr="009702B0" w:rsidRDefault="00985E10" w:rsidP="00985E10">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21,548</w:t>
            </w:r>
          </w:p>
        </w:tc>
        <w:tc>
          <w:tcPr>
            <w:tcW w:w="1365" w:type="dxa"/>
            <w:tcBorders>
              <w:top w:val="nil"/>
              <w:left w:val="nil"/>
              <w:bottom w:val="nil"/>
              <w:right w:val="nil"/>
            </w:tcBorders>
            <w:shd w:val="clear" w:color="auto" w:fill="auto"/>
            <w:vAlign w:val="bottom"/>
          </w:tcPr>
          <w:p w14:paraId="576B514D" w14:textId="7C4E34BF" w:rsidR="00985E10" w:rsidRPr="009702B0" w:rsidRDefault="00985E10" w:rsidP="00985E10">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36</w:t>
            </w:r>
          </w:p>
        </w:tc>
        <w:tc>
          <w:tcPr>
            <w:tcW w:w="1389" w:type="dxa"/>
            <w:gridSpan w:val="2"/>
            <w:tcBorders>
              <w:top w:val="nil"/>
              <w:left w:val="nil"/>
              <w:bottom w:val="nil"/>
              <w:right w:val="nil"/>
            </w:tcBorders>
            <w:shd w:val="clear" w:color="auto" w:fill="auto"/>
            <w:vAlign w:val="bottom"/>
          </w:tcPr>
          <w:p w14:paraId="4B1AC978" w14:textId="66E39807" w:rsidR="00985E10" w:rsidRPr="00F3766F" w:rsidRDefault="00985E10" w:rsidP="00985E10">
            <w:pPr>
              <w:tabs>
                <w:tab w:val="right" w:pos="1202"/>
              </w:tabs>
              <w:spacing w:after="0" w:line="240" w:lineRule="auto"/>
              <w:jc w:val="right"/>
              <w:outlineLvl w:val="0"/>
              <w:rPr>
                <w:rFonts w:eastAsia="Times New Roman" w:cs="Arial"/>
                <w:bCs/>
                <w:iCs/>
                <w:sz w:val="20"/>
                <w:szCs w:val="20"/>
              </w:rPr>
            </w:pPr>
            <w:r w:rsidRPr="005F1FBF">
              <w:rPr>
                <w:rFonts w:eastAsia="Times New Roman" w:cs="Arial"/>
                <w:bCs/>
                <w:iCs/>
                <w:sz w:val="20"/>
                <w:szCs w:val="20"/>
              </w:rPr>
              <w:t>14</w:t>
            </w:r>
            <w:r>
              <w:rPr>
                <w:rFonts w:eastAsia="Times New Roman" w:cs="Arial"/>
                <w:bCs/>
                <w:iCs/>
                <w:sz w:val="20"/>
                <w:szCs w:val="20"/>
              </w:rPr>
              <w:t>,</w:t>
            </w:r>
            <w:r w:rsidRPr="005F1FBF">
              <w:rPr>
                <w:rFonts w:eastAsia="Times New Roman" w:cs="Arial"/>
                <w:bCs/>
                <w:iCs/>
                <w:sz w:val="20"/>
                <w:szCs w:val="20"/>
              </w:rPr>
              <w:t>565</w:t>
            </w:r>
          </w:p>
        </w:tc>
        <w:tc>
          <w:tcPr>
            <w:tcW w:w="1350" w:type="dxa"/>
            <w:tcBorders>
              <w:top w:val="nil"/>
              <w:left w:val="nil"/>
              <w:bottom w:val="nil"/>
              <w:right w:val="nil"/>
            </w:tcBorders>
            <w:shd w:val="clear" w:color="auto" w:fill="auto"/>
            <w:vAlign w:val="bottom"/>
          </w:tcPr>
          <w:p w14:paraId="5DAFD9E8" w14:textId="444C38E8" w:rsidR="00985E10" w:rsidRPr="00F3766F" w:rsidRDefault="00985E10" w:rsidP="00985E10">
            <w:pPr>
              <w:tabs>
                <w:tab w:val="right" w:pos="1202"/>
              </w:tabs>
              <w:spacing w:after="0" w:line="240" w:lineRule="auto"/>
              <w:jc w:val="right"/>
              <w:outlineLvl w:val="0"/>
              <w:rPr>
                <w:rFonts w:eastAsia="Times New Roman" w:cs="Arial"/>
                <w:bCs/>
                <w:iCs/>
                <w:sz w:val="20"/>
                <w:szCs w:val="20"/>
              </w:rPr>
            </w:pPr>
            <w:r w:rsidRPr="005F1FBF">
              <w:rPr>
                <w:rFonts w:eastAsia="Times New Roman" w:cs="Arial"/>
                <w:bCs/>
                <w:iCs/>
                <w:sz w:val="20"/>
                <w:szCs w:val="20"/>
              </w:rPr>
              <w:t>544</w:t>
            </w:r>
          </w:p>
        </w:tc>
      </w:tr>
      <w:tr w:rsidR="00985E10" w:rsidRPr="009702B0" w14:paraId="3ED79F0D" w14:textId="77777777" w:rsidTr="00BA3F2A">
        <w:trPr>
          <w:trHeight w:hRule="exact" w:val="284"/>
          <w:jc w:val="center"/>
        </w:trPr>
        <w:tc>
          <w:tcPr>
            <w:tcW w:w="3713" w:type="dxa"/>
            <w:vAlign w:val="bottom"/>
          </w:tcPr>
          <w:p w14:paraId="590F1BCA" w14:textId="77777777" w:rsidR="00985E10" w:rsidRPr="009702B0" w:rsidRDefault="00985E10" w:rsidP="00985E10">
            <w:pPr>
              <w:tabs>
                <w:tab w:val="right" w:pos="1202"/>
              </w:tabs>
              <w:spacing w:after="0" w:line="240" w:lineRule="auto"/>
              <w:outlineLvl w:val="0"/>
              <w:rPr>
                <w:rFonts w:eastAsia="Times New Roman" w:cs="Arial"/>
                <w:sz w:val="20"/>
                <w:szCs w:val="20"/>
              </w:rPr>
            </w:pPr>
            <w:r w:rsidRPr="009702B0">
              <w:rPr>
                <w:rFonts w:eastAsia="Times New Roman" w:cs="Arial"/>
                <w:sz w:val="20"/>
                <w:szCs w:val="20"/>
              </w:rPr>
              <w:t>State-owned companies</w:t>
            </w:r>
          </w:p>
        </w:tc>
        <w:tc>
          <w:tcPr>
            <w:tcW w:w="1397" w:type="dxa"/>
            <w:gridSpan w:val="2"/>
            <w:tcBorders>
              <w:top w:val="nil"/>
              <w:left w:val="nil"/>
              <w:bottom w:val="nil"/>
              <w:right w:val="nil"/>
            </w:tcBorders>
            <w:shd w:val="clear" w:color="auto" w:fill="auto"/>
            <w:vAlign w:val="bottom"/>
          </w:tcPr>
          <w:p w14:paraId="33AA065A" w14:textId="3B2FF97E" w:rsidR="00985E10" w:rsidRPr="009702B0" w:rsidRDefault="00985E10" w:rsidP="00985E10">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47,657</w:t>
            </w:r>
          </w:p>
        </w:tc>
        <w:tc>
          <w:tcPr>
            <w:tcW w:w="1365" w:type="dxa"/>
            <w:tcBorders>
              <w:top w:val="nil"/>
              <w:left w:val="nil"/>
              <w:bottom w:val="nil"/>
              <w:right w:val="nil"/>
            </w:tcBorders>
            <w:shd w:val="clear" w:color="auto" w:fill="auto"/>
            <w:vAlign w:val="bottom"/>
          </w:tcPr>
          <w:p w14:paraId="1CC268BD" w14:textId="3A832F1D" w:rsidR="00985E10" w:rsidRPr="009702B0" w:rsidRDefault="00985E10" w:rsidP="00985E10">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3,701</w:t>
            </w:r>
          </w:p>
        </w:tc>
        <w:tc>
          <w:tcPr>
            <w:tcW w:w="1389" w:type="dxa"/>
            <w:gridSpan w:val="2"/>
            <w:tcBorders>
              <w:top w:val="nil"/>
              <w:left w:val="nil"/>
              <w:bottom w:val="nil"/>
              <w:right w:val="nil"/>
            </w:tcBorders>
            <w:shd w:val="clear" w:color="auto" w:fill="auto"/>
            <w:vAlign w:val="bottom"/>
          </w:tcPr>
          <w:p w14:paraId="6938DD6B" w14:textId="2428929D" w:rsidR="00985E10" w:rsidRPr="00F3766F" w:rsidRDefault="00985E10" w:rsidP="00985E10">
            <w:pPr>
              <w:tabs>
                <w:tab w:val="right" w:pos="1202"/>
              </w:tabs>
              <w:spacing w:after="0" w:line="240" w:lineRule="auto"/>
              <w:jc w:val="right"/>
              <w:outlineLvl w:val="0"/>
              <w:rPr>
                <w:rFonts w:eastAsia="Times New Roman" w:cs="Arial"/>
                <w:bCs/>
                <w:iCs/>
                <w:sz w:val="20"/>
                <w:szCs w:val="20"/>
              </w:rPr>
            </w:pPr>
            <w:r w:rsidRPr="005F1FBF">
              <w:rPr>
                <w:rFonts w:eastAsia="Times New Roman" w:cs="Arial"/>
                <w:bCs/>
                <w:iCs/>
                <w:sz w:val="20"/>
                <w:szCs w:val="20"/>
              </w:rPr>
              <w:t>38</w:t>
            </w:r>
            <w:r>
              <w:rPr>
                <w:rFonts w:eastAsia="Times New Roman" w:cs="Arial"/>
                <w:bCs/>
                <w:iCs/>
                <w:sz w:val="20"/>
                <w:szCs w:val="20"/>
              </w:rPr>
              <w:t>,</w:t>
            </w:r>
            <w:r w:rsidRPr="005F1FBF">
              <w:rPr>
                <w:rFonts w:eastAsia="Times New Roman" w:cs="Arial"/>
                <w:bCs/>
                <w:iCs/>
                <w:sz w:val="20"/>
                <w:szCs w:val="20"/>
              </w:rPr>
              <w:t>055</w:t>
            </w:r>
          </w:p>
        </w:tc>
        <w:tc>
          <w:tcPr>
            <w:tcW w:w="1350" w:type="dxa"/>
            <w:tcBorders>
              <w:top w:val="nil"/>
              <w:left w:val="nil"/>
              <w:bottom w:val="nil"/>
              <w:right w:val="nil"/>
            </w:tcBorders>
            <w:shd w:val="clear" w:color="auto" w:fill="auto"/>
            <w:vAlign w:val="bottom"/>
          </w:tcPr>
          <w:p w14:paraId="45934C01" w14:textId="3A14547D" w:rsidR="00985E10" w:rsidRPr="00F3766F" w:rsidRDefault="00985E10" w:rsidP="00985E10">
            <w:pPr>
              <w:tabs>
                <w:tab w:val="right" w:pos="1202"/>
              </w:tabs>
              <w:spacing w:after="0" w:line="240" w:lineRule="auto"/>
              <w:jc w:val="right"/>
              <w:outlineLvl w:val="0"/>
              <w:rPr>
                <w:rFonts w:eastAsia="Times New Roman" w:cs="Arial"/>
                <w:bCs/>
                <w:iCs/>
                <w:sz w:val="20"/>
                <w:szCs w:val="20"/>
              </w:rPr>
            </w:pPr>
            <w:r w:rsidRPr="005F1FBF">
              <w:rPr>
                <w:rFonts w:eastAsia="Times New Roman" w:cs="Arial"/>
                <w:bCs/>
                <w:iCs/>
                <w:sz w:val="20"/>
                <w:szCs w:val="20"/>
              </w:rPr>
              <w:t>9</w:t>
            </w:r>
            <w:r>
              <w:rPr>
                <w:rFonts w:eastAsia="Times New Roman" w:cs="Arial"/>
                <w:bCs/>
                <w:iCs/>
                <w:sz w:val="20"/>
                <w:szCs w:val="20"/>
              </w:rPr>
              <w:t>,</w:t>
            </w:r>
            <w:r w:rsidRPr="005F1FBF">
              <w:rPr>
                <w:rFonts w:eastAsia="Times New Roman" w:cs="Arial"/>
                <w:bCs/>
                <w:iCs/>
                <w:sz w:val="20"/>
                <w:szCs w:val="20"/>
              </w:rPr>
              <w:t>826</w:t>
            </w:r>
          </w:p>
        </w:tc>
      </w:tr>
      <w:tr w:rsidR="00985E10" w:rsidRPr="009702B0" w14:paraId="5D305F65" w14:textId="77777777" w:rsidTr="00BA3F2A">
        <w:trPr>
          <w:trHeight w:hRule="exact" w:val="284"/>
          <w:jc w:val="center"/>
        </w:trPr>
        <w:tc>
          <w:tcPr>
            <w:tcW w:w="3713" w:type="dxa"/>
            <w:vAlign w:val="bottom"/>
          </w:tcPr>
          <w:p w14:paraId="70FD83A5" w14:textId="77777777" w:rsidR="00985E10" w:rsidRPr="009702B0" w:rsidRDefault="00985E10" w:rsidP="00985E10">
            <w:pPr>
              <w:tabs>
                <w:tab w:val="right" w:pos="1202"/>
              </w:tabs>
              <w:spacing w:after="0" w:line="240" w:lineRule="auto"/>
              <w:outlineLvl w:val="0"/>
              <w:rPr>
                <w:rFonts w:eastAsia="Times New Roman" w:cs="Arial"/>
                <w:sz w:val="20"/>
                <w:szCs w:val="20"/>
              </w:rPr>
            </w:pPr>
            <w:r w:rsidRPr="009702B0">
              <w:rPr>
                <w:rFonts w:eastAsia="Times New Roman" w:cs="Arial"/>
                <w:sz w:val="20"/>
                <w:szCs w:val="20"/>
              </w:rPr>
              <w:t>Subsidiary companies</w:t>
            </w:r>
          </w:p>
        </w:tc>
        <w:tc>
          <w:tcPr>
            <w:tcW w:w="1397" w:type="dxa"/>
            <w:gridSpan w:val="2"/>
            <w:tcBorders>
              <w:top w:val="nil"/>
              <w:left w:val="nil"/>
              <w:bottom w:val="nil"/>
              <w:right w:val="nil"/>
            </w:tcBorders>
            <w:shd w:val="clear" w:color="auto" w:fill="auto"/>
            <w:vAlign w:val="bottom"/>
          </w:tcPr>
          <w:p w14:paraId="48B04D8C" w14:textId="38FA1AD3" w:rsidR="00985E10" w:rsidRPr="009702B0" w:rsidRDefault="00985E10" w:rsidP="00985E10">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w:t>
            </w:r>
          </w:p>
        </w:tc>
        <w:tc>
          <w:tcPr>
            <w:tcW w:w="1365" w:type="dxa"/>
            <w:tcBorders>
              <w:top w:val="nil"/>
              <w:left w:val="nil"/>
              <w:bottom w:val="nil"/>
              <w:right w:val="nil"/>
            </w:tcBorders>
            <w:shd w:val="clear" w:color="auto" w:fill="auto"/>
            <w:vAlign w:val="bottom"/>
          </w:tcPr>
          <w:p w14:paraId="2E9BD066" w14:textId="6DE3DB34" w:rsidR="00985E10" w:rsidRPr="009702B0" w:rsidRDefault="00985E10" w:rsidP="00985E10">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w:t>
            </w:r>
          </w:p>
        </w:tc>
        <w:tc>
          <w:tcPr>
            <w:tcW w:w="1389" w:type="dxa"/>
            <w:gridSpan w:val="2"/>
            <w:tcBorders>
              <w:top w:val="nil"/>
              <w:left w:val="nil"/>
              <w:bottom w:val="nil"/>
              <w:right w:val="nil"/>
            </w:tcBorders>
            <w:shd w:val="clear" w:color="auto" w:fill="auto"/>
            <w:vAlign w:val="bottom"/>
          </w:tcPr>
          <w:p w14:paraId="2A96990C" w14:textId="595D4FD4" w:rsidR="00985E10" w:rsidRPr="00F3766F" w:rsidRDefault="00985E10" w:rsidP="00985E10">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w:t>
            </w:r>
          </w:p>
        </w:tc>
        <w:tc>
          <w:tcPr>
            <w:tcW w:w="1350" w:type="dxa"/>
            <w:tcBorders>
              <w:top w:val="nil"/>
              <w:left w:val="nil"/>
              <w:bottom w:val="nil"/>
              <w:right w:val="nil"/>
            </w:tcBorders>
            <w:shd w:val="clear" w:color="auto" w:fill="auto"/>
            <w:vAlign w:val="bottom"/>
          </w:tcPr>
          <w:p w14:paraId="6E7A197A" w14:textId="6BCC4E41" w:rsidR="00985E10" w:rsidRPr="00F3766F" w:rsidRDefault="00985E10" w:rsidP="00985E10">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w:t>
            </w:r>
          </w:p>
        </w:tc>
      </w:tr>
      <w:tr w:rsidR="00985E10" w:rsidRPr="009702B0" w14:paraId="752DCE31" w14:textId="77777777" w:rsidTr="006B318F">
        <w:trPr>
          <w:trHeight w:hRule="exact" w:val="284"/>
          <w:jc w:val="center"/>
        </w:trPr>
        <w:tc>
          <w:tcPr>
            <w:tcW w:w="3713" w:type="dxa"/>
            <w:vAlign w:val="bottom"/>
          </w:tcPr>
          <w:p w14:paraId="23C88C1F" w14:textId="77777777" w:rsidR="00985E10" w:rsidRPr="009702B0" w:rsidRDefault="00985E10" w:rsidP="00985E10">
            <w:pPr>
              <w:tabs>
                <w:tab w:val="right" w:pos="1202"/>
              </w:tabs>
              <w:spacing w:after="0" w:line="240" w:lineRule="auto"/>
              <w:outlineLvl w:val="0"/>
              <w:rPr>
                <w:rFonts w:eastAsia="Times New Roman" w:cs="Arial"/>
                <w:bCs/>
                <w:sz w:val="20"/>
                <w:szCs w:val="20"/>
              </w:rPr>
            </w:pPr>
            <w:r w:rsidRPr="009702B0">
              <w:rPr>
                <w:rFonts w:eastAsia="Times New Roman" w:cs="Arial"/>
                <w:sz w:val="20"/>
                <w:szCs w:val="20"/>
              </w:rPr>
              <w:t>Associates</w:t>
            </w:r>
          </w:p>
        </w:tc>
        <w:tc>
          <w:tcPr>
            <w:tcW w:w="1397" w:type="dxa"/>
            <w:gridSpan w:val="2"/>
            <w:tcBorders>
              <w:top w:val="nil"/>
              <w:left w:val="nil"/>
              <w:right w:val="nil"/>
            </w:tcBorders>
            <w:shd w:val="clear" w:color="auto" w:fill="auto"/>
            <w:vAlign w:val="bottom"/>
          </w:tcPr>
          <w:p w14:paraId="5FB4405A" w14:textId="17E31671" w:rsidR="00985E10" w:rsidRPr="009702B0" w:rsidRDefault="00985E10" w:rsidP="00985E10">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3,814</w:t>
            </w:r>
          </w:p>
        </w:tc>
        <w:tc>
          <w:tcPr>
            <w:tcW w:w="1365" w:type="dxa"/>
            <w:tcBorders>
              <w:top w:val="nil"/>
              <w:left w:val="nil"/>
              <w:right w:val="nil"/>
            </w:tcBorders>
            <w:shd w:val="clear" w:color="auto" w:fill="auto"/>
            <w:vAlign w:val="bottom"/>
          </w:tcPr>
          <w:p w14:paraId="2115944A" w14:textId="7DE0A638" w:rsidR="00985E10" w:rsidRPr="009702B0" w:rsidRDefault="00985E10" w:rsidP="00985E10">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w:t>
            </w:r>
          </w:p>
        </w:tc>
        <w:tc>
          <w:tcPr>
            <w:tcW w:w="1389" w:type="dxa"/>
            <w:gridSpan w:val="2"/>
            <w:tcBorders>
              <w:top w:val="nil"/>
              <w:left w:val="nil"/>
              <w:right w:val="nil"/>
            </w:tcBorders>
            <w:shd w:val="clear" w:color="auto" w:fill="auto"/>
            <w:vAlign w:val="bottom"/>
          </w:tcPr>
          <w:p w14:paraId="53E69B52" w14:textId="2E55A2E3" w:rsidR="00985E10" w:rsidRPr="00F3766F" w:rsidRDefault="00985E10" w:rsidP="00985E10">
            <w:pPr>
              <w:tabs>
                <w:tab w:val="right" w:pos="1202"/>
              </w:tabs>
              <w:spacing w:after="0" w:line="240" w:lineRule="auto"/>
              <w:jc w:val="right"/>
              <w:outlineLvl w:val="0"/>
              <w:rPr>
                <w:rFonts w:eastAsia="Times New Roman" w:cs="Arial"/>
                <w:bCs/>
                <w:iCs/>
                <w:sz w:val="20"/>
                <w:szCs w:val="20"/>
              </w:rPr>
            </w:pPr>
            <w:r w:rsidRPr="005F1FBF">
              <w:rPr>
                <w:rFonts w:eastAsia="Times New Roman" w:cs="Arial"/>
                <w:bCs/>
                <w:iCs/>
                <w:sz w:val="20"/>
                <w:szCs w:val="20"/>
              </w:rPr>
              <w:t>536</w:t>
            </w:r>
          </w:p>
        </w:tc>
        <w:tc>
          <w:tcPr>
            <w:tcW w:w="1350" w:type="dxa"/>
            <w:tcBorders>
              <w:top w:val="nil"/>
              <w:left w:val="nil"/>
              <w:right w:val="nil"/>
            </w:tcBorders>
            <w:shd w:val="clear" w:color="auto" w:fill="auto"/>
            <w:vAlign w:val="bottom"/>
          </w:tcPr>
          <w:p w14:paraId="50E17AB8" w14:textId="2656B1B6" w:rsidR="00985E10" w:rsidRPr="00F3766F" w:rsidRDefault="00985E10" w:rsidP="00985E10">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w:t>
            </w:r>
          </w:p>
        </w:tc>
      </w:tr>
      <w:tr w:rsidR="00985E10" w:rsidRPr="009702B0" w14:paraId="4B1EC8C5" w14:textId="77777777" w:rsidTr="006B318F">
        <w:trPr>
          <w:trHeight w:hRule="exact" w:val="284"/>
          <w:jc w:val="center"/>
        </w:trPr>
        <w:tc>
          <w:tcPr>
            <w:tcW w:w="3713" w:type="dxa"/>
            <w:vAlign w:val="bottom"/>
          </w:tcPr>
          <w:p w14:paraId="794C1679" w14:textId="77777777" w:rsidR="00985E10" w:rsidRPr="009702B0" w:rsidRDefault="00985E10" w:rsidP="00985E10">
            <w:pPr>
              <w:tabs>
                <w:tab w:val="right" w:pos="1202"/>
              </w:tabs>
              <w:spacing w:after="0" w:line="240" w:lineRule="auto"/>
              <w:outlineLvl w:val="0"/>
              <w:rPr>
                <w:rFonts w:eastAsia="Times New Roman" w:cs="Arial"/>
                <w:bCs/>
                <w:sz w:val="20"/>
                <w:szCs w:val="20"/>
              </w:rPr>
            </w:pPr>
            <w:r w:rsidRPr="009702B0">
              <w:rPr>
                <w:rFonts w:eastAsia="Times New Roman" w:cs="Arial"/>
                <w:bCs/>
                <w:sz w:val="20"/>
                <w:szCs w:val="20"/>
              </w:rPr>
              <w:t>Key management personnel</w:t>
            </w:r>
          </w:p>
        </w:tc>
        <w:tc>
          <w:tcPr>
            <w:tcW w:w="1397" w:type="dxa"/>
            <w:gridSpan w:val="2"/>
            <w:tcBorders>
              <w:top w:val="nil"/>
              <w:left w:val="nil"/>
              <w:bottom w:val="single" w:sz="4" w:space="0" w:color="auto"/>
              <w:right w:val="nil"/>
            </w:tcBorders>
            <w:shd w:val="clear" w:color="auto" w:fill="auto"/>
            <w:vAlign w:val="bottom"/>
          </w:tcPr>
          <w:p w14:paraId="770716B7" w14:textId="66EC6563" w:rsidR="00985E10" w:rsidRPr="009702B0" w:rsidRDefault="00985E10" w:rsidP="00985E10">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89</w:t>
            </w:r>
          </w:p>
        </w:tc>
        <w:tc>
          <w:tcPr>
            <w:tcW w:w="1365" w:type="dxa"/>
            <w:tcBorders>
              <w:top w:val="nil"/>
              <w:left w:val="nil"/>
              <w:bottom w:val="single" w:sz="4" w:space="0" w:color="auto"/>
              <w:right w:val="nil"/>
            </w:tcBorders>
            <w:shd w:val="clear" w:color="auto" w:fill="auto"/>
            <w:vAlign w:val="bottom"/>
          </w:tcPr>
          <w:p w14:paraId="65FF66EF" w14:textId="15FA71BE" w:rsidR="00985E10" w:rsidRPr="009702B0" w:rsidRDefault="00985E10" w:rsidP="00985E10">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w:t>
            </w:r>
          </w:p>
        </w:tc>
        <w:tc>
          <w:tcPr>
            <w:tcW w:w="1389" w:type="dxa"/>
            <w:gridSpan w:val="2"/>
            <w:tcBorders>
              <w:top w:val="nil"/>
              <w:left w:val="nil"/>
              <w:bottom w:val="single" w:sz="4" w:space="0" w:color="auto"/>
              <w:right w:val="nil"/>
            </w:tcBorders>
            <w:shd w:val="clear" w:color="auto" w:fill="auto"/>
            <w:vAlign w:val="bottom"/>
          </w:tcPr>
          <w:p w14:paraId="121CD3CA" w14:textId="43EA3348" w:rsidR="00985E10" w:rsidRPr="00F3766F" w:rsidRDefault="00985E10" w:rsidP="00985E10">
            <w:pPr>
              <w:tabs>
                <w:tab w:val="right" w:pos="1202"/>
              </w:tabs>
              <w:spacing w:after="0" w:line="240" w:lineRule="auto"/>
              <w:jc w:val="right"/>
              <w:outlineLvl w:val="0"/>
              <w:rPr>
                <w:rFonts w:eastAsia="Times New Roman" w:cs="Arial"/>
                <w:bCs/>
                <w:iCs/>
                <w:sz w:val="20"/>
                <w:szCs w:val="20"/>
              </w:rPr>
            </w:pPr>
            <w:r w:rsidRPr="005F1FBF">
              <w:rPr>
                <w:rFonts w:eastAsia="Times New Roman" w:cs="Arial"/>
                <w:bCs/>
                <w:iCs/>
                <w:sz w:val="20"/>
                <w:szCs w:val="20"/>
              </w:rPr>
              <w:t>107</w:t>
            </w:r>
          </w:p>
        </w:tc>
        <w:tc>
          <w:tcPr>
            <w:tcW w:w="1350" w:type="dxa"/>
            <w:tcBorders>
              <w:top w:val="nil"/>
              <w:left w:val="nil"/>
              <w:bottom w:val="single" w:sz="4" w:space="0" w:color="auto"/>
              <w:right w:val="nil"/>
            </w:tcBorders>
            <w:shd w:val="clear" w:color="auto" w:fill="auto"/>
            <w:vAlign w:val="bottom"/>
          </w:tcPr>
          <w:p w14:paraId="76F5B49C" w14:textId="0ABE1FE9" w:rsidR="00985E10" w:rsidRPr="00F3766F" w:rsidRDefault="00985E10" w:rsidP="00985E10">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w:t>
            </w:r>
          </w:p>
        </w:tc>
      </w:tr>
      <w:tr w:rsidR="00985E10" w:rsidRPr="009702B0" w14:paraId="19602D78" w14:textId="77777777" w:rsidTr="00BA3F2A">
        <w:trPr>
          <w:trHeight w:val="304"/>
          <w:jc w:val="center"/>
        </w:trPr>
        <w:tc>
          <w:tcPr>
            <w:tcW w:w="3713" w:type="dxa"/>
            <w:vAlign w:val="bottom"/>
          </w:tcPr>
          <w:p w14:paraId="77091065" w14:textId="77777777" w:rsidR="00985E10" w:rsidRPr="009702B0" w:rsidRDefault="00985E10" w:rsidP="00985E10">
            <w:pPr>
              <w:tabs>
                <w:tab w:val="right" w:pos="1202"/>
              </w:tabs>
              <w:spacing w:after="0" w:line="240" w:lineRule="auto"/>
              <w:outlineLvl w:val="0"/>
              <w:rPr>
                <w:rFonts w:eastAsia="Times New Roman" w:cs="Arial"/>
                <w:b/>
                <w:sz w:val="20"/>
                <w:szCs w:val="20"/>
              </w:rPr>
            </w:pPr>
            <w:r w:rsidRPr="009702B0">
              <w:rPr>
                <w:rFonts w:eastAsia="Times New Roman" w:cs="Arial"/>
                <w:b/>
                <w:sz w:val="20"/>
                <w:szCs w:val="20"/>
              </w:rPr>
              <w:t>Total</w:t>
            </w:r>
          </w:p>
        </w:tc>
        <w:tc>
          <w:tcPr>
            <w:tcW w:w="1397" w:type="dxa"/>
            <w:gridSpan w:val="2"/>
            <w:tcBorders>
              <w:top w:val="single" w:sz="4" w:space="0" w:color="auto"/>
              <w:left w:val="nil"/>
              <w:bottom w:val="single" w:sz="12" w:space="0" w:color="auto"/>
              <w:right w:val="nil"/>
            </w:tcBorders>
            <w:shd w:val="clear" w:color="auto" w:fill="auto"/>
            <w:vAlign w:val="bottom"/>
          </w:tcPr>
          <w:p w14:paraId="31C6E2EF" w14:textId="3ADADD73" w:rsidR="00985E10" w:rsidRPr="006B318F" w:rsidRDefault="00985E10" w:rsidP="00985E10">
            <w:pPr>
              <w:tabs>
                <w:tab w:val="right" w:pos="1202"/>
              </w:tabs>
              <w:spacing w:after="0" w:line="240" w:lineRule="auto"/>
              <w:jc w:val="right"/>
              <w:outlineLvl w:val="0"/>
              <w:rPr>
                <w:b/>
                <w:bCs/>
                <w:sz w:val="20"/>
                <w:szCs w:val="20"/>
              </w:rPr>
            </w:pPr>
            <w:r>
              <w:rPr>
                <w:b/>
                <w:bCs/>
                <w:sz w:val="20"/>
                <w:szCs w:val="20"/>
              </w:rPr>
              <w:t>134,589</w:t>
            </w:r>
          </w:p>
        </w:tc>
        <w:tc>
          <w:tcPr>
            <w:tcW w:w="1365" w:type="dxa"/>
            <w:tcBorders>
              <w:top w:val="single" w:sz="4" w:space="0" w:color="auto"/>
              <w:left w:val="nil"/>
              <w:bottom w:val="single" w:sz="12" w:space="0" w:color="auto"/>
              <w:right w:val="nil"/>
            </w:tcBorders>
            <w:shd w:val="clear" w:color="auto" w:fill="auto"/>
            <w:vAlign w:val="bottom"/>
          </w:tcPr>
          <w:p w14:paraId="35FCC88F" w14:textId="796E5A44" w:rsidR="00985E10" w:rsidRPr="006B318F" w:rsidRDefault="00985E10" w:rsidP="00985E10">
            <w:pPr>
              <w:tabs>
                <w:tab w:val="right" w:pos="1202"/>
              </w:tabs>
              <w:spacing w:after="0" w:line="240" w:lineRule="auto"/>
              <w:jc w:val="right"/>
              <w:outlineLvl w:val="0"/>
              <w:rPr>
                <w:b/>
                <w:bCs/>
                <w:sz w:val="20"/>
                <w:szCs w:val="20"/>
              </w:rPr>
            </w:pPr>
            <w:r>
              <w:rPr>
                <w:b/>
                <w:bCs/>
                <w:sz w:val="20"/>
                <w:szCs w:val="20"/>
              </w:rPr>
              <w:t>4,233</w:t>
            </w:r>
          </w:p>
        </w:tc>
        <w:tc>
          <w:tcPr>
            <w:tcW w:w="1389" w:type="dxa"/>
            <w:gridSpan w:val="2"/>
            <w:tcBorders>
              <w:top w:val="single" w:sz="4" w:space="0" w:color="auto"/>
              <w:left w:val="nil"/>
              <w:bottom w:val="single" w:sz="12" w:space="0" w:color="auto"/>
              <w:right w:val="nil"/>
            </w:tcBorders>
            <w:shd w:val="clear" w:color="auto" w:fill="auto"/>
            <w:vAlign w:val="bottom"/>
          </w:tcPr>
          <w:p w14:paraId="3DA6F8B5" w14:textId="143058EE" w:rsidR="00985E10" w:rsidRPr="00F1130C" w:rsidRDefault="00985E10" w:rsidP="00985E10">
            <w:pPr>
              <w:tabs>
                <w:tab w:val="right" w:pos="1202"/>
              </w:tabs>
              <w:spacing w:after="0" w:line="240" w:lineRule="auto"/>
              <w:jc w:val="right"/>
              <w:outlineLvl w:val="0"/>
              <w:rPr>
                <w:b/>
                <w:bCs/>
                <w:sz w:val="20"/>
                <w:szCs w:val="20"/>
              </w:rPr>
            </w:pPr>
            <w:r w:rsidRPr="005F1FBF">
              <w:rPr>
                <w:b/>
                <w:bCs/>
                <w:sz w:val="20"/>
                <w:szCs w:val="20"/>
              </w:rPr>
              <w:t>123</w:t>
            </w:r>
            <w:r>
              <w:rPr>
                <w:b/>
                <w:bCs/>
                <w:sz w:val="20"/>
                <w:szCs w:val="20"/>
              </w:rPr>
              <w:t>,</w:t>
            </w:r>
            <w:r w:rsidRPr="005F1FBF">
              <w:rPr>
                <w:b/>
                <w:bCs/>
                <w:sz w:val="20"/>
                <w:szCs w:val="20"/>
              </w:rPr>
              <w:t>887</w:t>
            </w:r>
          </w:p>
        </w:tc>
        <w:tc>
          <w:tcPr>
            <w:tcW w:w="1350" w:type="dxa"/>
            <w:tcBorders>
              <w:top w:val="single" w:sz="4" w:space="0" w:color="auto"/>
              <w:left w:val="nil"/>
              <w:bottom w:val="single" w:sz="12" w:space="0" w:color="auto"/>
              <w:right w:val="nil"/>
            </w:tcBorders>
            <w:shd w:val="clear" w:color="auto" w:fill="auto"/>
            <w:vAlign w:val="bottom"/>
          </w:tcPr>
          <w:p w14:paraId="499FFAAA" w14:textId="61DD1CB7" w:rsidR="00985E10" w:rsidRPr="00F1130C" w:rsidRDefault="00985E10" w:rsidP="00985E10">
            <w:pPr>
              <w:tabs>
                <w:tab w:val="right" w:pos="1202"/>
              </w:tabs>
              <w:spacing w:after="0" w:line="240" w:lineRule="auto"/>
              <w:jc w:val="right"/>
              <w:outlineLvl w:val="0"/>
              <w:rPr>
                <w:b/>
                <w:bCs/>
                <w:sz w:val="20"/>
                <w:szCs w:val="20"/>
              </w:rPr>
            </w:pPr>
            <w:r w:rsidRPr="005F1FBF">
              <w:rPr>
                <w:b/>
                <w:bCs/>
                <w:sz w:val="20"/>
                <w:szCs w:val="20"/>
              </w:rPr>
              <w:t>15</w:t>
            </w:r>
            <w:r>
              <w:rPr>
                <w:b/>
                <w:bCs/>
                <w:sz w:val="20"/>
                <w:szCs w:val="20"/>
              </w:rPr>
              <w:t>,</w:t>
            </w:r>
            <w:r w:rsidRPr="005F1FBF">
              <w:rPr>
                <w:b/>
                <w:bCs/>
                <w:sz w:val="20"/>
                <w:szCs w:val="20"/>
              </w:rPr>
              <w:t>598</w:t>
            </w:r>
          </w:p>
        </w:tc>
      </w:tr>
    </w:tbl>
    <w:p w14:paraId="19BD02AD" w14:textId="77777777" w:rsidR="009702B0" w:rsidRPr="009702B0" w:rsidRDefault="009702B0" w:rsidP="009702B0">
      <w:pPr>
        <w:spacing w:after="0" w:line="240" w:lineRule="auto"/>
        <w:jc w:val="both"/>
        <w:rPr>
          <w:rFonts w:eastAsia="Times New Roman" w:cs="Arial"/>
          <w:b/>
          <w:sz w:val="24"/>
          <w:szCs w:val="24"/>
        </w:rPr>
      </w:pPr>
    </w:p>
    <w:p w14:paraId="031C7587" w14:textId="77777777" w:rsidR="009702B0" w:rsidRPr="009702B0" w:rsidRDefault="009702B0" w:rsidP="009702B0">
      <w:pPr>
        <w:tabs>
          <w:tab w:val="right" w:pos="1202"/>
          <w:tab w:val="left" w:pos="9180"/>
        </w:tabs>
        <w:spacing w:after="0" w:line="240" w:lineRule="auto"/>
        <w:jc w:val="both"/>
        <w:outlineLvl w:val="0"/>
        <w:rPr>
          <w:rFonts w:eastAsia="Times New Roman" w:cs="Arial"/>
        </w:rPr>
      </w:pPr>
      <w:r w:rsidRPr="009702B0">
        <w:rPr>
          <w:rFonts w:eastAsia="Times New Roman" w:cs="Arial"/>
        </w:rPr>
        <w:t>Exposures include loans to other customers, available-for-sale assets, assets held to maturity, other assets and off-balance sheet exposure relating to guarantees, letters of credit and commitments.</w:t>
      </w:r>
    </w:p>
    <w:p w14:paraId="75D564E0" w14:textId="77777777" w:rsidR="009702B0" w:rsidRPr="009702B0" w:rsidRDefault="009702B0" w:rsidP="009702B0">
      <w:pPr>
        <w:tabs>
          <w:tab w:val="right" w:pos="1202"/>
          <w:tab w:val="left" w:pos="9180"/>
        </w:tabs>
        <w:spacing w:after="0" w:line="240" w:lineRule="auto"/>
        <w:jc w:val="both"/>
        <w:outlineLvl w:val="0"/>
        <w:rPr>
          <w:rFonts w:eastAsia="Times New Roman" w:cs="Arial"/>
        </w:rPr>
      </w:pPr>
    </w:p>
    <w:p w14:paraId="168BE55C" w14:textId="77777777" w:rsidR="009702B0" w:rsidRPr="009702B0" w:rsidRDefault="009702B0" w:rsidP="009702B0">
      <w:pPr>
        <w:tabs>
          <w:tab w:val="right" w:pos="1202"/>
          <w:tab w:val="left" w:pos="9180"/>
        </w:tabs>
        <w:spacing w:after="0" w:line="240" w:lineRule="auto"/>
        <w:outlineLvl w:val="0"/>
        <w:rPr>
          <w:rFonts w:eastAsia="Times New Roman" w:cs="Arial"/>
        </w:rPr>
      </w:pPr>
      <w:r w:rsidRPr="009702B0">
        <w:rPr>
          <w:rFonts w:eastAsia="Times New Roman" w:cs="Arial"/>
        </w:rPr>
        <w:t xml:space="preserve">Liabilities include deposits and other liabilities. </w:t>
      </w:r>
    </w:p>
    <w:p w14:paraId="0FEAA7E8" w14:textId="77777777" w:rsidR="009702B0" w:rsidRPr="009702B0" w:rsidRDefault="009702B0" w:rsidP="009702B0">
      <w:pPr>
        <w:tabs>
          <w:tab w:val="right" w:pos="1202"/>
          <w:tab w:val="left" w:pos="9180"/>
        </w:tabs>
        <w:spacing w:after="0" w:line="240" w:lineRule="auto"/>
        <w:jc w:val="both"/>
        <w:outlineLvl w:val="0"/>
        <w:rPr>
          <w:rFonts w:eastAsia="Times New Roman" w:cs="Arial"/>
        </w:rPr>
      </w:pPr>
    </w:p>
    <w:p w14:paraId="38382C93" w14:textId="77777777" w:rsidR="009702B0" w:rsidRPr="009702B0" w:rsidRDefault="009702B0" w:rsidP="009702B0">
      <w:pPr>
        <w:tabs>
          <w:tab w:val="right" w:pos="1202"/>
          <w:tab w:val="left" w:pos="9180"/>
        </w:tabs>
        <w:spacing w:after="0" w:line="240" w:lineRule="auto"/>
        <w:outlineLvl w:val="0"/>
        <w:rPr>
          <w:rFonts w:eastAsia="Times New Roman" w:cs="Arial"/>
        </w:rPr>
      </w:pPr>
      <w:r w:rsidRPr="009702B0">
        <w:rPr>
          <w:rFonts w:eastAsia="Times New Roman" w:cs="Arial"/>
        </w:rPr>
        <w:t xml:space="preserve">Income includes interest income, fee income and reversal of impairment losses and provisions. </w:t>
      </w:r>
    </w:p>
    <w:p w14:paraId="5E12CD35" w14:textId="77777777" w:rsidR="009702B0" w:rsidRPr="009702B0" w:rsidRDefault="009702B0" w:rsidP="009702B0">
      <w:pPr>
        <w:tabs>
          <w:tab w:val="right" w:pos="1202"/>
          <w:tab w:val="left" w:pos="9180"/>
        </w:tabs>
        <w:spacing w:after="0" w:line="240" w:lineRule="auto"/>
        <w:outlineLvl w:val="0"/>
        <w:rPr>
          <w:rFonts w:eastAsia="Times New Roman" w:cs="Arial"/>
        </w:rPr>
      </w:pPr>
      <w:r w:rsidRPr="009702B0">
        <w:rPr>
          <w:rFonts w:eastAsia="Times New Roman" w:cs="Arial"/>
        </w:rPr>
        <w:t>Expense includes impairment losses and provisions.</w:t>
      </w:r>
    </w:p>
    <w:p w14:paraId="125740E0" w14:textId="77777777" w:rsidR="009702B0" w:rsidRPr="009702B0" w:rsidRDefault="009702B0" w:rsidP="009702B0">
      <w:pPr>
        <w:tabs>
          <w:tab w:val="right" w:pos="1202"/>
          <w:tab w:val="left" w:pos="9180"/>
        </w:tabs>
        <w:spacing w:after="0" w:line="240" w:lineRule="auto"/>
        <w:jc w:val="both"/>
        <w:outlineLvl w:val="0"/>
        <w:rPr>
          <w:rFonts w:eastAsia="Times New Roman" w:cs="Arial"/>
        </w:rPr>
        <w:sectPr w:rsidR="009702B0" w:rsidRPr="009702B0" w:rsidSect="00947CB7">
          <w:footerReference w:type="first" r:id="rId73"/>
          <w:pgSz w:w="11906" w:h="16838" w:code="9"/>
          <w:pgMar w:top="1418" w:right="1418" w:bottom="595" w:left="1134" w:header="709" w:footer="709" w:gutter="0"/>
          <w:cols w:space="708"/>
          <w:titlePg/>
          <w:docGrid w:linePitch="360"/>
        </w:sectPr>
      </w:pPr>
    </w:p>
    <w:p w14:paraId="386083F4" w14:textId="77777777" w:rsidR="009702B0" w:rsidRPr="009702B0" w:rsidRDefault="009702B0" w:rsidP="009702B0">
      <w:pPr>
        <w:tabs>
          <w:tab w:val="right" w:pos="1202"/>
          <w:tab w:val="left" w:pos="9180"/>
        </w:tabs>
        <w:spacing w:after="0" w:line="240" w:lineRule="auto"/>
        <w:jc w:val="both"/>
        <w:outlineLvl w:val="0"/>
        <w:rPr>
          <w:rFonts w:eastAsia="Times New Roman" w:cs="Arial"/>
          <w:sz w:val="24"/>
          <w:szCs w:val="24"/>
        </w:rPr>
      </w:pPr>
    </w:p>
    <w:p w14:paraId="69B2F26B" w14:textId="77777777" w:rsidR="009702B0" w:rsidRPr="009702B0" w:rsidRDefault="009702B0" w:rsidP="009702B0">
      <w:pPr>
        <w:keepNext/>
        <w:tabs>
          <w:tab w:val="left" w:pos="567"/>
        </w:tabs>
        <w:spacing w:after="0" w:line="240" w:lineRule="auto"/>
        <w:jc w:val="both"/>
        <w:rPr>
          <w:rFonts w:eastAsia="Times New Roman" w:cs="Arial"/>
          <w:b/>
          <w:bCs/>
        </w:rPr>
      </w:pPr>
      <w:r w:rsidRPr="009702B0">
        <w:rPr>
          <w:rFonts w:eastAsia="Times New Roman" w:cs="Arial"/>
          <w:b/>
        </w:rPr>
        <w:t>15.</w:t>
      </w:r>
      <w:r w:rsidRPr="009702B0">
        <w:rPr>
          <w:rFonts w:eastAsia="Times New Roman" w:cs="Arial"/>
          <w:b/>
        </w:rPr>
        <w:tab/>
        <w:t>Related-party transactions</w:t>
      </w:r>
      <w:r w:rsidRPr="009702B0">
        <w:rPr>
          <w:rFonts w:eastAsia="Times New Roman" w:cs="Arial"/>
          <w:b/>
          <w:bCs/>
        </w:rPr>
        <w:t xml:space="preserve"> (continued)</w:t>
      </w:r>
    </w:p>
    <w:p w14:paraId="110AD75A" w14:textId="77777777" w:rsidR="009702B0" w:rsidRPr="009702B0" w:rsidRDefault="009702B0" w:rsidP="009702B0">
      <w:pPr>
        <w:tabs>
          <w:tab w:val="left" w:pos="567"/>
        </w:tabs>
        <w:spacing w:after="0" w:line="240" w:lineRule="auto"/>
        <w:jc w:val="both"/>
        <w:rPr>
          <w:rFonts w:eastAsia="Times New Roman" w:cs="Arial"/>
          <w:b/>
        </w:rPr>
      </w:pPr>
    </w:p>
    <w:p w14:paraId="67F4616C" w14:textId="77777777" w:rsidR="009702B0" w:rsidRPr="009702B0" w:rsidRDefault="009702B0" w:rsidP="009702B0">
      <w:pPr>
        <w:numPr>
          <w:ilvl w:val="0"/>
          <w:numId w:val="14"/>
        </w:numPr>
        <w:tabs>
          <w:tab w:val="left" w:pos="567"/>
          <w:tab w:val="right" w:pos="1202"/>
        </w:tabs>
        <w:spacing w:after="0" w:line="240" w:lineRule="auto"/>
        <w:ind w:left="426" w:hanging="426"/>
        <w:contextualSpacing/>
        <w:outlineLvl w:val="0"/>
        <w:rPr>
          <w:rFonts w:eastAsia="Times New Roman" w:cs="Arial"/>
        </w:rPr>
      </w:pPr>
      <w:r w:rsidRPr="009702B0">
        <w:rPr>
          <w:rFonts w:eastAsia="Times New Roman" w:cs="Arial"/>
        </w:rPr>
        <w:t xml:space="preserve">   Collateral received</w:t>
      </w:r>
    </w:p>
    <w:p w14:paraId="254A6240" w14:textId="77777777" w:rsidR="009702B0" w:rsidRPr="009702B0" w:rsidRDefault="009702B0" w:rsidP="009702B0">
      <w:pPr>
        <w:tabs>
          <w:tab w:val="right" w:pos="1202"/>
        </w:tabs>
        <w:spacing w:after="0" w:line="240" w:lineRule="auto"/>
        <w:ind w:left="360"/>
        <w:contextualSpacing/>
        <w:outlineLvl w:val="0"/>
        <w:rPr>
          <w:rFonts w:eastAsia="Times New Roman" w:cs="Arial"/>
          <w:sz w:val="24"/>
          <w:szCs w:val="24"/>
        </w:rPr>
      </w:pPr>
    </w:p>
    <w:tbl>
      <w:tblPr>
        <w:tblW w:w="4895" w:type="pct"/>
        <w:tblInd w:w="198" w:type="dxa"/>
        <w:tblLayout w:type="fixed"/>
        <w:tblCellMar>
          <w:left w:w="56" w:type="dxa"/>
          <w:right w:w="56" w:type="dxa"/>
        </w:tblCellMar>
        <w:tblLook w:val="00A0" w:firstRow="1" w:lastRow="0" w:firstColumn="1" w:lastColumn="0" w:noHBand="0" w:noVBand="0"/>
      </w:tblPr>
      <w:tblGrid>
        <w:gridCol w:w="3782"/>
        <w:gridCol w:w="1405"/>
        <w:gridCol w:w="1401"/>
        <w:gridCol w:w="1260"/>
        <w:gridCol w:w="1310"/>
      </w:tblGrid>
      <w:tr w:rsidR="009702B0" w:rsidRPr="009702B0" w14:paraId="44457BF4" w14:textId="77777777" w:rsidTr="009702B0">
        <w:trPr>
          <w:trHeight w:val="208"/>
        </w:trPr>
        <w:tc>
          <w:tcPr>
            <w:tcW w:w="2065" w:type="pct"/>
            <w:vAlign w:val="bottom"/>
          </w:tcPr>
          <w:p w14:paraId="31A7E7F3" w14:textId="77777777" w:rsidR="009702B0" w:rsidRPr="009702B0" w:rsidRDefault="009702B0" w:rsidP="009702B0">
            <w:pPr>
              <w:tabs>
                <w:tab w:val="right" w:pos="1202"/>
              </w:tabs>
              <w:spacing w:after="0" w:line="240" w:lineRule="auto"/>
              <w:jc w:val="right"/>
              <w:outlineLvl w:val="0"/>
              <w:rPr>
                <w:rFonts w:eastAsia="Times New Roman" w:cs="Arial"/>
                <w:sz w:val="20"/>
                <w:szCs w:val="20"/>
              </w:rPr>
            </w:pPr>
          </w:p>
        </w:tc>
        <w:tc>
          <w:tcPr>
            <w:tcW w:w="1532" w:type="pct"/>
            <w:gridSpan w:val="2"/>
          </w:tcPr>
          <w:p w14:paraId="117A1FAF" w14:textId="77777777" w:rsidR="009702B0" w:rsidRPr="009702B0" w:rsidRDefault="009702B0" w:rsidP="009702B0">
            <w:pPr>
              <w:tabs>
                <w:tab w:val="right" w:pos="1202"/>
              </w:tabs>
              <w:spacing w:after="0" w:line="240" w:lineRule="auto"/>
              <w:jc w:val="right"/>
              <w:outlineLvl w:val="0"/>
              <w:rPr>
                <w:rFonts w:eastAsia="Times New Roman" w:cs="Arial"/>
                <w:b/>
                <w:sz w:val="20"/>
                <w:szCs w:val="20"/>
              </w:rPr>
            </w:pPr>
            <w:r w:rsidRPr="009702B0">
              <w:rPr>
                <w:rFonts w:eastAsia="Times New Roman" w:cs="Arial"/>
                <w:b/>
                <w:sz w:val="20"/>
                <w:szCs w:val="20"/>
              </w:rPr>
              <w:t>Group</w:t>
            </w:r>
          </w:p>
        </w:tc>
        <w:tc>
          <w:tcPr>
            <w:tcW w:w="1403" w:type="pct"/>
            <w:gridSpan w:val="2"/>
          </w:tcPr>
          <w:p w14:paraId="151E3E37" w14:textId="77777777" w:rsidR="009702B0" w:rsidRPr="009702B0" w:rsidRDefault="009702B0" w:rsidP="009702B0">
            <w:pPr>
              <w:tabs>
                <w:tab w:val="right" w:pos="1202"/>
              </w:tabs>
              <w:spacing w:after="0" w:line="240" w:lineRule="auto"/>
              <w:jc w:val="right"/>
              <w:outlineLvl w:val="0"/>
              <w:rPr>
                <w:rFonts w:eastAsia="Times New Roman" w:cs="Arial"/>
                <w:b/>
                <w:sz w:val="20"/>
                <w:szCs w:val="20"/>
              </w:rPr>
            </w:pPr>
            <w:r w:rsidRPr="009702B0">
              <w:rPr>
                <w:rFonts w:eastAsia="Times New Roman" w:cs="Arial"/>
                <w:b/>
                <w:sz w:val="20"/>
                <w:szCs w:val="20"/>
              </w:rPr>
              <w:t>Bank</w:t>
            </w:r>
          </w:p>
        </w:tc>
      </w:tr>
      <w:tr w:rsidR="009702B0" w:rsidRPr="009702B0" w14:paraId="6C50CC16" w14:textId="77777777" w:rsidTr="009702B0">
        <w:trPr>
          <w:trHeight w:val="182"/>
        </w:trPr>
        <w:tc>
          <w:tcPr>
            <w:tcW w:w="2065" w:type="pct"/>
            <w:vAlign w:val="bottom"/>
          </w:tcPr>
          <w:p w14:paraId="38B10D6B" w14:textId="77777777" w:rsidR="009702B0" w:rsidRPr="009702B0" w:rsidRDefault="009702B0" w:rsidP="009702B0">
            <w:pPr>
              <w:tabs>
                <w:tab w:val="right" w:pos="1202"/>
              </w:tabs>
              <w:spacing w:after="0" w:line="240" w:lineRule="auto"/>
              <w:jc w:val="right"/>
              <w:outlineLvl w:val="0"/>
              <w:rPr>
                <w:rFonts w:eastAsia="Times New Roman" w:cs="Arial"/>
                <w:sz w:val="20"/>
                <w:szCs w:val="20"/>
              </w:rPr>
            </w:pPr>
          </w:p>
        </w:tc>
        <w:tc>
          <w:tcPr>
            <w:tcW w:w="767" w:type="pct"/>
            <w:vAlign w:val="center"/>
          </w:tcPr>
          <w:p w14:paraId="7B5C8A2C" w14:textId="7AA384D3" w:rsidR="009702B0" w:rsidRPr="009702B0" w:rsidRDefault="009A674B">
            <w:pPr>
              <w:spacing w:after="0" w:line="240" w:lineRule="auto"/>
              <w:jc w:val="right"/>
              <w:rPr>
                <w:rFonts w:eastAsia="Times New Roman" w:cs="Arial"/>
                <w:b/>
                <w:bCs/>
                <w:sz w:val="20"/>
                <w:szCs w:val="20"/>
              </w:rPr>
            </w:pPr>
            <w:r>
              <w:rPr>
                <w:rFonts w:eastAsia="Times New Roman" w:cs="Arial"/>
                <w:b/>
                <w:bCs/>
                <w:sz w:val="20"/>
                <w:szCs w:val="20"/>
              </w:rPr>
              <w:t>Sep</w:t>
            </w:r>
            <w:r w:rsidRPr="0059255C">
              <w:rPr>
                <w:rFonts w:eastAsia="Times New Roman" w:cs="Arial"/>
                <w:b/>
                <w:bCs/>
                <w:sz w:val="20"/>
                <w:szCs w:val="20"/>
              </w:rPr>
              <w:t xml:space="preserve"> </w:t>
            </w:r>
            <w:r w:rsidR="0059255C" w:rsidRPr="0059255C">
              <w:rPr>
                <w:rFonts w:eastAsia="Times New Roman" w:cs="Arial"/>
                <w:b/>
                <w:bCs/>
                <w:sz w:val="20"/>
                <w:szCs w:val="20"/>
              </w:rPr>
              <w:t>30</w:t>
            </w:r>
            <w:r w:rsidR="00D0783E" w:rsidRPr="00D0783E">
              <w:rPr>
                <w:rFonts w:eastAsia="Times New Roman" w:cs="Arial"/>
                <w:b/>
                <w:bCs/>
                <w:sz w:val="20"/>
                <w:szCs w:val="20"/>
              </w:rPr>
              <w:t>, 2017</w:t>
            </w:r>
          </w:p>
        </w:tc>
        <w:tc>
          <w:tcPr>
            <w:tcW w:w="765" w:type="pct"/>
            <w:vAlign w:val="center"/>
          </w:tcPr>
          <w:p w14:paraId="282DC50E" w14:textId="77777777" w:rsidR="009702B0" w:rsidRPr="009702B0" w:rsidRDefault="009702B0" w:rsidP="00D0783E">
            <w:pPr>
              <w:spacing w:after="0" w:line="240" w:lineRule="auto"/>
              <w:jc w:val="right"/>
              <w:rPr>
                <w:rFonts w:eastAsia="Times New Roman" w:cs="Arial"/>
                <w:b/>
                <w:sz w:val="20"/>
                <w:szCs w:val="20"/>
              </w:rPr>
            </w:pPr>
            <w:r w:rsidRPr="009702B0">
              <w:rPr>
                <w:rFonts w:eastAsia="Times New Roman" w:cs="Arial"/>
                <w:b/>
                <w:sz w:val="20"/>
                <w:szCs w:val="20"/>
              </w:rPr>
              <w:t>Dec 31, 201</w:t>
            </w:r>
            <w:r w:rsidR="00D0783E">
              <w:rPr>
                <w:rFonts w:eastAsia="Times New Roman" w:cs="Arial"/>
                <w:b/>
                <w:sz w:val="20"/>
                <w:szCs w:val="20"/>
              </w:rPr>
              <w:t>6</w:t>
            </w:r>
          </w:p>
        </w:tc>
        <w:tc>
          <w:tcPr>
            <w:tcW w:w="688" w:type="pct"/>
            <w:vAlign w:val="center"/>
          </w:tcPr>
          <w:p w14:paraId="7EED625B" w14:textId="6E2B8584" w:rsidR="009702B0" w:rsidRPr="009702B0" w:rsidRDefault="009A674B" w:rsidP="009702B0">
            <w:pPr>
              <w:spacing w:after="0" w:line="240" w:lineRule="auto"/>
              <w:jc w:val="right"/>
              <w:rPr>
                <w:rFonts w:eastAsia="Times New Roman" w:cs="Arial"/>
                <w:b/>
                <w:bCs/>
                <w:sz w:val="20"/>
                <w:szCs w:val="20"/>
              </w:rPr>
            </w:pPr>
            <w:r>
              <w:rPr>
                <w:rFonts w:eastAsia="Times New Roman" w:cs="Arial"/>
                <w:b/>
                <w:bCs/>
                <w:sz w:val="20"/>
                <w:szCs w:val="20"/>
              </w:rPr>
              <w:t>Sep</w:t>
            </w:r>
            <w:r w:rsidRPr="0059255C">
              <w:rPr>
                <w:rFonts w:eastAsia="Times New Roman" w:cs="Arial"/>
                <w:b/>
                <w:bCs/>
                <w:sz w:val="20"/>
                <w:szCs w:val="20"/>
              </w:rPr>
              <w:t xml:space="preserve"> </w:t>
            </w:r>
            <w:r w:rsidR="0059255C" w:rsidRPr="0059255C">
              <w:rPr>
                <w:rFonts w:eastAsia="Times New Roman" w:cs="Arial"/>
                <w:b/>
                <w:bCs/>
                <w:sz w:val="20"/>
                <w:szCs w:val="20"/>
              </w:rPr>
              <w:t>30</w:t>
            </w:r>
            <w:r w:rsidR="00D0783E" w:rsidRPr="00D0783E">
              <w:rPr>
                <w:rFonts w:eastAsia="Times New Roman" w:cs="Arial"/>
                <w:b/>
                <w:bCs/>
                <w:sz w:val="20"/>
                <w:szCs w:val="20"/>
              </w:rPr>
              <w:t>, 2017</w:t>
            </w:r>
          </w:p>
        </w:tc>
        <w:tc>
          <w:tcPr>
            <w:tcW w:w="715" w:type="pct"/>
            <w:vAlign w:val="center"/>
          </w:tcPr>
          <w:p w14:paraId="73E326B4" w14:textId="77777777" w:rsidR="009702B0" w:rsidRPr="009702B0" w:rsidRDefault="009702B0" w:rsidP="00D0783E">
            <w:pPr>
              <w:spacing w:after="0" w:line="240" w:lineRule="auto"/>
              <w:jc w:val="right"/>
              <w:rPr>
                <w:rFonts w:eastAsia="Times New Roman" w:cs="Arial"/>
                <w:b/>
                <w:sz w:val="20"/>
                <w:szCs w:val="20"/>
              </w:rPr>
            </w:pPr>
            <w:r w:rsidRPr="009702B0">
              <w:rPr>
                <w:rFonts w:eastAsia="Times New Roman" w:cs="Arial"/>
                <w:b/>
                <w:sz w:val="20"/>
                <w:szCs w:val="20"/>
              </w:rPr>
              <w:t>Dec 31, 201</w:t>
            </w:r>
            <w:r w:rsidR="00D0783E">
              <w:rPr>
                <w:rFonts w:eastAsia="Times New Roman" w:cs="Arial"/>
                <w:b/>
                <w:sz w:val="20"/>
                <w:szCs w:val="20"/>
              </w:rPr>
              <w:t>6</w:t>
            </w:r>
          </w:p>
        </w:tc>
      </w:tr>
      <w:tr w:rsidR="009702B0" w:rsidRPr="009702B0" w14:paraId="5F0A79D5" w14:textId="77777777" w:rsidTr="009702B0">
        <w:trPr>
          <w:trHeight w:val="190"/>
        </w:trPr>
        <w:tc>
          <w:tcPr>
            <w:tcW w:w="2065" w:type="pct"/>
            <w:vAlign w:val="bottom"/>
          </w:tcPr>
          <w:p w14:paraId="72B25C34" w14:textId="77777777" w:rsidR="009702B0" w:rsidRPr="009702B0" w:rsidRDefault="009702B0" w:rsidP="009702B0">
            <w:pPr>
              <w:tabs>
                <w:tab w:val="right" w:pos="1202"/>
              </w:tabs>
              <w:spacing w:after="0" w:line="240" w:lineRule="auto"/>
              <w:outlineLvl w:val="0"/>
              <w:rPr>
                <w:rFonts w:eastAsia="Times New Roman" w:cs="Arial"/>
                <w:b/>
                <w:sz w:val="20"/>
                <w:szCs w:val="20"/>
              </w:rPr>
            </w:pPr>
          </w:p>
        </w:tc>
        <w:tc>
          <w:tcPr>
            <w:tcW w:w="767" w:type="pct"/>
          </w:tcPr>
          <w:p w14:paraId="3F882C9A" w14:textId="77777777" w:rsidR="009702B0" w:rsidRPr="009702B0" w:rsidRDefault="009702B0" w:rsidP="009702B0">
            <w:pPr>
              <w:tabs>
                <w:tab w:val="right" w:pos="1202"/>
              </w:tabs>
              <w:spacing w:after="0" w:line="240" w:lineRule="auto"/>
              <w:jc w:val="right"/>
              <w:outlineLvl w:val="0"/>
              <w:rPr>
                <w:rFonts w:eastAsia="Times New Roman" w:cs="Arial"/>
                <w:bCs/>
                <w:sz w:val="20"/>
                <w:szCs w:val="20"/>
              </w:rPr>
            </w:pPr>
          </w:p>
        </w:tc>
        <w:tc>
          <w:tcPr>
            <w:tcW w:w="765" w:type="pct"/>
          </w:tcPr>
          <w:p w14:paraId="6623F792" w14:textId="77777777" w:rsidR="009702B0" w:rsidRPr="009702B0" w:rsidRDefault="009702B0" w:rsidP="009702B0">
            <w:pPr>
              <w:tabs>
                <w:tab w:val="right" w:pos="1202"/>
              </w:tabs>
              <w:spacing w:after="0" w:line="240" w:lineRule="auto"/>
              <w:jc w:val="right"/>
              <w:outlineLvl w:val="0"/>
              <w:rPr>
                <w:rFonts w:eastAsia="Times New Roman" w:cs="Arial"/>
                <w:bCs/>
                <w:sz w:val="20"/>
                <w:szCs w:val="20"/>
              </w:rPr>
            </w:pPr>
          </w:p>
        </w:tc>
        <w:tc>
          <w:tcPr>
            <w:tcW w:w="688" w:type="pct"/>
            <w:vAlign w:val="bottom"/>
          </w:tcPr>
          <w:p w14:paraId="0CDD7DE6" w14:textId="77777777" w:rsidR="009702B0" w:rsidRPr="009702B0" w:rsidRDefault="009702B0" w:rsidP="009702B0">
            <w:pPr>
              <w:tabs>
                <w:tab w:val="right" w:pos="1202"/>
              </w:tabs>
              <w:spacing w:after="0" w:line="240" w:lineRule="auto"/>
              <w:jc w:val="right"/>
              <w:outlineLvl w:val="0"/>
              <w:rPr>
                <w:rFonts w:eastAsia="Times New Roman" w:cs="Arial"/>
                <w:bCs/>
                <w:sz w:val="20"/>
                <w:szCs w:val="20"/>
              </w:rPr>
            </w:pPr>
          </w:p>
        </w:tc>
        <w:tc>
          <w:tcPr>
            <w:tcW w:w="715" w:type="pct"/>
            <w:vAlign w:val="bottom"/>
          </w:tcPr>
          <w:p w14:paraId="28339C93" w14:textId="77777777" w:rsidR="009702B0" w:rsidRPr="009702B0" w:rsidRDefault="009702B0" w:rsidP="009702B0">
            <w:pPr>
              <w:tabs>
                <w:tab w:val="right" w:pos="1202"/>
              </w:tabs>
              <w:spacing w:after="0" w:line="240" w:lineRule="auto"/>
              <w:jc w:val="right"/>
              <w:outlineLvl w:val="0"/>
              <w:rPr>
                <w:rFonts w:eastAsia="Times New Roman" w:cs="Arial"/>
                <w:bCs/>
                <w:sz w:val="20"/>
                <w:szCs w:val="20"/>
              </w:rPr>
            </w:pPr>
          </w:p>
        </w:tc>
      </w:tr>
      <w:tr w:rsidR="00985E10" w:rsidRPr="009702B0" w14:paraId="49D4CB4C" w14:textId="77777777" w:rsidTr="006B318F">
        <w:trPr>
          <w:trHeight w:val="370"/>
        </w:trPr>
        <w:tc>
          <w:tcPr>
            <w:tcW w:w="2065" w:type="pct"/>
            <w:vAlign w:val="bottom"/>
          </w:tcPr>
          <w:p w14:paraId="2FF0D6B1" w14:textId="77777777" w:rsidR="00985E10" w:rsidRPr="009702B0" w:rsidRDefault="00985E10" w:rsidP="00985E10">
            <w:pPr>
              <w:tabs>
                <w:tab w:val="right" w:pos="1202"/>
              </w:tabs>
              <w:spacing w:after="0" w:line="240" w:lineRule="auto"/>
              <w:outlineLvl w:val="0"/>
              <w:rPr>
                <w:rFonts w:eastAsia="Times New Roman" w:cs="Arial"/>
                <w:sz w:val="20"/>
                <w:szCs w:val="20"/>
              </w:rPr>
            </w:pPr>
            <w:r w:rsidRPr="009702B0">
              <w:rPr>
                <w:rFonts w:eastAsia="Times New Roman" w:cs="Arial"/>
                <w:sz w:val="20"/>
                <w:szCs w:val="20"/>
              </w:rPr>
              <w:t>The Republic of Croatia</w:t>
            </w:r>
          </w:p>
        </w:tc>
        <w:tc>
          <w:tcPr>
            <w:tcW w:w="767" w:type="pct"/>
            <w:vAlign w:val="bottom"/>
          </w:tcPr>
          <w:p w14:paraId="456916DF" w14:textId="16AE0454" w:rsidR="00985E10" w:rsidRPr="006B318F" w:rsidRDefault="00985E10" w:rsidP="006B318F">
            <w:pPr>
              <w:pStyle w:val="TT"/>
              <w:jc w:val="right"/>
              <w:rPr>
                <w:rFonts w:asciiTheme="minorHAnsi" w:hAnsiTheme="minorHAnsi"/>
                <w:sz w:val="20"/>
              </w:rPr>
            </w:pPr>
            <w:r w:rsidRPr="006B318F">
              <w:rPr>
                <w:rFonts w:asciiTheme="minorHAnsi" w:hAnsiTheme="minorHAnsi"/>
                <w:sz w:val="20"/>
              </w:rPr>
              <w:t>3,668,156</w:t>
            </w:r>
          </w:p>
        </w:tc>
        <w:tc>
          <w:tcPr>
            <w:tcW w:w="765" w:type="pct"/>
            <w:vAlign w:val="bottom"/>
          </w:tcPr>
          <w:p w14:paraId="6B9F494B" w14:textId="77777777" w:rsidR="00985E10" w:rsidRPr="002A6FA6" w:rsidRDefault="00985E10" w:rsidP="00985E10">
            <w:pPr>
              <w:pStyle w:val="TT"/>
              <w:jc w:val="right"/>
              <w:rPr>
                <w:rFonts w:asciiTheme="minorHAnsi" w:hAnsiTheme="minorHAnsi"/>
                <w:sz w:val="20"/>
                <w:lang w:val="de-DE"/>
              </w:rPr>
            </w:pPr>
            <w:r w:rsidRPr="002A6FA6">
              <w:rPr>
                <w:rFonts w:asciiTheme="minorHAnsi" w:hAnsiTheme="minorHAnsi"/>
                <w:sz w:val="20"/>
              </w:rPr>
              <w:t>3</w:t>
            </w:r>
            <w:r>
              <w:rPr>
                <w:rFonts w:asciiTheme="minorHAnsi" w:hAnsiTheme="minorHAnsi"/>
                <w:sz w:val="20"/>
              </w:rPr>
              <w:t>,</w:t>
            </w:r>
            <w:r w:rsidRPr="002A6FA6">
              <w:rPr>
                <w:rFonts w:asciiTheme="minorHAnsi" w:hAnsiTheme="minorHAnsi"/>
                <w:sz w:val="20"/>
              </w:rPr>
              <w:t>092</w:t>
            </w:r>
            <w:r>
              <w:rPr>
                <w:rFonts w:asciiTheme="minorHAnsi" w:hAnsiTheme="minorHAnsi"/>
                <w:sz w:val="20"/>
              </w:rPr>
              <w:t>,</w:t>
            </w:r>
            <w:r w:rsidRPr="002A6FA6">
              <w:rPr>
                <w:rFonts w:asciiTheme="minorHAnsi" w:hAnsiTheme="minorHAnsi"/>
                <w:sz w:val="20"/>
              </w:rPr>
              <w:t>258</w:t>
            </w:r>
          </w:p>
        </w:tc>
        <w:tc>
          <w:tcPr>
            <w:tcW w:w="688" w:type="pct"/>
            <w:vAlign w:val="bottom"/>
          </w:tcPr>
          <w:p w14:paraId="58CBABBE" w14:textId="2CE8C93B" w:rsidR="00985E10" w:rsidRPr="006B318F" w:rsidRDefault="00985E10" w:rsidP="006B318F">
            <w:pPr>
              <w:pStyle w:val="TT"/>
              <w:jc w:val="right"/>
              <w:rPr>
                <w:rFonts w:asciiTheme="minorHAnsi" w:hAnsiTheme="minorHAnsi"/>
                <w:sz w:val="20"/>
              </w:rPr>
            </w:pPr>
            <w:r w:rsidRPr="006B318F">
              <w:rPr>
                <w:rFonts w:asciiTheme="minorHAnsi" w:hAnsiTheme="minorHAnsi"/>
                <w:sz w:val="20"/>
              </w:rPr>
              <w:t>3,571,221</w:t>
            </w:r>
          </w:p>
        </w:tc>
        <w:tc>
          <w:tcPr>
            <w:tcW w:w="715" w:type="pct"/>
            <w:vAlign w:val="bottom"/>
          </w:tcPr>
          <w:p w14:paraId="18888EA3" w14:textId="77777777" w:rsidR="00985E10" w:rsidRPr="002A6FA6" w:rsidRDefault="00985E10" w:rsidP="00985E10">
            <w:pPr>
              <w:pStyle w:val="TT"/>
              <w:jc w:val="right"/>
              <w:rPr>
                <w:rFonts w:asciiTheme="minorHAnsi" w:hAnsiTheme="minorHAnsi"/>
                <w:sz w:val="20"/>
                <w:lang w:val="de-DE"/>
              </w:rPr>
            </w:pPr>
            <w:r w:rsidRPr="002A6FA6">
              <w:rPr>
                <w:rFonts w:asciiTheme="minorHAnsi" w:hAnsiTheme="minorHAnsi"/>
                <w:sz w:val="20"/>
              </w:rPr>
              <w:t>3</w:t>
            </w:r>
            <w:r>
              <w:rPr>
                <w:rFonts w:asciiTheme="minorHAnsi" w:hAnsiTheme="minorHAnsi"/>
                <w:sz w:val="20"/>
              </w:rPr>
              <w:t>,</w:t>
            </w:r>
            <w:r w:rsidRPr="002A6FA6">
              <w:rPr>
                <w:rFonts w:asciiTheme="minorHAnsi" w:hAnsiTheme="minorHAnsi"/>
                <w:sz w:val="20"/>
              </w:rPr>
              <w:t>007</w:t>
            </w:r>
            <w:r>
              <w:rPr>
                <w:rFonts w:asciiTheme="minorHAnsi" w:hAnsiTheme="minorHAnsi"/>
                <w:sz w:val="20"/>
              </w:rPr>
              <w:t>,</w:t>
            </w:r>
            <w:r w:rsidRPr="002A6FA6">
              <w:rPr>
                <w:rFonts w:asciiTheme="minorHAnsi" w:hAnsiTheme="minorHAnsi"/>
                <w:sz w:val="20"/>
              </w:rPr>
              <w:t>698</w:t>
            </w:r>
          </w:p>
        </w:tc>
      </w:tr>
      <w:tr w:rsidR="00985E10" w:rsidRPr="009702B0" w14:paraId="63481A01" w14:textId="77777777" w:rsidTr="006B318F">
        <w:trPr>
          <w:trHeight w:val="370"/>
        </w:trPr>
        <w:tc>
          <w:tcPr>
            <w:tcW w:w="2065" w:type="pct"/>
            <w:vAlign w:val="bottom"/>
          </w:tcPr>
          <w:p w14:paraId="0387F269" w14:textId="77777777" w:rsidR="00985E10" w:rsidRPr="009702B0" w:rsidRDefault="00985E10" w:rsidP="00985E10">
            <w:pPr>
              <w:tabs>
                <w:tab w:val="right" w:pos="1202"/>
              </w:tabs>
              <w:spacing w:after="0" w:line="240" w:lineRule="auto"/>
              <w:outlineLvl w:val="0"/>
              <w:rPr>
                <w:rFonts w:eastAsia="Times New Roman" w:cs="Arial"/>
                <w:sz w:val="20"/>
                <w:szCs w:val="20"/>
              </w:rPr>
            </w:pPr>
            <w:r w:rsidRPr="009702B0">
              <w:rPr>
                <w:rFonts w:eastAsia="Times New Roman" w:cs="Arial"/>
                <w:sz w:val="20"/>
                <w:szCs w:val="20"/>
              </w:rPr>
              <w:t>State agencies</w:t>
            </w:r>
          </w:p>
        </w:tc>
        <w:tc>
          <w:tcPr>
            <w:tcW w:w="767" w:type="pct"/>
            <w:tcBorders>
              <w:bottom w:val="single" w:sz="4" w:space="0" w:color="auto"/>
            </w:tcBorders>
            <w:vAlign w:val="bottom"/>
          </w:tcPr>
          <w:p w14:paraId="116B6AC8" w14:textId="797CB78B" w:rsidR="00985E10" w:rsidRPr="006B318F" w:rsidRDefault="00985E10" w:rsidP="006B318F">
            <w:pPr>
              <w:pStyle w:val="TT"/>
              <w:jc w:val="right"/>
              <w:rPr>
                <w:rFonts w:asciiTheme="minorHAnsi" w:hAnsiTheme="minorHAnsi"/>
                <w:sz w:val="20"/>
              </w:rPr>
            </w:pPr>
            <w:r w:rsidRPr="006B318F">
              <w:rPr>
                <w:rFonts w:asciiTheme="minorHAnsi" w:hAnsiTheme="minorHAnsi"/>
                <w:sz w:val="20"/>
              </w:rPr>
              <w:t>576,863</w:t>
            </w:r>
          </w:p>
        </w:tc>
        <w:tc>
          <w:tcPr>
            <w:tcW w:w="765" w:type="pct"/>
            <w:tcBorders>
              <w:bottom w:val="single" w:sz="8" w:space="0" w:color="auto"/>
            </w:tcBorders>
            <w:vAlign w:val="bottom"/>
          </w:tcPr>
          <w:p w14:paraId="60EC3CD1" w14:textId="77777777" w:rsidR="00985E10" w:rsidRPr="002A6FA6" w:rsidRDefault="00985E10" w:rsidP="00985E10">
            <w:pPr>
              <w:pStyle w:val="TT"/>
              <w:jc w:val="right"/>
              <w:rPr>
                <w:rFonts w:asciiTheme="minorHAnsi" w:hAnsiTheme="minorHAnsi"/>
                <w:sz w:val="20"/>
                <w:lang w:val="de-DE"/>
              </w:rPr>
            </w:pPr>
            <w:r w:rsidRPr="002A6FA6">
              <w:rPr>
                <w:rFonts w:asciiTheme="minorHAnsi" w:hAnsiTheme="minorHAnsi"/>
                <w:sz w:val="20"/>
              </w:rPr>
              <w:t>603</w:t>
            </w:r>
            <w:r>
              <w:rPr>
                <w:rFonts w:asciiTheme="minorHAnsi" w:hAnsiTheme="minorHAnsi"/>
                <w:sz w:val="20"/>
              </w:rPr>
              <w:t>,</w:t>
            </w:r>
            <w:r w:rsidRPr="002A6FA6">
              <w:rPr>
                <w:rFonts w:asciiTheme="minorHAnsi" w:hAnsiTheme="minorHAnsi"/>
                <w:sz w:val="20"/>
              </w:rPr>
              <w:t>215</w:t>
            </w:r>
          </w:p>
        </w:tc>
        <w:tc>
          <w:tcPr>
            <w:tcW w:w="688" w:type="pct"/>
            <w:tcBorders>
              <w:bottom w:val="single" w:sz="4" w:space="0" w:color="auto"/>
            </w:tcBorders>
            <w:vAlign w:val="bottom"/>
          </w:tcPr>
          <w:p w14:paraId="61E606AC" w14:textId="409A4AE7" w:rsidR="00985E10" w:rsidRPr="006B318F" w:rsidRDefault="00985E10" w:rsidP="006B318F">
            <w:pPr>
              <w:pStyle w:val="TT"/>
              <w:jc w:val="right"/>
              <w:rPr>
                <w:rFonts w:asciiTheme="minorHAnsi" w:hAnsiTheme="minorHAnsi"/>
                <w:sz w:val="20"/>
              </w:rPr>
            </w:pPr>
            <w:r w:rsidRPr="006B318F">
              <w:rPr>
                <w:rFonts w:asciiTheme="minorHAnsi" w:hAnsiTheme="minorHAnsi"/>
                <w:sz w:val="20"/>
              </w:rPr>
              <w:t>576,863</w:t>
            </w:r>
          </w:p>
        </w:tc>
        <w:tc>
          <w:tcPr>
            <w:tcW w:w="715" w:type="pct"/>
            <w:tcBorders>
              <w:bottom w:val="single" w:sz="8" w:space="0" w:color="auto"/>
            </w:tcBorders>
            <w:vAlign w:val="bottom"/>
          </w:tcPr>
          <w:p w14:paraId="509AF223" w14:textId="77777777" w:rsidR="00985E10" w:rsidRPr="002A6FA6" w:rsidRDefault="00985E10" w:rsidP="00985E10">
            <w:pPr>
              <w:pStyle w:val="TT"/>
              <w:jc w:val="right"/>
              <w:rPr>
                <w:rFonts w:asciiTheme="minorHAnsi" w:hAnsiTheme="minorHAnsi"/>
                <w:sz w:val="20"/>
                <w:lang w:val="de-DE"/>
              </w:rPr>
            </w:pPr>
            <w:r w:rsidRPr="002A6FA6">
              <w:rPr>
                <w:rFonts w:asciiTheme="minorHAnsi" w:hAnsiTheme="minorHAnsi"/>
                <w:sz w:val="20"/>
              </w:rPr>
              <w:t>603</w:t>
            </w:r>
            <w:r>
              <w:rPr>
                <w:rFonts w:asciiTheme="minorHAnsi" w:hAnsiTheme="minorHAnsi"/>
                <w:sz w:val="20"/>
              </w:rPr>
              <w:t>,</w:t>
            </w:r>
            <w:r w:rsidRPr="002A6FA6">
              <w:rPr>
                <w:rFonts w:asciiTheme="minorHAnsi" w:hAnsiTheme="minorHAnsi"/>
                <w:sz w:val="20"/>
              </w:rPr>
              <w:t>215</w:t>
            </w:r>
          </w:p>
        </w:tc>
      </w:tr>
      <w:tr w:rsidR="00985E10" w:rsidRPr="009702B0" w14:paraId="465A0259" w14:textId="77777777" w:rsidTr="006B318F">
        <w:trPr>
          <w:trHeight w:val="370"/>
        </w:trPr>
        <w:tc>
          <w:tcPr>
            <w:tcW w:w="2065" w:type="pct"/>
            <w:vAlign w:val="bottom"/>
          </w:tcPr>
          <w:p w14:paraId="601A8AC7" w14:textId="77777777" w:rsidR="00985E10" w:rsidRPr="009702B0" w:rsidRDefault="00985E10" w:rsidP="00985E10">
            <w:pPr>
              <w:tabs>
                <w:tab w:val="right" w:pos="1202"/>
              </w:tabs>
              <w:spacing w:after="0" w:line="240" w:lineRule="auto"/>
              <w:outlineLvl w:val="0"/>
              <w:rPr>
                <w:rFonts w:eastAsia="Times New Roman" w:cs="Arial"/>
                <w:b/>
                <w:sz w:val="20"/>
                <w:szCs w:val="20"/>
              </w:rPr>
            </w:pPr>
            <w:r w:rsidRPr="009702B0">
              <w:rPr>
                <w:rFonts w:eastAsia="Times New Roman" w:cs="Arial"/>
                <w:b/>
                <w:sz w:val="20"/>
                <w:szCs w:val="20"/>
              </w:rPr>
              <w:t>Total</w:t>
            </w:r>
          </w:p>
        </w:tc>
        <w:tc>
          <w:tcPr>
            <w:tcW w:w="767" w:type="pct"/>
            <w:tcBorders>
              <w:top w:val="single" w:sz="4" w:space="0" w:color="auto"/>
              <w:bottom w:val="single" w:sz="12" w:space="0" w:color="auto"/>
            </w:tcBorders>
            <w:vAlign w:val="bottom"/>
          </w:tcPr>
          <w:p w14:paraId="754ADC24" w14:textId="7A38600C" w:rsidR="00985E10" w:rsidRPr="006B318F" w:rsidRDefault="00985E10" w:rsidP="006B318F">
            <w:pPr>
              <w:pStyle w:val="TT"/>
              <w:jc w:val="right"/>
              <w:rPr>
                <w:rFonts w:asciiTheme="minorHAnsi" w:hAnsiTheme="minorHAnsi" w:cs="Arial"/>
                <w:b/>
                <w:bCs/>
                <w:sz w:val="20"/>
                <w:lang w:val="hr-HR"/>
              </w:rPr>
            </w:pPr>
            <w:r>
              <w:rPr>
                <w:rFonts w:asciiTheme="minorHAnsi" w:hAnsiTheme="minorHAnsi" w:cs="Arial"/>
                <w:b/>
                <w:bCs/>
                <w:sz w:val="20"/>
                <w:lang w:val="hr-HR"/>
              </w:rPr>
              <w:t>4,245,019</w:t>
            </w:r>
          </w:p>
        </w:tc>
        <w:tc>
          <w:tcPr>
            <w:tcW w:w="765" w:type="pct"/>
            <w:tcBorders>
              <w:top w:val="single" w:sz="8" w:space="0" w:color="auto"/>
              <w:bottom w:val="single" w:sz="12" w:space="0" w:color="auto"/>
            </w:tcBorders>
            <w:vAlign w:val="bottom"/>
          </w:tcPr>
          <w:p w14:paraId="53EC47D7" w14:textId="77777777" w:rsidR="00985E10" w:rsidRPr="002A6FA6" w:rsidRDefault="00985E10" w:rsidP="00985E10">
            <w:pPr>
              <w:pStyle w:val="TT"/>
              <w:jc w:val="right"/>
              <w:rPr>
                <w:b/>
                <w:sz w:val="20"/>
                <w:lang w:val="de-DE"/>
              </w:rPr>
            </w:pPr>
            <w:r w:rsidRPr="002A6FA6">
              <w:rPr>
                <w:rFonts w:asciiTheme="minorHAnsi" w:hAnsiTheme="minorHAnsi" w:cs="Arial"/>
                <w:b/>
                <w:bCs/>
                <w:sz w:val="20"/>
                <w:lang w:val="hr-HR"/>
              </w:rPr>
              <w:t>3</w:t>
            </w:r>
            <w:r>
              <w:rPr>
                <w:rFonts w:asciiTheme="minorHAnsi" w:hAnsiTheme="minorHAnsi" w:cs="Arial"/>
                <w:b/>
                <w:bCs/>
                <w:sz w:val="20"/>
                <w:lang w:val="hr-HR"/>
              </w:rPr>
              <w:t>,</w:t>
            </w:r>
            <w:r w:rsidRPr="002A6FA6">
              <w:rPr>
                <w:rFonts w:asciiTheme="minorHAnsi" w:hAnsiTheme="minorHAnsi" w:cs="Arial"/>
                <w:b/>
                <w:bCs/>
                <w:sz w:val="20"/>
                <w:lang w:val="hr-HR"/>
              </w:rPr>
              <w:t>695</w:t>
            </w:r>
            <w:r>
              <w:rPr>
                <w:rFonts w:asciiTheme="minorHAnsi" w:hAnsiTheme="minorHAnsi" w:cs="Arial"/>
                <w:b/>
                <w:bCs/>
                <w:sz w:val="20"/>
                <w:lang w:val="hr-HR"/>
              </w:rPr>
              <w:t>,</w:t>
            </w:r>
            <w:r w:rsidRPr="002A6FA6">
              <w:rPr>
                <w:rFonts w:asciiTheme="minorHAnsi" w:hAnsiTheme="minorHAnsi" w:cs="Arial"/>
                <w:b/>
                <w:bCs/>
                <w:sz w:val="20"/>
                <w:lang w:val="hr-HR"/>
              </w:rPr>
              <w:t>473</w:t>
            </w:r>
          </w:p>
        </w:tc>
        <w:tc>
          <w:tcPr>
            <w:tcW w:w="688" w:type="pct"/>
            <w:tcBorders>
              <w:top w:val="single" w:sz="4" w:space="0" w:color="auto"/>
              <w:bottom w:val="single" w:sz="12" w:space="0" w:color="auto"/>
            </w:tcBorders>
            <w:vAlign w:val="bottom"/>
          </w:tcPr>
          <w:p w14:paraId="2A8CD933" w14:textId="5FC9AE49" w:rsidR="00985E10" w:rsidRPr="009702B0" w:rsidRDefault="00985E10" w:rsidP="00985E10">
            <w:pPr>
              <w:tabs>
                <w:tab w:val="right" w:pos="1202"/>
              </w:tabs>
              <w:spacing w:after="0" w:line="240" w:lineRule="auto"/>
              <w:jc w:val="right"/>
              <w:outlineLvl w:val="0"/>
              <w:rPr>
                <w:rFonts w:asciiTheme="minorHAnsi" w:eastAsia="Times New Roman" w:hAnsiTheme="minorHAnsi" w:cs="Arial"/>
                <w:b/>
                <w:bCs/>
                <w:sz w:val="20"/>
                <w:szCs w:val="20"/>
              </w:rPr>
            </w:pPr>
            <w:r>
              <w:rPr>
                <w:rFonts w:asciiTheme="minorHAnsi" w:hAnsiTheme="minorHAnsi" w:cs="Arial"/>
                <w:b/>
                <w:bCs/>
                <w:sz w:val="20"/>
                <w:lang w:val="hr-HR"/>
              </w:rPr>
              <w:t>4,148,084</w:t>
            </w:r>
          </w:p>
        </w:tc>
        <w:tc>
          <w:tcPr>
            <w:tcW w:w="715" w:type="pct"/>
            <w:tcBorders>
              <w:top w:val="single" w:sz="8" w:space="0" w:color="auto"/>
              <w:bottom w:val="single" w:sz="12" w:space="0" w:color="auto"/>
            </w:tcBorders>
            <w:vAlign w:val="bottom"/>
          </w:tcPr>
          <w:p w14:paraId="7875480D" w14:textId="77777777" w:rsidR="00985E10" w:rsidRPr="002A6FA6" w:rsidRDefault="00985E10" w:rsidP="00985E10">
            <w:pPr>
              <w:pStyle w:val="TT"/>
              <w:jc w:val="right"/>
              <w:rPr>
                <w:rFonts w:asciiTheme="minorHAnsi" w:hAnsiTheme="minorHAnsi"/>
                <w:b/>
                <w:sz w:val="20"/>
                <w:lang w:val="de-DE"/>
              </w:rPr>
            </w:pPr>
            <w:r w:rsidRPr="002A6FA6">
              <w:rPr>
                <w:rFonts w:asciiTheme="minorHAnsi" w:hAnsiTheme="minorHAnsi" w:cs="Arial"/>
                <w:b/>
                <w:bCs/>
                <w:sz w:val="20"/>
                <w:lang w:val="hr-HR"/>
              </w:rPr>
              <w:t>3</w:t>
            </w:r>
            <w:r>
              <w:rPr>
                <w:rFonts w:asciiTheme="minorHAnsi" w:hAnsiTheme="minorHAnsi" w:cs="Arial"/>
                <w:b/>
                <w:bCs/>
                <w:sz w:val="20"/>
                <w:lang w:val="hr-HR"/>
              </w:rPr>
              <w:t>,</w:t>
            </w:r>
            <w:r w:rsidRPr="002A6FA6">
              <w:rPr>
                <w:rFonts w:asciiTheme="minorHAnsi" w:hAnsiTheme="minorHAnsi" w:cs="Arial"/>
                <w:b/>
                <w:bCs/>
                <w:sz w:val="20"/>
                <w:lang w:val="hr-HR"/>
              </w:rPr>
              <w:t>610</w:t>
            </w:r>
            <w:r>
              <w:rPr>
                <w:rFonts w:asciiTheme="minorHAnsi" w:hAnsiTheme="minorHAnsi" w:cs="Arial"/>
                <w:b/>
                <w:bCs/>
                <w:sz w:val="20"/>
                <w:lang w:val="hr-HR"/>
              </w:rPr>
              <w:t>,</w:t>
            </w:r>
            <w:r w:rsidRPr="002A6FA6">
              <w:rPr>
                <w:rFonts w:asciiTheme="minorHAnsi" w:hAnsiTheme="minorHAnsi" w:cs="Arial"/>
                <w:b/>
                <w:bCs/>
                <w:sz w:val="20"/>
                <w:lang w:val="hr-HR"/>
              </w:rPr>
              <w:t>913</w:t>
            </w:r>
          </w:p>
        </w:tc>
      </w:tr>
    </w:tbl>
    <w:p w14:paraId="0618F244" w14:textId="77777777" w:rsidR="009702B0" w:rsidRPr="009702B0" w:rsidRDefault="009702B0" w:rsidP="009702B0">
      <w:pPr>
        <w:spacing w:after="0" w:line="240" w:lineRule="auto"/>
        <w:jc w:val="both"/>
        <w:rPr>
          <w:rFonts w:eastAsia="Times New Roman" w:cs="Arial"/>
          <w:b/>
          <w:sz w:val="24"/>
          <w:szCs w:val="24"/>
          <w:highlight w:val="yellow"/>
        </w:rPr>
      </w:pPr>
    </w:p>
    <w:p w14:paraId="0612DDB1" w14:textId="77777777" w:rsidR="009702B0" w:rsidRPr="009702B0" w:rsidRDefault="009702B0" w:rsidP="009702B0">
      <w:pPr>
        <w:keepNext/>
        <w:spacing w:after="0" w:line="240" w:lineRule="auto"/>
        <w:jc w:val="both"/>
        <w:rPr>
          <w:rFonts w:ascii="Arial" w:hAnsi="Arial" w:cs="Arial"/>
          <w:sz w:val="19"/>
          <w:szCs w:val="19"/>
        </w:rPr>
      </w:pPr>
      <w:r w:rsidRPr="009702B0">
        <w:rPr>
          <w:rFonts w:cs="Arial"/>
        </w:rPr>
        <w:t>Collateral received relates to first-class collateral instruments received as security for HBOR’s placements comprising the Republic of Croatia guarantees, HAMAG-BICRO guarantees, insurance policies of export transactions against political and/or commercial risks and statutory guarantees in cases when the Republic of Croatia or other state executive body guarantees the liabilities of certain borrowers pursuant to provisions of certain laws</w:t>
      </w:r>
      <w:r w:rsidRPr="009702B0">
        <w:rPr>
          <w:rFonts w:ascii="Arial" w:hAnsi="Arial" w:cs="Arial"/>
          <w:sz w:val="19"/>
          <w:szCs w:val="19"/>
        </w:rPr>
        <w:t xml:space="preserve">. </w:t>
      </w:r>
    </w:p>
    <w:p w14:paraId="1CCF919D" w14:textId="77777777" w:rsidR="009702B0" w:rsidRPr="009702B0" w:rsidRDefault="009702B0" w:rsidP="009702B0">
      <w:pPr>
        <w:keepNext/>
        <w:spacing w:after="0" w:line="240" w:lineRule="auto"/>
        <w:jc w:val="both"/>
        <w:rPr>
          <w:rFonts w:eastAsia="Times New Roman" w:cs="Arial"/>
          <w:bCs/>
        </w:rPr>
      </w:pPr>
    </w:p>
    <w:p w14:paraId="6212045B" w14:textId="77777777" w:rsidR="009702B0" w:rsidRPr="009702B0" w:rsidRDefault="009702B0" w:rsidP="009702B0">
      <w:pPr>
        <w:tabs>
          <w:tab w:val="left" w:pos="1080"/>
        </w:tabs>
        <w:spacing w:before="120" w:after="0" w:line="240" w:lineRule="auto"/>
        <w:jc w:val="both"/>
        <w:rPr>
          <w:rFonts w:eastAsia="Times New Roman" w:cs="Arial"/>
          <w:bCs/>
        </w:rPr>
      </w:pPr>
      <w:r w:rsidRPr="009702B0">
        <w:rPr>
          <w:rFonts w:eastAsia="Times New Roman" w:cs="Arial"/>
        </w:rPr>
        <w:t xml:space="preserve">HBOR issues reinsurance policies for and on behalf of the Republic of Croatia, i.e. covers a proportional part (quota reinsurance) of political and commercial risks of export loans and receivables arising from export of goods and services. The reinsurer covers all non-marketable (non-market) risks underwritten by the Insurer or </w:t>
      </w:r>
      <w:proofErr w:type="spellStart"/>
      <w:r w:rsidRPr="009702B0">
        <w:rPr>
          <w:rFonts w:eastAsia="Times New Roman" w:cs="Arial"/>
        </w:rPr>
        <w:t>Hrvatsko</w:t>
      </w:r>
      <w:proofErr w:type="spellEnd"/>
      <w:r w:rsidRPr="009702B0">
        <w:rPr>
          <w:rFonts w:eastAsia="Times New Roman" w:cs="Arial"/>
        </w:rPr>
        <w:t xml:space="preserve"> </w:t>
      </w:r>
      <w:proofErr w:type="spellStart"/>
      <w:r w:rsidRPr="009702B0">
        <w:rPr>
          <w:rFonts w:eastAsia="Times New Roman" w:cs="Arial"/>
        </w:rPr>
        <w:t>kreditno</w:t>
      </w:r>
      <w:proofErr w:type="spellEnd"/>
      <w:r w:rsidRPr="009702B0">
        <w:rPr>
          <w:rFonts w:eastAsia="Times New Roman" w:cs="Arial"/>
        </w:rPr>
        <w:t xml:space="preserve"> </w:t>
      </w:r>
      <w:proofErr w:type="spellStart"/>
      <w:r w:rsidRPr="009702B0">
        <w:rPr>
          <w:rFonts w:eastAsia="Times New Roman" w:cs="Arial"/>
        </w:rPr>
        <w:t>osiguranje</w:t>
      </w:r>
      <w:proofErr w:type="spellEnd"/>
      <w:r w:rsidRPr="009702B0">
        <w:rPr>
          <w:rFonts w:eastAsia="Times New Roman" w:cs="Arial"/>
        </w:rPr>
        <w:t xml:space="preserve"> </w:t>
      </w:r>
      <w:proofErr w:type="spellStart"/>
      <w:proofErr w:type="gramStart"/>
      <w:r w:rsidRPr="009702B0">
        <w:rPr>
          <w:rFonts w:eastAsia="Times New Roman" w:cs="Arial"/>
        </w:rPr>
        <w:t>d.d</w:t>
      </w:r>
      <w:proofErr w:type="spellEnd"/>
      <w:proofErr w:type="gramEnd"/>
      <w:r w:rsidRPr="009702B0">
        <w:rPr>
          <w:rFonts w:eastAsia="Times New Roman" w:cs="Arial"/>
        </w:rPr>
        <w:t>. in the percentage ranging from 30% to 90% of an insured amount.</w:t>
      </w:r>
      <w:r w:rsidRPr="009702B0" w:rsidDel="00F947BE">
        <w:rPr>
          <w:rFonts w:eastAsia="Times New Roman" w:cs="Arial"/>
          <w:bCs/>
        </w:rPr>
        <w:t xml:space="preserve"> </w:t>
      </w:r>
    </w:p>
    <w:p w14:paraId="683E0C78" w14:textId="77777777" w:rsidR="009702B0" w:rsidRPr="009702B0" w:rsidRDefault="009702B0" w:rsidP="009702B0">
      <w:pPr>
        <w:keepNext/>
        <w:spacing w:after="0" w:line="240" w:lineRule="auto"/>
        <w:jc w:val="both"/>
        <w:rPr>
          <w:rFonts w:eastAsia="Times New Roman"/>
        </w:rPr>
      </w:pPr>
    </w:p>
    <w:p w14:paraId="2F7149A3" w14:textId="77777777" w:rsidR="009702B0" w:rsidRPr="009702B0" w:rsidRDefault="009702B0" w:rsidP="009702B0">
      <w:pPr>
        <w:tabs>
          <w:tab w:val="left" w:pos="567"/>
        </w:tabs>
        <w:spacing w:after="0" w:line="240" w:lineRule="auto"/>
        <w:rPr>
          <w:rFonts w:eastAsia="Times New Roman" w:cs="Arial"/>
        </w:rPr>
      </w:pPr>
      <w:r w:rsidRPr="009702B0">
        <w:rPr>
          <w:rFonts w:eastAsia="Times New Roman" w:cs="Arial"/>
        </w:rPr>
        <w:t xml:space="preserve">c) </w:t>
      </w:r>
      <w:r w:rsidRPr="009702B0">
        <w:rPr>
          <w:rFonts w:eastAsia="Times New Roman" w:cs="Arial"/>
        </w:rPr>
        <w:tab/>
      </w:r>
      <w:r w:rsidRPr="009702B0">
        <w:rPr>
          <w:rFonts w:cs="Arial"/>
        </w:rPr>
        <w:t>Salaries of key management personnel</w:t>
      </w:r>
      <w:r w:rsidRPr="009702B0">
        <w:rPr>
          <w:rFonts w:ascii="Arial" w:hAnsi="Arial" w:cs="Arial"/>
          <w:sz w:val="19"/>
          <w:szCs w:val="19"/>
        </w:rPr>
        <w:t xml:space="preserve"> </w:t>
      </w:r>
      <w:r w:rsidRPr="009702B0">
        <w:rPr>
          <w:rFonts w:eastAsia="Times New Roman" w:cs="Arial"/>
        </w:rPr>
        <w:t xml:space="preserve">  </w:t>
      </w:r>
    </w:p>
    <w:p w14:paraId="2822B73A" w14:textId="77777777" w:rsidR="009702B0" w:rsidRPr="009702B0" w:rsidRDefault="009702B0" w:rsidP="009702B0">
      <w:pPr>
        <w:spacing w:after="0" w:line="240" w:lineRule="auto"/>
        <w:rPr>
          <w:rFonts w:eastAsia="Times New Roman" w:cs="Arial"/>
        </w:rPr>
      </w:pPr>
    </w:p>
    <w:p w14:paraId="56DBEAB6" w14:textId="76DF8251" w:rsidR="009702B0" w:rsidRPr="009702B0" w:rsidRDefault="009702B0" w:rsidP="009702B0">
      <w:pPr>
        <w:spacing w:after="0" w:line="240" w:lineRule="auto"/>
        <w:jc w:val="both"/>
        <w:rPr>
          <w:rFonts w:eastAsia="Times New Roman" w:cs="Arial"/>
          <w:bCs/>
        </w:rPr>
      </w:pPr>
      <w:r w:rsidRPr="009702B0">
        <w:rPr>
          <w:rFonts w:cs="Arial"/>
        </w:rPr>
        <w:t>Salaries include compensation paid for regular work, annual vacation, national holidays, paid leave, sick leave, jubilee awards</w:t>
      </w:r>
      <w:r w:rsidRPr="009702B0">
        <w:t xml:space="preserve"> </w:t>
      </w:r>
      <w:r w:rsidRPr="009702B0">
        <w:rPr>
          <w:rFonts w:cs="Arial"/>
        </w:rPr>
        <w:t>and payments pursuant to contracts.</w:t>
      </w:r>
      <w:r w:rsidRPr="009702B0">
        <w:rPr>
          <w:rFonts w:eastAsia="Times New Roman" w:cs="Arial"/>
          <w:bCs/>
        </w:rPr>
        <w:t xml:space="preserve"> Salaries for the Group in the reporting period amounted to HRK </w:t>
      </w:r>
      <w:r w:rsidR="00985E10">
        <w:rPr>
          <w:rFonts w:eastAsia="Times New Roman" w:cs="Arial"/>
          <w:bCs/>
        </w:rPr>
        <w:t>5,873</w:t>
      </w:r>
      <w:r w:rsidRPr="009702B0">
        <w:rPr>
          <w:rFonts w:eastAsia="Times New Roman" w:cs="Arial"/>
          <w:bCs/>
        </w:rPr>
        <w:t xml:space="preserve"> thousand (1 January to </w:t>
      </w:r>
      <w:r w:rsidR="00861F3F" w:rsidRPr="00861F3F">
        <w:rPr>
          <w:rFonts w:eastAsia="Times New Roman" w:cs="Arial"/>
          <w:bCs/>
        </w:rPr>
        <w:t xml:space="preserve">30 </w:t>
      </w:r>
      <w:r w:rsidR="00456071">
        <w:rPr>
          <w:rFonts w:eastAsia="Times New Roman" w:cs="Arial"/>
          <w:bCs/>
        </w:rPr>
        <w:t>September</w:t>
      </w:r>
      <w:r w:rsidR="00861F3F" w:rsidRPr="00861F3F">
        <w:rPr>
          <w:rFonts w:eastAsia="Times New Roman" w:cs="Arial"/>
          <w:bCs/>
        </w:rPr>
        <w:t xml:space="preserve"> </w:t>
      </w:r>
      <w:r w:rsidR="00D0783E">
        <w:rPr>
          <w:rFonts w:eastAsia="Times New Roman" w:cs="Arial"/>
          <w:bCs/>
        </w:rPr>
        <w:t>2016</w:t>
      </w:r>
      <w:r w:rsidRPr="009702B0">
        <w:rPr>
          <w:rFonts w:eastAsia="Times New Roman" w:cs="Arial"/>
          <w:bCs/>
        </w:rPr>
        <w:t xml:space="preserve">: HRK </w:t>
      </w:r>
      <w:r w:rsidR="00160F52" w:rsidRPr="00160F52">
        <w:rPr>
          <w:rFonts w:eastAsia="Times New Roman" w:cs="Arial"/>
          <w:bCs/>
        </w:rPr>
        <w:t>5,965</w:t>
      </w:r>
      <w:r w:rsidR="00160F52">
        <w:rPr>
          <w:rFonts w:eastAsia="Times New Roman" w:cs="Arial"/>
          <w:bCs/>
        </w:rPr>
        <w:t xml:space="preserve"> </w:t>
      </w:r>
      <w:r w:rsidRPr="009702B0">
        <w:rPr>
          <w:rFonts w:eastAsia="Times New Roman" w:cs="Arial"/>
          <w:bCs/>
        </w:rPr>
        <w:t xml:space="preserve">thousand), and for the Bank amounted to </w:t>
      </w:r>
      <w:r w:rsidRPr="00985E10">
        <w:rPr>
          <w:rFonts w:eastAsia="Times New Roman" w:cs="Arial"/>
          <w:bCs/>
        </w:rPr>
        <w:t xml:space="preserve">HRK </w:t>
      </w:r>
      <w:r w:rsidR="00985E10" w:rsidRPr="006B318F">
        <w:rPr>
          <w:rFonts w:eastAsia="Times New Roman" w:cs="Arial"/>
          <w:bCs/>
        </w:rPr>
        <w:t>5,471</w:t>
      </w:r>
      <w:r w:rsidRPr="009702B0">
        <w:rPr>
          <w:rFonts w:eastAsia="Times New Roman" w:cs="Arial"/>
          <w:bCs/>
        </w:rPr>
        <w:t xml:space="preserve"> thousand (1 January to </w:t>
      </w:r>
      <w:r w:rsidR="00861F3F" w:rsidRPr="00861F3F">
        <w:rPr>
          <w:rFonts w:eastAsia="Times New Roman" w:cs="Arial"/>
          <w:bCs/>
        </w:rPr>
        <w:t xml:space="preserve">30 </w:t>
      </w:r>
      <w:r w:rsidR="00160F52">
        <w:rPr>
          <w:rFonts w:eastAsia="Times New Roman" w:cs="Arial"/>
          <w:bCs/>
        </w:rPr>
        <w:t>September</w:t>
      </w:r>
      <w:r w:rsidR="00160F52" w:rsidRPr="00861F3F">
        <w:rPr>
          <w:rFonts w:eastAsia="Times New Roman" w:cs="Arial"/>
          <w:bCs/>
        </w:rPr>
        <w:t xml:space="preserve"> </w:t>
      </w:r>
      <w:r w:rsidR="00D0783E" w:rsidRPr="00D0783E">
        <w:rPr>
          <w:rFonts w:eastAsia="Times New Roman" w:cs="Arial"/>
          <w:bCs/>
        </w:rPr>
        <w:t>2016</w:t>
      </w:r>
      <w:r w:rsidRPr="009702B0">
        <w:rPr>
          <w:rFonts w:eastAsia="Times New Roman" w:cs="Arial"/>
          <w:bCs/>
        </w:rPr>
        <w:t xml:space="preserve">: HRK </w:t>
      </w:r>
      <w:r w:rsidR="00160F52" w:rsidRPr="00160F52">
        <w:rPr>
          <w:rFonts w:eastAsia="Times New Roman" w:cs="Arial"/>
          <w:bCs/>
        </w:rPr>
        <w:t xml:space="preserve">5,139 </w:t>
      </w:r>
      <w:r w:rsidRPr="009702B0">
        <w:rPr>
          <w:rFonts w:eastAsia="Times New Roman" w:cs="Arial"/>
          <w:bCs/>
        </w:rPr>
        <w:t>thousand).</w:t>
      </w:r>
    </w:p>
    <w:p w14:paraId="4DC81C43" w14:textId="77777777" w:rsidR="009702B0" w:rsidRPr="009702B0" w:rsidRDefault="009702B0" w:rsidP="009702B0">
      <w:pPr>
        <w:spacing w:after="0" w:line="240" w:lineRule="auto"/>
        <w:jc w:val="both"/>
        <w:rPr>
          <w:rFonts w:eastAsia="Times New Roman" w:cs="Arial"/>
          <w:bCs/>
        </w:rPr>
      </w:pPr>
    </w:p>
    <w:p w14:paraId="10F10F82" w14:textId="77777777" w:rsidR="009702B0" w:rsidRPr="009702B0" w:rsidRDefault="009702B0" w:rsidP="009702B0">
      <w:pPr>
        <w:spacing w:after="0" w:line="240" w:lineRule="auto"/>
        <w:jc w:val="both"/>
        <w:rPr>
          <w:rFonts w:eastAsia="Times New Roman" w:cs="Arial"/>
          <w:bCs/>
        </w:rPr>
      </w:pPr>
      <w:r w:rsidRPr="009702B0">
        <w:rPr>
          <w:rFonts w:cs="Arial"/>
        </w:rPr>
        <w:t xml:space="preserve">In the reporting period, remuneration for the work of the members of the Supervisory Board for the </w:t>
      </w:r>
      <w:r w:rsidRPr="009702B0">
        <w:rPr>
          <w:rFonts w:eastAsia="Times New Roman" w:cs="Arial"/>
          <w:bCs/>
        </w:rPr>
        <w:t xml:space="preserve">Group </w:t>
      </w:r>
    </w:p>
    <w:p w14:paraId="0AECA78D" w14:textId="1568119D" w:rsidR="009702B0" w:rsidRPr="009702B0" w:rsidRDefault="009702B0" w:rsidP="009702B0">
      <w:pPr>
        <w:spacing w:after="0" w:line="240" w:lineRule="auto"/>
        <w:jc w:val="both"/>
        <w:rPr>
          <w:rFonts w:eastAsia="Times New Roman" w:cs="Arial"/>
          <w:bCs/>
        </w:rPr>
      </w:pPr>
      <w:proofErr w:type="gramStart"/>
      <w:r w:rsidRPr="009702B0">
        <w:rPr>
          <w:rFonts w:eastAsia="Times New Roman" w:cs="Arial"/>
          <w:bCs/>
        </w:rPr>
        <w:t>amounted</w:t>
      </w:r>
      <w:proofErr w:type="gramEnd"/>
      <w:r w:rsidRPr="009702B0">
        <w:rPr>
          <w:rFonts w:eastAsia="Times New Roman" w:cs="Arial"/>
          <w:bCs/>
        </w:rPr>
        <w:t xml:space="preserve"> to HRK </w:t>
      </w:r>
      <w:r w:rsidR="00985E10">
        <w:rPr>
          <w:rFonts w:eastAsia="Times New Roman" w:cs="Arial"/>
          <w:bCs/>
        </w:rPr>
        <w:t>257</w:t>
      </w:r>
      <w:r w:rsidR="00985E10" w:rsidRPr="009702B0">
        <w:rPr>
          <w:rFonts w:eastAsia="Times New Roman" w:cs="Arial"/>
          <w:bCs/>
        </w:rPr>
        <w:t xml:space="preserve"> </w:t>
      </w:r>
      <w:r w:rsidRPr="009702B0">
        <w:rPr>
          <w:rFonts w:eastAsia="Times New Roman" w:cs="Arial"/>
          <w:bCs/>
        </w:rPr>
        <w:t xml:space="preserve">thousand (1 January to </w:t>
      </w:r>
      <w:r w:rsidR="005C139A" w:rsidRPr="005C139A">
        <w:rPr>
          <w:rFonts w:eastAsia="Times New Roman" w:cs="Arial"/>
          <w:bCs/>
        </w:rPr>
        <w:t xml:space="preserve">30 </w:t>
      </w:r>
      <w:r w:rsidR="00160F52">
        <w:rPr>
          <w:rFonts w:eastAsia="Times New Roman" w:cs="Arial"/>
          <w:bCs/>
        </w:rPr>
        <w:t>September</w:t>
      </w:r>
      <w:r w:rsidR="00160F52" w:rsidRPr="005C139A">
        <w:rPr>
          <w:rFonts w:eastAsia="Times New Roman" w:cs="Arial"/>
          <w:bCs/>
        </w:rPr>
        <w:t xml:space="preserve"> </w:t>
      </w:r>
      <w:r w:rsidR="00D0783E" w:rsidRPr="00D0783E">
        <w:rPr>
          <w:rFonts w:eastAsia="Times New Roman" w:cs="Arial"/>
          <w:bCs/>
        </w:rPr>
        <w:t>2016</w:t>
      </w:r>
      <w:r w:rsidRPr="009702B0">
        <w:rPr>
          <w:rFonts w:eastAsia="Times New Roman" w:cs="Arial"/>
          <w:bCs/>
        </w:rPr>
        <w:t xml:space="preserve">: HRK </w:t>
      </w:r>
      <w:r w:rsidR="00160F52" w:rsidRPr="00160F52">
        <w:rPr>
          <w:rFonts w:eastAsia="Times New Roman" w:cs="Arial"/>
          <w:bCs/>
        </w:rPr>
        <w:t>251</w:t>
      </w:r>
      <w:r w:rsidR="004B45A2" w:rsidRPr="009702B0">
        <w:rPr>
          <w:rFonts w:eastAsia="Times New Roman" w:cs="Arial"/>
          <w:bCs/>
        </w:rPr>
        <w:t xml:space="preserve"> </w:t>
      </w:r>
      <w:r w:rsidRPr="009702B0">
        <w:rPr>
          <w:rFonts w:eastAsia="Times New Roman" w:cs="Arial"/>
          <w:bCs/>
        </w:rPr>
        <w:t xml:space="preserve">thousand) and for the Bank amounted to </w:t>
      </w:r>
      <w:r w:rsidRPr="00BF31F9">
        <w:rPr>
          <w:rFonts w:eastAsia="Times New Roman" w:cs="Arial"/>
          <w:bCs/>
        </w:rPr>
        <w:t xml:space="preserve">HRK </w:t>
      </w:r>
      <w:r w:rsidR="00985E10">
        <w:rPr>
          <w:rFonts w:eastAsia="Times New Roman" w:cs="Arial"/>
          <w:bCs/>
        </w:rPr>
        <w:t>113</w:t>
      </w:r>
      <w:r w:rsidR="00985E10" w:rsidRPr="00BF31F9">
        <w:rPr>
          <w:rFonts w:eastAsia="Times New Roman" w:cs="Arial"/>
          <w:bCs/>
        </w:rPr>
        <w:t xml:space="preserve"> </w:t>
      </w:r>
      <w:r w:rsidRPr="00BF31F9">
        <w:rPr>
          <w:rFonts w:eastAsia="Times New Roman" w:cs="Arial"/>
          <w:bCs/>
        </w:rPr>
        <w:t>thousand (</w:t>
      </w:r>
      <w:r w:rsidRPr="009702B0">
        <w:rPr>
          <w:rFonts w:eastAsia="Times New Roman" w:cs="Arial"/>
          <w:bCs/>
        </w:rPr>
        <w:t xml:space="preserve">1 January to </w:t>
      </w:r>
      <w:r w:rsidR="004B45A2" w:rsidRPr="004B45A2">
        <w:rPr>
          <w:rFonts w:eastAsia="Times New Roman" w:cs="Arial"/>
          <w:bCs/>
        </w:rPr>
        <w:t xml:space="preserve">30 </w:t>
      </w:r>
      <w:r w:rsidR="00160F52" w:rsidRPr="00160F52">
        <w:rPr>
          <w:rFonts w:eastAsia="Times New Roman" w:cs="Arial"/>
          <w:bCs/>
        </w:rPr>
        <w:t>September</w:t>
      </w:r>
      <w:r w:rsidR="004B45A2" w:rsidRPr="004B45A2">
        <w:rPr>
          <w:rFonts w:eastAsia="Times New Roman" w:cs="Arial"/>
          <w:bCs/>
        </w:rPr>
        <w:t xml:space="preserve"> </w:t>
      </w:r>
      <w:r w:rsidR="00D0783E" w:rsidRPr="00D0783E">
        <w:rPr>
          <w:rFonts w:eastAsia="Times New Roman" w:cs="Arial"/>
          <w:bCs/>
        </w:rPr>
        <w:t>2016</w:t>
      </w:r>
      <w:r w:rsidRPr="009702B0">
        <w:rPr>
          <w:rFonts w:eastAsia="Times New Roman" w:cs="Arial"/>
          <w:bCs/>
        </w:rPr>
        <w:t xml:space="preserve">: HRK </w:t>
      </w:r>
      <w:r w:rsidR="00160F52" w:rsidRPr="00160F52">
        <w:rPr>
          <w:rFonts w:eastAsia="Times New Roman" w:cs="Arial"/>
          <w:bCs/>
        </w:rPr>
        <w:t>147</w:t>
      </w:r>
      <w:r w:rsidR="004B45A2" w:rsidRPr="009702B0">
        <w:rPr>
          <w:rFonts w:eastAsia="Times New Roman" w:cs="Arial"/>
          <w:bCs/>
        </w:rPr>
        <w:t xml:space="preserve"> </w:t>
      </w:r>
      <w:r w:rsidRPr="009702B0">
        <w:rPr>
          <w:rFonts w:eastAsia="Times New Roman" w:cs="Arial"/>
          <w:bCs/>
        </w:rPr>
        <w:t xml:space="preserve">thousand) and it relates </w:t>
      </w:r>
      <w:r w:rsidRPr="009702B0">
        <w:rPr>
          <w:rFonts w:eastAsia="Times New Roman" w:cs="Arial"/>
        </w:rPr>
        <w:t>to members of the supervisory boards at associates and subsidiaries who were appointed by HBOR.</w:t>
      </w:r>
      <w:r w:rsidRPr="009702B0">
        <w:t xml:space="preserve"> </w:t>
      </w:r>
    </w:p>
    <w:p w14:paraId="33E47DFA" w14:textId="77777777" w:rsidR="00D0783E" w:rsidRDefault="00D0783E" w:rsidP="009702B0">
      <w:pPr>
        <w:spacing w:line="240" w:lineRule="auto"/>
        <w:jc w:val="both"/>
        <w:rPr>
          <w:rFonts w:ascii="Arial" w:eastAsia="Times New Roman" w:hAnsi="Arial" w:cs="Arial"/>
          <w:sz w:val="19"/>
          <w:szCs w:val="19"/>
          <w:highlight w:val="yellow"/>
        </w:rPr>
        <w:sectPr w:rsidR="00D0783E" w:rsidSect="00947CB7">
          <w:footerReference w:type="default" r:id="rId74"/>
          <w:footerReference w:type="first" r:id="rId75"/>
          <w:pgSz w:w="11906" w:h="16838" w:code="9"/>
          <w:pgMar w:top="1418" w:right="1418" w:bottom="595" w:left="1134" w:header="709" w:footer="709" w:gutter="0"/>
          <w:cols w:space="708"/>
          <w:titlePg/>
          <w:docGrid w:linePitch="360"/>
        </w:sectPr>
      </w:pPr>
    </w:p>
    <w:p w14:paraId="5FC1AAAC" w14:textId="77777777" w:rsidR="009702B0" w:rsidRPr="005444AA" w:rsidRDefault="009702B0" w:rsidP="009702B0">
      <w:pPr>
        <w:keepNext/>
        <w:tabs>
          <w:tab w:val="left" w:pos="426"/>
        </w:tabs>
        <w:spacing w:after="0" w:line="240" w:lineRule="auto"/>
        <w:jc w:val="both"/>
        <w:rPr>
          <w:rFonts w:eastAsia="Times New Roman" w:cs="Calibri"/>
          <w:b/>
          <w:bCs/>
          <w:sz w:val="18"/>
          <w:szCs w:val="18"/>
          <w:lang w:eastAsia="hr-HR"/>
        </w:rPr>
      </w:pPr>
    </w:p>
    <w:p w14:paraId="23BD73EF" w14:textId="77777777" w:rsidR="009702B0" w:rsidRDefault="009702B0" w:rsidP="00166751">
      <w:pPr>
        <w:keepNext/>
        <w:tabs>
          <w:tab w:val="left" w:pos="426"/>
        </w:tabs>
        <w:spacing w:before="60" w:after="0" w:line="120" w:lineRule="auto"/>
        <w:jc w:val="both"/>
        <w:rPr>
          <w:rFonts w:eastAsia="Times New Roman" w:cs="Arial"/>
          <w:b/>
          <w:bCs/>
        </w:rPr>
      </w:pPr>
      <w:r w:rsidRPr="009702B0">
        <w:rPr>
          <w:rFonts w:eastAsia="Times New Roman" w:cs="Calibri"/>
          <w:b/>
          <w:bCs/>
          <w:lang w:eastAsia="hr-HR"/>
        </w:rPr>
        <w:t>16.</w:t>
      </w:r>
      <w:r w:rsidRPr="009702B0">
        <w:rPr>
          <w:rFonts w:eastAsia="Times New Roman" w:cs="Arial"/>
          <w:b/>
          <w:bCs/>
        </w:rPr>
        <w:tab/>
        <w:t xml:space="preserve">Risk management </w:t>
      </w:r>
    </w:p>
    <w:p w14:paraId="36155D6F" w14:textId="77777777" w:rsidR="00403168" w:rsidRPr="005444AA" w:rsidRDefault="00403168" w:rsidP="00166751">
      <w:pPr>
        <w:keepNext/>
        <w:tabs>
          <w:tab w:val="left" w:pos="426"/>
        </w:tabs>
        <w:spacing w:before="60" w:after="0" w:line="120" w:lineRule="auto"/>
        <w:jc w:val="both"/>
        <w:rPr>
          <w:rFonts w:eastAsia="Times New Roman" w:cs="Arial"/>
          <w:b/>
          <w:bCs/>
          <w:sz w:val="18"/>
          <w:szCs w:val="18"/>
        </w:rPr>
      </w:pPr>
    </w:p>
    <w:p w14:paraId="6CAE3B58" w14:textId="77777777" w:rsidR="009702B0" w:rsidRDefault="009702B0" w:rsidP="00166751">
      <w:pPr>
        <w:spacing w:before="10" w:after="0" w:line="20" w:lineRule="atLeast"/>
        <w:jc w:val="both"/>
        <w:rPr>
          <w:rFonts w:cs="Calibri"/>
          <w:b/>
          <w:bCs/>
          <w:spacing w:val="-3"/>
        </w:rPr>
      </w:pPr>
      <w:r w:rsidRPr="009702B0">
        <w:rPr>
          <w:rFonts w:cs="Calibri"/>
          <w:b/>
          <w:bCs/>
          <w:spacing w:val="-3"/>
        </w:rPr>
        <w:t xml:space="preserve">16.1. </w:t>
      </w:r>
      <w:r w:rsidRPr="009702B0">
        <w:rPr>
          <w:rFonts w:cs="Calibri"/>
          <w:b/>
          <w:bCs/>
          <w:spacing w:val="-3"/>
        </w:rPr>
        <w:tab/>
        <w:t>Introduction</w:t>
      </w:r>
    </w:p>
    <w:p w14:paraId="73279EDE" w14:textId="41C93E4D" w:rsidR="009702B0" w:rsidRDefault="009702B0" w:rsidP="00166751">
      <w:pPr>
        <w:spacing w:before="4" w:after="0" w:line="20" w:lineRule="atLeast"/>
        <w:jc w:val="both"/>
        <w:rPr>
          <w:rFonts w:cs="Arial"/>
          <w:szCs w:val="19"/>
        </w:rPr>
      </w:pPr>
      <w:r w:rsidRPr="009702B0">
        <w:rPr>
          <w:rFonts w:eastAsia="Times New Roman" w:cs="Arial"/>
        </w:rPr>
        <w:t xml:space="preserve">Based on the Act on the Croatian Bank for Reconstruction and Development, the Bank is obliged to mitigate business risks directed by the principles of banking operations. </w:t>
      </w:r>
      <w:r w:rsidRPr="009702B0">
        <w:rPr>
          <w:rFonts w:cs="Arial"/>
          <w:szCs w:val="19"/>
        </w:rPr>
        <w:t>In the process of risk management, the Bank identifies, estimates, measures, monitors, masters and controls the risks to which it is or might be exposed in the course of business</w:t>
      </w:r>
      <w:r w:rsidR="00CD63A5">
        <w:rPr>
          <w:rFonts w:cs="Arial"/>
          <w:szCs w:val="19"/>
        </w:rPr>
        <w:t xml:space="preserve"> and </w:t>
      </w:r>
      <w:r w:rsidR="00424CD1">
        <w:rPr>
          <w:rFonts w:cs="Arial"/>
          <w:szCs w:val="19"/>
        </w:rPr>
        <w:t>reports about them to the bodies in charge</w:t>
      </w:r>
      <w:r w:rsidRPr="009702B0">
        <w:rPr>
          <w:rFonts w:cs="Arial"/>
          <w:szCs w:val="19"/>
        </w:rPr>
        <w:t xml:space="preserve">. The mode, methods and frequency of risk estimations and measurements are prescribed by the internal documents of the Bank. In its daily operations, the Bank manages credit risk, liquidity risk, interest rate risk in the Bank’s book, </w:t>
      </w:r>
      <w:r w:rsidR="005854AB">
        <w:rPr>
          <w:rFonts w:cs="Arial"/>
          <w:szCs w:val="19"/>
        </w:rPr>
        <w:t xml:space="preserve">currency </w:t>
      </w:r>
      <w:r w:rsidRPr="009702B0">
        <w:rPr>
          <w:rFonts w:cs="Arial"/>
          <w:szCs w:val="19"/>
        </w:rPr>
        <w:t>risk, operational risk and outsourcing risk</w:t>
      </w:r>
      <w:r w:rsidR="00424CD1">
        <w:rPr>
          <w:rFonts w:cs="Arial"/>
          <w:szCs w:val="19"/>
        </w:rPr>
        <w:t>. The mentioned risks are managed</w:t>
      </w:r>
      <w:r w:rsidRPr="009702B0">
        <w:rPr>
          <w:rFonts w:cs="Arial"/>
          <w:szCs w:val="19"/>
        </w:rPr>
        <w:t xml:space="preserve"> </w:t>
      </w:r>
      <w:r w:rsidR="00675CFF">
        <w:rPr>
          <w:rFonts w:cs="Arial"/>
          <w:szCs w:val="19"/>
        </w:rPr>
        <w:t>on the basis of</w:t>
      </w:r>
      <w:r w:rsidR="00675CFF" w:rsidRPr="009702B0">
        <w:rPr>
          <w:rFonts w:cs="Arial"/>
          <w:szCs w:val="19"/>
        </w:rPr>
        <w:t xml:space="preserve"> </w:t>
      </w:r>
      <w:r w:rsidRPr="009702B0">
        <w:rPr>
          <w:rFonts w:cs="Arial"/>
          <w:szCs w:val="19"/>
        </w:rPr>
        <w:t xml:space="preserve">policies, procedures, methodologies, regulations </w:t>
      </w:r>
      <w:r w:rsidR="00675CFF">
        <w:rPr>
          <w:rFonts w:cs="Arial"/>
          <w:szCs w:val="19"/>
        </w:rPr>
        <w:t xml:space="preserve">and systems, </w:t>
      </w:r>
      <w:r w:rsidRPr="009702B0">
        <w:rPr>
          <w:rFonts w:cs="Arial"/>
          <w:szCs w:val="19"/>
        </w:rPr>
        <w:t xml:space="preserve">limits and </w:t>
      </w:r>
      <w:r w:rsidR="00675CFF">
        <w:rPr>
          <w:rFonts w:cs="Arial"/>
          <w:szCs w:val="19"/>
        </w:rPr>
        <w:t xml:space="preserve">decisions/conclusions of the Supervisory Board, the Management Board and the </w:t>
      </w:r>
      <w:r w:rsidR="002238A4">
        <w:rPr>
          <w:rFonts w:cs="Arial"/>
          <w:szCs w:val="19"/>
        </w:rPr>
        <w:t>risk management committees</w:t>
      </w:r>
      <w:r w:rsidRPr="009702B0">
        <w:rPr>
          <w:rFonts w:cs="Arial"/>
          <w:szCs w:val="19"/>
        </w:rPr>
        <w:t>.</w:t>
      </w:r>
    </w:p>
    <w:p w14:paraId="65313ACD" w14:textId="68B8DFBF" w:rsidR="009702B0" w:rsidRPr="009702B0" w:rsidRDefault="009702B0" w:rsidP="009702B0">
      <w:pPr>
        <w:spacing w:after="0" w:line="240" w:lineRule="auto"/>
        <w:jc w:val="both"/>
        <w:rPr>
          <w:rFonts w:eastAsia="Times New Roman" w:cs="Calibri"/>
          <w:b/>
          <w:bCs/>
          <w:spacing w:val="-3"/>
        </w:rPr>
      </w:pPr>
      <w:r w:rsidRPr="009702B0">
        <w:rPr>
          <w:rFonts w:eastAsia="Times New Roman" w:cs="Calibri"/>
          <w:bCs/>
          <w:spacing w:val="-3"/>
        </w:rPr>
        <w:t>The Bank has a</w:t>
      </w:r>
      <w:r w:rsidRPr="009702B0">
        <w:rPr>
          <w:rFonts w:eastAsia="Times New Roman" w:cs="Calibri"/>
          <w:b/>
          <w:bCs/>
          <w:spacing w:val="-3"/>
        </w:rPr>
        <w:t xml:space="preserve"> </w:t>
      </w:r>
      <w:r w:rsidRPr="009702B0">
        <w:rPr>
          <w:rFonts w:eastAsia="Times New Roman"/>
        </w:rPr>
        <w:t>functionally and organizationally separate and independent organizational unit for the control of business risks, which is directly responsible to the Manag</w:t>
      </w:r>
      <w:r w:rsidR="00900C10">
        <w:rPr>
          <w:rFonts w:eastAsia="Times New Roman"/>
        </w:rPr>
        <w:t>ement</w:t>
      </w:r>
      <w:r w:rsidRPr="009702B0">
        <w:rPr>
          <w:rFonts w:eastAsia="Times New Roman"/>
        </w:rPr>
        <w:t xml:space="preserve"> Board. This organisational unit is responsible for definition, evaluation</w:t>
      </w:r>
      <w:r w:rsidR="005235B7">
        <w:rPr>
          <w:rFonts w:eastAsia="Times New Roman"/>
        </w:rPr>
        <w:t xml:space="preserve">, </w:t>
      </w:r>
      <w:r w:rsidRPr="009702B0">
        <w:rPr>
          <w:rFonts w:eastAsia="Times New Roman"/>
        </w:rPr>
        <w:t xml:space="preserve">measurement and </w:t>
      </w:r>
      <w:r w:rsidR="003A27B4">
        <w:rPr>
          <w:rFonts w:eastAsia="Times New Roman"/>
        </w:rPr>
        <w:t>control of</w:t>
      </w:r>
      <w:r w:rsidR="003A27B4" w:rsidRPr="009702B0">
        <w:rPr>
          <w:rFonts w:eastAsia="Times New Roman"/>
        </w:rPr>
        <w:t xml:space="preserve"> </w:t>
      </w:r>
      <w:r w:rsidRPr="009702B0">
        <w:rPr>
          <w:rFonts w:eastAsia="Times New Roman"/>
        </w:rPr>
        <w:t xml:space="preserve">the risks to which the Bank is exposed or might be exposed in the course of its business. It carries out its role by performing analyses, </w:t>
      </w:r>
      <w:r w:rsidR="003A27B4">
        <w:rPr>
          <w:rFonts w:eastAsia="Times New Roman"/>
        </w:rPr>
        <w:t xml:space="preserve">assessment and measurement of risks, </w:t>
      </w:r>
      <w:r w:rsidRPr="009702B0">
        <w:rPr>
          <w:rFonts w:eastAsia="Times New Roman"/>
        </w:rPr>
        <w:t>developing risk management policies, procedures</w:t>
      </w:r>
      <w:r w:rsidR="00C86DF8">
        <w:rPr>
          <w:rFonts w:eastAsia="Times New Roman"/>
        </w:rPr>
        <w:t>, ordinances</w:t>
      </w:r>
      <w:r w:rsidRPr="009702B0">
        <w:rPr>
          <w:rFonts w:eastAsia="Times New Roman"/>
        </w:rPr>
        <w:t xml:space="preserve"> and methodologies, </w:t>
      </w:r>
      <w:r w:rsidR="00F87593">
        <w:rPr>
          <w:rFonts w:eastAsia="Times New Roman"/>
        </w:rPr>
        <w:t xml:space="preserve">supervising and monitoring their application, </w:t>
      </w:r>
      <w:r w:rsidRPr="009702B0">
        <w:rPr>
          <w:rFonts w:eastAsia="Times New Roman"/>
        </w:rPr>
        <w:t>recommending and controlling the accepted exposure limits</w:t>
      </w:r>
      <w:r w:rsidR="00F87593">
        <w:rPr>
          <w:rFonts w:eastAsia="Times New Roman"/>
        </w:rPr>
        <w:t>, giving suggestions and recommendations for adequate management of</w:t>
      </w:r>
      <w:r w:rsidRPr="009702B0">
        <w:rPr>
          <w:rFonts w:eastAsia="Times New Roman"/>
        </w:rPr>
        <w:t xml:space="preserve"> </w:t>
      </w:r>
      <w:r w:rsidR="008D1E36">
        <w:rPr>
          <w:rFonts w:eastAsia="Times New Roman"/>
        </w:rPr>
        <w:t xml:space="preserve">exposure to credit and non-credit risks </w:t>
      </w:r>
      <w:r w:rsidRPr="009702B0">
        <w:rPr>
          <w:rFonts w:eastAsia="Times New Roman"/>
        </w:rPr>
        <w:t>as well as reporting to the Manag</w:t>
      </w:r>
      <w:r w:rsidR="0036790C">
        <w:rPr>
          <w:rFonts w:eastAsia="Times New Roman"/>
        </w:rPr>
        <w:t>ement</w:t>
      </w:r>
      <w:r w:rsidRPr="009702B0">
        <w:rPr>
          <w:rFonts w:eastAsia="Times New Roman"/>
        </w:rPr>
        <w:t xml:space="preserve"> Board and the competent risk management committees</w:t>
      </w:r>
      <w:r w:rsidRPr="009702B0">
        <w:rPr>
          <w:rFonts w:eastAsia="Times New Roman" w:cs="Calibri"/>
          <w:bCs/>
          <w:spacing w:val="-3"/>
        </w:rPr>
        <w:t>.</w:t>
      </w:r>
      <w:r w:rsidRPr="009702B0">
        <w:rPr>
          <w:rFonts w:eastAsia="Times New Roman" w:cs="Calibri"/>
          <w:b/>
          <w:bCs/>
          <w:spacing w:val="-3"/>
        </w:rPr>
        <w:t xml:space="preserve"> </w:t>
      </w:r>
    </w:p>
    <w:p w14:paraId="2CA9C069" w14:textId="176C8080" w:rsidR="009702B0" w:rsidRPr="009702B0" w:rsidRDefault="009702B0" w:rsidP="005444AA">
      <w:pPr>
        <w:spacing w:before="4" w:after="0" w:line="20" w:lineRule="atLeast"/>
        <w:jc w:val="both"/>
        <w:rPr>
          <w:rFonts w:eastAsia="Times New Roman" w:cs="Calibri"/>
          <w:b/>
          <w:bCs/>
          <w:spacing w:val="-3"/>
        </w:rPr>
      </w:pPr>
      <w:r w:rsidRPr="009702B0">
        <w:rPr>
          <w:rFonts w:eastAsia="Times New Roman" w:cs="Calibri"/>
          <w:bCs/>
          <w:spacing w:val="-3"/>
        </w:rPr>
        <w:t>When assessing or measuring risk, the Bank takes into account historical data, business plans, current and expected market conditions and the specific characteristics of the Bank as a special financial institution. The results of risk assessments or measurements</w:t>
      </w:r>
      <w:r w:rsidR="00823AAC">
        <w:rPr>
          <w:rFonts w:eastAsia="Times New Roman" w:cs="Calibri"/>
          <w:bCs/>
          <w:spacing w:val="-3"/>
        </w:rPr>
        <w:t>,</w:t>
      </w:r>
      <w:r w:rsidRPr="009702B0">
        <w:rPr>
          <w:rFonts w:eastAsia="Times New Roman" w:cs="Calibri"/>
          <w:bCs/>
          <w:spacing w:val="-3"/>
        </w:rPr>
        <w:t xml:space="preserve"> analyses </w:t>
      </w:r>
      <w:r w:rsidR="00823AAC">
        <w:rPr>
          <w:rFonts w:eastAsia="Times New Roman" w:cs="Calibri"/>
          <w:bCs/>
          <w:spacing w:val="-3"/>
        </w:rPr>
        <w:t xml:space="preserve">and stress tests </w:t>
      </w:r>
      <w:r w:rsidRPr="009702B0">
        <w:rPr>
          <w:rFonts w:eastAsia="Times New Roman" w:cs="Calibri"/>
          <w:bCs/>
          <w:spacing w:val="-3"/>
        </w:rPr>
        <w:t xml:space="preserve">carried out are presented </w:t>
      </w:r>
      <w:r w:rsidR="00823AAC">
        <w:rPr>
          <w:rFonts w:eastAsia="Times New Roman" w:cs="Calibri"/>
          <w:bCs/>
          <w:spacing w:val="-3"/>
        </w:rPr>
        <w:t>at the meetings of</w:t>
      </w:r>
      <w:r w:rsidRPr="009702B0">
        <w:rPr>
          <w:rFonts w:eastAsia="Times New Roman" w:cs="Calibri"/>
          <w:bCs/>
          <w:spacing w:val="-3"/>
        </w:rPr>
        <w:t xml:space="preserve"> the risk management committees, the Manag</w:t>
      </w:r>
      <w:r w:rsidR="007770C3">
        <w:rPr>
          <w:rFonts w:eastAsia="Times New Roman" w:cs="Calibri"/>
          <w:bCs/>
          <w:spacing w:val="-3"/>
        </w:rPr>
        <w:t>ement</w:t>
      </w:r>
      <w:r w:rsidRPr="009702B0">
        <w:rPr>
          <w:rFonts w:eastAsia="Times New Roman" w:cs="Calibri"/>
          <w:bCs/>
          <w:spacing w:val="-3"/>
        </w:rPr>
        <w:t xml:space="preserve"> Board and the Supervisory Board. For the purpose of monitoring and control of </w:t>
      </w:r>
      <w:r w:rsidR="00F3030F">
        <w:rPr>
          <w:rFonts w:eastAsia="Times New Roman" w:cs="Calibri"/>
          <w:bCs/>
          <w:spacing w:val="-3"/>
        </w:rPr>
        <w:t xml:space="preserve">risks, </w:t>
      </w:r>
      <w:r w:rsidR="00B55328" w:rsidRPr="009702B0">
        <w:rPr>
          <w:rFonts w:eastAsia="Times New Roman" w:cs="Calibri"/>
          <w:bCs/>
          <w:spacing w:val="-3"/>
        </w:rPr>
        <w:t xml:space="preserve">systems of limits are introduced </w:t>
      </w:r>
      <w:r w:rsidR="00B55328">
        <w:rPr>
          <w:rFonts w:eastAsia="Times New Roman" w:cs="Calibri"/>
          <w:bCs/>
          <w:spacing w:val="-3"/>
        </w:rPr>
        <w:t xml:space="preserve">for the management of </w:t>
      </w:r>
      <w:r w:rsidRPr="009702B0">
        <w:rPr>
          <w:rFonts w:eastAsia="Times New Roman" w:cs="Calibri"/>
          <w:bCs/>
          <w:spacing w:val="-3"/>
        </w:rPr>
        <w:t xml:space="preserve">credit risk, liquidity risk, interest rate risk in the Bank’s book and </w:t>
      </w:r>
      <w:r w:rsidR="005854AB">
        <w:rPr>
          <w:rFonts w:eastAsia="Times New Roman" w:cs="Calibri"/>
          <w:bCs/>
          <w:spacing w:val="-3"/>
        </w:rPr>
        <w:t>currency</w:t>
      </w:r>
      <w:r w:rsidRPr="009702B0">
        <w:rPr>
          <w:rFonts w:eastAsia="Times New Roman" w:cs="Calibri"/>
          <w:bCs/>
          <w:spacing w:val="-3"/>
        </w:rPr>
        <w:t xml:space="preserve"> risk. The Bank implements the sensitivity analyses and scenario analyses, provided that one or several risk factors are changed in regular or stressful circumstances, and the</w:t>
      </w:r>
      <w:r w:rsidR="00851E92">
        <w:rPr>
          <w:rFonts w:eastAsia="Times New Roman" w:cs="Calibri"/>
          <w:bCs/>
          <w:spacing w:val="-3"/>
        </w:rPr>
        <w:t>ir</w:t>
      </w:r>
      <w:r w:rsidRPr="009702B0">
        <w:rPr>
          <w:rFonts w:eastAsia="Times New Roman" w:cs="Calibri"/>
          <w:bCs/>
          <w:spacing w:val="-3"/>
        </w:rPr>
        <w:t xml:space="preserve"> results are reported to the competent bodies of HBOR. Systems of pro-active risk management are continuously developed for the purpose of reducing possible future risks</w:t>
      </w:r>
      <w:r w:rsidRPr="009702B0">
        <w:rPr>
          <w:rFonts w:eastAsia="Times New Roman" w:cs="Arial"/>
        </w:rPr>
        <w:t>.</w:t>
      </w:r>
    </w:p>
    <w:p w14:paraId="0747523E" w14:textId="77777777" w:rsidR="009702B0" w:rsidRPr="009702B0" w:rsidRDefault="009702B0" w:rsidP="005444AA">
      <w:pPr>
        <w:widowControl w:val="0"/>
        <w:tabs>
          <w:tab w:val="left" w:pos="426"/>
        </w:tabs>
        <w:spacing w:before="4" w:after="0" w:line="20" w:lineRule="atLeast"/>
        <w:jc w:val="both"/>
        <w:rPr>
          <w:rFonts w:ascii="Arial" w:eastAsia="Times New Roman" w:hAnsi="Arial" w:cs="Calibri"/>
          <w:bCs/>
          <w:spacing w:val="-3"/>
          <w:sz w:val="19"/>
          <w:szCs w:val="20"/>
        </w:rPr>
      </w:pPr>
      <w:r w:rsidRPr="009702B0">
        <w:rPr>
          <w:rFonts w:eastAsia="Times New Roman" w:cs="Arial"/>
        </w:rPr>
        <w:t>The Manag</w:t>
      </w:r>
      <w:r w:rsidR="00C679D8">
        <w:rPr>
          <w:rFonts w:eastAsia="Times New Roman" w:cs="Arial"/>
        </w:rPr>
        <w:t>ement</w:t>
      </w:r>
      <w:r w:rsidRPr="009702B0">
        <w:rPr>
          <w:rFonts w:eastAsia="Times New Roman" w:cs="Arial"/>
        </w:rPr>
        <w:t xml:space="preserve"> Board of the Bank</w:t>
      </w:r>
      <w:r w:rsidRPr="009702B0">
        <w:rPr>
          <w:rFonts w:eastAsia="Times New Roman" w:cs="Arial"/>
          <w:b/>
        </w:rPr>
        <w:t xml:space="preserve"> </w:t>
      </w:r>
      <w:r w:rsidRPr="009702B0">
        <w:rPr>
          <w:rFonts w:eastAsia="Times New Roman" w:cs="Arial"/>
        </w:rPr>
        <w:t>is responsible for implementing risk management strategies and establishing an effective and reliable risk management system. In order to accomplish its task, the Manag</w:t>
      </w:r>
      <w:r w:rsidR="00C679D8">
        <w:rPr>
          <w:rFonts w:eastAsia="Times New Roman" w:cs="Arial"/>
        </w:rPr>
        <w:t>ement</w:t>
      </w:r>
      <w:r w:rsidRPr="009702B0">
        <w:rPr>
          <w:rFonts w:eastAsia="Times New Roman" w:cs="Arial"/>
        </w:rPr>
        <w:t xml:space="preserve"> Board delegated their risk management authority to four committees:</w:t>
      </w:r>
    </w:p>
    <w:p w14:paraId="562ABCAF" w14:textId="77777777" w:rsidR="009702B0" w:rsidRPr="009702B0" w:rsidRDefault="009702B0" w:rsidP="00BA3F2A">
      <w:pPr>
        <w:numPr>
          <w:ilvl w:val="0"/>
          <w:numId w:val="42"/>
        </w:numPr>
        <w:tabs>
          <w:tab w:val="clear" w:pos="1800"/>
          <w:tab w:val="num" w:pos="1418"/>
        </w:tabs>
        <w:spacing w:after="0" w:line="240" w:lineRule="auto"/>
        <w:ind w:left="1276" w:hanging="425"/>
        <w:jc w:val="both"/>
        <w:rPr>
          <w:rFonts w:cs="Calibri"/>
          <w:bCs/>
          <w:spacing w:val="-3"/>
        </w:rPr>
      </w:pPr>
      <w:r w:rsidRPr="009702B0">
        <w:t>Assets and Liabilities Management Committee (ALCO) – manages liquidity risk, interest rate risk in the Bank’s book and currency risk within the framework of the accepted policies</w:t>
      </w:r>
      <w:r w:rsidR="00C679D8">
        <w:t xml:space="preserve">, </w:t>
      </w:r>
      <w:r w:rsidR="00A41F05">
        <w:t>ordinances</w:t>
      </w:r>
      <w:r w:rsidRPr="009702B0">
        <w:t xml:space="preserve"> and procedures of the Bank that regulate this area,</w:t>
      </w:r>
      <w:r w:rsidRPr="009702B0">
        <w:rPr>
          <w:rFonts w:cs="Calibri"/>
          <w:bCs/>
          <w:spacing w:val="-3"/>
        </w:rPr>
        <w:t xml:space="preserve"> </w:t>
      </w:r>
    </w:p>
    <w:p w14:paraId="40956D33" w14:textId="77777777" w:rsidR="009702B0" w:rsidRPr="009702B0" w:rsidRDefault="009702B0" w:rsidP="00BA3F2A">
      <w:pPr>
        <w:numPr>
          <w:ilvl w:val="0"/>
          <w:numId w:val="42"/>
        </w:numPr>
        <w:tabs>
          <w:tab w:val="clear" w:pos="1800"/>
          <w:tab w:val="num" w:pos="1418"/>
        </w:tabs>
        <w:spacing w:after="0" w:line="240" w:lineRule="auto"/>
        <w:ind w:left="1276" w:hanging="425"/>
        <w:jc w:val="both"/>
        <w:rPr>
          <w:rFonts w:ascii="Arial" w:eastAsia="Times New Roman" w:hAnsi="Arial" w:cs="Arial"/>
          <w:b/>
          <w:sz w:val="19"/>
          <w:szCs w:val="19"/>
        </w:rPr>
      </w:pPr>
      <w:r w:rsidRPr="009702B0">
        <w:rPr>
          <w:rFonts w:eastAsia="Times New Roman" w:cs="Arial"/>
        </w:rPr>
        <w:t xml:space="preserve">Credit Risk Evaluation and Measurement Committee – manages credit risk within the framework set through accepted policies, </w:t>
      </w:r>
      <w:r w:rsidR="00A41F05">
        <w:rPr>
          <w:rFonts w:eastAsia="Times New Roman" w:cs="Arial"/>
        </w:rPr>
        <w:t>ordinances</w:t>
      </w:r>
      <w:r w:rsidR="008B242A">
        <w:rPr>
          <w:rFonts w:eastAsia="Times New Roman" w:cs="Arial"/>
        </w:rPr>
        <w:t xml:space="preserve">, </w:t>
      </w:r>
      <w:r w:rsidRPr="009702B0">
        <w:rPr>
          <w:rFonts w:eastAsia="Times New Roman" w:cs="Arial"/>
        </w:rPr>
        <w:t xml:space="preserve">procedures, and other internal acts that cover issues related to credit risk,  </w:t>
      </w:r>
    </w:p>
    <w:p w14:paraId="3F8B1F62" w14:textId="77777777" w:rsidR="009702B0" w:rsidRPr="009702B0" w:rsidRDefault="009702B0" w:rsidP="00BA3F2A">
      <w:pPr>
        <w:numPr>
          <w:ilvl w:val="0"/>
          <w:numId w:val="42"/>
        </w:numPr>
        <w:tabs>
          <w:tab w:val="clear" w:pos="1800"/>
          <w:tab w:val="num" w:pos="1418"/>
        </w:tabs>
        <w:spacing w:after="0" w:line="240" w:lineRule="auto"/>
        <w:ind w:left="1276" w:hanging="425"/>
        <w:jc w:val="both"/>
        <w:rPr>
          <w:rFonts w:cs="Calibri"/>
          <w:bCs/>
          <w:spacing w:val="-3"/>
        </w:rPr>
      </w:pPr>
      <w:r w:rsidRPr="009702B0">
        <w:rPr>
          <w:rFonts w:cs="Arial"/>
          <w:szCs w:val="19"/>
        </w:rPr>
        <w:t>HBOR Information System Management Committee – manages the resources of the information system and adequately manages the risks that result from the use of information technology,</w:t>
      </w:r>
    </w:p>
    <w:p w14:paraId="573FD4FB" w14:textId="77777777" w:rsidR="009702B0" w:rsidRPr="009702B0" w:rsidRDefault="009702B0" w:rsidP="00BA3F2A">
      <w:pPr>
        <w:numPr>
          <w:ilvl w:val="0"/>
          <w:numId w:val="42"/>
        </w:numPr>
        <w:tabs>
          <w:tab w:val="clear" w:pos="1800"/>
          <w:tab w:val="num" w:pos="1418"/>
        </w:tabs>
        <w:spacing w:after="0" w:line="240" w:lineRule="auto"/>
        <w:ind w:left="1276" w:hanging="425"/>
        <w:contextualSpacing/>
        <w:jc w:val="both"/>
        <w:rPr>
          <w:rFonts w:cs="Calibri"/>
          <w:bCs/>
          <w:spacing w:val="-3"/>
        </w:rPr>
      </w:pPr>
      <w:r w:rsidRPr="009702B0">
        <w:rPr>
          <w:rFonts w:cs="Arial"/>
          <w:szCs w:val="19"/>
        </w:rPr>
        <w:t>Business Changes Management Committee – manages business changes (co-ordination of procedures for the suggestion, approval, monitoring and implementation of business changes) in order to reduce risks associated with the implementation of business changes.</w:t>
      </w:r>
    </w:p>
    <w:p w14:paraId="46DA8DFB" w14:textId="77777777" w:rsidR="009702B0" w:rsidRPr="009702B0" w:rsidRDefault="009702B0" w:rsidP="005444AA">
      <w:pPr>
        <w:spacing w:before="4" w:after="0" w:line="20" w:lineRule="atLeast"/>
        <w:jc w:val="both"/>
        <w:rPr>
          <w:rFonts w:cs="Calibri"/>
          <w:bCs/>
          <w:spacing w:val="-3"/>
        </w:rPr>
      </w:pPr>
      <w:r w:rsidRPr="00F57530">
        <w:rPr>
          <w:rFonts w:eastAsia="Times New Roman"/>
          <w:color w:val="000000"/>
        </w:rPr>
        <w:t>The risk management strategy is directed towards achieving and maintaining the system that would provide quality and efficiency in risk management co</w:t>
      </w:r>
      <w:r w:rsidRPr="00CE67EA">
        <w:rPr>
          <w:rFonts w:eastAsia="Times New Roman"/>
          <w:color w:val="000000"/>
        </w:rPr>
        <w:t>mplied with domestic and international banking</w:t>
      </w:r>
      <w:r w:rsidRPr="00A663E1">
        <w:rPr>
          <w:rFonts w:eastAsia="Times New Roman"/>
          <w:color w:val="000000"/>
        </w:rPr>
        <w:t xml:space="preserve"> practices, the European regulations as well as the Basel Committee and the Croatian National Bank recommendations applicable to HBOR as a special financial institution</w:t>
      </w:r>
      <w:r w:rsidRPr="009702B0">
        <w:rPr>
          <w:rFonts w:cs="Calibri"/>
          <w:bCs/>
          <w:spacing w:val="-3"/>
        </w:rPr>
        <w:t>.</w:t>
      </w:r>
    </w:p>
    <w:p w14:paraId="4985A622" w14:textId="77777777" w:rsidR="009702B0" w:rsidRPr="009702B0" w:rsidRDefault="009702B0" w:rsidP="009702B0">
      <w:pPr>
        <w:spacing w:after="0" w:line="240" w:lineRule="auto"/>
        <w:jc w:val="both"/>
        <w:rPr>
          <w:rFonts w:cs="Calibri"/>
          <w:bCs/>
          <w:spacing w:val="-3"/>
        </w:rPr>
        <w:sectPr w:rsidR="009702B0" w:rsidRPr="009702B0" w:rsidSect="005444AA">
          <w:footerReference w:type="first" r:id="rId76"/>
          <w:pgSz w:w="11906" w:h="16838" w:code="9"/>
          <w:pgMar w:top="1247" w:right="1418" w:bottom="595" w:left="1134" w:header="709" w:footer="709" w:gutter="0"/>
          <w:cols w:space="708"/>
          <w:titlePg/>
          <w:docGrid w:linePitch="360"/>
        </w:sectPr>
      </w:pPr>
    </w:p>
    <w:p w14:paraId="274338ED" w14:textId="77777777" w:rsidR="009702B0" w:rsidRPr="009702B0" w:rsidRDefault="009702B0" w:rsidP="009702B0">
      <w:pPr>
        <w:spacing w:after="0" w:line="240" w:lineRule="auto"/>
        <w:jc w:val="both"/>
        <w:rPr>
          <w:rFonts w:cs="Calibri"/>
          <w:bCs/>
          <w:spacing w:val="-3"/>
        </w:rPr>
      </w:pPr>
    </w:p>
    <w:p w14:paraId="58EB9604" w14:textId="77777777" w:rsidR="009702B0" w:rsidRPr="009702B0" w:rsidRDefault="009702B0" w:rsidP="009702B0">
      <w:pPr>
        <w:keepNext/>
        <w:tabs>
          <w:tab w:val="left" w:pos="426"/>
        </w:tabs>
        <w:spacing w:after="0" w:line="240" w:lineRule="auto"/>
        <w:jc w:val="both"/>
        <w:rPr>
          <w:rFonts w:eastAsia="Times New Roman" w:cs="Arial"/>
          <w:b/>
          <w:bCs/>
        </w:rPr>
      </w:pPr>
      <w:r w:rsidRPr="009702B0">
        <w:rPr>
          <w:rFonts w:eastAsia="Times New Roman" w:cs="Calibri"/>
          <w:b/>
          <w:bCs/>
          <w:lang w:eastAsia="hr-HR"/>
        </w:rPr>
        <w:t>16.</w:t>
      </w:r>
      <w:r w:rsidRPr="009702B0">
        <w:rPr>
          <w:rFonts w:eastAsia="Times New Roman" w:cs="Arial"/>
          <w:b/>
          <w:bCs/>
        </w:rPr>
        <w:tab/>
        <w:t>Risk management (continued)</w:t>
      </w:r>
    </w:p>
    <w:p w14:paraId="60E700F3" w14:textId="77777777" w:rsidR="009702B0" w:rsidRPr="009702B0" w:rsidRDefault="009702B0" w:rsidP="009702B0">
      <w:pPr>
        <w:spacing w:after="0" w:line="240" w:lineRule="auto"/>
        <w:jc w:val="both"/>
        <w:rPr>
          <w:rFonts w:eastAsia="Times New Roman" w:cs="Calibri"/>
          <w:b/>
        </w:rPr>
      </w:pPr>
    </w:p>
    <w:p w14:paraId="191C60E4" w14:textId="77777777" w:rsidR="009702B0" w:rsidRPr="009702B0" w:rsidRDefault="009702B0" w:rsidP="009702B0">
      <w:pPr>
        <w:spacing w:after="0" w:line="240" w:lineRule="auto"/>
        <w:jc w:val="both"/>
        <w:rPr>
          <w:rFonts w:eastAsia="Times New Roman" w:cs="Calibri"/>
          <w:b/>
        </w:rPr>
      </w:pPr>
      <w:r w:rsidRPr="009702B0">
        <w:rPr>
          <w:rFonts w:eastAsia="Times New Roman" w:cs="Calibri"/>
          <w:b/>
        </w:rPr>
        <w:t xml:space="preserve">16.2. </w:t>
      </w:r>
      <w:r w:rsidRPr="009702B0">
        <w:rPr>
          <w:rFonts w:eastAsia="Times New Roman" w:cs="Calibri"/>
          <w:b/>
        </w:rPr>
        <w:tab/>
        <w:t xml:space="preserve">Credit risk </w:t>
      </w:r>
    </w:p>
    <w:p w14:paraId="70BDD2E8" w14:textId="77777777" w:rsidR="009702B0" w:rsidRPr="009702B0" w:rsidRDefault="009702B0" w:rsidP="009702B0">
      <w:pPr>
        <w:spacing w:after="0" w:line="240" w:lineRule="auto"/>
        <w:jc w:val="both"/>
        <w:rPr>
          <w:rFonts w:eastAsia="Times New Roman" w:cs="Calibri"/>
          <w:b/>
        </w:rPr>
      </w:pPr>
    </w:p>
    <w:p w14:paraId="3D510472" w14:textId="77777777" w:rsidR="009702B0" w:rsidRPr="009702B0" w:rsidRDefault="009702B0" w:rsidP="009702B0">
      <w:pPr>
        <w:spacing w:after="0" w:line="240" w:lineRule="auto"/>
        <w:jc w:val="both"/>
        <w:rPr>
          <w:rFonts w:eastAsia="Times New Roman"/>
        </w:rPr>
      </w:pPr>
      <w:r w:rsidRPr="009702B0">
        <w:rPr>
          <w:rFonts w:eastAsia="Times New Roman"/>
        </w:rPr>
        <w:t xml:space="preserve">The Bank controls credit risk by way of credit policies, ordinances and prescribed procedures for the management of this risk that determine internal control systems aiming to act preventively. </w:t>
      </w:r>
    </w:p>
    <w:p w14:paraId="68244E1F" w14:textId="77777777" w:rsidR="009702B0" w:rsidRPr="009702B0" w:rsidRDefault="009702B0" w:rsidP="009702B0">
      <w:pPr>
        <w:spacing w:after="0" w:line="240" w:lineRule="auto"/>
        <w:jc w:val="both"/>
        <w:rPr>
          <w:rFonts w:cs="Calibri"/>
          <w:bCs/>
          <w:spacing w:val="-3"/>
        </w:rPr>
      </w:pPr>
    </w:p>
    <w:p w14:paraId="53D5EAC1" w14:textId="77777777" w:rsidR="009702B0" w:rsidRPr="009702B0" w:rsidRDefault="009702B0" w:rsidP="009702B0">
      <w:pPr>
        <w:spacing w:after="0" w:line="240" w:lineRule="auto"/>
        <w:jc w:val="both"/>
        <w:rPr>
          <w:rFonts w:cs="Calibri"/>
          <w:bCs/>
          <w:spacing w:val="-3"/>
        </w:rPr>
      </w:pPr>
      <w:r w:rsidRPr="009702B0">
        <w:rPr>
          <w:rFonts w:cs="Calibri"/>
          <w:bCs/>
          <w:spacing w:val="-3"/>
        </w:rPr>
        <w:t xml:space="preserve">The credit risk management system is the most important part of the HBOR business policy and is an important factor of its operation strategy. Therefore, this area has been regulated by a special document – the Credit Risk Management Procedures that are applied in all phases of the credit process (from the development of new bank products, credit application, monitoring of the client’s business operations until the final loan repayment). The Credit Risk Management Procedures </w:t>
      </w:r>
      <w:r w:rsidRPr="009702B0">
        <w:rPr>
          <w:rFonts w:eastAsia="Times New Roman"/>
          <w:color w:val="000000"/>
        </w:rPr>
        <w:t xml:space="preserve">represent a comprehensive document that </w:t>
      </w:r>
      <w:r w:rsidR="0064561F">
        <w:rPr>
          <w:rFonts w:eastAsia="Times New Roman"/>
          <w:color w:val="000000"/>
        </w:rPr>
        <w:t xml:space="preserve">also </w:t>
      </w:r>
      <w:r w:rsidRPr="009702B0">
        <w:rPr>
          <w:rFonts w:eastAsia="Times New Roman"/>
          <w:color w:val="000000"/>
        </w:rPr>
        <w:t>contains methodologies for the assessment of various target groups of clients</w:t>
      </w:r>
      <w:r w:rsidRPr="009702B0">
        <w:rPr>
          <w:rFonts w:cs="Calibri"/>
          <w:bCs/>
          <w:spacing w:val="-3"/>
        </w:rPr>
        <w:t>.</w:t>
      </w:r>
    </w:p>
    <w:p w14:paraId="509BD2BE" w14:textId="77777777" w:rsidR="009702B0" w:rsidRPr="009702B0" w:rsidRDefault="009702B0" w:rsidP="009702B0">
      <w:pPr>
        <w:spacing w:after="0" w:line="240" w:lineRule="auto"/>
        <w:jc w:val="both"/>
        <w:rPr>
          <w:rFonts w:cs="Calibri"/>
          <w:bCs/>
          <w:spacing w:val="-3"/>
        </w:rPr>
      </w:pPr>
    </w:p>
    <w:p w14:paraId="04F09AB2" w14:textId="77777777" w:rsidR="009702B0" w:rsidRPr="009702B0" w:rsidRDefault="009702B0" w:rsidP="009702B0">
      <w:pPr>
        <w:tabs>
          <w:tab w:val="right" w:pos="9129"/>
        </w:tabs>
        <w:spacing w:after="0" w:line="240" w:lineRule="auto"/>
        <w:jc w:val="both"/>
        <w:rPr>
          <w:rFonts w:eastAsia="Times New Roman" w:cs="Arial"/>
        </w:rPr>
      </w:pPr>
      <w:r w:rsidRPr="009702B0">
        <w:rPr>
          <w:rFonts w:eastAsia="Times New Roman"/>
          <w:color w:val="000000"/>
        </w:rPr>
        <w:t>For the purpose of mitigating credit risk and reducing operating expenses, in compliance with the Act on the Croatian Bank for Reconstruction and Development, the Bank approves part of its placements through commercial banks that bear the risk of loan repayment by final borrowers</w:t>
      </w:r>
      <w:r w:rsidRPr="009702B0">
        <w:rPr>
          <w:rFonts w:cs="Calibri"/>
          <w:bCs/>
          <w:spacing w:val="-3"/>
        </w:rPr>
        <w:t xml:space="preserve">. All direct placements are mainly secured with a mortgage over real estate, and, if that is possible, the Bank obtains as security against credit risk a guarantee from the HAMAG-BICRO, and other types of warranties and guarantees. </w:t>
      </w:r>
      <w:r w:rsidRPr="009702B0">
        <w:rPr>
          <w:rFonts w:eastAsia="Times New Roman" w:cs="Arial"/>
        </w:rPr>
        <w:t xml:space="preserve">Depending on the type of collateral, the credit programme, the general terms of security or the decision of an authorised body, the Bank has determined the necessary ratio of placements </w:t>
      </w:r>
      <w:r w:rsidR="0064561F">
        <w:rPr>
          <w:rFonts w:eastAsia="Times New Roman" w:cs="Arial"/>
        </w:rPr>
        <w:t xml:space="preserve">amount </w:t>
      </w:r>
      <w:r w:rsidRPr="009702B0">
        <w:rPr>
          <w:rFonts w:eastAsia="Times New Roman" w:cs="Arial"/>
        </w:rPr>
        <w:t>and collateral</w:t>
      </w:r>
      <w:r w:rsidR="0064561F">
        <w:rPr>
          <w:rFonts w:eastAsia="Times New Roman" w:cs="Arial"/>
        </w:rPr>
        <w:t xml:space="preserve"> value</w:t>
      </w:r>
      <w:r w:rsidRPr="009702B0">
        <w:rPr>
          <w:rFonts w:eastAsia="Times New Roman" w:cs="Arial"/>
        </w:rPr>
        <w:t>.</w:t>
      </w:r>
    </w:p>
    <w:p w14:paraId="1D6B3FB6" w14:textId="77777777" w:rsidR="009702B0" w:rsidRPr="009702B0" w:rsidRDefault="009702B0" w:rsidP="009702B0">
      <w:pPr>
        <w:spacing w:after="0" w:line="240" w:lineRule="auto"/>
        <w:jc w:val="both"/>
        <w:rPr>
          <w:rFonts w:cs="Calibri"/>
          <w:bCs/>
          <w:spacing w:val="-3"/>
        </w:rPr>
      </w:pPr>
    </w:p>
    <w:p w14:paraId="3677E091" w14:textId="77777777" w:rsidR="009702B0" w:rsidRPr="009702B0" w:rsidRDefault="009702B0" w:rsidP="009702B0">
      <w:pPr>
        <w:spacing w:after="0" w:line="240" w:lineRule="auto"/>
        <w:jc w:val="both"/>
        <w:rPr>
          <w:rFonts w:eastAsia="Times New Roman"/>
        </w:rPr>
      </w:pPr>
      <w:r w:rsidRPr="009702B0">
        <w:rPr>
          <w:rFonts w:eastAsia="Times New Roman"/>
        </w:rPr>
        <w:t>The Bank, with its developmental loan programmes, covers the entire Republic of Croatia with a special emphasis on supported areas and special concern areas. Credit risk is diversified across geographical areas, activities, industries and loan programmes. The Bank tries to avoid the excess concentration of credit risk and evenly develop all areas of the Republic of Croatia through the development of new loan programmes (products) and favourable terms and conditions of loans in accordance with the government strategy for the development of individual business activities.</w:t>
      </w:r>
    </w:p>
    <w:p w14:paraId="2FEEDE0A" w14:textId="77777777" w:rsidR="009702B0" w:rsidRDefault="009702B0" w:rsidP="009702B0">
      <w:pPr>
        <w:spacing w:after="0" w:line="240" w:lineRule="auto"/>
        <w:jc w:val="both"/>
        <w:rPr>
          <w:rFonts w:cs="Calibri"/>
          <w:bCs/>
          <w:spacing w:val="-3"/>
        </w:rPr>
      </w:pPr>
    </w:p>
    <w:p w14:paraId="2AEFE551" w14:textId="1A3E3FFC" w:rsidR="009702B0" w:rsidRPr="009702B0" w:rsidRDefault="00D53CBC" w:rsidP="009702B0">
      <w:pPr>
        <w:spacing w:after="0" w:line="240" w:lineRule="auto"/>
        <w:jc w:val="both"/>
        <w:rPr>
          <w:rFonts w:cs="Calibri"/>
          <w:bCs/>
          <w:spacing w:val="-3"/>
        </w:rPr>
      </w:pPr>
      <w:r w:rsidRPr="00D53CBC">
        <w:rPr>
          <w:rFonts w:cs="Calibri"/>
          <w:bCs/>
          <w:spacing w:val="-3"/>
        </w:rPr>
        <w:t>As of 30 September 2017, the highest credit exposure of the Group to one debtor equalled HRK</w:t>
      </w:r>
      <w:r>
        <w:rPr>
          <w:rFonts w:cs="Calibri"/>
          <w:bCs/>
          <w:spacing w:val="-3"/>
        </w:rPr>
        <w:t xml:space="preserve"> </w:t>
      </w:r>
      <w:r w:rsidRPr="00D53CBC">
        <w:rPr>
          <w:rFonts w:cs="Calibri"/>
          <w:bCs/>
          <w:spacing w:val="-3"/>
        </w:rPr>
        <w:t>3,243,576</w:t>
      </w:r>
      <w:r>
        <w:rPr>
          <w:rFonts w:cs="Calibri"/>
          <w:bCs/>
          <w:spacing w:val="-3"/>
        </w:rPr>
        <w:t xml:space="preserve"> </w:t>
      </w:r>
      <w:r w:rsidRPr="00D53CBC">
        <w:rPr>
          <w:rFonts w:cs="Calibri"/>
          <w:bCs/>
          <w:spacing w:val="-3"/>
        </w:rPr>
        <w:t>thousand</w:t>
      </w:r>
      <w:r w:rsidRPr="00D53CBC">
        <w:t xml:space="preserve"> </w:t>
      </w:r>
      <w:r>
        <w:t>(</w:t>
      </w:r>
      <w:r w:rsidRPr="00D53CBC">
        <w:rPr>
          <w:rFonts w:cs="Calibri"/>
          <w:bCs/>
          <w:spacing w:val="-3"/>
        </w:rPr>
        <w:t>as of 31 December 2016: HRK 3,147,235 thousand)</w:t>
      </w:r>
      <w:r w:rsidR="00DF5C27" w:rsidRPr="00DF5C27">
        <w:t xml:space="preserve"> </w:t>
      </w:r>
      <w:r w:rsidR="00DF5C27" w:rsidRPr="00DF5C27">
        <w:rPr>
          <w:rFonts w:cs="Calibri"/>
          <w:bCs/>
          <w:spacing w:val="-3"/>
        </w:rPr>
        <w:t>and of the Bank HRK</w:t>
      </w:r>
      <w:r w:rsidR="00DF5C27">
        <w:rPr>
          <w:rFonts w:cs="Calibri"/>
          <w:bCs/>
          <w:spacing w:val="-3"/>
        </w:rPr>
        <w:t xml:space="preserve"> </w:t>
      </w:r>
      <w:r w:rsidR="00DF5C27" w:rsidRPr="00DF5C27">
        <w:rPr>
          <w:rFonts w:cs="Calibri"/>
          <w:bCs/>
          <w:spacing w:val="-3"/>
        </w:rPr>
        <w:t>3,240,768</w:t>
      </w:r>
      <w:r w:rsidR="00DF5C27" w:rsidRPr="00DF5C27">
        <w:t xml:space="preserve"> </w:t>
      </w:r>
      <w:r w:rsidR="00DF5C27" w:rsidRPr="00DF5C27">
        <w:rPr>
          <w:rFonts w:cs="Calibri"/>
          <w:bCs/>
          <w:spacing w:val="-3"/>
        </w:rPr>
        <w:t>thousand (as of 31 December 2016: HRK 3,147,235 thousand), without considering the effect of mitigation through collateral received</w:t>
      </w:r>
      <w:r w:rsidR="00DF5C27">
        <w:rPr>
          <w:rFonts w:cs="Calibri"/>
          <w:bCs/>
          <w:spacing w:val="-3"/>
        </w:rPr>
        <w:t>.</w:t>
      </w:r>
    </w:p>
    <w:p w14:paraId="503D256C" w14:textId="77777777" w:rsidR="009702B0" w:rsidRPr="009702B0" w:rsidRDefault="009702B0" w:rsidP="009702B0">
      <w:pPr>
        <w:spacing w:after="0" w:line="240" w:lineRule="auto"/>
        <w:jc w:val="both"/>
        <w:rPr>
          <w:rFonts w:eastAsia="Times New Roman" w:cs="Calibri"/>
          <w:b/>
          <w:sz w:val="24"/>
          <w:szCs w:val="24"/>
        </w:rPr>
        <w:sectPr w:rsidR="009702B0" w:rsidRPr="009702B0" w:rsidSect="00947CB7">
          <w:footerReference w:type="first" r:id="rId77"/>
          <w:pgSz w:w="11906" w:h="16838" w:code="9"/>
          <w:pgMar w:top="1418" w:right="1418" w:bottom="595" w:left="1134" w:header="709" w:footer="709" w:gutter="0"/>
          <w:cols w:space="708"/>
          <w:titlePg/>
          <w:docGrid w:linePitch="360"/>
        </w:sectPr>
      </w:pPr>
    </w:p>
    <w:p w14:paraId="54D187A2" w14:textId="77777777" w:rsidR="009702B0" w:rsidRPr="009702B0" w:rsidRDefault="009702B0" w:rsidP="009702B0">
      <w:pPr>
        <w:keepNext/>
        <w:spacing w:after="0" w:line="240" w:lineRule="auto"/>
        <w:jc w:val="both"/>
        <w:rPr>
          <w:rFonts w:eastAsia="Times New Roman" w:cs="Arial"/>
          <w:b/>
          <w:bCs/>
        </w:rPr>
      </w:pPr>
    </w:p>
    <w:p w14:paraId="054D452C"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14:paraId="00634B02" w14:textId="77777777" w:rsidR="009702B0" w:rsidRPr="009702B0" w:rsidRDefault="009702B0" w:rsidP="009702B0">
      <w:pPr>
        <w:keepNext/>
        <w:spacing w:after="0" w:line="240" w:lineRule="auto"/>
        <w:jc w:val="both"/>
        <w:rPr>
          <w:rFonts w:eastAsia="Times New Roman" w:cs="Arial"/>
          <w:b/>
          <w:bCs/>
        </w:rPr>
      </w:pPr>
    </w:p>
    <w:p w14:paraId="7C412AAB"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 xml:space="preserve">16.2. </w:t>
      </w:r>
      <w:r w:rsidRPr="009702B0">
        <w:rPr>
          <w:rFonts w:eastAsia="Times New Roman" w:cs="Arial"/>
          <w:b/>
          <w:bCs/>
        </w:rPr>
        <w:tab/>
        <w:t>Credit risk (continued)</w:t>
      </w:r>
    </w:p>
    <w:p w14:paraId="6B0EE2FF" w14:textId="77777777" w:rsidR="009702B0" w:rsidRPr="009702B0" w:rsidRDefault="009702B0" w:rsidP="009702B0">
      <w:pPr>
        <w:keepNext/>
        <w:spacing w:after="0" w:line="240" w:lineRule="auto"/>
        <w:jc w:val="both"/>
        <w:rPr>
          <w:rFonts w:eastAsia="Times New Roman" w:cs="Arial"/>
          <w:b/>
          <w:bCs/>
        </w:rPr>
      </w:pPr>
    </w:p>
    <w:p w14:paraId="3527490C"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Concentration of risk and maximum credit risk exposure</w:t>
      </w:r>
    </w:p>
    <w:p w14:paraId="3F2A274D" w14:textId="77777777" w:rsidR="009702B0" w:rsidRPr="009702B0" w:rsidRDefault="009702B0" w:rsidP="009702B0">
      <w:pPr>
        <w:keepNext/>
        <w:spacing w:after="0" w:line="240" w:lineRule="auto"/>
        <w:jc w:val="both"/>
        <w:rPr>
          <w:rFonts w:eastAsia="Times New Roman" w:cs="Arial"/>
          <w:b/>
          <w:bCs/>
        </w:rPr>
      </w:pPr>
    </w:p>
    <w:p w14:paraId="4F329BEC" w14:textId="77777777" w:rsidR="009702B0" w:rsidRPr="009702B0" w:rsidRDefault="009702B0" w:rsidP="009702B0">
      <w:pPr>
        <w:spacing w:after="0" w:line="240" w:lineRule="auto"/>
        <w:jc w:val="both"/>
        <w:rPr>
          <w:rFonts w:eastAsia="Times New Roman" w:cs="Arial"/>
        </w:rPr>
      </w:pPr>
      <w:r w:rsidRPr="009702B0">
        <w:rPr>
          <w:rFonts w:eastAsia="Times New Roman" w:cs="Arial"/>
        </w:rPr>
        <w:t>The table below shows the highest gross credit risk exposures existing in the Statement of Financial Position and in Guarantees and commitments as of the reporting date, before the effect of mitigation through collateral received:</w:t>
      </w:r>
    </w:p>
    <w:p w14:paraId="63949C9A" w14:textId="77777777" w:rsidR="009702B0" w:rsidRPr="009702B0" w:rsidRDefault="009702B0" w:rsidP="009702B0">
      <w:pPr>
        <w:spacing w:after="0" w:line="240" w:lineRule="auto"/>
        <w:jc w:val="both"/>
        <w:rPr>
          <w:rFonts w:eastAsia="Times New Roman" w:cs="Arial"/>
        </w:rPr>
      </w:pPr>
    </w:p>
    <w:tbl>
      <w:tblPr>
        <w:tblW w:w="4944" w:type="pct"/>
        <w:tblLayout w:type="fixed"/>
        <w:tblLook w:val="0000" w:firstRow="0" w:lastRow="0" w:firstColumn="0" w:lastColumn="0" w:noHBand="0" w:noVBand="0"/>
      </w:tblPr>
      <w:tblGrid>
        <w:gridCol w:w="4111"/>
        <w:gridCol w:w="1284"/>
        <w:gridCol w:w="1286"/>
        <w:gridCol w:w="1284"/>
        <w:gridCol w:w="1284"/>
      </w:tblGrid>
      <w:tr w:rsidR="009702B0" w:rsidRPr="002159C8" w14:paraId="2F52A832" w14:textId="77777777" w:rsidTr="009702B0">
        <w:trPr>
          <w:trHeight w:val="218"/>
        </w:trPr>
        <w:tc>
          <w:tcPr>
            <w:tcW w:w="2222" w:type="pct"/>
          </w:tcPr>
          <w:p w14:paraId="5748A10D" w14:textId="77777777" w:rsidR="009702B0" w:rsidRPr="00166751" w:rsidRDefault="009702B0" w:rsidP="009702B0">
            <w:pPr>
              <w:spacing w:after="0" w:line="360" w:lineRule="auto"/>
              <w:jc w:val="both"/>
              <w:rPr>
                <w:rFonts w:eastAsia="Times New Roman" w:cs="Arial"/>
                <w:bCs/>
                <w:sz w:val="18"/>
                <w:szCs w:val="18"/>
              </w:rPr>
            </w:pPr>
          </w:p>
        </w:tc>
        <w:tc>
          <w:tcPr>
            <w:tcW w:w="1389" w:type="pct"/>
            <w:gridSpan w:val="2"/>
            <w:vAlign w:val="center"/>
          </w:tcPr>
          <w:p w14:paraId="18575926" w14:textId="77777777" w:rsidR="009702B0" w:rsidRPr="00166751" w:rsidRDefault="009702B0" w:rsidP="009702B0">
            <w:pPr>
              <w:spacing w:after="0" w:line="360" w:lineRule="auto"/>
              <w:jc w:val="right"/>
              <w:rPr>
                <w:rFonts w:eastAsia="Times New Roman" w:cs="Arial"/>
                <w:b/>
                <w:sz w:val="18"/>
                <w:szCs w:val="18"/>
              </w:rPr>
            </w:pPr>
            <w:r w:rsidRPr="00166751">
              <w:rPr>
                <w:rFonts w:eastAsia="Times New Roman" w:cs="Arial"/>
                <w:b/>
                <w:sz w:val="18"/>
                <w:szCs w:val="18"/>
              </w:rPr>
              <w:t>Group</w:t>
            </w:r>
          </w:p>
        </w:tc>
        <w:tc>
          <w:tcPr>
            <w:tcW w:w="1388" w:type="pct"/>
            <w:gridSpan w:val="2"/>
            <w:vAlign w:val="center"/>
          </w:tcPr>
          <w:p w14:paraId="6A03D015" w14:textId="77777777" w:rsidR="009702B0" w:rsidRPr="00166751" w:rsidRDefault="009702B0" w:rsidP="009702B0">
            <w:pPr>
              <w:spacing w:after="0" w:line="360" w:lineRule="auto"/>
              <w:jc w:val="right"/>
              <w:rPr>
                <w:rFonts w:eastAsia="Times New Roman" w:cs="Arial"/>
                <w:b/>
                <w:sz w:val="18"/>
                <w:szCs w:val="18"/>
              </w:rPr>
            </w:pPr>
            <w:r w:rsidRPr="00166751">
              <w:rPr>
                <w:rFonts w:eastAsia="Times New Roman" w:cs="Arial"/>
                <w:b/>
                <w:sz w:val="18"/>
                <w:szCs w:val="18"/>
              </w:rPr>
              <w:t>Bank</w:t>
            </w:r>
          </w:p>
        </w:tc>
      </w:tr>
      <w:tr w:rsidR="009702B0" w:rsidRPr="002159C8" w14:paraId="7CECB268" w14:textId="77777777" w:rsidTr="009702B0">
        <w:tc>
          <w:tcPr>
            <w:tcW w:w="2222" w:type="pct"/>
          </w:tcPr>
          <w:p w14:paraId="110B5597" w14:textId="77777777" w:rsidR="009702B0" w:rsidRPr="00166751" w:rsidRDefault="009702B0" w:rsidP="009702B0">
            <w:pPr>
              <w:rPr>
                <w:rFonts w:cs="Arial"/>
                <w:sz w:val="18"/>
                <w:szCs w:val="18"/>
              </w:rPr>
            </w:pPr>
            <w:r w:rsidRPr="00166751">
              <w:rPr>
                <w:rFonts w:cs="Arial"/>
                <w:b/>
                <w:bCs/>
                <w:sz w:val="18"/>
                <w:szCs w:val="18"/>
              </w:rPr>
              <w:br w:type="page"/>
            </w:r>
          </w:p>
        </w:tc>
        <w:tc>
          <w:tcPr>
            <w:tcW w:w="694" w:type="pct"/>
            <w:vAlign w:val="bottom"/>
          </w:tcPr>
          <w:p w14:paraId="7ADF4A02" w14:textId="77777777" w:rsidR="009702B0" w:rsidRPr="00166751" w:rsidRDefault="009702B0" w:rsidP="009702B0">
            <w:pPr>
              <w:spacing w:after="0" w:line="240" w:lineRule="auto"/>
              <w:jc w:val="right"/>
              <w:rPr>
                <w:rFonts w:cs="Arial"/>
                <w:b/>
                <w:sz w:val="18"/>
                <w:szCs w:val="18"/>
              </w:rPr>
            </w:pPr>
            <w:r w:rsidRPr="00166751">
              <w:rPr>
                <w:rFonts w:cs="Arial"/>
                <w:b/>
                <w:sz w:val="18"/>
                <w:szCs w:val="18"/>
              </w:rPr>
              <w:t xml:space="preserve">Gross </w:t>
            </w:r>
          </w:p>
          <w:p w14:paraId="63272BDB" w14:textId="77777777" w:rsidR="009702B0" w:rsidRPr="00166751" w:rsidRDefault="009702B0" w:rsidP="009702B0">
            <w:pPr>
              <w:spacing w:after="0" w:line="240" w:lineRule="auto"/>
              <w:jc w:val="right"/>
              <w:rPr>
                <w:rFonts w:cs="Arial"/>
                <w:b/>
                <w:sz w:val="18"/>
                <w:szCs w:val="18"/>
              </w:rPr>
            </w:pPr>
            <w:r w:rsidRPr="00166751">
              <w:rPr>
                <w:rFonts w:cs="Arial"/>
                <w:b/>
                <w:sz w:val="18"/>
                <w:szCs w:val="18"/>
              </w:rPr>
              <w:t>highest exposure</w:t>
            </w:r>
          </w:p>
          <w:p w14:paraId="70CA5795" w14:textId="77777777" w:rsidR="009702B0" w:rsidRPr="00166751" w:rsidRDefault="009702B0" w:rsidP="009702B0">
            <w:pPr>
              <w:spacing w:after="0" w:line="240" w:lineRule="auto"/>
              <w:jc w:val="right"/>
              <w:rPr>
                <w:rFonts w:cs="Arial"/>
                <w:b/>
                <w:sz w:val="18"/>
                <w:szCs w:val="18"/>
              </w:rPr>
            </w:pPr>
          </w:p>
          <w:p w14:paraId="1D8EE5F8" w14:textId="612954ED" w:rsidR="009702B0" w:rsidRPr="00166751" w:rsidRDefault="00456071" w:rsidP="009702B0">
            <w:pPr>
              <w:spacing w:after="0" w:line="240" w:lineRule="auto"/>
              <w:jc w:val="right"/>
              <w:rPr>
                <w:rFonts w:cs="Arial"/>
                <w:b/>
                <w:sz w:val="18"/>
                <w:szCs w:val="18"/>
              </w:rPr>
            </w:pPr>
            <w:r>
              <w:rPr>
                <w:rFonts w:eastAsia="Times New Roman" w:cs="Arial"/>
                <w:b/>
                <w:bCs/>
                <w:sz w:val="18"/>
                <w:szCs w:val="18"/>
              </w:rPr>
              <w:t>Sep</w:t>
            </w:r>
            <w:r w:rsidRPr="000B2C7A">
              <w:rPr>
                <w:rFonts w:eastAsia="Times New Roman" w:cs="Arial"/>
                <w:b/>
                <w:bCs/>
                <w:sz w:val="18"/>
                <w:szCs w:val="18"/>
              </w:rPr>
              <w:t xml:space="preserve"> </w:t>
            </w:r>
            <w:r w:rsidR="000B2C7A" w:rsidRPr="000B2C7A">
              <w:rPr>
                <w:rFonts w:eastAsia="Times New Roman" w:cs="Arial"/>
                <w:b/>
                <w:bCs/>
                <w:sz w:val="18"/>
                <w:szCs w:val="18"/>
              </w:rPr>
              <w:t>30</w:t>
            </w:r>
            <w:r w:rsidR="00693680" w:rsidRPr="00166751">
              <w:rPr>
                <w:rFonts w:eastAsia="Times New Roman" w:cs="Arial"/>
                <w:b/>
                <w:bCs/>
                <w:sz w:val="18"/>
                <w:szCs w:val="18"/>
              </w:rPr>
              <w:t>, 2017</w:t>
            </w:r>
          </w:p>
        </w:tc>
        <w:tc>
          <w:tcPr>
            <w:tcW w:w="695" w:type="pct"/>
            <w:vAlign w:val="bottom"/>
          </w:tcPr>
          <w:p w14:paraId="0E1911DF" w14:textId="77777777" w:rsidR="009702B0" w:rsidRPr="00166751" w:rsidRDefault="009702B0" w:rsidP="009702B0">
            <w:pPr>
              <w:spacing w:after="0" w:line="240" w:lineRule="auto"/>
              <w:jc w:val="right"/>
              <w:rPr>
                <w:rFonts w:cs="Arial"/>
                <w:b/>
                <w:sz w:val="18"/>
                <w:szCs w:val="18"/>
              </w:rPr>
            </w:pPr>
            <w:r w:rsidRPr="00166751">
              <w:rPr>
                <w:rFonts w:cs="Arial"/>
                <w:b/>
                <w:sz w:val="18"/>
                <w:szCs w:val="18"/>
              </w:rPr>
              <w:t xml:space="preserve">Gross </w:t>
            </w:r>
          </w:p>
          <w:p w14:paraId="72CF4305" w14:textId="77777777" w:rsidR="009702B0" w:rsidRPr="00166751" w:rsidRDefault="009702B0" w:rsidP="009702B0">
            <w:pPr>
              <w:spacing w:after="0" w:line="240" w:lineRule="auto"/>
              <w:jc w:val="right"/>
              <w:rPr>
                <w:rFonts w:cs="Arial"/>
                <w:b/>
                <w:sz w:val="18"/>
                <w:szCs w:val="18"/>
              </w:rPr>
            </w:pPr>
            <w:r w:rsidRPr="00166751">
              <w:rPr>
                <w:rFonts w:cs="Arial"/>
                <w:b/>
                <w:sz w:val="18"/>
                <w:szCs w:val="18"/>
              </w:rPr>
              <w:t>highest exposure</w:t>
            </w:r>
          </w:p>
          <w:p w14:paraId="144AFAB3" w14:textId="77777777" w:rsidR="009702B0" w:rsidRPr="00166751" w:rsidRDefault="009702B0" w:rsidP="009702B0">
            <w:pPr>
              <w:spacing w:after="0" w:line="240" w:lineRule="auto"/>
              <w:jc w:val="right"/>
              <w:rPr>
                <w:rFonts w:cs="Arial"/>
                <w:b/>
                <w:sz w:val="18"/>
                <w:szCs w:val="18"/>
              </w:rPr>
            </w:pPr>
          </w:p>
          <w:p w14:paraId="1B805D73" w14:textId="77777777" w:rsidR="009702B0" w:rsidRPr="00166751" w:rsidRDefault="009702B0" w:rsidP="00693680">
            <w:pPr>
              <w:spacing w:after="0" w:line="240" w:lineRule="auto"/>
              <w:jc w:val="right"/>
              <w:rPr>
                <w:rFonts w:cs="Arial"/>
                <w:b/>
                <w:sz w:val="18"/>
                <w:szCs w:val="18"/>
              </w:rPr>
            </w:pPr>
            <w:r w:rsidRPr="00166751">
              <w:rPr>
                <w:rFonts w:eastAsia="Times New Roman" w:cs="Arial"/>
                <w:b/>
                <w:sz w:val="18"/>
                <w:szCs w:val="18"/>
              </w:rPr>
              <w:t>Dec 31, 201</w:t>
            </w:r>
            <w:r w:rsidR="00693680" w:rsidRPr="00166751">
              <w:rPr>
                <w:rFonts w:eastAsia="Times New Roman" w:cs="Arial"/>
                <w:b/>
                <w:sz w:val="18"/>
                <w:szCs w:val="18"/>
              </w:rPr>
              <w:t>6</w:t>
            </w:r>
          </w:p>
        </w:tc>
        <w:tc>
          <w:tcPr>
            <w:tcW w:w="694" w:type="pct"/>
            <w:vAlign w:val="bottom"/>
          </w:tcPr>
          <w:p w14:paraId="268DD600" w14:textId="77777777" w:rsidR="009702B0" w:rsidRPr="00166751" w:rsidRDefault="009702B0" w:rsidP="009702B0">
            <w:pPr>
              <w:spacing w:after="0" w:line="240" w:lineRule="auto"/>
              <w:jc w:val="right"/>
              <w:rPr>
                <w:rFonts w:cs="Arial"/>
                <w:b/>
                <w:sz w:val="18"/>
                <w:szCs w:val="18"/>
              </w:rPr>
            </w:pPr>
            <w:r w:rsidRPr="00166751">
              <w:rPr>
                <w:rFonts w:cs="Arial"/>
                <w:b/>
                <w:sz w:val="18"/>
                <w:szCs w:val="18"/>
              </w:rPr>
              <w:t xml:space="preserve">Gross </w:t>
            </w:r>
          </w:p>
          <w:p w14:paraId="2A5793F2" w14:textId="77777777" w:rsidR="009702B0" w:rsidRPr="00166751" w:rsidRDefault="009702B0" w:rsidP="009702B0">
            <w:pPr>
              <w:spacing w:after="0" w:line="240" w:lineRule="auto"/>
              <w:jc w:val="right"/>
              <w:rPr>
                <w:rFonts w:cs="Arial"/>
                <w:b/>
                <w:sz w:val="18"/>
                <w:szCs w:val="18"/>
              </w:rPr>
            </w:pPr>
            <w:r w:rsidRPr="00166751">
              <w:rPr>
                <w:rFonts w:cs="Arial"/>
                <w:b/>
                <w:sz w:val="18"/>
                <w:szCs w:val="18"/>
              </w:rPr>
              <w:t>highest exposure</w:t>
            </w:r>
          </w:p>
          <w:p w14:paraId="7CD36B80" w14:textId="77777777" w:rsidR="009702B0" w:rsidRPr="00166751" w:rsidRDefault="009702B0" w:rsidP="009702B0">
            <w:pPr>
              <w:spacing w:after="0" w:line="240" w:lineRule="auto"/>
              <w:jc w:val="right"/>
              <w:rPr>
                <w:rFonts w:cs="Arial"/>
                <w:b/>
                <w:sz w:val="18"/>
                <w:szCs w:val="18"/>
              </w:rPr>
            </w:pPr>
          </w:p>
          <w:p w14:paraId="55CFFD5E" w14:textId="09ABF2A6" w:rsidR="009702B0" w:rsidRPr="00166751" w:rsidRDefault="00456071" w:rsidP="009702B0">
            <w:pPr>
              <w:spacing w:after="0" w:line="240" w:lineRule="auto"/>
              <w:jc w:val="right"/>
              <w:rPr>
                <w:rFonts w:cs="Arial"/>
                <w:b/>
                <w:sz w:val="18"/>
                <w:szCs w:val="18"/>
              </w:rPr>
            </w:pPr>
            <w:r>
              <w:rPr>
                <w:rFonts w:eastAsia="Times New Roman" w:cs="Arial"/>
                <w:b/>
                <w:bCs/>
                <w:sz w:val="18"/>
                <w:szCs w:val="18"/>
              </w:rPr>
              <w:t>Sep</w:t>
            </w:r>
            <w:r w:rsidRPr="000B2C7A">
              <w:rPr>
                <w:rFonts w:eastAsia="Times New Roman" w:cs="Arial"/>
                <w:b/>
                <w:bCs/>
                <w:sz w:val="18"/>
                <w:szCs w:val="18"/>
              </w:rPr>
              <w:t xml:space="preserve"> </w:t>
            </w:r>
            <w:r w:rsidR="000B2C7A" w:rsidRPr="000B2C7A">
              <w:rPr>
                <w:rFonts w:eastAsia="Times New Roman" w:cs="Arial"/>
                <w:b/>
                <w:bCs/>
                <w:sz w:val="18"/>
                <w:szCs w:val="18"/>
              </w:rPr>
              <w:t>30</w:t>
            </w:r>
            <w:r w:rsidR="00693680" w:rsidRPr="00166751">
              <w:rPr>
                <w:rFonts w:eastAsia="Times New Roman" w:cs="Arial"/>
                <w:b/>
                <w:bCs/>
                <w:sz w:val="18"/>
                <w:szCs w:val="18"/>
              </w:rPr>
              <w:t>, 2017</w:t>
            </w:r>
          </w:p>
        </w:tc>
        <w:tc>
          <w:tcPr>
            <w:tcW w:w="694" w:type="pct"/>
            <w:vAlign w:val="bottom"/>
          </w:tcPr>
          <w:p w14:paraId="2737E055" w14:textId="77777777" w:rsidR="009702B0" w:rsidRPr="00166751" w:rsidRDefault="009702B0" w:rsidP="009702B0">
            <w:pPr>
              <w:spacing w:after="0" w:line="240" w:lineRule="auto"/>
              <w:jc w:val="right"/>
              <w:rPr>
                <w:rFonts w:cs="Arial"/>
                <w:b/>
                <w:sz w:val="18"/>
                <w:szCs w:val="18"/>
              </w:rPr>
            </w:pPr>
            <w:r w:rsidRPr="00166751">
              <w:rPr>
                <w:rFonts w:cs="Arial"/>
                <w:b/>
                <w:sz w:val="18"/>
                <w:szCs w:val="18"/>
              </w:rPr>
              <w:t xml:space="preserve">Gross </w:t>
            </w:r>
          </w:p>
          <w:p w14:paraId="25A5E6E9" w14:textId="77777777" w:rsidR="009702B0" w:rsidRPr="00166751" w:rsidRDefault="009702B0" w:rsidP="009702B0">
            <w:pPr>
              <w:spacing w:after="0" w:line="240" w:lineRule="auto"/>
              <w:jc w:val="right"/>
              <w:rPr>
                <w:rFonts w:cs="Arial"/>
                <w:b/>
                <w:sz w:val="18"/>
                <w:szCs w:val="18"/>
              </w:rPr>
            </w:pPr>
            <w:r w:rsidRPr="00166751">
              <w:rPr>
                <w:rFonts w:cs="Arial"/>
                <w:b/>
                <w:sz w:val="18"/>
                <w:szCs w:val="18"/>
              </w:rPr>
              <w:t>highest exposure</w:t>
            </w:r>
          </w:p>
          <w:p w14:paraId="68983DCD" w14:textId="77777777" w:rsidR="009702B0" w:rsidRPr="00166751" w:rsidRDefault="009702B0" w:rsidP="009702B0">
            <w:pPr>
              <w:spacing w:after="0" w:line="240" w:lineRule="auto"/>
              <w:jc w:val="right"/>
              <w:rPr>
                <w:rFonts w:cs="Arial"/>
                <w:b/>
                <w:sz w:val="18"/>
                <w:szCs w:val="18"/>
              </w:rPr>
            </w:pPr>
          </w:p>
          <w:p w14:paraId="3387D46A" w14:textId="77777777" w:rsidR="009702B0" w:rsidRPr="00166751" w:rsidRDefault="009702B0" w:rsidP="00693680">
            <w:pPr>
              <w:spacing w:after="0" w:line="240" w:lineRule="auto"/>
              <w:jc w:val="right"/>
              <w:rPr>
                <w:rFonts w:cs="Arial"/>
                <w:b/>
                <w:sz w:val="18"/>
                <w:szCs w:val="18"/>
              </w:rPr>
            </w:pPr>
            <w:r w:rsidRPr="00166751">
              <w:rPr>
                <w:rFonts w:eastAsia="Times New Roman" w:cs="Arial"/>
                <w:b/>
                <w:sz w:val="18"/>
                <w:szCs w:val="18"/>
              </w:rPr>
              <w:t>Dec 31, 201</w:t>
            </w:r>
            <w:r w:rsidR="00693680" w:rsidRPr="00166751">
              <w:rPr>
                <w:rFonts w:eastAsia="Times New Roman" w:cs="Arial"/>
                <w:b/>
                <w:sz w:val="18"/>
                <w:szCs w:val="18"/>
              </w:rPr>
              <w:t>6</w:t>
            </w:r>
          </w:p>
        </w:tc>
      </w:tr>
      <w:tr w:rsidR="009702B0" w:rsidRPr="002159C8" w14:paraId="28638436" w14:textId="77777777" w:rsidTr="009702B0">
        <w:tc>
          <w:tcPr>
            <w:tcW w:w="2222" w:type="pct"/>
          </w:tcPr>
          <w:p w14:paraId="1F854010" w14:textId="77777777" w:rsidR="009702B0" w:rsidRPr="00166751" w:rsidRDefault="009702B0" w:rsidP="009702B0">
            <w:pPr>
              <w:tabs>
                <w:tab w:val="right" w:pos="1202"/>
              </w:tabs>
              <w:spacing w:after="0" w:line="300" w:lineRule="exact"/>
              <w:outlineLvl w:val="0"/>
              <w:rPr>
                <w:rFonts w:eastAsia="Times New Roman" w:cs="Arial"/>
                <w:b/>
                <w:bCs/>
                <w:sz w:val="18"/>
                <w:szCs w:val="18"/>
              </w:rPr>
            </w:pPr>
            <w:r w:rsidRPr="00166751">
              <w:rPr>
                <w:rFonts w:eastAsia="Times New Roman" w:cs="Arial"/>
                <w:b/>
                <w:bCs/>
                <w:sz w:val="18"/>
                <w:szCs w:val="18"/>
              </w:rPr>
              <w:t>Assets</w:t>
            </w:r>
          </w:p>
        </w:tc>
        <w:tc>
          <w:tcPr>
            <w:tcW w:w="694" w:type="pct"/>
          </w:tcPr>
          <w:p w14:paraId="55F75817" w14:textId="77777777" w:rsidR="009702B0" w:rsidRPr="00166751" w:rsidRDefault="009702B0" w:rsidP="009702B0">
            <w:pPr>
              <w:tabs>
                <w:tab w:val="right" w:pos="1202"/>
              </w:tabs>
              <w:spacing w:after="0" w:line="300" w:lineRule="exact"/>
              <w:outlineLvl w:val="0"/>
              <w:rPr>
                <w:rFonts w:eastAsia="Times New Roman" w:cs="Arial"/>
                <w:b/>
                <w:bCs/>
                <w:sz w:val="18"/>
                <w:szCs w:val="18"/>
              </w:rPr>
            </w:pPr>
          </w:p>
        </w:tc>
        <w:tc>
          <w:tcPr>
            <w:tcW w:w="695" w:type="pct"/>
          </w:tcPr>
          <w:p w14:paraId="0CFB3FA1" w14:textId="77777777" w:rsidR="009702B0" w:rsidRPr="00166751" w:rsidRDefault="009702B0" w:rsidP="009702B0">
            <w:pPr>
              <w:tabs>
                <w:tab w:val="right" w:pos="1202"/>
              </w:tabs>
              <w:spacing w:after="0" w:line="300" w:lineRule="exact"/>
              <w:outlineLvl w:val="0"/>
              <w:rPr>
                <w:rFonts w:eastAsia="Times New Roman" w:cs="Arial"/>
                <w:b/>
                <w:bCs/>
                <w:sz w:val="18"/>
                <w:szCs w:val="18"/>
              </w:rPr>
            </w:pPr>
          </w:p>
        </w:tc>
        <w:tc>
          <w:tcPr>
            <w:tcW w:w="694" w:type="pct"/>
          </w:tcPr>
          <w:p w14:paraId="1DC4ABBA" w14:textId="77777777" w:rsidR="009702B0" w:rsidRPr="00166751" w:rsidRDefault="009702B0" w:rsidP="009702B0">
            <w:pPr>
              <w:tabs>
                <w:tab w:val="right" w:pos="1202"/>
              </w:tabs>
              <w:spacing w:after="0" w:line="300" w:lineRule="exact"/>
              <w:outlineLvl w:val="0"/>
              <w:rPr>
                <w:rFonts w:eastAsia="Times New Roman" w:cs="Arial"/>
                <w:b/>
                <w:bCs/>
                <w:sz w:val="18"/>
                <w:szCs w:val="18"/>
              </w:rPr>
            </w:pPr>
          </w:p>
        </w:tc>
        <w:tc>
          <w:tcPr>
            <w:tcW w:w="694" w:type="pct"/>
          </w:tcPr>
          <w:p w14:paraId="1CFCC6CE" w14:textId="77777777" w:rsidR="009702B0" w:rsidRPr="00166751" w:rsidRDefault="009702B0" w:rsidP="00693680">
            <w:pPr>
              <w:pStyle w:val="TT"/>
              <w:jc w:val="right"/>
              <w:rPr>
                <w:rFonts w:ascii="Calibri" w:hAnsi="Calibri" w:cs="Arial"/>
                <w:sz w:val="18"/>
                <w:szCs w:val="18"/>
              </w:rPr>
            </w:pPr>
          </w:p>
        </w:tc>
      </w:tr>
      <w:tr w:rsidR="00AC3C7D" w:rsidRPr="002159C8" w14:paraId="5F929817" w14:textId="77777777" w:rsidTr="005444AA">
        <w:tc>
          <w:tcPr>
            <w:tcW w:w="2222" w:type="pct"/>
          </w:tcPr>
          <w:p w14:paraId="0CD3C803" w14:textId="77777777" w:rsidR="00AC3C7D" w:rsidRPr="00166751" w:rsidRDefault="00AC3C7D" w:rsidP="00AC3C7D">
            <w:pPr>
              <w:tabs>
                <w:tab w:val="right" w:pos="1202"/>
              </w:tabs>
              <w:spacing w:after="0" w:line="300" w:lineRule="exact"/>
              <w:outlineLvl w:val="0"/>
              <w:rPr>
                <w:rFonts w:eastAsia="Times New Roman" w:cs="Arial"/>
                <w:sz w:val="18"/>
                <w:szCs w:val="18"/>
              </w:rPr>
            </w:pPr>
            <w:r w:rsidRPr="00166751">
              <w:rPr>
                <w:rFonts w:eastAsia="Times New Roman" w:cs="Arial"/>
                <w:sz w:val="18"/>
                <w:szCs w:val="18"/>
              </w:rPr>
              <w:t>Cash on hand and due from banks</w:t>
            </w:r>
          </w:p>
        </w:tc>
        <w:tc>
          <w:tcPr>
            <w:tcW w:w="694" w:type="pct"/>
            <w:tcBorders>
              <w:top w:val="nil"/>
              <w:left w:val="nil"/>
              <w:bottom w:val="nil"/>
              <w:right w:val="nil"/>
            </w:tcBorders>
            <w:shd w:val="clear" w:color="auto" w:fill="auto"/>
            <w:vAlign w:val="bottom"/>
          </w:tcPr>
          <w:p w14:paraId="33ACDE00" w14:textId="1D9CA855" w:rsidR="00AC3C7D" w:rsidRPr="00971E2C" w:rsidRDefault="00AC3C7D" w:rsidP="00AC3C7D">
            <w:pPr>
              <w:pStyle w:val="TT"/>
              <w:jc w:val="right"/>
              <w:rPr>
                <w:rFonts w:cs="Arial"/>
                <w:sz w:val="18"/>
                <w:szCs w:val="18"/>
              </w:rPr>
            </w:pPr>
            <w:r w:rsidRPr="001E0C37">
              <w:rPr>
                <w:rFonts w:ascii="Calibri" w:hAnsi="Calibri" w:cs="Arial"/>
                <w:sz w:val="18"/>
                <w:szCs w:val="18"/>
              </w:rPr>
              <w:t>739</w:t>
            </w:r>
            <w:r>
              <w:rPr>
                <w:rFonts w:ascii="Calibri" w:hAnsi="Calibri" w:cs="Arial"/>
                <w:sz w:val="18"/>
                <w:szCs w:val="18"/>
              </w:rPr>
              <w:t>,</w:t>
            </w:r>
            <w:r w:rsidRPr="001E0C37">
              <w:rPr>
                <w:rFonts w:ascii="Calibri" w:hAnsi="Calibri" w:cs="Arial"/>
                <w:sz w:val="18"/>
                <w:szCs w:val="18"/>
              </w:rPr>
              <w:t>907</w:t>
            </w:r>
          </w:p>
        </w:tc>
        <w:tc>
          <w:tcPr>
            <w:tcW w:w="695" w:type="pct"/>
            <w:tcBorders>
              <w:top w:val="nil"/>
              <w:left w:val="nil"/>
              <w:bottom w:val="nil"/>
              <w:right w:val="nil"/>
            </w:tcBorders>
            <w:shd w:val="clear" w:color="auto" w:fill="auto"/>
            <w:vAlign w:val="bottom"/>
          </w:tcPr>
          <w:p w14:paraId="09CD87B6" w14:textId="77777777" w:rsidR="00AC3C7D" w:rsidRPr="00166751" w:rsidRDefault="00AC3C7D" w:rsidP="00AC3C7D">
            <w:pPr>
              <w:pStyle w:val="TT"/>
              <w:jc w:val="right"/>
              <w:rPr>
                <w:rFonts w:asciiTheme="minorHAnsi" w:hAnsiTheme="minorHAnsi" w:cs="Arial"/>
                <w:snapToGrid w:val="0"/>
                <w:sz w:val="18"/>
                <w:szCs w:val="18"/>
                <w:lang w:val="hr-HR"/>
              </w:rPr>
            </w:pPr>
            <w:r w:rsidRPr="00166751">
              <w:rPr>
                <w:rFonts w:ascii="Calibri" w:hAnsi="Calibri" w:cs="Arial"/>
                <w:sz w:val="18"/>
                <w:szCs w:val="18"/>
              </w:rPr>
              <w:t>491,243</w:t>
            </w:r>
          </w:p>
        </w:tc>
        <w:tc>
          <w:tcPr>
            <w:tcW w:w="694" w:type="pct"/>
            <w:tcBorders>
              <w:top w:val="nil"/>
              <w:left w:val="nil"/>
              <w:bottom w:val="nil"/>
              <w:right w:val="nil"/>
            </w:tcBorders>
            <w:shd w:val="clear" w:color="auto" w:fill="auto"/>
            <w:vAlign w:val="bottom"/>
          </w:tcPr>
          <w:p w14:paraId="2CDBFF33" w14:textId="57DA0E62" w:rsidR="00AC3C7D" w:rsidRPr="00971E2C" w:rsidRDefault="00AC3C7D" w:rsidP="00AC3C7D">
            <w:pPr>
              <w:pStyle w:val="TT"/>
              <w:jc w:val="right"/>
              <w:rPr>
                <w:rFonts w:cs="Arial"/>
                <w:sz w:val="18"/>
                <w:szCs w:val="18"/>
              </w:rPr>
            </w:pPr>
            <w:r w:rsidRPr="00CA4A03">
              <w:rPr>
                <w:rFonts w:ascii="Calibri" w:hAnsi="Calibri" w:cs="Arial"/>
                <w:sz w:val="18"/>
                <w:szCs w:val="18"/>
              </w:rPr>
              <w:t>737</w:t>
            </w:r>
            <w:r>
              <w:rPr>
                <w:rFonts w:ascii="Calibri" w:hAnsi="Calibri" w:cs="Arial"/>
                <w:sz w:val="18"/>
                <w:szCs w:val="18"/>
              </w:rPr>
              <w:t>,</w:t>
            </w:r>
            <w:r w:rsidRPr="00CA4A03">
              <w:rPr>
                <w:rFonts w:ascii="Calibri" w:hAnsi="Calibri" w:cs="Arial"/>
                <w:sz w:val="18"/>
                <w:szCs w:val="18"/>
              </w:rPr>
              <w:t>621</w:t>
            </w:r>
          </w:p>
        </w:tc>
        <w:tc>
          <w:tcPr>
            <w:tcW w:w="694" w:type="pct"/>
            <w:tcBorders>
              <w:top w:val="nil"/>
              <w:left w:val="nil"/>
              <w:bottom w:val="nil"/>
              <w:right w:val="nil"/>
            </w:tcBorders>
            <w:shd w:val="clear" w:color="auto" w:fill="auto"/>
            <w:vAlign w:val="bottom"/>
          </w:tcPr>
          <w:p w14:paraId="0EDA1635" w14:textId="77777777" w:rsidR="00AC3C7D" w:rsidRPr="00166751" w:rsidRDefault="00AC3C7D" w:rsidP="00AC3C7D">
            <w:pPr>
              <w:spacing w:after="0" w:line="280" w:lineRule="exact"/>
              <w:jc w:val="right"/>
              <w:rPr>
                <w:rFonts w:cs="Arial"/>
                <w:sz w:val="18"/>
                <w:szCs w:val="18"/>
              </w:rPr>
            </w:pPr>
            <w:r w:rsidRPr="00166751">
              <w:rPr>
                <w:rFonts w:cs="Arial"/>
                <w:sz w:val="18"/>
                <w:szCs w:val="18"/>
              </w:rPr>
              <w:t>490,692</w:t>
            </w:r>
          </w:p>
        </w:tc>
      </w:tr>
      <w:tr w:rsidR="00AC3C7D" w:rsidRPr="002159C8" w14:paraId="6F014692" w14:textId="77777777" w:rsidTr="005444AA">
        <w:tc>
          <w:tcPr>
            <w:tcW w:w="2222" w:type="pct"/>
          </w:tcPr>
          <w:p w14:paraId="15E183F9" w14:textId="77777777" w:rsidR="00AC3C7D" w:rsidRPr="00166751" w:rsidRDefault="00AC3C7D" w:rsidP="00AC3C7D">
            <w:pPr>
              <w:tabs>
                <w:tab w:val="right" w:pos="1202"/>
              </w:tabs>
              <w:spacing w:after="0" w:line="300" w:lineRule="exact"/>
              <w:outlineLvl w:val="0"/>
              <w:rPr>
                <w:rFonts w:eastAsia="Times New Roman" w:cs="Arial"/>
                <w:sz w:val="18"/>
                <w:szCs w:val="18"/>
              </w:rPr>
            </w:pPr>
            <w:r w:rsidRPr="00166751">
              <w:rPr>
                <w:rFonts w:eastAsia="Times New Roman" w:cs="Arial"/>
                <w:sz w:val="18"/>
                <w:szCs w:val="18"/>
              </w:rPr>
              <w:t>Deposits with other banks</w:t>
            </w:r>
          </w:p>
        </w:tc>
        <w:tc>
          <w:tcPr>
            <w:tcW w:w="694" w:type="pct"/>
            <w:tcBorders>
              <w:top w:val="nil"/>
              <w:left w:val="nil"/>
              <w:bottom w:val="nil"/>
              <w:right w:val="nil"/>
            </w:tcBorders>
            <w:shd w:val="clear" w:color="auto" w:fill="auto"/>
            <w:vAlign w:val="bottom"/>
          </w:tcPr>
          <w:p w14:paraId="0790A43A" w14:textId="48FDCEC3" w:rsidR="00AC3C7D" w:rsidRPr="00971E2C" w:rsidRDefault="00AC3C7D" w:rsidP="00AC3C7D">
            <w:pPr>
              <w:pStyle w:val="TT"/>
              <w:jc w:val="right"/>
              <w:rPr>
                <w:rFonts w:cs="Arial"/>
                <w:sz w:val="18"/>
                <w:szCs w:val="18"/>
              </w:rPr>
            </w:pPr>
            <w:r w:rsidRPr="001E0C37">
              <w:rPr>
                <w:rFonts w:ascii="Calibri" w:hAnsi="Calibri" w:cs="Arial"/>
                <w:sz w:val="18"/>
                <w:szCs w:val="18"/>
              </w:rPr>
              <w:t>76</w:t>
            </w:r>
          </w:p>
        </w:tc>
        <w:tc>
          <w:tcPr>
            <w:tcW w:w="695" w:type="pct"/>
            <w:tcBorders>
              <w:top w:val="nil"/>
              <w:left w:val="nil"/>
              <w:bottom w:val="nil"/>
              <w:right w:val="nil"/>
            </w:tcBorders>
            <w:shd w:val="clear" w:color="auto" w:fill="auto"/>
            <w:vAlign w:val="bottom"/>
          </w:tcPr>
          <w:p w14:paraId="52F90475" w14:textId="77777777" w:rsidR="00AC3C7D" w:rsidRPr="00166751" w:rsidRDefault="00AC3C7D" w:rsidP="00AC3C7D">
            <w:pPr>
              <w:pStyle w:val="TT"/>
              <w:jc w:val="right"/>
              <w:rPr>
                <w:rFonts w:asciiTheme="minorHAnsi" w:hAnsiTheme="minorHAnsi" w:cs="Arial"/>
                <w:snapToGrid w:val="0"/>
                <w:sz w:val="18"/>
                <w:szCs w:val="18"/>
                <w:lang w:val="hr-HR"/>
              </w:rPr>
            </w:pPr>
            <w:r w:rsidRPr="00166751">
              <w:rPr>
                <w:rFonts w:ascii="Calibri" w:hAnsi="Calibri" w:cs="Arial"/>
                <w:sz w:val="18"/>
                <w:szCs w:val="18"/>
              </w:rPr>
              <w:t>23,872</w:t>
            </w:r>
          </w:p>
        </w:tc>
        <w:tc>
          <w:tcPr>
            <w:tcW w:w="694" w:type="pct"/>
            <w:tcBorders>
              <w:top w:val="nil"/>
              <w:left w:val="nil"/>
              <w:bottom w:val="nil"/>
              <w:right w:val="nil"/>
            </w:tcBorders>
            <w:shd w:val="clear" w:color="auto" w:fill="auto"/>
            <w:vAlign w:val="bottom"/>
          </w:tcPr>
          <w:p w14:paraId="362CEFF8" w14:textId="7F2EAA1F" w:rsidR="00AC3C7D" w:rsidRPr="00971E2C" w:rsidRDefault="00AC3C7D" w:rsidP="00AC3C7D">
            <w:pPr>
              <w:pStyle w:val="TT"/>
              <w:jc w:val="right"/>
              <w:rPr>
                <w:rFonts w:cs="Arial"/>
                <w:sz w:val="18"/>
                <w:szCs w:val="18"/>
              </w:rPr>
            </w:pPr>
            <w:r w:rsidRPr="00CA4A03">
              <w:rPr>
                <w:rFonts w:ascii="Calibri" w:hAnsi="Calibri" w:cs="Arial"/>
                <w:sz w:val="18"/>
                <w:szCs w:val="18"/>
              </w:rPr>
              <w:t>76</w:t>
            </w:r>
          </w:p>
        </w:tc>
        <w:tc>
          <w:tcPr>
            <w:tcW w:w="694" w:type="pct"/>
            <w:tcBorders>
              <w:top w:val="nil"/>
              <w:left w:val="nil"/>
              <w:bottom w:val="nil"/>
              <w:right w:val="nil"/>
            </w:tcBorders>
            <w:shd w:val="clear" w:color="auto" w:fill="auto"/>
            <w:vAlign w:val="bottom"/>
          </w:tcPr>
          <w:p w14:paraId="74FED369" w14:textId="77777777" w:rsidR="00AC3C7D" w:rsidRPr="00166751" w:rsidRDefault="00AC3C7D" w:rsidP="00AC3C7D">
            <w:pPr>
              <w:pStyle w:val="TT"/>
              <w:jc w:val="right"/>
              <w:rPr>
                <w:rFonts w:ascii="Calibri" w:hAnsi="Calibri" w:cs="Arial"/>
                <w:sz w:val="18"/>
                <w:szCs w:val="18"/>
              </w:rPr>
            </w:pPr>
            <w:r w:rsidRPr="00166751">
              <w:rPr>
                <w:rFonts w:ascii="Calibri" w:hAnsi="Calibri" w:cs="Arial"/>
                <w:sz w:val="18"/>
                <w:szCs w:val="18"/>
              </w:rPr>
              <w:t>23,872</w:t>
            </w:r>
          </w:p>
        </w:tc>
      </w:tr>
      <w:tr w:rsidR="00AC3C7D" w:rsidRPr="002159C8" w14:paraId="395EBEAF" w14:textId="77777777" w:rsidTr="005444AA">
        <w:tc>
          <w:tcPr>
            <w:tcW w:w="2222" w:type="pct"/>
          </w:tcPr>
          <w:p w14:paraId="1EFD50BE" w14:textId="77777777" w:rsidR="00AC3C7D" w:rsidRPr="00166751" w:rsidRDefault="00AC3C7D" w:rsidP="00AC3C7D">
            <w:pPr>
              <w:tabs>
                <w:tab w:val="right" w:pos="1202"/>
              </w:tabs>
              <w:spacing w:after="0" w:line="300" w:lineRule="exact"/>
              <w:outlineLvl w:val="0"/>
              <w:rPr>
                <w:rFonts w:eastAsia="Times New Roman" w:cs="Arial"/>
                <w:sz w:val="18"/>
                <w:szCs w:val="18"/>
              </w:rPr>
            </w:pPr>
            <w:r w:rsidRPr="00166751">
              <w:rPr>
                <w:rFonts w:eastAsia="Times New Roman" w:cs="Arial"/>
                <w:sz w:val="18"/>
                <w:szCs w:val="18"/>
              </w:rPr>
              <w:t>Loans to financial institutions</w:t>
            </w:r>
          </w:p>
        </w:tc>
        <w:tc>
          <w:tcPr>
            <w:tcW w:w="694" w:type="pct"/>
            <w:tcBorders>
              <w:top w:val="nil"/>
              <w:left w:val="nil"/>
              <w:bottom w:val="nil"/>
              <w:right w:val="nil"/>
            </w:tcBorders>
            <w:shd w:val="clear" w:color="auto" w:fill="auto"/>
            <w:vAlign w:val="bottom"/>
          </w:tcPr>
          <w:p w14:paraId="770F4CAE" w14:textId="76CAABD6" w:rsidR="00AC3C7D" w:rsidRPr="00971E2C" w:rsidRDefault="00AC3C7D" w:rsidP="00AC3C7D">
            <w:pPr>
              <w:pStyle w:val="TT"/>
              <w:jc w:val="right"/>
              <w:rPr>
                <w:rFonts w:cs="Arial"/>
                <w:sz w:val="18"/>
                <w:szCs w:val="18"/>
              </w:rPr>
            </w:pPr>
            <w:r w:rsidRPr="001E0C37">
              <w:rPr>
                <w:rFonts w:ascii="Calibri" w:hAnsi="Calibri" w:cs="Arial"/>
                <w:sz w:val="18"/>
                <w:szCs w:val="18"/>
              </w:rPr>
              <w:t>12</w:t>
            </w:r>
            <w:r>
              <w:rPr>
                <w:rFonts w:ascii="Calibri" w:hAnsi="Calibri" w:cs="Arial"/>
                <w:sz w:val="18"/>
                <w:szCs w:val="18"/>
              </w:rPr>
              <w:t>,</w:t>
            </w:r>
            <w:r w:rsidRPr="001E0C37">
              <w:rPr>
                <w:rFonts w:ascii="Calibri" w:hAnsi="Calibri" w:cs="Arial"/>
                <w:sz w:val="18"/>
                <w:szCs w:val="18"/>
              </w:rPr>
              <w:t>247</w:t>
            </w:r>
            <w:r>
              <w:rPr>
                <w:rFonts w:ascii="Calibri" w:hAnsi="Calibri" w:cs="Arial"/>
                <w:sz w:val="18"/>
                <w:szCs w:val="18"/>
              </w:rPr>
              <w:t>,</w:t>
            </w:r>
            <w:r w:rsidRPr="001E0C37">
              <w:rPr>
                <w:rFonts w:ascii="Calibri" w:hAnsi="Calibri" w:cs="Arial"/>
                <w:sz w:val="18"/>
                <w:szCs w:val="18"/>
              </w:rPr>
              <w:t>287</w:t>
            </w:r>
          </w:p>
        </w:tc>
        <w:tc>
          <w:tcPr>
            <w:tcW w:w="695" w:type="pct"/>
            <w:tcBorders>
              <w:top w:val="nil"/>
              <w:left w:val="nil"/>
              <w:bottom w:val="nil"/>
              <w:right w:val="nil"/>
            </w:tcBorders>
            <w:shd w:val="clear" w:color="auto" w:fill="auto"/>
            <w:vAlign w:val="bottom"/>
          </w:tcPr>
          <w:p w14:paraId="20FDB03D" w14:textId="77777777" w:rsidR="00AC3C7D" w:rsidRPr="00166751" w:rsidRDefault="00AC3C7D" w:rsidP="00AC3C7D">
            <w:pPr>
              <w:pStyle w:val="TT"/>
              <w:jc w:val="right"/>
              <w:rPr>
                <w:rFonts w:asciiTheme="minorHAnsi" w:hAnsiTheme="minorHAnsi" w:cs="Arial"/>
                <w:snapToGrid w:val="0"/>
                <w:sz w:val="18"/>
                <w:szCs w:val="18"/>
                <w:lang w:val="hr-HR"/>
              </w:rPr>
            </w:pPr>
            <w:r w:rsidRPr="00166751">
              <w:rPr>
                <w:rFonts w:ascii="Calibri" w:hAnsi="Calibri" w:cs="Arial"/>
                <w:sz w:val="18"/>
                <w:szCs w:val="18"/>
              </w:rPr>
              <w:t>11,889,111</w:t>
            </w:r>
          </w:p>
        </w:tc>
        <w:tc>
          <w:tcPr>
            <w:tcW w:w="694" w:type="pct"/>
            <w:tcBorders>
              <w:top w:val="nil"/>
              <w:left w:val="nil"/>
              <w:bottom w:val="nil"/>
              <w:right w:val="nil"/>
            </w:tcBorders>
            <w:shd w:val="clear" w:color="auto" w:fill="auto"/>
            <w:vAlign w:val="bottom"/>
          </w:tcPr>
          <w:p w14:paraId="3F5EE5E8" w14:textId="53D5A4F3" w:rsidR="00AC3C7D" w:rsidRPr="00971E2C" w:rsidRDefault="00AC3C7D" w:rsidP="00AC3C7D">
            <w:pPr>
              <w:pStyle w:val="TT"/>
              <w:jc w:val="right"/>
              <w:rPr>
                <w:rFonts w:cs="Arial"/>
                <w:sz w:val="18"/>
                <w:szCs w:val="18"/>
              </w:rPr>
            </w:pPr>
            <w:r w:rsidRPr="00CA4A03">
              <w:rPr>
                <w:rFonts w:ascii="Calibri" w:hAnsi="Calibri" w:cs="Arial"/>
                <w:sz w:val="18"/>
                <w:szCs w:val="18"/>
              </w:rPr>
              <w:t>12</w:t>
            </w:r>
            <w:r>
              <w:rPr>
                <w:rFonts w:ascii="Calibri" w:hAnsi="Calibri" w:cs="Arial"/>
                <w:sz w:val="18"/>
                <w:szCs w:val="18"/>
              </w:rPr>
              <w:t>,</w:t>
            </w:r>
            <w:r w:rsidRPr="00CA4A03">
              <w:rPr>
                <w:rFonts w:ascii="Calibri" w:hAnsi="Calibri" w:cs="Arial"/>
                <w:sz w:val="18"/>
                <w:szCs w:val="18"/>
              </w:rPr>
              <w:t>247</w:t>
            </w:r>
            <w:r>
              <w:rPr>
                <w:rFonts w:ascii="Calibri" w:hAnsi="Calibri" w:cs="Arial"/>
                <w:sz w:val="18"/>
                <w:szCs w:val="18"/>
              </w:rPr>
              <w:t>,</w:t>
            </w:r>
            <w:r w:rsidRPr="00CA4A03">
              <w:rPr>
                <w:rFonts w:ascii="Calibri" w:hAnsi="Calibri" w:cs="Arial"/>
                <w:sz w:val="18"/>
                <w:szCs w:val="18"/>
              </w:rPr>
              <w:t>287</w:t>
            </w:r>
          </w:p>
        </w:tc>
        <w:tc>
          <w:tcPr>
            <w:tcW w:w="694" w:type="pct"/>
            <w:tcBorders>
              <w:top w:val="nil"/>
              <w:left w:val="nil"/>
              <w:bottom w:val="nil"/>
              <w:right w:val="nil"/>
            </w:tcBorders>
            <w:shd w:val="clear" w:color="auto" w:fill="auto"/>
            <w:vAlign w:val="bottom"/>
          </w:tcPr>
          <w:p w14:paraId="36A6D5A4" w14:textId="77777777" w:rsidR="00AC3C7D" w:rsidRPr="00166751" w:rsidRDefault="00AC3C7D" w:rsidP="00AC3C7D">
            <w:pPr>
              <w:pStyle w:val="TT"/>
              <w:jc w:val="right"/>
              <w:rPr>
                <w:rFonts w:ascii="Calibri" w:hAnsi="Calibri" w:cs="Arial"/>
                <w:sz w:val="18"/>
                <w:szCs w:val="18"/>
              </w:rPr>
            </w:pPr>
            <w:r w:rsidRPr="00166751">
              <w:rPr>
                <w:rFonts w:ascii="Calibri" w:hAnsi="Calibri" w:cs="Arial"/>
                <w:sz w:val="18"/>
                <w:szCs w:val="18"/>
              </w:rPr>
              <w:t>11,889,111</w:t>
            </w:r>
          </w:p>
        </w:tc>
      </w:tr>
      <w:tr w:rsidR="00AC3C7D" w:rsidRPr="002159C8" w14:paraId="0FEF4BD8" w14:textId="77777777" w:rsidTr="005444AA">
        <w:tc>
          <w:tcPr>
            <w:tcW w:w="2222" w:type="pct"/>
          </w:tcPr>
          <w:p w14:paraId="02C60BB5" w14:textId="77777777" w:rsidR="00AC3C7D" w:rsidRPr="00166751" w:rsidRDefault="00AC3C7D" w:rsidP="00AC3C7D">
            <w:pPr>
              <w:tabs>
                <w:tab w:val="right" w:pos="1202"/>
              </w:tabs>
              <w:spacing w:after="0" w:line="300" w:lineRule="exact"/>
              <w:outlineLvl w:val="0"/>
              <w:rPr>
                <w:rFonts w:eastAsia="Times New Roman" w:cs="Arial"/>
                <w:sz w:val="18"/>
                <w:szCs w:val="18"/>
              </w:rPr>
            </w:pPr>
            <w:r w:rsidRPr="00166751">
              <w:rPr>
                <w:rFonts w:eastAsia="Times New Roman" w:cs="Arial"/>
                <w:sz w:val="18"/>
                <w:szCs w:val="18"/>
              </w:rPr>
              <w:t>Loans to other customers</w:t>
            </w:r>
          </w:p>
        </w:tc>
        <w:tc>
          <w:tcPr>
            <w:tcW w:w="694" w:type="pct"/>
            <w:tcBorders>
              <w:top w:val="nil"/>
              <w:left w:val="nil"/>
              <w:bottom w:val="nil"/>
              <w:right w:val="nil"/>
            </w:tcBorders>
            <w:shd w:val="clear" w:color="auto" w:fill="auto"/>
            <w:vAlign w:val="bottom"/>
          </w:tcPr>
          <w:p w14:paraId="02BBC0DA" w14:textId="4C5018DB" w:rsidR="00AC3C7D" w:rsidRPr="00971E2C" w:rsidRDefault="00AC3C7D" w:rsidP="00AC3C7D">
            <w:pPr>
              <w:pStyle w:val="TT"/>
              <w:jc w:val="right"/>
              <w:rPr>
                <w:rFonts w:cs="Arial"/>
                <w:sz w:val="18"/>
                <w:szCs w:val="18"/>
              </w:rPr>
            </w:pPr>
            <w:r w:rsidRPr="001E0C37">
              <w:rPr>
                <w:rFonts w:ascii="Calibri" w:hAnsi="Calibri" w:cs="Arial"/>
                <w:sz w:val="18"/>
                <w:szCs w:val="18"/>
              </w:rPr>
              <w:t>11</w:t>
            </w:r>
            <w:r>
              <w:rPr>
                <w:rFonts w:ascii="Calibri" w:hAnsi="Calibri" w:cs="Arial"/>
                <w:sz w:val="18"/>
                <w:szCs w:val="18"/>
              </w:rPr>
              <w:t>,</w:t>
            </w:r>
            <w:r w:rsidRPr="001E0C37">
              <w:rPr>
                <w:rFonts w:ascii="Calibri" w:hAnsi="Calibri" w:cs="Arial"/>
                <w:sz w:val="18"/>
                <w:szCs w:val="18"/>
              </w:rPr>
              <w:t>913</w:t>
            </w:r>
            <w:r>
              <w:rPr>
                <w:rFonts w:ascii="Calibri" w:hAnsi="Calibri" w:cs="Arial"/>
                <w:sz w:val="18"/>
                <w:szCs w:val="18"/>
              </w:rPr>
              <w:t>,</w:t>
            </w:r>
            <w:r w:rsidRPr="001E0C37">
              <w:rPr>
                <w:rFonts w:ascii="Calibri" w:hAnsi="Calibri" w:cs="Arial"/>
                <w:sz w:val="18"/>
                <w:szCs w:val="18"/>
              </w:rPr>
              <w:t>212</w:t>
            </w:r>
          </w:p>
        </w:tc>
        <w:tc>
          <w:tcPr>
            <w:tcW w:w="695" w:type="pct"/>
            <w:tcBorders>
              <w:top w:val="nil"/>
              <w:left w:val="nil"/>
              <w:bottom w:val="nil"/>
              <w:right w:val="nil"/>
            </w:tcBorders>
            <w:shd w:val="clear" w:color="auto" w:fill="auto"/>
            <w:vAlign w:val="bottom"/>
          </w:tcPr>
          <w:p w14:paraId="77E2111C" w14:textId="77777777" w:rsidR="00AC3C7D" w:rsidRPr="00166751" w:rsidRDefault="00AC3C7D" w:rsidP="00AC3C7D">
            <w:pPr>
              <w:pStyle w:val="TT"/>
              <w:jc w:val="right"/>
              <w:rPr>
                <w:rFonts w:asciiTheme="minorHAnsi" w:hAnsiTheme="minorHAnsi" w:cs="Arial"/>
                <w:spacing w:val="-2"/>
                <w:sz w:val="18"/>
                <w:szCs w:val="18"/>
                <w:lang w:val="hr-HR"/>
              </w:rPr>
            </w:pPr>
            <w:r w:rsidRPr="00166751">
              <w:rPr>
                <w:rFonts w:ascii="Calibri" w:hAnsi="Calibri" w:cs="Arial"/>
                <w:sz w:val="18"/>
                <w:szCs w:val="18"/>
              </w:rPr>
              <w:t>11,511,194</w:t>
            </w:r>
          </w:p>
        </w:tc>
        <w:tc>
          <w:tcPr>
            <w:tcW w:w="694" w:type="pct"/>
            <w:tcBorders>
              <w:top w:val="nil"/>
              <w:left w:val="nil"/>
              <w:bottom w:val="nil"/>
              <w:right w:val="nil"/>
            </w:tcBorders>
            <w:shd w:val="clear" w:color="auto" w:fill="auto"/>
            <w:vAlign w:val="bottom"/>
          </w:tcPr>
          <w:p w14:paraId="36B74C90" w14:textId="3408CB81" w:rsidR="00AC3C7D" w:rsidRPr="00971E2C" w:rsidRDefault="00AC3C7D" w:rsidP="00AC3C7D">
            <w:pPr>
              <w:pStyle w:val="TT"/>
              <w:jc w:val="right"/>
              <w:rPr>
                <w:rFonts w:cs="Arial"/>
                <w:sz w:val="18"/>
                <w:szCs w:val="18"/>
              </w:rPr>
            </w:pPr>
            <w:r w:rsidRPr="00CA4A03">
              <w:rPr>
                <w:rFonts w:ascii="Calibri" w:hAnsi="Calibri" w:cs="Arial"/>
                <w:sz w:val="18"/>
                <w:szCs w:val="18"/>
              </w:rPr>
              <w:t>11</w:t>
            </w:r>
            <w:r>
              <w:rPr>
                <w:rFonts w:ascii="Calibri" w:hAnsi="Calibri" w:cs="Arial"/>
                <w:sz w:val="18"/>
                <w:szCs w:val="18"/>
              </w:rPr>
              <w:t>,</w:t>
            </w:r>
            <w:r w:rsidRPr="00CA4A03">
              <w:rPr>
                <w:rFonts w:ascii="Calibri" w:hAnsi="Calibri" w:cs="Arial"/>
                <w:sz w:val="18"/>
                <w:szCs w:val="18"/>
              </w:rPr>
              <w:t>913</w:t>
            </w:r>
            <w:r>
              <w:rPr>
                <w:rFonts w:ascii="Calibri" w:hAnsi="Calibri" w:cs="Arial"/>
                <w:sz w:val="18"/>
                <w:szCs w:val="18"/>
              </w:rPr>
              <w:t>,</w:t>
            </w:r>
            <w:r w:rsidRPr="00CA4A03">
              <w:rPr>
                <w:rFonts w:ascii="Calibri" w:hAnsi="Calibri" w:cs="Arial"/>
                <w:sz w:val="18"/>
                <w:szCs w:val="18"/>
              </w:rPr>
              <w:t>212</w:t>
            </w:r>
          </w:p>
        </w:tc>
        <w:tc>
          <w:tcPr>
            <w:tcW w:w="694" w:type="pct"/>
            <w:tcBorders>
              <w:top w:val="nil"/>
              <w:left w:val="nil"/>
              <w:bottom w:val="nil"/>
              <w:right w:val="nil"/>
            </w:tcBorders>
            <w:shd w:val="clear" w:color="auto" w:fill="auto"/>
            <w:vAlign w:val="bottom"/>
          </w:tcPr>
          <w:p w14:paraId="31010A27" w14:textId="77777777" w:rsidR="00AC3C7D" w:rsidRPr="00166751" w:rsidRDefault="00AC3C7D" w:rsidP="00AC3C7D">
            <w:pPr>
              <w:pStyle w:val="TT"/>
              <w:jc w:val="right"/>
              <w:rPr>
                <w:rFonts w:ascii="Calibri" w:hAnsi="Calibri" w:cs="Arial"/>
                <w:sz w:val="18"/>
                <w:szCs w:val="18"/>
              </w:rPr>
            </w:pPr>
            <w:r w:rsidRPr="00166751">
              <w:rPr>
                <w:rFonts w:ascii="Calibri" w:hAnsi="Calibri" w:cs="Arial"/>
                <w:sz w:val="18"/>
                <w:szCs w:val="18"/>
              </w:rPr>
              <w:t>11,511,194</w:t>
            </w:r>
          </w:p>
        </w:tc>
      </w:tr>
      <w:tr w:rsidR="00AC3C7D" w:rsidRPr="002159C8" w14:paraId="03A80B9C" w14:textId="77777777" w:rsidTr="005444AA">
        <w:tc>
          <w:tcPr>
            <w:tcW w:w="2222" w:type="pct"/>
          </w:tcPr>
          <w:p w14:paraId="6A3D507E" w14:textId="77777777" w:rsidR="00AC3C7D" w:rsidRPr="00166751" w:rsidRDefault="00AC3C7D" w:rsidP="00AC3C7D">
            <w:pPr>
              <w:tabs>
                <w:tab w:val="right" w:pos="1202"/>
              </w:tabs>
              <w:spacing w:after="0" w:line="300" w:lineRule="exact"/>
              <w:outlineLvl w:val="0"/>
              <w:rPr>
                <w:rFonts w:eastAsia="Times New Roman" w:cs="Arial"/>
                <w:sz w:val="18"/>
                <w:szCs w:val="18"/>
              </w:rPr>
            </w:pPr>
            <w:r w:rsidRPr="00166751">
              <w:rPr>
                <w:rFonts w:eastAsia="Times New Roman" w:cs="Arial"/>
                <w:sz w:val="18"/>
                <w:szCs w:val="18"/>
              </w:rPr>
              <w:t xml:space="preserve">Financial assets at fair value through profit or loss  </w:t>
            </w:r>
          </w:p>
        </w:tc>
        <w:tc>
          <w:tcPr>
            <w:tcW w:w="694" w:type="pct"/>
            <w:tcBorders>
              <w:top w:val="nil"/>
              <w:left w:val="nil"/>
              <w:bottom w:val="nil"/>
              <w:right w:val="nil"/>
            </w:tcBorders>
            <w:shd w:val="clear" w:color="auto" w:fill="auto"/>
            <w:vAlign w:val="bottom"/>
          </w:tcPr>
          <w:p w14:paraId="4D45E65D" w14:textId="5073EE87" w:rsidR="00AC3C7D" w:rsidRPr="00971E2C" w:rsidRDefault="00AC3C7D" w:rsidP="00AC3C7D">
            <w:pPr>
              <w:pStyle w:val="TT"/>
              <w:jc w:val="right"/>
              <w:rPr>
                <w:rFonts w:cs="Arial"/>
                <w:sz w:val="18"/>
                <w:szCs w:val="18"/>
              </w:rPr>
            </w:pPr>
            <w:r w:rsidRPr="001E0C37">
              <w:rPr>
                <w:rFonts w:ascii="Calibri" w:hAnsi="Calibri" w:cs="Arial"/>
                <w:sz w:val="18"/>
                <w:szCs w:val="18"/>
              </w:rPr>
              <w:t>288</w:t>
            </w:r>
          </w:p>
        </w:tc>
        <w:tc>
          <w:tcPr>
            <w:tcW w:w="695" w:type="pct"/>
            <w:tcBorders>
              <w:top w:val="nil"/>
              <w:left w:val="nil"/>
              <w:bottom w:val="nil"/>
              <w:right w:val="nil"/>
            </w:tcBorders>
            <w:shd w:val="clear" w:color="auto" w:fill="auto"/>
            <w:vAlign w:val="bottom"/>
          </w:tcPr>
          <w:p w14:paraId="0DA3498B" w14:textId="77777777" w:rsidR="00AC3C7D" w:rsidRPr="00166751" w:rsidRDefault="00AC3C7D" w:rsidP="00AC3C7D">
            <w:pPr>
              <w:pStyle w:val="TT"/>
              <w:jc w:val="right"/>
              <w:rPr>
                <w:rFonts w:asciiTheme="minorHAnsi" w:hAnsiTheme="minorHAnsi" w:cs="Arial"/>
                <w:spacing w:val="-2"/>
                <w:sz w:val="18"/>
                <w:szCs w:val="18"/>
                <w:lang w:val="hr-HR"/>
              </w:rPr>
            </w:pPr>
            <w:r w:rsidRPr="00166751">
              <w:rPr>
                <w:rFonts w:ascii="Calibri" w:hAnsi="Calibri" w:cs="Arial"/>
                <w:sz w:val="18"/>
                <w:szCs w:val="18"/>
              </w:rPr>
              <w:t>286</w:t>
            </w:r>
          </w:p>
        </w:tc>
        <w:tc>
          <w:tcPr>
            <w:tcW w:w="694" w:type="pct"/>
            <w:tcBorders>
              <w:top w:val="nil"/>
              <w:left w:val="nil"/>
              <w:bottom w:val="nil"/>
              <w:right w:val="nil"/>
            </w:tcBorders>
            <w:shd w:val="clear" w:color="auto" w:fill="auto"/>
            <w:vAlign w:val="bottom"/>
          </w:tcPr>
          <w:p w14:paraId="4C48FF1C" w14:textId="0A9282A5" w:rsidR="00AC3C7D" w:rsidRPr="00971E2C" w:rsidRDefault="00AC3C7D" w:rsidP="00AC3C7D">
            <w:pPr>
              <w:pStyle w:val="TT"/>
              <w:jc w:val="right"/>
              <w:rPr>
                <w:rFonts w:cs="Arial"/>
                <w:sz w:val="18"/>
                <w:szCs w:val="18"/>
              </w:rPr>
            </w:pPr>
            <w:r w:rsidRPr="00CA4A03">
              <w:rPr>
                <w:rFonts w:ascii="Calibri" w:hAnsi="Calibri" w:cs="Arial"/>
                <w:sz w:val="18"/>
                <w:szCs w:val="18"/>
              </w:rPr>
              <w:t>-</w:t>
            </w:r>
          </w:p>
        </w:tc>
        <w:tc>
          <w:tcPr>
            <w:tcW w:w="694" w:type="pct"/>
            <w:tcBorders>
              <w:top w:val="nil"/>
              <w:left w:val="nil"/>
              <w:bottom w:val="nil"/>
              <w:right w:val="nil"/>
            </w:tcBorders>
            <w:shd w:val="clear" w:color="auto" w:fill="auto"/>
            <w:vAlign w:val="bottom"/>
          </w:tcPr>
          <w:p w14:paraId="276FB60E" w14:textId="77777777" w:rsidR="00AC3C7D" w:rsidRPr="00166751" w:rsidRDefault="00AC3C7D" w:rsidP="00AC3C7D">
            <w:pPr>
              <w:pStyle w:val="TT"/>
              <w:jc w:val="right"/>
              <w:rPr>
                <w:rFonts w:ascii="Calibri" w:hAnsi="Calibri" w:cs="Arial"/>
                <w:sz w:val="18"/>
                <w:szCs w:val="18"/>
              </w:rPr>
            </w:pPr>
            <w:r w:rsidRPr="00166751">
              <w:rPr>
                <w:rFonts w:ascii="Calibri" w:hAnsi="Calibri" w:cs="Arial"/>
                <w:sz w:val="18"/>
                <w:szCs w:val="18"/>
              </w:rPr>
              <w:t>-</w:t>
            </w:r>
          </w:p>
        </w:tc>
      </w:tr>
      <w:tr w:rsidR="00AC3C7D" w:rsidRPr="002159C8" w14:paraId="07A35E51" w14:textId="77777777" w:rsidTr="005444AA">
        <w:tc>
          <w:tcPr>
            <w:tcW w:w="2222" w:type="pct"/>
          </w:tcPr>
          <w:p w14:paraId="60D20EF3" w14:textId="77777777" w:rsidR="00AC3C7D" w:rsidRPr="00166751" w:rsidRDefault="00AC3C7D" w:rsidP="00AC3C7D">
            <w:pPr>
              <w:tabs>
                <w:tab w:val="right" w:pos="1202"/>
              </w:tabs>
              <w:spacing w:after="0" w:line="300" w:lineRule="exact"/>
              <w:outlineLvl w:val="0"/>
              <w:rPr>
                <w:rFonts w:eastAsia="Times New Roman" w:cs="Arial"/>
                <w:sz w:val="18"/>
                <w:szCs w:val="18"/>
              </w:rPr>
            </w:pPr>
            <w:r w:rsidRPr="00166751">
              <w:rPr>
                <w:rFonts w:eastAsia="Times New Roman" w:cs="Arial"/>
                <w:sz w:val="18"/>
                <w:szCs w:val="18"/>
              </w:rPr>
              <w:t>Assets available for sale</w:t>
            </w:r>
          </w:p>
        </w:tc>
        <w:tc>
          <w:tcPr>
            <w:tcW w:w="694" w:type="pct"/>
            <w:tcBorders>
              <w:top w:val="nil"/>
              <w:left w:val="nil"/>
              <w:bottom w:val="nil"/>
              <w:right w:val="nil"/>
            </w:tcBorders>
            <w:shd w:val="clear" w:color="auto" w:fill="auto"/>
            <w:vAlign w:val="bottom"/>
          </w:tcPr>
          <w:p w14:paraId="759471B7" w14:textId="70B58043" w:rsidR="00AC3C7D" w:rsidRPr="00971E2C" w:rsidRDefault="00AC3C7D" w:rsidP="00AC3C7D">
            <w:pPr>
              <w:pStyle w:val="TT"/>
              <w:jc w:val="right"/>
              <w:rPr>
                <w:rFonts w:cs="Arial"/>
                <w:sz w:val="18"/>
                <w:szCs w:val="18"/>
              </w:rPr>
            </w:pPr>
            <w:r w:rsidRPr="001E0C37">
              <w:rPr>
                <w:rFonts w:ascii="Calibri" w:hAnsi="Calibri" w:cs="Arial"/>
                <w:sz w:val="18"/>
                <w:szCs w:val="18"/>
              </w:rPr>
              <w:t>3</w:t>
            </w:r>
            <w:r>
              <w:rPr>
                <w:rFonts w:ascii="Calibri" w:hAnsi="Calibri" w:cs="Arial"/>
                <w:sz w:val="18"/>
                <w:szCs w:val="18"/>
              </w:rPr>
              <w:t>,</w:t>
            </w:r>
            <w:r w:rsidRPr="001E0C37">
              <w:rPr>
                <w:rFonts w:ascii="Calibri" w:hAnsi="Calibri" w:cs="Arial"/>
                <w:sz w:val="18"/>
                <w:szCs w:val="18"/>
              </w:rPr>
              <w:t>271</w:t>
            </w:r>
            <w:r>
              <w:rPr>
                <w:rFonts w:ascii="Calibri" w:hAnsi="Calibri" w:cs="Arial"/>
                <w:sz w:val="18"/>
                <w:szCs w:val="18"/>
              </w:rPr>
              <w:t>,</w:t>
            </w:r>
            <w:r w:rsidRPr="001E0C37">
              <w:rPr>
                <w:rFonts w:ascii="Calibri" w:hAnsi="Calibri" w:cs="Arial"/>
                <w:sz w:val="18"/>
                <w:szCs w:val="18"/>
              </w:rPr>
              <w:t>673</w:t>
            </w:r>
          </w:p>
        </w:tc>
        <w:tc>
          <w:tcPr>
            <w:tcW w:w="695" w:type="pct"/>
            <w:tcBorders>
              <w:top w:val="nil"/>
              <w:left w:val="nil"/>
              <w:bottom w:val="nil"/>
              <w:right w:val="nil"/>
            </w:tcBorders>
            <w:shd w:val="clear" w:color="auto" w:fill="auto"/>
            <w:vAlign w:val="bottom"/>
          </w:tcPr>
          <w:p w14:paraId="5ADB79D5" w14:textId="77777777" w:rsidR="00AC3C7D" w:rsidRPr="00166751" w:rsidRDefault="00AC3C7D" w:rsidP="00AC3C7D">
            <w:pPr>
              <w:pStyle w:val="TT"/>
              <w:jc w:val="right"/>
              <w:rPr>
                <w:rFonts w:asciiTheme="minorHAnsi" w:hAnsiTheme="minorHAnsi" w:cs="Arial"/>
                <w:snapToGrid w:val="0"/>
                <w:sz w:val="18"/>
                <w:szCs w:val="18"/>
                <w:lang w:val="hr-HR"/>
              </w:rPr>
            </w:pPr>
            <w:r w:rsidRPr="00166751">
              <w:rPr>
                <w:rFonts w:ascii="Calibri" w:hAnsi="Calibri" w:cs="Arial"/>
                <w:sz w:val="18"/>
                <w:szCs w:val="18"/>
              </w:rPr>
              <w:t>3,353,086</w:t>
            </w:r>
          </w:p>
        </w:tc>
        <w:tc>
          <w:tcPr>
            <w:tcW w:w="694" w:type="pct"/>
            <w:tcBorders>
              <w:top w:val="nil"/>
              <w:left w:val="nil"/>
              <w:bottom w:val="nil"/>
              <w:right w:val="nil"/>
            </w:tcBorders>
            <w:shd w:val="clear" w:color="auto" w:fill="auto"/>
            <w:vAlign w:val="bottom"/>
          </w:tcPr>
          <w:p w14:paraId="30DDC010" w14:textId="606EC342" w:rsidR="00AC3C7D" w:rsidRPr="00971E2C" w:rsidRDefault="00AC3C7D" w:rsidP="00AC3C7D">
            <w:pPr>
              <w:pStyle w:val="TT"/>
              <w:jc w:val="right"/>
              <w:rPr>
                <w:rFonts w:cs="Arial"/>
                <w:sz w:val="18"/>
                <w:szCs w:val="18"/>
              </w:rPr>
            </w:pPr>
            <w:r w:rsidRPr="00CA4A03">
              <w:rPr>
                <w:rFonts w:ascii="Calibri" w:hAnsi="Calibri" w:cs="Arial"/>
                <w:sz w:val="18"/>
                <w:szCs w:val="18"/>
              </w:rPr>
              <w:t>3</w:t>
            </w:r>
            <w:r>
              <w:rPr>
                <w:rFonts w:ascii="Calibri" w:hAnsi="Calibri" w:cs="Arial"/>
                <w:sz w:val="18"/>
                <w:szCs w:val="18"/>
              </w:rPr>
              <w:t>,</w:t>
            </w:r>
            <w:r w:rsidRPr="00CA4A03">
              <w:rPr>
                <w:rFonts w:ascii="Calibri" w:hAnsi="Calibri" w:cs="Arial"/>
                <w:sz w:val="18"/>
                <w:szCs w:val="18"/>
              </w:rPr>
              <w:t>222</w:t>
            </w:r>
            <w:r>
              <w:rPr>
                <w:rFonts w:ascii="Calibri" w:hAnsi="Calibri" w:cs="Arial"/>
                <w:sz w:val="18"/>
                <w:szCs w:val="18"/>
              </w:rPr>
              <w:t>,</w:t>
            </w:r>
            <w:r w:rsidRPr="00CA4A03">
              <w:rPr>
                <w:rFonts w:ascii="Calibri" w:hAnsi="Calibri" w:cs="Arial"/>
                <w:sz w:val="18"/>
                <w:szCs w:val="18"/>
              </w:rPr>
              <w:t>148</w:t>
            </w:r>
          </w:p>
        </w:tc>
        <w:tc>
          <w:tcPr>
            <w:tcW w:w="694" w:type="pct"/>
            <w:tcBorders>
              <w:top w:val="nil"/>
              <w:left w:val="nil"/>
              <w:bottom w:val="nil"/>
              <w:right w:val="nil"/>
            </w:tcBorders>
            <w:shd w:val="clear" w:color="auto" w:fill="auto"/>
            <w:vAlign w:val="bottom"/>
          </w:tcPr>
          <w:p w14:paraId="461DFDEE" w14:textId="77777777" w:rsidR="00AC3C7D" w:rsidRPr="00166751" w:rsidRDefault="00AC3C7D" w:rsidP="00AC3C7D">
            <w:pPr>
              <w:pStyle w:val="TT"/>
              <w:jc w:val="right"/>
              <w:rPr>
                <w:rFonts w:ascii="Calibri" w:hAnsi="Calibri" w:cs="Arial"/>
                <w:sz w:val="18"/>
                <w:szCs w:val="18"/>
              </w:rPr>
            </w:pPr>
            <w:r w:rsidRPr="00166751">
              <w:rPr>
                <w:rFonts w:ascii="Calibri" w:hAnsi="Calibri" w:cs="Arial"/>
                <w:sz w:val="18"/>
                <w:szCs w:val="18"/>
              </w:rPr>
              <w:t>3,306,628</w:t>
            </w:r>
          </w:p>
        </w:tc>
      </w:tr>
      <w:tr w:rsidR="00AC3C7D" w:rsidRPr="002159C8" w14:paraId="30622606" w14:textId="77777777" w:rsidTr="006B318F">
        <w:tc>
          <w:tcPr>
            <w:tcW w:w="2222" w:type="pct"/>
          </w:tcPr>
          <w:p w14:paraId="21660E83" w14:textId="77777777" w:rsidR="00AC3C7D" w:rsidRPr="00166751" w:rsidRDefault="00AC3C7D" w:rsidP="00AC3C7D">
            <w:pPr>
              <w:tabs>
                <w:tab w:val="right" w:pos="1202"/>
              </w:tabs>
              <w:spacing w:after="0" w:line="300" w:lineRule="exact"/>
              <w:outlineLvl w:val="0"/>
              <w:rPr>
                <w:rFonts w:eastAsia="Times New Roman" w:cs="Arial"/>
                <w:sz w:val="18"/>
                <w:szCs w:val="18"/>
              </w:rPr>
            </w:pPr>
            <w:r w:rsidRPr="00166751">
              <w:rPr>
                <w:rFonts w:eastAsia="Times New Roman" w:cs="Arial"/>
                <w:sz w:val="18"/>
                <w:szCs w:val="18"/>
              </w:rPr>
              <w:t>Assets held to maturity</w:t>
            </w:r>
          </w:p>
        </w:tc>
        <w:tc>
          <w:tcPr>
            <w:tcW w:w="694" w:type="pct"/>
            <w:tcBorders>
              <w:top w:val="nil"/>
              <w:left w:val="nil"/>
              <w:right w:val="nil"/>
            </w:tcBorders>
            <w:shd w:val="clear" w:color="auto" w:fill="auto"/>
            <w:vAlign w:val="bottom"/>
          </w:tcPr>
          <w:p w14:paraId="63477D32" w14:textId="1A984CB6" w:rsidR="00AC3C7D" w:rsidRPr="00971E2C" w:rsidRDefault="00AC3C7D" w:rsidP="00AC3C7D">
            <w:pPr>
              <w:pStyle w:val="TT"/>
              <w:jc w:val="right"/>
              <w:rPr>
                <w:rFonts w:cs="Arial"/>
                <w:sz w:val="18"/>
                <w:szCs w:val="18"/>
              </w:rPr>
            </w:pPr>
            <w:r w:rsidRPr="001E0C37">
              <w:rPr>
                <w:rFonts w:ascii="Calibri" w:hAnsi="Calibri" w:cs="Arial"/>
                <w:sz w:val="18"/>
                <w:szCs w:val="18"/>
              </w:rPr>
              <w:t>1</w:t>
            </w:r>
            <w:r>
              <w:rPr>
                <w:rFonts w:ascii="Calibri" w:hAnsi="Calibri" w:cs="Arial"/>
                <w:sz w:val="18"/>
                <w:szCs w:val="18"/>
              </w:rPr>
              <w:t>,</w:t>
            </w:r>
            <w:r w:rsidRPr="001E0C37">
              <w:rPr>
                <w:rFonts w:ascii="Calibri" w:hAnsi="Calibri" w:cs="Arial"/>
                <w:sz w:val="18"/>
                <w:szCs w:val="18"/>
              </w:rPr>
              <w:t>404</w:t>
            </w:r>
          </w:p>
        </w:tc>
        <w:tc>
          <w:tcPr>
            <w:tcW w:w="695" w:type="pct"/>
            <w:tcBorders>
              <w:top w:val="nil"/>
              <w:left w:val="nil"/>
              <w:right w:val="nil"/>
            </w:tcBorders>
            <w:shd w:val="clear" w:color="auto" w:fill="auto"/>
            <w:vAlign w:val="bottom"/>
          </w:tcPr>
          <w:p w14:paraId="489ADD8D" w14:textId="77777777" w:rsidR="00AC3C7D" w:rsidRPr="00166751" w:rsidRDefault="00AC3C7D" w:rsidP="00AC3C7D">
            <w:pPr>
              <w:pStyle w:val="TT"/>
              <w:jc w:val="right"/>
              <w:rPr>
                <w:rFonts w:asciiTheme="minorHAnsi" w:hAnsiTheme="minorHAnsi" w:cs="Arial"/>
                <w:snapToGrid w:val="0"/>
                <w:sz w:val="18"/>
                <w:szCs w:val="18"/>
                <w:lang w:val="hr-HR"/>
              </w:rPr>
            </w:pPr>
            <w:r w:rsidRPr="00166751">
              <w:rPr>
                <w:rFonts w:ascii="Calibri" w:hAnsi="Calibri" w:cs="Arial"/>
                <w:sz w:val="18"/>
                <w:szCs w:val="18"/>
              </w:rPr>
              <w:t>1,422</w:t>
            </w:r>
          </w:p>
        </w:tc>
        <w:tc>
          <w:tcPr>
            <w:tcW w:w="694" w:type="pct"/>
            <w:tcBorders>
              <w:top w:val="nil"/>
              <w:left w:val="nil"/>
              <w:right w:val="nil"/>
            </w:tcBorders>
            <w:shd w:val="clear" w:color="auto" w:fill="auto"/>
            <w:vAlign w:val="bottom"/>
          </w:tcPr>
          <w:p w14:paraId="783243C2" w14:textId="5FC3B091" w:rsidR="00AC3C7D" w:rsidRPr="00971E2C" w:rsidRDefault="00AC3C7D" w:rsidP="00AC3C7D">
            <w:pPr>
              <w:pStyle w:val="TT"/>
              <w:jc w:val="right"/>
              <w:rPr>
                <w:rFonts w:cs="Arial"/>
                <w:sz w:val="18"/>
                <w:szCs w:val="18"/>
              </w:rPr>
            </w:pPr>
            <w:r w:rsidRPr="00CA4A03">
              <w:rPr>
                <w:rFonts w:ascii="Calibri" w:hAnsi="Calibri" w:cs="Arial"/>
                <w:sz w:val="18"/>
                <w:szCs w:val="18"/>
              </w:rPr>
              <w:t>-</w:t>
            </w:r>
          </w:p>
        </w:tc>
        <w:tc>
          <w:tcPr>
            <w:tcW w:w="694" w:type="pct"/>
            <w:tcBorders>
              <w:top w:val="nil"/>
              <w:left w:val="nil"/>
              <w:right w:val="nil"/>
            </w:tcBorders>
            <w:shd w:val="clear" w:color="auto" w:fill="auto"/>
            <w:vAlign w:val="bottom"/>
          </w:tcPr>
          <w:p w14:paraId="3B5E6C01" w14:textId="77777777" w:rsidR="00AC3C7D" w:rsidRPr="00166751" w:rsidRDefault="00AC3C7D" w:rsidP="00AC3C7D">
            <w:pPr>
              <w:pStyle w:val="TT"/>
              <w:jc w:val="right"/>
              <w:rPr>
                <w:rFonts w:ascii="Calibri" w:hAnsi="Calibri" w:cs="Arial"/>
                <w:sz w:val="18"/>
                <w:szCs w:val="18"/>
              </w:rPr>
            </w:pPr>
            <w:r w:rsidRPr="00166751">
              <w:rPr>
                <w:rFonts w:ascii="Calibri" w:hAnsi="Calibri" w:cs="Arial"/>
                <w:sz w:val="18"/>
                <w:szCs w:val="18"/>
              </w:rPr>
              <w:t>-</w:t>
            </w:r>
          </w:p>
        </w:tc>
      </w:tr>
      <w:tr w:rsidR="00AC3C7D" w:rsidRPr="002159C8" w14:paraId="1D5AFBC2" w14:textId="77777777" w:rsidTr="006B318F">
        <w:tc>
          <w:tcPr>
            <w:tcW w:w="2222" w:type="pct"/>
          </w:tcPr>
          <w:p w14:paraId="40598ED8" w14:textId="77777777" w:rsidR="00AC3C7D" w:rsidRPr="00166751" w:rsidRDefault="00AC3C7D" w:rsidP="00AC3C7D">
            <w:pPr>
              <w:tabs>
                <w:tab w:val="right" w:pos="1202"/>
              </w:tabs>
              <w:spacing w:after="0" w:line="300" w:lineRule="exact"/>
              <w:outlineLvl w:val="0"/>
              <w:rPr>
                <w:rFonts w:eastAsia="Times New Roman" w:cs="Arial"/>
                <w:sz w:val="18"/>
                <w:szCs w:val="18"/>
              </w:rPr>
            </w:pPr>
            <w:r w:rsidRPr="00166751">
              <w:rPr>
                <w:rFonts w:eastAsia="Times New Roman" w:cs="Arial"/>
                <w:sz w:val="18"/>
                <w:szCs w:val="18"/>
              </w:rPr>
              <w:t>Other assets</w:t>
            </w:r>
          </w:p>
        </w:tc>
        <w:tc>
          <w:tcPr>
            <w:tcW w:w="694" w:type="pct"/>
            <w:tcBorders>
              <w:top w:val="nil"/>
              <w:left w:val="nil"/>
              <w:bottom w:val="single" w:sz="4" w:space="0" w:color="auto"/>
              <w:right w:val="nil"/>
            </w:tcBorders>
            <w:shd w:val="clear" w:color="auto" w:fill="auto"/>
            <w:vAlign w:val="bottom"/>
          </w:tcPr>
          <w:p w14:paraId="46C9C611" w14:textId="1176B0A5" w:rsidR="00AC3C7D" w:rsidRPr="00971E2C" w:rsidRDefault="00AC3C7D" w:rsidP="00AC3C7D">
            <w:pPr>
              <w:pStyle w:val="TT"/>
              <w:jc w:val="right"/>
              <w:rPr>
                <w:rFonts w:cs="Arial"/>
                <w:sz w:val="18"/>
                <w:szCs w:val="18"/>
              </w:rPr>
            </w:pPr>
            <w:r w:rsidRPr="001E0C37">
              <w:rPr>
                <w:rFonts w:ascii="Calibri" w:hAnsi="Calibri" w:cs="Arial"/>
                <w:sz w:val="18"/>
                <w:szCs w:val="18"/>
              </w:rPr>
              <w:t>6</w:t>
            </w:r>
            <w:r>
              <w:rPr>
                <w:rFonts w:ascii="Calibri" w:hAnsi="Calibri" w:cs="Arial"/>
                <w:sz w:val="18"/>
                <w:szCs w:val="18"/>
              </w:rPr>
              <w:t>,</w:t>
            </w:r>
            <w:r w:rsidRPr="001E0C37">
              <w:rPr>
                <w:rFonts w:ascii="Calibri" w:hAnsi="Calibri" w:cs="Arial"/>
                <w:sz w:val="18"/>
                <w:szCs w:val="18"/>
              </w:rPr>
              <w:t>109</w:t>
            </w:r>
          </w:p>
        </w:tc>
        <w:tc>
          <w:tcPr>
            <w:tcW w:w="695" w:type="pct"/>
            <w:tcBorders>
              <w:top w:val="nil"/>
              <w:left w:val="nil"/>
              <w:bottom w:val="single" w:sz="4" w:space="0" w:color="auto"/>
              <w:right w:val="nil"/>
            </w:tcBorders>
            <w:shd w:val="clear" w:color="auto" w:fill="auto"/>
            <w:vAlign w:val="bottom"/>
          </w:tcPr>
          <w:p w14:paraId="45C04C99" w14:textId="77777777" w:rsidR="00AC3C7D" w:rsidRPr="00166751" w:rsidRDefault="00AC3C7D" w:rsidP="00AC3C7D">
            <w:pPr>
              <w:pStyle w:val="TT"/>
              <w:jc w:val="right"/>
              <w:rPr>
                <w:rFonts w:asciiTheme="minorHAnsi" w:hAnsiTheme="minorHAnsi" w:cs="Arial"/>
                <w:snapToGrid w:val="0"/>
                <w:sz w:val="18"/>
                <w:szCs w:val="18"/>
                <w:lang w:val="hr-HR"/>
              </w:rPr>
            </w:pPr>
            <w:r w:rsidRPr="00166751">
              <w:rPr>
                <w:rFonts w:ascii="Calibri" w:hAnsi="Calibri" w:cs="Arial"/>
                <w:sz w:val="18"/>
                <w:szCs w:val="18"/>
              </w:rPr>
              <w:t>6,249</w:t>
            </w:r>
          </w:p>
        </w:tc>
        <w:tc>
          <w:tcPr>
            <w:tcW w:w="694" w:type="pct"/>
            <w:tcBorders>
              <w:top w:val="nil"/>
              <w:left w:val="nil"/>
              <w:bottom w:val="single" w:sz="4" w:space="0" w:color="auto"/>
              <w:right w:val="nil"/>
            </w:tcBorders>
            <w:shd w:val="clear" w:color="auto" w:fill="auto"/>
            <w:vAlign w:val="bottom"/>
          </w:tcPr>
          <w:p w14:paraId="7D475BED" w14:textId="5FEAABE5" w:rsidR="00AC3C7D" w:rsidRPr="00971E2C" w:rsidRDefault="00AC3C7D" w:rsidP="00AC3C7D">
            <w:pPr>
              <w:pStyle w:val="TT"/>
              <w:jc w:val="right"/>
              <w:rPr>
                <w:rFonts w:cs="Arial"/>
                <w:sz w:val="18"/>
                <w:szCs w:val="18"/>
              </w:rPr>
            </w:pPr>
            <w:r w:rsidRPr="00CA4A03">
              <w:rPr>
                <w:rFonts w:ascii="Calibri" w:hAnsi="Calibri" w:cs="Arial"/>
                <w:sz w:val="18"/>
                <w:szCs w:val="18"/>
              </w:rPr>
              <w:t>4</w:t>
            </w:r>
            <w:r>
              <w:rPr>
                <w:rFonts w:ascii="Calibri" w:hAnsi="Calibri" w:cs="Arial"/>
                <w:sz w:val="18"/>
                <w:szCs w:val="18"/>
              </w:rPr>
              <w:t>,</w:t>
            </w:r>
            <w:r w:rsidRPr="00CA4A03">
              <w:rPr>
                <w:rFonts w:ascii="Calibri" w:hAnsi="Calibri" w:cs="Arial"/>
                <w:sz w:val="18"/>
                <w:szCs w:val="18"/>
              </w:rPr>
              <w:t>675</w:t>
            </w:r>
          </w:p>
        </w:tc>
        <w:tc>
          <w:tcPr>
            <w:tcW w:w="694" w:type="pct"/>
            <w:tcBorders>
              <w:top w:val="nil"/>
              <w:left w:val="nil"/>
              <w:bottom w:val="single" w:sz="4" w:space="0" w:color="auto"/>
              <w:right w:val="nil"/>
            </w:tcBorders>
            <w:shd w:val="clear" w:color="auto" w:fill="auto"/>
            <w:vAlign w:val="bottom"/>
          </w:tcPr>
          <w:p w14:paraId="359E84D7" w14:textId="77777777" w:rsidR="00AC3C7D" w:rsidRPr="00166751" w:rsidRDefault="00AC3C7D" w:rsidP="00AC3C7D">
            <w:pPr>
              <w:pStyle w:val="TT"/>
              <w:jc w:val="right"/>
              <w:rPr>
                <w:rFonts w:ascii="Calibri" w:hAnsi="Calibri" w:cs="Arial"/>
                <w:sz w:val="18"/>
                <w:szCs w:val="18"/>
              </w:rPr>
            </w:pPr>
            <w:r w:rsidRPr="00166751">
              <w:rPr>
                <w:rFonts w:ascii="Calibri" w:hAnsi="Calibri" w:cs="Arial"/>
                <w:sz w:val="18"/>
                <w:szCs w:val="18"/>
              </w:rPr>
              <w:t>3,079</w:t>
            </w:r>
          </w:p>
        </w:tc>
      </w:tr>
      <w:tr w:rsidR="000B2C7A" w:rsidRPr="002159C8" w14:paraId="0A3F27E0" w14:textId="77777777" w:rsidTr="005444AA">
        <w:tc>
          <w:tcPr>
            <w:tcW w:w="2222" w:type="pct"/>
          </w:tcPr>
          <w:p w14:paraId="4678F82D" w14:textId="77777777" w:rsidR="000B2C7A" w:rsidRPr="00166751" w:rsidRDefault="000B2C7A" w:rsidP="000B2C7A">
            <w:pPr>
              <w:tabs>
                <w:tab w:val="right" w:pos="1202"/>
              </w:tabs>
              <w:spacing w:after="0" w:line="300" w:lineRule="exact"/>
              <w:outlineLvl w:val="0"/>
              <w:rPr>
                <w:rFonts w:eastAsia="Times New Roman" w:cs="Arial"/>
                <w:b/>
                <w:bCs/>
                <w:sz w:val="18"/>
                <w:szCs w:val="18"/>
              </w:rPr>
            </w:pPr>
            <w:r w:rsidRPr="00166751">
              <w:rPr>
                <w:rFonts w:eastAsia="Times New Roman" w:cs="Arial"/>
                <w:b/>
                <w:bCs/>
                <w:sz w:val="18"/>
                <w:szCs w:val="18"/>
              </w:rPr>
              <w:t>Total</w:t>
            </w:r>
          </w:p>
        </w:tc>
        <w:tc>
          <w:tcPr>
            <w:tcW w:w="694" w:type="pct"/>
            <w:tcBorders>
              <w:top w:val="single" w:sz="4" w:space="0" w:color="auto"/>
              <w:bottom w:val="single" w:sz="12" w:space="0" w:color="auto"/>
            </w:tcBorders>
            <w:vAlign w:val="bottom"/>
          </w:tcPr>
          <w:p w14:paraId="29D5A0C1" w14:textId="48D15E90" w:rsidR="000B2C7A" w:rsidRPr="005444AA" w:rsidRDefault="00AC3C7D" w:rsidP="005444AA">
            <w:pPr>
              <w:pStyle w:val="Tot"/>
              <w:jc w:val="right"/>
              <w:rPr>
                <w:rFonts w:asciiTheme="minorHAnsi" w:hAnsiTheme="minorHAnsi" w:cs="Arial"/>
                <w:b/>
                <w:bCs/>
                <w:sz w:val="18"/>
                <w:szCs w:val="18"/>
                <w:lang w:val="hr-HR"/>
              </w:rPr>
            </w:pPr>
            <w:r w:rsidRPr="00AC3C7D">
              <w:rPr>
                <w:rFonts w:asciiTheme="minorHAnsi" w:hAnsiTheme="minorHAnsi" w:cs="Arial"/>
                <w:b/>
                <w:bCs/>
                <w:sz w:val="18"/>
                <w:szCs w:val="18"/>
                <w:lang w:val="hr-HR"/>
              </w:rPr>
              <w:t>28,179,956</w:t>
            </w:r>
          </w:p>
        </w:tc>
        <w:tc>
          <w:tcPr>
            <w:tcW w:w="695" w:type="pct"/>
            <w:tcBorders>
              <w:top w:val="single" w:sz="4" w:space="0" w:color="auto"/>
              <w:bottom w:val="single" w:sz="12" w:space="0" w:color="auto"/>
            </w:tcBorders>
            <w:vAlign w:val="bottom"/>
          </w:tcPr>
          <w:p w14:paraId="0384CDC1" w14:textId="77777777" w:rsidR="000B2C7A" w:rsidRPr="00166751" w:rsidRDefault="000B2C7A" w:rsidP="000B2C7A">
            <w:pPr>
              <w:pStyle w:val="Tot"/>
              <w:jc w:val="right"/>
              <w:rPr>
                <w:rFonts w:asciiTheme="minorHAnsi" w:hAnsiTheme="minorHAnsi" w:cs="Arial"/>
                <w:b/>
                <w:bCs/>
                <w:sz w:val="18"/>
                <w:szCs w:val="18"/>
                <w:lang w:val="hr-HR"/>
              </w:rPr>
            </w:pPr>
            <w:r w:rsidRPr="00166751">
              <w:rPr>
                <w:rFonts w:asciiTheme="minorHAnsi" w:hAnsiTheme="minorHAnsi" w:cs="Arial"/>
                <w:b/>
                <w:bCs/>
                <w:sz w:val="18"/>
                <w:szCs w:val="18"/>
                <w:lang w:val="hr-HR"/>
              </w:rPr>
              <w:t>27,276,463</w:t>
            </w:r>
          </w:p>
        </w:tc>
        <w:tc>
          <w:tcPr>
            <w:tcW w:w="694" w:type="pct"/>
            <w:tcBorders>
              <w:top w:val="single" w:sz="4" w:space="0" w:color="auto"/>
              <w:bottom w:val="single" w:sz="12" w:space="0" w:color="auto"/>
            </w:tcBorders>
            <w:vAlign w:val="bottom"/>
          </w:tcPr>
          <w:p w14:paraId="18D61D16" w14:textId="23258325" w:rsidR="000B2C7A" w:rsidRPr="005444AA" w:rsidRDefault="00AC3C7D" w:rsidP="005444AA">
            <w:pPr>
              <w:pStyle w:val="Tot"/>
              <w:jc w:val="right"/>
              <w:rPr>
                <w:rFonts w:asciiTheme="minorHAnsi" w:hAnsiTheme="minorHAnsi" w:cs="Arial"/>
                <w:b/>
                <w:bCs/>
                <w:sz w:val="18"/>
                <w:szCs w:val="18"/>
                <w:lang w:val="hr-HR"/>
              </w:rPr>
            </w:pPr>
            <w:r w:rsidRPr="00AC3C7D">
              <w:rPr>
                <w:rFonts w:asciiTheme="minorHAnsi" w:hAnsiTheme="minorHAnsi" w:cs="Arial"/>
                <w:b/>
                <w:bCs/>
                <w:sz w:val="18"/>
                <w:szCs w:val="18"/>
                <w:lang w:val="hr-HR"/>
              </w:rPr>
              <w:t>28,125,019</w:t>
            </w:r>
          </w:p>
        </w:tc>
        <w:tc>
          <w:tcPr>
            <w:tcW w:w="694" w:type="pct"/>
            <w:tcBorders>
              <w:top w:val="single" w:sz="4" w:space="0" w:color="auto"/>
              <w:bottom w:val="single" w:sz="12" w:space="0" w:color="auto"/>
            </w:tcBorders>
            <w:vAlign w:val="bottom"/>
          </w:tcPr>
          <w:p w14:paraId="6926A2C4" w14:textId="77777777" w:rsidR="000B2C7A" w:rsidRPr="00166751" w:rsidRDefault="000B2C7A" w:rsidP="000B2C7A">
            <w:pPr>
              <w:pStyle w:val="Tot"/>
              <w:jc w:val="right"/>
              <w:rPr>
                <w:rFonts w:asciiTheme="minorHAnsi" w:hAnsiTheme="minorHAnsi" w:cs="Arial"/>
                <w:b/>
                <w:bCs/>
                <w:sz w:val="18"/>
                <w:szCs w:val="18"/>
                <w:lang w:val="hr-HR"/>
              </w:rPr>
            </w:pPr>
            <w:r w:rsidRPr="00166751">
              <w:rPr>
                <w:rFonts w:asciiTheme="minorHAnsi" w:hAnsiTheme="minorHAnsi" w:cs="Arial"/>
                <w:b/>
                <w:bCs/>
                <w:sz w:val="18"/>
                <w:szCs w:val="18"/>
                <w:lang w:val="hr-HR"/>
              </w:rPr>
              <w:t>27,224,576</w:t>
            </w:r>
          </w:p>
        </w:tc>
      </w:tr>
      <w:tr w:rsidR="000B2C7A" w:rsidRPr="002159C8" w14:paraId="3CB47F43" w14:textId="77777777" w:rsidTr="009702B0">
        <w:trPr>
          <w:trHeight w:val="109"/>
        </w:trPr>
        <w:tc>
          <w:tcPr>
            <w:tcW w:w="2222" w:type="pct"/>
          </w:tcPr>
          <w:p w14:paraId="33E97AB7" w14:textId="77777777" w:rsidR="000B2C7A" w:rsidRPr="00166751" w:rsidRDefault="000B2C7A" w:rsidP="000B2C7A">
            <w:pPr>
              <w:keepNext/>
              <w:keepLines/>
              <w:tabs>
                <w:tab w:val="decimal" w:pos="1202"/>
              </w:tabs>
              <w:spacing w:after="0" w:line="140" w:lineRule="exact"/>
              <w:rPr>
                <w:rFonts w:eastAsia="Times New Roman" w:cs="Arial"/>
                <w:b/>
                <w:position w:val="4"/>
                <w:sz w:val="18"/>
                <w:szCs w:val="18"/>
                <w:u w:val="thick"/>
              </w:rPr>
            </w:pPr>
          </w:p>
        </w:tc>
        <w:tc>
          <w:tcPr>
            <w:tcW w:w="694" w:type="pct"/>
            <w:tcBorders>
              <w:top w:val="single" w:sz="12" w:space="0" w:color="auto"/>
            </w:tcBorders>
            <w:vAlign w:val="bottom"/>
          </w:tcPr>
          <w:p w14:paraId="1F159D1E" w14:textId="77777777" w:rsidR="000B2C7A" w:rsidRPr="00166751" w:rsidRDefault="000B2C7A" w:rsidP="000B2C7A">
            <w:pPr>
              <w:spacing w:after="0" w:line="280" w:lineRule="exact"/>
              <w:jc w:val="right"/>
              <w:rPr>
                <w:rFonts w:cs="Arial"/>
                <w:sz w:val="18"/>
                <w:szCs w:val="18"/>
              </w:rPr>
            </w:pPr>
          </w:p>
        </w:tc>
        <w:tc>
          <w:tcPr>
            <w:tcW w:w="695" w:type="pct"/>
            <w:tcBorders>
              <w:top w:val="single" w:sz="12" w:space="0" w:color="auto"/>
            </w:tcBorders>
            <w:vAlign w:val="bottom"/>
          </w:tcPr>
          <w:p w14:paraId="1B394B30" w14:textId="77777777" w:rsidR="000B2C7A" w:rsidRPr="00166751" w:rsidRDefault="000B2C7A" w:rsidP="000B2C7A">
            <w:pPr>
              <w:spacing w:after="0" w:line="280" w:lineRule="exact"/>
              <w:jc w:val="right"/>
              <w:rPr>
                <w:rFonts w:cs="Arial"/>
                <w:sz w:val="18"/>
                <w:szCs w:val="18"/>
              </w:rPr>
            </w:pPr>
          </w:p>
        </w:tc>
        <w:tc>
          <w:tcPr>
            <w:tcW w:w="694" w:type="pct"/>
            <w:tcBorders>
              <w:top w:val="single" w:sz="12" w:space="0" w:color="auto"/>
            </w:tcBorders>
            <w:vAlign w:val="bottom"/>
          </w:tcPr>
          <w:p w14:paraId="00062843" w14:textId="77777777" w:rsidR="000B2C7A" w:rsidRPr="00166751" w:rsidRDefault="000B2C7A" w:rsidP="000B2C7A">
            <w:pPr>
              <w:spacing w:after="0" w:line="280" w:lineRule="exact"/>
              <w:jc w:val="right"/>
              <w:rPr>
                <w:rFonts w:cs="Arial"/>
                <w:sz w:val="18"/>
                <w:szCs w:val="18"/>
              </w:rPr>
            </w:pPr>
          </w:p>
        </w:tc>
        <w:tc>
          <w:tcPr>
            <w:tcW w:w="694" w:type="pct"/>
            <w:tcBorders>
              <w:top w:val="single" w:sz="12" w:space="0" w:color="auto"/>
            </w:tcBorders>
            <w:vAlign w:val="bottom"/>
          </w:tcPr>
          <w:p w14:paraId="0743522F" w14:textId="77777777" w:rsidR="000B2C7A" w:rsidRPr="00166751" w:rsidRDefault="000B2C7A" w:rsidP="000B2C7A">
            <w:pPr>
              <w:spacing w:after="0" w:line="280" w:lineRule="exact"/>
              <w:jc w:val="right"/>
              <w:rPr>
                <w:rFonts w:cs="Arial"/>
                <w:sz w:val="18"/>
                <w:szCs w:val="18"/>
              </w:rPr>
            </w:pPr>
          </w:p>
        </w:tc>
      </w:tr>
      <w:tr w:rsidR="000B2C7A" w:rsidRPr="002159C8" w14:paraId="0ACADF6D" w14:textId="77777777" w:rsidTr="00166751">
        <w:tc>
          <w:tcPr>
            <w:tcW w:w="2222" w:type="pct"/>
          </w:tcPr>
          <w:p w14:paraId="7382F895" w14:textId="77777777" w:rsidR="000B2C7A" w:rsidRPr="00166751" w:rsidRDefault="000B2C7A" w:rsidP="000B2C7A">
            <w:pPr>
              <w:tabs>
                <w:tab w:val="right" w:pos="1202"/>
              </w:tabs>
              <w:spacing w:after="0" w:line="300" w:lineRule="exact"/>
              <w:outlineLvl w:val="0"/>
              <w:rPr>
                <w:rFonts w:eastAsia="Times New Roman" w:cs="Arial"/>
                <w:b/>
                <w:bCs/>
                <w:sz w:val="18"/>
                <w:szCs w:val="18"/>
              </w:rPr>
            </w:pPr>
            <w:r w:rsidRPr="00166751">
              <w:rPr>
                <w:rFonts w:eastAsia="Times New Roman" w:cs="Arial"/>
                <w:b/>
                <w:bCs/>
                <w:sz w:val="18"/>
                <w:szCs w:val="18"/>
              </w:rPr>
              <w:t>Guarantees and commitments</w:t>
            </w:r>
          </w:p>
        </w:tc>
        <w:tc>
          <w:tcPr>
            <w:tcW w:w="694" w:type="pct"/>
          </w:tcPr>
          <w:p w14:paraId="0287728E" w14:textId="77777777" w:rsidR="000B2C7A" w:rsidRPr="00166751" w:rsidRDefault="000B2C7A" w:rsidP="000B2C7A">
            <w:pPr>
              <w:spacing w:after="0" w:line="280" w:lineRule="exact"/>
              <w:jc w:val="right"/>
              <w:rPr>
                <w:rFonts w:cs="Arial"/>
                <w:sz w:val="18"/>
                <w:szCs w:val="18"/>
              </w:rPr>
            </w:pPr>
          </w:p>
        </w:tc>
        <w:tc>
          <w:tcPr>
            <w:tcW w:w="695" w:type="pct"/>
            <w:vAlign w:val="bottom"/>
          </w:tcPr>
          <w:p w14:paraId="21425FF8" w14:textId="77777777" w:rsidR="000B2C7A" w:rsidRPr="00166751" w:rsidRDefault="000B2C7A" w:rsidP="000B2C7A">
            <w:pPr>
              <w:spacing w:after="0" w:line="280" w:lineRule="exact"/>
              <w:jc w:val="right"/>
              <w:rPr>
                <w:rFonts w:cs="Arial"/>
                <w:sz w:val="18"/>
                <w:szCs w:val="18"/>
              </w:rPr>
            </w:pPr>
          </w:p>
        </w:tc>
        <w:tc>
          <w:tcPr>
            <w:tcW w:w="694" w:type="pct"/>
          </w:tcPr>
          <w:p w14:paraId="0A687149" w14:textId="77777777" w:rsidR="000B2C7A" w:rsidRPr="00166751" w:rsidRDefault="000B2C7A" w:rsidP="000B2C7A">
            <w:pPr>
              <w:spacing w:after="0" w:line="280" w:lineRule="exact"/>
              <w:jc w:val="right"/>
              <w:rPr>
                <w:rFonts w:cs="Arial"/>
                <w:sz w:val="18"/>
                <w:szCs w:val="18"/>
              </w:rPr>
            </w:pPr>
          </w:p>
        </w:tc>
        <w:tc>
          <w:tcPr>
            <w:tcW w:w="694" w:type="pct"/>
            <w:vAlign w:val="bottom"/>
          </w:tcPr>
          <w:p w14:paraId="63CEACDF" w14:textId="77777777" w:rsidR="000B2C7A" w:rsidRPr="00166751" w:rsidRDefault="000B2C7A" w:rsidP="000B2C7A">
            <w:pPr>
              <w:spacing w:after="0" w:line="280" w:lineRule="exact"/>
              <w:jc w:val="right"/>
              <w:rPr>
                <w:rFonts w:cs="Arial"/>
                <w:sz w:val="18"/>
                <w:szCs w:val="18"/>
              </w:rPr>
            </w:pPr>
          </w:p>
        </w:tc>
      </w:tr>
      <w:tr w:rsidR="00AC3C7D" w:rsidRPr="002159C8" w14:paraId="08A53C8F" w14:textId="77777777" w:rsidTr="005444AA">
        <w:tc>
          <w:tcPr>
            <w:tcW w:w="2222" w:type="pct"/>
          </w:tcPr>
          <w:p w14:paraId="23EA081B" w14:textId="77777777" w:rsidR="00AC3C7D" w:rsidRPr="00166751" w:rsidRDefault="00AC3C7D" w:rsidP="00AC3C7D">
            <w:pPr>
              <w:tabs>
                <w:tab w:val="right" w:pos="1202"/>
              </w:tabs>
              <w:spacing w:after="0" w:line="300" w:lineRule="exact"/>
              <w:outlineLvl w:val="0"/>
              <w:rPr>
                <w:rFonts w:eastAsia="Times New Roman" w:cs="Arial"/>
                <w:bCs/>
                <w:sz w:val="18"/>
                <w:szCs w:val="18"/>
              </w:rPr>
            </w:pPr>
            <w:r w:rsidRPr="00166751">
              <w:rPr>
                <w:rFonts w:eastAsia="Times New Roman" w:cs="Arial"/>
                <w:bCs/>
                <w:sz w:val="18"/>
                <w:szCs w:val="18"/>
              </w:rPr>
              <w:t>Guarantees issued in HRK</w:t>
            </w:r>
          </w:p>
        </w:tc>
        <w:tc>
          <w:tcPr>
            <w:tcW w:w="694" w:type="pct"/>
            <w:tcBorders>
              <w:top w:val="nil"/>
              <w:left w:val="nil"/>
              <w:bottom w:val="nil"/>
              <w:right w:val="nil"/>
            </w:tcBorders>
            <w:shd w:val="clear" w:color="auto" w:fill="auto"/>
            <w:vAlign w:val="bottom"/>
          </w:tcPr>
          <w:p w14:paraId="6445AD6D" w14:textId="65217A7B" w:rsidR="00AC3C7D" w:rsidRPr="00971E2C" w:rsidRDefault="00AC3C7D" w:rsidP="00AC3C7D">
            <w:pPr>
              <w:pStyle w:val="TT"/>
              <w:jc w:val="right"/>
              <w:rPr>
                <w:rFonts w:cs="Arial"/>
                <w:sz w:val="18"/>
                <w:szCs w:val="18"/>
              </w:rPr>
            </w:pPr>
            <w:r w:rsidRPr="00CA4A03">
              <w:rPr>
                <w:rFonts w:ascii="Calibri" w:hAnsi="Calibri" w:cs="Arial"/>
                <w:sz w:val="18"/>
                <w:szCs w:val="18"/>
              </w:rPr>
              <w:t>21</w:t>
            </w:r>
            <w:r>
              <w:rPr>
                <w:rFonts w:ascii="Calibri" w:hAnsi="Calibri" w:cs="Arial"/>
                <w:sz w:val="18"/>
                <w:szCs w:val="18"/>
              </w:rPr>
              <w:t>,</w:t>
            </w:r>
            <w:r w:rsidRPr="00CA4A03">
              <w:rPr>
                <w:rFonts w:ascii="Calibri" w:hAnsi="Calibri" w:cs="Arial"/>
                <w:sz w:val="18"/>
                <w:szCs w:val="18"/>
              </w:rPr>
              <w:t>026</w:t>
            </w:r>
          </w:p>
        </w:tc>
        <w:tc>
          <w:tcPr>
            <w:tcW w:w="695" w:type="pct"/>
            <w:tcBorders>
              <w:top w:val="nil"/>
              <w:left w:val="nil"/>
              <w:bottom w:val="nil"/>
              <w:right w:val="nil"/>
            </w:tcBorders>
            <w:shd w:val="clear" w:color="auto" w:fill="auto"/>
            <w:vAlign w:val="bottom"/>
          </w:tcPr>
          <w:p w14:paraId="601B2296" w14:textId="77777777" w:rsidR="00AC3C7D" w:rsidRPr="00166751" w:rsidRDefault="00AC3C7D" w:rsidP="00AC3C7D">
            <w:pPr>
              <w:pStyle w:val="TT"/>
              <w:jc w:val="right"/>
              <w:rPr>
                <w:rFonts w:asciiTheme="minorHAnsi" w:hAnsiTheme="minorHAnsi" w:cs="Arial"/>
                <w:sz w:val="18"/>
                <w:szCs w:val="18"/>
                <w:lang w:val="hr-HR"/>
              </w:rPr>
            </w:pPr>
            <w:r w:rsidRPr="00166751">
              <w:rPr>
                <w:rFonts w:ascii="Calibri" w:hAnsi="Calibri" w:cs="Arial"/>
                <w:sz w:val="18"/>
                <w:szCs w:val="18"/>
              </w:rPr>
              <w:t>32,082</w:t>
            </w:r>
          </w:p>
        </w:tc>
        <w:tc>
          <w:tcPr>
            <w:tcW w:w="694" w:type="pct"/>
            <w:tcBorders>
              <w:top w:val="nil"/>
              <w:left w:val="nil"/>
              <w:bottom w:val="nil"/>
              <w:right w:val="nil"/>
            </w:tcBorders>
            <w:shd w:val="clear" w:color="auto" w:fill="auto"/>
            <w:vAlign w:val="bottom"/>
          </w:tcPr>
          <w:p w14:paraId="0C0AB53A" w14:textId="12536D67" w:rsidR="00AC3C7D" w:rsidRPr="00971E2C" w:rsidRDefault="00AC3C7D" w:rsidP="00AC3C7D">
            <w:pPr>
              <w:pStyle w:val="TT"/>
              <w:jc w:val="right"/>
              <w:rPr>
                <w:rFonts w:cs="Arial"/>
                <w:sz w:val="18"/>
                <w:szCs w:val="18"/>
              </w:rPr>
            </w:pPr>
            <w:r w:rsidRPr="00CA4A03">
              <w:rPr>
                <w:rFonts w:ascii="Calibri" w:hAnsi="Calibri" w:cs="Arial"/>
                <w:sz w:val="18"/>
                <w:szCs w:val="18"/>
              </w:rPr>
              <w:t>21</w:t>
            </w:r>
            <w:r>
              <w:rPr>
                <w:rFonts w:ascii="Calibri" w:hAnsi="Calibri" w:cs="Arial"/>
                <w:sz w:val="18"/>
                <w:szCs w:val="18"/>
              </w:rPr>
              <w:t>,</w:t>
            </w:r>
            <w:r w:rsidRPr="00CA4A03">
              <w:rPr>
                <w:rFonts w:ascii="Calibri" w:hAnsi="Calibri" w:cs="Arial"/>
                <w:sz w:val="18"/>
                <w:szCs w:val="18"/>
              </w:rPr>
              <w:t>026</w:t>
            </w:r>
          </w:p>
        </w:tc>
        <w:tc>
          <w:tcPr>
            <w:tcW w:w="694" w:type="pct"/>
            <w:tcBorders>
              <w:top w:val="nil"/>
              <w:left w:val="nil"/>
              <w:bottom w:val="nil"/>
              <w:right w:val="nil"/>
            </w:tcBorders>
            <w:shd w:val="clear" w:color="auto" w:fill="auto"/>
            <w:vAlign w:val="bottom"/>
          </w:tcPr>
          <w:p w14:paraId="11D738A8" w14:textId="77777777" w:rsidR="00AC3C7D" w:rsidRPr="00166751" w:rsidRDefault="00AC3C7D" w:rsidP="00AC3C7D">
            <w:pPr>
              <w:pStyle w:val="TT"/>
              <w:jc w:val="right"/>
              <w:rPr>
                <w:rFonts w:asciiTheme="minorHAnsi" w:hAnsiTheme="minorHAnsi" w:cs="Arial"/>
                <w:sz w:val="18"/>
                <w:szCs w:val="18"/>
                <w:lang w:val="hr-HR"/>
              </w:rPr>
            </w:pPr>
            <w:r w:rsidRPr="00166751">
              <w:rPr>
                <w:rFonts w:ascii="Calibri" w:hAnsi="Calibri" w:cs="Arial"/>
                <w:sz w:val="18"/>
                <w:szCs w:val="18"/>
              </w:rPr>
              <w:t>32,082</w:t>
            </w:r>
          </w:p>
        </w:tc>
      </w:tr>
      <w:tr w:rsidR="00AC3C7D" w:rsidRPr="002159C8" w14:paraId="2BCC9527" w14:textId="77777777" w:rsidTr="005444AA">
        <w:tc>
          <w:tcPr>
            <w:tcW w:w="2222" w:type="pct"/>
          </w:tcPr>
          <w:p w14:paraId="4610DDEA" w14:textId="77777777" w:rsidR="00AC3C7D" w:rsidRPr="00166751" w:rsidRDefault="00AC3C7D" w:rsidP="00AC3C7D">
            <w:pPr>
              <w:tabs>
                <w:tab w:val="right" w:pos="1202"/>
              </w:tabs>
              <w:spacing w:after="0" w:line="300" w:lineRule="exact"/>
              <w:outlineLvl w:val="0"/>
              <w:rPr>
                <w:rFonts w:eastAsia="Times New Roman" w:cs="Arial"/>
                <w:sz w:val="18"/>
                <w:szCs w:val="18"/>
              </w:rPr>
            </w:pPr>
            <w:r w:rsidRPr="00166751">
              <w:rPr>
                <w:rFonts w:eastAsia="Times New Roman" w:cs="Arial"/>
                <w:sz w:val="18"/>
                <w:szCs w:val="18"/>
              </w:rPr>
              <w:t>Issued guarantees in foreign currency</w:t>
            </w:r>
          </w:p>
        </w:tc>
        <w:tc>
          <w:tcPr>
            <w:tcW w:w="694" w:type="pct"/>
            <w:tcBorders>
              <w:top w:val="nil"/>
              <w:left w:val="nil"/>
              <w:bottom w:val="nil"/>
              <w:right w:val="nil"/>
            </w:tcBorders>
            <w:shd w:val="clear" w:color="auto" w:fill="auto"/>
            <w:vAlign w:val="bottom"/>
          </w:tcPr>
          <w:p w14:paraId="101E3B0B" w14:textId="6A088282" w:rsidR="00AC3C7D" w:rsidRPr="00971E2C" w:rsidRDefault="00AC3C7D" w:rsidP="00AC3C7D">
            <w:pPr>
              <w:pStyle w:val="TT"/>
              <w:jc w:val="right"/>
              <w:rPr>
                <w:rFonts w:cs="Arial"/>
                <w:sz w:val="18"/>
                <w:szCs w:val="18"/>
              </w:rPr>
            </w:pPr>
            <w:r w:rsidRPr="00CA4A03">
              <w:rPr>
                <w:rFonts w:ascii="Calibri" w:hAnsi="Calibri" w:cs="Arial"/>
                <w:sz w:val="18"/>
                <w:szCs w:val="18"/>
              </w:rPr>
              <w:t>2</w:t>
            </w:r>
            <w:r>
              <w:rPr>
                <w:rFonts w:ascii="Calibri" w:hAnsi="Calibri" w:cs="Arial"/>
                <w:sz w:val="18"/>
                <w:szCs w:val="18"/>
              </w:rPr>
              <w:t>,</w:t>
            </w:r>
            <w:r w:rsidRPr="00CA4A03">
              <w:rPr>
                <w:rFonts w:ascii="Calibri" w:hAnsi="Calibri" w:cs="Arial"/>
                <w:sz w:val="18"/>
                <w:szCs w:val="18"/>
              </w:rPr>
              <w:t>191</w:t>
            </w:r>
            <w:r>
              <w:rPr>
                <w:rFonts w:ascii="Calibri" w:hAnsi="Calibri" w:cs="Arial"/>
                <w:sz w:val="18"/>
                <w:szCs w:val="18"/>
              </w:rPr>
              <w:t>,</w:t>
            </w:r>
            <w:r w:rsidRPr="00CA4A03">
              <w:rPr>
                <w:rFonts w:ascii="Calibri" w:hAnsi="Calibri" w:cs="Arial"/>
                <w:sz w:val="18"/>
                <w:szCs w:val="18"/>
              </w:rPr>
              <w:t>616</w:t>
            </w:r>
          </w:p>
        </w:tc>
        <w:tc>
          <w:tcPr>
            <w:tcW w:w="695" w:type="pct"/>
            <w:tcBorders>
              <w:top w:val="nil"/>
              <w:left w:val="nil"/>
              <w:bottom w:val="nil"/>
              <w:right w:val="nil"/>
            </w:tcBorders>
            <w:shd w:val="clear" w:color="auto" w:fill="auto"/>
            <w:vAlign w:val="bottom"/>
          </w:tcPr>
          <w:p w14:paraId="72CBD116" w14:textId="77777777" w:rsidR="00AC3C7D" w:rsidRPr="00166751" w:rsidRDefault="00AC3C7D" w:rsidP="00AC3C7D">
            <w:pPr>
              <w:pStyle w:val="TT"/>
              <w:jc w:val="right"/>
              <w:rPr>
                <w:rFonts w:asciiTheme="minorHAnsi" w:hAnsiTheme="minorHAnsi" w:cs="Arial"/>
                <w:sz w:val="18"/>
                <w:szCs w:val="18"/>
                <w:lang w:val="hr-HR"/>
              </w:rPr>
            </w:pPr>
            <w:r w:rsidRPr="00166751">
              <w:rPr>
                <w:rFonts w:ascii="Calibri" w:hAnsi="Calibri" w:cs="Arial"/>
                <w:sz w:val="18"/>
                <w:szCs w:val="18"/>
              </w:rPr>
              <w:t>1,982,969</w:t>
            </w:r>
          </w:p>
        </w:tc>
        <w:tc>
          <w:tcPr>
            <w:tcW w:w="694" w:type="pct"/>
            <w:tcBorders>
              <w:top w:val="nil"/>
              <w:left w:val="nil"/>
              <w:bottom w:val="nil"/>
              <w:right w:val="nil"/>
            </w:tcBorders>
            <w:shd w:val="clear" w:color="auto" w:fill="auto"/>
            <w:vAlign w:val="bottom"/>
          </w:tcPr>
          <w:p w14:paraId="10212CC2" w14:textId="71F1BE39" w:rsidR="00AC3C7D" w:rsidRPr="00971E2C" w:rsidRDefault="00AC3C7D" w:rsidP="00AC3C7D">
            <w:pPr>
              <w:pStyle w:val="TT"/>
              <w:jc w:val="right"/>
              <w:rPr>
                <w:rFonts w:cs="Arial"/>
                <w:sz w:val="18"/>
                <w:szCs w:val="18"/>
              </w:rPr>
            </w:pPr>
            <w:r w:rsidRPr="00CA4A03">
              <w:rPr>
                <w:rFonts w:ascii="Calibri" w:hAnsi="Calibri" w:cs="Arial"/>
                <w:sz w:val="18"/>
                <w:szCs w:val="18"/>
              </w:rPr>
              <w:t>2</w:t>
            </w:r>
            <w:r>
              <w:rPr>
                <w:rFonts w:ascii="Calibri" w:hAnsi="Calibri" w:cs="Arial"/>
                <w:sz w:val="18"/>
                <w:szCs w:val="18"/>
              </w:rPr>
              <w:t>,</w:t>
            </w:r>
            <w:r w:rsidRPr="00CA4A03">
              <w:rPr>
                <w:rFonts w:ascii="Calibri" w:hAnsi="Calibri" w:cs="Arial"/>
                <w:sz w:val="18"/>
                <w:szCs w:val="18"/>
              </w:rPr>
              <w:t>191</w:t>
            </w:r>
            <w:r>
              <w:rPr>
                <w:rFonts w:ascii="Calibri" w:hAnsi="Calibri" w:cs="Arial"/>
                <w:sz w:val="18"/>
                <w:szCs w:val="18"/>
              </w:rPr>
              <w:t>,</w:t>
            </w:r>
            <w:r w:rsidRPr="00CA4A03">
              <w:rPr>
                <w:rFonts w:ascii="Calibri" w:hAnsi="Calibri" w:cs="Arial"/>
                <w:sz w:val="18"/>
                <w:szCs w:val="18"/>
              </w:rPr>
              <w:t>616</w:t>
            </w:r>
          </w:p>
        </w:tc>
        <w:tc>
          <w:tcPr>
            <w:tcW w:w="694" w:type="pct"/>
            <w:tcBorders>
              <w:top w:val="nil"/>
              <w:left w:val="nil"/>
              <w:bottom w:val="nil"/>
              <w:right w:val="nil"/>
            </w:tcBorders>
            <w:shd w:val="clear" w:color="auto" w:fill="auto"/>
            <w:vAlign w:val="bottom"/>
          </w:tcPr>
          <w:p w14:paraId="63BEDA61" w14:textId="77777777" w:rsidR="00AC3C7D" w:rsidRPr="00166751" w:rsidRDefault="00AC3C7D" w:rsidP="00AC3C7D">
            <w:pPr>
              <w:pStyle w:val="TT"/>
              <w:jc w:val="right"/>
              <w:rPr>
                <w:rFonts w:asciiTheme="minorHAnsi" w:hAnsiTheme="minorHAnsi" w:cs="Arial"/>
                <w:sz w:val="18"/>
                <w:szCs w:val="18"/>
                <w:lang w:val="hr-HR"/>
              </w:rPr>
            </w:pPr>
            <w:r w:rsidRPr="00166751">
              <w:rPr>
                <w:rFonts w:ascii="Calibri" w:hAnsi="Calibri" w:cs="Arial"/>
                <w:sz w:val="18"/>
                <w:szCs w:val="18"/>
              </w:rPr>
              <w:t>1,982,969</w:t>
            </w:r>
          </w:p>
        </w:tc>
      </w:tr>
      <w:tr w:rsidR="00AC3C7D" w:rsidRPr="002159C8" w14:paraId="0A66975B" w14:textId="77777777" w:rsidTr="005444AA">
        <w:tc>
          <w:tcPr>
            <w:tcW w:w="2222" w:type="pct"/>
          </w:tcPr>
          <w:p w14:paraId="6282D1CE" w14:textId="77777777" w:rsidR="00AC3C7D" w:rsidRPr="00166751" w:rsidRDefault="00AC3C7D" w:rsidP="00AC3C7D">
            <w:pPr>
              <w:tabs>
                <w:tab w:val="right" w:pos="1202"/>
              </w:tabs>
              <w:spacing w:after="0" w:line="300" w:lineRule="exact"/>
              <w:outlineLvl w:val="0"/>
              <w:rPr>
                <w:rFonts w:eastAsia="Times New Roman" w:cs="Arial"/>
                <w:sz w:val="18"/>
                <w:szCs w:val="18"/>
              </w:rPr>
            </w:pPr>
            <w:r w:rsidRPr="00166751">
              <w:rPr>
                <w:rFonts w:eastAsia="Times New Roman" w:cs="Arial"/>
                <w:sz w:val="18"/>
                <w:szCs w:val="18"/>
              </w:rPr>
              <w:t>Open letters of credit in foreign currency</w:t>
            </w:r>
          </w:p>
        </w:tc>
        <w:tc>
          <w:tcPr>
            <w:tcW w:w="694" w:type="pct"/>
            <w:tcBorders>
              <w:top w:val="nil"/>
              <w:left w:val="nil"/>
              <w:bottom w:val="nil"/>
              <w:right w:val="nil"/>
            </w:tcBorders>
            <w:shd w:val="clear" w:color="auto" w:fill="auto"/>
            <w:vAlign w:val="bottom"/>
          </w:tcPr>
          <w:p w14:paraId="4FB7C778" w14:textId="58CCC45E" w:rsidR="00AC3C7D" w:rsidRPr="00971E2C" w:rsidRDefault="00AC3C7D" w:rsidP="00AC3C7D">
            <w:pPr>
              <w:pStyle w:val="TT"/>
              <w:jc w:val="right"/>
              <w:rPr>
                <w:rFonts w:cs="Arial"/>
                <w:sz w:val="18"/>
                <w:szCs w:val="18"/>
              </w:rPr>
            </w:pPr>
            <w:r w:rsidRPr="00CA4A03">
              <w:rPr>
                <w:rFonts w:ascii="Calibri" w:hAnsi="Calibri" w:cs="Arial"/>
                <w:sz w:val="18"/>
                <w:szCs w:val="18"/>
              </w:rPr>
              <w:t>990</w:t>
            </w:r>
          </w:p>
        </w:tc>
        <w:tc>
          <w:tcPr>
            <w:tcW w:w="695" w:type="pct"/>
            <w:tcBorders>
              <w:top w:val="nil"/>
              <w:left w:val="nil"/>
              <w:bottom w:val="nil"/>
              <w:right w:val="nil"/>
            </w:tcBorders>
            <w:shd w:val="clear" w:color="auto" w:fill="auto"/>
            <w:vAlign w:val="bottom"/>
          </w:tcPr>
          <w:p w14:paraId="586C1531" w14:textId="77777777" w:rsidR="00AC3C7D" w:rsidRPr="00166751" w:rsidRDefault="00AC3C7D" w:rsidP="00AC3C7D">
            <w:pPr>
              <w:pStyle w:val="TT"/>
              <w:jc w:val="right"/>
              <w:rPr>
                <w:rFonts w:ascii="Calibri" w:hAnsi="Calibri" w:cs="Arial"/>
                <w:sz w:val="18"/>
                <w:szCs w:val="18"/>
              </w:rPr>
            </w:pPr>
            <w:r w:rsidRPr="00166751">
              <w:rPr>
                <w:rFonts w:ascii="Calibri" w:hAnsi="Calibri" w:cs="Arial"/>
                <w:sz w:val="18"/>
                <w:szCs w:val="18"/>
              </w:rPr>
              <w:t>-</w:t>
            </w:r>
          </w:p>
        </w:tc>
        <w:tc>
          <w:tcPr>
            <w:tcW w:w="694" w:type="pct"/>
            <w:tcBorders>
              <w:top w:val="nil"/>
              <w:left w:val="nil"/>
              <w:bottom w:val="nil"/>
              <w:right w:val="nil"/>
            </w:tcBorders>
            <w:shd w:val="clear" w:color="auto" w:fill="auto"/>
            <w:vAlign w:val="bottom"/>
          </w:tcPr>
          <w:p w14:paraId="4575E765" w14:textId="356404EC" w:rsidR="00AC3C7D" w:rsidRPr="00971E2C" w:rsidRDefault="00AC3C7D" w:rsidP="00AC3C7D">
            <w:pPr>
              <w:pStyle w:val="TT"/>
              <w:jc w:val="right"/>
              <w:rPr>
                <w:rFonts w:cs="Arial"/>
                <w:sz w:val="18"/>
                <w:szCs w:val="18"/>
              </w:rPr>
            </w:pPr>
            <w:r w:rsidRPr="00CA4A03">
              <w:rPr>
                <w:rFonts w:ascii="Calibri" w:hAnsi="Calibri" w:cs="Arial"/>
                <w:sz w:val="18"/>
                <w:szCs w:val="18"/>
              </w:rPr>
              <w:t>990</w:t>
            </w:r>
          </w:p>
        </w:tc>
        <w:tc>
          <w:tcPr>
            <w:tcW w:w="694" w:type="pct"/>
            <w:tcBorders>
              <w:top w:val="nil"/>
              <w:left w:val="nil"/>
              <w:bottom w:val="nil"/>
              <w:right w:val="nil"/>
            </w:tcBorders>
            <w:shd w:val="clear" w:color="auto" w:fill="auto"/>
            <w:vAlign w:val="bottom"/>
          </w:tcPr>
          <w:p w14:paraId="573AEB6D" w14:textId="77777777" w:rsidR="00AC3C7D" w:rsidRPr="00166751" w:rsidRDefault="00AC3C7D" w:rsidP="00AC3C7D">
            <w:pPr>
              <w:pStyle w:val="TT"/>
              <w:jc w:val="right"/>
              <w:rPr>
                <w:rFonts w:ascii="Calibri" w:hAnsi="Calibri" w:cs="Arial"/>
                <w:sz w:val="18"/>
                <w:szCs w:val="18"/>
              </w:rPr>
            </w:pPr>
            <w:r w:rsidRPr="00166751">
              <w:rPr>
                <w:rFonts w:ascii="Calibri" w:hAnsi="Calibri" w:cs="Arial"/>
                <w:sz w:val="18"/>
                <w:szCs w:val="18"/>
              </w:rPr>
              <w:t>-</w:t>
            </w:r>
          </w:p>
        </w:tc>
      </w:tr>
      <w:tr w:rsidR="00AC3C7D" w:rsidRPr="002159C8" w14:paraId="68ADAD9A" w14:textId="77777777" w:rsidTr="005444AA">
        <w:tc>
          <w:tcPr>
            <w:tcW w:w="2222" w:type="pct"/>
          </w:tcPr>
          <w:p w14:paraId="1CC940F9" w14:textId="77777777" w:rsidR="00AC3C7D" w:rsidRPr="00166751" w:rsidRDefault="00AC3C7D" w:rsidP="00AC3C7D">
            <w:pPr>
              <w:tabs>
                <w:tab w:val="right" w:pos="1202"/>
              </w:tabs>
              <w:spacing w:after="0" w:line="300" w:lineRule="exact"/>
              <w:outlineLvl w:val="0"/>
              <w:rPr>
                <w:rFonts w:eastAsia="Times New Roman" w:cs="Arial"/>
                <w:sz w:val="18"/>
                <w:szCs w:val="18"/>
              </w:rPr>
            </w:pPr>
            <w:r w:rsidRPr="00166751">
              <w:rPr>
                <w:rFonts w:eastAsia="Times New Roman" w:cs="Arial"/>
                <w:sz w:val="18"/>
                <w:szCs w:val="18"/>
              </w:rPr>
              <w:t>Undrawn loans</w:t>
            </w:r>
          </w:p>
        </w:tc>
        <w:tc>
          <w:tcPr>
            <w:tcW w:w="694" w:type="pct"/>
            <w:tcBorders>
              <w:top w:val="nil"/>
              <w:left w:val="nil"/>
              <w:bottom w:val="nil"/>
              <w:right w:val="nil"/>
            </w:tcBorders>
            <w:shd w:val="clear" w:color="auto" w:fill="auto"/>
            <w:vAlign w:val="bottom"/>
          </w:tcPr>
          <w:p w14:paraId="6FCE4BCC" w14:textId="71981CC5" w:rsidR="00AC3C7D" w:rsidRPr="00971E2C" w:rsidDel="00942ACF" w:rsidRDefault="00AC3C7D" w:rsidP="00AC3C7D">
            <w:pPr>
              <w:pStyle w:val="TT"/>
              <w:jc w:val="right"/>
              <w:rPr>
                <w:rFonts w:cs="Arial"/>
                <w:sz w:val="18"/>
                <w:szCs w:val="18"/>
              </w:rPr>
            </w:pPr>
            <w:r w:rsidRPr="00CA4A03">
              <w:rPr>
                <w:rFonts w:ascii="Calibri" w:hAnsi="Calibri" w:cs="Arial"/>
                <w:sz w:val="18"/>
                <w:szCs w:val="18"/>
              </w:rPr>
              <w:t>3</w:t>
            </w:r>
            <w:r>
              <w:rPr>
                <w:rFonts w:ascii="Calibri" w:hAnsi="Calibri" w:cs="Arial"/>
                <w:sz w:val="18"/>
                <w:szCs w:val="18"/>
              </w:rPr>
              <w:t>,</w:t>
            </w:r>
            <w:r w:rsidRPr="00CA4A03">
              <w:rPr>
                <w:rFonts w:ascii="Calibri" w:hAnsi="Calibri" w:cs="Arial"/>
                <w:sz w:val="18"/>
                <w:szCs w:val="18"/>
              </w:rPr>
              <w:t>336</w:t>
            </w:r>
            <w:r>
              <w:rPr>
                <w:rFonts w:ascii="Calibri" w:hAnsi="Calibri" w:cs="Arial"/>
                <w:sz w:val="18"/>
                <w:szCs w:val="18"/>
              </w:rPr>
              <w:t>,</w:t>
            </w:r>
            <w:r w:rsidRPr="00CA4A03">
              <w:rPr>
                <w:rFonts w:ascii="Calibri" w:hAnsi="Calibri" w:cs="Arial"/>
                <w:sz w:val="18"/>
                <w:szCs w:val="18"/>
              </w:rPr>
              <w:t>279</w:t>
            </w:r>
          </w:p>
        </w:tc>
        <w:tc>
          <w:tcPr>
            <w:tcW w:w="695" w:type="pct"/>
            <w:tcBorders>
              <w:top w:val="nil"/>
              <w:left w:val="nil"/>
              <w:bottom w:val="nil"/>
              <w:right w:val="nil"/>
            </w:tcBorders>
            <w:shd w:val="clear" w:color="auto" w:fill="auto"/>
            <w:vAlign w:val="bottom"/>
          </w:tcPr>
          <w:p w14:paraId="583ECBEA" w14:textId="77777777" w:rsidR="00AC3C7D" w:rsidRPr="00166751" w:rsidRDefault="00AC3C7D" w:rsidP="00AC3C7D">
            <w:pPr>
              <w:pStyle w:val="TT"/>
              <w:jc w:val="right"/>
              <w:rPr>
                <w:rFonts w:asciiTheme="minorHAnsi" w:hAnsiTheme="minorHAnsi" w:cs="Arial"/>
                <w:sz w:val="18"/>
                <w:szCs w:val="18"/>
                <w:lang w:val="hr-HR"/>
              </w:rPr>
            </w:pPr>
            <w:r w:rsidRPr="00166751">
              <w:rPr>
                <w:rFonts w:ascii="Calibri" w:hAnsi="Calibri" w:cs="Arial"/>
                <w:sz w:val="18"/>
                <w:szCs w:val="18"/>
              </w:rPr>
              <w:t>3,928,177</w:t>
            </w:r>
          </w:p>
        </w:tc>
        <w:tc>
          <w:tcPr>
            <w:tcW w:w="694" w:type="pct"/>
            <w:tcBorders>
              <w:top w:val="nil"/>
              <w:left w:val="nil"/>
              <w:bottom w:val="nil"/>
              <w:right w:val="nil"/>
            </w:tcBorders>
            <w:shd w:val="clear" w:color="auto" w:fill="auto"/>
            <w:vAlign w:val="bottom"/>
          </w:tcPr>
          <w:p w14:paraId="7C21C51E" w14:textId="4FF0CED7" w:rsidR="00AC3C7D" w:rsidRPr="00971E2C" w:rsidDel="00942ACF" w:rsidRDefault="00AC3C7D" w:rsidP="00AC3C7D">
            <w:pPr>
              <w:pStyle w:val="TT"/>
              <w:jc w:val="right"/>
              <w:rPr>
                <w:rFonts w:cs="Arial"/>
                <w:sz w:val="18"/>
                <w:szCs w:val="18"/>
              </w:rPr>
            </w:pPr>
            <w:r w:rsidRPr="00CA4A03">
              <w:rPr>
                <w:rFonts w:ascii="Calibri" w:hAnsi="Calibri" w:cs="Arial"/>
                <w:sz w:val="18"/>
                <w:szCs w:val="18"/>
              </w:rPr>
              <w:t>3</w:t>
            </w:r>
            <w:r>
              <w:rPr>
                <w:rFonts w:ascii="Calibri" w:hAnsi="Calibri" w:cs="Arial"/>
                <w:sz w:val="18"/>
                <w:szCs w:val="18"/>
              </w:rPr>
              <w:t>,</w:t>
            </w:r>
            <w:r w:rsidRPr="00CA4A03">
              <w:rPr>
                <w:rFonts w:ascii="Calibri" w:hAnsi="Calibri" w:cs="Arial"/>
                <w:sz w:val="18"/>
                <w:szCs w:val="18"/>
              </w:rPr>
              <w:t>336</w:t>
            </w:r>
            <w:r>
              <w:rPr>
                <w:rFonts w:ascii="Calibri" w:hAnsi="Calibri" w:cs="Arial"/>
                <w:sz w:val="18"/>
                <w:szCs w:val="18"/>
              </w:rPr>
              <w:t>,</w:t>
            </w:r>
            <w:r w:rsidRPr="00CA4A03">
              <w:rPr>
                <w:rFonts w:ascii="Calibri" w:hAnsi="Calibri" w:cs="Arial"/>
                <w:sz w:val="18"/>
                <w:szCs w:val="18"/>
              </w:rPr>
              <w:t>279</w:t>
            </w:r>
          </w:p>
        </w:tc>
        <w:tc>
          <w:tcPr>
            <w:tcW w:w="694" w:type="pct"/>
            <w:tcBorders>
              <w:top w:val="nil"/>
              <w:left w:val="nil"/>
              <w:bottom w:val="nil"/>
              <w:right w:val="nil"/>
            </w:tcBorders>
            <w:shd w:val="clear" w:color="auto" w:fill="auto"/>
            <w:vAlign w:val="bottom"/>
          </w:tcPr>
          <w:p w14:paraId="36940C6E" w14:textId="77777777" w:rsidR="00AC3C7D" w:rsidRPr="00166751" w:rsidRDefault="00AC3C7D" w:rsidP="00AC3C7D">
            <w:pPr>
              <w:pStyle w:val="TT"/>
              <w:jc w:val="right"/>
              <w:rPr>
                <w:rFonts w:asciiTheme="minorHAnsi" w:hAnsiTheme="minorHAnsi" w:cs="Arial"/>
                <w:sz w:val="18"/>
                <w:szCs w:val="18"/>
                <w:lang w:val="hr-HR"/>
              </w:rPr>
            </w:pPr>
            <w:r w:rsidRPr="00166751">
              <w:rPr>
                <w:rFonts w:ascii="Calibri" w:hAnsi="Calibri" w:cs="Arial"/>
                <w:sz w:val="18"/>
                <w:szCs w:val="18"/>
              </w:rPr>
              <w:t>3,928,177</w:t>
            </w:r>
          </w:p>
        </w:tc>
      </w:tr>
      <w:tr w:rsidR="00AC3C7D" w:rsidRPr="002159C8" w14:paraId="5436EC9D" w14:textId="77777777" w:rsidTr="005444AA">
        <w:tc>
          <w:tcPr>
            <w:tcW w:w="2222" w:type="pct"/>
          </w:tcPr>
          <w:p w14:paraId="69E9DE62" w14:textId="77777777" w:rsidR="00AC3C7D" w:rsidRPr="00166751" w:rsidRDefault="00AC3C7D" w:rsidP="00AC3C7D">
            <w:pPr>
              <w:tabs>
                <w:tab w:val="right" w:pos="1202"/>
              </w:tabs>
              <w:spacing w:after="0" w:line="300" w:lineRule="exact"/>
              <w:outlineLvl w:val="0"/>
              <w:rPr>
                <w:rFonts w:eastAsia="Times New Roman" w:cs="Arial"/>
                <w:bCs/>
                <w:color w:val="FF0000"/>
                <w:sz w:val="18"/>
                <w:szCs w:val="18"/>
              </w:rPr>
            </w:pPr>
            <w:r w:rsidRPr="00166751">
              <w:rPr>
                <w:rFonts w:eastAsia="Times New Roman" w:cs="Arial"/>
                <w:bCs/>
                <w:sz w:val="18"/>
                <w:szCs w:val="18"/>
              </w:rPr>
              <w:t>Other irrevocable contingent liabilities</w:t>
            </w:r>
          </w:p>
        </w:tc>
        <w:tc>
          <w:tcPr>
            <w:tcW w:w="694" w:type="pct"/>
            <w:tcBorders>
              <w:top w:val="nil"/>
              <w:left w:val="nil"/>
              <w:bottom w:val="single" w:sz="4" w:space="0" w:color="auto"/>
              <w:right w:val="nil"/>
            </w:tcBorders>
            <w:shd w:val="clear" w:color="auto" w:fill="auto"/>
            <w:vAlign w:val="bottom"/>
          </w:tcPr>
          <w:p w14:paraId="4C0555F4" w14:textId="643BF953" w:rsidR="00AC3C7D" w:rsidRPr="00166751" w:rsidRDefault="00AC3C7D" w:rsidP="00AC3C7D">
            <w:pPr>
              <w:pStyle w:val="TT"/>
              <w:jc w:val="right"/>
              <w:rPr>
                <w:rFonts w:cs="Arial"/>
                <w:sz w:val="18"/>
                <w:szCs w:val="18"/>
              </w:rPr>
            </w:pPr>
            <w:r>
              <w:rPr>
                <w:rFonts w:ascii="Calibri" w:hAnsi="Calibri" w:cs="Arial"/>
                <w:sz w:val="18"/>
                <w:szCs w:val="18"/>
              </w:rPr>
              <w:t>335</w:t>
            </w:r>
          </w:p>
        </w:tc>
        <w:tc>
          <w:tcPr>
            <w:tcW w:w="695" w:type="pct"/>
            <w:tcBorders>
              <w:top w:val="nil"/>
              <w:left w:val="nil"/>
              <w:bottom w:val="single" w:sz="4" w:space="0" w:color="auto"/>
              <w:right w:val="nil"/>
            </w:tcBorders>
            <w:shd w:val="clear" w:color="auto" w:fill="auto"/>
            <w:vAlign w:val="bottom"/>
          </w:tcPr>
          <w:p w14:paraId="03BF5141" w14:textId="77777777" w:rsidR="00AC3C7D" w:rsidRPr="00166751" w:rsidRDefault="00AC3C7D" w:rsidP="00AC3C7D">
            <w:pPr>
              <w:pStyle w:val="TT"/>
              <w:jc w:val="right"/>
              <w:rPr>
                <w:rFonts w:asciiTheme="minorHAnsi" w:hAnsiTheme="minorHAnsi" w:cs="Arial"/>
                <w:sz w:val="18"/>
                <w:szCs w:val="18"/>
                <w:lang w:val="hr-HR"/>
              </w:rPr>
            </w:pPr>
            <w:r w:rsidRPr="00166751">
              <w:rPr>
                <w:rFonts w:ascii="Calibri" w:hAnsi="Calibri" w:cs="Arial"/>
                <w:sz w:val="18"/>
                <w:szCs w:val="18"/>
              </w:rPr>
              <w:t>335</w:t>
            </w:r>
          </w:p>
        </w:tc>
        <w:tc>
          <w:tcPr>
            <w:tcW w:w="694" w:type="pct"/>
            <w:tcBorders>
              <w:top w:val="nil"/>
              <w:left w:val="nil"/>
              <w:bottom w:val="single" w:sz="4" w:space="0" w:color="auto"/>
              <w:right w:val="nil"/>
            </w:tcBorders>
            <w:shd w:val="clear" w:color="auto" w:fill="auto"/>
            <w:vAlign w:val="bottom"/>
          </w:tcPr>
          <w:p w14:paraId="5D9CD565" w14:textId="6BD8E294" w:rsidR="00AC3C7D" w:rsidRPr="00166751" w:rsidRDefault="00AC3C7D" w:rsidP="00AC3C7D">
            <w:pPr>
              <w:pStyle w:val="TT"/>
              <w:jc w:val="right"/>
              <w:rPr>
                <w:rFonts w:cs="Arial"/>
                <w:sz w:val="18"/>
                <w:szCs w:val="18"/>
              </w:rPr>
            </w:pPr>
            <w:r>
              <w:rPr>
                <w:rFonts w:ascii="Calibri" w:hAnsi="Calibri" w:cs="Arial"/>
                <w:sz w:val="18"/>
                <w:szCs w:val="18"/>
              </w:rPr>
              <w:t>335</w:t>
            </w:r>
          </w:p>
        </w:tc>
        <w:tc>
          <w:tcPr>
            <w:tcW w:w="694" w:type="pct"/>
            <w:tcBorders>
              <w:top w:val="nil"/>
              <w:left w:val="nil"/>
              <w:bottom w:val="single" w:sz="4" w:space="0" w:color="auto"/>
              <w:right w:val="nil"/>
            </w:tcBorders>
            <w:shd w:val="clear" w:color="auto" w:fill="auto"/>
            <w:vAlign w:val="bottom"/>
          </w:tcPr>
          <w:p w14:paraId="64B37907" w14:textId="77777777" w:rsidR="00AC3C7D" w:rsidRPr="00166751" w:rsidRDefault="00AC3C7D" w:rsidP="00AC3C7D">
            <w:pPr>
              <w:pStyle w:val="TT"/>
              <w:jc w:val="right"/>
              <w:rPr>
                <w:rFonts w:asciiTheme="minorHAnsi" w:hAnsiTheme="minorHAnsi" w:cs="Arial"/>
                <w:sz w:val="18"/>
                <w:szCs w:val="18"/>
                <w:lang w:val="hr-HR"/>
              </w:rPr>
            </w:pPr>
            <w:r w:rsidRPr="00166751">
              <w:rPr>
                <w:rFonts w:ascii="Calibri" w:hAnsi="Calibri" w:cs="Arial"/>
                <w:sz w:val="18"/>
                <w:szCs w:val="18"/>
              </w:rPr>
              <w:t>335</w:t>
            </w:r>
          </w:p>
        </w:tc>
      </w:tr>
      <w:tr w:rsidR="000B2C7A" w:rsidRPr="002159C8" w14:paraId="1DFCB858" w14:textId="77777777" w:rsidTr="00166751">
        <w:tc>
          <w:tcPr>
            <w:tcW w:w="2222" w:type="pct"/>
          </w:tcPr>
          <w:p w14:paraId="5A203287" w14:textId="77777777" w:rsidR="000B2C7A" w:rsidRPr="00166751" w:rsidRDefault="000B2C7A" w:rsidP="000B2C7A">
            <w:pPr>
              <w:tabs>
                <w:tab w:val="right" w:pos="1202"/>
              </w:tabs>
              <w:spacing w:after="0" w:line="300" w:lineRule="exact"/>
              <w:outlineLvl w:val="0"/>
              <w:rPr>
                <w:rFonts w:eastAsia="Times New Roman" w:cs="Arial"/>
                <w:b/>
                <w:bCs/>
                <w:sz w:val="18"/>
                <w:szCs w:val="18"/>
              </w:rPr>
            </w:pPr>
            <w:r w:rsidRPr="00166751">
              <w:rPr>
                <w:rFonts w:eastAsia="Times New Roman" w:cs="Arial"/>
                <w:b/>
                <w:bCs/>
                <w:sz w:val="18"/>
                <w:szCs w:val="18"/>
              </w:rPr>
              <w:t>Total</w:t>
            </w:r>
          </w:p>
        </w:tc>
        <w:tc>
          <w:tcPr>
            <w:tcW w:w="694" w:type="pct"/>
            <w:tcBorders>
              <w:top w:val="single" w:sz="4" w:space="0" w:color="auto"/>
              <w:bottom w:val="single" w:sz="12" w:space="0" w:color="auto"/>
            </w:tcBorders>
            <w:vAlign w:val="bottom"/>
          </w:tcPr>
          <w:p w14:paraId="203F49AD" w14:textId="7A794A83" w:rsidR="000B2C7A" w:rsidRPr="00166751" w:rsidRDefault="00AC3C7D" w:rsidP="005444AA">
            <w:pPr>
              <w:pStyle w:val="Tot"/>
              <w:jc w:val="right"/>
              <w:rPr>
                <w:rFonts w:cs="Arial"/>
                <w:b/>
                <w:sz w:val="18"/>
                <w:szCs w:val="18"/>
              </w:rPr>
            </w:pPr>
            <w:r w:rsidRPr="00AC3C7D">
              <w:rPr>
                <w:rFonts w:asciiTheme="minorHAnsi" w:hAnsiTheme="minorHAnsi" w:cs="Arial"/>
                <w:b/>
                <w:bCs/>
                <w:sz w:val="18"/>
                <w:szCs w:val="18"/>
                <w:lang w:val="hr-HR"/>
              </w:rPr>
              <w:t>5,550,246</w:t>
            </w:r>
          </w:p>
        </w:tc>
        <w:tc>
          <w:tcPr>
            <w:tcW w:w="695" w:type="pct"/>
            <w:tcBorders>
              <w:top w:val="single" w:sz="4" w:space="0" w:color="auto"/>
              <w:bottom w:val="single" w:sz="12" w:space="0" w:color="auto"/>
            </w:tcBorders>
            <w:vAlign w:val="bottom"/>
          </w:tcPr>
          <w:p w14:paraId="36FA2327" w14:textId="77777777" w:rsidR="000B2C7A" w:rsidRPr="00166751" w:rsidRDefault="000B2C7A" w:rsidP="000B2C7A">
            <w:pPr>
              <w:pStyle w:val="Tot"/>
              <w:jc w:val="right"/>
              <w:rPr>
                <w:rFonts w:asciiTheme="minorHAnsi" w:hAnsiTheme="minorHAnsi" w:cs="Arial"/>
                <w:b/>
                <w:bCs/>
                <w:sz w:val="18"/>
                <w:szCs w:val="18"/>
                <w:lang w:val="hr-HR"/>
              </w:rPr>
            </w:pPr>
            <w:r w:rsidRPr="00166751">
              <w:rPr>
                <w:rFonts w:asciiTheme="minorHAnsi" w:hAnsiTheme="minorHAnsi" w:cs="Arial"/>
                <w:b/>
                <w:bCs/>
                <w:sz w:val="18"/>
                <w:szCs w:val="18"/>
                <w:lang w:val="hr-HR"/>
              </w:rPr>
              <w:t>5,943,563</w:t>
            </w:r>
          </w:p>
        </w:tc>
        <w:tc>
          <w:tcPr>
            <w:tcW w:w="694" w:type="pct"/>
            <w:tcBorders>
              <w:top w:val="single" w:sz="4" w:space="0" w:color="auto"/>
              <w:bottom w:val="single" w:sz="12" w:space="0" w:color="auto"/>
            </w:tcBorders>
            <w:vAlign w:val="bottom"/>
          </w:tcPr>
          <w:p w14:paraId="35235693" w14:textId="1A2C8272" w:rsidR="000B2C7A" w:rsidRPr="005444AA" w:rsidRDefault="00AC3C7D" w:rsidP="005444AA">
            <w:pPr>
              <w:pStyle w:val="Tot"/>
              <w:jc w:val="right"/>
              <w:rPr>
                <w:rFonts w:asciiTheme="minorHAnsi" w:hAnsiTheme="minorHAnsi" w:cs="Arial"/>
                <w:b/>
                <w:bCs/>
                <w:sz w:val="18"/>
                <w:szCs w:val="18"/>
                <w:lang w:val="hr-HR"/>
              </w:rPr>
            </w:pPr>
            <w:r w:rsidRPr="00AC3C7D">
              <w:rPr>
                <w:rFonts w:asciiTheme="minorHAnsi" w:hAnsiTheme="minorHAnsi" w:cs="Arial"/>
                <w:b/>
                <w:bCs/>
                <w:sz w:val="18"/>
                <w:szCs w:val="18"/>
                <w:lang w:val="hr-HR"/>
              </w:rPr>
              <w:t>5,550,246</w:t>
            </w:r>
          </w:p>
        </w:tc>
        <w:tc>
          <w:tcPr>
            <w:tcW w:w="694" w:type="pct"/>
            <w:tcBorders>
              <w:top w:val="single" w:sz="4" w:space="0" w:color="auto"/>
              <w:bottom w:val="single" w:sz="12" w:space="0" w:color="auto"/>
            </w:tcBorders>
            <w:vAlign w:val="bottom"/>
          </w:tcPr>
          <w:p w14:paraId="27BD2337" w14:textId="77777777" w:rsidR="000B2C7A" w:rsidRPr="00166751" w:rsidRDefault="000B2C7A" w:rsidP="000B2C7A">
            <w:pPr>
              <w:spacing w:after="0" w:line="280" w:lineRule="exact"/>
              <w:jc w:val="right"/>
              <w:rPr>
                <w:rFonts w:cs="Arial"/>
                <w:b/>
                <w:sz w:val="18"/>
                <w:szCs w:val="18"/>
              </w:rPr>
            </w:pPr>
            <w:r w:rsidRPr="00166751">
              <w:rPr>
                <w:rFonts w:cs="Arial"/>
                <w:b/>
                <w:sz w:val="18"/>
                <w:szCs w:val="18"/>
              </w:rPr>
              <w:t>5,943,563</w:t>
            </w:r>
          </w:p>
        </w:tc>
      </w:tr>
      <w:tr w:rsidR="000B2C7A" w:rsidRPr="002159C8" w14:paraId="4EC7A8DA" w14:textId="77777777" w:rsidTr="009702B0">
        <w:tc>
          <w:tcPr>
            <w:tcW w:w="2222" w:type="pct"/>
          </w:tcPr>
          <w:p w14:paraId="0338C6C3" w14:textId="77777777" w:rsidR="000B2C7A" w:rsidRPr="00166751" w:rsidRDefault="000B2C7A" w:rsidP="000B2C7A">
            <w:pPr>
              <w:tabs>
                <w:tab w:val="right" w:pos="1202"/>
              </w:tabs>
              <w:spacing w:after="0" w:line="300" w:lineRule="exact"/>
              <w:outlineLvl w:val="0"/>
              <w:rPr>
                <w:rFonts w:eastAsia="Times New Roman" w:cs="Arial"/>
                <w:b/>
                <w:bCs/>
                <w:sz w:val="18"/>
                <w:szCs w:val="18"/>
              </w:rPr>
            </w:pPr>
            <w:r w:rsidRPr="00166751">
              <w:rPr>
                <w:rFonts w:eastAsia="Times New Roman" w:cs="Arial"/>
                <w:b/>
                <w:bCs/>
                <w:sz w:val="18"/>
                <w:szCs w:val="18"/>
              </w:rPr>
              <w:t>Total credit risk exposure</w:t>
            </w:r>
          </w:p>
        </w:tc>
        <w:tc>
          <w:tcPr>
            <w:tcW w:w="694" w:type="pct"/>
            <w:tcBorders>
              <w:top w:val="single" w:sz="12" w:space="0" w:color="auto"/>
              <w:bottom w:val="single" w:sz="12" w:space="0" w:color="auto"/>
            </w:tcBorders>
            <w:vAlign w:val="bottom"/>
          </w:tcPr>
          <w:p w14:paraId="342DE28F" w14:textId="389516D2" w:rsidR="000B2C7A" w:rsidRPr="00166751" w:rsidRDefault="00AC3C7D" w:rsidP="000B2C7A">
            <w:pPr>
              <w:spacing w:after="0" w:line="280" w:lineRule="exact"/>
              <w:jc w:val="right"/>
              <w:rPr>
                <w:rFonts w:cs="Arial"/>
                <w:b/>
                <w:sz w:val="18"/>
                <w:szCs w:val="18"/>
              </w:rPr>
            </w:pPr>
            <w:r w:rsidRPr="00AC3C7D">
              <w:rPr>
                <w:rFonts w:asciiTheme="minorHAnsi" w:hAnsiTheme="minorHAnsi" w:cs="Arial"/>
                <w:b/>
                <w:bCs/>
                <w:sz w:val="18"/>
                <w:szCs w:val="18"/>
                <w:lang w:val="hr-HR"/>
              </w:rPr>
              <w:t>33,730,202</w:t>
            </w:r>
          </w:p>
        </w:tc>
        <w:tc>
          <w:tcPr>
            <w:tcW w:w="695" w:type="pct"/>
            <w:tcBorders>
              <w:top w:val="single" w:sz="12" w:space="0" w:color="auto"/>
              <w:bottom w:val="single" w:sz="12" w:space="0" w:color="auto"/>
            </w:tcBorders>
            <w:vAlign w:val="bottom"/>
          </w:tcPr>
          <w:p w14:paraId="5F5958DF" w14:textId="77777777" w:rsidR="000B2C7A" w:rsidRPr="00166751" w:rsidRDefault="000B2C7A" w:rsidP="000B2C7A">
            <w:pPr>
              <w:spacing w:after="0" w:line="280" w:lineRule="exact"/>
              <w:jc w:val="right"/>
              <w:rPr>
                <w:rFonts w:asciiTheme="minorHAnsi" w:hAnsiTheme="minorHAnsi" w:cs="Arial"/>
                <w:b/>
                <w:bCs/>
                <w:sz w:val="18"/>
                <w:szCs w:val="18"/>
                <w:lang w:val="hr-HR"/>
              </w:rPr>
            </w:pPr>
            <w:r w:rsidRPr="00166751">
              <w:rPr>
                <w:rFonts w:asciiTheme="minorHAnsi" w:hAnsiTheme="minorHAnsi" w:cs="Arial"/>
                <w:b/>
                <w:bCs/>
                <w:sz w:val="18"/>
                <w:szCs w:val="18"/>
                <w:lang w:val="hr-HR"/>
              </w:rPr>
              <w:t>33,220,026</w:t>
            </w:r>
          </w:p>
        </w:tc>
        <w:tc>
          <w:tcPr>
            <w:tcW w:w="694" w:type="pct"/>
            <w:tcBorders>
              <w:top w:val="single" w:sz="12" w:space="0" w:color="auto"/>
              <w:bottom w:val="single" w:sz="12" w:space="0" w:color="auto"/>
            </w:tcBorders>
            <w:vAlign w:val="bottom"/>
          </w:tcPr>
          <w:p w14:paraId="01B35A74" w14:textId="4A995419" w:rsidR="000B2C7A" w:rsidRPr="00166751" w:rsidRDefault="00AC3C7D" w:rsidP="000B2C7A">
            <w:pPr>
              <w:spacing w:after="0" w:line="280" w:lineRule="exact"/>
              <w:jc w:val="right"/>
              <w:rPr>
                <w:rFonts w:cs="Arial"/>
                <w:b/>
                <w:sz w:val="18"/>
                <w:szCs w:val="18"/>
              </w:rPr>
            </w:pPr>
            <w:r w:rsidRPr="00AC3C7D">
              <w:rPr>
                <w:rFonts w:cs="Arial"/>
                <w:b/>
                <w:bCs/>
                <w:sz w:val="18"/>
                <w:szCs w:val="18"/>
              </w:rPr>
              <w:t>33,675,265</w:t>
            </w:r>
          </w:p>
        </w:tc>
        <w:tc>
          <w:tcPr>
            <w:tcW w:w="694" w:type="pct"/>
            <w:tcBorders>
              <w:top w:val="single" w:sz="12" w:space="0" w:color="auto"/>
              <w:bottom w:val="single" w:sz="12" w:space="0" w:color="auto"/>
            </w:tcBorders>
            <w:vAlign w:val="bottom"/>
          </w:tcPr>
          <w:p w14:paraId="58A1B5C8" w14:textId="77777777" w:rsidR="000B2C7A" w:rsidRPr="005444AA" w:rsidRDefault="000B2C7A" w:rsidP="000B2C7A">
            <w:pPr>
              <w:spacing w:after="0" w:line="280" w:lineRule="exact"/>
              <w:jc w:val="right"/>
              <w:rPr>
                <w:rFonts w:asciiTheme="minorHAnsi" w:hAnsiTheme="minorHAnsi" w:cs="Arial"/>
                <w:b/>
                <w:bCs/>
                <w:sz w:val="18"/>
                <w:szCs w:val="18"/>
                <w:lang w:val="hr-HR"/>
              </w:rPr>
            </w:pPr>
            <w:r w:rsidRPr="005444AA">
              <w:rPr>
                <w:rFonts w:asciiTheme="minorHAnsi" w:hAnsiTheme="minorHAnsi" w:cs="Arial"/>
                <w:b/>
                <w:bCs/>
                <w:sz w:val="18"/>
                <w:szCs w:val="18"/>
                <w:lang w:val="hr-HR"/>
              </w:rPr>
              <w:t>33,168,139</w:t>
            </w:r>
          </w:p>
        </w:tc>
      </w:tr>
      <w:tr w:rsidR="002159C8" w:rsidRPr="002159C8" w14:paraId="32DEC7F2" w14:textId="77777777" w:rsidTr="009702B0">
        <w:trPr>
          <w:trHeight w:val="109"/>
        </w:trPr>
        <w:tc>
          <w:tcPr>
            <w:tcW w:w="2222" w:type="pct"/>
          </w:tcPr>
          <w:p w14:paraId="5CA592F4" w14:textId="77777777" w:rsidR="002159C8" w:rsidRPr="00166751" w:rsidRDefault="002159C8" w:rsidP="002159C8">
            <w:pPr>
              <w:keepNext/>
              <w:keepLines/>
              <w:tabs>
                <w:tab w:val="decimal" w:pos="1202"/>
              </w:tabs>
              <w:spacing w:after="0" w:line="140" w:lineRule="exact"/>
              <w:rPr>
                <w:rFonts w:eastAsia="Times New Roman" w:cs="Arial"/>
                <w:b/>
                <w:position w:val="4"/>
                <w:sz w:val="18"/>
                <w:szCs w:val="18"/>
                <w:u w:val="thick"/>
              </w:rPr>
            </w:pPr>
          </w:p>
        </w:tc>
        <w:tc>
          <w:tcPr>
            <w:tcW w:w="694" w:type="pct"/>
            <w:tcBorders>
              <w:top w:val="single" w:sz="12" w:space="0" w:color="auto"/>
            </w:tcBorders>
            <w:vAlign w:val="bottom"/>
          </w:tcPr>
          <w:p w14:paraId="570379B9" w14:textId="77777777" w:rsidR="002159C8" w:rsidRPr="00166751" w:rsidRDefault="002159C8" w:rsidP="002159C8">
            <w:pPr>
              <w:keepNext/>
              <w:keepLines/>
              <w:tabs>
                <w:tab w:val="decimal" w:pos="1202"/>
              </w:tabs>
              <w:spacing w:after="0" w:line="140" w:lineRule="exact"/>
              <w:jc w:val="right"/>
              <w:rPr>
                <w:rFonts w:eastAsia="Times New Roman" w:cs="Arial"/>
                <w:b/>
                <w:snapToGrid w:val="0"/>
                <w:position w:val="4"/>
                <w:sz w:val="18"/>
                <w:szCs w:val="18"/>
                <w:u w:val="thick"/>
              </w:rPr>
            </w:pPr>
          </w:p>
        </w:tc>
        <w:tc>
          <w:tcPr>
            <w:tcW w:w="695" w:type="pct"/>
            <w:tcBorders>
              <w:top w:val="single" w:sz="12" w:space="0" w:color="auto"/>
            </w:tcBorders>
            <w:vAlign w:val="bottom"/>
          </w:tcPr>
          <w:p w14:paraId="3B619B4E" w14:textId="77777777" w:rsidR="002159C8" w:rsidRPr="00166751" w:rsidRDefault="002159C8" w:rsidP="002159C8">
            <w:pPr>
              <w:keepNext/>
              <w:keepLines/>
              <w:tabs>
                <w:tab w:val="decimal" w:pos="1202"/>
              </w:tabs>
              <w:spacing w:after="0" w:line="140" w:lineRule="exact"/>
              <w:jc w:val="right"/>
              <w:rPr>
                <w:rFonts w:eastAsia="Times New Roman" w:cs="Arial"/>
                <w:b/>
                <w:snapToGrid w:val="0"/>
                <w:position w:val="4"/>
                <w:sz w:val="18"/>
                <w:szCs w:val="18"/>
                <w:u w:val="thick"/>
              </w:rPr>
            </w:pPr>
          </w:p>
        </w:tc>
        <w:tc>
          <w:tcPr>
            <w:tcW w:w="694" w:type="pct"/>
            <w:tcBorders>
              <w:top w:val="single" w:sz="12" w:space="0" w:color="auto"/>
            </w:tcBorders>
            <w:vAlign w:val="bottom"/>
          </w:tcPr>
          <w:p w14:paraId="2A8FC4CC" w14:textId="77777777" w:rsidR="002159C8" w:rsidRPr="00166751" w:rsidRDefault="002159C8" w:rsidP="002159C8">
            <w:pPr>
              <w:keepNext/>
              <w:keepLines/>
              <w:tabs>
                <w:tab w:val="decimal" w:pos="1202"/>
              </w:tabs>
              <w:spacing w:after="0" w:line="140" w:lineRule="exact"/>
              <w:jc w:val="right"/>
              <w:rPr>
                <w:rFonts w:eastAsia="Times New Roman" w:cs="Arial"/>
                <w:b/>
                <w:snapToGrid w:val="0"/>
                <w:position w:val="4"/>
                <w:sz w:val="18"/>
                <w:szCs w:val="18"/>
                <w:u w:val="thick"/>
              </w:rPr>
            </w:pPr>
          </w:p>
        </w:tc>
        <w:tc>
          <w:tcPr>
            <w:tcW w:w="694" w:type="pct"/>
            <w:tcBorders>
              <w:top w:val="single" w:sz="12" w:space="0" w:color="auto"/>
            </w:tcBorders>
            <w:vAlign w:val="bottom"/>
          </w:tcPr>
          <w:p w14:paraId="687D8832" w14:textId="77777777" w:rsidR="002159C8" w:rsidRPr="00166751" w:rsidRDefault="002159C8" w:rsidP="002159C8">
            <w:pPr>
              <w:keepNext/>
              <w:keepLines/>
              <w:tabs>
                <w:tab w:val="decimal" w:pos="1202"/>
              </w:tabs>
              <w:spacing w:after="0" w:line="140" w:lineRule="exact"/>
              <w:jc w:val="right"/>
              <w:rPr>
                <w:rFonts w:eastAsia="Times New Roman" w:cs="Arial"/>
                <w:b/>
                <w:snapToGrid w:val="0"/>
                <w:position w:val="4"/>
                <w:sz w:val="18"/>
                <w:szCs w:val="18"/>
                <w:u w:val="thick"/>
              </w:rPr>
            </w:pPr>
          </w:p>
        </w:tc>
      </w:tr>
    </w:tbl>
    <w:p w14:paraId="27A96A54" w14:textId="77777777" w:rsidR="009702B0" w:rsidRPr="009702B0" w:rsidRDefault="009702B0" w:rsidP="009702B0">
      <w:pPr>
        <w:spacing w:after="0" w:line="300" w:lineRule="exact"/>
        <w:jc w:val="both"/>
        <w:rPr>
          <w:rFonts w:eastAsia="Times New Roman" w:cs="Arial"/>
          <w:b/>
          <w:sz w:val="19"/>
          <w:szCs w:val="19"/>
          <w:highlight w:val="yellow"/>
        </w:rPr>
      </w:pPr>
    </w:p>
    <w:p w14:paraId="2960E312" w14:textId="77777777" w:rsidR="009702B0" w:rsidRPr="009702B0" w:rsidRDefault="009702B0" w:rsidP="009702B0">
      <w:pPr>
        <w:spacing w:after="0" w:line="360" w:lineRule="auto"/>
        <w:jc w:val="both"/>
        <w:rPr>
          <w:rFonts w:eastAsia="Times New Roman" w:cs="Arial"/>
          <w:b/>
          <w:sz w:val="19"/>
          <w:szCs w:val="19"/>
          <w:highlight w:val="yellow"/>
        </w:rPr>
      </w:pPr>
    </w:p>
    <w:p w14:paraId="04F3F91E" w14:textId="77777777" w:rsidR="009702B0" w:rsidRPr="009702B0" w:rsidRDefault="009702B0" w:rsidP="009702B0">
      <w:pPr>
        <w:spacing w:after="0" w:line="360" w:lineRule="auto"/>
        <w:jc w:val="both"/>
        <w:rPr>
          <w:rFonts w:eastAsia="Times New Roman" w:cs="Arial"/>
          <w:b/>
          <w:sz w:val="19"/>
          <w:szCs w:val="19"/>
          <w:highlight w:val="yellow"/>
        </w:rPr>
        <w:sectPr w:rsidR="009702B0" w:rsidRPr="009702B0" w:rsidSect="00947CB7">
          <w:headerReference w:type="default" r:id="rId78"/>
          <w:footerReference w:type="default" r:id="rId79"/>
          <w:pgSz w:w="11906" w:h="16838" w:code="9"/>
          <w:pgMar w:top="1418" w:right="1418" w:bottom="595" w:left="1134" w:header="851" w:footer="851" w:gutter="0"/>
          <w:cols w:space="720"/>
          <w:noEndnote/>
        </w:sectPr>
      </w:pPr>
    </w:p>
    <w:p w14:paraId="1EA8A3A1" w14:textId="77777777" w:rsidR="009702B0" w:rsidRPr="009702B0" w:rsidRDefault="009702B0" w:rsidP="009702B0">
      <w:pPr>
        <w:keepNext/>
        <w:spacing w:after="0" w:line="240" w:lineRule="auto"/>
        <w:jc w:val="both"/>
        <w:rPr>
          <w:rFonts w:eastAsia="Times New Roman" w:cs="Arial"/>
          <w:b/>
          <w:bCs/>
        </w:rPr>
      </w:pPr>
    </w:p>
    <w:p w14:paraId="469A2603"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Pr="009702B0">
        <w:rPr>
          <w:rFonts w:eastAsia="Times New Roman" w:cs="Arial"/>
          <w:b/>
          <w:bCs/>
        </w:rPr>
        <w:tab/>
      </w:r>
      <w:r w:rsidRPr="009702B0">
        <w:rPr>
          <w:rFonts w:ascii="Arial" w:eastAsia="Times New Roman" w:hAnsi="Arial" w:cs="Arial"/>
          <w:b/>
          <w:bCs/>
          <w:sz w:val="19"/>
          <w:szCs w:val="20"/>
        </w:rPr>
        <w:t xml:space="preserve">Risk management </w:t>
      </w:r>
      <w:r w:rsidRPr="009702B0">
        <w:rPr>
          <w:rFonts w:eastAsia="Times New Roman" w:cs="Arial"/>
          <w:b/>
          <w:bCs/>
        </w:rPr>
        <w:t>(continued)</w:t>
      </w:r>
    </w:p>
    <w:p w14:paraId="22B128B8" w14:textId="77777777" w:rsidR="009702B0" w:rsidRPr="009702B0" w:rsidRDefault="009702B0" w:rsidP="009702B0">
      <w:pPr>
        <w:spacing w:after="0" w:line="240" w:lineRule="auto"/>
        <w:jc w:val="both"/>
        <w:rPr>
          <w:rFonts w:eastAsia="Times New Roman"/>
          <w:b/>
        </w:rPr>
      </w:pPr>
    </w:p>
    <w:p w14:paraId="0173D657" w14:textId="77777777" w:rsidR="009702B0" w:rsidRPr="009702B0" w:rsidRDefault="009702B0" w:rsidP="009702B0">
      <w:pPr>
        <w:spacing w:after="0" w:line="240" w:lineRule="auto"/>
        <w:jc w:val="both"/>
        <w:rPr>
          <w:rFonts w:eastAsia="Times New Roman"/>
          <w:b/>
        </w:rPr>
      </w:pPr>
      <w:r w:rsidRPr="009702B0">
        <w:rPr>
          <w:rFonts w:eastAsia="Times New Roman"/>
          <w:b/>
        </w:rPr>
        <w:t xml:space="preserve">16.2. </w:t>
      </w:r>
      <w:r w:rsidRPr="009702B0">
        <w:rPr>
          <w:rFonts w:eastAsia="Times New Roman"/>
          <w:b/>
        </w:rPr>
        <w:tab/>
        <w:t>Credit risk (</w:t>
      </w:r>
      <w:r w:rsidRPr="009702B0">
        <w:rPr>
          <w:rFonts w:eastAsia="Times New Roman" w:cs="Arial"/>
          <w:b/>
        </w:rPr>
        <w:t>continued</w:t>
      </w:r>
      <w:r w:rsidRPr="009702B0">
        <w:rPr>
          <w:rFonts w:eastAsia="Times New Roman"/>
          <w:b/>
        </w:rPr>
        <w:t>)</w:t>
      </w:r>
    </w:p>
    <w:p w14:paraId="53F2839F" w14:textId="77777777" w:rsidR="009702B0" w:rsidRPr="009702B0" w:rsidRDefault="009702B0" w:rsidP="009702B0">
      <w:pPr>
        <w:spacing w:after="0" w:line="300" w:lineRule="exact"/>
        <w:jc w:val="both"/>
        <w:rPr>
          <w:rFonts w:ascii="Arial" w:eastAsia="Times New Roman" w:hAnsi="Arial" w:cs="Arial"/>
          <w:b/>
          <w:sz w:val="19"/>
          <w:szCs w:val="19"/>
        </w:rPr>
      </w:pPr>
    </w:p>
    <w:p w14:paraId="19B05790" w14:textId="77777777" w:rsidR="009702B0" w:rsidRPr="009702B0" w:rsidRDefault="009702B0" w:rsidP="009702B0">
      <w:pPr>
        <w:spacing w:after="0" w:line="240" w:lineRule="auto"/>
        <w:jc w:val="both"/>
        <w:rPr>
          <w:rFonts w:ascii="Arial" w:eastAsia="Times New Roman" w:hAnsi="Arial" w:cs="Arial"/>
          <w:b/>
          <w:sz w:val="19"/>
          <w:szCs w:val="19"/>
        </w:rPr>
      </w:pPr>
      <w:r w:rsidRPr="009702B0">
        <w:rPr>
          <w:rFonts w:ascii="Arial" w:eastAsia="Times New Roman" w:hAnsi="Arial" w:cs="Arial"/>
          <w:b/>
          <w:sz w:val="19"/>
          <w:szCs w:val="19"/>
        </w:rPr>
        <w:t>Concentration of risk and maximum credit risk exposure (continued)</w:t>
      </w:r>
    </w:p>
    <w:p w14:paraId="1D1BE45D" w14:textId="77777777" w:rsidR="009702B0" w:rsidRPr="009702B0" w:rsidRDefault="009702B0" w:rsidP="009702B0">
      <w:pPr>
        <w:spacing w:after="0" w:line="240" w:lineRule="auto"/>
        <w:jc w:val="both"/>
        <w:rPr>
          <w:rFonts w:ascii="Arial" w:eastAsia="Times New Roman" w:hAnsi="Arial" w:cs="Arial"/>
          <w:b/>
          <w:sz w:val="19"/>
          <w:szCs w:val="19"/>
        </w:rPr>
      </w:pPr>
    </w:p>
    <w:p w14:paraId="52148E57" w14:textId="77777777" w:rsidR="009702B0" w:rsidRPr="009702B0" w:rsidRDefault="009702B0" w:rsidP="009702B0">
      <w:pPr>
        <w:keepNext/>
        <w:spacing w:after="0" w:line="240" w:lineRule="auto"/>
        <w:jc w:val="both"/>
        <w:rPr>
          <w:rFonts w:eastAsia="Times New Roman" w:cs="Arial"/>
          <w:bCs/>
        </w:rPr>
      </w:pPr>
      <w:r w:rsidRPr="009702B0">
        <w:rPr>
          <w:rFonts w:eastAsia="Times New Roman" w:cs="Arial"/>
        </w:rPr>
        <w:t xml:space="preserve">Concentration of assets and guarantees and commitments, according to geographical segments, </w:t>
      </w:r>
      <w:r w:rsidRPr="009702B0">
        <w:rPr>
          <w:rFonts w:eastAsia="Times New Roman" w:cs="Arial"/>
          <w:bCs/>
        </w:rPr>
        <w:t>before the effect of mitigation through collateral received, is as follows:</w:t>
      </w:r>
    </w:p>
    <w:p w14:paraId="79A56F2D" w14:textId="77777777" w:rsidR="009702B0" w:rsidRPr="009702B0" w:rsidRDefault="009702B0" w:rsidP="009702B0">
      <w:pPr>
        <w:keepNext/>
        <w:spacing w:after="0" w:line="240" w:lineRule="auto"/>
        <w:jc w:val="both"/>
        <w:rPr>
          <w:rFonts w:eastAsia="Times New Roman" w:cs="Arial"/>
        </w:rPr>
      </w:pPr>
    </w:p>
    <w:tbl>
      <w:tblPr>
        <w:tblW w:w="5000" w:type="pct"/>
        <w:tblLayout w:type="fixed"/>
        <w:tblCellMar>
          <w:left w:w="30" w:type="dxa"/>
          <w:right w:w="30" w:type="dxa"/>
        </w:tblCellMar>
        <w:tblLook w:val="0000" w:firstRow="0" w:lastRow="0" w:firstColumn="0" w:lastColumn="0" w:noHBand="0" w:noVBand="0"/>
      </w:tblPr>
      <w:tblGrid>
        <w:gridCol w:w="3688"/>
        <w:gridCol w:w="1417"/>
        <w:gridCol w:w="1417"/>
        <w:gridCol w:w="1416"/>
        <w:gridCol w:w="1416"/>
      </w:tblGrid>
      <w:tr w:rsidR="009702B0" w:rsidRPr="009702B0" w14:paraId="2474319D" w14:textId="77777777" w:rsidTr="009702B0">
        <w:trPr>
          <w:cantSplit/>
          <w:trHeight w:val="802"/>
          <w:tblHeader/>
        </w:trPr>
        <w:tc>
          <w:tcPr>
            <w:tcW w:w="1971" w:type="pct"/>
            <w:vAlign w:val="center"/>
          </w:tcPr>
          <w:p w14:paraId="5AA70DCD" w14:textId="77777777" w:rsidR="009702B0" w:rsidRPr="009702B0" w:rsidRDefault="009702B0" w:rsidP="009702B0">
            <w:pPr>
              <w:tabs>
                <w:tab w:val="right" w:pos="1202"/>
              </w:tabs>
              <w:spacing w:after="0" w:line="240" w:lineRule="atLeast"/>
              <w:outlineLvl w:val="0"/>
              <w:rPr>
                <w:rFonts w:cs="Arial"/>
                <w:b/>
                <w:sz w:val="19"/>
                <w:szCs w:val="19"/>
              </w:rPr>
            </w:pPr>
            <w:r w:rsidRPr="009702B0">
              <w:rPr>
                <w:rFonts w:cs="Arial"/>
                <w:b/>
                <w:sz w:val="19"/>
                <w:szCs w:val="19"/>
              </w:rPr>
              <w:t>Group</w:t>
            </w:r>
          </w:p>
          <w:p w14:paraId="55C9666F" w14:textId="773C2CCE" w:rsidR="009702B0" w:rsidRPr="009702B0" w:rsidRDefault="009A674B" w:rsidP="009702B0">
            <w:pPr>
              <w:tabs>
                <w:tab w:val="right" w:pos="1202"/>
              </w:tabs>
              <w:spacing w:after="0" w:line="240" w:lineRule="atLeast"/>
              <w:outlineLvl w:val="0"/>
              <w:rPr>
                <w:rFonts w:cs="Arial"/>
                <w:b/>
                <w:sz w:val="19"/>
                <w:szCs w:val="19"/>
              </w:rPr>
            </w:pPr>
            <w:r>
              <w:rPr>
                <w:rFonts w:cs="Arial"/>
                <w:b/>
                <w:sz w:val="19"/>
                <w:szCs w:val="19"/>
              </w:rPr>
              <w:t>Sep</w:t>
            </w:r>
            <w:r w:rsidRPr="00253A1B">
              <w:rPr>
                <w:rFonts w:cs="Arial"/>
                <w:b/>
                <w:sz w:val="19"/>
                <w:szCs w:val="19"/>
              </w:rPr>
              <w:t xml:space="preserve"> </w:t>
            </w:r>
            <w:r w:rsidR="00253A1B" w:rsidRPr="00253A1B">
              <w:rPr>
                <w:rFonts w:cs="Arial"/>
                <w:b/>
                <w:sz w:val="19"/>
                <w:szCs w:val="19"/>
              </w:rPr>
              <w:t>30</w:t>
            </w:r>
            <w:r w:rsidR="00693680" w:rsidRPr="00693680">
              <w:rPr>
                <w:rFonts w:cs="Arial"/>
                <w:b/>
                <w:sz w:val="19"/>
                <w:szCs w:val="19"/>
              </w:rPr>
              <w:t>, 2017</w:t>
            </w:r>
          </w:p>
        </w:tc>
        <w:tc>
          <w:tcPr>
            <w:tcW w:w="757" w:type="pct"/>
            <w:vAlign w:val="center"/>
          </w:tcPr>
          <w:p w14:paraId="2A6B9EEC" w14:textId="77777777" w:rsidR="009702B0" w:rsidRPr="009702B0" w:rsidRDefault="009702B0" w:rsidP="009702B0">
            <w:pPr>
              <w:tabs>
                <w:tab w:val="right" w:pos="1202"/>
              </w:tabs>
              <w:spacing w:after="0" w:line="240" w:lineRule="auto"/>
              <w:jc w:val="right"/>
              <w:outlineLvl w:val="0"/>
              <w:rPr>
                <w:rFonts w:cs="Arial"/>
                <w:b/>
                <w:sz w:val="19"/>
                <w:szCs w:val="19"/>
              </w:rPr>
            </w:pPr>
            <w:r w:rsidRPr="009702B0">
              <w:rPr>
                <w:rFonts w:cs="Arial"/>
                <w:b/>
                <w:sz w:val="19"/>
                <w:szCs w:val="19"/>
              </w:rPr>
              <w:t>Republic of Croatia</w:t>
            </w:r>
          </w:p>
        </w:tc>
        <w:tc>
          <w:tcPr>
            <w:tcW w:w="757" w:type="pct"/>
            <w:vAlign w:val="center"/>
          </w:tcPr>
          <w:p w14:paraId="7DBC7B1A" w14:textId="77777777" w:rsidR="009702B0" w:rsidRPr="009702B0" w:rsidRDefault="009702B0" w:rsidP="009702B0">
            <w:pPr>
              <w:tabs>
                <w:tab w:val="right" w:pos="1202"/>
              </w:tabs>
              <w:spacing w:after="0" w:line="240" w:lineRule="auto"/>
              <w:jc w:val="right"/>
              <w:outlineLvl w:val="0"/>
              <w:rPr>
                <w:rFonts w:cs="Arial"/>
                <w:b/>
                <w:sz w:val="19"/>
                <w:szCs w:val="19"/>
              </w:rPr>
            </w:pPr>
            <w:r w:rsidRPr="009702B0">
              <w:rPr>
                <w:rFonts w:cs="Arial"/>
                <w:b/>
                <w:sz w:val="19"/>
                <w:szCs w:val="19"/>
              </w:rPr>
              <w:t>EU</w:t>
            </w:r>
          </w:p>
          <w:p w14:paraId="42CB9D90" w14:textId="77777777" w:rsidR="009702B0" w:rsidRPr="009702B0" w:rsidRDefault="009702B0" w:rsidP="009702B0">
            <w:pPr>
              <w:tabs>
                <w:tab w:val="right" w:pos="1202"/>
              </w:tabs>
              <w:spacing w:after="0" w:line="240" w:lineRule="auto"/>
              <w:jc w:val="right"/>
              <w:outlineLvl w:val="0"/>
              <w:rPr>
                <w:rFonts w:cs="Arial"/>
                <w:b/>
                <w:sz w:val="19"/>
                <w:szCs w:val="19"/>
              </w:rPr>
            </w:pPr>
            <w:r w:rsidRPr="009702B0">
              <w:rPr>
                <w:rFonts w:cs="Arial"/>
                <w:b/>
                <w:sz w:val="19"/>
                <w:szCs w:val="19"/>
              </w:rPr>
              <w:t xml:space="preserve"> countries</w:t>
            </w:r>
          </w:p>
        </w:tc>
        <w:tc>
          <w:tcPr>
            <w:tcW w:w="757" w:type="pct"/>
            <w:vAlign w:val="center"/>
          </w:tcPr>
          <w:p w14:paraId="186886BD" w14:textId="77777777" w:rsidR="009702B0" w:rsidRPr="009702B0" w:rsidRDefault="009702B0" w:rsidP="009702B0">
            <w:pPr>
              <w:tabs>
                <w:tab w:val="right" w:pos="1202"/>
              </w:tabs>
              <w:spacing w:after="0" w:line="240" w:lineRule="atLeast"/>
              <w:jc w:val="right"/>
              <w:outlineLvl w:val="0"/>
              <w:rPr>
                <w:rFonts w:cs="Arial"/>
                <w:b/>
                <w:sz w:val="19"/>
                <w:szCs w:val="19"/>
              </w:rPr>
            </w:pPr>
            <w:r w:rsidRPr="009702B0">
              <w:rPr>
                <w:rFonts w:cs="Arial"/>
                <w:b/>
                <w:sz w:val="19"/>
                <w:szCs w:val="19"/>
              </w:rPr>
              <w:t xml:space="preserve">Other </w:t>
            </w:r>
          </w:p>
          <w:p w14:paraId="7D05C9F0" w14:textId="77777777" w:rsidR="009702B0" w:rsidRPr="009702B0" w:rsidRDefault="009702B0" w:rsidP="009702B0">
            <w:pPr>
              <w:tabs>
                <w:tab w:val="right" w:pos="1202"/>
              </w:tabs>
              <w:spacing w:after="0" w:line="240" w:lineRule="atLeast"/>
              <w:jc w:val="right"/>
              <w:outlineLvl w:val="0"/>
              <w:rPr>
                <w:rFonts w:cs="Arial"/>
                <w:b/>
                <w:sz w:val="19"/>
                <w:szCs w:val="19"/>
              </w:rPr>
            </w:pPr>
            <w:r w:rsidRPr="009702B0">
              <w:rPr>
                <w:rFonts w:cs="Arial"/>
                <w:b/>
                <w:sz w:val="19"/>
                <w:szCs w:val="19"/>
              </w:rPr>
              <w:t xml:space="preserve">countries </w:t>
            </w:r>
          </w:p>
        </w:tc>
        <w:tc>
          <w:tcPr>
            <w:tcW w:w="757" w:type="pct"/>
            <w:vAlign w:val="center"/>
          </w:tcPr>
          <w:p w14:paraId="6220EEC0" w14:textId="77777777" w:rsidR="009702B0" w:rsidRPr="009702B0" w:rsidRDefault="009702B0" w:rsidP="009702B0">
            <w:pPr>
              <w:tabs>
                <w:tab w:val="right" w:pos="1202"/>
              </w:tabs>
              <w:spacing w:line="240" w:lineRule="atLeast"/>
              <w:jc w:val="right"/>
              <w:outlineLvl w:val="0"/>
              <w:rPr>
                <w:rFonts w:cs="Arial"/>
                <w:b/>
                <w:sz w:val="19"/>
                <w:szCs w:val="19"/>
              </w:rPr>
            </w:pPr>
            <w:r w:rsidRPr="009702B0">
              <w:rPr>
                <w:rFonts w:cs="Arial"/>
                <w:b/>
                <w:sz w:val="19"/>
                <w:szCs w:val="19"/>
              </w:rPr>
              <w:t>Total</w:t>
            </w:r>
          </w:p>
        </w:tc>
      </w:tr>
      <w:tr w:rsidR="009702B0" w:rsidRPr="009702B0" w14:paraId="687A6DB4" w14:textId="77777777" w:rsidTr="009702B0">
        <w:trPr>
          <w:cantSplit/>
          <w:trHeight w:val="250"/>
          <w:tblHeader/>
        </w:trPr>
        <w:tc>
          <w:tcPr>
            <w:tcW w:w="1971" w:type="pct"/>
          </w:tcPr>
          <w:p w14:paraId="18A0232A" w14:textId="77777777" w:rsidR="009702B0" w:rsidRPr="009702B0" w:rsidRDefault="009702B0" w:rsidP="009702B0">
            <w:pPr>
              <w:tabs>
                <w:tab w:val="right" w:pos="1202"/>
              </w:tabs>
              <w:spacing w:after="0" w:line="280" w:lineRule="exact"/>
              <w:outlineLvl w:val="0"/>
              <w:rPr>
                <w:rFonts w:cs="Arial"/>
                <w:b/>
                <w:bCs/>
                <w:sz w:val="19"/>
                <w:szCs w:val="19"/>
              </w:rPr>
            </w:pPr>
            <w:r w:rsidRPr="009702B0">
              <w:rPr>
                <w:rFonts w:cs="Arial"/>
                <w:b/>
                <w:bCs/>
                <w:sz w:val="19"/>
                <w:szCs w:val="19"/>
              </w:rPr>
              <w:t>Assets</w:t>
            </w:r>
          </w:p>
        </w:tc>
        <w:tc>
          <w:tcPr>
            <w:tcW w:w="757" w:type="pct"/>
          </w:tcPr>
          <w:p w14:paraId="5271AE8A" w14:textId="77777777" w:rsidR="009702B0" w:rsidRPr="009702B0" w:rsidRDefault="009702B0" w:rsidP="009702B0">
            <w:pPr>
              <w:spacing w:after="0" w:line="280" w:lineRule="exact"/>
              <w:jc w:val="right"/>
              <w:rPr>
                <w:rFonts w:cs="Arial"/>
                <w:sz w:val="19"/>
                <w:szCs w:val="19"/>
              </w:rPr>
            </w:pPr>
          </w:p>
        </w:tc>
        <w:tc>
          <w:tcPr>
            <w:tcW w:w="757" w:type="pct"/>
          </w:tcPr>
          <w:p w14:paraId="6E41CB62" w14:textId="77777777" w:rsidR="009702B0" w:rsidRPr="009702B0" w:rsidRDefault="009702B0" w:rsidP="009702B0">
            <w:pPr>
              <w:spacing w:after="0" w:line="280" w:lineRule="exact"/>
              <w:jc w:val="right"/>
              <w:rPr>
                <w:rFonts w:cs="Arial"/>
                <w:sz w:val="19"/>
                <w:szCs w:val="19"/>
              </w:rPr>
            </w:pPr>
          </w:p>
        </w:tc>
        <w:tc>
          <w:tcPr>
            <w:tcW w:w="757" w:type="pct"/>
          </w:tcPr>
          <w:p w14:paraId="6D2453FA" w14:textId="77777777" w:rsidR="009702B0" w:rsidRPr="009702B0" w:rsidRDefault="009702B0" w:rsidP="009702B0">
            <w:pPr>
              <w:spacing w:after="0" w:line="280" w:lineRule="exact"/>
              <w:jc w:val="right"/>
              <w:rPr>
                <w:rFonts w:cs="Arial"/>
                <w:sz w:val="19"/>
                <w:szCs w:val="19"/>
              </w:rPr>
            </w:pPr>
          </w:p>
        </w:tc>
        <w:tc>
          <w:tcPr>
            <w:tcW w:w="757" w:type="pct"/>
          </w:tcPr>
          <w:p w14:paraId="25B694E2" w14:textId="77777777" w:rsidR="009702B0" w:rsidRPr="009702B0" w:rsidRDefault="009702B0" w:rsidP="009702B0">
            <w:pPr>
              <w:spacing w:after="0" w:line="280" w:lineRule="exact"/>
              <w:jc w:val="center"/>
              <w:rPr>
                <w:rFonts w:cs="Arial"/>
                <w:sz w:val="19"/>
                <w:szCs w:val="19"/>
              </w:rPr>
            </w:pPr>
          </w:p>
        </w:tc>
      </w:tr>
      <w:tr w:rsidR="00397C19" w:rsidRPr="009702B0" w14:paraId="7B4B556E" w14:textId="77777777" w:rsidTr="005444AA">
        <w:trPr>
          <w:cantSplit/>
          <w:trHeight w:val="250"/>
          <w:tblHeader/>
        </w:trPr>
        <w:tc>
          <w:tcPr>
            <w:tcW w:w="1971" w:type="pct"/>
            <w:vAlign w:val="bottom"/>
          </w:tcPr>
          <w:p w14:paraId="3BCF76CC" w14:textId="77777777" w:rsidR="00397C19" w:rsidRPr="009702B0" w:rsidRDefault="00397C19" w:rsidP="00397C19">
            <w:pPr>
              <w:tabs>
                <w:tab w:val="right" w:pos="1202"/>
              </w:tabs>
              <w:spacing w:after="0" w:line="280" w:lineRule="exact"/>
              <w:outlineLvl w:val="0"/>
              <w:rPr>
                <w:sz w:val="19"/>
                <w:szCs w:val="19"/>
              </w:rPr>
            </w:pPr>
            <w:r w:rsidRPr="009702B0">
              <w:rPr>
                <w:rFonts w:cs="Arial"/>
                <w:sz w:val="19"/>
                <w:szCs w:val="19"/>
              </w:rPr>
              <w:t>Cash on hand and due from banks</w:t>
            </w:r>
          </w:p>
        </w:tc>
        <w:tc>
          <w:tcPr>
            <w:tcW w:w="757" w:type="pct"/>
            <w:tcBorders>
              <w:top w:val="nil"/>
              <w:left w:val="nil"/>
              <w:bottom w:val="nil"/>
              <w:right w:val="nil"/>
            </w:tcBorders>
            <w:shd w:val="clear" w:color="auto" w:fill="auto"/>
            <w:vAlign w:val="bottom"/>
          </w:tcPr>
          <w:p w14:paraId="210D32DF" w14:textId="5A8FBFFD" w:rsidR="00397C19" w:rsidRPr="009702B0" w:rsidRDefault="00397C19" w:rsidP="00397C19">
            <w:pPr>
              <w:spacing w:after="0" w:line="280" w:lineRule="exact"/>
              <w:jc w:val="right"/>
              <w:rPr>
                <w:rFonts w:cs="Arial"/>
                <w:sz w:val="19"/>
                <w:szCs w:val="19"/>
              </w:rPr>
            </w:pPr>
            <w:r w:rsidRPr="00EF558A">
              <w:rPr>
                <w:rFonts w:eastAsia="Times New Roman" w:cs="Arial"/>
                <w:sz w:val="19"/>
                <w:szCs w:val="19"/>
                <w:lang w:val="en-US"/>
              </w:rPr>
              <w:t>383</w:t>
            </w:r>
            <w:r>
              <w:rPr>
                <w:rFonts w:eastAsia="Times New Roman" w:cs="Arial"/>
                <w:sz w:val="19"/>
                <w:szCs w:val="19"/>
                <w:lang w:val="en-US"/>
              </w:rPr>
              <w:t>,</w:t>
            </w:r>
            <w:r w:rsidRPr="00EF558A">
              <w:rPr>
                <w:rFonts w:eastAsia="Times New Roman" w:cs="Arial"/>
                <w:sz w:val="19"/>
                <w:szCs w:val="19"/>
                <w:lang w:val="en-US"/>
              </w:rPr>
              <w:t>216</w:t>
            </w:r>
          </w:p>
        </w:tc>
        <w:tc>
          <w:tcPr>
            <w:tcW w:w="757" w:type="pct"/>
            <w:tcBorders>
              <w:top w:val="nil"/>
              <w:left w:val="nil"/>
              <w:bottom w:val="nil"/>
              <w:right w:val="nil"/>
            </w:tcBorders>
            <w:shd w:val="clear" w:color="auto" w:fill="auto"/>
            <w:vAlign w:val="bottom"/>
          </w:tcPr>
          <w:p w14:paraId="126568C9" w14:textId="57C52F24" w:rsidR="00397C19" w:rsidRPr="009702B0" w:rsidRDefault="00397C19" w:rsidP="00397C19">
            <w:pPr>
              <w:tabs>
                <w:tab w:val="right" w:pos="1202"/>
              </w:tabs>
              <w:spacing w:after="0" w:line="280" w:lineRule="exact"/>
              <w:jc w:val="right"/>
              <w:outlineLvl w:val="0"/>
              <w:rPr>
                <w:sz w:val="19"/>
                <w:szCs w:val="19"/>
                <w:lang w:val="pl-PL"/>
              </w:rPr>
            </w:pPr>
            <w:r w:rsidRPr="00EF558A">
              <w:rPr>
                <w:rFonts w:eastAsia="Times New Roman" w:cs="Arial"/>
                <w:sz w:val="19"/>
                <w:szCs w:val="19"/>
                <w:lang w:val="en-US"/>
              </w:rPr>
              <w:t>347</w:t>
            </w:r>
            <w:r>
              <w:rPr>
                <w:rFonts w:eastAsia="Times New Roman" w:cs="Arial"/>
                <w:sz w:val="19"/>
                <w:szCs w:val="19"/>
                <w:lang w:val="en-US"/>
              </w:rPr>
              <w:t>,</w:t>
            </w:r>
            <w:r w:rsidRPr="00EF558A">
              <w:rPr>
                <w:rFonts w:eastAsia="Times New Roman" w:cs="Arial"/>
                <w:sz w:val="19"/>
                <w:szCs w:val="19"/>
                <w:lang w:val="en-US"/>
              </w:rPr>
              <w:t>402</w:t>
            </w:r>
          </w:p>
        </w:tc>
        <w:tc>
          <w:tcPr>
            <w:tcW w:w="757" w:type="pct"/>
            <w:tcBorders>
              <w:top w:val="nil"/>
              <w:left w:val="nil"/>
              <w:bottom w:val="nil"/>
              <w:right w:val="nil"/>
            </w:tcBorders>
            <w:shd w:val="clear" w:color="auto" w:fill="auto"/>
            <w:vAlign w:val="bottom"/>
          </w:tcPr>
          <w:p w14:paraId="57719D57" w14:textId="42AE56F0" w:rsidR="00397C19" w:rsidRPr="009702B0" w:rsidRDefault="00397C19" w:rsidP="00397C19">
            <w:pPr>
              <w:tabs>
                <w:tab w:val="right" w:pos="1202"/>
              </w:tabs>
              <w:spacing w:after="0" w:line="280" w:lineRule="exact"/>
              <w:jc w:val="right"/>
              <w:outlineLvl w:val="0"/>
              <w:rPr>
                <w:sz w:val="19"/>
                <w:szCs w:val="19"/>
                <w:lang w:val="pl-PL"/>
              </w:rPr>
            </w:pPr>
            <w:r w:rsidRPr="00EF558A">
              <w:rPr>
                <w:rFonts w:eastAsia="Times New Roman" w:cs="Arial"/>
                <w:sz w:val="19"/>
                <w:szCs w:val="19"/>
                <w:lang w:val="en-US"/>
              </w:rPr>
              <w:t>9</w:t>
            </w:r>
            <w:r>
              <w:rPr>
                <w:rFonts w:eastAsia="Times New Roman" w:cs="Arial"/>
                <w:sz w:val="19"/>
                <w:szCs w:val="19"/>
                <w:lang w:val="en-US"/>
              </w:rPr>
              <w:t>,</w:t>
            </w:r>
            <w:r w:rsidRPr="00EF558A">
              <w:rPr>
                <w:rFonts w:eastAsia="Times New Roman" w:cs="Arial"/>
                <w:sz w:val="19"/>
                <w:szCs w:val="19"/>
                <w:lang w:val="en-US"/>
              </w:rPr>
              <w:t>289</w:t>
            </w:r>
          </w:p>
        </w:tc>
        <w:tc>
          <w:tcPr>
            <w:tcW w:w="757" w:type="pct"/>
            <w:tcBorders>
              <w:top w:val="nil"/>
              <w:left w:val="nil"/>
              <w:bottom w:val="nil"/>
              <w:right w:val="nil"/>
            </w:tcBorders>
            <w:shd w:val="clear" w:color="auto" w:fill="auto"/>
            <w:vAlign w:val="bottom"/>
          </w:tcPr>
          <w:p w14:paraId="3CAE06E5" w14:textId="354A0D61" w:rsidR="00397C19" w:rsidRPr="009702B0" w:rsidRDefault="00397C19" w:rsidP="00397C19">
            <w:pPr>
              <w:tabs>
                <w:tab w:val="right" w:pos="1202"/>
              </w:tabs>
              <w:spacing w:after="0" w:line="280" w:lineRule="exact"/>
              <w:jc w:val="right"/>
              <w:outlineLvl w:val="0"/>
              <w:rPr>
                <w:sz w:val="19"/>
                <w:szCs w:val="19"/>
                <w:lang w:val="pl-PL"/>
              </w:rPr>
            </w:pPr>
            <w:r w:rsidRPr="00EF558A">
              <w:rPr>
                <w:rFonts w:eastAsia="Times New Roman" w:cs="Arial"/>
                <w:sz w:val="19"/>
                <w:szCs w:val="19"/>
                <w:lang w:val="en-US"/>
              </w:rPr>
              <w:t>739</w:t>
            </w:r>
            <w:r>
              <w:rPr>
                <w:rFonts w:eastAsia="Times New Roman" w:cs="Arial"/>
                <w:sz w:val="19"/>
                <w:szCs w:val="19"/>
                <w:lang w:val="en-US"/>
              </w:rPr>
              <w:t>,</w:t>
            </w:r>
            <w:r w:rsidRPr="00EF558A">
              <w:rPr>
                <w:rFonts w:eastAsia="Times New Roman" w:cs="Arial"/>
                <w:sz w:val="19"/>
                <w:szCs w:val="19"/>
                <w:lang w:val="en-US"/>
              </w:rPr>
              <w:t>907</w:t>
            </w:r>
          </w:p>
        </w:tc>
      </w:tr>
      <w:tr w:rsidR="00397C19" w:rsidRPr="009702B0" w14:paraId="090AE15B" w14:textId="77777777" w:rsidTr="005444AA">
        <w:trPr>
          <w:cantSplit/>
          <w:trHeight w:val="250"/>
          <w:tblHeader/>
        </w:trPr>
        <w:tc>
          <w:tcPr>
            <w:tcW w:w="1971" w:type="pct"/>
            <w:vAlign w:val="bottom"/>
          </w:tcPr>
          <w:p w14:paraId="14195FCA" w14:textId="77777777" w:rsidR="00397C19" w:rsidRPr="009702B0" w:rsidRDefault="00397C19" w:rsidP="00397C19">
            <w:pPr>
              <w:tabs>
                <w:tab w:val="right" w:pos="1202"/>
              </w:tabs>
              <w:spacing w:after="0" w:line="280" w:lineRule="exact"/>
              <w:outlineLvl w:val="0"/>
              <w:rPr>
                <w:sz w:val="19"/>
                <w:szCs w:val="19"/>
              </w:rPr>
            </w:pPr>
            <w:r w:rsidRPr="009702B0">
              <w:rPr>
                <w:rFonts w:cs="Arial"/>
                <w:sz w:val="19"/>
                <w:szCs w:val="19"/>
              </w:rPr>
              <w:t>Deposits with other banks</w:t>
            </w:r>
          </w:p>
        </w:tc>
        <w:tc>
          <w:tcPr>
            <w:tcW w:w="757" w:type="pct"/>
            <w:tcBorders>
              <w:top w:val="nil"/>
              <w:left w:val="nil"/>
              <w:bottom w:val="nil"/>
              <w:right w:val="nil"/>
            </w:tcBorders>
            <w:shd w:val="clear" w:color="auto" w:fill="auto"/>
            <w:vAlign w:val="bottom"/>
          </w:tcPr>
          <w:p w14:paraId="2C7C818E" w14:textId="74F0140F" w:rsidR="00397C19" w:rsidRPr="009702B0" w:rsidRDefault="00397C19" w:rsidP="00397C19">
            <w:pPr>
              <w:tabs>
                <w:tab w:val="right" w:pos="1202"/>
              </w:tabs>
              <w:spacing w:after="0" w:line="280" w:lineRule="exact"/>
              <w:jc w:val="right"/>
              <w:outlineLvl w:val="0"/>
              <w:rPr>
                <w:sz w:val="19"/>
                <w:szCs w:val="19"/>
              </w:rPr>
            </w:pPr>
            <w:r w:rsidRPr="00EF558A">
              <w:rPr>
                <w:rFonts w:eastAsia="Times New Roman" w:cs="Arial"/>
                <w:sz w:val="19"/>
                <w:szCs w:val="19"/>
                <w:lang w:val="en-US"/>
              </w:rPr>
              <w:t>-</w:t>
            </w:r>
          </w:p>
        </w:tc>
        <w:tc>
          <w:tcPr>
            <w:tcW w:w="757" w:type="pct"/>
            <w:tcBorders>
              <w:top w:val="nil"/>
              <w:left w:val="nil"/>
              <w:bottom w:val="nil"/>
              <w:right w:val="nil"/>
            </w:tcBorders>
            <w:shd w:val="clear" w:color="auto" w:fill="auto"/>
            <w:vAlign w:val="bottom"/>
          </w:tcPr>
          <w:p w14:paraId="3F82EEC4" w14:textId="393E6AC7" w:rsidR="00397C19" w:rsidRPr="009702B0" w:rsidRDefault="00397C19" w:rsidP="00397C19">
            <w:pPr>
              <w:tabs>
                <w:tab w:val="right" w:pos="1202"/>
              </w:tabs>
              <w:spacing w:after="0" w:line="280" w:lineRule="exact"/>
              <w:jc w:val="right"/>
              <w:outlineLvl w:val="0"/>
              <w:rPr>
                <w:sz w:val="19"/>
                <w:szCs w:val="19"/>
              </w:rPr>
            </w:pPr>
            <w:r w:rsidRPr="00EF558A">
              <w:rPr>
                <w:rFonts w:eastAsia="Times New Roman" w:cs="Arial"/>
                <w:sz w:val="19"/>
                <w:szCs w:val="19"/>
                <w:lang w:val="en-US"/>
              </w:rPr>
              <w:t>76</w:t>
            </w:r>
          </w:p>
        </w:tc>
        <w:tc>
          <w:tcPr>
            <w:tcW w:w="757" w:type="pct"/>
            <w:tcBorders>
              <w:top w:val="nil"/>
              <w:left w:val="nil"/>
              <w:bottom w:val="nil"/>
              <w:right w:val="nil"/>
            </w:tcBorders>
            <w:shd w:val="clear" w:color="auto" w:fill="auto"/>
            <w:vAlign w:val="bottom"/>
          </w:tcPr>
          <w:p w14:paraId="1D0EA84D" w14:textId="2A931A5A" w:rsidR="00397C19" w:rsidRPr="009702B0" w:rsidRDefault="00397C19" w:rsidP="00397C19">
            <w:pPr>
              <w:tabs>
                <w:tab w:val="right" w:pos="1202"/>
              </w:tabs>
              <w:spacing w:after="0" w:line="280" w:lineRule="exact"/>
              <w:jc w:val="right"/>
              <w:outlineLvl w:val="0"/>
              <w:rPr>
                <w:sz w:val="19"/>
                <w:szCs w:val="19"/>
              </w:rPr>
            </w:pPr>
            <w:r>
              <w:rPr>
                <w:rFonts w:eastAsia="Times New Roman" w:cs="Arial"/>
                <w:sz w:val="19"/>
                <w:szCs w:val="19"/>
                <w:lang w:val="en-US"/>
              </w:rPr>
              <w:t>-</w:t>
            </w:r>
          </w:p>
        </w:tc>
        <w:tc>
          <w:tcPr>
            <w:tcW w:w="757" w:type="pct"/>
            <w:tcBorders>
              <w:top w:val="nil"/>
              <w:left w:val="nil"/>
              <w:bottom w:val="nil"/>
              <w:right w:val="nil"/>
            </w:tcBorders>
            <w:shd w:val="clear" w:color="auto" w:fill="auto"/>
            <w:vAlign w:val="bottom"/>
          </w:tcPr>
          <w:p w14:paraId="565B564E" w14:textId="6866C22A" w:rsidR="00397C19" w:rsidRPr="009702B0" w:rsidRDefault="00397C19" w:rsidP="00397C19">
            <w:pPr>
              <w:tabs>
                <w:tab w:val="right" w:pos="1202"/>
              </w:tabs>
              <w:spacing w:after="0" w:line="280" w:lineRule="exact"/>
              <w:jc w:val="right"/>
              <w:outlineLvl w:val="0"/>
              <w:rPr>
                <w:sz w:val="19"/>
                <w:szCs w:val="19"/>
              </w:rPr>
            </w:pPr>
            <w:r w:rsidRPr="00EF558A">
              <w:rPr>
                <w:rFonts w:eastAsia="Times New Roman" w:cs="Arial"/>
                <w:sz w:val="19"/>
                <w:szCs w:val="19"/>
                <w:lang w:val="en-US"/>
              </w:rPr>
              <w:t>76</w:t>
            </w:r>
          </w:p>
        </w:tc>
      </w:tr>
      <w:tr w:rsidR="00397C19" w:rsidRPr="009702B0" w14:paraId="1F37A1D0" w14:textId="77777777" w:rsidTr="005444AA">
        <w:trPr>
          <w:cantSplit/>
          <w:trHeight w:val="250"/>
          <w:tblHeader/>
        </w:trPr>
        <w:tc>
          <w:tcPr>
            <w:tcW w:w="1971" w:type="pct"/>
            <w:vAlign w:val="bottom"/>
          </w:tcPr>
          <w:p w14:paraId="01740C92" w14:textId="77777777" w:rsidR="00397C19" w:rsidRPr="009702B0" w:rsidRDefault="00397C19" w:rsidP="00397C19">
            <w:pPr>
              <w:tabs>
                <w:tab w:val="right" w:pos="1202"/>
              </w:tabs>
              <w:spacing w:after="0" w:line="280" w:lineRule="exact"/>
              <w:outlineLvl w:val="0"/>
              <w:rPr>
                <w:sz w:val="19"/>
                <w:szCs w:val="19"/>
              </w:rPr>
            </w:pPr>
            <w:r w:rsidRPr="009702B0">
              <w:rPr>
                <w:rFonts w:cs="Arial"/>
                <w:sz w:val="19"/>
                <w:szCs w:val="19"/>
              </w:rPr>
              <w:t>Loans to financial institutions</w:t>
            </w:r>
          </w:p>
        </w:tc>
        <w:tc>
          <w:tcPr>
            <w:tcW w:w="757" w:type="pct"/>
            <w:tcBorders>
              <w:top w:val="nil"/>
              <w:left w:val="nil"/>
              <w:bottom w:val="nil"/>
              <w:right w:val="nil"/>
            </w:tcBorders>
            <w:shd w:val="clear" w:color="auto" w:fill="auto"/>
            <w:vAlign w:val="bottom"/>
          </w:tcPr>
          <w:p w14:paraId="5C12EC78" w14:textId="4933AC6F" w:rsidR="00397C19" w:rsidRPr="009702B0" w:rsidRDefault="00397C19" w:rsidP="00397C19">
            <w:pPr>
              <w:tabs>
                <w:tab w:val="right" w:pos="1202"/>
              </w:tabs>
              <w:spacing w:after="0" w:line="280" w:lineRule="exact"/>
              <w:jc w:val="right"/>
              <w:outlineLvl w:val="0"/>
              <w:rPr>
                <w:sz w:val="19"/>
                <w:szCs w:val="19"/>
              </w:rPr>
            </w:pPr>
            <w:r w:rsidRPr="00EF558A">
              <w:rPr>
                <w:rFonts w:eastAsia="Times New Roman" w:cs="Arial"/>
                <w:sz w:val="19"/>
                <w:szCs w:val="19"/>
                <w:lang w:val="en-US"/>
              </w:rPr>
              <w:t>12</w:t>
            </w:r>
            <w:r>
              <w:rPr>
                <w:rFonts w:eastAsia="Times New Roman" w:cs="Arial"/>
                <w:sz w:val="19"/>
                <w:szCs w:val="19"/>
                <w:lang w:val="en-US"/>
              </w:rPr>
              <w:t>,</w:t>
            </w:r>
            <w:r w:rsidRPr="00EF558A">
              <w:rPr>
                <w:rFonts w:eastAsia="Times New Roman" w:cs="Arial"/>
                <w:sz w:val="19"/>
                <w:szCs w:val="19"/>
                <w:lang w:val="en-US"/>
              </w:rPr>
              <w:t>247</w:t>
            </w:r>
            <w:r>
              <w:rPr>
                <w:rFonts w:eastAsia="Times New Roman" w:cs="Arial"/>
                <w:sz w:val="19"/>
                <w:szCs w:val="19"/>
                <w:lang w:val="en-US"/>
              </w:rPr>
              <w:t>,</w:t>
            </w:r>
            <w:r w:rsidRPr="00EF558A">
              <w:rPr>
                <w:rFonts w:eastAsia="Times New Roman" w:cs="Arial"/>
                <w:sz w:val="19"/>
                <w:szCs w:val="19"/>
                <w:lang w:val="en-US"/>
              </w:rPr>
              <w:t>287</w:t>
            </w:r>
          </w:p>
        </w:tc>
        <w:tc>
          <w:tcPr>
            <w:tcW w:w="757" w:type="pct"/>
            <w:tcBorders>
              <w:top w:val="nil"/>
              <w:left w:val="nil"/>
              <w:bottom w:val="nil"/>
              <w:right w:val="nil"/>
            </w:tcBorders>
            <w:shd w:val="clear" w:color="auto" w:fill="auto"/>
            <w:vAlign w:val="bottom"/>
          </w:tcPr>
          <w:p w14:paraId="5D06909C" w14:textId="5E6AFCBB" w:rsidR="00397C19" w:rsidRPr="009702B0" w:rsidRDefault="00397C19" w:rsidP="00397C19">
            <w:pPr>
              <w:tabs>
                <w:tab w:val="right" w:pos="1202"/>
              </w:tabs>
              <w:spacing w:after="0" w:line="280" w:lineRule="exact"/>
              <w:jc w:val="right"/>
              <w:outlineLvl w:val="0"/>
              <w:rPr>
                <w:sz w:val="19"/>
                <w:szCs w:val="19"/>
              </w:rPr>
            </w:pPr>
            <w:r w:rsidRPr="00EF558A">
              <w:rPr>
                <w:rFonts w:eastAsia="Times New Roman" w:cs="Arial"/>
                <w:sz w:val="19"/>
                <w:szCs w:val="19"/>
                <w:lang w:val="en-US"/>
              </w:rPr>
              <w:t>-</w:t>
            </w:r>
          </w:p>
        </w:tc>
        <w:tc>
          <w:tcPr>
            <w:tcW w:w="757" w:type="pct"/>
            <w:tcBorders>
              <w:top w:val="nil"/>
              <w:left w:val="nil"/>
              <w:bottom w:val="nil"/>
              <w:right w:val="nil"/>
            </w:tcBorders>
            <w:shd w:val="clear" w:color="auto" w:fill="auto"/>
            <w:vAlign w:val="bottom"/>
          </w:tcPr>
          <w:p w14:paraId="5FE68DE2" w14:textId="496E8D0A" w:rsidR="00397C19" w:rsidRPr="009702B0" w:rsidRDefault="00397C19" w:rsidP="00397C19">
            <w:pPr>
              <w:tabs>
                <w:tab w:val="right" w:pos="1202"/>
              </w:tabs>
              <w:spacing w:after="0" w:line="280" w:lineRule="exact"/>
              <w:jc w:val="right"/>
              <w:outlineLvl w:val="0"/>
              <w:rPr>
                <w:sz w:val="19"/>
                <w:szCs w:val="19"/>
              </w:rPr>
            </w:pPr>
            <w:r w:rsidRPr="00EF558A">
              <w:rPr>
                <w:rFonts w:eastAsia="Times New Roman" w:cs="Arial"/>
                <w:sz w:val="19"/>
                <w:szCs w:val="19"/>
                <w:lang w:val="en-US"/>
              </w:rPr>
              <w:t>-</w:t>
            </w:r>
          </w:p>
        </w:tc>
        <w:tc>
          <w:tcPr>
            <w:tcW w:w="757" w:type="pct"/>
            <w:tcBorders>
              <w:top w:val="nil"/>
              <w:left w:val="nil"/>
              <w:bottom w:val="nil"/>
              <w:right w:val="nil"/>
            </w:tcBorders>
            <w:shd w:val="clear" w:color="auto" w:fill="auto"/>
            <w:vAlign w:val="bottom"/>
          </w:tcPr>
          <w:p w14:paraId="2ADDEF72" w14:textId="3125A32F" w:rsidR="00397C19" w:rsidRPr="009702B0" w:rsidRDefault="00397C19" w:rsidP="00397C19">
            <w:pPr>
              <w:tabs>
                <w:tab w:val="right" w:pos="1202"/>
              </w:tabs>
              <w:spacing w:after="0" w:line="280" w:lineRule="exact"/>
              <w:jc w:val="right"/>
              <w:outlineLvl w:val="0"/>
              <w:rPr>
                <w:sz w:val="19"/>
                <w:szCs w:val="19"/>
              </w:rPr>
            </w:pPr>
            <w:r w:rsidRPr="00EF558A">
              <w:rPr>
                <w:rFonts w:eastAsia="Times New Roman" w:cs="Arial"/>
                <w:sz w:val="19"/>
                <w:szCs w:val="19"/>
                <w:lang w:val="en-US"/>
              </w:rPr>
              <w:t>12</w:t>
            </w:r>
            <w:r>
              <w:rPr>
                <w:rFonts w:eastAsia="Times New Roman" w:cs="Arial"/>
                <w:sz w:val="19"/>
                <w:szCs w:val="19"/>
                <w:lang w:val="en-US"/>
              </w:rPr>
              <w:t>,</w:t>
            </w:r>
            <w:r w:rsidRPr="00EF558A">
              <w:rPr>
                <w:rFonts w:eastAsia="Times New Roman" w:cs="Arial"/>
                <w:sz w:val="19"/>
                <w:szCs w:val="19"/>
                <w:lang w:val="en-US"/>
              </w:rPr>
              <w:t>247</w:t>
            </w:r>
            <w:r>
              <w:rPr>
                <w:rFonts w:eastAsia="Times New Roman" w:cs="Arial"/>
                <w:sz w:val="19"/>
                <w:szCs w:val="19"/>
                <w:lang w:val="en-US"/>
              </w:rPr>
              <w:t>,</w:t>
            </w:r>
            <w:r w:rsidRPr="00EF558A">
              <w:rPr>
                <w:rFonts w:eastAsia="Times New Roman" w:cs="Arial"/>
                <w:sz w:val="19"/>
                <w:szCs w:val="19"/>
                <w:lang w:val="en-US"/>
              </w:rPr>
              <w:t>287</w:t>
            </w:r>
          </w:p>
        </w:tc>
      </w:tr>
      <w:tr w:rsidR="00397C19" w:rsidRPr="009702B0" w14:paraId="0FC5CDB7" w14:textId="77777777" w:rsidTr="005444AA">
        <w:trPr>
          <w:cantSplit/>
          <w:trHeight w:val="250"/>
          <w:tblHeader/>
        </w:trPr>
        <w:tc>
          <w:tcPr>
            <w:tcW w:w="1971" w:type="pct"/>
            <w:vAlign w:val="bottom"/>
          </w:tcPr>
          <w:p w14:paraId="34476149" w14:textId="77777777" w:rsidR="00397C19" w:rsidRPr="009702B0" w:rsidRDefault="00397C19" w:rsidP="00397C19">
            <w:pPr>
              <w:tabs>
                <w:tab w:val="right" w:pos="1202"/>
              </w:tabs>
              <w:spacing w:after="0" w:line="280" w:lineRule="exact"/>
              <w:outlineLvl w:val="0"/>
              <w:rPr>
                <w:sz w:val="19"/>
                <w:szCs w:val="19"/>
              </w:rPr>
            </w:pPr>
            <w:r w:rsidRPr="009702B0">
              <w:rPr>
                <w:rFonts w:cs="Arial"/>
                <w:sz w:val="19"/>
                <w:szCs w:val="19"/>
              </w:rPr>
              <w:t>Loans to other customers</w:t>
            </w:r>
          </w:p>
        </w:tc>
        <w:tc>
          <w:tcPr>
            <w:tcW w:w="757" w:type="pct"/>
            <w:tcBorders>
              <w:top w:val="nil"/>
              <w:left w:val="nil"/>
              <w:bottom w:val="nil"/>
              <w:right w:val="nil"/>
            </w:tcBorders>
            <w:shd w:val="clear" w:color="auto" w:fill="auto"/>
            <w:vAlign w:val="bottom"/>
          </w:tcPr>
          <w:p w14:paraId="316BF441" w14:textId="0BF200CB" w:rsidR="00397C19" w:rsidRPr="009702B0" w:rsidRDefault="00397C19" w:rsidP="00397C19">
            <w:pPr>
              <w:tabs>
                <w:tab w:val="right" w:pos="1202"/>
              </w:tabs>
              <w:spacing w:after="0" w:line="280" w:lineRule="exact"/>
              <w:jc w:val="right"/>
              <w:outlineLvl w:val="0"/>
              <w:rPr>
                <w:sz w:val="19"/>
                <w:szCs w:val="19"/>
              </w:rPr>
            </w:pPr>
            <w:r w:rsidRPr="00EF558A">
              <w:rPr>
                <w:rFonts w:eastAsia="Times New Roman" w:cs="Arial"/>
                <w:sz w:val="19"/>
                <w:szCs w:val="19"/>
                <w:lang w:val="en-US"/>
              </w:rPr>
              <w:t>11</w:t>
            </w:r>
            <w:r>
              <w:rPr>
                <w:rFonts w:eastAsia="Times New Roman" w:cs="Arial"/>
                <w:sz w:val="19"/>
                <w:szCs w:val="19"/>
                <w:lang w:val="en-US"/>
              </w:rPr>
              <w:t>,</w:t>
            </w:r>
            <w:r w:rsidRPr="00EF558A">
              <w:rPr>
                <w:rFonts w:eastAsia="Times New Roman" w:cs="Arial"/>
                <w:sz w:val="19"/>
                <w:szCs w:val="19"/>
                <w:lang w:val="en-US"/>
              </w:rPr>
              <w:t>589</w:t>
            </w:r>
            <w:r>
              <w:rPr>
                <w:rFonts w:eastAsia="Times New Roman" w:cs="Arial"/>
                <w:sz w:val="19"/>
                <w:szCs w:val="19"/>
                <w:lang w:val="en-US"/>
              </w:rPr>
              <w:t>,</w:t>
            </w:r>
            <w:r w:rsidRPr="00EF558A">
              <w:rPr>
                <w:rFonts w:eastAsia="Times New Roman" w:cs="Arial"/>
                <w:sz w:val="19"/>
                <w:szCs w:val="19"/>
                <w:lang w:val="en-US"/>
              </w:rPr>
              <w:t>479</w:t>
            </w:r>
          </w:p>
        </w:tc>
        <w:tc>
          <w:tcPr>
            <w:tcW w:w="757" w:type="pct"/>
            <w:tcBorders>
              <w:top w:val="nil"/>
              <w:left w:val="nil"/>
              <w:bottom w:val="nil"/>
              <w:right w:val="nil"/>
            </w:tcBorders>
            <w:shd w:val="clear" w:color="auto" w:fill="auto"/>
            <w:vAlign w:val="bottom"/>
          </w:tcPr>
          <w:p w14:paraId="15862713" w14:textId="5E15207E" w:rsidR="00397C19" w:rsidRPr="009702B0" w:rsidRDefault="00397C19" w:rsidP="00397C19">
            <w:pPr>
              <w:tabs>
                <w:tab w:val="right" w:pos="1202"/>
              </w:tabs>
              <w:spacing w:after="0" w:line="280" w:lineRule="exact"/>
              <w:jc w:val="right"/>
              <w:outlineLvl w:val="0"/>
              <w:rPr>
                <w:sz w:val="19"/>
                <w:szCs w:val="19"/>
              </w:rPr>
            </w:pPr>
            <w:r w:rsidRPr="00EF558A">
              <w:rPr>
                <w:rFonts w:eastAsia="Times New Roman" w:cs="Arial"/>
                <w:sz w:val="19"/>
                <w:szCs w:val="19"/>
                <w:lang w:val="en-US"/>
              </w:rPr>
              <w:t>-</w:t>
            </w:r>
          </w:p>
        </w:tc>
        <w:tc>
          <w:tcPr>
            <w:tcW w:w="757" w:type="pct"/>
            <w:tcBorders>
              <w:top w:val="nil"/>
              <w:left w:val="nil"/>
              <w:bottom w:val="nil"/>
              <w:right w:val="nil"/>
            </w:tcBorders>
            <w:shd w:val="clear" w:color="auto" w:fill="auto"/>
            <w:vAlign w:val="bottom"/>
          </w:tcPr>
          <w:p w14:paraId="5695C5FD" w14:textId="6B8C7D2E" w:rsidR="00397C19" w:rsidRPr="009702B0" w:rsidRDefault="00397C19" w:rsidP="00397C19">
            <w:pPr>
              <w:tabs>
                <w:tab w:val="right" w:pos="1202"/>
              </w:tabs>
              <w:spacing w:after="0" w:line="280" w:lineRule="exact"/>
              <w:jc w:val="right"/>
              <w:outlineLvl w:val="0"/>
              <w:rPr>
                <w:sz w:val="19"/>
                <w:szCs w:val="19"/>
              </w:rPr>
            </w:pPr>
            <w:r w:rsidRPr="00EF558A">
              <w:rPr>
                <w:rFonts w:eastAsia="Times New Roman" w:cs="Arial"/>
                <w:sz w:val="19"/>
                <w:szCs w:val="19"/>
                <w:lang w:val="en-US"/>
              </w:rPr>
              <w:t>323</w:t>
            </w:r>
            <w:r>
              <w:rPr>
                <w:rFonts w:eastAsia="Times New Roman" w:cs="Arial"/>
                <w:sz w:val="19"/>
                <w:szCs w:val="19"/>
                <w:lang w:val="en-US"/>
              </w:rPr>
              <w:t>,</w:t>
            </w:r>
            <w:r w:rsidRPr="00EF558A">
              <w:rPr>
                <w:rFonts w:eastAsia="Times New Roman" w:cs="Arial"/>
                <w:sz w:val="19"/>
                <w:szCs w:val="19"/>
                <w:lang w:val="en-US"/>
              </w:rPr>
              <w:t>733</w:t>
            </w:r>
          </w:p>
        </w:tc>
        <w:tc>
          <w:tcPr>
            <w:tcW w:w="757" w:type="pct"/>
            <w:tcBorders>
              <w:top w:val="nil"/>
              <w:left w:val="nil"/>
              <w:bottom w:val="nil"/>
              <w:right w:val="nil"/>
            </w:tcBorders>
            <w:shd w:val="clear" w:color="auto" w:fill="auto"/>
            <w:vAlign w:val="bottom"/>
          </w:tcPr>
          <w:p w14:paraId="4AD95CB1" w14:textId="07AB2DC6" w:rsidR="00397C19" w:rsidRPr="009702B0" w:rsidRDefault="00397C19" w:rsidP="00397C19">
            <w:pPr>
              <w:tabs>
                <w:tab w:val="right" w:pos="1202"/>
              </w:tabs>
              <w:spacing w:after="0" w:line="280" w:lineRule="exact"/>
              <w:jc w:val="right"/>
              <w:outlineLvl w:val="0"/>
              <w:rPr>
                <w:sz w:val="19"/>
                <w:szCs w:val="19"/>
              </w:rPr>
            </w:pPr>
            <w:r w:rsidRPr="00EF558A">
              <w:rPr>
                <w:rFonts w:eastAsia="Times New Roman" w:cs="Arial"/>
                <w:sz w:val="19"/>
                <w:szCs w:val="19"/>
                <w:lang w:val="en-US"/>
              </w:rPr>
              <w:t>11</w:t>
            </w:r>
            <w:r>
              <w:rPr>
                <w:rFonts w:eastAsia="Times New Roman" w:cs="Arial"/>
                <w:sz w:val="19"/>
                <w:szCs w:val="19"/>
                <w:lang w:val="en-US"/>
              </w:rPr>
              <w:t>,</w:t>
            </w:r>
            <w:r w:rsidRPr="00EF558A">
              <w:rPr>
                <w:rFonts w:eastAsia="Times New Roman" w:cs="Arial"/>
                <w:sz w:val="19"/>
                <w:szCs w:val="19"/>
                <w:lang w:val="en-US"/>
              </w:rPr>
              <w:t>913</w:t>
            </w:r>
            <w:r>
              <w:rPr>
                <w:rFonts w:eastAsia="Times New Roman" w:cs="Arial"/>
                <w:sz w:val="19"/>
                <w:szCs w:val="19"/>
                <w:lang w:val="en-US"/>
              </w:rPr>
              <w:t>,</w:t>
            </w:r>
            <w:r w:rsidRPr="00EF558A">
              <w:rPr>
                <w:rFonts w:eastAsia="Times New Roman" w:cs="Arial"/>
                <w:sz w:val="19"/>
                <w:szCs w:val="19"/>
                <w:lang w:val="en-US"/>
              </w:rPr>
              <w:t>212</w:t>
            </w:r>
          </w:p>
        </w:tc>
      </w:tr>
      <w:tr w:rsidR="00397C19" w:rsidRPr="009702B0" w14:paraId="4368FB01" w14:textId="77777777" w:rsidTr="005444AA">
        <w:trPr>
          <w:cantSplit/>
          <w:trHeight w:val="250"/>
          <w:tblHeader/>
        </w:trPr>
        <w:tc>
          <w:tcPr>
            <w:tcW w:w="1971" w:type="pct"/>
            <w:vAlign w:val="bottom"/>
          </w:tcPr>
          <w:p w14:paraId="3271B009" w14:textId="77777777" w:rsidR="00397C19" w:rsidRPr="009702B0" w:rsidRDefault="00397C19" w:rsidP="00397C19">
            <w:pPr>
              <w:tabs>
                <w:tab w:val="right" w:pos="1202"/>
              </w:tabs>
              <w:spacing w:after="0" w:line="280" w:lineRule="exact"/>
              <w:outlineLvl w:val="0"/>
              <w:rPr>
                <w:sz w:val="19"/>
                <w:szCs w:val="19"/>
              </w:rPr>
            </w:pPr>
            <w:r w:rsidRPr="009702B0">
              <w:rPr>
                <w:rFonts w:cs="Arial"/>
                <w:sz w:val="19"/>
                <w:szCs w:val="19"/>
              </w:rPr>
              <w:t xml:space="preserve">Financial assets at fair value through profit or loss </w:t>
            </w:r>
          </w:p>
        </w:tc>
        <w:tc>
          <w:tcPr>
            <w:tcW w:w="757" w:type="pct"/>
            <w:tcBorders>
              <w:top w:val="nil"/>
              <w:left w:val="nil"/>
              <w:bottom w:val="nil"/>
              <w:right w:val="nil"/>
            </w:tcBorders>
            <w:shd w:val="clear" w:color="auto" w:fill="auto"/>
            <w:vAlign w:val="bottom"/>
          </w:tcPr>
          <w:p w14:paraId="4E7B18D8" w14:textId="4D07B34F" w:rsidR="00397C19" w:rsidRPr="009702B0" w:rsidRDefault="00397C19" w:rsidP="00397C19">
            <w:pPr>
              <w:tabs>
                <w:tab w:val="right" w:pos="1202"/>
              </w:tabs>
              <w:spacing w:after="0" w:line="280" w:lineRule="exact"/>
              <w:jc w:val="right"/>
              <w:outlineLvl w:val="0"/>
              <w:rPr>
                <w:sz w:val="19"/>
                <w:szCs w:val="19"/>
              </w:rPr>
            </w:pPr>
            <w:r w:rsidRPr="00EF558A">
              <w:rPr>
                <w:rFonts w:eastAsia="Times New Roman" w:cs="Arial"/>
                <w:sz w:val="19"/>
                <w:szCs w:val="19"/>
                <w:lang w:val="en-US"/>
              </w:rPr>
              <w:t>288</w:t>
            </w:r>
          </w:p>
        </w:tc>
        <w:tc>
          <w:tcPr>
            <w:tcW w:w="757" w:type="pct"/>
            <w:tcBorders>
              <w:top w:val="nil"/>
              <w:left w:val="nil"/>
              <w:bottom w:val="nil"/>
              <w:right w:val="nil"/>
            </w:tcBorders>
            <w:shd w:val="clear" w:color="auto" w:fill="auto"/>
            <w:vAlign w:val="bottom"/>
          </w:tcPr>
          <w:p w14:paraId="6374EC8F" w14:textId="3B76C83F" w:rsidR="00397C19" w:rsidRPr="009702B0" w:rsidRDefault="00397C19" w:rsidP="00397C19">
            <w:pPr>
              <w:tabs>
                <w:tab w:val="right" w:pos="1202"/>
              </w:tabs>
              <w:spacing w:after="0" w:line="280" w:lineRule="exact"/>
              <w:jc w:val="right"/>
              <w:outlineLvl w:val="0"/>
              <w:rPr>
                <w:sz w:val="19"/>
                <w:szCs w:val="19"/>
                <w:lang w:val="pl-PL"/>
              </w:rPr>
            </w:pPr>
            <w:r>
              <w:rPr>
                <w:rFonts w:eastAsia="Times New Roman" w:cs="Arial"/>
                <w:sz w:val="19"/>
                <w:szCs w:val="19"/>
                <w:lang w:val="en-US"/>
              </w:rPr>
              <w:t>-</w:t>
            </w:r>
          </w:p>
        </w:tc>
        <w:tc>
          <w:tcPr>
            <w:tcW w:w="757" w:type="pct"/>
            <w:tcBorders>
              <w:top w:val="nil"/>
              <w:left w:val="nil"/>
              <w:bottom w:val="nil"/>
              <w:right w:val="nil"/>
            </w:tcBorders>
            <w:shd w:val="clear" w:color="auto" w:fill="auto"/>
            <w:vAlign w:val="bottom"/>
          </w:tcPr>
          <w:p w14:paraId="17A41ED7" w14:textId="56ECFDF7" w:rsidR="00397C19" w:rsidRPr="009702B0" w:rsidRDefault="00397C19" w:rsidP="00397C19">
            <w:pPr>
              <w:tabs>
                <w:tab w:val="right" w:pos="1202"/>
              </w:tabs>
              <w:spacing w:after="0" w:line="280" w:lineRule="exact"/>
              <w:jc w:val="right"/>
              <w:outlineLvl w:val="0"/>
              <w:rPr>
                <w:sz w:val="19"/>
                <w:szCs w:val="19"/>
                <w:lang w:val="pl-PL"/>
              </w:rPr>
            </w:pPr>
            <w:r>
              <w:rPr>
                <w:rFonts w:eastAsia="Times New Roman" w:cs="Arial"/>
                <w:sz w:val="19"/>
                <w:szCs w:val="19"/>
                <w:lang w:val="en-US"/>
              </w:rPr>
              <w:t>-</w:t>
            </w:r>
          </w:p>
        </w:tc>
        <w:tc>
          <w:tcPr>
            <w:tcW w:w="757" w:type="pct"/>
            <w:tcBorders>
              <w:top w:val="nil"/>
              <w:left w:val="nil"/>
              <w:bottom w:val="nil"/>
              <w:right w:val="nil"/>
            </w:tcBorders>
            <w:shd w:val="clear" w:color="auto" w:fill="auto"/>
            <w:vAlign w:val="bottom"/>
          </w:tcPr>
          <w:p w14:paraId="0E3FDF5F" w14:textId="5CD7C7D8" w:rsidR="00397C19" w:rsidRPr="009702B0" w:rsidRDefault="00397C19" w:rsidP="00397C19">
            <w:pPr>
              <w:tabs>
                <w:tab w:val="right" w:pos="1202"/>
              </w:tabs>
              <w:spacing w:after="0" w:line="280" w:lineRule="exact"/>
              <w:jc w:val="right"/>
              <w:outlineLvl w:val="0"/>
              <w:rPr>
                <w:sz w:val="19"/>
                <w:szCs w:val="19"/>
                <w:lang w:val="pl-PL"/>
              </w:rPr>
            </w:pPr>
            <w:r w:rsidRPr="00EF558A">
              <w:rPr>
                <w:rFonts w:eastAsia="Times New Roman" w:cs="Arial"/>
                <w:sz w:val="19"/>
                <w:szCs w:val="19"/>
                <w:lang w:val="en-US"/>
              </w:rPr>
              <w:t>288</w:t>
            </w:r>
          </w:p>
        </w:tc>
      </w:tr>
      <w:tr w:rsidR="00397C19" w:rsidRPr="009702B0" w14:paraId="519DA37B" w14:textId="77777777" w:rsidTr="005444AA">
        <w:trPr>
          <w:cantSplit/>
          <w:trHeight w:val="250"/>
          <w:tblHeader/>
        </w:trPr>
        <w:tc>
          <w:tcPr>
            <w:tcW w:w="1971" w:type="pct"/>
            <w:vAlign w:val="bottom"/>
          </w:tcPr>
          <w:p w14:paraId="2D7237BF" w14:textId="77777777" w:rsidR="00397C19" w:rsidRPr="009702B0" w:rsidRDefault="00397C19" w:rsidP="00397C19">
            <w:pPr>
              <w:tabs>
                <w:tab w:val="right" w:pos="1202"/>
              </w:tabs>
              <w:spacing w:after="0" w:line="280" w:lineRule="exact"/>
              <w:outlineLvl w:val="0"/>
              <w:rPr>
                <w:sz w:val="19"/>
                <w:szCs w:val="19"/>
              </w:rPr>
            </w:pPr>
            <w:r w:rsidRPr="009702B0">
              <w:rPr>
                <w:rFonts w:cs="Arial"/>
                <w:sz w:val="19"/>
                <w:szCs w:val="19"/>
              </w:rPr>
              <w:t>Assets available for sale</w:t>
            </w:r>
          </w:p>
        </w:tc>
        <w:tc>
          <w:tcPr>
            <w:tcW w:w="757" w:type="pct"/>
            <w:tcBorders>
              <w:top w:val="nil"/>
              <w:left w:val="nil"/>
              <w:bottom w:val="nil"/>
              <w:right w:val="nil"/>
            </w:tcBorders>
            <w:shd w:val="clear" w:color="auto" w:fill="auto"/>
            <w:vAlign w:val="bottom"/>
          </w:tcPr>
          <w:p w14:paraId="11D160D3" w14:textId="5D1A7E83" w:rsidR="00397C19" w:rsidRPr="009702B0" w:rsidRDefault="00397C19" w:rsidP="00397C19">
            <w:pPr>
              <w:tabs>
                <w:tab w:val="right" w:pos="1202"/>
              </w:tabs>
              <w:spacing w:after="0" w:line="280" w:lineRule="exact"/>
              <w:jc w:val="right"/>
              <w:outlineLvl w:val="0"/>
              <w:rPr>
                <w:sz w:val="19"/>
                <w:szCs w:val="19"/>
              </w:rPr>
            </w:pPr>
            <w:r w:rsidRPr="00EF558A">
              <w:rPr>
                <w:rFonts w:eastAsia="Times New Roman" w:cs="Arial"/>
                <w:sz w:val="19"/>
                <w:szCs w:val="19"/>
                <w:lang w:val="en-US"/>
              </w:rPr>
              <w:t>3</w:t>
            </w:r>
            <w:r>
              <w:rPr>
                <w:rFonts w:eastAsia="Times New Roman" w:cs="Arial"/>
                <w:sz w:val="19"/>
                <w:szCs w:val="19"/>
                <w:lang w:val="en-US"/>
              </w:rPr>
              <w:t>,</w:t>
            </w:r>
            <w:r w:rsidRPr="00EF558A">
              <w:rPr>
                <w:rFonts w:eastAsia="Times New Roman" w:cs="Arial"/>
                <w:sz w:val="19"/>
                <w:szCs w:val="19"/>
                <w:lang w:val="en-US"/>
              </w:rPr>
              <w:t>271</w:t>
            </w:r>
            <w:r>
              <w:rPr>
                <w:rFonts w:eastAsia="Times New Roman" w:cs="Arial"/>
                <w:sz w:val="19"/>
                <w:szCs w:val="19"/>
                <w:lang w:val="en-US"/>
              </w:rPr>
              <w:t>,</w:t>
            </w:r>
            <w:r w:rsidRPr="00EF558A">
              <w:rPr>
                <w:rFonts w:eastAsia="Times New Roman" w:cs="Arial"/>
                <w:sz w:val="19"/>
                <w:szCs w:val="19"/>
                <w:lang w:val="en-US"/>
              </w:rPr>
              <w:t>673</w:t>
            </w:r>
          </w:p>
        </w:tc>
        <w:tc>
          <w:tcPr>
            <w:tcW w:w="757" w:type="pct"/>
            <w:tcBorders>
              <w:top w:val="nil"/>
              <w:left w:val="nil"/>
              <w:bottom w:val="nil"/>
              <w:right w:val="nil"/>
            </w:tcBorders>
            <w:shd w:val="clear" w:color="auto" w:fill="auto"/>
            <w:vAlign w:val="bottom"/>
          </w:tcPr>
          <w:p w14:paraId="287C283D" w14:textId="5C7447A6" w:rsidR="00397C19" w:rsidRPr="009702B0" w:rsidRDefault="00397C19" w:rsidP="00397C19">
            <w:pPr>
              <w:tabs>
                <w:tab w:val="right" w:pos="1202"/>
              </w:tabs>
              <w:spacing w:after="0" w:line="280" w:lineRule="exact"/>
              <w:jc w:val="right"/>
              <w:outlineLvl w:val="0"/>
              <w:rPr>
                <w:sz w:val="19"/>
                <w:szCs w:val="19"/>
              </w:rPr>
            </w:pPr>
            <w:r>
              <w:rPr>
                <w:rFonts w:eastAsia="Times New Roman" w:cs="Arial"/>
                <w:sz w:val="19"/>
                <w:szCs w:val="19"/>
                <w:lang w:val="en-US"/>
              </w:rPr>
              <w:t>-</w:t>
            </w:r>
          </w:p>
        </w:tc>
        <w:tc>
          <w:tcPr>
            <w:tcW w:w="757" w:type="pct"/>
            <w:tcBorders>
              <w:top w:val="nil"/>
              <w:left w:val="nil"/>
              <w:bottom w:val="nil"/>
              <w:right w:val="nil"/>
            </w:tcBorders>
            <w:shd w:val="clear" w:color="auto" w:fill="auto"/>
            <w:vAlign w:val="bottom"/>
          </w:tcPr>
          <w:p w14:paraId="3E207EBB" w14:textId="45FAFCEA" w:rsidR="00397C19" w:rsidRPr="009702B0" w:rsidRDefault="00397C19" w:rsidP="00397C19">
            <w:pPr>
              <w:tabs>
                <w:tab w:val="right" w:pos="1202"/>
              </w:tabs>
              <w:spacing w:after="0" w:line="280" w:lineRule="exact"/>
              <w:jc w:val="right"/>
              <w:outlineLvl w:val="0"/>
              <w:rPr>
                <w:sz w:val="19"/>
                <w:szCs w:val="19"/>
              </w:rPr>
            </w:pPr>
            <w:r>
              <w:rPr>
                <w:rFonts w:eastAsia="Times New Roman" w:cs="Arial"/>
                <w:sz w:val="19"/>
                <w:szCs w:val="19"/>
                <w:lang w:val="en-US"/>
              </w:rPr>
              <w:t>-</w:t>
            </w:r>
          </w:p>
        </w:tc>
        <w:tc>
          <w:tcPr>
            <w:tcW w:w="757" w:type="pct"/>
            <w:tcBorders>
              <w:top w:val="nil"/>
              <w:left w:val="nil"/>
              <w:bottom w:val="nil"/>
              <w:right w:val="nil"/>
            </w:tcBorders>
            <w:shd w:val="clear" w:color="auto" w:fill="auto"/>
            <w:vAlign w:val="bottom"/>
          </w:tcPr>
          <w:p w14:paraId="7FAAAC36" w14:textId="73ED7FE5" w:rsidR="00397C19" w:rsidRPr="009702B0" w:rsidRDefault="00397C19" w:rsidP="00397C19">
            <w:pPr>
              <w:tabs>
                <w:tab w:val="right" w:pos="1202"/>
              </w:tabs>
              <w:spacing w:after="0" w:line="280" w:lineRule="exact"/>
              <w:jc w:val="right"/>
              <w:outlineLvl w:val="0"/>
              <w:rPr>
                <w:sz w:val="19"/>
                <w:szCs w:val="19"/>
              </w:rPr>
            </w:pPr>
            <w:r w:rsidRPr="00EF558A">
              <w:rPr>
                <w:rFonts w:eastAsia="Times New Roman" w:cs="Arial"/>
                <w:sz w:val="19"/>
                <w:szCs w:val="19"/>
                <w:lang w:val="en-US"/>
              </w:rPr>
              <w:t>3</w:t>
            </w:r>
            <w:r>
              <w:rPr>
                <w:rFonts w:eastAsia="Times New Roman" w:cs="Arial"/>
                <w:sz w:val="19"/>
                <w:szCs w:val="19"/>
                <w:lang w:val="en-US"/>
              </w:rPr>
              <w:t>,</w:t>
            </w:r>
            <w:r w:rsidRPr="00EF558A">
              <w:rPr>
                <w:rFonts w:eastAsia="Times New Roman" w:cs="Arial"/>
                <w:sz w:val="19"/>
                <w:szCs w:val="19"/>
                <w:lang w:val="en-US"/>
              </w:rPr>
              <w:t>271</w:t>
            </w:r>
            <w:r>
              <w:rPr>
                <w:rFonts w:eastAsia="Times New Roman" w:cs="Arial"/>
                <w:sz w:val="19"/>
                <w:szCs w:val="19"/>
                <w:lang w:val="en-US"/>
              </w:rPr>
              <w:t>,</w:t>
            </w:r>
            <w:r w:rsidRPr="00EF558A">
              <w:rPr>
                <w:rFonts w:eastAsia="Times New Roman" w:cs="Arial"/>
                <w:sz w:val="19"/>
                <w:szCs w:val="19"/>
                <w:lang w:val="en-US"/>
              </w:rPr>
              <w:t>673</w:t>
            </w:r>
          </w:p>
        </w:tc>
      </w:tr>
      <w:tr w:rsidR="00397C19" w:rsidRPr="009702B0" w14:paraId="4C5BF809" w14:textId="77777777" w:rsidTr="005444AA">
        <w:trPr>
          <w:cantSplit/>
          <w:trHeight w:val="250"/>
          <w:tblHeader/>
        </w:trPr>
        <w:tc>
          <w:tcPr>
            <w:tcW w:w="1971" w:type="pct"/>
            <w:vAlign w:val="bottom"/>
          </w:tcPr>
          <w:p w14:paraId="279575EF" w14:textId="77777777" w:rsidR="00397C19" w:rsidRPr="009702B0" w:rsidRDefault="00397C19" w:rsidP="00397C19">
            <w:pPr>
              <w:tabs>
                <w:tab w:val="right" w:pos="1202"/>
              </w:tabs>
              <w:spacing w:after="0" w:line="280" w:lineRule="exact"/>
              <w:outlineLvl w:val="0"/>
              <w:rPr>
                <w:sz w:val="19"/>
                <w:szCs w:val="19"/>
              </w:rPr>
            </w:pPr>
            <w:r w:rsidRPr="009702B0">
              <w:rPr>
                <w:sz w:val="19"/>
                <w:szCs w:val="19"/>
              </w:rPr>
              <w:t>Assets held to maturity</w:t>
            </w:r>
          </w:p>
        </w:tc>
        <w:tc>
          <w:tcPr>
            <w:tcW w:w="757" w:type="pct"/>
            <w:tcBorders>
              <w:top w:val="nil"/>
              <w:left w:val="nil"/>
              <w:bottom w:val="nil"/>
              <w:right w:val="nil"/>
            </w:tcBorders>
            <w:shd w:val="clear" w:color="auto" w:fill="auto"/>
            <w:vAlign w:val="bottom"/>
          </w:tcPr>
          <w:p w14:paraId="2BDA19E8" w14:textId="7950772A" w:rsidR="00397C19" w:rsidRPr="009702B0" w:rsidRDefault="00397C19" w:rsidP="00397C19">
            <w:pPr>
              <w:tabs>
                <w:tab w:val="right" w:pos="1202"/>
              </w:tabs>
              <w:spacing w:after="0" w:line="280" w:lineRule="exact"/>
              <w:jc w:val="right"/>
              <w:outlineLvl w:val="0"/>
              <w:rPr>
                <w:sz w:val="19"/>
                <w:szCs w:val="19"/>
              </w:rPr>
            </w:pPr>
            <w:r w:rsidRPr="00EF558A">
              <w:rPr>
                <w:rFonts w:eastAsia="Times New Roman" w:cs="Arial"/>
                <w:sz w:val="19"/>
                <w:szCs w:val="19"/>
                <w:lang w:val="en-US"/>
              </w:rPr>
              <w:t>1</w:t>
            </w:r>
            <w:r>
              <w:rPr>
                <w:rFonts w:eastAsia="Times New Roman" w:cs="Arial"/>
                <w:sz w:val="19"/>
                <w:szCs w:val="19"/>
                <w:lang w:val="en-US"/>
              </w:rPr>
              <w:t>,</w:t>
            </w:r>
            <w:r w:rsidRPr="00EF558A">
              <w:rPr>
                <w:rFonts w:eastAsia="Times New Roman" w:cs="Arial"/>
                <w:sz w:val="19"/>
                <w:szCs w:val="19"/>
                <w:lang w:val="en-US"/>
              </w:rPr>
              <w:t>404</w:t>
            </w:r>
          </w:p>
        </w:tc>
        <w:tc>
          <w:tcPr>
            <w:tcW w:w="757" w:type="pct"/>
            <w:tcBorders>
              <w:top w:val="nil"/>
              <w:left w:val="nil"/>
              <w:bottom w:val="nil"/>
              <w:right w:val="nil"/>
            </w:tcBorders>
            <w:shd w:val="clear" w:color="auto" w:fill="auto"/>
            <w:vAlign w:val="bottom"/>
          </w:tcPr>
          <w:p w14:paraId="6920A914" w14:textId="1EF87395" w:rsidR="00397C19" w:rsidRPr="009702B0" w:rsidRDefault="00397C19" w:rsidP="00397C19">
            <w:pPr>
              <w:tabs>
                <w:tab w:val="right" w:pos="1202"/>
              </w:tabs>
              <w:spacing w:after="0" w:line="280" w:lineRule="exact"/>
              <w:jc w:val="right"/>
              <w:outlineLvl w:val="0"/>
              <w:rPr>
                <w:sz w:val="19"/>
                <w:szCs w:val="19"/>
                <w:lang w:val="pl-PL"/>
              </w:rPr>
            </w:pPr>
            <w:r>
              <w:rPr>
                <w:rFonts w:eastAsia="Times New Roman" w:cs="Arial"/>
                <w:sz w:val="19"/>
                <w:szCs w:val="19"/>
                <w:lang w:val="en-US"/>
              </w:rPr>
              <w:t>-</w:t>
            </w:r>
          </w:p>
        </w:tc>
        <w:tc>
          <w:tcPr>
            <w:tcW w:w="757" w:type="pct"/>
            <w:tcBorders>
              <w:top w:val="nil"/>
              <w:left w:val="nil"/>
              <w:bottom w:val="nil"/>
              <w:right w:val="nil"/>
            </w:tcBorders>
            <w:shd w:val="clear" w:color="auto" w:fill="auto"/>
            <w:vAlign w:val="bottom"/>
          </w:tcPr>
          <w:p w14:paraId="25034F44" w14:textId="3C76CF34" w:rsidR="00397C19" w:rsidRPr="009702B0" w:rsidRDefault="00397C19" w:rsidP="00397C19">
            <w:pPr>
              <w:tabs>
                <w:tab w:val="right" w:pos="1202"/>
              </w:tabs>
              <w:spacing w:after="0" w:line="280" w:lineRule="exact"/>
              <w:jc w:val="right"/>
              <w:outlineLvl w:val="0"/>
              <w:rPr>
                <w:sz w:val="19"/>
                <w:szCs w:val="19"/>
                <w:lang w:val="pl-PL"/>
              </w:rPr>
            </w:pPr>
            <w:r>
              <w:rPr>
                <w:rFonts w:eastAsia="Times New Roman" w:cs="Arial"/>
                <w:sz w:val="19"/>
                <w:szCs w:val="19"/>
                <w:lang w:val="en-US"/>
              </w:rPr>
              <w:t>-</w:t>
            </w:r>
          </w:p>
        </w:tc>
        <w:tc>
          <w:tcPr>
            <w:tcW w:w="757" w:type="pct"/>
            <w:tcBorders>
              <w:top w:val="nil"/>
              <w:left w:val="nil"/>
              <w:bottom w:val="nil"/>
              <w:right w:val="nil"/>
            </w:tcBorders>
            <w:shd w:val="clear" w:color="auto" w:fill="auto"/>
            <w:vAlign w:val="bottom"/>
          </w:tcPr>
          <w:p w14:paraId="0B04A5DE" w14:textId="34F7E0F2" w:rsidR="00397C19" w:rsidRPr="009702B0" w:rsidRDefault="00397C19" w:rsidP="00397C19">
            <w:pPr>
              <w:tabs>
                <w:tab w:val="right" w:pos="1202"/>
              </w:tabs>
              <w:spacing w:after="0" w:line="280" w:lineRule="exact"/>
              <w:jc w:val="right"/>
              <w:outlineLvl w:val="0"/>
              <w:rPr>
                <w:sz w:val="19"/>
                <w:szCs w:val="19"/>
                <w:lang w:val="pl-PL"/>
              </w:rPr>
            </w:pPr>
            <w:r w:rsidRPr="00EF558A">
              <w:rPr>
                <w:rFonts w:eastAsia="Times New Roman" w:cs="Arial"/>
                <w:sz w:val="19"/>
                <w:szCs w:val="19"/>
                <w:lang w:val="en-US"/>
              </w:rPr>
              <w:t>1</w:t>
            </w:r>
            <w:r>
              <w:rPr>
                <w:rFonts w:eastAsia="Times New Roman" w:cs="Arial"/>
                <w:sz w:val="19"/>
                <w:szCs w:val="19"/>
                <w:lang w:val="en-US"/>
              </w:rPr>
              <w:t>,</w:t>
            </w:r>
            <w:r w:rsidRPr="00EF558A">
              <w:rPr>
                <w:rFonts w:eastAsia="Times New Roman" w:cs="Arial"/>
                <w:sz w:val="19"/>
                <w:szCs w:val="19"/>
                <w:lang w:val="en-US"/>
              </w:rPr>
              <w:t>404</w:t>
            </w:r>
          </w:p>
        </w:tc>
      </w:tr>
      <w:tr w:rsidR="00397C19" w:rsidRPr="009702B0" w14:paraId="073E9501" w14:textId="77777777" w:rsidTr="005444AA">
        <w:trPr>
          <w:cantSplit/>
          <w:trHeight w:val="250"/>
          <w:tblHeader/>
        </w:trPr>
        <w:tc>
          <w:tcPr>
            <w:tcW w:w="1971" w:type="pct"/>
            <w:vAlign w:val="bottom"/>
          </w:tcPr>
          <w:p w14:paraId="7F47488F" w14:textId="77777777" w:rsidR="00397C19" w:rsidRPr="009702B0" w:rsidRDefault="00397C19" w:rsidP="00397C19">
            <w:pPr>
              <w:tabs>
                <w:tab w:val="right" w:pos="1202"/>
              </w:tabs>
              <w:spacing w:after="0" w:line="280" w:lineRule="exact"/>
              <w:outlineLvl w:val="0"/>
              <w:rPr>
                <w:sz w:val="19"/>
                <w:szCs w:val="19"/>
              </w:rPr>
            </w:pPr>
            <w:r w:rsidRPr="009702B0">
              <w:rPr>
                <w:sz w:val="19"/>
                <w:szCs w:val="19"/>
              </w:rPr>
              <w:t>Other assets</w:t>
            </w:r>
          </w:p>
        </w:tc>
        <w:tc>
          <w:tcPr>
            <w:tcW w:w="757" w:type="pct"/>
            <w:tcBorders>
              <w:top w:val="nil"/>
              <w:left w:val="nil"/>
              <w:bottom w:val="single" w:sz="4" w:space="0" w:color="auto"/>
              <w:right w:val="nil"/>
            </w:tcBorders>
            <w:shd w:val="clear" w:color="auto" w:fill="auto"/>
            <w:vAlign w:val="bottom"/>
          </w:tcPr>
          <w:p w14:paraId="6CB7873D" w14:textId="247D82B3" w:rsidR="00397C19" w:rsidRPr="009702B0" w:rsidRDefault="00397C19" w:rsidP="00397C19">
            <w:pPr>
              <w:tabs>
                <w:tab w:val="right" w:pos="1202"/>
              </w:tabs>
              <w:spacing w:after="0" w:line="280" w:lineRule="exact"/>
              <w:jc w:val="right"/>
              <w:outlineLvl w:val="0"/>
              <w:rPr>
                <w:sz w:val="19"/>
                <w:szCs w:val="19"/>
              </w:rPr>
            </w:pPr>
            <w:r w:rsidRPr="00EF558A">
              <w:rPr>
                <w:rFonts w:eastAsia="Times New Roman" w:cs="Arial"/>
                <w:sz w:val="19"/>
                <w:szCs w:val="19"/>
                <w:lang w:val="en-US"/>
              </w:rPr>
              <w:t>5</w:t>
            </w:r>
            <w:r>
              <w:rPr>
                <w:rFonts w:eastAsia="Times New Roman" w:cs="Arial"/>
                <w:sz w:val="19"/>
                <w:szCs w:val="19"/>
                <w:lang w:val="en-US"/>
              </w:rPr>
              <w:t>,</w:t>
            </w:r>
            <w:r w:rsidRPr="00EF558A">
              <w:rPr>
                <w:rFonts w:eastAsia="Times New Roman" w:cs="Arial"/>
                <w:sz w:val="19"/>
                <w:szCs w:val="19"/>
                <w:lang w:val="en-US"/>
              </w:rPr>
              <w:t>528</w:t>
            </w:r>
          </w:p>
        </w:tc>
        <w:tc>
          <w:tcPr>
            <w:tcW w:w="757" w:type="pct"/>
            <w:tcBorders>
              <w:top w:val="nil"/>
              <w:left w:val="nil"/>
              <w:bottom w:val="single" w:sz="4" w:space="0" w:color="auto"/>
              <w:right w:val="nil"/>
            </w:tcBorders>
            <w:shd w:val="clear" w:color="auto" w:fill="auto"/>
            <w:vAlign w:val="bottom"/>
          </w:tcPr>
          <w:p w14:paraId="57CC2193" w14:textId="7E0BDE3F" w:rsidR="00397C19" w:rsidRPr="009702B0" w:rsidRDefault="00397C19" w:rsidP="00397C19">
            <w:pPr>
              <w:tabs>
                <w:tab w:val="right" w:pos="1202"/>
              </w:tabs>
              <w:spacing w:after="0" w:line="280" w:lineRule="exact"/>
              <w:jc w:val="right"/>
              <w:outlineLvl w:val="0"/>
              <w:rPr>
                <w:sz w:val="19"/>
                <w:szCs w:val="19"/>
              </w:rPr>
            </w:pPr>
            <w:r w:rsidRPr="00EF558A">
              <w:rPr>
                <w:rFonts w:eastAsia="Times New Roman" w:cs="Arial"/>
                <w:sz w:val="19"/>
                <w:szCs w:val="19"/>
                <w:lang w:val="en-US"/>
              </w:rPr>
              <w:t>581</w:t>
            </w:r>
          </w:p>
        </w:tc>
        <w:tc>
          <w:tcPr>
            <w:tcW w:w="757" w:type="pct"/>
            <w:tcBorders>
              <w:top w:val="nil"/>
              <w:left w:val="nil"/>
              <w:bottom w:val="single" w:sz="4" w:space="0" w:color="auto"/>
              <w:right w:val="nil"/>
            </w:tcBorders>
            <w:shd w:val="clear" w:color="auto" w:fill="auto"/>
            <w:vAlign w:val="bottom"/>
          </w:tcPr>
          <w:p w14:paraId="4D30EC54" w14:textId="285A1332" w:rsidR="00397C19" w:rsidRPr="009702B0" w:rsidRDefault="00397C19" w:rsidP="00397C19">
            <w:pPr>
              <w:tabs>
                <w:tab w:val="right" w:pos="1202"/>
              </w:tabs>
              <w:spacing w:after="0" w:line="280" w:lineRule="exact"/>
              <w:jc w:val="right"/>
              <w:outlineLvl w:val="0"/>
              <w:rPr>
                <w:sz w:val="19"/>
                <w:szCs w:val="19"/>
              </w:rPr>
            </w:pPr>
            <w:r>
              <w:rPr>
                <w:rFonts w:eastAsia="Times New Roman" w:cs="Arial"/>
                <w:sz w:val="19"/>
                <w:szCs w:val="19"/>
                <w:lang w:val="en-US"/>
              </w:rPr>
              <w:t>-</w:t>
            </w:r>
          </w:p>
        </w:tc>
        <w:tc>
          <w:tcPr>
            <w:tcW w:w="757" w:type="pct"/>
            <w:tcBorders>
              <w:top w:val="nil"/>
              <w:left w:val="nil"/>
              <w:bottom w:val="single" w:sz="4" w:space="0" w:color="auto"/>
              <w:right w:val="nil"/>
            </w:tcBorders>
            <w:shd w:val="clear" w:color="auto" w:fill="auto"/>
            <w:vAlign w:val="bottom"/>
          </w:tcPr>
          <w:p w14:paraId="68E729E1" w14:textId="229F25D4" w:rsidR="00397C19" w:rsidRPr="009702B0" w:rsidRDefault="00397C19" w:rsidP="00397C19">
            <w:pPr>
              <w:tabs>
                <w:tab w:val="right" w:pos="1202"/>
              </w:tabs>
              <w:spacing w:after="0" w:line="280" w:lineRule="exact"/>
              <w:jc w:val="right"/>
              <w:outlineLvl w:val="0"/>
              <w:rPr>
                <w:sz w:val="19"/>
                <w:szCs w:val="19"/>
              </w:rPr>
            </w:pPr>
            <w:r w:rsidRPr="00EF558A">
              <w:rPr>
                <w:rFonts w:eastAsia="Times New Roman" w:cs="Arial"/>
                <w:sz w:val="19"/>
                <w:szCs w:val="19"/>
                <w:lang w:val="en-US"/>
              </w:rPr>
              <w:t>6</w:t>
            </w:r>
            <w:r>
              <w:rPr>
                <w:rFonts w:eastAsia="Times New Roman" w:cs="Arial"/>
                <w:sz w:val="19"/>
                <w:szCs w:val="19"/>
                <w:lang w:val="en-US"/>
              </w:rPr>
              <w:t>,</w:t>
            </w:r>
            <w:r w:rsidRPr="00EF558A">
              <w:rPr>
                <w:rFonts w:eastAsia="Times New Roman" w:cs="Arial"/>
                <w:sz w:val="19"/>
                <w:szCs w:val="19"/>
                <w:lang w:val="en-US"/>
              </w:rPr>
              <w:t>109</w:t>
            </w:r>
          </w:p>
        </w:tc>
      </w:tr>
      <w:tr w:rsidR="00397C19" w:rsidRPr="009702B0" w14:paraId="5F119B68" w14:textId="77777777" w:rsidTr="006B318F">
        <w:trPr>
          <w:cantSplit/>
          <w:trHeight w:val="376"/>
          <w:tblHeader/>
        </w:trPr>
        <w:tc>
          <w:tcPr>
            <w:tcW w:w="1971" w:type="pct"/>
            <w:vAlign w:val="bottom"/>
          </w:tcPr>
          <w:p w14:paraId="06E6E8EF" w14:textId="77777777" w:rsidR="00397C19" w:rsidRPr="009702B0" w:rsidRDefault="00397C19" w:rsidP="00397C19">
            <w:pPr>
              <w:tabs>
                <w:tab w:val="right" w:pos="1202"/>
              </w:tabs>
              <w:spacing w:after="0" w:line="280" w:lineRule="exact"/>
              <w:outlineLvl w:val="0"/>
              <w:rPr>
                <w:b/>
                <w:bCs/>
                <w:sz w:val="19"/>
                <w:szCs w:val="19"/>
              </w:rPr>
            </w:pPr>
            <w:r w:rsidRPr="009702B0">
              <w:rPr>
                <w:b/>
                <w:bCs/>
                <w:sz w:val="19"/>
                <w:szCs w:val="19"/>
              </w:rPr>
              <w:t xml:space="preserve">Total </w:t>
            </w:r>
          </w:p>
        </w:tc>
        <w:tc>
          <w:tcPr>
            <w:tcW w:w="757" w:type="pct"/>
            <w:tcBorders>
              <w:top w:val="nil"/>
              <w:left w:val="nil"/>
              <w:bottom w:val="single" w:sz="8" w:space="0" w:color="auto"/>
              <w:right w:val="nil"/>
            </w:tcBorders>
            <w:shd w:val="clear" w:color="auto" w:fill="auto"/>
            <w:vAlign w:val="bottom"/>
          </w:tcPr>
          <w:p w14:paraId="6382DAAF" w14:textId="4E7B067D" w:rsidR="00397C19" w:rsidRPr="009702B0" w:rsidRDefault="00397C19" w:rsidP="00397C19">
            <w:pPr>
              <w:tabs>
                <w:tab w:val="right" w:pos="1202"/>
              </w:tabs>
              <w:spacing w:after="0" w:line="280" w:lineRule="exact"/>
              <w:jc w:val="right"/>
              <w:outlineLvl w:val="0"/>
              <w:rPr>
                <w:b/>
                <w:sz w:val="19"/>
                <w:szCs w:val="19"/>
              </w:rPr>
            </w:pPr>
            <w:r w:rsidRPr="00EF558A">
              <w:rPr>
                <w:rFonts w:eastAsia="Times New Roman" w:cs="Arial"/>
                <w:b/>
                <w:bCs/>
                <w:sz w:val="19"/>
                <w:szCs w:val="19"/>
                <w:lang w:val="en-US"/>
              </w:rPr>
              <w:t>27</w:t>
            </w:r>
            <w:r>
              <w:rPr>
                <w:rFonts w:eastAsia="Times New Roman" w:cs="Arial"/>
                <w:b/>
                <w:bCs/>
                <w:sz w:val="19"/>
                <w:szCs w:val="19"/>
                <w:lang w:val="en-US"/>
              </w:rPr>
              <w:t>,</w:t>
            </w:r>
            <w:r w:rsidRPr="00EF558A">
              <w:rPr>
                <w:rFonts w:eastAsia="Times New Roman" w:cs="Arial"/>
                <w:b/>
                <w:bCs/>
                <w:sz w:val="19"/>
                <w:szCs w:val="19"/>
                <w:lang w:val="en-US"/>
              </w:rPr>
              <w:t>498</w:t>
            </w:r>
            <w:r>
              <w:rPr>
                <w:rFonts w:eastAsia="Times New Roman" w:cs="Arial"/>
                <w:b/>
                <w:bCs/>
                <w:sz w:val="19"/>
                <w:szCs w:val="19"/>
                <w:lang w:val="en-US"/>
              </w:rPr>
              <w:t>,</w:t>
            </w:r>
            <w:r w:rsidRPr="00EF558A">
              <w:rPr>
                <w:rFonts w:eastAsia="Times New Roman" w:cs="Arial"/>
                <w:b/>
                <w:bCs/>
                <w:sz w:val="19"/>
                <w:szCs w:val="19"/>
                <w:lang w:val="en-US"/>
              </w:rPr>
              <w:t>875</w:t>
            </w:r>
          </w:p>
        </w:tc>
        <w:tc>
          <w:tcPr>
            <w:tcW w:w="757" w:type="pct"/>
            <w:tcBorders>
              <w:top w:val="nil"/>
              <w:left w:val="nil"/>
              <w:bottom w:val="single" w:sz="8" w:space="0" w:color="auto"/>
              <w:right w:val="nil"/>
            </w:tcBorders>
            <w:shd w:val="clear" w:color="auto" w:fill="auto"/>
            <w:vAlign w:val="bottom"/>
          </w:tcPr>
          <w:p w14:paraId="2E0C5ED1" w14:textId="60B4C665" w:rsidR="00397C19" w:rsidRPr="009702B0" w:rsidRDefault="00397C19" w:rsidP="00397C19">
            <w:pPr>
              <w:tabs>
                <w:tab w:val="right" w:pos="1202"/>
              </w:tabs>
              <w:spacing w:after="0" w:line="280" w:lineRule="exact"/>
              <w:jc w:val="right"/>
              <w:outlineLvl w:val="0"/>
              <w:rPr>
                <w:b/>
                <w:sz w:val="19"/>
                <w:szCs w:val="19"/>
              </w:rPr>
            </w:pPr>
            <w:r w:rsidRPr="00EF558A">
              <w:rPr>
                <w:rFonts w:eastAsia="Times New Roman" w:cs="Arial"/>
                <w:b/>
                <w:bCs/>
                <w:sz w:val="19"/>
                <w:szCs w:val="19"/>
                <w:lang w:val="en-US"/>
              </w:rPr>
              <w:t>348</w:t>
            </w:r>
            <w:r>
              <w:rPr>
                <w:rFonts w:eastAsia="Times New Roman" w:cs="Arial"/>
                <w:b/>
                <w:bCs/>
                <w:sz w:val="19"/>
                <w:szCs w:val="19"/>
                <w:lang w:val="en-US"/>
              </w:rPr>
              <w:t>,</w:t>
            </w:r>
            <w:r w:rsidRPr="00EF558A">
              <w:rPr>
                <w:rFonts w:eastAsia="Times New Roman" w:cs="Arial"/>
                <w:b/>
                <w:bCs/>
                <w:sz w:val="19"/>
                <w:szCs w:val="19"/>
                <w:lang w:val="en-US"/>
              </w:rPr>
              <w:t>059</w:t>
            </w:r>
          </w:p>
        </w:tc>
        <w:tc>
          <w:tcPr>
            <w:tcW w:w="757" w:type="pct"/>
            <w:tcBorders>
              <w:top w:val="nil"/>
              <w:left w:val="nil"/>
              <w:bottom w:val="single" w:sz="8" w:space="0" w:color="auto"/>
              <w:right w:val="nil"/>
            </w:tcBorders>
            <w:shd w:val="clear" w:color="auto" w:fill="auto"/>
            <w:vAlign w:val="bottom"/>
          </w:tcPr>
          <w:p w14:paraId="2B9E3957" w14:textId="122BFA7E" w:rsidR="00397C19" w:rsidRPr="009702B0" w:rsidRDefault="00397C19" w:rsidP="00397C19">
            <w:pPr>
              <w:tabs>
                <w:tab w:val="right" w:pos="1202"/>
              </w:tabs>
              <w:spacing w:after="0" w:line="280" w:lineRule="exact"/>
              <w:jc w:val="right"/>
              <w:outlineLvl w:val="0"/>
              <w:rPr>
                <w:b/>
                <w:sz w:val="19"/>
                <w:szCs w:val="19"/>
              </w:rPr>
            </w:pPr>
            <w:r w:rsidRPr="00EF558A">
              <w:rPr>
                <w:rFonts w:eastAsia="Times New Roman" w:cs="Arial"/>
                <w:b/>
                <w:bCs/>
                <w:sz w:val="19"/>
                <w:szCs w:val="19"/>
                <w:lang w:val="en-US"/>
              </w:rPr>
              <w:t>333</w:t>
            </w:r>
            <w:r>
              <w:rPr>
                <w:rFonts w:eastAsia="Times New Roman" w:cs="Arial"/>
                <w:b/>
                <w:bCs/>
                <w:sz w:val="19"/>
                <w:szCs w:val="19"/>
                <w:lang w:val="en-US"/>
              </w:rPr>
              <w:t>,</w:t>
            </w:r>
            <w:r w:rsidRPr="00EF558A">
              <w:rPr>
                <w:rFonts w:eastAsia="Times New Roman" w:cs="Arial"/>
                <w:b/>
                <w:bCs/>
                <w:sz w:val="19"/>
                <w:szCs w:val="19"/>
                <w:lang w:val="en-US"/>
              </w:rPr>
              <w:t>022</w:t>
            </w:r>
          </w:p>
        </w:tc>
        <w:tc>
          <w:tcPr>
            <w:tcW w:w="757" w:type="pct"/>
            <w:tcBorders>
              <w:top w:val="nil"/>
              <w:left w:val="nil"/>
              <w:bottom w:val="single" w:sz="8" w:space="0" w:color="auto"/>
              <w:right w:val="nil"/>
            </w:tcBorders>
            <w:shd w:val="clear" w:color="auto" w:fill="auto"/>
            <w:vAlign w:val="bottom"/>
          </w:tcPr>
          <w:p w14:paraId="700A8808" w14:textId="3C357988" w:rsidR="00397C19" w:rsidRPr="009702B0" w:rsidRDefault="00397C19" w:rsidP="00397C19">
            <w:pPr>
              <w:tabs>
                <w:tab w:val="right" w:pos="1202"/>
              </w:tabs>
              <w:spacing w:after="0" w:line="280" w:lineRule="exact"/>
              <w:jc w:val="right"/>
              <w:outlineLvl w:val="0"/>
              <w:rPr>
                <w:b/>
                <w:sz w:val="19"/>
                <w:szCs w:val="19"/>
              </w:rPr>
            </w:pPr>
            <w:r w:rsidRPr="00EF558A">
              <w:rPr>
                <w:rFonts w:eastAsia="Times New Roman" w:cs="Arial"/>
                <w:b/>
                <w:bCs/>
                <w:sz w:val="19"/>
                <w:szCs w:val="19"/>
                <w:lang w:val="en-US"/>
              </w:rPr>
              <w:t>28</w:t>
            </w:r>
            <w:r>
              <w:rPr>
                <w:rFonts w:eastAsia="Times New Roman" w:cs="Arial"/>
                <w:b/>
                <w:bCs/>
                <w:sz w:val="19"/>
                <w:szCs w:val="19"/>
                <w:lang w:val="en-US"/>
              </w:rPr>
              <w:t>,</w:t>
            </w:r>
            <w:r w:rsidRPr="00EF558A">
              <w:rPr>
                <w:rFonts w:eastAsia="Times New Roman" w:cs="Arial"/>
                <w:b/>
                <w:bCs/>
                <w:sz w:val="19"/>
                <w:szCs w:val="19"/>
                <w:lang w:val="en-US"/>
              </w:rPr>
              <w:t>179</w:t>
            </w:r>
            <w:r>
              <w:rPr>
                <w:rFonts w:eastAsia="Times New Roman" w:cs="Arial"/>
                <w:b/>
                <w:bCs/>
                <w:sz w:val="19"/>
                <w:szCs w:val="19"/>
                <w:lang w:val="en-US"/>
              </w:rPr>
              <w:t>,</w:t>
            </w:r>
            <w:r w:rsidRPr="00EF558A">
              <w:rPr>
                <w:rFonts w:eastAsia="Times New Roman" w:cs="Arial"/>
                <w:b/>
                <w:bCs/>
                <w:sz w:val="19"/>
                <w:szCs w:val="19"/>
                <w:lang w:val="en-US"/>
              </w:rPr>
              <w:t>956</w:t>
            </w:r>
          </w:p>
        </w:tc>
      </w:tr>
      <w:tr w:rsidR="00253A1B" w:rsidRPr="009702B0" w14:paraId="4B1D9B66" w14:textId="77777777" w:rsidTr="00166751">
        <w:tblPrEx>
          <w:tblCellMar>
            <w:left w:w="31" w:type="dxa"/>
            <w:right w:w="31" w:type="dxa"/>
          </w:tblCellMar>
        </w:tblPrEx>
        <w:trPr>
          <w:cantSplit/>
          <w:trHeight w:val="250"/>
          <w:tblHeader/>
        </w:trPr>
        <w:tc>
          <w:tcPr>
            <w:tcW w:w="1971" w:type="pct"/>
            <w:vAlign w:val="bottom"/>
          </w:tcPr>
          <w:p w14:paraId="4183D267" w14:textId="77777777" w:rsidR="00253A1B" w:rsidRPr="009702B0" w:rsidRDefault="00253A1B" w:rsidP="00253A1B">
            <w:pPr>
              <w:tabs>
                <w:tab w:val="right" w:pos="1202"/>
              </w:tabs>
              <w:spacing w:after="0" w:line="280" w:lineRule="exact"/>
              <w:outlineLvl w:val="0"/>
              <w:rPr>
                <w:b/>
                <w:bCs/>
                <w:sz w:val="19"/>
                <w:szCs w:val="19"/>
              </w:rPr>
            </w:pPr>
          </w:p>
        </w:tc>
        <w:tc>
          <w:tcPr>
            <w:tcW w:w="757" w:type="pct"/>
            <w:tcBorders>
              <w:top w:val="single" w:sz="12" w:space="0" w:color="auto"/>
            </w:tcBorders>
            <w:shd w:val="clear" w:color="auto" w:fill="auto"/>
            <w:vAlign w:val="bottom"/>
          </w:tcPr>
          <w:p w14:paraId="792B894A" w14:textId="77777777" w:rsidR="00253A1B" w:rsidRPr="009702B0" w:rsidRDefault="00253A1B" w:rsidP="00253A1B">
            <w:pPr>
              <w:tabs>
                <w:tab w:val="right" w:pos="1202"/>
              </w:tabs>
              <w:spacing w:after="0" w:line="280" w:lineRule="exact"/>
              <w:jc w:val="right"/>
              <w:outlineLvl w:val="0"/>
              <w:rPr>
                <w:sz w:val="19"/>
                <w:szCs w:val="19"/>
              </w:rPr>
            </w:pPr>
          </w:p>
        </w:tc>
        <w:tc>
          <w:tcPr>
            <w:tcW w:w="757" w:type="pct"/>
            <w:tcBorders>
              <w:top w:val="single" w:sz="12" w:space="0" w:color="auto"/>
            </w:tcBorders>
            <w:shd w:val="clear" w:color="auto" w:fill="auto"/>
            <w:vAlign w:val="bottom"/>
          </w:tcPr>
          <w:p w14:paraId="163ECDDA" w14:textId="77777777" w:rsidR="00253A1B" w:rsidRPr="009702B0" w:rsidRDefault="00253A1B" w:rsidP="00253A1B">
            <w:pPr>
              <w:tabs>
                <w:tab w:val="right" w:pos="1202"/>
              </w:tabs>
              <w:spacing w:after="0" w:line="280" w:lineRule="exact"/>
              <w:jc w:val="right"/>
              <w:outlineLvl w:val="0"/>
              <w:rPr>
                <w:sz w:val="19"/>
                <w:szCs w:val="19"/>
              </w:rPr>
            </w:pPr>
          </w:p>
        </w:tc>
        <w:tc>
          <w:tcPr>
            <w:tcW w:w="757" w:type="pct"/>
            <w:tcBorders>
              <w:top w:val="single" w:sz="12" w:space="0" w:color="auto"/>
            </w:tcBorders>
            <w:shd w:val="clear" w:color="auto" w:fill="auto"/>
            <w:vAlign w:val="bottom"/>
          </w:tcPr>
          <w:p w14:paraId="026BE251" w14:textId="77777777" w:rsidR="00253A1B" w:rsidRPr="009702B0" w:rsidRDefault="00253A1B" w:rsidP="00253A1B">
            <w:pPr>
              <w:tabs>
                <w:tab w:val="right" w:pos="1202"/>
              </w:tabs>
              <w:spacing w:after="0" w:line="280" w:lineRule="exact"/>
              <w:jc w:val="right"/>
              <w:outlineLvl w:val="0"/>
              <w:rPr>
                <w:sz w:val="19"/>
                <w:szCs w:val="19"/>
              </w:rPr>
            </w:pPr>
          </w:p>
        </w:tc>
        <w:tc>
          <w:tcPr>
            <w:tcW w:w="757" w:type="pct"/>
            <w:tcBorders>
              <w:top w:val="single" w:sz="12" w:space="0" w:color="auto"/>
            </w:tcBorders>
            <w:shd w:val="clear" w:color="auto" w:fill="auto"/>
            <w:vAlign w:val="bottom"/>
          </w:tcPr>
          <w:p w14:paraId="7FD5E0CA" w14:textId="77777777" w:rsidR="00253A1B" w:rsidRPr="009702B0" w:rsidRDefault="00253A1B" w:rsidP="00253A1B">
            <w:pPr>
              <w:tabs>
                <w:tab w:val="right" w:pos="1202"/>
              </w:tabs>
              <w:spacing w:after="0" w:line="280" w:lineRule="exact"/>
              <w:jc w:val="right"/>
              <w:outlineLvl w:val="0"/>
              <w:rPr>
                <w:sz w:val="19"/>
                <w:szCs w:val="19"/>
              </w:rPr>
            </w:pPr>
          </w:p>
        </w:tc>
      </w:tr>
      <w:tr w:rsidR="00253A1B" w:rsidRPr="009702B0" w14:paraId="16D1FAE9" w14:textId="77777777" w:rsidTr="00166751">
        <w:tblPrEx>
          <w:tblCellMar>
            <w:left w:w="31" w:type="dxa"/>
            <w:right w:w="31" w:type="dxa"/>
          </w:tblCellMar>
        </w:tblPrEx>
        <w:trPr>
          <w:cantSplit/>
          <w:trHeight w:val="250"/>
          <w:tblHeader/>
        </w:trPr>
        <w:tc>
          <w:tcPr>
            <w:tcW w:w="1971" w:type="pct"/>
          </w:tcPr>
          <w:p w14:paraId="49DF65C1" w14:textId="77777777" w:rsidR="00253A1B" w:rsidRPr="009702B0" w:rsidRDefault="00253A1B" w:rsidP="00253A1B">
            <w:pPr>
              <w:tabs>
                <w:tab w:val="right" w:pos="1202"/>
              </w:tabs>
              <w:spacing w:after="0" w:line="280" w:lineRule="exact"/>
              <w:outlineLvl w:val="0"/>
              <w:rPr>
                <w:b/>
                <w:bCs/>
                <w:sz w:val="19"/>
                <w:szCs w:val="19"/>
              </w:rPr>
            </w:pPr>
            <w:r w:rsidRPr="009702B0">
              <w:rPr>
                <w:rFonts w:cs="Arial"/>
                <w:b/>
                <w:bCs/>
                <w:sz w:val="19"/>
                <w:szCs w:val="19"/>
              </w:rPr>
              <w:t>Guarantees and commitments</w:t>
            </w:r>
          </w:p>
        </w:tc>
        <w:tc>
          <w:tcPr>
            <w:tcW w:w="757" w:type="pct"/>
            <w:shd w:val="clear" w:color="auto" w:fill="auto"/>
          </w:tcPr>
          <w:p w14:paraId="1A4F84D1" w14:textId="77777777" w:rsidR="00253A1B" w:rsidRPr="009702B0" w:rsidRDefault="00253A1B" w:rsidP="00253A1B">
            <w:pPr>
              <w:tabs>
                <w:tab w:val="right" w:pos="1202"/>
              </w:tabs>
              <w:spacing w:after="0" w:line="280" w:lineRule="exact"/>
              <w:jc w:val="right"/>
              <w:outlineLvl w:val="0"/>
              <w:rPr>
                <w:sz w:val="19"/>
                <w:szCs w:val="19"/>
              </w:rPr>
            </w:pPr>
          </w:p>
        </w:tc>
        <w:tc>
          <w:tcPr>
            <w:tcW w:w="757" w:type="pct"/>
            <w:shd w:val="clear" w:color="auto" w:fill="auto"/>
          </w:tcPr>
          <w:p w14:paraId="77A70862" w14:textId="77777777" w:rsidR="00253A1B" w:rsidRPr="009702B0" w:rsidRDefault="00253A1B" w:rsidP="00253A1B">
            <w:pPr>
              <w:tabs>
                <w:tab w:val="right" w:pos="1202"/>
              </w:tabs>
              <w:spacing w:after="0" w:line="280" w:lineRule="exact"/>
              <w:jc w:val="right"/>
              <w:outlineLvl w:val="0"/>
              <w:rPr>
                <w:sz w:val="19"/>
                <w:szCs w:val="19"/>
              </w:rPr>
            </w:pPr>
          </w:p>
        </w:tc>
        <w:tc>
          <w:tcPr>
            <w:tcW w:w="757" w:type="pct"/>
            <w:shd w:val="clear" w:color="auto" w:fill="auto"/>
          </w:tcPr>
          <w:p w14:paraId="5DF99C39" w14:textId="77777777" w:rsidR="00253A1B" w:rsidRPr="009702B0" w:rsidRDefault="00253A1B" w:rsidP="00253A1B">
            <w:pPr>
              <w:tabs>
                <w:tab w:val="right" w:pos="1202"/>
              </w:tabs>
              <w:spacing w:after="0" w:line="280" w:lineRule="exact"/>
              <w:jc w:val="right"/>
              <w:outlineLvl w:val="0"/>
              <w:rPr>
                <w:sz w:val="19"/>
                <w:szCs w:val="19"/>
              </w:rPr>
            </w:pPr>
          </w:p>
        </w:tc>
        <w:tc>
          <w:tcPr>
            <w:tcW w:w="757" w:type="pct"/>
            <w:shd w:val="clear" w:color="auto" w:fill="auto"/>
          </w:tcPr>
          <w:p w14:paraId="4BEB2407" w14:textId="77777777" w:rsidR="00253A1B" w:rsidRPr="009702B0" w:rsidRDefault="00253A1B" w:rsidP="00253A1B">
            <w:pPr>
              <w:tabs>
                <w:tab w:val="right" w:pos="1202"/>
              </w:tabs>
              <w:spacing w:after="0" w:line="280" w:lineRule="exact"/>
              <w:jc w:val="right"/>
              <w:outlineLvl w:val="0"/>
              <w:rPr>
                <w:sz w:val="19"/>
                <w:szCs w:val="19"/>
              </w:rPr>
            </w:pPr>
          </w:p>
        </w:tc>
      </w:tr>
      <w:tr w:rsidR="00397C19" w:rsidRPr="009702B0" w14:paraId="0C3F5CE7" w14:textId="77777777" w:rsidTr="006B318F">
        <w:tblPrEx>
          <w:tblCellMar>
            <w:left w:w="31" w:type="dxa"/>
            <w:right w:w="31" w:type="dxa"/>
          </w:tblCellMar>
        </w:tblPrEx>
        <w:trPr>
          <w:cantSplit/>
          <w:trHeight w:val="250"/>
          <w:tblHeader/>
        </w:trPr>
        <w:tc>
          <w:tcPr>
            <w:tcW w:w="1971" w:type="pct"/>
          </w:tcPr>
          <w:p w14:paraId="1093725F" w14:textId="77777777" w:rsidR="00397C19" w:rsidRPr="009702B0" w:rsidRDefault="00397C19" w:rsidP="00397C19">
            <w:pPr>
              <w:tabs>
                <w:tab w:val="right" w:pos="1202"/>
              </w:tabs>
              <w:spacing w:after="0" w:line="280" w:lineRule="exact"/>
              <w:outlineLvl w:val="0"/>
              <w:rPr>
                <w:rFonts w:cs="Arial"/>
                <w:bCs/>
                <w:sz w:val="19"/>
                <w:szCs w:val="19"/>
              </w:rPr>
            </w:pPr>
            <w:r w:rsidRPr="009702B0">
              <w:rPr>
                <w:rFonts w:cs="Arial"/>
                <w:bCs/>
                <w:sz w:val="19"/>
                <w:szCs w:val="19"/>
              </w:rPr>
              <w:t>Guarantees issued in HRK</w:t>
            </w:r>
          </w:p>
        </w:tc>
        <w:tc>
          <w:tcPr>
            <w:tcW w:w="757" w:type="pct"/>
            <w:tcBorders>
              <w:top w:val="nil"/>
              <w:left w:val="nil"/>
              <w:bottom w:val="nil"/>
              <w:right w:val="nil"/>
            </w:tcBorders>
            <w:shd w:val="clear" w:color="auto" w:fill="auto"/>
          </w:tcPr>
          <w:p w14:paraId="0397630F" w14:textId="6A84345D" w:rsidR="00397C19" w:rsidRPr="009702B0" w:rsidRDefault="00397C19" w:rsidP="00397C19">
            <w:pPr>
              <w:tabs>
                <w:tab w:val="right" w:pos="1202"/>
              </w:tabs>
              <w:spacing w:after="0" w:line="280" w:lineRule="exact"/>
              <w:jc w:val="right"/>
              <w:outlineLvl w:val="0"/>
              <w:rPr>
                <w:sz w:val="19"/>
                <w:szCs w:val="19"/>
              </w:rPr>
            </w:pPr>
            <w:r w:rsidRPr="00EF558A">
              <w:rPr>
                <w:rFonts w:eastAsia="Times New Roman" w:cs="Arial"/>
                <w:sz w:val="19"/>
                <w:szCs w:val="19"/>
                <w:lang w:val="en-US"/>
              </w:rPr>
              <w:t>20</w:t>
            </w:r>
            <w:r>
              <w:rPr>
                <w:rFonts w:eastAsia="Times New Roman" w:cs="Arial"/>
                <w:sz w:val="19"/>
                <w:szCs w:val="19"/>
                <w:lang w:val="en-US"/>
              </w:rPr>
              <w:t>,</w:t>
            </w:r>
            <w:r w:rsidRPr="00EF558A">
              <w:rPr>
                <w:rFonts w:eastAsia="Times New Roman" w:cs="Arial"/>
                <w:sz w:val="19"/>
                <w:szCs w:val="19"/>
                <w:lang w:val="en-US"/>
              </w:rPr>
              <w:t>424</w:t>
            </w:r>
          </w:p>
        </w:tc>
        <w:tc>
          <w:tcPr>
            <w:tcW w:w="757" w:type="pct"/>
            <w:tcBorders>
              <w:top w:val="nil"/>
              <w:left w:val="nil"/>
              <w:bottom w:val="nil"/>
              <w:right w:val="nil"/>
            </w:tcBorders>
            <w:shd w:val="clear" w:color="auto" w:fill="auto"/>
          </w:tcPr>
          <w:p w14:paraId="61BFE0EF" w14:textId="6CD9CB71" w:rsidR="00397C19" w:rsidRPr="009702B0" w:rsidRDefault="00397C19" w:rsidP="00397C19">
            <w:pPr>
              <w:tabs>
                <w:tab w:val="right" w:pos="1202"/>
              </w:tabs>
              <w:spacing w:after="0" w:line="280" w:lineRule="exact"/>
              <w:jc w:val="right"/>
              <w:outlineLvl w:val="0"/>
              <w:rPr>
                <w:sz w:val="19"/>
                <w:szCs w:val="19"/>
              </w:rPr>
            </w:pPr>
            <w:r w:rsidRPr="00EF558A">
              <w:rPr>
                <w:rFonts w:eastAsia="Times New Roman" w:cs="Arial"/>
                <w:sz w:val="19"/>
                <w:szCs w:val="19"/>
                <w:lang w:val="en-US"/>
              </w:rPr>
              <w:t>602</w:t>
            </w:r>
          </w:p>
        </w:tc>
        <w:tc>
          <w:tcPr>
            <w:tcW w:w="757" w:type="pct"/>
            <w:tcBorders>
              <w:top w:val="nil"/>
              <w:left w:val="nil"/>
              <w:bottom w:val="nil"/>
              <w:right w:val="nil"/>
            </w:tcBorders>
            <w:shd w:val="clear" w:color="auto" w:fill="auto"/>
          </w:tcPr>
          <w:p w14:paraId="19250A4B" w14:textId="7A5EB152" w:rsidR="00397C19" w:rsidRPr="009702B0" w:rsidRDefault="00397C19" w:rsidP="00397C19">
            <w:pPr>
              <w:tabs>
                <w:tab w:val="right" w:pos="1202"/>
              </w:tabs>
              <w:spacing w:after="0" w:line="280" w:lineRule="exact"/>
              <w:jc w:val="right"/>
              <w:outlineLvl w:val="0"/>
              <w:rPr>
                <w:sz w:val="19"/>
                <w:szCs w:val="19"/>
              </w:rPr>
            </w:pPr>
            <w:r w:rsidRPr="00EF558A">
              <w:rPr>
                <w:rFonts w:eastAsia="Times New Roman" w:cs="Arial"/>
                <w:sz w:val="19"/>
                <w:szCs w:val="19"/>
                <w:lang w:val="en-US"/>
              </w:rPr>
              <w:t>-</w:t>
            </w:r>
          </w:p>
        </w:tc>
        <w:tc>
          <w:tcPr>
            <w:tcW w:w="757" w:type="pct"/>
            <w:tcBorders>
              <w:top w:val="nil"/>
              <w:left w:val="nil"/>
              <w:bottom w:val="nil"/>
              <w:right w:val="nil"/>
            </w:tcBorders>
            <w:shd w:val="clear" w:color="auto" w:fill="auto"/>
          </w:tcPr>
          <w:p w14:paraId="3D088E14" w14:textId="1DC59FFC" w:rsidR="00397C19" w:rsidRPr="009702B0" w:rsidRDefault="00397C19" w:rsidP="00397C19">
            <w:pPr>
              <w:tabs>
                <w:tab w:val="right" w:pos="1202"/>
              </w:tabs>
              <w:spacing w:after="0" w:line="280" w:lineRule="exact"/>
              <w:jc w:val="right"/>
              <w:outlineLvl w:val="0"/>
              <w:rPr>
                <w:sz w:val="19"/>
                <w:szCs w:val="19"/>
              </w:rPr>
            </w:pPr>
            <w:r w:rsidRPr="00EF558A">
              <w:rPr>
                <w:rFonts w:eastAsia="Times New Roman" w:cs="Arial"/>
                <w:sz w:val="19"/>
                <w:szCs w:val="19"/>
                <w:lang w:val="en-US"/>
              </w:rPr>
              <w:t>21</w:t>
            </w:r>
            <w:r>
              <w:rPr>
                <w:rFonts w:eastAsia="Times New Roman" w:cs="Arial"/>
                <w:sz w:val="19"/>
                <w:szCs w:val="19"/>
                <w:lang w:val="en-US"/>
              </w:rPr>
              <w:t>,</w:t>
            </w:r>
            <w:r w:rsidRPr="00EF558A">
              <w:rPr>
                <w:rFonts w:eastAsia="Times New Roman" w:cs="Arial"/>
                <w:sz w:val="19"/>
                <w:szCs w:val="19"/>
                <w:lang w:val="en-US"/>
              </w:rPr>
              <w:t>026</w:t>
            </w:r>
          </w:p>
        </w:tc>
      </w:tr>
      <w:tr w:rsidR="00397C19" w:rsidRPr="009702B0" w14:paraId="57380CC1" w14:textId="77777777" w:rsidTr="006B318F">
        <w:tblPrEx>
          <w:tblCellMar>
            <w:left w:w="31" w:type="dxa"/>
            <w:right w:w="31" w:type="dxa"/>
          </w:tblCellMar>
        </w:tblPrEx>
        <w:trPr>
          <w:cantSplit/>
          <w:trHeight w:val="250"/>
          <w:tblHeader/>
        </w:trPr>
        <w:tc>
          <w:tcPr>
            <w:tcW w:w="1971" w:type="pct"/>
            <w:vAlign w:val="bottom"/>
          </w:tcPr>
          <w:p w14:paraId="75DBAFE7" w14:textId="77777777" w:rsidR="00397C19" w:rsidRPr="009702B0" w:rsidRDefault="00397C19" w:rsidP="00397C19">
            <w:pPr>
              <w:tabs>
                <w:tab w:val="right" w:pos="1202"/>
              </w:tabs>
              <w:spacing w:after="0" w:line="280" w:lineRule="exact"/>
              <w:outlineLvl w:val="0"/>
              <w:rPr>
                <w:sz w:val="19"/>
                <w:szCs w:val="19"/>
              </w:rPr>
            </w:pPr>
            <w:r w:rsidRPr="009702B0">
              <w:rPr>
                <w:sz w:val="19"/>
                <w:szCs w:val="19"/>
              </w:rPr>
              <w:t>Issued guarantees in foreign currency</w:t>
            </w:r>
          </w:p>
        </w:tc>
        <w:tc>
          <w:tcPr>
            <w:tcW w:w="757" w:type="pct"/>
            <w:tcBorders>
              <w:top w:val="nil"/>
              <w:left w:val="nil"/>
              <w:bottom w:val="nil"/>
              <w:right w:val="nil"/>
            </w:tcBorders>
            <w:shd w:val="clear" w:color="auto" w:fill="auto"/>
          </w:tcPr>
          <w:p w14:paraId="07F834A5" w14:textId="41975080" w:rsidR="00397C19" w:rsidRPr="009702B0" w:rsidRDefault="00397C19" w:rsidP="00397C19">
            <w:pPr>
              <w:tabs>
                <w:tab w:val="right" w:pos="1202"/>
              </w:tabs>
              <w:spacing w:after="0" w:line="280" w:lineRule="exact"/>
              <w:jc w:val="right"/>
              <w:outlineLvl w:val="0"/>
              <w:rPr>
                <w:sz w:val="19"/>
                <w:szCs w:val="19"/>
              </w:rPr>
            </w:pPr>
            <w:r w:rsidRPr="00EF558A">
              <w:rPr>
                <w:rFonts w:eastAsia="Times New Roman" w:cs="Arial"/>
                <w:sz w:val="19"/>
                <w:szCs w:val="19"/>
                <w:lang w:val="en-US"/>
              </w:rPr>
              <w:t>2</w:t>
            </w:r>
            <w:r>
              <w:rPr>
                <w:rFonts w:eastAsia="Times New Roman" w:cs="Arial"/>
                <w:sz w:val="19"/>
                <w:szCs w:val="19"/>
                <w:lang w:val="en-US"/>
              </w:rPr>
              <w:t>,</w:t>
            </w:r>
            <w:r w:rsidRPr="00EF558A">
              <w:rPr>
                <w:rFonts w:eastAsia="Times New Roman" w:cs="Arial"/>
                <w:sz w:val="19"/>
                <w:szCs w:val="19"/>
                <w:lang w:val="en-US"/>
              </w:rPr>
              <w:t>191</w:t>
            </w:r>
            <w:r>
              <w:rPr>
                <w:rFonts w:eastAsia="Times New Roman" w:cs="Arial"/>
                <w:sz w:val="19"/>
                <w:szCs w:val="19"/>
                <w:lang w:val="en-US"/>
              </w:rPr>
              <w:t>,</w:t>
            </w:r>
            <w:r w:rsidRPr="00EF558A">
              <w:rPr>
                <w:rFonts w:eastAsia="Times New Roman" w:cs="Arial"/>
                <w:sz w:val="19"/>
                <w:szCs w:val="19"/>
                <w:lang w:val="en-US"/>
              </w:rPr>
              <w:t>616</w:t>
            </w:r>
          </w:p>
        </w:tc>
        <w:tc>
          <w:tcPr>
            <w:tcW w:w="757" w:type="pct"/>
            <w:tcBorders>
              <w:top w:val="nil"/>
              <w:left w:val="nil"/>
              <w:bottom w:val="nil"/>
              <w:right w:val="nil"/>
            </w:tcBorders>
            <w:shd w:val="clear" w:color="auto" w:fill="auto"/>
          </w:tcPr>
          <w:p w14:paraId="58085E01" w14:textId="64F8230D" w:rsidR="00397C19" w:rsidRPr="009702B0" w:rsidRDefault="00397C19" w:rsidP="00397C19">
            <w:pPr>
              <w:tabs>
                <w:tab w:val="right" w:pos="1202"/>
              </w:tabs>
              <w:spacing w:after="0" w:line="280" w:lineRule="exact"/>
              <w:jc w:val="right"/>
              <w:outlineLvl w:val="0"/>
              <w:rPr>
                <w:sz w:val="19"/>
                <w:szCs w:val="19"/>
              </w:rPr>
            </w:pPr>
            <w:r w:rsidRPr="00EF558A">
              <w:rPr>
                <w:rFonts w:eastAsia="Times New Roman" w:cs="Arial"/>
                <w:sz w:val="19"/>
                <w:szCs w:val="19"/>
                <w:lang w:val="en-US"/>
              </w:rPr>
              <w:t>-</w:t>
            </w:r>
          </w:p>
        </w:tc>
        <w:tc>
          <w:tcPr>
            <w:tcW w:w="757" w:type="pct"/>
            <w:tcBorders>
              <w:top w:val="nil"/>
              <w:left w:val="nil"/>
              <w:bottom w:val="nil"/>
              <w:right w:val="nil"/>
            </w:tcBorders>
            <w:shd w:val="clear" w:color="auto" w:fill="auto"/>
          </w:tcPr>
          <w:p w14:paraId="540B31D1" w14:textId="1E65A0C9" w:rsidR="00397C19" w:rsidRPr="009702B0" w:rsidRDefault="00397C19" w:rsidP="00397C19">
            <w:pPr>
              <w:tabs>
                <w:tab w:val="right" w:pos="1202"/>
              </w:tabs>
              <w:spacing w:after="0" w:line="280" w:lineRule="exact"/>
              <w:jc w:val="right"/>
              <w:outlineLvl w:val="0"/>
              <w:rPr>
                <w:sz w:val="19"/>
                <w:szCs w:val="19"/>
              </w:rPr>
            </w:pPr>
            <w:r w:rsidRPr="00EF558A">
              <w:rPr>
                <w:rFonts w:eastAsia="Times New Roman" w:cs="Arial"/>
                <w:sz w:val="19"/>
                <w:szCs w:val="19"/>
                <w:lang w:val="en-US"/>
              </w:rPr>
              <w:t>-</w:t>
            </w:r>
          </w:p>
        </w:tc>
        <w:tc>
          <w:tcPr>
            <w:tcW w:w="757" w:type="pct"/>
            <w:tcBorders>
              <w:top w:val="nil"/>
              <w:left w:val="nil"/>
              <w:bottom w:val="nil"/>
              <w:right w:val="nil"/>
            </w:tcBorders>
            <w:shd w:val="clear" w:color="auto" w:fill="auto"/>
          </w:tcPr>
          <w:p w14:paraId="4C82F684" w14:textId="3BD60A8C" w:rsidR="00397C19" w:rsidRPr="009702B0" w:rsidRDefault="00397C19" w:rsidP="00397C19">
            <w:pPr>
              <w:tabs>
                <w:tab w:val="right" w:pos="1202"/>
              </w:tabs>
              <w:spacing w:after="0" w:line="280" w:lineRule="exact"/>
              <w:jc w:val="right"/>
              <w:outlineLvl w:val="0"/>
              <w:rPr>
                <w:sz w:val="19"/>
                <w:szCs w:val="19"/>
              </w:rPr>
            </w:pPr>
            <w:r w:rsidRPr="00EF558A">
              <w:rPr>
                <w:rFonts w:eastAsia="Times New Roman" w:cs="Arial"/>
                <w:sz w:val="19"/>
                <w:szCs w:val="19"/>
                <w:lang w:val="en-US"/>
              </w:rPr>
              <w:t>2</w:t>
            </w:r>
            <w:r>
              <w:rPr>
                <w:rFonts w:eastAsia="Times New Roman" w:cs="Arial"/>
                <w:sz w:val="19"/>
                <w:szCs w:val="19"/>
                <w:lang w:val="en-US"/>
              </w:rPr>
              <w:t>,</w:t>
            </w:r>
            <w:r w:rsidRPr="00EF558A">
              <w:rPr>
                <w:rFonts w:eastAsia="Times New Roman" w:cs="Arial"/>
                <w:sz w:val="19"/>
                <w:szCs w:val="19"/>
                <w:lang w:val="en-US"/>
              </w:rPr>
              <w:t>191</w:t>
            </w:r>
            <w:r>
              <w:rPr>
                <w:rFonts w:eastAsia="Times New Roman" w:cs="Arial"/>
                <w:sz w:val="19"/>
                <w:szCs w:val="19"/>
                <w:lang w:val="en-US"/>
              </w:rPr>
              <w:t>,</w:t>
            </w:r>
            <w:r w:rsidRPr="00EF558A">
              <w:rPr>
                <w:rFonts w:eastAsia="Times New Roman" w:cs="Arial"/>
                <w:sz w:val="19"/>
                <w:szCs w:val="19"/>
                <w:lang w:val="en-US"/>
              </w:rPr>
              <w:t>616</w:t>
            </w:r>
          </w:p>
        </w:tc>
      </w:tr>
      <w:tr w:rsidR="00397C19" w:rsidRPr="009702B0" w14:paraId="73E337AE" w14:textId="77777777" w:rsidTr="006B318F">
        <w:tblPrEx>
          <w:tblCellMar>
            <w:left w:w="31" w:type="dxa"/>
            <w:right w:w="31" w:type="dxa"/>
          </w:tblCellMar>
        </w:tblPrEx>
        <w:trPr>
          <w:cantSplit/>
          <w:trHeight w:val="250"/>
          <w:tblHeader/>
        </w:trPr>
        <w:tc>
          <w:tcPr>
            <w:tcW w:w="1971" w:type="pct"/>
          </w:tcPr>
          <w:p w14:paraId="1C4E2A0C" w14:textId="77777777" w:rsidR="00397C19" w:rsidRPr="009702B0" w:rsidRDefault="00397C19" w:rsidP="00397C19">
            <w:pPr>
              <w:tabs>
                <w:tab w:val="right" w:pos="1202"/>
              </w:tabs>
              <w:spacing w:after="0" w:line="280" w:lineRule="exact"/>
              <w:outlineLvl w:val="0"/>
              <w:rPr>
                <w:sz w:val="19"/>
                <w:szCs w:val="19"/>
              </w:rPr>
            </w:pPr>
            <w:r w:rsidRPr="007F2D79">
              <w:rPr>
                <w:rFonts w:eastAsia="Times New Roman" w:cs="Arial"/>
                <w:sz w:val="18"/>
                <w:szCs w:val="18"/>
              </w:rPr>
              <w:t>Open letters of credit in foreign currency</w:t>
            </w:r>
          </w:p>
        </w:tc>
        <w:tc>
          <w:tcPr>
            <w:tcW w:w="757" w:type="pct"/>
            <w:tcBorders>
              <w:top w:val="nil"/>
              <w:left w:val="nil"/>
              <w:bottom w:val="nil"/>
              <w:right w:val="nil"/>
            </w:tcBorders>
            <w:shd w:val="clear" w:color="auto" w:fill="auto"/>
          </w:tcPr>
          <w:p w14:paraId="7DAFD158" w14:textId="1D5F7A4C" w:rsidR="00397C19" w:rsidRPr="009702B0" w:rsidRDefault="00397C19" w:rsidP="00397C19">
            <w:pPr>
              <w:tabs>
                <w:tab w:val="right" w:pos="1202"/>
              </w:tabs>
              <w:spacing w:after="0" w:line="280" w:lineRule="exact"/>
              <w:jc w:val="right"/>
              <w:outlineLvl w:val="0"/>
              <w:rPr>
                <w:sz w:val="19"/>
                <w:szCs w:val="19"/>
              </w:rPr>
            </w:pPr>
            <w:r w:rsidRPr="00EF558A">
              <w:rPr>
                <w:rFonts w:eastAsia="Times New Roman" w:cs="Arial"/>
                <w:sz w:val="19"/>
                <w:szCs w:val="19"/>
                <w:lang w:val="en-US"/>
              </w:rPr>
              <w:t>990</w:t>
            </w:r>
          </w:p>
        </w:tc>
        <w:tc>
          <w:tcPr>
            <w:tcW w:w="757" w:type="pct"/>
            <w:tcBorders>
              <w:top w:val="nil"/>
              <w:left w:val="nil"/>
              <w:bottom w:val="nil"/>
              <w:right w:val="nil"/>
            </w:tcBorders>
            <w:shd w:val="clear" w:color="auto" w:fill="auto"/>
          </w:tcPr>
          <w:p w14:paraId="5CFF05A4" w14:textId="72E37C7D" w:rsidR="00397C19" w:rsidRPr="009702B0" w:rsidRDefault="00397C19" w:rsidP="00397C19">
            <w:pPr>
              <w:tabs>
                <w:tab w:val="right" w:pos="1202"/>
              </w:tabs>
              <w:spacing w:after="0" w:line="280" w:lineRule="exact"/>
              <w:jc w:val="right"/>
              <w:outlineLvl w:val="0"/>
              <w:rPr>
                <w:sz w:val="19"/>
                <w:szCs w:val="19"/>
              </w:rPr>
            </w:pPr>
            <w:r w:rsidRPr="00EF558A">
              <w:rPr>
                <w:rFonts w:eastAsia="Times New Roman" w:cs="Arial"/>
                <w:sz w:val="19"/>
                <w:szCs w:val="19"/>
                <w:lang w:val="en-US"/>
              </w:rPr>
              <w:t>-</w:t>
            </w:r>
          </w:p>
        </w:tc>
        <w:tc>
          <w:tcPr>
            <w:tcW w:w="757" w:type="pct"/>
            <w:tcBorders>
              <w:top w:val="nil"/>
              <w:left w:val="nil"/>
              <w:bottom w:val="nil"/>
              <w:right w:val="nil"/>
            </w:tcBorders>
            <w:shd w:val="clear" w:color="auto" w:fill="auto"/>
          </w:tcPr>
          <w:p w14:paraId="3E885B57" w14:textId="1C2BC12C" w:rsidR="00397C19" w:rsidRPr="009702B0" w:rsidRDefault="00397C19" w:rsidP="00397C19">
            <w:pPr>
              <w:tabs>
                <w:tab w:val="right" w:pos="1202"/>
              </w:tabs>
              <w:spacing w:after="0" w:line="280" w:lineRule="exact"/>
              <w:jc w:val="right"/>
              <w:outlineLvl w:val="0"/>
              <w:rPr>
                <w:sz w:val="19"/>
                <w:szCs w:val="19"/>
              </w:rPr>
            </w:pPr>
            <w:r w:rsidRPr="00EF558A">
              <w:rPr>
                <w:rFonts w:eastAsia="Times New Roman" w:cs="Arial"/>
                <w:sz w:val="19"/>
                <w:szCs w:val="19"/>
                <w:lang w:val="en-US"/>
              </w:rPr>
              <w:t>-</w:t>
            </w:r>
          </w:p>
        </w:tc>
        <w:tc>
          <w:tcPr>
            <w:tcW w:w="757" w:type="pct"/>
            <w:tcBorders>
              <w:top w:val="nil"/>
              <w:left w:val="nil"/>
              <w:bottom w:val="nil"/>
              <w:right w:val="nil"/>
            </w:tcBorders>
            <w:shd w:val="clear" w:color="auto" w:fill="auto"/>
          </w:tcPr>
          <w:p w14:paraId="1024EEA0" w14:textId="559E6EE7" w:rsidR="00397C19" w:rsidRPr="009702B0" w:rsidRDefault="00397C19" w:rsidP="00397C19">
            <w:pPr>
              <w:tabs>
                <w:tab w:val="right" w:pos="1202"/>
              </w:tabs>
              <w:spacing w:after="0" w:line="280" w:lineRule="exact"/>
              <w:jc w:val="right"/>
              <w:outlineLvl w:val="0"/>
              <w:rPr>
                <w:sz w:val="19"/>
                <w:szCs w:val="19"/>
              </w:rPr>
            </w:pPr>
            <w:r w:rsidRPr="00EF558A">
              <w:rPr>
                <w:rFonts w:eastAsia="Times New Roman" w:cs="Arial"/>
                <w:sz w:val="19"/>
                <w:szCs w:val="19"/>
                <w:lang w:val="en-US"/>
              </w:rPr>
              <w:t>990</w:t>
            </w:r>
          </w:p>
        </w:tc>
      </w:tr>
      <w:tr w:rsidR="00397C19" w:rsidRPr="009702B0" w14:paraId="2B37CA9F" w14:textId="77777777" w:rsidTr="006B318F">
        <w:tblPrEx>
          <w:tblCellMar>
            <w:left w:w="31" w:type="dxa"/>
            <w:right w:w="31" w:type="dxa"/>
          </w:tblCellMar>
        </w:tblPrEx>
        <w:trPr>
          <w:cantSplit/>
          <w:trHeight w:val="250"/>
          <w:tblHeader/>
        </w:trPr>
        <w:tc>
          <w:tcPr>
            <w:tcW w:w="1971" w:type="pct"/>
            <w:vAlign w:val="bottom"/>
          </w:tcPr>
          <w:p w14:paraId="6EDBF9F5" w14:textId="77777777" w:rsidR="00397C19" w:rsidRPr="009702B0" w:rsidRDefault="00397C19" w:rsidP="00397C19">
            <w:pPr>
              <w:tabs>
                <w:tab w:val="right" w:pos="1202"/>
              </w:tabs>
              <w:spacing w:after="0" w:line="280" w:lineRule="exact"/>
              <w:outlineLvl w:val="0"/>
              <w:rPr>
                <w:sz w:val="19"/>
                <w:szCs w:val="19"/>
              </w:rPr>
            </w:pPr>
            <w:r w:rsidRPr="009702B0">
              <w:rPr>
                <w:sz w:val="19"/>
                <w:szCs w:val="19"/>
              </w:rPr>
              <w:t>Undrawn loans</w:t>
            </w:r>
          </w:p>
        </w:tc>
        <w:tc>
          <w:tcPr>
            <w:tcW w:w="757" w:type="pct"/>
            <w:tcBorders>
              <w:top w:val="nil"/>
              <w:left w:val="nil"/>
              <w:bottom w:val="nil"/>
              <w:right w:val="nil"/>
            </w:tcBorders>
            <w:shd w:val="clear" w:color="auto" w:fill="auto"/>
          </w:tcPr>
          <w:p w14:paraId="08110DA4" w14:textId="3A117D6B" w:rsidR="00397C19" w:rsidRPr="009702B0" w:rsidRDefault="00397C19" w:rsidP="00397C19">
            <w:pPr>
              <w:tabs>
                <w:tab w:val="right" w:pos="1202"/>
              </w:tabs>
              <w:spacing w:after="0" w:line="280" w:lineRule="exact"/>
              <w:jc w:val="right"/>
              <w:outlineLvl w:val="0"/>
              <w:rPr>
                <w:sz w:val="19"/>
                <w:szCs w:val="19"/>
              </w:rPr>
            </w:pPr>
            <w:r w:rsidRPr="00EF558A">
              <w:rPr>
                <w:rFonts w:eastAsia="Times New Roman" w:cs="Arial"/>
                <w:sz w:val="19"/>
                <w:szCs w:val="19"/>
                <w:lang w:val="en-US"/>
              </w:rPr>
              <w:t>3</w:t>
            </w:r>
            <w:r>
              <w:rPr>
                <w:rFonts w:eastAsia="Times New Roman" w:cs="Arial"/>
                <w:sz w:val="19"/>
                <w:szCs w:val="19"/>
                <w:lang w:val="en-US"/>
              </w:rPr>
              <w:t>,</w:t>
            </w:r>
            <w:r w:rsidRPr="00EF558A">
              <w:rPr>
                <w:rFonts w:eastAsia="Times New Roman" w:cs="Arial"/>
                <w:sz w:val="19"/>
                <w:szCs w:val="19"/>
                <w:lang w:val="en-US"/>
              </w:rPr>
              <w:t>194</w:t>
            </w:r>
            <w:r>
              <w:rPr>
                <w:rFonts w:eastAsia="Times New Roman" w:cs="Arial"/>
                <w:sz w:val="19"/>
                <w:szCs w:val="19"/>
                <w:lang w:val="en-US"/>
              </w:rPr>
              <w:t>,</w:t>
            </w:r>
            <w:r w:rsidRPr="00EF558A">
              <w:rPr>
                <w:rFonts w:eastAsia="Times New Roman" w:cs="Arial"/>
                <w:sz w:val="19"/>
                <w:szCs w:val="19"/>
                <w:lang w:val="en-US"/>
              </w:rPr>
              <w:t>161</w:t>
            </w:r>
          </w:p>
        </w:tc>
        <w:tc>
          <w:tcPr>
            <w:tcW w:w="757" w:type="pct"/>
            <w:tcBorders>
              <w:top w:val="nil"/>
              <w:left w:val="nil"/>
              <w:bottom w:val="nil"/>
              <w:right w:val="nil"/>
            </w:tcBorders>
            <w:shd w:val="clear" w:color="auto" w:fill="auto"/>
          </w:tcPr>
          <w:p w14:paraId="1144F3C5" w14:textId="4C05421E" w:rsidR="00397C19" w:rsidRPr="009702B0" w:rsidRDefault="00397C19" w:rsidP="00397C19">
            <w:pPr>
              <w:tabs>
                <w:tab w:val="right" w:pos="1202"/>
              </w:tabs>
              <w:spacing w:after="0" w:line="280" w:lineRule="exact"/>
              <w:jc w:val="right"/>
              <w:outlineLvl w:val="0"/>
              <w:rPr>
                <w:sz w:val="19"/>
                <w:szCs w:val="19"/>
              </w:rPr>
            </w:pPr>
            <w:r w:rsidRPr="00EF558A">
              <w:rPr>
                <w:rFonts w:eastAsia="Times New Roman" w:cs="Arial"/>
                <w:sz w:val="19"/>
                <w:szCs w:val="19"/>
                <w:lang w:val="en-US"/>
              </w:rPr>
              <w:t>-</w:t>
            </w:r>
          </w:p>
        </w:tc>
        <w:tc>
          <w:tcPr>
            <w:tcW w:w="757" w:type="pct"/>
            <w:tcBorders>
              <w:top w:val="nil"/>
              <w:left w:val="nil"/>
              <w:bottom w:val="nil"/>
              <w:right w:val="nil"/>
            </w:tcBorders>
            <w:shd w:val="clear" w:color="auto" w:fill="auto"/>
          </w:tcPr>
          <w:p w14:paraId="1D487FF8" w14:textId="00C66759" w:rsidR="00397C19" w:rsidRPr="009702B0" w:rsidRDefault="00397C19" w:rsidP="00397C19">
            <w:pPr>
              <w:tabs>
                <w:tab w:val="right" w:pos="1202"/>
              </w:tabs>
              <w:spacing w:after="0" w:line="280" w:lineRule="exact"/>
              <w:jc w:val="right"/>
              <w:outlineLvl w:val="0"/>
              <w:rPr>
                <w:sz w:val="19"/>
                <w:szCs w:val="19"/>
              </w:rPr>
            </w:pPr>
            <w:r w:rsidRPr="00EF558A">
              <w:rPr>
                <w:rFonts w:eastAsia="Times New Roman" w:cs="Arial"/>
                <w:sz w:val="19"/>
                <w:szCs w:val="19"/>
                <w:lang w:val="en-US"/>
              </w:rPr>
              <w:t>142</w:t>
            </w:r>
            <w:r>
              <w:rPr>
                <w:rFonts w:eastAsia="Times New Roman" w:cs="Arial"/>
                <w:sz w:val="19"/>
                <w:szCs w:val="19"/>
                <w:lang w:val="en-US"/>
              </w:rPr>
              <w:t>,</w:t>
            </w:r>
            <w:r w:rsidRPr="00EF558A">
              <w:rPr>
                <w:rFonts w:eastAsia="Times New Roman" w:cs="Arial"/>
                <w:sz w:val="19"/>
                <w:szCs w:val="19"/>
                <w:lang w:val="en-US"/>
              </w:rPr>
              <w:t>118</w:t>
            </w:r>
          </w:p>
        </w:tc>
        <w:tc>
          <w:tcPr>
            <w:tcW w:w="757" w:type="pct"/>
            <w:tcBorders>
              <w:top w:val="nil"/>
              <w:left w:val="nil"/>
              <w:bottom w:val="nil"/>
              <w:right w:val="nil"/>
            </w:tcBorders>
            <w:shd w:val="clear" w:color="auto" w:fill="auto"/>
          </w:tcPr>
          <w:p w14:paraId="016217CD" w14:textId="56776AC4" w:rsidR="00397C19" w:rsidRPr="009702B0" w:rsidRDefault="00397C19" w:rsidP="00397C19">
            <w:pPr>
              <w:tabs>
                <w:tab w:val="right" w:pos="1202"/>
              </w:tabs>
              <w:spacing w:after="0" w:line="280" w:lineRule="exact"/>
              <w:jc w:val="right"/>
              <w:outlineLvl w:val="0"/>
              <w:rPr>
                <w:sz w:val="19"/>
                <w:szCs w:val="19"/>
              </w:rPr>
            </w:pPr>
            <w:r w:rsidRPr="00EF558A">
              <w:rPr>
                <w:rFonts w:eastAsia="Times New Roman" w:cs="Arial"/>
                <w:sz w:val="19"/>
                <w:szCs w:val="19"/>
                <w:lang w:val="en-US"/>
              </w:rPr>
              <w:t>3</w:t>
            </w:r>
            <w:r>
              <w:rPr>
                <w:rFonts w:eastAsia="Times New Roman" w:cs="Arial"/>
                <w:sz w:val="19"/>
                <w:szCs w:val="19"/>
                <w:lang w:val="en-US"/>
              </w:rPr>
              <w:t>,</w:t>
            </w:r>
            <w:r w:rsidRPr="00EF558A">
              <w:rPr>
                <w:rFonts w:eastAsia="Times New Roman" w:cs="Arial"/>
                <w:sz w:val="19"/>
                <w:szCs w:val="19"/>
                <w:lang w:val="en-US"/>
              </w:rPr>
              <w:t>336</w:t>
            </w:r>
            <w:r>
              <w:rPr>
                <w:rFonts w:eastAsia="Times New Roman" w:cs="Arial"/>
                <w:sz w:val="19"/>
                <w:szCs w:val="19"/>
                <w:lang w:val="en-US"/>
              </w:rPr>
              <w:t>,</w:t>
            </w:r>
            <w:r w:rsidRPr="00EF558A">
              <w:rPr>
                <w:rFonts w:eastAsia="Times New Roman" w:cs="Arial"/>
                <w:sz w:val="19"/>
                <w:szCs w:val="19"/>
                <w:lang w:val="en-US"/>
              </w:rPr>
              <w:t>279</w:t>
            </w:r>
          </w:p>
        </w:tc>
      </w:tr>
      <w:tr w:rsidR="00397C19" w:rsidRPr="009702B0" w14:paraId="75B705A1" w14:textId="77777777" w:rsidTr="006B318F">
        <w:tblPrEx>
          <w:tblCellMar>
            <w:left w:w="31" w:type="dxa"/>
            <w:right w:w="31" w:type="dxa"/>
          </w:tblCellMar>
        </w:tblPrEx>
        <w:trPr>
          <w:cantSplit/>
          <w:trHeight w:val="203"/>
          <w:tblHeader/>
        </w:trPr>
        <w:tc>
          <w:tcPr>
            <w:tcW w:w="1971" w:type="pct"/>
            <w:vAlign w:val="bottom"/>
          </w:tcPr>
          <w:p w14:paraId="1665039E" w14:textId="77777777" w:rsidR="00397C19" w:rsidRPr="009702B0" w:rsidRDefault="00397C19" w:rsidP="00397C19">
            <w:pPr>
              <w:tabs>
                <w:tab w:val="right" w:pos="1202"/>
              </w:tabs>
              <w:spacing w:after="0" w:line="280" w:lineRule="exact"/>
              <w:outlineLvl w:val="0"/>
              <w:rPr>
                <w:bCs/>
                <w:color w:val="FF0000"/>
                <w:sz w:val="19"/>
                <w:szCs w:val="19"/>
              </w:rPr>
            </w:pPr>
            <w:r w:rsidRPr="009702B0">
              <w:rPr>
                <w:bCs/>
                <w:sz w:val="19"/>
                <w:szCs w:val="19"/>
              </w:rPr>
              <w:t>Other irrevocable contingent liabilities</w:t>
            </w:r>
          </w:p>
        </w:tc>
        <w:tc>
          <w:tcPr>
            <w:tcW w:w="757" w:type="pct"/>
            <w:tcBorders>
              <w:top w:val="nil"/>
              <w:left w:val="nil"/>
              <w:bottom w:val="single" w:sz="4" w:space="0" w:color="000000" w:themeColor="text1"/>
              <w:right w:val="nil"/>
            </w:tcBorders>
            <w:shd w:val="clear" w:color="auto" w:fill="auto"/>
          </w:tcPr>
          <w:p w14:paraId="3C4878D0" w14:textId="3E47CC34" w:rsidR="00397C19" w:rsidRPr="009702B0" w:rsidRDefault="00397C19" w:rsidP="00397C19">
            <w:pPr>
              <w:tabs>
                <w:tab w:val="right" w:pos="1202"/>
              </w:tabs>
              <w:spacing w:after="0" w:line="280" w:lineRule="exact"/>
              <w:jc w:val="right"/>
              <w:outlineLvl w:val="0"/>
              <w:rPr>
                <w:sz w:val="19"/>
                <w:szCs w:val="19"/>
              </w:rPr>
            </w:pPr>
            <w:r w:rsidRPr="00EF558A">
              <w:rPr>
                <w:rFonts w:eastAsia="Times New Roman" w:cs="Arial"/>
                <w:sz w:val="19"/>
                <w:szCs w:val="19"/>
                <w:lang w:val="en-US"/>
              </w:rPr>
              <w:t>335</w:t>
            </w:r>
          </w:p>
        </w:tc>
        <w:tc>
          <w:tcPr>
            <w:tcW w:w="757" w:type="pct"/>
            <w:tcBorders>
              <w:top w:val="nil"/>
              <w:left w:val="nil"/>
              <w:bottom w:val="single" w:sz="4" w:space="0" w:color="000000" w:themeColor="text1"/>
              <w:right w:val="nil"/>
            </w:tcBorders>
            <w:shd w:val="clear" w:color="auto" w:fill="auto"/>
          </w:tcPr>
          <w:p w14:paraId="434F8C6E" w14:textId="6371B484" w:rsidR="00397C19" w:rsidRPr="009702B0" w:rsidRDefault="00397C19" w:rsidP="00397C19">
            <w:pPr>
              <w:tabs>
                <w:tab w:val="right" w:pos="1202"/>
              </w:tabs>
              <w:spacing w:after="0" w:line="280" w:lineRule="exact"/>
              <w:jc w:val="right"/>
              <w:outlineLvl w:val="0"/>
              <w:rPr>
                <w:sz w:val="19"/>
                <w:szCs w:val="19"/>
              </w:rPr>
            </w:pPr>
            <w:r w:rsidRPr="00EF558A">
              <w:rPr>
                <w:rFonts w:eastAsia="Times New Roman" w:cs="Arial"/>
                <w:sz w:val="19"/>
                <w:szCs w:val="19"/>
                <w:lang w:val="en-US"/>
              </w:rPr>
              <w:t>-</w:t>
            </w:r>
          </w:p>
        </w:tc>
        <w:tc>
          <w:tcPr>
            <w:tcW w:w="757" w:type="pct"/>
            <w:tcBorders>
              <w:top w:val="nil"/>
              <w:left w:val="nil"/>
              <w:bottom w:val="single" w:sz="4" w:space="0" w:color="000000" w:themeColor="text1"/>
              <w:right w:val="nil"/>
            </w:tcBorders>
            <w:shd w:val="clear" w:color="auto" w:fill="auto"/>
          </w:tcPr>
          <w:p w14:paraId="5DCB376B" w14:textId="1C270CB0" w:rsidR="00397C19" w:rsidRPr="009702B0" w:rsidRDefault="00397C19" w:rsidP="00397C19">
            <w:pPr>
              <w:tabs>
                <w:tab w:val="right" w:pos="1202"/>
              </w:tabs>
              <w:spacing w:after="0" w:line="280" w:lineRule="exact"/>
              <w:jc w:val="right"/>
              <w:outlineLvl w:val="0"/>
              <w:rPr>
                <w:sz w:val="19"/>
                <w:szCs w:val="19"/>
              </w:rPr>
            </w:pPr>
            <w:r w:rsidRPr="00EF558A">
              <w:rPr>
                <w:rFonts w:eastAsia="Times New Roman" w:cs="Arial"/>
                <w:sz w:val="19"/>
                <w:szCs w:val="19"/>
                <w:lang w:val="en-US"/>
              </w:rPr>
              <w:t>-</w:t>
            </w:r>
          </w:p>
        </w:tc>
        <w:tc>
          <w:tcPr>
            <w:tcW w:w="757" w:type="pct"/>
            <w:tcBorders>
              <w:top w:val="nil"/>
              <w:left w:val="nil"/>
              <w:bottom w:val="single" w:sz="4" w:space="0" w:color="000000" w:themeColor="text1"/>
              <w:right w:val="nil"/>
            </w:tcBorders>
            <w:shd w:val="clear" w:color="auto" w:fill="auto"/>
          </w:tcPr>
          <w:p w14:paraId="5819ED72" w14:textId="211E8286" w:rsidR="00397C19" w:rsidRPr="009702B0" w:rsidRDefault="00397C19" w:rsidP="00397C19">
            <w:pPr>
              <w:tabs>
                <w:tab w:val="right" w:pos="1202"/>
              </w:tabs>
              <w:spacing w:after="0" w:line="280" w:lineRule="exact"/>
              <w:jc w:val="right"/>
              <w:outlineLvl w:val="0"/>
              <w:rPr>
                <w:sz w:val="19"/>
                <w:szCs w:val="19"/>
              </w:rPr>
            </w:pPr>
            <w:r w:rsidRPr="00EF558A">
              <w:rPr>
                <w:rFonts w:eastAsia="Times New Roman" w:cs="Arial"/>
                <w:sz w:val="19"/>
                <w:szCs w:val="19"/>
                <w:lang w:val="en-US"/>
              </w:rPr>
              <w:t>335</w:t>
            </w:r>
          </w:p>
        </w:tc>
      </w:tr>
      <w:tr w:rsidR="00397C19" w:rsidRPr="009702B0" w14:paraId="29F7388F" w14:textId="77777777" w:rsidTr="006B318F">
        <w:tblPrEx>
          <w:tblCellMar>
            <w:left w:w="31" w:type="dxa"/>
            <w:right w:w="31" w:type="dxa"/>
          </w:tblCellMar>
        </w:tblPrEx>
        <w:trPr>
          <w:cantSplit/>
          <w:trHeight w:val="203"/>
          <w:tblHeader/>
        </w:trPr>
        <w:tc>
          <w:tcPr>
            <w:tcW w:w="1971" w:type="pct"/>
            <w:vAlign w:val="bottom"/>
          </w:tcPr>
          <w:p w14:paraId="095FDBD1" w14:textId="77777777" w:rsidR="00397C19" w:rsidRPr="009702B0" w:rsidRDefault="00397C19" w:rsidP="00397C19">
            <w:pPr>
              <w:tabs>
                <w:tab w:val="right" w:pos="1202"/>
              </w:tabs>
              <w:spacing w:after="0" w:line="280" w:lineRule="exact"/>
              <w:outlineLvl w:val="0"/>
              <w:rPr>
                <w:b/>
                <w:bCs/>
                <w:sz w:val="19"/>
                <w:szCs w:val="19"/>
              </w:rPr>
            </w:pPr>
            <w:r w:rsidRPr="009702B0">
              <w:rPr>
                <w:b/>
                <w:bCs/>
                <w:sz w:val="19"/>
                <w:szCs w:val="19"/>
              </w:rPr>
              <w:t>Total</w:t>
            </w:r>
          </w:p>
        </w:tc>
        <w:tc>
          <w:tcPr>
            <w:tcW w:w="757" w:type="pct"/>
            <w:tcBorders>
              <w:top w:val="single" w:sz="4" w:space="0" w:color="000000" w:themeColor="text1"/>
              <w:left w:val="nil"/>
              <w:bottom w:val="single" w:sz="12" w:space="0" w:color="auto"/>
              <w:right w:val="nil"/>
            </w:tcBorders>
            <w:shd w:val="clear" w:color="auto" w:fill="auto"/>
          </w:tcPr>
          <w:p w14:paraId="3D808AD0" w14:textId="2A820634" w:rsidR="00397C19" w:rsidRPr="009702B0" w:rsidRDefault="00397C19" w:rsidP="00397C19">
            <w:pPr>
              <w:tabs>
                <w:tab w:val="right" w:pos="1202"/>
              </w:tabs>
              <w:spacing w:after="0" w:line="280" w:lineRule="exact"/>
              <w:jc w:val="right"/>
              <w:outlineLvl w:val="0"/>
              <w:rPr>
                <w:b/>
                <w:sz w:val="19"/>
                <w:szCs w:val="19"/>
              </w:rPr>
            </w:pPr>
            <w:r w:rsidRPr="00EF558A">
              <w:rPr>
                <w:rFonts w:eastAsia="Times New Roman" w:cs="Arial"/>
                <w:b/>
                <w:bCs/>
                <w:sz w:val="19"/>
                <w:szCs w:val="19"/>
                <w:lang w:val="en-US"/>
              </w:rPr>
              <w:t>5</w:t>
            </w:r>
            <w:r>
              <w:rPr>
                <w:rFonts w:eastAsia="Times New Roman" w:cs="Arial"/>
                <w:b/>
                <w:bCs/>
                <w:sz w:val="19"/>
                <w:szCs w:val="19"/>
                <w:lang w:val="en-US"/>
              </w:rPr>
              <w:t>,</w:t>
            </w:r>
            <w:r w:rsidRPr="00EF558A">
              <w:rPr>
                <w:rFonts w:eastAsia="Times New Roman" w:cs="Arial"/>
                <w:b/>
                <w:bCs/>
                <w:sz w:val="19"/>
                <w:szCs w:val="19"/>
                <w:lang w:val="en-US"/>
              </w:rPr>
              <w:t>407</w:t>
            </w:r>
            <w:r>
              <w:rPr>
                <w:rFonts w:eastAsia="Times New Roman" w:cs="Arial"/>
                <w:b/>
                <w:bCs/>
                <w:sz w:val="19"/>
                <w:szCs w:val="19"/>
                <w:lang w:val="en-US"/>
              </w:rPr>
              <w:t>,</w:t>
            </w:r>
            <w:r w:rsidRPr="00EF558A">
              <w:rPr>
                <w:rFonts w:eastAsia="Times New Roman" w:cs="Arial"/>
                <w:b/>
                <w:bCs/>
                <w:sz w:val="19"/>
                <w:szCs w:val="19"/>
                <w:lang w:val="en-US"/>
              </w:rPr>
              <w:t>526</w:t>
            </w:r>
          </w:p>
        </w:tc>
        <w:tc>
          <w:tcPr>
            <w:tcW w:w="757" w:type="pct"/>
            <w:tcBorders>
              <w:top w:val="single" w:sz="4" w:space="0" w:color="000000" w:themeColor="text1"/>
              <w:left w:val="nil"/>
              <w:bottom w:val="single" w:sz="12" w:space="0" w:color="auto"/>
              <w:right w:val="nil"/>
            </w:tcBorders>
            <w:shd w:val="clear" w:color="auto" w:fill="auto"/>
          </w:tcPr>
          <w:p w14:paraId="075A15A6" w14:textId="5934C338" w:rsidR="00397C19" w:rsidRPr="009702B0" w:rsidRDefault="00397C19" w:rsidP="00397C19">
            <w:pPr>
              <w:tabs>
                <w:tab w:val="right" w:pos="1202"/>
              </w:tabs>
              <w:spacing w:after="0" w:line="280" w:lineRule="exact"/>
              <w:jc w:val="right"/>
              <w:outlineLvl w:val="0"/>
              <w:rPr>
                <w:b/>
                <w:sz w:val="19"/>
                <w:szCs w:val="19"/>
              </w:rPr>
            </w:pPr>
            <w:r w:rsidRPr="00EF558A">
              <w:rPr>
                <w:rFonts w:eastAsia="Times New Roman" w:cs="Arial"/>
                <w:b/>
                <w:bCs/>
                <w:sz w:val="19"/>
                <w:szCs w:val="19"/>
                <w:lang w:val="en-US"/>
              </w:rPr>
              <w:t>602</w:t>
            </w:r>
          </w:p>
        </w:tc>
        <w:tc>
          <w:tcPr>
            <w:tcW w:w="757" w:type="pct"/>
            <w:tcBorders>
              <w:top w:val="single" w:sz="4" w:space="0" w:color="000000" w:themeColor="text1"/>
              <w:left w:val="nil"/>
              <w:bottom w:val="single" w:sz="12" w:space="0" w:color="auto"/>
              <w:right w:val="nil"/>
            </w:tcBorders>
            <w:shd w:val="clear" w:color="auto" w:fill="auto"/>
          </w:tcPr>
          <w:p w14:paraId="25FD2ABE" w14:textId="58321C60" w:rsidR="00397C19" w:rsidRPr="009702B0" w:rsidRDefault="00397C19" w:rsidP="00397C19">
            <w:pPr>
              <w:tabs>
                <w:tab w:val="right" w:pos="1202"/>
              </w:tabs>
              <w:spacing w:after="0" w:line="280" w:lineRule="exact"/>
              <w:jc w:val="right"/>
              <w:outlineLvl w:val="0"/>
              <w:rPr>
                <w:b/>
                <w:sz w:val="19"/>
                <w:szCs w:val="19"/>
              </w:rPr>
            </w:pPr>
            <w:r w:rsidRPr="00EF558A">
              <w:rPr>
                <w:rFonts w:eastAsia="Times New Roman" w:cs="Arial"/>
                <w:b/>
                <w:bCs/>
                <w:sz w:val="19"/>
                <w:szCs w:val="19"/>
                <w:lang w:val="en-US"/>
              </w:rPr>
              <w:t>142</w:t>
            </w:r>
            <w:r>
              <w:rPr>
                <w:rFonts w:eastAsia="Times New Roman" w:cs="Arial"/>
                <w:b/>
                <w:bCs/>
                <w:sz w:val="19"/>
                <w:szCs w:val="19"/>
                <w:lang w:val="en-US"/>
              </w:rPr>
              <w:t>,</w:t>
            </w:r>
            <w:r w:rsidRPr="00EF558A">
              <w:rPr>
                <w:rFonts w:eastAsia="Times New Roman" w:cs="Arial"/>
                <w:b/>
                <w:bCs/>
                <w:sz w:val="19"/>
                <w:szCs w:val="19"/>
                <w:lang w:val="en-US"/>
              </w:rPr>
              <w:t>118</w:t>
            </w:r>
          </w:p>
        </w:tc>
        <w:tc>
          <w:tcPr>
            <w:tcW w:w="757" w:type="pct"/>
            <w:tcBorders>
              <w:top w:val="single" w:sz="4" w:space="0" w:color="000000" w:themeColor="text1"/>
              <w:left w:val="nil"/>
              <w:bottom w:val="single" w:sz="12" w:space="0" w:color="auto"/>
              <w:right w:val="nil"/>
            </w:tcBorders>
            <w:shd w:val="clear" w:color="auto" w:fill="auto"/>
          </w:tcPr>
          <w:p w14:paraId="7C5D7FA8" w14:textId="15777155" w:rsidR="00397C19" w:rsidRPr="009702B0" w:rsidRDefault="00397C19" w:rsidP="00397C19">
            <w:pPr>
              <w:tabs>
                <w:tab w:val="right" w:pos="1202"/>
              </w:tabs>
              <w:spacing w:after="0" w:line="280" w:lineRule="exact"/>
              <w:jc w:val="right"/>
              <w:outlineLvl w:val="0"/>
              <w:rPr>
                <w:b/>
                <w:sz w:val="19"/>
                <w:szCs w:val="19"/>
              </w:rPr>
            </w:pPr>
            <w:r w:rsidRPr="00EF558A">
              <w:rPr>
                <w:rFonts w:eastAsia="Times New Roman" w:cs="Arial"/>
                <w:b/>
                <w:bCs/>
                <w:sz w:val="19"/>
                <w:szCs w:val="19"/>
                <w:lang w:val="en-US"/>
              </w:rPr>
              <w:t>5</w:t>
            </w:r>
            <w:r>
              <w:rPr>
                <w:rFonts w:eastAsia="Times New Roman" w:cs="Arial"/>
                <w:b/>
                <w:bCs/>
                <w:sz w:val="19"/>
                <w:szCs w:val="19"/>
                <w:lang w:val="en-US"/>
              </w:rPr>
              <w:t>,</w:t>
            </w:r>
            <w:r w:rsidRPr="00EF558A">
              <w:rPr>
                <w:rFonts w:eastAsia="Times New Roman" w:cs="Arial"/>
                <w:b/>
                <w:bCs/>
                <w:sz w:val="19"/>
                <w:szCs w:val="19"/>
                <w:lang w:val="en-US"/>
              </w:rPr>
              <w:t>550</w:t>
            </w:r>
            <w:r>
              <w:rPr>
                <w:rFonts w:eastAsia="Times New Roman" w:cs="Arial"/>
                <w:b/>
                <w:bCs/>
                <w:sz w:val="19"/>
                <w:szCs w:val="19"/>
                <w:lang w:val="en-US"/>
              </w:rPr>
              <w:t>,</w:t>
            </w:r>
            <w:r w:rsidRPr="00EF558A">
              <w:rPr>
                <w:rFonts w:eastAsia="Times New Roman" w:cs="Arial"/>
                <w:b/>
                <w:bCs/>
                <w:sz w:val="19"/>
                <w:szCs w:val="19"/>
                <w:lang w:val="en-US"/>
              </w:rPr>
              <w:t>246</w:t>
            </w:r>
          </w:p>
        </w:tc>
      </w:tr>
      <w:tr w:rsidR="00397C19" w:rsidRPr="009702B0" w14:paraId="101FB048" w14:textId="77777777" w:rsidTr="006B318F">
        <w:tblPrEx>
          <w:tblCellMar>
            <w:left w:w="31" w:type="dxa"/>
            <w:right w:w="31" w:type="dxa"/>
          </w:tblCellMar>
        </w:tblPrEx>
        <w:trPr>
          <w:cantSplit/>
          <w:trHeight w:val="388"/>
          <w:tblHeader/>
        </w:trPr>
        <w:tc>
          <w:tcPr>
            <w:tcW w:w="1971" w:type="pct"/>
            <w:vAlign w:val="bottom"/>
          </w:tcPr>
          <w:p w14:paraId="0C41886A" w14:textId="77777777" w:rsidR="00397C19" w:rsidRPr="009702B0" w:rsidRDefault="00397C19" w:rsidP="00397C19">
            <w:pPr>
              <w:tabs>
                <w:tab w:val="right" w:pos="1202"/>
              </w:tabs>
              <w:spacing w:after="0" w:line="280" w:lineRule="exact"/>
              <w:outlineLvl w:val="0"/>
              <w:rPr>
                <w:b/>
                <w:bCs/>
                <w:sz w:val="19"/>
                <w:szCs w:val="19"/>
              </w:rPr>
            </w:pPr>
            <w:r w:rsidRPr="009702B0">
              <w:rPr>
                <w:rFonts w:cs="Arial"/>
                <w:b/>
                <w:bCs/>
                <w:sz w:val="19"/>
                <w:szCs w:val="19"/>
              </w:rPr>
              <w:t>Total credit risk exposure</w:t>
            </w:r>
          </w:p>
        </w:tc>
        <w:tc>
          <w:tcPr>
            <w:tcW w:w="757" w:type="pct"/>
            <w:tcBorders>
              <w:top w:val="nil"/>
              <w:left w:val="nil"/>
              <w:bottom w:val="single" w:sz="12" w:space="0" w:color="auto"/>
              <w:right w:val="nil"/>
            </w:tcBorders>
            <w:shd w:val="clear" w:color="auto" w:fill="auto"/>
            <w:vAlign w:val="bottom"/>
          </w:tcPr>
          <w:p w14:paraId="491B0267" w14:textId="46932C89" w:rsidR="00397C19" w:rsidRPr="009702B0" w:rsidRDefault="00397C19" w:rsidP="00397C19">
            <w:pPr>
              <w:tabs>
                <w:tab w:val="right" w:pos="1202"/>
              </w:tabs>
              <w:spacing w:after="0" w:line="280" w:lineRule="exact"/>
              <w:jc w:val="right"/>
              <w:outlineLvl w:val="0"/>
              <w:rPr>
                <w:b/>
                <w:sz w:val="19"/>
                <w:szCs w:val="19"/>
              </w:rPr>
            </w:pPr>
            <w:r w:rsidRPr="00EF558A">
              <w:rPr>
                <w:rFonts w:eastAsia="Times New Roman" w:cs="Arial"/>
                <w:b/>
                <w:bCs/>
                <w:sz w:val="19"/>
                <w:szCs w:val="19"/>
                <w:lang w:val="en-US"/>
              </w:rPr>
              <w:t>32</w:t>
            </w:r>
            <w:r>
              <w:rPr>
                <w:rFonts w:eastAsia="Times New Roman" w:cs="Arial"/>
                <w:b/>
                <w:bCs/>
                <w:sz w:val="19"/>
                <w:szCs w:val="19"/>
                <w:lang w:val="en-US"/>
              </w:rPr>
              <w:t>,</w:t>
            </w:r>
            <w:r w:rsidRPr="00EF558A">
              <w:rPr>
                <w:rFonts w:eastAsia="Times New Roman" w:cs="Arial"/>
                <w:b/>
                <w:bCs/>
                <w:sz w:val="19"/>
                <w:szCs w:val="19"/>
                <w:lang w:val="en-US"/>
              </w:rPr>
              <w:t>906</w:t>
            </w:r>
            <w:r>
              <w:rPr>
                <w:rFonts w:eastAsia="Times New Roman" w:cs="Arial"/>
                <w:b/>
                <w:bCs/>
                <w:sz w:val="19"/>
                <w:szCs w:val="19"/>
                <w:lang w:val="en-US"/>
              </w:rPr>
              <w:t>,</w:t>
            </w:r>
            <w:r w:rsidRPr="00EF558A">
              <w:rPr>
                <w:rFonts w:eastAsia="Times New Roman" w:cs="Arial"/>
                <w:b/>
                <w:bCs/>
                <w:sz w:val="19"/>
                <w:szCs w:val="19"/>
                <w:lang w:val="en-US"/>
              </w:rPr>
              <w:t>401</w:t>
            </w:r>
          </w:p>
        </w:tc>
        <w:tc>
          <w:tcPr>
            <w:tcW w:w="757" w:type="pct"/>
            <w:tcBorders>
              <w:top w:val="nil"/>
              <w:left w:val="nil"/>
              <w:bottom w:val="single" w:sz="12" w:space="0" w:color="auto"/>
              <w:right w:val="nil"/>
            </w:tcBorders>
            <w:shd w:val="clear" w:color="auto" w:fill="auto"/>
            <w:vAlign w:val="bottom"/>
          </w:tcPr>
          <w:p w14:paraId="2C381697" w14:textId="172058AB" w:rsidR="00397C19" w:rsidRPr="009702B0" w:rsidRDefault="00397C19" w:rsidP="00397C19">
            <w:pPr>
              <w:tabs>
                <w:tab w:val="right" w:pos="1202"/>
              </w:tabs>
              <w:spacing w:after="0" w:line="280" w:lineRule="exact"/>
              <w:jc w:val="right"/>
              <w:outlineLvl w:val="0"/>
              <w:rPr>
                <w:b/>
                <w:sz w:val="19"/>
                <w:szCs w:val="19"/>
              </w:rPr>
            </w:pPr>
            <w:r w:rsidRPr="00EF558A">
              <w:rPr>
                <w:rFonts w:eastAsia="Times New Roman" w:cs="Arial"/>
                <w:b/>
                <w:bCs/>
                <w:sz w:val="19"/>
                <w:szCs w:val="19"/>
                <w:lang w:val="en-US"/>
              </w:rPr>
              <w:t>348</w:t>
            </w:r>
            <w:r>
              <w:rPr>
                <w:rFonts w:eastAsia="Times New Roman" w:cs="Arial"/>
                <w:b/>
                <w:bCs/>
                <w:sz w:val="19"/>
                <w:szCs w:val="19"/>
                <w:lang w:val="en-US"/>
              </w:rPr>
              <w:t>,</w:t>
            </w:r>
            <w:r w:rsidRPr="00EF558A">
              <w:rPr>
                <w:rFonts w:eastAsia="Times New Roman" w:cs="Arial"/>
                <w:b/>
                <w:bCs/>
                <w:sz w:val="19"/>
                <w:szCs w:val="19"/>
                <w:lang w:val="en-US"/>
              </w:rPr>
              <w:t>661</w:t>
            </w:r>
          </w:p>
        </w:tc>
        <w:tc>
          <w:tcPr>
            <w:tcW w:w="757" w:type="pct"/>
            <w:tcBorders>
              <w:top w:val="nil"/>
              <w:left w:val="nil"/>
              <w:bottom w:val="single" w:sz="12" w:space="0" w:color="auto"/>
              <w:right w:val="nil"/>
            </w:tcBorders>
            <w:shd w:val="clear" w:color="auto" w:fill="auto"/>
            <w:vAlign w:val="bottom"/>
          </w:tcPr>
          <w:p w14:paraId="7EC76B47" w14:textId="5896EB93" w:rsidR="00397C19" w:rsidRPr="009702B0" w:rsidRDefault="00397C19" w:rsidP="00397C19">
            <w:pPr>
              <w:tabs>
                <w:tab w:val="right" w:pos="1202"/>
              </w:tabs>
              <w:spacing w:after="0" w:line="280" w:lineRule="exact"/>
              <w:jc w:val="right"/>
              <w:outlineLvl w:val="0"/>
              <w:rPr>
                <w:b/>
                <w:sz w:val="19"/>
                <w:szCs w:val="19"/>
              </w:rPr>
            </w:pPr>
            <w:r w:rsidRPr="00EF558A">
              <w:rPr>
                <w:rFonts w:eastAsia="Times New Roman" w:cs="Arial"/>
                <w:b/>
                <w:bCs/>
                <w:sz w:val="19"/>
                <w:szCs w:val="19"/>
                <w:lang w:val="en-US"/>
              </w:rPr>
              <w:t>475</w:t>
            </w:r>
            <w:r>
              <w:rPr>
                <w:rFonts w:eastAsia="Times New Roman" w:cs="Arial"/>
                <w:b/>
                <w:bCs/>
                <w:sz w:val="19"/>
                <w:szCs w:val="19"/>
                <w:lang w:val="en-US"/>
              </w:rPr>
              <w:t>,</w:t>
            </w:r>
            <w:r w:rsidRPr="00EF558A">
              <w:rPr>
                <w:rFonts w:eastAsia="Times New Roman" w:cs="Arial"/>
                <w:b/>
                <w:bCs/>
                <w:sz w:val="19"/>
                <w:szCs w:val="19"/>
                <w:lang w:val="en-US"/>
              </w:rPr>
              <w:t>140</w:t>
            </w:r>
          </w:p>
        </w:tc>
        <w:tc>
          <w:tcPr>
            <w:tcW w:w="757" w:type="pct"/>
            <w:tcBorders>
              <w:top w:val="nil"/>
              <w:left w:val="nil"/>
              <w:bottom w:val="single" w:sz="12" w:space="0" w:color="auto"/>
              <w:right w:val="nil"/>
            </w:tcBorders>
            <w:shd w:val="clear" w:color="auto" w:fill="auto"/>
            <w:vAlign w:val="bottom"/>
          </w:tcPr>
          <w:p w14:paraId="436B8D7C" w14:textId="30D84244" w:rsidR="00397C19" w:rsidRPr="009702B0" w:rsidRDefault="00397C19" w:rsidP="00397C19">
            <w:pPr>
              <w:tabs>
                <w:tab w:val="right" w:pos="1202"/>
              </w:tabs>
              <w:spacing w:after="0" w:line="280" w:lineRule="exact"/>
              <w:jc w:val="right"/>
              <w:outlineLvl w:val="0"/>
              <w:rPr>
                <w:b/>
                <w:sz w:val="19"/>
                <w:szCs w:val="19"/>
              </w:rPr>
            </w:pPr>
            <w:r w:rsidRPr="00EF558A">
              <w:rPr>
                <w:rFonts w:eastAsia="Times New Roman" w:cs="Arial"/>
                <w:b/>
                <w:bCs/>
                <w:sz w:val="19"/>
                <w:szCs w:val="19"/>
                <w:lang w:val="en-US"/>
              </w:rPr>
              <w:t>33</w:t>
            </w:r>
            <w:r>
              <w:rPr>
                <w:rFonts w:eastAsia="Times New Roman" w:cs="Arial"/>
                <w:b/>
                <w:bCs/>
                <w:sz w:val="19"/>
                <w:szCs w:val="19"/>
                <w:lang w:val="en-US"/>
              </w:rPr>
              <w:t>,</w:t>
            </w:r>
            <w:r w:rsidRPr="00EF558A">
              <w:rPr>
                <w:rFonts w:eastAsia="Times New Roman" w:cs="Arial"/>
                <w:b/>
                <w:bCs/>
                <w:sz w:val="19"/>
                <w:szCs w:val="19"/>
                <w:lang w:val="en-US"/>
              </w:rPr>
              <w:t>730</w:t>
            </w:r>
            <w:r>
              <w:rPr>
                <w:rFonts w:eastAsia="Times New Roman" w:cs="Arial"/>
                <w:b/>
                <w:bCs/>
                <w:sz w:val="19"/>
                <w:szCs w:val="19"/>
                <w:lang w:val="en-US"/>
              </w:rPr>
              <w:t>,</w:t>
            </w:r>
            <w:r w:rsidRPr="00EF558A">
              <w:rPr>
                <w:rFonts w:eastAsia="Times New Roman" w:cs="Arial"/>
                <w:b/>
                <w:bCs/>
                <w:sz w:val="19"/>
                <w:szCs w:val="19"/>
                <w:lang w:val="en-US"/>
              </w:rPr>
              <w:t>202</w:t>
            </w:r>
          </w:p>
        </w:tc>
      </w:tr>
    </w:tbl>
    <w:p w14:paraId="2ABA72A7" w14:textId="77777777" w:rsidR="009702B0" w:rsidRPr="009702B0" w:rsidRDefault="009702B0" w:rsidP="009702B0">
      <w:pPr>
        <w:rPr>
          <w:rFonts w:cs="Arial"/>
          <w:b/>
          <w:bCs/>
          <w:highlight w:val="yellow"/>
        </w:rPr>
      </w:pPr>
    </w:p>
    <w:p w14:paraId="4DCD48DC" w14:textId="77777777" w:rsidR="009702B0" w:rsidRPr="009702B0" w:rsidRDefault="009702B0" w:rsidP="009702B0">
      <w:pPr>
        <w:rPr>
          <w:rFonts w:cs="Arial"/>
          <w:b/>
          <w:bCs/>
          <w:highlight w:val="yellow"/>
        </w:rPr>
      </w:pPr>
    </w:p>
    <w:p w14:paraId="5770F1BE" w14:textId="77777777" w:rsidR="009702B0" w:rsidRPr="009702B0" w:rsidRDefault="009702B0" w:rsidP="009702B0">
      <w:pPr>
        <w:spacing w:after="0" w:line="240" w:lineRule="auto"/>
        <w:jc w:val="both"/>
        <w:rPr>
          <w:rFonts w:eastAsia="Times New Roman" w:cs="Calibri"/>
          <w:b/>
          <w:sz w:val="24"/>
          <w:szCs w:val="24"/>
        </w:rPr>
        <w:sectPr w:rsidR="009702B0" w:rsidRPr="009702B0" w:rsidSect="00947CB7">
          <w:footerReference w:type="first" r:id="rId80"/>
          <w:pgSz w:w="11906" w:h="16838" w:code="9"/>
          <w:pgMar w:top="1418" w:right="1418" w:bottom="595" w:left="1134" w:header="709" w:footer="709" w:gutter="0"/>
          <w:cols w:space="708"/>
          <w:titlePg/>
          <w:docGrid w:linePitch="360"/>
        </w:sectPr>
      </w:pPr>
    </w:p>
    <w:p w14:paraId="22F6ED5A" w14:textId="77777777" w:rsidR="009702B0" w:rsidRPr="009702B0" w:rsidRDefault="009702B0" w:rsidP="009702B0">
      <w:pPr>
        <w:keepNext/>
        <w:spacing w:after="0" w:line="240" w:lineRule="auto"/>
        <w:jc w:val="both"/>
        <w:rPr>
          <w:rFonts w:ascii="Arial" w:eastAsia="Times New Roman" w:hAnsi="Arial" w:cs="Arial"/>
          <w:b/>
          <w:bCs/>
        </w:rPr>
      </w:pPr>
    </w:p>
    <w:p w14:paraId="75FC5BAD"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14:paraId="6D55EEB6" w14:textId="77777777" w:rsidR="009702B0" w:rsidRPr="009702B0" w:rsidRDefault="009702B0" w:rsidP="009702B0">
      <w:pPr>
        <w:keepNext/>
        <w:spacing w:after="0" w:line="240" w:lineRule="auto"/>
        <w:jc w:val="both"/>
        <w:rPr>
          <w:rFonts w:eastAsia="Times New Roman" w:cs="Arial"/>
          <w:b/>
          <w:bCs/>
        </w:rPr>
      </w:pPr>
    </w:p>
    <w:p w14:paraId="14B3A77E"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 xml:space="preserve">16.2. </w:t>
      </w:r>
      <w:r w:rsidRPr="009702B0">
        <w:rPr>
          <w:rFonts w:eastAsia="Times New Roman" w:cs="Arial"/>
          <w:b/>
          <w:bCs/>
        </w:rPr>
        <w:tab/>
        <w:t>Credit risk (continued)</w:t>
      </w:r>
    </w:p>
    <w:p w14:paraId="4B2D4B7D" w14:textId="77777777" w:rsidR="009702B0" w:rsidRPr="009702B0" w:rsidRDefault="009702B0" w:rsidP="009702B0">
      <w:pPr>
        <w:keepNext/>
        <w:spacing w:after="0" w:line="240" w:lineRule="auto"/>
        <w:jc w:val="both"/>
        <w:rPr>
          <w:rFonts w:eastAsia="Times New Roman" w:cs="Arial"/>
          <w:b/>
          <w:bCs/>
        </w:rPr>
      </w:pPr>
    </w:p>
    <w:p w14:paraId="23B5D586" w14:textId="77777777" w:rsidR="009702B0" w:rsidRPr="009702B0" w:rsidRDefault="009702B0" w:rsidP="009702B0">
      <w:pPr>
        <w:spacing w:after="0" w:line="240" w:lineRule="auto"/>
        <w:jc w:val="both"/>
        <w:rPr>
          <w:rFonts w:ascii="Arial" w:eastAsia="Times New Roman" w:hAnsi="Arial" w:cs="Arial"/>
          <w:b/>
          <w:sz w:val="19"/>
          <w:szCs w:val="19"/>
        </w:rPr>
      </w:pPr>
      <w:r w:rsidRPr="009702B0">
        <w:rPr>
          <w:rFonts w:ascii="Arial" w:eastAsia="Times New Roman" w:hAnsi="Arial" w:cs="Arial"/>
          <w:b/>
          <w:sz w:val="19"/>
          <w:szCs w:val="19"/>
        </w:rPr>
        <w:t>Concentration of risk and maximum credit risk exposure (continued)</w:t>
      </w:r>
    </w:p>
    <w:p w14:paraId="11CD4ABA" w14:textId="77777777" w:rsidR="009702B0" w:rsidRPr="009702B0" w:rsidRDefault="009702B0" w:rsidP="009702B0">
      <w:pPr>
        <w:spacing w:after="0" w:line="240" w:lineRule="auto"/>
        <w:jc w:val="both"/>
        <w:rPr>
          <w:rFonts w:ascii="Arial" w:eastAsia="Times New Roman" w:hAnsi="Arial" w:cs="Arial"/>
          <w:b/>
          <w:sz w:val="19"/>
          <w:szCs w:val="19"/>
        </w:rPr>
      </w:pPr>
    </w:p>
    <w:p w14:paraId="0BB87B45" w14:textId="77777777" w:rsidR="009702B0" w:rsidRPr="009702B0" w:rsidRDefault="009702B0" w:rsidP="009702B0">
      <w:pPr>
        <w:keepNext/>
        <w:spacing w:after="0" w:line="240" w:lineRule="auto"/>
        <w:jc w:val="both"/>
        <w:rPr>
          <w:rFonts w:eastAsia="Times New Roman" w:cs="Arial"/>
          <w:bCs/>
        </w:rPr>
      </w:pPr>
      <w:r w:rsidRPr="009702B0">
        <w:rPr>
          <w:rFonts w:eastAsia="Times New Roman" w:cs="Arial"/>
        </w:rPr>
        <w:t xml:space="preserve">Concentration of assets and guarantees and commitments, according to geographical segments, </w:t>
      </w:r>
      <w:r w:rsidRPr="009702B0">
        <w:rPr>
          <w:rFonts w:eastAsia="Times New Roman" w:cs="Arial"/>
          <w:bCs/>
        </w:rPr>
        <w:t>before the effect of mitigation through collateral received, is as follows (continued):</w:t>
      </w:r>
    </w:p>
    <w:p w14:paraId="3F5DB44C" w14:textId="77777777" w:rsidR="009702B0" w:rsidRPr="009702B0" w:rsidRDefault="009702B0" w:rsidP="009702B0">
      <w:pPr>
        <w:keepNext/>
        <w:spacing w:after="0" w:line="240" w:lineRule="auto"/>
        <w:jc w:val="both"/>
        <w:rPr>
          <w:rFonts w:eastAsia="Times New Roman" w:cs="Arial"/>
        </w:rPr>
      </w:pPr>
    </w:p>
    <w:tbl>
      <w:tblPr>
        <w:tblW w:w="5000" w:type="pct"/>
        <w:tblLayout w:type="fixed"/>
        <w:tblCellMar>
          <w:left w:w="30" w:type="dxa"/>
          <w:right w:w="30" w:type="dxa"/>
        </w:tblCellMar>
        <w:tblLook w:val="0000" w:firstRow="0" w:lastRow="0" w:firstColumn="0" w:lastColumn="0" w:noHBand="0" w:noVBand="0"/>
      </w:tblPr>
      <w:tblGrid>
        <w:gridCol w:w="4534"/>
        <w:gridCol w:w="1205"/>
        <w:gridCol w:w="109"/>
        <w:gridCol w:w="1096"/>
        <w:gridCol w:w="71"/>
        <w:gridCol w:w="1134"/>
        <w:gridCol w:w="34"/>
        <w:gridCol w:w="1171"/>
      </w:tblGrid>
      <w:tr w:rsidR="00693680" w:rsidRPr="00693680" w14:paraId="0978C6DE" w14:textId="77777777" w:rsidTr="00693680">
        <w:trPr>
          <w:cantSplit/>
          <w:trHeight w:val="735"/>
          <w:tblHeader/>
        </w:trPr>
        <w:tc>
          <w:tcPr>
            <w:tcW w:w="2424" w:type="pct"/>
            <w:vAlign w:val="center"/>
          </w:tcPr>
          <w:p w14:paraId="08DAA439" w14:textId="77777777" w:rsidR="00693680" w:rsidRPr="00693680" w:rsidRDefault="00693680" w:rsidP="00693680">
            <w:pPr>
              <w:tabs>
                <w:tab w:val="right" w:pos="1202"/>
              </w:tabs>
              <w:spacing w:after="0" w:line="260" w:lineRule="atLeast"/>
              <w:outlineLvl w:val="0"/>
              <w:rPr>
                <w:rFonts w:asciiTheme="minorHAnsi" w:eastAsia="Times New Roman" w:hAnsiTheme="minorHAnsi" w:cs="Arial"/>
                <w:b/>
                <w:sz w:val="19"/>
                <w:szCs w:val="19"/>
              </w:rPr>
            </w:pPr>
            <w:r w:rsidRPr="00693680">
              <w:rPr>
                <w:rFonts w:asciiTheme="minorHAnsi" w:eastAsia="Times New Roman" w:hAnsiTheme="minorHAnsi" w:cs="Arial"/>
                <w:b/>
                <w:sz w:val="19"/>
                <w:szCs w:val="19"/>
              </w:rPr>
              <w:t>Group</w:t>
            </w:r>
          </w:p>
          <w:p w14:paraId="46DAE5AA" w14:textId="77777777" w:rsidR="00693680" w:rsidRPr="00693680" w:rsidRDefault="00693680" w:rsidP="00693680">
            <w:pPr>
              <w:tabs>
                <w:tab w:val="right" w:pos="1202"/>
              </w:tabs>
              <w:spacing w:after="0" w:line="260" w:lineRule="atLeast"/>
              <w:outlineLvl w:val="0"/>
              <w:rPr>
                <w:rFonts w:asciiTheme="minorHAnsi" w:eastAsia="Times New Roman" w:hAnsiTheme="minorHAnsi" w:cs="Arial"/>
                <w:b/>
                <w:sz w:val="19"/>
                <w:szCs w:val="19"/>
              </w:rPr>
            </w:pPr>
            <w:r>
              <w:rPr>
                <w:rFonts w:asciiTheme="minorHAnsi" w:eastAsia="Times New Roman" w:hAnsiTheme="minorHAnsi" w:cs="Arial"/>
                <w:b/>
                <w:sz w:val="19"/>
                <w:szCs w:val="19"/>
              </w:rPr>
              <w:t xml:space="preserve">Dec 31, </w:t>
            </w:r>
            <w:r w:rsidRPr="00693680">
              <w:rPr>
                <w:rFonts w:asciiTheme="minorHAnsi" w:eastAsia="Times New Roman" w:hAnsiTheme="minorHAnsi" w:cs="Arial"/>
                <w:b/>
                <w:sz w:val="19"/>
                <w:szCs w:val="19"/>
              </w:rPr>
              <w:t>2016</w:t>
            </w:r>
          </w:p>
        </w:tc>
        <w:tc>
          <w:tcPr>
            <w:tcW w:w="644" w:type="pct"/>
            <w:vAlign w:val="center"/>
          </w:tcPr>
          <w:p w14:paraId="56A9851F" w14:textId="77777777" w:rsidR="00693680" w:rsidRPr="00693680" w:rsidRDefault="00693680" w:rsidP="00693680">
            <w:pPr>
              <w:tabs>
                <w:tab w:val="right" w:pos="1202"/>
              </w:tabs>
              <w:spacing w:after="0" w:line="260" w:lineRule="atLeast"/>
              <w:jc w:val="right"/>
              <w:outlineLvl w:val="0"/>
              <w:rPr>
                <w:rFonts w:asciiTheme="minorHAnsi" w:eastAsia="Times New Roman" w:hAnsiTheme="minorHAnsi" w:cs="Arial"/>
                <w:b/>
                <w:sz w:val="19"/>
                <w:szCs w:val="19"/>
              </w:rPr>
            </w:pPr>
            <w:r w:rsidRPr="00693680">
              <w:rPr>
                <w:rFonts w:asciiTheme="minorHAnsi" w:eastAsia="Times New Roman" w:hAnsiTheme="minorHAnsi" w:cs="Arial"/>
                <w:b/>
                <w:sz w:val="19"/>
                <w:szCs w:val="19"/>
              </w:rPr>
              <w:t>Republic of Croatia</w:t>
            </w:r>
          </w:p>
        </w:tc>
        <w:tc>
          <w:tcPr>
            <w:tcW w:w="644" w:type="pct"/>
            <w:gridSpan w:val="2"/>
            <w:vAlign w:val="center"/>
          </w:tcPr>
          <w:p w14:paraId="4064D259" w14:textId="77777777" w:rsidR="00693680" w:rsidRPr="00693680" w:rsidRDefault="00693680" w:rsidP="00693680">
            <w:pPr>
              <w:tabs>
                <w:tab w:val="right" w:pos="1202"/>
              </w:tabs>
              <w:spacing w:after="0" w:line="260" w:lineRule="atLeast"/>
              <w:jc w:val="right"/>
              <w:outlineLvl w:val="0"/>
              <w:rPr>
                <w:rFonts w:asciiTheme="minorHAnsi" w:eastAsia="Times New Roman" w:hAnsiTheme="minorHAnsi" w:cs="Arial"/>
                <w:b/>
                <w:sz w:val="19"/>
                <w:szCs w:val="19"/>
              </w:rPr>
            </w:pPr>
            <w:r w:rsidRPr="00693680">
              <w:rPr>
                <w:rFonts w:asciiTheme="minorHAnsi" w:eastAsia="Times New Roman" w:hAnsiTheme="minorHAnsi" w:cs="Arial"/>
                <w:b/>
                <w:sz w:val="19"/>
                <w:szCs w:val="19"/>
              </w:rPr>
              <w:t xml:space="preserve">EU </w:t>
            </w:r>
          </w:p>
          <w:p w14:paraId="76E6833C" w14:textId="77777777" w:rsidR="00693680" w:rsidRPr="00693680" w:rsidRDefault="00693680" w:rsidP="00693680">
            <w:pPr>
              <w:tabs>
                <w:tab w:val="right" w:pos="1202"/>
              </w:tabs>
              <w:spacing w:after="0" w:line="260" w:lineRule="atLeast"/>
              <w:jc w:val="right"/>
              <w:outlineLvl w:val="0"/>
              <w:rPr>
                <w:rFonts w:asciiTheme="minorHAnsi" w:eastAsia="Times New Roman" w:hAnsiTheme="minorHAnsi" w:cs="Arial"/>
                <w:b/>
                <w:sz w:val="19"/>
                <w:szCs w:val="19"/>
              </w:rPr>
            </w:pPr>
            <w:r w:rsidRPr="00693680">
              <w:rPr>
                <w:rFonts w:asciiTheme="minorHAnsi" w:eastAsia="Times New Roman" w:hAnsiTheme="minorHAnsi" w:cs="Arial"/>
                <w:b/>
                <w:sz w:val="19"/>
                <w:szCs w:val="19"/>
              </w:rPr>
              <w:t>countries</w:t>
            </w:r>
          </w:p>
        </w:tc>
        <w:tc>
          <w:tcPr>
            <w:tcW w:w="644" w:type="pct"/>
            <w:gridSpan w:val="2"/>
            <w:vAlign w:val="center"/>
          </w:tcPr>
          <w:p w14:paraId="04458C03" w14:textId="77777777" w:rsidR="00693680" w:rsidRPr="00693680" w:rsidRDefault="00693680" w:rsidP="00693680">
            <w:pPr>
              <w:tabs>
                <w:tab w:val="right" w:pos="1202"/>
              </w:tabs>
              <w:spacing w:after="0" w:line="260" w:lineRule="atLeast"/>
              <w:jc w:val="right"/>
              <w:outlineLvl w:val="0"/>
              <w:rPr>
                <w:rFonts w:asciiTheme="minorHAnsi" w:eastAsia="Times New Roman" w:hAnsiTheme="minorHAnsi" w:cs="Arial"/>
                <w:b/>
                <w:sz w:val="19"/>
                <w:szCs w:val="19"/>
              </w:rPr>
            </w:pPr>
            <w:r w:rsidRPr="00693680">
              <w:rPr>
                <w:rFonts w:asciiTheme="minorHAnsi" w:eastAsia="Times New Roman" w:hAnsiTheme="minorHAnsi" w:cs="Arial"/>
                <w:b/>
                <w:sz w:val="19"/>
                <w:szCs w:val="19"/>
              </w:rPr>
              <w:t xml:space="preserve">Other countries </w:t>
            </w:r>
          </w:p>
        </w:tc>
        <w:tc>
          <w:tcPr>
            <w:tcW w:w="644" w:type="pct"/>
            <w:gridSpan w:val="2"/>
            <w:vAlign w:val="center"/>
          </w:tcPr>
          <w:p w14:paraId="7B190243" w14:textId="77777777" w:rsidR="00693680" w:rsidRPr="00693680" w:rsidRDefault="00693680" w:rsidP="00693680">
            <w:pPr>
              <w:tabs>
                <w:tab w:val="right" w:pos="1202"/>
              </w:tabs>
              <w:spacing w:after="0" w:line="260" w:lineRule="atLeast"/>
              <w:jc w:val="right"/>
              <w:outlineLvl w:val="0"/>
              <w:rPr>
                <w:rFonts w:asciiTheme="minorHAnsi" w:eastAsia="Times New Roman" w:hAnsiTheme="minorHAnsi" w:cs="Arial"/>
                <w:b/>
                <w:sz w:val="19"/>
                <w:szCs w:val="19"/>
              </w:rPr>
            </w:pPr>
            <w:r w:rsidRPr="00693680">
              <w:rPr>
                <w:rFonts w:asciiTheme="minorHAnsi" w:eastAsia="Times New Roman" w:hAnsiTheme="minorHAnsi" w:cs="Arial"/>
                <w:b/>
                <w:sz w:val="19"/>
                <w:szCs w:val="19"/>
              </w:rPr>
              <w:t>Total</w:t>
            </w:r>
          </w:p>
        </w:tc>
      </w:tr>
      <w:tr w:rsidR="00693680" w:rsidRPr="00693680" w14:paraId="176E94D4" w14:textId="77777777" w:rsidTr="00693680">
        <w:trPr>
          <w:cantSplit/>
          <w:trHeight w:val="250"/>
          <w:tblHeader/>
        </w:trPr>
        <w:tc>
          <w:tcPr>
            <w:tcW w:w="2424" w:type="pct"/>
          </w:tcPr>
          <w:p w14:paraId="7971F64E" w14:textId="77777777" w:rsidR="00693680" w:rsidRPr="00693680" w:rsidRDefault="00693680" w:rsidP="00693680">
            <w:pPr>
              <w:spacing w:after="0" w:line="240" w:lineRule="auto"/>
              <w:ind w:left="113" w:hanging="113"/>
              <w:rPr>
                <w:rFonts w:asciiTheme="minorHAnsi" w:eastAsia="Times New Roman" w:hAnsiTheme="minorHAnsi" w:cs="Arial"/>
                <w:sz w:val="19"/>
                <w:szCs w:val="19"/>
              </w:rPr>
            </w:pPr>
          </w:p>
        </w:tc>
        <w:tc>
          <w:tcPr>
            <w:tcW w:w="644" w:type="pct"/>
          </w:tcPr>
          <w:p w14:paraId="24030F5D" w14:textId="77777777" w:rsidR="00693680" w:rsidRPr="00693680" w:rsidRDefault="00693680" w:rsidP="00693680">
            <w:pPr>
              <w:spacing w:after="0" w:line="240" w:lineRule="auto"/>
              <w:jc w:val="right"/>
              <w:rPr>
                <w:rFonts w:asciiTheme="minorHAnsi" w:eastAsia="Times New Roman" w:hAnsiTheme="minorHAnsi" w:cs="Arial"/>
                <w:sz w:val="19"/>
                <w:szCs w:val="19"/>
              </w:rPr>
            </w:pPr>
          </w:p>
        </w:tc>
        <w:tc>
          <w:tcPr>
            <w:tcW w:w="644" w:type="pct"/>
            <w:gridSpan w:val="2"/>
          </w:tcPr>
          <w:p w14:paraId="24713489" w14:textId="77777777" w:rsidR="00693680" w:rsidRPr="00693680" w:rsidRDefault="00693680" w:rsidP="00693680">
            <w:pPr>
              <w:spacing w:after="0" w:line="240" w:lineRule="auto"/>
              <w:jc w:val="right"/>
              <w:rPr>
                <w:rFonts w:asciiTheme="minorHAnsi" w:eastAsia="Times New Roman" w:hAnsiTheme="minorHAnsi" w:cs="Arial"/>
                <w:sz w:val="19"/>
                <w:szCs w:val="19"/>
              </w:rPr>
            </w:pPr>
          </w:p>
        </w:tc>
        <w:tc>
          <w:tcPr>
            <w:tcW w:w="644" w:type="pct"/>
            <w:gridSpan w:val="2"/>
          </w:tcPr>
          <w:p w14:paraId="25F925C4" w14:textId="77777777" w:rsidR="00693680" w:rsidRPr="00693680" w:rsidRDefault="00693680" w:rsidP="00693680">
            <w:pPr>
              <w:spacing w:after="0" w:line="240" w:lineRule="auto"/>
              <w:jc w:val="right"/>
              <w:rPr>
                <w:rFonts w:asciiTheme="minorHAnsi" w:eastAsia="Times New Roman" w:hAnsiTheme="minorHAnsi" w:cs="Arial"/>
                <w:sz w:val="19"/>
                <w:szCs w:val="19"/>
              </w:rPr>
            </w:pPr>
          </w:p>
        </w:tc>
        <w:tc>
          <w:tcPr>
            <w:tcW w:w="644" w:type="pct"/>
            <w:gridSpan w:val="2"/>
          </w:tcPr>
          <w:p w14:paraId="622A9A4E" w14:textId="77777777" w:rsidR="00693680" w:rsidRPr="00693680" w:rsidRDefault="00693680" w:rsidP="00693680">
            <w:pPr>
              <w:spacing w:after="0" w:line="240" w:lineRule="auto"/>
              <w:jc w:val="center"/>
              <w:rPr>
                <w:rFonts w:asciiTheme="minorHAnsi" w:eastAsia="Times New Roman" w:hAnsiTheme="minorHAnsi" w:cs="Arial"/>
                <w:sz w:val="19"/>
                <w:szCs w:val="19"/>
              </w:rPr>
            </w:pPr>
          </w:p>
        </w:tc>
      </w:tr>
      <w:tr w:rsidR="00693680" w:rsidRPr="00693680" w14:paraId="478DAB75" w14:textId="77777777" w:rsidTr="00693680">
        <w:trPr>
          <w:cantSplit/>
          <w:trHeight w:val="250"/>
          <w:tblHeader/>
        </w:trPr>
        <w:tc>
          <w:tcPr>
            <w:tcW w:w="2424" w:type="pct"/>
          </w:tcPr>
          <w:p w14:paraId="0850517A"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b/>
                <w:bCs/>
                <w:sz w:val="19"/>
                <w:szCs w:val="19"/>
              </w:rPr>
            </w:pPr>
            <w:r w:rsidRPr="00693680">
              <w:rPr>
                <w:rFonts w:asciiTheme="minorHAnsi" w:eastAsia="Times New Roman" w:hAnsiTheme="minorHAnsi" w:cs="Arial"/>
                <w:b/>
                <w:bCs/>
                <w:sz w:val="19"/>
                <w:szCs w:val="19"/>
              </w:rPr>
              <w:t>Assets</w:t>
            </w:r>
          </w:p>
        </w:tc>
        <w:tc>
          <w:tcPr>
            <w:tcW w:w="644" w:type="pct"/>
            <w:vAlign w:val="bottom"/>
          </w:tcPr>
          <w:p w14:paraId="0C525B3D" w14:textId="77777777" w:rsidR="00693680" w:rsidRPr="00693680" w:rsidRDefault="00693680" w:rsidP="00693680">
            <w:pPr>
              <w:spacing w:after="0" w:line="240" w:lineRule="auto"/>
              <w:jc w:val="right"/>
              <w:rPr>
                <w:rFonts w:asciiTheme="minorHAnsi" w:eastAsia="Times New Roman" w:hAnsiTheme="minorHAnsi" w:cs="Arial"/>
                <w:sz w:val="19"/>
                <w:szCs w:val="19"/>
              </w:rPr>
            </w:pPr>
          </w:p>
        </w:tc>
        <w:tc>
          <w:tcPr>
            <w:tcW w:w="644" w:type="pct"/>
            <w:gridSpan w:val="2"/>
            <w:vAlign w:val="bottom"/>
          </w:tcPr>
          <w:p w14:paraId="4E82E330" w14:textId="77777777" w:rsidR="00693680" w:rsidRPr="00693680" w:rsidRDefault="00693680" w:rsidP="00693680">
            <w:pPr>
              <w:spacing w:after="0" w:line="240" w:lineRule="auto"/>
              <w:jc w:val="right"/>
              <w:rPr>
                <w:rFonts w:asciiTheme="minorHAnsi" w:eastAsia="Times New Roman" w:hAnsiTheme="minorHAnsi" w:cs="Arial"/>
                <w:sz w:val="19"/>
                <w:szCs w:val="19"/>
              </w:rPr>
            </w:pPr>
          </w:p>
        </w:tc>
        <w:tc>
          <w:tcPr>
            <w:tcW w:w="644" w:type="pct"/>
            <w:gridSpan w:val="2"/>
            <w:vAlign w:val="bottom"/>
          </w:tcPr>
          <w:p w14:paraId="0E5292D7" w14:textId="77777777" w:rsidR="00693680" w:rsidRPr="00693680" w:rsidRDefault="00693680" w:rsidP="00693680">
            <w:pPr>
              <w:spacing w:after="0" w:line="240" w:lineRule="auto"/>
              <w:jc w:val="right"/>
              <w:rPr>
                <w:rFonts w:asciiTheme="minorHAnsi" w:eastAsia="Times New Roman" w:hAnsiTheme="minorHAnsi" w:cs="Arial"/>
                <w:sz w:val="19"/>
                <w:szCs w:val="19"/>
              </w:rPr>
            </w:pPr>
          </w:p>
        </w:tc>
        <w:tc>
          <w:tcPr>
            <w:tcW w:w="644" w:type="pct"/>
            <w:gridSpan w:val="2"/>
            <w:vAlign w:val="bottom"/>
          </w:tcPr>
          <w:p w14:paraId="10D7F2E3" w14:textId="77777777" w:rsidR="00693680" w:rsidRPr="00693680" w:rsidRDefault="00693680" w:rsidP="00693680">
            <w:pPr>
              <w:spacing w:after="0" w:line="240" w:lineRule="auto"/>
              <w:jc w:val="right"/>
              <w:rPr>
                <w:rFonts w:asciiTheme="minorHAnsi" w:eastAsia="Times New Roman" w:hAnsiTheme="minorHAnsi"/>
                <w:sz w:val="19"/>
                <w:szCs w:val="19"/>
                <w:lang w:val="pl-PL"/>
              </w:rPr>
            </w:pPr>
          </w:p>
        </w:tc>
      </w:tr>
      <w:tr w:rsidR="00693680" w:rsidRPr="00693680" w14:paraId="79BBFC65" w14:textId="77777777" w:rsidTr="00693680">
        <w:trPr>
          <w:cantSplit/>
          <w:trHeight w:val="250"/>
          <w:tblHeader/>
        </w:trPr>
        <w:tc>
          <w:tcPr>
            <w:tcW w:w="2424" w:type="pct"/>
          </w:tcPr>
          <w:p w14:paraId="20F77BCD"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Cash on hand and due from banks</w:t>
            </w:r>
          </w:p>
        </w:tc>
        <w:tc>
          <w:tcPr>
            <w:tcW w:w="644" w:type="pct"/>
            <w:tcBorders>
              <w:top w:val="nil"/>
              <w:left w:val="nil"/>
              <w:bottom w:val="nil"/>
              <w:right w:val="nil"/>
            </w:tcBorders>
            <w:shd w:val="clear" w:color="auto" w:fill="auto"/>
            <w:vAlign w:val="center"/>
          </w:tcPr>
          <w:p w14:paraId="51552836"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188,322</w:t>
            </w:r>
          </w:p>
        </w:tc>
        <w:tc>
          <w:tcPr>
            <w:tcW w:w="644" w:type="pct"/>
            <w:gridSpan w:val="2"/>
            <w:tcBorders>
              <w:top w:val="nil"/>
              <w:left w:val="nil"/>
              <w:bottom w:val="nil"/>
              <w:right w:val="nil"/>
            </w:tcBorders>
            <w:shd w:val="clear" w:color="auto" w:fill="auto"/>
            <w:vAlign w:val="center"/>
          </w:tcPr>
          <w:p w14:paraId="4AF4770F"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pl-PL"/>
              </w:rPr>
            </w:pPr>
            <w:r w:rsidRPr="00693680">
              <w:rPr>
                <w:rFonts w:eastAsia="Times New Roman" w:cs="Arial"/>
                <w:sz w:val="19"/>
                <w:szCs w:val="19"/>
                <w:lang w:val="en-US"/>
              </w:rPr>
              <w:t>301,354</w:t>
            </w:r>
          </w:p>
        </w:tc>
        <w:tc>
          <w:tcPr>
            <w:tcW w:w="644" w:type="pct"/>
            <w:gridSpan w:val="2"/>
            <w:tcBorders>
              <w:top w:val="nil"/>
              <w:left w:val="nil"/>
              <w:bottom w:val="nil"/>
              <w:right w:val="nil"/>
            </w:tcBorders>
            <w:shd w:val="clear" w:color="auto" w:fill="auto"/>
            <w:vAlign w:val="center"/>
          </w:tcPr>
          <w:p w14:paraId="1F885351"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pl-PL"/>
              </w:rPr>
            </w:pPr>
            <w:r w:rsidRPr="00693680">
              <w:rPr>
                <w:rFonts w:eastAsia="Times New Roman" w:cs="Arial"/>
                <w:sz w:val="19"/>
                <w:szCs w:val="19"/>
                <w:lang w:val="en-US"/>
              </w:rPr>
              <w:t>1,567</w:t>
            </w:r>
          </w:p>
        </w:tc>
        <w:tc>
          <w:tcPr>
            <w:tcW w:w="644" w:type="pct"/>
            <w:gridSpan w:val="2"/>
            <w:tcBorders>
              <w:top w:val="nil"/>
              <w:left w:val="nil"/>
              <w:bottom w:val="nil"/>
              <w:right w:val="nil"/>
            </w:tcBorders>
            <w:shd w:val="clear" w:color="auto" w:fill="auto"/>
            <w:vAlign w:val="center"/>
          </w:tcPr>
          <w:p w14:paraId="4BF10E3C"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pl-PL"/>
              </w:rPr>
            </w:pPr>
            <w:r w:rsidRPr="00693680">
              <w:rPr>
                <w:rFonts w:eastAsia="Times New Roman" w:cs="Arial"/>
                <w:sz w:val="19"/>
                <w:szCs w:val="19"/>
                <w:lang w:val="en-US"/>
              </w:rPr>
              <w:t>491,243</w:t>
            </w:r>
          </w:p>
        </w:tc>
      </w:tr>
      <w:tr w:rsidR="00693680" w:rsidRPr="00693680" w14:paraId="59429F25" w14:textId="77777777" w:rsidTr="00693680">
        <w:trPr>
          <w:cantSplit/>
          <w:trHeight w:val="250"/>
          <w:tblHeader/>
        </w:trPr>
        <w:tc>
          <w:tcPr>
            <w:tcW w:w="2424" w:type="pct"/>
          </w:tcPr>
          <w:p w14:paraId="3BCE9E69"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Deposits with other banks</w:t>
            </w:r>
          </w:p>
        </w:tc>
        <w:tc>
          <w:tcPr>
            <w:tcW w:w="644" w:type="pct"/>
            <w:tcBorders>
              <w:top w:val="nil"/>
              <w:left w:val="nil"/>
              <w:bottom w:val="nil"/>
              <w:right w:val="nil"/>
            </w:tcBorders>
            <w:shd w:val="clear" w:color="auto" w:fill="auto"/>
            <w:vAlign w:val="center"/>
          </w:tcPr>
          <w:p w14:paraId="009FF565"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3,291</w:t>
            </w:r>
          </w:p>
        </w:tc>
        <w:tc>
          <w:tcPr>
            <w:tcW w:w="644" w:type="pct"/>
            <w:gridSpan w:val="2"/>
            <w:tcBorders>
              <w:top w:val="nil"/>
              <w:left w:val="nil"/>
              <w:bottom w:val="nil"/>
              <w:right w:val="nil"/>
            </w:tcBorders>
            <w:shd w:val="clear" w:color="auto" w:fill="auto"/>
            <w:vAlign w:val="center"/>
          </w:tcPr>
          <w:p w14:paraId="1395CF9A"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20,581</w:t>
            </w:r>
          </w:p>
        </w:tc>
        <w:tc>
          <w:tcPr>
            <w:tcW w:w="644" w:type="pct"/>
            <w:gridSpan w:val="2"/>
            <w:tcBorders>
              <w:top w:val="nil"/>
              <w:left w:val="nil"/>
              <w:bottom w:val="nil"/>
              <w:right w:val="nil"/>
            </w:tcBorders>
            <w:shd w:val="clear" w:color="auto" w:fill="auto"/>
            <w:vAlign w:val="center"/>
          </w:tcPr>
          <w:p w14:paraId="754A0B5A"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w:t>
            </w:r>
          </w:p>
        </w:tc>
        <w:tc>
          <w:tcPr>
            <w:tcW w:w="644" w:type="pct"/>
            <w:gridSpan w:val="2"/>
            <w:tcBorders>
              <w:top w:val="nil"/>
              <w:left w:val="nil"/>
              <w:bottom w:val="nil"/>
              <w:right w:val="nil"/>
            </w:tcBorders>
            <w:shd w:val="clear" w:color="auto" w:fill="auto"/>
            <w:vAlign w:val="center"/>
          </w:tcPr>
          <w:p w14:paraId="34A2812E"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23,872</w:t>
            </w:r>
          </w:p>
        </w:tc>
      </w:tr>
      <w:tr w:rsidR="00693680" w:rsidRPr="00693680" w14:paraId="452820B5" w14:textId="77777777" w:rsidTr="00693680">
        <w:trPr>
          <w:cantSplit/>
          <w:trHeight w:val="250"/>
          <w:tblHeader/>
        </w:trPr>
        <w:tc>
          <w:tcPr>
            <w:tcW w:w="2424" w:type="pct"/>
          </w:tcPr>
          <w:p w14:paraId="6BE03BAF"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Loans to financial institutions</w:t>
            </w:r>
          </w:p>
        </w:tc>
        <w:tc>
          <w:tcPr>
            <w:tcW w:w="644" w:type="pct"/>
            <w:tcBorders>
              <w:top w:val="nil"/>
              <w:left w:val="nil"/>
              <w:bottom w:val="nil"/>
              <w:right w:val="nil"/>
            </w:tcBorders>
            <w:shd w:val="clear" w:color="auto" w:fill="auto"/>
            <w:vAlign w:val="center"/>
          </w:tcPr>
          <w:p w14:paraId="145EA256"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11,889,111</w:t>
            </w:r>
          </w:p>
        </w:tc>
        <w:tc>
          <w:tcPr>
            <w:tcW w:w="644" w:type="pct"/>
            <w:gridSpan w:val="2"/>
            <w:tcBorders>
              <w:top w:val="nil"/>
              <w:left w:val="nil"/>
              <w:bottom w:val="nil"/>
              <w:right w:val="nil"/>
            </w:tcBorders>
            <w:shd w:val="clear" w:color="auto" w:fill="auto"/>
            <w:vAlign w:val="center"/>
          </w:tcPr>
          <w:p w14:paraId="0D86772A"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w:t>
            </w:r>
          </w:p>
        </w:tc>
        <w:tc>
          <w:tcPr>
            <w:tcW w:w="644" w:type="pct"/>
            <w:gridSpan w:val="2"/>
            <w:tcBorders>
              <w:top w:val="nil"/>
              <w:left w:val="nil"/>
              <w:bottom w:val="nil"/>
              <w:right w:val="nil"/>
            </w:tcBorders>
            <w:shd w:val="clear" w:color="auto" w:fill="auto"/>
            <w:vAlign w:val="center"/>
          </w:tcPr>
          <w:p w14:paraId="7A964964"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w:t>
            </w:r>
          </w:p>
        </w:tc>
        <w:tc>
          <w:tcPr>
            <w:tcW w:w="644" w:type="pct"/>
            <w:gridSpan w:val="2"/>
            <w:tcBorders>
              <w:top w:val="nil"/>
              <w:left w:val="nil"/>
              <w:bottom w:val="nil"/>
              <w:right w:val="nil"/>
            </w:tcBorders>
            <w:shd w:val="clear" w:color="auto" w:fill="auto"/>
            <w:vAlign w:val="center"/>
          </w:tcPr>
          <w:p w14:paraId="728A77F0"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11,889,111</w:t>
            </w:r>
          </w:p>
        </w:tc>
      </w:tr>
      <w:tr w:rsidR="00693680" w:rsidRPr="00693680" w14:paraId="44EA5277" w14:textId="77777777" w:rsidTr="00693680">
        <w:trPr>
          <w:cantSplit/>
          <w:trHeight w:val="250"/>
          <w:tblHeader/>
        </w:trPr>
        <w:tc>
          <w:tcPr>
            <w:tcW w:w="2424" w:type="pct"/>
          </w:tcPr>
          <w:p w14:paraId="2F7B9699"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Loans to other customers</w:t>
            </w:r>
          </w:p>
        </w:tc>
        <w:tc>
          <w:tcPr>
            <w:tcW w:w="644" w:type="pct"/>
            <w:tcBorders>
              <w:top w:val="nil"/>
              <w:left w:val="nil"/>
              <w:bottom w:val="nil"/>
              <w:right w:val="nil"/>
            </w:tcBorders>
            <w:shd w:val="clear" w:color="auto" w:fill="auto"/>
            <w:vAlign w:val="center"/>
          </w:tcPr>
          <w:p w14:paraId="334D3311"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11,281,848</w:t>
            </w:r>
          </w:p>
        </w:tc>
        <w:tc>
          <w:tcPr>
            <w:tcW w:w="644" w:type="pct"/>
            <w:gridSpan w:val="2"/>
            <w:tcBorders>
              <w:top w:val="nil"/>
              <w:left w:val="nil"/>
              <w:bottom w:val="nil"/>
              <w:right w:val="nil"/>
            </w:tcBorders>
            <w:shd w:val="clear" w:color="auto" w:fill="auto"/>
            <w:vAlign w:val="center"/>
          </w:tcPr>
          <w:p w14:paraId="33ACD198"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w:t>
            </w:r>
          </w:p>
        </w:tc>
        <w:tc>
          <w:tcPr>
            <w:tcW w:w="644" w:type="pct"/>
            <w:gridSpan w:val="2"/>
            <w:tcBorders>
              <w:top w:val="nil"/>
              <w:left w:val="nil"/>
              <w:bottom w:val="nil"/>
              <w:right w:val="nil"/>
            </w:tcBorders>
            <w:shd w:val="clear" w:color="auto" w:fill="auto"/>
            <w:vAlign w:val="center"/>
          </w:tcPr>
          <w:p w14:paraId="07F17376"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229,346</w:t>
            </w:r>
          </w:p>
        </w:tc>
        <w:tc>
          <w:tcPr>
            <w:tcW w:w="644" w:type="pct"/>
            <w:gridSpan w:val="2"/>
            <w:tcBorders>
              <w:top w:val="nil"/>
              <w:left w:val="nil"/>
              <w:bottom w:val="nil"/>
              <w:right w:val="nil"/>
            </w:tcBorders>
            <w:shd w:val="clear" w:color="auto" w:fill="auto"/>
            <w:vAlign w:val="center"/>
          </w:tcPr>
          <w:p w14:paraId="54E73508"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11,511,194</w:t>
            </w:r>
          </w:p>
        </w:tc>
      </w:tr>
      <w:tr w:rsidR="00693680" w:rsidRPr="00693680" w14:paraId="283619A1" w14:textId="77777777" w:rsidTr="00693680">
        <w:trPr>
          <w:cantSplit/>
          <w:trHeight w:val="250"/>
          <w:tblHeader/>
        </w:trPr>
        <w:tc>
          <w:tcPr>
            <w:tcW w:w="2424" w:type="pct"/>
          </w:tcPr>
          <w:p w14:paraId="6C6A81E9"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Financial assets at fair value through profit or loss</w:t>
            </w:r>
          </w:p>
        </w:tc>
        <w:tc>
          <w:tcPr>
            <w:tcW w:w="644" w:type="pct"/>
            <w:tcBorders>
              <w:top w:val="nil"/>
              <w:left w:val="nil"/>
              <w:bottom w:val="nil"/>
              <w:right w:val="nil"/>
            </w:tcBorders>
            <w:shd w:val="clear" w:color="auto" w:fill="auto"/>
            <w:vAlign w:val="center"/>
          </w:tcPr>
          <w:p w14:paraId="4D06A9F3"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286</w:t>
            </w:r>
          </w:p>
        </w:tc>
        <w:tc>
          <w:tcPr>
            <w:tcW w:w="644" w:type="pct"/>
            <w:gridSpan w:val="2"/>
            <w:tcBorders>
              <w:top w:val="nil"/>
              <w:left w:val="nil"/>
              <w:bottom w:val="nil"/>
              <w:right w:val="nil"/>
            </w:tcBorders>
            <w:shd w:val="clear" w:color="auto" w:fill="auto"/>
            <w:vAlign w:val="center"/>
          </w:tcPr>
          <w:p w14:paraId="13B2B51C"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pl-PL"/>
              </w:rPr>
            </w:pPr>
            <w:r w:rsidRPr="00693680">
              <w:rPr>
                <w:rFonts w:eastAsia="Times New Roman" w:cs="Arial"/>
                <w:sz w:val="19"/>
                <w:szCs w:val="19"/>
                <w:lang w:val="en-US"/>
              </w:rPr>
              <w:t>-</w:t>
            </w:r>
          </w:p>
        </w:tc>
        <w:tc>
          <w:tcPr>
            <w:tcW w:w="644" w:type="pct"/>
            <w:gridSpan w:val="2"/>
            <w:tcBorders>
              <w:top w:val="nil"/>
              <w:left w:val="nil"/>
              <w:bottom w:val="nil"/>
              <w:right w:val="nil"/>
            </w:tcBorders>
            <w:shd w:val="clear" w:color="auto" w:fill="auto"/>
            <w:vAlign w:val="center"/>
          </w:tcPr>
          <w:p w14:paraId="49DAA0E1"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pl-PL"/>
              </w:rPr>
            </w:pPr>
            <w:r w:rsidRPr="00693680">
              <w:rPr>
                <w:rFonts w:eastAsia="Times New Roman" w:cs="Arial"/>
                <w:sz w:val="19"/>
                <w:szCs w:val="19"/>
                <w:lang w:val="en-US"/>
              </w:rPr>
              <w:t>-</w:t>
            </w:r>
          </w:p>
        </w:tc>
        <w:tc>
          <w:tcPr>
            <w:tcW w:w="644" w:type="pct"/>
            <w:gridSpan w:val="2"/>
            <w:tcBorders>
              <w:top w:val="nil"/>
              <w:left w:val="nil"/>
              <w:bottom w:val="nil"/>
              <w:right w:val="nil"/>
            </w:tcBorders>
            <w:shd w:val="clear" w:color="auto" w:fill="auto"/>
            <w:vAlign w:val="center"/>
          </w:tcPr>
          <w:p w14:paraId="635AA9EF"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pl-PL"/>
              </w:rPr>
            </w:pPr>
            <w:r w:rsidRPr="00693680">
              <w:rPr>
                <w:rFonts w:eastAsia="Times New Roman" w:cs="Arial"/>
                <w:sz w:val="19"/>
                <w:szCs w:val="19"/>
                <w:lang w:val="en-US"/>
              </w:rPr>
              <w:t>286</w:t>
            </w:r>
          </w:p>
        </w:tc>
      </w:tr>
      <w:tr w:rsidR="00693680" w:rsidRPr="00693680" w14:paraId="12EE8465" w14:textId="77777777" w:rsidTr="00693680">
        <w:trPr>
          <w:cantSplit/>
          <w:trHeight w:val="250"/>
          <w:tblHeader/>
        </w:trPr>
        <w:tc>
          <w:tcPr>
            <w:tcW w:w="2424" w:type="pct"/>
          </w:tcPr>
          <w:p w14:paraId="3E820D3B"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Assets available for sale</w:t>
            </w:r>
          </w:p>
        </w:tc>
        <w:tc>
          <w:tcPr>
            <w:tcW w:w="644" w:type="pct"/>
            <w:tcBorders>
              <w:top w:val="nil"/>
              <w:left w:val="nil"/>
              <w:bottom w:val="nil"/>
              <w:right w:val="nil"/>
            </w:tcBorders>
            <w:shd w:val="clear" w:color="auto" w:fill="auto"/>
            <w:vAlign w:val="center"/>
          </w:tcPr>
          <w:p w14:paraId="1E425ED0"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3,353,086</w:t>
            </w:r>
          </w:p>
        </w:tc>
        <w:tc>
          <w:tcPr>
            <w:tcW w:w="644" w:type="pct"/>
            <w:gridSpan w:val="2"/>
            <w:tcBorders>
              <w:top w:val="nil"/>
              <w:left w:val="nil"/>
              <w:bottom w:val="nil"/>
              <w:right w:val="nil"/>
            </w:tcBorders>
            <w:shd w:val="clear" w:color="auto" w:fill="auto"/>
            <w:vAlign w:val="center"/>
          </w:tcPr>
          <w:p w14:paraId="733C04E3"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w:t>
            </w:r>
          </w:p>
        </w:tc>
        <w:tc>
          <w:tcPr>
            <w:tcW w:w="644" w:type="pct"/>
            <w:gridSpan w:val="2"/>
            <w:tcBorders>
              <w:top w:val="nil"/>
              <w:left w:val="nil"/>
              <w:bottom w:val="nil"/>
              <w:right w:val="nil"/>
            </w:tcBorders>
            <w:shd w:val="clear" w:color="auto" w:fill="auto"/>
            <w:vAlign w:val="center"/>
          </w:tcPr>
          <w:p w14:paraId="60946290"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w:t>
            </w:r>
          </w:p>
        </w:tc>
        <w:tc>
          <w:tcPr>
            <w:tcW w:w="644" w:type="pct"/>
            <w:gridSpan w:val="2"/>
            <w:tcBorders>
              <w:top w:val="nil"/>
              <w:left w:val="nil"/>
              <w:bottom w:val="nil"/>
              <w:right w:val="nil"/>
            </w:tcBorders>
            <w:shd w:val="clear" w:color="auto" w:fill="auto"/>
            <w:vAlign w:val="center"/>
          </w:tcPr>
          <w:p w14:paraId="37960FF2"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3,353,086</w:t>
            </w:r>
          </w:p>
        </w:tc>
      </w:tr>
      <w:tr w:rsidR="00693680" w:rsidRPr="00693680" w14:paraId="06A1219D" w14:textId="77777777" w:rsidTr="00693680">
        <w:trPr>
          <w:cantSplit/>
          <w:trHeight w:val="250"/>
          <w:tblHeader/>
        </w:trPr>
        <w:tc>
          <w:tcPr>
            <w:tcW w:w="2424" w:type="pct"/>
          </w:tcPr>
          <w:p w14:paraId="6359C31F"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Assets held to maturity</w:t>
            </w:r>
          </w:p>
        </w:tc>
        <w:tc>
          <w:tcPr>
            <w:tcW w:w="644" w:type="pct"/>
            <w:tcBorders>
              <w:top w:val="nil"/>
              <w:left w:val="nil"/>
              <w:bottom w:val="nil"/>
              <w:right w:val="nil"/>
            </w:tcBorders>
            <w:shd w:val="clear" w:color="auto" w:fill="auto"/>
            <w:vAlign w:val="center"/>
          </w:tcPr>
          <w:p w14:paraId="059F7174"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1,422</w:t>
            </w:r>
          </w:p>
        </w:tc>
        <w:tc>
          <w:tcPr>
            <w:tcW w:w="644" w:type="pct"/>
            <w:gridSpan w:val="2"/>
            <w:tcBorders>
              <w:top w:val="nil"/>
              <w:left w:val="nil"/>
              <w:bottom w:val="nil"/>
              <w:right w:val="nil"/>
            </w:tcBorders>
            <w:shd w:val="clear" w:color="auto" w:fill="auto"/>
            <w:vAlign w:val="center"/>
          </w:tcPr>
          <w:p w14:paraId="50D025EA"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pl-PL"/>
              </w:rPr>
            </w:pPr>
            <w:r w:rsidRPr="00693680">
              <w:rPr>
                <w:rFonts w:eastAsia="Times New Roman" w:cs="Arial"/>
                <w:sz w:val="19"/>
                <w:szCs w:val="19"/>
                <w:lang w:val="en-US"/>
              </w:rPr>
              <w:t>-</w:t>
            </w:r>
          </w:p>
        </w:tc>
        <w:tc>
          <w:tcPr>
            <w:tcW w:w="644" w:type="pct"/>
            <w:gridSpan w:val="2"/>
            <w:tcBorders>
              <w:top w:val="nil"/>
              <w:left w:val="nil"/>
              <w:bottom w:val="nil"/>
              <w:right w:val="nil"/>
            </w:tcBorders>
            <w:shd w:val="clear" w:color="auto" w:fill="auto"/>
            <w:vAlign w:val="center"/>
          </w:tcPr>
          <w:p w14:paraId="5C4B5361"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pl-PL"/>
              </w:rPr>
            </w:pPr>
            <w:r w:rsidRPr="00693680">
              <w:rPr>
                <w:rFonts w:eastAsia="Times New Roman" w:cs="Arial"/>
                <w:sz w:val="19"/>
                <w:szCs w:val="19"/>
                <w:lang w:val="en-US"/>
              </w:rPr>
              <w:t>-</w:t>
            </w:r>
          </w:p>
        </w:tc>
        <w:tc>
          <w:tcPr>
            <w:tcW w:w="644" w:type="pct"/>
            <w:gridSpan w:val="2"/>
            <w:tcBorders>
              <w:top w:val="nil"/>
              <w:left w:val="nil"/>
              <w:bottom w:val="nil"/>
              <w:right w:val="nil"/>
            </w:tcBorders>
            <w:shd w:val="clear" w:color="auto" w:fill="auto"/>
            <w:vAlign w:val="center"/>
          </w:tcPr>
          <w:p w14:paraId="50CA941E"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pl-PL"/>
              </w:rPr>
            </w:pPr>
            <w:r w:rsidRPr="00693680">
              <w:rPr>
                <w:rFonts w:eastAsia="Times New Roman" w:cs="Arial"/>
                <w:sz w:val="19"/>
                <w:szCs w:val="19"/>
                <w:lang w:val="en-US"/>
              </w:rPr>
              <w:t>1,422</w:t>
            </w:r>
          </w:p>
        </w:tc>
      </w:tr>
      <w:tr w:rsidR="00693680" w:rsidRPr="00693680" w14:paraId="09F6D127" w14:textId="77777777" w:rsidTr="00693680">
        <w:trPr>
          <w:cantSplit/>
          <w:trHeight w:val="250"/>
          <w:tblHeader/>
        </w:trPr>
        <w:tc>
          <w:tcPr>
            <w:tcW w:w="2424" w:type="pct"/>
          </w:tcPr>
          <w:p w14:paraId="6E9327EC"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Other assets</w:t>
            </w:r>
          </w:p>
        </w:tc>
        <w:tc>
          <w:tcPr>
            <w:tcW w:w="644" w:type="pct"/>
            <w:tcBorders>
              <w:top w:val="nil"/>
              <w:left w:val="nil"/>
              <w:bottom w:val="single" w:sz="4" w:space="0" w:color="auto"/>
              <w:right w:val="nil"/>
            </w:tcBorders>
            <w:shd w:val="clear" w:color="auto" w:fill="auto"/>
            <w:vAlign w:val="center"/>
          </w:tcPr>
          <w:p w14:paraId="1E6F892A"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5,644</w:t>
            </w:r>
          </w:p>
        </w:tc>
        <w:tc>
          <w:tcPr>
            <w:tcW w:w="644" w:type="pct"/>
            <w:gridSpan w:val="2"/>
            <w:tcBorders>
              <w:top w:val="nil"/>
              <w:left w:val="nil"/>
              <w:bottom w:val="single" w:sz="4" w:space="0" w:color="auto"/>
              <w:right w:val="nil"/>
            </w:tcBorders>
            <w:shd w:val="clear" w:color="auto" w:fill="auto"/>
            <w:vAlign w:val="center"/>
          </w:tcPr>
          <w:p w14:paraId="37EDD09F"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605</w:t>
            </w:r>
          </w:p>
        </w:tc>
        <w:tc>
          <w:tcPr>
            <w:tcW w:w="644" w:type="pct"/>
            <w:gridSpan w:val="2"/>
            <w:tcBorders>
              <w:top w:val="nil"/>
              <w:left w:val="nil"/>
              <w:bottom w:val="single" w:sz="4" w:space="0" w:color="auto"/>
              <w:right w:val="nil"/>
            </w:tcBorders>
            <w:shd w:val="clear" w:color="auto" w:fill="auto"/>
            <w:vAlign w:val="center"/>
          </w:tcPr>
          <w:p w14:paraId="39693EBA"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w:t>
            </w:r>
          </w:p>
        </w:tc>
        <w:tc>
          <w:tcPr>
            <w:tcW w:w="644" w:type="pct"/>
            <w:gridSpan w:val="2"/>
            <w:tcBorders>
              <w:top w:val="nil"/>
              <w:left w:val="nil"/>
              <w:bottom w:val="single" w:sz="4" w:space="0" w:color="auto"/>
              <w:right w:val="nil"/>
            </w:tcBorders>
            <w:shd w:val="clear" w:color="auto" w:fill="auto"/>
            <w:vAlign w:val="center"/>
          </w:tcPr>
          <w:p w14:paraId="15982CAE"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6,249</w:t>
            </w:r>
          </w:p>
        </w:tc>
      </w:tr>
      <w:tr w:rsidR="00693680" w:rsidRPr="00693680" w14:paraId="532FE93E" w14:textId="77777777" w:rsidTr="00166751">
        <w:trPr>
          <w:cantSplit/>
          <w:trHeight w:val="385"/>
          <w:tblHeader/>
        </w:trPr>
        <w:tc>
          <w:tcPr>
            <w:tcW w:w="2424" w:type="pct"/>
            <w:vAlign w:val="bottom"/>
          </w:tcPr>
          <w:p w14:paraId="5CC272A6" w14:textId="77777777" w:rsidR="00693680" w:rsidRPr="00693680" w:rsidRDefault="00693680" w:rsidP="00693680">
            <w:pPr>
              <w:tabs>
                <w:tab w:val="right" w:pos="1202"/>
              </w:tabs>
              <w:spacing w:after="0" w:line="340" w:lineRule="exact"/>
              <w:outlineLvl w:val="0"/>
              <w:rPr>
                <w:rFonts w:asciiTheme="minorHAnsi" w:eastAsia="Times New Roman" w:hAnsiTheme="minorHAnsi" w:cs="Arial"/>
                <w:b/>
                <w:bCs/>
                <w:sz w:val="19"/>
                <w:szCs w:val="19"/>
              </w:rPr>
            </w:pPr>
            <w:r w:rsidRPr="00693680">
              <w:rPr>
                <w:rFonts w:asciiTheme="minorHAnsi" w:eastAsia="Times New Roman" w:hAnsiTheme="minorHAnsi" w:cs="Arial"/>
                <w:b/>
                <w:bCs/>
                <w:sz w:val="19"/>
                <w:szCs w:val="19"/>
              </w:rPr>
              <w:t>Total</w:t>
            </w:r>
          </w:p>
        </w:tc>
        <w:tc>
          <w:tcPr>
            <w:tcW w:w="644" w:type="pct"/>
            <w:tcBorders>
              <w:top w:val="nil"/>
              <w:left w:val="nil"/>
              <w:bottom w:val="single" w:sz="8" w:space="0" w:color="auto"/>
              <w:right w:val="nil"/>
            </w:tcBorders>
            <w:shd w:val="clear" w:color="auto" w:fill="auto"/>
            <w:vAlign w:val="bottom"/>
          </w:tcPr>
          <w:p w14:paraId="2AB52DF6"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hr-HR"/>
              </w:rPr>
            </w:pPr>
            <w:r w:rsidRPr="00693680">
              <w:rPr>
                <w:rFonts w:eastAsia="Times New Roman" w:cs="Arial"/>
                <w:b/>
                <w:bCs/>
                <w:sz w:val="19"/>
                <w:szCs w:val="19"/>
                <w:lang w:val="en-US"/>
              </w:rPr>
              <w:t>26,723,010</w:t>
            </w:r>
          </w:p>
        </w:tc>
        <w:tc>
          <w:tcPr>
            <w:tcW w:w="644" w:type="pct"/>
            <w:gridSpan w:val="2"/>
            <w:tcBorders>
              <w:top w:val="nil"/>
              <w:left w:val="nil"/>
              <w:bottom w:val="single" w:sz="8" w:space="0" w:color="auto"/>
              <w:right w:val="nil"/>
            </w:tcBorders>
            <w:shd w:val="clear" w:color="auto" w:fill="auto"/>
            <w:vAlign w:val="bottom"/>
          </w:tcPr>
          <w:p w14:paraId="03B1002D"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en-US"/>
              </w:rPr>
            </w:pPr>
            <w:r w:rsidRPr="00693680">
              <w:rPr>
                <w:rFonts w:eastAsia="Times New Roman" w:cs="Arial"/>
                <w:b/>
                <w:bCs/>
                <w:sz w:val="19"/>
                <w:szCs w:val="19"/>
                <w:lang w:val="en-US"/>
              </w:rPr>
              <w:t>322,540</w:t>
            </w:r>
          </w:p>
        </w:tc>
        <w:tc>
          <w:tcPr>
            <w:tcW w:w="644" w:type="pct"/>
            <w:gridSpan w:val="2"/>
            <w:tcBorders>
              <w:top w:val="nil"/>
              <w:left w:val="nil"/>
              <w:bottom w:val="single" w:sz="8" w:space="0" w:color="auto"/>
              <w:right w:val="nil"/>
            </w:tcBorders>
            <w:shd w:val="clear" w:color="auto" w:fill="auto"/>
            <w:vAlign w:val="bottom"/>
          </w:tcPr>
          <w:p w14:paraId="38606E9A"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en-US"/>
              </w:rPr>
            </w:pPr>
            <w:r w:rsidRPr="00693680">
              <w:rPr>
                <w:rFonts w:eastAsia="Times New Roman" w:cs="Arial"/>
                <w:b/>
                <w:bCs/>
                <w:sz w:val="19"/>
                <w:szCs w:val="19"/>
                <w:lang w:val="en-US"/>
              </w:rPr>
              <w:t>230,913</w:t>
            </w:r>
          </w:p>
        </w:tc>
        <w:tc>
          <w:tcPr>
            <w:tcW w:w="644" w:type="pct"/>
            <w:gridSpan w:val="2"/>
            <w:tcBorders>
              <w:top w:val="nil"/>
              <w:left w:val="nil"/>
              <w:bottom w:val="single" w:sz="8" w:space="0" w:color="auto"/>
              <w:right w:val="nil"/>
            </w:tcBorders>
            <w:shd w:val="clear" w:color="auto" w:fill="auto"/>
            <w:vAlign w:val="bottom"/>
          </w:tcPr>
          <w:p w14:paraId="667FE2E2"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en-US"/>
              </w:rPr>
            </w:pPr>
            <w:r w:rsidRPr="00693680">
              <w:rPr>
                <w:rFonts w:eastAsia="Times New Roman" w:cs="Arial"/>
                <w:b/>
                <w:bCs/>
                <w:sz w:val="19"/>
                <w:szCs w:val="19"/>
                <w:lang w:val="en-US"/>
              </w:rPr>
              <w:t>27,276,463</w:t>
            </w:r>
          </w:p>
        </w:tc>
      </w:tr>
      <w:tr w:rsidR="00693680" w:rsidRPr="00693680" w14:paraId="4A7CC8D1" w14:textId="77777777" w:rsidTr="00693680">
        <w:tblPrEx>
          <w:tblCellMar>
            <w:left w:w="31" w:type="dxa"/>
            <w:right w:w="31" w:type="dxa"/>
          </w:tblCellMar>
        </w:tblPrEx>
        <w:trPr>
          <w:cantSplit/>
          <w:trHeight w:val="250"/>
          <w:tblHeader/>
        </w:trPr>
        <w:tc>
          <w:tcPr>
            <w:tcW w:w="2424" w:type="pct"/>
            <w:vAlign w:val="bottom"/>
          </w:tcPr>
          <w:p w14:paraId="7013D400" w14:textId="77777777" w:rsidR="00693680" w:rsidRPr="00693680" w:rsidRDefault="00693680" w:rsidP="00693680">
            <w:pPr>
              <w:tabs>
                <w:tab w:val="right" w:pos="1202"/>
              </w:tabs>
              <w:spacing w:after="0" w:line="301" w:lineRule="exact"/>
              <w:outlineLvl w:val="0"/>
              <w:rPr>
                <w:rFonts w:asciiTheme="minorHAnsi" w:eastAsia="Times New Roman" w:hAnsiTheme="minorHAnsi"/>
                <w:b/>
                <w:bCs/>
                <w:sz w:val="19"/>
                <w:szCs w:val="19"/>
              </w:rPr>
            </w:pPr>
          </w:p>
        </w:tc>
        <w:tc>
          <w:tcPr>
            <w:tcW w:w="644" w:type="pct"/>
            <w:tcBorders>
              <w:top w:val="single" w:sz="12" w:space="0" w:color="auto"/>
            </w:tcBorders>
          </w:tcPr>
          <w:p w14:paraId="43B8F418"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c>
          <w:tcPr>
            <w:tcW w:w="644" w:type="pct"/>
            <w:gridSpan w:val="2"/>
            <w:tcBorders>
              <w:top w:val="single" w:sz="12" w:space="0" w:color="auto"/>
            </w:tcBorders>
          </w:tcPr>
          <w:p w14:paraId="29790C5F"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c>
          <w:tcPr>
            <w:tcW w:w="644" w:type="pct"/>
            <w:gridSpan w:val="2"/>
            <w:tcBorders>
              <w:top w:val="single" w:sz="12" w:space="0" w:color="auto"/>
            </w:tcBorders>
          </w:tcPr>
          <w:p w14:paraId="23DC4F36"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c>
          <w:tcPr>
            <w:tcW w:w="644" w:type="pct"/>
            <w:gridSpan w:val="2"/>
            <w:tcBorders>
              <w:top w:val="single" w:sz="12" w:space="0" w:color="auto"/>
            </w:tcBorders>
          </w:tcPr>
          <w:p w14:paraId="55D79505"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r>
      <w:tr w:rsidR="00693680" w:rsidRPr="00693680" w14:paraId="01439FEC" w14:textId="77777777" w:rsidTr="00693680">
        <w:tblPrEx>
          <w:tblCellMar>
            <w:left w:w="31" w:type="dxa"/>
            <w:right w:w="31" w:type="dxa"/>
          </w:tblCellMar>
        </w:tblPrEx>
        <w:trPr>
          <w:cantSplit/>
          <w:trHeight w:val="250"/>
          <w:tblHeader/>
        </w:trPr>
        <w:tc>
          <w:tcPr>
            <w:tcW w:w="2424" w:type="pct"/>
          </w:tcPr>
          <w:p w14:paraId="3030D843"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b/>
                <w:bCs/>
                <w:sz w:val="19"/>
                <w:szCs w:val="19"/>
              </w:rPr>
            </w:pPr>
            <w:r w:rsidRPr="00693680">
              <w:rPr>
                <w:rFonts w:asciiTheme="minorHAnsi" w:eastAsia="Times New Roman" w:hAnsiTheme="minorHAnsi" w:cs="Arial"/>
                <w:b/>
                <w:bCs/>
                <w:sz w:val="19"/>
                <w:szCs w:val="19"/>
              </w:rPr>
              <w:t>Guarantees and commitments</w:t>
            </w:r>
          </w:p>
        </w:tc>
        <w:tc>
          <w:tcPr>
            <w:tcW w:w="644" w:type="pct"/>
            <w:vAlign w:val="bottom"/>
          </w:tcPr>
          <w:p w14:paraId="5CE5501D"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c>
          <w:tcPr>
            <w:tcW w:w="644" w:type="pct"/>
            <w:gridSpan w:val="2"/>
            <w:vAlign w:val="bottom"/>
          </w:tcPr>
          <w:p w14:paraId="643F5734"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c>
          <w:tcPr>
            <w:tcW w:w="644" w:type="pct"/>
            <w:gridSpan w:val="2"/>
            <w:vAlign w:val="bottom"/>
          </w:tcPr>
          <w:p w14:paraId="6D014A98"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c>
          <w:tcPr>
            <w:tcW w:w="644" w:type="pct"/>
            <w:gridSpan w:val="2"/>
            <w:vAlign w:val="bottom"/>
          </w:tcPr>
          <w:p w14:paraId="659787DA"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r>
      <w:tr w:rsidR="00693680" w:rsidRPr="00693680" w14:paraId="5891A0FE" w14:textId="77777777" w:rsidTr="00693680">
        <w:tblPrEx>
          <w:tblCellMar>
            <w:left w:w="31" w:type="dxa"/>
            <w:right w:w="31" w:type="dxa"/>
          </w:tblCellMar>
        </w:tblPrEx>
        <w:trPr>
          <w:cantSplit/>
          <w:trHeight w:val="250"/>
          <w:tblHeader/>
        </w:trPr>
        <w:tc>
          <w:tcPr>
            <w:tcW w:w="2424" w:type="pct"/>
          </w:tcPr>
          <w:p w14:paraId="1A5ADF87"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Guarantees issued in HRK</w:t>
            </w:r>
          </w:p>
        </w:tc>
        <w:tc>
          <w:tcPr>
            <w:tcW w:w="644" w:type="pct"/>
            <w:tcBorders>
              <w:top w:val="nil"/>
              <w:left w:val="nil"/>
              <w:bottom w:val="nil"/>
              <w:right w:val="nil"/>
            </w:tcBorders>
            <w:shd w:val="clear" w:color="auto" w:fill="auto"/>
            <w:vAlign w:val="center"/>
          </w:tcPr>
          <w:p w14:paraId="2B3DF9C3"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31,480</w:t>
            </w:r>
          </w:p>
        </w:tc>
        <w:tc>
          <w:tcPr>
            <w:tcW w:w="644" w:type="pct"/>
            <w:gridSpan w:val="2"/>
            <w:tcBorders>
              <w:top w:val="nil"/>
              <w:left w:val="nil"/>
              <w:bottom w:val="nil"/>
              <w:right w:val="nil"/>
            </w:tcBorders>
            <w:shd w:val="clear" w:color="auto" w:fill="auto"/>
            <w:vAlign w:val="center"/>
          </w:tcPr>
          <w:p w14:paraId="03A38A45"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602</w:t>
            </w:r>
          </w:p>
        </w:tc>
        <w:tc>
          <w:tcPr>
            <w:tcW w:w="644" w:type="pct"/>
            <w:gridSpan w:val="2"/>
            <w:tcBorders>
              <w:top w:val="nil"/>
              <w:left w:val="nil"/>
              <w:bottom w:val="nil"/>
              <w:right w:val="nil"/>
            </w:tcBorders>
            <w:shd w:val="clear" w:color="auto" w:fill="auto"/>
            <w:vAlign w:val="center"/>
          </w:tcPr>
          <w:p w14:paraId="33FC1B6C"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w:t>
            </w:r>
          </w:p>
        </w:tc>
        <w:tc>
          <w:tcPr>
            <w:tcW w:w="644" w:type="pct"/>
            <w:gridSpan w:val="2"/>
            <w:tcBorders>
              <w:top w:val="nil"/>
              <w:left w:val="nil"/>
              <w:bottom w:val="nil"/>
              <w:right w:val="nil"/>
            </w:tcBorders>
            <w:shd w:val="clear" w:color="auto" w:fill="auto"/>
            <w:vAlign w:val="center"/>
          </w:tcPr>
          <w:p w14:paraId="69B4CFB7"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32,082</w:t>
            </w:r>
          </w:p>
        </w:tc>
      </w:tr>
      <w:tr w:rsidR="00693680" w:rsidRPr="00693680" w14:paraId="1BD314A5" w14:textId="77777777" w:rsidTr="00693680">
        <w:tblPrEx>
          <w:tblCellMar>
            <w:left w:w="31" w:type="dxa"/>
            <w:right w:w="31" w:type="dxa"/>
          </w:tblCellMar>
        </w:tblPrEx>
        <w:trPr>
          <w:cantSplit/>
          <w:trHeight w:val="250"/>
          <w:tblHeader/>
        </w:trPr>
        <w:tc>
          <w:tcPr>
            <w:tcW w:w="2424" w:type="pct"/>
          </w:tcPr>
          <w:p w14:paraId="65DA1C05"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Issued guarantees in foreign currency</w:t>
            </w:r>
          </w:p>
        </w:tc>
        <w:tc>
          <w:tcPr>
            <w:tcW w:w="644" w:type="pct"/>
            <w:tcBorders>
              <w:top w:val="nil"/>
              <w:left w:val="nil"/>
              <w:bottom w:val="nil"/>
              <w:right w:val="nil"/>
            </w:tcBorders>
            <w:shd w:val="clear" w:color="auto" w:fill="auto"/>
            <w:vAlign w:val="center"/>
          </w:tcPr>
          <w:p w14:paraId="7B71CD4B"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1,982,969</w:t>
            </w:r>
          </w:p>
        </w:tc>
        <w:tc>
          <w:tcPr>
            <w:tcW w:w="644" w:type="pct"/>
            <w:gridSpan w:val="2"/>
            <w:tcBorders>
              <w:top w:val="nil"/>
              <w:left w:val="nil"/>
              <w:bottom w:val="nil"/>
              <w:right w:val="nil"/>
            </w:tcBorders>
            <w:shd w:val="clear" w:color="auto" w:fill="auto"/>
            <w:vAlign w:val="center"/>
          </w:tcPr>
          <w:p w14:paraId="57DDC283"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w:t>
            </w:r>
          </w:p>
        </w:tc>
        <w:tc>
          <w:tcPr>
            <w:tcW w:w="644" w:type="pct"/>
            <w:gridSpan w:val="2"/>
            <w:tcBorders>
              <w:top w:val="nil"/>
              <w:left w:val="nil"/>
              <w:bottom w:val="nil"/>
              <w:right w:val="nil"/>
            </w:tcBorders>
            <w:shd w:val="clear" w:color="auto" w:fill="auto"/>
            <w:vAlign w:val="center"/>
          </w:tcPr>
          <w:p w14:paraId="717BF6A0"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w:t>
            </w:r>
          </w:p>
        </w:tc>
        <w:tc>
          <w:tcPr>
            <w:tcW w:w="644" w:type="pct"/>
            <w:gridSpan w:val="2"/>
            <w:tcBorders>
              <w:top w:val="nil"/>
              <w:left w:val="nil"/>
              <w:bottom w:val="nil"/>
              <w:right w:val="nil"/>
            </w:tcBorders>
            <w:shd w:val="clear" w:color="auto" w:fill="auto"/>
            <w:vAlign w:val="center"/>
          </w:tcPr>
          <w:p w14:paraId="3BB14C90"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1,982,969</w:t>
            </w:r>
          </w:p>
        </w:tc>
      </w:tr>
      <w:tr w:rsidR="00693680" w:rsidRPr="00693680" w14:paraId="054ACBAF" w14:textId="77777777" w:rsidTr="00693680">
        <w:tblPrEx>
          <w:tblCellMar>
            <w:left w:w="31" w:type="dxa"/>
            <w:right w:w="31" w:type="dxa"/>
          </w:tblCellMar>
        </w:tblPrEx>
        <w:trPr>
          <w:cantSplit/>
          <w:trHeight w:val="250"/>
          <w:tblHeader/>
        </w:trPr>
        <w:tc>
          <w:tcPr>
            <w:tcW w:w="2424" w:type="pct"/>
          </w:tcPr>
          <w:p w14:paraId="0BCBB9BD"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Undrawn loans</w:t>
            </w:r>
          </w:p>
        </w:tc>
        <w:tc>
          <w:tcPr>
            <w:tcW w:w="644" w:type="pct"/>
            <w:tcBorders>
              <w:top w:val="nil"/>
              <w:left w:val="nil"/>
              <w:bottom w:val="nil"/>
              <w:right w:val="nil"/>
            </w:tcBorders>
            <w:shd w:val="clear" w:color="auto" w:fill="auto"/>
            <w:vAlign w:val="center"/>
          </w:tcPr>
          <w:p w14:paraId="21A13931"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3,928,177</w:t>
            </w:r>
          </w:p>
        </w:tc>
        <w:tc>
          <w:tcPr>
            <w:tcW w:w="644" w:type="pct"/>
            <w:gridSpan w:val="2"/>
            <w:tcBorders>
              <w:top w:val="nil"/>
              <w:left w:val="nil"/>
              <w:bottom w:val="nil"/>
              <w:right w:val="nil"/>
            </w:tcBorders>
            <w:shd w:val="clear" w:color="auto" w:fill="auto"/>
            <w:vAlign w:val="center"/>
          </w:tcPr>
          <w:p w14:paraId="411BC2C0"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w:t>
            </w:r>
          </w:p>
        </w:tc>
        <w:tc>
          <w:tcPr>
            <w:tcW w:w="644" w:type="pct"/>
            <w:gridSpan w:val="2"/>
            <w:tcBorders>
              <w:top w:val="nil"/>
              <w:left w:val="nil"/>
              <w:bottom w:val="nil"/>
              <w:right w:val="nil"/>
            </w:tcBorders>
            <w:shd w:val="clear" w:color="auto" w:fill="auto"/>
            <w:vAlign w:val="center"/>
          </w:tcPr>
          <w:p w14:paraId="610B1132"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w:t>
            </w:r>
          </w:p>
        </w:tc>
        <w:tc>
          <w:tcPr>
            <w:tcW w:w="644" w:type="pct"/>
            <w:gridSpan w:val="2"/>
            <w:tcBorders>
              <w:top w:val="nil"/>
              <w:left w:val="nil"/>
              <w:bottom w:val="nil"/>
              <w:right w:val="nil"/>
            </w:tcBorders>
            <w:shd w:val="clear" w:color="auto" w:fill="auto"/>
            <w:vAlign w:val="center"/>
          </w:tcPr>
          <w:p w14:paraId="009F9604"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3,928,177</w:t>
            </w:r>
          </w:p>
        </w:tc>
      </w:tr>
      <w:tr w:rsidR="00693680" w:rsidRPr="00693680" w14:paraId="69E4D17A" w14:textId="77777777" w:rsidTr="00693680">
        <w:tblPrEx>
          <w:tblCellMar>
            <w:left w:w="31" w:type="dxa"/>
            <w:right w:w="31" w:type="dxa"/>
          </w:tblCellMar>
        </w:tblPrEx>
        <w:trPr>
          <w:cantSplit/>
          <w:trHeight w:val="250"/>
          <w:tblHeader/>
        </w:trPr>
        <w:tc>
          <w:tcPr>
            <w:tcW w:w="2424" w:type="pct"/>
          </w:tcPr>
          <w:p w14:paraId="21749CD8"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Other irrevocable contingent liabilities</w:t>
            </w:r>
          </w:p>
        </w:tc>
        <w:tc>
          <w:tcPr>
            <w:tcW w:w="644" w:type="pct"/>
            <w:tcBorders>
              <w:bottom w:val="single" w:sz="8" w:space="0" w:color="auto"/>
            </w:tcBorders>
            <w:vAlign w:val="bottom"/>
          </w:tcPr>
          <w:p w14:paraId="11B1C626"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asciiTheme="minorHAnsi" w:eastAsia="Times New Roman" w:hAnsiTheme="minorHAnsi" w:cs="Arial"/>
                <w:sz w:val="19"/>
                <w:szCs w:val="19"/>
                <w:lang w:val="en-US"/>
              </w:rPr>
              <w:t>335</w:t>
            </w:r>
          </w:p>
        </w:tc>
        <w:tc>
          <w:tcPr>
            <w:tcW w:w="644" w:type="pct"/>
            <w:gridSpan w:val="2"/>
            <w:tcBorders>
              <w:bottom w:val="single" w:sz="8" w:space="0" w:color="auto"/>
            </w:tcBorders>
          </w:tcPr>
          <w:p w14:paraId="6C0B526B"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asciiTheme="minorHAnsi" w:eastAsia="Times New Roman" w:hAnsiTheme="minorHAnsi" w:cs="Arial"/>
                <w:sz w:val="19"/>
                <w:szCs w:val="19"/>
                <w:lang w:val="en-US"/>
              </w:rPr>
              <w:t>-</w:t>
            </w:r>
          </w:p>
        </w:tc>
        <w:tc>
          <w:tcPr>
            <w:tcW w:w="644" w:type="pct"/>
            <w:gridSpan w:val="2"/>
            <w:tcBorders>
              <w:bottom w:val="single" w:sz="8" w:space="0" w:color="auto"/>
            </w:tcBorders>
          </w:tcPr>
          <w:p w14:paraId="0965B452"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asciiTheme="minorHAnsi" w:eastAsia="Times New Roman" w:hAnsiTheme="minorHAnsi" w:cs="Arial"/>
                <w:sz w:val="19"/>
                <w:szCs w:val="19"/>
                <w:lang w:val="en-US"/>
              </w:rPr>
              <w:t>-</w:t>
            </w:r>
          </w:p>
        </w:tc>
        <w:tc>
          <w:tcPr>
            <w:tcW w:w="644" w:type="pct"/>
            <w:gridSpan w:val="2"/>
            <w:tcBorders>
              <w:bottom w:val="single" w:sz="8" w:space="0" w:color="auto"/>
            </w:tcBorders>
            <w:vAlign w:val="bottom"/>
          </w:tcPr>
          <w:p w14:paraId="1DC356C7"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asciiTheme="minorHAnsi" w:eastAsia="Times New Roman" w:hAnsiTheme="minorHAnsi" w:cs="Arial"/>
                <w:sz w:val="19"/>
                <w:szCs w:val="19"/>
                <w:lang w:val="en-US"/>
              </w:rPr>
              <w:t>335</w:t>
            </w:r>
          </w:p>
        </w:tc>
      </w:tr>
      <w:tr w:rsidR="00693680" w:rsidRPr="00693680" w14:paraId="0F6892C1" w14:textId="77777777" w:rsidTr="00693680">
        <w:tblPrEx>
          <w:tblCellMar>
            <w:left w:w="31" w:type="dxa"/>
            <w:right w:w="31" w:type="dxa"/>
          </w:tblCellMar>
        </w:tblPrEx>
        <w:trPr>
          <w:cantSplit/>
          <w:trHeight w:val="250"/>
          <w:tblHeader/>
        </w:trPr>
        <w:tc>
          <w:tcPr>
            <w:tcW w:w="2424" w:type="pct"/>
          </w:tcPr>
          <w:p w14:paraId="0A453693" w14:textId="77777777" w:rsidR="00693680" w:rsidRPr="00693680" w:rsidRDefault="00693680" w:rsidP="00693680">
            <w:pPr>
              <w:tabs>
                <w:tab w:val="right" w:pos="1202"/>
              </w:tabs>
              <w:spacing w:after="0" w:line="340" w:lineRule="exact"/>
              <w:outlineLvl w:val="0"/>
              <w:rPr>
                <w:rFonts w:asciiTheme="minorHAnsi" w:eastAsia="Times New Roman" w:hAnsiTheme="minorHAnsi" w:cs="Arial"/>
                <w:b/>
                <w:bCs/>
                <w:sz w:val="19"/>
                <w:szCs w:val="19"/>
              </w:rPr>
            </w:pPr>
            <w:r w:rsidRPr="00693680">
              <w:rPr>
                <w:rFonts w:asciiTheme="minorHAnsi" w:eastAsia="Times New Roman" w:hAnsiTheme="minorHAnsi" w:cs="Arial"/>
                <w:b/>
                <w:bCs/>
                <w:sz w:val="19"/>
                <w:szCs w:val="19"/>
              </w:rPr>
              <w:t>Total</w:t>
            </w:r>
          </w:p>
        </w:tc>
        <w:tc>
          <w:tcPr>
            <w:tcW w:w="644" w:type="pct"/>
            <w:tcBorders>
              <w:top w:val="single" w:sz="4" w:space="0" w:color="auto"/>
              <w:left w:val="nil"/>
              <w:bottom w:val="single" w:sz="12" w:space="0" w:color="auto"/>
              <w:right w:val="nil"/>
            </w:tcBorders>
            <w:shd w:val="clear" w:color="auto" w:fill="auto"/>
            <w:vAlign w:val="center"/>
          </w:tcPr>
          <w:p w14:paraId="1C4B658B" w14:textId="77777777" w:rsidR="00693680" w:rsidRPr="00693680" w:rsidRDefault="00693680" w:rsidP="00693680">
            <w:pPr>
              <w:tabs>
                <w:tab w:val="right" w:pos="1202"/>
              </w:tabs>
              <w:spacing w:after="0" w:line="301" w:lineRule="exact"/>
              <w:jc w:val="right"/>
              <w:outlineLvl w:val="0"/>
              <w:rPr>
                <w:rFonts w:eastAsia="Times New Roman" w:cs="Arial"/>
                <w:b/>
                <w:bCs/>
                <w:sz w:val="19"/>
                <w:szCs w:val="19"/>
                <w:lang w:val="en-US"/>
              </w:rPr>
            </w:pPr>
            <w:r w:rsidRPr="00693680">
              <w:rPr>
                <w:rFonts w:eastAsia="Times New Roman" w:cs="Arial"/>
                <w:b/>
                <w:bCs/>
                <w:sz w:val="19"/>
                <w:szCs w:val="19"/>
                <w:lang w:val="en-US"/>
              </w:rPr>
              <w:t>5,942,961</w:t>
            </w:r>
          </w:p>
        </w:tc>
        <w:tc>
          <w:tcPr>
            <w:tcW w:w="644" w:type="pct"/>
            <w:gridSpan w:val="2"/>
            <w:tcBorders>
              <w:top w:val="single" w:sz="4" w:space="0" w:color="auto"/>
              <w:left w:val="nil"/>
              <w:bottom w:val="single" w:sz="12" w:space="0" w:color="auto"/>
              <w:right w:val="nil"/>
            </w:tcBorders>
            <w:shd w:val="clear" w:color="auto" w:fill="auto"/>
            <w:vAlign w:val="center"/>
          </w:tcPr>
          <w:p w14:paraId="13834B8F" w14:textId="77777777" w:rsidR="00693680" w:rsidRPr="00693680" w:rsidRDefault="00693680" w:rsidP="00693680">
            <w:pPr>
              <w:tabs>
                <w:tab w:val="right" w:pos="1202"/>
              </w:tabs>
              <w:spacing w:after="0" w:line="301" w:lineRule="exact"/>
              <w:jc w:val="right"/>
              <w:outlineLvl w:val="0"/>
              <w:rPr>
                <w:rFonts w:eastAsia="Times New Roman" w:cs="Arial"/>
                <w:b/>
                <w:bCs/>
                <w:sz w:val="19"/>
                <w:szCs w:val="19"/>
                <w:lang w:val="en-US"/>
              </w:rPr>
            </w:pPr>
            <w:r w:rsidRPr="00693680">
              <w:rPr>
                <w:rFonts w:eastAsia="Times New Roman" w:cs="Arial"/>
                <w:b/>
                <w:bCs/>
                <w:sz w:val="19"/>
                <w:szCs w:val="19"/>
                <w:lang w:val="en-US"/>
              </w:rPr>
              <w:t>602</w:t>
            </w:r>
          </w:p>
        </w:tc>
        <w:tc>
          <w:tcPr>
            <w:tcW w:w="644" w:type="pct"/>
            <w:gridSpan w:val="2"/>
            <w:tcBorders>
              <w:top w:val="single" w:sz="4" w:space="0" w:color="auto"/>
              <w:left w:val="nil"/>
              <w:bottom w:val="single" w:sz="12" w:space="0" w:color="auto"/>
              <w:right w:val="nil"/>
            </w:tcBorders>
            <w:shd w:val="clear" w:color="auto" w:fill="auto"/>
            <w:vAlign w:val="center"/>
          </w:tcPr>
          <w:p w14:paraId="2EF65A0F" w14:textId="77777777" w:rsidR="00693680" w:rsidRPr="00693680" w:rsidRDefault="00693680" w:rsidP="00693680">
            <w:pPr>
              <w:tabs>
                <w:tab w:val="right" w:pos="1202"/>
              </w:tabs>
              <w:spacing w:after="0" w:line="301" w:lineRule="exact"/>
              <w:jc w:val="right"/>
              <w:outlineLvl w:val="0"/>
              <w:rPr>
                <w:rFonts w:eastAsia="Times New Roman" w:cs="Arial"/>
                <w:b/>
                <w:bCs/>
                <w:sz w:val="19"/>
                <w:szCs w:val="19"/>
                <w:lang w:val="en-US"/>
              </w:rPr>
            </w:pPr>
            <w:r w:rsidRPr="00693680">
              <w:rPr>
                <w:rFonts w:eastAsia="Times New Roman" w:cs="Arial"/>
                <w:b/>
                <w:bCs/>
                <w:sz w:val="19"/>
                <w:szCs w:val="19"/>
                <w:lang w:val="en-US"/>
              </w:rPr>
              <w:t>-</w:t>
            </w:r>
          </w:p>
        </w:tc>
        <w:tc>
          <w:tcPr>
            <w:tcW w:w="644" w:type="pct"/>
            <w:gridSpan w:val="2"/>
            <w:tcBorders>
              <w:top w:val="single" w:sz="4" w:space="0" w:color="auto"/>
              <w:left w:val="nil"/>
              <w:bottom w:val="single" w:sz="12" w:space="0" w:color="auto"/>
              <w:right w:val="nil"/>
            </w:tcBorders>
            <w:shd w:val="clear" w:color="auto" w:fill="auto"/>
            <w:vAlign w:val="center"/>
          </w:tcPr>
          <w:p w14:paraId="3BE9B243" w14:textId="77777777" w:rsidR="00693680" w:rsidRPr="00693680" w:rsidRDefault="00693680" w:rsidP="00693680">
            <w:pPr>
              <w:tabs>
                <w:tab w:val="right" w:pos="1202"/>
              </w:tabs>
              <w:spacing w:after="0" w:line="301" w:lineRule="exact"/>
              <w:jc w:val="right"/>
              <w:outlineLvl w:val="0"/>
              <w:rPr>
                <w:rFonts w:eastAsia="Times New Roman" w:cs="Arial"/>
                <w:b/>
                <w:bCs/>
                <w:sz w:val="19"/>
                <w:szCs w:val="19"/>
                <w:lang w:val="en-US"/>
              </w:rPr>
            </w:pPr>
            <w:r w:rsidRPr="00693680">
              <w:rPr>
                <w:rFonts w:eastAsia="Times New Roman" w:cs="Arial"/>
                <w:b/>
                <w:bCs/>
                <w:sz w:val="19"/>
                <w:szCs w:val="19"/>
                <w:lang w:val="en-US"/>
              </w:rPr>
              <w:t>5,943,563</w:t>
            </w:r>
          </w:p>
        </w:tc>
      </w:tr>
      <w:tr w:rsidR="00693680" w:rsidRPr="00693680" w14:paraId="7A661428" w14:textId="77777777" w:rsidTr="00693680">
        <w:tblPrEx>
          <w:tblCellMar>
            <w:left w:w="31" w:type="dxa"/>
            <w:right w:w="31" w:type="dxa"/>
          </w:tblCellMar>
        </w:tblPrEx>
        <w:trPr>
          <w:cantSplit/>
          <w:trHeight w:val="36"/>
          <w:tblHeader/>
        </w:trPr>
        <w:tc>
          <w:tcPr>
            <w:tcW w:w="2424" w:type="pct"/>
          </w:tcPr>
          <w:p w14:paraId="39D2A47F" w14:textId="77777777" w:rsidR="00693680" w:rsidRPr="00693680" w:rsidRDefault="00693680" w:rsidP="00693680">
            <w:pPr>
              <w:tabs>
                <w:tab w:val="right" w:pos="1202"/>
              </w:tabs>
              <w:spacing w:after="0" w:line="200" w:lineRule="exact"/>
              <w:jc w:val="center"/>
              <w:outlineLvl w:val="0"/>
              <w:rPr>
                <w:rFonts w:asciiTheme="minorHAnsi" w:eastAsia="Times New Roman" w:hAnsiTheme="minorHAnsi"/>
                <w:b/>
                <w:bCs/>
                <w:sz w:val="19"/>
                <w:szCs w:val="19"/>
              </w:rPr>
            </w:pPr>
          </w:p>
        </w:tc>
        <w:tc>
          <w:tcPr>
            <w:tcW w:w="644" w:type="pct"/>
            <w:tcBorders>
              <w:top w:val="single" w:sz="12" w:space="0" w:color="auto"/>
            </w:tcBorders>
            <w:vAlign w:val="bottom"/>
          </w:tcPr>
          <w:p w14:paraId="60FD6052" w14:textId="77777777" w:rsidR="00693680" w:rsidRPr="00693680" w:rsidRDefault="00693680" w:rsidP="00693680">
            <w:pPr>
              <w:tabs>
                <w:tab w:val="right" w:pos="1202"/>
              </w:tabs>
              <w:spacing w:after="0" w:line="240" w:lineRule="auto"/>
              <w:jc w:val="right"/>
              <w:outlineLvl w:val="0"/>
              <w:rPr>
                <w:rFonts w:asciiTheme="minorHAnsi" w:eastAsia="Times New Roman" w:hAnsiTheme="minorHAnsi"/>
                <w:b/>
                <w:sz w:val="19"/>
                <w:szCs w:val="19"/>
                <w:lang w:val="hr-HR"/>
              </w:rPr>
            </w:pPr>
          </w:p>
        </w:tc>
        <w:tc>
          <w:tcPr>
            <w:tcW w:w="644" w:type="pct"/>
            <w:gridSpan w:val="2"/>
            <w:tcBorders>
              <w:top w:val="single" w:sz="12" w:space="0" w:color="auto"/>
            </w:tcBorders>
            <w:vAlign w:val="bottom"/>
          </w:tcPr>
          <w:p w14:paraId="73650EDD" w14:textId="77777777" w:rsidR="00693680" w:rsidRPr="00693680" w:rsidRDefault="00693680" w:rsidP="00693680">
            <w:pPr>
              <w:tabs>
                <w:tab w:val="right" w:pos="1202"/>
              </w:tabs>
              <w:spacing w:after="0" w:line="240" w:lineRule="auto"/>
              <w:jc w:val="right"/>
              <w:outlineLvl w:val="0"/>
              <w:rPr>
                <w:rFonts w:asciiTheme="minorHAnsi" w:eastAsia="Times New Roman" w:hAnsiTheme="minorHAnsi"/>
                <w:b/>
                <w:sz w:val="19"/>
                <w:szCs w:val="19"/>
                <w:lang w:val="hr-HR"/>
              </w:rPr>
            </w:pPr>
          </w:p>
        </w:tc>
        <w:tc>
          <w:tcPr>
            <w:tcW w:w="644" w:type="pct"/>
            <w:gridSpan w:val="2"/>
            <w:tcBorders>
              <w:top w:val="single" w:sz="12" w:space="0" w:color="auto"/>
            </w:tcBorders>
            <w:vAlign w:val="bottom"/>
          </w:tcPr>
          <w:p w14:paraId="06F835C4" w14:textId="77777777" w:rsidR="00693680" w:rsidRPr="00693680" w:rsidRDefault="00693680" w:rsidP="00693680">
            <w:pPr>
              <w:tabs>
                <w:tab w:val="right" w:pos="1202"/>
              </w:tabs>
              <w:spacing w:after="0" w:line="240" w:lineRule="auto"/>
              <w:jc w:val="right"/>
              <w:outlineLvl w:val="0"/>
              <w:rPr>
                <w:rFonts w:asciiTheme="minorHAnsi" w:eastAsia="Times New Roman" w:hAnsiTheme="minorHAnsi"/>
                <w:b/>
                <w:sz w:val="19"/>
                <w:szCs w:val="19"/>
                <w:lang w:val="hr-HR"/>
              </w:rPr>
            </w:pPr>
          </w:p>
        </w:tc>
        <w:tc>
          <w:tcPr>
            <w:tcW w:w="644" w:type="pct"/>
            <w:gridSpan w:val="2"/>
            <w:tcBorders>
              <w:top w:val="single" w:sz="12" w:space="0" w:color="auto"/>
            </w:tcBorders>
            <w:vAlign w:val="bottom"/>
          </w:tcPr>
          <w:p w14:paraId="7B334EE1" w14:textId="77777777" w:rsidR="00693680" w:rsidRPr="00693680" w:rsidRDefault="00693680" w:rsidP="00693680">
            <w:pPr>
              <w:tabs>
                <w:tab w:val="right" w:pos="1202"/>
              </w:tabs>
              <w:spacing w:after="0" w:line="240" w:lineRule="auto"/>
              <w:jc w:val="right"/>
              <w:outlineLvl w:val="0"/>
              <w:rPr>
                <w:rFonts w:asciiTheme="minorHAnsi" w:eastAsia="Times New Roman" w:hAnsiTheme="minorHAnsi"/>
                <w:b/>
                <w:sz w:val="19"/>
                <w:szCs w:val="19"/>
                <w:lang w:val="hr-HR"/>
              </w:rPr>
            </w:pPr>
          </w:p>
        </w:tc>
      </w:tr>
      <w:tr w:rsidR="00693680" w:rsidRPr="00693680" w14:paraId="547ADEC8" w14:textId="77777777" w:rsidTr="00693680">
        <w:tblPrEx>
          <w:tblCellMar>
            <w:left w:w="31" w:type="dxa"/>
            <w:right w:w="31" w:type="dxa"/>
          </w:tblCellMar>
        </w:tblPrEx>
        <w:trPr>
          <w:cantSplit/>
          <w:trHeight w:val="250"/>
          <w:tblHeader/>
        </w:trPr>
        <w:tc>
          <w:tcPr>
            <w:tcW w:w="2424" w:type="pct"/>
            <w:vAlign w:val="bottom"/>
          </w:tcPr>
          <w:p w14:paraId="39203DA4" w14:textId="77777777" w:rsidR="00693680" w:rsidRPr="00693680" w:rsidRDefault="00693680" w:rsidP="00693680">
            <w:pPr>
              <w:tabs>
                <w:tab w:val="right" w:pos="1202"/>
              </w:tabs>
              <w:spacing w:after="0" w:line="200" w:lineRule="exact"/>
              <w:outlineLvl w:val="0"/>
              <w:rPr>
                <w:rFonts w:asciiTheme="minorHAnsi" w:eastAsia="Times New Roman" w:hAnsiTheme="minorHAnsi"/>
                <w:b/>
                <w:bCs/>
                <w:sz w:val="19"/>
                <w:szCs w:val="19"/>
              </w:rPr>
            </w:pPr>
            <w:r w:rsidRPr="00693680">
              <w:rPr>
                <w:rFonts w:asciiTheme="minorHAnsi" w:eastAsia="Times New Roman" w:hAnsiTheme="minorHAnsi" w:cs="Arial"/>
                <w:b/>
                <w:bCs/>
                <w:sz w:val="19"/>
                <w:szCs w:val="19"/>
              </w:rPr>
              <w:t>Total credit risk exposure</w:t>
            </w:r>
          </w:p>
        </w:tc>
        <w:tc>
          <w:tcPr>
            <w:tcW w:w="644" w:type="pct"/>
            <w:tcBorders>
              <w:top w:val="nil"/>
              <w:left w:val="nil"/>
              <w:bottom w:val="single" w:sz="12" w:space="0" w:color="auto"/>
              <w:right w:val="nil"/>
            </w:tcBorders>
            <w:shd w:val="clear" w:color="auto" w:fill="auto"/>
            <w:vAlign w:val="center"/>
          </w:tcPr>
          <w:p w14:paraId="24E980D7"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hr-HR"/>
              </w:rPr>
            </w:pPr>
            <w:r w:rsidRPr="00693680">
              <w:rPr>
                <w:rFonts w:eastAsia="Times New Roman" w:cs="Arial"/>
                <w:b/>
                <w:bCs/>
                <w:sz w:val="19"/>
                <w:szCs w:val="19"/>
                <w:lang w:val="en-US"/>
              </w:rPr>
              <w:t>32,665,971</w:t>
            </w:r>
          </w:p>
        </w:tc>
        <w:tc>
          <w:tcPr>
            <w:tcW w:w="644" w:type="pct"/>
            <w:gridSpan w:val="2"/>
            <w:tcBorders>
              <w:top w:val="nil"/>
              <w:left w:val="nil"/>
              <w:bottom w:val="single" w:sz="12" w:space="0" w:color="auto"/>
              <w:right w:val="nil"/>
            </w:tcBorders>
            <w:shd w:val="clear" w:color="auto" w:fill="auto"/>
            <w:vAlign w:val="center"/>
          </w:tcPr>
          <w:p w14:paraId="2D007DCA"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hr-HR"/>
              </w:rPr>
            </w:pPr>
            <w:r w:rsidRPr="00693680">
              <w:rPr>
                <w:rFonts w:eastAsia="Times New Roman" w:cs="Arial"/>
                <w:b/>
                <w:bCs/>
                <w:sz w:val="19"/>
                <w:szCs w:val="19"/>
                <w:lang w:val="en-US"/>
              </w:rPr>
              <w:t>323,142</w:t>
            </w:r>
          </w:p>
        </w:tc>
        <w:tc>
          <w:tcPr>
            <w:tcW w:w="644" w:type="pct"/>
            <w:gridSpan w:val="2"/>
            <w:tcBorders>
              <w:top w:val="nil"/>
              <w:left w:val="nil"/>
              <w:bottom w:val="single" w:sz="12" w:space="0" w:color="auto"/>
              <w:right w:val="nil"/>
            </w:tcBorders>
            <w:shd w:val="clear" w:color="auto" w:fill="auto"/>
            <w:vAlign w:val="center"/>
          </w:tcPr>
          <w:p w14:paraId="06E68561"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hr-HR"/>
              </w:rPr>
            </w:pPr>
            <w:r w:rsidRPr="00693680">
              <w:rPr>
                <w:rFonts w:eastAsia="Times New Roman" w:cs="Arial"/>
                <w:b/>
                <w:bCs/>
                <w:sz w:val="19"/>
                <w:szCs w:val="19"/>
                <w:lang w:val="en-US"/>
              </w:rPr>
              <w:t>230,913</w:t>
            </w:r>
          </w:p>
        </w:tc>
        <w:tc>
          <w:tcPr>
            <w:tcW w:w="644" w:type="pct"/>
            <w:gridSpan w:val="2"/>
            <w:tcBorders>
              <w:top w:val="nil"/>
              <w:left w:val="nil"/>
              <w:bottom w:val="single" w:sz="12" w:space="0" w:color="auto"/>
              <w:right w:val="nil"/>
            </w:tcBorders>
            <w:shd w:val="clear" w:color="auto" w:fill="auto"/>
            <w:vAlign w:val="center"/>
          </w:tcPr>
          <w:p w14:paraId="5497894B"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hr-HR"/>
              </w:rPr>
            </w:pPr>
            <w:r w:rsidRPr="00693680">
              <w:rPr>
                <w:rFonts w:eastAsia="Times New Roman" w:cs="Arial"/>
                <w:b/>
                <w:bCs/>
                <w:sz w:val="19"/>
                <w:szCs w:val="19"/>
                <w:lang w:val="en-US"/>
              </w:rPr>
              <w:t>33,220,026</w:t>
            </w:r>
          </w:p>
        </w:tc>
      </w:tr>
      <w:tr w:rsidR="00693680" w:rsidRPr="00693680" w14:paraId="706FE440" w14:textId="77777777" w:rsidTr="00693680">
        <w:tblPrEx>
          <w:tblCellMar>
            <w:left w:w="31" w:type="dxa"/>
            <w:right w:w="31" w:type="dxa"/>
          </w:tblCellMar>
        </w:tblPrEx>
        <w:trPr>
          <w:cantSplit/>
          <w:trHeight w:val="56"/>
          <w:tblHeader/>
        </w:trPr>
        <w:tc>
          <w:tcPr>
            <w:tcW w:w="2424" w:type="pct"/>
            <w:vAlign w:val="bottom"/>
          </w:tcPr>
          <w:p w14:paraId="08C18503" w14:textId="77777777" w:rsidR="00693680" w:rsidRPr="00693680" w:rsidRDefault="00693680" w:rsidP="00693680">
            <w:pPr>
              <w:tabs>
                <w:tab w:val="right" w:pos="1202"/>
              </w:tabs>
              <w:spacing w:after="0" w:line="120" w:lineRule="auto"/>
              <w:outlineLvl w:val="0"/>
              <w:rPr>
                <w:rFonts w:asciiTheme="minorHAnsi" w:eastAsia="Times New Roman" w:hAnsiTheme="minorHAnsi" w:cs="Arial"/>
                <w:b/>
                <w:bCs/>
                <w:sz w:val="19"/>
                <w:szCs w:val="19"/>
              </w:rPr>
            </w:pPr>
          </w:p>
        </w:tc>
        <w:tc>
          <w:tcPr>
            <w:tcW w:w="702" w:type="pct"/>
            <w:gridSpan w:val="2"/>
            <w:tcBorders>
              <w:top w:val="single" w:sz="18" w:space="0" w:color="auto"/>
            </w:tcBorders>
            <w:vAlign w:val="bottom"/>
          </w:tcPr>
          <w:p w14:paraId="03187C37" w14:textId="77777777" w:rsidR="00693680" w:rsidRPr="00693680" w:rsidRDefault="00693680" w:rsidP="00693680">
            <w:pPr>
              <w:tabs>
                <w:tab w:val="right" w:pos="1202"/>
              </w:tabs>
              <w:spacing w:after="0" w:line="120" w:lineRule="auto"/>
              <w:outlineLvl w:val="0"/>
              <w:rPr>
                <w:rFonts w:asciiTheme="minorHAnsi" w:eastAsia="Times New Roman" w:hAnsiTheme="minorHAnsi"/>
                <w:b/>
                <w:sz w:val="19"/>
                <w:szCs w:val="19"/>
              </w:rPr>
            </w:pPr>
          </w:p>
        </w:tc>
        <w:tc>
          <w:tcPr>
            <w:tcW w:w="624" w:type="pct"/>
            <w:gridSpan w:val="2"/>
            <w:tcBorders>
              <w:top w:val="single" w:sz="18" w:space="0" w:color="auto"/>
            </w:tcBorders>
            <w:vAlign w:val="bottom"/>
          </w:tcPr>
          <w:p w14:paraId="5D61FF54" w14:textId="77777777" w:rsidR="00693680" w:rsidRPr="00693680" w:rsidRDefault="00693680" w:rsidP="00693680">
            <w:pPr>
              <w:tabs>
                <w:tab w:val="right" w:pos="1202"/>
              </w:tabs>
              <w:spacing w:after="0" w:line="120" w:lineRule="auto"/>
              <w:outlineLvl w:val="0"/>
              <w:rPr>
                <w:rFonts w:asciiTheme="minorHAnsi" w:eastAsia="Times New Roman" w:hAnsiTheme="minorHAnsi"/>
                <w:b/>
                <w:sz w:val="19"/>
                <w:szCs w:val="19"/>
              </w:rPr>
            </w:pPr>
          </w:p>
        </w:tc>
        <w:tc>
          <w:tcPr>
            <w:tcW w:w="624" w:type="pct"/>
            <w:gridSpan w:val="2"/>
            <w:tcBorders>
              <w:top w:val="single" w:sz="18" w:space="0" w:color="auto"/>
            </w:tcBorders>
            <w:vAlign w:val="bottom"/>
          </w:tcPr>
          <w:p w14:paraId="138D1FF3" w14:textId="77777777" w:rsidR="00693680" w:rsidRPr="00693680" w:rsidRDefault="00693680" w:rsidP="00693680">
            <w:pPr>
              <w:tabs>
                <w:tab w:val="right" w:pos="1202"/>
              </w:tabs>
              <w:spacing w:after="0" w:line="120" w:lineRule="auto"/>
              <w:outlineLvl w:val="0"/>
              <w:rPr>
                <w:rFonts w:asciiTheme="minorHAnsi" w:eastAsia="Times New Roman" w:hAnsiTheme="minorHAnsi"/>
                <w:b/>
                <w:sz w:val="19"/>
                <w:szCs w:val="19"/>
              </w:rPr>
            </w:pPr>
          </w:p>
        </w:tc>
        <w:tc>
          <w:tcPr>
            <w:tcW w:w="626" w:type="pct"/>
            <w:tcBorders>
              <w:top w:val="single" w:sz="18" w:space="0" w:color="auto"/>
            </w:tcBorders>
            <w:vAlign w:val="bottom"/>
          </w:tcPr>
          <w:p w14:paraId="280F5D02" w14:textId="77777777" w:rsidR="00693680" w:rsidRPr="00693680" w:rsidRDefault="00693680" w:rsidP="00693680">
            <w:pPr>
              <w:tabs>
                <w:tab w:val="right" w:pos="1202"/>
              </w:tabs>
              <w:spacing w:after="0" w:line="120" w:lineRule="auto"/>
              <w:outlineLvl w:val="0"/>
              <w:rPr>
                <w:rFonts w:asciiTheme="minorHAnsi" w:eastAsia="Times New Roman" w:hAnsiTheme="minorHAnsi"/>
                <w:b/>
                <w:sz w:val="19"/>
                <w:szCs w:val="19"/>
              </w:rPr>
            </w:pPr>
          </w:p>
        </w:tc>
      </w:tr>
    </w:tbl>
    <w:p w14:paraId="0F9452E1" w14:textId="77777777" w:rsidR="009702B0" w:rsidRPr="009702B0" w:rsidRDefault="009702B0" w:rsidP="009702B0">
      <w:pPr>
        <w:spacing w:after="0" w:line="240" w:lineRule="auto"/>
        <w:rPr>
          <w:rFonts w:cs="Arial"/>
          <w:sz w:val="19"/>
          <w:szCs w:val="20"/>
        </w:rPr>
      </w:pPr>
    </w:p>
    <w:p w14:paraId="483C3D4E" w14:textId="77777777" w:rsidR="009702B0" w:rsidRPr="009702B0" w:rsidRDefault="009702B0" w:rsidP="009702B0">
      <w:pPr>
        <w:keepNext/>
        <w:spacing w:after="0" w:line="280" w:lineRule="exact"/>
        <w:jc w:val="both"/>
        <w:rPr>
          <w:rFonts w:eastAsia="Times New Roman" w:cs="Arial"/>
          <w:sz w:val="19"/>
          <w:szCs w:val="20"/>
          <w:highlight w:val="yellow"/>
        </w:rPr>
      </w:pPr>
    </w:p>
    <w:p w14:paraId="4A08C2AF" w14:textId="77777777" w:rsidR="009702B0" w:rsidRPr="009702B0" w:rsidRDefault="009702B0" w:rsidP="009702B0">
      <w:pPr>
        <w:keepNext/>
        <w:spacing w:before="120" w:after="0" w:line="360" w:lineRule="auto"/>
        <w:jc w:val="both"/>
        <w:rPr>
          <w:rFonts w:eastAsia="Times New Roman" w:cs="Arial"/>
          <w:sz w:val="19"/>
          <w:szCs w:val="20"/>
          <w:highlight w:val="yellow"/>
        </w:rPr>
      </w:pPr>
    </w:p>
    <w:p w14:paraId="4D219C40" w14:textId="77777777" w:rsidR="009702B0" w:rsidRPr="009702B0" w:rsidRDefault="009702B0" w:rsidP="009702B0">
      <w:pPr>
        <w:spacing w:after="0" w:line="240" w:lineRule="auto"/>
        <w:jc w:val="both"/>
        <w:rPr>
          <w:rFonts w:eastAsia="Times New Roman" w:cs="Calibri"/>
          <w:b/>
          <w:sz w:val="24"/>
          <w:szCs w:val="24"/>
        </w:rPr>
        <w:sectPr w:rsidR="009702B0" w:rsidRPr="009702B0" w:rsidSect="00947CB7">
          <w:footerReference w:type="first" r:id="rId81"/>
          <w:pgSz w:w="11906" w:h="16838" w:code="9"/>
          <w:pgMar w:top="1418" w:right="1418" w:bottom="595" w:left="1134" w:header="709" w:footer="709" w:gutter="0"/>
          <w:cols w:space="708"/>
          <w:titlePg/>
          <w:docGrid w:linePitch="360"/>
        </w:sectPr>
      </w:pPr>
    </w:p>
    <w:p w14:paraId="1D741393" w14:textId="77777777" w:rsidR="009702B0" w:rsidRPr="009702B0" w:rsidRDefault="009702B0" w:rsidP="009702B0">
      <w:pPr>
        <w:keepNext/>
        <w:spacing w:after="0" w:line="240" w:lineRule="auto"/>
        <w:jc w:val="both"/>
        <w:rPr>
          <w:rFonts w:eastAsia="Times New Roman" w:cs="Arial"/>
          <w:b/>
          <w:bCs/>
        </w:rPr>
      </w:pPr>
    </w:p>
    <w:p w14:paraId="091FBD75"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14:paraId="21B3D6D2" w14:textId="77777777" w:rsidR="009702B0" w:rsidRPr="009702B0" w:rsidRDefault="009702B0" w:rsidP="009702B0">
      <w:pPr>
        <w:keepNext/>
        <w:spacing w:after="0" w:line="240" w:lineRule="auto"/>
        <w:jc w:val="both"/>
        <w:rPr>
          <w:rFonts w:eastAsia="Times New Roman"/>
          <w:b/>
          <w:bCs/>
        </w:rPr>
      </w:pPr>
    </w:p>
    <w:p w14:paraId="0B44FB4D"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b/>
          <w:bCs/>
        </w:rPr>
        <w:t xml:space="preserve">16.2. </w:t>
      </w:r>
      <w:r w:rsidRPr="009702B0">
        <w:rPr>
          <w:rFonts w:eastAsia="Times New Roman"/>
          <w:b/>
          <w:bCs/>
        </w:rPr>
        <w:tab/>
      </w:r>
      <w:r w:rsidRPr="009702B0">
        <w:rPr>
          <w:rFonts w:eastAsia="Times New Roman" w:cs="Arial"/>
          <w:b/>
          <w:bCs/>
        </w:rPr>
        <w:t>Credit risk (continued)</w:t>
      </w:r>
    </w:p>
    <w:p w14:paraId="7069779C" w14:textId="77777777" w:rsidR="009702B0" w:rsidRPr="009702B0" w:rsidRDefault="009702B0" w:rsidP="009702B0">
      <w:pPr>
        <w:spacing w:after="0" w:line="240" w:lineRule="auto"/>
        <w:jc w:val="both"/>
        <w:rPr>
          <w:rFonts w:eastAsia="Times New Roman" w:cs="Arial"/>
          <w:b/>
        </w:rPr>
      </w:pPr>
    </w:p>
    <w:p w14:paraId="191E962F" w14:textId="77777777" w:rsidR="009702B0" w:rsidRPr="009702B0" w:rsidRDefault="009702B0" w:rsidP="009702B0">
      <w:pPr>
        <w:spacing w:after="0" w:line="240" w:lineRule="auto"/>
        <w:jc w:val="both"/>
        <w:rPr>
          <w:rFonts w:ascii="Arial" w:eastAsia="Times New Roman" w:hAnsi="Arial" w:cs="Arial"/>
          <w:b/>
          <w:sz w:val="19"/>
          <w:szCs w:val="19"/>
        </w:rPr>
      </w:pPr>
      <w:r w:rsidRPr="009702B0">
        <w:rPr>
          <w:rFonts w:ascii="Arial" w:eastAsia="Times New Roman" w:hAnsi="Arial" w:cs="Arial"/>
          <w:b/>
          <w:sz w:val="19"/>
          <w:szCs w:val="19"/>
        </w:rPr>
        <w:t>Concentration of risk and maximum credit risk exposure (continued)</w:t>
      </w:r>
    </w:p>
    <w:p w14:paraId="45743BF3" w14:textId="77777777" w:rsidR="009702B0" w:rsidRPr="009702B0" w:rsidRDefault="009702B0" w:rsidP="009702B0">
      <w:pPr>
        <w:spacing w:after="0" w:line="240" w:lineRule="auto"/>
        <w:jc w:val="both"/>
        <w:rPr>
          <w:rFonts w:ascii="Arial" w:eastAsia="Times New Roman" w:hAnsi="Arial" w:cs="Arial"/>
          <w:b/>
          <w:sz w:val="19"/>
          <w:szCs w:val="19"/>
        </w:rPr>
      </w:pPr>
    </w:p>
    <w:p w14:paraId="172CBFEF" w14:textId="77777777" w:rsidR="009702B0" w:rsidRPr="009702B0" w:rsidRDefault="009702B0" w:rsidP="009702B0">
      <w:pPr>
        <w:keepNext/>
        <w:spacing w:after="0" w:line="240" w:lineRule="auto"/>
        <w:jc w:val="both"/>
        <w:rPr>
          <w:rFonts w:eastAsia="Times New Roman" w:cs="Arial"/>
          <w:bCs/>
        </w:rPr>
      </w:pPr>
      <w:r w:rsidRPr="009702B0">
        <w:rPr>
          <w:rFonts w:eastAsia="Times New Roman" w:cs="Arial"/>
        </w:rPr>
        <w:t xml:space="preserve">Concentration of assets and guarantees and commitments, according to geographical segments, </w:t>
      </w:r>
      <w:r w:rsidRPr="009702B0">
        <w:rPr>
          <w:rFonts w:eastAsia="Times New Roman" w:cs="Arial"/>
          <w:bCs/>
        </w:rPr>
        <w:t>before the effect of mitigation through collateral received, is as follows:</w:t>
      </w:r>
    </w:p>
    <w:p w14:paraId="2ACBE175" w14:textId="77777777" w:rsidR="009702B0" w:rsidRPr="009702B0" w:rsidRDefault="009702B0" w:rsidP="009702B0">
      <w:pPr>
        <w:keepNext/>
        <w:spacing w:after="0" w:line="240" w:lineRule="auto"/>
        <w:jc w:val="both"/>
        <w:rPr>
          <w:rFonts w:eastAsia="Times New Roman" w:cs="Arial"/>
        </w:rPr>
      </w:pPr>
    </w:p>
    <w:tbl>
      <w:tblPr>
        <w:tblW w:w="5000" w:type="pct"/>
        <w:tblLayout w:type="fixed"/>
        <w:tblCellMar>
          <w:left w:w="30" w:type="dxa"/>
          <w:right w:w="30" w:type="dxa"/>
        </w:tblCellMar>
        <w:tblLook w:val="0000" w:firstRow="0" w:lastRow="0" w:firstColumn="0" w:lastColumn="0" w:noHBand="0" w:noVBand="0"/>
      </w:tblPr>
      <w:tblGrid>
        <w:gridCol w:w="3972"/>
        <w:gridCol w:w="1345"/>
        <w:gridCol w:w="1345"/>
        <w:gridCol w:w="1345"/>
        <w:gridCol w:w="1347"/>
      </w:tblGrid>
      <w:tr w:rsidR="009702B0" w:rsidRPr="009702B0" w14:paraId="462D9FE5" w14:textId="77777777" w:rsidTr="009702B0">
        <w:trPr>
          <w:cantSplit/>
          <w:trHeight w:val="759"/>
          <w:tblHeader/>
        </w:trPr>
        <w:tc>
          <w:tcPr>
            <w:tcW w:w="2123" w:type="pct"/>
            <w:vAlign w:val="center"/>
          </w:tcPr>
          <w:p w14:paraId="6A9510BB" w14:textId="77777777" w:rsidR="009702B0" w:rsidRPr="009702B0" w:rsidRDefault="009702B0" w:rsidP="009702B0">
            <w:pPr>
              <w:tabs>
                <w:tab w:val="right" w:pos="1202"/>
              </w:tabs>
              <w:spacing w:after="0" w:line="240" w:lineRule="atLeast"/>
              <w:outlineLvl w:val="0"/>
              <w:rPr>
                <w:rFonts w:cs="Arial"/>
                <w:b/>
                <w:sz w:val="19"/>
                <w:szCs w:val="19"/>
              </w:rPr>
            </w:pPr>
            <w:r w:rsidRPr="009702B0">
              <w:rPr>
                <w:rFonts w:cs="Arial"/>
                <w:b/>
                <w:sz w:val="19"/>
                <w:szCs w:val="19"/>
              </w:rPr>
              <w:t>Bank</w:t>
            </w:r>
          </w:p>
          <w:p w14:paraId="73AFBDDB" w14:textId="7372F8B3" w:rsidR="009702B0" w:rsidRPr="009702B0" w:rsidRDefault="008D39D3">
            <w:pPr>
              <w:tabs>
                <w:tab w:val="right" w:pos="1202"/>
              </w:tabs>
              <w:spacing w:after="0" w:line="240" w:lineRule="atLeast"/>
              <w:outlineLvl w:val="0"/>
              <w:rPr>
                <w:rFonts w:cs="Arial"/>
                <w:b/>
                <w:sz w:val="19"/>
                <w:szCs w:val="19"/>
              </w:rPr>
            </w:pPr>
            <w:r>
              <w:rPr>
                <w:rFonts w:cs="Arial"/>
                <w:b/>
                <w:sz w:val="19"/>
                <w:szCs w:val="19"/>
              </w:rPr>
              <w:t>Sep</w:t>
            </w:r>
            <w:r w:rsidRPr="00A210AD">
              <w:rPr>
                <w:rFonts w:cs="Arial"/>
                <w:b/>
                <w:sz w:val="19"/>
                <w:szCs w:val="19"/>
              </w:rPr>
              <w:t xml:space="preserve"> </w:t>
            </w:r>
            <w:r w:rsidR="00A210AD" w:rsidRPr="00A210AD">
              <w:rPr>
                <w:rFonts w:cs="Arial"/>
                <w:b/>
                <w:sz w:val="19"/>
                <w:szCs w:val="19"/>
              </w:rPr>
              <w:t>3</w:t>
            </w:r>
            <w:r w:rsidR="00A210AD">
              <w:rPr>
                <w:rFonts w:cs="Arial"/>
                <w:b/>
                <w:sz w:val="19"/>
                <w:szCs w:val="19"/>
              </w:rPr>
              <w:t>0</w:t>
            </w:r>
            <w:r w:rsidR="00693680">
              <w:rPr>
                <w:rFonts w:cs="Arial"/>
                <w:b/>
                <w:sz w:val="19"/>
                <w:szCs w:val="19"/>
              </w:rPr>
              <w:t>, 2017</w:t>
            </w:r>
          </w:p>
        </w:tc>
        <w:tc>
          <w:tcPr>
            <w:tcW w:w="719" w:type="pct"/>
            <w:vAlign w:val="center"/>
          </w:tcPr>
          <w:p w14:paraId="3813784A" w14:textId="77777777" w:rsidR="009702B0" w:rsidRPr="009702B0" w:rsidRDefault="009702B0" w:rsidP="009702B0">
            <w:pPr>
              <w:tabs>
                <w:tab w:val="right" w:pos="1202"/>
              </w:tabs>
              <w:spacing w:after="0" w:line="240" w:lineRule="atLeast"/>
              <w:jc w:val="right"/>
              <w:outlineLvl w:val="0"/>
              <w:rPr>
                <w:rFonts w:cs="Arial"/>
                <w:b/>
                <w:sz w:val="19"/>
                <w:szCs w:val="19"/>
              </w:rPr>
            </w:pPr>
            <w:r w:rsidRPr="009702B0">
              <w:rPr>
                <w:rFonts w:cs="Arial"/>
                <w:b/>
                <w:sz w:val="19"/>
                <w:szCs w:val="19"/>
              </w:rPr>
              <w:t>Republic of Croatia</w:t>
            </w:r>
          </w:p>
        </w:tc>
        <w:tc>
          <w:tcPr>
            <w:tcW w:w="719" w:type="pct"/>
            <w:vAlign w:val="center"/>
          </w:tcPr>
          <w:p w14:paraId="5DFA80EE" w14:textId="77777777" w:rsidR="009702B0" w:rsidRPr="009702B0" w:rsidRDefault="009702B0" w:rsidP="009702B0">
            <w:pPr>
              <w:tabs>
                <w:tab w:val="right" w:pos="1202"/>
              </w:tabs>
              <w:spacing w:after="0" w:line="240" w:lineRule="atLeast"/>
              <w:jc w:val="right"/>
              <w:outlineLvl w:val="0"/>
              <w:rPr>
                <w:rFonts w:cs="Arial"/>
                <w:b/>
                <w:sz w:val="19"/>
                <w:szCs w:val="19"/>
              </w:rPr>
            </w:pPr>
            <w:r w:rsidRPr="009702B0">
              <w:rPr>
                <w:rFonts w:cs="Arial"/>
                <w:b/>
                <w:sz w:val="19"/>
                <w:szCs w:val="19"/>
              </w:rPr>
              <w:t xml:space="preserve">EU </w:t>
            </w:r>
          </w:p>
          <w:p w14:paraId="6E310054" w14:textId="77777777" w:rsidR="009702B0" w:rsidRPr="009702B0" w:rsidRDefault="009702B0" w:rsidP="009702B0">
            <w:pPr>
              <w:tabs>
                <w:tab w:val="right" w:pos="1202"/>
              </w:tabs>
              <w:spacing w:after="0" w:line="240" w:lineRule="atLeast"/>
              <w:jc w:val="right"/>
              <w:outlineLvl w:val="0"/>
              <w:rPr>
                <w:rFonts w:cs="Arial"/>
                <w:b/>
                <w:sz w:val="19"/>
                <w:szCs w:val="19"/>
              </w:rPr>
            </w:pPr>
            <w:r w:rsidRPr="009702B0">
              <w:rPr>
                <w:rFonts w:cs="Arial"/>
                <w:b/>
                <w:sz w:val="19"/>
                <w:szCs w:val="19"/>
              </w:rPr>
              <w:t>countries</w:t>
            </w:r>
          </w:p>
        </w:tc>
        <w:tc>
          <w:tcPr>
            <w:tcW w:w="719" w:type="pct"/>
            <w:vAlign w:val="center"/>
          </w:tcPr>
          <w:p w14:paraId="68E6767F" w14:textId="77777777" w:rsidR="009702B0" w:rsidRPr="009702B0" w:rsidRDefault="009702B0" w:rsidP="009702B0">
            <w:pPr>
              <w:tabs>
                <w:tab w:val="right" w:pos="1202"/>
              </w:tabs>
              <w:spacing w:after="0" w:line="240" w:lineRule="atLeast"/>
              <w:jc w:val="right"/>
              <w:outlineLvl w:val="0"/>
              <w:rPr>
                <w:rFonts w:cs="Arial"/>
                <w:b/>
                <w:sz w:val="19"/>
                <w:szCs w:val="19"/>
              </w:rPr>
            </w:pPr>
            <w:r w:rsidRPr="009702B0">
              <w:rPr>
                <w:rFonts w:cs="Arial"/>
                <w:b/>
                <w:sz w:val="19"/>
                <w:szCs w:val="19"/>
              </w:rPr>
              <w:t xml:space="preserve">Other </w:t>
            </w:r>
          </w:p>
          <w:p w14:paraId="6C5CDA33" w14:textId="77777777" w:rsidR="009702B0" w:rsidRPr="009702B0" w:rsidRDefault="009702B0" w:rsidP="009702B0">
            <w:pPr>
              <w:tabs>
                <w:tab w:val="right" w:pos="1202"/>
              </w:tabs>
              <w:spacing w:after="0" w:line="240" w:lineRule="atLeast"/>
              <w:jc w:val="right"/>
              <w:outlineLvl w:val="0"/>
              <w:rPr>
                <w:rFonts w:cs="Arial"/>
                <w:b/>
                <w:sz w:val="19"/>
                <w:szCs w:val="19"/>
              </w:rPr>
            </w:pPr>
            <w:r w:rsidRPr="009702B0">
              <w:rPr>
                <w:rFonts w:cs="Arial"/>
                <w:b/>
                <w:sz w:val="19"/>
                <w:szCs w:val="19"/>
              </w:rPr>
              <w:t xml:space="preserve">countries </w:t>
            </w:r>
          </w:p>
        </w:tc>
        <w:tc>
          <w:tcPr>
            <w:tcW w:w="720" w:type="pct"/>
            <w:vAlign w:val="center"/>
          </w:tcPr>
          <w:p w14:paraId="412BBE3A" w14:textId="77777777" w:rsidR="009702B0" w:rsidRPr="009702B0" w:rsidRDefault="009702B0" w:rsidP="009702B0">
            <w:pPr>
              <w:tabs>
                <w:tab w:val="right" w:pos="1202"/>
              </w:tabs>
              <w:spacing w:after="0" w:line="240" w:lineRule="atLeast"/>
              <w:jc w:val="right"/>
              <w:outlineLvl w:val="0"/>
              <w:rPr>
                <w:rFonts w:cs="Arial"/>
                <w:b/>
                <w:sz w:val="19"/>
                <w:szCs w:val="19"/>
              </w:rPr>
            </w:pPr>
            <w:r w:rsidRPr="009702B0">
              <w:rPr>
                <w:rFonts w:cs="Arial"/>
                <w:b/>
                <w:sz w:val="19"/>
                <w:szCs w:val="19"/>
              </w:rPr>
              <w:t>Total</w:t>
            </w:r>
          </w:p>
        </w:tc>
      </w:tr>
      <w:tr w:rsidR="009702B0" w:rsidRPr="009702B0" w14:paraId="29469DE5" w14:textId="77777777" w:rsidTr="009702B0">
        <w:trPr>
          <w:cantSplit/>
          <w:trHeight w:val="250"/>
          <w:tblHeader/>
        </w:trPr>
        <w:tc>
          <w:tcPr>
            <w:tcW w:w="2123" w:type="pct"/>
          </w:tcPr>
          <w:p w14:paraId="5F5BF273" w14:textId="77777777" w:rsidR="009702B0" w:rsidRPr="009702B0" w:rsidRDefault="009702B0" w:rsidP="009702B0">
            <w:pPr>
              <w:tabs>
                <w:tab w:val="right" w:pos="1202"/>
              </w:tabs>
              <w:spacing w:after="0" w:line="280" w:lineRule="exact"/>
              <w:outlineLvl w:val="0"/>
              <w:rPr>
                <w:rFonts w:cs="Arial"/>
                <w:b/>
                <w:bCs/>
                <w:sz w:val="19"/>
                <w:szCs w:val="19"/>
              </w:rPr>
            </w:pPr>
            <w:r w:rsidRPr="009702B0">
              <w:rPr>
                <w:rFonts w:cs="Arial"/>
                <w:b/>
                <w:bCs/>
                <w:sz w:val="19"/>
                <w:szCs w:val="19"/>
              </w:rPr>
              <w:t>Assets</w:t>
            </w:r>
          </w:p>
        </w:tc>
        <w:tc>
          <w:tcPr>
            <w:tcW w:w="719" w:type="pct"/>
          </w:tcPr>
          <w:p w14:paraId="657112F2" w14:textId="77777777" w:rsidR="009702B0" w:rsidRPr="009702B0" w:rsidRDefault="009702B0" w:rsidP="009702B0">
            <w:pPr>
              <w:spacing w:after="0" w:line="280" w:lineRule="exact"/>
              <w:jc w:val="right"/>
              <w:rPr>
                <w:rFonts w:cs="Arial"/>
                <w:sz w:val="19"/>
                <w:szCs w:val="19"/>
              </w:rPr>
            </w:pPr>
          </w:p>
        </w:tc>
        <w:tc>
          <w:tcPr>
            <w:tcW w:w="719" w:type="pct"/>
          </w:tcPr>
          <w:p w14:paraId="3DF0C0B4" w14:textId="77777777" w:rsidR="009702B0" w:rsidRPr="009702B0" w:rsidRDefault="009702B0" w:rsidP="009702B0">
            <w:pPr>
              <w:spacing w:after="0" w:line="280" w:lineRule="exact"/>
              <w:jc w:val="right"/>
              <w:rPr>
                <w:rFonts w:cs="Arial"/>
                <w:sz w:val="19"/>
                <w:szCs w:val="19"/>
              </w:rPr>
            </w:pPr>
          </w:p>
        </w:tc>
        <w:tc>
          <w:tcPr>
            <w:tcW w:w="719" w:type="pct"/>
          </w:tcPr>
          <w:p w14:paraId="581D9DB8" w14:textId="77777777" w:rsidR="009702B0" w:rsidRPr="009702B0" w:rsidRDefault="009702B0" w:rsidP="009702B0">
            <w:pPr>
              <w:spacing w:after="0" w:line="280" w:lineRule="exact"/>
              <w:jc w:val="right"/>
              <w:rPr>
                <w:rFonts w:cs="Arial"/>
                <w:sz w:val="19"/>
                <w:szCs w:val="19"/>
              </w:rPr>
            </w:pPr>
          </w:p>
        </w:tc>
        <w:tc>
          <w:tcPr>
            <w:tcW w:w="720" w:type="pct"/>
          </w:tcPr>
          <w:p w14:paraId="03387E01" w14:textId="77777777" w:rsidR="009702B0" w:rsidRPr="009702B0" w:rsidRDefault="009702B0" w:rsidP="009702B0">
            <w:pPr>
              <w:spacing w:after="0" w:line="280" w:lineRule="exact"/>
              <w:jc w:val="center"/>
              <w:rPr>
                <w:rFonts w:cs="Arial"/>
                <w:sz w:val="19"/>
                <w:szCs w:val="19"/>
              </w:rPr>
            </w:pPr>
          </w:p>
        </w:tc>
      </w:tr>
      <w:tr w:rsidR="00C416EE" w:rsidRPr="009702B0" w14:paraId="67111681" w14:textId="77777777" w:rsidTr="006B318F">
        <w:trPr>
          <w:cantSplit/>
          <w:trHeight w:val="250"/>
          <w:tblHeader/>
        </w:trPr>
        <w:tc>
          <w:tcPr>
            <w:tcW w:w="2123" w:type="pct"/>
            <w:vAlign w:val="bottom"/>
          </w:tcPr>
          <w:p w14:paraId="15241025" w14:textId="77777777" w:rsidR="00C416EE" w:rsidRPr="009702B0" w:rsidRDefault="00C416EE" w:rsidP="00C416EE">
            <w:pPr>
              <w:tabs>
                <w:tab w:val="right" w:pos="1202"/>
              </w:tabs>
              <w:spacing w:after="0" w:line="280" w:lineRule="exact"/>
              <w:outlineLvl w:val="0"/>
              <w:rPr>
                <w:sz w:val="19"/>
                <w:szCs w:val="19"/>
              </w:rPr>
            </w:pPr>
            <w:r w:rsidRPr="009702B0">
              <w:rPr>
                <w:rFonts w:cs="Arial"/>
                <w:sz w:val="19"/>
                <w:szCs w:val="19"/>
              </w:rPr>
              <w:t>Cash on hand and due from banks</w:t>
            </w:r>
          </w:p>
        </w:tc>
        <w:tc>
          <w:tcPr>
            <w:tcW w:w="719" w:type="pct"/>
            <w:tcBorders>
              <w:top w:val="nil"/>
              <w:left w:val="nil"/>
              <w:bottom w:val="nil"/>
              <w:right w:val="nil"/>
            </w:tcBorders>
            <w:shd w:val="clear" w:color="auto" w:fill="auto"/>
          </w:tcPr>
          <w:p w14:paraId="238C1D88" w14:textId="1CBBEE9B" w:rsidR="00C416EE" w:rsidRPr="009702B0" w:rsidRDefault="00C416EE" w:rsidP="00C416EE">
            <w:pPr>
              <w:spacing w:after="0" w:line="280" w:lineRule="exact"/>
              <w:jc w:val="right"/>
              <w:rPr>
                <w:rFonts w:cs="Arial"/>
                <w:sz w:val="19"/>
                <w:szCs w:val="19"/>
              </w:rPr>
            </w:pPr>
            <w:r w:rsidRPr="00B37BF4">
              <w:rPr>
                <w:sz w:val="19"/>
                <w:szCs w:val="19"/>
              </w:rPr>
              <w:t>380</w:t>
            </w:r>
            <w:r>
              <w:rPr>
                <w:sz w:val="19"/>
                <w:szCs w:val="19"/>
              </w:rPr>
              <w:t>,</w:t>
            </w:r>
            <w:r w:rsidRPr="00B37BF4">
              <w:rPr>
                <w:sz w:val="19"/>
                <w:szCs w:val="19"/>
              </w:rPr>
              <w:t>930</w:t>
            </w:r>
          </w:p>
        </w:tc>
        <w:tc>
          <w:tcPr>
            <w:tcW w:w="719" w:type="pct"/>
            <w:tcBorders>
              <w:top w:val="nil"/>
              <w:left w:val="nil"/>
              <w:bottom w:val="nil"/>
              <w:right w:val="nil"/>
            </w:tcBorders>
            <w:shd w:val="clear" w:color="auto" w:fill="auto"/>
          </w:tcPr>
          <w:p w14:paraId="5155A5D3" w14:textId="70BD6248" w:rsidR="00C416EE" w:rsidRPr="009702B0" w:rsidRDefault="00C416EE" w:rsidP="00C416EE">
            <w:pPr>
              <w:tabs>
                <w:tab w:val="right" w:pos="1202"/>
              </w:tabs>
              <w:spacing w:after="0" w:line="280" w:lineRule="exact"/>
              <w:jc w:val="right"/>
              <w:outlineLvl w:val="0"/>
              <w:rPr>
                <w:sz w:val="19"/>
                <w:szCs w:val="19"/>
                <w:lang w:val="pl-PL"/>
              </w:rPr>
            </w:pPr>
            <w:r w:rsidRPr="00B37BF4">
              <w:rPr>
                <w:sz w:val="19"/>
                <w:szCs w:val="19"/>
              </w:rPr>
              <w:t>347</w:t>
            </w:r>
            <w:r>
              <w:rPr>
                <w:sz w:val="19"/>
                <w:szCs w:val="19"/>
              </w:rPr>
              <w:t>,</w:t>
            </w:r>
            <w:r w:rsidRPr="00B37BF4">
              <w:rPr>
                <w:sz w:val="19"/>
                <w:szCs w:val="19"/>
              </w:rPr>
              <w:t>402</w:t>
            </w:r>
          </w:p>
        </w:tc>
        <w:tc>
          <w:tcPr>
            <w:tcW w:w="719" w:type="pct"/>
            <w:tcBorders>
              <w:top w:val="nil"/>
              <w:left w:val="nil"/>
              <w:bottom w:val="nil"/>
              <w:right w:val="nil"/>
            </w:tcBorders>
            <w:shd w:val="clear" w:color="auto" w:fill="auto"/>
          </w:tcPr>
          <w:p w14:paraId="5DC76B10" w14:textId="2C706A48" w:rsidR="00C416EE" w:rsidRPr="009702B0" w:rsidRDefault="00C416EE" w:rsidP="00C416EE">
            <w:pPr>
              <w:tabs>
                <w:tab w:val="right" w:pos="1202"/>
              </w:tabs>
              <w:spacing w:after="0" w:line="280" w:lineRule="exact"/>
              <w:jc w:val="right"/>
              <w:outlineLvl w:val="0"/>
              <w:rPr>
                <w:sz w:val="19"/>
                <w:szCs w:val="19"/>
                <w:lang w:val="pl-PL"/>
              </w:rPr>
            </w:pPr>
            <w:r w:rsidRPr="00B37BF4">
              <w:rPr>
                <w:sz w:val="19"/>
                <w:szCs w:val="19"/>
              </w:rPr>
              <w:t>9</w:t>
            </w:r>
            <w:r>
              <w:rPr>
                <w:sz w:val="19"/>
                <w:szCs w:val="19"/>
              </w:rPr>
              <w:t>,</w:t>
            </w:r>
            <w:r w:rsidRPr="00B37BF4">
              <w:rPr>
                <w:sz w:val="19"/>
                <w:szCs w:val="19"/>
              </w:rPr>
              <w:t>289</w:t>
            </w:r>
          </w:p>
        </w:tc>
        <w:tc>
          <w:tcPr>
            <w:tcW w:w="720" w:type="pct"/>
            <w:tcBorders>
              <w:top w:val="nil"/>
              <w:left w:val="nil"/>
              <w:bottom w:val="nil"/>
              <w:right w:val="nil"/>
            </w:tcBorders>
            <w:shd w:val="clear" w:color="auto" w:fill="auto"/>
          </w:tcPr>
          <w:p w14:paraId="466335BB" w14:textId="6FAA0506" w:rsidR="00C416EE" w:rsidRPr="009702B0" w:rsidRDefault="00C416EE" w:rsidP="00C416EE">
            <w:pPr>
              <w:tabs>
                <w:tab w:val="right" w:pos="1202"/>
              </w:tabs>
              <w:spacing w:after="0" w:line="280" w:lineRule="exact"/>
              <w:jc w:val="right"/>
              <w:outlineLvl w:val="0"/>
              <w:rPr>
                <w:sz w:val="19"/>
                <w:szCs w:val="19"/>
                <w:lang w:val="pl-PL"/>
              </w:rPr>
            </w:pPr>
            <w:r w:rsidRPr="00B37BF4">
              <w:rPr>
                <w:sz w:val="19"/>
                <w:szCs w:val="19"/>
              </w:rPr>
              <w:t>737</w:t>
            </w:r>
            <w:r>
              <w:rPr>
                <w:sz w:val="19"/>
                <w:szCs w:val="19"/>
              </w:rPr>
              <w:t>,</w:t>
            </w:r>
            <w:r w:rsidRPr="00B37BF4">
              <w:rPr>
                <w:sz w:val="19"/>
                <w:szCs w:val="19"/>
              </w:rPr>
              <w:t>621</w:t>
            </w:r>
          </w:p>
        </w:tc>
      </w:tr>
      <w:tr w:rsidR="00C416EE" w:rsidRPr="009702B0" w14:paraId="17E3466C" w14:textId="77777777" w:rsidTr="006B318F">
        <w:trPr>
          <w:cantSplit/>
          <w:trHeight w:val="250"/>
          <w:tblHeader/>
        </w:trPr>
        <w:tc>
          <w:tcPr>
            <w:tcW w:w="2123" w:type="pct"/>
            <w:vAlign w:val="bottom"/>
          </w:tcPr>
          <w:p w14:paraId="15994F52" w14:textId="77777777" w:rsidR="00C416EE" w:rsidRPr="009702B0" w:rsidRDefault="00C416EE" w:rsidP="00C416EE">
            <w:pPr>
              <w:tabs>
                <w:tab w:val="right" w:pos="1202"/>
              </w:tabs>
              <w:spacing w:after="0" w:line="280" w:lineRule="exact"/>
              <w:outlineLvl w:val="0"/>
              <w:rPr>
                <w:sz w:val="19"/>
                <w:szCs w:val="19"/>
              </w:rPr>
            </w:pPr>
            <w:r w:rsidRPr="009702B0">
              <w:rPr>
                <w:rFonts w:cs="Arial"/>
                <w:sz w:val="19"/>
                <w:szCs w:val="19"/>
              </w:rPr>
              <w:t>Deposits with other banks</w:t>
            </w:r>
          </w:p>
        </w:tc>
        <w:tc>
          <w:tcPr>
            <w:tcW w:w="719" w:type="pct"/>
            <w:tcBorders>
              <w:top w:val="nil"/>
              <w:left w:val="nil"/>
              <w:bottom w:val="nil"/>
              <w:right w:val="nil"/>
            </w:tcBorders>
            <w:shd w:val="clear" w:color="auto" w:fill="auto"/>
          </w:tcPr>
          <w:p w14:paraId="3584CB51" w14:textId="688FB236" w:rsidR="00C416EE" w:rsidRPr="009702B0" w:rsidRDefault="00C416EE" w:rsidP="00C416EE">
            <w:pPr>
              <w:tabs>
                <w:tab w:val="right" w:pos="1202"/>
              </w:tabs>
              <w:spacing w:after="0" w:line="280" w:lineRule="exact"/>
              <w:jc w:val="right"/>
              <w:outlineLvl w:val="0"/>
              <w:rPr>
                <w:sz w:val="19"/>
                <w:szCs w:val="19"/>
              </w:rPr>
            </w:pPr>
            <w:r w:rsidRPr="00B37BF4">
              <w:rPr>
                <w:sz w:val="19"/>
                <w:szCs w:val="19"/>
              </w:rPr>
              <w:t>-</w:t>
            </w:r>
          </w:p>
        </w:tc>
        <w:tc>
          <w:tcPr>
            <w:tcW w:w="719" w:type="pct"/>
            <w:tcBorders>
              <w:top w:val="nil"/>
              <w:left w:val="nil"/>
              <w:bottom w:val="nil"/>
              <w:right w:val="nil"/>
            </w:tcBorders>
            <w:shd w:val="clear" w:color="auto" w:fill="auto"/>
          </w:tcPr>
          <w:p w14:paraId="4278A3B0" w14:textId="6BB4A558" w:rsidR="00C416EE" w:rsidRPr="009702B0" w:rsidRDefault="00C416EE" w:rsidP="00C416EE">
            <w:pPr>
              <w:tabs>
                <w:tab w:val="right" w:pos="1202"/>
              </w:tabs>
              <w:spacing w:after="0" w:line="280" w:lineRule="exact"/>
              <w:jc w:val="right"/>
              <w:outlineLvl w:val="0"/>
              <w:rPr>
                <w:sz w:val="19"/>
                <w:szCs w:val="19"/>
              </w:rPr>
            </w:pPr>
            <w:r w:rsidRPr="00B37BF4">
              <w:rPr>
                <w:sz w:val="19"/>
                <w:szCs w:val="19"/>
              </w:rPr>
              <w:t>76</w:t>
            </w:r>
          </w:p>
        </w:tc>
        <w:tc>
          <w:tcPr>
            <w:tcW w:w="719" w:type="pct"/>
            <w:tcBorders>
              <w:top w:val="nil"/>
              <w:left w:val="nil"/>
              <w:bottom w:val="nil"/>
              <w:right w:val="nil"/>
            </w:tcBorders>
            <w:shd w:val="clear" w:color="auto" w:fill="auto"/>
          </w:tcPr>
          <w:p w14:paraId="292C78CC" w14:textId="0C38181C" w:rsidR="00C416EE" w:rsidRPr="009702B0" w:rsidRDefault="00C416EE" w:rsidP="00C416EE">
            <w:pPr>
              <w:tabs>
                <w:tab w:val="right" w:pos="1202"/>
              </w:tabs>
              <w:spacing w:after="0" w:line="280" w:lineRule="exact"/>
              <w:jc w:val="right"/>
              <w:outlineLvl w:val="0"/>
              <w:rPr>
                <w:sz w:val="19"/>
                <w:szCs w:val="19"/>
              </w:rPr>
            </w:pPr>
            <w:r w:rsidRPr="00B37BF4">
              <w:rPr>
                <w:sz w:val="19"/>
                <w:szCs w:val="19"/>
              </w:rPr>
              <w:t>-</w:t>
            </w:r>
          </w:p>
        </w:tc>
        <w:tc>
          <w:tcPr>
            <w:tcW w:w="720" w:type="pct"/>
            <w:tcBorders>
              <w:top w:val="nil"/>
              <w:left w:val="nil"/>
              <w:bottom w:val="nil"/>
              <w:right w:val="nil"/>
            </w:tcBorders>
            <w:shd w:val="clear" w:color="auto" w:fill="auto"/>
          </w:tcPr>
          <w:p w14:paraId="2A22E621" w14:textId="5F019674" w:rsidR="00C416EE" w:rsidRPr="009702B0" w:rsidRDefault="00C416EE" w:rsidP="00C416EE">
            <w:pPr>
              <w:tabs>
                <w:tab w:val="right" w:pos="1202"/>
              </w:tabs>
              <w:spacing w:after="0" w:line="280" w:lineRule="exact"/>
              <w:jc w:val="right"/>
              <w:outlineLvl w:val="0"/>
              <w:rPr>
                <w:sz w:val="19"/>
                <w:szCs w:val="19"/>
              </w:rPr>
            </w:pPr>
            <w:r w:rsidRPr="00B37BF4">
              <w:rPr>
                <w:sz w:val="19"/>
                <w:szCs w:val="19"/>
              </w:rPr>
              <w:t>76</w:t>
            </w:r>
          </w:p>
        </w:tc>
      </w:tr>
      <w:tr w:rsidR="00C416EE" w:rsidRPr="009702B0" w14:paraId="4F28A5F2" w14:textId="77777777" w:rsidTr="006B318F">
        <w:trPr>
          <w:cantSplit/>
          <w:trHeight w:val="250"/>
          <w:tblHeader/>
        </w:trPr>
        <w:tc>
          <w:tcPr>
            <w:tcW w:w="2123" w:type="pct"/>
            <w:vAlign w:val="bottom"/>
          </w:tcPr>
          <w:p w14:paraId="05116D30" w14:textId="77777777" w:rsidR="00C416EE" w:rsidRPr="009702B0" w:rsidRDefault="00C416EE" w:rsidP="00C416EE">
            <w:pPr>
              <w:tabs>
                <w:tab w:val="right" w:pos="1202"/>
              </w:tabs>
              <w:spacing w:after="0" w:line="280" w:lineRule="exact"/>
              <w:outlineLvl w:val="0"/>
              <w:rPr>
                <w:sz w:val="19"/>
                <w:szCs w:val="19"/>
              </w:rPr>
            </w:pPr>
            <w:r w:rsidRPr="009702B0">
              <w:rPr>
                <w:rFonts w:cs="Arial"/>
                <w:sz w:val="19"/>
                <w:szCs w:val="19"/>
              </w:rPr>
              <w:t>Loans to financial institutions</w:t>
            </w:r>
          </w:p>
        </w:tc>
        <w:tc>
          <w:tcPr>
            <w:tcW w:w="719" w:type="pct"/>
            <w:tcBorders>
              <w:top w:val="nil"/>
              <w:left w:val="nil"/>
              <w:bottom w:val="nil"/>
              <w:right w:val="nil"/>
            </w:tcBorders>
            <w:shd w:val="clear" w:color="auto" w:fill="auto"/>
          </w:tcPr>
          <w:p w14:paraId="089676A6" w14:textId="5AF5C764" w:rsidR="00C416EE" w:rsidRPr="009702B0" w:rsidRDefault="00C416EE" w:rsidP="00C416EE">
            <w:pPr>
              <w:tabs>
                <w:tab w:val="right" w:pos="1202"/>
              </w:tabs>
              <w:spacing w:after="0" w:line="280" w:lineRule="exact"/>
              <w:jc w:val="right"/>
              <w:outlineLvl w:val="0"/>
              <w:rPr>
                <w:sz w:val="19"/>
                <w:szCs w:val="19"/>
              </w:rPr>
            </w:pPr>
            <w:r w:rsidRPr="00B37BF4">
              <w:rPr>
                <w:sz w:val="19"/>
                <w:szCs w:val="19"/>
              </w:rPr>
              <w:t>12</w:t>
            </w:r>
            <w:r>
              <w:rPr>
                <w:sz w:val="19"/>
                <w:szCs w:val="19"/>
              </w:rPr>
              <w:t>,</w:t>
            </w:r>
            <w:r w:rsidRPr="00B37BF4">
              <w:rPr>
                <w:sz w:val="19"/>
                <w:szCs w:val="19"/>
              </w:rPr>
              <w:t>247</w:t>
            </w:r>
            <w:r>
              <w:rPr>
                <w:sz w:val="19"/>
                <w:szCs w:val="19"/>
              </w:rPr>
              <w:t>,</w:t>
            </w:r>
            <w:r w:rsidRPr="00B37BF4">
              <w:rPr>
                <w:sz w:val="19"/>
                <w:szCs w:val="19"/>
              </w:rPr>
              <w:t>287</w:t>
            </w:r>
          </w:p>
        </w:tc>
        <w:tc>
          <w:tcPr>
            <w:tcW w:w="719" w:type="pct"/>
            <w:tcBorders>
              <w:top w:val="nil"/>
              <w:left w:val="nil"/>
              <w:bottom w:val="nil"/>
              <w:right w:val="nil"/>
            </w:tcBorders>
            <w:shd w:val="clear" w:color="auto" w:fill="auto"/>
          </w:tcPr>
          <w:p w14:paraId="0F52783A" w14:textId="21EF2CB5" w:rsidR="00C416EE" w:rsidRPr="009702B0" w:rsidRDefault="00C416EE" w:rsidP="00C416EE">
            <w:pPr>
              <w:tabs>
                <w:tab w:val="right" w:pos="1202"/>
              </w:tabs>
              <w:spacing w:after="0" w:line="280" w:lineRule="exact"/>
              <w:jc w:val="right"/>
              <w:outlineLvl w:val="0"/>
              <w:rPr>
                <w:sz w:val="19"/>
                <w:szCs w:val="19"/>
              </w:rPr>
            </w:pPr>
            <w:r w:rsidRPr="00B37BF4">
              <w:rPr>
                <w:sz w:val="19"/>
                <w:szCs w:val="19"/>
              </w:rPr>
              <w:t>-</w:t>
            </w:r>
          </w:p>
        </w:tc>
        <w:tc>
          <w:tcPr>
            <w:tcW w:w="719" w:type="pct"/>
            <w:tcBorders>
              <w:top w:val="nil"/>
              <w:left w:val="nil"/>
              <w:bottom w:val="nil"/>
              <w:right w:val="nil"/>
            </w:tcBorders>
            <w:shd w:val="clear" w:color="auto" w:fill="auto"/>
          </w:tcPr>
          <w:p w14:paraId="69DB0C34" w14:textId="6F92EC60" w:rsidR="00C416EE" w:rsidRPr="009702B0" w:rsidRDefault="00C416EE" w:rsidP="00C416EE">
            <w:pPr>
              <w:tabs>
                <w:tab w:val="right" w:pos="1202"/>
              </w:tabs>
              <w:spacing w:after="0" w:line="280" w:lineRule="exact"/>
              <w:jc w:val="right"/>
              <w:outlineLvl w:val="0"/>
              <w:rPr>
                <w:sz w:val="19"/>
                <w:szCs w:val="19"/>
              </w:rPr>
            </w:pPr>
            <w:r w:rsidRPr="00B37BF4">
              <w:rPr>
                <w:sz w:val="19"/>
                <w:szCs w:val="19"/>
              </w:rPr>
              <w:t>-</w:t>
            </w:r>
          </w:p>
        </w:tc>
        <w:tc>
          <w:tcPr>
            <w:tcW w:w="720" w:type="pct"/>
            <w:tcBorders>
              <w:top w:val="nil"/>
              <w:left w:val="nil"/>
              <w:bottom w:val="nil"/>
              <w:right w:val="nil"/>
            </w:tcBorders>
            <w:shd w:val="clear" w:color="auto" w:fill="auto"/>
          </w:tcPr>
          <w:p w14:paraId="13701D81" w14:textId="728309CB" w:rsidR="00C416EE" w:rsidRPr="009702B0" w:rsidRDefault="00C416EE" w:rsidP="00C416EE">
            <w:pPr>
              <w:tabs>
                <w:tab w:val="right" w:pos="1202"/>
              </w:tabs>
              <w:spacing w:after="0" w:line="280" w:lineRule="exact"/>
              <w:jc w:val="right"/>
              <w:outlineLvl w:val="0"/>
              <w:rPr>
                <w:sz w:val="19"/>
                <w:szCs w:val="19"/>
              </w:rPr>
            </w:pPr>
            <w:r w:rsidRPr="00B37BF4">
              <w:rPr>
                <w:sz w:val="19"/>
                <w:szCs w:val="19"/>
              </w:rPr>
              <w:t>12</w:t>
            </w:r>
            <w:r>
              <w:rPr>
                <w:sz w:val="19"/>
                <w:szCs w:val="19"/>
              </w:rPr>
              <w:t>,</w:t>
            </w:r>
            <w:r w:rsidRPr="00B37BF4">
              <w:rPr>
                <w:sz w:val="19"/>
                <w:szCs w:val="19"/>
              </w:rPr>
              <w:t>247</w:t>
            </w:r>
            <w:r>
              <w:rPr>
                <w:sz w:val="19"/>
                <w:szCs w:val="19"/>
              </w:rPr>
              <w:t>,</w:t>
            </w:r>
            <w:r w:rsidRPr="00B37BF4">
              <w:rPr>
                <w:sz w:val="19"/>
                <w:szCs w:val="19"/>
              </w:rPr>
              <w:t>287</w:t>
            </w:r>
          </w:p>
        </w:tc>
      </w:tr>
      <w:tr w:rsidR="00C416EE" w:rsidRPr="009702B0" w14:paraId="6A6313F5" w14:textId="77777777" w:rsidTr="006B318F">
        <w:trPr>
          <w:cantSplit/>
          <w:trHeight w:val="250"/>
          <w:tblHeader/>
        </w:trPr>
        <w:tc>
          <w:tcPr>
            <w:tcW w:w="2123" w:type="pct"/>
            <w:vAlign w:val="bottom"/>
          </w:tcPr>
          <w:p w14:paraId="657304B6" w14:textId="77777777" w:rsidR="00C416EE" w:rsidRPr="009702B0" w:rsidRDefault="00C416EE" w:rsidP="00C416EE">
            <w:pPr>
              <w:tabs>
                <w:tab w:val="right" w:pos="1202"/>
              </w:tabs>
              <w:spacing w:after="0" w:line="280" w:lineRule="exact"/>
              <w:outlineLvl w:val="0"/>
              <w:rPr>
                <w:sz w:val="19"/>
                <w:szCs w:val="19"/>
              </w:rPr>
            </w:pPr>
            <w:r w:rsidRPr="009702B0">
              <w:rPr>
                <w:rFonts w:cs="Arial"/>
                <w:sz w:val="19"/>
                <w:szCs w:val="19"/>
              </w:rPr>
              <w:t>Loans to other customers</w:t>
            </w:r>
          </w:p>
        </w:tc>
        <w:tc>
          <w:tcPr>
            <w:tcW w:w="719" w:type="pct"/>
            <w:tcBorders>
              <w:top w:val="nil"/>
              <w:left w:val="nil"/>
              <w:bottom w:val="nil"/>
              <w:right w:val="nil"/>
            </w:tcBorders>
            <w:shd w:val="clear" w:color="auto" w:fill="auto"/>
          </w:tcPr>
          <w:p w14:paraId="0888A51E" w14:textId="281BB8BE" w:rsidR="00C416EE" w:rsidRPr="009702B0" w:rsidRDefault="00C416EE" w:rsidP="00C416EE">
            <w:pPr>
              <w:tabs>
                <w:tab w:val="right" w:pos="1202"/>
              </w:tabs>
              <w:spacing w:after="0" w:line="280" w:lineRule="exact"/>
              <w:jc w:val="right"/>
              <w:outlineLvl w:val="0"/>
              <w:rPr>
                <w:sz w:val="19"/>
                <w:szCs w:val="19"/>
              </w:rPr>
            </w:pPr>
            <w:r w:rsidRPr="00B37BF4">
              <w:rPr>
                <w:sz w:val="19"/>
                <w:szCs w:val="19"/>
              </w:rPr>
              <w:t>11</w:t>
            </w:r>
            <w:r>
              <w:rPr>
                <w:sz w:val="19"/>
                <w:szCs w:val="19"/>
              </w:rPr>
              <w:t>,</w:t>
            </w:r>
            <w:r w:rsidRPr="00B37BF4">
              <w:rPr>
                <w:sz w:val="19"/>
                <w:szCs w:val="19"/>
              </w:rPr>
              <w:t>589</w:t>
            </w:r>
            <w:r>
              <w:rPr>
                <w:sz w:val="19"/>
                <w:szCs w:val="19"/>
              </w:rPr>
              <w:t>,</w:t>
            </w:r>
            <w:r w:rsidRPr="00B37BF4">
              <w:rPr>
                <w:sz w:val="19"/>
                <w:szCs w:val="19"/>
              </w:rPr>
              <w:t>479</w:t>
            </w:r>
          </w:p>
        </w:tc>
        <w:tc>
          <w:tcPr>
            <w:tcW w:w="719" w:type="pct"/>
            <w:tcBorders>
              <w:top w:val="nil"/>
              <w:left w:val="nil"/>
              <w:bottom w:val="nil"/>
              <w:right w:val="nil"/>
            </w:tcBorders>
            <w:shd w:val="clear" w:color="auto" w:fill="auto"/>
          </w:tcPr>
          <w:p w14:paraId="7D33320F" w14:textId="4A8B1E93" w:rsidR="00C416EE" w:rsidRPr="009702B0" w:rsidRDefault="00C416EE" w:rsidP="00C416EE">
            <w:pPr>
              <w:tabs>
                <w:tab w:val="right" w:pos="1202"/>
              </w:tabs>
              <w:spacing w:after="0" w:line="280" w:lineRule="exact"/>
              <w:jc w:val="right"/>
              <w:outlineLvl w:val="0"/>
              <w:rPr>
                <w:sz w:val="19"/>
                <w:szCs w:val="19"/>
              </w:rPr>
            </w:pPr>
            <w:r w:rsidRPr="00B37BF4">
              <w:rPr>
                <w:sz w:val="19"/>
                <w:szCs w:val="19"/>
              </w:rPr>
              <w:t>-</w:t>
            </w:r>
          </w:p>
        </w:tc>
        <w:tc>
          <w:tcPr>
            <w:tcW w:w="719" w:type="pct"/>
            <w:tcBorders>
              <w:top w:val="nil"/>
              <w:left w:val="nil"/>
              <w:bottom w:val="nil"/>
              <w:right w:val="nil"/>
            </w:tcBorders>
            <w:shd w:val="clear" w:color="auto" w:fill="auto"/>
          </w:tcPr>
          <w:p w14:paraId="30145233" w14:textId="5620C72A" w:rsidR="00C416EE" w:rsidRPr="009702B0" w:rsidRDefault="00C416EE" w:rsidP="00C416EE">
            <w:pPr>
              <w:tabs>
                <w:tab w:val="right" w:pos="1202"/>
              </w:tabs>
              <w:spacing w:after="0" w:line="280" w:lineRule="exact"/>
              <w:jc w:val="right"/>
              <w:outlineLvl w:val="0"/>
              <w:rPr>
                <w:sz w:val="19"/>
                <w:szCs w:val="19"/>
              </w:rPr>
            </w:pPr>
            <w:r w:rsidRPr="00B37BF4">
              <w:rPr>
                <w:sz w:val="19"/>
                <w:szCs w:val="19"/>
              </w:rPr>
              <w:t>323</w:t>
            </w:r>
            <w:r>
              <w:rPr>
                <w:sz w:val="19"/>
                <w:szCs w:val="19"/>
              </w:rPr>
              <w:t>,</w:t>
            </w:r>
            <w:r w:rsidRPr="00B37BF4">
              <w:rPr>
                <w:sz w:val="19"/>
                <w:szCs w:val="19"/>
              </w:rPr>
              <w:t>733</w:t>
            </w:r>
          </w:p>
        </w:tc>
        <w:tc>
          <w:tcPr>
            <w:tcW w:w="720" w:type="pct"/>
            <w:tcBorders>
              <w:top w:val="nil"/>
              <w:left w:val="nil"/>
              <w:bottom w:val="nil"/>
              <w:right w:val="nil"/>
            </w:tcBorders>
            <w:shd w:val="clear" w:color="auto" w:fill="auto"/>
          </w:tcPr>
          <w:p w14:paraId="16A245F9" w14:textId="42858753" w:rsidR="00C416EE" w:rsidRPr="009702B0" w:rsidRDefault="00C416EE" w:rsidP="00C416EE">
            <w:pPr>
              <w:tabs>
                <w:tab w:val="right" w:pos="1202"/>
              </w:tabs>
              <w:spacing w:after="0" w:line="280" w:lineRule="exact"/>
              <w:jc w:val="right"/>
              <w:outlineLvl w:val="0"/>
              <w:rPr>
                <w:sz w:val="19"/>
                <w:szCs w:val="19"/>
              </w:rPr>
            </w:pPr>
            <w:r w:rsidRPr="00B37BF4">
              <w:rPr>
                <w:sz w:val="19"/>
                <w:szCs w:val="19"/>
              </w:rPr>
              <w:t>11</w:t>
            </w:r>
            <w:r>
              <w:rPr>
                <w:sz w:val="19"/>
                <w:szCs w:val="19"/>
              </w:rPr>
              <w:t>,</w:t>
            </w:r>
            <w:r w:rsidRPr="00B37BF4">
              <w:rPr>
                <w:sz w:val="19"/>
                <w:szCs w:val="19"/>
              </w:rPr>
              <w:t>913</w:t>
            </w:r>
            <w:r>
              <w:rPr>
                <w:sz w:val="19"/>
                <w:szCs w:val="19"/>
              </w:rPr>
              <w:t>,</w:t>
            </w:r>
            <w:r w:rsidRPr="00B37BF4">
              <w:rPr>
                <w:sz w:val="19"/>
                <w:szCs w:val="19"/>
              </w:rPr>
              <w:t>212</w:t>
            </w:r>
          </w:p>
        </w:tc>
      </w:tr>
      <w:tr w:rsidR="00C416EE" w:rsidRPr="009702B0" w14:paraId="249F81A8" w14:textId="77777777" w:rsidTr="006B318F">
        <w:trPr>
          <w:cantSplit/>
          <w:trHeight w:val="250"/>
          <w:tblHeader/>
        </w:trPr>
        <w:tc>
          <w:tcPr>
            <w:tcW w:w="2123" w:type="pct"/>
            <w:vAlign w:val="bottom"/>
          </w:tcPr>
          <w:p w14:paraId="7601882D" w14:textId="77777777" w:rsidR="00C416EE" w:rsidRPr="009702B0" w:rsidRDefault="00C416EE" w:rsidP="00C416EE">
            <w:pPr>
              <w:tabs>
                <w:tab w:val="right" w:pos="1202"/>
              </w:tabs>
              <w:spacing w:after="0" w:line="280" w:lineRule="exact"/>
              <w:outlineLvl w:val="0"/>
              <w:rPr>
                <w:sz w:val="19"/>
                <w:szCs w:val="19"/>
              </w:rPr>
            </w:pPr>
            <w:r w:rsidRPr="009702B0">
              <w:rPr>
                <w:rFonts w:cs="Arial"/>
                <w:sz w:val="19"/>
                <w:szCs w:val="19"/>
              </w:rPr>
              <w:t>Assets available for sale</w:t>
            </w:r>
          </w:p>
        </w:tc>
        <w:tc>
          <w:tcPr>
            <w:tcW w:w="719" w:type="pct"/>
            <w:tcBorders>
              <w:top w:val="nil"/>
              <w:left w:val="nil"/>
              <w:bottom w:val="nil"/>
              <w:right w:val="nil"/>
            </w:tcBorders>
            <w:shd w:val="clear" w:color="auto" w:fill="auto"/>
          </w:tcPr>
          <w:p w14:paraId="33D20EF3" w14:textId="17A558AA" w:rsidR="00C416EE" w:rsidRPr="009702B0" w:rsidRDefault="00C416EE" w:rsidP="00C416EE">
            <w:pPr>
              <w:tabs>
                <w:tab w:val="right" w:pos="1202"/>
              </w:tabs>
              <w:spacing w:after="0" w:line="280" w:lineRule="exact"/>
              <w:jc w:val="right"/>
              <w:outlineLvl w:val="0"/>
              <w:rPr>
                <w:sz w:val="19"/>
                <w:szCs w:val="19"/>
              </w:rPr>
            </w:pPr>
            <w:r w:rsidRPr="00B37BF4">
              <w:rPr>
                <w:sz w:val="19"/>
                <w:szCs w:val="19"/>
              </w:rPr>
              <w:t>3</w:t>
            </w:r>
            <w:r>
              <w:rPr>
                <w:sz w:val="19"/>
                <w:szCs w:val="19"/>
              </w:rPr>
              <w:t>,</w:t>
            </w:r>
            <w:r w:rsidRPr="00B37BF4">
              <w:rPr>
                <w:sz w:val="19"/>
                <w:szCs w:val="19"/>
              </w:rPr>
              <w:t>222</w:t>
            </w:r>
            <w:r>
              <w:rPr>
                <w:sz w:val="19"/>
                <w:szCs w:val="19"/>
              </w:rPr>
              <w:t>,</w:t>
            </w:r>
            <w:r w:rsidRPr="00B37BF4">
              <w:rPr>
                <w:sz w:val="19"/>
                <w:szCs w:val="19"/>
              </w:rPr>
              <w:t>148</w:t>
            </w:r>
          </w:p>
        </w:tc>
        <w:tc>
          <w:tcPr>
            <w:tcW w:w="719" w:type="pct"/>
            <w:tcBorders>
              <w:top w:val="nil"/>
              <w:left w:val="nil"/>
              <w:bottom w:val="nil"/>
              <w:right w:val="nil"/>
            </w:tcBorders>
            <w:shd w:val="clear" w:color="auto" w:fill="auto"/>
          </w:tcPr>
          <w:p w14:paraId="1C9449A2" w14:textId="3D473F9C" w:rsidR="00C416EE" w:rsidRPr="009702B0" w:rsidRDefault="00C416EE" w:rsidP="00C416EE">
            <w:pPr>
              <w:tabs>
                <w:tab w:val="right" w:pos="1202"/>
              </w:tabs>
              <w:spacing w:after="0" w:line="280" w:lineRule="exact"/>
              <w:jc w:val="right"/>
              <w:outlineLvl w:val="0"/>
              <w:rPr>
                <w:sz w:val="19"/>
                <w:szCs w:val="19"/>
              </w:rPr>
            </w:pPr>
            <w:r w:rsidRPr="00B37BF4">
              <w:rPr>
                <w:sz w:val="19"/>
                <w:szCs w:val="19"/>
              </w:rPr>
              <w:t>-</w:t>
            </w:r>
          </w:p>
        </w:tc>
        <w:tc>
          <w:tcPr>
            <w:tcW w:w="719" w:type="pct"/>
            <w:tcBorders>
              <w:top w:val="nil"/>
              <w:left w:val="nil"/>
              <w:bottom w:val="nil"/>
              <w:right w:val="nil"/>
            </w:tcBorders>
            <w:shd w:val="clear" w:color="auto" w:fill="auto"/>
          </w:tcPr>
          <w:p w14:paraId="7FD99F05" w14:textId="716012F1" w:rsidR="00C416EE" w:rsidRPr="009702B0" w:rsidRDefault="00C416EE" w:rsidP="00C416EE">
            <w:pPr>
              <w:tabs>
                <w:tab w:val="right" w:pos="1202"/>
              </w:tabs>
              <w:spacing w:after="0" w:line="280" w:lineRule="exact"/>
              <w:jc w:val="right"/>
              <w:outlineLvl w:val="0"/>
              <w:rPr>
                <w:sz w:val="19"/>
                <w:szCs w:val="19"/>
              </w:rPr>
            </w:pPr>
            <w:r w:rsidRPr="00B37BF4">
              <w:rPr>
                <w:sz w:val="19"/>
                <w:szCs w:val="19"/>
              </w:rPr>
              <w:t>-</w:t>
            </w:r>
          </w:p>
        </w:tc>
        <w:tc>
          <w:tcPr>
            <w:tcW w:w="720" w:type="pct"/>
            <w:tcBorders>
              <w:top w:val="nil"/>
              <w:left w:val="nil"/>
              <w:bottom w:val="nil"/>
              <w:right w:val="nil"/>
            </w:tcBorders>
            <w:shd w:val="clear" w:color="auto" w:fill="auto"/>
          </w:tcPr>
          <w:p w14:paraId="5AB6747B" w14:textId="0DC3AE80" w:rsidR="00C416EE" w:rsidRPr="009702B0" w:rsidRDefault="00C416EE" w:rsidP="00C416EE">
            <w:pPr>
              <w:tabs>
                <w:tab w:val="right" w:pos="1202"/>
              </w:tabs>
              <w:spacing w:after="0" w:line="280" w:lineRule="exact"/>
              <w:jc w:val="right"/>
              <w:outlineLvl w:val="0"/>
              <w:rPr>
                <w:sz w:val="19"/>
                <w:szCs w:val="19"/>
              </w:rPr>
            </w:pPr>
            <w:r w:rsidRPr="00B37BF4">
              <w:rPr>
                <w:sz w:val="19"/>
                <w:szCs w:val="19"/>
              </w:rPr>
              <w:t>3</w:t>
            </w:r>
            <w:r>
              <w:rPr>
                <w:sz w:val="19"/>
                <w:szCs w:val="19"/>
              </w:rPr>
              <w:t>,</w:t>
            </w:r>
            <w:r w:rsidRPr="00B37BF4">
              <w:rPr>
                <w:sz w:val="19"/>
                <w:szCs w:val="19"/>
              </w:rPr>
              <w:t>222</w:t>
            </w:r>
            <w:r>
              <w:rPr>
                <w:sz w:val="19"/>
                <w:szCs w:val="19"/>
              </w:rPr>
              <w:t>,</w:t>
            </w:r>
            <w:r w:rsidRPr="00B37BF4">
              <w:rPr>
                <w:sz w:val="19"/>
                <w:szCs w:val="19"/>
              </w:rPr>
              <w:t>148</w:t>
            </w:r>
          </w:p>
        </w:tc>
      </w:tr>
      <w:tr w:rsidR="00C416EE" w:rsidRPr="009702B0" w14:paraId="060E0CC3" w14:textId="77777777" w:rsidTr="006B318F">
        <w:trPr>
          <w:cantSplit/>
          <w:trHeight w:val="250"/>
          <w:tblHeader/>
        </w:trPr>
        <w:tc>
          <w:tcPr>
            <w:tcW w:w="2123" w:type="pct"/>
            <w:vAlign w:val="bottom"/>
          </w:tcPr>
          <w:p w14:paraId="163DBDE2" w14:textId="77777777" w:rsidR="00C416EE" w:rsidRPr="009702B0" w:rsidRDefault="00C416EE" w:rsidP="00C416EE">
            <w:pPr>
              <w:tabs>
                <w:tab w:val="right" w:pos="1202"/>
              </w:tabs>
              <w:spacing w:after="0" w:line="280" w:lineRule="exact"/>
              <w:outlineLvl w:val="0"/>
              <w:rPr>
                <w:sz w:val="19"/>
                <w:szCs w:val="19"/>
              </w:rPr>
            </w:pPr>
            <w:r w:rsidRPr="009702B0">
              <w:rPr>
                <w:sz w:val="19"/>
                <w:szCs w:val="19"/>
              </w:rPr>
              <w:t>Other assets</w:t>
            </w:r>
          </w:p>
        </w:tc>
        <w:tc>
          <w:tcPr>
            <w:tcW w:w="719" w:type="pct"/>
            <w:tcBorders>
              <w:top w:val="nil"/>
              <w:left w:val="nil"/>
              <w:bottom w:val="nil"/>
              <w:right w:val="nil"/>
            </w:tcBorders>
            <w:shd w:val="clear" w:color="auto" w:fill="auto"/>
          </w:tcPr>
          <w:p w14:paraId="59AA5540" w14:textId="270A1D39" w:rsidR="00C416EE" w:rsidRPr="009702B0" w:rsidRDefault="00C416EE" w:rsidP="00C416EE">
            <w:pPr>
              <w:tabs>
                <w:tab w:val="right" w:pos="1202"/>
              </w:tabs>
              <w:spacing w:after="0" w:line="280" w:lineRule="exact"/>
              <w:jc w:val="right"/>
              <w:outlineLvl w:val="0"/>
              <w:rPr>
                <w:sz w:val="19"/>
                <w:szCs w:val="19"/>
              </w:rPr>
            </w:pPr>
            <w:r w:rsidRPr="00B37BF4">
              <w:rPr>
                <w:sz w:val="19"/>
                <w:szCs w:val="19"/>
              </w:rPr>
              <w:t>4</w:t>
            </w:r>
            <w:r>
              <w:rPr>
                <w:sz w:val="19"/>
                <w:szCs w:val="19"/>
              </w:rPr>
              <w:t>,</w:t>
            </w:r>
            <w:r w:rsidRPr="00B37BF4">
              <w:rPr>
                <w:sz w:val="19"/>
                <w:szCs w:val="19"/>
              </w:rPr>
              <w:t>438</w:t>
            </w:r>
          </w:p>
        </w:tc>
        <w:tc>
          <w:tcPr>
            <w:tcW w:w="719" w:type="pct"/>
            <w:tcBorders>
              <w:top w:val="nil"/>
              <w:left w:val="nil"/>
              <w:bottom w:val="nil"/>
              <w:right w:val="nil"/>
            </w:tcBorders>
            <w:shd w:val="clear" w:color="auto" w:fill="auto"/>
          </w:tcPr>
          <w:p w14:paraId="76956365" w14:textId="4A0FDA70" w:rsidR="00C416EE" w:rsidRPr="009702B0" w:rsidRDefault="00C416EE" w:rsidP="00C416EE">
            <w:pPr>
              <w:tabs>
                <w:tab w:val="right" w:pos="1202"/>
              </w:tabs>
              <w:spacing w:after="0" w:line="280" w:lineRule="exact"/>
              <w:jc w:val="right"/>
              <w:outlineLvl w:val="0"/>
              <w:rPr>
                <w:sz w:val="19"/>
                <w:szCs w:val="19"/>
              </w:rPr>
            </w:pPr>
            <w:r w:rsidRPr="00B37BF4">
              <w:rPr>
                <w:sz w:val="19"/>
                <w:szCs w:val="19"/>
              </w:rPr>
              <w:t>237</w:t>
            </w:r>
          </w:p>
        </w:tc>
        <w:tc>
          <w:tcPr>
            <w:tcW w:w="719" w:type="pct"/>
            <w:tcBorders>
              <w:top w:val="nil"/>
              <w:left w:val="nil"/>
              <w:bottom w:val="nil"/>
              <w:right w:val="nil"/>
            </w:tcBorders>
            <w:shd w:val="clear" w:color="auto" w:fill="auto"/>
          </w:tcPr>
          <w:p w14:paraId="5C131027" w14:textId="5D3BE682" w:rsidR="00C416EE" w:rsidRPr="009702B0" w:rsidRDefault="00C416EE" w:rsidP="00C416EE">
            <w:pPr>
              <w:tabs>
                <w:tab w:val="right" w:pos="1202"/>
              </w:tabs>
              <w:spacing w:after="0" w:line="280" w:lineRule="exact"/>
              <w:jc w:val="right"/>
              <w:outlineLvl w:val="0"/>
              <w:rPr>
                <w:sz w:val="19"/>
                <w:szCs w:val="19"/>
              </w:rPr>
            </w:pPr>
            <w:r>
              <w:rPr>
                <w:sz w:val="19"/>
                <w:szCs w:val="19"/>
              </w:rPr>
              <w:t>-</w:t>
            </w:r>
          </w:p>
        </w:tc>
        <w:tc>
          <w:tcPr>
            <w:tcW w:w="720" w:type="pct"/>
            <w:tcBorders>
              <w:top w:val="nil"/>
              <w:left w:val="nil"/>
              <w:bottom w:val="nil"/>
              <w:right w:val="nil"/>
            </w:tcBorders>
            <w:shd w:val="clear" w:color="auto" w:fill="auto"/>
          </w:tcPr>
          <w:p w14:paraId="625F88C0" w14:textId="5E06F1AD" w:rsidR="00C416EE" w:rsidRPr="009702B0" w:rsidRDefault="00C416EE" w:rsidP="00C416EE">
            <w:pPr>
              <w:tabs>
                <w:tab w:val="right" w:pos="1202"/>
              </w:tabs>
              <w:spacing w:after="0" w:line="280" w:lineRule="exact"/>
              <w:jc w:val="right"/>
              <w:outlineLvl w:val="0"/>
              <w:rPr>
                <w:sz w:val="19"/>
                <w:szCs w:val="19"/>
              </w:rPr>
            </w:pPr>
            <w:r w:rsidRPr="00B37BF4">
              <w:rPr>
                <w:sz w:val="19"/>
                <w:szCs w:val="19"/>
              </w:rPr>
              <w:t>4</w:t>
            </w:r>
            <w:r>
              <w:rPr>
                <w:sz w:val="19"/>
                <w:szCs w:val="19"/>
              </w:rPr>
              <w:t>,</w:t>
            </w:r>
            <w:r w:rsidRPr="00B37BF4">
              <w:rPr>
                <w:sz w:val="19"/>
                <w:szCs w:val="19"/>
              </w:rPr>
              <w:t>675</w:t>
            </w:r>
          </w:p>
        </w:tc>
      </w:tr>
      <w:tr w:rsidR="00C416EE" w:rsidRPr="009702B0" w14:paraId="1B6740A7" w14:textId="77777777" w:rsidTr="006B318F">
        <w:trPr>
          <w:cantSplit/>
          <w:trHeight w:val="376"/>
          <w:tblHeader/>
        </w:trPr>
        <w:tc>
          <w:tcPr>
            <w:tcW w:w="2123" w:type="pct"/>
            <w:vAlign w:val="bottom"/>
          </w:tcPr>
          <w:p w14:paraId="640C549A" w14:textId="77777777" w:rsidR="00C416EE" w:rsidRPr="009702B0" w:rsidRDefault="00C416EE" w:rsidP="00C416EE">
            <w:pPr>
              <w:tabs>
                <w:tab w:val="right" w:pos="1202"/>
              </w:tabs>
              <w:spacing w:after="0" w:line="280" w:lineRule="exact"/>
              <w:outlineLvl w:val="0"/>
              <w:rPr>
                <w:b/>
                <w:bCs/>
                <w:sz w:val="19"/>
                <w:szCs w:val="19"/>
              </w:rPr>
            </w:pPr>
            <w:r w:rsidRPr="009702B0">
              <w:rPr>
                <w:b/>
                <w:bCs/>
                <w:sz w:val="19"/>
                <w:szCs w:val="19"/>
              </w:rPr>
              <w:t xml:space="preserve">Total </w:t>
            </w:r>
          </w:p>
        </w:tc>
        <w:tc>
          <w:tcPr>
            <w:tcW w:w="719" w:type="pct"/>
            <w:tcBorders>
              <w:top w:val="single" w:sz="8" w:space="0" w:color="auto"/>
              <w:left w:val="nil"/>
              <w:bottom w:val="single" w:sz="8" w:space="0" w:color="auto"/>
              <w:right w:val="nil"/>
            </w:tcBorders>
            <w:shd w:val="clear" w:color="auto" w:fill="auto"/>
            <w:vAlign w:val="bottom"/>
          </w:tcPr>
          <w:p w14:paraId="481687E3" w14:textId="4B725BA1" w:rsidR="00C416EE" w:rsidRPr="009702B0" w:rsidRDefault="00C416EE" w:rsidP="00C416EE">
            <w:pPr>
              <w:tabs>
                <w:tab w:val="right" w:pos="1202"/>
              </w:tabs>
              <w:spacing w:after="0" w:line="280" w:lineRule="exact"/>
              <w:jc w:val="right"/>
              <w:outlineLvl w:val="0"/>
              <w:rPr>
                <w:b/>
                <w:sz w:val="19"/>
                <w:szCs w:val="19"/>
              </w:rPr>
            </w:pPr>
            <w:r w:rsidRPr="00B37BF4">
              <w:rPr>
                <w:b/>
                <w:sz w:val="19"/>
                <w:szCs w:val="19"/>
              </w:rPr>
              <w:t>27</w:t>
            </w:r>
            <w:r>
              <w:rPr>
                <w:b/>
                <w:sz w:val="19"/>
                <w:szCs w:val="19"/>
              </w:rPr>
              <w:t>,</w:t>
            </w:r>
            <w:r w:rsidRPr="00B37BF4">
              <w:rPr>
                <w:b/>
                <w:sz w:val="19"/>
                <w:szCs w:val="19"/>
              </w:rPr>
              <w:t>444</w:t>
            </w:r>
            <w:r>
              <w:rPr>
                <w:b/>
                <w:sz w:val="19"/>
                <w:szCs w:val="19"/>
              </w:rPr>
              <w:t>,</w:t>
            </w:r>
            <w:r w:rsidRPr="00B37BF4">
              <w:rPr>
                <w:b/>
                <w:sz w:val="19"/>
                <w:szCs w:val="19"/>
              </w:rPr>
              <w:t>282</w:t>
            </w:r>
          </w:p>
        </w:tc>
        <w:tc>
          <w:tcPr>
            <w:tcW w:w="719" w:type="pct"/>
            <w:tcBorders>
              <w:top w:val="single" w:sz="8" w:space="0" w:color="auto"/>
              <w:left w:val="nil"/>
              <w:bottom w:val="single" w:sz="8" w:space="0" w:color="auto"/>
              <w:right w:val="nil"/>
            </w:tcBorders>
            <w:shd w:val="clear" w:color="auto" w:fill="auto"/>
            <w:vAlign w:val="bottom"/>
          </w:tcPr>
          <w:p w14:paraId="2367F78B" w14:textId="7D320AE6" w:rsidR="00C416EE" w:rsidRPr="009702B0" w:rsidRDefault="00C416EE" w:rsidP="00C416EE">
            <w:pPr>
              <w:tabs>
                <w:tab w:val="right" w:pos="1202"/>
              </w:tabs>
              <w:spacing w:after="0" w:line="280" w:lineRule="exact"/>
              <w:jc w:val="right"/>
              <w:outlineLvl w:val="0"/>
              <w:rPr>
                <w:b/>
                <w:sz w:val="19"/>
                <w:szCs w:val="19"/>
              </w:rPr>
            </w:pPr>
            <w:r w:rsidRPr="00B37BF4">
              <w:rPr>
                <w:b/>
                <w:sz w:val="19"/>
                <w:szCs w:val="19"/>
              </w:rPr>
              <w:t>347</w:t>
            </w:r>
            <w:r>
              <w:rPr>
                <w:b/>
                <w:sz w:val="19"/>
                <w:szCs w:val="19"/>
              </w:rPr>
              <w:t>,</w:t>
            </w:r>
            <w:r w:rsidRPr="00B37BF4">
              <w:rPr>
                <w:b/>
                <w:sz w:val="19"/>
                <w:szCs w:val="19"/>
              </w:rPr>
              <w:t>715</w:t>
            </w:r>
          </w:p>
        </w:tc>
        <w:tc>
          <w:tcPr>
            <w:tcW w:w="719" w:type="pct"/>
            <w:tcBorders>
              <w:top w:val="single" w:sz="8" w:space="0" w:color="auto"/>
              <w:left w:val="nil"/>
              <w:bottom w:val="single" w:sz="8" w:space="0" w:color="auto"/>
              <w:right w:val="nil"/>
            </w:tcBorders>
            <w:shd w:val="clear" w:color="auto" w:fill="auto"/>
            <w:vAlign w:val="bottom"/>
          </w:tcPr>
          <w:p w14:paraId="66904E6F" w14:textId="03D90A7A" w:rsidR="00C416EE" w:rsidRPr="009702B0" w:rsidRDefault="00C416EE" w:rsidP="00C416EE">
            <w:pPr>
              <w:tabs>
                <w:tab w:val="right" w:pos="1202"/>
              </w:tabs>
              <w:spacing w:after="0" w:line="280" w:lineRule="exact"/>
              <w:jc w:val="right"/>
              <w:outlineLvl w:val="0"/>
              <w:rPr>
                <w:b/>
                <w:sz w:val="19"/>
                <w:szCs w:val="19"/>
              </w:rPr>
            </w:pPr>
            <w:r w:rsidRPr="00B37BF4">
              <w:rPr>
                <w:b/>
                <w:sz w:val="19"/>
                <w:szCs w:val="19"/>
              </w:rPr>
              <w:t>333</w:t>
            </w:r>
            <w:r>
              <w:rPr>
                <w:b/>
                <w:sz w:val="19"/>
                <w:szCs w:val="19"/>
              </w:rPr>
              <w:t>,</w:t>
            </w:r>
            <w:r w:rsidRPr="00B37BF4">
              <w:rPr>
                <w:b/>
                <w:sz w:val="19"/>
                <w:szCs w:val="19"/>
              </w:rPr>
              <w:t>022</w:t>
            </w:r>
          </w:p>
        </w:tc>
        <w:tc>
          <w:tcPr>
            <w:tcW w:w="720" w:type="pct"/>
            <w:tcBorders>
              <w:top w:val="single" w:sz="8" w:space="0" w:color="auto"/>
              <w:left w:val="nil"/>
              <w:bottom w:val="single" w:sz="8" w:space="0" w:color="auto"/>
              <w:right w:val="nil"/>
            </w:tcBorders>
            <w:shd w:val="clear" w:color="auto" w:fill="auto"/>
            <w:vAlign w:val="bottom"/>
          </w:tcPr>
          <w:p w14:paraId="491DE857" w14:textId="3873939B" w:rsidR="00C416EE" w:rsidRPr="009702B0" w:rsidRDefault="00C416EE" w:rsidP="00C416EE">
            <w:pPr>
              <w:tabs>
                <w:tab w:val="right" w:pos="1202"/>
              </w:tabs>
              <w:spacing w:after="0" w:line="280" w:lineRule="exact"/>
              <w:jc w:val="right"/>
              <w:outlineLvl w:val="0"/>
              <w:rPr>
                <w:b/>
                <w:sz w:val="19"/>
                <w:szCs w:val="19"/>
              </w:rPr>
            </w:pPr>
            <w:r w:rsidRPr="00B37BF4">
              <w:rPr>
                <w:b/>
                <w:sz w:val="19"/>
                <w:szCs w:val="19"/>
              </w:rPr>
              <w:t>28</w:t>
            </w:r>
            <w:r>
              <w:rPr>
                <w:b/>
                <w:sz w:val="19"/>
                <w:szCs w:val="19"/>
              </w:rPr>
              <w:t>,</w:t>
            </w:r>
            <w:r w:rsidRPr="00B37BF4">
              <w:rPr>
                <w:b/>
                <w:sz w:val="19"/>
                <w:szCs w:val="19"/>
              </w:rPr>
              <w:t>125</w:t>
            </w:r>
            <w:r>
              <w:rPr>
                <w:b/>
                <w:sz w:val="19"/>
                <w:szCs w:val="19"/>
              </w:rPr>
              <w:t>,</w:t>
            </w:r>
            <w:r w:rsidRPr="00B37BF4">
              <w:rPr>
                <w:b/>
                <w:sz w:val="19"/>
                <w:szCs w:val="19"/>
              </w:rPr>
              <w:t>019</w:t>
            </w:r>
          </w:p>
        </w:tc>
      </w:tr>
      <w:tr w:rsidR="00A210AD" w:rsidRPr="009702B0" w14:paraId="265D5217" w14:textId="77777777" w:rsidTr="005444AA">
        <w:tblPrEx>
          <w:tblCellMar>
            <w:left w:w="31" w:type="dxa"/>
            <w:right w:w="31" w:type="dxa"/>
          </w:tblCellMar>
        </w:tblPrEx>
        <w:trPr>
          <w:cantSplit/>
          <w:trHeight w:val="250"/>
          <w:tblHeader/>
        </w:trPr>
        <w:tc>
          <w:tcPr>
            <w:tcW w:w="2123" w:type="pct"/>
            <w:vAlign w:val="bottom"/>
          </w:tcPr>
          <w:p w14:paraId="6328017C" w14:textId="77777777" w:rsidR="00A210AD" w:rsidRPr="009702B0" w:rsidRDefault="00A210AD" w:rsidP="00A210AD">
            <w:pPr>
              <w:tabs>
                <w:tab w:val="right" w:pos="1202"/>
              </w:tabs>
              <w:spacing w:after="0" w:line="280" w:lineRule="exact"/>
              <w:outlineLvl w:val="0"/>
              <w:rPr>
                <w:b/>
                <w:bCs/>
                <w:sz w:val="19"/>
                <w:szCs w:val="19"/>
              </w:rPr>
            </w:pPr>
          </w:p>
        </w:tc>
        <w:tc>
          <w:tcPr>
            <w:tcW w:w="719" w:type="pct"/>
            <w:tcBorders>
              <w:top w:val="single" w:sz="12" w:space="0" w:color="auto"/>
            </w:tcBorders>
            <w:vAlign w:val="bottom"/>
          </w:tcPr>
          <w:p w14:paraId="10CDE271" w14:textId="77777777" w:rsidR="00A210AD" w:rsidRPr="009702B0" w:rsidRDefault="00A210AD" w:rsidP="00A210AD">
            <w:pPr>
              <w:tabs>
                <w:tab w:val="right" w:pos="1202"/>
              </w:tabs>
              <w:spacing w:after="0" w:line="280" w:lineRule="exact"/>
              <w:jc w:val="right"/>
              <w:outlineLvl w:val="0"/>
              <w:rPr>
                <w:sz w:val="19"/>
                <w:szCs w:val="19"/>
              </w:rPr>
            </w:pPr>
          </w:p>
        </w:tc>
        <w:tc>
          <w:tcPr>
            <w:tcW w:w="719" w:type="pct"/>
            <w:tcBorders>
              <w:top w:val="single" w:sz="12" w:space="0" w:color="auto"/>
            </w:tcBorders>
            <w:vAlign w:val="bottom"/>
          </w:tcPr>
          <w:p w14:paraId="4574CE36" w14:textId="77777777" w:rsidR="00A210AD" w:rsidRPr="009702B0" w:rsidRDefault="00A210AD" w:rsidP="00A210AD">
            <w:pPr>
              <w:tabs>
                <w:tab w:val="right" w:pos="1202"/>
              </w:tabs>
              <w:spacing w:after="0" w:line="280" w:lineRule="exact"/>
              <w:jc w:val="right"/>
              <w:outlineLvl w:val="0"/>
              <w:rPr>
                <w:sz w:val="19"/>
                <w:szCs w:val="19"/>
              </w:rPr>
            </w:pPr>
          </w:p>
        </w:tc>
        <w:tc>
          <w:tcPr>
            <w:tcW w:w="719" w:type="pct"/>
            <w:tcBorders>
              <w:top w:val="single" w:sz="12" w:space="0" w:color="auto"/>
            </w:tcBorders>
            <w:vAlign w:val="bottom"/>
          </w:tcPr>
          <w:p w14:paraId="2D17BA32" w14:textId="77777777" w:rsidR="00A210AD" w:rsidRPr="009702B0" w:rsidRDefault="00A210AD" w:rsidP="00A210AD">
            <w:pPr>
              <w:tabs>
                <w:tab w:val="right" w:pos="1202"/>
              </w:tabs>
              <w:spacing w:after="0" w:line="280" w:lineRule="exact"/>
              <w:jc w:val="right"/>
              <w:outlineLvl w:val="0"/>
              <w:rPr>
                <w:sz w:val="19"/>
                <w:szCs w:val="19"/>
              </w:rPr>
            </w:pPr>
          </w:p>
        </w:tc>
        <w:tc>
          <w:tcPr>
            <w:tcW w:w="720" w:type="pct"/>
            <w:tcBorders>
              <w:top w:val="single" w:sz="12" w:space="0" w:color="auto"/>
            </w:tcBorders>
            <w:vAlign w:val="bottom"/>
          </w:tcPr>
          <w:p w14:paraId="024EDC12" w14:textId="77777777" w:rsidR="00A210AD" w:rsidRPr="009702B0" w:rsidRDefault="00A210AD" w:rsidP="00A210AD">
            <w:pPr>
              <w:tabs>
                <w:tab w:val="right" w:pos="1202"/>
              </w:tabs>
              <w:spacing w:after="0" w:line="280" w:lineRule="exact"/>
              <w:jc w:val="right"/>
              <w:outlineLvl w:val="0"/>
              <w:rPr>
                <w:sz w:val="19"/>
                <w:szCs w:val="19"/>
              </w:rPr>
            </w:pPr>
          </w:p>
        </w:tc>
      </w:tr>
      <w:tr w:rsidR="00A210AD" w:rsidRPr="009702B0" w14:paraId="779E5112" w14:textId="77777777" w:rsidTr="005444AA">
        <w:tblPrEx>
          <w:tblCellMar>
            <w:left w:w="31" w:type="dxa"/>
            <w:right w:w="31" w:type="dxa"/>
          </w:tblCellMar>
        </w:tblPrEx>
        <w:trPr>
          <w:cantSplit/>
          <w:trHeight w:val="312"/>
          <w:tblHeader/>
        </w:trPr>
        <w:tc>
          <w:tcPr>
            <w:tcW w:w="2123" w:type="pct"/>
          </w:tcPr>
          <w:p w14:paraId="652314FF" w14:textId="77777777" w:rsidR="00A210AD" w:rsidRPr="009702B0" w:rsidRDefault="00A210AD" w:rsidP="00A210AD">
            <w:pPr>
              <w:tabs>
                <w:tab w:val="right" w:pos="1202"/>
              </w:tabs>
              <w:spacing w:after="0" w:line="280" w:lineRule="exact"/>
              <w:outlineLvl w:val="0"/>
              <w:rPr>
                <w:b/>
                <w:bCs/>
                <w:sz w:val="19"/>
                <w:szCs w:val="19"/>
              </w:rPr>
            </w:pPr>
            <w:r w:rsidRPr="009702B0">
              <w:rPr>
                <w:rFonts w:cs="Arial"/>
                <w:b/>
                <w:bCs/>
                <w:sz w:val="19"/>
                <w:szCs w:val="19"/>
              </w:rPr>
              <w:t>Guarantees and commitments</w:t>
            </w:r>
          </w:p>
        </w:tc>
        <w:tc>
          <w:tcPr>
            <w:tcW w:w="719" w:type="pct"/>
            <w:vAlign w:val="bottom"/>
          </w:tcPr>
          <w:p w14:paraId="0DE966E9" w14:textId="77777777" w:rsidR="00A210AD" w:rsidRPr="009702B0" w:rsidRDefault="00A210AD" w:rsidP="00A210AD">
            <w:pPr>
              <w:tabs>
                <w:tab w:val="right" w:pos="1202"/>
              </w:tabs>
              <w:spacing w:after="0" w:line="280" w:lineRule="exact"/>
              <w:jc w:val="right"/>
              <w:outlineLvl w:val="0"/>
              <w:rPr>
                <w:sz w:val="19"/>
                <w:szCs w:val="19"/>
              </w:rPr>
            </w:pPr>
          </w:p>
        </w:tc>
        <w:tc>
          <w:tcPr>
            <w:tcW w:w="719" w:type="pct"/>
            <w:vAlign w:val="bottom"/>
          </w:tcPr>
          <w:p w14:paraId="4E1DBE2D" w14:textId="77777777" w:rsidR="00A210AD" w:rsidRPr="009702B0" w:rsidRDefault="00A210AD" w:rsidP="00A210AD">
            <w:pPr>
              <w:tabs>
                <w:tab w:val="right" w:pos="1202"/>
              </w:tabs>
              <w:spacing w:after="0" w:line="280" w:lineRule="exact"/>
              <w:jc w:val="right"/>
              <w:outlineLvl w:val="0"/>
              <w:rPr>
                <w:sz w:val="19"/>
                <w:szCs w:val="19"/>
              </w:rPr>
            </w:pPr>
          </w:p>
        </w:tc>
        <w:tc>
          <w:tcPr>
            <w:tcW w:w="719" w:type="pct"/>
            <w:vAlign w:val="bottom"/>
          </w:tcPr>
          <w:p w14:paraId="6615B3C4" w14:textId="77777777" w:rsidR="00A210AD" w:rsidRPr="009702B0" w:rsidRDefault="00A210AD" w:rsidP="00A210AD">
            <w:pPr>
              <w:tabs>
                <w:tab w:val="right" w:pos="1202"/>
              </w:tabs>
              <w:spacing w:after="0" w:line="280" w:lineRule="exact"/>
              <w:jc w:val="right"/>
              <w:outlineLvl w:val="0"/>
              <w:rPr>
                <w:sz w:val="19"/>
                <w:szCs w:val="19"/>
              </w:rPr>
            </w:pPr>
          </w:p>
        </w:tc>
        <w:tc>
          <w:tcPr>
            <w:tcW w:w="720" w:type="pct"/>
            <w:vAlign w:val="bottom"/>
          </w:tcPr>
          <w:p w14:paraId="699E43DC" w14:textId="77777777" w:rsidR="00A210AD" w:rsidRPr="009702B0" w:rsidRDefault="00A210AD" w:rsidP="00A210AD">
            <w:pPr>
              <w:tabs>
                <w:tab w:val="right" w:pos="1202"/>
              </w:tabs>
              <w:spacing w:after="0" w:line="280" w:lineRule="exact"/>
              <w:jc w:val="right"/>
              <w:outlineLvl w:val="0"/>
              <w:rPr>
                <w:sz w:val="19"/>
                <w:szCs w:val="19"/>
              </w:rPr>
            </w:pPr>
          </w:p>
        </w:tc>
      </w:tr>
      <w:tr w:rsidR="00C416EE" w:rsidRPr="009702B0" w14:paraId="72DB1A2A" w14:textId="77777777" w:rsidTr="006B318F">
        <w:tblPrEx>
          <w:tblCellMar>
            <w:left w:w="31" w:type="dxa"/>
            <w:right w:w="31" w:type="dxa"/>
          </w:tblCellMar>
        </w:tblPrEx>
        <w:trPr>
          <w:cantSplit/>
          <w:trHeight w:val="250"/>
          <w:tblHeader/>
        </w:trPr>
        <w:tc>
          <w:tcPr>
            <w:tcW w:w="2123" w:type="pct"/>
          </w:tcPr>
          <w:p w14:paraId="0F990CF0" w14:textId="77777777" w:rsidR="00C416EE" w:rsidRPr="009702B0" w:rsidRDefault="00C416EE" w:rsidP="00C416EE">
            <w:pPr>
              <w:tabs>
                <w:tab w:val="right" w:pos="1202"/>
              </w:tabs>
              <w:spacing w:after="0" w:line="280" w:lineRule="exact"/>
              <w:outlineLvl w:val="0"/>
              <w:rPr>
                <w:rFonts w:cs="Arial"/>
                <w:bCs/>
                <w:sz w:val="19"/>
                <w:szCs w:val="19"/>
              </w:rPr>
            </w:pPr>
            <w:r w:rsidRPr="009702B0">
              <w:rPr>
                <w:rFonts w:cs="Arial"/>
                <w:bCs/>
                <w:sz w:val="19"/>
                <w:szCs w:val="19"/>
              </w:rPr>
              <w:t>Guarantees issued in HRK</w:t>
            </w:r>
          </w:p>
        </w:tc>
        <w:tc>
          <w:tcPr>
            <w:tcW w:w="719" w:type="pct"/>
            <w:tcBorders>
              <w:top w:val="nil"/>
              <w:left w:val="nil"/>
              <w:bottom w:val="nil"/>
              <w:right w:val="nil"/>
            </w:tcBorders>
            <w:shd w:val="clear" w:color="auto" w:fill="auto"/>
          </w:tcPr>
          <w:p w14:paraId="7D920E27" w14:textId="44F27E5F" w:rsidR="00C416EE" w:rsidRPr="009702B0" w:rsidRDefault="00C416EE" w:rsidP="00C416EE">
            <w:pPr>
              <w:tabs>
                <w:tab w:val="right" w:pos="1202"/>
              </w:tabs>
              <w:spacing w:after="0" w:line="280" w:lineRule="exact"/>
              <w:jc w:val="right"/>
              <w:outlineLvl w:val="0"/>
              <w:rPr>
                <w:sz w:val="19"/>
                <w:szCs w:val="19"/>
              </w:rPr>
            </w:pPr>
            <w:r w:rsidRPr="00B37BF4">
              <w:rPr>
                <w:sz w:val="19"/>
                <w:szCs w:val="19"/>
              </w:rPr>
              <w:t>20</w:t>
            </w:r>
            <w:r>
              <w:rPr>
                <w:sz w:val="19"/>
                <w:szCs w:val="19"/>
              </w:rPr>
              <w:t>,</w:t>
            </w:r>
            <w:r w:rsidRPr="00B37BF4">
              <w:rPr>
                <w:sz w:val="19"/>
                <w:szCs w:val="19"/>
              </w:rPr>
              <w:t>424</w:t>
            </w:r>
          </w:p>
        </w:tc>
        <w:tc>
          <w:tcPr>
            <w:tcW w:w="719" w:type="pct"/>
            <w:tcBorders>
              <w:top w:val="nil"/>
              <w:left w:val="nil"/>
              <w:bottom w:val="nil"/>
              <w:right w:val="nil"/>
            </w:tcBorders>
            <w:shd w:val="clear" w:color="auto" w:fill="auto"/>
          </w:tcPr>
          <w:p w14:paraId="6735EC7F" w14:textId="25E6CCEB" w:rsidR="00C416EE" w:rsidRPr="009702B0" w:rsidRDefault="00C416EE" w:rsidP="00C416EE">
            <w:pPr>
              <w:tabs>
                <w:tab w:val="right" w:pos="1202"/>
              </w:tabs>
              <w:spacing w:after="0" w:line="280" w:lineRule="exact"/>
              <w:jc w:val="right"/>
              <w:outlineLvl w:val="0"/>
              <w:rPr>
                <w:sz w:val="19"/>
                <w:szCs w:val="19"/>
              </w:rPr>
            </w:pPr>
            <w:r w:rsidRPr="00B37BF4">
              <w:rPr>
                <w:sz w:val="19"/>
                <w:szCs w:val="19"/>
              </w:rPr>
              <w:t>602</w:t>
            </w:r>
          </w:p>
        </w:tc>
        <w:tc>
          <w:tcPr>
            <w:tcW w:w="719" w:type="pct"/>
            <w:tcBorders>
              <w:top w:val="nil"/>
              <w:left w:val="nil"/>
              <w:bottom w:val="nil"/>
              <w:right w:val="nil"/>
            </w:tcBorders>
            <w:shd w:val="clear" w:color="auto" w:fill="auto"/>
          </w:tcPr>
          <w:p w14:paraId="1ABEA792" w14:textId="22501503" w:rsidR="00C416EE" w:rsidRPr="009702B0" w:rsidRDefault="00C416EE" w:rsidP="00C416EE">
            <w:pPr>
              <w:tabs>
                <w:tab w:val="right" w:pos="1202"/>
              </w:tabs>
              <w:spacing w:after="0" w:line="280" w:lineRule="exact"/>
              <w:jc w:val="right"/>
              <w:outlineLvl w:val="0"/>
              <w:rPr>
                <w:sz w:val="19"/>
                <w:szCs w:val="19"/>
              </w:rPr>
            </w:pPr>
            <w:r w:rsidRPr="00B37BF4">
              <w:rPr>
                <w:sz w:val="19"/>
                <w:szCs w:val="19"/>
              </w:rPr>
              <w:t>-</w:t>
            </w:r>
          </w:p>
        </w:tc>
        <w:tc>
          <w:tcPr>
            <w:tcW w:w="720" w:type="pct"/>
            <w:tcBorders>
              <w:top w:val="nil"/>
              <w:left w:val="nil"/>
              <w:bottom w:val="nil"/>
              <w:right w:val="nil"/>
            </w:tcBorders>
            <w:shd w:val="clear" w:color="auto" w:fill="auto"/>
          </w:tcPr>
          <w:p w14:paraId="1F2F40F1" w14:textId="7542CC0F" w:rsidR="00C416EE" w:rsidRPr="009702B0" w:rsidRDefault="00C416EE" w:rsidP="00C416EE">
            <w:pPr>
              <w:tabs>
                <w:tab w:val="right" w:pos="1202"/>
              </w:tabs>
              <w:spacing w:after="0" w:line="280" w:lineRule="exact"/>
              <w:jc w:val="right"/>
              <w:outlineLvl w:val="0"/>
              <w:rPr>
                <w:sz w:val="19"/>
                <w:szCs w:val="19"/>
              </w:rPr>
            </w:pPr>
            <w:r w:rsidRPr="00B37BF4">
              <w:rPr>
                <w:sz w:val="19"/>
                <w:szCs w:val="19"/>
              </w:rPr>
              <w:t>21</w:t>
            </w:r>
            <w:r>
              <w:rPr>
                <w:sz w:val="19"/>
                <w:szCs w:val="19"/>
              </w:rPr>
              <w:t>,</w:t>
            </w:r>
            <w:r w:rsidRPr="00B37BF4">
              <w:rPr>
                <w:sz w:val="19"/>
                <w:szCs w:val="19"/>
              </w:rPr>
              <w:t>026</w:t>
            </w:r>
          </w:p>
        </w:tc>
      </w:tr>
      <w:tr w:rsidR="00C416EE" w:rsidRPr="009702B0" w14:paraId="7593F4C5" w14:textId="77777777" w:rsidTr="006B318F">
        <w:tblPrEx>
          <w:tblCellMar>
            <w:left w:w="31" w:type="dxa"/>
            <w:right w:w="31" w:type="dxa"/>
          </w:tblCellMar>
        </w:tblPrEx>
        <w:trPr>
          <w:cantSplit/>
          <w:trHeight w:val="250"/>
          <w:tblHeader/>
        </w:trPr>
        <w:tc>
          <w:tcPr>
            <w:tcW w:w="2123" w:type="pct"/>
            <w:vAlign w:val="bottom"/>
          </w:tcPr>
          <w:p w14:paraId="5A87BB70" w14:textId="77777777" w:rsidR="00C416EE" w:rsidRPr="009702B0" w:rsidRDefault="00C416EE" w:rsidP="00C416EE">
            <w:pPr>
              <w:tabs>
                <w:tab w:val="right" w:pos="1202"/>
              </w:tabs>
              <w:spacing w:after="0" w:line="280" w:lineRule="exact"/>
              <w:outlineLvl w:val="0"/>
              <w:rPr>
                <w:sz w:val="19"/>
                <w:szCs w:val="19"/>
              </w:rPr>
            </w:pPr>
            <w:r w:rsidRPr="009702B0">
              <w:rPr>
                <w:sz w:val="19"/>
                <w:szCs w:val="19"/>
              </w:rPr>
              <w:t>Issued guarantees in foreign currency</w:t>
            </w:r>
          </w:p>
        </w:tc>
        <w:tc>
          <w:tcPr>
            <w:tcW w:w="719" w:type="pct"/>
            <w:tcBorders>
              <w:top w:val="nil"/>
              <w:left w:val="nil"/>
              <w:bottom w:val="nil"/>
              <w:right w:val="nil"/>
            </w:tcBorders>
            <w:shd w:val="clear" w:color="auto" w:fill="auto"/>
          </w:tcPr>
          <w:p w14:paraId="242E8D08" w14:textId="1E9B4F97" w:rsidR="00C416EE" w:rsidRPr="009702B0" w:rsidRDefault="00C416EE" w:rsidP="00C416EE">
            <w:pPr>
              <w:tabs>
                <w:tab w:val="right" w:pos="1202"/>
              </w:tabs>
              <w:spacing w:after="0" w:line="280" w:lineRule="exact"/>
              <w:jc w:val="right"/>
              <w:outlineLvl w:val="0"/>
              <w:rPr>
                <w:sz w:val="19"/>
                <w:szCs w:val="19"/>
              </w:rPr>
            </w:pPr>
            <w:r w:rsidRPr="00B37BF4">
              <w:rPr>
                <w:sz w:val="19"/>
                <w:szCs w:val="19"/>
              </w:rPr>
              <w:t>2</w:t>
            </w:r>
            <w:r>
              <w:rPr>
                <w:sz w:val="19"/>
                <w:szCs w:val="19"/>
              </w:rPr>
              <w:t>,</w:t>
            </w:r>
            <w:r w:rsidRPr="00B37BF4">
              <w:rPr>
                <w:sz w:val="19"/>
                <w:szCs w:val="19"/>
              </w:rPr>
              <w:t>191</w:t>
            </w:r>
            <w:r>
              <w:rPr>
                <w:sz w:val="19"/>
                <w:szCs w:val="19"/>
              </w:rPr>
              <w:t>,</w:t>
            </w:r>
            <w:r w:rsidRPr="00B37BF4">
              <w:rPr>
                <w:sz w:val="19"/>
                <w:szCs w:val="19"/>
              </w:rPr>
              <w:t>616</w:t>
            </w:r>
          </w:p>
        </w:tc>
        <w:tc>
          <w:tcPr>
            <w:tcW w:w="719" w:type="pct"/>
            <w:tcBorders>
              <w:top w:val="nil"/>
              <w:left w:val="nil"/>
              <w:bottom w:val="nil"/>
              <w:right w:val="nil"/>
            </w:tcBorders>
            <w:shd w:val="clear" w:color="auto" w:fill="auto"/>
          </w:tcPr>
          <w:p w14:paraId="28E5417A" w14:textId="47491C50" w:rsidR="00C416EE" w:rsidRPr="009702B0" w:rsidRDefault="00C416EE" w:rsidP="00C416EE">
            <w:pPr>
              <w:tabs>
                <w:tab w:val="right" w:pos="1202"/>
              </w:tabs>
              <w:spacing w:after="0" w:line="280" w:lineRule="exact"/>
              <w:jc w:val="right"/>
              <w:outlineLvl w:val="0"/>
              <w:rPr>
                <w:sz w:val="19"/>
                <w:szCs w:val="19"/>
              </w:rPr>
            </w:pPr>
            <w:r w:rsidRPr="00B37BF4">
              <w:rPr>
                <w:sz w:val="19"/>
                <w:szCs w:val="19"/>
              </w:rPr>
              <w:t>-</w:t>
            </w:r>
          </w:p>
        </w:tc>
        <w:tc>
          <w:tcPr>
            <w:tcW w:w="719" w:type="pct"/>
            <w:tcBorders>
              <w:top w:val="nil"/>
              <w:left w:val="nil"/>
              <w:bottom w:val="nil"/>
              <w:right w:val="nil"/>
            </w:tcBorders>
            <w:shd w:val="clear" w:color="auto" w:fill="auto"/>
          </w:tcPr>
          <w:p w14:paraId="7E0DA96D" w14:textId="5ACFF557" w:rsidR="00C416EE" w:rsidRPr="009702B0" w:rsidRDefault="00C416EE" w:rsidP="00C416EE">
            <w:pPr>
              <w:tabs>
                <w:tab w:val="right" w:pos="1202"/>
              </w:tabs>
              <w:spacing w:after="0" w:line="280" w:lineRule="exact"/>
              <w:jc w:val="right"/>
              <w:outlineLvl w:val="0"/>
              <w:rPr>
                <w:sz w:val="19"/>
                <w:szCs w:val="19"/>
              </w:rPr>
            </w:pPr>
            <w:r w:rsidRPr="00B37BF4">
              <w:rPr>
                <w:sz w:val="19"/>
                <w:szCs w:val="19"/>
              </w:rPr>
              <w:t>-</w:t>
            </w:r>
          </w:p>
        </w:tc>
        <w:tc>
          <w:tcPr>
            <w:tcW w:w="720" w:type="pct"/>
            <w:tcBorders>
              <w:top w:val="nil"/>
              <w:left w:val="nil"/>
              <w:bottom w:val="nil"/>
              <w:right w:val="nil"/>
            </w:tcBorders>
            <w:shd w:val="clear" w:color="auto" w:fill="auto"/>
          </w:tcPr>
          <w:p w14:paraId="6D29BF12" w14:textId="7703E0FF" w:rsidR="00C416EE" w:rsidRPr="009702B0" w:rsidRDefault="00C416EE" w:rsidP="00C416EE">
            <w:pPr>
              <w:tabs>
                <w:tab w:val="right" w:pos="1202"/>
              </w:tabs>
              <w:spacing w:after="0" w:line="280" w:lineRule="exact"/>
              <w:jc w:val="right"/>
              <w:outlineLvl w:val="0"/>
              <w:rPr>
                <w:sz w:val="19"/>
                <w:szCs w:val="19"/>
              </w:rPr>
            </w:pPr>
            <w:r w:rsidRPr="00B37BF4">
              <w:rPr>
                <w:sz w:val="19"/>
                <w:szCs w:val="19"/>
              </w:rPr>
              <w:t>2</w:t>
            </w:r>
            <w:r>
              <w:rPr>
                <w:sz w:val="19"/>
                <w:szCs w:val="19"/>
              </w:rPr>
              <w:t>,</w:t>
            </w:r>
            <w:r w:rsidRPr="00B37BF4">
              <w:rPr>
                <w:sz w:val="19"/>
                <w:szCs w:val="19"/>
              </w:rPr>
              <w:t>191</w:t>
            </w:r>
            <w:r>
              <w:rPr>
                <w:sz w:val="19"/>
                <w:szCs w:val="19"/>
              </w:rPr>
              <w:t>,</w:t>
            </w:r>
            <w:r w:rsidRPr="00B37BF4">
              <w:rPr>
                <w:sz w:val="19"/>
                <w:szCs w:val="19"/>
              </w:rPr>
              <w:t>616</w:t>
            </w:r>
          </w:p>
        </w:tc>
      </w:tr>
      <w:tr w:rsidR="00C416EE" w:rsidRPr="009702B0" w14:paraId="70065E1D" w14:textId="77777777" w:rsidTr="006B318F">
        <w:tblPrEx>
          <w:tblCellMar>
            <w:left w:w="31" w:type="dxa"/>
            <w:right w:w="31" w:type="dxa"/>
          </w:tblCellMar>
        </w:tblPrEx>
        <w:trPr>
          <w:cantSplit/>
          <w:trHeight w:val="250"/>
          <w:tblHeader/>
        </w:trPr>
        <w:tc>
          <w:tcPr>
            <w:tcW w:w="2123" w:type="pct"/>
            <w:vAlign w:val="bottom"/>
          </w:tcPr>
          <w:p w14:paraId="482224AC" w14:textId="77777777" w:rsidR="00C416EE" w:rsidRPr="009702B0" w:rsidRDefault="00C416EE" w:rsidP="00C416EE">
            <w:pPr>
              <w:tabs>
                <w:tab w:val="right" w:pos="1202"/>
              </w:tabs>
              <w:spacing w:after="0" w:line="280" w:lineRule="exact"/>
              <w:outlineLvl w:val="0"/>
              <w:rPr>
                <w:sz w:val="19"/>
                <w:szCs w:val="19"/>
              </w:rPr>
            </w:pPr>
            <w:r>
              <w:rPr>
                <w:sz w:val="19"/>
                <w:szCs w:val="19"/>
              </w:rPr>
              <w:t>Open letters of credit in foreign currency</w:t>
            </w:r>
          </w:p>
        </w:tc>
        <w:tc>
          <w:tcPr>
            <w:tcW w:w="719" w:type="pct"/>
            <w:tcBorders>
              <w:top w:val="nil"/>
              <w:left w:val="nil"/>
              <w:bottom w:val="nil"/>
              <w:right w:val="nil"/>
            </w:tcBorders>
            <w:shd w:val="clear" w:color="auto" w:fill="auto"/>
          </w:tcPr>
          <w:p w14:paraId="60E5C51B" w14:textId="6ADB8108" w:rsidR="00C416EE" w:rsidRPr="009702B0" w:rsidRDefault="00C416EE" w:rsidP="00C416EE">
            <w:pPr>
              <w:tabs>
                <w:tab w:val="right" w:pos="1202"/>
              </w:tabs>
              <w:spacing w:after="0" w:line="280" w:lineRule="exact"/>
              <w:jc w:val="right"/>
              <w:outlineLvl w:val="0"/>
              <w:rPr>
                <w:sz w:val="19"/>
                <w:szCs w:val="19"/>
              </w:rPr>
            </w:pPr>
            <w:r w:rsidRPr="00B37BF4">
              <w:rPr>
                <w:sz w:val="19"/>
                <w:szCs w:val="19"/>
              </w:rPr>
              <w:t>990</w:t>
            </w:r>
          </w:p>
        </w:tc>
        <w:tc>
          <w:tcPr>
            <w:tcW w:w="719" w:type="pct"/>
            <w:tcBorders>
              <w:top w:val="nil"/>
              <w:left w:val="nil"/>
              <w:bottom w:val="nil"/>
              <w:right w:val="nil"/>
            </w:tcBorders>
            <w:shd w:val="clear" w:color="auto" w:fill="auto"/>
          </w:tcPr>
          <w:p w14:paraId="69C788DA" w14:textId="01F20D6A" w:rsidR="00C416EE" w:rsidRPr="009702B0" w:rsidRDefault="00C416EE" w:rsidP="00C416EE">
            <w:pPr>
              <w:tabs>
                <w:tab w:val="right" w:pos="1202"/>
              </w:tabs>
              <w:spacing w:after="0" w:line="280" w:lineRule="exact"/>
              <w:jc w:val="right"/>
              <w:outlineLvl w:val="0"/>
              <w:rPr>
                <w:sz w:val="19"/>
                <w:szCs w:val="19"/>
              </w:rPr>
            </w:pPr>
            <w:r w:rsidRPr="00B37BF4">
              <w:rPr>
                <w:sz w:val="19"/>
                <w:szCs w:val="19"/>
              </w:rPr>
              <w:t>-</w:t>
            </w:r>
          </w:p>
        </w:tc>
        <w:tc>
          <w:tcPr>
            <w:tcW w:w="719" w:type="pct"/>
            <w:tcBorders>
              <w:top w:val="nil"/>
              <w:left w:val="nil"/>
              <w:bottom w:val="nil"/>
              <w:right w:val="nil"/>
            </w:tcBorders>
            <w:shd w:val="clear" w:color="auto" w:fill="auto"/>
          </w:tcPr>
          <w:p w14:paraId="26DA108D" w14:textId="3DF95893" w:rsidR="00C416EE" w:rsidRPr="009702B0" w:rsidRDefault="00C416EE" w:rsidP="00C416EE">
            <w:pPr>
              <w:tabs>
                <w:tab w:val="right" w:pos="1202"/>
              </w:tabs>
              <w:spacing w:after="0" w:line="280" w:lineRule="exact"/>
              <w:jc w:val="right"/>
              <w:outlineLvl w:val="0"/>
              <w:rPr>
                <w:sz w:val="19"/>
                <w:szCs w:val="19"/>
              </w:rPr>
            </w:pPr>
            <w:r w:rsidRPr="00B37BF4">
              <w:rPr>
                <w:sz w:val="19"/>
                <w:szCs w:val="19"/>
              </w:rPr>
              <w:t>-</w:t>
            </w:r>
          </w:p>
        </w:tc>
        <w:tc>
          <w:tcPr>
            <w:tcW w:w="720" w:type="pct"/>
            <w:tcBorders>
              <w:top w:val="nil"/>
              <w:left w:val="nil"/>
              <w:bottom w:val="nil"/>
              <w:right w:val="nil"/>
            </w:tcBorders>
            <w:shd w:val="clear" w:color="auto" w:fill="auto"/>
          </w:tcPr>
          <w:p w14:paraId="16B9C6A5" w14:textId="21C7DAAB" w:rsidR="00C416EE" w:rsidRPr="009702B0" w:rsidRDefault="00C416EE" w:rsidP="00C416EE">
            <w:pPr>
              <w:tabs>
                <w:tab w:val="right" w:pos="1202"/>
              </w:tabs>
              <w:spacing w:after="0" w:line="280" w:lineRule="exact"/>
              <w:jc w:val="right"/>
              <w:outlineLvl w:val="0"/>
              <w:rPr>
                <w:sz w:val="19"/>
                <w:szCs w:val="19"/>
              </w:rPr>
            </w:pPr>
            <w:r w:rsidRPr="00B37BF4">
              <w:rPr>
                <w:sz w:val="19"/>
                <w:szCs w:val="19"/>
              </w:rPr>
              <w:t>990</w:t>
            </w:r>
          </w:p>
        </w:tc>
      </w:tr>
      <w:tr w:rsidR="00C416EE" w:rsidRPr="009702B0" w14:paraId="657C99FE" w14:textId="77777777" w:rsidTr="006B318F">
        <w:tblPrEx>
          <w:tblCellMar>
            <w:left w:w="31" w:type="dxa"/>
            <w:right w:w="31" w:type="dxa"/>
          </w:tblCellMar>
        </w:tblPrEx>
        <w:trPr>
          <w:cantSplit/>
          <w:trHeight w:val="250"/>
          <w:tblHeader/>
        </w:trPr>
        <w:tc>
          <w:tcPr>
            <w:tcW w:w="2123" w:type="pct"/>
            <w:vAlign w:val="bottom"/>
          </w:tcPr>
          <w:p w14:paraId="3F5564E3" w14:textId="77777777" w:rsidR="00C416EE" w:rsidRPr="009702B0" w:rsidRDefault="00C416EE" w:rsidP="00C416EE">
            <w:pPr>
              <w:tabs>
                <w:tab w:val="right" w:pos="1202"/>
              </w:tabs>
              <w:spacing w:after="0" w:line="280" w:lineRule="exact"/>
              <w:outlineLvl w:val="0"/>
              <w:rPr>
                <w:sz w:val="19"/>
                <w:szCs w:val="19"/>
              </w:rPr>
            </w:pPr>
            <w:r w:rsidRPr="009702B0">
              <w:rPr>
                <w:sz w:val="19"/>
                <w:szCs w:val="19"/>
              </w:rPr>
              <w:t>Undrawn loans</w:t>
            </w:r>
          </w:p>
        </w:tc>
        <w:tc>
          <w:tcPr>
            <w:tcW w:w="719" w:type="pct"/>
            <w:tcBorders>
              <w:top w:val="nil"/>
              <w:left w:val="nil"/>
              <w:bottom w:val="nil"/>
              <w:right w:val="nil"/>
            </w:tcBorders>
            <w:shd w:val="clear" w:color="auto" w:fill="auto"/>
          </w:tcPr>
          <w:p w14:paraId="4A0C3719" w14:textId="0B1CA5BF" w:rsidR="00C416EE" w:rsidRPr="009702B0" w:rsidRDefault="00C416EE" w:rsidP="00C416EE">
            <w:pPr>
              <w:tabs>
                <w:tab w:val="right" w:pos="1202"/>
              </w:tabs>
              <w:spacing w:after="0" w:line="280" w:lineRule="exact"/>
              <w:jc w:val="right"/>
              <w:outlineLvl w:val="0"/>
              <w:rPr>
                <w:rFonts w:cs="Arial"/>
                <w:sz w:val="19"/>
                <w:szCs w:val="19"/>
              </w:rPr>
            </w:pPr>
            <w:r w:rsidRPr="00B37BF4">
              <w:rPr>
                <w:sz w:val="19"/>
                <w:szCs w:val="19"/>
              </w:rPr>
              <w:t>3</w:t>
            </w:r>
            <w:r>
              <w:rPr>
                <w:sz w:val="19"/>
                <w:szCs w:val="19"/>
              </w:rPr>
              <w:t>,</w:t>
            </w:r>
            <w:r w:rsidRPr="00B37BF4">
              <w:rPr>
                <w:sz w:val="19"/>
                <w:szCs w:val="19"/>
              </w:rPr>
              <w:t>194</w:t>
            </w:r>
            <w:r>
              <w:rPr>
                <w:sz w:val="19"/>
                <w:szCs w:val="19"/>
              </w:rPr>
              <w:t>,</w:t>
            </w:r>
            <w:r w:rsidRPr="00B37BF4">
              <w:rPr>
                <w:sz w:val="19"/>
                <w:szCs w:val="19"/>
              </w:rPr>
              <w:t>161</w:t>
            </w:r>
          </w:p>
        </w:tc>
        <w:tc>
          <w:tcPr>
            <w:tcW w:w="719" w:type="pct"/>
            <w:tcBorders>
              <w:top w:val="nil"/>
              <w:left w:val="nil"/>
              <w:bottom w:val="nil"/>
              <w:right w:val="nil"/>
            </w:tcBorders>
            <w:shd w:val="clear" w:color="auto" w:fill="auto"/>
          </w:tcPr>
          <w:p w14:paraId="51AAA3BB" w14:textId="650F38C5" w:rsidR="00C416EE" w:rsidRPr="009702B0" w:rsidRDefault="00C416EE" w:rsidP="00C416EE">
            <w:pPr>
              <w:tabs>
                <w:tab w:val="right" w:pos="1202"/>
              </w:tabs>
              <w:spacing w:after="0" w:line="280" w:lineRule="exact"/>
              <w:jc w:val="right"/>
              <w:outlineLvl w:val="0"/>
              <w:rPr>
                <w:rFonts w:cs="Arial"/>
                <w:sz w:val="19"/>
                <w:szCs w:val="19"/>
              </w:rPr>
            </w:pPr>
            <w:r w:rsidRPr="00B37BF4">
              <w:rPr>
                <w:sz w:val="19"/>
                <w:szCs w:val="19"/>
              </w:rPr>
              <w:t>-</w:t>
            </w:r>
          </w:p>
        </w:tc>
        <w:tc>
          <w:tcPr>
            <w:tcW w:w="719" w:type="pct"/>
            <w:tcBorders>
              <w:top w:val="nil"/>
              <w:left w:val="nil"/>
              <w:bottom w:val="nil"/>
              <w:right w:val="nil"/>
            </w:tcBorders>
            <w:shd w:val="clear" w:color="auto" w:fill="auto"/>
          </w:tcPr>
          <w:p w14:paraId="1A581B1F" w14:textId="1401DA1A" w:rsidR="00C416EE" w:rsidRPr="009702B0" w:rsidRDefault="00C416EE" w:rsidP="00C416EE">
            <w:pPr>
              <w:tabs>
                <w:tab w:val="right" w:pos="1202"/>
              </w:tabs>
              <w:spacing w:after="0" w:line="280" w:lineRule="exact"/>
              <w:jc w:val="right"/>
              <w:outlineLvl w:val="0"/>
              <w:rPr>
                <w:rFonts w:cs="Arial"/>
                <w:sz w:val="19"/>
                <w:szCs w:val="19"/>
              </w:rPr>
            </w:pPr>
            <w:r w:rsidRPr="00B37BF4">
              <w:rPr>
                <w:sz w:val="19"/>
                <w:szCs w:val="19"/>
              </w:rPr>
              <w:t>142</w:t>
            </w:r>
            <w:r>
              <w:rPr>
                <w:sz w:val="19"/>
                <w:szCs w:val="19"/>
              </w:rPr>
              <w:t>,</w:t>
            </w:r>
            <w:r w:rsidRPr="00B37BF4">
              <w:rPr>
                <w:sz w:val="19"/>
                <w:szCs w:val="19"/>
              </w:rPr>
              <w:t>118</w:t>
            </w:r>
          </w:p>
        </w:tc>
        <w:tc>
          <w:tcPr>
            <w:tcW w:w="720" w:type="pct"/>
            <w:tcBorders>
              <w:top w:val="nil"/>
              <w:left w:val="nil"/>
              <w:bottom w:val="nil"/>
              <w:right w:val="nil"/>
            </w:tcBorders>
            <w:shd w:val="clear" w:color="auto" w:fill="auto"/>
          </w:tcPr>
          <w:p w14:paraId="4115341A" w14:textId="2618C694" w:rsidR="00C416EE" w:rsidRPr="009702B0" w:rsidRDefault="00C416EE" w:rsidP="00C416EE">
            <w:pPr>
              <w:tabs>
                <w:tab w:val="right" w:pos="1202"/>
              </w:tabs>
              <w:spacing w:after="0" w:line="280" w:lineRule="exact"/>
              <w:jc w:val="right"/>
              <w:outlineLvl w:val="0"/>
              <w:rPr>
                <w:rFonts w:cs="Arial"/>
                <w:sz w:val="19"/>
                <w:szCs w:val="19"/>
              </w:rPr>
            </w:pPr>
            <w:r w:rsidRPr="00B37BF4">
              <w:rPr>
                <w:sz w:val="19"/>
                <w:szCs w:val="19"/>
              </w:rPr>
              <w:t>3</w:t>
            </w:r>
            <w:r>
              <w:rPr>
                <w:sz w:val="19"/>
                <w:szCs w:val="19"/>
              </w:rPr>
              <w:t>,</w:t>
            </w:r>
            <w:r w:rsidRPr="00B37BF4">
              <w:rPr>
                <w:sz w:val="19"/>
                <w:szCs w:val="19"/>
              </w:rPr>
              <w:t>336</w:t>
            </w:r>
            <w:r>
              <w:rPr>
                <w:sz w:val="19"/>
                <w:szCs w:val="19"/>
              </w:rPr>
              <w:t>,</w:t>
            </w:r>
            <w:r w:rsidRPr="00B37BF4">
              <w:rPr>
                <w:sz w:val="19"/>
                <w:szCs w:val="19"/>
              </w:rPr>
              <w:t>279</w:t>
            </w:r>
          </w:p>
        </w:tc>
      </w:tr>
      <w:tr w:rsidR="00C416EE" w:rsidRPr="009702B0" w14:paraId="3FD6876D" w14:textId="77777777" w:rsidTr="006B318F">
        <w:tblPrEx>
          <w:tblCellMar>
            <w:left w:w="31" w:type="dxa"/>
            <w:right w:w="31" w:type="dxa"/>
          </w:tblCellMar>
        </w:tblPrEx>
        <w:trPr>
          <w:cantSplit/>
          <w:trHeight w:val="203"/>
          <w:tblHeader/>
        </w:trPr>
        <w:tc>
          <w:tcPr>
            <w:tcW w:w="2123" w:type="pct"/>
          </w:tcPr>
          <w:p w14:paraId="782C893A" w14:textId="77777777" w:rsidR="00C416EE" w:rsidRPr="009702B0" w:rsidRDefault="00C416EE" w:rsidP="00C416EE">
            <w:pPr>
              <w:tabs>
                <w:tab w:val="right" w:pos="1202"/>
              </w:tabs>
              <w:spacing w:after="0" w:line="280" w:lineRule="exact"/>
              <w:outlineLvl w:val="0"/>
              <w:rPr>
                <w:color w:val="FF0000"/>
                <w:sz w:val="19"/>
                <w:szCs w:val="19"/>
              </w:rPr>
            </w:pPr>
            <w:r w:rsidRPr="009702B0">
              <w:rPr>
                <w:sz w:val="19"/>
                <w:szCs w:val="19"/>
              </w:rPr>
              <w:t>Other irrevocable contingent liabilities</w:t>
            </w:r>
          </w:p>
        </w:tc>
        <w:tc>
          <w:tcPr>
            <w:tcW w:w="719" w:type="pct"/>
            <w:tcBorders>
              <w:top w:val="nil"/>
              <w:left w:val="nil"/>
              <w:bottom w:val="nil"/>
              <w:right w:val="nil"/>
            </w:tcBorders>
            <w:shd w:val="clear" w:color="auto" w:fill="auto"/>
          </w:tcPr>
          <w:p w14:paraId="5F995BBF" w14:textId="1F86D8E9" w:rsidR="00C416EE" w:rsidRPr="009702B0" w:rsidRDefault="00C416EE" w:rsidP="00C416EE">
            <w:pPr>
              <w:tabs>
                <w:tab w:val="right" w:pos="1202"/>
              </w:tabs>
              <w:spacing w:after="0" w:line="280" w:lineRule="exact"/>
              <w:jc w:val="right"/>
              <w:outlineLvl w:val="0"/>
              <w:rPr>
                <w:sz w:val="19"/>
                <w:szCs w:val="19"/>
              </w:rPr>
            </w:pPr>
            <w:r w:rsidRPr="00B37BF4">
              <w:rPr>
                <w:sz w:val="19"/>
                <w:szCs w:val="19"/>
              </w:rPr>
              <w:t>335</w:t>
            </w:r>
          </w:p>
        </w:tc>
        <w:tc>
          <w:tcPr>
            <w:tcW w:w="719" w:type="pct"/>
            <w:tcBorders>
              <w:top w:val="nil"/>
              <w:left w:val="nil"/>
              <w:bottom w:val="nil"/>
              <w:right w:val="nil"/>
            </w:tcBorders>
            <w:shd w:val="clear" w:color="auto" w:fill="auto"/>
          </w:tcPr>
          <w:p w14:paraId="19619AF6" w14:textId="133C1E84" w:rsidR="00C416EE" w:rsidRPr="009702B0" w:rsidRDefault="00C416EE" w:rsidP="00C416EE">
            <w:pPr>
              <w:tabs>
                <w:tab w:val="right" w:pos="1202"/>
              </w:tabs>
              <w:spacing w:after="0" w:line="280" w:lineRule="exact"/>
              <w:jc w:val="right"/>
              <w:outlineLvl w:val="0"/>
              <w:rPr>
                <w:sz w:val="19"/>
                <w:szCs w:val="19"/>
              </w:rPr>
            </w:pPr>
            <w:r w:rsidRPr="00B37BF4">
              <w:rPr>
                <w:sz w:val="19"/>
                <w:szCs w:val="19"/>
              </w:rPr>
              <w:t>-</w:t>
            </w:r>
          </w:p>
        </w:tc>
        <w:tc>
          <w:tcPr>
            <w:tcW w:w="719" w:type="pct"/>
            <w:tcBorders>
              <w:top w:val="nil"/>
              <w:left w:val="nil"/>
              <w:bottom w:val="nil"/>
              <w:right w:val="nil"/>
            </w:tcBorders>
            <w:shd w:val="clear" w:color="auto" w:fill="auto"/>
          </w:tcPr>
          <w:p w14:paraId="50828A69" w14:textId="046B6674" w:rsidR="00C416EE" w:rsidRPr="009702B0" w:rsidRDefault="00C416EE" w:rsidP="00C416EE">
            <w:pPr>
              <w:tabs>
                <w:tab w:val="right" w:pos="1202"/>
              </w:tabs>
              <w:spacing w:after="0" w:line="280" w:lineRule="exact"/>
              <w:jc w:val="right"/>
              <w:outlineLvl w:val="0"/>
              <w:rPr>
                <w:sz w:val="19"/>
                <w:szCs w:val="19"/>
              </w:rPr>
            </w:pPr>
            <w:r w:rsidRPr="00B37BF4">
              <w:rPr>
                <w:sz w:val="19"/>
                <w:szCs w:val="19"/>
              </w:rPr>
              <w:t>-</w:t>
            </w:r>
          </w:p>
        </w:tc>
        <w:tc>
          <w:tcPr>
            <w:tcW w:w="720" w:type="pct"/>
            <w:tcBorders>
              <w:top w:val="nil"/>
              <w:left w:val="nil"/>
              <w:bottom w:val="nil"/>
              <w:right w:val="nil"/>
            </w:tcBorders>
            <w:shd w:val="clear" w:color="auto" w:fill="auto"/>
          </w:tcPr>
          <w:p w14:paraId="3B04BD14" w14:textId="274621F8" w:rsidR="00C416EE" w:rsidRPr="009702B0" w:rsidRDefault="00C416EE" w:rsidP="00C416EE">
            <w:pPr>
              <w:tabs>
                <w:tab w:val="right" w:pos="1202"/>
              </w:tabs>
              <w:spacing w:after="0" w:line="280" w:lineRule="exact"/>
              <w:jc w:val="right"/>
              <w:outlineLvl w:val="0"/>
              <w:rPr>
                <w:sz w:val="19"/>
                <w:szCs w:val="19"/>
              </w:rPr>
            </w:pPr>
            <w:r w:rsidRPr="00B37BF4">
              <w:rPr>
                <w:sz w:val="19"/>
                <w:szCs w:val="19"/>
              </w:rPr>
              <w:t>335</w:t>
            </w:r>
          </w:p>
        </w:tc>
      </w:tr>
      <w:tr w:rsidR="00C416EE" w:rsidRPr="009702B0" w14:paraId="73B67025" w14:textId="77777777" w:rsidTr="006B318F">
        <w:tblPrEx>
          <w:tblCellMar>
            <w:left w:w="31" w:type="dxa"/>
            <w:right w:w="31" w:type="dxa"/>
          </w:tblCellMar>
        </w:tblPrEx>
        <w:trPr>
          <w:cantSplit/>
          <w:trHeight w:val="203"/>
          <w:tblHeader/>
        </w:trPr>
        <w:tc>
          <w:tcPr>
            <w:tcW w:w="2123" w:type="pct"/>
            <w:vAlign w:val="bottom"/>
          </w:tcPr>
          <w:p w14:paraId="24162E4D" w14:textId="77777777" w:rsidR="00C416EE" w:rsidRPr="009702B0" w:rsidRDefault="00C416EE" w:rsidP="00C416EE">
            <w:pPr>
              <w:tabs>
                <w:tab w:val="right" w:pos="1202"/>
              </w:tabs>
              <w:spacing w:after="0" w:line="280" w:lineRule="exact"/>
              <w:outlineLvl w:val="0"/>
              <w:rPr>
                <w:b/>
                <w:bCs/>
                <w:sz w:val="19"/>
                <w:szCs w:val="19"/>
              </w:rPr>
            </w:pPr>
            <w:r w:rsidRPr="009702B0">
              <w:rPr>
                <w:b/>
                <w:bCs/>
                <w:sz w:val="19"/>
                <w:szCs w:val="19"/>
              </w:rPr>
              <w:t>Total</w:t>
            </w:r>
          </w:p>
        </w:tc>
        <w:tc>
          <w:tcPr>
            <w:tcW w:w="719" w:type="pct"/>
            <w:tcBorders>
              <w:top w:val="single" w:sz="8" w:space="0" w:color="auto"/>
              <w:left w:val="nil"/>
              <w:bottom w:val="single" w:sz="12" w:space="0" w:color="auto"/>
              <w:right w:val="nil"/>
            </w:tcBorders>
            <w:shd w:val="clear" w:color="auto" w:fill="auto"/>
          </w:tcPr>
          <w:p w14:paraId="01FB0150" w14:textId="4891F8EA" w:rsidR="00C416EE" w:rsidRPr="009702B0" w:rsidRDefault="00C416EE" w:rsidP="00C416EE">
            <w:pPr>
              <w:tabs>
                <w:tab w:val="right" w:pos="1202"/>
              </w:tabs>
              <w:spacing w:after="0" w:line="280" w:lineRule="exact"/>
              <w:jc w:val="right"/>
              <w:outlineLvl w:val="0"/>
              <w:rPr>
                <w:b/>
                <w:sz w:val="19"/>
                <w:szCs w:val="19"/>
              </w:rPr>
            </w:pPr>
            <w:r w:rsidRPr="00B37BF4">
              <w:rPr>
                <w:b/>
                <w:sz w:val="19"/>
                <w:szCs w:val="19"/>
              </w:rPr>
              <w:t>5</w:t>
            </w:r>
            <w:r>
              <w:rPr>
                <w:b/>
                <w:sz w:val="19"/>
                <w:szCs w:val="19"/>
              </w:rPr>
              <w:t>,</w:t>
            </w:r>
            <w:r w:rsidRPr="00B37BF4">
              <w:rPr>
                <w:b/>
                <w:sz w:val="19"/>
                <w:szCs w:val="19"/>
              </w:rPr>
              <w:t>407</w:t>
            </w:r>
            <w:r>
              <w:rPr>
                <w:b/>
                <w:sz w:val="19"/>
                <w:szCs w:val="19"/>
              </w:rPr>
              <w:t>,</w:t>
            </w:r>
            <w:r w:rsidRPr="00B37BF4">
              <w:rPr>
                <w:b/>
                <w:sz w:val="19"/>
                <w:szCs w:val="19"/>
              </w:rPr>
              <w:t>526</w:t>
            </w:r>
          </w:p>
        </w:tc>
        <w:tc>
          <w:tcPr>
            <w:tcW w:w="719" w:type="pct"/>
            <w:tcBorders>
              <w:top w:val="single" w:sz="8" w:space="0" w:color="auto"/>
              <w:left w:val="nil"/>
              <w:bottom w:val="single" w:sz="12" w:space="0" w:color="auto"/>
              <w:right w:val="nil"/>
            </w:tcBorders>
            <w:shd w:val="clear" w:color="auto" w:fill="auto"/>
          </w:tcPr>
          <w:p w14:paraId="156E1C87" w14:textId="23071056" w:rsidR="00C416EE" w:rsidRPr="009702B0" w:rsidRDefault="00C416EE" w:rsidP="00C416EE">
            <w:pPr>
              <w:tabs>
                <w:tab w:val="right" w:pos="1202"/>
              </w:tabs>
              <w:spacing w:after="0" w:line="280" w:lineRule="exact"/>
              <w:jc w:val="right"/>
              <w:outlineLvl w:val="0"/>
              <w:rPr>
                <w:b/>
                <w:sz w:val="19"/>
                <w:szCs w:val="19"/>
              </w:rPr>
            </w:pPr>
            <w:r w:rsidRPr="00B37BF4">
              <w:rPr>
                <w:b/>
                <w:sz w:val="19"/>
                <w:szCs w:val="19"/>
              </w:rPr>
              <w:t>602</w:t>
            </w:r>
          </w:p>
        </w:tc>
        <w:tc>
          <w:tcPr>
            <w:tcW w:w="719" w:type="pct"/>
            <w:tcBorders>
              <w:top w:val="single" w:sz="8" w:space="0" w:color="auto"/>
              <w:left w:val="nil"/>
              <w:bottom w:val="single" w:sz="12" w:space="0" w:color="auto"/>
              <w:right w:val="nil"/>
            </w:tcBorders>
            <w:shd w:val="clear" w:color="auto" w:fill="auto"/>
          </w:tcPr>
          <w:p w14:paraId="3C491EF1" w14:textId="610A7939" w:rsidR="00C416EE" w:rsidRPr="009702B0" w:rsidRDefault="00C416EE" w:rsidP="00C416EE">
            <w:pPr>
              <w:tabs>
                <w:tab w:val="right" w:pos="1202"/>
              </w:tabs>
              <w:spacing w:after="0" w:line="280" w:lineRule="exact"/>
              <w:jc w:val="right"/>
              <w:outlineLvl w:val="0"/>
              <w:rPr>
                <w:b/>
                <w:sz w:val="19"/>
                <w:szCs w:val="19"/>
              </w:rPr>
            </w:pPr>
            <w:r w:rsidRPr="00B37BF4">
              <w:rPr>
                <w:b/>
                <w:sz w:val="19"/>
                <w:szCs w:val="19"/>
              </w:rPr>
              <w:t>142</w:t>
            </w:r>
            <w:r>
              <w:rPr>
                <w:b/>
                <w:sz w:val="19"/>
                <w:szCs w:val="19"/>
              </w:rPr>
              <w:t>,</w:t>
            </w:r>
            <w:r w:rsidRPr="00B37BF4">
              <w:rPr>
                <w:b/>
                <w:sz w:val="19"/>
                <w:szCs w:val="19"/>
              </w:rPr>
              <w:t>118</w:t>
            </w:r>
          </w:p>
        </w:tc>
        <w:tc>
          <w:tcPr>
            <w:tcW w:w="720" w:type="pct"/>
            <w:tcBorders>
              <w:top w:val="single" w:sz="8" w:space="0" w:color="auto"/>
              <w:left w:val="nil"/>
              <w:bottom w:val="single" w:sz="12" w:space="0" w:color="auto"/>
              <w:right w:val="nil"/>
            </w:tcBorders>
            <w:shd w:val="clear" w:color="auto" w:fill="auto"/>
          </w:tcPr>
          <w:p w14:paraId="5C34E15C" w14:textId="69D97292" w:rsidR="00C416EE" w:rsidRPr="009702B0" w:rsidRDefault="00C416EE" w:rsidP="00C416EE">
            <w:pPr>
              <w:tabs>
                <w:tab w:val="right" w:pos="1202"/>
              </w:tabs>
              <w:spacing w:after="0" w:line="280" w:lineRule="exact"/>
              <w:jc w:val="right"/>
              <w:outlineLvl w:val="0"/>
              <w:rPr>
                <w:b/>
                <w:sz w:val="19"/>
                <w:szCs w:val="19"/>
              </w:rPr>
            </w:pPr>
            <w:r w:rsidRPr="00B37BF4">
              <w:rPr>
                <w:b/>
                <w:sz w:val="19"/>
                <w:szCs w:val="19"/>
              </w:rPr>
              <w:t>5</w:t>
            </w:r>
            <w:r>
              <w:rPr>
                <w:b/>
                <w:sz w:val="19"/>
                <w:szCs w:val="19"/>
              </w:rPr>
              <w:t>,</w:t>
            </w:r>
            <w:r w:rsidRPr="00B37BF4">
              <w:rPr>
                <w:b/>
                <w:sz w:val="19"/>
                <w:szCs w:val="19"/>
              </w:rPr>
              <w:t>550</w:t>
            </w:r>
            <w:r>
              <w:rPr>
                <w:b/>
                <w:sz w:val="19"/>
                <w:szCs w:val="19"/>
              </w:rPr>
              <w:t>,</w:t>
            </w:r>
            <w:r w:rsidRPr="00B37BF4">
              <w:rPr>
                <w:b/>
                <w:sz w:val="19"/>
                <w:szCs w:val="19"/>
              </w:rPr>
              <w:t>246</w:t>
            </w:r>
          </w:p>
        </w:tc>
      </w:tr>
      <w:tr w:rsidR="00C416EE" w:rsidRPr="009702B0" w14:paraId="0818AE46" w14:textId="77777777" w:rsidTr="006B318F">
        <w:tblPrEx>
          <w:tblCellMar>
            <w:left w:w="31" w:type="dxa"/>
            <w:right w:w="31" w:type="dxa"/>
          </w:tblCellMar>
        </w:tblPrEx>
        <w:trPr>
          <w:cantSplit/>
          <w:trHeight w:val="377"/>
          <w:tblHeader/>
        </w:trPr>
        <w:tc>
          <w:tcPr>
            <w:tcW w:w="2123" w:type="pct"/>
            <w:vAlign w:val="bottom"/>
          </w:tcPr>
          <w:p w14:paraId="38F92098" w14:textId="77777777" w:rsidR="00C416EE" w:rsidRPr="009702B0" w:rsidRDefault="00C416EE" w:rsidP="00C416EE">
            <w:pPr>
              <w:tabs>
                <w:tab w:val="right" w:pos="1202"/>
              </w:tabs>
              <w:spacing w:after="0" w:line="280" w:lineRule="exact"/>
              <w:outlineLvl w:val="0"/>
              <w:rPr>
                <w:b/>
                <w:bCs/>
                <w:sz w:val="19"/>
                <w:szCs w:val="19"/>
              </w:rPr>
            </w:pPr>
            <w:r w:rsidRPr="009702B0">
              <w:rPr>
                <w:rFonts w:cs="Arial"/>
                <w:b/>
                <w:bCs/>
                <w:sz w:val="19"/>
                <w:szCs w:val="19"/>
              </w:rPr>
              <w:t>Total credit risk exposure</w:t>
            </w:r>
          </w:p>
        </w:tc>
        <w:tc>
          <w:tcPr>
            <w:tcW w:w="719" w:type="pct"/>
            <w:tcBorders>
              <w:top w:val="nil"/>
              <w:left w:val="nil"/>
              <w:bottom w:val="single" w:sz="12" w:space="0" w:color="auto"/>
              <w:right w:val="nil"/>
            </w:tcBorders>
            <w:shd w:val="clear" w:color="auto" w:fill="auto"/>
            <w:vAlign w:val="bottom"/>
          </w:tcPr>
          <w:p w14:paraId="48644973" w14:textId="53EA5F47" w:rsidR="00C416EE" w:rsidRPr="009702B0" w:rsidRDefault="00C416EE" w:rsidP="00C416EE">
            <w:pPr>
              <w:tabs>
                <w:tab w:val="right" w:pos="1202"/>
              </w:tabs>
              <w:spacing w:after="0" w:line="280" w:lineRule="exact"/>
              <w:jc w:val="right"/>
              <w:outlineLvl w:val="0"/>
              <w:rPr>
                <w:b/>
                <w:sz w:val="19"/>
                <w:szCs w:val="19"/>
              </w:rPr>
            </w:pPr>
            <w:r w:rsidRPr="00B37BF4">
              <w:rPr>
                <w:b/>
                <w:sz w:val="19"/>
                <w:szCs w:val="19"/>
              </w:rPr>
              <w:t>32</w:t>
            </w:r>
            <w:r>
              <w:rPr>
                <w:b/>
                <w:sz w:val="19"/>
                <w:szCs w:val="19"/>
              </w:rPr>
              <w:t>,</w:t>
            </w:r>
            <w:r w:rsidRPr="00B37BF4">
              <w:rPr>
                <w:b/>
                <w:sz w:val="19"/>
                <w:szCs w:val="19"/>
              </w:rPr>
              <w:t>851</w:t>
            </w:r>
            <w:r>
              <w:rPr>
                <w:b/>
                <w:sz w:val="19"/>
                <w:szCs w:val="19"/>
              </w:rPr>
              <w:t>,</w:t>
            </w:r>
            <w:r w:rsidRPr="00B37BF4">
              <w:rPr>
                <w:b/>
                <w:sz w:val="19"/>
                <w:szCs w:val="19"/>
              </w:rPr>
              <w:t>808</w:t>
            </w:r>
          </w:p>
        </w:tc>
        <w:tc>
          <w:tcPr>
            <w:tcW w:w="719" w:type="pct"/>
            <w:tcBorders>
              <w:top w:val="nil"/>
              <w:left w:val="nil"/>
              <w:bottom w:val="single" w:sz="12" w:space="0" w:color="auto"/>
              <w:right w:val="nil"/>
            </w:tcBorders>
            <w:shd w:val="clear" w:color="auto" w:fill="auto"/>
            <w:vAlign w:val="bottom"/>
          </w:tcPr>
          <w:p w14:paraId="4A629FA3" w14:textId="6155FF0F" w:rsidR="00C416EE" w:rsidRPr="009702B0" w:rsidRDefault="00C416EE" w:rsidP="00C416EE">
            <w:pPr>
              <w:tabs>
                <w:tab w:val="right" w:pos="1202"/>
              </w:tabs>
              <w:spacing w:after="0" w:line="280" w:lineRule="exact"/>
              <w:jc w:val="right"/>
              <w:outlineLvl w:val="0"/>
              <w:rPr>
                <w:b/>
                <w:sz w:val="19"/>
                <w:szCs w:val="19"/>
              </w:rPr>
            </w:pPr>
            <w:r w:rsidRPr="00B37BF4">
              <w:rPr>
                <w:b/>
                <w:sz w:val="19"/>
                <w:szCs w:val="19"/>
              </w:rPr>
              <w:t>348</w:t>
            </w:r>
            <w:r>
              <w:rPr>
                <w:b/>
                <w:sz w:val="19"/>
                <w:szCs w:val="19"/>
              </w:rPr>
              <w:t>,</w:t>
            </w:r>
            <w:r w:rsidRPr="00B37BF4">
              <w:rPr>
                <w:b/>
                <w:sz w:val="19"/>
                <w:szCs w:val="19"/>
              </w:rPr>
              <w:t>317</w:t>
            </w:r>
          </w:p>
        </w:tc>
        <w:tc>
          <w:tcPr>
            <w:tcW w:w="719" w:type="pct"/>
            <w:tcBorders>
              <w:top w:val="nil"/>
              <w:left w:val="nil"/>
              <w:bottom w:val="single" w:sz="12" w:space="0" w:color="auto"/>
              <w:right w:val="nil"/>
            </w:tcBorders>
            <w:shd w:val="clear" w:color="auto" w:fill="auto"/>
            <w:vAlign w:val="bottom"/>
          </w:tcPr>
          <w:p w14:paraId="44930868" w14:textId="3B26BB3D" w:rsidR="00C416EE" w:rsidRPr="009702B0" w:rsidRDefault="00C416EE" w:rsidP="00C416EE">
            <w:pPr>
              <w:tabs>
                <w:tab w:val="right" w:pos="1202"/>
              </w:tabs>
              <w:spacing w:after="0" w:line="280" w:lineRule="exact"/>
              <w:jc w:val="right"/>
              <w:outlineLvl w:val="0"/>
              <w:rPr>
                <w:b/>
                <w:sz w:val="19"/>
                <w:szCs w:val="19"/>
              </w:rPr>
            </w:pPr>
            <w:r w:rsidRPr="00B37BF4">
              <w:rPr>
                <w:b/>
                <w:sz w:val="19"/>
                <w:szCs w:val="19"/>
              </w:rPr>
              <w:t>475</w:t>
            </w:r>
            <w:r>
              <w:rPr>
                <w:b/>
                <w:sz w:val="19"/>
                <w:szCs w:val="19"/>
              </w:rPr>
              <w:t>,</w:t>
            </w:r>
            <w:r w:rsidRPr="00B37BF4">
              <w:rPr>
                <w:b/>
                <w:sz w:val="19"/>
                <w:szCs w:val="19"/>
              </w:rPr>
              <w:t>140</w:t>
            </w:r>
          </w:p>
        </w:tc>
        <w:tc>
          <w:tcPr>
            <w:tcW w:w="720" w:type="pct"/>
            <w:tcBorders>
              <w:top w:val="nil"/>
              <w:left w:val="nil"/>
              <w:bottom w:val="single" w:sz="12" w:space="0" w:color="auto"/>
              <w:right w:val="nil"/>
            </w:tcBorders>
            <w:shd w:val="clear" w:color="auto" w:fill="auto"/>
            <w:vAlign w:val="bottom"/>
          </w:tcPr>
          <w:p w14:paraId="57B64F9A" w14:textId="57E9F65D" w:rsidR="00C416EE" w:rsidRPr="009702B0" w:rsidRDefault="00C416EE" w:rsidP="00C416EE">
            <w:pPr>
              <w:tabs>
                <w:tab w:val="right" w:pos="1202"/>
              </w:tabs>
              <w:spacing w:after="0" w:line="280" w:lineRule="exact"/>
              <w:jc w:val="right"/>
              <w:outlineLvl w:val="0"/>
              <w:rPr>
                <w:b/>
                <w:sz w:val="19"/>
                <w:szCs w:val="19"/>
              </w:rPr>
            </w:pPr>
            <w:r w:rsidRPr="00B37BF4">
              <w:rPr>
                <w:b/>
                <w:sz w:val="19"/>
                <w:szCs w:val="19"/>
              </w:rPr>
              <w:t>33</w:t>
            </w:r>
            <w:r>
              <w:rPr>
                <w:b/>
                <w:sz w:val="19"/>
                <w:szCs w:val="19"/>
              </w:rPr>
              <w:t>,</w:t>
            </w:r>
            <w:r w:rsidRPr="00B37BF4">
              <w:rPr>
                <w:b/>
                <w:sz w:val="19"/>
                <w:szCs w:val="19"/>
              </w:rPr>
              <w:t>675</w:t>
            </w:r>
            <w:r>
              <w:rPr>
                <w:b/>
                <w:sz w:val="19"/>
                <w:szCs w:val="19"/>
              </w:rPr>
              <w:t>,</w:t>
            </w:r>
            <w:r w:rsidRPr="00B37BF4">
              <w:rPr>
                <w:b/>
                <w:sz w:val="19"/>
                <w:szCs w:val="19"/>
              </w:rPr>
              <w:t>265</w:t>
            </w:r>
          </w:p>
        </w:tc>
      </w:tr>
    </w:tbl>
    <w:p w14:paraId="35E2796A" w14:textId="77777777" w:rsidR="009702B0" w:rsidRPr="009702B0" w:rsidRDefault="009702B0" w:rsidP="009702B0">
      <w:pPr>
        <w:rPr>
          <w:rFonts w:cs="Arial"/>
          <w:b/>
          <w:bCs/>
          <w:highlight w:val="yellow"/>
        </w:rPr>
      </w:pPr>
    </w:p>
    <w:p w14:paraId="4C58A402" w14:textId="77777777" w:rsidR="009702B0" w:rsidRPr="009702B0" w:rsidRDefault="009702B0" w:rsidP="009702B0">
      <w:pPr>
        <w:rPr>
          <w:rFonts w:cs="Arial"/>
          <w:b/>
          <w:bCs/>
          <w:highlight w:val="yellow"/>
        </w:rPr>
      </w:pPr>
    </w:p>
    <w:p w14:paraId="7F98CC05" w14:textId="77777777" w:rsidR="009702B0" w:rsidRPr="009702B0" w:rsidRDefault="009702B0" w:rsidP="009702B0">
      <w:pPr>
        <w:spacing w:after="0" w:line="240" w:lineRule="auto"/>
        <w:jc w:val="both"/>
        <w:rPr>
          <w:rFonts w:eastAsia="Times New Roman" w:cs="Calibri"/>
          <w:b/>
          <w:sz w:val="24"/>
          <w:szCs w:val="24"/>
        </w:rPr>
        <w:sectPr w:rsidR="009702B0" w:rsidRPr="009702B0" w:rsidSect="00947CB7">
          <w:footerReference w:type="first" r:id="rId82"/>
          <w:pgSz w:w="11906" w:h="16838" w:code="9"/>
          <w:pgMar w:top="1418" w:right="1418" w:bottom="595" w:left="1134" w:header="709" w:footer="709" w:gutter="0"/>
          <w:cols w:space="708"/>
          <w:titlePg/>
          <w:docGrid w:linePitch="360"/>
        </w:sectPr>
      </w:pPr>
    </w:p>
    <w:p w14:paraId="23D7E037" w14:textId="77777777" w:rsidR="009702B0" w:rsidRPr="009702B0" w:rsidRDefault="009702B0" w:rsidP="009702B0">
      <w:pPr>
        <w:keepNext/>
        <w:spacing w:after="0" w:line="240" w:lineRule="auto"/>
        <w:jc w:val="both"/>
        <w:rPr>
          <w:rFonts w:ascii="Arial" w:eastAsia="Times New Roman" w:hAnsi="Arial" w:cs="Arial"/>
          <w:b/>
          <w:bCs/>
        </w:rPr>
      </w:pPr>
    </w:p>
    <w:p w14:paraId="2BC17653"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14:paraId="37E5078C" w14:textId="77777777" w:rsidR="009702B0" w:rsidRPr="009702B0" w:rsidRDefault="009702B0" w:rsidP="009702B0">
      <w:pPr>
        <w:keepNext/>
        <w:spacing w:after="0" w:line="240" w:lineRule="auto"/>
        <w:jc w:val="both"/>
        <w:rPr>
          <w:rFonts w:eastAsia="Times New Roman" w:cs="Arial"/>
          <w:b/>
          <w:bCs/>
        </w:rPr>
      </w:pPr>
    </w:p>
    <w:p w14:paraId="685F64F1"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 xml:space="preserve">16.2. </w:t>
      </w:r>
      <w:r w:rsidRPr="009702B0">
        <w:rPr>
          <w:rFonts w:eastAsia="Times New Roman" w:cs="Arial"/>
          <w:b/>
          <w:bCs/>
        </w:rPr>
        <w:tab/>
        <w:t>Credit risk (continued)</w:t>
      </w:r>
    </w:p>
    <w:p w14:paraId="2EB05EA6" w14:textId="77777777" w:rsidR="009702B0" w:rsidRPr="009702B0" w:rsidRDefault="009702B0" w:rsidP="009702B0">
      <w:pPr>
        <w:keepNext/>
        <w:spacing w:after="0" w:line="240" w:lineRule="auto"/>
        <w:jc w:val="both"/>
        <w:rPr>
          <w:rFonts w:eastAsia="Times New Roman" w:cs="Arial"/>
          <w:b/>
          <w:bCs/>
        </w:rPr>
      </w:pPr>
    </w:p>
    <w:p w14:paraId="3F2BCBC3" w14:textId="77777777" w:rsidR="009702B0" w:rsidRPr="009702B0" w:rsidRDefault="009702B0" w:rsidP="009702B0">
      <w:pPr>
        <w:spacing w:after="0" w:line="240" w:lineRule="auto"/>
        <w:jc w:val="both"/>
        <w:rPr>
          <w:rFonts w:ascii="Arial" w:eastAsia="Times New Roman" w:hAnsi="Arial" w:cs="Arial"/>
          <w:b/>
          <w:sz w:val="19"/>
          <w:szCs w:val="19"/>
        </w:rPr>
      </w:pPr>
      <w:r w:rsidRPr="009702B0">
        <w:rPr>
          <w:rFonts w:ascii="Arial" w:eastAsia="Times New Roman" w:hAnsi="Arial" w:cs="Arial"/>
          <w:b/>
          <w:sz w:val="19"/>
          <w:szCs w:val="19"/>
        </w:rPr>
        <w:t>Concentration of risk and maximum credit risk exposure (continued)</w:t>
      </w:r>
    </w:p>
    <w:p w14:paraId="0E34E04B" w14:textId="77777777" w:rsidR="009702B0" w:rsidRPr="009702B0" w:rsidRDefault="009702B0" w:rsidP="009702B0">
      <w:pPr>
        <w:spacing w:after="0" w:line="240" w:lineRule="auto"/>
        <w:jc w:val="both"/>
        <w:rPr>
          <w:rFonts w:ascii="Arial" w:eastAsia="Times New Roman" w:hAnsi="Arial" w:cs="Arial"/>
          <w:b/>
          <w:sz w:val="19"/>
          <w:szCs w:val="19"/>
        </w:rPr>
      </w:pPr>
    </w:p>
    <w:p w14:paraId="1D8D58AB" w14:textId="77777777" w:rsidR="009702B0" w:rsidRPr="009702B0" w:rsidRDefault="009702B0" w:rsidP="009702B0">
      <w:pPr>
        <w:keepNext/>
        <w:spacing w:after="0" w:line="240" w:lineRule="auto"/>
        <w:jc w:val="both"/>
        <w:rPr>
          <w:rFonts w:eastAsia="Times New Roman" w:cs="Arial"/>
          <w:bCs/>
        </w:rPr>
      </w:pPr>
      <w:r w:rsidRPr="009702B0">
        <w:rPr>
          <w:rFonts w:eastAsia="Times New Roman" w:cs="Arial"/>
        </w:rPr>
        <w:t xml:space="preserve">Concentration of assets and guarantees and commitments, according to geographical segments, </w:t>
      </w:r>
      <w:r w:rsidRPr="009702B0">
        <w:rPr>
          <w:rFonts w:eastAsia="Times New Roman" w:cs="Arial"/>
          <w:bCs/>
        </w:rPr>
        <w:t>before the effect of mitigation through collateral received, is as follows (continued):</w:t>
      </w:r>
    </w:p>
    <w:p w14:paraId="528F4D2B" w14:textId="77777777" w:rsidR="009702B0" w:rsidRPr="009702B0" w:rsidRDefault="009702B0" w:rsidP="009702B0">
      <w:pPr>
        <w:keepNext/>
        <w:spacing w:after="0" w:line="240" w:lineRule="auto"/>
        <w:jc w:val="both"/>
        <w:rPr>
          <w:rFonts w:eastAsia="Times New Roman" w:cs="Arial"/>
        </w:rPr>
      </w:pPr>
    </w:p>
    <w:tbl>
      <w:tblPr>
        <w:tblW w:w="5000" w:type="pct"/>
        <w:tblLayout w:type="fixed"/>
        <w:tblCellMar>
          <w:left w:w="30" w:type="dxa"/>
          <w:right w:w="30" w:type="dxa"/>
        </w:tblCellMar>
        <w:tblLook w:val="0000" w:firstRow="0" w:lastRow="0" w:firstColumn="0" w:lastColumn="0" w:noHBand="0" w:noVBand="0"/>
      </w:tblPr>
      <w:tblGrid>
        <w:gridCol w:w="4397"/>
        <w:gridCol w:w="1239"/>
        <w:gridCol w:w="1240"/>
        <w:gridCol w:w="1240"/>
        <w:gridCol w:w="1238"/>
      </w:tblGrid>
      <w:tr w:rsidR="00693680" w:rsidRPr="00693680" w14:paraId="10C2417B" w14:textId="77777777" w:rsidTr="00693680">
        <w:trPr>
          <w:cantSplit/>
          <w:trHeight w:val="735"/>
          <w:tblHeader/>
        </w:trPr>
        <w:tc>
          <w:tcPr>
            <w:tcW w:w="2350" w:type="pct"/>
            <w:vAlign w:val="center"/>
          </w:tcPr>
          <w:p w14:paraId="5E905B89" w14:textId="77777777" w:rsidR="00693680" w:rsidRPr="00693680" w:rsidRDefault="00693680" w:rsidP="00693680">
            <w:pPr>
              <w:tabs>
                <w:tab w:val="right" w:pos="1202"/>
              </w:tabs>
              <w:spacing w:after="0" w:line="240" w:lineRule="atLeast"/>
              <w:outlineLvl w:val="0"/>
              <w:rPr>
                <w:rFonts w:asciiTheme="minorHAnsi" w:eastAsia="Times New Roman" w:hAnsiTheme="minorHAnsi" w:cs="Arial"/>
                <w:b/>
                <w:sz w:val="19"/>
                <w:szCs w:val="19"/>
              </w:rPr>
            </w:pPr>
            <w:r w:rsidRPr="00693680">
              <w:rPr>
                <w:rFonts w:asciiTheme="minorHAnsi" w:eastAsia="Times New Roman" w:hAnsiTheme="minorHAnsi" w:cs="Arial"/>
                <w:b/>
                <w:sz w:val="19"/>
                <w:szCs w:val="19"/>
              </w:rPr>
              <w:t>Bank</w:t>
            </w:r>
          </w:p>
          <w:p w14:paraId="63148CB4" w14:textId="77777777" w:rsidR="00693680" w:rsidRPr="00693680" w:rsidRDefault="00693680" w:rsidP="00693680">
            <w:pPr>
              <w:tabs>
                <w:tab w:val="right" w:pos="1202"/>
              </w:tabs>
              <w:spacing w:after="0" w:line="240" w:lineRule="atLeast"/>
              <w:outlineLvl w:val="0"/>
              <w:rPr>
                <w:rFonts w:asciiTheme="minorHAnsi" w:eastAsia="Times New Roman" w:hAnsiTheme="minorHAnsi" w:cs="Arial"/>
                <w:b/>
                <w:sz w:val="19"/>
                <w:szCs w:val="19"/>
              </w:rPr>
            </w:pPr>
            <w:r>
              <w:rPr>
                <w:rFonts w:asciiTheme="minorHAnsi" w:eastAsia="Times New Roman" w:hAnsiTheme="minorHAnsi" w:cs="Arial"/>
                <w:b/>
                <w:sz w:val="19"/>
                <w:szCs w:val="19"/>
              </w:rPr>
              <w:t xml:space="preserve">Dec 31, </w:t>
            </w:r>
            <w:r w:rsidRPr="00693680">
              <w:rPr>
                <w:rFonts w:asciiTheme="minorHAnsi" w:eastAsia="Times New Roman" w:hAnsiTheme="minorHAnsi" w:cs="Arial"/>
                <w:b/>
                <w:sz w:val="19"/>
                <w:szCs w:val="19"/>
              </w:rPr>
              <w:t>2016</w:t>
            </w:r>
          </w:p>
        </w:tc>
        <w:tc>
          <w:tcPr>
            <w:tcW w:w="662" w:type="pct"/>
            <w:vAlign w:val="center"/>
          </w:tcPr>
          <w:p w14:paraId="2666D1D9" w14:textId="77777777" w:rsidR="00693680" w:rsidRPr="00693680" w:rsidRDefault="00693680" w:rsidP="00693680">
            <w:pPr>
              <w:tabs>
                <w:tab w:val="right" w:pos="1202"/>
              </w:tabs>
              <w:spacing w:after="0" w:line="240" w:lineRule="atLeast"/>
              <w:jc w:val="right"/>
              <w:outlineLvl w:val="0"/>
              <w:rPr>
                <w:rFonts w:asciiTheme="minorHAnsi" w:eastAsia="Times New Roman" w:hAnsiTheme="minorHAnsi" w:cs="Arial"/>
                <w:b/>
                <w:sz w:val="19"/>
                <w:szCs w:val="19"/>
              </w:rPr>
            </w:pPr>
            <w:r w:rsidRPr="00693680">
              <w:rPr>
                <w:rFonts w:asciiTheme="minorHAnsi" w:eastAsia="Times New Roman" w:hAnsiTheme="minorHAnsi" w:cs="Arial"/>
                <w:b/>
                <w:sz w:val="19"/>
                <w:szCs w:val="19"/>
              </w:rPr>
              <w:t>Republic of Croatia</w:t>
            </w:r>
          </w:p>
        </w:tc>
        <w:tc>
          <w:tcPr>
            <w:tcW w:w="663" w:type="pct"/>
            <w:vAlign w:val="center"/>
          </w:tcPr>
          <w:p w14:paraId="518D405B" w14:textId="77777777" w:rsidR="00693680" w:rsidRPr="00693680" w:rsidRDefault="00693680" w:rsidP="00693680">
            <w:pPr>
              <w:tabs>
                <w:tab w:val="right" w:pos="1202"/>
              </w:tabs>
              <w:spacing w:after="0" w:line="240" w:lineRule="atLeast"/>
              <w:jc w:val="right"/>
              <w:outlineLvl w:val="0"/>
              <w:rPr>
                <w:rFonts w:asciiTheme="minorHAnsi" w:eastAsia="Times New Roman" w:hAnsiTheme="minorHAnsi" w:cs="Arial"/>
                <w:b/>
                <w:sz w:val="19"/>
                <w:szCs w:val="19"/>
              </w:rPr>
            </w:pPr>
            <w:r w:rsidRPr="00693680">
              <w:rPr>
                <w:rFonts w:asciiTheme="minorHAnsi" w:eastAsia="Times New Roman" w:hAnsiTheme="minorHAnsi" w:cs="Arial"/>
                <w:b/>
                <w:sz w:val="19"/>
                <w:szCs w:val="19"/>
              </w:rPr>
              <w:t xml:space="preserve">EU </w:t>
            </w:r>
          </w:p>
          <w:p w14:paraId="32EACAAF" w14:textId="77777777" w:rsidR="00693680" w:rsidRPr="00693680" w:rsidRDefault="00693680" w:rsidP="00693680">
            <w:pPr>
              <w:tabs>
                <w:tab w:val="right" w:pos="1202"/>
              </w:tabs>
              <w:spacing w:after="0" w:line="240" w:lineRule="atLeast"/>
              <w:jc w:val="right"/>
              <w:outlineLvl w:val="0"/>
              <w:rPr>
                <w:rFonts w:asciiTheme="minorHAnsi" w:eastAsia="Times New Roman" w:hAnsiTheme="minorHAnsi" w:cs="Arial"/>
                <w:b/>
                <w:sz w:val="19"/>
                <w:szCs w:val="19"/>
              </w:rPr>
            </w:pPr>
            <w:r w:rsidRPr="00693680">
              <w:rPr>
                <w:rFonts w:asciiTheme="minorHAnsi" w:eastAsia="Times New Roman" w:hAnsiTheme="minorHAnsi" w:cs="Arial"/>
                <w:b/>
                <w:sz w:val="19"/>
                <w:szCs w:val="19"/>
              </w:rPr>
              <w:t>countries</w:t>
            </w:r>
          </w:p>
        </w:tc>
        <w:tc>
          <w:tcPr>
            <w:tcW w:w="663" w:type="pct"/>
            <w:vAlign w:val="center"/>
          </w:tcPr>
          <w:p w14:paraId="746E7D6D" w14:textId="77777777" w:rsidR="00693680" w:rsidRPr="00693680" w:rsidRDefault="00693680" w:rsidP="00693680">
            <w:pPr>
              <w:tabs>
                <w:tab w:val="right" w:pos="1202"/>
              </w:tabs>
              <w:spacing w:after="0" w:line="240" w:lineRule="atLeast"/>
              <w:jc w:val="right"/>
              <w:outlineLvl w:val="0"/>
              <w:rPr>
                <w:rFonts w:asciiTheme="minorHAnsi" w:eastAsia="Times New Roman" w:hAnsiTheme="minorHAnsi" w:cs="Arial"/>
                <w:b/>
                <w:sz w:val="19"/>
                <w:szCs w:val="19"/>
              </w:rPr>
            </w:pPr>
            <w:r w:rsidRPr="00693680">
              <w:rPr>
                <w:rFonts w:asciiTheme="minorHAnsi" w:eastAsia="Times New Roman" w:hAnsiTheme="minorHAnsi" w:cs="Arial"/>
                <w:b/>
                <w:sz w:val="19"/>
                <w:szCs w:val="19"/>
              </w:rPr>
              <w:t xml:space="preserve">Other countries </w:t>
            </w:r>
          </w:p>
        </w:tc>
        <w:tc>
          <w:tcPr>
            <w:tcW w:w="662" w:type="pct"/>
            <w:vAlign w:val="center"/>
          </w:tcPr>
          <w:p w14:paraId="4DCEC757" w14:textId="77777777" w:rsidR="00693680" w:rsidRPr="00693680" w:rsidRDefault="00693680" w:rsidP="00693680">
            <w:pPr>
              <w:tabs>
                <w:tab w:val="right" w:pos="1202"/>
              </w:tabs>
              <w:spacing w:after="0" w:line="240" w:lineRule="atLeast"/>
              <w:jc w:val="right"/>
              <w:outlineLvl w:val="0"/>
              <w:rPr>
                <w:rFonts w:asciiTheme="minorHAnsi" w:eastAsia="Times New Roman" w:hAnsiTheme="minorHAnsi" w:cs="Arial"/>
                <w:b/>
                <w:sz w:val="19"/>
                <w:szCs w:val="19"/>
              </w:rPr>
            </w:pPr>
            <w:r w:rsidRPr="00693680">
              <w:rPr>
                <w:rFonts w:asciiTheme="minorHAnsi" w:eastAsia="Times New Roman" w:hAnsiTheme="minorHAnsi" w:cs="Arial"/>
                <w:b/>
                <w:sz w:val="19"/>
                <w:szCs w:val="19"/>
              </w:rPr>
              <w:t>Total</w:t>
            </w:r>
          </w:p>
        </w:tc>
      </w:tr>
      <w:tr w:rsidR="00693680" w:rsidRPr="00693680" w14:paraId="2C56D89D" w14:textId="77777777" w:rsidTr="00693680">
        <w:trPr>
          <w:cantSplit/>
          <w:trHeight w:val="250"/>
          <w:tblHeader/>
        </w:trPr>
        <w:tc>
          <w:tcPr>
            <w:tcW w:w="2350" w:type="pct"/>
          </w:tcPr>
          <w:p w14:paraId="0756BC3E" w14:textId="77777777" w:rsidR="00693680" w:rsidRPr="00693680" w:rsidRDefault="00693680" w:rsidP="00693680">
            <w:pPr>
              <w:spacing w:after="0" w:line="240" w:lineRule="auto"/>
              <w:ind w:left="113" w:hanging="113"/>
              <w:rPr>
                <w:rFonts w:asciiTheme="minorHAnsi" w:eastAsia="Times New Roman" w:hAnsiTheme="minorHAnsi" w:cs="Arial"/>
                <w:sz w:val="19"/>
                <w:szCs w:val="19"/>
              </w:rPr>
            </w:pPr>
          </w:p>
        </w:tc>
        <w:tc>
          <w:tcPr>
            <w:tcW w:w="662" w:type="pct"/>
          </w:tcPr>
          <w:p w14:paraId="25803E9D" w14:textId="77777777" w:rsidR="00693680" w:rsidRPr="00693680" w:rsidRDefault="00693680" w:rsidP="00693680">
            <w:pPr>
              <w:spacing w:after="0" w:line="240" w:lineRule="auto"/>
              <w:jc w:val="right"/>
              <w:rPr>
                <w:rFonts w:asciiTheme="minorHAnsi" w:eastAsia="Times New Roman" w:hAnsiTheme="minorHAnsi" w:cs="Arial"/>
                <w:sz w:val="19"/>
                <w:szCs w:val="19"/>
              </w:rPr>
            </w:pPr>
          </w:p>
        </w:tc>
        <w:tc>
          <w:tcPr>
            <w:tcW w:w="663" w:type="pct"/>
          </w:tcPr>
          <w:p w14:paraId="43EEC754" w14:textId="77777777" w:rsidR="00693680" w:rsidRPr="00693680" w:rsidRDefault="00693680" w:rsidP="00693680">
            <w:pPr>
              <w:spacing w:after="0" w:line="240" w:lineRule="auto"/>
              <w:jc w:val="right"/>
              <w:rPr>
                <w:rFonts w:asciiTheme="minorHAnsi" w:eastAsia="Times New Roman" w:hAnsiTheme="minorHAnsi" w:cs="Arial"/>
                <w:sz w:val="19"/>
                <w:szCs w:val="19"/>
              </w:rPr>
            </w:pPr>
          </w:p>
        </w:tc>
        <w:tc>
          <w:tcPr>
            <w:tcW w:w="663" w:type="pct"/>
          </w:tcPr>
          <w:p w14:paraId="3A61C77E" w14:textId="77777777" w:rsidR="00693680" w:rsidRPr="00693680" w:rsidRDefault="00693680" w:rsidP="00693680">
            <w:pPr>
              <w:spacing w:after="0" w:line="240" w:lineRule="auto"/>
              <w:jc w:val="right"/>
              <w:rPr>
                <w:rFonts w:asciiTheme="minorHAnsi" w:eastAsia="Times New Roman" w:hAnsiTheme="minorHAnsi" w:cs="Arial"/>
                <w:sz w:val="19"/>
                <w:szCs w:val="19"/>
              </w:rPr>
            </w:pPr>
          </w:p>
        </w:tc>
        <w:tc>
          <w:tcPr>
            <w:tcW w:w="662" w:type="pct"/>
          </w:tcPr>
          <w:p w14:paraId="542F0EC7" w14:textId="77777777" w:rsidR="00693680" w:rsidRPr="00693680" w:rsidRDefault="00693680" w:rsidP="00693680">
            <w:pPr>
              <w:spacing w:after="0" w:line="240" w:lineRule="auto"/>
              <w:jc w:val="center"/>
              <w:rPr>
                <w:rFonts w:asciiTheme="minorHAnsi" w:eastAsia="Times New Roman" w:hAnsiTheme="minorHAnsi" w:cs="Arial"/>
                <w:sz w:val="19"/>
                <w:szCs w:val="19"/>
              </w:rPr>
            </w:pPr>
          </w:p>
        </w:tc>
      </w:tr>
      <w:tr w:rsidR="00693680" w:rsidRPr="00693680" w14:paraId="2E05ABC6" w14:textId="77777777" w:rsidTr="00693680">
        <w:trPr>
          <w:cantSplit/>
          <w:trHeight w:val="250"/>
          <w:tblHeader/>
        </w:trPr>
        <w:tc>
          <w:tcPr>
            <w:tcW w:w="2350" w:type="pct"/>
          </w:tcPr>
          <w:p w14:paraId="1AC0BD3A"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b/>
                <w:bCs/>
                <w:sz w:val="19"/>
                <w:szCs w:val="19"/>
              </w:rPr>
            </w:pPr>
            <w:r w:rsidRPr="00693680">
              <w:rPr>
                <w:rFonts w:asciiTheme="minorHAnsi" w:eastAsia="Times New Roman" w:hAnsiTheme="minorHAnsi" w:cs="Arial"/>
                <w:b/>
                <w:bCs/>
                <w:sz w:val="19"/>
                <w:szCs w:val="19"/>
              </w:rPr>
              <w:t>Assets</w:t>
            </w:r>
          </w:p>
        </w:tc>
        <w:tc>
          <w:tcPr>
            <w:tcW w:w="662" w:type="pct"/>
            <w:vAlign w:val="bottom"/>
          </w:tcPr>
          <w:p w14:paraId="6F282AC4" w14:textId="77777777" w:rsidR="00693680" w:rsidRPr="00693680" w:rsidRDefault="00693680" w:rsidP="00693680">
            <w:pPr>
              <w:spacing w:after="0" w:line="240" w:lineRule="auto"/>
              <w:jc w:val="right"/>
              <w:rPr>
                <w:rFonts w:asciiTheme="minorHAnsi" w:eastAsia="Times New Roman" w:hAnsiTheme="minorHAnsi" w:cs="Arial"/>
                <w:sz w:val="19"/>
                <w:szCs w:val="19"/>
              </w:rPr>
            </w:pPr>
          </w:p>
        </w:tc>
        <w:tc>
          <w:tcPr>
            <w:tcW w:w="663" w:type="pct"/>
            <w:vAlign w:val="bottom"/>
          </w:tcPr>
          <w:p w14:paraId="72FD9317" w14:textId="77777777" w:rsidR="00693680" w:rsidRPr="00693680" w:rsidRDefault="00693680" w:rsidP="00693680">
            <w:pPr>
              <w:spacing w:after="0" w:line="240" w:lineRule="auto"/>
              <w:jc w:val="right"/>
              <w:rPr>
                <w:rFonts w:asciiTheme="minorHAnsi" w:eastAsia="Times New Roman" w:hAnsiTheme="minorHAnsi" w:cs="Arial"/>
                <w:sz w:val="19"/>
                <w:szCs w:val="19"/>
              </w:rPr>
            </w:pPr>
          </w:p>
        </w:tc>
        <w:tc>
          <w:tcPr>
            <w:tcW w:w="663" w:type="pct"/>
            <w:vAlign w:val="bottom"/>
          </w:tcPr>
          <w:p w14:paraId="0500DD29" w14:textId="77777777" w:rsidR="00693680" w:rsidRPr="00693680" w:rsidRDefault="00693680" w:rsidP="00693680">
            <w:pPr>
              <w:spacing w:after="0" w:line="240" w:lineRule="auto"/>
              <w:jc w:val="right"/>
              <w:rPr>
                <w:rFonts w:asciiTheme="minorHAnsi" w:eastAsia="Times New Roman" w:hAnsiTheme="minorHAnsi" w:cs="Arial"/>
                <w:sz w:val="19"/>
                <w:szCs w:val="19"/>
              </w:rPr>
            </w:pPr>
          </w:p>
        </w:tc>
        <w:tc>
          <w:tcPr>
            <w:tcW w:w="662" w:type="pct"/>
            <w:vAlign w:val="bottom"/>
          </w:tcPr>
          <w:p w14:paraId="0D310E7E" w14:textId="77777777" w:rsidR="00693680" w:rsidRPr="00693680" w:rsidRDefault="00693680" w:rsidP="00693680">
            <w:pPr>
              <w:spacing w:after="0" w:line="240" w:lineRule="auto"/>
              <w:jc w:val="center"/>
              <w:rPr>
                <w:rFonts w:asciiTheme="minorHAnsi" w:eastAsia="Times New Roman" w:hAnsiTheme="minorHAnsi" w:cs="Arial"/>
                <w:sz w:val="19"/>
                <w:szCs w:val="19"/>
              </w:rPr>
            </w:pPr>
          </w:p>
        </w:tc>
      </w:tr>
      <w:tr w:rsidR="00693680" w:rsidRPr="00693680" w14:paraId="1B560294" w14:textId="77777777" w:rsidTr="00693680">
        <w:trPr>
          <w:cantSplit/>
          <w:trHeight w:val="250"/>
          <w:tblHeader/>
        </w:trPr>
        <w:tc>
          <w:tcPr>
            <w:tcW w:w="2350" w:type="pct"/>
          </w:tcPr>
          <w:p w14:paraId="2A9BA705"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Cash on hand and due from banks</w:t>
            </w:r>
          </w:p>
        </w:tc>
        <w:tc>
          <w:tcPr>
            <w:tcW w:w="662" w:type="pct"/>
            <w:tcBorders>
              <w:top w:val="nil"/>
              <w:left w:val="nil"/>
              <w:bottom w:val="nil"/>
              <w:right w:val="nil"/>
            </w:tcBorders>
            <w:shd w:val="clear" w:color="auto" w:fill="auto"/>
            <w:vAlign w:val="bottom"/>
          </w:tcPr>
          <w:p w14:paraId="3063275C"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pl-PL"/>
              </w:rPr>
            </w:pPr>
            <w:r w:rsidRPr="00693680">
              <w:rPr>
                <w:rFonts w:eastAsia="Times New Roman" w:cs="Arial"/>
                <w:sz w:val="19"/>
                <w:szCs w:val="19"/>
                <w:lang w:val="en-US"/>
              </w:rPr>
              <w:t>187,771</w:t>
            </w:r>
          </w:p>
        </w:tc>
        <w:tc>
          <w:tcPr>
            <w:tcW w:w="663" w:type="pct"/>
            <w:tcBorders>
              <w:top w:val="nil"/>
              <w:left w:val="nil"/>
              <w:bottom w:val="nil"/>
              <w:right w:val="nil"/>
            </w:tcBorders>
            <w:shd w:val="clear" w:color="auto" w:fill="auto"/>
            <w:vAlign w:val="bottom"/>
          </w:tcPr>
          <w:p w14:paraId="66E9C544"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pl-PL"/>
              </w:rPr>
            </w:pPr>
            <w:r w:rsidRPr="00693680">
              <w:rPr>
                <w:rFonts w:eastAsia="Times New Roman" w:cs="Arial"/>
                <w:sz w:val="19"/>
                <w:szCs w:val="19"/>
                <w:lang w:val="en-US"/>
              </w:rPr>
              <w:t>301,354</w:t>
            </w:r>
          </w:p>
        </w:tc>
        <w:tc>
          <w:tcPr>
            <w:tcW w:w="663" w:type="pct"/>
            <w:tcBorders>
              <w:top w:val="nil"/>
              <w:left w:val="nil"/>
              <w:bottom w:val="nil"/>
              <w:right w:val="nil"/>
            </w:tcBorders>
            <w:shd w:val="clear" w:color="auto" w:fill="auto"/>
            <w:vAlign w:val="bottom"/>
          </w:tcPr>
          <w:p w14:paraId="3141C188"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pl-PL"/>
              </w:rPr>
            </w:pPr>
            <w:r w:rsidRPr="00693680">
              <w:rPr>
                <w:rFonts w:eastAsia="Times New Roman" w:cs="Arial"/>
                <w:sz w:val="19"/>
                <w:szCs w:val="19"/>
                <w:lang w:val="en-US"/>
              </w:rPr>
              <w:t>1,567</w:t>
            </w:r>
          </w:p>
        </w:tc>
        <w:tc>
          <w:tcPr>
            <w:tcW w:w="662" w:type="pct"/>
            <w:tcBorders>
              <w:top w:val="nil"/>
              <w:left w:val="nil"/>
              <w:bottom w:val="nil"/>
              <w:right w:val="nil"/>
            </w:tcBorders>
            <w:shd w:val="clear" w:color="auto" w:fill="auto"/>
            <w:vAlign w:val="bottom"/>
          </w:tcPr>
          <w:p w14:paraId="42AA539A"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pl-PL"/>
              </w:rPr>
            </w:pPr>
            <w:r w:rsidRPr="00693680">
              <w:rPr>
                <w:rFonts w:eastAsia="Times New Roman" w:cs="Arial"/>
                <w:sz w:val="19"/>
                <w:szCs w:val="19"/>
                <w:lang w:val="en-US"/>
              </w:rPr>
              <w:t>490,692</w:t>
            </w:r>
          </w:p>
        </w:tc>
      </w:tr>
      <w:tr w:rsidR="00693680" w:rsidRPr="00693680" w14:paraId="6BD8FA57" w14:textId="77777777" w:rsidTr="00693680">
        <w:trPr>
          <w:cantSplit/>
          <w:trHeight w:val="250"/>
          <w:tblHeader/>
        </w:trPr>
        <w:tc>
          <w:tcPr>
            <w:tcW w:w="2350" w:type="pct"/>
          </w:tcPr>
          <w:p w14:paraId="4DADB41E"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Deposits with other banks</w:t>
            </w:r>
          </w:p>
        </w:tc>
        <w:tc>
          <w:tcPr>
            <w:tcW w:w="662" w:type="pct"/>
            <w:tcBorders>
              <w:top w:val="nil"/>
              <w:left w:val="nil"/>
              <w:bottom w:val="nil"/>
              <w:right w:val="nil"/>
            </w:tcBorders>
            <w:shd w:val="clear" w:color="auto" w:fill="auto"/>
            <w:vAlign w:val="bottom"/>
          </w:tcPr>
          <w:p w14:paraId="1BE3C043"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3,291</w:t>
            </w:r>
          </w:p>
        </w:tc>
        <w:tc>
          <w:tcPr>
            <w:tcW w:w="663" w:type="pct"/>
            <w:tcBorders>
              <w:top w:val="nil"/>
              <w:left w:val="nil"/>
              <w:bottom w:val="nil"/>
              <w:right w:val="nil"/>
            </w:tcBorders>
            <w:shd w:val="clear" w:color="auto" w:fill="auto"/>
            <w:vAlign w:val="bottom"/>
          </w:tcPr>
          <w:p w14:paraId="0B538A42"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20,581</w:t>
            </w:r>
          </w:p>
        </w:tc>
        <w:tc>
          <w:tcPr>
            <w:tcW w:w="663" w:type="pct"/>
            <w:tcBorders>
              <w:top w:val="nil"/>
              <w:left w:val="nil"/>
              <w:bottom w:val="nil"/>
              <w:right w:val="nil"/>
            </w:tcBorders>
            <w:shd w:val="clear" w:color="auto" w:fill="auto"/>
            <w:vAlign w:val="bottom"/>
          </w:tcPr>
          <w:p w14:paraId="1EEBB722"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w:t>
            </w:r>
          </w:p>
        </w:tc>
        <w:tc>
          <w:tcPr>
            <w:tcW w:w="662" w:type="pct"/>
            <w:tcBorders>
              <w:top w:val="nil"/>
              <w:left w:val="nil"/>
              <w:bottom w:val="nil"/>
              <w:right w:val="nil"/>
            </w:tcBorders>
            <w:shd w:val="clear" w:color="auto" w:fill="auto"/>
            <w:vAlign w:val="bottom"/>
          </w:tcPr>
          <w:p w14:paraId="53DD4CD2"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23,872</w:t>
            </w:r>
          </w:p>
        </w:tc>
      </w:tr>
      <w:tr w:rsidR="00693680" w:rsidRPr="00693680" w14:paraId="60C59A37" w14:textId="77777777" w:rsidTr="00693680">
        <w:trPr>
          <w:cantSplit/>
          <w:trHeight w:val="250"/>
          <w:tblHeader/>
        </w:trPr>
        <w:tc>
          <w:tcPr>
            <w:tcW w:w="2350" w:type="pct"/>
          </w:tcPr>
          <w:p w14:paraId="7E08C494"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Loans to financial institutions</w:t>
            </w:r>
          </w:p>
        </w:tc>
        <w:tc>
          <w:tcPr>
            <w:tcW w:w="662" w:type="pct"/>
            <w:tcBorders>
              <w:top w:val="nil"/>
              <w:left w:val="nil"/>
              <w:bottom w:val="nil"/>
              <w:right w:val="nil"/>
            </w:tcBorders>
            <w:shd w:val="clear" w:color="auto" w:fill="auto"/>
            <w:vAlign w:val="bottom"/>
          </w:tcPr>
          <w:p w14:paraId="316A4E0A"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11,889,111</w:t>
            </w:r>
          </w:p>
        </w:tc>
        <w:tc>
          <w:tcPr>
            <w:tcW w:w="663" w:type="pct"/>
            <w:tcBorders>
              <w:top w:val="nil"/>
              <w:left w:val="nil"/>
              <w:bottom w:val="nil"/>
              <w:right w:val="nil"/>
            </w:tcBorders>
            <w:shd w:val="clear" w:color="auto" w:fill="auto"/>
            <w:vAlign w:val="bottom"/>
          </w:tcPr>
          <w:p w14:paraId="56409B3D"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w:t>
            </w:r>
          </w:p>
        </w:tc>
        <w:tc>
          <w:tcPr>
            <w:tcW w:w="663" w:type="pct"/>
            <w:tcBorders>
              <w:top w:val="nil"/>
              <w:left w:val="nil"/>
              <w:bottom w:val="nil"/>
              <w:right w:val="nil"/>
            </w:tcBorders>
            <w:shd w:val="clear" w:color="auto" w:fill="auto"/>
            <w:vAlign w:val="bottom"/>
          </w:tcPr>
          <w:p w14:paraId="0790698D"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w:t>
            </w:r>
          </w:p>
        </w:tc>
        <w:tc>
          <w:tcPr>
            <w:tcW w:w="662" w:type="pct"/>
            <w:tcBorders>
              <w:top w:val="nil"/>
              <w:left w:val="nil"/>
              <w:bottom w:val="nil"/>
              <w:right w:val="nil"/>
            </w:tcBorders>
            <w:shd w:val="clear" w:color="auto" w:fill="auto"/>
            <w:vAlign w:val="bottom"/>
          </w:tcPr>
          <w:p w14:paraId="4A2DF966"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11,889,111</w:t>
            </w:r>
          </w:p>
        </w:tc>
      </w:tr>
      <w:tr w:rsidR="00693680" w:rsidRPr="00693680" w14:paraId="780AF223" w14:textId="77777777" w:rsidTr="00693680">
        <w:trPr>
          <w:cantSplit/>
          <w:trHeight w:val="250"/>
          <w:tblHeader/>
        </w:trPr>
        <w:tc>
          <w:tcPr>
            <w:tcW w:w="2350" w:type="pct"/>
          </w:tcPr>
          <w:p w14:paraId="17BA19DB"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Loans to other customers</w:t>
            </w:r>
          </w:p>
        </w:tc>
        <w:tc>
          <w:tcPr>
            <w:tcW w:w="662" w:type="pct"/>
            <w:tcBorders>
              <w:top w:val="nil"/>
              <w:left w:val="nil"/>
              <w:bottom w:val="nil"/>
              <w:right w:val="nil"/>
            </w:tcBorders>
            <w:shd w:val="clear" w:color="auto" w:fill="auto"/>
            <w:vAlign w:val="bottom"/>
          </w:tcPr>
          <w:p w14:paraId="597EB349"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11,281,848</w:t>
            </w:r>
          </w:p>
        </w:tc>
        <w:tc>
          <w:tcPr>
            <w:tcW w:w="663" w:type="pct"/>
            <w:tcBorders>
              <w:top w:val="nil"/>
              <w:left w:val="nil"/>
              <w:bottom w:val="nil"/>
              <w:right w:val="nil"/>
            </w:tcBorders>
            <w:shd w:val="clear" w:color="auto" w:fill="auto"/>
            <w:vAlign w:val="bottom"/>
          </w:tcPr>
          <w:p w14:paraId="6CB0D15B"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w:t>
            </w:r>
          </w:p>
        </w:tc>
        <w:tc>
          <w:tcPr>
            <w:tcW w:w="663" w:type="pct"/>
            <w:tcBorders>
              <w:top w:val="nil"/>
              <w:left w:val="nil"/>
              <w:bottom w:val="nil"/>
              <w:right w:val="nil"/>
            </w:tcBorders>
            <w:shd w:val="clear" w:color="auto" w:fill="auto"/>
            <w:vAlign w:val="bottom"/>
          </w:tcPr>
          <w:p w14:paraId="565C8818"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229,346</w:t>
            </w:r>
          </w:p>
        </w:tc>
        <w:tc>
          <w:tcPr>
            <w:tcW w:w="662" w:type="pct"/>
            <w:tcBorders>
              <w:top w:val="nil"/>
              <w:left w:val="nil"/>
              <w:bottom w:val="nil"/>
              <w:right w:val="nil"/>
            </w:tcBorders>
            <w:shd w:val="clear" w:color="auto" w:fill="auto"/>
            <w:vAlign w:val="bottom"/>
          </w:tcPr>
          <w:p w14:paraId="36DDDA42"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11,511,194</w:t>
            </w:r>
          </w:p>
        </w:tc>
      </w:tr>
      <w:tr w:rsidR="00693680" w:rsidRPr="00693680" w14:paraId="59775FD0" w14:textId="77777777" w:rsidTr="00693680">
        <w:trPr>
          <w:cantSplit/>
          <w:trHeight w:val="250"/>
          <w:tblHeader/>
        </w:trPr>
        <w:tc>
          <w:tcPr>
            <w:tcW w:w="2350" w:type="pct"/>
          </w:tcPr>
          <w:p w14:paraId="56F81296"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Assets available for sale</w:t>
            </w:r>
          </w:p>
        </w:tc>
        <w:tc>
          <w:tcPr>
            <w:tcW w:w="662" w:type="pct"/>
            <w:tcBorders>
              <w:top w:val="nil"/>
              <w:left w:val="nil"/>
              <w:bottom w:val="nil"/>
              <w:right w:val="nil"/>
            </w:tcBorders>
            <w:shd w:val="clear" w:color="auto" w:fill="auto"/>
            <w:vAlign w:val="bottom"/>
          </w:tcPr>
          <w:p w14:paraId="05EDF7A9"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3,306,628</w:t>
            </w:r>
          </w:p>
        </w:tc>
        <w:tc>
          <w:tcPr>
            <w:tcW w:w="663" w:type="pct"/>
            <w:tcBorders>
              <w:top w:val="nil"/>
              <w:left w:val="nil"/>
              <w:bottom w:val="nil"/>
              <w:right w:val="nil"/>
            </w:tcBorders>
            <w:shd w:val="clear" w:color="auto" w:fill="auto"/>
            <w:vAlign w:val="bottom"/>
          </w:tcPr>
          <w:p w14:paraId="1542C8D7"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w:t>
            </w:r>
          </w:p>
        </w:tc>
        <w:tc>
          <w:tcPr>
            <w:tcW w:w="663" w:type="pct"/>
            <w:tcBorders>
              <w:top w:val="nil"/>
              <w:left w:val="nil"/>
              <w:bottom w:val="nil"/>
              <w:right w:val="nil"/>
            </w:tcBorders>
            <w:shd w:val="clear" w:color="auto" w:fill="auto"/>
            <w:vAlign w:val="bottom"/>
          </w:tcPr>
          <w:p w14:paraId="3E1FADA8"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w:t>
            </w:r>
          </w:p>
        </w:tc>
        <w:tc>
          <w:tcPr>
            <w:tcW w:w="662" w:type="pct"/>
            <w:tcBorders>
              <w:top w:val="nil"/>
              <w:left w:val="nil"/>
              <w:bottom w:val="nil"/>
              <w:right w:val="nil"/>
            </w:tcBorders>
            <w:shd w:val="clear" w:color="auto" w:fill="auto"/>
            <w:vAlign w:val="bottom"/>
          </w:tcPr>
          <w:p w14:paraId="6055DFCB"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3,306,628</w:t>
            </w:r>
          </w:p>
        </w:tc>
      </w:tr>
      <w:tr w:rsidR="00693680" w:rsidRPr="00693680" w14:paraId="1C81AEC7" w14:textId="77777777" w:rsidTr="00693680">
        <w:trPr>
          <w:cantSplit/>
          <w:trHeight w:val="250"/>
          <w:tblHeader/>
        </w:trPr>
        <w:tc>
          <w:tcPr>
            <w:tcW w:w="2350" w:type="pct"/>
          </w:tcPr>
          <w:p w14:paraId="53A38C12"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Other assets</w:t>
            </w:r>
          </w:p>
        </w:tc>
        <w:tc>
          <w:tcPr>
            <w:tcW w:w="662" w:type="pct"/>
            <w:tcBorders>
              <w:top w:val="nil"/>
              <w:left w:val="nil"/>
              <w:bottom w:val="nil"/>
              <w:right w:val="nil"/>
            </w:tcBorders>
            <w:shd w:val="clear" w:color="auto" w:fill="auto"/>
            <w:vAlign w:val="bottom"/>
          </w:tcPr>
          <w:p w14:paraId="444182C1"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2,844</w:t>
            </w:r>
          </w:p>
        </w:tc>
        <w:tc>
          <w:tcPr>
            <w:tcW w:w="663" w:type="pct"/>
            <w:tcBorders>
              <w:top w:val="nil"/>
              <w:left w:val="nil"/>
              <w:bottom w:val="nil"/>
              <w:right w:val="nil"/>
            </w:tcBorders>
            <w:shd w:val="clear" w:color="auto" w:fill="auto"/>
            <w:vAlign w:val="bottom"/>
          </w:tcPr>
          <w:p w14:paraId="2041F564"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235</w:t>
            </w:r>
          </w:p>
        </w:tc>
        <w:tc>
          <w:tcPr>
            <w:tcW w:w="663" w:type="pct"/>
            <w:tcBorders>
              <w:top w:val="nil"/>
              <w:left w:val="nil"/>
              <w:bottom w:val="nil"/>
              <w:right w:val="nil"/>
            </w:tcBorders>
            <w:shd w:val="clear" w:color="auto" w:fill="auto"/>
            <w:vAlign w:val="bottom"/>
          </w:tcPr>
          <w:p w14:paraId="1D6FB78D"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w:t>
            </w:r>
          </w:p>
        </w:tc>
        <w:tc>
          <w:tcPr>
            <w:tcW w:w="662" w:type="pct"/>
            <w:tcBorders>
              <w:top w:val="nil"/>
              <w:left w:val="nil"/>
              <w:bottom w:val="nil"/>
              <w:right w:val="nil"/>
            </w:tcBorders>
            <w:shd w:val="clear" w:color="auto" w:fill="auto"/>
            <w:vAlign w:val="bottom"/>
          </w:tcPr>
          <w:p w14:paraId="61E154DE"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3,079</w:t>
            </w:r>
          </w:p>
        </w:tc>
      </w:tr>
      <w:tr w:rsidR="00693680" w:rsidRPr="00693680" w14:paraId="28BD8FC9" w14:textId="77777777" w:rsidTr="00693680">
        <w:trPr>
          <w:cantSplit/>
          <w:trHeight w:val="419"/>
          <w:tblHeader/>
        </w:trPr>
        <w:tc>
          <w:tcPr>
            <w:tcW w:w="2350" w:type="pct"/>
            <w:vAlign w:val="bottom"/>
          </w:tcPr>
          <w:p w14:paraId="361AD1E0" w14:textId="77777777" w:rsidR="00693680" w:rsidRPr="00693680" w:rsidRDefault="00693680" w:rsidP="00693680">
            <w:pPr>
              <w:tabs>
                <w:tab w:val="right" w:pos="1202"/>
              </w:tabs>
              <w:spacing w:after="0" w:line="340" w:lineRule="exact"/>
              <w:outlineLvl w:val="0"/>
              <w:rPr>
                <w:rFonts w:asciiTheme="minorHAnsi" w:eastAsia="Times New Roman" w:hAnsiTheme="minorHAnsi" w:cs="Arial"/>
                <w:b/>
                <w:bCs/>
                <w:sz w:val="19"/>
                <w:szCs w:val="19"/>
              </w:rPr>
            </w:pPr>
            <w:r w:rsidRPr="00693680">
              <w:rPr>
                <w:rFonts w:asciiTheme="minorHAnsi" w:eastAsia="Times New Roman" w:hAnsiTheme="minorHAnsi" w:cs="Arial"/>
                <w:b/>
                <w:bCs/>
                <w:sz w:val="19"/>
                <w:szCs w:val="19"/>
              </w:rPr>
              <w:t>Total</w:t>
            </w:r>
          </w:p>
        </w:tc>
        <w:tc>
          <w:tcPr>
            <w:tcW w:w="662" w:type="pct"/>
            <w:tcBorders>
              <w:top w:val="single" w:sz="8" w:space="0" w:color="auto"/>
              <w:left w:val="nil"/>
              <w:bottom w:val="single" w:sz="8" w:space="0" w:color="auto"/>
              <w:right w:val="nil"/>
            </w:tcBorders>
            <w:shd w:val="clear" w:color="auto" w:fill="auto"/>
            <w:vAlign w:val="bottom"/>
          </w:tcPr>
          <w:p w14:paraId="3DF24016"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en-US"/>
              </w:rPr>
            </w:pPr>
            <w:r w:rsidRPr="00693680">
              <w:rPr>
                <w:rFonts w:eastAsia="Times New Roman" w:cs="Arial"/>
                <w:b/>
                <w:bCs/>
                <w:sz w:val="19"/>
                <w:szCs w:val="19"/>
                <w:lang w:val="en-US"/>
              </w:rPr>
              <w:t>26,671,493</w:t>
            </w:r>
          </w:p>
        </w:tc>
        <w:tc>
          <w:tcPr>
            <w:tcW w:w="663" w:type="pct"/>
            <w:tcBorders>
              <w:top w:val="single" w:sz="8" w:space="0" w:color="auto"/>
              <w:left w:val="nil"/>
              <w:bottom w:val="single" w:sz="8" w:space="0" w:color="auto"/>
              <w:right w:val="nil"/>
            </w:tcBorders>
            <w:shd w:val="clear" w:color="auto" w:fill="auto"/>
            <w:vAlign w:val="bottom"/>
          </w:tcPr>
          <w:p w14:paraId="1191714C"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en-US"/>
              </w:rPr>
            </w:pPr>
            <w:r w:rsidRPr="00693680">
              <w:rPr>
                <w:rFonts w:eastAsia="Times New Roman" w:cs="Arial"/>
                <w:b/>
                <w:bCs/>
                <w:sz w:val="19"/>
                <w:szCs w:val="19"/>
                <w:lang w:val="en-US"/>
              </w:rPr>
              <w:t>322,170</w:t>
            </w:r>
          </w:p>
        </w:tc>
        <w:tc>
          <w:tcPr>
            <w:tcW w:w="663" w:type="pct"/>
            <w:tcBorders>
              <w:top w:val="single" w:sz="8" w:space="0" w:color="auto"/>
              <w:left w:val="nil"/>
              <w:bottom w:val="single" w:sz="8" w:space="0" w:color="auto"/>
              <w:right w:val="nil"/>
            </w:tcBorders>
            <w:shd w:val="clear" w:color="auto" w:fill="auto"/>
            <w:vAlign w:val="bottom"/>
          </w:tcPr>
          <w:p w14:paraId="13B43A44"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en-US"/>
              </w:rPr>
            </w:pPr>
            <w:r w:rsidRPr="00693680">
              <w:rPr>
                <w:rFonts w:eastAsia="Times New Roman" w:cs="Arial"/>
                <w:b/>
                <w:bCs/>
                <w:sz w:val="19"/>
                <w:szCs w:val="19"/>
                <w:lang w:val="en-US"/>
              </w:rPr>
              <w:t>230,913</w:t>
            </w:r>
          </w:p>
        </w:tc>
        <w:tc>
          <w:tcPr>
            <w:tcW w:w="662" w:type="pct"/>
            <w:tcBorders>
              <w:top w:val="single" w:sz="8" w:space="0" w:color="auto"/>
              <w:left w:val="nil"/>
              <w:bottom w:val="single" w:sz="8" w:space="0" w:color="auto"/>
              <w:right w:val="nil"/>
            </w:tcBorders>
            <w:shd w:val="clear" w:color="auto" w:fill="auto"/>
            <w:vAlign w:val="bottom"/>
          </w:tcPr>
          <w:p w14:paraId="042C0B63"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en-US"/>
              </w:rPr>
            </w:pPr>
            <w:r w:rsidRPr="00693680">
              <w:rPr>
                <w:rFonts w:eastAsia="Times New Roman" w:cs="Arial"/>
                <w:b/>
                <w:bCs/>
                <w:sz w:val="19"/>
                <w:szCs w:val="19"/>
                <w:lang w:val="en-US"/>
              </w:rPr>
              <w:t>27,224,576</w:t>
            </w:r>
          </w:p>
        </w:tc>
      </w:tr>
      <w:tr w:rsidR="00693680" w:rsidRPr="00693680" w14:paraId="0E648E34" w14:textId="77777777" w:rsidTr="00693680">
        <w:tblPrEx>
          <w:tblCellMar>
            <w:left w:w="31" w:type="dxa"/>
            <w:right w:w="31" w:type="dxa"/>
          </w:tblCellMar>
        </w:tblPrEx>
        <w:trPr>
          <w:cantSplit/>
          <w:trHeight w:val="250"/>
          <w:tblHeader/>
        </w:trPr>
        <w:tc>
          <w:tcPr>
            <w:tcW w:w="2350" w:type="pct"/>
            <w:vAlign w:val="bottom"/>
          </w:tcPr>
          <w:p w14:paraId="0B41DC0D" w14:textId="77777777" w:rsidR="00693680" w:rsidRPr="00693680" w:rsidRDefault="00693680" w:rsidP="00693680">
            <w:pPr>
              <w:tabs>
                <w:tab w:val="right" w:pos="1202"/>
              </w:tabs>
              <w:spacing w:after="0" w:line="301" w:lineRule="exact"/>
              <w:outlineLvl w:val="0"/>
              <w:rPr>
                <w:rFonts w:asciiTheme="minorHAnsi" w:eastAsia="Times New Roman" w:hAnsiTheme="minorHAnsi"/>
                <w:b/>
                <w:bCs/>
                <w:sz w:val="19"/>
                <w:szCs w:val="19"/>
              </w:rPr>
            </w:pPr>
          </w:p>
        </w:tc>
        <w:tc>
          <w:tcPr>
            <w:tcW w:w="662" w:type="pct"/>
            <w:tcBorders>
              <w:top w:val="single" w:sz="12" w:space="0" w:color="auto"/>
            </w:tcBorders>
          </w:tcPr>
          <w:p w14:paraId="78A3A3E1"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c>
          <w:tcPr>
            <w:tcW w:w="663" w:type="pct"/>
            <w:tcBorders>
              <w:top w:val="single" w:sz="12" w:space="0" w:color="auto"/>
            </w:tcBorders>
          </w:tcPr>
          <w:p w14:paraId="38D2E1AE"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c>
          <w:tcPr>
            <w:tcW w:w="663" w:type="pct"/>
            <w:tcBorders>
              <w:top w:val="single" w:sz="12" w:space="0" w:color="auto"/>
            </w:tcBorders>
          </w:tcPr>
          <w:p w14:paraId="0D289C44"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c>
          <w:tcPr>
            <w:tcW w:w="662" w:type="pct"/>
            <w:tcBorders>
              <w:top w:val="single" w:sz="12" w:space="0" w:color="auto"/>
            </w:tcBorders>
          </w:tcPr>
          <w:p w14:paraId="69FF9E30"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r>
      <w:tr w:rsidR="00693680" w:rsidRPr="00693680" w14:paraId="0F655796" w14:textId="77777777" w:rsidTr="00693680">
        <w:tblPrEx>
          <w:tblCellMar>
            <w:left w:w="31" w:type="dxa"/>
            <w:right w:w="31" w:type="dxa"/>
          </w:tblCellMar>
        </w:tblPrEx>
        <w:trPr>
          <w:cantSplit/>
          <w:trHeight w:val="250"/>
          <w:tblHeader/>
        </w:trPr>
        <w:tc>
          <w:tcPr>
            <w:tcW w:w="2350" w:type="pct"/>
          </w:tcPr>
          <w:p w14:paraId="42B0108C"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b/>
                <w:bCs/>
                <w:sz w:val="19"/>
                <w:szCs w:val="19"/>
              </w:rPr>
            </w:pPr>
            <w:r w:rsidRPr="00693680">
              <w:rPr>
                <w:rFonts w:asciiTheme="minorHAnsi" w:eastAsia="Times New Roman" w:hAnsiTheme="minorHAnsi" w:cs="Arial"/>
                <w:b/>
                <w:bCs/>
                <w:sz w:val="19"/>
                <w:szCs w:val="19"/>
              </w:rPr>
              <w:t>Guarantees and commitments</w:t>
            </w:r>
          </w:p>
        </w:tc>
        <w:tc>
          <w:tcPr>
            <w:tcW w:w="662" w:type="pct"/>
            <w:vAlign w:val="bottom"/>
          </w:tcPr>
          <w:p w14:paraId="7777926A"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c>
          <w:tcPr>
            <w:tcW w:w="663" w:type="pct"/>
            <w:vAlign w:val="bottom"/>
          </w:tcPr>
          <w:p w14:paraId="4138D841"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c>
          <w:tcPr>
            <w:tcW w:w="663" w:type="pct"/>
            <w:vAlign w:val="bottom"/>
          </w:tcPr>
          <w:p w14:paraId="3CCD173F"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c>
          <w:tcPr>
            <w:tcW w:w="662" w:type="pct"/>
            <w:vAlign w:val="bottom"/>
          </w:tcPr>
          <w:p w14:paraId="2301995D"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r>
      <w:tr w:rsidR="00693680" w:rsidRPr="00693680" w14:paraId="5DA98B22" w14:textId="77777777" w:rsidTr="00693680">
        <w:tblPrEx>
          <w:tblCellMar>
            <w:left w:w="31" w:type="dxa"/>
            <w:right w:w="31" w:type="dxa"/>
          </w:tblCellMar>
        </w:tblPrEx>
        <w:trPr>
          <w:cantSplit/>
          <w:trHeight w:val="250"/>
          <w:tblHeader/>
        </w:trPr>
        <w:tc>
          <w:tcPr>
            <w:tcW w:w="2350" w:type="pct"/>
          </w:tcPr>
          <w:p w14:paraId="3DDDBDF4"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Guarantees issued in HRK</w:t>
            </w:r>
          </w:p>
        </w:tc>
        <w:tc>
          <w:tcPr>
            <w:tcW w:w="662" w:type="pct"/>
            <w:tcBorders>
              <w:top w:val="nil"/>
              <w:left w:val="nil"/>
              <w:bottom w:val="nil"/>
              <w:right w:val="nil"/>
            </w:tcBorders>
            <w:shd w:val="clear" w:color="auto" w:fill="auto"/>
            <w:vAlign w:val="bottom"/>
          </w:tcPr>
          <w:p w14:paraId="7ECD16C6"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en-US"/>
              </w:rPr>
            </w:pPr>
            <w:r w:rsidRPr="00693680">
              <w:rPr>
                <w:rFonts w:eastAsia="Times New Roman" w:cs="Arial"/>
                <w:sz w:val="19"/>
                <w:szCs w:val="19"/>
                <w:lang w:val="en-US"/>
              </w:rPr>
              <w:t>31,480</w:t>
            </w:r>
          </w:p>
        </w:tc>
        <w:tc>
          <w:tcPr>
            <w:tcW w:w="663" w:type="pct"/>
            <w:tcBorders>
              <w:top w:val="nil"/>
              <w:left w:val="nil"/>
              <w:bottom w:val="nil"/>
              <w:right w:val="nil"/>
            </w:tcBorders>
            <w:shd w:val="clear" w:color="auto" w:fill="auto"/>
            <w:vAlign w:val="bottom"/>
          </w:tcPr>
          <w:p w14:paraId="1CEFA1AB"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en-US"/>
              </w:rPr>
            </w:pPr>
            <w:r w:rsidRPr="00693680">
              <w:rPr>
                <w:rFonts w:eastAsia="Times New Roman" w:cs="Arial"/>
                <w:sz w:val="19"/>
                <w:szCs w:val="19"/>
                <w:lang w:val="en-US"/>
              </w:rPr>
              <w:t>602</w:t>
            </w:r>
          </w:p>
        </w:tc>
        <w:tc>
          <w:tcPr>
            <w:tcW w:w="663" w:type="pct"/>
            <w:tcBorders>
              <w:top w:val="nil"/>
              <w:left w:val="nil"/>
              <w:bottom w:val="nil"/>
              <w:right w:val="nil"/>
            </w:tcBorders>
            <w:shd w:val="clear" w:color="auto" w:fill="auto"/>
            <w:vAlign w:val="bottom"/>
          </w:tcPr>
          <w:p w14:paraId="3019DACA"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en-US"/>
              </w:rPr>
            </w:pPr>
            <w:r w:rsidRPr="00693680">
              <w:rPr>
                <w:rFonts w:eastAsia="Times New Roman" w:cs="Arial"/>
                <w:sz w:val="19"/>
                <w:szCs w:val="19"/>
                <w:lang w:val="en-US"/>
              </w:rPr>
              <w:t>-</w:t>
            </w:r>
          </w:p>
        </w:tc>
        <w:tc>
          <w:tcPr>
            <w:tcW w:w="662" w:type="pct"/>
            <w:tcBorders>
              <w:top w:val="nil"/>
              <w:left w:val="nil"/>
              <w:bottom w:val="nil"/>
              <w:right w:val="nil"/>
            </w:tcBorders>
            <w:shd w:val="clear" w:color="auto" w:fill="auto"/>
            <w:vAlign w:val="bottom"/>
          </w:tcPr>
          <w:p w14:paraId="6AEB3DAA"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en-US"/>
              </w:rPr>
            </w:pPr>
            <w:r w:rsidRPr="00693680">
              <w:rPr>
                <w:rFonts w:eastAsia="Times New Roman" w:cs="Arial"/>
                <w:sz w:val="19"/>
                <w:szCs w:val="19"/>
                <w:lang w:val="en-US"/>
              </w:rPr>
              <w:t>32,082</w:t>
            </w:r>
          </w:p>
        </w:tc>
      </w:tr>
      <w:tr w:rsidR="00693680" w:rsidRPr="00693680" w14:paraId="3C39640F" w14:textId="77777777" w:rsidTr="00693680">
        <w:tblPrEx>
          <w:tblCellMar>
            <w:left w:w="31" w:type="dxa"/>
            <w:right w:w="31" w:type="dxa"/>
          </w:tblCellMar>
        </w:tblPrEx>
        <w:trPr>
          <w:cantSplit/>
          <w:trHeight w:val="250"/>
          <w:tblHeader/>
        </w:trPr>
        <w:tc>
          <w:tcPr>
            <w:tcW w:w="2350" w:type="pct"/>
          </w:tcPr>
          <w:p w14:paraId="4C4B723D"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Issued guarantees in foreign currency</w:t>
            </w:r>
          </w:p>
        </w:tc>
        <w:tc>
          <w:tcPr>
            <w:tcW w:w="662" w:type="pct"/>
            <w:tcBorders>
              <w:top w:val="nil"/>
              <w:left w:val="nil"/>
              <w:bottom w:val="nil"/>
              <w:right w:val="nil"/>
            </w:tcBorders>
            <w:shd w:val="clear" w:color="auto" w:fill="auto"/>
            <w:vAlign w:val="bottom"/>
          </w:tcPr>
          <w:p w14:paraId="056A74AA"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en-US"/>
              </w:rPr>
            </w:pPr>
            <w:r w:rsidRPr="00693680">
              <w:rPr>
                <w:rFonts w:eastAsia="Times New Roman" w:cs="Arial"/>
                <w:sz w:val="19"/>
                <w:szCs w:val="19"/>
                <w:lang w:val="en-US"/>
              </w:rPr>
              <w:t>1,982,969</w:t>
            </w:r>
          </w:p>
        </w:tc>
        <w:tc>
          <w:tcPr>
            <w:tcW w:w="663" w:type="pct"/>
            <w:tcBorders>
              <w:top w:val="nil"/>
              <w:left w:val="nil"/>
              <w:bottom w:val="nil"/>
              <w:right w:val="nil"/>
            </w:tcBorders>
            <w:shd w:val="clear" w:color="auto" w:fill="auto"/>
            <w:vAlign w:val="bottom"/>
          </w:tcPr>
          <w:p w14:paraId="600A63D0"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en-US"/>
              </w:rPr>
            </w:pPr>
            <w:r w:rsidRPr="00693680">
              <w:rPr>
                <w:rFonts w:eastAsia="Times New Roman" w:cs="Arial"/>
                <w:sz w:val="19"/>
                <w:szCs w:val="19"/>
                <w:lang w:val="en-US"/>
              </w:rPr>
              <w:t>-</w:t>
            </w:r>
          </w:p>
        </w:tc>
        <w:tc>
          <w:tcPr>
            <w:tcW w:w="663" w:type="pct"/>
            <w:tcBorders>
              <w:top w:val="nil"/>
              <w:left w:val="nil"/>
              <w:bottom w:val="nil"/>
              <w:right w:val="nil"/>
            </w:tcBorders>
            <w:shd w:val="clear" w:color="auto" w:fill="auto"/>
            <w:vAlign w:val="bottom"/>
          </w:tcPr>
          <w:p w14:paraId="09A41C66"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en-US"/>
              </w:rPr>
            </w:pPr>
            <w:r w:rsidRPr="00693680">
              <w:rPr>
                <w:rFonts w:eastAsia="Times New Roman" w:cs="Arial"/>
                <w:sz w:val="19"/>
                <w:szCs w:val="19"/>
                <w:lang w:val="en-US"/>
              </w:rPr>
              <w:t>-</w:t>
            </w:r>
          </w:p>
        </w:tc>
        <w:tc>
          <w:tcPr>
            <w:tcW w:w="662" w:type="pct"/>
            <w:tcBorders>
              <w:top w:val="nil"/>
              <w:left w:val="nil"/>
              <w:bottom w:val="nil"/>
              <w:right w:val="nil"/>
            </w:tcBorders>
            <w:shd w:val="clear" w:color="auto" w:fill="auto"/>
            <w:vAlign w:val="bottom"/>
          </w:tcPr>
          <w:p w14:paraId="77E235DD"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en-US"/>
              </w:rPr>
            </w:pPr>
            <w:r w:rsidRPr="00693680">
              <w:rPr>
                <w:rFonts w:eastAsia="Times New Roman" w:cs="Arial"/>
                <w:sz w:val="19"/>
                <w:szCs w:val="19"/>
                <w:lang w:val="en-US"/>
              </w:rPr>
              <w:t>1,982,969</w:t>
            </w:r>
          </w:p>
        </w:tc>
      </w:tr>
      <w:tr w:rsidR="00693680" w:rsidRPr="00693680" w14:paraId="7B87D1ED" w14:textId="77777777" w:rsidTr="00693680">
        <w:tblPrEx>
          <w:tblCellMar>
            <w:left w:w="31" w:type="dxa"/>
            <w:right w:w="31" w:type="dxa"/>
          </w:tblCellMar>
        </w:tblPrEx>
        <w:trPr>
          <w:cantSplit/>
          <w:trHeight w:val="250"/>
          <w:tblHeader/>
        </w:trPr>
        <w:tc>
          <w:tcPr>
            <w:tcW w:w="2350" w:type="pct"/>
          </w:tcPr>
          <w:p w14:paraId="00C06833"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Undrawn loans</w:t>
            </w:r>
          </w:p>
        </w:tc>
        <w:tc>
          <w:tcPr>
            <w:tcW w:w="662" w:type="pct"/>
            <w:tcBorders>
              <w:top w:val="nil"/>
              <w:left w:val="nil"/>
              <w:bottom w:val="nil"/>
              <w:right w:val="nil"/>
            </w:tcBorders>
            <w:shd w:val="clear" w:color="auto" w:fill="auto"/>
            <w:vAlign w:val="bottom"/>
          </w:tcPr>
          <w:p w14:paraId="706A0A59"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en-US"/>
              </w:rPr>
            </w:pPr>
            <w:r w:rsidRPr="00693680">
              <w:rPr>
                <w:rFonts w:eastAsia="Times New Roman" w:cs="Arial"/>
                <w:sz w:val="19"/>
                <w:szCs w:val="19"/>
                <w:lang w:val="en-US"/>
              </w:rPr>
              <w:t>3,928,177</w:t>
            </w:r>
          </w:p>
        </w:tc>
        <w:tc>
          <w:tcPr>
            <w:tcW w:w="663" w:type="pct"/>
            <w:tcBorders>
              <w:top w:val="nil"/>
              <w:left w:val="nil"/>
              <w:bottom w:val="nil"/>
              <w:right w:val="nil"/>
            </w:tcBorders>
            <w:shd w:val="clear" w:color="auto" w:fill="auto"/>
            <w:vAlign w:val="bottom"/>
          </w:tcPr>
          <w:p w14:paraId="2F1BDD6A"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en-US"/>
              </w:rPr>
            </w:pPr>
            <w:r w:rsidRPr="00693680">
              <w:rPr>
                <w:rFonts w:eastAsia="Times New Roman" w:cs="Arial"/>
                <w:sz w:val="19"/>
                <w:szCs w:val="19"/>
                <w:lang w:val="en-US"/>
              </w:rPr>
              <w:t>-</w:t>
            </w:r>
          </w:p>
        </w:tc>
        <w:tc>
          <w:tcPr>
            <w:tcW w:w="663" w:type="pct"/>
            <w:tcBorders>
              <w:top w:val="nil"/>
              <w:left w:val="nil"/>
              <w:bottom w:val="nil"/>
              <w:right w:val="nil"/>
            </w:tcBorders>
            <w:shd w:val="clear" w:color="auto" w:fill="auto"/>
            <w:vAlign w:val="bottom"/>
          </w:tcPr>
          <w:p w14:paraId="5B09EBDF"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en-US"/>
              </w:rPr>
            </w:pPr>
            <w:r w:rsidRPr="00693680">
              <w:rPr>
                <w:rFonts w:eastAsia="Times New Roman" w:cs="Arial"/>
                <w:sz w:val="19"/>
                <w:szCs w:val="19"/>
                <w:lang w:val="en-US"/>
              </w:rPr>
              <w:t>-</w:t>
            </w:r>
          </w:p>
        </w:tc>
        <w:tc>
          <w:tcPr>
            <w:tcW w:w="662" w:type="pct"/>
            <w:tcBorders>
              <w:top w:val="nil"/>
              <w:left w:val="nil"/>
              <w:bottom w:val="nil"/>
              <w:right w:val="nil"/>
            </w:tcBorders>
            <w:shd w:val="clear" w:color="auto" w:fill="auto"/>
            <w:vAlign w:val="bottom"/>
          </w:tcPr>
          <w:p w14:paraId="26AAA4FA"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en-US"/>
              </w:rPr>
            </w:pPr>
            <w:r w:rsidRPr="00693680">
              <w:rPr>
                <w:rFonts w:eastAsia="Times New Roman" w:cs="Arial"/>
                <w:sz w:val="19"/>
                <w:szCs w:val="19"/>
                <w:lang w:val="en-US"/>
              </w:rPr>
              <w:t>3,928,177</w:t>
            </w:r>
          </w:p>
        </w:tc>
      </w:tr>
      <w:tr w:rsidR="00693680" w:rsidRPr="00693680" w14:paraId="6B6B0622" w14:textId="77777777" w:rsidTr="00693680">
        <w:tblPrEx>
          <w:tblCellMar>
            <w:left w:w="31" w:type="dxa"/>
            <w:right w:w="31" w:type="dxa"/>
          </w:tblCellMar>
        </w:tblPrEx>
        <w:trPr>
          <w:cantSplit/>
          <w:trHeight w:val="250"/>
          <w:tblHeader/>
        </w:trPr>
        <w:tc>
          <w:tcPr>
            <w:tcW w:w="2350" w:type="pct"/>
          </w:tcPr>
          <w:p w14:paraId="248D5966" w14:textId="77777777"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Other irrevocable contingent liabilities</w:t>
            </w:r>
          </w:p>
        </w:tc>
        <w:tc>
          <w:tcPr>
            <w:tcW w:w="662" w:type="pct"/>
            <w:tcBorders>
              <w:top w:val="nil"/>
              <w:left w:val="nil"/>
              <w:bottom w:val="nil"/>
              <w:right w:val="nil"/>
            </w:tcBorders>
            <w:shd w:val="clear" w:color="auto" w:fill="auto"/>
            <w:vAlign w:val="bottom"/>
          </w:tcPr>
          <w:p w14:paraId="5DAB71E6"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pl-PL"/>
              </w:rPr>
            </w:pPr>
            <w:r w:rsidRPr="00693680">
              <w:rPr>
                <w:rFonts w:eastAsia="Times New Roman" w:cs="Arial"/>
                <w:sz w:val="19"/>
                <w:szCs w:val="19"/>
                <w:lang w:val="en-US"/>
              </w:rPr>
              <w:t>335</w:t>
            </w:r>
          </w:p>
        </w:tc>
        <w:tc>
          <w:tcPr>
            <w:tcW w:w="663" w:type="pct"/>
            <w:tcBorders>
              <w:top w:val="nil"/>
              <w:left w:val="nil"/>
              <w:bottom w:val="nil"/>
              <w:right w:val="nil"/>
            </w:tcBorders>
            <w:shd w:val="clear" w:color="auto" w:fill="auto"/>
            <w:vAlign w:val="bottom"/>
          </w:tcPr>
          <w:p w14:paraId="153D6836"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pl-PL"/>
              </w:rPr>
            </w:pPr>
            <w:r w:rsidRPr="00693680">
              <w:rPr>
                <w:rFonts w:eastAsia="Times New Roman" w:cs="Arial"/>
                <w:sz w:val="19"/>
                <w:szCs w:val="19"/>
                <w:lang w:val="en-US"/>
              </w:rPr>
              <w:t>-</w:t>
            </w:r>
          </w:p>
        </w:tc>
        <w:tc>
          <w:tcPr>
            <w:tcW w:w="663" w:type="pct"/>
            <w:tcBorders>
              <w:top w:val="nil"/>
              <w:left w:val="nil"/>
              <w:bottom w:val="nil"/>
              <w:right w:val="nil"/>
            </w:tcBorders>
            <w:shd w:val="clear" w:color="auto" w:fill="auto"/>
            <w:vAlign w:val="bottom"/>
          </w:tcPr>
          <w:p w14:paraId="6FD3A96B"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pl-PL"/>
              </w:rPr>
            </w:pPr>
            <w:r w:rsidRPr="00693680">
              <w:rPr>
                <w:rFonts w:eastAsia="Times New Roman" w:cs="Arial"/>
                <w:sz w:val="19"/>
                <w:szCs w:val="19"/>
                <w:lang w:val="en-US"/>
              </w:rPr>
              <w:t>-</w:t>
            </w:r>
          </w:p>
        </w:tc>
        <w:tc>
          <w:tcPr>
            <w:tcW w:w="662" w:type="pct"/>
            <w:tcBorders>
              <w:top w:val="nil"/>
              <w:left w:val="nil"/>
              <w:bottom w:val="nil"/>
              <w:right w:val="nil"/>
            </w:tcBorders>
            <w:shd w:val="clear" w:color="auto" w:fill="auto"/>
            <w:vAlign w:val="bottom"/>
          </w:tcPr>
          <w:p w14:paraId="26176ADA"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pl-PL"/>
              </w:rPr>
            </w:pPr>
            <w:r w:rsidRPr="00693680">
              <w:rPr>
                <w:rFonts w:eastAsia="Times New Roman" w:cs="Arial"/>
                <w:sz w:val="19"/>
                <w:szCs w:val="19"/>
                <w:lang w:val="en-US"/>
              </w:rPr>
              <w:t>335</w:t>
            </w:r>
          </w:p>
        </w:tc>
      </w:tr>
      <w:tr w:rsidR="00693680" w:rsidRPr="00693680" w14:paraId="390C9349" w14:textId="77777777" w:rsidTr="00693680">
        <w:tblPrEx>
          <w:tblCellMar>
            <w:left w:w="31" w:type="dxa"/>
            <w:right w:w="31" w:type="dxa"/>
          </w:tblCellMar>
        </w:tblPrEx>
        <w:trPr>
          <w:cantSplit/>
          <w:trHeight w:val="375"/>
          <w:tblHeader/>
        </w:trPr>
        <w:tc>
          <w:tcPr>
            <w:tcW w:w="2350" w:type="pct"/>
            <w:vAlign w:val="bottom"/>
          </w:tcPr>
          <w:p w14:paraId="03D7377F" w14:textId="77777777" w:rsidR="00693680" w:rsidRPr="00693680" w:rsidRDefault="00693680" w:rsidP="00693680">
            <w:pPr>
              <w:tabs>
                <w:tab w:val="right" w:pos="1202"/>
              </w:tabs>
              <w:spacing w:after="0" w:line="200" w:lineRule="exact"/>
              <w:outlineLvl w:val="0"/>
              <w:rPr>
                <w:rFonts w:asciiTheme="minorHAnsi" w:eastAsia="Times New Roman" w:hAnsiTheme="minorHAnsi" w:cs="Arial"/>
                <w:b/>
                <w:bCs/>
                <w:sz w:val="19"/>
                <w:szCs w:val="19"/>
              </w:rPr>
            </w:pPr>
          </w:p>
          <w:p w14:paraId="7278C166" w14:textId="77777777" w:rsidR="00693680" w:rsidRPr="00693680" w:rsidRDefault="00693680" w:rsidP="00693680">
            <w:pPr>
              <w:tabs>
                <w:tab w:val="right" w:pos="1202"/>
              </w:tabs>
              <w:spacing w:after="0" w:line="200" w:lineRule="exact"/>
              <w:outlineLvl w:val="0"/>
              <w:rPr>
                <w:rFonts w:asciiTheme="minorHAnsi" w:eastAsia="Times New Roman" w:hAnsiTheme="minorHAnsi" w:cs="Arial"/>
                <w:b/>
                <w:bCs/>
                <w:sz w:val="19"/>
                <w:szCs w:val="19"/>
              </w:rPr>
            </w:pPr>
            <w:r w:rsidRPr="00693680">
              <w:rPr>
                <w:rFonts w:asciiTheme="minorHAnsi" w:eastAsia="Times New Roman" w:hAnsiTheme="minorHAnsi" w:cs="Arial"/>
                <w:b/>
                <w:bCs/>
                <w:sz w:val="19"/>
                <w:szCs w:val="19"/>
              </w:rPr>
              <w:t>Total</w:t>
            </w:r>
          </w:p>
        </w:tc>
        <w:tc>
          <w:tcPr>
            <w:tcW w:w="662" w:type="pct"/>
            <w:tcBorders>
              <w:top w:val="single" w:sz="8" w:space="0" w:color="auto"/>
              <w:left w:val="nil"/>
              <w:bottom w:val="single" w:sz="12" w:space="0" w:color="auto"/>
              <w:right w:val="nil"/>
            </w:tcBorders>
            <w:shd w:val="clear" w:color="auto" w:fill="auto"/>
            <w:vAlign w:val="bottom"/>
          </w:tcPr>
          <w:p w14:paraId="1DA06416"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en-US"/>
              </w:rPr>
            </w:pPr>
            <w:r w:rsidRPr="00693680">
              <w:rPr>
                <w:rFonts w:eastAsia="Times New Roman" w:cs="Arial"/>
                <w:b/>
                <w:bCs/>
                <w:sz w:val="19"/>
                <w:szCs w:val="19"/>
                <w:lang w:val="en-US"/>
              </w:rPr>
              <w:t>5,942,961</w:t>
            </w:r>
          </w:p>
        </w:tc>
        <w:tc>
          <w:tcPr>
            <w:tcW w:w="663" w:type="pct"/>
            <w:tcBorders>
              <w:top w:val="single" w:sz="8" w:space="0" w:color="auto"/>
              <w:left w:val="nil"/>
              <w:bottom w:val="single" w:sz="12" w:space="0" w:color="auto"/>
              <w:right w:val="nil"/>
            </w:tcBorders>
            <w:shd w:val="clear" w:color="auto" w:fill="auto"/>
            <w:vAlign w:val="bottom"/>
          </w:tcPr>
          <w:p w14:paraId="2D2C678D"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en-US"/>
              </w:rPr>
            </w:pPr>
            <w:r w:rsidRPr="00693680">
              <w:rPr>
                <w:rFonts w:eastAsia="Times New Roman" w:cs="Arial"/>
                <w:b/>
                <w:bCs/>
                <w:sz w:val="19"/>
                <w:szCs w:val="19"/>
                <w:lang w:val="en-US"/>
              </w:rPr>
              <w:t>602</w:t>
            </w:r>
          </w:p>
        </w:tc>
        <w:tc>
          <w:tcPr>
            <w:tcW w:w="663" w:type="pct"/>
            <w:tcBorders>
              <w:top w:val="single" w:sz="8" w:space="0" w:color="auto"/>
              <w:left w:val="nil"/>
              <w:bottom w:val="single" w:sz="12" w:space="0" w:color="auto"/>
              <w:right w:val="nil"/>
            </w:tcBorders>
            <w:shd w:val="clear" w:color="auto" w:fill="auto"/>
            <w:vAlign w:val="bottom"/>
          </w:tcPr>
          <w:p w14:paraId="1B8D519C"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en-US"/>
              </w:rPr>
            </w:pPr>
            <w:r w:rsidRPr="00693680">
              <w:rPr>
                <w:rFonts w:eastAsia="Times New Roman" w:cs="Arial"/>
                <w:b/>
                <w:bCs/>
                <w:sz w:val="19"/>
                <w:szCs w:val="19"/>
                <w:lang w:val="en-US"/>
              </w:rPr>
              <w:t>-</w:t>
            </w:r>
          </w:p>
        </w:tc>
        <w:tc>
          <w:tcPr>
            <w:tcW w:w="662" w:type="pct"/>
            <w:tcBorders>
              <w:top w:val="single" w:sz="8" w:space="0" w:color="auto"/>
              <w:left w:val="nil"/>
              <w:bottom w:val="single" w:sz="12" w:space="0" w:color="auto"/>
              <w:right w:val="nil"/>
            </w:tcBorders>
            <w:shd w:val="clear" w:color="auto" w:fill="auto"/>
            <w:vAlign w:val="bottom"/>
          </w:tcPr>
          <w:p w14:paraId="178088CB"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en-US"/>
              </w:rPr>
            </w:pPr>
            <w:r w:rsidRPr="00693680">
              <w:rPr>
                <w:rFonts w:eastAsia="Times New Roman" w:cs="Arial"/>
                <w:b/>
                <w:bCs/>
                <w:sz w:val="19"/>
                <w:szCs w:val="19"/>
                <w:lang w:val="en-US"/>
              </w:rPr>
              <w:t>5,943,563</w:t>
            </w:r>
          </w:p>
        </w:tc>
      </w:tr>
      <w:tr w:rsidR="00693680" w:rsidRPr="00693680" w14:paraId="009465AF" w14:textId="77777777" w:rsidTr="00693680">
        <w:tblPrEx>
          <w:tblCellMar>
            <w:left w:w="31" w:type="dxa"/>
            <w:right w:w="31" w:type="dxa"/>
          </w:tblCellMar>
        </w:tblPrEx>
        <w:trPr>
          <w:cantSplit/>
          <w:trHeight w:val="250"/>
          <w:tblHeader/>
        </w:trPr>
        <w:tc>
          <w:tcPr>
            <w:tcW w:w="2350" w:type="pct"/>
          </w:tcPr>
          <w:p w14:paraId="327B328F" w14:textId="77777777" w:rsidR="00693680" w:rsidRPr="00693680" w:rsidRDefault="00693680" w:rsidP="00693680">
            <w:pPr>
              <w:tabs>
                <w:tab w:val="right" w:pos="1202"/>
              </w:tabs>
              <w:spacing w:after="0" w:line="200" w:lineRule="exact"/>
              <w:jc w:val="center"/>
              <w:outlineLvl w:val="0"/>
              <w:rPr>
                <w:rFonts w:asciiTheme="minorHAnsi" w:eastAsia="Times New Roman" w:hAnsiTheme="minorHAnsi"/>
                <w:b/>
                <w:bCs/>
                <w:sz w:val="19"/>
                <w:szCs w:val="19"/>
              </w:rPr>
            </w:pPr>
          </w:p>
        </w:tc>
        <w:tc>
          <w:tcPr>
            <w:tcW w:w="662" w:type="pct"/>
            <w:tcBorders>
              <w:top w:val="single" w:sz="12" w:space="0" w:color="auto"/>
            </w:tcBorders>
            <w:vAlign w:val="bottom"/>
          </w:tcPr>
          <w:p w14:paraId="3B4F6606" w14:textId="77777777" w:rsidR="00693680" w:rsidRPr="00693680" w:rsidRDefault="00693680" w:rsidP="00693680">
            <w:pPr>
              <w:tabs>
                <w:tab w:val="right" w:pos="1202"/>
              </w:tabs>
              <w:spacing w:after="0" w:line="240" w:lineRule="auto"/>
              <w:jc w:val="right"/>
              <w:outlineLvl w:val="0"/>
              <w:rPr>
                <w:rFonts w:asciiTheme="minorHAnsi" w:eastAsia="Times New Roman" w:hAnsiTheme="minorHAnsi"/>
                <w:b/>
                <w:sz w:val="19"/>
                <w:szCs w:val="19"/>
                <w:lang w:val="en-US"/>
              </w:rPr>
            </w:pPr>
          </w:p>
        </w:tc>
        <w:tc>
          <w:tcPr>
            <w:tcW w:w="663" w:type="pct"/>
            <w:tcBorders>
              <w:top w:val="single" w:sz="12" w:space="0" w:color="auto"/>
            </w:tcBorders>
            <w:vAlign w:val="bottom"/>
          </w:tcPr>
          <w:p w14:paraId="7009D85B" w14:textId="77777777" w:rsidR="00693680" w:rsidRPr="00693680" w:rsidRDefault="00693680" w:rsidP="00693680">
            <w:pPr>
              <w:tabs>
                <w:tab w:val="right" w:pos="1202"/>
              </w:tabs>
              <w:spacing w:after="0" w:line="240" w:lineRule="auto"/>
              <w:jc w:val="right"/>
              <w:outlineLvl w:val="0"/>
              <w:rPr>
                <w:rFonts w:asciiTheme="minorHAnsi" w:eastAsia="Times New Roman" w:hAnsiTheme="minorHAnsi"/>
                <w:b/>
                <w:sz w:val="19"/>
                <w:szCs w:val="19"/>
                <w:lang w:val="en-US"/>
              </w:rPr>
            </w:pPr>
          </w:p>
        </w:tc>
        <w:tc>
          <w:tcPr>
            <w:tcW w:w="663" w:type="pct"/>
            <w:tcBorders>
              <w:top w:val="single" w:sz="12" w:space="0" w:color="auto"/>
            </w:tcBorders>
            <w:vAlign w:val="bottom"/>
          </w:tcPr>
          <w:p w14:paraId="44BE15A4" w14:textId="77777777" w:rsidR="00693680" w:rsidRPr="00693680" w:rsidRDefault="00693680" w:rsidP="00693680">
            <w:pPr>
              <w:tabs>
                <w:tab w:val="right" w:pos="1202"/>
              </w:tabs>
              <w:spacing w:after="0" w:line="240" w:lineRule="auto"/>
              <w:jc w:val="right"/>
              <w:outlineLvl w:val="0"/>
              <w:rPr>
                <w:rFonts w:asciiTheme="minorHAnsi" w:eastAsia="Times New Roman" w:hAnsiTheme="minorHAnsi"/>
                <w:b/>
                <w:sz w:val="19"/>
                <w:szCs w:val="19"/>
                <w:lang w:val="en-US"/>
              </w:rPr>
            </w:pPr>
          </w:p>
        </w:tc>
        <w:tc>
          <w:tcPr>
            <w:tcW w:w="662" w:type="pct"/>
            <w:tcBorders>
              <w:top w:val="single" w:sz="12" w:space="0" w:color="auto"/>
            </w:tcBorders>
            <w:vAlign w:val="bottom"/>
          </w:tcPr>
          <w:p w14:paraId="4B5114B6" w14:textId="77777777" w:rsidR="00693680" w:rsidRPr="00693680" w:rsidRDefault="00693680" w:rsidP="00693680">
            <w:pPr>
              <w:tabs>
                <w:tab w:val="right" w:pos="1202"/>
              </w:tabs>
              <w:spacing w:after="0" w:line="240" w:lineRule="auto"/>
              <w:jc w:val="right"/>
              <w:outlineLvl w:val="0"/>
              <w:rPr>
                <w:rFonts w:asciiTheme="minorHAnsi" w:eastAsia="Times New Roman" w:hAnsiTheme="minorHAnsi"/>
                <w:b/>
                <w:sz w:val="19"/>
                <w:szCs w:val="19"/>
                <w:lang w:val="en-US"/>
              </w:rPr>
            </w:pPr>
          </w:p>
        </w:tc>
      </w:tr>
      <w:tr w:rsidR="00693680" w:rsidRPr="00693680" w14:paraId="7D4CED9D" w14:textId="77777777" w:rsidTr="00693680">
        <w:tblPrEx>
          <w:tblCellMar>
            <w:left w:w="31" w:type="dxa"/>
            <w:right w:w="31" w:type="dxa"/>
          </w:tblCellMar>
        </w:tblPrEx>
        <w:trPr>
          <w:cantSplit/>
          <w:trHeight w:val="250"/>
          <w:tblHeader/>
        </w:trPr>
        <w:tc>
          <w:tcPr>
            <w:tcW w:w="2350" w:type="pct"/>
            <w:vAlign w:val="bottom"/>
          </w:tcPr>
          <w:p w14:paraId="580D9CB3" w14:textId="77777777" w:rsidR="00693680" w:rsidRPr="00693680" w:rsidRDefault="00693680" w:rsidP="00693680">
            <w:pPr>
              <w:tabs>
                <w:tab w:val="right" w:pos="1202"/>
              </w:tabs>
              <w:spacing w:after="0" w:line="200" w:lineRule="exact"/>
              <w:outlineLvl w:val="0"/>
              <w:rPr>
                <w:rFonts w:asciiTheme="minorHAnsi" w:eastAsia="Times New Roman" w:hAnsiTheme="minorHAnsi"/>
                <w:b/>
                <w:bCs/>
                <w:sz w:val="19"/>
                <w:szCs w:val="19"/>
              </w:rPr>
            </w:pPr>
            <w:r w:rsidRPr="00693680">
              <w:rPr>
                <w:rFonts w:asciiTheme="minorHAnsi" w:eastAsia="Times New Roman" w:hAnsiTheme="minorHAnsi" w:cs="Arial"/>
                <w:b/>
                <w:bCs/>
                <w:sz w:val="19"/>
                <w:szCs w:val="19"/>
              </w:rPr>
              <w:t>Total credit risk exposure</w:t>
            </w:r>
          </w:p>
        </w:tc>
        <w:tc>
          <w:tcPr>
            <w:tcW w:w="662" w:type="pct"/>
            <w:tcBorders>
              <w:top w:val="nil"/>
              <w:left w:val="nil"/>
              <w:bottom w:val="single" w:sz="12" w:space="0" w:color="auto"/>
              <w:right w:val="nil"/>
            </w:tcBorders>
            <w:shd w:val="clear" w:color="auto" w:fill="auto"/>
            <w:vAlign w:val="bottom"/>
          </w:tcPr>
          <w:p w14:paraId="1D416CBA"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en-US"/>
              </w:rPr>
            </w:pPr>
            <w:r w:rsidRPr="00693680">
              <w:rPr>
                <w:rFonts w:eastAsia="Times New Roman" w:cs="Arial"/>
                <w:b/>
                <w:bCs/>
                <w:sz w:val="19"/>
                <w:szCs w:val="19"/>
                <w:lang w:val="en-US"/>
              </w:rPr>
              <w:t>32,614,454</w:t>
            </w:r>
          </w:p>
        </w:tc>
        <w:tc>
          <w:tcPr>
            <w:tcW w:w="663" w:type="pct"/>
            <w:tcBorders>
              <w:top w:val="nil"/>
              <w:left w:val="nil"/>
              <w:bottom w:val="single" w:sz="12" w:space="0" w:color="auto"/>
              <w:right w:val="nil"/>
            </w:tcBorders>
            <w:shd w:val="clear" w:color="auto" w:fill="auto"/>
            <w:vAlign w:val="bottom"/>
          </w:tcPr>
          <w:p w14:paraId="71F4D783"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en-US"/>
              </w:rPr>
            </w:pPr>
            <w:r w:rsidRPr="00693680">
              <w:rPr>
                <w:rFonts w:eastAsia="Times New Roman" w:cs="Arial"/>
                <w:b/>
                <w:bCs/>
                <w:sz w:val="19"/>
                <w:szCs w:val="19"/>
                <w:lang w:val="en-US"/>
              </w:rPr>
              <w:t>322,772</w:t>
            </w:r>
          </w:p>
        </w:tc>
        <w:tc>
          <w:tcPr>
            <w:tcW w:w="663" w:type="pct"/>
            <w:tcBorders>
              <w:top w:val="nil"/>
              <w:left w:val="nil"/>
              <w:bottom w:val="single" w:sz="12" w:space="0" w:color="auto"/>
              <w:right w:val="nil"/>
            </w:tcBorders>
            <w:shd w:val="clear" w:color="auto" w:fill="auto"/>
            <w:vAlign w:val="bottom"/>
          </w:tcPr>
          <w:p w14:paraId="58FCA26B"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en-US"/>
              </w:rPr>
            </w:pPr>
            <w:r w:rsidRPr="00693680">
              <w:rPr>
                <w:rFonts w:eastAsia="Times New Roman" w:cs="Arial"/>
                <w:b/>
                <w:bCs/>
                <w:sz w:val="19"/>
                <w:szCs w:val="19"/>
                <w:lang w:val="en-US"/>
              </w:rPr>
              <w:t>230,913</w:t>
            </w:r>
          </w:p>
        </w:tc>
        <w:tc>
          <w:tcPr>
            <w:tcW w:w="662" w:type="pct"/>
            <w:tcBorders>
              <w:top w:val="nil"/>
              <w:left w:val="nil"/>
              <w:bottom w:val="single" w:sz="12" w:space="0" w:color="auto"/>
              <w:right w:val="nil"/>
            </w:tcBorders>
            <w:shd w:val="clear" w:color="auto" w:fill="auto"/>
            <w:vAlign w:val="bottom"/>
          </w:tcPr>
          <w:p w14:paraId="6EEFB703" w14:textId="77777777"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en-US"/>
              </w:rPr>
            </w:pPr>
            <w:r w:rsidRPr="00693680">
              <w:rPr>
                <w:rFonts w:eastAsia="Times New Roman" w:cs="Arial"/>
                <w:b/>
                <w:bCs/>
                <w:sz w:val="19"/>
                <w:szCs w:val="19"/>
                <w:lang w:val="en-US"/>
              </w:rPr>
              <w:t>33,168,139</w:t>
            </w:r>
          </w:p>
        </w:tc>
      </w:tr>
      <w:tr w:rsidR="00693680" w:rsidRPr="00693680" w14:paraId="3E9CD95D" w14:textId="77777777" w:rsidTr="00693680">
        <w:tblPrEx>
          <w:tblCellMar>
            <w:left w:w="31" w:type="dxa"/>
            <w:right w:w="31" w:type="dxa"/>
          </w:tblCellMar>
        </w:tblPrEx>
        <w:trPr>
          <w:cantSplit/>
          <w:trHeight w:val="56"/>
          <w:tblHeader/>
        </w:trPr>
        <w:tc>
          <w:tcPr>
            <w:tcW w:w="2350" w:type="pct"/>
            <w:vAlign w:val="bottom"/>
          </w:tcPr>
          <w:p w14:paraId="0B44A63C" w14:textId="77777777" w:rsidR="00693680" w:rsidRPr="00693680" w:rsidRDefault="00693680" w:rsidP="00693680">
            <w:pPr>
              <w:tabs>
                <w:tab w:val="right" w:pos="1202"/>
              </w:tabs>
              <w:spacing w:after="0" w:line="120" w:lineRule="auto"/>
              <w:outlineLvl w:val="0"/>
              <w:rPr>
                <w:rFonts w:asciiTheme="minorHAnsi" w:eastAsia="Times New Roman" w:hAnsiTheme="minorHAnsi" w:cs="Arial"/>
                <w:b/>
                <w:bCs/>
                <w:sz w:val="19"/>
                <w:szCs w:val="19"/>
              </w:rPr>
            </w:pPr>
          </w:p>
        </w:tc>
        <w:tc>
          <w:tcPr>
            <w:tcW w:w="662" w:type="pct"/>
            <w:tcBorders>
              <w:top w:val="single" w:sz="18" w:space="0" w:color="auto"/>
            </w:tcBorders>
            <w:vAlign w:val="bottom"/>
          </w:tcPr>
          <w:p w14:paraId="63AA0B8F" w14:textId="77777777" w:rsidR="00693680" w:rsidRPr="00693680" w:rsidRDefault="00693680" w:rsidP="00693680">
            <w:pPr>
              <w:tabs>
                <w:tab w:val="right" w:pos="1202"/>
              </w:tabs>
              <w:spacing w:after="0" w:line="120" w:lineRule="auto"/>
              <w:outlineLvl w:val="0"/>
              <w:rPr>
                <w:rFonts w:asciiTheme="minorHAnsi" w:eastAsia="Times New Roman" w:hAnsiTheme="minorHAnsi"/>
                <w:b/>
                <w:sz w:val="19"/>
                <w:szCs w:val="19"/>
              </w:rPr>
            </w:pPr>
          </w:p>
        </w:tc>
        <w:tc>
          <w:tcPr>
            <w:tcW w:w="663" w:type="pct"/>
            <w:tcBorders>
              <w:top w:val="single" w:sz="18" w:space="0" w:color="auto"/>
            </w:tcBorders>
            <w:vAlign w:val="bottom"/>
          </w:tcPr>
          <w:p w14:paraId="0D8A5CE5" w14:textId="77777777" w:rsidR="00693680" w:rsidRPr="00693680" w:rsidRDefault="00693680" w:rsidP="00693680">
            <w:pPr>
              <w:tabs>
                <w:tab w:val="right" w:pos="1202"/>
              </w:tabs>
              <w:spacing w:after="0" w:line="120" w:lineRule="auto"/>
              <w:outlineLvl w:val="0"/>
              <w:rPr>
                <w:rFonts w:asciiTheme="minorHAnsi" w:eastAsia="Times New Roman" w:hAnsiTheme="minorHAnsi"/>
                <w:b/>
                <w:sz w:val="19"/>
                <w:szCs w:val="19"/>
              </w:rPr>
            </w:pPr>
          </w:p>
        </w:tc>
        <w:tc>
          <w:tcPr>
            <w:tcW w:w="663" w:type="pct"/>
            <w:tcBorders>
              <w:top w:val="single" w:sz="18" w:space="0" w:color="auto"/>
            </w:tcBorders>
            <w:vAlign w:val="bottom"/>
          </w:tcPr>
          <w:p w14:paraId="101A7EE8" w14:textId="77777777" w:rsidR="00693680" w:rsidRPr="00693680" w:rsidRDefault="00693680" w:rsidP="00693680">
            <w:pPr>
              <w:tabs>
                <w:tab w:val="right" w:pos="1202"/>
              </w:tabs>
              <w:spacing w:after="0" w:line="120" w:lineRule="auto"/>
              <w:outlineLvl w:val="0"/>
              <w:rPr>
                <w:rFonts w:asciiTheme="minorHAnsi" w:eastAsia="Times New Roman" w:hAnsiTheme="minorHAnsi"/>
                <w:b/>
                <w:sz w:val="19"/>
                <w:szCs w:val="19"/>
              </w:rPr>
            </w:pPr>
          </w:p>
        </w:tc>
        <w:tc>
          <w:tcPr>
            <w:tcW w:w="662" w:type="pct"/>
            <w:tcBorders>
              <w:top w:val="single" w:sz="18" w:space="0" w:color="auto"/>
            </w:tcBorders>
            <w:vAlign w:val="bottom"/>
          </w:tcPr>
          <w:p w14:paraId="63834938" w14:textId="77777777" w:rsidR="00693680" w:rsidRPr="00693680" w:rsidRDefault="00693680" w:rsidP="00693680">
            <w:pPr>
              <w:tabs>
                <w:tab w:val="right" w:pos="1202"/>
              </w:tabs>
              <w:spacing w:after="0" w:line="120" w:lineRule="auto"/>
              <w:outlineLvl w:val="0"/>
              <w:rPr>
                <w:rFonts w:asciiTheme="minorHAnsi" w:eastAsia="Times New Roman" w:hAnsiTheme="minorHAnsi"/>
                <w:b/>
                <w:sz w:val="19"/>
                <w:szCs w:val="19"/>
              </w:rPr>
            </w:pPr>
          </w:p>
        </w:tc>
      </w:tr>
    </w:tbl>
    <w:p w14:paraId="224B8D78" w14:textId="77777777" w:rsidR="009702B0" w:rsidRPr="009702B0" w:rsidRDefault="009702B0" w:rsidP="009702B0">
      <w:pPr>
        <w:spacing w:after="0" w:line="240" w:lineRule="auto"/>
        <w:rPr>
          <w:rFonts w:cs="Arial"/>
          <w:sz w:val="19"/>
          <w:szCs w:val="20"/>
        </w:rPr>
      </w:pPr>
    </w:p>
    <w:p w14:paraId="477EEF6A" w14:textId="77777777" w:rsidR="009702B0" w:rsidRPr="009702B0" w:rsidRDefault="009702B0" w:rsidP="009702B0">
      <w:pPr>
        <w:keepNext/>
        <w:spacing w:after="0" w:line="280" w:lineRule="exact"/>
        <w:jc w:val="both"/>
        <w:rPr>
          <w:rFonts w:eastAsia="Times New Roman" w:cs="Arial"/>
          <w:sz w:val="19"/>
          <w:szCs w:val="20"/>
          <w:highlight w:val="yellow"/>
        </w:rPr>
      </w:pPr>
    </w:p>
    <w:p w14:paraId="6BB37F89" w14:textId="77777777" w:rsidR="009702B0" w:rsidRPr="009702B0" w:rsidRDefault="009702B0" w:rsidP="009702B0">
      <w:pPr>
        <w:spacing w:after="0" w:line="240" w:lineRule="auto"/>
        <w:jc w:val="both"/>
        <w:rPr>
          <w:rFonts w:eastAsia="Times New Roman" w:cs="Calibri"/>
          <w:b/>
          <w:sz w:val="24"/>
          <w:szCs w:val="24"/>
        </w:rPr>
        <w:sectPr w:rsidR="009702B0" w:rsidRPr="009702B0" w:rsidSect="00947CB7">
          <w:footerReference w:type="first" r:id="rId83"/>
          <w:pgSz w:w="11906" w:h="16838" w:code="9"/>
          <w:pgMar w:top="1418" w:right="1418" w:bottom="595" w:left="1134" w:header="709" w:footer="709" w:gutter="0"/>
          <w:cols w:space="708"/>
          <w:titlePg/>
          <w:docGrid w:linePitch="360"/>
        </w:sectPr>
      </w:pPr>
    </w:p>
    <w:p w14:paraId="6030964A" w14:textId="77777777" w:rsidR="009702B0" w:rsidRPr="009702B0" w:rsidRDefault="009702B0" w:rsidP="009702B0">
      <w:pPr>
        <w:spacing w:after="0" w:line="240" w:lineRule="auto"/>
        <w:jc w:val="both"/>
        <w:rPr>
          <w:rFonts w:eastAsia="Times New Roman" w:cs="Calibri"/>
          <w:b/>
        </w:rPr>
      </w:pPr>
    </w:p>
    <w:p w14:paraId="430287E6"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14:paraId="5324556D" w14:textId="77777777" w:rsidR="009702B0" w:rsidRPr="009702B0" w:rsidRDefault="009702B0" w:rsidP="009702B0">
      <w:pPr>
        <w:keepNext/>
        <w:spacing w:after="0" w:line="240" w:lineRule="auto"/>
        <w:jc w:val="both"/>
        <w:rPr>
          <w:rFonts w:eastAsia="Times New Roman" w:cs="Arial"/>
          <w:b/>
          <w:bCs/>
        </w:rPr>
      </w:pPr>
    </w:p>
    <w:p w14:paraId="33EE0C64"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 xml:space="preserve">16.2. </w:t>
      </w:r>
      <w:r w:rsidRPr="009702B0">
        <w:rPr>
          <w:rFonts w:eastAsia="Times New Roman" w:cs="Arial"/>
          <w:b/>
          <w:bCs/>
        </w:rPr>
        <w:tab/>
        <w:t>Credit risk (continued)</w:t>
      </w:r>
    </w:p>
    <w:p w14:paraId="4E5E3158" w14:textId="77777777" w:rsidR="009702B0" w:rsidRPr="009702B0" w:rsidRDefault="009702B0" w:rsidP="009702B0">
      <w:pPr>
        <w:keepNext/>
        <w:spacing w:after="0" w:line="240" w:lineRule="auto"/>
        <w:jc w:val="both"/>
        <w:rPr>
          <w:rFonts w:eastAsia="Times New Roman" w:cs="Arial"/>
          <w:b/>
          <w:bCs/>
        </w:rPr>
      </w:pPr>
    </w:p>
    <w:p w14:paraId="0E97CEB8" w14:textId="77777777" w:rsidR="009702B0" w:rsidRPr="009702B0" w:rsidRDefault="009702B0" w:rsidP="009702B0">
      <w:pPr>
        <w:spacing w:after="0" w:line="240" w:lineRule="auto"/>
        <w:jc w:val="both"/>
        <w:rPr>
          <w:rFonts w:ascii="Arial" w:eastAsia="Times New Roman" w:hAnsi="Arial" w:cs="Arial"/>
          <w:b/>
          <w:sz w:val="19"/>
          <w:szCs w:val="19"/>
        </w:rPr>
      </w:pPr>
      <w:r w:rsidRPr="009702B0">
        <w:rPr>
          <w:rFonts w:ascii="Arial" w:eastAsia="Times New Roman" w:hAnsi="Arial" w:cs="Arial"/>
          <w:b/>
          <w:sz w:val="19"/>
          <w:szCs w:val="19"/>
        </w:rPr>
        <w:t>Concentration of risk and maximum credit risk exposure (continued)</w:t>
      </w:r>
    </w:p>
    <w:p w14:paraId="70E222D6" w14:textId="77777777" w:rsidR="009702B0" w:rsidRPr="009702B0" w:rsidRDefault="009702B0" w:rsidP="009702B0">
      <w:pPr>
        <w:tabs>
          <w:tab w:val="right" w:pos="1202"/>
        </w:tabs>
        <w:spacing w:after="0" w:line="240" w:lineRule="auto"/>
        <w:outlineLvl w:val="0"/>
        <w:rPr>
          <w:rFonts w:eastAsia="Times New Roman"/>
        </w:rPr>
      </w:pPr>
    </w:p>
    <w:p w14:paraId="2E5F5C36" w14:textId="77777777" w:rsidR="009702B0" w:rsidRPr="009702B0" w:rsidRDefault="009702B0" w:rsidP="009702B0">
      <w:pPr>
        <w:keepNext/>
        <w:spacing w:after="0" w:line="240" w:lineRule="auto"/>
        <w:jc w:val="both"/>
        <w:rPr>
          <w:rFonts w:eastAsia="Times New Roman" w:cs="Arial"/>
          <w:bCs/>
        </w:rPr>
      </w:pPr>
      <w:r w:rsidRPr="009702B0">
        <w:rPr>
          <w:rFonts w:eastAsia="Times New Roman" w:cs="Arial"/>
        </w:rPr>
        <w:t xml:space="preserve">Concentration of assets and guarantees and commitments, according to industry, </w:t>
      </w:r>
      <w:r w:rsidRPr="009702B0">
        <w:rPr>
          <w:rFonts w:eastAsia="Times New Roman" w:cs="Arial"/>
          <w:bCs/>
        </w:rPr>
        <w:t>before and after the effect of mitigation through collateral received, is as follows:</w:t>
      </w:r>
    </w:p>
    <w:p w14:paraId="1B614FD2" w14:textId="77777777" w:rsidR="009702B0" w:rsidRPr="009702B0" w:rsidRDefault="009702B0" w:rsidP="009702B0">
      <w:pPr>
        <w:tabs>
          <w:tab w:val="right" w:pos="1202"/>
        </w:tabs>
        <w:spacing w:after="0" w:line="240" w:lineRule="auto"/>
        <w:outlineLvl w:val="0"/>
        <w:rPr>
          <w:rFonts w:eastAsia="Times New Roman" w:cs="Arial"/>
        </w:rPr>
      </w:pPr>
    </w:p>
    <w:tbl>
      <w:tblPr>
        <w:tblpPr w:leftFromText="181" w:rightFromText="181" w:vertAnchor="text" w:tblpY="1"/>
        <w:tblOverlap w:val="never"/>
        <w:tblW w:w="5000" w:type="pct"/>
        <w:tblLayout w:type="fixed"/>
        <w:tblCellMar>
          <w:left w:w="30" w:type="dxa"/>
          <w:right w:w="30" w:type="dxa"/>
        </w:tblCellMar>
        <w:tblLook w:val="0000" w:firstRow="0" w:lastRow="0" w:firstColumn="0" w:lastColumn="0" w:noHBand="0" w:noVBand="0"/>
      </w:tblPr>
      <w:tblGrid>
        <w:gridCol w:w="4550"/>
        <w:gridCol w:w="1201"/>
        <w:gridCol w:w="1201"/>
        <w:gridCol w:w="1201"/>
        <w:gridCol w:w="1201"/>
      </w:tblGrid>
      <w:tr w:rsidR="009702B0" w:rsidRPr="009702B0" w14:paraId="104F14B5" w14:textId="77777777" w:rsidTr="009702B0">
        <w:trPr>
          <w:cantSplit/>
          <w:trHeight w:val="919"/>
          <w:tblHeader/>
        </w:trPr>
        <w:tc>
          <w:tcPr>
            <w:tcW w:w="2432" w:type="pct"/>
            <w:vAlign w:val="bottom"/>
          </w:tcPr>
          <w:p w14:paraId="7F3FFAB6" w14:textId="77777777" w:rsidR="009702B0" w:rsidRPr="009702B0" w:rsidRDefault="009702B0" w:rsidP="009702B0">
            <w:pPr>
              <w:tabs>
                <w:tab w:val="right" w:pos="1202"/>
              </w:tabs>
              <w:spacing w:after="0" w:line="240" w:lineRule="atLeast"/>
              <w:outlineLvl w:val="0"/>
              <w:rPr>
                <w:rFonts w:eastAsia="Times New Roman" w:cs="Arial"/>
                <w:b/>
                <w:sz w:val="19"/>
                <w:szCs w:val="19"/>
              </w:rPr>
            </w:pPr>
            <w:r w:rsidRPr="009702B0">
              <w:rPr>
                <w:rFonts w:eastAsia="Times New Roman" w:cs="Arial"/>
                <w:b/>
                <w:sz w:val="19"/>
                <w:szCs w:val="19"/>
              </w:rPr>
              <w:t>Group</w:t>
            </w:r>
          </w:p>
        </w:tc>
        <w:tc>
          <w:tcPr>
            <w:tcW w:w="642" w:type="pct"/>
            <w:vAlign w:val="center"/>
          </w:tcPr>
          <w:p w14:paraId="548206A3" w14:textId="77777777" w:rsidR="009702B0" w:rsidRPr="009702B0" w:rsidRDefault="009702B0" w:rsidP="009702B0">
            <w:pPr>
              <w:tabs>
                <w:tab w:val="right" w:pos="1202"/>
              </w:tabs>
              <w:spacing w:after="0" w:line="240" w:lineRule="auto"/>
              <w:jc w:val="right"/>
              <w:outlineLvl w:val="0"/>
              <w:rPr>
                <w:rFonts w:cs="Arial"/>
                <w:b/>
                <w:sz w:val="19"/>
                <w:szCs w:val="19"/>
              </w:rPr>
            </w:pPr>
            <w:r w:rsidRPr="009702B0">
              <w:rPr>
                <w:rFonts w:cs="Arial"/>
                <w:b/>
                <w:sz w:val="19"/>
                <w:szCs w:val="19"/>
              </w:rPr>
              <w:t xml:space="preserve">Gross </w:t>
            </w:r>
          </w:p>
          <w:p w14:paraId="1B45720F" w14:textId="77777777" w:rsidR="009702B0" w:rsidRPr="009702B0" w:rsidRDefault="009702B0" w:rsidP="009702B0">
            <w:pPr>
              <w:tabs>
                <w:tab w:val="right" w:pos="1202"/>
              </w:tabs>
              <w:spacing w:after="0" w:line="240" w:lineRule="auto"/>
              <w:jc w:val="right"/>
              <w:outlineLvl w:val="0"/>
              <w:rPr>
                <w:rFonts w:cs="Arial"/>
                <w:b/>
                <w:sz w:val="19"/>
                <w:szCs w:val="19"/>
              </w:rPr>
            </w:pPr>
            <w:r w:rsidRPr="009702B0">
              <w:rPr>
                <w:rFonts w:cs="Arial"/>
                <w:b/>
                <w:sz w:val="19"/>
                <w:szCs w:val="19"/>
              </w:rPr>
              <w:t>highest exposure</w:t>
            </w:r>
          </w:p>
        </w:tc>
        <w:tc>
          <w:tcPr>
            <w:tcW w:w="642" w:type="pct"/>
            <w:vAlign w:val="center"/>
          </w:tcPr>
          <w:p w14:paraId="523570EE" w14:textId="77777777" w:rsidR="009702B0" w:rsidRPr="009702B0" w:rsidRDefault="009702B0" w:rsidP="009702B0">
            <w:pPr>
              <w:tabs>
                <w:tab w:val="right" w:pos="1202"/>
              </w:tabs>
              <w:spacing w:after="0" w:line="240" w:lineRule="auto"/>
              <w:jc w:val="right"/>
              <w:outlineLvl w:val="0"/>
              <w:rPr>
                <w:rFonts w:cs="Arial"/>
                <w:b/>
                <w:sz w:val="19"/>
                <w:szCs w:val="19"/>
              </w:rPr>
            </w:pPr>
            <w:r w:rsidRPr="009702B0">
              <w:rPr>
                <w:rFonts w:cs="Arial"/>
                <w:b/>
                <w:sz w:val="19"/>
                <w:szCs w:val="19"/>
              </w:rPr>
              <w:t xml:space="preserve">Net </w:t>
            </w:r>
          </w:p>
          <w:p w14:paraId="673A3F3D" w14:textId="77777777" w:rsidR="009702B0" w:rsidRPr="009702B0" w:rsidRDefault="009702B0" w:rsidP="009702B0">
            <w:pPr>
              <w:tabs>
                <w:tab w:val="right" w:pos="1202"/>
              </w:tabs>
              <w:spacing w:after="0" w:line="240" w:lineRule="auto"/>
              <w:jc w:val="right"/>
              <w:outlineLvl w:val="0"/>
              <w:rPr>
                <w:rFonts w:cs="Arial"/>
                <w:b/>
                <w:sz w:val="19"/>
                <w:szCs w:val="19"/>
              </w:rPr>
            </w:pPr>
            <w:r w:rsidRPr="009702B0">
              <w:rPr>
                <w:rFonts w:cs="Arial"/>
                <w:b/>
                <w:sz w:val="19"/>
                <w:szCs w:val="19"/>
              </w:rPr>
              <w:t>highest exposure</w:t>
            </w:r>
          </w:p>
        </w:tc>
        <w:tc>
          <w:tcPr>
            <w:tcW w:w="642" w:type="pct"/>
            <w:vAlign w:val="center"/>
          </w:tcPr>
          <w:p w14:paraId="4098ECC3" w14:textId="77777777" w:rsidR="009702B0" w:rsidRPr="009702B0" w:rsidRDefault="009702B0" w:rsidP="009702B0">
            <w:pPr>
              <w:tabs>
                <w:tab w:val="right" w:pos="1202"/>
              </w:tabs>
              <w:spacing w:after="0" w:line="240" w:lineRule="auto"/>
              <w:jc w:val="right"/>
              <w:outlineLvl w:val="0"/>
              <w:rPr>
                <w:rFonts w:cs="Arial"/>
                <w:b/>
                <w:sz w:val="19"/>
                <w:szCs w:val="19"/>
              </w:rPr>
            </w:pPr>
            <w:r w:rsidRPr="009702B0">
              <w:rPr>
                <w:rFonts w:cs="Arial"/>
                <w:b/>
                <w:sz w:val="19"/>
                <w:szCs w:val="19"/>
              </w:rPr>
              <w:t xml:space="preserve">Gross </w:t>
            </w:r>
          </w:p>
          <w:p w14:paraId="45BFDA5E" w14:textId="77777777" w:rsidR="009702B0" w:rsidRPr="009702B0" w:rsidRDefault="009702B0" w:rsidP="009702B0">
            <w:pPr>
              <w:tabs>
                <w:tab w:val="right" w:pos="1202"/>
              </w:tabs>
              <w:spacing w:after="0" w:line="240" w:lineRule="auto"/>
              <w:jc w:val="right"/>
              <w:outlineLvl w:val="0"/>
              <w:rPr>
                <w:rFonts w:cs="Arial"/>
                <w:b/>
                <w:sz w:val="19"/>
                <w:szCs w:val="19"/>
              </w:rPr>
            </w:pPr>
            <w:r w:rsidRPr="009702B0">
              <w:rPr>
                <w:rFonts w:cs="Arial"/>
                <w:b/>
                <w:sz w:val="19"/>
                <w:szCs w:val="19"/>
              </w:rPr>
              <w:t>highest exposure</w:t>
            </w:r>
          </w:p>
        </w:tc>
        <w:tc>
          <w:tcPr>
            <w:tcW w:w="642" w:type="pct"/>
            <w:vAlign w:val="center"/>
          </w:tcPr>
          <w:p w14:paraId="6C2926B5" w14:textId="77777777" w:rsidR="009702B0" w:rsidRPr="009702B0" w:rsidRDefault="009702B0" w:rsidP="009702B0">
            <w:pPr>
              <w:tabs>
                <w:tab w:val="right" w:pos="1202"/>
              </w:tabs>
              <w:spacing w:after="0" w:line="240" w:lineRule="auto"/>
              <w:jc w:val="right"/>
              <w:outlineLvl w:val="0"/>
              <w:rPr>
                <w:rFonts w:cs="Arial"/>
                <w:b/>
                <w:sz w:val="19"/>
                <w:szCs w:val="19"/>
              </w:rPr>
            </w:pPr>
            <w:r w:rsidRPr="009702B0">
              <w:rPr>
                <w:rFonts w:cs="Arial"/>
                <w:b/>
                <w:sz w:val="19"/>
                <w:szCs w:val="19"/>
              </w:rPr>
              <w:t xml:space="preserve">Net </w:t>
            </w:r>
          </w:p>
          <w:p w14:paraId="01BED070" w14:textId="77777777" w:rsidR="009702B0" w:rsidRPr="009702B0" w:rsidRDefault="009702B0" w:rsidP="009702B0">
            <w:pPr>
              <w:tabs>
                <w:tab w:val="right" w:pos="1202"/>
              </w:tabs>
              <w:spacing w:after="0" w:line="240" w:lineRule="auto"/>
              <w:jc w:val="right"/>
              <w:outlineLvl w:val="0"/>
              <w:rPr>
                <w:rFonts w:cs="Arial"/>
                <w:b/>
                <w:sz w:val="19"/>
                <w:szCs w:val="19"/>
              </w:rPr>
            </w:pPr>
            <w:r w:rsidRPr="009702B0">
              <w:rPr>
                <w:rFonts w:cs="Arial"/>
                <w:b/>
                <w:sz w:val="19"/>
                <w:szCs w:val="19"/>
              </w:rPr>
              <w:t>highest exposure</w:t>
            </w:r>
          </w:p>
        </w:tc>
      </w:tr>
      <w:tr w:rsidR="009702B0" w:rsidRPr="009702B0" w14:paraId="0BDFA9A3" w14:textId="77777777" w:rsidTr="009702B0">
        <w:trPr>
          <w:cantSplit/>
          <w:trHeight w:val="270"/>
          <w:tblHeader/>
        </w:trPr>
        <w:tc>
          <w:tcPr>
            <w:tcW w:w="2432" w:type="pct"/>
          </w:tcPr>
          <w:p w14:paraId="44DA2A30" w14:textId="77777777" w:rsidR="009702B0" w:rsidRDefault="009702B0" w:rsidP="009702B0">
            <w:pPr>
              <w:spacing w:after="0" w:line="280" w:lineRule="exact"/>
              <w:ind w:left="113" w:hanging="113"/>
              <w:rPr>
                <w:rFonts w:cs="Arial"/>
                <w:sz w:val="19"/>
                <w:szCs w:val="19"/>
              </w:rPr>
            </w:pPr>
          </w:p>
          <w:p w14:paraId="00915A65" w14:textId="77777777" w:rsidR="002F1C2D" w:rsidRPr="009702B0" w:rsidRDefault="002F1C2D" w:rsidP="009702B0">
            <w:pPr>
              <w:spacing w:after="0" w:line="280" w:lineRule="exact"/>
              <w:ind w:left="113" w:hanging="113"/>
              <w:rPr>
                <w:rFonts w:cs="Arial"/>
                <w:sz w:val="19"/>
                <w:szCs w:val="19"/>
              </w:rPr>
            </w:pPr>
          </w:p>
        </w:tc>
        <w:tc>
          <w:tcPr>
            <w:tcW w:w="642" w:type="pct"/>
            <w:vAlign w:val="center"/>
          </w:tcPr>
          <w:p w14:paraId="634577D5" w14:textId="3BDA5635" w:rsidR="009702B0" w:rsidRPr="009702B0" w:rsidRDefault="008D39D3" w:rsidP="00971E2C">
            <w:pPr>
              <w:tabs>
                <w:tab w:val="right" w:pos="1202"/>
              </w:tabs>
              <w:spacing w:after="0" w:line="280" w:lineRule="exact"/>
              <w:jc w:val="right"/>
              <w:outlineLvl w:val="0"/>
              <w:rPr>
                <w:rFonts w:cs="Arial"/>
                <w:b/>
                <w:sz w:val="19"/>
                <w:szCs w:val="19"/>
              </w:rPr>
            </w:pPr>
            <w:r>
              <w:rPr>
                <w:rFonts w:cs="Arial"/>
                <w:b/>
                <w:sz w:val="19"/>
                <w:szCs w:val="19"/>
              </w:rPr>
              <w:t>Sep</w:t>
            </w:r>
            <w:r w:rsidRPr="00693680">
              <w:rPr>
                <w:rFonts w:cs="Arial"/>
                <w:b/>
                <w:sz w:val="19"/>
                <w:szCs w:val="19"/>
              </w:rPr>
              <w:t xml:space="preserve"> </w:t>
            </w:r>
            <w:r w:rsidR="00645E82" w:rsidRPr="00693680">
              <w:rPr>
                <w:rFonts w:cs="Arial"/>
                <w:b/>
                <w:sz w:val="19"/>
                <w:szCs w:val="19"/>
              </w:rPr>
              <w:t>3</w:t>
            </w:r>
            <w:r w:rsidR="00645E82">
              <w:rPr>
                <w:rFonts w:cs="Arial"/>
                <w:b/>
                <w:sz w:val="19"/>
                <w:szCs w:val="19"/>
              </w:rPr>
              <w:t>0</w:t>
            </w:r>
            <w:r w:rsidR="00693680" w:rsidRPr="00693680">
              <w:rPr>
                <w:rFonts w:cs="Arial"/>
                <w:b/>
                <w:sz w:val="19"/>
                <w:szCs w:val="19"/>
              </w:rPr>
              <w:t>, 2017</w:t>
            </w:r>
          </w:p>
        </w:tc>
        <w:tc>
          <w:tcPr>
            <w:tcW w:w="642" w:type="pct"/>
            <w:vAlign w:val="center"/>
          </w:tcPr>
          <w:p w14:paraId="7B13077C" w14:textId="6132F4D2" w:rsidR="009702B0" w:rsidRPr="009702B0" w:rsidRDefault="008D39D3" w:rsidP="006A4C99">
            <w:pPr>
              <w:tabs>
                <w:tab w:val="right" w:pos="1202"/>
              </w:tabs>
              <w:spacing w:after="0" w:line="280" w:lineRule="exact"/>
              <w:jc w:val="right"/>
              <w:outlineLvl w:val="0"/>
              <w:rPr>
                <w:rFonts w:cs="Arial"/>
                <w:b/>
                <w:sz w:val="19"/>
                <w:szCs w:val="19"/>
              </w:rPr>
            </w:pPr>
            <w:r>
              <w:rPr>
                <w:rFonts w:cs="Arial"/>
                <w:b/>
                <w:sz w:val="19"/>
                <w:szCs w:val="19"/>
              </w:rPr>
              <w:t>Sep</w:t>
            </w:r>
            <w:r w:rsidRPr="00693680">
              <w:rPr>
                <w:rFonts w:cs="Arial"/>
                <w:b/>
                <w:sz w:val="19"/>
                <w:szCs w:val="19"/>
              </w:rPr>
              <w:t xml:space="preserve"> </w:t>
            </w:r>
            <w:r w:rsidR="00645E82" w:rsidRPr="00693680">
              <w:rPr>
                <w:rFonts w:cs="Arial"/>
                <w:b/>
                <w:sz w:val="19"/>
                <w:szCs w:val="19"/>
              </w:rPr>
              <w:t>3</w:t>
            </w:r>
            <w:r w:rsidR="00645E82">
              <w:rPr>
                <w:rFonts w:cs="Arial"/>
                <w:b/>
                <w:sz w:val="19"/>
                <w:szCs w:val="19"/>
              </w:rPr>
              <w:t>0</w:t>
            </w:r>
            <w:r w:rsidR="00693680" w:rsidRPr="00693680">
              <w:rPr>
                <w:rFonts w:cs="Arial"/>
                <w:b/>
                <w:sz w:val="19"/>
                <w:szCs w:val="19"/>
              </w:rPr>
              <w:t>, 2017</w:t>
            </w:r>
          </w:p>
        </w:tc>
        <w:tc>
          <w:tcPr>
            <w:tcW w:w="642" w:type="pct"/>
            <w:vAlign w:val="center"/>
          </w:tcPr>
          <w:p w14:paraId="241314F0" w14:textId="77777777" w:rsidR="009702B0" w:rsidRPr="009702B0" w:rsidRDefault="009702B0" w:rsidP="00693680">
            <w:pPr>
              <w:tabs>
                <w:tab w:val="right" w:pos="1202"/>
              </w:tabs>
              <w:spacing w:after="0" w:line="280" w:lineRule="exact"/>
              <w:jc w:val="right"/>
              <w:outlineLvl w:val="0"/>
              <w:rPr>
                <w:rFonts w:cs="Arial"/>
                <w:b/>
                <w:sz w:val="19"/>
                <w:szCs w:val="19"/>
              </w:rPr>
            </w:pPr>
            <w:r w:rsidRPr="009702B0">
              <w:rPr>
                <w:rFonts w:cs="Arial"/>
                <w:b/>
                <w:sz w:val="19"/>
                <w:szCs w:val="19"/>
              </w:rPr>
              <w:t>Dec 31, 201</w:t>
            </w:r>
            <w:r w:rsidR="00693680">
              <w:rPr>
                <w:rFonts w:cs="Arial"/>
                <w:b/>
                <w:sz w:val="19"/>
                <w:szCs w:val="19"/>
              </w:rPr>
              <w:t>6</w:t>
            </w:r>
          </w:p>
        </w:tc>
        <w:tc>
          <w:tcPr>
            <w:tcW w:w="642" w:type="pct"/>
            <w:vAlign w:val="center"/>
          </w:tcPr>
          <w:p w14:paraId="0B16FC74" w14:textId="77777777" w:rsidR="009702B0" w:rsidRPr="009702B0" w:rsidRDefault="009702B0" w:rsidP="00693680">
            <w:pPr>
              <w:tabs>
                <w:tab w:val="right" w:pos="1202"/>
              </w:tabs>
              <w:spacing w:after="0" w:line="280" w:lineRule="exact"/>
              <w:jc w:val="right"/>
              <w:outlineLvl w:val="0"/>
              <w:rPr>
                <w:rFonts w:cs="Arial"/>
                <w:b/>
                <w:sz w:val="19"/>
                <w:szCs w:val="19"/>
              </w:rPr>
            </w:pPr>
            <w:r w:rsidRPr="009702B0">
              <w:rPr>
                <w:rFonts w:cs="Arial"/>
                <w:b/>
                <w:sz w:val="19"/>
                <w:szCs w:val="19"/>
              </w:rPr>
              <w:t>Dec 31, 201</w:t>
            </w:r>
            <w:r w:rsidR="00693680">
              <w:rPr>
                <w:rFonts w:cs="Arial"/>
                <w:b/>
                <w:sz w:val="19"/>
                <w:szCs w:val="19"/>
              </w:rPr>
              <w:t>6</w:t>
            </w:r>
          </w:p>
        </w:tc>
      </w:tr>
      <w:tr w:rsidR="0037035B" w:rsidRPr="009702B0" w14:paraId="58BC8133" w14:textId="77777777" w:rsidTr="006B318F">
        <w:trPr>
          <w:cantSplit/>
          <w:trHeight w:val="270"/>
          <w:tblHeader/>
        </w:trPr>
        <w:tc>
          <w:tcPr>
            <w:tcW w:w="2432" w:type="pct"/>
            <w:vAlign w:val="bottom"/>
          </w:tcPr>
          <w:p w14:paraId="1E7B8E3C" w14:textId="77777777" w:rsidR="0037035B" w:rsidRPr="009702B0" w:rsidRDefault="0037035B" w:rsidP="0037035B">
            <w:pPr>
              <w:spacing w:after="0" w:line="280" w:lineRule="exact"/>
              <w:rPr>
                <w:rFonts w:cs="Arial"/>
                <w:bCs/>
                <w:sz w:val="19"/>
                <w:szCs w:val="19"/>
              </w:rPr>
            </w:pPr>
            <w:r w:rsidRPr="009702B0">
              <w:rPr>
                <w:rFonts w:cs="Arial"/>
                <w:bCs/>
                <w:sz w:val="19"/>
                <w:szCs w:val="19"/>
              </w:rPr>
              <w:t>Financial intermediation and insurance</w:t>
            </w:r>
          </w:p>
        </w:tc>
        <w:tc>
          <w:tcPr>
            <w:tcW w:w="642" w:type="pct"/>
            <w:tcBorders>
              <w:top w:val="nil"/>
              <w:left w:val="nil"/>
              <w:bottom w:val="nil"/>
              <w:right w:val="nil"/>
            </w:tcBorders>
            <w:shd w:val="clear" w:color="000000" w:fill="auto"/>
            <w:vAlign w:val="bottom"/>
          </w:tcPr>
          <w:p w14:paraId="050C5A3C" w14:textId="7AE7094E" w:rsidR="0037035B" w:rsidRPr="005444AA" w:rsidRDefault="0037035B" w:rsidP="0037035B">
            <w:pPr>
              <w:tabs>
                <w:tab w:val="right" w:pos="1202"/>
              </w:tabs>
              <w:spacing w:after="0" w:line="240" w:lineRule="auto"/>
              <w:jc w:val="right"/>
              <w:outlineLvl w:val="0"/>
              <w:rPr>
                <w:rFonts w:cs="Arial"/>
                <w:sz w:val="19"/>
                <w:szCs w:val="19"/>
              </w:rPr>
            </w:pPr>
            <w:r w:rsidRPr="00B14479">
              <w:rPr>
                <w:sz w:val="19"/>
                <w:szCs w:val="19"/>
              </w:rPr>
              <w:t>15</w:t>
            </w:r>
            <w:r>
              <w:rPr>
                <w:sz w:val="19"/>
                <w:szCs w:val="19"/>
              </w:rPr>
              <w:t>,</w:t>
            </w:r>
            <w:r w:rsidRPr="00B14479">
              <w:rPr>
                <w:sz w:val="19"/>
                <w:szCs w:val="19"/>
              </w:rPr>
              <w:t>734</w:t>
            </w:r>
            <w:r>
              <w:rPr>
                <w:sz w:val="19"/>
                <w:szCs w:val="19"/>
              </w:rPr>
              <w:t>,</w:t>
            </w:r>
            <w:r w:rsidRPr="00B14479">
              <w:rPr>
                <w:sz w:val="19"/>
                <w:szCs w:val="19"/>
              </w:rPr>
              <w:t>672</w:t>
            </w:r>
          </w:p>
        </w:tc>
        <w:tc>
          <w:tcPr>
            <w:tcW w:w="642" w:type="pct"/>
            <w:tcBorders>
              <w:top w:val="nil"/>
              <w:left w:val="nil"/>
              <w:bottom w:val="nil"/>
              <w:right w:val="nil"/>
            </w:tcBorders>
            <w:shd w:val="clear" w:color="000000" w:fill="auto"/>
            <w:vAlign w:val="bottom"/>
          </w:tcPr>
          <w:p w14:paraId="45EE5962" w14:textId="0C5D008E" w:rsidR="0037035B" w:rsidRPr="005444AA" w:rsidRDefault="0037035B" w:rsidP="0037035B">
            <w:pPr>
              <w:tabs>
                <w:tab w:val="right" w:pos="1202"/>
              </w:tabs>
              <w:spacing w:after="0" w:line="240" w:lineRule="auto"/>
              <w:jc w:val="right"/>
              <w:outlineLvl w:val="0"/>
              <w:rPr>
                <w:rFonts w:cs="Arial"/>
                <w:sz w:val="19"/>
                <w:szCs w:val="19"/>
              </w:rPr>
            </w:pPr>
            <w:r>
              <w:rPr>
                <w:sz w:val="19"/>
                <w:szCs w:val="19"/>
              </w:rPr>
              <w:t>-</w:t>
            </w:r>
          </w:p>
        </w:tc>
        <w:tc>
          <w:tcPr>
            <w:tcW w:w="642" w:type="pct"/>
            <w:tcBorders>
              <w:top w:val="nil"/>
              <w:left w:val="nil"/>
              <w:bottom w:val="nil"/>
              <w:right w:val="nil"/>
            </w:tcBorders>
            <w:shd w:val="clear" w:color="auto" w:fill="auto"/>
            <w:vAlign w:val="bottom"/>
          </w:tcPr>
          <w:p w14:paraId="63E7D72C" w14:textId="77777777" w:rsidR="0037035B" w:rsidRPr="00166751" w:rsidRDefault="0037035B" w:rsidP="0037035B">
            <w:pPr>
              <w:tabs>
                <w:tab w:val="right" w:pos="1202"/>
              </w:tabs>
              <w:spacing w:after="0" w:line="240" w:lineRule="auto"/>
              <w:jc w:val="right"/>
              <w:outlineLvl w:val="0"/>
              <w:rPr>
                <w:rFonts w:asciiTheme="minorHAnsi" w:hAnsiTheme="minorHAnsi"/>
                <w:sz w:val="19"/>
                <w:szCs w:val="19"/>
                <w:lang w:val="hr-HR"/>
              </w:rPr>
            </w:pPr>
            <w:r w:rsidRPr="00166751">
              <w:rPr>
                <w:rFonts w:cs="Arial"/>
                <w:sz w:val="19"/>
                <w:szCs w:val="19"/>
              </w:rPr>
              <w:t>15,359,154</w:t>
            </w:r>
          </w:p>
        </w:tc>
        <w:tc>
          <w:tcPr>
            <w:tcW w:w="642" w:type="pct"/>
            <w:tcBorders>
              <w:top w:val="nil"/>
              <w:left w:val="nil"/>
              <w:bottom w:val="nil"/>
              <w:right w:val="nil"/>
            </w:tcBorders>
            <w:shd w:val="clear" w:color="auto" w:fill="auto"/>
            <w:vAlign w:val="bottom"/>
          </w:tcPr>
          <w:p w14:paraId="50369344" w14:textId="77777777" w:rsidR="0037035B" w:rsidRPr="00166751" w:rsidRDefault="0037035B" w:rsidP="0037035B">
            <w:pPr>
              <w:tabs>
                <w:tab w:val="right" w:pos="1202"/>
              </w:tabs>
              <w:spacing w:after="0" w:line="240" w:lineRule="auto"/>
              <w:jc w:val="right"/>
              <w:outlineLvl w:val="0"/>
              <w:rPr>
                <w:rFonts w:asciiTheme="minorHAnsi" w:hAnsiTheme="minorHAnsi"/>
                <w:sz w:val="19"/>
                <w:szCs w:val="19"/>
                <w:lang w:val="hr-HR"/>
              </w:rPr>
            </w:pPr>
            <w:r w:rsidRPr="00166751">
              <w:rPr>
                <w:rFonts w:cs="Arial"/>
                <w:sz w:val="19"/>
                <w:szCs w:val="19"/>
              </w:rPr>
              <w:t>-</w:t>
            </w:r>
          </w:p>
        </w:tc>
      </w:tr>
      <w:tr w:rsidR="0037035B" w:rsidRPr="009702B0" w14:paraId="2FA2EF1A" w14:textId="77777777" w:rsidTr="006B318F">
        <w:trPr>
          <w:cantSplit/>
          <w:trHeight w:val="270"/>
          <w:tblHeader/>
        </w:trPr>
        <w:tc>
          <w:tcPr>
            <w:tcW w:w="2432" w:type="pct"/>
            <w:vAlign w:val="bottom"/>
          </w:tcPr>
          <w:p w14:paraId="52B57823" w14:textId="77777777" w:rsidR="0037035B" w:rsidRPr="009702B0" w:rsidRDefault="0037035B" w:rsidP="0037035B">
            <w:pPr>
              <w:spacing w:after="0" w:line="280" w:lineRule="exact"/>
              <w:rPr>
                <w:rFonts w:cs="Arial"/>
                <w:bCs/>
                <w:sz w:val="19"/>
                <w:szCs w:val="19"/>
              </w:rPr>
            </w:pPr>
            <w:r w:rsidRPr="009702B0">
              <w:rPr>
                <w:rFonts w:cs="Arial"/>
                <w:bCs/>
                <w:sz w:val="19"/>
                <w:szCs w:val="19"/>
              </w:rPr>
              <w:t>Water and electric supply and other infrastructure</w:t>
            </w:r>
          </w:p>
        </w:tc>
        <w:tc>
          <w:tcPr>
            <w:tcW w:w="642" w:type="pct"/>
            <w:tcBorders>
              <w:top w:val="nil"/>
              <w:left w:val="nil"/>
              <w:bottom w:val="nil"/>
              <w:right w:val="nil"/>
            </w:tcBorders>
            <w:shd w:val="clear" w:color="000000" w:fill="auto"/>
            <w:vAlign w:val="bottom"/>
          </w:tcPr>
          <w:p w14:paraId="16CEC529" w14:textId="6282C5E4" w:rsidR="0037035B" w:rsidRPr="005444AA" w:rsidRDefault="0037035B" w:rsidP="0037035B">
            <w:pPr>
              <w:tabs>
                <w:tab w:val="right" w:pos="1202"/>
              </w:tabs>
              <w:spacing w:after="0" w:line="240" w:lineRule="auto"/>
              <w:jc w:val="right"/>
              <w:outlineLvl w:val="0"/>
              <w:rPr>
                <w:rFonts w:cs="Arial"/>
                <w:sz w:val="19"/>
                <w:szCs w:val="19"/>
              </w:rPr>
            </w:pPr>
            <w:r w:rsidRPr="00B14479">
              <w:rPr>
                <w:sz w:val="19"/>
                <w:szCs w:val="19"/>
              </w:rPr>
              <w:t>1</w:t>
            </w:r>
            <w:r>
              <w:rPr>
                <w:sz w:val="19"/>
                <w:szCs w:val="19"/>
              </w:rPr>
              <w:t>,</w:t>
            </w:r>
            <w:r w:rsidRPr="00B14479">
              <w:rPr>
                <w:sz w:val="19"/>
                <w:szCs w:val="19"/>
              </w:rPr>
              <w:t>238</w:t>
            </w:r>
            <w:r>
              <w:rPr>
                <w:sz w:val="19"/>
                <w:szCs w:val="19"/>
              </w:rPr>
              <w:t>,</w:t>
            </w:r>
            <w:r w:rsidRPr="00B14479">
              <w:rPr>
                <w:sz w:val="19"/>
                <w:szCs w:val="19"/>
              </w:rPr>
              <w:t>166</w:t>
            </w:r>
          </w:p>
        </w:tc>
        <w:tc>
          <w:tcPr>
            <w:tcW w:w="642" w:type="pct"/>
            <w:tcBorders>
              <w:top w:val="nil"/>
              <w:left w:val="nil"/>
              <w:bottom w:val="nil"/>
              <w:right w:val="nil"/>
            </w:tcBorders>
            <w:shd w:val="clear" w:color="000000" w:fill="auto"/>
            <w:vAlign w:val="bottom"/>
          </w:tcPr>
          <w:p w14:paraId="156E85B2" w14:textId="4DEEB8E2" w:rsidR="0037035B" w:rsidRPr="005444AA" w:rsidRDefault="0037035B" w:rsidP="0037035B">
            <w:pPr>
              <w:tabs>
                <w:tab w:val="right" w:pos="1202"/>
              </w:tabs>
              <w:spacing w:after="0" w:line="240" w:lineRule="auto"/>
              <w:jc w:val="right"/>
              <w:outlineLvl w:val="0"/>
              <w:rPr>
                <w:rFonts w:cs="Arial"/>
                <w:sz w:val="19"/>
                <w:szCs w:val="19"/>
              </w:rPr>
            </w:pPr>
            <w:r w:rsidRPr="00B14479">
              <w:rPr>
                <w:sz w:val="19"/>
                <w:szCs w:val="19"/>
              </w:rPr>
              <w:t>947</w:t>
            </w:r>
            <w:r>
              <w:rPr>
                <w:sz w:val="19"/>
                <w:szCs w:val="19"/>
              </w:rPr>
              <w:t>,</w:t>
            </w:r>
            <w:r w:rsidRPr="00B14479">
              <w:rPr>
                <w:sz w:val="19"/>
                <w:szCs w:val="19"/>
              </w:rPr>
              <w:t>121</w:t>
            </w:r>
          </w:p>
        </w:tc>
        <w:tc>
          <w:tcPr>
            <w:tcW w:w="642" w:type="pct"/>
            <w:tcBorders>
              <w:top w:val="nil"/>
              <w:left w:val="nil"/>
              <w:bottom w:val="nil"/>
              <w:right w:val="nil"/>
            </w:tcBorders>
            <w:shd w:val="clear" w:color="auto" w:fill="auto"/>
            <w:vAlign w:val="bottom"/>
          </w:tcPr>
          <w:p w14:paraId="4C0BC24C" w14:textId="77777777" w:rsidR="0037035B" w:rsidRPr="00166751" w:rsidRDefault="0037035B" w:rsidP="0037035B">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1,322,277</w:t>
            </w:r>
          </w:p>
        </w:tc>
        <w:tc>
          <w:tcPr>
            <w:tcW w:w="642" w:type="pct"/>
            <w:tcBorders>
              <w:top w:val="nil"/>
              <w:left w:val="nil"/>
              <w:bottom w:val="nil"/>
              <w:right w:val="nil"/>
            </w:tcBorders>
            <w:shd w:val="clear" w:color="auto" w:fill="auto"/>
            <w:vAlign w:val="bottom"/>
          </w:tcPr>
          <w:p w14:paraId="7A29C622" w14:textId="77777777" w:rsidR="0037035B" w:rsidRPr="00166751" w:rsidRDefault="0037035B" w:rsidP="0037035B">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959,881</w:t>
            </w:r>
          </w:p>
        </w:tc>
      </w:tr>
      <w:tr w:rsidR="0037035B" w:rsidRPr="009702B0" w14:paraId="5A8C0B78" w14:textId="77777777" w:rsidTr="006B318F">
        <w:trPr>
          <w:cantSplit/>
          <w:trHeight w:val="270"/>
          <w:tblHeader/>
        </w:trPr>
        <w:tc>
          <w:tcPr>
            <w:tcW w:w="2432" w:type="pct"/>
            <w:vAlign w:val="bottom"/>
          </w:tcPr>
          <w:p w14:paraId="18BB8FE4" w14:textId="77777777" w:rsidR="0037035B" w:rsidRPr="009702B0" w:rsidRDefault="0037035B" w:rsidP="0037035B">
            <w:pPr>
              <w:spacing w:after="0" w:line="280" w:lineRule="exact"/>
              <w:rPr>
                <w:rFonts w:cs="Arial"/>
                <w:bCs/>
                <w:sz w:val="19"/>
                <w:szCs w:val="19"/>
              </w:rPr>
            </w:pPr>
            <w:r w:rsidRPr="009702B0">
              <w:rPr>
                <w:rFonts w:cs="Arial"/>
                <w:bCs/>
                <w:sz w:val="19"/>
                <w:szCs w:val="19"/>
              </w:rPr>
              <w:t>Tourism</w:t>
            </w:r>
          </w:p>
        </w:tc>
        <w:tc>
          <w:tcPr>
            <w:tcW w:w="642" w:type="pct"/>
            <w:tcBorders>
              <w:top w:val="nil"/>
              <w:left w:val="nil"/>
              <w:bottom w:val="nil"/>
              <w:right w:val="nil"/>
            </w:tcBorders>
            <w:shd w:val="clear" w:color="000000" w:fill="auto"/>
            <w:vAlign w:val="bottom"/>
          </w:tcPr>
          <w:p w14:paraId="6E8BD054" w14:textId="5A379602" w:rsidR="0037035B" w:rsidRPr="005444AA" w:rsidRDefault="0037035B" w:rsidP="0037035B">
            <w:pPr>
              <w:tabs>
                <w:tab w:val="right" w:pos="1202"/>
              </w:tabs>
              <w:spacing w:after="0" w:line="240" w:lineRule="auto"/>
              <w:jc w:val="right"/>
              <w:outlineLvl w:val="0"/>
              <w:rPr>
                <w:rFonts w:cs="Arial"/>
                <w:sz w:val="19"/>
                <w:szCs w:val="19"/>
              </w:rPr>
            </w:pPr>
            <w:r w:rsidRPr="00B14479">
              <w:rPr>
                <w:sz w:val="19"/>
                <w:szCs w:val="19"/>
              </w:rPr>
              <w:t>3</w:t>
            </w:r>
            <w:r>
              <w:rPr>
                <w:sz w:val="19"/>
                <w:szCs w:val="19"/>
              </w:rPr>
              <w:t>,</w:t>
            </w:r>
            <w:r w:rsidRPr="00B14479">
              <w:rPr>
                <w:sz w:val="19"/>
                <w:szCs w:val="19"/>
              </w:rPr>
              <w:t>643</w:t>
            </w:r>
            <w:r>
              <w:rPr>
                <w:sz w:val="19"/>
                <w:szCs w:val="19"/>
              </w:rPr>
              <w:t>,</w:t>
            </w:r>
            <w:r w:rsidRPr="00B14479">
              <w:rPr>
                <w:sz w:val="19"/>
                <w:szCs w:val="19"/>
              </w:rPr>
              <w:t>698</w:t>
            </w:r>
          </w:p>
        </w:tc>
        <w:tc>
          <w:tcPr>
            <w:tcW w:w="642" w:type="pct"/>
            <w:tcBorders>
              <w:top w:val="nil"/>
              <w:left w:val="nil"/>
              <w:bottom w:val="nil"/>
              <w:right w:val="nil"/>
            </w:tcBorders>
            <w:shd w:val="clear" w:color="000000" w:fill="auto"/>
            <w:vAlign w:val="bottom"/>
          </w:tcPr>
          <w:p w14:paraId="04C410B1" w14:textId="2182B7C0" w:rsidR="0037035B" w:rsidRPr="005444AA" w:rsidRDefault="0037035B" w:rsidP="0037035B">
            <w:pPr>
              <w:tabs>
                <w:tab w:val="right" w:pos="1202"/>
              </w:tabs>
              <w:spacing w:after="0" w:line="240" w:lineRule="auto"/>
              <w:jc w:val="right"/>
              <w:outlineLvl w:val="0"/>
              <w:rPr>
                <w:rFonts w:cs="Arial"/>
                <w:sz w:val="19"/>
                <w:szCs w:val="19"/>
              </w:rPr>
            </w:pPr>
            <w:r w:rsidRPr="00B14479">
              <w:rPr>
                <w:sz w:val="19"/>
                <w:szCs w:val="19"/>
              </w:rPr>
              <w:t>283</w:t>
            </w:r>
            <w:r>
              <w:rPr>
                <w:sz w:val="19"/>
                <w:szCs w:val="19"/>
              </w:rPr>
              <w:t>,</w:t>
            </w:r>
            <w:r w:rsidRPr="00B14479">
              <w:rPr>
                <w:sz w:val="19"/>
                <w:szCs w:val="19"/>
              </w:rPr>
              <w:t>906</w:t>
            </w:r>
          </w:p>
        </w:tc>
        <w:tc>
          <w:tcPr>
            <w:tcW w:w="642" w:type="pct"/>
            <w:tcBorders>
              <w:top w:val="nil"/>
              <w:left w:val="nil"/>
              <w:bottom w:val="nil"/>
              <w:right w:val="nil"/>
            </w:tcBorders>
            <w:shd w:val="clear" w:color="auto" w:fill="auto"/>
            <w:vAlign w:val="bottom"/>
          </w:tcPr>
          <w:p w14:paraId="70C1189C" w14:textId="77777777" w:rsidR="0037035B" w:rsidRPr="00166751" w:rsidRDefault="0037035B" w:rsidP="0037035B">
            <w:pPr>
              <w:tabs>
                <w:tab w:val="right" w:pos="1202"/>
              </w:tabs>
              <w:spacing w:after="0" w:line="240" w:lineRule="auto"/>
              <w:jc w:val="right"/>
              <w:outlineLvl w:val="0"/>
              <w:rPr>
                <w:rFonts w:asciiTheme="minorHAnsi" w:hAnsiTheme="minorHAnsi"/>
                <w:sz w:val="19"/>
                <w:szCs w:val="19"/>
              </w:rPr>
            </w:pPr>
            <w:r w:rsidRPr="00166751">
              <w:rPr>
                <w:rFonts w:cs="Arial"/>
                <w:sz w:val="19"/>
                <w:szCs w:val="19"/>
              </w:rPr>
              <w:t>3,630,150</w:t>
            </w:r>
          </w:p>
        </w:tc>
        <w:tc>
          <w:tcPr>
            <w:tcW w:w="642" w:type="pct"/>
            <w:tcBorders>
              <w:top w:val="nil"/>
              <w:left w:val="nil"/>
              <w:bottom w:val="nil"/>
              <w:right w:val="nil"/>
            </w:tcBorders>
            <w:shd w:val="clear" w:color="auto" w:fill="auto"/>
            <w:vAlign w:val="bottom"/>
          </w:tcPr>
          <w:p w14:paraId="3ADA0F5C" w14:textId="77777777" w:rsidR="0037035B" w:rsidRPr="00166751" w:rsidRDefault="0037035B" w:rsidP="0037035B">
            <w:pPr>
              <w:tabs>
                <w:tab w:val="right" w:pos="1202"/>
              </w:tabs>
              <w:spacing w:after="0" w:line="240" w:lineRule="auto"/>
              <w:jc w:val="right"/>
              <w:outlineLvl w:val="0"/>
              <w:rPr>
                <w:rFonts w:asciiTheme="minorHAnsi" w:hAnsiTheme="minorHAnsi"/>
                <w:sz w:val="19"/>
                <w:szCs w:val="19"/>
              </w:rPr>
            </w:pPr>
            <w:r w:rsidRPr="00166751">
              <w:rPr>
                <w:rFonts w:cs="Arial"/>
                <w:sz w:val="19"/>
                <w:szCs w:val="19"/>
              </w:rPr>
              <w:t>363,739</w:t>
            </w:r>
          </w:p>
        </w:tc>
      </w:tr>
      <w:tr w:rsidR="0037035B" w:rsidRPr="009702B0" w14:paraId="0EBA8E8D" w14:textId="77777777" w:rsidTr="006B318F">
        <w:trPr>
          <w:cantSplit/>
          <w:trHeight w:val="270"/>
          <w:tblHeader/>
        </w:trPr>
        <w:tc>
          <w:tcPr>
            <w:tcW w:w="2432" w:type="pct"/>
            <w:vAlign w:val="bottom"/>
          </w:tcPr>
          <w:p w14:paraId="49A0ECA2" w14:textId="77777777" w:rsidR="0037035B" w:rsidRPr="009702B0" w:rsidRDefault="0037035B" w:rsidP="0037035B">
            <w:pPr>
              <w:spacing w:after="0" w:line="280" w:lineRule="exact"/>
              <w:rPr>
                <w:rFonts w:cs="Arial"/>
                <w:bCs/>
                <w:sz w:val="19"/>
                <w:szCs w:val="19"/>
              </w:rPr>
            </w:pPr>
            <w:r w:rsidRPr="009702B0">
              <w:rPr>
                <w:rFonts w:cs="Arial"/>
                <w:bCs/>
                <w:sz w:val="19"/>
                <w:szCs w:val="19"/>
              </w:rPr>
              <w:t>Transport, warehousing and connections</w:t>
            </w:r>
          </w:p>
        </w:tc>
        <w:tc>
          <w:tcPr>
            <w:tcW w:w="642" w:type="pct"/>
            <w:tcBorders>
              <w:top w:val="nil"/>
              <w:left w:val="nil"/>
              <w:bottom w:val="nil"/>
              <w:right w:val="nil"/>
            </w:tcBorders>
            <w:shd w:val="clear" w:color="000000" w:fill="auto"/>
            <w:vAlign w:val="bottom"/>
          </w:tcPr>
          <w:p w14:paraId="3DA2EE39" w14:textId="2ECFFF3E" w:rsidR="0037035B" w:rsidRPr="005444AA" w:rsidRDefault="0037035B" w:rsidP="0037035B">
            <w:pPr>
              <w:tabs>
                <w:tab w:val="right" w:pos="1202"/>
              </w:tabs>
              <w:spacing w:after="0" w:line="240" w:lineRule="auto"/>
              <w:jc w:val="right"/>
              <w:outlineLvl w:val="0"/>
              <w:rPr>
                <w:rFonts w:cs="Arial"/>
                <w:sz w:val="19"/>
                <w:szCs w:val="19"/>
              </w:rPr>
            </w:pPr>
            <w:r w:rsidRPr="00B14479">
              <w:rPr>
                <w:sz w:val="19"/>
                <w:szCs w:val="19"/>
              </w:rPr>
              <w:t>1</w:t>
            </w:r>
            <w:r>
              <w:rPr>
                <w:sz w:val="19"/>
                <w:szCs w:val="19"/>
              </w:rPr>
              <w:t>,</w:t>
            </w:r>
            <w:r w:rsidRPr="00B14479">
              <w:rPr>
                <w:sz w:val="19"/>
                <w:szCs w:val="19"/>
              </w:rPr>
              <w:t>876</w:t>
            </w:r>
            <w:r>
              <w:rPr>
                <w:sz w:val="19"/>
                <w:szCs w:val="19"/>
              </w:rPr>
              <w:t>,</w:t>
            </w:r>
            <w:r w:rsidRPr="00B14479">
              <w:rPr>
                <w:sz w:val="19"/>
                <w:szCs w:val="19"/>
              </w:rPr>
              <w:t>406</w:t>
            </w:r>
          </w:p>
        </w:tc>
        <w:tc>
          <w:tcPr>
            <w:tcW w:w="642" w:type="pct"/>
            <w:tcBorders>
              <w:top w:val="nil"/>
              <w:left w:val="nil"/>
              <w:bottom w:val="nil"/>
              <w:right w:val="nil"/>
            </w:tcBorders>
            <w:shd w:val="clear" w:color="000000" w:fill="auto"/>
            <w:vAlign w:val="bottom"/>
          </w:tcPr>
          <w:p w14:paraId="2E99E5B6" w14:textId="7C7FB3BA" w:rsidR="0037035B" w:rsidRPr="005444AA" w:rsidRDefault="0037035B" w:rsidP="0037035B">
            <w:pPr>
              <w:tabs>
                <w:tab w:val="right" w:pos="1202"/>
              </w:tabs>
              <w:spacing w:after="0" w:line="240" w:lineRule="auto"/>
              <w:jc w:val="right"/>
              <w:outlineLvl w:val="0"/>
              <w:rPr>
                <w:rFonts w:cs="Arial"/>
                <w:sz w:val="19"/>
                <w:szCs w:val="19"/>
              </w:rPr>
            </w:pPr>
            <w:r w:rsidRPr="00B14479">
              <w:rPr>
                <w:sz w:val="19"/>
                <w:szCs w:val="19"/>
              </w:rPr>
              <w:t>789</w:t>
            </w:r>
            <w:r>
              <w:rPr>
                <w:sz w:val="19"/>
                <w:szCs w:val="19"/>
              </w:rPr>
              <w:t>,</w:t>
            </w:r>
            <w:r w:rsidRPr="00B14479">
              <w:rPr>
                <w:sz w:val="19"/>
                <w:szCs w:val="19"/>
              </w:rPr>
              <w:t>194</w:t>
            </w:r>
          </w:p>
        </w:tc>
        <w:tc>
          <w:tcPr>
            <w:tcW w:w="642" w:type="pct"/>
            <w:tcBorders>
              <w:top w:val="nil"/>
              <w:left w:val="nil"/>
              <w:bottom w:val="nil"/>
              <w:right w:val="nil"/>
            </w:tcBorders>
            <w:shd w:val="clear" w:color="auto" w:fill="auto"/>
            <w:vAlign w:val="bottom"/>
          </w:tcPr>
          <w:p w14:paraId="610E4B43" w14:textId="77777777" w:rsidR="0037035B" w:rsidRPr="00166751" w:rsidRDefault="0037035B" w:rsidP="0037035B">
            <w:pPr>
              <w:tabs>
                <w:tab w:val="right" w:pos="1202"/>
              </w:tabs>
              <w:spacing w:after="0" w:line="240" w:lineRule="auto"/>
              <w:jc w:val="right"/>
              <w:outlineLvl w:val="0"/>
              <w:rPr>
                <w:rFonts w:asciiTheme="minorHAnsi" w:hAnsiTheme="minorHAnsi"/>
                <w:sz w:val="19"/>
                <w:szCs w:val="19"/>
              </w:rPr>
            </w:pPr>
            <w:r w:rsidRPr="00166751">
              <w:rPr>
                <w:rFonts w:cs="Arial"/>
                <w:sz w:val="19"/>
                <w:szCs w:val="19"/>
              </w:rPr>
              <w:t>1,714,718</w:t>
            </w:r>
          </w:p>
        </w:tc>
        <w:tc>
          <w:tcPr>
            <w:tcW w:w="642" w:type="pct"/>
            <w:tcBorders>
              <w:top w:val="nil"/>
              <w:left w:val="nil"/>
              <w:bottom w:val="nil"/>
              <w:right w:val="nil"/>
            </w:tcBorders>
            <w:shd w:val="clear" w:color="auto" w:fill="auto"/>
            <w:vAlign w:val="bottom"/>
          </w:tcPr>
          <w:p w14:paraId="7C6A2280" w14:textId="77777777" w:rsidR="0037035B" w:rsidRPr="00166751" w:rsidRDefault="0037035B" w:rsidP="0037035B">
            <w:pPr>
              <w:tabs>
                <w:tab w:val="right" w:pos="1202"/>
              </w:tabs>
              <w:spacing w:after="0" w:line="240" w:lineRule="auto"/>
              <w:jc w:val="right"/>
              <w:outlineLvl w:val="0"/>
              <w:rPr>
                <w:rFonts w:asciiTheme="minorHAnsi" w:hAnsiTheme="minorHAnsi"/>
                <w:sz w:val="19"/>
                <w:szCs w:val="19"/>
              </w:rPr>
            </w:pPr>
            <w:r w:rsidRPr="00166751">
              <w:rPr>
                <w:rFonts w:cs="Arial"/>
                <w:sz w:val="19"/>
                <w:szCs w:val="19"/>
              </w:rPr>
              <w:t>836,069</w:t>
            </w:r>
          </w:p>
        </w:tc>
      </w:tr>
      <w:tr w:rsidR="0037035B" w:rsidRPr="009702B0" w14:paraId="695970C7" w14:textId="77777777" w:rsidTr="006B318F">
        <w:trPr>
          <w:cantSplit/>
          <w:trHeight w:val="270"/>
          <w:tblHeader/>
        </w:trPr>
        <w:tc>
          <w:tcPr>
            <w:tcW w:w="2432" w:type="pct"/>
            <w:vAlign w:val="bottom"/>
          </w:tcPr>
          <w:p w14:paraId="25FB690D" w14:textId="77777777" w:rsidR="0037035B" w:rsidRPr="009702B0" w:rsidRDefault="0037035B" w:rsidP="0037035B">
            <w:pPr>
              <w:spacing w:after="0" w:line="280" w:lineRule="exact"/>
              <w:rPr>
                <w:rFonts w:cs="Arial"/>
                <w:bCs/>
                <w:sz w:val="19"/>
                <w:szCs w:val="19"/>
              </w:rPr>
            </w:pPr>
            <w:r w:rsidRPr="009702B0">
              <w:rPr>
                <w:rFonts w:cs="Arial"/>
                <w:bCs/>
                <w:sz w:val="19"/>
                <w:szCs w:val="19"/>
              </w:rPr>
              <w:t>Shipbuilding</w:t>
            </w:r>
          </w:p>
        </w:tc>
        <w:tc>
          <w:tcPr>
            <w:tcW w:w="642" w:type="pct"/>
            <w:tcBorders>
              <w:top w:val="nil"/>
              <w:left w:val="nil"/>
              <w:bottom w:val="nil"/>
              <w:right w:val="nil"/>
            </w:tcBorders>
            <w:shd w:val="clear" w:color="000000" w:fill="auto"/>
            <w:vAlign w:val="bottom"/>
          </w:tcPr>
          <w:p w14:paraId="38F9E98C" w14:textId="4A1EEE57" w:rsidR="0037035B" w:rsidRPr="005444AA" w:rsidRDefault="0037035B" w:rsidP="0037035B">
            <w:pPr>
              <w:tabs>
                <w:tab w:val="right" w:pos="1202"/>
              </w:tabs>
              <w:spacing w:after="0" w:line="240" w:lineRule="auto"/>
              <w:jc w:val="right"/>
              <w:outlineLvl w:val="0"/>
              <w:rPr>
                <w:rFonts w:cs="Arial"/>
                <w:sz w:val="19"/>
                <w:szCs w:val="19"/>
              </w:rPr>
            </w:pPr>
            <w:r w:rsidRPr="00B14479">
              <w:rPr>
                <w:sz w:val="19"/>
                <w:szCs w:val="19"/>
              </w:rPr>
              <w:t>2</w:t>
            </w:r>
            <w:r>
              <w:rPr>
                <w:sz w:val="19"/>
                <w:szCs w:val="19"/>
              </w:rPr>
              <w:t>,</w:t>
            </w:r>
            <w:r w:rsidRPr="00B14479">
              <w:rPr>
                <w:sz w:val="19"/>
                <w:szCs w:val="19"/>
              </w:rPr>
              <w:t>506</w:t>
            </w:r>
            <w:r>
              <w:rPr>
                <w:sz w:val="19"/>
                <w:szCs w:val="19"/>
              </w:rPr>
              <w:t>,</w:t>
            </w:r>
            <w:r w:rsidRPr="00B14479">
              <w:rPr>
                <w:sz w:val="19"/>
                <w:szCs w:val="19"/>
              </w:rPr>
              <w:t>555</w:t>
            </w:r>
          </w:p>
        </w:tc>
        <w:tc>
          <w:tcPr>
            <w:tcW w:w="642" w:type="pct"/>
            <w:tcBorders>
              <w:top w:val="nil"/>
              <w:left w:val="nil"/>
              <w:bottom w:val="nil"/>
              <w:right w:val="nil"/>
            </w:tcBorders>
            <w:shd w:val="clear" w:color="000000" w:fill="auto"/>
            <w:vAlign w:val="bottom"/>
          </w:tcPr>
          <w:p w14:paraId="668160D2" w14:textId="1FAA5E8B" w:rsidR="0037035B" w:rsidRPr="005444AA" w:rsidRDefault="0037035B" w:rsidP="0037035B">
            <w:pPr>
              <w:tabs>
                <w:tab w:val="right" w:pos="1202"/>
              </w:tabs>
              <w:spacing w:after="0" w:line="240" w:lineRule="auto"/>
              <w:jc w:val="right"/>
              <w:outlineLvl w:val="0"/>
              <w:rPr>
                <w:rFonts w:cs="Arial"/>
                <w:sz w:val="19"/>
                <w:szCs w:val="19"/>
              </w:rPr>
            </w:pPr>
            <w:r w:rsidRPr="00B14479">
              <w:rPr>
                <w:sz w:val="19"/>
                <w:szCs w:val="19"/>
              </w:rPr>
              <w:t>409</w:t>
            </w:r>
            <w:r>
              <w:rPr>
                <w:sz w:val="19"/>
                <w:szCs w:val="19"/>
              </w:rPr>
              <w:t>,</w:t>
            </w:r>
            <w:r w:rsidRPr="00B14479">
              <w:rPr>
                <w:sz w:val="19"/>
                <w:szCs w:val="19"/>
              </w:rPr>
              <w:t>031</w:t>
            </w:r>
          </w:p>
        </w:tc>
        <w:tc>
          <w:tcPr>
            <w:tcW w:w="642" w:type="pct"/>
            <w:tcBorders>
              <w:top w:val="nil"/>
              <w:left w:val="nil"/>
              <w:bottom w:val="nil"/>
              <w:right w:val="nil"/>
            </w:tcBorders>
            <w:shd w:val="clear" w:color="auto" w:fill="auto"/>
            <w:vAlign w:val="bottom"/>
          </w:tcPr>
          <w:p w14:paraId="0C6C44A4" w14:textId="77777777" w:rsidR="0037035B" w:rsidRPr="00166751" w:rsidRDefault="0037035B" w:rsidP="0037035B">
            <w:pPr>
              <w:tabs>
                <w:tab w:val="right" w:pos="1202"/>
              </w:tabs>
              <w:spacing w:after="0" w:line="240" w:lineRule="auto"/>
              <w:jc w:val="right"/>
              <w:outlineLvl w:val="0"/>
              <w:rPr>
                <w:rFonts w:asciiTheme="minorHAnsi" w:hAnsiTheme="minorHAnsi"/>
                <w:sz w:val="19"/>
                <w:szCs w:val="19"/>
              </w:rPr>
            </w:pPr>
            <w:r w:rsidRPr="00166751">
              <w:rPr>
                <w:rFonts w:cs="Arial"/>
                <w:sz w:val="19"/>
                <w:szCs w:val="19"/>
              </w:rPr>
              <w:t>2,257,050</w:t>
            </w:r>
          </w:p>
        </w:tc>
        <w:tc>
          <w:tcPr>
            <w:tcW w:w="642" w:type="pct"/>
            <w:tcBorders>
              <w:top w:val="nil"/>
              <w:left w:val="nil"/>
              <w:bottom w:val="nil"/>
              <w:right w:val="nil"/>
            </w:tcBorders>
            <w:shd w:val="clear" w:color="auto" w:fill="auto"/>
            <w:vAlign w:val="bottom"/>
          </w:tcPr>
          <w:p w14:paraId="3091EDB8" w14:textId="77777777" w:rsidR="0037035B" w:rsidRPr="00166751" w:rsidRDefault="0037035B" w:rsidP="0037035B">
            <w:pPr>
              <w:tabs>
                <w:tab w:val="right" w:pos="1202"/>
              </w:tabs>
              <w:spacing w:after="0" w:line="240" w:lineRule="auto"/>
              <w:jc w:val="right"/>
              <w:outlineLvl w:val="0"/>
              <w:rPr>
                <w:rFonts w:asciiTheme="minorHAnsi" w:hAnsiTheme="minorHAnsi"/>
                <w:sz w:val="19"/>
                <w:szCs w:val="19"/>
              </w:rPr>
            </w:pPr>
            <w:r w:rsidRPr="00166751">
              <w:rPr>
                <w:rFonts w:cs="Arial"/>
                <w:sz w:val="19"/>
                <w:szCs w:val="19"/>
              </w:rPr>
              <w:t>572,383</w:t>
            </w:r>
          </w:p>
        </w:tc>
      </w:tr>
      <w:tr w:rsidR="0037035B" w:rsidRPr="009702B0" w14:paraId="767CDB3D" w14:textId="77777777" w:rsidTr="006B318F">
        <w:trPr>
          <w:cantSplit/>
          <w:trHeight w:val="270"/>
          <w:tblHeader/>
        </w:trPr>
        <w:tc>
          <w:tcPr>
            <w:tcW w:w="2432" w:type="pct"/>
            <w:vAlign w:val="bottom"/>
          </w:tcPr>
          <w:p w14:paraId="27486054" w14:textId="77777777" w:rsidR="0037035B" w:rsidRPr="009702B0" w:rsidDel="00FF5490" w:rsidRDefault="0037035B" w:rsidP="0037035B">
            <w:pPr>
              <w:spacing w:after="0" w:line="280" w:lineRule="exact"/>
              <w:rPr>
                <w:rFonts w:cs="Arial"/>
                <w:sz w:val="19"/>
                <w:szCs w:val="19"/>
              </w:rPr>
            </w:pPr>
            <w:r w:rsidRPr="009702B0">
              <w:rPr>
                <w:rFonts w:cs="Arial"/>
                <w:bCs/>
                <w:sz w:val="19"/>
                <w:szCs w:val="19"/>
              </w:rPr>
              <w:t>Agriculture and fishery</w:t>
            </w:r>
          </w:p>
        </w:tc>
        <w:tc>
          <w:tcPr>
            <w:tcW w:w="642" w:type="pct"/>
            <w:tcBorders>
              <w:top w:val="nil"/>
              <w:left w:val="nil"/>
              <w:bottom w:val="nil"/>
              <w:right w:val="nil"/>
            </w:tcBorders>
            <w:shd w:val="clear" w:color="000000" w:fill="auto"/>
            <w:vAlign w:val="bottom"/>
          </w:tcPr>
          <w:p w14:paraId="1EA44EC9" w14:textId="65F9B34A" w:rsidR="0037035B" w:rsidRPr="005444AA" w:rsidRDefault="0037035B" w:rsidP="0037035B">
            <w:pPr>
              <w:tabs>
                <w:tab w:val="right" w:pos="1202"/>
              </w:tabs>
              <w:spacing w:after="0" w:line="240" w:lineRule="auto"/>
              <w:jc w:val="right"/>
              <w:outlineLvl w:val="0"/>
              <w:rPr>
                <w:rFonts w:cs="Arial"/>
                <w:sz w:val="19"/>
                <w:szCs w:val="19"/>
              </w:rPr>
            </w:pPr>
            <w:r w:rsidRPr="00B14479">
              <w:rPr>
                <w:sz w:val="19"/>
                <w:szCs w:val="19"/>
              </w:rPr>
              <w:t>478</w:t>
            </w:r>
            <w:r>
              <w:rPr>
                <w:sz w:val="19"/>
                <w:szCs w:val="19"/>
              </w:rPr>
              <w:t>,</w:t>
            </w:r>
            <w:r w:rsidRPr="00B14479">
              <w:rPr>
                <w:sz w:val="19"/>
                <w:szCs w:val="19"/>
              </w:rPr>
              <w:t>355</w:t>
            </w:r>
          </w:p>
        </w:tc>
        <w:tc>
          <w:tcPr>
            <w:tcW w:w="642" w:type="pct"/>
            <w:tcBorders>
              <w:top w:val="nil"/>
              <w:left w:val="nil"/>
              <w:bottom w:val="nil"/>
              <w:right w:val="nil"/>
            </w:tcBorders>
            <w:shd w:val="clear" w:color="000000" w:fill="auto"/>
            <w:vAlign w:val="bottom"/>
          </w:tcPr>
          <w:p w14:paraId="206F2773" w14:textId="7B9D589D" w:rsidR="0037035B" w:rsidRPr="005444AA" w:rsidRDefault="0037035B" w:rsidP="0037035B">
            <w:pPr>
              <w:tabs>
                <w:tab w:val="right" w:pos="1202"/>
              </w:tabs>
              <w:spacing w:after="0" w:line="240" w:lineRule="auto"/>
              <w:jc w:val="right"/>
              <w:outlineLvl w:val="0"/>
              <w:rPr>
                <w:rFonts w:cs="Arial"/>
                <w:sz w:val="19"/>
                <w:szCs w:val="19"/>
              </w:rPr>
            </w:pPr>
            <w:r w:rsidRPr="00B14479">
              <w:rPr>
                <w:sz w:val="19"/>
                <w:szCs w:val="19"/>
              </w:rPr>
              <w:t>69</w:t>
            </w:r>
            <w:r>
              <w:rPr>
                <w:sz w:val="19"/>
                <w:szCs w:val="19"/>
              </w:rPr>
              <w:t>,</w:t>
            </w:r>
            <w:r w:rsidRPr="00B14479">
              <w:rPr>
                <w:sz w:val="19"/>
                <w:szCs w:val="19"/>
              </w:rPr>
              <w:t>543</w:t>
            </w:r>
          </w:p>
        </w:tc>
        <w:tc>
          <w:tcPr>
            <w:tcW w:w="642" w:type="pct"/>
            <w:tcBorders>
              <w:top w:val="nil"/>
              <w:left w:val="nil"/>
              <w:bottom w:val="nil"/>
              <w:right w:val="nil"/>
            </w:tcBorders>
            <w:shd w:val="clear" w:color="auto" w:fill="auto"/>
            <w:vAlign w:val="bottom"/>
          </w:tcPr>
          <w:p w14:paraId="6349239E" w14:textId="77777777" w:rsidR="0037035B" w:rsidRPr="00166751" w:rsidRDefault="0037035B" w:rsidP="0037035B">
            <w:pPr>
              <w:tabs>
                <w:tab w:val="right" w:pos="1202"/>
              </w:tabs>
              <w:spacing w:after="0" w:line="240" w:lineRule="auto"/>
              <w:jc w:val="right"/>
              <w:outlineLvl w:val="0"/>
              <w:rPr>
                <w:rFonts w:asciiTheme="minorHAnsi" w:hAnsiTheme="minorHAnsi"/>
                <w:sz w:val="19"/>
                <w:szCs w:val="19"/>
              </w:rPr>
            </w:pPr>
            <w:r w:rsidRPr="00166751">
              <w:rPr>
                <w:rFonts w:cs="Arial"/>
                <w:sz w:val="19"/>
                <w:szCs w:val="19"/>
              </w:rPr>
              <w:t>515,711</w:t>
            </w:r>
          </w:p>
        </w:tc>
        <w:tc>
          <w:tcPr>
            <w:tcW w:w="642" w:type="pct"/>
            <w:tcBorders>
              <w:top w:val="nil"/>
              <w:left w:val="nil"/>
              <w:bottom w:val="nil"/>
              <w:right w:val="nil"/>
            </w:tcBorders>
            <w:shd w:val="clear" w:color="auto" w:fill="auto"/>
            <w:vAlign w:val="bottom"/>
          </w:tcPr>
          <w:p w14:paraId="07E85120" w14:textId="77777777" w:rsidR="0037035B" w:rsidRPr="00166751" w:rsidRDefault="0037035B" w:rsidP="0037035B">
            <w:pPr>
              <w:tabs>
                <w:tab w:val="right" w:pos="1202"/>
              </w:tabs>
              <w:spacing w:after="0" w:line="240" w:lineRule="auto"/>
              <w:jc w:val="right"/>
              <w:outlineLvl w:val="0"/>
              <w:rPr>
                <w:rFonts w:asciiTheme="minorHAnsi" w:hAnsiTheme="minorHAnsi"/>
                <w:sz w:val="19"/>
                <w:szCs w:val="19"/>
              </w:rPr>
            </w:pPr>
            <w:r w:rsidRPr="00166751">
              <w:rPr>
                <w:rFonts w:cs="Arial"/>
                <w:sz w:val="19"/>
                <w:szCs w:val="19"/>
              </w:rPr>
              <w:t>68,982</w:t>
            </w:r>
          </w:p>
        </w:tc>
      </w:tr>
      <w:tr w:rsidR="0037035B" w:rsidRPr="009702B0" w14:paraId="78C12B66" w14:textId="77777777" w:rsidTr="006B318F">
        <w:trPr>
          <w:cantSplit/>
          <w:trHeight w:val="270"/>
          <w:tblHeader/>
        </w:trPr>
        <w:tc>
          <w:tcPr>
            <w:tcW w:w="2432" w:type="pct"/>
            <w:vAlign w:val="bottom"/>
          </w:tcPr>
          <w:p w14:paraId="2EF3B038" w14:textId="77777777" w:rsidR="0037035B" w:rsidRPr="009702B0" w:rsidDel="00FF5490" w:rsidRDefault="0037035B" w:rsidP="0037035B">
            <w:pPr>
              <w:spacing w:after="0" w:line="280" w:lineRule="exact"/>
              <w:rPr>
                <w:rFonts w:cs="Arial"/>
                <w:sz w:val="19"/>
                <w:szCs w:val="19"/>
              </w:rPr>
            </w:pPr>
            <w:r w:rsidRPr="009702B0">
              <w:rPr>
                <w:rFonts w:cs="Arial"/>
                <w:bCs/>
                <w:sz w:val="19"/>
                <w:szCs w:val="19"/>
              </w:rPr>
              <w:t>Food industry</w:t>
            </w:r>
          </w:p>
        </w:tc>
        <w:tc>
          <w:tcPr>
            <w:tcW w:w="642" w:type="pct"/>
            <w:tcBorders>
              <w:top w:val="nil"/>
              <w:left w:val="nil"/>
              <w:bottom w:val="nil"/>
              <w:right w:val="nil"/>
            </w:tcBorders>
            <w:shd w:val="clear" w:color="000000" w:fill="auto"/>
            <w:vAlign w:val="bottom"/>
          </w:tcPr>
          <w:p w14:paraId="55BC0DF6" w14:textId="5E5D67DC" w:rsidR="0037035B" w:rsidRPr="005444AA" w:rsidRDefault="0037035B" w:rsidP="0037035B">
            <w:pPr>
              <w:tabs>
                <w:tab w:val="right" w:pos="1202"/>
              </w:tabs>
              <w:spacing w:after="0" w:line="240" w:lineRule="auto"/>
              <w:jc w:val="right"/>
              <w:outlineLvl w:val="0"/>
              <w:rPr>
                <w:rFonts w:cs="Arial"/>
                <w:sz w:val="19"/>
                <w:szCs w:val="19"/>
              </w:rPr>
            </w:pPr>
            <w:r w:rsidRPr="00B14479">
              <w:rPr>
                <w:sz w:val="19"/>
                <w:szCs w:val="19"/>
              </w:rPr>
              <w:t>1</w:t>
            </w:r>
            <w:r>
              <w:rPr>
                <w:sz w:val="19"/>
                <w:szCs w:val="19"/>
              </w:rPr>
              <w:t>,</w:t>
            </w:r>
            <w:r w:rsidRPr="00B14479">
              <w:rPr>
                <w:sz w:val="19"/>
                <w:szCs w:val="19"/>
              </w:rPr>
              <w:t>018</w:t>
            </w:r>
            <w:r>
              <w:rPr>
                <w:sz w:val="19"/>
                <w:szCs w:val="19"/>
              </w:rPr>
              <w:t>,</w:t>
            </w:r>
            <w:r w:rsidRPr="00B14479">
              <w:rPr>
                <w:sz w:val="19"/>
                <w:szCs w:val="19"/>
              </w:rPr>
              <w:t>003</w:t>
            </w:r>
          </w:p>
        </w:tc>
        <w:tc>
          <w:tcPr>
            <w:tcW w:w="642" w:type="pct"/>
            <w:tcBorders>
              <w:top w:val="nil"/>
              <w:left w:val="nil"/>
              <w:bottom w:val="nil"/>
              <w:right w:val="nil"/>
            </w:tcBorders>
            <w:shd w:val="clear" w:color="000000" w:fill="auto"/>
            <w:vAlign w:val="bottom"/>
          </w:tcPr>
          <w:p w14:paraId="2A708A5C" w14:textId="2DE24EC1" w:rsidR="0037035B" w:rsidRPr="005444AA" w:rsidRDefault="0037035B" w:rsidP="0037035B">
            <w:pPr>
              <w:tabs>
                <w:tab w:val="right" w:pos="1202"/>
              </w:tabs>
              <w:spacing w:after="0" w:line="240" w:lineRule="auto"/>
              <w:jc w:val="right"/>
              <w:outlineLvl w:val="0"/>
              <w:rPr>
                <w:rFonts w:cs="Arial"/>
                <w:sz w:val="19"/>
                <w:szCs w:val="19"/>
              </w:rPr>
            </w:pPr>
            <w:r w:rsidRPr="00B14479">
              <w:rPr>
                <w:sz w:val="19"/>
                <w:szCs w:val="19"/>
              </w:rPr>
              <w:t>181</w:t>
            </w:r>
            <w:r>
              <w:rPr>
                <w:sz w:val="19"/>
                <w:szCs w:val="19"/>
              </w:rPr>
              <w:t>,</w:t>
            </w:r>
            <w:r w:rsidRPr="00B14479">
              <w:rPr>
                <w:sz w:val="19"/>
                <w:szCs w:val="19"/>
              </w:rPr>
              <w:t>995</w:t>
            </w:r>
          </w:p>
        </w:tc>
        <w:tc>
          <w:tcPr>
            <w:tcW w:w="642" w:type="pct"/>
            <w:tcBorders>
              <w:top w:val="nil"/>
              <w:left w:val="nil"/>
              <w:bottom w:val="nil"/>
              <w:right w:val="nil"/>
            </w:tcBorders>
            <w:shd w:val="clear" w:color="auto" w:fill="auto"/>
            <w:vAlign w:val="bottom"/>
          </w:tcPr>
          <w:p w14:paraId="3A78A5CB" w14:textId="77777777" w:rsidR="0037035B" w:rsidRPr="00166751" w:rsidRDefault="0037035B" w:rsidP="0037035B">
            <w:pPr>
              <w:tabs>
                <w:tab w:val="right" w:pos="1202"/>
              </w:tabs>
              <w:spacing w:after="0" w:line="240" w:lineRule="auto"/>
              <w:jc w:val="right"/>
              <w:outlineLvl w:val="0"/>
              <w:rPr>
                <w:rFonts w:asciiTheme="minorHAnsi" w:hAnsiTheme="minorHAnsi"/>
                <w:sz w:val="19"/>
                <w:szCs w:val="19"/>
              </w:rPr>
            </w:pPr>
            <w:r w:rsidRPr="00166751">
              <w:rPr>
                <w:rFonts w:cs="Arial"/>
                <w:sz w:val="19"/>
                <w:szCs w:val="19"/>
              </w:rPr>
              <w:t>1,159,546</w:t>
            </w:r>
          </w:p>
        </w:tc>
        <w:tc>
          <w:tcPr>
            <w:tcW w:w="642" w:type="pct"/>
            <w:tcBorders>
              <w:top w:val="nil"/>
              <w:left w:val="nil"/>
              <w:bottom w:val="nil"/>
              <w:right w:val="nil"/>
            </w:tcBorders>
            <w:shd w:val="clear" w:color="auto" w:fill="auto"/>
            <w:vAlign w:val="bottom"/>
          </w:tcPr>
          <w:p w14:paraId="417D2354" w14:textId="77777777" w:rsidR="0037035B" w:rsidRPr="00166751" w:rsidRDefault="0037035B" w:rsidP="0037035B">
            <w:pPr>
              <w:tabs>
                <w:tab w:val="right" w:pos="1202"/>
              </w:tabs>
              <w:spacing w:after="0" w:line="240" w:lineRule="auto"/>
              <w:jc w:val="right"/>
              <w:outlineLvl w:val="0"/>
              <w:rPr>
                <w:rFonts w:asciiTheme="minorHAnsi" w:hAnsiTheme="minorHAnsi"/>
                <w:sz w:val="19"/>
                <w:szCs w:val="19"/>
              </w:rPr>
            </w:pPr>
            <w:r w:rsidRPr="00166751">
              <w:rPr>
                <w:rFonts w:cs="Arial"/>
                <w:sz w:val="19"/>
                <w:szCs w:val="19"/>
              </w:rPr>
              <w:t>205,632</w:t>
            </w:r>
          </w:p>
        </w:tc>
      </w:tr>
      <w:tr w:rsidR="0037035B" w:rsidRPr="009702B0" w14:paraId="5354386B" w14:textId="77777777" w:rsidTr="006B318F">
        <w:trPr>
          <w:cantSplit/>
          <w:trHeight w:val="270"/>
          <w:tblHeader/>
        </w:trPr>
        <w:tc>
          <w:tcPr>
            <w:tcW w:w="2432" w:type="pct"/>
            <w:vAlign w:val="bottom"/>
          </w:tcPr>
          <w:p w14:paraId="25AAD8C0" w14:textId="77777777" w:rsidR="0037035B" w:rsidRPr="009702B0" w:rsidDel="00FF5490" w:rsidRDefault="0037035B" w:rsidP="0037035B">
            <w:pPr>
              <w:spacing w:after="0" w:line="280" w:lineRule="exact"/>
              <w:rPr>
                <w:rFonts w:cs="Arial"/>
                <w:sz w:val="19"/>
                <w:szCs w:val="19"/>
              </w:rPr>
            </w:pPr>
            <w:r w:rsidRPr="009702B0">
              <w:rPr>
                <w:rFonts w:cs="Arial"/>
                <w:sz w:val="19"/>
                <w:szCs w:val="19"/>
              </w:rPr>
              <w:t>Construction industry</w:t>
            </w:r>
          </w:p>
        </w:tc>
        <w:tc>
          <w:tcPr>
            <w:tcW w:w="642" w:type="pct"/>
            <w:tcBorders>
              <w:top w:val="nil"/>
              <w:left w:val="nil"/>
              <w:bottom w:val="nil"/>
              <w:right w:val="nil"/>
            </w:tcBorders>
            <w:shd w:val="clear" w:color="000000" w:fill="auto"/>
            <w:vAlign w:val="bottom"/>
          </w:tcPr>
          <w:p w14:paraId="2649F86C" w14:textId="5DF40A6B" w:rsidR="0037035B" w:rsidRPr="005444AA" w:rsidRDefault="0037035B" w:rsidP="0037035B">
            <w:pPr>
              <w:tabs>
                <w:tab w:val="right" w:pos="1202"/>
              </w:tabs>
              <w:spacing w:after="0" w:line="240" w:lineRule="auto"/>
              <w:jc w:val="right"/>
              <w:outlineLvl w:val="0"/>
              <w:rPr>
                <w:rFonts w:cs="Arial"/>
                <w:sz w:val="19"/>
                <w:szCs w:val="19"/>
              </w:rPr>
            </w:pPr>
            <w:r w:rsidRPr="00B14479">
              <w:rPr>
                <w:sz w:val="19"/>
                <w:szCs w:val="19"/>
              </w:rPr>
              <w:t>1</w:t>
            </w:r>
            <w:r>
              <w:rPr>
                <w:sz w:val="19"/>
                <w:szCs w:val="19"/>
              </w:rPr>
              <w:t>,</w:t>
            </w:r>
            <w:r w:rsidRPr="00B14479">
              <w:rPr>
                <w:sz w:val="19"/>
                <w:szCs w:val="19"/>
              </w:rPr>
              <w:t>130</w:t>
            </w:r>
            <w:r>
              <w:rPr>
                <w:sz w:val="19"/>
                <w:szCs w:val="19"/>
              </w:rPr>
              <w:t>,</w:t>
            </w:r>
            <w:r w:rsidRPr="00B14479">
              <w:rPr>
                <w:sz w:val="19"/>
                <w:szCs w:val="19"/>
              </w:rPr>
              <w:t>121</w:t>
            </w:r>
          </w:p>
        </w:tc>
        <w:tc>
          <w:tcPr>
            <w:tcW w:w="642" w:type="pct"/>
            <w:tcBorders>
              <w:top w:val="nil"/>
              <w:left w:val="nil"/>
              <w:bottom w:val="nil"/>
              <w:right w:val="nil"/>
            </w:tcBorders>
            <w:shd w:val="clear" w:color="000000" w:fill="auto"/>
            <w:vAlign w:val="bottom"/>
          </w:tcPr>
          <w:p w14:paraId="7ECC0353" w14:textId="25D0D90A" w:rsidR="0037035B" w:rsidRPr="005444AA" w:rsidRDefault="0037035B" w:rsidP="0037035B">
            <w:pPr>
              <w:tabs>
                <w:tab w:val="right" w:pos="1202"/>
              </w:tabs>
              <w:spacing w:after="0" w:line="240" w:lineRule="auto"/>
              <w:jc w:val="right"/>
              <w:outlineLvl w:val="0"/>
              <w:rPr>
                <w:rFonts w:cs="Arial"/>
                <w:sz w:val="19"/>
                <w:szCs w:val="19"/>
              </w:rPr>
            </w:pPr>
            <w:r w:rsidRPr="00B14479">
              <w:rPr>
                <w:sz w:val="19"/>
                <w:szCs w:val="19"/>
              </w:rPr>
              <w:t>24</w:t>
            </w:r>
            <w:r>
              <w:rPr>
                <w:sz w:val="19"/>
                <w:szCs w:val="19"/>
              </w:rPr>
              <w:t>,</w:t>
            </w:r>
            <w:r w:rsidRPr="00B14479">
              <w:rPr>
                <w:sz w:val="19"/>
                <w:szCs w:val="19"/>
              </w:rPr>
              <w:t>447</w:t>
            </w:r>
          </w:p>
        </w:tc>
        <w:tc>
          <w:tcPr>
            <w:tcW w:w="642" w:type="pct"/>
            <w:tcBorders>
              <w:top w:val="nil"/>
              <w:left w:val="nil"/>
              <w:bottom w:val="nil"/>
              <w:right w:val="nil"/>
            </w:tcBorders>
            <w:shd w:val="clear" w:color="auto" w:fill="auto"/>
            <w:vAlign w:val="bottom"/>
          </w:tcPr>
          <w:p w14:paraId="73A87AEA" w14:textId="77777777" w:rsidR="0037035B" w:rsidRPr="00166751" w:rsidRDefault="0037035B" w:rsidP="0037035B">
            <w:pPr>
              <w:tabs>
                <w:tab w:val="right" w:pos="1202"/>
              </w:tabs>
              <w:spacing w:after="0" w:line="240" w:lineRule="auto"/>
              <w:jc w:val="right"/>
              <w:outlineLvl w:val="0"/>
              <w:rPr>
                <w:rFonts w:asciiTheme="minorHAnsi" w:hAnsiTheme="minorHAnsi"/>
                <w:sz w:val="19"/>
                <w:szCs w:val="19"/>
              </w:rPr>
            </w:pPr>
            <w:r w:rsidRPr="00166751">
              <w:rPr>
                <w:rFonts w:cs="Arial"/>
                <w:sz w:val="19"/>
                <w:szCs w:val="19"/>
              </w:rPr>
              <w:t>1,225,887</w:t>
            </w:r>
          </w:p>
        </w:tc>
        <w:tc>
          <w:tcPr>
            <w:tcW w:w="642" w:type="pct"/>
            <w:tcBorders>
              <w:top w:val="nil"/>
              <w:left w:val="nil"/>
              <w:bottom w:val="nil"/>
              <w:right w:val="nil"/>
            </w:tcBorders>
            <w:shd w:val="clear" w:color="auto" w:fill="auto"/>
            <w:vAlign w:val="bottom"/>
          </w:tcPr>
          <w:p w14:paraId="21805547" w14:textId="77777777" w:rsidR="0037035B" w:rsidRPr="00166751" w:rsidRDefault="0037035B" w:rsidP="0037035B">
            <w:pPr>
              <w:tabs>
                <w:tab w:val="right" w:pos="1202"/>
              </w:tabs>
              <w:spacing w:after="0" w:line="240" w:lineRule="auto"/>
              <w:jc w:val="right"/>
              <w:outlineLvl w:val="0"/>
              <w:rPr>
                <w:rFonts w:asciiTheme="minorHAnsi" w:hAnsiTheme="minorHAnsi"/>
                <w:sz w:val="19"/>
                <w:szCs w:val="19"/>
              </w:rPr>
            </w:pPr>
            <w:r w:rsidRPr="00166751">
              <w:rPr>
                <w:rFonts w:cs="Arial"/>
                <w:sz w:val="19"/>
                <w:szCs w:val="19"/>
              </w:rPr>
              <w:t>53,900</w:t>
            </w:r>
          </w:p>
        </w:tc>
      </w:tr>
      <w:tr w:rsidR="0037035B" w:rsidRPr="009702B0" w14:paraId="6AC7174A" w14:textId="77777777" w:rsidTr="006B318F">
        <w:trPr>
          <w:cantSplit/>
          <w:trHeight w:val="270"/>
          <w:tblHeader/>
        </w:trPr>
        <w:tc>
          <w:tcPr>
            <w:tcW w:w="2432" w:type="pct"/>
            <w:vAlign w:val="bottom"/>
          </w:tcPr>
          <w:p w14:paraId="6105407A" w14:textId="77777777" w:rsidR="0037035B" w:rsidRPr="009702B0" w:rsidDel="00FF5490" w:rsidRDefault="0037035B" w:rsidP="0037035B">
            <w:pPr>
              <w:spacing w:after="0" w:line="280" w:lineRule="exact"/>
              <w:rPr>
                <w:rFonts w:cs="Arial"/>
                <w:sz w:val="19"/>
                <w:szCs w:val="19"/>
              </w:rPr>
            </w:pPr>
            <w:r w:rsidRPr="009702B0">
              <w:rPr>
                <w:rFonts w:cs="Arial"/>
                <w:sz w:val="19"/>
                <w:szCs w:val="19"/>
              </w:rPr>
              <w:t>Other industry</w:t>
            </w:r>
          </w:p>
        </w:tc>
        <w:tc>
          <w:tcPr>
            <w:tcW w:w="642" w:type="pct"/>
            <w:tcBorders>
              <w:top w:val="nil"/>
              <w:left w:val="nil"/>
              <w:bottom w:val="nil"/>
              <w:right w:val="nil"/>
            </w:tcBorders>
            <w:shd w:val="clear" w:color="000000" w:fill="auto"/>
            <w:vAlign w:val="bottom"/>
          </w:tcPr>
          <w:p w14:paraId="21877FD5" w14:textId="582317FE" w:rsidR="0037035B" w:rsidRPr="005444AA" w:rsidRDefault="0037035B" w:rsidP="0037035B">
            <w:pPr>
              <w:tabs>
                <w:tab w:val="right" w:pos="1202"/>
              </w:tabs>
              <w:spacing w:after="0" w:line="240" w:lineRule="auto"/>
              <w:jc w:val="right"/>
              <w:outlineLvl w:val="0"/>
              <w:rPr>
                <w:rFonts w:cs="Arial"/>
                <w:sz w:val="19"/>
                <w:szCs w:val="19"/>
              </w:rPr>
            </w:pPr>
            <w:r w:rsidRPr="00B14479">
              <w:rPr>
                <w:sz w:val="19"/>
                <w:szCs w:val="19"/>
              </w:rPr>
              <w:t>491</w:t>
            </w:r>
            <w:r>
              <w:rPr>
                <w:sz w:val="19"/>
                <w:szCs w:val="19"/>
              </w:rPr>
              <w:t>,</w:t>
            </w:r>
            <w:r w:rsidRPr="00B14479">
              <w:rPr>
                <w:sz w:val="19"/>
                <w:szCs w:val="19"/>
              </w:rPr>
              <w:t>463</w:t>
            </w:r>
          </w:p>
        </w:tc>
        <w:tc>
          <w:tcPr>
            <w:tcW w:w="642" w:type="pct"/>
            <w:tcBorders>
              <w:top w:val="nil"/>
              <w:left w:val="nil"/>
              <w:bottom w:val="nil"/>
              <w:right w:val="nil"/>
            </w:tcBorders>
            <w:shd w:val="clear" w:color="000000" w:fill="auto"/>
            <w:vAlign w:val="bottom"/>
          </w:tcPr>
          <w:p w14:paraId="663FDD5A" w14:textId="555C506D" w:rsidR="0037035B" w:rsidRPr="005444AA" w:rsidRDefault="0037035B" w:rsidP="0037035B">
            <w:pPr>
              <w:tabs>
                <w:tab w:val="right" w:pos="1202"/>
              </w:tabs>
              <w:spacing w:after="0" w:line="240" w:lineRule="auto"/>
              <w:jc w:val="right"/>
              <w:outlineLvl w:val="0"/>
              <w:rPr>
                <w:rFonts w:cs="Arial"/>
                <w:sz w:val="19"/>
                <w:szCs w:val="19"/>
              </w:rPr>
            </w:pPr>
            <w:r w:rsidRPr="00B14479">
              <w:rPr>
                <w:sz w:val="19"/>
                <w:szCs w:val="19"/>
              </w:rPr>
              <w:t>149</w:t>
            </w:r>
            <w:r>
              <w:rPr>
                <w:sz w:val="19"/>
                <w:szCs w:val="19"/>
              </w:rPr>
              <w:t>,</w:t>
            </w:r>
            <w:r w:rsidRPr="00B14479">
              <w:rPr>
                <w:sz w:val="19"/>
                <w:szCs w:val="19"/>
              </w:rPr>
              <w:t>900</w:t>
            </w:r>
          </w:p>
        </w:tc>
        <w:tc>
          <w:tcPr>
            <w:tcW w:w="642" w:type="pct"/>
            <w:tcBorders>
              <w:top w:val="nil"/>
              <w:left w:val="nil"/>
              <w:bottom w:val="nil"/>
              <w:right w:val="nil"/>
            </w:tcBorders>
            <w:shd w:val="clear" w:color="auto" w:fill="auto"/>
            <w:vAlign w:val="bottom"/>
          </w:tcPr>
          <w:p w14:paraId="3B1BB0C5" w14:textId="77777777" w:rsidR="0037035B" w:rsidRPr="00166751" w:rsidRDefault="0037035B" w:rsidP="0037035B">
            <w:pPr>
              <w:tabs>
                <w:tab w:val="right" w:pos="1202"/>
              </w:tabs>
              <w:spacing w:after="0" w:line="240" w:lineRule="auto"/>
              <w:jc w:val="right"/>
              <w:outlineLvl w:val="0"/>
              <w:rPr>
                <w:rFonts w:asciiTheme="minorHAnsi" w:hAnsiTheme="minorHAnsi"/>
                <w:sz w:val="19"/>
                <w:szCs w:val="19"/>
              </w:rPr>
            </w:pPr>
            <w:r w:rsidRPr="00166751">
              <w:rPr>
                <w:rFonts w:cs="Arial"/>
                <w:sz w:val="19"/>
                <w:szCs w:val="19"/>
              </w:rPr>
              <w:t>527,352</w:t>
            </w:r>
          </w:p>
        </w:tc>
        <w:tc>
          <w:tcPr>
            <w:tcW w:w="642" w:type="pct"/>
            <w:tcBorders>
              <w:top w:val="nil"/>
              <w:left w:val="nil"/>
              <w:bottom w:val="nil"/>
              <w:right w:val="nil"/>
            </w:tcBorders>
            <w:shd w:val="clear" w:color="auto" w:fill="auto"/>
            <w:vAlign w:val="bottom"/>
          </w:tcPr>
          <w:p w14:paraId="30593EB3" w14:textId="77777777" w:rsidR="0037035B" w:rsidRPr="00166751" w:rsidRDefault="0037035B" w:rsidP="0037035B">
            <w:pPr>
              <w:tabs>
                <w:tab w:val="right" w:pos="1202"/>
              </w:tabs>
              <w:spacing w:after="0" w:line="240" w:lineRule="auto"/>
              <w:jc w:val="right"/>
              <w:outlineLvl w:val="0"/>
              <w:rPr>
                <w:rFonts w:asciiTheme="minorHAnsi" w:hAnsiTheme="minorHAnsi"/>
                <w:sz w:val="19"/>
                <w:szCs w:val="19"/>
              </w:rPr>
            </w:pPr>
            <w:r w:rsidRPr="00166751">
              <w:rPr>
                <w:rFonts w:cs="Arial"/>
                <w:sz w:val="19"/>
                <w:szCs w:val="19"/>
              </w:rPr>
              <w:t>138,850</w:t>
            </w:r>
          </w:p>
        </w:tc>
      </w:tr>
      <w:tr w:rsidR="0037035B" w:rsidRPr="009702B0" w14:paraId="6C646236" w14:textId="77777777" w:rsidTr="006B318F">
        <w:trPr>
          <w:cantSplit/>
          <w:trHeight w:val="270"/>
          <w:tblHeader/>
        </w:trPr>
        <w:tc>
          <w:tcPr>
            <w:tcW w:w="2432" w:type="pct"/>
            <w:vAlign w:val="bottom"/>
          </w:tcPr>
          <w:p w14:paraId="72D56FE9" w14:textId="77777777" w:rsidR="0037035B" w:rsidRPr="009702B0" w:rsidDel="00FF5490" w:rsidRDefault="0037035B" w:rsidP="0037035B">
            <w:pPr>
              <w:spacing w:after="0" w:line="280" w:lineRule="exact"/>
              <w:rPr>
                <w:rFonts w:cs="Arial"/>
                <w:sz w:val="19"/>
                <w:szCs w:val="19"/>
              </w:rPr>
            </w:pPr>
            <w:r w:rsidRPr="009702B0">
              <w:rPr>
                <w:rFonts w:cs="Arial"/>
                <w:bCs/>
                <w:sz w:val="19"/>
                <w:szCs w:val="19"/>
              </w:rPr>
              <w:t>Public administration</w:t>
            </w:r>
          </w:p>
        </w:tc>
        <w:tc>
          <w:tcPr>
            <w:tcW w:w="642" w:type="pct"/>
            <w:tcBorders>
              <w:top w:val="nil"/>
              <w:left w:val="nil"/>
              <w:bottom w:val="nil"/>
              <w:right w:val="nil"/>
            </w:tcBorders>
            <w:shd w:val="clear" w:color="000000" w:fill="auto"/>
            <w:vAlign w:val="bottom"/>
          </w:tcPr>
          <w:p w14:paraId="01332B92" w14:textId="518647AE" w:rsidR="0037035B" w:rsidRPr="005444AA" w:rsidRDefault="0037035B" w:rsidP="0037035B">
            <w:pPr>
              <w:tabs>
                <w:tab w:val="right" w:pos="1202"/>
              </w:tabs>
              <w:spacing w:after="0" w:line="240" w:lineRule="auto"/>
              <w:jc w:val="right"/>
              <w:outlineLvl w:val="0"/>
              <w:rPr>
                <w:rFonts w:cs="Arial"/>
                <w:sz w:val="19"/>
                <w:szCs w:val="19"/>
              </w:rPr>
            </w:pPr>
            <w:r w:rsidRPr="00B14479">
              <w:rPr>
                <w:sz w:val="19"/>
                <w:szCs w:val="19"/>
              </w:rPr>
              <w:t>2</w:t>
            </w:r>
            <w:r>
              <w:rPr>
                <w:sz w:val="19"/>
                <w:szCs w:val="19"/>
              </w:rPr>
              <w:t>,</w:t>
            </w:r>
            <w:r w:rsidRPr="00B14479">
              <w:rPr>
                <w:sz w:val="19"/>
                <w:szCs w:val="19"/>
              </w:rPr>
              <w:t>443</w:t>
            </w:r>
            <w:r>
              <w:rPr>
                <w:sz w:val="19"/>
                <w:szCs w:val="19"/>
              </w:rPr>
              <w:t>,</w:t>
            </w:r>
            <w:r w:rsidRPr="00B14479">
              <w:rPr>
                <w:sz w:val="19"/>
                <w:szCs w:val="19"/>
              </w:rPr>
              <w:t>045</w:t>
            </w:r>
          </w:p>
        </w:tc>
        <w:tc>
          <w:tcPr>
            <w:tcW w:w="642" w:type="pct"/>
            <w:tcBorders>
              <w:top w:val="nil"/>
              <w:left w:val="nil"/>
              <w:bottom w:val="nil"/>
              <w:right w:val="nil"/>
            </w:tcBorders>
            <w:shd w:val="clear" w:color="000000" w:fill="auto"/>
            <w:vAlign w:val="bottom"/>
          </w:tcPr>
          <w:p w14:paraId="231B1F23" w14:textId="2778AF23" w:rsidR="0037035B" w:rsidRPr="005444AA" w:rsidRDefault="0037035B" w:rsidP="0037035B">
            <w:pPr>
              <w:tabs>
                <w:tab w:val="right" w:pos="1202"/>
              </w:tabs>
              <w:spacing w:after="0" w:line="240" w:lineRule="auto"/>
              <w:jc w:val="right"/>
              <w:outlineLvl w:val="0"/>
              <w:rPr>
                <w:rFonts w:cs="Arial"/>
                <w:sz w:val="19"/>
                <w:szCs w:val="19"/>
              </w:rPr>
            </w:pPr>
            <w:r w:rsidRPr="00B14479">
              <w:rPr>
                <w:sz w:val="19"/>
                <w:szCs w:val="19"/>
              </w:rPr>
              <w:t>2</w:t>
            </w:r>
            <w:r>
              <w:rPr>
                <w:sz w:val="19"/>
                <w:szCs w:val="19"/>
              </w:rPr>
              <w:t>,</w:t>
            </w:r>
            <w:r w:rsidRPr="00B14479">
              <w:rPr>
                <w:sz w:val="19"/>
                <w:szCs w:val="19"/>
              </w:rPr>
              <w:t>443</w:t>
            </w:r>
            <w:r>
              <w:rPr>
                <w:sz w:val="19"/>
                <w:szCs w:val="19"/>
              </w:rPr>
              <w:t>,</w:t>
            </w:r>
            <w:r w:rsidRPr="00B14479">
              <w:rPr>
                <w:sz w:val="19"/>
                <w:szCs w:val="19"/>
              </w:rPr>
              <w:t>045</w:t>
            </w:r>
          </w:p>
        </w:tc>
        <w:tc>
          <w:tcPr>
            <w:tcW w:w="642" w:type="pct"/>
            <w:tcBorders>
              <w:top w:val="nil"/>
              <w:left w:val="nil"/>
              <w:bottom w:val="nil"/>
              <w:right w:val="nil"/>
            </w:tcBorders>
            <w:shd w:val="clear" w:color="auto" w:fill="auto"/>
            <w:vAlign w:val="bottom"/>
          </w:tcPr>
          <w:p w14:paraId="628643CD" w14:textId="77777777" w:rsidR="0037035B" w:rsidRPr="00166751" w:rsidRDefault="0037035B" w:rsidP="0037035B">
            <w:pPr>
              <w:tabs>
                <w:tab w:val="right" w:pos="1202"/>
              </w:tabs>
              <w:spacing w:after="0" w:line="240" w:lineRule="auto"/>
              <w:jc w:val="right"/>
              <w:outlineLvl w:val="0"/>
              <w:rPr>
                <w:rFonts w:asciiTheme="minorHAnsi" w:hAnsiTheme="minorHAnsi"/>
                <w:sz w:val="19"/>
                <w:szCs w:val="19"/>
              </w:rPr>
            </w:pPr>
            <w:r w:rsidRPr="00166751">
              <w:rPr>
                <w:rFonts w:cs="Arial"/>
                <w:sz w:val="19"/>
                <w:szCs w:val="19"/>
              </w:rPr>
              <w:t>2,426,716</w:t>
            </w:r>
          </w:p>
        </w:tc>
        <w:tc>
          <w:tcPr>
            <w:tcW w:w="642" w:type="pct"/>
            <w:tcBorders>
              <w:top w:val="nil"/>
              <w:left w:val="nil"/>
              <w:bottom w:val="nil"/>
              <w:right w:val="nil"/>
            </w:tcBorders>
            <w:shd w:val="clear" w:color="auto" w:fill="auto"/>
            <w:vAlign w:val="bottom"/>
          </w:tcPr>
          <w:p w14:paraId="53E3FCC1" w14:textId="77777777" w:rsidR="0037035B" w:rsidRPr="00166751" w:rsidRDefault="0037035B" w:rsidP="0037035B">
            <w:pPr>
              <w:tabs>
                <w:tab w:val="right" w:pos="1202"/>
              </w:tabs>
              <w:spacing w:after="0" w:line="240" w:lineRule="auto"/>
              <w:jc w:val="right"/>
              <w:outlineLvl w:val="0"/>
              <w:rPr>
                <w:rFonts w:asciiTheme="minorHAnsi" w:hAnsiTheme="minorHAnsi"/>
                <w:sz w:val="19"/>
                <w:szCs w:val="19"/>
              </w:rPr>
            </w:pPr>
            <w:r w:rsidRPr="00166751">
              <w:rPr>
                <w:rFonts w:cs="Arial"/>
                <w:sz w:val="19"/>
                <w:szCs w:val="19"/>
              </w:rPr>
              <w:t>2,426,716</w:t>
            </w:r>
          </w:p>
        </w:tc>
      </w:tr>
      <w:tr w:rsidR="0037035B" w:rsidRPr="009702B0" w14:paraId="233101F6" w14:textId="77777777" w:rsidTr="006B318F">
        <w:trPr>
          <w:cantSplit/>
          <w:trHeight w:val="270"/>
          <w:tblHeader/>
        </w:trPr>
        <w:tc>
          <w:tcPr>
            <w:tcW w:w="2432" w:type="pct"/>
            <w:vAlign w:val="bottom"/>
          </w:tcPr>
          <w:p w14:paraId="6218933F" w14:textId="77777777" w:rsidR="0037035B" w:rsidRPr="009702B0" w:rsidDel="00FF5490" w:rsidRDefault="0037035B" w:rsidP="0037035B">
            <w:pPr>
              <w:spacing w:after="0" w:line="280" w:lineRule="exact"/>
              <w:rPr>
                <w:rFonts w:cs="Arial"/>
                <w:sz w:val="19"/>
                <w:szCs w:val="19"/>
              </w:rPr>
            </w:pPr>
            <w:r w:rsidRPr="009702B0">
              <w:rPr>
                <w:rFonts w:cs="Arial"/>
                <w:bCs/>
                <w:sz w:val="19"/>
                <w:szCs w:val="19"/>
              </w:rPr>
              <w:t>Education</w:t>
            </w:r>
          </w:p>
        </w:tc>
        <w:tc>
          <w:tcPr>
            <w:tcW w:w="642" w:type="pct"/>
            <w:tcBorders>
              <w:top w:val="nil"/>
              <w:left w:val="nil"/>
              <w:bottom w:val="nil"/>
              <w:right w:val="nil"/>
            </w:tcBorders>
            <w:shd w:val="clear" w:color="000000" w:fill="auto"/>
            <w:vAlign w:val="bottom"/>
          </w:tcPr>
          <w:p w14:paraId="63D5CBCD" w14:textId="5BE38BC8" w:rsidR="0037035B" w:rsidRPr="005444AA" w:rsidRDefault="0037035B" w:rsidP="0037035B">
            <w:pPr>
              <w:tabs>
                <w:tab w:val="right" w:pos="1202"/>
              </w:tabs>
              <w:spacing w:after="0" w:line="240" w:lineRule="auto"/>
              <w:jc w:val="right"/>
              <w:outlineLvl w:val="0"/>
              <w:rPr>
                <w:rFonts w:cs="Arial"/>
                <w:sz w:val="19"/>
                <w:szCs w:val="19"/>
              </w:rPr>
            </w:pPr>
            <w:r w:rsidRPr="00B14479">
              <w:rPr>
                <w:sz w:val="19"/>
                <w:szCs w:val="19"/>
              </w:rPr>
              <w:t>47</w:t>
            </w:r>
            <w:r>
              <w:rPr>
                <w:sz w:val="19"/>
                <w:szCs w:val="19"/>
              </w:rPr>
              <w:t>,</w:t>
            </w:r>
            <w:r w:rsidRPr="00B14479">
              <w:rPr>
                <w:sz w:val="19"/>
                <w:szCs w:val="19"/>
              </w:rPr>
              <w:t>308</w:t>
            </w:r>
          </w:p>
        </w:tc>
        <w:tc>
          <w:tcPr>
            <w:tcW w:w="642" w:type="pct"/>
            <w:tcBorders>
              <w:top w:val="nil"/>
              <w:left w:val="nil"/>
              <w:bottom w:val="nil"/>
              <w:right w:val="nil"/>
            </w:tcBorders>
            <w:shd w:val="clear" w:color="000000" w:fill="auto"/>
            <w:vAlign w:val="bottom"/>
          </w:tcPr>
          <w:p w14:paraId="1BF8513D" w14:textId="43766F18" w:rsidR="0037035B" w:rsidRPr="00440608" w:rsidRDefault="0037035B" w:rsidP="0037035B">
            <w:pPr>
              <w:tabs>
                <w:tab w:val="right" w:pos="1202"/>
              </w:tabs>
              <w:spacing w:after="0" w:line="240" w:lineRule="auto"/>
              <w:jc w:val="right"/>
              <w:outlineLvl w:val="0"/>
              <w:rPr>
                <w:rFonts w:cs="Arial"/>
                <w:sz w:val="19"/>
                <w:szCs w:val="19"/>
              </w:rPr>
            </w:pPr>
            <w:r w:rsidRPr="00B14479">
              <w:rPr>
                <w:sz w:val="19"/>
                <w:szCs w:val="19"/>
              </w:rPr>
              <w:t>41</w:t>
            </w:r>
            <w:r>
              <w:rPr>
                <w:sz w:val="19"/>
                <w:szCs w:val="19"/>
              </w:rPr>
              <w:t>,</w:t>
            </w:r>
            <w:r w:rsidRPr="00B14479">
              <w:rPr>
                <w:sz w:val="19"/>
                <w:szCs w:val="19"/>
              </w:rPr>
              <w:t>904</w:t>
            </w:r>
          </w:p>
        </w:tc>
        <w:tc>
          <w:tcPr>
            <w:tcW w:w="642" w:type="pct"/>
            <w:tcBorders>
              <w:top w:val="nil"/>
              <w:left w:val="nil"/>
              <w:bottom w:val="nil"/>
              <w:right w:val="nil"/>
            </w:tcBorders>
            <w:shd w:val="clear" w:color="auto" w:fill="auto"/>
            <w:vAlign w:val="bottom"/>
          </w:tcPr>
          <w:p w14:paraId="20515BDE" w14:textId="77777777" w:rsidR="0037035B" w:rsidRPr="00166751" w:rsidRDefault="0037035B" w:rsidP="0037035B">
            <w:pPr>
              <w:tabs>
                <w:tab w:val="right" w:pos="1202"/>
              </w:tabs>
              <w:spacing w:after="0" w:line="301" w:lineRule="exact"/>
              <w:jc w:val="right"/>
              <w:outlineLvl w:val="0"/>
              <w:rPr>
                <w:sz w:val="19"/>
                <w:szCs w:val="19"/>
              </w:rPr>
            </w:pPr>
            <w:r w:rsidRPr="00166751">
              <w:rPr>
                <w:sz w:val="19"/>
                <w:szCs w:val="19"/>
              </w:rPr>
              <w:t>47,020</w:t>
            </w:r>
          </w:p>
        </w:tc>
        <w:tc>
          <w:tcPr>
            <w:tcW w:w="642" w:type="pct"/>
            <w:tcBorders>
              <w:top w:val="nil"/>
              <w:left w:val="nil"/>
              <w:bottom w:val="nil"/>
              <w:right w:val="nil"/>
            </w:tcBorders>
            <w:shd w:val="clear" w:color="auto" w:fill="auto"/>
            <w:vAlign w:val="bottom"/>
          </w:tcPr>
          <w:p w14:paraId="6C3E0ACB" w14:textId="77777777" w:rsidR="0037035B" w:rsidRPr="00166751" w:rsidRDefault="0037035B" w:rsidP="0037035B">
            <w:pPr>
              <w:tabs>
                <w:tab w:val="right" w:pos="1202"/>
              </w:tabs>
              <w:spacing w:after="0" w:line="301" w:lineRule="exact"/>
              <w:jc w:val="right"/>
              <w:outlineLvl w:val="0"/>
              <w:rPr>
                <w:sz w:val="19"/>
                <w:szCs w:val="19"/>
              </w:rPr>
            </w:pPr>
            <w:r w:rsidRPr="00166751">
              <w:rPr>
                <w:sz w:val="19"/>
                <w:szCs w:val="19"/>
              </w:rPr>
              <w:t>40,956</w:t>
            </w:r>
          </w:p>
        </w:tc>
      </w:tr>
      <w:tr w:rsidR="0037035B" w:rsidRPr="009702B0" w14:paraId="359FFF3F" w14:textId="77777777" w:rsidTr="006B318F">
        <w:trPr>
          <w:cantSplit/>
          <w:trHeight w:val="270"/>
          <w:tblHeader/>
        </w:trPr>
        <w:tc>
          <w:tcPr>
            <w:tcW w:w="2432" w:type="pct"/>
            <w:vAlign w:val="bottom"/>
          </w:tcPr>
          <w:p w14:paraId="2A2509B8" w14:textId="77777777" w:rsidR="0037035B" w:rsidRPr="009702B0" w:rsidRDefault="0037035B" w:rsidP="0037035B">
            <w:pPr>
              <w:spacing w:after="0" w:line="240" w:lineRule="auto"/>
              <w:rPr>
                <w:rFonts w:cs="Arial"/>
                <w:sz w:val="19"/>
                <w:szCs w:val="19"/>
              </w:rPr>
            </w:pPr>
            <w:r w:rsidRPr="009702B0">
              <w:rPr>
                <w:rFonts w:cs="Arial"/>
                <w:bCs/>
                <w:sz w:val="19"/>
                <w:szCs w:val="19"/>
              </w:rPr>
              <w:t xml:space="preserve">Manufacture of basic metals and fabricated metal products, except machinery and equipment </w:t>
            </w:r>
          </w:p>
        </w:tc>
        <w:tc>
          <w:tcPr>
            <w:tcW w:w="642" w:type="pct"/>
            <w:tcBorders>
              <w:top w:val="nil"/>
              <w:left w:val="nil"/>
              <w:bottom w:val="nil"/>
              <w:right w:val="nil"/>
            </w:tcBorders>
            <w:shd w:val="clear" w:color="000000" w:fill="auto"/>
            <w:vAlign w:val="bottom"/>
          </w:tcPr>
          <w:p w14:paraId="69F29907" w14:textId="3190B3BA" w:rsidR="0037035B" w:rsidRPr="005444AA" w:rsidRDefault="0037035B" w:rsidP="0037035B">
            <w:pPr>
              <w:tabs>
                <w:tab w:val="right" w:pos="1202"/>
              </w:tabs>
              <w:spacing w:after="0" w:line="240" w:lineRule="auto"/>
              <w:jc w:val="right"/>
              <w:outlineLvl w:val="0"/>
              <w:rPr>
                <w:rFonts w:cs="Arial"/>
                <w:sz w:val="19"/>
                <w:szCs w:val="19"/>
              </w:rPr>
            </w:pPr>
            <w:r w:rsidRPr="00B14479">
              <w:rPr>
                <w:sz w:val="19"/>
                <w:szCs w:val="19"/>
              </w:rPr>
              <w:t>350</w:t>
            </w:r>
            <w:r>
              <w:rPr>
                <w:sz w:val="19"/>
                <w:szCs w:val="19"/>
              </w:rPr>
              <w:t>,</w:t>
            </w:r>
            <w:r w:rsidRPr="00B14479">
              <w:rPr>
                <w:sz w:val="19"/>
                <w:szCs w:val="19"/>
              </w:rPr>
              <w:t>334</w:t>
            </w:r>
          </w:p>
        </w:tc>
        <w:tc>
          <w:tcPr>
            <w:tcW w:w="642" w:type="pct"/>
            <w:tcBorders>
              <w:top w:val="nil"/>
              <w:left w:val="nil"/>
              <w:bottom w:val="nil"/>
              <w:right w:val="nil"/>
            </w:tcBorders>
            <w:shd w:val="clear" w:color="000000" w:fill="auto"/>
            <w:vAlign w:val="bottom"/>
          </w:tcPr>
          <w:p w14:paraId="1AE5A2CC" w14:textId="4D94CB2C" w:rsidR="0037035B" w:rsidRPr="005444AA" w:rsidRDefault="0037035B" w:rsidP="0037035B">
            <w:pPr>
              <w:tabs>
                <w:tab w:val="right" w:pos="1202"/>
              </w:tabs>
              <w:spacing w:after="0" w:line="240" w:lineRule="auto"/>
              <w:jc w:val="right"/>
              <w:outlineLvl w:val="0"/>
              <w:rPr>
                <w:rFonts w:cs="Arial"/>
                <w:sz w:val="19"/>
                <w:szCs w:val="19"/>
              </w:rPr>
            </w:pPr>
            <w:r w:rsidRPr="00B14479">
              <w:rPr>
                <w:sz w:val="19"/>
                <w:szCs w:val="19"/>
              </w:rPr>
              <w:t>52</w:t>
            </w:r>
            <w:r>
              <w:rPr>
                <w:sz w:val="19"/>
                <w:szCs w:val="19"/>
              </w:rPr>
              <w:t>,</w:t>
            </w:r>
            <w:r w:rsidRPr="00B14479">
              <w:rPr>
                <w:sz w:val="19"/>
                <w:szCs w:val="19"/>
              </w:rPr>
              <w:t>965</w:t>
            </w:r>
          </w:p>
        </w:tc>
        <w:tc>
          <w:tcPr>
            <w:tcW w:w="642" w:type="pct"/>
            <w:tcBorders>
              <w:top w:val="nil"/>
              <w:left w:val="nil"/>
              <w:bottom w:val="nil"/>
              <w:right w:val="nil"/>
            </w:tcBorders>
            <w:shd w:val="clear" w:color="auto" w:fill="auto"/>
            <w:vAlign w:val="bottom"/>
          </w:tcPr>
          <w:p w14:paraId="76A32C3F" w14:textId="77777777" w:rsidR="0037035B" w:rsidRPr="00166751" w:rsidRDefault="0037035B" w:rsidP="0037035B">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407,254</w:t>
            </w:r>
          </w:p>
        </w:tc>
        <w:tc>
          <w:tcPr>
            <w:tcW w:w="642" w:type="pct"/>
            <w:tcBorders>
              <w:top w:val="nil"/>
              <w:left w:val="nil"/>
              <w:bottom w:val="nil"/>
              <w:right w:val="nil"/>
            </w:tcBorders>
            <w:shd w:val="clear" w:color="auto" w:fill="auto"/>
            <w:vAlign w:val="bottom"/>
          </w:tcPr>
          <w:p w14:paraId="6CE5594E" w14:textId="77777777" w:rsidR="0037035B" w:rsidRPr="00166751" w:rsidRDefault="0037035B" w:rsidP="0037035B">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62,818</w:t>
            </w:r>
          </w:p>
        </w:tc>
      </w:tr>
      <w:tr w:rsidR="0037035B" w:rsidRPr="009702B0" w14:paraId="2B3CE8A8" w14:textId="77777777" w:rsidTr="006B318F">
        <w:trPr>
          <w:cantSplit/>
          <w:trHeight w:val="270"/>
          <w:tblHeader/>
        </w:trPr>
        <w:tc>
          <w:tcPr>
            <w:tcW w:w="2432" w:type="pct"/>
            <w:vAlign w:val="bottom"/>
          </w:tcPr>
          <w:p w14:paraId="560FDBBE" w14:textId="77777777" w:rsidR="0037035B" w:rsidRPr="009702B0" w:rsidRDefault="0037035B" w:rsidP="0037035B">
            <w:pPr>
              <w:spacing w:after="0" w:line="280" w:lineRule="exact"/>
              <w:rPr>
                <w:rFonts w:cs="Arial"/>
                <w:bCs/>
                <w:sz w:val="19"/>
                <w:szCs w:val="19"/>
              </w:rPr>
            </w:pPr>
            <w:r w:rsidRPr="009702B0">
              <w:rPr>
                <w:rFonts w:cs="Arial"/>
                <w:bCs/>
                <w:sz w:val="19"/>
                <w:szCs w:val="19"/>
              </w:rPr>
              <w:t>Manufacture of chemicals and chemical products</w:t>
            </w:r>
          </w:p>
        </w:tc>
        <w:tc>
          <w:tcPr>
            <w:tcW w:w="642" w:type="pct"/>
            <w:tcBorders>
              <w:top w:val="nil"/>
              <w:left w:val="nil"/>
              <w:bottom w:val="nil"/>
              <w:right w:val="nil"/>
            </w:tcBorders>
            <w:shd w:val="clear" w:color="000000" w:fill="auto"/>
            <w:vAlign w:val="bottom"/>
          </w:tcPr>
          <w:p w14:paraId="396DE948" w14:textId="60433F22" w:rsidR="0037035B" w:rsidRPr="005444AA" w:rsidRDefault="0037035B" w:rsidP="0037035B">
            <w:pPr>
              <w:tabs>
                <w:tab w:val="right" w:pos="1202"/>
              </w:tabs>
              <w:spacing w:after="0" w:line="240" w:lineRule="auto"/>
              <w:jc w:val="right"/>
              <w:outlineLvl w:val="0"/>
              <w:rPr>
                <w:rFonts w:cs="Arial"/>
                <w:sz w:val="19"/>
                <w:szCs w:val="19"/>
              </w:rPr>
            </w:pPr>
            <w:r w:rsidRPr="00B14479">
              <w:rPr>
                <w:sz w:val="19"/>
                <w:szCs w:val="19"/>
              </w:rPr>
              <w:t>404</w:t>
            </w:r>
            <w:r>
              <w:rPr>
                <w:sz w:val="19"/>
                <w:szCs w:val="19"/>
              </w:rPr>
              <w:t>,</w:t>
            </w:r>
            <w:r w:rsidRPr="00B14479">
              <w:rPr>
                <w:sz w:val="19"/>
                <w:szCs w:val="19"/>
              </w:rPr>
              <w:t>188</w:t>
            </w:r>
          </w:p>
        </w:tc>
        <w:tc>
          <w:tcPr>
            <w:tcW w:w="642" w:type="pct"/>
            <w:tcBorders>
              <w:top w:val="nil"/>
              <w:left w:val="nil"/>
              <w:bottom w:val="nil"/>
              <w:right w:val="nil"/>
            </w:tcBorders>
            <w:shd w:val="clear" w:color="000000" w:fill="auto"/>
            <w:vAlign w:val="bottom"/>
          </w:tcPr>
          <w:p w14:paraId="489B4027" w14:textId="0ED9E7A0" w:rsidR="0037035B" w:rsidRPr="005444AA" w:rsidRDefault="0037035B" w:rsidP="0037035B">
            <w:pPr>
              <w:tabs>
                <w:tab w:val="right" w:pos="1202"/>
              </w:tabs>
              <w:spacing w:after="0" w:line="240" w:lineRule="auto"/>
              <w:jc w:val="right"/>
              <w:outlineLvl w:val="0"/>
              <w:rPr>
                <w:rFonts w:cs="Arial"/>
                <w:sz w:val="19"/>
                <w:szCs w:val="19"/>
              </w:rPr>
            </w:pPr>
            <w:r w:rsidRPr="00B14479">
              <w:rPr>
                <w:sz w:val="19"/>
                <w:szCs w:val="19"/>
              </w:rPr>
              <w:t>89</w:t>
            </w:r>
            <w:r>
              <w:rPr>
                <w:sz w:val="19"/>
                <w:szCs w:val="19"/>
              </w:rPr>
              <w:t>,</w:t>
            </w:r>
            <w:r w:rsidRPr="00B14479">
              <w:rPr>
                <w:sz w:val="19"/>
                <w:szCs w:val="19"/>
              </w:rPr>
              <w:t>818</w:t>
            </w:r>
          </w:p>
        </w:tc>
        <w:tc>
          <w:tcPr>
            <w:tcW w:w="642" w:type="pct"/>
            <w:tcBorders>
              <w:top w:val="nil"/>
              <w:left w:val="nil"/>
              <w:bottom w:val="nil"/>
              <w:right w:val="nil"/>
            </w:tcBorders>
            <w:shd w:val="clear" w:color="auto" w:fill="auto"/>
            <w:vAlign w:val="bottom"/>
          </w:tcPr>
          <w:p w14:paraId="06F8FF93" w14:textId="77777777" w:rsidR="0037035B" w:rsidRPr="00166751" w:rsidRDefault="0037035B" w:rsidP="0037035B">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255,576</w:t>
            </w:r>
          </w:p>
        </w:tc>
        <w:tc>
          <w:tcPr>
            <w:tcW w:w="642" w:type="pct"/>
            <w:tcBorders>
              <w:top w:val="nil"/>
              <w:left w:val="nil"/>
              <w:bottom w:val="nil"/>
              <w:right w:val="nil"/>
            </w:tcBorders>
            <w:shd w:val="clear" w:color="auto" w:fill="auto"/>
            <w:vAlign w:val="bottom"/>
          </w:tcPr>
          <w:p w14:paraId="197150FE" w14:textId="77777777" w:rsidR="0037035B" w:rsidRPr="00166751" w:rsidRDefault="0037035B" w:rsidP="0037035B">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16,761</w:t>
            </w:r>
          </w:p>
        </w:tc>
      </w:tr>
      <w:tr w:rsidR="0037035B" w:rsidRPr="009702B0" w14:paraId="772D2129" w14:textId="77777777" w:rsidTr="006B318F">
        <w:trPr>
          <w:cantSplit/>
          <w:trHeight w:val="270"/>
          <w:tblHeader/>
        </w:trPr>
        <w:tc>
          <w:tcPr>
            <w:tcW w:w="2432" w:type="pct"/>
            <w:vAlign w:val="bottom"/>
          </w:tcPr>
          <w:p w14:paraId="5AB63A57" w14:textId="77777777" w:rsidR="0037035B" w:rsidRPr="009702B0" w:rsidRDefault="0037035B" w:rsidP="0037035B">
            <w:pPr>
              <w:spacing w:after="0" w:line="280" w:lineRule="exact"/>
              <w:rPr>
                <w:rFonts w:cs="Arial"/>
                <w:sz w:val="19"/>
                <w:szCs w:val="19"/>
              </w:rPr>
            </w:pPr>
            <w:r w:rsidRPr="009702B0">
              <w:rPr>
                <w:rFonts w:cs="Arial"/>
                <w:bCs/>
                <w:sz w:val="19"/>
                <w:szCs w:val="19"/>
              </w:rPr>
              <w:t xml:space="preserve">Manufacture of other non-metallic mineral products </w:t>
            </w:r>
          </w:p>
        </w:tc>
        <w:tc>
          <w:tcPr>
            <w:tcW w:w="642" w:type="pct"/>
            <w:tcBorders>
              <w:top w:val="nil"/>
              <w:left w:val="nil"/>
              <w:bottom w:val="nil"/>
              <w:right w:val="nil"/>
            </w:tcBorders>
            <w:shd w:val="clear" w:color="000000" w:fill="auto"/>
            <w:vAlign w:val="bottom"/>
          </w:tcPr>
          <w:p w14:paraId="1BE8F61F" w14:textId="5897AAA8" w:rsidR="0037035B" w:rsidRPr="005444AA" w:rsidRDefault="0037035B" w:rsidP="0037035B">
            <w:pPr>
              <w:tabs>
                <w:tab w:val="right" w:pos="1202"/>
              </w:tabs>
              <w:spacing w:after="0" w:line="240" w:lineRule="auto"/>
              <w:jc w:val="right"/>
              <w:outlineLvl w:val="0"/>
              <w:rPr>
                <w:rFonts w:cs="Arial"/>
                <w:sz w:val="19"/>
                <w:szCs w:val="19"/>
              </w:rPr>
            </w:pPr>
            <w:r w:rsidRPr="00B14479">
              <w:rPr>
                <w:sz w:val="19"/>
                <w:szCs w:val="19"/>
              </w:rPr>
              <w:t>201</w:t>
            </w:r>
            <w:r>
              <w:rPr>
                <w:sz w:val="19"/>
                <w:szCs w:val="19"/>
              </w:rPr>
              <w:t>,</w:t>
            </w:r>
            <w:r w:rsidRPr="00B14479">
              <w:rPr>
                <w:sz w:val="19"/>
                <w:szCs w:val="19"/>
              </w:rPr>
              <w:t>528</w:t>
            </w:r>
          </w:p>
        </w:tc>
        <w:tc>
          <w:tcPr>
            <w:tcW w:w="642" w:type="pct"/>
            <w:tcBorders>
              <w:top w:val="nil"/>
              <w:left w:val="nil"/>
              <w:bottom w:val="nil"/>
              <w:right w:val="nil"/>
            </w:tcBorders>
            <w:shd w:val="clear" w:color="000000" w:fill="auto"/>
            <w:vAlign w:val="bottom"/>
          </w:tcPr>
          <w:p w14:paraId="5336C6EC" w14:textId="4D7ADE73" w:rsidR="0037035B" w:rsidRPr="005444AA" w:rsidRDefault="0037035B" w:rsidP="0037035B">
            <w:pPr>
              <w:tabs>
                <w:tab w:val="right" w:pos="1202"/>
              </w:tabs>
              <w:spacing w:after="0" w:line="240" w:lineRule="auto"/>
              <w:jc w:val="right"/>
              <w:outlineLvl w:val="0"/>
              <w:rPr>
                <w:rFonts w:cs="Arial"/>
                <w:sz w:val="19"/>
                <w:szCs w:val="19"/>
              </w:rPr>
            </w:pPr>
            <w:r w:rsidRPr="00B14479">
              <w:rPr>
                <w:sz w:val="19"/>
                <w:szCs w:val="19"/>
              </w:rPr>
              <w:t>3</w:t>
            </w:r>
            <w:r>
              <w:rPr>
                <w:sz w:val="19"/>
                <w:szCs w:val="19"/>
              </w:rPr>
              <w:t>,</w:t>
            </w:r>
            <w:r w:rsidRPr="00B14479">
              <w:rPr>
                <w:sz w:val="19"/>
                <w:szCs w:val="19"/>
              </w:rPr>
              <w:t>829</w:t>
            </w:r>
          </w:p>
        </w:tc>
        <w:tc>
          <w:tcPr>
            <w:tcW w:w="642" w:type="pct"/>
            <w:tcBorders>
              <w:top w:val="nil"/>
              <w:left w:val="nil"/>
              <w:bottom w:val="nil"/>
              <w:right w:val="nil"/>
            </w:tcBorders>
            <w:shd w:val="clear" w:color="auto" w:fill="auto"/>
            <w:vAlign w:val="bottom"/>
          </w:tcPr>
          <w:p w14:paraId="777A2665" w14:textId="77777777" w:rsidR="0037035B" w:rsidRPr="00166751" w:rsidRDefault="0037035B" w:rsidP="0037035B">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273,959</w:t>
            </w:r>
          </w:p>
        </w:tc>
        <w:tc>
          <w:tcPr>
            <w:tcW w:w="642" w:type="pct"/>
            <w:tcBorders>
              <w:top w:val="nil"/>
              <w:left w:val="nil"/>
              <w:bottom w:val="nil"/>
              <w:right w:val="nil"/>
            </w:tcBorders>
            <w:shd w:val="clear" w:color="auto" w:fill="auto"/>
            <w:vAlign w:val="bottom"/>
          </w:tcPr>
          <w:p w14:paraId="241FE8A7" w14:textId="77777777" w:rsidR="0037035B" w:rsidRPr="00166751" w:rsidRDefault="0037035B" w:rsidP="0037035B">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4,399</w:t>
            </w:r>
          </w:p>
        </w:tc>
      </w:tr>
      <w:tr w:rsidR="0037035B" w:rsidRPr="009702B0" w14:paraId="05BE0DCF" w14:textId="77777777" w:rsidTr="006B318F">
        <w:trPr>
          <w:cantSplit/>
          <w:trHeight w:val="270"/>
          <w:tblHeader/>
        </w:trPr>
        <w:tc>
          <w:tcPr>
            <w:tcW w:w="2432" w:type="pct"/>
            <w:vAlign w:val="bottom"/>
          </w:tcPr>
          <w:p w14:paraId="195E2193" w14:textId="77777777" w:rsidR="0037035B" w:rsidRPr="009702B0" w:rsidRDefault="0037035B" w:rsidP="0037035B">
            <w:pPr>
              <w:spacing w:after="0" w:line="280" w:lineRule="exact"/>
              <w:rPr>
                <w:rFonts w:cs="Arial"/>
                <w:bCs/>
                <w:sz w:val="19"/>
                <w:szCs w:val="19"/>
              </w:rPr>
            </w:pPr>
            <w:r w:rsidRPr="009702B0">
              <w:rPr>
                <w:rFonts w:cs="Arial"/>
                <w:bCs/>
                <w:sz w:val="19"/>
                <w:szCs w:val="19"/>
              </w:rPr>
              <w:t>Pharmaceutical industry</w:t>
            </w:r>
          </w:p>
        </w:tc>
        <w:tc>
          <w:tcPr>
            <w:tcW w:w="642" w:type="pct"/>
            <w:tcBorders>
              <w:top w:val="nil"/>
              <w:left w:val="nil"/>
              <w:right w:val="nil"/>
            </w:tcBorders>
            <w:shd w:val="clear" w:color="000000" w:fill="auto"/>
            <w:vAlign w:val="bottom"/>
          </w:tcPr>
          <w:p w14:paraId="4B3ACBA9" w14:textId="7DB4BF6F" w:rsidR="0037035B" w:rsidRPr="005444AA" w:rsidRDefault="0037035B" w:rsidP="0037035B">
            <w:pPr>
              <w:tabs>
                <w:tab w:val="right" w:pos="1202"/>
              </w:tabs>
              <w:spacing w:after="0" w:line="240" w:lineRule="auto"/>
              <w:jc w:val="right"/>
              <w:outlineLvl w:val="0"/>
              <w:rPr>
                <w:rFonts w:cs="Arial"/>
                <w:sz w:val="19"/>
                <w:szCs w:val="19"/>
              </w:rPr>
            </w:pPr>
            <w:r w:rsidRPr="00B14479">
              <w:rPr>
                <w:sz w:val="19"/>
                <w:szCs w:val="19"/>
              </w:rPr>
              <w:t>547</w:t>
            </w:r>
            <w:r>
              <w:rPr>
                <w:sz w:val="19"/>
                <w:szCs w:val="19"/>
              </w:rPr>
              <w:t>,</w:t>
            </w:r>
            <w:r w:rsidRPr="00B14479">
              <w:rPr>
                <w:sz w:val="19"/>
                <w:szCs w:val="19"/>
              </w:rPr>
              <w:t>060</w:t>
            </w:r>
          </w:p>
        </w:tc>
        <w:tc>
          <w:tcPr>
            <w:tcW w:w="642" w:type="pct"/>
            <w:tcBorders>
              <w:top w:val="nil"/>
              <w:left w:val="nil"/>
              <w:right w:val="nil"/>
            </w:tcBorders>
            <w:shd w:val="clear" w:color="000000" w:fill="auto"/>
            <w:vAlign w:val="bottom"/>
          </w:tcPr>
          <w:p w14:paraId="29A3E245" w14:textId="1A21077A" w:rsidR="0037035B" w:rsidRPr="005444AA" w:rsidRDefault="0037035B" w:rsidP="0037035B">
            <w:pPr>
              <w:tabs>
                <w:tab w:val="right" w:pos="1202"/>
              </w:tabs>
              <w:spacing w:after="0" w:line="240" w:lineRule="auto"/>
              <w:jc w:val="right"/>
              <w:outlineLvl w:val="0"/>
              <w:rPr>
                <w:rFonts w:cs="Arial"/>
                <w:sz w:val="19"/>
                <w:szCs w:val="19"/>
              </w:rPr>
            </w:pPr>
            <w:r w:rsidRPr="00B14479">
              <w:rPr>
                <w:sz w:val="19"/>
                <w:szCs w:val="19"/>
              </w:rPr>
              <w:t>836</w:t>
            </w:r>
          </w:p>
        </w:tc>
        <w:tc>
          <w:tcPr>
            <w:tcW w:w="642" w:type="pct"/>
            <w:tcBorders>
              <w:top w:val="nil"/>
              <w:left w:val="nil"/>
              <w:bottom w:val="nil"/>
              <w:right w:val="nil"/>
            </w:tcBorders>
            <w:shd w:val="clear" w:color="auto" w:fill="auto"/>
            <w:vAlign w:val="bottom"/>
          </w:tcPr>
          <w:p w14:paraId="0F2C3CAC" w14:textId="77777777" w:rsidR="0037035B" w:rsidRPr="00166751" w:rsidRDefault="0037035B" w:rsidP="0037035B">
            <w:pPr>
              <w:tabs>
                <w:tab w:val="right" w:pos="1202"/>
              </w:tabs>
              <w:spacing w:after="0" w:line="240" w:lineRule="auto"/>
              <w:jc w:val="right"/>
              <w:outlineLvl w:val="0"/>
              <w:rPr>
                <w:rFonts w:asciiTheme="minorHAnsi" w:hAnsiTheme="minorHAnsi"/>
                <w:sz w:val="19"/>
                <w:szCs w:val="19"/>
                <w:lang w:val="hr-HR"/>
              </w:rPr>
            </w:pPr>
            <w:r w:rsidRPr="00166751">
              <w:rPr>
                <w:rFonts w:cs="Arial"/>
                <w:sz w:val="19"/>
                <w:szCs w:val="19"/>
              </w:rPr>
              <w:t>572,470</w:t>
            </w:r>
          </w:p>
        </w:tc>
        <w:tc>
          <w:tcPr>
            <w:tcW w:w="642" w:type="pct"/>
            <w:tcBorders>
              <w:top w:val="nil"/>
              <w:left w:val="nil"/>
              <w:bottom w:val="nil"/>
              <w:right w:val="nil"/>
            </w:tcBorders>
            <w:shd w:val="clear" w:color="auto" w:fill="auto"/>
            <w:vAlign w:val="bottom"/>
          </w:tcPr>
          <w:p w14:paraId="2F205087" w14:textId="77777777" w:rsidR="0037035B" w:rsidRPr="00166751" w:rsidRDefault="0037035B" w:rsidP="0037035B">
            <w:pPr>
              <w:tabs>
                <w:tab w:val="right" w:pos="1202"/>
              </w:tabs>
              <w:spacing w:after="0" w:line="240" w:lineRule="auto"/>
              <w:jc w:val="right"/>
              <w:outlineLvl w:val="0"/>
              <w:rPr>
                <w:rFonts w:asciiTheme="minorHAnsi" w:hAnsiTheme="minorHAnsi"/>
                <w:sz w:val="19"/>
                <w:szCs w:val="19"/>
                <w:lang w:val="hr-HR"/>
              </w:rPr>
            </w:pPr>
            <w:r w:rsidRPr="00166751">
              <w:rPr>
                <w:rFonts w:cs="Arial"/>
                <w:sz w:val="19"/>
                <w:szCs w:val="19"/>
              </w:rPr>
              <w:t>809</w:t>
            </w:r>
          </w:p>
        </w:tc>
      </w:tr>
      <w:tr w:rsidR="0037035B" w:rsidRPr="009702B0" w14:paraId="65CF12BE" w14:textId="77777777" w:rsidTr="006B318F">
        <w:trPr>
          <w:cantSplit/>
          <w:trHeight w:val="270"/>
          <w:tblHeader/>
        </w:trPr>
        <w:tc>
          <w:tcPr>
            <w:tcW w:w="2432" w:type="pct"/>
            <w:vAlign w:val="bottom"/>
          </w:tcPr>
          <w:p w14:paraId="67246B9B" w14:textId="77777777" w:rsidR="0037035B" w:rsidRPr="009702B0" w:rsidRDefault="0037035B" w:rsidP="0037035B">
            <w:pPr>
              <w:spacing w:after="0" w:line="280" w:lineRule="exact"/>
              <w:rPr>
                <w:rFonts w:cs="Arial"/>
                <w:bCs/>
                <w:sz w:val="19"/>
                <w:szCs w:val="19"/>
              </w:rPr>
            </w:pPr>
            <w:r w:rsidRPr="009702B0">
              <w:rPr>
                <w:rFonts w:cs="Arial"/>
                <w:bCs/>
                <w:sz w:val="19"/>
                <w:szCs w:val="19"/>
              </w:rPr>
              <w:t>Other</w:t>
            </w:r>
          </w:p>
        </w:tc>
        <w:tc>
          <w:tcPr>
            <w:tcW w:w="642" w:type="pct"/>
            <w:tcBorders>
              <w:top w:val="nil"/>
              <w:left w:val="nil"/>
              <w:bottom w:val="single" w:sz="4" w:space="0" w:color="auto"/>
              <w:right w:val="nil"/>
            </w:tcBorders>
            <w:shd w:val="clear" w:color="000000" w:fill="auto"/>
            <w:vAlign w:val="bottom"/>
          </w:tcPr>
          <w:p w14:paraId="7B40F5FE" w14:textId="30B92FE6" w:rsidR="0037035B" w:rsidRPr="005444AA" w:rsidRDefault="0037035B" w:rsidP="0037035B">
            <w:pPr>
              <w:tabs>
                <w:tab w:val="right" w:pos="1202"/>
              </w:tabs>
              <w:spacing w:after="0" w:line="240" w:lineRule="auto"/>
              <w:jc w:val="right"/>
              <w:outlineLvl w:val="0"/>
              <w:rPr>
                <w:rFonts w:cs="Arial"/>
                <w:sz w:val="19"/>
                <w:szCs w:val="19"/>
              </w:rPr>
            </w:pPr>
            <w:r w:rsidRPr="00B14479">
              <w:rPr>
                <w:sz w:val="19"/>
                <w:szCs w:val="19"/>
              </w:rPr>
              <w:t>1</w:t>
            </w:r>
            <w:r>
              <w:rPr>
                <w:sz w:val="19"/>
                <w:szCs w:val="19"/>
              </w:rPr>
              <w:t>,</w:t>
            </w:r>
            <w:r w:rsidRPr="00B14479">
              <w:rPr>
                <w:sz w:val="19"/>
                <w:szCs w:val="19"/>
              </w:rPr>
              <w:t>619</w:t>
            </w:r>
            <w:r>
              <w:rPr>
                <w:sz w:val="19"/>
                <w:szCs w:val="19"/>
              </w:rPr>
              <w:t>,</w:t>
            </w:r>
            <w:r w:rsidRPr="00B14479">
              <w:rPr>
                <w:sz w:val="19"/>
                <w:szCs w:val="19"/>
              </w:rPr>
              <w:t>300</w:t>
            </w:r>
          </w:p>
        </w:tc>
        <w:tc>
          <w:tcPr>
            <w:tcW w:w="642" w:type="pct"/>
            <w:tcBorders>
              <w:top w:val="nil"/>
              <w:left w:val="nil"/>
              <w:bottom w:val="single" w:sz="4" w:space="0" w:color="auto"/>
              <w:right w:val="nil"/>
            </w:tcBorders>
            <w:shd w:val="clear" w:color="000000" w:fill="auto"/>
            <w:vAlign w:val="bottom"/>
          </w:tcPr>
          <w:p w14:paraId="062A0591" w14:textId="4B6F5E67" w:rsidR="0037035B" w:rsidRPr="005444AA" w:rsidRDefault="0037035B" w:rsidP="0037035B">
            <w:pPr>
              <w:tabs>
                <w:tab w:val="right" w:pos="1202"/>
              </w:tabs>
              <w:spacing w:after="0" w:line="240" w:lineRule="auto"/>
              <w:jc w:val="right"/>
              <w:outlineLvl w:val="0"/>
              <w:rPr>
                <w:rFonts w:cs="Arial"/>
                <w:sz w:val="19"/>
                <w:szCs w:val="19"/>
              </w:rPr>
            </w:pPr>
            <w:r w:rsidRPr="00B14479">
              <w:rPr>
                <w:sz w:val="19"/>
                <w:szCs w:val="19"/>
              </w:rPr>
              <w:t>480</w:t>
            </w:r>
            <w:r>
              <w:rPr>
                <w:sz w:val="19"/>
                <w:szCs w:val="19"/>
              </w:rPr>
              <w:t>,</w:t>
            </w:r>
            <w:r w:rsidRPr="00B14479">
              <w:rPr>
                <w:sz w:val="19"/>
                <w:szCs w:val="19"/>
              </w:rPr>
              <w:t>651</w:t>
            </w:r>
          </w:p>
        </w:tc>
        <w:tc>
          <w:tcPr>
            <w:tcW w:w="642" w:type="pct"/>
            <w:tcBorders>
              <w:top w:val="nil"/>
              <w:left w:val="nil"/>
              <w:bottom w:val="single" w:sz="4" w:space="0" w:color="auto"/>
              <w:right w:val="nil"/>
            </w:tcBorders>
            <w:shd w:val="clear" w:color="auto" w:fill="auto"/>
            <w:vAlign w:val="bottom"/>
          </w:tcPr>
          <w:p w14:paraId="15243B8F" w14:textId="77777777" w:rsidR="0037035B" w:rsidRPr="005444AA" w:rsidRDefault="0037035B" w:rsidP="0037035B">
            <w:pPr>
              <w:tabs>
                <w:tab w:val="right" w:pos="1202"/>
              </w:tabs>
              <w:spacing w:after="0" w:line="240" w:lineRule="auto"/>
              <w:jc w:val="right"/>
              <w:outlineLvl w:val="0"/>
              <w:rPr>
                <w:rFonts w:cs="Arial"/>
                <w:sz w:val="19"/>
                <w:szCs w:val="19"/>
              </w:rPr>
            </w:pPr>
            <w:r w:rsidRPr="00166751">
              <w:rPr>
                <w:rFonts w:cs="Arial"/>
                <w:sz w:val="19"/>
                <w:szCs w:val="19"/>
              </w:rPr>
              <w:t>1,525,185</w:t>
            </w:r>
          </w:p>
        </w:tc>
        <w:tc>
          <w:tcPr>
            <w:tcW w:w="642" w:type="pct"/>
            <w:tcBorders>
              <w:top w:val="nil"/>
              <w:left w:val="nil"/>
              <w:bottom w:val="single" w:sz="4" w:space="0" w:color="auto"/>
              <w:right w:val="nil"/>
            </w:tcBorders>
            <w:shd w:val="clear" w:color="auto" w:fill="auto"/>
            <w:vAlign w:val="bottom"/>
          </w:tcPr>
          <w:p w14:paraId="2A0D930D" w14:textId="77777777" w:rsidR="0037035B" w:rsidRPr="005444AA" w:rsidRDefault="0037035B" w:rsidP="0037035B">
            <w:pPr>
              <w:tabs>
                <w:tab w:val="right" w:pos="1202"/>
              </w:tabs>
              <w:spacing w:after="0" w:line="240" w:lineRule="auto"/>
              <w:jc w:val="right"/>
              <w:outlineLvl w:val="0"/>
              <w:rPr>
                <w:rFonts w:cs="Arial"/>
                <w:sz w:val="19"/>
                <w:szCs w:val="19"/>
              </w:rPr>
            </w:pPr>
            <w:r w:rsidRPr="00166751">
              <w:rPr>
                <w:rFonts w:cs="Arial"/>
                <w:sz w:val="19"/>
                <w:szCs w:val="19"/>
              </w:rPr>
              <w:t>311,092</w:t>
            </w:r>
          </w:p>
        </w:tc>
      </w:tr>
      <w:tr w:rsidR="0037035B" w:rsidRPr="009702B0" w14:paraId="6B434DA7" w14:textId="77777777" w:rsidTr="00693680">
        <w:tblPrEx>
          <w:tblCellMar>
            <w:left w:w="31" w:type="dxa"/>
            <w:right w:w="31" w:type="dxa"/>
          </w:tblCellMar>
        </w:tblPrEx>
        <w:trPr>
          <w:cantSplit/>
          <w:trHeight w:val="270"/>
          <w:tblHeader/>
        </w:trPr>
        <w:tc>
          <w:tcPr>
            <w:tcW w:w="2432" w:type="pct"/>
            <w:vAlign w:val="bottom"/>
          </w:tcPr>
          <w:p w14:paraId="540EE5A1" w14:textId="77777777" w:rsidR="0037035B" w:rsidRPr="009702B0" w:rsidRDefault="0037035B" w:rsidP="0037035B">
            <w:pPr>
              <w:spacing w:after="0" w:line="280" w:lineRule="exact"/>
              <w:rPr>
                <w:rFonts w:cs="Arial"/>
                <w:b/>
                <w:bCs/>
                <w:sz w:val="19"/>
                <w:szCs w:val="19"/>
              </w:rPr>
            </w:pPr>
            <w:r w:rsidRPr="009702B0">
              <w:rPr>
                <w:rFonts w:cs="Arial"/>
                <w:b/>
                <w:bCs/>
                <w:sz w:val="19"/>
                <w:szCs w:val="19"/>
              </w:rPr>
              <w:t>Total credit risk exposure</w:t>
            </w:r>
          </w:p>
        </w:tc>
        <w:tc>
          <w:tcPr>
            <w:tcW w:w="642" w:type="pct"/>
            <w:tcBorders>
              <w:top w:val="single" w:sz="4" w:space="0" w:color="auto"/>
              <w:left w:val="nil"/>
              <w:bottom w:val="single" w:sz="12" w:space="0" w:color="auto"/>
              <w:right w:val="nil"/>
            </w:tcBorders>
            <w:shd w:val="clear" w:color="000000" w:fill="auto"/>
            <w:vAlign w:val="bottom"/>
          </w:tcPr>
          <w:p w14:paraId="5A8C2CD3" w14:textId="0A856119" w:rsidR="0037035B" w:rsidRPr="009702B0" w:rsidRDefault="0037035B" w:rsidP="0037035B">
            <w:pPr>
              <w:tabs>
                <w:tab w:val="right" w:pos="1202"/>
              </w:tabs>
              <w:spacing w:after="0" w:line="240" w:lineRule="auto"/>
              <w:jc w:val="right"/>
              <w:outlineLvl w:val="0"/>
              <w:rPr>
                <w:rFonts w:cs="Arial"/>
                <w:b/>
                <w:bCs/>
                <w:sz w:val="19"/>
                <w:szCs w:val="19"/>
              </w:rPr>
            </w:pPr>
            <w:r w:rsidRPr="00B14479">
              <w:rPr>
                <w:b/>
                <w:sz w:val="19"/>
                <w:szCs w:val="19"/>
              </w:rPr>
              <w:t>33</w:t>
            </w:r>
            <w:r>
              <w:rPr>
                <w:b/>
                <w:sz w:val="19"/>
                <w:szCs w:val="19"/>
              </w:rPr>
              <w:t>,</w:t>
            </w:r>
            <w:r w:rsidRPr="00B14479">
              <w:rPr>
                <w:b/>
                <w:sz w:val="19"/>
                <w:szCs w:val="19"/>
              </w:rPr>
              <w:t>730</w:t>
            </w:r>
            <w:r>
              <w:rPr>
                <w:b/>
                <w:sz w:val="19"/>
                <w:szCs w:val="19"/>
              </w:rPr>
              <w:t>,</w:t>
            </w:r>
            <w:r w:rsidRPr="00B14479">
              <w:rPr>
                <w:b/>
                <w:sz w:val="19"/>
                <w:szCs w:val="19"/>
              </w:rPr>
              <w:t>202</w:t>
            </w:r>
          </w:p>
        </w:tc>
        <w:tc>
          <w:tcPr>
            <w:tcW w:w="642" w:type="pct"/>
            <w:tcBorders>
              <w:top w:val="single" w:sz="4" w:space="0" w:color="auto"/>
              <w:left w:val="nil"/>
              <w:bottom w:val="single" w:sz="12" w:space="0" w:color="auto"/>
              <w:right w:val="nil"/>
            </w:tcBorders>
            <w:shd w:val="clear" w:color="000000" w:fill="auto"/>
            <w:vAlign w:val="bottom"/>
          </w:tcPr>
          <w:p w14:paraId="4EA0849A" w14:textId="39EAC117" w:rsidR="0037035B" w:rsidRPr="009702B0" w:rsidRDefault="0037035B" w:rsidP="0037035B">
            <w:pPr>
              <w:tabs>
                <w:tab w:val="right" w:pos="1202"/>
              </w:tabs>
              <w:spacing w:after="0" w:line="240" w:lineRule="auto"/>
              <w:jc w:val="right"/>
              <w:outlineLvl w:val="0"/>
              <w:rPr>
                <w:rFonts w:cs="Arial"/>
                <w:b/>
                <w:bCs/>
                <w:sz w:val="19"/>
                <w:szCs w:val="19"/>
              </w:rPr>
            </w:pPr>
            <w:r w:rsidRPr="00B14479">
              <w:rPr>
                <w:b/>
                <w:sz w:val="19"/>
                <w:szCs w:val="19"/>
              </w:rPr>
              <w:t>5</w:t>
            </w:r>
            <w:r>
              <w:rPr>
                <w:b/>
                <w:sz w:val="19"/>
                <w:szCs w:val="19"/>
              </w:rPr>
              <w:t>,</w:t>
            </w:r>
            <w:r w:rsidRPr="00B14479">
              <w:rPr>
                <w:b/>
                <w:sz w:val="19"/>
                <w:szCs w:val="19"/>
              </w:rPr>
              <w:t>968</w:t>
            </w:r>
            <w:r>
              <w:rPr>
                <w:b/>
                <w:sz w:val="19"/>
                <w:szCs w:val="19"/>
              </w:rPr>
              <w:t>,</w:t>
            </w:r>
            <w:r w:rsidRPr="00B14479">
              <w:rPr>
                <w:b/>
                <w:sz w:val="19"/>
                <w:szCs w:val="19"/>
              </w:rPr>
              <w:t>185</w:t>
            </w:r>
          </w:p>
        </w:tc>
        <w:tc>
          <w:tcPr>
            <w:tcW w:w="642" w:type="pct"/>
            <w:tcBorders>
              <w:top w:val="single" w:sz="4" w:space="0" w:color="auto"/>
              <w:left w:val="nil"/>
              <w:bottom w:val="single" w:sz="12" w:space="0" w:color="auto"/>
              <w:right w:val="nil"/>
            </w:tcBorders>
            <w:shd w:val="clear" w:color="auto" w:fill="auto"/>
            <w:vAlign w:val="bottom"/>
          </w:tcPr>
          <w:p w14:paraId="7F0BDBA3" w14:textId="77777777" w:rsidR="0037035B" w:rsidRPr="00166751" w:rsidRDefault="0037035B" w:rsidP="0037035B">
            <w:pPr>
              <w:tabs>
                <w:tab w:val="right" w:pos="1202"/>
              </w:tabs>
              <w:spacing w:after="0" w:line="240" w:lineRule="auto"/>
              <w:jc w:val="right"/>
              <w:outlineLvl w:val="0"/>
              <w:rPr>
                <w:rFonts w:asciiTheme="minorHAnsi" w:hAnsiTheme="minorHAnsi"/>
                <w:b/>
                <w:noProof/>
                <w:sz w:val="19"/>
                <w:szCs w:val="19"/>
                <w:lang w:val="hr-HR" w:eastAsia="hr-HR"/>
              </w:rPr>
            </w:pPr>
            <w:r w:rsidRPr="00166751">
              <w:rPr>
                <w:rFonts w:cs="Arial"/>
                <w:b/>
                <w:bCs/>
                <w:sz w:val="19"/>
                <w:szCs w:val="19"/>
              </w:rPr>
              <w:t>33,220,026</w:t>
            </w:r>
          </w:p>
        </w:tc>
        <w:tc>
          <w:tcPr>
            <w:tcW w:w="642" w:type="pct"/>
            <w:tcBorders>
              <w:top w:val="single" w:sz="4" w:space="0" w:color="auto"/>
              <w:left w:val="nil"/>
              <w:bottom w:val="single" w:sz="12" w:space="0" w:color="auto"/>
              <w:right w:val="nil"/>
            </w:tcBorders>
            <w:shd w:val="clear" w:color="auto" w:fill="auto"/>
            <w:vAlign w:val="bottom"/>
          </w:tcPr>
          <w:p w14:paraId="04F5F84D" w14:textId="77777777" w:rsidR="0037035B" w:rsidRPr="00166751" w:rsidRDefault="0037035B" w:rsidP="0037035B">
            <w:pPr>
              <w:tabs>
                <w:tab w:val="right" w:pos="1202"/>
              </w:tabs>
              <w:spacing w:after="0" w:line="240" w:lineRule="auto"/>
              <w:jc w:val="right"/>
              <w:outlineLvl w:val="0"/>
              <w:rPr>
                <w:rFonts w:asciiTheme="minorHAnsi" w:hAnsiTheme="minorHAnsi" w:cs="Arial"/>
                <w:b/>
                <w:sz w:val="19"/>
                <w:szCs w:val="19"/>
                <w:lang w:val="hr-HR"/>
              </w:rPr>
            </w:pPr>
            <w:r w:rsidRPr="00166751">
              <w:rPr>
                <w:rFonts w:cs="Arial"/>
                <w:b/>
                <w:bCs/>
                <w:sz w:val="19"/>
                <w:szCs w:val="19"/>
              </w:rPr>
              <w:t>6,062,987</w:t>
            </w:r>
          </w:p>
        </w:tc>
      </w:tr>
      <w:tr w:rsidR="007147C5" w:rsidRPr="009702B0" w14:paraId="4CF342EE" w14:textId="77777777" w:rsidTr="009702B0">
        <w:tblPrEx>
          <w:tblCellMar>
            <w:left w:w="31" w:type="dxa"/>
            <w:right w:w="31" w:type="dxa"/>
          </w:tblCellMar>
        </w:tblPrEx>
        <w:trPr>
          <w:cantSplit/>
          <w:trHeight w:val="270"/>
          <w:tblHeader/>
        </w:trPr>
        <w:tc>
          <w:tcPr>
            <w:tcW w:w="2432" w:type="pct"/>
            <w:vAlign w:val="bottom"/>
          </w:tcPr>
          <w:p w14:paraId="1006FBE7" w14:textId="77777777" w:rsidR="007147C5" w:rsidRPr="009702B0" w:rsidRDefault="007147C5" w:rsidP="007147C5">
            <w:pPr>
              <w:spacing w:after="0" w:line="280" w:lineRule="exact"/>
              <w:rPr>
                <w:rFonts w:cs="Arial"/>
                <w:bCs/>
                <w:sz w:val="19"/>
                <w:szCs w:val="19"/>
              </w:rPr>
            </w:pPr>
          </w:p>
        </w:tc>
        <w:tc>
          <w:tcPr>
            <w:tcW w:w="642" w:type="pct"/>
            <w:tcBorders>
              <w:top w:val="single" w:sz="12" w:space="0" w:color="auto"/>
            </w:tcBorders>
          </w:tcPr>
          <w:p w14:paraId="76FA86AF" w14:textId="77777777" w:rsidR="007147C5" w:rsidRPr="009702B0" w:rsidRDefault="007147C5" w:rsidP="007147C5">
            <w:pPr>
              <w:tabs>
                <w:tab w:val="right" w:pos="1202"/>
              </w:tabs>
              <w:spacing w:after="0" w:line="280" w:lineRule="exact"/>
              <w:jc w:val="right"/>
              <w:outlineLvl w:val="0"/>
              <w:rPr>
                <w:rFonts w:cs="Arial"/>
                <w:b/>
                <w:sz w:val="19"/>
                <w:szCs w:val="19"/>
              </w:rPr>
            </w:pPr>
          </w:p>
        </w:tc>
        <w:tc>
          <w:tcPr>
            <w:tcW w:w="642" w:type="pct"/>
            <w:tcBorders>
              <w:top w:val="single" w:sz="12" w:space="0" w:color="auto"/>
            </w:tcBorders>
          </w:tcPr>
          <w:p w14:paraId="040DE981" w14:textId="77777777" w:rsidR="007147C5" w:rsidRPr="009702B0" w:rsidRDefault="007147C5" w:rsidP="007147C5">
            <w:pPr>
              <w:tabs>
                <w:tab w:val="right" w:pos="1202"/>
              </w:tabs>
              <w:spacing w:after="0" w:line="280" w:lineRule="exact"/>
              <w:jc w:val="right"/>
              <w:outlineLvl w:val="0"/>
              <w:rPr>
                <w:rFonts w:cs="Arial"/>
                <w:b/>
                <w:sz w:val="19"/>
                <w:szCs w:val="19"/>
              </w:rPr>
            </w:pPr>
          </w:p>
        </w:tc>
        <w:tc>
          <w:tcPr>
            <w:tcW w:w="642" w:type="pct"/>
            <w:tcBorders>
              <w:top w:val="single" w:sz="12" w:space="0" w:color="auto"/>
            </w:tcBorders>
            <w:vAlign w:val="bottom"/>
          </w:tcPr>
          <w:p w14:paraId="24C3AC24" w14:textId="77777777" w:rsidR="007147C5" w:rsidRPr="009702B0" w:rsidRDefault="007147C5" w:rsidP="007147C5">
            <w:pPr>
              <w:tabs>
                <w:tab w:val="right" w:pos="1202"/>
              </w:tabs>
              <w:spacing w:after="0" w:line="280" w:lineRule="exact"/>
              <w:jc w:val="right"/>
              <w:outlineLvl w:val="0"/>
              <w:rPr>
                <w:rFonts w:cs="Arial"/>
                <w:b/>
                <w:sz w:val="19"/>
                <w:szCs w:val="19"/>
              </w:rPr>
            </w:pPr>
          </w:p>
        </w:tc>
        <w:tc>
          <w:tcPr>
            <w:tcW w:w="642" w:type="pct"/>
            <w:tcBorders>
              <w:top w:val="single" w:sz="12" w:space="0" w:color="auto"/>
            </w:tcBorders>
            <w:vAlign w:val="bottom"/>
          </w:tcPr>
          <w:p w14:paraId="01AFB65A" w14:textId="77777777" w:rsidR="007147C5" w:rsidRPr="009702B0" w:rsidRDefault="007147C5" w:rsidP="007147C5">
            <w:pPr>
              <w:tabs>
                <w:tab w:val="right" w:pos="1202"/>
              </w:tabs>
              <w:spacing w:after="0" w:line="280" w:lineRule="exact"/>
              <w:jc w:val="right"/>
              <w:outlineLvl w:val="0"/>
              <w:rPr>
                <w:rFonts w:cs="Arial"/>
                <w:b/>
                <w:sz w:val="19"/>
                <w:szCs w:val="19"/>
              </w:rPr>
            </w:pPr>
          </w:p>
        </w:tc>
      </w:tr>
    </w:tbl>
    <w:p w14:paraId="2B5B930F" w14:textId="77777777" w:rsidR="009702B0" w:rsidRPr="009702B0" w:rsidRDefault="009702B0" w:rsidP="009702B0">
      <w:pPr>
        <w:tabs>
          <w:tab w:val="right" w:pos="1202"/>
        </w:tabs>
        <w:spacing w:after="0" w:line="280" w:lineRule="exact"/>
        <w:outlineLvl w:val="0"/>
        <w:rPr>
          <w:rFonts w:ascii="Arial" w:eastAsia="Times New Roman" w:hAnsi="Arial"/>
          <w:sz w:val="19"/>
          <w:szCs w:val="20"/>
        </w:rPr>
      </w:pPr>
    </w:p>
    <w:p w14:paraId="732574D2" w14:textId="77777777" w:rsidR="009702B0" w:rsidRPr="009702B0" w:rsidRDefault="009702B0" w:rsidP="009702B0">
      <w:pPr>
        <w:tabs>
          <w:tab w:val="right" w:pos="1202"/>
        </w:tabs>
        <w:spacing w:after="0" w:line="280" w:lineRule="exact"/>
        <w:outlineLvl w:val="0"/>
        <w:rPr>
          <w:rFonts w:ascii="Arial" w:eastAsia="Times New Roman" w:hAnsi="Arial"/>
          <w:sz w:val="19"/>
          <w:szCs w:val="20"/>
          <w:lang w:val="hr-HR"/>
        </w:rPr>
        <w:sectPr w:rsidR="009702B0" w:rsidRPr="009702B0" w:rsidSect="00947CB7">
          <w:footerReference w:type="first" r:id="rId84"/>
          <w:pgSz w:w="11906" w:h="16838" w:code="9"/>
          <w:pgMar w:top="1418" w:right="1418" w:bottom="595" w:left="1134" w:header="709" w:footer="709" w:gutter="0"/>
          <w:cols w:space="708"/>
          <w:titlePg/>
          <w:docGrid w:linePitch="360"/>
        </w:sectPr>
      </w:pPr>
    </w:p>
    <w:p w14:paraId="7EFF9C57" w14:textId="77777777" w:rsidR="009702B0" w:rsidRPr="009702B0" w:rsidRDefault="009702B0" w:rsidP="009702B0">
      <w:pPr>
        <w:tabs>
          <w:tab w:val="right" w:pos="1202"/>
        </w:tabs>
        <w:spacing w:after="0" w:line="240" w:lineRule="auto"/>
        <w:outlineLvl w:val="0"/>
        <w:rPr>
          <w:rFonts w:eastAsia="Times New Roman"/>
          <w:lang w:val="hr-HR"/>
        </w:rPr>
      </w:pPr>
    </w:p>
    <w:p w14:paraId="2F1D9FC8"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14:paraId="1E877DF8" w14:textId="77777777" w:rsidR="009702B0" w:rsidRPr="009702B0" w:rsidRDefault="009702B0" w:rsidP="009702B0">
      <w:pPr>
        <w:keepNext/>
        <w:spacing w:after="0" w:line="240" w:lineRule="auto"/>
        <w:jc w:val="both"/>
        <w:rPr>
          <w:rFonts w:eastAsia="Times New Roman" w:cs="Arial"/>
          <w:b/>
          <w:bCs/>
        </w:rPr>
      </w:pPr>
    </w:p>
    <w:p w14:paraId="4EF8636B"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 xml:space="preserve">16.2. </w:t>
      </w:r>
      <w:r w:rsidRPr="009702B0">
        <w:rPr>
          <w:rFonts w:eastAsia="Times New Roman" w:cs="Arial"/>
          <w:b/>
          <w:bCs/>
        </w:rPr>
        <w:tab/>
        <w:t>Credit risk (continued)</w:t>
      </w:r>
    </w:p>
    <w:p w14:paraId="2A0ACEEC" w14:textId="77777777" w:rsidR="009702B0" w:rsidRPr="009702B0" w:rsidRDefault="009702B0" w:rsidP="009702B0">
      <w:pPr>
        <w:keepNext/>
        <w:spacing w:after="0" w:line="240" w:lineRule="auto"/>
        <w:jc w:val="both"/>
        <w:rPr>
          <w:rFonts w:eastAsia="Times New Roman" w:cs="Arial"/>
          <w:b/>
          <w:bCs/>
        </w:rPr>
      </w:pPr>
    </w:p>
    <w:p w14:paraId="7BB0FF69"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Concentration of risk and maximum credit risk exposure (continued)</w:t>
      </w:r>
    </w:p>
    <w:p w14:paraId="50434A84" w14:textId="77777777" w:rsidR="009702B0" w:rsidRPr="009702B0" w:rsidRDefault="009702B0" w:rsidP="009702B0">
      <w:pPr>
        <w:keepNext/>
        <w:spacing w:after="0" w:line="240" w:lineRule="auto"/>
        <w:jc w:val="both"/>
        <w:rPr>
          <w:rFonts w:eastAsia="Times New Roman" w:cs="Arial"/>
          <w:b/>
          <w:bCs/>
        </w:rPr>
      </w:pPr>
    </w:p>
    <w:p w14:paraId="408E8F08" w14:textId="77777777" w:rsidR="009702B0" w:rsidRPr="009702B0" w:rsidRDefault="009702B0" w:rsidP="009702B0">
      <w:pPr>
        <w:tabs>
          <w:tab w:val="right" w:pos="1202"/>
        </w:tabs>
        <w:spacing w:after="0" w:line="240" w:lineRule="auto"/>
        <w:outlineLvl w:val="0"/>
        <w:rPr>
          <w:rFonts w:eastAsia="Times New Roman"/>
        </w:rPr>
      </w:pPr>
      <w:r w:rsidRPr="009702B0">
        <w:rPr>
          <w:rFonts w:eastAsia="Times New Roman"/>
        </w:rPr>
        <w:t>Concentration of assets and guarantees and commitments, according to industry, before and after the effect of mitigation through collateral received, is as follows:</w:t>
      </w:r>
    </w:p>
    <w:tbl>
      <w:tblPr>
        <w:tblpPr w:leftFromText="180" w:rightFromText="180" w:vertAnchor="text" w:horzAnchor="margin" w:tblpY="290"/>
        <w:tblOverlap w:val="never"/>
        <w:tblW w:w="4924" w:type="pct"/>
        <w:tblLayout w:type="fixed"/>
        <w:tblCellMar>
          <w:left w:w="30" w:type="dxa"/>
          <w:right w:w="30" w:type="dxa"/>
        </w:tblCellMar>
        <w:tblLook w:val="0000" w:firstRow="0" w:lastRow="0" w:firstColumn="0" w:lastColumn="0" w:noHBand="0" w:noVBand="0"/>
      </w:tblPr>
      <w:tblGrid>
        <w:gridCol w:w="4252"/>
        <w:gridCol w:w="1240"/>
        <w:gridCol w:w="1240"/>
        <w:gridCol w:w="1240"/>
        <w:gridCol w:w="1240"/>
      </w:tblGrid>
      <w:tr w:rsidR="009702B0" w:rsidRPr="009702B0" w14:paraId="6D524EAB" w14:textId="77777777" w:rsidTr="009702B0">
        <w:trPr>
          <w:cantSplit/>
          <w:trHeight w:val="863"/>
          <w:tblHeader/>
        </w:trPr>
        <w:tc>
          <w:tcPr>
            <w:tcW w:w="2308" w:type="pct"/>
            <w:vAlign w:val="bottom"/>
          </w:tcPr>
          <w:p w14:paraId="38120105" w14:textId="77777777" w:rsidR="009702B0" w:rsidRPr="009702B0" w:rsidRDefault="009702B0" w:rsidP="009702B0">
            <w:pPr>
              <w:tabs>
                <w:tab w:val="right" w:pos="1202"/>
              </w:tabs>
              <w:spacing w:after="0" w:line="240" w:lineRule="atLeast"/>
              <w:outlineLvl w:val="0"/>
              <w:rPr>
                <w:rFonts w:eastAsia="Times New Roman" w:cs="Arial"/>
                <w:b/>
                <w:sz w:val="19"/>
                <w:szCs w:val="19"/>
              </w:rPr>
            </w:pPr>
            <w:r w:rsidRPr="009702B0">
              <w:rPr>
                <w:rFonts w:eastAsia="Times New Roman" w:cs="Arial"/>
                <w:b/>
                <w:sz w:val="19"/>
                <w:szCs w:val="19"/>
              </w:rPr>
              <w:t>Bank</w:t>
            </w:r>
          </w:p>
        </w:tc>
        <w:tc>
          <w:tcPr>
            <w:tcW w:w="673" w:type="pct"/>
            <w:vAlign w:val="center"/>
          </w:tcPr>
          <w:p w14:paraId="25BDF1DD" w14:textId="77777777" w:rsidR="009702B0" w:rsidRPr="009702B0" w:rsidRDefault="009702B0" w:rsidP="009702B0">
            <w:pPr>
              <w:tabs>
                <w:tab w:val="right" w:pos="1202"/>
              </w:tabs>
              <w:spacing w:after="0" w:line="240" w:lineRule="atLeast"/>
              <w:jc w:val="right"/>
              <w:outlineLvl w:val="0"/>
              <w:rPr>
                <w:rFonts w:eastAsia="Times New Roman" w:cs="Arial"/>
                <w:b/>
                <w:sz w:val="19"/>
                <w:szCs w:val="19"/>
              </w:rPr>
            </w:pPr>
            <w:r w:rsidRPr="009702B0">
              <w:rPr>
                <w:rFonts w:ascii="Arial" w:eastAsia="Times New Roman" w:hAnsi="Arial"/>
                <w:b/>
                <w:sz w:val="19"/>
                <w:szCs w:val="20"/>
              </w:rPr>
              <w:t xml:space="preserve"> </w:t>
            </w:r>
            <w:r w:rsidRPr="009702B0">
              <w:rPr>
                <w:rFonts w:eastAsia="Times New Roman" w:cs="Arial"/>
                <w:b/>
                <w:sz w:val="19"/>
                <w:szCs w:val="19"/>
              </w:rPr>
              <w:t xml:space="preserve">Gross </w:t>
            </w:r>
          </w:p>
          <w:p w14:paraId="02F464FC" w14:textId="77777777" w:rsidR="009702B0" w:rsidRPr="009702B0" w:rsidRDefault="009702B0" w:rsidP="009702B0">
            <w:pPr>
              <w:tabs>
                <w:tab w:val="right" w:pos="1202"/>
              </w:tabs>
              <w:spacing w:after="0" w:line="240" w:lineRule="atLeast"/>
              <w:jc w:val="right"/>
              <w:outlineLvl w:val="0"/>
              <w:rPr>
                <w:rFonts w:eastAsia="Times New Roman" w:cs="Arial"/>
                <w:b/>
                <w:sz w:val="19"/>
                <w:szCs w:val="19"/>
              </w:rPr>
            </w:pPr>
            <w:r w:rsidRPr="009702B0">
              <w:rPr>
                <w:rFonts w:eastAsia="Times New Roman" w:cs="Arial"/>
                <w:b/>
                <w:sz w:val="19"/>
                <w:szCs w:val="19"/>
              </w:rPr>
              <w:t>highest exposure</w:t>
            </w:r>
          </w:p>
        </w:tc>
        <w:tc>
          <w:tcPr>
            <w:tcW w:w="673" w:type="pct"/>
            <w:vAlign w:val="center"/>
          </w:tcPr>
          <w:p w14:paraId="74D2C5C6" w14:textId="77777777" w:rsidR="009702B0" w:rsidRPr="009702B0" w:rsidRDefault="009702B0" w:rsidP="009702B0">
            <w:pPr>
              <w:tabs>
                <w:tab w:val="right" w:pos="1202"/>
              </w:tabs>
              <w:spacing w:after="0" w:line="240" w:lineRule="atLeast"/>
              <w:jc w:val="right"/>
              <w:outlineLvl w:val="0"/>
              <w:rPr>
                <w:rFonts w:eastAsia="Times New Roman" w:cs="Arial"/>
                <w:b/>
                <w:sz w:val="19"/>
                <w:szCs w:val="19"/>
              </w:rPr>
            </w:pPr>
            <w:r w:rsidRPr="009702B0">
              <w:rPr>
                <w:rFonts w:eastAsia="Times New Roman" w:cs="Arial"/>
                <w:b/>
                <w:sz w:val="19"/>
                <w:szCs w:val="19"/>
              </w:rPr>
              <w:t>Net</w:t>
            </w:r>
          </w:p>
          <w:p w14:paraId="54FA3FE8" w14:textId="77777777" w:rsidR="009702B0" w:rsidRPr="009702B0" w:rsidRDefault="009702B0" w:rsidP="009702B0">
            <w:pPr>
              <w:tabs>
                <w:tab w:val="right" w:pos="1202"/>
              </w:tabs>
              <w:spacing w:after="0" w:line="240" w:lineRule="atLeast"/>
              <w:jc w:val="right"/>
              <w:outlineLvl w:val="0"/>
              <w:rPr>
                <w:rFonts w:eastAsia="Times New Roman" w:cs="Arial"/>
                <w:b/>
                <w:sz w:val="19"/>
                <w:szCs w:val="19"/>
              </w:rPr>
            </w:pPr>
            <w:r w:rsidRPr="009702B0">
              <w:rPr>
                <w:rFonts w:eastAsia="Times New Roman" w:cs="Arial"/>
                <w:b/>
                <w:sz w:val="19"/>
                <w:szCs w:val="19"/>
              </w:rPr>
              <w:t>highest exposure</w:t>
            </w:r>
          </w:p>
        </w:tc>
        <w:tc>
          <w:tcPr>
            <w:tcW w:w="673" w:type="pct"/>
            <w:vAlign w:val="center"/>
          </w:tcPr>
          <w:p w14:paraId="1F728552" w14:textId="77777777" w:rsidR="009702B0" w:rsidRPr="009702B0" w:rsidRDefault="009702B0" w:rsidP="009702B0">
            <w:pPr>
              <w:tabs>
                <w:tab w:val="right" w:pos="1202"/>
              </w:tabs>
              <w:spacing w:after="0" w:line="240" w:lineRule="atLeast"/>
              <w:jc w:val="right"/>
              <w:outlineLvl w:val="0"/>
              <w:rPr>
                <w:rFonts w:eastAsia="Times New Roman" w:cs="Arial"/>
                <w:b/>
                <w:sz w:val="19"/>
                <w:szCs w:val="19"/>
              </w:rPr>
            </w:pPr>
            <w:r w:rsidRPr="009702B0">
              <w:rPr>
                <w:rFonts w:ascii="Arial" w:eastAsia="Times New Roman" w:hAnsi="Arial"/>
                <w:b/>
                <w:sz w:val="19"/>
                <w:szCs w:val="20"/>
              </w:rPr>
              <w:t xml:space="preserve"> </w:t>
            </w:r>
            <w:r w:rsidRPr="009702B0">
              <w:rPr>
                <w:rFonts w:eastAsia="Times New Roman" w:cs="Arial"/>
                <w:b/>
                <w:sz w:val="19"/>
                <w:szCs w:val="19"/>
              </w:rPr>
              <w:t>Gross</w:t>
            </w:r>
          </w:p>
          <w:p w14:paraId="07714CB2" w14:textId="77777777" w:rsidR="009702B0" w:rsidRPr="009702B0" w:rsidRDefault="009702B0" w:rsidP="009702B0">
            <w:pPr>
              <w:tabs>
                <w:tab w:val="right" w:pos="1202"/>
              </w:tabs>
              <w:spacing w:after="0" w:line="240" w:lineRule="atLeast"/>
              <w:jc w:val="right"/>
              <w:outlineLvl w:val="0"/>
              <w:rPr>
                <w:rFonts w:eastAsia="Times New Roman" w:cs="Arial"/>
                <w:b/>
                <w:sz w:val="19"/>
                <w:szCs w:val="19"/>
              </w:rPr>
            </w:pPr>
            <w:r w:rsidRPr="009702B0">
              <w:rPr>
                <w:rFonts w:eastAsia="Times New Roman" w:cs="Arial"/>
                <w:b/>
                <w:sz w:val="19"/>
                <w:szCs w:val="19"/>
              </w:rPr>
              <w:t xml:space="preserve"> highest exposure  </w:t>
            </w:r>
          </w:p>
        </w:tc>
        <w:tc>
          <w:tcPr>
            <w:tcW w:w="673" w:type="pct"/>
            <w:vAlign w:val="center"/>
          </w:tcPr>
          <w:p w14:paraId="2097FB18" w14:textId="77777777" w:rsidR="009702B0" w:rsidRPr="009702B0" w:rsidRDefault="009702B0" w:rsidP="009702B0">
            <w:pPr>
              <w:tabs>
                <w:tab w:val="right" w:pos="1202"/>
              </w:tabs>
              <w:spacing w:after="0" w:line="240" w:lineRule="atLeast"/>
              <w:jc w:val="right"/>
              <w:outlineLvl w:val="0"/>
              <w:rPr>
                <w:rFonts w:eastAsia="Times New Roman" w:cs="Arial"/>
                <w:b/>
                <w:sz w:val="19"/>
                <w:szCs w:val="19"/>
              </w:rPr>
            </w:pPr>
            <w:r w:rsidRPr="009702B0">
              <w:rPr>
                <w:rFonts w:eastAsia="Times New Roman" w:cs="Arial"/>
                <w:b/>
                <w:sz w:val="19"/>
                <w:szCs w:val="19"/>
              </w:rPr>
              <w:t>Net</w:t>
            </w:r>
          </w:p>
          <w:p w14:paraId="01888491" w14:textId="77777777" w:rsidR="009702B0" w:rsidRPr="009702B0" w:rsidRDefault="009702B0" w:rsidP="009702B0">
            <w:pPr>
              <w:tabs>
                <w:tab w:val="right" w:pos="1202"/>
              </w:tabs>
              <w:spacing w:after="0" w:line="240" w:lineRule="atLeast"/>
              <w:jc w:val="right"/>
              <w:outlineLvl w:val="0"/>
              <w:rPr>
                <w:rFonts w:eastAsia="Times New Roman" w:cs="Arial"/>
                <w:b/>
                <w:sz w:val="19"/>
                <w:szCs w:val="19"/>
              </w:rPr>
            </w:pPr>
            <w:r w:rsidRPr="009702B0">
              <w:rPr>
                <w:rFonts w:eastAsia="Times New Roman" w:cs="Arial"/>
                <w:b/>
                <w:sz w:val="19"/>
                <w:szCs w:val="19"/>
              </w:rPr>
              <w:t xml:space="preserve">highest exposure </w:t>
            </w:r>
          </w:p>
        </w:tc>
      </w:tr>
      <w:tr w:rsidR="00693680" w:rsidRPr="009702B0" w14:paraId="68AD8398" w14:textId="77777777" w:rsidTr="009702B0">
        <w:trPr>
          <w:cantSplit/>
          <w:trHeight w:val="253"/>
          <w:tblHeader/>
        </w:trPr>
        <w:tc>
          <w:tcPr>
            <w:tcW w:w="2308" w:type="pct"/>
          </w:tcPr>
          <w:p w14:paraId="09A0E578" w14:textId="77777777" w:rsidR="00693680" w:rsidRDefault="00693680" w:rsidP="00693680">
            <w:pPr>
              <w:spacing w:after="0" w:line="280" w:lineRule="exact"/>
              <w:ind w:left="113" w:hanging="113"/>
              <w:rPr>
                <w:rFonts w:cs="Arial"/>
                <w:sz w:val="19"/>
                <w:szCs w:val="19"/>
              </w:rPr>
            </w:pPr>
          </w:p>
          <w:p w14:paraId="7C8FE875" w14:textId="77777777" w:rsidR="00AD7E1B" w:rsidRPr="009702B0" w:rsidRDefault="00AD7E1B" w:rsidP="00693680">
            <w:pPr>
              <w:spacing w:after="0" w:line="280" w:lineRule="exact"/>
              <w:ind w:left="113" w:hanging="113"/>
              <w:rPr>
                <w:rFonts w:cs="Arial"/>
                <w:sz w:val="19"/>
                <w:szCs w:val="19"/>
              </w:rPr>
            </w:pPr>
          </w:p>
        </w:tc>
        <w:tc>
          <w:tcPr>
            <w:tcW w:w="673" w:type="pct"/>
            <w:vAlign w:val="center"/>
          </w:tcPr>
          <w:p w14:paraId="37D5D5BA" w14:textId="7DFE745B" w:rsidR="00693680" w:rsidRPr="009702B0" w:rsidRDefault="008D39D3" w:rsidP="00693680">
            <w:pPr>
              <w:tabs>
                <w:tab w:val="right" w:pos="1202"/>
              </w:tabs>
              <w:spacing w:after="0" w:line="280" w:lineRule="exact"/>
              <w:jc w:val="right"/>
              <w:outlineLvl w:val="0"/>
              <w:rPr>
                <w:rFonts w:cs="Arial"/>
                <w:b/>
                <w:sz w:val="19"/>
                <w:szCs w:val="19"/>
              </w:rPr>
            </w:pPr>
            <w:r>
              <w:rPr>
                <w:rFonts w:cs="Arial"/>
                <w:b/>
                <w:sz w:val="19"/>
                <w:szCs w:val="19"/>
              </w:rPr>
              <w:t>Sep</w:t>
            </w:r>
            <w:r w:rsidRPr="001D19EE">
              <w:rPr>
                <w:rFonts w:cs="Arial"/>
                <w:b/>
                <w:sz w:val="19"/>
                <w:szCs w:val="19"/>
              </w:rPr>
              <w:t xml:space="preserve"> </w:t>
            </w:r>
            <w:r w:rsidR="001D19EE" w:rsidRPr="001D19EE">
              <w:rPr>
                <w:rFonts w:cs="Arial"/>
                <w:b/>
                <w:sz w:val="19"/>
                <w:szCs w:val="19"/>
              </w:rPr>
              <w:t>30</w:t>
            </w:r>
            <w:r w:rsidR="00693680" w:rsidRPr="00693680">
              <w:rPr>
                <w:rFonts w:cs="Arial"/>
                <w:b/>
                <w:sz w:val="19"/>
                <w:szCs w:val="19"/>
              </w:rPr>
              <w:t>, 2017</w:t>
            </w:r>
          </w:p>
        </w:tc>
        <w:tc>
          <w:tcPr>
            <w:tcW w:w="673" w:type="pct"/>
            <w:vAlign w:val="center"/>
          </w:tcPr>
          <w:p w14:paraId="217518EA" w14:textId="25C2C191" w:rsidR="00693680" w:rsidRPr="009702B0" w:rsidRDefault="008D39D3" w:rsidP="00693680">
            <w:pPr>
              <w:tabs>
                <w:tab w:val="right" w:pos="1202"/>
              </w:tabs>
              <w:spacing w:after="0" w:line="280" w:lineRule="exact"/>
              <w:jc w:val="right"/>
              <w:outlineLvl w:val="0"/>
              <w:rPr>
                <w:rFonts w:cs="Arial"/>
                <w:b/>
                <w:sz w:val="19"/>
                <w:szCs w:val="19"/>
              </w:rPr>
            </w:pPr>
            <w:r>
              <w:rPr>
                <w:rFonts w:cs="Arial"/>
                <w:b/>
                <w:sz w:val="19"/>
                <w:szCs w:val="19"/>
              </w:rPr>
              <w:t>Sep</w:t>
            </w:r>
            <w:r w:rsidRPr="001D19EE">
              <w:rPr>
                <w:rFonts w:cs="Arial"/>
                <w:b/>
                <w:sz w:val="19"/>
                <w:szCs w:val="19"/>
              </w:rPr>
              <w:t xml:space="preserve"> </w:t>
            </w:r>
            <w:r w:rsidR="001D19EE" w:rsidRPr="001D19EE">
              <w:rPr>
                <w:rFonts w:cs="Arial"/>
                <w:b/>
                <w:sz w:val="19"/>
                <w:szCs w:val="19"/>
              </w:rPr>
              <w:t>30</w:t>
            </w:r>
            <w:r w:rsidR="00693680" w:rsidRPr="00693680">
              <w:rPr>
                <w:rFonts w:cs="Arial"/>
                <w:b/>
                <w:sz w:val="19"/>
                <w:szCs w:val="19"/>
              </w:rPr>
              <w:t>, 2017</w:t>
            </w:r>
          </w:p>
        </w:tc>
        <w:tc>
          <w:tcPr>
            <w:tcW w:w="673" w:type="pct"/>
            <w:vAlign w:val="center"/>
          </w:tcPr>
          <w:p w14:paraId="24498268" w14:textId="77777777" w:rsidR="00693680" w:rsidRPr="009702B0" w:rsidRDefault="00693680" w:rsidP="00693680">
            <w:pPr>
              <w:tabs>
                <w:tab w:val="right" w:pos="1202"/>
              </w:tabs>
              <w:spacing w:after="0" w:line="280" w:lineRule="exact"/>
              <w:jc w:val="right"/>
              <w:outlineLvl w:val="0"/>
              <w:rPr>
                <w:rFonts w:cs="Arial"/>
                <w:b/>
                <w:sz w:val="19"/>
                <w:szCs w:val="19"/>
              </w:rPr>
            </w:pPr>
            <w:r w:rsidRPr="009702B0">
              <w:rPr>
                <w:rFonts w:cs="Arial"/>
                <w:b/>
                <w:sz w:val="19"/>
                <w:szCs w:val="19"/>
              </w:rPr>
              <w:t>Dec 31, 201</w:t>
            </w:r>
            <w:r>
              <w:rPr>
                <w:rFonts w:cs="Arial"/>
                <w:b/>
                <w:sz w:val="19"/>
                <w:szCs w:val="19"/>
              </w:rPr>
              <w:t>6</w:t>
            </w:r>
          </w:p>
        </w:tc>
        <w:tc>
          <w:tcPr>
            <w:tcW w:w="673" w:type="pct"/>
            <w:vAlign w:val="center"/>
          </w:tcPr>
          <w:p w14:paraId="331C8881" w14:textId="77777777" w:rsidR="00693680" w:rsidRPr="009702B0" w:rsidRDefault="00693680" w:rsidP="00693680">
            <w:pPr>
              <w:tabs>
                <w:tab w:val="right" w:pos="1202"/>
              </w:tabs>
              <w:spacing w:after="0" w:line="280" w:lineRule="exact"/>
              <w:jc w:val="right"/>
              <w:outlineLvl w:val="0"/>
              <w:rPr>
                <w:rFonts w:cs="Arial"/>
                <w:b/>
                <w:sz w:val="19"/>
                <w:szCs w:val="19"/>
              </w:rPr>
            </w:pPr>
            <w:r w:rsidRPr="009702B0">
              <w:rPr>
                <w:rFonts w:cs="Arial"/>
                <w:b/>
                <w:sz w:val="19"/>
                <w:szCs w:val="19"/>
              </w:rPr>
              <w:t>Dec 31, 201</w:t>
            </w:r>
            <w:r>
              <w:rPr>
                <w:rFonts w:cs="Arial"/>
                <w:b/>
                <w:sz w:val="19"/>
                <w:szCs w:val="19"/>
              </w:rPr>
              <w:t>6</w:t>
            </w:r>
          </w:p>
        </w:tc>
      </w:tr>
      <w:tr w:rsidR="00EE36EF" w:rsidRPr="009702B0" w14:paraId="11119871" w14:textId="77777777" w:rsidTr="006B318F">
        <w:trPr>
          <w:cantSplit/>
          <w:trHeight w:val="253"/>
          <w:tblHeader/>
        </w:trPr>
        <w:tc>
          <w:tcPr>
            <w:tcW w:w="2308" w:type="pct"/>
            <w:vAlign w:val="bottom"/>
          </w:tcPr>
          <w:p w14:paraId="639E4A0A" w14:textId="77777777" w:rsidR="00EE36EF" w:rsidRPr="009702B0" w:rsidRDefault="00EE36EF" w:rsidP="00EE36EF">
            <w:pPr>
              <w:spacing w:after="0" w:line="280" w:lineRule="exact"/>
              <w:rPr>
                <w:rFonts w:cs="Arial"/>
                <w:bCs/>
                <w:sz w:val="19"/>
                <w:szCs w:val="19"/>
              </w:rPr>
            </w:pPr>
            <w:r w:rsidRPr="009702B0">
              <w:rPr>
                <w:rFonts w:cs="Arial"/>
                <w:bCs/>
                <w:sz w:val="19"/>
                <w:szCs w:val="19"/>
              </w:rPr>
              <w:t xml:space="preserve">Financial intermediation and insurance </w:t>
            </w:r>
          </w:p>
        </w:tc>
        <w:tc>
          <w:tcPr>
            <w:tcW w:w="673" w:type="pct"/>
            <w:tcBorders>
              <w:top w:val="nil"/>
              <w:left w:val="nil"/>
              <w:bottom w:val="nil"/>
              <w:right w:val="nil"/>
            </w:tcBorders>
            <w:shd w:val="clear" w:color="auto" w:fill="auto"/>
            <w:vAlign w:val="bottom"/>
          </w:tcPr>
          <w:p w14:paraId="4A8B4A15" w14:textId="57D29C83" w:rsidR="00EE36EF" w:rsidRPr="005444AA" w:rsidRDefault="00EE36EF" w:rsidP="00EE36EF">
            <w:pPr>
              <w:tabs>
                <w:tab w:val="right" w:pos="1202"/>
              </w:tabs>
              <w:spacing w:after="0" w:line="240" w:lineRule="auto"/>
              <w:jc w:val="right"/>
              <w:outlineLvl w:val="0"/>
              <w:rPr>
                <w:rFonts w:cs="Arial"/>
                <w:sz w:val="19"/>
                <w:szCs w:val="19"/>
              </w:rPr>
            </w:pPr>
            <w:r w:rsidRPr="009C3631">
              <w:rPr>
                <w:rFonts w:cs="Arial"/>
                <w:sz w:val="19"/>
                <w:szCs w:val="19"/>
              </w:rPr>
              <w:t>15</w:t>
            </w:r>
            <w:r>
              <w:rPr>
                <w:rFonts w:cs="Arial"/>
                <w:sz w:val="19"/>
                <w:szCs w:val="19"/>
              </w:rPr>
              <w:t>,</w:t>
            </w:r>
            <w:r w:rsidRPr="009C3631">
              <w:rPr>
                <w:rFonts w:cs="Arial"/>
                <w:sz w:val="19"/>
                <w:szCs w:val="19"/>
              </w:rPr>
              <w:t>726</w:t>
            </w:r>
            <w:r>
              <w:rPr>
                <w:rFonts w:cs="Arial"/>
                <w:sz w:val="19"/>
                <w:szCs w:val="19"/>
              </w:rPr>
              <w:t>,</w:t>
            </w:r>
            <w:r w:rsidRPr="009C3631">
              <w:rPr>
                <w:rFonts w:cs="Arial"/>
                <w:sz w:val="19"/>
                <w:szCs w:val="19"/>
              </w:rPr>
              <w:t>433</w:t>
            </w:r>
          </w:p>
        </w:tc>
        <w:tc>
          <w:tcPr>
            <w:tcW w:w="673" w:type="pct"/>
            <w:tcBorders>
              <w:top w:val="nil"/>
              <w:left w:val="nil"/>
              <w:bottom w:val="nil"/>
              <w:right w:val="nil"/>
            </w:tcBorders>
            <w:shd w:val="clear" w:color="auto" w:fill="auto"/>
            <w:vAlign w:val="bottom"/>
          </w:tcPr>
          <w:p w14:paraId="5CA5E969" w14:textId="45CB24F5" w:rsidR="00EE36EF" w:rsidRPr="005444AA" w:rsidRDefault="00EE36EF" w:rsidP="00EE36EF">
            <w:pPr>
              <w:tabs>
                <w:tab w:val="right" w:pos="1202"/>
              </w:tabs>
              <w:spacing w:after="0" w:line="240" w:lineRule="auto"/>
              <w:jc w:val="right"/>
              <w:outlineLvl w:val="0"/>
              <w:rPr>
                <w:rFonts w:cs="Arial"/>
                <w:sz w:val="19"/>
                <w:szCs w:val="19"/>
              </w:rPr>
            </w:pPr>
            <w:r>
              <w:rPr>
                <w:rFonts w:cs="Arial"/>
                <w:sz w:val="19"/>
                <w:szCs w:val="19"/>
              </w:rPr>
              <w:t>-</w:t>
            </w:r>
          </w:p>
        </w:tc>
        <w:tc>
          <w:tcPr>
            <w:tcW w:w="673" w:type="pct"/>
            <w:tcBorders>
              <w:top w:val="nil"/>
              <w:left w:val="nil"/>
              <w:bottom w:val="nil"/>
              <w:right w:val="nil"/>
            </w:tcBorders>
            <w:shd w:val="clear" w:color="auto" w:fill="auto"/>
            <w:vAlign w:val="bottom"/>
          </w:tcPr>
          <w:p w14:paraId="63F83C8E" w14:textId="77777777" w:rsidR="00EE36EF" w:rsidRPr="00166751" w:rsidRDefault="00EE36EF" w:rsidP="00EE36EF">
            <w:pPr>
              <w:tabs>
                <w:tab w:val="right" w:pos="1202"/>
              </w:tabs>
              <w:spacing w:after="0" w:line="240" w:lineRule="auto"/>
              <w:jc w:val="right"/>
              <w:outlineLvl w:val="0"/>
              <w:rPr>
                <w:rFonts w:asciiTheme="minorHAnsi" w:hAnsiTheme="minorHAnsi"/>
                <w:sz w:val="19"/>
                <w:szCs w:val="19"/>
              </w:rPr>
            </w:pPr>
            <w:r w:rsidRPr="00166751">
              <w:rPr>
                <w:rFonts w:cs="Arial"/>
                <w:sz w:val="19"/>
                <w:szCs w:val="19"/>
              </w:rPr>
              <w:t>15,352,325</w:t>
            </w:r>
          </w:p>
        </w:tc>
        <w:tc>
          <w:tcPr>
            <w:tcW w:w="673" w:type="pct"/>
            <w:tcBorders>
              <w:top w:val="nil"/>
              <w:left w:val="nil"/>
              <w:bottom w:val="nil"/>
              <w:right w:val="nil"/>
            </w:tcBorders>
            <w:shd w:val="clear" w:color="auto" w:fill="auto"/>
            <w:vAlign w:val="bottom"/>
          </w:tcPr>
          <w:p w14:paraId="45380481" w14:textId="77777777" w:rsidR="00EE36EF" w:rsidRPr="00166751" w:rsidRDefault="00EE36EF" w:rsidP="00EE36EF">
            <w:pPr>
              <w:tabs>
                <w:tab w:val="right" w:pos="1202"/>
              </w:tabs>
              <w:spacing w:after="0" w:line="240" w:lineRule="auto"/>
              <w:jc w:val="right"/>
              <w:outlineLvl w:val="0"/>
              <w:rPr>
                <w:rFonts w:asciiTheme="minorHAnsi" w:hAnsiTheme="minorHAnsi"/>
                <w:sz w:val="19"/>
                <w:szCs w:val="19"/>
              </w:rPr>
            </w:pPr>
            <w:r w:rsidRPr="00166751">
              <w:rPr>
                <w:rFonts w:cs="Arial"/>
                <w:sz w:val="19"/>
                <w:szCs w:val="19"/>
              </w:rPr>
              <w:t>-</w:t>
            </w:r>
          </w:p>
        </w:tc>
      </w:tr>
      <w:tr w:rsidR="00EE36EF" w:rsidRPr="009702B0" w14:paraId="442756AA" w14:textId="77777777" w:rsidTr="006B318F">
        <w:trPr>
          <w:cantSplit/>
          <w:trHeight w:val="253"/>
          <w:tblHeader/>
        </w:trPr>
        <w:tc>
          <w:tcPr>
            <w:tcW w:w="2308" w:type="pct"/>
            <w:vAlign w:val="bottom"/>
          </w:tcPr>
          <w:p w14:paraId="6B11D6C7" w14:textId="77777777" w:rsidR="00EE36EF" w:rsidRPr="009702B0" w:rsidRDefault="00EE36EF" w:rsidP="00EE36EF">
            <w:pPr>
              <w:spacing w:after="0" w:line="280" w:lineRule="exact"/>
              <w:rPr>
                <w:rFonts w:cs="Arial"/>
                <w:bCs/>
                <w:sz w:val="19"/>
                <w:szCs w:val="19"/>
              </w:rPr>
            </w:pPr>
            <w:r w:rsidRPr="009702B0">
              <w:rPr>
                <w:rFonts w:cs="Arial"/>
                <w:bCs/>
                <w:sz w:val="19"/>
                <w:szCs w:val="19"/>
              </w:rPr>
              <w:t xml:space="preserve">Water and electric supply and other infrastructure </w:t>
            </w:r>
          </w:p>
        </w:tc>
        <w:tc>
          <w:tcPr>
            <w:tcW w:w="673" w:type="pct"/>
            <w:tcBorders>
              <w:top w:val="nil"/>
              <w:left w:val="nil"/>
              <w:bottom w:val="nil"/>
              <w:right w:val="nil"/>
            </w:tcBorders>
            <w:shd w:val="clear" w:color="auto" w:fill="auto"/>
            <w:vAlign w:val="bottom"/>
          </w:tcPr>
          <w:p w14:paraId="2669852F" w14:textId="24C69A0F" w:rsidR="00EE36EF" w:rsidRPr="005444AA" w:rsidRDefault="00EE36EF" w:rsidP="00EE36EF">
            <w:pPr>
              <w:tabs>
                <w:tab w:val="right" w:pos="1202"/>
              </w:tabs>
              <w:spacing w:after="0" w:line="240" w:lineRule="auto"/>
              <w:jc w:val="right"/>
              <w:outlineLvl w:val="0"/>
              <w:rPr>
                <w:rFonts w:cs="Arial"/>
                <w:sz w:val="19"/>
                <w:szCs w:val="19"/>
              </w:rPr>
            </w:pPr>
            <w:r w:rsidRPr="009C3631">
              <w:rPr>
                <w:rFonts w:cs="Arial"/>
                <w:sz w:val="19"/>
                <w:szCs w:val="19"/>
              </w:rPr>
              <w:t>1</w:t>
            </w:r>
            <w:r>
              <w:rPr>
                <w:rFonts w:cs="Arial"/>
                <w:sz w:val="19"/>
                <w:szCs w:val="19"/>
              </w:rPr>
              <w:t>,</w:t>
            </w:r>
            <w:r w:rsidRPr="009C3631">
              <w:rPr>
                <w:rFonts w:cs="Arial"/>
                <w:sz w:val="19"/>
                <w:szCs w:val="19"/>
              </w:rPr>
              <w:t>238</w:t>
            </w:r>
            <w:r>
              <w:rPr>
                <w:rFonts w:cs="Arial"/>
                <w:sz w:val="19"/>
                <w:szCs w:val="19"/>
              </w:rPr>
              <w:t>,</w:t>
            </w:r>
            <w:r w:rsidRPr="009C3631">
              <w:rPr>
                <w:rFonts w:cs="Arial"/>
                <w:sz w:val="19"/>
                <w:szCs w:val="19"/>
              </w:rPr>
              <w:t>166</w:t>
            </w:r>
          </w:p>
        </w:tc>
        <w:tc>
          <w:tcPr>
            <w:tcW w:w="673" w:type="pct"/>
            <w:tcBorders>
              <w:top w:val="nil"/>
              <w:left w:val="nil"/>
              <w:bottom w:val="nil"/>
              <w:right w:val="nil"/>
            </w:tcBorders>
            <w:shd w:val="clear" w:color="auto" w:fill="auto"/>
            <w:vAlign w:val="bottom"/>
          </w:tcPr>
          <w:p w14:paraId="39271D56" w14:textId="7210FE66" w:rsidR="00EE36EF" w:rsidRPr="005444AA" w:rsidRDefault="00EE36EF" w:rsidP="00EE36EF">
            <w:pPr>
              <w:tabs>
                <w:tab w:val="right" w:pos="1202"/>
              </w:tabs>
              <w:spacing w:after="0" w:line="240" w:lineRule="auto"/>
              <w:jc w:val="right"/>
              <w:outlineLvl w:val="0"/>
              <w:rPr>
                <w:rFonts w:cs="Arial"/>
                <w:sz w:val="19"/>
                <w:szCs w:val="19"/>
              </w:rPr>
            </w:pPr>
            <w:r w:rsidRPr="009C3631">
              <w:rPr>
                <w:rFonts w:cs="Arial"/>
                <w:sz w:val="19"/>
                <w:szCs w:val="19"/>
              </w:rPr>
              <w:t>947</w:t>
            </w:r>
            <w:r>
              <w:rPr>
                <w:rFonts w:cs="Arial"/>
                <w:sz w:val="19"/>
                <w:szCs w:val="19"/>
              </w:rPr>
              <w:t>,</w:t>
            </w:r>
            <w:r w:rsidRPr="009C3631">
              <w:rPr>
                <w:rFonts w:cs="Arial"/>
                <w:sz w:val="19"/>
                <w:szCs w:val="19"/>
              </w:rPr>
              <w:t>121</w:t>
            </w:r>
          </w:p>
        </w:tc>
        <w:tc>
          <w:tcPr>
            <w:tcW w:w="673" w:type="pct"/>
            <w:tcBorders>
              <w:top w:val="nil"/>
              <w:left w:val="nil"/>
              <w:bottom w:val="nil"/>
              <w:right w:val="nil"/>
            </w:tcBorders>
            <w:shd w:val="clear" w:color="auto" w:fill="auto"/>
            <w:vAlign w:val="bottom"/>
          </w:tcPr>
          <w:p w14:paraId="2C9D4E1A" w14:textId="77777777" w:rsidR="00EE36EF" w:rsidRPr="00166751" w:rsidRDefault="00EE36EF" w:rsidP="00EE36EF">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1,322,277</w:t>
            </w:r>
          </w:p>
        </w:tc>
        <w:tc>
          <w:tcPr>
            <w:tcW w:w="673" w:type="pct"/>
            <w:tcBorders>
              <w:top w:val="nil"/>
              <w:left w:val="nil"/>
              <w:bottom w:val="nil"/>
              <w:right w:val="nil"/>
            </w:tcBorders>
            <w:shd w:val="clear" w:color="auto" w:fill="auto"/>
            <w:vAlign w:val="bottom"/>
          </w:tcPr>
          <w:p w14:paraId="29C9F777" w14:textId="77777777" w:rsidR="00EE36EF" w:rsidRPr="00166751" w:rsidRDefault="00EE36EF" w:rsidP="00EE36EF">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959,881</w:t>
            </w:r>
          </w:p>
        </w:tc>
      </w:tr>
      <w:tr w:rsidR="00EE36EF" w:rsidRPr="009702B0" w14:paraId="47369C00" w14:textId="77777777" w:rsidTr="006B318F">
        <w:trPr>
          <w:cantSplit/>
          <w:trHeight w:val="253"/>
          <w:tblHeader/>
        </w:trPr>
        <w:tc>
          <w:tcPr>
            <w:tcW w:w="2308" w:type="pct"/>
            <w:vAlign w:val="bottom"/>
          </w:tcPr>
          <w:p w14:paraId="343487B5" w14:textId="77777777" w:rsidR="00EE36EF" w:rsidRPr="009702B0" w:rsidRDefault="00EE36EF" w:rsidP="00EE36EF">
            <w:pPr>
              <w:spacing w:after="0" w:line="280" w:lineRule="exact"/>
              <w:rPr>
                <w:rFonts w:cs="Arial"/>
                <w:bCs/>
                <w:sz w:val="19"/>
                <w:szCs w:val="19"/>
              </w:rPr>
            </w:pPr>
            <w:r w:rsidRPr="009702B0">
              <w:rPr>
                <w:rFonts w:cs="Arial"/>
                <w:bCs/>
                <w:sz w:val="19"/>
                <w:szCs w:val="19"/>
              </w:rPr>
              <w:t>Tourism</w:t>
            </w:r>
          </w:p>
        </w:tc>
        <w:tc>
          <w:tcPr>
            <w:tcW w:w="673" w:type="pct"/>
            <w:tcBorders>
              <w:top w:val="nil"/>
              <w:left w:val="nil"/>
              <w:bottom w:val="nil"/>
              <w:right w:val="nil"/>
            </w:tcBorders>
            <w:shd w:val="clear" w:color="auto" w:fill="auto"/>
            <w:vAlign w:val="bottom"/>
          </w:tcPr>
          <w:p w14:paraId="5E46FD53" w14:textId="539D6D16" w:rsidR="00EE36EF" w:rsidRPr="005444AA" w:rsidRDefault="00EE36EF" w:rsidP="00EE36EF">
            <w:pPr>
              <w:tabs>
                <w:tab w:val="right" w:pos="1202"/>
              </w:tabs>
              <w:spacing w:after="0" w:line="240" w:lineRule="auto"/>
              <w:jc w:val="right"/>
              <w:outlineLvl w:val="0"/>
              <w:rPr>
                <w:rFonts w:cs="Arial"/>
                <w:sz w:val="19"/>
                <w:szCs w:val="19"/>
              </w:rPr>
            </w:pPr>
            <w:r w:rsidRPr="009C3631">
              <w:rPr>
                <w:rFonts w:cs="Arial"/>
                <w:sz w:val="19"/>
                <w:szCs w:val="19"/>
              </w:rPr>
              <w:t>3</w:t>
            </w:r>
            <w:r>
              <w:rPr>
                <w:rFonts w:cs="Arial"/>
                <w:sz w:val="19"/>
                <w:szCs w:val="19"/>
              </w:rPr>
              <w:t>,</w:t>
            </w:r>
            <w:r w:rsidRPr="009C3631">
              <w:rPr>
                <w:rFonts w:cs="Arial"/>
                <w:sz w:val="19"/>
                <w:szCs w:val="19"/>
              </w:rPr>
              <w:t>643</w:t>
            </w:r>
            <w:r>
              <w:rPr>
                <w:rFonts w:cs="Arial"/>
                <w:sz w:val="19"/>
                <w:szCs w:val="19"/>
              </w:rPr>
              <w:t>,</w:t>
            </w:r>
            <w:r w:rsidRPr="009C3631">
              <w:rPr>
                <w:rFonts w:cs="Arial"/>
                <w:sz w:val="19"/>
                <w:szCs w:val="19"/>
              </w:rPr>
              <w:t>698</w:t>
            </w:r>
          </w:p>
        </w:tc>
        <w:tc>
          <w:tcPr>
            <w:tcW w:w="673" w:type="pct"/>
            <w:tcBorders>
              <w:top w:val="nil"/>
              <w:left w:val="nil"/>
              <w:bottom w:val="nil"/>
              <w:right w:val="nil"/>
            </w:tcBorders>
            <w:shd w:val="clear" w:color="auto" w:fill="auto"/>
            <w:vAlign w:val="bottom"/>
          </w:tcPr>
          <w:p w14:paraId="6471396F" w14:textId="0D81318D" w:rsidR="00EE36EF" w:rsidRPr="005444AA" w:rsidRDefault="00EE36EF" w:rsidP="00EE36EF">
            <w:pPr>
              <w:tabs>
                <w:tab w:val="right" w:pos="1202"/>
              </w:tabs>
              <w:spacing w:after="0" w:line="240" w:lineRule="auto"/>
              <w:jc w:val="right"/>
              <w:outlineLvl w:val="0"/>
              <w:rPr>
                <w:rFonts w:cs="Arial"/>
                <w:sz w:val="19"/>
                <w:szCs w:val="19"/>
              </w:rPr>
            </w:pPr>
            <w:r w:rsidRPr="009C3631">
              <w:rPr>
                <w:rFonts w:cs="Arial"/>
                <w:sz w:val="19"/>
                <w:szCs w:val="19"/>
              </w:rPr>
              <w:t>283</w:t>
            </w:r>
            <w:r>
              <w:rPr>
                <w:rFonts w:cs="Arial"/>
                <w:sz w:val="19"/>
                <w:szCs w:val="19"/>
              </w:rPr>
              <w:t>,</w:t>
            </w:r>
            <w:r w:rsidRPr="009C3631">
              <w:rPr>
                <w:rFonts w:cs="Arial"/>
                <w:sz w:val="19"/>
                <w:szCs w:val="19"/>
              </w:rPr>
              <w:t>906</w:t>
            </w:r>
          </w:p>
        </w:tc>
        <w:tc>
          <w:tcPr>
            <w:tcW w:w="673" w:type="pct"/>
            <w:tcBorders>
              <w:top w:val="nil"/>
              <w:left w:val="nil"/>
              <w:bottom w:val="nil"/>
              <w:right w:val="nil"/>
            </w:tcBorders>
            <w:shd w:val="clear" w:color="auto" w:fill="auto"/>
            <w:vAlign w:val="bottom"/>
          </w:tcPr>
          <w:p w14:paraId="66B540D2" w14:textId="77777777" w:rsidR="00EE36EF" w:rsidRPr="00166751" w:rsidRDefault="00EE36EF" w:rsidP="00EE36EF">
            <w:pPr>
              <w:tabs>
                <w:tab w:val="right" w:pos="1202"/>
              </w:tabs>
              <w:spacing w:after="0" w:line="240" w:lineRule="auto"/>
              <w:jc w:val="right"/>
              <w:outlineLvl w:val="0"/>
              <w:rPr>
                <w:rFonts w:asciiTheme="minorHAnsi" w:hAnsiTheme="minorHAnsi"/>
                <w:sz w:val="19"/>
                <w:szCs w:val="19"/>
              </w:rPr>
            </w:pPr>
            <w:r w:rsidRPr="00166751">
              <w:rPr>
                <w:rFonts w:cs="Arial"/>
                <w:sz w:val="19"/>
                <w:szCs w:val="19"/>
              </w:rPr>
              <w:t>3,630,150</w:t>
            </w:r>
          </w:p>
        </w:tc>
        <w:tc>
          <w:tcPr>
            <w:tcW w:w="673" w:type="pct"/>
            <w:tcBorders>
              <w:top w:val="nil"/>
              <w:left w:val="nil"/>
              <w:bottom w:val="nil"/>
              <w:right w:val="nil"/>
            </w:tcBorders>
            <w:shd w:val="clear" w:color="auto" w:fill="auto"/>
            <w:vAlign w:val="bottom"/>
          </w:tcPr>
          <w:p w14:paraId="5284AEE6" w14:textId="77777777" w:rsidR="00EE36EF" w:rsidRPr="00166751" w:rsidRDefault="00EE36EF" w:rsidP="00EE36EF">
            <w:pPr>
              <w:tabs>
                <w:tab w:val="right" w:pos="1202"/>
              </w:tabs>
              <w:spacing w:after="0" w:line="240" w:lineRule="auto"/>
              <w:jc w:val="right"/>
              <w:outlineLvl w:val="0"/>
              <w:rPr>
                <w:rFonts w:asciiTheme="minorHAnsi" w:hAnsiTheme="minorHAnsi"/>
                <w:sz w:val="19"/>
                <w:szCs w:val="19"/>
              </w:rPr>
            </w:pPr>
            <w:r w:rsidRPr="00166751">
              <w:rPr>
                <w:rFonts w:cs="Arial"/>
                <w:sz w:val="19"/>
                <w:szCs w:val="19"/>
              </w:rPr>
              <w:t>363,739</w:t>
            </w:r>
          </w:p>
        </w:tc>
      </w:tr>
      <w:tr w:rsidR="00EE36EF" w:rsidRPr="009702B0" w14:paraId="67322579" w14:textId="77777777" w:rsidTr="006B318F">
        <w:trPr>
          <w:cantSplit/>
          <w:trHeight w:val="253"/>
          <w:tblHeader/>
        </w:trPr>
        <w:tc>
          <w:tcPr>
            <w:tcW w:w="2308" w:type="pct"/>
            <w:vAlign w:val="bottom"/>
          </w:tcPr>
          <w:p w14:paraId="150B7BCD" w14:textId="77777777" w:rsidR="00EE36EF" w:rsidRPr="009702B0" w:rsidRDefault="00EE36EF" w:rsidP="00EE36EF">
            <w:pPr>
              <w:spacing w:after="0" w:line="280" w:lineRule="exact"/>
              <w:rPr>
                <w:rFonts w:cs="Arial"/>
                <w:bCs/>
                <w:sz w:val="19"/>
                <w:szCs w:val="19"/>
              </w:rPr>
            </w:pPr>
            <w:r w:rsidRPr="009702B0">
              <w:rPr>
                <w:rFonts w:cs="Arial"/>
                <w:bCs/>
                <w:sz w:val="19"/>
                <w:szCs w:val="19"/>
              </w:rPr>
              <w:t>Transport, warehousing and connections</w:t>
            </w:r>
          </w:p>
        </w:tc>
        <w:tc>
          <w:tcPr>
            <w:tcW w:w="673" w:type="pct"/>
            <w:tcBorders>
              <w:top w:val="nil"/>
              <w:left w:val="nil"/>
              <w:bottom w:val="nil"/>
              <w:right w:val="nil"/>
            </w:tcBorders>
            <w:shd w:val="clear" w:color="auto" w:fill="auto"/>
            <w:vAlign w:val="bottom"/>
          </w:tcPr>
          <w:p w14:paraId="74992C1B" w14:textId="728004D4" w:rsidR="00EE36EF" w:rsidRPr="005444AA" w:rsidRDefault="00EE36EF" w:rsidP="00EE36EF">
            <w:pPr>
              <w:tabs>
                <w:tab w:val="right" w:pos="1202"/>
              </w:tabs>
              <w:spacing w:after="0" w:line="240" w:lineRule="auto"/>
              <w:jc w:val="right"/>
              <w:outlineLvl w:val="0"/>
              <w:rPr>
                <w:rFonts w:cs="Arial"/>
                <w:sz w:val="19"/>
                <w:szCs w:val="19"/>
              </w:rPr>
            </w:pPr>
            <w:r w:rsidRPr="009C3631">
              <w:rPr>
                <w:rFonts w:cs="Arial"/>
                <w:sz w:val="19"/>
                <w:szCs w:val="19"/>
              </w:rPr>
              <w:t>1</w:t>
            </w:r>
            <w:r>
              <w:rPr>
                <w:rFonts w:cs="Arial"/>
                <w:sz w:val="19"/>
                <w:szCs w:val="19"/>
              </w:rPr>
              <w:t>,</w:t>
            </w:r>
            <w:r w:rsidRPr="009C3631">
              <w:rPr>
                <w:rFonts w:cs="Arial"/>
                <w:sz w:val="19"/>
                <w:szCs w:val="19"/>
              </w:rPr>
              <w:t>875</w:t>
            </w:r>
            <w:r>
              <w:rPr>
                <w:rFonts w:cs="Arial"/>
                <w:sz w:val="19"/>
                <w:szCs w:val="19"/>
              </w:rPr>
              <w:t>,</w:t>
            </w:r>
            <w:r w:rsidRPr="009C3631">
              <w:rPr>
                <w:rFonts w:cs="Arial"/>
                <w:sz w:val="19"/>
                <w:szCs w:val="19"/>
              </w:rPr>
              <w:t>969</w:t>
            </w:r>
          </w:p>
        </w:tc>
        <w:tc>
          <w:tcPr>
            <w:tcW w:w="673" w:type="pct"/>
            <w:tcBorders>
              <w:top w:val="nil"/>
              <w:left w:val="nil"/>
              <w:bottom w:val="nil"/>
              <w:right w:val="nil"/>
            </w:tcBorders>
            <w:shd w:val="clear" w:color="auto" w:fill="auto"/>
            <w:vAlign w:val="bottom"/>
          </w:tcPr>
          <w:p w14:paraId="333DF056" w14:textId="3D013D57" w:rsidR="00EE36EF" w:rsidRPr="005444AA" w:rsidRDefault="00EE36EF" w:rsidP="00EE36EF">
            <w:pPr>
              <w:tabs>
                <w:tab w:val="right" w:pos="1202"/>
              </w:tabs>
              <w:spacing w:after="0" w:line="240" w:lineRule="auto"/>
              <w:jc w:val="right"/>
              <w:outlineLvl w:val="0"/>
              <w:rPr>
                <w:rFonts w:cs="Arial"/>
                <w:sz w:val="19"/>
                <w:szCs w:val="19"/>
              </w:rPr>
            </w:pPr>
            <w:r w:rsidRPr="009C3631">
              <w:rPr>
                <w:rFonts w:cs="Arial"/>
                <w:sz w:val="19"/>
                <w:szCs w:val="19"/>
              </w:rPr>
              <w:t>788</w:t>
            </w:r>
            <w:r>
              <w:rPr>
                <w:rFonts w:cs="Arial"/>
                <w:sz w:val="19"/>
                <w:szCs w:val="19"/>
              </w:rPr>
              <w:t>,</w:t>
            </w:r>
            <w:r w:rsidRPr="009C3631">
              <w:rPr>
                <w:rFonts w:cs="Arial"/>
                <w:sz w:val="19"/>
                <w:szCs w:val="19"/>
              </w:rPr>
              <w:t>757</w:t>
            </w:r>
          </w:p>
        </w:tc>
        <w:tc>
          <w:tcPr>
            <w:tcW w:w="673" w:type="pct"/>
            <w:tcBorders>
              <w:top w:val="nil"/>
              <w:left w:val="nil"/>
              <w:bottom w:val="nil"/>
              <w:right w:val="nil"/>
            </w:tcBorders>
            <w:shd w:val="clear" w:color="auto" w:fill="auto"/>
            <w:vAlign w:val="bottom"/>
          </w:tcPr>
          <w:p w14:paraId="6A39D5B4" w14:textId="77777777" w:rsidR="00EE36EF" w:rsidRPr="00166751" w:rsidRDefault="00EE36EF" w:rsidP="00EE36EF">
            <w:pPr>
              <w:tabs>
                <w:tab w:val="right" w:pos="1202"/>
              </w:tabs>
              <w:spacing w:after="0" w:line="240" w:lineRule="auto"/>
              <w:jc w:val="right"/>
              <w:outlineLvl w:val="0"/>
              <w:rPr>
                <w:rFonts w:asciiTheme="minorHAnsi" w:hAnsiTheme="minorHAnsi"/>
                <w:sz w:val="19"/>
                <w:szCs w:val="19"/>
              </w:rPr>
            </w:pPr>
            <w:r w:rsidRPr="00166751">
              <w:rPr>
                <w:rFonts w:cs="Arial"/>
                <w:sz w:val="19"/>
                <w:szCs w:val="19"/>
              </w:rPr>
              <w:t>1,714,322</w:t>
            </w:r>
          </w:p>
        </w:tc>
        <w:tc>
          <w:tcPr>
            <w:tcW w:w="673" w:type="pct"/>
            <w:tcBorders>
              <w:top w:val="nil"/>
              <w:left w:val="nil"/>
              <w:bottom w:val="nil"/>
              <w:right w:val="nil"/>
            </w:tcBorders>
            <w:shd w:val="clear" w:color="auto" w:fill="auto"/>
            <w:vAlign w:val="bottom"/>
          </w:tcPr>
          <w:p w14:paraId="47C838A6" w14:textId="77777777" w:rsidR="00EE36EF" w:rsidRPr="00166751" w:rsidRDefault="00EE36EF" w:rsidP="00EE36EF">
            <w:pPr>
              <w:tabs>
                <w:tab w:val="right" w:pos="1202"/>
              </w:tabs>
              <w:spacing w:after="0" w:line="240" w:lineRule="auto"/>
              <w:jc w:val="right"/>
              <w:outlineLvl w:val="0"/>
              <w:rPr>
                <w:rFonts w:asciiTheme="minorHAnsi" w:hAnsiTheme="minorHAnsi"/>
                <w:sz w:val="19"/>
                <w:szCs w:val="19"/>
              </w:rPr>
            </w:pPr>
            <w:r w:rsidRPr="00166751">
              <w:rPr>
                <w:rFonts w:cs="Arial"/>
                <w:sz w:val="19"/>
                <w:szCs w:val="19"/>
              </w:rPr>
              <w:t>835,673</w:t>
            </w:r>
          </w:p>
        </w:tc>
      </w:tr>
      <w:tr w:rsidR="00EE36EF" w:rsidRPr="009702B0" w14:paraId="629A6594" w14:textId="77777777" w:rsidTr="006B318F">
        <w:trPr>
          <w:cantSplit/>
          <w:trHeight w:val="253"/>
          <w:tblHeader/>
        </w:trPr>
        <w:tc>
          <w:tcPr>
            <w:tcW w:w="2308" w:type="pct"/>
            <w:vAlign w:val="bottom"/>
          </w:tcPr>
          <w:p w14:paraId="09D485C0" w14:textId="77777777" w:rsidR="00EE36EF" w:rsidRPr="009702B0" w:rsidDel="00FF5490" w:rsidRDefault="00EE36EF" w:rsidP="00EE36EF">
            <w:pPr>
              <w:spacing w:after="0" w:line="280" w:lineRule="exact"/>
              <w:rPr>
                <w:rFonts w:cs="Arial"/>
                <w:bCs/>
                <w:sz w:val="19"/>
                <w:szCs w:val="19"/>
              </w:rPr>
            </w:pPr>
            <w:r w:rsidRPr="009702B0">
              <w:rPr>
                <w:rFonts w:cs="Arial"/>
                <w:bCs/>
                <w:sz w:val="19"/>
                <w:szCs w:val="19"/>
              </w:rPr>
              <w:t xml:space="preserve">Shipbuilding </w:t>
            </w:r>
          </w:p>
        </w:tc>
        <w:tc>
          <w:tcPr>
            <w:tcW w:w="673" w:type="pct"/>
            <w:tcBorders>
              <w:top w:val="nil"/>
              <w:left w:val="nil"/>
              <w:bottom w:val="nil"/>
              <w:right w:val="nil"/>
            </w:tcBorders>
            <w:shd w:val="clear" w:color="auto" w:fill="auto"/>
            <w:vAlign w:val="bottom"/>
          </w:tcPr>
          <w:p w14:paraId="391BD4B7" w14:textId="18E2EC15" w:rsidR="00EE36EF" w:rsidRPr="005444AA" w:rsidRDefault="00EE36EF" w:rsidP="00EE36EF">
            <w:pPr>
              <w:tabs>
                <w:tab w:val="right" w:pos="1202"/>
              </w:tabs>
              <w:spacing w:after="0" w:line="240" w:lineRule="auto"/>
              <w:jc w:val="right"/>
              <w:outlineLvl w:val="0"/>
              <w:rPr>
                <w:rFonts w:cs="Arial"/>
                <w:sz w:val="19"/>
                <w:szCs w:val="19"/>
              </w:rPr>
            </w:pPr>
            <w:r w:rsidRPr="009C3631">
              <w:rPr>
                <w:rFonts w:cs="Arial"/>
                <w:sz w:val="19"/>
                <w:szCs w:val="19"/>
              </w:rPr>
              <w:t>2</w:t>
            </w:r>
            <w:r>
              <w:rPr>
                <w:rFonts w:cs="Arial"/>
                <w:sz w:val="19"/>
                <w:szCs w:val="19"/>
              </w:rPr>
              <w:t>,</w:t>
            </w:r>
            <w:r w:rsidRPr="009C3631">
              <w:rPr>
                <w:rFonts w:cs="Arial"/>
                <w:sz w:val="19"/>
                <w:szCs w:val="19"/>
              </w:rPr>
              <w:t>506</w:t>
            </w:r>
            <w:r>
              <w:rPr>
                <w:rFonts w:cs="Arial"/>
                <w:sz w:val="19"/>
                <w:szCs w:val="19"/>
              </w:rPr>
              <w:t>,</w:t>
            </w:r>
            <w:r w:rsidRPr="009C3631">
              <w:rPr>
                <w:rFonts w:cs="Arial"/>
                <w:sz w:val="19"/>
                <w:szCs w:val="19"/>
              </w:rPr>
              <w:t>555</w:t>
            </w:r>
          </w:p>
        </w:tc>
        <w:tc>
          <w:tcPr>
            <w:tcW w:w="673" w:type="pct"/>
            <w:tcBorders>
              <w:top w:val="nil"/>
              <w:left w:val="nil"/>
              <w:bottom w:val="nil"/>
              <w:right w:val="nil"/>
            </w:tcBorders>
            <w:shd w:val="clear" w:color="auto" w:fill="auto"/>
            <w:vAlign w:val="bottom"/>
          </w:tcPr>
          <w:p w14:paraId="7BBC52A2" w14:textId="3AE29F87" w:rsidR="00EE36EF" w:rsidRPr="005444AA" w:rsidRDefault="00EE36EF" w:rsidP="00EE36EF">
            <w:pPr>
              <w:tabs>
                <w:tab w:val="right" w:pos="1202"/>
              </w:tabs>
              <w:spacing w:after="0" w:line="240" w:lineRule="auto"/>
              <w:jc w:val="right"/>
              <w:outlineLvl w:val="0"/>
              <w:rPr>
                <w:rFonts w:cs="Arial"/>
                <w:sz w:val="19"/>
                <w:szCs w:val="19"/>
              </w:rPr>
            </w:pPr>
            <w:r w:rsidRPr="009C3631">
              <w:rPr>
                <w:rFonts w:cs="Arial"/>
                <w:sz w:val="19"/>
                <w:szCs w:val="19"/>
              </w:rPr>
              <w:t>409</w:t>
            </w:r>
            <w:r>
              <w:rPr>
                <w:rFonts w:cs="Arial"/>
                <w:sz w:val="19"/>
                <w:szCs w:val="19"/>
              </w:rPr>
              <w:t>,</w:t>
            </w:r>
            <w:r w:rsidRPr="009C3631">
              <w:rPr>
                <w:rFonts w:cs="Arial"/>
                <w:sz w:val="19"/>
                <w:szCs w:val="19"/>
              </w:rPr>
              <w:t>031</w:t>
            </w:r>
          </w:p>
        </w:tc>
        <w:tc>
          <w:tcPr>
            <w:tcW w:w="673" w:type="pct"/>
            <w:tcBorders>
              <w:top w:val="nil"/>
              <w:left w:val="nil"/>
              <w:bottom w:val="nil"/>
              <w:right w:val="nil"/>
            </w:tcBorders>
            <w:shd w:val="clear" w:color="auto" w:fill="auto"/>
            <w:vAlign w:val="bottom"/>
          </w:tcPr>
          <w:p w14:paraId="02BB0F1C" w14:textId="77777777" w:rsidR="00EE36EF" w:rsidRPr="00166751" w:rsidRDefault="00EE36EF" w:rsidP="00EE36EF">
            <w:pPr>
              <w:tabs>
                <w:tab w:val="right" w:pos="1202"/>
              </w:tabs>
              <w:spacing w:after="0" w:line="240" w:lineRule="auto"/>
              <w:jc w:val="right"/>
              <w:outlineLvl w:val="0"/>
              <w:rPr>
                <w:rFonts w:asciiTheme="minorHAnsi" w:hAnsiTheme="minorHAnsi"/>
                <w:sz w:val="19"/>
                <w:szCs w:val="19"/>
              </w:rPr>
            </w:pPr>
            <w:r w:rsidRPr="00166751">
              <w:rPr>
                <w:rFonts w:cs="Arial"/>
                <w:sz w:val="19"/>
                <w:szCs w:val="19"/>
              </w:rPr>
              <w:t>2,257,050</w:t>
            </w:r>
          </w:p>
        </w:tc>
        <w:tc>
          <w:tcPr>
            <w:tcW w:w="673" w:type="pct"/>
            <w:tcBorders>
              <w:top w:val="nil"/>
              <w:left w:val="nil"/>
              <w:bottom w:val="nil"/>
              <w:right w:val="nil"/>
            </w:tcBorders>
            <w:shd w:val="clear" w:color="auto" w:fill="auto"/>
            <w:vAlign w:val="bottom"/>
          </w:tcPr>
          <w:p w14:paraId="5D3F5B32" w14:textId="77777777" w:rsidR="00EE36EF" w:rsidRPr="00166751" w:rsidRDefault="00EE36EF" w:rsidP="00EE36EF">
            <w:pPr>
              <w:tabs>
                <w:tab w:val="right" w:pos="1202"/>
              </w:tabs>
              <w:spacing w:after="0" w:line="240" w:lineRule="auto"/>
              <w:jc w:val="right"/>
              <w:outlineLvl w:val="0"/>
              <w:rPr>
                <w:rFonts w:asciiTheme="minorHAnsi" w:hAnsiTheme="minorHAnsi"/>
                <w:sz w:val="19"/>
                <w:szCs w:val="19"/>
              </w:rPr>
            </w:pPr>
            <w:r w:rsidRPr="00166751">
              <w:rPr>
                <w:rFonts w:cs="Arial"/>
                <w:sz w:val="19"/>
                <w:szCs w:val="19"/>
              </w:rPr>
              <w:t>572,383</w:t>
            </w:r>
          </w:p>
        </w:tc>
      </w:tr>
      <w:tr w:rsidR="00EE36EF" w:rsidRPr="009702B0" w14:paraId="4034E0B0" w14:textId="77777777" w:rsidTr="006B318F">
        <w:trPr>
          <w:cantSplit/>
          <w:trHeight w:val="253"/>
          <w:tblHeader/>
        </w:trPr>
        <w:tc>
          <w:tcPr>
            <w:tcW w:w="2308" w:type="pct"/>
            <w:vAlign w:val="bottom"/>
          </w:tcPr>
          <w:p w14:paraId="5837DC7F" w14:textId="77777777" w:rsidR="00EE36EF" w:rsidRPr="009702B0" w:rsidDel="00FF5490" w:rsidRDefault="00EE36EF" w:rsidP="00EE36EF">
            <w:pPr>
              <w:spacing w:after="0" w:line="280" w:lineRule="exact"/>
              <w:rPr>
                <w:rFonts w:cs="Arial"/>
                <w:bCs/>
                <w:sz w:val="19"/>
                <w:szCs w:val="19"/>
              </w:rPr>
            </w:pPr>
            <w:r w:rsidRPr="009702B0">
              <w:rPr>
                <w:rFonts w:cs="Arial"/>
                <w:bCs/>
                <w:sz w:val="19"/>
                <w:szCs w:val="19"/>
              </w:rPr>
              <w:t xml:space="preserve">Agriculture and fishery </w:t>
            </w:r>
          </w:p>
        </w:tc>
        <w:tc>
          <w:tcPr>
            <w:tcW w:w="673" w:type="pct"/>
            <w:tcBorders>
              <w:top w:val="nil"/>
              <w:left w:val="nil"/>
              <w:bottom w:val="nil"/>
              <w:right w:val="nil"/>
            </w:tcBorders>
            <w:shd w:val="clear" w:color="auto" w:fill="auto"/>
            <w:vAlign w:val="bottom"/>
          </w:tcPr>
          <w:p w14:paraId="7212C608" w14:textId="2A46F551" w:rsidR="00EE36EF" w:rsidRPr="005444AA" w:rsidRDefault="00EE36EF" w:rsidP="00EE36EF">
            <w:pPr>
              <w:tabs>
                <w:tab w:val="right" w:pos="1202"/>
              </w:tabs>
              <w:spacing w:after="0" w:line="240" w:lineRule="auto"/>
              <w:jc w:val="right"/>
              <w:outlineLvl w:val="0"/>
              <w:rPr>
                <w:rFonts w:cs="Arial"/>
                <w:sz w:val="19"/>
                <w:szCs w:val="19"/>
              </w:rPr>
            </w:pPr>
            <w:r w:rsidRPr="009C3631">
              <w:rPr>
                <w:rFonts w:cs="Arial"/>
                <w:sz w:val="19"/>
                <w:szCs w:val="19"/>
              </w:rPr>
              <w:t>478</w:t>
            </w:r>
            <w:r>
              <w:rPr>
                <w:rFonts w:cs="Arial"/>
                <w:sz w:val="19"/>
                <w:szCs w:val="19"/>
              </w:rPr>
              <w:t>,</w:t>
            </w:r>
            <w:r w:rsidRPr="009C3631">
              <w:rPr>
                <w:rFonts w:cs="Arial"/>
                <w:sz w:val="19"/>
                <w:szCs w:val="19"/>
              </w:rPr>
              <w:t>332</w:t>
            </w:r>
          </w:p>
        </w:tc>
        <w:tc>
          <w:tcPr>
            <w:tcW w:w="673" w:type="pct"/>
            <w:tcBorders>
              <w:top w:val="nil"/>
              <w:left w:val="nil"/>
              <w:bottom w:val="nil"/>
              <w:right w:val="nil"/>
            </w:tcBorders>
            <w:shd w:val="clear" w:color="auto" w:fill="auto"/>
            <w:vAlign w:val="bottom"/>
          </w:tcPr>
          <w:p w14:paraId="55440F33" w14:textId="231E5549" w:rsidR="00EE36EF" w:rsidRPr="005444AA" w:rsidRDefault="00EE36EF" w:rsidP="00EE36EF">
            <w:pPr>
              <w:tabs>
                <w:tab w:val="right" w:pos="1202"/>
              </w:tabs>
              <w:spacing w:after="0" w:line="240" w:lineRule="auto"/>
              <w:jc w:val="right"/>
              <w:outlineLvl w:val="0"/>
              <w:rPr>
                <w:rFonts w:cs="Arial"/>
                <w:sz w:val="19"/>
                <w:szCs w:val="19"/>
              </w:rPr>
            </w:pPr>
            <w:r w:rsidRPr="009C3631">
              <w:rPr>
                <w:rFonts w:cs="Arial"/>
                <w:sz w:val="19"/>
                <w:szCs w:val="19"/>
              </w:rPr>
              <w:t>69</w:t>
            </w:r>
            <w:r>
              <w:rPr>
                <w:rFonts w:cs="Arial"/>
                <w:sz w:val="19"/>
                <w:szCs w:val="19"/>
              </w:rPr>
              <w:t>,</w:t>
            </w:r>
            <w:r w:rsidRPr="009C3631">
              <w:rPr>
                <w:rFonts w:cs="Arial"/>
                <w:sz w:val="19"/>
                <w:szCs w:val="19"/>
              </w:rPr>
              <w:t>521</w:t>
            </w:r>
          </w:p>
        </w:tc>
        <w:tc>
          <w:tcPr>
            <w:tcW w:w="673" w:type="pct"/>
            <w:tcBorders>
              <w:top w:val="nil"/>
              <w:left w:val="nil"/>
              <w:bottom w:val="nil"/>
              <w:right w:val="nil"/>
            </w:tcBorders>
            <w:shd w:val="clear" w:color="auto" w:fill="auto"/>
            <w:vAlign w:val="bottom"/>
          </w:tcPr>
          <w:p w14:paraId="2F07FFC1" w14:textId="77777777" w:rsidR="00EE36EF" w:rsidRPr="00166751" w:rsidRDefault="00EE36EF" w:rsidP="00EE36EF">
            <w:pPr>
              <w:tabs>
                <w:tab w:val="right" w:pos="1202"/>
              </w:tabs>
              <w:spacing w:after="0" w:line="240" w:lineRule="auto"/>
              <w:jc w:val="right"/>
              <w:outlineLvl w:val="0"/>
              <w:rPr>
                <w:rFonts w:asciiTheme="minorHAnsi" w:hAnsiTheme="minorHAnsi"/>
                <w:sz w:val="19"/>
                <w:szCs w:val="19"/>
              </w:rPr>
            </w:pPr>
            <w:r w:rsidRPr="00166751">
              <w:rPr>
                <w:rFonts w:cs="Arial"/>
                <w:sz w:val="19"/>
                <w:szCs w:val="19"/>
              </w:rPr>
              <w:t>515,702</w:t>
            </w:r>
          </w:p>
        </w:tc>
        <w:tc>
          <w:tcPr>
            <w:tcW w:w="673" w:type="pct"/>
            <w:tcBorders>
              <w:top w:val="nil"/>
              <w:left w:val="nil"/>
              <w:bottom w:val="nil"/>
              <w:right w:val="nil"/>
            </w:tcBorders>
            <w:shd w:val="clear" w:color="auto" w:fill="auto"/>
            <w:vAlign w:val="bottom"/>
          </w:tcPr>
          <w:p w14:paraId="60EB5BFD" w14:textId="77777777" w:rsidR="00EE36EF" w:rsidRPr="00166751" w:rsidRDefault="00EE36EF" w:rsidP="00EE36EF">
            <w:pPr>
              <w:tabs>
                <w:tab w:val="right" w:pos="1202"/>
              </w:tabs>
              <w:spacing w:after="0" w:line="240" w:lineRule="auto"/>
              <w:jc w:val="right"/>
              <w:outlineLvl w:val="0"/>
              <w:rPr>
                <w:rFonts w:asciiTheme="minorHAnsi" w:hAnsiTheme="minorHAnsi"/>
                <w:sz w:val="19"/>
                <w:szCs w:val="19"/>
              </w:rPr>
            </w:pPr>
            <w:r w:rsidRPr="00166751">
              <w:rPr>
                <w:rFonts w:cs="Arial"/>
                <w:sz w:val="19"/>
                <w:szCs w:val="19"/>
              </w:rPr>
              <w:t>68,974</w:t>
            </w:r>
          </w:p>
        </w:tc>
      </w:tr>
      <w:tr w:rsidR="00EE36EF" w:rsidRPr="009702B0" w14:paraId="470E1998" w14:textId="77777777" w:rsidTr="006B318F">
        <w:trPr>
          <w:cantSplit/>
          <w:trHeight w:val="253"/>
          <w:tblHeader/>
        </w:trPr>
        <w:tc>
          <w:tcPr>
            <w:tcW w:w="2308" w:type="pct"/>
            <w:vAlign w:val="bottom"/>
          </w:tcPr>
          <w:p w14:paraId="479C895E" w14:textId="77777777" w:rsidR="00EE36EF" w:rsidRPr="009702B0" w:rsidDel="00FF5490" w:rsidRDefault="00EE36EF" w:rsidP="00EE36EF">
            <w:pPr>
              <w:spacing w:after="0" w:line="280" w:lineRule="exact"/>
              <w:rPr>
                <w:rFonts w:cs="Arial"/>
                <w:bCs/>
                <w:sz w:val="19"/>
                <w:szCs w:val="19"/>
              </w:rPr>
            </w:pPr>
            <w:r w:rsidRPr="009702B0">
              <w:rPr>
                <w:rFonts w:cs="Arial"/>
                <w:bCs/>
                <w:sz w:val="19"/>
                <w:szCs w:val="19"/>
              </w:rPr>
              <w:t>Food industry</w:t>
            </w:r>
          </w:p>
        </w:tc>
        <w:tc>
          <w:tcPr>
            <w:tcW w:w="673" w:type="pct"/>
            <w:tcBorders>
              <w:top w:val="nil"/>
              <w:left w:val="nil"/>
              <w:bottom w:val="nil"/>
              <w:right w:val="nil"/>
            </w:tcBorders>
            <w:shd w:val="clear" w:color="auto" w:fill="auto"/>
            <w:vAlign w:val="bottom"/>
          </w:tcPr>
          <w:p w14:paraId="5B4EB549" w14:textId="40F2A3A3" w:rsidR="00EE36EF" w:rsidRPr="005444AA" w:rsidRDefault="00EE36EF" w:rsidP="00EE36EF">
            <w:pPr>
              <w:tabs>
                <w:tab w:val="right" w:pos="1202"/>
              </w:tabs>
              <w:spacing w:after="0" w:line="240" w:lineRule="auto"/>
              <w:jc w:val="right"/>
              <w:outlineLvl w:val="0"/>
              <w:rPr>
                <w:rFonts w:cs="Arial"/>
                <w:sz w:val="19"/>
                <w:szCs w:val="19"/>
              </w:rPr>
            </w:pPr>
            <w:r w:rsidRPr="009C3631">
              <w:rPr>
                <w:rFonts w:cs="Arial"/>
                <w:sz w:val="19"/>
                <w:szCs w:val="19"/>
              </w:rPr>
              <w:t>1</w:t>
            </w:r>
            <w:r>
              <w:rPr>
                <w:rFonts w:cs="Arial"/>
                <w:sz w:val="19"/>
                <w:szCs w:val="19"/>
              </w:rPr>
              <w:t>,</w:t>
            </w:r>
            <w:r w:rsidRPr="009C3631">
              <w:rPr>
                <w:rFonts w:cs="Arial"/>
                <w:sz w:val="19"/>
                <w:szCs w:val="19"/>
              </w:rPr>
              <w:t>017</w:t>
            </w:r>
            <w:r>
              <w:rPr>
                <w:rFonts w:cs="Arial"/>
                <w:sz w:val="19"/>
                <w:szCs w:val="19"/>
              </w:rPr>
              <w:t>,</w:t>
            </w:r>
            <w:r w:rsidRPr="009C3631">
              <w:rPr>
                <w:rFonts w:cs="Arial"/>
                <w:sz w:val="19"/>
                <w:szCs w:val="19"/>
              </w:rPr>
              <w:t>946</w:t>
            </w:r>
          </w:p>
        </w:tc>
        <w:tc>
          <w:tcPr>
            <w:tcW w:w="673" w:type="pct"/>
            <w:tcBorders>
              <w:top w:val="nil"/>
              <w:left w:val="nil"/>
              <w:bottom w:val="nil"/>
              <w:right w:val="nil"/>
            </w:tcBorders>
            <w:shd w:val="clear" w:color="auto" w:fill="auto"/>
            <w:vAlign w:val="bottom"/>
          </w:tcPr>
          <w:p w14:paraId="758D9F10" w14:textId="7097C48E" w:rsidR="00EE36EF" w:rsidRPr="005444AA" w:rsidRDefault="00EE36EF" w:rsidP="00EE36EF">
            <w:pPr>
              <w:tabs>
                <w:tab w:val="right" w:pos="1202"/>
              </w:tabs>
              <w:spacing w:after="0" w:line="240" w:lineRule="auto"/>
              <w:jc w:val="right"/>
              <w:outlineLvl w:val="0"/>
              <w:rPr>
                <w:rFonts w:cs="Arial"/>
                <w:sz w:val="19"/>
                <w:szCs w:val="19"/>
              </w:rPr>
            </w:pPr>
            <w:r w:rsidRPr="009C3631">
              <w:rPr>
                <w:rFonts w:cs="Arial"/>
                <w:sz w:val="19"/>
                <w:szCs w:val="19"/>
              </w:rPr>
              <w:t>181</w:t>
            </w:r>
            <w:r>
              <w:rPr>
                <w:rFonts w:cs="Arial"/>
                <w:sz w:val="19"/>
                <w:szCs w:val="19"/>
              </w:rPr>
              <w:t>,</w:t>
            </w:r>
            <w:r w:rsidRPr="009C3631">
              <w:rPr>
                <w:rFonts w:cs="Arial"/>
                <w:sz w:val="19"/>
                <w:szCs w:val="19"/>
              </w:rPr>
              <w:t>938</w:t>
            </w:r>
          </w:p>
        </w:tc>
        <w:tc>
          <w:tcPr>
            <w:tcW w:w="673" w:type="pct"/>
            <w:tcBorders>
              <w:top w:val="nil"/>
              <w:left w:val="nil"/>
              <w:bottom w:val="nil"/>
              <w:right w:val="nil"/>
            </w:tcBorders>
            <w:shd w:val="clear" w:color="auto" w:fill="auto"/>
            <w:vAlign w:val="bottom"/>
          </w:tcPr>
          <w:p w14:paraId="551C1814" w14:textId="77777777" w:rsidR="00EE36EF" w:rsidRPr="00166751" w:rsidRDefault="00EE36EF" w:rsidP="00EE36EF">
            <w:pPr>
              <w:tabs>
                <w:tab w:val="right" w:pos="1202"/>
              </w:tabs>
              <w:spacing w:after="0" w:line="240" w:lineRule="auto"/>
              <w:jc w:val="right"/>
              <w:outlineLvl w:val="0"/>
              <w:rPr>
                <w:rFonts w:asciiTheme="minorHAnsi" w:hAnsiTheme="minorHAnsi"/>
                <w:sz w:val="19"/>
                <w:szCs w:val="19"/>
              </w:rPr>
            </w:pPr>
            <w:r w:rsidRPr="00166751">
              <w:rPr>
                <w:rFonts w:cs="Arial"/>
                <w:sz w:val="19"/>
                <w:szCs w:val="19"/>
              </w:rPr>
              <w:t>1,159,491</w:t>
            </w:r>
          </w:p>
        </w:tc>
        <w:tc>
          <w:tcPr>
            <w:tcW w:w="673" w:type="pct"/>
            <w:tcBorders>
              <w:top w:val="nil"/>
              <w:left w:val="nil"/>
              <w:bottom w:val="nil"/>
              <w:right w:val="nil"/>
            </w:tcBorders>
            <w:shd w:val="clear" w:color="auto" w:fill="auto"/>
            <w:vAlign w:val="bottom"/>
          </w:tcPr>
          <w:p w14:paraId="31D4AD6E" w14:textId="77777777" w:rsidR="00EE36EF" w:rsidRPr="00166751" w:rsidRDefault="00EE36EF" w:rsidP="00EE36EF">
            <w:pPr>
              <w:tabs>
                <w:tab w:val="right" w:pos="1202"/>
              </w:tabs>
              <w:spacing w:after="0" w:line="240" w:lineRule="auto"/>
              <w:jc w:val="right"/>
              <w:outlineLvl w:val="0"/>
              <w:rPr>
                <w:rFonts w:asciiTheme="minorHAnsi" w:hAnsiTheme="minorHAnsi"/>
                <w:sz w:val="19"/>
                <w:szCs w:val="19"/>
              </w:rPr>
            </w:pPr>
            <w:r w:rsidRPr="00166751">
              <w:rPr>
                <w:rFonts w:cs="Arial"/>
                <w:sz w:val="19"/>
                <w:szCs w:val="19"/>
              </w:rPr>
              <w:t>205,577</w:t>
            </w:r>
          </w:p>
        </w:tc>
      </w:tr>
      <w:tr w:rsidR="00EE36EF" w:rsidRPr="009702B0" w14:paraId="7D3DBB22" w14:textId="77777777" w:rsidTr="006B318F">
        <w:trPr>
          <w:cantSplit/>
          <w:trHeight w:val="253"/>
          <w:tblHeader/>
        </w:trPr>
        <w:tc>
          <w:tcPr>
            <w:tcW w:w="2308" w:type="pct"/>
            <w:vAlign w:val="bottom"/>
          </w:tcPr>
          <w:p w14:paraId="02F8C4BF" w14:textId="77777777" w:rsidR="00EE36EF" w:rsidRPr="009702B0" w:rsidDel="00FF5490" w:rsidRDefault="00EE36EF" w:rsidP="00EE36EF">
            <w:pPr>
              <w:spacing w:after="0" w:line="280" w:lineRule="exact"/>
              <w:rPr>
                <w:rFonts w:cs="Arial"/>
                <w:bCs/>
                <w:sz w:val="19"/>
                <w:szCs w:val="19"/>
              </w:rPr>
            </w:pPr>
            <w:r w:rsidRPr="009702B0">
              <w:rPr>
                <w:rFonts w:cs="Arial"/>
                <w:sz w:val="19"/>
                <w:szCs w:val="19"/>
              </w:rPr>
              <w:t xml:space="preserve">Construction industry </w:t>
            </w:r>
          </w:p>
        </w:tc>
        <w:tc>
          <w:tcPr>
            <w:tcW w:w="673" w:type="pct"/>
            <w:tcBorders>
              <w:top w:val="nil"/>
              <w:left w:val="nil"/>
              <w:bottom w:val="nil"/>
              <w:right w:val="nil"/>
            </w:tcBorders>
            <w:shd w:val="clear" w:color="auto" w:fill="auto"/>
            <w:vAlign w:val="bottom"/>
          </w:tcPr>
          <w:p w14:paraId="1CA095C7" w14:textId="239F67DE" w:rsidR="00EE36EF" w:rsidRPr="005444AA" w:rsidRDefault="00EE36EF" w:rsidP="00EE36EF">
            <w:pPr>
              <w:tabs>
                <w:tab w:val="right" w:pos="1202"/>
              </w:tabs>
              <w:spacing w:after="0" w:line="240" w:lineRule="auto"/>
              <w:jc w:val="right"/>
              <w:outlineLvl w:val="0"/>
              <w:rPr>
                <w:rFonts w:cs="Arial"/>
                <w:sz w:val="19"/>
                <w:szCs w:val="19"/>
              </w:rPr>
            </w:pPr>
            <w:r w:rsidRPr="009C3631">
              <w:rPr>
                <w:rFonts w:cs="Arial"/>
                <w:sz w:val="19"/>
                <w:szCs w:val="19"/>
              </w:rPr>
              <w:t>1</w:t>
            </w:r>
            <w:r>
              <w:rPr>
                <w:rFonts w:cs="Arial"/>
                <w:sz w:val="19"/>
                <w:szCs w:val="19"/>
              </w:rPr>
              <w:t>,</w:t>
            </w:r>
            <w:r w:rsidRPr="009C3631">
              <w:rPr>
                <w:rFonts w:cs="Arial"/>
                <w:sz w:val="19"/>
                <w:szCs w:val="19"/>
              </w:rPr>
              <w:t>129</w:t>
            </w:r>
            <w:r>
              <w:rPr>
                <w:rFonts w:cs="Arial"/>
                <w:sz w:val="19"/>
                <w:szCs w:val="19"/>
              </w:rPr>
              <w:t>,</w:t>
            </w:r>
            <w:r w:rsidRPr="009C3631">
              <w:rPr>
                <w:rFonts w:cs="Arial"/>
                <w:sz w:val="19"/>
                <w:szCs w:val="19"/>
              </w:rPr>
              <w:t>939</w:t>
            </w:r>
          </w:p>
        </w:tc>
        <w:tc>
          <w:tcPr>
            <w:tcW w:w="673" w:type="pct"/>
            <w:tcBorders>
              <w:top w:val="nil"/>
              <w:left w:val="nil"/>
              <w:bottom w:val="nil"/>
              <w:right w:val="nil"/>
            </w:tcBorders>
            <w:shd w:val="clear" w:color="auto" w:fill="auto"/>
            <w:vAlign w:val="bottom"/>
          </w:tcPr>
          <w:p w14:paraId="579EA439" w14:textId="180B45A5" w:rsidR="00EE36EF" w:rsidRPr="005444AA" w:rsidRDefault="00EE36EF" w:rsidP="00EE36EF">
            <w:pPr>
              <w:tabs>
                <w:tab w:val="right" w:pos="1202"/>
              </w:tabs>
              <w:spacing w:after="0" w:line="240" w:lineRule="auto"/>
              <w:jc w:val="right"/>
              <w:outlineLvl w:val="0"/>
              <w:rPr>
                <w:rFonts w:cs="Arial"/>
                <w:sz w:val="19"/>
                <w:szCs w:val="19"/>
              </w:rPr>
            </w:pPr>
            <w:r w:rsidRPr="009C3631">
              <w:rPr>
                <w:rFonts w:cs="Arial"/>
                <w:sz w:val="19"/>
                <w:szCs w:val="19"/>
              </w:rPr>
              <w:t>24</w:t>
            </w:r>
            <w:r>
              <w:rPr>
                <w:rFonts w:cs="Arial"/>
                <w:sz w:val="19"/>
                <w:szCs w:val="19"/>
              </w:rPr>
              <w:t>,</w:t>
            </w:r>
            <w:r w:rsidRPr="009C3631">
              <w:rPr>
                <w:rFonts w:cs="Arial"/>
                <w:sz w:val="19"/>
                <w:szCs w:val="19"/>
              </w:rPr>
              <w:t>265</w:t>
            </w:r>
          </w:p>
        </w:tc>
        <w:tc>
          <w:tcPr>
            <w:tcW w:w="673" w:type="pct"/>
            <w:tcBorders>
              <w:top w:val="nil"/>
              <w:left w:val="nil"/>
              <w:bottom w:val="nil"/>
              <w:right w:val="nil"/>
            </w:tcBorders>
            <w:shd w:val="clear" w:color="auto" w:fill="auto"/>
            <w:vAlign w:val="bottom"/>
          </w:tcPr>
          <w:p w14:paraId="7C0F00A3" w14:textId="77777777" w:rsidR="00EE36EF" w:rsidRPr="00166751" w:rsidRDefault="00EE36EF" w:rsidP="00EE36EF">
            <w:pPr>
              <w:tabs>
                <w:tab w:val="right" w:pos="1202"/>
              </w:tabs>
              <w:spacing w:after="0" w:line="240" w:lineRule="auto"/>
              <w:jc w:val="right"/>
              <w:outlineLvl w:val="0"/>
              <w:rPr>
                <w:rFonts w:asciiTheme="minorHAnsi" w:hAnsiTheme="minorHAnsi"/>
                <w:sz w:val="19"/>
                <w:szCs w:val="19"/>
              </w:rPr>
            </w:pPr>
            <w:r w:rsidRPr="00166751">
              <w:rPr>
                <w:rFonts w:cs="Arial"/>
                <w:sz w:val="19"/>
                <w:szCs w:val="19"/>
              </w:rPr>
              <w:t>1,225,813</w:t>
            </w:r>
          </w:p>
        </w:tc>
        <w:tc>
          <w:tcPr>
            <w:tcW w:w="673" w:type="pct"/>
            <w:tcBorders>
              <w:top w:val="nil"/>
              <w:left w:val="nil"/>
              <w:bottom w:val="nil"/>
              <w:right w:val="nil"/>
            </w:tcBorders>
            <w:shd w:val="clear" w:color="auto" w:fill="auto"/>
            <w:vAlign w:val="bottom"/>
          </w:tcPr>
          <w:p w14:paraId="66985690" w14:textId="77777777" w:rsidR="00EE36EF" w:rsidRPr="00166751" w:rsidRDefault="00EE36EF" w:rsidP="00EE36EF">
            <w:pPr>
              <w:tabs>
                <w:tab w:val="right" w:pos="1202"/>
              </w:tabs>
              <w:spacing w:after="0" w:line="240" w:lineRule="auto"/>
              <w:jc w:val="right"/>
              <w:outlineLvl w:val="0"/>
              <w:rPr>
                <w:rFonts w:asciiTheme="minorHAnsi" w:hAnsiTheme="minorHAnsi"/>
                <w:sz w:val="19"/>
                <w:szCs w:val="19"/>
              </w:rPr>
            </w:pPr>
            <w:r w:rsidRPr="00166751">
              <w:rPr>
                <w:rFonts w:cs="Arial"/>
                <w:sz w:val="19"/>
                <w:szCs w:val="19"/>
              </w:rPr>
              <w:t>53,826</w:t>
            </w:r>
          </w:p>
        </w:tc>
      </w:tr>
      <w:tr w:rsidR="00EE36EF" w:rsidRPr="009702B0" w14:paraId="3C7355AF" w14:textId="77777777" w:rsidTr="006B318F">
        <w:trPr>
          <w:cantSplit/>
          <w:trHeight w:val="253"/>
          <w:tblHeader/>
        </w:trPr>
        <w:tc>
          <w:tcPr>
            <w:tcW w:w="2308" w:type="pct"/>
            <w:vAlign w:val="bottom"/>
          </w:tcPr>
          <w:p w14:paraId="44410BFA" w14:textId="77777777" w:rsidR="00EE36EF" w:rsidRPr="009702B0" w:rsidDel="00FF5490" w:rsidRDefault="00EE36EF" w:rsidP="00EE36EF">
            <w:pPr>
              <w:spacing w:after="0" w:line="280" w:lineRule="exact"/>
              <w:rPr>
                <w:rFonts w:cs="Arial"/>
                <w:bCs/>
                <w:sz w:val="19"/>
                <w:szCs w:val="19"/>
              </w:rPr>
            </w:pPr>
            <w:r w:rsidRPr="009702B0">
              <w:rPr>
                <w:rFonts w:cs="Arial"/>
                <w:sz w:val="19"/>
                <w:szCs w:val="19"/>
              </w:rPr>
              <w:t>Other industry</w:t>
            </w:r>
          </w:p>
        </w:tc>
        <w:tc>
          <w:tcPr>
            <w:tcW w:w="673" w:type="pct"/>
            <w:tcBorders>
              <w:top w:val="nil"/>
              <w:left w:val="nil"/>
              <w:bottom w:val="nil"/>
              <w:right w:val="nil"/>
            </w:tcBorders>
            <w:shd w:val="clear" w:color="auto" w:fill="auto"/>
            <w:vAlign w:val="bottom"/>
          </w:tcPr>
          <w:p w14:paraId="0E753CC8" w14:textId="6BB6080B" w:rsidR="00EE36EF" w:rsidRPr="005444AA" w:rsidRDefault="00EE36EF" w:rsidP="00EE36EF">
            <w:pPr>
              <w:tabs>
                <w:tab w:val="right" w:pos="1202"/>
              </w:tabs>
              <w:spacing w:after="0" w:line="240" w:lineRule="auto"/>
              <w:jc w:val="right"/>
              <w:outlineLvl w:val="0"/>
              <w:rPr>
                <w:rFonts w:cs="Arial"/>
                <w:sz w:val="19"/>
                <w:szCs w:val="19"/>
              </w:rPr>
            </w:pPr>
            <w:r w:rsidRPr="009C3631">
              <w:rPr>
                <w:rFonts w:cs="Arial"/>
                <w:sz w:val="19"/>
                <w:szCs w:val="19"/>
              </w:rPr>
              <w:t>491</w:t>
            </w:r>
            <w:r>
              <w:rPr>
                <w:rFonts w:cs="Arial"/>
                <w:sz w:val="19"/>
                <w:szCs w:val="19"/>
              </w:rPr>
              <w:t>,</w:t>
            </w:r>
            <w:r w:rsidRPr="009C3631">
              <w:rPr>
                <w:rFonts w:cs="Arial"/>
                <w:sz w:val="19"/>
                <w:szCs w:val="19"/>
              </w:rPr>
              <w:t>155</w:t>
            </w:r>
          </w:p>
        </w:tc>
        <w:tc>
          <w:tcPr>
            <w:tcW w:w="673" w:type="pct"/>
            <w:tcBorders>
              <w:top w:val="nil"/>
              <w:left w:val="nil"/>
              <w:bottom w:val="nil"/>
              <w:right w:val="nil"/>
            </w:tcBorders>
            <w:shd w:val="clear" w:color="auto" w:fill="auto"/>
            <w:vAlign w:val="bottom"/>
          </w:tcPr>
          <w:p w14:paraId="42A978A8" w14:textId="5339D762" w:rsidR="00EE36EF" w:rsidRPr="005444AA" w:rsidRDefault="00EE36EF" w:rsidP="00EE36EF">
            <w:pPr>
              <w:tabs>
                <w:tab w:val="right" w:pos="1202"/>
              </w:tabs>
              <w:spacing w:after="0" w:line="240" w:lineRule="auto"/>
              <w:jc w:val="right"/>
              <w:outlineLvl w:val="0"/>
              <w:rPr>
                <w:rFonts w:cs="Arial"/>
                <w:sz w:val="19"/>
                <w:szCs w:val="19"/>
              </w:rPr>
            </w:pPr>
            <w:r w:rsidRPr="009C3631">
              <w:rPr>
                <w:rFonts w:cs="Arial"/>
                <w:sz w:val="19"/>
                <w:szCs w:val="19"/>
              </w:rPr>
              <w:t>149</w:t>
            </w:r>
            <w:r>
              <w:rPr>
                <w:rFonts w:cs="Arial"/>
                <w:sz w:val="19"/>
                <w:szCs w:val="19"/>
              </w:rPr>
              <w:t>,</w:t>
            </w:r>
            <w:r w:rsidRPr="009C3631">
              <w:rPr>
                <w:rFonts w:cs="Arial"/>
                <w:sz w:val="19"/>
                <w:szCs w:val="19"/>
              </w:rPr>
              <w:t>591</w:t>
            </w:r>
          </w:p>
        </w:tc>
        <w:tc>
          <w:tcPr>
            <w:tcW w:w="673" w:type="pct"/>
            <w:tcBorders>
              <w:top w:val="nil"/>
              <w:left w:val="nil"/>
              <w:bottom w:val="nil"/>
              <w:right w:val="nil"/>
            </w:tcBorders>
            <w:shd w:val="clear" w:color="auto" w:fill="auto"/>
            <w:vAlign w:val="bottom"/>
          </w:tcPr>
          <w:p w14:paraId="7A86A11D" w14:textId="77777777" w:rsidR="00EE36EF" w:rsidRPr="00166751" w:rsidRDefault="00EE36EF" w:rsidP="00EE36EF">
            <w:pPr>
              <w:tabs>
                <w:tab w:val="right" w:pos="1202"/>
              </w:tabs>
              <w:spacing w:after="0" w:line="240" w:lineRule="auto"/>
              <w:jc w:val="right"/>
              <w:outlineLvl w:val="0"/>
              <w:rPr>
                <w:rFonts w:asciiTheme="minorHAnsi" w:hAnsiTheme="minorHAnsi"/>
                <w:sz w:val="19"/>
                <w:szCs w:val="19"/>
              </w:rPr>
            </w:pPr>
            <w:r w:rsidRPr="00166751">
              <w:rPr>
                <w:rFonts w:cs="Arial"/>
                <w:sz w:val="19"/>
                <w:szCs w:val="19"/>
              </w:rPr>
              <w:t>527,143</w:t>
            </w:r>
          </w:p>
        </w:tc>
        <w:tc>
          <w:tcPr>
            <w:tcW w:w="673" w:type="pct"/>
            <w:tcBorders>
              <w:top w:val="nil"/>
              <w:left w:val="nil"/>
              <w:bottom w:val="nil"/>
              <w:right w:val="nil"/>
            </w:tcBorders>
            <w:shd w:val="clear" w:color="auto" w:fill="auto"/>
            <w:vAlign w:val="bottom"/>
          </w:tcPr>
          <w:p w14:paraId="19DFDECE" w14:textId="77777777" w:rsidR="00EE36EF" w:rsidRPr="00166751" w:rsidRDefault="00EE36EF" w:rsidP="00EE36EF">
            <w:pPr>
              <w:tabs>
                <w:tab w:val="right" w:pos="1202"/>
              </w:tabs>
              <w:spacing w:after="0" w:line="240" w:lineRule="auto"/>
              <w:jc w:val="right"/>
              <w:outlineLvl w:val="0"/>
              <w:rPr>
                <w:rFonts w:asciiTheme="minorHAnsi" w:hAnsiTheme="minorHAnsi"/>
                <w:sz w:val="19"/>
                <w:szCs w:val="19"/>
              </w:rPr>
            </w:pPr>
            <w:r w:rsidRPr="00166751">
              <w:rPr>
                <w:rFonts w:cs="Arial"/>
                <w:sz w:val="19"/>
                <w:szCs w:val="19"/>
              </w:rPr>
              <w:t>138,641</w:t>
            </w:r>
          </w:p>
        </w:tc>
      </w:tr>
      <w:tr w:rsidR="00EE36EF" w:rsidRPr="009702B0" w14:paraId="2A2AC49B" w14:textId="77777777" w:rsidTr="006B318F">
        <w:trPr>
          <w:cantSplit/>
          <w:trHeight w:val="253"/>
          <w:tblHeader/>
        </w:trPr>
        <w:tc>
          <w:tcPr>
            <w:tcW w:w="2308" w:type="pct"/>
            <w:vAlign w:val="bottom"/>
          </w:tcPr>
          <w:p w14:paraId="2FAAF40A" w14:textId="77777777" w:rsidR="00EE36EF" w:rsidRPr="009702B0" w:rsidDel="00FF5490" w:rsidRDefault="00EE36EF" w:rsidP="00EE36EF">
            <w:pPr>
              <w:spacing w:after="0" w:line="280" w:lineRule="exact"/>
              <w:rPr>
                <w:rFonts w:cs="Arial"/>
                <w:bCs/>
                <w:sz w:val="19"/>
                <w:szCs w:val="19"/>
              </w:rPr>
            </w:pPr>
            <w:r w:rsidRPr="009702B0">
              <w:rPr>
                <w:rFonts w:cs="Arial"/>
                <w:bCs/>
                <w:sz w:val="19"/>
                <w:szCs w:val="19"/>
              </w:rPr>
              <w:t xml:space="preserve">Public administration </w:t>
            </w:r>
          </w:p>
        </w:tc>
        <w:tc>
          <w:tcPr>
            <w:tcW w:w="673" w:type="pct"/>
            <w:tcBorders>
              <w:top w:val="nil"/>
              <w:left w:val="nil"/>
              <w:bottom w:val="nil"/>
              <w:right w:val="nil"/>
            </w:tcBorders>
            <w:shd w:val="clear" w:color="auto" w:fill="auto"/>
            <w:vAlign w:val="bottom"/>
          </w:tcPr>
          <w:p w14:paraId="4C60F8D3" w14:textId="4E089796" w:rsidR="00EE36EF" w:rsidRPr="005444AA" w:rsidRDefault="00EE36EF" w:rsidP="00EE36EF">
            <w:pPr>
              <w:tabs>
                <w:tab w:val="right" w:pos="1202"/>
              </w:tabs>
              <w:spacing w:after="0" w:line="240" w:lineRule="auto"/>
              <w:jc w:val="right"/>
              <w:outlineLvl w:val="0"/>
              <w:rPr>
                <w:rFonts w:cs="Arial"/>
                <w:sz w:val="19"/>
                <w:szCs w:val="19"/>
              </w:rPr>
            </w:pPr>
            <w:r w:rsidRPr="009C3631">
              <w:rPr>
                <w:rFonts w:cs="Arial"/>
                <w:sz w:val="19"/>
                <w:szCs w:val="19"/>
              </w:rPr>
              <w:t>2</w:t>
            </w:r>
            <w:r>
              <w:rPr>
                <w:rFonts w:cs="Arial"/>
                <w:sz w:val="19"/>
                <w:szCs w:val="19"/>
              </w:rPr>
              <w:t>,</w:t>
            </w:r>
            <w:r w:rsidRPr="009C3631">
              <w:rPr>
                <w:rFonts w:cs="Arial"/>
                <w:sz w:val="19"/>
                <w:szCs w:val="19"/>
              </w:rPr>
              <w:t>398</w:t>
            </w:r>
            <w:r>
              <w:rPr>
                <w:rFonts w:cs="Arial"/>
                <w:sz w:val="19"/>
                <w:szCs w:val="19"/>
              </w:rPr>
              <w:t>,</w:t>
            </w:r>
            <w:r w:rsidRPr="009C3631">
              <w:rPr>
                <w:rFonts w:cs="Arial"/>
                <w:sz w:val="19"/>
                <w:szCs w:val="19"/>
              </w:rPr>
              <w:t>470</w:t>
            </w:r>
          </w:p>
        </w:tc>
        <w:tc>
          <w:tcPr>
            <w:tcW w:w="673" w:type="pct"/>
            <w:tcBorders>
              <w:top w:val="nil"/>
              <w:left w:val="nil"/>
              <w:bottom w:val="nil"/>
              <w:right w:val="nil"/>
            </w:tcBorders>
            <w:shd w:val="clear" w:color="auto" w:fill="auto"/>
            <w:vAlign w:val="bottom"/>
          </w:tcPr>
          <w:p w14:paraId="3F36A4A6" w14:textId="7BEC646C" w:rsidR="00EE36EF" w:rsidRPr="005444AA" w:rsidRDefault="00EE36EF" w:rsidP="00EE36EF">
            <w:pPr>
              <w:tabs>
                <w:tab w:val="right" w:pos="1202"/>
              </w:tabs>
              <w:spacing w:after="0" w:line="240" w:lineRule="auto"/>
              <w:jc w:val="right"/>
              <w:outlineLvl w:val="0"/>
              <w:rPr>
                <w:rFonts w:cs="Arial"/>
                <w:sz w:val="19"/>
                <w:szCs w:val="19"/>
              </w:rPr>
            </w:pPr>
            <w:r w:rsidRPr="009C3631">
              <w:rPr>
                <w:rFonts w:cs="Arial"/>
                <w:sz w:val="19"/>
                <w:szCs w:val="19"/>
              </w:rPr>
              <w:t>2</w:t>
            </w:r>
            <w:r>
              <w:rPr>
                <w:rFonts w:cs="Arial"/>
                <w:sz w:val="19"/>
                <w:szCs w:val="19"/>
              </w:rPr>
              <w:t>,</w:t>
            </w:r>
            <w:r w:rsidRPr="009C3631">
              <w:rPr>
                <w:rFonts w:cs="Arial"/>
                <w:sz w:val="19"/>
                <w:szCs w:val="19"/>
              </w:rPr>
              <w:t>398</w:t>
            </w:r>
            <w:r>
              <w:rPr>
                <w:rFonts w:cs="Arial"/>
                <w:sz w:val="19"/>
                <w:szCs w:val="19"/>
              </w:rPr>
              <w:t>,</w:t>
            </w:r>
            <w:r w:rsidRPr="009C3631">
              <w:rPr>
                <w:rFonts w:cs="Arial"/>
                <w:sz w:val="19"/>
                <w:szCs w:val="19"/>
              </w:rPr>
              <w:t>470</w:t>
            </w:r>
          </w:p>
        </w:tc>
        <w:tc>
          <w:tcPr>
            <w:tcW w:w="673" w:type="pct"/>
            <w:tcBorders>
              <w:top w:val="nil"/>
              <w:left w:val="nil"/>
              <w:bottom w:val="nil"/>
              <w:right w:val="nil"/>
            </w:tcBorders>
            <w:shd w:val="clear" w:color="auto" w:fill="auto"/>
            <w:vAlign w:val="bottom"/>
          </w:tcPr>
          <w:p w14:paraId="2E5740A8" w14:textId="77777777" w:rsidR="00EE36EF" w:rsidRPr="00166751" w:rsidRDefault="00EE36EF" w:rsidP="00EE36EF">
            <w:pPr>
              <w:tabs>
                <w:tab w:val="right" w:pos="1202"/>
              </w:tabs>
              <w:spacing w:after="0" w:line="240" w:lineRule="auto"/>
              <w:jc w:val="right"/>
              <w:outlineLvl w:val="0"/>
              <w:rPr>
                <w:rFonts w:asciiTheme="minorHAnsi" w:hAnsiTheme="minorHAnsi"/>
                <w:sz w:val="19"/>
                <w:szCs w:val="19"/>
              </w:rPr>
            </w:pPr>
            <w:r w:rsidRPr="00166751">
              <w:rPr>
                <w:rFonts w:cs="Arial"/>
                <w:sz w:val="19"/>
                <w:szCs w:val="19"/>
              </w:rPr>
              <w:t>2,383,635</w:t>
            </w:r>
          </w:p>
        </w:tc>
        <w:tc>
          <w:tcPr>
            <w:tcW w:w="673" w:type="pct"/>
            <w:tcBorders>
              <w:top w:val="nil"/>
              <w:left w:val="nil"/>
              <w:bottom w:val="nil"/>
              <w:right w:val="nil"/>
            </w:tcBorders>
            <w:shd w:val="clear" w:color="auto" w:fill="auto"/>
            <w:vAlign w:val="bottom"/>
          </w:tcPr>
          <w:p w14:paraId="64584A64" w14:textId="77777777" w:rsidR="00EE36EF" w:rsidRPr="00166751" w:rsidRDefault="00EE36EF" w:rsidP="00EE36EF">
            <w:pPr>
              <w:tabs>
                <w:tab w:val="right" w:pos="1202"/>
              </w:tabs>
              <w:spacing w:after="0" w:line="240" w:lineRule="auto"/>
              <w:jc w:val="right"/>
              <w:outlineLvl w:val="0"/>
              <w:rPr>
                <w:rFonts w:asciiTheme="minorHAnsi" w:hAnsiTheme="minorHAnsi"/>
                <w:sz w:val="19"/>
                <w:szCs w:val="19"/>
              </w:rPr>
            </w:pPr>
            <w:r w:rsidRPr="00166751">
              <w:rPr>
                <w:rFonts w:cs="Arial"/>
                <w:sz w:val="19"/>
                <w:szCs w:val="19"/>
              </w:rPr>
              <w:t>2,383,635</w:t>
            </w:r>
          </w:p>
        </w:tc>
      </w:tr>
      <w:tr w:rsidR="00EE36EF" w:rsidRPr="009702B0" w14:paraId="41706DF5" w14:textId="77777777" w:rsidTr="006B318F">
        <w:trPr>
          <w:cantSplit/>
          <w:trHeight w:val="253"/>
          <w:tblHeader/>
        </w:trPr>
        <w:tc>
          <w:tcPr>
            <w:tcW w:w="2308" w:type="pct"/>
            <w:vAlign w:val="bottom"/>
          </w:tcPr>
          <w:p w14:paraId="45C545D3" w14:textId="77777777" w:rsidR="00EE36EF" w:rsidRPr="009702B0" w:rsidDel="00FF5490" w:rsidRDefault="00EE36EF" w:rsidP="00EE36EF">
            <w:pPr>
              <w:spacing w:after="0" w:line="280" w:lineRule="exact"/>
              <w:rPr>
                <w:rFonts w:cs="Arial"/>
                <w:bCs/>
                <w:sz w:val="19"/>
                <w:szCs w:val="19"/>
              </w:rPr>
            </w:pPr>
            <w:r w:rsidRPr="009702B0">
              <w:rPr>
                <w:rFonts w:cs="Arial"/>
                <w:bCs/>
                <w:sz w:val="19"/>
                <w:szCs w:val="19"/>
              </w:rPr>
              <w:t xml:space="preserve">Education </w:t>
            </w:r>
          </w:p>
        </w:tc>
        <w:tc>
          <w:tcPr>
            <w:tcW w:w="673" w:type="pct"/>
            <w:tcBorders>
              <w:top w:val="nil"/>
              <w:left w:val="nil"/>
              <w:bottom w:val="nil"/>
              <w:right w:val="nil"/>
            </w:tcBorders>
            <w:shd w:val="clear" w:color="auto" w:fill="auto"/>
            <w:vAlign w:val="bottom"/>
          </w:tcPr>
          <w:p w14:paraId="3C148F7C" w14:textId="36D584A3" w:rsidR="00EE36EF" w:rsidRPr="005444AA" w:rsidRDefault="00EE36EF" w:rsidP="00EE36EF">
            <w:pPr>
              <w:tabs>
                <w:tab w:val="right" w:pos="1202"/>
              </w:tabs>
              <w:spacing w:after="0" w:line="240" w:lineRule="auto"/>
              <w:jc w:val="right"/>
              <w:outlineLvl w:val="0"/>
              <w:rPr>
                <w:rFonts w:cs="Arial"/>
                <w:sz w:val="19"/>
                <w:szCs w:val="19"/>
              </w:rPr>
            </w:pPr>
            <w:r w:rsidRPr="009C3631">
              <w:rPr>
                <w:rFonts w:cs="Arial"/>
                <w:sz w:val="19"/>
                <w:szCs w:val="19"/>
              </w:rPr>
              <w:t>47</w:t>
            </w:r>
            <w:r>
              <w:rPr>
                <w:rFonts w:cs="Arial"/>
                <w:sz w:val="19"/>
                <w:szCs w:val="19"/>
              </w:rPr>
              <w:t>,</w:t>
            </w:r>
            <w:r w:rsidRPr="009C3631">
              <w:rPr>
                <w:rFonts w:cs="Arial"/>
                <w:sz w:val="19"/>
                <w:szCs w:val="19"/>
              </w:rPr>
              <w:t>308</w:t>
            </w:r>
          </w:p>
        </w:tc>
        <w:tc>
          <w:tcPr>
            <w:tcW w:w="673" w:type="pct"/>
            <w:tcBorders>
              <w:top w:val="nil"/>
              <w:left w:val="nil"/>
              <w:bottom w:val="nil"/>
              <w:right w:val="nil"/>
            </w:tcBorders>
            <w:shd w:val="clear" w:color="auto" w:fill="auto"/>
            <w:vAlign w:val="bottom"/>
          </w:tcPr>
          <w:p w14:paraId="7BD16E19" w14:textId="384E2F5E" w:rsidR="00EE36EF" w:rsidRPr="005444AA" w:rsidRDefault="00EE36EF" w:rsidP="00EE36EF">
            <w:pPr>
              <w:tabs>
                <w:tab w:val="right" w:pos="1202"/>
              </w:tabs>
              <w:spacing w:after="0" w:line="240" w:lineRule="auto"/>
              <w:jc w:val="right"/>
              <w:outlineLvl w:val="0"/>
              <w:rPr>
                <w:rFonts w:cs="Arial"/>
                <w:sz w:val="19"/>
                <w:szCs w:val="19"/>
              </w:rPr>
            </w:pPr>
            <w:r w:rsidRPr="009C3631">
              <w:rPr>
                <w:rFonts w:cs="Arial"/>
                <w:sz w:val="19"/>
                <w:szCs w:val="19"/>
              </w:rPr>
              <w:t>41</w:t>
            </w:r>
            <w:r>
              <w:rPr>
                <w:rFonts w:cs="Arial"/>
                <w:sz w:val="19"/>
                <w:szCs w:val="19"/>
              </w:rPr>
              <w:t>,</w:t>
            </w:r>
            <w:r w:rsidRPr="009C3631">
              <w:rPr>
                <w:rFonts w:cs="Arial"/>
                <w:sz w:val="19"/>
                <w:szCs w:val="19"/>
              </w:rPr>
              <w:t>904</w:t>
            </w:r>
          </w:p>
        </w:tc>
        <w:tc>
          <w:tcPr>
            <w:tcW w:w="673" w:type="pct"/>
            <w:tcBorders>
              <w:top w:val="nil"/>
              <w:left w:val="nil"/>
              <w:bottom w:val="nil"/>
              <w:right w:val="nil"/>
            </w:tcBorders>
            <w:shd w:val="clear" w:color="auto" w:fill="auto"/>
            <w:vAlign w:val="bottom"/>
          </w:tcPr>
          <w:p w14:paraId="2C799E0F" w14:textId="77777777" w:rsidR="00EE36EF" w:rsidRPr="00166751" w:rsidRDefault="00EE36EF" w:rsidP="00EE36EF">
            <w:pPr>
              <w:tabs>
                <w:tab w:val="right" w:pos="1202"/>
              </w:tabs>
              <w:spacing w:after="0" w:line="240" w:lineRule="auto"/>
              <w:jc w:val="right"/>
              <w:outlineLvl w:val="0"/>
              <w:rPr>
                <w:rFonts w:asciiTheme="minorHAnsi" w:hAnsiTheme="minorHAnsi"/>
                <w:sz w:val="19"/>
                <w:szCs w:val="19"/>
              </w:rPr>
            </w:pPr>
            <w:r w:rsidRPr="00166751">
              <w:rPr>
                <w:rFonts w:cs="Arial"/>
                <w:sz w:val="19"/>
                <w:szCs w:val="19"/>
              </w:rPr>
              <w:t>47,020</w:t>
            </w:r>
          </w:p>
        </w:tc>
        <w:tc>
          <w:tcPr>
            <w:tcW w:w="673" w:type="pct"/>
            <w:tcBorders>
              <w:top w:val="nil"/>
              <w:left w:val="nil"/>
              <w:bottom w:val="nil"/>
              <w:right w:val="nil"/>
            </w:tcBorders>
            <w:shd w:val="clear" w:color="auto" w:fill="auto"/>
            <w:vAlign w:val="bottom"/>
          </w:tcPr>
          <w:p w14:paraId="50B16B5B" w14:textId="77777777" w:rsidR="00EE36EF" w:rsidRPr="00166751" w:rsidRDefault="00EE36EF" w:rsidP="00EE36EF">
            <w:pPr>
              <w:tabs>
                <w:tab w:val="right" w:pos="1202"/>
              </w:tabs>
              <w:spacing w:after="0" w:line="240" w:lineRule="auto"/>
              <w:jc w:val="right"/>
              <w:outlineLvl w:val="0"/>
              <w:rPr>
                <w:rFonts w:asciiTheme="minorHAnsi" w:hAnsiTheme="minorHAnsi"/>
                <w:sz w:val="19"/>
                <w:szCs w:val="19"/>
              </w:rPr>
            </w:pPr>
            <w:r w:rsidRPr="00166751">
              <w:rPr>
                <w:rFonts w:cs="Arial"/>
                <w:sz w:val="19"/>
                <w:szCs w:val="19"/>
              </w:rPr>
              <w:t>40,956</w:t>
            </w:r>
          </w:p>
        </w:tc>
      </w:tr>
      <w:tr w:rsidR="00EE36EF" w:rsidRPr="009702B0" w14:paraId="3F7DC702" w14:textId="77777777" w:rsidTr="006B318F">
        <w:trPr>
          <w:cantSplit/>
          <w:trHeight w:val="253"/>
          <w:tblHeader/>
        </w:trPr>
        <w:tc>
          <w:tcPr>
            <w:tcW w:w="2308" w:type="pct"/>
            <w:vAlign w:val="bottom"/>
          </w:tcPr>
          <w:p w14:paraId="11371910" w14:textId="77777777" w:rsidR="00EE36EF" w:rsidRPr="009702B0" w:rsidRDefault="00EE36EF" w:rsidP="00EE36EF">
            <w:pPr>
              <w:spacing w:after="0" w:line="280" w:lineRule="exact"/>
              <w:rPr>
                <w:rFonts w:cs="Arial"/>
                <w:bCs/>
                <w:sz w:val="19"/>
                <w:szCs w:val="19"/>
              </w:rPr>
            </w:pPr>
            <w:r w:rsidRPr="009702B0">
              <w:rPr>
                <w:rFonts w:cs="Arial"/>
                <w:bCs/>
                <w:sz w:val="19"/>
                <w:szCs w:val="19"/>
              </w:rPr>
              <w:t xml:space="preserve">Manufacture of basic metals and fabricated metal products, except machinery and equipment </w:t>
            </w:r>
          </w:p>
        </w:tc>
        <w:tc>
          <w:tcPr>
            <w:tcW w:w="673" w:type="pct"/>
            <w:tcBorders>
              <w:top w:val="nil"/>
              <w:left w:val="nil"/>
              <w:bottom w:val="nil"/>
              <w:right w:val="nil"/>
            </w:tcBorders>
            <w:shd w:val="clear" w:color="auto" w:fill="auto"/>
            <w:vAlign w:val="bottom"/>
          </w:tcPr>
          <w:p w14:paraId="09C9321D" w14:textId="5FE0733E" w:rsidR="00EE36EF" w:rsidRPr="005444AA" w:rsidRDefault="00EE36EF" w:rsidP="00EE36EF">
            <w:pPr>
              <w:tabs>
                <w:tab w:val="right" w:pos="1202"/>
              </w:tabs>
              <w:spacing w:after="0" w:line="240" w:lineRule="auto"/>
              <w:jc w:val="right"/>
              <w:outlineLvl w:val="0"/>
              <w:rPr>
                <w:rFonts w:cs="Arial"/>
                <w:sz w:val="19"/>
                <w:szCs w:val="19"/>
              </w:rPr>
            </w:pPr>
            <w:r w:rsidRPr="009C3631">
              <w:rPr>
                <w:rFonts w:cs="Arial"/>
                <w:sz w:val="19"/>
                <w:szCs w:val="19"/>
              </w:rPr>
              <w:t>350</w:t>
            </w:r>
            <w:r>
              <w:rPr>
                <w:rFonts w:cs="Arial"/>
                <w:sz w:val="19"/>
                <w:szCs w:val="19"/>
              </w:rPr>
              <w:t>,</w:t>
            </w:r>
            <w:r w:rsidRPr="009C3631">
              <w:rPr>
                <w:rFonts w:cs="Arial"/>
                <w:sz w:val="19"/>
                <w:szCs w:val="19"/>
              </w:rPr>
              <w:t>283</w:t>
            </w:r>
          </w:p>
        </w:tc>
        <w:tc>
          <w:tcPr>
            <w:tcW w:w="673" w:type="pct"/>
            <w:tcBorders>
              <w:top w:val="nil"/>
              <w:left w:val="nil"/>
              <w:bottom w:val="nil"/>
              <w:right w:val="nil"/>
            </w:tcBorders>
            <w:shd w:val="clear" w:color="auto" w:fill="auto"/>
            <w:vAlign w:val="bottom"/>
          </w:tcPr>
          <w:p w14:paraId="069437F6" w14:textId="11131485" w:rsidR="00EE36EF" w:rsidRPr="005444AA" w:rsidRDefault="00EE36EF" w:rsidP="00EE36EF">
            <w:pPr>
              <w:tabs>
                <w:tab w:val="right" w:pos="1202"/>
              </w:tabs>
              <w:spacing w:after="0" w:line="240" w:lineRule="auto"/>
              <w:jc w:val="right"/>
              <w:outlineLvl w:val="0"/>
              <w:rPr>
                <w:rFonts w:cs="Arial"/>
                <w:sz w:val="19"/>
                <w:szCs w:val="19"/>
              </w:rPr>
            </w:pPr>
            <w:r w:rsidRPr="009C3631">
              <w:rPr>
                <w:rFonts w:cs="Arial"/>
                <w:sz w:val="19"/>
                <w:szCs w:val="19"/>
              </w:rPr>
              <w:t>52</w:t>
            </w:r>
            <w:r>
              <w:rPr>
                <w:rFonts w:cs="Arial"/>
                <w:sz w:val="19"/>
                <w:szCs w:val="19"/>
              </w:rPr>
              <w:t>,</w:t>
            </w:r>
            <w:r w:rsidRPr="009C3631">
              <w:rPr>
                <w:rFonts w:cs="Arial"/>
                <w:sz w:val="19"/>
                <w:szCs w:val="19"/>
              </w:rPr>
              <w:t>915</w:t>
            </w:r>
          </w:p>
        </w:tc>
        <w:tc>
          <w:tcPr>
            <w:tcW w:w="673" w:type="pct"/>
            <w:tcBorders>
              <w:top w:val="nil"/>
              <w:left w:val="nil"/>
              <w:bottom w:val="nil"/>
              <w:right w:val="nil"/>
            </w:tcBorders>
            <w:shd w:val="clear" w:color="auto" w:fill="auto"/>
            <w:vAlign w:val="bottom"/>
          </w:tcPr>
          <w:p w14:paraId="7F339F65" w14:textId="77777777" w:rsidR="00EE36EF" w:rsidRPr="00166751" w:rsidRDefault="00EE36EF" w:rsidP="00EE36EF">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407,200</w:t>
            </w:r>
          </w:p>
        </w:tc>
        <w:tc>
          <w:tcPr>
            <w:tcW w:w="673" w:type="pct"/>
            <w:tcBorders>
              <w:top w:val="nil"/>
              <w:left w:val="nil"/>
              <w:bottom w:val="nil"/>
              <w:right w:val="nil"/>
            </w:tcBorders>
            <w:shd w:val="clear" w:color="auto" w:fill="auto"/>
            <w:vAlign w:val="bottom"/>
          </w:tcPr>
          <w:p w14:paraId="7A76ED62" w14:textId="77777777" w:rsidR="00EE36EF" w:rsidRPr="00166751" w:rsidRDefault="00EE36EF" w:rsidP="00EE36EF">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62,764</w:t>
            </w:r>
          </w:p>
        </w:tc>
      </w:tr>
      <w:tr w:rsidR="00EE36EF" w:rsidRPr="009702B0" w14:paraId="4BBD4390" w14:textId="77777777" w:rsidTr="006B318F">
        <w:trPr>
          <w:cantSplit/>
          <w:trHeight w:val="253"/>
          <w:tblHeader/>
        </w:trPr>
        <w:tc>
          <w:tcPr>
            <w:tcW w:w="2308" w:type="pct"/>
            <w:vAlign w:val="bottom"/>
          </w:tcPr>
          <w:p w14:paraId="57485BAF" w14:textId="77777777" w:rsidR="00EE36EF" w:rsidRPr="009702B0" w:rsidRDefault="00EE36EF" w:rsidP="00EE36EF">
            <w:pPr>
              <w:spacing w:after="0" w:line="280" w:lineRule="exact"/>
              <w:rPr>
                <w:rFonts w:cs="Arial"/>
                <w:sz w:val="19"/>
                <w:szCs w:val="19"/>
              </w:rPr>
            </w:pPr>
            <w:r w:rsidRPr="009702B0">
              <w:rPr>
                <w:rFonts w:cs="Arial"/>
                <w:bCs/>
                <w:sz w:val="19"/>
                <w:szCs w:val="19"/>
              </w:rPr>
              <w:t xml:space="preserve">Manufacture of chemicals and chemical products </w:t>
            </w:r>
          </w:p>
        </w:tc>
        <w:tc>
          <w:tcPr>
            <w:tcW w:w="673" w:type="pct"/>
            <w:tcBorders>
              <w:top w:val="nil"/>
              <w:left w:val="nil"/>
              <w:bottom w:val="nil"/>
              <w:right w:val="nil"/>
            </w:tcBorders>
            <w:shd w:val="clear" w:color="auto" w:fill="auto"/>
            <w:vAlign w:val="bottom"/>
          </w:tcPr>
          <w:p w14:paraId="0DF23F1D" w14:textId="378AE059" w:rsidR="00EE36EF" w:rsidRPr="005444AA" w:rsidRDefault="00EE36EF" w:rsidP="00EE36EF">
            <w:pPr>
              <w:tabs>
                <w:tab w:val="right" w:pos="1202"/>
              </w:tabs>
              <w:spacing w:after="0" w:line="240" w:lineRule="auto"/>
              <w:jc w:val="right"/>
              <w:outlineLvl w:val="0"/>
              <w:rPr>
                <w:rFonts w:cs="Arial"/>
                <w:sz w:val="19"/>
                <w:szCs w:val="19"/>
              </w:rPr>
            </w:pPr>
            <w:r w:rsidRPr="009C3631">
              <w:rPr>
                <w:rFonts w:cs="Arial"/>
                <w:sz w:val="19"/>
                <w:szCs w:val="19"/>
              </w:rPr>
              <w:t>404</w:t>
            </w:r>
            <w:r>
              <w:rPr>
                <w:rFonts w:cs="Arial"/>
                <w:sz w:val="19"/>
                <w:szCs w:val="19"/>
              </w:rPr>
              <w:t>,</w:t>
            </w:r>
            <w:r w:rsidRPr="009C3631">
              <w:rPr>
                <w:rFonts w:cs="Arial"/>
                <w:sz w:val="19"/>
                <w:szCs w:val="19"/>
              </w:rPr>
              <w:t>166</w:t>
            </w:r>
          </w:p>
        </w:tc>
        <w:tc>
          <w:tcPr>
            <w:tcW w:w="673" w:type="pct"/>
            <w:tcBorders>
              <w:top w:val="nil"/>
              <w:left w:val="nil"/>
              <w:bottom w:val="nil"/>
              <w:right w:val="nil"/>
            </w:tcBorders>
            <w:shd w:val="clear" w:color="auto" w:fill="auto"/>
            <w:vAlign w:val="bottom"/>
          </w:tcPr>
          <w:p w14:paraId="216BFCA6" w14:textId="65CD909E" w:rsidR="00EE36EF" w:rsidRPr="005444AA" w:rsidRDefault="00EE36EF" w:rsidP="00EE36EF">
            <w:pPr>
              <w:tabs>
                <w:tab w:val="right" w:pos="1202"/>
              </w:tabs>
              <w:spacing w:after="0" w:line="240" w:lineRule="auto"/>
              <w:jc w:val="right"/>
              <w:outlineLvl w:val="0"/>
              <w:rPr>
                <w:rFonts w:cs="Arial"/>
                <w:sz w:val="19"/>
                <w:szCs w:val="19"/>
              </w:rPr>
            </w:pPr>
            <w:r w:rsidRPr="009C3631">
              <w:rPr>
                <w:rFonts w:cs="Arial"/>
                <w:sz w:val="19"/>
                <w:szCs w:val="19"/>
              </w:rPr>
              <w:t>89</w:t>
            </w:r>
            <w:r>
              <w:rPr>
                <w:rFonts w:cs="Arial"/>
                <w:sz w:val="19"/>
                <w:szCs w:val="19"/>
              </w:rPr>
              <w:t>,</w:t>
            </w:r>
            <w:r w:rsidRPr="009C3631">
              <w:rPr>
                <w:rFonts w:cs="Arial"/>
                <w:sz w:val="19"/>
                <w:szCs w:val="19"/>
              </w:rPr>
              <w:t>795</w:t>
            </w:r>
          </w:p>
        </w:tc>
        <w:tc>
          <w:tcPr>
            <w:tcW w:w="673" w:type="pct"/>
            <w:tcBorders>
              <w:top w:val="nil"/>
              <w:left w:val="nil"/>
              <w:bottom w:val="nil"/>
              <w:right w:val="nil"/>
            </w:tcBorders>
            <w:shd w:val="clear" w:color="auto" w:fill="auto"/>
            <w:vAlign w:val="bottom"/>
          </w:tcPr>
          <w:p w14:paraId="46C84039" w14:textId="77777777" w:rsidR="00EE36EF" w:rsidRPr="00166751" w:rsidRDefault="00EE36EF" w:rsidP="00EE36EF">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255,537</w:t>
            </w:r>
          </w:p>
        </w:tc>
        <w:tc>
          <w:tcPr>
            <w:tcW w:w="673" w:type="pct"/>
            <w:tcBorders>
              <w:top w:val="nil"/>
              <w:left w:val="nil"/>
              <w:bottom w:val="nil"/>
              <w:right w:val="nil"/>
            </w:tcBorders>
            <w:shd w:val="clear" w:color="auto" w:fill="auto"/>
            <w:vAlign w:val="bottom"/>
          </w:tcPr>
          <w:p w14:paraId="0B54B555" w14:textId="77777777" w:rsidR="00EE36EF" w:rsidRPr="00166751" w:rsidRDefault="00EE36EF" w:rsidP="00EE36EF">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16,721</w:t>
            </w:r>
          </w:p>
        </w:tc>
      </w:tr>
      <w:tr w:rsidR="00EE36EF" w:rsidRPr="009702B0" w14:paraId="46602FAA" w14:textId="77777777" w:rsidTr="006B318F">
        <w:trPr>
          <w:cantSplit/>
          <w:trHeight w:val="253"/>
          <w:tblHeader/>
        </w:trPr>
        <w:tc>
          <w:tcPr>
            <w:tcW w:w="2308" w:type="pct"/>
            <w:vAlign w:val="bottom"/>
          </w:tcPr>
          <w:p w14:paraId="36D5C24E" w14:textId="77777777" w:rsidR="00EE36EF" w:rsidRPr="009702B0" w:rsidRDefault="00EE36EF" w:rsidP="00EE36EF">
            <w:pPr>
              <w:spacing w:after="0" w:line="280" w:lineRule="exact"/>
              <w:rPr>
                <w:rFonts w:cs="Arial"/>
                <w:bCs/>
                <w:sz w:val="19"/>
                <w:szCs w:val="19"/>
              </w:rPr>
            </w:pPr>
            <w:r w:rsidRPr="009702B0">
              <w:rPr>
                <w:rFonts w:cs="Arial"/>
                <w:bCs/>
                <w:sz w:val="19"/>
                <w:szCs w:val="19"/>
              </w:rPr>
              <w:t>Manufacture of other non-metallic mineral products</w:t>
            </w:r>
          </w:p>
        </w:tc>
        <w:tc>
          <w:tcPr>
            <w:tcW w:w="673" w:type="pct"/>
            <w:tcBorders>
              <w:top w:val="nil"/>
              <w:left w:val="nil"/>
              <w:bottom w:val="nil"/>
              <w:right w:val="nil"/>
            </w:tcBorders>
            <w:shd w:val="clear" w:color="auto" w:fill="auto"/>
            <w:vAlign w:val="bottom"/>
          </w:tcPr>
          <w:p w14:paraId="418BFFC1" w14:textId="63E14DAD" w:rsidR="00EE36EF" w:rsidRPr="005444AA" w:rsidRDefault="00EE36EF" w:rsidP="00EE36EF">
            <w:pPr>
              <w:tabs>
                <w:tab w:val="right" w:pos="1202"/>
              </w:tabs>
              <w:spacing w:after="0" w:line="240" w:lineRule="auto"/>
              <w:jc w:val="right"/>
              <w:outlineLvl w:val="0"/>
              <w:rPr>
                <w:rFonts w:cs="Arial"/>
                <w:sz w:val="19"/>
                <w:szCs w:val="19"/>
              </w:rPr>
            </w:pPr>
            <w:r w:rsidRPr="009C3631">
              <w:rPr>
                <w:rFonts w:cs="Arial"/>
                <w:sz w:val="19"/>
                <w:szCs w:val="19"/>
              </w:rPr>
              <w:t>201</w:t>
            </w:r>
            <w:r>
              <w:rPr>
                <w:rFonts w:cs="Arial"/>
                <w:sz w:val="19"/>
                <w:szCs w:val="19"/>
              </w:rPr>
              <w:t>,</w:t>
            </w:r>
            <w:r w:rsidRPr="009C3631">
              <w:rPr>
                <w:rFonts w:cs="Arial"/>
                <w:sz w:val="19"/>
                <w:szCs w:val="19"/>
              </w:rPr>
              <w:t>516</w:t>
            </w:r>
          </w:p>
        </w:tc>
        <w:tc>
          <w:tcPr>
            <w:tcW w:w="673" w:type="pct"/>
            <w:tcBorders>
              <w:top w:val="nil"/>
              <w:left w:val="nil"/>
              <w:bottom w:val="nil"/>
              <w:right w:val="nil"/>
            </w:tcBorders>
            <w:shd w:val="clear" w:color="auto" w:fill="auto"/>
            <w:vAlign w:val="bottom"/>
          </w:tcPr>
          <w:p w14:paraId="32DF6BA7" w14:textId="7B625D77" w:rsidR="00EE36EF" w:rsidRPr="005444AA" w:rsidRDefault="00EE36EF" w:rsidP="00EE36EF">
            <w:pPr>
              <w:tabs>
                <w:tab w:val="right" w:pos="1202"/>
              </w:tabs>
              <w:spacing w:after="0" w:line="240" w:lineRule="auto"/>
              <w:jc w:val="right"/>
              <w:outlineLvl w:val="0"/>
              <w:rPr>
                <w:rFonts w:cs="Arial"/>
                <w:sz w:val="19"/>
                <w:szCs w:val="19"/>
              </w:rPr>
            </w:pPr>
            <w:r w:rsidRPr="009C3631">
              <w:rPr>
                <w:rFonts w:cs="Arial"/>
                <w:sz w:val="19"/>
                <w:szCs w:val="19"/>
              </w:rPr>
              <w:t>3</w:t>
            </w:r>
            <w:r>
              <w:rPr>
                <w:rFonts w:cs="Arial"/>
                <w:sz w:val="19"/>
                <w:szCs w:val="19"/>
              </w:rPr>
              <w:t>,</w:t>
            </w:r>
            <w:r w:rsidRPr="009C3631">
              <w:rPr>
                <w:rFonts w:cs="Arial"/>
                <w:sz w:val="19"/>
                <w:szCs w:val="19"/>
              </w:rPr>
              <w:t>817</w:t>
            </w:r>
          </w:p>
        </w:tc>
        <w:tc>
          <w:tcPr>
            <w:tcW w:w="673" w:type="pct"/>
            <w:tcBorders>
              <w:top w:val="nil"/>
              <w:left w:val="nil"/>
              <w:bottom w:val="nil"/>
              <w:right w:val="nil"/>
            </w:tcBorders>
            <w:shd w:val="clear" w:color="auto" w:fill="auto"/>
            <w:vAlign w:val="bottom"/>
          </w:tcPr>
          <w:p w14:paraId="4031A5A8" w14:textId="77777777" w:rsidR="00EE36EF" w:rsidRPr="00166751" w:rsidRDefault="00EE36EF" w:rsidP="00EE36EF">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273,896</w:t>
            </w:r>
          </w:p>
        </w:tc>
        <w:tc>
          <w:tcPr>
            <w:tcW w:w="673" w:type="pct"/>
            <w:tcBorders>
              <w:top w:val="nil"/>
              <w:left w:val="nil"/>
              <w:bottom w:val="nil"/>
              <w:right w:val="nil"/>
            </w:tcBorders>
            <w:shd w:val="clear" w:color="auto" w:fill="auto"/>
            <w:vAlign w:val="bottom"/>
          </w:tcPr>
          <w:p w14:paraId="4BACFC84" w14:textId="77777777" w:rsidR="00EE36EF" w:rsidRPr="00166751" w:rsidRDefault="00EE36EF" w:rsidP="00EE36EF">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4,336</w:t>
            </w:r>
          </w:p>
        </w:tc>
      </w:tr>
      <w:tr w:rsidR="00EE36EF" w:rsidRPr="009702B0" w14:paraId="38CC1F19" w14:textId="77777777" w:rsidTr="006B318F">
        <w:trPr>
          <w:cantSplit/>
          <w:trHeight w:val="253"/>
          <w:tblHeader/>
        </w:trPr>
        <w:tc>
          <w:tcPr>
            <w:tcW w:w="2308" w:type="pct"/>
            <w:vAlign w:val="bottom"/>
          </w:tcPr>
          <w:p w14:paraId="7311732F" w14:textId="77777777" w:rsidR="00EE36EF" w:rsidRPr="009702B0" w:rsidRDefault="00EE36EF" w:rsidP="00EE36EF">
            <w:pPr>
              <w:spacing w:after="0" w:line="280" w:lineRule="exact"/>
              <w:rPr>
                <w:rFonts w:cs="Arial"/>
                <w:bCs/>
                <w:sz w:val="19"/>
                <w:szCs w:val="19"/>
              </w:rPr>
            </w:pPr>
            <w:r w:rsidRPr="009702B0">
              <w:rPr>
                <w:rFonts w:cs="Arial"/>
                <w:bCs/>
                <w:sz w:val="19"/>
                <w:szCs w:val="19"/>
              </w:rPr>
              <w:t xml:space="preserve">Pharmaceutical industry </w:t>
            </w:r>
          </w:p>
        </w:tc>
        <w:tc>
          <w:tcPr>
            <w:tcW w:w="673" w:type="pct"/>
            <w:tcBorders>
              <w:top w:val="nil"/>
              <w:left w:val="nil"/>
              <w:bottom w:val="nil"/>
              <w:right w:val="nil"/>
            </w:tcBorders>
            <w:shd w:val="clear" w:color="auto" w:fill="auto"/>
            <w:vAlign w:val="bottom"/>
          </w:tcPr>
          <w:p w14:paraId="7F7CB786" w14:textId="556BEEC6" w:rsidR="00EE36EF" w:rsidRPr="005444AA" w:rsidRDefault="00EE36EF" w:rsidP="00EE36EF">
            <w:pPr>
              <w:tabs>
                <w:tab w:val="right" w:pos="1202"/>
              </w:tabs>
              <w:spacing w:after="0" w:line="240" w:lineRule="auto"/>
              <w:jc w:val="right"/>
              <w:outlineLvl w:val="0"/>
              <w:rPr>
                <w:rFonts w:cs="Arial"/>
                <w:sz w:val="19"/>
                <w:szCs w:val="19"/>
              </w:rPr>
            </w:pPr>
            <w:r w:rsidRPr="009C3631">
              <w:rPr>
                <w:rFonts w:cs="Arial"/>
                <w:sz w:val="19"/>
                <w:szCs w:val="19"/>
              </w:rPr>
              <w:t>546</w:t>
            </w:r>
            <w:r>
              <w:rPr>
                <w:rFonts w:cs="Arial"/>
                <w:sz w:val="19"/>
                <w:szCs w:val="19"/>
              </w:rPr>
              <w:t>,</w:t>
            </w:r>
            <w:r w:rsidRPr="009C3631">
              <w:rPr>
                <w:rFonts w:cs="Arial"/>
                <w:sz w:val="19"/>
                <w:szCs w:val="19"/>
              </w:rPr>
              <w:t>225</w:t>
            </w:r>
          </w:p>
        </w:tc>
        <w:tc>
          <w:tcPr>
            <w:tcW w:w="673" w:type="pct"/>
            <w:tcBorders>
              <w:top w:val="nil"/>
              <w:left w:val="nil"/>
              <w:bottom w:val="nil"/>
              <w:right w:val="nil"/>
            </w:tcBorders>
            <w:shd w:val="clear" w:color="auto" w:fill="auto"/>
            <w:vAlign w:val="bottom"/>
          </w:tcPr>
          <w:p w14:paraId="6E998DC8" w14:textId="28B4012A" w:rsidR="00EE36EF" w:rsidRPr="005444AA" w:rsidRDefault="00EE36EF" w:rsidP="00EE36EF">
            <w:pPr>
              <w:tabs>
                <w:tab w:val="right" w:pos="1202"/>
              </w:tabs>
              <w:spacing w:after="0" w:line="240" w:lineRule="auto"/>
              <w:jc w:val="right"/>
              <w:outlineLvl w:val="0"/>
              <w:rPr>
                <w:rFonts w:cs="Arial"/>
                <w:sz w:val="19"/>
                <w:szCs w:val="19"/>
              </w:rPr>
            </w:pPr>
            <w:r>
              <w:rPr>
                <w:rFonts w:cs="Arial"/>
                <w:sz w:val="19"/>
                <w:szCs w:val="19"/>
              </w:rPr>
              <w:t>-</w:t>
            </w:r>
          </w:p>
        </w:tc>
        <w:tc>
          <w:tcPr>
            <w:tcW w:w="673" w:type="pct"/>
            <w:tcBorders>
              <w:top w:val="nil"/>
              <w:left w:val="nil"/>
              <w:bottom w:val="nil"/>
              <w:right w:val="nil"/>
            </w:tcBorders>
            <w:shd w:val="clear" w:color="auto" w:fill="auto"/>
            <w:vAlign w:val="bottom"/>
          </w:tcPr>
          <w:p w14:paraId="13E12679" w14:textId="77777777" w:rsidR="00EE36EF" w:rsidRPr="00166751" w:rsidRDefault="00EE36EF" w:rsidP="00EE36EF">
            <w:pPr>
              <w:tabs>
                <w:tab w:val="right" w:pos="1202"/>
              </w:tabs>
              <w:spacing w:after="0" w:line="240" w:lineRule="auto"/>
              <w:jc w:val="right"/>
              <w:outlineLvl w:val="0"/>
              <w:rPr>
                <w:rFonts w:asciiTheme="minorHAnsi" w:hAnsiTheme="minorHAnsi"/>
                <w:sz w:val="19"/>
                <w:szCs w:val="19"/>
              </w:rPr>
            </w:pPr>
            <w:r w:rsidRPr="00166751">
              <w:rPr>
                <w:rFonts w:cs="Arial"/>
                <w:sz w:val="19"/>
                <w:szCs w:val="19"/>
              </w:rPr>
              <w:t>571,663</w:t>
            </w:r>
          </w:p>
        </w:tc>
        <w:tc>
          <w:tcPr>
            <w:tcW w:w="673" w:type="pct"/>
            <w:tcBorders>
              <w:top w:val="nil"/>
              <w:left w:val="nil"/>
              <w:bottom w:val="nil"/>
              <w:right w:val="nil"/>
            </w:tcBorders>
            <w:shd w:val="clear" w:color="auto" w:fill="auto"/>
            <w:vAlign w:val="bottom"/>
          </w:tcPr>
          <w:p w14:paraId="3F8DAA54" w14:textId="77777777" w:rsidR="00EE36EF" w:rsidRPr="00166751" w:rsidRDefault="00EE36EF" w:rsidP="00EE36EF">
            <w:pPr>
              <w:tabs>
                <w:tab w:val="right" w:pos="1202"/>
              </w:tabs>
              <w:spacing w:after="0" w:line="240" w:lineRule="auto"/>
              <w:jc w:val="right"/>
              <w:outlineLvl w:val="0"/>
              <w:rPr>
                <w:rFonts w:asciiTheme="minorHAnsi" w:hAnsiTheme="minorHAnsi"/>
                <w:sz w:val="19"/>
                <w:szCs w:val="19"/>
              </w:rPr>
            </w:pPr>
            <w:r w:rsidRPr="00166751">
              <w:rPr>
                <w:rFonts w:cs="Arial"/>
                <w:sz w:val="19"/>
                <w:szCs w:val="19"/>
              </w:rPr>
              <w:t>-</w:t>
            </w:r>
          </w:p>
        </w:tc>
      </w:tr>
      <w:tr w:rsidR="00EE36EF" w:rsidRPr="009702B0" w14:paraId="3E25BB2E" w14:textId="77777777" w:rsidTr="006B318F">
        <w:trPr>
          <w:cantSplit/>
          <w:trHeight w:val="253"/>
          <w:tblHeader/>
        </w:trPr>
        <w:tc>
          <w:tcPr>
            <w:tcW w:w="2308" w:type="pct"/>
            <w:vAlign w:val="bottom"/>
          </w:tcPr>
          <w:p w14:paraId="09D1DFF9" w14:textId="77777777" w:rsidR="00EE36EF" w:rsidRPr="009702B0" w:rsidRDefault="00EE36EF" w:rsidP="00EE36EF">
            <w:pPr>
              <w:spacing w:after="0" w:line="280" w:lineRule="exact"/>
              <w:rPr>
                <w:rFonts w:cs="Arial"/>
                <w:sz w:val="19"/>
                <w:szCs w:val="19"/>
              </w:rPr>
            </w:pPr>
            <w:r w:rsidRPr="009702B0">
              <w:rPr>
                <w:rFonts w:cs="Arial"/>
                <w:bCs/>
                <w:sz w:val="19"/>
                <w:szCs w:val="19"/>
              </w:rPr>
              <w:t xml:space="preserve">Other </w:t>
            </w:r>
          </w:p>
        </w:tc>
        <w:tc>
          <w:tcPr>
            <w:tcW w:w="673" w:type="pct"/>
            <w:tcBorders>
              <w:top w:val="nil"/>
              <w:left w:val="nil"/>
              <w:bottom w:val="nil"/>
              <w:right w:val="nil"/>
            </w:tcBorders>
            <w:shd w:val="clear" w:color="auto" w:fill="auto"/>
            <w:vAlign w:val="bottom"/>
          </w:tcPr>
          <w:p w14:paraId="5389F76C" w14:textId="60CE73AD" w:rsidR="00EE36EF" w:rsidRPr="005444AA" w:rsidRDefault="00EE36EF" w:rsidP="00EE36EF">
            <w:pPr>
              <w:tabs>
                <w:tab w:val="right" w:pos="1202"/>
              </w:tabs>
              <w:spacing w:after="0" w:line="240" w:lineRule="auto"/>
              <w:jc w:val="right"/>
              <w:outlineLvl w:val="0"/>
              <w:rPr>
                <w:rFonts w:cs="Arial"/>
                <w:sz w:val="19"/>
                <w:szCs w:val="19"/>
              </w:rPr>
            </w:pPr>
            <w:r w:rsidRPr="009C3631">
              <w:rPr>
                <w:rFonts w:cs="Arial"/>
                <w:sz w:val="19"/>
                <w:szCs w:val="19"/>
              </w:rPr>
              <w:t>1</w:t>
            </w:r>
            <w:r>
              <w:rPr>
                <w:rFonts w:cs="Arial"/>
                <w:sz w:val="19"/>
                <w:szCs w:val="19"/>
              </w:rPr>
              <w:t>,</w:t>
            </w:r>
            <w:r w:rsidRPr="009C3631">
              <w:rPr>
                <w:rFonts w:cs="Arial"/>
                <w:sz w:val="19"/>
                <w:szCs w:val="19"/>
              </w:rPr>
              <w:t>619</w:t>
            </w:r>
            <w:r>
              <w:rPr>
                <w:rFonts w:cs="Arial"/>
                <w:sz w:val="19"/>
                <w:szCs w:val="19"/>
              </w:rPr>
              <w:t>,</w:t>
            </w:r>
            <w:r w:rsidRPr="009C3631">
              <w:rPr>
                <w:rFonts w:cs="Arial"/>
                <w:sz w:val="19"/>
                <w:szCs w:val="19"/>
              </w:rPr>
              <w:t>104</w:t>
            </w:r>
          </w:p>
        </w:tc>
        <w:tc>
          <w:tcPr>
            <w:tcW w:w="673" w:type="pct"/>
            <w:tcBorders>
              <w:top w:val="nil"/>
              <w:left w:val="nil"/>
              <w:bottom w:val="nil"/>
              <w:right w:val="nil"/>
            </w:tcBorders>
            <w:shd w:val="clear" w:color="auto" w:fill="auto"/>
            <w:vAlign w:val="bottom"/>
          </w:tcPr>
          <w:p w14:paraId="6EE5CB44" w14:textId="6B389D0B" w:rsidR="00EE36EF" w:rsidRPr="005444AA" w:rsidRDefault="00EE36EF" w:rsidP="00EE36EF">
            <w:pPr>
              <w:tabs>
                <w:tab w:val="right" w:pos="1202"/>
              </w:tabs>
              <w:spacing w:after="0" w:line="240" w:lineRule="auto"/>
              <w:jc w:val="right"/>
              <w:outlineLvl w:val="0"/>
              <w:rPr>
                <w:rFonts w:cs="Arial"/>
                <w:sz w:val="19"/>
                <w:szCs w:val="19"/>
              </w:rPr>
            </w:pPr>
            <w:r w:rsidRPr="009C3631">
              <w:rPr>
                <w:rFonts w:cs="Arial"/>
                <w:sz w:val="19"/>
                <w:szCs w:val="19"/>
              </w:rPr>
              <w:t>480</w:t>
            </w:r>
            <w:r>
              <w:rPr>
                <w:rFonts w:cs="Arial"/>
                <w:sz w:val="19"/>
                <w:szCs w:val="19"/>
              </w:rPr>
              <w:t>,</w:t>
            </w:r>
            <w:r w:rsidRPr="009C3631">
              <w:rPr>
                <w:rFonts w:cs="Arial"/>
                <w:sz w:val="19"/>
                <w:szCs w:val="19"/>
              </w:rPr>
              <w:t>455</w:t>
            </w:r>
          </w:p>
        </w:tc>
        <w:tc>
          <w:tcPr>
            <w:tcW w:w="673" w:type="pct"/>
            <w:tcBorders>
              <w:top w:val="nil"/>
              <w:left w:val="nil"/>
              <w:bottom w:val="single" w:sz="4" w:space="0" w:color="auto"/>
              <w:right w:val="nil"/>
            </w:tcBorders>
            <w:shd w:val="clear" w:color="auto" w:fill="auto"/>
            <w:vAlign w:val="bottom"/>
          </w:tcPr>
          <w:p w14:paraId="00B3D22A" w14:textId="77777777" w:rsidR="00EE36EF" w:rsidRPr="00166751" w:rsidRDefault="00EE36EF" w:rsidP="00EE36EF">
            <w:pPr>
              <w:tabs>
                <w:tab w:val="right" w:pos="1202"/>
              </w:tabs>
              <w:spacing w:after="0" w:line="240" w:lineRule="auto"/>
              <w:jc w:val="right"/>
              <w:outlineLvl w:val="0"/>
              <w:rPr>
                <w:rFonts w:asciiTheme="minorHAnsi" w:hAnsiTheme="minorHAnsi"/>
                <w:sz w:val="19"/>
                <w:szCs w:val="19"/>
              </w:rPr>
            </w:pPr>
            <w:r w:rsidRPr="00166751">
              <w:rPr>
                <w:rFonts w:cs="Arial"/>
                <w:sz w:val="19"/>
                <w:szCs w:val="19"/>
              </w:rPr>
              <w:t>1,524,915</w:t>
            </w:r>
          </w:p>
        </w:tc>
        <w:tc>
          <w:tcPr>
            <w:tcW w:w="673" w:type="pct"/>
            <w:tcBorders>
              <w:top w:val="nil"/>
              <w:left w:val="nil"/>
              <w:bottom w:val="single" w:sz="4" w:space="0" w:color="auto"/>
              <w:right w:val="nil"/>
            </w:tcBorders>
            <w:shd w:val="clear" w:color="auto" w:fill="auto"/>
            <w:vAlign w:val="bottom"/>
          </w:tcPr>
          <w:p w14:paraId="0D923C73" w14:textId="77777777" w:rsidR="00EE36EF" w:rsidRPr="00166751" w:rsidRDefault="00EE36EF" w:rsidP="00EE36EF">
            <w:pPr>
              <w:tabs>
                <w:tab w:val="right" w:pos="1202"/>
              </w:tabs>
              <w:spacing w:after="0" w:line="240" w:lineRule="auto"/>
              <w:jc w:val="right"/>
              <w:outlineLvl w:val="0"/>
              <w:rPr>
                <w:rFonts w:asciiTheme="minorHAnsi" w:hAnsiTheme="minorHAnsi"/>
                <w:sz w:val="19"/>
                <w:szCs w:val="19"/>
              </w:rPr>
            </w:pPr>
            <w:r w:rsidRPr="00166751">
              <w:rPr>
                <w:rFonts w:cs="Arial"/>
                <w:sz w:val="19"/>
                <w:szCs w:val="19"/>
              </w:rPr>
              <w:t>310,823</w:t>
            </w:r>
          </w:p>
        </w:tc>
      </w:tr>
      <w:tr w:rsidR="00EE36EF" w:rsidRPr="009702B0" w14:paraId="6BF8EB42" w14:textId="77777777" w:rsidTr="006B318F">
        <w:tblPrEx>
          <w:tblCellMar>
            <w:left w:w="31" w:type="dxa"/>
            <w:right w:w="31" w:type="dxa"/>
          </w:tblCellMar>
        </w:tblPrEx>
        <w:trPr>
          <w:cantSplit/>
          <w:trHeight w:val="253"/>
          <w:tblHeader/>
        </w:trPr>
        <w:tc>
          <w:tcPr>
            <w:tcW w:w="2308" w:type="pct"/>
            <w:vAlign w:val="bottom"/>
          </w:tcPr>
          <w:p w14:paraId="488AA9EA" w14:textId="77777777" w:rsidR="00EE36EF" w:rsidRPr="009702B0" w:rsidRDefault="00EE36EF" w:rsidP="00EE36EF">
            <w:pPr>
              <w:spacing w:after="0" w:line="280" w:lineRule="exact"/>
              <w:rPr>
                <w:rFonts w:cs="Arial"/>
                <w:b/>
                <w:bCs/>
                <w:sz w:val="19"/>
                <w:szCs w:val="19"/>
              </w:rPr>
            </w:pPr>
            <w:r w:rsidRPr="009702B0">
              <w:rPr>
                <w:rFonts w:cs="Arial"/>
                <w:b/>
                <w:bCs/>
                <w:sz w:val="19"/>
                <w:szCs w:val="19"/>
              </w:rPr>
              <w:t xml:space="preserve">Total credit risk exposure </w:t>
            </w:r>
          </w:p>
        </w:tc>
        <w:tc>
          <w:tcPr>
            <w:tcW w:w="673" w:type="pct"/>
            <w:tcBorders>
              <w:top w:val="single" w:sz="4" w:space="0" w:color="auto"/>
              <w:left w:val="nil"/>
              <w:bottom w:val="single" w:sz="12" w:space="0" w:color="auto"/>
              <w:right w:val="nil"/>
            </w:tcBorders>
            <w:shd w:val="clear" w:color="000000" w:fill="auto"/>
            <w:vAlign w:val="bottom"/>
          </w:tcPr>
          <w:p w14:paraId="0AA56235" w14:textId="75EDB018" w:rsidR="00EE36EF" w:rsidRPr="005444AA" w:rsidRDefault="00EE36EF" w:rsidP="00EE36EF">
            <w:pPr>
              <w:tabs>
                <w:tab w:val="right" w:pos="1202"/>
              </w:tabs>
              <w:spacing w:after="0" w:line="240" w:lineRule="auto"/>
              <w:jc w:val="right"/>
              <w:outlineLvl w:val="0"/>
              <w:rPr>
                <w:rFonts w:cs="Arial"/>
                <w:b/>
                <w:bCs/>
                <w:sz w:val="19"/>
                <w:szCs w:val="19"/>
              </w:rPr>
            </w:pPr>
            <w:r w:rsidRPr="009C3631">
              <w:rPr>
                <w:rFonts w:cs="Arial"/>
                <w:b/>
                <w:bCs/>
                <w:sz w:val="19"/>
                <w:szCs w:val="19"/>
              </w:rPr>
              <w:t>33</w:t>
            </w:r>
            <w:r>
              <w:rPr>
                <w:rFonts w:cs="Arial"/>
                <w:b/>
                <w:bCs/>
                <w:sz w:val="19"/>
                <w:szCs w:val="19"/>
              </w:rPr>
              <w:t>,</w:t>
            </w:r>
            <w:r w:rsidRPr="009C3631">
              <w:rPr>
                <w:rFonts w:cs="Arial"/>
                <w:b/>
                <w:bCs/>
                <w:sz w:val="19"/>
                <w:szCs w:val="19"/>
              </w:rPr>
              <w:t>675</w:t>
            </w:r>
            <w:r>
              <w:rPr>
                <w:rFonts w:cs="Arial"/>
                <w:b/>
                <w:bCs/>
                <w:sz w:val="19"/>
                <w:szCs w:val="19"/>
              </w:rPr>
              <w:t>,</w:t>
            </w:r>
            <w:r w:rsidRPr="009C3631">
              <w:rPr>
                <w:rFonts w:cs="Arial"/>
                <w:b/>
                <w:bCs/>
                <w:sz w:val="19"/>
                <w:szCs w:val="19"/>
              </w:rPr>
              <w:t>265</w:t>
            </w:r>
          </w:p>
        </w:tc>
        <w:tc>
          <w:tcPr>
            <w:tcW w:w="673" w:type="pct"/>
            <w:tcBorders>
              <w:top w:val="single" w:sz="4" w:space="0" w:color="auto"/>
              <w:left w:val="nil"/>
              <w:bottom w:val="single" w:sz="12" w:space="0" w:color="auto"/>
              <w:right w:val="nil"/>
            </w:tcBorders>
            <w:shd w:val="clear" w:color="000000" w:fill="auto"/>
            <w:vAlign w:val="bottom"/>
          </w:tcPr>
          <w:p w14:paraId="05B549D3" w14:textId="4928998D" w:rsidR="00EE36EF" w:rsidRPr="005444AA" w:rsidRDefault="00EE36EF" w:rsidP="00EE36EF">
            <w:pPr>
              <w:tabs>
                <w:tab w:val="right" w:pos="1202"/>
              </w:tabs>
              <w:spacing w:after="0" w:line="240" w:lineRule="auto"/>
              <w:jc w:val="right"/>
              <w:outlineLvl w:val="0"/>
              <w:rPr>
                <w:rFonts w:cs="Arial"/>
                <w:b/>
                <w:bCs/>
                <w:sz w:val="19"/>
                <w:szCs w:val="19"/>
              </w:rPr>
            </w:pPr>
            <w:r w:rsidRPr="009C3631">
              <w:rPr>
                <w:rFonts w:cs="Arial"/>
                <w:b/>
                <w:bCs/>
                <w:sz w:val="19"/>
                <w:szCs w:val="19"/>
              </w:rPr>
              <w:t>5</w:t>
            </w:r>
            <w:r>
              <w:rPr>
                <w:rFonts w:cs="Arial"/>
                <w:b/>
                <w:bCs/>
                <w:sz w:val="19"/>
                <w:szCs w:val="19"/>
              </w:rPr>
              <w:t>,</w:t>
            </w:r>
            <w:r w:rsidRPr="009C3631">
              <w:rPr>
                <w:rFonts w:cs="Arial"/>
                <w:b/>
                <w:bCs/>
                <w:sz w:val="19"/>
                <w:szCs w:val="19"/>
              </w:rPr>
              <w:t>921</w:t>
            </w:r>
            <w:r>
              <w:rPr>
                <w:rFonts w:cs="Arial"/>
                <w:b/>
                <w:bCs/>
                <w:sz w:val="19"/>
                <w:szCs w:val="19"/>
              </w:rPr>
              <w:t>,</w:t>
            </w:r>
            <w:r w:rsidRPr="009C3631">
              <w:rPr>
                <w:rFonts w:cs="Arial"/>
                <w:b/>
                <w:bCs/>
                <w:sz w:val="19"/>
                <w:szCs w:val="19"/>
              </w:rPr>
              <w:t>486</w:t>
            </w:r>
          </w:p>
        </w:tc>
        <w:tc>
          <w:tcPr>
            <w:tcW w:w="673" w:type="pct"/>
            <w:tcBorders>
              <w:top w:val="single" w:sz="4" w:space="0" w:color="auto"/>
              <w:left w:val="nil"/>
              <w:bottom w:val="single" w:sz="12" w:space="0" w:color="auto"/>
              <w:right w:val="nil"/>
            </w:tcBorders>
            <w:shd w:val="clear" w:color="auto" w:fill="auto"/>
            <w:vAlign w:val="bottom"/>
          </w:tcPr>
          <w:p w14:paraId="16DDCA78" w14:textId="77777777" w:rsidR="00EE36EF" w:rsidRPr="00166751" w:rsidRDefault="00EE36EF" w:rsidP="00EE36EF">
            <w:pPr>
              <w:tabs>
                <w:tab w:val="right" w:pos="1202"/>
              </w:tabs>
              <w:spacing w:after="0" w:line="240" w:lineRule="auto"/>
              <w:jc w:val="right"/>
              <w:outlineLvl w:val="0"/>
              <w:rPr>
                <w:rFonts w:asciiTheme="minorHAnsi" w:hAnsiTheme="minorHAnsi"/>
                <w:b/>
                <w:noProof/>
                <w:sz w:val="19"/>
                <w:szCs w:val="19"/>
                <w:lang w:eastAsia="hr-HR"/>
              </w:rPr>
            </w:pPr>
            <w:r w:rsidRPr="00166751">
              <w:rPr>
                <w:rFonts w:cs="Arial"/>
                <w:b/>
                <w:bCs/>
                <w:sz w:val="19"/>
                <w:szCs w:val="19"/>
              </w:rPr>
              <w:t>33,168,139</w:t>
            </w:r>
          </w:p>
        </w:tc>
        <w:tc>
          <w:tcPr>
            <w:tcW w:w="673" w:type="pct"/>
            <w:tcBorders>
              <w:top w:val="single" w:sz="4" w:space="0" w:color="auto"/>
              <w:left w:val="nil"/>
              <w:bottom w:val="single" w:sz="12" w:space="0" w:color="auto"/>
              <w:right w:val="nil"/>
            </w:tcBorders>
            <w:shd w:val="clear" w:color="auto" w:fill="auto"/>
            <w:vAlign w:val="bottom"/>
          </w:tcPr>
          <w:p w14:paraId="55AD1484" w14:textId="77777777" w:rsidR="00EE36EF" w:rsidRPr="00166751" w:rsidRDefault="00EE36EF" w:rsidP="00EE36EF">
            <w:pPr>
              <w:tabs>
                <w:tab w:val="right" w:pos="1202"/>
              </w:tabs>
              <w:spacing w:after="0" w:line="240" w:lineRule="auto"/>
              <w:jc w:val="right"/>
              <w:outlineLvl w:val="0"/>
              <w:rPr>
                <w:rFonts w:asciiTheme="minorHAnsi" w:hAnsiTheme="minorHAnsi" w:cs="Arial"/>
                <w:b/>
                <w:sz w:val="19"/>
                <w:szCs w:val="19"/>
              </w:rPr>
            </w:pPr>
            <w:r w:rsidRPr="00166751">
              <w:rPr>
                <w:rFonts w:cs="Arial"/>
                <w:b/>
                <w:bCs/>
                <w:sz w:val="19"/>
                <w:szCs w:val="19"/>
              </w:rPr>
              <w:t>6,017,929</w:t>
            </w:r>
          </w:p>
        </w:tc>
      </w:tr>
      <w:tr w:rsidR="001D19EE" w:rsidRPr="009702B0" w14:paraId="37D90BB7" w14:textId="77777777" w:rsidTr="009702B0">
        <w:tblPrEx>
          <w:tblCellMar>
            <w:left w:w="31" w:type="dxa"/>
            <w:right w:w="31" w:type="dxa"/>
          </w:tblCellMar>
        </w:tblPrEx>
        <w:trPr>
          <w:cantSplit/>
          <w:trHeight w:val="30"/>
          <w:tblHeader/>
        </w:trPr>
        <w:tc>
          <w:tcPr>
            <w:tcW w:w="2308" w:type="pct"/>
            <w:vAlign w:val="bottom"/>
          </w:tcPr>
          <w:p w14:paraId="476644FA" w14:textId="77777777" w:rsidR="001D19EE" w:rsidRPr="009702B0" w:rsidRDefault="001D19EE" w:rsidP="001D19EE">
            <w:pPr>
              <w:spacing w:after="0" w:line="280" w:lineRule="exact"/>
              <w:rPr>
                <w:rFonts w:cs="Arial"/>
                <w:bCs/>
                <w:sz w:val="19"/>
                <w:szCs w:val="19"/>
              </w:rPr>
            </w:pPr>
          </w:p>
        </w:tc>
        <w:tc>
          <w:tcPr>
            <w:tcW w:w="673" w:type="pct"/>
            <w:tcBorders>
              <w:top w:val="single" w:sz="12" w:space="0" w:color="auto"/>
            </w:tcBorders>
            <w:vAlign w:val="bottom"/>
          </w:tcPr>
          <w:p w14:paraId="39710A5B" w14:textId="77777777" w:rsidR="001D19EE" w:rsidRPr="009702B0" w:rsidRDefault="001D19EE" w:rsidP="001D19EE">
            <w:pPr>
              <w:tabs>
                <w:tab w:val="right" w:pos="1202"/>
              </w:tabs>
              <w:spacing w:after="0" w:line="280" w:lineRule="exact"/>
              <w:jc w:val="right"/>
              <w:outlineLvl w:val="0"/>
              <w:rPr>
                <w:rFonts w:eastAsia="Times New Roman" w:cs="Arial"/>
                <w:b/>
                <w:sz w:val="19"/>
                <w:szCs w:val="19"/>
              </w:rPr>
            </w:pPr>
          </w:p>
        </w:tc>
        <w:tc>
          <w:tcPr>
            <w:tcW w:w="673" w:type="pct"/>
            <w:tcBorders>
              <w:top w:val="single" w:sz="12" w:space="0" w:color="auto"/>
            </w:tcBorders>
            <w:vAlign w:val="bottom"/>
          </w:tcPr>
          <w:p w14:paraId="40A70F3D" w14:textId="77777777" w:rsidR="001D19EE" w:rsidRPr="009702B0" w:rsidRDefault="001D19EE" w:rsidP="001D19EE">
            <w:pPr>
              <w:tabs>
                <w:tab w:val="right" w:pos="1202"/>
              </w:tabs>
              <w:spacing w:after="0" w:line="280" w:lineRule="exact"/>
              <w:jc w:val="right"/>
              <w:outlineLvl w:val="0"/>
              <w:rPr>
                <w:rFonts w:eastAsia="Times New Roman" w:cs="Arial"/>
                <w:b/>
                <w:sz w:val="19"/>
                <w:szCs w:val="19"/>
              </w:rPr>
            </w:pPr>
          </w:p>
        </w:tc>
        <w:tc>
          <w:tcPr>
            <w:tcW w:w="673" w:type="pct"/>
            <w:tcBorders>
              <w:top w:val="single" w:sz="12" w:space="0" w:color="auto"/>
            </w:tcBorders>
            <w:vAlign w:val="bottom"/>
          </w:tcPr>
          <w:p w14:paraId="64006A41" w14:textId="77777777" w:rsidR="001D19EE" w:rsidRPr="009702B0" w:rsidRDefault="001D19EE" w:rsidP="001D19EE">
            <w:pPr>
              <w:tabs>
                <w:tab w:val="right" w:pos="1202"/>
              </w:tabs>
              <w:spacing w:after="0" w:line="280" w:lineRule="exact"/>
              <w:jc w:val="right"/>
              <w:outlineLvl w:val="0"/>
              <w:rPr>
                <w:rFonts w:eastAsia="Times New Roman" w:cs="Arial"/>
                <w:b/>
                <w:sz w:val="19"/>
                <w:szCs w:val="19"/>
              </w:rPr>
            </w:pPr>
          </w:p>
        </w:tc>
        <w:tc>
          <w:tcPr>
            <w:tcW w:w="673" w:type="pct"/>
            <w:tcBorders>
              <w:top w:val="single" w:sz="12" w:space="0" w:color="auto"/>
            </w:tcBorders>
            <w:vAlign w:val="bottom"/>
          </w:tcPr>
          <w:p w14:paraId="7EF92A4F" w14:textId="77777777" w:rsidR="001D19EE" w:rsidRPr="009702B0" w:rsidRDefault="001D19EE" w:rsidP="001D19EE">
            <w:pPr>
              <w:tabs>
                <w:tab w:val="right" w:pos="1202"/>
              </w:tabs>
              <w:spacing w:after="0" w:line="280" w:lineRule="exact"/>
              <w:jc w:val="right"/>
              <w:outlineLvl w:val="0"/>
              <w:rPr>
                <w:rFonts w:eastAsia="Times New Roman" w:cs="Arial"/>
                <w:b/>
                <w:sz w:val="19"/>
                <w:szCs w:val="19"/>
              </w:rPr>
            </w:pPr>
          </w:p>
        </w:tc>
      </w:tr>
    </w:tbl>
    <w:p w14:paraId="1CA33E6E" w14:textId="77777777" w:rsidR="009702B0" w:rsidRPr="009702B0" w:rsidRDefault="009702B0" w:rsidP="009702B0">
      <w:pPr>
        <w:keepNext/>
        <w:spacing w:after="0" w:line="240" w:lineRule="auto"/>
        <w:jc w:val="both"/>
        <w:rPr>
          <w:rFonts w:eastAsia="Times New Roman" w:cs="Arial"/>
          <w:bCs/>
        </w:rPr>
      </w:pPr>
    </w:p>
    <w:p w14:paraId="3D9EB85C" w14:textId="77777777" w:rsidR="009702B0" w:rsidRPr="009702B0" w:rsidRDefault="009702B0" w:rsidP="009702B0">
      <w:pPr>
        <w:keepNext/>
        <w:spacing w:after="0" w:line="240" w:lineRule="auto"/>
        <w:jc w:val="both"/>
        <w:rPr>
          <w:rFonts w:eastAsia="Times New Roman" w:cs="Arial"/>
          <w:bCs/>
        </w:rPr>
      </w:pPr>
    </w:p>
    <w:p w14:paraId="0D137652" w14:textId="77777777" w:rsidR="009702B0" w:rsidRPr="009702B0" w:rsidRDefault="009702B0" w:rsidP="009702B0">
      <w:pPr>
        <w:keepNext/>
        <w:spacing w:after="0" w:line="240" w:lineRule="auto"/>
        <w:ind w:right="141"/>
        <w:jc w:val="both"/>
        <w:rPr>
          <w:rFonts w:eastAsia="Times New Roman" w:cs="Arial"/>
          <w:bCs/>
        </w:rPr>
      </w:pPr>
      <w:r w:rsidRPr="009702B0">
        <w:rPr>
          <w:rFonts w:eastAsia="Times New Roman" w:cs="Arial"/>
          <w:bCs/>
        </w:rPr>
        <w:t xml:space="preserve">Concentration of assets and guarantees and commitments according to industry for both years has been compiled in accordance with the National Classification of Activities 2007 (“NKD 2007”). </w:t>
      </w:r>
    </w:p>
    <w:p w14:paraId="3EAED38C" w14:textId="77777777" w:rsidR="009702B0" w:rsidRPr="009702B0" w:rsidRDefault="009702B0" w:rsidP="009702B0">
      <w:pPr>
        <w:keepNext/>
        <w:spacing w:after="0" w:line="240" w:lineRule="auto"/>
        <w:ind w:right="141"/>
        <w:jc w:val="both"/>
        <w:rPr>
          <w:rFonts w:eastAsia="Times New Roman" w:cs="Arial"/>
          <w:b/>
          <w:bCs/>
        </w:rPr>
      </w:pPr>
    </w:p>
    <w:p w14:paraId="53F67EB2" w14:textId="77777777" w:rsidR="009702B0" w:rsidRPr="009702B0" w:rsidRDefault="009702B0" w:rsidP="009702B0">
      <w:pPr>
        <w:spacing w:after="0" w:line="240" w:lineRule="auto"/>
        <w:ind w:right="141"/>
        <w:jc w:val="both"/>
        <w:rPr>
          <w:rFonts w:cs="Arial"/>
        </w:rPr>
      </w:pPr>
      <w:r w:rsidRPr="009702B0">
        <w:rPr>
          <w:rFonts w:cs="Arial"/>
        </w:rPr>
        <w:t>In the preparation of the Note, a combined approach is applied, which takes into consideration business activities of a debtor, retains the names of activities different from those in the National Classification of Activities and unites similar business activities.</w:t>
      </w:r>
    </w:p>
    <w:p w14:paraId="32674E87" w14:textId="77777777" w:rsidR="009702B0" w:rsidRPr="009702B0" w:rsidRDefault="009702B0" w:rsidP="009702B0">
      <w:pPr>
        <w:spacing w:after="0" w:line="240" w:lineRule="auto"/>
        <w:ind w:right="141"/>
        <w:jc w:val="both"/>
        <w:rPr>
          <w:rFonts w:cs="Arial"/>
        </w:rPr>
        <w:sectPr w:rsidR="009702B0" w:rsidRPr="009702B0" w:rsidSect="00947CB7">
          <w:footerReference w:type="first" r:id="rId85"/>
          <w:pgSz w:w="11906" w:h="16838" w:code="9"/>
          <w:pgMar w:top="1418" w:right="1418" w:bottom="595" w:left="1134" w:header="709" w:footer="709" w:gutter="0"/>
          <w:cols w:space="708"/>
          <w:titlePg/>
          <w:docGrid w:linePitch="360"/>
        </w:sectPr>
      </w:pPr>
    </w:p>
    <w:p w14:paraId="403C5F0B" w14:textId="77777777" w:rsidR="009702B0" w:rsidRPr="009702B0" w:rsidRDefault="009702B0" w:rsidP="009702B0">
      <w:pPr>
        <w:spacing w:after="0" w:line="240" w:lineRule="auto"/>
        <w:ind w:right="141"/>
        <w:jc w:val="both"/>
        <w:rPr>
          <w:rFonts w:cs="Arial"/>
        </w:rPr>
      </w:pPr>
    </w:p>
    <w:p w14:paraId="67170634"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14:paraId="7955F797" w14:textId="77777777" w:rsidR="009702B0" w:rsidRPr="009702B0" w:rsidRDefault="009702B0" w:rsidP="009702B0">
      <w:pPr>
        <w:keepNext/>
        <w:spacing w:after="0" w:line="240" w:lineRule="auto"/>
        <w:jc w:val="both"/>
        <w:rPr>
          <w:rFonts w:eastAsia="Times New Roman" w:cs="Arial"/>
          <w:b/>
          <w:bCs/>
        </w:rPr>
      </w:pPr>
    </w:p>
    <w:p w14:paraId="720861F9"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 xml:space="preserve">16.2. </w:t>
      </w:r>
      <w:r w:rsidRPr="009702B0">
        <w:rPr>
          <w:rFonts w:eastAsia="Times New Roman" w:cs="Arial"/>
          <w:b/>
          <w:bCs/>
        </w:rPr>
        <w:tab/>
        <w:t>Credit risk (continued)</w:t>
      </w:r>
    </w:p>
    <w:p w14:paraId="46A3930E" w14:textId="77777777" w:rsidR="009702B0" w:rsidRPr="009702B0" w:rsidRDefault="009702B0" w:rsidP="009702B0">
      <w:pPr>
        <w:keepNext/>
        <w:spacing w:after="0" w:line="240" w:lineRule="auto"/>
        <w:jc w:val="both"/>
        <w:rPr>
          <w:rFonts w:eastAsia="Times New Roman" w:cs="Arial"/>
          <w:b/>
          <w:bCs/>
        </w:rPr>
      </w:pPr>
    </w:p>
    <w:p w14:paraId="0C4D54D5"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Concentration of risk and maximum credit risk exposure (continued)</w:t>
      </w:r>
    </w:p>
    <w:p w14:paraId="0DBC3391" w14:textId="77777777" w:rsidR="009702B0" w:rsidRPr="009702B0" w:rsidRDefault="009702B0" w:rsidP="009702B0">
      <w:pPr>
        <w:keepNext/>
        <w:spacing w:after="0" w:line="240" w:lineRule="auto"/>
        <w:jc w:val="both"/>
        <w:rPr>
          <w:rFonts w:eastAsia="Times New Roman" w:cs="Arial"/>
          <w:b/>
          <w:bCs/>
        </w:rPr>
      </w:pPr>
    </w:p>
    <w:p w14:paraId="08130065" w14:textId="3D5E5114" w:rsidR="009702B0" w:rsidRPr="009702B0" w:rsidRDefault="009702B0" w:rsidP="009702B0">
      <w:pPr>
        <w:tabs>
          <w:tab w:val="right" w:pos="9129"/>
        </w:tabs>
        <w:spacing w:after="0" w:line="240" w:lineRule="auto"/>
        <w:jc w:val="both"/>
        <w:rPr>
          <w:rFonts w:cs="Arial"/>
          <w:bCs/>
        </w:rPr>
      </w:pPr>
      <w:r w:rsidRPr="007147C5">
        <w:rPr>
          <w:rFonts w:cs="Arial"/>
          <w:bCs/>
        </w:rPr>
        <w:t xml:space="preserve">The fair value of collateral for the Group as of </w:t>
      </w:r>
      <w:r w:rsidR="0044104F" w:rsidRPr="0044104F">
        <w:rPr>
          <w:rFonts w:cs="Arial"/>
          <w:bCs/>
        </w:rPr>
        <w:t xml:space="preserve">30 </w:t>
      </w:r>
      <w:r w:rsidR="008B57D7">
        <w:rPr>
          <w:rFonts w:cs="Arial"/>
          <w:bCs/>
        </w:rPr>
        <w:t>September</w:t>
      </w:r>
      <w:r w:rsidR="008B57D7" w:rsidRPr="0044104F">
        <w:rPr>
          <w:rFonts w:cs="Arial"/>
          <w:bCs/>
        </w:rPr>
        <w:t xml:space="preserve"> </w:t>
      </w:r>
      <w:r w:rsidR="00693680" w:rsidRPr="007147C5">
        <w:rPr>
          <w:rFonts w:cs="Arial"/>
          <w:bCs/>
        </w:rPr>
        <w:t>2017</w:t>
      </w:r>
      <w:r w:rsidRPr="007147C5">
        <w:rPr>
          <w:rFonts w:cs="Arial"/>
          <w:bCs/>
        </w:rPr>
        <w:t xml:space="preserve"> amounted to HRK </w:t>
      </w:r>
      <w:r w:rsidR="00AD162A" w:rsidRPr="00AD162A">
        <w:rPr>
          <w:rFonts w:cs="Arial"/>
          <w:bCs/>
        </w:rPr>
        <w:t xml:space="preserve">27,762,017 </w:t>
      </w:r>
      <w:r w:rsidRPr="007147C5">
        <w:rPr>
          <w:rFonts w:cs="Arial"/>
          <w:bCs/>
        </w:rPr>
        <w:t>thousand (31 December 201</w:t>
      </w:r>
      <w:r w:rsidR="00693680" w:rsidRPr="007147C5">
        <w:rPr>
          <w:rFonts w:cs="Arial"/>
          <w:bCs/>
        </w:rPr>
        <w:t>6</w:t>
      </w:r>
      <w:r w:rsidRPr="007147C5">
        <w:rPr>
          <w:rFonts w:cs="Arial"/>
          <w:bCs/>
        </w:rPr>
        <w:t xml:space="preserve">: HRK </w:t>
      </w:r>
      <w:r w:rsidR="00693680" w:rsidRPr="007147C5">
        <w:rPr>
          <w:rFonts w:cs="Arial"/>
          <w:bCs/>
        </w:rPr>
        <w:t>27,157,039</w:t>
      </w:r>
      <w:r w:rsidRPr="007147C5">
        <w:rPr>
          <w:rFonts w:cs="Arial"/>
          <w:bCs/>
        </w:rPr>
        <w:t xml:space="preserve"> thousand), and for the Bank HRK </w:t>
      </w:r>
      <w:r w:rsidR="009D7407" w:rsidRPr="009D7407">
        <w:rPr>
          <w:rFonts w:cs="Arial"/>
          <w:bCs/>
        </w:rPr>
        <w:t xml:space="preserve">27,753,779 </w:t>
      </w:r>
      <w:r w:rsidRPr="007147C5">
        <w:rPr>
          <w:rFonts w:cs="Arial"/>
          <w:bCs/>
        </w:rPr>
        <w:t>thousand (31 December 201</w:t>
      </w:r>
      <w:r w:rsidR="00693680" w:rsidRPr="007147C5">
        <w:rPr>
          <w:rFonts w:cs="Arial"/>
          <w:bCs/>
        </w:rPr>
        <w:t>6</w:t>
      </w:r>
      <w:r w:rsidRPr="007147C5">
        <w:rPr>
          <w:rFonts w:cs="Arial"/>
          <w:bCs/>
        </w:rPr>
        <w:t xml:space="preserve">: HRK </w:t>
      </w:r>
      <w:r w:rsidR="00693680" w:rsidRPr="007147C5">
        <w:rPr>
          <w:rFonts w:cs="Arial"/>
          <w:bCs/>
        </w:rPr>
        <w:t>2</w:t>
      </w:r>
      <w:r w:rsidR="007147C5" w:rsidRPr="007147C5">
        <w:rPr>
          <w:rFonts w:cs="Arial"/>
          <w:bCs/>
        </w:rPr>
        <w:t>7</w:t>
      </w:r>
      <w:r w:rsidR="00693680" w:rsidRPr="007147C5">
        <w:rPr>
          <w:rFonts w:cs="Arial"/>
          <w:bCs/>
        </w:rPr>
        <w:t>,15</w:t>
      </w:r>
      <w:r w:rsidR="007147C5" w:rsidRPr="007147C5">
        <w:rPr>
          <w:rFonts w:cs="Arial"/>
          <w:bCs/>
        </w:rPr>
        <w:t>0</w:t>
      </w:r>
      <w:r w:rsidR="00693680" w:rsidRPr="007147C5">
        <w:rPr>
          <w:rFonts w:cs="Arial"/>
          <w:bCs/>
        </w:rPr>
        <w:t>,</w:t>
      </w:r>
      <w:r w:rsidR="007147C5" w:rsidRPr="007147C5">
        <w:rPr>
          <w:rFonts w:cs="Arial"/>
          <w:bCs/>
        </w:rPr>
        <w:t>210</w:t>
      </w:r>
      <w:r w:rsidRPr="007147C5">
        <w:rPr>
          <w:rFonts w:cs="Arial"/>
          <w:bCs/>
        </w:rPr>
        <w:t xml:space="preserve"> thousand).</w:t>
      </w:r>
    </w:p>
    <w:p w14:paraId="5C02D771" w14:textId="77777777" w:rsidR="009702B0" w:rsidRPr="009702B0" w:rsidRDefault="009702B0" w:rsidP="009702B0">
      <w:pPr>
        <w:tabs>
          <w:tab w:val="right" w:pos="9129"/>
        </w:tabs>
        <w:spacing w:after="0" w:line="240" w:lineRule="auto"/>
        <w:jc w:val="both"/>
        <w:rPr>
          <w:rFonts w:cs="Arial"/>
          <w:bCs/>
        </w:rPr>
      </w:pPr>
    </w:p>
    <w:p w14:paraId="740FDF17" w14:textId="6DDAE0B7" w:rsidR="009702B0" w:rsidRPr="009702B0" w:rsidRDefault="009702B0" w:rsidP="009702B0">
      <w:pPr>
        <w:tabs>
          <w:tab w:val="right" w:pos="9129"/>
        </w:tabs>
        <w:spacing w:after="0" w:line="240" w:lineRule="auto"/>
        <w:jc w:val="both"/>
        <w:rPr>
          <w:rFonts w:cs="Arial"/>
          <w:bCs/>
        </w:rPr>
      </w:pPr>
      <w:r w:rsidRPr="009702B0">
        <w:rPr>
          <w:rFonts w:cs="Arial"/>
          <w:bCs/>
        </w:rPr>
        <w:t xml:space="preserve">In the total net highest exposure of the Bank as of </w:t>
      </w:r>
      <w:r w:rsidR="0044104F" w:rsidRPr="0044104F">
        <w:rPr>
          <w:rFonts w:cs="Arial"/>
          <w:bCs/>
        </w:rPr>
        <w:t xml:space="preserve">30 </w:t>
      </w:r>
      <w:r w:rsidR="008B57D7">
        <w:rPr>
          <w:rFonts w:cs="Arial"/>
          <w:bCs/>
        </w:rPr>
        <w:t>September</w:t>
      </w:r>
      <w:r w:rsidR="008B57D7" w:rsidRPr="0044104F">
        <w:rPr>
          <w:rFonts w:cs="Arial"/>
          <w:bCs/>
        </w:rPr>
        <w:t xml:space="preserve"> </w:t>
      </w:r>
      <w:r w:rsidR="00693680" w:rsidRPr="00693680">
        <w:rPr>
          <w:rFonts w:cs="Arial"/>
          <w:bCs/>
        </w:rPr>
        <w:t>2017</w:t>
      </w:r>
      <w:r w:rsidRPr="009702B0">
        <w:rPr>
          <w:rFonts w:cs="Arial"/>
          <w:bCs/>
        </w:rPr>
        <w:t xml:space="preserve">, the credit risk of HRK </w:t>
      </w:r>
      <w:r w:rsidR="009D7407" w:rsidRPr="009D7407">
        <w:rPr>
          <w:rFonts w:cs="Arial"/>
          <w:bCs/>
        </w:rPr>
        <w:t xml:space="preserve">3,940,148 </w:t>
      </w:r>
      <w:r w:rsidRPr="009702B0">
        <w:rPr>
          <w:rFonts w:cs="Arial"/>
          <w:bCs/>
        </w:rPr>
        <w:t>thousand (31 December 201</w:t>
      </w:r>
      <w:r w:rsidR="00693680" w:rsidRPr="00693680">
        <w:rPr>
          <w:rFonts w:cs="Arial"/>
          <w:bCs/>
        </w:rPr>
        <w:t>6</w:t>
      </w:r>
      <w:r w:rsidRPr="009702B0">
        <w:rPr>
          <w:rFonts w:cs="Arial"/>
          <w:bCs/>
        </w:rPr>
        <w:t xml:space="preserve">: HRK </w:t>
      </w:r>
      <w:r w:rsidR="00693680" w:rsidRPr="00693680">
        <w:rPr>
          <w:rFonts w:cs="Arial"/>
          <w:bCs/>
        </w:rPr>
        <w:t>4,136,125</w:t>
      </w:r>
      <w:r w:rsidRPr="009702B0">
        <w:rPr>
          <w:rFonts w:cs="Arial"/>
          <w:bCs/>
        </w:rPr>
        <w:t xml:space="preserve"> thousand) is not covered with ordinary collateral, but it relates to receivables and received funds from the Republic of Croatia of HRK </w:t>
      </w:r>
      <w:r w:rsidR="009D7407" w:rsidRPr="009D7407">
        <w:rPr>
          <w:rFonts w:cs="Arial"/>
          <w:bCs/>
        </w:rPr>
        <w:t xml:space="preserve">611,997 </w:t>
      </w:r>
      <w:r w:rsidRPr="009702B0">
        <w:rPr>
          <w:rFonts w:cs="Arial"/>
          <w:bCs/>
        </w:rPr>
        <w:t>thousand (31 December 201</w:t>
      </w:r>
      <w:r w:rsidR="00693680" w:rsidRPr="00693680">
        <w:rPr>
          <w:rFonts w:cs="Arial"/>
          <w:bCs/>
        </w:rPr>
        <w:t>6</w:t>
      </w:r>
      <w:r w:rsidRPr="009702B0">
        <w:rPr>
          <w:rFonts w:cs="Arial"/>
          <w:bCs/>
        </w:rPr>
        <w:t xml:space="preserve">: HRK </w:t>
      </w:r>
      <w:r w:rsidR="00693680" w:rsidRPr="00693680">
        <w:rPr>
          <w:rFonts w:cs="Arial"/>
          <w:bCs/>
        </w:rPr>
        <w:t>867,410</w:t>
      </w:r>
      <w:r w:rsidRPr="009702B0">
        <w:rPr>
          <w:rFonts w:cs="Arial"/>
          <w:bCs/>
        </w:rPr>
        <w:t xml:space="preserve"> thousand), from local (regional) authorities of HRK </w:t>
      </w:r>
      <w:r w:rsidR="009D7407" w:rsidRPr="009D7407">
        <w:rPr>
          <w:rFonts w:cs="Arial"/>
          <w:bCs/>
        </w:rPr>
        <w:t xml:space="preserve">504,120 </w:t>
      </w:r>
      <w:r w:rsidRPr="009702B0">
        <w:rPr>
          <w:rFonts w:cs="Arial"/>
          <w:bCs/>
        </w:rPr>
        <w:t>thousand (31 December 201</w:t>
      </w:r>
      <w:r w:rsidR="00693680" w:rsidRPr="00693680">
        <w:rPr>
          <w:rFonts w:cs="Arial"/>
          <w:bCs/>
        </w:rPr>
        <w:t>6</w:t>
      </w:r>
      <w:r w:rsidRPr="009702B0">
        <w:rPr>
          <w:rFonts w:cs="Arial"/>
          <w:bCs/>
        </w:rPr>
        <w:t xml:space="preserve">: HRK </w:t>
      </w:r>
      <w:r w:rsidR="00551F19" w:rsidRPr="00551F19">
        <w:rPr>
          <w:rFonts w:cs="Arial"/>
          <w:bCs/>
        </w:rPr>
        <w:t>395,629</w:t>
      </w:r>
      <w:r w:rsidRPr="009702B0">
        <w:rPr>
          <w:rFonts w:cs="Arial"/>
          <w:bCs/>
        </w:rPr>
        <w:t xml:space="preserve"> thousand), state-owned companies for whose commitments the Republic of Croatia guarantees jointly and unconditionally of HRK </w:t>
      </w:r>
      <w:r w:rsidR="009D7407" w:rsidRPr="009D7407">
        <w:rPr>
          <w:rFonts w:cs="Arial"/>
          <w:bCs/>
        </w:rPr>
        <w:t>240,746</w:t>
      </w:r>
      <w:r w:rsidR="009D7407">
        <w:rPr>
          <w:rFonts w:cs="Arial"/>
          <w:bCs/>
        </w:rPr>
        <w:t xml:space="preserve"> </w:t>
      </w:r>
      <w:r w:rsidRPr="007147C5">
        <w:rPr>
          <w:rFonts w:cs="Arial"/>
          <w:bCs/>
        </w:rPr>
        <w:t>thousand</w:t>
      </w:r>
      <w:r w:rsidRPr="009702B0">
        <w:rPr>
          <w:rFonts w:cs="Arial"/>
          <w:bCs/>
        </w:rPr>
        <w:t xml:space="preserve"> (31 December 201</w:t>
      </w:r>
      <w:r w:rsidR="00693680" w:rsidRPr="00693680">
        <w:rPr>
          <w:rFonts w:cs="Arial"/>
          <w:bCs/>
        </w:rPr>
        <w:t>6</w:t>
      </w:r>
      <w:r w:rsidRPr="009702B0">
        <w:rPr>
          <w:rFonts w:cs="Arial"/>
          <w:bCs/>
        </w:rPr>
        <w:t xml:space="preserve">: HRK </w:t>
      </w:r>
      <w:r w:rsidR="00551F19" w:rsidRPr="00551F19">
        <w:rPr>
          <w:rFonts w:cs="Arial"/>
          <w:bCs/>
        </w:rPr>
        <w:t>242,735</w:t>
      </w:r>
      <w:r w:rsidRPr="009702B0">
        <w:rPr>
          <w:rFonts w:cs="Arial"/>
          <w:bCs/>
        </w:rPr>
        <w:t xml:space="preserve"> thousand), government funds of HRK </w:t>
      </w:r>
      <w:r w:rsidR="009D7407" w:rsidRPr="009D7407">
        <w:rPr>
          <w:rFonts w:cs="Arial"/>
          <w:bCs/>
        </w:rPr>
        <w:t>33</w:t>
      </w:r>
      <w:r w:rsidR="009D7407">
        <w:rPr>
          <w:rFonts w:cs="Arial"/>
          <w:bCs/>
        </w:rPr>
        <w:t xml:space="preserve"> </w:t>
      </w:r>
      <w:r w:rsidRPr="007147C5">
        <w:rPr>
          <w:rFonts w:cs="Arial"/>
          <w:bCs/>
        </w:rPr>
        <w:t>thousand (31 December 201</w:t>
      </w:r>
      <w:r w:rsidR="00693680" w:rsidRPr="007147C5">
        <w:rPr>
          <w:rFonts w:cs="Arial"/>
          <w:bCs/>
        </w:rPr>
        <w:t>6</w:t>
      </w:r>
      <w:r w:rsidRPr="007147C5">
        <w:rPr>
          <w:rFonts w:cs="Arial"/>
          <w:bCs/>
        </w:rPr>
        <w:t xml:space="preserve">: HRK </w:t>
      </w:r>
      <w:r w:rsidR="00551F19" w:rsidRPr="007147C5">
        <w:rPr>
          <w:rFonts w:cs="Arial"/>
          <w:bCs/>
        </w:rPr>
        <w:t>1,250</w:t>
      </w:r>
      <w:r w:rsidRPr="007147C5">
        <w:rPr>
          <w:rFonts w:cs="Arial"/>
          <w:bCs/>
        </w:rPr>
        <w:t xml:space="preserve"> thousand), government bonds and Treasury bills of the Ministry of Finance of HRK </w:t>
      </w:r>
      <w:r w:rsidR="009D7407" w:rsidRPr="009D7407">
        <w:rPr>
          <w:rFonts w:cs="Arial"/>
          <w:bCs/>
        </w:rPr>
        <w:t xml:space="preserve">2,412,228 </w:t>
      </w:r>
      <w:r w:rsidRPr="007147C5">
        <w:rPr>
          <w:rFonts w:cs="Arial"/>
          <w:bCs/>
        </w:rPr>
        <w:t>thousand (31 December 201</w:t>
      </w:r>
      <w:r w:rsidR="00693680" w:rsidRPr="007147C5">
        <w:rPr>
          <w:rFonts w:cs="Arial"/>
          <w:bCs/>
        </w:rPr>
        <w:t>6</w:t>
      </w:r>
      <w:r w:rsidRPr="007147C5">
        <w:rPr>
          <w:rFonts w:cs="Arial"/>
          <w:bCs/>
        </w:rPr>
        <w:t xml:space="preserve">: HRK </w:t>
      </w:r>
      <w:r w:rsidR="00551F19" w:rsidRPr="007147C5">
        <w:rPr>
          <w:rFonts w:cs="Arial"/>
          <w:bCs/>
        </w:rPr>
        <w:t>2,399,224</w:t>
      </w:r>
      <w:r w:rsidRPr="007147C5">
        <w:rPr>
          <w:rFonts w:cs="Arial"/>
          <w:bCs/>
        </w:rPr>
        <w:t xml:space="preserve"> thousand). In addition, an amount of HRK </w:t>
      </w:r>
      <w:r w:rsidR="009D7407" w:rsidRPr="009D7407">
        <w:rPr>
          <w:rFonts w:cs="Arial"/>
          <w:bCs/>
        </w:rPr>
        <w:t>171,024</w:t>
      </w:r>
      <w:r w:rsidR="009D7407">
        <w:rPr>
          <w:rFonts w:cs="Arial"/>
          <w:bCs/>
        </w:rPr>
        <w:t xml:space="preserve"> </w:t>
      </w:r>
      <w:r w:rsidRPr="007147C5">
        <w:rPr>
          <w:rFonts w:cs="Arial"/>
          <w:bCs/>
        </w:rPr>
        <w:t>thousand (31 December 201</w:t>
      </w:r>
      <w:r w:rsidR="00693680" w:rsidRPr="007147C5">
        <w:rPr>
          <w:rFonts w:cs="Arial"/>
          <w:bCs/>
        </w:rPr>
        <w:t>6</w:t>
      </w:r>
      <w:r w:rsidRPr="007147C5">
        <w:rPr>
          <w:rFonts w:cs="Arial"/>
          <w:bCs/>
        </w:rPr>
        <w:t xml:space="preserve">: HRK </w:t>
      </w:r>
      <w:r w:rsidR="00551F19" w:rsidRPr="00ED60F2">
        <w:rPr>
          <w:rFonts w:cs="Arial"/>
          <w:bCs/>
        </w:rPr>
        <w:t>229,877</w:t>
      </w:r>
      <w:r w:rsidRPr="00ED60F2">
        <w:rPr>
          <w:rFonts w:cs="Arial"/>
          <w:bCs/>
        </w:rPr>
        <w:t xml:space="preserve"> thousand) relates to receivables from a majority state</w:t>
      </w:r>
      <w:r w:rsidRPr="009702B0">
        <w:rPr>
          <w:rFonts w:cs="Arial"/>
          <w:bCs/>
        </w:rPr>
        <w:t>-owned company (controlling influence).</w:t>
      </w:r>
    </w:p>
    <w:p w14:paraId="1FEE7BC7" w14:textId="77777777" w:rsidR="009702B0" w:rsidRPr="009702B0" w:rsidRDefault="009702B0" w:rsidP="009702B0">
      <w:pPr>
        <w:tabs>
          <w:tab w:val="right" w:pos="9129"/>
        </w:tabs>
        <w:spacing w:after="0" w:line="240" w:lineRule="auto"/>
        <w:jc w:val="both"/>
        <w:rPr>
          <w:rFonts w:cs="Arial"/>
          <w:bCs/>
        </w:rPr>
      </w:pPr>
    </w:p>
    <w:p w14:paraId="1B0F560A" w14:textId="77777777" w:rsidR="009702B0" w:rsidRPr="009702B0" w:rsidRDefault="009702B0" w:rsidP="009702B0">
      <w:pPr>
        <w:tabs>
          <w:tab w:val="right" w:pos="9129"/>
        </w:tabs>
        <w:spacing w:after="0" w:line="240" w:lineRule="auto"/>
        <w:jc w:val="both"/>
        <w:rPr>
          <w:rFonts w:cs="Arial"/>
          <w:bCs/>
        </w:rPr>
      </w:pPr>
      <w:r w:rsidRPr="009702B0">
        <w:rPr>
          <w:rFonts w:cs="Arial"/>
          <w:bCs/>
        </w:rPr>
        <w:t xml:space="preserve">Part of the placements with net exposure relates to placements provisionally and partially covered with collateral and the further increase in exposure has been stopped pending the submission of the full collateral necessary for compliance with the requested collateral coverage ratio. </w:t>
      </w:r>
    </w:p>
    <w:p w14:paraId="366481D2" w14:textId="77777777" w:rsidR="009702B0" w:rsidRPr="009702B0" w:rsidRDefault="009702B0" w:rsidP="009702B0">
      <w:pPr>
        <w:tabs>
          <w:tab w:val="right" w:pos="9129"/>
        </w:tabs>
        <w:spacing w:after="0" w:line="240" w:lineRule="auto"/>
        <w:jc w:val="both"/>
        <w:rPr>
          <w:rFonts w:cs="Arial"/>
          <w:bCs/>
        </w:rPr>
      </w:pPr>
    </w:p>
    <w:p w14:paraId="48D51401" w14:textId="77777777" w:rsidR="009702B0" w:rsidRPr="009702B0" w:rsidRDefault="009702B0" w:rsidP="009702B0">
      <w:pPr>
        <w:tabs>
          <w:tab w:val="right" w:pos="9129"/>
        </w:tabs>
        <w:spacing w:after="0" w:line="240" w:lineRule="auto"/>
        <w:jc w:val="both"/>
        <w:rPr>
          <w:rFonts w:cs="Arial"/>
          <w:bCs/>
        </w:rPr>
      </w:pPr>
      <w:r w:rsidRPr="009702B0">
        <w:rPr>
          <w:rFonts w:cs="Arial"/>
          <w:bCs/>
        </w:rPr>
        <w:t>Financial intermediation includes mainly commercial banks.</w:t>
      </w:r>
    </w:p>
    <w:p w14:paraId="316D457A" w14:textId="77777777" w:rsidR="009702B0" w:rsidRPr="009702B0" w:rsidRDefault="009702B0" w:rsidP="009702B0">
      <w:pPr>
        <w:spacing w:after="0" w:line="240" w:lineRule="auto"/>
        <w:jc w:val="both"/>
        <w:rPr>
          <w:rFonts w:eastAsia="Times New Roman"/>
          <w:b/>
        </w:rPr>
      </w:pPr>
    </w:p>
    <w:p w14:paraId="480F2E5D" w14:textId="77777777" w:rsidR="009702B0" w:rsidRPr="009702B0" w:rsidRDefault="009702B0" w:rsidP="009702B0">
      <w:pPr>
        <w:keepNext/>
        <w:spacing w:after="0" w:line="240" w:lineRule="auto"/>
        <w:jc w:val="both"/>
        <w:rPr>
          <w:rFonts w:eastAsia="Times New Roman" w:cs="Arial"/>
        </w:rPr>
      </w:pPr>
      <w:r w:rsidRPr="009702B0">
        <w:rPr>
          <w:rFonts w:eastAsia="Times New Roman" w:cs="Arial"/>
        </w:rPr>
        <w:t>Credit risk exposure by internal credit rating:</w:t>
      </w:r>
    </w:p>
    <w:p w14:paraId="097285D9" w14:textId="77777777" w:rsidR="009702B0" w:rsidRPr="009702B0" w:rsidRDefault="009702B0" w:rsidP="009702B0">
      <w:pPr>
        <w:keepNext/>
        <w:spacing w:after="0" w:line="240" w:lineRule="auto"/>
        <w:jc w:val="both"/>
        <w:rPr>
          <w:rFonts w:eastAsia="Times New Roman" w:cs="Arial"/>
        </w:rPr>
      </w:pPr>
    </w:p>
    <w:tbl>
      <w:tblPr>
        <w:tblW w:w="5076" w:type="pct"/>
        <w:jc w:val="center"/>
        <w:tblLayout w:type="fixed"/>
        <w:tblCellMar>
          <w:left w:w="119" w:type="dxa"/>
          <w:right w:w="119" w:type="dxa"/>
        </w:tblCellMar>
        <w:tblLook w:val="0000" w:firstRow="0" w:lastRow="0" w:firstColumn="0" w:lastColumn="0" w:noHBand="0" w:noVBand="0"/>
      </w:tblPr>
      <w:tblGrid>
        <w:gridCol w:w="992"/>
        <w:gridCol w:w="1419"/>
        <w:gridCol w:w="1419"/>
        <w:gridCol w:w="1417"/>
        <w:gridCol w:w="1345"/>
        <w:gridCol w:w="1453"/>
        <w:gridCol w:w="1451"/>
      </w:tblGrid>
      <w:tr w:rsidR="009702B0" w:rsidRPr="009702B0" w14:paraId="73CD2FF6" w14:textId="77777777" w:rsidTr="00551F19">
        <w:trPr>
          <w:trHeight w:val="1285"/>
          <w:jc w:val="center"/>
        </w:trPr>
        <w:tc>
          <w:tcPr>
            <w:tcW w:w="522" w:type="pct"/>
            <w:vAlign w:val="center"/>
          </w:tcPr>
          <w:p w14:paraId="09858411" w14:textId="77777777" w:rsidR="009702B0" w:rsidRPr="009702B0" w:rsidRDefault="009702B0" w:rsidP="009702B0">
            <w:pPr>
              <w:tabs>
                <w:tab w:val="right" w:pos="1202"/>
              </w:tabs>
              <w:spacing w:after="0" w:line="301" w:lineRule="exact"/>
              <w:jc w:val="center"/>
              <w:outlineLvl w:val="0"/>
              <w:rPr>
                <w:rFonts w:eastAsia="Times New Roman" w:cs="Arial"/>
                <w:b/>
                <w:spacing w:val="-2"/>
                <w:sz w:val="20"/>
                <w:szCs w:val="20"/>
              </w:rPr>
            </w:pPr>
            <w:r w:rsidRPr="009702B0">
              <w:rPr>
                <w:rFonts w:eastAsia="Times New Roman" w:cs="Arial"/>
                <w:b/>
                <w:spacing w:val="-2"/>
                <w:sz w:val="20"/>
                <w:szCs w:val="20"/>
              </w:rPr>
              <w:t>Internal credit rating</w:t>
            </w:r>
          </w:p>
        </w:tc>
        <w:tc>
          <w:tcPr>
            <w:tcW w:w="747" w:type="pct"/>
            <w:vAlign w:val="center"/>
          </w:tcPr>
          <w:p w14:paraId="6228366C" w14:textId="77777777" w:rsidR="009702B0" w:rsidRPr="009702B0" w:rsidRDefault="009702B0" w:rsidP="009702B0">
            <w:pPr>
              <w:tabs>
                <w:tab w:val="right" w:pos="1202"/>
              </w:tabs>
              <w:spacing w:after="0" w:line="340" w:lineRule="exact"/>
              <w:jc w:val="right"/>
              <w:outlineLvl w:val="0"/>
              <w:rPr>
                <w:rFonts w:eastAsia="Times New Roman" w:cs="Arial"/>
                <w:b/>
                <w:spacing w:val="-2"/>
                <w:sz w:val="20"/>
                <w:szCs w:val="20"/>
              </w:rPr>
            </w:pPr>
            <w:r w:rsidRPr="009702B0">
              <w:rPr>
                <w:rFonts w:eastAsia="Times New Roman" w:cs="Arial"/>
                <w:b/>
                <w:spacing w:val="-2"/>
                <w:sz w:val="20"/>
                <w:szCs w:val="20"/>
              </w:rPr>
              <w:t>Historical</w:t>
            </w:r>
          </w:p>
          <w:p w14:paraId="3BBCBA8E" w14:textId="77777777" w:rsidR="009702B0" w:rsidRPr="009702B0" w:rsidRDefault="009702B0" w:rsidP="009702B0">
            <w:pPr>
              <w:tabs>
                <w:tab w:val="right" w:pos="1202"/>
              </w:tabs>
              <w:spacing w:after="0" w:line="340" w:lineRule="exact"/>
              <w:jc w:val="right"/>
              <w:outlineLvl w:val="0"/>
              <w:rPr>
                <w:rFonts w:eastAsia="Times New Roman" w:cs="Arial"/>
                <w:b/>
                <w:spacing w:val="-2"/>
                <w:sz w:val="20"/>
                <w:szCs w:val="20"/>
              </w:rPr>
            </w:pPr>
            <w:r w:rsidRPr="009702B0">
              <w:rPr>
                <w:rFonts w:eastAsia="Times New Roman" w:cs="Arial"/>
                <w:b/>
                <w:spacing w:val="-2"/>
                <w:sz w:val="20"/>
                <w:szCs w:val="20"/>
              </w:rPr>
              <w:t>default</w:t>
            </w:r>
          </w:p>
          <w:p w14:paraId="524DB3F3" w14:textId="77777777" w:rsidR="009702B0" w:rsidRPr="009702B0" w:rsidRDefault="009702B0" w:rsidP="009702B0">
            <w:pPr>
              <w:tabs>
                <w:tab w:val="right" w:pos="1202"/>
              </w:tabs>
              <w:spacing w:after="0" w:line="340" w:lineRule="exact"/>
              <w:jc w:val="right"/>
              <w:outlineLvl w:val="0"/>
              <w:rPr>
                <w:rFonts w:eastAsia="Times New Roman" w:cs="Arial"/>
                <w:b/>
                <w:spacing w:val="-2"/>
                <w:sz w:val="20"/>
                <w:szCs w:val="20"/>
              </w:rPr>
            </w:pPr>
            <w:r w:rsidRPr="009702B0">
              <w:rPr>
                <w:rFonts w:eastAsia="Times New Roman" w:cs="Arial"/>
                <w:b/>
                <w:spacing w:val="-2"/>
                <w:sz w:val="20"/>
                <w:szCs w:val="20"/>
              </w:rPr>
              <w:t>rate</w:t>
            </w:r>
          </w:p>
          <w:p w14:paraId="09FD4D5E" w14:textId="77777777" w:rsidR="009702B0" w:rsidRPr="009702B0" w:rsidRDefault="009702B0" w:rsidP="009702B0">
            <w:pPr>
              <w:tabs>
                <w:tab w:val="right" w:pos="1202"/>
              </w:tabs>
              <w:spacing w:after="0" w:line="340" w:lineRule="exact"/>
              <w:jc w:val="right"/>
              <w:outlineLvl w:val="0"/>
              <w:rPr>
                <w:rFonts w:eastAsia="Times New Roman" w:cs="Arial"/>
                <w:b/>
                <w:spacing w:val="-2"/>
                <w:sz w:val="20"/>
                <w:szCs w:val="20"/>
              </w:rPr>
            </w:pPr>
            <w:r w:rsidRPr="009702B0">
              <w:rPr>
                <w:rFonts w:eastAsia="Times New Roman" w:cs="Arial"/>
                <w:b/>
                <w:spacing w:val="-2"/>
                <w:sz w:val="20"/>
                <w:szCs w:val="20"/>
              </w:rPr>
              <w:t>(%)</w:t>
            </w:r>
          </w:p>
        </w:tc>
        <w:tc>
          <w:tcPr>
            <w:tcW w:w="747" w:type="pct"/>
            <w:vAlign w:val="center"/>
          </w:tcPr>
          <w:p w14:paraId="558DCBB1" w14:textId="77777777" w:rsidR="009702B0" w:rsidRPr="009702B0" w:rsidRDefault="009702B0" w:rsidP="009702B0">
            <w:pPr>
              <w:tabs>
                <w:tab w:val="right" w:pos="1202"/>
              </w:tabs>
              <w:spacing w:after="0" w:line="340" w:lineRule="exact"/>
              <w:jc w:val="right"/>
              <w:outlineLvl w:val="0"/>
              <w:rPr>
                <w:rFonts w:eastAsia="Times New Roman" w:cs="Arial"/>
                <w:b/>
                <w:spacing w:val="-2"/>
                <w:sz w:val="20"/>
                <w:szCs w:val="20"/>
              </w:rPr>
            </w:pPr>
            <w:r w:rsidRPr="009702B0">
              <w:rPr>
                <w:rFonts w:eastAsia="Times New Roman" w:cs="Arial"/>
                <w:b/>
                <w:spacing w:val="-2"/>
                <w:sz w:val="20"/>
                <w:szCs w:val="20"/>
              </w:rPr>
              <w:t>Historical</w:t>
            </w:r>
          </w:p>
          <w:p w14:paraId="3BCC1626" w14:textId="77777777" w:rsidR="009702B0" w:rsidRPr="009702B0" w:rsidRDefault="009702B0" w:rsidP="009702B0">
            <w:pPr>
              <w:tabs>
                <w:tab w:val="right" w:pos="1202"/>
              </w:tabs>
              <w:spacing w:after="0" w:line="340" w:lineRule="exact"/>
              <w:jc w:val="right"/>
              <w:outlineLvl w:val="0"/>
              <w:rPr>
                <w:rFonts w:eastAsia="Times New Roman" w:cs="Arial"/>
                <w:b/>
                <w:spacing w:val="-2"/>
                <w:sz w:val="20"/>
                <w:szCs w:val="20"/>
              </w:rPr>
            </w:pPr>
            <w:r w:rsidRPr="009702B0">
              <w:rPr>
                <w:rFonts w:eastAsia="Times New Roman" w:cs="Arial"/>
                <w:b/>
                <w:spacing w:val="-2"/>
                <w:sz w:val="20"/>
                <w:szCs w:val="20"/>
              </w:rPr>
              <w:t>default</w:t>
            </w:r>
          </w:p>
          <w:p w14:paraId="1F7A8945" w14:textId="77777777" w:rsidR="009702B0" w:rsidRPr="009702B0" w:rsidRDefault="009702B0" w:rsidP="009702B0">
            <w:pPr>
              <w:tabs>
                <w:tab w:val="right" w:pos="1202"/>
              </w:tabs>
              <w:spacing w:after="0" w:line="340" w:lineRule="exact"/>
              <w:jc w:val="right"/>
              <w:outlineLvl w:val="0"/>
              <w:rPr>
                <w:rFonts w:eastAsia="Times New Roman" w:cs="Arial"/>
                <w:b/>
                <w:spacing w:val="-2"/>
                <w:sz w:val="20"/>
                <w:szCs w:val="20"/>
              </w:rPr>
            </w:pPr>
            <w:r w:rsidRPr="009702B0">
              <w:rPr>
                <w:rFonts w:eastAsia="Times New Roman" w:cs="Arial"/>
                <w:b/>
                <w:spacing w:val="-2"/>
                <w:sz w:val="20"/>
                <w:szCs w:val="20"/>
              </w:rPr>
              <w:t>rate</w:t>
            </w:r>
          </w:p>
          <w:p w14:paraId="3AF0F143" w14:textId="77777777" w:rsidR="009702B0" w:rsidRPr="009702B0" w:rsidRDefault="009702B0" w:rsidP="009702B0">
            <w:pPr>
              <w:tabs>
                <w:tab w:val="right" w:pos="1202"/>
              </w:tabs>
              <w:spacing w:after="0" w:line="340" w:lineRule="exact"/>
              <w:jc w:val="right"/>
              <w:outlineLvl w:val="0"/>
              <w:rPr>
                <w:rFonts w:eastAsia="Times New Roman" w:cs="Arial"/>
                <w:b/>
                <w:spacing w:val="-3"/>
                <w:sz w:val="20"/>
                <w:szCs w:val="20"/>
              </w:rPr>
            </w:pPr>
            <w:r w:rsidRPr="009702B0">
              <w:rPr>
                <w:rFonts w:eastAsia="Times New Roman" w:cs="Arial"/>
                <w:b/>
                <w:spacing w:val="-2"/>
                <w:sz w:val="20"/>
                <w:szCs w:val="20"/>
              </w:rPr>
              <w:t>(%)</w:t>
            </w:r>
          </w:p>
        </w:tc>
        <w:tc>
          <w:tcPr>
            <w:tcW w:w="746" w:type="pct"/>
            <w:vAlign w:val="center"/>
          </w:tcPr>
          <w:p w14:paraId="48645EF9" w14:textId="77777777" w:rsidR="009702B0" w:rsidRPr="009702B0" w:rsidRDefault="009702B0" w:rsidP="009702B0">
            <w:pPr>
              <w:tabs>
                <w:tab w:val="right" w:pos="1202"/>
              </w:tabs>
              <w:spacing w:after="0" w:line="301" w:lineRule="exact"/>
              <w:jc w:val="right"/>
              <w:outlineLvl w:val="0"/>
              <w:rPr>
                <w:rFonts w:eastAsia="Times New Roman" w:cs="Arial"/>
                <w:b/>
                <w:spacing w:val="-3"/>
                <w:sz w:val="20"/>
                <w:szCs w:val="20"/>
              </w:rPr>
            </w:pPr>
          </w:p>
          <w:p w14:paraId="4D9C42CF" w14:textId="77777777" w:rsidR="009702B0" w:rsidRPr="009702B0" w:rsidRDefault="009702B0" w:rsidP="009702B0">
            <w:pPr>
              <w:tabs>
                <w:tab w:val="right" w:pos="1202"/>
              </w:tabs>
              <w:spacing w:after="0" w:line="301" w:lineRule="exact"/>
              <w:jc w:val="right"/>
              <w:outlineLvl w:val="0"/>
              <w:rPr>
                <w:rFonts w:eastAsia="Times New Roman" w:cs="Arial"/>
                <w:b/>
                <w:spacing w:val="-3"/>
                <w:sz w:val="20"/>
                <w:szCs w:val="20"/>
              </w:rPr>
            </w:pPr>
          </w:p>
          <w:p w14:paraId="7EBBDC8E" w14:textId="77777777" w:rsidR="009702B0" w:rsidRPr="009702B0" w:rsidRDefault="009702B0" w:rsidP="009702B0">
            <w:pPr>
              <w:tabs>
                <w:tab w:val="right" w:pos="1202"/>
              </w:tabs>
              <w:spacing w:after="0" w:line="301" w:lineRule="exact"/>
              <w:jc w:val="right"/>
              <w:outlineLvl w:val="0"/>
              <w:rPr>
                <w:rFonts w:eastAsia="Times New Roman" w:cs="Arial"/>
                <w:b/>
                <w:spacing w:val="-3"/>
                <w:sz w:val="20"/>
                <w:szCs w:val="20"/>
              </w:rPr>
            </w:pPr>
          </w:p>
          <w:p w14:paraId="0809403B" w14:textId="77777777" w:rsidR="009702B0" w:rsidRPr="009702B0" w:rsidRDefault="009702B0" w:rsidP="009702B0">
            <w:pPr>
              <w:tabs>
                <w:tab w:val="right" w:pos="1202"/>
              </w:tabs>
              <w:spacing w:after="0" w:line="301" w:lineRule="exact"/>
              <w:jc w:val="right"/>
              <w:outlineLvl w:val="0"/>
              <w:rPr>
                <w:rFonts w:eastAsia="Times New Roman" w:cs="Arial"/>
                <w:b/>
                <w:spacing w:val="-3"/>
                <w:sz w:val="20"/>
                <w:szCs w:val="20"/>
              </w:rPr>
            </w:pPr>
          </w:p>
        </w:tc>
        <w:tc>
          <w:tcPr>
            <w:tcW w:w="708" w:type="pct"/>
            <w:vAlign w:val="center"/>
          </w:tcPr>
          <w:p w14:paraId="65F1C8A9" w14:textId="77777777" w:rsidR="009702B0" w:rsidRPr="009702B0" w:rsidRDefault="009702B0" w:rsidP="009702B0">
            <w:pPr>
              <w:tabs>
                <w:tab w:val="right" w:pos="1202"/>
              </w:tabs>
              <w:spacing w:after="0" w:line="301" w:lineRule="exact"/>
              <w:jc w:val="right"/>
              <w:outlineLvl w:val="0"/>
              <w:rPr>
                <w:rFonts w:eastAsia="Times New Roman" w:cs="Arial"/>
                <w:b/>
                <w:spacing w:val="-3"/>
                <w:sz w:val="20"/>
                <w:szCs w:val="20"/>
              </w:rPr>
            </w:pPr>
          </w:p>
          <w:p w14:paraId="07ABE233" w14:textId="77777777" w:rsidR="009702B0" w:rsidRPr="009702B0" w:rsidRDefault="009702B0" w:rsidP="009702B0">
            <w:pPr>
              <w:tabs>
                <w:tab w:val="right" w:pos="1202"/>
              </w:tabs>
              <w:spacing w:after="0" w:line="301" w:lineRule="exact"/>
              <w:jc w:val="right"/>
              <w:outlineLvl w:val="0"/>
              <w:rPr>
                <w:rFonts w:eastAsia="Times New Roman" w:cs="Arial"/>
                <w:b/>
                <w:spacing w:val="-3"/>
                <w:sz w:val="20"/>
                <w:szCs w:val="20"/>
              </w:rPr>
            </w:pPr>
          </w:p>
          <w:p w14:paraId="68117A18" w14:textId="77777777" w:rsidR="009702B0" w:rsidRPr="009702B0" w:rsidDel="002F5FA1" w:rsidRDefault="009702B0" w:rsidP="009702B0">
            <w:pPr>
              <w:tabs>
                <w:tab w:val="right" w:pos="1202"/>
              </w:tabs>
              <w:spacing w:after="0" w:line="301" w:lineRule="exact"/>
              <w:jc w:val="right"/>
              <w:outlineLvl w:val="0"/>
              <w:rPr>
                <w:rFonts w:eastAsia="Times New Roman" w:cs="Arial"/>
                <w:b/>
                <w:spacing w:val="-3"/>
                <w:sz w:val="20"/>
                <w:szCs w:val="20"/>
              </w:rPr>
            </w:pPr>
            <w:r w:rsidRPr="009702B0">
              <w:rPr>
                <w:rFonts w:eastAsia="Times New Roman" w:cs="Arial"/>
                <w:b/>
                <w:spacing w:val="-3"/>
                <w:sz w:val="20"/>
                <w:szCs w:val="20"/>
              </w:rPr>
              <w:t>Group</w:t>
            </w:r>
          </w:p>
        </w:tc>
        <w:tc>
          <w:tcPr>
            <w:tcW w:w="765" w:type="pct"/>
            <w:vAlign w:val="center"/>
          </w:tcPr>
          <w:p w14:paraId="0185D412" w14:textId="77777777" w:rsidR="009702B0" w:rsidRPr="009702B0" w:rsidRDefault="009702B0" w:rsidP="009702B0">
            <w:pPr>
              <w:tabs>
                <w:tab w:val="right" w:pos="1202"/>
              </w:tabs>
              <w:spacing w:after="0" w:line="301" w:lineRule="exact"/>
              <w:jc w:val="right"/>
              <w:outlineLvl w:val="0"/>
              <w:rPr>
                <w:rFonts w:eastAsia="Times New Roman" w:cs="Arial"/>
                <w:b/>
                <w:spacing w:val="-3"/>
                <w:sz w:val="20"/>
                <w:szCs w:val="20"/>
              </w:rPr>
            </w:pPr>
          </w:p>
          <w:p w14:paraId="062578DB" w14:textId="77777777" w:rsidR="009702B0" w:rsidRPr="009702B0" w:rsidRDefault="009702B0" w:rsidP="009702B0">
            <w:pPr>
              <w:tabs>
                <w:tab w:val="right" w:pos="1202"/>
              </w:tabs>
              <w:spacing w:after="0" w:line="301" w:lineRule="exact"/>
              <w:jc w:val="right"/>
              <w:outlineLvl w:val="0"/>
              <w:rPr>
                <w:rFonts w:eastAsia="Times New Roman" w:cs="Arial"/>
                <w:b/>
                <w:spacing w:val="-3"/>
                <w:sz w:val="20"/>
                <w:szCs w:val="20"/>
              </w:rPr>
            </w:pPr>
          </w:p>
          <w:p w14:paraId="669A1385" w14:textId="77777777" w:rsidR="009702B0" w:rsidRPr="009702B0" w:rsidRDefault="009702B0" w:rsidP="009702B0">
            <w:pPr>
              <w:tabs>
                <w:tab w:val="right" w:pos="1202"/>
              </w:tabs>
              <w:spacing w:after="0" w:line="301" w:lineRule="exact"/>
              <w:jc w:val="right"/>
              <w:outlineLvl w:val="0"/>
              <w:rPr>
                <w:rFonts w:eastAsia="Times New Roman" w:cs="Arial"/>
                <w:b/>
                <w:spacing w:val="-3"/>
                <w:sz w:val="20"/>
                <w:szCs w:val="20"/>
              </w:rPr>
            </w:pPr>
          </w:p>
          <w:p w14:paraId="3FEBAFDD" w14:textId="77777777" w:rsidR="009702B0" w:rsidRPr="009702B0" w:rsidRDefault="009702B0" w:rsidP="009702B0">
            <w:pPr>
              <w:tabs>
                <w:tab w:val="right" w:pos="1202"/>
              </w:tabs>
              <w:spacing w:after="0" w:line="301" w:lineRule="exact"/>
              <w:jc w:val="right"/>
              <w:outlineLvl w:val="0"/>
              <w:rPr>
                <w:rFonts w:eastAsia="Times New Roman" w:cs="Arial"/>
                <w:b/>
                <w:spacing w:val="-3"/>
                <w:sz w:val="20"/>
                <w:szCs w:val="20"/>
              </w:rPr>
            </w:pPr>
            <w:r w:rsidRPr="009702B0">
              <w:rPr>
                <w:rFonts w:eastAsia="Times New Roman" w:cs="Arial"/>
                <w:b/>
                <w:spacing w:val="-3"/>
                <w:sz w:val="20"/>
                <w:szCs w:val="20"/>
              </w:rPr>
              <w:t xml:space="preserve"> </w:t>
            </w:r>
          </w:p>
        </w:tc>
        <w:tc>
          <w:tcPr>
            <w:tcW w:w="764" w:type="pct"/>
            <w:vAlign w:val="center"/>
          </w:tcPr>
          <w:p w14:paraId="4FC68401" w14:textId="77777777" w:rsidR="009702B0" w:rsidRPr="009702B0" w:rsidRDefault="009702B0" w:rsidP="009702B0">
            <w:pPr>
              <w:tabs>
                <w:tab w:val="right" w:pos="1202"/>
              </w:tabs>
              <w:spacing w:after="0" w:line="301" w:lineRule="exact"/>
              <w:jc w:val="right"/>
              <w:outlineLvl w:val="0"/>
              <w:rPr>
                <w:rFonts w:eastAsia="Times New Roman" w:cs="Arial"/>
                <w:b/>
                <w:spacing w:val="-3"/>
                <w:sz w:val="20"/>
                <w:szCs w:val="20"/>
              </w:rPr>
            </w:pPr>
          </w:p>
          <w:p w14:paraId="0DC30896" w14:textId="77777777" w:rsidR="009702B0" w:rsidRPr="009702B0" w:rsidRDefault="009702B0" w:rsidP="009702B0">
            <w:pPr>
              <w:tabs>
                <w:tab w:val="right" w:pos="1202"/>
              </w:tabs>
              <w:spacing w:after="0" w:line="301" w:lineRule="exact"/>
              <w:jc w:val="right"/>
              <w:outlineLvl w:val="0"/>
              <w:rPr>
                <w:rFonts w:eastAsia="Times New Roman" w:cs="Arial"/>
                <w:b/>
                <w:spacing w:val="-3"/>
                <w:sz w:val="20"/>
                <w:szCs w:val="20"/>
              </w:rPr>
            </w:pPr>
          </w:p>
          <w:p w14:paraId="0E2D1D64" w14:textId="77777777" w:rsidR="009702B0" w:rsidRPr="009702B0" w:rsidRDefault="009702B0" w:rsidP="009702B0">
            <w:pPr>
              <w:tabs>
                <w:tab w:val="right" w:pos="1202"/>
              </w:tabs>
              <w:spacing w:after="0" w:line="301" w:lineRule="exact"/>
              <w:jc w:val="right"/>
              <w:outlineLvl w:val="0"/>
              <w:rPr>
                <w:rFonts w:eastAsia="Times New Roman" w:cs="Arial"/>
                <w:b/>
                <w:spacing w:val="-3"/>
                <w:sz w:val="20"/>
                <w:szCs w:val="20"/>
              </w:rPr>
            </w:pPr>
            <w:r w:rsidRPr="009702B0">
              <w:rPr>
                <w:rFonts w:eastAsia="Times New Roman" w:cs="Arial"/>
                <w:b/>
                <w:spacing w:val="-3"/>
                <w:sz w:val="20"/>
                <w:szCs w:val="20"/>
              </w:rPr>
              <w:t>Bank</w:t>
            </w:r>
          </w:p>
        </w:tc>
      </w:tr>
      <w:tr w:rsidR="009702B0" w:rsidRPr="009702B0" w14:paraId="60D561D5" w14:textId="77777777" w:rsidTr="00551F19">
        <w:trPr>
          <w:trHeight w:val="458"/>
          <w:jc w:val="center"/>
        </w:trPr>
        <w:tc>
          <w:tcPr>
            <w:tcW w:w="522" w:type="pct"/>
            <w:vAlign w:val="bottom"/>
          </w:tcPr>
          <w:p w14:paraId="21B5D7C5" w14:textId="77777777" w:rsidR="009702B0" w:rsidRPr="009702B0" w:rsidRDefault="009702B0" w:rsidP="009702B0">
            <w:pPr>
              <w:tabs>
                <w:tab w:val="right" w:pos="1202"/>
              </w:tabs>
              <w:spacing w:after="0" w:line="340" w:lineRule="exact"/>
              <w:jc w:val="right"/>
              <w:outlineLvl w:val="0"/>
              <w:rPr>
                <w:rFonts w:eastAsia="Times New Roman" w:cs="Arial"/>
                <w:b/>
                <w:spacing w:val="-2"/>
                <w:sz w:val="20"/>
                <w:szCs w:val="20"/>
              </w:rPr>
            </w:pPr>
          </w:p>
        </w:tc>
        <w:tc>
          <w:tcPr>
            <w:tcW w:w="747" w:type="pct"/>
            <w:vAlign w:val="center"/>
          </w:tcPr>
          <w:p w14:paraId="58236D84" w14:textId="00EBB23D" w:rsidR="009702B0" w:rsidRPr="009702B0" w:rsidRDefault="00AA7A2D" w:rsidP="009702B0">
            <w:pPr>
              <w:spacing w:after="0" w:line="240" w:lineRule="auto"/>
              <w:jc w:val="right"/>
              <w:rPr>
                <w:rFonts w:eastAsia="Times New Roman" w:cs="Arial"/>
                <w:b/>
                <w:bCs/>
                <w:sz w:val="20"/>
                <w:szCs w:val="20"/>
              </w:rPr>
            </w:pPr>
            <w:r>
              <w:rPr>
                <w:rFonts w:eastAsia="Times New Roman" w:cs="Arial"/>
                <w:b/>
                <w:bCs/>
                <w:sz w:val="20"/>
                <w:szCs w:val="20"/>
              </w:rPr>
              <w:t>Sep</w:t>
            </w:r>
            <w:r w:rsidRPr="00007F8F">
              <w:rPr>
                <w:rFonts w:eastAsia="Times New Roman" w:cs="Arial"/>
                <w:b/>
                <w:bCs/>
                <w:sz w:val="20"/>
                <w:szCs w:val="20"/>
              </w:rPr>
              <w:t xml:space="preserve"> </w:t>
            </w:r>
            <w:r w:rsidR="00007F8F" w:rsidRPr="00007F8F">
              <w:rPr>
                <w:rFonts w:eastAsia="Times New Roman" w:cs="Arial"/>
                <w:b/>
                <w:bCs/>
                <w:sz w:val="20"/>
                <w:szCs w:val="20"/>
              </w:rPr>
              <w:t>30</w:t>
            </w:r>
            <w:r w:rsidR="00551F19" w:rsidRPr="00551F19">
              <w:rPr>
                <w:rFonts w:eastAsia="Times New Roman" w:cs="Arial"/>
                <w:b/>
                <w:bCs/>
                <w:sz w:val="20"/>
                <w:szCs w:val="20"/>
              </w:rPr>
              <w:t>, 2017</w:t>
            </w:r>
          </w:p>
        </w:tc>
        <w:tc>
          <w:tcPr>
            <w:tcW w:w="747" w:type="pct"/>
            <w:vAlign w:val="center"/>
          </w:tcPr>
          <w:p w14:paraId="622D4FB2" w14:textId="77777777" w:rsidR="009702B0" w:rsidRPr="009702B0" w:rsidRDefault="00551F19" w:rsidP="009702B0">
            <w:pPr>
              <w:spacing w:after="0" w:line="240" w:lineRule="auto"/>
              <w:jc w:val="right"/>
              <w:rPr>
                <w:rFonts w:eastAsia="Times New Roman" w:cs="Arial"/>
                <w:b/>
                <w:sz w:val="20"/>
                <w:szCs w:val="20"/>
              </w:rPr>
            </w:pPr>
            <w:r w:rsidRPr="00551F19">
              <w:rPr>
                <w:rFonts w:eastAsia="Times New Roman" w:cs="Arial"/>
                <w:b/>
                <w:sz w:val="20"/>
                <w:szCs w:val="20"/>
              </w:rPr>
              <w:t>Dec 31, 2016</w:t>
            </w:r>
          </w:p>
        </w:tc>
        <w:tc>
          <w:tcPr>
            <w:tcW w:w="746" w:type="pct"/>
            <w:vAlign w:val="center"/>
          </w:tcPr>
          <w:p w14:paraId="7F574B55" w14:textId="6D21750C" w:rsidR="009702B0" w:rsidRPr="009702B0" w:rsidRDefault="00AA7A2D" w:rsidP="009702B0">
            <w:pPr>
              <w:spacing w:after="0" w:line="240" w:lineRule="auto"/>
              <w:jc w:val="right"/>
              <w:rPr>
                <w:rFonts w:eastAsia="Times New Roman" w:cs="Arial"/>
                <w:b/>
                <w:bCs/>
                <w:sz w:val="20"/>
                <w:szCs w:val="20"/>
              </w:rPr>
            </w:pPr>
            <w:r>
              <w:rPr>
                <w:rFonts w:eastAsia="Times New Roman" w:cs="Arial"/>
                <w:b/>
                <w:bCs/>
                <w:sz w:val="20"/>
                <w:szCs w:val="20"/>
              </w:rPr>
              <w:t>Sep</w:t>
            </w:r>
            <w:r w:rsidRPr="00007F8F">
              <w:rPr>
                <w:rFonts w:eastAsia="Times New Roman" w:cs="Arial"/>
                <w:b/>
                <w:bCs/>
                <w:sz w:val="20"/>
                <w:szCs w:val="20"/>
              </w:rPr>
              <w:t xml:space="preserve"> </w:t>
            </w:r>
            <w:r w:rsidR="00007F8F" w:rsidRPr="00007F8F">
              <w:rPr>
                <w:rFonts w:eastAsia="Times New Roman" w:cs="Arial"/>
                <w:b/>
                <w:bCs/>
                <w:sz w:val="20"/>
                <w:szCs w:val="20"/>
              </w:rPr>
              <w:t>30</w:t>
            </w:r>
            <w:r w:rsidR="00551F19" w:rsidRPr="00551F19">
              <w:rPr>
                <w:rFonts w:eastAsia="Times New Roman" w:cs="Arial"/>
                <w:b/>
                <w:bCs/>
                <w:sz w:val="20"/>
                <w:szCs w:val="20"/>
              </w:rPr>
              <w:t>, 2017</w:t>
            </w:r>
          </w:p>
        </w:tc>
        <w:tc>
          <w:tcPr>
            <w:tcW w:w="708" w:type="pct"/>
            <w:vAlign w:val="center"/>
          </w:tcPr>
          <w:p w14:paraId="52F1FCC1" w14:textId="77777777" w:rsidR="009702B0" w:rsidRPr="009702B0" w:rsidRDefault="009702B0" w:rsidP="00551F19">
            <w:pPr>
              <w:spacing w:after="0" w:line="240" w:lineRule="auto"/>
              <w:jc w:val="right"/>
              <w:rPr>
                <w:rFonts w:eastAsia="Times New Roman" w:cs="Arial"/>
                <w:b/>
                <w:sz w:val="20"/>
                <w:szCs w:val="20"/>
              </w:rPr>
            </w:pPr>
            <w:r w:rsidRPr="009702B0">
              <w:rPr>
                <w:rFonts w:eastAsia="Times New Roman" w:cs="Arial"/>
                <w:b/>
                <w:sz w:val="20"/>
                <w:szCs w:val="20"/>
              </w:rPr>
              <w:t>Dec 31, 201</w:t>
            </w:r>
            <w:r w:rsidR="00551F19">
              <w:rPr>
                <w:rFonts w:eastAsia="Times New Roman" w:cs="Arial"/>
                <w:b/>
                <w:sz w:val="20"/>
                <w:szCs w:val="20"/>
              </w:rPr>
              <w:t>6</w:t>
            </w:r>
          </w:p>
        </w:tc>
        <w:tc>
          <w:tcPr>
            <w:tcW w:w="765" w:type="pct"/>
            <w:vAlign w:val="center"/>
          </w:tcPr>
          <w:p w14:paraId="287A6223" w14:textId="3794319E" w:rsidR="009702B0" w:rsidRPr="009702B0" w:rsidRDefault="00AA7A2D" w:rsidP="009702B0">
            <w:pPr>
              <w:spacing w:after="0" w:line="240" w:lineRule="auto"/>
              <w:jc w:val="right"/>
              <w:rPr>
                <w:rFonts w:eastAsia="Times New Roman" w:cs="Arial"/>
                <w:b/>
                <w:bCs/>
                <w:sz w:val="20"/>
                <w:szCs w:val="20"/>
              </w:rPr>
            </w:pPr>
            <w:r>
              <w:rPr>
                <w:rFonts w:eastAsia="Times New Roman" w:cs="Arial"/>
                <w:b/>
                <w:bCs/>
                <w:sz w:val="20"/>
                <w:szCs w:val="20"/>
              </w:rPr>
              <w:t>Sep</w:t>
            </w:r>
            <w:r w:rsidRPr="00007F8F">
              <w:rPr>
                <w:rFonts w:eastAsia="Times New Roman" w:cs="Arial"/>
                <w:b/>
                <w:bCs/>
                <w:sz w:val="20"/>
                <w:szCs w:val="20"/>
              </w:rPr>
              <w:t xml:space="preserve"> </w:t>
            </w:r>
            <w:r w:rsidR="00007F8F" w:rsidRPr="00007F8F">
              <w:rPr>
                <w:rFonts w:eastAsia="Times New Roman" w:cs="Arial"/>
                <w:b/>
                <w:bCs/>
                <w:sz w:val="20"/>
                <w:szCs w:val="20"/>
              </w:rPr>
              <w:t>30</w:t>
            </w:r>
            <w:r w:rsidR="00551F19" w:rsidRPr="00551F19">
              <w:rPr>
                <w:rFonts w:eastAsia="Times New Roman" w:cs="Arial"/>
                <w:b/>
                <w:bCs/>
                <w:sz w:val="20"/>
                <w:szCs w:val="20"/>
              </w:rPr>
              <w:t>, 2017</w:t>
            </w:r>
          </w:p>
        </w:tc>
        <w:tc>
          <w:tcPr>
            <w:tcW w:w="764" w:type="pct"/>
            <w:vAlign w:val="center"/>
          </w:tcPr>
          <w:p w14:paraId="7A13B360" w14:textId="77777777" w:rsidR="009702B0" w:rsidRPr="009702B0" w:rsidRDefault="009702B0" w:rsidP="00551F19">
            <w:pPr>
              <w:spacing w:after="0" w:line="240" w:lineRule="auto"/>
              <w:jc w:val="right"/>
              <w:rPr>
                <w:rFonts w:eastAsia="Times New Roman" w:cs="Arial"/>
                <w:b/>
                <w:sz w:val="20"/>
                <w:szCs w:val="20"/>
              </w:rPr>
            </w:pPr>
            <w:r w:rsidRPr="009702B0">
              <w:rPr>
                <w:rFonts w:eastAsia="Times New Roman" w:cs="Arial"/>
                <w:b/>
                <w:sz w:val="20"/>
                <w:szCs w:val="20"/>
              </w:rPr>
              <w:t>Dec 31, 201</w:t>
            </w:r>
            <w:r w:rsidR="00551F19">
              <w:rPr>
                <w:rFonts w:eastAsia="Times New Roman" w:cs="Arial"/>
                <w:b/>
                <w:sz w:val="20"/>
                <w:szCs w:val="20"/>
              </w:rPr>
              <w:t>6</w:t>
            </w:r>
          </w:p>
        </w:tc>
      </w:tr>
      <w:tr w:rsidR="009702B0" w:rsidRPr="009702B0" w14:paraId="05DC4A3E" w14:textId="77777777" w:rsidTr="00551F19">
        <w:trPr>
          <w:trHeight w:hRule="exact" w:val="106"/>
          <w:jc w:val="center"/>
        </w:trPr>
        <w:tc>
          <w:tcPr>
            <w:tcW w:w="522" w:type="pct"/>
            <w:vAlign w:val="bottom"/>
          </w:tcPr>
          <w:p w14:paraId="7517213C" w14:textId="77777777" w:rsidR="009702B0" w:rsidRPr="009702B0" w:rsidRDefault="009702B0" w:rsidP="009702B0">
            <w:pPr>
              <w:tabs>
                <w:tab w:val="right" w:pos="1202"/>
              </w:tabs>
              <w:spacing w:after="0" w:line="340" w:lineRule="exact"/>
              <w:jc w:val="right"/>
              <w:outlineLvl w:val="0"/>
              <w:rPr>
                <w:rFonts w:eastAsia="Times New Roman" w:cs="Arial"/>
                <w:b/>
                <w:spacing w:val="-2"/>
                <w:sz w:val="20"/>
                <w:szCs w:val="20"/>
              </w:rPr>
            </w:pPr>
          </w:p>
        </w:tc>
        <w:tc>
          <w:tcPr>
            <w:tcW w:w="747" w:type="pct"/>
          </w:tcPr>
          <w:p w14:paraId="1362FA7A" w14:textId="77777777" w:rsidR="009702B0" w:rsidRPr="009702B0" w:rsidRDefault="009702B0" w:rsidP="009702B0">
            <w:pPr>
              <w:tabs>
                <w:tab w:val="right" w:pos="1202"/>
              </w:tabs>
              <w:spacing w:after="0" w:line="301" w:lineRule="exact"/>
              <w:jc w:val="right"/>
              <w:outlineLvl w:val="0"/>
              <w:rPr>
                <w:rFonts w:eastAsia="Times New Roman" w:cs="Arial"/>
                <w:b/>
                <w:spacing w:val="-3"/>
                <w:sz w:val="20"/>
                <w:szCs w:val="20"/>
              </w:rPr>
            </w:pPr>
          </w:p>
        </w:tc>
        <w:tc>
          <w:tcPr>
            <w:tcW w:w="747" w:type="pct"/>
          </w:tcPr>
          <w:p w14:paraId="572FE193" w14:textId="77777777" w:rsidR="009702B0" w:rsidRPr="009702B0" w:rsidRDefault="009702B0" w:rsidP="009702B0">
            <w:pPr>
              <w:tabs>
                <w:tab w:val="right" w:pos="1202"/>
              </w:tabs>
              <w:spacing w:after="0" w:line="301" w:lineRule="exact"/>
              <w:jc w:val="right"/>
              <w:outlineLvl w:val="0"/>
              <w:rPr>
                <w:rFonts w:eastAsia="Times New Roman" w:cs="Arial"/>
                <w:b/>
                <w:spacing w:val="-3"/>
                <w:sz w:val="20"/>
                <w:szCs w:val="20"/>
              </w:rPr>
            </w:pPr>
          </w:p>
        </w:tc>
        <w:tc>
          <w:tcPr>
            <w:tcW w:w="746" w:type="pct"/>
            <w:vAlign w:val="center"/>
          </w:tcPr>
          <w:p w14:paraId="62EDBAA3" w14:textId="77777777" w:rsidR="009702B0" w:rsidRPr="009702B0" w:rsidRDefault="009702B0" w:rsidP="009702B0">
            <w:pPr>
              <w:tabs>
                <w:tab w:val="right" w:pos="1202"/>
              </w:tabs>
              <w:spacing w:after="0" w:line="340" w:lineRule="exact"/>
              <w:jc w:val="right"/>
              <w:outlineLvl w:val="0"/>
              <w:rPr>
                <w:rFonts w:eastAsia="Times New Roman" w:cs="Arial"/>
                <w:b/>
                <w:spacing w:val="-3"/>
                <w:sz w:val="20"/>
                <w:szCs w:val="20"/>
              </w:rPr>
            </w:pPr>
          </w:p>
        </w:tc>
        <w:tc>
          <w:tcPr>
            <w:tcW w:w="708" w:type="pct"/>
            <w:vAlign w:val="center"/>
          </w:tcPr>
          <w:p w14:paraId="551DF12E" w14:textId="77777777" w:rsidR="009702B0" w:rsidRPr="009702B0" w:rsidRDefault="009702B0" w:rsidP="009702B0">
            <w:pPr>
              <w:tabs>
                <w:tab w:val="right" w:pos="1202"/>
              </w:tabs>
              <w:spacing w:after="0" w:line="340" w:lineRule="exact"/>
              <w:jc w:val="right"/>
              <w:outlineLvl w:val="0"/>
              <w:rPr>
                <w:rFonts w:eastAsia="Times New Roman" w:cs="Arial"/>
                <w:spacing w:val="-3"/>
                <w:sz w:val="20"/>
                <w:szCs w:val="20"/>
              </w:rPr>
            </w:pPr>
          </w:p>
        </w:tc>
        <w:tc>
          <w:tcPr>
            <w:tcW w:w="765" w:type="pct"/>
            <w:vAlign w:val="center"/>
          </w:tcPr>
          <w:p w14:paraId="78BA561D" w14:textId="77777777" w:rsidR="009702B0" w:rsidRPr="009702B0" w:rsidRDefault="009702B0" w:rsidP="009702B0">
            <w:pPr>
              <w:tabs>
                <w:tab w:val="right" w:pos="1202"/>
              </w:tabs>
              <w:spacing w:after="0" w:line="340" w:lineRule="exact"/>
              <w:jc w:val="right"/>
              <w:outlineLvl w:val="0"/>
              <w:rPr>
                <w:rFonts w:eastAsia="Times New Roman" w:cs="Arial"/>
                <w:spacing w:val="-3"/>
                <w:sz w:val="20"/>
                <w:szCs w:val="20"/>
              </w:rPr>
            </w:pPr>
          </w:p>
        </w:tc>
        <w:tc>
          <w:tcPr>
            <w:tcW w:w="764" w:type="pct"/>
            <w:vAlign w:val="center"/>
          </w:tcPr>
          <w:p w14:paraId="1F867FA9" w14:textId="77777777" w:rsidR="009702B0" w:rsidRPr="009702B0" w:rsidRDefault="009702B0" w:rsidP="009702B0">
            <w:pPr>
              <w:tabs>
                <w:tab w:val="right" w:pos="1202"/>
              </w:tabs>
              <w:spacing w:after="0" w:line="340" w:lineRule="exact"/>
              <w:jc w:val="right"/>
              <w:outlineLvl w:val="0"/>
              <w:rPr>
                <w:rFonts w:eastAsia="Times New Roman" w:cs="Arial"/>
                <w:spacing w:val="-3"/>
                <w:sz w:val="20"/>
                <w:szCs w:val="20"/>
              </w:rPr>
            </w:pPr>
          </w:p>
        </w:tc>
      </w:tr>
      <w:tr w:rsidR="009D7407" w:rsidRPr="009702B0" w14:paraId="55864D3D" w14:textId="77777777" w:rsidTr="006B318F">
        <w:trPr>
          <w:trHeight w:val="327"/>
          <w:jc w:val="center"/>
        </w:trPr>
        <w:tc>
          <w:tcPr>
            <w:tcW w:w="522" w:type="pct"/>
            <w:vAlign w:val="bottom"/>
          </w:tcPr>
          <w:p w14:paraId="6F18E9D0" w14:textId="77777777" w:rsidR="009D7407" w:rsidRPr="009702B0" w:rsidDel="00C30F46" w:rsidRDefault="009D7407" w:rsidP="009D7407">
            <w:pPr>
              <w:tabs>
                <w:tab w:val="right" w:pos="1202"/>
              </w:tabs>
              <w:spacing w:after="0" w:line="340" w:lineRule="exact"/>
              <w:jc w:val="right"/>
              <w:outlineLvl w:val="0"/>
              <w:rPr>
                <w:rFonts w:eastAsia="Times New Roman" w:cs="Arial"/>
                <w:b/>
                <w:sz w:val="20"/>
                <w:szCs w:val="20"/>
              </w:rPr>
            </w:pPr>
            <w:r w:rsidRPr="009702B0">
              <w:rPr>
                <w:rFonts w:eastAsia="Times New Roman" w:cs="Arial"/>
                <w:b/>
                <w:spacing w:val="-2"/>
                <w:sz w:val="20"/>
                <w:szCs w:val="20"/>
              </w:rPr>
              <w:t>A</w:t>
            </w:r>
          </w:p>
        </w:tc>
        <w:tc>
          <w:tcPr>
            <w:tcW w:w="747" w:type="pct"/>
            <w:tcBorders>
              <w:top w:val="nil"/>
              <w:left w:val="nil"/>
              <w:bottom w:val="nil"/>
              <w:right w:val="nil"/>
            </w:tcBorders>
            <w:shd w:val="clear" w:color="auto" w:fill="auto"/>
          </w:tcPr>
          <w:p w14:paraId="29CEC0BB" w14:textId="4B403AC3" w:rsidR="009D7407" w:rsidRPr="009702B0" w:rsidRDefault="009D7407" w:rsidP="009D7407">
            <w:pPr>
              <w:tabs>
                <w:tab w:val="right" w:pos="1202"/>
              </w:tabs>
              <w:spacing w:after="0" w:line="301" w:lineRule="exact"/>
              <w:jc w:val="right"/>
              <w:outlineLvl w:val="0"/>
              <w:rPr>
                <w:rFonts w:asciiTheme="minorHAnsi" w:eastAsia="Times New Roman" w:hAnsiTheme="minorHAnsi" w:cs="Arial"/>
                <w:b/>
                <w:spacing w:val="-3"/>
                <w:sz w:val="20"/>
                <w:szCs w:val="20"/>
                <w:lang w:val="hr-HR"/>
              </w:rPr>
            </w:pPr>
            <w:r>
              <w:rPr>
                <w:rFonts w:asciiTheme="minorHAnsi" w:hAnsiTheme="minorHAnsi" w:cs="Arial"/>
                <w:b/>
                <w:spacing w:val="-3"/>
                <w:sz w:val="20"/>
                <w:lang w:val="hr-HR"/>
              </w:rPr>
              <w:t>1,13%</w:t>
            </w:r>
          </w:p>
        </w:tc>
        <w:tc>
          <w:tcPr>
            <w:tcW w:w="747" w:type="pct"/>
          </w:tcPr>
          <w:p w14:paraId="7BC49C9F" w14:textId="77777777" w:rsidR="009D7407" w:rsidRPr="001E7DB0" w:rsidRDefault="009D7407" w:rsidP="009D7407">
            <w:pPr>
              <w:pStyle w:val="TT"/>
              <w:jc w:val="right"/>
              <w:rPr>
                <w:rFonts w:asciiTheme="minorHAnsi" w:hAnsiTheme="minorHAnsi" w:cs="Arial"/>
                <w:b/>
                <w:spacing w:val="-3"/>
                <w:sz w:val="20"/>
                <w:lang w:val="hr-HR"/>
              </w:rPr>
            </w:pPr>
            <w:r>
              <w:rPr>
                <w:rFonts w:asciiTheme="minorHAnsi" w:hAnsiTheme="minorHAnsi" w:cs="Arial"/>
                <w:b/>
                <w:spacing w:val="-3"/>
                <w:sz w:val="20"/>
                <w:lang w:val="hr-HR"/>
              </w:rPr>
              <w:t>1.52</w:t>
            </w:r>
            <w:r w:rsidRPr="00D30D9B">
              <w:rPr>
                <w:rFonts w:asciiTheme="minorHAnsi" w:hAnsiTheme="minorHAnsi" w:cs="Arial"/>
                <w:b/>
                <w:spacing w:val="-3"/>
                <w:sz w:val="20"/>
                <w:lang w:val="hr-HR"/>
              </w:rPr>
              <w:t>%</w:t>
            </w:r>
          </w:p>
        </w:tc>
        <w:tc>
          <w:tcPr>
            <w:tcW w:w="746" w:type="pct"/>
            <w:shd w:val="clear" w:color="auto" w:fill="auto"/>
            <w:vAlign w:val="center"/>
          </w:tcPr>
          <w:p w14:paraId="40B98609" w14:textId="7A1B25CD" w:rsidR="009D7407" w:rsidRPr="009702B0" w:rsidRDefault="009D7407" w:rsidP="009D7407">
            <w:pPr>
              <w:tabs>
                <w:tab w:val="right" w:pos="1202"/>
              </w:tabs>
              <w:spacing w:after="0" w:line="340" w:lineRule="exact"/>
              <w:jc w:val="right"/>
              <w:outlineLvl w:val="0"/>
              <w:rPr>
                <w:rFonts w:asciiTheme="minorHAnsi" w:eastAsia="Times New Roman" w:hAnsiTheme="minorHAnsi"/>
                <w:sz w:val="20"/>
                <w:szCs w:val="20"/>
              </w:rPr>
            </w:pPr>
            <w:r w:rsidRPr="001D1AF1">
              <w:rPr>
                <w:rFonts w:eastAsia="Times New Roman" w:cs="Arial"/>
                <w:spacing w:val="-3"/>
                <w:sz w:val="20"/>
                <w:szCs w:val="20"/>
              </w:rPr>
              <w:t>32</w:t>
            </w:r>
            <w:r>
              <w:rPr>
                <w:rFonts w:eastAsia="Times New Roman" w:cs="Arial"/>
                <w:spacing w:val="-3"/>
                <w:sz w:val="20"/>
                <w:szCs w:val="20"/>
              </w:rPr>
              <w:t>,</w:t>
            </w:r>
            <w:r w:rsidRPr="001D1AF1">
              <w:rPr>
                <w:rFonts w:eastAsia="Times New Roman" w:cs="Arial"/>
                <w:spacing w:val="-3"/>
                <w:sz w:val="20"/>
                <w:szCs w:val="20"/>
              </w:rPr>
              <w:t>003</w:t>
            </w:r>
            <w:r>
              <w:rPr>
                <w:rFonts w:eastAsia="Times New Roman" w:cs="Arial"/>
                <w:spacing w:val="-3"/>
                <w:sz w:val="20"/>
                <w:szCs w:val="20"/>
              </w:rPr>
              <w:t>,</w:t>
            </w:r>
            <w:r w:rsidRPr="001D1AF1">
              <w:rPr>
                <w:rFonts w:eastAsia="Times New Roman" w:cs="Arial"/>
                <w:spacing w:val="-3"/>
                <w:sz w:val="20"/>
                <w:szCs w:val="20"/>
              </w:rPr>
              <w:t>912</w:t>
            </w:r>
          </w:p>
        </w:tc>
        <w:tc>
          <w:tcPr>
            <w:tcW w:w="708" w:type="pct"/>
          </w:tcPr>
          <w:p w14:paraId="2857CDEE" w14:textId="77777777" w:rsidR="009D7407" w:rsidRPr="001E7DB0" w:rsidRDefault="009D7407" w:rsidP="009D7407">
            <w:pPr>
              <w:pStyle w:val="Tot"/>
              <w:jc w:val="right"/>
              <w:rPr>
                <w:rFonts w:asciiTheme="minorHAnsi" w:hAnsiTheme="minorHAnsi" w:cs="Arial"/>
                <w:spacing w:val="-3"/>
                <w:sz w:val="20"/>
                <w:lang w:val="hr-HR"/>
              </w:rPr>
            </w:pPr>
            <w:r w:rsidRPr="00D10182">
              <w:rPr>
                <w:rFonts w:asciiTheme="minorHAnsi" w:hAnsiTheme="minorHAnsi" w:cs="Arial"/>
                <w:spacing w:val="-3"/>
                <w:sz w:val="20"/>
                <w:lang w:val="hr-HR"/>
              </w:rPr>
              <w:t>31</w:t>
            </w:r>
            <w:r>
              <w:rPr>
                <w:rFonts w:asciiTheme="minorHAnsi" w:hAnsiTheme="minorHAnsi" w:cs="Arial"/>
                <w:spacing w:val="-3"/>
                <w:sz w:val="20"/>
                <w:lang w:val="hr-HR"/>
              </w:rPr>
              <w:t>,</w:t>
            </w:r>
            <w:r w:rsidRPr="00D10182">
              <w:rPr>
                <w:rFonts w:asciiTheme="minorHAnsi" w:hAnsiTheme="minorHAnsi" w:cs="Arial"/>
                <w:spacing w:val="-3"/>
                <w:sz w:val="20"/>
                <w:lang w:val="hr-HR"/>
              </w:rPr>
              <w:t>671</w:t>
            </w:r>
            <w:r>
              <w:rPr>
                <w:rFonts w:asciiTheme="minorHAnsi" w:hAnsiTheme="minorHAnsi" w:cs="Arial"/>
                <w:spacing w:val="-3"/>
                <w:sz w:val="20"/>
                <w:lang w:val="hr-HR"/>
              </w:rPr>
              <w:t>,</w:t>
            </w:r>
            <w:r w:rsidRPr="00D10182">
              <w:rPr>
                <w:rFonts w:asciiTheme="minorHAnsi" w:hAnsiTheme="minorHAnsi" w:cs="Arial"/>
                <w:spacing w:val="-3"/>
                <w:sz w:val="20"/>
                <w:lang w:val="hr-HR"/>
              </w:rPr>
              <w:t>378</w:t>
            </w:r>
          </w:p>
        </w:tc>
        <w:tc>
          <w:tcPr>
            <w:tcW w:w="765" w:type="pct"/>
            <w:shd w:val="clear" w:color="auto" w:fill="auto"/>
            <w:vAlign w:val="center"/>
          </w:tcPr>
          <w:p w14:paraId="4B83E1F3" w14:textId="7E8616F0" w:rsidR="009D7407" w:rsidRPr="009702B0" w:rsidRDefault="009D7407" w:rsidP="009D7407">
            <w:pPr>
              <w:tabs>
                <w:tab w:val="right" w:pos="1202"/>
              </w:tabs>
              <w:spacing w:after="0" w:line="340" w:lineRule="exact"/>
              <w:jc w:val="right"/>
              <w:outlineLvl w:val="0"/>
              <w:rPr>
                <w:rFonts w:asciiTheme="minorHAnsi" w:eastAsia="Times New Roman" w:hAnsiTheme="minorHAnsi"/>
                <w:sz w:val="20"/>
                <w:szCs w:val="20"/>
              </w:rPr>
            </w:pPr>
            <w:r w:rsidRPr="001D1AF1">
              <w:rPr>
                <w:rFonts w:eastAsia="Times New Roman" w:cs="Arial"/>
                <w:spacing w:val="-3"/>
                <w:sz w:val="20"/>
                <w:szCs w:val="20"/>
              </w:rPr>
              <w:t>31</w:t>
            </w:r>
            <w:r>
              <w:rPr>
                <w:rFonts w:eastAsia="Times New Roman" w:cs="Arial"/>
                <w:spacing w:val="-3"/>
                <w:sz w:val="20"/>
                <w:szCs w:val="20"/>
              </w:rPr>
              <w:t>,</w:t>
            </w:r>
            <w:r w:rsidRPr="001D1AF1">
              <w:rPr>
                <w:rFonts w:eastAsia="Times New Roman" w:cs="Arial"/>
                <w:spacing w:val="-3"/>
                <w:sz w:val="20"/>
                <w:szCs w:val="20"/>
              </w:rPr>
              <w:t>948</w:t>
            </w:r>
            <w:r>
              <w:rPr>
                <w:rFonts w:eastAsia="Times New Roman" w:cs="Arial"/>
                <w:spacing w:val="-3"/>
                <w:sz w:val="20"/>
                <w:szCs w:val="20"/>
              </w:rPr>
              <w:t>,</w:t>
            </w:r>
            <w:r w:rsidRPr="001D1AF1">
              <w:rPr>
                <w:rFonts w:eastAsia="Times New Roman" w:cs="Arial"/>
                <w:spacing w:val="-3"/>
                <w:sz w:val="20"/>
                <w:szCs w:val="20"/>
              </w:rPr>
              <w:t>975</w:t>
            </w:r>
          </w:p>
        </w:tc>
        <w:tc>
          <w:tcPr>
            <w:tcW w:w="764" w:type="pct"/>
          </w:tcPr>
          <w:p w14:paraId="1D8013DA" w14:textId="77777777" w:rsidR="009D7407" w:rsidRPr="001E7DB0" w:rsidRDefault="009D7407" w:rsidP="009D7407">
            <w:pPr>
              <w:pStyle w:val="Tot"/>
              <w:jc w:val="right"/>
              <w:rPr>
                <w:rFonts w:asciiTheme="minorHAnsi" w:hAnsiTheme="minorHAnsi" w:cs="Arial"/>
                <w:spacing w:val="-3"/>
                <w:sz w:val="20"/>
                <w:lang w:val="hr-HR"/>
              </w:rPr>
            </w:pPr>
            <w:r w:rsidRPr="00D10182">
              <w:rPr>
                <w:rFonts w:asciiTheme="minorHAnsi" w:hAnsiTheme="minorHAnsi" w:cs="Arial"/>
                <w:spacing w:val="-3"/>
                <w:sz w:val="20"/>
                <w:lang w:val="hr-HR"/>
              </w:rPr>
              <w:t>31</w:t>
            </w:r>
            <w:r>
              <w:rPr>
                <w:rFonts w:asciiTheme="minorHAnsi" w:hAnsiTheme="minorHAnsi" w:cs="Arial"/>
                <w:spacing w:val="-3"/>
                <w:sz w:val="20"/>
                <w:lang w:val="hr-HR"/>
              </w:rPr>
              <w:t>,</w:t>
            </w:r>
            <w:r w:rsidRPr="00D10182">
              <w:rPr>
                <w:rFonts w:asciiTheme="minorHAnsi" w:hAnsiTheme="minorHAnsi" w:cs="Arial"/>
                <w:spacing w:val="-3"/>
                <w:sz w:val="20"/>
                <w:lang w:val="hr-HR"/>
              </w:rPr>
              <w:t>619</w:t>
            </w:r>
            <w:r>
              <w:rPr>
                <w:rFonts w:asciiTheme="minorHAnsi" w:hAnsiTheme="minorHAnsi" w:cs="Arial"/>
                <w:spacing w:val="-3"/>
                <w:sz w:val="20"/>
                <w:lang w:val="hr-HR"/>
              </w:rPr>
              <w:t>,</w:t>
            </w:r>
            <w:r w:rsidRPr="00D10182">
              <w:rPr>
                <w:rFonts w:asciiTheme="minorHAnsi" w:hAnsiTheme="minorHAnsi" w:cs="Arial"/>
                <w:spacing w:val="-3"/>
                <w:sz w:val="20"/>
                <w:lang w:val="hr-HR"/>
              </w:rPr>
              <w:t>491</w:t>
            </w:r>
          </w:p>
        </w:tc>
      </w:tr>
      <w:tr w:rsidR="009D7407" w:rsidRPr="009702B0" w14:paraId="3259368C" w14:textId="77777777" w:rsidTr="006B318F">
        <w:trPr>
          <w:trHeight w:val="315"/>
          <w:jc w:val="center"/>
        </w:trPr>
        <w:tc>
          <w:tcPr>
            <w:tcW w:w="522" w:type="pct"/>
          </w:tcPr>
          <w:p w14:paraId="1C4DFC19" w14:textId="77777777" w:rsidR="009D7407" w:rsidRPr="009702B0" w:rsidDel="00C30F46" w:rsidRDefault="009D7407" w:rsidP="009D7407">
            <w:pPr>
              <w:tabs>
                <w:tab w:val="right" w:pos="1202"/>
              </w:tabs>
              <w:spacing w:after="0" w:line="340" w:lineRule="exact"/>
              <w:jc w:val="right"/>
              <w:outlineLvl w:val="0"/>
              <w:rPr>
                <w:rFonts w:eastAsia="Times New Roman" w:cs="Arial"/>
                <w:b/>
                <w:bCs/>
                <w:sz w:val="20"/>
                <w:szCs w:val="20"/>
              </w:rPr>
            </w:pPr>
            <w:r w:rsidRPr="009702B0">
              <w:rPr>
                <w:rFonts w:eastAsia="Times New Roman" w:cs="Arial"/>
                <w:b/>
                <w:sz w:val="20"/>
                <w:szCs w:val="20"/>
              </w:rPr>
              <w:t>B</w:t>
            </w:r>
          </w:p>
        </w:tc>
        <w:tc>
          <w:tcPr>
            <w:tcW w:w="747" w:type="pct"/>
            <w:tcBorders>
              <w:top w:val="nil"/>
              <w:left w:val="nil"/>
              <w:bottom w:val="nil"/>
              <w:right w:val="nil"/>
            </w:tcBorders>
            <w:shd w:val="clear" w:color="auto" w:fill="auto"/>
          </w:tcPr>
          <w:p w14:paraId="76CD03E0" w14:textId="792B03EC" w:rsidR="009D7407" w:rsidRPr="009702B0" w:rsidRDefault="009D7407" w:rsidP="009D7407">
            <w:pPr>
              <w:tabs>
                <w:tab w:val="right" w:pos="1202"/>
              </w:tabs>
              <w:spacing w:after="0" w:line="301" w:lineRule="exact"/>
              <w:jc w:val="right"/>
              <w:outlineLvl w:val="0"/>
              <w:rPr>
                <w:rFonts w:asciiTheme="minorHAnsi" w:eastAsia="Times New Roman" w:hAnsiTheme="minorHAnsi" w:cs="Arial"/>
                <w:b/>
                <w:spacing w:val="-3"/>
                <w:sz w:val="20"/>
                <w:szCs w:val="20"/>
                <w:lang w:val="hr-HR"/>
              </w:rPr>
            </w:pPr>
            <w:r>
              <w:rPr>
                <w:rFonts w:asciiTheme="minorHAnsi" w:hAnsiTheme="minorHAnsi" w:cs="Arial"/>
                <w:b/>
                <w:spacing w:val="-3"/>
                <w:sz w:val="20"/>
                <w:lang w:val="hr-HR"/>
              </w:rPr>
              <w:t>34,50%</w:t>
            </w:r>
          </w:p>
        </w:tc>
        <w:tc>
          <w:tcPr>
            <w:tcW w:w="747" w:type="pct"/>
          </w:tcPr>
          <w:p w14:paraId="321A9C71" w14:textId="77777777" w:rsidR="009D7407" w:rsidRPr="001E7DB0" w:rsidRDefault="009D7407" w:rsidP="009D7407">
            <w:pPr>
              <w:pStyle w:val="Tot"/>
              <w:tabs>
                <w:tab w:val="clear" w:pos="1202"/>
              </w:tabs>
              <w:jc w:val="right"/>
              <w:rPr>
                <w:rFonts w:asciiTheme="minorHAnsi" w:hAnsiTheme="minorHAnsi" w:cs="Arial"/>
                <w:b/>
                <w:sz w:val="20"/>
                <w:lang w:val="hr-HR"/>
              </w:rPr>
            </w:pPr>
            <w:r>
              <w:rPr>
                <w:rFonts w:asciiTheme="minorHAnsi" w:hAnsiTheme="minorHAnsi" w:cs="Arial"/>
                <w:b/>
                <w:spacing w:val="-3"/>
                <w:sz w:val="20"/>
                <w:lang w:val="hr-HR"/>
              </w:rPr>
              <w:t>34.08</w:t>
            </w:r>
            <w:r w:rsidRPr="00D30D9B">
              <w:rPr>
                <w:rFonts w:asciiTheme="minorHAnsi" w:hAnsiTheme="minorHAnsi" w:cs="Arial"/>
                <w:b/>
                <w:spacing w:val="-3"/>
                <w:sz w:val="20"/>
                <w:lang w:val="hr-HR"/>
              </w:rPr>
              <w:t>%</w:t>
            </w:r>
          </w:p>
        </w:tc>
        <w:tc>
          <w:tcPr>
            <w:tcW w:w="746" w:type="pct"/>
            <w:shd w:val="clear" w:color="auto" w:fill="auto"/>
            <w:vAlign w:val="center"/>
          </w:tcPr>
          <w:p w14:paraId="41F05C77" w14:textId="024275FD" w:rsidR="009D7407" w:rsidRPr="009702B0" w:rsidRDefault="009D7407" w:rsidP="009D7407">
            <w:pPr>
              <w:tabs>
                <w:tab w:val="right" w:pos="1202"/>
              </w:tabs>
              <w:spacing w:after="0" w:line="340" w:lineRule="exact"/>
              <w:jc w:val="right"/>
              <w:outlineLvl w:val="0"/>
              <w:rPr>
                <w:rFonts w:asciiTheme="minorHAnsi" w:eastAsia="Times New Roman" w:hAnsiTheme="minorHAnsi"/>
                <w:sz w:val="20"/>
                <w:szCs w:val="20"/>
              </w:rPr>
            </w:pPr>
            <w:r w:rsidRPr="001D1AF1">
              <w:rPr>
                <w:rFonts w:eastAsia="Times New Roman" w:cs="Arial"/>
                <w:sz w:val="20"/>
                <w:szCs w:val="20"/>
              </w:rPr>
              <w:t>1</w:t>
            </w:r>
            <w:r>
              <w:rPr>
                <w:rFonts w:eastAsia="Times New Roman" w:cs="Arial"/>
                <w:sz w:val="20"/>
                <w:szCs w:val="20"/>
              </w:rPr>
              <w:t>,</w:t>
            </w:r>
            <w:r w:rsidRPr="001D1AF1">
              <w:rPr>
                <w:rFonts w:eastAsia="Times New Roman" w:cs="Arial"/>
                <w:sz w:val="20"/>
                <w:szCs w:val="20"/>
              </w:rPr>
              <w:t>726</w:t>
            </w:r>
            <w:r>
              <w:rPr>
                <w:rFonts w:eastAsia="Times New Roman" w:cs="Arial"/>
                <w:sz w:val="20"/>
                <w:szCs w:val="20"/>
              </w:rPr>
              <w:t>,</w:t>
            </w:r>
            <w:r w:rsidRPr="001D1AF1">
              <w:rPr>
                <w:rFonts w:eastAsia="Times New Roman" w:cs="Arial"/>
                <w:sz w:val="20"/>
                <w:szCs w:val="20"/>
              </w:rPr>
              <w:t>290</w:t>
            </w:r>
          </w:p>
        </w:tc>
        <w:tc>
          <w:tcPr>
            <w:tcW w:w="708" w:type="pct"/>
          </w:tcPr>
          <w:p w14:paraId="3D180AA9" w14:textId="77777777" w:rsidR="009D7407" w:rsidRPr="001E7DB0" w:rsidRDefault="009D7407" w:rsidP="009D7407">
            <w:pPr>
              <w:pStyle w:val="Tot"/>
              <w:tabs>
                <w:tab w:val="clear" w:pos="1202"/>
              </w:tabs>
              <w:jc w:val="right"/>
              <w:rPr>
                <w:rFonts w:asciiTheme="minorHAnsi" w:hAnsiTheme="minorHAnsi" w:cs="Arial"/>
                <w:sz w:val="20"/>
                <w:lang w:val="hr-HR"/>
              </w:rPr>
            </w:pPr>
            <w:r w:rsidRPr="00D10182">
              <w:rPr>
                <w:rFonts w:asciiTheme="minorHAnsi" w:hAnsiTheme="minorHAnsi" w:cs="Arial"/>
                <w:sz w:val="20"/>
                <w:lang w:val="hr-HR"/>
              </w:rPr>
              <w:t>1</w:t>
            </w:r>
            <w:r>
              <w:rPr>
                <w:rFonts w:asciiTheme="minorHAnsi" w:hAnsiTheme="minorHAnsi" w:cs="Arial"/>
                <w:sz w:val="20"/>
                <w:lang w:val="hr-HR"/>
              </w:rPr>
              <w:t>,</w:t>
            </w:r>
            <w:r w:rsidRPr="00D10182">
              <w:rPr>
                <w:rFonts w:asciiTheme="minorHAnsi" w:hAnsiTheme="minorHAnsi" w:cs="Arial"/>
                <w:sz w:val="20"/>
                <w:lang w:val="hr-HR"/>
              </w:rPr>
              <w:t>548</w:t>
            </w:r>
            <w:r>
              <w:rPr>
                <w:rFonts w:asciiTheme="minorHAnsi" w:hAnsiTheme="minorHAnsi" w:cs="Arial"/>
                <w:sz w:val="20"/>
                <w:lang w:val="hr-HR"/>
              </w:rPr>
              <w:t>,</w:t>
            </w:r>
            <w:r w:rsidRPr="00D10182">
              <w:rPr>
                <w:rFonts w:asciiTheme="minorHAnsi" w:hAnsiTheme="minorHAnsi" w:cs="Arial"/>
                <w:sz w:val="20"/>
                <w:lang w:val="hr-HR"/>
              </w:rPr>
              <w:t>648</w:t>
            </w:r>
          </w:p>
        </w:tc>
        <w:tc>
          <w:tcPr>
            <w:tcW w:w="765" w:type="pct"/>
            <w:shd w:val="clear" w:color="auto" w:fill="auto"/>
            <w:vAlign w:val="center"/>
          </w:tcPr>
          <w:p w14:paraId="5E5DCF88" w14:textId="4AB52B20" w:rsidR="009D7407" w:rsidRPr="009702B0" w:rsidRDefault="009D7407" w:rsidP="009D7407">
            <w:pPr>
              <w:tabs>
                <w:tab w:val="right" w:pos="1202"/>
              </w:tabs>
              <w:spacing w:after="0" w:line="340" w:lineRule="exact"/>
              <w:jc w:val="right"/>
              <w:outlineLvl w:val="0"/>
              <w:rPr>
                <w:rFonts w:asciiTheme="minorHAnsi" w:eastAsia="Times New Roman" w:hAnsiTheme="minorHAnsi"/>
                <w:sz w:val="20"/>
                <w:szCs w:val="20"/>
              </w:rPr>
            </w:pPr>
            <w:r w:rsidRPr="001D1AF1">
              <w:rPr>
                <w:rFonts w:eastAsia="Times New Roman" w:cs="Arial"/>
                <w:sz w:val="20"/>
                <w:szCs w:val="20"/>
              </w:rPr>
              <w:t>1</w:t>
            </w:r>
            <w:r>
              <w:rPr>
                <w:rFonts w:eastAsia="Times New Roman" w:cs="Arial"/>
                <w:sz w:val="20"/>
                <w:szCs w:val="20"/>
              </w:rPr>
              <w:t>,</w:t>
            </w:r>
            <w:r w:rsidRPr="001D1AF1">
              <w:rPr>
                <w:rFonts w:eastAsia="Times New Roman" w:cs="Arial"/>
                <w:sz w:val="20"/>
                <w:szCs w:val="20"/>
              </w:rPr>
              <w:t>726</w:t>
            </w:r>
            <w:r>
              <w:rPr>
                <w:rFonts w:eastAsia="Times New Roman" w:cs="Arial"/>
                <w:sz w:val="20"/>
                <w:szCs w:val="20"/>
              </w:rPr>
              <w:t>,</w:t>
            </w:r>
            <w:r w:rsidRPr="001D1AF1">
              <w:rPr>
                <w:rFonts w:eastAsia="Times New Roman" w:cs="Arial"/>
                <w:sz w:val="20"/>
                <w:szCs w:val="20"/>
              </w:rPr>
              <w:t>290</w:t>
            </w:r>
          </w:p>
        </w:tc>
        <w:tc>
          <w:tcPr>
            <w:tcW w:w="764" w:type="pct"/>
          </w:tcPr>
          <w:p w14:paraId="4FEF81F3" w14:textId="77777777" w:rsidR="009D7407" w:rsidRPr="001E7DB0" w:rsidRDefault="009D7407" w:rsidP="009D7407">
            <w:pPr>
              <w:pStyle w:val="Tot"/>
              <w:tabs>
                <w:tab w:val="clear" w:pos="1202"/>
              </w:tabs>
              <w:jc w:val="right"/>
              <w:rPr>
                <w:rFonts w:asciiTheme="minorHAnsi" w:hAnsiTheme="minorHAnsi" w:cs="Arial"/>
                <w:sz w:val="20"/>
                <w:lang w:val="hr-HR"/>
              </w:rPr>
            </w:pPr>
            <w:r w:rsidRPr="00D10182">
              <w:rPr>
                <w:rFonts w:asciiTheme="minorHAnsi" w:hAnsiTheme="minorHAnsi" w:cs="Arial"/>
                <w:sz w:val="20"/>
                <w:lang w:val="hr-HR"/>
              </w:rPr>
              <w:t>1</w:t>
            </w:r>
            <w:r>
              <w:rPr>
                <w:rFonts w:asciiTheme="minorHAnsi" w:hAnsiTheme="minorHAnsi" w:cs="Arial"/>
                <w:sz w:val="20"/>
                <w:lang w:val="hr-HR"/>
              </w:rPr>
              <w:t>,</w:t>
            </w:r>
            <w:r w:rsidRPr="00D10182">
              <w:rPr>
                <w:rFonts w:asciiTheme="minorHAnsi" w:hAnsiTheme="minorHAnsi" w:cs="Arial"/>
                <w:sz w:val="20"/>
                <w:lang w:val="hr-HR"/>
              </w:rPr>
              <w:t>548</w:t>
            </w:r>
            <w:r>
              <w:rPr>
                <w:rFonts w:asciiTheme="minorHAnsi" w:hAnsiTheme="minorHAnsi" w:cs="Arial"/>
                <w:sz w:val="20"/>
                <w:lang w:val="hr-HR"/>
              </w:rPr>
              <w:t>,</w:t>
            </w:r>
            <w:r w:rsidRPr="00D10182">
              <w:rPr>
                <w:rFonts w:asciiTheme="minorHAnsi" w:hAnsiTheme="minorHAnsi" w:cs="Arial"/>
                <w:sz w:val="20"/>
                <w:lang w:val="hr-HR"/>
              </w:rPr>
              <w:t>648</w:t>
            </w:r>
          </w:p>
        </w:tc>
      </w:tr>
      <w:tr w:rsidR="009D7407" w:rsidRPr="009702B0" w:rsidDel="0095234C" w14:paraId="2CB31AC5" w14:textId="77777777" w:rsidTr="00166751">
        <w:trPr>
          <w:trHeight w:val="327"/>
          <w:jc w:val="center"/>
        </w:trPr>
        <w:tc>
          <w:tcPr>
            <w:tcW w:w="522" w:type="pct"/>
            <w:vAlign w:val="bottom"/>
          </w:tcPr>
          <w:p w14:paraId="238E6896" w14:textId="77777777" w:rsidR="009D7407" w:rsidRPr="009702B0" w:rsidRDefault="009D7407" w:rsidP="009D7407">
            <w:pPr>
              <w:tabs>
                <w:tab w:val="right" w:pos="1202"/>
              </w:tabs>
              <w:spacing w:after="0" w:line="340" w:lineRule="exact"/>
              <w:jc w:val="right"/>
              <w:outlineLvl w:val="0"/>
              <w:rPr>
                <w:rFonts w:eastAsia="Times New Roman" w:cs="Arial"/>
                <w:b/>
                <w:sz w:val="20"/>
                <w:szCs w:val="20"/>
              </w:rPr>
            </w:pPr>
            <w:r w:rsidRPr="009702B0">
              <w:rPr>
                <w:rFonts w:eastAsia="Times New Roman" w:cs="Arial"/>
                <w:b/>
                <w:sz w:val="20"/>
                <w:szCs w:val="20"/>
              </w:rPr>
              <w:t>C</w:t>
            </w:r>
          </w:p>
        </w:tc>
        <w:tc>
          <w:tcPr>
            <w:tcW w:w="747" w:type="pct"/>
            <w:tcBorders>
              <w:top w:val="nil"/>
              <w:left w:val="nil"/>
              <w:bottom w:val="nil"/>
              <w:right w:val="nil"/>
            </w:tcBorders>
            <w:shd w:val="clear" w:color="auto" w:fill="auto"/>
          </w:tcPr>
          <w:p w14:paraId="294F0029" w14:textId="234437A8" w:rsidR="009D7407" w:rsidRPr="009702B0" w:rsidDel="0095234C" w:rsidRDefault="009D7407" w:rsidP="009D7407">
            <w:pPr>
              <w:tabs>
                <w:tab w:val="right" w:pos="1202"/>
              </w:tabs>
              <w:spacing w:after="0" w:line="301" w:lineRule="exact"/>
              <w:jc w:val="right"/>
              <w:outlineLvl w:val="0"/>
              <w:rPr>
                <w:rFonts w:asciiTheme="minorHAnsi" w:eastAsia="Times New Roman" w:hAnsiTheme="minorHAnsi" w:cs="Arial"/>
                <w:b/>
                <w:spacing w:val="-3"/>
                <w:sz w:val="20"/>
                <w:szCs w:val="20"/>
                <w:lang w:val="hr-HR"/>
              </w:rPr>
            </w:pPr>
            <w:r>
              <w:rPr>
                <w:rFonts w:asciiTheme="minorHAnsi" w:hAnsiTheme="minorHAnsi" w:cs="Arial"/>
                <w:b/>
                <w:spacing w:val="-3"/>
                <w:sz w:val="20"/>
                <w:lang w:val="hr-HR"/>
              </w:rPr>
              <w:t>96,10%</w:t>
            </w:r>
          </w:p>
        </w:tc>
        <w:tc>
          <w:tcPr>
            <w:tcW w:w="747" w:type="pct"/>
          </w:tcPr>
          <w:p w14:paraId="56C5EB2D" w14:textId="77777777" w:rsidR="009D7407" w:rsidRPr="001E7DB0" w:rsidDel="0095234C" w:rsidRDefault="009D7407" w:rsidP="009D7407">
            <w:pPr>
              <w:pStyle w:val="TT"/>
              <w:jc w:val="right"/>
              <w:rPr>
                <w:rFonts w:asciiTheme="minorHAnsi" w:hAnsiTheme="minorHAnsi" w:cs="Arial"/>
                <w:b/>
                <w:sz w:val="20"/>
                <w:lang w:val="hr-HR"/>
              </w:rPr>
            </w:pPr>
            <w:r>
              <w:rPr>
                <w:rFonts w:asciiTheme="minorHAnsi" w:hAnsiTheme="minorHAnsi" w:cs="Arial"/>
                <w:b/>
                <w:spacing w:val="-3"/>
                <w:sz w:val="20"/>
                <w:lang w:val="hr-HR"/>
              </w:rPr>
              <w:t>95.56</w:t>
            </w:r>
            <w:r w:rsidRPr="00D30D9B">
              <w:rPr>
                <w:rFonts w:asciiTheme="minorHAnsi" w:hAnsiTheme="minorHAnsi" w:cs="Arial"/>
                <w:b/>
                <w:spacing w:val="-3"/>
                <w:sz w:val="20"/>
                <w:lang w:val="hr-HR"/>
              </w:rPr>
              <w:t>%</w:t>
            </w:r>
          </w:p>
        </w:tc>
        <w:tc>
          <w:tcPr>
            <w:tcW w:w="746" w:type="pct"/>
            <w:tcBorders>
              <w:bottom w:val="single" w:sz="4" w:space="0" w:color="auto"/>
            </w:tcBorders>
            <w:vAlign w:val="center"/>
          </w:tcPr>
          <w:p w14:paraId="01DC05BA" w14:textId="0B17E806" w:rsidR="009D7407" w:rsidRPr="009702B0" w:rsidDel="0095234C" w:rsidRDefault="009D7407" w:rsidP="009D7407">
            <w:pPr>
              <w:tabs>
                <w:tab w:val="right" w:pos="1202"/>
              </w:tabs>
              <w:spacing w:after="0" w:line="340" w:lineRule="exact"/>
              <w:jc w:val="right"/>
              <w:outlineLvl w:val="0"/>
              <w:rPr>
                <w:rFonts w:asciiTheme="minorHAnsi" w:eastAsia="Times New Roman" w:hAnsiTheme="minorHAnsi"/>
                <w:sz w:val="20"/>
                <w:szCs w:val="20"/>
              </w:rPr>
            </w:pPr>
            <w:r>
              <w:rPr>
                <w:rFonts w:eastAsia="Times New Roman" w:cs="Arial"/>
                <w:sz w:val="20"/>
                <w:szCs w:val="20"/>
              </w:rPr>
              <w:t>-</w:t>
            </w:r>
          </w:p>
        </w:tc>
        <w:tc>
          <w:tcPr>
            <w:tcW w:w="708" w:type="pct"/>
            <w:tcBorders>
              <w:bottom w:val="single" w:sz="4" w:space="0" w:color="auto"/>
            </w:tcBorders>
            <w:vAlign w:val="bottom"/>
          </w:tcPr>
          <w:p w14:paraId="70D46504" w14:textId="77777777" w:rsidR="009D7407" w:rsidRPr="001E7DB0" w:rsidDel="0095234C" w:rsidRDefault="009D7407" w:rsidP="009D7407">
            <w:pPr>
              <w:pStyle w:val="Tot"/>
              <w:jc w:val="right"/>
              <w:rPr>
                <w:rFonts w:asciiTheme="minorHAnsi" w:hAnsiTheme="minorHAnsi" w:cs="Arial"/>
                <w:sz w:val="20"/>
                <w:lang w:val="hr-HR"/>
              </w:rPr>
            </w:pPr>
            <w:r w:rsidRPr="001E7DB0">
              <w:rPr>
                <w:rFonts w:asciiTheme="minorHAnsi" w:hAnsiTheme="minorHAnsi" w:cs="Arial"/>
                <w:sz w:val="20"/>
                <w:lang w:val="hr-HR"/>
              </w:rPr>
              <w:t>-</w:t>
            </w:r>
          </w:p>
        </w:tc>
        <w:tc>
          <w:tcPr>
            <w:tcW w:w="765" w:type="pct"/>
            <w:tcBorders>
              <w:bottom w:val="single" w:sz="4" w:space="0" w:color="auto"/>
            </w:tcBorders>
            <w:vAlign w:val="center"/>
          </w:tcPr>
          <w:p w14:paraId="1F34505B" w14:textId="2F2CE64D" w:rsidR="009D7407" w:rsidRPr="009702B0" w:rsidRDefault="009D7407" w:rsidP="009D7407">
            <w:pPr>
              <w:tabs>
                <w:tab w:val="right" w:pos="1202"/>
              </w:tabs>
              <w:spacing w:after="0" w:line="340" w:lineRule="exact"/>
              <w:jc w:val="right"/>
              <w:outlineLvl w:val="0"/>
              <w:rPr>
                <w:rFonts w:asciiTheme="minorHAnsi" w:eastAsia="Times New Roman" w:hAnsiTheme="minorHAnsi"/>
                <w:sz w:val="20"/>
                <w:szCs w:val="20"/>
              </w:rPr>
            </w:pPr>
            <w:r>
              <w:rPr>
                <w:rFonts w:eastAsia="Times New Roman" w:cs="Arial"/>
                <w:sz w:val="20"/>
                <w:szCs w:val="20"/>
              </w:rPr>
              <w:t>-</w:t>
            </w:r>
          </w:p>
        </w:tc>
        <w:tc>
          <w:tcPr>
            <w:tcW w:w="764" w:type="pct"/>
            <w:tcBorders>
              <w:bottom w:val="single" w:sz="4" w:space="0" w:color="auto"/>
            </w:tcBorders>
          </w:tcPr>
          <w:p w14:paraId="34FB6DE1" w14:textId="77777777" w:rsidR="009D7407" w:rsidRPr="001E7DB0" w:rsidRDefault="009D7407" w:rsidP="009D7407">
            <w:pPr>
              <w:pStyle w:val="Tot"/>
              <w:jc w:val="right"/>
              <w:rPr>
                <w:rFonts w:asciiTheme="minorHAnsi" w:hAnsiTheme="minorHAnsi" w:cs="Arial"/>
                <w:sz w:val="20"/>
                <w:lang w:val="hr-HR"/>
              </w:rPr>
            </w:pPr>
            <w:r w:rsidRPr="001E7DB0">
              <w:rPr>
                <w:rFonts w:asciiTheme="minorHAnsi" w:hAnsiTheme="minorHAnsi" w:cs="Arial"/>
                <w:sz w:val="20"/>
                <w:lang w:val="hr-HR"/>
              </w:rPr>
              <w:t>-</w:t>
            </w:r>
          </w:p>
        </w:tc>
      </w:tr>
      <w:tr w:rsidR="007147C5" w:rsidRPr="009702B0" w:rsidDel="0095234C" w14:paraId="7641B18B" w14:textId="77777777" w:rsidTr="00166751">
        <w:trPr>
          <w:trHeight w:val="311"/>
          <w:jc w:val="center"/>
        </w:trPr>
        <w:tc>
          <w:tcPr>
            <w:tcW w:w="522" w:type="pct"/>
            <w:vAlign w:val="center"/>
          </w:tcPr>
          <w:p w14:paraId="6E16BCB9" w14:textId="77777777" w:rsidR="007147C5" w:rsidRPr="009702B0" w:rsidRDefault="007147C5" w:rsidP="007147C5">
            <w:pPr>
              <w:keepNext/>
              <w:spacing w:after="0" w:line="140" w:lineRule="exact"/>
              <w:jc w:val="right"/>
              <w:rPr>
                <w:rFonts w:eastAsia="Times New Roman" w:cs="Arial"/>
                <w:bCs/>
                <w:sz w:val="20"/>
                <w:szCs w:val="20"/>
              </w:rPr>
            </w:pPr>
          </w:p>
        </w:tc>
        <w:tc>
          <w:tcPr>
            <w:tcW w:w="747" w:type="pct"/>
            <w:vAlign w:val="bottom"/>
          </w:tcPr>
          <w:p w14:paraId="7952F825" w14:textId="77777777" w:rsidR="007147C5" w:rsidRPr="009702B0" w:rsidRDefault="007147C5" w:rsidP="007147C5">
            <w:pPr>
              <w:tabs>
                <w:tab w:val="right" w:pos="1202"/>
              </w:tabs>
              <w:spacing w:after="0" w:line="180" w:lineRule="exact"/>
              <w:jc w:val="right"/>
              <w:outlineLvl w:val="0"/>
              <w:rPr>
                <w:rFonts w:eastAsia="Times New Roman" w:cs="Arial"/>
                <w:b/>
                <w:sz w:val="20"/>
                <w:szCs w:val="20"/>
              </w:rPr>
            </w:pPr>
            <w:r w:rsidRPr="009702B0">
              <w:rPr>
                <w:rFonts w:eastAsia="Times New Roman" w:cs="Arial"/>
                <w:b/>
                <w:sz w:val="20"/>
                <w:szCs w:val="20"/>
              </w:rPr>
              <w:t>Total</w:t>
            </w:r>
          </w:p>
        </w:tc>
        <w:tc>
          <w:tcPr>
            <w:tcW w:w="747" w:type="pct"/>
            <w:vAlign w:val="center"/>
          </w:tcPr>
          <w:p w14:paraId="7F0695DA" w14:textId="77777777" w:rsidR="007147C5" w:rsidRPr="009702B0" w:rsidDel="0095234C" w:rsidRDefault="007147C5" w:rsidP="007147C5">
            <w:pPr>
              <w:tabs>
                <w:tab w:val="right" w:pos="1202"/>
              </w:tabs>
              <w:spacing w:after="0" w:line="180" w:lineRule="exact"/>
              <w:jc w:val="right"/>
              <w:outlineLvl w:val="0"/>
              <w:rPr>
                <w:rFonts w:eastAsia="Times New Roman" w:cs="Arial"/>
                <w:b/>
                <w:sz w:val="20"/>
                <w:szCs w:val="20"/>
              </w:rPr>
            </w:pPr>
          </w:p>
        </w:tc>
        <w:tc>
          <w:tcPr>
            <w:tcW w:w="746" w:type="pct"/>
            <w:tcBorders>
              <w:top w:val="single" w:sz="4" w:space="0" w:color="auto"/>
              <w:bottom w:val="single" w:sz="18" w:space="0" w:color="auto"/>
            </w:tcBorders>
            <w:vAlign w:val="center"/>
          </w:tcPr>
          <w:p w14:paraId="3AAFDA7C" w14:textId="688BF3AF" w:rsidR="007147C5" w:rsidRPr="009702B0" w:rsidDel="0095234C" w:rsidRDefault="009D7407" w:rsidP="007147C5">
            <w:pPr>
              <w:tabs>
                <w:tab w:val="right" w:pos="1202"/>
              </w:tabs>
              <w:spacing w:after="0" w:line="240" w:lineRule="auto"/>
              <w:jc w:val="right"/>
              <w:outlineLvl w:val="0"/>
              <w:rPr>
                <w:rFonts w:asciiTheme="minorHAnsi" w:eastAsia="Times New Roman" w:hAnsiTheme="minorHAnsi" w:cs="Arial"/>
                <w:b/>
                <w:sz w:val="20"/>
                <w:szCs w:val="20"/>
                <w:lang w:val="hr-HR"/>
              </w:rPr>
            </w:pPr>
            <w:r w:rsidRPr="009D7407">
              <w:rPr>
                <w:rFonts w:eastAsia="Times New Roman" w:cs="Arial"/>
                <w:b/>
                <w:sz w:val="20"/>
                <w:szCs w:val="20"/>
              </w:rPr>
              <w:t>33,730,202</w:t>
            </w:r>
          </w:p>
        </w:tc>
        <w:tc>
          <w:tcPr>
            <w:tcW w:w="708" w:type="pct"/>
            <w:tcBorders>
              <w:top w:val="single" w:sz="4" w:space="0" w:color="auto"/>
              <w:bottom w:val="single" w:sz="12" w:space="0" w:color="auto"/>
            </w:tcBorders>
            <w:vAlign w:val="center"/>
          </w:tcPr>
          <w:p w14:paraId="075D9E7E" w14:textId="77777777" w:rsidR="007147C5" w:rsidRPr="009702B0" w:rsidDel="0095234C" w:rsidRDefault="007147C5" w:rsidP="007147C5">
            <w:pPr>
              <w:tabs>
                <w:tab w:val="right" w:pos="1202"/>
              </w:tabs>
              <w:spacing w:after="0" w:line="240" w:lineRule="auto"/>
              <w:jc w:val="right"/>
              <w:outlineLvl w:val="0"/>
              <w:rPr>
                <w:rFonts w:asciiTheme="minorHAnsi" w:eastAsia="Times New Roman" w:hAnsiTheme="minorHAnsi" w:cs="Arial"/>
                <w:b/>
                <w:sz w:val="20"/>
                <w:szCs w:val="20"/>
                <w:lang w:val="hr-HR"/>
              </w:rPr>
            </w:pPr>
            <w:r w:rsidRPr="00551F19">
              <w:rPr>
                <w:rFonts w:asciiTheme="minorHAnsi" w:eastAsia="Times New Roman" w:hAnsiTheme="minorHAnsi" w:cs="Arial"/>
                <w:b/>
                <w:sz w:val="20"/>
                <w:szCs w:val="20"/>
                <w:lang w:val="hr-HR"/>
              </w:rPr>
              <w:t>33,220,026</w:t>
            </w:r>
          </w:p>
        </w:tc>
        <w:tc>
          <w:tcPr>
            <w:tcW w:w="765" w:type="pct"/>
            <w:tcBorders>
              <w:top w:val="single" w:sz="4" w:space="0" w:color="auto"/>
              <w:bottom w:val="single" w:sz="18" w:space="0" w:color="auto"/>
            </w:tcBorders>
            <w:vAlign w:val="center"/>
          </w:tcPr>
          <w:p w14:paraId="2D95FA47" w14:textId="5C106700" w:rsidR="007147C5" w:rsidRPr="009702B0" w:rsidDel="0095234C" w:rsidRDefault="009D7407" w:rsidP="007147C5">
            <w:pPr>
              <w:tabs>
                <w:tab w:val="right" w:pos="1202"/>
              </w:tabs>
              <w:spacing w:after="0" w:line="240" w:lineRule="auto"/>
              <w:jc w:val="right"/>
              <w:outlineLvl w:val="0"/>
              <w:rPr>
                <w:rFonts w:asciiTheme="minorHAnsi" w:eastAsia="Times New Roman" w:hAnsiTheme="minorHAnsi" w:cs="Arial"/>
                <w:b/>
                <w:sz w:val="20"/>
                <w:szCs w:val="20"/>
                <w:lang w:val="hr-HR"/>
              </w:rPr>
            </w:pPr>
            <w:r w:rsidRPr="009D7407">
              <w:rPr>
                <w:rFonts w:eastAsia="Times New Roman" w:cs="Arial"/>
                <w:b/>
                <w:sz w:val="20"/>
                <w:szCs w:val="20"/>
              </w:rPr>
              <w:t>33,675,265</w:t>
            </w:r>
          </w:p>
        </w:tc>
        <w:tc>
          <w:tcPr>
            <w:tcW w:w="764" w:type="pct"/>
            <w:tcBorders>
              <w:top w:val="single" w:sz="4" w:space="0" w:color="auto"/>
              <w:bottom w:val="single" w:sz="12" w:space="0" w:color="auto"/>
            </w:tcBorders>
            <w:vAlign w:val="center"/>
          </w:tcPr>
          <w:p w14:paraId="6DAF399A" w14:textId="77777777" w:rsidR="007147C5" w:rsidRPr="009702B0" w:rsidRDefault="007147C5" w:rsidP="007147C5">
            <w:pPr>
              <w:tabs>
                <w:tab w:val="right" w:pos="1202"/>
              </w:tabs>
              <w:spacing w:after="0" w:line="240" w:lineRule="auto"/>
              <w:jc w:val="right"/>
              <w:outlineLvl w:val="0"/>
              <w:rPr>
                <w:rFonts w:asciiTheme="minorHAnsi" w:eastAsia="Times New Roman" w:hAnsiTheme="minorHAnsi" w:cs="Arial"/>
                <w:b/>
                <w:sz w:val="20"/>
                <w:szCs w:val="20"/>
                <w:lang w:val="hr-HR"/>
              </w:rPr>
            </w:pPr>
            <w:r w:rsidRPr="00551F19">
              <w:rPr>
                <w:rFonts w:asciiTheme="minorHAnsi" w:eastAsia="Times New Roman" w:hAnsiTheme="minorHAnsi" w:cs="Arial"/>
                <w:b/>
                <w:sz w:val="20"/>
                <w:szCs w:val="20"/>
                <w:lang w:val="hr-HR"/>
              </w:rPr>
              <w:t>33,168,139</w:t>
            </w:r>
          </w:p>
        </w:tc>
      </w:tr>
      <w:tr w:rsidR="007147C5" w:rsidRPr="009702B0" w:rsidDel="0095234C" w14:paraId="58213308" w14:textId="77777777" w:rsidTr="00551F19">
        <w:trPr>
          <w:trHeight w:val="261"/>
          <w:jc w:val="center"/>
        </w:trPr>
        <w:tc>
          <w:tcPr>
            <w:tcW w:w="522" w:type="pct"/>
          </w:tcPr>
          <w:p w14:paraId="51451137" w14:textId="77777777" w:rsidR="007147C5" w:rsidRPr="009702B0" w:rsidRDefault="007147C5" w:rsidP="007147C5">
            <w:pPr>
              <w:keepNext/>
              <w:spacing w:after="0" w:line="280" w:lineRule="exact"/>
              <w:jc w:val="right"/>
              <w:rPr>
                <w:rFonts w:eastAsia="Times New Roman" w:cs="Arial"/>
                <w:bCs/>
                <w:sz w:val="20"/>
                <w:szCs w:val="20"/>
              </w:rPr>
            </w:pPr>
          </w:p>
        </w:tc>
        <w:tc>
          <w:tcPr>
            <w:tcW w:w="747" w:type="pct"/>
          </w:tcPr>
          <w:p w14:paraId="61B23E39" w14:textId="77777777" w:rsidR="007147C5" w:rsidRPr="009702B0" w:rsidRDefault="007147C5" w:rsidP="007147C5">
            <w:pPr>
              <w:tabs>
                <w:tab w:val="right" w:pos="1202"/>
              </w:tabs>
              <w:spacing w:after="0" w:line="280" w:lineRule="exact"/>
              <w:jc w:val="right"/>
              <w:outlineLvl w:val="0"/>
              <w:rPr>
                <w:rFonts w:eastAsia="Times New Roman" w:cs="Arial"/>
                <w:b/>
                <w:sz w:val="20"/>
                <w:szCs w:val="20"/>
              </w:rPr>
            </w:pPr>
          </w:p>
        </w:tc>
        <w:tc>
          <w:tcPr>
            <w:tcW w:w="747" w:type="pct"/>
          </w:tcPr>
          <w:p w14:paraId="0E0A0958" w14:textId="77777777" w:rsidR="007147C5" w:rsidRPr="009702B0" w:rsidDel="0095234C" w:rsidRDefault="007147C5" w:rsidP="007147C5">
            <w:pPr>
              <w:tabs>
                <w:tab w:val="right" w:pos="1202"/>
              </w:tabs>
              <w:spacing w:after="0" w:line="280" w:lineRule="exact"/>
              <w:jc w:val="right"/>
              <w:outlineLvl w:val="0"/>
              <w:rPr>
                <w:rFonts w:eastAsia="Times New Roman" w:cs="Arial"/>
                <w:b/>
                <w:sz w:val="20"/>
                <w:szCs w:val="20"/>
              </w:rPr>
            </w:pPr>
          </w:p>
        </w:tc>
        <w:tc>
          <w:tcPr>
            <w:tcW w:w="746" w:type="pct"/>
            <w:tcBorders>
              <w:top w:val="single" w:sz="18" w:space="0" w:color="auto"/>
            </w:tcBorders>
          </w:tcPr>
          <w:p w14:paraId="32153961" w14:textId="77777777" w:rsidR="007147C5" w:rsidRPr="009702B0" w:rsidDel="0095234C" w:rsidRDefault="007147C5" w:rsidP="007147C5">
            <w:pPr>
              <w:tabs>
                <w:tab w:val="right" w:pos="1202"/>
              </w:tabs>
              <w:spacing w:after="0" w:line="280" w:lineRule="exact"/>
              <w:jc w:val="right"/>
              <w:outlineLvl w:val="0"/>
              <w:rPr>
                <w:rFonts w:eastAsia="Times New Roman" w:cs="Arial"/>
                <w:b/>
                <w:sz w:val="20"/>
                <w:szCs w:val="20"/>
              </w:rPr>
            </w:pPr>
          </w:p>
        </w:tc>
        <w:tc>
          <w:tcPr>
            <w:tcW w:w="708" w:type="pct"/>
            <w:tcBorders>
              <w:top w:val="single" w:sz="18" w:space="0" w:color="auto"/>
            </w:tcBorders>
          </w:tcPr>
          <w:p w14:paraId="734711DB" w14:textId="77777777" w:rsidR="007147C5" w:rsidRPr="009702B0" w:rsidDel="0095234C" w:rsidRDefault="007147C5" w:rsidP="007147C5">
            <w:pPr>
              <w:tabs>
                <w:tab w:val="right" w:pos="1202"/>
              </w:tabs>
              <w:spacing w:after="0" w:line="280" w:lineRule="exact"/>
              <w:jc w:val="right"/>
              <w:outlineLvl w:val="0"/>
              <w:rPr>
                <w:rFonts w:eastAsia="Times New Roman" w:cs="Arial"/>
                <w:b/>
                <w:sz w:val="20"/>
                <w:szCs w:val="20"/>
              </w:rPr>
            </w:pPr>
          </w:p>
        </w:tc>
        <w:tc>
          <w:tcPr>
            <w:tcW w:w="765" w:type="pct"/>
            <w:tcBorders>
              <w:top w:val="single" w:sz="18" w:space="0" w:color="auto"/>
            </w:tcBorders>
          </w:tcPr>
          <w:p w14:paraId="0884F3AD" w14:textId="77777777" w:rsidR="007147C5" w:rsidRPr="009702B0" w:rsidRDefault="007147C5" w:rsidP="007147C5">
            <w:pPr>
              <w:tabs>
                <w:tab w:val="right" w:pos="1202"/>
              </w:tabs>
              <w:spacing w:after="0" w:line="280" w:lineRule="exact"/>
              <w:jc w:val="right"/>
              <w:outlineLvl w:val="0"/>
              <w:rPr>
                <w:rFonts w:eastAsia="Times New Roman" w:cs="Arial"/>
                <w:b/>
                <w:sz w:val="20"/>
                <w:szCs w:val="20"/>
              </w:rPr>
            </w:pPr>
          </w:p>
        </w:tc>
        <w:tc>
          <w:tcPr>
            <w:tcW w:w="764" w:type="pct"/>
            <w:tcBorders>
              <w:top w:val="single" w:sz="18" w:space="0" w:color="auto"/>
            </w:tcBorders>
          </w:tcPr>
          <w:p w14:paraId="6F84E3B9" w14:textId="77777777" w:rsidR="007147C5" w:rsidRPr="009702B0" w:rsidRDefault="007147C5" w:rsidP="007147C5">
            <w:pPr>
              <w:tabs>
                <w:tab w:val="right" w:pos="1202"/>
              </w:tabs>
              <w:spacing w:after="0" w:line="280" w:lineRule="exact"/>
              <w:jc w:val="right"/>
              <w:outlineLvl w:val="0"/>
              <w:rPr>
                <w:rFonts w:eastAsia="Times New Roman" w:cs="Arial"/>
                <w:b/>
                <w:sz w:val="20"/>
                <w:szCs w:val="20"/>
              </w:rPr>
            </w:pPr>
          </w:p>
        </w:tc>
      </w:tr>
    </w:tbl>
    <w:p w14:paraId="0CAF9971" w14:textId="77777777" w:rsidR="009702B0" w:rsidRPr="009702B0" w:rsidRDefault="009702B0" w:rsidP="009702B0">
      <w:pPr>
        <w:spacing w:after="0" w:line="240" w:lineRule="auto"/>
        <w:jc w:val="both"/>
        <w:rPr>
          <w:rFonts w:eastAsia="Times New Roman" w:cs="Calibri"/>
          <w:b/>
        </w:rPr>
      </w:pPr>
    </w:p>
    <w:p w14:paraId="479E4E3B" w14:textId="77777777" w:rsidR="009702B0" w:rsidRPr="009702B0" w:rsidRDefault="009702B0" w:rsidP="009702B0">
      <w:pPr>
        <w:spacing w:after="0" w:line="240" w:lineRule="auto"/>
        <w:jc w:val="both"/>
        <w:rPr>
          <w:rFonts w:eastAsia="Times New Roman" w:cs="Calibri"/>
          <w:b/>
        </w:rPr>
      </w:pPr>
    </w:p>
    <w:p w14:paraId="1F2C0088" w14:textId="77777777" w:rsidR="009702B0" w:rsidRPr="009702B0" w:rsidRDefault="009702B0" w:rsidP="009702B0">
      <w:pPr>
        <w:spacing w:after="0" w:line="240" w:lineRule="auto"/>
        <w:jc w:val="both"/>
        <w:rPr>
          <w:rFonts w:eastAsia="Times New Roman" w:cs="Calibri"/>
          <w:b/>
        </w:rPr>
      </w:pPr>
    </w:p>
    <w:p w14:paraId="761D25BD" w14:textId="77777777" w:rsidR="009702B0" w:rsidRPr="009702B0" w:rsidRDefault="009702B0" w:rsidP="009702B0">
      <w:pPr>
        <w:spacing w:after="0" w:line="240" w:lineRule="auto"/>
        <w:jc w:val="both"/>
        <w:rPr>
          <w:rFonts w:eastAsia="Times New Roman" w:cs="Calibri"/>
          <w:b/>
          <w:sz w:val="24"/>
          <w:szCs w:val="24"/>
        </w:rPr>
      </w:pPr>
    </w:p>
    <w:p w14:paraId="573DB6AD" w14:textId="77777777" w:rsidR="009702B0" w:rsidRPr="009702B0" w:rsidRDefault="009702B0" w:rsidP="009702B0">
      <w:pPr>
        <w:spacing w:after="0" w:line="240" w:lineRule="auto"/>
        <w:jc w:val="both"/>
        <w:rPr>
          <w:rFonts w:eastAsia="Times New Roman" w:cs="Calibri"/>
          <w:b/>
          <w:sz w:val="24"/>
          <w:szCs w:val="24"/>
        </w:rPr>
        <w:sectPr w:rsidR="009702B0" w:rsidRPr="009702B0" w:rsidSect="00947CB7">
          <w:footerReference w:type="first" r:id="rId86"/>
          <w:pgSz w:w="11906" w:h="16838" w:code="9"/>
          <w:pgMar w:top="1418" w:right="1418" w:bottom="595" w:left="1134" w:header="709" w:footer="709" w:gutter="0"/>
          <w:cols w:space="708"/>
          <w:titlePg/>
          <w:docGrid w:linePitch="360"/>
        </w:sectPr>
      </w:pPr>
    </w:p>
    <w:p w14:paraId="7595DDCA" w14:textId="77777777" w:rsidR="009702B0" w:rsidRPr="009702B0" w:rsidRDefault="009702B0" w:rsidP="009702B0">
      <w:pPr>
        <w:keepNext/>
        <w:spacing w:after="0" w:line="240" w:lineRule="auto"/>
        <w:jc w:val="both"/>
        <w:rPr>
          <w:rFonts w:eastAsia="Times New Roman" w:cs="Arial"/>
          <w:b/>
          <w:bCs/>
        </w:rPr>
      </w:pPr>
    </w:p>
    <w:p w14:paraId="116A9183" w14:textId="77777777" w:rsidR="009702B0" w:rsidRPr="009702B0" w:rsidRDefault="009702B0" w:rsidP="00BA3F2A">
      <w:pPr>
        <w:keepNext/>
        <w:spacing w:after="0" w:line="240" w:lineRule="auto"/>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14:paraId="405CFD45" w14:textId="77777777" w:rsidR="009702B0" w:rsidRPr="009702B0" w:rsidRDefault="009702B0" w:rsidP="00BA3F2A">
      <w:pPr>
        <w:keepNext/>
        <w:spacing w:after="0" w:line="240" w:lineRule="auto"/>
        <w:jc w:val="both"/>
        <w:rPr>
          <w:rFonts w:eastAsia="Times New Roman" w:cs="Arial"/>
          <w:b/>
          <w:bCs/>
        </w:rPr>
      </w:pPr>
    </w:p>
    <w:p w14:paraId="4A6D2020" w14:textId="77777777" w:rsidR="001228E3" w:rsidRPr="009702B0" w:rsidRDefault="009702B0" w:rsidP="00BA3F2A">
      <w:pPr>
        <w:keepNext/>
        <w:spacing w:after="0" w:line="240" w:lineRule="auto"/>
        <w:jc w:val="both"/>
        <w:rPr>
          <w:rFonts w:eastAsia="Times New Roman" w:cs="Arial"/>
          <w:b/>
          <w:bCs/>
        </w:rPr>
      </w:pPr>
      <w:r w:rsidRPr="009702B0">
        <w:rPr>
          <w:rFonts w:eastAsia="Times New Roman" w:cs="Arial"/>
          <w:b/>
          <w:bCs/>
        </w:rPr>
        <w:t xml:space="preserve">16.2. </w:t>
      </w:r>
      <w:r w:rsidRPr="009702B0">
        <w:rPr>
          <w:rFonts w:eastAsia="Times New Roman" w:cs="Arial"/>
          <w:b/>
          <w:bCs/>
        </w:rPr>
        <w:tab/>
        <w:t>Credit risk (continued)</w:t>
      </w:r>
    </w:p>
    <w:p w14:paraId="57764038" w14:textId="77777777" w:rsidR="001228E3" w:rsidRDefault="001228E3" w:rsidP="00BA3F2A">
      <w:pPr>
        <w:keepNext/>
        <w:spacing w:after="0" w:line="240" w:lineRule="auto"/>
        <w:jc w:val="both"/>
        <w:rPr>
          <w:rFonts w:eastAsia="Times New Roman" w:cs="Arial"/>
          <w:b/>
          <w:bCs/>
        </w:rPr>
      </w:pPr>
    </w:p>
    <w:p w14:paraId="6E8A80F4" w14:textId="77777777" w:rsidR="009702B0" w:rsidRDefault="009702B0" w:rsidP="00BA3F2A">
      <w:pPr>
        <w:keepNext/>
        <w:spacing w:after="0" w:line="240" w:lineRule="auto"/>
        <w:jc w:val="both"/>
        <w:rPr>
          <w:rFonts w:eastAsia="Times New Roman" w:cs="Arial"/>
          <w:b/>
          <w:bCs/>
        </w:rPr>
      </w:pPr>
      <w:r w:rsidRPr="009702B0">
        <w:rPr>
          <w:rFonts w:eastAsia="Times New Roman" w:cs="Arial"/>
          <w:b/>
          <w:bCs/>
        </w:rPr>
        <w:t xml:space="preserve">Credit risk quality according to type of financial assets  </w:t>
      </w:r>
    </w:p>
    <w:p w14:paraId="5281FDF6" w14:textId="77777777" w:rsidR="001228E3" w:rsidRPr="009702B0" w:rsidRDefault="001228E3" w:rsidP="00BA3F2A">
      <w:pPr>
        <w:keepNext/>
        <w:spacing w:after="0" w:line="240" w:lineRule="auto"/>
        <w:jc w:val="both"/>
        <w:rPr>
          <w:rFonts w:eastAsia="Times New Roman" w:cs="Arial"/>
          <w:b/>
          <w:bCs/>
        </w:rPr>
      </w:pPr>
    </w:p>
    <w:p w14:paraId="5FF8A0CE" w14:textId="77777777" w:rsidR="009702B0" w:rsidRPr="009702B0" w:rsidRDefault="009702B0" w:rsidP="00BA3F2A">
      <w:pPr>
        <w:spacing w:after="0" w:line="240" w:lineRule="auto"/>
        <w:jc w:val="both"/>
        <w:rPr>
          <w:rFonts w:cs="Arial"/>
          <w:sz w:val="20"/>
          <w:szCs w:val="20"/>
        </w:rPr>
      </w:pPr>
      <w:r w:rsidRPr="009702B0">
        <w:rPr>
          <w:rFonts w:cs="Arial"/>
          <w:sz w:val="20"/>
          <w:szCs w:val="20"/>
        </w:rPr>
        <w:t>Credit risk analysis, before and after the effect of mitigation through collateral received according to the type of financial assets on positions of assets and guarantees and commitments by internal credit rating, is as follows:</w:t>
      </w:r>
    </w:p>
    <w:p w14:paraId="603DE1E4" w14:textId="77777777" w:rsidR="009702B0" w:rsidRPr="009702B0" w:rsidRDefault="009702B0" w:rsidP="00BA3F2A">
      <w:pPr>
        <w:spacing w:after="0" w:line="240" w:lineRule="auto"/>
        <w:jc w:val="both"/>
        <w:rPr>
          <w:rFonts w:cs="Arial"/>
          <w:sz w:val="20"/>
          <w:szCs w:val="20"/>
        </w:rPr>
      </w:pPr>
    </w:p>
    <w:tbl>
      <w:tblPr>
        <w:tblW w:w="5280" w:type="pct"/>
        <w:tblInd w:w="-284" w:type="dxa"/>
        <w:tblLayout w:type="fixed"/>
        <w:tblCellMar>
          <w:left w:w="57" w:type="dxa"/>
          <w:right w:w="57" w:type="dxa"/>
        </w:tblCellMar>
        <w:tblLook w:val="0000" w:firstRow="0" w:lastRow="0" w:firstColumn="0" w:lastColumn="0" w:noHBand="0" w:noVBand="0"/>
      </w:tblPr>
      <w:tblGrid>
        <w:gridCol w:w="1960"/>
        <w:gridCol w:w="992"/>
        <w:gridCol w:w="990"/>
        <w:gridCol w:w="990"/>
        <w:gridCol w:w="990"/>
        <w:gridCol w:w="990"/>
        <w:gridCol w:w="990"/>
        <w:gridCol w:w="990"/>
        <w:gridCol w:w="986"/>
      </w:tblGrid>
      <w:tr w:rsidR="00BA3F2A" w:rsidRPr="006D7381" w14:paraId="2379FEC0" w14:textId="77777777" w:rsidTr="00BA3F2A">
        <w:trPr>
          <w:trHeight w:hRule="exact" w:val="1198"/>
        </w:trPr>
        <w:tc>
          <w:tcPr>
            <w:tcW w:w="992" w:type="pct"/>
          </w:tcPr>
          <w:p w14:paraId="410FC69D" w14:textId="77777777" w:rsidR="009702B0" w:rsidRPr="00166751" w:rsidRDefault="009702B0" w:rsidP="009702B0">
            <w:pPr>
              <w:spacing w:after="0" w:line="240" w:lineRule="exact"/>
              <w:rPr>
                <w:rFonts w:cs="Arial"/>
                <w:b/>
                <w:bCs/>
                <w:sz w:val="17"/>
                <w:szCs w:val="17"/>
              </w:rPr>
            </w:pPr>
            <w:r w:rsidRPr="00166751">
              <w:rPr>
                <w:rFonts w:cs="Arial"/>
                <w:b/>
                <w:bCs/>
                <w:sz w:val="17"/>
                <w:szCs w:val="17"/>
              </w:rPr>
              <w:br w:type="page"/>
              <w:t>Group</w:t>
            </w:r>
          </w:p>
          <w:p w14:paraId="15434643" w14:textId="77777777" w:rsidR="009702B0" w:rsidRPr="00166751" w:rsidRDefault="009702B0" w:rsidP="009702B0">
            <w:pPr>
              <w:spacing w:after="0" w:line="240" w:lineRule="exact"/>
              <w:rPr>
                <w:rFonts w:cs="Arial"/>
                <w:b/>
                <w:bCs/>
                <w:sz w:val="17"/>
                <w:szCs w:val="17"/>
              </w:rPr>
            </w:pPr>
          </w:p>
          <w:p w14:paraId="50EB27EB" w14:textId="77777777" w:rsidR="009702B0" w:rsidRPr="00166751" w:rsidRDefault="009702B0" w:rsidP="009702B0">
            <w:pPr>
              <w:spacing w:after="0" w:line="240" w:lineRule="exact"/>
              <w:rPr>
                <w:rFonts w:cs="Arial"/>
                <w:b/>
                <w:bCs/>
                <w:sz w:val="17"/>
                <w:szCs w:val="17"/>
              </w:rPr>
            </w:pPr>
          </w:p>
          <w:p w14:paraId="68674952" w14:textId="7C4C5073" w:rsidR="009702B0" w:rsidRPr="00166751" w:rsidRDefault="00AA7A2D" w:rsidP="009702B0">
            <w:pPr>
              <w:spacing w:after="0" w:line="240" w:lineRule="exact"/>
              <w:rPr>
                <w:rFonts w:cs="Arial"/>
                <w:b/>
                <w:bCs/>
                <w:sz w:val="17"/>
                <w:szCs w:val="17"/>
              </w:rPr>
            </w:pPr>
            <w:r>
              <w:rPr>
                <w:rFonts w:cs="Arial"/>
                <w:b/>
                <w:bCs/>
                <w:sz w:val="17"/>
                <w:szCs w:val="17"/>
              </w:rPr>
              <w:t xml:space="preserve">Sep </w:t>
            </w:r>
            <w:r w:rsidR="0012770A">
              <w:rPr>
                <w:rFonts w:cs="Arial"/>
                <w:b/>
                <w:bCs/>
                <w:sz w:val="17"/>
                <w:szCs w:val="17"/>
              </w:rPr>
              <w:t>30</w:t>
            </w:r>
            <w:r w:rsidR="00551F19" w:rsidRPr="00166751">
              <w:rPr>
                <w:rFonts w:cs="Arial"/>
                <w:b/>
                <w:bCs/>
                <w:sz w:val="17"/>
                <w:szCs w:val="17"/>
              </w:rPr>
              <w:t>, 2017</w:t>
            </w:r>
          </w:p>
        </w:tc>
        <w:tc>
          <w:tcPr>
            <w:tcW w:w="502" w:type="pct"/>
          </w:tcPr>
          <w:p w14:paraId="5D74BEA8" w14:textId="77777777" w:rsidR="009702B0" w:rsidRPr="00166751" w:rsidRDefault="009702B0" w:rsidP="009702B0">
            <w:pPr>
              <w:spacing w:after="0" w:line="220" w:lineRule="exact"/>
              <w:jc w:val="right"/>
              <w:rPr>
                <w:rFonts w:cs="Arial"/>
                <w:b/>
                <w:bCs/>
                <w:sz w:val="17"/>
                <w:szCs w:val="17"/>
              </w:rPr>
            </w:pPr>
            <w:r w:rsidRPr="00166751">
              <w:rPr>
                <w:rFonts w:cs="Arial"/>
                <w:b/>
                <w:bCs/>
                <w:sz w:val="17"/>
                <w:szCs w:val="17"/>
              </w:rPr>
              <w:t>Gross</w:t>
            </w:r>
          </w:p>
          <w:p w14:paraId="62C31423" w14:textId="77777777" w:rsidR="009702B0" w:rsidRPr="00166751" w:rsidRDefault="009702B0" w:rsidP="009702B0">
            <w:pPr>
              <w:spacing w:after="0" w:line="220" w:lineRule="exact"/>
              <w:jc w:val="right"/>
              <w:rPr>
                <w:rFonts w:cs="Arial"/>
                <w:b/>
                <w:bCs/>
                <w:sz w:val="17"/>
                <w:szCs w:val="17"/>
              </w:rPr>
            </w:pPr>
            <w:r w:rsidRPr="00166751">
              <w:rPr>
                <w:rFonts w:cs="Arial"/>
                <w:b/>
                <w:bCs/>
                <w:sz w:val="17"/>
                <w:szCs w:val="17"/>
              </w:rPr>
              <w:t xml:space="preserve"> exposure of portfolio of risk group A</w:t>
            </w:r>
          </w:p>
          <w:p w14:paraId="70E86C23" w14:textId="77777777" w:rsidR="009702B0" w:rsidRPr="00166751" w:rsidRDefault="009702B0" w:rsidP="009702B0">
            <w:pPr>
              <w:spacing w:after="0" w:line="220" w:lineRule="exact"/>
              <w:jc w:val="right"/>
              <w:rPr>
                <w:rFonts w:cs="Arial"/>
                <w:b/>
                <w:bCs/>
                <w:sz w:val="17"/>
                <w:szCs w:val="17"/>
              </w:rPr>
            </w:pPr>
          </w:p>
        </w:tc>
        <w:tc>
          <w:tcPr>
            <w:tcW w:w="501" w:type="pct"/>
          </w:tcPr>
          <w:p w14:paraId="1F896A5C" w14:textId="77777777" w:rsidR="009702B0" w:rsidRPr="00166751" w:rsidRDefault="009702B0" w:rsidP="009702B0">
            <w:pPr>
              <w:spacing w:after="0" w:line="220" w:lineRule="exact"/>
              <w:jc w:val="right"/>
              <w:rPr>
                <w:rFonts w:cs="Arial"/>
                <w:b/>
                <w:bCs/>
                <w:sz w:val="17"/>
                <w:szCs w:val="17"/>
              </w:rPr>
            </w:pPr>
            <w:r w:rsidRPr="00166751">
              <w:rPr>
                <w:rFonts w:cs="Arial"/>
                <w:b/>
                <w:bCs/>
                <w:sz w:val="17"/>
                <w:szCs w:val="17"/>
              </w:rPr>
              <w:t>Gross exposure of portfolio of risk group B</w:t>
            </w:r>
          </w:p>
          <w:p w14:paraId="75C217C5" w14:textId="77777777" w:rsidR="009702B0" w:rsidRPr="00166751" w:rsidRDefault="009702B0" w:rsidP="009702B0">
            <w:pPr>
              <w:spacing w:after="0" w:line="220" w:lineRule="exact"/>
              <w:jc w:val="right"/>
              <w:rPr>
                <w:rFonts w:cs="Arial"/>
                <w:b/>
                <w:bCs/>
                <w:sz w:val="17"/>
                <w:szCs w:val="17"/>
              </w:rPr>
            </w:pPr>
          </w:p>
        </w:tc>
        <w:tc>
          <w:tcPr>
            <w:tcW w:w="501" w:type="pct"/>
          </w:tcPr>
          <w:p w14:paraId="3216E44B" w14:textId="77777777" w:rsidR="009702B0" w:rsidRPr="00166751" w:rsidRDefault="009702B0" w:rsidP="009702B0">
            <w:pPr>
              <w:spacing w:after="0" w:line="220" w:lineRule="exact"/>
              <w:jc w:val="right"/>
              <w:rPr>
                <w:rFonts w:cs="Arial"/>
                <w:b/>
                <w:bCs/>
                <w:sz w:val="17"/>
                <w:szCs w:val="17"/>
              </w:rPr>
            </w:pPr>
            <w:r w:rsidRPr="00166751">
              <w:rPr>
                <w:rFonts w:cs="Arial"/>
                <w:b/>
                <w:bCs/>
                <w:sz w:val="17"/>
                <w:szCs w:val="17"/>
              </w:rPr>
              <w:t>Gross exposure of portfolio of risk group C</w:t>
            </w:r>
          </w:p>
          <w:p w14:paraId="3340D150" w14:textId="77777777" w:rsidR="009702B0" w:rsidRPr="00166751" w:rsidRDefault="009702B0" w:rsidP="009702B0">
            <w:pPr>
              <w:spacing w:after="0" w:line="220" w:lineRule="exact"/>
              <w:jc w:val="right"/>
              <w:rPr>
                <w:rFonts w:cs="Arial"/>
                <w:b/>
                <w:bCs/>
                <w:sz w:val="17"/>
                <w:szCs w:val="17"/>
              </w:rPr>
            </w:pPr>
          </w:p>
        </w:tc>
        <w:tc>
          <w:tcPr>
            <w:tcW w:w="501" w:type="pct"/>
          </w:tcPr>
          <w:p w14:paraId="58AAA927" w14:textId="77777777" w:rsidR="009702B0" w:rsidRPr="00166751" w:rsidRDefault="009702B0" w:rsidP="009702B0">
            <w:pPr>
              <w:spacing w:after="0" w:line="220" w:lineRule="exact"/>
              <w:jc w:val="right"/>
              <w:rPr>
                <w:rFonts w:cs="Arial"/>
                <w:b/>
                <w:bCs/>
                <w:sz w:val="17"/>
                <w:szCs w:val="17"/>
              </w:rPr>
            </w:pPr>
            <w:r w:rsidRPr="00166751">
              <w:rPr>
                <w:rFonts w:cs="Arial"/>
                <w:b/>
                <w:bCs/>
                <w:sz w:val="17"/>
                <w:szCs w:val="17"/>
              </w:rPr>
              <w:t xml:space="preserve">Gross exposure of total portfolio </w:t>
            </w:r>
          </w:p>
          <w:p w14:paraId="262814C3" w14:textId="77777777" w:rsidR="009702B0" w:rsidRPr="00166751" w:rsidRDefault="009702B0" w:rsidP="009702B0">
            <w:pPr>
              <w:spacing w:after="0" w:line="220" w:lineRule="exact"/>
              <w:jc w:val="right"/>
              <w:rPr>
                <w:rFonts w:cs="Arial"/>
                <w:b/>
                <w:bCs/>
                <w:sz w:val="17"/>
                <w:szCs w:val="17"/>
              </w:rPr>
            </w:pPr>
          </w:p>
        </w:tc>
        <w:tc>
          <w:tcPr>
            <w:tcW w:w="501" w:type="pct"/>
          </w:tcPr>
          <w:p w14:paraId="6AB13D47" w14:textId="77777777" w:rsidR="009702B0" w:rsidRPr="00166751" w:rsidRDefault="009702B0" w:rsidP="009702B0">
            <w:pPr>
              <w:spacing w:after="0" w:line="220" w:lineRule="exact"/>
              <w:jc w:val="right"/>
              <w:rPr>
                <w:rFonts w:cs="Arial"/>
                <w:b/>
                <w:bCs/>
                <w:sz w:val="17"/>
                <w:szCs w:val="17"/>
              </w:rPr>
            </w:pPr>
            <w:r w:rsidRPr="00166751">
              <w:rPr>
                <w:rFonts w:cs="Arial"/>
                <w:b/>
                <w:bCs/>
                <w:sz w:val="17"/>
                <w:szCs w:val="17"/>
              </w:rPr>
              <w:t>Net exposure of portfolio of risk group A</w:t>
            </w:r>
          </w:p>
        </w:tc>
        <w:tc>
          <w:tcPr>
            <w:tcW w:w="501" w:type="pct"/>
          </w:tcPr>
          <w:p w14:paraId="2C88AEBA" w14:textId="77777777" w:rsidR="009702B0" w:rsidRPr="00166751" w:rsidRDefault="009702B0" w:rsidP="009702B0">
            <w:pPr>
              <w:spacing w:after="0" w:line="220" w:lineRule="exact"/>
              <w:jc w:val="right"/>
              <w:rPr>
                <w:rFonts w:cs="Arial"/>
                <w:b/>
                <w:bCs/>
                <w:sz w:val="17"/>
                <w:szCs w:val="17"/>
              </w:rPr>
            </w:pPr>
            <w:r w:rsidRPr="00166751">
              <w:rPr>
                <w:rFonts w:cs="Arial"/>
                <w:b/>
                <w:bCs/>
                <w:sz w:val="17"/>
                <w:szCs w:val="17"/>
              </w:rPr>
              <w:t>Net exposure of portfolio of risk group B</w:t>
            </w:r>
          </w:p>
          <w:p w14:paraId="12A3D88F" w14:textId="77777777" w:rsidR="009702B0" w:rsidRPr="00166751" w:rsidRDefault="009702B0" w:rsidP="009702B0">
            <w:pPr>
              <w:spacing w:after="0" w:line="220" w:lineRule="exact"/>
              <w:jc w:val="right"/>
              <w:rPr>
                <w:rFonts w:cs="Arial"/>
                <w:b/>
                <w:bCs/>
                <w:sz w:val="17"/>
                <w:szCs w:val="17"/>
              </w:rPr>
            </w:pPr>
          </w:p>
        </w:tc>
        <w:tc>
          <w:tcPr>
            <w:tcW w:w="501" w:type="pct"/>
          </w:tcPr>
          <w:p w14:paraId="32B7A843" w14:textId="77777777" w:rsidR="009702B0" w:rsidRPr="00166751" w:rsidRDefault="009702B0" w:rsidP="009702B0">
            <w:pPr>
              <w:spacing w:after="0" w:line="220" w:lineRule="exact"/>
              <w:jc w:val="right"/>
              <w:rPr>
                <w:rFonts w:cs="Arial"/>
                <w:b/>
                <w:bCs/>
                <w:sz w:val="17"/>
                <w:szCs w:val="17"/>
              </w:rPr>
            </w:pPr>
            <w:r w:rsidRPr="00166751">
              <w:rPr>
                <w:rFonts w:cs="Arial"/>
                <w:b/>
                <w:bCs/>
                <w:sz w:val="17"/>
                <w:szCs w:val="17"/>
              </w:rPr>
              <w:t>Net exposure of portfolio of risk group C</w:t>
            </w:r>
          </w:p>
          <w:p w14:paraId="4ABEE2AA" w14:textId="77777777" w:rsidR="009702B0" w:rsidRPr="00166751" w:rsidRDefault="009702B0" w:rsidP="009702B0">
            <w:pPr>
              <w:spacing w:after="0" w:line="220" w:lineRule="exact"/>
              <w:jc w:val="right"/>
              <w:rPr>
                <w:rFonts w:cs="Arial"/>
                <w:b/>
                <w:bCs/>
                <w:sz w:val="17"/>
                <w:szCs w:val="17"/>
              </w:rPr>
            </w:pPr>
          </w:p>
        </w:tc>
        <w:tc>
          <w:tcPr>
            <w:tcW w:w="499" w:type="pct"/>
          </w:tcPr>
          <w:p w14:paraId="180A62CF" w14:textId="77777777" w:rsidR="009702B0" w:rsidRPr="00166751" w:rsidRDefault="009702B0" w:rsidP="009702B0">
            <w:pPr>
              <w:spacing w:after="0" w:line="220" w:lineRule="exact"/>
              <w:jc w:val="right"/>
              <w:rPr>
                <w:rFonts w:cs="Arial"/>
                <w:b/>
                <w:bCs/>
                <w:sz w:val="17"/>
                <w:szCs w:val="17"/>
              </w:rPr>
            </w:pPr>
            <w:r w:rsidRPr="00166751">
              <w:rPr>
                <w:rFonts w:cs="Arial"/>
                <w:b/>
                <w:bCs/>
                <w:sz w:val="17"/>
                <w:szCs w:val="17"/>
              </w:rPr>
              <w:t xml:space="preserve">Net exposure of total portfolio </w:t>
            </w:r>
          </w:p>
          <w:p w14:paraId="617D6AE0" w14:textId="77777777" w:rsidR="009702B0" w:rsidRPr="00166751" w:rsidRDefault="009702B0" w:rsidP="009702B0">
            <w:pPr>
              <w:spacing w:after="0" w:line="220" w:lineRule="exact"/>
              <w:jc w:val="right"/>
              <w:rPr>
                <w:rFonts w:cs="Arial"/>
                <w:b/>
                <w:bCs/>
                <w:sz w:val="17"/>
                <w:szCs w:val="17"/>
              </w:rPr>
            </w:pPr>
          </w:p>
        </w:tc>
      </w:tr>
      <w:tr w:rsidR="00BA3F2A" w:rsidRPr="006D7381" w14:paraId="246826D6" w14:textId="77777777" w:rsidTr="00BA3F2A">
        <w:trPr>
          <w:trHeight w:val="137"/>
        </w:trPr>
        <w:tc>
          <w:tcPr>
            <w:tcW w:w="992" w:type="pct"/>
          </w:tcPr>
          <w:p w14:paraId="1A2ECA65" w14:textId="77777777" w:rsidR="009702B0" w:rsidRPr="00166751" w:rsidRDefault="009702B0" w:rsidP="009702B0">
            <w:pPr>
              <w:spacing w:after="0" w:line="240" w:lineRule="exact"/>
              <w:rPr>
                <w:rFonts w:cs="Arial"/>
                <w:b/>
                <w:bCs/>
                <w:sz w:val="17"/>
                <w:szCs w:val="17"/>
              </w:rPr>
            </w:pPr>
            <w:r w:rsidRPr="00166751">
              <w:rPr>
                <w:rFonts w:cs="Arial"/>
                <w:b/>
                <w:bCs/>
                <w:sz w:val="17"/>
                <w:szCs w:val="17"/>
              </w:rPr>
              <w:t>Assets</w:t>
            </w:r>
          </w:p>
        </w:tc>
        <w:tc>
          <w:tcPr>
            <w:tcW w:w="502" w:type="pct"/>
          </w:tcPr>
          <w:p w14:paraId="1017327A" w14:textId="77777777" w:rsidR="009702B0" w:rsidRPr="006D7381" w:rsidRDefault="009702B0" w:rsidP="009702B0">
            <w:pPr>
              <w:spacing w:after="0" w:line="240" w:lineRule="exact"/>
              <w:rPr>
                <w:rFonts w:cs="Arial"/>
                <w:b/>
                <w:bCs/>
                <w:sz w:val="18"/>
                <w:szCs w:val="18"/>
              </w:rPr>
            </w:pPr>
          </w:p>
        </w:tc>
        <w:tc>
          <w:tcPr>
            <w:tcW w:w="501" w:type="pct"/>
          </w:tcPr>
          <w:p w14:paraId="64F8251F" w14:textId="77777777" w:rsidR="009702B0" w:rsidRPr="006D7381" w:rsidRDefault="009702B0" w:rsidP="009702B0">
            <w:pPr>
              <w:spacing w:after="0" w:line="240" w:lineRule="exact"/>
              <w:rPr>
                <w:rFonts w:cs="Arial"/>
                <w:b/>
                <w:bCs/>
                <w:sz w:val="18"/>
                <w:szCs w:val="18"/>
              </w:rPr>
            </w:pPr>
          </w:p>
        </w:tc>
        <w:tc>
          <w:tcPr>
            <w:tcW w:w="501" w:type="pct"/>
          </w:tcPr>
          <w:p w14:paraId="1EB4F5F3" w14:textId="77777777" w:rsidR="009702B0" w:rsidRPr="006D7381" w:rsidRDefault="009702B0" w:rsidP="009702B0">
            <w:pPr>
              <w:spacing w:after="0" w:line="240" w:lineRule="exact"/>
              <w:rPr>
                <w:rFonts w:cs="Arial"/>
                <w:b/>
                <w:bCs/>
                <w:sz w:val="18"/>
                <w:szCs w:val="18"/>
              </w:rPr>
            </w:pPr>
          </w:p>
        </w:tc>
        <w:tc>
          <w:tcPr>
            <w:tcW w:w="501" w:type="pct"/>
          </w:tcPr>
          <w:p w14:paraId="1F4C1D08" w14:textId="77777777" w:rsidR="009702B0" w:rsidRPr="006D7381" w:rsidRDefault="009702B0" w:rsidP="009702B0">
            <w:pPr>
              <w:spacing w:after="0" w:line="240" w:lineRule="exact"/>
              <w:rPr>
                <w:rFonts w:cs="Arial"/>
                <w:b/>
                <w:bCs/>
                <w:sz w:val="18"/>
                <w:szCs w:val="18"/>
              </w:rPr>
            </w:pPr>
          </w:p>
        </w:tc>
        <w:tc>
          <w:tcPr>
            <w:tcW w:w="501" w:type="pct"/>
          </w:tcPr>
          <w:p w14:paraId="460286C2" w14:textId="77777777" w:rsidR="009702B0" w:rsidRPr="006D7381" w:rsidRDefault="009702B0" w:rsidP="009702B0">
            <w:pPr>
              <w:spacing w:after="0" w:line="240" w:lineRule="exact"/>
              <w:rPr>
                <w:rFonts w:cs="Arial"/>
                <w:b/>
                <w:bCs/>
                <w:sz w:val="18"/>
                <w:szCs w:val="18"/>
              </w:rPr>
            </w:pPr>
          </w:p>
        </w:tc>
        <w:tc>
          <w:tcPr>
            <w:tcW w:w="501" w:type="pct"/>
          </w:tcPr>
          <w:p w14:paraId="69F8ABEC" w14:textId="77777777" w:rsidR="009702B0" w:rsidRPr="006D7381" w:rsidRDefault="009702B0" w:rsidP="009702B0">
            <w:pPr>
              <w:spacing w:after="0" w:line="240" w:lineRule="exact"/>
              <w:rPr>
                <w:rFonts w:cs="Arial"/>
                <w:b/>
                <w:bCs/>
                <w:sz w:val="18"/>
                <w:szCs w:val="18"/>
              </w:rPr>
            </w:pPr>
          </w:p>
        </w:tc>
        <w:tc>
          <w:tcPr>
            <w:tcW w:w="501" w:type="pct"/>
          </w:tcPr>
          <w:p w14:paraId="03E868B6" w14:textId="77777777" w:rsidR="009702B0" w:rsidRPr="006D7381" w:rsidRDefault="009702B0" w:rsidP="009702B0">
            <w:pPr>
              <w:spacing w:after="0" w:line="240" w:lineRule="exact"/>
              <w:rPr>
                <w:rFonts w:cs="Arial"/>
                <w:b/>
                <w:bCs/>
                <w:sz w:val="18"/>
                <w:szCs w:val="18"/>
              </w:rPr>
            </w:pPr>
          </w:p>
        </w:tc>
        <w:tc>
          <w:tcPr>
            <w:tcW w:w="499" w:type="pct"/>
          </w:tcPr>
          <w:p w14:paraId="0605B7C8" w14:textId="77777777" w:rsidR="009702B0" w:rsidRPr="006D7381" w:rsidRDefault="009702B0" w:rsidP="009702B0">
            <w:pPr>
              <w:spacing w:after="0" w:line="240" w:lineRule="exact"/>
              <w:rPr>
                <w:rFonts w:cs="Arial"/>
                <w:b/>
                <w:bCs/>
                <w:sz w:val="18"/>
                <w:szCs w:val="18"/>
              </w:rPr>
            </w:pPr>
          </w:p>
        </w:tc>
      </w:tr>
      <w:tr w:rsidR="00132236" w:rsidRPr="006D7381" w14:paraId="15E339C3" w14:textId="77777777" w:rsidTr="005444AA">
        <w:trPr>
          <w:trHeight w:val="283"/>
        </w:trPr>
        <w:tc>
          <w:tcPr>
            <w:tcW w:w="992" w:type="pct"/>
            <w:vAlign w:val="bottom"/>
          </w:tcPr>
          <w:p w14:paraId="4AA6958A" w14:textId="77777777" w:rsidR="00132236" w:rsidRPr="00166751" w:rsidRDefault="00132236" w:rsidP="00132236">
            <w:pPr>
              <w:spacing w:after="0" w:line="240" w:lineRule="exact"/>
              <w:rPr>
                <w:rFonts w:cs="Arial"/>
                <w:bCs/>
                <w:sz w:val="17"/>
                <w:szCs w:val="17"/>
              </w:rPr>
            </w:pPr>
            <w:r w:rsidRPr="00166751">
              <w:rPr>
                <w:rFonts w:cs="Arial"/>
                <w:bCs/>
                <w:sz w:val="17"/>
                <w:szCs w:val="17"/>
              </w:rPr>
              <w:t xml:space="preserve">Cash on hand and due from banks </w:t>
            </w:r>
          </w:p>
        </w:tc>
        <w:tc>
          <w:tcPr>
            <w:tcW w:w="502" w:type="pct"/>
            <w:tcBorders>
              <w:top w:val="nil"/>
              <w:left w:val="nil"/>
              <w:bottom w:val="nil"/>
              <w:right w:val="nil"/>
            </w:tcBorders>
            <w:shd w:val="clear" w:color="auto" w:fill="auto"/>
            <w:vAlign w:val="bottom"/>
          </w:tcPr>
          <w:p w14:paraId="73C3B901" w14:textId="2CDE66C0" w:rsidR="00132236" w:rsidRPr="005444AA" w:rsidRDefault="00132236" w:rsidP="00132236">
            <w:pPr>
              <w:spacing w:after="0" w:line="240" w:lineRule="exact"/>
              <w:jc w:val="right"/>
              <w:rPr>
                <w:rFonts w:eastAsia="Times New Roman" w:cs="Arial"/>
                <w:sz w:val="18"/>
                <w:szCs w:val="18"/>
              </w:rPr>
            </w:pPr>
            <w:r w:rsidRPr="00626B9E">
              <w:rPr>
                <w:rFonts w:eastAsia="Times New Roman" w:cs="Arial"/>
                <w:sz w:val="18"/>
                <w:szCs w:val="18"/>
                <w:lang w:val="en-US"/>
              </w:rPr>
              <w:t>739</w:t>
            </w:r>
            <w:r>
              <w:rPr>
                <w:rFonts w:eastAsia="Times New Roman" w:cs="Arial"/>
                <w:sz w:val="18"/>
                <w:szCs w:val="18"/>
                <w:lang w:val="en-US"/>
              </w:rPr>
              <w:t>,</w:t>
            </w:r>
            <w:r w:rsidRPr="00626B9E">
              <w:rPr>
                <w:rFonts w:eastAsia="Times New Roman" w:cs="Arial"/>
                <w:sz w:val="18"/>
                <w:szCs w:val="18"/>
                <w:lang w:val="en-US"/>
              </w:rPr>
              <w:t>907</w:t>
            </w:r>
          </w:p>
        </w:tc>
        <w:tc>
          <w:tcPr>
            <w:tcW w:w="501" w:type="pct"/>
            <w:shd w:val="clear" w:color="auto" w:fill="auto"/>
            <w:vAlign w:val="bottom"/>
          </w:tcPr>
          <w:p w14:paraId="369D4E74" w14:textId="31205B68" w:rsidR="00132236" w:rsidRPr="005444AA" w:rsidRDefault="00132236" w:rsidP="00132236">
            <w:pPr>
              <w:spacing w:after="0" w:line="240" w:lineRule="exact"/>
              <w:jc w:val="right"/>
              <w:rPr>
                <w:rFonts w:eastAsia="Times New Roman" w:cs="Arial"/>
                <w:sz w:val="18"/>
                <w:szCs w:val="18"/>
              </w:rPr>
            </w:pPr>
            <w:r w:rsidRPr="00166751">
              <w:rPr>
                <w:rFonts w:eastAsia="Times New Roman" w:cs="Arial"/>
                <w:sz w:val="18"/>
                <w:szCs w:val="18"/>
              </w:rPr>
              <w:t>-</w:t>
            </w:r>
          </w:p>
        </w:tc>
        <w:tc>
          <w:tcPr>
            <w:tcW w:w="501" w:type="pct"/>
            <w:shd w:val="clear" w:color="auto" w:fill="auto"/>
            <w:vAlign w:val="bottom"/>
          </w:tcPr>
          <w:p w14:paraId="4BD791FB" w14:textId="415F70AF" w:rsidR="00132236" w:rsidRPr="005444AA" w:rsidRDefault="00132236" w:rsidP="00132236">
            <w:pPr>
              <w:spacing w:after="0" w:line="240" w:lineRule="exact"/>
              <w:jc w:val="right"/>
              <w:rPr>
                <w:rFonts w:eastAsia="Times New Roman" w:cs="Arial"/>
                <w:sz w:val="18"/>
                <w:szCs w:val="18"/>
              </w:rPr>
            </w:pPr>
            <w:r w:rsidRPr="00166751">
              <w:rPr>
                <w:rFonts w:eastAsia="Times New Roman" w:cs="Arial"/>
                <w:sz w:val="18"/>
                <w:szCs w:val="18"/>
              </w:rPr>
              <w:t>-</w:t>
            </w:r>
          </w:p>
        </w:tc>
        <w:tc>
          <w:tcPr>
            <w:tcW w:w="501" w:type="pct"/>
            <w:tcBorders>
              <w:top w:val="nil"/>
              <w:left w:val="nil"/>
              <w:bottom w:val="nil"/>
              <w:right w:val="nil"/>
            </w:tcBorders>
            <w:shd w:val="clear" w:color="auto" w:fill="auto"/>
            <w:vAlign w:val="bottom"/>
          </w:tcPr>
          <w:p w14:paraId="28081BDB" w14:textId="225F65C6" w:rsidR="00132236" w:rsidRPr="005444AA" w:rsidRDefault="00132236" w:rsidP="00132236">
            <w:pPr>
              <w:spacing w:after="0" w:line="240" w:lineRule="exact"/>
              <w:jc w:val="right"/>
              <w:rPr>
                <w:rFonts w:eastAsia="Times New Roman" w:cs="Arial"/>
                <w:sz w:val="18"/>
                <w:szCs w:val="18"/>
              </w:rPr>
            </w:pPr>
            <w:r w:rsidRPr="00626B9E">
              <w:rPr>
                <w:rFonts w:eastAsia="Times New Roman" w:cs="Arial"/>
                <w:sz w:val="18"/>
                <w:szCs w:val="18"/>
                <w:lang w:val="en-US"/>
              </w:rPr>
              <w:t>739</w:t>
            </w:r>
            <w:r>
              <w:rPr>
                <w:rFonts w:eastAsia="Times New Roman" w:cs="Arial"/>
                <w:sz w:val="18"/>
                <w:szCs w:val="18"/>
                <w:lang w:val="en-US"/>
              </w:rPr>
              <w:t>,</w:t>
            </w:r>
            <w:r w:rsidRPr="00626B9E">
              <w:rPr>
                <w:rFonts w:eastAsia="Times New Roman" w:cs="Arial"/>
                <w:sz w:val="18"/>
                <w:szCs w:val="18"/>
                <w:lang w:val="en-US"/>
              </w:rPr>
              <w:t>907</w:t>
            </w:r>
          </w:p>
        </w:tc>
        <w:tc>
          <w:tcPr>
            <w:tcW w:w="501" w:type="pct"/>
            <w:shd w:val="clear" w:color="auto" w:fill="auto"/>
            <w:vAlign w:val="bottom"/>
          </w:tcPr>
          <w:p w14:paraId="5A2179F2" w14:textId="1EC26B0D" w:rsidR="00132236" w:rsidRPr="006D7381" w:rsidRDefault="00132236" w:rsidP="00132236">
            <w:pPr>
              <w:spacing w:after="0" w:line="240" w:lineRule="exact"/>
              <w:jc w:val="right"/>
              <w:rPr>
                <w:rFonts w:cs="Arial"/>
                <w:bCs/>
                <w:sz w:val="18"/>
                <w:szCs w:val="18"/>
              </w:rPr>
            </w:pPr>
            <w:r w:rsidRPr="00166751">
              <w:rPr>
                <w:rFonts w:eastAsia="Times New Roman" w:cs="Arial"/>
                <w:sz w:val="18"/>
                <w:szCs w:val="18"/>
              </w:rPr>
              <w:t>-</w:t>
            </w:r>
          </w:p>
        </w:tc>
        <w:tc>
          <w:tcPr>
            <w:tcW w:w="501" w:type="pct"/>
            <w:shd w:val="clear" w:color="auto" w:fill="auto"/>
            <w:vAlign w:val="bottom"/>
          </w:tcPr>
          <w:p w14:paraId="51502D80" w14:textId="2391A6FE" w:rsidR="00132236" w:rsidRPr="006D7381" w:rsidRDefault="00132236" w:rsidP="00132236">
            <w:pPr>
              <w:spacing w:after="0" w:line="240" w:lineRule="exact"/>
              <w:jc w:val="right"/>
              <w:rPr>
                <w:rFonts w:cs="Arial"/>
                <w:bCs/>
                <w:sz w:val="18"/>
                <w:szCs w:val="18"/>
              </w:rPr>
            </w:pPr>
            <w:r w:rsidRPr="00166751">
              <w:rPr>
                <w:rFonts w:eastAsia="Times New Roman" w:cs="Arial"/>
                <w:sz w:val="18"/>
                <w:szCs w:val="18"/>
              </w:rPr>
              <w:t>-</w:t>
            </w:r>
          </w:p>
        </w:tc>
        <w:tc>
          <w:tcPr>
            <w:tcW w:w="501" w:type="pct"/>
            <w:shd w:val="clear" w:color="auto" w:fill="auto"/>
            <w:vAlign w:val="bottom"/>
          </w:tcPr>
          <w:p w14:paraId="0BEE799F" w14:textId="25C02CE0" w:rsidR="00132236" w:rsidRPr="006D7381" w:rsidRDefault="00132236" w:rsidP="00132236">
            <w:pPr>
              <w:spacing w:after="0" w:line="240" w:lineRule="exact"/>
              <w:jc w:val="right"/>
              <w:rPr>
                <w:rFonts w:cs="Arial"/>
                <w:bCs/>
                <w:sz w:val="18"/>
                <w:szCs w:val="18"/>
              </w:rPr>
            </w:pPr>
            <w:r w:rsidRPr="00166751">
              <w:rPr>
                <w:rFonts w:eastAsia="Times New Roman" w:cs="Arial"/>
                <w:sz w:val="18"/>
                <w:szCs w:val="18"/>
              </w:rPr>
              <w:t>-</w:t>
            </w:r>
          </w:p>
        </w:tc>
        <w:tc>
          <w:tcPr>
            <w:tcW w:w="499" w:type="pct"/>
            <w:shd w:val="clear" w:color="auto" w:fill="auto"/>
            <w:vAlign w:val="bottom"/>
          </w:tcPr>
          <w:p w14:paraId="56BC6E60" w14:textId="5886559B" w:rsidR="00132236" w:rsidRPr="006D7381" w:rsidRDefault="00132236" w:rsidP="00132236">
            <w:pPr>
              <w:spacing w:after="0" w:line="240" w:lineRule="exact"/>
              <w:jc w:val="right"/>
              <w:rPr>
                <w:rFonts w:cs="Arial"/>
                <w:bCs/>
                <w:sz w:val="18"/>
                <w:szCs w:val="18"/>
              </w:rPr>
            </w:pPr>
            <w:r w:rsidRPr="00166751">
              <w:rPr>
                <w:rFonts w:eastAsia="Times New Roman" w:cs="Arial"/>
                <w:sz w:val="18"/>
                <w:szCs w:val="18"/>
              </w:rPr>
              <w:t>-</w:t>
            </w:r>
          </w:p>
        </w:tc>
      </w:tr>
      <w:tr w:rsidR="00132236" w:rsidRPr="006D7381" w14:paraId="55CB8B6A" w14:textId="77777777" w:rsidTr="005444AA">
        <w:trPr>
          <w:trHeight w:val="307"/>
        </w:trPr>
        <w:tc>
          <w:tcPr>
            <w:tcW w:w="992" w:type="pct"/>
            <w:vAlign w:val="bottom"/>
          </w:tcPr>
          <w:p w14:paraId="492B9BFF" w14:textId="77777777" w:rsidR="00132236" w:rsidRPr="00166751" w:rsidRDefault="00132236" w:rsidP="00132236">
            <w:pPr>
              <w:spacing w:after="0" w:line="240" w:lineRule="exact"/>
              <w:rPr>
                <w:rFonts w:cs="Arial"/>
                <w:bCs/>
                <w:sz w:val="17"/>
                <w:szCs w:val="17"/>
              </w:rPr>
            </w:pPr>
            <w:r w:rsidRPr="00166751">
              <w:rPr>
                <w:rFonts w:cs="Arial"/>
                <w:bCs/>
                <w:sz w:val="17"/>
                <w:szCs w:val="17"/>
              </w:rPr>
              <w:t>Deposits with other banks</w:t>
            </w:r>
          </w:p>
        </w:tc>
        <w:tc>
          <w:tcPr>
            <w:tcW w:w="502" w:type="pct"/>
            <w:tcBorders>
              <w:top w:val="nil"/>
              <w:left w:val="nil"/>
              <w:bottom w:val="nil"/>
              <w:right w:val="nil"/>
            </w:tcBorders>
            <w:shd w:val="clear" w:color="auto" w:fill="auto"/>
            <w:vAlign w:val="bottom"/>
          </w:tcPr>
          <w:p w14:paraId="290C5B48" w14:textId="36607B2C" w:rsidR="00132236" w:rsidRPr="005444AA" w:rsidRDefault="00132236" w:rsidP="00132236">
            <w:pPr>
              <w:spacing w:after="0" w:line="240" w:lineRule="exact"/>
              <w:jc w:val="right"/>
              <w:rPr>
                <w:rFonts w:eastAsia="Times New Roman" w:cs="Arial"/>
                <w:sz w:val="18"/>
                <w:szCs w:val="18"/>
              </w:rPr>
            </w:pPr>
            <w:r w:rsidRPr="00626B9E">
              <w:rPr>
                <w:rFonts w:eastAsia="Times New Roman" w:cs="Arial"/>
                <w:sz w:val="18"/>
                <w:szCs w:val="18"/>
                <w:lang w:val="en-US"/>
              </w:rPr>
              <w:t>76</w:t>
            </w:r>
          </w:p>
        </w:tc>
        <w:tc>
          <w:tcPr>
            <w:tcW w:w="501" w:type="pct"/>
            <w:tcBorders>
              <w:top w:val="nil"/>
            </w:tcBorders>
            <w:shd w:val="clear" w:color="auto" w:fill="auto"/>
            <w:vAlign w:val="bottom"/>
          </w:tcPr>
          <w:p w14:paraId="5A16A43C" w14:textId="6BF4FDC0" w:rsidR="00132236" w:rsidRPr="005444AA" w:rsidRDefault="00132236" w:rsidP="00132236">
            <w:pPr>
              <w:spacing w:after="0" w:line="240" w:lineRule="exact"/>
              <w:jc w:val="right"/>
              <w:rPr>
                <w:rFonts w:eastAsia="Times New Roman" w:cs="Arial"/>
                <w:sz w:val="18"/>
                <w:szCs w:val="18"/>
              </w:rPr>
            </w:pPr>
            <w:r w:rsidRPr="00166751">
              <w:rPr>
                <w:rFonts w:eastAsia="Times New Roman" w:cs="Arial"/>
                <w:sz w:val="18"/>
                <w:szCs w:val="18"/>
              </w:rPr>
              <w:t>-</w:t>
            </w:r>
          </w:p>
        </w:tc>
        <w:tc>
          <w:tcPr>
            <w:tcW w:w="501" w:type="pct"/>
            <w:tcBorders>
              <w:top w:val="nil"/>
            </w:tcBorders>
            <w:shd w:val="clear" w:color="auto" w:fill="auto"/>
            <w:vAlign w:val="bottom"/>
          </w:tcPr>
          <w:p w14:paraId="31A76BC9" w14:textId="30B79807" w:rsidR="00132236" w:rsidRPr="005444AA" w:rsidRDefault="00132236" w:rsidP="00132236">
            <w:pPr>
              <w:spacing w:after="0" w:line="240" w:lineRule="exact"/>
              <w:jc w:val="right"/>
              <w:rPr>
                <w:rFonts w:eastAsia="Times New Roman" w:cs="Arial"/>
                <w:sz w:val="18"/>
                <w:szCs w:val="18"/>
              </w:rPr>
            </w:pPr>
            <w:r w:rsidRPr="00166751">
              <w:rPr>
                <w:rFonts w:eastAsia="Times New Roman" w:cs="Arial"/>
                <w:sz w:val="18"/>
                <w:szCs w:val="18"/>
              </w:rPr>
              <w:t>-</w:t>
            </w:r>
          </w:p>
        </w:tc>
        <w:tc>
          <w:tcPr>
            <w:tcW w:w="501" w:type="pct"/>
            <w:tcBorders>
              <w:top w:val="nil"/>
              <w:left w:val="nil"/>
              <w:bottom w:val="nil"/>
              <w:right w:val="nil"/>
            </w:tcBorders>
            <w:shd w:val="clear" w:color="auto" w:fill="auto"/>
            <w:vAlign w:val="bottom"/>
          </w:tcPr>
          <w:p w14:paraId="7EDEDDA0" w14:textId="144A53B4" w:rsidR="00132236" w:rsidRPr="005444AA" w:rsidRDefault="00132236" w:rsidP="00132236">
            <w:pPr>
              <w:spacing w:after="0" w:line="240" w:lineRule="exact"/>
              <w:jc w:val="right"/>
              <w:rPr>
                <w:rFonts w:eastAsia="Times New Roman" w:cs="Arial"/>
                <w:sz w:val="18"/>
                <w:szCs w:val="18"/>
              </w:rPr>
            </w:pPr>
            <w:r w:rsidRPr="00626B9E">
              <w:rPr>
                <w:rFonts w:eastAsia="Times New Roman" w:cs="Arial"/>
                <w:sz w:val="18"/>
                <w:szCs w:val="18"/>
                <w:lang w:val="en-US"/>
              </w:rPr>
              <w:t>76</w:t>
            </w:r>
          </w:p>
        </w:tc>
        <w:tc>
          <w:tcPr>
            <w:tcW w:w="501" w:type="pct"/>
            <w:tcBorders>
              <w:top w:val="nil"/>
            </w:tcBorders>
            <w:shd w:val="clear" w:color="auto" w:fill="auto"/>
            <w:vAlign w:val="bottom"/>
          </w:tcPr>
          <w:p w14:paraId="46E93AA3" w14:textId="2E1B5BC8" w:rsidR="00132236" w:rsidRPr="006D7381" w:rsidRDefault="00132236" w:rsidP="00132236">
            <w:pPr>
              <w:spacing w:after="0" w:line="240" w:lineRule="exact"/>
              <w:jc w:val="right"/>
              <w:rPr>
                <w:rFonts w:cs="Arial"/>
                <w:bCs/>
                <w:sz w:val="18"/>
                <w:szCs w:val="18"/>
              </w:rPr>
            </w:pPr>
            <w:r w:rsidRPr="00166751">
              <w:rPr>
                <w:rFonts w:eastAsia="Times New Roman" w:cs="Arial"/>
                <w:sz w:val="18"/>
                <w:szCs w:val="18"/>
              </w:rPr>
              <w:t>-</w:t>
            </w:r>
          </w:p>
        </w:tc>
        <w:tc>
          <w:tcPr>
            <w:tcW w:w="501" w:type="pct"/>
            <w:tcBorders>
              <w:top w:val="nil"/>
            </w:tcBorders>
            <w:shd w:val="clear" w:color="auto" w:fill="auto"/>
            <w:vAlign w:val="bottom"/>
          </w:tcPr>
          <w:p w14:paraId="7C7B4E43" w14:textId="6A9CD235" w:rsidR="00132236" w:rsidRPr="006D7381" w:rsidRDefault="00132236" w:rsidP="00132236">
            <w:pPr>
              <w:spacing w:after="0" w:line="240" w:lineRule="exact"/>
              <w:jc w:val="right"/>
              <w:rPr>
                <w:rFonts w:cs="Arial"/>
                <w:bCs/>
                <w:sz w:val="18"/>
                <w:szCs w:val="18"/>
              </w:rPr>
            </w:pPr>
            <w:r w:rsidRPr="00166751">
              <w:rPr>
                <w:rFonts w:eastAsia="Times New Roman" w:cs="Arial"/>
                <w:sz w:val="18"/>
                <w:szCs w:val="18"/>
              </w:rPr>
              <w:t>-</w:t>
            </w:r>
          </w:p>
        </w:tc>
        <w:tc>
          <w:tcPr>
            <w:tcW w:w="501" w:type="pct"/>
            <w:tcBorders>
              <w:top w:val="nil"/>
            </w:tcBorders>
            <w:shd w:val="clear" w:color="auto" w:fill="auto"/>
            <w:vAlign w:val="bottom"/>
          </w:tcPr>
          <w:p w14:paraId="21765262" w14:textId="1D393132" w:rsidR="00132236" w:rsidRPr="006D7381" w:rsidRDefault="00132236" w:rsidP="00132236">
            <w:pPr>
              <w:spacing w:after="0" w:line="240" w:lineRule="exact"/>
              <w:jc w:val="right"/>
              <w:rPr>
                <w:rFonts w:cs="Arial"/>
                <w:bCs/>
                <w:sz w:val="18"/>
                <w:szCs w:val="18"/>
              </w:rPr>
            </w:pPr>
            <w:r w:rsidRPr="00166751">
              <w:rPr>
                <w:rFonts w:eastAsia="Times New Roman" w:cs="Arial"/>
                <w:sz w:val="18"/>
                <w:szCs w:val="18"/>
              </w:rPr>
              <w:t>-</w:t>
            </w:r>
          </w:p>
        </w:tc>
        <w:tc>
          <w:tcPr>
            <w:tcW w:w="499" w:type="pct"/>
            <w:tcBorders>
              <w:top w:val="nil"/>
            </w:tcBorders>
            <w:shd w:val="clear" w:color="auto" w:fill="auto"/>
            <w:vAlign w:val="bottom"/>
          </w:tcPr>
          <w:p w14:paraId="53433EC2" w14:textId="3620FAE5" w:rsidR="00132236" w:rsidRPr="006D7381" w:rsidRDefault="00132236" w:rsidP="00132236">
            <w:pPr>
              <w:spacing w:after="0" w:line="240" w:lineRule="exact"/>
              <w:jc w:val="right"/>
              <w:rPr>
                <w:rFonts w:cs="Arial"/>
                <w:bCs/>
                <w:sz w:val="18"/>
                <w:szCs w:val="18"/>
              </w:rPr>
            </w:pPr>
            <w:r w:rsidRPr="00166751">
              <w:rPr>
                <w:rFonts w:eastAsia="Times New Roman" w:cs="Arial"/>
                <w:sz w:val="18"/>
                <w:szCs w:val="18"/>
              </w:rPr>
              <w:t>-</w:t>
            </w:r>
          </w:p>
        </w:tc>
      </w:tr>
      <w:tr w:rsidR="00132236" w:rsidRPr="006D7381" w14:paraId="3DE18A31" w14:textId="77777777" w:rsidTr="005444AA">
        <w:trPr>
          <w:trHeight w:val="316"/>
        </w:trPr>
        <w:tc>
          <w:tcPr>
            <w:tcW w:w="992" w:type="pct"/>
            <w:vAlign w:val="bottom"/>
          </w:tcPr>
          <w:p w14:paraId="7CB053C5" w14:textId="77777777" w:rsidR="00132236" w:rsidRPr="00166751" w:rsidRDefault="00132236" w:rsidP="00132236">
            <w:pPr>
              <w:spacing w:after="0" w:line="240" w:lineRule="exact"/>
              <w:rPr>
                <w:rFonts w:cs="Arial"/>
                <w:bCs/>
                <w:sz w:val="17"/>
                <w:szCs w:val="17"/>
              </w:rPr>
            </w:pPr>
            <w:r w:rsidRPr="00166751">
              <w:rPr>
                <w:rFonts w:cs="Arial"/>
                <w:bCs/>
                <w:sz w:val="17"/>
                <w:szCs w:val="17"/>
              </w:rPr>
              <w:t xml:space="preserve">Loans to financial institutions </w:t>
            </w:r>
          </w:p>
        </w:tc>
        <w:tc>
          <w:tcPr>
            <w:tcW w:w="502" w:type="pct"/>
            <w:tcBorders>
              <w:top w:val="nil"/>
              <w:left w:val="nil"/>
              <w:bottom w:val="nil"/>
              <w:right w:val="nil"/>
            </w:tcBorders>
            <w:shd w:val="clear" w:color="auto" w:fill="auto"/>
            <w:vAlign w:val="bottom"/>
          </w:tcPr>
          <w:p w14:paraId="138AACD9" w14:textId="0B933F18" w:rsidR="00132236" w:rsidRPr="005444AA" w:rsidRDefault="00132236" w:rsidP="00132236">
            <w:pPr>
              <w:spacing w:after="0" w:line="240" w:lineRule="exact"/>
              <w:jc w:val="right"/>
              <w:rPr>
                <w:rFonts w:eastAsia="Times New Roman" w:cs="Arial"/>
                <w:sz w:val="18"/>
                <w:szCs w:val="18"/>
              </w:rPr>
            </w:pPr>
            <w:r w:rsidRPr="00626B9E">
              <w:rPr>
                <w:rFonts w:eastAsia="Times New Roman" w:cs="Arial"/>
                <w:sz w:val="18"/>
                <w:szCs w:val="18"/>
                <w:lang w:val="en-US"/>
              </w:rPr>
              <w:t>12</w:t>
            </w:r>
            <w:r>
              <w:rPr>
                <w:rFonts w:eastAsia="Times New Roman" w:cs="Arial"/>
                <w:sz w:val="18"/>
                <w:szCs w:val="18"/>
                <w:lang w:val="en-US"/>
              </w:rPr>
              <w:t>,</w:t>
            </w:r>
            <w:r w:rsidRPr="00626B9E">
              <w:rPr>
                <w:rFonts w:eastAsia="Times New Roman" w:cs="Arial"/>
                <w:sz w:val="18"/>
                <w:szCs w:val="18"/>
                <w:lang w:val="en-US"/>
              </w:rPr>
              <w:t>019</w:t>
            </w:r>
            <w:r>
              <w:rPr>
                <w:rFonts w:eastAsia="Times New Roman" w:cs="Arial"/>
                <w:sz w:val="18"/>
                <w:szCs w:val="18"/>
                <w:lang w:val="en-US"/>
              </w:rPr>
              <w:t>,</w:t>
            </w:r>
            <w:r w:rsidRPr="00626B9E">
              <w:rPr>
                <w:rFonts w:eastAsia="Times New Roman" w:cs="Arial"/>
                <w:sz w:val="18"/>
                <w:szCs w:val="18"/>
                <w:lang w:val="en-US"/>
              </w:rPr>
              <w:t>833</w:t>
            </w:r>
          </w:p>
        </w:tc>
        <w:tc>
          <w:tcPr>
            <w:tcW w:w="501" w:type="pct"/>
            <w:tcBorders>
              <w:top w:val="nil"/>
              <w:left w:val="nil"/>
              <w:bottom w:val="nil"/>
              <w:right w:val="nil"/>
            </w:tcBorders>
            <w:shd w:val="clear" w:color="auto" w:fill="auto"/>
            <w:vAlign w:val="bottom"/>
          </w:tcPr>
          <w:p w14:paraId="4A15B31C" w14:textId="15429B38" w:rsidR="00132236" w:rsidRPr="005444AA" w:rsidRDefault="00132236" w:rsidP="00132236">
            <w:pPr>
              <w:spacing w:after="0" w:line="240" w:lineRule="exact"/>
              <w:jc w:val="right"/>
              <w:rPr>
                <w:rFonts w:eastAsia="Times New Roman" w:cs="Arial"/>
                <w:sz w:val="18"/>
                <w:szCs w:val="18"/>
              </w:rPr>
            </w:pPr>
            <w:r w:rsidRPr="00626B9E">
              <w:rPr>
                <w:rFonts w:eastAsia="Times New Roman" w:cs="Arial"/>
                <w:sz w:val="18"/>
                <w:szCs w:val="18"/>
                <w:lang w:val="en-US"/>
              </w:rPr>
              <w:t>227</w:t>
            </w:r>
            <w:r>
              <w:rPr>
                <w:rFonts w:eastAsia="Times New Roman" w:cs="Arial"/>
                <w:sz w:val="18"/>
                <w:szCs w:val="18"/>
                <w:lang w:val="en-US"/>
              </w:rPr>
              <w:t>,</w:t>
            </w:r>
            <w:r w:rsidRPr="00626B9E">
              <w:rPr>
                <w:rFonts w:eastAsia="Times New Roman" w:cs="Arial"/>
                <w:sz w:val="18"/>
                <w:szCs w:val="18"/>
                <w:lang w:val="en-US"/>
              </w:rPr>
              <w:t>454</w:t>
            </w:r>
          </w:p>
        </w:tc>
        <w:tc>
          <w:tcPr>
            <w:tcW w:w="501" w:type="pct"/>
            <w:tcBorders>
              <w:top w:val="nil"/>
            </w:tcBorders>
            <w:shd w:val="clear" w:color="auto" w:fill="auto"/>
            <w:vAlign w:val="bottom"/>
          </w:tcPr>
          <w:p w14:paraId="3D850E71" w14:textId="1806AAAB" w:rsidR="00132236" w:rsidRPr="005444AA" w:rsidRDefault="00132236" w:rsidP="00132236">
            <w:pPr>
              <w:spacing w:after="0" w:line="240" w:lineRule="exact"/>
              <w:jc w:val="right"/>
              <w:rPr>
                <w:rFonts w:eastAsia="Times New Roman" w:cs="Arial"/>
                <w:sz w:val="18"/>
                <w:szCs w:val="18"/>
              </w:rPr>
            </w:pPr>
            <w:r w:rsidRPr="00166751">
              <w:rPr>
                <w:rFonts w:eastAsia="Times New Roman" w:cs="Arial"/>
                <w:sz w:val="18"/>
                <w:szCs w:val="18"/>
              </w:rPr>
              <w:t>-</w:t>
            </w:r>
          </w:p>
        </w:tc>
        <w:tc>
          <w:tcPr>
            <w:tcW w:w="501" w:type="pct"/>
            <w:tcBorders>
              <w:top w:val="nil"/>
              <w:left w:val="nil"/>
              <w:bottom w:val="nil"/>
              <w:right w:val="nil"/>
            </w:tcBorders>
            <w:shd w:val="clear" w:color="auto" w:fill="auto"/>
            <w:vAlign w:val="bottom"/>
          </w:tcPr>
          <w:p w14:paraId="3487D3A7" w14:textId="16391B21" w:rsidR="00132236" w:rsidRPr="005444AA" w:rsidRDefault="00132236" w:rsidP="00132236">
            <w:pPr>
              <w:spacing w:after="0" w:line="240" w:lineRule="exact"/>
              <w:jc w:val="right"/>
              <w:rPr>
                <w:rFonts w:eastAsia="Times New Roman" w:cs="Arial"/>
                <w:sz w:val="18"/>
                <w:szCs w:val="18"/>
              </w:rPr>
            </w:pPr>
            <w:r w:rsidRPr="00626B9E">
              <w:rPr>
                <w:rFonts w:eastAsia="Times New Roman" w:cs="Arial"/>
                <w:sz w:val="18"/>
                <w:szCs w:val="18"/>
                <w:lang w:val="en-US"/>
              </w:rPr>
              <w:t>12</w:t>
            </w:r>
            <w:r>
              <w:rPr>
                <w:rFonts w:eastAsia="Times New Roman" w:cs="Arial"/>
                <w:sz w:val="18"/>
                <w:szCs w:val="18"/>
                <w:lang w:val="en-US"/>
              </w:rPr>
              <w:t>,</w:t>
            </w:r>
            <w:r w:rsidRPr="00626B9E">
              <w:rPr>
                <w:rFonts w:eastAsia="Times New Roman" w:cs="Arial"/>
                <w:sz w:val="18"/>
                <w:szCs w:val="18"/>
                <w:lang w:val="en-US"/>
              </w:rPr>
              <w:t>247</w:t>
            </w:r>
            <w:r>
              <w:rPr>
                <w:rFonts w:eastAsia="Times New Roman" w:cs="Arial"/>
                <w:sz w:val="18"/>
                <w:szCs w:val="18"/>
                <w:lang w:val="en-US"/>
              </w:rPr>
              <w:t>,</w:t>
            </w:r>
            <w:r w:rsidRPr="00626B9E">
              <w:rPr>
                <w:rFonts w:eastAsia="Times New Roman" w:cs="Arial"/>
                <w:sz w:val="18"/>
                <w:szCs w:val="18"/>
                <w:lang w:val="en-US"/>
              </w:rPr>
              <w:t>287</w:t>
            </w:r>
          </w:p>
        </w:tc>
        <w:tc>
          <w:tcPr>
            <w:tcW w:w="501" w:type="pct"/>
            <w:tcBorders>
              <w:top w:val="nil"/>
            </w:tcBorders>
            <w:shd w:val="clear" w:color="auto" w:fill="auto"/>
            <w:vAlign w:val="bottom"/>
          </w:tcPr>
          <w:p w14:paraId="59CF75E6" w14:textId="48671183" w:rsidR="00132236" w:rsidRPr="006D7381" w:rsidRDefault="00132236" w:rsidP="00132236">
            <w:pPr>
              <w:spacing w:after="0" w:line="240" w:lineRule="exact"/>
              <w:jc w:val="right"/>
              <w:rPr>
                <w:rFonts w:cs="Arial"/>
                <w:bCs/>
                <w:sz w:val="18"/>
                <w:szCs w:val="18"/>
              </w:rPr>
            </w:pPr>
            <w:r w:rsidRPr="00166751">
              <w:rPr>
                <w:rFonts w:eastAsia="Times New Roman" w:cs="Arial"/>
                <w:sz w:val="18"/>
                <w:szCs w:val="18"/>
              </w:rPr>
              <w:t>-</w:t>
            </w:r>
          </w:p>
        </w:tc>
        <w:tc>
          <w:tcPr>
            <w:tcW w:w="501" w:type="pct"/>
            <w:tcBorders>
              <w:top w:val="nil"/>
            </w:tcBorders>
            <w:shd w:val="clear" w:color="auto" w:fill="auto"/>
            <w:vAlign w:val="bottom"/>
          </w:tcPr>
          <w:p w14:paraId="06EAD64B" w14:textId="35179E8A" w:rsidR="00132236" w:rsidRPr="006D7381" w:rsidRDefault="00132236" w:rsidP="00132236">
            <w:pPr>
              <w:spacing w:after="0" w:line="240" w:lineRule="exact"/>
              <w:jc w:val="right"/>
              <w:rPr>
                <w:rFonts w:cs="Arial"/>
                <w:bCs/>
                <w:sz w:val="18"/>
                <w:szCs w:val="18"/>
              </w:rPr>
            </w:pPr>
            <w:r w:rsidRPr="00166751">
              <w:rPr>
                <w:rFonts w:eastAsia="Times New Roman" w:cs="Arial"/>
                <w:sz w:val="18"/>
                <w:szCs w:val="18"/>
              </w:rPr>
              <w:t>-</w:t>
            </w:r>
          </w:p>
        </w:tc>
        <w:tc>
          <w:tcPr>
            <w:tcW w:w="501" w:type="pct"/>
            <w:tcBorders>
              <w:top w:val="nil"/>
            </w:tcBorders>
            <w:shd w:val="clear" w:color="auto" w:fill="auto"/>
            <w:vAlign w:val="bottom"/>
          </w:tcPr>
          <w:p w14:paraId="7A2BB7A3" w14:textId="6629E6B4" w:rsidR="00132236" w:rsidRPr="006D7381" w:rsidRDefault="00132236" w:rsidP="00132236">
            <w:pPr>
              <w:spacing w:after="0" w:line="240" w:lineRule="exact"/>
              <w:jc w:val="right"/>
              <w:rPr>
                <w:rFonts w:cs="Arial"/>
                <w:bCs/>
                <w:sz w:val="18"/>
                <w:szCs w:val="18"/>
              </w:rPr>
            </w:pPr>
            <w:r w:rsidRPr="00166751">
              <w:rPr>
                <w:rFonts w:eastAsia="Times New Roman" w:cs="Arial"/>
                <w:sz w:val="18"/>
                <w:szCs w:val="18"/>
              </w:rPr>
              <w:t>-</w:t>
            </w:r>
          </w:p>
        </w:tc>
        <w:tc>
          <w:tcPr>
            <w:tcW w:w="499" w:type="pct"/>
            <w:tcBorders>
              <w:top w:val="nil"/>
            </w:tcBorders>
            <w:shd w:val="clear" w:color="auto" w:fill="auto"/>
            <w:vAlign w:val="bottom"/>
          </w:tcPr>
          <w:p w14:paraId="7A30D17C" w14:textId="708467AC" w:rsidR="00132236" w:rsidRPr="006D7381" w:rsidRDefault="00132236" w:rsidP="00132236">
            <w:pPr>
              <w:spacing w:after="0" w:line="240" w:lineRule="exact"/>
              <w:jc w:val="right"/>
              <w:rPr>
                <w:rFonts w:cs="Arial"/>
                <w:bCs/>
                <w:sz w:val="18"/>
                <w:szCs w:val="18"/>
              </w:rPr>
            </w:pPr>
            <w:r w:rsidRPr="00166751">
              <w:rPr>
                <w:rFonts w:eastAsia="Times New Roman" w:cs="Arial"/>
                <w:sz w:val="18"/>
                <w:szCs w:val="18"/>
              </w:rPr>
              <w:t>-</w:t>
            </w:r>
          </w:p>
        </w:tc>
      </w:tr>
      <w:tr w:rsidR="004A090F" w:rsidRPr="006D7381" w14:paraId="3CFABE3D" w14:textId="77777777" w:rsidTr="005444AA">
        <w:trPr>
          <w:trHeight w:val="139"/>
        </w:trPr>
        <w:tc>
          <w:tcPr>
            <w:tcW w:w="992" w:type="pct"/>
            <w:vAlign w:val="bottom"/>
          </w:tcPr>
          <w:p w14:paraId="107F554B" w14:textId="77777777" w:rsidR="004A090F" w:rsidRPr="00166751" w:rsidRDefault="004A090F" w:rsidP="004A090F">
            <w:pPr>
              <w:spacing w:after="0" w:line="240" w:lineRule="exact"/>
              <w:rPr>
                <w:rFonts w:cs="Arial"/>
                <w:bCs/>
                <w:sz w:val="17"/>
                <w:szCs w:val="17"/>
              </w:rPr>
            </w:pPr>
            <w:r w:rsidRPr="00166751">
              <w:rPr>
                <w:rFonts w:cs="Arial"/>
                <w:bCs/>
                <w:sz w:val="17"/>
                <w:szCs w:val="17"/>
              </w:rPr>
              <w:t>Loans to other customers</w:t>
            </w:r>
          </w:p>
        </w:tc>
        <w:tc>
          <w:tcPr>
            <w:tcW w:w="502" w:type="pct"/>
            <w:tcBorders>
              <w:top w:val="nil"/>
              <w:left w:val="nil"/>
              <w:bottom w:val="nil"/>
              <w:right w:val="nil"/>
            </w:tcBorders>
            <w:shd w:val="clear" w:color="auto" w:fill="auto"/>
            <w:vAlign w:val="bottom"/>
          </w:tcPr>
          <w:p w14:paraId="7FF7C967" w14:textId="75C8C736" w:rsidR="004A090F" w:rsidRPr="005444AA" w:rsidRDefault="004A090F" w:rsidP="004A090F">
            <w:pPr>
              <w:spacing w:after="0" w:line="240" w:lineRule="exact"/>
              <w:jc w:val="right"/>
              <w:rPr>
                <w:rFonts w:eastAsia="Times New Roman" w:cs="Arial"/>
                <w:sz w:val="18"/>
                <w:szCs w:val="18"/>
              </w:rPr>
            </w:pPr>
            <w:r w:rsidRPr="00626B9E">
              <w:rPr>
                <w:rFonts w:eastAsia="Times New Roman" w:cs="Arial"/>
                <w:sz w:val="18"/>
                <w:szCs w:val="18"/>
                <w:lang w:val="en-US"/>
              </w:rPr>
              <w:t>10</w:t>
            </w:r>
            <w:r>
              <w:rPr>
                <w:rFonts w:eastAsia="Times New Roman" w:cs="Arial"/>
                <w:sz w:val="18"/>
                <w:szCs w:val="18"/>
                <w:lang w:val="en-US"/>
              </w:rPr>
              <w:t>,</w:t>
            </w:r>
            <w:r w:rsidRPr="00626B9E">
              <w:rPr>
                <w:rFonts w:eastAsia="Times New Roman" w:cs="Arial"/>
                <w:sz w:val="18"/>
                <w:szCs w:val="18"/>
                <w:lang w:val="en-US"/>
              </w:rPr>
              <w:t>445</w:t>
            </w:r>
            <w:r>
              <w:rPr>
                <w:rFonts w:eastAsia="Times New Roman" w:cs="Arial"/>
                <w:sz w:val="18"/>
                <w:szCs w:val="18"/>
                <w:lang w:val="en-US"/>
              </w:rPr>
              <w:t>,</w:t>
            </w:r>
            <w:r w:rsidRPr="00626B9E">
              <w:rPr>
                <w:rFonts w:eastAsia="Times New Roman" w:cs="Arial"/>
                <w:sz w:val="18"/>
                <w:szCs w:val="18"/>
                <w:lang w:val="en-US"/>
              </w:rPr>
              <w:t>613</w:t>
            </w:r>
          </w:p>
        </w:tc>
        <w:tc>
          <w:tcPr>
            <w:tcW w:w="501" w:type="pct"/>
            <w:tcBorders>
              <w:top w:val="nil"/>
              <w:left w:val="nil"/>
              <w:bottom w:val="nil"/>
              <w:right w:val="nil"/>
            </w:tcBorders>
            <w:shd w:val="clear" w:color="auto" w:fill="auto"/>
            <w:vAlign w:val="bottom"/>
          </w:tcPr>
          <w:p w14:paraId="5FF6663C" w14:textId="59AC0F65" w:rsidR="004A090F" w:rsidRPr="005444AA" w:rsidRDefault="004A090F" w:rsidP="004A090F">
            <w:pPr>
              <w:spacing w:after="0" w:line="240" w:lineRule="exact"/>
              <w:jc w:val="right"/>
              <w:rPr>
                <w:rFonts w:eastAsia="Times New Roman" w:cs="Arial"/>
                <w:sz w:val="18"/>
                <w:szCs w:val="18"/>
              </w:rPr>
            </w:pPr>
            <w:r w:rsidRPr="00626B9E">
              <w:rPr>
                <w:rFonts w:eastAsia="Times New Roman" w:cs="Arial"/>
                <w:sz w:val="18"/>
                <w:szCs w:val="18"/>
                <w:lang w:val="en-US"/>
              </w:rPr>
              <w:t>1</w:t>
            </w:r>
            <w:r>
              <w:rPr>
                <w:rFonts w:eastAsia="Times New Roman" w:cs="Arial"/>
                <w:sz w:val="18"/>
                <w:szCs w:val="18"/>
                <w:lang w:val="en-US"/>
              </w:rPr>
              <w:t>,</w:t>
            </w:r>
            <w:r w:rsidRPr="00626B9E">
              <w:rPr>
                <w:rFonts w:eastAsia="Times New Roman" w:cs="Arial"/>
                <w:sz w:val="18"/>
                <w:szCs w:val="18"/>
                <w:lang w:val="en-US"/>
              </w:rPr>
              <w:t>467</w:t>
            </w:r>
            <w:r>
              <w:rPr>
                <w:rFonts w:eastAsia="Times New Roman" w:cs="Arial"/>
                <w:sz w:val="18"/>
                <w:szCs w:val="18"/>
                <w:lang w:val="en-US"/>
              </w:rPr>
              <w:t>,</w:t>
            </w:r>
            <w:r w:rsidRPr="00626B9E">
              <w:rPr>
                <w:rFonts w:eastAsia="Times New Roman" w:cs="Arial"/>
                <w:sz w:val="18"/>
                <w:szCs w:val="18"/>
                <w:lang w:val="en-US"/>
              </w:rPr>
              <w:t>599</w:t>
            </w:r>
          </w:p>
        </w:tc>
        <w:tc>
          <w:tcPr>
            <w:tcW w:w="501" w:type="pct"/>
            <w:tcBorders>
              <w:top w:val="nil"/>
            </w:tcBorders>
            <w:shd w:val="clear" w:color="auto" w:fill="auto"/>
            <w:vAlign w:val="bottom"/>
          </w:tcPr>
          <w:p w14:paraId="0ABCE258" w14:textId="77FD2B30" w:rsidR="004A090F" w:rsidRPr="005444AA" w:rsidRDefault="004A090F" w:rsidP="004A090F">
            <w:pPr>
              <w:spacing w:after="0" w:line="240" w:lineRule="exact"/>
              <w:jc w:val="right"/>
              <w:rPr>
                <w:rFonts w:eastAsia="Times New Roman" w:cs="Arial"/>
                <w:sz w:val="18"/>
                <w:szCs w:val="18"/>
              </w:rPr>
            </w:pPr>
            <w:r w:rsidRPr="00166751">
              <w:rPr>
                <w:rFonts w:eastAsia="Times New Roman" w:cs="Arial"/>
                <w:sz w:val="18"/>
                <w:szCs w:val="18"/>
              </w:rPr>
              <w:t>-</w:t>
            </w:r>
          </w:p>
        </w:tc>
        <w:tc>
          <w:tcPr>
            <w:tcW w:w="501" w:type="pct"/>
            <w:tcBorders>
              <w:top w:val="nil"/>
              <w:left w:val="nil"/>
              <w:bottom w:val="nil"/>
              <w:right w:val="nil"/>
            </w:tcBorders>
            <w:shd w:val="clear" w:color="auto" w:fill="auto"/>
            <w:vAlign w:val="bottom"/>
          </w:tcPr>
          <w:p w14:paraId="0B43F595" w14:textId="18D2C736" w:rsidR="004A090F" w:rsidRPr="005444AA" w:rsidRDefault="004A090F" w:rsidP="004A090F">
            <w:pPr>
              <w:spacing w:after="0" w:line="240" w:lineRule="exact"/>
              <w:jc w:val="right"/>
              <w:rPr>
                <w:rFonts w:eastAsia="Times New Roman" w:cs="Arial"/>
                <w:sz w:val="18"/>
                <w:szCs w:val="18"/>
              </w:rPr>
            </w:pPr>
            <w:r w:rsidRPr="00626B9E">
              <w:rPr>
                <w:rFonts w:eastAsia="Times New Roman" w:cs="Arial"/>
                <w:sz w:val="18"/>
                <w:szCs w:val="18"/>
                <w:lang w:val="en-US"/>
              </w:rPr>
              <w:t>11</w:t>
            </w:r>
            <w:r>
              <w:rPr>
                <w:rFonts w:eastAsia="Times New Roman" w:cs="Arial"/>
                <w:sz w:val="18"/>
                <w:szCs w:val="18"/>
                <w:lang w:val="en-US"/>
              </w:rPr>
              <w:t>,</w:t>
            </w:r>
            <w:r w:rsidRPr="00626B9E">
              <w:rPr>
                <w:rFonts w:eastAsia="Times New Roman" w:cs="Arial"/>
                <w:sz w:val="18"/>
                <w:szCs w:val="18"/>
                <w:lang w:val="en-US"/>
              </w:rPr>
              <w:t>913</w:t>
            </w:r>
            <w:r>
              <w:rPr>
                <w:rFonts w:eastAsia="Times New Roman" w:cs="Arial"/>
                <w:sz w:val="18"/>
                <w:szCs w:val="18"/>
                <w:lang w:val="en-US"/>
              </w:rPr>
              <w:t>,</w:t>
            </w:r>
            <w:r w:rsidRPr="00626B9E">
              <w:rPr>
                <w:rFonts w:eastAsia="Times New Roman" w:cs="Arial"/>
                <w:sz w:val="18"/>
                <w:szCs w:val="18"/>
                <w:lang w:val="en-US"/>
              </w:rPr>
              <w:t>212</w:t>
            </w:r>
          </w:p>
        </w:tc>
        <w:tc>
          <w:tcPr>
            <w:tcW w:w="501" w:type="pct"/>
            <w:tcBorders>
              <w:top w:val="nil"/>
              <w:left w:val="nil"/>
              <w:bottom w:val="nil"/>
              <w:right w:val="nil"/>
            </w:tcBorders>
            <w:shd w:val="clear" w:color="auto" w:fill="auto"/>
            <w:vAlign w:val="bottom"/>
          </w:tcPr>
          <w:p w14:paraId="4930FDAA" w14:textId="69312D65" w:rsidR="004A090F" w:rsidRPr="006D7381" w:rsidRDefault="004A090F" w:rsidP="004A090F">
            <w:pPr>
              <w:spacing w:after="0" w:line="240" w:lineRule="exact"/>
              <w:jc w:val="right"/>
              <w:rPr>
                <w:rFonts w:cs="Arial"/>
                <w:bCs/>
                <w:sz w:val="18"/>
                <w:szCs w:val="18"/>
              </w:rPr>
            </w:pPr>
            <w:r w:rsidRPr="00132236">
              <w:rPr>
                <w:rFonts w:eastAsia="Times New Roman" w:cs="Arial"/>
                <w:sz w:val="18"/>
                <w:szCs w:val="18"/>
                <w:lang w:val="en-US"/>
              </w:rPr>
              <w:t>2,699,305</w:t>
            </w:r>
          </w:p>
        </w:tc>
        <w:tc>
          <w:tcPr>
            <w:tcW w:w="501" w:type="pct"/>
            <w:tcBorders>
              <w:top w:val="nil"/>
              <w:left w:val="nil"/>
              <w:bottom w:val="nil"/>
              <w:right w:val="nil"/>
            </w:tcBorders>
            <w:shd w:val="clear" w:color="auto" w:fill="auto"/>
            <w:vAlign w:val="bottom"/>
          </w:tcPr>
          <w:p w14:paraId="778046DC" w14:textId="5DB0A40C" w:rsidR="004A090F" w:rsidRPr="006D7381" w:rsidRDefault="004A090F" w:rsidP="004A090F">
            <w:pPr>
              <w:spacing w:after="0" w:line="240" w:lineRule="exact"/>
              <w:jc w:val="right"/>
              <w:rPr>
                <w:rFonts w:cs="Arial"/>
                <w:bCs/>
                <w:sz w:val="18"/>
                <w:szCs w:val="18"/>
              </w:rPr>
            </w:pPr>
            <w:r w:rsidRPr="00626B9E">
              <w:rPr>
                <w:rFonts w:eastAsia="Times New Roman" w:cs="Arial"/>
                <w:sz w:val="18"/>
                <w:szCs w:val="18"/>
                <w:lang w:val="en-US"/>
              </w:rPr>
              <w:t>47</w:t>
            </w:r>
            <w:r>
              <w:rPr>
                <w:rFonts w:eastAsia="Times New Roman" w:cs="Arial"/>
                <w:sz w:val="18"/>
                <w:szCs w:val="18"/>
                <w:lang w:val="en-US"/>
              </w:rPr>
              <w:t>,</w:t>
            </w:r>
            <w:r w:rsidRPr="00626B9E">
              <w:rPr>
                <w:rFonts w:eastAsia="Times New Roman" w:cs="Arial"/>
                <w:sz w:val="18"/>
                <w:szCs w:val="18"/>
                <w:lang w:val="en-US"/>
              </w:rPr>
              <w:t>822</w:t>
            </w:r>
          </w:p>
        </w:tc>
        <w:tc>
          <w:tcPr>
            <w:tcW w:w="501" w:type="pct"/>
            <w:tcBorders>
              <w:top w:val="nil"/>
              <w:left w:val="nil"/>
              <w:bottom w:val="nil"/>
              <w:right w:val="nil"/>
            </w:tcBorders>
            <w:shd w:val="clear" w:color="auto" w:fill="auto"/>
            <w:vAlign w:val="bottom"/>
          </w:tcPr>
          <w:p w14:paraId="0F2B598A" w14:textId="5C925120" w:rsidR="004A090F" w:rsidRPr="006D7381" w:rsidRDefault="004A090F" w:rsidP="004A090F">
            <w:pPr>
              <w:spacing w:after="0" w:line="240" w:lineRule="exact"/>
              <w:jc w:val="right"/>
              <w:rPr>
                <w:rFonts w:cs="Arial"/>
                <w:bCs/>
                <w:sz w:val="18"/>
                <w:szCs w:val="18"/>
              </w:rPr>
            </w:pPr>
            <w:r>
              <w:rPr>
                <w:rFonts w:eastAsia="Times New Roman" w:cs="Arial"/>
                <w:sz w:val="18"/>
                <w:szCs w:val="18"/>
                <w:lang w:val="en-US"/>
              </w:rPr>
              <w:t>-</w:t>
            </w:r>
          </w:p>
        </w:tc>
        <w:tc>
          <w:tcPr>
            <w:tcW w:w="499" w:type="pct"/>
            <w:tcBorders>
              <w:top w:val="nil"/>
              <w:left w:val="nil"/>
              <w:bottom w:val="nil"/>
              <w:right w:val="nil"/>
            </w:tcBorders>
            <w:shd w:val="clear" w:color="auto" w:fill="auto"/>
            <w:vAlign w:val="bottom"/>
          </w:tcPr>
          <w:p w14:paraId="0D16C11A" w14:textId="743F209F" w:rsidR="004A090F" w:rsidRPr="006D7381" w:rsidRDefault="004A090F" w:rsidP="004A090F">
            <w:pPr>
              <w:spacing w:after="0" w:line="240" w:lineRule="exact"/>
              <w:jc w:val="right"/>
              <w:rPr>
                <w:rFonts w:cs="Arial"/>
                <w:bCs/>
                <w:sz w:val="18"/>
                <w:szCs w:val="18"/>
              </w:rPr>
            </w:pPr>
            <w:r w:rsidRPr="00626B9E">
              <w:rPr>
                <w:rFonts w:eastAsia="Times New Roman" w:cs="Arial"/>
                <w:sz w:val="18"/>
                <w:szCs w:val="18"/>
                <w:lang w:val="en-US"/>
              </w:rPr>
              <w:t>2</w:t>
            </w:r>
            <w:r>
              <w:rPr>
                <w:rFonts w:eastAsia="Times New Roman" w:cs="Arial"/>
                <w:sz w:val="18"/>
                <w:szCs w:val="18"/>
                <w:lang w:val="en-US"/>
              </w:rPr>
              <w:t>,</w:t>
            </w:r>
            <w:r w:rsidRPr="00626B9E">
              <w:rPr>
                <w:rFonts w:eastAsia="Times New Roman" w:cs="Arial"/>
                <w:sz w:val="18"/>
                <w:szCs w:val="18"/>
                <w:lang w:val="en-US"/>
              </w:rPr>
              <w:t>747</w:t>
            </w:r>
            <w:r>
              <w:rPr>
                <w:rFonts w:eastAsia="Times New Roman" w:cs="Arial"/>
                <w:sz w:val="18"/>
                <w:szCs w:val="18"/>
                <w:lang w:val="en-US"/>
              </w:rPr>
              <w:t>,</w:t>
            </w:r>
            <w:r w:rsidRPr="00626B9E">
              <w:rPr>
                <w:rFonts w:eastAsia="Times New Roman" w:cs="Arial"/>
                <w:sz w:val="18"/>
                <w:szCs w:val="18"/>
                <w:lang w:val="en-US"/>
              </w:rPr>
              <w:t>127</w:t>
            </w:r>
          </w:p>
        </w:tc>
      </w:tr>
      <w:tr w:rsidR="00132236" w:rsidRPr="006D7381" w14:paraId="19E0F336" w14:textId="77777777" w:rsidTr="005444AA">
        <w:trPr>
          <w:trHeight w:val="511"/>
        </w:trPr>
        <w:tc>
          <w:tcPr>
            <w:tcW w:w="992" w:type="pct"/>
            <w:vAlign w:val="bottom"/>
          </w:tcPr>
          <w:p w14:paraId="7A61020C" w14:textId="77777777" w:rsidR="00132236" w:rsidRPr="00166751" w:rsidRDefault="00132236" w:rsidP="00132236">
            <w:pPr>
              <w:spacing w:after="0" w:line="240" w:lineRule="exact"/>
              <w:rPr>
                <w:rFonts w:cs="Arial"/>
                <w:bCs/>
                <w:sz w:val="17"/>
                <w:szCs w:val="17"/>
              </w:rPr>
            </w:pPr>
            <w:r w:rsidRPr="00166751">
              <w:rPr>
                <w:rFonts w:cs="Arial"/>
                <w:bCs/>
                <w:sz w:val="17"/>
                <w:szCs w:val="17"/>
              </w:rPr>
              <w:t>Financial assets at fair value through profit or loss</w:t>
            </w:r>
          </w:p>
        </w:tc>
        <w:tc>
          <w:tcPr>
            <w:tcW w:w="502" w:type="pct"/>
            <w:tcBorders>
              <w:top w:val="nil"/>
              <w:left w:val="nil"/>
              <w:bottom w:val="nil"/>
              <w:right w:val="nil"/>
            </w:tcBorders>
            <w:shd w:val="clear" w:color="auto" w:fill="auto"/>
            <w:vAlign w:val="bottom"/>
          </w:tcPr>
          <w:p w14:paraId="76988908" w14:textId="34D37876" w:rsidR="00132236" w:rsidRPr="005444AA" w:rsidRDefault="00132236" w:rsidP="00132236">
            <w:pPr>
              <w:spacing w:after="0" w:line="240" w:lineRule="exact"/>
              <w:jc w:val="right"/>
              <w:rPr>
                <w:rFonts w:eastAsia="Times New Roman" w:cs="Arial"/>
                <w:sz w:val="18"/>
                <w:szCs w:val="18"/>
              </w:rPr>
            </w:pPr>
            <w:r w:rsidRPr="00626B9E">
              <w:rPr>
                <w:rFonts w:eastAsia="Times New Roman" w:cs="Arial"/>
                <w:sz w:val="18"/>
                <w:szCs w:val="18"/>
                <w:lang w:val="en-US"/>
              </w:rPr>
              <w:t>288</w:t>
            </w:r>
          </w:p>
        </w:tc>
        <w:tc>
          <w:tcPr>
            <w:tcW w:w="501" w:type="pct"/>
            <w:tcBorders>
              <w:top w:val="nil"/>
            </w:tcBorders>
            <w:shd w:val="clear" w:color="auto" w:fill="auto"/>
            <w:vAlign w:val="bottom"/>
          </w:tcPr>
          <w:p w14:paraId="54CDEFB7" w14:textId="742B97A6" w:rsidR="00132236" w:rsidRPr="005444AA" w:rsidRDefault="00132236" w:rsidP="00132236">
            <w:pPr>
              <w:spacing w:after="0" w:line="240" w:lineRule="exact"/>
              <w:jc w:val="right"/>
              <w:rPr>
                <w:rFonts w:eastAsia="Times New Roman" w:cs="Arial"/>
                <w:sz w:val="18"/>
                <w:szCs w:val="18"/>
              </w:rPr>
            </w:pPr>
            <w:r w:rsidRPr="00166751">
              <w:rPr>
                <w:rFonts w:eastAsia="Times New Roman" w:cs="Arial"/>
                <w:sz w:val="18"/>
                <w:szCs w:val="18"/>
              </w:rPr>
              <w:t>-</w:t>
            </w:r>
          </w:p>
        </w:tc>
        <w:tc>
          <w:tcPr>
            <w:tcW w:w="501" w:type="pct"/>
            <w:tcBorders>
              <w:top w:val="nil"/>
            </w:tcBorders>
            <w:shd w:val="clear" w:color="auto" w:fill="auto"/>
            <w:vAlign w:val="bottom"/>
          </w:tcPr>
          <w:p w14:paraId="7B722A66" w14:textId="4765C3F9" w:rsidR="00132236" w:rsidRPr="005444AA" w:rsidRDefault="00132236" w:rsidP="00132236">
            <w:pPr>
              <w:spacing w:after="0" w:line="240" w:lineRule="exact"/>
              <w:jc w:val="right"/>
              <w:rPr>
                <w:rFonts w:eastAsia="Times New Roman" w:cs="Arial"/>
                <w:sz w:val="18"/>
                <w:szCs w:val="18"/>
              </w:rPr>
            </w:pPr>
            <w:r w:rsidRPr="00166751">
              <w:rPr>
                <w:rFonts w:eastAsia="Times New Roman" w:cs="Arial"/>
                <w:sz w:val="18"/>
                <w:szCs w:val="18"/>
              </w:rPr>
              <w:t>-</w:t>
            </w:r>
          </w:p>
        </w:tc>
        <w:tc>
          <w:tcPr>
            <w:tcW w:w="501" w:type="pct"/>
            <w:tcBorders>
              <w:top w:val="nil"/>
              <w:left w:val="nil"/>
              <w:bottom w:val="nil"/>
              <w:right w:val="nil"/>
            </w:tcBorders>
            <w:shd w:val="clear" w:color="auto" w:fill="auto"/>
            <w:vAlign w:val="bottom"/>
          </w:tcPr>
          <w:p w14:paraId="65D192F9" w14:textId="2FC114B8" w:rsidR="00132236" w:rsidRPr="005444AA" w:rsidRDefault="00132236" w:rsidP="00132236">
            <w:pPr>
              <w:spacing w:after="0" w:line="240" w:lineRule="exact"/>
              <w:jc w:val="right"/>
              <w:rPr>
                <w:rFonts w:eastAsia="Times New Roman" w:cs="Arial"/>
                <w:sz w:val="18"/>
                <w:szCs w:val="18"/>
              </w:rPr>
            </w:pPr>
            <w:r w:rsidRPr="00626B9E">
              <w:rPr>
                <w:rFonts w:eastAsia="Times New Roman" w:cs="Arial"/>
                <w:sz w:val="18"/>
                <w:szCs w:val="18"/>
                <w:lang w:val="en-US"/>
              </w:rPr>
              <w:t>288</w:t>
            </w:r>
          </w:p>
        </w:tc>
        <w:tc>
          <w:tcPr>
            <w:tcW w:w="501" w:type="pct"/>
            <w:tcBorders>
              <w:top w:val="nil"/>
              <w:left w:val="nil"/>
              <w:bottom w:val="nil"/>
              <w:right w:val="nil"/>
            </w:tcBorders>
            <w:shd w:val="clear" w:color="auto" w:fill="auto"/>
            <w:vAlign w:val="bottom"/>
          </w:tcPr>
          <w:p w14:paraId="3400477B" w14:textId="1D367D97" w:rsidR="00132236" w:rsidRPr="006D7381" w:rsidRDefault="00132236" w:rsidP="00132236">
            <w:pPr>
              <w:spacing w:after="0" w:line="240" w:lineRule="exact"/>
              <w:jc w:val="right"/>
              <w:rPr>
                <w:rFonts w:cs="Arial"/>
                <w:bCs/>
                <w:sz w:val="18"/>
                <w:szCs w:val="18"/>
              </w:rPr>
            </w:pPr>
            <w:r w:rsidRPr="00B4620E">
              <w:rPr>
                <w:rFonts w:eastAsia="Times New Roman" w:cs="Arial"/>
                <w:sz w:val="18"/>
                <w:szCs w:val="18"/>
              </w:rPr>
              <w:t>-</w:t>
            </w:r>
          </w:p>
        </w:tc>
        <w:tc>
          <w:tcPr>
            <w:tcW w:w="501" w:type="pct"/>
            <w:tcBorders>
              <w:top w:val="nil"/>
              <w:left w:val="nil"/>
              <w:bottom w:val="nil"/>
              <w:right w:val="nil"/>
            </w:tcBorders>
            <w:shd w:val="clear" w:color="auto" w:fill="auto"/>
            <w:vAlign w:val="bottom"/>
          </w:tcPr>
          <w:p w14:paraId="09C2F82D" w14:textId="4E7CDC0D" w:rsidR="00132236" w:rsidRPr="006D7381" w:rsidRDefault="00132236" w:rsidP="00132236">
            <w:pPr>
              <w:spacing w:after="0" w:line="240" w:lineRule="exact"/>
              <w:jc w:val="right"/>
              <w:rPr>
                <w:rFonts w:cs="Arial"/>
                <w:bCs/>
                <w:sz w:val="18"/>
                <w:szCs w:val="18"/>
              </w:rPr>
            </w:pPr>
            <w:r w:rsidRPr="00B4620E">
              <w:rPr>
                <w:rFonts w:eastAsia="Times New Roman" w:cs="Arial"/>
                <w:sz w:val="18"/>
                <w:szCs w:val="18"/>
              </w:rPr>
              <w:t>-</w:t>
            </w:r>
          </w:p>
        </w:tc>
        <w:tc>
          <w:tcPr>
            <w:tcW w:w="501" w:type="pct"/>
            <w:tcBorders>
              <w:top w:val="nil"/>
              <w:left w:val="nil"/>
              <w:bottom w:val="nil"/>
              <w:right w:val="nil"/>
            </w:tcBorders>
            <w:shd w:val="clear" w:color="auto" w:fill="auto"/>
            <w:vAlign w:val="bottom"/>
          </w:tcPr>
          <w:p w14:paraId="17B79C8F" w14:textId="2712C287" w:rsidR="00132236" w:rsidRPr="006D7381" w:rsidRDefault="00132236" w:rsidP="00132236">
            <w:pPr>
              <w:spacing w:after="0" w:line="240" w:lineRule="exact"/>
              <w:jc w:val="right"/>
              <w:rPr>
                <w:rFonts w:cs="Arial"/>
                <w:bCs/>
                <w:sz w:val="18"/>
                <w:szCs w:val="18"/>
              </w:rPr>
            </w:pPr>
            <w:r w:rsidRPr="00B4620E">
              <w:rPr>
                <w:rFonts w:eastAsia="Times New Roman" w:cs="Arial"/>
                <w:sz w:val="18"/>
                <w:szCs w:val="18"/>
              </w:rPr>
              <w:t>-</w:t>
            </w:r>
          </w:p>
        </w:tc>
        <w:tc>
          <w:tcPr>
            <w:tcW w:w="499" w:type="pct"/>
            <w:tcBorders>
              <w:top w:val="nil"/>
              <w:left w:val="nil"/>
              <w:bottom w:val="nil"/>
              <w:right w:val="nil"/>
            </w:tcBorders>
            <w:shd w:val="clear" w:color="auto" w:fill="auto"/>
            <w:vAlign w:val="bottom"/>
          </w:tcPr>
          <w:p w14:paraId="79FDD4FD" w14:textId="15BD8CC9" w:rsidR="00132236" w:rsidRPr="006D7381" w:rsidRDefault="00132236" w:rsidP="00132236">
            <w:pPr>
              <w:spacing w:after="0" w:line="240" w:lineRule="exact"/>
              <w:jc w:val="right"/>
              <w:rPr>
                <w:rFonts w:cs="Arial"/>
                <w:bCs/>
                <w:sz w:val="18"/>
                <w:szCs w:val="18"/>
              </w:rPr>
            </w:pPr>
            <w:r w:rsidRPr="00B4620E">
              <w:rPr>
                <w:rFonts w:eastAsia="Times New Roman" w:cs="Arial"/>
                <w:sz w:val="18"/>
                <w:szCs w:val="18"/>
              </w:rPr>
              <w:t>-</w:t>
            </w:r>
          </w:p>
        </w:tc>
      </w:tr>
      <w:tr w:rsidR="00132236" w:rsidRPr="006D7381" w14:paraId="2C3A9888" w14:textId="77777777" w:rsidTr="006B318F">
        <w:trPr>
          <w:trHeight w:hRule="exact" w:val="329"/>
        </w:trPr>
        <w:tc>
          <w:tcPr>
            <w:tcW w:w="992" w:type="pct"/>
            <w:vAlign w:val="bottom"/>
          </w:tcPr>
          <w:p w14:paraId="65DF177C" w14:textId="77777777" w:rsidR="00132236" w:rsidRPr="00166751" w:rsidRDefault="00132236" w:rsidP="00132236">
            <w:pPr>
              <w:spacing w:after="0" w:line="240" w:lineRule="exact"/>
              <w:rPr>
                <w:rFonts w:cs="Arial"/>
                <w:bCs/>
                <w:sz w:val="17"/>
                <w:szCs w:val="17"/>
              </w:rPr>
            </w:pPr>
            <w:r w:rsidRPr="00166751">
              <w:rPr>
                <w:rFonts w:cs="Arial"/>
                <w:bCs/>
                <w:sz w:val="17"/>
                <w:szCs w:val="17"/>
              </w:rPr>
              <w:t>Assets available for sale</w:t>
            </w:r>
          </w:p>
        </w:tc>
        <w:tc>
          <w:tcPr>
            <w:tcW w:w="502" w:type="pct"/>
            <w:tcBorders>
              <w:top w:val="nil"/>
              <w:left w:val="nil"/>
              <w:bottom w:val="nil"/>
              <w:right w:val="nil"/>
            </w:tcBorders>
            <w:shd w:val="clear" w:color="auto" w:fill="auto"/>
            <w:vAlign w:val="bottom"/>
          </w:tcPr>
          <w:p w14:paraId="3A94EB14" w14:textId="5748578A" w:rsidR="00132236" w:rsidRPr="005444AA" w:rsidRDefault="00132236" w:rsidP="00132236">
            <w:pPr>
              <w:spacing w:after="0" w:line="240" w:lineRule="exact"/>
              <w:jc w:val="right"/>
              <w:rPr>
                <w:rFonts w:eastAsia="Times New Roman" w:cs="Arial"/>
                <w:sz w:val="18"/>
                <w:szCs w:val="18"/>
              </w:rPr>
            </w:pPr>
            <w:r w:rsidRPr="00626B9E">
              <w:rPr>
                <w:rFonts w:eastAsia="Times New Roman" w:cs="Arial"/>
                <w:sz w:val="18"/>
                <w:szCs w:val="18"/>
                <w:lang w:val="en-US"/>
              </w:rPr>
              <w:t>3</w:t>
            </w:r>
            <w:r>
              <w:rPr>
                <w:rFonts w:eastAsia="Times New Roman" w:cs="Arial"/>
                <w:sz w:val="18"/>
                <w:szCs w:val="18"/>
                <w:lang w:val="en-US"/>
              </w:rPr>
              <w:t>,</w:t>
            </w:r>
            <w:r w:rsidRPr="00626B9E">
              <w:rPr>
                <w:rFonts w:eastAsia="Times New Roman" w:cs="Arial"/>
                <w:sz w:val="18"/>
                <w:szCs w:val="18"/>
                <w:lang w:val="en-US"/>
              </w:rPr>
              <w:t>271</w:t>
            </w:r>
            <w:r>
              <w:rPr>
                <w:rFonts w:eastAsia="Times New Roman" w:cs="Arial"/>
                <w:sz w:val="18"/>
                <w:szCs w:val="18"/>
                <w:lang w:val="en-US"/>
              </w:rPr>
              <w:t>,</w:t>
            </w:r>
            <w:r w:rsidRPr="00626B9E">
              <w:rPr>
                <w:rFonts w:eastAsia="Times New Roman" w:cs="Arial"/>
                <w:sz w:val="18"/>
                <w:szCs w:val="18"/>
                <w:lang w:val="en-US"/>
              </w:rPr>
              <w:t>673</w:t>
            </w:r>
          </w:p>
        </w:tc>
        <w:tc>
          <w:tcPr>
            <w:tcW w:w="501" w:type="pct"/>
            <w:tcBorders>
              <w:top w:val="nil"/>
            </w:tcBorders>
            <w:shd w:val="clear" w:color="auto" w:fill="auto"/>
            <w:vAlign w:val="bottom"/>
          </w:tcPr>
          <w:p w14:paraId="7E0B41D8" w14:textId="4F110161" w:rsidR="00132236" w:rsidRPr="005444AA" w:rsidRDefault="00132236" w:rsidP="00132236">
            <w:pPr>
              <w:spacing w:after="0" w:line="240" w:lineRule="exact"/>
              <w:jc w:val="right"/>
              <w:rPr>
                <w:rFonts w:eastAsia="Times New Roman" w:cs="Arial"/>
                <w:sz w:val="18"/>
                <w:szCs w:val="18"/>
              </w:rPr>
            </w:pPr>
            <w:r w:rsidRPr="00166751">
              <w:rPr>
                <w:rFonts w:eastAsia="Times New Roman" w:cs="Arial"/>
                <w:sz w:val="18"/>
                <w:szCs w:val="18"/>
              </w:rPr>
              <w:t>-</w:t>
            </w:r>
          </w:p>
        </w:tc>
        <w:tc>
          <w:tcPr>
            <w:tcW w:w="501" w:type="pct"/>
            <w:tcBorders>
              <w:top w:val="nil"/>
            </w:tcBorders>
            <w:shd w:val="clear" w:color="auto" w:fill="auto"/>
            <w:vAlign w:val="bottom"/>
          </w:tcPr>
          <w:p w14:paraId="10E9E4AC" w14:textId="5A6ED056" w:rsidR="00132236" w:rsidRPr="005444AA" w:rsidRDefault="00132236" w:rsidP="00132236">
            <w:pPr>
              <w:spacing w:after="0" w:line="240" w:lineRule="exact"/>
              <w:jc w:val="right"/>
              <w:rPr>
                <w:rFonts w:eastAsia="Times New Roman" w:cs="Arial"/>
                <w:sz w:val="18"/>
                <w:szCs w:val="18"/>
              </w:rPr>
            </w:pPr>
            <w:r w:rsidRPr="00166751">
              <w:rPr>
                <w:rFonts w:eastAsia="Times New Roman" w:cs="Arial"/>
                <w:sz w:val="18"/>
                <w:szCs w:val="18"/>
              </w:rPr>
              <w:t>-</w:t>
            </w:r>
          </w:p>
        </w:tc>
        <w:tc>
          <w:tcPr>
            <w:tcW w:w="501" w:type="pct"/>
            <w:tcBorders>
              <w:top w:val="nil"/>
              <w:left w:val="nil"/>
              <w:bottom w:val="nil"/>
              <w:right w:val="nil"/>
            </w:tcBorders>
            <w:shd w:val="clear" w:color="auto" w:fill="auto"/>
            <w:vAlign w:val="bottom"/>
          </w:tcPr>
          <w:p w14:paraId="77F64EDB" w14:textId="1345E33F" w:rsidR="00132236" w:rsidRPr="005444AA" w:rsidRDefault="00132236" w:rsidP="00132236">
            <w:pPr>
              <w:spacing w:after="0" w:line="240" w:lineRule="exact"/>
              <w:jc w:val="right"/>
              <w:rPr>
                <w:rFonts w:eastAsia="Times New Roman" w:cs="Arial"/>
                <w:sz w:val="18"/>
                <w:szCs w:val="18"/>
              </w:rPr>
            </w:pPr>
            <w:r w:rsidRPr="00626B9E">
              <w:rPr>
                <w:rFonts w:eastAsia="Times New Roman" w:cs="Arial"/>
                <w:sz w:val="18"/>
                <w:szCs w:val="18"/>
                <w:lang w:val="en-US"/>
              </w:rPr>
              <w:t>3</w:t>
            </w:r>
            <w:r>
              <w:rPr>
                <w:rFonts w:eastAsia="Times New Roman" w:cs="Arial"/>
                <w:sz w:val="18"/>
                <w:szCs w:val="18"/>
                <w:lang w:val="en-US"/>
              </w:rPr>
              <w:t>,</w:t>
            </w:r>
            <w:r w:rsidRPr="00626B9E">
              <w:rPr>
                <w:rFonts w:eastAsia="Times New Roman" w:cs="Arial"/>
                <w:sz w:val="18"/>
                <w:szCs w:val="18"/>
                <w:lang w:val="en-US"/>
              </w:rPr>
              <w:t>271</w:t>
            </w:r>
            <w:r>
              <w:rPr>
                <w:rFonts w:eastAsia="Times New Roman" w:cs="Arial"/>
                <w:sz w:val="18"/>
                <w:szCs w:val="18"/>
                <w:lang w:val="en-US"/>
              </w:rPr>
              <w:t>,</w:t>
            </w:r>
            <w:r w:rsidRPr="00626B9E">
              <w:rPr>
                <w:rFonts w:eastAsia="Times New Roman" w:cs="Arial"/>
                <w:sz w:val="18"/>
                <w:szCs w:val="18"/>
                <w:lang w:val="en-US"/>
              </w:rPr>
              <w:t>673</w:t>
            </w:r>
          </w:p>
        </w:tc>
        <w:tc>
          <w:tcPr>
            <w:tcW w:w="501" w:type="pct"/>
            <w:tcBorders>
              <w:top w:val="nil"/>
              <w:left w:val="nil"/>
              <w:bottom w:val="nil"/>
              <w:right w:val="nil"/>
            </w:tcBorders>
            <w:shd w:val="clear" w:color="auto" w:fill="auto"/>
            <w:vAlign w:val="bottom"/>
          </w:tcPr>
          <w:p w14:paraId="3F3C267D" w14:textId="7B2B9990" w:rsidR="00132236" w:rsidRPr="006B318F" w:rsidRDefault="00132236" w:rsidP="00132236">
            <w:pPr>
              <w:spacing w:after="0" w:line="240" w:lineRule="exact"/>
              <w:jc w:val="right"/>
              <w:rPr>
                <w:rFonts w:eastAsia="Times New Roman" w:cs="Arial"/>
                <w:sz w:val="18"/>
                <w:szCs w:val="18"/>
                <w:lang w:val="en-US"/>
              </w:rPr>
            </w:pPr>
            <w:r w:rsidRPr="00626B9E">
              <w:rPr>
                <w:rFonts w:eastAsia="Times New Roman" w:cs="Arial"/>
                <w:sz w:val="18"/>
                <w:szCs w:val="18"/>
                <w:lang w:val="en-US"/>
              </w:rPr>
              <w:t>2</w:t>
            </w:r>
            <w:r>
              <w:rPr>
                <w:rFonts w:eastAsia="Times New Roman" w:cs="Arial"/>
                <w:sz w:val="18"/>
                <w:szCs w:val="18"/>
                <w:lang w:val="en-US"/>
              </w:rPr>
              <w:t>,</w:t>
            </w:r>
            <w:r w:rsidRPr="00626B9E">
              <w:rPr>
                <w:rFonts w:eastAsia="Times New Roman" w:cs="Arial"/>
                <w:sz w:val="18"/>
                <w:szCs w:val="18"/>
                <w:lang w:val="en-US"/>
              </w:rPr>
              <w:t>457</w:t>
            </w:r>
            <w:r>
              <w:rPr>
                <w:rFonts w:eastAsia="Times New Roman" w:cs="Arial"/>
                <w:sz w:val="18"/>
                <w:szCs w:val="18"/>
                <w:lang w:val="en-US"/>
              </w:rPr>
              <w:t>,</w:t>
            </w:r>
            <w:r w:rsidRPr="00626B9E">
              <w:rPr>
                <w:rFonts w:eastAsia="Times New Roman" w:cs="Arial"/>
                <w:sz w:val="18"/>
                <w:szCs w:val="18"/>
                <w:lang w:val="en-US"/>
              </w:rPr>
              <w:t>169</w:t>
            </w:r>
          </w:p>
        </w:tc>
        <w:tc>
          <w:tcPr>
            <w:tcW w:w="501" w:type="pct"/>
            <w:tcBorders>
              <w:top w:val="nil"/>
              <w:left w:val="nil"/>
              <w:bottom w:val="nil"/>
              <w:right w:val="nil"/>
            </w:tcBorders>
            <w:shd w:val="clear" w:color="auto" w:fill="auto"/>
            <w:vAlign w:val="bottom"/>
          </w:tcPr>
          <w:p w14:paraId="019D57DD" w14:textId="07D91061" w:rsidR="00132236" w:rsidRPr="006D7381" w:rsidRDefault="00146F95" w:rsidP="00132236">
            <w:pPr>
              <w:spacing w:after="0" w:line="240" w:lineRule="exact"/>
              <w:jc w:val="right"/>
              <w:rPr>
                <w:rFonts w:cs="Arial"/>
                <w:bCs/>
                <w:sz w:val="18"/>
                <w:szCs w:val="18"/>
              </w:rPr>
            </w:pPr>
            <w:r>
              <w:rPr>
                <w:rFonts w:cs="Arial"/>
                <w:bCs/>
                <w:sz w:val="18"/>
                <w:szCs w:val="18"/>
              </w:rPr>
              <w:t>-</w:t>
            </w:r>
          </w:p>
        </w:tc>
        <w:tc>
          <w:tcPr>
            <w:tcW w:w="501" w:type="pct"/>
            <w:tcBorders>
              <w:top w:val="nil"/>
              <w:left w:val="nil"/>
              <w:bottom w:val="nil"/>
              <w:right w:val="nil"/>
            </w:tcBorders>
            <w:shd w:val="clear" w:color="auto" w:fill="auto"/>
            <w:vAlign w:val="bottom"/>
          </w:tcPr>
          <w:p w14:paraId="0C407395" w14:textId="5DF3AFEA" w:rsidR="00132236" w:rsidRPr="006D7381" w:rsidRDefault="00266178" w:rsidP="00132236">
            <w:pPr>
              <w:spacing w:after="0" w:line="240" w:lineRule="exact"/>
              <w:jc w:val="right"/>
              <w:rPr>
                <w:rFonts w:cs="Arial"/>
                <w:bCs/>
                <w:sz w:val="18"/>
                <w:szCs w:val="18"/>
              </w:rPr>
            </w:pPr>
            <w:r>
              <w:rPr>
                <w:rFonts w:cs="Arial"/>
                <w:bCs/>
                <w:sz w:val="18"/>
                <w:szCs w:val="18"/>
              </w:rPr>
              <w:t>-</w:t>
            </w:r>
          </w:p>
        </w:tc>
        <w:tc>
          <w:tcPr>
            <w:tcW w:w="499" w:type="pct"/>
            <w:tcBorders>
              <w:top w:val="nil"/>
              <w:left w:val="nil"/>
              <w:bottom w:val="nil"/>
              <w:right w:val="nil"/>
            </w:tcBorders>
            <w:shd w:val="clear" w:color="auto" w:fill="auto"/>
            <w:vAlign w:val="bottom"/>
          </w:tcPr>
          <w:p w14:paraId="1F9EDABF" w14:textId="5E0B70C0" w:rsidR="00132236" w:rsidRPr="006D7381" w:rsidRDefault="00266178" w:rsidP="00132236">
            <w:pPr>
              <w:spacing w:after="0" w:line="240" w:lineRule="exact"/>
              <w:jc w:val="right"/>
              <w:rPr>
                <w:rFonts w:cs="Arial"/>
                <w:bCs/>
                <w:sz w:val="18"/>
                <w:szCs w:val="18"/>
              </w:rPr>
            </w:pPr>
            <w:r w:rsidRPr="00266178">
              <w:rPr>
                <w:rFonts w:eastAsia="Times New Roman" w:cs="Arial"/>
                <w:sz w:val="18"/>
                <w:szCs w:val="18"/>
              </w:rPr>
              <w:t>2,457,169</w:t>
            </w:r>
          </w:p>
        </w:tc>
      </w:tr>
      <w:tr w:rsidR="00266178" w:rsidRPr="006D7381" w14:paraId="7FFEC11C" w14:textId="77777777" w:rsidTr="006B318F">
        <w:trPr>
          <w:trHeight w:hRule="exact" w:val="329"/>
        </w:trPr>
        <w:tc>
          <w:tcPr>
            <w:tcW w:w="992" w:type="pct"/>
            <w:vAlign w:val="bottom"/>
          </w:tcPr>
          <w:p w14:paraId="5EFA7202" w14:textId="77777777" w:rsidR="00266178" w:rsidRPr="00166751" w:rsidRDefault="00266178" w:rsidP="00266178">
            <w:pPr>
              <w:spacing w:after="0" w:line="240" w:lineRule="exact"/>
              <w:rPr>
                <w:rFonts w:cs="Arial"/>
                <w:bCs/>
                <w:sz w:val="17"/>
                <w:szCs w:val="17"/>
              </w:rPr>
            </w:pPr>
            <w:r w:rsidRPr="00166751">
              <w:rPr>
                <w:rFonts w:cs="Arial"/>
                <w:bCs/>
                <w:sz w:val="17"/>
                <w:szCs w:val="17"/>
              </w:rPr>
              <w:t>Assets held to maturity</w:t>
            </w:r>
          </w:p>
        </w:tc>
        <w:tc>
          <w:tcPr>
            <w:tcW w:w="502" w:type="pct"/>
            <w:tcBorders>
              <w:top w:val="nil"/>
              <w:left w:val="nil"/>
              <w:bottom w:val="nil"/>
              <w:right w:val="nil"/>
            </w:tcBorders>
            <w:shd w:val="clear" w:color="auto" w:fill="auto"/>
            <w:vAlign w:val="bottom"/>
          </w:tcPr>
          <w:p w14:paraId="48F49BB1" w14:textId="2356E73A" w:rsidR="00266178" w:rsidRPr="005444AA" w:rsidRDefault="00266178" w:rsidP="00266178">
            <w:pPr>
              <w:spacing w:after="0" w:line="240" w:lineRule="exact"/>
              <w:jc w:val="right"/>
              <w:rPr>
                <w:rFonts w:eastAsia="Times New Roman" w:cs="Arial"/>
                <w:sz w:val="18"/>
                <w:szCs w:val="18"/>
              </w:rPr>
            </w:pPr>
            <w:r w:rsidRPr="00626B9E">
              <w:rPr>
                <w:rFonts w:eastAsia="Times New Roman" w:cs="Arial"/>
                <w:sz w:val="18"/>
                <w:szCs w:val="18"/>
                <w:lang w:val="en-US"/>
              </w:rPr>
              <w:t>1</w:t>
            </w:r>
            <w:r>
              <w:rPr>
                <w:rFonts w:eastAsia="Times New Roman" w:cs="Arial"/>
                <w:sz w:val="18"/>
                <w:szCs w:val="18"/>
                <w:lang w:val="en-US"/>
              </w:rPr>
              <w:t>,</w:t>
            </w:r>
            <w:r w:rsidRPr="00626B9E">
              <w:rPr>
                <w:rFonts w:eastAsia="Times New Roman" w:cs="Arial"/>
                <w:sz w:val="18"/>
                <w:szCs w:val="18"/>
                <w:lang w:val="en-US"/>
              </w:rPr>
              <w:t>404</w:t>
            </w:r>
          </w:p>
        </w:tc>
        <w:tc>
          <w:tcPr>
            <w:tcW w:w="501" w:type="pct"/>
            <w:tcBorders>
              <w:top w:val="nil"/>
            </w:tcBorders>
            <w:shd w:val="clear" w:color="auto" w:fill="auto"/>
            <w:vAlign w:val="bottom"/>
          </w:tcPr>
          <w:p w14:paraId="6B05B91A" w14:textId="5095AF82" w:rsidR="00266178" w:rsidRPr="005444AA" w:rsidRDefault="00266178" w:rsidP="00266178">
            <w:pPr>
              <w:spacing w:after="0" w:line="240" w:lineRule="exact"/>
              <w:jc w:val="right"/>
              <w:rPr>
                <w:rFonts w:eastAsia="Times New Roman" w:cs="Arial"/>
                <w:sz w:val="18"/>
                <w:szCs w:val="18"/>
              </w:rPr>
            </w:pPr>
            <w:r w:rsidRPr="00166751">
              <w:rPr>
                <w:rFonts w:eastAsia="Times New Roman" w:cs="Arial"/>
                <w:sz w:val="18"/>
                <w:szCs w:val="18"/>
              </w:rPr>
              <w:t>-</w:t>
            </w:r>
          </w:p>
        </w:tc>
        <w:tc>
          <w:tcPr>
            <w:tcW w:w="501" w:type="pct"/>
            <w:tcBorders>
              <w:top w:val="nil"/>
            </w:tcBorders>
            <w:shd w:val="clear" w:color="auto" w:fill="auto"/>
            <w:vAlign w:val="bottom"/>
          </w:tcPr>
          <w:p w14:paraId="559B188C" w14:textId="197AFAE0" w:rsidR="00266178" w:rsidRPr="005444AA" w:rsidRDefault="00266178" w:rsidP="00266178">
            <w:pPr>
              <w:spacing w:after="0" w:line="240" w:lineRule="exact"/>
              <w:jc w:val="right"/>
              <w:rPr>
                <w:rFonts w:eastAsia="Times New Roman" w:cs="Arial"/>
                <w:sz w:val="18"/>
                <w:szCs w:val="18"/>
              </w:rPr>
            </w:pPr>
            <w:r w:rsidRPr="00166751">
              <w:rPr>
                <w:rFonts w:eastAsia="Times New Roman" w:cs="Arial"/>
                <w:sz w:val="18"/>
                <w:szCs w:val="18"/>
              </w:rPr>
              <w:t>-</w:t>
            </w:r>
          </w:p>
        </w:tc>
        <w:tc>
          <w:tcPr>
            <w:tcW w:w="501" w:type="pct"/>
            <w:tcBorders>
              <w:top w:val="nil"/>
              <w:left w:val="nil"/>
              <w:bottom w:val="nil"/>
              <w:right w:val="nil"/>
            </w:tcBorders>
            <w:shd w:val="clear" w:color="auto" w:fill="auto"/>
            <w:vAlign w:val="bottom"/>
          </w:tcPr>
          <w:p w14:paraId="3A09A7AC" w14:textId="7DCEF888" w:rsidR="00266178" w:rsidRPr="005444AA" w:rsidRDefault="00266178" w:rsidP="00266178">
            <w:pPr>
              <w:spacing w:after="0" w:line="240" w:lineRule="exact"/>
              <w:jc w:val="right"/>
              <w:rPr>
                <w:rFonts w:eastAsia="Times New Roman" w:cs="Arial"/>
                <w:sz w:val="18"/>
                <w:szCs w:val="18"/>
              </w:rPr>
            </w:pPr>
            <w:r w:rsidRPr="00626B9E">
              <w:rPr>
                <w:rFonts w:eastAsia="Times New Roman" w:cs="Arial"/>
                <w:sz w:val="18"/>
                <w:szCs w:val="18"/>
                <w:lang w:val="en-US"/>
              </w:rPr>
              <w:t>1</w:t>
            </w:r>
            <w:r>
              <w:rPr>
                <w:rFonts w:eastAsia="Times New Roman" w:cs="Arial"/>
                <w:sz w:val="18"/>
                <w:szCs w:val="18"/>
                <w:lang w:val="en-US"/>
              </w:rPr>
              <w:t>,</w:t>
            </w:r>
            <w:r w:rsidRPr="00626B9E">
              <w:rPr>
                <w:rFonts w:eastAsia="Times New Roman" w:cs="Arial"/>
                <w:sz w:val="18"/>
                <w:szCs w:val="18"/>
                <w:lang w:val="en-US"/>
              </w:rPr>
              <w:t>404</w:t>
            </w:r>
          </w:p>
        </w:tc>
        <w:tc>
          <w:tcPr>
            <w:tcW w:w="501" w:type="pct"/>
            <w:tcBorders>
              <w:top w:val="nil"/>
              <w:left w:val="nil"/>
              <w:bottom w:val="nil"/>
              <w:right w:val="nil"/>
            </w:tcBorders>
            <w:shd w:val="clear" w:color="auto" w:fill="auto"/>
            <w:vAlign w:val="bottom"/>
          </w:tcPr>
          <w:p w14:paraId="1F725225" w14:textId="08216E39" w:rsidR="00266178" w:rsidRPr="006B318F" w:rsidRDefault="00266178" w:rsidP="00266178">
            <w:pPr>
              <w:spacing w:after="0" w:line="240" w:lineRule="exact"/>
              <w:jc w:val="right"/>
              <w:rPr>
                <w:rFonts w:eastAsia="Times New Roman" w:cs="Arial"/>
                <w:sz w:val="18"/>
                <w:szCs w:val="18"/>
                <w:lang w:val="en-US"/>
              </w:rPr>
            </w:pPr>
            <w:r w:rsidRPr="00626B9E">
              <w:rPr>
                <w:rFonts w:eastAsia="Times New Roman" w:cs="Arial"/>
                <w:sz w:val="18"/>
                <w:szCs w:val="18"/>
                <w:lang w:val="en-US"/>
              </w:rPr>
              <w:t>1</w:t>
            </w:r>
            <w:r>
              <w:rPr>
                <w:rFonts w:eastAsia="Times New Roman" w:cs="Arial"/>
                <w:sz w:val="18"/>
                <w:szCs w:val="18"/>
                <w:lang w:val="en-US"/>
              </w:rPr>
              <w:t>,</w:t>
            </w:r>
            <w:r w:rsidRPr="00626B9E">
              <w:rPr>
                <w:rFonts w:eastAsia="Times New Roman" w:cs="Arial"/>
                <w:sz w:val="18"/>
                <w:szCs w:val="18"/>
                <w:lang w:val="en-US"/>
              </w:rPr>
              <w:t>404</w:t>
            </w:r>
          </w:p>
        </w:tc>
        <w:tc>
          <w:tcPr>
            <w:tcW w:w="501" w:type="pct"/>
            <w:tcBorders>
              <w:top w:val="nil"/>
              <w:left w:val="nil"/>
              <w:bottom w:val="nil"/>
              <w:right w:val="nil"/>
            </w:tcBorders>
            <w:shd w:val="clear" w:color="auto" w:fill="auto"/>
            <w:vAlign w:val="bottom"/>
          </w:tcPr>
          <w:p w14:paraId="7FC6150D" w14:textId="28B6AED4" w:rsidR="00266178" w:rsidRPr="006D7381" w:rsidRDefault="00266178" w:rsidP="00266178">
            <w:pPr>
              <w:spacing w:after="0" w:line="240" w:lineRule="exact"/>
              <w:jc w:val="right"/>
              <w:rPr>
                <w:rFonts w:cs="Arial"/>
                <w:bCs/>
                <w:sz w:val="18"/>
                <w:szCs w:val="18"/>
              </w:rPr>
            </w:pPr>
            <w:r w:rsidRPr="00B4620E">
              <w:rPr>
                <w:rFonts w:eastAsia="Times New Roman" w:cs="Arial"/>
                <w:sz w:val="18"/>
                <w:szCs w:val="18"/>
              </w:rPr>
              <w:t>-</w:t>
            </w:r>
          </w:p>
        </w:tc>
        <w:tc>
          <w:tcPr>
            <w:tcW w:w="501" w:type="pct"/>
            <w:tcBorders>
              <w:top w:val="nil"/>
              <w:left w:val="nil"/>
              <w:bottom w:val="nil"/>
              <w:right w:val="nil"/>
            </w:tcBorders>
            <w:shd w:val="clear" w:color="auto" w:fill="auto"/>
            <w:vAlign w:val="bottom"/>
          </w:tcPr>
          <w:p w14:paraId="6D229C17" w14:textId="035DC533" w:rsidR="00266178" w:rsidRPr="006D7381" w:rsidRDefault="00266178" w:rsidP="00266178">
            <w:pPr>
              <w:spacing w:after="0" w:line="240" w:lineRule="exact"/>
              <w:jc w:val="right"/>
              <w:rPr>
                <w:rFonts w:cs="Arial"/>
                <w:bCs/>
                <w:sz w:val="18"/>
                <w:szCs w:val="18"/>
              </w:rPr>
            </w:pPr>
            <w:r w:rsidRPr="00B4620E">
              <w:rPr>
                <w:rFonts w:eastAsia="Times New Roman" w:cs="Arial"/>
                <w:sz w:val="18"/>
                <w:szCs w:val="18"/>
              </w:rPr>
              <w:t>-</w:t>
            </w:r>
          </w:p>
        </w:tc>
        <w:tc>
          <w:tcPr>
            <w:tcW w:w="499" w:type="pct"/>
            <w:tcBorders>
              <w:top w:val="nil"/>
              <w:left w:val="nil"/>
              <w:bottom w:val="nil"/>
              <w:right w:val="nil"/>
            </w:tcBorders>
            <w:shd w:val="clear" w:color="auto" w:fill="auto"/>
            <w:vAlign w:val="bottom"/>
          </w:tcPr>
          <w:p w14:paraId="63CB0EAC" w14:textId="2A6146B8" w:rsidR="00266178" w:rsidRPr="006D7381" w:rsidRDefault="00266178" w:rsidP="00266178">
            <w:pPr>
              <w:spacing w:after="0" w:line="240" w:lineRule="exact"/>
              <w:jc w:val="right"/>
              <w:rPr>
                <w:rFonts w:cs="Arial"/>
                <w:bCs/>
                <w:sz w:val="18"/>
                <w:szCs w:val="18"/>
              </w:rPr>
            </w:pPr>
            <w:r w:rsidRPr="00626B9E">
              <w:rPr>
                <w:rFonts w:eastAsia="Times New Roman" w:cs="Arial"/>
                <w:sz w:val="18"/>
                <w:szCs w:val="18"/>
                <w:lang w:val="en-US"/>
              </w:rPr>
              <w:t>1</w:t>
            </w:r>
            <w:r>
              <w:rPr>
                <w:rFonts w:eastAsia="Times New Roman" w:cs="Arial"/>
                <w:sz w:val="18"/>
                <w:szCs w:val="18"/>
                <w:lang w:val="en-US"/>
              </w:rPr>
              <w:t>,</w:t>
            </w:r>
            <w:r w:rsidRPr="00626B9E">
              <w:rPr>
                <w:rFonts w:eastAsia="Times New Roman" w:cs="Arial"/>
                <w:sz w:val="18"/>
                <w:szCs w:val="18"/>
                <w:lang w:val="en-US"/>
              </w:rPr>
              <w:t>404</w:t>
            </w:r>
          </w:p>
        </w:tc>
      </w:tr>
      <w:tr w:rsidR="00266178" w:rsidRPr="006D7381" w14:paraId="48C13CA7" w14:textId="77777777" w:rsidTr="006B318F">
        <w:trPr>
          <w:trHeight w:hRule="exact" w:val="329"/>
        </w:trPr>
        <w:tc>
          <w:tcPr>
            <w:tcW w:w="992" w:type="pct"/>
            <w:vAlign w:val="bottom"/>
          </w:tcPr>
          <w:p w14:paraId="6B434D33" w14:textId="77777777" w:rsidR="00266178" w:rsidRPr="00166751" w:rsidRDefault="00266178" w:rsidP="00266178">
            <w:pPr>
              <w:spacing w:after="0" w:line="240" w:lineRule="exact"/>
              <w:rPr>
                <w:rFonts w:cs="Arial"/>
                <w:bCs/>
                <w:sz w:val="17"/>
                <w:szCs w:val="17"/>
              </w:rPr>
            </w:pPr>
            <w:r w:rsidRPr="00166751">
              <w:rPr>
                <w:rFonts w:cs="Arial"/>
                <w:bCs/>
                <w:sz w:val="17"/>
                <w:szCs w:val="17"/>
              </w:rPr>
              <w:t>Other assets</w:t>
            </w:r>
          </w:p>
        </w:tc>
        <w:tc>
          <w:tcPr>
            <w:tcW w:w="502" w:type="pct"/>
            <w:tcBorders>
              <w:top w:val="nil"/>
              <w:left w:val="nil"/>
              <w:bottom w:val="single" w:sz="8" w:space="0" w:color="auto"/>
              <w:right w:val="nil"/>
            </w:tcBorders>
            <w:shd w:val="clear" w:color="auto" w:fill="auto"/>
            <w:vAlign w:val="bottom"/>
          </w:tcPr>
          <w:p w14:paraId="0FF58B73" w14:textId="5C06D3FC" w:rsidR="00266178" w:rsidRPr="005444AA" w:rsidRDefault="00266178" w:rsidP="00266178">
            <w:pPr>
              <w:spacing w:after="0" w:line="240" w:lineRule="exact"/>
              <w:jc w:val="right"/>
              <w:rPr>
                <w:rFonts w:eastAsia="Times New Roman" w:cs="Arial"/>
                <w:sz w:val="18"/>
                <w:szCs w:val="18"/>
              </w:rPr>
            </w:pPr>
            <w:r w:rsidRPr="00626B9E">
              <w:rPr>
                <w:rFonts w:eastAsia="Times New Roman" w:cs="Arial"/>
                <w:sz w:val="18"/>
                <w:szCs w:val="18"/>
                <w:lang w:val="en-US"/>
              </w:rPr>
              <w:t>4</w:t>
            </w:r>
            <w:r>
              <w:rPr>
                <w:rFonts w:eastAsia="Times New Roman" w:cs="Arial"/>
                <w:sz w:val="18"/>
                <w:szCs w:val="18"/>
                <w:lang w:val="en-US"/>
              </w:rPr>
              <w:t>,</w:t>
            </w:r>
            <w:r w:rsidRPr="00626B9E">
              <w:rPr>
                <w:rFonts w:eastAsia="Times New Roman" w:cs="Arial"/>
                <w:sz w:val="18"/>
                <w:szCs w:val="18"/>
                <w:lang w:val="en-US"/>
              </w:rPr>
              <w:t>744</w:t>
            </w:r>
          </w:p>
        </w:tc>
        <w:tc>
          <w:tcPr>
            <w:tcW w:w="501" w:type="pct"/>
            <w:tcBorders>
              <w:top w:val="nil"/>
              <w:left w:val="nil"/>
              <w:bottom w:val="single" w:sz="8" w:space="0" w:color="auto"/>
              <w:right w:val="nil"/>
            </w:tcBorders>
            <w:shd w:val="clear" w:color="auto" w:fill="auto"/>
            <w:vAlign w:val="bottom"/>
          </w:tcPr>
          <w:p w14:paraId="59F3803C" w14:textId="02872397" w:rsidR="00266178" w:rsidRPr="005444AA" w:rsidRDefault="00266178" w:rsidP="00266178">
            <w:pPr>
              <w:spacing w:after="0" w:line="240" w:lineRule="exact"/>
              <w:jc w:val="right"/>
              <w:rPr>
                <w:rFonts w:eastAsia="Times New Roman" w:cs="Arial"/>
                <w:sz w:val="18"/>
                <w:szCs w:val="18"/>
              </w:rPr>
            </w:pPr>
            <w:r w:rsidRPr="00132236">
              <w:rPr>
                <w:rFonts w:eastAsia="Times New Roman" w:cs="Arial"/>
                <w:sz w:val="18"/>
                <w:szCs w:val="18"/>
              </w:rPr>
              <w:t>1,365</w:t>
            </w:r>
          </w:p>
        </w:tc>
        <w:tc>
          <w:tcPr>
            <w:tcW w:w="501" w:type="pct"/>
            <w:tcBorders>
              <w:top w:val="nil"/>
              <w:left w:val="nil"/>
              <w:bottom w:val="single" w:sz="8" w:space="0" w:color="auto"/>
              <w:right w:val="nil"/>
            </w:tcBorders>
            <w:shd w:val="clear" w:color="auto" w:fill="auto"/>
            <w:vAlign w:val="bottom"/>
          </w:tcPr>
          <w:p w14:paraId="6D8B663F" w14:textId="48235E5F" w:rsidR="00266178" w:rsidRPr="005444AA" w:rsidRDefault="00266178" w:rsidP="00266178">
            <w:pPr>
              <w:spacing w:after="0" w:line="240" w:lineRule="exact"/>
              <w:jc w:val="right"/>
              <w:rPr>
                <w:rFonts w:eastAsia="Times New Roman" w:cs="Arial"/>
                <w:sz w:val="18"/>
                <w:szCs w:val="18"/>
              </w:rPr>
            </w:pPr>
            <w:r w:rsidRPr="000C4E32">
              <w:rPr>
                <w:rFonts w:eastAsia="Times New Roman" w:cs="Arial"/>
                <w:sz w:val="18"/>
                <w:szCs w:val="18"/>
              </w:rPr>
              <w:t>-</w:t>
            </w:r>
          </w:p>
        </w:tc>
        <w:tc>
          <w:tcPr>
            <w:tcW w:w="501" w:type="pct"/>
            <w:tcBorders>
              <w:top w:val="nil"/>
              <w:left w:val="nil"/>
              <w:bottom w:val="single" w:sz="8" w:space="0" w:color="auto"/>
              <w:right w:val="nil"/>
            </w:tcBorders>
            <w:shd w:val="clear" w:color="auto" w:fill="auto"/>
            <w:vAlign w:val="bottom"/>
          </w:tcPr>
          <w:p w14:paraId="17DE60AC" w14:textId="5507FB7D" w:rsidR="00266178" w:rsidRPr="005444AA" w:rsidRDefault="00266178" w:rsidP="00266178">
            <w:pPr>
              <w:spacing w:after="0" w:line="240" w:lineRule="exact"/>
              <w:jc w:val="right"/>
              <w:rPr>
                <w:rFonts w:eastAsia="Times New Roman" w:cs="Arial"/>
                <w:sz w:val="18"/>
                <w:szCs w:val="18"/>
              </w:rPr>
            </w:pPr>
            <w:r w:rsidRPr="00626B9E">
              <w:rPr>
                <w:rFonts w:eastAsia="Times New Roman" w:cs="Arial"/>
                <w:sz w:val="18"/>
                <w:szCs w:val="18"/>
                <w:lang w:val="en-US"/>
              </w:rPr>
              <w:t>6</w:t>
            </w:r>
            <w:r>
              <w:rPr>
                <w:rFonts w:eastAsia="Times New Roman" w:cs="Arial"/>
                <w:sz w:val="18"/>
                <w:szCs w:val="18"/>
                <w:lang w:val="en-US"/>
              </w:rPr>
              <w:t>,</w:t>
            </w:r>
            <w:r w:rsidRPr="00626B9E">
              <w:rPr>
                <w:rFonts w:eastAsia="Times New Roman" w:cs="Arial"/>
                <w:sz w:val="18"/>
                <w:szCs w:val="18"/>
                <w:lang w:val="en-US"/>
              </w:rPr>
              <w:t>109</w:t>
            </w:r>
          </w:p>
        </w:tc>
        <w:tc>
          <w:tcPr>
            <w:tcW w:w="501" w:type="pct"/>
            <w:tcBorders>
              <w:top w:val="nil"/>
              <w:left w:val="nil"/>
              <w:bottom w:val="single" w:sz="8" w:space="0" w:color="auto"/>
              <w:right w:val="nil"/>
            </w:tcBorders>
            <w:shd w:val="clear" w:color="auto" w:fill="auto"/>
            <w:vAlign w:val="bottom"/>
          </w:tcPr>
          <w:p w14:paraId="492F5B9C" w14:textId="2E47D2F0" w:rsidR="00266178" w:rsidRPr="006B318F" w:rsidRDefault="00266178" w:rsidP="00266178">
            <w:pPr>
              <w:spacing w:after="0" w:line="240" w:lineRule="exact"/>
              <w:jc w:val="right"/>
              <w:rPr>
                <w:rFonts w:eastAsia="Times New Roman" w:cs="Arial"/>
                <w:sz w:val="18"/>
                <w:szCs w:val="18"/>
                <w:lang w:val="en-US"/>
              </w:rPr>
            </w:pPr>
            <w:r w:rsidRPr="00626B9E">
              <w:rPr>
                <w:rFonts w:eastAsia="Times New Roman" w:cs="Arial"/>
                <w:sz w:val="18"/>
                <w:szCs w:val="18"/>
                <w:lang w:val="en-US"/>
              </w:rPr>
              <w:t>4</w:t>
            </w:r>
            <w:r>
              <w:rPr>
                <w:rFonts w:eastAsia="Times New Roman" w:cs="Arial"/>
                <w:sz w:val="18"/>
                <w:szCs w:val="18"/>
                <w:lang w:val="en-US"/>
              </w:rPr>
              <w:t>,</w:t>
            </w:r>
            <w:r w:rsidRPr="00626B9E">
              <w:rPr>
                <w:rFonts w:eastAsia="Times New Roman" w:cs="Arial"/>
                <w:sz w:val="18"/>
                <w:szCs w:val="18"/>
                <w:lang w:val="en-US"/>
              </w:rPr>
              <w:t>000</w:t>
            </w:r>
          </w:p>
        </w:tc>
        <w:tc>
          <w:tcPr>
            <w:tcW w:w="501" w:type="pct"/>
            <w:tcBorders>
              <w:top w:val="nil"/>
              <w:left w:val="nil"/>
              <w:bottom w:val="single" w:sz="8" w:space="0" w:color="auto"/>
              <w:right w:val="nil"/>
            </w:tcBorders>
            <w:shd w:val="clear" w:color="auto" w:fill="auto"/>
            <w:vAlign w:val="bottom"/>
          </w:tcPr>
          <w:p w14:paraId="38DA4132" w14:textId="16137898" w:rsidR="00266178" w:rsidRPr="006D7381" w:rsidRDefault="00266178" w:rsidP="00266178">
            <w:pPr>
              <w:spacing w:after="0" w:line="240" w:lineRule="exact"/>
              <w:jc w:val="right"/>
              <w:rPr>
                <w:rFonts w:cs="Arial"/>
                <w:bCs/>
                <w:sz w:val="18"/>
                <w:szCs w:val="18"/>
              </w:rPr>
            </w:pPr>
            <w:r w:rsidRPr="00266178">
              <w:rPr>
                <w:rFonts w:eastAsia="Times New Roman" w:cs="Arial"/>
                <w:sz w:val="18"/>
                <w:szCs w:val="18"/>
              </w:rPr>
              <w:t>1,365</w:t>
            </w:r>
          </w:p>
        </w:tc>
        <w:tc>
          <w:tcPr>
            <w:tcW w:w="501" w:type="pct"/>
            <w:tcBorders>
              <w:top w:val="nil"/>
              <w:left w:val="nil"/>
              <w:bottom w:val="single" w:sz="8" w:space="0" w:color="auto"/>
              <w:right w:val="nil"/>
            </w:tcBorders>
            <w:shd w:val="clear" w:color="auto" w:fill="auto"/>
            <w:vAlign w:val="bottom"/>
          </w:tcPr>
          <w:p w14:paraId="2803E69E" w14:textId="58F1CE68" w:rsidR="00266178" w:rsidRPr="006D7381" w:rsidRDefault="00266178" w:rsidP="00266178">
            <w:pPr>
              <w:spacing w:after="0" w:line="240" w:lineRule="exact"/>
              <w:jc w:val="right"/>
              <w:rPr>
                <w:rFonts w:cs="Arial"/>
                <w:bCs/>
                <w:sz w:val="18"/>
                <w:szCs w:val="18"/>
              </w:rPr>
            </w:pPr>
            <w:r w:rsidRPr="000C4E32">
              <w:rPr>
                <w:rFonts w:eastAsia="Times New Roman" w:cs="Arial"/>
                <w:sz w:val="18"/>
                <w:szCs w:val="18"/>
              </w:rPr>
              <w:t>-</w:t>
            </w:r>
          </w:p>
        </w:tc>
        <w:tc>
          <w:tcPr>
            <w:tcW w:w="499" w:type="pct"/>
            <w:tcBorders>
              <w:top w:val="nil"/>
              <w:left w:val="nil"/>
              <w:bottom w:val="single" w:sz="8" w:space="0" w:color="auto"/>
              <w:right w:val="nil"/>
            </w:tcBorders>
            <w:shd w:val="clear" w:color="auto" w:fill="auto"/>
            <w:vAlign w:val="bottom"/>
          </w:tcPr>
          <w:p w14:paraId="38B311DE" w14:textId="316C50C5" w:rsidR="00266178" w:rsidRPr="006D7381" w:rsidRDefault="00266178" w:rsidP="00266178">
            <w:pPr>
              <w:spacing w:after="0" w:line="240" w:lineRule="exact"/>
              <w:jc w:val="right"/>
              <w:rPr>
                <w:rFonts w:cs="Arial"/>
                <w:bCs/>
                <w:sz w:val="18"/>
                <w:szCs w:val="18"/>
              </w:rPr>
            </w:pPr>
            <w:r w:rsidRPr="00626B9E">
              <w:rPr>
                <w:rFonts w:eastAsia="Times New Roman" w:cs="Arial"/>
                <w:sz w:val="18"/>
                <w:szCs w:val="18"/>
                <w:lang w:val="en-US"/>
              </w:rPr>
              <w:t>5</w:t>
            </w:r>
            <w:r>
              <w:rPr>
                <w:rFonts w:eastAsia="Times New Roman" w:cs="Arial"/>
                <w:sz w:val="18"/>
                <w:szCs w:val="18"/>
                <w:lang w:val="en-US"/>
              </w:rPr>
              <w:t>,</w:t>
            </w:r>
            <w:r w:rsidRPr="00626B9E">
              <w:rPr>
                <w:rFonts w:eastAsia="Times New Roman" w:cs="Arial"/>
                <w:sz w:val="18"/>
                <w:szCs w:val="18"/>
                <w:lang w:val="en-US"/>
              </w:rPr>
              <w:t>365</w:t>
            </w:r>
          </w:p>
        </w:tc>
      </w:tr>
      <w:tr w:rsidR="00B63F57" w:rsidRPr="006D7381" w14:paraId="66A0E4AB" w14:textId="77777777" w:rsidTr="005444AA">
        <w:trPr>
          <w:trHeight w:val="69"/>
        </w:trPr>
        <w:tc>
          <w:tcPr>
            <w:tcW w:w="992" w:type="pct"/>
            <w:vAlign w:val="bottom"/>
          </w:tcPr>
          <w:p w14:paraId="3840A5B0" w14:textId="77777777" w:rsidR="00B63F57" w:rsidRPr="00166751" w:rsidRDefault="00B63F57" w:rsidP="00B63F57">
            <w:pPr>
              <w:spacing w:after="0" w:line="240" w:lineRule="exact"/>
              <w:rPr>
                <w:rFonts w:cs="Arial"/>
                <w:b/>
                <w:bCs/>
                <w:sz w:val="17"/>
                <w:szCs w:val="17"/>
              </w:rPr>
            </w:pPr>
            <w:r w:rsidRPr="00166751">
              <w:rPr>
                <w:rFonts w:cs="Arial"/>
                <w:b/>
                <w:bCs/>
                <w:sz w:val="17"/>
                <w:szCs w:val="17"/>
              </w:rPr>
              <w:t>Total</w:t>
            </w:r>
          </w:p>
        </w:tc>
        <w:tc>
          <w:tcPr>
            <w:tcW w:w="502" w:type="pct"/>
            <w:tcBorders>
              <w:top w:val="single" w:sz="4" w:space="0" w:color="auto"/>
              <w:bottom w:val="single" w:sz="12" w:space="0" w:color="auto"/>
            </w:tcBorders>
            <w:shd w:val="clear" w:color="auto" w:fill="auto"/>
            <w:vAlign w:val="bottom"/>
          </w:tcPr>
          <w:p w14:paraId="232134AB" w14:textId="1BEB0A28" w:rsidR="00B63F57" w:rsidRPr="006D7381" w:rsidRDefault="00132236" w:rsidP="00B63F57">
            <w:pPr>
              <w:spacing w:after="0" w:line="240" w:lineRule="exact"/>
              <w:jc w:val="right"/>
              <w:rPr>
                <w:rFonts w:cs="Arial"/>
                <w:b/>
                <w:bCs/>
                <w:sz w:val="18"/>
                <w:szCs w:val="18"/>
              </w:rPr>
            </w:pPr>
            <w:r w:rsidRPr="00132236">
              <w:rPr>
                <w:rFonts w:eastAsia="Times New Roman" w:cs="Arial"/>
                <w:b/>
                <w:sz w:val="18"/>
                <w:szCs w:val="18"/>
              </w:rPr>
              <w:t>26,483,538</w:t>
            </w:r>
          </w:p>
        </w:tc>
        <w:tc>
          <w:tcPr>
            <w:tcW w:w="501" w:type="pct"/>
            <w:tcBorders>
              <w:top w:val="nil"/>
              <w:left w:val="nil"/>
              <w:bottom w:val="single" w:sz="12" w:space="0" w:color="auto"/>
              <w:right w:val="nil"/>
            </w:tcBorders>
            <w:shd w:val="clear" w:color="auto" w:fill="auto"/>
            <w:vAlign w:val="bottom"/>
          </w:tcPr>
          <w:p w14:paraId="4BEE54E5" w14:textId="7E5B8AAF" w:rsidR="00B63F57" w:rsidRPr="006D7381" w:rsidRDefault="00132236" w:rsidP="00B63F57">
            <w:pPr>
              <w:spacing w:after="0" w:line="240" w:lineRule="exact"/>
              <w:jc w:val="right"/>
              <w:rPr>
                <w:rFonts w:cs="Arial"/>
                <w:b/>
                <w:bCs/>
                <w:sz w:val="18"/>
                <w:szCs w:val="18"/>
              </w:rPr>
            </w:pPr>
            <w:r w:rsidRPr="00132236">
              <w:rPr>
                <w:rFonts w:eastAsia="Times New Roman" w:cs="Arial"/>
                <w:b/>
                <w:sz w:val="18"/>
                <w:szCs w:val="18"/>
              </w:rPr>
              <w:t>1,696,418</w:t>
            </w:r>
          </w:p>
        </w:tc>
        <w:tc>
          <w:tcPr>
            <w:tcW w:w="501" w:type="pct"/>
            <w:tcBorders>
              <w:top w:val="single" w:sz="4" w:space="0" w:color="auto"/>
              <w:bottom w:val="single" w:sz="12" w:space="0" w:color="auto"/>
            </w:tcBorders>
            <w:shd w:val="clear" w:color="auto" w:fill="auto"/>
            <w:vAlign w:val="bottom"/>
          </w:tcPr>
          <w:p w14:paraId="113BA7B1" w14:textId="144E6CF2" w:rsidR="00B63F57" w:rsidRPr="006D7381" w:rsidRDefault="00B63F57" w:rsidP="00B63F57">
            <w:pPr>
              <w:spacing w:after="0" w:line="240" w:lineRule="exact"/>
              <w:jc w:val="right"/>
              <w:rPr>
                <w:rFonts w:cs="Arial"/>
                <w:b/>
                <w:bCs/>
                <w:sz w:val="18"/>
                <w:szCs w:val="18"/>
              </w:rPr>
            </w:pPr>
            <w:r w:rsidRPr="005B1E80">
              <w:rPr>
                <w:rFonts w:eastAsia="Times New Roman" w:cs="Arial"/>
                <w:b/>
                <w:sz w:val="18"/>
                <w:szCs w:val="18"/>
              </w:rPr>
              <w:t>-</w:t>
            </w:r>
          </w:p>
        </w:tc>
        <w:tc>
          <w:tcPr>
            <w:tcW w:w="501" w:type="pct"/>
            <w:tcBorders>
              <w:top w:val="nil"/>
              <w:left w:val="nil"/>
              <w:bottom w:val="single" w:sz="12" w:space="0" w:color="auto"/>
              <w:right w:val="nil"/>
            </w:tcBorders>
            <w:shd w:val="clear" w:color="auto" w:fill="auto"/>
            <w:vAlign w:val="bottom"/>
          </w:tcPr>
          <w:p w14:paraId="389CE441" w14:textId="0AF0EE23" w:rsidR="00B63F57" w:rsidRPr="006D7381" w:rsidRDefault="00132236" w:rsidP="00B63F57">
            <w:pPr>
              <w:spacing w:after="0" w:line="240" w:lineRule="exact"/>
              <w:jc w:val="right"/>
              <w:rPr>
                <w:rFonts w:cs="Arial"/>
                <w:b/>
                <w:bCs/>
                <w:sz w:val="18"/>
                <w:szCs w:val="18"/>
              </w:rPr>
            </w:pPr>
            <w:r w:rsidRPr="00132236">
              <w:rPr>
                <w:rFonts w:eastAsia="Times New Roman" w:cs="Arial"/>
                <w:b/>
                <w:sz w:val="18"/>
                <w:szCs w:val="18"/>
              </w:rPr>
              <w:t>28,179,956</w:t>
            </w:r>
          </w:p>
        </w:tc>
        <w:tc>
          <w:tcPr>
            <w:tcW w:w="501" w:type="pct"/>
            <w:tcBorders>
              <w:top w:val="nil"/>
              <w:left w:val="nil"/>
              <w:bottom w:val="single" w:sz="12" w:space="0" w:color="auto"/>
              <w:right w:val="nil"/>
            </w:tcBorders>
            <w:shd w:val="clear" w:color="auto" w:fill="auto"/>
            <w:vAlign w:val="center"/>
          </w:tcPr>
          <w:p w14:paraId="75ED58DE" w14:textId="57EC7394" w:rsidR="00B63F57" w:rsidRPr="006D7381" w:rsidRDefault="00132236">
            <w:pPr>
              <w:spacing w:after="0" w:line="240" w:lineRule="exact"/>
              <w:jc w:val="right"/>
              <w:rPr>
                <w:rFonts w:cs="Arial"/>
                <w:b/>
                <w:bCs/>
                <w:sz w:val="18"/>
                <w:szCs w:val="18"/>
              </w:rPr>
            </w:pPr>
            <w:r w:rsidRPr="00132236">
              <w:rPr>
                <w:rFonts w:eastAsia="Times New Roman" w:cs="Arial"/>
                <w:b/>
                <w:sz w:val="18"/>
                <w:szCs w:val="18"/>
              </w:rPr>
              <w:t>5,161,878</w:t>
            </w:r>
          </w:p>
        </w:tc>
        <w:tc>
          <w:tcPr>
            <w:tcW w:w="501" w:type="pct"/>
            <w:tcBorders>
              <w:top w:val="nil"/>
              <w:left w:val="nil"/>
              <w:bottom w:val="single" w:sz="12" w:space="0" w:color="auto"/>
              <w:right w:val="nil"/>
            </w:tcBorders>
            <w:shd w:val="clear" w:color="auto" w:fill="auto"/>
            <w:vAlign w:val="center"/>
          </w:tcPr>
          <w:p w14:paraId="2D7732E3" w14:textId="2C60F5CA" w:rsidR="00B63F57" w:rsidRPr="006D7381" w:rsidRDefault="00266178">
            <w:pPr>
              <w:spacing w:after="0" w:line="240" w:lineRule="exact"/>
              <w:jc w:val="right"/>
              <w:rPr>
                <w:rFonts w:cs="Arial"/>
                <w:b/>
                <w:bCs/>
                <w:sz w:val="18"/>
                <w:szCs w:val="18"/>
              </w:rPr>
            </w:pPr>
            <w:r w:rsidRPr="00266178">
              <w:rPr>
                <w:rFonts w:eastAsia="Times New Roman" w:cs="Arial"/>
                <w:b/>
                <w:sz w:val="18"/>
                <w:szCs w:val="18"/>
              </w:rPr>
              <w:t>49,187</w:t>
            </w:r>
          </w:p>
        </w:tc>
        <w:tc>
          <w:tcPr>
            <w:tcW w:w="501" w:type="pct"/>
            <w:tcBorders>
              <w:top w:val="nil"/>
              <w:left w:val="nil"/>
              <w:bottom w:val="single" w:sz="12" w:space="0" w:color="auto"/>
              <w:right w:val="nil"/>
            </w:tcBorders>
            <w:shd w:val="clear" w:color="auto" w:fill="auto"/>
            <w:vAlign w:val="center"/>
          </w:tcPr>
          <w:p w14:paraId="50E7FA37" w14:textId="0E6ED2CB" w:rsidR="00B63F57" w:rsidRPr="006D7381" w:rsidRDefault="00B63F57" w:rsidP="00B63F57">
            <w:pPr>
              <w:spacing w:after="0" w:line="240" w:lineRule="exact"/>
              <w:jc w:val="right"/>
              <w:rPr>
                <w:rFonts w:cs="Arial"/>
                <w:b/>
                <w:bCs/>
                <w:sz w:val="18"/>
                <w:szCs w:val="18"/>
              </w:rPr>
            </w:pPr>
            <w:r>
              <w:rPr>
                <w:rFonts w:eastAsia="Times New Roman" w:cs="Arial"/>
                <w:b/>
                <w:sz w:val="18"/>
                <w:szCs w:val="18"/>
              </w:rPr>
              <w:t>-</w:t>
            </w:r>
          </w:p>
        </w:tc>
        <w:tc>
          <w:tcPr>
            <w:tcW w:w="499" w:type="pct"/>
            <w:tcBorders>
              <w:top w:val="nil"/>
              <w:left w:val="nil"/>
              <w:bottom w:val="single" w:sz="12" w:space="0" w:color="auto"/>
              <w:right w:val="nil"/>
            </w:tcBorders>
            <w:shd w:val="clear" w:color="auto" w:fill="auto"/>
            <w:vAlign w:val="center"/>
          </w:tcPr>
          <w:p w14:paraId="6E770252" w14:textId="1EC22026" w:rsidR="00B63F57" w:rsidRPr="006D7381" w:rsidRDefault="00266178">
            <w:pPr>
              <w:spacing w:after="0" w:line="240" w:lineRule="exact"/>
              <w:jc w:val="right"/>
              <w:rPr>
                <w:rFonts w:cs="Arial"/>
                <w:b/>
                <w:bCs/>
                <w:sz w:val="18"/>
                <w:szCs w:val="18"/>
              </w:rPr>
            </w:pPr>
            <w:r w:rsidRPr="00266178">
              <w:rPr>
                <w:rFonts w:eastAsia="Times New Roman" w:cs="Arial"/>
                <w:b/>
                <w:sz w:val="18"/>
                <w:szCs w:val="18"/>
              </w:rPr>
              <w:t>5,211,065</w:t>
            </w:r>
          </w:p>
        </w:tc>
      </w:tr>
      <w:tr w:rsidR="00C44243" w:rsidRPr="006D7381" w14:paraId="5E4C7FFF" w14:textId="77777777" w:rsidTr="005444AA">
        <w:trPr>
          <w:trHeight w:val="274"/>
        </w:trPr>
        <w:tc>
          <w:tcPr>
            <w:tcW w:w="992" w:type="pct"/>
          </w:tcPr>
          <w:p w14:paraId="45716F14" w14:textId="77777777" w:rsidR="00C44243" w:rsidRPr="00166751" w:rsidRDefault="00C44243" w:rsidP="00C44243">
            <w:pPr>
              <w:spacing w:after="0" w:line="240" w:lineRule="exact"/>
              <w:rPr>
                <w:rFonts w:cs="Arial"/>
                <w:b/>
                <w:bCs/>
                <w:sz w:val="17"/>
                <w:szCs w:val="17"/>
              </w:rPr>
            </w:pPr>
            <w:r w:rsidRPr="00166751">
              <w:rPr>
                <w:rFonts w:cs="Arial"/>
                <w:b/>
                <w:bCs/>
                <w:sz w:val="17"/>
                <w:szCs w:val="17"/>
              </w:rPr>
              <w:t xml:space="preserve">Guarantees  and  commitments </w:t>
            </w:r>
          </w:p>
        </w:tc>
        <w:tc>
          <w:tcPr>
            <w:tcW w:w="502" w:type="pct"/>
            <w:tcBorders>
              <w:top w:val="single" w:sz="12" w:space="0" w:color="auto"/>
            </w:tcBorders>
            <w:shd w:val="clear" w:color="auto" w:fill="auto"/>
            <w:vAlign w:val="bottom"/>
          </w:tcPr>
          <w:p w14:paraId="2BBF2EE1" w14:textId="77777777" w:rsidR="00C44243" w:rsidRPr="006D7381" w:rsidRDefault="00C44243" w:rsidP="00C44243">
            <w:pPr>
              <w:spacing w:after="0" w:line="240" w:lineRule="exact"/>
              <w:jc w:val="right"/>
              <w:rPr>
                <w:rFonts w:cs="Arial"/>
                <w:bCs/>
                <w:sz w:val="18"/>
                <w:szCs w:val="18"/>
              </w:rPr>
            </w:pPr>
          </w:p>
        </w:tc>
        <w:tc>
          <w:tcPr>
            <w:tcW w:w="501" w:type="pct"/>
            <w:tcBorders>
              <w:top w:val="single" w:sz="12" w:space="0" w:color="auto"/>
            </w:tcBorders>
            <w:shd w:val="clear" w:color="auto" w:fill="auto"/>
            <w:vAlign w:val="bottom"/>
          </w:tcPr>
          <w:p w14:paraId="607634B2" w14:textId="77777777" w:rsidR="00C44243" w:rsidRPr="006D7381" w:rsidRDefault="00C44243" w:rsidP="00C44243">
            <w:pPr>
              <w:spacing w:after="0" w:line="240" w:lineRule="exact"/>
              <w:jc w:val="right"/>
              <w:rPr>
                <w:rFonts w:cs="Arial"/>
                <w:bCs/>
                <w:sz w:val="18"/>
                <w:szCs w:val="18"/>
              </w:rPr>
            </w:pPr>
          </w:p>
        </w:tc>
        <w:tc>
          <w:tcPr>
            <w:tcW w:w="501" w:type="pct"/>
            <w:tcBorders>
              <w:top w:val="single" w:sz="12" w:space="0" w:color="auto"/>
            </w:tcBorders>
            <w:shd w:val="clear" w:color="auto" w:fill="auto"/>
            <w:vAlign w:val="bottom"/>
          </w:tcPr>
          <w:p w14:paraId="31D06B07" w14:textId="77777777" w:rsidR="00C44243" w:rsidRPr="006D7381" w:rsidRDefault="00C44243" w:rsidP="00C44243">
            <w:pPr>
              <w:spacing w:after="0" w:line="240" w:lineRule="exact"/>
              <w:jc w:val="right"/>
              <w:rPr>
                <w:rFonts w:cs="Arial"/>
                <w:bCs/>
                <w:sz w:val="18"/>
                <w:szCs w:val="18"/>
              </w:rPr>
            </w:pPr>
          </w:p>
        </w:tc>
        <w:tc>
          <w:tcPr>
            <w:tcW w:w="501" w:type="pct"/>
            <w:tcBorders>
              <w:top w:val="single" w:sz="12" w:space="0" w:color="auto"/>
            </w:tcBorders>
            <w:shd w:val="clear" w:color="auto" w:fill="auto"/>
            <w:vAlign w:val="bottom"/>
          </w:tcPr>
          <w:p w14:paraId="23A6C7A2" w14:textId="77777777" w:rsidR="00C44243" w:rsidRPr="006D7381" w:rsidRDefault="00C44243" w:rsidP="00C44243">
            <w:pPr>
              <w:spacing w:after="0" w:line="240" w:lineRule="exact"/>
              <w:jc w:val="right"/>
              <w:rPr>
                <w:rFonts w:cs="Arial"/>
                <w:bCs/>
                <w:sz w:val="18"/>
                <w:szCs w:val="18"/>
              </w:rPr>
            </w:pPr>
          </w:p>
        </w:tc>
        <w:tc>
          <w:tcPr>
            <w:tcW w:w="501" w:type="pct"/>
            <w:tcBorders>
              <w:top w:val="single" w:sz="12" w:space="0" w:color="auto"/>
            </w:tcBorders>
            <w:shd w:val="clear" w:color="auto" w:fill="auto"/>
            <w:vAlign w:val="bottom"/>
          </w:tcPr>
          <w:p w14:paraId="50454E65" w14:textId="77777777" w:rsidR="00C44243" w:rsidRPr="006D7381" w:rsidRDefault="00C44243" w:rsidP="00C44243">
            <w:pPr>
              <w:spacing w:after="0" w:line="240" w:lineRule="exact"/>
              <w:jc w:val="right"/>
              <w:rPr>
                <w:rFonts w:cs="Arial"/>
                <w:bCs/>
                <w:sz w:val="18"/>
                <w:szCs w:val="18"/>
              </w:rPr>
            </w:pPr>
          </w:p>
        </w:tc>
        <w:tc>
          <w:tcPr>
            <w:tcW w:w="501" w:type="pct"/>
            <w:tcBorders>
              <w:top w:val="single" w:sz="12" w:space="0" w:color="auto"/>
            </w:tcBorders>
            <w:shd w:val="clear" w:color="auto" w:fill="auto"/>
            <w:vAlign w:val="bottom"/>
          </w:tcPr>
          <w:p w14:paraId="0DDD498B" w14:textId="77777777" w:rsidR="00C44243" w:rsidRPr="006D7381" w:rsidRDefault="00C44243" w:rsidP="00C44243">
            <w:pPr>
              <w:spacing w:after="0" w:line="240" w:lineRule="exact"/>
              <w:jc w:val="right"/>
              <w:rPr>
                <w:rFonts w:cs="Arial"/>
                <w:bCs/>
                <w:sz w:val="18"/>
                <w:szCs w:val="18"/>
              </w:rPr>
            </w:pPr>
          </w:p>
        </w:tc>
        <w:tc>
          <w:tcPr>
            <w:tcW w:w="501" w:type="pct"/>
            <w:tcBorders>
              <w:top w:val="single" w:sz="12" w:space="0" w:color="auto"/>
            </w:tcBorders>
            <w:shd w:val="clear" w:color="auto" w:fill="auto"/>
            <w:vAlign w:val="bottom"/>
          </w:tcPr>
          <w:p w14:paraId="7D5B0C98" w14:textId="77777777" w:rsidR="00C44243" w:rsidRPr="006D7381" w:rsidRDefault="00C44243" w:rsidP="00C44243">
            <w:pPr>
              <w:spacing w:after="0" w:line="240" w:lineRule="exact"/>
              <w:jc w:val="right"/>
              <w:rPr>
                <w:rFonts w:cs="Arial"/>
                <w:bCs/>
                <w:sz w:val="18"/>
                <w:szCs w:val="18"/>
              </w:rPr>
            </w:pPr>
          </w:p>
        </w:tc>
        <w:tc>
          <w:tcPr>
            <w:tcW w:w="499" w:type="pct"/>
            <w:tcBorders>
              <w:top w:val="single" w:sz="12" w:space="0" w:color="auto"/>
            </w:tcBorders>
            <w:shd w:val="clear" w:color="auto" w:fill="auto"/>
            <w:vAlign w:val="bottom"/>
          </w:tcPr>
          <w:p w14:paraId="28FF1EC7" w14:textId="77777777" w:rsidR="00C44243" w:rsidRPr="006D7381" w:rsidRDefault="00C44243" w:rsidP="00C44243">
            <w:pPr>
              <w:spacing w:after="0" w:line="240" w:lineRule="exact"/>
              <w:jc w:val="right"/>
              <w:rPr>
                <w:rFonts w:cs="Arial"/>
                <w:bCs/>
                <w:sz w:val="18"/>
                <w:szCs w:val="18"/>
              </w:rPr>
            </w:pPr>
          </w:p>
        </w:tc>
      </w:tr>
      <w:tr w:rsidR="00266178" w:rsidRPr="006D7381" w14:paraId="04CDA035" w14:textId="77777777" w:rsidTr="005444AA">
        <w:trPr>
          <w:trHeight w:hRule="exact" w:val="433"/>
        </w:trPr>
        <w:tc>
          <w:tcPr>
            <w:tcW w:w="992" w:type="pct"/>
            <w:vAlign w:val="bottom"/>
          </w:tcPr>
          <w:p w14:paraId="37D75352" w14:textId="77777777" w:rsidR="00266178" w:rsidRPr="00166751" w:rsidRDefault="00266178" w:rsidP="00266178">
            <w:pPr>
              <w:spacing w:after="0" w:line="240" w:lineRule="exact"/>
              <w:rPr>
                <w:rFonts w:cs="Arial"/>
                <w:bCs/>
                <w:sz w:val="17"/>
                <w:szCs w:val="17"/>
              </w:rPr>
            </w:pPr>
            <w:r w:rsidRPr="00166751">
              <w:rPr>
                <w:rFonts w:cs="Arial"/>
                <w:bCs/>
                <w:sz w:val="17"/>
                <w:szCs w:val="17"/>
              </w:rPr>
              <w:t>Guarantees issued in HRK</w:t>
            </w:r>
          </w:p>
        </w:tc>
        <w:tc>
          <w:tcPr>
            <w:tcW w:w="502" w:type="pct"/>
            <w:tcBorders>
              <w:top w:val="nil"/>
              <w:left w:val="nil"/>
              <w:bottom w:val="nil"/>
              <w:right w:val="nil"/>
            </w:tcBorders>
            <w:shd w:val="clear" w:color="auto" w:fill="auto"/>
            <w:vAlign w:val="bottom"/>
          </w:tcPr>
          <w:p w14:paraId="5AA44A07" w14:textId="50D31483" w:rsidR="00266178" w:rsidRPr="005444AA" w:rsidRDefault="00266178" w:rsidP="00266178">
            <w:pPr>
              <w:spacing w:after="0" w:line="240" w:lineRule="exact"/>
              <w:jc w:val="right"/>
              <w:rPr>
                <w:rFonts w:eastAsia="Times New Roman" w:cs="Arial"/>
                <w:sz w:val="18"/>
                <w:szCs w:val="18"/>
              </w:rPr>
            </w:pPr>
            <w:r w:rsidRPr="00165995">
              <w:rPr>
                <w:rFonts w:eastAsia="Times New Roman" w:cs="Arial"/>
                <w:sz w:val="18"/>
                <w:szCs w:val="18"/>
                <w:lang w:val="en-US"/>
              </w:rPr>
              <w:t>21</w:t>
            </w:r>
            <w:r>
              <w:rPr>
                <w:rFonts w:eastAsia="Times New Roman" w:cs="Arial"/>
                <w:sz w:val="18"/>
                <w:szCs w:val="18"/>
                <w:lang w:val="en-US"/>
              </w:rPr>
              <w:t>,</w:t>
            </w:r>
            <w:r w:rsidRPr="00165995">
              <w:rPr>
                <w:rFonts w:eastAsia="Times New Roman" w:cs="Arial"/>
                <w:sz w:val="18"/>
                <w:szCs w:val="18"/>
                <w:lang w:val="en-US"/>
              </w:rPr>
              <w:t>026</w:t>
            </w:r>
          </w:p>
        </w:tc>
        <w:tc>
          <w:tcPr>
            <w:tcW w:w="501" w:type="pct"/>
            <w:shd w:val="clear" w:color="auto" w:fill="auto"/>
            <w:vAlign w:val="bottom"/>
          </w:tcPr>
          <w:p w14:paraId="6BB8D531" w14:textId="4CC6B4DD" w:rsidR="00266178" w:rsidRPr="005444AA" w:rsidRDefault="00266178" w:rsidP="00266178">
            <w:pPr>
              <w:spacing w:after="0" w:line="240" w:lineRule="exact"/>
              <w:jc w:val="right"/>
              <w:rPr>
                <w:rFonts w:eastAsia="Times New Roman" w:cs="Arial"/>
                <w:sz w:val="18"/>
                <w:szCs w:val="18"/>
              </w:rPr>
            </w:pPr>
            <w:r w:rsidRPr="00165995">
              <w:rPr>
                <w:rFonts w:eastAsia="Times New Roman" w:cs="Arial"/>
                <w:sz w:val="18"/>
                <w:szCs w:val="18"/>
                <w:lang w:val="en-US"/>
              </w:rPr>
              <w:t>-</w:t>
            </w:r>
          </w:p>
        </w:tc>
        <w:tc>
          <w:tcPr>
            <w:tcW w:w="501" w:type="pct"/>
            <w:shd w:val="clear" w:color="auto" w:fill="auto"/>
            <w:vAlign w:val="bottom"/>
          </w:tcPr>
          <w:p w14:paraId="2CD7B329" w14:textId="0C6E37CA" w:rsidR="00266178" w:rsidRPr="005444AA" w:rsidRDefault="00266178" w:rsidP="00266178">
            <w:pPr>
              <w:spacing w:after="0" w:line="240" w:lineRule="exact"/>
              <w:jc w:val="right"/>
              <w:rPr>
                <w:rFonts w:eastAsia="Times New Roman" w:cs="Arial"/>
                <w:sz w:val="18"/>
                <w:szCs w:val="18"/>
              </w:rPr>
            </w:pPr>
            <w:r w:rsidRPr="00166751">
              <w:rPr>
                <w:rFonts w:eastAsia="Times New Roman" w:cs="Arial"/>
                <w:sz w:val="18"/>
                <w:szCs w:val="18"/>
              </w:rPr>
              <w:t>-</w:t>
            </w:r>
          </w:p>
        </w:tc>
        <w:tc>
          <w:tcPr>
            <w:tcW w:w="501" w:type="pct"/>
            <w:tcBorders>
              <w:top w:val="nil"/>
              <w:left w:val="nil"/>
              <w:bottom w:val="nil"/>
              <w:right w:val="nil"/>
            </w:tcBorders>
            <w:shd w:val="clear" w:color="auto" w:fill="auto"/>
            <w:vAlign w:val="bottom"/>
          </w:tcPr>
          <w:p w14:paraId="6A00F732" w14:textId="3A3EBC29" w:rsidR="00266178" w:rsidRPr="005444AA" w:rsidRDefault="00266178" w:rsidP="00266178">
            <w:pPr>
              <w:spacing w:after="0" w:line="240" w:lineRule="exact"/>
              <w:jc w:val="right"/>
              <w:rPr>
                <w:rFonts w:eastAsia="Times New Roman" w:cs="Arial"/>
                <w:sz w:val="18"/>
                <w:szCs w:val="18"/>
              </w:rPr>
            </w:pPr>
            <w:r w:rsidRPr="00165995">
              <w:rPr>
                <w:rFonts w:eastAsia="Times New Roman" w:cs="Arial"/>
                <w:sz w:val="18"/>
                <w:szCs w:val="18"/>
                <w:lang w:val="en-US"/>
              </w:rPr>
              <w:t>21</w:t>
            </w:r>
            <w:r>
              <w:rPr>
                <w:rFonts w:eastAsia="Times New Roman" w:cs="Arial"/>
                <w:sz w:val="18"/>
                <w:szCs w:val="18"/>
                <w:lang w:val="en-US"/>
              </w:rPr>
              <w:t>,</w:t>
            </w:r>
            <w:r w:rsidRPr="00165995">
              <w:rPr>
                <w:rFonts w:eastAsia="Times New Roman" w:cs="Arial"/>
                <w:sz w:val="18"/>
                <w:szCs w:val="18"/>
                <w:lang w:val="en-US"/>
              </w:rPr>
              <w:t>026</w:t>
            </w:r>
          </w:p>
        </w:tc>
        <w:tc>
          <w:tcPr>
            <w:tcW w:w="501" w:type="pct"/>
            <w:tcBorders>
              <w:top w:val="nil"/>
              <w:left w:val="nil"/>
              <w:bottom w:val="nil"/>
              <w:right w:val="nil"/>
            </w:tcBorders>
            <w:shd w:val="clear" w:color="auto" w:fill="auto"/>
            <w:vAlign w:val="bottom"/>
          </w:tcPr>
          <w:p w14:paraId="4218280F" w14:textId="13C53A7A" w:rsidR="00266178" w:rsidRPr="006D7381" w:rsidRDefault="00266178" w:rsidP="00266178">
            <w:pPr>
              <w:spacing w:after="0" w:line="240" w:lineRule="exact"/>
              <w:jc w:val="right"/>
              <w:rPr>
                <w:rFonts w:cs="Arial"/>
                <w:bCs/>
                <w:sz w:val="18"/>
                <w:szCs w:val="18"/>
              </w:rPr>
            </w:pPr>
            <w:r w:rsidRPr="00132236">
              <w:rPr>
                <w:rFonts w:eastAsia="Times New Roman" w:cs="Arial"/>
                <w:sz w:val="18"/>
                <w:szCs w:val="18"/>
              </w:rPr>
              <w:t>1,254</w:t>
            </w:r>
          </w:p>
        </w:tc>
        <w:tc>
          <w:tcPr>
            <w:tcW w:w="501" w:type="pct"/>
            <w:tcBorders>
              <w:top w:val="nil"/>
              <w:left w:val="nil"/>
              <w:bottom w:val="nil"/>
              <w:right w:val="nil"/>
            </w:tcBorders>
            <w:shd w:val="clear" w:color="auto" w:fill="auto"/>
            <w:vAlign w:val="bottom"/>
          </w:tcPr>
          <w:p w14:paraId="33C59AB2" w14:textId="3433BD72" w:rsidR="00266178" w:rsidRPr="006D7381" w:rsidRDefault="00266178" w:rsidP="00266178">
            <w:pPr>
              <w:spacing w:after="0" w:line="240" w:lineRule="exact"/>
              <w:jc w:val="right"/>
              <w:rPr>
                <w:rFonts w:cs="Arial"/>
                <w:bCs/>
                <w:sz w:val="18"/>
                <w:szCs w:val="18"/>
              </w:rPr>
            </w:pPr>
            <w:r w:rsidRPr="00B4620E">
              <w:rPr>
                <w:rFonts w:eastAsia="Times New Roman" w:cs="Arial"/>
                <w:sz w:val="18"/>
                <w:szCs w:val="18"/>
              </w:rPr>
              <w:t>-</w:t>
            </w:r>
          </w:p>
        </w:tc>
        <w:tc>
          <w:tcPr>
            <w:tcW w:w="501" w:type="pct"/>
            <w:tcBorders>
              <w:top w:val="nil"/>
              <w:left w:val="nil"/>
              <w:bottom w:val="nil"/>
              <w:right w:val="nil"/>
            </w:tcBorders>
            <w:shd w:val="clear" w:color="auto" w:fill="auto"/>
            <w:vAlign w:val="bottom"/>
          </w:tcPr>
          <w:p w14:paraId="3ECC70F0" w14:textId="3FF79FAC" w:rsidR="00266178" w:rsidRPr="006D7381" w:rsidRDefault="00266178" w:rsidP="00266178">
            <w:pPr>
              <w:spacing w:after="0" w:line="240" w:lineRule="exact"/>
              <w:jc w:val="right"/>
              <w:rPr>
                <w:rFonts w:cs="Arial"/>
                <w:bCs/>
                <w:sz w:val="18"/>
                <w:szCs w:val="18"/>
              </w:rPr>
            </w:pPr>
            <w:r w:rsidRPr="00B4620E">
              <w:rPr>
                <w:rFonts w:eastAsia="Times New Roman" w:cs="Arial"/>
                <w:sz w:val="18"/>
                <w:szCs w:val="18"/>
              </w:rPr>
              <w:t>-</w:t>
            </w:r>
          </w:p>
        </w:tc>
        <w:tc>
          <w:tcPr>
            <w:tcW w:w="499" w:type="pct"/>
            <w:tcBorders>
              <w:top w:val="nil"/>
              <w:left w:val="nil"/>
              <w:bottom w:val="nil"/>
              <w:right w:val="nil"/>
            </w:tcBorders>
            <w:shd w:val="clear" w:color="auto" w:fill="auto"/>
            <w:vAlign w:val="bottom"/>
          </w:tcPr>
          <w:p w14:paraId="44156B99" w14:textId="10611C09" w:rsidR="00266178" w:rsidRPr="006D7381" w:rsidRDefault="00266178" w:rsidP="00266178">
            <w:pPr>
              <w:spacing w:after="0" w:line="240" w:lineRule="exact"/>
              <w:jc w:val="right"/>
              <w:rPr>
                <w:rFonts w:cs="Arial"/>
                <w:bCs/>
                <w:sz w:val="18"/>
                <w:szCs w:val="18"/>
              </w:rPr>
            </w:pPr>
            <w:r w:rsidRPr="00165995">
              <w:rPr>
                <w:rFonts w:eastAsia="Times New Roman" w:cs="Arial"/>
                <w:sz w:val="18"/>
                <w:szCs w:val="18"/>
                <w:lang w:val="en-US"/>
              </w:rPr>
              <w:t>1</w:t>
            </w:r>
            <w:r>
              <w:rPr>
                <w:rFonts w:eastAsia="Times New Roman" w:cs="Arial"/>
                <w:sz w:val="18"/>
                <w:szCs w:val="18"/>
                <w:lang w:val="en-US"/>
              </w:rPr>
              <w:t>,</w:t>
            </w:r>
            <w:r w:rsidRPr="00165995">
              <w:rPr>
                <w:rFonts w:eastAsia="Times New Roman" w:cs="Arial"/>
                <w:sz w:val="18"/>
                <w:szCs w:val="18"/>
                <w:lang w:val="en-US"/>
              </w:rPr>
              <w:t>254</w:t>
            </w:r>
          </w:p>
        </w:tc>
      </w:tr>
      <w:tr w:rsidR="00266178" w:rsidRPr="006D7381" w14:paraId="5383F5C7" w14:textId="77777777" w:rsidTr="005444AA">
        <w:trPr>
          <w:trHeight w:val="396"/>
        </w:trPr>
        <w:tc>
          <w:tcPr>
            <w:tcW w:w="992" w:type="pct"/>
            <w:vAlign w:val="bottom"/>
          </w:tcPr>
          <w:p w14:paraId="5F87B9A3" w14:textId="77777777" w:rsidR="00266178" w:rsidRPr="00166751" w:rsidRDefault="00266178" w:rsidP="00266178">
            <w:pPr>
              <w:spacing w:after="0" w:line="240" w:lineRule="exact"/>
              <w:rPr>
                <w:rFonts w:cs="Arial"/>
                <w:bCs/>
                <w:sz w:val="17"/>
                <w:szCs w:val="17"/>
              </w:rPr>
            </w:pPr>
            <w:r w:rsidRPr="00166751">
              <w:rPr>
                <w:rFonts w:cs="Arial"/>
                <w:bCs/>
                <w:sz w:val="17"/>
                <w:szCs w:val="17"/>
              </w:rPr>
              <w:t>Issued guarantees in foreign currency</w:t>
            </w:r>
          </w:p>
        </w:tc>
        <w:tc>
          <w:tcPr>
            <w:tcW w:w="502" w:type="pct"/>
            <w:tcBorders>
              <w:top w:val="nil"/>
              <w:left w:val="nil"/>
              <w:bottom w:val="nil"/>
              <w:right w:val="nil"/>
            </w:tcBorders>
            <w:shd w:val="clear" w:color="auto" w:fill="auto"/>
            <w:vAlign w:val="bottom"/>
          </w:tcPr>
          <w:p w14:paraId="74E99EBE" w14:textId="242E7CDA" w:rsidR="00266178" w:rsidRPr="005444AA" w:rsidRDefault="00266178" w:rsidP="00266178">
            <w:pPr>
              <w:spacing w:after="0" w:line="240" w:lineRule="exact"/>
              <w:jc w:val="right"/>
              <w:rPr>
                <w:rFonts w:eastAsia="Times New Roman" w:cs="Arial"/>
                <w:sz w:val="18"/>
                <w:szCs w:val="18"/>
              </w:rPr>
            </w:pPr>
            <w:r w:rsidRPr="00165995">
              <w:rPr>
                <w:rFonts w:eastAsia="Times New Roman" w:cs="Arial"/>
                <w:sz w:val="18"/>
                <w:szCs w:val="18"/>
                <w:lang w:val="en-US"/>
              </w:rPr>
              <w:t>2</w:t>
            </w:r>
            <w:r>
              <w:rPr>
                <w:rFonts w:eastAsia="Times New Roman" w:cs="Arial"/>
                <w:sz w:val="18"/>
                <w:szCs w:val="18"/>
                <w:lang w:val="en-US"/>
              </w:rPr>
              <w:t>,</w:t>
            </w:r>
            <w:r w:rsidRPr="00165995">
              <w:rPr>
                <w:rFonts w:eastAsia="Times New Roman" w:cs="Arial"/>
                <w:sz w:val="18"/>
                <w:szCs w:val="18"/>
                <w:lang w:val="en-US"/>
              </w:rPr>
              <w:t>164</w:t>
            </w:r>
            <w:r>
              <w:rPr>
                <w:rFonts w:eastAsia="Times New Roman" w:cs="Arial"/>
                <w:sz w:val="18"/>
                <w:szCs w:val="18"/>
                <w:lang w:val="en-US"/>
              </w:rPr>
              <w:t>,</w:t>
            </w:r>
            <w:r w:rsidRPr="00165995">
              <w:rPr>
                <w:rFonts w:eastAsia="Times New Roman" w:cs="Arial"/>
                <w:sz w:val="18"/>
                <w:szCs w:val="18"/>
                <w:lang w:val="en-US"/>
              </w:rPr>
              <w:t>257</w:t>
            </w:r>
          </w:p>
        </w:tc>
        <w:tc>
          <w:tcPr>
            <w:tcW w:w="501" w:type="pct"/>
            <w:tcBorders>
              <w:top w:val="nil"/>
            </w:tcBorders>
            <w:shd w:val="clear" w:color="auto" w:fill="auto"/>
            <w:vAlign w:val="bottom"/>
          </w:tcPr>
          <w:p w14:paraId="417BDAE1" w14:textId="2678789C" w:rsidR="00266178" w:rsidRPr="005444AA" w:rsidRDefault="00266178" w:rsidP="00266178">
            <w:pPr>
              <w:spacing w:after="0" w:line="240" w:lineRule="exact"/>
              <w:jc w:val="right"/>
              <w:rPr>
                <w:rFonts w:eastAsia="Times New Roman" w:cs="Arial"/>
                <w:sz w:val="18"/>
                <w:szCs w:val="18"/>
              </w:rPr>
            </w:pPr>
            <w:r w:rsidRPr="00165995">
              <w:rPr>
                <w:rFonts w:eastAsia="Times New Roman" w:cs="Arial"/>
                <w:sz w:val="18"/>
                <w:szCs w:val="18"/>
                <w:lang w:val="en-US"/>
              </w:rPr>
              <w:t>27</w:t>
            </w:r>
            <w:r>
              <w:rPr>
                <w:rFonts w:eastAsia="Times New Roman" w:cs="Arial"/>
                <w:sz w:val="18"/>
                <w:szCs w:val="18"/>
                <w:lang w:val="en-US"/>
              </w:rPr>
              <w:t>,</w:t>
            </w:r>
            <w:r w:rsidRPr="00165995">
              <w:rPr>
                <w:rFonts w:eastAsia="Times New Roman" w:cs="Arial"/>
                <w:sz w:val="18"/>
                <w:szCs w:val="18"/>
                <w:lang w:val="en-US"/>
              </w:rPr>
              <w:t>359</w:t>
            </w:r>
          </w:p>
        </w:tc>
        <w:tc>
          <w:tcPr>
            <w:tcW w:w="501" w:type="pct"/>
            <w:tcBorders>
              <w:top w:val="nil"/>
            </w:tcBorders>
            <w:shd w:val="clear" w:color="auto" w:fill="auto"/>
            <w:vAlign w:val="bottom"/>
          </w:tcPr>
          <w:p w14:paraId="4788CD51" w14:textId="3D113A8B" w:rsidR="00266178" w:rsidRPr="005444AA" w:rsidRDefault="00266178" w:rsidP="00266178">
            <w:pPr>
              <w:spacing w:after="0" w:line="240" w:lineRule="exact"/>
              <w:jc w:val="right"/>
              <w:rPr>
                <w:rFonts w:eastAsia="Times New Roman" w:cs="Arial"/>
                <w:sz w:val="18"/>
                <w:szCs w:val="18"/>
              </w:rPr>
            </w:pPr>
            <w:r w:rsidRPr="00166751">
              <w:rPr>
                <w:rFonts w:eastAsia="Times New Roman" w:cs="Arial"/>
                <w:sz w:val="18"/>
                <w:szCs w:val="18"/>
              </w:rPr>
              <w:t>-</w:t>
            </w:r>
          </w:p>
        </w:tc>
        <w:tc>
          <w:tcPr>
            <w:tcW w:w="501" w:type="pct"/>
            <w:tcBorders>
              <w:top w:val="nil"/>
              <w:left w:val="nil"/>
              <w:bottom w:val="nil"/>
              <w:right w:val="nil"/>
            </w:tcBorders>
            <w:shd w:val="clear" w:color="auto" w:fill="auto"/>
            <w:vAlign w:val="bottom"/>
          </w:tcPr>
          <w:p w14:paraId="663985A0" w14:textId="1EA823B9" w:rsidR="00266178" w:rsidRPr="005444AA" w:rsidRDefault="00266178" w:rsidP="00266178">
            <w:pPr>
              <w:spacing w:after="0" w:line="240" w:lineRule="exact"/>
              <w:jc w:val="right"/>
              <w:rPr>
                <w:rFonts w:eastAsia="Times New Roman" w:cs="Arial"/>
                <w:sz w:val="18"/>
                <w:szCs w:val="18"/>
              </w:rPr>
            </w:pPr>
            <w:r w:rsidRPr="00165995">
              <w:rPr>
                <w:rFonts w:eastAsia="Times New Roman" w:cs="Arial"/>
                <w:sz w:val="18"/>
                <w:szCs w:val="18"/>
                <w:lang w:val="en-US"/>
              </w:rPr>
              <w:t>2</w:t>
            </w:r>
            <w:r>
              <w:rPr>
                <w:rFonts w:eastAsia="Times New Roman" w:cs="Arial"/>
                <w:sz w:val="18"/>
                <w:szCs w:val="18"/>
                <w:lang w:val="en-US"/>
              </w:rPr>
              <w:t>,</w:t>
            </w:r>
            <w:r w:rsidRPr="00165995">
              <w:rPr>
                <w:rFonts w:eastAsia="Times New Roman" w:cs="Arial"/>
                <w:sz w:val="18"/>
                <w:szCs w:val="18"/>
                <w:lang w:val="en-US"/>
              </w:rPr>
              <w:t>191</w:t>
            </w:r>
            <w:r>
              <w:rPr>
                <w:rFonts w:eastAsia="Times New Roman" w:cs="Arial"/>
                <w:sz w:val="18"/>
                <w:szCs w:val="18"/>
                <w:lang w:val="en-US"/>
              </w:rPr>
              <w:t>,</w:t>
            </w:r>
            <w:r w:rsidRPr="00165995">
              <w:rPr>
                <w:rFonts w:eastAsia="Times New Roman" w:cs="Arial"/>
                <w:sz w:val="18"/>
                <w:szCs w:val="18"/>
                <w:lang w:val="en-US"/>
              </w:rPr>
              <w:t>616</w:t>
            </w:r>
          </w:p>
        </w:tc>
        <w:tc>
          <w:tcPr>
            <w:tcW w:w="501" w:type="pct"/>
            <w:tcBorders>
              <w:top w:val="nil"/>
              <w:left w:val="nil"/>
              <w:bottom w:val="nil"/>
              <w:right w:val="nil"/>
            </w:tcBorders>
            <w:shd w:val="clear" w:color="auto" w:fill="auto"/>
            <w:vAlign w:val="bottom"/>
          </w:tcPr>
          <w:p w14:paraId="47C825DD" w14:textId="515BA55C" w:rsidR="00266178" w:rsidRPr="006D7381" w:rsidRDefault="00266178" w:rsidP="00266178">
            <w:pPr>
              <w:spacing w:after="0" w:line="240" w:lineRule="exact"/>
              <w:jc w:val="right"/>
              <w:rPr>
                <w:rFonts w:cs="Arial"/>
                <w:bCs/>
                <w:sz w:val="18"/>
                <w:szCs w:val="18"/>
              </w:rPr>
            </w:pPr>
            <w:r w:rsidRPr="00132236">
              <w:rPr>
                <w:rFonts w:eastAsia="Times New Roman" w:cs="Arial"/>
                <w:sz w:val="18"/>
                <w:szCs w:val="18"/>
              </w:rPr>
              <w:t>288,987</w:t>
            </w:r>
          </w:p>
        </w:tc>
        <w:tc>
          <w:tcPr>
            <w:tcW w:w="501" w:type="pct"/>
            <w:tcBorders>
              <w:top w:val="nil"/>
              <w:left w:val="nil"/>
              <w:bottom w:val="nil"/>
              <w:right w:val="nil"/>
            </w:tcBorders>
            <w:shd w:val="clear" w:color="auto" w:fill="auto"/>
            <w:vAlign w:val="bottom"/>
          </w:tcPr>
          <w:p w14:paraId="646167D9" w14:textId="2BAE088C" w:rsidR="00266178" w:rsidRPr="006D7381" w:rsidRDefault="00266178" w:rsidP="00266178">
            <w:pPr>
              <w:spacing w:after="0" w:line="240" w:lineRule="exact"/>
              <w:jc w:val="right"/>
              <w:rPr>
                <w:rFonts w:cs="Arial"/>
                <w:bCs/>
                <w:sz w:val="18"/>
                <w:szCs w:val="18"/>
              </w:rPr>
            </w:pPr>
            <w:r w:rsidRPr="00B4620E">
              <w:rPr>
                <w:rFonts w:eastAsia="Times New Roman" w:cs="Arial"/>
                <w:sz w:val="18"/>
                <w:szCs w:val="18"/>
              </w:rPr>
              <w:t>-</w:t>
            </w:r>
          </w:p>
        </w:tc>
        <w:tc>
          <w:tcPr>
            <w:tcW w:w="501" w:type="pct"/>
            <w:tcBorders>
              <w:top w:val="nil"/>
              <w:left w:val="nil"/>
              <w:bottom w:val="nil"/>
              <w:right w:val="nil"/>
            </w:tcBorders>
            <w:shd w:val="clear" w:color="auto" w:fill="auto"/>
            <w:vAlign w:val="bottom"/>
          </w:tcPr>
          <w:p w14:paraId="07D9E480" w14:textId="4E8A9AAE" w:rsidR="00266178" w:rsidRPr="006D7381" w:rsidRDefault="00266178" w:rsidP="00266178">
            <w:pPr>
              <w:spacing w:after="0" w:line="240" w:lineRule="exact"/>
              <w:jc w:val="right"/>
              <w:rPr>
                <w:rFonts w:cs="Arial"/>
                <w:bCs/>
                <w:sz w:val="18"/>
                <w:szCs w:val="18"/>
              </w:rPr>
            </w:pPr>
            <w:r w:rsidRPr="00B4620E">
              <w:rPr>
                <w:rFonts w:eastAsia="Times New Roman" w:cs="Arial"/>
                <w:sz w:val="18"/>
                <w:szCs w:val="18"/>
              </w:rPr>
              <w:t>-</w:t>
            </w:r>
          </w:p>
        </w:tc>
        <w:tc>
          <w:tcPr>
            <w:tcW w:w="499" w:type="pct"/>
            <w:tcBorders>
              <w:top w:val="nil"/>
              <w:left w:val="nil"/>
              <w:bottom w:val="nil"/>
              <w:right w:val="nil"/>
            </w:tcBorders>
            <w:shd w:val="clear" w:color="auto" w:fill="auto"/>
            <w:vAlign w:val="bottom"/>
          </w:tcPr>
          <w:p w14:paraId="4D1FAEDB" w14:textId="797C27D5" w:rsidR="00266178" w:rsidRPr="006D7381" w:rsidRDefault="00266178" w:rsidP="00266178">
            <w:pPr>
              <w:spacing w:after="0" w:line="240" w:lineRule="exact"/>
              <w:jc w:val="right"/>
              <w:rPr>
                <w:rFonts w:cs="Arial"/>
                <w:bCs/>
                <w:sz w:val="18"/>
                <w:szCs w:val="18"/>
              </w:rPr>
            </w:pPr>
            <w:r w:rsidRPr="00165995">
              <w:rPr>
                <w:rFonts w:eastAsia="Times New Roman" w:cs="Arial"/>
                <w:sz w:val="18"/>
                <w:szCs w:val="18"/>
                <w:lang w:val="en-US"/>
              </w:rPr>
              <w:t>288</w:t>
            </w:r>
            <w:r>
              <w:rPr>
                <w:rFonts w:eastAsia="Times New Roman" w:cs="Arial"/>
                <w:sz w:val="18"/>
                <w:szCs w:val="18"/>
                <w:lang w:val="en-US"/>
              </w:rPr>
              <w:t>,</w:t>
            </w:r>
            <w:r w:rsidRPr="00165995">
              <w:rPr>
                <w:rFonts w:eastAsia="Times New Roman" w:cs="Arial"/>
                <w:sz w:val="18"/>
                <w:szCs w:val="18"/>
                <w:lang w:val="en-US"/>
              </w:rPr>
              <w:t>987</w:t>
            </w:r>
          </w:p>
        </w:tc>
      </w:tr>
      <w:tr w:rsidR="00266178" w:rsidRPr="006D7381" w14:paraId="31CD2158" w14:textId="77777777" w:rsidTr="005444AA">
        <w:trPr>
          <w:trHeight w:val="396"/>
        </w:trPr>
        <w:tc>
          <w:tcPr>
            <w:tcW w:w="992" w:type="pct"/>
            <w:vAlign w:val="bottom"/>
          </w:tcPr>
          <w:p w14:paraId="0878B48E" w14:textId="77777777" w:rsidR="00266178" w:rsidRPr="00166751" w:rsidRDefault="00266178" w:rsidP="00266178">
            <w:pPr>
              <w:spacing w:after="0" w:line="240" w:lineRule="exact"/>
              <w:rPr>
                <w:rFonts w:cs="Arial"/>
                <w:bCs/>
                <w:sz w:val="17"/>
                <w:szCs w:val="17"/>
              </w:rPr>
            </w:pPr>
            <w:r w:rsidRPr="00166751">
              <w:rPr>
                <w:rFonts w:cs="Arial"/>
                <w:bCs/>
                <w:sz w:val="17"/>
                <w:szCs w:val="17"/>
              </w:rPr>
              <w:t>Open letters of credit in foreign currency</w:t>
            </w:r>
          </w:p>
        </w:tc>
        <w:tc>
          <w:tcPr>
            <w:tcW w:w="502" w:type="pct"/>
            <w:tcBorders>
              <w:top w:val="nil"/>
              <w:left w:val="nil"/>
              <w:bottom w:val="nil"/>
              <w:right w:val="nil"/>
            </w:tcBorders>
            <w:shd w:val="clear" w:color="auto" w:fill="auto"/>
            <w:vAlign w:val="bottom"/>
          </w:tcPr>
          <w:p w14:paraId="19B35639" w14:textId="44E77C7D" w:rsidR="00266178" w:rsidRPr="005444AA" w:rsidRDefault="00266178" w:rsidP="00266178">
            <w:pPr>
              <w:spacing w:after="0" w:line="240" w:lineRule="exact"/>
              <w:jc w:val="right"/>
              <w:rPr>
                <w:rFonts w:eastAsia="Times New Roman" w:cs="Arial"/>
                <w:sz w:val="18"/>
                <w:szCs w:val="18"/>
              </w:rPr>
            </w:pPr>
            <w:r w:rsidRPr="00165995">
              <w:rPr>
                <w:rFonts w:eastAsia="Times New Roman" w:cs="Arial"/>
                <w:sz w:val="18"/>
                <w:szCs w:val="18"/>
                <w:lang w:val="en-US"/>
              </w:rPr>
              <w:t>990</w:t>
            </w:r>
          </w:p>
        </w:tc>
        <w:tc>
          <w:tcPr>
            <w:tcW w:w="501" w:type="pct"/>
            <w:shd w:val="clear" w:color="auto" w:fill="auto"/>
            <w:vAlign w:val="bottom"/>
          </w:tcPr>
          <w:p w14:paraId="0FFF89C0" w14:textId="7F9F951B" w:rsidR="00266178" w:rsidRPr="005444AA" w:rsidRDefault="00266178" w:rsidP="00266178">
            <w:pPr>
              <w:spacing w:after="0" w:line="240" w:lineRule="exact"/>
              <w:jc w:val="right"/>
              <w:rPr>
                <w:rFonts w:eastAsia="Times New Roman" w:cs="Arial"/>
                <w:sz w:val="18"/>
                <w:szCs w:val="18"/>
              </w:rPr>
            </w:pPr>
            <w:r w:rsidRPr="00165995">
              <w:rPr>
                <w:rFonts w:eastAsia="Times New Roman" w:cs="Arial"/>
                <w:sz w:val="18"/>
                <w:szCs w:val="18"/>
                <w:lang w:val="en-US"/>
              </w:rPr>
              <w:t>-</w:t>
            </w:r>
          </w:p>
        </w:tc>
        <w:tc>
          <w:tcPr>
            <w:tcW w:w="501" w:type="pct"/>
            <w:shd w:val="clear" w:color="auto" w:fill="auto"/>
            <w:vAlign w:val="bottom"/>
          </w:tcPr>
          <w:p w14:paraId="59543156" w14:textId="08267050" w:rsidR="00266178" w:rsidRPr="005444AA" w:rsidRDefault="00266178" w:rsidP="00266178">
            <w:pPr>
              <w:spacing w:after="0" w:line="240" w:lineRule="exact"/>
              <w:jc w:val="right"/>
              <w:rPr>
                <w:rFonts w:eastAsia="Times New Roman" w:cs="Arial"/>
                <w:sz w:val="18"/>
                <w:szCs w:val="18"/>
              </w:rPr>
            </w:pPr>
            <w:r w:rsidRPr="00166751">
              <w:rPr>
                <w:rFonts w:eastAsia="Times New Roman" w:cs="Arial"/>
                <w:sz w:val="18"/>
                <w:szCs w:val="18"/>
              </w:rPr>
              <w:t>-</w:t>
            </w:r>
          </w:p>
        </w:tc>
        <w:tc>
          <w:tcPr>
            <w:tcW w:w="501" w:type="pct"/>
            <w:tcBorders>
              <w:top w:val="nil"/>
              <w:left w:val="nil"/>
              <w:bottom w:val="nil"/>
              <w:right w:val="nil"/>
            </w:tcBorders>
            <w:shd w:val="clear" w:color="auto" w:fill="auto"/>
            <w:vAlign w:val="bottom"/>
          </w:tcPr>
          <w:p w14:paraId="0DF59EFD" w14:textId="5BBAA100" w:rsidR="00266178" w:rsidRPr="005444AA" w:rsidRDefault="00266178" w:rsidP="00266178">
            <w:pPr>
              <w:spacing w:after="0" w:line="240" w:lineRule="exact"/>
              <w:jc w:val="right"/>
              <w:rPr>
                <w:rFonts w:eastAsia="Times New Roman" w:cs="Arial"/>
                <w:sz w:val="18"/>
                <w:szCs w:val="18"/>
              </w:rPr>
            </w:pPr>
            <w:r w:rsidRPr="00165995">
              <w:rPr>
                <w:rFonts w:eastAsia="Times New Roman" w:cs="Arial"/>
                <w:sz w:val="18"/>
                <w:szCs w:val="18"/>
                <w:lang w:val="en-US"/>
              </w:rPr>
              <w:t>990</w:t>
            </w:r>
          </w:p>
        </w:tc>
        <w:tc>
          <w:tcPr>
            <w:tcW w:w="501" w:type="pct"/>
            <w:shd w:val="clear" w:color="auto" w:fill="auto"/>
            <w:vAlign w:val="bottom"/>
          </w:tcPr>
          <w:p w14:paraId="22E11539" w14:textId="21BF6A2C" w:rsidR="00266178" w:rsidRPr="006D7381" w:rsidRDefault="00266178" w:rsidP="00266178">
            <w:pPr>
              <w:spacing w:after="0" w:line="240" w:lineRule="exact"/>
              <w:jc w:val="right"/>
              <w:rPr>
                <w:rFonts w:cs="Arial"/>
                <w:bCs/>
                <w:sz w:val="18"/>
                <w:szCs w:val="18"/>
              </w:rPr>
            </w:pPr>
            <w:r>
              <w:rPr>
                <w:rFonts w:eastAsia="Times New Roman" w:cs="Arial"/>
                <w:sz w:val="18"/>
                <w:szCs w:val="18"/>
              </w:rPr>
              <w:t>-</w:t>
            </w:r>
          </w:p>
        </w:tc>
        <w:tc>
          <w:tcPr>
            <w:tcW w:w="501" w:type="pct"/>
            <w:shd w:val="clear" w:color="auto" w:fill="auto"/>
            <w:vAlign w:val="bottom"/>
          </w:tcPr>
          <w:p w14:paraId="2FF7DFDC" w14:textId="02403A01" w:rsidR="00266178" w:rsidRPr="006D7381" w:rsidRDefault="00266178" w:rsidP="00266178">
            <w:pPr>
              <w:spacing w:after="0" w:line="240" w:lineRule="exact"/>
              <w:jc w:val="right"/>
              <w:rPr>
                <w:rFonts w:cs="Arial"/>
                <w:bCs/>
                <w:sz w:val="18"/>
                <w:szCs w:val="18"/>
              </w:rPr>
            </w:pPr>
            <w:r w:rsidRPr="00166751">
              <w:rPr>
                <w:rFonts w:eastAsia="Times New Roman" w:cs="Arial"/>
                <w:sz w:val="18"/>
                <w:szCs w:val="18"/>
              </w:rPr>
              <w:t>-</w:t>
            </w:r>
          </w:p>
        </w:tc>
        <w:tc>
          <w:tcPr>
            <w:tcW w:w="501" w:type="pct"/>
            <w:shd w:val="clear" w:color="auto" w:fill="auto"/>
            <w:vAlign w:val="bottom"/>
          </w:tcPr>
          <w:p w14:paraId="5353BE95" w14:textId="74FDF0EE" w:rsidR="00266178" w:rsidRPr="006D7381" w:rsidRDefault="00266178" w:rsidP="00266178">
            <w:pPr>
              <w:spacing w:after="0" w:line="240" w:lineRule="exact"/>
              <w:jc w:val="right"/>
              <w:rPr>
                <w:rFonts w:cs="Arial"/>
                <w:bCs/>
                <w:sz w:val="18"/>
                <w:szCs w:val="18"/>
              </w:rPr>
            </w:pPr>
            <w:r w:rsidRPr="00166751">
              <w:rPr>
                <w:rFonts w:eastAsia="Times New Roman" w:cs="Arial"/>
                <w:sz w:val="18"/>
                <w:szCs w:val="18"/>
              </w:rPr>
              <w:t>-</w:t>
            </w:r>
          </w:p>
        </w:tc>
        <w:tc>
          <w:tcPr>
            <w:tcW w:w="499" w:type="pct"/>
            <w:shd w:val="clear" w:color="auto" w:fill="auto"/>
            <w:vAlign w:val="bottom"/>
          </w:tcPr>
          <w:p w14:paraId="4EC334CB" w14:textId="4758E669" w:rsidR="00266178" w:rsidRPr="006D7381" w:rsidRDefault="00266178" w:rsidP="00266178">
            <w:pPr>
              <w:spacing w:after="0" w:line="240" w:lineRule="exact"/>
              <w:jc w:val="right"/>
              <w:rPr>
                <w:rFonts w:cs="Arial"/>
                <w:bCs/>
                <w:sz w:val="18"/>
                <w:szCs w:val="18"/>
              </w:rPr>
            </w:pPr>
            <w:r>
              <w:rPr>
                <w:rFonts w:eastAsia="Times New Roman" w:cs="Arial"/>
                <w:sz w:val="18"/>
                <w:szCs w:val="18"/>
                <w:lang w:val="en-US"/>
              </w:rPr>
              <w:t>-</w:t>
            </w:r>
          </w:p>
        </w:tc>
      </w:tr>
      <w:tr w:rsidR="00266178" w:rsidRPr="006D7381" w14:paraId="59D23FE6" w14:textId="77777777" w:rsidTr="005444AA">
        <w:trPr>
          <w:trHeight w:val="185"/>
        </w:trPr>
        <w:tc>
          <w:tcPr>
            <w:tcW w:w="992" w:type="pct"/>
            <w:vAlign w:val="bottom"/>
          </w:tcPr>
          <w:p w14:paraId="2584FF64" w14:textId="77777777" w:rsidR="00266178" w:rsidRPr="00166751" w:rsidRDefault="00266178" w:rsidP="00266178">
            <w:pPr>
              <w:spacing w:after="0" w:line="240" w:lineRule="exact"/>
              <w:rPr>
                <w:rFonts w:cs="Arial"/>
                <w:bCs/>
                <w:sz w:val="17"/>
                <w:szCs w:val="17"/>
              </w:rPr>
            </w:pPr>
            <w:r w:rsidRPr="00166751">
              <w:rPr>
                <w:rFonts w:cs="Arial"/>
                <w:bCs/>
                <w:sz w:val="17"/>
                <w:szCs w:val="17"/>
              </w:rPr>
              <w:t xml:space="preserve">Undrawn loans </w:t>
            </w:r>
          </w:p>
        </w:tc>
        <w:tc>
          <w:tcPr>
            <w:tcW w:w="502" w:type="pct"/>
            <w:tcBorders>
              <w:top w:val="nil"/>
              <w:left w:val="nil"/>
              <w:right w:val="nil"/>
            </w:tcBorders>
            <w:shd w:val="clear" w:color="auto" w:fill="auto"/>
            <w:vAlign w:val="bottom"/>
          </w:tcPr>
          <w:p w14:paraId="7A4671AC" w14:textId="6AB0BAF6" w:rsidR="00266178" w:rsidRPr="005444AA" w:rsidRDefault="00266178" w:rsidP="00266178">
            <w:pPr>
              <w:spacing w:after="0" w:line="240" w:lineRule="exact"/>
              <w:jc w:val="right"/>
              <w:rPr>
                <w:rFonts w:eastAsia="Times New Roman" w:cs="Arial"/>
                <w:sz w:val="18"/>
                <w:szCs w:val="18"/>
              </w:rPr>
            </w:pPr>
            <w:r w:rsidRPr="00165995">
              <w:rPr>
                <w:rFonts w:eastAsia="Times New Roman" w:cs="Arial"/>
                <w:sz w:val="18"/>
                <w:szCs w:val="18"/>
                <w:lang w:val="en-US"/>
              </w:rPr>
              <w:t>3</w:t>
            </w:r>
            <w:r>
              <w:rPr>
                <w:rFonts w:eastAsia="Times New Roman" w:cs="Arial"/>
                <w:sz w:val="18"/>
                <w:szCs w:val="18"/>
                <w:lang w:val="en-US"/>
              </w:rPr>
              <w:t>,</w:t>
            </w:r>
            <w:r w:rsidRPr="00165995">
              <w:rPr>
                <w:rFonts w:eastAsia="Times New Roman" w:cs="Arial"/>
                <w:sz w:val="18"/>
                <w:szCs w:val="18"/>
                <w:lang w:val="en-US"/>
              </w:rPr>
              <w:t>333</w:t>
            </w:r>
            <w:r>
              <w:rPr>
                <w:rFonts w:eastAsia="Times New Roman" w:cs="Arial"/>
                <w:sz w:val="18"/>
                <w:szCs w:val="18"/>
                <w:lang w:val="en-US"/>
              </w:rPr>
              <w:t>,</w:t>
            </w:r>
            <w:r w:rsidRPr="00165995">
              <w:rPr>
                <w:rFonts w:eastAsia="Times New Roman" w:cs="Arial"/>
                <w:sz w:val="18"/>
                <w:szCs w:val="18"/>
                <w:lang w:val="en-US"/>
              </w:rPr>
              <w:t>766</w:t>
            </w:r>
          </w:p>
        </w:tc>
        <w:tc>
          <w:tcPr>
            <w:tcW w:w="501" w:type="pct"/>
            <w:shd w:val="clear" w:color="auto" w:fill="auto"/>
            <w:vAlign w:val="bottom"/>
          </w:tcPr>
          <w:p w14:paraId="7B83C539" w14:textId="19015619" w:rsidR="00266178" w:rsidRPr="005444AA" w:rsidRDefault="00266178" w:rsidP="00266178">
            <w:pPr>
              <w:spacing w:after="0" w:line="240" w:lineRule="exact"/>
              <w:jc w:val="right"/>
              <w:rPr>
                <w:rFonts w:eastAsia="Times New Roman" w:cs="Arial"/>
                <w:sz w:val="18"/>
                <w:szCs w:val="18"/>
              </w:rPr>
            </w:pPr>
            <w:r w:rsidRPr="00165995">
              <w:rPr>
                <w:rFonts w:eastAsia="Times New Roman" w:cs="Arial"/>
                <w:sz w:val="18"/>
                <w:szCs w:val="18"/>
                <w:lang w:val="en-US"/>
              </w:rPr>
              <w:t>2</w:t>
            </w:r>
            <w:r>
              <w:rPr>
                <w:rFonts w:eastAsia="Times New Roman" w:cs="Arial"/>
                <w:sz w:val="18"/>
                <w:szCs w:val="18"/>
                <w:lang w:val="en-US"/>
              </w:rPr>
              <w:t>,</w:t>
            </w:r>
            <w:r w:rsidRPr="00165995">
              <w:rPr>
                <w:rFonts w:eastAsia="Times New Roman" w:cs="Arial"/>
                <w:sz w:val="18"/>
                <w:szCs w:val="18"/>
                <w:lang w:val="en-US"/>
              </w:rPr>
              <w:t>513</w:t>
            </w:r>
          </w:p>
        </w:tc>
        <w:tc>
          <w:tcPr>
            <w:tcW w:w="501" w:type="pct"/>
            <w:shd w:val="clear" w:color="auto" w:fill="auto"/>
            <w:vAlign w:val="bottom"/>
          </w:tcPr>
          <w:p w14:paraId="093211B9" w14:textId="4B55F5A4" w:rsidR="00266178" w:rsidRPr="005444AA" w:rsidRDefault="00266178" w:rsidP="00266178">
            <w:pPr>
              <w:spacing w:after="0" w:line="240" w:lineRule="exact"/>
              <w:jc w:val="right"/>
              <w:rPr>
                <w:rFonts w:eastAsia="Times New Roman" w:cs="Arial"/>
                <w:sz w:val="18"/>
                <w:szCs w:val="18"/>
              </w:rPr>
            </w:pPr>
            <w:r w:rsidRPr="00166751">
              <w:rPr>
                <w:rFonts w:eastAsia="Times New Roman" w:cs="Arial"/>
                <w:sz w:val="18"/>
                <w:szCs w:val="18"/>
              </w:rPr>
              <w:t>-</w:t>
            </w:r>
          </w:p>
        </w:tc>
        <w:tc>
          <w:tcPr>
            <w:tcW w:w="501" w:type="pct"/>
            <w:tcBorders>
              <w:top w:val="nil"/>
              <w:left w:val="nil"/>
              <w:right w:val="nil"/>
            </w:tcBorders>
            <w:shd w:val="clear" w:color="auto" w:fill="auto"/>
            <w:vAlign w:val="bottom"/>
          </w:tcPr>
          <w:p w14:paraId="60DE9CFA" w14:textId="510A9AFA" w:rsidR="00266178" w:rsidRPr="005444AA" w:rsidRDefault="00266178" w:rsidP="00266178">
            <w:pPr>
              <w:spacing w:after="0" w:line="240" w:lineRule="exact"/>
              <w:jc w:val="right"/>
              <w:rPr>
                <w:rFonts w:eastAsia="Times New Roman" w:cs="Arial"/>
                <w:sz w:val="18"/>
                <w:szCs w:val="18"/>
              </w:rPr>
            </w:pPr>
            <w:r w:rsidRPr="00165995">
              <w:rPr>
                <w:rFonts w:eastAsia="Times New Roman" w:cs="Arial"/>
                <w:sz w:val="18"/>
                <w:szCs w:val="18"/>
                <w:lang w:val="en-US"/>
              </w:rPr>
              <w:t>3</w:t>
            </w:r>
            <w:r>
              <w:rPr>
                <w:rFonts w:eastAsia="Times New Roman" w:cs="Arial"/>
                <w:sz w:val="18"/>
                <w:szCs w:val="18"/>
                <w:lang w:val="en-US"/>
              </w:rPr>
              <w:t>,</w:t>
            </w:r>
            <w:r w:rsidRPr="00165995">
              <w:rPr>
                <w:rFonts w:eastAsia="Times New Roman" w:cs="Arial"/>
                <w:sz w:val="18"/>
                <w:szCs w:val="18"/>
                <w:lang w:val="en-US"/>
              </w:rPr>
              <w:t>336</w:t>
            </w:r>
            <w:r>
              <w:rPr>
                <w:rFonts w:eastAsia="Times New Roman" w:cs="Arial"/>
                <w:sz w:val="18"/>
                <w:szCs w:val="18"/>
                <w:lang w:val="en-US"/>
              </w:rPr>
              <w:t>,</w:t>
            </w:r>
            <w:r w:rsidRPr="00165995">
              <w:rPr>
                <w:rFonts w:eastAsia="Times New Roman" w:cs="Arial"/>
                <w:sz w:val="18"/>
                <w:szCs w:val="18"/>
                <w:lang w:val="en-US"/>
              </w:rPr>
              <w:t>279</w:t>
            </w:r>
          </w:p>
        </w:tc>
        <w:tc>
          <w:tcPr>
            <w:tcW w:w="501" w:type="pct"/>
            <w:tcBorders>
              <w:top w:val="nil"/>
              <w:left w:val="nil"/>
              <w:bottom w:val="nil"/>
              <w:right w:val="nil"/>
            </w:tcBorders>
            <w:shd w:val="clear" w:color="auto" w:fill="auto"/>
            <w:vAlign w:val="bottom"/>
          </w:tcPr>
          <w:p w14:paraId="57391A8E" w14:textId="1EE858FE" w:rsidR="00266178" w:rsidRPr="006D7381" w:rsidRDefault="00266178" w:rsidP="00266178">
            <w:pPr>
              <w:spacing w:after="0" w:line="240" w:lineRule="exact"/>
              <w:jc w:val="right"/>
              <w:rPr>
                <w:rFonts w:cs="Arial"/>
                <w:bCs/>
                <w:sz w:val="18"/>
                <w:szCs w:val="18"/>
              </w:rPr>
            </w:pPr>
            <w:r w:rsidRPr="00132236">
              <w:rPr>
                <w:rFonts w:eastAsia="Times New Roman" w:cs="Arial"/>
                <w:sz w:val="18"/>
                <w:szCs w:val="18"/>
                <w:lang w:val="en-US"/>
              </w:rPr>
              <w:t>466,544</w:t>
            </w:r>
          </w:p>
        </w:tc>
        <w:tc>
          <w:tcPr>
            <w:tcW w:w="501" w:type="pct"/>
            <w:tcBorders>
              <w:top w:val="nil"/>
              <w:left w:val="nil"/>
              <w:bottom w:val="nil"/>
              <w:right w:val="nil"/>
            </w:tcBorders>
            <w:shd w:val="clear" w:color="auto" w:fill="auto"/>
            <w:vAlign w:val="bottom"/>
          </w:tcPr>
          <w:p w14:paraId="44BC9D77" w14:textId="56BC0A6D" w:rsidR="00266178" w:rsidRPr="006D7381" w:rsidRDefault="00266178" w:rsidP="00266178">
            <w:pPr>
              <w:spacing w:after="0" w:line="240" w:lineRule="exact"/>
              <w:jc w:val="right"/>
              <w:rPr>
                <w:rFonts w:cs="Arial"/>
                <w:bCs/>
                <w:sz w:val="18"/>
                <w:szCs w:val="18"/>
              </w:rPr>
            </w:pPr>
            <w:r w:rsidRPr="00AB3986">
              <w:rPr>
                <w:rFonts w:eastAsia="Times New Roman" w:cs="Arial"/>
                <w:sz w:val="18"/>
                <w:szCs w:val="18"/>
                <w:lang w:val="en-US"/>
              </w:rPr>
              <w:t>-</w:t>
            </w:r>
          </w:p>
        </w:tc>
        <w:tc>
          <w:tcPr>
            <w:tcW w:w="501" w:type="pct"/>
            <w:tcBorders>
              <w:top w:val="nil"/>
              <w:left w:val="nil"/>
              <w:bottom w:val="nil"/>
              <w:right w:val="nil"/>
            </w:tcBorders>
            <w:shd w:val="clear" w:color="auto" w:fill="auto"/>
            <w:vAlign w:val="bottom"/>
          </w:tcPr>
          <w:p w14:paraId="12F1BCF1" w14:textId="2C670AFB" w:rsidR="00266178" w:rsidRPr="006D7381" w:rsidRDefault="00266178" w:rsidP="00266178">
            <w:pPr>
              <w:spacing w:after="0" w:line="240" w:lineRule="exact"/>
              <w:jc w:val="right"/>
              <w:rPr>
                <w:rFonts w:cs="Arial"/>
                <w:bCs/>
                <w:sz w:val="18"/>
                <w:szCs w:val="18"/>
              </w:rPr>
            </w:pPr>
            <w:r w:rsidRPr="00AB3986">
              <w:rPr>
                <w:rFonts w:eastAsia="Times New Roman" w:cs="Arial"/>
                <w:sz w:val="18"/>
                <w:szCs w:val="18"/>
                <w:lang w:val="en-US"/>
              </w:rPr>
              <w:t>-</w:t>
            </w:r>
          </w:p>
        </w:tc>
        <w:tc>
          <w:tcPr>
            <w:tcW w:w="499" w:type="pct"/>
            <w:tcBorders>
              <w:top w:val="nil"/>
              <w:left w:val="nil"/>
              <w:bottom w:val="nil"/>
              <w:right w:val="nil"/>
            </w:tcBorders>
            <w:shd w:val="clear" w:color="auto" w:fill="auto"/>
            <w:vAlign w:val="bottom"/>
          </w:tcPr>
          <w:p w14:paraId="5EEA33CE" w14:textId="52AAB887" w:rsidR="00266178" w:rsidRPr="006D7381" w:rsidRDefault="00266178" w:rsidP="00266178">
            <w:pPr>
              <w:spacing w:after="0" w:line="240" w:lineRule="exact"/>
              <w:jc w:val="right"/>
              <w:rPr>
                <w:rFonts w:cs="Arial"/>
                <w:bCs/>
                <w:sz w:val="18"/>
                <w:szCs w:val="18"/>
              </w:rPr>
            </w:pPr>
            <w:r w:rsidRPr="00165995">
              <w:rPr>
                <w:rFonts w:eastAsia="Times New Roman" w:cs="Arial"/>
                <w:sz w:val="18"/>
                <w:szCs w:val="18"/>
                <w:lang w:val="en-US"/>
              </w:rPr>
              <w:t>466</w:t>
            </w:r>
            <w:r>
              <w:rPr>
                <w:rFonts w:eastAsia="Times New Roman" w:cs="Arial"/>
                <w:sz w:val="18"/>
                <w:szCs w:val="18"/>
                <w:lang w:val="en-US"/>
              </w:rPr>
              <w:t>,</w:t>
            </w:r>
            <w:r w:rsidRPr="00165995">
              <w:rPr>
                <w:rFonts w:eastAsia="Times New Roman" w:cs="Arial"/>
                <w:sz w:val="18"/>
                <w:szCs w:val="18"/>
                <w:lang w:val="en-US"/>
              </w:rPr>
              <w:t>544</w:t>
            </w:r>
          </w:p>
        </w:tc>
      </w:tr>
      <w:tr w:rsidR="00266178" w:rsidRPr="006D7381" w14:paraId="4D07D108" w14:textId="77777777" w:rsidTr="005444AA">
        <w:trPr>
          <w:trHeight w:val="310"/>
        </w:trPr>
        <w:tc>
          <w:tcPr>
            <w:tcW w:w="992" w:type="pct"/>
            <w:vAlign w:val="bottom"/>
          </w:tcPr>
          <w:p w14:paraId="71EA4121" w14:textId="77777777" w:rsidR="00266178" w:rsidRPr="00166751" w:rsidRDefault="00266178" w:rsidP="00266178">
            <w:pPr>
              <w:spacing w:after="0" w:line="240" w:lineRule="exact"/>
              <w:rPr>
                <w:rFonts w:cs="Arial"/>
                <w:bCs/>
                <w:sz w:val="17"/>
                <w:szCs w:val="17"/>
              </w:rPr>
            </w:pPr>
            <w:r w:rsidRPr="00166751">
              <w:rPr>
                <w:rFonts w:cs="Arial"/>
                <w:bCs/>
                <w:sz w:val="17"/>
                <w:szCs w:val="17"/>
              </w:rPr>
              <w:t xml:space="preserve">Other irrevocable contingent liabilities </w:t>
            </w:r>
          </w:p>
        </w:tc>
        <w:tc>
          <w:tcPr>
            <w:tcW w:w="502" w:type="pct"/>
            <w:tcBorders>
              <w:top w:val="nil"/>
              <w:left w:val="nil"/>
              <w:bottom w:val="single" w:sz="8" w:space="0" w:color="auto"/>
              <w:right w:val="nil"/>
            </w:tcBorders>
            <w:shd w:val="clear" w:color="auto" w:fill="auto"/>
            <w:vAlign w:val="bottom"/>
          </w:tcPr>
          <w:p w14:paraId="42D18261" w14:textId="7A75EBFB" w:rsidR="00266178" w:rsidRPr="005444AA" w:rsidRDefault="00266178" w:rsidP="00266178">
            <w:pPr>
              <w:spacing w:after="0" w:line="240" w:lineRule="exact"/>
              <w:jc w:val="right"/>
              <w:rPr>
                <w:rFonts w:eastAsia="Times New Roman" w:cs="Arial"/>
                <w:sz w:val="18"/>
                <w:szCs w:val="18"/>
              </w:rPr>
            </w:pPr>
            <w:r w:rsidRPr="00165995">
              <w:rPr>
                <w:rFonts w:eastAsia="Times New Roman" w:cs="Arial"/>
                <w:sz w:val="18"/>
                <w:szCs w:val="18"/>
                <w:lang w:val="en-US"/>
              </w:rPr>
              <w:t>335</w:t>
            </w:r>
          </w:p>
        </w:tc>
        <w:tc>
          <w:tcPr>
            <w:tcW w:w="501" w:type="pct"/>
            <w:tcBorders>
              <w:top w:val="nil"/>
              <w:left w:val="nil"/>
              <w:bottom w:val="single" w:sz="8" w:space="0" w:color="auto"/>
              <w:right w:val="nil"/>
            </w:tcBorders>
            <w:shd w:val="clear" w:color="auto" w:fill="auto"/>
            <w:vAlign w:val="bottom"/>
          </w:tcPr>
          <w:p w14:paraId="7A839296" w14:textId="18EAED54" w:rsidR="00266178" w:rsidRPr="005444AA" w:rsidRDefault="00266178" w:rsidP="00266178">
            <w:pPr>
              <w:spacing w:after="0" w:line="240" w:lineRule="exact"/>
              <w:jc w:val="right"/>
              <w:rPr>
                <w:rFonts w:eastAsia="Times New Roman" w:cs="Arial"/>
                <w:sz w:val="18"/>
                <w:szCs w:val="18"/>
              </w:rPr>
            </w:pPr>
            <w:r w:rsidRPr="00165995">
              <w:rPr>
                <w:rFonts w:eastAsia="Times New Roman" w:cs="Arial"/>
                <w:sz w:val="18"/>
                <w:szCs w:val="18"/>
                <w:lang w:val="en-US"/>
              </w:rPr>
              <w:t>-</w:t>
            </w:r>
          </w:p>
        </w:tc>
        <w:tc>
          <w:tcPr>
            <w:tcW w:w="501" w:type="pct"/>
            <w:tcBorders>
              <w:top w:val="nil"/>
              <w:left w:val="nil"/>
              <w:bottom w:val="single" w:sz="8" w:space="0" w:color="auto"/>
              <w:right w:val="nil"/>
            </w:tcBorders>
            <w:shd w:val="clear" w:color="auto" w:fill="auto"/>
            <w:vAlign w:val="bottom"/>
          </w:tcPr>
          <w:p w14:paraId="249B6C0C" w14:textId="513F4365" w:rsidR="00266178" w:rsidRPr="005444AA" w:rsidRDefault="00266178" w:rsidP="00266178">
            <w:pPr>
              <w:spacing w:after="0" w:line="240" w:lineRule="exact"/>
              <w:jc w:val="right"/>
              <w:rPr>
                <w:rFonts w:eastAsia="Times New Roman" w:cs="Arial"/>
                <w:sz w:val="18"/>
                <w:szCs w:val="18"/>
              </w:rPr>
            </w:pPr>
            <w:r w:rsidRPr="00B4620E">
              <w:rPr>
                <w:rFonts w:eastAsia="Times New Roman" w:cs="Arial"/>
                <w:sz w:val="18"/>
                <w:szCs w:val="18"/>
              </w:rPr>
              <w:t>-</w:t>
            </w:r>
          </w:p>
        </w:tc>
        <w:tc>
          <w:tcPr>
            <w:tcW w:w="501" w:type="pct"/>
            <w:tcBorders>
              <w:top w:val="nil"/>
              <w:left w:val="nil"/>
              <w:bottom w:val="single" w:sz="8" w:space="0" w:color="auto"/>
              <w:right w:val="nil"/>
            </w:tcBorders>
            <w:shd w:val="clear" w:color="auto" w:fill="auto"/>
            <w:vAlign w:val="bottom"/>
          </w:tcPr>
          <w:p w14:paraId="798CBD08" w14:textId="079F6DC9" w:rsidR="00266178" w:rsidRPr="005444AA" w:rsidRDefault="00266178" w:rsidP="00266178">
            <w:pPr>
              <w:spacing w:after="0" w:line="240" w:lineRule="exact"/>
              <w:jc w:val="right"/>
              <w:rPr>
                <w:rFonts w:eastAsia="Times New Roman" w:cs="Arial"/>
                <w:sz w:val="18"/>
                <w:szCs w:val="18"/>
              </w:rPr>
            </w:pPr>
            <w:r w:rsidRPr="00165995">
              <w:rPr>
                <w:rFonts w:eastAsia="Times New Roman" w:cs="Arial"/>
                <w:sz w:val="18"/>
                <w:szCs w:val="18"/>
                <w:lang w:val="en-US"/>
              </w:rPr>
              <w:t>335</w:t>
            </w:r>
          </w:p>
        </w:tc>
        <w:tc>
          <w:tcPr>
            <w:tcW w:w="501" w:type="pct"/>
            <w:tcBorders>
              <w:top w:val="nil"/>
              <w:left w:val="nil"/>
              <w:bottom w:val="single" w:sz="8" w:space="0" w:color="auto"/>
              <w:right w:val="nil"/>
            </w:tcBorders>
            <w:shd w:val="clear" w:color="auto" w:fill="auto"/>
            <w:vAlign w:val="bottom"/>
          </w:tcPr>
          <w:p w14:paraId="273CD059" w14:textId="0A436953" w:rsidR="00266178" w:rsidRPr="006D7381" w:rsidRDefault="00266178" w:rsidP="00266178">
            <w:pPr>
              <w:spacing w:after="0" w:line="240" w:lineRule="exact"/>
              <w:jc w:val="right"/>
              <w:rPr>
                <w:rFonts w:cs="Arial"/>
                <w:bCs/>
                <w:sz w:val="18"/>
                <w:szCs w:val="18"/>
              </w:rPr>
            </w:pPr>
            <w:r w:rsidRPr="00132236">
              <w:rPr>
                <w:rFonts w:eastAsia="Times New Roman" w:cs="Arial"/>
                <w:sz w:val="18"/>
                <w:szCs w:val="18"/>
              </w:rPr>
              <w:t>335</w:t>
            </w:r>
          </w:p>
        </w:tc>
        <w:tc>
          <w:tcPr>
            <w:tcW w:w="501" w:type="pct"/>
            <w:tcBorders>
              <w:top w:val="nil"/>
              <w:left w:val="nil"/>
              <w:bottom w:val="single" w:sz="8" w:space="0" w:color="auto"/>
              <w:right w:val="nil"/>
            </w:tcBorders>
            <w:shd w:val="clear" w:color="auto" w:fill="auto"/>
            <w:vAlign w:val="bottom"/>
          </w:tcPr>
          <w:p w14:paraId="6311A44C" w14:textId="678AFB98" w:rsidR="00266178" w:rsidRPr="006D7381" w:rsidRDefault="00266178" w:rsidP="00266178">
            <w:pPr>
              <w:spacing w:after="0" w:line="240" w:lineRule="exact"/>
              <w:jc w:val="right"/>
              <w:rPr>
                <w:rFonts w:cs="Arial"/>
                <w:bCs/>
                <w:sz w:val="18"/>
                <w:szCs w:val="18"/>
              </w:rPr>
            </w:pPr>
            <w:r w:rsidRPr="00B4620E">
              <w:rPr>
                <w:rFonts w:eastAsia="Times New Roman" w:cs="Arial"/>
                <w:sz w:val="18"/>
                <w:szCs w:val="18"/>
              </w:rPr>
              <w:t>-</w:t>
            </w:r>
          </w:p>
        </w:tc>
        <w:tc>
          <w:tcPr>
            <w:tcW w:w="501" w:type="pct"/>
            <w:tcBorders>
              <w:top w:val="nil"/>
              <w:left w:val="nil"/>
              <w:bottom w:val="single" w:sz="8" w:space="0" w:color="auto"/>
              <w:right w:val="nil"/>
            </w:tcBorders>
            <w:shd w:val="clear" w:color="auto" w:fill="auto"/>
            <w:vAlign w:val="bottom"/>
          </w:tcPr>
          <w:p w14:paraId="36D8D9C4" w14:textId="59E2E69C" w:rsidR="00266178" w:rsidRPr="006D7381" w:rsidRDefault="00266178" w:rsidP="00266178">
            <w:pPr>
              <w:spacing w:after="0" w:line="240" w:lineRule="exact"/>
              <w:jc w:val="right"/>
              <w:rPr>
                <w:rFonts w:cs="Arial"/>
                <w:bCs/>
                <w:sz w:val="18"/>
                <w:szCs w:val="18"/>
              </w:rPr>
            </w:pPr>
            <w:r w:rsidRPr="00B4620E">
              <w:rPr>
                <w:rFonts w:eastAsia="Times New Roman" w:cs="Arial"/>
                <w:sz w:val="18"/>
                <w:szCs w:val="18"/>
              </w:rPr>
              <w:t>-</w:t>
            </w:r>
          </w:p>
        </w:tc>
        <w:tc>
          <w:tcPr>
            <w:tcW w:w="499" w:type="pct"/>
            <w:tcBorders>
              <w:top w:val="nil"/>
              <w:left w:val="nil"/>
              <w:bottom w:val="single" w:sz="8" w:space="0" w:color="auto"/>
              <w:right w:val="nil"/>
            </w:tcBorders>
            <w:shd w:val="clear" w:color="auto" w:fill="auto"/>
            <w:vAlign w:val="bottom"/>
          </w:tcPr>
          <w:p w14:paraId="38270C18" w14:textId="572C5C8F" w:rsidR="00266178" w:rsidRPr="006D7381" w:rsidRDefault="00266178" w:rsidP="00266178">
            <w:pPr>
              <w:spacing w:after="0" w:line="240" w:lineRule="exact"/>
              <w:jc w:val="right"/>
              <w:rPr>
                <w:rFonts w:cs="Arial"/>
                <w:bCs/>
                <w:sz w:val="18"/>
                <w:szCs w:val="18"/>
              </w:rPr>
            </w:pPr>
            <w:r w:rsidRPr="00165995">
              <w:rPr>
                <w:rFonts w:eastAsia="Times New Roman" w:cs="Arial"/>
                <w:sz w:val="18"/>
                <w:szCs w:val="18"/>
                <w:lang w:val="en-US"/>
              </w:rPr>
              <w:t>335</w:t>
            </w:r>
          </w:p>
        </w:tc>
      </w:tr>
      <w:tr w:rsidR="00B63F57" w:rsidRPr="006D7381" w14:paraId="500D99D6" w14:textId="77777777" w:rsidTr="005444AA">
        <w:trPr>
          <w:trHeight w:val="148"/>
        </w:trPr>
        <w:tc>
          <w:tcPr>
            <w:tcW w:w="992" w:type="pct"/>
            <w:vAlign w:val="bottom"/>
          </w:tcPr>
          <w:p w14:paraId="3FEAF15B" w14:textId="77777777" w:rsidR="00B63F57" w:rsidRPr="00166751" w:rsidRDefault="00B63F57" w:rsidP="00B63F57">
            <w:pPr>
              <w:spacing w:after="0" w:line="240" w:lineRule="exact"/>
              <w:rPr>
                <w:rFonts w:cs="Arial"/>
                <w:b/>
                <w:bCs/>
                <w:sz w:val="17"/>
                <w:szCs w:val="17"/>
              </w:rPr>
            </w:pPr>
            <w:r w:rsidRPr="00166751">
              <w:rPr>
                <w:rFonts w:cs="Arial"/>
                <w:b/>
                <w:bCs/>
                <w:sz w:val="17"/>
                <w:szCs w:val="17"/>
              </w:rPr>
              <w:t xml:space="preserve">Total </w:t>
            </w:r>
          </w:p>
        </w:tc>
        <w:tc>
          <w:tcPr>
            <w:tcW w:w="502" w:type="pct"/>
            <w:tcBorders>
              <w:top w:val="nil"/>
              <w:left w:val="nil"/>
              <w:bottom w:val="single" w:sz="12" w:space="0" w:color="auto"/>
              <w:right w:val="nil"/>
            </w:tcBorders>
            <w:shd w:val="clear" w:color="auto" w:fill="auto"/>
            <w:vAlign w:val="bottom"/>
          </w:tcPr>
          <w:p w14:paraId="3339F48B" w14:textId="0F60F33F" w:rsidR="00B63F57" w:rsidRPr="005444AA" w:rsidRDefault="00132236" w:rsidP="00B63F57">
            <w:pPr>
              <w:spacing w:after="0" w:line="240" w:lineRule="exact"/>
              <w:jc w:val="right"/>
              <w:rPr>
                <w:rFonts w:eastAsia="Times New Roman" w:cs="Arial"/>
                <w:b/>
                <w:sz w:val="18"/>
                <w:szCs w:val="18"/>
              </w:rPr>
            </w:pPr>
            <w:r w:rsidRPr="00132236">
              <w:rPr>
                <w:rFonts w:eastAsia="Times New Roman" w:cs="Arial"/>
                <w:b/>
                <w:sz w:val="18"/>
                <w:szCs w:val="18"/>
              </w:rPr>
              <w:t>5,520,374</w:t>
            </w:r>
          </w:p>
        </w:tc>
        <w:tc>
          <w:tcPr>
            <w:tcW w:w="501" w:type="pct"/>
            <w:tcBorders>
              <w:top w:val="nil"/>
              <w:left w:val="nil"/>
              <w:bottom w:val="single" w:sz="12" w:space="0" w:color="auto"/>
              <w:right w:val="nil"/>
            </w:tcBorders>
            <w:shd w:val="clear" w:color="auto" w:fill="auto"/>
            <w:vAlign w:val="bottom"/>
          </w:tcPr>
          <w:p w14:paraId="51675315" w14:textId="1F3EC9FF" w:rsidR="00B63F57" w:rsidRPr="005444AA" w:rsidRDefault="00132236" w:rsidP="00B63F57">
            <w:pPr>
              <w:spacing w:after="0" w:line="240" w:lineRule="exact"/>
              <w:jc w:val="right"/>
              <w:rPr>
                <w:rFonts w:eastAsia="Times New Roman" w:cs="Arial"/>
                <w:b/>
                <w:sz w:val="18"/>
                <w:szCs w:val="18"/>
              </w:rPr>
            </w:pPr>
            <w:r w:rsidRPr="00132236">
              <w:rPr>
                <w:rFonts w:eastAsia="Times New Roman" w:cs="Arial"/>
                <w:b/>
                <w:sz w:val="18"/>
                <w:szCs w:val="18"/>
              </w:rPr>
              <w:t>29,872</w:t>
            </w:r>
          </w:p>
        </w:tc>
        <w:tc>
          <w:tcPr>
            <w:tcW w:w="501" w:type="pct"/>
            <w:tcBorders>
              <w:top w:val="single" w:sz="6" w:space="0" w:color="auto"/>
              <w:bottom w:val="single" w:sz="12" w:space="0" w:color="auto"/>
            </w:tcBorders>
            <w:shd w:val="clear" w:color="auto" w:fill="auto"/>
            <w:vAlign w:val="bottom"/>
          </w:tcPr>
          <w:p w14:paraId="03EB3DA0" w14:textId="00B92DC2" w:rsidR="00B63F57" w:rsidRPr="005444AA" w:rsidRDefault="00B63F57" w:rsidP="00B63F57">
            <w:pPr>
              <w:spacing w:after="0" w:line="240" w:lineRule="exact"/>
              <w:jc w:val="right"/>
              <w:rPr>
                <w:rFonts w:eastAsia="Times New Roman" w:cs="Arial"/>
                <w:b/>
                <w:sz w:val="18"/>
                <w:szCs w:val="18"/>
              </w:rPr>
            </w:pPr>
            <w:r w:rsidRPr="00DC658B">
              <w:rPr>
                <w:rFonts w:eastAsia="Times New Roman" w:cs="Arial"/>
                <w:b/>
                <w:sz w:val="18"/>
                <w:szCs w:val="18"/>
              </w:rPr>
              <w:t>-</w:t>
            </w:r>
          </w:p>
        </w:tc>
        <w:tc>
          <w:tcPr>
            <w:tcW w:w="501" w:type="pct"/>
            <w:tcBorders>
              <w:top w:val="nil"/>
              <w:left w:val="nil"/>
              <w:bottom w:val="single" w:sz="12" w:space="0" w:color="auto"/>
              <w:right w:val="nil"/>
            </w:tcBorders>
            <w:shd w:val="clear" w:color="auto" w:fill="auto"/>
            <w:vAlign w:val="bottom"/>
          </w:tcPr>
          <w:p w14:paraId="72A7D34D" w14:textId="4C9F9F0A" w:rsidR="00B63F57" w:rsidRPr="005444AA" w:rsidRDefault="00132236" w:rsidP="00B63F57">
            <w:pPr>
              <w:spacing w:after="0" w:line="240" w:lineRule="exact"/>
              <w:jc w:val="right"/>
              <w:rPr>
                <w:rFonts w:eastAsia="Times New Roman" w:cs="Arial"/>
                <w:b/>
                <w:sz w:val="18"/>
                <w:szCs w:val="18"/>
              </w:rPr>
            </w:pPr>
            <w:r w:rsidRPr="00132236">
              <w:rPr>
                <w:rFonts w:eastAsia="Times New Roman" w:cs="Arial"/>
                <w:b/>
                <w:sz w:val="18"/>
                <w:szCs w:val="18"/>
              </w:rPr>
              <w:t>5,550,246</w:t>
            </w:r>
          </w:p>
        </w:tc>
        <w:tc>
          <w:tcPr>
            <w:tcW w:w="501" w:type="pct"/>
            <w:tcBorders>
              <w:top w:val="nil"/>
              <w:left w:val="nil"/>
              <w:bottom w:val="single" w:sz="12" w:space="0" w:color="auto"/>
              <w:right w:val="nil"/>
            </w:tcBorders>
            <w:shd w:val="clear" w:color="auto" w:fill="auto"/>
            <w:vAlign w:val="center"/>
          </w:tcPr>
          <w:p w14:paraId="2B62294F" w14:textId="22A52145" w:rsidR="00B63F57" w:rsidRPr="006D7381" w:rsidRDefault="00132236">
            <w:pPr>
              <w:spacing w:after="0" w:line="240" w:lineRule="exact"/>
              <w:jc w:val="right"/>
              <w:rPr>
                <w:rFonts w:cs="Arial"/>
                <w:b/>
                <w:bCs/>
                <w:sz w:val="18"/>
                <w:szCs w:val="18"/>
              </w:rPr>
            </w:pPr>
            <w:r w:rsidRPr="00132236">
              <w:rPr>
                <w:rFonts w:eastAsia="Times New Roman" w:cs="Arial"/>
                <w:b/>
                <w:sz w:val="18"/>
                <w:szCs w:val="18"/>
                <w:lang w:val="en-US"/>
              </w:rPr>
              <w:t>757,120</w:t>
            </w:r>
          </w:p>
        </w:tc>
        <w:tc>
          <w:tcPr>
            <w:tcW w:w="501" w:type="pct"/>
            <w:tcBorders>
              <w:top w:val="nil"/>
              <w:left w:val="nil"/>
              <w:bottom w:val="single" w:sz="12" w:space="0" w:color="auto"/>
              <w:right w:val="nil"/>
            </w:tcBorders>
            <w:shd w:val="clear" w:color="auto" w:fill="auto"/>
            <w:vAlign w:val="center"/>
          </w:tcPr>
          <w:p w14:paraId="6FD78ABF" w14:textId="0FC5DBF6" w:rsidR="00B63F57" w:rsidRPr="006D7381" w:rsidRDefault="00B63F57" w:rsidP="00B63F57">
            <w:pPr>
              <w:spacing w:after="0" w:line="240" w:lineRule="exact"/>
              <w:jc w:val="right"/>
              <w:rPr>
                <w:rFonts w:cs="Arial"/>
                <w:b/>
                <w:bCs/>
                <w:sz w:val="18"/>
                <w:szCs w:val="18"/>
              </w:rPr>
            </w:pPr>
            <w:r w:rsidRPr="00AB3986">
              <w:rPr>
                <w:rFonts w:eastAsia="Times New Roman" w:cs="Arial"/>
                <w:b/>
                <w:sz w:val="18"/>
                <w:szCs w:val="18"/>
                <w:lang w:val="en-US"/>
              </w:rPr>
              <w:t>-</w:t>
            </w:r>
          </w:p>
        </w:tc>
        <w:tc>
          <w:tcPr>
            <w:tcW w:w="501" w:type="pct"/>
            <w:tcBorders>
              <w:top w:val="nil"/>
              <w:left w:val="nil"/>
              <w:bottom w:val="single" w:sz="12" w:space="0" w:color="auto"/>
              <w:right w:val="nil"/>
            </w:tcBorders>
            <w:shd w:val="clear" w:color="auto" w:fill="auto"/>
            <w:vAlign w:val="center"/>
          </w:tcPr>
          <w:p w14:paraId="3AF2B36E" w14:textId="349E9039" w:rsidR="00B63F57" w:rsidRPr="006D7381" w:rsidRDefault="00B63F57" w:rsidP="00B63F57">
            <w:pPr>
              <w:spacing w:after="0" w:line="240" w:lineRule="exact"/>
              <w:jc w:val="right"/>
              <w:rPr>
                <w:rFonts w:cs="Arial"/>
                <w:b/>
                <w:bCs/>
                <w:sz w:val="18"/>
                <w:szCs w:val="18"/>
              </w:rPr>
            </w:pPr>
            <w:r w:rsidRPr="00AB3986">
              <w:rPr>
                <w:rFonts w:eastAsia="Times New Roman" w:cs="Arial"/>
                <w:b/>
                <w:sz w:val="18"/>
                <w:szCs w:val="18"/>
                <w:lang w:val="en-US"/>
              </w:rPr>
              <w:t>-</w:t>
            </w:r>
          </w:p>
        </w:tc>
        <w:tc>
          <w:tcPr>
            <w:tcW w:w="499" w:type="pct"/>
            <w:tcBorders>
              <w:top w:val="nil"/>
              <w:left w:val="nil"/>
              <w:bottom w:val="single" w:sz="12" w:space="0" w:color="auto"/>
              <w:right w:val="nil"/>
            </w:tcBorders>
            <w:shd w:val="clear" w:color="auto" w:fill="auto"/>
            <w:vAlign w:val="center"/>
          </w:tcPr>
          <w:p w14:paraId="0BDA4820" w14:textId="33FA175A" w:rsidR="00B63F57" w:rsidRPr="006D7381" w:rsidRDefault="00266178">
            <w:pPr>
              <w:spacing w:after="0" w:line="240" w:lineRule="exact"/>
              <w:jc w:val="right"/>
              <w:rPr>
                <w:rFonts w:cs="Arial"/>
                <w:b/>
                <w:bCs/>
                <w:sz w:val="18"/>
                <w:szCs w:val="18"/>
              </w:rPr>
            </w:pPr>
            <w:r w:rsidRPr="00266178">
              <w:rPr>
                <w:rFonts w:eastAsia="Times New Roman" w:cs="Arial"/>
                <w:b/>
                <w:sz w:val="18"/>
                <w:szCs w:val="18"/>
                <w:lang w:val="en-US"/>
              </w:rPr>
              <w:t>757,120</w:t>
            </w:r>
          </w:p>
        </w:tc>
      </w:tr>
      <w:tr w:rsidR="00B63F57" w:rsidRPr="006D7381" w14:paraId="5ACFB827" w14:textId="77777777" w:rsidTr="005444AA">
        <w:trPr>
          <w:trHeight w:val="477"/>
        </w:trPr>
        <w:tc>
          <w:tcPr>
            <w:tcW w:w="992" w:type="pct"/>
            <w:vAlign w:val="bottom"/>
          </w:tcPr>
          <w:p w14:paraId="34D39902" w14:textId="77777777" w:rsidR="00B63F57" w:rsidRPr="00166751" w:rsidRDefault="00B63F57" w:rsidP="00B63F57">
            <w:pPr>
              <w:spacing w:after="0" w:line="240" w:lineRule="exact"/>
              <w:rPr>
                <w:rFonts w:cs="Arial"/>
                <w:b/>
                <w:bCs/>
                <w:sz w:val="17"/>
                <w:szCs w:val="17"/>
              </w:rPr>
            </w:pPr>
            <w:r w:rsidRPr="00166751">
              <w:rPr>
                <w:rFonts w:cs="Arial"/>
                <w:b/>
                <w:bCs/>
                <w:sz w:val="17"/>
                <w:szCs w:val="17"/>
              </w:rPr>
              <w:t xml:space="preserve">Total credit risk  exposure </w:t>
            </w:r>
          </w:p>
        </w:tc>
        <w:tc>
          <w:tcPr>
            <w:tcW w:w="502" w:type="pct"/>
            <w:tcBorders>
              <w:top w:val="nil"/>
              <w:left w:val="nil"/>
              <w:bottom w:val="single" w:sz="12" w:space="0" w:color="auto"/>
              <w:right w:val="nil"/>
            </w:tcBorders>
            <w:shd w:val="clear" w:color="auto" w:fill="auto"/>
            <w:vAlign w:val="bottom"/>
          </w:tcPr>
          <w:p w14:paraId="34A1BBA4" w14:textId="312509D2" w:rsidR="00B63F57" w:rsidRPr="005444AA" w:rsidRDefault="00132236" w:rsidP="00B63F57">
            <w:pPr>
              <w:spacing w:after="0" w:line="240" w:lineRule="exact"/>
              <w:jc w:val="right"/>
              <w:rPr>
                <w:rFonts w:eastAsia="Times New Roman" w:cs="Arial"/>
                <w:b/>
                <w:sz w:val="18"/>
                <w:szCs w:val="18"/>
              </w:rPr>
            </w:pPr>
            <w:r w:rsidRPr="00132236">
              <w:rPr>
                <w:rFonts w:eastAsia="Times New Roman" w:cs="Arial"/>
                <w:b/>
                <w:sz w:val="18"/>
                <w:szCs w:val="18"/>
              </w:rPr>
              <w:t>32,003,912</w:t>
            </w:r>
          </w:p>
        </w:tc>
        <w:tc>
          <w:tcPr>
            <w:tcW w:w="501" w:type="pct"/>
            <w:tcBorders>
              <w:top w:val="nil"/>
              <w:left w:val="nil"/>
              <w:bottom w:val="single" w:sz="12" w:space="0" w:color="auto"/>
              <w:right w:val="nil"/>
            </w:tcBorders>
            <w:shd w:val="clear" w:color="auto" w:fill="auto"/>
            <w:vAlign w:val="bottom"/>
          </w:tcPr>
          <w:p w14:paraId="3BA85B38" w14:textId="2548704D" w:rsidR="00B63F57" w:rsidRPr="005444AA" w:rsidRDefault="00132236" w:rsidP="00B63F57">
            <w:pPr>
              <w:spacing w:after="0" w:line="240" w:lineRule="exact"/>
              <w:jc w:val="right"/>
              <w:rPr>
                <w:rFonts w:eastAsia="Times New Roman" w:cs="Arial"/>
                <w:b/>
                <w:sz w:val="18"/>
                <w:szCs w:val="18"/>
              </w:rPr>
            </w:pPr>
            <w:r w:rsidRPr="00132236">
              <w:rPr>
                <w:rFonts w:eastAsia="Times New Roman" w:cs="Arial"/>
                <w:b/>
                <w:sz w:val="18"/>
                <w:szCs w:val="18"/>
              </w:rPr>
              <w:t>1,726,290</w:t>
            </w:r>
          </w:p>
        </w:tc>
        <w:tc>
          <w:tcPr>
            <w:tcW w:w="501" w:type="pct"/>
            <w:tcBorders>
              <w:top w:val="single" w:sz="12" w:space="0" w:color="auto"/>
              <w:bottom w:val="single" w:sz="12" w:space="0" w:color="auto"/>
            </w:tcBorders>
            <w:shd w:val="clear" w:color="auto" w:fill="auto"/>
            <w:vAlign w:val="bottom"/>
          </w:tcPr>
          <w:p w14:paraId="44C0489D" w14:textId="696FB8E2" w:rsidR="00B63F57" w:rsidRPr="005444AA" w:rsidRDefault="00B63F57" w:rsidP="00B63F57">
            <w:pPr>
              <w:spacing w:after="0" w:line="240" w:lineRule="exact"/>
              <w:jc w:val="right"/>
              <w:rPr>
                <w:rFonts w:eastAsia="Times New Roman" w:cs="Arial"/>
                <w:b/>
                <w:sz w:val="18"/>
                <w:szCs w:val="18"/>
              </w:rPr>
            </w:pPr>
            <w:r w:rsidRPr="005B1E80">
              <w:rPr>
                <w:rFonts w:eastAsia="Times New Roman" w:cs="Arial"/>
                <w:b/>
                <w:sz w:val="18"/>
                <w:szCs w:val="18"/>
              </w:rPr>
              <w:t>-</w:t>
            </w:r>
          </w:p>
        </w:tc>
        <w:tc>
          <w:tcPr>
            <w:tcW w:w="501" w:type="pct"/>
            <w:tcBorders>
              <w:top w:val="nil"/>
              <w:left w:val="nil"/>
              <w:bottom w:val="single" w:sz="12" w:space="0" w:color="auto"/>
              <w:right w:val="nil"/>
            </w:tcBorders>
            <w:shd w:val="clear" w:color="auto" w:fill="auto"/>
            <w:vAlign w:val="bottom"/>
          </w:tcPr>
          <w:p w14:paraId="1FAE7DA3" w14:textId="5964B89B" w:rsidR="00B63F57" w:rsidRPr="005444AA" w:rsidRDefault="00132236" w:rsidP="00B63F57">
            <w:pPr>
              <w:spacing w:after="0" w:line="240" w:lineRule="exact"/>
              <w:jc w:val="right"/>
              <w:rPr>
                <w:rFonts w:eastAsia="Times New Roman" w:cs="Arial"/>
                <w:b/>
                <w:sz w:val="18"/>
                <w:szCs w:val="18"/>
              </w:rPr>
            </w:pPr>
            <w:r w:rsidRPr="00132236">
              <w:rPr>
                <w:rFonts w:eastAsia="Times New Roman" w:cs="Arial"/>
                <w:b/>
                <w:sz w:val="18"/>
                <w:szCs w:val="18"/>
              </w:rPr>
              <w:t>33,730,202</w:t>
            </w:r>
          </w:p>
        </w:tc>
        <w:tc>
          <w:tcPr>
            <w:tcW w:w="501" w:type="pct"/>
            <w:tcBorders>
              <w:top w:val="nil"/>
              <w:left w:val="nil"/>
              <w:bottom w:val="single" w:sz="12" w:space="0" w:color="auto"/>
              <w:right w:val="nil"/>
            </w:tcBorders>
            <w:shd w:val="clear" w:color="auto" w:fill="auto"/>
            <w:vAlign w:val="bottom"/>
          </w:tcPr>
          <w:p w14:paraId="04169E73" w14:textId="080B0A6C" w:rsidR="00B63F57" w:rsidRPr="006D7381" w:rsidRDefault="00132236">
            <w:pPr>
              <w:spacing w:after="0" w:line="240" w:lineRule="exact"/>
              <w:jc w:val="right"/>
              <w:rPr>
                <w:rFonts w:cs="Arial"/>
                <w:b/>
                <w:bCs/>
                <w:sz w:val="18"/>
                <w:szCs w:val="18"/>
              </w:rPr>
            </w:pPr>
            <w:r w:rsidRPr="00132236">
              <w:rPr>
                <w:rFonts w:eastAsia="Times New Roman" w:cs="Arial"/>
                <w:b/>
                <w:sz w:val="18"/>
                <w:szCs w:val="18"/>
                <w:lang w:val="en-US"/>
              </w:rPr>
              <w:t>5,918,998</w:t>
            </w:r>
          </w:p>
        </w:tc>
        <w:tc>
          <w:tcPr>
            <w:tcW w:w="501" w:type="pct"/>
            <w:tcBorders>
              <w:top w:val="nil"/>
              <w:left w:val="nil"/>
              <w:bottom w:val="single" w:sz="12" w:space="0" w:color="auto"/>
              <w:right w:val="nil"/>
            </w:tcBorders>
            <w:shd w:val="clear" w:color="auto" w:fill="auto"/>
            <w:vAlign w:val="bottom"/>
          </w:tcPr>
          <w:p w14:paraId="72C95926" w14:textId="33D644CC" w:rsidR="00B63F57" w:rsidRPr="006D7381" w:rsidRDefault="00266178">
            <w:pPr>
              <w:spacing w:after="0" w:line="240" w:lineRule="exact"/>
              <w:jc w:val="right"/>
              <w:rPr>
                <w:rFonts w:cs="Arial"/>
                <w:b/>
                <w:bCs/>
                <w:sz w:val="18"/>
                <w:szCs w:val="18"/>
              </w:rPr>
            </w:pPr>
            <w:r w:rsidRPr="00266178">
              <w:rPr>
                <w:rFonts w:eastAsia="Times New Roman" w:cs="Arial"/>
                <w:b/>
                <w:sz w:val="18"/>
                <w:szCs w:val="18"/>
                <w:lang w:val="en-US"/>
              </w:rPr>
              <w:t>49,187</w:t>
            </w:r>
          </w:p>
        </w:tc>
        <w:tc>
          <w:tcPr>
            <w:tcW w:w="501" w:type="pct"/>
            <w:tcBorders>
              <w:top w:val="nil"/>
              <w:left w:val="nil"/>
              <w:bottom w:val="single" w:sz="12" w:space="0" w:color="auto"/>
              <w:right w:val="nil"/>
            </w:tcBorders>
            <w:shd w:val="clear" w:color="auto" w:fill="auto"/>
            <w:vAlign w:val="bottom"/>
          </w:tcPr>
          <w:p w14:paraId="316DE990" w14:textId="7996AA3D" w:rsidR="00B63F57" w:rsidRPr="006D7381" w:rsidRDefault="00B63F57" w:rsidP="00B63F57">
            <w:pPr>
              <w:spacing w:after="0" w:line="240" w:lineRule="exact"/>
              <w:jc w:val="right"/>
              <w:rPr>
                <w:rFonts w:cs="Arial"/>
                <w:b/>
                <w:bCs/>
                <w:sz w:val="18"/>
                <w:szCs w:val="18"/>
              </w:rPr>
            </w:pPr>
            <w:r>
              <w:rPr>
                <w:rFonts w:eastAsia="Times New Roman" w:cs="Arial"/>
                <w:b/>
                <w:sz w:val="18"/>
                <w:szCs w:val="18"/>
                <w:lang w:val="en-US"/>
              </w:rPr>
              <w:t>-</w:t>
            </w:r>
          </w:p>
        </w:tc>
        <w:tc>
          <w:tcPr>
            <w:tcW w:w="499" w:type="pct"/>
            <w:tcBorders>
              <w:top w:val="nil"/>
              <w:left w:val="nil"/>
              <w:bottom w:val="single" w:sz="12" w:space="0" w:color="auto"/>
              <w:right w:val="nil"/>
            </w:tcBorders>
            <w:shd w:val="clear" w:color="auto" w:fill="auto"/>
            <w:vAlign w:val="bottom"/>
          </w:tcPr>
          <w:p w14:paraId="60A5FC5F" w14:textId="3E1A1263" w:rsidR="00B63F57" w:rsidRPr="006D7381" w:rsidRDefault="00266178">
            <w:pPr>
              <w:spacing w:after="0" w:line="240" w:lineRule="exact"/>
              <w:jc w:val="right"/>
              <w:rPr>
                <w:rFonts w:cs="Arial"/>
                <w:b/>
                <w:bCs/>
                <w:sz w:val="18"/>
                <w:szCs w:val="18"/>
              </w:rPr>
            </w:pPr>
            <w:r w:rsidRPr="00266178">
              <w:rPr>
                <w:rFonts w:eastAsia="Times New Roman" w:cs="Arial"/>
                <w:b/>
                <w:sz w:val="18"/>
                <w:szCs w:val="18"/>
                <w:lang w:val="en-US"/>
              </w:rPr>
              <w:t>5,968,185</w:t>
            </w:r>
          </w:p>
        </w:tc>
      </w:tr>
    </w:tbl>
    <w:p w14:paraId="6DD8A2BB" w14:textId="77777777" w:rsidR="009702B0" w:rsidRPr="009702B0" w:rsidRDefault="009702B0" w:rsidP="009702B0">
      <w:pPr>
        <w:spacing w:before="120" w:line="260" w:lineRule="exact"/>
        <w:jc w:val="both"/>
        <w:rPr>
          <w:rFonts w:ascii="Arial" w:hAnsi="Arial" w:cs="Arial"/>
          <w:sz w:val="18"/>
          <w:szCs w:val="18"/>
          <w:highlight w:val="yellow"/>
        </w:rPr>
      </w:pPr>
    </w:p>
    <w:p w14:paraId="2AE7D5B9" w14:textId="77777777" w:rsidR="009702B0" w:rsidRPr="009702B0" w:rsidRDefault="009702B0" w:rsidP="009702B0">
      <w:pPr>
        <w:spacing w:before="120" w:line="260" w:lineRule="exact"/>
        <w:jc w:val="both"/>
        <w:rPr>
          <w:rFonts w:ascii="Arial" w:hAnsi="Arial" w:cs="Arial"/>
          <w:sz w:val="18"/>
          <w:szCs w:val="18"/>
          <w:highlight w:val="yellow"/>
        </w:rPr>
        <w:sectPr w:rsidR="009702B0" w:rsidRPr="009702B0" w:rsidSect="00947CB7">
          <w:footerReference w:type="default" r:id="rId87"/>
          <w:pgSz w:w="11906" w:h="16838" w:code="9"/>
          <w:pgMar w:top="1418" w:right="1418" w:bottom="595" w:left="1134" w:header="851" w:footer="851" w:gutter="0"/>
          <w:cols w:space="720"/>
          <w:noEndnote/>
        </w:sectPr>
      </w:pPr>
    </w:p>
    <w:p w14:paraId="1AFEE25E" w14:textId="77777777" w:rsidR="009702B0" w:rsidRPr="009702B0" w:rsidRDefault="009702B0" w:rsidP="009702B0">
      <w:pPr>
        <w:keepNext/>
        <w:spacing w:after="0" w:line="240" w:lineRule="auto"/>
        <w:jc w:val="both"/>
        <w:rPr>
          <w:rFonts w:eastAsia="Times New Roman" w:cs="Arial"/>
          <w:b/>
          <w:bCs/>
        </w:rPr>
      </w:pPr>
    </w:p>
    <w:p w14:paraId="3F3EE08D"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14:paraId="6A396819" w14:textId="77777777" w:rsidR="009702B0" w:rsidRPr="009702B0" w:rsidRDefault="009702B0" w:rsidP="009702B0">
      <w:pPr>
        <w:keepNext/>
        <w:spacing w:after="0" w:line="240" w:lineRule="auto"/>
        <w:jc w:val="both"/>
        <w:rPr>
          <w:rFonts w:eastAsia="Times New Roman" w:cs="Arial"/>
          <w:b/>
          <w:bCs/>
        </w:rPr>
      </w:pPr>
    </w:p>
    <w:p w14:paraId="375B6FFC"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 xml:space="preserve">16.2. </w:t>
      </w:r>
      <w:r w:rsidRPr="009702B0">
        <w:rPr>
          <w:rFonts w:eastAsia="Times New Roman" w:cs="Arial"/>
          <w:b/>
          <w:bCs/>
        </w:rPr>
        <w:tab/>
        <w:t>Credit risk (continued)</w:t>
      </w:r>
    </w:p>
    <w:p w14:paraId="49E3D569" w14:textId="77777777" w:rsidR="009702B0" w:rsidRPr="009702B0" w:rsidRDefault="009702B0" w:rsidP="009702B0">
      <w:pPr>
        <w:keepNext/>
        <w:spacing w:after="0" w:line="240" w:lineRule="auto"/>
        <w:jc w:val="both"/>
        <w:rPr>
          <w:rFonts w:eastAsia="Times New Roman" w:cs="Arial"/>
          <w:b/>
          <w:bCs/>
        </w:rPr>
      </w:pPr>
    </w:p>
    <w:p w14:paraId="447F0632"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Credit risk quality according to type of financial assets (continued)</w:t>
      </w:r>
    </w:p>
    <w:p w14:paraId="581D78F7" w14:textId="77777777" w:rsidR="009702B0" w:rsidRPr="009702B0" w:rsidRDefault="009702B0" w:rsidP="009702B0">
      <w:pPr>
        <w:keepNext/>
        <w:spacing w:after="0" w:line="240" w:lineRule="auto"/>
        <w:jc w:val="both"/>
        <w:rPr>
          <w:rFonts w:eastAsia="Times New Roman" w:cs="Arial"/>
          <w:b/>
          <w:bCs/>
        </w:rPr>
      </w:pPr>
    </w:p>
    <w:p w14:paraId="7DB67C89" w14:textId="77777777" w:rsidR="009702B0" w:rsidRPr="009702B0" w:rsidRDefault="009702B0" w:rsidP="009702B0">
      <w:pPr>
        <w:spacing w:after="0" w:line="240" w:lineRule="auto"/>
        <w:jc w:val="both"/>
        <w:rPr>
          <w:rFonts w:cs="Arial"/>
          <w:sz w:val="20"/>
          <w:szCs w:val="20"/>
        </w:rPr>
      </w:pPr>
      <w:r w:rsidRPr="009702B0">
        <w:rPr>
          <w:rFonts w:cs="Arial"/>
          <w:sz w:val="20"/>
          <w:szCs w:val="20"/>
        </w:rPr>
        <w:t>Credit risk analysis, before and after the effect of mitigation through collateral received according to the type of financial assets on positions of assets and guarantees and commitments by internal credit rating, is as follows (continued):</w:t>
      </w:r>
    </w:p>
    <w:p w14:paraId="5CD487AF" w14:textId="77777777" w:rsidR="009702B0" w:rsidRDefault="009702B0" w:rsidP="009702B0">
      <w:pPr>
        <w:spacing w:after="0" w:line="240" w:lineRule="auto"/>
        <w:jc w:val="both"/>
        <w:rPr>
          <w:rFonts w:eastAsia="Times New Roman" w:cs="Calibri"/>
          <w:b/>
          <w:sz w:val="24"/>
          <w:szCs w:val="24"/>
        </w:rPr>
      </w:pPr>
    </w:p>
    <w:tbl>
      <w:tblPr>
        <w:tblW w:w="5607" w:type="pct"/>
        <w:jc w:val="center"/>
        <w:tblLayout w:type="fixed"/>
        <w:tblLook w:val="0000" w:firstRow="0" w:lastRow="0" w:firstColumn="0" w:lastColumn="0" w:noHBand="0" w:noVBand="0"/>
      </w:tblPr>
      <w:tblGrid>
        <w:gridCol w:w="1826"/>
        <w:gridCol w:w="1083"/>
        <w:gridCol w:w="1083"/>
        <w:gridCol w:w="1083"/>
        <w:gridCol w:w="1083"/>
        <w:gridCol w:w="1083"/>
        <w:gridCol w:w="1083"/>
        <w:gridCol w:w="1083"/>
        <w:gridCol w:w="1083"/>
      </w:tblGrid>
      <w:tr w:rsidR="00551F19" w:rsidRPr="00551F19" w14:paraId="33104627" w14:textId="77777777" w:rsidTr="00551F19">
        <w:trPr>
          <w:trHeight w:val="1249"/>
          <w:jc w:val="center"/>
        </w:trPr>
        <w:tc>
          <w:tcPr>
            <w:tcW w:w="871" w:type="pct"/>
          </w:tcPr>
          <w:p w14:paraId="60661E69" w14:textId="77777777" w:rsidR="00551F19" w:rsidRPr="00551F19" w:rsidRDefault="00551F19" w:rsidP="00551F19">
            <w:pPr>
              <w:spacing w:after="0" w:line="240" w:lineRule="auto"/>
              <w:rPr>
                <w:rFonts w:asciiTheme="minorHAnsi" w:eastAsia="Times New Roman" w:hAnsiTheme="minorHAnsi" w:cs="Arial"/>
                <w:b/>
                <w:bCs/>
                <w:sz w:val="18"/>
                <w:szCs w:val="18"/>
              </w:rPr>
            </w:pPr>
            <w:r w:rsidRPr="00551F19">
              <w:rPr>
                <w:rFonts w:asciiTheme="minorHAnsi" w:eastAsia="Times New Roman" w:hAnsiTheme="minorHAnsi" w:cs="Arial"/>
                <w:b/>
                <w:bCs/>
                <w:sz w:val="18"/>
                <w:szCs w:val="18"/>
              </w:rPr>
              <w:br w:type="page"/>
              <w:t>Group</w:t>
            </w:r>
          </w:p>
          <w:p w14:paraId="48A99A2E" w14:textId="77777777" w:rsidR="00551F19" w:rsidRPr="00551F19" w:rsidRDefault="00551F19" w:rsidP="00551F19">
            <w:pPr>
              <w:spacing w:after="0" w:line="240" w:lineRule="auto"/>
              <w:rPr>
                <w:rFonts w:asciiTheme="minorHAnsi" w:eastAsia="Times New Roman" w:hAnsiTheme="minorHAnsi" w:cs="Arial"/>
                <w:b/>
                <w:bCs/>
                <w:sz w:val="18"/>
                <w:szCs w:val="18"/>
              </w:rPr>
            </w:pPr>
          </w:p>
          <w:p w14:paraId="2D8CB01A" w14:textId="77777777" w:rsidR="00551F19" w:rsidRPr="00551F19" w:rsidRDefault="00551F19" w:rsidP="00551F19">
            <w:pPr>
              <w:spacing w:after="0" w:line="240" w:lineRule="auto"/>
              <w:rPr>
                <w:rFonts w:asciiTheme="minorHAnsi" w:eastAsia="Times New Roman" w:hAnsiTheme="minorHAnsi" w:cs="Arial"/>
                <w:b/>
                <w:bCs/>
                <w:sz w:val="18"/>
                <w:szCs w:val="18"/>
              </w:rPr>
            </w:pPr>
          </w:p>
          <w:p w14:paraId="094CA3AD" w14:textId="77777777" w:rsidR="00551F19" w:rsidRPr="00551F19" w:rsidRDefault="00551F19" w:rsidP="00551F19">
            <w:pPr>
              <w:spacing w:after="0" w:line="240" w:lineRule="auto"/>
              <w:rPr>
                <w:rFonts w:asciiTheme="minorHAnsi" w:eastAsia="Times New Roman" w:hAnsiTheme="minorHAnsi" w:cs="Arial"/>
                <w:b/>
                <w:bCs/>
                <w:sz w:val="18"/>
                <w:szCs w:val="18"/>
              </w:rPr>
            </w:pPr>
          </w:p>
          <w:p w14:paraId="5C2FC93C" w14:textId="77777777" w:rsidR="00551F19" w:rsidRPr="00551F19" w:rsidRDefault="00551F19" w:rsidP="00551F19">
            <w:pPr>
              <w:spacing w:after="0" w:line="240" w:lineRule="auto"/>
              <w:rPr>
                <w:rFonts w:asciiTheme="minorHAnsi" w:eastAsia="Times New Roman" w:hAnsiTheme="minorHAnsi" w:cs="Arial"/>
                <w:b/>
                <w:bCs/>
                <w:sz w:val="18"/>
                <w:szCs w:val="18"/>
              </w:rPr>
            </w:pPr>
          </w:p>
          <w:p w14:paraId="3047F524" w14:textId="77777777" w:rsidR="00551F19" w:rsidRPr="00551F19" w:rsidRDefault="00551F19" w:rsidP="00551F19">
            <w:pPr>
              <w:spacing w:after="0" w:line="240" w:lineRule="auto"/>
              <w:rPr>
                <w:rFonts w:asciiTheme="minorHAnsi" w:eastAsia="Times New Roman" w:hAnsiTheme="minorHAnsi" w:cs="Arial"/>
                <w:sz w:val="18"/>
                <w:szCs w:val="18"/>
              </w:rPr>
            </w:pPr>
            <w:r w:rsidRPr="00551F19">
              <w:rPr>
                <w:rFonts w:asciiTheme="minorHAnsi" w:eastAsia="Times New Roman" w:hAnsiTheme="minorHAnsi" w:cs="Arial"/>
                <w:b/>
                <w:bCs/>
                <w:sz w:val="18"/>
                <w:szCs w:val="18"/>
              </w:rPr>
              <w:t>Dec 31, 2016</w:t>
            </w:r>
          </w:p>
        </w:tc>
        <w:tc>
          <w:tcPr>
            <w:tcW w:w="516" w:type="pct"/>
          </w:tcPr>
          <w:p w14:paraId="53942099" w14:textId="77777777" w:rsidR="00551F19" w:rsidRPr="00BA3F2A" w:rsidRDefault="00551F19" w:rsidP="00551F19">
            <w:pPr>
              <w:spacing w:after="0" w:line="220" w:lineRule="exact"/>
              <w:jc w:val="right"/>
              <w:rPr>
                <w:rFonts w:cs="Arial"/>
                <w:b/>
                <w:bCs/>
                <w:sz w:val="18"/>
                <w:szCs w:val="18"/>
              </w:rPr>
            </w:pPr>
            <w:r w:rsidRPr="00BA3F2A">
              <w:rPr>
                <w:rFonts w:cs="Arial"/>
                <w:b/>
                <w:bCs/>
                <w:sz w:val="18"/>
                <w:szCs w:val="18"/>
              </w:rPr>
              <w:t>Gross</w:t>
            </w:r>
          </w:p>
          <w:p w14:paraId="74B36219" w14:textId="77777777" w:rsidR="00551F19" w:rsidRPr="00BA3F2A" w:rsidRDefault="00551F19" w:rsidP="00551F19">
            <w:pPr>
              <w:spacing w:after="0" w:line="220" w:lineRule="exact"/>
              <w:jc w:val="right"/>
              <w:rPr>
                <w:rFonts w:cs="Arial"/>
                <w:b/>
                <w:bCs/>
                <w:sz w:val="18"/>
                <w:szCs w:val="18"/>
              </w:rPr>
            </w:pPr>
            <w:r w:rsidRPr="00BA3F2A">
              <w:rPr>
                <w:rFonts w:cs="Arial"/>
                <w:b/>
                <w:bCs/>
                <w:sz w:val="18"/>
                <w:szCs w:val="18"/>
              </w:rPr>
              <w:t xml:space="preserve"> exposure of portfolio of risk group A</w:t>
            </w:r>
          </w:p>
          <w:p w14:paraId="20C75517" w14:textId="77777777" w:rsidR="00551F19" w:rsidRPr="00BA3F2A" w:rsidRDefault="00551F19" w:rsidP="00551F19">
            <w:pPr>
              <w:spacing w:after="0" w:line="220" w:lineRule="exact"/>
              <w:jc w:val="right"/>
              <w:rPr>
                <w:rFonts w:cs="Arial"/>
                <w:b/>
                <w:bCs/>
                <w:sz w:val="18"/>
                <w:szCs w:val="18"/>
              </w:rPr>
            </w:pPr>
          </w:p>
        </w:tc>
        <w:tc>
          <w:tcPr>
            <w:tcW w:w="516" w:type="pct"/>
          </w:tcPr>
          <w:p w14:paraId="1A181E83" w14:textId="77777777" w:rsidR="00551F19" w:rsidRPr="00BA3F2A" w:rsidRDefault="00551F19" w:rsidP="00551F19">
            <w:pPr>
              <w:spacing w:after="0" w:line="220" w:lineRule="exact"/>
              <w:jc w:val="right"/>
              <w:rPr>
                <w:rFonts w:cs="Arial"/>
                <w:b/>
                <w:bCs/>
                <w:sz w:val="18"/>
                <w:szCs w:val="18"/>
              </w:rPr>
            </w:pPr>
            <w:r w:rsidRPr="00BA3F2A">
              <w:rPr>
                <w:rFonts w:cs="Arial"/>
                <w:b/>
                <w:bCs/>
                <w:sz w:val="18"/>
                <w:szCs w:val="18"/>
              </w:rPr>
              <w:t>Gross exposure of portfolio of risk group B</w:t>
            </w:r>
          </w:p>
          <w:p w14:paraId="2A57422F" w14:textId="77777777" w:rsidR="00551F19" w:rsidRPr="00BA3F2A" w:rsidRDefault="00551F19" w:rsidP="00551F19">
            <w:pPr>
              <w:spacing w:after="0" w:line="220" w:lineRule="exact"/>
              <w:jc w:val="right"/>
              <w:rPr>
                <w:rFonts w:cs="Arial"/>
                <w:b/>
                <w:bCs/>
                <w:sz w:val="18"/>
                <w:szCs w:val="18"/>
              </w:rPr>
            </w:pPr>
          </w:p>
        </w:tc>
        <w:tc>
          <w:tcPr>
            <w:tcW w:w="516" w:type="pct"/>
          </w:tcPr>
          <w:p w14:paraId="7092E08F" w14:textId="77777777" w:rsidR="00551F19" w:rsidRPr="00BA3F2A" w:rsidRDefault="00551F19" w:rsidP="00551F19">
            <w:pPr>
              <w:spacing w:after="0" w:line="220" w:lineRule="exact"/>
              <w:jc w:val="right"/>
              <w:rPr>
                <w:rFonts w:cs="Arial"/>
                <w:b/>
                <w:bCs/>
                <w:sz w:val="18"/>
                <w:szCs w:val="18"/>
              </w:rPr>
            </w:pPr>
            <w:r w:rsidRPr="00BA3F2A">
              <w:rPr>
                <w:rFonts w:cs="Arial"/>
                <w:b/>
                <w:bCs/>
                <w:sz w:val="18"/>
                <w:szCs w:val="18"/>
              </w:rPr>
              <w:t>Gross exposure of portfolio of risk group C</w:t>
            </w:r>
          </w:p>
          <w:p w14:paraId="4DBDC5D5" w14:textId="77777777" w:rsidR="00551F19" w:rsidRPr="00BA3F2A" w:rsidRDefault="00551F19" w:rsidP="00551F19">
            <w:pPr>
              <w:spacing w:after="0" w:line="220" w:lineRule="exact"/>
              <w:jc w:val="right"/>
              <w:rPr>
                <w:rFonts w:cs="Arial"/>
                <w:b/>
                <w:bCs/>
                <w:sz w:val="18"/>
                <w:szCs w:val="18"/>
              </w:rPr>
            </w:pPr>
          </w:p>
        </w:tc>
        <w:tc>
          <w:tcPr>
            <w:tcW w:w="516" w:type="pct"/>
          </w:tcPr>
          <w:p w14:paraId="045B6E33" w14:textId="77777777" w:rsidR="00551F19" w:rsidRPr="00BA3F2A" w:rsidRDefault="00551F19" w:rsidP="00551F19">
            <w:pPr>
              <w:spacing w:after="0" w:line="220" w:lineRule="exact"/>
              <w:jc w:val="right"/>
              <w:rPr>
                <w:rFonts w:cs="Arial"/>
                <w:b/>
                <w:bCs/>
                <w:sz w:val="18"/>
                <w:szCs w:val="18"/>
              </w:rPr>
            </w:pPr>
            <w:r w:rsidRPr="00BA3F2A">
              <w:rPr>
                <w:rFonts w:cs="Arial"/>
                <w:b/>
                <w:bCs/>
                <w:sz w:val="18"/>
                <w:szCs w:val="18"/>
              </w:rPr>
              <w:t xml:space="preserve">Gross exposure of total portfolio </w:t>
            </w:r>
          </w:p>
          <w:p w14:paraId="429F4AA2" w14:textId="77777777" w:rsidR="00551F19" w:rsidRPr="00BA3F2A" w:rsidRDefault="00551F19" w:rsidP="00551F19">
            <w:pPr>
              <w:spacing w:after="0" w:line="220" w:lineRule="exact"/>
              <w:jc w:val="right"/>
              <w:rPr>
                <w:rFonts w:cs="Arial"/>
                <w:b/>
                <w:bCs/>
                <w:sz w:val="18"/>
                <w:szCs w:val="18"/>
              </w:rPr>
            </w:pPr>
          </w:p>
        </w:tc>
        <w:tc>
          <w:tcPr>
            <w:tcW w:w="516" w:type="pct"/>
          </w:tcPr>
          <w:p w14:paraId="73FEF3DA" w14:textId="77777777" w:rsidR="00551F19" w:rsidRPr="00BA3F2A" w:rsidRDefault="00551F19" w:rsidP="00551F19">
            <w:pPr>
              <w:spacing w:after="0" w:line="220" w:lineRule="exact"/>
              <w:jc w:val="right"/>
              <w:rPr>
                <w:rFonts w:cs="Arial"/>
                <w:b/>
                <w:bCs/>
                <w:sz w:val="18"/>
                <w:szCs w:val="18"/>
              </w:rPr>
            </w:pPr>
            <w:r w:rsidRPr="00BA3F2A">
              <w:rPr>
                <w:rFonts w:cs="Arial"/>
                <w:b/>
                <w:bCs/>
                <w:sz w:val="18"/>
                <w:szCs w:val="18"/>
              </w:rPr>
              <w:t>Net exposure of portfolio of risk group A</w:t>
            </w:r>
          </w:p>
        </w:tc>
        <w:tc>
          <w:tcPr>
            <w:tcW w:w="516" w:type="pct"/>
          </w:tcPr>
          <w:p w14:paraId="16DDEB95" w14:textId="77777777" w:rsidR="00551F19" w:rsidRPr="00BA3F2A" w:rsidRDefault="00551F19" w:rsidP="00551F19">
            <w:pPr>
              <w:spacing w:after="0" w:line="220" w:lineRule="exact"/>
              <w:jc w:val="right"/>
              <w:rPr>
                <w:rFonts w:cs="Arial"/>
                <w:b/>
                <w:bCs/>
                <w:sz w:val="18"/>
                <w:szCs w:val="18"/>
              </w:rPr>
            </w:pPr>
            <w:r w:rsidRPr="00BA3F2A">
              <w:rPr>
                <w:rFonts w:cs="Arial"/>
                <w:b/>
                <w:bCs/>
                <w:sz w:val="18"/>
                <w:szCs w:val="18"/>
              </w:rPr>
              <w:t>Net exposure of portfolio of risk group B</w:t>
            </w:r>
          </w:p>
          <w:p w14:paraId="5AA3707E" w14:textId="77777777" w:rsidR="00551F19" w:rsidRPr="00BA3F2A" w:rsidRDefault="00551F19" w:rsidP="00551F19">
            <w:pPr>
              <w:spacing w:after="0" w:line="220" w:lineRule="exact"/>
              <w:jc w:val="right"/>
              <w:rPr>
                <w:rFonts w:cs="Arial"/>
                <w:b/>
                <w:bCs/>
                <w:sz w:val="18"/>
                <w:szCs w:val="18"/>
              </w:rPr>
            </w:pPr>
          </w:p>
        </w:tc>
        <w:tc>
          <w:tcPr>
            <w:tcW w:w="516" w:type="pct"/>
          </w:tcPr>
          <w:p w14:paraId="4B1F88E9" w14:textId="77777777" w:rsidR="00551F19" w:rsidRPr="00BA3F2A" w:rsidRDefault="00551F19" w:rsidP="00551F19">
            <w:pPr>
              <w:spacing w:after="0" w:line="220" w:lineRule="exact"/>
              <w:jc w:val="right"/>
              <w:rPr>
                <w:rFonts w:cs="Arial"/>
                <w:b/>
                <w:bCs/>
                <w:sz w:val="18"/>
                <w:szCs w:val="18"/>
              </w:rPr>
            </w:pPr>
            <w:r w:rsidRPr="00BA3F2A">
              <w:rPr>
                <w:rFonts w:cs="Arial"/>
                <w:b/>
                <w:bCs/>
                <w:sz w:val="18"/>
                <w:szCs w:val="18"/>
              </w:rPr>
              <w:t>Net exposure of portfolio of risk group C</w:t>
            </w:r>
          </w:p>
          <w:p w14:paraId="13D42525" w14:textId="77777777" w:rsidR="00551F19" w:rsidRPr="00BA3F2A" w:rsidRDefault="00551F19" w:rsidP="00551F19">
            <w:pPr>
              <w:spacing w:after="0" w:line="220" w:lineRule="exact"/>
              <w:jc w:val="right"/>
              <w:rPr>
                <w:rFonts w:cs="Arial"/>
                <w:b/>
                <w:bCs/>
                <w:sz w:val="18"/>
                <w:szCs w:val="18"/>
              </w:rPr>
            </w:pPr>
          </w:p>
        </w:tc>
        <w:tc>
          <w:tcPr>
            <w:tcW w:w="516" w:type="pct"/>
          </w:tcPr>
          <w:p w14:paraId="4CA1AF64" w14:textId="77777777" w:rsidR="00551F19" w:rsidRPr="00BA3F2A" w:rsidRDefault="00551F19" w:rsidP="00551F19">
            <w:pPr>
              <w:spacing w:after="0" w:line="220" w:lineRule="exact"/>
              <w:jc w:val="right"/>
              <w:rPr>
                <w:rFonts w:cs="Arial"/>
                <w:b/>
                <w:bCs/>
                <w:sz w:val="18"/>
                <w:szCs w:val="18"/>
              </w:rPr>
            </w:pPr>
            <w:r w:rsidRPr="00BA3F2A">
              <w:rPr>
                <w:rFonts w:cs="Arial"/>
                <w:b/>
                <w:bCs/>
                <w:sz w:val="18"/>
                <w:szCs w:val="18"/>
              </w:rPr>
              <w:t xml:space="preserve">Net exposure of total portfolio </w:t>
            </w:r>
          </w:p>
          <w:p w14:paraId="71D27CF2" w14:textId="77777777" w:rsidR="00551F19" w:rsidRPr="00BA3F2A" w:rsidRDefault="00551F19" w:rsidP="00551F19">
            <w:pPr>
              <w:spacing w:after="0" w:line="220" w:lineRule="exact"/>
              <w:jc w:val="right"/>
              <w:rPr>
                <w:rFonts w:cs="Arial"/>
                <w:b/>
                <w:bCs/>
                <w:sz w:val="18"/>
                <w:szCs w:val="18"/>
              </w:rPr>
            </w:pPr>
          </w:p>
        </w:tc>
      </w:tr>
      <w:tr w:rsidR="00551F19" w:rsidRPr="00551F19" w14:paraId="383AFC47" w14:textId="77777777" w:rsidTr="00551F19">
        <w:trPr>
          <w:trHeight w:val="291"/>
          <w:jc w:val="center"/>
        </w:trPr>
        <w:tc>
          <w:tcPr>
            <w:tcW w:w="871" w:type="pct"/>
            <w:vAlign w:val="bottom"/>
          </w:tcPr>
          <w:p w14:paraId="126011EC" w14:textId="77777777" w:rsidR="00551F19" w:rsidRPr="00551F19" w:rsidRDefault="00551F19" w:rsidP="00551F19">
            <w:pPr>
              <w:tabs>
                <w:tab w:val="right" w:pos="1202"/>
              </w:tabs>
              <w:spacing w:after="0" w:line="301" w:lineRule="exact"/>
              <w:outlineLvl w:val="0"/>
              <w:rPr>
                <w:rFonts w:asciiTheme="minorHAnsi" w:eastAsia="Times New Roman" w:hAnsiTheme="minorHAnsi" w:cs="Arial"/>
                <w:b/>
                <w:bCs/>
                <w:sz w:val="18"/>
                <w:szCs w:val="18"/>
              </w:rPr>
            </w:pPr>
            <w:r w:rsidRPr="00551F19">
              <w:rPr>
                <w:rFonts w:asciiTheme="minorHAnsi" w:eastAsia="Times New Roman" w:hAnsiTheme="minorHAnsi" w:cs="Arial"/>
                <w:b/>
                <w:bCs/>
                <w:sz w:val="18"/>
                <w:szCs w:val="18"/>
              </w:rPr>
              <w:t>Assets</w:t>
            </w:r>
          </w:p>
        </w:tc>
        <w:tc>
          <w:tcPr>
            <w:tcW w:w="516" w:type="pct"/>
          </w:tcPr>
          <w:p w14:paraId="0A9C56B7" w14:textId="77777777" w:rsidR="00551F19" w:rsidRPr="00551F19"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c>
          <w:tcPr>
            <w:tcW w:w="516" w:type="pct"/>
          </w:tcPr>
          <w:p w14:paraId="2AB76500" w14:textId="77777777" w:rsidR="00551F19" w:rsidRPr="00551F19"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c>
          <w:tcPr>
            <w:tcW w:w="516" w:type="pct"/>
          </w:tcPr>
          <w:p w14:paraId="58AA8585" w14:textId="77777777" w:rsidR="00551F19" w:rsidRPr="00551F19"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c>
          <w:tcPr>
            <w:tcW w:w="516" w:type="pct"/>
          </w:tcPr>
          <w:p w14:paraId="20D114F6" w14:textId="77777777" w:rsidR="00551F19" w:rsidRPr="00551F19"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c>
          <w:tcPr>
            <w:tcW w:w="516" w:type="pct"/>
          </w:tcPr>
          <w:p w14:paraId="101DEC73" w14:textId="77777777" w:rsidR="00551F19" w:rsidRPr="00551F19"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c>
          <w:tcPr>
            <w:tcW w:w="516" w:type="pct"/>
          </w:tcPr>
          <w:p w14:paraId="6704AB67" w14:textId="77777777" w:rsidR="00551F19" w:rsidRPr="00551F19"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c>
          <w:tcPr>
            <w:tcW w:w="516" w:type="pct"/>
          </w:tcPr>
          <w:p w14:paraId="39306E07" w14:textId="77777777" w:rsidR="00551F19" w:rsidRPr="00551F19"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c>
          <w:tcPr>
            <w:tcW w:w="516" w:type="pct"/>
          </w:tcPr>
          <w:p w14:paraId="11F9D3B2" w14:textId="77777777" w:rsidR="00551F19" w:rsidRPr="00551F19"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r>
      <w:tr w:rsidR="00551F19" w:rsidRPr="00551F19" w14:paraId="39EB0919" w14:textId="77777777" w:rsidTr="00551F19">
        <w:trPr>
          <w:trHeight w:val="351"/>
          <w:jc w:val="center"/>
        </w:trPr>
        <w:tc>
          <w:tcPr>
            <w:tcW w:w="871" w:type="pct"/>
            <w:vAlign w:val="bottom"/>
          </w:tcPr>
          <w:p w14:paraId="49ECF480" w14:textId="77777777" w:rsidR="00551F19" w:rsidRPr="00551F19" w:rsidRDefault="00551F19" w:rsidP="00551F19">
            <w:pPr>
              <w:tabs>
                <w:tab w:val="right" w:pos="1202"/>
              </w:tabs>
              <w:spacing w:after="0" w:line="220" w:lineRule="exact"/>
              <w:outlineLvl w:val="0"/>
              <w:rPr>
                <w:rFonts w:asciiTheme="minorHAnsi" w:eastAsia="Times New Roman" w:hAnsiTheme="minorHAnsi" w:cs="Arial"/>
                <w:sz w:val="18"/>
                <w:szCs w:val="18"/>
              </w:rPr>
            </w:pPr>
            <w:r w:rsidRPr="00551F19">
              <w:rPr>
                <w:rFonts w:asciiTheme="minorHAnsi" w:eastAsia="Times New Roman" w:hAnsiTheme="minorHAnsi" w:cs="Arial"/>
                <w:sz w:val="18"/>
                <w:szCs w:val="18"/>
              </w:rPr>
              <w:t xml:space="preserve">Cash on hand and due from banks </w:t>
            </w:r>
          </w:p>
        </w:tc>
        <w:tc>
          <w:tcPr>
            <w:tcW w:w="516" w:type="pct"/>
            <w:tcBorders>
              <w:top w:val="nil"/>
              <w:left w:val="nil"/>
              <w:bottom w:val="nil"/>
              <w:right w:val="nil"/>
            </w:tcBorders>
            <w:shd w:val="clear" w:color="auto" w:fill="auto"/>
            <w:vAlign w:val="bottom"/>
          </w:tcPr>
          <w:p w14:paraId="226CC1FF"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491,243</w:t>
            </w:r>
          </w:p>
        </w:tc>
        <w:tc>
          <w:tcPr>
            <w:tcW w:w="516" w:type="pct"/>
            <w:tcBorders>
              <w:top w:val="nil"/>
              <w:left w:val="nil"/>
              <w:bottom w:val="nil"/>
              <w:right w:val="nil"/>
            </w:tcBorders>
            <w:shd w:val="clear" w:color="auto" w:fill="auto"/>
            <w:vAlign w:val="bottom"/>
          </w:tcPr>
          <w:p w14:paraId="415B11E7"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5DCAA295"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41CC1BE6"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491,243</w:t>
            </w:r>
          </w:p>
        </w:tc>
        <w:tc>
          <w:tcPr>
            <w:tcW w:w="516" w:type="pct"/>
            <w:tcBorders>
              <w:top w:val="nil"/>
              <w:left w:val="nil"/>
              <w:bottom w:val="nil"/>
              <w:right w:val="nil"/>
            </w:tcBorders>
            <w:shd w:val="clear" w:color="auto" w:fill="auto"/>
            <w:vAlign w:val="bottom"/>
          </w:tcPr>
          <w:p w14:paraId="4E57245D"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001AED83"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24167962"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0D3B6053"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r>
      <w:tr w:rsidR="00551F19" w:rsidRPr="00551F19" w14:paraId="1EB5FC53" w14:textId="77777777" w:rsidTr="00551F19">
        <w:trPr>
          <w:trHeight w:val="259"/>
          <w:jc w:val="center"/>
        </w:trPr>
        <w:tc>
          <w:tcPr>
            <w:tcW w:w="871" w:type="pct"/>
            <w:vAlign w:val="bottom"/>
          </w:tcPr>
          <w:p w14:paraId="08C8DFB9" w14:textId="77777777" w:rsidR="00551F19" w:rsidRPr="00551F19" w:rsidRDefault="00551F19" w:rsidP="00551F19">
            <w:pPr>
              <w:tabs>
                <w:tab w:val="right" w:pos="1202"/>
              </w:tabs>
              <w:spacing w:after="0" w:line="220" w:lineRule="exact"/>
              <w:outlineLvl w:val="0"/>
              <w:rPr>
                <w:rFonts w:asciiTheme="minorHAnsi" w:eastAsia="Times New Roman" w:hAnsiTheme="minorHAnsi" w:cs="Arial"/>
                <w:sz w:val="18"/>
                <w:szCs w:val="18"/>
              </w:rPr>
            </w:pPr>
            <w:r w:rsidRPr="00551F19">
              <w:rPr>
                <w:rFonts w:asciiTheme="minorHAnsi" w:eastAsia="Times New Roman" w:hAnsiTheme="minorHAnsi" w:cs="Arial"/>
                <w:sz w:val="18"/>
                <w:szCs w:val="18"/>
              </w:rPr>
              <w:t>Deposits with other banks</w:t>
            </w:r>
          </w:p>
        </w:tc>
        <w:tc>
          <w:tcPr>
            <w:tcW w:w="516" w:type="pct"/>
            <w:tcBorders>
              <w:top w:val="nil"/>
              <w:left w:val="nil"/>
              <w:bottom w:val="nil"/>
              <w:right w:val="nil"/>
            </w:tcBorders>
            <w:shd w:val="clear" w:color="auto" w:fill="auto"/>
            <w:vAlign w:val="bottom"/>
          </w:tcPr>
          <w:p w14:paraId="1D3B754E"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23,872</w:t>
            </w:r>
          </w:p>
        </w:tc>
        <w:tc>
          <w:tcPr>
            <w:tcW w:w="516" w:type="pct"/>
            <w:tcBorders>
              <w:top w:val="nil"/>
              <w:left w:val="nil"/>
              <w:bottom w:val="nil"/>
              <w:right w:val="nil"/>
            </w:tcBorders>
            <w:shd w:val="clear" w:color="auto" w:fill="auto"/>
            <w:vAlign w:val="bottom"/>
          </w:tcPr>
          <w:p w14:paraId="0D0FF48D"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38257614"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102FA13B"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23,872</w:t>
            </w:r>
          </w:p>
        </w:tc>
        <w:tc>
          <w:tcPr>
            <w:tcW w:w="516" w:type="pct"/>
            <w:tcBorders>
              <w:top w:val="nil"/>
              <w:left w:val="nil"/>
              <w:bottom w:val="nil"/>
              <w:right w:val="nil"/>
            </w:tcBorders>
            <w:shd w:val="clear" w:color="auto" w:fill="auto"/>
            <w:vAlign w:val="bottom"/>
          </w:tcPr>
          <w:p w14:paraId="0E48FE3F"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214E7800"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5A5E6BEB"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735F00FE"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r>
      <w:tr w:rsidR="00551F19" w:rsidRPr="00551F19" w14:paraId="5C26ED2C" w14:textId="77777777" w:rsidTr="00551F19">
        <w:trPr>
          <w:trHeight w:val="73"/>
          <w:jc w:val="center"/>
        </w:trPr>
        <w:tc>
          <w:tcPr>
            <w:tcW w:w="871" w:type="pct"/>
            <w:vAlign w:val="bottom"/>
          </w:tcPr>
          <w:p w14:paraId="469DACEE" w14:textId="77777777" w:rsidR="00551F19" w:rsidRPr="00551F19" w:rsidRDefault="00551F19" w:rsidP="00551F19">
            <w:pPr>
              <w:tabs>
                <w:tab w:val="right" w:pos="1202"/>
              </w:tabs>
              <w:spacing w:after="0" w:line="220" w:lineRule="exact"/>
              <w:outlineLvl w:val="0"/>
              <w:rPr>
                <w:rFonts w:asciiTheme="minorHAnsi" w:eastAsia="Times New Roman" w:hAnsiTheme="minorHAnsi" w:cs="Arial"/>
                <w:sz w:val="18"/>
                <w:szCs w:val="18"/>
              </w:rPr>
            </w:pPr>
            <w:r w:rsidRPr="00551F19">
              <w:rPr>
                <w:rFonts w:asciiTheme="minorHAnsi" w:eastAsia="Times New Roman" w:hAnsiTheme="minorHAnsi" w:cs="Arial"/>
                <w:sz w:val="18"/>
                <w:szCs w:val="18"/>
              </w:rPr>
              <w:t>Loans to financial institutions</w:t>
            </w:r>
          </w:p>
        </w:tc>
        <w:tc>
          <w:tcPr>
            <w:tcW w:w="516" w:type="pct"/>
            <w:tcBorders>
              <w:top w:val="nil"/>
              <w:left w:val="nil"/>
              <w:bottom w:val="nil"/>
              <w:right w:val="nil"/>
            </w:tcBorders>
            <w:shd w:val="clear" w:color="auto" w:fill="auto"/>
            <w:vAlign w:val="bottom"/>
          </w:tcPr>
          <w:p w14:paraId="2A0009D1"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11,472,130</w:t>
            </w:r>
          </w:p>
        </w:tc>
        <w:tc>
          <w:tcPr>
            <w:tcW w:w="516" w:type="pct"/>
            <w:tcBorders>
              <w:top w:val="nil"/>
              <w:left w:val="nil"/>
              <w:bottom w:val="nil"/>
              <w:right w:val="nil"/>
            </w:tcBorders>
            <w:shd w:val="clear" w:color="auto" w:fill="auto"/>
            <w:vAlign w:val="bottom"/>
          </w:tcPr>
          <w:p w14:paraId="5E856B38"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416,981</w:t>
            </w:r>
          </w:p>
        </w:tc>
        <w:tc>
          <w:tcPr>
            <w:tcW w:w="516" w:type="pct"/>
            <w:tcBorders>
              <w:top w:val="nil"/>
              <w:left w:val="nil"/>
              <w:bottom w:val="nil"/>
              <w:right w:val="nil"/>
            </w:tcBorders>
            <w:shd w:val="clear" w:color="auto" w:fill="auto"/>
            <w:vAlign w:val="bottom"/>
          </w:tcPr>
          <w:p w14:paraId="3F6F2A72"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26BC2EDB"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11,889,111</w:t>
            </w:r>
          </w:p>
        </w:tc>
        <w:tc>
          <w:tcPr>
            <w:tcW w:w="516" w:type="pct"/>
            <w:tcBorders>
              <w:top w:val="nil"/>
              <w:left w:val="nil"/>
              <w:bottom w:val="nil"/>
              <w:right w:val="nil"/>
            </w:tcBorders>
            <w:shd w:val="clear" w:color="auto" w:fill="auto"/>
            <w:vAlign w:val="bottom"/>
          </w:tcPr>
          <w:p w14:paraId="1C5E606D"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6BA5F968"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595DF361"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044EBFF6"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r>
      <w:tr w:rsidR="00551F19" w:rsidRPr="00551F19" w14:paraId="317964E3" w14:textId="77777777" w:rsidTr="00551F19">
        <w:trPr>
          <w:trHeight w:val="173"/>
          <w:jc w:val="center"/>
        </w:trPr>
        <w:tc>
          <w:tcPr>
            <w:tcW w:w="871" w:type="pct"/>
            <w:vAlign w:val="bottom"/>
          </w:tcPr>
          <w:p w14:paraId="5C65A2A6" w14:textId="77777777" w:rsidR="00551F19" w:rsidRPr="00551F19" w:rsidRDefault="00551F19" w:rsidP="00551F19">
            <w:pPr>
              <w:tabs>
                <w:tab w:val="right" w:pos="1202"/>
              </w:tabs>
              <w:spacing w:after="0" w:line="220" w:lineRule="exact"/>
              <w:outlineLvl w:val="0"/>
              <w:rPr>
                <w:rFonts w:asciiTheme="minorHAnsi" w:eastAsia="Times New Roman" w:hAnsiTheme="minorHAnsi" w:cs="Arial"/>
                <w:sz w:val="18"/>
                <w:szCs w:val="18"/>
              </w:rPr>
            </w:pPr>
            <w:r w:rsidRPr="00551F19">
              <w:rPr>
                <w:rFonts w:asciiTheme="minorHAnsi" w:eastAsia="Times New Roman" w:hAnsiTheme="minorHAnsi" w:cs="Arial"/>
                <w:sz w:val="18"/>
                <w:szCs w:val="18"/>
              </w:rPr>
              <w:t>Loans to other customers</w:t>
            </w:r>
          </w:p>
        </w:tc>
        <w:tc>
          <w:tcPr>
            <w:tcW w:w="516" w:type="pct"/>
            <w:tcBorders>
              <w:top w:val="nil"/>
              <w:left w:val="nil"/>
              <w:bottom w:val="nil"/>
              <w:right w:val="nil"/>
            </w:tcBorders>
            <w:shd w:val="clear" w:color="auto" w:fill="auto"/>
            <w:vAlign w:val="bottom"/>
          </w:tcPr>
          <w:p w14:paraId="421DA933"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551F19">
              <w:rPr>
                <w:rFonts w:eastAsia="Times New Roman" w:cs="Arial"/>
                <w:sz w:val="18"/>
                <w:szCs w:val="18"/>
              </w:rPr>
              <w:t>10,415,684</w:t>
            </w:r>
          </w:p>
        </w:tc>
        <w:tc>
          <w:tcPr>
            <w:tcW w:w="516" w:type="pct"/>
            <w:tcBorders>
              <w:top w:val="nil"/>
              <w:left w:val="nil"/>
              <w:bottom w:val="nil"/>
              <w:right w:val="nil"/>
            </w:tcBorders>
            <w:shd w:val="clear" w:color="auto" w:fill="auto"/>
            <w:vAlign w:val="bottom"/>
          </w:tcPr>
          <w:p w14:paraId="06F0DCC7"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551F19">
              <w:rPr>
                <w:rFonts w:eastAsia="Times New Roman" w:cs="Arial"/>
                <w:sz w:val="18"/>
                <w:szCs w:val="18"/>
              </w:rPr>
              <w:t>1,095,510</w:t>
            </w:r>
          </w:p>
        </w:tc>
        <w:tc>
          <w:tcPr>
            <w:tcW w:w="516" w:type="pct"/>
            <w:tcBorders>
              <w:top w:val="nil"/>
              <w:left w:val="nil"/>
              <w:bottom w:val="nil"/>
              <w:right w:val="nil"/>
            </w:tcBorders>
            <w:shd w:val="clear" w:color="auto" w:fill="auto"/>
            <w:vAlign w:val="bottom"/>
          </w:tcPr>
          <w:p w14:paraId="61526A33"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31C1114D"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551F19">
              <w:rPr>
                <w:rFonts w:eastAsia="Times New Roman" w:cs="Arial"/>
                <w:sz w:val="18"/>
                <w:szCs w:val="18"/>
              </w:rPr>
              <w:t>11,511,194</w:t>
            </w:r>
          </w:p>
        </w:tc>
        <w:tc>
          <w:tcPr>
            <w:tcW w:w="516" w:type="pct"/>
            <w:tcBorders>
              <w:top w:val="nil"/>
              <w:left w:val="nil"/>
              <w:bottom w:val="nil"/>
              <w:right w:val="nil"/>
            </w:tcBorders>
            <w:shd w:val="clear" w:color="auto" w:fill="auto"/>
            <w:vAlign w:val="bottom"/>
          </w:tcPr>
          <w:p w14:paraId="56C18A97"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551F19">
              <w:rPr>
                <w:rFonts w:eastAsia="Times New Roman" w:cs="Arial"/>
                <w:sz w:val="18"/>
                <w:szCs w:val="18"/>
                <w:lang w:val="en-US"/>
              </w:rPr>
              <w:t>2,484,106</w:t>
            </w:r>
          </w:p>
        </w:tc>
        <w:tc>
          <w:tcPr>
            <w:tcW w:w="516" w:type="pct"/>
            <w:tcBorders>
              <w:top w:val="nil"/>
              <w:left w:val="nil"/>
              <w:bottom w:val="nil"/>
              <w:right w:val="nil"/>
            </w:tcBorders>
            <w:shd w:val="clear" w:color="auto" w:fill="auto"/>
            <w:vAlign w:val="bottom"/>
          </w:tcPr>
          <w:p w14:paraId="59EEB7F8"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551F19">
              <w:rPr>
                <w:rFonts w:eastAsia="Times New Roman" w:cs="Arial"/>
                <w:sz w:val="18"/>
                <w:szCs w:val="18"/>
                <w:lang w:val="en-US"/>
              </w:rPr>
              <w:t>34,930</w:t>
            </w:r>
          </w:p>
        </w:tc>
        <w:tc>
          <w:tcPr>
            <w:tcW w:w="516" w:type="pct"/>
            <w:tcBorders>
              <w:top w:val="nil"/>
              <w:left w:val="nil"/>
              <w:bottom w:val="nil"/>
              <w:right w:val="nil"/>
            </w:tcBorders>
            <w:shd w:val="clear" w:color="auto" w:fill="auto"/>
            <w:vAlign w:val="bottom"/>
          </w:tcPr>
          <w:p w14:paraId="36147B43"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551F19">
              <w:rPr>
                <w:rFonts w:eastAsia="Times New Roman" w:cs="Arial"/>
                <w:sz w:val="18"/>
                <w:szCs w:val="18"/>
                <w:lang w:val="en-US"/>
              </w:rPr>
              <w:t>-</w:t>
            </w:r>
          </w:p>
        </w:tc>
        <w:tc>
          <w:tcPr>
            <w:tcW w:w="516" w:type="pct"/>
            <w:tcBorders>
              <w:top w:val="nil"/>
              <w:left w:val="nil"/>
              <w:bottom w:val="nil"/>
              <w:right w:val="nil"/>
            </w:tcBorders>
            <w:shd w:val="clear" w:color="auto" w:fill="auto"/>
            <w:vAlign w:val="bottom"/>
          </w:tcPr>
          <w:p w14:paraId="4AC98ED5"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551F19">
              <w:rPr>
                <w:rFonts w:eastAsia="Times New Roman" w:cs="Arial"/>
                <w:sz w:val="18"/>
                <w:szCs w:val="18"/>
                <w:lang w:val="en-US"/>
              </w:rPr>
              <w:t>2,519,036</w:t>
            </w:r>
          </w:p>
        </w:tc>
      </w:tr>
      <w:tr w:rsidR="00551F19" w:rsidRPr="00551F19" w14:paraId="4980C6F4" w14:textId="77777777" w:rsidTr="00551F19">
        <w:trPr>
          <w:trHeight w:val="534"/>
          <w:jc w:val="center"/>
        </w:trPr>
        <w:tc>
          <w:tcPr>
            <w:tcW w:w="871" w:type="pct"/>
            <w:vAlign w:val="bottom"/>
          </w:tcPr>
          <w:p w14:paraId="19201456" w14:textId="77777777" w:rsidR="00551F19" w:rsidRPr="00551F19" w:rsidRDefault="00551F19" w:rsidP="00551F19">
            <w:pPr>
              <w:tabs>
                <w:tab w:val="right" w:pos="1202"/>
              </w:tabs>
              <w:spacing w:after="0" w:line="220" w:lineRule="exact"/>
              <w:outlineLvl w:val="0"/>
              <w:rPr>
                <w:rFonts w:asciiTheme="minorHAnsi" w:eastAsia="Times New Roman" w:hAnsiTheme="minorHAnsi" w:cs="Arial"/>
                <w:sz w:val="18"/>
                <w:szCs w:val="18"/>
              </w:rPr>
            </w:pPr>
            <w:r w:rsidRPr="00551F19">
              <w:rPr>
                <w:rFonts w:asciiTheme="minorHAnsi" w:eastAsia="Times New Roman" w:hAnsiTheme="minorHAnsi" w:cs="Arial"/>
                <w:sz w:val="18"/>
                <w:szCs w:val="18"/>
              </w:rPr>
              <w:t>Financial assets at fair value through profit or loss</w:t>
            </w:r>
          </w:p>
        </w:tc>
        <w:tc>
          <w:tcPr>
            <w:tcW w:w="516" w:type="pct"/>
            <w:tcBorders>
              <w:top w:val="nil"/>
              <w:left w:val="nil"/>
              <w:bottom w:val="nil"/>
              <w:right w:val="nil"/>
            </w:tcBorders>
            <w:shd w:val="clear" w:color="auto" w:fill="auto"/>
            <w:vAlign w:val="bottom"/>
          </w:tcPr>
          <w:p w14:paraId="7EB8DFBC"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551F19">
              <w:rPr>
                <w:rFonts w:eastAsia="Times New Roman" w:cs="Arial"/>
                <w:sz w:val="18"/>
                <w:szCs w:val="18"/>
              </w:rPr>
              <w:t>286</w:t>
            </w:r>
          </w:p>
        </w:tc>
        <w:tc>
          <w:tcPr>
            <w:tcW w:w="516" w:type="pct"/>
            <w:tcBorders>
              <w:top w:val="nil"/>
              <w:left w:val="nil"/>
              <w:bottom w:val="nil"/>
              <w:right w:val="nil"/>
            </w:tcBorders>
            <w:shd w:val="clear" w:color="auto" w:fill="auto"/>
            <w:vAlign w:val="bottom"/>
          </w:tcPr>
          <w:p w14:paraId="156C2DDB"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7227D617"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7D4D1EA6"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551F19">
              <w:rPr>
                <w:rFonts w:eastAsia="Times New Roman" w:cs="Arial"/>
                <w:sz w:val="18"/>
                <w:szCs w:val="18"/>
              </w:rPr>
              <w:t>286</w:t>
            </w:r>
          </w:p>
        </w:tc>
        <w:tc>
          <w:tcPr>
            <w:tcW w:w="516" w:type="pct"/>
            <w:tcBorders>
              <w:top w:val="nil"/>
              <w:left w:val="nil"/>
              <w:bottom w:val="nil"/>
              <w:right w:val="nil"/>
            </w:tcBorders>
            <w:shd w:val="clear" w:color="auto" w:fill="auto"/>
            <w:vAlign w:val="bottom"/>
          </w:tcPr>
          <w:p w14:paraId="129DAE88"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463D645C"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3C3FE5CE"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7A5FD524"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551F19">
              <w:rPr>
                <w:rFonts w:eastAsia="Times New Roman" w:cs="Arial"/>
                <w:sz w:val="18"/>
                <w:szCs w:val="18"/>
              </w:rPr>
              <w:t>-</w:t>
            </w:r>
          </w:p>
        </w:tc>
      </w:tr>
      <w:tr w:rsidR="00551F19" w:rsidRPr="00551F19" w14:paraId="685E3102" w14:textId="77777777" w:rsidTr="00551F19">
        <w:trPr>
          <w:trHeight w:val="269"/>
          <w:jc w:val="center"/>
        </w:trPr>
        <w:tc>
          <w:tcPr>
            <w:tcW w:w="871" w:type="pct"/>
            <w:vAlign w:val="bottom"/>
          </w:tcPr>
          <w:p w14:paraId="6C5D68A9" w14:textId="77777777" w:rsidR="00551F19" w:rsidRPr="00551F19" w:rsidRDefault="00551F19" w:rsidP="00551F19">
            <w:pPr>
              <w:tabs>
                <w:tab w:val="right" w:pos="1202"/>
              </w:tabs>
              <w:spacing w:after="0" w:line="220" w:lineRule="exact"/>
              <w:outlineLvl w:val="0"/>
              <w:rPr>
                <w:rFonts w:asciiTheme="minorHAnsi" w:eastAsia="Times New Roman" w:hAnsiTheme="minorHAnsi" w:cs="Arial"/>
                <w:sz w:val="18"/>
                <w:szCs w:val="18"/>
              </w:rPr>
            </w:pPr>
            <w:r w:rsidRPr="00551F19">
              <w:rPr>
                <w:rFonts w:asciiTheme="minorHAnsi" w:eastAsia="Times New Roman" w:hAnsiTheme="minorHAnsi" w:cs="Arial"/>
                <w:sz w:val="18"/>
                <w:szCs w:val="18"/>
              </w:rPr>
              <w:t>Assets available for sale</w:t>
            </w:r>
          </w:p>
        </w:tc>
        <w:tc>
          <w:tcPr>
            <w:tcW w:w="516" w:type="pct"/>
            <w:tcBorders>
              <w:top w:val="nil"/>
              <w:left w:val="nil"/>
              <w:bottom w:val="nil"/>
              <w:right w:val="nil"/>
            </w:tcBorders>
            <w:shd w:val="clear" w:color="auto" w:fill="auto"/>
            <w:vAlign w:val="bottom"/>
          </w:tcPr>
          <w:p w14:paraId="56851C6C"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3,353,086</w:t>
            </w:r>
          </w:p>
        </w:tc>
        <w:tc>
          <w:tcPr>
            <w:tcW w:w="516" w:type="pct"/>
            <w:tcBorders>
              <w:top w:val="nil"/>
              <w:left w:val="nil"/>
              <w:bottom w:val="nil"/>
              <w:right w:val="nil"/>
            </w:tcBorders>
            <w:shd w:val="clear" w:color="auto" w:fill="auto"/>
            <w:vAlign w:val="bottom"/>
          </w:tcPr>
          <w:p w14:paraId="4BA02CFB"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5AEA798A"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70459399"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3,353,086</w:t>
            </w:r>
          </w:p>
        </w:tc>
        <w:tc>
          <w:tcPr>
            <w:tcW w:w="516" w:type="pct"/>
            <w:tcBorders>
              <w:top w:val="nil"/>
              <w:left w:val="nil"/>
              <w:bottom w:val="nil"/>
              <w:right w:val="nil"/>
            </w:tcBorders>
            <w:shd w:val="clear" w:color="auto" w:fill="auto"/>
            <w:vAlign w:val="bottom"/>
          </w:tcPr>
          <w:p w14:paraId="383C4713"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2,442,549</w:t>
            </w:r>
          </w:p>
        </w:tc>
        <w:tc>
          <w:tcPr>
            <w:tcW w:w="516" w:type="pct"/>
            <w:tcBorders>
              <w:top w:val="nil"/>
              <w:left w:val="nil"/>
              <w:bottom w:val="nil"/>
              <w:right w:val="nil"/>
            </w:tcBorders>
            <w:shd w:val="clear" w:color="auto" w:fill="auto"/>
            <w:vAlign w:val="bottom"/>
          </w:tcPr>
          <w:p w14:paraId="7B7F6C5B"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626CD1B2"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03B59693"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2,442,549</w:t>
            </w:r>
          </w:p>
        </w:tc>
      </w:tr>
      <w:tr w:rsidR="00551F19" w:rsidRPr="00551F19" w14:paraId="295F086B" w14:textId="77777777" w:rsidTr="00551F19">
        <w:trPr>
          <w:trHeight w:val="245"/>
          <w:jc w:val="center"/>
        </w:trPr>
        <w:tc>
          <w:tcPr>
            <w:tcW w:w="871" w:type="pct"/>
            <w:vAlign w:val="bottom"/>
          </w:tcPr>
          <w:p w14:paraId="008B0EFE" w14:textId="77777777" w:rsidR="00551F19" w:rsidRPr="00551F19" w:rsidRDefault="00551F19" w:rsidP="00551F19">
            <w:pPr>
              <w:tabs>
                <w:tab w:val="right" w:pos="1202"/>
              </w:tabs>
              <w:spacing w:after="0" w:line="220" w:lineRule="exact"/>
              <w:outlineLvl w:val="0"/>
              <w:rPr>
                <w:rFonts w:asciiTheme="minorHAnsi" w:eastAsia="Times New Roman" w:hAnsiTheme="minorHAnsi" w:cs="Arial"/>
                <w:sz w:val="18"/>
                <w:szCs w:val="18"/>
              </w:rPr>
            </w:pPr>
            <w:r w:rsidRPr="00551F19">
              <w:rPr>
                <w:rFonts w:asciiTheme="minorHAnsi" w:eastAsia="Times New Roman" w:hAnsiTheme="minorHAnsi" w:cs="Arial"/>
                <w:sz w:val="18"/>
                <w:szCs w:val="18"/>
              </w:rPr>
              <w:t>Assets held to maturity</w:t>
            </w:r>
          </w:p>
        </w:tc>
        <w:tc>
          <w:tcPr>
            <w:tcW w:w="516" w:type="pct"/>
            <w:tcBorders>
              <w:top w:val="nil"/>
              <w:left w:val="nil"/>
              <w:bottom w:val="nil"/>
              <w:right w:val="nil"/>
            </w:tcBorders>
            <w:shd w:val="clear" w:color="auto" w:fill="auto"/>
            <w:vAlign w:val="bottom"/>
          </w:tcPr>
          <w:p w14:paraId="71CAE403"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1,422</w:t>
            </w:r>
          </w:p>
        </w:tc>
        <w:tc>
          <w:tcPr>
            <w:tcW w:w="516" w:type="pct"/>
            <w:tcBorders>
              <w:top w:val="nil"/>
              <w:left w:val="nil"/>
              <w:bottom w:val="nil"/>
              <w:right w:val="nil"/>
            </w:tcBorders>
            <w:shd w:val="clear" w:color="auto" w:fill="auto"/>
            <w:vAlign w:val="bottom"/>
          </w:tcPr>
          <w:p w14:paraId="0F9A3AB5"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2ACAFB43"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4815F415"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1,422</w:t>
            </w:r>
          </w:p>
        </w:tc>
        <w:tc>
          <w:tcPr>
            <w:tcW w:w="516" w:type="pct"/>
            <w:tcBorders>
              <w:top w:val="nil"/>
              <w:left w:val="nil"/>
              <w:bottom w:val="nil"/>
              <w:right w:val="nil"/>
            </w:tcBorders>
            <w:shd w:val="clear" w:color="auto" w:fill="auto"/>
            <w:vAlign w:val="bottom"/>
          </w:tcPr>
          <w:p w14:paraId="0D41B30E"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1,422</w:t>
            </w:r>
          </w:p>
        </w:tc>
        <w:tc>
          <w:tcPr>
            <w:tcW w:w="516" w:type="pct"/>
            <w:tcBorders>
              <w:top w:val="nil"/>
              <w:left w:val="nil"/>
              <w:bottom w:val="nil"/>
              <w:right w:val="nil"/>
            </w:tcBorders>
            <w:shd w:val="clear" w:color="auto" w:fill="auto"/>
            <w:vAlign w:val="bottom"/>
          </w:tcPr>
          <w:p w14:paraId="2C7EE95E"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1BCB875A"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14:paraId="6A14571E"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1,422</w:t>
            </w:r>
          </w:p>
        </w:tc>
      </w:tr>
      <w:tr w:rsidR="00551F19" w:rsidRPr="00551F19" w14:paraId="0C85A034" w14:textId="77777777" w:rsidTr="00551F19">
        <w:trPr>
          <w:trHeight w:val="278"/>
          <w:jc w:val="center"/>
        </w:trPr>
        <w:tc>
          <w:tcPr>
            <w:tcW w:w="871" w:type="pct"/>
            <w:vAlign w:val="bottom"/>
          </w:tcPr>
          <w:p w14:paraId="3DD2C7A3" w14:textId="77777777" w:rsidR="00551F19" w:rsidRPr="00551F19" w:rsidRDefault="00551F19" w:rsidP="00551F19">
            <w:pPr>
              <w:tabs>
                <w:tab w:val="right" w:pos="1202"/>
              </w:tabs>
              <w:spacing w:after="0" w:line="220" w:lineRule="exact"/>
              <w:outlineLvl w:val="0"/>
              <w:rPr>
                <w:rFonts w:asciiTheme="minorHAnsi" w:eastAsia="Times New Roman" w:hAnsiTheme="minorHAnsi" w:cs="Arial"/>
                <w:sz w:val="18"/>
                <w:szCs w:val="18"/>
              </w:rPr>
            </w:pPr>
            <w:r w:rsidRPr="00551F19">
              <w:rPr>
                <w:rFonts w:asciiTheme="minorHAnsi" w:eastAsia="Times New Roman" w:hAnsiTheme="minorHAnsi" w:cs="Arial"/>
                <w:sz w:val="18"/>
                <w:szCs w:val="18"/>
              </w:rPr>
              <w:t>Other assets</w:t>
            </w:r>
          </w:p>
        </w:tc>
        <w:tc>
          <w:tcPr>
            <w:tcW w:w="516" w:type="pct"/>
            <w:tcBorders>
              <w:top w:val="nil"/>
              <w:left w:val="nil"/>
              <w:bottom w:val="single" w:sz="8" w:space="0" w:color="auto"/>
              <w:right w:val="nil"/>
            </w:tcBorders>
            <w:shd w:val="clear" w:color="auto" w:fill="auto"/>
            <w:vAlign w:val="bottom"/>
          </w:tcPr>
          <w:p w14:paraId="5A419F17"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5,853</w:t>
            </w:r>
          </w:p>
        </w:tc>
        <w:tc>
          <w:tcPr>
            <w:tcW w:w="516" w:type="pct"/>
            <w:tcBorders>
              <w:top w:val="nil"/>
              <w:left w:val="nil"/>
              <w:bottom w:val="single" w:sz="8" w:space="0" w:color="auto"/>
              <w:right w:val="nil"/>
            </w:tcBorders>
            <w:shd w:val="clear" w:color="auto" w:fill="auto"/>
            <w:vAlign w:val="bottom"/>
          </w:tcPr>
          <w:p w14:paraId="22811E42"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396</w:t>
            </w:r>
          </w:p>
        </w:tc>
        <w:tc>
          <w:tcPr>
            <w:tcW w:w="516" w:type="pct"/>
            <w:tcBorders>
              <w:top w:val="nil"/>
              <w:left w:val="nil"/>
              <w:bottom w:val="single" w:sz="8" w:space="0" w:color="auto"/>
              <w:right w:val="nil"/>
            </w:tcBorders>
            <w:shd w:val="clear" w:color="auto" w:fill="auto"/>
            <w:vAlign w:val="bottom"/>
          </w:tcPr>
          <w:p w14:paraId="4E7288D7"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 -</w:t>
            </w:r>
          </w:p>
        </w:tc>
        <w:tc>
          <w:tcPr>
            <w:tcW w:w="516" w:type="pct"/>
            <w:tcBorders>
              <w:top w:val="nil"/>
              <w:left w:val="nil"/>
              <w:bottom w:val="single" w:sz="8" w:space="0" w:color="auto"/>
              <w:right w:val="nil"/>
            </w:tcBorders>
            <w:shd w:val="clear" w:color="auto" w:fill="auto"/>
            <w:vAlign w:val="bottom"/>
          </w:tcPr>
          <w:p w14:paraId="1AF88928"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6,249</w:t>
            </w:r>
          </w:p>
        </w:tc>
        <w:tc>
          <w:tcPr>
            <w:tcW w:w="516" w:type="pct"/>
            <w:tcBorders>
              <w:top w:val="nil"/>
              <w:left w:val="nil"/>
              <w:bottom w:val="single" w:sz="8" w:space="0" w:color="auto"/>
              <w:right w:val="nil"/>
            </w:tcBorders>
            <w:shd w:val="clear" w:color="auto" w:fill="auto"/>
            <w:vAlign w:val="bottom"/>
          </w:tcPr>
          <w:p w14:paraId="4BB29055"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3,270</w:t>
            </w:r>
          </w:p>
        </w:tc>
        <w:tc>
          <w:tcPr>
            <w:tcW w:w="516" w:type="pct"/>
            <w:tcBorders>
              <w:top w:val="nil"/>
              <w:left w:val="nil"/>
              <w:bottom w:val="single" w:sz="8" w:space="0" w:color="auto"/>
              <w:right w:val="nil"/>
            </w:tcBorders>
            <w:shd w:val="clear" w:color="auto" w:fill="auto"/>
            <w:vAlign w:val="bottom"/>
          </w:tcPr>
          <w:p w14:paraId="1C57EDB0"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396</w:t>
            </w:r>
          </w:p>
        </w:tc>
        <w:tc>
          <w:tcPr>
            <w:tcW w:w="516" w:type="pct"/>
            <w:tcBorders>
              <w:top w:val="nil"/>
              <w:left w:val="nil"/>
              <w:bottom w:val="single" w:sz="8" w:space="0" w:color="auto"/>
              <w:right w:val="nil"/>
            </w:tcBorders>
            <w:shd w:val="clear" w:color="auto" w:fill="auto"/>
            <w:vAlign w:val="bottom"/>
          </w:tcPr>
          <w:p w14:paraId="7446467C"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 </w:t>
            </w:r>
          </w:p>
        </w:tc>
        <w:tc>
          <w:tcPr>
            <w:tcW w:w="516" w:type="pct"/>
            <w:tcBorders>
              <w:top w:val="nil"/>
              <w:left w:val="nil"/>
              <w:bottom w:val="single" w:sz="8" w:space="0" w:color="auto"/>
              <w:right w:val="nil"/>
            </w:tcBorders>
            <w:shd w:val="clear" w:color="auto" w:fill="auto"/>
            <w:vAlign w:val="bottom"/>
          </w:tcPr>
          <w:p w14:paraId="470B032D"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3,666</w:t>
            </w:r>
          </w:p>
        </w:tc>
      </w:tr>
      <w:tr w:rsidR="00551F19" w:rsidRPr="00551F19" w14:paraId="6AD5B096" w14:textId="77777777" w:rsidTr="00551F19">
        <w:trPr>
          <w:trHeight w:val="278"/>
          <w:jc w:val="center"/>
        </w:trPr>
        <w:tc>
          <w:tcPr>
            <w:tcW w:w="871" w:type="pct"/>
            <w:vAlign w:val="bottom"/>
          </w:tcPr>
          <w:p w14:paraId="7D5FAFF9" w14:textId="77777777" w:rsidR="00551F19" w:rsidRPr="00551F19" w:rsidRDefault="00551F19" w:rsidP="00551F19">
            <w:pPr>
              <w:tabs>
                <w:tab w:val="right" w:pos="1202"/>
              </w:tabs>
              <w:spacing w:after="0" w:line="220" w:lineRule="exact"/>
              <w:outlineLvl w:val="0"/>
              <w:rPr>
                <w:rFonts w:asciiTheme="minorHAnsi" w:eastAsia="Times New Roman" w:hAnsiTheme="minorHAnsi" w:cs="Arial"/>
                <w:b/>
                <w:bCs/>
                <w:sz w:val="18"/>
                <w:szCs w:val="18"/>
              </w:rPr>
            </w:pPr>
            <w:r w:rsidRPr="00551F19">
              <w:rPr>
                <w:rFonts w:asciiTheme="minorHAnsi" w:eastAsia="Times New Roman" w:hAnsiTheme="minorHAnsi" w:cs="Arial"/>
                <w:b/>
                <w:bCs/>
                <w:sz w:val="18"/>
                <w:szCs w:val="18"/>
              </w:rPr>
              <w:t>Total</w:t>
            </w:r>
          </w:p>
        </w:tc>
        <w:tc>
          <w:tcPr>
            <w:tcW w:w="516" w:type="pct"/>
            <w:tcBorders>
              <w:top w:val="nil"/>
              <w:left w:val="nil"/>
              <w:bottom w:val="single" w:sz="12" w:space="0" w:color="auto"/>
              <w:right w:val="nil"/>
            </w:tcBorders>
            <w:shd w:val="clear" w:color="auto" w:fill="auto"/>
            <w:vAlign w:val="bottom"/>
          </w:tcPr>
          <w:p w14:paraId="5AEECF6D" w14:textId="77777777" w:rsidR="00551F19" w:rsidRPr="00551F19"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hr-HR"/>
              </w:rPr>
            </w:pPr>
            <w:r w:rsidRPr="00551F19">
              <w:rPr>
                <w:rFonts w:eastAsia="Times New Roman" w:cs="Arial"/>
                <w:b/>
                <w:bCs/>
                <w:sz w:val="18"/>
                <w:szCs w:val="18"/>
              </w:rPr>
              <w:t>25,763,576</w:t>
            </w:r>
          </w:p>
        </w:tc>
        <w:tc>
          <w:tcPr>
            <w:tcW w:w="516" w:type="pct"/>
            <w:tcBorders>
              <w:top w:val="nil"/>
              <w:left w:val="nil"/>
              <w:bottom w:val="single" w:sz="12" w:space="0" w:color="auto"/>
              <w:right w:val="nil"/>
            </w:tcBorders>
            <w:shd w:val="clear" w:color="auto" w:fill="auto"/>
            <w:vAlign w:val="bottom"/>
          </w:tcPr>
          <w:p w14:paraId="16987F10" w14:textId="77777777" w:rsidR="00551F19" w:rsidRPr="00551F19"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hr-HR"/>
              </w:rPr>
            </w:pPr>
            <w:r w:rsidRPr="00551F19">
              <w:rPr>
                <w:rFonts w:eastAsia="Times New Roman" w:cs="Arial"/>
                <w:b/>
                <w:bCs/>
                <w:sz w:val="18"/>
                <w:szCs w:val="18"/>
              </w:rPr>
              <w:t>1,512,887</w:t>
            </w:r>
          </w:p>
        </w:tc>
        <w:tc>
          <w:tcPr>
            <w:tcW w:w="516" w:type="pct"/>
            <w:tcBorders>
              <w:top w:val="nil"/>
              <w:left w:val="nil"/>
              <w:bottom w:val="single" w:sz="12" w:space="0" w:color="auto"/>
              <w:right w:val="nil"/>
            </w:tcBorders>
            <w:shd w:val="clear" w:color="auto" w:fill="auto"/>
            <w:vAlign w:val="bottom"/>
          </w:tcPr>
          <w:p w14:paraId="734F42F4"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b/>
                <w:bCs/>
                <w:sz w:val="18"/>
                <w:szCs w:val="18"/>
              </w:rPr>
              <w:t>-</w:t>
            </w:r>
          </w:p>
        </w:tc>
        <w:tc>
          <w:tcPr>
            <w:tcW w:w="516" w:type="pct"/>
            <w:tcBorders>
              <w:top w:val="nil"/>
              <w:left w:val="nil"/>
              <w:bottom w:val="single" w:sz="12" w:space="0" w:color="auto"/>
              <w:right w:val="nil"/>
            </w:tcBorders>
            <w:shd w:val="clear" w:color="auto" w:fill="auto"/>
            <w:vAlign w:val="bottom"/>
          </w:tcPr>
          <w:p w14:paraId="42C8890B" w14:textId="77777777" w:rsidR="00551F19" w:rsidRPr="00551F19"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hr-HR"/>
              </w:rPr>
            </w:pPr>
            <w:r w:rsidRPr="00551F19">
              <w:rPr>
                <w:rFonts w:eastAsia="Times New Roman" w:cs="Arial"/>
                <w:b/>
                <w:bCs/>
                <w:sz w:val="18"/>
                <w:szCs w:val="18"/>
              </w:rPr>
              <w:t>27,276,463</w:t>
            </w:r>
          </w:p>
        </w:tc>
        <w:tc>
          <w:tcPr>
            <w:tcW w:w="516" w:type="pct"/>
            <w:tcBorders>
              <w:top w:val="nil"/>
              <w:left w:val="nil"/>
              <w:bottom w:val="single" w:sz="12" w:space="0" w:color="auto"/>
              <w:right w:val="nil"/>
            </w:tcBorders>
            <w:shd w:val="clear" w:color="auto" w:fill="auto"/>
            <w:vAlign w:val="bottom"/>
          </w:tcPr>
          <w:p w14:paraId="223E5552" w14:textId="77777777" w:rsidR="00551F19" w:rsidRPr="00551F19"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hr-HR"/>
              </w:rPr>
            </w:pPr>
            <w:r w:rsidRPr="00551F19">
              <w:rPr>
                <w:rFonts w:eastAsia="Times New Roman" w:cs="Arial"/>
                <w:b/>
                <w:bCs/>
                <w:sz w:val="18"/>
                <w:szCs w:val="18"/>
              </w:rPr>
              <w:t>4,931,347</w:t>
            </w:r>
          </w:p>
        </w:tc>
        <w:tc>
          <w:tcPr>
            <w:tcW w:w="516" w:type="pct"/>
            <w:tcBorders>
              <w:top w:val="nil"/>
              <w:left w:val="nil"/>
              <w:bottom w:val="single" w:sz="12" w:space="0" w:color="auto"/>
              <w:right w:val="nil"/>
            </w:tcBorders>
            <w:shd w:val="clear" w:color="auto" w:fill="auto"/>
            <w:vAlign w:val="bottom"/>
          </w:tcPr>
          <w:p w14:paraId="4C5BFAF6" w14:textId="77777777" w:rsidR="00551F19" w:rsidRPr="00551F19"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hr-HR"/>
              </w:rPr>
            </w:pPr>
            <w:r w:rsidRPr="00551F19">
              <w:rPr>
                <w:rFonts w:eastAsia="Times New Roman" w:cs="Arial"/>
                <w:b/>
                <w:bCs/>
                <w:sz w:val="18"/>
                <w:szCs w:val="18"/>
              </w:rPr>
              <w:t>35,326</w:t>
            </w:r>
          </w:p>
        </w:tc>
        <w:tc>
          <w:tcPr>
            <w:tcW w:w="516" w:type="pct"/>
            <w:tcBorders>
              <w:top w:val="nil"/>
              <w:left w:val="nil"/>
              <w:bottom w:val="single" w:sz="12" w:space="0" w:color="auto"/>
              <w:right w:val="nil"/>
            </w:tcBorders>
            <w:shd w:val="clear" w:color="auto" w:fill="auto"/>
            <w:vAlign w:val="bottom"/>
          </w:tcPr>
          <w:p w14:paraId="7FB796D7" w14:textId="77777777" w:rsidR="00551F19" w:rsidRPr="00551F19"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hr-HR"/>
              </w:rPr>
            </w:pPr>
            <w:r w:rsidRPr="00551F19">
              <w:rPr>
                <w:rFonts w:eastAsia="Times New Roman" w:cs="Arial"/>
                <w:b/>
                <w:bCs/>
                <w:sz w:val="18"/>
                <w:szCs w:val="18"/>
              </w:rPr>
              <w:t>-</w:t>
            </w:r>
          </w:p>
        </w:tc>
        <w:tc>
          <w:tcPr>
            <w:tcW w:w="516" w:type="pct"/>
            <w:tcBorders>
              <w:top w:val="nil"/>
              <w:left w:val="nil"/>
              <w:bottom w:val="single" w:sz="12" w:space="0" w:color="auto"/>
              <w:right w:val="nil"/>
            </w:tcBorders>
            <w:shd w:val="clear" w:color="auto" w:fill="auto"/>
            <w:vAlign w:val="bottom"/>
          </w:tcPr>
          <w:p w14:paraId="4122B064" w14:textId="77777777" w:rsidR="00551F19" w:rsidRPr="00551F19"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hr-HR"/>
              </w:rPr>
            </w:pPr>
            <w:r w:rsidRPr="00551F19">
              <w:rPr>
                <w:rFonts w:eastAsia="Times New Roman" w:cs="Arial"/>
                <w:b/>
                <w:bCs/>
                <w:sz w:val="18"/>
                <w:szCs w:val="18"/>
              </w:rPr>
              <w:t>4,966,673</w:t>
            </w:r>
          </w:p>
        </w:tc>
      </w:tr>
      <w:tr w:rsidR="00551F19" w:rsidRPr="00551F19" w14:paraId="1A365D81" w14:textId="77777777" w:rsidTr="00551F19">
        <w:trPr>
          <w:trHeight w:val="388"/>
          <w:jc w:val="center"/>
        </w:trPr>
        <w:tc>
          <w:tcPr>
            <w:tcW w:w="871" w:type="pct"/>
            <w:vAlign w:val="bottom"/>
          </w:tcPr>
          <w:p w14:paraId="22E4568A" w14:textId="77777777" w:rsidR="00551F19" w:rsidRPr="00551F19" w:rsidRDefault="00551F19" w:rsidP="00551F19">
            <w:pPr>
              <w:tabs>
                <w:tab w:val="right" w:pos="1202"/>
              </w:tabs>
              <w:spacing w:after="0" w:line="220" w:lineRule="exact"/>
              <w:outlineLvl w:val="0"/>
              <w:rPr>
                <w:rFonts w:asciiTheme="minorHAnsi" w:eastAsia="Times New Roman" w:hAnsiTheme="minorHAnsi" w:cs="Arial"/>
                <w:b/>
                <w:bCs/>
                <w:sz w:val="18"/>
                <w:szCs w:val="18"/>
              </w:rPr>
            </w:pPr>
            <w:r w:rsidRPr="00551F19">
              <w:rPr>
                <w:rFonts w:asciiTheme="minorHAnsi" w:eastAsia="Times New Roman" w:hAnsiTheme="minorHAnsi" w:cs="Arial"/>
                <w:b/>
                <w:bCs/>
                <w:sz w:val="18"/>
                <w:szCs w:val="18"/>
              </w:rPr>
              <w:t>Guarantees  and  commitments</w:t>
            </w:r>
          </w:p>
        </w:tc>
        <w:tc>
          <w:tcPr>
            <w:tcW w:w="516" w:type="pct"/>
            <w:tcBorders>
              <w:top w:val="single" w:sz="12" w:space="0" w:color="auto"/>
            </w:tcBorders>
            <w:vAlign w:val="bottom"/>
          </w:tcPr>
          <w:p w14:paraId="2CD8C347"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516" w:type="pct"/>
            <w:tcBorders>
              <w:top w:val="single" w:sz="12" w:space="0" w:color="auto"/>
            </w:tcBorders>
            <w:vAlign w:val="bottom"/>
          </w:tcPr>
          <w:p w14:paraId="12C837CA"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516" w:type="pct"/>
            <w:tcBorders>
              <w:top w:val="single" w:sz="12" w:space="0" w:color="auto"/>
            </w:tcBorders>
            <w:vAlign w:val="bottom"/>
          </w:tcPr>
          <w:p w14:paraId="2610EE51"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516" w:type="pct"/>
            <w:tcBorders>
              <w:top w:val="single" w:sz="12" w:space="0" w:color="auto"/>
            </w:tcBorders>
            <w:vAlign w:val="bottom"/>
          </w:tcPr>
          <w:p w14:paraId="72935A29"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516" w:type="pct"/>
            <w:tcBorders>
              <w:top w:val="single" w:sz="12" w:space="0" w:color="auto"/>
            </w:tcBorders>
            <w:vAlign w:val="bottom"/>
          </w:tcPr>
          <w:p w14:paraId="19F6D4B4"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516" w:type="pct"/>
            <w:tcBorders>
              <w:top w:val="single" w:sz="12" w:space="0" w:color="auto"/>
            </w:tcBorders>
            <w:vAlign w:val="bottom"/>
          </w:tcPr>
          <w:p w14:paraId="2D4AAFF8"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516" w:type="pct"/>
            <w:tcBorders>
              <w:top w:val="single" w:sz="12" w:space="0" w:color="auto"/>
            </w:tcBorders>
            <w:vAlign w:val="bottom"/>
          </w:tcPr>
          <w:p w14:paraId="254D87E0"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516" w:type="pct"/>
            <w:tcBorders>
              <w:top w:val="single" w:sz="12" w:space="0" w:color="auto"/>
            </w:tcBorders>
            <w:vAlign w:val="bottom"/>
          </w:tcPr>
          <w:p w14:paraId="2A625A7E"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hr-HR"/>
              </w:rPr>
            </w:pPr>
          </w:p>
        </w:tc>
      </w:tr>
      <w:tr w:rsidR="00551F19" w:rsidRPr="00551F19" w14:paraId="2B1A86FD" w14:textId="77777777" w:rsidTr="00551F19">
        <w:trPr>
          <w:trHeight w:val="351"/>
          <w:jc w:val="center"/>
        </w:trPr>
        <w:tc>
          <w:tcPr>
            <w:tcW w:w="871" w:type="pct"/>
            <w:vAlign w:val="bottom"/>
          </w:tcPr>
          <w:p w14:paraId="32ADED83" w14:textId="77777777" w:rsidR="00551F19" w:rsidRPr="00551F19" w:rsidRDefault="00551F19" w:rsidP="00551F19">
            <w:pPr>
              <w:tabs>
                <w:tab w:val="right" w:pos="1202"/>
              </w:tabs>
              <w:spacing w:after="0" w:line="220" w:lineRule="exact"/>
              <w:outlineLvl w:val="0"/>
              <w:rPr>
                <w:rFonts w:asciiTheme="minorHAnsi" w:eastAsia="Times New Roman" w:hAnsiTheme="minorHAnsi" w:cs="Arial"/>
                <w:sz w:val="18"/>
                <w:szCs w:val="18"/>
              </w:rPr>
            </w:pPr>
            <w:r w:rsidRPr="00551F19">
              <w:rPr>
                <w:rFonts w:asciiTheme="minorHAnsi" w:eastAsia="Times New Roman" w:hAnsiTheme="minorHAnsi" w:cs="Arial"/>
                <w:sz w:val="18"/>
                <w:szCs w:val="18"/>
              </w:rPr>
              <w:t>Guarantees issued in HRK</w:t>
            </w:r>
          </w:p>
        </w:tc>
        <w:tc>
          <w:tcPr>
            <w:tcW w:w="516" w:type="pct"/>
            <w:tcBorders>
              <w:top w:val="nil"/>
              <w:left w:val="nil"/>
              <w:bottom w:val="nil"/>
              <w:right w:val="nil"/>
            </w:tcBorders>
            <w:shd w:val="clear" w:color="auto" w:fill="auto"/>
            <w:vAlign w:val="bottom"/>
          </w:tcPr>
          <w:p w14:paraId="557D97A6"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551F19">
              <w:rPr>
                <w:rFonts w:eastAsia="Times New Roman" w:cs="Arial"/>
                <w:sz w:val="18"/>
                <w:szCs w:val="18"/>
                <w:lang w:val="en-US"/>
              </w:rPr>
              <w:t>32,082</w:t>
            </w:r>
          </w:p>
        </w:tc>
        <w:tc>
          <w:tcPr>
            <w:tcW w:w="516" w:type="pct"/>
            <w:tcBorders>
              <w:top w:val="nil"/>
              <w:left w:val="nil"/>
              <w:bottom w:val="nil"/>
              <w:right w:val="nil"/>
            </w:tcBorders>
            <w:shd w:val="clear" w:color="auto" w:fill="auto"/>
            <w:vAlign w:val="bottom"/>
          </w:tcPr>
          <w:p w14:paraId="4E2FAC12"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551F19">
              <w:rPr>
                <w:rFonts w:eastAsia="Times New Roman" w:cs="Arial"/>
                <w:sz w:val="18"/>
                <w:szCs w:val="18"/>
                <w:lang w:val="en-US"/>
              </w:rPr>
              <w:t>-</w:t>
            </w:r>
          </w:p>
        </w:tc>
        <w:tc>
          <w:tcPr>
            <w:tcW w:w="516" w:type="pct"/>
            <w:tcBorders>
              <w:top w:val="nil"/>
              <w:left w:val="nil"/>
              <w:bottom w:val="nil"/>
              <w:right w:val="nil"/>
            </w:tcBorders>
            <w:shd w:val="clear" w:color="auto" w:fill="auto"/>
            <w:vAlign w:val="bottom"/>
          </w:tcPr>
          <w:p w14:paraId="15E9168B"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551F19">
              <w:rPr>
                <w:rFonts w:eastAsia="Times New Roman" w:cs="Arial"/>
                <w:sz w:val="18"/>
                <w:szCs w:val="18"/>
                <w:lang w:val="en-US"/>
              </w:rPr>
              <w:t>-</w:t>
            </w:r>
          </w:p>
        </w:tc>
        <w:tc>
          <w:tcPr>
            <w:tcW w:w="516" w:type="pct"/>
            <w:tcBorders>
              <w:top w:val="nil"/>
              <w:left w:val="nil"/>
              <w:bottom w:val="nil"/>
              <w:right w:val="nil"/>
            </w:tcBorders>
            <w:shd w:val="clear" w:color="auto" w:fill="auto"/>
            <w:vAlign w:val="bottom"/>
          </w:tcPr>
          <w:p w14:paraId="2A128A78"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551F19">
              <w:rPr>
                <w:rFonts w:eastAsia="Times New Roman" w:cs="Arial"/>
                <w:sz w:val="18"/>
                <w:szCs w:val="18"/>
                <w:lang w:val="en-US"/>
              </w:rPr>
              <w:t>32,082</w:t>
            </w:r>
          </w:p>
        </w:tc>
        <w:tc>
          <w:tcPr>
            <w:tcW w:w="516" w:type="pct"/>
            <w:tcBorders>
              <w:top w:val="nil"/>
              <w:left w:val="nil"/>
              <w:bottom w:val="nil"/>
              <w:right w:val="nil"/>
            </w:tcBorders>
            <w:shd w:val="clear" w:color="auto" w:fill="auto"/>
            <w:vAlign w:val="bottom"/>
          </w:tcPr>
          <w:p w14:paraId="2456EB5F"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551F19">
              <w:rPr>
                <w:rFonts w:eastAsia="Times New Roman" w:cs="Arial"/>
                <w:sz w:val="18"/>
                <w:szCs w:val="18"/>
                <w:lang w:val="en-US"/>
              </w:rPr>
              <w:t>-</w:t>
            </w:r>
          </w:p>
        </w:tc>
        <w:tc>
          <w:tcPr>
            <w:tcW w:w="516" w:type="pct"/>
            <w:tcBorders>
              <w:top w:val="nil"/>
              <w:left w:val="nil"/>
              <w:bottom w:val="nil"/>
              <w:right w:val="nil"/>
            </w:tcBorders>
            <w:shd w:val="clear" w:color="auto" w:fill="auto"/>
            <w:vAlign w:val="bottom"/>
          </w:tcPr>
          <w:p w14:paraId="359063D2"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551F19">
              <w:rPr>
                <w:rFonts w:eastAsia="Times New Roman" w:cs="Arial"/>
                <w:sz w:val="18"/>
                <w:szCs w:val="18"/>
                <w:lang w:val="en-US"/>
              </w:rPr>
              <w:t>-</w:t>
            </w:r>
          </w:p>
        </w:tc>
        <w:tc>
          <w:tcPr>
            <w:tcW w:w="516" w:type="pct"/>
            <w:tcBorders>
              <w:top w:val="nil"/>
              <w:left w:val="nil"/>
              <w:bottom w:val="nil"/>
              <w:right w:val="nil"/>
            </w:tcBorders>
            <w:shd w:val="clear" w:color="auto" w:fill="auto"/>
            <w:vAlign w:val="bottom"/>
          </w:tcPr>
          <w:p w14:paraId="7F522DA0"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551F19">
              <w:rPr>
                <w:rFonts w:eastAsia="Times New Roman" w:cs="Arial"/>
                <w:sz w:val="18"/>
                <w:szCs w:val="18"/>
                <w:lang w:val="en-US"/>
              </w:rPr>
              <w:t>-</w:t>
            </w:r>
          </w:p>
        </w:tc>
        <w:tc>
          <w:tcPr>
            <w:tcW w:w="516" w:type="pct"/>
            <w:tcBorders>
              <w:top w:val="nil"/>
              <w:left w:val="nil"/>
              <w:bottom w:val="nil"/>
              <w:right w:val="nil"/>
            </w:tcBorders>
            <w:shd w:val="clear" w:color="auto" w:fill="auto"/>
            <w:vAlign w:val="bottom"/>
          </w:tcPr>
          <w:p w14:paraId="0EAD5820"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551F19">
              <w:rPr>
                <w:rFonts w:eastAsia="Times New Roman" w:cs="Arial"/>
                <w:sz w:val="18"/>
                <w:szCs w:val="18"/>
                <w:lang w:val="en-US"/>
              </w:rPr>
              <w:t>-</w:t>
            </w:r>
          </w:p>
        </w:tc>
      </w:tr>
      <w:tr w:rsidR="00551F19" w:rsidRPr="00551F19" w14:paraId="35E7CAB6" w14:textId="77777777" w:rsidTr="00551F19">
        <w:trPr>
          <w:trHeight w:val="364"/>
          <w:jc w:val="center"/>
        </w:trPr>
        <w:tc>
          <w:tcPr>
            <w:tcW w:w="871" w:type="pct"/>
            <w:vAlign w:val="bottom"/>
          </w:tcPr>
          <w:p w14:paraId="33B956B3" w14:textId="77777777" w:rsidR="00551F19" w:rsidRPr="00551F19" w:rsidRDefault="00551F19" w:rsidP="00551F19">
            <w:pPr>
              <w:tabs>
                <w:tab w:val="right" w:pos="1202"/>
              </w:tabs>
              <w:spacing w:after="0" w:line="220" w:lineRule="exact"/>
              <w:outlineLvl w:val="0"/>
              <w:rPr>
                <w:rFonts w:asciiTheme="minorHAnsi" w:eastAsia="Times New Roman" w:hAnsiTheme="minorHAnsi" w:cs="Arial"/>
                <w:sz w:val="18"/>
                <w:szCs w:val="18"/>
              </w:rPr>
            </w:pPr>
            <w:r w:rsidRPr="00551F19">
              <w:rPr>
                <w:rFonts w:asciiTheme="minorHAnsi" w:eastAsia="Times New Roman" w:hAnsiTheme="minorHAnsi" w:cs="Arial"/>
                <w:sz w:val="18"/>
                <w:szCs w:val="18"/>
              </w:rPr>
              <w:t>Issued guarantees in foreign currency</w:t>
            </w:r>
          </w:p>
        </w:tc>
        <w:tc>
          <w:tcPr>
            <w:tcW w:w="516" w:type="pct"/>
            <w:tcBorders>
              <w:top w:val="nil"/>
              <w:left w:val="nil"/>
              <w:bottom w:val="nil"/>
              <w:right w:val="nil"/>
            </w:tcBorders>
            <w:shd w:val="clear" w:color="auto" w:fill="auto"/>
            <w:vAlign w:val="bottom"/>
          </w:tcPr>
          <w:p w14:paraId="683FF31B"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551F19">
              <w:rPr>
                <w:rFonts w:eastAsia="Times New Roman" w:cs="Arial"/>
                <w:sz w:val="18"/>
                <w:szCs w:val="18"/>
                <w:lang w:val="en-US"/>
              </w:rPr>
              <w:t>1,964,149</w:t>
            </w:r>
          </w:p>
        </w:tc>
        <w:tc>
          <w:tcPr>
            <w:tcW w:w="516" w:type="pct"/>
            <w:tcBorders>
              <w:top w:val="nil"/>
              <w:left w:val="nil"/>
              <w:bottom w:val="nil"/>
              <w:right w:val="nil"/>
            </w:tcBorders>
            <w:shd w:val="clear" w:color="auto" w:fill="auto"/>
            <w:vAlign w:val="bottom"/>
          </w:tcPr>
          <w:p w14:paraId="785E4A17"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551F19">
              <w:rPr>
                <w:rFonts w:eastAsia="Times New Roman" w:cs="Arial"/>
                <w:sz w:val="18"/>
                <w:szCs w:val="18"/>
                <w:lang w:val="en-US"/>
              </w:rPr>
              <w:t>18,820</w:t>
            </w:r>
          </w:p>
        </w:tc>
        <w:tc>
          <w:tcPr>
            <w:tcW w:w="516" w:type="pct"/>
            <w:tcBorders>
              <w:top w:val="nil"/>
              <w:left w:val="nil"/>
              <w:bottom w:val="nil"/>
              <w:right w:val="nil"/>
            </w:tcBorders>
            <w:shd w:val="clear" w:color="auto" w:fill="auto"/>
            <w:vAlign w:val="bottom"/>
          </w:tcPr>
          <w:p w14:paraId="544D5B27"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551F19">
              <w:rPr>
                <w:rFonts w:eastAsia="Times New Roman" w:cs="Arial"/>
                <w:sz w:val="18"/>
                <w:szCs w:val="18"/>
                <w:lang w:val="en-US"/>
              </w:rPr>
              <w:t>-</w:t>
            </w:r>
          </w:p>
        </w:tc>
        <w:tc>
          <w:tcPr>
            <w:tcW w:w="516" w:type="pct"/>
            <w:tcBorders>
              <w:top w:val="nil"/>
              <w:left w:val="nil"/>
              <w:bottom w:val="nil"/>
              <w:right w:val="nil"/>
            </w:tcBorders>
            <w:shd w:val="clear" w:color="auto" w:fill="auto"/>
            <w:vAlign w:val="bottom"/>
          </w:tcPr>
          <w:p w14:paraId="36AEB851"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551F19">
              <w:rPr>
                <w:rFonts w:eastAsia="Times New Roman" w:cs="Arial"/>
                <w:sz w:val="18"/>
                <w:szCs w:val="18"/>
                <w:lang w:val="en-US"/>
              </w:rPr>
              <w:t>1,982,969</w:t>
            </w:r>
          </w:p>
        </w:tc>
        <w:tc>
          <w:tcPr>
            <w:tcW w:w="516" w:type="pct"/>
            <w:tcBorders>
              <w:top w:val="nil"/>
              <w:left w:val="nil"/>
              <w:bottom w:val="nil"/>
              <w:right w:val="nil"/>
            </w:tcBorders>
            <w:shd w:val="clear" w:color="auto" w:fill="auto"/>
            <w:vAlign w:val="bottom"/>
          </w:tcPr>
          <w:p w14:paraId="67E1CA66"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551F19">
              <w:rPr>
                <w:rFonts w:eastAsia="Times New Roman" w:cs="Arial"/>
                <w:sz w:val="18"/>
                <w:szCs w:val="18"/>
                <w:lang w:val="en-US"/>
              </w:rPr>
              <w:t>437,160</w:t>
            </w:r>
          </w:p>
        </w:tc>
        <w:tc>
          <w:tcPr>
            <w:tcW w:w="516" w:type="pct"/>
            <w:tcBorders>
              <w:top w:val="nil"/>
              <w:left w:val="nil"/>
              <w:bottom w:val="nil"/>
              <w:right w:val="nil"/>
            </w:tcBorders>
            <w:shd w:val="clear" w:color="auto" w:fill="auto"/>
            <w:vAlign w:val="bottom"/>
          </w:tcPr>
          <w:p w14:paraId="5C1E9620"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551F19">
              <w:rPr>
                <w:rFonts w:eastAsia="Times New Roman" w:cs="Arial"/>
                <w:sz w:val="18"/>
                <w:szCs w:val="18"/>
                <w:lang w:val="en-US"/>
              </w:rPr>
              <w:t>-</w:t>
            </w:r>
          </w:p>
        </w:tc>
        <w:tc>
          <w:tcPr>
            <w:tcW w:w="516" w:type="pct"/>
            <w:tcBorders>
              <w:top w:val="nil"/>
              <w:left w:val="nil"/>
              <w:bottom w:val="nil"/>
              <w:right w:val="nil"/>
            </w:tcBorders>
            <w:shd w:val="clear" w:color="auto" w:fill="auto"/>
            <w:vAlign w:val="bottom"/>
          </w:tcPr>
          <w:p w14:paraId="1C72391F"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551F19">
              <w:rPr>
                <w:rFonts w:eastAsia="Times New Roman" w:cs="Arial"/>
                <w:sz w:val="18"/>
                <w:szCs w:val="18"/>
                <w:lang w:val="en-US"/>
              </w:rPr>
              <w:t>-</w:t>
            </w:r>
          </w:p>
        </w:tc>
        <w:tc>
          <w:tcPr>
            <w:tcW w:w="516" w:type="pct"/>
            <w:tcBorders>
              <w:top w:val="nil"/>
              <w:left w:val="nil"/>
              <w:bottom w:val="nil"/>
              <w:right w:val="nil"/>
            </w:tcBorders>
            <w:shd w:val="clear" w:color="auto" w:fill="auto"/>
            <w:vAlign w:val="bottom"/>
          </w:tcPr>
          <w:p w14:paraId="65061886"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551F19">
              <w:rPr>
                <w:rFonts w:eastAsia="Times New Roman" w:cs="Arial"/>
                <w:sz w:val="18"/>
                <w:szCs w:val="18"/>
                <w:lang w:val="en-US"/>
              </w:rPr>
              <w:t>437,160</w:t>
            </w:r>
          </w:p>
        </w:tc>
      </w:tr>
      <w:tr w:rsidR="00551F19" w:rsidRPr="00551F19" w14:paraId="43958418" w14:textId="77777777" w:rsidTr="00551F19">
        <w:trPr>
          <w:trHeight w:val="291"/>
          <w:jc w:val="center"/>
        </w:trPr>
        <w:tc>
          <w:tcPr>
            <w:tcW w:w="871" w:type="pct"/>
            <w:vAlign w:val="bottom"/>
          </w:tcPr>
          <w:p w14:paraId="18586F87" w14:textId="77777777" w:rsidR="00551F19" w:rsidRPr="00551F19" w:rsidRDefault="00551F19" w:rsidP="00551F19">
            <w:pPr>
              <w:tabs>
                <w:tab w:val="right" w:pos="1202"/>
              </w:tabs>
              <w:spacing w:after="0" w:line="220" w:lineRule="exact"/>
              <w:outlineLvl w:val="0"/>
              <w:rPr>
                <w:rFonts w:asciiTheme="minorHAnsi" w:eastAsia="Times New Roman" w:hAnsiTheme="minorHAnsi" w:cs="Arial"/>
                <w:sz w:val="18"/>
                <w:szCs w:val="18"/>
              </w:rPr>
            </w:pPr>
            <w:r w:rsidRPr="00551F19">
              <w:rPr>
                <w:rFonts w:asciiTheme="minorHAnsi" w:eastAsia="Times New Roman" w:hAnsiTheme="minorHAnsi" w:cs="Arial"/>
                <w:sz w:val="18"/>
                <w:szCs w:val="18"/>
              </w:rPr>
              <w:t>Undrawn loans</w:t>
            </w:r>
          </w:p>
        </w:tc>
        <w:tc>
          <w:tcPr>
            <w:tcW w:w="516" w:type="pct"/>
            <w:tcBorders>
              <w:top w:val="nil"/>
              <w:left w:val="nil"/>
              <w:bottom w:val="nil"/>
              <w:right w:val="nil"/>
            </w:tcBorders>
            <w:shd w:val="clear" w:color="auto" w:fill="auto"/>
            <w:vAlign w:val="bottom"/>
          </w:tcPr>
          <w:p w14:paraId="13BB457E"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551F19">
              <w:rPr>
                <w:rFonts w:eastAsia="Times New Roman" w:cs="Arial"/>
                <w:sz w:val="18"/>
                <w:szCs w:val="18"/>
                <w:lang w:val="en-US"/>
              </w:rPr>
              <w:t>3,911,236</w:t>
            </w:r>
          </w:p>
        </w:tc>
        <w:tc>
          <w:tcPr>
            <w:tcW w:w="516" w:type="pct"/>
            <w:tcBorders>
              <w:top w:val="nil"/>
              <w:left w:val="nil"/>
              <w:bottom w:val="nil"/>
              <w:right w:val="nil"/>
            </w:tcBorders>
            <w:shd w:val="clear" w:color="auto" w:fill="auto"/>
            <w:vAlign w:val="bottom"/>
          </w:tcPr>
          <w:p w14:paraId="1265B623"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551F19">
              <w:rPr>
                <w:rFonts w:eastAsia="Times New Roman" w:cs="Arial"/>
                <w:sz w:val="18"/>
                <w:szCs w:val="18"/>
                <w:lang w:val="en-US"/>
              </w:rPr>
              <w:t>16,941</w:t>
            </w:r>
          </w:p>
        </w:tc>
        <w:tc>
          <w:tcPr>
            <w:tcW w:w="516" w:type="pct"/>
            <w:tcBorders>
              <w:top w:val="nil"/>
              <w:left w:val="nil"/>
              <w:bottom w:val="nil"/>
              <w:right w:val="nil"/>
            </w:tcBorders>
            <w:shd w:val="clear" w:color="auto" w:fill="auto"/>
            <w:vAlign w:val="bottom"/>
          </w:tcPr>
          <w:p w14:paraId="63091B81"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551F19">
              <w:rPr>
                <w:rFonts w:eastAsia="Times New Roman" w:cs="Arial"/>
                <w:sz w:val="18"/>
                <w:szCs w:val="18"/>
                <w:lang w:val="en-US"/>
              </w:rPr>
              <w:t>-</w:t>
            </w:r>
          </w:p>
        </w:tc>
        <w:tc>
          <w:tcPr>
            <w:tcW w:w="516" w:type="pct"/>
            <w:tcBorders>
              <w:top w:val="nil"/>
              <w:left w:val="nil"/>
              <w:bottom w:val="nil"/>
              <w:right w:val="nil"/>
            </w:tcBorders>
            <w:shd w:val="clear" w:color="auto" w:fill="auto"/>
            <w:vAlign w:val="bottom"/>
          </w:tcPr>
          <w:p w14:paraId="6F7105F1"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551F19">
              <w:rPr>
                <w:rFonts w:eastAsia="Times New Roman" w:cs="Arial"/>
                <w:sz w:val="18"/>
                <w:szCs w:val="18"/>
                <w:lang w:val="en-US"/>
              </w:rPr>
              <w:t>3,928,177</w:t>
            </w:r>
          </w:p>
        </w:tc>
        <w:tc>
          <w:tcPr>
            <w:tcW w:w="516" w:type="pct"/>
            <w:tcBorders>
              <w:top w:val="nil"/>
              <w:left w:val="nil"/>
              <w:bottom w:val="nil"/>
              <w:right w:val="nil"/>
            </w:tcBorders>
            <w:shd w:val="clear" w:color="auto" w:fill="auto"/>
            <w:vAlign w:val="bottom"/>
          </w:tcPr>
          <w:p w14:paraId="5DFDE5D6"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551F19">
              <w:rPr>
                <w:rFonts w:eastAsia="Times New Roman" w:cs="Arial"/>
                <w:sz w:val="18"/>
                <w:szCs w:val="18"/>
                <w:lang w:val="en-US"/>
              </w:rPr>
              <w:t>658,819</w:t>
            </w:r>
          </w:p>
        </w:tc>
        <w:tc>
          <w:tcPr>
            <w:tcW w:w="516" w:type="pct"/>
            <w:tcBorders>
              <w:top w:val="nil"/>
              <w:left w:val="nil"/>
              <w:bottom w:val="nil"/>
              <w:right w:val="nil"/>
            </w:tcBorders>
            <w:shd w:val="clear" w:color="auto" w:fill="auto"/>
            <w:vAlign w:val="bottom"/>
          </w:tcPr>
          <w:p w14:paraId="7067232C"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551F19">
              <w:rPr>
                <w:rFonts w:eastAsia="Times New Roman" w:cs="Arial"/>
                <w:sz w:val="18"/>
                <w:szCs w:val="18"/>
                <w:lang w:val="en-US"/>
              </w:rPr>
              <w:t>-</w:t>
            </w:r>
          </w:p>
        </w:tc>
        <w:tc>
          <w:tcPr>
            <w:tcW w:w="516" w:type="pct"/>
            <w:tcBorders>
              <w:top w:val="nil"/>
              <w:left w:val="nil"/>
              <w:bottom w:val="nil"/>
              <w:right w:val="nil"/>
            </w:tcBorders>
            <w:shd w:val="clear" w:color="auto" w:fill="auto"/>
            <w:vAlign w:val="bottom"/>
          </w:tcPr>
          <w:p w14:paraId="3FBD466C"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551F19">
              <w:rPr>
                <w:rFonts w:eastAsia="Times New Roman" w:cs="Arial"/>
                <w:sz w:val="18"/>
                <w:szCs w:val="18"/>
                <w:lang w:val="en-US"/>
              </w:rPr>
              <w:t>-</w:t>
            </w:r>
          </w:p>
        </w:tc>
        <w:tc>
          <w:tcPr>
            <w:tcW w:w="516" w:type="pct"/>
            <w:tcBorders>
              <w:top w:val="nil"/>
              <w:left w:val="nil"/>
              <w:bottom w:val="nil"/>
              <w:right w:val="nil"/>
            </w:tcBorders>
            <w:shd w:val="clear" w:color="auto" w:fill="auto"/>
            <w:vAlign w:val="bottom"/>
          </w:tcPr>
          <w:p w14:paraId="5B436564"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551F19">
              <w:rPr>
                <w:rFonts w:eastAsia="Times New Roman" w:cs="Arial"/>
                <w:sz w:val="18"/>
                <w:szCs w:val="18"/>
                <w:lang w:val="en-US"/>
              </w:rPr>
              <w:t>658,819</w:t>
            </w:r>
          </w:p>
        </w:tc>
      </w:tr>
      <w:tr w:rsidR="00551F19" w:rsidRPr="00551F19" w14:paraId="3B9A0AF7" w14:textId="77777777" w:rsidTr="00551F19">
        <w:trPr>
          <w:trHeight w:val="427"/>
          <w:jc w:val="center"/>
        </w:trPr>
        <w:tc>
          <w:tcPr>
            <w:tcW w:w="871" w:type="pct"/>
            <w:vAlign w:val="bottom"/>
          </w:tcPr>
          <w:p w14:paraId="59F97398" w14:textId="77777777" w:rsidR="00551F19" w:rsidRPr="00551F19" w:rsidRDefault="00551F19" w:rsidP="00551F19">
            <w:pPr>
              <w:tabs>
                <w:tab w:val="right" w:pos="1202"/>
              </w:tabs>
              <w:spacing w:after="0" w:line="220" w:lineRule="exact"/>
              <w:outlineLvl w:val="0"/>
              <w:rPr>
                <w:rFonts w:asciiTheme="minorHAnsi" w:eastAsia="Times New Roman" w:hAnsiTheme="minorHAnsi" w:cs="Arial"/>
                <w:sz w:val="18"/>
                <w:szCs w:val="18"/>
              </w:rPr>
            </w:pPr>
            <w:r w:rsidRPr="00551F19">
              <w:rPr>
                <w:rFonts w:asciiTheme="minorHAnsi" w:eastAsia="Times New Roman" w:hAnsiTheme="minorHAnsi" w:cs="Arial"/>
                <w:sz w:val="18"/>
                <w:szCs w:val="18"/>
              </w:rPr>
              <w:t>Other irrevocable contingent liabilities</w:t>
            </w:r>
          </w:p>
        </w:tc>
        <w:tc>
          <w:tcPr>
            <w:tcW w:w="516" w:type="pct"/>
            <w:tcBorders>
              <w:bottom w:val="single" w:sz="4" w:space="0" w:color="auto"/>
            </w:tcBorders>
            <w:vAlign w:val="bottom"/>
          </w:tcPr>
          <w:p w14:paraId="51D4771E"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z w:val="18"/>
                <w:szCs w:val="18"/>
                <w:lang w:val="pl-PL"/>
              </w:rPr>
            </w:pPr>
            <w:r w:rsidRPr="00551F19">
              <w:rPr>
                <w:rFonts w:asciiTheme="minorHAnsi" w:eastAsia="Times New Roman" w:hAnsiTheme="minorHAnsi" w:cs="Arial"/>
                <w:sz w:val="18"/>
                <w:szCs w:val="18"/>
                <w:lang w:val="en-US"/>
              </w:rPr>
              <w:t>335</w:t>
            </w:r>
          </w:p>
        </w:tc>
        <w:tc>
          <w:tcPr>
            <w:tcW w:w="516" w:type="pct"/>
            <w:tcBorders>
              <w:bottom w:val="single" w:sz="4" w:space="0" w:color="auto"/>
            </w:tcBorders>
            <w:vAlign w:val="bottom"/>
          </w:tcPr>
          <w:p w14:paraId="5EEA9F20"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551F19">
              <w:rPr>
                <w:rFonts w:asciiTheme="minorHAnsi" w:eastAsia="Times New Roman" w:hAnsiTheme="minorHAnsi" w:cs="Arial"/>
                <w:sz w:val="18"/>
                <w:szCs w:val="18"/>
                <w:lang w:val="en-US"/>
              </w:rPr>
              <w:t>-</w:t>
            </w:r>
          </w:p>
        </w:tc>
        <w:tc>
          <w:tcPr>
            <w:tcW w:w="516" w:type="pct"/>
            <w:tcBorders>
              <w:bottom w:val="single" w:sz="4" w:space="0" w:color="auto"/>
            </w:tcBorders>
            <w:vAlign w:val="bottom"/>
          </w:tcPr>
          <w:p w14:paraId="69E777AC"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551F19">
              <w:rPr>
                <w:rFonts w:asciiTheme="minorHAnsi" w:eastAsia="Times New Roman" w:hAnsiTheme="minorHAnsi" w:cs="Arial"/>
                <w:sz w:val="18"/>
                <w:szCs w:val="18"/>
                <w:lang w:val="en-US"/>
              </w:rPr>
              <w:t>-</w:t>
            </w:r>
          </w:p>
        </w:tc>
        <w:tc>
          <w:tcPr>
            <w:tcW w:w="516" w:type="pct"/>
            <w:tcBorders>
              <w:bottom w:val="single" w:sz="4" w:space="0" w:color="auto"/>
            </w:tcBorders>
            <w:vAlign w:val="bottom"/>
          </w:tcPr>
          <w:p w14:paraId="6FE6F4A6"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z w:val="18"/>
                <w:szCs w:val="18"/>
                <w:lang w:val="pl-PL"/>
              </w:rPr>
            </w:pPr>
            <w:r w:rsidRPr="00551F19">
              <w:rPr>
                <w:rFonts w:asciiTheme="minorHAnsi" w:eastAsia="Times New Roman" w:hAnsiTheme="minorHAnsi" w:cs="Arial"/>
                <w:sz w:val="18"/>
                <w:szCs w:val="18"/>
                <w:lang w:val="en-US"/>
              </w:rPr>
              <w:t>335</w:t>
            </w:r>
          </w:p>
        </w:tc>
        <w:tc>
          <w:tcPr>
            <w:tcW w:w="516" w:type="pct"/>
            <w:tcBorders>
              <w:bottom w:val="single" w:sz="4" w:space="0" w:color="auto"/>
            </w:tcBorders>
            <w:vAlign w:val="bottom"/>
          </w:tcPr>
          <w:p w14:paraId="0A44651E"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pl-PL"/>
              </w:rPr>
            </w:pPr>
            <w:r w:rsidRPr="00551F19">
              <w:rPr>
                <w:rFonts w:asciiTheme="minorHAnsi" w:eastAsia="Times New Roman" w:hAnsiTheme="minorHAnsi" w:cs="Arial"/>
                <w:sz w:val="18"/>
                <w:szCs w:val="18"/>
                <w:lang w:val="en-US"/>
              </w:rPr>
              <w:t>335</w:t>
            </w:r>
          </w:p>
        </w:tc>
        <w:tc>
          <w:tcPr>
            <w:tcW w:w="516" w:type="pct"/>
            <w:tcBorders>
              <w:bottom w:val="single" w:sz="4" w:space="0" w:color="auto"/>
            </w:tcBorders>
            <w:vAlign w:val="bottom"/>
          </w:tcPr>
          <w:p w14:paraId="7CE7D715"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pl-PL"/>
              </w:rPr>
            </w:pPr>
            <w:r w:rsidRPr="00551F19">
              <w:rPr>
                <w:rFonts w:asciiTheme="minorHAnsi" w:eastAsia="Times New Roman" w:hAnsiTheme="minorHAnsi" w:cs="Arial"/>
                <w:sz w:val="18"/>
                <w:szCs w:val="18"/>
                <w:lang w:val="en-US"/>
              </w:rPr>
              <w:t>-</w:t>
            </w:r>
          </w:p>
        </w:tc>
        <w:tc>
          <w:tcPr>
            <w:tcW w:w="516" w:type="pct"/>
            <w:tcBorders>
              <w:bottom w:val="single" w:sz="4" w:space="0" w:color="auto"/>
            </w:tcBorders>
            <w:vAlign w:val="bottom"/>
          </w:tcPr>
          <w:p w14:paraId="653340C1"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pl-PL"/>
              </w:rPr>
            </w:pPr>
            <w:r w:rsidRPr="00551F19">
              <w:rPr>
                <w:rFonts w:asciiTheme="minorHAnsi" w:eastAsia="Times New Roman" w:hAnsiTheme="minorHAnsi" w:cs="Arial"/>
                <w:sz w:val="18"/>
                <w:szCs w:val="18"/>
                <w:lang w:val="en-US"/>
              </w:rPr>
              <w:t>-</w:t>
            </w:r>
          </w:p>
        </w:tc>
        <w:tc>
          <w:tcPr>
            <w:tcW w:w="516" w:type="pct"/>
            <w:tcBorders>
              <w:bottom w:val="single" w:sz="4" w:space="0" w:color="auto"/>
            </w:tcBorders>
            <w:vAlign w:val="bottom"/>
          </w:tcPr>
          <w:p w14:paraId="7A481D54"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pl-PL"/>
              </w:rPr>
            </w:pPr>
            <w:r w:rsidRPr="00551F19">
              <w:rPr>
                <w:rFonts w:asciiTheme="minorHAnsi" w:eastAsia="Times New Roman" w:hAnsiTheme="minorHAnsi" w:cs="Arial"/>
                <w:sz w:val="18"/>
                <w:szCs w:val="18"/>
                <w:lang w:val="en-US"/>
              </w:rPr>
              <w:t>335</w:t>
            </w:r>
          </w:p>
        </w:tc>
      </w:tr>
      <w:tr w:rsidR="00551F19" w:rsidRPr="00551F19" w14:paraId="555E3FA1" w14:textId="77777777" w:rsidTr="00551F19">
        <w:trPr>
          <w:trHeight w:val="327"/>
          <w:jc w:val="center"/>
        </w:trPr>
        <w:tc>
          <w:tcPr>
            <w:tcW w:w="871" w:type="pct"/>
            <w:vAlign w:val="bottom"/>
          </w:tcPr>
          <w:p w14:paraId="1FA36B7E" w14:textId="77777777" w:rsidR="00551F19" w:rsidRPr="00551F19" w:rsidRDefault="00551F19" w:rsidP="00551F19">
            <w:pPr>
              <w:tabs>
                <w:tab w:val="right" w:pos="1202"/>
              </w:tabs>
              <w:spacing w:after="0" w:line="220" w:lineRule="exact"/>
              <w:outlineLvl w:val="0"/>
              <w:rPr>
                <w:rFonts w:asciiTheme="minorHAnsi" w:eastAsia="Times New Roman" w:hAnsiTheme="minorHAnsi" w:cs="Arial"/>
                <w:b/>
                <w:bCs/>
                <w:sz w:val="18"/>
                <w:szCs w:val="18"/>
              </w:rPr>
            </w:pPr>
            <w:r w:rsidRPr="00551F19">
              <w:rPr>
                <w:rFonts w:asciiTheme="minorHAnsi" w:eastAsia="Times New Roman" w:hAnsiTheme="minorHAnsi" w:cs="Arial"/>
                <w:b/>
                <w:bCs/>
                <w:sz w:val="18"/>
                <w:szCs w:val="18"/>
              </w:rPr>
              <w:t>Total</w:t>
            </w:r>
          </w:p>
        </w:tc>
        <w:tc>
          <w:tcPr>
            <w:tcW w:w="516" w:type="pct"/>
            <w:tcBorders>
              <w:top w:val="nil"/>
              <w:left w:val="nil"/>
              <w:bottom w:val="single" w:sz="12" w:space="0" w:color="auto"/>
              <w:right w:val="nil"/>
            </w:tcBorders>
            <w:shd w:val="clear" w:color="auto" w:fill="auto"/>
            <w:vAlign w:val="bottom"/>
          </w:tcPr>
          <w:p w14:paraId="5B5F785E" w14:textId="77777777" w:rsidR="00551F19" w:rsidRPr="00551F19"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en-US"/>
              </w:rPr>
            </w:pPr>
            <w:r w:rsidRPr="00551F19">
              <w:rPr>
                <w:rFonts w:eastAsia="Times New Roman" w:cs="Arial"/>
                <w:b/>
                <w:bCs/>
                <w:sz w:val="18"/>
                <w:szCs w:val="18"/>
                <w:lang w:val="en-US"/>
              </w:rPr>
              <w:t>5,907,802</w:t>
            </w:r>
          </w:p>
        </w:tc>
        <w:tc>
          <w:tcPr>
            <w:tcW w:w="516" w:type="pct"/>
            <w:tcBorders>
              <w:top w:val="nil"/>
              <w:left w:val="nil"/>
              <w:bottom w:val="single" w:sz="12" w:space="0" w:color="auto"/>
              <w:right w:val="nil"/>
            </w:tcBorders>
            <w:shd w:val="clear" w:color="auto" w:fill="auto"/>
            <w:vAlign w:val="bottom"/>
          </w:tcPr>
          <w:p w14:paraId="7899A5CE" w14:textId="77777777" w:rsidR="00551F19" w:rsidRPr="00551F19"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en-US"/>
              </w:rPr>
            </w:pPr>
            <w:r w:rsidRPr="00551F19">
              <w:rPr>
                <w:rFonts w:eastAsia="Times New Roman" w:cs="Arial"/>
                <w:b/>
                <w:bCs/>
                <w:sz w:val="18"/>
                <w:szCs w:val="18"/>
                <w:lang w:val="en-US"/>
              </w:rPr>
              <w:t>35,761</w:t>
            </w:r>
          </w:p>
        </w:tc>
        <w:tc>
          <w:tcPr>
            <w:tcW w:w="516" w:type="pct"/>
            <w:tcBorders>
              <w:top w:val="nil"/>
              <w:left w:val="nil"/>
              <w:bottom w:val="single" w:sz="12" w:space="0" w:color="auto"/>
              <w:right w:val="nil"/>
            </w:tcBorders>
            <w:shd w:val="clear" w:color="auto" w:fill="auto"/>
            <w:vAlign w:val="bottom"/>
          </w:tcPr>
          <w:p w14:paraId="397AD31C"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551F19">
              <w:rPr>
                <w:rFonts w:eastAsia="Times New Roman" w:cs="Arial"/>
                <w:b/>
                <w:bCs/>
                <w:sz w:val="18"/>
                <w:szCs w:val="18"/>
                <w:lang w:val="en-US"/>
              </w:rPr>
              <w:t>-</w:t>
            </w:r>
          </w:p>
        </w:tc>
        <w:tc>
          <w:tcPr>
            <w:tcW w:w="516" w:type="pct"/>
            <w:tcBorders>
              <w:top w:val="nil"/>
              <w:left w:val="nil"/>
              <w:bottom w:val="single" w:sz="12" w:space="0" w:color="auto"/>
              <w:right w:val="nil"/>
            </w:tcBorders>
            <w:shd w:val="clear" w:color="auto" w:fill="auto"/>
            <w:vAlign w:val="bottom"/>
          </w:tcPr>
          <w:p w14:paraId="3801BC01" w14:textId="77777777" w:rsidR="00551F19" w:rsidRPr="00551F19"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en-US"/>
              </w:rPr>
            </w:pPr>
            <w:r w:rsidRPr="00551F19">
              <w:rPr>
                <w:rFonts w:eastAsia="Times New Roman" w:cs="Arial"/>
                <w:b/>
                <w:bCs/>
                <w:sz w:val="18"/>
                <w:szCs w:val="18"/>
                <w:lang w:val="en-US"/>
              </w:rPr>
              <w:t>5,943,563</w:t>
            </w:r>
          </w:p>
        </w:tc>
        <w:tc>
          <w:tcPr>
            <w:tcW w:w="516" w:type="pct"/>
            <w:tcBorders>
              <w:top w:val="nil"/>
              <w:left w:val="nil"/>
              <w:bottom w:val="single" w:sz="12" w:space="0" w:color="auto"/>
              <w:right w:val="nil"/>
            </w:tcBorders>
            <w:shd w:val="clear" w:color="auto" w:fill="auto"/>
            <w:vAlign w:val="bottom"/>
          </w:tcPr>
          <w:p w14:paraId="35963C3E" w14:textId="77777777" w:rsidR="00551F19" w:rsidRPr="00551F19"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en-US"/>
              </w:rPr>
            </w:pPr>
            <w:r w:rsidRPr="00551F19">
              <w:rPr>
                <w:rFonts w:eastAsia="Times New Roman" w:cs="Arial"/>
                <w:b/>
                <w:bCs/>
                <w:sz w:val="18"/>
                <w:szCs w:val="18"/>
                <w:lang w:val="en-US"/>
              </w:rPr>
              <w:t>1,096,314</w:t>
            </w:r>
          </w:p>
        </w:tc>
        <w:tc>
          <w:tcPr>
            <w:tcW w:w="516" w:type="pct"/>
            <w:tcBorders>
              <w:top w:val="nil"/>
              <w:left w:val="nil"/>
              <w:bottom w:val="single" w:sz="12" w:space="0" w:color="auto"/>
              <w:right w:val="nil"/>
            </w:tcBorders>
            <w:shd w:val="clear" w:color="auto" w:fill="auto"/>
            <w:vAlign w:val="bottom"/>
          </w:tcPr>
          <w:p w14:paraId="5F91F41B" w14:textId="77777777" w:rsidR="00551F19" w:rsidRPr="00551F19"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en-US"/>
              </w:rPr>
            </w:pPr>
            <w:r w:rsidRPr="00551F19">
              <w:rPr>
                <w:rFonts w:eastAsia="Times New Roman" w:cs="Arial"/>
                <w:b/>
                <w:bCs/>
                <w:sz w:val="18"/>
                <w:szCs w:val="18"/>
                <w:lang w:val="en-US"/>
              </w:rPr>
              <w:t>-</w:t>
            </w:r>
          </w:p>
        </w:tc>
        <w:tc>
          <w:tcPr>
            <w:tcW w:w="516" w:type="pct"/>
            <w:tcBorders>
              <w:top w:val="nil"/>
              <w:left w:val="nil"/>
              <w:bottom w:val="single" w:sz="12" w:space="0" w:color="auto"/>
              <w:right w:val="nil"/>
            </w:tcBorders>
            <w:shd w:val="clear" w:color="auto" w:fill="auto"/>
            <w:vAlign w:val="bottom"/>
          </w:tcPr>
          <w:p w14:paraId="7D4EAAFD" w14:textId="77777777"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551F19">
              <w:rPr>
                <w:rFonts w:eastAsia="Times New Roman" w:cs="Arial"/>
                <w:b/>
                <w:bCs/>
                <w:sz w:val="18"/>
                <w:szCs w:val="18"/>
                <w:lang w:val="en-US"/>
              </w:rPr>
              <w:t>-</w:t>
            </w:r>
          </w:p>
        </w:tc>
        <w:tc>
          <w:tcPr>
            <w:tcW w:w="516" w:type="pct"/>
            <w:tcBorders>
              <w:top w:val="nil"/>
              <w:left w:val="nil"/>
              <w:bottom w:val="single" w:sz="12" w:space="0" w:color="auto"/>
              <w:right w:val="nil"/>
            </w:tcBorders>
            <w:shd w:val="clear" w:color="auto" w:fill="auto"/>
            <w:vAlign w:val="bottom"/>
          </w:tcPr>
          <w:p w14:paraId="4E029D6D" w14:textId="77777777" w:rsidR="00551F19" w:rsidRPr="00551F19"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en-US"/>
              </w:rPr>
            </w:pPr>
            <w:r w:rsidRPr="00551F19">
              <w:rPr>
                <w:rFonts w:eastAsia="Times New Roman" w:cs="Arial"/>
                <w:b/>
                <w:bCs/>
                <w:sz w:val="18"/>
                <w:szCs w:val="18"/>
                <w:lang w:val="en-US"/>
              </w:rPr>
              <w:t>1,096,314</w:t>
            </w:r>
          </w:p>
        </w:tc>
      </w:tr>
      <w:tr w:rsidR="00551F19" w:rsidRPr="00551F19" w14:paraId="22DDD01B" w14:textId="77777777" w:rsidTr="00551F19">
        <w:trPr>
          <w:trHeight w:hRule="exact" w:val="110"/>
          <w:jc w:val="center"/>
        </w:trPr>
        <w:tc>
          <w:tcPr>
            <w:tcW w:w="871" w:type="pct"/>
            <w:vAlign w:val="bottom"/>
          </w:tcPr>
          <w:p w14:paraId="1BBBE5F2" w14:textId="77777777" w:rsidR="00551F19" w:rsidRPr="00551F19" w:rsidRDefault="00551F19" w:rsidP="00551F19">
            <w:pPr>
              <w:tabs>
                <w:tab w:val="right" w:pos="1202"/>
              </w:tabs>
              <w:spacing w:after="0" w:line="220" w:lineRule="exact"/>
              <w:outlineLvl w:val="0"/>
              <w:rPr>
                <w:rFonts w:asciiTheme="minorHAnsi" w:eastAsia="Times New Roman" w:hAnsiTheme="minorHAnsi" w:cs="Arial"/>
                <w:b/>
                <w:bCs/>
                <w:sz w:val="18"/>
                <w:szCs w:val="18"/>
              </w:rPr>
            </w:pPr>
          </w:p>
        </w:tc>
        <w:tc>
          <w:tcPr>
            <w:tcW w:w="516" w:type="pct"/>
            <w:tcBorders>
              <w:top w:val="single" w:sz="12" w:space="0" w:color="auto"/>
            </w:tcBorders>
            <w:vAlign w:val="bottom"/>
          </w:tcPr>
          <w:p w14:paraId="12714251" w14:textId="77777777" w:rsidR="00551F19" w:rsidRPr="00551F19" w:rsidRDefault="00551F19" w:rsidP="00551F19">
            <w:pPr>
              <w:tabs>
                <w:tab w:val="right" w:pos="1202"/>
              </w:tabs>
              <w:spacing w:after="0" w:line="120" w:lineRule="auto"/>
              <w:jc w:val="right"/>
              <w:outlineLvl w:val="0"/>
              <w:rPr>
                <w:rFonts w:asciiTheme="minorHAnsi" w:eastAsia="Times New Roman" w:hAnsiTheme="minorHAnsi" w:cs="Arial"/>
                <w:b/>
                <w:bCs/>
                <w:sz w:val="18"/>
                <w:szCs w:val="18"/>
                <w:lang w:val="hr-HR"/>
              </w:rPr>
            </w:pPr>
          </w:p>
        </w:tc>
        <w:tc>
          <w:tcPr>
            <w:tcW w:w="516" w:type="pct"/>
            <w:tcBorders>
              <w:top w:val="single" w:sz="12" w:space="0" w:color="auto"/>
            </w:tcBorders>
            <w:vAlign w:val="bottom"/>
          </w:tcPr>
          <w:p w14:paraId="1E09E941" w14:textId="77777777" w:rsidR="00551F19" w:rsidRPr="00551F19" w:rsidRDefault="00551F19" w:rsidP="00551F19">
            <w:pPr>
              <w:tabs>
                <w:tab w:val="right" w:pos="1202"/>
              </w:tabs>
              <w:spacing w:after="0" w:line="120" w:lineRule="auto"/>
              <w:jc w:val="right"/>
              <w:outlineLvl w:val="0"/>
              <w:rPr>
                <w:rFonts w:asciiTheme="minorHAnsi" w:eastAsia="Times New Roman" w:hAnsiTheme="minorHAnsi" w:cs="Arial"/>
                <w:b/>
                <w:bCs/>
                <w:sz w:val="18"/>
                <w:szCs w:val="18"/>
                <w:lang w:val="hr-HR"/>
              </w:rPr>
            </w:pPr>
          </w:p>
        </w:tc>
        <w:tc>
          <w:tcPr>
            <w:tcW w:w="516" w:type="pct"/>
            <w:tcBorders>
              <w:top w:val="single" w:sz="12" w:space="0" w:color="auto"/>
            </w:tcBorders>
            <w:vAlign w:val="bottom"/>
          </w:tcPr>
          <w:p w14:paraId="7D46358E" w14:textId="77777777" w:rsidR="00551F19" w:rsidRPr="00551F19" w:rsidRDefault="00551F19" w:rsidP="00551F19">
            <w:pPr>
              <w:tabs>
                <w:tab w:val="right" w:pos="1202"/>
              </w:tabs>
              <w:spacing w:after="0" w:line="120" w:lineRule="auto"/>
              <w:jc w:val="right"/>
              <w:outlineLvl w:val="0"/>
              <w:rPr>
                <w:rFonts w:asciiTheme="minorHAnsi" w:eastAsia="Times New Roman" w:hAnsiTheme="minorHAnsi" w:cs="Arial"/>
                <w:b/>
                <w:bCs/>
                <w:sz w:val="18"/>
                <w:szCs w:val="18"/>
                <w:lang w:val="hr-HR"/>
              </w:rPr>
            </w:pPr>
          </w:p>
        </w:tc>
        <w:tc>
          <w:tcPr>
            <w:tcW w:w="516" w:type="pct"/>
            <w:tcBorders>
              <w:top w:val="single" w:sz="12" w:space="0" w:color="auto"/>
            </w:tcBorders>
            <w:vAlign w:val="bottom"/>
          </w:tcPr>
          <w:p w14:paraId="09818BB7" w14:textId="77777777" w:rsidR="00551F19" w:rsidRPr="00551F19" w:rsidRDefault="00551F19" w:rsidP="00551F19">
            <w:pPr>
              <w:tabs>
                <w:tab w:val="right" w:pos="1202"/>
              </w:tabs>
              <w:spacing w:after="0" w:line="120" w:lineRule="auto"/>
              <w:jc w:val="right"/>
              <w:outlineLvl w:val="0"/>
              <w:rPr>
                <w:rFonts w:asciiTheme="minorHAnsi" w:eastAsia="Times New Roman" w:hAnsiTheme="minorHAnsi" w:cs="Arial"/>
                <w:b/>
                <w:bCs/>
                <w:noProof/>
                <w:sz w:val="18"/>
                <w:szCs w:val="18"/>
                <w:lang w:val="hr-HR" w:eastAsia="hr-HR"/>
              </w:rPr>
            </w:pPr>
          </w:p>
        </w:tc>
        <w:tc>
          <w:tcPr>
            <w:tcW w:w="516" w:type="pct"/>
            <w:tcBorders>
              <w:top w:val="single" w:sz="12" w:space="0" w:color="auto"/>
            </w:tcBorders>
            <w:vAlign w:val="bottom"/>
          </w:tcPr>
          <w:p w14:paraId="49D99A29" w14:textId="77777777" w:rsidR="00551F19" w:rsidRPr="00551F19" w:rsidRDefault="00551F19" w:rsidP="00551F19">
            <w:pPr>
              <w:tabs>
                <w:tab w:val="right" w:pos="1202"/>
              </w:tabs>
              <w:spacing w:after="0" w:line="120" w:lineRule="auto"/>
              <w:jc w:val="right"/>
              <w:outlineLvl w:val="0"/>
              <w:rPr>
                <w:rFonts w:asciiTheme="minorHAnsi" w:eastAsia="Times New Roman" w:hAnsiTheme="minorHAnsi" w:cs="Arial"/>
                <w:b/>
                <w:bCs/>
                <w:noProof/>
                <w:sz w:val="18"/>
                <w:szCs w:val="18"/>
                <w:lang w:val="hr-HR" w:eastAsia="hr-HR"/>
              </w:rPr>
            </w:pPr>
          </w:p>
        </w:tc>
        <w:tc>
          <w:tcPr>
            <w:tcW w:w="516" w:type="pct"/>
            <w:tcBorders>
              <w:top w:val="single" w:sz="12" w:space="0" w:color="auto"/>
            </w:tcBorders>
            <w:vAlign w:val="bottom"/>
          </w:tcPr>
          <w:p w14:paraId="3BFBF6F4" w14:textId="77777777" w:rsidR="00551F19" w:rsidRPr="00551F19" w:rsidRDefault="00551F19" w:rsidP="00551F19">
            <w:pPr>
              <w:tabs>
                <w:tab w:val="right" w:pos="1202"/>
              </w:tabs>
              <w:spacing w:after="0" w:line="120" w:lineRule="auto"/>
              <w:jc w:val="right"/>
              <w:outlineLvl w:val="0"/>
              <w:rPr>
                <w:rFonts w:asciiTheme="minorHAnsi" w:eastAsia="Times New Roman" w:hAnsiTheme="minorHAnsi" w:cs="Arial"/>
                <w:b/>
                <w:bCs/>
                <w:noProof/>
                <w:sz w:val="18"/>
                <w:szCs w:val="18"/>
                <w:lang w:val="hr-HR" w:eastAsia="hr-HR"/>
              </w:rPr>
            </w:pPr>
          </w:p>
        </w:tc>
        <w:tc>
          <w:tcPr>
            <w:tcW w:w="516" w:type="pct"/>
            <w:tcBorders>
              <w:top w:val="single" w:sz="12" w:space="0" w:color="auto"/>
            </w:tcBorders>
            <w:vAlign w:val="bottom"/>
          </w:tcPr>
          <w:p w14:paraId="4C3DC33C" w14:textId="77777777" w:rsidR="00551F19" w:rsidRPr="00551F19" w:rsidRDefault="00551F19" w:rsidP="00551F19">
            <w:pPr>
              <w:tabs>
                <w:tab w:val="right" w:pos="1202"/>
              </w:tabs>
              <w:spacing w:after="0" w:line="120" w:lineRule="auto"/>
              <w:jc w:val="right"/>
              <w:outlineLvl w:val="0"/>
              <w:rPr>
                <w:rFonts w:asciiTheme="minorHAnsi" w:eastAsia="Times New Roman" w:hAnsiTheme="minorHAnsi" w:cs="Arial"/>
                <w:b/>
                <w:bCs/>
                <w:noProof/>
                <w:sz w:val="18"/>
                <w:szCs w:val="18"/>
                <w:lang w:val="hr-HR" w:eastAsia="hr-HR"/>
              </w:rPr>
            </w:pPr>
          </w:p>
        </w:tc>
        <w:tc>
          <w:tcPr>
            <w:tcW w:w="516" w:type="pct"/>
            <w:tcBorders>
              <w:top w:val="single" w:sz="12" w:space="0" w:color="auto"/>
            </w:tcBorders>
            <w:vAlign w:val="bottom"/>
          </w:tcPr>
          <w:p w14:paraId="7877B168" w14:textId="77777777" w:rsidR="00551F19" w:rsidRPr="00551F19" w:rsidRDefault="00551F19" w:rsidP="00551F19">
            <w:pPr>
              <w:tabs>
                <w:tab w:val="right" w:pos="1202"/>
              </w:tabs>
              <w:spacing w:after="0" w:line="120" w:lineRule="auto"/>
              <w:jc w:val="right"/>
              <w:outlineLvl w:val="0"/>
              <w:rPr>
                <w:rFonts w:asciiTheme="minorHAnsi" w:eastAsia="Times New Roman" w:hAnsiTheme="minorHAnsi" w:cs="Arial"/>
                <w:b/>
                <w:bCs/>
                <w:sz w:val="18"/>
                <w:szCs w:val="18"/>
                <w:lang w:val="hr-HR"/>
              </w:rPr>
            </w:pPr>
          </w:p>
        </w:tc>
      </w:tr>
      <w:tr w:rsidR="00551F19" w:rsidRPr="00551F19" w14:paraId="3F0AC720" w14:textId="77777777" w:rsidTr="00551F19">
        <w:trPr>
          <w:trHeight w:val="382"/>
          <w:jc w:val="center"/>
        </w:trPr>
        <w:tc>
          <w:tcPr>
            <w:tcW w:w="871" w:type="pct"/>
            <w:vAlign w:val="bottom"/>
          </w:tcPr>
          <w:p w14:paraId="32854FE3" w14:textId="77777777" w:rsidR="00551F19" w:rsidRPr="00551F19" w:rsidRDefault="00551F19" w:rsidP="00551F19">
            <w:pPr>
              <w:tabs>
                <w:tab w:val="right" w:pos="1202"/>
              </w:tabs>
              <w:spacing w:after="0" w:line="220" w:lineRule="exact"/>
              <w:outlineLvl w:val="0"/>
              <w:rPr>
                <w:rFonts w:asciiTheme="minorHAnsi" w:eastAsia="Times New Roman" w:hAnsiTheme="minorHAnsi" w:cs="Arial"/>
                <w:b/>
                <w:bCs/>
                <w:sz w:val="18"/>
                <w:szCs w:val="18"/>
              </w:rPr>
            </w:pPr>
            <w:r w:rsidRPr="00551F19">
              <w:rPr>
                <w:rFonts w:asciiTheme="minorHAnsi" w:eastAsia="Times New Roman" w:hAnsiTheme="minorHAnsi" w:cs="Arial"/>
                <w:b/>
                <w:bCs/>
                <w:sz w:val="18"/>
                <w:szCs w:val="18"/>
              </w:rPr>
              <w:t>Total credit risk exposure</w:t>
            </w:r>
          </w:p>
        </w:tc>
        <w:tc>
          <w:tcPr>
            <w:tcW w:w="516" w:type="pct"/>
            <w:tcBorders>
              <w:top w:val="nil"/>
              <w:left w:val="nil"/>
              <w:bottom w:val="single" w:sz="12" w:space="0" w:color="auto"/>
              <w:right w:val="nil"/>
            </w:tcBorders>
            <w:shd w:val="clear" w:color="auto" w:fill="auto"/>
            <w:vAlign w:val="bottom"/>
          </w:tcPr>
          <w:p w14:paraId="3F567428" w14:textId="77777777" w:rsidR="00551F19" w:rsidRPr="00551F19" w:rsidRDefault="00551F19" w:rsidP="00551F19">
            <w:pPr>
              <w:tabs>
                <w:tab w:val="right" w:pos="1202"/>
              </w:tabs>
              <w:spacing w:after="0" w:line="340" w:lineRule="exact"/>
              <w:jc w:val="right"/>
              <w:outlineLvl w:val="0"/>
              <w:rPr>
                <w:rFonts w:eastAsia="Times New Roman" w:cs="Arial"/>
                <w:b/>
                <w:bCs/>
                <w:sz w:val="18"/>
                <w:szCs w:val="18"/>
                <w:lang w:val="en-US"/>
              </w:rPr>
            </w:pPr>
            <w:r w:rsidRPr="00551F19">
              <w:rPr>
                <w:rFonts w:eastAsia="Times New Roman" w:cs="Arial"/>
                <w:b/>
                <w:bCs/>
                <w:sz w:val="18"/>
                <w:szCs w:val="18"/>
                <w:lang w:val="en-US"/>
              </w:rPr>
              <w:t>31,671,378</w:t>
            </w:r>
          </w:p>
        </w:tc>
        <w:tc>
          <w:tcPr>
            <w:tcW w:w="516" w:type="pct"/>
            <w:tcBorders>
              <w:top w:val="nil"/>
              <w:left w:val="nil"/>
              <w:bottom w:val="single" w:sz="12" w:space="0" w:color="auto"/>
              <w:right w:val="nil"/>
            </w:tcBorders>
            <w:shd w:val="clear" w:color="auto" w:fill="auto"/>
            <w:vAlign w:val="bottom"/>
          </w:tcPr>
          <w:p w14:paraId="72B30150" w14:textId="77777777" w:rsidR="00551F19" w:rsidRPr="00551F19" w:rsidRDefault="00551F19" w:rsidP="00551F19">
            <w:pPr>
              <w:tabs>
                <w:tab w:val="right" w:pos="1202"/>
              </w:tabs>
              <w:spacing w:after="0" w:line="340" w:lineRule="exact"/>
              <w:jc w:val="right"/>
              <w:outlineLvl w:val="0"/>
              <w:rPr>
                <w:rFonts w:eastAsia="Times New Roman" w:cs="Arial"/>
                <w:b/>
                <w:bCs/>
                <w:sz w:val="18"/>
                <w:szCs w:val="18"/>
                <w:lang w:val="en-US"/>
              </w:rPr>
            </w:pPr>
            <w:r w:rsidRPr="00551F19">
              <w:rPr>
                <w:rFonts w:eastAsia="Times New Roman" w:cs="Arial"/>
                <w:b/>
                <w:bCs/>
                <w:sz w:val="18"/>
                <w:szCs w:val="18"/>
                <w:lang w:val="en-US"/>
              </w:rPr>
              <w:t>1,548,648</w:t>
            </w:r>
          </w:p>
        </w:tc>
        <w:tc>
          <w:tcPr>
            <w:tcW w:w="516" w:type="pct"/>
            <w:tcBorders>
              <w:top w:val="nil"/>
              <w:left w:val="nil"/>
              <w:bottom w:val="single" w:sz="12" w:space="0" w:color="auto"/>
              <w:right w:val="nil"/>
            </w:tcBorders>
            <w:shd w:val="clear" w:color="auto" w:fill="auto"/>
            <w:vAlign w:val="bottom"/>
          </w:tcPr>
          <w:p w14:paraId="584651A6" w14:textId="77777777" w:rsidR="00551F19" w:rsidRPr="00551F19" w:rsidRDefault="00551F19" w:rsidP="00551F19">
            <w:pPr>
              <w:tabs>
                <w:tab w:val="right" w:pos="1202"/>
              </w:tabs>
              <w:spacing w:after="0" w:line="340" w:lineRule="exact"/>
              <w:jc w:val="right"/>
              <w:outlineLvl w:val="0"/>
              <w:rPr>
                <w:rFonts w:eastAsia="Times New Roman" w:cs="Arial"/>
                <w:b/>
                <w:bCs/>
                <w:sz w:val="18"/>
                <w:szCs w:val="18"/>
                <w:lang w:val="en-US"/>
              </w:rPr>
            </w:pPr>
            <w:r w:rsidRPr="00551F19">
              <w:rPr>
                <w:rFonts w:eastAsia="Times New Roman" w:cs="Arial"/>
                <w:b/>
                <w:bCs/>
                <w:sz w:val="18"/>
                <w:szCs w:val="18"/>
                <w:lang w:val="en-US"/>
              </w:rPr>
              <w:t>-</w:t>
            </w:r>
          </w:p>
        </w:tc>
        <w:tc>
          <w:tcPr>
            <w:tcW w:w="516" w:type="pct"/>
            <w:tcBorders>
              <w:top w:val="nil"/>
              <w:left w:val="nil"/>
              <w:bottom w:val="single" w:sz="12" w:space="0" w:color="auto"/>
              <w:right w:val="nil"/>
            </w:tcBorders>
            <w:shd w:val="clear" w:color="auto" w:fill="auto"/>
            <w:vAlign w:val="bottom"/>
          </w:tcPr>
          <w:p w14:paraId="1CB72340" w14:textId="77777777" w:rsidR="00551F19" w:rsidRPr="00551F19" w:rsidRDefault="00551F19" w:rsidP="00551F19">
            <w:pPr>
              <w:tabs>
                <w:tab w:val="right" w:pos="1202"/>
              </w:tabs>
              <w:spacing w:after="0" w:line="340" w:lineRule="exact"/>
              <w:jc w:val="right"/>
              <w:outlineLvl w:val="0"/>
              <w:rPr>
                <w:rFonts w:eastAsia="Times New Roman" w:cs="Arial"/>
                <w:b/>
                <w:bCs/>
                <w:sz w:val="18"/>
                <w:szCs w:val="18"/>
                <w:lang w:val="en-US"/>
              </w:rPr>
            </w:pPr>
            <w:r w:rsidRPr="00551F19">
              <w:rPr>
                <w:rFonts w:eastAsia="Times New Roman" w:cs="Arial"/>
                <w:b/>
                <w:bCs/>
                <w:sz w:val="18"/>
                <w:szCs w:val="18"/>
                <w:lang w:val="en-US"/>
              </w:rPr>
              <w:t>33,220,026</w:t>
            </w:r>
          </w:p>
        </w:tc>
        <w:tc>
          <w:tcPr>
            <w:tcW w:w="516" w:type="pct"/>
            <w:tcBorders>
              <w:top w:val="nil"/>
              <w:left w:val="nil"/>
              <w:bottom w:val="single" w:sz="12" w:space="0" w:color="auto"/>
              <w:right w:val="nil"/>
            </w:tcBorders>
            <w:shd w:val="clear" w:color="auto" w:fill="auto"/>
            <w:vAlign w:val="bottom"/>
          </w:tcPr>
          <w:p w14:paraId="38D00ED7" w14:textId="77777777" w:rsidR="00551F19" w:rsidRPr="00551F19" w:rsidRDefault="00551F19" w:rsidP="00551F19">
            <w:pPr>
              <w:tabs>
                <w:tab w:val="right" w:pos="1202"/>
              </w:tabs>
              <w:spacing w:after="0" w:line="340" w:lineRule="exact"/>
              <w:jc w:val="right"/>
              <w:outlineLvl w:val="0"/>
              <w:rPr>
                <w:rFonts w:eastAsia="Times New Roman" w:cs="Arial"/>
                <w:b/>
                <w:bCs/>
                <w:sz w:val="18"/>
                <w:szCs w:val="18"/>
                <w:lang w:val="en-US"/>
              </w:rPr>
            </w:pPr>
            <w:r w:rsidRPr="00551F19">
              <w:rPr>
                <w:rFonts w:eastAsia="Times New Roman" w:cs="Arial"/>
                <w:b/>
                <w:bCs/>
                <w:sz w:val="18"/>
                <w:szCs w:val="18"/>
                <w:lang w:val="en-US"/>
              </w:rPr>
              <w:t>6,027,661</w:t>
            </w:r>
          </w:p>
        </w:tc>
        <w:tc>
          <w:tcPr>
            <w:tcW w:w="516" w:type="pct"/>
            <w:tcBorders>
              <w:top w:val="nil"/>
              <w:left w:val="nil"/>
              <w:bottom w:val="single" w:sz="12" w:space="0" w:color="auto"/>
              <w:right w:val="nil"/>
            </w:tcBorders>
            <w:shd w:val="clear" w:color="auto" w:fill="auto"/>
            <w:vAlign w:val="bottom"/>
          </w:tcPr>
          <w:p w14:paraId="20D6179D" w14:textId="77777777" w:rsidR="00551F19" w:rsidRPr="00551F19" w:rsidRDefault="00551F19" w:rsidP="00551F19">
            <w:pPr>
              <w:tabs>
                <w:tab w:val="right" w:pos="1202"/>
              </w:tabs>
              <w:spacing w:after="0" w:line="340" w:lineRule="exact"/>
              <w:jc w:val="right"/>
              <w:outlineLvl w:val="0"/>
              <w:rPr>
                <w:rFonts w:eastAsia="Times New Roman" w:cs="Arial"/>
                <w:b/>
                <w:bCs/>
                <w:sz w:val="18"/>
                <w:szCs w:val="18"/>
                <w:lang w:val="en-US"/>
              </w:rPr>
            </w:pPr>
            <w:r w:rsidRPr="00551F19">
              <w:rPr>
                <w:rFonts w:eastAsia="Times New Roman" w:cs="Arial"/>
                <w:b/>
                <w:bCs/>
                <w:sz w:val="18"/>
                <w:szCs w:val="18"/>
                <w:lang w:val="en-US"/>
              </w:rPr>
              <w:t>35,326</w:t>
            </w:r>
          </w:p>
        </w:tc>
        <w:tc>
          <w:tcPr>
            <w:tcW w:w="516" w:type="pct"/>
            <w:tcBorders>
              <w:top w:val="nil"/>
              <w:left w:val="nil"/>
              <w:bottom w:val="single" w:sz="12" w:space="0" w:color="auto"/>
              <w:right w:val="nil"/>
            </w:tcBorders>
            <w:shd w:val="clear" w:color="auto" w:fill="auto"/>
            <w:vAlign w:val="bottom"/>
          </w:tcPr>
          <w:p w14:paraId="50549CC7" w14:textId="77777777" w:rsidR="00551F19" w:rsidRPr="00551F19" w:rsidRDefault="00551F19" w:rsidP="00551F19">
            <w:pPr>
              <w:tabs>
                <w:tab w:val="right" w:pos="1202"/>
              </w:tabs>
              <w:spacing w:after="0" w:line="340" w:lineRule="exact"/>
              <w:jc w:val="right"/>
              <w:outlineLvl w:val="0"/>
              <w:rPr>
                <w:rFonts w:eastAsia="Times New Roman" w:cs="Arial"/>
                <w:b/>
                <w:bCs/>
                <w:sz w:val="18"/>
                <w:szCs w:val="18"/>
                <w:lang w:val="en-US"/>
              </w:rPr>
            </w:pPr>
            <w:r w:rsidRPr="00551F19">
              <w:rPr>
                <w:rFonts w:eastAsia="Times New Roman" w:cs="Arial"/>
                <w:b/>
                <w:bCs/>
                <w:sz w:val="18"/>
                <w:szCs w:val="18"/>
                <w:lang w:val="en-US"/>
              </w:rPr>
              <w:t>-</w:t>
            </w:r>
          </w:p>
        </w:tc>
        <w:tc>
          <w:tcPr>
            <w:tcW w:w="516" w:type="pct"/>
            <w:tcBorders>
              <w:top w:val="nil"/>
              <w:left w:val="nil"/>
              <w:bottom w:val="single" w:sz="12" w:space="0" w:color="auto"/>
              <w:right w:val="nil"/>
            </w:tcBorders>
            <w:shd w:val="clear" w:color="auto" w:fill="auto"/>
            <w:vAlign w:val="bottom"/>
          </w:tcPr>
          <w:p w14:paraId="590F67B7" w14:textId="77777777" w:rsidR="00551F19" w:rsidRPr="00551F19" w:rsidRDefault="00551F19" w:rsidP="00551F19">
            <w:pPr>
              <w:tabs>
                <w:tab w:val="right" w:pos="1202"/>
              </w:tabs>
              <w:spacing w:after="0" w:line="340" w:lineRule="exact"/>
              <w:jc w:val="right"/>
              <w:outlineLvl w:val="0"/>
              <w:rPr>
                <w:rFonts w:eastAsia="Times New Roman" w:cs="Arial"/>
                <w:b/>
                <w:bCs/>
                <w:sz w:val="18"/>
                <w:szCs w:val="18"/>
                <w:lang w:val="en-US"/>
              </w:rPr>
            </w:pPr>
            <w:r w:rsidRPr="00551F19">
              <w:rPr>
                <w:rFonts w:eastAsia="Times New Roman" w:cs="Arial"/>
                <w:b/>
                <w:bCs/>
                <w:sz w:val="18"/>
                <w:szCs w:val="18"/>
                <w:lang w:val="en-US"/>
              </w:rPr>
              <w:t>6,062,987</w:t>
            </w:r>
          </w:p>
        </w:tc>
      </w:tr>
    </w:tbl>
    <w:p w14:paraId="1B85E2D4" w14:textId="77777777" w:rsidR="00551F19" w:rsidRPr="009702B0" w:rsidRDefault="00551F19" w:rsidP="009702B0">
      <w:pPr>
        <w:spacing w:after="0" w:line="240" w:lineRule="auto"/>
        <w:jc w:val="both"/>
        <w:rPr>
          <w:rFonts w:eastAsia="Times New Roman" w:cs="Calibri"/>
          <w:b/>
          <w:sz w:val="24"/>
          <w:szCs w:val="24"/>
        </w:rPr>
        <w:sectPr w:rsidR="00551F19" w:rsidRPr="009702B0" w:rsidSect="00947CB7">
          <w:footerReference w:type="first" r:id="rId88"/>
          <w:pgSz w:w="11906" w:h="16838" w:code="9"/>
          <w:pgMar w:top="1418" w:right="1418" w:bottom="595" w:left="1134" w:header="709" w:footer="709" w:gutter="0"/>
          <w:cols w:space="708"/>
          <w:titlePg/>
          <w:docGrid w:linePitch="360"/>
        </w:sectPr>
      </w:pPr>
    </w:p>
    <w:p w14:paraId="7A5BAE70" w14:textId="77777777" w:rsidR="009702B0" w:rsidRPr="009702B0" w:rsidRDefault="009702B0" w:rsidP="009702B0">
      <w:pPr>
        <w:spacing w:after="0" w:line="240" w:lineRule="auto"/>
        <w:jc w:val="both"/>
        <w:rPr>
          <w:rFonts w:eastAsia="Times New Roman" w:cs="Calibri"/>
          <w:b/>
        </w:rPr>
      </w:pPr>
    </w:p>
    <w:p w14:paraId="2A3FED35"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14:paraId="717BE118" w14:textId="77777777" w:rsidR="009702B0" w:rsidRPr="009702B0" w:rsidRDefault="009702B0" w:rsidP="009702B0">
      <w:pPr>
        <w:keepNext/>
        <w:spacing w:after="0" w:line="240" w:lineRule="auto"/>
        <w:jc w:val="both"/>
        <w:rPr>
          <w:rFonts w:eastAsia="Times New Roman" w:cs="Arial"/>
          <w:b/>
          <w:bCs/>
          <w:sz w:val="16"/>
          <w:szCs w:val="16"/>
        </w:rPr>
      </w:pPr>
    </w:p>
    <w:p w14:paraId="38774390"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 xml:space="preserve">16.2. </w:t>
      </w:r>
      <w:r w:rsidRPr="009702B0">
        <w:rPr>
          <w:rFonts w:eastAsia="Times New Roman" w:cs="Arial"/>
          <w:b/>
          <w:bCs/>
        </w:rPr>
        <w:tab/>
        <w:t>Credit risk (continued)</w:t>
      </w:r>
    </w:p>
    <w:p w14:paraId="5267D03D" w14:textId="77777777" w:rsidR="009702B0" w:rsidRPr="009702B0" w:rsidRDefault="009702B0" w:rsidP="009702B0">
      <w:pPr>
        <w:keepNext/>
        <w:spacing w:after="0" w:line="240" w:lineRule="auto"/>
        <w:jc w:val="both"/>
        <w:rPr>
          <w:rFonts w:eastAsia="Times New Roman" w:cs="Arial"/>
          <w:b/>
          <w:bCs/>
          <w:sz w:val="16"/>
          <w:szCs w:val="16"/>
        </w:rPr>
      </w:pPr>
    </w:p>
    <w:p w14:paraId="73ACA7B2" w14:textId="77777777" w:rsidR="009702B0" w:rsidRPr="009702B0" w:rsidRDefault="009702B0" w:rsidP="009702B0">
      <w:pPr>
        <w:keepNext/>
        <w:spacing w:after="120" w:line="240" w:lineRule="auto"/>
        <w:jc w:val="both"/>
        <w:rPr>
          <w:rFonts w:eastAsia="Times New Roman" w:cs="Arial"/>
          <w:b/>
          <w:bCs/>
        </w:rPr>
      </w:pPr>
      <w:r w:rsidRPr="009702B0">
        <w:rPr>
          <w:rFonts w:eastAsia="Times New Roman" w:cs="Arial"/>
          <w:b/>
          <w:bCs/>
        </w:rPr>
        <w:t>Credit risk quality according to type of financial assets (continued)</w:t>
      </w:r>
    </w:p>
    <w:p w14:paraId="41AA5B50" w14:textId="77777777" w:rsidR="009702B0" w:rsidRPr="009702B0" w:rsidRDefault="009702B0" w:rsidP="009702B0">
      <w:pPr>
        <w:spacing w:after="0" w:line="240" w:lineRule="auto"/>
        <w:jc w:val="both"/>
        <w:rPr>
          <w:rFonts w:cs="Arial"/>
          <w:sz w:val="20"/>
          <w:szCs w:val="20"/>
        </w:rPr>
      </w:pPr>
      <w:r w:rsidRPr="009702B0">
        <w:rPr>
          <w:rFonts w:cs="Arial"/>
          <w:sz w:val="20"/>
          <w:szCs w:val="20"/>
        </w:rPr>
        <w:t>Credit risk analysis, before and after the effect of mitigation through collateral received according to the type of financial assets on positions of assets and guarantees and commitments by internal credit rating, is as follows (continued):</w:t>
      </w:r>
    </w:p>
    <w:p w14:paraId="3F7DEB72" w14:textId="77777777" w:rsidR="009702B0" w:rsidRPr="009702B0" w:rsidRDefault="009702B0" w:rsidP="009702B0">
      <w:pPr>
        <w:spacing w:after="0" w:line="240" w:lineRule="auto"/>
        <w:jc w:val="both"/>
        <w:rPr>
          <w:rFonts w:cs="Arial"/>
          <w:sz w:val="20"/>
          <w:szCs w:val="20"/>
        </w:rPr>
      </w:pPr>
    </w:p>
    <w:tbl>
      <w:tblPr>
        <w:tblW w:w="5417" w:type="pct"/>
        <w:tblInd w:w="-284" w:type="dxa"/>
        <w:tblLayout w:type="fixed"/>
        <w:tblCellMar>
          <w:left w:w="57" w:type="dxa"/>
          <w:right w:w="57" w:type="dxa"/>
        </w:tblCellMar>
        <w:tblLook w:val="0000" w:firstRow="0" w:lastRow="0" w:firstColumn="0" w:lastColumn="0" w:noHBand="0" w:noVBand="0"/>
      </w:tblPr>
      <w:tblGrid>
        <w:gridCol w:w="1716"/>
        <w:gridCol w:w="1052"/>
        <w:gridCol w:w="1052"/>
        <w:gridCol w:w="1052"/>
        <w:gridCol w:w="1052"/>
        <w:gridCol w:w="1050"/>
        <w:gridCol w:w="1052"/>
        <w:gridCol w:w="1052"/>
        <w:gridCol w:w="1056"/>
      </w:tblGrid>
      <w:tr w:rsidR="009702B0" w:rsidRPr="00F53BD7" w14:paraId="7DC29772" w14:textId="77777777" w:rsidTr="009702B0">
        <w:trPr>
          <w:trHeight w:hRule="exact" w:val="1138"/>
        </w:trPr>
        <w:tc>
          <w:tcPr>
            <w:tcW w:w="847" w:type="pct"/>
          </w:tcPr>
          <w:p w14:paraId="5CBE5705" w14:textId="77777777" w:rsidR="009702B0" w:rsidRPr="00F53BD7" w:rsidRDefault="009702B0" w:rsidP="009702B0">
            <w:pPr>
              <w:spacing w:after="0" w:line="240" w:lineRule="exact"/>
              <w:rPr>
                <w:rFonts w:cs="Arial"/>
                <w:b/>
                <w:bCs/>
                <w:sz w:val="17"/>
                <w:szCs w:val="17"/>
              </w:rPr>
            </w:pPr>
            <w:r w:rsidRPr="00F53BD7">
              <w:rPr>
                <w:rFonts w:cs="Arial"/>
                <w:b/>
                <w:bCs/>
                <w:sz w:val="17"/>
                <w:szCs w:val="17"/>
              </w:rPr>
              <w:br w:type="page"/>
              <w:t>Bank</w:t>
            </w:r>
          </w:p>
          <w:p w14:paraId="0D1D3628" w14:textId="77777777" w:rsidR="009702B0" w:rsidRPr="00F53BD7" w:rsidRDefault="009702B0" w:rsidP="009702B0">
            <w:pPr>
              <w:spacing w:after="0" w:line="240" w:lineRule="exact"/>
              <w:rPr>
                <w:rFonts w:cs="Arial"/>
                <w:b/>
                <w:bCs/>
                <w:sz w:val="17"/>
                <w:szCs w:val="17"/>
              </w:rPr>
            </w:pPr>
          </w:p>
          <w:p w14:paraId="34B3601E" w14:textId="77777777" w:rsidR="009702B0" w:rsidRPr="00F53BD7" w:rsidRDefault="009702B0" w:rsidP="009702B0">
            <w:pPr>
              <w:spacing w:after="0" w:line="260" w:lineRule="exact"/>
              <w:rPr>
                <w:rFonts w:cs="Arial"/>
                <w:b/>
                <w:bCs/>
                <w:sz w:val="17"/>
                <w:szCs w:val="17"/>
              </w:rPr>
            </w:pPr>
          </w:p>
          <w:p w14:paraId="607B3297" w14:textId="0940365C" w:rsidR="009702B0" w:rsidRPr="00F53BD7" w:rsidRDefault="00EC69BC" w:rsidP="009702B0">
            <w:pPr>
              <w:spacing w:after="0" w:line="240" w:lineRule="exact"/>
              <w:rPr>
                <w:rFonts w:cs="Arial"/>
                <w:b/>
                <w:bCs/>
                <w:sz w:val="17"/>
                <w:szCs w:val="17"/>
              </w:rPr>
            </w:pPr>
            <w:r>
              <w:rPr>
                <w:rFonts w:cs="Arial"/>
                <w:b/>
                <w:bCs/>
                <w:sz w:val="17"/>
                <w:szCs w:val="17"/>
              </w:rPr>
              <w:t>Sep</w:t>
            </w:r>
            <w:r w:rsidRPr="0012770A">
              <w:rPr>
                <w:rFonts w:cs="Arial"/>
                <w:b/>
                <w:bCs/>
                <w:sz w:val="17"/>
                <w:szCs w:val="17"/>
              </w:rPr>
              <w:t xml:space="preserve"> </w:t>
            </w:r>
            <w:r w:rsidR="0012770A" w:rsidRPr="0012770A">
              <w:rPr>
                <w:rFonts w:cs="Arial"/>
                <w:b/>
                <w:bCs/>
                <w:sz w:val="17"/>
                <w:szCs w:val="17"/>
              </w:rPr>
              <w:t>30</w:t>
            </w:r>
            <w:r w:rsidR="00551F19" w:rsidRPr="00F53BD7">
              <w:rPr>
                <w:rFonts w:cs="Arial"/>
                <w:b/>
                <w:bCs/>
                <w:sz w:val="17"/>
                <w:szCs w:val="17"/>
              </w:rPr>
              <w:t>, 2017</w:t>
            </w:r>
          </w:p>
        </w:tc>
        <w:tc>
          <w:tcPr>
            <w:tcW w:w="519" w:type="pct"/>
          </w:tcPr>
          <w:p w14:paraId="7150C6EF" w14:textId="77777777" w:rsidR="009702B0" w:rsidRPr="00F53BD7" w:rsidRDefault="009702B0" w:rsidP="009702B0">
            <w:pPr>
              <w:spacing w:after="0" w:line="220" w:lineRule="exact"/>
              <w:jc w:val="right"/>
              <w:rPr>
                <w:rFonts w:cs="Arial"/>
                <w:b/>
                <w:sz w:val="17"/>
                <w:szCs w:val="17"/>
              </w:rPr>
            </w:pPr>
            <w:r w:rsidRPr="00F53BD7">
              <w:rPr>
                <w:rFonts w:cs="Arial"/>
                <w:b/>
                <w:sz w:val="17"/>
                <w:szCs w:val="17"/>
              </w:rPr>
              <w:t>Gross exposure of portfolio of risk group A</w:t>
            </w:r>
          </w:p>
        </w:tc>
        <w:tc>
          <w:tcPr>
            <w:tcW w:w="519" w:type="pct"/>
          </w:tcPr>
          <w:p w14:paraId="42ECB73C" w14:textId="77777777" w:rsidR="009702B0" w:rsidRPr="00F53BD7" w:rsidRDefault="009702B0" w:rsidP="009702B0">
            <w:pPr>
              <w:spacing w:after="0" w:line="220" w:lineRule="exact"/>
              <w:jc w:val="right"/>
              <w:rPr>
                <w:rFonts w:cs="Arial"/>
                <w:b/>
                <w:sz w:val="17"/>
                <w:szCs w:val="17"/>
              </w:rPr>
            </w:pPr>
            <w:r w:rsidRPr="00F53BD7">
              <w:rPr>
                <w:rFonts w:cs="Arial"/>
                <w:b/>
                <w:sz w:val="17"/>
                <w:szCs w:val="17"/>
              </w:rPr>
              <w:t>Gross exposure of portfolio of risk group B</w:t>
            </w:r>
          </w:p>
        </w:tc>
        <w:tc>
          <w:tcPr>
            <w:tcW w:w="519" w:type="pct"/>
          </w:tcPr>
          <w:p w14:paraId="0E3E4EBE" w14:textId="77777777" w:rsidR="009702B0" w:rsidRPr="00F53BD7" w:rsidRDefault="009702B0" w:rsidP="009702B0">
            <w:pPr>
              <w:spacing w:after="0" w:line="220" w:lineRule="exact"/>
              <w:jc w:val="right"/>
              <w:rPr>
                <w:rFonts w:cs="Arial"/>
                <w:b/>
                <w:sz w:val="17"/>
                <w:szCs w:val="17"/>
              </w:rPr>
            </w:pPr>
            <w:r w:rsidRPr="00F53BD7">
              <w:rPr>
                <w:rFonts w:cs="Arial"/>
                <w:b/>
                <w:sz w:val="17"/>
                <w:szCs w:val="17"/>
              </w:rPr>
              <w:t>Gross exposure of portfolio of risk group C</w:t>
            </w:r>
          </w:p>
        </w:tc>
        <w:tc>
          <w:tcPr>
            <w:tcW w:w="519" w:type="pct"/>
          </w:tcPr>
          <w:p w14:paraId="075F8F9E" w14:textId="77777777" w:rsidR="009702B0" w:rsidRPr="00F53BD7" w:rsidRDefault="009702B0" w:rsidP="009702B0">
            <w:pPr>
              <w:spacing w:after="0" w:line="220" w:lineRule="exact"/>
              <w:jc w:val="right"/>
              <w:rPr>
                <w:rFonts w:cs="Arial"/>
                <w:b/>
                <w:sz w:val="17"/>
                <w:szCs w:val="17"/>
              </w:rPr>
            </w:pPr>
            <w:r w:rsidRPr="00F53BD7">
              <w:rPr>
                <w:rFonts w:cs="Arial"/>
                <w:b/>
                <w:sz w:val="17"/>
                <w:szCs w:val="17"/>
              </w:rPr>
              <w:t xml:space="preserve">Gross exposure of total portfolio </w:t>
            </w:r>
          </w:p>
        </w:tc>
        <w:tc>
          <w:tcPr>
            <w:tcW w:w="518" w:type="pct"/>
          </w:tcPr>
          <w:p w14:paraId="78154389" w14:textId="77777777" w:rsidR="009702B0" w:rsidRPr="00F53BD7" w:rsidRDefault="009702B0" w:rsidP="009702B0">
            <w:pPr>
              <w:spacing w:after="0" w:line="220" w:lineRule="exact"/>
              <w:jc w:val="right"/>
              <w:rPr>
                <w:rFonts w:cs="Arial"/>
                <w:b/>
                <w:sz w:val="17"/>
                <w:szCs w:val="17"/>
              </w:rPr>
            </w:pPr>
            <w:r w:rsidRPr="00F53BD7">
              <w:rPr>
                <w:rFonts w:cs="Arial"/>
                <w:b/>
                <w:sz w:val="17"/>
                <w:szCs w:val="17"/>
              </w:rPr>
              <w:t>Net exposure of portfolio of risk group A</w:t>
            </w:r>
          </w:p>
        </w:tc>
        <w:tc>
          <w:tcPr>
            <w:tcW w:w="519" w:type="pct"/>
          </w:tcPr>
          <w:p w14:paraId="62CCE63D" w14:textId="77777777" w:rsidR="009702B0" w:rsidRPr="00F53BD7" w:rsidRDefault="009702B0" w:rsidP="009702B0">
            <w:pPr>
              <w:spacing w:after="0" w:line="220" w:lineRule="exact"/>
              <w:jc w:val="right"/>
              <w:rPr>
                <w:rFonts w:cs="Arial"/>
                <w:b/>
                <w:sz w:val="17"/>
                <w:szCs w:val="17"/>
              </w:rPr>
            </w:pPr>
            <w:r w:rsidRPr="00F53BD7">
              <w:rPr>
                <w:rFonts w:cs="Arial"/>
                <w:b/>
                <w:sz w:val="17"/>
                <w:szCs w:val="17"/>
              </w:rPr>
              <w:t xml:space="preserve">Net </w:t>
            </w:r>
          </w:p>
          <w:p w14:paraId="69A99B95" w14:textId="77777777" w:rsidR="009702B0" w:rsidRPr="00F53BD7" w:rsidRDefault="009702B0" w:rsidP="009702B0">
            <w:pPr>
              <w:spacing w:after="0" w:line="220" w:lineRule="exact"/>
              <w:jc w:val="right"/>
              <w:rPr>
                <w:rFonts w:cs="Arial"/>
                <w:b/>
                <w:sz w:val="17"/>
                <w:szCs w:val="17"/>
              </w:rPr>
            </w:pPr>
            <w:r w:rsidRPr="00F53BD7">
              <w:rPr>
                <w:rFonts w:cs="Arial"/>
                <w:b/>
                <w:sz w:val="17"/>
                <w:szCs w:val="17"/>
              </w:rPr>
              <w:t>exposure of portfolio of risk group B</w:t>
            </w:r>
          </w:p>
        </w:tc>
        <w:tc>
          <w:tcPr>
            <w:tcW w:w="519" w:type="pct"/>
          </w:tcPr>
          <w:p w14:paraId="2AC292C6" w14:textId="77777777" w:rsidR="009702B0" w:rsidRPr="00F53BD7" w:rsidRDefault="009702B0" w:rsidP="009702B0">
            <w:pPr>
              <w:spacing w:after="0" w:line="220" w:lineRule="exact"/>
              <w:jc w:val="right"/>
              <w:rPr>
                <w:rFonts w:cs="Arial"/>
                <w:b/>
                <w:sz w:val="17"/>
                <w:szCs w:val="17"/>
              </w:rPr>
            </w:pPr>
            <w:r w:rsidRPr="00F53BD7">
              <w:rPr>
                <w:rFonts w:cs="Arial"/>
                <w:b/>
                <w:sz w:val="17"/>
                <w:szCs w:val="17"/>
              </w:rPr>
              <w:t xml:space="preserve">Net </w:t>
            </w:r>
          </w:p>
          <w:p w14:paraId="05858223" w14:textId="77777777" w:rsidR="009702B0" w:rsidRPr="00F53BD7" w:rsidRDefault="009702B0" w:rsidP="009702B0">
            <w:pPr>
              <w:spacing w:after="0" w:line="220" w:lineRule="exact"/>
              <w:jc w:val="right"/>
              <w:rPr>
                <w:rFonts w:cs="Arial"/>
                <w:b/>
                <w:sz w:val="17"/>
                <w:szCs w:val="17"/>
              </w:rPr>
            </w:pPr>
            <w:r w:rsidRPr="00F53BD7">
              <w:rPr>
                <w:rFonts w:cs="Arial"/>
                <w:b/>
                <w:sz w:val="17"/>
                <w:szCs w:val="17"/>
              </w:rPr>
              <w:t>exposure of portfolio of risk group C</w:t>
            </w:r>
          </w:p>
        </w:tc>
        <w:tc>
          <w:tcPr>
            <w:tcW w:w="521" w:type="pct"/>
          </w:tcPr>
          <w:p w14:paraId="6DDE21C6" w14:textId="77777777" w:rsidR="009702B0" w:rsidRPr="00F53BD7" w:rsidRDefault="009702B0" w:rsidP="009702B0">
            <w:pPr>
              <w:spacing w:after="0" w:line="220" w:lineRule="exact"/>
              <w:jc w:val="right"/>
              <w:rPr>
                <w:rFonts w:cs="Arial"/>
                <w:b/>
                <w:sz w:val="17"/>
                <w:szCs w:val="17"/>
              </w:rPr>
            </w:pPr>
            <w:r w:rsidRPr="00F53BD7">
              <w:rPr>
                <w:rFonts w:cs="Arial"/>
                <w:b/>
                <w:sz w:val="17"/>
                <w:szCs w:val="17"/>
              </w:rPr>
              <w:t xml:space="preserve">Net exposure of total portfolio </w:t>
            </w:r>
          </w:p>
        </w:tc>
      </w:tr>
      <w:tr w:rsidR="009702B0" w:rsidRPr="00F53BD7" w14:paraId="014214EB" w14:textId="77777777" w:rsidTr="009702B0">
        <w:trPr>
          <w:trHeight w:val="309"/>
        </w:trPr>
        <w:tc>
          <w:tcPr>
            <w:tcW w:w="847" w:type="pct"/>
            <w:vAlign w:val="bottom"/>
          </w:tcPr>
          <w:p w14:paraId="2D38ED9F" w14:textId="77777777" w:rsidR="009702B0" w:rsidRPr="00F53BD7" w:rsidRDefault="009702B0" w:rsidP="009702B0">
            <w:pPr>
              <w:tabs>
                <w:tab w:val="right" w:pos="1202"/>
              </w:tabs>
              <w:spacing w:after="0" w:line="220" w:lineRule="exact"/>
              <w:outlineLvl w:val="0"/>
              <w:rPr>
                <w:rFonts w:eastAsia="Times New Roman" w:cs="Arial"/>
                <w:b/>
                <w:bCs/>
                <w:sz w:val="17"/>
                <w:szCs w:val="17"/>
              </w:rPr>
            </w:pPr>
            <w:r w:rsidRPr="00F53BD7">
              <w:rPr>
                <w:rFonts w:eastAsia="Times New Roman" w:cs="Arial"/>
                <w:b/>
                <w:bCs/>
                <w:sz w:val="17"/>
                <w:szCs w:val="17"/>
              </w:rPr>
              <w:t xml:space="preserve">Assets </w:t>
            </w:r>
          </w:p>
        </w:tc>
        <w:tc>
          <w:tcPr>
            <w:tcW w:w="519" w:type="pct"/>
          </w:tcPr>
          <w:p w14:paraId="7C00B451" w14:textId="77777777" w:rsidR="009702B0" w:rsidRPr="00166751" w:rsidRDefault="009702B0" w:rsidP="009702B0">
            <w:pPr>
              <w:tabs>
                <w:tab w:val="right" w:pos="1202"/>
              </w:tabs>
              <w:spacing w:after="0" w:line="220" w:lineRule="exact"/>
              <w:outlineLvl w:val="0"/>
              <w:rPr>
                <w:rFonts w:eastAsia="Times New Roman" w:cs="Arial"/>
                <w:b/>
                <w:bCs/>
                <w:sz w:val="18"/>
                <w:szCs w:val="18"/>
              </w:rPr>
            </w:pPr>
          </w:p>
        </w:tc>
        <w:tc>
          <w:tcPr>
            <w:tcW w:w="519" w:type="pct"/>
          </w:tcPr>
          <w:p w14:paraId="4212732C" w14:textId="77777777" w:rsidR="009702B0" w:rsidRPr="00166751" w:rsidRDefault="009702B0" w:rsidP="009702B0">
            <w:pPr>
              <w:tabs>
                <w:tab w:val="right" w:pos="1202"/>
              </w:tabs>
              <w:spacing w:after="0" w:line="220" w:lineRule="exact"/>
              <w:outlineLvl w:val="0"/>
              <w:rPr>
                <w:rFonts w:eastAsia="Times New Roman" w:cs="Arial"/>
                <w:b/>
                <w:bCs/>
                <w:sz w:val="18"/>
                <w:szCs w:val="18"/>
              </w:rPr>
            </w:pPr>
          </w:p>
        </w:tc>
        <w:tc>
          <w:tcPr>
            <w:tcW w:w="519" w:type="pct"/>
          </w:tcPr>
          <w:p w14:paraId="58D9409D" w14:textId="77777777" w:rsidR="009702B0" w:rsidRPr="00166751" w:rsidRDefault="009702B0" w:rsidP="009702B0">
            <w:pPr>
              <w:tabs>
                <w:tab w:val="right" w:pos="1202"/>
              </w:tabs>
              <w:spacing w:after="0" w:line="220" w:lineRule="exact"/>
              <w:outlineLvl w:val="0"/>
              <w:rPr>
                <w:rFonts w:eastAsia="Times New Roman" w:cs="Arial"/>
                <w:b/>
                <w:bCs/>
                <w:sz w:val="18"/>
                <w:szCs w:val="18"/>
              </w:rPr>
            </w:pPr>
          </w:p>
        </w:tc>
        <w:tc>
          <w:tcPr>
            <w:tcW w:w="519" w:type="pct"/>
          </w:tcPr>
          <w:p w14:paraId="2190BAE0" w14:textId="77777777" w:rsidR="009702B0" w:rsidRPr="00166751" w:rsidRDefault="009702B0" w:rsidP="009702B0">
            <w:pPr>
              <w:tabs>
                <w:tab w:val="right" w:pos="1202"/>
              </w:tabs>
              <w:spacing w:after="0" w:line="220" w:lineRule="exact"/>
              <w:outlineLvl w:val="0"/>
              <w:rPr>
                <w:rFonts w:eastAsia="Times New Roman" w:cs="Arial"/>
                <w:b/>
                <w:bCs/>
                <w:sz w:val="18"/>
                <w:szCs w:val="18"/>
              </w:rPr>
            </w:pPr>
          </w:p>
        </w:tc>
        <w:tc>
          <w:tcPr>
            <w:tcW w:w="518" w:type="pct"/>
          </w:tcPr>
          <w:p w14:paraId="485DF62C" w14:textId="77777777" w:rsidR="009702B0" w:rsidRPr="00166751" w:rsidRDefault="009702B0" w:rsidP="009702B0">
            <w:pPr>
              <w:tabs>
                <w:tab w:val="right" w:pos="1202"/>
              </w:tabs>
              <w:spacing w:after="0" w:line="220" w:lineRule="exact"/>
              <w:outlineLvl w:val="0"/>
              <w:rPr>
                <w:rFonts w:eastAsia="Times New Roman" w:cs="Arial"/>
                <w:b/>
                <w:bCs/>
                <w:sz w:val="18"/>
                <w:szCs w:val="18"/>
              </w:rPr>
            </w:pPr>
          </w:p>
        </w:tc>
        <w:tc>
          <w:tcPr>
            <w:tcW w:w="519" w:type="pct"/>
          </w:tcPr>
          <w:p w14:paraId="57B9C4CF" w14:textId="77777777" w:rsidR="009702B0" w:rsidRPr="00166751" w:rsidRDefault="009702B0" w:rsidP="009702B0">
            <w:pPr>
              <w:tabs>
                <w:tab w:val="right" w:pos="1202"/>
              </w:tabs>
              <w:spacing w:after="0" w:line="220" w:lineRule="exact"/>
              <w:outlineLvl w:val="0"/>
              <w:rPr>
                <w:rFonts w:eastAsia="Times New Roman" w:cs="Arial"/>
                <w:b/>
                <w:bCs/>
                <w:sz w:val="18"/>
                <w:szCs w:val="18"/>
              </w:rPr>
            </w:pPr>
          </w:p>
        </w:tc>
        <w:tc>
          <w:tcPr>
            <w:tcW w:w="519" w:type="pct"/>
          </w:tcPr>
          <w:p w14:paraId="0CC01657" w14:textId="77777777" w:rsidR="009702B0" w:rsidRPr="00166751" w:rsidRDefault="009702B0" w:rsidP="009702B0">
            <w:pPr>
              <w:tabs>
                <w:tab w:val="right" w:pos="1202"/>
              </w:tabs>
              <w:spacing w:after="0" w:line="220" w:lineRule="exact"/>
              <w:outlineLvl w:val="0"/>
              <w:rPr>
                <w:rFonts w:eastAsia="Times New Roman" w:cs="Arial"/>
                <w:b/>
                <w:bCs/>
                <w:sz w:val="18"/>
                <w:szCs w:val="18"/>
              </w:rPr>
            </w:pPr>
          </w:p>
        </w:tc>
        <w:tc>
          <w:tcPr>
            <w:tcW w:w="521" w:type="pct"/>
          </w:tcPr>
          <w:p w14:paraId="4025B29D" w14:textId="77777777" w:rsidR="009702B0" w:rsidRPr="00166751" w:rsidRDefault="009702B0" w:rsidP="009702B0">
            <w:pPr>
              <w:tabs>
                <w:tab w:val="right" w:pos="1202"/>
              </w:tabs>
              <w:spacing w:after="0" w:line="220" w:lineRule="exact"/>
              <w:outlineLvl w:val="0"/>
              <w:rPr>
                <w:rFonts w:eastAsia="Times New Roman" w:cs="Arial"/>
                <w:b/>
                <w:bCs/>
                <w:sz w:val="18"/>
                <w:szCs w:val="18"/>
              </w:rPr>
            </w:pPr>
          </w:p>
        </w:tc>
      </w:tr>
      <w:tr w:rsidR="003E20E1" w:rsidRPr="00F53BD7" w14:paraId="0DEC2824" w14:textId="77777777" w:rsidTr="005444AA">
        <w:trPr>
          <w:trHeight w:val="228"/>
        </w:trPr>
        <w:tc>
          <w:tcPr>
            <w:tcW w:w="847" w:type="pct"/>
            <w:vAlign w:val="bottom"/>
          </w:tcPr>
          <w:p w14:paraId="5F2933B7" w14:textId="77777777" w:rsidR="003E20E1" w:rsidRPr="00F53BD7" w:rsidRDefault="003E20E1" w:rsidP="003E20E1">
            <w:pPr>
              <w:tabs>
                <w:tab w:val="right" w:pos="1202"/>
              </w:tabs>
              <w:spacing w:after="0" w:line="240" w:lineRule="auto"/>
              <w:outlineLvl w:val="0"/>
              <w:rPr>
                <w:rFonts w:eastAsia="Times New Roman" w:cs="Arial"/>
                <w:sz w:val="17"/>
                <w:szCs w:val="17"/>
              </w:rPr>
            </w:pPr>
            <w:r w:rsidRPr="00F53BD7">
              <w:rPr>
                <w:rFonts w:eastAsia="Times New Roman" w:cs="Arial"/>
                <w:sz w:val="17"/>
                <w:szCs w:val="17"/>
              </w:rPr>
              <w:t xml:space="preserve">Cash on hand and due from banks </w:t>
            </w:r>
          </w:p>
        </w:tc>
        <w:tc>
          <w:tcPr>
            <w:tcW w:w="519" w:type="pct"/>
            <w:tcBorders>
              <w:top w:val="nil"/>
              <w:left w:val="nil"/>
              <w:bottom w:val="nil"/>
              <w:right w:val="nil"/>
            </w:tcBorders>
            <w:shd w:val="clear" w:color="auto" w:fill="auto"/>
            <w:vAlign w:val="bottom"/>
          </w:tcPr>
          <w:p w14:paraId="4AB1E419" w14:textId="1C2F24EA"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737</w:t>
            </w:r>
            <w:r>
              <w:rPr>
                <w:rFonts w:eastAsia="Times New Roman" w:cs="Arial"/>
                <w:sz w:val="18"/>
                <w:szCs w:val="18"/>
                <w:lang w:val="en-US"/>
              </w:rPr>
              <w:t>,</w:t>
            </w:r>
            <w:r w:rsidRPr="005E30C5">
              <w:rPr>
                <w:rFonts w:eastAsia="Times New Roman" w:cs="Arial"/>
                <w:sz w:val="18"/>
                <w:szCs w:val="18"/>
                <w:lang w:val="en-US"/>
              </w:rPr>
              <w:t>621</w:t>
            </w:r>
          </w:p>
        </w:tc>
        <w:tc>
          <w:tcPr>
            <w:tcW w:w="519" w:type="pct"/>
            <w:shd w:val="clear" w:color="auto" w:fill="auto"/>
            <w:vAlign w:val="bottom"/>
          </w:tcPr>
          <w:p w14:paraId="2588789D" w14:textId="57A7D676"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w:t>
            </w:r>
          </w:p>
        </w:tc>
        <w:tc>
          <w:tcPr>
            <w:tcW w:w="519" w:type="pct"/>
            <w:shd w:val="clear" w:color="auto" w:fill="auto"/>
            <w:vAlign w:val="bottom"/>
          </w:tcPr>
          <w:p w14:paraId="7F87D73A" w14:textId="5CDB4236"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w:t>
            </w:r>
          </w:p>
        </w:tc>
        <w:tc>
          <w:tcPr>
            <w:tcW w:w="519" w:type="pct"/>
            <w:tcBorders>
              <w:top w:val="nil"/>
              <w:left w:val="nil"/>
              <w:bottom w:val="nil"/>
              <w:right w:val="nil"/>
            </w:tcBorders>
            <w:shd w:val="clear" w:color="auto" w:fill="auto"/>
            <w:vAlign w:val="bottom"/>
          </w:tcPr>
          <w:p w14:paraId="1958D51E" w14:textId="6857A842"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737</w:t>
            </w:r>
            <w:r>
              <w:rPr>
                <w:rFonts w:eastAsia="Times New Roman" w:cs="Arial"/>
                <w:sz w:val="18"/>
                <w:szCs w:val="18"/>
                <w:lang w:val="en-US"/>
              </w:rPr>
              <w:t>,</w:t>
            </w:r>
            <w:r w:rsidRPr="005E30C5">
              <w:rPr>
                <w:rFonts w:eastAsia="Times New Roman" w:cs="Arial"/>
                <w:sz w:val="18"/>
                <w:szCs w:val="18"/>
                <w:lang w:val="en-US"/>
              </w:rPr>
              <w:t>621</w:t>
            </w:r>
          </w:p>
        </w:tc>
        <w:tc>
          <w:tcPr>
            <w:tcW w:w="518" w:type="pct"/>
            <w:shd w:val="clear" w:color="auto" w:fill="auto"/>
            <w:vAlign w:val="bottom"/>
          </w:tcPr>
          <w:p w14:paraId="7FF49BEA" w14:textId="05DED687"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w:t>
            </w:r>
          </w:p>
        </w:tc>
        <w:tc>
          <w:tcPr>
            <w:tcW w:w="519" w:type="pct"/>
            <w:shd w:val="clear" w:color="auto" w:fill="auto"/>
            <w:vAlign w:val="bottom"/>
          </w:tcPr>
          <w:p w14:paraId="660E4CCD" w14:textId="50D8B7C2"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w:t>
            </w:r>
          </w:p>
        </w:tc>
        <w:tc>
          <w:tcPr>
            <w:tcW w:w="519" w:type="pct"/>
            <w:shd w:val="clear" w:color="auto" w:fill="auto"/>
            <w:vAlign w:val="bottom"/>
          </w:tcPr>
          <w:p w14:paraId="4DA54AC9" w14:textId="250E6897"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w:t>
            </w:r>
          </w:p>
        </w:tc>
        <w:tc>
          <w:tcPr>
            <w:tcW w:w="521" w:type="pct"/>
            <w:shd w:val="clear" w:color="auto" w:fill="auto"/>
            <w:vAlign w:val="bottom"/>
          </w:tcPr>
          <w:p w14:paraId="5932D397" w14:textId="34CF3DE6"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w:t>
            </w:r>
          </w:p>
        </w:tc>
      </w:tr>
      <w:tr w:rsidR="003E20E1" w:rsidRPr="00F53BD7" w14:paraId="216BD93F" w14:textId="77777777" w:rsidTr="005444AA">
        <w:trPr>
          <w:trHeight w:val="228"/>
        </w:trPr>
        <w:tc>
          <w:tcPr>
            <w:tcW w:w="847" w:type="pct"/>
            <w:vAlign w:val="bottom"/>
          </w:tcPr>
          <w:p w14:paraId="37CCB037" w14:textId="77777777" w:rsidR="003E20E1" w:rsidRPr="00F53BD7" w:rsidRDefault="003E20E1" w:rsidP="003E20E1">
            <w:pPr>
              <w:tabs>
                <w:tab w:val="right" w:pos="1202"/>
              </w:tabs>
              <w:spacing w:after="0" w:line="240" w:lineRule="auto"/>
              <w:outlineLvl w:val="0"/>
              <w:rPr>
                <w:rFonts w:eastAsia="Times New Roman" w:cs="Arial"/>
                <w:sz w:val="17"/>
                <w:szCs w:val="17"/>
              </w:rPr>
            </w:pPr>
            <w:r w:rsidRPr="00F53BD7">
              <w:rPr>
                <w:rFonts w:eastAsia="Times New Roman" w:cs="Arial"/>
                <w:sz w:val="17"/>
                <w:szCs w:val="17"/>
              </w:rPr>
              <w:t>Deposits with other banks</w:t>
            </w:r>
          </w:p>
        </w:tc>
        <w:tc>
          <w:tcPr>
            <w:tcW w:w="519" w:type="pct"/>
            <w:tcBorders>
              <w:top w:val="nil"/>
              <w:left w:val="nil"/>
              <w:bottom w:val="nil"/>
              <w:right w:val="nil"/>
            </w:tcBorders>
            <w:shd w:val="clear" w:color="auto" w:fill="auto"/>
            <w:vAlign w:val="bottom"/>
          </w:tcPr>
          <w:p w14:paraId="4290FE3B" w14:textId="47F68C19"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76</w:t>
            </w:r>
          </w:p>
        </w:tc>
        <w:tc>
          <w:tcPr>
            <w:tcW w:w="519" w:type="pct"/>
            <w:tcBorders>
              <w:top w:val="nil"/>
            </w:tcBorders>
            <w:shd w:val="clear" w:color="auto" w:fill="auto"/>
            <w:vAlign w:val="bottom"/>
          </w:tcPr>
          <w:p w14:paraId="4F75E584" w14:textId="58698867"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w:t>
            </w:r>
          </w:p>
        </w:tc>
        <w:tc>
          <w:tcPr>
            <w:tcW w:w="519" w:type="pct"/>
            <w:tcBorders>
              <w:top w:val="nil"/>
            </w:tcBorders>
            <w:shd w:val="clear" w:color="auto" w:fill="auto"/>
            <w:vAlign w:val="bottom"/>
          </w:tcPr>
          <w:p w14:paraId="78F2C8C0" w14:textId="63A2B1C8"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w:t>
            </w:r>
          </w:p>
        </w:tc>
        <w:tc>
          <w:tcPr>
            <w:tcW w:w="519" w:type="pct"/>
            <w:tcBorders>
              <w:top w:val="nil"/>
              <w:left w:val="nil"/>
              <w:bottom w:val="nil"/>
              <w:right w:val="nil"/>
            </w:tcBorders>
            <w:shd w:val="clear" w:color="auto" w:fill="auto"/>
            <w:vAlign w:val="bottom"/>
          </w:tcPr>
          <w:p w14:paraId="150C58C0" w14:textId="2B52734F"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76</w:t>
            </w:r>
          </w:p>
        </w:tc>
        <w:tc>
          <w:tcPr>
            <w:tcW w:w="518" w:type="pct"/>
            <w:tcBorders>
              <w:top w:val="nil"/>
            </w:tcBorders>
            <w:shd w:val="clear" w:color="auto" w:fill="auto"/>
            <w:vAlign w:val="bottom"/>
          </w:tcPr>
          <w:p w14:paraId="15B57FEA" w14:textId="151E772B"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w:t>
            </w:r>
          </w:p>
        </w:tc>
        <w:tc>
          <w:tcPr>
            <w:tcW w:w="519" w:type="pct"/>
            <w:tcBorders>
              <w:top w:val="nil"/>
            </w:tcBorders>
            <w:shd w:val="clear" w:color="auto" w:fill="auto"/>
            <w:vAlign w:val="bottom"/>
          </w:tcPr>
          <w:p w14:paraId="6EF8F664" w14:textId="4CCE5B73"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w:t>
            </w:r>
          </w:p>
        </w:tc>
        <w:tc>
          <w:tcPr>
            <w:tcW w:w="519" w:type="pct"/>
            <w:tcBorders>
              <w:top w:val="nil"/>
            </w:tcBorders>
            <w:shd w:val="clear" w:color="auto" w:fill="auto"/>
            <w:vAlign w:val="bottom"/>
          </w:tcPr>
          <w:p w14:paraId="601157FB" w14:textId="239738C6"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w:t>
            </w:r>
          </w:p>
        </w:tc>
        <w:tc>
          <w:tcPr>
            <w:tcW w:w="521" w:type="pct"/>
            <w:tcBorders>
              <w:top w:val="nil"/>
            </w:tcBorders>
            <w:shd w:val="clear" w:color="auto" w:fill="auto"/>
            <w:vAlign w:val="bottom"/>
          </w:tcPr>
          <w:p w14:paraId="1469298E" w14:textId="7B69D047"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w:t>
            </w:r>
          </w:p>
        </w:tc>
      </w:tr>
      <w:tr w:rsidR="003E20E1" w:rsidRPr="00F53BD7" w14:paraId="0F4E9279" w14:textId="77777777" w:rsidTr="005444AA">
        <w:trPr>
          <w:trHeight w:val="228"/>
        </w:trPr>
        <w:tc>
          <w:tcPr>
            <w:tcW w:w="847" w:type="pct"/>
            <w:vAlign w:val="bottom"/>
          </w:tcPr>
          <w:p w14:paraId="417A0341" w14:textId="77777777" w:rsidR="003E20E1" w:rsidRPr="00F53BD7" w:rsidRDefault="003E20E1" w:rsidP="003E20E1">
            <w:pPr>
              <w:tabs>
                <w:tab w:val="right" w:pos="1202"/>
              </w:tabs>
              <w:spacing w:after="0" w:line="240" w:lineRule="auto"/>
              <w:outlineLvl w:val="0"/>
              <w:rPr>
                <w:rFonts w:eastAsia="Times New Roman" w:cs="Arial"/>
                <w:sz w:val="17"/>
                <w:szCs w:val="17"/>
              </w:rPr>
            </w:pPr>
            <w:r w:rsidRPr="00F53BD7">
              <w:rPr>
                <w:rFonts w:eastAsia="Times New Roman" w:cs="Arial"/>
                <w:sz w:val="17"/>
                <w:szCs w:val="17"/>
              </w:rPr>
              <w:t>Loans to financial institutions</w:t>
            </w:r>
          </w:p>
        </w:tc>
        <w:tc>
          <w:tcPr>
            <w:tcW w:w="519" w:type="pct"/>
            <w:tcBorders>
              <w:top w:val="nil"/>
              <w:left w:val="nil"/>
              <w:bottom w:val="nil"/>
              <w:right w:val="nil"/>
            </w:tcBorders>
            <w:shd w:val="clear" w:color="auto" w:fill="auto"/>
            <w:vAlign w:val="bottom"/>
          </w:tcPr>
          <w:p w14:paraId="00DBA564" w14:textId="3CD285A1"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12</w:t>
            </w:r>
            <w:r>
              <w:rPr>
                <w:rFonts w:eastAsia="Times New Roman" w:cs="Arial"/>
                <w:sz w:val="18"/>
                <w:szCs w:val="18"/>
                <w:lang w:val="en-US"/>
              </w:rPr>
              <w:t>,</w:t>
            </w:r>
            <w:r w:rsidRPr="005E30C5">
              <w:rPr>
                <w:rFonts w:eastAsia="Times New Roman" w:cs="Arial"/>
                <w:sz w:val="18"/>
                <w:szCs w:val="18"/>
                <w:lang w:val="en-US"/>
              </w:rPr>
              <w:t>019</w:t>
            </w:r>
            <w:r>
              <w:rPr>
                <w:rFonts w:eastAsia="Times New Roman" w:cs="Arial"/>
                <w:sz w:val="18"/>
                <w:szCs w:val="18"/>
                <w:lang w:val="en-US"/>
              </w:rPr>
              <w:t>,</w:t>
            </w:r>
            <w:r w:rsidRPr="005E30C5">
              <w:rPr>
                <w:rFonts w:eastAsia="Times New Roman" w:cs="Arial"/>
                <w:sz w:val="18"/>
                <w:szCs w:val="18"/>
                <w:lang w:val="en-US"/>
              </w:rPr>
              <w:t>833</w:t>
            </w:r>
          </w:p>
        </w:tc>
        <w:tc>
          <w:tcPr>
            <w:tcW w:w="519" w:type="pct"/>
            <w:tcBorders>
              <w:top w:val="nil"/>
              <w:left w:val="nil"/>
              <w:bottom w:val="nil"/>
              <w:right w:val="nil"/>
            </w:tcBorders>
            <w:shd w:val="clear" w:color="auto" w:fill="auto"/>
            <w:vAlign w:val="bottom"/>
          </w:tcPr>
          <w:p w14:paraId="05649977" w14:textId="2812622C"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227</w:t>
            </w:r>
            <w:r>
              <w:rPr>
                <w:rFonts w:eastAsia="Times New Roman" w:cs="Arial"/>
                <w:sz w:val="18"/>
                <w:szCs w:val="18"/>
                <w:lang w:val="en-US"/>
              </w:rPr>
              <w:t>,</w:t>
            </w:r>
            <w:r w:rsidRPr="005E30C5">
              <w:rPr>
                <w:rFonts w:eastAsia="Times New Roman" w:cs="Arial"/>
                <w:sz w:val="18"/>
                <w:szCs w:val="18"/>
                <w:lang w:val="en-US"/>
              </w:rPr>
              <w:t>454</w:t>
            </w:r>
          </w:p>
        </w:tc>
        <w:tc>
          <w:tcPr>
            <w:tcW w:w="519" w:type="pct"/>
            <w:tcBorders>
              <w:top w:val="nil"/>
              <w:left w:val="nil"/>
              <w:bottom w:val="nil"/>
              <w:right w:val="nil"/>
            </w:tcBorders>
            <w:shd w:val="clear" w:color="auto" w:fill="auto"/>
            <w:vAlign w:val="bottom"/>
          </w:tcPr>
          <w:p w14:paraId="7F601D2E" w14:textId="644CE9E1"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w:t>
            </w:r>
          </w:p>
        </w:tc>
        <w:tc>
          <w:tcPr>
            <w:tcW w:w="519" w:type="pct"/>
            <w:tcBorders>
              <w:top w:val="nil"/>
              <w:left w:val="nil"/>
              <w:bottom w:val="nil"/>
              <w:right w:val="nil"/>
            </w:tcBorders>
            <w:shd w:val="clear" w:color="auto" w:fill="auto"/>
            <w:vAlign w:val="bottom"/>
          </w:tcPr>
          <w:p w14:paraId="254C66D4" w14:textId="4CD476BA"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12</w:t>
            </w:r>
            <w:r>
              <w:rPr>
                <w:rFonts w:eastAsia="Times New Roman" w:cs="Arial"/>
                <w:sz w:val="18"/>
                <w:szCs w:val="18"/>
                <w:lang w:val="en-US"/>
              </w:rPr>
              <w:t>,</w:t>
            </w:r>
            <w:r w:rsidRPr="005E30C5">
              <w:rPr>
                <w:rFonts w:eastAsia="Times New Roman" w:cs="Arial"/>
                <w:sz w:val="18"/>
                <w:szCs w:val="18"/>
                <w:lang w:val="en-US"/>
              </w:rPr>
              <w:t>247</w:t>
            </w:r>
            <w:r>
              <w:rPr>
                <w:rFonts w:eastAsia="Times New Roman" w:cs="Arial"/>
                <w:sz w:val="18"/>
                <w:szCs w:val="18"/>
                <w:lang w:val="en-US"/>
              </w:rPr>
              <w:t>,</w:t>
            </w:r>
            <w:r w:rsidRPr="005E30C5">
              <w:rPr>
                <w:rFonts w:eastAsia="Times New Roman" w:cs="Arial"/>
                <w:sz w:val="18"/>
                <w:szCs w:val="18"/>
                <w:lang w:val="en-US"/>
              </w:rPr>
              <w:t>287</w:t>
            </w:r>
          </w:p>
        </w:tc>
        <w:tc>
          <w:tcPr>
            <w:tcW w:w="518" w:type="pct"/>
            <w:tcBorders>
              <w:top w:val="nil"/>
              <w:left w:val="nil"/>
              <w:bottom w:val="nil"/>
              <w:right w:val="nil"/>
            </w:tcBorders>
            <w:shd w:val="clear" w:color="auto" w:fill="auto"/>
            <w:vAlign w:val="bottom"/>
          </w:tcPr>
          <w:p w14:paraId="7F11AA01" w14:textId="0DDB99F6"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w:t>
            </w:r>
          </w:p>
        </w:tc>
        <w:tc>
          <w:tcPr>
            <w:tcW w:w="519" w:type="pct"/>
            <w:tcBorders>
              <w:top w:val="nil"/>
              <w:left w:val="nil"/>
              <w:bottom w:val="nil"/>
              <w:right w:val="nil"/>
            </w:tcBorders>
            <w:shd w:val="clear" w:color="auto" w:fill="auto"/>
            <w:vAlign w:val="bottom"/>
          </w:tcPr>
          <w:p w14:paraId="63B3E425" w14:textId="3CAE246B"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w:t>
            </w:r>
          </w:p>
        </w:tc>
        <w:tc>
          <w:tcPr>
            <w:tcW w:w="519" w:type="pct"/>
            <w:tcBorders>
              <w:top w:val="nil"/>
              <w:left w:val="nil"/>
              <w:bottom w:val="nil"/>
              <w:right w:val="nil"/>
            </w:tcBorders>
            <w:shd w:val="clear" w:color="auto" w:fill="auto"/>
            <w:vAlign w:val="bottom"/>
          </w:tcPr>
          <w:p w14:paraId="07443BFB" w14:textId="7FB80398"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w:t>
            </w:r>
          </w:p>
        </w:tc>
        <w:tc>
          <w:tcPr>
            <w:tcW w:w="521" w:type="pct"/>
            <w:tcBorders>
              <w:top w:val="nil"/>
              <w:left w:val="nil"/>
              <w:bottom w:val="nil"/>
              <w:right w:val="nil"/>
            </w:tcBorders>
            <w:shd w:val="clear" w:color="auto" w:fill="auto"/>
            <w:vAlign w:val="bottom"/>
          </w:tcPr>
          <w:p w14:paraId="5FBDCC2C" w14:textId="516EDF8B"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w:t>
            </w:r>
          </w:p>
        </w:tc>
      </w:tr>
      <w:tr w:rsidR="003E20E1" w:rsidRPr="00F53BD7" w14:paraId="335BCE12" w14:textId="77777777" w:rsidTr="005444AA">
        <w:trPr>
          <w:trHeight w:val="121"/>
        </w:trPr>
        <w:tc>
          <w:tcPr>
            <w:tcW w:w="847" w:type="pct"/>
            <w:vAlign w:val="bottom"/>
          </w:tcPr>
          <w:p w14:paraId="5455E14E" w14:textId="77777777" w:rsidR="003E20E1" w:rsidRPr="00F53BD7" w:rsidRDefault="003E20E1" w:rsidP="003E20E1">
            <w:pPr>
              <w:tabs>
                <w:tab w:val="right" w:pos="1202"/>
              </w:tabs>
              <w:spacing w:after="0" w:line="240" w:lineRule="auto"/>
              <w:outlineLvl w:val="0"/>
              <w:rPr>
                <w:rFonts w:eastAsia="Times New Roman" w:cs="Arial"/>
                <w:sz w:val="17"/>
                <w:szCs w:val="17"/>
              </w:rPr>
            </w:pPr>
            <w:r w:rsidRPr="00F53BD7">
              <w:rPr>
                <w:rFonts w:eastAsia="Times New Roman" w:cs="Arial"/>
                <w:sz w:val="17"/>
                <w:szCs w:val="17"/>
              </w:rPr>
              <w:t>Loans to other customers</w:t>
            </w:r>
          </w:p>
        </w:tc>
        <w:tc>
          <w:tcPr>
            <w:tcW w:w="519" w:type="pct"/>
            <w:tcBorders>
              <w:top w:val="nil"/>
              <w:left w:val="nil"/>
              <w:bottom w:val="nil"/>
              <w:right w:val="nil"/>
            </w:tcBorders>
            <w:shd w:val="clear" w:color="auto" w:fill="auto"/>
            <w:vAlign w:val="bottom"/>
          </w:tcPr>
          <w:p w14:paraId="7DB153C2" w14:textId="10FEC954"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10</w:t>
            </w:r>
            <w:r>
              <w:rPr>
                <w:rFonts w:eastAsia="Times New Roman" w:cs="Arial"/>
                <w:sz w:val="18"/>
                <w:szCs w:val="18"/>
                <w:lang w:val="en-US"/>
              </w:rPr>
              <w:t>,</w:t>
            </w:r>
            <w:r w:rsidRPr="005E30C5">
              <w:rPr>
                <w:rFonts w:eastAsia="Times New Roman" w:cs="Arial"/>
                <w:sz w:val="18"/>
                <w:szCs w:val="18"/>
                <w:lang w:val="en-US"/>
              </w:rPr>
              <w:t>445</w:t>
            </w:r>
            <w:r>
              <w:rPr>
                <w:rFonts w:eastAsia="Times New Roman" w:cs="Arial"/>
                <w:sz w:val="18"/>
                <w:szCs w:val="18"/>
                <w:lang w:val="en-US"/>
              </w:rPr>
              <w:t>,</w:t>
            </w:r>
            <w:r w:rsidRPr="005E30C5">
              <w:rPr>
                <w:rFonts w:eastAsia="Times New Roman" w:cs="Arial"/>
                <w:sz w:val="18"/>
                <w:szCs w:val="18"/>
                <w:lang w:val="en-US"/>
              </w:rPr>
              <w:t>613</w:t>
            </w:r>
          </w:p>
        </w:tc>
        <w:tc>
          <w:tcPr>
            <w:tcW w:w="519" w:type="pct"/>
            <w:tcBorders>
              <w:top w:val="nil"/>
              <w:left w:val="nil"/>
              <w:bottom w:val="nil"/>
              <w:right w:val="nil"/>
            </w:tcBorders>
            <w:shd w:val="clear" w:color="auto" w:fill="auto"/>
            <w:vAlign w:val="bottom"/>
          </w:tcPr>
          <w:p w14:paraId="16E7454C" w14:textId="5816D92D"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1</w:t>
            </w:r>
            <w:r>
              <w:rPr>
                <w:rFonts w:eastAsia="Times New Roman" w:cs="Arial"/>
                <w:sz w:val="18"/>
                <w:szCs w:val="18"/>
                <w:lang w:val="en-US"/>
              </w:rPr>
              <w:t>,</w:t>
            </w:r>
            <w:r w:rsidRPr="005E30C5">
              <w:rPr>
                <w:rFonts w:eastAsia="Times New Roman" w:cs="Arial"/>
                <w:sz w:val="18"/>
                <w:szCs w:val="18"/>
                <w:lang w:val="en-US"/>
              </w:rPr>
              <w:t>467</w:t>
            </w:r>
            <w:r>
              <w:rPr>
                <w:rFonts w:eastAsia="Times New Roman" w:cs="Arial"/>
                <w:sz w:val="18"/>
                <w:szCs w:val="18"/>
                <w:lang w:val="en-US"/>
              </w:rPr>
              <w:t>,</w:t>
            </w:r>
            <w:r w:rsidRPr="005E30C5">
              <w:rPr>
                <w:rFonts w:eastAsia="Times New Roman" w:cs="Arial"/>
                <w:sz w:val="18"/>
                <w:szCs w:val="18"/>
                <w:lang w:val="en-US"/>
              </w:rPr>
              <w:t>599</w:t>
            </w:r>
          </w:p>
        </w:tc>
        <w:tc>
          <w:tcPr>
            <w:tcW w:w="519" w:type="pct"/>
            <w:tcBorders>
              <w:top w:val="nil"/>
              <w:left w:val="nil"/>
              <w:bottom w:val="nil"/>
              <w:right w:val="nil"/>
            </w:tcBorders>
            <w:shd w:val="clear" w:color="auto" w:fill="auto"/>
            <w:vAlign w:val="bottom"/>
          </w:tcPr>
          <w:p w14:paraId="415A25FD" w14:textId="7F9672E1"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w:t>
            </w:r>
          </w:p>
        </w:tc>
        <w:tc>
          <w:tcPr>
            <w:tcW w:w="519" w:type="pct"/>
            <w:tcBorders>
              <w:top w:val="nil"/>
              <w:left w:val="nil"/>
              <w:bottom w:val="nil"/>
              <w:right w:val="nil"/>
            </w:tcBorders>
            <w:shd w:val="clear" w:color="auto" w:fill="auto"/>
            <w:vAlign w:val="bottom"/>
          </w:tcPr>
          <w:p w14:paraId="3A702949" w14:textId="5F62C7BC"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11</w:t>
            </w:r>
            <w:r>
              <w:rPr>
                <w:rFonts w:eastAsia="Times New Roman" w:cs="Arial"/>
                <w:sz w:val="18"/>
                <w:szCs w:val="18"/>
                <w:lang w:val="en-US"/>
              </w:rPr>
              <w:t>,</w:t>
            </w:r>
            <w:r w:rsidRPr="005E30C5">
              <w:rPr>
                <w:rFonts w:eastAsia="Times New Roman" w:cs="Arial"/>
                <w:sz w:val="18"/>
                <w:szCs w:val="18"/>
                <w:lang w:val="en-US"/>
              </w:rPr>
              <w:t>913</w:t>
            </w:r>
            <w:r>
              <w:rPr>
                <w:rFonts w:eastAsia="Times New Roman" w:cs="Arial"/>
                <w:sz w:val="18"/>
                <w:szCs w:val="18"/>
                <w:lang w:val="en-US"/>
              </w:rPr>
              <w:t>,</w:t>
            </w:r>
            <w:r w:rsidRPr="005E30C5">
              <w:rPr>
                <w:rFonts w:eastAsia="Times New Roman" w:cs="Arial"/>
                <w:sz w:val="18"/>
                <w:szCs w:val="18"/>
                <w:lang w:val="en-US"/>
              </w:rPr>
              <w:t>212</w:t>
            </w:r>
          </w:p>
        </w:tc>
        <w:tc>
          <w:tcPr>
            <w:tcW w:w="518" w:type="pct"/>
            <w:tcBorders>
              <w:top w:val="nil"/>
              <w:left w:val="nil"/>
              <w:bottom w:val="nil"/>
              <w:right w:val="nil"/>
            </w:tcBorders>
            <w:shd w:val="clear" w:color="auto" w:fill="auto"/>
            <w:vAlign w:val="bottom"/>
          </w:tcPr>
          <w:p w14:paraId="7BECAF35" w14:textId="6B956C68"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2</w:t>
            </w:r>
            <w:r>
              <w:rPr>
                <w:rFonts w:eastAsia="Times New Roman" w:cs="Arial"/>
                <w:sz w:val="18"/>
                <w:szCs w:val="18"/>
                <w:lang w:val="en-US"/>
              </w:rPr>
              <w:t>,</w:t>
            </w:r>
            <w:r w:rsidRPr="005E30C5">
              <w:rPr>
                <w:rFonts w:eastAsia="Times New Roman" w:cs="Arial"/>
                <w:sz w:val="18"/>
                <w:szCs w:val="18"/>
                <w:lang w:val="en-US"/>
              </w:rPr>
              <w:t>699</w:t>
            </w:r>
            <w:r>
              <w:rPr>
                <w:rFonts w:eastAsia="Times New Roman" w:cs="Arial"/>
                <w:sz w:val="18"/>
                <w:szCs w:val="18"/>
                <w:lang w:val="en-US"/>
              </w:rPr>
              <w:t>,</w:t>
            </w:r>
            <w:r w:rsidRPr="005E30C5">
              <w:rPr>
                <w:rFonts w:eastAsia="Times New Roman" w:cs="Arial"/>
                <w:sz w:val="18"/>
                <w:szCs w:val="18"/>
                <w:lang w:val="en-US"/>
              </w:rPr>
              <w:t>305</w:t>
            </w:r>
          </w:p>
        </w:tc>
        <w:tc>
          <w:tcPr>
            <w:tcW w:w="519" w:type="pct"/>
            <w:tcBorders>
              <w:top w:val="nil"/>
              <w:left w:val="nil"/>
              <w:bottom w:val="nil"/>
              <w:right w:val="nil"/>
            </w:tcBorders>
            <w:shd w:val="clear" w:color="auto" w:fill="auto"/>
            <w:vAlign w:val="bottom"/>
          </w:tcPr>
          <w:p w14:paraId="420A6E5A" w14:textId="4FFFAF5E"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47</w:t>
            </w:r>
            <w:r>
              <w:rPr>
                <w:rFonts w:eastAsia="Times New Roman" w:cs="Arial"/>
                <w:sz w:val="18"/>
                <w:szCs w:val="18"/>
                <w:lang w:val="en-US"/>
              </w:rPr>
              <w:t>,</w:t>
            </w:r>
            <w:r w:rsidRPr="005E30C5">
              <w:rPr>
                <w:rFonts w:eastAsia="Times New Roman" w:cs="Arial"/>
                <w:sz w:val="18"/>
                <w:szCs w:val="18"/>
                <w:lang w:val="en-US"/>
              </w:rPr>
              <w:t>822</w:t>
            </w:r>
          </w:p>
        </w:tc>
        <w:tc>
          <w:tcPr>
            <w:tcW w:w="519" w:type="pct"/>
            <w:tcBorders>
              <w:top w:val="nil"/>
              <w:left w:val="nil"/>
              <w:bottom w:val="nil"/>
              <w:right w:val="nil"/>
            </w:tcBorders>
            <w:shd w:val="clear" w:color="auto" w:fill="auto"/>
            <w:vAlign w:val="bottom"/>
          </w:tcPr>
          <w:p w14:paraId="25385454" w14:textId="1EF788C2"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w:t>
            </w:r>
          </w:p>
        </w:tc>
        <w:tc>
          <w:tcPr>
            <w:tcW w:w="521" w:type="pct"/>
            <w:tcBorders>
              <w:top w:val="nil"/>
              <w:left w:val="nil"/>
              <w:bottom w:val="nil"/>
              <w:right w:val="nil"/>
            </w:tcBorders>
            <w:shd w:val="clear" w:color="auto" w:fill="auto"/>
            <w:vAlign w:val="bottom"/>
          </w:tcPr>
          <w:p w14:paraId="7D07E7FD" w14:textId="19464BA0"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2</w:t>
            </w:r>
            <w:r>
              <w:rPr>
                <w:rFonts w:eastAsia="Times New Roman" w:cs="Arial"/>
                <w:sz w:val="18"/>
                <w:szCs w:val="18"/>
                <w:lang w:val="en-US"/>
              </w:rPr>
              <w:t>,</w:t>
            </w:r>
            <w:r w:rsidRPr="005E30C5">
              <w:rPr>
                <w:rFonts w:eastAsia="Times New Roman" w:cs="Arial"/>
                <w:sz w:val="18"/>
                <w:szCs w:val="18"/>
                <w:lang w:val="en-US"/>
              </w:rPr>
              <w:t>747</w:t>
            </w:r>
            <w:r>
              <w:rPr>
                <w:rFonts w:eastAsia="Times New Roman" w:cs="Arial"/>
                <w:sz w:val="18"/>
                <w:szCs w:val="18"/>
                <w:lang w:val="en-US"/>
              </w:rPr>
              <w:t>,</w:t>
            </w:r>
            <w:r w:rsidRPr="005E30C5">
              <w:rPr>
                <w:rFonts w:eastAsia="Times New Roman" w:cs="Arial"/>
                <w:sz w:val="18"/>
                <w:szCs w:val="18"/>
                <w:lang w:val="en-US"/>
              </w:rPr>
              <w:t>127</w:t>
            </w:r>
          </w:p>
        </w:tc>
      </w:tr>
      <w:tr w:rsidR="003E20E1" w:rsidRPr="00F53BD7" w14:paraId="60E32C6E" w14:textId="77777777" w:rsidTr="005444AA">
        <w:trPr>
          <w:trHeight w:val="121"/>
        </w:trPr>
        <w:tc>
          <w:tcPr>
            <w:tcW w:w="847" w:type="pct"/>
            <w:vAlign w:val="bottom"/>
          </w:tcPr>
          <w:p w14:paraId="63FD5770" w14:textId="77777777" w:rsidR="003E20E1" w:rsidRPr="00F53BD7" w:rsidRDefault="003E20E1" w:rsidP="003E20E1">
            <w:pPr>
              <w:tabs>
                <w:tab w:val="right" w:pos="1202"/>
              </w:tabs>
              <w:spacing w:after="0" w:line="200" w:lineRule="exact"/>
              <w:outlineLvl w:val="0"/>
              <w:rPr>
                <w:rFonts w:eastAsia="Times New Roman" w:cs="Arial"/>
                <w:sz w:val="17"/>
                <w:szCs w:val="17"/>
              </w:rPr>
            </w:pPr>
            <w:r w:rsidRPr="00F53BD7">
              <w:rPr>
                <w:rFonts w:eastAsia="Times New Roman" w:cs="Arial"/>
                <w:sz w:val="17"/>
                <w:szCs w:val="17"/>
              </w:rPr>
              <w:t>Assets available for sale</w:t>
            </w:r>
          </w:p>
        </w:tc>
        <w:tc>
          <w:tcPr>
            <w:tcW w:w="519" w:type="pct"/>
            <w:tcBorders>
              <w:top w:val="nil"/>
              <w:left w:val="nil"/>
              <w:bottom w:val="nil"/>
              <w:right w:val="nil"/>
            </w:tcBorders>
            <w:shd w:val="clear" w:color="auto" w:fill="auto"/>
            <w:vAlign w:val="bottom"/>
          </w:tcPr>
          <w:p w14:paraId="091047CC" w14:textId="7B1B2ED8"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3</w:t>
            </w:r>
            <w:r>
              <w:rPr>
                <w:rFonts w:eastAsia="Times New Roman" w:cs="Arial"/>
                <w:sz w:val="18"/>
                <w:szCs w:val="18"/>
                <w:lang w:val="en-US"/>
              </w:rPr>
              <w:t>,</w:t>
            </w:r>
            <w:r w:rsidRPr="005E30C5">
              <w:rPr>
                <w:rFonts w:eastAsia="Times New Roman" w:cs="Arial"/>
                <w:sz w:val="18"/>
                <w:szCs w:val="18"/>
                <w:lang w:val="en-US"/>
              </w:rPr>
              <w:t>222</w:t>
            </w:r>
            <w:r>
              <w:rPr>
                <w:rFonts w:eastAsia="Times New Roman" w:cs="Arial"/>
                <w:sz w:val="18"/>
                <w:szCs w:val="18"/>
                <w:lang w:val="en-US"/>
              </w:rPr>
              <w:t>,</w:t>
            </w:r>
            <w:r w:rsidRPr="005E30C5">
              <w:rPr>
                <w:rFonts w:eastAsia="Times New Roman" w:cs="Arial"/>
                <w:sz w:val="18"/>
                <w:szCs w:val="18"/>
                <w:lang w:val="en-US"/>
              </w:rPr>
              <w:t>148</w:t>
            </w:r>
          </w:p>
        </w:tc>
        <w:tc>
          <w:tcPr>
            <w:tcW w:w="519" w:type="pct"/>
            <w:shd w:val="clear" w:color="auto" w:fill="auto"/>
            <w:vAlign w:val="bottom"/>
          </w:tcPr>
          <w:p w14:paraId="509F03FF" w14:textId="5CE1023D"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w:t>
            </w:r>
          </w:p>
        </w:tc>
        <w:tc>
          <w:tcPr>
            <w:tcW w:w="519" w:type="pct"/>
            <w:shd w:val="clear" w:color="auto" w:fill="auto"/>
            <w:vAlign w:val="bottom"/>
          </w:tcPr>
          <w:p w14:paraId="7F6931E3" w14:textId="3F1FBC0C"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w:t>
            </w:r>
          </w:p>
        </w:tc>
        <w:tc>
          <w:tcPr>
            <w:tcW w:w="519" w:type="pct"/>
            <w:tcBorders>
              <w:top w:val="nil"/>
              <w:left w:val="nil"/>
              <w:bottom w:val="nil"/>
              <w:right w:val="nil"/>
            </w:tcBorders>
            <w:shd w:val="clear" w:color="auto" w:fill="auto"/>
            <w:vAlign w:val="bottom"/>
          </w:tcPr>
          <w:p w14:paraId="01ABD305" w14:textId="6E6B69F3"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3</w:t>
            </w:r>
            <w:r>
              <w:rPr>
                <w:rFonts w:eastAsia="Times New Roman" w:cs="Arial"/>
                <w:sz w:val="18"/>
                <w:szCs w:val="18"/>
                <w:lang w:val="en-US"/>
              </w:rPr>
              <w:t>,</w:t>
            </w:r>
            <w:r w:rsidRPr="005E30C5">
              <w:rPr>
                <w:rFonts w:eastAsia="Times New Roman" w:cs="Arial"/>
                <w:sz w:val="18"/>
                <w:szCs w:val="18"/>
                <w:lang w:val="en-US"/>
              </w:rPr>
              <w:t>222</w:t>
            </w:r>
            <w:r>
              <w:rPr>
                <w:rFonts w:eastAsia="Times New Roman" w:cs="Arial"/>
                <w:sz w:val="18"/>
                <w:szCs w:val="18"/>
                <w:lang w:val="en-US"/>
              </w:rPr>
              <w:t>,</w:t>
            </w:r>
            <w:r w:rsidRPr="005E30C5">
              <w:rPr>
                <w:rFonts w:eastAsia="Times New Roman" w:cs="Arial"/>
                <w:sz w:val="18"/>
                <w:szCs w:val="18"/>
                <w:lang w:val="en-US"/>
              </w:rPr>
              <w:t>148</w:t>
            </w:r>
          </w:p>
        </w:tc>
        <w:tc>
          <w:tcPr>
            <w:tcW w:w="518" w:type="pct"/>
            <w:tcBorders>
              <w:top w:val="nil"/>
              <w:left w:val="nil"/>
              <w:bottom w:val="nil"/>
              <w:right w:val="nil"/>
            </w:tcBorders>
            <w:shd w:val="clear" w:color="auto" w:fill="auto"/>
            <w:vAlign w:val="bottom"/>
          </w:tcPr>
          <w:p w14:paraId="37CB1C8A" w14:textId="646ED972"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2</w:t>
            </w:r>
            <w:r>
              <w:rPr>
                <w:rFonts w:eastAsia="Times New Roman" w:cs="Arial"/>
                <w:sz w:val="18"/>
                <w:szCs w:val="18"/>
                <w:lang w:val="en-US"/>
              </w:rPr>
              <w:t>,</w:t>
            </w:r>
            <w:r w:rsidRPr="005E30C5">
              <w:rPr>
                <w:rFonts w:eastAsia="Times New Roman" w:cs="Arial"/>
                <w:sz w:val="18"/>
                <w:szCs w:val="18"/>
                <w:lang w:val="en-US"/>
              </w:rPr>
              <w:t>412</w:t>
            </w:r>
            <w:r>
              <w:rPr>
                <w:rFonts w:eastAsia="Times New Roman" w:cs="Arial"/>
                <w:sz w:val="18"/>
                <w:szCs w:val="18"/>
                <w:lang w:val="en-US"/>
              </w:rPr>
              <w:t>,</w:t>
            </w:r>
            <w:r w:rsidRPr="005E30C5">
              <w:rPr>
                <w:rFonts w:eastAsia="Times New Roman" w:cs="Arial"/>
                <w:sz w:val="18"/>
                <w:szCs w:val="18"/>
                <w:lang w:val="en-US"/>
              </w:rPr>
              <w:t>890</w:t>
            </w:r>
          </w:p>
        </w:tc>
        <w:tc>
          <w:tcPr>
            <w:tcW w:w="519" w:type="pct"/>
            <w:tcBorders>
              <w:top w:val="nil"/>
              <w:left w:val="nil"/>
              <w:bottom w:val="nil"/>
              <w:right w:val="nil"/>
            </w:tcBorders>
            <w:shd w:val="clear" w:color="auto" w:fill="auto"/>
            <w:vAlign w:val="bottom"/>
          </w:tcPr>
          <w:p w14:paraId="0612BD0B" w14:textId="0B98C9BA"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w:t>
            </w:r>
          </w:p>
        </w:tc>
        <w:tc>
          <w:tcPr>
            <w:tcW w:w="519" w:type="pct"/>
            <w:tcBorders>
              <w:top w:val="nil"/>
              <w:left w:val="nil"/>
              <w:bottom w:val="nil"/>
              <w:right w:val="nil"/>
            </w:tcBorders>
            <w:shd w:val="clear" w:color="auto" w:fill="auto"/>
            <w:vAlign w:val="bottom"/>
          </w:tcPr>
          <w:p w14:paraId="17EB107C" w14:textId="7F7F99D7"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w:t>
            </w:r>
          </w:p>
        </w:tc>
        <w:tc>
          <w:tcPr>
            <w:tcW w:w="521" w:type="pct"/>
            <w:tcBorders>
              <w:top w:val="nil"/>
              <w:left w:val="nil"/>
              <w:bottom w:val="nil"/>
              <w:right w:val="nil"/>
            </w:tcBorders>
            <w:shd w:val="clear" w:color="auto" w:fill="auto"/>
            <w:vAlign w:val="bottom"/>
          </w:tcPr>
          <w:p w14:paraId="2FE43572" w14:textId="4E7B6E46"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2</w:t>
            </w:r>
            <w:r>
              <w:rPr>
                <w:rFonts w:eastAsia="Times New Roman" w:cs="Arial"/>
                <w:sz w:val="18"/>
                <w:szCs w:val="18"/>
                <w:lang w:val="en-US"/>
              </w:rPr>
              <w:t>,</w:t>
            </w:r>
            <w:r w:rsidRPr="005E30C5">
              <w:rPr>
                <w:rFonts w:eastAsia="Times New Roman" w:cs="Arial"/>
                <w:sz w:val="18"/>
                <w:szCs w:val="18"/>
                <w:lang w:val="en-US"/>
              </w:rPr>
              <w:t>412</w:t>
            </w:r>
            <w:r>
              <w:rPr>
                <w:rFonts w:eastAsia="Times New Roman" w:cs="Arial"/>
                <w:sz w:val="18"/>
                <w:szCs w:val="18"/>
                <w:lang w:val="en-US"/>
              </w:rPr>
              <w:t>,</w:t>
            </w:r>
            <w:r w:rsidRPr="005E30C5">
              <w:rPr>
                <w:rFonts w:eastAsia="Times New Roman" w:cs="Arial"/>
                <w:sz w:val="18"/>
                <w:szCs w:val="18"/>
                <w:lang w:val="en-US"/>
              </w:rPr>
              <w:t>890</w:t>
            </w:r>
          </w:p>
        </w:tc>
      </w:tr>
      <w:tr w:rsidR="003E20E1" w:rsidRPr="00F53BD7" w14:paraId="0C393608" w14:textId="77777777" w:rsidTr="005444AA">
        <w:trPr>
          <w:trHeight w:val="114"/>
        </w:trPr>
        <w:tc>
          <w:tcPr>
            <w:tcW w:w="847" w:type="pct"/>
            <w:vAlign w:val="bottom"/>
          </w:tcPr>
          <w:p w14:paraId="062C65E2" w14:textId="77777777" w:rsidR="003E20E1" w:rsidRPr="00F53BD7" w:rsidRDefault="003E20E1" w:rsidP="003E20E1">
            <w:pPr>
              <w:tabs>
                <w:tab w:val="right" w:pos="1202"/>
              </w:tabs>
              <w:spacing w:after="0" w:line="200" w:lineRule="exact"/>
              <w:outlineLvl w:val="0"/>
              <w:rPr>
                <w:rFonts w:eastAsia="Times New Roman" w:cs="Arial"/>
                <w:sz w:val="17"/>
                <w:szCs w:val="17"/>
              </w:rPr>
            </w:pPr>
            <w:r w:rsidRPr="00F53BD7">
              <w:rPr>
                <w:rFonts w:eastAsia="Times New Roman" w:cs="Arial"/>
                <w:sz w:val="17"/>
                <w:szCs w:val="17"/>
              </w:rPr>
              <w:t xml:space="preserve">Other assets </w:t>
            </w:r>
          </w:p>
        </w:tc>
        <w:tc>
          <w:tcPr>
            <w:tcW w:w="519" w:type="pct"/>
            <w:tcBorders>
              <w:bottom w:val="single" w:sz="6" w:space="0" w:color="auto"/>
            </w:tcBorders>
            <w:shd w:val="clear" w:color="auto" w:fill="auto"/>
            <w:vAlign w:val="bottom"/>
          </w:tcPr>
          <w:p w14:paraId="704D547C" w14:textId="549E8F94"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3</w:t>
            </w:r>
            <w:r>
              <w:rPr>
                <w:rFonts w:eastAsia="Times New Roman" w:cs="Arial"/>
                <w:sz w:val="18"/>
                <w:szCs w:val="18"/>
                <w:lang w:val="en-US"/>
              </w:rPr>
              <w:t>,</w:t>
            </w:r>
            <w:r w:rsidRPr="005E30C5">
              <w:rPr>
                <w:rFonts w:eastAsia="Times New Roman" w:cs="Arial"/>
                <w:sz w:val="18"/>
                <w:szCs w:val="18"/>
                <w:lang w:val="en-US"/>
              </w:rPr>
              <w:t>310</w:t>
            </w:r>
          </w:p>
        </w:tc>
        <w:tc>
          <w:tcPr>
            <w:tcW w:w="519" w:type="pct"/>
            <w:tcBorders>
              <w:bottom w:val="single" w:sz="6" w:space="0" w:color="auto"/>
            </w:tcBorders>
            <w:shd w:val="clear" w:color="auto" w:fill="auto"/>
            <w:vAlign w:val="bottom"/>
          </w:tcPr>
          <w:p w14:paraId="61AEFA87" w14:textId="6F21CA0E"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1</w:t>
            </w:r>
            <w:r>
              <w:rPr>
                <w:rFonts w:eastAsia="Times New Roman" w:cs="Arial"/>
                <w:sz w:val="18"/>
                <w:szCs w:val="18"/>
                <w:lang w:val="en-US"/>
              </w:rPr>
              <w:t>,</w:t>
            </w:r>
            <w:r w:rsidRPr="005E30C5">
              <w:rPr>
                <w:rFonts w:eastAsia="Times New Roman" w:cs="Arial"/>
                <w:sz w:val="18"/>
                <w:szCs w:val="18"/>
                <w:lang w:val="en-US"/>
              </w:rPr>
              <w:t>365</w:t>
            </w:r>
          </w:p>
        </w:tc>
        <w:tc>
          <w:tcPr>
            <w:tcW w:w="519" w:type="pct"/>
            <w:tcBorders>
              <w:bottom w:val="single" w:sz="6" w:space="0" w:color="auto"/>
            </w:tcBorders>
            <w:shd w:val="clear" w:color="auto" w:fill="auto"/>
            <w:vAlign w:val="bottom"/>
          </w:tcPr>
          <w:p w14:paraId="10CDF306" w14:textId="7E516050"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w:t>
            </w:r>
          </w:p>
        </w:tc>
        <w:tc>
          <w:tcPr>
            <w:tcW w:w="519" w:type="pct"/>
            <w:tcBorders>
              <w:top w:val="nil"/>
              <w:left w:val="nil"/>
              <w:bottom w:val="single" w:sz="8" w:space="0" w:color="auto"/>
              <w:right w:val="nil"/>
            </w:tcBorders>
            <w:shd w:val="clear" w:color="auto" w:fill="auto"/>
            <w:vAlign w:val="bottom"/>
          </w:tcPr>
          <w:p w14:paraId="47F0E8D3" w14:textId="570CF4CF"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4</w:t>
            </w:r>
            <w:r>
              <w:rPr>
                <w:rFonts w:eastAsia="Times New Roman" w:cs="Arial"/>
                <w:sz w:val="18"/>
                <w:szCs w:val="18"/>
                <w:lang w:val="en-US"/>
              </w:rPr>
              <w:t>,</w:t>
            </w:r>
            <w:r w:rsidRPr="005E30C5">
              <w:rPr>
                <w:rFonts w:eastAsia="Times New Roman" w:cs="Arial"/>
                <w:sz w:val="18"/>
                <w:szCs w:val="18"/>
                <w:lang w:val="en-US"/>
              </w:rPr>
              <w:t>675</w:t>
            </w:r>
          </w:p>
        </w:tc>
        <w:tc>
          <w:tcPr>
            <w:tcW w:w="518" w:type="pct"/>
            <w:tcBorders>
              <w:top w:val="nil"/>
              <w:left w:val="nil"/>
              <w:bottom w:val="single" w:sz="8" w:space="0" w:color="auto"/>
              <w:right w:val="nil"/>
            </w:tcBorders>
            <w:shd w:val="clear" w:color="auto" w:fill="auto"/>
            <w:vAlign w:val="bottom"/>
          </w:tcPr>
          <w:p w14:paraId="0020B09C" w14:textId="753F1524"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2</w:t>
            </w:r>
            <w:r>
              <w:rPr>
                <w:rFonts w:eastAsia="Times New Roman" w:cs="Arial"/>
                <w:sz w:val="18"/>
                <w:szCs w:val="18"/>
                <w:lang w:val="en-US"/>
              </w:rPr>
              <w:t>,</w:t>
            </w:r>
            <w:r w:rsidRPr="005E30C5">
              <w:rPr>
                <w:rFonts w:eastAsia="Times New Roman" w:cs="Arial"/>
                <w:sz w:val="18"/>
                <w:szCs w:val="18"/>
                <w:lang w:val="en-US"/>
              </w:rPr>
              <w:t>984</w:t>
            </w:r>
          </w:p>
        </w:tc>
        <w:tc>
          <w:tcPr>
            <w:tcW w:w="519" w:type="pct"/>
            <w:tcBorders>
              <w:top w:val="nil"/>
              <w:left w:val="nil"/>
              <w:bottom w:val="single" w:sz="8" w:space="0" w:color="auto"/>
              <w:right w:val="nil"/>
            </w:tcBorders>
            <w:shd w:val="clear" w:color="auto" w:fill="auto"/>
            <w:vAlign w:val="bottom"/>
          </w:tcPr>
          <w:p w14:paraId="01240EDE" w14:textId="5F67C924"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1</w:t>
            </w:r>
            <w:r>
              <w:rPr>
                <w:rFonts w:eastAsia="Times New Roman" w:cs="Arial"/>
                <w:sz w:val="18"/>
                <w:szCs w:val="18"/>
                <w:lang w:val="en-US"/>
              </w:rPr>
              <w:t>,</w:t>
            </w:r>
            <w:r w:rsidRPr="005E30C5">
              <w:rPr>
                <w:rFonts w:eastAsia="Times New Roman" w:cs="Arial"/>
                <w:sz w:val="18"/>
                <w:szCs w:val="18"/>
                <w:lang w:val="en-US"/>
              </w:rPr>
              <w:t>365</w:t>
            </w:r>
          </w:p>
        </w:tc>
        <w:tc>
          <w:tcPr>
            <w:tcW w:w="519" w:type="pct"/>
            <w:tcBorders>
              <w:top w:val="nil"/>
              <w:left w:val="nil"/>
              <w:bottom w:val="single" w:sz="8" w:space="0" w:color="auto"/>
              <w:right w:val="nil"/>
            </w:tcBorders>
            <w:shd w:val="clear" w:color="auto" w:fill="auto"/>
            <w:vAlign w:val="bottom"/>
          </w:tcPr>
          <w:p w14:paraId="5F5B04FC" w14:textId="2B9C5C7F"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w:t>
            </w:r>
          </w:p>
        </w:tc>
        <w:tc>
          <w:tcPr>
            <w:tcW w:w="521" w:type="pct"/>
            <w:tcBorders>
              <w:top w:val="nil"/>
              <w:left w:val="nil"/>
              <w:bottom w:val="single" w:sz="8" w:space="0" w:color="auto"/>
              <w:right w:val="nil"/>
            </w:tcBorders>
            <w:shd w:val="clear" w:color="auto" w:fill="auto"/>
            <w:vAlign w:val="bottom"/>
          </w:tcPr>
          <w:p w14:paraId="41DB1173" w14:textId="7DC1E9B2" w:rsidR="003E20E1" w:rsidRPr="005444AA" w:rsidRDefault="003E20E1" w:rsidP="003E20E1">
            <w:pPr>
              <w:tabs>
                <w:tab w:val="right" w:pos="1202"/>
              </w:tabs>
              <w:spacing w:after="0" w:line="220" w:lineRule="exact"/>
              <w:jc w:val="right"/>
              <w:outlineLvl w:val="0"/>
              <w:rPr>
                <w:rFonts w:eastAsia="Times New Roman" w:cs="Arial"/>
                <w:sz w:val="18"/>
                <w:szCs w:val="18"/>
                <w:lang w:val="en-US"/>
              </w:rPr>
            </w:pPr>
            <w:r w:rsidRPr="005E30C5">
              <w:rPr>
                <w:rFonts w:eastAsia="Times New Roman" w:cs="Arial"/>
                <w:sz w:val="18"/>
                <w:szCs w:val="18"/>
                <w:lang w:val="en-US"/>
              </w:rPr>
              <w:t>4</w:t>
            </w:r>
            <w:r>
              <w:rPr>
                <w:rFonts w:eastAsia="Times New Roman" w:cs="Arial"/>
                <w:sz w:val="18"/>
                <w:szCs w:val="18"/>
                <w:lang w:val="en-US"/>
              </w:rPr>
              <w:t>,</w:t>
            </w:r>
            <w:r w:rsidRPr="005E30C5">
              <w:rPr>
                <w:rFonts w:eastAsia="Times New Roman" w:cs="Arial"/>
                <w:sz w:val="18"/>
                <w:szCs w:val="18"/>
                <w:lang w:val="en-US"/>
              </w:rPr>
              <w:t>349</w:t>
            </w:r>
          </w:p>
        </w:tc>
      </w:tr>
      <w:tr w:rsidR="003E20E1" w:rsidRPr="00F53BD7" w14:paraId="48DF7184" w14:textId="77777777" w:rsidTr="005444AA">
        <w:trPr>
          <w:trHeight w:val="93"/>
        </w:trPr>
        <w:tc>
          <w:tcPr>
            <w:tcW w:w="847" w:type="pct"/>
            <w:vAlign w:val="bottom"/>
          </w:tcPr>
          <w:p w14:paraId="09DA8ECD" w14:textId="77777777" w:rsidR="003E20E1" w:rsidRPr="00F53BD7" w:rsidRDefault="003E20E1" w:rsidP="003E20E1">
            <w:pPr>
              <w:tabs>
                <w:tab w:val="right" w:pos="1202"/>
              </w:tabs>
              <w:spacing w:after="0" w:line="200" w:lineRule="exact"/>
              <w:outlineLvl w:val="0"/>
              <w:rPr>
                <w:rFonts w:eastAsia="Times New Roman" w:cs="Arial"/>
                <w:b/>
                <w:bCs/>
                <w:sz w:val="17"/>
                <w:szCs w:val="17"/>
              </w:rPr>
            </w:pPr>
            <w:r w:rsidRPr="00F53BD7">
              <w:rPr>
                <w:rFonts w:eastAsia="Times New Roman" w:cs="Arial"/>
                <w:b/>
                <w:bCs/>
                <w:sz w:val="17"/>
                <w:szCs w:val="17"/>
              </w:rPr>
              <w:t xml:space="preserve">Total </w:t>
            </w:r>
          </w:p>
        </w:tc>
        <w:tc>
          <w:tcPr>
            <w:tcW w:w="519" w:type="pct"/>
            <w:tcBorders>
              <w:top w:val="single" w:sz="6" w:space="0" w:color="auto"/>
              <w:bottom w:val="single" w:sz="12" w:space="0" w:color="auto"/>
            </w:tcBorders>
            <w:shd w:val="clear" w:color="auto" w:fill="auto"/>
            <w:vAlign w:val="bottom"/>
          </w:tcPr>
          <w:p w14:paraId="20A5034D" w14:textId="00A5811D" w:rsidR="003E20E1" w:rsidRPr="00166751" w:rsidRDefault="003E20E1" w:rsidP="003E20E1">
            <w:pPr>
              <w:tabs>
                <w:tab w:val="right" w:pos="1202"/>
              </w:tabs>
              <w:spacing w:after="0" w:line="340" w:lineRule="exact"/>
              <w:jc w:val="right"/>
              <w:outlineLvl w:val="0"/>
              <w:rPr>
                <w:rFonts w:eastAsia="Times New Roman" w:cs="Arial"/>
                <w:b/>
                <w:bCs/>
                <w:sz w:val="18"/>
                <w:szCs w:val="18"/>
              </w:rPr>
            </w:pPr>
            <w:r w:rsidRPr="005E30C5">
              <w:rPr>
                <w:rFonts w:eastAsia="Times New Roman" w:cs="Arial"/>
                <w:b/>
                <w:sz w:val="18"/>
                <w:szCs w:val="18"/>
                <w:lang w:val="en-US"/>
              </w:rPr>
              <w:t>26</w:t>
            </w:r>
            <w:r>
              <w:rPr>
                <w:rFonts w:eastAsia="Times New Roman" w:cs="Arial"/>
                <w:b/>
                <w:sz w:val="18"/>
                <w:szCs w:val="18"/>
                <w:lang w:val="en-US"/>
              </w:rPr>
              <w:t>,</w:t>
            </w:r>
            <w:r w:rsidRPr="005E30C5">
              <w:rPr>
                <w:rFonts w:eastAsia="Times New Roman" w:cs="Arial"/>
                <w:b/>
                <w:sz w:val="18"/>
                <w:szCs w:val="18"/>
                <w:lang w:val="en-US"/>
              </w:rPr>
              <w:t>428</w:t>
            </w:r>
            <w:r>
              <w:rPr>
                <w:rFonts w:eastAsia="Times New Roman" w:cs="Arial"/>
                <w:b/>
                <w:sz w:val="18"/>
                <w:szCs w:val="18"/>
                <w:lang w:val="en-US"/>
              </w:rPr>
              <w:t>,</w:t>
            </w:r>
            <w:r w:rsidRPr="005E30C5">
              <w:rPr>
                <w:rFonts w:eastAsia="Times New Roman" w:cs="Arial"/>
                <w:b/>
                <w:sz w:val="18"/>
                <w:szCs w:val="18"/>
                <w:lang w:val="en-US"/>
              </w:rPr>
              <w:t>601</w:t>
            </w:r>
          </w:p>
        </w:tc>
        <w:tc>
          <w:tcPr>
            <w:tcW w:w="519" w:type="pct"/>
            <w:tcBorders>
              <w:top w:val="single" w:sz="6" w:space="0" w:color="auto"/>
              <w:bottom w:val="single" w:sz="12" w:space="0" w:color="auto"/>
            </w:tcBorders>
            <w:shd w:val="clear" w:color="auto" w:fill="auto"/>
            <w:vAlign w:val="bottom"/>
          </w:tcPr>
          <w:p w14:paraId="757C569E" w14:textId="50D26938" w:rsidR="003E20E1" w:rsidRPr="00166751" w:rsidRDefault="003E20E1" w:rsidP="003E20E1">
            <w:pPr>
              <w:tabs>
                <w:tab w:val="right" w:pos="1202"/>
              </w:tabs>
              <w:spacing w:after="0" w:line="340" w:lineRule="exact"/>
              <w:jc w:val="right"/>
              <w:outlineLvl w:val="0"/>
              <w:rPr>
                <w:rFonts w:eastAsia="Times New Roman" w:cs="Arial"/>
                <w:b/>
                <w:bCs/>
                <w:sz w:val="18"/>
                <w:szCs w:val="18"/>
              </w:rPr>
            </w:pPr>
            <w:r w:rsidRPr="005E30C5">
              <w:rPr>
                <w:rFonts w:eastAsia="Times New Roman" w:cs="Arial"/>
                <w:b/>
                <w:sz w:val="18"/>
                <w:szCs w:val="18"/>
                <w:lang w:val="en-US"/>
              </w:rPr>
              <w:t>1</w:t>
            </w:r>
            <w:r>
              <w:rPr>
                <w:rFonts w:eastAsia="Times New Roman" w:cs="Arial"/>
                <w:b/>
                <w:sz w:val="18"/>
                <w:szCs w:val="18"/>
                <w:lang w:val="en-US"/>
              </w:rPr>
              <w:t>,</w:t>
            </w:r>
            <w:r w:rsidRPr="005E30C5">
              <w:rPr>
                <w:rFonts w:eastAsia="Times New Roman" w:cs="Arial"/>
                <w:b/>
                <w:sz w:val="18"/>
                <w:szCs w:val="18"/>
                <w:lang w:val="en-US"/>
              </w:rPr>
              <w:t>696</w:t>
            </w:r>
            <w:r>
              <w:rPr>
                <w:rFonts w:eastAsia="Times New Roman" w:cs="Arial"/>
                <w:b/>
                <w:sz w:val="18"/>
                <w:szCs w:val="18"/>
                <w:lang w:val="en-US"/>
              </w:rPr>
              <w:t>,</w:t>
            </w:r>
            <w:r w:rsidRPr="005E30C5">
              <w:rPr>
                <w:rFonts w:eastAsia="Times New Roman" w:cs="Arial"/>
                <w:b/>
                <w:sz w:val="18"/>
                <w:szCs w:val="18"/>
                <w:lang w:val="en-US"/>
              </w:rPr>
              <w:t>418</w:t>
            </w:r>
          </w:p>
        </w:tc>
        <w:tc>
          <w:tcPr>
            <w:tcW w:w="519" w:type="pct"/>
            <w:tcBorders>
              <w:top w:val="single" w:sz="6" w:space="0" w:color="auto"/>
              <w:bottom w:val="single" w:sz="12" w:space="0" w:color="auto"/>
            </w:tcBorders>
            <w:shd w:val="clear" w:color="auto" w:fill="auto"/>
            <w:vAlign w:val="bottom"/>
          </w:tcPr>
          <w:p w14:paraId="3E13EDB3" w14:textId="331B5EC3" w:rsidR="003E20E1" w:rsidRPr="00166751" w:rsidRDefault="003E20E1" w:rsidP="003E20E1">
            <w:pPr>
              <w:tabs>
                <w:tab w:val="right" w:pos="1202"/>
              </w:tabs>
              <w:spacing w:after="0" w:line="340" w:lineRule="exact"/>
              <w:jc w:val="right"/>
              <w:outlineLvl w:val="0"/>
              <w:rPr>
                <w:rFonts w:eastAsia="Times New Roman" w:cs="Arial"/>
                <w:b/>
                <w:bCs/>
                <w:sz w:val="18"/>
                <w:szCs w:val="18"/>
              </w:rPr>
            </w:pPr>
            <w:r w:rsidRPr="005E30C5">
              <w:rPr>
                <w:rFonts w:eastAsia="Times New Roman" w:cs="Arial"/>
                <w:b/>
                <w:sz w:val="18"/>
                <w:szCs w:val="18"/>
                <w:lang w:val="en-US"/>
              </w:rPr>
              <w:t>-</w:t>
            </w:r>
          </w:p>
        </w:tc>
        <w:tc>
          <w:tcPr>
            <w:tcW w:w="519" w:type="pct"/>
            <w:tcBorders>
              <w:top w:val="nil"/>
              <w:left w:val="nil"/>
              <w:bottom w:val="single" w:sz="12" w:space="0" w:color="auto"/>
              <w:right w:val="nil"/>
            </w:tcBorders>
            <w:shd w:val="clear" w:color="auto" w:fill="auto"/>
            <w:vAlign w:val="bottom"/>
          </w:tcPr>
          <w:p w14:paraId="1D92C113" w14:textId="73EDE009" w:rsidR="003E20E1" w:rsidRPr="00166751" w:rsidRDefault="003E20E1" w:rsidP="003E20E1">
            <w:pPr>
              <w:tabs>
                <w:tab w:val="right" w:pos="1202"/>
              </w:tabs>
              <w:spacing w:after="0" w:line="340" w:lineRule="exact"/>
              <w:jc w:val="right"/>
              <w:outlineLvl w:val="0"/>
              <w:rPr>
                <w:rFonts w:eastAsia="Times New Roman" w:cs="Arial"/>
                <w:b/>
                <w:bCs/>
                <w:sz w:val="18"/>
                <w:szCs w:val="18"/>
              </w:rPr>
            </w:pPr>
            <w:r w:rsidRPr="005E30C5">
              <w:rPr>
                <w:rFonts w:eastAsia="Times New Roman" w:cs="Arial"/>
                <w:b/>
                <w:sz w:val="18"/>
                <w:szCs w:val="18"/>
                <w:lang w:val="en-US"/>
              </w:rPr>
              <w:t>28</w:t>
            </w:r>
            <w:r>
              <w:rPr>
                <w:rFonts w:eastAsia="Times New Roman" w:cs="Arial"/>
                <w:b/>
                <w:sz w:val="18"/>
                <w:szCs w:val="18"/>
                <w:lang w:val="en-US"/>
              </w:rPr>
              <w:t>,</w:t>
            </w:r>
            <w:r w:rsidRPr="005E30C5">
              <w:rPr>
                <w:rFonts w:eastAsia="Times New Roman" w:cs="Arial"/>
                <w:b/>
                <w:sz w:val="18"/>
                <w:szCs w:val="18"/>
                <w:lang w:val="en-US"/>
              </w:rPr>
              <w:t>125</w:t>
            </w:r>
            <w:r>
              <w:rPr>
                <w:rFonts w:eastAsia="Times New Roman" w:cs="Arial"/>
                <w:b/>
                <w:sz w:val="18"/>
                <w:szCs w:val="18"/>
                <w:lang w:val="en-US"/>
              </w:rPr>
              <w:t>,</w:t>
            </w:r>
            <w:r w:rsidRPr="005E30C5">
              <w:rPr>
                <w:rFonts w:eastAsia="Times New Roman" w:cs="Arial"/>
                <w:b/>
                <w:sz w:val="18"/>
                <w:szCs w:val="18"/>
                <w:lang w:val="en-US"/>
              </w:rPr>
              <w:t>019</w:t>
            </w:r>
          </w:p>
        </w:tc>
        <w:tc>
          <w:tcPr>
            <w:tcW w:w="518" w:type="pct"/>
            <w:tcBorders>
              <w:top w:val="nil"/>
              <w:left w:val="nil"/>
              <w:bottom w:val="single" w:sz="12" w:space="0" w:color="auto"/>
              <w:right w:val="nil"/>
            </w:tcBorders>
            <w:shd w:val="clear" w:color="auto" w:fill="auto"/>
            <w:vAlign w:val="bottom"/>
          </w:tcPr>
          <w:p w14:paraId="2205AF99" w14:textId="50ADF6F3" w:rsidR="003E20E1" w:rsidRPr="005444AA" w:rsidRDefault="003E20E1" w:rsidP="003E20E1">
            <w:pPr>
              <w:tabs>
                <w:tab w:val="right" w:pos="1202"/>
              </w:tabs>
              <w:spacing w:after="0" w:line="340" w:lineRule="exact"/>
              <w:jc w:val="right"/>
              <w:outlineLvl w:val="0"/>
              <w:rPr>
                <w:rFonts w:eastAsia="Times New Roman" w:cs="Arial"/>
                <w:b/>
                <w:sz w:val="18"/>
                <w:szCs w:val="18"/>
                <w:lang w:val="en-US"/>
              </w:rPr>
            </w:pPr>
            <w:r w:rsidRPr="005E30C5">
              <w:rPr>
                <w:rFonts w:eastAsia="Times New Roman" w:cs="Arial"/>
                <w:b/>
                <w:sz w:val="18"/>
                <w:szCs w:val="18"/>
                <w:lang w:val="en-US"/>
              </w:rPr>
              <w:t>5</w:t>
            </w:r>
            <w:r>
              <w:rPr>
                <w:rFonts w:eastAsia="Times New Roman" w:cs="Arial"/>
                <w:b/>
                <w:sz w:val="18"/>
                <w:szCs w:val="18"/>
                <w:lang w:val="en-US"/>
              </w:rPr>
              <w:t>,</w:t>
            </w:r>
            <w:r w:rsidRPr="005E30C5">
              <w:rPr>
                <w:rFonts w:eastAsia="Times New Roman" w:cs="Arial"/>
                <w:b/>
                <w:sz w:val="18"/>
                <w:szCs w:val="18"/>
                <w:lang w:val="en-US"/>
              </w:rPr>
              <w:t>115</w:t>
            </w:r>
            <w:r>
              <w:rPr>
                <w:rFonts w:eastAsia="Times New Roman" w:cs="Arial"/>
                <w:b/>
                <w:sz w:val="18"/>
                <w:szCs w:val="18"/>
                <w:lang w:val="en-US"/>
              </w:rPr>
              <w:t>,</w:t>
            </w:r>
            <w:r w:rsidRPr="005E30C5">
              <w:rPr>
                <w:rFonts w:eastAsia="Times New Roman" w:cs="Arial"/>
                <w:b/>
                <w:sz w:val="18"/>
                <w:szCs w:val="18"/>
                <w:lang w:val="en-US"/>
              </w:rPr>
              <w:t>179</w:t>
            </w:r>
          </w:p>
        </w:tc>
        <w:tc>
          <w:tcPr>
            <w:tcW w:w="519" w:type="pct"/>
            <w:tcBorders>
              <w:top w:val="nil"/>
              <w:left w:val="nil"/>
              <w:bottom w:val="single" w:sz="12" w:space="0" w:color="auto"/>
              <w:right w:val="nil"/>
            </w:tcBorders>
            <w:shd w:val="clear" w:color="auto" w:fill="auto"/>
            <w:vAlign w:val="bottom"/>
          </w:tcPr>
          <w:p w14:paraId="4F2E552D" w14:textId="0B78E72B" w:rsidR="003E20E1" w:rsidRPr="005444AA" w:rsidRDefault="003E20E1" w:rsidP="003E20E1">
            <w:pPr>
              <w:tabs>
                <w:tab w:val="right" w:pos="1202"/>
              </w:tabs>
              <w:spacing w:after="0" w:line="340" w:lineRule="exact"/>
              <w:jc w:val="right"/>
              <w:outlineLvl w:val="0"/>
              <w:rPr>
                <w:rFonts w:eastAsia="Times New Roman" w:cs="Arial"/>
                <w:b/>
                <w:sz w:val="18"/>
                <w:szCs w:val="18"/>
                <w:lang w:val="en-US"/>
              </w:rPr>
            </w:pPr>
            <w:r w:rsidRPr="005E30C5">
              <w:rPr>
                <w:rFonts w:eastAsia="Times New Roman" w:cs="Arial"/>
                <w:b/>
                <w:sz w:val="18"/>
                <w:szCs w:val="18"/>
                <w:lang w:val="en-US"/>
              </w:rPr>
              <w:t>49</w:t>
            </w:r>
            <w:r>
              <w:rPr>
                <w:rFonts w:eastAsia="Times New Roman" w:cs="Arial"/>
                <w:b/>
                <w:sz w:val="18"/>
                <w:szCs w:val="18"/>
                <w:lang w:val="en-US"/>
              </w:rPr>
              <w:t>,</w:t>
            </w:r>
            <w:r w:rsidRPr="005E30C5">
              <w:rPr>
                <w:rFonts w:eastAsia="Times New Roman" w:cs="Arial"/>
                <w:b/>
                <w:sz w:val="18"/>
                <w:szCs w:val="18"/>
                <w:lang w:val="en-US"/>
              </w:rPr>
              <w:t>187</w:t>
            </w:r>
          </w:p>
        </w:tc>
        <w:tc>
          <w:tcPr>
            <w:tcW w:w="519" w:type="pct"/>
            <w:tcBorders>
              <w:top w:val="nil"/>
              <w:left w:val="nil"/>
              <w:bottom w:val="single" w:sz="12" w:space="0" w:color="auto"/>
              <w:right w:val="nil"/>
            </w:tcBorders>
            <w:shd w:val="clear" w:color="auto" w:fill="auto"/>
            <w:vAlign w:val="bottom"/>
          </w:tcPr>
          <w:p w14:paraId="3F867BF6" w14:textId="384903BC" w:rsidR="003E20E1" w:rsidRPr="005444AA" w:rsidRDefault="003E20E1" w:rsidP="003E20E1">
            <w:pPr>
              <w:tabs>
                <w:tab w:val="right" w:pos="1202"/>
              </w:tabs>
              <w:spacing w:after="0" w:line="340" w:lineRule="exact"/>
              <w:jc w:val="right"/>
              <w:outlineLvl w:val="0"/>
              <w:rPr>
                <w:rFonts w:eastAsia="Times New Roman" w:cs="Arial"/>
                <w:b/>
                <w:sz w:val="18"/>
                <w:szCs w:val="18"/>
                <w:lang w:val="en-US"/>
              </w:rPr>
            </w:pPr>
            <w:r w:rsidRPr="005E30C5">
              <w:rPr>
                <w:rFonts w:eastAsia="Times New Roman" w:cs="Arial"/>
                <w:b/>
                <w:sz w:val="18"/>
                <w:szCs w:val="18"/>
                <w:lang w:val="en-US"/>
              </w:rPr>
              <w:t>-</w:t>
            </w:r>
          </w:p>
        </w:tc>
        <w:tc>
          <w:tcPr>
            <w:tcW w:w="521" w:type="pct"/>
            <w:tcBorders>
              <w:top w:val="nil"/>
              <w:left w:val="nil"/>
              <w:bottom w:val="single" w:sz="12" w:space="0" w:color="auto"/>
              <w:right w:val="nil"/>
            </w:tcBorders>
            <w:shd w:val="clear" w:color="auto" w:fill="auto"/>
            <w:vAlign w:val="bottom"/>
          </w:tcPr>
          <w:p w14:paraId="254E5354" w14:textId="64211617" w:rsidR="003E20E1" w:rsidRPr="005444AA" w:rsidRDefault="003E20E1" w:rsidP="003E20E1">
            <w:pPr>
              <w:tabs>
                <w:tab w:val="right" w:pos="1202"/>
              </w:tabs>
              <w:spacing w:after="0" w:line="340" w:lineRule="exact"/>
              <w:jc w:val="right"/>
              <w:outlineLvl w:val="0"/>
              <w:rPr>
                <w:rFonts w:eastAsia="Times New Roman" w:cs="Arial"/>
                <w:b/>
                <w:sz w:val="18"/>
                <w:szCs w:val="18"/>
                <w:lang w:val="en-US"/>
              </w:rPr>
            </w:pPr>
            <w:r w:rsidRPr="005E30C5">
              <w:rPr>
                <w:rFonts w:eastAsia="Times New Roman" w:cs="Arial"/>
                <w:b/>
                <w:sz w:val="18"/>
                <w:szCs w:val="18"/>
                <w:lang w:val="en-US"/>
              </w:rPr>
              <w:t>5</w:t>
            </w:r>
            <w:r>
              <w:rPr>
                <w:rFonts w:eastAsia="Times New Roman" w:cs="Arial"/>
                <w:b/>
                <w:sz w:val="18"/>
                <w:szCs w:val="18"/>
                <w:lang w:val="en-US"/>
              </w:rPr>
              <w:t>,</w:t>
            </w:r>
            <w:r w:rsidRPr="005E30C5">
              <w:rPr>
                <w:rFonts w:eastAsia="Times New Roman" w:cs="Arial"/>
                <w:b/>
                <w:sz w:val="18"/>
                <w:szCs w:val="18"/>
                <w:lang w:val="en-US"/>
              </w:rPr>
              <w:t>164</w:t>
            </w:r>
            <w:r>
              <w:rPr>
                <w:rFonts w:eastAsia="Times New Roman" w:cs="Arial"/>
                <w:b/>
                <w:sz w:val="18"/>
                <w:szCs w:val="18"/>
                <w:lang w:val="en-US"/>
              </w:rPr>
              <w:t>,</w:t>
            </w:r>
            <w:r w:rsidRPr="005E30C5">
              <w:rPr>
                <w:rFonts w:eastAsia="Times New Roman" w:cs="Arial"/>
                <w:b/>
                <w:sz w:val="18"/>
                <w:szCs w:val="18"/>
                <w:lang w:val="en-US"/>
              </w:rPr>
              <w:t>366</w:t>
            </w:r>
          </w:p>
        </w:tc>
      </w:tr>
      <w:tr w:rsidR="00011FEA" w:rsidRPr="00F53BD7" w14:paraId="248DB1E0" w14:textId="77777777" w:rsidTr="009702B0">
        <w:trPr>
          <w:trHeight w:val="224"/>
        </w:trPr>
        <w:tc>
          <w:tcPr>
            <w:tcW w:w="847" w:type="pct"/>
            <w:vAlign w:val="bottom"/>
          </w:tcPr>
          <w:p w14:paraId="3F12B10A" w14:textId="77777777" w:rsidR="00011FEA" w:rsidRPr="00F53BD7" w:rsidRDefault="00011FEA" w:rsidP="00011FEA">
            <w:pPr>
              <w:tabs>
                <w:tab w:val="right" w:pos="1202"/>
              </w:tabs>
              <w:spacing w:after="0" w:line="200" w:lineRule="exact"/>
              <w:outlineLvl w:val="0"/>
              <w:rPr>
                <w:rFonts w:eastAsia="Times New Roman" w:cs="Arial"/>
                <w:b/>
                <w:bCs/>
                <w:sz w:val="17"/>
                <w:szCs w:val="17"/>
              </w:rPr>
            </w:pPr>
            <w:r w:rsidRPr="00F53BD7">
              <w:rPr>
                <w:rFonts w:eastAsia="Times New Roman" w:cs="Arial"/>
                <w:b/>
                <w:bCs/>
                <w:sz w:val="17"/>
                <w:szCs w:val="17"/>
              </w:rPr>
              <w:t xml:space="preserve">Guarantees  and  commitments </w:t>
            </w:r>
          </w:p>
        </w:tc>
        <w:tc>
          <w:tcPr>
            <w:tcW w:w="519" w:type="pct"/>
            <w:tcBorders>
              <w:top w:val="single" w:sz="12" w:space="0" w:color="auto"/>
            </w:tcBorders>
            <w:shd w:val="clear" w:color="auto" w:fill="auto"/>
            <w:vAlign w:val="bottom"/>
          </w:tcPr>
          <w:p w14:paraId="4B1EAF8A" w14:textId="77777777" w:rsidR="00011FEA" w:rsidRPr="00166751" w:rsidRDefault="00011FEA" w:rsidP="00011FEA">
            <w:pPr>
              <w:tabs>
                <w:tab w:val="right" w:pos="1202"/>
              </w:tabs>
              <w:spacing w:after="0" w:line="220" w:lineRule="exact"/>
              <w:jc w:val="right"/>
              <w:outlineLvl w:val="0"/>
              <w:rPr>
                <w:rFonts w:cs="Arial"/>
                <w:b/>
                <w:bCs/>
                <w:sz w:val="18"/>
                <w:szCs w:val="18"/>
              </w:rPr>
            </w:pPr>
          </w:p>
        </w:tc>
        <w:tc>
          <w:tcPr>
            <w:tcW w:w="519" w:type="pct"/>
            <w:tcBorders>
              <w:top w:val="single" w:sz="12" w:space="0" w:color="auto"/>
            </w:tcBorders>
            <w:shd w:val="clear" w:color="auto" w:fill="auto"/>
            <w:vAlign w:val="bottom"/>
          </w:tcPr>
          <w:p w14:paraId="734111FA" w14:textId="77777777" w:rsidR="00011FEA" w:rsidRPr="00166751" w:rsidRDefault="00011FEA" w:rsidP="00011FEA">
            <w:pPr>
              <w:tabs>
                <w:tab w:val="right" w:pos="1202"/>
              </w:tabs>
              <w:spacing w:after="0" w:line="220" w:lineRule="exact"/>
              <w:jc w:val="right"/>
              <w:outlineLvl w:val="0"/>
              <w:rPr>
                <w:rFonts w:cs="Arial"/>
                <w:b/>
                <w:bCs/>
                <w:sz w:val="18"/>
                <w:szCs w:val="18"/>
              </w:rPr>
            </w:pPr>
          </w:p>
        </w:tc>
        <w:tc>
          <w:tcPr>
            <w:tcW w:w="519" w:type="pct"/>
            <w:tcBorders>
              <w:top w:val="single" w:sz="12" w:space="0" w:color="auto"/>
            </w:tcBorders>
            <w:shd w:val="clear" w:color="auto" w:fill="auto"/>
            <w:vAlign w:val="bottom"/>
          </w:tcPr>
          <w:p w14:paraId="225BA3A6" w14:textId="77777777" w:rsidR="00011FEA" w:rsidRPr="00166751" w:rsidRDefault="00011FEA" w:rsidP="00011FEA">
            <w:pPr>
              <w:tabs>
                <w:tab w:val="right" w:pos="1202"/>
              </w:tabs>
              <w:spacing w:after="0" w:line="220" w:lineRule="exact"/>
              <w:jc w:val="right"/>
              <w:outlineLvl w:val="0"/>
              <w:rPr>
                <w:rFonts w:cs="Arial"/>
                <w:b/>
                <w:bCs/>
                <w:sz w:val="18"/>
                <w:szCs w:val="18"/>
              </w:rPr>
            </w:pPr>
          </w:p>
        </w:tc>
        <w:tc>
          <w:tcPr>
            <w:tcW w:w="519" w:type="pct"/>
            <w:tcBorders>
              <w:top w:val="single" w:sz="12" w:space="0" w:color="auto"/>
            </w:tcBorders>
            <w:shd w:val="clear" w:color="auto" w:fill="auto"/>
            <w:vAlign w:val="bottom"/>
          </w:tcPr>
          <w:p w14:paraId="30A1ECA6" w14:textId="77777777" w:rsidR="00011FEA" w:rsidRPr="00166751" w:rsidRDefault="00011FEA" w:rsidP="00011FEA">
            <w:pPr>
              <w:tabs>
                <w:tab w:val="right" w:pos="1202"/>
              </w:tabs>
              <w:spacing w:after="0" w:line="220" w:lineRule="exact"/>
              <w:jc w:val="right"/>
              <w:outlineLvl w:val="0"/>
              <w:rPr>
                <w:rFonts w:cs="Arial"/>
                <w:b/>
                <w:bCs/>
                <w:sz w:val="18"/>
                <w:szCs w:val="18"/>
              </w:rPr>
            </w:pPr>
          </w:p>
        </w:tc>
        <w:tc>
          <w:tcPr>
            <w:tcW w:w="518" w:type="pct"/>
            <w:tcBorders>
              <w:top w:val="single" w:sz="12" w:space="0" w:color="auto"/>
            </w:tcBorders>
            <w:shd w:val="clear" w:color="auto" w:fill="auto"/>
            <w:vAlign w:val="bottom"/>
          </w:tcPr>
          <w:p w14:paraId="4F0071DF" w14:textId="77777777" w:rsidR="00011FEA" w:rsidRPr="00166751" w:rsidRDefault="00011FEA" w:rsidP="00011FEA">
            <w:pPr>
              <w:tabs>
                <w:tab w:val="right" w:pos="1202"/>
              </w:tabs>
              <w:spacing w:after="0" w:line="220" w:lineRule="exact"/>
              <w:jc w:val="right"/>
              <w:outlineLvl w:val="0"/>
              <w:rPr>
                <w:rFonts w:cs="Arial"/>
                <w:b/>
                <w:bCs/>
                <w:sz w:val="18"/>
                <w:szCs w:val="18"/>
              </w:rPr>
            </w:pPr>
          </w:p>
        </w:tc>
        <w:tc>
          <w:tcPr>
            <w:tcW w:w="519" w:type="pct"/>
            <w:tcBorders>
              <w:top w:val="single" w:sz="12" w:space="0" w:color="auto"/>
            </w:tcBorders>
            <w:shd w:val="clear" w:color="auto" w:fill="auto"/>
            <w:vAlign w:val="bottom"/>
          </w:tcPr>
          <w:p w14:paraId="5F1D627C" w14:textId="77777777" w:rsidR="00011FEA" w:rsidRPr="00166751" w:rsidRDefault="00011FEA" w:rsidP="00011FEA">
            <w:pPr>
              <w:tabs>
                <w:tab w:val="right" w:pos="1202"/>
              </w:tabs>
              <w:spacing w:after="0" w:line="220" w:lineRule="exact"/>
              <w:jc w:val="right"/>
              <w:outlineLvl w:val="0"/>
              <w:rPr>
                <w:rFonts w:cs="Arial"/>
                <w:b/>
                <w:bCs/>
                <w:sz w:val="18"/>
                <w:szCs w:val="18"/>
              </w:rPr>
            </w:pPr>
          </w:p>
        </w:tc>
        <w:tc>
          <w:tcPr>
            <w:tcW w:w="519" w:type="pct"/>
            <w:tcBorders>
              <w:top w:val="single" w:sz="12" w:space="0" w:color="auto"/>
            </w:tcBorders>
            <w:shd w:val="clear" w:color="auto" w:fill="auto"/>
            <w:vAlign w:val="bottom"/>
          </w:tcPr>
          <w:p w14:paraId="05580D29" w14:textId="77777777" w:rsidR="00011FEA" w:rsidRPr="00166751" w:rsidRDefault="00011FEA" w:rsidP="00011FEA">
            <w:pPr>
              <w:tabs>
                <w:tab w:val="right" w:pos="1202"/>
              </w:tabs>
              <w:spacing w:after="0" w:line="220" w:lineRule="exact"/>
              <w:jc w:val="right"/>
              <w:outlineLvl w:val="0"/>
              <w:rPr>
                <w:rFonts w:cs="Arial"/>
                <w:b/>
                <w:bCs/>
                <w:sz w:val="18"/>
                <w:szCs w:val="18"/>
              </w:rPr>
            </w:pPr>
          </w:p>
        </w:tc>
        <w:tc>
          <w:tcPr>
            <w:tcW w:w="521" w:type="pct"/>
            <w:tcBorders>
              <w:top w:val="single" w:sz="12" w:space="0" w:color="auto"/>
            </w:tcBorders>
            <w:shd w:val="clear" w:color="auto" w:fill="auto"/>
            <w:vAlign w:val="bottom"/>
          </w:tcPr>
          <w:p w14:paraId="1DFD96C4" w14:textId="77777777" w:rsidR="00011FEA" w:rsidRPr="00166751" w:rsidRDefault="00011FEA" w:rsidP="00011FEA">
            <w:pPr>
              <w:tabs>
                <w:tab w:val="right" w:pos="1202"/>
              </w:tabs>
              <w:spacing w:after="0" w:line="220" w:lineRule="exact"/>
              <w:jc w:val="right"/>
              <w:outlineLvl w:val="0"/>
              <w:rPr>
                <w:rFonts w:cs="Arial"/>
                <w:b/>
                <w:bCs/>
                <w:sz w:val="18"/>
                <w:szCs w:val="18"/>
              </w:rPr>
            </w:pPr>
          </w:p>
        </w:tc>
      </w:tr>
      <w:tr w:rsidR="003E20E1" w:rsidRPr="00F53BD7" w14:paraId="5A33D1EC" w14:textId="77777777" w:rsidTr="005444AA">
        <w:trPr>
          <w:trHeight w:val="114"/>
        </w:trPr>
        <w:tc>
          <w:tcPr>
            <w:tcW w:w="847" w:type="pct"/>
            <w:vAlign w:val="bottom"/>
          </w:tcPr>
          <w:p w14:paraId="6AED9B97" w14:textId="77777777" w:rsidR="003E20E1" w:rsidRPr="00F53BD7" w:rsidRDefault="003E20E1" w:rsidP="003E20E1">
            <w:pPr>
              <w:tabs>
                <w:tab w:val="right" w:pos="1202"/>
              </w:tabs>
              <w:spacing w:after="0" w:line="240" w:lineRule="auto"/>
              <w:outlineLvl w:val="0"/>
              <w:rPr>
                <w:rFonts w:eastAsia="Times New Roman" w:cs="Arial"/>
                <w:sz w:val="17"/>
                <w:szCs w:val="17"/>
              </w:rPr>
            </w:pPr>
            <w:r w:rsidRPr="00F53BD7">
              <w:rPr>
                <w:rFonts w:eastAsia="Times New Roman" w:cs="Arial"/>
                <w:sz w:val="17"/>
                <w:szCs w:val="17"/>
              </w:rPr>
              <w:t>Guarantees issued in HRK</w:t>
            </w:r>
          </w:p>
        </w:tc>
        <w:tc>
          <w:tcPr>
            <w:tcW w:w="519" w:type="pct"/>
            <w:tcBorders>
              <w:top w:val="nil"/>
              <w:left w:val="nil"/>
              <w:bottom w:val="nil"/>
              <w:right w:val="nil"/>
            </w:tcBorders>
            <w:shd w:val="clear" w:color="auto" w:fill="auto"/>
            <w:vAlign w:val="bottom"/>
          </w:tcPr>
          <w:p w14:paraId="3876D90E" w14:textId="1B69B23A" w:rsidR="003E20E1" w:rsidRPr="00166751" w:rsidRDefault="003E20E1" w:rsidP="003E20E1">
            <w:pPr>
              <w:tabs>
                <w:tab w:val="right" w:pos="1202"/>
              </w:tabs>
              <w:spacing w:after="0" w:line="220" w:lineRule="exact"/>
              <w:jc w:val="right"/>
              <w:outlineLvl w:val="0"/>
              <w:rPr>
                <w:rFonts w:cs="Arial"/>
                <w:b/>
                <w:bCs/>
                <w:sz w:val="18"/>
                <w:szCs w:val="18"/>
              </w:rPr>
            </w:pPr>
            <w:r w:rsidRPr="005E30C5">
              <w:rPr>
                <w:rFonts w:eastAsia="Times New Roman" w:cs="Arial"/>
                <w:sz w:val="18"/>
                <w:szCs w:val="18"/>
                <w:lang w:val="en-US"/>
              </w:rPr>
              <w:t>21</w:t>
            </w:r>
            <w:r>
              <w:rPr>
                <w:rFonts w:eastAsia="Times New Roman" w:cs="Arial"/>
                <w:sz w:val="18"/>
                <w:szCs w:val="18"/>
                <w:lang w:val="en-US"/>
              </w:rPr>
              <w:t>,</w:t>
            </w:r>
            <w:r w:rsidRPr="005E30C5">
              <w:rPr>
                <w:rFonts w:eastAsia="Times New Roman" w:cs="Arial"/>
                <w:sz w:val="18"/>
                <w:szCs w:val="18"/>
                <w:lang w:val="en-US"/>
              </w:rPr>
              <w:t>026</w:t>
            </w:r>
          </w:p>
        </w:tc>
        <w:tc>
          <w:tcPr>
            <w:tcW w:w="519" w:type="pct"/>
            <w:tcBorders>
              <w:top w:val="nil"/>
              <w:left w:val="nil"/>
              <w:bottom w:val="nil"/>
              <w:right w:val="nil"/>
            </w:tcBorders>
            <w:shd w:val="clear" w:color="auto" w:fill="auto"/>
            <w:vAlign w:val="bottom"/>
          </w:tcPr>
          <w:p w14:paraId="4271C8D3" w14:textId="40E71896" w:rsidR="003E20E1" w:rsidRPr="00166751" w:rsidRDefault="003E20E1" w:rsidP="003E20E1">
            <w:pPr>
              <w:tabs>
                <w:tab w:val="right" w:pos="1202"/>
              </w:tabs>
              <w:spacing w:after="0" w:line="220" w:lineRule="exact"/>
              <w:jc w:val="right"/>
              <w:outlineLvl w:val="0"/>
              <w:rPr>
                <w:rFonts w:cs="Arial"/>
                <w:b/>
                <w:bCs/>
                <w:sz w:val="18"/>
                <w:szCs w:val="18"/>
              </w:rPr>
            </w:pPr>
            <w:r w:rsidRPr="005E30C5">
              <w:rPr>
                <w:rFonts w:eastAsia="Times New Roman" w:cs="Arial"/>
                <w:sz w:val="18"/>
                <w:szCs w:val="18"/>
                <w:lang w:val="en-US"/>
              </w:rPr>
              <w:t>-</w:t>
            </w:r>
          </w:p>
        </w:tc>
        <w:tc>
          <w:tcPr>
            <w:tcW w:w="519" w:type="pct"/>
            <w:tcBorders>
              <w:top w:val="nil"/>
              <w:left w:val="nil"/>
              <w:bottom w:val="nil"/>
              <w:right w:val="nil"/>
            </w:tcBorders>
            <w:shd w:val="clear" w:color="auto" w:fill="auto"/>
            <w:vAlign w:val="bottom"/>
          </w:tcPr>
          <w:p w14:paraId="22321F38" w14:textId="7CA71133" w:rsidR="003E20E1" w:rsidRPr="00166751" w:rsidRDefault="003E20E1" w:rsidP="003E20E1">
            <w:pPr>
              <w:tabs>
                <w:tab w:val="right" w:pos="1202"/>
              </w:tabs>
              <w:spacing w:after="0" w:line="220" w:lineRule="exact"/>
              <w:jc w:val="right"/>
              <w:outlineLvl w:val="0"/>
              <w:rPr>
                <w:rFonts w:cs="Arial"/>
                <w:b/>
                <w:bCs/>
                <w:sz w:val="18"/>
                <w:szCs w:val="18"/>
              </w:rPr>
            </w:pPr>
            <w:r w:rsidRPr="005E30C5">
              <w:rPr>
                <w:rFonts w:eastAsia="Times New Roman" w:cs="Arial"/>
                <w:sz w:val="18"/>
                <w:szCs w:val="18"/>
                <w:lang w:val="en-US"/>
              </w:rPr>
              <w:t>-</w:t>
            </w:r>
          </w:p>
        </w:tc>
        <w:tc>
          <w:tcPr>
            <w:tcW w:w="519" w:type="pct"/>
            <w:tcBorders>
              <w:top w:val="nil"/>
              <w:left w:val="nil"/>
              <w:bottom w:val="nil"/>
              <w:right w:val="nil"/>
            </w:tcBorders>
            <w:shd w:val="clear" w:color="auto" w:fill="auto"/>
            <w:vAlign w:val="bottom"/>
          </w:tcPr>
          <w:p w14:paraId="77E475A4" w14:textId="43851E50" w:rsidR="003E20E1" w:rsidRPr="00166751" w:rsidRDefault="003E20E1" w:rsidP="003E20E1">
            <w:pPr>
              <w:tabs>
                <w:tab w:val="right" w:pos="1202"/>
              </w:tabs>
              <w:spacing w:after="0" w:line="220" w:lineRule="exact"/>
              <w:jc w:val="right"/>
              <w:outlineLvl w:val="0"/>
              <w:rPr>
                <w:rFonts w:cs="Arial"/>
                <w:b/>
                <w:bCs/>
                <w:sz w:val="18"/>
                <w:szCs w:val="18"/>
              </w:rPr>
            </w:pPr>
            <w:r w:rsidRPr="005E30C5">
              <w:rPr>
                <w:rFonts w:eastAsia="Times New Roman" w:cs="Arial"/>
                <w:sz w:val="18"/>
                <w:szCs w:val="18"/>
                <w:lang w:val="en-US"/>
              </w:rPr>
              <w:t>21</w:t>
            </w:r>
            <w:r>
              <w:rPr>
                <w:rFonts w:eastAsia="Times New Roman" w:cs="Arial"/>
                <w:sz w:val="18"/>
                <w:szCs w:val="18"/>
                <w:lang w:val="en-US"/>
              </w:rPr>
              <w:t>,</w:t>
            </w:r>
            <w:r w:rsidRPr="005E30C5">
              <w:rPr>
                <w:rFonts w:eastAsia="Times New Roman" w:cs="Arial"/>
                <w:sz w:val="18"/>
                <w:szCs w:val="18"/>
                <w:lang w:val="en-US"/>
              </w:rPr>
              <w:t>026</w:t>
            </w:r>
          </w:p>
        </w:tc>
        <w:tc>
          <w:tcPr>
            <w:tcW w:w="518" w:type="pct"/>
            <w:tcBorders>
              <w:top w:val="nil"/>
              <w:left w:val="nil"/>
              <w:bottom w:val="nil"/>
              <w:right w:val="nil"/>
            </w:tcBorders>
            <w:shd w:val="clear" w:color="auto" w:fill="auto"/>
            <w:vAlign w:val="bottom"/>
          </w:tcPr>
          <w:p w14:paraId="12820DAA" w14:textId="64E8ABF7" w:rsidR="003E20E1" w:rsidRPr="00166751" w:rsidRDefault="003E20E1" w:rsidP="003E20E1">
            <w:pPr>
              <w:tabs>
                <w:tab w:val="right" w:pos="1202"/>
              </w:tabs>
              <w:spacing w:after="0" w:line="220" w:lineRule="exact"/>
              <w:jc w:val="right"/>
              <w:outlineLvl w:val="0"/>
              <w:rPr>
                <w:rFonts w:cs="Arial"/>
                <w:b/>
                <w:bCs/>
                <w:sz w:val="18"/>
                <w:szCs w:val="18"/>
              </w:rPr>
            </w:pPr>
            <w:r w:rsidRPr="005E30C5">
              <w:rPr>
                <w:rFonts w:eastAsia="Times New Roman" w:cs="Arial"/>
                <w:sz w:val="18"/>
                <w:szCs w:val="18"/>
                <w:lang w:val="en-US"/>
              </w:rPr>
              <w:t>1</w:t>
            </w:r>
            <w:r>
              <w:rPr>
                <w:rFonts w:eastAsia="Times New Roman" w:cs="Arial"/>
                <w:sz w:val="18"/>
                <w:szCs w:val="18"/>
                <w:lang w:val="en-US"/>
              </w:rPr>
              <w:t>,</w:t>
            </w:r>
            <w:r w:rsidRPr="005E30C5">
              <w:rPr>
                <w:rFonts w:eastAsia="Times New Roman" w:cs="Arial"/>
                <w:sz w:val="18"/>
                <w:szCs w:val="18"/>
                <w:lang w:val="en-US"/>
              </w:rPr>
              <w:t>254</w:t>
            </w:r>
          </w:p>
        </w:tc>
        <w:tc>
          <w:tcPr>
            <w:tcW w:w="519" w:type="pct"/>
            <w:tcBorders>
              <w:top w:val="nil"/>
              <w:left w:val="nil"/>
              <w:bottom w:val="nil"/>
              <w:right w:val="nil"/>
            </w:tcBorders>
            <w:shd w:val="clear" w:color="auto" w:fill="auto"/>
            <w:vAlign w:val="bottom"/>
          </w:tcPr>
          <w:p w14:paraId="2252FA9E" w14:textId="4D1A18D1" w:rsidR="003E20E1" w:rsidRPr="00166751" w:rsidRDefault="003E20E1" w:rsidP="003E20E1">
            <w:pPr>
              <w:tabs>
                <w:tab w:val="right" w:pos="1202"/>
              </w:tabs>
              <w:spacing w:after="0" w:line="220" w:lineRule="exact"/>
              <w:jc w:val="right"/>
              <w:outlineLvl w:val="0"/>
              <w:rPr>
                <w:rFonts w:cs="Arial"/>
                <w:b/>
                <w:bCs/>
                <w:sz w:val="18"/>
                <w:szCs w:val="18"/>
              </w:rPr>
            </w:pPr>
            <w:r w:rsidRPr="005E30C5">
              <w:rPr>
                <w:rFonts w:eastAsia="Times New Roman" w:cs="Arial"/>
                <w:sz w:val="18"/>
                <w:szCs w:val="18"/>
                <w:lang w:val="en-US"/>
              </w:rPr>
              <w:t>-</w:t>
            </w:r>
          </w:p>
        </w:tc>
        <w:tc>
          <w:tcPr>
            <w:tcW w:w="519" w:type="pct"/>
            <w:tcBorders>
              <w:top w:val="nil"/>
              <w:left w:val="nil"/>
              <w:bottom w:val="nil"/>
              <w:right w:val="nil"/>
            </w:tcBorders>
            <w:shd w:val="clear" w:color="auto" w:fill="auto"/>
            <w:vAlign w:val="bottom"/>
          </w:tcPr>
          <w:p w14:paraId="64653A4A" w14:textId="7D36EDF4" w:rsidR="003E20E1" w:rsidRPr="00166751" w:rsidRDefault="003E20E1" w:rsidP="003E20E1">
            <w:pPr>
              <w:tabs>
                <w:tab w:val="right" w:pos="1202"/>
              </w:tabs>
              <w:spacing w:after="0" w:line="220" w:lineRule="exact"/>
              <w:jc w:val="right"/>
              <w:outlineLvl w:val="0"/>
              <w:rPr>
                <w:rFonts w:cs="Arial"/>
                <w:b/>
                <w:bCs/>
                <w:sz w:val="18"/>
                <w:szCs w:val="18"/>
              </w:rPr>
            </w:pPr>
            <w:r w:rsidRPr="005E30C5">
              <w:rPr>
                <w:rFonts w:eastAsia="Times New Roman" w:cs="Arial"/>
                <w:sz w:val="18"/>
                <w:szCs w:val="18"/>
                <w:lang w:val="en-US"/>
              </w:rPr>
              <w:t>-</w:t>
            </w:r>
          </w:p>
        </w:tc>
        <w:tc>
          <w:tcPr>
            <w:tcW w:w="521" w:type="pct"/>
            <w:tcBorders>
              <w:top w:val="nil"/>
              <w:left w:val="nil"/>
              <w:bottom w:val="nil"/>
              <w:right w:val="nil"/>
            </w:tcBorders>
            <w:shd w:val="clear" w:color="auto" w:fill="auto"/>
            <w:vAlign w:val="bottom"/>
          </w:tcPr>
          <w:p w14:paraId="1A7A203F" w14:textId="3F539649" w:rsidR="003E20E1" w:rsidRPr="00166751" w:rsidRDefault="003E20E1" w:rsidP="003E20E1">
            <w:pPr>
              <w:tabs>
                <w:tab w:val="right" w:pos="1202"/>
              </w:tabs>
              <w:spacing w:after="0" w:line="220" w:lineRule="exact"/>
              <w:jc w:val="right"/>
              <w:outlineLvl w:val="0"/>
              <w:rPr>
                <w:rFonts w:cs="Arial"/>
                <w:b/>
                <w:bCs/>
                <w:sz w:val="18"/>
                <w:szCs w:val="18"/>
              </w:rPr>
            </w:pPr>
            <w:r w:rsidRPr="005E30C5">
              <w:rPr>
                <w:rFonts w:eastAsia="Times New Roman" w:cs="Arial"/>
                <w:sz w:val="18"/>
                <w:szCs w:val="18"/>
                <w:lang w:val="en-US"/>
              </w:rPr>
              <w:t>1</w:t>
            </w:r>
            <w:r>
              <w:rPr>
                <w:rFonts w:eastAsia="Times New Roman" w:cs="Arial"/>
                <w:sz w:val="18"/>
                <w:szCs w:val="18"/>
                <w:lang w:val="en-US"/>
              </w:rPr>
              <w:t>,</w:t>
            </w:r>
            <w:r w:rsidRPr="005E30C5">
              <w:rPr>
                <w:rFonts w:eastAsia="Times New Roman" w:cs="Arial"/>
                <w:sz w:val="18"/>
                <w:szCs w:val="18"/>
                <w:lang w:val="en-US"/>
              </w:rPr>
              <w:t>254</w:t>
            </w:r>
          </w:p>
        </w:tc>
      </w:tr>
      <w:tr w:rsidR="003E20E1" w:rsidRPr="00F53BD7" w14:paraId="48C90A18" w14:textId="77777777" w:rsidTr="005444AA">
        <w:trPr>
          <w:trHeight w:val="233"/>
        </w:trPr>
        <w:tc>
          <w:tcPr>
            <w:tcW w:w="847" w:type="pct"/>
            <w:vAlign w:val="bottom"/>
          </w:tcPr>
          <w:p w14:paraId="11093E0D" w14:textId="77777777" w:rsidR="003E20E1" w:rsidRPr="00F53BD7" w:rsidRDefault="003E20E1" w:rsidP="003E20E1">
            <w:pPr>
              <w:tabs>
                <w:tab w:val="right" w:pos="1202"/>
              </w:tabs>
              <w:spacing w:after="0" w:line="240" w:lineRule="auto"/>
              <w:outlineLvl w:val="0"/>
              <w:rPr>
                <w:rFonts w:eastAsia="Times New Roman" w:cs="Arial"/>
                <w:sz w:val="17"/>
                <w:szCs w:val="17"/>
              </w:rPr>
            </w:pPr>
            <w:r w:rsidRPr="00F53BD7">
              <w:rPr>
                <w:rFonts w:eastAsia="Times New Roman" w:cs="Arial"/>
                <w:sz w:val="17"/>
                <w:szCs w:val="17"/>
              </w:rPr>
              <w:t>Issued guarantees in foreign currency</w:t>
            </w:r>
          </w:p>
        </w:tc>
        <w:tc>
          <w:tcPr>
            <w:tcW w:w="519" w:type="pct"/>
            <w:tcBorders>
              <w:top w:val="nil"/>
              <w:left w:val="nil"/>
              <w:bottom w:val="nil"/>
              <w:right w:val="nil"/>
            </w:tcBorders>
            <w:shd w:val="clear" w:color="auto" w:fill="auto"/>
            <w:vAlign w:val="bottom"/>
          </w:tcPr>
          <w:p w14:paraId="2A9E411B" w14:textId="745A4A21" w:rsidR="003E20E1" w:rsidRPr="00166751" w:rsidRDefault="003E20E1" w:rsidP="003E20E1">
            <w:pPr>
              <w:tabs>
                <w:tab w:val="right" w:pos="1202"/>
              </w:tabs>
              <w:spacing w:after="0" w:line="220" w:lineRule="exact"/>
              <w:jc w:val="right"/>
              <w:outlineLvl w:val="0"/>
              <w:rPr>
                <w:rFonts w:cs="Arial"/>
                <w:sz w:val="18"/>
                <w:szCs w:val="18"/>
              </w:rPr>
            </w:pPr>
            <w:r w:rsidRPr="005E30C5">
              <w:rPr>
                <w:rFonts w:eastAsia="Times New Roman" w:cs="Arial"/>
                <w:sz w:val="18"/>
                <w:szCs w:val="18"/>
                <w:lang w:val="en-US"/>
              </w:rPr>
              <w:t>2</w:t>
            </w:r>
            <w:r>
              <w:rPr>
                <w:rFonts w:eastAsia="Times New Roman" w:cs="Arial"/>
                <w:sz w:val="18"/>
                <w:szCs w:val="18"/>
                <w:lang w:val="en-US"/>
              </w:rPr>
              <w:t>,</w:t>
            </w:r>
            <w:r w:rsidRPr="005E30C5">
              <w:rPr>
                <w:rFonts w:eastAsia="Times New Roman" w:cs="Arial"/>
                <w:sz w:val="18"/>
                <w:szCs w:val="18"/>
                <w:lang w:val="en-US"/>
              </w:rPr>
              <w:t>164</w:t>
            </w:r>
            <w:r>
              <w:rPr>
                <w:rFonts w:eastAsia="Times New Roman" w:cs="Arial"/>
                <w:sz w:val="18"/>
                <w:szCs w:val="18"/>
                <w:lang w:val="en-US"/>
              </w:rPr>
              <w:t>,</w:t>
            </w:r>
            <w:r w:rsidRPr="005E30C5">
              <w:rPr>
                <w:rFonts w:eastAsia="Times New Roman" w:cs="Arial"/>
                <w:sz w:val="18"/>
                <w:szCs w:val="18"/>
                <w:lang w:val="en-US"/>
              </w:rPr>
              <w:t>257</w:t>
            </w:r>
          </w:p>
        </w:tc>
        <w:tc>
          <w:tcPr>
            <w:tcW w:w="519" w:type="pct"/>
            <w:tcBorders>
              <w:top w:val="nil"/>
              <w:left w:val="nil"/>
              <w:bottom w:val="nil"/>
              <w:right w:val="nil"/>
            </w:tcBorders>
            <w:shd w:val="clear" w:color="auto" w:fill="auto"/>
            <w:vAlign w:val="bottom"/>
          </w:tcPr>
          <w:p w14:paraId="14346E1F" w14:textId="4C7DA59F" w:rsidR="003E20E1" w:rsidRPr="00166751" w:rsidRDefault="003E20E1" w:rsidP="003E20E1">
            <w:pPr>
              <w:tabs>
                <w:tab w:val="right" w:pos="1202"/>
              </w:tabs>
              <w:spacing w:after="0" w:line="220" w:lineRule="exact"/>
              <w:jc w:val="right"/>
              <w:outlineLvl w:val="0"/>
              <w:rPr>
                <w:rFonts w:cs="Arial"/>
                <w:sz w:val="18"/>
                <w:szCs w:val="18"/>
              </w:rPr>
            </w:pPr>
            <w:r w:rsidRPr="005E30C5">
              <w:rPr>
                <w:rFonts w:eastAsia="Times New Roman" w:cs="Arial"/>
                <w:sz w:val="18"/>
                <w:szCs w:val="18"/>
                <w:lang w:val="en-US"/>
              </w:rPr>
              <w:t>27</w:t>
            </w:r>
            <w:r>
              <w:rPr>
                <w:rFonts w:eastAsia="Times New Roman" w:cs="Arial"/>
                <w:sz w:val="18"/>
                <w:szCs w:val="18"/>
                <w:lang w:val="en-US"/>
              </w:rPr>
              <w:t>,</w:t>
            </w:r>
            <w:r w:rsidRPr="005E30C5">
              <w:rPr>
                <w:rFonts w:eastAsia="Times New Roman" w:cs="Arial"/>
                <w:sz w:val="18"/>
                <w:szCs w:val="18"/>
                <w:lang w:val="en-US"/>
              </w:rPr>
              <w:t>359</w:t>
            </w:r>
          </w:p>
        </w:tc>
        <w:tc>
          <w:tcPr>
            <w:tcW w:w="519" w:type="pct"/>
            <w:tcBorders>
              <w:top w:val="nil"/>
              <w:left w:val="nil"/>
              <w:bottom w:val="nil"/>
              <w:right w:val="nil"/>
            </w:tcBorders>
            <w:shd w:val="clear" w:color="auto" w:fill="auto"/>
            <w:vAlign w:val="bottom"/>
          </w:tcPr>
          <w:p w14:paraId="3A714F6A" w14:textId="0B47AA71" w:rsidR="003E20E1" w:rsidRPr="00166751" w:rsidRDefault="003E20E1" w:rsidP="003E20E1">
            <w:pPr>
              <w:tabs>
                <w:tab w:val="right" w:pos="1202"/>
              </w:tabs>
              <w:spacing w:after="0" w:line="220" w:lineRule="exact"/>
              <w:jc w:val="right"/>
              <w:outlineLvl w:val="0"/>
              <w:rPr>
                <w:rFonts w:cs="Arial"/>
                <w:snapToGrid w:val="0"/>
                <w:sz w:val="18"/>
                <w:szCs w:val="18"/>
              </w:rPr>
            </w:pPr>
            <w:r w:rsidRPr="005E30C5">
              <w:rPr>
                <w:rFonts w:eastAsia="Times New Roman" w:cs="Arial"/>
                <w:sz w:val="18"/>
                <w:szCs w:val="18"/>
                <w:lang w:val="en-US"/>
              </w:rPr>
              <w:t>-</w:t>
            </w:r>
          </w:p>
        </w:tc>
        <w:tc>
          <w:tcPr>
            <w:tcW w:w="519" w:type="pct"/>
            <w:tcBorders>
              <w:top w:val="nil"/>
              <w:left w:val="nil"/>
              <w:bottom w:val="nil"/>
              <w:right w:val="nil"/>
            </w:tcBorders>
            <w:shd w:val="clear" w:color="auto" w:fill="auto"/>
            <w:vAlign w:val="bottom"/>
          </w:tcPr>
          <w:p w14:paraId="2800592B" w14:textId="7CF1EC9B" w:rsidR="003E20E1" w:rsidRPr="00166751" w:rsidRDefault="003E20E1" w:rsidP="003E20E1">
            <w:pPr>
              <w:tabs>
                <w:tab w:val="right" w:pos="1202"/>
              </w:tabs>
              <w:spacing w:after="0" w:line="220" w:lineRule="exact"/>
              <w:jc w:val="right"/>
              <w:outlineLvl w:val="0"/>
              <w:rPr>
                <w:rFonts w:cs="Arial"/>
                <w:sz w:val="18"/>
                <w:szCs w:val="18"/>
              </w:rPr>
            </w:pPr>
            <w:r w:rsidRPr="005E30C5">
              <w:rPr>
                <w:rFonts w:eastAsia="Times New Roman" w:cs="Arial"/>
                <w:sz w:val="18"/>
                <w:szCs w:val="18"/>
                <w:lang w:val="en-US"/>
              </w:rPr>
              <w:t>2</w:t>
            </w:r>
            <w:r>
              <w:rPr>
                <w:rFonts w:eastAsia="Times New Roman" w:cs="Arial"/>
                <w:sz w:val="18"/>
                <w:szCs w:val="18"/>
                <w:lang w:val="en-US"/>
              </w:rPr>
              <w:t>,</w:t>
            </w:r>
            <w:r w:rsidRPr="005E30C5">
              <w:rPr>
                <w:rFonts w:eastAsia="Times New Roman" w:cs="Arial"/>
                <w:sz w:val="18"/>
                <w:szCs w:val="18"/>
                <w:lang w:val="en-US"/>
              </w:rPr>
              <w:t>191</w:t>
            </w:r>
            <w:r>
              <w:rPr>
                <w:rFonts w:eastAsia="Times New Roman" w:cs="Arial"/>
                <w:sz w:val="18"/>
                <w:szCs w:val="18"/>
                <w:lang w:val="en-US"/>
              </w:rPr>
              <w:t>,</w:t>
            </w:r>
            <w:r w:rsidRPr="005E30C5">
              <w:rPr>
                <w:rFonts w:eastAsia="Times New Roman" w:cs="Arial"/>
                <w:sz w:val="18"/>
                <w:szCs w:val="18"/>
                <w:lang w:val="en-US"/>
              </w:rPr>
              <w:t>616</w:t>
            </w:r>
          </w:p>
        </w:tc>
        <w:tc>
          <w:tcPr>
            <w:tcW w:w="518" w:type="pct"/>
            <w:tcBorders>
              <w:top w:val="nil"/>
              <w:left w:val="nil"/>
              <w:bottom w:val="nil"/>
              <w:right w:val="nil"/>
            </w:tcBorders>
            <w:shd w:val="clear" w:color="auto" w:fill="auto"/>
            <w:vAlign w:val="bottom"/>
          </w:tcPr>
          <w:p w14:paraId="3069A149" w14:textId="575B0604" w:rsidR="003E20E1" w:rsidRPr="00166751" w:rsidRDefault="003E20E1" w:rsidP="003E20E1">
            <w:pPr>
              <w:tabs>
                <w:tab w:val="right" w:pos="1202"/>
              </w:tabs>
              <w:spacing w:after="0" w:line="220" w:lineRule="exact"/>
              <w:jc w:val="right"/>
              <w:outlineLvl w:val="0"/>
              <w:rPr>
                <w:rFonts w:cs="Arial"/>
                <w:sz w:val="18"/>
                <w:szCs w:val="18"/>
              </w:rPr>
            </w:pPr>
            <w:r w:rsidRPr="005E30C5">
              <w:rPr>
                <w:rFonts w:eastAsia="Times New Roman" w:cs="Arial"/>
                <w:sz w:val="18"/>
                <w:szCs w:val="18"/>
                <w:lang w:val="en-US"/>
              </w:rPr>
              <w:t>288</w:t>
            </w:r>
            <w:r>
              <w:rPr>
                <w:rFonts w:eastAsia="Times New Roman" w:cs="Arial"/>
                <w:sz w:val="18"/>
                <w:szCs w:val="18"/>
                <w:lang w:val="en-US"/>
              </w:rPr>
              <w:t>,</w:t>
            </w:r>
            <w:r w:rsidRPr="005E30C5">
              <w:rPr>
                <w:rFonts w:eastAsia="Times New Roman" w:cs="Arial"/>
                <w:sz w:val="18"/>
                <w:szCs w:val="18"/>
                <w:lang w:val="en-US"/>
              </w:rPr>
              <w:t>987</w:t>
            </w:r>
          </w:p>
        </w:tc>
        <w:tc>
          <w:tcPr>
            <w:tcW w:w="519" w:type="pct"/>
            <w:tcBorders>
              <w:top w:val="nil"/>
              <w:left w:val="nil"/>
              <w:bottom w:val="nil"/>
              <w:right w:val="nil"/>
            </w:tcBorders>
            <w:shd w:val="clear" w:color="auto" w:fill="auto"/>
            <w:vAlign w:val="bottom"/>
          </w:tcPr>
          <w:p w14:paraId="5F5D3F1D" w14:textId="5A0299F3" w:rsidR="003E20E1" w:rsidRPr="00166751" w:rsidRDefault="003E20E1" w:rsidP="003E20E1">
            <w:pPr>
              <w:tabs>
                <w:tab w:val="right" w:pos="1202"/>
              </w:tabs>
              <w:spacing w:after="0" w:line="220" w:lineRule="exact"/>
              <w:jc w:val="right"/>
              <w:outlineLvl w:val="0"/>
              <w:rPr>
                <w:rFonts w:cs="Arial"/>
                <w:snapToGrid w:val="0"/>
                <w:sz w:val="18"/>
                <w:szCs w:val="18"/>
              </w:rPr>
            </w:pPr>
            <w:r w:rsidRPr="005E30C5">
              <w:rPr>
                <w:rFonts w:eastAsia="Times New Roman" w:cs="Arial"/>
                <w:sz w:val="18"/>
                <w:szCs w:val="18"/>
                <w:lang w:val="en-US"/>
              </w:rPr>
              <w:t>-</w:t>
            </w:r>
          </w:p>
        </w:tc>
        <w:tc>
          <w:tcPr>
            <w:tcW w:w="519" w:type="pct"/>
            <w:tcBorders>
              <w:top w:val="nil"/>
              <w:left w:val="nil"/>
              <w:bottom w:val="nil"/>
              <w:right w:val="nil"/>
            </w:tcBorders>
            <w:shd w:val="clear" w:color="auto" w:fill="auto"/>
            <w:vAlign w:val="bottom"/>
          </w:tcPr>
          <w:p w14:paraId="174B3453" w14:textId="30D8D898" w:rsidR="003E20E1" w:rsidRPr="00166751" w:rsidRDefault="003E20E1" w:rsidP="003E20E1">
            <w:pPr>
              <w:tabs>
                <w:tab w:val="right" w:pos="1202"/>
              </w:tabs>
              <w:spacing w:after="0" w:line="220" w:lineRule="exact"/>
              <w:jc w:val="right"/>
              <w:outlineLvl w:val="0"/>
              <w:rPr>
                <w:rFonts w:cs="Arial"/>
                <w:snapToGrid w:val="0"/>
                <w:sz w:val="18"/>
                <w:szCs w:val="18"/>
              </w:rPr>
            </w:pPr>
            <w:r w:rsidRPr="005E30C5">
              <w:rPr>
                <w:rFonts w:eastAsia="Times New Roman" w:cs="Arial"/>
                <w:sz w:val="18"/>
                <w:szCs w:val="18"/>
                <w:lang w:val="en-US"/>
              </w:rPr>
              <w:t>-</w:t>
            </w:r>
          </w:p>
        </w:tc>
        <w:tc>
          <w:tcPr>
            <w:tcW w:w="521" w:type="pct"/>
            <w:tcBorders>
              <w:top w:val="nil"/>
              <w:left w:val="nil"/>
              <w:bottom w:val="nil"/>
              <w:right w:val="nil"/>
            </w:tcBorders>
            <w:shd w:val="clear" w:color="auto" w:fill="auto"/>
            <w:vAlign w:val="bottom"/>
          </w:tcPr>
          <w:p w14:paraId="3B230023" w14:textId="78ACB7C3" w:rsidR="003E20E1" w:rsidRPr="00166751" w:rsidRDefault="003E20E1" w:rsidP="003E20E1">
            <w:pPr>
              <w:tabs>
                <w:tab w:val="right" w:pos="1202"/>
              </w:tabs>
              <w:spacing w:after="0" w:line="220" w:lineRule="exact"/>
              <w:jc w:val="right"/>
              <w:outlineLvl w:val="0"/>
              <w:rPr>
                <w:rFonts w:cs="Arial"/>
                <w:sz w:val="18"/>
                <w:szCs w:val="18"/>
              </w:rPr>
            </w:pPr>
            <w:r w:rsidRPr="005E30C5">
              <w:rPr>
                <w:rFonts w:eastAsia="Times New Roman" w:cs="Arial"/>
                <w:sz w:val="18"/>
                <w:szCs w:val="18"/>
                <w:lang w:val="en-US"/>
              </w:rPr>
              <w:t>288</w:t>
            </w:r>
            <w:r>
              <w:rPr>
                <w:rFonts w:eastAsia="Times New Roman" w:cs="Arial"/>
                <w:sz w:val="18"/>
                <w:szCs w:val="18"/>
                <w:lang w:val="en-US"/>
              </w:rPr>
              <w:t>,</w:t>
            </w:r>
            <w:r w:rsidRPr="005E30C5">
              <w:rPr>
                <w:rFonts w:eastAsia="Times New Roman" w:cs="Arial"/>
                <w:sz w:val="18"/>
                <w:szCs w:val="18"/>
                <w:lang w:val="en-US"/>
              </w:rPr>
              <w:t>987</w:t>
            </w:r>
          </w:p>
        </w:tc>
      </w:tr>
      <w:tr w:rsidR="003E20E1" w:rsidRPr="00F53BD7" w14:paraId="22070CE5" w14:textId="77777777" w:rsidTr="005444AA">
        <w:trPr>
          <w:trHeight w:val="233"/>
        </w:trPr>
        <w:tc>
          <w:tcPr>
            <w:tcW w:w="847" w:type="pct"/>
            <w:vAlign w:val="bottom"/>
          </w:tcPr>
          <w:p w14:paraId="63950A37" w14:textId="77777777" w:rsidR="003E20E1" w:rsidRPr="00F53BD7" w:rsidRDefault="003E20E1" w:rsidP="003E20E1">
            <w:pPr>
              <w:tabs>
                <w:tab w:val="right" w:pos="1202"/>
              </w:tabs>
              <w:spacing w:after="0" w:line="240" w:lineRule="auto"/>
              <w:outlineLvl w:val="0"/>
              <w:rPr>
                <w:rFonts w:eastAsia="Times New Roman" w:cs="Arial"/>
                <w:sz w:val="17"/>
                <w:szCs w:val="17"/>
              </w:rPr>
            </w:pPr>
            <w:r w:rsidRPr="00F53BD7">
              <w:rPr>
                <w:rFonts w:eastAsia="Times New Roman" w:cs="Arial"/>
                <w:sz w:val="17"/>
                <w:szCs w:val="17"/>
              </w:rPr>
              <w:t>Open letters of credit in foreign currency</w:t>
            </w:r>
          </w:p>
        </w:tc>
        <w:tc>
          <w:tcPr>
            <w:tcW w:w="519" w:type="pct"/>
            <w:tcBorders>
              <w:top w:val="nil"/>
              <w:left w:val="nil"/>
              <w:bottom w:val="nil"/>
              <w:right w:val="nil"/>
            </w:tcBorders>
            <w:shd w:val="clear" w:color="auto" w:fill="auto"/>
            <w:vAlign w:val="bottom"/>
          </w:tcPr>
          <w:p w14:paraId="67B5D577" w14:textId="786D5B17" w:rsidR="003E20E1" w:rsidRPr="00166751" w:rsidRDefault="003E20E1" w:rsidP="003E20E1">
            <w:pPr>
              <w:tabs>
                <w:tab w:val="right" w:pos="1202"/>
              </w:tabs>
              <w:spacing w:after="0" w:line="220" w:lineRule="exact"/>
              <w:jc w:val="right"/>
              <w:outlineLvl w:val="0"/>
              <w:rPr>
                <w:rFonts w:cs="Arial"/>
                <w:sz w:val="18"/>
                <w:szCs w:val="18"/>
              </w:rPr>
            </w:pPr>
            <w:r w:rsidRPr="005E30C5">
              <w:rPr>
                <w:rFonts w:eastAsia="Times New Roman" w:cs="Arial"/>
                <w:sz w:val="18"/>
                <w:szCs w:val="18"/>
                <w:lang w:val="en-US"/>
              </w:rPr>
              <w:t>990</w:t>
            </w:r>
          </w:p>
        </w:tc>
        <w:tc>
          <w:tcPr>
            <w:tcW w:w="519" w:type="pct"/>
            <w:tcBorders>
              <w:top w:val="nil"/>
              <w:left w:val="nil"/>
              <w:bottom w:val="nil"/>
              <w:right w:val="nil"/>
            </w:tcBorders>
            <w:shd w:val="clear" w:color="auto" w:fill="auto"/>
            <w:vAlign w:val="bottom"/>
          </w:tcPr>
          <w:p w14:paraId="45CB2F3D" w14:textId="164C8468" w:rsidR="003E20E1" w:rsidRPr="00166751" w:rsidRDefault="003E20E1" w:rsidP="003E20E1">
            <w:pPr>
              <w:tabs>
                <w:tab w:val="right" w:pos="1202"/>
              </w:tabs>
              <w:spacing w:after="0" w:line="220" w:lineRule="exact"/>
              <w:jc w:val="right"/>
              <w:outlineLvl w:val="0"/>
              <w:rPr>
                <w:rFonts w:cs="Arial"/>
                <w:sz w:val="18"/>
                <w:szCs w:val="18"/>
              </w:rPr>
            </w:pPr>
            <w:r w:rsidRPr="005E30C5">
              <w:rPr>
                <w:rFonts w:eastAsia="Times New Roman" w:cs="Arial"/>
                <w:sz w:val="18"/>
                <w:szCs w:val="18"/>
                <w:lang w:val="en-US"/>
              </w:rPr>
              <w:t>-</w:t>
            </w:r>
          </w:p>
        </w:tc>
        <w:tc>
          <w:tcPr>
            <w:tcW w:w="519" w:type="pct"/>
            <w:tcBorders>
              <w:top w:val="nil"/>
              <w:left w:val="nil"/>
              <w:bottom w:val="nil"/>
              <w:right w:val="nil"/>
            </w:tcBorders>
            <w:shd w:val="clear" w:color="auto" w:fill="auto"/>
            <w:vAlign w:val="bottom"/>
          </w:tcPr>
          <w:p w14:paraId="1EE01E6A" w14:textId="108057C9" w:rsidR="003E20E1" w:rsidRPr="00166751" w:rsidRDefault="003E20E1" w:rsidP="003E20E1">
            <w:pPr>
              <w:tabs>
                <w:tab w:val="right" w:pos="1202"/>
              </w:tabs>
              <w:spacing w:after="0" w:line="220" w:lineRule="exact"/>
              <w:jc w:val="right"/>
              <w:outlineLvl w:val="0"/>
              <w:rPr>
                <w:rFonts w:cs="Arial"/>
                <w:snapToGrid w:val="0"/>
                <w:sz w:val="18"/>
                <w:szCs w:val="18"/>
              </w:rPr>
            </w:pPr>
            <w:r w:rsidRPr="005E30C5">
              <w:rPr>
                <w:rFonts w:eastAsia="Times New Roman" w:cs="Arial"/>
                <w:sz w:val="18"/>
                <w:szCs w:val="18"/>
                <w:lang w:val="en-US"/>
              </w:rPr>
              <w:t>-</w:t>
            </w:r>
          </w:p>
        </w:tc>
        <w:tc>
          <w:tcPr>
            <w:tcW w:w="519" w:type="pct"/>
            <w:tcBorders>
              <w:top w:val="nil"/>
              <w:left w:val="nil"/>
              <w:bottom w:val="nil"/>
              <w:right w:val="nil"/>
            </w:tcBorders>
            <w:shd w:val="clear" w:color="auto" w:fill="auto"/>
            <w:vAlign w:val="bottom"/>
          </w:tcPr>
          <w:p w14:paraId="16FB8786" w14:textId="7D76E5AA" w:rsidR="003E20E1" w:rsidRPr="00166751" w:rsidRDefault="003E20E1" w:rsidP="003E20E1">
            <w:pPr>
              <w:tabs>
                <w:tab w:val="right" w:pos="1202"/>
              </w:tabs>
              <w:spacing w:after="0" w:line="220" w:lineRule="exact"/>
              <w:jc w:val="right"/>
              <w:outlineLvl w:val="0"/>
              <w:rPr>
                <w:rFonts w:cs="Arial"/>
                <w:sz w:val="18"/>
                <w:szCs w:val="18"/>
              </w:rPr>
            </w:pPr>
            <w:r w:rsidRPr="005E30C5">
              <w:rPr>
                <w:rFonts w:eastAsia="Times New Roman" w:cs="Arial"/>
                <w:sz w:val="18"/>
                <w:szCs w:val="18"/>
                <w:lang w:val="en-US"/>
              </w:rPr>
              <w:t>990</w:t>
            </w:r>
          </w:p>
        </w:tc>
        <w:tc>
          <w:tcPr>
            <w:tcW w:w="518" w:type="pct"/>
            <w:tcBorders>
              <w:top w:val="nil"/>
              <w:left w:val="nil"/>
              <w:bottom w:val="nil"/>
              <w:right w:val="nil"/>
            </w:tcBorders>
            <w:shd w:val="clear" w:color="auto" w:fill="auto"/>
            <w:vAlign w:val="bottom"/>
          </w:tcPr>
          <w:p w14:paraId="4A8AF04D" w14:textId="5555B05B" w:rsidR="003E20E1" w:rsidRPr="00166751" w:rsidRDefault="003E20E1" w:rsidP="003E20E1">
            <w:pPr>
              <w:tabs>
                <w:tab w:val="right" w:pos="1202"/>
              </w:tabs>
              <w:spacing w:after="0" w:line="220" w:lineRule="exact"/>
              <w:jc w:val="right"/>
              <w:outlineLvl w:val="0"/>
              <w:rPr>
                <w:rFonts w:cs="Arial"/>
                <w:sz w:val="18"/>
                <w:szCs w:val="18"/>
              </w:rPr>
            </w:pPr>
            <w:r w:rsidRPr="005E30C5">
              <w:rPr>
                <w:rFonts w:eastAsia="Times New Roman" w:cs="Arial"/>
                <w:sz w:val="18"/>
                <w:szCs w:val="18"/>
                <w:lang w:val="en-US"/>
              </w:rPr>
              <w:t>-</w:t>
            </w:r>
          </w:p>
        </w:tc>
        <w:tc>
          <w:tcPr>
            <w:tcW w:w="519" w:type="pct"/>
            <w:tcBorders>
              <w:top w:val="nil"/>
              <w:left w:val="nil"/>
              <w:bottom w:val="nil"/>
              <w:right w:val="nil"/>
            </w:tcBorders>
            <w:shd w:val="clear" w:color="auto" w:fill="auto"/>
            <w:vAlign w:val="bottom"/>
          </w:tcPr>
          <w:p w14:paraId="4F31A4E5" w14:textId="535B67CD" w:rsidR="003E20E1" w:rsidRPr="00166751" w:rsidRDefault="003E20E1" w:rsidP="003E20E1">
            <w:pPr>
              <w:tabs>
                <w:tab w:val="right" w:pos="1202"/>
              </w:tabs>
              <w:spacing w:after="0" w:line="220" w:lineRule="exact"/>
              <w:jc w:val="right"/>
              <w:outlineLvl w:val="0"/>
              <w:rPr>
                <w:rFonts w:cs="Arial"/>
                <w:snapToGrid w:val="0"/>
                <w:sz w:val="18"/>
                <w:szCs w:val="18"/>
              </w:rPr>
            </w:pPr>
            <w:r w:rsidRPr="005E30C5">
              <w:rPr>
                <w:rFonts w:eastAsia="Times New Roman" w:cs="Arial"/>
                <w:sz w:val="18"/>
                <w:szCs w:val="18"/>
                <w:lang w:val="en-US"/>
              </w:rPr>
              <w:t>-</w:t>
            </w:r>
          </w:p>
        </w:tc>
        <w:tc>
          <w:tcPr>
            <w:tcW w:w="519" w:type="pct"/>
            <w:tcBorders>
              <w:top w:val="nil"/>
              <w:left w:val="nil"/>
              <w:bottom w:val="nil"/>
              <w:right w:val="nil"/>
            </w:tcBorders>
            <w:shd w:val="clear" w:color="auto" w:fill="auto"/>
            <w:vAlign w:val="bottom"/>
          </w:tcPr>
          <w:p w14:paraId="3E8FC6C0" w14:textId="74AA0E05" w:rsidR="003E20E1" w:rsidRPr="00166751" w:rsidRDefault="003E20E1" w:rsidP="003E20E1">
            <w:pPr>
              <w:tabs>
                <w:tab w:val="right" w:pos="1202"/>
              </w:tabs>
              <w:spacing w:after="0" w:line="220" w:lineRule="exact"/>
              <w:jc w:val="right"/>
              <w:outlineLvl w:val="0"/>
              <w:rPr>
                <w:rFonts w:cs="Arial"/>
                <w:snapToGrid w:val="0"/>
                <w:sz w:val="18"/>
                <w:szCs w:val="18"/>
              </w:rPr>
            </w:pPr>
            <w:r w:rsidRPr="005E30C5">
              <w:rPr>
                <w:rFonts w:eastAsia="Times New Roman" w:cs="Arial"/>
                <w:sz w:val="18"/>
                <w:szCs w:val="18"/>
                <w:lang w:val="en-US"/>
              </w:rPr>
              <w:t>-</w:t>
            </w:r>
          </w:p>
        </w:tc>
        <w:tc>
          <w:tcPr>
            <w:tcW w:w="521" w:type="pct"/>
            <w:tcBorders>
              <w:top w:val="nil"/>
              <w:left w:val="nil"/>
              <w:bottom w:val="nil"/>
              <w:right w:val="nil"/>
            </w:tcBorders>
            <w:shd w:val="clear" w:color="auto" w:fill="auto"/>
            <w:vAlign w:val="bottom"/>
          </w:tcPr>
          <w:p w14:paraId="2CC87A42" w14:textId="3AE8BAE5" w:rsidR="003E20E1" w:rsidRPr="00166751" w:rsidRDefault="003E20E1" w:rsidP="003E20E1">
            <w:pPr>
              <w:tabs>
                <w:tab w:val="right" w:pos="1202"/>
              </w:tabs>
              <w:spacing w:after="0" w:line="220" w:lineRule="exact"/>
              <w:jc w:val="right"/>
              <w:outlineLvl w:val="0"/>
              <w:rPr>
                <w:rFonts w:cs="Arial"/>
                <w:sz w:val="18"/>
                <w:szCs w:val="18"/>
              </w:rPr>
            </w:pPr>
            <w:r w:rsidRPr="005E30C5">
              <w:rPr>
                <w:rFonts w:eastAsia="Times New Roman" w:cs="Arial"/>
                <w:sz w:val="18"/>
                <w:szCs w:val="18"/>
                <w:lang w:val="en-US"/>
              </w:rPr>
              <w:t>-</w:t>
            </w:r>
          </w:p>
        </w:tc>
      </w:tr>
      <w:tr w:rsidR="003E20E1" w:rsidRPr="00F53BD7" w14:paraId="57D19B52" w14:textId="77777777" w:rsidTr="005444AA">
        <w:trPr>
          <w:trHeight w:val="121"/>
        </w:trPr>
        <w:tc>
          <w:tcPr>
            <w:tcW w:w="847" w:type="pct"/>
            <w:vAlign w:val="bottom"/>
          </w:tcPr>
          <w:p w14:paraId="03867BA5" w14:textId="77777777" w:rsidR="003E20E1" w:rsidRPr="00F53BD7" w:rsidRDefault="003E20E1" w:rsidP="003E20E1">
            <w:pPr>
              <w:tabs>
                <w:tab w:val="right" w:pos="1202"/>
              </w:tabs>
              <w:spacing w:after="0" w:line="220" w:lineRule="exact"/>
              <w:outlineLvl w:val="0"/>
              <w:rPr>
                <w:rFonts w:eastAsia="Times New Roman" w:cs="Arial"/>
                <w:sz w:val="17"/>
                <w:szCs w:val="17"/>
              </w:rPr>
            </w:pPr>
            <w:r w:rsidRPr="00F53BD7">
              <w:rPr>
                <w:rFonts w:eastAsia="Times New Roman" w:cs="Arial"/>
                <w:sz w:val="17"/>
                <w:szCs w:val="17"/>
              </w:rPr>
              <w:t xml:space="preserve">Undrawn loans </w:t>
            </w:r>
          </w:p>
        </w:tc>
        <w:tc>
          <w:tcPr>
            <w:tcW w:w="519" w:type="pct"/>
            <w:tcBorders>
              <w:top w:val="nil"/>
              <w:left w:val="nil"/>
              <w:bottom w:val="nil"/>
              <w:right w:val="nil"/>
            </w:tcBorders>
            <w:shd w:val="clear" w:color="auto" w:fill="auto"/>
            <w:vAlign w:val="bottom"/>
          </w:tcPr>
          <w:p w14:paraId="5942233C" w14:textId="4681FEDF" w:rsidR="003E20E1" w:rsidRPr="00166751" w:rsidRDefault="003E20E1" w:rsidP="003E20E1">
            <w:pPr>
              <w:tabs>
                <w:tab w:val="right" w:pos="1202"/>
              </w:tabs>
              <w:spacing w:after="0" w:line="220" w:lineRule="exact"/>
              <w:jc w:val="right"/>
              <w:outlineLvl w:val="0"/>
              <w:rPr>
                <w:rFonts w:cs="Arial"/>
                <w:sz w:val="18"/>
                <w:szCs w:val="18"/>
              </w:rPr>
            </w:pPr>
            <w:r w:rsidRPr="005E30C5">
              <w:rPr>
                <w:rFonts w:eastAsia="Times New Roman" w:cs="Arial"/>
                <w:sz w:val="18"/>
                <w:szCs w:val="18"/>
                <w:lang w:val="en-US"/>
              </w:rPr>
              <w:t>3</w:t>
            </w:r>
            <w:r>
              <w:rPr>
                <w:rFonts w:eastAsia="Times New Roman" w:cs="Arial"/>
                <w:sz w:val="18"/>
                <w:szCs w:val="18"/>
                <w:lang w:val="en-US"/>
              </w:rPr>
              <w:t>,</w:t>
            </w:r>
            <w:r w:rsidRPr="005E30C5">
              <w:rPr>
                <w:rFonts w:eastAsia="Times New Roman" w:cs="Arial"/>
                <w:sz w:val="18"/>
                <w:szCs w:val="18"/>
                <w:lang w:val="en-US"/>
              </w:rPr>
              <w:t>333</w:t>
            </w:r>
            <w:r>
              <w:rPr>
                <w:rFonts w:eastAsia="Times New Roman" w:cs="Arial"/>
                <w:sz w:val="18"/>
                <w:szCs w:val="18"/>
                <w:lang w:val="en-US"/>
              </w:rPr>
              <w:t>,</w:t>
            </w:r>
            <w:r w:rsidRPr="005E30C5">
              <w:rPr>
                <w:rFonts w:eastAsia="Times New Roman" w:cs="Arial"/>
                <w:sz w:val="18"/>
                <w:szCs w:val="18"/>
                <w:lang w:val="en-US"/>
              </w:rPr>
              <w:t>766</w:t>
            </w:r>
          </w:p>
        </w:tc>
        <w:tc>
          <w:tcPr>
            <w:tcW w:w="519" w:type="pct"/>
            <w:tcBorders>
              <w:top w:val="nil"/>
              <w:left w:val="nil"/>
              <w:bottom w:val="nil"/>
              <w:right w:val="nil"/>
            </w:tcBorders>
            <w:shd w:val="clear" w:color="auto" w:fill="auto"/>
            <w:vAlign w:val="bottom"/>
          </w:tcPr>
          <w:p w14:paraId="594E9AC6" w14:textId="497D4FAD" w:rsidR="003E20E1" w:rsidRPr="00166751" w:rsidRDefault="003E20E1" w:rsidP="003E20E1">
            <w:pPr>
              <w:tabs>
                <w:tab w:val="right" w:pos="1202"/>
              </w:tabs>
              <w:spacing w:after="0" w:line="220" w:lineRule="exact"/>
              <w:jc w:val="right"/>
              <w:outlineLvl w:val="0"/>
              <w:rPr>
                <w:rFonts w:cs="Arial"/>
                <w:snapToGrid w:val="0"/>
                <w:sz w:val="18"/>
                <w:szCs w:val="18"/>
              </w:rPr>
            </w:pPr>
            <w:r w:rsidRPr="005E30C5">
              <w:rPr>
                <w:rFonts w:eastAsia="Times New Roman" w:cs="Arial"/>
                <w:sz w:val="18"/>
                <w:szCs w:val="18"/>
                <w:lang w:val="en-US"/>
              </w:rPr>
              <w:t>2</w:t>
            </w:r>
            <w:r>
              <w:rPr>
                <w:rFonts w:eastAsia="Times New Roman" w:cs="Arial"/>
                <w:sz w:val="18"/>
                <w:szCs w:val="18"/>
                <w:lang w:val="en-US"/>
              </w:rPr>
              <w:t>,</w:t>
            </w:r>
            <w:r w:rsidRPr="005E30C5">
              <w:rPr>
                <w:rFonts w:eastAsia="Times New Roman" w:cs="Arial"/>
                <w:sz w:val="18"/>
                <w:szCs w:val="18"/>
                <w:lang w:val="en-US"/>
              </w:rPr>
              <w:t>513</w:t>
            </w:r>
          </w:p>
        </w:tc>
        <w:tc>
          <w:tcPr>
            <w:tcW w:w="519" w:type="pct"/>
            <w:tcBorders>
              <w:top w:val="nil"/>
              <w:left w:val="nil"/>
              <w:bottom w:val="nil"/>
              <w:right w:val="nil"/>
            </w:tcBorders>
            <w:shd w:val="clear" w:color="auto" w:fill="auto"/>
            <w:vAlign w:val="bottom"/>
          </w:tcPr>
          <w:p w14:paraId="37947FF0" w14:textId="67668ED0" w:rsidR="003E20E1" w:rsidRPr="00166751" w:rsidRDefault="003E20E1" w:rsidP="003E20E1">
            <w:pPr>
              <w:tabs>
                <w:tab w:val="right" w:pos="1202"/>
              </w:tabs>
              <w:spacing w:after="0" w:line="220" w:lineRule="exact"/>
              <w:jc w:val="right"/>
              <w:outlineLvl w:val="0"/>
              <w:rPr>
                <w:rFonts w:cs="Arial"/>
                <w:snapToGrid w:val="0"/>
                <w:sz w:val="18"/>
                <w:szCs w:val="18"/>
              </w:rPr>
            </w:pPr>
            <w:r w:rsidRPr="005E30C5">
              <w:rPr>
                <w:rFonts w:eastAsia="Times New Roman" w:cs="Arial"/>
                <w:sz w:val="18"/>
                <w:szCs w:val="18"/>
                <w:lang w:val="en-US"/>
              </w:rPr>
              <w:t>-</w:t>
            </w:r>
          </w:p>
        </w:tc>
        <w:tc>
          <w:tcPr>
            <w:tcW w:w="519" w:type="pct"/>
            <w:tcBorders>
              <w:top w:val="nil"/>
              <w:left w:val="nil"/>
              <w:bottom w:val="nil"/>
              <w:right w:val="nil"/>
            </w:tcBorders>
            <w:shd w:val="clear" w:color="auto" w:fill="auto"/>
            <w:vAlign w:val="bottom"/>
          </w:tcPr>
          <w:p w14:paraId="56FCE424" w14:textId="7EDD908E" w:rsidR="003E20E1" w:rsidRPr="00166751" w:rsidRDefault="003E20E1" w:rsidP="003E20E1">
            <w:pPr>
              <w:tabs>
                <w:tab w:val="right" w:pos="1202"/>
              </w:tabs>
              <w:spacing w:after="0" w:line="220" w:lineRule="exact"/>
              <w:jc w:val="right"/>
              <w:outlineLvl w:val="0"/>
              <w:rPr>
                <w:rFonts w:cs="Arial"/>
                <w:sz w:val="18"/>
                <w:szCs w:val="18"/>
              </w:rPr>
            </w:pPr>
            <w:r w:rsidRPr="005E30C5">
              <w:rPr>
                <w:rFonts w:eastAsia="Times New Roman" w:cs="Arial"/>
                <w:sz w:val="18"/>
                <w:szCs w:val="18"/>
                <w:lang w:val="en-US"/>
              </w:rPr>
              <w:t>3</w:t>
            </w:r>
            <w:r>
              <w:rPr>
                <w:rFonts w:eastAsia="Times New Roman" w:cs="Arial"/>
                <w:sz w:val="18"/>
                <w:szCs w:val="18"/>
                <w:lang w:val="en-US"/>
              </w:rPr>
              <w:t>,</w:t>
            </w:r>
            <w:r w:rsidRPr="005E30C5">
              <w:rPr>
                <w:rFonts w:eastAsia="Times New Roman" w:cs="Arial"/>
                <w:sz w:val="18"/>
                <w:szCs w:val="18"/>
                <w:lang w:val="en-US"/>
              </w:rPr>
              <w:t>336</w:t>
            </w:r>
            <w:r>
              <w:rPr>
                <w:rFonts w:eastAsia="Times New Roman" w:cs="Arial"/>
                <w:sz w:val="18"/>
                <w:szCs w:val="18"/>
                <w:lang w:val="en-US"/>
              </w:rPr>
              <w:t>,</w:t>
            </w:r>
            <w:r w:rsidRPr="005E30C5">
              <w:rPr>
                <w:rFonts w:eastAsia="Times New Roman" w:cs="Arial"/>
                <w:sz w:val="18"/>
                <w:szCs w:val="18"/>
                <w:lang w:val="en-US"/>
              </w:rPr>
              <w:t>279</w:t>
            </w:r>
          </w:p>
        </w:tc>
        <w:tc>
          <w:tcPr>
            <w:tcW w:w="518" w:type="pct"/>
            <w:tcBorders>
              <w:top w:val="nil"/>
              <w:left w:val="nil"/>
              <w:bottom w:val="nil"/>
              <w:right w:val="nil"/>
            </w:tcBorders>
            <w:shd w:val="clear" w:color="auto" w:fill="auto"/>
            <w:vAlign w:val="bottom"/>
          </w:tcPr>
          <w:p w14:paraId="3EC91DA2" w14:textId="14FF95FE" w:rsidR="003E20E1" w:rsidRPr="00166751" w:rsidRDefault="003E20E1" w:rsidP="003E20E1">
            <w:pPr>
              <w:tabs>
                <w:tab w:val="right" w:pos="1202"/>
              </w:tabs>
              <w:spacing w:after="0" w:line="220" w:lineRule="exact"/>
              <w:jc w:val="right"/>
              <w:outlineLvl w:val="0"/>
              <w:rPr>
                <w:rFonts w:cs="Arial"/>
                <w:spacing w:val="-2"/>
                <w:sz w:val="18"/>
                <w:szCs w:val="18"/>
              </w:rPr>
            </w:pPr>
            <w:r w:rsidRPr="005E30C5">
              <w:rPr>
                <w:rFonts w:eastAsia="Times New Roman" w:cs="Arial"/>
                <w:sz w:val="18"/>
                <w:szCs w:val="18"/>
                <w:lang w:val="en-US"/>
              </w:rPr>
              <w:t>466</w:t>
            </w:r>
            <w:r>
              <w:rPr>
                <w:rFonts w:eastAsia="Times New Roman" w:cs="Arial"/>
                <w:sz w:val="18"/>
                <w:szCs w:val="18"/>
                <w:lang w:val="en-US"/>
              </w:rPr>
              <w:t>,</w:t>
            </w:r>
            <w:r w:rsidRPr="005E30C5">
              <w:rPr>
                <w:rFonts w:eastAsia="Times New Roman" w:cs="Arial"/>
                <w:sz w:val="18"/>
                <w:szCs w:val="18"/>
                <w:lang w:val="en-US"/>
              </w:rPr>
              <w:t>544</w:t>
            </w:r>
          </w:p>
        </w:tc>
        <w:tc>
          <w:tcPr>
            <w:tcW w:w="519" w:type="pct"/>
            <w:tcBorders>
              <w:top w:val="nil"/>
              <w:left w:val="nil"/>
              <w:bottom w:val="nil"/>
              <w:right w:val="nil"/>
            </w:tcBorders>
            <w:shd w:val="clear" w:color="auto" w:fill="auto"/>
            <w:vAlign w:val="bottom"/>
          </w:tcPr>
          <w:p w14:paraId="4482A08D" w14:textId="2C29F53C" w:rsidR="003E20E1" w:rsidRPr="00166751" w:rsidRDefault="003E20E1" w:rsidP="003E20E1">
            <w:pPr>
              <w:tabs>
                <w:tab w:val="right" w:pos="1202"/>
              </w:tabs>
              <w:spacing w:after="0" w:line="220" w:lineRule="exact"/>
              <w:jc w:val="right"/>
              <w:outlineLvl w:val="0"/>
              <w:rPr>
                <w:rFonts w:cs="Arial"/>
                <w:spacing w:val="-2"/>
                <w:sz w:val="18"/>
                <w:szCs w:val="18"/>
              </w:rPr>
            </w:pPr>
            <w:r w:rsidRPr="005E30C5">
              <w:rPr>
                <w:rFonts w:eastAsia="Times New Roman" w:cs="Arial"/>
                <w:sz w:val="18"/>
                <w:szCs w:val="18"/>
                <w:lang w:val="en-US"/>
              </w:rPr>
              <w:t>-</w:t>
            </w:r>
          </w:p>
        </w:tc>
        <w:tc>
          <w:tcPr>
            <w:tcW w:w="519" w:type="pct"/>
            <w:tcBorders>
              <w:top w:val="nil"/>
              <w:left w:val="nil"/>
              <w:bottom w:val="nil"/>
              <w:right w:val="nil"/>
            </w:tcBorders>
            <w:shd w:val="clear" w:color="auto" w:fill="auto"/>
            <w:vAlign w:val="bottom"/>
          </w:tcPr>
          <w:p w14:paraId="62560CC0" w14:textId="60B1CEF8" w:rsidR="003E20E1" w:rsidRPr="00166751" w:rsidRDefault="003E20E1" w:rsidP="003E20E1">
            <w:pPr>
              <w:tabs>
                <w:tab w:val="right" w:pos="1202"/>
              </w:tabs>
              <w:spacing w:after="0" w:line="220" w:lineRule="exact"/>
              <w:jc w:val="right"/>
              <w:outlineLvl w:val="0"/>
              <w:rPr>
                <w:rFonts w:cs="Arial"/>
                <w:spacing w:val="-2"/>
                <w:sz w:val="18"/>
                <w:szCs w:val="18"/>
              </w:rPr>
            </w:pPr>
            <w:r w:rsidRPr="005E30C5">
              <w:rPr>
                <w:rFonts w:eastAsia="Times New Roman" w:cs="Arial"/>
                <w:sz w:val="18"/>
                <w:szCs w:val="18"/>
                <w:lang w:val="en-US"/>
              </w:rPr>
              <w:t>-</w:t>
            </w:r>
          </w:p>
        </w:tc>
        <w:tc>
          <w:tcPr>
            <w:tcW w:w="521" w:type="pct"/>
            <w:tcBorders>
              <w:top w:val="nil"/>
              <w:left w:val="nil"/>
              <w:bottom w:val="nil"/>
              <w:right w:val="nil"/>
            </w:tcBorders>
            <w:shd w:val="clear" w:color="auto" w:fill="auto"/>
            <w:vAlign w:val="bottom"/>
          </w:tcPr>
          <w:p w14:paraId="1A33FF30" w14:textId="205DE792" w:rsidR="003E20E1" w:rsidRPr="00166751" w:rsidRDefault="003E20E1" w:rsidP="003E20E1">
            <w:pPr>
              <w:tabs>
                <w:tab w:val="right" w:pos="1202"/>
              </w:tabs>
              <w:spacing w:after="0" w:line="220" w:lineRule="exact"/>
              <w:jc w:val="right"/>
              <w:outlineLvl w:val="0"/>
              <w:rPr>
                <w:rFonts w:cs="Arial"/>
                <w:spacing w:val="-2"/>
                <w:sz w:val="18"/>
                <w:szCs w:val="18"/>
              </w:rPr>
            </w:pPr>
            <w:r w:rsidRPr="005E30C5">
              <w:rPr>
                <w:rFonts w:eastAsia="Times New Roman" w:cs="Arial"/>
                <w:sz w:val="18"/>
                <w:szCs w:val="18"/>
                <w:lang w:val="en-US"/>
              </w:rPr>
              <w:t>466</w:t>
            </w:r>
            <w:r>
              <w:rPr>
                <w:rFonts w:eastAsia="Times New Roman" w:cs="Arial"/>
                <w:sz w:val="18"/>
                <w:szCs w:val="18"/>
                <w:lang w:val="en-US"/>
              </w:rPr>
              <w:t>,</w:t>
            </w:r>
            <w:r w:rsidRPr="005E30C5">
              <w:rPr>
                <w:rFonts w:eastAsia="Times New Roman" w:cs="Arial"/>
                <w:sz w:val="18"/>
                <w:szCs w:val="18"/>
                <w:lang w:val="en-US"/>
              </w:rPr>
              <w:t>544</w:t>
            </w:r>
          </w:p>
        </w:tc>
      </w:tr>
      <w:tr w:rsidR="003E20E1" w:rsidRPr="00F53BD7" w14:paraId="677A3467" w14:textId="77777777" w:rsidTr="005444AA">
        <w:trPr>
          <w:trHeight w:val="215"/>
        </w:trPr>
        <w:tc>
          <w:tcPr>
            <w:tcW w:w="847" w:type="pct"/>
            <w:vAlign w:val="bottom"/>
          </w:tcPr>
          <w:p w14:paraId="1F406C30" w14:textId="77777777" w:rsidR="003E20E1" w:rsidRPr="00F53BD7" w:rsidRDefault="003E20E1" w:rsidP="003E20E1">
            <w:pPr>
              <w:tabs>
                <w:tab w:val="right" w:pos="1202"/>
              </w:tabs>
              <w:spacing w:after="0" w:line="200" w:lineRule="exact"/>
              <w:outlineLvl w:val="0"/>
              <w:rPr>
                <w:rFonts w:eastAsia="Times New Roman" w:cs="Arial"/>
                <w:color w:val="FF0000"/>
                <w:sz w:val="17"/>
                <w:szCs w:val="17"/>
              </w:rPr>
            </w:pPr>
            <w:r w:rsidRPr="00F53BD7">
              <w:rPr>
                <w:rFonts w:eastAsia="Times New Roman" w:cs="Arial"/>
                <w:sz w:val="17"/>
                <w:szCs w:val="17"/>
              </w:rPr>
              <w:t xml:space="preserve">Other irrevocable contingent liabilities </w:t>
            </w:r>
          </w:p>
        </w:tc>
        <w:tc>
          <w:tcPr>
            <w:tcW w:w="519" w:type="pct"/>
            <w:tcBorders>
              <w:top w:val="nil"/>
              <w:left w:val="nil"/>
              <w:bottom w:val="single" w:sz="8" w:space="0" w:color="auto"/>
              <w:right w:val="nil"/>
            </w:tcBorders>
            <w:shd w:val="clear" w:color="auto" w:fill="auto"/>
            <w:vAlign w:val="bottom"/>
          </w:tcPr>
          <w:p w14:paraId="05832749" w14:textId="4D899FF5" w:rsidR="003E20E1" w:rsidRPr="00166751" w:rsidRDefault="003E20E1" w:rsidP="003E20E1">
            <w:pPr>
              <w:tabs>
                <w:tab w:val="right" w:pos="1202"/>
              </w:tabs>
              <w:spacing w:after="0" w:line="220" w:lineRule="exact"/>
              <w:jc w:val="right"/>
              <w:outlineLvl w:val="0"/>
              <w:rPr>
                <w:rFonts w:cs="Arial"/>
                <w:sz w:val="18"/>
                <w:szCs w:val="18"/>
                <w:lang w:val="pl-PL"/>
              </w:rPr>
            </w:pPr>
            <w:r w:rsidRPr="005E30C5">
              <w:rPr>
                <w:rFonts w:eastAsia="Times New Roman" w:cs="Arial"/>
                <w:sz w:val="18"/>
                <w:szCs w:val="18"/>
                <w:lang w:val="en-US"/>
              </w:rPr>
              <w:t>335</w:t>
            </w:r>
          </w:p>
        </w:tc>
        <w:tc>
          <w:tcPr>
            <w:tcW w:w="519" w:type="pct"/>
            <w:tcBorders>
              <w:top w:val="nil"/>
              <w:left w:val="nil"/>
              <w:bottom w:val="single" w:sz="8" w:space="0" w:color="auto"/>
              <w:right w:val="nil"/>
            </w:tcBorders>
            <w:shd w:val="clear" w:color="auto" w:fill="auto"/>
            <w:vAlign w:val="bottom"/>
          </w:tcPr>
          <w:p w14:paraId="1386D7B1" w14:textId="33CA64A1" w:rsidR="003E20E1" w:rsidRPr="00166751" w:rsidRDefault="003E20E1" w:rsidP="003E20E1">
            <w:pPr>
              <w:tabs>
                <w:tab w:val="right" w:pos="1202"/>
              </w:tabs>
              <w:spacing w:after="0" w:line="220" w:lineRule="exact"/>
              <w:jc w:val="right"/>
              <w:outlineLvl w:val="0"/>
              <w:rPr>
                <w:rFonts w:cs="Arial"/>
                <w:snapToGrid w:val="0"/>
                <w:sz w:val="18"/>
                <w:szCs w:val="18"/>
                <w:lang w:val="pl-PL"/>
              </w:rPr>
            </w:pPr>
            <w:r w:rsidRPr="005E30C5">
              <w:rPr>
                <w:rFonts w:eastAsia="Times New Roman" w:cs="Arial"/>
                <w:sz w:val="18"/>
                <w:szCs w:val="18"/>
                <w:lang w:val="en-US"/>
              </w:rPr>
              <w:t>-</w:t>
            </w:r>
          </w:p>
        </w:tc>
        <w:tc>
          <w:tcPr>
            <w:tcW w:w="519" w:type="pct"/>
            <w:tcBorders>
              <w:top w:val="nil"/>
              <w:left w:val="nil"/>
              <w:bottom w:val="single" w:sz="8" w:space="0" w:color="auto"/>
              <w:right w:val="nil"/>
            </w:tcBorders>
            <w:shd w:val="clear" w:color="auto" w:fill="auto"/>
            <w:vAlign w:val="bottom"/>
          </w:tcPr>
          <w:p w14:paraId="370D4F4F" w14:textId="76833A2B" w:rsidR="003E20E1" w:rsidRPr="00166751" w:rsidRDefault="003E20E1" w:rsidP="003E20E1">
            <w:pPr>
              <w:tabs>
                <w:tab w:val="right" w:pos="1202"/>
              </w:tabs>
              <w:spacing w:after="0" w:line="220" w:lineRule="exact"/>
              <w:jc w:val="right"/>
              <w:outlineLvl w:val="0"/>
              <w:rPr>
                <w:rFonts w:cs="Arial"/>
                <w:snapToGrid w:val="0"/>
                <w:sz w:val="18"/>
                <w:szCs w:val="18"/>
                <w:lang w:val="pl-PL"/>
              </w:rPr>
            </w:pPr>
            <w:r w:rsidRPr="005E30C5">
              <w:rPr>
                <w:rFonts w:eastAsia="Times New Roman" w:cs="Arial"/>
                <w:sz w:val="18"/>
                <w:szCs w:val="18"/>
                <w:lang w:val="en-US"/>
              </w:rPr>
              <w:t>-</w:t>
            </w:r>
          </w:p>
        </w:tc>
        <w:tc>
          <w:tcPr>
            <w:tcW w:w="519" w:type="pct"/>
            <w:tcBorders>
              <w:top w:val="nil"/>
              <w:left w:val="nil"/>
              <w:bottom w:val="single" w:sz="8" w:space="0" w:color="auto"/>
              <w:right w:val="nil"/>
            </w:tcBorders>
            <w:shd w:val="clear" w:color="auto" w:fill="auto"/>
            <w:vAlign w:val="bottom"/>
          </w:tcPr>
          <w:p w14:paraId="14A85169" w14:textId="235B80FA" w:rsidR="003E20E1" w:rsidRPr="00166751" w:rsidRDefault="003E20E1" w:rsidP="003E20E1">
            <w:pPr>
              <w:tabs>
                <w:tab w:val="right" w:pos="1202"/>
              </w:tabs>
              <w:spacing w:after="0" w:line="220" w:lineRule="exact"/>
              <w:jc w:val="right"/>
              <w:outlineLvl w:val="0"/>
              <w:rPr>
                <w:rFonts w:cs="Arial"/>
                <w:sz w:val="18"/>
                <w:szCs w:val="18"/>
                <w:lang w:val="pl-PL"/>
              </w:rPr>
            </w:pPr>
            <w:r w:rsidRPr="005E30C5">
              <w:rPr>
                <w:rFonts w:eastAsia="Times New Roman" w:cs="Arial"/>
                <w:sz w:val="18"/>
                <w:szCs w:val="18"/>
                <w:lang w:val="en-US"/>
              </w:rPr>
              <w:t>335</w:t>
            </w:r>
          </w:p>
        </w:tc>
        <w:tc>
          <w:tcPr>
            <w:tcW w:w="518" w:type="pct"/>
            <w:tcBorders>
              <w:top w:val="nil"/>
              <w:left w:val="nil"/>
              <w:bottom w:val="single" w:sz="8" w:space="0" w:color="auto"/>
              <w:right w:val="nil"/>
            </w:tcBorders>
            <w:shd w:val="clear" w:color="auto" w:fill="auto"/>
            <w:vAlign w:val="bottom"/>
          </w:tcPr>
          <w:p w14:paraId="1847D61B" w14:textId="086FCC51" w:rsidR="003E20E1" w:rsidRPr="00166751" w:rsidRDefault="003E20E1" w:rsidP="003E20E1">
            <w:pPr>
              <w:tabs>
                <w:tab w:val="right" w:pos="1202"/>
              </w:tabs>
              <w:spacing w:after="0" w:line="220" w:lineRule="exact"/>
              <w:jc w:val="right"/>
              <w:outlineLvl w:val="0"/>
              <w:rPr>
                <w:rFonts w:cs="Arial"/>
                <w:spacing w:val="-2"/>
                <w:sz w:val="18"/>
                <w:szCs w:val="18"/>
                <w:lang w:val="pl-PL"/>
              </w:rPr>
            </w:pPr>
            <w:r w:rsidRPr="005E30C5">
              <w:rPr>
                <w:rFonts w:eastAsia="Times New Roman" w:cs="Arial"/>
                <w:sz w:val="18"/>
                <w:szCs w:val="18"/>
                <w:lang w:val="en-US"/>
              </w:rPr>
              <w:t>335</w:t>
            </w:r>
          </w:p>
        </w:tc>
        <w:tc>
          <w:tcPr>
            <w:tcW w:w="519" w:type="pct"/>
            <w:tcBorders>
              <w:top w:val="nil"/>
              <w:left w:val="nil"/>
              <w:bottom w:val="single" w:sz="8" w:space="0" w:color="auto"/>
              <w:right w:val="nil"/>
            </w:tcBorders>
            <w:shd w:val="clear" w:color="auto" w:fill="auto"/>
            <w:vAlign w:val="bottom"/>
          </w:tcPr>
          <w:p w14:paraId="16ED7CB0" w14:textId="43FDFC91" w:rsidR="003E20E1" w:rsidRPr="00166751" w:rsidRDefault="003E20E1" w:rsidP="003E20E1">
            <w:pPr>
              <w:tabs>
                <w:tab w:val="right" w:pos="1202"/>
              </w:tabs>
              <w:spacing w:after="0" w:line="220" w:lineRule="exact"/>
              <w:jc w:val="right"/>
              <w:outlineLvl w:val="0"/>
              <w:rPr>
                <w:rFonts w:cs="Arial"/>
                <w:spacing w:val="-2"/>
                <w:sz w:val="18"/>
                <w:szCs w:val="18"/>
                <w:lang w:val="pl-PL"/>
              </w:rPr>
            </w:pPr>
            <w:r w:rsidRPr="005E30C5">
              <w:rPr>
                <w:rFonts w:eastAsia="Times New Roman" w:cs="Arial"/>
                <w:sz w:val="18"/>
                <w:szCs w:val="18"/>
                <w:lang w:val="en-US"/>
              </w:rPr>
              <w:t>-</w:t>
            </w:r>
          </w:p>
        </w:tc>
        <w:tc>
          <w:tcPr>
            <w:tcW w:w="519" w:type="pct"/>
            <w:tcBorders>
              <w:top w:val="nil"/>
              <w:left w:val="nil"/>
              <w:bottom w:val="single" w:sz="8" w:space="0" w:color="auto"/>
              <w:right w:val="nil"/>
            </w:tcBorders>
            <w:shd w:val="clear" w:color="auto" w:fill="auto"/>
            <w:vAlign w:val="bottom"/>
          </w:tcPr>
          <w:p w14:paraId="2FD52C3A" w14:textId="01CF28E9" w:rsidR="003E20E1" w:rsidRPr="00166751" w:rsidRDefault="003E20E1" w:rsidP="003E20E1">
            <w:pPr>
              <w:tabs>
                <w:tab w:val="right" w:pos="1202"/>
              </w:tabs>
              <w:spacing w:after="0" w:line="220" w:lineRule="exact"/>
              <w:jc w:val="right"/>
              <w:outlineLvl w:val="0"/>
              <w:rPr>
                <w:rFonts w:cs="Arial"/>
                <w:spacing w:val="-2"/>
                <w:sz w:val="18"/>
                <w:szCs w:val="18"/>
                <w:lang w:val="pl-PL"/>
              </w:rPr>
            </w:pPr>
            <w:r w:rsidRPr="005E30C5">
              <w:rPr>
                <w:rFonts w:eastAsia="Times New Roman" w:cs="Arial"/>
                <w:sz w:val="18"/>
                <w:szCs w:val="18"/>
                <w:lang w:val="en-US"/>
              </w:rPr>
              <w:t>-</w:t>
            </w:r>
          </w:p>
        </w:tc>
        <w:tc>
          <w:tcPr>
            <w:tcW w:w="521" w:type="pct"/>
            <w:tcBorders>
              <w:top w:val="nil"/>
              <w:left w:val="nil"/>
              <w:bottom w:val="single" w:sz="8" w:space="0" w:color="auto"/>
              <w:right w:val="nil"/>
            </w:tcBorders>
            <w:shd w:val="clear" w:color="auto" w:fill="auto"/>
            <w:vAlign w:val="bottom"/>
          </w:tcPr>
          <w:p w14:paraId="200E8111" w14:textId="03612B25" w:rsidR="003E20E1" w:rsidRPr="00166751" w:rsidRDefault="003E20E1" w:rsidP="003E20E1">
            <w:pPr>
              <w:tabs>
                <w:tab w:val="right" w:pos="1202"/>
              </w:tabs>
              <w:spacing w:after="0" w:line="220" w:lineRule="exact"/>
              <w:jc w:val="right"/>
              <w:outlineLvl w:val="0"/>
              <w:rPr>
                <w:rFonts w:cs="Arial"/>
                <w:spacing w:val="-2"/>
                <w:sz w:val="18"/>
                <w:szCs w:val="18"/>
                <w:lang w:val="pl-PL"/>
              </w:rPr>
            </w:pPr>
            <w:r w:rsidRPr="005E30C5">
              <w:rPr>
                <w:rFonts w:eastAsia="Times New Roman" w:cs="Arial"/>
                <w:sz w:val="18"/>
                <w:szCs w:val="18"/>
                <w:lang w:val="en-US"/>
              </w:rPr>
              <w:t>335</w:t>
            </w:r>
          </w:p>
        </w:tc>
      </w:tr>
      <w:tr w:rsidR="003E20E1" w:rsidRPr="00F53BD7" w14:paraId="1541B5C3" w14:textId="77777777" w:rsidTr="005444AA">
        <w:trPr>
          <w:trHeight w:val="114"/>
        </w:trPr>
        <w:tc>
          <w:tcPr>
            <w:tcW w:w="847" w:type="pct"/>
            <w:vAlign w:val="bottom"/>
          </w:tcPr>
          <w:p w14:paraId="56393B58" w14:textId="77777777" w:rsidR="003E20E1" w:rsidRPr="00F53BD7" w:rsidRDefault="003E20E1" w:rsidP="003E20E1">
            <w:pPr>
              <w:tabs>
                <w:tab w:val="right" w:pos="1202"/>
              </w:tabs>
              <w:spacing w:after="0" w:line="200" w:lineRule="exact"/>
              <w:outlineLvl w:val="0"/>
              <w:rPr>
                <w:rFonts w:eastAsia="Times New Roman" w:cs="Arial"/>
                <w:b/>
                <w:bCs/>
                <w:sz w:val="17"/>
                <w:szCs w:val="17"/>
              </w:rPr>
            </w:pPr>
            <w:r w:rsidRPr="00F53BD7">
              <w:rPr>
                <w:rFonts w:eastAsia="Times New Roman" w:cs="Arial"/>
                <w:b/>
                <w:bCs/>
                <w:sz w:val="17"/>
                <w:szCs w:val="17"/>
              </w:rPr>
              <w:t xml:space="preserve">Total </w:t>
            </w:r>
          </w:p>
        </w:tc>
        <w:tc>
          <w:tcPr>
            <w:tcW w:w="519" w:type="pct"/>
            <w:tcBorders>
              <w:top w:val="nil"/>
              <w:left w:val="nil"/>
              <w:bottom w:val="single" w:sz="12" w:space="0" w:color="auto"/>
              <w:right w:val="nil"/>
            </w:tcBorders>
            <w:shd w:val="clear" w:color="auto" w:fill="auto"/>
            <w:vAlign w:val="bottom"/>
          </w:tcPr>
          <w:p w14:paraId="6CA67655" w14:textId="0BE0C2F4" w:rsidR="003E20E1" w:rsidRPr="00166751" w:rsidRDefault="003E20E1" w:rsidP="003E20E1">
            <w:pPr>
              <w:tabs>
                <w:tab w:val="right" w:pos="1202"/>
              </w:tabs>
              <w:spacing w:after="0" w:line="220" w:lineRule="exact"/>
              <w:jc w:val="right"/>
              <w:outlineLvl w:val="0"/>
              <w:rPr>
                <w:rFonts w:cs="Arial"/>
                <w:b/>
                <w:bCs/>
                <w:sz w:val="18"/>
                <w:szCs w:val="18"/>
              </w:rPr>
            </w:pPr>
            <w:r w:rsidRPr="00B12006">
              <w:rPr>
                <w:rFonts w:eastAsia="Times New Roman" w:cs="Arial"/>
                <w:b/>
                <w:sz w:val="18"/>
                <w:szCs w:val="18"/>
                <w:lang w:val="en-US"/>
              </w:rPr>
              <w:t>5</w:t>
            </w:r>
            <w:r>
              <w:rPr>
                <w:rFonts w:eastAsia="Times New Roman" w:cs="Arial"/>
                <w:b/>
                <w:sz w:val="18"/>
                <w:szCs w:val="18"/>
                <w:lang w:val="en-US"/>
              </w:rPr>
              <w:t>,</w:t>
            </w:r>
            <w:r w:rsidRPr="00B12006">
              <w:rPr>
                <w:rFonts w:eastAsia="Times New Roman" w:cs="Arial"/>
                <w:b/>
                <w:sz w:val="18"/>
                <w:szCs w:val="18"/>
                <w:lang w:val="en-US"/>
              </w:rPr>
              <w:t>520</w:t>
            </w:r>
            <w:r>
              <w:rPr>
                <w:rFonts w:eastAsia="Times New Roman" w:cs="Arial"/>
                <w:b/>
                <w:sz w:val="18"/>
                <w:szCs w:val="18"/>
                <w:lang w:val="en-US"/>
              </w:rPr>
              <w:t>,</w:t>
            </w:r>
            <w:r w:rsidRPr="00B12006">
              <w:rPr>
                <w:rFonts w:eastAsia="Times New Roman" w:cs="Arial"/>
                <w:b/>
                <w:sz w:val="18"/>
                <w:szCs w:val="18"/>
                <w:lang w:val="en-US"/>
              </w:rPr>
              <w:t>374</w:t>
            </w:r>
          </w:p>
        </w:tc>
        <w:tc>
          <w:tcPr>
            <w:tcW w:w="519" w:type="pct"/>
            <w:tcBorders>
              <w:top w:val="nil"/>
              <w:left w:val="nil"/>
              <w:bottom w:val="single" w:sz="12" w:space="0" w:color="auto"/>
              <w:right w:val="nil"/>
            </w:tcBorders>
            <w:shd w:val="clear" w:color="auto" w:fill="auto"/>
            <w:vAlign w:val="bottom"/>
          </w:tcPr>
          <w:p w14:paraId="49169323" w14:textId="37BE88AF" w:rsidR="003E20E1" w:rsidRPr="00166751" w:rsidRDefault="003E20E1" w:rsidP="003E20E1">
            <w:pPr>
              <w:tabs>
                <w:tab w:val="right" w:pos="1202"/>
              </w:tabs>
              <w:spacing w:after="0" w:line="220" w:lineRule="exact"/>
              <w:jc w:val="right"/>
              <w:outlineLvl w:val="0"/>
              <w:rPr>
                <w:rFonts w:cs="Arial"/>
                <w:b/>
                <w:bCs/>
                <w:sz w:val="18"/>
                <w:szCs w:val="18"/>
              </w:rPr>
            </w:pPr>
            <w:r w:rsidRPr="00B12006">
              <w:rPr>
                <w:rFonts w:eastAsia="Times New Roman" w:cs="Arial"/>
                <w:b/>
                <w:sz w:val="18"/>
                <w:szCs w:val="18"/>
                <w:lang w:val="en-US"/>
              </w:rPr>
              <w:t>29</w:t>
            </w:r>
            <w:r>
              <w:rPr>
                <w:rFonts w:eastAsia="Times New Roman" w:cs="Arial"/>
                <w:b/>
                <w:sz w:val="18"/>
                <w:szCs w:val="18"/>
                <w:lang w:val="en-US"/>
              </w:rPr>
              <w:t>,</w:t>
            </w:r>
            <w:r w:rsidRPr="00B12006">
              <w:rPr>
                <w:rFonts w:eastAsia="Times New Roman" w:cs="Arial"/>
                <w:b/>
                <w:sz w:val="18"/>
                <w:szCs w:val="18"/>
                <w:lang w:val="en-US"/>
              </w:rPr>
              <w:t>872</w:t>
            </w:r>
          </w:p>
        </w:tc>
        <w:tc>
          <w:tcPr>
            <w:tcW w:w="519" w:type="pct"/>
            <w:tcBorders>
              <w:top w:val="nil"/>
              <w:left w:val="nil"/>
              <w:bottom w:val="single" w:sz="12" w:space="0" w:color="auto"/>
              <w:right w:val="nil"/>
            </w:tcBorders>
            <w:shd w:val="clear" w:color="auto" w:fill="auto"/>
            <w:vAlign w:val="bottom"/>
          </w:tcPr>
          <w:p w14:paraId="02179417" w14:textId="238E7F63" w:rsidR="003E20E1" w:rsidRPr="00166751" w:rsidRDefault="003E20E1" w:rsidP="003E20E1">
            <w:pPr>
              <w:tabs>
                <w:tab w:val="right" w:pos="1202"/>
              </w:tabs>
              <w:spacing w:after="0" w:line="220" w:lineRule="exact"/>
              <w:jc w:val="right"/>
              <w:outlineLvl w:val="0"/>
              <w:rPr>
                <w:rFonts w:cs="Arial"/>
                <w:snapToGrid w:val="0"/>
                <w:sz w:val="18"/>
                <w:szCs w:val="18"/>
              </w:rPr>
            </w:pPr>
            <w:r w:rsidRPr="00B12006">
              <w:rPr>
                <w:rFonts w:eastAsia="Times New Roman" w:cs="Arial"/>
                <w:b/>
                <w:sz w:val="18"/>
                <w:szCs w:val="18"/>
                <w:lang w:val="en-US"/>
              </w:rPr>
              <w:t>-</w:t>
            </w:r>
          </w:p>
        </w:tc>
        <w:tc>
          <w:tcPr>
            <w:tcW w:w="519" w:type="pct"/>
            <w:tcBorders>
              <w:top w:val="nil"/>
              <w:left w:val="nil"/>
              <w:bottom w:val="single" w:sz="12" w:space="0" w:color="auto"/>
              <w:right w:val="nil"/>
            </w:tcBorders>
            <w:shd w:val="clear" w:color="auto" w:fill="auto"/>
            <w:vAlign w:val="bottom"/>
          </w:tcPr>
          <w:p w14:paraId="5D98D8D2" w14:textId="3420C80D" w:rsidR="003E20E1" w:rsidRPr="00166751" w:rsidRDefault="003E20E1" w:rsidP="003E20E1">
            <w:pPr>
              <w:tabs>
                <w:tab w:val="right" w:pos="1202"/>
              </w:tabs>
              <w:spacing w:after="0" w:line="220" w:lineRule="exact"/>
              <w:jc w:val="right"/>
              <w:outlineLvl w:val="0"/>
              <w:rPr>
                <w:rFonts w:cs="Arial"/>
                <w:b/>
                <w:bCs/>
                <w:sz w:val="18"/>
                <w:szCs w:val="18"/>
              </w:rPr>
            </w:pPr>
            <w:r w:rsidRPr="00B12006">
              <w:rPr>
                <w:rFonts w:eastAsia="Times New Roman" w:cs="Arial"/>
                <w:b/>
                <w:sz w:val="18"/>
                <w:szCs w:val="18"/>
                <w:lang w:val="en-US"/>
              </w:rPr>
              <w:t>5</w:t>
            </w:r>
            <w:r>
              <w:rPr>
                <w:rFonts w:eastAsia="Times New Roman" w:cs="Arial"/>
                <w:b/>
                <w:sz w:val="18"/>
                <w:szCs w:val="18"/>
                <w:lang w:val="en-US"/>
              </w:rPr>
              <w:t>,</w:t>
            </w:r>
            <w:r w:rsidRPr="00B12006">
              <w:rPr>
                <w:rFonts w:eastAsia="Times New Roman" w:cs="Arial"/>
                <w:b/>
                <w:sz w:val="18"/>
                <w:szCs w:val="18"/>
                <w:lang w:val="en-US"/>
              </w:rPr>
              <w:t>550</w:t>
            </w:r>
            <w:r>
              <w:rPr>
                <w:rFonts w:eastAsia="Times New Roman" w:cs="Arial"/>
                <w:b/>
                <w:sz w:val="18"/>
                <w:szCs w:val="18"/>
                <w:lang w:val="en-US"/>
              </w:rPr>
              <w:t>,</w:t>
            </w:r>
            <w:r w:rsidRPr="00B12006">
              <w:rPr>
                <w:rFonts w:eastAsia="Times New Roman" w:cs="Arial"/>
                <w:b/>
                <w:sz w:val="18"/>
                <w:szCs w:val="18"/>
                <w:lang w:val="en-US"/>
              </w:rPr>
              <w:t>246</w:t>
            </w:r>
          </w:p>
        </w:tc>
        <w:tc>
          <w:tcPr>
            <w:tcW w:w="518" w:type="pct"/>
            <w:tcBorders>
              <w:top w:val="nil"/>
              <w:left w:val="nil"/>
              <w:bottom w:val="single" w:sz="12" w:space="0" w:color="auto"/>
              <w:right w:val="nil"/>
            </w:tcBorders>
            <w:shd w:val="clear" w:color="auto" w:fill="auto"/>
            <w:vAlign w:val="bottom"/>
          </w:tcPr>
          <w:p w14:paraId="4BC2DF69" w14:textId="68A767AC" w:rsidR="003E20E1" w:rsidRPr="00166751" w:rsidRDefault="003E20E1" w:rsidP="003E20E1">
            <w:pPr>
              <w:tabs>
                <w:tab w:val="right" w:pos="1202"/>
              </w:tabs>
              <w:spacing w:after="0" w:line="220" w:lineRule="exact"/>
              <w:jc w:val="right"/>
              <w:outlineLvl w:val="0"/>
              <w:rPr>
                <w:rFonts w:cs="Arial"/>
                <w:b/>
                <w:bCs/>
                <w:sz w:val="18"/>
                <w:szCs w:val="18"/>
              </w:rPr>
            </w:pPr>
            <w:r w:rsidRPr="00B12006">
              <w:rPr>
                <w:rFonts w:eastAsia="Times New Roman" w:cs="Arial"/>
                <w:b/>
                <w:sz w:val="18"/>
                <w:szCs w:val="18"/>
                <w:lang w:val="en-US"/>
              </w:rPr>
              <w:t>757</w:t>
            </w:r>
            <w:r>
              <w:rPr>
                <w:rFonts w:eastAsia="Times New Roman" w:cs="Arial"/>
                <w:b/>
                <w:sz w:val="18"/>
                <w:szCs w:val="18"/>
                <w:lang w:val="en-US"/>
              </w:rPr>
              <w:t>,</w:t>
            </w:r>
            <w:r w:rsidRPr="00B12006">
              <w:rPr>
                <w:rFonts w:eastAsia="Times New Roman" w:cs="Arial"/>
                <w:b/>
                <w:sz w:val="18"/>
                <w:szCs w:val="18"/>
                <w:lang w:val="en-US"/>
              </w:rPr>
              <w:t>120</w:t>
            </w:r>
          </w:p>
        </w:tc>
        <w:tc>
          <w:tcPr>
            <w:tcW w:w="519" w:type="pct"/>
            <w:tcBorders>
              <w:top w:val="nil"/>
              <w:left w:val="nil"/>
              <w:bottom w:val="single" w:sz="12" w:space="0" w:color="auto"/>
              <w:right w:val="nil"/>
            </w:tcBorders>
            <w:shd w:val="clear" w:color="auto" w:fill="auto"/>
            <w:vAlign w:val="bottom"/>
          </w:tcPr>
          <w:p w14:paraId="0E0197F0" w14:textId="7941203A" w:rsidR="003E20E1" w:rsidRPr="00166751" w:rsidRDefault="003E20E1" w:rsidP="003E20E1">
            <w:pPr>
              <w:tabs>
                <w:tab w:val="right" w:pos="1202"/>
              </w:tabs>
              <w:spacing w:after="0" w:line="220" w:lineRule="exact"/>
              <w:jc w:val="right"/>
              <w:outlineLvl w:val="0"/>
              <w:rPr>
                <w:rFonts w:cs="Arial"/>
                <w:b/>
                <w:bCs/>
                <w:sz w:val="18"/>
                <w:szCs w:val="18"/>
              </w:rPr>
            </w:pPr>
            <w:r w:rsidRPr="00B12006">
              <w:rPr>
                <w:rFonts w:eastAsia="Times New Roman" w:cs="Arial"/>
                <w:b/>
                <w:sz w:val="18"/>
                <w:szCs w:val="18"/>
                <w:lang w:val="en-US"/>
              </w:rPr>
              <w:t>-</w:t>
            </w:r>
          </w:p>
        </w:tc>
        <w:tc>
          <w:tcPr>
            <w:tcW w:w="519" w:type="pct"/>
            <w:tcBorders>
              <w:top w:val="nil"/>
              <w:left w:val="nil"/>
              <w:bottom w:val="single" w:sz="12" w:space="0" w:color="auto"/>
              <w:right w:val="nil"/>
            </w:tcBorders>
            <w:shd w:val="clear" w:color="auto" w:fill="auto"/>
            <w:vAlign w:val="bottom"/>
          </w:tcPr>
          <w:p w14:paraId="6E2E8F07" w14:textId="527E3CBE" w:rsidR="003E20E1" w:rsidRPr="00166751" w:rsidRDefault="003E20E1" w:rsidP="003E20E1">
            <w:pPr>
              <w:tabs>
                <w:tab w:val="right" w:pos="1202"/>
              </w:tabs>
              <w:spacing w:after="0" w:line="220" w:lineRule="exact"/>
              <w:jc w:val="right"/>
              <w:outlineLvl w:val="0"/>
              <w:rPr>
                <w:rFonts w:cs="Arial"/>
                <w:spacing w:val="-2"/>
                <w:sz w:val="18"/>
                <w:szCs w:val="18"/>
              </w:rPr>
            </w:pPr>
            <w:r w:rsidRPr="00B12006">
              <w:rPr>
                <w:rFonts w:eastAsia="Times New Roman" w:cs="Arial"/>
                <w:b/>
                <w:sz w:val="18"/>
                <w:szCs w:val="18"/>
                <w:lang w:val="en-US"/>
              </w:rPr>
              <w:t>-</w:t>
            </w:r>
          </w:p>
        </w:tc>
        <w:tc>
          <w:tcPr>
            <w:tcW w:w="521" w:type="pct"/>
            <w:tcBorders>
              <w:top w:val="nil"/>
              <w:left w:val="nil"/>
              <w:bottom w:val="single" w:sz="12" w:space="0" w:color="auto"/>
              <w:right w:val="nil"/>
            </w:tcBorders>
            <w:shd w:val="clear" w:color="auto" w:fill="auto"/>
            <w:vAlign w:val="bottom"/>
          </w:tcPr>
          <w:p w14:paraId="0B31EC44" w14:textId="4FED1F9C" w:rsidR="003E20E1" w:rsidRPr="00166751" w:rsidRDefault="003E20E1" w:rsidP="003E20E1">
            <w:pPr>
              <w:tabs>
                <w:tab w:val="right" w:pos="1202"/>
              </w:tabs>
              <w:spacing w:after="0" w:line="220" w:lineRule="exact"/>
              <w:jc w:val="right"/>
              <w:outlineLvl w:val="0"/>
              <w:rPr>
                <w:rFonts w:cs="Arial"/>
                <w:b/>
                <w:bCs/>
                <w:sz w:val="18"/>
                <w:szCs w:val="18"/>
              </w:rPr>
            </w:pPr>
            <w:r w:rsidRPr="00B12006">
              <w:rPr>
                <w:rFonts w:eastAsia="Times New Roman" w:cs="Arial"/>
                <w:b/>
                <w:sz w:val="18"/>
                <w:szCs w:val="18"/>
                <w:lang w:val="en-US"/>
              </w:rPr>
              <w:t>757</w:t>
            </w:r>
            <w:r>
              <w:rPr>
                <w:rFonts w:eastAsia="Times New Roman" w:cs="Arial"/>
                <w:b/>
                <w:sz w:val="18"/>
                <w:szCs w:val="18"/>
                <w:lang w:val="en-US"/>
              </w:rPr>
              <w:t>,</w:t>
            </w:r>
            <w:r w:rsidRPr="00B12006">
              <w:rPr>
                <w:rFonts w:eastAsia="Times New Roman" w:cs="Arial"/>
                <w:b/>
                <w:sz w:val="18"/>
                <w:szCs w:val="18"/>
                <w:lang w:val="en-US"/>
              </w:rPr>
              <w:t>120</w:t>
            </w:r>
          </w:p>
        </w:tc>
      </w:tr>
      <w:tr w:rsidR="003E20E1" w:rsidRPr="00F53BD7" w14:paraId="76ADC978" w14:textId="77777777" w:rsidTr="005444AA">
        <w:trPr>
          <w:trHeight w:val="141"/>
        </w:trPr>
        <w:tc>
          <w:tcPr>
            <w:tcW w:w="847" w:type="pct"/>
            <w:vAlign w:val="bottom"/>
          </w:tcPr>
          <w:p w14:paraId="14E6B124" w14:textId="77777777" w:rsidR="003E20E1" w:rsidRPr="00F53BD7" w:rsidRDefault="003E20E1" w:rsidP="003E20E1">
            <w:pPr>
              <w:tabs>
                <w:tab w:val="right" w:pos="1202"/>
              </w:tabs>
              <w:spacing w:after="0" w:line="200" w:lineRule="exact"/>
              <w:outlineLvl w:val="0"/>
              <w:rPr>
                <w:rFonts w:eastAsia="Times New Roman" w:cs="Arial"/>
                <w:b/>
                <w:bCs/>
                <w:sz w:val="17"/>
                <w:szCs w:val="17"/>
              </w:rPr>
            </w:pPr>
            <w:r w:rsidRPr="00F53BD7">
              <w:rPr>
                <w:rFonts w:eastAsia="Times New Roman" w:cs="Arial"/>
                <w:b/>
                <w:bCs/>
                <w:sz w:val="17"/>
                <w:szCs w:val="17"/>
              </w:rPr>
              <w:t>Total credit risk  exposure</w:t>
            </w:r>
          </w:p>
        </w:tc>
        <w:tc>
          <w:tcPr>
            <w:tcW w:w="519" w:type="pct"/>
            <w:tcBorders>
              <w:top w:val="nil"/>
              <w:left w:val="nil"/>
              <w:bottom w:val="single" w:sz="12" w:space="0" w:color="auto"/>
              <w:right w:val="nil"/>
            </w:tcBorders>
            <w:shd w:val="clear" w:color="auto" w:fill="auto"/>
            <w:vAlign w:val="bottom"/>
          </w:tcPr>
          <w:p w14:paraId="71266780" w14:textId="69C070AA" w:rsidR="003E20E1" w:rsidRPr="00166751" w:rsidRDefault="003E20E1" w:rsidP="003E20E1">
            <w:pPr>
              <w:tabs>
                <w:tab w:val="right" w:pos="1202"/>
              </w:tabs>
              <w:spacing w:after="0" w:line="220" w:lineRule="exact"/>
              <w:jc w:val="right"/>
              <w:outlineLvl w:val="0"/>
              <w:rPr>
                <w:rFonts w:cs="Arial"/>
                <w:b/>
                <w:bCs/>
                <w:sz w:val="18"/>
                <w:szCs w:val="18"/>
              </w:rPr>
            </w:pPr>
            <w:r w:rsidRPr="00B12006">
              <w:rPr>
                <w:rFonts w:eastAsia="Times New Roman" w:cs="Arial"/>
                <w:b/>
                <w:sz w:val="18"/>
                <w:szCs w:val="18"/>
                <w:lang w:val="en-US"/>
              </w:rPr>
              <w:t>31</w:t>
            </w:r>
            <w:r>
              <w:rPr>
                <w:rFonts w:eastAsia="Times New Roman" w:cs="Arial"/>
                <w:b/>
                <w:sz w:val="18"/>
                <w:szCs w:val="18"/>
                <w:lang w:val="en-US"/>
              </w:rPr>
              <w:t>,</w:t>
            </w:r>
            <w:r w:rsidRPr="00B12006">
              <w:rPr>
                <w:rFonts w:eastAsia="Times New Roman" w:cs="Arial"/>
                <w:b/>
                <w:sz w:val="18"/>
                <w:szCs w:val="18"/>
                <w:lang w:val="en-US"/>
              </w:rPr>
              <w:t>948</w:t>
            </w:r>
            <w:r>
              <w:rPr>
                <w:rFonts w:eastAsia="Times New Roman" w:cs="Arial"/>
                <w:b/>
                <w:sz w:val="18"/>
                <w:szCs w:val="18"/>
                <w:lang w:val="en-US"/>
              </w:rPr>
              <w:t>,</w:t>
            </w:r>
            <w:r w:rsidRPr="00B12006">
              <w:rPr>
                <w:rFonts w:eastAsia="Times New Roman" w:cs="Arial"/>
                <w:b/>
                <w:sz w:val="18"/>
                <w:szCs w:val="18"/>
                <w:lang w:val="en-US"/>
              </w:rPr>
              <w:t>975</w:t>
            </w:r>
          </w:p>
        </w:tc>
        <w:tc>
          <w:tcPr>
            <w:tcW w:w="519" w:type="pct"/>
            <w:tcBorders>
              <w:top w:val="nil"/>
              <w:left w:val="nil"/>
              <w:bottom w:val="single" w:sz="12" w:space="0" w:color="auto"/>
              <w:right w:val="nil"/>
            </w:tcBorders>
            <w:shd w:val="clear" w:color="auto" w:fill="auto"/>
            <w:vAlign w:val="bottom"/>
          </w:tcPr>
          <w:p w14:paraId="695D86E5" w14:textId="0F6A348C" w:rsidR="003E20E1" w:rsidRPr="00166751" w:rsidRDefault="003E20E1" w:rsidP="003E20E1">
            <w:pPr>
              <w:tabs>
                <w:tab w:val="right" w:pos="1202"/>
              </w:tabs>
              <w:spacing w:after="0" w:line="220" w:lineRule="exact"/>
              <w:jc w:val="right"/>
              <w:outlineLvl w:val="0"/>
              <w:rPr>
                <w:rFonts w:cs="Arial"/>
                <w:b/>
                <w:bCs/>
                <w:sz w:val="18"/>
                <w:szCs w:val="18"/>
              </w:rPr>
            </w:pPr>
            <w:r w:rsidRPr="00B12006">
              <w:rPr>
                <w:rFonts w:eastAsia="Times New Roman" w:cs="Arial"/>
                <w:b/>
                <w:sz w:val="18"/>
                <w:szCs w:val="18"/>
                <w:lang w:val="en-US"/>
              </w:rPr>
              <w:t>1</w:t>
            </w:r>
            <w:r>
              <w:rPr>
                <w:rFonts w:eastAsia="Times New Roman" w:cs="Arial"/>
                <w:b/>
                <w:sz w:val="18"/>
                <w:szCs w:val="18"/>
                <w:lang w:val="en-US"/>
              </w:rPr>
              <w:t>,</w:t>
            </w:r>
            <w:r w:rsidRPr="00B12006">
              <w:rPr>
                <w:rFonts w:eastAsia="Times New Roman" w:cs="Arial"/>
                <w:b/>
                <w:sz w:val="18"/>
                <w:szCs w:val="18"/>
                <w:lang w:val="en-US"/>
              </w:rPr>
              <w:t>726</w:t>
            </w:r>
            <w:r>
              <w:rPr>
                <w:rFonts w:eastAsia="Times New Roman" w:cs="Arial"/>
                <w:b/>
                <w:sz w:val="18"/>
                <w:szCs w:val="18"/>
                <w:lang w:val="en-US"/>
              </w:rPr>
              <w:t>,</w:t>
            </w:r>
            <w:r w:rsidRPr="00B12006">
              <w:rPr>
                <w:rFonts w:eastAsia="Times New Roman" w:cs="Arial"/>
                <w:b/>
                <w:sz w:val="18"/>
                <w:szCs w:val="18"/>
                <w:lang w:val="en-US"/>
              </w:rPr>
              <w:t>290</w:t>
            </w:r>
          </w:p>
        </w:tc>
        <w:tc>
          <w:tcPr>
            <w:tcW w:w="519" w:type="pct"/>
            <w:tcBorders>
              <w:top w:val="nil"/>
              <w:left w:val="nil"/>
              <w:bottom w:val="single" w:sz="12" w:space="0" w:color="auto"/>
              <w:right w:val="nil"/>
            </w:tcBorders>
            <w:shd w:val="clear" w:color="auto" w:fill="auto"/>
            <w:vAlign w:val="bottom"/>
          </w:tcPr>
          <w:p w14:paraId="440CE086" w14:textId="786E8D76" w:rsidR="003E20E1" w:rsidRPr="00166751" w:rsidRDefault="003E20E1" w:rsidP="003E20E1">
            <w:pPr>
              <w:tabs>
                <w:tab w:val="right" w:pos="1202"/>
              </w:tabs>
              <w:spacing w:after="0" w:line="220" w:lineRule="exact"/>
              <w:jc w:val="right"/>
              <w:outlineLvl w:val="0"/>
              <w:rPr>
                <w:rFonts w:cs="Arial"/>
                <w:b/>
                <w:bCs/>
                <w:sz w:val="18"/>
                <w:szCs w:val="18"/>
              </w:rPr>
            </w:pPr>
            <w:r w:rsidRPr="00B12006">
              <w:rPr>
                <w:rFonts w:eastAsia="Times New Roman" w:cs="Arial"/>
                <w:b/>
                <w:sz w:val="18"/>
                <w:szCs w:val="18"/>
                <w:lang w:val="en-US"/>
              </w:rPr>
              <w:t>-</w:t>
            </w:r>
          </w:p>
        </w:tc>
        <w:tc>
          <w:tcPr>
            <w:tcW w:w="519" w:type="pct"/>
            <w:tcBorders>
              <w:top w:val="nil"/>
              <w:left w:val="nil"/>
              <w:bottom w:val="single" w:sz="12" w:space="0" w:color="auto"/>
              <w:right w:val="nil"/>
            </w:tcBorders>
            <w:shd w:val="clear" w:color="auto" w:fill="auto"/>
            <w:vAlign w:val="bottom"/>
          </w:tcPr>
          <w:p w14:paraId="3D0E4CA5" w14:textId="7CF9E9E7" w:rsidR="003E20E1" w:rsidRPr="00166751" w:rsidRDefault="003E20E1" w:rsidP="003E20E1">
            <w:pPr>
              <w:tabs>
                <w:tab w:val="right" w:pos="1202"/>
              </w:tabs>
              <w:spacing w:after="0" w:line="220" w:lineRule="exact"/>
              <w:jc w:val="right"/>
              <w:outlineLvl w:val="0"/>
              <w:rPr>
                <w:rFonts w:cs="Arial"/>
                <w:b/>
                <w:bCs/>
                <w:sz w:val="18"/>
                <w:szCs w:val="18"/>
              </w:rPr>
            </w:pPr>
            <w:r w:rsidRPr="00B12006">
              <w:rPr>
                <w:rFonts w:eastAsia="Times New Roman" w:cs="Arial"/>
                <w:b/>
                <w:sz w:val="18"/>
                <w:szCs w:val="18"/>
                <w:lang w:val="en-US"/>
              </w:rPr>
              <w:t>33</w:t>
            </w:r>
            <w:r>
              <w:rPr>
                <w:rFonts w:eastAsia="Times New Roman" w:cs="Arial"/>
                <w:b/>
                <w:sz w:val="18"/>
                <w:szCs w:val="18"/>
                <w:lang w:val="en-US"/>
              </w:rPr>
              <w:t>,</w:t>
            </w:r>
            <w:r w:rsidRPr="00B12006">
              <w:rPr>
                <w:rFonts w:eastAsia="Times New Roman" w:cs="Arial"/>
                <w:b/>
                <w:sz w:val="18"/>
                <w:szCs w:val="18"/>
                <w:lang w:val="en-US"/>
              </w:rPr>
              <w:t>675</w:t>
            </w:r>
            <w:r>
              <w:rPr>
                <w:rFonts w:eastAsia="Times New Roman" w:cs="Arial"/>
                <w:b/>
                <w:sz w:val="18"/>
                <w:szCs w:val="18"/>
                <w:lang w:val="en-US"/>
              </w:rPr>
              <w:t>,</w:t>
            </w:r>
            <w:r w:rsidRPr="00B12006">
              <w:rPr>
                <w:rFonts w:eastAsia="Times New Roman" w:cs="Arial"/>
                <w:b/>
                <w:sz w:val="18"/>
                <w:szCs w:val="18"/>
                <w:lang w:val="en-US"/>
              </w:rPr>
              <w:t>265</w:t>
            </w:r>
          </w:p>
        </w:tc>
        <w:tc>
          <w:tcPr>
            <w:tcW w:w="518" w:type="pct"/>
            <w:tcBorders>
              <w:top w:val="nil"/>
              <w:left w:val="nil"/>
              <w:bottom w:val="single" w:sz="12" w:space="0" w:color="auto"/>
              <w:right w:val="nil"/>
            </w:tcBorders>
            <w:shd w:val="clear" w:color="auto" w:fill="auto"/>
            <w:vAlign w:val="bottom"/>
          </w:tcPr>
          <w:p w14:paraId="689F3938" w14:textId="1A8F3FFA" w:rsidR="003E20E1" w:rsidRPr="00166751" w:rsidRDefault="003E20E1" w:rsidP="003E20E1">
            <w:pPr>
              <w:tabs>
                <w:tab w:val="right" w:pos="1202"/>
              </w:tabs>
              <w:spacing w:after="0" w:line="220" w:lineRule="exact"/>
              <w:jc w:val="right"/>
              <w:outlineLvl w:val="0"/>
              <w:rPr>
                <w:rFonts w:cs="Arial"/>
                <w:b/>
                <w:bCs/>
                <w:sz w:val="18"/>
                <w:szCs w:val="18"/>
              </w:rPr>
            </w:pPr>
            <w:r w:rsidRPr="00B12006">
              <w:rPr>
                <w:rFonts w:eastAsia="Times New Roman" w:cs="Arial"/>
                <w:b/>
                <w:sz w:val="18"/>
                <w:szCs w:val="18"/>
                <w:lang w:val="en-US"/>
              </w:rPr>
              <w:t>5</w:t>
            </w:r>
            <w:r>
              <w:rPr>
                <w:rFonts w:eastAsia="Times New Roman" w:cs="Arial"/>
                <w:b/>
                <w:sz w:val="18"/>
                <w:szCs w:val="18"/>
                <w:lang w:val="en-US"/>
              </w:rPr>
              <w:t>,</w:t>
            </w:r>
            <w:r w:rsidRPr="00B12006">
              <w:rPr>
                <w:rFonts w:eastAsia="Times New Roman" w:cs="Arial"/>
                <w:b/>
                <w:sz w:val="18"/>
                <w:szCs w:val="18"/>
                <w:lang w:val="en-US"/>
              </w:rPr>
              <w:t>872</w:t>
            </w:r>
            <w:r>
              <w:rPr>
                <w:rFonts w:eastAsia="Times New Roman" w:cs="Arial"/>
                <w:b/>
                <w:sz w:val="18"/>
                <w:szCs w:val="18"/>
                <w:lang w:val="en-US"/>
              </w:rPr>
              <w:t>,</w:t>
            </w:r>
            <w:r w:rsidRPr="00B12006">
              <w:rPr>
                <w:rFonts w:eastAsia="Times New Roman" w:cs="Arial"/>
                <w:b/>
                <w:sz w:val="18"/>
                <w:szCs w:val="18"/>
                <w:lang w:val="en-US"/>
              </w:rPr>
              <w:t>299</w:t>
            </w:r>
          </w:p>
        </w:tc>
        <w:tc>
          <w:tcPr>
            <w:tcW w:w="519" w:type="pct"/>
            <w:tcBorders>
              <w:top w:val="nil"/>
              <w:left w:val="nil"/>
              <w:bottom w:val="single" w:sz="12" w:space="0" w:color="auto"/>
              <w:right w:val="nil"/>
            </w:tcBorders>
            <w:shd w:val="clear" w:color="auto" w:fill="auto"/>
            <w:vAlign w:val="bottom"/>
          </w:tcPr>
          <w:p w14:paraId="3F630D09" w14:textId="3B948EB6" w:rsidR="003E20E1" w:rsidRPr="00166751" w:rsidRDefault="003E20E1" w:rsidP="003E20E1">
            <w:pPr>
              <w:tabs>
                <w:tab w:val="right" w:pos="1202"/>
              </w:tabs>
              <w:spacing w:after="0" w:line="220" w:lineRule="exact"/>
              <w:jc w:val="right"/>
              <w:outlineLvl w:val="0"/>
              <w:rPr>
                <w:rFonts w:cs="Arial"/>
                <w:b/>
                <w:bCs/>
                <w:sz w:val="18"/>
                <w:szCs w:val="18"/>
              </w:rPr>
            </w:pPr>
            <w:r w:rsidRPr="00B12006">
              <w:rPr>
                <w:rFonts w:eastAsia="Times New Roman" w:cs="Arial"/>
                <w:b/>
                <w:sz w:val="18"/>
                <w:szCs w:val="18"/>
                <w:lang w:val="en-US"/>
              </w:rPr>
              <w:t>49</w:t>
            </w:r>
            <w:r>
              <w:rPr>
                <w:rFonts w:eastAsia="Times New Roman" w:cs="Arial"/>
                <w:b/>
                <w:sz w:val="18"/>
                <w:szCs w:val="18"/>
                <w:lang w:val="en-US"/>
              </w:rPr>
              <w:t>,</w:t>
            </w:r>
            <w:r w:rsidRPr="00B12006">
              <w:rPr>
                <w:rFonts w:eastAsia="Times New Roman" w:cs="Arial"/>
                <w:b/>
                <w:sz w:val="18"/>
                <w:szCs w:val="18"/>
                <w:lang w:val="en-US"/>
              </w:rPr>
              <w:t>187</w:t>
            </w:r>
          </w:p>
        </w:tc>
        <w:tc>
          <w:tcPr>
            <w:tcW w:w="519" w:type="pct"/>
            <w:tcBorders>
              <w:top w:val="nil"/>
              <w:left w:val="nil"/>
              <w:bottom w:val="single" w:sz="12" w:space="0" w:color="auto"/>
              <w:right w:val="nil"/>
            </w:tcBorders>
            <w:shd w:val="clear" w:color="auto" w:fill="auto"/>
            <w:vAlign w:val="bottom"/>
          </w:tcPr>
          <w:p w14:paraId="55F7D721" w14:textId="4D33BA27" w:rsidR="003E20E1" w:rsidRPr="00166751" w:rsidRDefault="003E20E1" w:rsidP="003E20E1">
            <w:pPr>
              <w:tabs>
                <w:tab w:val="right" w:pos="1202"/>
              </w:tabs>
              <w:spacing w:after="0" w:line="220" w:lineRule="exact"/>
              <w:jc w:val="right"/>
              <w:outlineLvl w:val="0"/>
              <w:rPr>
                <w:rFonts w:cs="Arial"/>
                <w:spacing w:val="-2"/>
                <w:sz w:val="18"/>
                <w:szCs w:val="18"/>
              </w:rPr>
            </w:pPr>
            <w:r w:rsidRPr="00B12006">
              <w:rPr>
                <w:rFonts w:eastAsia="Times New Roman" w:cs="Arial"/>
                <w:b/>
                <w:sz w:val="18"/>
                <w:szCs w:val="18"/>
                <w:lang w:val="en-US"/>
              </w:rPr>
              <w:t>-</w:t>
            </w:r>
          </w:p>
        </w:tc>
        <w:tc>
          <w:tcPr>
            <w:tcW w:w="521" w:type="pct"/>
            <w:tcBorders>
              <w:top w:val="nil"/>
              <w:left w:val="nil"/>
              <w:bottom w:val="single" w:sz="12" w:space="0" w:color="auto"/>
              <w:right w:val="nil"/>
            </w:tcBorders>
            <w:shd w:val="clear" w:color="auto" w:fill="auto"/>
            <w:vAlign w:val="bottom"/>
          </w:tcPr>
          <w:p w14:paraId="2004E40F" w14:textId="5479426F" w:rsidR="003E20E1" w:rsidRPr="00166751" w:rsidRDefault="003E20E1" w:rsidP="003E20E1">
            <w:pPr>
              <w:tabs>
                <w:tab w:val="right" w:pos="1202"/>
              </w:tabs>
              <w:spacing w:after="0" w:line="220" w:lineRule="exact"/>
              <w:jc w:val="right"/>
              <w:outlineLvl w:val="0"/>
              <w:rPr>
                <w:rFonts w:cs="Arial"/>
                <w:b/>
                <w:bCs/>
                <w:sz w:val="18"/>
                <w:szCs w:val="18"/>
              </w:rPr>
            </w:pPr>
            <w:r w:rsidRPr="00B12006">
              <w:rPr>
                <w:rFonts w:eastAsia="Times New Roman" w:cs="Arial"/>
                <w:b/>
                <w:sz w:val="18"/>
                <w:szCs w:val="18"/>
                <w:lang w:val="en-US"/>
              </w:rPr>
              <w:t>5</w:t>
            </w:r>
            <w:r>
              <w:rPr>
                <w:rFonts w:eastAsia="Times New Roman" w:cs="Arial"/>
                <w:b/>
                <w:sz w:val="18"/>
                <w:szCs w:val="18"/>
                <w:lang w:val="en-US"/>
              </w:rPr>
              <w:t>,</w:t>
            </w:r>
            <w:r w:rsidRPr="00B12006">
              <w:rPr>
                <w:rFonts w:eastAsia="Times New Roman" w:cs="Arial"/>
                <w:b/>
                <w:sz w:val="18"/>
                <w:szCs w:val="18"/>
                <w:lang w:val="en-US"/>
              </w:rPr>
              <w:t>921</w:t>
            </w:r>
            <w:r>
              <w:rPr>
                <w:rFonts w:eastAsia="Times New Roman" w:cs="Arial"/>
                <w:b/>
                <w:sz w:val="18"/>
                <w:szCs w:val="18"/>
                <w:lang w:val="en-US"/>
              </w:rPr>
              <w:t>,</w:t>
            </w:r>
            <w:r w:rsidRPr="00B12006">
              <w:rPr>
                <w:rFonts w:eastAsia="Times New Roman" w:cs="Arial"/>
                <w:b/>
                <w:sz w:val="18"/>
                <w:szCs w:val="18"/>
                <w:lang w:val="en-US"/>
              </w:rPr>
              <w:t>486</w:t>
            </w:r>
          </w:p>
        </w:tc>
      </w:tr>
    </w:tbl>
    <w:p w14:paraId="0416FF60" w14:textId="77777777" w:rsidR="009702B0" w:rsidRPr="009702B0" w:rsidRDefault="009702B0" w:rsidP="009702B0">
      <w:pPr>
        <w:tabs>
          <w:tab w:val="left" w:pos="9180"/>
        </w:tabs>
        <w:spacing w:after="0" w:line="240" w:lineRule="auto"/>
        <w:ind w:right="-142"/>
        <w:jc w:val="both"/>
        <w:rPr>
          <w:rFonts w:cs="Arial"/>
          <w:bCs/>
          <w:sz w:val="18"/>
          <w:szCs w:val="18"/>
        </w:rPr>
      </w:pPr>
    </w:p>
    <w:p w14:paraId="014FC63E" w14:textId="762DA15B" w:rsidR="009702B0" w:rsidRPr="00D228AD" w:rsidRDefault="009702B0" w:rsidP="00BA3F2A">
      <w:pPr>
        <w:tabs>
          <w:tab w:val="left" w:pos="9180"/>
        </w:tabs>
        <w:spacing w:after="120" w:line="240" w:lineRule="auto"/>
        <w:ind w:right="-142"/>
        <w:jc w:val="both"/>
        <w:rPr>
          <w:rFonts w:cs="Arial"/>
          <w:bCs/>
          <w:sz w:val="19"/>
          <w:szCs w:val="19"/>
        </w:rPr>
      </w:pPr>
      <w:r w:rsidRPr="00D228AD">
        <w:rPr>
          <w:rFonts w:cs="Arial"/>
          <w:bCs/>
          <w:sz w:val="19"/>
          <w:szCs w:val="19"/>
        </w:rPr>
        <w:t xml:space="preserve">In the total net highest exposure of the Group and the Bank, the amount of loans to other customers of </w:t>
      </w:r>
      <w:r w:rsidRPr="00AA50E7">
        <w:rPr>
          <w:rFonts w:cs="Arial"/>
          <w:bCs/>
          <w:sz w:val="19"/>
          <w:szCs w:val="19"/>
        </w:rPr>
        <w:t xml:space="preserve">HRK </w:t>
      </w:r>
      <w:r w:rsidR="003E20E1" w:rsidRPr="003E20E1">
        <w:rPr>
          <w:rFonts w:cs="Arial"/>
          <w:bCs/>
          <w:sz w:val="19"/>
          <w:szCs w:val="19"/>
        </w:rPr>
        <w:t xml:space="preserve">1,525,570 </w:t>
      </w:r>
      <w:r w:rsidRPr="00D228AD">
        <w:rPr>
          <w:rFonts w:cs="Arial"/>
          <w:bCs/>
          <w:sz w:val="19"/>
          <w:szCs w:val="19"/>
        </w:rPr>
        <w:t xml:space="preserve">thousand is not covered by ordinary collateral, but it relates to receivables and received funds from the Republic of Croatia of HRK </w:t>
      </w:r>
      <w:r w:rsidR="003E20E1" w:rsidRPr="003E20E1">
        <w:rPr>
          <w:rFonts w:cs="Arial"/>
          <w:bCs/>
          <w:sz w:val="19"/>
          <w:szCs w:val="19"/>
        </w:rPr>
        <w:t xml:space="preserve">609,680 </w:t>
      </w:r>
      <w:r w:rsidRPr="00D228AD">
        <w:rPr>
          <w:rFonts w:cs="Arial"/>
          <w:bCs/>
          <w:sz w:val="19"/>
          <w:szCs w:val="19"/>
        </w:rPr>
        <w:t xml:space="preserve">thousand, local (regional) authorities of HRK </w:t>
      </w:r>
      <w:r w:rsidR="003E20E1" w:rsidRPr="003E20E1">
        <w:rPr>
          <w:rFonts w:cs="Arial"/>
          <w:bCs/>
          <w:sz w:val="19"/>
          <w:szCs w:val="19"/>
        </w:rPr>
        <w:t xml:space="preserve">504,120 </w:t>
      </w:r>
      <w:r w:rsidRPr="00D228AD">
        <w:rPr>
          <w:rFonts w:cs="Arial"/>
          <w:bCs/>
          <w:sz w:val="19"/>
          <w:szCs w:val="19"/>
        </w:rPr>
        <w:t xml:space="preserve">thousand, public companies for whose liabilities the Republic of Croatia guarantees jointly and unconditionally of HRK </w:t>
      </w:r>
      <w:r w:rsidR="003E20E1" w:rsidRPr="003E20E1">
        <w:rPr>
          <w:rFonts w:cs="Arial"/>
          <w:bCs/>
          <w:sz w:val="19"/>
          <w:szCs w:val="19"/>
        </w:rPr>
        <w:t xml:space="preserve">240,746 </w:t>
      </w:r>
      <w:r w:rsidRPr="00D228AD">
        <w:rPr>
          <w:rFonts w:cs="Arial"/>
          <w:bCs/>
          <w:sz w:val="19"/>
          <w:szCs w:val="19"/>
        </w:rPr>
        <w:t xml:space="preserve">thousand and the government funds of HRK </w:t>
      </w:r>
      <w:r w:rsidR="003E20E1">
        <w:rPr>
          <w:rFonts w:cs="Arial"/>
          <w:bCs/>
          <w:sz w:val="19"/>
          <w:szCs w:val="19"/>
        </w:rPr>
        <w:t>0</w:t>
      </w:r>
      <w:r w:rsidR="003E20E1" w:rsidRPr="00D228AD">
        <w:rPr>
          <w:rFonts w:cs="Arial"/>
          <w:sz w:val="19"/>
          <w:szCs w:val="19"/>
        </w:rPr>
        <w:t xml:space="preserve"> </w:t>
      </w:r>
      <w:r w:rsidRPr="00D228AD">
        <w:rPr>
          <w:rFonts w:cs="Arial"/>
          <w:bCs/>
          <w:sz w:val="19"/>
          <w:szCs w:val="19"/>
        </w:rPr>
        <w:t>thousand</w:t>
      </w:r>
      <w:r w:rsidR="00D228AD">
        <w:rPr>
          <w:rFonts w:cs="Arial"/>
          <w:bCs/>
          <w:sz w:val="19"/>
          <w:szCs w:val="19"/>
        </w:rPr>
        <w:t>.</w:t>
      </w:r>
      <w:r w:rsidRPr="00D228AD">
        <w:rPr>
          <w:rFonts w:cs="Arial"/>
          <w:bCs/>
          <w:sz w:val="19"/>
          <w:szCs w:val="19"/>
        </w:rPr>
        <w:t xml:space="preserve"> An additional amount of HRK </w:t>
      </w:r>
      <w:r w:rsidR="003E20E1" w:rsidRPr="003E20E1">
        <w:rPr>
          <w:rFonts w:cs="Arial"/>
          <w:bCs/>
          <w:sz w:val="19"/>
          <w:szCs w:val="19"/>
        </w:rPr>
        <w:t xml:space="preserve">171,024 </w:t>
      </w:r>
      <w:r w:rsidRPr="00D228AD">
        <w:rPr>
          <w:rFonts w:cs="Arial"/>
          <w:bCs/>
          <w:sz w:val="19"/>
          <w:szCs w:val="19"/>
        </w:rPr>
        <w:t>thousand relates to receivables from majority state-owned companies (controlling influence)</w:t>
      </w:r>
      <w:r w:rsidR="00011FEA" w:rsidRPr="00D228AD">
        <w:rPr>
          <w:rFonts w:cs="Arial"/>
          <w:bCs/>
          <w:sz w:val="19"/>
          <w:szCs w:val="19"/>
        </w:rPr>
        <w:t>.</w:t>
      </w:r>
    </w:p>
    <w:p w14:paraId="6C74ED1F" w14:textId="36E845B2" w:rsidR="009702B0" w:rsidRPr="00D228AD" w:rsidRDefault="009702B0" w:rsidP="009702B0">
      <w:pPr>
        <w:tabs>
          <w:tab w:val="left" w:pos="9180"/>
        </w:tabs>
        <w:spacing w:before="120" w:after="120" w:line="240" w:lineRule="auto"/>
        <w:ind w:right="-142"/>
        <w:jc w:val="both"/>
        <w:rPr>
          <w:rFonts w:cs="Arial"/>
          <w:sz w:val="19"/>
          <w:szCs w:val="19"/>
        </w:rPr>
      </w:pPr>
      <w:r w:rsidRPr="00ED60F2">
        <w:rPr>
          <w:rFonts w:cs="Arial"/>
          <w:sz w:val="19"/>
          <w:szCs w:val="19"/>
        </w:rPr>
        <w:t xml:space="preserve">The amount of assets available for sale and held to maturity is not covered by ordinary collateral but it relates to government bonds and treasury bills of the Ministry of Finance of HRK </w:t>
      </w:r>
      <w:r w:rsidR="003E20E1" w:rsidRPr="003E20E1">
        <w:rPr>
          <w:rFonts w:cs="Arial"/>
          <w:sz w:val="19"/>
          <w:szCs w:val="19"/>
        </w:rPr>
        <w:t xml:space="preserve">2,456,736 </w:t>
      </w:r>
      <w:r w:rsidRPr="00D228AD">
        <w:rPr>
          <w:rFonts w:cs="Arial"/>
          <w:sz w:val="19"/>
          <w:szCs w:val="19"/>
        </w:rPr>
        <w:t xml:space="preserve">thousand for the Group and HRK </w:t>
      </w:r>
      <w:r w:rsidR="003E20E1" w:rsidRPr="003E20E1">
        <w:rPr>
          <w:rFonts w:cs="Arial"/>
          <w:sz w:val="19"/>
          <w:szCs w:val="19"/>
        </w:rPr>
        <w:t xml:space="preserve">2,412,228 </w:t>
      </w:r>
      <w:r w:rsidRPr="00D228AD">
        <w:rPr>
          <w:rFonts w:cs="Arial"/>
          <w:sz w:val="19"/>
          <w:szCs w:val="19"/>
        </w:rPr>
        <w:t>thousand for the Bank</w:t>
      </w:r>
      <w:r w:rsidR="00011FEA" w:rsidRPr="00D228AD">
        <w:rPr>
          <w:rFonts w:cs="Arial"/>
          <w:sz w:val="19"/>
          <w:szCs w:val="19"/>
        </w:rPr>
        <w:t>.</w:t>
      </w:r>
    </w:p>
    <w:p w14:paraId="5CB9ABBB" w14:textId="67A7FD54" w:rsidR="009702B0" w:rsidRPr="00D228AD" w:rsidRDefault="009702B0" w:rsidP="009702B0">
      <w:pPr>
        <w:tabs>
          <w:tab w:val="left" w:pos="9180"/>
        </w:tabs>
        <w:spacing w:before="120" w:after="120" w:line="240" w:lineRule="auto"/>
        <w:ind w:right="-142"/>
        <w:jc w:val="both"/>
        <w:rPr>
          <w:rFonts w:cs="Arial"/>
          <w:sz w:val="19"/>
          <w:szCs w:val="19"/>
        </w:rPr>
      </w:pPr>
      <w:r w:rsidRPr="00D228AD">
        <w:rPr>
          <w:rFonts w:cs="Arial"/>
          <w:sz w:val="19"/>
          <w:szCs w:val="19"/>
        </w:rPr>
        <w:t xml:space="preserve">Other assets of HRK </w:t>
      </w:r>
      <w:r w:rsidR="003E20E1" w:rsidRPr="003E20E1">
        <w:rPr>
          <w:rFonts w:cs="Arial"/>
          <w:sz w:val="19"/>
          <w:szCs w:val="19"/>
        </w:rPr>
        <w:t xml:space="preserve">2,015 </w:t>
      </w:r>
      <w:r w:rsidRPr="00D228AD">
        <w:rPr>
          <w:rFonts w:cs="Arial"/>
          <w:sz w:val="19"/>
          <w:szCs w:val="19"/>
        </w:rPr>
        <w:t>thousand are not covered by ordinary collateral, but relate to receivables from the Republic of Croatia and the government funds</w:t>
      </w:r>
      <w:r w:rsidR="00011FEA" w:rsidRPr="00D228AD">
        <w:rPr>
          <w:rFonts w:cs="Arial"/>
          <w:sz w:val="19"/>
          <w:szCs w:val="19"/>
        </w:rPr>
        <w:t>.</w:t>
      </w:r>
    </w:p>
    <w:p w14:paraId="59FE18D9" w14:textId="77777777" w:rsidR="009702B0" w:rsidRPr="00BA3F2A" w:rsidRDefault="009702B0" w:rsidP="009702B0">
      <w:pPr>
        <w:keepNext/>
        <w:spacing w:before="120" w:after="120" w:line="240" w:lineRule="auto"/>
        <w:jc w:val="both"/>
        <w:rPr>
          <w:rFonts w:eastAsia="Times New Roman" w:cs="Arial"/>
          <w:b/>
          <w:bCs/>
          <w:sz w:val="19"/>
          <w:szCs w:val="19"/>
        </w:rPr>
        <w:sectPr w:rsidR="009702B0" w:rsidRPr="00BA3F2A" w:rsidSect="00947CB7">
          <w:footerReference w:type="default" r:id="rId89"/>
          <w:footerReference w:type="first" r:id="rId90"/>
          <w:pgSz w:w="11906" w:h="16838" w:code="9"/>
          <w:pgMar w:top="1418" w:right="1418" w:bottom="595" w:left="1134" w:header="709" w:footer="561" w:gutter="0"/>
          <w:cols w:space="708"/>
          <w:titlePg/>
          <w:docGrid w:linePitch="360"/>
        </w:sectPr>
      </w:pPr>
    </w:p>
    <w:p w14:paraId="040C169A" w14:textId="77777777" w:rsidR="009702B0" w:rsidRPr="009702B0" w:rsidRDefault="009702B0" w:rsidP="009702B0">
      <w:pPr>
        <w:keepNext/>
        <w:spacing w:after="0" w:line="240" w:lineRule="auto"/>
        <w:jc w:val="both"/>
        <w:rPr>
          <w:rFonts w:eastAsia="Times New Roman" w:cs="Arial"/>
          <w:b/>
          <w:bCs/>
        </w:rPr>
      </w:pPr>
    </w:p>
    <w:p w14:paraId="5ECBB649"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00011FEA">
        <w:rPr>
          <w:rFonts w:eastAsia="Times New Roman" w:cs="Arial"/>
          <w:b/>
          <w:bCs/>
        </w:rPr>
        <w:t>.</w:t>
      </w:r>
      <w:r w:rsidRPr="009702B0">
        <w:rPr>
          <w:rFonts w:eastAsia="Times New Roman" w:cs="Arial"/>
          <w:b/>
          <w:bCs/>
        </w:rPr>
        <w:tab/>
        <w:t>Risk management (continued)</w:t>
      </w:r>
    </w:p>
    <w:p w14:paraId="481CEC08" w14:textId="77777777" w:rsidR="009702B0" w:rsidRPr="009702B0" w:rsidRDefault="009702B0" w:rsidP="009702B0">
      <w:pPr>
        <w:keepNext/>
        <w:spacing w:after="0" w:line="240" w:lineRule="auto"/>
        <w:jc w:val="both"/>
        <w:rPr>
          <w:rFonts w:eastAsia="Times New Roman" w:cs="Arial"/>
          <w:b/>
          <w:bCs/>
          <w:sz w:val="16"/>
          <w:szCs w:val="16"/>
        </w:rPr>
      </w:pPr>
    </w:p>
    <w:p w14:paraId="1897BCC2"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00011FEA">
        <w:rPr>
          <w:rFonts w:eastAsia="Times New Roman" w:cs="Arial"/>
          <w:b/>
          <w:bCs/>
        </w:rPr>
        <w:t>.</w:t>
      </w:r>
      <w:r w:rsidRPr="009702B0">
        <w:rPr>
          <w:rFonts w:eastAsia="Times New Roman" w:cs="Arial"/>
          <w:b/>
          <w:bCs/>
        </w:rPr>
        <w:t>2</w:t>
      </w:r>
      <w:r w:rsidR="00011FEA">
        <w:rPr>
          <w:rFonts w:eastAsia="Times New Roman" w:cs="Arial"/>
          <w:b/>
          <w:bCs/>
        </w:rPr>
        <w:t>.</w:t>
      </w:r>
      <w:r w:rsidRPr="009702B0">
        <w:rPr>
          <w:rFonts w:eastAsia="Times New Roman" w:cs="Arial"/>
          <w:b/>
          <w:bCs/>
        </w:rPr>
        <w:t xml:space="preserve"> </w:t>
      </w:r>
      <w:r w:rsidRPr="009702B0">
        <w:rPr>
          <w:rFonts w:eastAsia="Times New Roman" w:cs="Arial"/>
          <w:b/>
          <w:bCs/>
        </w:rPr>
        <w:tab/>
        <w:t>Credit risk (continued)</w:t>
      </w:r>
    </w:p>
    <w:p w14:paraId="10312DC1" w14:textId="77777777" w:rsidR="009702B0" w:rsidRPr="009702B0" w:rsidRDefault="009702B0" w:rsidP="009702B0">
      <w:pPr>
        <w:keepNext/>
        <w:spacing w:after="0" w:line="240" w:lineRule="auto"/>
        <w:jc w:val="both"/>
        <w:rPr>
          <w:rFonts w:eastAsia="Times New Roman" w:cs="Arial"/>
          <w:b/>
          <w:bCs/>
          <w:sz w:val="16"/>
          <w:szCs w:val="16"/>
        </w:rPr>
      </w:pPr>
    </w:p>
    <w:p w14:paraId="49B4FF55"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Credit risk quality according to type of financial assets (continued)</w:t>
      </w:r>
    </w:p>
    <w:p w14:paraId="3FB43EE3" w14:textId="77777777" w:rsidR="009702B0" w:rsidRPr="009702B0" w:rsidRDefault="009702B0" w:rsidP="009702B0">
      <w:pPr>
        <w:keepNext/>
        <w:spacing w:after="0" w:line="240" w:lineRule="auto"/>
        <w:jc w:val="both"/>
        <w:rPr>
          <w:rFonts w:eastAsia="Times New Roman" w:cs="Arial"/>
          <w:b/>
          <w:bCs/>
          <w:sz w:val="16"/>
          <w:szCs w:val="16"/>
        </w:rPr>
      </w:pPr>
    </w:p>
    <w:p w14:paraId="00DD7099" w14:textId="77777777" w:rsidR="009702B0" w:rsidRDefault="009702B0" w:rsidP="009702B0">
      <w:pPr>
        <w:spacing w:after="0" w:line="240" w:lineRule="auto"/>
        <w:jc w:val="both"/>
        <w:rPr>
          <w:rFonts w:cs="Arial"/>
          <w:sz w:val="20"/>
          <w:szCs w:val="20"/>
        </w:rPr>
      </w:pPr>
      <w:r w:rsidRPr="009702B0">
        <w:rPr>
          <w:rFonts w:cs="Arial"/>
          <w:sz w:val="20"/>
          <w:szCs w:val="20"/>
        </w:rPr>
        <w:t>Credit risk analysis, before and after the effect of mitigation through collateral received according to the type of financial assets on positions of assets and guarantees and commitments by internal credit rating, is as follows (continued):</w:t>
      </w:r>
    </w:p>
    <w:tbl>
      <w:tblPr>
        <w:tblW w:w="5758" w:type="pct"/>
        <w:tblInd w:w="-567" w:type="dxa"/>
        <w:tblLayout w:type="fixed"/>
        <w:tblLook w:val="0000" w:firstRow="0" w:lastRow="0" w:firstColumn="0" w:lastColumn="0" w:noHBand="0" w:noVBand="0"/>
      </w:tblPr>
      <w:tblGrid>
        <w:gridCol w:w="1849"/>
        <w:gridCol w:w="1136"/>
        <w:gridCol w:w="1130"/>
        <w:gridCol w:w="1134"/>
        <w:gridCol w:w="1134"/>
        <w:gridCol w:w="1132"/>
        <w:gridCol w:w="1133"/>
        <w:gridCol w:w="1133"/>
        <w:gridCol w:w="991"/>
      </w:tblGrid>
      <w:tr w:rsidR="00E94565" w:rsidRPr="00321238" w14:paraId="0D03B7EF" w14:textId="77777777" w:rsidTr="00166751">
        <w:trPr>
          <w:trHeight w:hRule="exact" w:val="1227"/>
        </w:trPr>
        <w:tc>
          <w:tcPr>
            <w:tcW w:w="858" w:type="pct"/>
          </w:tcPr>
          <w:p w14:paraId="4A3540CC" w14:textId="77777777" w:rsidR="00551F19" w:rsidRPr="00166751" w:rsidRDefault="00551F19" w:rsidP="00551F19">
            <w:pPr>
              <w:spacing w:after="0" w:line="240" w:lineRule="auto"/>
              <w:rPr>
                <w:rFonts w:asciiTheme="minorHAnsi" w:eastAsia="Times New Roman" w:hAnsiTheme="minorHAnsi" w:cs="Arial"/>
                <w:b/>
                <w:bCs/>
                <w:sz w:val="17"/>
                <w:szCs w:val="17"/>
              </w:rPr>
            </w:pPr>
            <w:r w:rsidRPr="00166751">
              <w:rPr>
                <w:rFonts w:asciiTheme="minorHAnsi" w:eastAsia="Times New Roman" w:hAnsiTheme="minorHAnsi" w:cs="Arial"/>
                <w:b/>
                <w:bCs/>
                <w:sz w:val="17"/>
                <w:szCs w:val="17"/>
              </w:rPr>
              <w:br w:type="page"/>
              <w:t>Bank</w:t>
            </w:r>
          </w:p>
          <w:p w14:paraId="7803BA2F" w14:textId="77777777" w:rsidR="00551F19" w:rsidRPr="00166751" w:rsidRDefault="00551F19" w:rsidP="00551F19">
            <w:pPr>
              <w:spacing w:after="0" w:line="240" w:lineRule="auto"/>
              <w:rPr>
                <w:rFonts w:asciiTheme="minorHAnsi" w:eastAsia="Times New Roman" w:hAnsiTheme="minorHAnsi" w:cs="Arial"/>
                <w:b/>
                <w:bCs/>
                <w:sz w:val="17"/>
                <w:szCs w:val="17"/>
              </w:rPr>
            </w:pPr>
          </w:p>
          <w:p w14:paraId="420A8DD7" w14:textId="77777777" w:rsidR="00551F19" w:rsidRPr="00166751" w:rsidRDefault="00551F19" w:rsidP="00551F19">
            <w:pPr>
              <w:spacing w:after="0" w:line="240" w:lineRule="auto"/>
              <w:rPr>
                <w:rFonts w:asciiTheme="minorHAnsi" w:eastAsia="Times New Roman" w:hAnsiTheme="minorHAnsi" w:cs="Arial"/>
                <w:b/>
                <w:bCs/>
                <w:sz w:val="17"/>
                <w:szCs w:val="17"/>
              </w:rPr>
            </w:pPr>
          </w:p>
          <w:p w14:paraId="29F0592F" w14:textId="77777777" w:rsidR="00551F19" w:rsidRPr="00166751" w:rsidRDefault="00551F19" w:rsidP="00551F19">
            <w:pPr>
              <w:spacing w:after="0" w:line="240" w:lineRule="auto"/>
              <w:rPr>
                <w:rFonts w:asciiTheme="minorHAnsi" w:eastAsia="Times New Roman" w:hAnsiTheme="minorHAnsi" w:cs="Arial"/>
                <w:b/>
                <w:bCs/>
                <w:sz w:val="17"/>
                <w:szCs w:val="17"/>
              </w:rPr>
            </w:pPr>
          </w:p>
          <w:p w14:paraId="049A1F05" w14:textId="77777777" w:rsidR="00551F19" w:rsidRPr="00166751" w:rsidRDefault="00551F19" w:rsidP="00551F19">
            <w:pPr>
              <w:spacing w:after="0" w:line="240" w:lineRule="auto"/>
              <w:rPr>
                <w:rFonts w:asciiTheme="minorHAnsi" w:eastAsia="Times New Roman" w:hAnsiTheme="minorHAnsi" w:cs="Arial"/>
                <w:b/>
                <w:bCs/>
                <w:sz w:val="17"/>
                <w:szCs w:val="17"/>
              </w:rPr>
            </w:pPr>
          </w:p>
          <w:p w14:paraId="27A4A61C" w14:textId="77777777" w:rsidR="00551F19" w:rsidRPr="00166751" w:rsidRDefault="00551F19" w:rsidP="00551F19">
            <w:pPr>
              <w:spacing w:after="0" w:line="240" w:lineRule="auto"/>
              <w:rPr>
                <w:rFonts w:asciiTheme="minorHAnsi" w:eastAsia="Times New Roman" w:hAnsiTheme="minorHAnsi" w:cs="Arial"/>
                <w:sz w:val="17"/>
                <w:szCs w:val="17"/>
              </w:rPr>
            </w:pPr>
            <w:r w:rsidRPr="00166751">
              <w:rPr>
                <w:rFonts w:asciiTheme="minorHAnsi" w:eastAsia="Times New Roman" w:hAnsiTheme="minorHAnsi" w:cs="Arial"/>
                <w:b/>
                <w:bCs/>
                <w:sz w:val="17"/>
                <w:szCs w:val="17"/>
              </w:rPr>
              <w:t>Dec 31, 2016</w:t>
            </w:r>
          </w:p>
        </w:tc>
        <w:tc>
          <w:tcPr>
            <w:tcW w:w="527" w:type="pct"/>
            <w:vAlign w:val="bottom"/>
          </w:tcPr>
          <w:p w14:paraId="728548D9" w14:textId="77777777" w:rsidR="00E94565" w:rsidRDefault="00551F19" w:rsidP="00CE67EA">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 xml:space="preserve">Gross exposure </w:t>
            </w:r>
          </w:p>
          <w:p w14:paraId="7E48B460" w14:textId="77777777" w:rsidR="00551F19" w:rsidRPr="00166751" w:rsidRDefault="00E94565" w:rsidP="00CE67EA">
            <w:pPr>
              <w:spacing w:after="0" w:line="240" w:lineRule="auto"/>
              <w:jc w:val="right"/>
              <w:rPr>
                <w:rFonts w:asciiTheme="minorHAnsi" w:eastAsia="Times New Roman" w:hAnsiTheme="minorHAnsi" w:cs="Arial"/>
                <w:b/>
                <w:sz w:val="17"/>
                <w:szCs w:val="17"/>
              </w:rPr>
            </w:pPr>
            <w:r>
              <w:rPr>
                <w:rFonts w:asciiTheme="minorHAnsi" w:eastAsia="Times New Roman" w:hAnsiTheme="minorHAnsi" w:cs="Arial"/>
                <w:b/>
                <w:sz w:val="17"/>
                <w:szCs w:val="17"/>
              </w:rPr>
              <w:t>o</w:t>
            </w:r>
            <w:r w:rsidR="00551F19" w:rsidRPr="00166751">
              <w:rPr>
                <w:rFonts w:asciiTheme="minorHAnsi" w:eastAsia="Times New Roman" w:hAnsiTheme="minorHAnsi" w:cs="Arial"/>
                <w:b/>
                <w:sz w:val="17"/>
                <w:szCs w:val="17"/>
              </w:rPr>
              <w:t xml:space="preserve">f portfolio </w:t>
            </w:r>
          </w:p>
          <w:p w14:paraId="463CB758" w14:textId="77777777" w:rsidR="00551F19" w:rsidRPr="00166751" w:rsidRDefault="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 xml:space="preserve">of risk </w:t>
            </w:r>
          </w:p>
          <w:p w14:paraId="2252772C" w14:textId="77777777" w:rsidR="00551F19" w:rsidRPr="00166751" w:rsidRDefault="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group  A</w:t>
            </w:r>
          </w:p>
          <w:p w14:paraId="50B2A268" w14:textId="77777777" w:rsidR="00551F19" w:rsidRPr="00166751" w:rsidRDefault="00551F19" w:rsidP="00551F19">
            <w:pPr>
              <w:spacing w:after="0" w:line="240" w:lineRule="auto"/>
              <w:jc w:val="right"/>
              <w:rPr>
                <w:rFonts w:asciiTheme="minorHAnsi" w:eastAsia="Times New Roman" w:hAnsiTheme="minorHAnsi" w:cs="Arial"/>
                <w:b/>
                <w:sz w:val="17"/>
                <w:szCs w:val="17"/>
              </w:rPr>
            </w:pPr>
          </w:p>
        </w:tc>
        <w:tc>
          <w:tcPr>
            <w:tcW w:w="524" w:type="pct"/>
          </w:tcPr>
          <w:p w14:paraId="700D5E4C" w14:textId="77777777" w:rsidR="00E94565" w:rsidRDefault="00551F19" w:rsidP="00CE67EA">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Gross exposure</w:t>
            </w:r>
          </w:p>
          <w:p w14:paraId="4BE786BD" w14:textId="77777777" w:rsidR="00551F19" w:rsidRPr="00166751" w:rsidRDefault="00551F19" w:rsidP="00CE67EA">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of</w:t>
            </w:r>
            <w:r w:rsidR="00E94565">
              <w:rPr>
                <w:rFonts w:asciiTheme="minorHAnsi" w:eastAsia="Times New Roman" w:hAnsiTheme="minorHAnsi" w:cs="Arial"/>
                <w:b/>
                <w:sz w:val="17"/>
                <w:szCs w:val="17"/>
              </w:rPr>
              <w:t xml:space="preserve"> </w:t>
            </w:r>
            <w:r w:rsidRPr="00166751">
              <w:rPr>
                <w:rFonts w:asciiTheme="minorHAnsi" w:eastAsia="Times New Roman" w:hAnsiTheme="minorHAnsi" w:cs="Arial"/>
                <w:b/>
                <w:sz w:val="17"/>
                <w:szCs w:val="17"/>
              </w:rPr>
              <w:t xml:space="preserve">portfolio </w:t>
            </w:r>
          </w:p>
          <w:p w14:paraId="0C28E7B1" w14:textId="77777777" w:rsidR="00551F19" w:rsidRPr="00166751" w:rsidRDefault="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 xml:space="preserve">of risk </w:t>
            </w:r>
          </w:p>
          <w:p w14:paraId="184D1B6A" w14:textId="77777777" w:rsidR="00551F19" w:rsidRPr="00166751" w:rsidRDefault="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group  B</w:t>
            </w:r>
          </w:p>
          <w:p w14:paraId="61216821" w14:textId="77777777" w:rsidR="00551F19" w:rsidRPr="00166751" w:rsidRDefault="00551F19" w:rsidP="00551F19">
            <w:pPr>
              <w:spacing w:after="0" w:line="240" w:lineRule="auto"/>
              <w:jc w:val="right"/>
              <w:rPr>
                <w:rFonts w:asciiTheme="minorHAnsi" w:eastAsia="Times New Roman" w:hAnsiTheme="minorHAnsi" w:cs="Arial"/>
                <w:b/>
                <w:sz w:val="17"/>
                <w:szCs w:val="17"/>
              </w:rPr>
            </w:pPr>
          </w:p>
        </w:tc>
        <w:tc>
          <w:tcPr>
            <w:tcW w:w="526" w:type="pct"/>
          </w:tcPr>
          <w:p w14:paraId="59A4A3C9" w14:textId="77777777" w:rsidR="00551F19" w:rsidRPr="00166751" w:rsidRDefault="00551F19" w:rsidP="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 xml:space="preserve">Gross exposure of portfolio </w:t>
            </w:r>
          </w:p>
          <w:p w14:paraId="1C2C4225" w14:textId="77777777" w:rsidR="00551F19" w:rsidRPr="00166751" w:rsidRDefault="00551F19" w:rsidP="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of risk</w:t>
            </w:r>
          </w:p>
          <w:p w14:paraId="68F23D09" w14:textId="77777777" w:rsidR="00551F19" w:rsidRPr="00166751" w:rsidRDefault="00551F19" w:rsidP="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 xml:space="preserve"> group  C</w:t>
            </w:r>
          </w:p>
          <w:p w14:paraId="301C79EE" w14:textId="77777777" w:rsidR="00551F19" w:rsidRPr="00166751" w:rsidRDefault="00551F19" w:rsidP="00551F19">
            <w:pPr>
              <w:spacing w:after="0" w:line="240" w:lineRule="auto"/>
              <w:jc w:val="right"/>
              <w:rPr>
                <w:rFonts w:asciiTheme="minorHAnsi" w:eastAsia="Times New Roman" w:hAnsiTheme="minorHAnsi" w:cs="Arial"/>
                <w:b/>
                <w:sz w:val="17"/>
                <w:szCs w:val="17"/>
              </w:rPr>
            </w:pPr>
          </w:p>
        </w:tc>
        <w:tc>
          <w:tcPr>
            <w:tcW w:w="526" w:type="pct"/>
          </w:tcPr>
          <w:p w14:paraId="4F7E7C5F" w14:textId="77777777" w:rsidR="00551F19" w:rsidRPr="00166751" w:rsidRDefault="00551F19" w:rsidP="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Gross exposure of total portfolio</w:t>
            </w:r>
          </w:p>
          <w:p w14:paraId="42762B58" w14:textId="77777777" w:rsidR="00551F19" w:rsidRPr="00166751" w:rsidRDefault="00551F19" w:rsidP="00551F19">
            <w:pPr>
              <w:spacing w:after="0" w:line="240" w:lineRule="auto"/>
              <w:jc w:val="right"/>
              <w:rPr>
                <w:rFonts w:asciiTheme="minorHAnsi" w:eastAsia="Times New Roman" w:hAnsiTheme="minorHAnsi" w:cs="Arial"/>
                <w:b/>
                <w:sz w:val="17"/>
                <w:szCs w:val="17"/>
              </w:rPr>
            </w:pPr>
          </w:p>
        </w:tc>
        <w:tc>
          <w:tcPr>
            <w:tcW w:w="525" w:type="pct"/>
          </w:tcPr>
          <w:p w14:paraId="4A6998D9" w14:textId="77777777" w:rsidR="00551F19" w:rsidRPr="00166751" w:rsidRDefault="00551F19" w:rsidP="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 xml:space="preserve">Net exposure of portfolio </w:t>
            </w:r>
          </w:p>
          <w:p w14:paraId="50199A6B" w14:textId="77777777" w:rsidR="00551F19" w:rsidRPr="00166751" w:rsidRDefault="00551F19" w:rsidP="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 xml:space="preserve">of risk </w:t>
            </w:r>
          </w:p>
          <w:p w14:paraId="0145CFB2" w14:textId="77777777" w:rsidR="00551F19" w:rsidRPr="00166751" w:rsidRDefault="00551F19" w:rsidP="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group  A</w:t>
            </w:r>
          </w:p>
          <w:p w14:paraId="6E3D8474" w14:textId="77777777" w:rsidR="00551F19" w:rsidRPr="00166751" w:rsidRDefault="00551F19" w:rsidP="00551F19">
            <w:pPr>
              <w:spacing w:after="0" w:line="240" w:lineRule="auto"/>
              <w:jc w:val="right"/>
              <w:rPr>
                <w:rFonts w:asciiTheme="minorHAnsi" w:eastAsia="Times New Roman" w:hAnsiTheme="minorHAnsi" w:cs="Arial"/>
                <w:b/>
                <w:sz w:val="17"/>
                <w:szCs w:val="17"/>
              </w:rPr>
            </w:pPr>
          </w:p>
        </w:tc>
        <w:tc>
          <w:tcPr>
            <w:tcW w:w="526" w:type="pct"/>
          </w:tcPr>
          <w:p w14:paraId="490F3719" w14:textId="77777777" w:rsidR="00551F19" w:rsidRPr="00166751" w:rsidRDefault="00551F19" w:rsidP="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 xml:space="preserve">Net exposure of portfolio </w:t>
            </w:r>
          </w:p>
          <w:p w14:paraId="67C1A11B" w14:textId="77777777" w:rsidR="00551F19" w:rsidRPr="00166751" w:rsidRDefault="00551F19" w:rsidP="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 xml:space="preserve">of risk </w:t>
            </w:r>
          </w:p>
          <w:p w14:paraId="0A4E7FA6" w14:textId="77777777" w:rsidR="00551F19" w:rsidRPr="00166751" w:rsidRDefault="00551F19" w:rsidP="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group  B</w:t>
            </w:r>
          </w:p>
          <w:p w14:paraId="0083B9EE" w14:textId="77777777" w:rsidR="00551F19" w:rsidRPr="00166751" w:rsidRDefault="00551F19" w:rsidP="00551F19">
            <w:pPr>
              <w:spacing w:after="0" w:line="240" w:lineRule="auto"/>
              <w:jc w:val="right"/>
              <w:rPr>
                <w:rFonts w:asciiTheme="minorHAnsi" w:eastAsia="Times New Roman" w:hAnsiTheme="minorHAnsi" w:cs="Arial"/>
                <w:b/>
                <w:sz w:val="17"/>
                <w:szCs w:val="17"/>
              </w:rPr>
            </w:pPr>
          </w:p>
        </w:tc>
        <w:tc>
          <w:tcPr>
            <w:tcW w:w="526" w:type="pct"/>
          </w:tcPr>
          <w:p w14:paraId="5880A2E5" w14:textId="77777777" w:rsidR="00551F19" w:rsidRPr="00166751" w:rsidRDefault="00551F19" w:rsidP="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 xml:space="preserve">Net exposure of portfolio </w:t>
            </w:r>
          </w:p>
          <w:p w14:paraId="59F61750" w14:textId="77777777" w:rsidR="00551F19" w:rsidRPr="00166751" w:rsidRDefault="00551F19" w:rsidP="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 xml:space="preserve">of risk </w:t>
            </w:r>
          </w:p>
          <w:p w14:paraId="50E9417C" w14:textId="77777777" w:rsidR="00551F19" w:rsidRPr="00166751" w:rsidRDefault="00551F19" w:rsidP="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group  C</w:t>
            </w:r>
          </w:p>
          <w:p w14:paraId="1F8221B1" w14:textId="77777777" w:rsidR="00551F19" w:rsidRPr="00166751" w:rsidRDefault="00551F19" w:rsidP="00551F19">
            <w:pPr>
              <w:spacing w:after="0" w:line="240" w:lineRule="auto"/>
              <w:jc w:val="right"/>
              <w:rPr>
                <w:rFonts w:asciiTheme="minorHAnsi" w:eastAsia="Times New Roman" w:hAnsiTheme="minorHAnsi" w:cs="Arial"/>
                <w:b/>
                <w:sz w:val="17"/>
                <w:szCs w:val="17"/>
              </w:rPr>
            </w:pPr>
          </w:p>
        </w:tc>
        <w:tc>
          <w:tcPr>
            <w:tcW w:w="460" w:type="pct"/>
          </w:tcPr>
          <w:p w14:paraId="5E534F80" w14:textId="77777777" w:rsidR="00551F19" w:rsidRPr="00166751" w:rsidRDefault="00551F19" w:rsidP="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Net exposure of total portfolio</w:t>
            </w:r>
          </w:p>
          <w:p w14:paraId="3D1DD74A" w14:textId="77777777" w:rsidR="00551F19" w:rsidRPr="00166751" w:rsidRDefault="00551F19" w:rsidP="00551F19">
            <w:pPr>
              <w:spacing w:after="0" w:line="240" w:lineRule="auto"/>
              <w:jc w:val="right"/>
              <w:rPr>
                <w:rFonts w:asciiTheme="minorHAnsi" w:eastAsia="Times New Roman" w:hAnsiTheme="minorHAnsi" w:cs="Arial"/>
                <w:b/>
                <w:sz w:val="17"/>
                <w:szCs w:val="17"/>
              </w:rPr>
            </w:pPr>
          </w:p>
          <w:p w14:paraId="3CD8FA0A" w14:textId="77777777" w:rsidR="00551F19" w:rsidRPr="00166751" w:rsidRDefault="00551F19" w:rsidP="00551F19">
            <w:pPr>
              <w:spacing w:after="0" w:line="240" w:lineRule="auto"/>
              <w:jc w:val="right"/>
              <w:rPr>
                <w:rFonts w:asciiTheme="minorHAnsi" w:eastAsia="Times New Roman" w:hAnsiTheme="minorHAnsi" w:cs="Arial"/>
                <w:b/>
                <w:sz w:val="17"/>
                <w:szCs w:val="17"/>
              </w:rPr>
            </w:pPr>
          </w:p>
          <w:p w14:paraId="6AFD2866" w14:textId="77777777" w:rsidR="00551F19" w:rsidRPr="00166751" w:rsidRDefault="00551F19" w:rsidP="00551F19">
            <w:pPr>
              <w:spacing w:after="0" w:line="240" w:lineRule="auto"/>
              <w:jc w:val="right"/>
              <w:rPr>
                <w:rFonts w:asciiTheme="minorHAnsi" w:eastAsia="Times New Roman" w:hAnsiTheme="minorHAnsi" w:cs="Arial"/>
                <w:b/>
                <w:sz w:val="17"/>
                <w:szCs w:val="17"/>
              </w:rPr>
            </w:pPr>
          </w:p>
        </w:tc>
      </w:tr>
      <w:tr w:rsidR="00E94565" w:rsidRPr="00321238" w14:paraId="22160D4F" w14:textId="77777777" w:rsidTr="00166751">
        <w:trPr>
          <w:trHeight w:val="164"/>
        </w:trPr>
        <w:tc>
          <w:tcPr>
            <w:tcW w:w="858" w:type="pct"/>
            <w:vAlign w:val="bottom"/>
          </w:tcPr>
          <w:p w14:paraId="62B40E6F" w14:textId="77777777" w:rsidR="00551F19" w:rsidRPr="00166751" w:rsidRDefault="00551F19" w:rsidP="00551F19">
            <w:pPr>
              <w:tabs>
                <w:tab w:val="right" w:pos="1202"/>
              </w:tabs>
              <w:spacing w:after="0" w:line="220" w:lineRule="exact"/>
              <w:outlineLvl w:val="0"/>
              <w:rPr>
                <w:rFonts w:asciiTheme="minorHAnsi" w:eastAsia="Times New Roman" w:hAnsiTheme="minorHAnsi" w:cs="Arial"/>
                <w:b/>
                <w:bCs/>
                <w:sz w:val="17"/>
                <w:szCs w:val="17"/>
              </w:rPr>
            </w:pPr>
            <w:r w:rsidRPr="00166751">
              <w:rPr>
                <w:rFonts w:asciiTheme="minorHAnsi" w:eastAsia="Times New Roman" w:hAnsiTheme="minorHAnsi" w:cs="Arial"/>
                <w:b/>
                <w:bCs/>
                <w:sz w:val="17"/>
                <w:szCs w:val="17"/>
              </w:rPr>
              <w:t>Assets</w:t>
            </w:r>
          </w:p>
        </w:tc>
        <w:tc>
          <w:tcPr>
            <w:tcW w:w="527" w:type="pct"/>
          </w:tcPr>
          <w:p w14:paraId="309AA486" w14:textId="77777777" w:rsidR="00551F19" w:rsidRPr="00166751"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c>
          <w:tcPr>
            <w:tcW w:w="524" w:type="pct"/>
          </w:tcPr>
          <w:p w14:paraId="37A6673F" w14:textId="77777777" w:rsidR="00551F19" w:rsidRPr="00166751"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c>
          <w:tcPr>
            <w:tcW w:w="526" w:type="pct"/>
          </w:tcPr>
          <w:p w14:paraId="05D3A911" w14:textId="77777777" w:rsidR="00551F19" w:rsidRPr="00166751"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c>
          <w:tcPr>
            <w:tcW w:w="526" w:type="pct"/>
          </w:tcPr>
          <w:p w14:paraId="2409A81A" w14:textId="77777777" w:rsidR="00551F19" w:rsidRPr="00166751"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c>
          <w:tcPr>
            <w:tcW w:w="525" w:type="pct"/>
          </w:tcPr>
          <w:p w14:paraId="2182A665" w14:textId="77777777" w:rsidR="00551F19" w:rsidRPr="00166751"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c>
          <w:tcPr>
            <w:tcW w:w="526" w:type="pct"/>
          </w:tcPr>
          <w:p w14:paraId="2C3625F8" w14:textId="77777777" w:rsidR="00551F19" w:rsidRPr="00166751"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c>
          <w:tcPr>
            <w:tcW w:w="526" w:type="pct"/>
          </w:tcPr>
          <w:p w14:paraId="345B5431" w14:textId="77777777" w:rsidR="00551F19" w:rsidRPr="00166751"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c>
          <w:tcPr>
            <w:tcW w:w="460" w:type="pct"/>
          </w:tcPr>
          <w:p w14:paraId="2EB99F03" w14:textId="77777777" w:rsidR="00551F19" w:rsidRPr="00166751"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r>
      <w:tr w:rsidR="00E94565" w:rsidRPr="00321238" w14:paraId="0AB232A6" w14:textId="77777777" w:rsidTr="00166751">
        <w:trPr>
          <w:trHeight w:val="300"/>
        </w:trPr>
        <w:tc>
          <w:tcPr>
            <w:tcW w:w="858" w:type="pct"/>
            <w:vAlign w:val="bottom"/>
          </w:tcPr>
          <w:p w14:paraId="430953A9" w14:textId="77777777" w:rsidR="00551F19" w:rsidRPr="00166751" w:rsidRDefault="00551F19" w:rsidP="00551F19">
            <w:pPr>
              <w:tabs>
                <w:tab w:val="right" w:pos="1202"/>
              </w:tabs>
              <w:spacing w:after="0" w:line="220" w:lineRule="exact"/>
              <w:outlineLvl w:val="0"/>
              <w:rPr>
                <w:rFonts w:asciiTheme="minorHAnsi" w:eastAsia="Times New Roman" w:hAnsiTheme="minorHAnsi" w:cs="Arial"/>
                <w:sz w:val="17"/>
                <w:szCs w:val="17"/>
              </w:rPr>
            </w:pPr>
            <w:r w:rsidRPr="00166751">
              <w:rPr>
                <w:rFonts w:asciiTheme="minorHAnsi" w:eastAsia="Times New Roman" w:hAnsiTheme="minorHAnsi" w:cs="Arial"/>
                <w:sz w:val="17"/>
                <w:szCs w:val="17"/>
              </w:rPr>
              <w:t xml:space="preserve">Cash on hand and due from banks </w:t>
            </w:r>
          </w:p>
        </w:tc>
        <w:tc>
          <w:tcPr>
            <w:tcW w:w="527" w:type="pct"/>
            <w:tcBorders>
              <w:top w:val="nil"/>
              <w:left w:val="nil"/>
              <w:bottom w:val="nil"/>
              <w:right w:val="nil"/>
            </w:tcBorders>
            <w:shd w:val="clear" w:color="auto" w:fill="auto"/>
            <w:vAlign w:val="bottom"/>
          </w:tcPr>
          <w:p w14:paraId="57DB4A91"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166751">
              <w:rPr>
                <w:rFonts w:asciiTheme="minorHAnsi" w:eastAsia="Times New Roman" w:hAnsiTheme="minorHAnsi" w:cs="Arial"/>
                <w:sz w:val="18"/>
                <w:szCs w:val="18"/>
                <w:lang w:val="en-US"/>
              </w:rPr>
              <w:t>490,692</w:t>
            </w:r>
          </w:p>
        </w:tc>
        <w:tc>
          <w:tcPr>
            <w:tcW w:w="524" w:type="pct"/>
            <w:tcBorders>
              <w:top w:val="nil"/>
              <w:left w:val="nil"/>
              <w:bottom w:val="nil"/>
              <w:right w:val="nil"/>
            </w:tcBorders>
            <w:shd w:val="clear" w:color="auto" w:fill="auto"/>
            <w:vAlign w:val="bottom"/>
          </w:tcPr>
          <w:p w14:paraId="12C88428"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14:paraId="3182A017"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14:paraId="7B44569D"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166751">
              <w:rPr>
                <w:rFonts w:asciiTheme="minorHAnsi" w:eastAsia="Times New Roman" w:hAnsiTheme="minorHAnsi" w:cs="Arial"/>
                <w:sz w:val="18"/>
                <w:szCs w:val="18"/>
                <w:lang w:val="en-US"/>
              </w:rPr>
              <w:t>490,692</w:t>
            </w:r>
          </w:p>
        </w:tc>
        <w:tc>
          <w:tcPr>
            <w:tcW w:w="525" w:type="pct"/>
            <w:tcBorders>
              <w:top w:val="nil"/>
              <w:left w:val="nil"/>
              <w:bottom w:val="nil"/>
              <w:right w:val="nil"/>
            </w:tcBorders>
            <w:shd w:val="clear" w:color="auto" w:fill="auto"/>
            <w:vAlign w:val="bottom"/>
          </w:tcPr>
          <w:p w14:paraId="07BBB116"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14:paraId="468549C5"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14:paraId="026BEDED"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166751">
              <w:rPr>
                <w:rFonts w:asciiTheme="minorHAnsi" w:eastAsia="Times New Roman" w:hAnsiTheme="minorHAnsi" w:cs="Arial"/>
                <w:sz w:val="18"/>
                <w:szCs w:val="18"/>
                <w:lang w:val="en-US"/>
              </w:rPr>
              <w:t>-</w:t>
            </w:r>
          </w:p>
        </w:tc>
        <w:tc>
          <w:tcPr>
            <w:tcW w:w="460" w:type="pct"/>
            <w:tcBorders>
              <w:top w:val="nil"/>
              <w:left w:val="nil"/>
              <w:bottom w:val="nil"/>
              <w:right w:val="nil"/>
            </w:tcBorders>
            <w:shd w:val="clear" w:color="auto" w:fill="auto"/>
            <w:vAlign w:val="bottom"/>
          </w:tcPr>
          <w:p w14:paraId="01934B08"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166751">
              <w:rPr>
                <w:rFonts w:asciiTheme="minorHAnsi" w:eastAsia="Times New Roman" w:hAnsiTheme="minorHAnsi" w:cs="Arial"/>
                <w:sz w:val="18"/>
                <w:szCs w:val="18"/>
                <w:lang w:val="en-US"/>
              </w:rPr>
              <w:t>-</w:t>
            </w:r>
          </w:p>
        </w:tc>
      </w:tr>
      <w:tr w:rsidR="00E94565" w:rsidRPr="00321238" w14:paraId="1C25AFBC" w14:textId="77777777" w:rsidTr="00166751">
        <w:trPr>
          <w:trHeight w:val="197"/>
        </w:trPr>
        <w:tc>
          <w:tcPr>
            <w:tcW w:w="858" w:type="pct"/>
            <w:vAlign w:val="bottom"/>
          </w:tcPr>
          <w:p w14:paraId="714DD261" w14:textId="77777777" w:rsidR="00551F19" w:rsidRPr="00166751" w:rsidRDefault="00551F19" w:rsidP="00551F19">
            <w:pPr>
              <w:tabs>
                <w:tab w:val="right" w:pos="1202"/>
              </w:tabs>
              <w:spacing w:after="0" w:line="220" w:lineRule="exact"/>
              <w:outlineLvl w:val="0"/>
              <w:rPr>
                <w:rFonts w:asciiTheme="minorHAnsi" w:eastAsia="Times New Roman" w:hAnsiTheme="minorHAnsi" w:cs="Arial"/>
                <w:sz w:val="17"/>
                <w:szCs w:val="17"/>
              </w:rPr>
            </w:pPr>
            <w:r w:rsidRPr="00166751">
              <w:rPr>
                <w:rFonts w:asciiTheme="minorHAnsi" w:eastAsia="Times New Roman" w:hAnsiTheme="minorHAnsi" w:cs="Arial"/>
                <w:sz w:val="17"/>
                <w:szCs w:val="17"/>
              </w:rPr>
              <w:t>Deposits with other banks</w:t>
            </w:r>
          </w:p>
        </w:tc>
        <w:tc>
          <w:tcPr>
            <w:tcW w:w="527" w:type="pct"/>
            <w:tcBorders>
              <w:top w:val="nil"/>
              <w:left w:val="nil"/>
              <w:bottom w:val="nil"/>
              <w:right w:val="nil"/>
            </w:tcBorders>
            <w:shd w:val="clear" w:color="auto" w:fill="auto"/>
            <w:vAlign w:val="bottom"/>
          </w:tcPr>
          <w:p w14:paraId="518CB646"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23,872</w:t>
            </w:r>
          </w:p>
        </w:tc>
        <w:tc>
          <w:tcPr>
            <w:tcW w:w="524" w:type="pct"/>
            <w:tcBorders>
              <w:top w:val="nil"/>
              <w:left w:val="nil"/>
              <w:bottom w:val="nil"/>
              <w:right w:val="nil"/>
            </w:tcBorders>
            <w:shd w:val="clear" w:color="auto" w:fill="auto"/>
            <w:vAlign w:val="bottom"/>
          </w:tcPr>
          <w:p w14:paraId="1E398229"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14:paraId="1F43137F"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14:paraId="6B4FB63E"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23,872</w:t>
            </w:r>
          </w:p>
        </w:tc>
        <w:tc>
          <w:tcPr>
            <w:tcW w:w="525" w:type="pct"/>
            <w:tcBorders>
              <w:top w:val="nil"/>
              <w:left w:val="nil"/>
              <w:bottom w:val="nil"/>
              <w:right w:val="nil"/>
            </w:tcBorders>
            <w:shd w:val="clear" w:color="auto" w:fill="auto"/>
            <w:vAlign w:val="bottom"/>
          </w:tcPr>
          <w:p w14:paraId="6C0F50D2"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14:paraId="229C8280"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14:paraId="694725DD"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w:t>
            </w:r>
          </w:p>
        </w:tc>
        <w:tc>
          <w:tcPr>
            <w:tcW w:w="460" w:type="pct"/>
            <w:tcBorders>
              <w:top w:val="nil"/>
              <w:left w:val="nil"/>
              <w:bottom w:val="nil"/>
              <w:right w:val="nil"/>
            </w:tcBorders>
            <w:shd w:val="clear" w:color="auto" w:fill="auto"/>
            <w:vAlign w:val="bottom"/>
          </w:tcPr>
          <w:p w14:paraId="6984866B"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w:t>
            </w:r>
          </w:p>
        </w:tc>
      </w:tr>
      <w:tr w:rsidR="00E94565" w:rsidRPr="00321238" w14:paraId="4D32DC52" w14:textId="77777777" w:rsidTr="00166751">
        <w:trPr>
          <w:trHeight w:val="121"/>
        </w:trPr>
        <w:tc>
          <w:tcPr>
            <w:tcW w:w="858" w:type="pct"/>
            <w:vAlign w:val="bottom"/>
          </w:tcPr>
          <w:p w14:paraId="6CD3723F" w14:textId="77777777" w:rsidR="00551F19" w:rsidRPr="00166751" w:rsidRDefault="00551F19" w:rsidP="00551F19">
            <w:pPr>
              <w:tabs>
                <w:tab w:val="right" w:pos="1202"/>
              </w:tabs>
              <w:spacing w:after="0" w:line="220" w:lineRule="exact"/>
              <w:outlineLvl w:val="0"/>
              <w:rPr>
                <w:rFonts w:asciiTheme="minorHAnsi" w:eastAsia="Times New Roman" w:hAnsiTheme="minorHAnsi" w:cs="Arial"/>
                <w:sz w:val="17"/>
                <w:szCs w:val="17"/>
              </w:rPr>
            </w:pPr>
            <w:r w:rsidRPr="00166751">
              <w:rPr>
                <w:rFonts w:asciiTheme="minorHAnsi" w:eastAsia="Times New Roman" w:hAnsiTheme="minorHAnsi" w:cs="Arial"/>
                <w:sz w:val="17"/>
                <w:szCs w:val="17"/>
              </w:rPr>
              <w:t>Loans to financial institutions</w:t>
            </w:r>
          </w:p>
        </w:tc>
        <w:tc>
          <w:tcPr>
            <w:tcW w:w="527" w:type="pct"/>
            <w:tcBorders>
              <w:top w:val="nil"/>
              <w:left w:val="nil"/>
              <w:bottom w:val="nil"/>
              <w:right w:val="nil"/>
            </w:tcBorders>
            <w:shd w:val="clear" w:color="auto" w:fill="auto"/>
            <w:vAlign w:val="bottom"/>
          </w:tcPr>
          <w:p w14:paraId="06D2C883"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11,472,130</w:t>
            </w:r>
          </w:p>
        </w:tc>
        <w:tc>
          <w:tcPr>
            <w:tcW w:w="524" w:type="pct"/>
            <w:tcBorders>
              <w:top w:val="nil"/>
              <w:left w:val="nil"/>
              <w:bottom w:val="nil"/>
              <w:right w:val="nil"/>
            </w:tcBorders>
            <w:shd w:val="clear" w:color="auto" w:fill="auto"/>
            <w:vAlign w:val="bottom"/>
          </w:tcPr>
          <w:p w14:paraId="5F62F32C"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416,981</w:t>
            </w:r>
          </w:p>
        </w:tc>
        <w:tc>
          <w:tcPr>
            <w:tcW w:w="526" w:type="pct"/>
            <w:tcBorders>
              <w:top w:val="nil"/>
              <w:left w:val="nil"/>
              <w:bottom w:val="nil"/>
              <w:right w:val="nil"/>
            </w:tcBorders>
            <w:shd w:val="clear" w:color="auto" w:fill="auto"/>
            <w:vAlign w:val="bottom"/>
          </w:tcPr>
          <w:p w14:paraId="7217D7EA"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w:t>
            </w:r>
          </w:p>
        </w:tc>
        <w:tc>
          <w:tcPr>
            <w:tcW w:w="526" w:type="pct"/>
            <w:tcBorders>
              <w:top w:val="nil"/>
              <w:left w:val="nil"/>
              <w:bottom w:val="nil"/>
              <w:right w:val="nil"/>
            </w:tcBorders>
            <w:shd w:val="clear" w:color="auto" w:fill="auto"/>
            <w:vAlign w:val="bottom"/>
          </w:tcPr>
          <w:p w14:paraId="17C332A8"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11,889,111</w:t>
            </w:r>
          </w:p>
        </w:tc>
        <w:tc>
          <w:tcPr>
            <w:tcW w:w="525" w:type="pct"/>
            <w:tcBorders>
              <w:top w:val="nil"/>
              <w:left w:val="nil"/>
              <w:bottom w:val="nil"/>
              <w:right w:val="nil"/>
            </w:tcBorders>
            <w:shd w:val="clear" w:color="auto" w:fill="auto"/>
            <w:vAlign w:val="bottom"/>
          </w:tcPr>
          <w:p w14:paraId="367B1A3E"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w:t>
            </w:r>
          </w:p>
        </w:tc>
        <w:tc>
          <w:tcPr>
            <w:tcW w:w="526" w:type="pct"/>
            <w:tcBorders>
              <w:top w:val="nil"/>
              <w:left w:val="nil"/>
              <w:bottom w:val="nil"/>
              <w:right w:val="nil"/>
            </w:tcBorders>
            <w:shd w:val="clear" w:color="auto" w:fill="auto"/>
            <w:vAlign w:val="bottom"/>
          </w:tcPr>
          <w:p w14:paraId="2BAA93BE"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w:t>
            </w:r>
          </w:p>
        </w:tc>
        <w:tc>
          <w:tcPr>
            <w:tcW w:w="526" w:type="pct"/>
            <w:tcBorders>
              <w:top w:val="nil"/>
              <w:left w:val="nil"/>
              <w:bottom w:val="nil"/>
              <w:right w:val="nil"/>
            </w:tcBorders>
            <w:shd w:val="clear" w:color="auto" w:fill="auto"/>
            <w:vAlign w:val="bottom"/>
          </w:tcPr>
          <w:p w14:paraId="49F2A3FC"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w:t>
            </w:r>
          </w:p>
        </w:tc>
        <w:tc>
          <w:tcPr>
            <w:tcW w:w="460" w:type="pct"/>
            <w:tcBorders>
              <w:top w:val="nil"/>
              <w:left w:val="nil"/>
              <w:bottom w:val="nil"/>
              <w:right w:val="nil"/>
            </w:tcBorders>
            <w:shd w:val="clear" w:color="auto" w:fill="auto"/>
            <w:vAlign w:val="bottom"/>
          </w:tcPr>
          <w:p w14:paraId="7C89CAB7"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w:t>
            </w:r>
          </w:p>
        </w:tc>
      </w:tr>
      <w:tr w:rsidR="00E94565" w:rsidRPr="00321238" w14:paraId="0F04015D" w14:textId="77777777" w:rsidTr="00166751">
        <w:trPr>
          <w:trHeight w:val="197"/>
        </w:trPr>
        <w:tc>
          <w:tcPr>
            <w:tcW w:w="858" w:type="pct"/>
            <w:vAlign w:val="bottom"/>
          </w:tcPr>
          <w:p w14:paraId="333B09C9" w14:textId="77777777" w:rsidR="00551F19" w:rsidRPr="00166751" w:rsidRDefault="00551F19" w:rsidP="00551F19">
            <w:pPr>
              <w:tabs>
                <w:tab w:val="right" w:pos="1202"/>
              </w:tabs>
              <w:spacing w:after="0" w:line="220" w:lineRule="exact"/>
              <w:outlineLvl w:val="0"/>
              <w:rPr>
                <w:rFonts w:asciiTheme="minorHAnsi" w:eastAsia="Times New Roman" w:hAnsiTheme="minorHAnsi" w:cs="Arial"/>
                <w:sz w:val="17"/>
                <w:szCs w:val="17"/>
              </w:rPr>
            </w:pPr>
            <w:r w:rsidRPr="00166751">
              <w:rPr>
                <w:rFonts w:asciiTheme="minorHAnsi" w:eastAsia="Times New Roman" w:hAnsiTheme="minorHAnsi" w:cs="Arial"/>
                <w:sz w:val="17"/>
                <w:szCs w:val="17"/>
              </w:rPr>
              <w:t>Loans to other customers</w:t>
            </w:r>
          </w:p>
        </w:tc>
        <w:tc>
          <w:tcPr>
            <w:tcW w:w="527" w:type="pct"/>
            <w:tcBorders>
              <w:top w:val="nil"/>
              <w:left w:val="nil"/>
              <w:bottom w:val="nil"/>
              <w:right w:val="nil"/>
            </w:tcBorders>
            <w:shd w:val="clear" w:color="auto" w:fill="auto"/>
            <w:vAlign w:val="bottom"/>
          </w:tcPr>
          <w:p w14:paraId="7AF32F3F"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166751">
              <w:rPr>
                <w:rFonts w:asciiTheme="minorHAnsi" w:eastAsia="Times New Roman" w:hAnsiTheme="minorHAnsi"/>
                <w:sz w:val="18"/>
                <w:szCs w:val="18"/>
                <w:lang w:val="en-US"/>
              </w:rPr>
              <w:t>10,415,684</w:t>
            </w:r>
          </w:p>
        </w:tc>
        <w:tc>
          <w:tcPr>
            <w:tcW w:w="524" w:type="pct"/>
            <w:tcBorders>
              <w:top w:val="nil"/>
              <w:left w:val="nil"/>
              <w:bottom w:val="nil"/>
              <w:right w:val="nil"/>
            </w:tcBorders>
            <w:shd w:val="clear" w:color="auto" w:fill="auto"/>
            <w:vAlign w:val="bottom"/>
          </w:tcPr>
          <w:p w14:paraId="5E686BD0"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166751">
              <w:rPr>
                <w:rFonts w:asciiTheme="minorHAnsi" w:eastAsia="Times New Roman" w:hAnsiTheme="minorHAnsi"/>
                <w:sz w:val="18"/>
                <w:szCs w:val="18"/>
                <w:lang w:val="en-US"/>
              </w:rPr>
              <w:t>1,095,510</w:t>
            </w:r>
          </w:p>
        </w:tc>
        <w:tc>
          <w:tcPr>
            <w:tcW w:w="526" w:type="pct"/>
            <w:tcBorders>
              <w:top w:val="nil"/>
              <w:left w:val="nil"/>
              <w:bottom w:val="nil"/>
              <w:right w:val="nil"/>
            </w:tcBorders>
            <w:shd w:val="clear" w:color="auto" w:fill="auto"/>
            <w:vAlign w:val="bottom"/>
          </w:tcPr>
          <w:p w14:paraId="66FCE200"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166751">
              <w:rPr>
                <w:rFonts w:asciiTheme="minorHAnsi" w:eastAsia="Times New Roman" w:hAnsiTheme="minorHAnsi"/>
                <w:sz w:val="18"/>
                <w:szCs w:val="18"/>
                <w:lang w:val="en-US"/>
              </w:rPr>
              <w:t>-</w:t>
            </w:r>
          </w:p>
        </w:tc>
        <w:tc>
          <w:tcPr>
            <w:tcW w:w="526" w:type="pct"/>
            <w:tcBorders>
              <w:top w:val="nil"/>
              <w:left w:val="nil"/>
              <w:bottom w:val="nil"/>
              <w:right w:val="nil"/>
            </w:tcBorders>
            <w:shd w:val="clear" w:color="auto" w:fill="auto"/>
            <w:vAlign w:val="bottom"/>
          </w:tcPr>
          <w:p w14:paraId="0E77193B"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166751">
              <w:rPr>
                <w:rFonts w:asciiTheme="minorHAnsi" w:eastAsia="Times New Roman" w:hAnsiTheme="minorHAnsi"/>
                <w:sz w:val="18"/>
                <w:szCs w:val="18"/>
                <w:lang w:val="en-US"/>
              </w:rPr>
              <w:t>11,511,194</w:t>
            </w:r>
          </w:p>
        </w:tc>
        <w:tc>
          <w:tcPr>
            <w:tcW w:w="525" w:type="pct"/>
            <w:tcBorders>
              <w:top w:val="nil"/>
              <w:left w:val="nil"/>
              <w:bottom w:val="nil"/>
              <w:right w:val="nil"/>
            </w:tcBorders>
            <w:shd w:val="clear" w:color="auto" w:fill="auto"/>
            <w:vAlign w:val="bottom"/>
          </w:tcPr>
          <w:p w14:paraId="0A0FB03F"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166751">
              <w:rPr>
                <w:rFonts w:asciiTheme="minorHAnsi" w:eastAsia="Times New Roman" w:hAnsiTheme="minorHAnsi"/>
                <w:sz w:val="18"/>
                <w:szCs w:val="18"/>
                <w:lang w:val="en-US"/>
              </w:rPr>
              <w:t>2,484,106</w:t>
            </w:r>
          </w:p>
        </w:tc>
        <w:tc>
          <w:tcPr>
            <w:tcW w:w="526" w:type="pct"/>
            <w:tcBorders>
              <w:top w:val="nil"/>
              <w:left w:val="nil"/>
              <w:bottom w:val="nil"/>
              <w:right w:val="nil"/>
            </w:tcBorders>
            <w:shd w:val="clear" w:color="auto" w:fill="auto"/>
            <w:vAlign w:val="bottom"/>
          </w:tcPr>
          <w:p w14:paraId="16E92320"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166751">
              <w:rPr>
                <w:rFonts w:asciiTheme="minorHAnsi" w:eastAsia="Times New Roman" w:hAnsiTheme="minorHAnsi"/>
                <w:sz w:val="18"/>
                <w:szCs w:val="18"/>
                <w:lang w:val="en-US"/>
              </w:rPr>
              <w:t>34,930</w:t>
            </w:r>
          </w:p>
        </w:tc>
        <w:tc>
          <w:tcPr>
            <w:tcW w:w="526" w:type="pct"/>
            <w:tcBorders>
              <w:top w:val="nil"/>
              <w:left w:val="nil"/>
              <w:bottom w:val="nil"/>
              <w:right w:val="nil"/>
            </w:tcBorders>
            <w:shd w:val="clear" w:color="auto" w:fill="auto"/>
            <w:vAlign w:val="bottom"/>
          </w:tcPr>
          <w:p w14:paraId="08F54BFC"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166751">
              <w:rPr>
                <w:rFonts w:asciiTheme="minorHAnsi" w:eastAsia="Times New Roman" w:hAnsiTheme="minorHAnsi"/>
                <w:sz w:val="18"/>
                <w:szCs w:val="18"/>
                <w:lang w:val="en-US"/>
              </w:rPr>
              <w:t>-</w:t>
            </w:r>
          </w:p>
        </w:tc>
        <w:tc>
          <w:tcPr>
            <w:tcW w:w="460" w:type="pct"/>
            <w:tcBorders>
              <w:top w:val="nil"/>
              <w:left w:val="nil"/>
              <w:bottom w:val="nil"/>
              <w:right w:val="nil"/>
            </w:tcBorders>
            <w:shd w:val="clear" w:color="auto" w:fill="auto"/>
            <w:vAlign w:val="bottom"/>
          </w:tcPr>
          <w:p w14:paraId="4570AF5B"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166751">
              <w:rPr>
                <w:rFonts w:asciiTheme="minorHAnsi" w:eastAsia="Times New Roman" w:hAnsiTheme="minorHAnsi"/>
                <w:sz w:val="18"/>
                <w:szCs w:val="18"/>
                <w:lang w:val="en-US"/>
              </w:rPr>
              <w:t>2,519,036</w:t>
            </w:r>
          </w:p>
        </w:tc>
      </w:tr>
      <w:tr w:rsidR="00E94565" w:rsidRPr="00321238" w14:paraId="060BAEFC" w14:textId="77777777" w:rsidTr="00166751">
        <w:trPr>
          <w:trHeight w:val="204"/>
        </w:trPr>
        <w:tc>
          <w:tcPr>
            <w:tcW w:w="858" w:type="pct"/>
            <w:vAlign w:val="bottom"/>
          </w:tcPr>
          <w:p w14:paraId="27B51551" w14:textId="77777777" w:rsidR="00551F19" w:rsidRPr="00166751" w:rsidRDefault="00551F19" w:rsidP="00551F19">
            <w:pPr>
              <w:tabs>
                <w:tab w:val="right" w:pos="1202"/>
              </w:tabs>
              <w:spacing w:after="0" w:line="220" w:lineRule="exact"/>
              <w:outlineLvl w:val="0"/>
              <w:rPr>
                <w:rFonts w:asciiTheme="minorHAnsi" w:eastAsia="Times New Roman" w:hAnsiTheme="minorHAnsi" w:cs="Arial"/>
                <w:sz w:val="17"/>
                <w:szCs w:val="17"/>
              </w:rPr>
            </w:pPr>
            <w:r w:rsidRPr="00166751">
              <w:rPr>
                <w:rFonts w:asciiTheme="minorHAnsi" w:eastAsia="Times New Roman" w:hAnsiTheme="minorHAnsi" w:cs="Arial"/>
                <w:sz w:val="17"/>
                <w:szCs w:val="17"/>
              </w:rPr>
              <w:t>Assets available for sale</w:t>
            </w:r>
          </w:p>
        </w:tc>
        <w:tc>
          <w:tcPr>
            <w:tcW w:w="527" w:type="pct"/>
            <w:vAlign w:val="bottom"/>
          </w:tcPr>
          <w:p w14:paraId="68FF97AB"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3,306,628</w:t>
            </w:r>
          </w:p>
        </w:tc>
        <w:tc>
          <w:tcPr>
            <w:tcW w:w="524" w:type="pct"/>
            <w:vAlign w:val="bottom"/>
          </w:tcPr>
          <w:p w14:paraId="306A73C2"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w:t>
            </w:r>
          </w:p>
        </w:tc>
        <w:tc>
          <w:tcPr>
            <w:tcW w:w="526" w:type="pct"/>
            <w:vAlign w:val="bottom"/>
          </w:tcPr>
          <w:p w14:paraId="7EE79DE2"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w:t>
            </w:r>
          </w:p>
        </w:tc>
        <w:tc>
          <w:tcPr>
            <w:tcW w:w="526" w:type="pct"/>
            <w:vAlign w:val="bottom"/>
          </w:tcPr>
          <w:p w14:paraId="16A0E116"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3,306,628</w:t>
            </w:r>
          </w:p>
        </w:tc>
        <w:tc>
          <w:tcPr>
            <w:tcW w:w="525" w:type="pct"/>
            <w:vAlign w:val="bottom"/>
          </w:tcPr>
          <w:p w14:paraId="34E7D7BE"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2,399,825</w:t>
            </w:r>
          </w:p>
        </w:tc>
        <w:tc>
          <w:tcPr>
            <w:tcW w:w="526" w:type="pct"/>
            <w:vAlign w:val="bottom"/>
          </w:tcPr>
          <w:p w14:paraId="3D4C6A31"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w:t>
            </w:r>
          </w:p>
        </w:tc>
        <w:tc>
          <w:tcPr>
            <w:tcW w:w="526" w:type="pct"/>
            <w:vAlign w:val="bottom"/>
          </w:tcPr>
          <w:p w14:paraId="3792AF4B"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w:t>
            </w:r>
          </w:p>
        </w:tc>
        <w:tc>
          <w:tcPr>
            <w:tcW w:w="460" w:type="pct"/>
            <w:vAlign w:val="bottom"/>
          </w:tcPr>
          <w:p w14:paraId="115BB3C1"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2,399,825</w:t>
            </w:r>
          </w:p>
        </w:tc>
      </w:tr>
      <w:tr w:rsidR="00E94565" w:rsidRPr="00321238" w14:paraId="517966FA" w14:textId="77777777" w:rsidTr="00166751">
        <w:trPr>
          <w:trHeight w:val="241"/>
        </w:trPr>
        <w:tc>
          <w:tcPr>
            <w:tcW w:w="858" w:type="pct"/>
            <w:vAlign w:val="bottom"/>
          </w:tcPr>
          <w:p w14:paraId="0944B20C" w14:textId="77777777" w:rsidR="00551F19" w:rsidRPr="00166751" w:rsidRDefault="00551F19" w:rsidP="00551F19">
            <w:pPr>
              <w:tabs>
                <w:tab w:val="right" w:pos="1202"/>
              </w:tabs>
              <w:spacing w:after="0" w:line="220" w:lineRule="exact"/>
              <w:outlineLvl w:val="0"/>
              <w:rPr>
                <w:rFonts w:asciiTheme="minorHAnsi" w:eastAsia="Times New Roman" w:hAnsiTheme="minorHAnsi" w:cs="Arial"/>
                <w:sz w:val="17"/>
                <w:szCs w:val="17"/>
              </w:rPr>
            </w:pPr>
            <w:r w:rsidRPr="00166751">
              <w:rPr>
                <w:rFonts w:asciiTheme="minorHAnsi" w:eastAsia="Times New Roman" w:hAnsiTheme="minorHAnsi" w:cs="Arial"/>
                <w:sz w:val="17"/>
                <w:szCs w:val="17"/>
              </w:rPr>
              <w:t>Other assets</w:t>
            </w:r>
          </w:p>
        </w:tc>
        <w:tc>
          <w:tcPr>
            <w:tcW w:w="527" w:type="pct"/>
            <w:tcBorders>
              <w:top w:val="nil"/>
              <w:left w:val="nil"/>
              <w:bottom w:val="single" w:sz="8" w:space="0" w:color="auto"/>
              <w:right w:val="nil"/>
            </w:tcBorders>
            <w:shd w:val="clear" w:color="auto" w:fill="auto"/>
            <w:vAlign w:val="bottom"/>
          </w:tcPr>
          <w:p w14:paraId="2B6F2830"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2,683</w:t>
            </w:r>
          </w:p>
        </w:tc>
        <w:tc>
          <w:tcPr>
            <w:tcW w:w="524" w:type="pct"/>
            <w:tcBorders>
              <w:top w:val="nil"/>
              <w:left w:val="nil"/>
              <w:bottom w:val="single" w:sz="8" w:space="0" w:color="auto"/>
              <w:right w:val="nil"/>
            </w:tcBorders>
            <w:shd w:val="clear" w:color="auto" w:fill="auto"/>
            <w:vAlign w:val="bottom"/>
          </w:tcPr>
          <w:p w14:paraId="62658B42"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396</w:t>
            </w:r>
          </w:p>
        </w:tc>
        <w:tc>
          <w:tcPr>
            <w:tcW w:w="526" w:type="pct"/>
            <w:tcBorders>
              <w:top w:val="nil"/>
              <w:left w:val="nil"/>
              <w:bottom w:val="single" w:sz="8" w:space="0" w:color="auto"/>
              <w:right w:val="nil"/>
            </w:tcBorders>
            <w:shd w:val="clear" w:color="auto" w:fill="auto"/>
            <w:vAlign w:val="bottom"/>
          </w:tcPr>
          <w:p w14:paraId="6C9C4A4D"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w:t>
            </w:r>
          </w:p>
        </w:tc>
        <w:tc>
          <w:tcPr>
            <w:tcW w:w="526" w:type="pct"/>
            <w:tcBorders>
              <w:top w:val="nil"/>
              <w:left w:val="nil"/>
              <w:bottom w:val="single" w:sz="8" w:space="0" w:color="auto"/>
              <w:right w:val="nil"/>
            </w:tcBorders>
            <w:shd w:val="clear" w:color="auto" w:fill="auto"/>
            <w:vAlign w:val="bottom"/>
          </w:tcPr>
          <w:p w14:paraId="42DB5852"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3,079</w:t>
            </w:r>
          </w:p>
        </w:tc>
        <w:tc>
          <w:tcPr>
            <w:tcW w:w="525" w:type="pct"/>
            <w:tcBorders>
              <w:top w:val="nil"/>
              <w:left w:val="nil"/>
              <w:bottom w:val="single" w:sz="8" w:space="0" w:color="auto"/>
              <w:right w:val="nil"/>
            </w:tcBorders>
            <w:shd w:val="clear" w:color="auto" w:fill="auto"/>
            <w:vAlign w:val="bottom"/>
          </w:tcPr>
          <w:p w14:paraId="73D80E70"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2,358</w:t>
            </w:r>
          </w:p>
        </w:tc>
        <w:tc>
          <w:tcPr>
            <w:tcW w:w="526" w:type="pct"/>
            <w:tcBorders>
              <w:top w:val="nil"/>
              <w:left w:val="nil"/>
              <w:bottom w:val="single" w:sz="8" w:space="0" w:color="auto"/>
              <w:right w:val="nil"/>
            </w:tcBorders>
            <w:shd w:val="clear" w:color="auto" w:fill="auto"/>
            <w:vAlign w:val="bottom"/>
          </w:tcPr>
          <w:p w14:paraId="42AED7EC"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396</w:t>
            </w:r>
          </w:p>
        </w:tc>
        <w:tc>
          <w:tcPr>
            <w:tcW w:w="526" w:type="pct"/>
            <w:tcBorders>
              <w:top w:val="nil"/>
              <w:left w:val="nil"/>
              <w:bottom w:val="single" w:sz="8" w:space="0" w:color="auto"/>
              <w:right w:val="nil"/>
            </w:tcBorders>
            <w:shd w:val="clear" w:color="auto" w:fill="auto"/>
            <w:vAlign w:val="bottom"/>
          </w:tcPr>
          <w:p w14:paraId="489E4EAD"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w:t>
            </w:r>
          </w:p>
        </w:tc>
        <w:tc>
          <w:tcPr>
            <w:tcW w:w="460" w:type="pct"/>
            <w:tcBorders>
              <w:top w:val="nil"/>
              <w:left w:val="nil"/>
              <w:bottom w:val="single" w:sz="8" w:space="0" w:color="auto"/>
              <w:right w:val="nil"/>
            </w:tcBorders>
            <w:shd w:val="clear" w:color="auto" w:fill="auto"/>
            <w:vAlign w:val="bottom"/>
          </w:tcPr>
          <w:p w14:paraId="7C3D29CC"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2,754</w:t>
            </w:r>
          </w:p>
        </w:tc>
      </w:tr>
      <w:tr w:rsidR="00E94565" w:rsidRPr="00321238" w14:paraId="63F90327" w14:textId="77777777" w:rsidTr="00166751">
        <w:trPr>
          <w:trHeight w:val="183"/>
        </w:trPr>
        <w:tc>
          <w:tcPr>
            <w:tcW w:w="858" w:type="pct"/>
            <w:vAlign w:val="bottom"/>
          </w:tcPr>
          <w:p w14:paraId="39706601" w14:textId="77777777" w:rsidR="00551F19" w:rsidRPr="00166751" w:rsidRDefault="00551F19" w:rsidP="00551F19">
            <w:pPr>
              <w:tabs>
                <w:tab w:val="right" w:pos="1202"/>
              </w:tabs>
              <w:spacing w:after="0" w:line="220" w:lineRule="exact"/>
              <w:outlineLvl w:val="0"/>
              <w:rPr>
                <w:rFonts w:asciiTheme="minorHAnsi" w:eastAsia="Times New Roman" w:hAnsiTheme="minorHAnsi" w:cs="Arial"/>
                <w:b/>
                <w:bCs/>
                <w:sz w:val="17"/>
                <w:szCs w:val="17"/>
              </w:rPr>
            </w:pPr>
            <w:r w:rsidRPr="00166751">
              <w:rPr>
                <w:rFonts w:asciiTheme="minorHAnsi" w:eastAsia="Times New Roman" w:hAnsiTheme="minorHAnsi" w:cs="Arial"/>
                <w:b/>
                <w:bCs/>
                <w:sz w:val="17"/>
                <w:szCs w:val="17"/>
              </w:rPr>
              <w:t>Total</w:t>
            </w:r>
          </w:p>
        </w:tc>
        <w:tc>
          <w:tcPr>
            <w:tcW w:w="527" w:type="pct"/>
            <w:tcBorders>
              <w:top w:val="single" w:sz="8" w:space="0" w:color="auto"/>
              <w:bottom w:val="single" w:sz="12" w:space="0" w:color="auto"/>
            </w:tcBorders>
            <w:vAlign w:val="bottom"/>
          </w:tcPr>
          <w:p w14:paraId="2805FE65" w14:textId="77777777" w:rsidR="00551F19" w:rsidRPr="00166751" w:rsidRDefault="00551F19" w:rsidP="00551F19">
            <w:pPr>
              <w:tabs>
                <w:tab w:val="right" w:pos="1202"/>
              </w:tabs>
              <w:spacing w:after="0" w:line="2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b/>
                <w:sz w:val="18"/>
                <w:szCs w:val="18"/>
                <w:lang w:val="en-US"/>
              </w:rPr>
              <w:t>25,711,689</w:t>
            </w:r>
          </w:p>
        </w:tc>
        <w:tc>
          <w:tcPr>
            <w:tcW w:w="524" w:type="pct"/>
            <w:tcBorders>
              <w:top w:val="single" w:sz="8" w:space="0" w:color="auto"/>
              <w:bottom w:val="single" w:sz="12" w:space="0" w:color="auto"/>
            </w:tcBorders>
            <w:vAlign w:val="bottom"/>
          </w:tcPr>
          <w:p w14:paraId="08FD2DDB" w14:textId="77777777" w:rsidR="00551F19" w:rsidRPr="00166751" w:rsidRDefault="00551F19" w:rsidP="00551F19">
            <w:pPr>
              <w:tabs>
                <w:tab w:val="right" w:pos="1202"/>
              </w:tabs>
              <w:spacing w:after="0" w:line="2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b/>
                <w:sz w:val="18"/>
                <w:szCs w:val="18"/>
                <w:lang w:val="en-US"/>
              </w:rPr>
              <w:t>1,512,887</w:t>
            </w:r>
          </w:p>
        </w:tc>
        <w:tc>
          <w:tcPr>
            <w:tcW w:w="526" w:type="pct"/>
            <w:tcBorders>
              <w:top w:val="single" w:sz="8" w:space="0" w:color="auto"/>
              <w:bottom w:val="single" w:sz="12" w:space="0" w:color="auto"/>
            </w:tcBorders>
            <w:vAlign w:val="bottom"/>
          </w:tcPr>
          <w:p w14:paraId="73D4D0C5" w14:textId="77777777" w:rsidR="00551F19" w:rsidRPr="00166751" w:rsidRDefault="00551F19" w:rsidP="00551F19">
            <w:pPr>
              <w:tabs>
                <w:tab w:val="right" w:pos="1202"/>
              </w:tabs>
              <w:spacing w:after="0" w:line="240"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b/>
                <w:sz w:val="18"/>
                <w:szCs w:val="18"/>
                <w:lang w:val="en-US"/>
              </w:rPr>
              <w:t>-</w:t>
            </w:r>
          </w:p>
        </w:tc>
        <w:tc>
          <w:tcPr>
            <w:tcW w:w="526" w:type="pct"/>
            <w:tcBorders>
              <w:top w:val="single" w:sz="8" w:space="0" w:color="auto"/>
              <w:bottom w:val="single" w:sz="12" w:space="0" w:color="auto"/>
            </w:tcBorders>
            <w:vAlign w:val="bottom"/>
          </w:tcPr>
          <w:p w14:paraId="465A07D5" w14:textId="77777777" w:rsidR="00551F19" w:rsidRPr="00166751" w:rsidRDefault="00551F19" w:rsidP="00551F19">
            <w:pPr>
              <w:tabs>
                <w:tab w:val="right" w:pos="1202"/>
              </w:tabs>
              <w:spacing w:after="0" w:line="2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b/>
                <w:sz w:val="18"/>
                <w:szCs w:val="18"/>
                <w:lang w:val="en-US"/>
              </w:rPr>
              <w:t>27,224,576</w:t>
            </w:r>
          </w:p>
        </w:tc>
        <w:tc>
          <w:tcPr>
            <w:tcW w:w="525" w:type="pct"/>
            <w:tcBorders>
              <w:top w:val="single" w:sz="8" w:space="0" w:color="auto"/>
              <w:bottom w:val="single" w:sz="12" w:space="0" w:color="auto"/>
            </w:tcBorders>
            <w:vAlign w:val="bottom"/>
          </w:tcPr>
          <w:p w14:paraId="06EB505F" w14:textId="77777777" w:rsidR="00551F19" w:rsidRPr="00166751" w:rsidRDefault="00551F19" w:rsidP="00551F19">
            <w:pPr>
              <w:tabs>
                <w:tab w:val="right" w:pos="1202"/>
              </w:tabs>
              <w:spacing w:after="0" w:line="2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b/>
                <w:sz w:val="18"/>
                <w:szCs w:val="18"/>
                <w:lang w:val="en-US"/>
              </w:rPr>
              <w:t>4,886,289</w:t>
            </w:r>
          </w:p>
        </w:tc>
        <w:tc>
          <w:tcPr>
            <w:tcW w:w="526" w:type="pct"/>
            <w:tcBorders>
              <w:top w:val="single" w:sz="8" w:space="0" w:color="auto"/>
              <w:bottom w:val="single" w:sz="12" w:space="0" w:color="auto"/>
            </w:tcBorders>
            <w:vAlign w:val="bottom"/>
          </w:tcPr>
          <w:p w14:paraId="0C7705C3" w14:textId="77777777" w:rsidR="00551F19" w:rsidRPr="00166751" w:rsidRDefault="00551F19" w:rsidP="00551F19">
            <w:pPr>
              <w:tabs>
                <w:tab w:val="right" w:pos="1202"/>
              </w:tabs>
              <w:spacing w:after="0" w:line="2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b/>
                <w:sz w:val="18"/>
                <w:szCs w:val="18"/>
                <w:lang w:val="en-US"/>
              </w:rPr>
              <w:t>35,326</w:t>
            </w:r>
          </w:p>
        </w:tc>
        <w:tc>
          <w:tcPr>
            <w:tcW w:w="526" w:type="pct"/>
            <w:tcBorders>
              <w:top w:val="single" w:sz="8" w:space="0" w:color="auto"/>
              <w:bottom w:val="single" w:sz="12" w:space="0" w:color="auto"/>
            </w:tcBorders>
            <w:vAlign w:val="bottom"/>
          </w:tcPr>
          <w:p w14:paraId="4D24B4A0" w14:textId="77777777" w:rsidR="00551F19" w:rsidRPr="00166751" w:rsidRDefault="00551F19" w:rsidP="00551F19">
            <w:pPr>
              <w:tabs>
                <w:tab w:val="right" w:pos="1202"/>
              </w:tabs>
              <w:spacing w:after="0" w:line="2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b/>
                <w:sz w:val="18"/>
                <w:szCs w:val="18"/>
                <w:lang w:val="en-US"/>
              </w:rPr>
              <w:t>-</w:t>
            </w:r>
          </w:p>
        </w:tc>
        <w:tc>
          <w:tcPr>
            <w:tcW w:w="460" w:type="pct"/>
            <w:tcBorders>
              <w:top w:val="single" w:sz="8" w:space="0" w:color="auto"/>
              <w:bottom w:val="single" w:sz="12" w:space="0" w:color="auto"/>
            </w:tcBorders>
            <w:vAlign w:val="bottom"/>
          </w:tcPr>
          <w:p w14:paraId="14322D1A" w14:textId="77777777" w:rsidR="00551F19" w:rsidRPr="00166751" w:rsidRDefault="00551F19" w:rsidP="00551F19">
            <w:pPr>
              <w:tabs>
                <w:tab w:val="right" w:pos="1202"/>
              </w:tabs>
              <w:spacing w:after="0" w:line="2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b/>
                <w:sz w:val="18"/>
                <w:szCs w:val="18"/>
                <w:lang w:val="en-US"/>
              </w:rPr>
              <w:t>4,921,615</w:t>
            </w:r>
          </w:p>
        </w:tc>
      </w:tr>
      <w:tr w:rsidR="00E94565" w:rsidRPr="00321238" w14:paraId="3BA3800C" w14:textId="77777777" w:rsidTr="00166751">
        <w:trPr>
          <w:trHeight w:val="329"/>
        </w:trPr>
        <w:tc>
          <w:tcPr>
            <w:tcW w:w="858" w:type="pct"/>
            <w:vAlign w:val="bottom"/>
          </w:tcPr>
          <w:p w14:paraId="62FADEA9" w14:textId="77777777" w:rsidR="00551F19" w:rsidRPr="00166751" w:rsidRDefault="00551F19" w:rsidP="00551F19">
            <w:pPr>
              <w:tabs>
                <w:tab w:val="right" w:pos="1202"/>
              </w:tabs>
              <w:spacing w:after="0" w:line="220" w:lineRule="exact"/>
              <w:outlineLvl w:val="0"/>
              <w:rPr>
                <w:rFonts w:asciiTheme="minorHAnsi" w:eastAsia="Times New Roman" w:hAnsiTheme="minorHAnsi" w:cs="Arial"/>
                <w:b/>
                <w:bCs/>
                <w:sz w:val="17"/>
                <w:szCs w:val="17"/>
              </w:rPr>
            </w:pPr>
            <w:r w:rsidRPr="00166751">
              <w:rPr>
                <w:rFonts w:asciiTheme="minorHAnsi" w:eastAsia="Times New Roman" w:hAnsiTheme="minorHAnsi" w:cs="Arial"/>
                <w:b/>
                <w:bCs/>
                <w:sz w:val="17"/>
                <w:szCs w:val="17"/>
              </w:rPr>
              <w:t>Guarantees  and  commitments</w:t>
            </w:r>
          </w:p>
        </w:tc>
        <w:tc>
          <w:tcPr>
            <w:tcW w:w="527" w:type="pct"/>
            <w:tcBorders>
              <w:top w:val="single" w:sz="12" w:space="0" w:color="auto"/>
            </w:tcBorders>
            <w:vAlign w:val="bottom"/>
          </w:tcPr>
          <w:p w14:paraId="4D3CDE06"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en-US"/>
              </w:rPr>
            </w:pPr>
          </w:p>
        </w:tc>
        <w:tc>
          <w:tcPr>
            <w:tcW w:w="524" w:type="pct"/>
            <w:tcBorders>
              <w:top w:val="single" w:sz="12" w:space="0" w:color="auto"/>
            </w:tcBorders>
            <w:vAlign w:val="bottom"/>
          </w:tcPr>
          <w:p w14:paraId="331E63D9"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en-US"/>
              </w:rPr>
            </w:pPr>
          </w:p>
        </w:tc>
        <w:tc>
          <w:tcPr>
            <w:tcW w:w="526" w:type="pct"/>
            <w:tcBorders>
              <w:top w:val="single" w:sz="12" w:space="0" w:color="auto"/>
            </w:tcBorders>
            <w:vAlign w:val="bottom"/>
          </w:tcPr>
          <w:p w14:paraId="2FE9433D"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en-US"/>
              </w:rPr>
            </w:pPr>
          </w:p>
        </w:tc>
        <w:tc>
          <w:tcPr>
            <w:tcW w:w="526" w:type="pct"/>
            <w:tcBorders>
              <w:top w:val="single" w:sz="12" w:space="0" w:color="auto"/>
            </w:tcBorders>
            <w:vAlign w:val="bottom"/>
          </w:tcPr>
          <w:p w14:paraId="22C558F9"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en-US"/>
              </w:rPr>
            </w:pPr>
          </w:p>
        </w:tc>
        <w:tc>
          <w:tcPr>
            <w:tcW w:w="525" w:type="pct"/>
            <w:tcBorders>
              <w:top w:val="single" w:sz="12" w:space="0" w:color="auto"/>
            </w:tcBorders>
            <w:vAlign w:val="bottom"/>
          </w:tcPr>
          <w:p w14:paraId="07F30BD2"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en-US"/>
              </w:rPr>
            </w:pPr>
          </w:p>
        </w:tc>
        <w:tc>
          <w:tcPr>
            <w:tcW w:w="526" w:type="pct"/>
            <w:tcBorders>
              <w:top w:val="single" w:sz="12" w:space="0" w:color="auto"/>
            </w:tcBorders>
            <w:vAlign w:val="bottom"/>
          </w:tcPr>
          <w:p w14:paraId="12193615"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en-US"/>
              </w:rPr>
            </w:pPr>
          </w:p>
        </w:tc>
        <w:tc>
          <w:tcPr>
            <w:tcW w:w="526" w:type="pct"/>
            <w:tcBorders>
              <w:top w:val="single" w:sz="12" w:space="0" w:color="auto"/>
            </w:tcBorders>
            <w:vAlign w:val="bottom"/>
          </w:tcPr>
          <w:p w14:paraId="6C3C7F58"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en-US"/>
              </w:rPr>
            </w:pPr>
          </w:p>
        </w:tc>
        <w:tc>
          <w:tcPr>
            <w:tcW w:w="460" w:type="pct"/>
            <w:tcBorders>
              <w:top w:val="single" w:sz="12" w:space="0" w:color="auto"/>
            </w:tcBorders>
            <w:vAlign w:val="bottom"/>
          </w:tcPr>
          <w:p w14:paraId="67EE4A41"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en-US"/>
              </w:rPr>
            </w:pPr>
          </w:p>
        </w:tc>
      </w:tr>
      <w:tr w:rsidR="00E94565" w:rsidRPr="00321238" w14:paraId="017FCFF6" w14:textId="77777777" w:rsidTr="00166751">
        <w:trPr>
          <w:trHeight w:val="197"/>
        </w:trPr>
        <w:tc>
          <w:tcPr>
            <w:tcW w:w="858" w:type="pct"/>
            <w:vAlign w:val="bottom"/>
          </w:tcPr>
          <w:p w14:paraId="0A741D6F" w14:textId="77777777" w:rsidR="00551F19" w:rsidRPr="00166751" w:rsidRDefault="00551F19" w:rsidP="00551F19">
            <w:pPr>
              <w:tabs>
                <w:tab w:val="right" w:pos="1202"/>
              </w:tabs>
              <w:spacing w:after="0" w:line="220" w:lineRule="exact"/>
              <w:outlineLvl w:val="0"/>
              <w:rPr>
                <w:rFonts w:asciiTheme="minorHAnsi" w:eastAsia="Times New Roman" w:hAnsiTheme="minorHAnsi" w:cs="Arial"/>
                <w:sz w:val="17"/>
                <w:szCs w:val="17"/>
              </w:rPr>
            </w:pPr>
            <w:r w:rsidRPr="00166751">
              <w:rPr>
                <w:rFonts w:asciiTheme="minorHAnsi" w:eastAsia="Times New Roman" w:hAnsiTheme="minorHAnsi" w:cs="Arial"/>
                <w:sz w:val="17"/>
                <w:szCs w:val="17"/>
              </w:rPr>
              <w:t>Guarantees issued in HRK</w:t>
            </w:r>
          </w:p>
        </w:tc>
        <w:tc>
          <w:tcPr>
            <w:tcW w:w="527" w:type="pct"/>
            <w:tcBorders>
              <w:top w:val="nil"/>
              <w:left w:val="nil"/>
              <w:bottom w:val="nil"/>
              <w:right w:val="nil"/>
            </w:tcBorders>
            <w:shd w:val="clear" w:color="auto" w:fill="auto"/>
            <w:vAlign w:val="bottom"/>
          </w:tcPr>
          <w:p w14:paraId="2399F355"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166751">
              <w:rPr>
                <w:rFonts w:asciiTheme="minorHAnsi" w:eastAsia="Times New Roman" w:hAnsiTheme="minorHAnsi" w:cs="Arial"/>
                <w:sz w:val="18"/>
                <w:szCs w:val="18"/>
                <w:lang w:val="en-US"/>
              </w:rPr>
              <w:t>32,082</w:t>
            </w:r>
          </w:p>
        </w:tc>
        <w:tc>
          <w:tcPr>
            <w:tcW w:w="524" w:type="pct"/>
            <w:tcBorders>
              <w:top w:val="nil"/>
              <w:left w:val="nil"/>
              <w:bottom w:val="nil"/>
              <w:right w:val="nil"/>
            </w:tcBorders>
            <w:shd w:val="clear" w:color="auto" w:fill="auto"/>
            <w:vAlign w:val="bottom"/>
          </w:tcPr>
          <w:p w14:paraId="6418CCB5"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14:paraId="26722AE0"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14:paraId="04E3952A"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166751">
              <w:rPr>
                <w:rFonts w:asciiTheme="minorHAnsi" w:eastAsia="Times New Roman" w:hAnsiTheme="minorHAnsi" w:cs="Arial"/>
                <w:sz w:val="18"/>
                <w:szCs w:val="18"/>
                <w:lang w:val="en-US"/>
              </w:rPr>
              <w:t>32,082</w:t>
            </w:r>
          </w:p>
        </w:tc>
        <w:tc>
          <w:tcPr>
            <w:tcW w:w="525" w:type="pct"/>
            <w:tcBorders>
              <w:top w:val="nil"/>
              <w:left w:val="nil"/>
              <w:bottom w:val="nil"/>
              <w:right w:val="nil"/>
            </w:tcBorders>
            <w:shd w:val="clear" w:color="auto" w:fill="auto"/>
            <w:vAlign w:val="bottom"/>
          </w:tcPr>
          <w:p w14:paraId="29DE322B"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14:paraId="4C376127"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14:paraId="03970497"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w:t>
            </w:r>
          </w:p>
        </w:tc>
        <w:tc>
          <w:tcPr>
            <w:tcW w:w="460" w:type="pct"/>
            <w:tcBorders>
              <w:top w:val="nil"/>
              <w:left w:val="nil"/>
              <w:bottom w:val="nil"/>
              <w:right w:val="nil"/>
            </w:tcBorders>
            <w:shd w:val="clear" w:color="auto" w:fill="auto"/>
            <w:vAlign w:val="bottom"/>
          </w:tcPr>
          <w:p w14:paraId="5397CC27"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166751">
              <w:rPr>
                <w:rFonts w:asciiTheme="minorHAnsi" w:eastAsia="Times New Roman" w:hAnsiTheme="minorHAnsi" w:cs="Arial"/>
                <w:sz w:val="18"/>
                <w:szCs w:val="18"/>
                <w:lang w:val="en-US"/>
              </w:rPr>
              <w:t>-</w:t>
            </w:r>
          </w:p>
        </w:tc>
      </w:tr>
      <w:tr w:rsidR="00E94565" w:rsidRPr="00321238" w14:paraId="095D8984" w14:textId="77777777" w:rsidTr="00166751">
        <w:trPr>
          <w:trHeight w:val="300"/>
        </w:trPr>
        <w:tc>
          <w:tcPr>
            <w:tcW w:w="858" w:type="pct"/>
            <w:vAlign w:val="bottom"/>
          </w:tcPr>
          <w:p w14:paraId="1F59B10A" w14:textId="77777777" w:rsidR="00551F19" w:rsidRPr="00166751" w:rsidRDefault="00551F19" w:rsidP="00551F19">
            <w:pPr>
              <w:tabs>
                <w:tab w:val="right" w:pos="1202"/>
              </w:tabs>
              <w:spacing w:after="0" w:line="220" w:lineRule="exact"/>
              <w:outlineLvl w:val="0"/>
              <w:rPr>
                <w:rFonts w:asciiTheme="minorHAnsi" w:eastAsia="Times New Roman" w:hAnsiTheme="minorHAnsi" w:cs="Arial"/>
                <w:sz w:val="17"/>
                <w:szCs w:val="17"/>
              </w:rPr>
            </w:pPr>
            <w:r w:rsidRPr="00166751">
              <w:rPr>
                <w:rFonts w:asciiTheme="minorHAnsi" w:eastAsia="Times New Roman" w:hAnsiTheme="minorHAnsi" w:cs="Arial"/>
                <w:sz w:val="17"/>
                <w:szCs w:val="17"/>
              </w:rPr>
              <w:t>Issued guarantees in foreign currency</w:t>
            </w:r>
          </w:p>
        </w:tc>
        <w:tc>
          <w:tcPr>
            <w:tcW w:w="527" w:type="pct"/>
            <w:tcBorders>
              <w:top w:val="nil"/>
              <w:left w:val="nil"/>
              <w:bottom w:val="nil"/>
              <w:right w:val="nil"/>
            </w:tcBorders>
            <w:shd w:val="clear" w:color="auto" w:fill="auto"/>
            <w:vAlign w:val="bottom"/>
          </w:tcPr>
          <w:p w14:paraId="4EE9879A"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166751">
              <w:rPr>
                <w:rFonts w:asciiTheme="minorHAnsi" w:eastAsia="Times New Roman" w:hAnsiTheme="minorHAnsi" w:cs="Arial"/>
                <w:sz w:val="18"/>
                <w:szCs w:val="18"/>
                <w:lang w:val="en-US"/>
              </w:rPr>
              <w:t>1,964,149</w:t>
            </w:r>
          </w:p>
        </w:tc>
        <w:tc>
          <w:tcPr>
            <w:tcW w:w="524" w:type="pct"/>
            <w:tcBorders>
              <w:top w:val="nil"/>
              <w:left w:val="nil"/>
              <w:bottom w:val="nil"/>
              <w:right w:val="nil"/>
            </w:tcBorders>
            <w:shd w:val="clear" w:color="auto" w:fill="auto"/>
            <w:vAlign w:val="bottom"/>
          </w:tcPr>
          <w:p w14:paraId="70040269"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166751">
              <w:rPr>
                <w:rFonts w:asciiTheme="minorHAnsi" w:eastAsia="Times New Roman" w:hAnsiTheme="minorHAnsi" w:cs="Arial"/>
                <w:sz w:val="18"/>
                <w:szCs w:val="18"/>
                <w:lang w:val="en-US"/>
              </w:rPr>
              <w:t>18,820</w:t>
            </w:r>
          </w:p>
        </w:tc>
        <w:tc>
          <w:tcPr>
            <w:tcW w:w="526" w:type="pct"/>
            <w:tcBorders>
              <w:top w:val="nil"/>
              <w:left w:val="nil"/>
              <w:bottom w:val="nil"/>
              <w:right w:val="nil"/>
            </w:tcBorders>
            <w:shd w:val="clear" w:color="auto" w:fill="auto"/>
            <w:vAlign w:val="bottom"/>
          </w:tcPr>
          <w:p w14:paraId="64DD6809"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14:paraId="1CECFEB5"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166751">
              <w:rPr>
                <w:rFonts w:asciiTheme="minorHAnsi" w:eastAsia="Times New Roman" w:hAnsiTheme="minorHAnsi" w:cs="Arial"/>
                <w:sz w:val="18"/>
                <w:szCs w:val="18"/>
                <w:lang w:val="en-US"/>
              </w:rPr>
              <w:t>1,982,969</w:t>
            </w:r>
          </w:p>
        </w:tc>
        <w:tc>
          <w:tcPr>
            <w:tcW w:w="525" w:type="pct"/>
            <w:tcBorders>
              <w:top w:val="nil"/>
              <w:left w:val="nil"/>
              <w:bottom w:val="nil"/>
              <w:right w:val="nil"/>
            </w:tcBorders>
            <w:shd w:val="clear" w:color="auto" w:fill="auto"/>
            <w:vAlign w:val="bottom"/>
          </w:tcPr>
          <w:p w14:paraId="4AF42CA3"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166751">
              <w:rPr>
                <w:rFonts w:asciiTheme="minorHAnsi" w:eastAsia="Times New Roman" w:hAnsiTheme="minorHAnsi" w:cs="Arial"/>
                <w:sz w:val="18"/>
                <w:szCs w:val="18"/>
                <w:lang w:val="en-US"/>
              </w:rPr>
              <w:t>437,160</w:t>
            </w:r>
          </w:p>
        </w:tc>
        <w:tc>
          <w:tcPr>
            <w:tcW w:w="526" w:type="pct"/>
            <w:tcBorders>
              <w:top w:val="nil"/>
              <w:left w:val="nil"/>
              <w:bottom w:val="nil"/>
              <w:right w:val="nil"/>
            </w:tcBorders>
            <w:shd w:val="clear" w:color="auto" w:fill="auto"/>
            <w:vAlign w:val="bottom"/>
          </w:tcPr>
          <w:p w14:paraId="14613C9D"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14:paraId="715F0CE1"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w:t>
            </w:r>
          </w:p>
        </w:tc>
        <w:tc>
          <w:tcPr>
            <w:tcW w:w="460" w:type="pct"/>
            <w:tcBorders>
              <w:top w:val="nil"/>
              <w:left w:val="nil"/>
              <w:bottom w:val="nil"/>
              <w:right w:val="nil"/>
            </w:tcBorders>
            <w:shd w:val="clear" w:color="auto" w:fill="auto"/>
            <w:vAlign w:val="bottom"/>
          </w:tcPr>
          <w:p w14:paraId="667DF644"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166751">
              <w:rPr>
                <w:rFonts w:asciiTheme="minorHAnsi" w:eastAsia="Times New Roman" w:hAnsiTheme="minorHAnsi" w:cs="Arial"/>
                <w:sz w:val="18"/>
                <w:szCs w:val="18"/>
                <w:lang w:val="en-US"/>
              </w:rPr>
              <w:t>437,160</w:t>
            </w:r>
          </w:p>
        </w:tc>
      </w:tr>
      <w:tr w:rsidR="00E94565" w:rsidRPr="00321238" w14:paraId="314467C1" w14:textId="77777777" w:rsidTr="00166751">
        <w:trPr>
          <w:trHeight w:val="164"/>
        </w:trPr>
        <w:tc>
          <w:tcPr>
            <w:tcW w:w="858" w:type="pct"/>
            <w:vAlign w:val="bottom"/>
          </w:tcPr>
          <w:p w14:paraId="64713543" w14:textId="77777777" w:rsidR="00551F19" w:rsidRPr="00166751" w:rsidRDefault="00551F19" w:rsidP="00551F19">
            <w:pPr>
              <w:tabs>
                <w:tab w:val="right" w:pos="1202"/>
              </w:tabs>
              <w:spacing w:after="0" w:line="220" w:lineRule="exact"/>
              <w:outlineLvl w:val="0"/>
              <w:rPr>
                <w:rFonts w:asciiTheme="minorHAnsi" w:eastAsia="Times New Roman" w:hAnsiTheme="minorHAnsi" w:cs="Arial"/>
                <w:sz w:val="17"/>
                <w:szCs w:val="17"/>
              </w:rPr>
            </w:pPr>
            <w:r w:rsidRPr="00166751">
              <w:rPr>
                <w:rFonts w:asciiTheme="minorHAnsi" w:eastAsia="Times New Roman" w:hAnsiTheme="minorHAnsi" w:cs="Arial"/>
                <w:sz w:val="17"/>
                <w:szCs w:val="17"/>
              </w:rPr>
              <w:t>Undrawn loans</w:t>
            </w:r>
          </w:p>
        </w:tc>
        <w:tc>
          <w:tcPr>
            <w:tcW w:w="527" w:type="pct"/>
            <w:tcBorders>
              <w:top w:val="nil"/>
              <w:left w:val="nil"/>
              <w:bottom w:val="nil"/>
              <w:right w:val="nil"/>
            </w:tcBorders>
            <w:shd w:val="clear" w:color="auto" w:fill="auto"/>
            <w:vAlign w:val="bottom"/>
          </w:tcPr>
          <w:p w14:paraId="661540E6"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166751">
              <w:rPr>
                <w:rFonts w:asciiTheme="minorHAnsi" w:eastAsia="Times New Roman" w:hAnsiTheme="minorHAnsi" w:cs="Arial"/>
                <w:sz w:val="18"/>
                <w:szCs w:val="18"/>
                <w:lang w:val="en-US"/>
              </w:rPr>
              <w:t>3,911,236</w:t>
            </w:r>
          </w:p>
        </w:tc>
        <w:tc>
          <w:tcPr>
            <w:tcW w:w="524" w:type="pct"/>
            <w:tcBorders>
              <w:top w:val="nil"/>
              <w:left w:val="nil"/>
              <w:bottom w:val="nil"/>
              <w:right w:val="nil"/>
            </w:tcBorders>
            <w:shd w:val="clear" w:color="auto" w:fill="auto"/>
            <w:vAlign w:val="bottom"/>
          </w:tcPr>
          <w:p w14:paraId="5867B788"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16,941</w:t>
            </w:r>
          </w:p>
        </w:tc>
        <w:tc>
          <w:tcPr>
            <w:tcW w:w="526" w:type="pct"/>
            <w:tcBorders>
              <w:top w:val="nil"/>
              <w:left w:val="nil"/>
              <w:bottom w:val="nil"/>
              <w:right w:val="nil"/>
            </w:tcBorders>
            <w:shd w:val="clear" w:color="auto" w:fill="auto"/>
            <w:vAlign w:val="bottom"/>
          </w:tcPr>
          <w:p w14:paraId="1DF8BF8A"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14:paraId="6AD8D085"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166751">
              <w:rPr>
                <w:rFonts w:asciiTheme="minorHAnsi" w:eastAsia="Times New Roman" w:hAnsiTheme="minorHAnsi" w:cs="Arial"/>
                <w:sz w:val="18"/>
                <w:szCs w:val="18"/>
                <w:lang w:val="en-US"/>
              </w:rPr>
              <w:t>3,928,177</w:t>
            </w:r>
          </w:p>
        </w:tc>
        <w:tc>
          <w:tcPr>
            <w:tcW w:w="525" w:type="pct"/>
            <w:tcBorders>
              <w:top w:val="nil"/>
              <w:left w:val="nil"/>
              <w:bottom w:val="nil"/>
              <w:right w:val="nil"/>
            </w:tcBorders>
            <w:shd w:val="clear" w:color="auto" w:fill="auto"/>
            <w:vAlign w:val="bottom"/>
          </w:tcPr>
          <w:p w14:paraId="1AC471C9"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166751">
              <w:rPr>
                <w:rFonts w:asciiTheme="minorHAnsi" w:eastAsia="Times New Roman" w:hAnsiTheme="minorHAnsi" w:cs="Arial"/>
                <w:sz w:val="18"/>
                <w:szCs w:val="18"/>
                <w:lang w:val="en-US"/>
              </w:rPr>
              <w:t>658,819</w:t>
            </w:r>
          </w:p>
        </w:tc>
        <w:tc>
          <w:tcPr>
            <w:tcW w:w="526" w:type="pct"/>
            <w:tcBorders>
              <w:top w:val="nil"/>
              <w:left w:val="nil"/>
              <w:bottom w:val="nil"/>
              <w:right w:val="nil"/>
            </w:tcBorders>
            <w:shd w:val="clear" w:color="auto" w:fill="auto"/>
            <w:vAlign w:val="bottom"/>
          </w:tcPr>
          <w:p w14:paraId="7D4DDC0C"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14:paraId="2EFFA2C2"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166751">
              <w:rPr>
                <w:rFonts w:asciiTheme="minorHAnsi" w:eastAsia="Times New Roman" w:hAnsiTheme="minorHAnsi" w:cs="Arial"/>
                <w:sz w:val="18"/>
                <w:szCs w:val="18"/>
                <w:lang w:val="en-US"/>
              </w:rPr>
              <w:t>-</w:t>
            </w:r>
          </w:p>
        </w:tc>
        <w:tc>
          <w:tcPr>
            <w:tcW w:w="460" w:type="pct"/>
            <w:tcBorders>
              <w:top w:val="nil"/>
              <w:left w:val="nil"/>
              <w:bottom w:val="nil"/>
              <w:right w:val="nil"/>
            </w:tcBorders>
            <w:shd w:val="clear" w:color="auto" w:fill="auto"/>
            <w:vAlign w:val="bottom"/>
          </w:tcPr>
          <w:p w14:paraId="2013C39F"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166751">
              <w:rPr>
                <w:rFonts w:asciiTheme="minorHAnsi" w:eastAsia="Times New Roman" w:hAnsiTheme="minorHAnsi" w:cs="Arial"/>
                <w:sz w:val="18"/>
                <w:szCs w:val="18"/>
                <w:lang w:val="en-US"/>
              </w:rPr>
              <w:t>658,819</w:t>
            </w:r>
          </w:p>
        </w:tc>
      </w:tr>
      <w:tr w:rsidR="00E94565" w:rsidRPr="00321238" w14:paraId="78D300A2" w14:textId="77777777" w:rsidTr="00166751">
        <w:trPr>
          <w:trHeight w:val="404"/>
        </w:trPr>
        <w:tc>
          <w:tcPr>
            <w:tcW w:w="858" w:type="pct"/>
            <w:vAlign w:val="bottom"/>
          </w:tcPr>
          <w:p w14:paraId="284D2B69" w14:textId="77777777" w:rsidR="00551F19" w:rsidRPr="00166751" w:rsidRDefault="00551F19" w:rsidP="00551F19">
            <w:pPr>
              <w:tabs>
                <w:tab w:val="right" w:pos="1202"/>
              </w:tabs>
              <w:spacing w:after="0" w:line="220" w:lineRule="exact"/>
              <w:outlineLvl w:val="0"/>
              <w:rPr>
                <w:rFonts w:asciiTheme="minorHAnsi" w:eastAsia="Times New Roman" w:hAnsiTheme="minorHAnsi" w:cs="Arial"/>
                <w:sz w:val="17"/>
                <w:szCs w:val="17"/>
              </w:rPr>
            </w:pPr>
            <w:r w:rsidRPr="00166751">
              <w:rPr>
                <w:rFonts w:asciiTheme="minorHAnsi" w:eastAsia="Times New Roman" w:hAnsiTheme="minorHAnsi" w:cs="Arial"/>
                <w:sz w:val="17"/>
                <w:szCs w:val="17"/>
              </w:rPr>
              <w:t>Other irrevocable contingent liabilities</w:t>
            </w:r>
          </w:p>
        </w:tc>
        <w:tc>
          <w:tcPr>
            <w:tcW w:w="527" w:type="pct"/>
            <w:tcBorders>
              <w:bottom w:val="single" w:sz="4" w:space="0" w:color="auto"/>
            </w:tcBorders>
            <w:vAlign w:val="bottom"/>
          </w:tcPr>
          <w:p w14:paraId="33871BE2"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z w:val="18"/>
                <w:szCs w:val="18"/>
                <w:lang w:val="pl-PL"/>
              </w:rPr>
            </w:pPr>
            <w:r w:rsidRPr="00166751">
              <w:rPr>
                <w:rFonts w:asciiTheme="minorHAnsi" w:eastAsia="Times New Roman" w:hAnsiTheme="minorHAnsi" w:cs="Arial"/>
                <w:sz w:val="18"/>
                <w:szCs w:val="18"/>
                <w:lang w:val="en-US"/>
              </w:rPr>
              <w:t>335</w:t>
            </w:r>
          </w:p>
        </w:tc>
        <w:tc>
          <w:tcPr>
            <w:tcW w:w="524" w:type="pct"/>
            <w:tcBorders>
              <w:bottom w:val="single" w:sz="4" w:space="0" w:color="auto"/>
            </w:tcBorders>
            <w:vAlign w:val="bottom"/>
          </w:tcPr>
          <w:p w14:paraId="6145848B"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166751">
              <w:rPr>
                <w:rFonts w:asciiTheme="minorHAnsi" w:eastAsia="Times New Roman" w:hAnsiTheme="minorHAnsi" w:cs="Arial"/>
                <w:sz w:val="18"/>
                <w:szCs w:val="18"/>
                <w:lang w:val="en-US"/>
              </w:rPr>
              <w:t>-</w:t>
            </w:r>
          </w:p>
        </w:tc>
        <w:tc>
          <w:tcPr>
            <w:tcW w:w="526" w:type="pct"/>
            <w:tcBorders>
              <w:bottom w:val="single" w:sz="4" w:space="0" w:color="auto"/>
            </w:tcBorders>
            <w:vAlign w:val="bottom"/>
          </w:tcPr>
          <w:p w14:paraId="42FAA15C"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166751">
              <w:rPr>
                <w:rFonts w:asciiTheme="minorHAnsi" w:eastAsia="Times New Roman" w:hAnsiTheme="minorHAnsi" w:cs="Arial"/>
                <w:sz w:val="18"/>
                <w:szCs w:val="18"/>
                <w:lang w:val="en-US"/>
              </w:rPr>
              <w:t>-</w:t>
            </w:r>
          </w:p>
        </w:tc>
        <w:tc>
          <w:tcPr>
            <w:tcW w:w="526" w:type="pct"/>
            <w:tcBorders>
              <w:bottom w:val="single" w:sz="4" w:space="0" w:color="auto"/>
            </w:tcBorders>
            <w:vAlign w:val="bottom"/>
          </w:tcPr>
          <w:p w14:paraId="240D3099"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z w:val="18"/>
                <w:szCs w:val="18"/>
                <w:lang w:val="pl-PL"/>
              </w:rPr>
            </w:pPr>
            <w:r w:rsidRPr="00166751">
              <w:rPr>
                <w:rFonts w:asciiTheme="minorHAnsi" w:eastAsia="Times New Roman" w:hAnsiTheme="minorHAnsi" w:cs="Arial"/>
                <w:sz w:val="18"/>
                <w:szCs w:val="18"/>
                <w:lang w:val="en-US"/>
              </w:rPr>
              <w:t>335</w:t>
            </w:r>
          </w:p>
        </w:tc>
        <w:tc>
          <w:tcPr>
            <w:tcW w:w="525" w:type="pct"/>
            <w:tcBorders>
              <w:bottom w:val="single" w:sz="4" w:space="0" w:color="auto"/>
            </w:tcBorders>
            <w:vAlign w:val="bottom"/>
          </w:tcPr>
          <w:p w14:paraId="290E1FD2"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pl-PL"/>
              </w:rPr>
            </w:pPr>
            <w:r w:rsidRPr="00166751">
              <w:rPr>
                <w:rFonts w:asciiTheme="minorHAnsi" w:eastAsia="Times New Roman" w:hAnsiTheme="minorHAnsi" w:cs="Arial"/>
                <w:sz w:val="18"/>
                <w:szCs w:val="18"/>
                <w:lang w:val="en-US"/>
              </w:rPr>
              <w:t>335</w:t>
            </w:r>
          </w:p>
        </w:tc>
        <w:tc>
          <w:tcPr>
            <w:tcW w:w="526" w:type="pct"/>
            <w:tcBorders>
              <w:bottom w:val="single" w:sz="4" w:space="0" w:color="auto"/>
            </w:tcBorders>
            <w:vAlign w:val="bottom"/>
          </w:tcPr>
          <w:p w14:paraId="1DE784A5"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pl-PL"/>
              </w:rPr>
            </w:pPr>
            <w:r w:rsidRPr="00166751">
              <w:rPr>
                <w:rFonts w:asciiTheme="minorHAnsi" w:eastAsia="Times New Roman" w:hAnsiTheme="minorHAnsi" w:cs="Arial"/>
                <w:sz w:val="18"/>
                <w:szCs w:val="18"/>
                <w:lang w:val="en-US"/>
              </w:rPr>
              <w:t>-</w:t>
            </w:r>
          </w:p>
        </w:tc>
        <w:tc>
          <w:tcPr>
            <w:tcW w:w="526" w:type="pct"/>
            <w:tcBorders>
              <w:bottom w:val="single" w:sz="4" w:space="0" w:color="auto"/>
            </w:tcBorders>
            <w:vAlign w:val="bottom"/>
          </w:tcPr>
          <w:p w14:paraId="55D8811C"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pl-PL"/>
              </w:rPr>
            </w:pPr>
            <w:r w:rsidRPr="00166751">
              <w:rPr>
                <w:rFonts w:asciiTheme="minorHAnsi" w:eastAsia="Times New Roman" w:hAnsiTheme="minorHAnsi" w:cs="Arial"/>
                <w:sz w:val="18"/>
                <w:szCs w:val="18"/>
                <w:lang w:val="en-US"/>
              </w:rPr>
              <w:t>-</w:t>
            </w:r>
          </w:p>
        </w:tc>
        <w:tc>
          <w:tcPr>
            <w:tcW w:w="460" w:type="pct"/>
            <w:tcBorders>
              <w:bottom w:val="single" w:sz="4" w:space="0" w:color="auto"/>
            </w:tcBorders>
            <w:vAlign w:val="bottom"/>
          </w:tcPr>
          <w:p w14:paraId="6DDE00D6"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pl-PL"/>
              </w:rPr>
            </w:pPr>
            <w:r w:rsidRPr="00166751">
              <w:rPr>
                <w:rFonts w:asciiTheme="minorHAnsi" w:eastAsia="Times New Roman" w:hAnsiTheme="minorHAnsi" w:cs="Arial"/>
                <w:sz w:val="18"/>
                <w:szCs w:val="18"/>
                <w:lang w:val="en-US"/>
              </w:rPr>
              <w:t>335</w:t>
            </w:r>
          </w:p>
        </w:tc>
      </w:tr>
      <w:tr w:rsidR="00E94565" w:rsidRPr="00321238" w14:paraId="23F5F27A" w14:textId="77777777" w:rsidTr="00166751">
        <w:trPr>
          <w:trHeight w:val="183"/>
        </w:trPr>
        <w:tc>
          <w:tcPr>
            <w:tcW w:w="858" w:type="pct"/>
            <w:vAlign w:val="bottom"/>
          </w:tcPr>
          <w:p w14:paraId="51CC4076" w14:textId="77777777" w:rsidR="00551F19" w:rsidRPr="00166751" w:rsidRDefault="00551F19" w:rsidP="00551F19">
            <w:pPr>
              <w:tabs>
                <w:tab w:val="right" w:pos="1202"/>
              </w:tabs>
              <w:spacing w:after="0" w:line="220" w:lineRule="exact"/>
              <w:outlineLvl w:val="0"/>
              <w:rPr>
                <w:rFonts w:asciiTheme="minorHAnsi" w:eastAsia="Times New Roman" w:hAnsiTheme="minorHAnsi" w:cs="Arial"/>
                <w:b/>
                <w:bCs/>
                <w:sz w:val="17"/>
                <w:szCs w:val="17"/>
              </w:rPr>
            </w:pPr>
            <w:r w:rsidRPr="00166751">
              <w:rPr>
                <w:rFonts w:asciiTheme="minorHAnsi" w:eastAsia="Times New Roman" w:hAnsiTheme="minorHAnsi" w:cs="Arial"/>
                <w:b/>
                <w:bCs/>
                <w:sz w:val="17"/>
                <w:szCs w:val="17"/>
              </w:rPr>
              <w:t>Total</w:t>
            </w:r>
          </w:p>
        </w:tc>
        <w:tc>
          <w:tcPr>
            <w:tcW w:w="527" w:type="pct"/>
            <w:tcBorders>
              <w:top w:val="nil"/>
              <w:left w:val="nil"/>
              <w:bottom w:val="single" w:sz="12" w:space="0" w:color="auto"/>
              <w:right w:val="nil"/>
            </w:tcBorders>
            <w:shd w:val="clear" w:color="auto" w:fill="auto"/>
            <w:vAlign w:val="bottom"/>
          </w:tcPr>
          <w:p w14:paraId="23D1C137" w14:textId="77777777" w:rsidR="00551F19" w:rsidRPr="00166751" w:rsidRDefault="00551F19" w:rsidP="00551F19">
            <w:pPr>
              <w:tabs>
                <w:tab w:val="right" w:pos="1202"/>
              </w:tabs>
              <w:spacing w:after="0" w:line="2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cs="Arial"/>
                <w:b/>
                <w:bCs/>
                <w:sz w:val="18"/>
                <w:szCs w:val="18"/>
                <w:lang w:val="en-US"/>
              </w:rPr>
              <w:t>5,907,802</w:t>
            </w:r>
          </w:p>
        </w:tc>
        <w:tc>
          <w:tcPr>
            <w:tcW w:w="524" w:type="pct"/>
            <w:tcBorders>
              <w:top w:val="nil"/>
              <w:left w:val="nil"/>
              <w:bottom w:val="single" w:sz="12" w:space="0" w:color="auto"/>
              <w:right w:val="nil"/>
            </w:tcBorders>
            <w:shd w:val="clear" w:color="auto" w:fill="auto"/>
            <w:vAlign w:val="bottom"/>
          </w:tcPr>
          <w:p w14:paraId="40EE265C" w14:textId="77777777" w:rsidR="00551F19" w:rsidRPr="00166751" w:rsidRDefault="00551F19" w:rsidP="00551F19">
            <w:pPr>
              <w:tabs>
                <w:tab w:val="right" w:pos="1202"/>
              </w:tabs>
              <w:spacing w:after="0" w:line="2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cs="Arial"/>
                <w:b/>
                <w:bCs/>
                <w:sz w:val="18"/>
                <w:szCs w:val="18"/>
                <w:lang w:val="en-US"/>
              </w:rPr>
              <w:t>35,761</w:t>
            </w:r>
          </w:p>
        </w:tc>
        <w:tc>
          <w:tcPr>
            <w:tcW w:w="526" w:type="pct"/>
            <w:tcBorders>
              <w:top w:val="nil"/>
              <w:left w:val="nil"/>
              <w:bottom w:val="single" w:sz="12" w:space="0" w:color="auto"/>
              <w:right w:val="nil"/>
            </w:tcBorders>
            <w:shd w:val="clear" w:color="auto" w:fill="auto"/>
            <w:vAlign w:val="bottom"/>
          </w:tcPr>
          <w:p w14:paraId="0B4266ED" w14:textId="77777777" w:rsidR="00551F19" w:rsidRPr="00166751" w:rsidRDefault="00551F19" w:rsidP="00551F19">
            <w:pPr>
              <w:tabs>
                <w:tab w:val="right" w:pos="1202"/>
              </w:tabs>
              <w:spacing w:after="0" w:line="240"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b/>
                <w:bCs/>
                <w:sz w:val="18"/>
                <w:szCs w:val="18"/>
                <w:lang w:val="en-US"/>
              </w:rPr>
              <w:t>-</w:t>
            </w:r>
          </w:p>
        </w:tc>
        <w:tc>
          <w:tcPr>
            <w:tcW w:w="526" w:type="pct"/>
            <w:tcBorders>
              <w:top w:val="nil"/>
              <w:left w:val="nil"/>
              <w:bottom w:val="single" w:sz="12" w:space="0" w:color="auto"/>
              <w:right w:val="nil"/>
            </w:tcBorders>
            <w:shd w:val="clear" w:color="auto" w:fill="auto"/>
            <w:vAlign w:val="bottom"/>
          </w:tcPr>
          <w:p w14:paraId="0D733ADD" w14:textId="77777777" w:rsidR="00551F19" w:rsidRPr="00166751" w:rsidRDefault="00551F19" w:rsidP="00551F19">
            <w:pPr>
              <w:tabs>
                <w:tab w:val="right" w:pos="1202"/>
              </w:tabs>
              <w:spacing w:after="0" w:line="2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cs="Arial"/>
                <w:b/>
                <w:bCs/>
                <w:sz w:val="18"/>
                <w:szCs w:val="18"/>
                <w:lang w:val="en-US"/>
              </w:rPr>
              <w:t>5,943,563</w:t>
            </w:r>
          </w:p>
        </w:tc>
        <w:tc>
          <w:tcPr>
            <w:tcW w:w="525" w:type="pct"/>
            <w:tcBorders>
              <w:top w:val="nil"/>
              <w:left w:val="nil"/>
              <w:bottom w:val="single" w:sz="12" w:space="0" w:color="auto"/>
              <w:right w:val="nil"/>
            </w:tcBorders>
            <w:shd w:val="clear" w:color="auto" w:fill="auto"/>
            <w:vAlign w:val="bottom"/>
          </w:tcPr>
          <w:p w14:paraId="18A5DC92" w14:textId="77777777" w:rsidR="00551F19" w:rsidRPr="00166751" w:rsidRDefault="00551F19" w:rsidP="00551F19">
            <w:pPr>
              <w:tabs>
                <w:tab w:val="right" w:pos="1202"/>
              </w:tabs>
              <w:spacing w:after="0" w:line="2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cs="Arial"/>
                <w:b/>
                <w:bCs/>
                <w:sz w:val="18"/>
                <w:szCs w:val="18"/>
                <w:lang w:val="en-US"/>
              </w:rPr>
              <w:t>1,096,314</w:t>
            </w:r>
          </w:p>
        </w:tc>
        <w:tc>
          <w:tcPr>
            <w:tcW w:w="526" w:type="pct"/>
            <w:tcBorders>
              <w:top w:val="nil"/>
              <w:left w:val="nil"/>
              <w:bottom w:val="single" w:sz="12" w:space="0" w:color="auto"/>
              <w:right w:val="nil"/>
            </w:tcBorders>
            <w:shd w:val="clear" w:color="auto" w:fill="auto"/>
            <w:vAlign w:val="bottom"/>
          </w:tcPr>
          <w:p w14:paraId="2E0B8DEE" w14:textId="77777777" w:rsidR="00551F19" w:rsidRPr="00166751" w:rsidRDefault="00551F19" w:rsidP="00551F19">
            <w:pPr>
              <w:tabs>
                <w:tab w:val="right" w:pos="1202"/>
              </w:tabs>
              <w:spacing w:after="0" w:line="2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cs="Arial"/>
                <w:b/>
                <w:bCs/>
                <w:sz w:val="18"/>
                <w:szCs w:val="18"/>
                <w:lang w:val="en-US"/>
              </w:rPr>
              <w:t>-</w:t>
            </w:r>
          </w:p>
        </w:tc>
        <w:tc>
          <w:tcPr>
            <w:tcW w:w="526" w:type="pct"/>
            <w:tcBorders>
              <w:top w:val="nil"/>
              <w:left w:val="nil"/>
              <w:bottom w:val="single" w:sz="12" w:space="0" w:color="auto"/>
              <w:right w:val="nil"/>
            </w:tcBorders>
            <w:shd w:val="clear" w:color="auto" w:fill="auto"/>
            <w:vAlign w:val="bottom"/>
          </w:tcPr>
          <w:p w14:paraId="0C50A27B" w14:textId="77777777" w:rsidR="00551F19" w:rsidRPr="00166751" w:rsidRDefault="00551F19" w:rsidP="00551F19">
            <w:pPr>
              <w:tabs>
                <w:tab w:val="right" w:pos="1202"/>
              </w:tabs>
              <w:spacing w:after="0" w:line="240" w:lineRule="exact"/>
              <w:jc w:val="right"/>
              <w:outlineLvl w:val="0"/>
              <w:rPr>
                <w:rFonts w:asciiTheme="minorHAnsi" w:eastAsia="Times New Roman" w:hAnsiTheme="minorHAnsi" w:cs="Arial"/>
                <w:spacing w:val="-2"/>
                <w:sz w:val="18"/>
                <w:szCs w:val="18"/>
                <w:lang w:val="en-US"/>
              </w:rPr>
            </w:pPr>
            <w:r w:rsidRPr="00166751">
              <w:rPr>
                <w:rFonts w:asciiTheme="minorHAnsi" w:eastAsia="Times New Roman" w:hAnsiTheme="minorHAnsi" w:cs="Arial"/>
                <w:b/>
                <w:bCs/>
                <w:sz w:val="18"/>
                <w:szCs w:val="18"/>
                <w:lang w:val="en-US"/>
              </w:rPr>
              <w:t>-</w:t>
            </w:r>
          </w:p>
        </w:tc>
        <w:tc>
          <w:tcPr>
            <w:tcW w:w="460" w:type="pct"/>
            <w:tcBorders>
              <w:top w:val="nil"/>
              <w:left w:val="nil"/>
              <w:bottom w:val="single" w:sz="12" w:space="0" w:color="auto"/>
              <w:right w:val="nil"/>
            </w:tcBorders>
            <w:shd w:val="clear" w:color="auto" w:fill="auto"/>
            <w:vAlign w:val="bottom"/>
          </w:tcPr>
          <w:p w14:paraId="0C75F2F2" w14:textId="77777777" w:rsidR="00551F19" w:rsidRPr="00166751" w:rsidRDefault="00551F19" w:rsidP="00551F19">
            <w:pPr>
              <w:tabs>
                <w:tab w:val="right" w:pos="1202"/>
              </w:tabs>
              <w:spacing w:after="0" w:line="2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cs="Arial"/>
                <w:b/>
                <w:bCs/>
                <w:sz w:val="18"/>
                <w:szCs w:val="18"/>
                <w:lang w:val="en-US"/>
              </w:rPr>
              <w:t>1,096,314</w:t>
            </w:r>
          </w:p>
        </w:tc>
      </w:tr>
      <w:tr w:rsidR="00E94565" w:rsidRPr="00321238" w14:paraId="3A89EE41" w14:textId="77777777" w:rsidTr="00166751">
        <w:trPr>
          <w:trHeight w:hRule="exact" w:val="113"/>
        </w:trPr>
        <w:tc>
          <w:tcPr>
            <w:tcW w:w="858" w:type="pct"/>
            <w:vAlign w:val="bottom"/>
          </w:tcPr>
          <w:p w14:paraId="2D63ED84" w14:textId="77777777" w:rsidR="00551F19" w:rsidRPr="00166751" w:rsidRDefault="00551F19" w:rsidP="00551F19">
            <w:pPr>
              <w:tabs>
                <w:tab w:val="right" w:pos="1202"/>
              </w:tabs>
              <w:spacing w:after="0" w:line="220" w:lineRule="exact"/>
              <w:outlineLvl w:val="0"/>
              <w:rPr>
                <w:rFonts w:asciiTheme="minorHAnsi" w:eastAsia="Times New Roman" w:hAnsiTheme="minorHAnsi" w:cs="Arial"/>
                <w:b/>
                <w:bCs/>
                <w:sz w:val="17"/>
                <w:szCs w:val="17"/>
              </w:rPr>
            </w:pPr>
          </w:p>
        </w:tc>
        <w:tc>
          <w:tcPr>
            <w:tcW w:w="527" w:type="pct"/>
            <w:tcBorders>
              <w:top w:val="single" w:sz="12" w:space="0" w:color="auto"/>
            </w:tcBorders>
            <w:vAlign w:val="bottom"/>
          </w:tcPr>
          <w:p w14:paraId="6D9BA775" w14:textId="77777777" w:rsidR="00551F19" w:rsidRPr="00166751" w:rsidRDefault="00551F19" w:rsidP="00551F19">
            <w:pPr>
              <w:tabs>
                <w:tab w:val="right" w:pos="1202"/>
              </w:tabs>
              <w:spacing w:after="0" w:line="120" w:lineRule="auto"/>
              <w:jc w:val="right"/>
              <w:outlineLvl w:val="0"/>
              <w:rPr>
                <w:rFonts w:asciiTheme="minorHAnsi" w:eastAsia="Times New Roman" w:hAnsiTheme="minorHAnsi" w:cs="Arial"/>
                <w:b/>
                <w:bCs/>
                <w:sz w:val="18"/>
                <w:szCs w:val="18"/>
                <w:lang w:val="en-US"/>
              </w:rPr>
            </w:pPr>
          </w:p>
        </w:tc>
        <w:tc>
          <w:tcPr>
            <w:tcW w:w="524" w:type="pct"/>
            <w:tcBorders>
              <w:top w:val="single" w:sz="12" w:space="0" w:color="auto"/>
            </w:tcBorders>
            <w:vAlign w:val="bottom"/>
          </w:tcPr>
          <w:p w14:paraId="077430CA" w14:textId="77777777" w:rsidR="00551F19" w:rsidRPr="00166751" w:rsidRDefault="00551F19" w:rsidP="00551F19">
            <w:pPr>
              <w:tabs>
                <w:tab w:val="right" w:pos="1202"/>
              </w:tabs>
              <w:spacing w:after="0" w:line="120" w:lineRule="auto"/>
              <w:jc w:val="right"/>
              <w:outlineLvl w:val="0"/>
              <w:rPr>
                <w:rFonts w:asciiTheme="minorHAnsi" w:eastAsia="Times New Roman" w:hAnsiTheme="minorHAnsi" w:cs="Arial"/>
                <w:b/>
                <w:bCs/>
                <w:sz w:val="18"/>
                <w:szCs w:val="18"/>
                <w:lang w:val="en-US"/>
              </w:rPr>
            </w:pPr>
          </w:p>
        </w:tc>
        <w:tc>
          <w:tcPr>
            <w:tcW w:w="526" w:type="pct"/>
            <w:tcBorders>
              <w:top w:val="single" w:sz="12" w:space="0" w:color="auto"/>
            </w:tcBorders>
            <w:vAlign w:val="bottom"/>
          </w:tcPr>
          <w:p w14:paraId="0F805D79" w14:textId="77777777" w:rsidR="00551F19" w:rsidRPr="00166751" w:rsidRDefault="00551F19" w:rsidP="00551F19">
            <w:pPr>
              <w:tabs>
                <w:tab w:val="right" w:pos="1202"/>
              </w:tabs>
              <w:spacing w:after="0" w:line="120" w:lineRule="auto"/>
              <w:jc w:val="right"/>
              <w:outlineLvl w:val="0"/>
              <w:rPr>
                <w:rFonts w:asciiTheme="minorHAnsi" w:eastAsia="Times New Roman" w:hAnsiTheme="minorHAnsi" w:cs="Arial"/>
                <w:b/>
                <w:bCs/>
                <w:sz w:val="18"/>
                <w:szCs w:val="18"/>
                <w:lang w:val="en-US"/>
              </w:rPr>
            </w:pPr>
          </w:p>
        </w:tc>
        <w:tc>
          <w:tcPr>
            <w:tcW w:w="526" w:type="pct"/>
            <w:tcBorders>
              <w:top w:val="single" w:sz="12" w:space="0" w:color="auto"/>
            </w:tcBorders>
            <w:vAlign w:val="bottom"/>
          </w:tcPr>
          <w:p w14:paraId="4A8EA540" w14:textId="77777777" w:rsidR="00551F19" w:rsidRPr="00166751" w:rsidRDefault="00551F19" w:rsidP="00551F19">
            <w:pPr>
              <w:tabs>
                <w:tab w:val="right" w:pos="1202"/>
              </w:tabs>
              <w:spacing w:after="0" w:line="120" w:lineRule="auto"/>
              <w:jc w:val="right"/>
              <w:outlineLvl w:val="0"/>
              <w:rPr>
                <w:rFonts w:asciiTheme="minorHAnsi" w:eastAsia="Times New Roman" w:hAnsiTheme="minorHAnsi" w:cs="Arial"/>
                <w:b/>
                <w:bCs/>
                <w:noProof/>
                <w:sz w:val="18"/>
                <w:szCs w:val="18"/>
                <w:lang w:val="en-US" w:eastAsia="hr-HR"/>
              </w:rPr>
            </w:pPr>
          </w:p>
        </w:tc>
        <w:tc>
          <w:tcPr>
            <w:tcW w:w="525" w:type="pct"/>
            <w:tcBorders>
              <w:top w:val="single" w:sz="12" w:space="0" w:color="auto"/>
            </w:tcBorders>
            <w:vAlign w:val="bottom"/>
          </w:tcPr>
          <w:p w14:paraId="5D666E3A" w14:textId="77777777" w:rsidR="00551F19" w:rsidRPr="00166751" w:rsidRDefault="00551F19" w:rsidP="00551F19">
            <w:pPr>
              <w:tabs>
                <w:tab w:val="right" w:pos="1202"/>
              </w:tabs>
              <w:spacing w:after="0" w:line="120" w:lineRule="auto"/>
              <w:jc w:val="right"/>
              <w:outlineLvl w:val="0"/>
              <w:rPr>
                <w:rFonts w:asciiTheme="minorHAnsi" w:eastAsia="Times New Roman" w:hAnsiTheme="minorHAnsi" w:cs="Arial"/>
                <w:b/>
                <w:bCs/>
                <w:noProof/>
                <w:sz w:val="18"/>
                <w:szCs w:val="18"/>
                <w:lang w:val="en-US" w:eastAsia="hr-HR"/>
              </w:rPr>
            </w:pPr>
          </w:p>
        </w:tc>
        <w:tc>
          <w:tcPr>
            <w:tcW w:w="526" w:type="pct"/>
            <w:tcBorders>
              <w:top w:val="single" w:sz="12" w:space="0" w:color="auto"/>
            </w:tcBorders>
            <w:vAlign w:val="bottom"/>
          </w:tcPr>
          <w:p w14:paraId="3D9F8914" w14:textId="77777777" w:rsidR="00551F19" w:rsidRPr="00166751" w:rsidRDefault="00551F19" w:rsidP="00551F19">
            <w:pPr>
              <w:tabs>
                <w:tab w:val="right" w:pos="1202"/>
              </w:tabs>
              <w:spacing w:after="0" w:line="120" w:lineRule="auto"/>
              <w:jc w:val="right"/>
              <w:outlineLvl w:val="0"/>
              <w:rPr>
                <w:rFonts w:asciiTheme="minorHAnsi" w:eastAsia="Times New Roman" w:hAnsiTheme="minorHAnsi" w:cs="Arial"/>
                <w:b/>
                <w:bCs/>
                <w:noProof/>
                <w:sz w:val="18"/>
                <w:szCs w:val="18"/>
                <w:lang w:val="en-US" w:eastAsia="hr-HR"/>
              </w:rPr>
            </w:pPr>
          </w:p>
        </w:tc>
        <w:tc>
          <w:tcPr>
            <w:tcW w:w="526" w:type="pct"/>
            <w:tcBorders>
              <w:top w:val="single" w:sz="12" w:space="0" w:color="auto"/>
            </w:tcBorders>
            <w:vAlign w:val="bottom"/>
          </w:tcPr>
          <w:p w14:paraId="2C5A8E39" w14:textId="77777777" w:rsidR="00551F19" w:rsidRPr="00166751" w:rsidRDefault="00551F19" w:rsidP="00551F19">
            <w:pPr>
              <w:tabs>
                <w:tab w:val="right" w:pos="1202"/>
              </w:tabs>
              <w:spacing w:after="0" w:line="120" w:lineRule="auto"/>
              <w:jc w:val="right"/>
              <w:outlineLvl w:val="0"/>
              <w:rPr>
                <w:rFonts w:asciiTheme="minorHAnsi" w:eastAsia="Times New Roman" w:hAnsiTheme="minorHAnsi" w:cs="Arial"/>
                <w:b/>
                <w:bCs/>
                <w:noProof/>
                <w:sz w:val="18"/>
                <w:szCs w:val="18"/>
                <w:lang w:val="en-US" w:eastAsia="hr-HR"/>
              </w:rPr>
            </w:pPr>
          </w:p>
        </w:tc>
        <w:tc>
          <w:tcPr>
            <w:tcW w:w="460" w:type="pct"/>
            <w:tcBorders>
              <w:top w:val="single" w:sz="12" w:space="0" w:color="auto"/>
            </w:tcBorders>
            <w:vAlign w:val="bottom"/>
          </w:tcPr>
          <w:p w14:paraId="290EDEE6" w14:textId="77777777" w:rsidR="00551F19" w:rsidRPr="00166751" w:rsidRDefault="00551F19" w:rsidP="00551F19">
            <w:pPr>
              <w:tabs>
                <w:tab w:val="right" w:pos="1202"/>
              </w:tabs>
              <w:spacing w:after="0" w:line="120" w:lineRule="auto"/>
              <w:jc w:val="right"/>
              <w:outlineLvl w:val="0"/>
              <w:rPr>
                <w:rFonts w:asciiTheme="minorHAnsi" w:eastAsia="Times New Roman" w:hAnsiTheme="minorHAnsi" w:cs="Arial"/>
                <w:b/>
                <w:bCs/>
                <w:sz w:val="18"/>
                <w:szCs w:val="18"/>
                <w:lang w:val="en-US"/>
              </w:rPr>
            </w:pPr>
          </w:p>
        </w:tc>
      </w:tr>
      <w:tr w:rsidR="00E94565" w:rsidRPr="00321238" w14:paraId="3D8E3783" w14:textId="77777777" w:rsidTr="00166751">
        <w:trPr>
          <w:trHeight w:val="189"/>
        </w:trPr>
        <w:tc>
          <w:tcPr>
            <w:tcW w:w="858" w:type="pct"/>
            <w:vAlign w:val="bottom"/>
          </w:tcPr>
          <w:p w14:paraId="5885FF24" w14:textId="77777777" w:rsidR="00551F19" w:rsidRPr="00166751" w:rsidRDefault="00551F19" w:rsidP="00551F19">
            <w:pPr>
              <w:tabs>
                <w:tab w:val="right" w:pos="1202"/>
              </w:tabs>
              <w:spacing w:after="0" w:line="220" w:lineRule="exact"/>
              <w:outlineLvl w:val="0"/>
              <w:rPr>
                <w:rFonts w:asciiTheme="minorHAnsi" w:eastAsia="Times New Roman" w:hAnsiTheme="minorHAnsi" w:cs="Arial"/>
                <w:b/>
                <w:sz w:val="17"/>
                <w:szCs w:val="17"/>
              </w:rPr>
            </w:pPr>
            <w:r w:rsidRPr="00166751">
              <w:rPr>
                <w:rFonts w:asciiTheme="minorHAnsi" w:eastAsia="Times New Roman" w:hAnsiTheme="minorHAnsi" w:cs="Arial"/>
                <w:b/>
                <w:sz w:val="17"/>
                <w:szCs w:val="17"/>
              </w:rPr>
              <w:t>Total credit risk exposure</w:t>
            </w:r>
          </w:p>
        </w:tc>
        <w:tc>
          <w:tcPr>
            <w:tcW w:w="527" w:type="pct"/>
            <w:tcBorders>
              <w:top w:val="nil"/>
              <w:left w:val="nil"/>
              <w:bottom w:val="single" w:sz="12" w:space="0" w:color="auto"/>
              <w:right w:val="nil"/>
            </w:tcBorders>
            <w:shd w:val="clear" w:color="auto" w:fill="auto"/>
            <w:vAlign w:val="bottom"/>
          </w:tcPr>
          <w:p w14:paraId="2799E584" w14:textId="77777777" w:rsidR="00551F19" w:rsidRPr="00166751"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b/>
                <w:sz w:val="18"/>
                <w:szCs w:val="18"/>
                <w:lang w:val="en-US"/>
              </w:rPr>
              <w:t>31,619,491</w:t>
            </w:r>
          </w:p>
        </w:tc>
        <w:tc>
          <w:tcPr>
            <w:tcW w:w="524" w:type="pct"/>
            <w:tcBorders>
              <w:top w:val="nil"/>
              <w:left w:val="nil"/>
              <w:bottom w:val="single" w:sz="12" w:space="0" w:color="auto"/>
              <w:right w:val="nil"/>
            </w:tcBorders>
            <w:shd w:val="clear" w:color="auto" w:fill="auto"/>
            <w:vAlign w:val="bottom"/>
          </w:tcPr>
          <w:p w14:paraId="5606BFD6" w14:textId="77777777" w:rsidR="00551F19" w:rsidRPr="00166751"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b/>
                <w:sz w:val="18"/>
                <w:szCs w:val="18"/>
                <w:lang w:val="en-US"/>
              </w:rPr>
              <w:t>1,548,648</w:t>
            </w:r>
          </w:p>
        </w:tc>
        <w:tc>
          <w:tcPr>
            <w:tcW w:w="526" w:type="pct"/>
            <w:tcBorders>
              <w:top w:val="nil"/>
              <w:left w:val="nil"/>
              <w:bottom w:val="single" w:sz="12" w:space="0" w:color="auto"/>
              <w:right w:val="nil"/>
            </w:tcBorders>
            <w:shd w:val="clear" w:color="auto" w:fill="auto"/>
            <w:vAlign w:val="bottom"/>
          </w:tcPr>
          <w:p w14:paraId="5BFA4823" w14:textId="77777777" w:rsidR="00551F19" w:rsidRPr="00166751"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b/>
                <w:sz w:val="18"/>
                <w:szCs w:val="18"/>
                <w:lang w:val="en-US"/>
              </w:rPr>
              <w:t>-</w:t>
            </w:r>
          </w:p>
        </w:tc>
        <w:tc>
          <w:tcPr>
            <w:tcW w:w="526" w:type="pct"/>
            <w:tcBorders>
              <w:top w:val="nil"/>
              <w:left w:val="nil"/>
              <w:bottom w:val="single" w:sz="12" w:space="0" w:color="auto"/>
              <w:right w:val="nil"/>
            </w:tcBorders>
            <w:shd w:val="clear" w:color="auto" w:fill="auto"/>
            <w:vAlign w:val="bottom"/>
          </w:tcPr>
          <w:p w14:paraId="2BAE46ED" w14:textId="77777777" w:rsidR="00551F19" w:rsidRPr="00166751"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b/>
                <w:sz w:val="18"/>
                <w:szCs w:val="18"/>
                <w:lang w:val="en-US"/>
              </w:rPr>
              <w:t>33,168,139</w:t>
            </w:r>
          </w:p>
        </w:tc>
        <w:tc>
          <w:tcPr>
            <w:tcW w:w="525" w:type="pct"/>
            <w:tcBorders>
              <w:top w:val="nil"/>
              <w:left w:val="nil"/>
              <w:bottom w:val="single" w:sz="12" w:space="0" w:color="auto"/>
              <w:right w:val="nil"/>
            </w:tcBorders>
            <w:shd w:val="clear" w:color="auto" w:fill="auto"/>
            <w:vAlign w:val="bottom"/>
          </w:tcPr>
          <w:p w14:paraId="57E3AE44" w14:textId="77777777" w:rsidR="00551F19" w:rsidRPr="00166751"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b/>
                <w:sz w:val="18"/>
                <w:szCs w:val="18"/>
                <w:lang w:val="en-US"/>
              </w:rPr>
              <w:t>5,982,603</w:t>
            </w:r>
          </w:p>
        </w:tc>
        <w:tc>
          <w:tcPr>
            <w:tcW w:w="526" w:type="pct"/>
            <w:tcBorders>
              <w:top w:val="nil"/>
              <w:left w:val="nil"/>
              <w:bottom w:val="single" w:sz="12" w:space="0" w:color="auto"/>
              <w:right w:val="nil"/>
            </w:tcBorders>
            <w:shd w:val="clear" w:color="auto" w:fill="auto"/>
            <w:vAlign w:val="bottom"/>
          </w:tcPr>
          <w:p w14:paraId="54A13B12" w14:textId="77777777" w:rsidR="00551F19" w:rsidRPr="00166751"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b/>
                <w:sz w:val="18"/>
                <w:szCs w:val="18"/>
                <w:lang w:val="en-US"/>
              </w:rPr>
              <w:t>35,326</w:t>
            </w:r>
          </w:p>
        </w:tc>
        <w:tc>
          <w:tcPr>
            <w:tcW w:w="526" w:type="pct"/>
            <w:tcBorders>
              <w:top w:val="nil"/>
              <w:left w:val="nil"/>
              <w:bottom w:val="single" w:sz="12" w:space="0" w:color="auto"/>
              <w:right w:val="nil"/>
            </w:tcBorders>
            <w:shd w:val="clear" w:color="auto" w:fill="auto"/>
            <w:vAlign w:val="bottom"/>
          </w:tcPr>
          <w:p w14:paraId="48640F9C" w14:textId="77777777"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166751">
              <w:rPr>
                <w:rFonts w:asciiTheme="minorHAnsi" w:eastAsia="Times New Roman" w:hAnsiTheme="minorHAnsi"/>
                <w:b/>
                <w:sz w:val="18"/>
                <w:szCs w:val="18"/>
                <w:lang w:val="en-US"/>
              </w:rPr>
              <w:t>-</w:t>
            </w:r>
          </w:p>
        </w:tc>
        <w:tc>
          <w:tcPr>
            <w:tcW w:w="460" w:type="pct"/>
            <w:tcBorders>
              <w:top w:val="nil"/>
              <w:left w:val="nil"/>
              <w:bottom w:val="single" w:sz="12" w:space="0" w:color="auto"/>
              <w:right w:val="nil"/>
            </w:tcBorders>
            <w:shd w:val="clear" w:color="auto" w:fill="auto"/>
            <w:vAlign w:val="bottom"/>
          </w:tcPr>
          <w:p w14:paraId="41B7A6FE" w14:textId="77777777" w:rsidR="00551F19" w:rsidRPr="00166751"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b/>
                <w:sz w:val="18"/>
                <w:szCs w:val="18"/>
                <w:lang w:val="en-US"/>
              </w:rPr>
              <w:t>6,017,929</w:t>
            </w:r>
          </w:p>
        </w:tc>
      </w:tr>
    </w:tbl>
    <w:p w14:paraId="13F4833F" w14:textId="77777777" w:rsidR="009702B0" w:rsidRPr="009702B0" w:rsidRDefault="009702B0" w:rsidP="007D42B8">
      <w:pPr>
        <w:tabs>
          <w:tab w:val="left" w:pos="9180"/>
        </w:tabs>
        <w:spacing w:after="0" w:line="240" w:lineRule="auto"/>
        <w:ind w:left="-181" w:right="-289"/>
        <w:jc w:val="both"/>
        <w:rPr>
          <w:rFonts w:cs="Arial"/>
          <w:bCs/>
          <w:sz w:val="18"/>
          <w:szCs w:val="18"/>
        </w:rPr>
      </w:pPr>
    </w:p>
    <w:p w14:paraId="265BB585" w14:textId="77777777" w:rsidR="009702B0" w:rsidRPr="00BA3F2A" w:rsidRDefault="00BF2624" w:rsidP="007D42B8">
      <w:pPr>
        <w:tabs>
          <w:tab w:val="left" w:pos="9180"/>
        </w:tabs>
        <w:spacing w:after="0" w:line="240" w:lineRule="auto"/>
        <w:ind w:left="-181" w:right="-289"/>
        <w:jc w:val="both"/>
        <w:rPr>
          <w:rFonts w:cs="Arial"/>
          <w:bCs/>
          <w:sz w:val="19"/>
          <w:szCs w:val="19"/>
        </w:rPr>
      </w:pPr>
      <w:r w:rsidRPr="00BF2624">
        <w:rPr>
          <w:rFonts w:cs="Arial"/>
          <w:bCs/>
          <w:sz w:val="19"/>
          <w:szCs w:val="19"/>
        </w:rPr>
        <w:t>In the total net highest exposure of the Group and the Bank, the amount of loans to other customers of HRK 1,498,400 thousand is not covered by ordinary collateral, but it relates to receivables and received funds from the Republic of Croatia of HRK 628,961 thousand, local (regional) authorities of HRK 395,629 thousand, public companies for whose liabilities the Republic of Croatia guarantees jointly and unconditionally of HRK 242,735 thousand and the government funds of HRK 1,198 thousand</w:t>
      </w:r>
      <w:r w:rsidR="00011FEA">
        <w:rPr>
          <w:rFonts w:cs="Arial"/>
          <w:bCs/>
          <w:sz w:val="19"/>
          <w:szCs w:val="19"/>
        </w:rPr>
        <w:t>.</w:t>
      </w:r>
      <w:r w:rsidRPr="00BF2624">
        <w:rPr>
          <w:rFonts w:cs="Arial"/>
          <w:bCs/>
          <w:sz w:val="19"/>
          <w:szCs w:val="19"/>
        </w:rPr>
        <w:t xml:space="preserve"> An additional amount of HRK 229,877 thousand relates to receivables from majority state-owned companies (controlling influence)</w:t>
      </w:r>
      <w:r w:rsidR="00011FEA">
        <w:rPr>
          <w:rFonts w:cs="Arial"/>
          <w:bCs/>
          <w:sz w:val="19"/>
          <w:szCs w:val="19"/>
        </w:rPr>
        <w:t>.</w:t>
      </w:r>
    </w:p>
    <w:p w14:paraId="274F7A8C" w14:textId="77777777" w:rsidR="009702B0" w:rsidRPr="00BA3F2A" w:rsidRDefault="00BF2624" w:rsidP="009702B0">
      <w:pPr>
        <w:tabs>
          <w:tab w:val="left" w:pos="9180"/>
        </w:tabs>
        <w:spacing w:before="120" w:after="120" w:line="240" w:lineRule="auto"/>
        <w:ind w:left="-181" w:right="-289"/>
        <w:jc w:val="both"/>
        <w:rPr>
          <w:rFonts w:cs="Arial"/>
          <w:bCs/>
          <w:sz w:val="19"/>
          <w:szCs w:val="19"/>
        </w:rPr>
      </w:pPr>
      <w:r w:rsidRPr="00BF2624">
        <w:rPr>
          <w:rFonts w:cs="Arial"/>
          <w:bCs/>
          <w:sz w:val="19"/>
          <w:szCs w:val="19"/>
        </w:rPr>
        <w:t>The amount of assets available for sale and held to maturity is not covered by ordinary collateral but it relates to government bonds and treasury bills of the Ministry of Finance of HRK 2,399,224 thousand for the Group and HRK 2,442,203 thousand for the Bank</w:t>
      </w:r>
      <w:r w:rsidR="00011FEA">
        <w:rPr>
          <w:rFonts w:cs="Arial"/>
          <w:bCs/>
          <w:sz w:val="19"/>
          <w:szCs w:val="19"/>
        </w:rPr>
        <w:t>.</w:t>
      </w:r>
      <w:r w:rsidR="009702B0" w:rsidRPr="00BA3F2A">
        <w:rPr>
          <w:rFonts w:cs="Arial"/>
          <w:bCs/>
          <w:sz w:val="19"/>
          <w:szCs w:val="19"/>
        </w:rPr>
        <w:t xml:space="preserve"> </w:t>
      </w:r>
    </w:p>
    <w:p w14:paraId="2F1D0E6C" w14:textId="77777777" w:rsidR="009702B0" w:rsidRPr="00BA3F2A" w:rsidRDefault="00BF2624" w:rsidP="009702B0">
      <w:pPr>
        <w:tabs>
          <w:tab w:val="left" w:pos="9180"/>
        </w:tabs>
        <w:spacing w:before="120" w:after="120" w:line="240" w:lineRule="auto"/>
        <w:ind w:left="-181" w:right="-289"/>
        <w:jc w:val="both"/>
        <w:rPr>
          <w:rFonts w:cs="Arial"/>
          <w:bCs/>
          <w:sz w:val="19"/>
          <w:szCs w:val="19"/>
        </w:rPr>
      </w:pPr>
      <w:r w:rsidRPr="00BF2624">
        <w:rPr>
          <w:rFonts w:cs="Arial"/>
          <w:bCs/>
          <w:sz w:val="19"/>
          <w:szCs w:val="19"/>
        </w:rPr>
        <w:t>Other assets of HRK 922 thousand are not covered by ordinary collateral, but relate to receivables from the Republic of Croatia and the government funds</w:t>
      </w:r>
      <w:r w:rsidR="00011FEA">
        <w:rPr>
          <w:rFonts w:cs="Arial"/>
          <w:bCs/>
          <w:sz w:val="19"/>
          <w:szCs w:val="19"/>
        </w:rPr>
        <w:t>.</w:t>
      </w:r>
    </w:p>
    <w:p w14:paraId="08BF1C9B" w14:textId="77777777" w:rsidR="00BF2624" w:rsidRDefault="00BF2624" w:rsidP="009702B0">
      <w:pPr>
        <w:tabs>
          <w:tab w:val="left" w:pos="9180"/>
        </w:tabs>
        <w:spacing w:before="120" w:after="120" w:line="240" w:lineRule="auto"/>
        <w:ind w:left="-181" w:right="-289"/>
        <w:jc w:val="both"/>
        <w:rPr>
          <w:rFonts w:cs="Arial"/>
          <w:bCs/>
          <w:sz w:val="19"/>
          <w:szCs w:val="19"/>
        </w:rPr>
        <w:sectPr w:rsidR="00BF2624" w:rsidSect="00947CB7">
          <w:footerReference w:type="first" r:id="rId91"/>
          <w:pgSz w:w="11906" w:h="16838" w:code="9"/>
          <w:pgMar w:top="1418" w:right="1418" w:bottom="595" w:left="1134" w:header="709" w:footer="561" w:gutter="0"/>
          <w:cols w:space="708"/>
          <w:titlePg/>
          <w:docGrid w:linePitch="360"/>
        </w:sectPr>
      </w:pPr>
      <w:r w:rsidRPr="00BF2624">
        <w:rPr>
          <w:rFonts w:cs="Arial"/>
          <w:bCs/>
          <w:sz w:val="19"/>
          <w:szCs w:val="19"/>
        </w:rPr>
        <w:t>The amount of HRK 237,245 thousand relates to a guarantee issued in foreign currency, for which the liability was assumed by the Republic of Croatia</w:t>
      </w:r>
      <w:r w:rsidR="00011FEA">
        <w:rPr>
          <w:rFonts w:cs="Arial"/>
          <w:bCs/>
          <w:sz w:val="19"/>
          <w:szCs w:val="19"/>
        </w:rPr>
        <w:t>.</w:t>
      </w:r>
      <w:r w:rsidRPr="00BF2624">
        <w:t xml:space="preserve"> </w:t>
      </w:r>
      <w:r w:rsidRPr="00BF2624">
        <w:rPr>
          <w:rFonts w:cs="Arial"/>
          <w:bCs/>
          <w:sz w:val="19"/>
          <w:szCs w:val="19"/>
        </w:rPr>
        <w:t>The guarantee was removed from business records of HBOR after the reporting period date, i</w:t>
      </w:r>
      <w:r w:rsidR="005E2BC3">
        <w:rPr>
          <w:rFonts w:cs="Arial"/>
          <w:bCs/>
          <w:sz w:val="19"/>
          <w:szCs w:val="19"/>
        </w:rPr>
        <w:t>.</w:t>
      </w:r>
      <w:r w:rsidRPr="00BF2624">
        <w:rPr>
          <w:rFonts w:cs="Arial"/>
          <w:bCs/>
          <w:sz w:val="19"/>
          <w:szCs w:val="19"/>
        </w:rPr>
        <w:t>e</w:t>
      </w:r>
      <w:r w:rsidR="005E2BC3">
        <w:rPr>
          <w:rFonts w:cs="Arial"/>
          <w:bCs/>
          <w:sz w:val="19"/>
          <w:szCs w:val="19"/>
        </w:rPr>
        <w:t>.</w:t>
      </w:r>
      <w:r w:rsidRPr="00BF2624">
        <w:rPr>
          <w:rFonts w:cs="Arial"/>
          <w:bCs/>
          <w:sz w:val="19"/>
          <w:szCs w:val="19"/>
        </w:rPr>
        <w:t xml:space="preserve"> on 13 February 2017, due to the cessation of payment obligation resulting from arbitration decision</w:t>
      </w:r>
      <w:r w:rsidR="00011FEA">
        <w:rPr>
          <w:rFonts w:cs="Arial"/>
          <w:bCs/>
          <w:sz w:val="19"/>
          <w:szCs w:val="19"/>
        </w:rPr>
        <w:t>.</w:t>
      </w:r>
    </w:p>
    <w:p w14:paraId="26B911D8" w14:textId="77777777" w:rsidR="009702B0" w:rsidRPr="009702B0" w:rsidRDefault="009702B0" w:rsidP="009702B0">
      <w:pPr>
        <w:keepNext/>
        <w:spacing w:after="0" w:line="240" w:lineRule="auto"/>
        <w:jc w:val="both"/>
        <w:rPr>
          <w:rFonts w:eastAsia="Times New Roman" w:cs="Arial"/>
          <w:b/>
          <w:bCs/>
        </w:rPr>
      </w:pPr>
    </w:p>
    <w:p w14:paraId="24EE5367"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00011FEA">
        <w:rPr>
          <w:rFonts w:eastAsia="Times New Roman" w:cs="Arial"/>
          <w:b/>
          <w:bCs/>
        </w:rPr>
        <w:t>.</w:t>
      </w:r>
      <w:r w:rsidRPr="009702B0">
        <w:rPr>
          <w:rFonts w:eastAsia="Times New Roman" w:cs="Arial"/>
          <w:b/>
          <w:bCs/>
        </w:rPr>
        <w:tab/>
        <w:t>Risk management (continued)</w:t>
      </w:r>
    </w:p>
    <w:p w14:paraId="66025847" w14:textId="77777777" w:rsidR="009702B0" w:rsidRPr="009702B0" w:rsidRDefault="009702B0" w:rsidP="009702B0">
      <w:pPr>
        <w:keepNext/>
        <w:spacing w:after="0" w:line="240" w:lineRule="auto"/>
        <w:jc w:val="both"/>
        <w:rPr>
          <w:rFonts w:eastAsia="Times New Roman" w:cs="Arial"/>
          <w:b/>
          <w:bCs/>
        </w:rPr>
      </w:pPr>
    </w:p>
    <w:p w14:paraId="03018F09"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00011FEA">
        <w:rPr>
          <w:rFonts w:eastAsia="Times New Roman" w:cs="Arial"/>
          <w:b/>
          <w:bCs/>
        </w:rPr>
        <w:t>.</w:t>
      </w:r>
      <w:r w:rsidRPr="009702B0">
        <w:rPr>
          <w:rFonts w:eastAsia="Times New Roman" w:cs="Arial"/>
          <w:b/>
          <w:bCs/>
        </w:rPr>
        <w:t>2</w:t>
      </w:r>
      <w:r w:rsidR="00011FEA">
        <w:rPr>
          <w:rFonts w:eastAsia="Times New Roman" w:cs="Arial"/>
          <w:b/>
          <w:bCs/>
        </w:rPr>
        <w:t>.</w:t>
      </w:r>
      <w:r w:rsidRPr="009702B0">
        <w:rPr>
          <w:rFonts w:eastAsia="Times New Roman" w:cs="Arial"/>
          <w:b/>
          <w:bCs/>
        </w:rPr>
        <w:t xml:space="preserve"> </w:t>
      </w:r>
      <w:r w:rsidRPr="009702B0">
        <w:rPr>
          <w:rFonts w:eastAsia="Times New Roman" w:cs="Arial"/>
          <w:b/>
          <w:bCs/>
        </w:rPr>
        <w:tab/>
        <w:t>Credit risk (continued)</w:t>
      </w:r>
    </w:p>
    <w:p w14:paraId="6DD90DAE" w14:textId="77777777" w:rsidR="009702B0" w:rsidRPr="009702B0" w:rsidRDefault="009702B0" w:rsidP="009702B0">
      <w:pPr>
        <w:keepNext/>
        <w:spacing w:after="0" w:line="240" w:lineRule="auto"/>
        <w:jc w:val="both"/>
        <w:rPr>
          <w:rFonts w:eastAsia="Times New Roman" w:cs="Arial"/>
          <w:b/>
          <w:bCs/>
        </w:rPr>
      </w:pPr>
    </w:p>
    <w:p w14:paraId="3AEEBC02"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Credit risk quality according to type of financial assets (continued)</w:t>
      </w:r>
    </w:p>
    <w:p w14:paraId="73AF6394" w14:textId="77777777" w:rsidR="009702B0" w:rsidRPr="009702B0" w:rsidRDefault="009702B0" w:rsidP="009702B0">
      <w:pPr>
        <w:keepNext/>
        <w:spacing w:after="0" w:line="240" w:lineRule="auto"/>
        <w:jc w:val="both"/>
        <w:rPr>
          <w:rFonts w:eastAsia="Times New Roman" w:cs="Arial"/>
          <w:b/>
          <w:bCs/>
        </w:rPr>
      </w:pPr>
    </w:p>
    <w:p w14:paraId="2A8C1037" w14:textId="77777777" w:rsidR="009702B0" w:rsidRPr="009702B0" w:rsidRDefault="009702B0" w:rsidP="009702B0">
      <w:pPr>
        <w:spacing w:after="0" w:line="240" w:lineRule="auto"/>
        <w:jc w:val="both"/>
        <w:rPr>
          <w:rFonts w:cs="Arial"/>
          <w:sz w:val="20"/>
          <w:szCs w:val="20"/>
        </w:rPr>
      </w:pPr>
      <w:r w:rsidRPr="009702B0">
        <w:rPr>
          <w:rFonts w:cs="Arial"/>
          <w:sz w:val="20"/>
          <w:szCs w:val="20"/>
        </w:rPr>
        <w:t>Credit risk quality according to the gross exposure of the type of financial assets on positions of assets and guarantees and commitments by risk category:</w:t>
      </w:r>
    </w:p>
    <w:p w14:paraId="5A56D3BD" w14:textId="77777777" w:rsidR="009702B0" w:rsidRPr="009702B0" w:rsidRDefault="009702B0" w:rsidP="009702B0">
      <w:pPr>
        <w:spacing w:after="0" w:line="240" w:lineRule="auto"/>
        <w:jc w:val="both"/>
        <w:rPr>
          <w:rFonts w:cs="Arial"/>
          <w:sz w:val="20"/>
          <w:szCs w:val="20"/>
        </w:rPr>
      </w:pPr>
    </w:p>
    <w:tbl>
      <w:tblPr>
        <w:tblW w:w="4856" w:type="pct"/>
        <w:jc w:val="center"/>
        <w:tblLayout w:type="fixed"/>
        <w:tblLook w:val="0000" w:firstRow="0" w:lastRow="0" w:firstColumn="0" w:lastColumn="0" w:noHBand="0" w:noVBand="0"/>
      </w:tblPr>
      <w:tblGrid>
        <w:gridCol w:w="3629"/>
        <w:gridCol w:w="1363"/>
        <w:gridCol w:w="1365"/>
        <w:gridCol w:w="1363"/>
        <w:gridCol w:w="1365"/>
      </w:tblGrid>
      <w:tr w:rsidR="009702B0" w:rsidRPr="00BF2624" w14:paraId="5C7CBE46" w14:textId="77777777" w:rsidTr="00ED60F2">
        <w:trPr>
          <w:trHeight w:val="1298"/>
          <w:jc w:val="center"/>
        </w:trPr>
        <w:tc>
          <w:tcPr>
            <w:tcW w:w="1997" w:type="pct"/>
            <w:vAlign w:val="center"/>
          </w:tcPr>
          <w:p w14:paraId="5005D79F" w14:textId="77777777" w:rsidR="009702B0" w:rsidRPr="00BF2624" w:rsidRDefault="009702B0" w:rsidP="009702B0">
            <w:pPr>
              <w:spacing w:after="0" w:line="220" w:lineRule="exact"/>
              <w:rPr>
                <w:rFonts w:asciiTheme="minorHAnsi" w:hAnsiTheme="minorHAnsi" w:cs="Arial"/>
                <w:b/>
                <w:bCs/>
                <w:sz w:val="18"/>
                <w:szCs w:val="18"/>
              </w:rPr>
            </w:pPr>
            <w:r w:rsidRPr="00BF2624">
              <w:rPr>
                <w:rFonts w:asciiTheme="minorHAnsi" w:hAnsiTheme="minorHAnsi" w:cs="Arial"/>
                <w:b/>
                <w:bCs/>
                <w:sz w:val="18"/>
                <w:szCs w:val="18"/>
              </w:rPr>
              <w:br w:type="page"/>
              <w:t>Group</w:t>
            </w:r>
          </w:p>
          <w:p w14:paraId="0B2DC010" w14:textId="77777777" w:rsidR="009702B0" w:rsidRPr="00BF2624" w:rsidRDefault="009702B0" w:rsidP="009702B0">
            <w:pPr>
              <w:spacing w:after="0" w:line="220" w:lineRule="exact"/>
              <w:rPr>
                <w:rFonts w:asciiTheme="minorHAnsi" w:hAnsiTheme="minorHAnsi" w:cs="Arial"/>
                <w:b/>
                <w:bCs/>
                <w:sz w:val="18"/>
                <w:szCs w:val="18"/>
              </w:rPr>
            </w:pPr>
          </w:p>
          <w:p w14:paraId="752DDC5B" w14:textId="77777777" w:rsidR="009702B0" w:rsidRPr="00BF2624" w:rsidRDefault="009702B0" w:rsidP="009702B0">
            <w:pPr>
              <w:spacing w:after="0" w:line="220" w:lineRule="exact"/>
              <w:rPr>
                <w:rFonts w:asciiTheme="minorHAnsi" w:hAnsiTheme="minorHAnsi" w:cs="Arial"/>
                <w:b/>
                <w:bCs/>
                <w:sz w:val="18"/>
                <w:szCs w:val="18"/>
              </w:rPr>
            </w:pPr>
          </w:p>
          <w:p w14:paraId="7B6B9840" w14:textId="77777777" w:rsidR="009702B0" w:rsidRPr="00BF2624" w:rsidRDefault="009702B0" w:rsidP="009702B0">
            <w:pPr>
              <w:spacing w:after="0" w:line="220" w:lineRule="exact"/>
              <w:rPr>
                <w:rFonts w:asciiTheme="minorHAnsi" w:hAnsiTheme="minorHAnsi" w:cs="Arial"/>
                <w:b/>
                <w:bCs/>
                <w:sz w:val="18"/>
                <w:szCs w:val="18"/>
              </w:rPr>
            </w:pPr>
          </w:p>
          <w:p w14:paraId="69BCBF91" w14:textId="69D4199E" w:rsidR="009702B0" w:rsidRPr="00BF2624" w:rsidRDefault="00EC69BC">
            <w:pPr>
              <w:spacing w:after="0" w:line="220" w:lineRule="exact"/>
              <w:rPr>
                <w:rFonts w:asciiTheme="minorHAnsi" w:hAnsiTheme="minorHAnsi" w:cs="Arial"/>
                <w:sz w:val="18"/>
                <w:szCs w:val="18"/>
              </w:rPr>
            </w:pPr>
            <w:r>
              <w:rPr>
                <w:rFonts w:asciiTheme="minorHAnsi" w:hAnsiTheme="minorHAnsi" w:cs="Arial"/>
                <w:b/>
                <w:bCs/>
                <w:sz w:val="18"/>
                <w:szCs w:val="18"/>
              </w:rPr>
              <w:t>Sep</w:t>
            </w:r>
            <w:r w:rsidRPr="00BF2624">
              <w:rPr>
                <w:rFonts w:asciiTheme="minorHAnsi" w:hAnsiTheme="minorHAnsi" w:cs="Arial"/>
                <w:b/>
                <w:bCs/>
                <w:sz w:val="18"/>
                <w:szCs w:val="18"/>
              </w:rPr>
              <w:t xml:space="preserve"> </w:t>
            </w:r>
            <w:r w:rsidR="002208D7" w:rsidRPr="00BF2624">
              <w:rPr>
                <w:rFonts w:asciiTheme="minorHAnsi" w:hAnsiTheme="minorHAnsi" w:cs="Arial"/>
                <w:b/>
                <w:bCs/>
                <w:sz w:val="18"/>
                <w:szCs w:val="18"/>
              </w:rPr>
              <w:t>3</w:t>
            </w:r>
            <w:r w:rsidR="002208D7">
              <w:rPr>
                <w:rFonts w:asciiTheme="minorHAnsi" w:hAnsiTheme="minorHAnsi" w:cs="Arial"/>
                <w:b/>
                <w:bCs/>
                <w:sz w:val="18"/>
                <w:szCs w:val="18"/>
              </w:rPr>
              <w:t>0</w:t>
            </w:r>
            <w:r w:rsidR="00BF2624" w:rsidRPr="00BF2624">
              <w:rPr>
                <w:rFonts w:asciiTheme="minorHAnsi" w:hAnsiTheme="minorHAnsi" w:cs="Arial"/>
                <w:b/>
                <w:bCs/>
                <w:sz w:val="18"/>
                <w:szCs w:val="18"/>
              </w:rPr>
              <w:t>, 2017</w:t>
            </w:r>
          </w:p>
        </w:tc>
        <w:tc>
          <w:tcPr>
            <w:tcW w:w="750" w:type="pct"/>
          </w:tcPr>
          <w:p w14:paraId="090E024F" w14:textId="77777777" w:rsidR="009702B0" w:rsidRPr="00BF2624" w:rsidRDefault="009702B0" w:rsidP="009702B0">
            <w:pPr>
              <w:spacing w:after="0" w:line="220" w:lineRule="exact"/>
              <w:jc w:val="right"/>
              <w:rPr>
                <w:rFonts w:asciiTheme="minorHAnsi" w:hAnsiTheme="minorHAnsi" w:cs="Arial"/>
                <w:b/>
                <w:sz w:val="18"/>
                <w:szCs w:val="18"/>
              </w:rPr>
            </w:pPr>
            <w:r w:rsidRPr="00BF2624">
              <w:rPr>
                <w:rFonts w:asciiTheme="minorHAnsi" w:hAnsiTheme="minorHAnsi" w:cs="Arial"/>
                <w:b/>
                <w:sz w:val="18"/>
                <w:szCs w:val="18"/>
              </w:rPr>
              <w:t>Gross exposure neither past due nor impaired</w:t>
            </w:r>
          </w:p>
        </w:tc>
        <w:tc>
          <w:tcPr>
            <w:tcW w:w="751" w:type="pct"/>
          </w:tcPr>
          <w:p w14:paraId="797B4200" w14:textId="77777777" w:rsidR="009702B0" w:rsidRPr="00BF2624" w:rsidRDefault="009702B0" w:rsidP="009702B0">
            <w:pPr>
              <w:spacing w:after="0" w:line="220" w:lineRule="exact"/>
              <w:jc w:val="right"/>
              <w:rPr>
                <w:rFonts w:asciiTheme="minorHAnsi" w:hAnsiTheme="minorHAnsi" w:cs="Arial"/>
                <w:b/>
                <w:sz w:val="18"/>
                <w:szCs w:val="18"/>
              </w:rPr>
            </w:pPr>
            <w:r w:rsidRPr="00BF2624">
              <w:rPr>
                <w:rFonts w:asciiTheme="minorHAnsi" w:hAnsiTheme="minorHAnsi" w:cs="Arial"/>
                <w:b/>
                <w:sz w:val="18"/>
                <w:szCs w:val="18"/>
              </w:rPr>
              <w:t xml:space="preserve">Gross exposure </w:t>
            </w:r>
          </w:p>
          <w:p w14:paraId="089FE7C6" w14:textId="77777777" w:rsidR="001A56F0" w:rsidRPr="00BF2624" w:rsidRDefault="009702B0" w:rsidP="009702B0">
            <w:pPr>
              <w:spacing w:after="0" w:line="220" w:lineRule="exact"/>
              <w:jc w:val="right"/>
              <w:rPr>
                <w:rFonts w:asciiTheme="minorHAnsi" w:hAnsiTheme="minorHAnsi" w:cs="Arial"/>
                <w:b/>
                <w:sz w:val="18"/>
                <w:szCs w:val="18"/>
              </w:rPr>
            </w:pPr>
            <w:r w:rsidRPr="00BF2624">
              <w:rPr>
                <w:rFonts w:asciiTheme="minorHAnsi" w:hAnsiTheme="minorHAnsi" w:cs="Arial"/>
                <w:b/>
                <w:sz w:val="18"/>
                <w:szCs w:val="18"/>
              </w:rPr>
              <w:t xml:space="preserve">past due </w:t>
            </w:r>
          </w:p>
          <w:p w14:paraId="798B4E73" w14:textId="77777777" w:rsidR="001A56F0" w:rsidRPr="00BF2624" w:rsidRDefault="009702B0" w:rsidP="009702B0">
            <w:pPr>
              <w:spacing w:after="0" w:line="220" w:lineRule="exact"/>
              <w:jc w:val="right"/>
              <w:rPr>
                <w:rFonts w:asciiTheme="minorHAnsi" w:hAnsiTheme="minorHAnsi" w:cs="Arial"/>
                <w:b/>
                <w:sz w:val="18"/>
                <w:szCs w:val="18"/>
              </w:rPr>
            </w:pPr>
            <w:r w:rsidRPr="00BF2624">
              <w:rPr>
                <w:rFonts w:asciiTheme="minorHAnsi" w:hAnsiTheme="minorHAnsi" w:cs="Arial"/>
                <w:b/>
                <w:sz w:val="18"/>
                <w:szCs w:val="18"/>
              </w:rPr>
              <w:t xml:space="preserve">not </w:t>
            </w:r>
          </w:p>
          <w:p w14:paraId="704D8278" w14:textId="77777777" w:rsidR="009702B0" w:rsidRPr="00BF2624" w:rsidRDefault="009702B0" w:rsidP="009702B0">
            <w:pPr>
              <w:spacing w:after="0" w:line="220" w:lineRule="exact"/>
              <w:jc w:val="right"/>
              <w:rPr>
                <w:rFonts w:asciiTheme="minorHAnsi" w:hAnsiTheme="minorHAnsi" w:cs="Arial"/>
                <w:b/>
                <w:sz w:val="18"/>
                <w:szCs w:val="18"/>
              </w:rPr>
            </w:pPr>
            <w:r w:rsidRPr="00BF2624">
              <w:rPr>
                <w:rFonts w:asciiTheme="minorHAnsi" w:hAnsiTheme="minorHAnsi" w:cs="Arial"/>
                <w:b/>
                <w:sz w:val="18"/>
                <w:szCs w:val="18"/>
              </w:rPr>
              <w:t>impaired</w:t>
            </w:r>
          </w:p>
        </w:tc>
        <w:tc>
          <w:tcPr>
            <w:tcW w:w="750" w:type="pct"/>
          </w:tcPr>
          <w:p w14:paraId="689316A0" w14:textId="77777777" w:rsidR="009702B0" w:rsidRPr="00BF2624" w:rsidRDefault="009702B0" w:rsidP="009702B0">
            <w:pPr>
              <w:spacing w:after="0" w:line="220" w:lineRule="exact"/>
              <w:jc w:val="right"/>
              <w:rPr>
                <w:rFonts w:asciiTheme="minorHAnsi" w:hAnsiTheme="minorHAnsi" w:cs="Arial"/>
                <w:b/>
                <w:sz w:val="18"/>
                <w:szCs w:val="18"/>
              </w:rPr>
            </w:pPr>
            <w:r w:rsidRPr="00BF2624">
              <w:rPr>
                <w:rFonts w:asciiTheme="minorHAnsi" w:hAnsiTheme="minorHAnsi" w:cs="Arial"/>
                <w:b/>
                <w:sz w:val="18"/>
                <w:szCs w:val="18"/>
              </w:rPr>
              <w:t xml:space="preserve">Gross exposure </w:t>
            </w:r>
          </w:p>
          <w:p w14:paraId="6DD7DAA7" w14:textId="77777777" w:rsidR="009702B0" w:rsidRPr="00BF2624" w:rsidRDefault="009702B0" w:rsidP="009702B0">
            <w:pPr>
              <w:spacing w:after="0" w:line="220" w:lineRule="exact"/>
              <w:jc w:val="right"/>
              <w:rPr>
                <w:rFonts w:asciiTheme="minorHAnsi" w:hAnsiTheme="minorHAnsi" w:cs="Arial"/>
                <w:b/>
                <w:sz w:val="18"/>
                <w:szCs w:val="18"/>
              </w:rPr>
            </w:pPr>
            <w:r w:rsidRPr="00BF2624">
              <w:rPr>
                <w:rFonts w:asciiTheme="minorHAnsi" w:hAnsiTheme="minorHAnsi" w:cs="Arial"/>
                <w:b/>
                <w:sz w:val="18"/>
                <w:szCs w:val="18"/>
              </w:rPr>
              <w:t>individually impaired</w:t>
            </w:r>
          </w:p>
        </w:tc>
        <w:tc>
          <w:tcPr>
            <w:tcW w:w="751" w:type="pct"/>
            <w:vAlign w:val="center"/>
          </w:tcPr>
          <w:p w14:paraId="0CEC3367" w14:textId="77777777" w:rsidR="009702B0" w:rsidRPr="00BF2624" w:rsidRDefault="009702B0" w:rsidP="009702B0">
            <w:pPr>
              <w:spacing w:after="0" w:line="220" w:lineRule="exact"/>
              <w:jc w:val="right"/>
              <w:rPr>
                <w:rFonts w:asciiTheme="minorHAnsi" w:hAnsiTheme="minorHAnsi" w:cs="Arial"/>
                <w:b/>
                <w:sz w:val="18"/>
                <w:szCs w:val="18"/>
              </w:rPr>
            </w:pPr>
            <w:r w:rsidRPr="00BF2624">
              <w:rPr>
                <w:rFonts w:asciiTheme="minorHAnsi" w:hAnsiTheme="minorHAnsi" w:cs="Arial"/>
                <w:b/>
                <w:sz w:val="18"/>
                <w:szCs w:val="18"/>
              </w:rPr>
              <w:t>Total</w:t>
            </w:r>
          </w:p>
        </w:tc>
      </w:tr>
      <w:tr w:rsidR="009702B0" w:rsidRPr="00BF2624" w14:paraId="040ED9C6" w14:textId="77777777" w:rsidTr="00ED60F2">
        <w:trPr>
          <w:trHeight w:val="272"/>
          <w:jc w:val="center"/>
        </w:trPr>
        <w:tc>
          <w:tcPr>
            <w:tcW w:w="1997" w:type="pct"/>
          </w:tcPr>
          <w:p w14:paraId="389C64B0" w14:textId="77777777" w:rsidR="009702B0" w:rsidRPr="00BF2624" w:rsidRDefault="009702B0" w:rsidP="009702B0">
            <w:pPr>
              <w:tabs>
                <w:tab w:val="right" w:pos="1202"/>
              </w:tabs>
              <w:spacing w:after="0" w:line="280" w:lineRule="exact"/>
              <w:outlineLvl w:val="0"/>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 xml:space="preserve">Assets </w:t>
            </w:r>
          </w:p>
        </w:tc>
        <w:tc>
          <w:tcPr>
            <w:tcW w:w="750" w:type="pct"/>
          </w:tcPr>
          <w:p w14:paraId="62CF84EF" w14:textId="77777777" w:rsidR="009702B0" w:rsidRPr="00BF2624" w:rsidRDefault="009702B0" w:rsidP="009702B0">
            <w:pPr>
              <w:tabs>
                <w:tab w:val="right" w:pos="1202"/>
              </w:tabs>
              <w:spacing w:after="0" w:line="280" w:lineRule="exact"/>
              <w:outlineLvl w:val="0"/>
              <w:rPr>
                <w:rFonts w:asciiTheme="minorHAnsi" w:eastAsia="Times New Roman" w:hAnsiTheme="minorHAnsi" w:cs="Arial"/>
                <w:b/>
                <w:bCs/>
                <w:sz w:val="18"/>
                <w:szCs w:val="18"/>
              </w:rPr>
            </w:pPr>
          </w:p>
        </w:tc>
        <w:tc>
          <w:tcPr>
            <w:tcW w:w="751" w:type="pct"/>
          </w:tcPr>
          <w:p w14:paraId="4E2BAC3A" w14:textId="77777777" w:rsidR="009702B0" w:rsidRPr="00BF2624" w:rsidRDefault="009702B0" w:rsidP="009702B0">
            <w:pPr>
              <w:tabs>
                <w:tab w:val="right" w:pos="1202"/>
              </w:tabs>
              <w:spacing w:after="0" w:line="280" w:lineRule="exact"/>
              <w:outlineLvl w:val="0"/>
              <w:rPr>
                <w:rFonts w:asciiTheme="minorHAnsi" w:eastAsia="Times New Roman" w:hAnsiTheme="minorHAnsi" w:cs="Arial"/>
                <w:b/>
                <w:bCs/>
                <w:sz w:val="18"/>
                <w:szCs w:val="18"/>
              </w:rPr>
            </w:pPr>
          </w:p>
        </w:tc>
        <w:tc>
          <w:tcPr>
            <w:tcW w:w="750" w:type="pct"/>
          </w:tcPr>
          <w:p w14:paraId="7C7AFA05" w14:textId="77777777" w:rsidR="009702B0" w:rsidRPr="00BF2624" w:rsidRDefault="009702B0" w:rsidP="009702B0">
            <w:pPr>
              <w:tabs>
                <w:tab w:val="right" w:pos="1202"/>
              </w:tabs>
              <w:spacing w:after="0" w:line="280" w:lineRule="exact"/>
              <w:outlineLvl w:val="0"/>
              <w:rPr>
                <w:rFonts w:asciiTheme="minorHAnsi" w:eastAsia="Times New Roman" w:hAnsiTheme="minorHAnsi" w:cs="Arial"/>
                <w:b/>
                <w:bCs/>
                <w:sz w:val="18"/>
                <w:szCs w:val="18"/>
              </w:rPr>
            </w:pPr>
          </w:p>
        </w:tc>
        <w:tc>
          <w:tcPr>
            <w:tcW w:w="751" w:type="pct"/>
          </w:tcPr>
          <w:p w14:paraId="14D68090" w14:textId="77777777" w:rsidR="009702B0" w:rsidRPr="00BF2624" w:rsidRDefault="009702B0" w:rsidP="009702B0">
            <w:pPr>
              <w:tabs>
                <w:tab w:val="right" w:pos="1202"/>
              </w:tabs>
              <w:spacing w:after="0" w:line="280" w:lineRule="exact"/>
              <w:outlineLvl w:val="0"/>
              <w:rPr>
                <w:rFonts w:asciiTheme="minorHAnsi" w:eastAsia="Times New Roman" w:hAnsiTheme="minorHAnsi" w:cs="Arial"/>
                <w:b/>
                <w:bCs/>
                <w:sz w:val="18"/>
                <w:szCs w:val="18"/>
              </w:rPr>
            </w:pPr>
          </w:p>
        </w:tc>
      </w:tr>
      <w:tr w:rsidR="00B02B90" w:rsidRPr="00BF2624" w14:paraId="3AFED00B" w14:textId="77777777" w:rsidTr="006B318F">
        <w:trPr>
          <w:trHeight w:val="297"/>
          <w:jc w:val="center"/>
        </w:trPr>
        <w:tc>
          <w:tcPr>
            <w:tcW w:w="1997" w:type="pct"/>
            <w:vAlign w:val="bottom"/>
          </w:tcPr>
          <w:p w14:paraId="48C54304" w14:textId="77777777" w:rsidR="00B02B90" w:rsidRPr="00BF2624" w:rsidRDefault="00B02B90" w:rsidP="00B02B90">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Cash on hand and due from banks</w:t>
            </w:r>
          </w:p>
        </w:tc>
        <w:tc>
          <w:tcPr>
            <w:tcW w:w="750" w:type="pct"/>
            <w:tcBorders>
              <w:top w:val="nil"/>
              <w:left w:val="nil"/>
              <w:bottom w:val="nil"/>
              <w:right w:val="nil"/>
            </w:tcBorders>
            <w:shd w:val="clear" w:color="auto" w:fill="auto"/>
            <w:vAlign w:val="bottom"/>
          </w:tcPr>
          <w:p w14:paraId="52A8D23C" w14:textId="11E1EB98" w:rsidR="00B02B90" w:rsidRPr="00BF2624" w:rsidRDefault="00B02B90" w:rsidP="00B02B90">
            <w:pPr>
              <w:tabs>
                <w:tab w:val="right" w:pos="1202"/>
              </w:tabs>
              <w:spacing w:after="0" w:line="280" w:lineRule="exact"/>
              <w:jc w:val="right"/>
              <w:outlineLvl w:val="0"/>
              <w:rPr>
                <w:rFonts w:asciiTheme="minorHAnsi" w:eastAsia="Times New Roman" w:hAnsiTheme="minorHAnsi" w:cs="Arial"/>
                <w:snapToGrid w:val="0"/>
                <w:sz w:val="18"/>
                <w:szCs w:val="18"/>
                <w:lang w:val="hr-HR"/>
              </w:rPr>
            </w:pPr>
            <w:r w:rsidRPr="002217BD">
              <w:rPr>
                <w:rFonts w:eastAsia="Times New Roman" w:cs="Arial"/>
                <w:sz w:val="18"/>
                <w:szCs w:val="18"/>
                <w:lang w:val="en-US"/>
              </w:rPr>
              <w:t>739</w:t>
            </w:r>
            <w:r>
              <w:rPr>
                <w:rFonts w:eastAsia="Times New Roman" w:cs="Arial"/>
                <w:sz w:val="18"/>
                <w:szCs w:val="18"/>
                <w:lang w:val="en-US"/>
              </w:rPr>
              <w:t>,</w:t>
            </w:r>
            <w:r w:rsidRPr="002217BD">
              <w:rPr>
                <w:rFonts w:eastAsia="Times New Roman" w:cs="Arial"/>
                <w:sz w:val="18"/>
                <w:szCs w:val="18"/>
                <w:lang w:val="en-US"/>
              </w:rPr>
              <w:t>907</w:t>
            </w:r>
          </w:p>
        </w:tc>
        <w:tc>
          <w:tcPr>
            <w:tcW w:w="751" w:type="pct"/>
            <w:tcBorders>
              <w:top w:val="nil"/>
              <w:left w:val="nil"/>
              <w:bottom w:val="nil"/>
              <w:right w:val="nil"/>
            </w:tcBorders>
            <w:shd w:val="clear" w:color="auto" w:fill="auto"/>
            <w:vAlign w:val="bottom"/>
          </w:tcPr>
          <w:p w14:paraId="31962336" w14:textId="2317DE44" w:rsidR="00B02B90" w:rsidRPr="00BF2624" w:rsidRDefault="00B02B90" w:rsidP="00B02B90">
            <w:pPr>
              <w:tabs>
                <w:tab w:val="right" w:pos="1202"/>
              </w:tabs>
              <w:spacing w:after="0" w:line="280" w:lineRule="exact"/>
              <w:jc w:val="right"/>
              <w:outlineLvl w:val="0"/>
              <w:rPr>
                <w:rFonts w:asciiTheme="minorHAnsi" w:hAnsiTheme="minorHAnsi" w:cs="Arial"/>
                <w:snapToGrid w:val="0"/>
                <w:sz w:val="18"/>
                <w:szCs w:val="18"/>
                <w:lang w:val="pl-PL"/>
              </w:rPr>
            </w:pPr>
            <w:r w:rsidRPr="00B4620E">
              <w:rPr>
                <w:rFonts w:eastAsia="Times New Roman" w:cs="Arial"/>
                <w:sz w:val="18"/>
                <w:szCs w:val="18"/>
                <w:lang w:val="en-US"/>
              </w:rPr>
              <w:t>-</w:t>
            </w:r>
          </w:p>
        </w:tc>
        <w:tc>
          <w:tcPr>
            <w:tcW w:w="750" w:type="pct"/>
            <w:tcBorders>
              <w:top w:val="nil"/>
              <w:left w:val="nil"/>
              <w:bottom w:val="nil"/>
              <w:right w:val="nil"/>
            </w:tcBorders>
            <w:shd w:val="clear" w:color="auto" w:fill="auto"/>
            <w:vAlign w:val="bottom"/>
          </w:tcPr>
          <w:p w14:paraId="67D1992B" w14:textId="65B6AB72" w:rsidR="00B02B90" w:rsidRPr="00BF2624" w:rsidRDefault="00B02B90" w:rsidP="00B02B90">
            <w:pPr>
              <w:tabs>
                <w:tab w:val="right" w:pos="1202"/>
              </w:tabs>
              <w:spacing w:after="0" w:line="280" w:lineRule="exact"/>
              <w:jc w:val="right"/>
              <w:outlineLvl w:val="0"/>
              <w:rPr>
                <w:rFonts w:asciiTheme="minorHAnsi" w:hAnsiTheme="minorHAnsi" w:cs="Arial"/>
                <w:snapToGrid w:val="0"/>
                <w:sz w:val="18"/>
                <w:szCs w:val="18"/>
                <w:lang w:val="pl-PL"/>
              </w:rPr>
            </w:pPr>
            <w:r w:rsidRPr="00B4620E">
              <w:rPr>
                <w:rFonts w:eastAsia="Times New Roman" w:cs="Arial"/>
                <w:sz w:val="18"/>
                <w:szCs w:val="18"/>
                <w:lang w:val="en-US"/>
              </w:rPr>
              <w:t>-</w:t>
            </w:r>
          </w:p>
        </w:tc>
        <w:tc>
          <w:tcPr>
            <w:tcW w:w="751" w:type="pct"/>
            <w:tcBorders>
              <w:top w:val="nil"/>
              <w:left w:val="nil"/>
              <w:bottom w:val="nil"/>
              <w:right w:val="nil"/>
            </w:tcBorders>
            <w:shd w:val="clear" w:color="auto" w:fill="auto"/>
            <w:vAlign w:val="bottom"/>
          </w:tcPr>
          <w:p w14:paraId="6EEDFC8E" w14:textId="3F73B40D" w:rsidR="00B02B90" w:rsidRPr="00BF2624" w:rsidRDefault="00B02B90" w:rsidP="00B02B90">
            <w:pPr>
              <w:tabs>
                <w:tab w:val="right" w:pos="1202"/>
              </w:tabs>
              <w:spacing w:after="0" w:line="280" w:lineRule="exact"/>
              <w:jc w:val="right"/>
              <w:outlineLvl w:val="0"/>
              <w:rPr>
                <w:rFonts w:asciiTheme="minorHAnsi" w:hAnsiTheme="minorHAnsi" w:cs="Arial"/>
                <w:snapToGrid w:val="0"/>
                <w:sz w:val="18"/>
                <w:szCs w:val="18"/>
                <w:lang w:val="pl-PL"/>
              </w:rPr>
            </w:pPr>
            <w:r w:rsidRPr="00244D13">
              <w:rPr>
                <w:rFonts w:cs="Arial"/>
                <w:sz w:val="18"/>
                <w:szCs w:val="18"/>
              </w:rPr>
              <w:t>739</w:t>
            </w:r>
            <w:r>
              <w:rPr>
                <w:rFonts w:cs="Arial"/>
                <w:sz w:val="18"/>
                <w:szCs w:val="18"/>
              </w:rPr>
              <w:t>,</w:t>
            </w:r>
            <w:r w:rsidRPr="00244D13">
              <w:rPr>
                <w:rFonts w:cs="Arial"/>
                <w:sz w:val="18"/>
                <w:szCs w:val="18"/>
              </w:rPr>
              <w:t>907</w:t>
            </w:r>
          </w:p>
        </w:tc>
      </w:tr>
      <w:tr w:rsidR="00B02B90" w:rsidRPr="00BF2624" w14:paraId="39149228" w14:textId="77777777" w:rsidTr="006B318F">
        <w:trPr>
          <w:trHeight w:val="297"/>
          <w:jc w:val="center"/>
        </w:trPr>
        <w:tc>
          <w:tcPr>
            <w:tcW w:w="1997" w:type="pct"/>
            <w:vAlign w:val="bottom"/>
          </w:tcPr>
          <w:p w14:paraId="5C800498" w14:textId="77777777" w:rsidR="00B02B90" w:rsidRPr="00BF2624" w:rsidRDefault="00B02B90" w:rsidP="00B02B90">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Deposits with other banks</w:t>
            </w:r>
          </w:p>
        </w:tc>
        <w:tc>
          <w:tcPr>
            <w:tcW w:w="750" w:type="pct"/>
            <w:tcBorders>
              <w:top w:val="nil"/>
              <w:left w:val="nil"/>
              <w:bottom w:val="nil"/>
              <w:right w:val="nil"/>
            </w:tcBorders>
            <w:shd w:val="clear" w:color="auto" w:fill="auto"/>
            <w:vAlign w:val="bottom"/>
          </w:tcPr>
          <w:p w14:paraId="363D29D0" w14:textId="478B0997" w:rsidR="00B02B90" w:rsidRPr="00BF2624" w:rsidRDefault="00B02B90" w:rsidP="00B02B90">
            <w:pPr>
              <w:tabs>
                <w:tab w:val="right" w:pos="1202"/>
              </w:tabs>
              <w:spacing w:after="0" w:line="280" w:lineRule="exact"/>
              <w:jc w:val="right"/>
              <w:outlineLvl w:val="0"/>
              <w:rPr>
                <w:rFonts w:asciiTheme="minorHAnsi" w:eastAsia="Times New Roman" w:hAnsiTheme="minorHAnsi" w:cs="Arial"/>
                <w:snapToGrid w:val="0"/>
                <w:sz w:val="18"/>
                <w:szCs w:val="18"/>
                <w:lang w:val="hr-HR"/>
              </w:rPr>
            </w:pPr>
            <w:r w:rsidRPr="002217BD">
              <w:rPr>
                <w:rFonts w:eastAsia="Times New Roman" w:cs="Arial"/>
                <w:sz w:val="18"/>
                <w:szCs w:val="18"/>
                <w:lang w:val="en-US"/>
              </w:rPr>
              <w:t>76</w:t>
            </w:r>
          </w:p>
        </w:tc>
        <w:tc>
          <w:tcPr>
            <w:tcW w:w="751" w:type="pct"/>
            <w:tcBorders>
              <w:top w:val="nil"/>
              <w:left w:val="nil"/>
              <w:bottom w:val="nil"/>
              <w:right w:val="nil"/>
            </w:tcBorders>
            <w:shd w:val="clear" w:color="auto" w:fill="auto"/>
            <w:vAlign w:val="bottom"/>
          </w:tcPr>
          <w:p w14:paraId="6379EE4C" w14:textId="3BFBC038" w:rsidR="00B02B90" w:rsidRPr="00BF2624" w:rsidRDefault="00B02B90" w:rsidP="00B02B90">
            <w:pPr>
              <w:tabs>
                <w:tab w:val="right" w:pos="1202"/>
              </w:tabs>
              <w:spacing w:after="0" w:line="280" w:lineRule="exact"/>
              <w:jc w:val="right"/>
              <w:outlineLvl w:val="0"/>
              <w:rPr>
                <w:rFonts w:asciiTheme="minorHAnsi" w:hAnsiTheme="minorHAnsi" w:cs="Arial"/>
                <w:snapToGrid w:val="0"/>
                <w:sz w:val="18"/>
                <w:szCs w:val="18"/>
              </w:rPr>
            </w:pPr>
            <w:r w:rsidRPr="00B4620E">
              <w:rPr>
                <w:rFonts w:eastAsia="Times New Roman" w:cs="Arial"/>
                <w:sz w:val="18"/>
                <w:szCs w:val="18"/>
                <w:lang w:val="en-US"/>
              </w:rPr>
              <w:t>-</w:t>
            </w:r>
          </w:p>
        </w:tc>
        <w:tc>
          <w:tcPr>
            <w:tcW w:w="750" w:type="pct"/>
            <w:tcBorders>
              <w:top w:val="nil"/>
              <w:left w:val="nil"/>
              <w:bottom w:val="nil"/>
              <w:right w:val="nil"/>
            </w:tcBorders>
            <w:shd w:val="clear" w:color="auto" w:fill="auto"/>
            <w:vAlign w:val="bottom"/>
          </w:tcPr>
          <w:p w14:paraId="57B7BC5D" w14:textId="440A006E" w:rsidR="00B02B90" w:rsidRPr="00BF2624" w:rsidRDefault="00B02B90" w:rsidP="00B02B90">
            <w:pPr>
              <w:tabs>
                <w:tab w:val="right" w:pos="1202"/>
              </w:tabs>
              <w:spacing w:after="0" w:line="280" w:lineRule="exact"/>
              <w:jc w:val="right"/>
              <w:outlineLvl w:val="0"/>
              <w:rPr>
                <w:rFonts w:asciiTheme="minorHAnsi" w:hAnsiTheme="minorHAnsi" w:cs="Arial"/>
                <w:snapToGrid w:val="0"/>
                <w:sz w:val="18"/>
                <w:szCs w:val="18"/>
              </w:rPr>
            </w:pPr>
            <w:r w:rsidRPr="00B4620E">
              <w:rPr>
                <w:rFonts w:eastAsia="Times New Roman" w:cs="Arial"/>
                <w:sz w:val="18"/>
                <w:szCs w:val="18"/>
                <w:lang w:val="en-US"/>
              </w:rPr>
              <w:t>-</w:t>
            </w:r>
          </w:p>
        </w:tc>
        <w:tc>
          <w:tcPr>
            <w:tcW w:w="751" w:type="pct"/>
            <w:tcBorders>
              <w:top w:val="nil"/>
              <w:left w:val="nil"/>
              <w:bottom w:val="nil"/>
              <w:right w:val="nil"/>
            </w:tcBorders>
            <w:shd w:val="clear" w:color="auto" w:fill="auto"/>
            <w:vAlign w:val="bottom"/>
          </w:tcPr>
          <w:p w14:paraId="3EC2250F" w14:textId="10A2509B" w:rsidR="00B02B90" w:rsidRPr="00BF2624" w:rsidRDefault="00B02B90" w:rsidP="00B02B90">
            <w:pPr>
              <w:tabs>
                <w:tab w:val="right" w:pos="1202"/>
              </w:tabs>
              <w:spacing w:after="0" w:line="280" w:lineRule="exact"/>
              <w:jc w:val="right"/>
              <w:outlineLvl w:val="0"/>
              <w:rPr>
                <w:rFonts w:asciiTheme="minorHAnsi" w:hAnsiTheme="minorHAnsi" w:cs="Arial"/>
                <w:snapToGrid w:val="0"/>
                <w:sz w:val="18"/>
                <w:szCs w:val="18"/>
              </w:rPr>
            </w:pPr>
            <w:r w:rsidRPr="00244D13">
              <w:rPr>
                <w:rFonts w:cs="Arial"/>
                <w:sz w:val="18"/>
                <w:szCs w:val="18"/>
              </w:rPr>
              <w:t>76</w:t>
            </w:r>
          </w:p>
        </w:tc>
      </w:tr>
      <w:tr w:rsidR="00B02B90" w:rsidRPr="00BF2624" w14:paraId="3B2579B1" w14:textId="77777777" w:rsidTr="006B318F">
        <w:trPr>
          <w:trHeight w:val="297"/>
          <w:jc w:val="center"/>
        </w:trPr>
        <w:tc>
          <w:tcPr>
            <w:tcW w:w="1997" w:type="pct"/>
            <w:vAlign w:val="bottom"/>
          </w:tcPr>
          <w:p w14:paraId="6537DCF9" w14:textId="77777777" w:rsidR="00B02B90" w:rsidRPr="00BF2624" w:rsidRDefault="00B02B90" w:rsidP="00B02B90">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Loans to financial institutions</w:t>
            </w:r>
          </w:p>
        </w:tc>
        <w:tc>
          <w:tcPr>
            <w:tcW w:w="750" w:type="pct"/>
            <w:tcBorders>
              <w:top w:val="nil"/>
              <w:left w:val="nil"/>
              <w:bottom w:val="nil"/>
              <w:right w:val="nil"/>
            </w:tcBorders>
            <w:shd w:val="clear" w:color="auto" w:fill="auto"/>
            <w:vAlign w:val="bottom"/>
          </w:tcPr>
          <w:p w14:paraId="2B25317F" w14:textId="110535EC" w:rsidR="00B02B90" w:rsidRPr="00BF2624" w:rsidRDefault="00B02B90" w:rsidP="00B02B90">
            <w:pPr>
              <w:tabs>
                <w:tab w:val="right" w:pos="1202"/>
              </w:tabs>
              <w:spacing w:after="0" w:line="280" w:lineRule="exact"/>
              <w:jc w:val="right"/>
              <w:outlineLvl w:val="0"/>
              <w:rPr>
                <w:rFonts w:asciiTheme="minorHAnsi" w:eastAsia="Times New Roman" w:hAnsiTheme="minorHAnsi" w:cs="Arial"/>
                <w:snapToGrid w:val="0"/>
                <w:sz w:val="18"/>
                <w:szCs w:val="18"/>
                <w:lang w:val="hr-HR"/>
              </w:rPr>
            </w:pPr>
            <w:r w:rsidRPr="002217BD">
              <w:rPr>
                <w:rFonts w:eastAsia="Times New Roman" w:cs="Arial"/>
                <w:sz w:val="18"/>
                <w:szCs w:val="18"/>
                <w:lang w:val="en-US"/>
              </w:rPr>
              <w:t>11</w:t>
            </w:r>
            <w:r>
              <w:rPr>
                <w:rFonts w:eastAsia="Times New Roman" w:cs="Arial"/>
                <w:sz w:val="18"/>
                <w:szCs w:val="18"/>
                <w:lang w:val="en-US"/>
              </w:rPr>
              <w:t>,</w:t>
            </w:r>
            <w:r w:rsidRPr="002217BD">
              <w:rPr>
                <w:rFonts w:eastAsia="Times New Roman" w:cs="Arial"/>
                <w:sz w:val="18"/>
                <w:szCs w:val="18"/>
                <w:lang w:val="en-US"/>
              </w:rPr>
              <w:t>729</w:t>
            </w:r>
            <w:r>
              <w:rPr>
                <w:rFonts w:eastAsia="Times New Roman" w:cs="Arial"/>
                <w:sz w:val="18"/>
                <w:szCs w:val="18"/>
                <w:lang w:val="en-US"/>
              </w:rPr>
              <w:t>,</w:t>
            </w:r>
            <w:r w:rsidRPr="002217BD">
              <w:rPr>
                <w:rFonts w:eastAsia="Times New Roman" w:cs="Arial"/>
                <w:sz w:val="18"/>
                <w:szCs w:val="18"/>
                <w:lang w:val="en-US"/>
              </w:rPr>
              <w:t>583</w:t>
            </w:r>
          </w:p>
        </w:tc>
        <w:tc>
          <w:tcPr>
            <w:tcW w:w="751" w:type="pct"/>
            <w:tcBorders>
              <w:top w:val="nil"/>
              <w:left w:val="nil"/>
              <w:bottom w:val="nil"/>
              <w:right w:val="nil"/>
            </w:tcBorders>
            <w:shd w:val="clear" w:color="auto" w:fill="auto"/>
            <w:vAlign w:val="bottom"/>
          </w:tcPr>
          <w:p w14:paraId="4CE8A456" w14:textId="39D28E8E" w:rsidR="00B02B90" w:rsidRPr="00BF2624" w:rsidRDefault="00B02B90" w:rsidP="00B02B90">
            <w:pPr>
              <w:tabs>
                <w:tab w:val="right" w:pos="1202"/>
              </w:tabs>
              <w:spacing w:after="0" w:line="280" w:lineRule="exact"/>
              <w:jc w:val="right"/>
              <w:outlineLvl w:val="0"/>
              <w:rPr>
                <w:rFonts w:asciiTheme="minorHAnsi" w:hAnsiTheme="minorHAnsi" w:cs="Arial"/>
                <w:snapToGrid w:val="0"/>
                <w:sz w:val="18"/>
                <w:szCs w:val="18"/>
              </w:rPr>
            </w:pPr>
            <w:r w:rsidRPr="002217BD">
              <w:rPr>
                <w:rFonts w:eastAsia="Times New Roman" w:cs="Arial"/>
                <w:sz w:val="18"/>
                <w:szCs w:val="18"/>
                <w:lang w:val="en-US"/>
              </w:rPr>
              <w:t>290</w:t>
            </w:r>
            <w:r>
              <w:rPr>
                <w:rFonts w:eastAsia="Times New Roman" w:cs="Arial"/>
                <w:sz w:val="18"/>
                <w:szCs w:val="18"/>
                <w:lang w:val="en-US"/>
              </w:rPr>
              <w:t>,</w:t>
            </w:r>
            <w:r w:rsidRPr="002217BD">
              <w:rPr>
                <w:rFonts w:eastAsia="Times New Roman" w:cs="Arial"/>
                <w:sz w:val="18"/>
                <w:szCs w:val="18"/>
                <w:lang w:val="en-US"/>
              </w:rPr>
              <w:t>250</w:t>
            </w:r>
          </w:p>
        </w:tc>
        <w:tc>
          <w:tcPr>
            <w:tcW w:w="750" w:type="pct"/>
            <w:tcBorders>
              <w:top w:val="nil"/>
              <w:left w:val="nil"/>
              <w:bottom w:val="nil"/>
              <w:right w:val="nil"/>
            </w:tcBorders>
            <w:shd w:val="clear" w:color="auto" w:fill="auto"/>
            <w:vAlign w:val="bottom"/>
          </w:tcPr>
          <w:p w14:paraId="13F550DC" w14:textId="2FC9E1CE" w:rsidR="00B02B90" w:rsidRPr="00BF2624" w:rsidRDefault="00B02B90" w:rsidP="00B02B90">
            <w:pPr>
              <w:tabs>
                <w:tab w:val="right" w:pos="1202"/>
              </w:tabs>
              <w:spacing w:after="0" w:line="280" w:lineRule="exact"/>
              <w:jc w:val="right"/>
              <w:outlineLvl w:val="0"/>
              <w:rPr>
                <w:rFonts w:asciiTheme="minorHAnsi" w:hAnsiTheme="minorHAnsi" w:cs="Arial"/>
                <w:snapToGrid w:val="0"/>
                <w:sz w:val="18"/>
                <w:szCs w:val="18"/>
              </w:rPr>
            </w:pPr>
            <w:r w:rsidRPr="00244D13">
              <w:rPr>
                <w:rFonts w:eastAsia="Times New Roman" w:cs="Arial"/>
                <w:sz w:val="18"/>
                <w:szCs w:val="18"/>
                <w:lang w:val="en-US"/>
              </w:rPr>
              <w:t>227</w:t>
            </w:r>
            <w:r>
              <w:rPr>
                <w:rFonts w:eastAsia="Times New Roman" w:cs="Arial"/>
                <w:sz w:val="18"/>
                <w:szCs w:val="18"/>
                <w:lang w:val="en-US"/>
              </w:rPr>
              <w:t>,</w:t>
            </w:r>
            <w:r w:rsidRPr="00244D13">
              <w:rPr>
                <w:rFonts w:eastAsia="Times New Roman" w:cs="Arial"/>
                <w:sz w:val="18"/>
                <w:szCs w:val="18"/>
                <w:lang w:val="en-US"/>
              </w:rPr>
              <w:t>454</w:t>
            </w:r>
          </w:p>
        </w:tc>
        <w:tc>
          <w:tcPr>
            <w:tcW w:w="751" w:type="pct"/>
            <w:tcBorders>
              <w:top w:val="nil"/>
              <w:left w:val="nil"/>
              <w:bottom w:val="nil"/>
              <w:right w:val="nil"/>
            </w:tcBorders>
            <w:shd w:val="clear" w:color="auto" w:fill="auto"/>
            <w:vAlign w:val="bottom"/>
          </w:tcPr>
          <w:p w14:paraId="452BC4B0" w14:textId="19A8AA96" w:rsidR="00B02B90" w:rsidRPr="00BF2624" w:rsidRDefault="00B02B90" w:rsidP="00B02B90">
            <w:pPr>
              <w:tabs>
                <w:tab w:val="right" w:pos="1202"/>
              </w:tabs>
              <w:spacing w:after="0" w:line="280" w:lineRule="exact"/>
              <w:jc w:val="right"/>
              <w:outlineLvl w:val="0"/>
              <w:rPr>
                <w:rFonts w:asciiTheme="minorHAnsi" w:hAnsiTheme="minorHAnsi" w:cs="Arial"/>
                <w:snapToGrid w:val="0"/>
                <w:sz w:val="18"/>
                <w:szCs w:val="18"/>
              </w:rPr>
            </w:pPr>
            <w:r w:rsidRPr="00244D13">
              <w:rPr>
                <w:rFonts w:cs="Arial"/>
                <w:sz w:val="18"/>
                <w:szCs w:val="18"/>
              </w:rPr>
              <w:t>12</w:t>
            </w:r>
            <w:r>
              <w:rPr>
                <w:rFonts w:cs="Arial"/>
                <w:sz w:val="18"/>
                <w:szCs w:val="18"/>
              </w:rPr>
              <w:t>,</w:t>
            </w:r>
            <w:r w:rsidRPr="00244D13">
              <w:rPr>
                <w:rFonts w:cs="Arial"/>
                <w:sz w:val="18"/>
                <w:szCs w:val="18"/>
              </w:rPr>
              <w:t>247</w:t>
            </w:r>
            <w:r>
              <w:rPr>
                <w:rFonts w:cs="Arial"/>
                <w:sz w:val="18"/>
                <w:szCs w:val="18"/>
              </w:rPr>
              <w:t>,</w:t>
            </w:r>
            <w:r w:rsidRPr="00244D13">
              <w:rPr>
                <w:rFonts w:cs="Arial"/>
                <w:sz w:val="18"/>
                <w:szCs w:val="18"/>
              </w:rPr>
              <w:t>287</w:t>
            </w:r>
          </w:p>
        </w:tc>
      </w:tr>
      <w:tr w:rsidR="00B02B90" w:rsidRPr="00BF2624" w14:paraId="69F2C93C" w14:textId="77777777" w:rsidTr="006B318F">
        <w:trPr>
          <w:trHeight w:val="297"/>
          <w:jc w:val="center"/>
        </w:trPr>
        <w:tc>
          <w:tcPr>
            <w:tcW w:w="1997" w:type="pct"/>
            <w:vAlign w:val="bottom"/>
          </w:tcPr>
          <w:p w14:paraId="27BA4867" w14:textId="77777777" w:rsidR="00B02B90" w:rsidRPr="00BF2624" w:rsidRDefault="00B02B90" w:rsidP="00B02B90">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 xml:space="preserve">Loans to other customers </w:t>
            </w:r>
          </w:p>
        </w:tc>
        <w:tc>
          <w:tcPr>
            <w:tcW w:w="750" w:type="pct"/>
            <w:tcBorders>
              <w:top w:val="nil"/>
              <w:left w:val="nil"/>
              <w:bottom w:val="nil"/>
              <w:right w:val="nil"/>
            </w:tcBorders>
            <w:shd w:val="clear" w:color="auto" w:fill="auto"/>
            <w:vAlign w:val="bottom"/>
          </w:tcPr>
          <w:p w14:paraId="30786DBD" w14:textId="0970416E" w:rsidR="00B02B90" w:rsidRPr="00BF2624" w:rsidRDefault="00B02B90" w:rsidP="00B02B90">
            <w:pPr>
              <w:tabs>
                <w:tab w:val="right" w:pos="1202"/>
              </w:tabs>
              <w:spacing w:after="0" w:line="280" w:lineRule="exact"/>
              <w:jc w:val="right"/>
              <w:outlineLvl w:val="0"/>
              <w:rPr>
                <w:rFonts w:asciiTheme="minorHAnsi" w:eastAsia="Times New Roman" w:hAnsiTheme="minorHAnsi" w:cs="Arial"/>
                <w:spacing w:val="-2"/>
                <w:sz w:val="18"/>
                <w:szCs w:val="18"/>
                <w:lang w:val="hr-HR"/>
              </w:rPr>
            </w:pPr>
            <w:r w:rsidRPr="002217BD">
              <w:rPr>
                <w:rFonts w:eastAsia="Times New Roman" w:cs="Arial"/>
                <w:sz w:val="18"/>
                <w:szCs w:val="18"/>
                <w:lang w:val="en-US"/>
              </w:rPr>
              <w:t>10</w:t>
            </w:r>
            <w:r>
              <w:rPr>
                <w:rFonts w:eastAsia="Times New Roman" w:cs="Arial"/>
                <w:sz w:val="18"/>
                <w:szCs w:val="18"/>
                <w:lang w:val="en-US"/>
              </w:rPr>
              <w:t>,</w:t>
            </w:r>
            <w:r w:rsidRPr="002217BD">
              <w:rPr>
                <w:rFonts w:eastAsia="Times New Roman" w:cs="Arial"/>
                <w:sz w:val="18"/>
                <w:szCs w:val="18"/>
                <w:lang w:val="en-US"/>
              </w:rPr>
              <w:t>269</w:t>
            </w:r>
            <w:r>
              <w:rPr>
                <w:rFonts w:eastAsia="Times New Roman" w:cs="Arial"/>
                <w:sz w:val="18"/>
                <w:szCs w:val="18"/>
                <w:lang w:val="en-US"/>
              </w:rPr>
              <w:t>,</w:t>
            </w:r>
            <w:r w:rsidRPr="002217BD">
              <w:rPr>
                <w:rFonts w:eastAsia="Times New Roman" w:cs="Arial"/>
                <w:sz w:val="18"/>
                <w:szCs w:val="18"/>
                <w:lang w:val="en-US"/>
              </w:rPr>
              <w:t>097</w:t>
            </w:r>
          </w:p>
        </w:tc>
        <w:tc>
          <w:tcPr>
            <w:tcW w:w="751" w:type="pct"/>
            <w:tcBorders>
              <w:top w:val="nil"/>
              <w:left w:val="nil"/>
              <w:bottom w:val="nil"/>
              <w:right w:val="nil"/>
            </w:tcBorders>
            <w:shd w:val="clear" w:color="auto" w:fill="auto"/>
            <w:vAlign w:val="bottom"/>
          </w:tcPr>
          <w:p w14:paraId="1716A8BB" w14:textId="3141BE79" w:rsidR="00B02B90" w:rsidRPr="00BF2624" w:rsidRDefault="00B02B90" w:rsidP="00B02B90">
            <w:pPr>
              <w:tabs>
                <w:tab w:val="right" w:pos="1202"/>
              </w:tabs>
              <w:spacing w:after="0" w:line="280" w:lineRule="exact"/>
              <w:jc w:val="right"/>
              <w:outlineLvl w:val="0"/>
              <w:rPr>
                <w:rFonts w:asciiTheme="minorHAnsi" w:hAnsiTheme="minorHAnsi" w:cs="Arial"/>
                <w:spacing w:val="-2"/>
                <w:sz w:val="18"/>
                <w:szCs w:val="18"/>
              </w:rPr>
            </w:pPr>
            <w:r w:rsidRPr="002217BD">
              <w:rPr>
                <w:rFonts w:eastAsia="Times New Roman" w:cs="Arial"/>
                <w:sz w:val="18"/>
                <w:szCs w:val="18"/>
                <w:lang w:val="en-US"/>
              </w:rPr>
              <w:t>176</w:t>
            </w:r>
            <w:r>
              <w:rPr>
                <w:rFonts w:eastAsia="Times New Roman" w:cs="Arial"/>
                <w:sz w:val="18"/>
                <w:szCs w:val="18"/>
                <w:lang w:val="en-US"/>
              </w:rPr>
              <w:t>,</w:t>
            </w:r>
            <w:r w:rsidRPr="002217BD">
              <w:rPr>
                <w:rFonts w:eastAsia="Times New Roman" w:cs="Arial"/>
                <w:sz w:val="18"/>
                <w:szCs w:val="18"/>
                <w:lang w:val="en-US"/>
              </w:rPr>
              <w:t>516</w:t>
            </w:r>
          </w:p>
        </w:tc>
        <w:tc>
          <w:tcPr>
            <w:tcW w:w="750" w:type="pct"/>
            <w:tcBorders>
              <w:top w:val="nil"/>
              <w:left w:val="nil"/>
              <w:bottom w:val="nil"/>
              <w:right w:val="nil"/>
            </w:tcBorders>
            <w:shd w:val="clear" w:color="auto" w:fill="auto"/>
            <w:vAlign w:val="bottom"/>
          </w:tcPr>
          <w:p w14:paraId="5B53C2D5" w14:textId="7DF6C722" w:rsidR="00B02B90" w:rsidRPr="00BF2624" w:rsidRDefault="00B02B90" w:rsidP="00B02B90">
            <w:pPr>
              <w:tabs>
                <w:tab w:val="right" w:pos="1202"/>
              </w:tabs>
              <w:spacing w:after="0" w:line="280" w:lineRule="exact"/>
              <w:jc w:val="right"/>
              <w:outlineLvl w:val="0"/>
              <w:rPr>
                <w:rFonts w:asciiTheme="minorHAnsi" w:hAnsiTheme="minorHAnsi" w:cs="Arial"/>
                <w:spacing w:val="-2"/>
                <w:sz w:val="18"/>
                <w:szCs w:val="18"/>
              </w:rPr>
            </w:pPr>
            <w:r w:rsidRPr="00244D13">
              <w:rPr>
                <w:rFonts w:eastAsia="Times New Roman" w:cs="Arial"/>
                <w:sz w:val="18"/>
                <w:szCs w:val="18"/>
                <w:lang w:val="en-US"/>
              </w:rPr>
              <w:t>1</w:t>
            </w:r>
            <w:r>
              <w:rPr>
                <w:rFonts w:eastAsia="Times New Roman" w:cs="Arial"/>
                <w:sz w:val="18"/>
                <w:szCs w:val="18"/>
                <w:lang w:val="en-US"/>
              </w:rPr>
              <w:t>,</w:t>
            </w:r>
            <w:r w:rsidRPr="00244D13">
              <w:rPr>
                <w:rFonts w:eastAsia="Times New Roman" w:cs="Arial"/>
                <w:sz w:val="18"/>
                <w:szCs w:val="18"/>
                <w:lang w:val="en-US"/>
              </w:rPr>
              <w:t>467</w:t>
            </w:r>
            <w:r>
              <w:rPr>
                <w:rFonts w:eastAsia="Times New Roman" w:cs="Arial"/>
                <w:sz w:val="18"/>
                <w:szCs w:val="18"/>
                <w:lang w:val="en-US"/>
              </w:rPr>
              <w:t>,</w:t>
            </w:r>
            <w:r w:rsidRPr="00244D13">
              <w:rPr>
                <w:rFonts w:eastAsia="Times New Roman" w:cs="Arial"/>
                <w:sz w:val="18"/>
                <w:szCs w:val="18"/>
                <w:lang w:val="en-US"/>
              </w:rPr>
              <w:t>599</w:t>
            </w:r>
          </w:p>
        </w:tc>
        <w:tc>
          <w:tcPr>
            <w:tcW w:w="751" w:type="pct"/>
            <w:tcBorders>
              <w:top w:val="nil"/>
              <w:left w:val="nil"/>
              <w:bottom w:val="nil"/>
              <w:right w:val="nil"/>
            </w:tcBorders>
            <w:shd w:val="clear" w:color="auto" w:fill="auto"/>
            <w:vAlign w:val="bottom"/>
          </w:tcPr>
          <w:p w14:paraId="3766485C" w14:textId="460DDC39" w:rsidR="00B02B90" w:rsidRPr="00BF2624" w:rsidRDefault="00B02B90" w:rsidP="00B02B90">
            <w:pPr>
              <w:tabs>
                <w:tab w:val="right" w:pos="1202"/>
              </w:tabs>
              <w:spacing w:after="0" w:line="280" w:lineRule="exact"/>
              <w:jc w:val="right"/>
              <w:outlineLvl w:val="0"/>
              <w:rPr>
                <w:rFonts w:asciiTheme="minorHAnsi" w:hAnsiTheme="minorHAnsi" w:cs="Arial"/>
                <w:spacing w:val="-2"/>
                <w:sz w:val="18"/>
                <w:szCs w:val="18"/>
              </w:rPr>
            </w:pPr>
            <w:r w:rsidRPr="00244D13">
              <w:rPr>
                <w:rFonts w:cs="Arial"/>
                <w:sz w:val="18"/>
                <w:szCs w:val="18"/>
              </w:rPr>
              <w:t>11</w:t>
            </w:r>
            <w:r>
              <w:rPr>
                <w:rFonts w:cs="Arial"/>
                <w:sz w:val="18"/>
                <w:szCs w:val="18"/>
              </w:rPr>
              <w:t>,</w:t>
            </w:r>
            <w:r w:rsidRPr="00244D13">
              <w:rPr>
                <w:rFonts w:cs="Arial"/>
                <w:sz w:val="18"/>
                <w:szCs w:val="18"/>
              </w:rPr>
              <w:t>913</w:t>
            </w:r>
            <w:r>
              <w:rPr>
                <w:rFonts w:cs="Arial"/>
                <w:sz w:val="18"/>
                <w:szCs w:val="18"/>
              </w:rPr>
              <w:t>,</w:t>
            </w:r>
            <w:r w:rsidRPr="00244D13">
              <w:rPr>
                <w:rFonts w:cs="Arial"/>
                <w:sz w:val="18"/>
                <w:szCs w:val="18"/>
              </w:rPr>
              <w:t>212</w:t>
            </w:r>
          </w:p>
        </w:tc>
      </w:tr>
      <w:tr w:rsidR="00B02B90" w:rsidRPr="00BF2624" w14:paraId="4C4E0DB1" w14:textId="77777777" w:rsidTr="006B318F">
        <w:trPr>
          <w:trHeight w:val="505"/>
          <w:jc w:val="center"/>
        </w:trPr>
        <w:tc>
          <w:tcPr>
            <w:tcW w:w="1997" w:type="pct"/>
            <w:vAlign w:val="bottom"/>
          </w:tcPr>
          <w:p w14:paraId="221EFE81" w14:textId="77777777" w:rsidR="00B02B90" w:rsidRPr="00BF2624" w:rsidRDefault="00B02B90" w:rsidP="00B02B90">
            <w:pPr>
              <w:tabs>
                <w:tab w:val="right" w:pos="1202"/>
              </w:tabs>
              <w:spacing w:after="0" w:line="240" w:lineRule="auto"/>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Financial assets at fair value through profit or loss</w:t>
            </w:r>
          </w:p>
        </w:tc>
        <w:tc>
          <w:tcPr>
            <w:tcW w:w="750" w:type="pct"/>
            <w:tcBorders>
              <w:top w:val="nil"/>
              <w:left w:val="nil"/>
              <w:bottom w:val="nil"/>
              <w:right w:val="nil"/>
            </w:tcBorders>
            <w:shd w:val="clear" w:color="auto" w:fill="auto"/>
            <w:vAlign w:val="bottom"/>
          </w:tcPr>
          <w:p w14:paraId="1A16706F" w14:textId="1CC657D1" w:rsidR="00B02B90" w:rsidRPr="00BF2624" w:rsidRDefault="00B02B90" w:rsidP="00B02B90">
            <w:pPr>
              <w:tabs>
                <w:tab w:val="right" w:pos="1202"/>
              </w:tabs>
              <w:spacing w:after="0" w:line="280" w:lineRule="exact"/>
              <w:jc w:val="right"/>
              <w:outlineLvl w:val="0"/>
              <w:rPr>
                <w:rFonts w:asciiTheme="minorHAnsi" w:eastAsia="Times New Roman" w:hAnsiTheme="minorHAnsi" w:cs="Arial"/>
                <w:spacing w:val="-2"/>
                <w:sz w:val="18"/>
                <w:szCs w:val="18"/>
                <w:lang w:val="hr-HR"/>
              </w:rPr>
            </w:pPr>
            <w:r w:rsidRPr="002217BD">
              <w:rPr>
                <w:rFonts w:eastAsia="Times New Roman" w:cs="Arial"/>
                <w:sz w:val="18"/>
                <w:szCs w:val="18"/>
                <w:lang w:val="en-US"/>
              </w:rPr>
              <w:t>288</w:t>
            </w:r>
          </w:p>
        </w:tc>
        <w:tc>
          <w:tcPr>
            <w:tcW w:w="751" w:type="pct"/>
            <w:tcBorders>
              <w:top w:val="nil"/>
              <w:left w:val="nil"/>
              <w:bottom w:val="nil"/>
              <w:right w:val="nil"/>
            </w:tcBorders>
            <w:shd w:val="clear" w:color="auto" w:fill="auto"/>
            <w:vAlign w:val="bottom"/>
          </w:tcPr>
          <w:p w14:paraId="69E4166F" w14:textId="0023AFFE" w:rsidR="00B02B90" w:rsidRPr="00BF2624" w:rsidRDefault="00B02B90" w:rsidP="00B02B90">
            <w:pPr>
              <w:tabs>
                <w:tab w:val="right" w:pos="1202"/>
              </w:tabs>
              <w:spacing w:after="0" w:line="280" w:lineRule="exact"/>
              <w:jc w:val="right"/>
              <w:outlineLvl w:val="0"/>
              <w:rPr>
                <w:rFonts w:asciiTheme="minorHAnsi" w:hAnsiTheme="minorHAnsi" w:cs="Arial"/>
                <w:snapToGrid w:val="0"/>
                <w:sz w:val="18"/>
                <w:szCs w:val="18"/>
                <w:lang w:val="pl-PL"/>
              </w:rPr>
            </w:pPr>
            <w:r w:rsidRPr="002217BD">
              <w:rPr>
                <w:rFonts w:eastAsia="Times New Roman" w:cs="Arial"/>
                <w:sz w:val="18"/>
                <w:szCs w:val="18"/>
                <w:lang w:val="en-US"/>
              </w:rPr>
              <w:t>-</w:t>
            </w:r>
          </w:p>
        </w:tc>
        <w:tc>
          <w:tcPr>
            <w:tcW w:w="750" w:type="pct"/>
            <w:tcBorders>
              <w:top w:val="nil"/>
              <w:left w:val="nil"/>
              <w:bottom w:val="nil"/>
              <w:right w:val="nil"/>
            </w:tcBorders>
            <w:shd w:val="clear" w:color="auto" w:fill="auto"/>
            <w:vAlign w:val="bottom"/>
          </w:tcPr>
          <w:p w14:paraId="6E3D7E6F" w14:textId="74234630" w:rsidR="00B02B90" w:rsidRPr="00BF2624" w:rsidRDefault="00B02B90" w:rsidP="00B02B90">
            <w:pPr>
              <w:tabs>
                <w:tab w:val="right" w:pos="1202"/>
              </w:tabs>
              <w:spacing w:after="0" w:line="280" w:lineRule="exact"/>
              <w:jc w:val="right"/>
              <w:outlineLvl w:val="0"/>
              <w:rPr>
                <w:rFonts w:asciiTheme="minorHAnsi" w:hAnsiTheme="minorHAnsi" w:cs="Arial"/>
                <w:snapToGrid w:val="0"/>
                <w:sz w:val="18"/>
                <w:szCs w:val="18"/>
                <w:lang w:val="pl-PL"/>
              </w:rPr>
            </w:pPr>
            <w:r w:rsidRPr="00B4620E">
              <w:rPr>
                <w:rFonts w:eastAsia="Times New Roman" w:cs="Arial"/>
                <w:sz w:val="18"/>
                <w:szCs w:val="18"/>
                <w:lang w:val="en-US"/>
              </w:rPr>
              <w:t>-</w:t>
            </w:r>
          </w:p>
        </w:tc>
        <w:tc>
          <w:tcPr>
            <w:tcW w:w="751" w:type="pct"/>
            <w:tcBorders>
              <w:top w:val="nil"/>
              <w:left w:val="nil"/>
              <w:bottom w:val="nil"/>
              <w:right w:val="nil"/>
            </w:tcBorders>
            <w:shd w:val="clear" w:color="auto" w:fill="auto"/>
            <w:vAlign w:val="bottom"/>
          </w:tcPr>
          <w:p w14:paraId="4828478F" w14:textId="08489202" w:rsidR="00B02B90" w:rsidRPr="00BF2624" w:rsidRDefault="00B02B90" w:rsidP="00B02B90">
            <w:pPr>
              <w:tabs>
                <w:tab w:val="right" w:pos="1202"/>
              </w:tabs>
              <w:spacing w:after="0" w:line="280" w:lineRule="exact"/>
              <w:jc w:val="right"/>
              <w:outlineLvl w:val="0"/>
              <w:rPr>
                <w:rFonts w:asciiTheme="minorHAnsi" w:hAnsiTheme="minorHAnsi" w:cs="Arial"/>
                <w:snapToGrid w:val="0"/>
                <w:sz w:val="18"/>
                <w:szCs w:val="18"/>
                <w:lang w:val="pl-PL"/>
              </w:rPr>
            </w:pPr>
            <w:r w:rsidRPr="00244D13">
              <w:rPr>
                <w:rFonts w:cs="Arial"/>
                <w:sz w:val="18"/>
                <w:szCs w:val="18"/>
              </w:rPr>
              <w:t>288</w:t>
            </w:r>
          </w:p>
        </w:tc>
      </w:tr>
      <w:tr w:rsidR="00B02B90" w:rsidRPr="00BF2624" w14:paraId="1825F379" w14:textId="77777777" w:rsidTr="006B318F">
        <w:trPr>
          <w:trHeight w:val="192"/>
          <w:jc w:val="center"/>
        </w:trPr>
        <w:tc>
          <w:tcPr>
            <w:tcW w:w="1997" w:type="pct"/>
            <w:vAlign w:val="bottom"/>
          </w:tcPr>
          <w:p w14:paraId="697029D9" w14:textId="77777777" w:rsidR="00B02B90" w:rsidRPr="00BF2624" w:rsidRDefault="00B02B90" w:rsidP="00B02B90">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Assets available for sale</w:t>
            </w:r>
          </w:p>
        </w:tc>
        <w:tc>
          <w:tcPr>
            <w:tcW w:w="750" w:type="pct"/>
            <w:tcBorders>
              <w:top w:val="nil"/>
              <w:left w:val="nil"/>
              <w:bottom w:val="nil"/>
              <w:right w:val="nil"/>
            </w:tcBorders>
            <w:shd w:val="clear" w:color="auto" w:fill="auto"/>
            <w:vAlign w:val="bottom"/>
          </w:tcPr>
          <w:p w14:paraId="0F024EEA" w14:textId="09DAFD15" w:rsidR="00B02B90" w:rsidRPr="00BF2624" w:rsidRDefault="00B02B90" w:rsidP="00B02B90">
            <w:pPr>
              <w:tabs>
                <w:tab w:val="right" w:pos="1202"/>
              </w:tabs>
              <w:spacing w:after="0" w:line="280" w:lineRule="exact"/>
              <w:jc w:val="right"/>
              <w:outlineLvl w:val="0"/>
              <w:rPr>
                <w:rFonts w:asciiTheme="minorHAnsi" w:eastAsia="Times New Roman" w:hAnsiTheme="minorHAnsi" w:cs="Arial"/>
                <w:snapToGrid w:val="0"/>
                <w:sz w:val="18"/>
                <w:szCs w:val="18"/>
                <w:lang w:val="hr-HR"/>
              </w:rPr>
            </w:pPr>
            <w:r w:rsidRPr="002217BD">
              <w:rPr>
                <w:rFonts w:eastAsia="Times New Roman" w:cs="Arial"/>
                <w:sz w:val="18"/>
                <w:szCs w:val="18"/>
                <w:lang w:val="en-US"/>
              </w:rPr>
              <w:t>3</w:t>
            </w:r>
            <w:r>
              <w:rPr>
                <w:rFonts w:eastAsia="Times New Roman" w:cs="Arial"/>
                <w:sz w:val="18"/>
                <w:szCs w:val="18"/>
                <w:lang w:val="en-US"/>
              </w:rPr>
              <w:t>,</w:t>
            </w:r>
            <w:r w:rsidRPr="002217BD">
              <w:rPr>
                <w:rFonts w:eastAsia="Times New Roman" w:cs="Arial"/>
                <w:sz w:val="18"/>
                <w:szCs w:val="18"/>
                <w:lang w:val="en-US"/>
              </w:rPr>
              <w:t>271</w:t>
            </w:r>
            <w:r>
              <w:rPr>
                <w:rFonts w:eastAsia="Times New Roman" w:cs="Arial"/>
                <w:sz w:val="18"/>
                <w:szCs w:val="18"/>
                <w:lang w:val="en-US"/>
              </w:rPr>
              <w:t>,</w:t>
            </w:r>
            <w:r w:rsidRPr="002217BD">
              <w:rPr>
                <w:rFonts w:eastAsia="Times New Roman" w:cs="Arial"/>
                <w:sz w:val="18"/>
                <w:szCs w:val="18"/>
                <w:lang w:val="en-US"/>
              </w:rPr>
              <w:t>673</w:t>
            </w:r>
          </w:p>
        </w:tc>
        <w:tc>
          <w:tcPr>
            <w:tcW w:w="751" w:type="pct"/>
            <w:tcBorders>
              <w:top w:val="nil"/>
              <w:left w:val="nil"/>
              <w:bottom w:val="nil"/>
              <w:right w:val="nil"/>
            </w:tcBorders>
            <w:shd w:val="clear" w:color="auto" w:fill="auto"/>
            <w:vAlign w:val="bottom"/>
          </w:tcPr>
          <w:p w14:paraId="669A1BC1" w14:textId="312BB418" w:rsidR="00B02B90" w:rsidRPr="00BF2624" w:rsidRDefault="00B02B90" w:rsidP="00B02B90">
            <w:pPr>
              <w:tabs>
                <w:tab w:val="right" w:pos="1202"/>
              </w:tabs>
              <w:spacing w:after="0" w:line="280" w:lineRule="exact"/>
              <w:jc w:val="right"/>
              <w:outlineLvl w:val="0"/>
              <w:rPr>
                <w:rFonts w:asciiTheme="minorHAnsi" w:hAnsiTheme="minorHAnsi" w:cs="Arial"/>
                <w:snapToGrid w:val="0"/>
                <w:sz w:val="18"/>
                <w:szCs w:val="18"/>
              </w:rPr>
            </w:pPr>
            <w:r w:rsidRPr="002217BD">
              <w:rPr>
                <w:rFonts w:eastAsia="Times New Roman" w:cs="Arial"/>
                <w:sz w:val="18"/>
                <w:szCs w:val="18"/>
                <w:lang w:val="en-US"/>
              </w:rPr>
              <w:t>-</w:t>
            </w:r>
          </w:p>
        </w:tc>
        <w:tc>
          <w:tcPr>
            <w:tcW w:w="750" w:type="pct"/>
            <w:tcBorders>
              <w:top w:val="nil"/>
              <w:left w:val="nil"/>
              <w:bottom w:val="nil"/>
              <w:right w:val="nil"/>
            </w:tcBorders>
            <w:shd w:val="clear" w:color="auto" w:fill="auto"/>
            <w:vAlign w:val="bottom"/>
          </w:tcPr>
          <w:p w14:paraId="4127B685" w14:textId="74A8CFA9" w:rsidR="00B02B90" w:rsidRPr="00BF2624" w:rsidRDefault="00B02B90" w:rsidP="00B02B90">
            <w:pPr>
              <w:tabs>
                <w:tab w:val="right" w:pos="1202"/>
              </w:tabs>
              <w:spacing w:after="0" w:line="280" w:lineRule="exact"/>
              <w:jc w:val="right"/>
              <w:outlineLvl w:val="0"/>
              <w:rPr>
                <w:rFonts w:asciiTheme="minorHAnsi" w:hAnsiTheme="minorHAnsi" w:cs="Arial"/>
                <w:snapToGrid w:val="0"/>
                <w:sz w:val="18"/>
                <w:szCs w:val="18"/>
              </w:rPr>
            </w:pPr>
            <w:r w:rsidRPr="00B4620E">
              <w:rPr>
                <w:rFonts w:eastAsia="Times New Roman" w:cs="Arial"/>
                <w:sz w:val="18"/>
                <w:szCs w:val="18"/>
                <w:lang w:val="en-US"/>
              </w:rPr>
              <w:t>-</w:t>
            </w:r>
          </w:p>
        </w:tc>
        <w:tc>
          <w:tcPr>
            <w:tcW w:w="751" w:type="pct"/>
            <w:tcBorders>
              <w:top w:val="nil"/>
              <w:left w:val="nil"/>
              <w:bottom w:val="nil"/>
              <w:right w:val="nil"/>
            </w:tcBorders>
            <w:shd w:val="clear" w:color="auto" w:fill="auto"/>
            <w:vAlign w:val="bottom"/>
          </w:tcPr>
          <w:p w14:paraId="2B91EC60" w14:textId="01463069" w:rsidR="00B02B90" w:rsidRPr="00BF2624" w:rsidRDefault="00B02B90" w:rsidP="00B02B90">
            <w:pPr>
              <w:tabs>
                <w:tab w:val="right" w:pos="1202"/>
              </w:tabs>
              <w:spacing w:after="0" w:line="280" w:lineRule="exact"/>
              <w:jc w:val="right"/>
              <w:outlineLvl w:val="0"/>
              <w:rPr>
                <w:rFonts w:asciiTheme="minorHAnsi" w:hAnsiTheme="minorHAnsi" w:cs="Arial"/>
                <w:snapToGrid w:val="0"/>
                <w:sz w:val="18"/>
                <w:szCs w:val="18"/>
              </w:rPr>
            </w:pPr>
            <w:r w:rsidRPr="00244D13">
              <w:rPr>
                <w:rFonts w:cs="Arial"/>
                <w:sz w:val="18"/>
                <w:szCs w:val="18"/>
              </w:rPr>
              <w:t>3</w:t>
            </w:r>
            <w:r>
              <w:rPr>
                <w:rFonts w:cs="Arial"/>
                <w:sz w:val="18"/>
                <w:szCs w:val="18"/>
              </w:rPr>
              <w:t>,</w:t>
            </w:r>
            <w:r w:rsidRPr="00244D13">
              <w:rPr>
                <w:rFonts w:cs="Arial"/>
                <w:sz w:val="18"/>
                <w:szCs w:val="18"/>
              </w:rPr>
              <w:t>271</w:t>
            </w:r>
            <w:r>
              <w:rPr>
                <w:rFonts w:cs="Arial"/>
                <w:sz w:val="18"/>
                <w:szCs w:val="18"/>
              </w:rPr>
              <w:t>,</w:t>
            </w:r>
            <w:r w:rsidRPr="00244D13">
              <w:rPr>
                <w:rFonts w:cs="Arial"/>
                <w:sz w:val="18"/>
                <w:szCs w:val="18"/>
              </w:rPr>
              <w:t>673</w:t>
            </w:r>
          </w:p>
        </w:tc>
      </w:tr>
      <w:tr w:rsidR="00B02B90" w:rsidRPr="00BF2624" w14:paraId="037473BE" w14:textId="77777777" w:rsidTr="006B318F">
        <w:trPr>
          <w:trHeight w:val="297"/>
          <w:jc w:val="center"/>
        </w:trPr>
        <w:tc>
          <w:tcPr>
            <w:tcW w:w="1997" w:type="pct"/>
            <w:vAlign w:val="bottom"/>
          </w:tcPr>
          <w:p w14:paraId="02FA1F36" w14:textId="77777777" w:rsidR="00B02B90" w:rsidRPr="00BF2624" w:rsidRDefault="00B02B90" w:rsidP="00B02B90">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Assets held to maturity</w:t>
            </w:r>
          </w:p>
        </w:tc>
        <w:tc>
          <w:tcPr>
            <w:tcW w:w="750" w:type="pct"/>
            <w:tcBorders>
              <w:top w:val="nil"/>
              <w:left w:val="nil"/>
              <w:bottom w:val="nil"/>
              <w:right w:val="nil"/>
            </w:tcBorders>
            <w:shd w:val="clear" w:color="auto" w:fill="auto"/>
            <w:vAlign w:val="bottom"/>
          </w:tcPr>
          <w:p w14:paraId="508BFB36" w14:textId="5EC052CE" w:rsidR="00B02B90" w:rsidRPr="00BF2624" w:rsidRDefault="00B02B90" w:rsidP="00B02B90">
            <w:pPr>
              <w:tabs>
                <w:tab w:val="right" w:pos="1202"/>
              </w:tabs>
              <w:spacing w:after="0" w:line="280" w:lineRule="exact"/>
              <w:jc w:val="right"/>
              <w:outlineLvl w:val="0"/>
              <w:rPr>
                <w:rFonts w:asciiTheme="minorHAnsi" w:eastAsia="Times New Roman" w:hAnsiTheme="minorHAnsi" w:cs="Arial"/>
                <w:snapToGrid w:val="0"/>
                <w:sz w:val="18"/>
                <w:szCs w:val="18"/>
                <w:lang w:val="hr-HR"/>
              </w:rPr>
            </w:pPr>
            <w:r w:rsidRPr="002217BD">
              <w:rPr>
                <w:rFonts w:eastAsia="Times New Roman" w:cs="Arial"/>
                <w:sz w:val="18"/>
                <w:szCs w:val="18"/>
                <w:lang w:val="en-US"/>
              </w:rPr>
              <w:t>1</w:t>
            </w:r>
            <w:r>
              <w:rPr>
                <w:rFonts w:eastAsia="Times New Roman" w:cs="Arial"/>
                <w:sz w:val="18"/>
                <w:szCs w:val="18"/>
                <w:lang w:val="en-US"/>
              </w:rPr>
              <w:t>,</w:t>
            </w:r>
            <w:r w:rsidRPr="002217BD">
              <w:rPr>
                <w:rFonts w:eastAsia="Times New Roman" w:cs="Arial"/>
                <w:sz w:val="18"/>
                <w:szCs w:val="18"/>
                <w:lang w:val="en-US"/>
              </w:rPr>
              <w:t>404</w:t>
            </w:r>
          </w:p>
        </w:tc>
        <w:tc>
          <w:tcPr>
            <w:tcW w:w="751" w:type="pct"/>
            <w:tcBorders>
              <w:top w:val="nil"/>
              <w:left w:val="nil"/>
              <w:bottom w:val="nil"/>
              <w:right w:val="nil"/>
            </w:tcBorders>
            <w:shd w:val="clear" w:color="auto" w:fill="auto"/>
            <w:vAlign w:val="bottom"/>
          </w:tcPr>
          <w:p w14:paraId="253120FC" w14:textId="13358AB2" w:rsidR="00B02B90" w:rsidRPr="00BF2624" w:rsidRDefault="00B02B90" w:rsidP="00B02B90">
            <w:pPr>
              <w:tabs>
                <w:tab w:val="right" w:pos="1202"/>
              </w:tabs>
              <w:spacing w:after="0" w:line="280" w:lineRule="exact"/>
              <w:jc w:val="right"/>
              <w:outlineLvl w:val="0"/>
              <w:rPr>
                <w:rFonts w:asciiTheme="minorHAnsi" w:eastAsia="Times New Roman" w:hAnsiTheme="minorHAnsi" w:cs="Arial"/>
                <w:snapToGrid w:val="0"/>
                <w:sz w:val="18"/>
                <w:szCs w:val="18"/>
                <w:lang w:val="hr-HR"/>
              </w:rPr>
            </w:pPr>
            <w:r w:rsidRPr="002217BD">
              <w:rPr>
                <w:rFonts w:eastAsia="Times New Roman" w:cs="Arial"/>
                <w:sz w:val="18"/>
                <w:szCs w:val="18"/>
                <w:lang w:val="en-US"/>
              </w:rPr>
              <w:t>-</w:t>
            </w:r>
          </w:p>
        </w:tc>
        <w:tc>
          <w:tcPr>
            <w:tcW w:w="750" w:type="pct"/>
            <w:tcBorders>
              <w:top w:val="nil"/>
              <w:left w:val="nil"/>
              <w:bottom w:val="nil"/>
              <w:right w:val="nil"/>
            </w:tcBorders>
            <w:shd w:val="clear" w:color="auto" w:fill="auto"/>
            <w:vAlign w:val="bottom"/>
          </w:tcPr>
          <w:p w14:paraId="68CB3045" w14:textId="08168AAF" w:rsidR="00B02B90" w:rsidRPr="00BF2624" w:rsidRDefault="00B02B90" w:rsidP="00B02B90">
            <w:pPr>
              <w:tabs>
                <w:tab w:val="right" w:pos="1202"/>
              </w:tabs>
              <w:spacing w:after="0" w:line="280" w:lineRule="exact"/>
              <w:jc w:val="right"/>
              <w:outlineLvl w:val="0"/>
              <w:rPr>
                <w:rFonts w:asciiTheme="minorHAnsi" w:eastAsia="Times New Roman" w:hAnsiTheme="minorHAnsi" w:cs="Arial"/>
                <w:snapToGrid w:val="0"/>
                <w:sz w:val="18"/>
                <w:szCs w:val="18"/>
                <w:lang w:val="hr-HR"/>
              </w:rPr>
            </w:pPr>
            <w:r w:rsidRPr="00B4620E">
              <w:rPr>
                <w:rFonts w:eastAsia="Times New Roman" w:cs="Arial"/>
                <w:sz w:val="18"/>
                <w:szCs w:val="18"/>
                <w:lang w:val="en-US"/>
              </w:rPr>
              <w:t>-</w:t>
            </w:r>
          </w:p>
        </w:tc>
        <w:tc>
          <w:tcPr>
            <w:tcW w:w="751" w:type="pct"/>
            <w:tcBorders>
              <w:top w:val="nil"/>
              <w:left w:val="nil"/>
              <w:bottom w:val="nil"/>
              <w:right w:val="nil"/>
            </w:tcBorders>
            <w:shd w:val="clear" w:color="auto" w:fill="auto"/>
            <w:vAlign w:val="bottom"/>
          </w:tcPr>
          <w:p w14:paraId="5607C745" w14:textId="7FF19D6A" w:rsidR="00B02B90" w:rsidRPr="00BF2624" w:rsidRDefault="00B02B90" w:rsidP="00B02B90">
            <w:pPr>
              <w:tabs>
                <w:tab w:val="right" w:pos="1202"/>
              </w:tabs>
              <w:spacing w:after="0" w:line="280" w:lineRule="exact"/>
              <w:jc w:val="right"/>
              <w:outlineLvl w:val="0"/>
              <w:rPr>
                <w:rFonts w:asciiTheme="minorHAnsi" w:eastAsia="Times New Roman" w:hAnsiTheme="minorHAnsi" w:cs="Arial"/>
                <w:snapToGrid w:val="0"/>
                <w:sz w:val="18"/>
                <w:szCs w:val="18"/>
                <w:lang w:val="hr-HR"/>
              </w:rPr>
            </w:pPr>
            <w:r w:rsidRPr="00244D13">
              <w:rPr>
                <w:rFonts w:cs="Arial"/>
                <w:sz w:val="18"/>
                <w:szCs w:val="18"/>
              </w:rPr>
              <w:t>1</w:t>
            </w:r>
            <w:r>
              <w:rPr>
                <w:rFonts w:cs="Arial"/>
                <w:sz w:val="18"/>
                <w:szCs w:val="18"/>
              </w:rPr>
              <w:t>,</w:t>
            </w:r>
            <w:r w:rsidRPr="00244D13">
              <w:rPr>
                <w:rFonts w:cs="Arial"/>
                <w:sz w:val="18"/>
                <w:szCs w:val="18"/>
              </w:rPr>
              <w:t>404</w:t>
            </w:r>
          </w:p>
        </w:tc>
      </w:tr>
      <w:tr w:rsidR="00B02B90" w:rsidRPr="00BF2624" w14:paraId="7E91DC90" w14:textId="77777777" w:rsidTr="006B318F">
        <w:trPr>
          <w:trHeight w:val="297"/>
          <w:jc w:val="center"/>
        </w:trPr>
        <w:tc>
          <w:tcPr>
            <w:tcW w:w="1997" w:type="pct"/>
            <w:vAlign w:val="bottom"/>
          </w:tcPr>
          <w:p w14:paraId="2588F30D" w14:textId="77777777" w:rsidR="00B02B90" w:rsidRPr="00BF2624" w:rsidRDefault="00B02B90" w:rsidP="00B02B90">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Other assets</w:t>
            </w:r>
          </w:p>
        </w:tc>
        <w:tc>
          <w:tcPr>
            <w:tcW w:w="750" w:type="pct"/>
            <w:tcBorders>
              <w:top w:val="nil"/>
              <w:left w:val="nil"/>
              <w:bottom w:val="single" w:sz="8" w:space="0" w:color="auto"/>
              <w:right w:val="nil"/>
            </w:tcBorders>
            <w:shd w:val="clear" w:color="auto" w:fill="auto"/>
            <w:vAlign w:val="bottom"/>
          </w:tcPr>
          <w:p w14:paraId="11E107F3" w14:textId="5BB76F50" w:rsidR="00B02B90" w:rsidRPr="00BF2624" w:rsidRDefault="00B02B90" w:rsidP="00B02B90">
            <w:pPr>
              <w:tabs>
                <w:tab w:val="right" w:pos="1202"/>
              </w:tabs>
              <w:spacing w:after="0" w:line="280" w:lineRule="exact"/>
              <w:jc w:val="right"/>
              <w:outlineLvl w:val="0"/>
              <w:rPr>
                <w:rFonts w:asciiTheme="minorHAnsi" w:eastAsia="Times New Roman" w:hAnsiTheme="minorHAnsi" w:cs="Arial"/>
                <w:snapToGrid w:val="0"/>
                <w:sz w:val="18"/>
                <w:szCs w:val="18"/>
                <w:lang w:val="hr-HR"/>
              </w:rPr>
            </w:pPr>
            <w:r w:rsidRPr="002217BD">
              <w:rPr>
                <w:rFonts w:eastAsia="Times New Roman" w:cs="Arial"/>
                <w:sz w:val="18"/>
                <w:szCs w:val="18"/>
                <w:lang w:val="en-US"/>
              </w:rPr>
              <w:t>3</w:t>
            </w:r>
            <w:r>
              <w:rPr>
                <w:rFonts w:eastAsia="Times New Roman" w:cs="Arial"/>
                <w:sz w:val="18"/>
                <w:szCs w:val="18"/>
                <w:lang w:val="en-US"/>
              </w:rPr>
              <w:t>,</w:t>
            </w:r>
            <w:r w:rsidRPr="002217BD">
              <w:rPr>
                <w:rFonts w:eastAsia="Times New Roman" w:cs="Arial"/>
                <w:sz w:val="18"/>
                <w:szCs w:val="18"/>
                <w:lang w:val="en-US"/>
              </w:rPr>
              <w:t>593</w:t>
            </w:r>
          </w:p>
        </w:tc>
        <w:tc>
          <w:tcPr>
            <w:tcW w:w="751" w:type="pct"/>
            <w:tcBorders>
              <w:top w:val="nil"/>
              <w:left w:val="nil"/>
              <w:bottom w:val="single" w:sz="8" w:space="0" w:color="auto"/>
              <w:right w:val="nil"/>
            </w:tcBorders>
            <w:shd w:val="clear" w:color="auto" w:fill="auto"/>
            <w:vAlign w:val="bottom"/>
          </w:tcPr>
          <w:p w14:paraId="00FAC109" w14:textId="2736415B" w:rsidR="00B02B90" w:rsidRPr="00BF2624" w:rsidRDefault="00B02B90" w:rsidP="00B02B90">
            <w:pPr>
              <w:tabs>
                <w:tab w:val="right" w:pos="1202"/>
              </w:tabs>
              <w:spacing w:after="0" w:line="280" w:lineRule="exact"/>
              <w:jc w:val="right"/>
              <w:outlineLvl w:val="0"/>
              <w:rPr>
                <w:rFonts w:asciiTheme="minorHAnsi" w:hAnsiTheme="minorHAnsi" w:cs="Arial"/>
                <w:bCs/>
                <w:sz w:val="18"/>
                <w:szCs w:val="18"/>
              </w:rPr>
            </w:pPr>
            <w:r w:rsidRPr="002217BD">
              <w:rPr>
                <w:rFonts w:eastAsia="Times New Roman" w:cs="Arial"/>
                <w:sz w:val="18"/>
                <w:szCs w:val="18"/>
                <w:lang w:val="en-US"/>
              </w:rPr>
              <w:t>1</w:t>
            </w:r>
            <w:r>
              <w:rPr>
                <w:rFonts w:eastAsia="Times New Roman" w:cs="Arial"/>
                <w:sz w:val="18"/>
                <w:szCs w:val="18"/>
                <w:lang w:val="en-US"/>
              </w:rPr>
              <w:t>,</w:t>
            </w:r>
            <w:r w:rsidRPr="002217BD">
              <w:rPr>
                <w:rFonts w:eastAsia="Times New Roman" w:cs="Arial"/>
                <w:sz w:val="18"/>
                <w:szCs w:val="18"/>
                <w:lang w:val="en-US"/>
              </w:rPr>
              <w:t>151</w:t>
            </w:r>
          </w:p>
        </w:tc>
        <w:tc>
          <w:tcPr>
            <w:tcW w:w="750" w:type="pct"/>
            <w:tcBorders>
              <w:top w:val="nil"/>
              <w:left w:val="nil"/>
              <w:bottom w:val="single" w:sz="8" w:space="0" w:color="auto"/>
              <w:right w:val="nil"/>
            </w:tcBorders>
            <w:shd w:val="clear" w:color="auto" w:fill="auto"/>
            <w:vAlign w:val="bottom"/>
          </w:tcPr>
          <w:p w14:paraId="2ECC1BE3" w14:textId="50AB9494" w:rsidR="00B02B90" w:rsidRPr="00BF2624" w:rsidRDefault="00B02B90" w:rsidP="00B02B90">
            <w:pPr>
              <w:tabs>
                <w:tab w:val="right" w:pos="1202"/>
              </w:tabs>
              <w:spacing w:after="0" w:line="280" w:lineRule="exact"/>
              <w:jc w:val="right"/>
              <w:outlineLvl w:val="0"/>
              <w:rPr>
                <w:rFonts w:asciiTheme="minorHAnsi" w:hAnsiTheme="minorHAnsi" w:cs="Arial"/>
                <w:bCs/>
                <w:sz w:val="18"/>
                <w:szCs w:val="18"/>
              </w:rPr>
            </w:pPr>
            <w:r w:rsidRPr="001D5DEC">
              <w:rPr>
                <w:rFonts w:eastAsia="Times New Roman" w:cs="Arial"/>
                <w:sz w:val="18"/>
                <w:szCs w:val="18"/>
                <w:lang w:val="en-US"/>
              </w:rPr>
              <w:t>1</w:t>
            </w:r>
            <w:r>
              <w:rPr>
                <w:rFonts w:eastAsia="Times New Roman" w:cs="Arial"/>
                <w:sz w:val="18"/>
                <w:szCs w:val="18"/>
                <w:lang w:val="en-US"/>
              </w:rPr>
              <w:t>,</w:t>
            </w:r>
            <w:r w:rsidRPr="001D5DEC">
              <w:rPr>
                <w:rFonts w:eastAsia="Times New Roman" w:cs="Arial"/>
                <w:sz w:val="18"/>
                <w:szCs w:val="18"/>
                <w:lang w:val="en-US"/>
              </w:rPr>
              <w:t>365</w:t>
            </w:r>
          </w:p>
        </w:tc>
        <w:tc>
          <w:tcPr>
            <w:tcW w:w="751" w:type="pct"/>
            <w:tcBorders>
              <w:top w:val="nil"/>
              <w:left w:val="nil"/>
              <w:bottom w:val="single" w:sz="8" w:space="0" w:color="auto"/>
              <w:right w:val="nil"/>
            </w:tcBorders>
            <w:shd w:val="clear" w:color="auto" w:fill="auto"/>
            <w:vAlign w:val="bottom"/>
          </w:tcPr>
          <w:p w14:paraId="67568DFC" w14:textId="578AC026" w:rsidR="00B02B90" w:rsidRPr="00BF2624" w:rsidRDefault="00B02B90" w:rsidP="00B02B90">
            <w:pPr>
              <w:tabs>
                <w:tab w:val="right" w:pos="1202"/>
              </w:tabs>
              <w:spacing w:after="0" w:line="280" w:lineRule="exact"/>
              <w:jc w:val="right"/>
              <w:outlineLvl w:val="0"/>
              <w:rPr>
                <w:rFonts w:asciiTheme="minorHAnsi" w:hAnsiTheme="minorHAnsi" w:cs="Arial"/>
                <w:bCs/>
                <w:sz w:val="18"/>
                <w:szCs w:val="18"/>
              </w:rPr>
            </w:pPr>
            <w:r w:rsidRPr="00244D13">
              <w:rPr>
                <w:rFonts w:cs="Arial"/>
                <w:sz w:val="18"/>
                <w:szCs w:val="18"/>
              </w:rPr>
              <w:t>6</w:t>
            </w:r>
            <w:r>
              <w:rPr>
                <w:rFonts w:cs="Arial"/>
                <w:sz w:val="18"/>
                <w:szCs w:val="18"/>
              </w:rPr>
              <w:t>,</w:t>
            </w:r>
            <w:r w:rsidRPr="00244D13">
              <w:rPr>
                <w:rFonts w:cs="Arial"/>
                <w:sz w:val="18"/>
                <w:szCs w:val="18"/>
              </w:rPr>
              <w:t>109</w:t>
            </w:r>
          </w:p>
        </w:tc>
      </w:tr>
      <w:tr w:rsidR="00B02B90" w:rsidRPr="00BF2624" w14:paraId="5EEEE1F0" w14:textId="77777777" w:rsidTr="005444AA">
        <w:trPr>
          <w:trHeight w:val="285"/>
          <w:jc w:val="center"/>
        </w:trPr>
        <w:tc>
          <w:tcPr>
            <w:tcW w:w="1997" w:type="pct"/>
            <w:vAlign w:val="bottom"/>
          </w:tcPr>
          <w:p w14:paraId="3CC78AEE" w14:textId="77777777" w:rsidR="00B02B90" w:rsidRPr="00BF2624" w:rsidRDefault="00B02B90" w:rsidP="00B02B90">
            <w:pPr>
              <w:tabs>
                <w:tab w:val="right" w:pos="1202"/>
              </w:tabs>
              <w:spacing w:after="0" w:line="280" w:lineRule="exact"/>
              <w:outlineLvl w:val="0"/>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 xml:space="preserve">Total </w:t>
            </w:r>
          </w:p>
        </w:tc>
        <w:tc>
          <w:tcPr>
            <w:tcW w:w="750" w:type="pct"/>
            <w:tcBorders>
              <w:top w:val="nil"/>
              <w:left w:val="nil"/>
              <w:bottom w:val="single" w:sz="12" w:space="0" w:color="auto"/>
              <w:right w:val="nil"/>
            </w:tcBorders>
            <w:shd w:val="clear" w:color="auto" w:fill="auto"/>
            <w:vAlign w:val="bottom"/>
          </w:tcPr>
          <w:p w14:paraId="4E29A7CC" w14:textId="060A7F3B" w:rsidR="00B02B90" w:rsidRPr="00BF2624" w:rsidRDefault="00B02B90" w:rsidP="00B02B90">
            <w:pPr>
              <w:tabs>
                <w:tab w:val="right" w:pos="1202"/>
              </w:tabs>
              <w:spacing w:after="0" w:line="280" w:lineRule="exact"/>
              <w:jc w:val="right"/>
              <w:outlineLvl w:val="0"/>
              <w:rPr>
                <w:rFonts w:asciiTheme="minorHAnsi" w:eastAsia="Times New Roman" w:hAnsiTheme="minorHAnsi" w:cs="Arial"/>
                <w:b/>
                <w:bCs/>
                <w:sz w:val="18"/>
                <w:szCs w:val="18"/>
                <w:lang w:val="hr-HR"/>
              </w:rPr>
            </w:pPr>
            <w:r w:rsidRPr="00244D13">
              <w:rPr>
                <w:rFonts w:eastAsia="Times New Roman" w:cs="Arial"/>
                <w:b/>
                <w:sz w:val="18"/>
                <w:szCs w:val="18"/>
                <w:lang w:val="en-US"/>
              </w:rPr>
              <w:t>26</w:t>
            </w:r>
            <w:r>
              <w:rPr>
                <w:rFonts w:eastAsia="Times New Roman" w:cs="Arial"/>
                <w:b/>
                <w:sz w:val="18"/>
                <w:szCs w:val="18"/>
                <w:lang w:val="en-US"/>
              </w:rPr>
              <w:t>,</w:t>
            </w:r>
            <w:r w:rsidRPr="00244D13">
              <w:rPr>
                <w:rFonts w:eastAsia="Times New Roman" w:cs="Arial"/>
                <w:b/>
                <w:sz w:val="18"/>
                <w:szCs w:val="18"/>
                <w:lang w:val="en-US"/>
              </w:rPr>
              <w:t>015</w:t>
            </w:r>
            <w:r>
              <w:rPr>
                <w:rFonts w:eastAsia="Times New Roman" w:cs="Arial"/>
                <w:b/>
                <w:sz w:val="18"/>
                <w:szCs w:val="18"/>
                <w:lang w:val="en-US"/>
              </w:rPr>
              <w:t>,</w:t>
            </w:r>
            <w:r w:rsidRPr="00244D13">
              <w:rPr>
                <w:rFonts w:eastAsia="Times New Roman" w:cs="Arial"/>
                <w:b/>
                <w:sz w:val="18"/>
                <w:szCs w:val="18"/>
                <w:lang w:val="en-US"/>
              </w:rPr>
              <w:t>621</w:t>
            </w:r>
          </w:p>
        </w:tc>
        <w:tc>
          <w:tcPr>
            <w:tcW w:w="751" w:type="pct"/>
            <w:tcBorders>
              <w:top w:val="nil"/>
              <w:left w:val="nil"/>
              <w:bottom w:val="single" w:sz="12" w:space="0" w:color="auto"/>
              <w:right w:val="nil"/>
            </w:tcBorders>
            <w:shd w:val="clear" w:color="auto" w:fill="auto"/>
            <w:vAlign w:val="bottom"/>
          </w:tcPr>
          <w:p w14:paraId="2F17270F" w14:textId="0EA67E58" w:rsidR="00B02B90" w:rsidRPr="00BF2624" w:rsidRDefault="00B02B90" w:rsidP="00B02B90">
            <w:pPr>
              <w:tabs>
                <w:tab w:val="right" w:pos="1202"/>
              </w:tabs>
              <w:spacing w:after="0" w:line="280" w:lineRule="exact"/>
              <w:jc w:val="right"/>
              <w:outlineLvl w:val="0"/>
              <w:rPr>
                <w:rFonts w:asciiTheme="minorHAnsi" w:hAnsiTheme="minorHAnsi" w:cs="Arial"/>
                <w:b/>
                <w:bCs/>
                <w:sz w:val="18"/>
                <w:szCs w:val="18"/>
              </w:rPr>
            </w:pPr>
            <w:r w:rsidRPr="00244D13">
              <w:rPr>
                <w:rFonts w:eastAsia="Times New Roman" w:cs="Arial"/>
                <w:b/>
                <w:sz w:val="18"/>
                <w:szCs w:val="18"/>
                <w:lang w:val="en-US"/>
              </w:rPr>
              <w:t>467</w:t>
            </w:r>
            <w:r>
              <w:rPr>
                <w:rFonts w:eastAsia="Times New Roman" w:cs="Arial"/>
                <w:b/>
                <w:sz w:val="18"/>
                <w:szCs w:val="18"/>
                <w:lang w:val="en-US"/>
              </w:rPr>
              <w:t>,</w:t>
            </w:r>
            <w:r w:rsidRPr="00244D13">
              <w:rPr>
                <w:rFonts w:eastAsia="Times New Roman" w:cs="Arial"/>
                <w:b/>
                <w:sz w:val="18"/>
                <w:szCs w:val="18"/>
                <w:lang w:val="en-US"/>
              </w:rPr>
              <w:t>917</w:t>
            </w:r>
          </w:p>
        </w:tc>
        <w:tc>
          <w:tcPr>
            <w:tcW w:w="750" w:type="pct"/>
            <w:tcBorders>
              <w:top w:val="nil"/>
              <w:left w:val="nil"/>
              <w:bottom w:val="single" w:sz="12" w:space="0" w:color="auto"/>
              <w:right w:val="nil"/>
            </w:tcBorders>
            <w:shd w:val="clear" w:color="auto" w:fill="auto"/>
            <w:vAlign w:val="bottom"/>
          </w:tcPr>
          <w:p w14:paraId="26423E25" w14:textId="1E18BB9B" w:rsidR="00B02B90" w:rsidRPr="00BF2624" w:rsidRDefault="00B02B90" w:rsidP="00B02B90">
            <w:pPr>
              <w:tabs>
                <w:tab w:val="right" w:pos="1202"/>
              </w:tabs>
              <w:spacing w:after="0" w:line="280" w:lineRule="exact"/>
              <w:jc w:val="right"/>
              <w:outlineLvl w:val="0"/>
              <w:rPr>
                <w:rFonts w:asciiTheme="minorHAnsi" w:hAnsiTheme="minorHAnsi" w:cs="Arial"/>
                <w:b/>
                <w:bCs/>
                <w:sz w:val="18"/>
                <w:szCs w:val="18"/>
              </w:rPr>
            </w:pPr>
            <w:r w:rsidRPr="00244D13">
              <w:rPr>
                <w:rFonts w:eastAsia="Times New Roman" w:cs="Arial"/>
                <w:b/>
                <w:sz w:val="18"/>
                <w:szCs w:val="18"/>
                <w:lang w:val="en-US"/>
              </w:rPr>
              <w:t>1</w:t>
            </w:r>
            <w:r>
              <w:rPr>
                <w:rFonts w:eastAsia="Times New Roman" w:cs="Arial"/>
                <w:b/>
                <w:sz w:val="18"/>
                <w:szCs w:val="18"/>
                <w:lang w:val="en-US"/>
              </w:rPr>
              <w:t>,</w:t>
            </w:r>
            <w:r w:rsidRPr="00244D13">
              <w:rPr>
                <w:rFonts w:eastAsia="Times New Roman" w:cs="Arial"/>
                <w:b/>
                <w:sz w:val="18"/>
                <w:szCs w:val="18"/>
                <w:lang w:val="en-US"/>
              </w:rPr>
              <w:t>696</w:t>
            </w:r>
            <w:r>
              <w:rPr>
                <w:rFonts w:eastAsia="Times New Roman" w:cs="Arial"/>
                <w:b/>
                <w:sz w:val="18"/>
                <w:szCs w:val="18"/>
                <w:lang w:val="en-US"/>
              </w:rPr>
              <w:t>,</w:t>
            </w:r>
            <w:r w:rsidRPr="00244D13">
              <w:rPr>
                <w:rFonts w:eastAsia="Times New Roman" w:cs="Arial"/>
                <w:b/>
                <w:sz w:val="18"/>
                <w:szCs w:val="18"/>
                <w:lang w:val="en-US"/>
              </w:rPr>
              <w:t>418</w:t>
            </w:r>
          </w:p>
        </w:tc>
        <w:tc>
          <w:tcPr>
            <w:tcW w:w="751" w:type="pct"/>
            <w:tcBorders>
              <w:top w:val="nil"/>
              <w:left w:val="nil"/>
              <w:bottom w:val="single" w:sz="12" w:space="0" w:color="auto"/>
              <w:right w:val="nil"/>
            </w:tcBorders>
            <w:shd w:val="clear" w:color="auto" w:fill="auto"/>
            <w:vAlign w:val="bottom"/>
          </w:tcPr>
          <w:p w14:paraId="5656E729" w14:textId="72B36A0D" w:rsidR="00B02B90" w:rsidRPr="00BF2624" w:rsidRDefault="00B02B90" w:rsidP="00B02B90">
            <w:pPr>
              <w:tabs>
                <w:tab w:val="right" w:pos="1202"/>
              </w:tabs>
              <w:spacing w:after="0" w:line="280" w:lineRule="exact"/>
              <w:jc w:val="right"/>
              <w:outlineLvl w:val="0"/>
              <w:rPr>
                <w:rFonts w:asciiTheme="minorHAnsi" w:hAnsiTheme="minorHAnsi" w:cs="Arial"/>
                <w:b/>
                <w:bCs/>
                <w:sz w:val="18"/>
                <w:szCs w:val="18"/>
              </w:rPr>
            </w:pPr>
            <w:r w:rsidRPr="00244D13">
              <w:rPr>
                <w:rFonts w:eastAsia="Times New Roman" w:cs="Arial"/>
                <w:b/>
                <w:sz w:val="18"/>
                <w:szCs w:val="18"/>
                <w:lang w:val="en-US"/>
              </w:rPr>
              <w:t>28</w:t>
            </w:r>
            <w:r>
              <w:rPr>
                <w:rFonts w:eastAsia="Times New Roman" w:cs="Arial"/>
                <w:b/>
                <w:sz w:val="18"/>
                <w:szCs w:val="18"/>
                <w:lang w:val="en-US"/>
              </w:rPr>
              <w:t>,</w:t>
            </w:r>
            <w:r w:rsidRPr="00244D13">
              <w:rPr>
                <w:rFonts w:eastAsia="Times New Roman" w:cs="Arial"/>
                <w:b/>
                <w:sz w:val="18"/>
                <w:szCs w:val="18"/>
                <w:lang w:val="en-US"/>
              </w:rPr>
              <w:t>179</w:t>
            </w:r>
            <w:r>
              <w:rPr>
                <w:rFonts w:eastAsia="Times New Roman" w:cs="Arial"/>
                <w:b/>
                <w:sz w:val="18"/>
                <w:szCs w:val="18"/>
                <w:lang w:val="en-US"/>
              </w:rPr>
              <w:t>,</w:t>
            </w:r>
            <w:r w:rsidRPr="00244D13">
              <w:rPr>
                <w:rFonts w:eastAsia="Times New Roman" w:cs="Arial"/>
                <w:b/>
                <w:sz w:val="18"/>
                <w:szCs w:val="18"/>
                <w:lang w:val="en-US"/>
              </w:rPr>
              <w:t>956</w:t>
            </w:r>
          </w:p>
        </w:tc>
      </w:tr>
      <w:tr w:rsidR="00ED60F2" w:rsidRPr="00BF2624" w14:paraId="4D516B69" w14:textId="77777777" w:rsidTr="00ED60F2">
        <w:trPr>
          <w:trHeight w:val="285"/>
          <w:jc w:val="center"/>
        </w:trPr>
        <w:tc>
          <w:tcPr>
            <w:tcW w:w="1997" w:type="pct"/>
            <w:vAlign w:val="bottom"/>
          </w:tcPr>
          <w:p w14:paraId="0D5EB06C" w14:textId="77777777" w:rsidR="00ED60F2" w:rsidRPr="00BF2624" w:rsidRDefault="00ED60F2" w:rsidP="00ED60F2">
            <w:pPr>
              <w:tabs>
                <w:tab w:val="right" w:pos="1202"/>
              </w:tabs>
              <w:spacing w:after="0" w:line="280" w:lineRule="exact"/>
              <w:outlineLvl w:val="0"/>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 xml:space="preserve">Guarantees and commitments </w:t>
            </w:r>
          </w:p>
        </w:tc>
        <w:tc>
          <w:tcPr>
            <w:tcW w:w="750" w:type="pct"/>
            <w:tcBorders>
              <w:top w:val="single" w:sz="12" w:space="0" w:color="auto"/>
            </w:tcBorders>
            <w:shd w:val="clear" w:color="auto" w:fill="auto"/>
            <w:vAlign w:val="bottom"/>
          </w:tcPr>
          <w:p w14:paraId="04A2D8DC" w14:textId="77777777" w:rsidR="00ED60F2" w:rsidRPr="00BF2624" w:rsidRDefault="00ED60F2" w:rsidP="00ED60F2">
            <w:pPr>
              <w:tabs>
                <w:tab w:val="right" w:pos="1202"/>
              </w:tabs>
              <w:spacing w:after="0" w:line="280" w:lineRule="exact"/>
              <w:jc w:val="right"/>
              <w:outlineLvl w:val="0"/>
              <w:rPr>
                <w:rFonts w:asciiTheme="minorHAnsi" w:eastAsia="Times New Roman" w:hAnsiTheme="minorHAnsi" w:cs="Arial"/>
                <w:b/>
                <w:bCs/>
                <w:sz w:val="18"/>
                <w:szCs w:val="18"/>
                <w:lang w:val="hr-HR"/>
              </w:rPr>
            </w:pPr>
          </w:p>
        </w:tc>
        <w:tc>
          <w:tcPr>
            <w:tcW w:w="751" w:type="pct"/>
            <w:tcBorders>
              <w:top w:val="single" w:sz="12" w:space="0" w:color="auto"/>
            </w:tcBorders>
            <w:shd w:val="clear" w:color="auto" w:fill="auto"/>
            <w:vAlign w:val="bottom"/>
          </w:tcPr>
          <w:p w14:paraId="7666172E" w14:textId="77777777" w:rsidR="00ED60F2" w:rsidRPr="00BF2624" w:rsidRDefault="00ED60F2" w:rsidP="00ED60F2">
            <w:pPr>
              <w:tabs>
                <w:tab w:val="right" w:pos="1202"/>
              </w:tabs>
              <w:spacing w:after="0" w:line="280" w:lineRule="exact"/>
              <w:jc w:val="right"/>
              <w:outlineLvl w:val="0"/>
              <w:rPr>
                <w:rFonts w:asciiTheme="minorHAnsi" w:eastAsia="Times New Roman" w:hAnsiTheme="minorHAnsi" w:cs="Arial"/>
                <w:b/>
                <w:bCs/>
                <w:sz w:val="18"/>
                <w:szCs w:val="18"/>
                <w:lang w:val="hr-HR"/>
              </w:rPr>
            </w:pPr>
          </w:p>
        </w:tc>
        <w:tc>
          <w:tcPr>
            <w:tcW w:w="750" w:type="pct"/>
            <w:tcBorders>
              <w:top w:val="single" w:sz="12" w:space="0" w:color="auto"/>
            </w:tcBorders>
            <w:shd w:val="clear" w:color="auto" w:fill="auto"/>
            <w:vAlign w:val="bottom"/>
          </w:tcPr>
          <w:p w14:paraId="459446CE" w14:textId="77777777" w:rsidR="00ED60F2" w:rsidRPr="00BF2624" w:rsidRDefault="00ED60F2" w:rsidP="00ED60F2">
            <w:pPr>
              <w:tabs>
                <w:tab w:val="right" w:pos="1202"/>
              </w:tabs>
              <w:spacing w:after="0" w:line="280" w:lineRule="exact"/>
              <w:jc w:val="right"/>
              <w:outlineLvl w:val="0"/>
              <w:rPr>
                <w:rFonts w:asciiTheme="minorHAnsi" w:eastAsia="Times New Roman" w:hAnsiTheme="minorHAnsi" w:cs="Arial"/>
                <w:b/>
                <w:bCs/>
                <w:sz w:val="18"/>
                <w:szCs w:val="18"/>
                <w:lang w:val="hr-HR"/>
              </w:rPr>
            </w:pPr>
          </w:p>
        </w:tc>
        <w:tc>
          <w:tcPr>
            <w:tcW w:w="751" w:type="pct"/>
            <w:tcBorders>
              <w:top w:val="single" w:sz="12" w:space="0" w:color="auto"/>
            </w:tcBorders>
            <w:shd w:val="clear" w:color="auto" w:fill="auto"/>
            <w:vAlign w:val="bottom"/>
          </w:tcPr>
          <w:p w14:paraId="646D39DB" w14:textId="77777777" w:rsidR="00ED60F2" w:rsidRPr="00BF2624" w:rsidRDefault="00ED60F2" w:rsidP="00ED60F2">
            <w:pPr>
              <w:tabs>
                <w:tab w:val="right" w:pos="1202"/>
              </w:tabs>
              <w:spacing w:after="0" w:line="280" w:lineRule="exact"/>
              <w:jc w:val="right"/>
              <w:outlineLvl w:val="0"/>
              <w:rPr>
                <w:rFonts w:asciiTheme="minorHAnsi" w:eastAsia="Times New Roman" w:hAnsiTheme="minorHAnsi" w:cs="Arial"/>
                <w:b/>
                <w:bCs/>
                <w:sz w:val="18"/>
                <w:szCs w:val="18"/>
                <w:lang w:val="hr-HR"/>
              </w:rPr>
            </w:pPr>
          </w:p>
        </w:tc>
      </w:tr>
      <w:tr w:rsidR="00B02B90" w:rsidRPr="00BF2624" w14:paraId="6100A8E9" w14:textId="77777777" w:rsidTr="00ED60F2">
        <w:trPr>
          <w:trHeight w:val="313"/>
          <w:jc w:val="center"/>
        </w:trPr>
        <w:tc>
          <w:tcPr>
            <w:tcW w:w="1997" w:type="pct"/>
            <w:vAlign w:val="bottom"/>
          </w:tcPr>
          <w:p w14:paraId="479287B7" w14:textId="77777777" w:rsidR="00B02B90" w:rsidRPr="00BF2624" w:rsidRDefault="00B02B90" w:rsidP="00B02B90">
            <w:pPr>
              <w:tabs>
                <w:tab w:val="right" w:pos="1202"/>
              </w:tabs>
              <w:spacing w:after="0" w:line="280" w:lineRule="exact"/>
              <w:outlineLvl w:val="0"/>
              <w:rPr>
                <w:rFonts w:asciiTheme="minorHAnsi" w:eastAsia="Times New Roman" w:hAnsiTheme="minorHAnsi" w:cs="Arial"/>
                <w:bCs/>
                <w:sz w:val="18"/>
                <w:szCs w:val="18"/>
              </w:rPr>
            </w:pPr>
            <w:r w:rsidRPr="00BF2624">
              <w:rPr>
                <w:rFonts w:asciiTheme="minorHAnsi" w:eastAsia="Times New Roman" w:hAnsiTheme="minorHAnsi" w:cs="Arial"/>
                <w:bCs/>
                <w:sz w:val="18"/>
                <w:szCs w:val="18"/>
              </w:rPr>
              <w:t>Guarantees issued in HRK</w:t>
            </w:r>
          </w:p>
        </w:tc>
        <w:tc>
          <w:tcPr>
            <w:tcW w:w="750" w:type="pct"/>
            <w:tcBorders>
              <w:top w:val="nil"/>
              <w:left w:val="nil"/>
              <w:bottom w:val="nil"/>
              <w:right w:val="nil"/>
            </w:tcBorders>
            <w:shd w:val="clear" w:color="auto" w:fill="auto"/>
            <w:vAlign w:val="bottom"/>
          </w:tcPr>
          <w:p w14:paraId="5B6D58E3" w14:textId="191EB497" w:rsidR="00B02B90" w:rsidRPr="00BF2624" w:rsidRDefault="00B02B90" w:rsidP="00B02B90">
            <w:pPr>
              <w:tabs>
                <w:tab w:val="right" w:pos="1202"/>
              </w:tabs>
              <w:spacing w:after="0" w:line="280" w:lineRule="exact"/>
              <w:jc w:val="right"/>
              <w:outlineLvl w:val="0"/>
              <w:rPr>
                <w:rFonts w:asciiTheme="minorHAnsi" w:eastAsia="Times New Roman" w:hAnsiTheme="minorHAnsi" w:cs="Arial"/>
                <w:b/>
                <w:bCs/>
                <w:sz w:val="18"/>
                <w:szCs w:val="18"/>
                <w:lang w:val="hr-HR"/>
              </w:rPr>
            </w:pPr>
            <w:r w:rsidRPr="00244D13">
              <w:rPr>
                <w:rFonts w:eastAsia="Times New Roman" w:cs="Arial"/>
                <w:sz w:val="18"/>
                <w:szCs w:val="18"/>
                <w:lang w:val="en-US"/>
              </w:rPr>
              <w:t>21</w:t>
            </w:r>
            <w:r>
              <w:rPr>
                <w:rFonts w:eastAsia="Times New Roman" w:cs="Arial"/>
                <w:sz w:val="18"/>
                <w:szCs w:val="18"/>
                <w:lang w:val="en-US"/>
              </w:rPr>
              <w:t>,</w:t>
            </w:r>
            <w:r w:rsidRPr="00244D13">
              <w:rPr>
                <w:rFonts w:eastAsia="Times New Roman" w:cs="Arial"/>
                <w:sz w:val="18"/>
                <w:szCs w:val="18"/>
                <w:lang w:val="en-US"/>
              </w:rPr>
              <w:t>026</w:t>
            </w:r>
          </w:p>
        </w:tc>
        <w:tc>
          <w:tcPr>
            <w:tcW w:w="751" w:type="pct"/>
            <w:tcBorders>
              <w:top w:val="nil"/>
              <w:left w:val="nil"/>
              <w:bottom w:val="nil"/>
              <w:right w:val="nil"/>
            </w:tcBorders>
            <w:shd w:val="clear" w:color="auto" w:fill="auto"/>
            <w:vAlign w:val="bottom"/>
          </w:tcPr>
          <w:p w14:paraId="0CF7DB67" w14:textId="4A02D242" w:rsidR="00B02B90" w:rsidRPr="00BF2624" w:rsidRDefault="00B02B90" w:rsidP="00B02B90">
            <w:pPr>
              <w:tabs>
                <w:tab w:val="right" w:pos="1202"/>
              </w:tabs>
              <w:spacing w:after="0" w:line="280" w:lineRule="exact"/>
              <w:jc w:val="right"/>
              <w:outlineLvl w:val="0"/>
              <w:rPr>
                <w:rFonts w:asciiTheme="minorHAnsi" w:eastAsia="Times New Roman" w:hAnsiTheme="minorHAnsi" w:cs="Arial"/>
                <w:bCs/>
                <w:sz w:val="18"/>
                <w:szCs w:val="18"/>
                <w:lang w:val="hr-HR"/>
              </w:rPr>
            </w:pPr>
            <w:r w:rsidRPr="00B4620E">
              <w:rPr>
                <w:rFonts w:eastAsia="Times New Roman" w:cs="Arial"/>
                <w:sz w:val="18"/>
                <w:szCs w:val="18"/>
                <w:lang w:val="en-US"/>
              </w:rPr>
              <w:t>-</w:t>
            </w:r>
          </w:p>
        </w:tc>
        <w:tc>
          <w:tcPr>
            <w:tcW w:w="750" w:type="pct"/>
            <w:tcBorders>
              <w:top w:val="nil"/>
              <w:left w:val="nil"/>
              <w:bottom w:val="nil"/>
              <w:right w:val="nil"/>
            </w:tcBorders>
            <w:shd w:val="clear" w:color="auto" w:fill="auto"/>
            <w:vAlign w:val="bottom"/>
          </w:tcPr>
          <w:p w14:paraId="1BA8B737" w14:textId="6948F9CD" w:rsidR="00B02B90" w:rsidRPr="00BF2624" w:rsidRDefault="00B02B90" w:rsidP="00B02B90">
            <w:pPr>
              <w:tabs>
                <w:tab w:val="right" w:pos="1202"/>
              </w:tabs>
              <w:spacing w:after="0" w:line="280" w:lineRule="exact"/>
              <w:jc w:val="right"/>
              <w:outlineLvl w:val="0"/>
              <w:rPr>
                <w:rFonts w:asciiTheme="minorHAnsi" w:eastAsia="Times New Roman" w:hAnsiTheme="minorHAnsi" w:cs="Arial"/>
                <w:bCs/>
                <w:sz w:val="18"/>
                <w:szCs w:val="18"/>
                <w:lang w:val="hr-HR"/>
              </w:rPr>
            </w:pPr>
            <w:r>
              <w:rPr>
                <w:rFonts w:eastAsia="Times New Roman" w:cs="Arial"/>
                <w:sz w:val="18"/>
                <w:szCs w:val="18"/>
                <w:lang w:val="en-US"/>
              </w:rPr>
              <w:t>-</w:t>
            </w:r>
          </w:p>
        </w:tc>
        <w:tc>
          <w:tcPr>
            <w:tcW w:w="751" w:type="pct"/>
            <w:tcBorders>
              <w:top w:val="nil"/>
              <w:left w:val="nil"/>
              <w:bottom w:val="nil"/>
              <w:right w:val="nil"/>
            </w:tcBorders>
            <w:shd w:val="clear" w:color="auto" w:fill="auto"/>
            <w:vAlign w:val="bottom"/>
          </w:tcPr>
          <w:p w14:paraId="328986AF" w14:textId="473A14C4" w:rsidR="00B02B90" w:rsidRPr="00BF2624" w:rsidRDefault="00B02B90" w:rsidP="00B02B90">
            <w:pPr>
              <w:tabs>
                <w:tab w:val="right" w:pos="1202"/>
              </w:tabs>
              <w:spacing w:after="0" w:line="280" w:lineRule="exact"/>
              <w:jc w:val="right"/>
              <w:outlineLvl w:val="0"/>
              <w:rPr>
                <w:rFonts w:asciiTheme="minorHAnsi" w:eastAsia="Times New Roman" w:hAnsiTheme="minorHAnsi" w:cs="Arial"/>
                <w:b/>
                <w:bCs/>
                <w:sz w:val="18"/>
                <w:szCs w:val="18"/>
                <w:lang w:val="hr-HR"/>
              </w:rPr>
            </w:pPr>
            <w:r w:rsidRPr="00244D13">
              <w:rPr>
                <w:rFonts w:eastAsia="Times New Roman" w:cs="Arial"/>
                <w:sz w:val="18"/>
                <w:szCs w:val="18"/>
                <w:lang w:val="en-US"/>
              </w:rPr>
              <w:t>21</w:t>
            </w:r>
            <w:r>
              <w:rPr>
                <w:rFonts w:eastAsia="Times New Roman" w:cs="Arial"/>
                <w:sz w:val="18"/>
                <w:szCs w:val="18"/>
                <w:lang w:val="en-US"/>
              </w:rPr>
              <w:t>,</w:t>
            </w:r>
            <w:r w:rsidRPr="00244D13">
              <w:rPr>
                <w:rFonts w:eastAsia="Times New Roman" w:cs="Arial"/>
                <w:sz w:val="18"/>
                <w:szCs w:val="18"/>
                <w:lang w:val="en-US"/>
              </w:rPr>
              <w:t>026</w:t>
            </w:r>
          </w:p>
        </w:tc>
      </w:tr>
      <w:tr w:rsidR="00B02B90" w:rsidRPr="00BF2624" w14:paraId="053AF951" w14:textId="77777777" w:rsidTr="00ED60F2">
        <w:trPr>
          <w:trHeight w:val="272"/>
          <w:jc w:val="center"/>
        </w:trPr>
        <w:tc>
          <w:tcPr>
            <w:tcW w:w="1997" w:type="pct"/>
            <w:vAlign w:val="bottom"/>
          </w:tcPr>
          <w:p w14:paraId="715CDB77" w14:textId="77777777" w:rsidR="00B02B90" w:rsidRPr="00BF2624" w:rsidRDefault="00B02B90" w:rsidP="00B02B90">
            <w:pPr>
              <w:tabs>
                <w:tab w:val="right" w:pos="1202"/>
              </w:tabs>
              <w:spacing w:after="0" w:line="240" w:lineRule="auto"/>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Issued guarantees in foreign currency</w:t>
            </w:r>
          </w:p>
        </w:tc>
        <w:tc>
          <w:tcPr>
            <w:tcW w:w="750" w:type="pct"/>
            <w:tcBorders>
              <w:top w:val="nil"/>
              <w:left w:val="nil"/>
              <w:bottom w:val="nil"/>
              <w:right w:val="nil"/>
            </w:tcBorders>
            <w:shd w:val="clear" w:color="auto" w:fill="auto"/>
            <w:vAlign w:val="bottom"/>
          </w:tcPr>
          <w:p w14:paraId="125C68DB" w14:textId="7E63EA7C" w:rsidR="00B02B90" w:rsidRPr="00BF2624" w:rsidRDefault="00B02B90" w:rsidP="00B02B90">
            <w:pPr>
              <w:tabs>
                <w:tab w:val="right" w:pos="1202"/>
              </w:tabs>
              <w:spacing w:after="0" w:line="280" w:lineRule="exact"/>
              <w:jc w:val="right"/>
              <w:outlineLvl w:val="0"/>
              <w:rPr>
                <w:rFonts w:asciiTheme="minorHAnsi" w:hAnsiTheme="minorHAnsi" w:cs="Arial"/>
                <w:sz w:val="18"/>
                <w:szCs w:val="18"/>
              </w:rPr>
            </w:pPr>
            <w:r w:rsidRPr="00244D13">
              <w:rPr>
                <w:rFonts w:eastAsia="Times New Roman" w:cs="Arial"/>
                <w:sz w:val="18"/>
                <w:szCs w:val="18"/>
                <w:lang w:val="en-US"/>
              </w:rPr>
              <w:t>2</w:t>
            </w:r>
            <w:r>
              <w:rPr>
                <w:rFonts w:eastAsia="Times New Roman" w:cs="Arial"/>
                <w:sz w:val="18"/>
                <w:szCs w:val="18"/>
                <w:lang w:val="en-US"/>
              </w:rPr>
              <w:t>,</w:t>
            </w:r>
            <w:r w:rsidRPr="00244D13">
              <w:rPr>
                <w:rFonts w:eastAsia="Times New Roman" w:cs="Arial"/>
                <w:sz w:val="18"/>
                <w:szCs w:val="18"/>
                <w:lang w:val="en-US"/>
              </w:rPr>
              <w:t>164</w:t>
            </w:r>
            <w:r>
              <w:rPr>
                <w:rFonts w:eastAsia="Times New Roman" w:cs="Arial"/>
                <w:sz w:val="18"/>
                <w:szCs w:val="18"/>
                <w:lang w:val="en-US"/>
              </w:rPr>
              <w:t>,</w:t>
            </w:r>
            <w:r w:rsidRPr="00244D13">
              <w:rPr>
                <w:rFonts w:eastAsia="Times New Roman" w:cs="Arial"/>
                <w:sz w:val="18"/>
                <w:szCs w:val="18"/>
                <w:lang w:val="en-US"/>
              </w:rPr>
              <w:t>257</w:t>
            </w:r>
          </w:p>
        </w:tc>
        <w:tc>
          <w:tcPr>
            <w:tcW w:w="751" w:type="pct"/>
            <w:tcBorders>
              <w:top w:val="nil"/>
              <w:left w:val="nil"/>
              <w:bottom w:val="nil"/>
              <w:right w:val="nil"/>
            </w:tcBorders>
            <w:shd w:val="clear" w:color="auto" w:fill="auto"/>
            <w:vAlign w:val="bottom"/>
          </w:tcPr>
          <w:p w14:paraId="7E2F6083" w14:textId="5A27947A" w:rsidR="00B02B90" w:rsidRPr="00BF2624" w:rsidRDefault="00B02B90" w:rsidP="00B02B90">
            <w:pPr>
              <w:tabs>
                <w:tab w:val="right" w:pos="1202"/>
              </w:tabs>
              <w:spacing w:after="0" w:line="280" w:lineRule="exact"/>
              <w:jc w:val="right"/>
              <w:outlineLvl w:val="0"/>
              <w:rPr>
                <w:rFonts w:asciiTheme="minorHAnsi" w:hAnsiTheme="minorHAnsi" w:cs="Arial"/>
                <w:sz w:val="18"/>
                <w:szCs w:val="18"/>
              </w:rPr>
            </w:pPr>
            <w:r>
              <w:rPr>
                <w:rFonts w:eastAsia="Times New Roman" w:cs="Arial"/>
                <w:sz w:val="18"/>
                <w:szCs w:val="18"/>
                <w:lang w:val="en-US"/>
              </w:rPr>
              <w:t>-</w:t>
            </w:r>
          </w:p>
        </w:tc>
        <w:tc>
          <w:tcPr>
            <w:tcW w:w="750" w:type="pct"/>
            <w:tcBorders>
              <w:top w:val="nil"/>
              <w:left w:val="nil"/>
              <w:bottom w:val="nil"/>
              <w:right w:val="nil"/>
            </w:tcBorders>
            <w:shd w:val="clear" w:color="auto" w:fill="auto"/>
            <w:vAlign w:val="bottom"/>
          </w:tcPr>
          <w:p w14:paraId="7A968250" w14:textId="13626C22" w:rsidR="00B02B90" w:rsidRPr="00BF2624" w:rsidRDefault="00B02B90" w:rsidP="00B02B90">
            <w:pPr>
              <w:tabs>
                <w:tab w:val="right" w:pos="1202"/>
              </w:tabs>
              <w:spacing w:after="0" w:line="280" w:lineRule="exact"/>
              <w:jc w:val="right"/>
              <w:outlineLvl w:val="0"/>
              <w:rPr>
                <w:rFonts w:asciiTheme="minorHAnsi" w:hAnsiTheme="minorHAnsi" w:cs="Arial"/>
                <w:sz w:val="18"/>
                <w:szCs w:val="18"/>
              </w:rPr>
            </w:pPr>
            <w:r w:rsidRPr="00244D13">
              <w:rPr>
                <w:rFonts w:eastAsia="Times New Roman" w:cs="Arial"/>
                <w:sz w:val="18"/>
                <w:szCs w:val="18"/>
                <w:lang w:val="en-US"/>
              </w:rPr>
              <w:t>27</w:t>
            </w:r>
            <w:r>
              <w:rPr>
                <w:rFonts w:eastAsia="Times New Roman" w:cs="Arial"/>
                <w:sz w:val="18"/>
                <w:szCs w:val="18"/>
                <w:lang w:val="en-US"/>
              </w:rPr>
              <w:t>,</w:t>
            </w:r>
            <w:r w:rsidRPr="00244D13">
              <w:rPr>
                <w:rFonts w:eastAsia="Times New Roman" w:cs="Arial"/>
                <w:sz w:val="18"/>
                <w:szCs w:val="18"/>
                <w:lang w:val="en-US"/>
              </w:rPr>
              <w:t>359</w:t>
            </w:r>
          </w:p>
        </w:tc>
        <w:tc>
          <w:tcPr>
            <w:tcW w:w="751" w:type="pct"/>
            <w:tcBorders>
              <w:top w:val="nil"/>
              <w:left w:val="nil"/>
              <w:bottom w:val="nil"/>
              <w:right w:val="nil"/>
            </w:tcBorders>
            <w:shd w:val="clear" w:color="auto" w:fill="auto"/>
            <w:vAlign w:val="bottom"/>
          </w:tcPr>
          <w:p w14:paraId="7B1239A9" w14:textId="63053540" w:rsidR="00B02B90" w:rsidRPr="00BF2624" w:rsidRDefault="00B02B90" w:rsidP="00B02B90">
            <w:pPr>
              <w:tabs>
                <w:tab w:val="right" w:pos="1202"/>
              </w:tabs>
              <w:spacing w:after="0" w:line="280" w:lineRule="exact"/>
              <w:jc w:val="right"/>
              <w:outlineLvl w:val="0"/>
              <w:rPr>
                <w:rFonts w:asciiTheme="minorHAnsi" w:hAnsiTheme="minorHAnsi" w:cs="Arial"/>
                <w:sz w:val="18"/>
                <w:szCs w:val="18"/>
              </w:rPr>
            </w:pPr>
            <w:r w:rsidRPr="00244D13">
              <w:rPr>
                <w:rFonts w:eastAsia="Times New Roman" w:cs="Arial"/>
                <w:sz w:val="18"/>
                <w:szCs w:val="18"/>
                <w:lang w:val="en-US"/>
              </w:rPr>
              <w:t>2</w:t>
            </w:r>
            <w:r>
              <w:rPr>
                <w:rFonts w:eastAsia="Times New Roman" w:cs="Arial"/>
                <w:sz w:val="18"/>
                <w:szCs w:val="18"/>
                <w:lang w:val="en-US"/>
              </w:rPr>
              <w:t>,</w:t>
            </w:r>
            <w:r w:rsidRPr="00244D13">
              <w:rPr>
                <w:rFonts w:eastAsia="Times New Roman" w:cs="Arial"/>
                <w:sz w:val="18"/>
                <w:szCs w:val="18"/>
                <w:lang w:val="en-US"/>
              </w:rPr>
              <w:t>191</w:t>
            </w:r>
            <w:r>
              <w:rPr>
                <w:rFonts w:eastAsia="Times New Roman" w:cs="Arial"/>
                <w:sz w:val="18"/>
                <w:szCs w:val="18"/>
                <w:lang w:val="en-US"/>
              </w:rPr>
              <w:t>,</w:t>
            </w:r>
            <w:r w:rsidRPr="00244D13">
              <w:rPr>
                <w:rFonts w:eastAsia="Times New Roman" w:cs="Arial"/>
                <w:sz w:val="18"/>
                <w:szCs w:val="18"/>
                <w:lang w:val="en-US"/>
              </w:rPr>
              <w:t>616</w:t>
            </w:r>
          </w:p>
        </w:tc>
      </w:tr>
      <w:tr w:rsidR="00B02B90" w:rsidRPr="00BF2624" w14:paraId="3CED5296" w14:textId="77777777" w:rsidTr="00ED60F2">
        <w:trPr>
          <w:trHeight w:val="272"/>
          <w:jc w:val="center"/>
        </w:trPr>
        <w:tc>
          <w:tcPr>
            <w:tcW w:w="1997" w:type="pct"/>
            <w:vAlign w:val="bottom"/>
          </w:tcPr>
          <w:p w14:paraId="427B41B6" w14:textId="77777777" w:rsidR="00B02B90" w:rsidRPr="00BF2624" w:rsidRDefault="00B02B90" w:rsidP="00B02B90">
            <w:pPr>
              <w:tabs>
                <w:tab w:val="right" w:pos="1202"/>
              </w:tabs>
              <w:spacing w:after="0" w:line="240" w:lineRule="auto"/>
              <w:outlineLvl w:val="0"/>
              <w:rPr>
                <w:rFonts w:asciiTheme="minorHAnsi" w:eastAsia="Times New Roman" w:hAnsiTheme="minorHAnsi" w:cs="Arial"/>
                <w:sz w:val="18"/>
                <w:szCs w:val="18"/>
              </w:rPr>
            </w:pPr>
            <w:r>
              <w:rPr>
                <w:rFonts w:asciiTheme="minorHAnsi" w:eastAsia="Times New Roman" w:hAnsiTheme="minorHAnsi" w:cs="Arial"/>
                <w:sz w:val="18"/>
                <w:szCs w:val="18"/>
              </w:rPr>
              <w:t>Open letters of credit in foreign currency</w:t>
            </w:r>
          </w:p>
        </w:tc>
        <w:tc>
          <w:tcPr>
            <w:tcW w:w="750" w:type="pct"/>
            <w:tcBorders>
              <w:top w:val="nil"/>
              <w:left w:val="nil"/>
              <w:bottom w:val="nil"/>
              <w:right w:val="nil"/>
            </w:tcBorders>
            <w:shd w:val="clear" w:color="auto" w:fill="auto"/>
            <w:vAlign w:val="bottom"/>
          </w:tcPr>
          <w:p w14:paraId="0D94C02E" w14:textId="632D8CB9" w:rsidR="00B02B90" w:rsidRPr="00BF2624" w:rsidRDefault="00B02B90" w:rsidP="00B02B90">
            <w:pPr>
              <w:tabs>
                <w:tab w:val="right" w:pos="1202"/>
              </w:tabs>
              <w:spacing w:after="0" w:line="280" w:lineRule="exact"/>
              <w:jc w:val="right"/>
              <w:outlineLvl w:val="0"/>
              <w:rPr>
                <w:rFonts w:asciiTheme="minorHAnsi" w:hAnsiTheme="minorHAnsi" w:cs="Arial"/>
                <w:sz w:val="18"/>
                <w:szCs w:val="18"/>
              </w:rPr>
            </w:pPr>
            <w:r w:rsidRPr="00244D13">
              <w:rPr>
                <w:rFonts w:eastAsia="Times New Roman" w:cs="Arial"/>
                <w:sz w:val="18"/>
                <w:szCs w:val="18"/>
                <w:lang w:val="en-US"/>
              </w:rPr>
              <w:t>990</w:t>
            </w:r>
          </w:p>
        </w:tc>
        <w:tc>
          <w:tcPr>
            <w:tcW w:w="751" w:type="pct"/>
            <w:tcBorders>
              <w:top w:val="nil"/>
              <w:left w:val="nil"/>
              <w:bottom w:val="nil"/>
              <w:right w:val="nil"/>
            </w:tcBorders>
            <w:shd w:val="clear" w:color="auto" w:fill="auto"/>
            <w:vAlign w:val="bottom"/>
          </w:tcPr>
          <w:p w14:paraId="1E9D6F1E" w14:textId="657C8F6A" w:rsidR="00B02B90" w:rsidRPr="00BF2624" w:rsidRDefault="00B02B90" w:rsidP="00B02B90">
            <w:pPr>
              <w:tabs>
                <w:tab w:val="right" w:pos="1202"/>
              </w:tabs>
              <w:spacing w:after="0" w:line="280" w:lineRule="exact"/>
              <w:jc w:val="right"/>
              <w:outlineLvl w:val="0"/>
              <w:rPr>
                <w:rFonts w:asciiTheme="minorHAnsi" w:hAnsiTheme="minorHAnsi" w:cs="Arial"/>
                <w:sz w:val="18"/>
                <w:szCs w:val="18"/>
              </w:rPr>
            </w:pPr>
            <w:r>
              <w:rPr>
                <w:rFonts w:eastAsia="Times New Roman" w:cs="Arial"/>
                <w:sz w:val="18"/>
                <w:szCs w:val="18"/>
                <w:lang w:val="en-US"/>
              </w:rPr>
              <w:t>-</w:t>
            </w:r>
          </w:p>
        </w:tc>
        <w:tc>
          <w:tcPr>
            <w:tcW w:w="750" w:type="pct"/>
            <w:tcBorders>
              <w:top w:val="nil"/>
              <w:left w:val="nil"/>
              <w:bottom w:val="nil"/>
              <w:right w:val="nil"/>
            </w:tcBorders>
            <w:shd w:val="clear" w:color="auto" w:fill="auto"/>
            <w:vAlign w:val="bottom"/>
          </w:tcPr>
          <w:p w14:paraId="18BC938A" w14:textId="7696B929" w:rsidR="00B02B90" w:rsidRPr="00BF2624" w:rsidRDefault="00B02B90" w:rsidP="00B02B90">
            <w:pPr>
              <w:tabs>
                <w:tab w:val="right" w:pos="1202"/>
              </w:tabs>
              <w:spacing w:after="0" w:line="280" w:lineRule="exact"/>
              <w:jc w:val="right"/>
              <w:outlineLvl w:val="0"/>
              <w:rPr>
                <w:rFonts w:asciiTheme="minorHAnsi" w:hAnsiTheme="minorHAnsi" w:cs="Arial"/>
                <w:sz w:val="18"/>
                <w:szCs w:val="18"/>
              </w:rPr>
            </w:pPr>
            <w:r>
              <w:rPr>
                <w:rFonts w:eastAsia="Times New Roman" w:cs="Arial"/>
                <w:sz w:val="18"/>
                <w:szCs w:val="18"/>
                <w:lang w:val="en-US"/>
              </w:rPr>
              <w:t>-</w:t>
            </w:r>
          </w:p>
        </w:tc>
        <w:tc>
          <w:tcPr>
            <w:tcW w:w="751" w:type="pct"/>
            <w:tcBorders>
              <w:top w:val="nil"/>
              <w:left w:val="nil"/>
              <w:bottom w:val="nil"/>
              <w:right w:val="nil"/>
            </w:tcBorders>
            <w:shd w:val="clear" w:color="auto" w:fill="auto"/>
            <w:vAlign w:val="bottom"/>
          </w:tcPr>
          <w:p w14:paraId="1574CD1B" w14:textId="42871AC6" w:rsidR="00B02B90" w:rsidRPr="00BF2624" w:rsidRDefault="00B02B90" w:rsidP="00B02B90">
            <w:pPr>
              <w:tabs>
                <w:tab w:val="right" w:pos="1202"/>
              </w:tabs>
              <w:spacing w:after="0" w:line="280" w:lineRule="exact"/>
              <w:jc w:val="right"/>
              <w:outlineLvl w:val="0"/>
              <w:rPr>
                <w:rFonts w:asciiTheme="minorHAnsi" w:hAnsiTheme="minorHAnsi" w:cs="Arial"/>
                <w:sz w:val="18"/>
                <w:szCs w:val="18"/>
              </w:rPr>
            </w:pPr>
            <w:r w:rsidRPr="00244D13">
              <w:rPr>
                <w:rFonts w:eastAsia="Times New Roman" w:cs="Arial"/>
                <w:sz w:val="18"/>
                <w:szCs w:val="18"/>
                <w:lang w:val="en-US"/>
              </w:rPr>
              <w:t>990</w:t>
            </w:r>
          </w:p>
        </w:tc>
      </w:tr>
      <w:tr w:rsidR="00B02B90" w:rsidRPr="00BF2624" w14:paraId="765FB7A0" w14:textId="77777777" w:rsidTr="00ED60F2">
        <w:trPr>
          <w:trHeight w:val="297"/>
          <w:jc w:val="center"/>
        </w:trPr>
        <w:tc>
          <w:tcPr>
            <w:tcW w:w="1997" w:type="pct"/>
            <w:vAlign w:val="bottom"/>
          </w:tcPr>
          <w:p w14:paraId="77860CCC" w14:textId="77777777" w:rsidR="00B02B90" w:rsidRPr="00BF2624" w:rsidRDefault="00B02B90" w:rsidP="00B02B90">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Undrawn loans</w:t>
            </w:r>
          </w:p>
        </w:tc>
        <w:tc>
          <w:tcPr>
            <w:tcW w:w="750" w:type="pct"/>
            <w:tcBorders>
              <w:top w:val="nil"/>
              <w:left w:val="nil"/>
              <w:bottom w:val="nil"/>
              <w:right w:val="nil"/>
            </w:tcBorders>
            <w:shd w:val="clear" w:color="auto" w:fill="auto"/>
            <w:vAlign w:val="bottom"/>
          </w:tcPr>
          <w:p w14:paraId="6CA5D2D0" w14:textId="56517B11" w:rsidR="00B02B90" w:rsidRPr="00BF2624" w:rsidRDefault="00B02B90" w:rsidP="00B02B90">
            <w:pPr>
              <w:tabs>
                <w:tab w:val="right" w:pos="1202"/>
              </w:tabs>
              <w:spacing w:after="0" w:line="280" w:lineRule="exact"/>
              <w:jc w:val="right"/>
              <w:outlineLvl w:val="0"/>
              <w:rPr>
                <w:rFonts w:asciiTheme="minorHAnsi" w:hAnsiTheme="minorHAnsi" w:cs="Arial"/>
                <w:sz w:val="18"/>
                <w:szCs w:val="18"/>
              </w:rPr>
            </w:pPr>
            <w:r w:rsidRPr="00244D13">
              <w:rPr>
                <w:rFonts w:eastAsia="Times New Roman" w:cs="Arial"/>
                <w:sz w:val="18"/>
                <w:szCs w:val="18"/>
                <w:lang w:val="en-US"/>
              </w:rPr>
              <w:t>3</w:t>
            </w:r>
            <w:r>
              <w:rPr>
                <w:rFonts w:eastAsia="Times New Roman" w:cs="Arial"/>
                <w:sz w:val="18"/>
                <w:szCs w:val="18"/>
                <w:lang w:val="en-US"/>
              </w:rPr>
              <w:t>,</w:t>
            </w:r>
            <w:r w:rsidRPr="00244D13">
              <w:rPr>
                <w:rFonts w:eastAsia="Times New Roman" w:cs="Arial"/>
                <w:sz w:val="18"/>
                <w:szCs w:val="18"/>
                <w:lang w:val="en-US"/>
              </w:rPr>
              <w:t>333</w:t>
            </w:r>
            <w:r>
              <w:rPr>
                <w:rFonts w:eastAsia="Times New Roman" w:cs="Arial"/>
                <w:sz w:val="18"/>
                <w:szCs w:val="18"/>
                <w:lang w:val="en-US"/>
              </w:rPr>
              <w:t>,</w:t>
            </w:r>
            <w:r w:rsidRPr="00244D13">
              <w:rPr>
                <w:rFonts w:eastAsia="Times New Roman" w:cs="Arial"/>
                <w:sz w:val="18"/>
                <w:szCs w:val="18"/>
                <w:lang w:val="en-US"/>
              </w:rPr>
              <w:t>766</w:t>
            </w:r>
          </w:p>
        </w:tc>
        <w:tc>
          <w:tcPr>
            <w:tcW w:w="751" w:type="pct"/>
            <w:tcBorders>
              <w:top w:val="nil"/>
              <w:left w:val="nil"/>
              <w:bottom w:val="nil"/>
              <w:right w:val="nil"/>
            </w:tcBorders>
            <w:shd w:val="clear" w:color="auto" w:fill="auto"/>
            <w:vAlign w:val="bottom"/>
          </w:tcPr>
          <w:p w14:paraId="30955433" w14:textId="0EEB1A57" w:rsidR="00B02B90" w:rsidRPr="00BF2624" w:rsidRDefault="00B02B90" w:rsidP="00B02B90">
            <w:pPr>
              <w:tabs>
                <w:tab w:val="right" w:pos="1202"/>
              </w:tabs>
              <w:spacing w:after="0" w:line="280" w:lineRule="exact"/>
              <w:jc w:val="right"/>
              <w:outlineLvl w:val="0"/>
              <w:rPr>
                <w:rFonts w:asciiTheme="minorHAnsi" w:hAnsiTheme="minorHAnsi" w:cs="Arial"/>
                <w:sz w:val="18"/>
                <w:szCs w:val="18"/>
              </w:rPr>
            </w:pPr>
            <w:r>
              <w:rPr>
                <w:rFonts w:eastAsia="Times New Roman" w:cs="Arial"/>
                <w:sz w:val="18"/>
                <w:szCs w:val="18"/>
                <w:lang w:val="en-US"/>
              </w:rPr>
              <w:t>-</w:t>
            </w:r>
          </w:p>
        </w:tc>
        <w:tc>
          <w:tcPr>
            <w:tcW w:w="750" w:type="pct"/>
            <w:tcBorders>
              <w:top w:val="nil"/>
              <w:left w:val="nil"/>
              <w:bottom w:val="nil"/>
              <w:right w:val="nil"/>
            </w:tcBorders>
            <w:shd w:val="clear" w:color="auto" w:fill="auto"/>
            <w:vAlign w:val="bottom"/>
          </w:tcPr>
          <w:p w14:paraId="6BCBEBE3" w14:textId="35A60313" w:rsidR="00B02B90" w:rsidRPr="00BF2624" w:rsidRDefault="00B02B90" w:rsidP="00B02B90">
            <w:pPr>
              <w:tabs>
                <w:tab w:val="right" w:pos="1202"/>
              </w:tabs>
              <w:spacing w:after="0" w:line="280" w:lineRule="exact"/>
              <w:jc w:val="right"/>
              <w:outlineLvl w:val="0"/>
              <w:rPr>
                <w:rFonts w:asciiTheme="minorHAnsi" w:hAnsiTheme="minorHAnsi" w:cs="Arial"/>
                <w:sz w:val="18"/>
                <w:szCs w:val="18"/>
              </w:rPr>
            </w:pPr>
            <w:r w:rsidRPr="00244D13">
              <w:rPr>
                <w:rFonts w:eastAsia="Times New Roman" w:cs="Arial"/>
                <w:sz w:val="18"/>
                <w:szCs w:val="18"/>
                <w:lang w:val="en-US"/>
              </w:rPr>
              <w:t>2</w:t>
            </w:r>
            <w:r>
              <w:rPr>
                <w:rFonts w:eastAsia="Times New Roman" w:cs="Arial"/>
                <w:sz w:val="18"/>
                <w:szCs w:val="18"/>
                <w:lang w:val="en-US"/>
              </w:rPr>
              <w:t>,</w:t>
            </w:r>
            <w:r w:rsidRPr="00244D13">
              <w:rPr>
                <w:rFonts w:eastAsia="Times New Roman" w:cs="Arial"/>
                <w:sz w:val="18"/>
                <w:szCs w:val="18"/>
                <w:lang w:val="en-US"/>
              </w:rPr>
              <w:t>513</w:t>
            </w:r>
          </w:p>
        </w:tc>
        <w:tc>
          <w:tcPr>
            <w:tcW w:w="751" w:type="pct"/>
            <w:tcBorders>
              <w:top w:val="nil"/>
              <w:left w:val="nil"/>
              <w:bottom w:val="nil"/>
              <w:right w:val="nil"/>
            </w:tcBorders>
            <w:shd w:val="clear" w:color="auto" w:fill="auto"/>
            <w:vAlign w:val="bottom"/>
          </w:tcPr>
          <w:p w14:paraId="0925489F" w14:textId="3C66EEF5" w:rsidR="00B02B90" w:rsidRPr="00BF2624" w:rsidRDefault="00B02B90" w:rsidP="00B02B90">
            <w:pPr>
              <w:tabs>
                <w:tab w:val="right" w:pos="1202"/>
              </w:tabs>
              <w:spacing w:after="0" w:line="280" w:lineRule="exact"/>
              <w:jc w:val="right"/>
              <w:outlineLvl w:val="0"/>
              <w:rPr>
                <w:rFonts w:asciiTheme="minorHAnsi" w:hAnsiTheme="minorHAnsi" w:cs="Arial"/>
                <w:sz w:val="18"/>
                <w:szCs w:val="18"/>
              </w:rPr>
            </w:pPr>
            <w:r w:rsidRPr="00244D13">
              <w:rPr>
                <w:rFonts w:eastAsia="Times New Roman" w:cs="Arial"/>
                <w:sz w:val="18"/>
                <w:szCs w:val="18"/>
                <w:lang w:val="en-US"/>
              </w:rPr>
              <w:t>3</w:t>
            </w:r>
            <w:r>
              <w:rPr>
                <w:rFonts w:eastAsia="Times New Roman" w:cs="Arial"/>
                <w:sz w:val="18"/>
                <w:szCs w:val="18"/>
                <w:lang w:val="en-US"/>
              </w:rPr>
              <w:t>,</w:t>
            </w:r>
            <w:r w:rsidRPr="00244D13">
              <w:rPr>
                <w:rFonts w:eastAsia="Times New Roman" w:cs="Arial"/>
                <w:sz w:val="18"/>
                <w:szCs w:val="18"/>
                <w:lang w:val="en-US"/>
              </w:rPr>
              <w:t>336</w:t>
            </w:r>
            <w:r>
              <w:rPr>
                <w:rFonts w:eastAsia="Times New Roman" w:cs="Arial"/>
                <w:sz w:val="18"/>
                <w:szCs w:val="18"/>
                <w:lang w:val="en-US"/>
              </w:rPr>
              <w:t>,</w:t>
            </w:r>
            <w:r w:rsidRPr="00244D13">
              <w:rPr>
                <w:rFonts w:eastAsia="Times New Roman" w:cs="Arial"/>
                <w:sz w:val="18"/>
                <w:szCs w:val="18"/>
                <w:lang w:val="en-US"/>
              </w:rPr>
              <w:t>279</w:t>
            </w:r>
          </w:p>
        </w:tc>
      </w:tr>
      <w:tr w:rsidR="00B02B90" w:rsidRPr="00BF2624" w14:paraId="0693753E" w14:textId="77777777" w:rsidTr="006B318F">
        <w:trPr>
          <w:trHeight w:val="260"/>
          <w:jc w:val="center"/>
        </w:trPr>
        <w:tc>
          <w:tcPr>
            <w:tcW w:w="1997" w:type="pct"/>
            <w:vAlign w:val="bottom"/>
          </w:tcPr>
          <w:p w14:paraId="51147A59" w14:textId="77777777" w:rsidR="00B02B90" w:rsidRPr="00BF2624" w:rsidRDefault="00B02B90" w:rsidP="00B02B90">
            <w:pPr>
              <w:tabs>
                <w:tab w:val="right" w:pos="1202"/>
              </w:tabs>
              <w:spacing w:after="0" w:line="280" w:lineRule="exact"/>
              <w:outlineLvl w:val="0"/>
              <w:rPr>
                <w:rFonts w:asciiTheme="minorHAnsi" w:eastAsia="Times New Roman" w:hAnsiTheme="minorHAnsi" w:cs="Arial"/>
                <w:bCs/>
                <w:color w:val="FF0000"/>
                <w:sz w:val="18"/>
                <w:szCs w:val="18"/>
              </w:rPr>
            </w:pPr>
            <w:r w:rsidRPr="00BF2624">
              <w:rPr>
                <w:rFonts w:asciiTheme="minorHAnsi" w:eastAsia="Times New Roman" w:hAnsiTheme="minorHAnsi" w:cs="Arial"/>
                <w:bCs/>
                <w:sz w:val="18"/>
                <w:szCs w:val="18"/>
              </w:rPr>
              <w:t>Other irrevocable contingent liabilities</w:t>
            </w:r>
          </w:p>
        </w:tc>
        <w:tc>
          <w:tcPr>
            <w:tcW w:w="750" w:type="pct"/>
            <w:tcBorders>
              <w:top w:val="nil"/>
              <w:left w:val="nil"/>
              <w:bottom w:val="single" w:sz="8" w:space="0" w:color="auto"/>
              <w:right w:val="nil"/>
            </w:tcBorders>
            <w:shd w:val="clear" w:color="auto" w:fill="auto"/>
            <w:vAlign w:val="bottom"/>
          </w:tcPr>
          <w:p w14:paraId="19A680AD" w14:textId="53E9F04A" w:rsidR="00B02B90" w:rsidRPr="00BF2624" w:rsidRDefault="00B02B90" w:rsidP="00B02B90">
            <w:pPr>
              <w:tabs>
                <w:tab w:val="right" w:pos="1202"/>
              </w:tabs>
              <w:spacing w:after="0" w:line="280" w:lineRule="exact"/>
              <w:jc w:val="right"/>
              <w:outlineLvl w:val="0"/>
              <w:rPr>
                <w:rFonts w:asciiTheme="minorHAnsi" w:hAnsiTheme="minorHAnsi" w:cs="Arial"/>
                <w:bCs/>
                <w:sz w:val="18"/>
                <w:szCs w:val="18"/>
              </w:rPr>
            </w:pPr>
            <w:r w:rsidRPr="00244D13">
              <w:rPr>
                <w:rFonts w:eastAsia="Times New Roman" w:cs="Arial"/>
                <w:sz w:val="18"/>
                <w:szCs w:val="18"/>
                <w:lang w:val="en-US"/>
              </w:rPr>
              <w:t>335</w:t>
            </w:r>
          </w:p>
        </w:tc>
        <w:tc>
          <w:tcPr>
            <w:tcW w:w="751" w:type="pct"/>
            <w:tcBorders>
              <w:top w:val="nil"/>
              <w:left w:val="nil"/>
              <w:bottom w:val="single" w:sz="6" w:space="0" w:color="auto"/>
              <w:right w:val="nil"/>
            </w:tcBorders>
            <w:shd w:val="clear" w:color="auto" w:fill="auto"/>
            <w:vAlign w:val="bottom"/>
          </w:tcPr>
          <w:p w14:paraId="23A3263F" w14:textId="50B42511" w:rsidR="00B02B90" w:rsidRPr="00BF2624" w:rsidRDefault="00B02B90" w:rsidP="00B02B90">
            <w:pPr>
              <w:tabs>
                <w:tab w:val="right" w:pos="1202"/>
              </w:tabs>
              <w:spacing w:after="0" w:line="280" w:lineRule="exact"/>
              <w:jc w:val="right"/>
              <w:outlineLvl w:val="0"/>
              <w:rPr>
                <w:rFonts w:asciiTheme="minorHAnsi" w:hAnsiTheme="minorHAnsi" w:cs="Arial"/>
                <w:bCs/>
                <w:sz w:val="18"/>
                <w:szCs w:val="18"/>
              </w:rPr>
            </w:pPr>
            <w:r w:rsidRPr="00B4620E">
              <w:rPr>
                <w:rFonts w:eastAsia="Times New Roman" w:cs="Arial"/>
                <w:sz w:val="18"/>
                <w:szCs w:val="18"/>
                <w:lang w:val="en-US"/>
              </w:rPr>
              <w:t>-</w:t>
            </w:r>
          </w:p>
        </w:tc>
        <w:tc>
          <w:tcPr>
            <w:tcW w:w="750" w:type="pct"/>
            <w:tcBorders>
              <w:top w:val="nil"/>
              <w:left w:val="nil"/>
              <w:bottom w:val="single" w:sz="6" w:space="0" w:color="auto"/>
              <w:right w:val="nil"/>
            </w:tcBorders>
            <w:shd w:val="clear" w:color="auto" w:fill="auto"/>
            <w:vAlign w:val="bottom"/>
          </w:tcPr>
          <w:p w14:paraId="44FEF79C" w14:textId="29FEE361" w:rsidR="00B02B90" w:rsidRPr="00BF2624" w:rsidRDefault="00B02B90" w:rsidP="00B02B90">
            <w:pPr>
              <w:tabs>
                <w:tab w:val="right" w:pos="1202"/>
              </w:tabs>
              <w:spacing w:after="0" w:line="280" w:lineRule="exact"/>
              <w:jc w:val="right"/>
              <w:outlineLvl w:val="0"/>
              <w:rPr>
                <w:rFonts w:asciiTheme="minorHAnsi" w:hAnsiTheme="minorHAnsi" w:cs="Arial"/>
                <w:bCs/>
                <w:sz w:val="18"/>
                <w:szCs w:val="18"/>
              </w:rPr>
            </w:pPr>
            <w:r>
              <w:rPr>
                <w:rFonts w:eastAsia="Times New Roman" w:cs="Arial"/>
                <w:sz w:val="18"/>
                <w:szCs w:val="18"/>
                <w:lang w:val="en-US"/>
              </w:rPr>
              <w:t>-</w:t>
            </w:r>
          </w:p>
        </w:tc>
        <w:tc>
          <w:tcPr>
            <w:tcW w:w="751" w:type="pct"/>
            <w:tcBorders>
              <w:top w:val="nil"/>
              <w:left w:val="nil"/>
              <w:bottom w:val="single" w:sz="8" w:space="0" w:color="auto"/>
              <w:right w:val="nil"/>
            </w:tcBorders>
            <w:shd w:val="clear" w:color="auto" w:fill="auto"/>
            <w:vAlign w:val="bottom"/>
          </w:tcPr>
          <w:p w14:paraId="046DE268" w14:textId="3265D0CA" w:rsidR="00B02B90" w:rsidRPr="00BF2624" w:rsidRDefault="00B02B90" w:rsidP="00B02B90">
            <w:pPr>
              <w:tabs>
                <w:tab w:val="right" w:pos="1202"/>
              </w:tabs>
              <w:spacing w:after="0" w:line="280" w:lineRule="exact"/>
              <w:jc w:val="right"/>
              <w:outlineLvl w:val="0"/>
              <w:rPr>
                <w:rFonts w:asciiTheme="minorHAnsi" w:hAnsiTheme="minorHAnsi" w:cs="Arial"/>
                <w:bCs/>
                <w:sz w:val="18"/>
                <w:szCs w:val="18"/>
              </w:rPr>
            </w:pPr>
            <w:r w:rsidRPr="00244D13">
              <w:rPr>
                <w:rFonts w:eastAsia="Times New Roman" w:cs="Arial"/>
                <w:sz w:val="18"/>
                <w:szCs w:val="18"/>
                <w:lang w:val="en-US"/>
              </w:rPr>
              <w:t>335</w:t>
            </w:r>
          </w:p>
        </w:tc>
      </w:tr>
      <w:tr w:rsidR="00B02B90" w:rsidRPr="00BF2624" w14:paraId="1D9B7EC3" w14:textId="77777777" w:rsidTr="006B318F">
        <w:trPr>
          <w:trHeight w:val="272"/>
          <w:jc w:val="center"/>
        </w:trPr>
        <w:tc>
          <w:tcPr>
            <w:tcW w:w="1997" w:type="pct"/>
            <w:vAlign w:val="bottom"/>
          </w:tcPr>
          <w:p w14:paraId="62058D9C" w14:textId="77777777" w:rsidR="00B02B90" w:rsidRPr="00BF2624" w:rsidRDefault="00B02B90" w:rsidP="00B02B90">
            <w:pPr>
              <w:tabs>
                <w:tab w:val="right" w:pos="1202"/>
              </w:tabs>
              <w:spacing w:after="0" w:line="280" w:lineRule="exact"/>
              <w:outlineLvl w:val="0"/>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 xml:space="preserve">Total </w:t>
            </w:r>
          </w:p>
        </w:tc>
        <w:tc>
          <w:tcPr>
            <w:tcW w:w="750" w:type="pct"/>
            <w:tcBorders>
              <w:top w:val="single" w:sz="4" w:space="0" w:color="auto"/>
              <w:left w:val="nil"/>
              <w:bottom w:val="single" w:sz="12" w:space="0" w:color="auto"/>
              <w:right w:val="nil"/>
            </w:tcBorders>
            <w:shd w:val="clear" w:color="auto" w:fill="auto"/>
            <w:vAlign w:val="bottom"/>
          </w:tcPr>
          <w:p w14:paraId="0A167B75" w14:textId="0DDD2133" w:rsidR="00B02B90" w:rsidRPr="00BF2624" w:rsidRDefault="00B02B90" w:rsidP="00B02B90">
            <w:pPr>
              <w:tabs>
                <w:tab w:val="right" w:pos="1202"/>
              </w:tabs>
              <w:spacing w:after="0" w:line="280" w:lineRule="exact"/>
              <w:jc w:val="right"/>
              <w:outlineLvl w:val="0"/>
              <w:rPr>
                <w:rFonts w:asciiTheme="minorHAnsi" w:hAnsiTheme="minorHAnsi" w:cs="Arial"/>
                <w:b/>
                <w:bCs/>
                <w:sz w:val="18"/>
                <w:szCs w:val="18"/>
              </w:rPr>
            </w:pPr>
            <w:r w:rsidRPr="00244D13">
              <w:rPr>
                <w:rFonts w:eastAsia="Times New Roman" w:cs="Arial"/>
                <w:b/>
                <w:sz w:val="18"/>
                <w:szCs w:val="18"/>
                <w:lang w:val="en-US"/>
              </w:rPr>
              <w:t>5</w:t>
            </w:r>
            <w:r>
              <w:rPr>
                <w:rFonts w:eastAsia="Times New Roman" w:cs="Arial"/>
                <w:b/>
                <w:sz w:val="18"/>
                <w:szCs w:val="18"/>
                <w:lang w:val="en-US"/>
              </w:rPr>
              <w:t>,</w:t>
            </w:r>
            <w:r w:rsidRPr="00244D13">
              <w:rPr>
                <w:rFonts w:eastAsia="Times New Roman" w:cs="Arial"/>
                <w:b/>
                <w:sz w:val="18"/>
                <w:szCs w:val="18"/>
                <w:lang w:val="en-US"/>
              </w:rPr>
              <w:t>520</w:t>
            </w:r>
            <w:r>
              <w:rPr>
                <w:rFonts w:eastAsia="Times New Roman" w:cs="Arial"/>
                <w:b/>
                <w:sz w:val="18"/>
                <w:szCs w:val="18"/>
                <w:lang w:val="en-US"/>
              </w:rPr>
              <w:t>,</w:t>
            </w:r>
            <w:r w:rsidRPr="00244D13">
              <w:rPr>
                <w:rFonts w:eastAsia="Times New Roman" w:cs="Arial"/>
                <w:b/>
                <w:sz w:val="18"/>
                <w:szCs w:val="18"/>
                <w:lang w:val="en-US"/>
              </w:rPr>
              <w:t>374</w:t>
            </w:r>
          </w:p>
        </w:tc>
        <w:tc>
          <w:tcPr>
            <w:tcW w:w="751" w:type="pct"/>
            <w:tcBorders>
              <w:top w:val="single" w:sz="6" w:space="0" w:color="auto"/>
              <w:left w:val="nil"/>
              <w:bottom w:val="single" w:sz="12" w:space="0" w:color="auto"/>
              <w:right w:val="nil"/>
            </w:tcBorders>
            <w:shd w:val="clear" w:color="auto" w:fill="auto"/>
            <w:vAlign w:val="bottom"/>
          </w:tcPr>
          <w:p w14:paraId="1B8AEC8E" w14:textId="774F60EA" w:rsidR="00B02B90" w:rsidRPr="00BF2624" w:rsidRDefault="00B02B90" w:rsidP="00B02B90">
            <w:pPr>
              <w:tabs>
                <w:tab w:val="right" w:pos="1202"/>
              </w:tabs>
              <w:spacing w:after="0" w:line="280" w:lineRule="exact"/>
              <w:jc w:val="right"/>
              <w:outlineLvl w:val="0"/>
              <w:rPr>
                <w:rFonts w:asciiTheme="minorHAnsi" w:hAnsiTheme="minorHAnsi" w:cs="Arial"/>
                <w:b/>
                <w:bCs/>
                <w:sz w:val="18"/>
                <w:szCs w:val="18"/>
              </w:rPr>
            </w:pPr>
            <w:r>
              <w:rPr>
                <w:rFonts w:eastAsia="Times New Roman" w:cs="Arial"/>
                <w:b/>
                <w:sz w:val="18"/>
                <w:szCs w:val="18"/>
                <w:lang w:val="en-US"/>
              </w:rPr>
              <w:t>-</w:t>
            </w:r>
          </w:p>
        </w:tc>
        <w:tc>
          <w:tcPr>
            <w:tcW w:w="750" w:type="pct"/>
            <w:tcBorders>
              <w:top w:val="single" w:sz="6" w:space="0" w:color="auto"/>
              <w:left w:val="nil"/>
              <w:bottom w:val="single" w:sz="12" w:space="0" w:color="auto"/>
              <w:right w:val="nil"/>
            </w:tcBorders>
            <w:shd w:val="clear" w:color="auto" w:fill="auto"/>
            <w:vAlign w:val="bottom"/>
          </w:tcPr>
          <w:p w14:paraId="3BA1CE24" w14:textId="4D5E5CBB" w:rsidR="00B02B90" w:rsidRPr="00BF2624" w:rsidRDefault="00B02B90" w:rsidP="00B02B90">
            <w:pPr>
              <w:tabs>
                <w:tab w:val="right" w:pos="1202"/>
              </w:tabs>
              <w:spacing w:after="0" w:line="280" w:lineRule="exact"/>
              <w:jc w:val="right"/>
              <w:outlineLvl w:val="0"/>
              <w:rPr>
                <w:rFonts w:asciiTheme="minorHAnsi" w:hAnsiTheme="minorHAnsi" w:cs="Arial"/>
                <w:b/>
                <w:bCs/>
                <w:sz w:val="18"/>
                <w:szCs w:val="18"/>
              </w:rPr>
            </w:pPr>
            <w:r w:rsidRPr="00244D13">
              <w:rPr>
                <w:rFonts w:eastAsia="Times New Roman" w:cs="Arial"/>
                <w:b/>
                <w:sz w:val="18"/>
                <w:szCs w:val="18"/>
                <w:lang w:val="en-US"/>
              </w:rPr>
              <w:t>29</w:t>
            </w:r>
            <w:r>
              <w:rPr>
                <w:rFonts w:eastAsia="Times New Roman" w:cs="Arial"/>
                <w:b/>
                <w:sz w:val="18"/>
                <w:szCs w:val="18"/>
                <w:lang w:val="en-US"/>
              </w:rPr>
              <w:t>,</w:t>
            </w:r>
            <w:r w:rsidRPr="00244D13">
              <w:rPr>
                <w:rFonts w:eastAsia="Times New Roman" w:cs="Arial"/>
                <w:b/>
                <w:sz w:val="18"/>
                <w:szCs w:val="18"/>
                <w:lang w:val="en-US"/>
              </w:rPr>
              <w:t>872</w:t>
            </w:r>
          </w:p>
        </w:tc>
        <w:tc>
          <w:tcPr>
            <w:tcW w:w="751" w:type="pct"/>
            <w:tcBorders>
              <w:top w:val="nil"/>
              <w:left w:val="nil"/>
              <w:bottom w:val="single" w:sz="12" w:space="0" w:color="auto"/>
              <w:right w:val="nil"/>
            </w:tcBorders>
            <w:shd w:val="clear" w:color="auto" w:fill="auto"/>
            <w:vAlign w:val="bottom"/>
          </w:tcPr>
          <w:p w14:paraId="496E0AA7" w14:textId="2FC88C10" w:rsidR="00B02B90" w:rsidRPr="00BF2624" w:rsidRDefault="00B02B90" w:rsidP="00B02B90">
            <w:pPr>
              <w:tabs>
                <w:tab w:val="right" w:pos="1202"/>
              </w:tabs>
              <w:spacing w:after="0" w:line="280" w:lineRule="exact"/>
              <w:jc w:val="right"/>
              <w:outlineLvl w:val="0"/>
              <w:rPr>
                <w:rFonts w:asciiTheme="minorHAnsi" w:hAnsiTheme="minorHAnsi" w:cs="Arial"/>
                <w:b/>
                <w:bCs/>
                <w:sz w:val="18"/>
                <w:szCs w:val="18"/>
              </w:rPr>
            </w:pPr>
            <w:r w:rsidRPr="00244D13">
              <w:rPr>
                <w:rFonts w:eastAsia="Times New Roman" w:cs="Arial"/>
                <w:b/>
                <w:sz w:val="18"/>
                <w:szCs w:val="18"/>
                <w:lang w:val="en-US"/>
              </w:rPr>
              <w:t>5</w:t>
            </w:r>
            <w:r>
              <w:rPr>
                <w:rFonts w:eastAsia="Times New Roman" w:cs="Arial"/>
                <w:b/>
                <w:sz w:val="18"/>
                <w:szCs w:val="18"/>
                <w:lang w:val="en-US"/>
              </w:rPr>
              <w:t>,</w:t>
            </w:r>
            <w:r w:rsidRPr="00244D13">
              <w:rPr>
                <w:rFonts w:eastAsia="Times New Roman" w:cs="Arial"/>
                <w:b/>
                <w:sz w:val="18"/>
                <w:szCs w:val="18"/>
                <w:lang w:val="en-US"/>
              </w:rPr>
              <w:t>550</w:t>
            </w:r>
            <w:r>
              <w:rPr>
                <w:rFonts w:eastAsia="Times New Roman" w:cs="Arial"/>
                <w:b/>
                <w:sz w:val="18"/>
                <w:szCs w:val="18"/>
                <w:lang w:val="en-US"/>
              </w:rPr>
              <w:t>,</w:t>
            </w:r>
            <w:r w:rsidRPr="00244D13">
              <w:rPr>
                <w:rFonts w:eastAsia="Times New Roman" w:cs="Arial"/>
                <w:b/>
                <w:sz w:val="18"/>
                <w:szCs w:val="18"/>
                <w:lang w:val="en-US"/>
              </w:rPr>
              <w:t>246</w:t>
            </w:r>
          </w:p>
        </w:tc>
      </w:tr>
      <w:tr w:rsidR="00B02B90" w:rsidRPr="00BF2624" w14:paraId="48DAEF29" w14:textId="77777777" w:rsidTr="005444AA">
        <w:trPr>
          <w:trHeight w:val="285"/>
          <w:jc w:val="center"/>
        </w:trPr>
        <w:tc>
          <w:tcPr>
            <w:tcW w:w="1997" w:type="pct"/>
            <w:vAlign w:val="bottom"/>
          </w:tcPr>
          <w:p w14:paraId="715ACD5D" w14:textId="77777777" w:rsidR="00B02B90" w:rsidRPr="00BF2624" w:rsidRDefault="00B02B90" w:rsidP="00B02B90">
            <w:pPr>
              <w:tabs>
                <w:tab w:val="right" w:pos="1202"/>
              </w:tabs>
              <w:spacing w:after="0" w:line="280" w:lineRule="exact"/>
              <w:outlineLvl w:val="0"/>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Total credit risk exposure</w:t>
            </w:r>
          </w:p>
        </w:tc>
        <w:tc>
          <w:tcPr>
            <w:tcW w:w="750" w:type="pct"/>
            <w:tcBorders>
              <w:top w:val="nil"/>
              <w:left w:val="nil"/>
              <w:bottom w:val="single" w:sz="12" w:space="0" w:color="auto"/>
              <w:right w:val="nil"/>
            </w:tcBorders>
            <w:shd w:val="clear" w:color="auto" w:fill="auto"/>
            <w:vAlign w:val="bottom"/>
          </w:tcPr>
          <w:p w14:paraId="43855069" w14:textId="20122351" w:rsidR="00B02B90" w:rsidRPr="00BF2624" w:rsidRDefault="00B02B90" w:rsidP="00B02B90">
            <w:pPr>
              <w:tabs>
                <w:tab w:val="right" w:pos="1202"/>
              </w:tabs>
              <w:spacing w:after="0" w:line="280" w:lineRule="exact"/>
              <w:jc w:val="right"/>
              <w:outlineLvl w:val="0"/>
              <w:rPr>
                <w:rFonts w:asciiTheme="minorHAnsi" w:hAnsiTheme="minorHAnsi" w:cs="Arial"/>
                <w:b/>
                <w:bCs/>
                <w:sz w:val="18"/>
                <w:szCs w:val="18"/>
              </w:rPr>
            </w:pPr>
            <w:r w:rsidRPr="00244D13">
              <w:rPr>
                <w:rFonts w:eastAsia="Times New Roman" w:cs="Arial"/>
                <w:b/>
                <w:sz w:val="18"/>
                <w:szCs w:val="18"/>
                <w:lang w:val="en-US"/>
              </w:rPr>
              <w:t>31</w:t>
            </w:r>
            <w:r>
              <w:rPr>
                <w:rFonts w:eastAsia="Times New Roman" w:cs="Arial"/>
                <w:b/>
                <w:sz w:val="18"/>
                <w:szCs w:val="18"/>
                <w:lang w:val="en-US"/>
              </w:rPr>
              <w:t>,</w:t>
            </w:r>
            <w:r w:rsidRPr="00244D13">
              <w:rPr>
                <w:rFonts w:eastAsia="Times New Roman" w:cs="Arial"/>
                <w:b/>
                <w:sz w:val="18"/>
                <w:szCs w:val="18"/>
                <w:lang w:val="en-US"/>
              </w:rPr>
              <w:t>535</w:t>
            </w:r>
            <w:r>
              <w:rPr>
                <w:rFonts w:eastAsia="Times New Roman" w:cs="Arial"/>
                <w:b/>
                <w:sz w:val="18"/>
                <w:szCs w:val="18"/>
                <w:lang w:val="en-US"/>
              </w:rPr>
              <w:t>,</w:t>
            </w:r>
            <w:r w:rsidRPr="00244D13">
              <w:rPr>
                <w:rFonts w:eastAsia="Times New Roman" w:cs="Arial"/>
                <w:b/>
                <w:sz w:val="18"/>
                <w:szCs w:val="18"/>
                <w:lang w:val="en-US"/>
              </w:rPr>
              <w:t>995</w:t>
            </w:r>
          </w:p>
        </w:tc>
        <w:tc>
          <w:tcPr>
            <w:tcW w:w="751" w:type="pct"/>
            <w:tcBorders>
              <w:top w:val="nil"/>
              <w:left w:val="nil"/>
              <w:bottom w:val="single" w:sz="12" w:space="0" w:color="auto"/>
              <w:right w:val="nil"/>
            </w:tcBorders>
            <w:shd w:val="clear" w:color="auto" w:fill="auto"/>
            <w:vAlign w:val="bottom"/>
          </w:tcPr>
          <w:p w14:paraId="6C6AAE13" w14:textId="7C158361" w:rsidR="00B02B90" w:rsidRPr="00BF2624" w:rsidRDefault="00B02B90" w:rsidP="00B02B90">
            <w:pPr>
              <w:tabs>
                <w:tab w:val="right" w:pos="1202"/>
              </w:tabs>
              <w:spacing w:after="0" w:line="280" w:lineRule="exact"/>
              <w:jc w:val="right"/>
              <w:outlineLvl w:val="0"/>
              <w:rPr>
                <w:rFonts w:asciiTheme="minorHAnsi" w:hAnsiTheme="minorHAnsi" w:cs="Arial"/>
                <w:b/>
                <w:bCs/>
                <w:sz w:val="18"/>
                <w:szCs w:val="18"/>
              </w:rPr>
            </w:pPr>
            <w:r w:rsidRPr="00244D13">
              <w:rPr>
                <w:rFonts w:eastAsia="Times New Roman" w:cs="Arial"/>
                <w:b/>
                <w:sz w:val="18"/>
                <w:szCs w:val="18"/>
                <w:lang w:val="en-US"/>
              </w:rPr>
              <w:t>467</w:t>
            </w:r>
            <w:r>
              <w:rPr>
                <w:rFonts w:eastAsia="Times New Roman" w:cs="Arial"/>
                <w:b/>
                <w:sz w:val="18"/>
                <w:szCs w:val="18"/>
                <w:lang w:val="en-US"/>
              </w:rPr>
              <w:t>,</w:t>
            </w:r>
            <w:r w:rsidRPr="00244D13">
              <w:rPr>
                <w:rFonts w:eastAsia="Times New Roman" w:cs="Arial"/>
                <w:b/>
                <w:sz w:val="18"/>
                <w:szCs w:val="18"/>
                <w:lang w:val="en-US"/>
              </w:rPr>
              <w:t>917</w:t>
            </w:r>
          </w:p>
        </w:tc>
        <w:tc>
          <w:tcPr>
            <w:tcW w:w="750" w:type="pct"/>
            <w:tcBorders>
              <w:top w:val="nil"/>
              <w:left w:val="nil"/>
              <w:bottom w:val="single" w:sz="12" w:space="0" w:color="auto"/>
              <w:right w:val="nil"/>
            </w:tcBorders>
            <w:shd w:val="clear" w:color="auto" w:fill="auto"/>
            <w:vAlign w:val="bottom"/>
          </w:tcPr>
          <w:p w14:paraId="53A4F840" w14:textId="1E4BFCA9" w:rsidR="00B02B90" w:rsidRPr="00BF2624" w:rsidRDefault="00B02B90" w:rsidP="00B02B90">
            <w:pPr>
              <w:tabs>
                <w:tab w:val="right" w:pos="1202"/>
              </w:tabs>
              <w:spacing w:after="0" w:line="280" w:lineRule="exact"/>
              <w:jc w:val="right"/>
              <w:outlineLvl w:val="0"/>
              <w:rPr>
                <w:rFonts w:asciiTheme="minorHAnsi" w:hAnsiTheme="minorHAnsi" w:cs="Arial"/>
                <w:b/>
                <w:bCs/>
                <w:sz w:val="18"/>
                <w:szCs w:val="18"/>
              </w:rPr>
            </w:pPr>
            <w:r w:rsidRPr="00244D13">
              <w:rPr>
                <w:rFonts w:eastAsia="Times New Roman" w:cs="Arial"/>
                <w:b/>
                <w:sz w:val="18"/>
                <w:szCs w:val="18"/>
                <w:lang w:val="en-US"/>
              </w:rPr>
              <w:t>1</w:t>
            </w:r>
            <w:r>
              <w:rPr>
                <w:rFonts w:eastAsia="Times New Roman" w:cs="Arial"/>
                <w:b/>
                <w:sz w:val="18"/>
                <w:szCs w:val="18"/>
                <w:lang w:val="en-US"/>
              </w:rPr>
              <w:t>,</w:t>
            </w:r>
            <w:r w:rsidRPr="00244D13">
              <w:rPr>
                <w:rFonts w:eastAsia="Times New Roman" w:cs="Arial"/>
                <w:b/>
                <w:sz w:val="18"/>
                <w:szCs w:val="18"/>
                <w:lang w:val="en-US"/>
              </w:rPr>
              <w:t>726</w:t>
            </w:r>
            <w:r>
              <w:rPr>
                <w:rFonts w:eastAsia="Times New Roman" w:cs="Arial"/>
                <w:b/>
                <w:sz w:val="18"/>
                <w:szCs w:val="18"/>
                <w:lang w:val="en-US"/>
              </w:rPr>
              <w:t>,</w:t>
            </w:r>
            <w:r w:rsidRPr="00244D13">
              <w:rPr>
                <w:rFonts w:eastAsia="Times New Roman" w:cs="Arial"/>
                <w:b/>
                <w:sz w:val="18"/>
                <w:szCs w:val="18"/>
                <w:lang w:val="en-US"/>
              </w:rPr>
              <w:t>290</w:t>
            </w:r>
          </w:p>
        </w:tc>
        <w:tc>
          <w:tcPr>
            <w:tcW w:w="751" w:type="pct"/>
            <w:tcBorders>
              <w:top w:val="nil"/>
              <w:left w:val="nil"/>
              <w:bottom w:val="single" w:sz="12" w:space="0" w:color="auto"/>
              <w:right w:val="nil"/>
            </w:tcBorders>
            <w:shd w:val="clear" w:color="auto" w:fill="auto"/>
            <w:vAlign w:val="bottom"/>
          </w:tcPr>
          <w:p w14:paraId="7AD49812" w14:textId="4DB955B4" w:rsidR="00B02B90" w:rsidRPr="00BF2624" w:rsidRDefault="00B02B90" w:rsidP="00B02B90">
            <w:pPr>
              <w:tabs>
                <w:tab w:val="right" w:pos="1202"/>
              </w:tabs>
              <w:spacing w:after="0" w:line="280" w:lineRule="exact"/>
              <w:jc w:val="right"/>
              <w:outlineLvl w:val="0"/>
              <w:rPr>
                <w:rFonts w:asciiTheme="minorHAnsi" w:hAnsiTheme="minorHAnsi" w:cs="Arial"/>
                <w:b/>
                <w:bCs/>
                <w:sz w:val="18"/>
                <w:szCs w:val="18"/>
              </w:rPr>
            </w:pPr>
            <w:r w:rsidRPr="00244D13">
              <w:rPr>
                <w:rFonts w:eastAsia="Times New Roman" w:cs="Arial"/>
                <w:b/>
                <w:sz w:val="18"/>
                <w:szCs w:val="18"/>
                <w:lang w:val="en-US"/>
              </w:rPr>
              <w:t>33</w:t>
            </w:r>
            <w:r>
              <w:rPr>
                <w:rFonts w:eastAsia="Times New Roman" w:cs="Arial"/>
                <w:b/>
                <w:sz w:val="18"/>
                <w:szCs w:val="18"/>
                <w:lang w:val="en-US"/>
              </w:rPr>
              <w:t>,</w:t>
            </w:r>
            <w:r w:rsidRPr="00244D13">
              <w:rPr>
                <w:rFonts w:eastAsia="Times New Roman" w:cs="Arial"/>
                <w:b/>
                <w:sz w:val="18"/>
                <w:szCs w:val="18"/>
                <w:lang w:val="en-US"/>
              </w:rPr>
              <w:t>730</w:t>
            </w:r>
            <w:r>
              <w:rPr>
                <w:rFonts w:eastAsia="Times New Roman" w:cs="Arial"/>
                <w:b/>
                <w:sz w:val="18"/>
                <w:szCs w:val="18"/>
                <w:lang w:val="en-US"/>
              </w:rPr>
              <w:t>,</w:t>
            </w:r>
            <w:r w:rsidRPr="00244D13">
              <w:rPr>
                <w:rFonts w:eastAsia="Times New Roman" w:cs="Arial"/>
                <w:b/>
                <w:sz w:val="18"/>
                <w:szCs w:val="18"/>
                <w:lang w:val="en-US"/>
              </w:rPr>
              <w:t>202</w:t>
            </w:r>
          </w:p>
        </w:tc>
      </w:tr>
      <w:tr w:rsidR="00ED60F2" w:rsidRPr="00BF2624" w14:paraId="617F8D9D" w14:textId="77777777" w:rsidTr="00ED60F2">
        <w:trPr>
          <w:trHeight w:val="107"/>
          <w:jc w:val="center"/>
        </w:trPr>
        <w:tc>
          <w:tcPr>
            <w:tcW w:w="1997" w:type="pct"/>
          </w:tcPr>
          <w:p w14:paraId="1215E538" w14:textId="77777777" w:rsidR="00ED60F2" w:rsidRPr="00BF2624" w:rsidRDefault="00ED60F2" w:rsidP="00ED60F2">
            <w:pPr>
              <w:keepNext/>
              <w:keepLines/>
              <w:tabs>
                <w:tab w:val="decimal" w:pos="1202"/>
              </w:tabs>
              <w:spacing w:after="0" w:line="100" w:lineRule="exact"/>
              <w:rPr>
                <w:rFonts w:asciiTheme="minorHAnsi" w:eastAsia="Times New Roman" w:hAnsiTheme="minorHAnsi" w:cs="Arial"/>
                <w:b/>
                <w:position w:val="4"/>
                <w:sz w:val="18"/>
                <w:szCs w:val="18"/>
                <w:u w:val="thick"/>
              </w:rPr>
            </w:pPr>
          </w:p>
        </w:tc>
        <w:tc>
          <w:tcPr>
            <w:tcW w:w="750" w:type="pct"/>
            <w:tcBorders>
              <w:top w:val="single" w:sz="12" w:space="0" w:color="auto"/>
            </w:tcBorders>
            <w:vAlign w:val="bottom"/>
          </w:tcPr>
          <w:p w14:paraId="6D074957" w14:textId="77777777" w:rsidR="00ED60F2" w:rsidRPr="00BF2624" w:rsidRDefault="00ED60F2" w:rsidP="00ED60F2">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rPr>
            </w:pPr>
          </w:p>
        </w:tc>
        <w:tc>
          <w:tcPr>
            <w:tcW w:w="751" w:type="pct"/>
            <w:tcBorders>
              <w:top w:val="single" w:sz="12" w:space="0" w:color="auto"/>
            </w:tcBorders>
            <w:vAlign w:val="bottom"/>
          </w:tcPr>
          <w:p w14:paraId="4B95910E" w14:textId="77777777" w:rsidR="00ED60F2" w:rsidRPr="00BF2624" w:rsidRDefault="00ED60F2" w:rsidP="00ED60F2">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rPr>
            </w:pPr>
          </w:p>
        </w:tc>
        <w:tc>
          <w:tcPr>
            <w:tcW w:w="750" w:type="pct"/>
            <w:tcBorders>
              <w:top w:val="single" w:sz="12" w:space="0" w:color="auto"/>
            </w:tcBorders>
            <w:vAlign w:val="bottom"/>
          </w:tcPr>
          <w:p w14:paraId="43EAA911" w14:textId="77777777" w:rsidR="00ED60F2" w:rsidRPr="00BF2624" w:rsidRDefault="00ED60F2" w:rsidP="00ED60F2">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rPr>
            </w:pPr>
          </w:p>
        </w:tc>
        <w:tc>
          <w:tcPr>
            <w:tcW w:w="751" w:type="pct"/>
            <w:tcBorders>
              <w:top w:val="single" w:sz="12" w:space="0" w:color="auto"/>
            </w:tcBorders>
            <w:vAlign w:val="bottom"/>
          </w:tcPr>
          <w:p w14:paraId="1C64C8FF" w14:textId="77777777" w:rsidR="00ED60F2" w:rsidRPr="00BF2624" w:rsidRDefault="00ED60F2" w:rsidP="00ED60F2">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rPr>
            </w:pPr>
          </w:p>
        </w:tc>
      </w:tr>
    </w:tbl>
    <w:p w14:paraId="7568BBF7" w14:textId="77777777" w:rsidR="009702B0" w:rsidRPr="009702B0" w:rsidRDefault="009702B0" w:rsidP="009702B0">
      <w:pPr>
        <w:jc w:val="both"/>
        <w:rPr>
          <w:highlight w:val="yellow"/>
        </w:rPr>
        <w:sectPr w:rsidR="009702B0" w:rsidRPr="009702B0" w:rsidSect="00947CB7">
          <w:footerReference w:type="first" r:id="rId92"/>
          <w:pgSz w:w="11906" w:h="16838" w:code="9"/>
          <w:pgMar w:top="1418" w:right="1418" w:bottom="595" w:left="1134" w:header="709" w:footer="709" w:gutter="0"/>
          <w:cols w:space="708"/>
          <w:titlePg/>
          <w:docGrid w:linePitch="360"/>
        </w:sectPr>
      </w:pPr>
    </w:p>
    <w:p w14:paraId="4DFFDD34" w14:textId="77777777" w:rsidR="009702B0" w:rsidRPr="009702B0" w:rsidRDefault="009702B0" w:rsidP="009702B0">
      <w:pPr>
        <w:keepNext/>
        <w:spacing w:after="0" w:line="240" w:lineRule="auto"/>
        <w:jc w:val="both"/>
        <w:rPr>
          <w:rFonts w:eastAsia="Times New Roman" w:cs="Arial"/>
          <w:b/>
          <w:bCs/>
        </w:rPr>
      </w:pPr>
    </w:p>
    <w:p w14:paraId="6BD5F213"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00011FEA">
        <w:rPr>
          <w:rFonts w:eastAsia="Times New Roman" w:cs="Arial"/>
          <w:b/>
          <w:bCs/>
        </w:rPr>
        <w:t>.</w:t>
      </w:r>
      <w:r w:rsidRPr="009702B0">
        <w:rPr>
          <w:rFonts w:eastAsia="Times New Roman" w:cs="Arial"/>
          <w:b/>
          <w:bCs/>
        </w:rPr>
        <w:tab/>
        <w:t>Risk management (continued)</w:t>
      </w:r>
    </w:p>
    <w:p w14:paraId="09B4A91C" w14:textId="77777777" w:rsidR="009702B0" w:rsidRPr="009702B0" w:rsidRDefault="009702B0" w:rsidP="009702B0">
      <w:pPr>
        <w:keepNext/>
        <w:spacing w:after="0" w:line="240" w:lineRule="auto"/>
        <w:jc w:val="both"/>
        <w:rPr>
          <w:rFonts w:eastAsia="Times New Roman" w:cs="Arial"/>
          <w:b/>
          <w:bCs/>
        </w:rPr>
      </w:pPr>
    </w:p>
    <w:p w14:paraId="72C8415B"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00011FEA">
        <w:rPr>
          <w:rFonts w:eastAsia="Times New Roman" w:cs="Arial"/>
          <w:b/>
          <w:bCs/>
        </w:rPr>
        <w:t>.</w:t>
      </w:r>
      <w:r w:rsidRPr="009702B0">
        <w:rPr>
          <w:rFonts w:eastAsia="Times New Roman" w:cs="Arial"/>
          <w:b/>
          <w:bCs/>
        </w:rPr>
        <w:t>2</w:t>
      </w:r>
      <w:r w:rsidR="00011FEA">
        <w:rPr>
          <w:rFonts w:eastAsia="Times New Roman" w:cs="Arial"/>
          <w:b/>
          <w:bCs/>
        </w:rPr>
        <w:t>.</w:t>
      </w:r>
      <w:r w:rsidRPr="009702B0">
        <w:rPr>
          <w:rFonts w:eastAsia="Times New Roman" w:cs="Arial"/>
          <w:b/>
          <w:bCs/>
        </w:rPr>
        <w:t xml:space="preserve"> </w:t>
      </w:r>
      <w:r w:rsidRPr="009702B0">
        <w:rPr>
          <w:rFonts w:eastAsia="Times New Roman" w:cs="Arial"/>
          <w:b/>
          <w:bCs/>
        </w:rPr>
        <w:tab/>
        <w:t>Credit risk (continued)</w:t>
      </w:r>
    </w:p>
    <w:p w14:paraId="07802404" w14:textId="77777777" w:rsidR="009702B0" w:rsidRPr="009702B0" w:rsidRDefault="009702B0" w:rsidP="009702B0">
      <w:pPr>
        <w:keepNext/>
        <w:spacing w:after="0" w:line="240" w:lineRule="auto"/>
        <w:jc w:val="both"/>
        <w:rPr>
          <w:rFonts w:eastAsia="Times New Roman" w:cs="Arial"/>
          <w:b/>
          <w:bCs/>
        </w:rPr>
      </w:pPr>
    </w:p>
    <w:p w14:paraId="59F26CEB"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Credit risk quality according to type of financial assets (continued)</w:t>
      </w:r>
    </w:p>
    <w:p w14:paraId="44494771" w14:textId="77777777" w:rsidR="009702B0" w:rsidRPr="009702B0" w:rsidRDefault="009702B0" w:rsidP="009702B0">
      <w:pPr>
        <w:keepNext/>
        <w:spacing w:after="0" w:line="240" w:lineRule="auto"/>
        <w:jc w:val="both"/>
        <w:rPr>
          <w:rFonts w:eastAsia="Times New Roman" w:cs="Arial"/>
          <w:b/>
          <w:bCs/>
        </w:rPr>
      </w:pPr>
    </w:p>
    <w:p w14:paraId="4A468C3F" w14:textId="77777777" w:rsidR="009702B0" w:rsidRDefault="009702B0" w:rsidP="009702B0">
      <w:pPr>
        <w:spacing w:after="0" w:line="240" w:lineRule="auto"/>
        <w:jc w:val="both"/>
        <w:rPr>
          <w:rFonts w:cs="Arial"/>
          <w:sz w:val="20"/>
          <w:szCs w:val="20"/>
        </w:rPr>
      </w:pPr>
      <w:r w:rsidRPr="009702B0">
        <w:rPr>
          <w:rFonts w:cs="Arial"/>
          <w:sz w:val="20"/>
          <w:szCs w:val="20"/>
        </w:rPr>
        <w:t>Credit risk quality according to the gross exposure of the type of financial assets on positions of assets and guarantees and commitments by risk category (continued):</w:t>
      </w:r>
    </w:p>
    <w:p w14:paraId="0F7F30B2" w14:textId="77777777" w:rsidR="00BF2624" w:rsidRPr="009702B0" w:rsidRDefault="00BF2624" w:rsidP="009702B0">
      <w:pPr>
        <w:spacing w:after="0" w:line="240" w:lineRule="auto"/>
        <w:jc w:val="both"/>
        <w:rPr>
          <w:rFonts w:cs="Arial"/>
          <w:sz w:val="20"/>
          <w:szCs w:val="20"/>
        </w:rPr>
      </w:pPr>
    </w:p>
    <w:tbl>
      <w:tblPr>
        <w:tblW w:w="5000" w:type="pct"/>
        <w:jc w:val="center"/>
        <w:tblLayout w:type="fixed"/>
        <w:tblLook w:val="0000" w:firstRow="0" w:lastRow="0" w:firstColumn="0" w:lastColumn="0" w:noHBand="0" w:noVBand="0"/>
      </w:tblPr>
      <w:tblGrid>
        <w:gridCol w:w="3709"/>
        <w:gridCol w:w="1411"/>
        <w:gridCol w:w="1412"/>
        <w:gridCol w:w="1411"/>
        <w:gridCol w:w="1411"/>
      </w:tblGrid>
      <w:tr w:rsidR="00BF2624" w:rsidRPr="00BF2624" w14:paraId="7CBEF123" w14:textId="77777777" w:rsidTr="00BF2624">
        <w:trPr>
          <w:trHeight w:val="1210"/>
          <w:jc w:val="center"/>
        </w:trPr>
        <w:tc>
          <w:tcPr>
            <w:tcW w:w="1983" w:type="pct"/>
          </w:tcPr>
          <w:p w14:paraId="1D7BCE0B" w14:textId="77777777" w:rsidR="00BF2624" w:rsidRPr="00BF2624" w:rsidRDefault="00BF2624" w:rsidP="00BF2624">
            <w:pPr>
              <w:spacing w:after="0" w:line="240" w:lineRule="auto"/>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Group</w:t>
            </w:r>
          </w:p>
          <w:p w14:paraId="319C4A5F" w14:textId="77777777" w:rsidR="00BF2624" w:rsidRPr="00BF2624" w:rsidRDefault="00BF2624" w:rsidP="00BF2624">
            <w:pPr>
              <w:spacing w:after="0" w:line="240" w:lineRule="auto"/>
              <w:rPr>
                <w:rFonts w:asciiTheme="minorHAnsi" w:eastAsia="Times New Roman" w:hAnsiTheme="minorHAnsi" w:cs="Arial"/>
                <w:b/>
                <w:bCs/>
                <w:sz w:val="18"/>
                <w:szCs w:val="18"/>
              </w:rPr>
            </w:pPr>
          </w:p>
          <w:p w14:paraId="53DDF833" w14:textId="77777777" w:rsidR="00BF2624" w:rsidRPr="00BF2624" w:rsidRDefault="00BF2624" w:rsidP="00BF2624">
            <w:pPr>
              <w:spacing w:after="0" w:line="240" w:lineRule="auto"/>
              <w:rPr>
                <w:rFonts w:asciiTheme="minorHAnsi" w:eastAsia="Times New Roman" w:hAnsiTheme="minorHAnsi" w:cs="Arial"/>
                <w:b/>
                <w:bCs/>
                <w:sz w:val="18"/>
                <w:szCs w:val="18"/>
              </w:rPr>
            </w:pPr>
          </w:p>
          <w:p w14:paraId="0587A6A1" w14:textId="77777777" w:rsidR="00BF2624" w:rsidRPr="00BF2624" w:rsidRDefault="00BF2624" w:rsidP="00BF2624">
            <w:pPr>
              <w:spacing w:after="0" w:line="240" w:lineRule="auto"/>
              <w:rPr>
                <w:rFonts w:asciiTheme="minorHAnsi" w:eastAsia="Times New Roman" w:hAnsiTheme="minorHAnsi" w:cs="Arial"/>
                <w:b/>
                <w:bCs/>
                <w:sz w:val="18"/>
                <w:szCs w:val="18"/>
              </w:rPr>
            </w:pPr>
          </w:p>
          <w:p w14:paraId="401029C2" w14:textId="77777777" w:rsidR="00BF2624" w:rsidRPr="00BF2624" w:rsidRDefault="00BF2624" w:rsidP="00BF2624">
            <w:pPr>
              <w:spacing w:after="0" w:line="240" w:lineRule="auto"/>
              <w:rPr>
                <w:rFonts w:asciiTheme="minorHAnsi" w:eastAsia="Times New Roman" w:hAnsiTheme="minorHAnsi" w:cs="Arial"/>
                <w:sz w:val="18"/>
                <w:szCs w:val="18"/>
              </w:rPr>
            </w:pPr>
            <w:r>
              <w:rPr>
                <w:rFonts w:asciiTheme="minorHAnsi" w:eastAsia="Times New Roman" w:hAnsiTheme="minorHAnsi" w:cs="Arial"/>
                <w:b/>
                <w:bCs/>
                <w:sz w:val="18"/>
                <w:szCs w:val="18"/>
              </w:rPr>
              <w:t xml:space="preserve">Dec 31, </w:t>
            </w:r>
            <w:r w:rsidRPr="00BF2624">
              <w:rPr>
                <w:rFonts w:asciiTheme="minorHAnsi" w:eastAsia="Times New Roman" w:hAnsiTheme="minorHAnsi" w:cs="Arial"/>
                <w:b/>
                <w:bCs/>
                <w:sz w:val="18"/>
                <w:szCs w:val="18"/>
              </w:rPr>
              <w:t>2016</w:t>
            </w:r>
          </w:p>
        </w:tc>
        <w:tc>
          <w:tcPr>
            <w:tcW w:w="754" w:type="pct"/>
          </w:tcPr>
          <w:p w14:paraId="471EC4F4"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Gross </w:t>
            </w:r>
          </w:p>
          <w:p w14:paraId="02769771"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exposure neither past due nor impaired</w:t>
            </w:r>
          </w:p>
        </w:tc>
        <w:tc>
          <w:tcPr>
            <w:tcW w:w="755" w:type="pct"/>
          </w:tcPr>
          <w:p w14:paraId="1A9C7284"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Gross </w:t>
            </w:r>
          </w:p>
          <w:p w14:paraId="7EE1E8B9"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exposure </w:t>
            </w:r>
          </w:p>
          <w:p w14:paraId="3BAA0FF2"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past </w:t>
            </w:r>
          </w:p>
          <w:p w14:paraId="063291CE"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due not </w:t>
            </w:r>
          </w:p>
          <w:p w14:paraId="5D104BF9"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impaired</w:t>
            </w:r>
          </w:p>
          <w:p w14:paraId="553F7BE1" w14:textId="77777777" w:rsidR="00BF2624" w:rsidRPr="00BF2624" w:rsidRDefault="00BF2624" w:rsidP="00BF2624">
            <w:pPr>
              <w:spacing w:after="0" w:line="240" w:lineRule="auto"/>
              <w:jc w:val="right"/>
              <w:rPr>
                <w:rFonts w:asciiTheme="minorHAnsi" w:eastAsia="Times New Roman" w:hAnsiTheme="minorHAnsi" w:cs="Arial"/>
                <w:b/>
                <w:sz w:val="18"/>
                <w:szCs w:val="18"/>
              </w:rPr>
            </w:pPr>
          </w:p>
        </w:tc>
        <w:tc>
          <w:tcPr>
            <w:tcW w:w="754" w:type="pct"/>
          </w:tcPr>
          <w:p w14:paraId="7F803A34"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Gross </w:t>
            </w:r>
          </w:p>
          <w:p w14:paraId="7545EA6D"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exposure </w:t>
            </w:r>
          </w:p>
          <w:p w14:paraId="163F5C73"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individually impaired</w:t>
            </w:r>
          </w:p>
          <w:p w14:paraId="17CA5D34" w14:textId="77777777" w:rsidR="00BF2624" w:rsidRPr="00BF2624" w:rsidRDefault="00BF2624" w:rsidP="00BF2624">
            <w:pPr>
              <w:spacing w:after="0" w:line="240" w:lineRule="auto"/>
              <w:jc w:val="right"/>
              <w:rPr>
                <w:rFonts w:asciiTheme="minorHAnsi" w:eastAsia="Times New Roman" w:hAnsiTheme="minorHAnsi" w:cs="Arial"/>
                <w:b/>
                <w:sz w:val="18"/>
                <w:szCs w:val="18"/>
              </w:rPr>
            </w:pPr>
          </w:p>
        </w:tc>
        <w:tc>
          <w:tcPr>
            <w:tcW w:w="754" w:type="pct"/>
            <w:vAlign w:val="bottom"/>
          </w:tcPr>
          <w:p w14:paraId="49665AEC"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Total</w:t>
            </w:r>
          </w:p>
          <w:p w14:paraId="76BAF110" w14:textId="77777777" w:rsidR="00BF2624" w:rsidRPr="00BF2624" w:rsidRDefault="00BF2624" w:rsidP="00BF2624">
            <w:pPr>
              <w:spacing w:after="0" w:line="240" w:lineRule="auto"/>
              <w:jc w:val="right"/>
              <w:rPr>
                <w:rFonts w:asciiTheme="minorHAnsi" w:eastAsia="Times New Roman" w:hAnsiTheme="minorHAnsi" w:cs="Arial"/>
                <w:b/>
                <w:sz w:val="18"/>
                <w:szCs w:val="18"/>
              </w:rPr>
            </w:pPr>
          </w:p>
        </w:tc>
      </w:tr>
      <w:tr w:rsidR="00BF2624" w:rsidRPr="00BF2624" w14:paraId="03697CD5" w14:textId="77777777" w:rsidTr="00BF2624">
        <w:trPr>
          <w:trHeight w:val="322"/>
          <w:jc w:val="center"/>
        </w:trPr>
        <w:tc>
          <w:tcPr>
            <w:tcW w:w="1983" w:type="pct"/>
            <w:vAlign w:val="bottom"/>
          </w:tcPr>
          <w:p w14:paraId="4435D582" w14:textId="77777777" w:rsidR="00BF2624" w:rsidRPr="00BF2624" w:rsidRDefault="00BF2624" w:rsidP="00BF2624">
            <w:pPr>
              <w:tabs>
                <w:tab w:val="right" w:pos="1202"/>
              </w:tabs>
              <w:spacing w:after="0" w:line="340" w:lineRule="exact"/>
              <w:outlineLvl w:val="0"/>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Assets</w:t>
            </w:r>
          </w:p>
        </w:tc>
        <w:tc>
          <w:tcPr>
            <w:tcW w:w="754" w:type="pct"/>
          </w:tcPr>
          <w:p w14:paraId="604CB790"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b/>
                <w:bCs/>
                <w:sz w:val="18"/>
                <w:szCs w:val="18"/>
              </w:rPr>
            </w:pPr>
          </w:p>
        </w:tc>
        <w:tc>
          <w:tcPr>
            <w:tcW w:w="755" w:type="pct"/>
          </w:tcPr>
          <w:p w14:paraId="7A2AF942"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b/>
                <w:bCs/>
                <w:sz w:val="18"/>
                <w:szCs w:val="18"/>
              </w:rPr>
            </w:pPr>
          </w:p>
        </w:tc>
        <w:tc>
          <w:tcPr>
            <w:tcW w:w="754" w:type="pct"/>
          </w:tcPr>
          <w:p w14:paraId="5DA95309"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b/>
                <w:bCs/>
                <w:sz w:val="18"/>
                <w:szCs w:val="18"/>
              </w:rPr>
            </w:pPr>
          </w:p>
        </w:tc>
        <w:tc>
          <w:tcPr>
            <w:tcW w:w="754" w:type="pct"/>
          </w:tcPr>
          <w:p w14:paraId="43E35610"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b/>
                <w:bCs/>
                <w:sz w:val="18"/>
                <w:szCs w:val="18"/>
              </w:rPr>
            </w:pPr>
          </w:p>
        </w:tc>
      </w:tr>
      <w:tr w:rsidR="00BF2624" w:rsidRPr="00BF2624" w14:paraId="684F3A1B" w14:textId="77777777" w:rsidTr="00BF2624">
        <w:trPr>
          <w:trHeight w:val="287"/>
          <w:jc w:val="center"/>
        </w:trPr>
        <w:tc>
          <w:tcPr>
            <w:tcW w:w="1983" w:type="pct"/>
            <w:vAlign w:val="bottom"/>
          </w:tcPr>
          <w:p w14:paraId="00E6A2C4"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Cash on hand and due from banks</w:t>
            </w:r>
          </w:p>
        </w:tc>
        <w:tc>
          <w:tcPr>
            <w:tcW w:w="754" w:type="pct"/>
            <w:tcBorders>
              <w:top w:val="nil"/>
              <w:left w:val="nil"/>
              <w:bottom w:val="nil"/>
              <w:right w:val="nil"/>
            </w:tcBorders>
            <w:shd w:val="clear" w:color="auto" w:fill="auto"/>
            <w:vAlign w:val="bottom"/>
          </w:tcPr>
          <w:p w14:paraId="2AFEF333"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BF2624">
              <w:rPr>
                <w:rFonts w:eastAsia="Times New Roman" w:cs="Arial"/>
                <w:sz w:val="18"/>
                <w:szCs w:val="18"/>
              </w:rPr>
              <w:t>491,243</w:t>
            </w:r>
          </w:p>
        </w:tc>
        <w:tc>
          <w:tcPr>
            <w:tcW w:w="755" w:type="pct"/>
            <w:tcBorders>
              <w:top w:val="nil"/>
              <w:left w:val="nil"/>
              <w:bottom w:val="nil"/>
              <w:right w:val="nil"/>
            </w:tcBorders>
            <w:shd w:val="clear" w:color="auto" w:fill="auto"/>
            <w:vAlign w:val="bottom"/>
          </w:tcPr>
          <w:p w14:paraId="11C4B5A3"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BF2624">
              <w:rPr>
                <w:rFonts w:eastAsia="Times New Roman" w:cs="Arial"/>
                <w:sz w:val="18"/>
                <w:szCs w:val="18"/>
                <w:lang w:val="en-US"/>
              </w:rPr>
              <w:t>-</w:t>
            </w:r>
          </w:p>
        </w:tc>
        <w:tc>
          <w:tcPr>
            <w:tcW w:w="754" w:type="pct"/>
            <w:tcBorders>
              <w:top w:val="nil"/>
              <w:left w:val="nil"/>
              <w:bottom w:val="nil"/>
              <w:right w:val="nil"/>
            </w:tcBorders>
            <w:shd w:val="clear" w:color="auto" w:fill="auto"/>
            <w:vAlign w:val="bottom"/>
          </w:tcPr>
          <w:p w14:paraId="4278DF7B"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BF2624">
              <w:rPr>
                <w:rFonts w:eastAsia="Times New Roman" w:cs="Arial"/>
                <w:sz w:val="18"/>
                <w:szCs w:val="18"/>
                <w:lang w:val="en-US"/>
              </w:rPr>
              <w:t>-</w:t>
            </w:r>
          </w:p>
        </w:tc>
        <w:tc>
          <w:tcPr>
            <w:tcW w:w="754" w:type="pct"/>
            <w:tcBorders>
              <w:top w:val="nil"/>
              <w:left w:val="nil"/>
              <w:bottom w:val="nil"/>
              <w:right w:val="nil"/>
            </w:tcBorders>
            <w:shd w:val="clear" w:color="auto" w:fill="auto"/>
            <w:vAlign w:val="bottom"/>
          </w:tcPr>
          <w:p w14:paraId="322248CA"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BF2624">
              <w:rPr>
                <w:rFonts w:eastAsia="Times New Roman" w:cs="Arial"/>
                <w:sz w:val="18"/>
                <w:szCs w:val="18"/>
                <w:lang w:val="en-US"/>
              </w:rPr>
              <w:t>491,243</w:t>
            </w:r>
          </w:p>
        </w:tc>
      </w:tr>
      <w:tr w:rsidR="00BF2624" w:rsidRPr="00BF2624" w14:paraId="0EDCF1CA" w14:textId="77777777" w:rsidTr="00BF2624">
        <w:trPr>
          <w:trHeight w:val="298"/>
          <w:jc w:val="center"/>
        </w:trPr>
        <w:tc>
          <w:tcPr>
            <w:tcW w:w="1983" w:type="pct"/>
            <w:vAlign w:val="bottom"/>
          </w:tcPr>
          <w:p w14:paraId="42751E03"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Deposits with other banks</w:t>
            </w:r>
          </w:p>
        </w:tc>
        <w:tc>
          <w:tcPr>
            <w:tcW w:w="754" w:type="pct"/>
            <w:tcBorders>
              <w:top w:val="nil"/>
              <w:left w:val="nil"/>
              <w:bottom w:val="nil"/>
              <w:right w:val="nil"/>
            </w:tcBorders>
            <w:shd w:val="clear" w:color="auto" w:fill="auto"/>
            <w:vAlign w:val="bottom"/>
          </w:tcPr>
          <w:p w14:paraId="220D2AC4"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BF2624">
              <w:rPr>
                <w:rFonts w:eastAsia="Times New Roman" w:cs="Arial"/>
                <w:sz w:val="18"/>
                <w:szCs w:val="18"/>
              </w:rPr>
              <w:t>23,872</w:t>
            </w:r>
          </w:p>
        </w:tc>
        <w:tc>
          <w:tcPr>
            <w:tcW w:w="755" w:type="pct"/>
            <w:tcBorders>
              <w:top w:val="nil"/>
              <w:left w:val="nil"/>
              <w:bottom w:val="nil"/>
              <w:right w:val="nil"/>
            </w:tcBorders>
            <w:shd w:val="clear" w:color="auto" w:fill="auto"/>
            <w:vAlign w:val="bottom"/>
          </w:tcPr>
          <w:p w14:paraId="6E2E543A"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w:t>
            </w:r>
          </w:p>
        </w:tc>
        <w:tc>
          <w:tcPr>
            <w:tcW w:w="754" w:type="pct"/>
            <w:tcBorders>
              <w:top w:val="nil"/>
              <w:left w:val="nil"/>
              <w:bottom w:val="nil"/>
              <w:right w:val="nil"/>
            </w:tcBorders>
            <w:shd w:val="clear" w:color="auto" w:fill="auto"/>
            <w:vAlign w:val="bottom"/>
          </w:tcPr>
          <w:p w14:paraId="026229AA"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w:t>
            </w:r>
          </w:p>
        </w:tc>
        <w:tc>
          <w:tcPr>
            <w:tcW w:w="754" w:type="pct"/>
            <w:tcBorders>
              <w:top w:val="nil"/>
              <w:left w:val="nil"/>
              <w:bottom w:val="nil"/>
              <w:right w:val="nil"/>
            </w:tcBorders>
            <w:shd w:val="clear" w:color="auto" w:fill="auto"/>
            <w:vAlign w:val="bottom"/>
          </w:tcPr>
          <w:p w14:paraId="0AE50427"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23,872</w:t>
            </w:r>
          </w:p>
        </w:tc>
      </w:tr>
      <w:tr w:rsidR="00BF2624" w:rsidRPr="00BF2624" w14:paraId="529B9984" w14:textId="77777777" w:rsidTr="00BF2624">
        <w:trPr>
          <w:trHeight w:val="287"/>
          <w:jc w:val="center"/>
        </w:trPr>
        <w:tc>
          <w:tcPr>
            <w:tcW w:w="1983" w:type="pct"/>
            <w:vAlign w:val="bottom"/>
          </w:tcPr>
          <w:p w14:paraId="4D347D88"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Loans to financial institutions</w:t>
            </w:r>
          </w:p>
        </w:tc>
        <w:tc>
          <w:tcPr>
            <w:tcW w:w="754" w:type="pct"/>
            <w:tcBorders>
              <w:top w:val="nil"/>
              <w:left w:val="nil"/>
              <w:bottom w:val="nil"/>
              <w:right w:val="nil"/>
            </w:tcBorders>
            <w:shd w:val="clear" w:color="auto" w:fill="auto"/>
            <w:vAlign w:val="bottom"/>
          </w:tcPr>
          <w:p w14:paraId="71C0ACF9"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BF2624">
              <w:rPr>
                <w:rFonts w:eastAsia="Times New Roman" w:cs="Arial"/>
                <w:sz w:val="18"/>
                <w:szCs w:val="18"/>
              </w:rPr>
              <w:t>11,259,676</w:t>
            </w:r>
          </w:p>
        </w:tc>
        <w:tc>
          <w:tcPr>
            <w:tcW w:w="755" w:type="pct"/>
            <w:tcBorders>
              <w:top w:val="nil"/>
              <w:left w:val="nil"/>
              <w:bottom w:val="nil"/>
              <w:right w:val="nil"/>
            </w:tcBorders>
            <w:shd w:val="clear" w:color="auto" w:fill="auto"/>
            <w:vAlign w:val="bottom"/>
          </w:tcPr>
          <w:p w14:paraId="07B8B775"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212,454</w:t>
            </w:r>
          </w:p>
        </w:tc>
        <w:tc>
          <w:tcPr>
            <w:tcW w:w="754" w:type="pct"/>
            <w:tcBorders>
              <w:top w:val="nil"/>
              <w:left w:val="nil"/>
              <w:bottom w:val="nil"/>
              <w:right w:val="nil"/>
            </w:tcBorders>
            <w:shd w:val="clear" w:color="auto" w:fill="auto"/>
            <w:vAlign w:val="bottom"/>
          </w:tcPr>
          <w:p w14:paraId="5462C5AA"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416,981</w:t>
            </w:r>
          </w:p>
        </w:tc>
        <w:tc>
          <w:tcPr>
            <w:tcW w:w="754" w:type="pct"/>
            <w:tcBorders>
              <w:top w:val="nil"/>
              <w:left w:val="nil"/>
              <w:bottom w:val="nil"/>
              <w:right w:val="nil"/>
            </w:tcBorders>
            <w:shd w:val="clear" w:color="auto" w:fill="auto"/>
            <w:vAlign w:val="bottom"/>
          </w:tcPr>
          <w:p w14:paraId="6C45F381"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11,889,111</w:t>
            </w:r>
          </w:p>
        </w:tc>
      </w:tr>
      <w:tr w:rsidR="00BF2624" w:rsidRPr="00BF2624" w14:paraId="3C529361" w14:textId="77777777" w:rsidTr="00BF2624">
        <w:trPr>
          <w:trHeight w:val="287"/>
          <w:jc w:val="center"/>
        </w:trPr>
        <w:tc>
          <w:tcPr>
            <w:tcW w:w="1983" w:type="pct"/>
            <w:vAlign w:val="bottom"/>
          </w:tcPr>
          <w:p w14:paraId="365D4E52"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 xml:space="preserve">Loans to other customers </w:t>
            </w:r>
          </w:p>
        </w:tc>
        <w:tc>
          <w:tcPr>
            <w:tcW w:w="754" w:type="pct"/>
            <w:tcBorders>
              <w:top w:val="nil"/>
              <w:left w:val="nil"/>
              <w:bottom w:val="nil"/>
              <w:right w:val="nil"/>
            </w:tcBorders>
            <w:shd w:val="clear" w:color="auto" w:fill="auto"/>
            <w:vAlign w:val="bottom"/>
          </w:tcPr>
          <w:p w14:paraId="349272D0"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BF2624">
              <w:rPr>
                <w:rFonts w:eastAsia="Times New Roman" w:cs="Arial"/>
                <w:sz w:val="18"/>
                <w:szCs w:val="18"/>
              </w:rPr>
              <w:t>10,249,918</w:t>
            </w:r>
          </w:p>
        </w:tc>
        <w:tc>
          <w:tcPr>
            <w:tcW w:w="755" w:type="pct"/>
            <w:tcBorders>
              <w:top w:val="nil"/>
              <w:left w:val="nil"/>
              <w:bottom w:val="nil"/>
              <w:right w:val="nil"/>
            </w:tcBorders>
            <w:shd w:val="clear" w:color="auto" w:fill="auto"/>
            <w:vAlign w:val="bottom"/>
          </w:tcPr>
          <w:p w14:paraId="714B52ED"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BF2624">
              <w:rPr>
                <w:rFonts w:eastAsia="Times New Roman" w:cs="Arial"/>
                <w:sz w:val="18"/>
                <w:szCs w:val="18"/>
                <w:lang w:val="en-US"/>
              </w:rPr>
              <w:t>165,766</w:t>
            </w:r>
          </w:p>
        </w:tc>
        <w:tc>
          <w:tcPr>
            <w:tcW w:w="754" w:type="pct"/>
            <w:tcBorders>
              <w:top w:val="nil"/>
              <w:left w:val="nil"/>
              <w:bottom w:val="nil"/>
              <w:right w:val="nil"/>
            </w:tcBorders>
            <w:shd w:val="clear" w:color="auto" w:fill="auto"/>
            <w:vAlign w:val="bottom"/>
          </w:tcPr>
          <w:p w14:paraId="71B9453B"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BF2624">
              <w:rPr>
                <w:rFonts w:eastAsia="Times New Roman" w:cs="Arial"/>
                <w:sz w:val="18"/>
                <w:szCs w:val="18"/>
                <w:lang w:val="en-US"/>
              </w:rPr>
              <w:t>1,095,510</w:t>
            </w:r>
          </w:p>
        </w:tc>
        <w:tc>
          <w:tcPr>
            <w:tcW w:w="754" w:type="pct"/>
            <w:tcBorders>
              <w:top w:val="nil"/>
              <w:left w:val="nil"/>
              <w:bottom w:val="nil"/>
              <w:right w:val="nil"/>
            </w:tcBorders>
            <w:shd w:val="clear" w:color="auto" w:fill="auto"/>
            <w:vAlign w:val="bottom"/>
          </w:tcPr>
          <w:p w14:paraId="6BA1E171"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BF2624">
              <w:rPr>
                <w:rFonts w:eastAsia="Times New Roman" w:cs="Arial"/>
                <w:sz w:val="18"/>
                <w:szCs w:val="18"/>
                <w:lang w:val="en-US"/>
              </w:rPr>
              <w:t>11,511,194</w:t>
            </w:r>
          </w:p>
        </w:tc>
      </w:tr>
      <w:tr w:rsidR="00BF2624" w:rsidRPr="00BF2624" w14:paraId="328F3285" w14:textId="77777777" w:rsidTr="00BF2624">
        <w:trPr>
          <w:trHeight w:val="495"/>
          <w:jc w:val="center"/>
        </w:trPr>
        <w:tc>
          <w:tcPr>
            <w:tcW w:w="1983" w:type="pct"/>
            <w:vAlign w:val="bottom"/>
          </w:tcPr>
          <w:p w14:paraId="46ECB64C" w14:textId="77777777" w:rsidR="00BF2624" w:rsidRPr="00BF2624" w:rsidRDefault="00BF2624" w:rsidP="00BF2624">
            <w:pPr>
              <w:tabs>
                <w:tab w:val="right" w:pos="1202"/>
              </w:tabs>
              <w:spacing w:after="0" w:line="220"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Financial assets at fair value through profit or loss</w:t>
            </w:r>
          </w:p>
        </w:tc>
        <w:tc>
          <w:tcPr>
            <w:tcW w:w="754" w:type="pct"/>
            <w:tcBorders>
              <w:top w:val="nil"/>
              <w:left w:val="nil"/>
              <w:bottom w:val="nil"/>
              <w:right w:val="nil"/>
            </w:tcBorders>
            <w:shd w:val="clear" w:color="auto" w:fill="auto"/>
            <w:vAlign w:val="bottom"/>
          </w:tcPr>
          <w:p w14:paraId="021A5515"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BF2624">
              <w:rPr>
                <w:rFonts w:eastAsia="Times New Roman" w:cs="Arial"/>
                <w:sz w:val="18"/>
                <w:szCs w:val="18"/>
              </w:rPr>
              <w:t>286</w:t>
            </w:r>
          </w:p>
        </w:tc>
        <w:tc>
          <w:tcPr>
            <w:tcW w:w="755" w:type="pct"/>
            <w:tcBorders>
              <w:top w:val="nil"/>
              <w:left w:val="nil"/>
              <w:bottom w:val="nil"/>
              <w:right w:val="nil"/>
            </w:tcBorders>
            <w:shd w:val="clear" w:color="auto" w:fill="auto"/>
            <w:vAlign w:val="bottom"/>
          </w:tcPr>
          <w:p w14:paraId="473EC771"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BF2624">
              <w:rPr>
                <w:rFonts w:eastAsia="Times New Roman" w:cs="Arial"/>
                <w:sz w:val="18"/>
                <w:szCs w:val="18"/>
                <w:lang w:val="en-US"/>
              </w:rPr>
              <w:t>-</w:t>
            </w:r>
          </w:p>
        </w:tc>
        <w:tc>
          <w:tcPr>
            <w:tcW w:w="754" w:type="pct"/>
            <w:tcBorders>
              <w:top w:val="nil"/>
              <w:left w:val="nil"/>
              <w:bottom w:val="nil"/>
              <w:right w:val="nil"/>
            </w:tcBorders>
            <w:shd w:val="clear" w:color="auto" w:fill="auto"/>
            <w:vAlign w:val="bottom"/>
          </w:tcPr>
          <w:p w14:paraId="4E761876"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BF2624">
              <w:rPr>
                <w:rFonts w:eastAsia="Times New Roman" w:cs="Arial"/>
                <w:sz w:val="18"/>
                <w:szCs w:val="18"/>
                <w:lang w:val="en-US"/>
              </w:rPr>
              <w:t>-</w:t>
            </w:r>
          </w:p>
        </w:tc>
        <w:tc>
          <w:tcPr>
            <w:tcW w:w="754" w:type="pct"/>
            <w:tcBorders>
              <w:top w:val="nil"/>
              <w:left w:val="nil"/>
              <w:bottom w:val="nil"/>
              <w:right w:val="nil"/>
            </w:tcBorders>
            <w:shd w:val="clear" w:color="auto" w:fill="auto"/>
            <w:vAlign w:val="bottom"/>
          </w:tcPr>
          <w:p w14:paraId="2395529E"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BF2624">
              <w:rPr>
                <w:rFonts w:eastAsia="Times New Roman" w:cs="Arial"/>
                <w:sz w:val="18"/>
                <w:szCs w:val="18"/>
                <w:lang w:val="en-US"/>
              </w:rPr>
              <w:t>286</w:t>
            </w:r>
          </w:p>
        </w:tc>
      </w:tr>
      <w:tr w:rsidR="00BF2624" w:rsidRPr="00BF2624" w14:paraId="3F48C7E0" w14:textId="77777777" w:rsidTr="00BF2624">
        <w:trPr>
          <w:trHeight w:val="287"/>
          <w:jc w:val="center"/>
        </w:trPr>
        <w:tc>
          <w:tcPr>
            <w:tcW w:w="1983" w:type="pct"/>
            <w:vAlign w:val="bottom"/>
          </w:tcPr>
          <w:p w14:paraId="3A91D7DB"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Assets available for sale</w:t>
            </w:r>
          </w:p>
        </w:tc>
        <w:tc>
          <w:tcPr>
            <w:tcW w:w="754" w:type="pct"/>
            <w:tcBorders>
              <w:top w:val="nil"/>
              <w:left w:val="nil"/>
              <w:bottom w:val="nil"/>
              <w:right w:val="nil"/>
            </w:tcBorders>
            <w:shd w:val="clear" w:color="auto" w:fill="auto"/>
            <w:vAlign w:val="bottom"/>
          </w:tcPr>
          <w:p w14:paraId="0812C79A"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BF2624">
              <w:rPr>
                <w:rFonts w:eastAsia="Times New Roman" w:cs="Arial"/>
                <w:sz w:val="18"/>
                <w:szCs w:val="18"/>
              </w:rPr>
              <w:t>3,353,086</w:t>
            </w:r>
          </w:p>
        </w:tc>
        <w:tc>
          <w:tcPr>
            <w:tcW w:w="755" w:type="pct"/>
            <w:tcBorders>
              <w:top w:val="nil"/>
              <w:left w:val="nil"/>
              <w:bottom w:val="nil"/>
              <w:right w:val="nil"/>
            </w:tcBorders>
            <w:shd w:val="clear" w:color="auto" w:fill="auto"/>
            <w:vAlign w:val="bottom"/>
          </w:tcPr>
          <w:p w14:paraId="538006A8"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w:t>
            </w:r>
          </w:p>
        </w:tc>
        <w:tc>
          <w:tcPr>
            <w:tcW w:w="754" w:type="pct"/>
            <w:tcBorders>
              <w:top w:val="nil"/>
              <w:left w:val="nil"/>
              <w:bottom w:val="nil"/>
              <w:right w:val="nil"/>
            </w:tcBorders>
            <w:shd w:val="clear" w:color="auto" w:fill="auto"/>
            <w:vAlign w:val="bottom"/>
          </w:tcPr>
          <w:p w14:paraId="718C3F35"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w:t>
            </w:r>
          </w:p>
        </w:tc>
        <w:tc>
          <w:tcPr>
            <w:tcW w:w="754" w:type="pct"/>
            <w:tcBorders>
              <w:top w:val="nil"/>
              <w:left w:val="nil"/>
              <w:bottom w:val="nil"/>
              <w:right w:val="nil"/>
            </w:tcBorders>
            <w:shd w:val="clear" w:color="auto" w:fill="auto"/>
            <w:vAlign w:val="bottom"/>
          </w:tcPr>
          <w:p w14:paraId="2C61CED7"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3,353,086</w:t>
            </w:r>
          </w:p>
        </w:tc>
      </w:tr>
      <w:tr w:rsidR="00BF2624" w:rsidRPr="00BF2624" w14:paraId="286F0CC6" w14:textId="77777777" w:rsidTr="00BF2624">
        <w:trPr>
          <w:trHeight w:val="287"/>
          <w:jc w:val="center"/>
        </w:trPr>
        <w:tc>
          <w:tcPr>
            <w:tcW w:w="1983" w:type="pct"/>
            <w:vAlign w:val="bottom"/>
          </w:tcPr>
          <w:p w14:paraId="6628B7EF"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Assets held to maturity</w:t>
            </w:r>
          </w:p>
        </w:tc>
        <w:tc>
          <w:tcPr>
            <w:tcW w:w="754" w:type="pct"/>
            <w:tcBorders>
              <w:top w:val="nil"/>
              <w:left w:val="nil"/>
              <w:bottom w:val="nil"/>
              <w:right w:val="nil"/>
            </w:tcBorders>
            <w:shd w:val="clear" w:color="auto" w:fill="auto"/>
            <w:vAlign w:val="bottom"/>
          </w:tcPr>
          <w:p w14:paraId="43254AAE"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BF2624">
              <w:rPr>
                <w:rFonts w:eastAsia="Times New Roman" w:cs="Arial"/>
                <w:sz w:val="18"/>
                <w:szCs w:val="18"/>
              </w:rPr>
              <w:t>1,422</w:t>
            </w:r>
          </w:p>
        </w:tc>
        <w:tc>
          <w:tcPr>
            <w:tcW w:w="755" w:type="pct"/>
            <w:tcBorders>
              <w:top w:val="nil"/>
              <w:left w:val="nil"/>
              <w:bottom w:val="nil"/>
              <w:right w:val="nil"/>
            </w:tcBorders>
            <w:shd w:val="clear" w:color="auto" w:fill="auto"/>
            <w:vAlign w:val="bottom"/>
          </w:tcPr>
          <w:p w14:paraId="08AEBC8C"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BF2624">
              <w:rPr>
                <w:rFonts w:eastAsia="Times New Roman" w:cs="Arial"/>
                <w:sz w:val="18"/>
                <w:szCs w:val="18"/>
              </w:rPr>
              <w:t>-</w:t>
            </w:r>
          </w:p>
        </w:tc>
        <w:tc>
          <w:tcPr>
            <w:tcW w:w="754" w:type="pct"/>
            <w:tcBorders>
              <w:top w:val="nil"/>
              <w:left w:val="nil"/>
              <w:bottom w:val="nil"/>
              <w:right w:val="nil"/>
            </w:tcBorders>
            <w:shd w:val="clear" w:color="auto" w:fill="auto"/>
            <w:vAlign w:val="bottom"/>
          </w:tcPr>
          <w:p w14:paraId="3283F757"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BF2624">
              <w:rPr>
                <w:rFonts w:eastAsia="Times New Roman" w:cs="Arial"/>
                <w:sz w:val="18"/>
                <w:szCs w:val="18"/>
              </w:rPr>
              <w:t>-</w:t>
            </w:r>
          </w:p>
        </w:tc>
        <w:tc>
          <w:tcPr>
            <w:tcW w:w="754" w:type="pct"/>
            <w:tcBorders>
              <w:top w:val="nil"/>
              <w:left w:val="nil"/>
              <w:bottom w:val="nil"/>
              <w:right w:val="nil"/>
            </w:tcBorders>
            <w:shd w:val="clear" w:color="auto" w:fill="auto"/>
            <w:vAlign w:val="bottom"/>
          </w:tcPr>
          <w:p w14:paraId="0BB48C17"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BF2624">
              <w:rPr>
                <w:rFonts w:eastAsia="Times New Roman" w:cs="Arial"/>
                <w:sz w:val="18"/>
                <w:szCs w:val="18"/>
              </w:rPr>
              <w:t>1,422</w:t>
            </w:r>
          </w:p>
        </w:tc>
      </w:tr>
      <w:tr w:rsidR="00BF2624" w:rsidRPr="00BF2624" w14:paraId="0E32B062" w14:textId="77777777" w:rsidTr="00BF2624">
        <w:trPr>
          <w:trHeight w:val="310"/>
          <w:jc w:val="center"/>
        </w:trPr>
        <w:tc>
          <w:tcPr>
            <w:tcW w:w="1983" w:type="pct"/>
            <w:vAlign w:val="bottom"/>
          </w:tcPr>
          <w:p w14:paraId="4749C72B"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Other assets</w:t>
            </w:r>
          </w:p>
        </w:tc>
        <w:tc>
          <w:tcPr>
            <w:tcW w:w="754" w:type="pct"/>
            <w:tcBorders>
              <w:top w:val="nil"/>
              <w:left w:val="nil"/>
              <w:bottom w:val="single" w:sz="8" w:space="0" w:color="auto"/>
              <w:right w:val="nil"/>
            </w:tcBorders>
            <w:shd w:val="clear" w:color="auto" w:fill="auto"/>
            <w:vAlign w:val="bottom"/>
          </w:tcPr>
          <w:p w14:paraId="746AA225"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BF2624">
              <w:rPr>
                <w:rFonts w:eastAsia="Times New Roman" w:cs="Arial"/>
                <w:sz w:val="18"/>
                <w:szCs w:val="18"/>
              </w:rPr>
              <w:t>4,528</w:t>
            </w:r>
          </w:p>
        </w:tc>
        <w:tc>
          <w:tcPr>
            <w:tcW w:w="755" w:type="pct"/>
            <w:tcBorders>
              <w:top w:val="nil"/>
              <w:left w:val="nil"/>
              <w:bottom w:val="single" w:sz="8" w:space="0" w:color="auto"/>
              <w:right w:val="nil"/>
            </w:tcBorders>
            <w:shd w:val="clear" w:color="auto" w:fill="auto"/>
            <w:vAlign w:val="bottom"/>
          </w:tcPr>
          <w:p w14:paraId="39DB6A5D"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Cs/>
                <w:sz w:val="18"/>
                <w:szCs w:val="18"/>
                <w:lang w:val="en-US"/>
              </w:rPr>
            </w:pPr>
            <w:r w:rsidRPr="00BF2624">
              <w:rPr>
                <w:rFonts w:eastAsia="Times New Roman" w:cs="Arial"/>
                <w:sz w:val="18"/>
                <w:szCs w:val="18"/>
                <w:lang w:val="en-US"/>
              </w:rPr>
              <w:t>1,325</w:t>
            </w:r>
          </w:p>
        </w:tc>
        <w:tc>
          <w:tcPr>
            <w:tcW w:w="754" w:type="pct"/>
            <w:tcBorders>
              <w:top w:val="nil"/>
              <w:left w:val="nil"/>
              <w:bottom w:val="single" w:sz="8" w:space="0" w:color="auto"/>
              <w:right w:val="nil"/>
            </w:tcBorders>
            <w:shd w:val="clear" w:color="auto" w:fill="auto"/>
            <w:vAlign w:val="bottom"/>
          </w:tcPr>
          <w:p w14:paraId="318C549E"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Cs/>
                <w:sz w:val="18"/>
                <w:szCs w:val="18"/>
                <w:lang w:val="en-US"/>
              </w:rPr>
            </w:pPr>
            <w:r w:rsidRPr="00BF2624">
              <w:rPr>
                <w:rFonts w:eastAsia="Times New Roman" w:cs="Arial"/>
                <w:sz w:val="18"/>
                <w:szCs w:val="18"/>
                <w:lang w:val="en-US"/>
              </w:rPr>
              <w:t>396</w:t>
            </w:r>
          </w:p>
        </w:tc>
        <w:tc>
          <w:tcPr>
            <w:tcW w:w="754" w:type="pct"/>
            <w:tcBorders>
              <w:top w:val="nil"/>
              <w:left w:val="nil"/>
              <w:bottom w:val="single" w:sz="8" w:space="0" w:color="auto"/>
              <w:right w:val="nil"/>
            </w:tcBorders>
            <w:shd w:val="clear" w:color="auto" w:fill="auto"/>
            <w:vAlign w:val="bottom"/>
          </w:tcPr>
          <w:p w14:paraId="6F96FB46"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Cs/>
                <w:sz w:val="18"/>
                <w:szCs w:val="18"/>
                <w:lang w:val="en-US"/>
              </w:rPr>
            </w:pPr>
            <w:r w:rsidRPr="00BF2624">
              <w:rPr>
                <w:rFonts w:eastAsia="Times New Roman" w:cs="Arial"/>
                <w:sz w:val="18"/>
                <w:szCs w:val="18"/>
                <w:lang w:val="en-US"/>
              </w:rPr>
              <w:t>6,249</w:t>
            </w:r>
          </w:p>
        </w:tc>
      </w:tr>
      <w:tr w:rsidR="00BF2624" w:rsidRPr="00BF2624" w14:paraId="55A74EC5" w14:textId="77777777" w:rsidTr="00BF2624">
        <w:trPr>
          <w:trHeight w:val="56"/>
          <w:jc w:val="center"/>
        </w:trPr>
        <w:tc>
          <w:tcPr>
            <w:tcW w:w="1983" w:type="pct"/>
            <w:vAlign w:val="bottom"/>
          </w:tcPr>
          <w:p w14:paraId="49A54E22" w14:textId="77777777" w:rsidR="00BF2624" w:rsidRPr="00BF2624" w:rsidRDefault="00BF2624" w:rsidP="00BF2624">
            <w:pPr>
              <w:keepNext/>
              <w:keepLines/>
              <w:tabs>
                <w:tab w:val="decimal" w:pos="1202"/>
              </w:tabs>
              <w:spacing w:after="0" w:line="120" w:lineRule="auto"/>
              <w:rPr>
                <w:rFonts w:asciiTheme="minorHAnsi" w:eastAsia="Times New Roman" w:hAnsiTheme="minorHAnsi" w:cs="Arial"/>
                <w:b/>
                <w:position w:val="4"/>
                <w:sz w:val="18"/>
                <w:szCs w:val="18"/>
              </w:rPr>
            </w:pPr>
          </w:p>
        </w:tc>
        <w:tc>
          <w:tcPr>
            <w:tcW w:w="754" w:type="pct"/>
            <w:tcBorders>
              <w:top w:val="single" w:sz="4" w:space="0" w:color="auto"/>
            </w:tcBorders>
            <w:vAlign w:val="bottom"/>
          </w:tcPr>
          <w:p w14:paraId="65B34079" w14:textId="77777777" w:rsidR="00BF2624" w:rsidRPr="00BF2624" w:rsidRDefault="00BF2624" w:rsidP="00BF2624">
            <w:pPr>
              <w:keepNext/>
              <w:keepLines/>
              <w:tabs>
                <w:tab w:val="left" w:pos="215"/>
                <w:tab w:val="decimal" w:pos="1295"/>
              </w:tabs>
              <w:spacing w:after="0" w:line="120" w:lineRule="auto"/>
              <w:ind w:right="-148"/>
              <w:jc w:val="right"/>
              <w:rPr>
                <w:rFonts w:asciiTheme="minorHAnsi" w:eastAsia="Times New Roman" w:hAnsiTheme="minorHAnsi" w:cs="Arial"/>
                <w:b/>
                <w:snapToGrid w:val="0"/>
                <w:position w:val="4"/>
                <w:sz w:val="18"/>
                <w:szCs w:val="18"/>
                <w:lang w:val="hr-HR"/>
              </w:rPr>
            </w:pPr>
          </w:p>
        </w:tc>
        <w:tc>
          <w:tcPr>
            <w:tcW w:w="755" w:type="pct"/>
            <w:tcBorders>
              <w:top w:val="single" w:sz="4" w:space="0" w:color="auto"/>
            </w:tcBorders>
            <w:vAlign w:val="bottom"/>
          </w:tcPr>
          <w:p w14:paraId="28BD3ECC"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en-US"/>
              </w:rPr>
            </w:pPr>
          </w:p>
        </w:tc>
        <w:tc>
          <w:tcPr>
            <w:tcW w:w="754" w:type="pct"/>
            <w:tcBorders>
              <w:top w:val="single" w:sz="4" w:space="0" w:color="auto"/>
            </w:tcBorders>
            <w:vAlign w:val="bottom"/>
          </w:tcPr>
          <w:p w14:paraId="7F1ECD9B"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en-US"/>
              </w:rPr>
            </w:pPr>
          </w:p>
        </w:tc>
        <w:tc>
          <w:tcPr>
            <w:tcW w:w="754" w:type="pct"/>
            <w:tcBorders>
              <w:top w:val="single" w:sz="4" w:space="0" w:color="auto"/>
            </w:tcBorders>
            <w:vAlign w:val="bottom"/>
          </w:tcPr>
          <w:p w14:paraId="5BC2A7AC"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en-US"/>
              </w:rPr>
            </w:pPr>
          </w:p>
        </w:tc>
      </w:tr>
      <w:tr w:rsidR="00BF2624" w:rsidRPr="00BF2624" w14:paraId="5A365A74" w14:textId="77777777" w:rsidTr="00BF2624">
        <w:trPr>
          <w:trHeight w:val="322"/>
          <w:jc w:val="center"/>
        </w:trPr>
        <w:tc>
          <w:tcPr>
            <w:tcW w:w="1983" w:type="pct"/>
            <w:vAlign w:val="bottom"/>
          </w:tcPr>
          <w:p w14:paraId="0E85BAE1" w14:textId="77777777" w:rsidR="00BF2624" w:rsidRPr="00BF2624" w:rsidRDefault="00BF2624" w:rsidP="00BF2624">
            <w:pPr>
              <w:tabs>
                <w:tab w:val="right" w:pos="1202"/>
              </w:tabs>
              <w:spacing w:after="0" w:line="340" w:lineRule="exact"/>
              <w:outlineLvl w:val="0"/>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Total</w:t>
            </w:r>
          </w:p>
        </w:tc>
        <w:tc>
          <w:tcPr>
            <w:tcW w:w="754" w:type="pct"/>
            <w:tcBorders>
              <w:top w:val="nil"/>
              <w:left w:val="nil"/>
              <w:bottom w:val="single" w:sz="12" w:space="0" w:color="auto"/>
              <w:right w:val="nil"/>
            </w:tcBorders>
            <w:shd w:val="clear" w:color="auto" w:fill="auto"/>
            <w:vAlign w:val="bottom"/>
          </w:tcPr>
          <w:p w14:paraId="3B5EFF03"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hr-HR"/>
              </w:rPr>
            </w:pPr>
            <w:r w:rsidRPr="00BF2624">
              <w:rPr>
                <w:rFonts w:eastAsia="Times New Roman" w:cs="Arial"/>
                <w:b/>
                <w:bCs/>
                <w:sz w:val="18"/>
                <w:szCs w:val="18"/>
              </w:rPr>
              <w:t>25,384,031</w:t>
            </w:r>
          </w:p>
        </w:tc>
        <w:tc>
          <w:tcPr>
            <w:tcW w:w="755" w:type="pct"/>
            <w:tcBorders>
              <w:top w:val="nil"/>
              <w:left w:val="nil"/>
              <w:bottom w:val="single" w:sz="12" w:space="0" w:color="auto"/>
              <w:right w:val="nil"/>
            </w:tcBorders>
            <w:shd w:val="clear" w:color="auto" w:fill="auto"/>
            <w:vAlign w:val="bottom"/>
          </w:tcPr>
          <w:p w14:paraId="4669F58C"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379,545</w:t>
            </w:r>
          </w:p>
        </w:tc>
        <w:tc>
          <w:tcPr>
            <w:tcW w:w="754" w:type="pct"/>
            <w:tcBorders>
              <w:top w:val="nil"/>
              <w:left w:val="nil"/>
              <w:bottom w:val="single" w:sz="12" w:space="0" w:color="auto"/>
              <w:right w:val="nil"/>
            </w:tcBorders>
            <w:shd w:val="clear" w:color="auto" w:fill="auto"/>
            <w:vAlign w:val="bottom"/>
          </w:tcPr>
          <w:p w14:paraId="69FDE56E"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1,512,887</w:t>
            </w:r>
          </w:p>
        </w:tc>
        <w:tc>
          <w:tcPr>
            <w:tcW w:w="754" w:type="pct"/>
            <w:tcBorders>
              <w:top w:val="nil"/>
              <w:left w:val="nil"/>
              <w:bottom w:val="single" w:sz="12" w:space="0" w:color="auto"/>
              <w:right w:val="nil"/>
            </w:tcBorders>
            <w:shd w:val="clear" w:color="auto" w:fill="auto"/>
            <w:vAlign w:val="bottom"/>
          </w:tcPr>
          <w:p w14:paraId="4C57AA8A"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27,276,463</w:t>
            </w:r>
          </w:p>
        </w:tc>
      </w:tr>
      <w:tr w:rsidR="00BF2624" w:rsidRPr="00BF2624" w14:paraId="3AB903BF" w14:textId="77777777" w:rsidTr="00BF2624">
        <w:trPr>
          <w:trHeight w:val="103"/>
          <w:jc w:val="center"/>
        </w:trPr>
        <w:tc>
          <w:tcPr>
            <w:tcW w:w="1983" w:type="pct"/>
            <w:vAlign w:val="bottom"/>
          </w:tcPr>
          <w:p w14:paraId="72390AAD" w14:textId="77777777" w:rsidR="00BF2624" w:rsidRPr="00BF2624" w:rsidRDefault="00BF2624" w:rsidP="00BF2624">
            <w:pPr>
              <w:keepNext/>
              <w:keepLines/>
              <w:tabs>
                <w:tab w:val="decimal" w:pos="1202"/>
              </w:tabs>
              <w:spacing w:after="0" w:line="100" w:lineRule="exact"/>
              <w:rPr>
                <w:rFonts w:asciiTheme="minorHAnsi" w:eastAsia="Times New Roman" w:hAnsiTheme="minorHAnsi" w:cs="Arial"/>
                <w:b/>
                <w:position w:val="4"/>
                <w:sz w:val="18"/>
                <w:szCs w:val="18"/>
                <w:u w:val="thick"/>
              </w:rPr>
            </w:pPr>
          </w:p>
        </w:tc>
        <w:tc>
          <w:tcPr>
            <w:tcW w:w="754" w:type="pct"/>
            <w:tcBorders>
              <w:top w:val="single" w:sz="12" w:space="0" w:color="auto"/>
            </w:tcBorders>
            <w:vAlign w:val="bottom"/>
          </w:tcPr>
          <w:p w14:paraId="115B7654"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c>
          <w:tcPr>
            <w:tcW w:w="755" w:type="pct"/>
            <w:tcBorders>
              <w:top w:val="single" w:sz="12" w:space="0" w:color="auto"/>
            </w:tcBorders>
            <w:vAlign w:val="bottom"/>
          </w:tcPr>
          <w:p w14:paraId="7CD72225"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c>
          <w:tcPr>
            <w:tcW w:w="754" w:type="pct"/>
            <w:tcBorders>
              <w:top w:val="single" w:sz="12" w:space="0" w:color="auto"/>
            </w:tcBorders>
            <w:vAlign w:val="bottom"/>
          </w:tcPr>
          <w:p w14:paraId="6445D708"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c>
          <w:tcPr>
            <w:tcW w:w="754" w:type="pct"/>
            <w:tcBorders>
              <w:top w:val="single" w:sz="12" w:space="0" w:color="auto"/>
            </w:tcBorders>
            <w:vAlign w:val="bottom"/>
          </w:tcPr>
          <w:p w14:paraId="665735D4"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r>
      <w:tr w:rsidR="00BF2624" w:rsidRPr="00BF2624" w14:paraId="3A5D5E9E" w14:textId="77777777" w:rsidTr="00BF2624">
        <w:trPr>
          <w:trHeight w:val="287"/>
          <w:jc w:val="center"/>
        </w:trPr>
        <w:tc>
          <w:tcPr>
            <w:tcW w:w="1983" w:type="pct"/>
            <w:vAlign w:val="bottom"/>
          </w:tcPr>
          <w:p w14:paraId="66D18848"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Guarantees and commitments</w:t>
            </w:r>
          </w:p>
        </w:tc>
        <w:tc>
          <w:tcPr>
            <w:tcW w:w="754" w:type="pct"/>
            <w:vAlign w:val="bottom"/>
          </w:tcPr>
          <w:p w14:paraId="0F662074"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755" w:type="pct"/>
            <w:vAlign w:val="bottom"/>
          </w:tcPr>
          <w:p w14:paraId="5BF7C400"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754" w:type="pct"/>
            <w:vAlign w:val="bottom"/>
          </w:tcPr>
          <w:p w14:paraId="4B27273D"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754" w:type="pct"/>
            <w:vAlign w:val="bottom"/>
          </w:tcPr>
          <w:p w14:paraId="381936F0"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b/>
                <w:bCs/>
                <w:sz w:val="18"/>
                <w:szCs w:val="18"/>
                <w:lang w:val="hr-HR"/>
              </w:rPr>
            </w:pPr>
          </w:p>
        </w:tc>
      </w:tr>
      <w:tr w:rsidR="00BF2624" w:rsidRPr="00BF2624" w14:paraId="410B2E1A" w14:textId="77777777" w:rsidTr="00BF2624">
        <w:trPr>
          <w:trHeight w:val="287"/>
          <w:jc w:val="center"/>
        </w:trPr>
        <w:tc>
          <w:tcPr>
            <w:tcW w:w="1983" w:type="pct"/>
            <w:vAlign w:val="bottom"/>
          </w:tcPr>
          <w:p w14:paraId="2B03AD8A"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Guarantees issued in HRK</w:t>
            </w:r>
          </w:p>
        </w:tc>
        <w:tc>
          <w:tcPr>
            <w:tcW w:w="754" w:type="pct"/>
            <w:tcBorders>
              <w:top w:val="nil"/>
              <w:left w:val="nil"/>
              <w:bottom w:val="nil"/>
              <w:right w:val="nil"/>
            </w:tcBorders>
            <w:shd w:val="clear" w:color="auto" w:fill="auto"/>
            <w:vAlign w:val="bottom"/>
          </w:tcPr>
          <w:p w14:paraId="47254E51"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32,082</w:t>
            </w:r>
          </w:p>
        </w:tc>
        <w:tc>
          <w:tcPr>
            <w:tcW w:w="755" w:type="pct"/>
            <w:tcBorders>
              <w:top w:val="nil"/>
              <w:left w:val="nil"/>
              <w:bottom w:val="nil"/>
              <w:right w:val="nil"/>
            </w:tcBorders>
            <w:shd w:val="clear" w:color="auto" w:fill="auto"/>
            <w:vAlign w:val="bottom"/>
          </w:tcPr>
          <w:p w14:paraId="7D3A4254"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w:t>
            </w:r>
          </w:p>
        </w:tc>
        <w:tc>
          <w:tcPr>
            <w:tcW w:w="754" w:type="pct"/>
            <w:tcBorders>
              <w:top w:val="nil"/>
              <w:left w:val="nil"/>
              <w:bottom w:val="nil"/>
              <w:right w:val="nil"/>
            </w:tcBorders>
            <w:shd w:val="clear" w:color="auto" w:fill="auto"/>
            <w:vAlign w:val="bottom"/>
          </w:tcPr>
          <w:p w14:paraId="3F0F869A"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w:t>
            </w:r>
          </w:p>
        </w:tc>
        <w:tc>
          <w:tcPr>
            <w:tcW w:w="754" w:type="pct"/>
            <w:tcBorders>
              <w:top w:val="nil"/>
              <w:left w:val="nil"/>
              <w:bottom w:val="nil"/>
              <w:right w:val="nil"/>
            </w:tcBorders>
            <w:shd w:val="clear" w:color="auto" w:fill="auto"/>
            <w:vAlign w:val="bottom"/>
          </w:tcPr>
          <w:p w14:paraId="51ABA5F9"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32,082</w:t>
            </w:r>
          </w:p>
        </w:tc>
      </w:tr>
      <w:tr w:rsidR="00BF2624" w:rsidRPr="00BF2624" w14:paraId="77EAD96F" w14:textId="77777777" w:rsidTr="00BF2624">
        <w:trPr>
          <w:trHeight w:val="287"/>
          <w:jc w:val="center"/>
        </w:trPr>
        <w:tc>
          <w:tcPr>
            <w:tcW w:w="1983" w:type="pct"/>
            <w:vAlign w:val="bottom"/>
          </w:tcPr>
          <w:p w14:paraId="64F483D2"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Issued guarantees in foreign currency</w:t>
            </w:r>
          </w:p>
        </w:tc>
        <w:tc>
          <w:tcPr>
            <w:tcW w:w="754" w:type="pct"/>
            <w:tcBorders>
              <w:top w:val="nil"/>
              <w:left w:val="nil"/>
              <w:bottom w:val="nil"/>
              <w:right w:val="nil"/>
            </w:tcBorders>
            <w:shd w:val="clear" w:color="auto" w:fill="auto"/>
            <w:vAlign w:val="bottom"/>
          </w:tcPr>
          <w:p w14:paraId="1371EA1B"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1,964,149</w:t>
            </w:r>
          </w:p>
        </w:tc>
        <w:tc>
          <w:tcPr>
            <w:tcW w:w="755" w:type="pct"/>
            <w:tcBorders>
              <w:top w:val="nil"/>
              <w:left w:val="nil"/>
              <w:bottom w:val="nil"/>
              <w:right w:val="nil"/>
            </w:tcBorders>
            <w:shd w:val="clear" w:color="auto" w:fill="auto"/>
            <w:vAlign w:val="bottom"/>
          </w:tcPr>
          <w:p w14:paraId="142EC6FB"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w:t>
            </w:r>
          </w:p>
        </w:tc>
        <w:tc>
          <w:tcPr>
            <w:tcW w:w="754" w:type="pct"/>
            <w:tcBorders>
              <w:top w:val="nil"/>
              <w:left w:val="nil"/>
              <w:bottom w:val="nil"/>
              <w:right w:val="nil"/>
            </w:tcBorders>
            <w:shd w:val="clear" w:color="auto" w:fill="auto"/>
            <w:vAlign w:val="bottom"/>
          </w:tcPr>
          <w:p w14:paraId="6194555C"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18,820</w:t>
            </w:r>
          </w:p>
        </w:tc>
        <w:tc>
          <w:tcPr>
            <w:tcW w:w="754" w:type="pct"/>
            <w:tcBorders>
              <w:top w:val="nil"/>
              <w:left w:val="nil"/>
              <w:bottom w:val="nil"/>
              <w:right w:val="nil"/>
            </w:tcBorders>
            <w:shd w:val="clear" w:color="auto" w:fill="auto"/>
            <w:vAlign w:val="bottom"/>
          </w:tcPr>
          <w:p w14:paraId="129BA3E2"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1,982,969</w:t>
            </w:r>
          </w:p>
        </w:tc>
      </w:tr>
      <w:tr w:rsidR="00BF2624" w:rsidRPr="00BF2624" w14:paraId="7D7A98D1" w14:textId="77777777" w:rsidTr="00BF2624">
        <w:trPr>
          <w:trHeight w:val="287"/>
          <w:jc w:val="center"/>
        </w:trPr>
        <w:tc>
          <w:tcPr>
            <w:tcW w:w="1983" w:type="pct"/>
            <w:vAlign w:val="bottom"/>
          </w:tcPr>
          <w:p w14:paraId="07A46A58"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Undrawn loans</w:t>
            </w:r>
          </w:p>
        </w:tc>
        <w:tc>
          <w:tcPr>
            <w:tcW w:w="754" w:type="pct"/>
            <w:tcBorders>
              <w:top w:val="nil"/>
              <w:left w:val="nil"/>
              <w:right w:val="nil"/>
            </w:tcBorders>
            <w:shd w:val="clear" w:color="auto" w:fill="auto"/>
            <w:vAlign w:val="bottom"/>
          </w:tcPr>
          <w:p w14:paraId="49905E8D"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3,911,236</w:t>
            </w:r>
          </w:p>
        </w:tc>
        <w:tc>
          <w:tcPr>
            <w:tcW w:w="755" w:type="pct"/>
            <w:tcBorders>
              <w:top w:val="nil"/>
              <w:left w:val="nil"/>
              <w:right w:val="nil"/>
            </w:tcBorders>
            <w:shd w:val="clear" w:color="auto" w:fill="auto"/>
            <w:vAlign w:val="bottom"/>
          </w:tcPr>
          <w:p w14:paraId="428823FC"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w:t>
            </w:r>
          </w:p>
        </w:tc>
        <w:tc>
          <w:tcPr>
            <w:tcW w:w="754" w:type="pct"/>
            <w:tcBorders>
              <w:top w:val="nil"/>
              <w:left w:val="nil"/>
              <w:right w:val="nil"/>
            </w:tcBorders>
            <w:shd w:val="clear" w:color="auto" w:fill="auto"/>
            <w:vAlign w:val="bottom"/>
          </w:tcPr>
          <w:p w14:paraId="7BD94F70"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16,941</w:t>
            </w:r>
          </w:p>
        </w:tc>
        <w:tc>
          <w:tcPr>
            <w:tcW w:w="754" w:type="pct"/>
            <w:tcBorders>
              <w:top w:val="nil"/>
              <w:left w:val="nil"/>
              <w:right w:val="nil"/>
            </w:tcBorders>
            <w:shd w:val="clear" w:color="auto" w:fill="auto"/>
            <w:vAlign w:val="bottom"/>
          </w:tcPr>
          <w:p w14:paraId="5AC9742C"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3,928,177</w:t>
            </w:r>
          </w:p>
        </w:tc>
      </w:tr>
      <w:tr w:rsidR="00BF2624" w:rsidRPr="00BF2624" w14:paraId="2635826C" w14:textId="77777777" w:rsidTr="00BF2624">
        <w:trPr>
          <w:trHeight w:val="287"/>
          <w:jc w:val="center"/>
        </w:trPr>
        <w:tc>
          <w:tcPr>
            <w:tcW w:w="1983" w:type="pct"/>
            <w:vAlign w:val="bottom"/>
          </w:tcPr>
          <w:p w14:paraId="63458C26" w14:textId="77777777" w:rsidR="00BF2624" w:rsidRPr="00BF2624" w:rsidRDefault="00BF2624" w:rsidP="00BF2624">
            <w:pPr>
              <w:tabs>
                <w:tab w:val="right" w:pos="1202"/>
              </w:tabs>
              <w:spacing w:after="0" w:line="240" w:lineRule="auto"/>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Other irrevocable contingent liabilities</w:t>
            </w:r>
          </w:p>
        </w:tc>
        <w:tc>
          <w:tcPr>
            <w:tcW w:w="754" w:type="pct"/>
            <w:vAlign w:val="bottom"/>
          </w:tcPr>
          <w:p w14:paraId="7E1E8251"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pl-PL"/>
              </w:rPr>
            </w:pPr>
            <w:r w:rsidRPr="00BF2624">
              <w:rPr>
                <w:rFonts w:asciiTheme="minorHAnsi" w:eastAsia="Times New Roman" w:hAnsiTheme="minorHAnsi" w:cs="Arial"/>
                <w:sz w:val="18"/>
                <w:szCs w:val="18"/>
                <w:lang w:val="en-US"/>
              </w:rPr>
              <w:t>335</w:t>
            </w:r>
          </w:p>
        </w:tc>
        <w:tc>
          <w:tcPr>
            <w:tcW w:w="755" w:type="pct"/>
            <w:vAlign w:val="bottom"/>
          </w:tcPr>
          <w:p w14:paraId="737A4892"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pl-PL"/>
              </w:rPr>
            </w:pPr>
            <w:r w:rsidRPr="00BF2624">
              <w:rPr>
                <w:rFonts w:asciiTheme="minorHAnsi" w:eastAsia="Times New Roman" w:hAnsiTheme="minorHAnsi" w:cs="Arial"/>
                <w:sz w:val="18"/>
                <w:szCs w:val="18"/>
                <w:lang w:val="en-US"/>
              </w:rPr>
              <w:t>-</w:t>
            </w:r>
          </w:p>
        </w:tc>
        <w:tc>
          <w:tcPr>
            <w:tcW w:w="754" w:type="pct"/>
            <w:vAlign w:val="bottom"/>
          </w:tcPr>
          <w:p w14:paraId="353EFFA7"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pl-PL"/>
              </w:rPr>
            </w:pPr>
            <w:r w:rsidRPr="00BF2624">
              <w:rPr>
                <w:rFonts w:asciiTheme="minorHAnsi" w:eastAsia="Times New Roman" w:hAnsiTheme="minorHAnsi" w:cs="Arial"/>
                <w:sz w:val="18"/>
                <w:szCs w:val="18"/>
                <w:lang w:val="en-US"/>
              </w:rPr>
              <w:t>-</w:t>
            </w:r>
          </w:p>
        </w:tc>
        <w:tc>
          <w:tcPr>
            <w:tcW w:w="754" w:type="pct"/>
            <w:vAlign w:val="bottom"/>
          </w:tcPr>
          <w:p w14:paraId="4CE271D3"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pl-PL"/>
              </w:rPr>
            </w:pPr>
            <w:r w:rsidRPr="00BF2624">
              <w:rPr>
                <w:rFonts w:asciiTheme="minorHAnsi" w:eastAsia="Times New Roman" w:hAnsiTheme="minorHAnsi" w:cs="Arial"/>
                <w:sz w:val="18"/>
                <w:szCs w:val="18"/>
                <w:lang w:val="en-US"/>
              </w:rPr>
              <w:t>335</w:t>
            </w:r>
          </w:p>
        </w:tc>
      </w:tr>
      <w:tr w:rsidR="00BF2624" w:rsidRPr="00BF2624" w14:paraId="6FA6AB37" w14:textId="77777777" w:rsidTr="00BF2624">
        <w:trPr>
          <w:trHeight w:val="103"/>
          <w:jc w:val="center"/>
        </w:trPr>
        <w:tc>
          <w:tcPr>
            <w:tcW w:w="1983" w:type="pct"/>
            <w:vAlign w:val="bottom"/>
          </w:tcPr>
          <w:p w14:paraId="6DD929BF" w14:textId="77777777" w:rsidR="00BF2624" w:rsidRPr="00BF2624" w:rsidRDefault="00BF2624" w:rsidP="00BF2624">
            <w:pPr>
              <w:keepNext/>
              <w:keepLines/>
              <w:tabs>
                <w:tab w:val="decimal" w:pos="1202"/>
              </w:tabs>
              <w:spacing w:after="0" w:line="100" w:lineRule="exact"/>
              <w:rPr>
                <w:rFonts w:asciiTheme="minorHAnsi" w:eastAsia="Times New Roman" w:hAnsiTheme="minorHAnsi" w:cs="Arial"/>
                <w:b/>
                <w:position w:val="4"/>
                <w:sz w:val="18"/>
                <w:szCs w:val="18"/>
              </w:rPr>
            </w:pPr>
          </w:p>
        </w:tc>
        <w:tc>
          <w:tcPr>
            <w:tcW w:w="754" w:type="pct"/>
            <w:tcBorders>
              <w:bottom w:val="single" w:sz="4" w:space="0" w:color="auto"/>
            </w:tcBorders>
            <w:vAlign w:val="bottom"/>
          </w:tcPr>
          <w:p w14:paraId="3F236D49" w14:textId="77777777" w:rsidR="00BF2624" w:rsidRPr="00BF2624" w:rsidRDefault="00BF2624" w:rsidP="00BF2624">
            <w:pPr>
              <w:keepNext/>
              <w:keepLines/>
              <w:tabs>
                <w:tab w:val="left" w:pos="215"/>
                <w:tab w:val="decimal" w:pos="1295"/>
              </w:tabs>
              <w:spacing w:after="0" w:line="100" w:lineRule="exact"/>
              <w:ind w:right="-148"/>
              <w:jc w:val="right"/>
              <w:rPr>
                <w:rFonts w:asciiTheme="minorHAnsi" w:eastAsia="Times New Roman" w:hAnsiTheme="minorHAnsi" w:cs="Arial"/>
                <w:b/>
                <w:snapToGrid w:val="0"/>
                <w:position w:val="4"/>
                <w:sz w:val="18"/>
                <w:szCs w:val="18"/>
                <w:lang w:val="pl-PL"/>
              </w:rPr>
            </w:pPr>
          </w:p>
        </w:tc>
        <w:tc>
          <w:tcPr>
            <w:tcW w:w="755" w:type="pct"/>
            <w:tcBorders>
              <w:bottom w:val="single" w:sz="4" w:space="0" w:color="auto"/>
            </w:tcBorders>
            <w:vAlign w:val="bottom"/>
          </w:tcPr>
          <w:p w14:paraId="4D246EBF" w14:textId="77777777" w:rsidR="00BF2624" w:rsidRPr="00BF2624" w:rsidRDefault="00BF2624" w:rsidP="00BF2624">
            <w:pPr>
              <w:keepNext/>
              <w:keepLines/>
              <w:tabs>
                <w:tab w:val="left" w:pos="215"/>
                <w:tab w:val="decimal" w:pos="1295"/>
              </w:tabs>
              <w:spacing w:after="0" w:line="100" w:lineRule="exact"/>
              <w:ind w:right="-148"/>
              <w:jc w:val="right"/>
              <w:rPr>
                <w:rFonts w:asciiTheme="minorHAnsi" w:eastAsia="Times New Roman" w:hAnsiTheme="minorHAnsi" w:cs="Arial"/>
                <w:b/>
                <w:snapToGrid w:val="0"/>
                <w:position w:val="4"/>
                <w:sz w:val="18"/>
                <w:szCs w:val="18"/>
                <w:lang w:val="pl-PL"/>
              </w:rPr>
            </w:pPr>
          </w:p>
        </w:tc>
        <w:tc>
          <w:tcPr>
            <w:tcW w:w="754" w:type="pct"/>
            <w:tcBorders>
              <w:bottom w:val="single" w:sz="4" w:space="0" w:color="auto"/>
            </w:tcBorders>
            <w:vAlign w:val="bottom"/>
          </w:tcPr>
          <w:p w14:paraId="09B97E71" w14:textId="77777777" w:rsidR="00BF2624" w:rsidRPr="00BF2624" w:rsidRDefault="00BF2624" w:rsidP="00BF2624">
            <w:pPr>
              <w:keepNext/>
              <w:keepLines/>
              <w:tabs>
                <w:tab w:val="left" w:pos="215"/>
                <w:tab w:val="decimal" w:pos="1295"/>
              </w:tabs>
              <w:spacing w:after="0" w:line="100" w:lineRule="exact"/>
              <w:ind w:right="-148"/>
              <w:jc w:val="right"/>
              <w:rPr>
                <w:rFonts w:asciiTheme="minorHAnsi" w:eastAsia="Times New Roman" w:hAnsiTheme="minorHAnsi" w:cs="Arial"/>
                <w:b/>
                <w:snapToGrid w:val="0"/>
                <w:position w:val="4"/>
                <w:sz w:val="18"/>
                <w:szCs w:val="18"/>
                <w:lang w:val="pl-PL"/>
              </w:rPr>
            </w:pPr>
          </w:p>
        </w:tc>
        <w:tc>
          <w:tcPr>
            <w:tcW w:w="754" w:type="pct"/>
            <w:tcBorders>
              <w:bottom w:val="single" w:sz="4" w:space="0" w:color="auto"/>
            </w:tcBorders>
            <w:vAlign w:val="bottom"/>
          </w:tcPr>
          <w:p w14:paraId="2C345B7E" w14:textId="77777777" w:rsidR="00BF2624" w:rsidRPr="00BF2624" w:rsidRDefault="00BF2624" w:rsidP="00BF2624">
            <w:pPr>
              <w:keepNext/>
              <w:keepLines/>
              <w:tabs>
                <w:tab w:val="left" w:pos="215"/>
                <w:tab w:val="decimal" w:pos="1295"/>
              </w:tabs>
              <w:spacing w:after="0" w:line="100" w:lineRule="exact"/>
              <w:ind w:right="-148"/>
              <w:jc w:val="right"/>
              <w:rPr>
                <w:rFonts w:asciiTheme="minorHAnsi" w:eastAsia="Times New Roman" w:hAnsiTheme="minorHAnsi" w:cs="Arial"/>
                <w:b/>
                <w:snapToGrid w:val="0"/>
                <w:position w:val="4"/>
                <w:sz w:val="18"/>
                <w:szCs w:val="18"/>
                <w:lang w:val="pl-PL"/>
              </w:rPr>
            </w:pPr>
          </w:p>
        </w:tc>
      </w:tr>
      <w:tr w:rsidR="00BF2624" w:rsidRPr="00BF2624" w14:paraId="0AF7B83C" w14:textId="77777777" w:rsidTr="00BF2624">
        <w:trPr>
          <w:trHeight w:val="322"/>
          <w:jc w:val="center"/>
        </w:trPr>
        <w:tc>
          <w:tcPr>
            <w:tcW w:w="1983" w:type="pct"/>
            <w:vAlign w:val="bottom"/>
          </w:tcPr>
          <w:p w14:paraId="680350E4" w14:textId="77777777" w:rsidR="00BF2624" w:rsidRPr="00BF2624" w:rsidRDefault="00BF2624" w:rsidP="00BF2624">
            <w:pPr>
              <w:tabs>
                <w:tab w:val="right" w:pos="1202"/>
              </w:tabs>
              <w:spacing w:after="0" w:line="340" w:lineRule="exact"/>
              <w:outlineLvl w:val="0"/>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Total</w:t>
            </w:r>
          </w:p>
        </w:tc>
        <w:tc>
          <w:tcPr>
            <w:tcW w:w="754" w:type="pct"/>
            <w:tcBorders>
              <w:top w:val="nil"/>
              <w:left w:val="nil"/>
              <w:bottom w:val="single" w:sz="12" w:space="0" w:color="auto"/>
              <w:right w:val="nil"/>
            </w:tcBorders>
            <w:shd w:val="clear" w:color="auto" w:fill="auto"/>
            <w:vAlign w:val="bottom"/>
          </w:tcPr>
          <w:p w14:paraId="62433B07"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5,907,802</w:t>
            </w:r>
          </w:p>
        </w:tc>
        <w:tc>
          <w:tcPr>
            <w:tcW w:w="755" w:type="pct"/>
            <w:tcBorders>
              <w:top w:val="nil"/>
              <w:left w:val="nil"/>
              <w:bottom w:val="single" w:sz="12" w:space="0" w:color="auto"/>
              <w:right w:val="nil"/>
            </w:tcBorders>
            <w:shd w:val="clear" w:color="auto" w:fill="auto"/>
            <w:vAlign w:val="bottom"/>
          </w:tcPr>
          <w:p w14:paraId="483C7394"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w:t>
            </w:r>
          </w:p>
        </w:tc>
        <w:tc>
          <w:tcPr>
            <w:tcW w:w="754" w:type="pct"/>
            <w:tcBorders>
              <w:top w:val="nil"/>
              <w:left w:val="nil"/>
              <w:bottom w:val="single" w:sz="12" w:space="0" w:color="auto"/>
              <w:right w:val="nil"/>
            </w:tcBorders>
            <w:shd w:val="clear" w:color="auto" w:fill="auto"/>
            <w:vAlign w:val="bottom"/>
          </w:tcPr>
          <w:p w14:paraId="522ACE27"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35,761</w:t>
            </w:r>
          </w:p>
        </w:tc>
        <w:tc>
          <w:tcPr>
            <w:tcW w:w="754" w:type="pct"/>
            <w:tcBorders>
              <w:top w:val="nil"/>
              <w:left w:val="nil"/>
              <w:bottom w:val="single" w:sz="12" w:space="0" w:color="auto"/>
              <w:right w:val="nil"/>
            </w:tcBorders>
            <w:shd w:val="clear" w:color="auto" w:fill="auto"/>
            <w:vAlign w:val="bottom"/>
          </w:tcPr>
          <w:p w14:paraId="4F33A2C1"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5,943,563</w:t>
            </w:r>
          </w:p>
        </w:tc>
      </w:tr>
      <w:tr w:rsidR="00BF2624" w:rsidRPr="00BF2624" w14:paraId="4001F910" w14:textId="77777777" w:rsidTr="00BF2624">
        <w:trPr>
          <w:trHeight w:val="129"/>
          <w:jc w:val="center"/>
        </w:trPr>
        <w:tc>
          <w:tcPr>
            <w:tcW w:w="1983" w:type="pct"/>
            <w:vAlign w:val="bottom"/>
          </w:tcPr>
          <w:p w14:paraId="5C637B69" w14:textId="77777777" w:rsidR="00BF2624" w:rsidRPr="00BF2624" w:rsidRDefault="00BF2624" w:rsidP="00BF2624">
            <w:pPr>
              <w:tabs>
                <w:tab w:val="right" w:pos="1202"/>
              </w:tabs>
              <w:spacing w:after="0" w:line="120" w:lineRule="auto"/>
              <w:outlineLvl w:val="0"/>
              <w:rPr>
                <w:rFonts w:asciiTheme="minorHAnsi" w:eastAsia="Times New Roman" w:hAnsiTheme="minorHAnsi" w:cs="Arial"/>
                <w:b/>
                <w:bCs/>
                <w:sz w:val="18"/>
                <w:szCs w:val="18"/>
              </w:rPr>
            </w:pPr>
          </w:p>
        </w:tc>
        <w:tc>
          <w:tcPr>
            <w:tcW w:w="754" w:type="pct"/>
            <w:tcBorders>
              <w:top w:val="single" w:sz="12" w:space="0" w:color="auto"/>
            </w:tcBorders>
            <w:vAlign w:val="bottom"/>
          </w:tcPr>
          <w:p w14:paraId="6F824C06"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en-US"/>
              </w:rPr>
            </w:pPr>
          </w:p>
        </w:tc>
        <w:tc>
          <w:tcPr>
            <w:tcW w:w="755" w:type="pct"/>
            <w:tcBorders>
              <w:top w:val="single" w:sz="12" w:space="0" w:color="auto"/>
            </w:tcBorders>
            <w:vAlign w:val="bottom"/>
          </w:tcPr>
          <w:p w14:paraId="74AB7D0F"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en-US"/>
              </w:rPr>
            </w:pPr>
          </w:p>
        </w:tc>
        <w:tc>
          <w:tcPr>
            <w:tcW w:w="754" w:type="pct"/>
            <w:tcBorders>
              <w:top w:val="single" w:sz="12" w:space="0" w:color="auto"/>
            </w:tcBorders>
            <w:vAlign w:val="bottom"/>
          </w:tcPr>
          <w:p w14:paraId="71E9A474"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en-US"/>
              </w:rPr>
            </w:pPr>
          </w:p>
        </w:tc>
        <w:tc>
          <w:tcPr>
            <w:tcW w:w="754" w:type="pct"/>
            <w:tcBorders>
              <w:top w:val="single" w:sz="12" w:space="0" w:color="auto"/>
            </w:tcBorders>
            <w:vAlign w:val="bottom"/>
          </w:tcPr>
          <w:p w14:paraId="2B56E7A9"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en-US"/>
              </w:rPr>
            </w:pPr>
          </w:p>
        </w:tc>
      </w:tr>
      <w:tr w:rsidR="00BF2624" w:rsidRPr="00BF2624" w14:paraId="052BE5DB" w14:textId="77777777" w:rsidTr="00BF2624">
        <w:trPr>
          <w:trHeight w:val="322"/>
          <w:jc w:val="center"/>
        </w:trPr>
        <w:tc>
          <w:tcPr>
            <w:tcW w:w="1983" w:type="pct"/>
            <w:vAlign w:val="bottom"/>
          </w:tcPr>
          <w:p w14:paraId="26BCBD45" w14:textId="77777777" w:rsidR="00BF2624" w:rsidRPr="00BF2624" w:rsidRDefault="00BF2624" w:rsidP="00BF2624">
            <w:pPr>
              <w:tabs>
                <w:tab w:val="right" w:pos="1202"/>
              </w:tabs>
              <w:spacing w:after="0" w:line="240" w:lineRule="exact"/>
              <w:outlineLvl w:val="0"/>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Total credit risk exposure</w:t>
            </w:r>
          </w:p>
        </w:tc>
        <w:tc>
          <w:tcPr>
            <w:tcW w:w="754" w:type="pct"/>
            <w:tcBorders>
              <w:top w:val="nil"/>
              <w:left w:val="nil"/>
              <w:bottom w:val="single" w:sz="12" w:space="0" w:color="auto"/>
              <w:right w:val="nil"/>
            </w:tcBorders>
            <w:shd w:val="clear" w:color="auto" w:fill="auto"/>
            <w:vAlign w:val="bottom"/>
          </w:tcPr>
          <w:p w14:paraId="31B5CD78"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31,291,833</w:t>
            </w:r>
          </w:p>
        </w:tc>
        <w:tc>
          <w:tcPr>
            <w:tcW w:w="755" w:type="pct"/>
            <w:tcBorders>
              <w:top w:val="nil"/>
              <w:left w:val="nil"/>
              <w:bottom w:val="single" w:sz="12" w:space="0" w:color="auto"/>
              <w:right w:val="nil"/>
            </w:tcBorders>
            <w:shd w:val="clear" w:color="auto" w:fill="auto"/>
            <w:vAlign w:val="bottom"/>
          </w:tcPr>
          <w:p w14:paraId="2698406C"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379,545</w:t>
            </w:r>
          </w:p>
        </w:tc>
        <w:tc>
          <w:tcPr>
            <w:tcW w:w="754" w:type="pct"/>
            <w:tcBorders>
              <w:top w:val="nil"/>
              <w:left w:val="nil"/>
              <w:bottom w:val="single" w:sz="12" w:space="0" w:color="auto"/>
              <w:right w:val="nil"/>
            </w:tcBorders>
            <w:shd w:val="clear" w:color="auto" w:fill="auto"/>
            <w:vAlign w:val="bottom"/>
          </w:tcPr>
          <w:p w14:paraId="39EC422E"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1,548,648</w:t>
            </w:r>
          </w:p>
        </w:tc>
        <w:tc>
          <w:tcPr>
            <w:tcW w:w="754" w:type="pct"/>
            <w:tcBorders>
              <w:top w:val="nil"/>
              <w:left w:val="nil"/>
              <w:bottom w:val="single" w:sz="12" w:space="0" w:color="auto"/>
              <w:right w:val="nil"/>
            </w:tcBorders>
            <w:shd w:val="clear" w:color="auto" w:fill="auto"/>
            <w:vAlign w:val="bottom"/>
          </w:tcPr>
          <w:p w14:paraId="37B3BB79"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33,220,026</w:t>
            </w:r>
          </w:p>
        </w:tc>
      </w:tr>
      <w:tr w:rsidR="00BF2624" w:rsidRPr="00BF2624" w14:paraId="45C3B47A" w14:textId="77777777" w:rsidTr="00BF2624">
        <w:trPr>
          <w:trHeight w:val="103"/>
          <w:jc w:val="center"/>
        </w:trPr>
        <w:tc>
          <w:tcPr>
            <w:tcW w:w="1983" w:type="pct"/>
          </w:tcPr>
          <w:p w14:paraId="001DAE52" w14:textId="77777777" w:rsidR="00BF2624" w:rsidRPr="00BF2624" w:rsidRDefault="00BF2624" w:rsidP="00BF2624">
            <w:pPr>
              <w:keepNext/>
              <w:keepLines/>
              <w:tabs>
                <w:tab w:val="decimal" w:pos="1202"/>
              </w:tabs>
              <w:spacing w:after="0" w:line="100" w:lineRule="exact"/>
              <w:rPr>
                <w:rFonts w:asciiTheme="minorHAnsi" w:eastAsia="Times New Roman" w:hAnsiTheme="minorHAnsi" w:cs="Arial"/>
                <w:b/>
                <w:position w:val="4"/>
                <w:sz w:val="18"/>
                <w:szCs w:val="18"/>
                <w:u w:val="thick"/>
              </w:rPr>
            </w:pPr>
          </w:p>
        </w:tc>
        <w:tc>
          <w:tcPr>
            <w:tcW w:w="754" w:type="pct"/>
            <w:tcBorders>
              <w:top w:val="single" w:sz="12" w:space="0" w:color="auto"/>
            </w:tcBorders>
            <w:vAlign w:val="bottom"/>
          </w:tcPr>
          <w:p w14:paraId="0DB53644"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rPr>
            </w:pPr>
          </w:p>
        </w:tc>
        <w:tc>
          <w:tcPr>
            <w:tcW w:w="755" w:type="pct"/>
            <w:tcBorders>
              <w:top w:val="single" w:sz="12" w:space="0" w:color="auto"/>
            </w:tcBorders>
            <w:vAlign w:val="bottom"/>
          </w:tcPr>
          <w:p w14:paraId="7BEF8433"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rPr>
            </w:pPr>
          </w:p>
        </w:tc>
        <w:tc>
          <w:tcPr>
            <w:tcW w:w="754" w:type="pct"/>
            <w:tcBorders>
              <w:top w:val="single" w:sz="12" w:space="0" w:color="auto"/>
            </w:tcBorders>
            <w:vAlign w:val="bottom"/>
          </w:tcPr>
          <w:p w14:paraId="2EAF9B43"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rPr>
            </w:pPr>
          </w:p>
        </w:tc>
        <w:tc>
          <w:tcPr>
            <w:tcW w:w="754" w:type="pct"/>
            <w:tcBorders>
              <w:top w:val="single" w:sz="12" w:space="0" w:color="auto"/>
            </w:tcBorders>
            <w:vAlign w:val="bottom"/>
          </w:tcPr>
          <w:p w14:paraId="21E41343"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rPr>
            </w:pPr>
          </w:p>
        </w:tc>
      </w:tr>
    </w:tbl>
    <w:p w14:paraId="7FEF7C91" w14:textId="77777777" w:rsidR="009702B0" w:rsidRPr="009702B0" w:rsidRDefault="009702B0" w:rsidP="009702B0">
      <w:pPr>
        <w:spacing w:after="0" w:line="240" w:lineRule="auto"/>
        <w:jc w:val="both"/>
        <w:rPr>
          <w:rFonts w:cs="Arial"/>
          <w:sz w:val="20"/>
          <w:szCs w:val="20"/>
        </w:rPr>
      </w:pPr>
    </w:p>
    <w:p w14:paraId="218AB51F" w14:textId="77777777" w:rsidR="009702B0" w:rsidRPr="009702B0" w:rsidRDefault="009702B0" w:rsidP="009702B0">
      <w:pPr>
        <w:jc w:val="both"/>
        <w:rPr>
          <w:highlight w:val="yellow"/>
        </w:rPr>
        <w:sectPr w:rsidR="009702B0" w:rsidRPr="009702B0" w:rsidSect="00947CB7">
          <w:footerReference w:type="first" r:id="rId93"/>
          <w:pgSz w:w="11906" w:h="16838" w:code="9"/>
          <w:pgMar w:top="1418" w:right="1418" w:bottom="595" w:left="1134" w:header="709" w:footer="709" w:gutter="0"/>
          <w:cols w:space="708"/>
          <w:titlePg/>
          <w:docGrid w:linePitch="360"/>
        </w:sectPr>
      </w:pPr>
    </w:p>
    <w:p w14:paraId="61533635" w14:textId="77777777" w:rsidR="009702B0" w:rsidRPr="009702B0" w:rsidRDefault="009702B0" w:rsidP="009702B0">
      <w:pPr>
        <w:keepNext/>
        <w:spacing w:after="0" w:line="240" w:lineRule="auto"/>
        <w:jc w:val="both"/>
        <w:rPr>
          <w:rFonts w:eastAsia="Times New Roman" w:cs="Arial"/>
          <w:b/>
          <w:bCs/>
        </w:rPr>
      </w:pPr>
    </w:p>
    <w:p w14:paraId="50538830"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00011FEA">
        <w:rPr>
          <w:rFonts w:eastAsia="Times New Roman" w:cs="Arial"/>
          <w:b/>
          <w:bCs/>
        </w:rPr>
        <w:t>.</w:t>
      </w:r>
      <w:r w:rsidRPr="009702B0">
        <w:rPr>
          <w:rFonts w:eastAsia="Times New Roman" w:cs="Arial"/>
          <w:b/>
          <w:bCs/>
        </w:rPr>
        <w:tab/>
        <w:t>Risk management (continued)</w:t>
      </w:r>
    </w:p>
    <w:p w14:paraId="2F9C79B9" w14:textId="77777777" w:rsidR="009702B0" w:rsidRPr="009702B0" w:rsidRDefault="009702B0" w:rsidP="009702B0">
      <w:pPr>
        <w:keepNext/>
        <w:spacing w:after="0" w:line="240" w:lineRule="auto"/>
        <w:jc w:val="both"/>
        <w:rPr>
          <w:rFonts w:eastAsia="Times New Roman" w:cs="Arial"/>
          <w:b/>
          <w:bCs/>
        </w:rPr>
      </w:pPr>
    </w:p>
    <w:p w14:paraId="20F67158"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00011FEA">
        <w:rPr>
          <w:rFonts w:eastAsia="Times New Roman" w:cs="Arial"/>
          <w:b/>
          <w:bCs/>
        </w:rPr>
        <w:t>.</w:t>
      </w:r>
      <w:r w:rsidRPr="009702B0">
        <w:rPr>
          <w:rFonts w:eastAsia="Times New Roman" w:cs="Arial"/>
          <w:b/>
          <w:bCs/>
        </w:rPr>
        <w:t>2</w:t>
      </w:r>
      <w:r w:rsidR="00011FEA">
        <w:rPr>
          <w:rFonts w:eastAsia="Times New Roman" w:cs="Arial"/>
          <w:b/>
          <w:bCs/>
        </w:rPr>
        <w:t>.</w:t>
      </w:r>
      <w:r w:rsidRPr="009702B0">
        <w:rPr>
          <w:rFonts w:eastAsia="Times New Roman" w:cs="Arial"/>
          <w:b/>
          <w:bCs/>
        </w:rPr>
        <w:t xml:space="preserve"> </w:t>
      </w:r>
      <w:r w:rsidRPr="009702B0">
        <w:rPr>
          <w:rFonts w:eastAsia="Times New Roman" w:cs="Arial"/>
          <w:b/>
          <w:bCs/>
        </w:rPr>
        <w:tab/>
        <w:t>Credit risk (continued)</w:t>
      </w:r>
    </w:p>
    <w:p w14:paraId="29670D38" w14:textId="77777777" w:rsidR="009702B0" w:rsidRPr="009702B0" w:rsidRDefault="009702B0" w:rsidP="009702B0">
      <w:pPr>
        <w:keepNext/>
        <w:spacing w:after="0" w:line="240" w:lineRule="auto"/>
        <w:jc w:val="both"/>
        <w:rPr>
          <w:rFonts w:eastAsia="Times New Roman" w:cs="Arial"/>
          <w:b/>
          <w:bCs/>
        </w:rPr>
      </w:pPr>
    </w:p>
    <w:p w14:paraId="7172E56C"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Credit risk quality according to type of financial assets (continued)</w:t>
      </w:r>
    </w:p>
    <w:p w14:paraId="5FD85665" w14:textId="77777777" w:rsidR="009702B0" w:rsidRPr="009702B0" w:rsidRDefault="009702B0" w:rsidP="009702B0">
      <w:pPr>
        <w:keepNext/>
        <w:spacing w:after="0" w:line="240" w:lineRule="auto"/>
        <w:jc w:val="both"/>
        <w:rPr>
          <w:rFonts w:eastAsia="Times New Roman" w:cs="Arial"/>
          <w:b/>
          <w:bCs/>
          <w:sz w:val="20"/>
          <w:szCs w:val="20"/>
        </w:rPr>
      </w:pPr>
    </w:p>
    <w:p w14:paraId="09774BC5" w14:textId="77777777" w:rsidR="009702B0" w:rsidRPr="009702B0" w:rsidRDefault="009702B0" w:rsidP="009702B0">
      <w:pPr>
        <w:spacing w:after="0" w:line="240" w:lineRule="auto"/>
        <w:jc w:val="both"/>
        <w:rPr>
          <w:rFonts w:cs="Arial"/>
          <w:sz w:val="20"/>
          <w:szCs w:val="20"/>
        </w:rPr>
      </w:pPr>
      <w:r w:rsidRPr="009702B0">
        <w:rPr>
          <w:rFonts w:cs="Arial"/>
          <w:sz w:val="20"/>
          <w:szCs w:val="20"/>
        </w:rPr>
        <w:t>Credit risk quality according to the gross exposure of the type of financial assets on positions of assets and guarantees and commitments by risk category (continued):</w:t>
      </w:r>
    </w:p>
    <w:p w14:paraId="40A26755" w14:textId="77777777" w:rsidR="009702B0" w:rsidRPr="009702B0" w:rsidRDefault="009702B0" w:rsidP="009702B0">
      <w:pPr>
        <w:spacing w:after="0" w:line="240" w:lineRule="auto"/>
        <w:jc w:val="both"/>
        <w:rPr>
          <w:rFonts w:cs="Arial"/>
        </w:rPr>
      </w:pPr>
    </w:p>
    <w:tbl>
      <w:tblPr>
        <w:tblW w:w="5000" w:type="pct"/>
        <w:jc w:val="center"/>
        <w:tblLayout w:type="fixed"/>
        <w:tblLook w:val="0000" w:firstRow="0" w:lastRow="0" w:firstColumn="0" w:lastColumn="0" w:noHBand="0" w:noVBand="0"/>
      </w:tblPr>
      <w:tblGrid>
        <w:gridCol w:w="3608"/>
        <w:gridCol w:w="1437"/>
        <w:gridCol w:w="1437"/>
        <w:gridCol w:w="1437"/>
        <w:gridCol w:w="1435"/>
      </w:tblGrid>
      <w:tr w:rsidR="009702B0" w:rsidRPr="00BF2624" w14:paraId="50E4C093" w14:textId="77777777" w:rsidTr="00BA3F2A">
        <w:trPr>
          <w:trHeight w:val="1287"/>
          <w:jc w:val="center"/>
        </w:trPr>
        <w:tc>
          <w:tcPr>
            <w:tcW w:w="1929" w:type="pct"/>
            <w:vAlign w:val="center"/>
          </w:tcPr>
          <w:p w14:paraId="31630C82" w14:textId="77777777" w:rsidR="009702B0" w:rsidRPr="00BF2624" w:rsidRDefault="009702B0" w:rsidP="009702B0">
            <w:pPr>
              <w:spacing w:after="0" w:line="240" w:lineRule="exact"/>
              <w:rPr>
                <w:rFonts w:cs="Arial"/>
                <w:b/>
                <w:bCs/>
                <w:sz w:val="18"/>
                <w:szCs w:val="18"/>
              </w:rPr>
            </w:pPr>
            <w:r w:rsidRPr="00BF2624">
              <w:rPr>
                <w:rFonts w:cs="Arial"/>
                <w:b/>
                <w:bCs/>
                <w:sz w:val="18"/>
                <w:szCs w:val="18"/>
              </w:rPr>
              <w:br w:type="page"/>
              <w:t>Bank</w:t>
            </w:r>
          </w:p>
          <w:p w14:paraId="3FE3AEE5" w14:textId="77777777" w:rsidR="009702B0" w:rsidRPr="00BF2624" w:rsidRDefault="009702B0" w:rsidP="009702B0">
            <w:pPr>
              <w:spacing w:after="0" w:line="240" w:lineRule="exact"/>
              <w:rPr>
                <w:rFonts w:cs="Arial"/>
                <w:b/>
                <w:bCs/>
                <w:sz w:val="18"/>
                <w:szCs w:val="18"/>
              </w:rPr>
            </w:pPr>
          </w:p>
          <w:p w14:paraId="1CB94E9A" w14:textId="77777777" w:rsidR="009702B0" w:rsidRPr="00BF2624" w:rsidRDefault="009702B0" w:rsidP="009702B0">
            <w:pPr>
              <w:spacing w:after="0" w:line="240" w:lineRule="exact"/>
              <w:rPr>
                <w:rFonts w:cs="Arial"/>
                <w:b/>
                <w:bCs/>
                <w:sz w:val="18"/>
                <w:szCs w:val="18"/>
              </w:rPr>
            </w:pPr>
          </w:p>
          <w:p w14:paraId="0C092165" w14:textId="77777777" w:rsidR="009702B0" w:rsidRPr="00BF2624" w:rsidRDefault="009702B0" w:rsidP="009702B0">
            <w:pPr>
              <w:spacing w:after="0" w:line="240" w:lineRule="exact"/>
              <w:rPr>
                <w:rFonts w:cs="Arial"/>
                <w:b/>
                <w:bCs/>
                <w:sz w:val="18"/>
                <w:szCs w:val="18"/>
              </w:rPr>
            </w:pPr>
          </w:p>
          <w:p w14:paraId="5552E30D" w14:textId="286E9E3C" w:rsidR="009702B0" w:rsidRPr="00BF2624" w:rsidRDefault="008A761F">
            <w:pPr>
              <w:spacing w:after="0" w:line="240" w:lineRule="exact"/>
              <w:rPr>
                <w:rFonts w:cs="Arial"/>
                <w:sz w:val="18"/>
                <w:szCs w:val="18"/>
              </w:rPr>
            </w:pPr>
            <w:r>
              <w:rPr>
                <w:rFonts w:cs="Arial"/>
                <w:b/>
                <w:bCs/>
                <w:sz w:val="18"/>
                <w:szCs w:val="18"/>
              </w:rPr>
              <w:t>Sep</w:t>
            </w:r>
            <w:r w:rsidRPr="00BF2624">
              <w:rPr>
                <w:rFonts w:cs="Arial"/>
                <w:b/>
                <w:bCs/>
                <w:sz w:val="18"/>
                <w:szCs w:val="18"/>
              </w:rPr>
              <w:t xml:space="preserve"> </w:t>
            </w:r>
            <w:r w:rsidR="008E562F">
              <w:rPr>
                <w:rFonts w:cs="Arial"/>
                <w:b/>
                <w:bCs/>
                <w:sz w:val="18"/>
                <w:szCs w:val="18"/>
              </w:rPr>
              <w:t>30</w:t>
            </w:r>
            <w:r w:rsidR="00BF2624" w:rsidRPr="00BF2624">
              <w:rPr>
                <w:rFonts w:cs="Arial"/>
                <w:b/>
                <w:bCs/>
                <w:sz w:val="18"/>
                <w:szCs w:val="18"/>
              </w:rPr>
              <w:t>, 2017</w:t>
            </w:r>
          </w:p>
        </w:tc>
        <w:tc>
          <w:tcPr>
            <w:tcW w:w="768" w:type="pct"/>
          </w:tcPr>
          <w:p w14:paraId="67DD4EE0" w14:textId="77777777" w:rsidR="00BF2624" w:rsidRDefault="009702B0" w:rsidP="009702B0">
            <w:pPr>
              <w:spacing w:after="0" w:line="220" w:lineRule="exact"/>
              <w:jc w:val="right"/>
              <w:rPr>
                <w:rFonts w:cs="Arial"/>
                <w:b/>
                <w:sz w:val="18"/>
                <w:szCs w:val="18"/>
              </w:rPr>
            </w:pPr>
            <w:r w:rsidRPr="00BF2624">
              <w:rPr>
                <w:rFonts w:cs="Arial"/>
                <w:b/>
                <w:sz w:val="18"/>
                <w:szCs w:val="18"/>
              </w:rPr>
              <w:t xml:space="preserve">Gross </w:t>
            </w:r>
          </w:p>
          <w:p w14:paraId="3027C975" w14:textId="77777777" w:rsidR="009702B0" w:rsidRPr="00BF2624" w:rsidRDefault="009702B0" w:rsidP="009702B0">
            <w:pPr>
              <w:spacing w:after="0" w:line="220" w:lineRule="exact"/>
              <w:jc w:val="right"/>
              <w:rPr>
                <w:rFonts w:cs="Arial"/>
                <w:b/>
                <w:sz w:val="18"/>
                <w:szCs w:val="18"/>
              </w:rPr>
            </w:pPr>
            <w:r w:rsidRPr="00BF2624">
              <w:rPr>
                <w:rFonts w:cs="Arial"/>
                <w:b/>
                <w:sz w:val="18"/>
                <w:szCs w:val="18"/>
              </w:rPr>
              <w:t>exposure neither past due nor impaired</w:t>
            </w:r>
          </w:p>
        </w:tc>
        <w:tc>
          <w:tcPr>
            <w:tcW w:w="768" w:type="pct"/>
          </w:tcPr>
          <w:p w14:paraId="01685E6E" w14:textId="77777777" w:rsidR="00BF2624" w:rsidRDefault="009702B0" w:rsidP="009702B0">
            <w:pPr>
              <w:spacing w:after="0" w:line="220" w:lineRule="exact"/>
              <w:jc w:val="right"/>
              <w:rPr>
                <w:rFonts w:cs="Arial"/>
                <w:b/>
                <w:sz w:val="18"/>
                <w:szCs w:val="18"/>
              </w:rPr>
            </w:pPr>
            <w:r w:rsidRPr="00BF2624">
              <w:rPr>
                <w:rFonts w:cs="Arial"/>
                <w:b/>
                <w:sz w:val="18"/>
                <w:szCs w:val="18"/>
              </w:rPr>
              <w:t xml:space="preserve">Gross </w:t>
            </w:r>
          </w:p>
          <w:p w14:paraId="1BFB5C08" w14:textId="77777777" w:rsidR="009702B0" w:rsidRPr="00BF2624" w:rsidRDefault="009702B0" w:rsidP="009702B0">
            <w:pPr>
              <w:spacing w:after="0" w:line="220" w:lineRule="exact"/>
              <w:jc w:val="right"/>
              <w:rPr>
                <w:rFonts w:cs="Arial"/>
                <w:b/>
                <w:sz w:val="18"/>
                <w:szCs w:val="18"/>
              </w:rPr>
            </w:pPr>
            <w:r w:rsidRPr="00BF2624">
              <w:rPr>
                <w:rFonts w:cs="Arial"/>
                <w:b/>
                <w:sz w:val="18"/>
                <w:szCs w:val="18"/>
              </w:rPr>
              <w:t xml:space="preserve">exposure </w:t>
            </w:r>
          </w:p>
          <w:p w14:paraId="15066FFC" w14:textId="77777777" w:rsidR="001A56F0" w:rsidRPr="00BF2624" w:rsidRDefault="009702B0" w:rsidP="009702B0">
            <w:pPr>
              <w:spacing w:after="0" w:line="220" w:lineRule="exact"/>
              <w:jc w:val="right"/>
              <w:rPr>
                <w:rFonts w:cs="Arial"/>
                <w:b/>
                <w:sz w:val="18"/>
                <w:szCs w:val="18"/>
              </w:rPr>
            </w:pPr>
            <w:r w:rsidRPr="00BF2624">
              <w:rPr>
                <w:rFonts w:cs="Arial"/>
                <w:b/>
                <w:sz w:val="18"/>
                <w:szCs w:val="18"/>
              </w:rPr>
              <w:t xml:space="preserve">past due </w:t>
            </w:r>
          </w:p>
          <w:p w14:paraId="3302C3B1" w14:textId="77777777" w:rsidR="001A56F0" w:rsidRPr="00BF2624" w:rsidRDefault="009702B0" w:rsidP="009702B0">
            <w:pPr>
              <w:spacing w:after="0" w:line="220" w:lineRule="exact"/>
              <w:jc w:val="right"/>
              <w:rPr>
                <w:rFonts w:cs="Arial"/>
                <w:b/>
                <w:sz w:val="18"/>
                <w:szCs w:val="18"/>
              </w:rPr>
            </w:pPr>
            <w:r w:rsidRPr="00BF2624">
              <w:rPr>
                <w:rFonts w:cs="Arial"/>
                <w:b/>
                <w:sz w:val="18"/>
                <w:szCs w:val="18"/>
              </w:rPr>
              <w:t>not</w:t>
            </w:r>
          </w:p>
          <w:p w14:paraId="0C1A34C8" w14:textId="77777777" w:rsidR="009702B0" w:rsidRPr="00BF2624" w:rsidRDefault="009702B0" w:rsidP="009702B0">
            <w:pPr>
              <w:spacing w:after="0" w:line="220" w:lineRule="exact"/>
              <w:jc w:val="right"/>
              <w:rPr>
                <w:rFonts w:cs="Arial"/>
                <w:b/>
                <w:sz w:val="18"/>
                <w:szCs w:val="18"/>
              </w:rPr>
            </w:pPr>
            <w:r w:rsidRPr="00BF2624">
              <w:rPr>
                <w:rFonts w:cs="Arial"/>
                <w:b/>
                <w:sz w:val="18"/>
                <w:szCs w:val="18"/>
              </w:rPr>
              <w:t xml:space="preserve"> impaired</w:t>
            </w:r>
          </w:p>
        </w:tc>
        <w:tc>
          <w:tcPr>
            <w:tcW w:w="768" w:type="pct"/>
          </w:tcPr>
          <w:p w14:paraId="6467A5D2" w14:textId="77777777" w:rsidR="00BF2624" w:rsidRDefault="009702B0" w:rsidP="009702B0">
            <w:pPr>
              <w:spacing w:after="0" w:line="220" w:lineRule="exact"/>
              <w:jc w:val="right"/>
              <w:rPr>
                <w:rFonts w:cs="Arial"/>
                <w:b/>
                <w:sz w:val="18"/>
                <w:szCs w:val="18"/>
              </w:rPr>
            </w:pPr>
            <w:r w:rsidRPr="00BF2624">
              <w:rPr>
                <w:rFonts w:cs="Arial"/>
                <w:b/>
                <w:sz w:val="18"/>
                <w:szCs w:val="18"/>
              </w:rPr>
              <w:t xml:space="preserve">Gross </w:t>
            </w:r>
          </w:p>
          <w:p w14:paraId="77516495" w14:textId="77777777" w:rsidR="009702B0" w:rsidRPr="00BF2624" w:rsidRDefault="009702B0" w:rsidP="009702B0">
            <w:pPr>
              <w:spacing w:after="0" w:line="220" w:lineRule="exact"/>
              <w:jc w:val="right"/>
              <w:rPr>
                <w:rFonts w:cs="Arial"/>
                <w:b/>
                <w:sz w:val="18"/>
                <w:szCs w:val="18"/>
              </w:rPr>
            </w:pPr>
            <w:r w:rsidRPr="00BF2624">
              <w:rPr>
                <w:rFonts w:cs="Arial"/>
                <w:b/>
                <w:sz w:val="18"/>
                <w:szCs w:val="18"/>
              </w:rPr>
              <w:t xml:space="preserve">exposure </w:t>
            </w:r>
          </w:p>
          <w:p w14:paraId="088C90E2" w14:textId="77777777" w:rsidR="009702B0" w:rsidRPr="00BF2624" w:rsidRDefault="009702B0" w:rsidP="009702B0">
            <w:pPr>
              <w:spacing w:after="0" w:line="220" w:lineRule="exact"/>
              <w:jc w:val="right"/>
              <w:rPr>
                <w:rFonts w:cs="Arial"/>
                <w:b/>
                <w:sz w:val="18"/>
                <w:szCs w:val="18"/>
              </w:rPr>
            </w:pPr>
            <w:r w:rsidRPr="00BF2624">
              <w:rPr>
                <w:rFonts w:cs="Arial"/>
                <w:b/>
                <w:sz w:val="18"/>
                <w:szCs w:val="18"/>
              </w:rPr>
              <w:t>individually impaired</w:t>
            </w:r>
          </w:p>
        </w:tc>
        <w:tc>
          <w:tcPr>
            <w:tcW w:w="767" w:type="pct"/>
            <w:vAlign w:val="center"/>
          </w:tcPr>
          <w:p w14:paraId="139EDF2F" w14:textId="77777777" w:rsidR="009702B0" w:rsidRPr="00BF2624" w:rsidRDefault="009702B0" w:rsidP="009702B0">
            <w:pPr>
              <w:spacing w:after="0" w:line="240" w:lineRule="exact"/>
              <w:jc w:val="right"/>
              <w:rPr>
                <w:rFonts w:cs="Arial"/>
                <w:b/>
                <w:sz w:val="18"/>
                <w:szCs w:val="18"/>
              </w:rPr>
            </w:pPr>
            <w:r w:rsidRPr="00BF2624">
              <w:rPr>
                <w:rFonts w:cs="Arial"/>
                <w:b/>
                <w:sz w:val="18"/>
                <w:szCs w:val="18"/>
              </w:rPr>
              <w:t>Total</w:t>
            </w:r>
          </w:p>
        </w:tc>
      </w:tr>
      <w:tr w:rsidR="009702B0" w:rsidRPr="00BF2624" w14:paraId="199FBD03" w14:textId="77777777" w:rsidTr="00BA3F2A">
        <w:trPr>
          <w:trHeight w:val="367"/>
          <w:jc w:val="center"/>
        </w:trPr>
        <w:tc>
          <w:tcPr>
            <w:tcW w:w="1929" w:type="pct"/>
            <w:vAlign w:val="bottom"/>
          </w:tcPr>
          <w:p w14:paraId="72BCB193" w14:textId="77777777" w:rsidR="009702B0" w:rsidRPr="00BF2624" w:rsidRDefault="009702B0" w:rsidP="009702B0">
            <w:pPr>
              <w:tabs>
                <w:tab w:val="right" w:pos="1202"/>
              </w:tabs>
              <w:spacing w:after="0" w:line="280" w:lineRule="exact"/>
              <w:outlineLvl w:val="0"/>
              <w:rPr>
                <w:rFonts w:eastAsia="Times New Roman" w:cs="Arial"/>
                <w:b/>
                <w:bCs/>
                <w:sz w:val="18"/>
                <w:szCs w:val="18"/>
              </w:rPr>
            </w:pPr>
            <w:r w:rsidRPr="00BF2624">
              <w:rPr>
                <w:rFonts w:eastAsia="Times New Roman" w:cs="Arial"/>
                <w:b/>
                <w:bCs/>
                <w:sz w:val="18"/>
                <w:szCs w:val="18"/>
              </w:rPr>
              <w:t xml:space="preserve">Assets </w:t>
            </w:r>
          </w:p>
        </w:tc>
        <w:tc>
          <w:tcPr>
            <w:tcW w:w="768" w:type="pct"/>
          </w:tcPr>
          <w:p w14:paraId="4BF53D00" w14:textId="77777777" w:rsidR="009702B0" w:rsidRPr="00BF2624" w:rsidRDefault="009702B0" w:rsidP="009702B0">
            <w:pPr>
              <w:tabs>
                <w:tab w:val="right" w:pos="1202"/>
              </w:tabs>
              <w:spacing w:after="0" w:line="280" w:lineRule="exact"/>
              <w:outlineLvl w:val="0"/>
              <w:rPr>
                <w:rFonts w:eastAsia="Times New Roman" w:cs="Arial"/>
                <w:b/>
                <w:bCs/>
                <w:sz w:val="18"/>
                <w:szCs w:val="18"/>
              </w:rPr>
            </w:pPr>
          </w:p>
        </w:tc>
        <w:tc>
          <w:tcPr>
            <w:tcW w:w="768" w:type="pct"/>
          </w:tcPr>
          <w:p w14:paraId="1A3218B9" w14:textId="77777777" w:rsidR="009702B0" w:rsidRPr="00BF2624" w:rsidRDefault="009702B0" w:rsidP="009702B0">
            <w:pPr>
              <w:tabs>
                <w:tab w:val="right" w:pos="1202"/>
              </w:tabs>
              <w:spacing w:after="0" w:line="280" w:lineRule="exact"/>
              <w:outlineLvl w:val="0"/>
              <w:rPr>
                <w:rFonts w:eastAsia="Times New Roman" w:cs="Arial"/>
                <w:b/>
                <w:bCs/>
                <w:sz w:val="18"/>
                <w:szCs w:val="18"/>
              </w:rPr>
            </w:pPr>
          </w:p>
        </w:tc>
        <w:tc>
          <w:tcPr>
            <w:tcW w:w="768" w:type="pct"/>
          </w:tcPr>
          <w:p w14:paraId="0EEB1E04" w14:textId="77777777" w:rsidR="009702B0" w:rsidRPr="00BF2624" w:rsidRDefault="009702B0" w:rsidP="009702B0">
            <w:pPr>
              <w:tabs>
                <w:tab w:val="right" w:pos="1202"/>
              </w:tabs>
              <w:spacing w:after="0" w:line="280" w:lineRule="exact"/>
              <w:outlineLvl w:val="0"/>
              <w:rPr>
                <w:rFonts w:eastAsia="Times New Roman" w:cs="Arial"/>
                <w:b/>
                <w:bCs/>
                <w:sz w:val="18"/>
                <w:szCs w:val="18"/>
              </w:rPr>
            </w:pPr>
          </w:p>
        </w:tc>
        <w:tc>
          <w:tcPr>
            <w:tcW w:w="767" w:type="pct"/>
          </w:tcPr>
          <w:p w14:paraId="6CEB4AC1" w14:textId="77777777" w:rsidR="009702B0" w:rsidRPr="00BF2624" w:rsidRDefault="009702B0" w:rsidP="009702B0">
            <w:pPr>
              <w:tabs>
                <w:tab w:val="right" w:pos="1202"/>
              </w:tabs>
              <w:spacing w:after="0" w:line="280" w:lineRule="exact"/>
              <w:outlineLvl w:val="0"/>
              <w:rPr>
                <w:rFonts w:eastAsia="Times New Roman" w:cs="Arial"/>
                <w:b/>
                <w:bCs/>
                <w:sz w:val="18"/>
                <w:szCs w:val="18"/>
              </w:rPr>
            </w:pPr>
          </w:p>
        </w:tc>
      </w:tr>
      <w:tr w:rsidR="00AF2F43" w:rsidRPr="00BF2624" w14:paraId="1EB2045F" w14:textId="77777777" w:rsidTr="006B318F">
        <w:trPr>
          <w:trHeight w:val="282"/>
          <w:jc w:val="center"/>
        </w:trPr>
        <w:tc>
          <w:tcPr>
            <w:tcW w:w="1929" w:type="pct"/>
            <w:vAlign w:val="bottom"/>
          </w:tcPr>
          <w:p w14:paraId="2022C8F9" w14:textId="77777777" w:rsidR="00AF2F43" w:rsidRPr="00BF2624" w:rsidRDefault="00AF2F43" w:rsidP="00AF2F43">
            <w:pPr>
              <w:tabs>
                <w:tab w:val="right" w:pos="1202"/>
              </w:tabs>
              <w:spacing w:after="0" w:line="301" w:lineRule="exact"/>
              <w:outlineLvl w:val="0"/>
              <w:rPr>
                <w:rFonts w:eastAsia="Times New Roman" w:cs="Arial"/>
                <w:sz w:val="18"/>
                <w:szCs w:val="18"/>
              </w:rPr>
            </w:pPr>
            <w:r w:rsidRPr="00BF2624">
              <w:rPr>
                <w:rFonts w:eastAsia="Times New Roman" w:cs="Arial"/>
                <w:sz w:val="18"/>
                <w:szCs w:val="18"/>
              </w:rPr>
              <w:t>Cash on hand and due from banks</w:t>
            </w:r>
          </w:p>
        </w:tc>
        <w:tc>
          <w:tcPr>
            <w:tcW w:w="768" w:type="pct"/>
            <w:tcBorders>
              <w:top w:val="nil"/>
              <w:left w:val="nil"/>
              <w:bottom w:val="nil"/>
              <w:right w:val="nil"/>
            </w:tcBorders>
            <w:shd w:val="clear" w:color="auto" w:fill="auto"/>
            <w:vAlign w:val="bottom"/>
          </w:tcPr>
          <w:p w14:paraId="7184CABA" w14:textId="4BC4A383" w:rsidR="00AF2F43" w:rsidRPr="00BF2624" w:rsidRDefault="00AF2F43" w:rsidP="00AF2F43">
            <w:pPr>
              <w:tabs>
                <w:tab w:val="right" w:pos="1202"/>
              </w:tabs>
              <w:spacing w:after="0" w:line="280" w:lineRule="exact"/>
              <w:jc w:val="right"/>
              <w:outlineLvl w:val="0"/>
              <w:rPr>
                <w:rFonts w:cs="Arial"/>
                <w:snapToGrid w:val="0"/>
                <w:sz w:val="18"/>
                <w:szCs w:val="18"/>
              </w:rPr>
            </w:pPr>
            <w:r w:rsidRPr="00581980">
              <w:rPr>
                <w:rFonts w:eastAsia="Times New Roman" w:cs="Arial"/>
                <w:sz w:val="18"/>
                <w:szCs w:val="18"/>
                <w:lang w:val="en-US"/>
              </w:rPr>
              <w:t>737</w:t>
            </w:r>
            <w:r>
              <w:rPr>
                <w:rFonts w:eastAsia="Times New Roman" w:cs="Arial"/>
                <w:sz w:val="18"/>
                <w:szCs w:val="18"/>
                <w:lang w:val="en-US"/>
              </w:rPr>
              <w:t>,</w:t>
            </w:r>
            <w:r w:rsidRPr="00581980">
              <w:rPr>
                <w:rFonts w:eastAsia="Times New Roman" w:cs="Arial"/>
                <w:sz w:val="18"/>
                <w:szCs w:val="18"/>
                <w:lang w:val="en-US"/>
              </w:rPr>
              <w:t>621</w:t>
            </w:r>
          </w:p>
        </w:tc>
        <w:tc>
          <w:tcPr>
            <w:tcW w:w="768" w:type="pct"/>
            <w:tcBorders>
              <w:top w:val="nil"/>
              <w:left w:val="nil"/>
              <w:bottom w:val="nil"/>
              <w:right w:val="nil"/>
            </w:tcBorders>
            <w:shd w:val="clear" w:color="auto" w:fill="auto"/>
            <w:vAlign w:val="bottom"/>
          </w:tcPr>
          <w:p w14:paraId="0E622C59" w14:textId="51C1AD2F" w:rsidR="00AF2F43" w:rsidRPr="00BF2624" w:rsidRDefault="00AF2F43" w:rsidP="00AF2F43">
            <w:pPr>
              <w:tabs>
                <w:tab w:val="right" w:pos="1202"/>
              </w:tabs>
              <w:spacing w:after="0" w:line="280" w:lineRule="exact"/>
              <w:jc w:val="right"/>
              <w:outlineLvl w:val="0"/>
              <w:rPr>
                <w:rFonts w:cs="Arial"/>
                <w:snapToGrid w:val="0"/>
                <w:sz w:val="18"/>
                <w:szCs w:val="18"/>
                <w:lang w:val="pl-PL"/>
              </w:rPr>
            </w:pPr>
            <w:r>
              <w:rPr>
                <w:rFonts w:eastAsia="Times New Roman" w:cs="Arial"/>
                <w:sz w:val="18"/>
                <w:szCs w:val="18"/>
                <w:lang w:val="en-US"/>
              </w:rPr>
              <w:t>-</w:t>
            </w:r>
          </w:p>
        </w:tc>
        <w:tc>
          <w:tcPr>
            <w:tcW w:w="768" w:type="pct"/>
            <w:tcBorders>
              <w:top w:val="nil"/>
              <w:left w:val="nil"/>
              <w:bottom w:val="nil"/>
              <w:right w:val="nil"/>
            </w:tcBorders>
            <w:shd w:val="clear" w:color="auto" w:fill="auto"/>
            <w:vAlign w:val="bottom"/>
          </w:tcPr>
          <w:p w14:paraId="674BFFA9" w14:textId="0E1DC0B0" w:rsidR="00AF2F43" w:rsidRPr="00BF2624" w:rsidRDefault="00AF2F43" w:rsidP="00AF2F43">
            <w:pPr>
              <w:tabs>
                <w:tab w:val="right" w:pos="1202"/>
              </w:tabs>
              <w:spacing w:after="0" w:line="280" w:lineRule="exact"/>
              <w:jc w:val="right"/>
              <w:outlineLvl w:val="0"/>
              <w:rPr>
                <w:rFonts w:cs="Arial"/>
                <w:snapToGrid w:val="0"/>
                <w:sz w:val="18"/>
                <w:szCs w:val="18"/>
                <w:lang w:val="pl-PL"/>
              </w:rPr>
            </w:pPr>
            <w:r>
              <w:rPr>
                <w:rFonts w:eastAsia="Times New Roman" w:cs="Arial"/>
                <w:sz w:val="18"/>
                <w:szCs w:val="18"/>
                <w:lang w:val="en-US"/>
              </w:rPr>
              <w:t>-</w:t>
            </w:r>
          </w:p>
        </w:tc>
        <w:tc>
          <w:tcPr>
            <w:tcW w:w="767" w:type="pct"/>
            <w:tcBorders>
              <w:top w:val="nil"/>
              <w:left w:val="nil"/>
              <w:bottom w:val="nil"/>
              <w:right w:val="nil"/>
            </w:tcBorders>
            <w:shd w:val="clear" w:color="auto" w:fill="auto"/>
            <w:vAlign w:val="bottom"/>
          </w:tcPr>
          <w:p w14:paraId="699BF279" w14:textId="3C304A2D" w:rsidR="00AF2F43" w:rsidRPr="00BF2624" w:rsidRDefault="00AF2F43" w:rsidP="00AF2F43">
            <w:pPr>
              <w:tabs>
                <w:tab w:val="right" w:pos="1202"/>
              </w:tabs>
              <w:spacing w:after="0" w:line="280" w:lineRule="exact"/>
              <w:jc w:val="right"/>
              <w:outlineLvl w:val="0"/>
              <w:rPr>
                <w:rFonts w:cs="Arial"/>
                <w:snapToGrid w:val="0"/>
                <w:sz w:val="18"/>
                <w:szCs w:val="18"/>
                <w:lang w:val="pl-PL"/>
              </w:rPr>
            </w:pPr>
            <w:r w:rsidRPr="00581980">
              <w:rPr>
                <w:rFonts w:eastAsia="Times New Roman" w:cs="Arial"/>
                <w:sz w:val="18"/>
                <w:szCs w:val="18"/>
                <w:lang w:val="en-US"/>
              </w:rPr>
              <w:t>737</w:t>
            </w:r>
            <w:r>
              <w:rPr>
                <w:rFonts w:eastAsia="Times New Roman" w:cs="Arial"/>
                <w:sz w:val="18"/>
                <w:szCs w:val="18"/>
                <w:lang w:val="en-US"/>
              </w:rPr>
              <w:t>,</w:t>
            </w:r>
            <w:r w:rsidRPr="00581980">
              <w:rPr>
                <w:rFonts w:eastAsia="Times New Roman" w:cs="Arial"/>
                <w:sz w:val="18"/>
                <w:szCs w:val="18"/>
                <w:lang w:val="en-US"/>
              </w:rPr>
              <w:t>621</w:t>
            </w:r>
          </w:p>
        </w:tc>
      </w:tr>
      <w:tr w:rsidR="00AF2F43" w:rsidRPr="00BF2624" w14:paraId="51F6782F" w14:textId="77777777" w:rsidTr="006B318F">
        <w:trPr>
          <w:trHeight w:val="385"/>
          <w:jc w:val="center"/>
        </w:trPr>
        <w:tc>
          <w:tcPr>
            <w:tcW w:w="1929" w:type="pct"/>
            <w:vAlign w:val="bottom"/>
          </w:tcPr>
          <w:p w14:paraId="2E5E6005" w14:textId="77777777" w:rsidR="00AF2F43" w:rsidRPr="00BF2624" w:rsidRDefault="00AF2F43" w:rsidP="00AF2F43">
            <w:pPr>
              <w:tabs>
                <w:tab w:val="right" w:pos="1202"/>
              </w:tabs>
              <w:spacing w:after="0" w:line="301" w:lineRule="exact"/>
              <w:outlineLvl w:val="0"/>
              <w:rPr>
                <w:rFonts w:eastAsia="Times New Roman" w:cs="Arial"/>
                <w:sz w:val="18"/>
                <w:szCs w:val="18"/>
              </w:rPr>
            </w:pPr>
            <w:r w:rsidRPr="00BF2624">
              <w:rPr>
                <w:rFonts w:eastAsia="Times New Roman" w:cs="Arial"/>
                <w:sz w:val="18"/>
                <w:szCs w:val="18"/>
              </w:rPr>
              <w:t>Deposits with other banks</w:t>
            </w:r>
          </w:p>
        </w:tc>
        <w:tc>
          <w:tcPr>
            <w:tcW w:w="768" w:type="pct"/>
            <w:tcBorders>
              <w:top w:val="nil"/>
              <w:left w:val="nil"/>
              <w:bottom w:val="nil"/>
              <w:right w:val="nil"/>
            </w:tcBorders>
            <w:shd w:val="clear" w:color="auto" w:fill="auto"/>
            <w:vAlign w:val="bottom"/>
          </w:tcPr>
          <w:p w14:paraId="7596596F" w14:textId="48C3DB1C" w:rsidR="00AF2F43" w:rsidRPr="00BF2624" w:rsidRDefault="00AF2F43" w:rsidP="00AF2F43">
            <w:pPr>
              <w:tabs>
                <w:tab w:val="right" w:pos="1202"/>
              </w:tabs>
              <w:spacing w:after="0" w:line="280" w:lineRule="exact"/>
              <w:jc w:val="right"/>
              <w:outlineLvl w:val="0"/>
              <w:rPr>
                <w:rFonts w:cs="Arial"/>
                <w:snapToGrid w:val="0"/>
                <w:sz w:val="18"/>
                <w:szCs w:val="18"/>
              </w:rPr>
            </w:pPr>
            <w:r w:rsidRPr="00581980">
              <w:rPr>
                <w:rFonts w:eastAsia="Times New Roman" w:cs="Arial"/>
                <w:sz w:val="18"/>
                <w:szCs w:val="18"/>
                <w:lang w:val="en-US"/>
              </w:rPr>
              <w:t>76</w:t>
            </w:r>
          </w:p>
        </w:tc>
        <w:tc>
          <w:tcPr>
            <w:tcW w:w="768" w:type="pct"/>
            <w:tcBorders>
              <w:top w:val="nil"/>
              <w:left w:val="nil"/>
              <w:bottom w:val="nil"/>
              <w:right w:val="nil"/>
            </w:tcBorders>
            <w:shd w:val="clear" w:color="auto" w:fill="auto"/>
            <w:vAlign w:val="bottom"/>
          </w:tcPr>
          <w:p w14:paraId="23F1EB51" w14:textId="1CB98D87" w:rsidR="00AF2F43" w:rsidRPr="00BF2624" w:rsidRDefault="00AF2F43" w:rsidP="00AF2F43">
            <w:pPr>
              <w:tabs>
                <w:tab w:val="right" w:pos="1202"/>
              </w:tabs>
              <w:spacing w:after="0" w:line="280" w:lineRule="exact"/>
              <w:jc w:val="right"/>
              <w:outlineLvl w:val="0"/>
              <w:rPr>
                <w:rFonts w:cs="Arial"/>
                <w:snapToGrid w:val="0"/>
                <w:sz w:val="18"/>
                <w:szCs w:val="18"/>
              </w:rPr>
            </w:pPr>
            <w:r>
              <w:rPr>
                <w:rFonts w:eastAsia="Times New Roman" w:cs="Arial"/>
                <w:sz w:val="18"/>
                <w:szCs w:val="18"/>
                <w:lang w:val="en-US"/>
              </w:rPr>
              <w:t>-</w:t>
            </w:r>
          </w:p>
        </w:tc>
        <w:tc>
          <w:tcPr>
            <w:tcW w:w="768" w:type="pct"/>
            <w:tcBorders>
              <w:top w:val="nil"/>
              <w:left w:val="nil"/>
              <w:bottom w:val="nil"/>
              <w:right w:val="nil"/>
            </w:tcBorders>
            <w:shd w:val="clear" w:color="auto" w:fill="auto"/>
            <w:vAlign w:val="bottom"/>
          </w:tcPr>
          <w:p w14:paraId="12DD3CCC" w14:textId="15772B0B" w:rsidR="00AF2F43" w:rsidRPr="00BF2624" w:rsidRDefault="00AF2F43" w:rsidP="00AF2F43">
            <w:pPr>
              <w:tabs>
                <w:tab w:val="right" w:pos="1202"/>
              </w:tabs>
              <w:spacing w:after="0" w:line="280" w:lineRule="exact"/>
              <w:jc w:val="right"/>
              <w:outlineLvl w:val="0"/>
              <w:rPr>
                <w:rFonts w:cs="Arial"/>
                <w:snapToGrid w:val="0"/>
                <w:sz w:val="18"/>
                <w:szCs w:val="18"/>
              </w:rPr>
            </w:pPr>
            <w:r>
              <w:rPr>
                <w:rFonts w:eastAsia="Times New Roman" w:cs="Arial"/>
                <w:sz w:val="18"/>
                <w:szCs w:val="18"/>
                <w:lang w:val="en-US"/>
              </w:rPr>
              <w:t>-</w:t>
            </w:r>
          </w:p>
        </w:tc>
        <w:tc>
          <w:tcPr>
            <w:tcW w:w="767" w:type="pct"/>
            <w:tcBorders>
              <w:top w:val="nil"/>
              <w:left w:val="nil"/>
              <w:bottom w:val="nil"/>
              <w:right w:val="nil"/>
            </w:tcBorders>
            <w:shd w:val="clear" w:color="auto" w:fill="auto"/>
            <w:vAlign w:val="bottom"/>
          </w:tcPr>
          <w:p w14:paraId="4C7224B1" w14:textId="4202A2BA" w:rsidR="00AF2F43" w:rsidRPr="00BF2624" w:rsidRDefault="00AF2F43" w:rsidP="00AF2F43">
            <w:pPr>
              <w:tabs>
                <w:tab w:val="right" w:pos="1202"/>
              </w:tabs>
              <w:spacing w:after="0" w:line="280" w:lineRule="exact"/>
              <w:jc w:val="right"/>
              <w:outlineLvl w:val="0"/>
              <w:rPr>
                <w:rFonts w:cs="Arial"/>
                <w:snapToGrid w:val="0"/>
                <w:sz w:val="18"/>
                <w:szCs w:val="18"/>
              </w:rPr>
            </w:pPr>
            <w:r w:rsidRPr="00581980">
              <w:rPr>
                <w:rFonts w:eastAsia="Times New Roman" w:cs="Arial"/>
                <w:sz w:val="18"/>
                <w:szCs w:val="18"/>
                <w:lang w:val="en-US"/>
              </w:rPr>
              <w:t>76</w:t>
            </w:r>
          </w:p>
        </w:tc>
      </w:tr>
      <w:tr w:rsidR="00AF2F43" w:rsidRPr="00BF2624" w14:paraId="6BA2784D" w14:textId="77777777" w:rsidTr="006B318F">
        <w:trPr>
          <w:trHeight w:val="401"/>
          <w:jc w:val="center"/>
        </w:trPr>
        <w:tc>
          <w:tcPr>
            <w:tcW w:w="1929" w:type="pct"/>
            <w:vAlign w:val="bottom"/>
          </w:tcPr>
          <w:p w14:paraId="776D93C3" w14:textId="77777777" w:rsidR="00AF2F43" w:rsidRPr="00BF2624" w:rsidRDefault="00AF2F43" w:rsidP="00AF2F43">
            <w:pPr>
              <w:tabs>
                <w:tab w:val="right" w:pos="1202"/>
              </w:tabs>
              <w:spacing w:after="0" w:line="301" w:lineRule="exact"/>
              <w:outlineLvl w:val="0"/>
              <w:rPr>
                <w:rFonts w:eastAsia="Times New Roman" w:cs="Arial"/>
                <w:sz w:val="18"/>
                <w:szCs w:val="18"/>
              </w:rPr>
            </w:pPr>
            <w:r w:rsidRPr="00BF2624">
              <w:rPr>
                <w:rFonts w:eastAsia="Times New Roman" w:cs="Arial"/>
                <w:sz w:val="18"/>
                <w:szCs w:val="18"/>
              </w:rPr>
              <w:t>Loans to financial institutions</w:t>
            </w:r>
          </w:p>
        </w:tc>
        <w:tc>
          <w:tcPr>
            <w:tcW w:w="768" w:type="pct"/>
            <w:tcBorders>
              <w:top w:val="nil"/>
              <w:left w:val="nil"/>
              <w:bottom w:val="nil"/>
              <w:right w:val="nil"/>
            </w:tcBorders>
            <w:shd w:val="clear" w:color="auto" w:fill="auto"/>
            <w:vAlign w:val="bottom"/>
          </w:tcPr>
          <w:p w14:paraId="41CAA73C" w14:textId="2BCBB2B8" w:rsidR="00AF2F43" w:rsidRPr="00BF2624" w:rsidRDefault="00AF2F43" w:rsidP="00AF2F43">
            <w:pPr>
              <w:tabs>
                <w:tab w:val="right" w:pos="1202"/>
              </w:tabs>
              <w:spacing w:after="0" w:line="280" w:lineRule="exact"/>
              <w:jc w:val="right"/>
              <w:outlineLvl w:val="0"/>
              <w:rPr>
                <w:rFonts w:cs="Arial"/>
                <w:snapToGrid w:val="0"/>
                <w:sz w:val="18"/>
                <w:szCs w:val="18"/>
              </w:rPr>
            </w:pPr>
            <w:r w:rsidRPr="00581980">
              <w:rPr>
                <w:rFonts w:eastAsia="Times New Roman" w:cs="Arial"/>
                <w:sz w:val="18"/>
                <w:szCs w:val="18"/>
                <w:lang w:val="en-US"/>
              </w:rPr>
              <w:t>11</w:t>
            </w:r>
            <w:r>
              <w:rPr>
                <w:rFonts w:eastAsia="Times New Roman" w:cs="Arial"/>
                <w:sz w:val="18"/>
                <w:szCs w:val="18"/>
                <w:lang w:val="en-US"/>
              </w:rPr>
              <w:t>,</w:t>
            </w:r>
            <w:r w:rsidRPr="00581980">
              <w:rPr>
                <w:rFonts w:eastAsia="Times New Roman" w:cs="Arial"/>
                <w:sz w:val="18"/>
                <w:szCs w:val="18"/>
                <w:lang w:val="en-US"/>
              </w:rPr>
              <w:t>729</w:t>
            </w:r>
            <w:r>
              <w:rPr>
                <w:rFonts w:eastAsia="Times New Roman" w:cs="Arial"/>
                <w:sz w:val="18"/>
                <w:szCs w:val="18"/>
                <w:lang w:val="en-US"/>
              </w:rPr>
              <w:t>,</w:t>
            </w:r>
            <w:r w:rsidRPr="00581980">
              <w:rPr>
                <w:rFonts w:eastAsia="Times New Roman" w:cs="Arial"/>
                <w:sz w:val="18"/>
                <w:szCs w:val="18"/>
                <w:lang w:val="en-US"/>
              </w:rPr>
              <w:t>583</w:t>
            </w:r>
          </w:p>
        </w:tc>
        <w:tc>
          <w:tcPr>
            <w:tcW w:w="768" w:type="pct"/>
            <w:tcBorders>
              <w:top w:val="nil"/>
              <w:left w:val="nil"/>
              <w:bottom w:val="nil"/>
              <w:right w:val="nil"/>
            </w:tcBorders>
            <w:shd w:val="clear" w:color="auto" w:fill="auto"/>
            <w:vAlign w:val="bottom"/>
          </w:tcPr>
          <w:p w14:paraId="167E8B55" w14:textId="602DF938" w:rsidR="00AF2F43" w:rsidRPr="00BF2624" w:rsidRDefault="00AF2F43" w:rsidP="00AF2F43">
            <w:pPr>
              <w:tabs>
                <w:tab w:val="right" w:pos="1202"/>
              </w:tabs>
              <w:spacing w:after="0" w:line="280" w:lineRule="exact"/>
              <w:jc w:val="right"/>
              <w:outlineLvl w:val="0"/>
              <w:rPr>
                <w:rFonts w:cs="Arial"/>
                <w:snapToGrid w:val="0"/>
                <w:sz w:val="18"/>
                <w:szCs w:val="18"/>
              </w:rPr>
            </w:pPr>
            <w:r w:rsidRPr="00581980">
              <w:rPr>
                <w:rFonts w:eastAsia="Times New Roman" w:cs="Arial"/>
                <w:sz w:val="18"/>
                <w:szCs w:val="18"/>
                <w:lang w:val="en-US"/>
              </w:rPr>
              <w:t>290</w:t>
            </w:r>
            <w:r>
              <w:rPr>
                <w:rFonts w:eastAsia="Times New Roman" w:cs="Arial"/>
                <w:sz w:val="18"/>
                <w:szCs w:val="18"/>
                <w:lang w:val="en-US"/>
              </w:rPr>
              <w:t>,</w:t>
            </w:r>
            <w:r w:rsidRPr="00581980">
              <w:rPr>
                <w:rFonts w:eastAsia="Times New Roman" w:cs="Arial"/>
                <w:sz w:val="18"/>
                <w:szCs w:val="18"/>
                <w:lang w:val="en-US"/>
              </w:rPr>
              <w:t>250</w:t>
            </w:r>
          </w:p>
        </w:tc>
        <w:tc>
          <w:tcPr>
            <w:tcW w:w="768" w:type="pct"/>
            <w:tcBorders>
              <w:top w:val="nil"/>
              <w:left w:val="nil"/>
              <w:bottom w:val="nil"/>
              <w:right w:val="nil"/>
            </w:tcBorders>
            <w:shd w:val="clear" w:color="auto" w:fill="auto"/>
            <w:vAlign w:val="bottom"/>
          </w:tcPr>
          <w:p w14:paraId="0FB3E9E3" w14:textId="51943C81" w:rsidR="00AF2F43" w:rsidRPr="00BF2624" w:rsidRDefault="00AF2F43" w:rsidP="00AF2F43">
            <w:pPr>
              <w:tabs>
                <w:tab w:val="right" w:pos="1202"/>
              </w:tabs>
              <w:spacing w:after="0" w:line="280" w:lineRule="exact"/>
              <w:jc w:val="right"/>
              <w:outlineLvl w:val="0"/>
              <w:rPr>
                <w:rFonts w:cs="Arial"/>
                <w:snapToGrid w:val="0"/>
                <w:sz w:val="18"/>
                <w:szCs w:val="18"/>
              </w:rPr>
            </w:pPr>
            <w:r w:rsidRPr="00581980">
              <w:rPr>
                <w:rFonts w:eastAsia="Times New Roman" w:cs="Arial"/>
                <w:sz w:val="18"/>
                <w:szCs w:val="18"/>
                <w:lang w:val="en-US"/>
              </w:rPr>
              <w:t>227</w:t>
            </w:r>
            <w:r>
              <w:rPr>
                <w:rFonts w:eastAsia="Times New Roman" w:cs="Arial"/>
                <w:sz w:val="18"/>
                <w:szCs w:val="18"/>
                <w:lang w:val="en-US"/>
              </w:rPr>
              <w:t>,</w:t>
            </w:r>
            <w:r w:rsidRPr="00581980">
              <w:rPr>
                <w:rFonts w:eastAsia="Times New Roman" w:cs="Arial"/>
                <w:sz w:val="18"/>
                <w:szCs w:val="18"/>
                <w:lang w:val="en-US"/>
              </w:rPr>
              <w:t>454</w:t>
            </w:r>
          </w:p>
        </w:tc>
        <w:tc>
          <w:tcPr>
            <w:tcW w:w="767" w:type="pct"/>
            <w:tcBorders>
              <w:top w:val="nil"/>
              <w:left w:val="nil"/>
              <w:bottom w:val="nil"/>
              <w:right w:val="nil"/>
            </w:tcBorders>
            <w:shd w:val="clear" w:color="auto" w:fill="auto"/>
            <w:vAlign w:val="bottom"/>
          </w:tcPr>
          <w:p w14:paraId="0420712D" w14:textId="72E39CBB" w:rsidR="00AF2F43" w:rsidRPr="00BF2624" w:rsidRDefault="00AF2F43" w:rsidP="00AF2F43">
            <w:pPr>
              <w:tabs>
                <w:tab w:val="right" w:pos="1202"/>
              </w:tabs>
              <w:spacing w:after="0" w:line="280" w:lineRule="exact"/>
              <w:jc w:val="right"/>
              <w:outlineLvl w:val="0"/>
              <w:rPr>
                <w:rFonts w:cs="Arial"/>
                <w:snapToGrid w:val="0"/>
                <w:sz w:val="18"/>
                <w:szCs w:val="18"/>
              </w:rPr>
            </w:pPr>
            <w:r w:rsidRPr="00581980">
              <w:rPr>
                <w:rFonts w:eastAsia="Times New Roman" w:cs="Arial"/>
                <w:sz w:val="18"/>
                <w:szCs w:val="18"/>
                <w:lang w:val="en-US"/>
              </w:rPr>
              <w:t>12</w:t>
            </w:r>
            <w:r>
              <w:rPr>
                <w:rFonts w:eastAsia="Times New Roman" w:cs="Arial"/>
                <w:sz w:val="18"/>
                <w:szCs w:val="18"/>
                <w:lang w:val="en-US"/>
              </w:rPr>
              <w:t>,</w:t>
            </w:r>
            <w:r w:rsidRPr="00581980">
              <w:rPr>
                <w:rFonts w:eastAsia="Times New Roman" w:cs="Arial"/>
                <w:sz w:val="18"/>
                <w:szCs w:val="18"/>
                <w:lang w:val="en-US"/>
              </w:rPr>
              <w:t>247</w:t>
            </w:r>
            <w:r>
              <w:rPr>
                <w:rFonts w:eastAsia="Times New Roman" w:cs="Arial"/>
                <w:sz w:val="18"/>
                <w:szCs w:val="18"/>
                <w:lang w:val="en-US"/>
              </w:rPr>
              <w:t>,</w:t>
            </w:r>
            <w:r w:rsidRPr="00581980">
              <w:rPr>
                <w:rFonts w:eastAsia="Times New Roman" w:cs="Arial"/>
                <w:sz w:val="18"/>
                <w:szCs w:val="18"/>
                <w:lang w:val="en-US"/>
              </w:rPr>
              <w:t>287</w:t>
            </w:r>
          </w:p>
        </w:tc>
      </w:tr>
      <w:tr w:rsidR="00AF2F43" w:rsidRPr="00BF2624" w14:paraId="6FEF64C8" w14:textId="77777777" w:rsidTr="006B318F">
        <w:trPr>
          <w:trHeight w:val="385"/>
          <w:jc w:val="center"/>
        </w:trPr>
        <w:tc>
          <w:tcPr>
            <w:tcW w:w="1929" w:type="pct"/>
            <w:vAlign w:val="bottom"/>
          </w:tcPr>
          <w:p w14:paraId="52EE2193" w14:textId="77777777" w:rsidR="00AF2F43" w:rsidRPr="00BF2624" w:rsidRDefault="00AF2F43" w:rsidP="00AF2F43">
            <w:pPr>
              <w:tabs>
                <w:tab w:val="right" w:pos="1202"/>
              </w:tabs>
              <w:spacing w:after="0" w:line="301" w:lineRule="exact"/>
              <w:outlineLvl w:val="0"/>
              <w:rPr>
                <w:rFonts w:eastAsia="Times New Roman" w:cs="Arial"/>
                <w:sz w:val="18"/>
                <w:szCs w:val="18"/>
              </w:rPr>
            </w:pPr>
            <w:r w:rsidRPr="00BF2624">
              <w:rPr>
                <w:rFonts w:eastAsia="Times New Roman" w:cs="Arial"/>
                <w:sz w:val="18"/>
                <w:szCs w:val="18"/>
              </w:rPr>
              <w:t xml:space="preserve">Loans to other customers </w:t>
            </w:r>
          </w:p>
        </w:tc>
        <w:tc>
          <w:tcPr>
            <w:tcW w:w="768" w:type="pct"/>
            <w:tcBorders>
              <w:top w:val="nil"/>
              <w:left w:val="nil"/>
              <w:bottom w:val="nil"/>
              <w:right w:val="nil"/>
            </w:tcBorders>
            <w:shd w:val="clear" w:color="auto" w:fill="auto"/>
            <w:vAlign w:val="bottom"/>
          </w:tcPr>
          <w:p w14:paraId="148AEB22" w14:textId="6444B70F" w:rsidR="00AF2F43" w:rsidRPr="00BF2624" w:rsidRDefault="00AF2F43" w:rsidP="00AF2F43">
            <w:pPr>
              <w:tabs>
                <w:tab w:val="right" w:pos="1202"/>
              </w:tabs>
              <w:spacing w:after="0" w:line="280" w:lineRule="exact"/>
              <w:jc w:val="right"/>
              <w:outlineLvl w:val="0"/>
              <w:rPr>
                <w:rFonts w:cs="Arial"/>
                <w:spacing w:val="-2"/>
                <w:sz w:val="18"/>
                <w:szCs w:val="18"/>
              </w:rPr>
            </w:pPr>
            <w:r w:rsidRPr="00581980">
              <w:rPr>
                <w:rFonts w:eastAsia="Times New Roman" w:cs="Arial"/>
                <w:sz w:val="18"/>
                <w:szCs w:val="18"/>
                <w:lang w:val="en-US"/>
              </w:rPr>
              <w:t>10</w:t>
            </w:r>
            <w:r>
              <w:rPr>
                <w:rFonts w:eastAsia="Times New Roman" w:cs="Arial"/>
                <w:sz w:val="18"/>
                <w:szCs w:val="18"/>
                <w:lang w:val="en-US"/>
              </w:rPr>
              <w:t>,</w:t>
            </w:r>
            <w:r w:rsidRPr="00581980">
              <w:rPr>
                <w:rFonts w:eastAsia="Times New Roman" w:cs="Arial"/>
                <w:sz w:val="18"/>
                <w:szCs w:val="18"/>
                <w:lang w:val="en-US"/>
              </w:rPr>
              <w:t>269</w:t>
            </w:r>
            <w:r>
              <w:rPr>
                <w:rFonts w:eastAsia="Times New Roman" w:cs="Arial"/>
                <w:sz w:val="18"/>
                <w:szCs w:val="18"/>
                <w:lang w:val="en-US"/>
              </w:rPr>
              <w:t>,</w:t>
            </w:r>
            <w:r w:rsidRPr="00581980">
              <w:rPr>
                <w:rFonts w:eastAsia="Times New Roman" w:cs="Arial"/>
                <w:sz w:val="18"/>
                <w:szCs w:val="18"/>
                <w:lang w:val="en-US"/>
              </w:rPr>
              <w:t>097</w:t>
            </w:r>
          </w:p>
        </w:tc>
        <w:tc>
          <w:tcPr>
            <w:tcW w:w="768" w:type="pct"/>
            <w:tcBorders>
              <w:top w:val="nil"/>
              <w:left w:val="nil"/>
              <w:bottom w:val="nil"/>
              <w:right w:val="nil"/>
            </w:tcBorders>
            <w:shd w:val="clear" w:color="auto" w:fill="auto"/>
            <w:vAlign w:val="bottom"/>
          </w:tcPr>
          <w:p w14:paraId="306B2BF4" w14:textId="28DD55F0" w:rsidR="00AF2F43" w:rsidRPr="00BF2624" w:rsidRDefault="00AF2F43" w:rsidP="00AF2F43">
            <w:pPr>
              <w:tabs>
                <w:tab w:val="right" w:pos="1202"/>
              </w:tabs>
              <w:spacing w:after="0" w:line="280" w:lineRule="exact"/>
              <w:jc w:val="right"/>
              <w:outlineLvl w:val="0"/>
              <w:rPr>
                <w:rFonts w:cs="Arial"/>
                <w:spacing w:val="-2"/>
                <w:sz w:val="18"/>
                <w:szCs w:val="18"/>
              </w:rPr>
            </w:pPr>
            <w:r w:rsidRPr="00581980">
              <w:rPr>
                <w:rFonts w:eastAsia="Times New Roman" w:cs="Arial"/>
                <w:sz w:val="18"/>
                <w:szCs w:val="18"/>
                <w:lang w:val="en-US"/>
              </w:rPr>
              <w:t>176</w:t>
            </w:r>
            <w:r>
              <w:rPr>
                <w:rFonts w:eastAsia="Times New Roman" w:cs="Arial"/>
                <w:sz w:val="18"/>
                <w:szCs w:val="18"/>
                <w:lang w:val="en-US"/>
              </w:rPr>
              <w:t>,</w:t>
            </w:r>
            <w:r w:rsidRPr="00581980">
              <w:rPr>
                <w:rFonts w:eastAsia="Times New Roman" w:cs="Arial"/>
                <w:sz w:val="18"/>
                <w:szCs w:val="18"/>
                <w:lang w:val="en-US"/>
              </w:rPr>
              <w:t>516</w:t>
            </w:r>
          </w:p>
        </w:tc>
        <w:tc>
          <w:tcPr>
            <w:tcW w:w="768" w:type="pct"/>
            <w:tcBorders>
              <w:top w:val="nil"/>
              <w:left w:val="nil"/>
              <w:bottom w:val="nil"/>
              <w:right w:val="nil"/>
            </w:tcBorders>
            <w:shd w:val="clear" w:color="auto" w:fill="auto"/>
            <w:vAlign w:val="bottom"/>
          </w:tcPr>
          <w:p w14:paraId="1A81F6C0" w14:textId="079FDD05" w:rsidR="00AF2F43" w:rsidRPr="00BF2624" w:rsidRDefault="00AF2F43" w:rsidP="00AF2F43">
            <w:pPr>
              <w:tabs>
                <w:tab w:val="right" w:pos="1202"/>
              </w:tabs>
              <w:spacing w:after="0" w:line="280" w:lineRule="exact"/>
              <w:jc w:val="right"/>
              <w:outlineLvl w:val="0"/>
              <w:rPr>
                <w:rFonts w:cs="Arial"/>
                <w:spacing w:val="-2"/>
                <w:sz w:val="18"/>
                <w:szCs w:val="18"/>
              </w:rPr>
            </w:pPr>
            <w:r w:rsidRPr="00581980">
              <w:rPr>
                <w:rFonts w:eastAsia="Times New Roman" w:cs="Arial"/>
                <w:sz w:val="18"/>
                <w:szCs w:val="18"/>
                <w:lang w:val="en-US"/>
              </w:rPr>
              <w:t>1</w:t>
            </w:r>
            <w:r>
              <w:rPr>
                <w:rFonts w:eastAsia="Times New Roman" w:cs="Arial"/>
                <w:sz w:val="18"/>
                <w:szCs w:val="18"/>
                <w:lang w:val="en-US"/>
              </w:rPr>
              <w:t>,</w:t>
            </w:r>
            <w:r w:rsidRPr="00581980">
              <w:rPr>
                <w:rFonts w:eastAsia="Times New Roman" w:cs="Arial"/>
                <w:sz w:val="18"/>
                <w:szCs w:val="18"/>
                <w:lang w:val="en-US"/>
              </w:rPr>
              <w:t>467</w:t>
            </w:r>
            <w:r>
              <w:rPr>
                <w:rFonts w:eastAsia="Times New Roman" w:cs="Arial"/>
                <w:sz w:val="18"/>
                <w:szCs w:val="18"/>
                <w:lang w:val="en-US"/>
              </w:rPr>
              <w:t>,</w:t>
            </w:r>
            <w:r w:rsidRPr="00581980">
              <w:rPr>
                <w:rFonts w:eastAsia="Times New Roman" w:cs="Arial"/>
                <w:sz w:val="18"/>
                <w:szCs w:val="18"/>
                <w:lang w:val="en-US"/>
              </w:rPr>
              <w:t>599</w:t>
            </w:r>
          </w:p>
        </w:tc>
        <w:tc>
          <w:tcPr>
            <w:tcW w:w="767" w:type="pct"/>
            <w:tcBorders>
              <w:top w:val="nil"/>
              <w:left w:val="nil"/>
              <w:bottom w:val="nil"/>
              <w:right w:val="nil"/>
            </w:tcBorders>
            <w:shd w:val="clear" w:color="auto" w:fill="auto"/>
            <w:vAlign w:val="bottom"/>
          </w:tcPr>
          <w:p w14:paraId="06E3E5B1" w14:textId="60AFC7BE" w:rsidR="00AF2F43" w:rsidRPr="00BF2624" w:rsidRDefault="00AF2F43" w:rsidP="00AF2F43">
            <w:pPr>
              <w:tabs>
                <w:tab w:val="right" w:pos="1202"/>
              </w:tabs>
              <w:spacing w:after="0" w:line="280" w:lineRule="exact"/>
              <w:jc w:val="right"/>
              <w:outlineLvl w:val="0"/>
              <w:rPr>
                <w:rFonts w:cs="Arial"/>
                <w:spacing w:val="-2"/>
                <w:sz w:val="18"/>
                <w:szCs w:val="18"/>
              </w:rPr>
            </w:pPr>
            <w:r w:rsidRPr="00581980">
              <w:rPr>
                <w:rFonts w:eastAsia="Times New Roman" w:cs="Arial"/>
                <w:sz w:val="18"/>
                <w:szCs w:val="18"/>
                <w:lang w:val="en-US"/>
              </w:rPr>
              <w:t>11</w:t>
            </w:r>
            <w:r>
              <w:rPr>
                <w:rFonts w:eastAsia="Times New Roman" w:cs="Arial"/>
                <w:sz w:val="18"/>
                <w:szCs w:val="18"/>
                <w:lang w:val="en-US"/>
              </w:rPr>
              <w:t>,</w:t>
            </w:r>
            <w:r w:rsidRPr="00581980">
              <w:rPr>
                <w:rFonts w:eastAsia="Times New Roman" w:cs="Arial"/>
                <w:sz w:val="18"/>
                <w:szCs w:val="18"/>
                <w:lang w:val="en-US"/>
              </w:rPr>
              <w:t>913</w:t>
            </w:r>
            <w:r>
              <w:rPr>
                <w:rFonts w:eastAsia="Times New Roman" w:cs="Arial"/>
                <w:sz w:val="18"/>
                <w:szCs w:val="18"/>
                <w:lang w:val="en-US"/>
              </w:rPr>
              <w:t>,</w:t>
            </w:r>
            <w:r w:rsidRPr="00581980">
              <w:rPr>
                <w:rFonts w:eastAsia="Times New Roman" w:cs="Arial"/>
                <w:sz w:val="18"/>
                <w:szCs w:val="18"/>
                <w:lang w:val="en-US"/>
              </w:rPr>
              <w:t>212</w:t>
            </w:r>
          </w:p>
        </w:tc>
      </w:tr>
      <w:tr w:rsidR="00AF2F43" w:rsidRPr="00BF2624" w14:paraId="451EC810" w14:textId="77777777" w:rsidTr="006B318F">
        <w:trPr>
          <w:trHeight w:val="349"/>
          <w:jc w:val="center"/>
        </w:trPr>
        <w:tc>
          <w:tcPr>
            <w:tcW w:w="1929" w:type="pct"/>
            <w:vAlign w:val="bottom"/>
          </w:tcPr>
          <w:p w14:paraId="4DFA304F" w14:textId="77777777" w:rsidR="00AF2F43" w:rsidRPr="00BF2624" w:rsidRDefault="00AF2F43" w:rsidP="00AF2F43">
            <w:pPr>
              <w:tabs>
                <w:tab w:val="right" w:pos="1202"/>
              </w:tabs>
              <w:spacing w:after="0" w:line="280" w:lineRule="exact"/>
              <w:outlineLvl w:val="0"/>
              <w:rPr>
                <w:rFonts w:eastAsia="Times New Roman" w:cs="Arial"/>
                <w:sz w:val="18"/>
                <w:szCs w:val="18"/>
              </w:rPr>
            </w:pPr>
            <w:r w:rsidRPr="00BF2624">
              <w:rPr>
                <w:rFonts w:eastAsia="Times New Roman" w:cs="Arial"/>
                <w:sz w:val="18"/>
                <w:szCs w:val="18"/>
              </w:rPr>
              <w:t>Assets available for sale</w:t>
            </w:r>
          </w:p>
        </w:tc>
        <w:tc>
          <w:tcPr>
            <w:tcW w:w="768" w:type="pct"/>
            <w:tcBorders>
              <w:top w:val="nil"/>
              <w:left w:val="nil"/>
              <w:bottom w:val="nil"/>
              <w:right w:val="nil"/>
            </w:tcBorders>
            <w:shd w:val="clear" w:color="auto" w:fill="auto"/>
            <w:vAlign w:val="bottom"/>
          </w:tcPr>
          <w:p w14:paraId="121C3705" w14:textId="7FDEA1A0" w:rsidR="00AF2F43" w:rsidRPr="00BF2624" w:rsidRDefault="00AF2F43" w:rsidP="00AF2F43">
            <w:pPr>
              <w:tabs>
                <w:tab w:val="right" w:pos="1202"/>
              </w:tabs>
              <w:spacing w:after="0" w:line="280" w:lineRule="exact"/>
              <w:jc w:val="right"/>
              <w:outlineLvl w:val="0"/>
              <w:rPr>
                <w:rFonts w:cs="Arial"/>
                <w:snapToGrid w:val="0"/>
                <w:sz w:val="18"/>
                <w:szCs w:val="18"/>
              </w:rPr>
            </w:pPr>
            <w:r w:rsidRPr="00581980">
              <w:rPr>
                <w:rFonts w:eastAsia="Times New Roman" w:cs="Arial"/>
                <w:sz w:val="18"/>
                <w:szCs w:val="18"/>
                <w:lang w:val="en-US"/>
              </w:rPr>
              <w:t>3</w:t>
            </w:r>
            <w:r>
              <w:rPr>
                <w:rFonts w:eastAsia="Times New Roman" w:cs="Arial"/>
                <w:sz w:val="18"/>
                <w:szCs w:val="18"/>
                <w:lang w:val="en-US"/>
              </w:rPr>
              <w:t>,</w:t>
            </w:r>
            <w:r w:rsidRPr="00581980">
              <w:rPr>
                <w:rFonts w:eastAsia="Times New Roman" w:cs="Arial"/>
                <w:sz w:val="18"/>
                <w:szCs w:val="18"/>
                <w:lang w:val="en-US"/>
              </w:rPr>
              <w:t>222</w:t>
            </w:r>
            <w:r>
              <w:rPr>
                <w:rFonts w:eastAsia="Times New Roman" w:cs="Arial"/>
                <w:sz w:val="18"/>
                <w:szCs w:val="18"/>
                <w:lang w:val="en-US"/>
              </w:rPr>
              <w:t>,</w:t>
            </w:r>
            <w:r w:rsidRPr="00581980">
              <w:rPr>
                <w:rFonts w:eastAsia="Times New Roman" w:cs="Arial"/>
                <w:sz w:val="18"/>
                <w:szCs w:val="18"/>
                <w:lang w:val="en-US"/>
              </w:rPr>
              <w:t>148</w:t>
            </w:r>
          </w:p>
        </w:tc>
        <w:tc>
          <w:tcPr>
            <w:tcW w:w="768" w:type="pct"/>
            <w:tcBorders>
              <w:top w:val="nil"/>
              <w:left w:val="nil"/>
              <w:bottom w:val="nil"/>
              <w:right w:val="nil"/>
            </w:tcBorders>
            <w:shd w:val="clear" w:color="auto" w:fill="auto"/>
            <w:vAlign w:val="bottom"/>
          </w:tcPr>
          <w:p w14:paraId="5F777901" w14:textId="1AEB662C" w:rsidR="00AF2F43" w:rsidRPr="00BF2624" w:rsidRDefault="00AF2F43" w:rsidP="00AF2F43">
            <w:pPr>
              <w:tabs>
                <w:tab w:val="right" w:pos="1202"/>
              </w:tabs>
              <w:spacing w:after="0" w:line="280" w:lineRule="exact"/>
              <w:jc w:val="right"/>
              <w:outlineLvl w:val="0"/>
              <w:rPr>
                <w:rFonts w:cs="Arial"/>
                <w:snapToGrid w:val="0"/>
                <w:sz w:val="18"/>
                <w:szCs w:val="18"/>
              </w:rPr>
            </w:pPr>
            <w:r>
              <w:rPr>
                <w:rFonts w:eastAsia="Times New Roman" w:cs="Arial"/>
                <w:sz w:val="18"/>
                <w:szCs w:val="18"/>
                <w:lang w:val="en-US"/>
              </w:rPr>
              <w:t>-</w:t>
            </w:r>
          </w:p>
        </w:tc>
        <w:tc>
          <w:tcPr>
            <w:tcW w:w="768" w:type="pct"/>
            <w:tcBorders>
              <w:top w:val="nil"/>
              <w:left w:val="nil"/>
              <w:bottom w:val="nil"/>
              <w:right w:val="nil"/>
            </w:tcBorders>
            <w:shd w:val="clear" w:color="auto" w:fill="auto"/>
            <w:vAlign w:val="bottom"/>
          </w:tcPr>
          <w:p w14:paraId="056A126E" w14:textId="53BB60F4" w:rsidR="00AF2F43" w:rsidRPr="00BF2624" w:rsidRDefault="00AF2F43" w:rsidP="00AF2F43">
            <w:pPr>
              <w:tabs>
                <w:tab w:val="right" w:pos="1202"/>
              </w:tabs>
              <w:spacing w:after="0" w:line="280" w:lineRule="exact"/>
              <w:jc w:val="right"/>
              <w:outlineLvl w:val="0"/>
              <w:rPr>
                <w:rFonts w:cs="Arial"/>
                <w:snapToGrid w:val="0"/>
                <w:sz w:val="18"/>
                <w:szCs w:val="18"/>
              </w:rPr>
            </w:pPr>
            <w:r>
              <w:rPr>
                <w:rFonts w:eastAsia="Times New Roman" w:cs="Arial"/>
                <w:sz w:val="18"/>
                <w:szCs w:val="18"/>
                <w:lang w:val="en-US"/>
              </w:rPr>
              <w:t>-</w:t>
            </w:r>
          </w:p>
        </w:tc>
        <w:tc>
          <w:tcPr>
            <w:tcW w:w="767" w:type="pct"/>
            <w:tcBorders>
              <w:top w:val="nil"/>
              <w:left w:val="nil"/>
              <w:bottom w:val="nil"/>
              <w:right w:val="nil"/>
            </w:tcBorders>
            <w:shd w:val="clear" w:color="auto" w:fill="auto"/>
            <w:vAlign w:val="bottom"/>
          </w:tcPr>
          <w:p w14:paraId="5151AB20" w14:textId="03A691E5" w:rsidR="00AF2F43" w:rsidRPr="00BF2624" w:rsidRDefault="00AF2F43" w:rsidP="00AF2F43">
            <w:pPr>
              <w:tabs>
                <w:tab w:val="right" w:pos="1202"/>
              </w:tabs>
              <w:spacing w:after="0" w:line="280" w:lineRule="exact"/>
              <w:jc w:val="right"/>
              <w:outlineLvl w:val="0"/>
              <w:rPr>
                <w:rFonts w:cs="Arial"/>
                <w:snapToGrid w:val="0"/>
                <w:sz w:val="18"/>
                <w:szCs w:val="18"/>
              </w:rPr>
            </w:pPr>
            <w:r w:rsidRPr="00581980">
              <w:rPr>
                <w:rFonts w:eastAsia="Times New Roman" w:cs="Arial"/>
                <w:sz w:val="18"/>
                <w:szCs w:val="18"/>
                <w:lang w:val="en-US"/>
              </w:rPr>
              <w:t>3</w:t>
            </w:r>
            <w:r>
              <w:rPr>
                <w:rFonts w:eastAsia="Times New Roman" w:cs="Arial"/>
                <w:sz w:val="18"/>
                <w:szCs w:val="18"/>
                <w:lang w:val="en-US"/>
              </w:rPr>
              <w:t>,</w:t>
            </w:r>
            <w:r w:rsidRPr="00581980">
              <w:rPr>
                <w:rFonts w:eastAsia="Times New Roman" w:cs="Arial"/>
                <w:sz w:val="18"/>
                <w:szCs w:val="18"/>
                <w:lang w:val="en-US"/>
              </w:rPr>
              <w:t>222</w:t>
            </w:r>
            <w:r>
              <w:rPr>
                <w:rFonts w:eastAsia="Times New Roman" w:cs="Arial"/>
                <w:sz w:val="18"/>
                <w:szCs w:val="18"/>
                <w:lang w:val="en-US"/>
              </w:rPr>
              <w:t>,</w:t>
            </w:r>
            <w:r w:rsidRPr="00581980">
              <w:rPr>
                <w:rFonts w:eastAsia="Times New Roman" w:cs="Arial"/>
                <w:sz w:val="18"/>
                <w:szCs w:val="18"/>
                <w:lang w:val="en-US"/>
              </w:rPr>
              <w:t>148</w:t>
            </w:r>
          </w:p>
        </w:tc>
      </w:tr>
      <w:tr w:rsidR="00AF2F43" w:rsidRPr="00BF2624" w14:paraId="652BEF47" w14:textId="77777777" w:rsidTr="006B318F">
        <w:trPr>
          <w:trHeight w:val="367"/>
          <w:jc w:val="center"/>
        </w:trPr>
        <w:tc>
          <w:tcPr>
            <w:tcW w:w="1929" w:type="pct"/>
            <w:vAlign w:val="bottom"/>
          </w:tcPr>
          <w:p w14:paraId="48EDD4B2" w14:textId="77777777" w:rsidR="00AF2F43" w:rsidRPr="00BF2624" w:rsidRDefault="00AF2F43" w:rsidP="00AF2F43">
            <w:pPr>
              <w:tabs>
                <w:tab w:val="right" w:pos="1202"/>
              </w:tabs>
              <w:spacing w:after="0" w:line="280" w:lineRule="exact"/>
              <w:outlineLvl w:val="0"/>
              <w:rPr>
                <w:rFonts w:eastAsia="Times New Roman" w:cs="Arial"/>
                <w:sz w:val="18"/>
                <w:szCs w:val="18"/>
              </w:rPr>
            </w:pPr>
            <w:r w:rsidRPr="00BF2624">
              <w:rPr>
                <w:rFonts w:eastAsia="Times New Roman" w:cs="Arial"/>
                <w:sz w:val="18"/>
                <w:szCs w:val="18"/>
              </w:rPr>
              <w:t xml:space="preserve">Other assets </w:t>
            </w:r>
          </w:p>
        </w:tc>
        <w:tc>
          <w:tcPr>
            <w:tcW w:w="768" w:type="pct"/>
            <w:tcBorders>
              <w:top w:val="nil"/>
              <w:left w:val="nil"/>
              <w:bottom w:val="single" w:sz="8" w:space="0" w:color="auto"/>
              <w:right w:val="nil"/>
            </w:tcBorders>
            <w:shd w:val="clear" w:color="auto" w:fill="auto"/>
            <w:vAlign w:val="bottom"/>
          </w:tcPr>
          <w:p w14:paraId="6705840F" w14:textId="6F362F32" w:rsidR="00AF2F43" w:rsidRPr="00BF2624" w:rsidRDefault="00AF2F43" w:rsidP="00AF2F43">
            <w:pPr>
              <w:tabs>
                <w:tab w:val="right" w:pos="1202"/>
              </w:tabs>
              <w:spacing w:after="0" w:line="280" w:lineRule="exact"/>
              <w:jc w:val="right"/>
              <w:outlineLvl w:val="0"/>
              <w:rPr>
                <w:rFonts w:cs="Arial"/>
                <w:snapToGrid w:val="0"/>
                <w:sz w:val="18"/>
                <w:szCs w:val="18"/>
              </w:rPr>
            </w:pPr>
            <w:r w:rsidRPr="00581980">
              <w:rPr>
                <w:rFonts w:eastAsia="Times New Roman" w:cs="Arial"/>
                <w:sz w:val="18"/>
                <w:szCs w:val="18"/>
                <w:lang w:val="en-US"/>
              </w:rPr>
              <w:t>2</w:t>
            </w:r>
            <w:r>
              <w:rPr>
                <w:rFonts w:eastAsia="Times New Roman" w:cs="Arial"/>
                <w:sz w:val="18"/>
                <w:szCs w:val="18"/>
                <w:lang w:val="en-US"/>
              </w:rPr>
              <w:t>,</w:t>
            </w:r>
            <w:r w:rsidRPr="00581980">
              <w:rPr>
                <w:rFonts w:eastAsia="Times New Roman" w:cs="Arial"/>
                <w:sz w:val="18"/>
                <w:szCs w:val="18"/>
                <w:lang w:val="en-US"/>
              </w:rPr>
              <w:t>485</w:t>
            </w:r>
          </w:p>
        </w:tc>
        <w:tc>
          <w:tcPr>
            <w:tcW w:w="768" w:type="pct"/>
            <w:tcBorders>
              <w:top w:val="nil"/>
              <w:left w:val="nil"/>
              <w:bottom w:val="single" w:sz="8" w:space="0" w:color="auto"/>
              <w:right w:val="nil"/>
            </w:tcBorders>
            <w:shd w:val="clear" w:color="auto" w:fill="auto"/>
            <w:vAlign w:val="bottom"/>
          </w:tcPr>
          <w:p w14:paraId="59A813A8" w14:textId="0CBD9351" w:rsidR="00AF2F43" w:rsidRPr="00BF2624" w:rsidRDefault="00AF2F43" w:rsidP="00AF2F43">
            <w:pPr>
              <w:tabs>
                <w:tab w:val="right" w:pos="1202"/>
              </w:tabs>
              <w:spacing w:after="0" w:line="280" w:lineRule="exact"/>
              <w:jc w:val="right"/>
              <w:outlineLvl w:val="0"/>
              <w:rPr>
                <w:rFonts w:cs="Arial"/>
                <w:snapToGrid w:val="0"/>
                <w:sz w:val="18"/>
                <w:szCs w:val="18"/>
              </w:rPr>
            </w:pPr>
            <w:r w:rsidRPr="00581980">
              <w:rPr>
                <w:rFonts w:eastAsia="Times New Roman" w:cs="Arial"/>
                <w:sz w:val="18"/>
                <w:szCs w:val="18"/>
                <w:lang w:val="en-US"/>
              </w:rPr>
              <w:t>825</w:t>
            </w:r>
          </w:p>
        </w:tc>
        <w:tc>
          <w:tcPr>
            <w:tcW w:w="768" w:type="pct"/>
            <w:tcBorders>
              <w:top w:val="nil"/>
              <w:left w:val="nil"/>
              <w:bottom w:val="single" w:sz="8" w:space="0" w:color="auto"/>
              <w:right w:val="nil"/>
            </w:tcBorders>
            <w:shd w:val="clear" w:color="auto" w:fill="auto"/>
            <w:vAlign w:val="bottom"/>
          </w:tcPr>
          <w:p w14:paraId="2006F690" w14:textId="2BF3119A" w:rsidR="00AF2F43" w:rsidRPr="00BF2624" w:rsidRDefault="00AF2F43" w:rsidP="00AF2F43">
            <w:pPr>
              <w:tabs>
                <w:tab w:val="right" w:pos="1202"/>
              </w:tabs>
              <w:spacing w:after="0" w:line="280" w:lineRule="exact"/>
              <w:jc w:val="right"/>
              <w:outlineLvl w:val="0"/>
              <w:rPr>
                <w:rFonts w:cs="Arial"/>
                <w:snapToGrid w:val="0"/>
                <w:sz w:val="18"/>
                <w:szCs w:val="18"/>
              </w:rPr>
            </w:pPr>
            <w:r w:rsidRPr="00581980">
              <w:rPr>
                <w:rFonts w:eastAsia="Times New Roman" w:cs="Arial"/>
                <w:sz w:val="18"/>
                <w:szCs w:val="18"/>
                <w:lang w:val="en-US"/>
              </w:rPr>
              <w:t>1</w:t>
            </w:r>
            <w:r>
              <w:rPr>
                <w:rFonts w:eastAsia="Times New Roman" w:cs="Arial"/>
                <w:sz w:val="18"/>
                <w:szCs w:val="18"/>
                <w:lang w:val="en-US"/>
              </w:rPr>
              <w:t>,</w:t>
            </w:r>
            <w:r w:rsidRPr="00581980">
              <w:rPr>
                <w:rFonts w:eastAsia="Times New Roman" w:cs="Arial"/>
                <w:sz w:val="18"/>
                <w:szCs w:val="18"/>
                <w:lang w:val="en-US"/>
              </w:rPr>
              <w:t>365</w:t>
            </w:r>
          </w:p>
        </w:tc>
        <w:tc>
          <w:tcPr>
            <w:tcW w:w="767" w:type="pct"/>
            <w:tcBorders>
              <w:top w:val="nil"/>
              <w:left w:val="nil"/>
              <w:bottom w:val="single" w:sz="8" w:space="0" w:color="auto"/>
              <w:right w:val="nil"/>
            </w:tcBorders>
            <w:shd w:val="clear" w:color="auto" w:fill="auto"/>
            <w:vAlign w:val="bottom"/>
          </w:tcPr>
          <w:p w14:paraId="462DC6AF" w14:textId="26CA6159" w:rsidR="00AF2F43" w:rsidRPr="00BF2624" w:rsidRDefault="00AF2F43" w:rsidP="00AF2F43">
            <w:pPr>
              <w:tabs>
                <w:tab w:val="right" w:pos="1202"/>
              </w:tabs>
              <w:spacing w:after="0" w:line="280" w:lineRule="exact"/>
              <w:jc w:val="right"/>
              <w:outlineLvl w:val="0"/>
              <w:rPr>
                <w:rFonts w:cs="Arial"/>
                <w:snapToGrid w:val="0"/>
                <w:sz w:val="18"/>
                <w:szCs w:val="18"/>
              </w:rPr>
            </w:pPr>
            <w:r w:rsidRPr="00581980">
              <w:rPr>
                <w:rFonts w:eastAsia="Times New Roman" w:cs="Arial"/>
                <w:sz w:val="18"/>
                <w:szCs w:val="18"/>
                <w:lang w:val="en-US"/>
              </w:rPr>
              <w:t>4</w:t>
            </w:r>
            <w:r>
              <w:rPr>
                <w:rFonts w:eastAsia="Times New Roman" w:cs="Arial"/>
                <w:sz w:val="18"/>
                <w:szCs w:val="18"/>
                <w:lang w:val="en-US"/>
              </w:rPr>
              <w:t>,</w:t>
            </w:r>
            <w:r w:rsidRPr="00581980">
              <w:rPr>
                <w:rFonts w:eastAsia="Times New Roman" w:cs="Arial"/>
                <w:sz w:val="18"/>
                <w:szCs w:val="18"/>
                <w:lang w:val="en-US"/>
              </w:rPr>
              <w:t>675</w:t>
            </w:r>
          </w:p>
        </w:tc>
      </w:tr>
      <w:tr w:rsidR="00AF2F43" w:rsidRPr="00BF2624" w14:paraId="28B9A638" w14:textId="77777777" w:rsidTr="006B318F">
        <w:trPr>
          <w:trHeight w:val="367"/>
          <w:jc w:val="center"/>
        </w:trPr>
        <w:tc>
          <w:tcPr>
            <w:tcW w:w="1929" w:type="pct"/>
            <w:vAlign w:val="bottom"/>
          </w:tcPr>
          <w:p w14:paraId="6187707A" w14:textId="77777777" w:rsidR="00AF2F43" w:rsidRPr="00BF2624" w:rsidRDefault="00AF2F43" w:rsidP="00AF2F43">
            <w:pPr>
              <w:tabs>
                <w:tab w:val="right" w:pos="1202"/>
              </w:tabs>
              <w:spacing w:after="0" w:line="280" w:lineRule="exact"/>
              <w:outlineLvl w:val="0"/>
              <w:rPr>
                <w:rFonts w:eastAsia="Times New Roman" w:cs="Arial"/>
                <w:b/>
                <w:bCs/>
                <w:sz w:val="18"/>
                <w:szCs w:val="18"/>
              </w:rPr>
            </w:pPr>
            <w:r w:rsidRPr="00BF2624">
              <w:rPr>
                <w:rFonts w:eastAsia="Times New Roman" w:cs="Arial"/>
                <w:b/>
                <w:bCs/>
                <w:sz w:val="18"/>
                <w:szCs w:val="18"/>
              </w:rPr>
              <w:t xml:space="preserve">Total </w:t>
            </w:r>
          </w:p>
        </w:tc>
        <w:tc>
          <w:tcPr>
            <w:tcW w:w="768" w:type="pct"/>
            <w:tcBorders>
              <w:top w:val="nil"/>
              <w:left w:val="nil"/>
              <w:bottom w:val="single" w:sz="12" w:space="0" w:color="auto"/>
              <w:right w:val="nil"/>
            </w:tcBorders>
            <w:shd w:val="clear" w:color="auto" w:fill="auto"/>
            <w:vAlign w:val="bottom"/>
          </w:tcPr>
          <w:p w14:paraId="23F2D190" w14:textId="2CA50B31" w:rsidR="00AF2F43" w:rsidRPr="00BF2624" w:rsidRDefault="00AF2F43" w:rsidP="00AF2F43">
            <w:pPr>
              <w:tabs>
                <w:tab w:val="right" w:pos="1202"/>
              </w:tabs>
              <w:spacing w:after="0" w:line="280" w:lineRule="exact"/>
              <w:jc w:val="right"/>
              <w:outlineLvl w:val="0"/>
              <w:rPr>
                <w:rFonts w:cs="Arial"/>
                <w:b/>
                <w:bCs/>
                <w:sz w:val="18"/>
                <w:szCs w:val="18"/>
              </w:rPr>
            </w:pPr>
            <w:r w:rsidRPr="00581980">
              <w:rPr>
                <w:rFonts w:eastAsia="Times New Roman" w:cs="Arial"/>
                <w:b/>
                <w:sz w:val="18"/>
                <w:szCs w:val="18"/>
                <w:lang w:val="en-US"/>
              </w:rPr>
              <w:t>25</w:t>
            </w:r>
            <w:r>
              <w:rPr>
                <w:rFonts w:eastAsia="Times New Roman" w:cs="Arial"/>
                <w:b/>
                <w:sz w:val="18"/>
                <w:szCs w:val="18"/>
                <w:lang w:val="en-US"/>
              </w:rPr>
              <w:t>,</w:t>
            </w:r>
            <w:r w:rsidRPr="00581980">
              <w:rPr>
                <w:rFonts w:eastAsia="Times New Roman" w:cs="Arial"/>
                <w:b/>
                <w:sz w:val="18"/>
                <w:szCs w:val="18"/>
                <w:lang w:val="en-US"/>
              </w:rPr>
              <w:t>961</w:t>
            </w:r>
            <w:r>
              <w:rPr>
                <w:rFonts w:eastAsia="Times New Roman" w:cs="Arial"/>
                <w:b/>
                <w:sz w:val="18"/>
                <w:szCs w:val="18"/>
                <w:lang w:val="en-US"/>
              </w:rPr>
              <w:t>,</w:t>
            </w:r>
            <w:r w:rsidRPr="00581980">
              <w:rPr>
                <w:rFonts w:eastAsia="Times New Roman" w:cs="Arial"/>
                <w:b/>
                <w:sz w:val="18"/>
                <w:szCs w:val="18"/>
                <w:lang w:val="en-US"/>
              </w:rPr>
              <w:t>010</w:t>
            </w:r>
          </w:p>
        </w:tc>
        <w:tc>
          <w:tcPr>
            <w:tcW w:w="768" w:type="pct"/>
            <w:tcBorders>
              <w:top w:val="nil"/>
              <w:left w:val="nil"/>
              <w:bottom w:val="single" w:sz="12" w:space="0" w:color="auto"/>
              <w:right w:val="nil"/>
            </w:tcBorders>
            <w:shd w:val="clear" w:color="auto" w:fill="auto"/>
            <w:vAlign w:val="bottom"/>
          </w:tcPr>
          <w:p w14:paraId="355E419A" w14:textId="25569AF1" w:rsidR="00AF2F43" w:rsidRPr="00BF2624" w:rsidRDefault="00AF2F43" w:rsidP="00AF2F43">
            <w:pPr>
              <w:tabs>
                <w:tab w:val="right" w:pos="1202"/>
              </w:tabs>
              <w:spacing w:after="0" w:line="280" w:lineRule="exact"/>
              <w:jc w:val="right"/>
              <w:outlineLvl w:val="0"/>
              <w:rPr>
                <w:rFonts w:cs="Arial"/>
                <w:b/>
                <w:bCs/>
                <w:sz w:val="18"/>
                <w:szCs w:val="18"/>
              </w:rPr>
            </w:pPr>
            <w:r w:rsidRPr="00581980">
              <w:rPr>
                <w:rFonts w:eastAsia="Times New Roman" w:cs="Arial"/>
                <w:b/>
                <w:sz w:val="18"/>
                <w:szCs w:val="18"/>
                <w:lang w:val="en-US"/>
              </w:rPr>
              <w:t>467</w:t>
            </w:r>
            <w:r>
              <w:rPr>
                <w:rFonts w:eastAsia="Times New Roman" w:cs="Arial"/>
                <w:b/>
                <w:sz w:val="18"/>
                <w:szCs w:val="18"/>
                <w:lang w:val="en-US"/>
              </w:rPr>
              <w:t>,</w:t>
            </w:r>
            <w:r w:rsidRPr="00581980">
              <w:rPr>
                <w:rFonts w:eastAsia="Times New Roman" w:cs="Arial"/>
                <w:b/>
                <w:sz w:val="18"/>
                <w:szCs w:val="18"/>
                <w:lang w:val="en-US"/>
              </w:rPr>
              <w:t>591</w:t>
            </w:r>
          </w:p>
        </w:tc>
        <w:tc>
          <w:tcPr>
            <w:tcW w:w="768" w:type="pct"/>
            <w:tcBorders>
              <w:top w:val="nil"/>
              <w:left w:val="nil"/>
              <w:bottom w:val="single" w:sz="12" w:space="0" w:color="auto"/>
              <w:right w:val="nil"/>
            </w:tcBorders>
            <w:shd w:val="clear" w:color="auto" w:fill="auto"/>
            <w:vAlign w:val="bottom"/>
          </w:tcPr>
          <w:p w14:paraId="7C0784F0" w14:textId="279FD28E" w:rsidR="00AF2F43" w:rsidRPr="00BF2624" w:rsidRDefault="00AF2F43" w:rsidP="00AF2F43">
            <w:pPr>
              <w:tabs>
                <w:tab w:val="right" w:pos="1202"/>
              </w:tabs>
              <w:spacing w:after="0" w:line="280" w:lineRule="exact"/>
              <w:jc w:val="right"/>
              <w:outlineLvl w:val="0"/>
              <w:rPr>
                <w:rFonts w:cs="Arial"/>
                <w:b/>
                <w:bCs/>
                <w:sz w:val="18"/>
                <w:szCs w:val="18"/>
              </w:rPr>
            </w:pPr>
            <w:r w:rsidRPr="00581980">
              <w:rPr>
                <w:rFonts w:eastAsia="Times New Roman" w:cs="Arial"/>
                <w:b/>
                <w:sz w:val="18"/>
                <w:szCs w:val="18"/>
                <w:lang w:val="en-US"/>
              </w:rPr>
              <w:t>1</w:t>
            </w:r>
            <w:r>
              <w:rPr>
                <w:rFonts w:eastAsia="Times New Roman" w:cs="Arial"/>
                <w:b/>
                <w:sz w:val="18"/>
                <w:szCs w:val="18"/>
                <w:lang w:val="en-US"/>
              </w:rPr>
              <w:t>,</w:t>
            </w:r>
            <w:r w:rsidRPr="00581980">
              <w:rPr>
                <w:rFonts w:eastAsia="Times New Roman" w:cs="Arial"/>
                <w:b/>
                <w:sz w:val="18"/>
                <w:szCs w:val="18"/>
                <w:lang w:val="en-US"/>
              </w:rPr>
              <w:t>696</w:t>
            </w:r>
            <w:r>
              <w:rPr>
                <w:rFonts w:eastAsia="Times New Roman" w:cs="Arial"/>
                <w:b/>
                <w:sz w:val="18"/>
                <w:szCs w:val="18"/>
                <w:lang w:val="en-US"/>
              </w:rPr>
              <w:t>,</w:t>
            </w:r>
            <w:r w:rsidRPr="00581980">
              <w:rPr>
                <w:rFonts w:eastAsia="Times New Roman" w:cs="Arial"/>
                <w:b/>
                <w:sz w:val="18"/>
                <w:szCs w:val="18"/>
                <w:lang w:val="en-US"/>
              </w:rPr>
              <w:t>418</w:t>
            </w:r>
          </w:p>
        </w:tc>
        <w:tc>
          <w:tcPr>
            <w:tcW w:w="767" w:type="pct"/>
            <w:tcBorders>
              <w:top w:val="nil"/>
              <w:left w:val="nil"/>
              <w:bottom w:val="single" w:sz="12" w:space="0" w:color="auto"/>
              <w:right w:val="nil"/>
            </w:tcBorders>
            <w:shd w:val="clear" w:color="auto" w:fill="auto"/>
            <w:vAlign w:val="bottom"/>
          </w:tcPr>
          <w:p w14:paraId="4783DCC7" w14:textId="23757AFD" w:rsidR="00AF2F43" w:rsidRPr="00BF2624" w:rsidRDefault="00AF2F43" w:rsidP="00AF2F43">
            <w:pPr>
              <w:tabs>
                <w:tab w:val="right" w:pos="1202"/>
              </w:tabs>
              <w:spacing w:after="0" w:line="280" w:lineRule="exact"/>
              <w:jc w:val="right"/>
              <w:outlineLvl w:val="0"/>
              <w:rPr>
                <w:rFonts w:cs="Arial"/>
                <w:b/>
                <w:bCs/>
                <w:sz w:val="18"/>
                <w:szCs w:val="18"/>
              </w:rPr>
            </w:pPr>
            <w:r w:rsidRPr="00581980">
              <w:rPr>
                <w:rFonts w:eastAsia="Times New Roman" w:cs="Arial"/>
                <w:b/>
                <w:sz w:val="18"/>
                <w:szCs w:val="18"/>
                <w:lang w:val="en-US"/>
              </w:rPr>
              <w:t>28</w:t>
            </w:r>
            <w:r>
              <w:rPr>
                <w:rFonts w:eastAsia="Times New Roman" w:cs="Arial"/>
                <w:b/>
                <w:sz w:val="18"/>
                <w:szCs w:val="18"/>
                <w:lang w:val="en-US"/>
              </w:rPr>
              <w:t>,</w:t>
            </w:r>
            <w:r w:rsidRPr="00581980">
              <w:rPr>
                <w:rFonts w:eastAsia="Times New Roman" w:cs="Arial"/>
                <w:b/>
                <w:sz w:val="18"/>
                <w:szCs w:val="18"/>
                <w:lang w:val="en-US"/>
              </w:rPr>
              <w:t>125</w:t>
            </w:r>
            <w:r>
              <w:rPr>
                <w:rFonts w:eastAsia="Times New Roman" w:cs="Arial"/>
                <w:b/>
                <w:sz w:val="18"/>
                <w:szCs w:val="18"/>
                <w:lang w:val="en-US"/>
              </w:rPr>
              <w:t>,</w:t>
            </w:r>
            <w:r w:rsidRPr="00581980">
              <w:rPr>
                <w:rFonts w:eastAsia="Times New Roman" w:cs="Arial"/>
                <w:b/>
                <w:sz w:val="18"/>
                <w:szCs w:val="18"/>
                <w:lang w:val="en-US"/>
              </w:rPr>
              <w:t>019</w:t>
            </w:r>
          </w:p>
        </w:tc>
      </w:tr>
      <w:tr w:rsidR="00BA7DA1" w:rsidRPr="00BF2624" w14:paraId="68085AB2" w14:textId="77777777" w:rsidTr="00BA3F2A">
        <w:trPr>
          <w:trHeight w:val="349"/>
          <w:jc w:val="center"/>
        </w:trPr>
        <w:tc>
          <w:tcPr>
            <w:tcW w:w="1929" w:type="pct"/>
            <w:vAlign w:val="bottom"/>
          </w:tcPr>
          <w:p w14:paraId="752A89B5" w14:textId="77777777" w:rsidR="00BA7DA1" w:rsidRPr="00BF2624" w:rsidRDefault="00BA7DA1" w:rsidP="00BA7DA1">
            <w:pPr>
              <w:tabs>
                <w:tab w:val="right" w:pos="1202"/>
              </w:tabs>
              <w:spacing w:after="0" w:line="280" w:lineRule="exact"/>
              <w:outlineLvl w:val="0"/>
              <w:rPr>
                <w:rFonts w:eastAsia="Times New Roman" w:cs="Arial"/>
                <w:b/>
                <w:bCs/>
                <w:sz w:val="18"/>
                <w:szCs w:val="18"/>
              </w:rPr>
            </w:pPr>
            <w:r w:rsidRPr="00BF2624">
              <w:rPr>
                <w:rFonts w:eastAsia="Times New Roman" w:cs="Arial"/>
                <w:b/>
                <w:bCs/>
                <w:sz w:val="18"/>
                <w:szCs w:val="18"/>
              </w:rPr>
              <w:t>Guarantees and commitments</w:t>
            </w:r>
          </w:p>
        </w:tc>
        <w:tc>
          <w:tcPr>
            <w:tcW w:w="768" w:type="pct"/>
            <w:tcBorders>
              <w:top w:val="single" w:sz="12" w:space="0" w:color="auto"/>
            </w:tcBorders>
            <w:vAlign w:val="bottom"/>
          </w:tcPr>
          <w:p w14:paraId="7BF1DD03" w14:textId="77777777" w:rsidR="00BA7DA1" w:rsidRPr="00BF2624" w:rsidRDefault="00BA7DA1" w:rsidP="00BA7DA1">
            <w:pPr>
              <w:tabs>
                <w:tab w:val="right" w:pos="1202"/>
              </w:tabs>
              <w:spacing w:after="0" w:line="280" w:lineRule="exact"/>
              <w:jc w:val="right"/>
              <w:outlineLvl w:val="0"/>
              <w:rPr>
                <w:rFonts w:cs="Arial"/>
                <w:b/>
                <w:bCs/>
                <w:sz w:val="18"/>
                <w:szCs w:val="18"/>
              </w:rPr>
            </w:pPr>
          </w:p>
        </w:tc>
        <w:tc>
          <w:tcPr>
            <w:tcW w:w="768" w:type="pct"/>
            <w:tcBorders>
              <w:top w:val="single" w:sz="12" w:space="0" w:color="auto"/>
            </w:tcBorders>
            <w:vAlign w:val="bottom"/>
          </w:tcPr>
          <w:p w14:paraId="08B8AA77" w14:textId="77777777" w:rsidR="00BA7DA1" w:rsidRPr="00BF2624" w:rsidRDefault="00BA7DA1" w:rsidP="00BA7DA1">
            <w:pPr>
              <w:tabs>
                <w:tab w:val="right" w:pos="1202"/>
              </w:tabs>
              <w:spacing w:after="0" w:line="280" w:lineRule="exact"/>
              <w:jc w:val="right"/>
              <w:outlineLvl w:val="0"/>
              <w:rPr>
                <w:rFonts w:cs="Arial"/>
                <w:b/>
                <w:bCs/>
                <w:sz w:val="18"/>
                <w:szCs w:val="18"/>
              </w:rPr>
            </w:pPr>
          </w:p>
        </w:tc>
        <w:tc>
          <w:tcPr>
            <w:tcW w:w="768" w:type="pct"/>
            <w:tcBorders>
              <w:top w:val="single" w:sz="12" w:space="0" w:color="auto"/>
            </w:tcBorders>
            <w:vAlign w:val="bottom"/>
          </w:tcPr>
          <w:p w14:paraId="2F7039C6" w14:textId="77777777" w:rsidR="00BA7DA1" w:rsidRPr="00BF2624" w:rsidRDefault="00BA7DA1" w:rsidP="00BA7DA1">
            <w:pPr>
              <w:tabs>
                <w:tab w:val="right" w:pos="1202"/>
              </w:tabs>
              <w:spacing w:after="0" w:line="280" w:lineRule="exact"/>
              <w:jc w:val="right"/>
              <w:outlineLvl w:val="0"/>
              <w:rPr>
                <w:rFonts w:cs="Arial"/>
                <w:b/>
                <w:bCs/>
                <w:sz w:val="18"/>
                <w:szCs w:val="18"/>
              </w:rPr>
            </w:pPr>
          </w:p>
        </w:tc>
        <w:tc>
          <w:tcPr>
            <w:tcW w:w="767" w:type="pct"/>
            <w:tcBorders>
              <w:top w:val="single" w:sz="12" w:space="0" w:color="auto"/>
            </w:tcBorders>
            <w:vAlign w:val="bottom"/>
          </w:tcPr>
          <w:p w14:paraId="7F6530A6" w14:textId="77777777" w:rsidR="00BA7DA1" w:rsidRPr="00BF2624" w:rsidRDefault="00BA7DA1" w:rsidP="00BA7DA1">
            <w:pPr>
              <w:tabs>
                <w:tab w:val="right" w:pos="1202"/>
              </w:tabs>
              <w:spacing w:after="0" w:line="280" w:lineRule="exact"/>
              <w:jc w:val="right"/>
              <w:outlineLvl w:val="0"/>
              <w:rPr>
                <w:rFonts w:cs="Arial"/>
                <w:b/>
                <w:bCs/>
                <w:sz w:val="18"/>
                <w:szCs w:val="18"/>
              </w:rPr>
            </w:pPr>
          </w:p>
        </w:tc>
      </w:tr>
      <w:tr w:rsidR="00AF2F43" w:rsidRPr="00BF2624" w14:paraId="2D02DCEE" w14:textId="77777777" w:rsidTr="00BA3F2A">
        <w:trPr>
          <w:trHeight w:hRule="exact" w:val="359"/>
          <w:jc w:val="center"/>
        </w:trPr>
        <w:tc>
          <w:tcPr>
            <w:tcW w:w="1929" w:type="pct"/>
            <w:vAlign w:val="bottom"/>
          </w:tcPr>
          <w:p w14:paraId="238C4B63" w14:textId="77777777" w:rsidR="00AF2F43" w:rsidRPr="00BF2624" w:rsidRDefault="00AF2F43" w:rsidP="00AF2F43">
            <w:pPr>
              <w:tabs>
                <w:tab w:val="right" w:pos="1202"/>
              </w:tabs>
              <w:spacing w:after="0" w:line="280" w:lineRule="exact"/>
              <w:outlineLvl w:val="0"/>
              <w:rPr>
                <w:rFonts w:eastAsia="Times New Roman" w:cs="Arial"/>
                <w:bCs/>
                <w:sz w:val="18"/>
                <w:szCs w:val="18"/>
              </w:rPr>
            </w:pPr>
            <w:r w:rsidRPr="00BF2624">
              <w:rPr>
                <w:rFonts w:eastAsia="Times New Roman" w:cs="Arial"/>
                <w:bCs/>
                <w:sz w:val="18"/>
                <w:szCs w:val="18"/>
              </w:rPr>
              <w:t>Guarantees issued in HRK</w:t>
            </w:r>
          </w:p>
        </w:tc>
        <w:tc>
          <w:tcPr>
            <w:tcW w:w="768" w:type="pct"/>
            <w:tcBorders>
              <w:top w:val="nil"/>
              <w:left w:val="nil"/>
              <w:bottom w:val="nil"/>
              <w:right w:val="nil"/>
            </w:tcBorders>
            <w:shd w:val="clear" w:color="auto" w:fill="auto"/>
            <w:vAlign w:val="bottom"/>
          </w:tcPr>
          <w:p w14:paraId="5834DDF2" w14:textId="17E1FB7E" w:rsidR="00AF2F43" w:rsidRPr="00BF2624" w:rsidRDefault="00AF2F43" w:rsidP="00AF2F43">
            <w:pPr>
              <w:tabs>
                <w:tab w:val="right" w:pos="1202"/>
              </w:tabs>
              <w:spacing w:after="0" w:line="280" w:lineRule="exact"/>
              <w:jc w:val="right"/>
              <w:outlineLvl w:val="0"/>
              <w:rPr>
                <w:rFonts w:cs="Arial"/>
                <w:bCs/>
                <w:sz w:val="18"/>
                <w:szCs w:val="18"/>
              </w:rPr>
            </w:pPr>
            <w:r w:rsidRPr="00581980">
              <w:rPr>
                <w:rFonts w:eastAsia="Times New Roman" w:cs="Arial"/>
                <w:sz w:val="18"/>
                <w:szCs w:val="18"/>
                <w:lang w:val="en-US"/>
              </w:rPr>
              <w:t>21</w:t>
            </w:r>
            <w:r>
              <w:rPr>
                <w:rFonts w:eastAsia="Times New Roman" w:cs="Arial"/>
                <w:sz w:val="18"/>
                <w:szCs w:val="18"/>
                <w:lang w:val="en-US"/>
              </w:rPr>
              <w:t>,</w:t>
            </w:r>
            <w:r w:rsidRPr="00581980">
              <w:rPr>
                <w:rFonts w:eastAsia="Times New Roman" w:cs="Arial"/>
                <w:sz w:val="18"/>
                <w:szCs w:val="18"/>
                <w:lang w:val="en-US"/>
              </w:rPr>
              <w:t>026</w:t>
            </w:r>
          </w:p>
        </w:tc>
        <w:tc>
          <w:tcPr>
            <w:tcW w:w="768" w:type="pct"/>
            <w:tcBorders>
              <w:top w:val="nil"/>
              <w:left w:val="nil"/>
              <w:bottom w:val="nil"/>
              <w:right w:val="nil"/>
            </w:tcBorders>
            <w:shd w:val="clear" w:color="auto" w:fill="auto"/>
            <w:vAlign w:val="bottom"/>
          </w:tcPr>
          <w:p w14:paraId="7F33639A" w14:textId="5379E07F" w:rsidR="00AF2F43" w:rsidRPr="00BF2624" w:rsidRDefault="00AF2F43" w:rsidP="00AF2F43">
            <w:pPr>
              <w:tabs>
                <w:tab w:val="right" w:pos="1202"/>
              </w:tabs>
              <w:spacing w:after="0" w:line="280" w:lineRule="exact"/>
              <w:jc w:val="right"/>
              <w:outlineLvl w:val="0"/>
              <w:rPr>
                <w:rFonts w:cs="Arial"/>
                <w:bCs/>
                <w:sz w:val="18"/>
                <w:szCs w:val="18"/>
              </w:rPr>
            </w:pPr>
            <w:r w:rsidRPr="00B4620E">
              <w:rPr>
                <w:rFonts w:eastAsia="Times New Roman" w:cs="Arial"/>
                <w:sz w:val="18"/>
                <w:szCs w:val="18"/>
                <w:lang w:val="en-US"/>
              </w:rPr>
              <w:t>-</w:t>
            </w:r>
          </w:p>
        </w:tc>
        <w:tc>
          <w:tcPr>
            <w:tcW w:w="768" w:type="pct"/>
            <w:tcBorders>
              <w:top w:val="nil"/>
              <w:left w:val="nil"/>
              <w:bottom w:val="nil"/>
              <w:right w:val="nil"/>
            </w:tcBorders>
            <w:shd w:val="clear" w:color="auto" w:fill="auto"/>
            <w:vAlign w:val="bottom"/>
          </w:tcPr>
          <w:p w14:paraId="71811137" w14:textId="05A64C2B" w:rsidR="00AF2F43" w:rsidRPr="00BF2624" w:rsidRDefault="00AF2F43" w:rsidP="00AF2F43">
            <w:pPr>
              <w:tabs>
                <w:tab w:val="right" w:pos="1202"/>
              </w:tabs>
              <w:spacing w:after="0" w:line="280" w:lineRule="exact"/>
              <w:jc w:val="right"/>
              <w:outlineLvl w:val="0"/>
              <w:rPr>
                <w:rFonts w:cs="Arial"/>
                <w:bCs/>
                <w:sz w:val="18"/>
                <w:szCs w:val="18"/>
              </w:rPr>
            </w:pPr>
            <w:r>
              <w:rPr>
                <w:rFonts w:eastAsia="Times New Roman" w:cs="Arial"/>
                <w:sz w:val="18"/>
                <w:szCs w:val="18"/>
                <w:lang w:val="en-US"/>
              </w:rPr>
              <w:t>-</w:t>
            </w:r>
          </w:p>
        </w:tc>
        <w:tc>
          <w:tcPr>
            <w:tcW w:w="767" w:type="pct"/>
            <w:tcBorders>
              <w:top w:val="nil"/>
              <w:left w:val="nil"/>
              <w:bottom w:val="nil"/>
              <w:right w:val="nil"/>
            </w:tcBorders>
            <w:shd w:val="clear" w:color="auto" w:fill="auto"/>
            <w:vAlign w:val="bottom"/>
          </w:tcPr>
          <w:p w14:paraId="7F7E57FF" w14:textId="2F90710F" w:rsidR="00AF2F43" w:rsidRPr="00BF2624" w:rsidRDefault="00AF2F43" w:rsidP="00AF2F43">
            <w:pPr>
              <w:tabs>
                <w:tab w:val="right" w:pos="1202"/>
              </w:tabs>
              <w:spacing w:after="0" w:line="280" w:lineRule="exact"/>
              <w:jc w:val="right"/>
              <w:outlineLvl w:val="0"/>
              <w:rPr>
                <w:rFonts w:cs="Arial"/>
                <w:bCs/>
                <w:sz w:val="18"/>
                <w:szCs w:val="18"/>
              </w:rPr>
            </w:pPr>
            <w:r w:rsidRPr="00581980">
              <w:rPr>
                <w:rFonts w:eastAsia="Times New Roman" w:cs="Arial"/>
                <w:sz w:val="18"/>
                <w:szCs w:val="18"/>
                <w:lang w:val="en-US"/>
              </w:rPr>
              <w:t>21</w:t>
            </w:r>
            <w:r>
              <w:rPr>
                <w:rFonts w:eastAsia="Times New Roman" w:cs="Arial"/>
                <w:sz w:val="18"/>
                <w:szCs w:val="18"/>
                <w:lang w:val="en-US"/>
              </w:rPr>
              <w:t>,</w:t>
            </w:r>
            <w:r w:rsidRPr="00581980">
              <w:rPr>
                <w:rFonts w:eastAsia="Times New Roman" w:cs="Arial"/>
                <w:sz w:val="18"/>
                <w:szCs w:val="18"/>
                <w:lang w:val="en-US"/>
              </w:rPr>
              <w:t>026</w:t>
            </w:r>
          </w:p>
        </w:tc>
      </w:tr>
      <w:tr w:rsidR="00AF2F43" w:rsidRPr="00BF2624" w14:paraId="24B09002" w14:textId="77777777" w:rsidTr="00BA3F2A">
        <w:trPr>
          <w:trHeight w:hRule="exact" w:val="359"/>
          <w:jc w:val="center"/>
        </w:trPr>
        <w:tc>
          <w:tcPr>
            <w:tcW w:w="1929" w:type="pct"/>
            <w:vAlign w:val="bottom"/>
          </w:tcPr>
          <w:p w14:paraId="61E263B6" w14:textId="77777777" w:rsidR="00AF2F43" w:rsidRPr="00BF2624" w:rsidRDefault="00AF2F43" w:rsidP="00AF2F43">
            <w:pPr>
              <w:tabs>
                <w:tab w:val="right" w:pos="1202"/>
              </w:tabs>
              <w:spacing w:after="0" w:line="240" w:lineRule="auto"/>
              <w:outlineLvl w:val="0"/>
              <w:rPr>
                <w:rFonts w:eastAsia="Times New Roman" w:cs="Arial"/>
                <w:sz w:val="18"/>
                <w:szCs w:val="18"/>
              </w:rPr>
            </w:pPr>
            <w:r w:rsidRPr="00BF2624">
              <w:rPr>
                <w:rFonts w:eastAsia="Times New Roman" w:cs="Arial"/>
                <w:sz w:val="18"/>
                <w:szCs w:val="18"/>
              </w:rPr>
              <w:t>Issued guarantees in foreign currency</w:t>
            </w:r>
          </w:p>
        </w:tc>
        <w:tc>
          <w:tcPr>
            <w:tcW w:w="768" w:type="pct"/>
            <w:tcBorders>
              <w:top w:val="nil"/>
              <w:left w:val="nil"/>
              <w:bottom w:val="nil"/>
              <w:right w:val="nil"/>
            </w:tcBorders>
            <w:shd w:val="clear" w:color="auto" w:fill="auto"/>
            <w:vAlign w:val="bottom"/>
          </w:tcPr>
          <w:p w14:paraId="4518215F" w14:textId="6A8C2706" w:rsidR="00AF2F43" w:rsidRPr="00BF2624" w:rsidRDefault="00AF2F43" w:rsidP="00AF2F43">
            <w:pPr>
              <w:tabs>
                <w:tab w:val="right" w:pos="1202"/>
              </w:tabs>
              <w:spacing w:after="0" w:line="280" w:lineRule="exact"/>
              <w:jc w:val="right"/>
              <w:outlineLvl w:val="0"/>
              <w:rPr>
                <w:rFonts w:cs="Arial"/>
                <w:sz w:val="18"/>
                <w:szCs w:val="18"/>
              </w:rPr>
            </w:pPr>
            <w:r w:rsidRPr="00581980">
              <w:rPr>
                <w:rFonts w:eastAsia="Times New Roman" w:cs="Arial"/>
                <w:sz w:val="18"/>
                <w:szCs w:val="18"/>
                <w:lang w:val="en-US"/>
              </w:rPr>
              <w:t>2</w:t>
            </w:r>
            <w:r>
              <w:rPr>
                <w:rFonts w:eastAsia="Times New Roman" w:cs="Arial"/>
                <w:sz w:val="18"/>
                <w:szCs w:val="18"/>
                <w:lang w:val="en-US"/>
              </w:rPr>
              <w:t>,</w:t>
            </w:r>
            <w:r w:rsidRPr="00581980">
              <w:rPr>
                <w:rFonts w:eastAsia="Times New Roman" w:cs="Arial"/>
                <w:sz w:val="18"/>
                <w:szCs w:val="18"/>
                <w:lang w:val="en-US"/>
              </w:rPr>
              <w:t>164</w:t>
            </w:r>
            <w:r>
              <w:rPr>
                <w:rFonts w:eastAsia="Times New Roman" w:cs="Arial"/>
                <w:sz w:val="18"/>
                <w:szCs w:val="18"/>
                <w:lang w:val="en-US"/>
              </w:rPr>
              <w:t>,</w:t>
            </w:r>
            <w:r w:rsidRPr="00581980">
              <w:rPr>
                <w:rFonts w:eastAsia="Times New Roman" w:cs="Arial"/>
                <w:sz w:val="18"/>
                <w:szCs w:val="18"/>
                <w:lang w:val="en-US"/>
              </w:rPr>
              <w:t>257</w:t>
            </w:r>
          </w:p>
        </w:tc>
        <w:tc>
          <w:tcPr>
            <w:tcW w:w="768" w:type="pct"/>
            <w:tcBorders>
              <w:top w:val="nil"/>
              <w:left w:val="nil"/>
              <w:bottom w:val="nil"/>
              <w:right w:val="nil"/>
            </w:tcBorders>
            <w:shd w:val="clear" w:color="auto" w:fill="auto"/>
            <w:vAlign w:val="bottom"/>
          </w:tcPr>
          <w:p w14:paraId="49C514B3" w14:textId="1DC2064C" w:rsidR="00AF2F43" w:rsidRPr="00BF2624" w:rsidRDefault="00AF2F43" w:rsidP="00AF2F43">
            <w:pPr>
              <w:tabs>
                <w:tab w:val="right" w:pos="1202"/>
              </w:tabs>
              <w:spacing w:after="0" w:line="280" w:lineRule="exact"/>
              <w:jc w:val="right"/>
              <w:outlineLvl w:val="0"/>
              <w:rPr>
                <w:rFonts w:cs="Arial"/>
                <w:sz w:val="18"/>
                <w:szCs w:val="18"/>
              </w:rPr>
            </w:pPr>
            <w:r>
              <w:rPr>
                <w:rFonts w:eastAsia="Times New Roman" w:cs="Arial"/>
                <w:sz w:val="18"/>
                <w:szCs w:val="18"/>
                <w:lang w:val="en-US"/>
              </w:rPr>
              <w:t>-</w:t>
            </w:r>
          </w:p>
        </w:tc>
        <w:tc>
          <w:tcPr>
            <w:tcW w:w="768" w:type="pct"/>
            <w:tcBorders>
              <w:top w:val="nil"/>
              <w:left w:val="nil"/>
              <w:bottom w:val="nil"/>
              <w:right w:val="nil"/>
            </w:tcBorders>
            <w:shd w:val="clear" w:color="auto" w:fill="auto"/>
            <w:vAlign w:val="bottom"/>
          </w:tcPr>
          <w:p w14:paraId="28B7F30B" w14:textId="0C33C482" w:rsidR="00AF2F43" w:rsidRPr="00BF2624" w:rsidRDefault="00AF2F43" w:rsidP="00AF2F43">
            <w:pPr>
              <w:tabs>
                <w:tab w:val="right" w:pos="1202"/>
              </w:tabs>
              <w:spacing w:after="0" w:line="280" w:lineRule="exact"/>
              <w:jc w:val="right"/>
              <w:outlineLvl w:val="0"/>
              <w:rPr>
                <w:rFonts w:cs="Arial"/>
                <w:sz w:val="18"/>
                <w:szCs w:val="18"/>
              </w:rPr>
            </w:pPr>
            <w:r w:rsidRPr="00581980">
              <w:rPr>
                <w:rFonts w:eastAsia="Times New Roman" w:cs="Arial"/>
                <w:sz w:val="18"/>
                <w:szCs w:val="18"/>
                <w:lang w:val="en-US"/>
              </w:rPr>
              <w:t>27</w:t>
            </w:r>
            <w:r>
              <w:rPr>
                <w:rFonts w:eastAsia="Times New Roman" w:cs="Arial"/>
                <w:sz w:val="18"/>
                <w:szCs w:val="18"/>
                <w:lang w:val="en-US"/>
              </w:rPr>
              <w:t>,</w:t>
            </w:r>
            <w:r w:rsidRPr="00581980">
              <w:rPr>
                <w:rFonts w:eastAsia="Times New Roman" w:cs="Arial"/>
                <w:sz w:val="18"/>
                <w:szCs w:val="18"/>
                <w:lang w:val="en-US"/>
              </w:rPr>
              <w:t>359</w:t>
            </w:r>
          </w:p>
        </w:tc>
        <w:tc>
          <w:tcPr>
            <w:tcW w:w="767" w:type="pct"/>
            <w:tcBorders>
              <w:top w:val="nil"/>
              <w:left w:val="nil"/>
              <w:bottom w:val="nil"/>
              <w:right w:val="nil"/>
            </w:tcBorders>
            <w:shd w:val="clear" w:color="auto" w:fill="auto"/>
            <w:vAlign w:val="bottom"/>
          </w:tcPr>
          <w:p w14:paraId="33F3A292" w14:textId="371F88FB" w:rsidR="00AF2F43" w:rsidRPr="00BF2624" w:rsidRDefault="00AF2F43" w:rsidP="00AF2F43">
            <w:pPr>
              <w:tabs>
                <w:tab w:val="right" w:pos="1202"/>
              </w:tabs>
              <w:spacing w:after="0" w:line="280" w:lineRule="exact"/>
              <w:jc w:val="right"/>
              <w:outlineLvl w:val="0"/>
              <w:rPr>
                <w:rFonts w:cs="Arial"/>
                <w:sz w:val="18"/>
                <w:szCs w:val="18"/>
              </w:rPr>
            </w:pPr>
            <w:r w:rsidRPr="00581980">
              <w:rPr>
                <w:rFonts w:eastAsia="Times New Roman" w:cs="Arial"/>
                <w:sz w:val="18"/>
                <w:szCs w:val="18"/>
                <w:lang w:val="en-US"/>
              </w:rPr>
              <w:t>2</w:t>
            </w:r>
            <w:r>
              <w:rPr>
                <w:rFonts w:eastAsia="Times New Roman" w:cs="Arial"/>
                <w:sz w:val="18"/>
                <w:szCs w:val="18"/>
                <w:lang w:val="en-US"/>
              </w:rPr>
              <w:t>,</w:t>
            </w:r>
            <w:r w:rsidRPr="00581980">
              <w:rPr>
                <w:rFonts w:eastAsia="Times New Roman" w:cs="Arial"/>
                <w:sz w:val="18"/>
                <w:szCs w:val="18"/>
                <w:lang w:val="en-US"/>
              </w:rPr>
              <w:t>191</w:t>
            </w:r>
            <w:r>
              <w:rPr>
                <w:rFonts w:eastAsia="Times New Roman" w:cs="Arial"/>
                <w:sz w:val="18"/>
                <w:szCs w:val="18"/>
                <w:lang w:val="en-US"/>
              </w:rPr>
              <w:t>,</w:t>
            </w:r>
            <w:r w:rsidRPr="00581980">
              <w:rPr>
                <w:rFonts w:eastAsia="Times New Roman" w:cs="Arial"/>
                <w:sz w:val="18"/>
                <w:szCs w:val="18"/>
                <w:lang w:val="en-US"/>
              </w:rPr>
              <w:t>616</w:t>
            </w:r>
          </w:p>
        </w:tc>
      </w:tr>
      <w:tr w:rsidR="00AF2F43" w:rsidRPr="00BF2624" w14:paraId="0CF1E1F1" w14:textId="77777777" w:rsidTr="00BA3F2A">
        <w:trPr>
          <w:trHeight w:hRule="exact" w:val="359"/>
          <w:jc w:val="center"/>
        </w:trPr>
        <w:tc>
          <w:tcPr>
            <w:tcW w:w="1929" w:type="pct"/>
            <w:vAlign w:val="bottom"/>
          </w:tcPr>
          <w:p w14:paraId="249175D1" w14:textId="77777777" w:rsidR="00AF2F43" w:rsidRPr="00BF2624" w:rsidRDefault="00AF2F43" w:rsidP="00AF2F43">
            <w:pPr>
              <w:tabs>
                <w:tab w:val="right" w:pos="1202"/>
              </w:tabs>
              <w:spacing w:after="0" w:line="240" w:lineRule="auto"/>
              <w:outlineLvl w:val="0"/>
              <w:rPr>
                <w:rFonts w:eastAsia="Times New Roman" w:cs="Arial"/>
                <w:sz w:val="18"/>
                <w:szCs w:val="18"/>
              </w:rPr>
            </w:pPr>
            <w:r>
              <w:rPr>
                <w:rFonts w:asciiTheme="minorHAnsi" w:eastAsia="Times New Roman" w:hAnsiTheme="minorHAnsi" w:cs="Arial"/>
                <w:sz w:val="18"/>
                <w:szCs w:val="18"/>
              </w:rPr>
              <w:t>Open letters of credit in foreign currency</w:t>
            </w:r>
          </w:p>
        </w:tc>
        <w:tc>
          <w:tcPr>
            <w:tcW w:w="768" w:type="pct"/>
            <w:tcBorders>
              <w:top w:val="nil"/>
              <w:left w:val="nil"/>
              <w:bottom w:val="nil"/>
              <w:right w:val="nil"/>
            </w:tcBorders>
            <w:shd w:val="clear" w:color="auto" w:fill="auto"/>
            <w:vAlign w:val="bottom"/>
          </w:tcPr>
          <w:p w14:paraId="7B61ABA3" w14:textId="04C77990" w:rsidR="00AF2F43" w:rsidRPr="00BF2624" w:rsidRDefault="00AF2F43" w:rsidP="00AF2F43">
            <w:pPr>
              <w:tabs>
                <w:tab w:val="right" w:pos="1202"/>
              </w:tabs>
              <w:spacing w:after="0" w:line="280" w:lineRule="exact"/>
              <w:jc w:val="right"/>
              <w:outlineLvl w:val="0"/>
              <w:rPr>
                <w:rFonts w:cs="Arial"/>
                <w:sz w:val="18"/>
                <w:szCs w:val="18"/>
              </w:rPr>
            </w:pPr>
            <w:r w:rsidRPr="00581980">
              <w:rPr>
                <w:rFonts w:eastAsia="Times New Roman" w:cs="Arial"/>
                <w:sz w:val="18"/>
                <w:szCs w:val="18"/>
                <w:lang w:val="en-US"/>
              </w:rPr>
              <w:t>990</w:t>
            </w:r>
          </w:p>
        </w:tc>
        <w:tc>
          <w:tcPr>
            <w:tcW w:w="768" w:type="pct"/>
            <w:tcBorders>
              <w:top w:val="nil"/>
              <w:left w:val="nil"/>
              <w:bottom w:val="nil"/>
              <w:right w:val="nil"/>
            </w:tcBorders>
            <w:shd w:val="clear" w:color="auto" w:fill="auto"/>
            <w:vAlign w:val="bottom"/>
          </w:tcPr>
          <w:p w14:paraId="6D028ED0" w14:textId="738F40FB" w:rsidR="00AF2F43" w:rsidRPr="00BF2624" w:rsidRDefault="00AF2F43" w:rsidP="00AF2F43">
            <w:pPr>
              <w:tabs>
                <w:tab w:val="right" w:pos="1202"/>
              </w:tabs>
              <w:spacing w:after="0" w:line="280" w:lineRule="exact"/>
              <w:jc w:val="right"/>
              <w:outlineLvl w:val="0"/>
              <w:rPr>
                <w:rFonts w:cs="Arial"/>
                <w:sz w:val="18"/>
                <w:szCs w:val="18"/>
              </w:rPr>
            </w:pPr>
            <w:r>
              <w:rPr>
                <w:rFonts w:eastAsia="Times New Roman" w:cs="Arial"/>
                <w:sz w:val="18"/>
                <w:szCs w:val="18"/>
                <w:lang w:val="en-US"/>
              </w:rPr>
              <w:t>-</w:t>
            </w:r>
          </w:p>
        </w:tc>
        <w:tc>
          <w:tcPr>
            <w:tcW w:w="768" w:type="pct"/>
            <w:tcBorders>
              <w:top w:val="nil"/>
              <w:left w:val="nil"/>
              <w:bottom w:val="nil"/>
              <w:right w:val="nil"/>
            </w:tcBorders>
            <w:shd w:val="clear" w:color="auto" w:fill="auto"/>
            <w:vAlign w:val="bottom"/>
          </w:tcPr>
          <w:p w14:paraId="162DB27B" w14:textId="59BCDBD0" w:rsidR="00AF2F43" w:rsidRPr="00BF2624" w:rsidRDefault="00AF2F43" w:rsidP="00AF2F43">
            <w:pPr>
              <w:tabs>
                <w:tab w:val="right" w:pos="1202"/>
              </w:tabs>
              <w:spacing w:after="0" w:line="280" w:lineRule="exact"/>
              <w:jc w:val="right"/>
              <w:outlineLvl w:val="0"/>
              <w:rPr>
                <w:rFonts w:cs="Arial"/>
                <w:sz w:val="18"/>
                <w:szCs w:val="18"/>
              </w:rPr>
            </w:pPr>
            <w:r>
              <w:rPr>
                <w:rFonts w:eastAsia="Times New Roman" w:cs="Arial"/>
                <w:sz w:val="18"/>
                <w:szCs w:val="18"/>
                <w:lang w:val="en-US"/>
              </w:rPr>
              <w:t>-</w:t>
            </w:r>
          </w:p>
        </w:tc>
        <w:tc>
          <w:tcPr>
            <w:tcW w:w="767" w:type="pct"/>
            <w:tcBorders>
              <w:top w:val="nil"/>
              <w:left w:val="nil"/>
              <w:bottom w:val="nil"/>
              <w:right w:val="nil"/>
            </w:tcBorders>
            <w:shd w:val="clear" w:color="auto" w:fill="auto"/>
            <w:vAlign w:val="bottom"/>
          </w:tcPr>
          <w:p w14:paraId="7224E854" w14:textId="57B6260E" w:rsidR="00AF2F43" w:rsidRPr="00BF2624" w:rsidRDefault="00AF2F43" w:rsidP="00AF2F43">
            <w:pPr>
              <w:tabs>
                <w:tab w:val="right" w:pos="1202"/>
              </w:tabs>
              <w:spacing w:after="0" w:line="280" w:lineRule="exact"/>
              <w:jc w:val="right"/>
              <w:outlineLvl w:val="0"/>
              <w:rPr>
                <w:rFonts w:cs="Arial"/>
                <w:sz w:val="18"/>
                <w:szCs w:val="18"/>
              </w:rPr>
            </w:pPr>
            <w:r w:rsidRPr="00581980">
              <w:rPr>
                <w:rFonts w:eastAsia="Times New Roman" w:cs="Arial"/>
                <w:sz w:val="18"/>
                <w:szCs w:val="18"/>
                <w:lang w:val="en-US"/>
              </w:rPr>
              <w:t>990</w:t>
            </w:r>
          </w:p>
        </w:tc>
      </w:tr>
      <w:tr w:rsidR="00AF2F43" w:rsidRPr="00BF2624" w14:paraId="074814AC" w14:textId="77777777" w:rsidTr="00BA3F2A">
        <w:trPr>
          <w:trHeight w:hRule="exact" w:val="359"/>
          <w:jc w:val="center"/>
        </w:trPr>
        <w:tc>
          <w:tcPr>
            <w:tcW w:w="1929" w:type="pct"/>
            <w:vAlign w:val="bottom"/>
          </w:tcPr>
          <w:p w14:paraId="3675A51B" w14:textId="77777777" w:rsidR="00AF2F43" w:rsidRPr="00BF2624" w:rsidRDefault="00AF2F43" w:rsidP="00AF2F43">
            <w:pPr>
              <w:tabs>
                <w:tab w:val="right" w:pos="1202"/>
              </w:tabs>
              <w:spacing w:after="0" w:line="301" w:lineRule="exact"/>
              <w:outlineLvl w:val="0"/>
              <w:rPr>
                <w:rFonts w:eastAsia="Times New Roman" w:cs="Arial"/>
                <w:sz w:val="18"/>
                <w:szCs w:val="18"/>
              </w:rPr>
            </w:pPr>
            <w:r w:rsidRPr="00BF2624">
              <w:rPr>
                <w:rFonts w:eastAsia="Times New Roman" w:cs="Arial"/>
                <w:sz w:val="18"/>
                <w:szCs w:val="18"/>
              </w:rPr>
              <w:t>Undrawn loans</w:t>
            </w:r>
          </w:p>
        </w:tc>
        <w:tc>
          <w:tcPr>
            <w:tcW w:w="768" w:type="pct"/>
            <w:tcBorders>
              <w:top w:val="nil"/>
              <w:left w:val="nil"/>
              <w:bottom w:val="nil"/>
              <w:right w:val="nil"/>
            </w:tcBorders>
            <w:shd w:val="clear" w:color="auto" w:fill="auto"/>
            <w:vAlign w:val="bottom"/>
          </w:tcPr>
          <w:p w14:paraId="5A4BCC62" w14:textId="46FB8013" w:rsidR="00AF2F43" w:rsidRPr="00BF2624" w:rsidRDefault="00AF2F43" w:rsidP="00AF2F43">
            <w:pPr>
              <w:tabs>
                <w:tab w:val="right" w:pos="1202"/>
              </w:tabs>
              <w:spacing w:after="0" w:line="280" w:lineRule="exact"/>
              <w:jc w:val="right"/>
              <w:outlineLvl w:val="0"/>
              <w:rPr>
                <w:rFonts w:cs="Arial"/>
                <w:sz w:val="18"/>
                <w:szCs w:val="18"/>
              </w:rPr>
            </w:pPr>
            <w:r w:rsidRPr="00581980">
              <w:rPr>
                <w:rFonts w:eastAsia="Times New Roman" w:cs="Arial"/>
                <w:sz w:val="18"/>
                <w:szCs w:val="18"/>
                <w:lang w:val="en-US"/>
              </w:rPr>
              <w:t>3</w:t>
            </w:r>
            <w:r>
              <w:rPr>
                <w:rFonts w:eastAsia="Times New Roman" w:cs="Arial"/>
                <w:sz w:val="18"/>
                <w:szCs w:val="18"/>
                <w:lang w:val="en-US"/>
              </w:rPr>
              <w:t>,</w:t>
            </w:r>
            <w:r w:rsidRPr="00581980">
              <w:rPr>
                <w:rFonts w:eastAsia="Times New Roman" w:cs="Arial"/>
                <w:sz w:val="18"/>
                <w:szCs w:val="18"/>
                <w:lang w:val="en-US"/>
              </w:rPr>
              <w:t>333</w:t>
            </w:r>
            <w:r>
              <w:rPr>
                <w:rFonts w:eastAsia="Times New Roman" w:cs="Arial"/>
                <w:sz w:val="18"/>
                <w:szCs w:val="18"/>
                <w:lang w:val="en-US"/>
              </w:rPr>
              <w:t>,</w:t>
            </w:r>
            <w:r w:rsidRPr="00581980">
              <w:rPr>
                <w:rFonts w:eastAsia="Times New Roman" w:cs="Arial"/>
                <w:sz w:val="18"/>
                <w:szCs w:val="18"/>
                <w:lang w:val="en-US"/>
              </w:rPr>
              <w:t>766</w:t>
            </w:r>
          </w:p>
        </w:tc>
        <w:tc>
          <w:tcPr>
            <w:tcW w:w="768" w:type="pct"/>
            <w:tcBorders>
              <w:top w:val="nil"/>
              <w:left w:val="nil"/>
              <w:bottom w:val="nil"/>
              <w:right w:val="nil"/>
            </w:tcBorders>
            <w:shd w:val="clear" w:color="auto" w:fill="auto"/>
            <w:vAlign w:val="bottom"/>
          </w:tcPr>
          <w:p w14:paraId="28ECA1B2" w14:textId="396D3810" w:rsidR="00AF2F43" w:rsidRPr="00BF2624" w:rsidRDefault="00AF2F43" w:rsidP="00AF2F43">
            <w:pPr>
              <w:tabs>
                <w:tab w:val="right" w:pos="1202"/>
              </w:tabs>
              <w:spacing w:after="0" w:line="280" w:lineRule="exact"/>
              <w:jc w:val="right"/>
              <w:outlineLvl w:val="0"/>
              <w:rPr>
                <w:rFonts w:cs="Arial"/>
                <w:sz w:val="18"/>
                <w:szCs w:val="18"/>
              </w:rPr>
            </w:pPr>
            <w:r>
              <w:rPr>
                <w:rFonts w:eastAsia="Times New Roman" w:cs="Arial"/>
                <w:sz w:val="18"/>
                <w:szCs w:val="18"/>
                <w:lang w:val="en-US"/>
              </w:rPr>
              <w:t>-</w:t>
            </w:r>
          </w:p>
        </w:tc>
        <w:tc>
          <w:tcPr>
            <w:tcW w:w="768" w:type="pct"/>
            <w:tcBorders>
              <w:top w:val="nil"/>
              <w:left w:val="nil"/>
              <w:bottom w:val="nil"/>
              <w:right w:val="nil"/>
            </w:tcBorders>
            <w:shd w:val="clear" w:color="auto" w:fill="auto"/>
            <w:vAlign w:val="bottom"/>
          </w:tcPr>
          <w:p w14:paraId="1903F831" w14:textId="69B7E7B5" w:rsidR="00AF2F43" w:rsidRPr="00BF2624" w:rsidRDefault="00AF2F43" w:rsidP="00AF2F43">
            <w:pPr>
              <w:tabs>
                <w:tab w:val="right" w:pos="1202"/>
              </w:tabs>
              <w:spacing w:after="0" w:line="280" w:lineRule="exact"/>
              <w:jc w:val="right"/>
              <w:outlineLvl w:val="0"/>
              <w:rPr>
                <w:rFonts w:cs="Arial"/>
                <w:sz w:val="18"/>
                <w:szCs w:val="18"/>
              </w:rPr>
            </w:pPr>
            <w:r w:rsidRPr="00581980">
              <w:rPr>
                <w:rFonts w:eastAsia="Times New Roman" w:cs="Arial"/>
                <w:sz w:val="18"/>
                <w:szCs w:val="18"/>
                <w:lang w:val="en-US"/>
              </w:rPr>
              <w:t>2</w:t>
            </w:r>
            <w:r>
              <w:rPr>
                <w:rFonts w:eastAsia="Times New Roman" w:cs="Arial"/>
                <w:sz w:val="18"/>
                <w:szCs w:val="18"/>
                <w:lang w:val="en-US"/>
              </w:rPr>
              <w:t>,</w:t>
            </w:r>
            <w:r w:rsidRPr="00581980">
              <w:rPr>
                <w:rFonts w:eastAsia="Times New Roman" w:cs="Arial"/>
                <w:sz w:val="18"/>
                <w:szCs w:val="18"/>
                <w:lang w:val="en-US"/>
              </w:rPr>
              <w:t>513</w:t>
            </w:r>
          </w:p>
        </w:tc>
        <w:tc>
          <w:tcPr>
            <w:tcW w:w="767" w:type="pct"/>
            <w:tcBorders>
              <w:top w:val="nil"/>
              <w:left w:val="nil"/>
              <w:bottom w:val="nil"/>
              <w:right w:val="nil"/>
            </w:tcBorders>
            <w:shd w:val="clear" w:color="auto" w:fill="auto"/>
            <w:vAlign w:val="bottom"/>
          </w:tcPr>
          <w:p w14:paraId="48553110" w14:textId="1659B991" w:rsidR="00AF2F43" w:rsidRPr="00BF2624" w:rsidRDefault="00AF2F43" w:rsidP="00AF2F43">
            <w:pPr>
              <w:tabs>
                <w:tab w:val="right" w:pos="1202"/>
              </w:tabs>
              <w:spacing w:after="0" w:line="280" w:lineRule="exact"/>
              <w:jc w:val="right"/>
              <w:outlineLvl w:val="0"/>
              <w:rPr>
                <w:rFonts w:cs="Arial"/>
                <w:sz w:val="18"/>
                <w:szCs w:val="18"/>
              </w:rPr>
            </w:pPr>
            <w:r w:rsidRPr="00581980">
              <w:rPr>
                <w:rFonts w:eastAsia="Times New Roman" w:cs="Arial"/>
                <w:sz w:val="18"/>
                <w:szCs w:val="18"/>
                <w:lang w:val="en-US"/>
              </w:rPr>
              <w:t>3</w:t>
            </w:r>
            <w:r>
              <w:rPr>
                <w:rFonts w:eastAsia="Times New Roman" w:cs="Arial"/>
                <w:sz w:val="18"/>
                <w:szCs w:val="18"/>
                <w:lang w:val="en-US"/>
              </w:rPr>
              <w:t>,</w:t>
            </w:r>
            <w:r w:rsidRPr="00581980">
              <w:rPr>
                <w:rFonts w:eastAsia="Times New Roman" w:cs="Arial"/>
                <w:sz w:val="18"/>
                <w:szCs w:val="18"/>
                <w:lang w:val="en-US"/>
              </w:rPr>
              <w:t>336</w:t>
            </w:r>
            <w:r>
              <w:rPr>
                <w:rFonts w:eastAsia="Times New Roman" w:cs="Arial"/>
                <w:sz w:val="18"/>
                <w:szCs w:val="18"/>
                <w:lang w:val="en-US"/>
              </w:rPr>
              <w:t>,</w:t>
            </w:r>
            <w:r w:rsidRPr="00581980">
              <w:rPr>
                <w:rFonts w:eastAsia="Times New Roman" w:cs="Arial"/>
                <w:sz w:val="18"/>
                <w:szCs w:val="18"/>
                <w:lang w:val="en-US"/>
              </w:rPr>
              <w:t>279</w:t>
            </w:r>
          </w:p>
        </w:tc>
      </w:tr>
      <w:tr w:rsidR="00AF2F43" w:rsidRPr="00BF2624" w14:paraId="04934516" w14:textId="77777777" w:rsidTr="00BA3F2A">
        <w:trPr>
          <w:trHeight w:hRule="exact" w:val="359"/>
          <w:jc w:val="center"/>
        </w:trPr>
        <w:tc>
          <w:tcPr>
            <w:tcW w:w="1929" w:type="pct"/>
            <w:vAlign w:val="bottom"/>
          </w:tcPr>
          <w:p w14:paraId="734DC680" w14:textId="77777777" w:rsidR="00AF2F43" w:rsidRPr="00BF2624" w:rsidRDefault="00AF2F43" w:rsidP="00AF2F43">
            <w:pPr>
              <w:tabs>
                <w:tab w:val="right" w:pos="1202"/>
              </w:tabs>
              <w:spacing w:after="0" w:line="280" w:lineRule="exact"/>
              <w:outlineLvl w:val="0"/>
              <w:rPr>
                <w:rFonts w:eastAsia="Times New Roman" w:cs="Arial"/>
                <w:bCs/>
                <w:color w:val="FF0000"/>
                <w:sz w:val="18"/>
                <w:szCs w:val="18"/>
              </w:rPr>
            </w:pPr>
            <w:r w:rsidRPr="00BF2624">
              <w:rPr>
                <w:rFonts w:eastAsia="Times New Roman" w:cs="Arial"/>
                <w:bCs/>
                <w:sz w:val="18"/>
                <w:szCs w:val="18"/>
              </w:rPr>
              <w:t>Other irrevocable contingent liabilities</w:t>
            </w:r>
          </w:p>
        </w:tc>
        <w:tc>
          <w:tcPr>
            <w:tcW w:w="768" w:type="pct"/>
            <w:tcBorders>
              <w:top w:val="nil"/>
              <w:left w:val="nil"/>
              <w:bottom w:val="single" w:sz="8" w:space="0" w:color="auto"/>
              <w:right w:val="nil"/>
            </w:tcBorders>
            <w:shd w:val="clear" w:color="auto" w:fill="auto"/>
            <w:vAlign w:val="bottom"/>
          </w:tcPr>
          <w:p w14:paraId="09C5094D" w14:textId="0B30A135" w:rsidR="00AF2F43" w:rsidRPr="00BF2624" w:rsidRDefault="00AF2F43" w:rsidP="00AF2F43">
            <w:pPr>
              <w:tabs>
                <w:tab w:val="right" w:pos="1202"/>
              </w:tabs>
              <w:spacing w:after="0" w:line="280" w:lineRule="exact"/>
              <w:jc w:val="right"/>
              <w:outlineLvl w:val="0"/>
              <w:rPr>
                <w:rFonts w:cs="Arial"/>
                <w:sz w:val="18"/>
                <w:szCs w:val="18"/>
              </w:rPr>
            </w:pPr>
            <w:r w:rsidRPr="00581980">
              <w:rPr>
                <w:rFonts w:eastAsia="Times New Roman" w:cs="Arial"/>
                <w:sz w:val="18"/>
                <w:szCs w:val="18"/>
                <w:lang w:val="en-US"/>
              </w:rPr>
              <w:t>335</w:t>
            </w:r>
          </w:p>
        </w:tc>
        <w:tc>
          <w:tcPr>
            <w:tcW w:w="768" w:type="pct"/>
            <w:tcBorders>
              <w:top w:val="nil"/>
              <w:left w:val="nil"/>
              <w:bottom w:val="single" w:sz="8" w:space="0" w:color="auto"/>
              <w:right w:val="nil"/>
            </w:tcBorders>
            <w:shd w:val="clear" w:color="auto" w:fill="auto"/>
            <w:vAlign w:val="bottom"/>
          </w:tcPr>
          <w:p w14:paraId="6702788E" w14:textId="63A52433" w:rsidR="00AF2F43" w:rsidRPr="00BF2624" w:rsidRDefault="00AF2F43" w:rsidP="00AF2F43">
            <w:pPr>
              <w:tabs>
                <w:tab w:val="right" w:pos="1202"/>
              </w:tabs>
              <w:spacing w:after="0" w:line="280" w:lineRule="exact"/>
              <w:jc w:val="right"/>
              <w:outlineLvl w:val="0"/>
              <w:rPr>
                <w:rFonts w:cs="Arial"/>
                <w:sz w:val="18"/>
                <w:szCs w:val="18"/>
              </w:rPr>
            </w:pPr>
            <w:r w:rsidRPr="00B4620E">
              <w:rPr>
                <w:rFonts w:eastAsia="Times New Roman" w:cs="Arial"/>
                <w:sz w:val="18"/>
                <w:szCs w:val="18"/>
                <w:lang w:val="en-US"/>
              </w:rPr>
              <w:t>-</w:t>
            </w:r>
          </w:p>
        </w:tc>
        <w:tc>
          <w:tcPr>
            <w:tcW w:w="768" w:type="pct"/>
            <w:tcBorders>
              <w:top w:val="nil"/>
              <w:left w:val="nil"/>
              <w:bottom w:val="single" w:sz="8" w:space="0" w:color="auto"/>
              <w:right w:val="nil"/>
            </w:tcBorders>
            <w:shd w:val="clear" w:color="auto" w:fill="auto"/>
            <w:vAlign w:val="bottom"/>
          </w:tcPr>
          <w:p w14:paraId="64D7D885" w14:textId="516AB056" w:rsidR="00AF2F43" w:rsidRPr="00BF2624" w:rsidRDefault="00AF2F43" w:rsidP="00AF2F43">
            <w:pPr>
              <w:tabs>
                <w:tab w:val="right" w:pos="1202"/>
              </w:tabs>
              <w:spacing w:after="0" w:line="280" w:lineRule="exact"/>
              <w:jc w:val="right"/>
              <w:outlineLvl w:val="0"/>
              <w:rPr>
                <w:rFonts w:cs="Arial"/>
                <w:sz w:val="18"/>
                <w:szCs w:val="18"/>
              </w:rPr>
            </w:pPr>
            <w:r>
              <w:rPr>
                <w:rFonts w:eastAsia="Times New Roman" w:cs="Arial"/>
                <w:sz w:val="18"/>
                <w:szCs w:val="18"/>
                <w:lang w:val="en-US"/>
              </w:rPr>
              <w:t>-</w:t>
            </w:r>
          </w:p>
        </w:tc>
        <w:tc>
          <w:tcPr>
            <w:tcW w:w="767" w:type="pct"/>
            <w:tcBorders>
              <w:top w:val="nil"/>
              <w:left w:val="nil"/>
              <w:bottom w:val="single" w:sz="8" w:space="0" w:color="auto"/>
              <w:right w:val="nil"/>
            </w:tcBorders>
            <w:shd w:val="clear" w:color="auto" w:fill="auto"/>
            <w:vAlign w:val="bottom"/>
          </w:tcPr>
          <w:p w14:paraId="479A4699" w14:textId="04FBBE18" w:rsidR="00AF2F43" w:rsidRPr="00BF2624" w:rsidRDefault="00AF2F43" w:rsidP="00AF2F43">
            <w:pPr>
              <w:tabs>
                <w:tab w:val="right" w:pos="1202"/>
              </w:tabs>
              <w:spacing w:after="0" w:line="280" w:lineRule="exact"/>
              <w:jc w:val="right"/>
              <w:outlineLvl w:val="0"/>
              <w:rPr>
                <w:rFonts w:cs="Arial"/>
                <w:sz w:val="18"/>
                <w:szCs w:val="18"/>
              </w:rPr>
            </w:pPr>
            <w:r w:rsidRPr="00581980">
              <w:rPr>
                <w:rFonts w:eastAsia="Times New Roman" w:cs="Arial"/>
                <w:sz w:val="18"/>
                <w:szCs w:val="18"/>
                <w:lang w:val="en-US"/>
              </w:rPr>
              <w:t>335</w:t>
            </w:r>
          </w:p>
        </w:tc>
      </w:tr>
      <w:tr w:rsidR="00084CE8" w:rsidRPr="00BF2624" w14:paraId="06A7E014" w14:textId="77777777" w:rsidTr="006B318F">
        <w:trPr>
          <w:trHeight w:val="367"/>
          <w:jc w:val="center"/>
        </w:trPr>
        <w:tc>
          <w:tcPr>
            <w:tcW w:w="1929" w:type="pct"/>
            <w:vAlign w:val="bottom"/>
          </w:tcPr>
          <w:p w14:paraId="20CE06E1" w14:textId="77777777" w:rsidR="00084CE8" w:rsidRPr="00BF2624" w:rsidRDefault="00084CE8" w:rsidP="00084CE8">
            <w:pPr>
              <w:tabs>
                <w:tab w:val="right" w:pos="1202"/>
              </w:tabs>
              <w:spacing w:after="0" w:line="280" w:lineRule="exact"/>
              <w:outlineLvl w:val="0"/>
              <w:rPr>
                <w:rFonts w:eastAsia="Times New Roman" w:cs="Arial"/>
                <w:b/>
                <w:bCs/>
                <w:sz w:val="18"/>
                <w:szCs w:val="18"/>
              </w:rPr>
            </w:pPr>
            <w:r w:rsidRPr="00BF2624">
              <w:rPr>
                <w:rFonts w:eastAsia="Times New Roman" w:cs="Arial"/>
                <w:b/>
                <w:bCs/>
                <w:sz w:val="18"/>
                <w:szCs w:val="18"/>
              </w:rPr>
              <w:t xml:space="preserve">Total </w:t>
            </w:r>
          </w:p>
        </w:tc>
        <w:tc>
          <w:tcPr>
            <w:tcW w:w="768" w:type="pct"/>
            <w:tcBorders>
              <w:top w:val="nil"/>
              <w:left w:val="nil"/>
              <w:bottom w:val="single" w:sz="12" w:space="0" w:color="auto"/>
              <w:right w:val="nil"/>
            </w:tcBorders>
            <w:shd w:val="clear" w:color="auto" w:fill="auto"/>
            <w:vAlign w:val="bottom"/>
          </w:tcPr>
          <w:p w14:paraId="1AEAADD2" w14:textId="7969F134" w:rsidR="00084CE8" w:rsidRPr="006B318F" w:rsidRDefault="00084CE8" w:rsidP="00084CE8">
            <w:pPr>
              <w:tabs>
                <w:tab w:val="right" w:pos="1202"/>
              </w:tabs>
              <w:spacing w:after="0" w:line="280" w:lineRule="exact"/>
              <w:jc w:val="right"/>
              <w:outlineLvl w:val="0"/>
              <w:rPr>
                <w:rFonts w:eastAsia="Times New Roman" w:cs="Arial"/>
                <w:b/>
                <w:sz w:val="18"/>
                <w:szCs w:val="18"/>
                <w:lang w:val="en-US"/>
              </w:rPr>
            </w:pPr>
            <w:r w:rsidRPr="00581980">
              <w:rPr>
                <w:rFonts w:eastAsia="Times New Roman" w:cs="Arial"/>
                <w:b/>
                <w:sz w:val="18"/>
                <w:szCs w:val="18"/>
                <w:lang w:val="en-US"/>
              </w:rPr>
              <w:t>5</w:t>
            </w:r>
            <w:r>
              <w:rPr>
                <w:rFonts w:eastAsia="Times New Roman" w:cs="Arial"/>
                <w:b/>
                <w:sz w:val="18"/>
                <w:szCs w:val="18"/>
                <w:lang w:val="en-US"/>
              </w:rPr>
              <w:t>,</w:t>
            </w:r>
            <w:r w:rsidRPr="00581980">
              <w:rPr>
                <w:rFonts w:eastAsia="Times New Roman" w:cs="Arial"/>
                <w:b/>
                <w:sz w:val="18"/>
                <w:szCs w:val="18"/>
                <w:lang w:val="en-US"/>
              </w:rPr>
              <w:t>520</w:t>
            </w:r>
            <w:r>
              <w:rPr>
                <w:rFonts w:eastAsia="Times New Roman" w:cs="Arial"/>
                <w:b/>
                <w:sz w:val="18"/>
                <w:szCs w:val="18"/>
                <w:lang w:val="en-US"/>
              </w:rPr>
              <w:t>,</w:t>
            </w:r>
            <w:r w:rsidRPr="00581980">
              <w:rPr>
                <w:rFonts w:eastAsia="Times New Roman" w:cs="Arial"/>
                <w:b/>
                <w:sz w:val="18"/>
                <w:szCs w:val="18"/>
                <w:lang w:val="en-US"/>
              </w:rPr>
              <w:t>374</w:t>
            </w:r>
          </w:p>
        </w:tc>
        <w:tc>
          <w:tcPr>
            <w:tcW w:w="768" w:type="pct"/>
            <w:tcBorders>
              <w:top w:val="nil"/>
              <w:left w:val="nil"/>
              <w:bottom w:val="single" w:sz="12" w:space="0" w:color="auto"/>
              <w:right w:val="nil"/>
            </w:tcBorders>
            <w:shd w:val="clear" w:color="auto" w:fill="auto"/>
            <w:vAlign w:val="bottom"/>
          </w:tcPr>
          <w:p w14:paraId="381B2117" w14:textId="7057626E" w:rsidR="00084CE8" w:rsidRPr="006B318F" w:rsidRDefault="00084CE8" w:rsidP="00084CE8">
            <w:pPr>
              <w:tabs>
                <w:tab w:val="right" w:pos="1202"/>
              </w:tabs>
              <w:spacing w:after="0" w:line="280" w:lineRule="exact"/>
              <w:jc w:val="right"/>
              <w:outlineLvl w:val="0"/>
              <w:rPr>
                <w:rFonts w:eastAsia="Times New Roman" w:cs="Arial"/>
                <w:b/>
                <w:sz w:val="18"/>
                <w:szCs w:val="18"/>
                <w:lang w:val="en-US"/>
              </w:rPr>
            </w:pPr>
            <w:r>
              <w:rPr>
                <w:rFonts w:eastAsia="Times New Roman" w:cs="Arial"/>
                <w:b/>
                <w:sz w:val="18"/>
                <w:szCs w:val="18"/>
                <w:lang w:val="en-US"/>
              </w:rPr>
              <w:t>-</w:t>
            </w:r>
          </w:p>
        </w:tc>
        <w:tc>
          <w:tcPr>
            <w:tcW w:w="768" w:type="pct"/>
            <w:tcBorders>
              <w:top w:val="nil"/>
              <w:left w:val="nil"/>
              <w:bottom w:val="single" w:sz="12" w:space="0" w:color="auto"/>
              <w:right w:val="nil"/>
            </w:tcBorders>
            <w:shd w:val="clear" w:color="auto" w:fill="auto"/>
            <w:vAlign w:val="bottom"/>
          </w:tcPr>
          <w:p w14:paraId="03D133FE" w14:textId="35E939D0" w:rsidR="00084CE8" w:rsidRPr="006B318F" w:rsidRDefault="00084CE8" w:rsidP="00084CE8">
            <w:pPr>
              <w:tabs>
                <w:tab w:val="right" w:pos="1202"/>
              </w:tabs>
              <w:spacing w:after="0" w:line="280" w:lineRule="exact"/>
              <w:jc w:val="right"/>
              <w:outlineLvl w:val="0"/>
              <w:rPr>
                <w:rFonts w:eastAsia="Times New Roman" w:cs="Arial"/>
                <w:b/>
                <w:sz w:val="18"/>
                <w:szCs w:val="18"/>
                <w:lang w:val="en-US"/>
              </w:rPr>
            </w:pPr>
            <w:r w:rsidRPr="00581980">
              <w:rPr>
                <w:rFonts w:eastAsia="Times New Roman" w:cs="Arial"/>
                <w:b/>
                <w:sz w:val="18"/>
                <w:szCs w:val="18"/>
                <w:lang w:val="en-US"/>
              </w:rPr>
              <w:t>29</w:t>
            </w:r>
            <w:r>
              <w:rPr>
                <w:rFonts w:eastAsia="Times New Roman" w:cs="Arial"/>
                <w:b/>
                <w:sz w:val="18"/>
                <w:szCs w:val="18"/>
                <w:lang w:val="en-US"/>
              </w:rPr>
              <w:t>,</w:t>
            </w:r>
            <w:r w:rsidRPr="00581980">
              <w:rPr>
                <w:rFonts w:eastAsia="Times New Roman" w:cs="Arial"/>
                <w:b/>
                <w:sz w:val="18"/>
                <w:szCs w:val="18"/>
                <w:lang w:val="en-US"/>
              </w:rPr>
              <w:t>872</w:t>
            </w:r>
          </w:p>
        </w:tc>
        <w:tc>
          <w:tcPr>
            <w:tcW w:w="767" w:type="pct"/>
            <w:tcBorders>
              <w:top w:val="nil"/>
              <w:left w:val="nil"/>
              <w:bottom w:val="single" w:sz="12" w:space="0" w:color="auto"/>
              <w:right w:val="nil"/>
            </w:tcBorders>
            <w:shd w:val="clear" w:color="auto" w:fill="auto"/>
            <w:vAlign w:val="bottom"/>
          </w:tcPr>
          <w:p w14:paraId="0BC45970" w14:textId="37DDB8B2" w:rsidR="00084CE8" w:rsidRPr="006B318F" w:rsidRDefault="00084CE8" w:rsidP="00084CE8">
            <w:pPr>
              <w:tabs>
                <w:tab w:val="right" w:pos="1202"/>
              </w:tabs>
              <w:spacing w:after="0" w:line="280" w:lineRule="exact"/>
              <w:jc w:val="right"/>
              <w:outlineLvl w:val="0"/>
              <w:rPr>
                <w:rFonts w:eastAsia="Times New Roman" w:cs="Arial"/>
                <w:b/>
                <w:sz w:val="18"/>
                <w:szCs w:val="18"/>
                <w:lang w:val="en-US"/>
              </w:rPr>
            </w:pPr>
            <w:r w:rsidRPr="00581980">
              <w:rPr>
                <w:rFonts w:eastAsia="Times New Roman" w:cs="Arial"/>
                <w:b/>
                <w:sz w:val="18"/>
                <w:szCs w:val="18"/>
                <w:lang w:val="en-US"/>
              </w:rPr>
              <w:t>5</w:t>
            </w:r>
            <w:r>
              <w:rPr>
                <w:rFonts w:eastAsia="Times New Roman" w:cs="Arial"/>
                <w:b/>
                <w:sz w:val="18"/>
                <w:szCs w:val="18"/>
                <w:lang w:val="en-US"/>
              </w:rPr>
              <w:t>,</w:t>
            </w:r>
            <w:r w:rsidRPr="00581980">
              <w:rPr>
                <w:rFonts w:eastAsia="Times New Roman" w:cs="Arial"/>
                <w:b/>
                <w:sz w:val="18"/>
                <w:szCs w:val="18"/>
                <w:lang w:val="en-US"/>
              </w:rPr>
              <w:t>550</w:t>
            </w:r>
            <w:r>
              <w:rPr>
                <w:rFonts w:eastAsia="Times New Roman" w:cs="Arial"/>
                <w:b/>
                <w:sz w:val="18"/>
                <w:szCs w:val="18"/>
                <w:lang w:val="en-US"/>
              </w:rPr>
              <w:t>,</w:t>
            </w:r>
            <w:r w:rsidRPr="00581980">
              <w:rPr>
                <w:rFonts w:eastAsia="Times New Roman" w:cs="Arial"/>
                <w:b/>
                <w:sz w:val="18"/>
                <w:szCs w:val="18"/>
                <w:lang w:val="en-US"/>
              </w:rPr>
              <w:t>246</w:t>
            </w:r>
          </w:p>
        </w:tc>
      </w:tr>
      <w:tr w:rsidR="00084CE8" w:rsidRPr="00BF2624" w14:paraId="7C1BFF8B" w14:textId="77777777" w:rsidTr="00BA3F2A">
        <w:trPr>
          <w:trHeight w:val="367"/>
          <w:jc w:val="center"/>
        </w:trPr>
        <w:tc>
          <w:tcPr>
            <w:tcW w:w="1929" w:type="pct"/>
            <w:vAlign w:val="bottom"/>
          </w:tcPr>
          <w:p w14:paraId="714C1031" w14:textId="77777777" w:rsidR="00084CE8" w:rsidRPr="00BF2624" w:rsidRDefault="00084CE8" w:rsidP="00084CE8">
            <w:pPr>
              <w:tabs>
                <w:tab w:val="right" w:pos="1202"/>
              </w:tabs>
              <w:spacing w:after="0" w:line="280" w:lineRule="exact"/>
              <w:jc w:val="both"/>
              <w:outlineLvl w:val="0"/>
              <w:rPr>
                <w:rFonts w:eastAsia="Times New Roman" w:cs="Arial"/>
                <w:b/>
                <w:bCs/>
                <w:sz w:val="18"/>
                <w:szCs w:val="18"/>
              </w:rPr>
            </w:pPr>
            <w:r w:rsidRPr="00BF2624">
              <w:rPr>
                <w:rFonts w:eastAsia="Times New Roman" w:cs="Arial"/>
                <w:b/>
                <w:bCs/>
                <w:sz w:val="18"/>
                <w:szCs w:val="18"/>
              </w:rPr>
              <w:t>Total credit risk exposure</w:t>
            </w:r>
          </w:p>
        </w:tc>
        <w:tc>
          <w:tcPr>
            <w:tcW w:w="768" w:type="pct"/>
            <w:tcBorders>
              <w:top w:val="nil"/>
              <w:left w:val="nil"/>
              <w:bottom w:val="single" w:sz="12" w:space="0" w:color="auto"/>
              <w:right w:val="nil"/>
            </w:tcBorders>
            <w:shd w:val="clear" w:color="auto" w:fill="auto"/>
            <w:vAlign w:val="bottom"/>
          </w:tcPr>
          <w:p w14:paraId="0E161919" w14:textId="1CE030B8" w:rsidR="00084CE8" w:rsidRPr="006B318F" w:rsidRDefault="00084CE8" w:rsidP="00084CE8">
            <w:pPr>
              <w:tabs>
                <w:tab w:val="right" w:pos="1202"/>
              </w:tabs>
              <w:spacing w:after="0" w:line="280" w:lineRule="exact"/>
              <w:jc w:val="right"/>
              <w:outlineLvl w:val="0"/>
              <w:rPr>
                <w:rFonts w:eastAsia="Times New Roman" w:cs="Arial"/>
                <w:b/>
                <w:sz w:val="18"/>
                <w:szCs w:val="18"/>
                <w:lang w:val="en-US"/>
              </w:rPr>
            </w:pPr>
            <w:r w:rsidRPr="00581980">
              <w:rPr>
                <w:rFonts w:eastAsia="Times New Roman" w:cs="Arial"/>
                <w:b/>
                <w:sz w:val="18"/>
                <w:szCs w:val="18"/>
                <w:lang w:val="en-US"/>
              </w:rPr>
              <w:t>31</w:t>
            </w:r>
            <w:r>
              <w:rPr>
                <w:rFonts w:eastAsia="Times New Roman" w:cs="Arial"/>
                <w:b/>
                <w:sz w:val="18"/>
                <w:szCs w:val="18"/>
                <w:lang w:val="en-US"/>
              </w:rPr>
              <w:t>,</w:t>
            </w:r>
            <w:r w:rsidRPr="00581980">
              <w:rPr>
                <w:rFonts w:eastAsia="Times New Roman" w:cs="Arial"/>
                <w:b/>
                <w:sz w:val="18"/>
                <w:szCs w:val="18"/>
                <w:lang w:val="en-US"/>
              </w:rPr>
              <w:t>481</w:t>
            </w:r>
            <w:r>
              <w:rPr>
                <w:rFonts w:eastAsia="Times New Roman" w:cs="Arial"/>
                <w:b/>
                <w:sz w:val="18"/>
                <w:szCs w:val="18"/>
                <w:lang w:val="en-US"/>
              </w:rPr>
              <w:t>,</w:t>
            </w:r>
            <w:r w:rsidRPr="00581980">
              <w:rPr>
                <w:rFonts w:eastAsia="Times New Roman" w:cs="Arial"/>
                <w:b/>
                <w:sz w:val="18"/>
                <w:szCs w:val="18"/>
                <w:lang w:val="en-US"/>
              </w:rPr>
              <w:t>384</w:t>
            </w:r>
          </w:p>
        </w:tc>
        <w:tc>
          <w:tcPr>
            <w:tcW w:w="768" w:type="pct"/>
            <w:tcBorders>
              <w:top w:val="nil"/>
              <w:left w:val="nil"/>
              <w:bottom w:val="single" w:sz="12" w:space="0" w:color="auto"/>
              <w:right w:val="nil"/>
            </w:tcBorders>
            <w:shd w:val="clear" w:color="auto" w:fill="auto"/>
            <w:vAlign w:val="bottom"/>
          </w:tcPr>
          <w:p w14:paraId="00CD79C6" w14:textId="37421DCF" w:rsidR="00084CE8" w:rsidRPr="006B318F" w:rsidRDefault="00084CE8" w:rsidP="00084CE8">
            <w:pPr>
              <w:tabs>
                <w:tab w:val="right" w:pos="1202"/>
              </w:tabs>
              <w:spacing w:after="0" w:line="280" w:lineRule="exact"/>
              <w:jc w:val="right"/>
              <w:outlineLvl w:val="0"/>
              <w:rPr>
                <w:rFonts w:eastAsia="Times New Roman" w:cs="Arial"/>
                <w:b/>
                <w:sz w:val="18"/>
                <w:szCs w:val="18"/>
                <w:lang w:val="en-US"/>
              </w:rPr>
            </w:pPr>
            <w:r w:rsidRPr="00581980">
              <w:rPr>
                <w:rFonts w:eastAsia="Times New Roman" w:cs="Arial"/>
                <w:b/>
                <w:sz w:val="18"/>
                <w:szCs w:val="18"/>
                <w:lang w:val="en-US"/>
              </w:rPr>
              <w:t>467</w:t>
            </w:r>
            <w:r>
              <w:rPr>
                <w:rFonts w:eastAsia="Times New Roman" w:cs="Arial"/>
                <w:b/>
                <w:sz w:val="18"/>
                <w:szCs w:val="18"/>
                <w:lang w:val="en-US"/>
              </w:rPr>
              <w:t>,</w:t>
            </w:r>
            <w:r w:rsidRPr="00581980">
              <w:rPr>
                <w:rFonts w:eastAsia="Times New Roman" w:cs="Arial"/>
                <w:b/>
                <w:sz w:val="18"/>
                <w:szCs w:val="18"/>
                <w:lang w:val="en-US"/>
              </w:rPr>
              <w:t>591</w:t>
            </w:r>
          </w:p>
        </w:tc>
        <w:tc>
          <w:tcPr>
            <w:tcW w:w="768" w:type="pct"/>
            <w:tcBorders>
              <w:top w:val="nil"/>
              <w:left w:val="nil"/>
              <w:bottom w:val="single" w:sz="12" w:space="0" w:color="auto"/>
              <w:right w:val="nil"/>
            </w:tcBorders>
            <w:shd w:val="clear" w:color="auto" w:fill="auto"/>
            <w:vAlign w:val="bottom"/>
          </w:tcPr>
          <w:p w14:paraId="65C5626A" w14:textId="3B845975" w:rsidR="00084CE8" w:rsidRPr="006B318F" w:rsidRDefault="00084CE8" w:rsidP="00084CE8">
            <w:pPr>
              <w:tabs>
                <w:tab w:val="right" w:pos="1202"/>
              </w:tabs>
              <w:spacing w:after="0" w:line="280" w:lineRule="exact"/>
              <w:jc w:val="right"/>
              <w:outlineLvl w:val="0"/>
              <w:rPr>
                <w:rFonts w:eastAsia="Times New Roman" w:cs="Arial"/>
                <w:b/>
                <w:sz w:val="18"/>
                <w:szCs w:val="18"/>
                <w:lang w:val="en-US"/>
              </w:rPr>
            </w:pPr>
            <w:r w:rsidRPr="00581980">
              <w:rPr>
                <w:rFonts w:eastAsia="Times New Roman" w:cs="Arial"/>
                <w:b/>
                <w:sz w:val="18"/>
                <w:szCs w:val="18"/>
                <w:lang w:val="en-US"/>
              </w:rPr>
              <w:t>1</w:t>
            </w:r>
            <w:r>
              <w:rPr>
                <w:rFonts w:eastAsia="Times New Roman" w:cs="Arial"/>
                <w:b/>
                <w:sz w:val="18"/>
                <w:szCs w:val="18"/>
                <w:lang w:val="en-US"/>
              </w:rPr>
              <w:t>,</w:t>
            </w:r>
            <w:r w:rsidRPr="00581980">
              <w:rPr>
                <w:rFonts w:eastAsia="Times New Roman" w:cs="Arial"/>
                <w:b/>
                <w:sz w:val="18"/>
                <w:szCs w:val="18"/>
                <w:lang w:val="en-US"/>
              </w:rPr>
              <w:t>726</w:t>
            </w:r>
            <w:r>
              <w:rPr>
                <w:rFonts w:eastAsia="Times New Roman" w:cs="Arial"/>
                <w:b/>
                <w:sz w:val="18"/>
                <w:szCs w:val="18"/>
                <w:lang w:val="en-US"/>
              </w:rPr>
              <w:t>,</w:t>
            </w:r>
            <w:r w:rsidRPr="00581980">
              <w:rPr>
                <w:rFonts w:eastAsia="Times New Roman" w:cs="Arial"/>
                <w:b/>
                <w:sz w:val="18"/>
                <w:szCs w:val="18"/>
                <w:lang w:val="en-US"/>
              </w:rPr>
              <w:t>290</w:t>
            </w:r>
          </w:p>
        </w:tc>
        <w:tc>
          <w:tcPr>
            <w:tcW w:w="767" w:type="pct"/>
            <w:tcBorders>
              <w:top w:val="nil"/>
              <w:left w:val="nil"/>
              <w:bottom w:val="single" w:sz="12" w:space="0" w:color="auto"/>
              <w:right w:val="nil"/>
            </w:tcBorders>
            <w:shd w:val="clear" w:color="auto" w:fill="auto"/>
            <w:vAlign w:val="bottom"/>
          </w:tcPr>
          <w:p w14:paraId="605D7345" w14:textId="0704E2B0" w:rsidR="00084CE8" w:rsidRPr="006B318F" w:rsidRDefault="00084CE8" w:rsidP="00084CE8">
            <w:pPr>
              <w:tabs>
                <w:tab w:val="right" w:pos="1202"/>
              </w:tabs>
              <w:spacing w:after="0" w:line="280" w:lineRule="exact"/>
              <w:jc w:val="right"/>
              <w:outlineLvl w:val="0"/>
              <w:rPr>
                <w:rFonts w:eastAsia="Times New Roman" w:cs="Arial"/>
                <w:b/>
                <w:sz w:val="18"/>
                <w:szCs w:val="18"/>
                <w:lang w:val="en-US"/>
              </w:rPr>
            </w:pPr>
            <w:r w:rsidRPr="00581980">
              <w:rPr>
                <w:rFonts w:eastAsia="Times New Roman" w:cs="Arial"/>
                <w:b/>
                <w:sz w:val="18"/>
                <w:szCs w:val="18"/>
                <w:lang w:val="en-US"/>
              </w:rPr>
              <w:t>33</w:t>
            </w:r>
            <w:r>
              <w:rPr>
                <w:rFonts w:eastAsia="Times New Roman" w:cs="Arial"/>
                <w:b/>
                <w:sz w:val="18"/>
                <w:szCs w:val="18"/>
                <w:lang w:val="en-US"/>
              </w:rPr>
              <w:t>,</w:t>
            </w:r>
            <w:r w:rsidRPr="00581980">
              <w:rPr>
                <w:rFonts w:eastAsia="Times New Roman" w:cs="Arial"/>
                <w:b/>
                <w:sz w:val="18"/>
                <w:szCs w:val="18"/>
                <w:lang w:val="en-US"/>
              </w:rPr>
              <w:t>675</w:t>
            </w:r>
            <w:r>
              <w:rPr>
                <w:rFonts w:eastAsia="Times New Roman" w:cs="Arial"/>
                <w:b/>
                <w:sz w:val="18"/>
                <w:szCs w:val="18"/>
                <w:lang w:val="en-US"/>
              </w:rPr>
              <w:t>,</w:t>
            </w:r>
            <w:r w:rsidRPr="00581980">
              <w:rPr>
                <w:rFonts w:eastAsia="Times New Roman" w:cs="Arial"/>
                <w:b/>
                <w:sz w:val="18"/>
                <w:szCs w:val="18"/>
                <w:lang w:val="en-US"/>
              </w:rPr>
              <w:t>265</w:t>
            </w:r>
          </w:p>
        </w:tc>
      </w:tr>
      <w:tr w:rsidR="00BA7DA1" w:rsidRPr="00BF2624" w14:paraId="39C74DA8" w14:textId="77777777" w:rsidTr="00BA3F2A">
        <w:trPr>
          <w:trHeight w:val="138"/>
          <w:jc w:val="center"/>
        </w:trPr>
        <w:tc>
          <w:tcPr>
            <w:tcW w:w="1929" w:type="pct"/>
          </w:tcPr>
          <w:p w14:paraId="592783C3" w14:textId="77777777" w:rsidR="00BA7DA1" w:rsidRPr="00BF2624" w:rsidRDefault="00BA7DA1" w:rsidP="00BA7DA1">
            <w:pPr>
              <w:keepNext/>
              <w:keepLines/>
              <w:tabs>
                <w:tab w:val="decimal" w:pos="1202"/>
              </w:tabs>
              <w:spacing w:after="0" w:line="240" w:lineRule="exact"/>
              <w:rPr>
                <w:rFonts w:eastAsia="Times New Roman" w:cs="Arial"/>
                <w:b/>
                <w:position w:val="4"/>
                <w:sz w:val="18"/>
                <w:szCs w:val="18"/>
                <w:u w:val="thick"/>
              </w:rPr>
            </w:pPr>
          </w:p>
        </w:tc>
        <w:tc>
          <w:tcPr>
            <w:tcW w:w="768" w:type="pct"/>
            <w:tcBorders>
              <w:top w:val="single" w:sz="12" w:space="0" w:color="auto"/>
            </w:tcBorders>
            <w:vAlign w:val="bottom"/>
          </w:tcPr>
          <w:p w14:paraId="5BF6AAE0" w14:textId="77777777" w:rsidR="00BA7DA1" w:rsidRPr="00BF2624" w:rsidRDefault="00BA7DA1" w:rsidP="00BA7DA1">
            <w:pPr>
              <w:keepNext/>
              <w:keepLines/>
              <w:tabs>
                <w:tab w:val="decimal" w:pos="1202"/>
              </w:tabs>
              <w:spacing w:after="0" w:line="240" w:lineRule="exact"/>
              <w:jc w:val="right"/>
              <w:rPr>
                <w:rFonts w:eastAsia="Times New Roman" w:cs="Arial"/>
                <w:b/>
                <w:snapToGrid w:val="0"/>
                <w:position w:val="4"/>
                <w:sz w:val="18"/>
                <w:szCs w:val="18"/>
                <w:u w:val="thick"/>
              </w:rPr>
            </w:pPr>
          </w:p>
        </w:tc>
        <w:tc>
          <w:tcPr>
            <w:tcW w:w="768" w:type="pct"/>
            <w:tcBorders>
              <w:top w:val="single" w:sz="12" w:space="0" w:color="auto"/>
            </w:tcBorders>
            <w:vAlign w:val="bottom"/>
          </w:tcPr>
          <w:p w14:paraId="210647D1" w14:textId="77777777" w:rsidR="00BA7DA1" w:rsidRPr="00BF2624" w:rsidRDefault="00BA7DA1" w:rsidP="00BA7DA1">
            <w:pPr>
              <w:keepNext/>
              <w:keepLines/>
              <w:tabs>
                <w:tab w:val="decimal" w:pos="1202"/>
              </w:tabs>
              <w:spacing w:after="0" w:line="240" w:lineRule="exact"/>
              <w:jc w:val="right"/>
              <w:rPr>
                <w:rFonts w:eastAsia="Times New Roman" w:cs="Arial"/>
                <w:b/>
                <w:snapToGrid w:val="0"/>
                <w:position w:val="4"/>
                <w:sz w:val="18"/>
                <w:szCs w:val="18"/>
                <w:u w:val="thick"/>
              </w:rPr>
            </w:pPr>
          </w:p>
        </w:tc>
        <w:tc>
          <w:tcPr>
            <w:tcW w:w="768" w:type="pct"/>
            <w:tcBorders>
              <w:top w:val="single" w:sz="12" w:space="0" w:color="auto"/>
            </w:tcBorders>
            <w:vAlign w:val="bottom"/>
          </w:tcPr>
          <w:p w14:paraId="08FDDABF" w14:textId="77777777" w:rsidR="00BA7DA1" w:rsidRPr="00BF2624" w:rsidRDefault="00BA7DA1" w:rsidP="00BA7DA1">
            <w:pPr>
              <w:keepNext/>
              <w:keepLines/>
              <w:tabs>
                <w:tab w:val="decimal" w:pos="1202"/>
              </w:tabs>
              <w:spacing w:after="0" w:line="240" w:lineRule="exact"/>
              <w:jc w:val="right"/>
              <w:rPr>
                <w:rFonts w:eastAsia="Times New Roman" w:cs="Arial"/>
                <w:b/>
                <w:snapToGrid w:val="0"/>
                <w:position w:val="4"/>
                <w:sz w:val="18"/>
                <w:szCs w:val="18"/>
                <w:u w:val="thick"/>
              </w:rPr>
            </w:pPr>
          </w:p>
        </w:tc>
        <w:tc>
          <w:tcPr>
            <w:tcW w:w="767" w:type="pct"/>
            <w:tcBorders>
              <w:top w:val="single" w:sz="12" w:space="0" w:color="auto"/>
            </w:tcBorders>
            <w:vAlign w:val="bottom"/>
          </w:tcPr>
          <w:p w14:paraId="0DBD7F3F" w14:textId="77777777" w:rsidR="00BA7DA1" w:rsidRPr="00BF2624" w:rsidRDefault="00BA7DA1" w:rsidP="00BA7DA1">
            <w:pPr>
              <w:keepNext/>
              <w:keepLines/>
              <w:tabs>
                <w:tab w:val="decimal" w:pos="1202"/>
              </w:tabs>
              <w:spacing w:after="0" w:line="240" w:lineRule="exact"/>
              <w:jc w:val="right"/>
              <w:rPr>
                <w:rFonts w:eastAsia="Times New Roman" w:cs="Arial"/>
                <w:b/>
                <w:snapToGrid w:val="0"/>
                <w:position w:val="4"/>
                <w:sz w:val="18"/>
                <w:szCs w:val="18"/>
                <w:u w:val="thick"/>
              </w:rPr>
            </w:pPr>
          </w:p>
        </w:tc>
      </w:tr>
    </w:tbl>
    <w:p w14:paraId="2DFB0198" w14:textId="77777777" w:rsidR="009702B0" w:rsidRPr="009702B0" w:rsidRDefault="009702B0" w:rsidP="009702B0">
      <w:pPr>
        <w:spacing w:after="0" w:line="240" w:lineRule="exact"/>
        <w:jc w:val="both"/>
        <w:rPr>
          <w:rFonts w:ascii="Arial" w:hAnsi="Arial" w:cs="Arial"/>
          <w:sz w:val="19"/>
          <w:szCs w:val="19"/>
        </w:rPr>
      </w:pPr>
    </w:p>
    <w:p w14:paraId="1178FCB6" w14:textId="77777777" w:rsidR="009702B0" w:rsidRPr="009702B0" w:rsidRDefault="009702B0" w:rsidP="009702B0">
      <w:pPr>
        <w:jc w:val="both"/>
        <w:rPr>
          <w:highlight w:val="yellow"/>
        </w:rPr>
      </w:pPr>
    </w:p>
    <w:p w14:paraId="69839972" w14:textId="77777777" w:rsidR="009702B0" w:rsidRPr="009702B0" w:rsidRDefault="009702B0" w:rsidP="009702B0">
      <w:pPr>
        <w:jc w:val="both"/>
        <w:rPr>
          <w:highlight w:val="yellow"/>
        </w:rPr>
        <w:sectPr w:rsidR="009702B0" w:rsidRPr="009702B0" w:rsidSect="00947CB7">
          <w:footerReference w:type="first" r:id="rId94"/>
          <w:pgSz w:w="11906" w:h="16838" w:code="9"/>
          <w:pgMar w:top="1418" w:right="1418" w:bottom="595" w:left="1134" w:header="709" w:footer="709" w:gutter="0"/>
          <w:cols w:space="708"/>
          <w:titlePg/>
          <w:docGrid w:linePitch="360"/>
        </w:sectPr>
      </w:pPr>
    </w:p>
    <w:p w14:paraId="78A2A79E" w14:textId="77777777" w:rsidR="009702B0" w:rsidRPr="009702B0" w:rsidRDefault="009702B0" w:rsidP="009702B0">
      <w:pPr>
        <w:keepNext/>
        <w:spacing w:after="0" w:line="240" w:lineRule="auto"/>
        <w:jc w:val="both"/>
        <w:rPr>
          <w:rFonts w:eastAsia="Times New Roman" w:cs="Arial"/>
          <w:b/>
          <w:bCs/>
        </w:rPr>
      </w:pPr>
    </w:p>
    <w:p w14:paraId="1305463F"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00011FEA">
        <w:rPr>
          <w:rFonts w:eastAsia="Times New Roman" w:cs="Arial"/>
          <w:b/>
          <w:bCs/>
        </w:rPr>
        <w:t>.</w:t>
      </w:r>
      <w:r w:rsidRPr="009702B0">
        <w:rPr>
          <w:rFonts w:eastAsia="Times New Roman" w:cs="Arial"/>
          <w:b/>
          <w:bCs/>
        </w:rPr>
        <w:tab/>
        <w:t>Risk management (continued)</w:t>
      </w:r>
    </w:p>
    <w:p w14:paraId="4C649D74" w14:textId="77777777" w:rsidR="009702B0" w:rsidRPr="009702B0" w:rsidRDefault="009702B0" w:rsidP="009702B0">
      <w:pPr>
        <w:keepNext/>
        <w:spacing w:after="0" w:line="240" w:lineRule="auto"/>
        <w:jc w:val="both"/>
        <w:rPr>
          <w:rFonts w:eastAsia="Times New Roman" w:cs="Arial"/>
          <w:b/>
          <w:bCs/>
        </w:rPr>
      </w:pPr>
    </w:p>
    <w:p w14:paraId="4AF93851"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00011FEA">
        <w:rPr>
          <w:rFonts w:eastAsia="Times New Roman" w:cs="Arial"/>
          <w:b/>
          <w:bCs/>
        </w:rPr>
        <w:t>.</w:t>
      </w:r>
      <w:r w:rsidRPr="009702B0">
        <w:rPr>
          <w:rFonts w:eastAsia="Times New Roman" w:cs="Arial"/>
          <w:b/>
          <w:bCs/>
        </w:rPr>
        <w:t>2</w:t>
      </w:r>
      <w:r w:rsidR="00011FEA">
        <w:rPr>
          <w:rFonts w:eastAsia="Times New Roman" w:cs="Arial"/>
          <w:b/>
          <w:bCs/>
        </w:rPr>
        <w:t>.</w:t>
      </w:r>
      <w:r w:rsidRPr="009702B0">
        <w:rPr>
          <w:rFonts w:eastAsia="Times New Roman" w:cs="Arial"/>
          <w:b/>
          <w:bCs/>
        </w:rPr>
        <w:t xml:space="preserve"> </w:t>
      </w:r>
      <w:r w:rsidRPr="009702B0">
        <w:rPr>
          <w:rFonts w:eastAsia="Times New Roman" w:cs="Arial"/>
          <w:b/>
          <w:bCs/>
        </w:rPr>
        <w:tab/>
        <w:t>Credit risk (continued)</w:t>
      </w:r>
    </w:p>
    <w:p w14:paraId="55F258B6" w14:textId="77777777" w:rsidR="009702B0" w:rsidRPr="009702B0" w:rsidRDefault="009702B0" w:rsidP="009702B0">
      <w:pPr>
        <w:keepNext/>
        <w:spacing w:after="0" w:line="240" w:lineRule="auto"/>
        <w:jc w:val="both"/>
        <w:rPr>
          <w:rFonts w:eastAsia="Times New Roman" w:cs="Arial"/>
          <w:b/>
          <w:bCs/>
        </w:rPr>
      </w:pPr>
    </w:p>
    <w:p w14:paraId="4D421D6D"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Credit risk quality according to type of financial assets (continued)</w:t>
      </w:r>
    </w:p>
    <w:p w14:paraId="7C6FBA3B" w14:textId="77777777" w:rsidR="009702B0" w:rsidRPr="009702B0" w:rsidRDefault="009702B0" w:rsidP="009702B0">
      <w:pPr>
        <w:keepNext/>
        <w:spacing w:after="0" w:line="240" w:lineRule="auto"/>
        <w:jc w:val="both"/>
        <w:rPr>
          <w:rFonts w:eastAsia="Times New Roman" w:cs="Arial"/>
          <w:b/>
          <w:bCs/>
          <w:sz w:val="20"/>
          <w:szCs w:val="20"/>
        </w:rPr>
      </w:pPr>
    </w:p>
    <w:p w14:paraId="65486F41" w14:textId="77777777" w:rsidR="009702B0" w:rsidRDefault="009702B0" w:rsidP="009702B0">
      <w:pPr>
        <w:spacing w:after="0" w:line="240" w:lineRule="exact"/>
        <w:jc w:val="both"/>
        <w:rPr>
          <w:rFonts w:cs="Arial"/>
          <w:sz w:val="20"/>
          <w:szCs w:val="20"/>
        </w:rPr>
      </w:pPr>
      <w:r w:rsidRPr="009702B0">
        <w:rPr>
          <w:rFonts w:cs="Arial"/>
          <w:sz w:val="20"/>
          <w:szCs w:val="20"/>
        </w:rPr>
        <w:t>Credit risk quality according to the gross exposure of the type of financial assets on positions of assets and guarantees and commitments by risk category (continued):</w:t>
      </w:r>
    </w:p>
    <w:p w14:paraId="26E0FA57" w14:textId="77777777" w:rsidR="00BF2624" w:rsidRPr="009702B0" w:rsidRDefault="00BF2624" w:rsidP="009702B0">
      <w:pPr>
        <w:spacing w:after="0" w:line="240" w:lineRule="exact"/>
        <w:jc w:val="both"/>
        <w:rPr>
          <w:rFonts w:cs="Arial"/>
        </w:rPr>
      </w:pPr>
    </w:p>
    <w:tbl>
      <w:tblPr>
        <w:tblW w:w="4903" w:type="pct"/>
        <w:jc w:val="center"/>
        <w:tblLayout w:type="fixed"/>
        <w:tblLook w:val="0000" w:firstRow="0" w:lastRow="0" w:firstColumn="0" w:lastColumn="0" w:noHBand="0" w:noVBand="0"/>
      </w:tblPr>
      <w:tblGrid>
        <w:gridCol w:w="3113"/>
        <w:gridCol w:w="1525"/>
        <w:gridCol w:w="1440"/>
        <w:gridCol w:w="1550"/>
        <w:gridCol w:w="1545"/>
      </w:tblGrid>
      <w:tr w:rsidR="00BF2624" w:rsidRPr="00BF2624" w14:paraId="1374E5B7" w14:textId="77777777" w:rsidTr="005F1566">
        <w:trPr>
          <w:jc w:val="center"/>
        </w:trPr>
        <w:tc>
          <w:tcPr>
            <w:tcW w:w="1697" w:type="pct"/>
          </w:tcPr>
          <w:p w14:paraId="1FF09A66" w14:textId="77777777" w:rsidR="00BF2624" w:rsidRPr="00BF2624" w:rsidRDefault="00BF2624" w:rsidP="00BF2624">
            <w:pPr>
              <w:spacing w:after="0" w:line="240" w:lineRule="auto"/>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Bank</w:t>
            </w:r>
          </w:p>
          <w:p w14:paraId="6C5FF6C5" w14:textId="77777777" w:rsidR="00BF2624" w:rsidRPr="00BF2624" w:rsidRDefault="00BF2624" w:rsidP="00BF2624">
            <w:pPr>
              <w:spacing w:after="0" w:line="240" w:lineRule="auto"/>
              <w:rPr>
                <w:rFonts w:asciiTheme="minorHAnsi" w:eastAsia="Times New Roman" w:hAnsiTheme="minorHAnsi" w:cs="Arial"/>
                <w:b/>
                <w:bCs/>
                <w:sz w:val="18"/>
                <w:szCs w:val="18"/>
              </w:rPr>
            </w:pPr>
          </w:p>
          <w:p w14:paraId="388ADADA" w14:textId="77777777" w:rsidR="00BF2624" w:rsidRPr="00BF2624" w:rsidRDefault="00BF2624" w:rsidP="00BF2624">
            <w:pPr>
              <w:spacing w:after="0" w:line="240" w:lineRule="auto"/>
              <w:rPr>
                <w:rFonts w:asciiTheme="minorHAnsi" w:eastAsia="Times New Roman" w:hAnsiTheme="minorHAnsi" w:cs="Arial"/>
                <w:b/>
                <w:bCs/>
                <w:sz w:val="18"/>
                <w:szCs w:val="18"/>
              </w:rPr>
            </w:pPr>
          </w:p>
          <w:p w14:paraId="41FABDA1" w14:textId="77777777" w:rsidR="00BF2624" w:rsidRPr="00BF2624" w:rsidRDefault="00BF2624" w:rsidP="00BF2624">
            <w:pPr>
              <w:spacing w:after="0" w:line="240" w:lineRule="auto"/>
              <w:rPr>
                <w:rFonts w:asciiTheme="minorHAnsi" w:eastAsia="Times New Roman" w:hAnsiTheme="minorHAnsi" w:cs="Arial"/>
                <w:b/>
                <w:bCs/>
                <w:sz w:val="18"/>
                <w:szCs w:val="18"/>
              </w:rPr>
            </w:pPr>
          </w:p>
          <w:p w14:paraId="4B499A8F" w14:textId="77777777" w:rsidR="00BF2624" w:rsidRPr="00BF2624" w:rsidRDefault="00BF2624" w:rsidP="00BF2624">
            <w:pPr>
              <w:spacing w:after="0" w:line="240" w:lineRule="auto"/>
              <w:rPr>
                <w:rFonts w:asciiTheme="minorHAnsi" w:eastAsia="Times New Roman" w:hAnsiTheme="minorHAnsi" w:cs="Arial"/>
                <w:sz w:val="18"/>
                <w:szCs w:val="18"/>
              </w:rPr>
            </w:pPr>
            <w:r w:rsidRPr="00BF2624">
              <w:rPr>
                <w:rFonts w:asciiTheme="minorHAnsi" w:eastAsia="Times New Roman" w:hAnsiTheme="minorHAnsi" w:cs="Arial"/>
                <w:b/>
                <w:bCs/>
                <w:sz w:val="18"/>
                <w:szCs w:val="18"/>
              </w:rPr>
              <w:t>Dec 31, 2016</w:t>
            </w:r>
          </w:p>
        </w:tc>
        <w:tc>
          <w:tcPr>
            <w:tcW w:w="831" w:type="pct"/>
          </w:tcPr>
          <w:p w14:paraId="61BB4E51"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Gross </w:t>
            </w:r>
          </w:p>
          <w:p w14:paraId="69B8689E"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exposure</w:t>
            </w:r>
          </w:p>
          <w:p w14:paraId="62926484"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 neither past </w:t>
            </w:r>
          </w:p>
          <w:p w14:paraId="2527041B"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due nor </w:t>
            </w:r>
          </w:p>
          <w:p w14:paraId="64D545B7"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impaired</w:t>
            </w:r>
          </w:p>
          <w:p w14:paraId="64E06960" w14:textId="77777777" w:rsidR="00BF2624" w:rsidRPr="00BF2624" w:rsidRDefault="00BF2624" w:rsidP="00BF2624">
            <w:pPr>
              <w:spacing w:after="0" w:line="240" w:lineRule="auto"/>
              <w:jc w:val="right"/>
              <w:rPr>
                <w:rFonts w:asciiTheme="minorHAnsi" w:eastAsia="Times New Roman" w:hAnsiTheme="minorHAnsi" w:cs="Arial"/>
                <w:b/>
                <w:sz w:val="18"/>
                <w:szCs w:val="18"/>
              </w:rPr>
            </w:pPr>
          </w:p>
        </w:tc>
        <w:tc>
          <w:tcPr>
            <w:tcW w:w="785" w:type="pct"/>
          </w:tcPr>
          <w:p w14:paraId="1037774C"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Gross </w:t>
            </w:r>
          </w:p>
          <w:p w14:paraId="3AE855E8"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exposure </w:t>
            </w:r>
          </w:p>
          <w:p w14:paraId="7E348111"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past </w:t>
            </w:r>
          </w:p>
          <w:p w14:paraId="3F485692"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due not </w:t>
            </w:r>
          </w:p>
          <w:p w14:paraId="552E005F"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impaired</w:t>
            </w:r>
          </w:p>
          <w:p w14:paraId="60D1147A" w14:textId="77777777" w:rsidR="00BF2624" w:rsidRPr="00BF2624" w:rsidRDefault="00BF2624" w:rsidP="00BF2624">
            <w:pPr>
              <w:spacing w:after="0" w:line="240" w:lineRule="auto"/>
              <w:jc w:val="right"/>
              <w:rPr>
                <w:rFonts w:asciiTheme="minorHAnsi" w:eastAsia="Times New Roman" w:hAnsiTheme="minorHAnsi" w:cs="Arial"/>
                <w:b/>
                <w:sz w:val="18"/>
                <w:szCs w:val="18"/>
              </w:rPr>
            </w:pPr>
          </w:p>
        </w:tc>
        <w:tc>
          <w:tcPr>
            <w:tcW w:w="845" w:type="pct"/>
          </w:tcPr>
          <w:p w14:paraId="500B6F9A"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Gross </w:t>
            </w:r>
          </w:p>
          <w:p w14:paraId="61C53445"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exposure </w:t>
            </w:r>
          </w:p>
          <w:p w14:paraId="65732649"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individually impaired</w:t>
            </w:r>
          </w:p>
          <w:p w14:paraId="0D90BBF4" w14:textId="77777777" w:rsidR="00BF2624" w:rsidRPr="00BF2624" w:rsidRDefault="00BF2624" w:rsidP="00BF2624">
            <w:pPr>
              <w:spacing w:after="0" w:line="240" w:lineRule="auto"/>
              <w:jc w:val="right"/>
              <w:rPr>
                <w:rFonts w:asciiTheme="minorHAnsi" w:eastAsia="Times New Roman" w:hAnsiTheme="minorHAnsi" w:cs="Arial"/>
                <w:b/>
                <w:sz w:val="18"/>
                <w:szCs w:val="18"/>
              </w:rPr>
            </w:pPr>
          </w:p>
        </w:tc>
        <w:tc>
          <w:tcPr>
            <w:tcW w:w="842" w:type="pct"/>
            <w:vAlign w:val="bottom"/>
          </w:tcPr>
          <w:p w14:paraId="048735AB" w14:textId="77777777"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Total</w:t>
            </w:r>
          </w:p>
          <w:p w14:paraId="5222932C" w14:textId="77777777" w:rsidR="00BF2624" w:rsidRPr="00BF2624" w:rsidRDefault="00BF2624" w:rsidP="00BF2624">
            <w:pPr>
              <w:spacing w:after="0" w:line="240" w:lineRule="auto"/>
              <w:jc w:val="right"/>
              <w:rPr>
                <w:rFonts w:asciiTheme="minorHAnsi" w:eastAsia="Times New Roman" w:hAnsiTheme="minorHAnsi" w:cs="Arial"/>
                <w:b/>
                <w:sz w:val="18"/>
                <w:szCs w:val="18"/>
              </w:rPr>
            </w:pPr>
          </w:p>
        </w:tc>
      </w:tr>
      <w:tr w:rsidR="00BF2624" w:rsidRPr="00BF2624" w14:paraId="7DF7BF6A" w14:textId="77777777" w:rsidTr="005F1566">
        <w:trPr>
          <w:jc w:val="center"/>
        </w:trPr>
        <w:tc>
          <w:tcPr>
            <w:tcW w:w="1697" w:type="pct"/>
          </w:tcPr>
          <w:p w14:paraId="069D5215" w14:textId="77777777" w:rsidR="00BF2624" w:rsidRPr="00BF2624" w:rsidRDefault="00BF2624" w:rsidP="00BF2624">
            <w:pPr>
              <w:tabs>
                <w:tab w:val="right" w:pos="1202"/>
              </w:tabs>
              <w:spacing w:after="0" w:line="340" w:lineRule="exact"/>
              <w:outlineLvl w:val="0"/>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Assets</w:t>
            </w:r>
          </w:p>
        </w:tc>
        <w:tc>
          <w:tcPr>
            <w:tcW w:w="831" w:type="pct"/>
          </w:tcPr>
          <w:p w14:paraId="5C62B6BC"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b/>
                <w:bCs/>
                <w:sz w:val="18"/>
                <w:szCs w:val="18"/>
              </w:rPr>
            </w:pPr>
          </w:p>
        </w:tc>
        <w:tc>
          <w:tcPr>
            <w:tcW w:w="785" w:type="pct"/>
          </w:tcPr>
          <w:p w14:paraId="52093299"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b/>
                <w:bCs/>
                <w:sz w:val="18"/>
                <w:szCs w:val="18"/>
              </w:rPr>
            </w:pPr>
          </w:p>
        </w:tc>
        <w:tc>
          <w:tcPr>
            <w:tcW w:w="845" w:type="pct"/>
          </w:tcPr>
          <w:p w14:paraId="45E6EB6D"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b/>
                <w:bCs/>
                <w:sz w:val="18"/>
                <w:szCs w:val="18"/>
              </w:rPr>
            </w:pPr>
          </w:p>
        </w:tc>
        <w:tc>
          <w:tcPr>
            <w:tcW w:w="842" w:type="pct"/>
          </w:tcPr>
          <w:p w14:paraId="46E29841"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b/>
                <w:bCs/>
                <w:sz w:val="18"/>
                <w:szCs w:val="18"/>
              </w:rPr>
            </w:pPr>
          </w:p>
        </w:tc>
      </w:tr>
      <w:tr w:rsidR="00BF2624" w:rsidRPr="00BF2624" w14:paraId="257FE986" w14:textId="77777777" w:rsidTr="005F1566">
        <w:trPr>
          <w:jc w:val="center"/>
        </w:trPr>
        <w:tc>
          <w:tcPr>
            <w:tcW w:w="1697" w:type="pct"/>
          </w:tcPr>
          <w:p w14:paraId="2477427D"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Cash on hand and due from banks</w:t>
            </w:r>
          </w:p>
        </w:tc>
        <w:tc>
          <w:tcPr>
            <w:tcW w:w="831" w:type="pct"/>
            <w:tcBorders>
              <w:top w:val="nil"/>
              <w:left w:val="nil"/>
              <w:bottom w:val="nil"/>
              <w:right w:val="nil"/>
            </w:tcBorders>
            <w:shd w:val="clear" w:color="auto" w:fill="auto"/>
            <w:vAlign w:val="center"/>
          </w:tcPr>
          <w:p w14:paraId="0E3E8E5A"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BF2624">
              <w:rPr>
                <w:rFonts w:eastAsia="Times New Roman" w:cs="Arial"/>
                <w:sz w:val="18"/>
                <w:szCs w:val="18"/>
                <w:lang w:val="en-US"/>
              </w:rPr>
              <w:t>490,692</w:t>
            </w:r>
          </w:p>
        </w:tc>
        <w:tc>
          <w:tcPr>
            <w:tcW w:w="785" w:type="pct"/>
            <w:tcBorders>
              <w:top w:val="nil"/>
              <w:left w:val="nil"/>
              <w:bottom w:val="nil"/>
              <w:right w:val="nil"/>
            </w:tcBorders>
            <w:shd w:val="clear" w:color="auto" w:fill="auto"/>
            <w:vAlign w:val="center"/>
          </w:tcPr>
          <w:p w14:paraId="10E7DD7A"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BF2624">
              <w:rPr>
                <w:rFonts w:eastAsia="Times New Roman" w:cs="Arial"/>
                <w:sz w:val="18"/>
                <w:szCs w:val="18"/>
                <w:lang w:val="en-US"/>
              </w:rPr>
              <w:t>-</w:t>
            </w:r>
          </w:p>
        </w:tc>
        <w:tc>
          <w:tcPr>
            <w:tcW w:w="845" w:type="pct"/>
            <w:tcBorders>
              <w:top w:val="nil"/>
              <w:left w:val="nil"/>
              <w:bottom w:val="nil"/>
              <w:right w:val="nil"/>
            </w:tcBorders>
            <w:shd w:val="clear" w:color="auto" w:fill="auto"/>
            <w:vAlign w:val="center"/>
          </w:tcPr>
          <w:p w14:paraId="2A284F70"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BF2624">
              <w:rPr>
                <w:rFonts w:eastAsia="Times New Roman" w:cs="Arial"/>
                <w:sz w:val="18"/>
                <w:szCs w:val="18"/>
                <w:lang w:val="en-US"/>
              </w:rPr>
              <w:t>-</w:t>
            </w:r>
          </w:p>
        </w:tc>
        <w:tc>
          <w:tcPr>
            <w:tcW w:w="842" w:type="pct"/>
            <w:tcBorders>
              <w:top w:val="nil"/>
              <w:left w:val="nil"/>
              <w:bottom w:val="nil"/>
              <w:right w:val="nil"/>
            </w:tcBorders>
            <w:shd w:val="clear" w:color="auto" w:fill="auto"/>
            <w:vAlign w:val="center"/>
          </w:tcPr>
          <w:p w14:paraId="677C456A"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BF2624">
              <w:rPr>
                <w:rFonts w:eastAsia="Times New Roman" w:cs="Arial"/>
                <w:sz w:val="18"/>
                <w:szCs w:val="18"/>
                <w:lang w:val="en-US"/>
              </w:rPr>
              <w:t>490,692</w:t>
            </w:r>
          </w:p>
        </w:tc>
      </w:tr>
      <w:tr w:rsidR="00BF2624" w:rsidRPr="00BF2624" w14:paraId="0DDDA004" w14:textId="77777777" w:rsidTr="005F1566">
        <w:trPr>
          <w:jc w:val="center"/>
        </w:trPr>
        <w:tc>
          <w:tcPr>
            <w:tcW w:w="1697" w:type="pct"/>
          </w:tcPr>
          <w:p w14:paraId="372E7061"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Deposits with other banks</w:t>
            </w:r>
          </w:p>
        </w:tc>
        <w:tc>
          <w:tcPr>
            <w:tcW w:w="831" w:type="pct"/>
            <w:tcBorders>
              <w:top w:val="nil"/>
              <w:left w:val="nil"/>
              <w:bottom w:val="nil"/>
              <w:right w:val="nil"/>
            </w:tcBorders>
            <w:shd w:val="clear" w:color="auto" w:fill="auto"/>
            <w:vAlign w:val="center"/>
          </w:tcPr>
          <w:p w14:paraId="0B9A03A5"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23,872</w:t>
            </w:r>
          </w:p>
        </w:tc>
        <w:tc>
          <w:tcPr>
            <w:tcW w:w="785" w:type="pct"/>
            <w:tcBorders>
              <w:top w:val="nil"/>
              <w:left w:val="nil"/>
              <w:bottom w:val="nil"/>
              <w:right w:val="nil"/>
            </w:tcBorders>
            <w:shd w:val="clear" w:color="auto" w:fill="auto"/>
            <w:vAlign w:val="center"/>
          </w:tcPr>
          <w:p w14:paraId="2E8A9294"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w:t>
            </w:r>
          </w:p>
        </w:tc>
        <w:tc>
          <w:tcPr>
            <w:tcW w:w="845" w:type="pct"/>
            <w:tcBorders>
              <w:top w:val="nil"/>
              <w:left w:val="nil"/>
              <w:bottom w:val="nil"/>
              <w:right w:val="nil"/>
            </w:tcBorders>
            <w:shd w:val="clear" w:color="auto" w:fill="auto"/>
            <w:vAlign w:val="center"/>
          </w:tcPr>
          <w:p w14:paraId="1526161A"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w:t>
            </w:r>
          </w:p>
        </w:tc>
        <w:tc>
          <w:tcPr>
            <w:tcW w:w="842" w:type="pct"/>
            <w:tcBorders>
              <w:top w:val="nil"/>
              <w:left w:val="nil"/>
              <w:bottom w:val="nil"/>
              <w:right w:val="nil"/>
            </w:tcBorders>
            <w:shd w:val="clear" w:color="auto" w:fill="auto"/>
            <w:vAlign w:val="center"/>
          </w:tcPr>
          <w:p w14:paraId="712AB138"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23,872</w:t>
            </w:r>
          </w:p>
        </w:tc>
      </w:tr>
      <w:tr w:rsidR="00BF2624" w:rsidRPr="00BF2624" w14:paraId="3BE5BDAE" w14:textId="77777777" w:rsidTr="005F1566">
        <w:trPr>
          <w:jc w:val="center"/>
        </w:trPr>
        <w:tc>
          <w:tcPr>
            <w:tcW w:w="1697" w:type="pct"/>
          </w:tcPr>
          <w:p w14:paraId="0A5077DF"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Loans to financial institutions</w:t>
            </w:r>
          </w:p>
        </w:tc>
        <w:tc>
          <w:tcPr>
            <w:tcW w:w="831" w:type="pct"/>
            <w:tcBorders>
              <w:top w:val="nil"/>
              <w:left w:val="nil"/>
              <w:bottom w:val="nil"/>
              <w:right w:val="nil"/>
            </w:tcBorders>
            <w:shd w:val="clear" w:color="auto" w:fill="auto"/>
            <w:vAlign w:val="center"/>
          </w:tcPr>
          <w:p w14:paraId="4C136540"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11,259,676</w:t>
            </w:r>
          </w:p>
        </w:tc>
        <w:tc>
          <w:tcPr>
            <w:tcW w:w="785" w:type="pct"/>
            <w:tcBorders>
              <w:top w:val="nil"/>
              <w:left w:val="nil"/>
              <w:bottom w:val="nil"/>
              <w:right w:val="nil"/>
            </w:tcBorders>
            <w:shd w:val="clear" w:color="auto" w:fill="auto"/>
            <w:vAlign w:val="center"/>
          </w:tcPr>
          <w:p w14:paraId="1F202DC8"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212,454</w:t>
            </w:r>
          </w:p>
        </w:tc>
        <w:tc>
          <w:tcPr>
            <w:tcW w:w="845" w:type="pct"/>
            <w:tcBorders>
              <w:top w:val="nil"/>
              <w:left w:val="nil"/>
              <w:bottom w:val="nil"/>
              <w:right w:val="nil"/>
            </w:tcBorders>
            <w:shd w:val="clear" w:color="auto" w:fill="auto"/>
            <w:vAlign w:val="center"/>
          </w:tcPr>
          <w:p w14:paraId="308909DB"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416,981</w:t>
            </w:r>
          </w:p>
        </w:tc>
        <w:tc>
          <w:tcPr>
            <w:tcW w:w="842" w:type="pct"/>
            <w:tcBorders>
              <w:top w:val="nil"/>
              <w:left w:val="nil"/>
              <w:bottom w:val="nil"/>
              <w:right w:val="nil"/>
            </w:tcBorders>
            <w:shd w:val="clear" w:color="auto" w:fill="auto"/>
            <w:vAlign w:val="center"/>
          </w:tcPr>
          <w:p w14:paraId="144BD2E1"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11,889,111</w:t>
            </w:r>
          </w:p>
        </w:tc>
      </w:tr>
      <w:tr w:rsidR="00BF2624" w:rsidRPr="00BF2624" w14:paraId="7CD2DC79" w14:textId="77777777" w:rsidTr="005F1566">
        <w:trPr>
          <w:jc w:val="center"/>
        </w:trPr>
        <w:tc>
          <w:tcPr>
            <w:tcW w:w="1697" w:type="pct"/>
          </w:tcPr>
          <w:p w14:paraId="77AAA209"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 xml:space="preserve">Loans to other customers </w:t>
            </w:r>
          </w:p>
        </w:tc>
        <w:tc>
          <w:tcPr>
            <w:tcW w:w="831" w:type="pct"/>
            <w:tcBorders>
              <w:top w:val="nil"/>
              <w:left w:val="nil"/>
              <w:bottom w:val="nil"/>
              <w:right w:val="nil"/>
            </w:tcBorders>
            <w:shd w:val="clear" w:color="auto" w:fill="auto"/>
            <w:vAlign w:val="center"/>
          </w:tcPr>
          <w:p w14:paraId="68172DB3"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BF2624">
              <w:rPr>
                <w:rFonts w:eastAsia="Times New Roman" w:cs="Arial"/>
                <w:sz w:val="18"/>
                <w:szCs w:val="18"/>
                <w:lang w:val="en-US"/>
              </w:rPr>
              <w:t>10,249,918</w:t>
            </w:r>
          </w:p>
        </w:tc>
        <w:tc>
          <w:tcPr>
            <w:tcW w:w="785" w:type="pct"/>
            <w:tcBorders>
              <w:top w:val="nil"/>
              <w:left w:val="nil"/>
              <w:bottom w:val="nil"/>
              <w:right w:val="nil"/>
            </w:tcBorders>
            <w:shd w:val="clear" w:color="auto" w:fill="auto"/>
            <w:vAlign w:val="center"/>
          </w:tcPr>
          <w:p w14:paraId="5C4124BC"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BF2624">
              <w:rPr>
                <w:rFonts w:eastAsia="Times New Roman" w:cs="Arial"/>
                <w:sz w:val="18"/>
                <w:szCs w:val="18"/>
                <w:lang w:val="en-US"/>
              </w:rPr>
              <w:t>165,766</w:t>
            </w:r>
          </w:p>
        </w:tc>
        <w:tc>
          <w:tcPr>
            <w:tcW w:w="845" w:type="pct"/>
            <w:tcBorders>
              <w:top w:val="nil"/>
              <w:left w:val="nil"/>
              <w:bottom w:val="nil"/>
              <w:right w:val="nil"/>
            </w:tcBorders>
            <w:shd w:val="clear" w:color="auto" w:fill="auto"/>
            <w:vAlign w:val="center"/>
          </w:tcPr>
          <w:p w14:paraId="4A2B320A"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BF2624">
              <w:rPr>
                <w:rFonts w:eastAsia="Times New Roman" w:cs="Arial"/>
                <w:sz w:val="18"/>
                <w:szCs w:val="18"/>
                <w:lang w:val="en-US"/>
              </w:rPr>
              <w:t>1,095,510</w:t>
            </w:r>
          </w:p>
        </w:tc>
        <w:tc>
          <w:tcPr>
            <w:tcW w:w="842" w:type="pct"/>
            <w:tcBorders>
              <w:top w:val="nil"/>
              <w:left w:val="nil"/>
              <w:bottom w:val="nil"/>
              <w:right w:val="nil"/>
            </w:tcBorders>
            <w:shd w:val="clear" w:color="auto" w:fill="auto"/>
            <w:vAlign w:val="center"/>
          </w:tcPr>
          <w:p w14:paraId="762B7921"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BF2624">
              <w:rPr>
                <w:rFonts w:eastAsia="Times New Roman" w:cs="Arial"/>
                <w:sz w:val="18"/>
                <w:szCs w:val="18"/>
                <w:lang w:val="en-US"/>
              </w:rPr>
              <w:t>11,511,194</w:t>
            </w:r>
          </w:p>
        </w:tc>
      </w:tr>
      <w:tr w:rsidR="00BF2624" w:rsidRPr="00BF2624" w14:paraId="26C1ED50" w14:textId="77777777" w:rsidTr="005F1566">
        <w:trPr>
          <w:jc w:val="center"/>
        </w:trPr>
        <w:tc>
          <w:tcPr>
            <w:tcW w:w="1697" w:type="pct"/>
          </w:tcPr>
          <w:p w14:paraId="406106F7"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Assets available for sale</w:t>
            </w:r>
          </w:p>
        </w:tc>
        <w:tc>
          <w:tcPr>
            <w:tcW w:w="831" w:type="pct"/>
            <w:tcBorders>
              <w:top w:val="nil"/>
              <w:left w:val="nil"/>
              <w:bottom w:val="nil"/>
              <w:right w:val="nil"/>
            </w:tcBorders>
            <w:shd w:val="clear" w:color="auto" w:fill="auto"/>
            <w:vAlign w:val="center"/>
          </w:tcPr>
          <w:p w14:paraId="6555190E"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3,306,628</w:t>
            </w:r>
          </w:p>
        </w:tc>
        <w:tc>
          <w:tcPr>
            <w:tcW w:w="785" w:type="pct"/>
            <w:tcBorders>
              <w:top w:val="nil"/>
              <w:left w:val="nil"/>
              <w:bottom w:val="nil"/>
              <w:right w:val="nil"/>
            </w:tcBorders>
            <w:shd w:val="clear" w:color="auto" w:fill="auto"/>
            <w:vAlign w:val="center"/>
          </w:tcPr>
          <w:p w14:paraId="0CAF1A70"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w:t>
            </w:r>
          </w:p>
        </w:tc>
        <w:tc>
          <w:tcPr>
            <w:tcW w:w="845" w:type="pct"/>
            <w:tcBorders>
              <w:top w:val="nil"/>
              <w:left w:val="nil"/>
              <w:bottom w:val="nil"/>
              <w:right w:val="nil"/>
            </w:tcBorders>
            <w:shd w:val="clear" w:color="auto" w:fill="auto"/>
            <w:vAlign w:val="center"/>
          </w:tcPr>
          <w:p w14:paraId="3495E0D4"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ascii="Times New Roman" w:eastAsia="Times New Roman" w:hAnsi="Times New Roman"/>
                <w:sz w:val="18"/>
                <w:szCs w:val="18"/>
                <w:lang w:val="en-US"/>
              </w:rPr>
              <w:t>-</w:t>
            </w:r>
          </w:p>
        </w:tc>
        <w:tc>
          <w:tcPr>
            <w:tcW w:w="842" w:type="pct"/>
            <w:tcBorders>
              <w:top w:val="nil"/>
              <w:left w:val="nil"/>
              <w:bottom w:val="nil"/>
              <w:right w:val="nil"/>
            </w:tcBorders>
            <w:shd w:val="clear" w:color="auto" w:fill="auto"/>
            <w:vAlign w:val="center"/>
          </w:tcPr>
          <w:p w14:paraId="74DEE9F2"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3,306,628</w:t>
            </w:r>
          </w:p>
        </w:tc>
      </w:tr>
      <w:tr w:rsidR="00BF2624" w:rsidRPr="00BF2624" w14:paraId="424A1823" w14:textId="77777777" w:rsidTr="005F1566">
        <w:trPr>
          <w:jc w:val="center"/>
        </w:trPr>
        <w:tc>
          <w:tcPr>
            <w:tcW w:w="1697" w:type="pct"/>
          </w:tcPr>
          <w:p w14:paraId="78B9EE66"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Other assets</w:t>
            </w:r>
          </w:p>
        </w:tc>
        <w:tc>
          <w:tcPr>
            <w:tcW w:w="831" w:type="pct"/>
            <w:tcBorders>
              <w:top w:val="nil"/>
              <w:left w:val="nil"/>
              <w:bottom w:val="single" w:sz="8" w:space="0" w:color="auto"/>
              <w:right w:val="nil"/>
            </w:tcBorders>
            <w:shd w:val="clear" w:color="auto" w:fill="auto"/>
            <w:vAlign w:val="center"/>
          </w:tcPr>
          <w:p w14:paraId="0FFBC52E"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1,666</w:t>
            </w:r>
          </w:p>
        </w:tc>
        <w:tc>
          <w:tcPr>
            <w:tcW w:w="785" w:type="pct"/>
            <w:tcBorders>
              <w:top w:val="nil"/>
              <w:left w:val="nil"/>
              <w:bottom w:val="single" w:sz="8" w:space="0" w:color="auto"/>
              <w:right w:val="nil"/>
            </w:tcBorders>
            <w:shd w:val="clear" w:color="auto" w:fill="auto"/>
            <w:vAlign w:val="center"/>
          </w:tcPr>
          <w:p w14:paraId="48C82E95"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1,017</w:t>
            </w:r>
          </w:p>
        </w:tc>
        <w:tc>
          <w:tcPr>
            <w:tcW w:w="845" w:type="pct"/>
            <w:tcBorders>
              <w:top w:val="nil"/>
              <w:left w:val="nil"/>
              <w:bottom w:val="single" w:sz="8" w:space="0" w:color="auto"/>
              <w:right w:val="nil"/>
            </w:tcBorders>
            <w:shd w:val="clear" w:color="auto" w:fill="auto"/>
            <w:vAlign w:val="center"/>
          </w:tcPr>
          <w:p w14:paraId="42AFDECC"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396</w:t>
            </w:r>
          </w:p>
        </w:tc>
        <w:tc>
          <w:tcPr>
            <w:tcW w:w="842" w:type="pct"/>
            <w:tcBorders>
              <w:top w:val="nil"/>
              <w:left w:val="nil"/>
              <w:bottom w:val="single" w:sz="8" w:space="0" w:color="auto"/>
              <w:right w:val="nil"/>
            </w:tcBorders>
            <w:shd w:val="clear" w:color="auto" w:fill="auto"/>
            <w:vAlign w:val="center"/>
          </w:tcPr>
          <w:p w14:paraId="70031BB0"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3,079</w:t>
            </w:r>
          </w:p>
        </w:tc>
      </w:tr>
      <w:tr w:rsidR="00BF2624" w:rsidRPr="00BF2624" w14:paraId="7F30736A" w14:textId="77777777" w:rsidTr="005F1566">
        <w:trPr>
          <w:trHeight w:val="60"/>
          <w:jc w:val="center"/>
        </w:trPr>
        <w:tc>
          <w:tcPr>
            <w:tcW w:w="1697" w:type="pct"/>
          </w:tcPr>
          <w:p w14:paraId="2F8CD174" w14:textId="77777777" w:rsidR="00BF2624" w:rsidRPr="00BF2624" w:rsidRDefault="00BF2624" w:rsidP="00BF2624">
            <w:pPr>
              <w:keepNext/>
              <w:keepLines/>
              <w:tabs>
                <w:tab w:val="decimal" w:pos="1202"/>
              </w:tabs>
              <w:spacing w:after="0" w:line="120" w:lineRule="auto"/>
              <w:rPr>
                <w:rFonts w:asciiTheme="minorHAnsi" w:eastAsia="Times New Roman" w:hAnsiTheme="minorHAnsi" w:cs="Arial"/>
                <w:b/>
                <w:position w:val="4"/>
                <w:sz w:val="18"/>
                <w:szCs w:val="18"/>
              </w:rPr>
            </w:pPr>
          </w:p>
        </w:tc>
        <w:tc>
          <w:tcPr>
            <w:tcW w:w="831" w:type="pct"/>
            <w:tcBorders>
              <w:top w:val="single" w:sz="6" w:space="0" w:color="auto"/>
            </w:tcBorders>
            <w:vAlign w:val="bottom"/>
          </w:tcPr>
          <w:p w14:paraId="484C27B5" w14:textId="77777777" w:rsidR="00BF2624" w:rsidRPr="00BF2624" w:rsidRDefault="00BF2624" w:rsidP="00BF2624">
            <w:pPr>
              <w:keepNext/>
              <w:keepLines/>
              <w:tabs>
                <w:tab w:val="left" w:pos="215"/>
                <w:tab w:val="decimal" w:pos="1295"/>
              </w:tabs>
              <w:spacing w:after="0" w:line="120" w:lineRule="auto"/>
              <w:ind w:right="-148"/>
              <w:jc w:val="right"/>
              <w:rPr>
                <w:rFonts w:asciiTheme="minorHAnsi" w:eastAsia="Times New Roman" w:hAnsiTheme="minorHAnsi" w:cs="Arial"/>
                <w:b/>
                <w:snapToGrid w:val="0"/>
                <w:position w:val="4"/>
                <w:sz w:val="18"/>
                <w:szCs w:val="18"/>
                <w:lang w:val="en-US"/>
              </w:rPr>
            </w:pPr>
          </w:p>
        </w:tc>
        <w:tc>
          <w:tcPr>
            <w:tcW w:w="785" w:type="pct"/>
            <w:tcBorders>
              <w:top w:val="single" w:sz="6" w:space="0" w:color="auto"/>
            </w:tcBorders>
            <w:vAlign w:val="bottom"/>
          </w:tcPr>
          <w:p w14:paraId="2C9C190E" w14:textId="77777777" w:rsidR="00BF2624" w:rsidRPr="00BF2624" w:rsidRDefault="00BF2624" w:rsidP="00BF2624">
            <w:pPr>
              <w:keepNext/>
              <w:keepLines/>
              <w:tabs>
                <w:tab w:val="left" w:pos="215"/>
                <w:tab w:val="decimal" w:pos="1295"/>
              </w:tabs>
              <w:spacing w:after="0" w:line="120" w:lineRule="auto"/>
              <w:ind w:right="-148"/>
              <w:jc w:val="right"/>
              <w:rPr>
                <w:rFonts w:asciiTheme="minorHAnsi" w:eastAsia="Times New Roman" w:hAnsiTheme="minorHAnsi" w:cs="Arial"/>
                <w:b/>
                <w:snapToGrid w:val="0"/>
                <w:position w:val="4"/>
                <w:sz w:val="18"/>
                <w:szCs w:val="18"/>
                <w:lang w:val="en-US"/>
              </w:rPr>
            </w:pPr>
          </w:p>
        </w:tc>
        <w:tc>
          <w:tcPr>
            <w:tcW w:w="845" w:type="pct"/>
            <w:tcBorders>
              <w:top w:val="single" w:sz="6" w:space="0" w:color="auto"/>
            </w:tcBorders>
            <w:vAlign w:val="bottom"/>
          </w:tcPr>
          <w:p w14:paraId="7B7A00CE" w14:textId="77777777" w:rsidR="00BF2624" w:rsidRPr="00BF2624" w:rsidRDefault="00BF2624" w:rsidP="00BF2624">
            <w:pPr>
              <w:keepNext/>
              <w:keepLines/>
              <w:tabs>
                <w:tab w:val="left" w:pos="215"/>
                <w:tab w:val="decimal" w:pos="1295"/>
              </w:tabs>
              <w:spacing w:after="0" w:line="120" w:lineRule="auto"/>
              <w:ind w:right="-148"/>
              <w:jc w:val="right"/>
              <w:rPr>
                <w:rFonts w:asciiTheme="minorHAnsi" w:eastAsia="Times New Roman" w:hAnsiTheme="minorHAnsi" w:cs="Arial"/>
                <w:b/>
                <w:snapToGrid w:val="0"/>
                <w:position w:val="4"/>
                <w:sz w:val="18"/>
                <w:szCs w:val="18"/>
                <w:lang w:val="en-US"/>
              </w:rPr>
            </w:pPr>
          </w:p>
        </w:tc>
        <w:tc>
          <w:tcPr>
            <w:tcW w:w="842" w:type="pct"/>
            <w:tcBorders>
              <w:top w:val="single" w:sz="6" w:space="0" w:color="auto"/>
            </w:tcBorders>
            <w:vAlign w:val="bottom"/>
          </w:tcPr>
          <w:p w14:paraId="127DCD0F" w14:textId="77777777" w:rsidR="00BF2624" w:rsidRPr="00BF2624" w:rsidRDefault="00BF2624" w:rsidP="00BF2624">
            <w:pPr>
              <w:keepNext/>
              <w:keepLines/>
              <w:tabs>
                <w:tab w:val="left" w:pos="215"/>
                <w:tab w:val="decimal" w:pos="1295"/>
              </w:tabs>
              <w:spacing w:after="0" w:line="120" w:lineRule="auto"/>
              <w:ind w:right="-148"/>
              <w:jc w:val="right"/>
              <w:rPr>
                <w:rFonts w:asciiTheme="minorHAnsi" w:eastAsia="Times New Roman" w:hAnsiTheme="minorHAnsi" w:cs="Arial"/>
                <w:b/>
                <w:snapToGrid w:val="0"/>
                <w:position w:val="4"/>
                <w:sz w:val="18"/>
                <w:szCs w:val="18"/>
                <w:lang w:val="en-US"/>
              </w:rPr>
            </w:pPr>
          </w:p>
        </w:tc>
      </w:tr>
      <w:tr w:rsidR="00BF2624" w:rsidRPr="00BF2624" w14:paraId="1DF46A4B" w14:textId="77777777" w:rsidTr="005F1566">
        <w:trPr>
          <w:jc w:val="center"/>
        </w:trPr>
        <w:tc>
          <w:tcPr>
            <w:tcW w:w="1697" w:type="pct"/>
          </w:tcPr>
          <w:p w14:paraId="00C8A7D7" w14:textId="77777777" w:rsidR="00BF2624" w:rsidRPr="00BF2624" w:rsidRDefault="00BF2624" w:rsidP="00BF2624">
            <w:pPr>
              <w:tabs>
                <w:tab w:val="right" w:pos="1202"/>
              </w:tabs>
              <w:spacing w:after="0" w:line="340" w:lineRule="exact"/>
              <w:outlineLvl w:val="0"/>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Total</w:t>
            </w:r>
          </w:p>
        </w:tc>
        <w:tc>
          <w:tcPr>
            <w:tcW w:w="831" w:type="pct"/>
            <w:tcBorders>
              <w:top w:val="nil"/>
              <w:left w:val="nil"/>
              <w:bottom w:val="single" w:sz="12" w:space="0" w:color="auto"/>
              <w:right w:val="nil"/>
            </w:tcBorders>
            <w:shd w:val="clear" w:color="auto" w:fill="auto"/>
            <w:vAlign w:val="center"/>
          </w:tcPr>
          <w:p w14:paraId="2CDBA02C"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25,332,452</w:t>
            </w:r>
          </w:p>
        </w:tc>
        <w:tc>
          <w:tcPr>
            <w:tcW w:w="785" w:type="pct"/>
            <w:tcBorders>
              <w:top w:val="nil"/>
              <w:left w:val="nil"/>
              <w:bottom w:val="single" w:sz="12" w:space="0" w:color="auto"/>
              <w:right w:val="nil"/>
            </w:tcBorders>
            <w:shd w:val="clear" w:color="auto" w:fill="auto"/>
            <w:vAlign w:val="center"/>
          </w:tcPr>
          <w:p w14:paraId="009C9341"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379,237</w:t>
            </w:r>
          </w:p>
        </w:tc>
        <w:tc>
          <w:tcPr>
            <w:tcW w:w="845" w:type="pct"/>
            <w:tcBorders>
              <w:top w:val="nil"/>
              <w:left w:val="nil"/>
              <w:bottom w:val="single" w:sz="12" w:space="0" w:color="auto"/>
              <w:right w:val="nil"/>
            </w:tcBorders>
            <w:shd w:val="clear" w:color="auto" w:fill="auto"/>
            <w:vAlign w:val="center"/>
          </w:tcPr>
          <w:p w14:paraId="11C9C65F"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1,512,887</w:t>
            </w:r>
          </w:p>
        </w:tc>
        <w:tc>
          <w:tcPr>
            <w:tcW w:w="842" w:type="pct"/>
            <w:tcBorders>
              <w:top w:val="nil"/>
              <w:left w:val="nil"/>
              <w:bottom w:val="single" w:sz="12" w:space="0" w:color="auto"/>
              <w:right w:val="nil"/>
            </w:tcBorders>
            <w:shd w:val="clear" w:color="auto" w:fill="auto"/>
            <w:vAlign w:val="center"/>
          </w:tcPr>
          <w:p w14:paraId="04CBEA9E"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27,224,576</w:t>
            </w:r>
          </w:p>
        </w:tc>
      </w:tr>
      <w:tr w:rsidR="00BF2624" w:rsidRPr="00BF2624" w14:paraId="206CFF6A" w14:textId="77777777" w:rsidTr="005F1566">
        <w:trPr>
          <w:trHeight w:val="109"/>
          <w:jc w:val="center"/>
        </w:trPr>
        <w:tc>
          <w:tcPr>
            <w:tcW w:w="1697" w:type="pct"/>
          </w:tcPr>
          <w:p w14:paraId="449E903E" w14:textId="77777777" w:rsidR="00BF2624" w:rsidRPr="00BF2624" w:rsidRDefault="00BF2624" w:rsidP="00BF2624">
            <w:pPr>
              <w:keepNext/>
              <w:keepLines/>
              <w:tabs>
                <w:tab w:val="decimal" w:pos="1202"/>
              </w:tabs>
              <w:spacing w:after="0" w:line="100" w:lineRule="exact"/>
              <w:rPr>
                <w:rFonts w:asciiTheme="minorHAnsi" w:eastAsia="Times New Roman" w:hAnsiTheme="minorHAnsi" w:cs="Arial"/>
                <w:b/>
                <w:position w:val="4"/>
                <w:sz w:val="18"/>
                <w:szCs w:val="18"/>
                <w:u w:val="thick"/>
              </w:rPr>
            </w:pPr>
          </w:p>
        </w:tc>
        <w:tc>
          <w:tcPr>
            <w:tcW w:w="831" w:type="pct"/>
            <w:tcBorders>
              <w:top w:val="single" w:sz="12" w:space="0" w:color="auto"/>
            </w:tcBorders>
            <w:vAlign w:val="bottom"/>
          </w:tcPr>
          <w:p w14:paraId="121081ED"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en-US"/>
              </w:rPr>
            </w:pPr>
          </w:p>
        </w:tc>
        <w:tc>
          <w:tcPr>
            <w:tcW w:w="785" w:type="pct"/>
            <w:tcBorders>
              <w:top w:val="single" w:sz="12" w:space="0" w:color="auto"/>
            </w:tcBorders>
            <w:vAlign w:val="bottom"/>
          </w:tcPr>
          <w:p w14:paraId="1E552E0D"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en-US"/>
              </w:rPr>
            </w:pPr>
          </w:p>
        </w:tc>
        <w:tc>
          <w:tcPr>
            <w:tcW w:w="845" w:type="pct"/>
            <w:tcBorders>
              <w:top w:val="single" w:sz="12" w:space="0" w:color="auto"/>
            </w:tcBorders>
            <w:vAlign w:val="bottom"/>
          </w:tcPr>
          <w:p w14:paraId="44D4711A"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en-US"/>
              </w:rPr>
            </w:pPr>
          </w:p>
        </w:tc>
        <w:tc>
          <w:tcPr>
            <w:tcW w:w="842" w:type="pct"/>
            <w:tcBorders>
              <w:top w:val="single" w:sz="12" w:space="0" w:color="auto"/>
            </w:tcBorders>
            <w:vAlign w:val="bottom"/>
          </w:tcPr>
          <w:p w14:paraId="2503DE1F"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en-US"/>
              </w:rPr>
            </w:pPr>
          </w:p>
        </w:tc>
      </w:tr>
      <w:tr w:rsidR="00BF2624" w:rsidRPr="00BF2624" w14:paraId="2D5D3A18" w14:textId="77777777" w:rsidTr="005F1566">
        <w:trPr>
          <w:jc w:val="center"/>
        </w:trPr>
        <w:tc>
          <w:tcPr>
            <w:tcW w:w="1697" w:type="pct"/>
          </w:tcPr>
          <w:p w14:paraId="108F492C"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Guarantees and commitments</w:t>
            </w:r>
          </w:p>
        </w:tc>
        <w:tc>
          <w:tcPr>
            <w:tcW w:w="831" w:type="pct"/>
            <w:vAlign w:val="bottom"/>
          </w:tcPr>
          <w:p w14:paraId="63F6D148"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b/>
                <w:bCs/>
                <w:sz w:val="18"/>
                <w:szCs w:val="18"/>
                <w:lang w:val="en-US"/>
              </w:rPr>
            </w:pPr>
          </w:p>
        </w:tc>
        <w:tc>
          <w:tcPr>
            <w:tcW w:w="785" w:type="pct"/>
            <w:vAlign w:val="bottom"/>
          </w:tcPr>
          <w:p w14:paraId="0EC7AF1F"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b/>
                <w:bCs/>
                <w:sz w:val="18"/>
                <w:szCs w:val="18"/>
                <w:lang w:val="en-US"/>
              </w:rPr>
            </w:pPr>
          </w:p>
        </w:tc>
        <w:tc>
          <w:tcPr>
            <w:tcW w:w="845" w:type="pct"/>
            <w:vAlign w:val="bottom"/>
          </w:tcPr>
          <w:p w14:paraId="1D95E452"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b/>
                <w:bCs/>
                <w:sz w:val="18"/>
                <w:szCs w:val="18"/>
                <w:lang w:val="en-US"/>
              </w:rPr>
            </w:pPr>
          </w:p>
        </w:tc>
        <w:tc>
          <w:tcPr>
            <w:tcW w:w="842" w:type="pct"/>
            <w:vAlign w:val="bottom"/>
          </w:tcPr>
          <w:p w14:paraId="1A64F023"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b/>
                <w:bCs/>
                <w:sz w:val="18"/>
                <w:szCs w:val="18"/>
                <w:lang w:val="en-US"/>
              </w:rPr>
            </w:pPr>
          </w:p>
        </w:tc>
      </w:tr>
      <w:tr w:rsidR="00BF2624" w:rsidRPr="00BF2624" w14:paraId="7403A04D" w14:textId="77777777" w:rsidTr="005F1566">
        <w:trPr>
          <w:jc w:val="center"/>
        </w:trPr>
        <w:tc>
          <w:tcPr>
            <w:tcW w:w="1697" w:type="pct"/>
          </w:tcPr>
          <w:p w14:paraId="6C8A7A37"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Guarantees issued in HRK</w:t>
            </w:r>
          </w:p>
        </w:tc>
        <w:tc>
          <w:tcPr>
            <w:tcW w:w="831" w:type="pct"/>
            <w:tcBorders>
              <w:top w:val="nil"/>
              <w:left w:val="nil"/>
              <w:bottom w:val="nil"/>
              <w:right w:val="nil"/>
            </w:tcBorders>
            <w:shd w:val="clear" w:color="auto" w:fill="auto"/>
            <w:vAlign w:val="bottom"/>
          </w:tcPr>
          <w:p w14:paraId="177F8579"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32,082</w:t>
            </w:r>
          </w:p>
        </w:tc>
        <w:tc>
          <w:tcPr>
            <w:tcW w:w="785" w:type="pct"/>
            <w:tcBorders>
              <w:top w:val="nil"/>
              <w:left w:val="nil"/>
              <w:bottom w:val="nil"/>
              <w:right w:val="nil"/>
            </w:tcBorders>
            <w:shd w:val="clear" w:color="auto" w:fill="auto"/>
            <w:vAlign w:val="bottom"/>
          </w:tcPr>
          <w:p w14:paraId="12301F3E"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w:t>
            </w:r>
          </w:p>
        </w:tc>
        <w:tc>
          <w:tcPr>
            <w:tcW w:w="845" w:type="pct"/>
            <w:tcBorders>
              <w:top w:val="nil"/>
              <w:left w:val="nil"/>
              <w:bottom w:val="nil"/>
              <w:right w:val="nil"/>
            </w:tcBorders>
            <w:shd w:val="clear" w:color="auto" w:fill="auto"/>
            <w:vAlign w:val="bottom"/>
          </w:tcPr>
          <w:p w14:paraId="5B2B4E69"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w:t>
            </w:r>
          </w:p>
        </w:tc>
        <w:tc>
          <w:tcPr>
            <w:tcW w:w="842" w:type="pct"/>
            <w:tcBorders>
              <w:top w:val="nil"/>
              <w:left w:val="nil"/>
              <w:bottom w:val="nil"/>
              <w:right w:val="nil"/>
            </w:tcBorders>
            <w:shd w:val="clear" w:color="auto" w:fill="auto"/>
            <w:vAlign w:val="bottom"/>
          </w:tcPr>
          <w:p w14:paraId="276BF786"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32,082</w:t>
            </w:r>
          </w:p>
        </w:tc>
      </w:tr>
      <w:tr w:rsidR="00BF2624" w:rsidRPr="00BF2624" w14:paraId="6BAC2A9A" w14:textId="77777777" w:rsidTr="005F1566">
        <w:trPr>
          <w:jc w:val="center"/>
        </w:trPr>
        <w:tc>
          <w:tcPr>
            <w:tcW w:w="1697" w:type="pct"/>
          </w:tcPr>
          <w:p w14:paraId="4A2994E5"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Issued guarantees in foreign currency</w:t>
            </w:r>
          </w:p>
        </w:tc>
        <w:tc>
          <w:tcPr>
            <w:tcW w:w="831" w:type="pct"/>
            <w:tcBorders>
              <w:top w:val="nil"/>
              <w:left w:val="nil"/>
              <w:bottom w:val="nil"/>
              <w:right w:val="nil"/>
            </w:tcBorders>
            <w:shd w:val="clear" w:color="auto" w:fill="auto"/>
            <w:vAlign w:val="bottom"/>
          </w:tcPr>
          <w:p w14:paraId="3841F6D3"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1,964,149</w:t>
            </w:r>
          </w:p>
        </w:tc>
        <w:tc>
          <w:tcPr>
            <w:tcW w:w="785" w:type="pct"/>
            <w:tcBorders>
              <w:top w:val="nil"/>
              <w:left w:val="nil"/>
              <w:bottom w:val="nil"/>
              <w:right w:val="nil"/>
            </w:tcBorders>
            <w:shd w:val="clear" w:color="auto" w:fill="auto"/>
            <w:vAlign w:val="bottom"/>
          </w:tcPr>
          <w:p w14:paraId="55A6CA21"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w:t>
            </w:r>
          </w:p>
        </w:tc>
        <w:tc>
          <w:tcPr>
            <w:tcW w:w="845" w:type="pct"/>
            <w:tcBorders>
              <w:top w:val="nil"/>
              <w:left w:val="nil"/>
              <w:bottom w:val="nil"/>
              <w:right w:val="nil"/>
            </w:tcBorders>
            <w:shd w:val="clear" w:color="auto" w:fill="auto"/>
            <w:vAlign w:val="bottom"/>
          </w:tcPr>
          <w:p w14:paraId="7AA526C8"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18,820</w:t>
            </w:r>
          </w:p>
        </w:tc>
        <w:tc>
          <w:tcPr>
            <w:tcW w:w="842" w:type="pct"/>
            <w:tcBorders>
              <w:top w:val="nil"/>
              <w:left w:val="nil"/>
              <w:bottom w:val="nil"/>
              <w:right w:val="nil"/>
            </w:tcBorders>
            <w:shd w:val="clear" w:color="auto" w:fill="auto"/>
            <w:vAlign w:val="bottom"/>
          </w:tcPr>
          <w:p w14:paraId="2CCDBBD8"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1,982,969</w:t>
            </w:r>
          </w:p>
        </w:tc>
      </w:tr>
      <w:tr w:rsidR="00BF2624" w:rsidRPr="00BF2624" w14:paraId="2470C47F" w14:textId="77777777" w:rsidTr="005F1566">
        <w:trPr>
          <w:jc w:val="center"/>
        </w:trPr>
        <w:tc>
          <w:tcPr>
            <w:tcW w:w="1697" w:type="pct"/>
          </w:tcPr>
          <w:p w14:paraId="46EB4DAE" w14:textId="77777777"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Undrawn loans</w:t>
            </w:r>
          </w:p>
        </w:tc>
        <w:tc>
          <w:tcPr>
            <w:tcW w:w="831" w:type="pct"/>
            <w:tcBorders>
              <w:top w:val="nil"/>
              <w:left w:val="nil"/>
              <w:right w:val="nil"/>
            </w:tcBorders>
            <w:shd w:val="clear" w:color="auto" w:fill="auto"/>
            <w:vAlign w:val="bottom"/>
          </w:tcPr>
          <w:p w14:paraId="4C0FF03D"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3,911,236</w:t>
            </w:r>
          </w:p>
        </w:tc>
        <w:tc>
          <w:tcPr>
            <w:tcW w:w="785" w:type="pct"/>
            <w:tcBorders>
              <w:top w:val="nil"/>
              <w:left w:val="nil"/>
              <w:right w:val="nil"/>
            </w:tcBorders>
            <w:shd w:val="clear" w:color="auto" w:fill="auto"/>
            <w:vAlign w:val="bottom"/>
          </w:tcPr>
          <w:p w14:paraId="1A8040CF"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w:t>
            </w:r>
          </w:p>
        </w:tc>
        <w:tc>
          <w:tcPr>
            <w:tcW w:w="845" w:type="pct"/>
            <w:tcBorders>
              <w:top w:val="nil"/>
              <w:left w:val="nil"/>
              <w:right w:val="nil"/>
            </w:tcBorders>
            <w:shd w:val="clear" w:color="auto" w:fill="auto"/>
            <w:vAlign w:val="bottom"/>
          </w:tcPr>
          <w:p w14:paraId="45430736"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16,941</w:t>
            </w:r>
          </w:p>
        </w:tc>
        <w:tc>
          <w:tcPr>
            <w:tcW w:w="842" w:type="pct"/>
            <w:tcBorders>
              <w:top w:val="nil"/>
              <w:left w:val="nil"/>
              <w:right w:val="nil"/>
            </w:tcBorders>
            <w:shd w:val="clear" w:color="auto" w:fill="auto"/>
            <w:vAlign w:val="bottom"/>
          </w:tcPr>
          <w:p w14:paraId="37787D6E"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3,928,177</w:t>
            </w:r>
          </w:p>
        </w:tc>
      </w:tr>
      <w:tr w:rsidR="00BF2624" w:rsidRPr="00BF2624" w14:paraId="5C8925E0" w14:textId="77777777" w:rsidTr="005F1566">
        <w:trPr>
          <w:jc w:val="center"/>
        </w:trPr>
        <w:tc>
          <w:tcPr>
            <w:tcW w:w="1697" w:type="pct"/>
            <w:vAlign w:val="center"/>
          </w:tcPr>
          <w:p w14:paraId="152F0652" w14:textId="77777777" w:rsidR="00BF2624" w:rsidRPr="00BF2624" w:rsidRDefault="00BF2624" w:rsidP="00BF2624">
            <w:pPr>
              <w:tabs>
                <w:tab w:val="right" w:pos="1202"/>
              </w:tabs>
              <w:spacing w:after="0" w:line="240" w:lineRule="auto"/>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Other irrevocable contingent liabilities</w:t>
            </w:r>
          </w:p>
        </w:tc>
        <w:tc>
          <w:tcPr>
            <w:tcW w:w="831" w:type="pct"/>
            <w:vAlign w:val="bottom"/>
          </w:tcPr>
          <w:p w14:paraId="48122485"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pl-PL"/>
              </w:rPr>
            </w:pPr>
            <w:r w:rsidRPr="00BF2624">
              <w:rPr>
                <w:rFonts w:asciiTheme="minorHAnsi" w:eastAsia="Times New Roman" w:hAnsiTheme="minorHAnsi" w:cs="Arial"/>
                <w:sz w:val="18"/>
                <w:szCs w:val="18"/>
                <w:lang w:val="en-US"/>
              </w:rPr>
              <w:t>335</w:t>
            </w:r>
          </w:p>
        </w:tc>
        <w:tc>
          <w:tcPr>
            <w:tcW w:w="785" w:type="pct"/>
            <w:vAlign w:val="bottom"/>
          </w:tcPr>
          <w:p w14:paraId="7B0FED03"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pl-PL"/>
              </w:rPr>
            </w:pPr>
            <w:r w:rsidRPr="00BF2624">
              <w:rPr>
                <w:rFonts w:asciiTheme="minorHAnsi" w:eastAsia="Times New Roman" w:hAnsiTheme="minorHAnsi" w:cs="Arial"/>
                <w:sz w:val="18"/>
                <w:szCs w:val="18"/>
                <w:lang w:val="en-US"/>
              </w:rPr>
              <w:t>-</w:t>
            </w:r>
          </w:p>
        </w:tc>
        <w:tc>
          <w:tcPr>
            <w:tcW w:w="845" w:type="pct"/>
            <w:vAlign w:val="bottom"/>
          </w:tcPr>
          <w:p w14:paraId="2D047F1B"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pl-PL"/>
              </w:rPr>
            </w:pPr>
            <w:r w:rsidRPr="00BF2624">
              <w:rPr>
                <w:rFonts w:asciiTheme="minorHAnsi" w:eastAsia="Times New Roman" w:hAnsiTheme="minorHAnsi" w:cs="Arial"/>
                <w:sz w:val="18"/>
                <w:szCs w:val="18"/>
                <w:lang w:val="en-US"/>
              </w:rPr>
              <w:t>-</w:t>
            </w:r>
          </w:p>
        </w:tc>
        <w:tc>
          <w:tcPr>
            <w:tcW w:w="842" w:type="pct"/>
            <w:vAlign w:val="bottom"/>
          </w:tcPr>
          <w:p w14:paraId="208D01C2" w14:textId="77777777"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pl-PL"/>
              </w:rPr>
            </w:pPr>
            <w:r w:rsidRPr="00BF2624">
              <w:rPr>
                <w:rFonts w:asciiTheme="minorHAnsi" w:eastAsia="Times New Roman" w:hAnsiTheme="minorHAnsi" w:cs="Arial"/>
                <w:sz w:val="18"/>
                <w:szCs w:val="18"/>
                <w:lang w:val="en-US"/>
              </w:rPr>
              <w:t>335</w:t>
            </w:r>
          </w:p>
        </w:tc>
      </w:tr>
      <w:tr w:rsidR="00BF2624" w:rsidRPr="00BF2624" w14:paraId="7A8AF818" w14:textId="77777777" w:rsidTr="005F1566">
        <w:trPr>
          <w:trHeight w:val="109"/>
          <w:jc w:val="center"/>
        </w:trPr>
        <w:tc>
          <w:tcPr>
            <w:tcW w:w="1697" w:type="pct"/>
          </w:tcPr>
          <w:p w14:paraId="147ED746" w14:textId="77777777" w:rsidR="00BF2624" w:rsidRPr="00BF2624" w:rsidRDefault="00BF2624" w:rsidP="00BF2624">
            <w:pPr>
              <w:keepNext/>
              <w:keepLines/>
              <w:tabs>
                <w:tab w:val="decimal" w:pos="1202"/>
              </w:tabs>
              <w:spacing w:after="0" w:line="100" w:lineRule="exact"/>
              <w:rPr>
                <w:rFonts w:asciiTheme="minorHAnsi" w:eastAsia="Times New Roman" w:hAnsiTheme="minorHAnsi" w:cs="Arial"/>
                <w:b/>
                <w:position w:val="4"/>
                <w:sz w:val="18"/>
                <w:szCs w:val="18"/>
              </w:rPr>
            </w:pPr>
          </w:p>
        </w:tc>
        <w:tc>
          <w:tcPr>
            <w:tcW w:w="831" w:type="pct"/>
            <w:tcBorders>
              <w:bottom w:val="single" w:sz="6" w:space="0" w:color="auto"/>
            </w:tcBorders>
            <w:vAlign w:val="bottom"/>
          </w:tcPr>
          <w:p w14:paraId="61154430" w14:textId="77777777" w:rsidR="00BF2624" w:rsidRPr="00BF2624" w:rsidRDefault="00BF2624" w:rsidP="00BF2624">
            <w:pPr>
              <w:keepNext/>
              <w:keepLines/>
              <w:tabs>
                <w:tab w:val="left" w:pos="215"/>
                <w:tab w:val="decimal" w:pos="1295"/>
              </w:tabs>
              <w:spacing w:after="0" w:line="100" w:lineRule="exact"/>
              <w:ind w:right="-148"/>
              <w:jc w:val="right"/>
              <w:rPr>
                <w:rFonts w:asciiTheme="minorHAnsi" w:eastAsia="Times New Roman" w:hAnsiTheme="minorHAnsi" w:cs="Arial"/>
                <w:b/>
                <w:snapToGrid w:val="0"/>
                <w:position w:val="4"/>
                <w:sz w:val="18"/>
                <w:szCs w:val="18"/>
                <w:lang w:val="pl-PL"/>
              </w:rPr>
            </w:pPr>
          </w:p>
        </w:tc>
        <w:tc>
          <w:tcPr>
            <w:tcW w:w="785" w:type="pct"/>
            <w:tcBorders>
              <w:bottom w:val="single" w:sz="6" w:space="0" w:color="auto"/>
            </w:tcBorders>
            <w:vAlign w:val="bottom"/>
          </w:tcPr>
          <w:p w14:paraId="07E5C247" w14:textId="77777777" w:rsidR="00BF2624" w:rsidRPr="00BF2624" w:rsidRDefault="00BF2624" w:rsidP="00BF2624">
            <w:pPr>
              <w:keepNext/>
              <w:keepLines/>
              <w:tabs>
                <w:tab w:val="left" w:pos="215"/>
                <w:tab w:val="decimal" w:pos="1295"/>
              </w:tabs>
              <w:spacing w:after="0" w:line="100" w:lineRule="exact"/>
              <w:ind w:right="-148"/>
              <w:jc w:val="right"/>
              <w:rPr>
                <w:rFonts w:asciiTheme="minorHAnsi" w:eastAsia="Times New Roman" w:hAnsiTheme="minorHAnsi" w:cs="Arial"/>
                <w:b/>
                <w:snapToGrid w:val="0"/>
                <w:position w:val="4"/>
                <w:sz w:val="18"/>
                <w:szCs w:val="18"/>
                <w:lang w:val="pl-PL"/>
              </w:rPr>
            </w:pPr>
          </w:p>
        </w:tc>
        <w:tc>
          <w:tcPr>
            <w:tcW w:w="845" w:type="pct"/>
            <w:tcBorders>
              <w:bottom w:val="single" w:sz="6" w:space="0" w:color="auto"/>
            </w:tcBorders>
            <w:vAlign w:val="bottom"/>
          </w:tcPr>
          <w:p w14:paraId="145AD34B" w14:textId="77777777" w:rsidR="00BF2624" w:rsidRPr="00BF2624" w:rsidRDefault="00BF2624" w:rsidP="00BF2624">
            <w:pPr>
              <w:keepNext/>
              <w:keepLines/>
              <w:tabs>
                <w:tab w:val="left" w:pos="215"/>
                <w:tab w:val="decimal" w:pos="1295"/>
              </w:tabs>
              <w:spacing w:after="0" w:line="100" w:lineRule="exact"/>
              <w:ind w:right="-148"/>
              <w:jc w:val="right"/>
              <w:rPr>
                <w:rFonts w:asciiTheme="minorHAnsi" w:eastAsia="Times New Roman" w:hAnsiTheme="minorHAnsi" w:cs="Arial"/>
                <w:b/>
                <w:snapToGrid w:val="0"/>
                <w:position w:val="4"/>
                <w:sz w:val="18"/>
                <w:szCs w:val="18"/>
                <w:lang w:val="pl-PL"/>
              </w:rPr>
            </w:pPr>
          </w:p>
        </w:tc>
        <w:tc>
          <w:tcPr>
            <w:tcW w:w="842" w:type="pct"/>
            <w:tcBorders>
              <w:bottom w:val="single" w:sz="6" w:space="0" w:color="auto"/>
            </w:tcBorders>
            <w:vAlign w:val="bottom"/>
          </w:tcPr>
          <w:p w14:paraId="7B68B23E" w14:textId="77777777" w:rsidR="00BF2624" w:rsidRPr="00BF2624" w:rsidRDefault="00BF2624" w:rsidP="00BF2624">
            <w:pPr>
              <w:keepNext/>
              <w:keepLines/>
              <w:tabs>
                <w:tab w:val="left" w:pos="215"/>
                <w:tab w:val="decimal" w:pos="1295"/>
              </w:tabs>
              <w:spacing w:after="0" w:line="100" w:lineRule="exact"/>
              <w:ind w:right="-148"/>
              <w:jc w:val="right"/>
              <w:rPr>
                <w:rFonts w:asciiTheme="minorHAnsi" w:eastAsia="Times New Roman" w:hAnsiTheme="minorHAnsi" w:cs="Arial"/>
                <w:b/>
                <w:snapToGrid w:val="0"/>
                <w:position w:val="4"/>
                <w:sz w:val="18"/>
                <w:szCs w:val="18"/>
                <w:lang w:val="pl-PL"/>
              </w:rPr>
            </w:pPr>
          </w:p>
        </w:tc>
      </w:tr>
      <w:tr w:rsidR="00BF2624" w:rsidRPr="00BF2624" w14:paraId="1024ACBC" w14:textId="77777777" w:rsidTr="005F1566">
        <w:trPr>
          <w:jc w:val="center"/>
        </w:trPr>
        <w:tc>
          <w:tcPr>
            <w:tcW w:w="1697" w:type="pct"/>
          </w:tcPr>
          <w:p w14:paraId="405CAF6C" w14:textId="77777777" w:rsidR="00BF2624" w:rsidRPr="00BF2624" w:rsidRDefault="00BF2624" w:rsidP="00BF2624">
            <w:pPr>
              <w:tabs>
                <w:tab w:val="right" w:pos="1202"/>
              </w:tabs>
              <w:spacing w:after="0" w:line="340" w:lineRule="exact"/>
              <w:outlineLvl w:val="0"/>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Total</w:t>
            </w:r>
          </w:p>
        </w:tc>
        <w:tc>
          <w:tcPr>
            <w:tcW w:w="831" w:type="pct"/>
            <w:tcBorders>
              <w:top w:val="nil"/>
              <w:left w:val="nil"/>
              <w:bottom w:val="single" w:sz="12" w:space="0" w:color="auto"/>
              <w:right w:val="nil"/>
            </w:tcBorders>
            <w:shd w:val="clear" w:color="auto" w:fill="auto"/>
            <w:vAlign w:val="center"/>
          </w:tcPr>
          <w:p w14:paraId="3EC2A211"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5,907,802</w:t>
            </w:r>
          </w:p>
        </w:tc>
        <w:tc>
          <w:tcPr>
            <w:tcW w:w="785" w:type="pct"/>
            <w:tcBorders>
              <w:top w:val="nil"/>
              <w:left w:val="nil"/>
              <w:bottom w:val="single" w:sz="12" w:space="0" w:color="auto"/>
              <w:right w:val="nil"/>
            </w:tcBorders>
            <w:shd w:val="clear" w:color="auto" w:fill="auto"/>
            <w:vAlign w:val="center"/>
          </w:tcPr>
          <w:p w14:paraId="4BD04C3A"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w:t>
            </w:r>
          </w:p>
        </w:tc>
        <w:tc>
          <w:tcPr>
            <w:tcW w:w="845" w:type="pct"/>
            <w:tcBorders>
              <w:top w:val="nil"/>
              <w:left w:val="nil"/>
              <w:bottom w:val="single" w:sz="12" w:space="0" w:color="auto"/>
              <w:right w:val="nil"/>
            </w:tcBorders>
            <w:shd w:val="clear" w:color="auto" w:fill="auto"/>
            <w:vAlign w:val="center"/>
          </w:tcPr>
          <w:p w14:paraId="1109360C"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35,761</w:t>
            </w:r>
          </w:p>
        </w:tc>
        <w:tc>
          <w:tcPr>
            <w:tcW w:w="842" w:type="pct"/>
            <w:tcBorders>
              <w:top w:val="nil"/>
              <w:left w:val="nil"/>
              <w:bottom w:val="single" w:sz="12" w:space="0" w:color="auto"/>
              <w:right w:val="nil"/>
            </w:tcBorders>
            <w:shd w:val="clear" w:color="auto" w:fill="auto"/>
            <w:vAlign w:val="center"/>
          </w:tcPr>
          <w:p w14:paraId="296B3032"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5,943,563</w:t>
            </w:r>
          </w:p>
        </w:tc>
      </w:tr>
      <w:tr w:rsidR="00BF2624" w:rsidRPr="00BF2624" w14:paraId="54EF281F" w14:textId="77777777" w:rsidTr="005F1566">
        <w:trPr>
          <w:trHeight w:val="137"/>
          <w:jc w:val="center"/>
        </w:trPr>
        <w:tc>
          <w:tcPr>
            <w:tcW w:w="1697" w:type="pct"/>
          </w:tcPr>
          <w:p w14:paraId="6A034F1C" w14:textId="77777777" w:rsidR="00BF2624" w:rsidRPr="00BF2624" w:rsidRDefault="00BF2624" w:rsidP="00BF2624">
            <w:pPr>
              <w:tabs>
                <w:tab w:val="right" w:pos="1202"/>
              </w:tabs>
              <w:spacing w:after="0" w:line="120" w:lineRule="auto"/>
              <w:outlineLvl w:val="0"/>
              <w:rPr>
                <w:rFonts w:asciiTheme="minorHAnsi" w:eastAsia="Times New Roman" w:hAnsiTheme="minorHAnsi" w:cs="Arial"/>
                <w:b/>
                <w:bCs/>
                <w:sz w:val="18"/>
                <w:szCs w:val="18"/>
              </w:rPr>
            </w:pPr>
          </w:p>
        </w:tc>
        <w:tc>
          <w:tcPr>
            <w:tcW w:w="831" w:type="pct"/>
            <w:tcBorders>
              <w:top w:val="single" w:sz="12" w:space="0" w:color="auto"/>
            </w:tcBorders>
            <w:vAlign w:val="bottom"/>
          </w:tcPr>
          <w:p w14:paraId="1BFEC276"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en-US"/>
              </w:rPr>
            </w:pPr>
          </w:p>
        </w:tc>
        <w:tc>
          <w:tcPr>
            <w:tcW w:w="785" w:type="pct"/>
            <w:tcBorders>
              <w:top w:val="single" w:sz="12" w:space="0" w:color="auto"/>
            </w:tcBorders>
            <w:vAlign w:val="bottom"/>
          </w:tcPr>
          <w:p w14:paraId="1776E1D1"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en-US"/>
              </w:rPr>
            </w:pPr>
          </w:p>
        </w:tc>
        <w:tc>
          <w:tcPr>
            <w:tcW w:w="845" w:type="pct"/>
            <w:tcBorders>
              <w:top w:val="single" w:sz="12" w:space="0" w:color="auto"/>
            </w:tcBorders>
            <w:vAlign w:val="bottom"/>
          </w:tcPr>
          <w:p w14:paraId="46C1C433"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en-US"/>
              </w:rPr>
            </w:pPr>
          </w:p>
        </w:tc>
        <w:tc>
          <w:tcPr>
            <w:tcW w:w="842" w:type="pct"/>
            <w:tcBorders>
              <w:top w:val="single" w:sz="12" w:space="0" w:color="auto"/>
            </w:tcBorders>
            <w:vAlign w:val="bottom"/>
          </w:tcPr>
          <w:p w14:paraId="1290B7FD"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en-US"/>
              </w:rPr>
            </w:pPr>
          </w:p>
        </w:tc>
      </w:tr>
      <w:tr w:rsidR="00BF2624" w:rsidRPr="00BF2624" w14:paraId="44BDCA8D" w14:textId="77777777" w:rsidTr="005F1566">
        <w:trPr>
          <w:jc w:val="center"/>
        </w:trPr>
        <w:tc>
          <w:tcPr>
            <w:tcW w:w="1697" w:type="pct"/>
            <w:vAlign w:val="bottom"/>
          </w:tcPr>
          <w:p w14:paraId="75E3047A" w14:textId="77777777" w:rsidR="00BF2624" w:rsidRPr="00BF2624" w:rsidRDefault="00BF2624" w:rsidP="00BF2624">
            <w:pPr>
              <w:tabs>
                <w:tab w:val="right" w:pos="1202"/>
              </w:tabs>
              <w:spacing w:after="0" w:line="240" w:lineRule="exact"/>
              <w:jc w:val="both"/>
              <w:outlineLvl w:val="0"/>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Total credit risk exposure</w:t>
            </w:r>
          </w:p>
        </w:tc>
        <w:tc>
          <w:tcPr>
            <w:tcW w:w="831" w:type="pct"/>
            <w:tcBorders>
              <w:top w:val="nil"/>
              <w:left w:val="nil"/>
              <w:bottom w:val="single" w:sz="12" w:space="0" w:color="auto"/>
              <w:right w:val="nil"/>
            </w:tcBorders>
            <w:shd w:val="clear" w:color="auto" w:fill="auto"/>
            <w:vAlign w:val="center"/>
          </w:tcPr>
          <w:p w14:paraId="212FA6A5"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31,240,254</w:t>
            </w:r>
          </w:p>
        </w:tc>
        <w:tc>
          <w:tcPr>
            <w:tcW w:w="785" w:type="pct"/>
            <w:tcBorders>
              <w:top w:val="nil"/>
              <w:left w:val="nil"/>
              <w:bottom w:val="single" w:sz="12" w:space="0" w:color="auto"/>
              <w:right w:val="nil"/>
            </w:tcBorders>
            <w:shd w:val="clear" w:color="auto" w:fill="auto"/>
            <w:vAlign w:val="center"/>
          </w:tcPr>
          <w:p w14:paraId="3C18D831"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379,237</w:t>
            </w:r>
          </w:p>
        </w:tc>
        <w:tc>
          <w:tcPr>
            <w:tcW w:w="845" w:type="pct"/>
            <w:tcBorders>
              <w:top w:val="nil"/>
              <w:left w:val="nil"/>
              <w:bottom w:val="single" w:sz="12" w:space="0" w:color="auto"/>
              <w:right w:val="nil"/>
            </w:tcBorders>
            <w:shd w:val="clear" w:color="auto" w:fill="auto"/>
            <w:vAlign w:val="center"/>
          </w:tcPr>
          <w:p w14:paraId="202A97E2"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1,548,648</w:t>
            </w:r>
          </w:p>
        </w:tc>
        <w:tc>
          <w:tcPr>
            <w:tcW w:w="842" w:type="pct"/>
            <w:tcBorders>
              <w:top w:val="nil"/>
              <w:left w:val="nil"/>
              <w:bottom w:val="single" w:sz="12" w:space="0" w:color="auto"/>
              <w:right w:val="nil"/>
            </w:tcBorders>
            <w:shd w:val="clear" w:color="auto" w:fill="auto"/>
            <w:vAlign w:val="center"/>
          </w:tcPr>
          <w:p w14:paraId="1D1188E7" w14:textId="77777777"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33,168,139</w:t>
            </w:r>
          </w:p>
        </w:tc>
      </w:tr>
      <w:tr w:rsidR="00BF2624" w:rsidRPr="00BF2624" w14:paraId="7005167A" w14:textId="77777777" w:rsidTr="005F1566">
        <w:trPr>
          <w:trHeight w:val="109"/>
          <w:jc w:val="center"/>
        </w:trPr>
        <w:tc>
          <w:tcPr>
            <w:tcW w:w="1697" w:type="pct"/>
          </w:tcPr>
          <w:p w14:paraId="40106BBF" w14:textId="77777777" w:rsidR="00BF2624" w:rsidRPr="00BF2624" w:rsidRDefault="00BF2624" w:rsidP="00BF2624">
            <w:pPr>
              <w:keepNext/>
              <w:keepLines/>
              <w:tabs>
                <w:tab w:val="decimal" w:pos="1202"/>
              </w:tabs>
              <w:spacing w:after="0" w:line="100" w:lineRule="exact"/>
              <w:rPr>
                <w:rFonts w:asciiTheme="minorHAnsi" w:eastAsia="Times New Roman" w:hAnsiTheme="minorHAnsi" w:cs="Arial"/>
                <w:b/>
                <w:position w:val="4"/>
                <w:sz w:val="18"/>
                <w:szCs w:val="18"/>
                <w:u w:val="thick"/>
              </w:rPr>
            </w:pPr>
          </w:p>
        </w:tc>
        <w:tc>
          <w:tcPr>
            <w:tcW w:w="831" w:type="pct"/>
            <w:tcBorders>
              <w:top w:val="single" w:sz="12" w:space="0" w:color="auto"/>
            </w:tcBorders>
            <w:vAlign w:val="bottom"/>
          </w:tcPr>
          <w:p w14:paraId="51026723"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rPr>
            </w:pPr>
          </w:p>
        </w:tc>
        <w:tc>
          <w:tcPr>
            <w:tcW w:w="785" w:type="pct"/>
            <w:tcBorders>
              <w:top w:val="single" w:sz="12" w:space="0" w:color="auto"/>
            </w:tcBorders>
            <w:vAlign w:val="bottom"/>
          </w:tcPr>
          <w:p w14:paraId="643B8101"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rPr>
            </w:pPr>
          </w:p>
        </w:tc>
        <w:tc>
          <w:tcPr>
            <w:tcW w:w="845" w:type="pct"/>
            <w:tcBorders>
              <w:top w:val="single" w:sz="12" w:space="0" w:color="auto"/>
            </w:tcBorders>
            <w:vAlign w:val="bottom"/>
          </w:tcPr>
          <w:p w14:paraId="59D0F4A7"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rPr>
            </w:pPr>
          </w:p>
        </w:tc>
        <w:tc>
          <w:tcPr>
            <w:tcW w:w="842" w:type="pct"/>
            <w:tcBorders>
              <w:top w:val="single" w:sz="12" w:space="0" w:color="auto"/>
            </w:tcBorders>
            <w:vAlign w:val="bottom"/>
          </w:tcPr>
          <w:p w14:paraId="40469D15" w14:textId="77777777"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rPr>
            </w:pPr>
          </w:p>
        </w:tc>
      </w:tr>
    </w:tbl>
    <w:p w14:paraId="0E3C3D16" w14:textId="77777777" w:rsidR="009702B0" w:rsidRPr="009702B0" w:rsidRDefault="009702B0" w:rsidP="009702B0">
      <w:pPr>
        <w:spacing w:after="0" w:line="240" w:lineRule="exact"/>
        <w:jc w:val="both"/>
        <w:rPr>
          <w:rFonts w:ascii="Arial" w:hAnsi="Arial" w:cs="Arial"/>
          <w:sz w:val="19"/>
          <w:szCs w:val="19"/>
        </w:rPr>
      </w:pPr>
    </w:p>
    <w:p w14:paraId="380024B9" w14:textId="77777777" w:rsidR="009702B0" w:rsidRDefault="009702B0" w:rsidP="009702B0">
      <w:pPr>
        <w:jc w:val="both"/>
        <w:rPr>
          <w:highlight w:val="yellow"/>
        </w:rPr>
      </w:pPr>
    </w:p>
    <w:p w14:paraId="788D9BBB" w14:textId="77777777" w:rsidR="00BF2624" w:rsidRPr="009702B0" w:rsidRDefault="00BF2624" w:rsidP="009702B0">
      <w:pPr>
        <w:jc w:val="both"/>
        <w:rPr>
          <w:highlight w:val="yellow"/>
        </w:rPr>
        <w:sectPr w:rsidR="00BF2624" w:rsidRPr="009702B0" w:rsidSect="00947CB7">
          <w:footerReference w:type="first" r:id="rId95"/>
          <w:pgSz w:w="11906" w:h="16838" w:code="9"/>
          <w:pgMar w:top="1418" w:right="1418" w:bottom="595" w:left="1134" w:header="709" w:footer="709" w:gutter="0"/>
          <w:cols w:space="708"/>
          <w:titlePg/>
          <w:docGrid w:linePitch="360"/>
        </w:sectPr>
      </w:pPr>
    </w:p>
    <w:p w14:paraId="6B9C3C8F" w14:textId="77777777" w:rsidR="009702B0" w:rsidRPr="009702B0" w:rsidRDefault="009702B0" w:rsidP="009702B0">
      <w:pPr>
        <w:keepNext/>
        <w:spacing w:after="0" w:line="240" w:lineRule="auto"/>
        <w:jc w:val="both"/>
        <w:rPr>
          <w:rFonts w:eastAsia="Times New Roman" w:cs="Arial"/>
          <w:b/>
          <w:bCs/>
        </w:rPr>
      </w:pPr>
    </w:p>
    <w:p w14:paraId="63CC1BE1"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00011FEA">
        <w:rPr>
          <w:rFonts w:eastAsia="Times New Roman" w:cs="Arial"/>
          <w:b/>
          <w:bCs/>
        </w:rPr>
        <w:t>.</w:t>
      </w:r>
      <w:r w:rsidRPr="009702B0">
        <w:rPr>
          <w:rFonts w:eastAsia="Times New Roman" w:cs="Arial"/>
          <w:b/>
          <w:bCs/>
        </w:rPr>
        <w:tab/>
        <w:t>Risk management (continued)</w:t>
      </w:r>
    </w:p>
    <w:p w14:paraId="2856702A" w14:textId="77777777" w:rsidR="009702B0" w:rsidRPr="009702B0" w:rsidRDefault="009702B0" w:rsidP="009702B0">
      <w:pPr>
        <w:keepNext/>
        <w:spacing w:after="0" w:line="240" w:lineRule="auto"/>
        <w:jc w:val="both"/>
        <w:rPr>
          <w:rFonts w:eastAsia="Times New Roman" w:cs="Arial"/>
          <w:b/>
          <w:bCs/>
        </w:rPr>
      </w:pPr>
    </w:p>
    <w:p w14:paraId="1719C48A"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00011FEA">
        <w:rPr>
          <w:rFonts w:eastAsia="Times New Roman" w:cs="Arial"/>
          <w:b/>
          <w:bCs/>
        </w:rPr>
        <w:t>.</w:t>
      </w:r>
      <w:r w:rsidRPr="009702B0">
        <w:rPr>
          <w:rFonts w:eastAsia="Times New Roman" w:cs="Arial"/>
          <w:b/>
          <w:bCs/>
        </w:rPr>
        <w:t>2</w:t>
      </w:r>
      <w:r w:rsidR="00011FEA">
        <w:rPr>
          <w:rFonts w:eastAsia="Times New Roman" w:cs="Arial"/>
          <w:b/>
          <w:bCs/>
        </w:rPr>
        <w:t>.</w:t>
      </w:r>
      <w:r w:rsidRPr="009702B0">
        <w:rPr>
          <w:rFonts w:eastAsia="Times New Roman" w:cs="Arial"/>
          <w:b/>
          <w:bCs/>
        </w:rPr>
        <w:t xml:space="preserve"> </w:t>
      </w:r>
      <w:r w:rsidRPr="009702B0">
        <w:rPr>
          <w:rFonts w:eastAsia="Times New Roman" w:cs="Arial"/>
          <w:b/>
          <w:bCs/>
        </w:rPr>
        <w:tab/>
        <w:t>Credit risk (continued)</w:t>
      </w:r>
    </w:p>
    <w:p w14:paraId="5295AE56" w14:textId="77777777" w:rsidR="009702B0" w:rsidRPr="009702B0" w:rsidRDefault="009702B0" w:rsidP="009702B0">
      <w:pPr>
        <w:keepNext/>
        <w:spacing w:after="0" w:line="240" w:lineRule="auto"/>
        <w:jc w:val="both"/>
        <w:rPr>
          <w:rFonts w:eastAsia="Times New Roman" w:cs="Arial"/>
          <w:b/>
          <w:bCs/>
        </w:rPr>
      </w:pPr>
    </w:p>
    <w:p w14:paraId="534DE8AA"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Credit risk quality according to type of financial assets (continued)</w:t>
      </w:r>
    </w:p>
    <w:p w14:paraId="6EE3B046" w14:textId="77777777" w:rsidR="009702B0" w:rsidRPr="009702B0" w:rsidRDefault="009702B0" w:rsidP="009702B0">
      <w:pPr>
        <w:keepNext/>
        <w:spacing w:after="0" w:line="240" w:lineRule="auto"/>
        <w:jc w:val="both"/>
        <w:rPr>
          <w:rFonts w:eastAsia="Times New Roman" w:cs="Arial"/>
          <w:b/>
          <w:bCs/>
          <w:sz w:val="20"/>
          <w:szCs w:val="20"/>
        </w:rPr>
      </w:pPr>
    </w:p>
    <w:p w14:paraId="2FEE6A90" w14:textId="77777777" w:rsidR="009702B0" w:rsidRPr="00BA3F2A" w:rsidRDefault="009702B0" w:rsidP="009702B0">
      <w:pPr>
        <w:spacing w:after="0" w:line="240" w:lineRule="auto"/>
        <w:rPr>
          <w:rFonts w:cs="Arial"/>
        </w:rPr>
      </w:pPr>
      <w:r w:rsidRPr="00BA3F2A">
        <w:rPr>
          <w:rFonts w:cs="Arial"/>
        </w:rPr>
        <w:t>Aging analysis of past due but not impaired loans per class of financial asset:</w:t>
      </w:r>
    </w:p>
    <w:p w14:paraId="687AD6F9" w14:textId="77777777" w:rsidR="009702B0" w:rsidRPr="009702B0" w:rsidRDefault="009702B0" w:rsidP="009702B0">
      <w:pPr>
        <w:spacing w:after="0" w:line="240" w:lineRule="auto"/>
        <w:rPr>
          <w:rFonts w:cs="Arial"/>
          <w:sz w:val="20"/>
          <w:szCs w:val="20"/>
        </w:rPr>
      </w:pPr>
    </w:p>
    <w:tbl>
      <w:tblPr>
        <w:tblW w:w="5351" w:type="pct"/>
        <w:jc w:val="center"/>
        <w:tblLayout w:type="fixed"/>
        <w:tblLook w:val="0000" w:firstRow="0" w:lastRow="0" w:firstColumn="0" w:lastColumn="0" w:noHBand="0" w:noVBand="0"/>
      </w:tblPr>
      <w:tblGrid>
        <w:gridCol w:w="2466"/>
        <w:gridCol w:w="1260"/>
        <w:gridCol w:w="1259"/>
        <w:gridCol w:w="1259"/>
        <w:gridCol w:w="1259"/>
        <w:gridCol w:w="1259"/>
        <w:gridCol w:w="1249"/>
      </w:tblGrid>
      <w:tr w:rsidR="009702B0" w:rsidRPr="005E2BC3" w14:paraId="57C437EF" w14:textId="77777777" w:rsidTr="00AA50E7">
        <w:trPr>
          <w:trHeight w:hRule="exact" w:val="571"/>
          <w:jc w:val="center"/>
        </w:trPr>
        <w:tc>
          <w:tcPr>
            <w:tcW w:w="1231" w:type="pct"/>
            <w:vAlign w:val="center"/>
          </w:tcPr>
          <w:p w14:paraId="4B96054B" w14:textId="77777777" w:rsidR="009702B0" w:rsidRPr="00166751" w:rsidRDefault="009702B0" w:rsidP="009702B0">
            <w:pPr>
              <w:tabs>
                <w:tab w:val="right" w:pos="1202"/>
              </w:tabs>
              <w:spacing w:after="0" w:line="240" w:lineRule="atLeas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Group</w:t>
            </w:r>
          </w:p>
          <w:p w14:paraId="5555EB3B" w14:textId="61792C36" w:rsidR="009702B0" w:rsidRPr="00166751" w:rsidRDefault="00B81905" w:rsidP="009702B0">
            <w:pPr>
              <w:tabs>
                <w:tab w:val="right" w:pos="1202"/>
              </w:tabs>
              <w:spacing w:after="0" w:line="240" w:lineRule="atLeast"/>
              <w:outlineLvl w:val="0"/>
              <w:rPr>
                <w:rFonts w:asciiTheme="minorHAnsi" w:eastAsia="Times New Roman" w:hAnsiTheme="minorHAnsi" w:cs="Arial"/>
                <w:b/>
                <w:sz w:val="18"/>
                <w:szCs w:val="18"/>
                <w:lang w:val="en-US"/>
              </w:rPr>
            </w:pPr>
            <w:r>
              <w:rPr>
                <w:rFonts w:asciiTheme="minorHAnsi" w:eastAsia="Times New Roman" w:hAnsiTheme="minorHAnsi" w:cs="Arial"/>
                <w:b/>
                <w:sz w:val="18"/>
                <w:szCs w:val="18"/>
                <w:lang w:val="en-US"/>
              </w:rPr>
              <w:t xml:space="preserve">Sep </w:t>
            </w:r>
            <w:r w:rsidR="000715DB">
              <w:rPr>
                <w:rFonts w:asciiTheme="minorHAnsi" w:eastAsia="Times New Roman" w:hAnsiTheme="minorHAnsi" w:cs="Arial"/>
                <w:b/>
                <w:sz w:val="18"/>
                <w:szCs w:val="18"/>
                <w:lang w:val="en-US"/>
              </w:rPr>
              <w:t>30</w:t>
            </w:r>
            <w:r w:rsidR="00BF2624" w:rsidRPr="00166751">
              <w:rPr>
                <w:rFonts w:asciiTheme="minorHAnsi" w:eastAsia="Times New Roman" w:hAnsiTheme="minorHAnsi" w:cs="Arial"/>
                <w:b/>
                <w:sz w:val="18"/>
                <w:szCs w:val="18"/>
                <w:lang w:val="en-US"/>
              </w:rPr>
              <w:t>, 2017</w:t>
            </w:r>
          </w:p>
        </w:tc>
        <w:tc>
          <w:tcPr>
            <w:tcW w:w="629" w:type="pct"/>
            <w:vAlign w:val="center"/>
          </w:tcPr>
          <w:p w14:paraId="5C2E203B"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Up to </w:t>
            </w:r>
          </w:p>
          <w:p w14:paraId="7097638D"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15 days</w:t>
            </w:r>
          </w:p>
        </w:tc>
        <w:tc>
          <w:tcPr>
            <w:tcW w:w="629" w:type="pct"/>
            <w:vAlign w:val="center"/>
          </w:tcPr>
          <w:p w14:paraId="7AD31C8B"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16 to 30 </w:t>
            </w:r>
          </w:p>
          <w:p w14:paraId="0FFAF84F"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days</w:t>
            </w:r>
          </w:p>
        </w:tc>
        <w:tc>
          <w:tcPr>
            <w:tcW w:w="629" w:type="pct"/>
            <w:vAlign w:val="center"/>
          </w:tcPr>
          <w:p w14:paraId="2A14B343"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31 to 60 </w:t>
            </w:r>
          </w:p>
          <w:p w14:paraId="772DCC88"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days</w:t>
            </w:r>
          </w:p>
        </w:tc>
        <w:tc>
          <w:tcPr>
            <w:tcW w:w="629" w:type="pct"/>
            <w:vAlign w:val="center"/>
          </w:tcPr>
          <w:p w14:paraId="330C6A47"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61 to 90 </w:t>
            </w:r>
          </w:p>
          <w:p w14:paraId="7E55FCC8"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days</w:t>
            </w:r>
          </w:p>
        </w:tc>
        <w:tc>
          <w:tcPr>
            <w:tcW w:w="629" w:type="pct"/>
            <w:vAlign w:val="center"/>
          </w:tcPr>
          <w:p w14:paraId="43CF8070"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Over </w:t>
            </w:r>
          </w:p>
          <w:p w14:paraId="0A7F253A"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90 days</w:t>
            </w:r>
          </w:p>
        </w:tc>
        <w:tc>
          <w:tcPr>
            <w:tcW w:w="625" w:type="pct"/>
            <w:vAlign w:val="center"/>
          </w:tcPr>
          <w:p w14:paraId="4AC3E20F" w14:textId="77777777" w:rsidR="009702B0" w:rsidRPr="00166751" w:rsidRDefault="009702B0" w:rsidP="009702B0">
            <w:pPr>
              <w:spacing w:after="0" w:line="240" w:lineRule="auto"/>
              <w:jc w:val="right"/>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Total </w:t>
            </w:r>
          </w:p>
        </w:tc>
      </w:tr>
      <w:tr w:rsidR="009702B0" w:rsidRPr="005E2BC3" w14:paraId="5CEF1D6D" w14:textId="77777777" w:rsidTr="00AA50E7">
        <w:trPr>
          <w:trHeight w:hRule="exact" w:val="340"/>
          <w:jc w:val="center"/>
        </w:trPr>
        <w:tc>
          <w:tcPr>
            <w:tcW w:w="1231" w:type="pct"/>
          </w:tcPr>
          <w:p w14:paraId="1DA2A78A" w14:textId="77777777" w:rsidR="009702B0" w:rsidRPr="00166751" w:rsidRDefault="009702B0" w:rsidP="009702B0">
            <w:pPr>
              <w:tabs>
                <w:tab w:val="right" w:pos="1202"/>
              </w:tabs>
              <w:spacing w:after="0" w:line="301" w:lineRule="exact"/>
              <w:outlineLvl w:val="0"/>
              <w:rPr>
                <w:rFonts w:asciiTheme="minorHAnsi" w:eastAsia="Times New Roman" w:hAnsiTheme="minorHAnsi" w:cs="Arial"/>
                <w:b/>
                <w:bCs/>
                <w:sz w:val="18"/>
                <w:szCs w:val="18"/>
                <w:lang w:val="hr-HR"/>
              </w:rPr>
            </w:pPr>
            <w:r w:rsidRPr="00166751">
              <w:rPr>
                <w:rFonts w:asciiTheme="minorHAnsi" w:eastAsia="Times New Roman" w:hAnsiTheme="minorHAnsi" w:cs="Arial"/>
                <w:b/>
                <w:bCs/>
                <w:sz w:val="18"/>
                <w:szCs w:val="18"/>
                <w:lang w:val="en-US"/>
              </w:rPr>
              <w:t xml:space="preserve">Assets </w:t>
            </w:r>
          </w:p>
        </w:tc>
        <w:tc>
          <w:tcPr>
            <w:tcW w:w="629" w:type="pct"/>
          </w:tcPr>
          <w:p w14:paraId="04021933" w14:textId="77777777"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629" w:type="pct"/>
          </w:tcPr>
          <w:p w14:paraId="5F8D789E" w14:textId="77777777"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629" w:type="pct"/>
          </w:tcPr>
          <w:p w14:paraId="51591CFD" w14:textId="77777777"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629" w:type="pct"/>
          </w:tcPr>
          <w:p w14:paraId="62B9FCB6" w14:textId="77777777"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629" w:type="pct"/>
          </w:tcPr>
          <w:p w14:paraId="1420B40D" w14:textId="77777777"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625" w:type="pct"/>
          </w:tcPr>
          <w:p w14:paraId="45A819B5" w14:textId="77777777"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r>
      <w:tr w:rsidR="00AA50E7" w:rsidRPr="005E2BC3" w14:paraId="74A97C98" w14:textId="77777777" w:rsidTr="006B318F">
        <w:trPr>
          <w:trHeight w:val="272"/>
          <w:jc w:val="center"/>
        </w:trPr>
        <w:tc>
          <w:tcPr>
            <w:tcW w:w="1231" w:type="pct"/>
            <w:vAlign w:val="bottom"/>
          </w:tcPr>
          <w:p w14:paraId="5C48D548" w14:textId="77777777" w:rsidR="00AA50E7" w:rsidRPr="00166751" w:rsidRDefault="00AA50E7" w:rsidP="00AA50E7">
            <w:pPr>
              <w:tabs>
                <w:tab w:val="right" w:pos="1202"/>
              </w:tabs>
              <w:spacing w:after="0" w:line="220" w:lineRule="exact"/>
              <w:outlineLvl w:val="0"/>
              <w:rPr>
                <w:rFonts w:asciiTheme="minorHAnsi" w:eastAsia="Times New Roman" w:hAnsiTheme="minorHAnsi" w:cs="Arial"/>
                <w:sz w:val="18"/>
                <w:szCs w:val="18"/>
                <w:lang w:val="hr-HR"/>
              </w:rPr>
            </w:pPr>
            <w:r w:rsidRPr="00166751">
              <w:rPr>
                <w:rFonts w:asciiTheme="minorHAnsi" w:eastAsia="Times New Roman" w:hAnsiTheme="minorHAnsi" w:cs="Arial"/>
                <w:sz w:val="18"/>
                <w:szCs w:val="18"/>
                <w:lang w:val="en-US"/>
              </w:rPr>
              <w:t xml:space="preserve">Loans to financial institutions </w:t>
            </w:r>
          </w:p>
        </w:tc>
        <w:tc>
          <w:tcPr>
            <w:tcW w:w="629" w:type="pct"/>
            <w:tcBorders>
              <w:top w:val="nil"/>
              <w:left w:val="nil"/>
              <w:bottom w:val="nil"/>
              <w:right w:val="nil"/>
            </w:tcBorders>
            <w:shd w:val="clear" w:color="auto" w:fill="auto"/>
            <w:vAlign w:val="bottom"/>
          </w:tcPr>
          <w:p w14:paraId="712B2091" w14:textId="1A9EEB6E" w:rsidR="00AA50E7" w:rsidRPr="00166751" w:rsidRDefault="00AA50E7" w:rsidP="00AA50E7">
            <w:pPr>
              <w:tabs>
                <w:tab w:val="right" w:pos="1202"/>
              </w:tabs>
              <w:spacing w:after="0" w:line="301" w:lineRule="exact"/>
              <w:jc w:val="right"/>
              <w:outlineLvl w:val="0"/>
              <w:rPr>
                <w:rFonts w:eastAsia="Times New Roman" w:cs="Arial"/>
                <w:snapToGrid w:val="0"/>
                <w:sz w:val="18"/>
                <w:szCs w:val="18"/>
              </w:rPr>
            </w:pPr>
            <w:r w:rsidRPr="00310300">
              <w:rPr>
                <w:rFonts w:cs="Arial"/>
                <w:sz w:val="18"/>
                <w:szCs w:val="18"/>
              </w:rPr>
              <w:t>210</w:t>
            </w:r>
            <w:r>
              <w:rPr>
                <w:rFonts w:cs="Arial"/>
                <w:sz w:val="18"/>
                <w:szCs w:val="18"/>
              </w:rPr>
              <w:t>,</w:t>
            </w:r>
            <w:r w:rsidRPr="00310300">
              <w:rPr>
                <w:rFonts w:cs="Arial"/>
                <w:sz w:val="18"/>
                <w:szCs w:val="18"/>
              </w:rPr>
              <w:t>002</w:t>
            </w:r>
          </w:p>
        </w:tc>
        <w:tc>
          <w:tcPr>
            <w:tcW w:w="629" w:type="pct"/>
            <w:tcBorders>
              <w:top w:val="nil"/>
              <w:left w:val="nil"/>
              <w:bottom w:val="nil"/>
              <w:right w:val="nil"/>
            </w:tcBorders>
            <w:shd w:val="clear" w:color="auto" w:fill="auto"/>
            <w:vAlign w:val="bottom"/>
          </w:tcPr>
          <w:p w14:paraId="1E8D4CB8" w14:textId="5DBA9DCC" w:rsidR="00AA50E7" w:rsidRPr="00166751" w:rsidRDefault="00AA50E7" w:rsidP="00AA50E7">
            <w:pPr>
              <w:tabs>
                <w:tab w:val="right" w:pos="1202"/>
              </w:tabs>
              <w:spacing w:after="0" w:line="301" w:lineRule="exact"/>
              <w:jc w:val="right"/>
              <w:outlineLvl w:val="0"/>
              <w:rPr>
                <w:rFonts w:eastAsia="Times New Roman" w:cs="Arial"/>
                <w:snapToGrid w:val="0"/>
                <w:sz w:val="18"/>
                <w:szCs w:val="18"/>
              </w:rPr>
            </w:pPr>
            <w:r w:rsidRPr="00310300">
              <w:rPr>
                <w:rFonts w:cs="Arial"/>
                <w:sz w:val="18"/>
                <w:szCs w:val="18"/>
              </w:rPr>
              <w:t>55</w:t>
            </w:r>
            <w:r>
              <w:rPr>
                <w:rFonts w:cs="Arial"/>
                <w:sz w:val="18"/>
                <w:szCs w:val="18"/>
              </w:rPr>
              <w:t>,</w:t>
            </w:r>
            <w:r w:rsidRPr="00310300">
              <w:rPr>
                <w:rFonts w:cs="Arial"/>
                <w:sz w:val="18"/>
                <w:szCs w:val="18"/>
              </w:rPr>
              <w:t>790</w:t>
            </w:r>
          </w:p>
        </w:tc>
        <w:tc>
          <w:tcPr>
            <w:tcW w:w="629" w:type="pct"/>
            <w:tcBorders>
              <w:top w:val="nil"/>
              <w:left w:val="nil"/>
              <w:bottom w:val="nil"/>
              <w:right w:val="nil"/>
            </w:tcBorders>
            <w:shd w:val="clear" w:color="auto" w:fill="auto"/>
            <w:vAlign w:val="bottom"/>
          </w:tcPr>
          <w:p w14:paraId="2DC4F401" w14:textId="3485BD5B" w:rsidR="00AA50E7" w:rsidRPr="00166751" w:rsidRDefault="00AA50E7" w:rsidP="00AA50E7">
            <w:pPr>
              <w:tabs>
                <w:tab w:val="right" w:pos="1202"/>
              </w:tabs>
              <w:spacing w:after="0" w:line="301" w:lineRule="exact"/>
              <w:jc w:val="right"/>
              <w:outlineLvl w:val="0"/>
              <w:rPr>
                <w:rFonts w:eastAsia="Times New Roman" w:cs="Arial"/>
                <w:snapToGrid w:val="0"/>
                <w:sz w:val="18"/>
                <w:szCs w:val="18"/>
              </w:rPr>
            </w:pPr>
            <w:r w:rsidRPr="00310300">
              <w:rPr>
                <w:rFonts w:cs="Arial"/>
                <w:sz w:val="18"/>
                <w:szCs w:val="18"/>
              </w:rPr>
              <w:t>23</w:t>
            </w:r>
            <w:r>
              <w:rPr>
                <w:rFonts w:cs="Arial"/>
                <w:sz w:val="18"/>
                <w:szCs w:val="18"/>
              </w:rPr>
              <w:t>,</w:t>
            </w:r>
            <w:r w:rsidRPr="00310300">
              <w:rPr>
                <w:rFonts w:cs="Arial"/>
                <w:sz w:val="18"/>
                <w:szCs w:val="18"/>
              </w:rPr>
              <w:t>657</w:t>
            </w:r>
          </w:p>
        </w:tc>
        <w:tc>
          <w:tcPr>
            <w:tcW w:w="629" w:type="pct"/>
            <w:tcBorders>
              <w:top w:val="nil"/>
              <w:left w:val="nil"/>
              <w:bottom w:val="nil"/>
              <w:right w:val="nil"/>
            </w:tcBorders>
            <w:shd w:val="clear" w:color="auto" w:fill="auto"/>
            <w:vAlign w:val="bottom"/>
          </w:tcPr>
          <w:p w14:paraId="77D196F0" w14:textId="09BE1EDC" w:rsidR="00AA50E7" w:rsidRPr="00166751" w:rsidRDefault="00AA50E7" w:rsidP="00AA50E7">
            <w:pPr>
              <w:tabs>
                <w:tab w:val="right" w:pos="1202"/>
              </w:tabs>
              <w:spacing w:after="0" w:line="301" w:lineRule="exact"/>
              <w:jc w:val="right"/>
              <w:outlineLvl w:val="0"/>
              <w:rPr>
                <w:rFonts w:eastAsia="Times New Roman" w:cs="Arial"/>
                <w:snapToGrid w:val="0"/>
                <w:sz w:val="18"/>
                <w:szCs w:val="18"/>
              </w:rPr>
            </w:pPr>
            <w:r w:rsidRPr="00310300">
              <w:rPr>
                <w:rFonts w:cs="Arial"/>
                <w:sz w:val="18"/>
                <w:szCs w:val="18"/>
              </w:rPr>
              <w:t>801</w:t>
            </w:r>
          </w:p>
        </w:tc>
        <w:tc>
          <w:tcPr>
            <w:tcW w:w="629" w:type="pct"/>
            <w:tcBorders>
              <w:top w:val="nil"/>
              <w:left w:val="nil"/>
              <w:bottom w:val="nil"/>
              <w:right w:val="nil"/>
            </w:tcBorders>
            <w:shd w:val="clear" w:color="auto" w:fill="auto"/>
            <w:vAlign w:val="bottom"/>
          </w:tcPr>
          <w:p w14:paraId="3E986774" w14:textId="630C3608" w:rsidR="00AA50E7" w:rsidRPr="00166751" w:rsidRDefault="00AA50E7" w:rsidP="00AA50E7">
            <w:pPr>
              <w:tabs>
                <w:tab w:val="right" w:pos="1202"/>
              </w:tabs>
              <w:spacing w:after="0" w:line="301" w:lineRule="exact"/>
              <w:jc w:val="right"/>
              <w:outlineLvl w:val="0"/>
              <w:rPr>
                <w:rFonts w:eastAsia="Times New Roman" w:cs="Arial"/>
                <w:snapToGrid w:val="0"/>
                <w:sz w:val="18"/>
                <w:szCs w:val="18"/>
              </w:rPr>
            </w:pPr>
            <w:r>
              <w:rPr>
                <w:rFonts w:cs="Arial"/>
                <w:sz w:val="18"/>
                <w:szCs w:val="18"/>
              </w:rPr>
              <w:t>-</w:t>
            </w:r>
          </w:p>
        </w:tc>
        <w:tc>
          <w:tcPr>
            <w:tcW w:w="625" w:type="pct"/>
            <w:tcBorders>
              <w:top w:val="nil"/>
              <w:left w:val="nil"/>
              <w:bottom w:val="nil"/>
              <w:right w:val="nil"/>
            </w:tcBorders>
            <w:shd w:val="clear" w:color="auto" w:fill="auto"/>
            <w:vAlign w:val="bottom"/>
          </w:tcPr>
          <w:p w14:paraId="77C5A720" w14:textId="650F0D30" w:rsidR="00AA50E7" w:rsidRPr="00166751" w:rsidRDefault="00AA50E7" w:rsidP="00AA50E7">
            <w:pPr>
              <w:tabs>
                <w:tab w:val="right" w:pos="1202"/>
              </w:tabs>
              <w:spacing w:after="0" w:line="301" w:lineRule="exact"/>
              <w:jc w:val="right"/>
              <w:outlineLvl w:val="0"/>
              <w:rPr>
                <w:rFonts w:eastAsia="Times New Roman" w:cs="Arial"/>
                <w:snapToGrid w:val="0"/>
                <w:sz w:val="18"/>
                <w:szCs w:val="18"/>
              </w:rPr>
            </w:pPr>
            <w:r w:rsidRPr="00310300">
              <w:rPr>
                <w:rFonts w:cs="Arial"/>
                <w:sz w:val="18"/>
                <w:szCs w:val="18"/>
              </w:rPr>
              <w:t>290</w:t>
            </w:r>
            <w:r>
              <w:rPr>
                <w:rFonts w:cs="Arial"/>
                <w:sz w:val="18"/>
                <w:szCs w:val="18"/>
              </w:rPr>
              <w:t>,</w:t>
            </w:r>
            <w:r w:rsidRPr="00310300">
              <w:rPr>
                <w:rFonts w:cs="Arial"/>
                <w:sz w:val="18"/>
                <w:szCs w:val="18"/>
              </w:rPr>
              <w:t>250</w:t>
            </w:r>
          </w:p>
        </w:tc>
      </w:tr>
      <w:tr w:rsidR="00AA50E7" w:rsidRPr="005E2BC3" w14:paraId="081F6CAB" w14:textId="77777777" w:rsidTr="006B318F">
        <w:trPr>
          <w:trHeight w:val="227"/>
          <w:jc w:val="center"/>
        </w:trPr>
        <w:tc>
          <w:tcPr>
            <w:tcW w:w="1231" w:type="pct"/>
            <w:vAlign w:val="bottom"/>
          </w:tcPr>
          <w:p w14:paraId="251DCABB" w14:textId="77777777" w:rsidR="00AA50E7" w:rsidRPr="00166751" w:rsidRDefault="00AA50E7" w:rsidP="00AA50E7">
            <w:pPr>
              <w:tabs>
                <w:tab w:val="right" w:pos="1202"/>
              </w:tabs>
              <w:spacing w:after="0" w:line="220" w:lineRule="exact"/>
              <w:outlineLvl w:val="0"/>
              <w:rPr>
                <w:rFonts w:asciiTheme="minorHAnsi" w:eastAsia="Times New Roman" w:hAnsiTheme="minorHAnsi" w:cs="Arial"/>
                <w:sz w:val="18"/>
                <w:szCs w:val="18"/>
                <w:lang w:val="hr-HR"/>
              </w:rPr>
            </w:pPr>
            <w:r w:rsidRPr="00166751">
              <w:rPr>
                <w:rFonts w:asciiTheme="minorHAnsi" w:eastAsia="Times New Roman" w:hAnsiTheme="minorHAnsi" w:cs="Arial"/>
                <w:sz w:val="18"/>
                <w:szCs w:val="18"/>
                <w:lang w:val="en-US"/>
              </w:rPr>
              <w:t xml:space="preserve">Loans to other customers </w:t>
            </w:r>
          </w:p>
        </w:tc>
        <w:tc>
          <w:tcPr>
            <w:tcW w:w="629" w:type="pct"/>
            <w:tcBorders>
              <w:top w:val="nil"/>
              <w:left w:val="nil"/>
              <w:bottom w:val="nil"/>
              <w:right w:val="nil"/>
            </w:tcBorders>
            <w:shd w:val="clear" w:color="auto" w:fill="auto"/>
            <w:vAlign w:val="bottom"/>
          </w:tcPr>
          <w:p w14:paraId="02F736FD" w14:textId="6F24514A" w:rsidR="00AA50E7" w:rsidRPr="00166751" w:rsidRDefault="00AA50E7" w:rsidP="00AA50E7">
            <w:pPr>
              <w:tabs>
                <w:tab w:val="right" w:pos="1202"/>
              </w:tabs>
              <w:spacing w:after="0" w:line="301" w:lineRule="exact"/>
              <w:jc w:val="right"/>
              <w:outlineLvl w:val="0"/>
              <w:rPr>
                <w:rFonts w:eastAsia="Times New Roman" w:cs="Arial"/>
                <w:spacing w:val="-2"/>
                <w:sz w:val="18"/>
                <w:szCs w:val="18"/>
              </w:rPr>
            </w:pPr>
            <w:r w:rsidRPr="00310300">
              <w:rPr>
                <w:rFonts w:cs="Arial"/>
                <w:sz w:val="18"/>
                <w:szCs w:val="18"/>
              </w:rPr>
              <w:t>70</w:t>
            </w:r>
            <w:r>
              <w:rPr>
                <w:rFonts w:cs="Arial"/>
                <w:sz w:val="18"/>
                <w:szCs w:val="18"/>
              </w:rPr>
              <w:t>,</w:t>
            </w:r>
            <w:r w:rsidRPr="00310300">
              <w:rPr>
                <w:rFonts w:cs="Arial"/>
                <w:sz w:val="18"/>
                <w:szCs w:val="18"/>
              </w:rPr>
              <w:t>863</w:t>
            </w:r>
          </w:p>
        </w:tc>
        <w:tc>
          <w:tcPr>
            <w:tcW w:w="629" w:type="pct"/>
            <w:tcBorders>
              <w:top w:val="nil"/>
              <w:left w:val="nil"/>
              <w:bottom w:val="nil"/>
              <w:right w:val="nil"/>
            </w:tcBorders>
            <w:shd w:val="clear" w:color="auto" w:fill="auto"/>
            <w:vAlign w:val="bottom"/>
          </w:tcPr>
          <w:p w14:paraId="61052D39" w14:textId="0BB27754" w:rsidR="00AA50E7" w:rsidRPr="00166751" w:rsidRDefault="00AA50E7" w:rsidP="00AA50E7">
            <w:pPr>
              <w:tabs>
                <w:tab w:val="right" w:pos="1202"/>
              </w:tabs>
              <w:spacing w:after="0" w:line="301" w:lineRule="exact"/>
              <w:jc w:val="right"/>
              <w:outlineLvl w:val="0"/>
              <w:rPr>
                <w:rFonts w:eastAsia="Times New Roman" w:cs="Arial"/>
                <w:spacing w:val="-2"/>
                <w:sz w:val="18"/>
                <w:szCs w:val="18"/>
              </w:rPr>
            </w:pPr>
            <w:r w:rsidRPr="00310300">
              <w:rPr>
                <w:rFonts w:cs="Arial"/>
                <w:sz w:val="18"/>
                <w:szCs w:val="18"/>
              </w:rPr>
              <w:t>2</w:t>
            </w:r>
            <w:r>
              <w:rPr>
                <w:rFonts w:cs="Arial"/>
                <w:sz w:val="18"/>
                <w:szCs w:val="18"/>
              </w:rPr>
              <w:t>,</w:t>
            </w:r>
            <w:r w:rsidRPr="00310300">
              <w:rPr>
                <w:rFonts w:cs="Arial"/>
                <w:sz w:val="18"/>
                <w:szCs w:val="18"/>
              </w:rPr>
              <w:t>634</w:t>
            </w:r>
          </w:p>
        </w:tc>
        <w:tc>
          <w:tcPr>
            <w:tcW w:w="629" w:type="pct"/>
            <w:tcBorders>
              <w:top w:val="nil"/>
              <w:left w:val="nil"/>
              <w:bottom w:val="nil"/>
              <w:right w:val="nil"/>
            </w:tcBorders>
            <w:shd w:val="clear" w:color="auto" w:fill="auto"/>
            <w:vAlign w:val="bottom"/>
          </w:tcPr>
          <w:p w14:paraId="1EA4CF15" w14:textId="58988D88" w:rsidR="00AA50E7" w:rsidRPr="00166751" w:rsidRDefault="00AA50E7" w:rsidP="00AA50E7">
            <w:pPr>
              <w:tabs>
                <w:tab w:val="right" w:pos="1202"/>
              </w:tabs>
              <w:spacing w:after="0" w:line="301" w:lineRule="exact"/>
              <w:jc w:val="right"/>
              <w:outlineLvl w:val="0"/>
              <w:rPr>
                <w:rFonts w:eastAsia="Times New Roman" w:cs="Arial"/>
                <w:spacing w:val="-2"/>
                <w:sz w:val="18"/>
                <w:szCs w:val="18"/>
              </w:rPr>
            </w:pPr>
            <w:r w:rsidRPr="00310300">
              <w:rPr>
                <w:rFonts w:cs="Arial"/>
                <w:sz w:val="18"/>
                <w:szCs w:val="18"/>
              </w:rPr>
              <w:t>21</w:t>
            </w:r>
          </w:p>
        </w:tc>
        <w:tc>
          <w:tcPr>
            <w:tcW w:w="629" w:type="pct"/>
            <w:tcBorders>
              <w:top w:val="nil"/>
              <w:left w:val="nil"/>
              <w:bottom w:val="nil"/>
              <w:right w:val="nil"/>
            </w:tcBorders>
            <w:shd w:val="clear" w:color="auto" w:fill="auto"/>
            <w:vAlign w:val="bottom"/>
          </w:tcPr>
          <w:p w14:paraId="33A92E46" w14:textId="3663FBC1" w:rsidR="00AA50E7" w:rsidRPr="00166751" w:rsidRDefault="00AA50E7" w:rsidP="00AA50E7">
            <w:pPr>
              <w:tabs>
                <w:tab w:val="right" w:pos="1202"/>
              </w:tabs>
              <w:spacing w:after="0" w:line="301" w:lineRule="exact"/>
              <w:jc w:val="right"/>
              <w:outlineLvl w:val="0"/>
              <w:rPr>
                <w:rFonts w:eastAsia="Times New Roman" w:cs="Arial"/>
                <w:spacing w:val="-2"/>
                <w:sz w:val="18"/>
                <w:szCs w:val="18"/>
              </w:rPr>
            </w:pPr>
            <w:r w:rsidRPr="00310300">
              <w:rPr>
                <w:rFonts w:cs="Arial"/>
                <w:sz w:val="18"/>
                <w:szCs w:val="18"/>
              </w:rPr>
              <w:t>1</w:t>
            </w:r>
            <w:r>
              <w:rPr>
                <w:rFonts w:cs="Arial"/>
                <w:sz w:val="18"/>
                <w:szCs w:val="18"/>
              </w:rPr>
              <w:t>,</w:t>
            </w:r>
            <w:r w:rsidRPr="00310300">
              <w:rPr>
                <w:rFonts w:cs="Arial"/>
                <w:sz w:val="18"/>
                <w:szCs w:val="18"/>
              </w:rPr>
              <w:t>612</w:t>
            </w:r>
          </w:p>
        </w:tc>
        <w:tc>
          <w:tcPr>
            <w:tcW w:w="629" w:type="pct"/>
            <w:tcBorders>
              <w:top w:val="nil"/>
              <w:left w:val="nil"/>
              <w:bottom w:val="nil"/>
              <w:right w:val="nil"/>
            </w:tcBorders>
            <w:shd w:val="clear" w:color="auto" w:fill="auto"/>
            <w:vAlign w:val="bottom"/>
          </w:tcPr>
          <w:p w14:paraId="7C60FE81" w14:textId="114646DD" w:rsidR="00AA50E7" w:rsidRPr="00166751" w:rsidRDefault="00AA50E7" w:rsidP="00AA50E7">
            <w:pPr>
              <w:tabs>
                <w:tab w:val="right" w:pos="1202"/>
              </w:tabs>
              <w:spacing w:after="0" w:line="301" w:lineRule="exact"/>
              <w:jc w:val="right"/>
              <w:outlineLvl w:val="0"/>
              <w:rPr>
                <w:rFonts w:eastAsia="Times New Roman" w:cs="Arial"/>
                <w:spacing w:val="-2"/>
                <w:sz w:val="18"/>
                <w:szCs w:val="18"/>
              </w:rPr>
            </w:pPr>
            <w:r w:rsidRPr="00310300">
              <w:rPr>
                <w:rFonts w:cs="Arial"/>
                <w:sz w:val="18"/>
                <w:szCs w:val="18"/>
              </w:rPr>
              <w:t>101</w:t>
            </w:r>
            <w:r>
              <w:rPr>
                <w:rFonts w:cs="Arial"/>
                <w:sz w:val="18"/>
                <w:szCs w:val="18"/>
              </w:rPr>
              <w:t>,</w:t>
            </w:r>
            <w:r w:rsidRPr="00310300">
              <w:rPr>
                <w:rFonts w:cs="Arial"/>
                <w:sz w:val="18"/>
                <w:szCs w:val="18"/>
              </w:rPr>
              <w:t>386</w:t>
            </w:r>
          </w:p>
        </w:tc>
        <w:tc>
          <w:tcPr>
            <w:tcW w:w="625" w:type="pct"/>
            <w:tcBorders>
              <w:top w:val="nil"/>
              <w:left w:val="nil"/>
              <w:bottom w:val="nil"/>
              <w:right w:val="nil"/>
            </w:tcBorders>
            <w:shd w:val="clear" w:color="auto" w:fill="auto"/>
            <w:vAlign w:val="bottom"/>
          </w:tcPr>
          <w:p w14:paraId="30109B37" w14:textId="75EDE30C" w:rsidR="00AA50E7" w:rsidRPr="00166751" w:rsidRDefault="00AA50E7" w:rsidP="00AA50E7">
            <w:pPr>
              <w:tabs>
                <w:tab w:val="right" w:pos="1202"/>
              </w:tabs>
              <w:spacing w:after="0" w:line="301" w:lineRule="exact"/>
              <w:jc w:val="right"/>
              <w:outlineLvl w:val="0"/>
              <w:rPr>
                <w:rFonts w:eastAsia="Times New Roman" w:cs="Arial"/>
                <w:spacing w:val="-2"/>
                <w:sz w:val="18"/>
                <w:szCs w:val="18"/>
              </w:rPr>
            </w:pPr>
            <w:r w:rsidRPr="00310300">
              <w:rPr>
                <w:rFonts w:cs="Arial"/>
                <w:sz w:val="18"/>
                <w:szCs w:val="18"/>
              </w:rPr>
              <w:t>176</w:t>
            </w:r>
            <w:r>
              <w:rPr>
                <w:rFonts w:cs="Arial"/>
                <w:sz w:val="18"/>
                <w:szCs w:val="18"/>
              </w:rPr>
              <w:t>,</w:t>
            </w:r>
            <w:r w:rsidRPr="00310300">
              <w:rPr>
                <w:rFonts w:cs="Arial"/>
                <w:sz w:val="18"/>
                <w:szCs w:val="18"/>
              </w:rPr>
              <w:t>516</w:t>
            </w:r>
          </w:p>
        </w:tc>
      </w:tr>
      <w:tr w:rsidR="00AA50E7" w:rsidRPr="005E2BC3" w14:paraId="21DBA2BA" w14:textId="77777777" w:rsidTr="006B318F">
        <w:trPr>
          <w:trHeight w:val="261"/>
          <w:jc w:val="center"/>
        </w:trPr>
        <w:tc>
          <w:tcPr>
            <w:tcW w:w="1231" w:type="pct"/>
            <w:vAlign w:val="bottom"/>
          </w:tcPr>
          <w:p w14:paraId="38988DE0" w14:textId="77777777" w:rsidR="00AA50E7" w:rsidRPr="00166751" w:rsidRDefault="00AA50E7" w:rsidP="00AA50E7">
            <w:pPr>
              <w:tabs>
                <w:tab w:val="right" w:pos="1202"/>
              </w:tabs>
              <w:spacing w:after="0" w:line="220" w:lineRule="exact"/>
              <w:outlineLvl w:val="0"/>
              <w:rPr>
                <w:rFonts w:asciiTheme="minorHAnsi" w:eastAsia="Times New Roman" w:hAnsiTheme="minorHAnsi" w:cs="Arial"/>
                <w:sz w:val="18"/>
                <w:szCs w:val="18"/>
                <w:lang w:val="hr-HR"/>
              </w:rPr>
            </w:pPr>
            <w:r w:rsidRPr="00166751">
              <w:rPr>
                <w:rFonts w:asciiTheme="minorHAnsi" w:eastAsia="Times New Roman" w:hAnsiTheme="minorHAnsi" w:cs="Arial"/>
                <w:sz w:val="18"/>
                <w:szCs w:val="18"/>
                <w:lang w:val="en-US"/>
              </w:rPr>
              <w:t xml:space="preserve">Other assets </w:t>
            </w:r>
          </w:p>
        </w:tc>
        <w:tc>
          <w:tcPr>
            <w:tcW w:w="629" w:type="pct"/>
            <w:tcBorders>
              <w:top w:val="nil"/>
              <w:left w:val="nil"/>
              <w:bottom w:val="single" w:sz="8" w:space="0" w:color="auto"/>
              <w:right w:val="nil"/>
            </w:tcBorders>
            <w:shd w:val="clear" w:color="auto" w:fill="auto"/>
            <w:vAlign w:val="bottom"/>
          </w:tcPr>
          <w:p w14:paraId="4F87953A" w14:textId="422C40B7" w:rsidR="00AA50E7" w:rsidRPr="00166751" w:rsidRDefault="00AA50E7" w:rsidP="00AA50E7">
            <w:pPr>
              <w:tabs>
                <w:tab w:val="right" w:pos="1202"/>
              </w:tabs>
              <w:spacing w:after="0" w:line="301" w:lineRule="exact"/>
              <w:jc w:val="right"/>
              <w:outlineLvl w:val="0"/>
              <w:rPr>
                <w:rFonts w:eastAsia="Times New Roman" w:cs="Arial"/>
                <w:spacing w:val="-2"/>
                <w:sz w:val="18"/>
                <w:szCs w:val="18"/>
              </w:rPr>
            </w:pPr>
            <w:r w:rsidRPr="00310300">
              <w:rPr>
                <w:rFonts w:cs="Arial"/>
                <w:sz w:val="18"/>
                <w:szCs w:val="18"/>
              </w:rPr>
              <w:t>411</w:t>
            </w:r>
          </w:p>
        </w:tc>
        <w:tc>
          <w:tcPr>
            <w:tcW w:w="629" w:type="pct"/>
            <w:tcBorders>
              <w:top w:val="nil"/>
              <w:left w:val="nil"/>
              <w:bottom w:val="single" w:sz="8" w:space="0" w:color="auto"/>
              <w:right w:val="nil"/>
            </w:tcBorders>
            <w:shd w:val="clear" w:color="auto" w:fill="auto"/>
            <w:vAlign w:val="bottom"/>
          </w:tcPr>
          <w:p w14:paraId="1F74BD85" w14:textId="36BB81F9" w:rsidR="00AA50E7" w:rsidRPr="00166751" w:rsidRDefault="00AA50E7" w:rsidP="00AA50E7">
            <w:pPr>
              <w:tabs>
                <w:tab w:val="right" w:pos="1202"/>
              </w:tabs>
              <w:spacing w:after="0" w:line="301" w:lineRule="exact"/>
              <w:jc w:val="right"/>
              <w:outlineLvl w:val="0"/>
              <w:rPr>
                <w:rFonts w:eastAsia="Times New Roman" w:cs="Arial"/>
                <w:spacing w:val="-2"/>
                <w:sz w:val="18"/>
                <w:szCs w:val="18"/>
              </w:rPr>
            </w:pPr>
            <w:r w:rsidRPr="00310300">
              <w:rPr>
                <w:rFonts w:cs="Arial"/>
                <w:sz w:val="18"/>
                <w:szCs w:val="18"/>
              </w:rPr>
              <w:t>38</w:t>
            </w:r>
          </w:p>
        </w:tc>
        <w:tc>
          <w:tcPr>
            <w:tcW w:w="629" w:type="pct"/>
            <w:tcBorders>
              <w:top w:val="nil"/>
              <w:left w:val="nil"/>
              <w:bottom w:val="single" w:sz="8" w:space="0" w:color="auto"/>
              <w:right w:val="nil"/>
            </w:tcBorders>
            <w:shd w:val="clear" w:color="auto" w:fill="auto"/>
            <w:vAlign w:val="bottom"/>
          </w:tcPr>
          <w:p w14:paraId="5C975CEC" w14:textId="527610F6" w:rsidR="00AA50E7" w:rsidRPr="00166751" w:rsidRDefault="00AA50E7" w:rsidP="00AA50E7">
            <w:pPr>
              <w:tabs>
                <w:tab w:val="right" w:pos="1202"/>
              </w:tabs>
              <w:spacing w:after="0" w:line="301" w:lineRule="exact"/>
              <w:jc w:val="right"/>
              <w:outlineLvl w:val="0"/>
              <w:rPr>
                <w:rFonts w:eastAsia="Times New Roman" w:cs="Arial"/>
                <w:spacing w:val="-2"/>
                <w:sz w:val="18"/>
                <w:szCs w:val="18"/>
              </w:rPr>
            </w:pPr>
            <w:r w:rsidRPr="00310300">
              <w:rPr>
                <w:rFonts w:cs="Arial"/>
                <w:sz w:val="18"/>
                <w:szCs w:val="18"/>
              </w:rPr>
              <w:t>38</w:t>
            </w:r>
          </w:p>
        </w:tc>
        <w:tc>
          <w:tcPr>
            <w:tcW w:w="629" w:type="pct"/>
            <w:tcBorders>
              <w:top w:val="nil"/>
              <w:left w:val="nil"/>
              <w:bottom w:val="single" w:sz="8" w:space="0" w:color="auto"/>
              <w:right w:val="nil"/>
            </w:tcBorders>
            <w:shd w:val="clear" w:color="auto" w:fill="auto"/>
            <w:vAlign w:val="bottom"/>
          </w:tcPr>
          <w:p w14:paraId="35D4C01F" w14:textId="16758F9A" w:rsidR="00AA50E7" w:rsidRPr="00166751" w:rsidRDefault="00AA50E7" w:rsidP="00AA50E7">
            <w:pPr>
              <w:tabs>
                <w:tab w:val="right" w:pos="1202"/>
              </w:tabs>
              <w:spacing w:after="0" w:line="301" w:lineRule="exact"/>
              <w:jc w:val="right"/>
              <w:outlineLvl w:val="0"/>
              <w:rPr>
                <w:rFonts w:eastAsia="Times New Roman" w:cs="Arial"/>
                <w:spacing w:val="-2"/>
                <w:sz w:val="18"/>
                <w:szCs w:val="18"/>
              </w:rPr>
            </w:pPr>
            <w:r w:rsidRPr="00310300">
              <w:rPr>
                <w:rFonts w:cs="Arial"/>
                <w:sz w:val="18"/>
                <w:szCs w:val="18"/>
              </w:rPr>
              <w:t>252</w:t>
            </w:r>
          </w:p>
        </w:tc>
        <w:tc>
          <w:tcPr>
            <w:tcW w:w="629" w:type="pct"/>
            <w:tcBorders>
              <w:top w:val="nil"/>
              <w:left w:val="nil"/>
              <w:bottom w:val="single" w:sz="8" w:space="0" w:color="auto"/>
              <w:right w:val="nil"/>
            </w:tcBorders>
            <w:shd w:val="clear" w:color="auto" w:fill="auto"/>
            <w:vAlign w:val="bottom"/>
          </w:tcPr>
          <w:p w14:paraId="3DDB3ECD" w14:textId="3712BF71" w:rsidR="00AA50E7" w:rsidRPr="00166751" w:rsidRDefault="00AA50E7" w:rsidP="00AA50E7">
            <w:pPr>
              <w:tabs>
                <w:tab w:val="right" w:pos="1202"/>
              </w:tabs>
              <w:spacing w:after="0" w:line="301" w:lineRule="exact"/>
              <w:jc w:val="right"/>
              <w:outlineLvl w:val="0"/>
              <w:rPr>
                <w:rFonts w:eastAsia="Times New Roman" w:cs="Arial"/>
                <w:spacing w:val="-2"/>
                <w:sz w:val="18"/>
                <w:szCs w:val="18"/>
              </w:rPr>
            </w:pPr>
            <w:r w:rsidRPr="00310300">
              <w:rPr>
                <w:rFonts w:cs="Arial"/>
                <w:sz w:val="18"/>
                <w:szCs w:val="18"/>
              </w:rPr>
              <w:t>412</w:t>
            </w:r>
          </w:p>
        </w:tc>
        <w:tc>
          <w:tcPr>
            <w:tcW w:w="625" w:type="pct"/>
            <w:tcBorders>
              <w:top w:val="nil"/>
              <w:left w:val="nil"/>
              <w:bottom w:val="single" w:sz="8" w:space="0" w:color="auto"/>
              <w:right w:val="nil"/>
            </w:tcBorders>
            <w:shd w:val="clear" w:color="auto" w:fill="auto"/>
            <w:vAlign w:val="bottom"/>
          </w:tcPr>
          <w:p w14:paraId="1F051AA3" w14:textId="65472A3D" w:rsidR="00AA50E7" w:rsidRPr="00166751" w:rsidRDefault="00AA50E7" w:rsidP="00AA50E7">
            <w:pPr>
              <w:tabs>
                <w:tab w:val="right" w:pos="1202"/>
              </w:tabs>
              <w:spacing w:after="0" w:line="301" w:lineRule="exact"/>
              <w:jc w:val="right"/>
              <w:outlineLvl w:val="0"/>
              <w:rPr>
                <w:rFonts w:eastAsia="Times New Roman" w:cs="Arial"/>
                <w:spacing w:val="-2"/>
                <w:sz w:val="18"/>
                <w:szCs w:val="18"/>
              </w:rPr>
            </w:pPr>
            <w:r w:rsidRPr="00310300">
              <w:rPr>
                <w:rFonts w:cs="Arial"/>
                <w:sz w:val="18"/>
                <w:szCs w:val="18"/>
              </w:rPr>
              <w:t>1</w:t>
            </w:r>
            <w:r>
              <w:rPr>
                <w:rFonts w:cs="Arial"/>
                <w:sz w:val="18"/>
                <w:szCs w:val="18"/>
              </w:rPr>
              <w:t>,</w:t>
            </w:r>
            <w:r w:rsidRPr="00310300">
              <w:rPr>
                <w:rFonts w:cs="Arial"/>
                <w:sz w:val="18"/>
                <w:szCs w:val="18"/>
              </w:rPr>
              <w:t>151</w:t>
            </w:r>
          </w:p>
        </w:tc>
      </w:tr>
      <w:tr w:rsidR="00A94F0C" w:rsidRPr="005E2BC3" w14:paraId="2A4126A6" w14:textId="77777777" w:rsidTr="00AA50E7">
        <w:trPr>
          <w:trHeight w:val="90"/>
          <w:jc w:val="center"/>
        </w:trPr>
        <w:tc>
          <w:tcPr>
            <w:tcW w:w="1231" w:type="pct"/>
          </w:tcPr>
          <w:p w14:paraId="01FE864D" w14:textId="77777777" w:rsidR="00A94F0C" w:rsidRPr="00166751" w:rsidRDefault="00A94F0C" w:rsidP="00A94F0C">
            <w:pPr>
              <w:keepNext/>
              <w:keepLines/>
              <w:tabs>
                <w:tab w:val="decimal" w:pos="1202"/>
              </w:tabs>
              <w:spacing w:after="0" w:line="120" w:lineRule="auto"/>
              <w:rPr>
                <w:rFonts w:asciiTheme="minorHAnsi" w:eastAsia="Times New Roman" w:hAnsiTheme="minorHAnsi" w:cs="Arial"/>
                <w:b/>
                <w:position w:val="4"/>
                <w:sz w:val="18"/>
                <w:szCs w:val="18"/>
                <w:lang w:val="hr-HR"/>
              </w:rPr>
            </w:pPr>
          </w:p>
        </w:tc>
        <w:tc>
          <w:tcPr>
            <w:tcW w:w="629" w:type="pct"/>
            <w:tcBorders>
              <w:top w:val="single" w:sz="8" w:space="0" w:color="auto"/>
            </w:tcBorders>
          </w:tcPr>
          <w:p w14:paraId="1C72EB73" w14:textId="77777777" w:rsidR="00A94F0C" w:rsidRPr="00166751" w:rsidRDefault="00A94F0C" w:rsidP="00A94F0C">
            <w:pPr>
              <w:keepNext/>
              <w:keepLines/>
              <w:tabs>
                <w:tab w:val="left" w:pos="215"/>
                <w:tab w:val="decimal" w:pos="1295"/>
              </w:tabs>
              <w:spacing w:after="0" w:line="120" w:lineRule="auto"/>
              <w:ind w:right="-148"/>
              <w:jc w:val="right"/>
              <w:rPr>
                <w:rFonts w:asciiTheme="minorHAnsi" w:eastAsia="Times New Roman" w:hAnsiTheme="minorHAnsi" w:cs="Arial"/>
                <w:b/>
                <w:snapToGrid w:val="0"/>
                <w:position w:val="4"/>
                <w:sz w:val="18"/>
                <w:szCs w:val="18"/>
                <w:lang w:val="en-US"/>
              </w:rPr>
            </w:pPr>
          </w:p>
        </w:tc>
        <w:tc>
          <w:tcPr>
            <w:tcW w:w="629" w:type="pct"/>
            <w:tcBorders>
              <w:top w:val="single" w:sz="8" w:space="0" w:color="auto"/>
            </w:tcBorders>
          </w:tcPr>
          <w:p w14:paraId="7FBF6C73" w14:textId="77777777" w:rsidR="00A94F0C" w:rsidRPr="00166751" w:rsidRDefault="00A94F0C" w:rsidP="00A94F0C">
            <w:pPr>
              <w:keepNext/>
              <w:keepLines/>
              <w:tabs>
                <w:tab w:val="left" w:pos="215"/>
                <w:tab w:val="decimal" w:pos="1295"/>
              </w:tabs>
              <w:spacing w:after="0" w:line="120" w:lineRule="auto"/>
              <w:ind w:right="-148"/>
              <w:jc w:val="right"/>
              <w:rPr>
                <w:rFonts w:asciiTheme="minorHAnsi" w:eastAsia="Times New Roman" w:hAnsiTheme="minorHAnsi" w:cs="Arial"/>
                <w:b/>
                <w:snapToGrid w:val="0"/>
                <w:position w:val="4"/>
                <w:sz w:val="18"/>
                <w:szCs w:val="18"/>
                <w:lang w:val="en-US"/>
              </w:rPr>
            </w:pPr>
          </w:p>
        </w:tc>
        <w:tc>
          <w:tcPr>
            <w:tcW w:w="629" w:type="pct"/>
            <w:tcBorders>
              <w:top w:val="single" w:sz="8" w:space="0" w:color="auto"/>
            </w:tcBorders>
          </w:tcPr>
          <w:p w14:paraId="6DB0682B" w14:textId="77777777" w:rsidR="00A94F0C" w:rsidRPr="00166751" w:rsidRDefault="00A94F0C" w:rsidP="00A94F0C">
            <w:pPr>
              <w:keepNext/>
              <w:keepLines/>
              <w:tabs>
                <w:tab w:val="decimal" w:pos="1202"/>
              </w:tabs>
              <w:spacing w:after="0" w:line="120" w:lineRule="auto"/>
              <w:jc w:val="right"/>
              <w:rPr>
                <w:rFonts w:asciiTheme="minorHAnsi" w:eastAsia="Times New Roman" w:hAnsiTheme="minorHAnsi" w:cs="Arial"/>
                <w:b/>
                <w:snapToGrid w:val="0"/>
                <w:position w:val="4"/>
                <w:sz w:val="18"/>
                <w:szCs w:val="18"/>
                <w:lang w:val="en-US"/>
              </w:rPr>
            </w:pPr>
          </w:p>
        </w:tc>
        <w:tc>
          <w:tcPr>
            <w:tcW w:w="629" w:type="pct"/>
            <w:tcBorders>
              <w:top w:val="single" w:sz="8" w:space="0" w:color="auto"/>
            </w:tcBorders>
          </w:tcPr>
          <w:p w14:paraId="23992525" w14:textId="77777777" w:rsidR="00A94F0C" w:rsidRPr="00166751" w:rsidRDefault="00A94F0C" w:rsidP="00A94F0C">
            <w:pPr>
              <w:keepNext/>
              <w:keepLines/>
              <w:tabs>
                <w:tab w:val="left" w:pos="215"/>
                <w:tab w:val="decimal" w:pos="1295"/>
              </w:tabs>
              <w:spacing w:after="0" w:line="120" w:lineRule="auto"/>
              <w:ind w:right="-148"/>
              <w:jc w:val="right"/>
              <w:rPr>
                <w:rFonts w:asciiTheme="minorHAnsi" w:eastAsia="Times New Roman" w:hAnsiTheme="minorHAnsi" w:cs="Arial"/>
                <w:b/>
                <w:snapToGrid w:val="0"/>
                <w:position w:val="4"/>
                <w:sz w:val="18"/>
                <w:szCs w:val="18"/>
                <w:lang w:val="en-US"/>
              </w:rPr>
            </w:pPr>
          </w:p>
        </w:tc>
        <w:tc>
          <w:tcPr>
            <w:tcW w:w="629" w:type="pct"/>
            <w:tcBorders>
              <w:top w:val="single" w:sz="8" w:space="0" w:color="auto"/>
            </w:tcBorders>
          </w:tcPr>
          <w:p w14:paraId="4532C918" w14:textId="77777777" w:rsidR="00A94F0C" w:rsidRPr="00166751" w:rsidRDefault="00A94F0C" w:rsidP="00A94F0C">
            <w:pPr>
              <w:keepNext/>
              <w:keepLines/>
              <w:tabs>
                <w:tab w:val="left" w:pos="215"/>
                <w:tab w:val="decimal" w:pos="1295"/>
              </w:tabs>
              <w:spacing w:after="0" w:line="120" w:lineRule="auto"/>
              <w:ind w:right="-148"/>
              <w:jc w:val="right"/>
              <w:rPr>
                <w:rFonts w:asciiTheme="minorHAnsi" w:eastAsia="Times New Roman" w:hAnsiTheme="minorHAnsi" w:cs="Arial"/>
                <w:b/>
                <w:snapToGrid w:val="0"/>
                <w:position w:val="4"/>
                <w:sz w:val="18"/>
                <w:szCs w:val="18"/>
                <w:lang w:val="en-US"/>
              </w:rPr>
            </w:pPr>
          </w:p>
        </w:tc>
        <w:tc>
          <w:tcPr>
            <w:tcW w:w="625" w:type="pct"/>
            <w:tcBorders>
              <w:top w:val="single" w:sz="8" w:space="0" w:color="auto"/>
            </w:tcBorders>
          </w:tcPr>
          <w:p w14:paraId="48597097" w14:textId="77777777" w:rsidR="00A94F0C" w:rsidRPr="00166751" w:rsidRDefault="00A94F0C" w:rsidP="00A94F0C">
            <w:pPr>
              <w:keepNext/>
              <w:keepLines/>
              <w:tabs>
                <w:tab w:val="left" w:pos="215"/>
                <w:tab w:val="decimal" w:pos="1295"/>
              </w:tabs>
              <w:spacing w:after="0" w:line="120" w:lineRule="auto"/>
              <w:ind w:right="-148"/>
              <w:jc w:val="right"/>
              <w:rPr>
                <w:rFonts w:asciiTheme="minorHAnsi" w:eastAsia="Times New Roman" w:hAnsiTheme="minorHAnsi" w:cs="Arial"/>
                <w:b/>
                <w:snapToGrid w:val="0"/>
                <w:position w:val="4"/>
                <w:sz w:val="18"/>
                <w:szCs w:val="18"/>
                <w:lang w:val="en-US"/>
              </w:rPr>
            </w:pPr>
          </w:p>
        </w:tc>
      </w:tr>
      <w:tr w:rsidR="00AA50E7" w:rsidRPr="005E2BC3" w14:paraId="3F56554A" w14:textId="77777777" w:rsidTr="006B318F">
        <w:trPr>
          <w:trHeight w:val="277"/>
          <w:jc w:val="center"/>
        </w:trPr>
        <w:tc>
          <w:tcPr>
            <w:tcW w:w="1231" w:type="pct"/>
          </w:tcPr>
          <w:p w14:paraId="20748752" w14:textId="77777777" w:rsidR="00AA50E7" w:rsidRPr="00166751" w:rsidRDefault="00AA50E7" w:rsidP="00AA50E7">
            <w:pPr>
              <w:tabs>
                <w:tab w:val="right" w:pos="1202"/>
              </w:tabs>
              <w:spacing w:after="0" w:line="340" w:lineRule="exact"/>
              <w:outlineLvl w:val="0"/>
              <w:rPr>
                <w:rFonts w:asciiTheme="minorHAnsi" w:eastAsia="Times New Roman" w:hAnsiTheme="minorHAnsi" w:cs="Arial"/>
                <w:b/>
                <w:bCs/>
                <w:sz w:val="18"/>
                <w:szCs w:val="18"/>
                <w:lang w:val="hr-HR"/>
              </w:rPr>
            </w:pPr>
            <w:r w:rsidRPr="00166751">
              <w:rPr>
                <w:rFonts w:asciiTheme="minorHAnsi" w:hAnsiTheme="minorHAnsi" w:cs="Arial"/>
                <w:b/>
                <w:bCs/>
                <w:sz w:val="18"/>
                <w:szCs w:val="18"/>
              </w:rPr>
              <w:t>Total</w:t>
            </w:r>
          </w:p>
        </w:tc>
        <w:tc>
          <w:tcPr>
            <w:tcW w:w="629" w:type="pct"/>
            <w:tcBorders>
              <w:top w:val="nil"/>
              <w:left w:val="nil"/>
              <w:bottom w:val="single" w:sz="12" w:space="0" w:color="auto"/>
              <w:right w:val="nil"/>
            </w:tcBorders>
            <w:shd w:val="clear" w:color="auto" w:fill="auto"/>
          </w:tcPr>
          <w:p w14:paraId="31782689" w14:textId="7F3852AA" w:rsidR="00AA50E7" w:rsidRPr="00166751" w:rsidRDefault="00AA50E7" w:rsidP="00AA50E7">
            <w:pPr>
              <w:tabs>
                <w:tab w:val="right" w:pos="1202"/>
              </w:tabs>
              <w:spacing w:after="0" w:line="340" w:lineRule="exact"/>
              <w:jc w:val="right"/>
              <w:outlineLvl w:val="0"/>
              <w:rPr>
                <w:rFonts w:eastAsia="Times New Roman" w:cs="Arial"/>
                <w:b/>
                <w:bCs/>
                <w:sz w:val="18"/>
                <w:szCs w:val="18"/>
              </w:rPr>
            </w:pPr>
            <w:r w:rsidRPr="00310300">
              <w:rPr>
                <w:rFonts w:cs="Arial"/>
                <w:b/>
                <w:sz w:val="18"/>
                <w:szCs w:val="18"/>
              </w:rPr>
              <w:t>281</w:t>
            </w:r>
            <w:r>
              <w:rPr>
                <w:rFonts w:cs="Arial"/>
                <w:b/>
                <w:sz w:val="18"/>
                <w:szCs w:val="18"/>
              </w:rPr>
              <w:t>,</w:t>
            </w:r>
            <w:r w:rsidRPr="00310300">
              <w:rPr>
                <w:rFonts w:cs="Arial"/>
                <w:b/>
                <w:sz w:val="18"/>
                <w:szCs w:val="18"/>
              </w:rPr>
              <w:t>276</w:t>
            </w:r>
          </w:p>
        </w:tc>
        <w:tc>
          <w:tcPr>
            <w:tcW w:w="629" w:type="pct"/>
            <w:tcBorders>
              <w:top w:val="nil"/>
              <w:left w:val="nil"/>
              <w:bottom w:val="single" w:sz="12" w:space="0" w:color="auto"/>
              <w:right w:val="nil"/>
            </w:tcBorders>
            <w:shd w:val="clear" w:color="auto" w:fill="auto"/>
          </w:tcPr>
          <w:p w14:paraId="696B3620" w14:textId="506D1E0E" w:rsidR="00AA50E7" w:rsidRPr="00166751" w:rsidRDefault="00AA50E7" w:rsidP="00AA50E7">
            <w:pPr>
              <w:tabs>
                <w:tab w:val="right" w:pos="1202"/>
              </w:tabs>
              <w:spacing w:after="0" w:line="340" w:lineRule="exact"/>
              <w:jc w:val="right"/>
              <w:outlineLvl w:val="0"/>
              <w:rPr>
                <w:rFonts w:eastAsia="Times New Roman" w:cs="Arial"/>
                <w:b/>
                <w:bCs/>
                <w:sz w:val="18"/>
                <w:szCs w:val="18"/>
              </w:rPr>
            </w:pPr>
            <w:r w:rsidRPr="00310300">
              <w:rPr>
                <w:rFonts w:cs="Arial"/>
                <w:b/>
                <w:sz w:val="18"/>
                <w:szCs w:val="18"/>
              </w:rPr>
              <w:t>58</w:t>
            </w:r>
            <w:r>
              <w:rPr>
                <w:rFonts w:cs="Arial"/>
                <w:b/>
                <w:sz w:val="18"/>
                <w:szCs w:val="18"/>
              </w:rPr>
              <w:t>,</w:t>
            </w:r>
            <w:r w:rsidRPr="00310300">
              <w:rPr>
                <w:rFonts w:cs="Arial"/>
                <w:b/>
                <w:sz w:val="18"/>
                <w:szCs w:val="18"/>
              </w:rPr>
              <w:t>462</w:t>
            </w:r>
          </w:p>
        </w:tc>
        <w:tc>
          <w:tcPr>
            <w:tcW w:w="629" w:type="pct"/>
            <w:tcBorders>
              <w:top w:val="nil"/>
              <w:left w:val="nil"/>
              <w:bottom w:val="single" w:sz="12" w:space="0" w:color="auto"/>
              <w:right w:val="nil"/>
            </w:tcBorders>
            <w:shd w:val="clear" w:color="auto" w:fill="auto"/>
          </w:tcPr>
          <w:p w14:paraId="51085A17" w14:textId="692CFF6F" w:rsidR="00AA50E7" w:rsidRPr="00166751" w:rsidRDefault="00AA50E7" w:rsidP="00AA50E7">
            <w:pPr>
              <w:tabs>
                <w:tab w:val="right" w:pos="1202"/>
              </w:tabs>
              <w:spacing w:after="0" w:line="340" w:lineRule="exact"/>
              <w:jc w:val="right"/>
              <w:outlineLvl w:val="0"/>
              <w:rPr>
                <w:rFonts w:eastAsia="Times New Roman" w:cs="Arial"/>
                <w:b/>
                <w:bCs/>
                <w:sz w:val="18"/>
                <w:szCs w:val="18"/>
              </w:rPr>
            </w:pPr>
            <w:r w:rsidRPr="00310300">
              <w:rPr>
                <w:rFonts w:cs="Arial"/>
                <w:b/>
                <w:sz w:val="18"/>
                <w:szCs w:val="18"/>
              </w:rPr>
              <w:t>23</w:t>
            </w:r>
            <w:r>
              <w:rPr>
                <w:rFonts w:cs="Arial"/>
                <w:b/>
                <w:sz w:val="18"/>
                <w:szCs w:val="18"/>
              </w:rPr>
              <w:t>,</w:t>
            </w:r>
            <w:r w:rsidRPr="00310300">
              <w:rPr>
                <w:rFonts w:cs="Arial"/>
                <w:b/>
                <w:sz w:val="18"/>
                <w:szCs w:val="18"/>
              </w:rPr>
              <w:t>716</w:t>
            </w:r>
          </w:p>
        </w:tc>
        <w:tc>
          <w:tcPr>
            <w:tcW w:w="629" w:type="pct"/>
            <w:tcBorders>
              <w:top w:val="nil"/>
              <w:left w:val="nil"/>
              <w:bottom w:val="single" w:sz="12" w:space="0" w:color="auto"/>
              <w:right w:val="nil"/>
            </w:tcBorders>
            <w:shd w:val="clear" w:color="auto" w:fill="auto"/>
          </w:tcPr>
          <w:p w14:paraId="487516D9" w14:textId="3D221F3E" w:rsidR="00AA50E7" w:rsidRPr="00166751" w:rsidRDefault="00AA50E7" w:rsidP="00AA50E7">
            <w:pPr>
              <w:tabs>
                <w:tab w:val="right" w:pos="1202"/>
              </w:tabs>
              <w:spacing w:after="0" w:line="340" w:lineRule="exact"/>
              <w:jc w:val="right"/>
              <w:outlineLvl w:val="0"/>
              <w:rPr>
                <w:rFonts w:eastAsia="Times New Roman" w:cs="Arial"/>
                <w:b/>
                <w:bCs/>
                <w:sz w:val="18"/>
                <w:szCs w:val="18"/>
              </w:rPr>
            </w:pPr>
            <w:r w:rsidRPr="00310300">
              <w:rPr>
                <w:rFonts w:cs="Arial"/>
                <w:b/>
                <w:sz w:val="18"/>
                <w:szCs w:val="18"/>
              </w:rPr>
              <w:t>2</w:t>
            </w:r>
            <w:r>
              <w:rPr>
                <w:rFonts w:cs="Arial"/>
                <w:b/>
                <w:sz w:val="18"/>
                <w:szCs w:val="18"/>
              </w:rPr>
              <w:t>,</w:t>
            </w:r>
            <w:r w:rsidRPr="00310300">
              <w:rPr>
                <w:rFonts w:cs="Arial"/>
                <w:b/>
                <w:sz w:val="18"/>
                <w:szCs w:val="18"/>
              </w:rPr>
              <w:t>665</w:t>
            </w:r>
          </w:p>
        </w:tc>
        <w:tc>
          <w:tcPr>
            <w:tcW w:w="629" w:type="pct"/>
            <w:tcBorders>
              <w:top w:val="nil"/>
              <w:left w:val="nil"/>
              <w:bottom w:val="single" w:sz="12" w:space="0" w:color="auto"/>
              <w:right w:val="nil"/>
            </w:tcBorders>
            <w:shd w:val="clear" w:color="auto" w:fill="auto"/>
          </w:tcPr>
          <w:p w14:paraId="4EFA4B49" w14:textId="5C664A27" w:rsidR="00AA50E7" w:rsidRPr="00166751" w:rsidRDefault="00AA50E7" w:rsidP="00AA50E7">
            <w:pPr>
              <w:tabs>
                <w:tab w:val="right" w:pos="1202"/>
              </w:tabs>
              <w:spacing w:after="0" w:line="340" w:lineRule="exact"/>
              <w:jc w:val="right"/>
              <w:outlineLvl w:val="0"/>
              <w:rPr>
                <w:rFonts w:eastAsia="Times New Roman" w:cs="Arial"/>
                <w:b/>
                <w:bCs/>
                <w:sz w:val="18"/>
                <w:szCs w:val="18"/>
              </w:rPr>
            </w:pPr>
            <w:r w:rsidRPr="00310300">
              <w:rPr>
                <w:rFonts w:cs="Arial"/>
                <w:b/>
                <w:sz w:val="18"/>
                <w:szCs w:val="18"/>
              </w:rPr>
              <w:t>101</w:t>
            </w:r>
            <w:r>
              <w:rPr>
                <w:rFonts w:cs="Arial"/>
                <w:b/>
                <w:sz w:val="18"/>
                <w:szCs w:val="18"/>
              </w:rPr>
              <w:t>,</w:t>
            </w:r>
            <w:r w:rsidRPr="00310300">
              <w:rPr>
                <w:rFonts w:cs="Arial"/>
                <w:b/>
                <w:sz w:val="18"/>
                <w:szCs w:val="18"/>
              </w:rPr>
              <w:t>798</w:t>
            </w:r>
          </w:p>
        </w:tc>
        <w:tc>
          <w:tcPr>
            <w:tcW w:w="625" w:type="pct"/>
            <w:tcBorders>
              <w:top w:val="nil"/>
              <w:left w:val="nil"/>
              <w:bottom w:val="single" w:sz="12" w:space="0" w:color="auto"/>
              <w:right w:val="nil"/>
            </w:tcBorders>
            <w:shd w:val="clear" w:color="auto" w:fill="auto"/>
          </w:tcPr>
          <w:p w14:paraId="73272228" w14:textId="19954CBB" w:rsidR="00AA50E7" w:rsidRPr="00166751" w:rsidRDefault="00AA50E7" w:rsidP="00AA50E7">
            <w:pPr>
              <w:tabs>
                <w:tab w:val="right" w:pos="1202"/>
              </w:tabs>
              <w:spacing w:after="0" w:line="340" w:lineRule="exact"/>
              <w:jc w:val="right"/>
              <w:outlineLvl w:val="0"/>
              <w:rPr>
                <w:rFonts w:eastAsia="Times New Roman" w:cs="Arial"/>
                <w:b/>
                <w:bCs/>
                <w:sz w:val="18"/>
                <w:szCs w:val="18"/>
              </w:rPr>
            </w:pPr>
            <w:r w:rsidRPr="00310300">
              <w:rPr>
                <w:rFonts w:cs="Arial"/>
                <w:b/>
                <w:sz w:val="18"/>
                <w:szCs w:val="18"/>
              </w:rPr>
              <w:t>467</w:t>
            </w:r>
            <w:r>
              <w:rPr>
                <w:rFonts w:cs="Arial"/>
                <w:b/>
                <w:sz w:val="18"/>
                <w:szCs w:val="18"/>
              </w:rPr>
              <w:t>,</w:t>
            </w:r>
            <w:r w:rsidRPr="00310300">
              <w:rPr>
                <w:rFonts w:cs="Arial"/>
                <w:b/>
                <w:sz w:val="18"/>
                <w:szCs w:val="18"/>
              </w:rPr>
              <w:t>917</w:t>
            </w:r>
          </w:p>
        </w:tc>
      </w:tr>
      <w:tr w:rsidR="00A94F0C" w:rsidRPr="005E2BC3" w14:paraId="143ADEA5" w14:textId="77777777" w:rsidTr="00AA50E7">
        <w:trPr>
          <w:trHeight w:val="50"/>
          <w:jc w:val="center"/>
        </w:trPr>
        <w:tc>
          <w:tcPr>
            <w:tcW w:w="1231" w:type="pct"/>
          </w:tcPr>
          <w:p w14:paraId="6E12BBFD" w14:textId="77777777" w:rsidR="00A94F0C" w:rsidRPr="00166751" w:rsidRDefault="00A94F0C" w:rsidP="00A94F0C">
            <w:pPr>
              <w:keepNext/>
              <w:keepLines/>
              <w:tabs>
                <w:tab w:val="decimal" w:pos="1202"/>
              </w:tabs>
              <w:spacing w:after="0" w:line="240" w:lineRule="auto"/>
              <w:rPr>
                <w:rFonts w:asciiTheme="minorHAnsi" w:eastAsia="Times New Roman" w:hAnsiTheme="minorHAnsi" w:cs="Arial"/>
                <w:b/>
                <w:position w:val="4"/>
                <w:sz w:val="18"/>
                <w:szCs w:val="18"/>
                <w:u w:val="thick"/>
                <w:lang w:val="hr-HR"/>
              </w:rPr>
            </w:pPr>
          </w:p>
        </w:tc>
        <w:tc>
          <w:tcPr>
            <w:tcW w:w="629" w:type="pct"/>
            <w:tcBorders>
              <w:top w:val="single" w:sz="12" w:space="0" w:color="auto"/>
            </w:tcBorders>
            <w:vAlign w:val="bottom"/>
          </w:tcPr>
          <w:p w14:paraId="5FC2DD62" w14:textId="77777777" w:rsidR="00A94F0C" w:rsidRPr="00166751" w:rsidRDefault="00A94F0C" w:rsidP="00A94F0C">
            <w:pPr>
              <w:keepNext/>
              <w:keepLines/>
              <w:tabs>
                <w:tab w:val="decimal" w:pos="1202"/>
              </w:tabs>
              <w:spacing w:after="0" w:line="240" w:lineRule="auto"/>
              <w:jc w:val="right"/>
              <w:rPr>
                <w:rFonts w:asciiTheme="minorHAnsi" w:eastAsia="Times New Roman" w:hAnsiTheme="minorHAnsi" w:cs="Arial"/>
                <w:b/>
                <w:position w:val="4"/>
                <w:sz w:val="18"/>
                <w:szCs w:val="18"/>
                <w:u w:val="thick"/>
                <w:lang w:val="hr-HR"/>
              </w:rPr>
            </w:pPr>
          </w:p>
        </w:tc>
        <w:tc>
          <w:tcPr>
            <w:tcW w:w="629" w:type="pct"/>
            <w:tcBorders>
              <w:top w:val="single" w:sz="12" w:space="0" w:color="auto"/>
            </w:tcBorders>
            <w:vAlign w:val="bottom"/>
          </w:tcPr>
          <w:p w14:paraId="51B3D7D6" w14:textId="77777777" w:rsidR="00A94F0C" w:rsidRPr="00166751" w:rsidRDefault="00A94F0C" w:rsidP="00A94F0C">
            <w:pPr>
              <w:keepNext/>
              <w:keepLines/>
              <w:tabs>
                <w:tab w:val="decimal" w:pos="1202"/>
              </w:tabs>
              <w:spacing w:after="0" w:line="240" w:lineRule="auto"/>
              <w:jc w:val="right"/>
              <w:rPr>
                <w:rFonts w:asciiTheme="minorHAnsi" w:eastAsia="Times New Roman" w:hAnsiTheme="minorHAnsi" w:cs="Arial"/>
                <w:b/>
                <w:snapToGrid w:val="0"/>
                <w:position w:val="4"/>
                <w:sz w:val="18"/>
                <w:szCs w:val="18"/>
                <w:u w:val="thick"/>
                <w:lang w:val="hr-HR"/>
              </w:rPr>
            </w:pPr>
          </w:p>
        </w:tc>
        <w:tc>
          <w:tcPr>
            <w:tcW w:w="629" w:type="pct"/>
            <w:tcBorders>
              <w:top w:val="single" w:sz="12" w:space="0" w:color="auto"/>
            </w:tcBorders>
            <w:vAlign w:val="bottom"/>
          </w:tcPr>
          <w:p w14:paraId="7B6C0168" w14:textId="77777777" w:rsidR="00A94F0C" w:rsidRPr="00166751" w:rsidRDefault="00A94F0C" w:rsidP="00A94F0C">
            <w:pPr>
              <w:keepNext/>
              <w:keepLines/>
              <w:tabs>
                <w:tab w:val="decimal" w:pos="1202"/>
              </w:tabs>
              <w:spacing w:after="0" w:line="240" w:lineRule="auto"/>
              <w:jc w:val="right"/>
              <w:rPr>
                <w:rFonts w:asciiTheme="minorHAnsi" w:eastAsia="Times New Roman" w:hAnsiTheme="minorHAnsi" w:cs="Arial"/>
                <w:b/>
                <w:snapToGrid w:val="0"/>
                <w:position w:val="4"/>
                <w:sz w:val="18"/>
                <w:szCs w:val="18"/>
                <w:u w:val="thick"/>
                <w:lang w:val="hr-HR"/>
              </w:rPr>
            </w:pPr>
          </w:p>
        </w:tc>
        <w:tc>
          <w:tcPr>
            <w:tcW w:w="629" w:type="pct"/>
            <w:tcBorders>
              <w:top w:val="single" w:sz="12" w:space="0" w:color="auto"/>
            </w:tcBorders>
            <w:vAlign w:val="bottom"/>
          </w:tcPr>
          <w:p w14:paraId="797EFCB9" w14:textId="77777777" w:rsidR="00A94F0C" w:rsidRPr="00166751" w:rsidRDefault="00A94F0C" w:rsidP="00A94F0C">
            <w:pPr>
              <w:keepNext/>
              <w:keepLines/>
              <w:tabs>
                <w:tab w:val="decimal" w:pos="1202"/>
              </w:tabs>
              <w:spacing w:after="0" w:line="240" w:lineRule="auto"/>
              <w:jc w:val="right"/>
              <w:rPr>
                <w:rFonts w:asciiTheme="minorHAnsi" w:eastAsia="Times New Roman" w:hAnsiTheme="minorHAnsi" w:cs="Arial"/>
                <w:b/>
                <w:snapToGrid w:val="0"/>
                <w:position w:val="4"/>
                <w:sz w:val="18"/>
                <w:szCs w:val="18"/>
                <w:u w:val="thick"/>
                <w:lang w:val="hr-HR"/>
              </w:rPr>
            </w:pPr>
          </w:p>
        </w:tc>
        <w:tc>
          <w:tcPr>
            <w:tcW w:w="629" w:type="pct"/>
            <w:tcBorders>
              <w:top w:val="single" w:sz="12" w:space="0" w:color="auto"/>
            </w:tcBorders>
            <w:vAlign w:val="bottom"/>
          </w:tcPr>
          <w:p w14:paraId="17B22E7C" w14:textId="77777777" w:rsidR="00A94F0C" w:rsidRPr="00166751" w:rsidRDefault="00A94F0C" w:rsidP="00A94F0C">
            <w:pPr>
              <w:keepNext/>
              <w:keepLines/>
              <w:tabs>
                <w:tab w:val="decimal" w:pos="1202"/>
              </w:tabs>
              <w:spacing w:after="0" w:line="240" w:lineRule="auto"/>
              <w:jc w:val="right"/>
              <w:rPr>
                <w:rFonts w:asciiTheme="minorHAnsi" w:eastAsia="Times New Roman" w:hAnsiTheme="minorHAnsi" w:cs="Arial"/>
                <w:b/>
                <w:snapToGrid w:val="0"/>
                <w:position w:val="4"/>
                <w:sz w:val="18"/>
                <w:szCs w:val="18"/>
                <w:u w:val="thick"/>
                <w:lang w:val="hr-HR"/>
              </w:rPr>
            </w:pPr>
          </w:p>
        </w:tc>
        <w:tc>
          <w:tcPr>
            <w:tcW w:w="625" w:type="pct"/>
            <w:tcBorders>
              <w:top w:val="single" w:sz="12" w:space="0" w:color="auto"/>
            </w:tcBorders>
            <w:vAlign w:val="bottom"/>
          </w:tcPr>
          <w:p w14:paraId="29AE0677" w14:textId="77777777" w:rsidR="00A94F0C" w:rsidRPr="00166751" w:rsidRDefault="00A94F0C" w:rsidP="00A94F0C">
            <w:pPr>
              <w:keepNext/>
              <w:keepLines/>
              <w:tabs>
                <w:tab w:val="decimal" w:pos="1202"/>
              </w:tabs>
              <w:spacing w:after="0" w:line="240" w:lineRule="auto"/>
              <w:jc w:val="right"/>
              <w:rPr>
                <w:rFonts w:asciiTheme="minorHAnsi" w:eastAsia="Times New Roman" w:hAnsiTheme="minorHAnsi" w:cs="Arial"/>
                <w:b/>
                <w:snapToGrid w:val="0"/>
                <w:position w:val="4"/>
                <w:sz w:val="18"/>
                <w:szCs w:val="18"/>
                <w:u w:val="thick"/>
                <w:lang w:val="hr-HR"/>
              </w:rPr>
            </w:pPr>
          </w:p>
        </w:tc>
      </w:tr>
    </w:tbl>
    <w:p w14:paraId="317C2A7F" w14:textId="77777777" w:rsidR="009702B0" w:rsidRDefault="009702B0" w:rsidP="009702B0">
      <w:pPr>
        <w:spacing w:after="0" w:line="240" w:lineRule="auto"/>
        <w:jc w:val="both"/>
        <w:rPr>
          <w:rFonts w:cs="Arial"/>
          <w:sz w:val="20"/>
          <w:szCs w:val="20"/>
        </w:rPr>
      </w:pPr>
    </w:p>
    <w:p w14:paraId="037719B7" w14:textId="77777777" w:rsidR="00BF2624" w:rsidRPr="009702B0" w:rsidRDefault="00BF2624" w:rsidP="009702B0">
      <w:pPr>
        <w:spacing w:after="0" w:line="240" w:lineRule="auto"/>
        <w:jc w:val="both"/>
        <w:rPr>
          <w:rFonts w:cs="Arial"/>
          <w:sz w:val="20"/>
          <w:szCs w:val="20"/>
        </w:rPr>
      </w:pPr>
    </w:p>
    <w:p w14:paraId="0B223137" w14:textId="77777777" w:rsidR="009702B0" w:rsidRPr="009702B0" w:rsidRDefault="009702B0" w:rsidP="009702B0">
      <w:pPr>
        <w:spacing w:after="0" w:line="240" w:lineRule="auto"/>
        <w:jc w:val="both"/>
        <w:rPr>
          <w:rFonts w:cs="Arial"/>
          <w:sz w:val="20"/>
          <w:szCs w:val="20"/>
        </w:rPr>
      </w:pPr>
    </w:p>
    <w:tbl>
      <w:tblPr>
        <w:tblW w:w="5380" w:type="pct"/>
        <w:jc w:val="center"/>
        <w:tblLayout w:type="fixed"/>
        <w:tblLook w:val="0000" w:firstRow="0" w:lastRow="0" w:firstColumn="0" w:lastColumn="0" w:noHBand="0" w:noVBand="0"/>
      </w:tblPr>
      <w:tblGrid>
        <w:gridCol w:w="2479"/>
        <w:gridCol w:w="1264"/>
        <w:gridCol w:w="1266"/>
        <w:gridCol w:w="1266"/>
        <w:gridCol w:w="1266"/>
        <w:gridCol w:w="1266"/>
        <w:gridCol w:w="1258"/>
      </w:tblGrid>
      <w:tr w:rsidR="009702B0" w:rsidRPr="005E2BC3" w14:paraId="6C71BC1A" w14:textId="77777777" w:rsidTr="00BF2624">
        <w:trPr>
          <w:trHeight w:hRule="exact" w:val="627"/>
          <w:jc w:val="center"/>
        </w:trPr>
        <w:tc>
          <w:tcPr>
            <w:tcW w:w="1231" w:type="pct"/>
            <w:vAlign w:val="center"/>
          </w:tcPr>
          <w:p w14:paraId="39C6B325" w14:textId="77777777" w:rsidR="009702B0" w:rsidRPr="00166751" w:rsidRDefault="009702B0" w:rsidP="009702B0">
            <w:pPr>
              <w:tabs>
                <w:tab w:val="right" w:pos="1202"/>
              </w:tabs>
              <w:spacing w:after="0" w:line="240" w:lineRule="atLeas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Group</w:t>
            </w:r>
          </w:p>
          <w:p w14:paraId="16D353B5" w14:textId="77777777" w:rsidR="009702B0" w:rsidRPr="00166751" w:rsidRDefault="009702B0" w:rsidP="00BF2624">
            <w:pPr>
              <w:tabs>
                <w:tab w:val="right" w:pos="1202"/>
              </w:tabs>
              <w:spacing w:after="0" w:line="240" w:lineRule="atLeas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Dec 31, 201</w:t>
            </w:r>
            <w:r w:rsidR="00BF2624" w:rsidRPr="00166751">
              <w:rPr>
                <w:rFonts w:asciiTheme="minorHAnsi" w:eastAsia="Times New Roman" w:hAnsiTheme="minorHAnsi" w:cs="Arial"/>
                <w:b/>
                <w:sz w:val="18"/>
                <w:szCs w:val="18"/>
                <w:lang w:val="en-US"/>
              </w:rPr>
              <w:t>6</w:t>
            </w:r>
          </w:p>
        </w:tc>
        <w:tc>
          <w:tcPr>
            <w:tcW w:w="628" w:type="pct"/>
            <w:vAlign w:val="center"/>
          </w:tcPr>
          <w:p w14:paraId="443F023F"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Up to </w:t>
            </w:r>
          </w:p>
          <w:p w14:paraId="40460D45"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15 days</w:t>
            </w:r>
          </w:p>
        </w:tc>
        <w:tc>
          <w:tcPr>
            <w:tcW w:w="628" w:type="pct"/>
            <w:vAlign w:val="center"/>
          </w:tcPr>
          <w:p w14:paraId="5A77D67F"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16 to 30 </w:t>
            </w:r>
          </w:p>
          <w:p w14:paraId="426CBC73"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days</w:t>
            </w:r>
          </w:p>
        </w:tc>
        <w:tc>
          <w:tcPr>
            <w:tcW w:w="628" w:type="pct"/>
            <w:vAlign w:val="center"/>
          </w:tcPr>
          <w:p w14:paraId="60865A59"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31 to 60 </w:t>
            </w:r>
          </w:p>
          <w:p w14:paraId="1D44E89E"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days</w:t>
            </w:r>
          </w:p>
        </w:tc>
        <w:tc>
          <w:tcPr>
            <w:tcW w:w="628" w:type="pct"/>
            <w:vAlign w:val="center"/>
          </w:tcPr>
          <w:p w14:paraId="779CB888"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61 to 90 </w:t>
            </w:r>
          </w:p>
          <w:p w14:paraId="52603004"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days</w:t>
            </w:r>
          </w:p>
        </w:tc>
        <w:tc>
          <w:tcPr>
            <w:tcW w:w="628" w:type="pct"/>
            <w:vAlign w:val="center"/>
          </w:tcPr>
          <w:p w14:paraId="4F1EF7F9"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Over </w:t>
            </w:r>
          </w:p>
          <w:p w14:paraId="721BE239"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90 days</w:t>
            </w:r>
          </w:p>
        </w:tc>
        <w:tc>
          <w:tcPr>
            <w:tcW w:w="628" w:type="pct"/>
            <w:vAlign w:val="center"/>
          </w:tcPr>
          <w:p w14:paraId="32C28B96"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Total </w:t>
            </w:r>
          </w:p>
        </w:tc>
      </w:tr>
      <w:tr w:rsidR="009702B0" w:rsidRPr="005E2BC3" w14:paraId="6EFF1F8D" w14:textId="77777777" w:rsidTr="00BF2624">
        <w:trPr>
          <w:trHeight w:val="295"/>
          <w:jc w:val="center"/>
        </w:trPr>
        <w:tc>
          <w:tcPr>
            <w:tcW w:w="1231" w:type="pct"/>
          </w:tcPr>
          <w:p w14:paraId="624A1DA4" w14:textId="77777777" w:rsidR="009702B0" w:rsidRPr="00166751" w:rsidRDefault="009702B0" w:rsidP="009702B0">
            <w:pPr>
              <w:tabs>
                <w:tab w:val="right" w:pos="1202"/>
              </w:tabs>
              <w:spacing w:after="0" w:line="301" w:lineRule="exact"/>
              <w:outlineLvl w:val="0"/>
              <w:rPr>
                <w:rFonts w:asciiTheme="minorHAnsi" w:eastAsia="Times New Roman" w:hAnsiTheme="minorHAnsi" w:cs="Arial"/>
                <w:b/>
                <w:bCs/>
                <w:sz w:val="18"/>
                <w:szCs w:val="18"/>
                <w:lang w:val="hr-HR"/>
              </w:rPr>
            </w:pPr>
            <w:r w:rsidRPr="00166751">
              <w:rPr>
                <w:rFonts w:asciiTheme="minorHAnsi" w:eastAsia="Times New Roman" w:hAnsiTheme="minorHAnsi" w:cs="Arial"/>
                <w:b/>
                <w:bCs/>
                <w:sz w:val="18"/>
                <w:szCs w:val="18"/>
                <w:lang w:val="en-US"/>
              </w:rPr>
              <w:t xml:space="preserve">Assets </w:t>
            </w:r>
          </w:p>
        </w:tc>
        <w:tc>
          <w:tcPr>
            <w:tcW w:w="628" w:type="pct"/>
            <w:shd w:val="clear" w:color="auto" w:fill="auto"/>
          </w:tcPr>
          <w:p w14:paraId="50600181" w14:textId="77777777"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628" w:type="pct"/>
            <w:shd w:val="clear" w:color="auto" w:fill="auto"/>
          </w:tcPr>
          <w:p w14:paraId="0E26A568" w14:textId="77777777"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628" w:type="pct"/>
            <w:shd w:val="clear" w:color="auto" w:fill="auto"/>
          </w:tcPr>
          <w:p w14:paraId="7BA43DB3" w14:textId="77777777"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628" w:type="pct"/>
            <w:shd w:val="clear" w:color="auto" w:fill="auto"/>
          </w:tcPr>
          <w:p w14:paraId="66E001B3" w14:textId="77777777"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628" w:type="pct"/>
            <w:shd w:val="clear" w:color="auto" w:fill="auto"/>
          </w:tcPr>
          <w:p w14:paraId="3AAE0BAA" w14:textId="77777777"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628" w:type="pct"/>
            <w:shd w:val="clear" w:color="auto" w:fill="auto"/>
          </w:tcPr>
          <w:p w14:paraId="42025837" w14:textId="77777777"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r>
      <w:tr w:rsidR="00BF2624" w:rsidRPr="005E2BC3" w14:paraId="5C03690A" w14:textId="77777777" w:rsidTr="00BF2624">
        <w:trPr>
          <w:trHeight w:val="341"/>
          <w:jc w:val="center"/>
        </w:trPr>
        <w:tc>
          <w:tcPr>
            <w:tcW w:w="1231" w:type="pct"/>
            <w:vAlign w:val="bottom"/>
          </w:tcPr>
          <w:p w14:paraId="4C6A61CD" w14:textId="77777777" w:rsidR="00BF2624" w:rsidRPr="00166751" w:rsidRDefault="00BF2624" w:rsidP="00BF2624">
            <w:pPr>
              <w:tabs>
                <w:tab w:val="right" w:pos="1202"/>
              </w:tabs>
              <w:spacing w:after="0" w:line="220" w:lineRule="exact"/>
              <w:outlineLvl w:val="0"/>
              <w:rPr>
                <w:rFonts w:asciiTheme="minorHAnsi" w:eastAsia="Times New Roman" w:hAnsiTheme="minorHAnsi" w:cs="Arial"/>
                <w:sz w:val="18"/>
                <w:szCs w:val="18"/>
                <w:lang w:val="hr-HR"/>
              </w:rPr>
            </w:pPr>
            <w:r w:rsidRPr="00166751">
              <w:rPr>
                <w:rFonts w:asciiTheme="minorHAnsi" w:eastAsia="Times New Roman" w:hAnsiTheme="minorHAnsi" w:cs="Arial"/>
                <w:sz w:val="18"/>
                <w:szCs w:val="18"/>
                <w:lang w:val="en-US"/>
              </w:rPr>
              <w:t xml:space="preserve">Loans to financial institutions </w:t>
            </w:r>
          </w:p>
        </w:tc>
        <w:tc>
          <w:tcPr>
            <w:tcW w:w="628" w:type="pct"/>
            <w:tcBorders>
              <w:top w:val="nil"/>
              <w:left w:val="nil"/>
              <w:bottom w:val="nil"/>
              <w:right w:val="nil"/>
            </w:tcBorders>
            <w:shd w:val="clear" w:color="auto" w:fill="auto"/>
            <w:vAlign w:val="center"/>
          </w:tcPr>
          <w:p w14:paraId="2836DFCC" w14:textId="77777777" w:rsidR="00BF2624" w:rsidRPr="00166751" w:rsidRDefault="00BF2624" w:rsidP="00BF2624">
            <w:pPr>
              <w:tabs>
                <w:tab w:val="right" w:pos="1202"/>
              </w:tabs>
              <w:spacing w:after="0" w:line="240" w:lineRule="auto"/>
              <w:jc w:val="right"/>
              <w:outlineLvl w:val="0"/>
              <w:rPr>
                <w:rFonts w:asciiTheme="minorHAnsi" w:hAnsiTheme="minorHAnsi" w:cs="Arial"/>
                <w:snapToGrid w:val="0"/>
                <w:sz w:val="18"/>
                <w:szCs w:val="18"/>
              </w:rPr>
            </w:pPr>
            <w:r w:rsidRPr="00166751">
              <w:rPr>
                <w:rFonts w:cs="Arial"/>
                <w:sz w:val="18"/>
                <w:szCs w:val="18"/>
              </w:rPr>
              <w:t>200,364</w:t>
            </w:r>
          </w:p>
        </w:tc>
        <w:tc>
          <w:tcPr>
            <w:tcW w:w="628" w:type="pct"/>
            <w:tcBorders>
              <w:top w:val="nil"/>
              <w:left w:val="nil"/>
              <w:bottom w:val="nil"/>
              <w:right w:val="nil"/>
            </w:tcBorders>
            <w:shd w:val="clear" w:color="auto" w:fill="auto"/>
            <w:vAlign w:val="center"/>
          </w:tcPr>
          <w:p w14:paraId="5C346548" w14:textId="77777777" w:rsidR="00BF2624" w:rsidRPr="00166751" w:rsidRDefault="00BF2624" w:rsidP="00BF2624">
            <w:pPr>
              <w:tabs>
                <w:tab w:val="right" w:pos="1202"/>
              </w:tabs>
              <w:spacing w:after="0" w:line="240" w:lineRule="auto"/>
              <w:jc w:val="right"/>
              <w:outlineLvl w:val="0"/>
              <w:rPr>
                <w:rFonts w:asciiTheme="minorHAnsi" w:hAnsiTheme="minorHAnsi" w:cs="Arial"/>
                <w:snapToGrid w:val="0"/>
                <w:sz w:val="18"/>
                <w:szCs w:val="18"/>
              </w:rPr>
            </w:pPr>
            <w:r w:rsidRPr="00166751">
              <w:rPr>
                <w:rFonts w:cs="Arial"/>
                <w:sz w:val="18"/>
                <w:szCs w:val="18"/>
              </w:rPr>
              <w:t>552</w:t>
            </w:r>
          </w:p>
        </w:tc>
        <w:tc>
          <w:tcPr>
            <w:tcW w:w="628" w:type="pct"/>
            <w:tcBorders>
              <w:top w:val="nil"/>
              <w:left w:val="nil"/>
              <w:bottom w:val="nil"/>
              <w:right w:val="nil"/>
            </w:tcBorders>
            <w:shd w:val="clear" w:color="auto" w:fill="auto"/>
            <w:vAlign w:val="center"/>
          </w:tcPr>
          <w:p w14:paraId="611E62A1" w14:textId="77777777" w:rsidR="00BF2624" w:rsidRPr="00166751" w:rsidRDefault="00BF2624" w:rsidP="00BF2624">
            <w:pPr>
              <w:tabs>
                <w:tab w:val="right" w:pos="1202"/>
              </w:tabs>
              <w:spacing w:after="0" w:line="240" w:lineRule="auto"/>
              <w:jc w:val="right"/>
              <w:outlineLvl w:val="0"/>
              <w:rPr>
                <w:rFonts w:asciiTheme="minorHAnsi" w:hAnsiTheme="minorHAnsi" w:cs="Arial"/>
                <w:snapToGrid w:val="0"/>
                <w:sz w:val="18"/>
                <w:szCs w:val="18"/>
              </w:rPr>
            </w:pPr>
            <w:r w:rsidRPr="00166751">
              <w:rPr>
                <w:rFonts w:cs="Arial"/>
                <w:sz w:val="18"/>
                <w:szCs w:val="18"/>
              </w:rPr>
              <w:t>4,000</w:t>
            </w:r>
          </w:p>
        </w:tc>
        <w:tc>
          <w:tcPr>
            <w:tcW w:w="628" w:type="pct"/>
            <w:tcBorders>
              <w:top w:val="nil"/>
              <w:left w:val="nil"/>
              <w:bottom w:val="nil"/>
              <w:right w:val="nil"/>
            </w:tcBorders>
            <w:shd w:val="clear" w:color="auto" w:fill="auto"/>
            <w:vAlign w:val="center"/>
          </w:tcPr>
          <w:p w14:paraId="65BAB4C5" w14:textId="77777777" w:rsidR="00BF2624" w:rsidRPr="00166751" w:rsidRDefault="00BF2624" w:rsidP="00BF2624">
            <w:pPr>
              <w:tabs>
                <w:tab w:val="right" w:pos="1202"/>
              </w:tabs>
              <w:spacing w:after="0" w:line="240" w:lineRule="auto"/>
              <w:jc w:val="right"/>
              <w:outlineLvl w:val="0"/>
              <w:rPr>
                <w:rFonts w:asciiTheme="minorHAnsi" w:hAnsiTheme="minorHAnsi" w:cs="Arial"/>
                <w:snapToGrid w:val="0"/>
                <w:sz w:val="18"/>
                <w:szCs w:val="18"/>
              </w:rPr>
            </w:pPr>
            <w:r w:rsidRPr="00166751">
              <w:rPr>
                <w:rFonts w:cs="Arial"/>
                <w:sz w:val="18"/>
                <w:szCs w:val="18"/>
              </w:rPr>
              <w:t>17</w:t>
            </w:r>
          </w:p>
        </w:tc>
        <w:tc>
          <w:tcPr>
            <w:tcW w:w="628" w:type="pct"/>
            <w:tcBorders>
              <w:top w:val="nil"/>
              <w:left w:val="nil"/>
              <w:bottom w:val="nil"/>
              <w:right w:val="nil"/>
            </w:tcBorders>
            <w:shd w:val="clear" w:color="auto" w:fill="auto"/>
            <w:vAlign w:val="center"/>
          </w:tcPr>
          <w:p w14:paraId="46B5D430" w14:textId="77777777" w:rsidR="00BF2624" w:rsidRPr="00166751" w:rsidRDefault="00BF2624" w:rsidP="00BF2624">
            <w:pPr>
              <w:tabs>
                <w:tab w:val="right" w:pos="1202"/>
              </w:tabs>
              <w:spacing w:after="0" w:line="240" w:lineRule="auto"/>
              <w:jc w:val="right"/>
              <w:outlineLvl w:val="0"/>
              <w:rPr>
                <w:rFonts w:asciiTheme="minorHAnsi" w:hAnsiTheme="minorHAnsi" w:cs="Arial"/>
                <w:snapToGrid w:val="0"/>
                <w:sz w:val="18"/>
                <w:szCs w:val="18"/>
              </w:rPr>
            </w:pPr>
            <w:r w:rsidRPr="00166751">
              <w:rPr>
                <w:rFonts w:cs="Arial"/>
                <w:sz w:val="18"/>
                <w:szCs w:val="18"/>
              </w:rPr>
              <w:t>7,521</w:t>
            </w:r>
          </w:p>
        </w:tc>
        <w:tc>
          <w:tcPr>
            <w:tcW w:w="628" w:type="pct"/>
            <w:tcBorders>
              <w:top w:val="nil"/>
              <w:left w:val="nil"/>
              <w:bottom w:val="nil"/>
              <w:right w:val="nil"/>
            </w:tcBorders>
            <w:shd w:val="clear" w:color="auto" w:fill="auto"/>
            <w:vAlign w:val="center"/>
          </w:tcPr>
          <w:p w14:paraId="489A217C" w14:textId="77777777" w:rsidR="00BF2624" w:rsidRPr="00166751" w:rsidRDefault="00BF2624" w:rsidP="00BF2624">
            <w:pPr>
              <w:tabs>
                <w:tab w:val="right" w:pos="1202"/>
              </w:tabs>
              <w:spacing w:after="0" w:line="240" w:lineRule="auto"/>
              <w:jc w:val="right"/>
              <w:outlineLvl w:val="0"/>
              <w:rPr>
                <w:rFonts w:asciiTheme="minorHAnsi" w:hAnsiTheme="minorHAnsi" w:cs="Arial"/>
                <w:snapToGrid w:val="0"/>
                <w:sz w:val="18"/>
                <w:szCs w:val="18"/>
              </w:rPr>
            </w:pPr>
            <w:r w:rsidRPr="00166751">
              <w:rPr>
                <w:rFonts w:cs="Arial"/>
                <w:sz w:val="18"/>
                <w:szCs w:val="18"/>
              </w:rPr>
              <w:t>212,454</w:t>
            </w:r>
          </w:p>
        </w:tc>
      </w:tr>
      <w:tr w:rsidR="00BF2624" w:rsidRPr="005E2BC3" w14:paraId="105A09DF" w14:textId="77777777" w:rsidTr="00166751">
        <w:trPr>
          <w:trHeight w:val="313"/>
          <w:jc w:val="center"/>
        </w:trPr>
        <w:tc>
          <w:tcPr>
            <w:tcW w:w="1231" w:type="pct"/>
            <w:vAlign w:val="bottom"/>
          </w:tcPr>
          <w:p w14:paraId="09E17A0E" w14:textId="77777777" w:rsidR="00BF2624" w:rsidRPr="00166751" w:rsidRDefault="00BF2624" w:rsidP="00BF2624">
            <w:pPr>
              <w:tabs>
                <w:tab w:val="right" w:pos="1202"/>
              </w:tabs>
              <w:spacing w:after="0" w:line="220" w:lineRule="exact"/>
              <w:outlineLvl w:val="0"/>
              <w:rPr>
                <w:rFonts w:asciiTheme="minorHAnsi" w:eastAsia="Times New Roman" w:hAnsiTheme="minorHAnsi" w:cs="Arial"/>
                <w:sz w:val="18"/>
                <w:szCs w:val="18"/>
                <w:lang w:val="hr-HR"/>
              </w:rPr>
            </w:pPr>
            <w:r w:rsidRPr="00166751">
              <w:rPr>
                <w:rFonts w:asciiTheme="minorHAnsi" w:eastAsia="Times New Roman" w:hAnsiTheme="minorHAnsi" w:cs="Arial"/>
                <w:sz w:val="18"/>
                <w:szCs w:val="18"/>
                <w:lang w:val="en-US"/>
              </w:rPr>
              <w:t xml:space="preserve">Loans to other customers </w:t>
            </w:r>
          </w:p>
        </w:tc>
        <w:tc>
          <w:tcPr>
            <w:tcW w:w="628" w:type="pct"/>
            <w:tcBorders>
              <w:top w:val="nil"/>
              <w:left w:val="nil"/>
              <w:bottom w:val="nil"/>
              <w:right w:val="nil"/>
            </w:tcBorders>
            <w:shd w:val="clear" w:color="auto" w:fill="auto"/>
            <w:vAlign w:val="bottom"/>
          </w:tcPr>
          <w:p w14:paraId="2A142143" w14:textId="77777777" w:rsidR="00BF2624" w:rsidRPr="00166751" w:rsidRDefault="00BF2624" w:rsidP="00BF2624">
            <w:pPr>
              <w:tabs>
                <w:tab w:val="right" w:pos="1202"/>
              </w:tabs>
              <w:spacing w:after="0" w:line="240" w:lineRule="auto"/>
              <w:jc w:val="right"/>
              <w:outlineLvl w:val="0"/>
              <w:rPr>
                <w:rFonts w:asciiTheme="minorHAnsi" w:hAnsiTheme="minorHAnsi" w:cs="Arial"/>
                <w:spacing w:val="-2"/>
                <w:sz w:val="18"/>
                <w:szCs w:val="18"/>
              </w:rPr>
            </w:pPr>
            <w:r w:rsidRPr="00166751">
              <w:rPr>
                <w:rFonts w:cs="Arial"/>
                <w:sz w:val="18"/>
                <w:szCs w:val="18"/>
              </w:rPr>
              <w:t>109,035</w:t>
            </w:r>
          </w:p>
        </w:tc>
        <w:tc>
          <w:tcPr>
            <w:tcW w:w="628" w:type="pct"/>
            <w:tcBorders>
              <w:top w:val="nil"/>
              <w:left w:val="nil"/>
              <w:bottom w:val="nil"/>
              <w:right w:val="nil"/>
            </w:tcBorders>
            <w:shd w:val="clear" w:color="auto" w:fill="auto"/>
            <w:vAlign w:val="bottom"/>
          </w:tcPr>
          <w:p w14:paraId="614CC754" w14:textId="77777777" w:rsidR="00BF2624" w:rsidRPr="00166751" w:rsidRDefault="00BF2624" w:rsidP="00BF2624">
            <w:pPr>
              <w:tabs>
                <w:tab w:val="right" w:pos="1202"/>
              </w:tabs>
              <w:spacing w:after="0" w:line="240" w:lineRule="auto"/>
              <w:jc w:val="right"/>
              <w:outlineLvl w:val="0"/>
              <w:rPr>
                <w:rFonts w:asciiTheme="minorHAnsi" w:hAnsiTheme="minorHAnsi" w:cs="Arial"/>
                <w:spacing w:val="-2"/>
                <w:sz w:val="18"/>
                <w:szCs w:val="18"/>
              </w:rPr>
            </w:pPr>
            <w:r w:rsidRPr="00166751">
              <w:rPr>
                <w:rFonts w:cs="Arial"/>
                <w:sz w:val="18"/>
                <w:szCs w:val="18"/>
              </w:rPr>
              <w:t>36</w:t>
            </w:r>
          </w:p>
        </w:tc>
        <w:tc>
          <w:tcPr>
            <w:tcW w:w="628" w:type="pct"/>
            <w:tcBorders>
              <w:top w:val="nil"/>
              <w:left w:val="nil"/>
              <w:bottom w:val="nil"/>
              <w:right w:val="nil"/>
            </w:tcBorders>
            <w:shd w:val="clear" w:color="auto" w:fill="auto"/>
            <w:vAlign w:val="bottom"/>
          </w:tcPr>
          <w:p w14:paraId="5987C000" w14:textId="77777777" w:rsidR="00BF2624" w:rsidRPr="00166751" w:rsidRDefault="00BF2624" w:rsidP="00BF2624">
            <w:pPr>
              <w:tabs>
                <w:tab w:val="right" w:pos="1202"/>
              </w:tabs>
              <w:spacing w:after="0" w:line="240" w:lineRule="auto"/>
              <w:jc w:val="right"/>
              <w:outlineLvl w:val="0"/>
              <w:rPr>
                <w:rFonts w:asciiTheme="minorHAnsi" w:hAnsiTheme="minorHAnsi" w:cs="Arial"/>
                <w:spacing w:val="-2"/>
                <w:sz w:val="18"/>
                <w:szCs w:val="18"/>
              </w:rPr>
            </w:pPr>
            <w:r w:rsidRPr="00166751">
              <w:rPr>
                <w:rFonts w:cs="Arial"/>
                <w:sz w:val="18"/>
                <w:szCs w:val="18"/>
              </w:rPr>
              <w:t>8,072</w:t>
            </w:r>
          </w:p>
        </w:tc>
        <w:tc>
          <w:tcPr>
            <w:tcW w:w="628" w:type="pct"/>
            <w:tcBorders>
              <w:top w:val="nil"/>
              <w:left w:val="nil"/>
              <w:bottom w:val="nil"/>
              <w:right w:val="nil"/>
            </w:tcBorders>
            <w:shd w:val="clear" w:color="auto" w:fill="auto"/>
            <w:vAlign w:val="bottom"/>
          </w:tcPr>
          <w:p w14:paraId="47DD9BB6" w14:textId="77777777" w:rsidR="00BF2624" w:rsidRPr="00166751" w:rsidRDefault="00BF2624" w:rsidP="00BF2624">
            <w:pPr>
              <w:tabs>
                <w:tab w:val="right" w:pos="1202"/>
              </w:tabs>
              <w:spacing w:after="0" w:line="240" w:lineRule="auto"/>
              <w:jc w:val="right"/>
              <w:outlineLvl w:val="0"/>
              <w:rPr>
                <w:rFonts w:asciiTheme="minorHAnsi" w:hAnsiTheme="minorHAnsi" w:cs="Arial"/>
                <w:spacing w:val="-2"/>
                <w:sz w:val="18"/>
                <w:szCs w:val="18"/>
              </w:rPr>
            </w:pPr>
            <w:r w:rsidRPr="00166751">
              <w:rPr>
                <w:rFonts w:cs="Arial"/>
                <w:sz w:val="18"/>
                <w:szCs w:val="18"/>
              </w:rPr>
              <w:t>803</w:t>
            </w:r>
          </w:p>
        </w:tc>
        <w:tc>
          <w:tcPr>
            <w:tcW w:w="628" w:type="pct"/>
            <w:tcBorders>
              <w:top w:val="nil"/>
              <w:left w:val="nil"/>
              <w:bottom w:val="nil"/>
              <w:right w:val="nil"/>
            </w:tcBorders>
            <w:shd w:val="clear" w:color="auto" w:fill="auto"/>
            <w:vAlign w:val="bottom"/>
          </w:tcPr>
          <w:p w14:paraId="1BAB7B8C" w14:textId="77777777" w:rsidR="00BF2624" w:rsidRPr="00166751" w:rsidRDefault="00BF2624" w:rsidP="00BF2624">
            <w:pPr>
              <w:tabs>
                <w:tab w:val="right" w:pos="1202"/>
              </w:tabs>
              <w:spacing w:after="0" w:line="240" w:lineRule="auto"/>
              <w:jc w:val="right"/>
              <w:outlineLvl w:val="0"/>
              <w:rPr>
                <w:rFonts w:asciiTheme="minorHAnsi" w:hAnsiTheme="minorHAnsi" w:cs="Arial"/>
                <w:spacing w:val="-2"/>
                <w:sz w:val="18"/>
                <w:szCs w:val="18"/>
              </w:rPr>
            </w:pPr>
            <w:r w:rsidRPr="00166751">
              <w:rPr>
                <w:rFonts w:cs="Arial"/>
                <w:sz w:val="18"/>
                <w:szCs w:val="18"/>
              </w:rPr>
              <w:t>47,820</w:t>
            </w:r>
          </w:p>
        </w:tc>
        <w:tc>
          <w:tcPr>
            <w:tcW w:w="628" w:type="pct"/>
            <w:tcBorders>
              <w:top w:val="nil"/>
              <w:left w:val="nil"/>
              <w:bottom w:val="nil"/>
              <w:right w:val="nil"/>
            </w:tcBorders>
            <w:shd w:val="clear" w:color="auto" w:fill="auto"/>
            <w:vAlign w:val="bottom"/>
          </w:tcPr>
          <w:p w14:paraId="1CAF68F4" w14:textId="77777777" w:rsidR="00BF2624" w:rsidRPr="00166751" w:rsidRDefault="00BF2624" w:rsidP="00BF2624">
            <w:pPr>
              <w:tabs>
                <w:tab w:val="right" w:pos="1202"/>
              </w:tabs>
              <w:spacing w:after="0" w:line="240" w:lineRule="auto"/>
              <w:jc w:val="right"/>
              <w:outlineLvl w:val="0"/>
              <w:rPr>
                <w:rFonts w:asciiTheme="minorHAnsi" w:hAnsiTheme="minorHAnsi" w:cs="Arial"/>
                <w:spacing w:val="-2"/>
                <w:sz w:val="18"/>
                <w:szCs w:val="18"/>
              </w:rPr>
            </w:pPr>
            <w:r w:rsidRPr="00166751">
              <w:rPr>
                <w:rFonts w:cs="Arial"/>
                <w:sz w:val="18"/>
                <w:szCs w:val="18"/>
              </w:rPr>
              <w:t>165,766</w:t>
            </w:r>
          </w:p>
        </w:tc>
      </w:tr>
      <w:tr w:rsidR="00BF2624" w:rsidRPr="005E2BC3" w14:paraId="6CE1CF6D" w14:textId="77777777" w:rsidTr="00166751">
        <w:trPr>
          <w:trHeight w:val="325"/>
          <w:jc w:val="center"/>
        </w:trPr>
        <w:tc>
          <w:tcPr>
            <w:tcW w:w="1231" w:type="pct"/>
            <w:vAlign w:val="bottom"/>
          </w:tcPr>
          <w:p w14:paraId="69397073" w14:textId="77777777" w:rsidR="00BF2624" w:rsidRPr="00166751" w:rsidRDefault="00BF2624" w:rsidP="00BF2624">
            <w:pPr>
              <w:tabs>
                <w:tab w:val="right" w:pos="1202"/>
              </w:tabs>
              <w:spacing w:after="0" w:line="220" w:lineRule="exact"/>
              <w:outlineLvl w:val="0"/>
              <w:rPr>
                <w:rFonts w:asciiTheme="minorHAnsi" w:eastAsia="Times New Roman" w:hAnsiTheme="minorHAnsi" w:cs="Arial"/>
                <w:sz w:val="18"/>
                <w:szCs w:val="18"/>
                <w:lang w:val="hr-HR"/>
              </w:rPr>
            </w:pPr>
            <w:r w:rsidRPr="00166751">
              <w:rPr>
                <w:rFonts w:asciiTheme="minorHAnsi" w:eastAsia="Times New Roman" w:hAnsiTheme="minorHAnsi" w:cs="Arial"/>
                <w:sz w:val="18"/>
                <w:szCs w:val="18"/>
                <w:lang w:val="en-US"/>
              </w:rPr>
              <w:t xml:space="preserve">Other assets </w:t>
            </w:r>
          </w:p>
        </w:tc>
        <w:tc>
          <w:tcPr>
            <w:tcW w:w="628" w:type="pct"/>
            <w:tcBorders>
              <w:top w:val="nil"/>
              <w:left w:val="nil"/>
              <w:bottom w:val="single" w:sz="8" w:space="0" w:color="auto"/>
              <w:right w:val="nil"/>
            </w:tcBorders>
            <w:shd w:val="clear" w:color="auto" w:fill="auto"/>
            <w:vAlign w:val="bottom"/>
          </w:tcPr>
          <w:p w14:paraId="5B9BCDB5" w14:textId="77777777" w:rsidR="00BF2624" w:rsidRPr="00166751" w:rsidRDefault="00BF2624" w:rsidP="00BF2624">
            <w:pPr>
              <w:tabs>
                <w:tab w:val="right" w:pos="1202"/>
              </w:tabs>
              <w:spacing w:after="0" w:line="240" w:lineRule="auto"/>
              <w:jc w:val="right"/>
              <w:outlineLvl w:val="0"/>
              <w:rPr>
                <w:rFonts w:asciiTheme="minorHAnsi" w:hAnsiTheme="minorHAnsi" w:cs="Arial"/>
                <w:spacing w:val="-2"/>
                <w:sz w:val="18"/>
                <w:szCs w:val="18"/>
              </w:rPr>
            </w:pPr>
            <w:r w:rsidRPr="00166751">
              <w:rPr>
                <w:rFonts w:cs="Arial"/>
                <w:sz w:val="18"/>
                <w:szCs w:val="18"/>
              </w:rPr>
              <w:t>936</w:t>
            </w:r>
          </w:p>
        </w:tc>
        <w:tc>
          <w:tcPr>
            <w:tcW w:w="628" w:type="pct"/>
            <w:tcBorders>
              <w:top w:val="nil"/>
              <w:left w:val="nil"/>
              <w:bottom w:val="single" w:sz="8" w:space="0" w:color="auto"/>
              <w:right w:val="nil"/>
            </w:tcBorders>
            <w:shd w:val="clear" w:color="auto" w:fill="auto"/>
            <w:vAlign w:val="bottom"/>
          </w:tcPr>
          <w:p w14:paraId="032F821B" w14:textId="77777777" w:rsidR="00BF2624" w:rsidRPr="00166751" w:rsidRDefault="00BF2624" w:rsidP="00BF2624">
            <w:pPr>
              <w:tabs>
                <w:tab w:val="right" w:pos="1202"/>
              </w:tabs>
              <w:spacing w:after="0" w:line="240" w:lineRule="auto"/>
              <w:jc w:val="right"/>
              <w:outlineLvl w:val="0"/>
              <w:rPr>
                <w:rFonts w:asciiTheme="minorHAnsi" w:hAnsiTheme="minorHAnsi" w:cs="Arial"/>
                <w:spacing w:val="-2"/>
                <w:sz w:val="18"/>
                <w:szCs w:val="18"/>
              </w:rPr>
            </w:pPr>
            <w:r w:rsidRPr="00166751">
              <w:rPr>
                <w:rFonts w:cs="Arial"/>
                <w:sz w:val="18"/>
                <w:szCs w:val="18"/>
              </w:rPr>
              <w:t>200</w:t>
            </w:r>
          </w:p>
        </w:tc>
        <w:tc>
          <w:tcPr>
            <w:tcW w:w="628" w:type="pct"/>
            <w:tcBorders>
              <w:top w:val="nil"/>
              <w:left w:val="nil"/>
              <w:bottom w:val="single" w:sz="8" w:space="0" w:color="auto"/>
              <w:right w:val="nil"/>
            </w:tcBorders>
            <w:shd w:val="clear" w:color="auto" w:fill="auto"/>
            <w:vAlign w:val="bottom"/>
          </w:tcPr>
          <w:p w14:paraId="509F081F" w14:textId="77777777" w:rsidR="00BF2624" w:rsidRPr="00166751" w:rsidRDefault="00BF2624" w:rsidP="00BF2624">
            <w:pPr>
              <w:tabs>
                <w:tab w:val="right" w:pos="1202"/>
              </w:tabs>
              <w:spacing w:after="0" w:line="240" w:lineRule="auto"/>
              <w:jc w:val="right"/>
              <w:outlineLvl w:val="0"/>
              <w:rPr>
                <w:rFonts w:asciiTheme="minorHAnsi" w:hAnsiTheme="minorHAnsi" w:cs="Arial"/>
                <w:spacing w:val="-2"/>
                <w:sz w:val="18"/>
                <w:szCs w:val="18"/>
              </w:rPr>
            </w:pPr>
            <w:r w:rsidRPr="00166751">
              <w:rPr>
                <w:rFonts w:cs="Arial"/>
                <w:sz w:val="18"/>
                <w:szCs w:val="18"/>
              </w:rPr>
              <w:t>125</w:t>
            </w:r>
          </w:p>
        </w:tc>
        <w:tc>
          <w:tcPr>
            <w:tcW w:w="628" w:type="pct"/>
            <w:tcBorders>
              <w:top w:val="nil"/>
              <w:left w:val="nil"/>
              <w:bottom w:val="single" w:sz="8" w:space="0" w:color="auto"/>
              <w:right w:val="nil"/>
            </w:tcBorders>
            <w:shd w:val="clear" w:color="auto" w:fill="auto"/>
            <w:vAlign w:val="bottom"/>
          </w:tcPr>
          <w:p w14:paraId="00075D97" w14:textId="77777777" w:rsidR="00BF2624" w:rsidRPr="00166751" w:rsidRDefault="00BF2624" w:rsidP="00BF2624">
            <w:pPr>
              <w:tabs>
                <w:tab w:val="right" w:pos="1202"/>
              </w:tabs>
              <w:spacing w:after="0" w:line="240" w:lineRule="auto"/>
              <w:jc w:val="right"/>
              <w:outlineLvl w:val="0"/>
              <w:rPr>
                <w:rFonts w:asciiTheme="minorHAnsi" w:hAnsiTheme="minorHAnsi" w:cs="Arial"/>
                <w:spacing w:val="-2"/>
                <w:sz w:val="18"/>
                <w:szCs w:val="18"/>
              </w:rPr>
            </w:pPr>
            <w:r w:rsidRPr="00166751">
              <w:rPr>
                <w:rFonts w:cs="Arial"/>
                <w:sz w:val="18"/>
                <w:szCs w:val="18"/>
              </w:rPr>
              <w:t>38</w:t>
            </w:r>
          </w:p>
        </w:tc>
        <w:tc>
          <w:tcPr>
            <w:tcW w:w="628" w:type="pct"/>
            <w:tcBorders>
              <w:top w:val="nil"/>
              <w:left w:val="nil"/>
              <w:bottom w:val="single" w:sz="8" w:space="0" w:color="auto"/>
              <w:right w:val="nil"/>
            </w:tcBorders>
            <w:shd w:val="clear" w:color="auto" w:fill="auto"/>
            <w:vAlign w:val="bottom"/>
          </w:tcPr>
          <w:p w14:paraId="359E298C" w14:textId="77777777" w:rsidR="00BF2624" w:rsidRPr="00166751" w:rsidRDefault="00BF2624" w:rsidP="00BF2624">
            <w:pPr>
              <w:tabs>
                <w:tab w:val="right" w:pos="1202"/>
              </w:tabs>
              <w:spacing w:after="0" w:line="240" w:lineRule="auto"/>
              <w:jc w:val="right"/>
              <w:outlineLvl w:val="0"/>
              <w:rPr>
                <w:rFonts w:asciiTheme="minorHAnsi" w:hAnsiTheme="minorHAnsi" w:cs="Arial"/>
                <w:spacing w:val="-2"/>
                <w:sz w:val="18"/>
                <w:szCs w:val="18"/>
              </w:rPr>
            </w:pPr>
            <w:r w:rsidRPr="00166751">
              <w:rPr>
                <w:rFonts w:cs="Arial"/>
                <w:sz w:val="18"/>
                <w:szCs w:val="18"/>
              </w:rPr>
              <w:t>26</w:t>
            </w:r>
          </w:p>
        </w:tc>
        <w:tc>
          <w:tcPr>
            <w:tcW w:w="628" w:type="pct"/>
            <w:tcBorders>
              <w:top w:val="nil"/>
              <w:left w:val="nil"/>
              <w:bottom w:val="single" w:sz="8" w:space="0" w:color="auto"/>
              <w:right w:val="nil"/>
            </w:tcBorders>
            <w:shd w:val="clear" w:color="auto" w:fill="auto"/>
            <w:vAlign w:val="bottom"/>
          </w:tcPr>
          <w:p w14:paraId="0FACA27A" w14:textId="77777777" w:rsidR="00BF2624" w:rsidRPr="00166751" w:rsidRDefault="00BF2624" w:rsidP="00BF2624">
            <w:pPr>
              <w:tabs>
                <w:tab w:val="right" w:pos="1202"/>
              </w:tabs>
              <w:spacing w:after="0" w:line="240" w:lineRule="auto"/>
              <w:jc w:val="right"/>
              <w:outlineLvl w:val="0"/>
              <w:rPr>
                <w:rFonts w:asciiTheme="minorHAnsi" w:hAnsiTheme="minorHAnsi" w:cs="Arial"/>
                <w:spacing w:val="-2"/>
                <w:sz w:val="18"/>
                <w:szCs w:val="18"/>
              </w:rPr>
            </w:pPr>
            <w:r w:rsidRPr="00166751">
              <w:rPr>
                <w:rFonts w:cs="Arial"/>
                <w:sz w:val="18"/>
                <w:szCs w:val="18"/>
              </w:rPr>
              <w:t>1,325</w:t>
            </w:r>
          </w:p>
        </w:tc>
      </w:tr>
      <w:tr w:rsidR="009702B0" w:rsidRPr="005E2BC3" w14:paraId="609ECD0F" w14:textId="77777777" w:rsidTr="00BF2624">
        <w:trPr>
          <w:trHeight w:hRule="exact" w:val="113"/>
          <w:jc w:val="center"/>
        </w:trPr>
        <w:tc>
          <w:tcPr>
            <w:tcW w:w="1231" w:type="pct"/>
          </w:tcPr>
          <w:p w14:paraId="2DDF6FC6" w14:textId="77777777" w:rsidR="009702B0" w:rsidRPr="00166751" w:rsidRDefault="009702B0" w:rsidP="009702B0">
            <w:pPr>
              <w:keepNext/>
              <w:keepLines/>
              <w:tabs>
                <w:tab w:val="decimal" w:pos="1202"/>
              </w:tabs>
              <w:spacing w:after="0" w:line="120" w:lineRule="auto"/>
              <w:rPr>
                <w:rFonts w:asciiTheme="minorHAnsi" w:eastAsia="Times New Roman" w:hAnsiTheme="minorHAnsi" w:cs="Arial"/>
                <w:b/>
                <w:position w:val="4"/>
                <w:sz w:val="18"/>
                <w:szCs w:val="18"/>
                <w:lang w:val="hr-HR"/>
              </w:rPr>
            </w:pPr>
          </w:p>
        </w:tc>
        <w:tc>
          <w:tcPr>
            <w:tcW w:w="628" w:type="pct"/>
            <w:tcBorders>
              <w:top w:val="single" w:sz="8" w:space="0" w:color="auto"/>
            </w:tcBorders>
            <w:vAlign w:val="bottom"/>
          </w:tcPr>
          <w:p w14:paraId="6FCFDD69" w14:textId="77777777" w:rsidR="009702B0" w:rsidRPr="00166751" w:rsidRDefault="009702B0" w:rsidP="00BF2624">
            <w:pPr>
              <w:keepNext/>
              <w:keepLines/>
              <w:tabs>
                <w:tab w:val="left" w:pos="215"/>
                <w:tab w:val="decimal" w:pos="1295"/>
              </w:tabs>
              <w:spacing w:after="0" w:line="240" w:lineRule="auto"/>
              <w:ind w:right="-148"/>
              <w:jc w:val="right"/>
              <w:rPr>
                <w:rFonts w:asciiTheme="minorHAnsi" w:eastAsia="Times New Roman" w:hAnsiTheme="minorHAnsi" w:cs="Arial"/>
                <w:b/>
                <w:snapToGrid w:val="0"/>
                <w:position w:val="4"/>
                <w:sz w:val="18"/>
                <w:szCs w:val="18"/>
                <w:lang w:val="en-US"/>
              </w:rPr>
            </w:pPr>
          </w:p>
        </w:tc>
        <w:tc>
          <w:tcPr>
            <w:tcW w:w="628" w:type="pct"/>
            <w:tcBorders>
              <w:top w:val="single" w:sz="8" w:space="0" w:color="auto"/>
            </w:tcBorders>
            <w:vAlign w:val="bottom"/>
          </w:tcPr>
          <w:p w14:paraId="146E0739" w14:textId="77777777" w:rsidR="009702B0" w:rsidRPr="00166751" w:rsidRDefault="009702B0" w:rsidP="00BF2624">
            <w:pPr>
              <w:keepNext/>
              <w:keepLines/>
              <w:tabs>
                <w:tab w:val="left" w:pos="215"/>
                <w:tab w:val="decimal" w:pos="1295"/>
              </w:tabs>
              <w:spacing w:after="0" w:line="240" w:lineRule="auto"/>
              <w:ind w:right="-148"/>
              <w:jc w:val="right"/>
              <w:rPr>
                <w:rFonts w:asciiTheme="minorHAnsi" w:eastAsia="Times New Roman" w:hAnsiTheme="minorHAnsi" w:cs="Arial"/>
                <w:b/>
                <w:snapToGrid w:val="0"/>
                <w:position w:val="4"/>
                <w:sz w:val="18"/>
                <w:szCs w:val="18"/>
                <w:lang w:val="en-US"/>
              </w:rPr>
            </w:pPr>
          </w:p>
        </w:tc>
        <w:tc>
          <w:tcPr>
            <w:tcW w:w="628" w:type="pct"/>
            <w:tcBorders>
              <w:top w:val="single" w:sz="8" w:space="0" w:color="auto"/>
            </w:tcBorders>
            <w:vAlign w:val="bottom"/>
          </w:tcPr>
          <w:p w14:paraId="5C17D5C5" w14:textId="77777777" w:rsidR="009702B0" w:rsidRPr="00166751" w:rsidRDefault="009702B0" w:rsidP="00BF2624">
            <w:pPr>
              <w:keepNext/>
              <w:keepLines/>
              <w:tabs>
                <w:tab w:val="decimal" w:pos="1202"/>
              </w:tabs>
              <w:spacing w:after="0" w:line="240" w:lineRule="auto"/>
              <w:jc w:val="right"/>
              <w:rPr>
                <w:rFonts w:asciiTheme="minorHAnsi" w:eastAsia="Times New Roman" w:hAnsiTheme="minorHAnsi" w:cs="Arial"/>
                <w:b/>
                <w:snapToGrid w:val="0"/>
                <w:position w:val="4"/>
                <w:sz w:val="18"/>
                <w:szCs w:val="18"/>
                <w:lang w:val="en-US"/>
              </w:rPr>
            </w:pPr>
          </w:p>
        </w:tc>
        <w:tc>
          <w:tcPr>
            <w:tcW w:w="628" w:type="pct"/>
            <w:tcBorders>
              <w:top w:val="single" w:sz="8" w:space="0" w:color="auto"/>
            </w:tcBorders>
            <w:vAlign w:val="bottom"/>
          </w:tcPr>
          <w:p w14:paraId="1970CC06" w14:textId="77777777" w:rsidR="009702B0" w:rsidRPr="00166751" w:rsidRDefault="009702B0" w:rsidP="00BF2624">
            <w:pPr>
              <w:keepNext/>
              <w:keepLines/>
              <w:tabs>
                <w:tab w:val="left" w:pos="215"/>
                <w:tab w:val="decimal" w:pos="1295"/>
              </w:tabs>
              <w:spacing w:after="0" w:line="240" w:lineRule="auto"/>
              <w:ind w:right="-148"/>
              <w:jc w:val="right"/>
              <w:rPr>
                <w:rFonts w:asciiTheme="minorHAnsi" w:eastAsia="Times New Roman" w:hAnsiTheme="minorHAnsi" w:cs="Arial"/>
                <w:b/>
                <w:snapToGrid w:val="0"/>
                <w:position w:val="4"/>
                <w:sz w:val="18"/>
                <w:szCs w:val="18"/>
                <w:lang w:val="en-US"/>
              </w:rPr>
            </w:pPr>
          </w:p>
        </w:tc>
        <w:tc>
          <w:tcPr>
            <w:tcW w:w="628" w:type="pct"/>
            <w:tcBorders>
              <w:top w:val="single" w:sz="8" w:space="0" w:color="auto"/>
            </w:tcBorders>
            <w:vAlign w:val="bottom"/>
          </w:tcPr>
          <w:p w14:paraId="174FB369" w14:textId="77777777" w:rsidR="009702B0" w:rsidRPr="00166751" w:rsidRDefault="009702B0" w:rsidP="00BF2624">
            <w:pPr>
              <w:keepNext/>
              <w:keepLines/>
              <w:tabs>
                <w:tab w:val="left" w:pos="215"/>
                <w:tab w:val="decimal" w:pos="1295"/>
              </w:tabs>
              <w:spacing w:after="0" w:line="240" w:lineRule="auto"/>
              <w:ind w:right="-148"/>
              <w:jc w:val="right"/>
              <w:rPr>
                <w:rFonts w:asciiTheme="minorHAnsi" w:eastAsia="Times New Roman" w:hAnsiTheme="minorHAnsi" w:cs="Arial"/>
                <w:b/>
                <w:snapToGrid w:val="0"/>
                <w:position w:val="4"/>
                <w:sz w:val="18"/>
                <w:szCs w:val="18"/>
                <w:lang w:val="en-US"/>
              </w:rPr>
            </w:pPr>
          </w:p>
        </w:tc>
        <w:tc>
          <w:tcPr>
            <w:tcW w:w="628" w:type="pct"/>
            <w:tcBorders>
              <w:top w:val="single" w:sz="8" w:space="0" w:color="auto"/>
            </w:tcBorders>
            <w:vAlign w:val="bottom"/>
          </w:tcPr>
          <w:p w14:paraId="67A28395" w14:textId="77777777" w:rsidR="009702B0" w:rsidRPr="00166751" w:rsidRDefault="009702B0" w:rsidP="00BF2624">
            <w:pPr>
              <w:keepNext/>
              <w:keepLines/>
              <w:tabs>
                <w:tab w:val="left" w:pos="215"/>
                <w:tab w:val="decimal" w:pos="1295"/>
              </w:tabs>
              <w:spacing w:after="0" w:line="240" w:lineRule="auto"/>
              <w:ind w:right="-148"/>
              <w:jc w:val="right"/>
              <w:rPr>
                <w:rFonts w:asciiTheme="minorHAnsi" w:eastAsia="Times New Roman" w:hAnsiTheme="minorHAnsi" w:cs="Arial"/>
                <w:b/>
                <w:snapToGrid w:val="0"/>
                <w:position w:val="4"/>
                <w:sz w:val="18"/>
                <w:szCs w:val="18"/>
                <w:lang w:val="en-US"/>
              </w:rPr>
            </w:pPr>
          </w:p>
        </w:tc>
      </w:tr>
      <w:tr w:rsidR="00BF2624" w:rsidRPr="005E2BC3" w14:paraId="717ED68E" w14:textId="77777777" w:rsidTr="00166751">
        <w:trPr>
          <w:trHeight w:val="377"/>
          <w:jc w:val="center"/>
        </w:trPr>
        <w:tc>
          <w:tcPr>
            <w:tcW w:w="1231" w:type="pct"/>
            <w:vAlign w:val="bottom"/>
          </w:tcPr>
          <w:p w14:paraId="472DA1CC" w14:textId="77777777" w:rsidR="00BF2624" w:rsidRPr="00166751" w:rsidRDefault="00BF2624" w:rsidP="00BF2624">
            <w:pPr>
              <w:tabs>
                <w:tab w:val="right" w:pos="1202"/>
              </w:tabs>
              <w:spacing w:after="0" w:line="340" w:lineRule="exact"/>
              <w:outlineLvl w:val="0"/>
              <w:rPr>
                <w:rFonts w:asciiTheme="minorHAnsi" w:eastAsia="Times New Roman" w:hAnsiTheme="minorHAnsi" w:cs="Arial"/>
                <w:b/>
                <w:bCs/>
                <w:sz w:val="18"/>
                <w:szCs w:val="18"/>
                <w:lang w:val="hr-HR"/>
              </w:rPr>
            </w:pPr>
            <w:r w:rsidRPr="00166751">
              <w:rPr>
                <w:rFonts w:asciiTheme="minorHAnsi" w:hAnsiTheme="minorHAnsi" w:cs="Arial"/>
                <w:b/>
                <w:bCs/>
                <w:sz w:val="18"/>
                <w:szCs w:val="18"/>
              </w:rPr>
              <w:t>Total</w:t>
            </w:r>
          </w:p>
        </w:tc>
        <w:tc>
          <w:tcPr>
            <w:tcW w:w="628" w:type="pct"/>
            <w:tcBorders>
              <w:top w:val="nil"/>
              <w:left w:val="nil"/>
              <w:bottom w:val="single" w:sz="12" w:space="0" w:color="auto"/>
              <w:right w:val="nil"/>
            </w:tcBorders>
            <w:shd w:val="clear" w:color="auto" w:fill="auto"/>
            <w:vAlign w:val="bottom"/>
          </w:tcPr>
          <w:p w14:paraId="3CA4F7C9" w14:textId="77777777" w:rsidR="00BF2624" w:rsidRPr="00166751" w:rsidRDefault="00BF2624" w:rsidP="00BF2624">
            <w:pPr>
              <w:tabs>
                <w:tab w:val="right" w:pos="1202"/>
              </w:tabs>
              <w:spacing w:after="0" w:line="240" w:lineRule="auto"/>
              <w:jc w:val="right"/>
              <w:outlineLvl w:val="0"/>
              <w:rPr>
                <w:rFonts w:asciiTheme="minorHAnsi" w:hAnsiTheme="minorHAnsi" w:cs="Arial"/>
                <w:b/>
                <w:bCs/>
                <w:sz w:val="18"/>
                <w:szCs w:val="18"/>
              </w:rPr>
            </w:pPr>
            <w:r w:rsidRPr="00166751">
              <w:rPr>
                <w:rFonts w:cs="Arial"/>
                <w:b/>
                <w:bCs/>
                <w:sz w:val="18"/>
                <w:szCs w:val="18"/>
              </w:rPr>
              <w:t>310,335</w:t>
            </w:r>
          </w:p>
        </w:tc>
        <w:tc>
          <w:tcPr>
            <w:tcW w:w="628" w:type="pct"/>
            <w:tcBorders>
              <w:top w:val="nil"/>
              <w:left w:val="nil"/>
              <w:bottom w:val="single" w:sz="12" w:space="0" w:color="auto"/>
              <w:right w:val="nil"/>
            </w:tcBorders>
            <w:shd w:val="clear" w:color="auto" w:fill="auto"/>
            <w:vAlign w:val="bottom"/>
          </w:tcPr>
          <w:p w14:paraId="1FC2AA58" w14:textId="77777777" w:rsidR="00BF2624" w:rsidRPr="00166751" w:rsidRDefault="00BF2624" w:rsidP="00BF2624">
            <w:pPr>
              <w:tabs>
                <w:tab w:val="right" w:pos="1202"/>
              </w:tabs>
              <w:spacing w:after="0" w:line="240" w:lineRule="auto"/>
              <w:jc w:val="right"/>
              <w:outlineLvl w:val="0"/>
              <w:rPr>
                <w:rFonts w:asciiTheme="minorHAnsi" w:hAnsiTheme="minorHAnsi" w:cs="Arial"/>
                <w:b/>
                <w:bCs/>
                <w:sz w:val="18"/>
                <w:szCs w:val="18"/>
              </w:rPr>
            </w:pPr>
            <w:r w:rsidRPr="00166751">
              <w:rPr>
                <w:rFonts w:cs="Arial"/>
                <w:b/>
                <w:bCs/>
                <w:sz w:val="18"/>
                <w:szCs w:val="18"/>
              </w:rPr>
              <w:t>788</w:t>
            </w:r>
          </w:p>
        </w:tc>
        <w:tc>
          <w:tcPr>
            <w:tcW w:w="628" w:type="pct"/>
            <w:tcBorders>
              <w:top w:val="nil"/>
              <w:left w:val="nil"/>
              <w:bottom w:val="single" w:sz="12" w:space="0" w:color="auto"/>
              <w:right w:val="nil"/>
            </w:tcBorders>
            <w:shd w:val="clear" w:color="auto" w:fill="auto"/>
            <w:vAlign w:val="bottom"/>
          </w:tcPr>
          <w:p w14:paraId="0A0DC106" w14:textId="77777777" w:rsidR="00BF2624" w:rsidRPr="00166751" w:rsidRDefault="00BF2624" w:rsidP="00BF2624">
            <w:pPr>
              <w:tabs>
                <w:tab w:val="right" w:pos="1202"/>
              </w:tabs>
              <w:spacing w:after="0" w:line="240" w:lineRule="auto"/>
              <w:jc w:val="right"/>
              <w:outlineLvl w:val="0"/>
              <w:rPr>
                <w:rFonts w:asciiTheme="minorHAnsi" w:hAnsiTheme="minorHAnsi" w:cs="Arial"/>
                <w:b/>
                <w:bCs/>
                <w:sz w:val="18"/>
                <w:szCs w:val="18"/>
              </w:rPr>
            </w:pPr>
            <w:r w:rsidRPr="00166751">
              <w:rPr>
                <w:rFonts w:cs="Arial"/>
                <w:b/>
                <w:bCs/>
                <w:sz w:val="18"/>
                <w:szCs w:val="18"/>
              </w:rPr>
              <w:t>12,197</w:t>
            </w:r>
          </w:p>
        </w:tc>
        <w:tc>
          <w:tcPr>
            <w:tcW w:w="628" w:type="pct"/>
            <w:tcBorders>
              <w:top w:val="nil"/>
              <w:left w:val="nil"/>
              <w:bottom w:val="single" w:sz="12" w:space="0" w:color="auto"/>
              <w:right w:val="nil"/>
            </w:tcBorders>
            <w:shd w:val="clear" w:color="auto" w:fill="auto"/>
            <w:vAlign w:val="bottom"/>
          </w:tcPr>
          <w:p w14:paraId="4CB2A87E" w14:textId="77777777" w:rsidR="00BF2624" w:rsidRPr="00166751" w:rsidRDefault="00BF2624" w:rsidP="00BF2624">
            <w:pPr>
              <w:tabs>
                <w:tab w:val="right" w:pos="1202"/>
              </w:tabs>
              <w:spacing w:after="0" w:line="240" w:lineRule="auto"/>
              <w:jc w:val="right"/>
              <w:outlineLvl w:val="0"/>
              <w:rPr>
                <w:rFonts w:asciiTheme="minorHAnsi" w:hAnsiTheme="minorHAnsi" w:cs="Arial"/>
                <w:b/>
                <w:bCs/>
                <w:sz w:val="18"/>
                <w:szCs w:val="18"/>
              </w:rPr>
            </w:pPr>
            <w:r w:rsidRPr="00166751">
              <w:rPr>
                <w:rFonts w:cs="Arial"/>
                <w:b/>
                <w:bCs/>
                <w:sz w:val="18"/>
                <w:szCs w:val="18"/>
              </w:rPr>
              <w:t>858</w:t>
            </w:r>
          </w:p>
        </w:tc>
        <w:tc>
          <w:tcPr>
            <w:tcW w:w="628" w:type="pct"/>
            <w:tcBorders>
              <w:top w:val="nil"/>
              <w:left w:val="nil"/>
              <w:bottom w:val="single" w:sz="12" w:space="0" w:color="auto"/>
              <w:right w:val="nil"/>
            </w:tcBorders>
            <w:shd w:val="clear" w:color="auto" w:fill="auto"/>
            <w:vAlign w:val="bottom"/>
          </w:tcPr>
          <w:p w14:paraId="7CF6D524" w14:textId="77777777" w:rsidR="00BF2624" w:rsidRPr="00166751" w:rsidRDefault="00BF2624" w:rsidP="00BF2624">
            <w:pPr>
              <w:tabs>
                <w:tab w:val="right" w:pos="1202"/>
              </w:tabs>
              <w:spacing w:after="0" w:line="240" w:lineRule="auto"/>
              <w:jc w:val="right"/>
              <w:outlineLvl w:val="0"/>
              <w:rPr>
                <w:rFonts w:asciiTheme="minorHAnsi" w:hAnsiTheme="minorHAnsi" w:cs="Arial"/>
                <w:b/>
                <w:bCs/>
                <w:sz w:val="18"/>
                <w:szCs w:val="18"/>
              </w:rPr>
            </w:pPr>
            <w:r w:rsidRPr="00166751">
              <w:rPr>
                <w:rFonts w:cs="Arial"/>
                <w:b/>
                <w:bCs/>
                <w:sz w:val="18"/>
                <w:szCs w:val="18"/>
              </w:rPr>
              <w:t>55,367</w:t>
            </w:r>
          </w:p>
        </w:tc>
        <w:tc>
          <w:tcPr>
            <w:tcW w:w="628" w:type="pct"/>
            <w:tcBorders>
              <w:top w:val="nil"/>
              <w:left w:val="nil"/>
              <w:bottom w:val="single" w:sz="12" w:space="0" w:color="auto"/>
              <w:right w:val="nil"/>
            </w:tcBorders>
            <w:shd w:val="clear" w:color="auto" w:fill="auto"/>
            <w:vAlign w:val="bottom"/>
          </w:tcPr>
          <w:p w14:paraId="245BD172" w14:textId="77777777" w:rsidR="00BF2624" w:rsidRPr="00166751" w:rsidRDefault="00BF2624" w:rsidP="00BF2624">
            <w:pPr>
              <w:tabs>
                <w:tab w:val="right" w:pos="1202"/>
              </w:tabs>
              <w:spacing w:after="0" w:line="240" w:lineRule="auto"/>
              <w:jc w:val="right"/>
              <w:outlineLvl w:val="0"/>
              <w:rPr>
                <w:rFonts w:asciiTheme="minorHAnsi" w:hAnsiTheme="minorHAnsi" w:cs="Arial"/>
                <w:b/>
                <w:bCs/>
                <w:sz w:val="18"/>
                <w:szCs w:val="18"/>
              </w:rPr>
            </w:pPr>
            <w:r w:rsidRPr="00166751">
              <w:rPr>
                <w:rFonts w:cs="Arial"/>
                <w:b/>
                <w:bCs/>
                <w:sz w:val="18"/>
                <w:szCs w:val="18"/>
              </w:rPr>
              <w:t>379,545</w:t>
            </w:r>
          </w:p>
        </w:tc>
      </w:tr>
      <w:tr w:rsidR="009702B0" w:rsidRPr="005E2BC3" w14:paraId="6EA6EBA5" w14:textId="77777777" w:rsidTr="00BF2624">
        <w:trPr>
          <w:trHeight w:val="113"/>
          <w:jc w:val="center"/>
        </w:trPr>
        <w:tc>
          <w:tcPr>
            <w:tcW w:w="1231" w:type="pct"/>
          </w:tcPr>
          <w:p w14:paraId="29FA051E" w14:textId="77777777" w:rsidR="009702B0" w:rsidRPr="00166751" w:rsidRDefault="009702B0" w:rsidP="009702B0">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c>
          <w:tcPr>
            <w:tcW w:w="628" w:type="pct"/>
            <w:tcBorders>
              <w:top w:val="single" w:sz="12" w:space="0" w:color="auto"/>
            </w:tcBorders>
            <w:shd w:val="clear" w:color="auto" w:fill="auto"/>
            <w:vAlign w:val="bottom"/>
          </w:tcPr>
          <w:p w14:paraId="77A3095E" w14:textId="77777777" w:rsidR="009702B0" w:rsidRPr="00166751" w:rsidRDefault="009702B0" w:rsidP="009702B0">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c>
          <w:tcPr>
            <w:tcW w:w="629" w:type="pct"/>
            <w:tcBorders>
              <w:top w:val="single" w:sz="12" w:space="0" w:color="auto"/>
            </w:tcBorders>
            <w:shd w:val="clear" w:color="auto" w:fill="auto"/>
            <w:vAlign w:val="bottom"/>
          </w:tcPr>
          <w:p w14:paraId="44AB4133" w14:textId="77777777" w:rsidR="009702B0" w:rsidRPr="00166751" w:rsidRDefault="009702B0" w:rsidP="009702B0">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c>
          <w:tcPr>
            <w:tcW w:w="629" w:type="pct"/>
            <w:tcBorders>
              <w:top w:val="single" w:sz="12" w:space="0" w:color="auto"/>
            </w:tcBorders>
            <w:shd w:val="clear" w:color="auto" w:fill="auto"/>
            <w:vAlign w:val="bottom"/>
          </w:tcPr>
          <w:p w14:paraId="78F12AA6" w14:textId="77777777" w:rsidR="009702B0" w:rsidRPr="00166751" w:rsidRDefault="009702B0" w:rsidP="009702B0">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c>
          <w:tcPr>
            <w:tcW w:w="629" w:type="pct"/>
            <w:tcBorders>
              <w:top w:val="single" w:sz="12" w:space="0" w:color="auto"/>
            </w:tcBorders>
            <w:shd w:val="clear" w:color="auto" w:fill="auto"/>
            <w:vAlign w:val="bottom"/>
          </w:tcPr>
          <w:p w14:paraId="56FE1C70" w14:textId="77777777" w:rsidR="009702B0" w:rsidRPr="00166751" w:rsidRDefault="009702B0" w:rsidP="009702B0">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c>
          <w:tcPr>
            <w:tcW w:w="629" w:type="pct"/>
            <w:tcBorders>
              <w:top w:val="single" w:sz="12" w:space="0" w:color="auto"/>
            </w:tcBorders>
            <w:shd w:val="clear" w:color="auto" w:fill="auto"/>
          </w:tcPr>
          <w:p w14:paraId="6D95D185" w14:textId="77777777" w:rsidR="009702B0" w:rsidRPr="00166751" w:rsidRDefault="009702B0" w:rsidP="009702B0">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c>
          <w:tcPr>
            <w:tcW w:w="625" w:type="pct"/>
            <w:tcBorders>
              <w:top w:val="single" w:sz="12" w:space="0" w:color="auto"/>
            </w:tcBorders>
            <w:shd w:val="clear" w:color="auto" w:fill="auto"/>
          </w:tcPr>
          <w:p w14:paraId="2793DD8B" w14:textId="77777777" w:rsidR="009702B0" w:rsidRPr="00166751" w:rsidRDefault="009702B0" w:rsidP="009702B0">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r>
    </w:tbl>
    <w:p w14:paraId="14AB0418" w14:textId="77777777" w:rsidR="009702B0" w:rsidRPr="009702B0" w:rsidRDefault="009702B0" w:rsidP="009702B0">
      <w:pPr>
        <w:spacing w:after="0" w:line="240" w:lineRule="auto"/>
        <w:jc w:val="both"/>
        <w:rPr>
          <w:rFonts w:cs="Arial"/>
          <w:sz w:val="20"/>
          <w:szCs w:val="20"/>
        </w:rPr>
      </w:pPr>
    </w:p>
    <w:p w14:paraId="7FC8B69A" w14:textId="77777777" w:rsidR="009702B0" w:rsidRDefault="009702B0" w:rsidP="009702B0">
      <w:pPr>
        <w:spacing w:after="0" w:line="240" w:lineRule="auto"/>
        <w:jc w:val="both"/>
        <w:rPr>
          <w:rFonts w:cs="Arial"/>
          <w:sz w:val="20"/>
          <w:szCs w:val="20"/>
        </w:rPr>
      </w:pPr>
    </w:p>
    <w:p w14:paraId="52122064" w14:textId="77777777" w:rsidR="00BF2624" w:rsidRPr="009702B0" w:rsidRDefault="00BF2624" w:rsidP="009702B0">
      <w:pPr>
        <w:spacing w:after="0" w:line="240" w:lineRule="auto"/>
        <w:jc w:val="both"/>
        <w:rPr>
          <w:rFonts w:cs="Arial"/>
          <w:sz w:val="20"/>
          <w:szCs w:val="20"/>
        </w:rPr>
      </w:pPr>
    </w:p>
    <w:tbl>
      <w:tblPr>
        <w:tblW w:w="5362" w:type="pct"/>
        <w:jc w:val="center"/>
        <w:tblLayout w:type="fixed"/>
        <w:tblLook w:val="0000" w:firstRow="0" w:lastRow="0" w:firstColumn="0" w:lastColumn="0" w:noHBand="0" w:noVBand="0"/>
      </w:tblPr>
      <w:tblGrid>
        <w:gridCol w:w="2409"/>
        <w:gridCol w:w="1270"/>
        <w:gridCol w:w="1270"/>
        <w:gridCol w:w="1270"/>
        <w:gridCol w:w="1270"/>
        <w:gridCol w:w="1270"/>
        <w:gridCol w:w="1272"/>
      </w:tblGrid>
      <w:tr w:rsidR="00BF2624" w:rsidRPr="005E2BC3" w14:paraId="2273E35F" w14:textId="77777777" w:rsidTr="00BF2624">
        <w:trPr>
          <w:trHeight w:hRule="exact" w:val="763"/>
          <w:jc w:val="center"/>
        </w:trPr>
        <w:tc>
          <w:tcPr>
            <w:tcW w:w="1201" w:type="pct"/>
            <w:vAlign w:val="center"/>
          </w:tcPr>
          <w:p w14:paraId="1C716C47" w14:textId="77777777" w:rsidR="009702B0" w:rsidRPr="00166751" w:rsidRDefault="009702B0" w:rsidP="009702B0">
            <w:pPr>
              <w:spacing w:after="0" w:line="240" w:lineRule="exact"/>
              <w:rPr>
                <w:rFonts w:asciiTheme="minorHAnsi" w:eastAsia="Times New Roman" w:hAnsiTheme="minorHAnsi" w:cs="Arial"/>
                <w:b/>
                <w:sz w:val="18"/>
                <w:szCs w:val="18"/>
                <w:lang w:val="hr-HR"/>
              </w:rPr>
            </w:pPr>
            <w:r w:rsidRPr="00166751">
              <w:rPr>
                <w:rFonts w:asciiTheme="minorHAnsi" w:eastAsia="Times New Roman" w:hAnsiTheme="minorHAnsi" w:cs="Arial"/>
                <w:b/>
                <w:sz w:val="18"/>
                <w:szCs w:val="18"/>
                <w:lang w:val="hr-HR"/>
              </w:rPr>
              <w:t xml:space="preserve">Bank </w:t>
            </w:r>
          </w:p>
          <w:p w14:paraId="4653B25D" w14:textId="0FAD569D" w:rsidR="009702B0" w:rsidRPr="00166751" w:rsidRDefault="00456071" w:rsidP="009702B0">
            <w:pPr>
              <w:spacing w:after="0" w:line="240" w:lineRule="exact"/>
              <w:rPr>
                <w:rFonts w:asciiTheme="minorHAnsi" w:eastAsia="Times New Roman" w:hAnsiTheme="minorHAnsi" w:cs="Arial"/>
                <w:b/>
                <w:sz w:val="18"/>
                <w:szCs w:val="18"/>
                <w:lang w:val="hr-HR"/>
              </w:rPr>
            </w:pPr>
            <w:r>
              <w:rPr>
                <w:rFonts w:asciiTheme="minorHAnsi" w:eastAsia="Times New Roman" w:hAnsiTheme="minorHAnsi" w:cs="Arial"/>
                <w:b/>
                <w:sz w:val="18"/>
                <w:szCs w:val="18"/>
              </w:rPr>
              <w:t xml:space="preserve">Sep </w:t>
            </w:r>
            <w:r w:rsidR="000715DB">
              <w:rPr>
                <w:rFonts w:asciiTheme="minorHAnsi" w:eastAsia="Times New Roman" w:hAnsiTheme="minorHAnsi" w:cs="Arial"/>
                <w:b/>
                <w:sz w:val="18"/>
                <w:szCs w:val="18"/>
              </w:rPr>
              <w:t>30</w:t>
            </w:r>
            <w:r w:rsidR="00BF2624" w:rsidRPr="00166751">
              <w:rPr>
                <w:rFonts w:asciiTheme="minorHAnsi" w:eastAsia="Times New Roman" w:hAnsiTheme="minorHAnsi" w:cs="Arial"/>
                <w:b/>
                <w:sz w:val="18"/>
                <w:szCs w:val="18"/>
              </w:rPr>
              <w:t>, 2017</w:t>
            </w:r>
          </w:p>
        </w:tc>
        <w:tc>
          <w:tcPr>
            <w:tcW w:w="633" w:type="pct"/>
            <w:vAlign w:val="center"/>
          </w:tcPr>
          <w:p w14:paraId="13EE7A12"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Up to </w:t>
            </w:r>
          </w:p>
          <w:p w14:paraId="3ECDC7AD"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15 days</w:t>
            </w:r>
          </w:p>
        </w:tc>
        <w:tc>
          <w:tcPr>
            <w:tcW w:w="633" w:type="pct"/>
            <w:vAlign w:val="center"/>
          </w:tcPr>
          <w:p w14:paraId="77720818"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16 to 30 </w:t>
            </w:r>
          </w:p>
          <w:p w14:paraId="6CAD6F29"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days</w:t>
            </w:r>
          </w:p>
        </w:tc>
        <w:tc>
          <w:tcPr>
            <w:tcW w:w="633" w:type="pct"/>
            <w:vAlign w:val="center"/>
          </w:tcPr>
          <w:p w14:paraId="548E6E35"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31 to 60 </w:t>
            </w:r>
          </w:p>
          <w:p w14:paraId="7726B9E6"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days</w:t>
            </w:r>
          </w:p>
        </w:tc>
        <w:tc>
          <w:tcPr>
            <w:tcW w:w="633" w:type="pct"/>
            <w:vAlign w:val="center"/>
          </w:tcPr>
          <w:p w14:paraId="23B693CF"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61 to 90 </w:t>
            </w:r>
          </w:p>
          <w:p w14:paraId="2E512B5D"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days</w:t>
            </w:r>
          </w:p>
        </w:tc>
        <w:tc>
          <w:tcPr>
            <w:tcW w:w="633" w:type="pct"/>
            <w:vAlign w:val="center"/>
          </w:tcPr>
          <w:p w14:paraId="7AF96D57"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Over </w:t>
            </w:r>
          </w:p>
          <w:p w14:paraId="4DE4ABA6"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90 days</w:t>
            </w:r>
          </w:p>
        </w:tc>
        <w:tc>
          <w:tcPr>
            <w:tcW w:w="634" w:type="pct"/>
            <w:vAlign w:val="center"/>
          </w:tcPr>
          <w:p w14:paraId="5899E1AF" w14:textId="77777777"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Total </w:t>
            </w:r>
          </w:p>
        </w:tc>
      </w:tr>
      <w:tr w:rsidR="00BF2624" w:rsidRPr="005E2BC3" w14:paraId="39508996" w14:textId="77777777" w:rsidTr="00BF2624">
        <w:trPr>
          <w:trHeight w:val="277"/>
          <w:jc w:val="center"/>
        </w:trPr>
        <w:tc>
          <w:tcPr>
            <w:tcW w:w="1201" w:type="pct"/>
          </w:tcPr>
          <w:p w14:paraId="52E68376" w14:textId="77777777" w:rsidR="009702B0" w:rsidRPr="00166751" w:rsidRDefault="009702B0" w:rsidP="009702B0">
            <w:pPr>
              <w:tabs>
                <w:tab w:val="right" w:pos="1202"/>
              </w:tabs>
              <w:spacing w:after="0" w:line="301" w:lineRule="exact"/>
              <w:outlineLvl w:val="0"/>
              <w:rPr>
                <w:rFonts w:asciiTheme="minorHAnsi" w:eastAsia="Times New Roman" w:hAnsiTheme="minorHAnsi" w:cs="Arial"/>
                <w:b/>
                <w:bCs/>
                <w:sz w:val="18"/>
                <w:szCs w:val="18"/>
                <w:lang w:val="hr-HR"/>
              </w:rPr>
            </w:pPr>
            <w:r w:rsidRPr="00166751">
              <w:rPr>
                <w:rFonts w:asciiTheme="minorHAnsi" w:eastAsia="Times New Roman" w:hAnsiTheme="minorHAnsi" w:cs="Arial"/>
                <w:b/>
                <w:bCs/>
                <w:sz w:val="18"/>
                <w:szCs w:val="18"/>
                <w:lang w:val="en-US"/>
              </w:rPr>
              <w:t xml:space="preserve">Assets </w:t>
            </w:r>
          </w:p>
        </w:tc>
        <w:tc>
          <w:tcPr>
            <w:tcW w:w="633" w:type="pct"/>
          </w:tcPr>
          <w:p w14:paraId="704E186F" w14:textId="77777777"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633" w:type="pct"/>
          </w:tcPr>
          <w:p w14:paraId="7F0C60F8" w14:textId="77777777"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633" w:type="pct"/>
          </w:tcPr>
          <w:p w14:paraId="18F0F3AC" w14:textId="77777777"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633" w:type="pct"/>
          </w:tcPr>
          <w:p w14:paraId="6EC0BE69" w14:textId="77777777"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633" w:type="pct"/>
          </w:tcPr>
          <w:p w14:paraId="7355B36F" w14:textId="77777777"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634" w:type="pct"/>
          </w:tcPr>
          <w:p w14:paraId="39D19BBE" w14:textId="77777777"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r>
      <w:tr w:rsidR="00AA50E7" w:rsidRPr="005E2BC3" w14:paraId="359531EB" w14:textId="77777777" w:rsidTr="006B318F">
        <w:trPr>
          <w:trHeight w:val="288"/>
          <w:jc w:val="center"/>
        </w:trPr>
        <w:tc>
          <w:tcPr>
            <w:tcW w:w="1201" w:type="pct"/>
            <w:vAlign w:val="bottom"/>
          </w:tcPr>
          <w:p w14:paraId="61BB16DB" w14:textId="77777777" w:rsidR="00AA50E7" w:rsidRPr="00166751" w:rsidRDefault="00AA50E7" w:rsidP="00AA50E7">
            <w:pPr>
              <w:tabs>
                <w:tab w:val="right" w:pos="1202"/>
              </w:tabs>
              <w:spacing w:after="0" w:line="220" w:lineRule="exact"/>
              <w:outlineLvl w:val="0"/>
              <w:rPr>
                <w:rFonts w:asciiTheme="minorHAnsi" w:eastAsia="Times New Roman" w:hAnsiTheme="minorHAnsi" w:cs="Arial"/>
                <w:sz w:val="18"/>
                <w:szCs w:val="18"/>
                <w:lang w:val="hr-HR"/>
              </w:rPr>
            </w:pPr>
            <w:r w:rsidRPr="00166751">
              <w:rPr>
                <w:rFonts w:asciiTheme="minorHAnsi" w:eastAsia="Times New Roman" w:hAnsiTheme="minorHAnsi" w:cs="Arial"/>
                <w:sz w:val="18"/>
                <w:szCs w:val="18"/>
                <w:lang w:val="en-US"/>
              </w:rPr>
              <w:t xml:space="preserve">Loans to financial institutions </w:t>
            </w:r>
          </w:p>
        </w:tc>
        <w:tc>
          <w:tcPr>
            <w:tcW w:w="633" w:type="pct"/>
            <w:tcBorders>
              <w:top w:val="nil"/>
              <w:left w:val="nil"/>
              <w:bottom w:val="nil"/>
              <w:right w:val="nil"/>
            </w:tcBorders>
            <w:shd w:val="clear" w:color="auto" w:fill="auto"/>
            <w:vAlign w:val="bottom"/>
          </w:tcPr>
          <w:p w14:paraId="6168C7D1" w14:textId="1599F1E6" w:rsidR="00AA50E7" w:rsidRPr="00166751" w:rsidRDefault="00AA50E7" w:rsidP="00AA50E7">
            <w:pPr>
              <w:tabs>
                <w:tab w:val="right" w:pos="1202"/>
              </w:tabs>
              <w:spacing w:after="0" w:line="240" w:lineRule="auto"/>
              <w:jc w:val="right"/>
              <w:outlineLvl w:val="0"/>
              <w:rPr>
                <w:rFonts w:asciiTheme="minorHAnsi" w:hAnsiTheme="minorHAnsi" w:cs="Arial"/>
                <w:snapToGrid w:val="0"/>
                <w:sz w:val="18"/>
                <w:szCs w:val="18"/>
              </w:rPr>
            </w:pPr>
            <w:r w:rsidRPr="00310300">
              <w:rPr>
                <w:rFonts w:cs="Arial"/>
                <w:sz w:val="18"/>
                <w:szCs w:val="18"/>
              </w:rPr>
              <w:t>210</w:t>
            </w:r>
            <w:r>
              <w:rPr>
                <w:rFonts w:cs="Arial"/>
                <w:sz w:val="18"/>
                <w:szCs w:val="18"/>
              </w:rPr>
              <w:t>,</w:t>
            </w:r>
            <w:r w:rsidRPr="00310300">
              <w:rPr>
                <w:rFonts w:cs="Arial"/>
                <w:sz w:val="18"/>
                <w:szCs w:val="18"/>
              </w:rPr>
              <w:t>002</w:t>
            </w:r>
          </w:p>
        </w:tc>
        <w:tc>
          <w:tcPr>
            <w:tcW w:w="633" w:type="pct"/>
            <w:tcBorders>
              <w:top w:val="nil"/>
              <w:left w:val="nil"/>
              <w:bottom w:val="nil"/>
              <w:right w:val="nil"/>
            </w:tcBorders>
            <w:shd w:val="clear" w:color="auto" w:fill="auto"/>
            <w:vAlign w:val="bottom"/>
          </w:tcPr>
          <w:p w14:paraId="0BC68B39" w14:textId="4DE1BE53" w:rsidR="00AA50E7" w:rsidRPr="00166751" w:rsidRDefault="00AA50E7" w:rsidP="00AA50E7">
            <w:pPr>
              <w:tabs>
                <w:tab w:val="right" w:pos="1202"/>
              </w:tabs>
              <w:spacing w:after="0" w:line="240" w:lineRule="auto"/>
              <w:jc w:val="right"/>
              <w:outlineLvl w:val="0"/>
              <w:rPr>
                <w:rFonts w:asciiTheme="minorHAnsi" w:hAnsiTheme="minorHAnsi" w:cs="Arial"/>
                <w:snapToGrid w:val="0"/>
                <w:sz w:val="18"/>
                <w:szCs w:val="18"/>
              </w:rPr>
            </w:pPr>
            <w:r w:rsidRPr="00310300">
              <w:rPr>
                <w:rFonts w:cs="Arial"/>
                <w:sz w:val="18"/>
                <w:szCs w:val="18"/>
              </w:rPr>
              <w:t>55</w:t>
            </w:r>
            <w:r>
              <w:rPr>
                <w:rFonts w:cs="Arial"/>
                <w:sz w:val="18"/>
                <w:szCs w:val="18"/>
              </w:rPr>
              <w:t>,</w:t>
            </w:r>
            <w:r w:rsidRPr="00310300">
              <w:rPr>
                <w:rFonts w:cs="Arial"/>
                <w:sz w:val="18"/>
                <w:szCs w:val="18"/>
              </w:rPr>
              <w:t>790</w:t>
            </w:r>
          </w:p>
        </w:tc>
        <w:tc>
          <w:tcPr>
            <w:tcW w:w="633" w:type="pct"/>
            <w:tcBorders>
              <w:top w:val="nil"/>
              <w:left w:val="nil"/>
              <w:bottom w:val="nil"/>
              <w:right w:val="nil"/>
            </w:tcBorders>
            <w:shd w:val="clear" w:color="auto" w:fill="auto"/>
            <w:vAlign w:val="bottom"/>
          </w:tcPr>
          <w:p w14:paraId="5AD7CB91" w14:textId="56FE64CA" w:rsidR="00AA50E7" w:rsidRPr="00166751" w:rsidRDefault="00AA50E7" w:rsidP="00AA50E7">
            <w:pPr>
              <w:tabs>
                <w:tab w:val="right" w:pos="1202"/>
              </w:tabs>
              <w:spacing w:after="0" w:line="240" w:lineRule="auto"/>
              <w:jc w:val="right"/>
              <w:outlineLvl w:val="0"/>
              <w:rPr>
                <w:rFonts w:asciiTheme="minorHAnsi" w:hAnsiTheme="minorHAnsi" w:cs="Arial"/>
                <w:snapToGrid w:val="0"/>
                <w:sz w:val="18"/>
                <w:szCs w:val="18"/>
              </w:rPr>
            </w:pPr>
            <w:r w:rsidRPr="00310300">
              <w:rPr>
                <w:rFonts w:cs="Arial"/>
                <w:sz w:val="18"/>
                <w:szCs w:val="18"/>
              </w:rPr>
              <w:t>23</w:t>
            </w:r>
            <w:r>
              <w:rPr>
                <w:rFonts w:cs="Arial"/>
                <w:sz w:val="18"/>
                <w:szCs w:val="18"/>
              </w:rPr>
              <w:t>,</w:t>
            </w:r>
            <w:r w:rsidRPr="00310300">
              <w:rPr>
                <w:rFonts w:cs="Arial"/>
                <w:sz w:val="18"/>
                <w:szCs w:val="18"/>
              </w:rPr>
              <w:t>657</w:t>
            </w:r>
          </w:p>
        </w:tc>
        <w:tc>
          <w:tcPr>
            <w:tcW w:w="633" w:type="pct"/>
            <w:tcBorders>
              <w:top w:val="nil"/>
              <w:left w:val="nil"/>
              <w:bottom w:val="nil"/>
              <w:right w:val="nil"/>
            </w:tcBorders>
            <w:shd w:val="clear" w:color="auto" w:fill="auto"/>
            <w:vAlign w:val="bottom"/>
          </w:tcPr>
          <w:p w14:paraId="23A96CEB" w14:textId="786D7039" w:rsidR="00AA50E7" w:rsidRPr="00166751" w:rsidRDefault="00AA50E7" w:rsidP="00AA50E7">
            <w:pPr>
              <w:tabs>
                <w:tab w:val="right" w:pos="1202"/>
              </w:tabs>
              <w:spacing w:after="0" w:line="240" w:lineRule="auto"/>
              <w:jc w:val="right"/>
              <w:outlineLvl w:val="0"/>
              <w:rPr>
                <w:rFonts w:asciiTheme="minorHAnsi" w:hAnsiTheme="minorHAnsi" w:cs="Arial"/>
                <w:snapToGrid w:val="0"/>
                <w:sz w:val="18"/>
                <w:szCs w:val="18"/>
              </w:rPr>
            </w:pPr>
            <w:r w:rsidRPr="00310300">
              <w:rPr>
                <w:rFonts w:cs="Arial"/>
                <w:sz w:val="18"/>
                <w:szCs w:val="18"/>
              </w:rPr>
              <w:t>801</w:t>
            </w:r>
          </w:p>
        </w:tc>
        <w:tc>
          <w:tcPr>
            <w:tcW w:w="633" w:type="pct"/>
            <w:tcBorders>
              <w:top w:val="nil"/>
              <w:left w:val="nil"/>
              <w:bottom w:val="nil"/>
              <w:right w:val="nil"/>
            </w:tcBorders>
            <w:shd w:val="clear" w:color="auto" w:fill="auto"/>
            <w:vAlign w:val="bottom"/>
          </w:tcPr>
          <w:p w14:paraId="35C434C9" w14:textId="52693B58" w:rsidR="00AA50E7" w:rsidRPr="00166751" w:rsidRDefault="00AA50E7" w:rsidP="00AA50E7">
            <w:pPr>
              <w:tabs>
                <w:tab w:val="right" w:pos="1202"/>
              </w:tabs>
              <w:spacing w:after="0" w:line="240" w:lineRule="auto"/>
              <w:jc w:val="right"/>
              <w:outlineLvl w:val="0"/>
              <w:rPr>
                <w:rFonts w:asciiTheme="minorHAnsi" w:hAnsiTheme="minorHAnsi" w:cs="Arial"/>
                <w:snapToGrid w:val="0"/>
                <w:sz w:val="18"/>
                <w:szCs w:val="18"/>
              </w:rPr>
            </w:pPr>
            <w:r>
              <w:rPr>
                <w:rFonts w:cs="Arial"/>
                <w:sz w:val="18"/>
                <w:szCs w:val="18"/>
              </w:rPr>
              <w:t>-</w:t>
            </w:r>
          </w:p>
        </w:tc>
        <w:tc>
          <w:tcPr>
            <w:tcW w:w="634" w:type="pct"/>
            <w:tcBorders>
              <w:top w:val="nil"/>
              <w:left w:val="nil"/>
              <w:bottom w:val="nil"/>
              <w:right w:val="nil"/>
            </w:tcBorders>
            <w:shd w:val="clear" w:color="auto" w:fill="auto"/>
            <w:vAlign w:val="bottom"/>
          </w:tcPr>
          <w:p w14:paraId="4329CC73" w14:textId="76C2415E" w:rsidR="00AA50E7" w:rsidRPr="00166751" w:rsidRDefault="00AA50E7" w:rsidP="00AA50E7">
            <w:pPr>
              <w:tabs>
                <w:tab w:val="right" w:pos="1202"/>
              </w:tabs>
              <w:spacing w:after="0" w:line="240" w:lineRule="auto"/>
              <w:jc w:val="right"/>
              <w:outlineLvl w:val="0"/>
              <w:rPr>
                <w:rFonts w:asciiTheme="minorHAnsi" w:hAnsiTheme="minorHAnsi" w:cs="Arial"/>
                <w:snapToGrid w:val="0"/>
                <w:sz w:val="18"/>
                <w:szCs w:val="18"/>
              </w:rPr>
            </w:pPr>
            <w:r w:rsidRPr="00310300">
              <w:rPr>
                <w:rFonts w:cs="Arial"/>
                <w:sz w:val="18"/>
                <w:szCs w:val="18"/>
              </w:rPr>
              <w:t>290</w:t>
            </w:r>
            <w:r>
              <w:rPr>
                <w:rFonts w:cs="Arial"/>
                <w:sz w:val="18"/>
                <w:szCs w:val="18"/>
              </w:rPr>
              <w:t>,</w:t>
            </w:r>
            <w:r w:rsidRPr="00310300">
              <w:rPr>
                <w:rFonts w:cs="Arial"/>
                <w:sz w:val="18"/>
                <w:szCs w:val="18"/>
              </w:rPr>
              <w:t>250</w:t>
            </w:r>
          </w:p>
        </w:tc>
      </w:tr>
      <w:tr w:rsidR="00AA50E7" w:rsidRPr="005E2BC3" w14:paraId="461DF6FC" w14:textId="77777777" w:rsidTr="006B318F">
        <w:trPr>
          <w:trHeight w:val="291"/>
          <w:jc w:val="center"/>
        </w:trPr>
        <w:tc>
          <w:tcPr>
            <w:tcW w:w="1201" w:type="pct"/>
            <w:vAlign w:val="bottom"/>
          </w:tcPr>
          <w:p w14:paraId="37A8CB8E" w14:textId="77777777" w:rsidR="00AA50E7" w:rsidRPr="00166751" w:rsidRDefault="00AA50E7" w:rsidP="00AA50E7">
            <w:pPr>
              <w:tabs>
                <w:tab w:val="right" w:pos="1202"/>
              </w:tabs>
              <w:spacing w:after="0" w:line="220" w:lineRule="exact"/>
              <w:outlineLvl w:val="0"/>
              <w:rPr>
                <w:rFonts w:asciiTheme="minorHAnsi" w:eastAsia="Times New Roman" w:hAnsiTheme="minorHAnsi" w:cs="Arial"/>
                <w:sz w:val="18"/>
                <w:szCs w:val="18"/>
                <w:lang w:val="hr-HR"/>
              </w:rPr>
            </w:pPr>
            <w:r w:rsidRPr="00166751">
              <w:rPr>
                <w:rFonts w:asciiTheme="minorHAnsi" w:eastAsia="Times New Roman" w:hAnsiTheme="minorHAnsi" w:cs="Arial"/>
                <w:sz w:val="18"/>
                <w:szCs w:val="18"/>
                <w:lang w:val="en-US"/>
              </w:rPr>
              <w:t xml:space="preserve">Loans to other customers </w:t>
            </w:r>
          </w:p>
        </w:tc>
        <w:tc>
          <w:tcPr>
            <w:tcW w:w="633" w:type="pct"/>
            <w:tcBorders>
              <w:top w:val="nil"/>
              <w:left w:val="nil"/>
              <w:bottom w:val="nil"/>
              <w:right w:val="nil"/>
            </w:tcBorders>
            <w:shd w:val="clear" w:color="auto" w:fill="auto"/>
            <w:vAlign w:val="bottom"/>
          </w:tcPr>
          <w:p w14:paraId="6195CF7D" w14:textId="02F99615" w:rsidR="00AA50E7" w:rsidRPr="00166751" w:rsidRDefault="00AA50E7" w:rsidP="00AA50E7">
            <w:pPr>
              <w:tabs>
                <w:tab w:val="right" w:pos="1202"/>
              </w:tabs>
              <w:spacing w:after="0" w:line="240" w:lineRule="auto"/>
              <w:jc w:val="right"/>
              <w:outlineLvl w:val="0"/>
              <w:rPr>
                <w:rFonts w:asciiTheme="minorHAnsi" w:hAnsiTheme="minorHAnsi" w:cs="Arial"/>
                <w:spacing w:val="-2"/>
                <w:sz w:val="18"/>
                <w:szCs w:val="18"/>
              </w:rPr>
            </w:pPr>
            <w:r w:rsidRPr="00310300">
              <w:rPr>
                <w:rFonts w:cs="Arial"/>
                <w:sz w:val="18"/>
                <w:szCs w:val="18"/>
              </w:rPr>
              <w:t>70</w:t>
            </w:r>
            <w:r>
              <w:rPr>
                <w:rFonts w:cs="Arial"/>
                <w:sz w:val="18"/>
                <w:szCs w:val="18"/>
              </w:rPr>
              <w:t>,</w:t>
            </w:r>
            <w:r w:rsidRPr="00310300">
              <w:rPr>
                <w:rFonts w:cs="Arial"/>
                <w:sz w:val="18"/>
                <w:szCs w:val="18"/>
              </w:rPr>
              <w:t>863</w:t>
            </w:r>
          </w:p>
        </w:tc>
        <w:tc>
          <w:tcPr>
            <w:tcW w:w="633" w:type="pct"/>
            <w:tcBorders>
              <w:top w:val="nil"/>
              <w:left w:val="nil"/>
              <w:bottom w:val="nil"/>
              <w:right w:val="nil"/>
            </w:tcBorders>
            <w:shd w:val="clear" w:color="auto" w:fill="auto"/>
            <w:vAlign w:val="bottom"/>
          </w:tcPr>
          <w:p w14:paraId="4B45E47F" w14:textId="5B05770C" w:rsidR="00AA50E7" w:rsidRPr="00166751" w:rsidRDefault="00AA50E7" w:rsidP="00AA50E7">
            <w:pPr>
              <w:tabs>
                <w:tab w:val="right" w:pos="1202"/>
              </w:tabs>
              <w:spacing w:after="0" w:line="240" w:lineRule="auto"/>
              <w:jc w:val="right"/>
              <w:outlineLvl w:val="0"/>
              <w:rPr>
                <w:rFonts w:asciiTheme="minorHAnsi" w:hAnsiTheme="minorHAnsi" w:cs="Arial"/>
                <w:spacing w:val="-2"/>
                <w:sz w:val="18"/>
                <w:szCs w:val="18"/>
              </w:rPr>
            </w:pPr>
            <w:r w:rsidRPr="00310300">
              <w:rPr>
                <w:rFonts w:cs="Arial"/>
                <w:sz w:val="18"/>
                <w:szCs w:val="18"/>
              </w:rPr>
              <w:t>2</w:t>
            </w:r>
            <w:r>
              <w:rPr>
                <w:rFonts w:cs="Arial"/>
                <w:sz w:val="18"/>
                <w:szCs w:val="18"/>
              </w:rPr>
              <w:t>,</w:t>
            </w:r>
            <w:r w:rsidRPr="00310300">
              <w:rPr>
                <w:rFonts w:cs="Arial"/>
                <w:sz w:val="18"/>
                <w:szCs w:val="18"/>
              </w:rPr>
              <w:t>634</w:t>
            </w:r>
          </w:p>
        </w:tc>
        <w:tc>
          <w:tcPr>
            <w:tcW w:w="633" w:type="pct"/>
            <w:tcBorders>
              <w:top w:val="nil"/>
              <w:left w:val="nil"/>
              <w:bottom w:val="nil"/>
              <w:right w:val="nil"/>
            </w:tcBorders>
            <w:shd w:val="clear" w:color="auto" w:fill="auto"/>
            <w:vAlign w:val="bottom"/>
          </w:tcPr>
          <w:p w14:paraId="535BC02A" w14:textId="7BB4F5BA" w:rsidR="00AA50E7" w:rsidRPr="00166751" w:rsidRDefault="00AA50E7" w:rsidP="00AA50E7">
            <w:pPr>
              <w:tabs>
                <w:tab w:val="right" w:pos="1202"/>
              </w:tabs>
              <w:spacing w:after="0" w:line="240" w:lineRule="auto"/>
              <w:jc w:val="right"/>
              <w:outlineLvl w:val="0"/>
              <w:rPr>
                <w:rFonts w:asciiTheme="minorHAnsi" w:hAnsiTheme="minorHAnsi" w:cs="Arial"/>
                <w:spacing w:val="-2"/>
                <w:sz w:val="18"/>
                <w:szCs w:val="18"/>
              </w:rPr>
            </w:pPr>
            <w:r w:rsidRPr="00310300">
              <w:rPr>
                <w:rFonts w:cs="Arial"/>
                <w:sz w:val="18"/>
                <w:szCs w:val="18"/>
              </w:rPr>
              <w:t>21</w:t>
            </w:r>
          </w:p>
        </w:tc>
        <w:tc>
          <w:tcPr>
            <w:tcW w:w="633" w:type="pct"/>
            <w:tcBorders>
              <w:top w:val="nil"/>
              <w:left w:val="nil"/>
              <w:bottom w:val="nil"/>
              <w:right w:val="nil"/>
            </w:tcBorders>
            <w:shd w:val="clear" w:color="auto" w:fill="auto"/>
            <w:vAlign w:val="bottom"/>
          </w:tcPr>
          <w:p w14:paraId="01E7F7E8" w14:textId="195C5128" w:rsidR="00AA50E7" w:rsidRPr="00166751" w:rsidRDefault="00AA50E7" w:rsidP="00AA50E7">
            <w:pPr>
              <w:tabs>
                <w:tab w:val="right" w:pos="1202"/>
              </w:tabs>
              <w:spacing w:after="0" w:line="240" w:lineRule="auto"/>
              <w:jc w:val="right"/>
              <w:outlineLvl w:val="0"/>
              <w:rPr>
                <w:rFonts w:asciiTheme="minorHAnsi" w:hAnsiTheme="minorHAnsi" w:cs="Arial"/>
                <w:spacing w:val="-2"/>
                <w:sz w:val="18"/>
                <w:szCs w:val="18"/>
              </w:rPr>
            </w:pPr>
            <w:r w:rsidRPr="00310300">
              <w:rPr>
                <w:rFonts w:cs="Arial"/>
                <w:sz w:val="18"/>
                <w:szCs w:val="18"/>
              </w:rPr>
              <w:t>1</w:t>
            </w:r>
            <w:r>
              <w:rPr>
                <w:rFonts w:cs="Arial"/>
                <w:sz w:val="18"/>
                <w:szCs w:val="18"/>
              </w:rPr>
              <w:t>,</w:t>
            </w:r>
            <w:r w:rsidRPr="00310300">
              <w:rPr>
                <w:rFonts w:cs="Arial"/>
                <w:sz w:val="18"/>
                <w:szCs w:val="18"/>
              </w:rPr>
              <w:t>612</w:t>
            </w:r>
          </w:p>
        </w:tc>
        <w:tc>
          <w:tcPr>
            <w:tcW w:w="633" w:type="pct"/>
            <w:tcBorders>
              <w:top w:val="nil"/>
              <w:left w:val="nil"/>
              <w:bottom w:val="nil"/>
              <w:right w:val="nil"/>
            </w:tcBorders>
            <w:shd w:val="clear" w:color="auto" w:fill="auto"/>
            <w:vAlign w:val="bottom"/>
          </w:tcPr>
          <w:p w14:paraId="3B1E414B" w14:textId="172B208D" w:rsidR="00AA50E7" w:rsidRPr="00166751" w:rsidRDefault="00AA50E7" w:rsidP="00AA50E7">
            <w:pPr>
              <w:tabs>
                <w:tab w:val="right" w:pos="1202"/>
              </w:tabs>
              <w:spacing w:after="0" w:line="240" w:lineRule="auto"/>
              <w:jc w:val="right"/>
              <w:outlineLvl w:val="0"/>
              <w:rPr>
                <w:rFonts w:asciiTheme="minorHAnsi" w:hAnsiTheme="minorHAnsi" w:cs="Arial"/>
                <w:spacing w:val="-2"/>
                <w:sz w:val="18"/>
                <w:szCs w:val="18"/>
              </w:rPr>
            </w:pPr>
            <w:r w:rsidRPr="00310300">
              <w:rPr>
                <w:rFonts w:cs="Arial"/>
                <w:sz w:val="18"/>
                <w:szCs w:val="18"/>
              </w:rPr>
              <w:t>101</w:t>
            </w:r>
            <w:r>
              <w:rPr>
                <w:rFonts w:cs="Arial"/>
                <w:sz w:val="18"/>
                <w:szCs w:val="18"/>
              </w:rPr>
              <w:t>,</w:t>
            </w:r>
            <w:r w:rsidRPr="00310300">
              <w:rPr>
                <w:rFonts w:cs="Arial"/>
                <w:sz w:val="18"/>
                <w:szCs w:val="18"/>
              </w:rPr>
              <w:t>386</w:t>
            </w:r>
          </w:p>
        </w:tc>
        <w:tc>
          <w:tcPr>
            <w:tcW w:w="634" w:type="pct"/>
            <w:tcBorders>
              <w:top w:val="nil"/>
              <w:left w:val="nil"/>
              <w:bottom w:val="nil"/>
              <w:right w:val="nil"/>
            </w:tcBorders>
            <w:shd w:val="clear" w:color="auto" w:fill="auto"/>
            <w:vAlign w:val="bottom"/>
          </w:tcPr>
          <w:p w14:paraId="12BBB511" w14:textId="4AD86CEA" w:rsidR="00AA50E7" w:rsidRPr="00166751" w:rsidRDefault="00AA50E7" w:rsidP="00AA50E7">
            <w:pPr>
              <w:tabs>
                <w:tab w:val="right" w:pos="1202"/>
              </w:tabs>
              <w:spacing w:after="0" w:line="240" w:lineRule="auto"/>
              <w:jc w:val="right"/>
              <w:outlineLvl w:val="0"/>
              <w:rPr>
                <w:rFonts w:asciiTheme="minorHAnsi" w:hAnsiTheme="minorHAnsi" w:cs="Arial"/>
                <w:spacing w:val="-2"/>
                <w:sz w:val="18"/>
                <w:szCs w:val="18"/>
              </w:rPr>
            </w:pPr>
            <w:r w:rsidRPr="00310300">
              <w:rPr>
                <w:rFonts w:cs="Arial"/>
                <w:sz w:val="18"/>
                <w:szCs w:val="18"/>
              </w:rPr>
              <w:t>176</w:t>
            </w:r>
            <w:r>
              <w:rPr>
                <w:rFonts w:cs="Arial"/>
                <w:sz w:val="18"/>
                <w:szCs w:val="18"/>
              </w:rPr>
              <w:t>,</w:t>
            </w:r>
            <w:r w:rsidRPr="00310300">
              <w:rPr>
                <w:rFonts w:cs="Arial"/>
                <w:sz w:val="18"/>
                <w:szCs w:val="18"/>
              </w:rPr>
              <w:t>516</w:t>
            </w:r>
          </w:p>
        </w:tc>
      </w:tr>
      <w:tr w:rsidR="00AA50E7" w:rsidRPr="005E2BC3" w14:paraId="03B54989" w14:textId="77777777" w:rsidTr="006B318F">
        <w:trPr>
          <w:trHeight w:val="277"/>
          <w:jc w:val="center"/>
        </w:trPr>
        <w:tc>
          <w:tcPr>
            <w:tcW w:w="1201" w:type="pct"/>
            <w:vAlign w:val="bottom"/>
          </w:tcPr>
          <w:p w14:paraId="06990907" w14:textId="77777777" w:rsidR="00AA50E7" w:rsidRPr="00166751" w:rsidRDefault="00AA50E7" w:rsidP="00AA50E7">
            <w:pPr>
              <w:tabs>
                <w:tab w:val="right" w:pos="1202"/>
              </w:tabs>
              <w:spacing w:after="0" w:line="220" w:lineRule="exact"/>
              <w:outlineLvl w:val="0"/>
              <w:rPr>
                <w:rFonts w:asciiTheme="minorHAnsi" w:eastAsia="Times New Roman" w:hAnsiTheme="minorHAnsi" w:cs="Arial"/>
                <w:sz w:val="18"/>
                <w:szCs w:val="18"/>
                <w:lang w:val="hr-HR"/>
              </w:rPr>
            </w:pPr>
            <w:r w:rsidRPr="00166751">
              <w:rPr>
                <w:rFonts w:asciiTheme="minorHAnsi" w:eastAsia="Times New Roman" w:hAnsiTheme="minorHAnsi" w:cs="Arial"/>
                <w:sz w:val="18"/>
                <w:szCs w:val="18"/>
                <w:lang w:val="en-US"/>
              </w:rPr>
              <w:t xml:space="preserve">Other assets </w:t>
            </w:r>
          </w:p>
        </w:tc>
        <w:tc>
          <w:tcPr>
            <w:tcW w:w="633" w:type="pct"/>
            <w:tcBorders>
              <w:top w:val="nil"/>
              <w:left w:val="nil"/>
              <w:bottom w:val="single" w:sz="8" w:space="0" w:color="auto"/>
              <w:right w:val="nil"/>
            </w:tcBorders>
            <w:shd w:val="clear" w:color="auto" w:fill="auto"/>
            <w:vAlign w:val="bottom"/>
          </w:tcPr>
          <w:p w14:paraId="37FBFF1A" w14:textId="6BD7354E" w:rsidR="00AA50E7" w:rsidRPr="00166751" w:rsidRDefault="00AA50E7" w:rsidP="00AA50E7">
            <w:pPr>
              <w:tabs>
                <w:tab w:val="right" w:pos="1202"/>
              </w:tabs>
              <w:spacing w:after="0" w:line="240" w:lineRule="auto"/>
              <w:jc w:val="right"/>
              <w:outlineLvl w:val="0"/>
              <w:rPr>
                <w:rFonts w:asciiTheme="minorHAnsi" w:hAnsiTheme="minorHAnsi" w:cs="Arial"/>
                <w:snapToGrid w:val="0"/>
                <w:sz w:val="18"/>
                <w:szCs w:val="18"/>
              </w:rPr>
            </w:pPr>
            <w:r w:rsidRPr="00310300">
              <w:rPr>
                <w:rFonts w:cs="Arial"/>
                <w:sz w:val="18"/>
                <w:szCs w:val="18"/>
              </w:rPr>
              <w:t>164</w:t>
            </w:r>
          </w:p>
        </w:tc>
        <w:tc>
          <w:tcPr>
            <w:tcW w:w="633" w:type="pct"/>
            <w:tcBorders>
              <w:top w:val="nil"/>
              <w:left w:val="nil"/>
              <w:bottom w:val="single" w:sz="8" w:space="0" w:color="auto"/>
              <w:right w:val="nil"/>
            </w:tcBorders>
            <w:shd w:val="clear" w:color="auto" w:fill="auto"/>
            <w:vAlign w:val="bottom"/>
          </w:tcPr>
          <w:p w14:paraId="59764CB4" w14:textId="3A24EB8B" w:rsidR="00AA50E7" w:rsidRPr="00166751" w:rsidRDefault="00AA50E7" w:rsidP="00AA50E7">
            <w:pPr>
              <w:tabs>
                <w:tab w:val="right" w:pos="1202"/>
              </w:tabs>
              <w:spacing w:after="0" w:line="240" w:lineRule="auto"/>
              <w:jc w:val="right"/>
              <w:outlineLvl w:val="0"/>
              <w:rPr>
                <w:rFonts w:asciiTheme="minorHAnsi" w:hAnsiTheme="minorHAnsi" w:cs="Arial"/>
                <w:snapToGrid w:val="0"/>
                <w:sz w:val="18"/>
                <w:szCs w:val="18"/>
              </w:rPr>
            </w:pPr>
            <w:r w:rsidRPr="00310300">
              <w:rPr>
                <w:rFonts w:cs="Arial"/>
                <w:sz w:val="18"/>
                <w:szCs w:val="18"/>
              </w:rPr>
              <w:t>2</w:t>
            </w:r>
          </w:p>
        </w:tc>
        <w:tc>
          <w:tcPr>
            <w:tcW w:w="633" w:type="pct"/>
            <w:tcBorders>
              <w:top w:val="nil"/>
              <w:left w:val="nil"/>
              <w:bottom w:val="single" w:sz="8" w:space="0" w:color="auto"/>
              <w:right w:val="nil"/>
            </w:tcBorders>
            <w:shd w:val="clear" w:color="auto" w:fill="auto"/>
            <w:vAlign w:val="bottom"/>
          </w:tcPr>
          <w:p w14:paraId="2A698170" w14:textId="356D173A" w:rsidR="00AA50E7" w:rsidRPr="00166751" w:rsidRDefault="00AA50E7" w:rsidP="00AA50E7">
            <w:pPr>
              <w:tabs>
                <w:tab w:val="right" w:pos="1202"/>
              </w:tabs>
              <w:spacing w:after="0" w:line="240" w:lineRule="auto"/>
              <w:jc w:val="right"/>
              <w:outlineLvl w:val="0"/>
              <w:rPr>
                <w:rFonts w:asciiTheme="minorHAnsi" w:hAnsiTheme="minorHAnsi" w:cs="Arial"/>
                <w:snapToGrid w:val="0"/>
                <w:sz w:val="18"/>
                <w:szCs w:val="18"/>
              </w:rPr>
            </w:pPr>
            <w:r>
              <w:rPr>
                <w:rFonts w:cs="Arial"/>
                <w:sz w:val="18"/>
                <w:szCs w:val="18"/>
              </w:rPr>
              <w:t>-</w:t>
            </w:r>
          </w:p>
        </w:tc>
        <w:tc>
          <w:tcPr>
            <w:tcW w:w="633" w:type="pct"/>
            <w:tcBorders>
              <w:top w:val="nil"/>
              <w:left w:val="nil"/>
              <w:bottom w:val="single" w:sz="8" w:space="0" w:color="auto"/>
              <w:right w:val="nil"/>
            </w:tcBorders>
            <w:shd w:val="clear" w:color="auto" w:fill="auto"/>
            <w:vAlign w:val="bottom"/>
          </w:tcPr>
          <w:p w14:paraId="2C977CAE" w14:textId="3520DCD8" w:rsidR="00AA50E7" w:rsidRPr="00166751" w:rsidRDefault="00AA50E7" w:rsidP="00AA50E7">
            <w:pPr>
              <w:tabs>
                <w:tab w:val="right" w:pos="1202"/>
              </w:tabs>
              <w:spacing w:after="0" w:line="240" w:lineRule="auto"/>
              <w:jc w:val="right"/>
              <w:outlineLvl w:val="0"/>
              <w:rPr>
                <w:rFonts w:asciiTheme="minorHAnsi" w:hAnsiTheme="minorHAnsi" w:cs="Arial"/>
                <w:snapToGrid w:val="0"/>
                <w:sz w:val="18"/>
                <w:szCs w:val="18"/>
              </w:rPr>
            </w:pPr>
            <w:r w:rsidRPr="00310300">
              <w:rPr>
                <w:rFonts w:cs="Arial"/>
                <w:sz w:val="18"/>
                <w:szCs w:val="18"/>
              </w:rPr>
              <w:t>247</w:t>
            </w:r>
          </w:p>
        </w:tc>
        <w:tc>
          <w:tcPr>
            <w:tcW w:w="633" w:type="pct"/>
            <w:tcBorders>
              <w:top w:val="nil"/>
              <w:left w:val="nil"/>
              <w:bottom w:val="single" w:sz="8" w:space="0" w:color="auto"/>
              <w:right w:val="nil"/>
            </w:tcBorders>
            <w:shd w:val="clear" w:color="auto" w:fill="auto"/>
            <w:vAlign w:val="bottom"/>
          </w:tcPr>
          <w:p w14:paraId="4A96F4A1" w14:textId="48C51CF7" w:rsidR="00AA50E7" w:rsidRPr="00166751" w:rsidRDefault="00AA50E7" w:rsidP="00AA50E7">
            <w:pPr>
              <w:tabs>
                <w:tab w:val="right" w:pos="1202"/>
              </w:tabs>
              <w:spacing w:after="0" w:line="240" w:lineRule="auto"/>
              <w:jc w:val="right"/>
              <w:outlineLvl w:val="0"/>
              <w:rPr>
                <w:rFonts w:asciiTheme="minorHAnsi" w:hAnsiTheme="minorHAnsi" w:cs="Arial"/>
                <w:snapToGrid w:val="0"/>
                <w:sz w:val="18"/>
                <w:szCs w:val="18"/>
              </w:rPr>
            </w:pPr>
            <w:r w:rsidRPr="00310300">
              <w:rPr>
                <w:rFonts w:cs="Arial"/>
                <w:sz w:val="18"/>
                <w:szCs w:val="18"/>
              </w:rPr>
              <w:t>412</w:t>
            </w:r>
          </w:p>
        </w:tc>
        <w:tc>
          <w:tcPr>
            <w:tcW w:w="634" w:type="pct"/>
            <w:tcBorders>
              <w:top w:val="nil"/>
              <w:left w:val="nil"/>
              <w:bottom w:val="single" w:sz="8" w:space="0" w:color="auto"/>
              <w:right w:val="nil"/>
            </w:tcBorders>
            <w:shd w:val="clear" w:color="auto" w:fill="auto"/>
            <w:vAlign w:val="bottom"/>
          </w:tcPr>
          <w:p w14:paraId="1C33A107" w14:textId="4CF5090B" w:rsidR="00AA50E7" w:rsidRPr="00166751" w:rsidRDefault="00AA50E7" w:rsidP="00AA50E7">
            <w:pPr>
              <w:tabs>
                <w:tab w:val="right" w:pos="1202"/>
              </w:tabs>
              <w:spacing w:after="0" w:line="240" w:lineRule="auto"/>
              <w:jc w:val="right"/>
              <w:outlineLvl w:val="0"/>
              <w:rPr>
                <w:rFonts w:asciiTheme="minorHAnsi" w:hAnsiTheme="minorHAnsi" w:cs="Arial"/>
                <w:snapToGrid w:val="0"/>
                <w:sz w:val="18"/>
                <w:szCs w:val="18"/>
              </w:rPr>
            </w:pPr>
            <w:r w:rsidRPr="00310300">
              <w:rPr>
                <w:rFonts w:cs="Arial"/>
                <w:sz w:val="18"/>
                <w:szCs w:val="18"/>
              </w:rPr>
              <w:t>825</w:t>
            </w:r>
          </w:p>
        </w:tc>
      </w:tr>
      <w:tr w:rsidR="00A94F0C" w:rsidRPr="005E2BC3" w14:paraId="66911104" w14:textId="77777777" w:rsidTr="00166751">
        <w:trPr>
          <w:trHeight w:hRule="exact" w:val="113"/>
          <w:jc w:val="center"/>
        </w:trPr>
        <w:tc>
          <w:tcPr>
            <w:tcW w:w="1201" w:type="pct"/>
          </w:tcPr>
          <w:p w14:paraId="5CD2C4E4" w14:textId="77777777" w:rsidR="00A94F0C" w:rsidRPr="00166751" w:rsidRDefault="00A94F0C" w:rsidP="00A94F0C">
            <w:pPr>
              <w:keepNext/>
              <w:keepLines/>
              <w:tabs>
                <w:tab w:val="decimal" w:pos="1202"/>
              </w:tabs>
              <w:spacing w:after="0" w:line="120" w:lineRule="auto"/>
              <w:rPr>
                <w:rFonts w:asciiTheme="minorHAnsi" w:eastAsia="Times New Roman" w:hAnsiTheme="minorHAnsi" w:cs="Arial"/>
                <w:b/>
                <w:position w:val="4"/>
                <w:sz w:val="18"/>
                <w:szCs w:val="18"/>
                <w:lang w:val="hr-HR"/>
              </w:rPr>
            </w:pPr>
          </w:p>
        </w:tc>
        <w:tc>
          <w:tcPr>
            <w:tcW w:w="633" w:type="pct"/>
            <w:tcBorders>
              <w:top w:val="single" w:sz="8" w:space="0" w:color="auto"/>
            </w:tcBorders>
            <w:vAlign w:val="bottom"/>
          </w:tcPr>
          <w:p w14:paraId="1CD83A8B" w14:textId="77777777" w:rsidR="00A94F0C" w:rsidRPr="00166751" w:rsidRDefault="00A94F0C" w:rsidP="00A94F0C">
            <w:pPr>
              <w:keepNext/>
              <w:keepLines/>
              <w:tabs>
                <w:tab w:val="left" w:pos="215"/>
                <w:tab w:val="decimal" w:pos="1295"/>
              </w:tabs>
              <w:spacing w:after="0" w:line="240" w:lineRule="auto"/>
              <w:ind w:right="-148"/>
              <w:jc w:val="right"/>
              <w:rPr>
                <w:rFonts w:eastAsia="Times New Roman" w:cs="Arial"/>
                <w:b/>
                <w:snapToGrid w:val="0"/>
                <w:position w:val="4"/>
                <w:sz w:val="18"/>
                <w:szCs w:val="18"/>
              </w:rPr>
            </w:pPr>
          </w:p>
        </w:tc>
        <w:tc>
          <w:tcPr>
            <w:tcW w:w="633" w:type="pct"/>
            <w:tcBorders>
              <w:top w:val="single" w:sz="8" w:space="0" w:color="auto"/>
            </w:tcBorders>
            <w:vAlign w:val="bottom"/>
          </w:tcPr>
          <w:p w14:paraId="2E4AA690" w14:textId="77777777" w:rsidR="00A94F0C" w:rsidRPr="00166751" w:rsidRDefault="00A94F0C" w:rsidP="00A94F0C">
            <w:pPr>
              <w:keepNext/>
              <w:keepLines/>
              <w:tabs>
                <w:tab w:val="left" w:pos="215"/>
                <w:tab w:val="decimal" w:pos="1295"/>
              </w:tabs>
              <w:spacing w:after="0" w:line="240" w:lineRule="auto"/>
              <w:ind w:right="-148"/>
              <w:jc w:val="right"/>
              <w:rPr>
                <w:rFonts w:eastAsia="Times New Roman" w:cs="Arial"/>
                <w:b/>
                <w:snapToGrid w:val="0"/>
                <w:position w:val="4"/>
                <w:sz w:val="18"/>
                <w:szCs w:val="18"/>
              </w:rPr>
            </w:pPr>
          </w:p>
        </w:tc>
        <w:tc>
          <w:tcPr>
            <w:tcW w:w="633" w:type="pct"/>
            <w:tcBorders>
              <w:top w:val="single" w:sz="8" w:space="0" w:color="auto"/>
            </w:tcBorders>
            <w:vAlign w:val="bottom"/>
          </w:tcPr>
          <w:p w14:paraId="00E4A168" w14:textId="77777777" w:rsidR="00A94F0C" w:rsidRPr="00166751" w:rsidRDefault="00A94F0C" w:rsidP="00A94F0C">
            <w:pPr>
              <w:keepNext/>
              <w:keepLines/>
              <w:tabs>
                <w:tab w:val="decimal" w:pos="1202"/>
              </w:tabs>
              <w:spacing w:after="0" w:line="240" w:lineRule="auto"/>
              <w:jc w:val="right"/>
              <w:rPr>
                <w:rFonts w:eastAsia="Times New Roman" w:cs="Arial"/>
                <w:b/>
                <w:snapToGrid w:val="0"/>
                <w:position w:val="4"/>
                <w:sz w:val="18"/>
                <w:szCs w:val="18"/>
              </w:rPr>
            </w:pPr>
          </w:p>
        </w:tc>
        <w:tc>
          <w:tcPr>
            <w:tcW w:w="633" w:type="pct"/>
            <w:tcBorders>
              <w:top w:val="single" w:sz="8" w:space="0" w:color="auto"/>
            </w:tcBorders>
            <w:vAlign w:val="bottom"/>
          </w:tcPr>
          <w:p w14:paraId="5E10C402" w14:textId="77777777" w:rsidR="00A94F0C" w:rsidRPr="00166751" w:rsidRDefault="00A94F0C" w:rsidP="00A94F0C">
            <w:pPr>
              <w:keepNext/>
              <w:keepLines/>
              <w:tabs>
                <w:tab w:val="left" w:pos="215"/>
                <w:tab w:val="decimal" w:pos="1295"/>
              </w:tabs>
              <w:spacing w:after="0" w:line="240" w:lineRule="auto"/>
              <w:ind w:right="-148"/>
              <w:jc w:val="right"/>
              <w:rPr>
                <w:rFonts w:eastAsia="Times New Roman" w:cs="Arial"/>
                <w:b/>
                <w:snapToGrid w:val="0"/>
                <w:position w:val="4"/>
                <w:sz w:val="18"/>
                <w:szCs w:val="18"/>
              </w:rPr>
            </w:pPr>
          </w:p>
        </w:tc>
        <w:tc>
          <w:tcPr>
            <w:tcW w:w="633" w:type="pct"/>
            <w:tcBorders>
              <w:top w:val="single" w:sz="8" w:space="0" w:color="auto"/>
            </w:tcBorders>
            <w:vAlign w:val="bottom"/>
          </w:tcPr>
          <w:p w14:paraId="443C6788" w14:textId="77777777" w:rsidR="00A94F0C" w:rsidRPr="00166751" w:rsidRDefault="00A94F0C" w:rsidP="00A94F0C">
            <w:pPr>
              <w:keepNext/>
              <w:keepLines/>
              <w:tabs>
                <w:tab w:val="left" w:pos="215"/>
                <w:tab w:val="decimal" w:pos="1295"/>
              </w:tabs>
              <w:spacing w:after="0" w:line="240" w:lineRule="auto"/>
              <w:ind w:right="-148"/>
              <w:jc w:val="right"/>
              <w:rPr>
                <w:rFonts w:eastAsia="Times New Roman" w:cs="Arial"/>
                <w:b/>
                <w:snapToGrid w:val="0"/>
                <w:position w:val="4"/>
                <w:sz w:val="18"/>
                <w:szCs w:val="18"/>
              </w:rPr>
            </w:pPr>
          </w:p>
        </w:tc>
        <w:tc>
          <w:tcPr>
            <w:tcW w:w="634" w:type="pct"/>
            <w:tcBorders>
              <w:top w:val="single" w:sz="8" w:space="0" w:color="auto"/>
            </w:tcBorders>
            <w:vAlign w:val="bottom"/>
          </w:tcPr>
          <w:p w14:paraId="5C5C9370" w14:textId="77777777" w:rsidR="00A94F0C" w:rsidRPr="00166751" w:rsidRDefault="00A94F0C" w:rsidP="00A94F0C">
            <w:pPr>
              <w:keepNext/>
              <w:keepLines/>
              <w:tabs>
                <w:tab w:val="left" w:pos="215"/>
                <w:tab w:val="decimal" w:pos="1295"/>
              </w:tabs>
              <w:spacing w:after="0" w:line="240" w:lineRule="auto"/>
              <w:ind w:right="-148"/>
              <w:jc w:val="right"/>
              <w:rPr>
                <w:rFonts w:eastAsia="Times New Roman" w:cs="Arial"/>
                <w:b/>
                <w:snapToGrid w:val="0"/>
                <w:position w:val="4"/>
                <w:sz w:val="18"/>
                <w:szCs w:val="18"/>
              </w:rPr>
            </w:pPr>
          </w:p>
        </w:tc>
      </w:tr>
      <w:tr w:rsidR="00AA50E7" w:rsidRPr="005E2BC3" w14:paraId="591141E4" w14:textId="77777777" w:rsidTr="006B318F">
        <w:trPr>
          <w:trHeight w:val="363"/>
          <w:jc w:val="center"/>
        </w:trPr>
        <w:tc>
          <w:tcPr>
            <w:tcW w:w="1201" w:type="pct"/>
          </w:tcPr>
          <w:p w14:paraId="6646C4C8" w14:textId="77777777" w:rsidR="00AA50E7" w:rsidRPr="00166751" w:rsidRDefault="00AA50E7" w:rsidP="00AA50E7">
            <w:pPr>
              <w:tabs>
                <w:tab w:val="right" w:pos="1202"/>
              </w:tabs>
              <w:spacing w:after="0" w:line="340" w:lineRule="exact"/>
              <w:outlineLvl w:val="0"/>
              <w:rPr>
                <w:rFonts w:asciiTheme="minorHAnsi" w:eastAsia="Times New Roman" w:hAnsiTheme="minorHAnsi" w:cs="Arial"/>
                <w:b/>
                <w:bCs/>
                <w:sz w:val="18"/>
                <w:szCs w:val="18"/>
                <w:lang w:val="hr-HR"/>
              </w:rPr>
            </w:pPr>
            <w:r w:rsidRPr="00166751">
              <w:rPr>
                <w:rFonts w:asciiTheme="minorHAnsi" w:hAnsiTheme="minorHAnsi" w:cs="Arial"/>
                <w:b/>
                <w:bCs/>
                <w:sz w:val="18"/>
                <w:szCs w:val="18"/>
              </w:rPr>
              <w:t>Total</w:t>
            </w:r>
          </w:p>
        </w:tc>
        <w:tc>
          <w:tcPr>
            <w:tcW w:w="633" w:type="pct"/>
            <w:tcBorders>
              <w:top w:val="nil"/>
              <w:left w:val="nil"/>
              <w:bottom w:val="single" w:sz="12" w:space="0" w:color="auto"/>
              <w:right w:val="nil"/>
            </w:tcBorders>
            <w:shd w:val="clear" w:color="auto" w:fill="auto"/>
            <w:vAlign w:val="bottom"/>
          </w:tcPr>
          <w:p w14:paraId="43F80FF0" w14:textId="6AB04A2E" w:rsidR="00AA50E7" w:rsidRPr="00166751" w:rsidRDefault="00AA50E7" w:rsidP="00AA50E7">
            <w:pPr>
              <w:tabs>
                <w:tab w:val="right" w:pos="1202"/>
              </w:tabs>
              <w:spacing w:after="0" w:line="240" w:lineRule="auto"/>
              <w:jc w:val="right"/>
              <w:outlineLvl w:val="0"/>
              <w:rPr>
                <w:rFonts w:asciiTheme="minorHAnsi" w:hAnsiTheme="minorHAnsi" w:cs="Arial"/>
                <w:b/>
                <w:bCs/>
                <w:sz w:val="18"/>
                <w:szCs w:val="18"/>
              </w:rPr>
            </w:pPr>
            <w:r w:rsidRPr="00310300">
              <w:rPr>
                <w:rFonts w:cs="Arial"/>
                <w:b/>
                <w:sz w:val="18"/>
                <w:szCs w:val="18"/>
              </w:rPr>
              <w:t>281</w:t>
            </w:r>
            <w:r>
              <w:rPr>
                <w:rFonts w:cs="Arial"/>
                <w:b/>
                <w:sz w:val="18"/>
                <w:szCs w:val="18"/>
              </w:rPr>
              <w:t>,</w:t>
            </w:r>
            <w:r w:rsidRPr="00310300">
              <w:rPr>
                <w:rFonts w:cs="Arial"/>
                <w:b/>
                <w:sz w:val="18"/>
                <w:szCs w:val="18"/>
              </w:rPr>
              <w:t>029</w:t>
            </w:r>
          </w:p>
        </w:tc>
        <w:tc>
          <w:tcPr>
            <w:tcW w:w="633" w:type="pct"/>
            <w:tcBorders>
              <w:top w:val="nil"/>
              <w:left w:val="nil"/>
              <w:bottom w:val="single" w:sz="12" w:space="0" w:color="auto"/>
              <w:right w:val="nil"/>
            </w:tcBorders>
            <w:shd w:val="clear" w:color="auto" w:fill="auto"/>
            <w:vAlign w:val="bottom"/>
          </w:tcPr>
          <w:p w14:paraId="1E883784" w14:textId="4168F6D4" w:rsidR="00AA50E7" w:rsidRPr="00166751" w:rsidRDefault="00AA50E7" w:rsidP="00AA50E7">
            <w:pPr>
              <w:tabs>
                <w:tab w:val="right" w:pos="1202"/>
              </w:tabs>
              <w:spacing w:after="0" w:line="240" w:lineRule="auto"/>
              <w:jc w:val="right"/>
              <w:outlineLvl w:val="0"/>
              <w:rPr>
                <w:rFonts w:asciiTheme="minorHAnsi" w:hAnsiTheme="minorHAnsi" w:cs="Arial"/>
                <w:b/>
                <w:bCs/>
                <w:sz w:val="18"/>
                <w:szCs w:val="18"/>
              </w:rPr>
            </w:pPr>
            <w:r w:rsidRPr="00310300">
              <w:rPr>
                <w:rFonts w:cs="Arial"/>
                <w:b/>
                <w:sz w:val="18"/>
                <w:szCs w:val="18"/>
              </w:rPr>
              <w:t>58</w:t>
            </w:r>
            <w:r>
              <w:rPr>
                <w:rFonts w:cs="Arial"/>
                <w:b/>
                <w:sz w:val="18"/>
                <w:szCs w:val="18"/>
              </w:rPr>
              <w:t>,</w:t>
            </w:r>
            <w:r w:rsidRPr="00310300">
              <w:rPr>
                <w:rFonts w:cs="Arial"/>
                <w:b/>
                <w:sz w:val="18"/>
                <w:szCs w:val="18"/>
              </w:rPr>
              <w:t>426</w:t>
            </w:r>
          </w:p>
        </w:tc>
        <w:tc>
          <w:tcPr>
            <w:tcW w:w="633" w:type="pct"/>
            <w:tcBorders>
              <w:top w:val="nil"/>
              <w:left w:val="nil"/>
              <w:bottom w:val="single" w:sz="12" w:space="0" w:color="auto"/>
              <w:right w:val="nil"/>
            </w:tcBorders>
            <w:shd w:val="clear" w:color="auto" w:fill="auto"/>
            <w:vAlign w:val="bottom"/>
          </w:tcPr>
          <w:p w14:paraId="6AC687CF" w14:textId="535F9A18" w:rsidR="00AA50E7" w:rsidRPr="00166751" w:rsidRDefault="00AA50E7" w:rsidP="00AA50E7">
            <w:pPr>
              <w:tabs>
                <w:tab w:val="right" w:pos="1202"/>
              </w:tabs>
              <w:spacing w:after="0" w:line="240" w:lineRule="auto"/>
              <w:jc w:val="right"/>
              <w:outlineLvl w:val="0"/>
              <w:rPr>
                <w:rFonts w:asciiTheme="minorHAnsi" w:hAnsiTheme="minorHAnsi" w:cs="Arial"/>
                <w:b/>
                <w:bCs/>
                <w:sz w:val="18"/>
                <w:szCs w:val="18"/>
              </w:rPr>
            </w:pPr>
            <w:r w:rsidRPr="00310300">
              <w:rPr>
                <w:rFonts w:cs="Arial"/>
                <w:b/>
                <w:sz w:val="18"/>
                <w:szCs w:val="18"/>
              </w:rPr>
              <w:t>23</w:t>
            </w:r>
            <w:r>
              <w:rPr>
                <w:rFonts w:cs="Arial"/>
                <w:b/>
                <w:sz w:val="18"/>
                <w:szCs w:val="18"/>
              </w:rPr>
              <w:t>,</w:t>
            </w:r>
            <w:r w:rsidRPr="00310300">
              <w:rPr>
                <w:rFonts w:cs="Arial"/>
                <w:b/>
                <w:sz w:val="18"/>
                <w:szCs w:val="18"/>
              </w:rPr>
              <w:t>678</w:t>
            </w:r>
          </w:p>
        </w:tc>
        <w:tc>
          <w:tcPr>
            <w:tcW w:w="633" w:type="pct"/>
            <w:tcBorders>
              <w:top w:val="nil"/>
              <w:left w:val="nil"/>
              <w:bottom w:val="single" w:sz="12" w:space="0" w:color="auto"/>
              <w:right w:val="nil"/>
            </w:tcBorders>
            <w:shd w:val="clear" w:color="auto" w:fill="auto"/>
            <w:vAlign w:val="bottom"/>
          </w:tcPr>
          <w:p w14:paraId="5D550DA1" w14:textId="75CE4749" w:rsidR="00AA50E7" w:rsidRPr="00166751" w:rsidRDefault="00AA50E7" w:rsidP="00AA50E7">
            <w:pPr>
              <w:tabs>
                <w:tab w:val="right" w:pos="1202"/>
              </w:tabs>
              <w:spacing w:after="0" w:line="240" w:lineRule="auto"/>
              <w:jc w:val="right"/>
              <w:outlineLvl w:val="0"/>
              <w:rPr>
                <w:rFonts w:asciiTheme="minorHAnsi" w:hAnsiTheme="minorHAnsi" w:cs="Arial"/>
                <w:b/>
                <w:bCs/>
                <w:sz w:val="18"/>
                <w:szCs w:val="18"/>
              </w:rPr>
            </w:pPr>
            <w:r w:rsidRPr="00310300">
              <w:rPr>
                <w:rFonts w:cs="Arial"/>
                <w:b/>
                <w:sz w:val="18"/>
                <w:szCs w:val="18"/>
              </w:rPr>
              <w:t>2</w:t>
            </w:r>
            <w:r>
              <w:rPr>
                <w:rFonts w:cs="Arial"/>
                <w:b/>
                <w:sz w:val="18"/>
                <w:szCs w:val="18"/>
              </w:rPr>
              <w:t>,</w:t>
            </w:r>
            <w:r w:rsidRPr="00310300">
              <w:rPr>
                <w:rFonts w:cs="Arial"/>
                <w:b/>
                <w:sz w:val="18"/>
                <w:szCs w:val="18"/>
              </w:rPr>
              <w:t>660</w:t>
            </w:r>
          </w:p>
        </w:tc>
        <w:tc>
          <w:tcPr>
            <w:tcW w:w="633" w:type="pct"/>
            <w:tcBorders>
              <w:top w:val="nil"/>
              <w:left w:val="nil"/>
              <w:bottom w:val="single" w:sz="12" w:space="0" w:color="auto"/>
              <w:right w:val="nil"/>
            </w:tcBorders>
            <w:shd w:val="clear" w:color="auto" w:fill="auto"/>
            <w:vAlign w:val="bottom"/>
          </w:tcPr>
          <w:p w14:paraId="22F8B607" w14:textId="28D410B2" w:rsidR="00AA50E7" w:rsidRPr="00166751" w:rsidRDefault="00AA50E7" w:rsidP="00AA50E7">
            <w:pPr>
              <w:tabs>
                <w:tab w:val="right" w:pos="1202"/>
              </w:tabs>
              <w:spacing w:after="0" w:line="240" w:lineRule="auto"/>
              <w:jc w:val="right"/>
              <w:outlineLvl w:val="0"/>
              <w:rPr>
                <w:rFonts w:asciiTheme="minorHAnsi" w:hAnsiTheme="minorHAnsi" w:cs="Arial"/>
                <w:b/>
                <w:bCs/>
                <w:sz w:val="18"/>
                <w:szCs w:val="18"/>
              </w:rPr>
            </w:pPr>
            <w:r w:rsidRPr="00310300">
              <w:rPr>
                <w:rFonts w:cs="Arial"/>
                <w:b/>
                <w:sz w:val="18"/>
                <w:szCs w:val="18"/>
              </w:rPr>
              <w:t>101</w:t>
            </w:r>
            <w:r>
              <w:rPr>
                <w:rFonts w:cs="Arial"/>
                <w:b/>
                <w:sz w:val="18"/>
                <w:szCs w:val="18"/>
              </w:rPr>
              <w:t>,</w:t>
            </w:r>
            <w:r w:rsidRPr="00310300">
              <w:rPr>
                <w:rFonts w:cs="Arial"/>
                <w:b/>
                <w:sz w:val="18"/>
                <w:szCs w:val="18"/>
              </w:rPr>
              <w:t>798</w:t>
            </w:r>
          </w:p>
        </w:tc>
        <w:tc>
          <w:tcPr>
            <w:tcW w:w="634" w:type="pct"/>
            <w:tcBorders>
              <w:top w:val="nil"/>
              <w:left w:val="nil"/>
              <w:bottom w:val="single" w:sz="12" w:space="0" w:color="auto"/>
              <w:right w:val="nil"/>
            </w:tcBorders>
            <w:shd w:val="clear" w:color="auto" w:fill="auto"/>
            <w:vAlign w:val="bottom"/>
          </w:tcPr>
          <w:p w14:paraId="3A6BEA88" w14:textId="2FADA4FC" w:rsidR="00AA50E7" w:rsidRPr="00166751" w:rsidRDefault="00AA50E7" w:rsidP="00AA50E7">
            <w:pPr>
              <w:tabs>
                <w:tab w:val="right" w:pos="1202"/>
              </w:tabs>
              <w:spacing w:after="0" w:line="240" w:lineRule="auto"/>
              <w:jc w:val="right"/>
              <w:outlineLvl w:val="0"/>
              <w:rPr>
                <w:rFonts w:asciiTheme="minorHAnsi" w:hAnsiTheme="minorHAnsi" w:cs="Arial"/>
                <w:b/>
                <w:bCs/>
                <w:sz w:val="18"/>
                <w:szCs w:val="18"/>
              </w:rPr>
            </w:pPr>
            <w:r w:rsidRPr="00310300">
              <w:rPr>
                <w:rFonts w:cs="Arial"/>
                <w:b/>
                <w:sz w:val="18"/>
                <w:szCs w:val="18"/>
              </w:rPr>
              <w:t>467</w:t>
            </w:r>
            <w:r>
              <w:rPr>
                <w:rFonts w:cs="Arial"/>
                <w:b/>
                <w:sz w:val="18"/>
                <w:szCs w:val="18"/>
              </w:rPr>
              <w:t>,</w:t>
            </w:r>
            <w:r w:rsidRPr="00310300">
              <w:rPr>
                <w:rFonts w:cs="Arial"/>
                <w:b/>
                <w:sz w:val="18"/>
                <w:szCs w:val="18"/>
              </w:rPr>
              <w:t>591</w:t>
            </w:r>
          </w:p>
        </w:tc>
      </w:tr>
      <w:tr w:rsidR="00A94F0C" w:rsidRPr="005E2BC3" w14:paraId="4FF61883" w14:textId="77777777" w:rsidTr="00BF2624">
        <w:trPr>
          <w:trHeight w:val="96"/>
          <w:jc w:val="center"/>
        </w:trPr>
        <w:tc>
          <w:tcPr>
            <w:tcW w:w="1201" w:type="pct"/>
          </w:tcPr>
          <w:p w14:paraId="0619A38B" w14:textId="77777777" w:rsidR="00A94F0C" w:rsidRPr="00166751" w:rsidRDefault="00A94F0C" w:rsidP="00A94F0C">
            <w:pPr>
              <w:keepNext/>
              <w:keepLines/>
              <w:tabs>
                <w:tab w:val="decimal" w:pos="1202"/>
              </w:tabs>
              <w:spacing w:after="0" w:line="100" w:lineRule="exact"/>
              <w:rPr>
                <w:rFonts w:asciiTheme="minorHAnsi" w:eastAsia="Times New Roman" w:hAnsiTheme="minorHAnsi" w:cs="Arial"/>
                <w:b/>
                <w:position w:val="4"/>
                <w:sz w:val="18"/>
                <w:szCs w:val="18"/>
                <w:u w:val="thick"/>
                <w:lang w:val="hr-HR"/>
              </w:rPr>
            </w:pPr>
          </w:p>
        </w:tc>
        <w:tc>
          <w:tcPr>
            <w:tcW w:w="633" w:type="pct"/>
            <w:tcBorders>
              <w:top w:val="single" w:sz="12" w:space="0" w:color="auto"/>
            </w:tcBorders>
            <w:vAlign w:val="bottom"/>
          </w:tcPr>
          <w:p w14:paraId="20A3CB90" w14:textId="77777777" w:rsidR="00A94F0C" w:rsidRPr="00166751" w:rsidRDefault="00A94F0C" w:rsidP="00A94F0C">
            <w:pPr>
              <w:keepNext/>
              <w:keepLines/>
              <w:tabs>
                <w:tab w:val="decimal" w:pos="1202"/>
              </w:tabs>
              <w:spacing w:after="0" w:line="100" w:lineRule="exact"/>
              <w:jc w:val="right"/>
              <w:rPr>
                <w:rFonts w:asciiTheme="minorHAnsi" w:eastAsia="Times New Roman" w:hAnsiTheme="minorHAnsi" w:cs="Arial"/>
                <w:b/>
                <w:position w:val="4"/>
                <w:sz w:val="18"/>
                <w:szCs w:val="18"/>
                <w:u w:val="thick"/>
                <w:lang w:val="hr-HR"/>
              </w:rPr>
            </w:pPr>
          </w:p>
        </w:tc>
        <w:tc>
          <w:tcPr>
            <w:tcW w:w="633" w:type="pct"/>
            <w:tcBorders>
              <w:top w:val="single" w:sz="12" w:space="0" w:color="auto"/>
            </w:tcBorders>
            <w:vAlign w:val="bottom"/>
          </w:tcPr>
          <w:p w14:paraId="46C51267" w14:textId="77777777" w:rsidR="00A94F0C" w:rsidRPr="00166751" w:rsidRDefault="00A94F0C" w:rsidP="00A94F0C">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c>
          <w:tcPr>
            <w:tcW w:w="633" w:type="pct"/>
            <w:tcBorders>
              <w:top w:val="single" w:sz="12" w:space="0" w:color="auto"/>
            </w:tcBorders>
            <w:vAlign w:val="bottom"/>
          </w:tcPr>
          <w:p w14:paraId="115FD103" w14:textId="77777777" w:rsidR="00A94F0C" w:rsidRPr="00166751" w:rsidRDefault="00A94F0C" w:rsidP="00A94F0C">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c>
          <w:tcPr>
            <w:tcW w:w="633" w:type="pct"/>
            <w:tcBorders>
              <w:top w:val="single" w:sz="12" w:space="0" w:color="auto"/>
            </w:tcBorders>
            <w:vAlign w:val="bottom"/>
          </w:tcPr>
          <w:p w14:paraId="23E22088" w14:textId="77777777" w:rsidR="00A94F0C" w:rsidRPr="00166751" w:rsidRDefault="00A94F0C" w:rsidP="00A94F0C">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c>
          <w:tcPr>
            <w:tcW w:w="633" w:type="pct"/>
            <w:tcBorders>
              <w:top w:val="single" w:sz="12" w:space="0" w:color="auto"/>
            </w:tcBorders>
            <w:vAlign w:val="bottom"/>
          </w:tcPr>
          <w:p w14:paraId="3506BCFA" w14:textId="77777777" w:rsidR="00A94F0C" w:rsidRPr="00166751" w:rsidRDefault="00A94F0C" w:rsidP="00A94F0C">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c>
          <w:tcPr>
            <w:tcW w:w="634" w:type="pct"/>
            <w:tcBorders>
              <w:top w:val="single" w:sz="12" w:space="0" w:color="auto"/>
            </w:tcBorders>
            <w:vAlign w:val="bottom"/>
          </w:tcPr>
          <w:p w14:paraId="5E8C85CE" w14:textId="77777777" w:rsidR="00A94F0C" w:rsidRPr="00166751" w:rsidRDefault="00A94F0C" w:rsidP="00A94F0C">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r>
    </w:tbl>
    <w:p w14:paraId="2F1729EA" w14:textId="77777777" w:rsidR="009702B0" w:rsidRPr="009702B0" w:rsidRDefault="009702B0" w:rsidP="009702B0">
      <w:pPr>
        <w:spacing w:after="0" w:line="240" w:lineRule="auto"/>
        <w:jc w:val="both"/>
        <w:rPr>
          <w:rFonts w:cs="Arial"/>
          <w:sz w:val="20"/>
          <w:szCs w:val="20"/>
        </w:rPr>
      </w:pPr>
    </w:p>
    <w:p w14:paraId="26AFC50F" w14:textId="77777777" w:rsidR="00BF2624" w:rsidRDefault="00BF2624" w:rsidP="009702B0">
      <w:pPr>
        <w:spacing w:after="0" w:line="240" w:lineRule="auto"/>
        <w:jc w:val="both"/>
        <w:rPr>
          <w:rFonts w:cs="Arial"/>
          <w:sz w:val="20"/>
          <w:szCs w:val="20"/>
        </w:rPr>
        <w:sectPr w:rsidR="00BF2624" w:rsidSect="00947CB7">
          <w:footerReference w:type="first" r:id="rId96"/>
          <w:pgSz w:w="11906" w:h="16838" w:code="9"/>
          <w:pgMar w:top="1418" w:right="1418" w:bottom="595" w:left="1134" w:header="709" w:footer="709" w:gutter="0"/>
          <w:cols w:space="708"/>
          <w:titlePg/>
          <w:docGrid w:linePitch="360"/>
        </w:sectPr>
      </w:pPr>
    </w:p>
    <w:p w14:paraId="40279C21" w14:textId="77777777" w:rsidR="009702B0" w:rsidRDefault="009702B0" w:rsidP="009702B0">
      <w:pPr>
        <w:spacing w:after="0" w:line="240" w:lineRule="auto"/>
        <w:jc w:val="both"/>
        <w:rPr>
          <w:rFonts w:cs="Arial"/>
          <w:sz w:val="20"/>
          <w:szCs w:val="20"/>
        </w:rPr>
      </w:pPr>
    </w:p>
    <w:p w14:paraId="4A9D62FF" w14:textId="77777777" w:rsidR="00BF2624" w:rsidRPr="009702B0" w:rsidRDefault="00BF2624" w:rsidP="00BF2624">
      <w:pPr>
        <w:spacing w:after="0" w:line="240" w:lineRule="auto"/>
        <w:jc w:val="both"/>
        <w:rPr>
          <w:rFonts w:cs="Arial"/>
          <w:sz w:val="20"/>
          <w:szCs w:val="20"/>
        </w:rPr>
      </w:pPr>
    </w:p>
    <w:p w14:paraId="12EBB5A5" w14:textId="77777777" w:rsidR="00BF2624" w:rsidRPr="009702B0" w:rsidRDefault="00BF2624" w:rsidP="00BF2624">
      <w:pPr>
        <w:keepNext/>
        <w:spacing w:after="0" w:line="240" w:lineRule="auto"/>
        <w:jc w:val="both"/>
        <w:rPr>
          <w:rFonts w:eastAsia="Times New Roman" w:cs="Arial"/>
          <w:b/>
          <w:bCs/>
        </w:rPr>
      </w:pPr>
      <w:r w:rsidRPr="009702B0">
        <w:rPr>
          <w:rFonts w:eastAsia="Times New Roman" w:cs="Arial"/>
          <w:b/>
          <w:bCs/>
        </w:rPr>
        <w:t>16</w:t>
      </w:r>
      <w:r w:rsidR="00011FEA">
        <w:rPr>
          <w:rFonts w:eastAsia="Times New Roman" w:cs="Arial"/>
          <w:b/>
          <w:bCs/>
        </w:rPr>
        <w:t>.</w:t>
      </w:r>
      <w:r w:rsidRPr="009702B0">
        <w:rPr>
          <w:rFonts w:eastAsia="Times New Roman" w:cs="Arial"/>
          <w:b/>
          <w:bCs/>
        </w:rPr>
        <w:tab/>
        <w:t>Risk management (continued)</w:t>
      </w:r>
    </w:p>
    <w:p w14:paraId="77A428B8" w14:textId="77777777" w:rsidR="00BF2624" w:rsidRPr="009702B0" w:rsidRDefault="00BF2624" w:rsidP="00BF2624">
      <w:pPr>
        <w:keepNext/>
        <w:spacing w:after="0" w:line="240" w:lineRule="auto"/>
        <w:jc w:val="both"/>
        <w:rPr>
          <w:rFonts w:eastAsia="Times New Roman" w:cs="Arial"/>
          <w:b/>
          <w:bCs/>
        </w:rPr>
      </w:pPr>
    </w:p>
    <w:p w14:paraId="6FBB1A5E" w14:textId="77777777" w:rsidR="00BF2624" w:rsidRPr="009702B0" w:rsidRDefault="00BF2624" w:rsidP="00BF2624">
      <w:pPr>
        <w:keepNext/>
        <w:spacing w:after="0" w:line="240" w:lineRule="auto"/>
        <w:jc w:val="both"/>
        <w:rPr>
          <w:rFonts w:eastAsia="Times New Roman" w:cs="Arial"/>
          <w:b/>
          <w:bCs/>
        </w:rPr>
      </w:pPr>
      <w:r w:rsidRPr="009702B0">
        <w:rPr>
          <w:rFonts w:eastAsia="Times New Roman" w:cs="Arial"/>
          <w:b/>
          <w:bCs/>
        </w:rPr>
        <w:t>16</w:t>
      </w:r>
      <w:r w:rsidR="00011FEA">
        <w:rPr>
          <w:rFonts w:eastAsia="Times New Roman" w:cs="Arial"/>
          <w:b/>
          <w:bCs/>
        </w:rPr>
        <w:t>.</w:t>
      </w:r>
      <w:r w:rsidRPr="009702B0">
        <w:rPr>
          <w:rFonts w:eastAsia="Times New Roman" w:cs="Arial"/>
          <w:b/>
          <w:bCs/>
        </w:rPr>
        <w:t>2</w:t>
      </w:r>
      <w:r w:rsidR="00011FEA">
        <w:rPr>
          <w:rFonts w:eastAsia="Times New Roman" w:cs="Arial"/>
          <w:b/>
          <w:bCs/>
        </w:rPr>
        <w:t>.</w:t>
      </w:r>
      <w:r w:rsidRPr="009702B0">
        <w:rPr>
          <w:rFonts w:eastAsia="Times New Roman" w:cs="Arial"/>
          <w:b/>
          <w:bCs/>
        </w:rPr>
        <w:t xml:space="preserve"> </w:t>
      </w:r>
      <w:r w:rsidRPr="009702B0">
        <w:rPr>
          <w:rFonts w:eastAsia="Times New Roman" w:cs="Arial"/>
          <w:b/>
          <w:bCs/>
        </w:rPr>
        <w:tab/>
        <w:t>Credit risk (continued)</w:t>
      </w:r>
    </w:p>
    <w:p w14:paraId="77EF8E58" w14:textId="77777777" w:rsidR="00BF2624" w:rsidRPr="009702B0" w:rsidRDefault="00BF2624" w:rsidP="00BF2624">
      <w:pPr>
        <w:keepNext/>
        <w:spacing w:after="0" w:line="240" w:lineRule="auto"/>
        <w:jc w:val="both"/>
        <w:rPr>
          <w:rFonts w:eastAsia="Times New Roman" w:cs="Arial"/>
          <w:b/>
          <w:bCs/>
        </w:rPr>
      </w:pPr>
    </w:p>
    <w:p w14:paraId="3C34AC19" w14:textId="77777777" w:rsidR="00BF2624" w:rsidRPr="009702B0" w:rsidRDefault="00BF2624" w:rsidP="00BF2624">
      <w:pPr>
        <w:keepNext/>
        <w:spacing w:after="0" w:line="240" w:lineRule="auto"/>
        <w:jc w:val="both"/>
        <w:rPr>
          <w:rFonts w:eastAsia="Times New Roman" w:cs="Arial"/>
          <w:b/>
          <w:bCs/>
        </w:rPr>
      </w:pPr>
      <w:r w:rsidRPr="009702B0">
        <w:rPr>
          <w:rFonts w:eastAsia="Times New Roman" w:cs="Arial"/>
          <w:b/>
          <w:bCs/>
        </w:rPr>
        <w:t>Credit risk quality according to type of financial assets (continued)</w:t>
      </w:r>
    </w:p>
    <w:p w14:paraId="4BBB04BC" w14:textId="77777777" w:rsidR="00BF2624" w:rsidRPr="009702B0" w:rsidRDefault="00BF2624" w:rsidP="00BF2624">
      <w:pPr>
        <w:keepNext/>
        <w:spacing w:after="0" w:line="240" w:lineRule="auto"/>
        <w:jc w:val="both"/>
        <w:rPr>
          <w:rFonts w:eastAsia="Times New Roman" w:cs="Arial"/>
          <w:b/>
          <w:bCs/>
          <w:sz w:val="20"/>
          <w:szCs w:val="20"/>
        </w:rPr>
      </w:pPr>
    </w:p>
    <w:p w14:paraId="60B18F57" w14:textId="77777777" w:rsidR="00BF2624" w:rsidRPr="00BF2624" w:rsidRDefault="00BF2624" w:rsidP="009702B0">
      <w:pPr>
        <w:spacing w:after="0" w:line="240" w:lineRule="auto"/>
        <w:jc w:val="both"/>
        <w:rPr>
          <w:rFonts w:cs="Arial"/>
        </w:rPr>
      </w:pPr>
      <w:r w:rsidRPr="00BA3F2A">
        <w:rPr>
          <w:rFonts w:cs="Arial"/>
        </w:rPr>
        <w:t xml:space="preserve">Aging analysis of past due but not impaired loans per class </w:t>
      </w:r>
      <w:r>
        <w:rPr>
          <w:rFonts w:cs="Arial"/>
        </w:rPr>
        <w:t>of financial asset (continued):</w:t>
      </w:r>
    </w:p>
    <w:p w14:paraId="16D4DDCA" w14:textId="77777777" w:rsidR="00BF2624" w:rsidRPr="009702B0" w:rsidRDefault="00BF2624" w:rsidP="009702B0">
      <w:pPr>
        <w:spacing w:after="0" w:line="240" w:lineRule="auto"/>
        <w:jc w:val="both"/>
        <w:rPr>
          <w:rFonts w:cs="Arial"/>
          <w:sz w:val="20"/>
          <w:szCs w:val="20"/>
        </w:rPr>
      </w:pPr>
    </w:p>
    <w:tbl>
      <w:tblPr>
        <w:tblW w:w="5134" w:type="pct"/>
        <w:jc w:val="center"/>
        <w:tblLayout w:type="fixed"/>
        <w:tblLook w:val="0000" w:firstRow="0" w:lastRow="0" w:firstColumn="0" w:lastColumn="0" w:noHBand="0" w:noVBand="0"/>
      </w:tblPr>
      <w:tblGrid>
        <w:gridCol w:w="2412"/>
        <w:gridCol w:w="1303"/>
        <w:gridCol w:w="1179"/>
        <w:gridCol w:w="1179"/>
        <w:gridCol w:w="1179"/>
        <w:gridCol w:w="1179"/>
        <w:gridCol w:w="1174"/>
      </w:tblGrid>
      <w:tr w:rsidR="009702B0" w:rsidRPr="00BF2624" w14:paraId="63265C2B" w14:textId="77777777" w:rsidTr="00166751">
        <w:trPr>
          <w:trHeight w:hRule="exact" w:val="684"/>
          <w:jc w:val="center"/>
        </w:trPr>
        <w:tc>
          <w:tcPr>
            <w:tcW w:w="1255" w:type="pct"/>
            <w:vAlign w:val="center"/>
          </w:tcPr>
          <w:p w14:paraId="7F4D5869" w14:textId="77777777" w:rsidR="009702B0" w:rsidRPr="00BF2624" w:rsidRDefault="009702B0" w:rsidP="009702B0">
            <w:pPr>
              <w:spacing w:after="0" w:line="240" w:lineRule="exact"/>
              <w:rPr>
                <w:rFonts w:asciiTheme="minorHAnsi" w:eastAsia="Times New Roman" w:hAnsiTheme="minorHAnsi" w:cs="Arial"/>
                <w:b/>
                <w:sz w:val="20"/>
                <w:szCs w:val="20"/>
                <w:lang w:val="hr-HR"/>
              </w:rPr>
            </w:pPr>
            <w:r w:rsidRPr="00BF2624">
              <w:rPr>
                <w:rFonts w:asciiTheme="minorHAnsi" w:eastAsia="Times New Roman" w:hAnsiTheme="minorHAnsi" w:cs="Arial"/>
                <w:b/>
                <w:sz w:val="20"/>
                <w:szCs w:val="20"/>
                <w:lang w:val="hr-HR"/>
              </w:rPr>
              <w:t xml:space="preserve">Bank </w:t>
            </w:r>
          </w:p>
          <w:p w14:paraId="55459FAA" w14:textId="77777777" w:rsidR="009702B0" w:rsidRPr="00BF2624" w:rsidRDefault="009702B0" w:rsidP="00BF2624">
            <w:pPr>
              <w:spacing w:after="0" w:line="240" w:lineRule="exact"/>
              <w:rPr>
                <w:rFonts w:asciiTheme="minorHAnsi" w:eastAsia="Times New Roman" w:hAnsiTheme="minorHAnsi" w:cs="Arial"/>
                <w:b/>
                <w:sz w:val="20"/>
                <w:szCs w:val="20"/>
                <w:lang w:val="hr-HR"/>
              </w:rPr>
            </w:pPr>
            <w:r w:rsidRPr="00BF2624">
              <w:rPr>
                <w:rFonts w:asciiTheme="minorHAnsi" w:eastAsia="Times New Roman" w:hAnsiTheme="minorHAnsi" w:cs="Arial"/>
                <w:b/>
                <w:sz w:val="20"/>
                <w:szCs w:val="20"/>
              </w:rPr>
              <w:t>Dec</w:t>
            </w:r>
            <w:r w:rsidRPr="00BF2624">
              <w:rPr>
                <w:rFonts w:asciiTheme="minorHAnsi" w:eastAsia="Times New Roman" w:hAnsiTheme="minorHAnsi" w:cs="Arial"/>
                <w:b/>
                <w:sz w:val="20"/>
                <w:szCs w:val="20"/>
                <w:lang w:val="hr-HR"/>
              </w:rPr>
              <w:t xml:space="preserve"> 31, 201</w:t>
            </w:r>
            <w:r w:rsidR="00BF2624" w:rsidRPr="00BF2624">
              <w:rPr>
                <w:rFonts w:asciiTheme="minorHAnsi" w:eastAsia="Times New Roman" w:hAnsiTheme="minorHAnsi" w:cs="Arial"/>
                <w:b/>
                <w:sz w:val="20"/>
                <w:szCs w:val="20"/>
                <w:lang w:val="hr-HR"/>
              </w:rPr>
              <w:t>6</w:t>
            </w:r>
          </w:p>
        </w:tc>
        <w:tc>
          <w:tcPr>
            <w:tcW w:w="678" w:type="pct"/>
            <w:vAlign w:val="center"/>
          </w:tcPr>
          <w:p w14:paraId="6B0B2FC5" w14:textId="77777777" w:rsidR="009702B0" w:rsidRPr="00BF2624" w:rsidRDefault="009702B0" w:rsidP="009702B0">
            <w:pPr>
              <w:tabs>
                <w:tab w:val="right" w:pos="1202"/>
              </w:tabs>
              <w:spacing w:after="0" w:line="240" w:lineRule="atLeast"/>
              <w:jc w:val="right"/>
              <w:outlineLvl w:val="0"/>
              <w:rPr>
                <w:rFonts w:asciiTheme="minorHAnsi" w:eastAsia="Times New Roman" w:hAnsiTheme="minorHAnsi" w:cs="Arial"/>
                <w:b/>
                <w:sz w:val="20"/>
                <w:szCs w:val="20"/>
                <w:lang w:val="en-US"/>
              </w:rPr>
            </w:pPr>
            <w:r w:rsidRPr="00BF2624">
              <w:rPr>
                <w:rFonts w:asciiTheme="minorHAnsi" w:eastAsia="Times New Roman" w:hAnsiTheme="minorHAnsi" w:cs="Arial"/>
                <w:b/>
                <w:sz w:val="20"/>
                <w:szCs w:val="20"/>
                <w:lang w:val="en-US"/>
              </w:rPr>
              <w:t xml:space="preserve">Up to </w:t>
            </w:r>
          </w:p>
          <w:p w14:paraId="273491CD" w14:textId="77777777" w:rsidR="009702B0" w:rsidRPr="00BF2624" w:rsidRDefault="009702B0" w:rsidP="009702B0">
            <w:pPr>
              <w:tabs>
                <w:tab w:val="right" w:pos="1202"/>
              </w:tabs>
              <w:spacing w:after="0" w:line="240" w:lineRule="atLeast"/>
              <w:jc w:val="right"/>
              <w:outlineLvl w:val="0"/>
              <w:rPr>
                <w:rFonts w:asciiTheme="minorHAnsi" w:eastAsia="Times New Roman" w:hAnsiTheme="minorHAnsi" w:cs="Arial"/>
                <w:b/>
                <w:sz w:val="20"/>
                <w:szCs w:val="20"/>
                <w:lang w:val="en-US"/>
              </w:rPr>
            </w:pPr>
            <w:r w:rsidRPr="00BF2624">
              <w:rPr>
                <w:rFonts w:asciiTheme="minorHAnsi" w:eastAsia="Times New Roman" w:hAnsiTheme="minorHAnsi" w:cs="Arial"/>
                <w:b/>
                <w:sz w:val="20"/>
                <w:szCs w:val="20"/>
                <w:lang w:val="en-US"/>
              </w:rPr>
              <w:t>15 days</w:t>
            </w:r>
          </w:p>
        </w:tc>
        <w:tc>
          <w:tcPr>
            <w:tcW w:w="614" w:type="pct"/>
            <w:vAlign w:val="center"/>
          </w:tcPr>
          <w:p w14:paraId="26CA3B6B" w14:textId="77777777" w:rsidR="009702B0" w:rsidRPr="00BF2624" w:rsidRDefault="009702B0" w:rsidP="009702B0">
            <w:pPr>
              <w:tabs>
                <w:tab w:val="right" w:pos="1202"/>
              </w:tabs>
              <w:spacing w:after="0" w:line="240" w:lineRule="atLeast"/>
              <w:jc w:val="right"/>
              <w:outlineLvl w:val="0"/>
              <w:rPr>
                <w:rFonts w:asciiTheme="minorHAnsi" w:eastAsia="Times New Roman" w:hAnsiTheme="minorHAnsi" w:cs="Arial"/>
                <w:b/>
                <w:sz w:val="20"/>
                <w:szCs w:val="20"/>
                <w:lang w:val="en-US"/>
              </w:rPr>
            </w:pPr>
            <w:r w:rsidRPr="00BF2624">
              <w:rPr>
                <w:rFonts w:asciiTheme="minorHAnsi" w:eastAsia="Times New Roman" w:hAnsiTheme="minorHAnsi" w:cs="Arial"/>
                <w:b/>
                <w:sz w:val="20"/>
                <w:szCs w:val="20"/>
                <w:lang w:val="en-US"/>
              </w:rPr>
              <w:t xml:space="preserve">16 to 30 </w:t>
            </w:r>
          </w:p>
          <w:p w14:paraId="37563876" w14:textId="77777777" w:rsidR="009702B0" w:rsidRPr="00BF2624" w:rsidRDefault="009702B0" w:rsidP="009702B0">
            <w:pPr>
              <w:tabs>
                <w:tab w:val="right" w:pos="1202"/>
              </w:tabs>
              <w:spacing w:after="0" w:line="240" w:lineRule="atLeast"/>
              <w:jc w:val="right"/>
              <w:outlineLvl w:val="0"/>
              <w:rPr>
                <w:rFonts w:asciiTheme="minorHAnsi" w:eastAsia="Times New Roman" w:hAnsiTheme="minorHAnsi" w:cs="Arial"/>
                <w:b/>
                <w:sz w:val="20"/>
                <w:szCs w:val="20"/>
                <w:lang w:val="en-US"/>
              </w:rPr>
            </w:pPr>
            <w:r w:rsidRPr="00BF2624">
              <w:rPr>
                <w:rFonts w:asciiTheme="minorHAnsi" w:eastAsia="Times New Roman" w:hAnsiTheme="minorHAnsi" w:cs="Arial"/>
                <w:b/>
                <w:sz w:val="20"/>
                <w:szCs w:val="20"/>
                <w:lang w:val="en-US"/>
              </w:rPr>
              <w:t>days</w:t>
            </w:r>
          </w:p>
        </w:tc>
        <w:tc>
          <w:tcPr>
            <w:tcW w:w="614" w:type="pct"/>
            <w:vAlign w:val="center"/>
          </w:tcPr>
          <w:p w14:paraId="01C0D060" w14:textId="77777777" w:rsidR="009702B0" w:rsidRPr="00BF2624" w:rsidRDefault="009702B0" w:rsidP="009702B0">
            <w:pPr>
              <w:tabs>
                <w:tab w:val="right" w:pos="1202"/>
              </w:tabs>
              <w:spacing w:after="0" w:line="240" w:lineRule="atLeast"/>
              <w:jc w:val="right"/>
              <w:outlineLvl w:val="0"/>
              <w:rPr>
                <w:rFonts w:asciiTheme="minorHAnsi" w:eastAsia="Times New Roman" w:hAnsiTheme="minorHAnsi" w:cs="Arial"/>
                <w:b/>
                <w:sz w:val="20"/>
                <w:szCs w:val="20"/>
                <w:lang w:val="en-US"/>
              </w:rPr>
            </w:pPr>
            <w:r w:rsidRPr="00BF2624">
              <w:rPr>
                <w:rFonts w:asciiTheme="minorHAnsi" w:eastAsia="Times New Roman" w:hAnsiTheme="minorHAnsi" w:cs="Arial"/>
                <w:b/>
                <w:sz w:val="20"/>
                <w:szCs w:val="20"/>
                <w:lang w:val="en-US"/>
              </w:rPr>
              <w:t xml:space="preserve">31 to 60 </w:t>
            </w:r>
          </w:p>
          <w:p w14:paraId="5D06AD9E" w14:textId="77777777" w:rsidR="009702B0" w:rsidRPr="00BF2624" w:rsidRDefault="009702B0" w:rsidP="009702B0">
            <w:pPr>
              <w:tabs>
                <w:tab w:val="right" w:pos="1202"/>
              </w:tabs>
              <w:spacing w:after="0" w:line="240" w:lineRule="atLeast"/>
              <w:jc w:val="right"/>
              <w:outlineLvl w:val="0"/>
              <w:rPr>
                <w:rFonts w:asciiTheme="minorHAnsi" w:eastAsia="Times New Roman" w:hAnsiTheme="minorHAnsi" w:cs="Arial"/>
                <w:b/>
                <w:sz w:val="20"/>
                <w:szCs w:val="20"/>
                <w:lang w:val="en-US"/>
              </w:rPr>
            </w:pPr>
            <w:r w:rsidRPr="00BF2624">
              <w:rPr>
                <w:rFonts w:asciiTheme="minorHAnsi" w:eastAsia="Times New Roman" w:hAnsiTheme="minorHAnsi" w:cs="Arial"/>
                <w:b/>
                <w:sz w:val="20"/>
                <w:szCs w:val="20"/>
                <w:lang w:val="en-US"/>
              </w:rPr>
              <w:t>days</w:t>
            </w:r>
          </w:p>
        </w:tc>
        <w:tc>
          <w:tcPr>
            <w:tcW w:w="614" w:type="pct"/>
            <w:vAlign w:val="center"/>
          </w:tcPr>
          <w:p w14:paraId="643F6FD3" w14:textId="77777777" w:rsidR="009702B0" w:rsidRPr="00BF2624" w:rsidRDefault="009702B0" w:rsidP="009702B0">
            <w:pPr>
              <w:tabs>
                <w:tab w:val="right" w:pos="1202"/>
              </w:tabs>
              <w:spacing w:after="0" w:line="240" w:lineRule="atLeast"/>
              <w:jc w:val="right"/>
              <w:outlineLvl w:val="0"/>
              <w:rPr>
                <w:rFonts w:asciiTheme="minorHAnsi" w:eastAsia="Times New Roman" w:hAnsiTheme="minorHAnsi" w:cs="Arial"/>
                <w:b/>
                <w:sz w:val="20"/>
                <w:szCs w:val="20"/>
                <w:lang w:val="en-US"/>
              </w:rPr>
            </w:pPr>
            <w:r w:rsidRPr="00BF2624">
              <w:rPr>
                <w:rFonts w:asciiTheme="minorHAnsi" w:eastAsia="Times New Roman" w:hAnsiTheme="minorHAnsi" w:cs="Arial"/>
                <w:b/>
                <w:sz w:val="20"/>
                <w:szCs w:val="20"/>
                <w:lang w:val="en-US"/>
              </w:rPr>
              <w:t xml:space="preserve">61 to 90 </w:t>
            </w:r>
          </w:p>
          <w:p w14:paraId="70B1D1EF" w14:textId="77777777" w:rsidR="009702B0" w:rsidRPr="00BF2624" w:rsidRDefault="009702B0" w:rsidP="009702B0">
            <w:pPr>
              <w:tabs>
                <w:tab w:val="right" w:pos="1202"/>
              </w:tabs>
              <w:spacing w:after="0" w:line="240" w:lineRule="atLeast"/>
              <w:jc w:val="right"/>
              <w:outlineLvl w:val="0"/>
              <w:rPr>
                <w:rFonts w:asciiTheme="minorHAnsi" w:eastAsia="Times New Roman" w:hAnsiTheme="minorHAnsi" w:cs="Arial"/>
                <w:b/>
                <w:sz w:val="20"/>
                <w:szCs w:val="20"/>
                <w:lang w:val="en-US"/>
              </w:rPr>
            </w:pPr>
            <w:r w:rsidRPr="00BF2624">
              <w:rPr>
                <w:rFonts w:asciiTheme="minorHAnsi" w:eastAsia="Times New Roman" w:hAnsiTheme="minorHAnsi" w:cs="Arial"/>
                <w:b/>
                <w:sz w:val="20"/>
                <w:szCs w:val="20"/>
                <w:lang w:val="en-US"/>
              </w:rPr>
              <w:t>days</w:t>
            </w:r>
          </w:p>
        </w:tc>
        <w:tc>
          <w:tcPr>
            <w:tcW w:w="614" w:type="pct"/>
            <w:vAlign w:val="center"/>
          </w:tcPr>
          <w:p w14:paraId="70CFA752" w14:textId="77777777" w:rsidR="009702B0" w:rsidRPr="00BF2624" w:rsidRDefault="009702B0" w:rsidP="009702B0">
            <w:pPr>
              <w:tabs>
                <w:tab w:val="right" w:pos="1202"/>
              </w:tabs>
              <w:spacing w:after="0" w:line="240" w:lineRule="atLeast"/>
              <w:jc w:val="right"/>
              <w:outlineLvl w:val="0"/>
              <w:rPr>
                <w:rFonts w:asciiTheme="minorHAnsi" w:eastAsia="Times New Roman" w:hAnsiTheme="minorHAnsi" w:cs="Arial"/>
                <w:b/>
                <w:sz w:val="20"/>
                <w:szCs w:val="20"/>
                <w:lang w:val="en-US"/>
              </w:rPr>
            </w:pPr>
            <w:r w:rsidRPr="00BF2624">
              <w:rPr>
                <w:rFonts w:asciiTheme="minorHAnsi" w:eastAsia="Times New Roman" w:hAnsiTheme="minorHAnsi" w:cs="Arial"/>
                <w:b/>
                <w:sz w:val="20"/>
                <w:szCs w:val="20"/>
                <w:lang w:val="en-US"/>
              </w:rPr>
              <w:t xml:space="preserve">Over </w:t>
            </w:r>
          </w:p>
          <w:p w14:paraId="6952EB66" w14:textId="77777777" w:rsidR="009702B0" w:rsidRPr="00BF2624" w:rsidRDefault="009702B0" w:rsidP="009702B0">
            <w:pPr>
              <w:tabs>
                <w:tab w:val="right" w:pos="1202"/>
              </w:tabs>
              <w:spacing w:after="0" w:line="240" w:lineRule="atLeast"/>
              <w:jc w:val="right"/>
              <w:outlineLvl w:val="0"/>
              <w:rPr>
                <w:rFonts w:asciiTheme="minorHAnsi" w:eastAsia="Times New Roman" w:hAnsiTheme="minorHAnsi" w:cs="Arial"/>
                <w:b/>
                <w:sz w:val="20"/>
                <w:szCs w:val="20"/>
                <w:lang w:val="en-US"/>
              </w:rPr>
            </w:pPr>
            <w:r w:rsidRPr="00BF2624">
              <w:rPr>
                <w:rFonts w:asciiTheme="minorHAnsi" w:eastAsia="Times New Roman" w:hAnsiTheme="minorHAnsi" w:cs="Arial"/>
                <w:b/>
                <w:sz w:val="20"/>
                <w:szCs w:val="20"/>
                <w:lang w:val="en-US"/>
              </w:rPr>
              <w:t>90 days</w:t>
            </w:r>
          </w:p>
        </w:tc>
        <w:tc>
          <w:tcPr>
            <w:tcW w:w="612" w:type="pct"/>
            <w:vAlign w:val="center"/>
          </w:tcPr>
          <w:p w14:paraId="2D1D9693" w14:textId="77777777" w:rsidR="009702B0" w:rsidRPr="00BF2624" w:rsidRDefault="009702B0" w:rsidP="009702B0">
            <w:pPr>
              <w:tabs>
                <w:tab w:val="right" w:pos="1202"/>
              </w:tabs>
              <w:spacing w:after="0" w:line="240" w:lineRule="atLeast"/>
              <w:jc w:val="right"/>
              <w:outlineLvl w:val="0"/>
              <w:rPr>
                <w:rFonts w:asciiTheme="minorHAnsi" w:eastAsia="Times New Roman" w:hAnsiTheme="minorHAnsi" w:cs="Arial"/>
                <w:b/>
                <w:sz w:val="20"/>
                <w:szCs w:val="20"/>
                <w:lang w:val="en-US"/>
              </w:rPr>
            </w:pPr>
            <w:r w:rsidRPr="00BF2624">
              <w:rPr>
                <w:rFonts w:asciiTheme="minorHAnsi" w:eastAsia="Times New Roman" w:hAnsiTheme="minorHAnsi" w:cs="Arial"/>
                <w:b/>
                <w:sz w:val="20"/>
                <w:szCs w:val="20"/>
                <w:lang w:val="en-US"/>
              </w:rPr>
              <w:t xml:space="preserve">Total </w:t>
            </w:r>
          </w:p>
        </w:tc>
      </w:tr>
      <w:tr w:rsidR="009702B0" w:rsidRPr="00BF2624" w14:paraId="61362CB4" w14:textId="77777777" w:rsidTr="00166751">
        <w:trPr>
          <w:trHeight w:val="275"/>
          <w:jc w:val="center"/>
        </w:trPr>
        <w:tc>
          <w:tcPr>
            <w:tcW w:w="1255" w:type="pct"/>
          </w:tcPr>
          <w:p w14:paraId="51AAC47F" w14:textId="77777777" w:rsidR="009702B0" w:rsidRPr="00BF2624" w:rsidRDefault="009702B0" w:rsidP="009702B0">
            <w:pPr>
              <w:tabs>
                <w:tab w:val="right" w:pos="1202"/>
              </w:tabs>
              <w:spacing w:after="0" w:line="301" w:lineRule="exact"/>
              <w:outlineLvl w:val="0"/>
              <w:rPr>
                <w:rFonts w:asciiTheme="minorHAnsi" w:eastAsia="Times New Roman" w:hAnsiTheme="minorHAnsi" w:cs="Arial"/>
                <w:b/>
                <w:bCs/>
                <w:sz w:val="20"/>
                <w:szCs w:val="20"/>
                <w:lang w:val="hr-HR"/>
              </w:rPr>
            </w:pPr>
            <w:r w:rsidRPr="00BF2624">
              <w:rPr>
                <w:rFonts w:asciiTheme="minorHAnsi" w:eastAsia="Times New Roman" w:hAnsiTheme="minorHAnsi" w:cs="Arial"/>
                <w:b/>
                <w:bCs/>
                <w:sz w:val="20"/>
                <w:szCs w:val="20"/>
                <w:lang w:val="en-US"/>
              </w:rPr>
              <w:t xml:space="preserve">Assets </w:t>
            </w:r>
          </w:p>
        </w:tc>
        <w:tc>
          <w:tcPr>
            <w:tcW w:w="678" w:type="pct"/>
          </w:tcPr>
          <w:p w14:paraId="1F41250A" w14:textId="77777777" w:rsidR="009702B0" w:rsidRPr="00BF2624" w:rsidRDefault="009702B0" w:rsidP="009702B0">
            <w:pPr>
              <w:tabs>
                <w:tab w:val="right" w:pos="1202"/>
              </w:tabs>
              <w:spacing w:after="0" w:line="301" w:lineRule="exact"/>
              <w:jc w:val="right"/>
              <w:outlineLvl w:val="0"/>
              <w:rPr>
                <w:rFonts w:asciiTheme="minorHAnsi" w:eastAsia="Times New Roman" w:hAnsiTheme="minorHAnsi" w:cs="Arial"/>
                <w:b/>
                <w:bCs/>
                <w:sz w:val="20"/>
                <w:szCs w:val="20"/>
                <w:lang w:val="hr-HR"/>
              </w:rPr>
            </w:pPr>
          </w:p>
        </w:tc>
        <w:tc>
          <w:tcPr>
            <w:tcW w:w="614" w:type="pct"/>
          </w:tcPr>
          <w:p w14:paraId="2136AF80" w14:textId="77777777" w:rsidR="009702B0" w:rsidRPr="00BF2624" w:rsidRDefault="009702B0" w:rsidP="009702B0">
            <w:pPr>
              <w:tabs>
                <w:tab w:val="right" w:pos="1202"/>
              </w:tabs>
              <w:spacing w:after="0" w:line="301" w:lineRule="exact"/>
              <w:jc w:val="right"/>
              <w:outlineLvl w:val="0"/>
              <w:rPr>
                <w:rFonts w:asciiTheme="minorHAnsi" w:eastAsia="Times New Roman" w:hAnsiTheme="minorHAnsi" w:cs="Arial"/>
                <w:b/>
                <w:bCs/>
                <w:sz w:val="20"/>
                <w:szCs w:val="20"/>
                <w:lang w:val="hr-HR"/>
              </w:rPr>
            </w:pPr>
          </w:p>
        </w:tc>
        <w:tc>
          <w:tcPr>
            <w:tcW w:w="614" w:type="pct"/>
          </w:tcPr>
          <w:p w14:paraId="49F78430" w14:textId="77777777" w:rsidR="009702B0" w:rsidRPr="00BF2624" w:rsidRDefault="009702B0" w:rsidP="009702B0">
            <w:pPr>
              <w:tabs>
                <w:tab w:val="right" w:pos="1202"/>
              </w:tabs>
              <w:spacing w:after="0" w:line="301" w:lineRule="exact"/>
              <w:jc w:val="right"/>
              <w:outlineLvl w:val="0"/>
              <w:rPr>
                <w:rFonts w:asciiTheme="minorHAnsi" w:eastAsia="Times New Roman" w:hAnsiTheme="minorHAnsi" w:cs="Arial"/>
                <w:b/>
                <w:bCs/>
                <w:sz w:val="20"/>
                <w:szCs w:val="20"/>
                <w:lang w:val="hr-HR"/>
              </w:rPr>
            </w:pPr>
          </w:p>
        </w:tc>
        <w:tc>
          <w:tcPr>
            <w:tcW w:w="614" w:type="pct"/>
          </w:tcPr>
          <w:p w14:paraId="3796F23D" w14:textId="77777777" w:rsidR="009702B0" w:rsidRPr="00BF2624" w:rsidRDefault="009702B0" w:rsidP="009702B0">
            <w:pPr>
              <w:tabs>
                <w:tab w:val="right" w:pos="1202"/>
              </w:tabs>
              <w:spacing w:after="0" w:line="301" w:lineRule="exact"/>
              <w:jc w:val="right"/>
              <w:outlineLvl w:val="0"/>
              <w:rPr>
                <w:rFonts w:asciiTheme="minorHAnsi" w:eastAsia="Times New Roman" w:hAnsiTheme="minorHAnsi" w:cs="Arial"/>
                <w:b/>
                <w:bCs/>
                <w:sz w:val="20"/>
                <w:szCs w:val="20"/>
                <w:lang w:val="hr-HR"/>
              </w:rPr>
            </w:pPr>
          </w:p>
        </w:tc>
        <w:tc>
          <w:tcPr>
            <w:tcW w:w="614" w:type="pct"/>
          </w:tcPr>
          <w:p w14:paraId="34D7EEF8" w14:textId="77777777" w:rsidR="009702B0" w:rsidRPr="00BF2624" w:rsidRDefault="009702B0" w:rsidP="009702B0">
            <w:pPr>
              <w:tabs>
                <w:tab w:val="right" w:pos="1202"/>
              </w:tabs>
              <w:spacing w:after="0" w:line="301" w:lineRule="exact"/>
              <w:jc w:val="right"/>
              <w:outlineLvl w:val="0"/>
              <w:rPr>
                <w:rFonts w:asciiTheme="minorHAnsi" w:eastAsia="Times New Roman" w:hAnsiTheme="minorHAnsi" w:cs="Arial"/>
                <w:b/>
                <w:bCs/>
                <w:sz w:val="20"/>
                <w:szCs w:val="20"/>
                <w:lang w:val="hr-HR"/>
              </w:rPr>
            </w:pPr>
          </w:p>
        </w:tc>
        <w:tc>
          <w:tcPr>
            <w:tcW w:w="612" w:type="pct"/>
          </w:tcPr>
          <w:p w14:paraId="5AF76DA5" w14:textId="77777777" w:rsidR="009702B0" w:rsidRPr="00BF2624" w:rsidRDefault="009702B0" w:rsidP="009702B0">
            <w:pPr>
              <w:tabs>
                <w:tab w:val="right" w:pos="1202"/>
              </w:tabs>
              <w:spacing w:after="0" w:line="301" w:lineRule="exact"/>
              <w:jc w:val="right"/>
              <w:outlineLvl w:val="0"/>
              <w:rPr>
                <w:rFonts w:asciiTheme="minorHAnsi" w:eastAsia="Times New Roman" w:hAnsiTheme="minorHAnsi" w:cs="Arial"/>
                <w:b/>
                <w:bCs/>
                <w:sz w:val="20"/>
                <w:szCs w:val="20"/>
                <w:lang w:val="hr-HR"/>
              </w:rPr>
            </w:pPr>
          </w:p>
        </w:tc>
      </w:tr>
      <w:tr w:rsidR="00BF2624" w:rsidRPr="00BF2624" w14:paraId="6657324C" w14:textId="77777777" w:rsidTr="00166751">
        <w:trPr>
          <w:trHeight w:val="286"/>
          <w:jc w:val="center"/>
        </w:trPr>
        <w:tc>
          <w:tcPr>
            <w:tcW w:w="1255" w:type="pct"/>
            <w:vAlign w:val="bottom"/>
          </w:tcPr>
          <w:p w14:paraId="765DE674" w14:textId="77777777" w:rsidR="00BF2624" w:rsidRPr="00BF2624" w:rsidRDefault="00BF2624" w:rsidP="00BF2624">
            <w:pPr>
              <w:tabs>
                <w:tab w:val="right" w:pos="1202"/>
              </w:tabs>
              <w:spacing w:after="0" w:line="220" w:lineRule="exact"/>
              <w:outlineLvl w:val="0"/>
              <w:rPr>
                <w:rFonts w:asciiTheme="minorHAnsi" w:eastAsia="Times New Roman" w:hAnsiTheme="minorHAnsi" w:cs="Arial"/>
                <w:sz w:val="20"/>
                <w:szCs w:val="20"/>
                <w:lang w:val="hr-HR"/>
              </w:rPr>
            </w:pPr>
            <w:r w:rsidRPr="00BF2624">
              <w:rPr>
                <w:rFonts w:asciiTheme="minorHAnsi" w:eastAsia="Times New Roman" w:hAnsiTheme="minorHAnsi" w:cs="Arial"/>
                <w:sz w:val="20"/>
                <w:szCs w:val="20"/>
                <w:lang w:val="en-US"/>
              </w:rPr>
              <w:t xml:space="preserve">Loans to financial institutions </w:t>
            </w:r>
          </w:p>
        </w:tc>
        <w:tc>
          <w:tcPr>
            <w:tcW w:w="678" w:type="pct"/>
            <w:tcBorders>
              <w:top w:val="nil"/>
              <w:left w:val="nil"/>
              <w:bottom w:val="nil"/>
              <w:right w:val="nil"/>
            </w:tcBorders>
            <w:shd w:val="clear" w:color="auto" w:fill="auto"/>
            <w:vAlign w:val="bottom"/>
          </w:tcPr>
          <w:p w14:paraId="0B5EF405" w14:textId="77777777" w:rsidR="00BF2624" w:rsidRPr="00BF2624" w:rsidRDefault="00BF2624" w:rsidP="00BF2624">
            <w:pPr>
              <w:tabs>
                <w:tab w:val="right" w:pos="1202"/>
              </w:tabs>
              <w:spacing w:after="0" w:line="240" w:lineRule="auto"/>
              <w:jc w:val="right"/>
              <w:outlineLvl w:val="0"/>
              <w:rPr>
                <w:rFonts w:asciiTheme="minorHAnsi" w:hAnsiTheme="minorHAnsi" w:cs="Arial"/>
                <w:snapToGrid w:val="0"/>
                <w:sz w:val="20"/>
                <w:szCs w:val="20"/>
              </w:rPr>
            </w:pPr>
            <w:r w:rsidRPr="00BF2624">
              <w:rPr>
                <w:rFonts w:cs="Arial"/>
                <w:sz w:val="20"/>
                <w:szCs w:val="20"/>
              </w:rPr>
              <w:t>200,364</w:t>
            </w:r>
          </w:p>
        </w:tc>
        <w:tc>
          <w:tcPr>
            <w:tcW w:w="614" w:type="pct"/>
            <w:tcBorders>
              <w:top w:val="nil"/>
              <w:left w:val="nil"/>
              <w:bottom w:val="nil"/>
              <w:right w:val="nil"/>
            </w:tcBorders>
            <w:shd w:val="clear" w:color="auto" w:fill="auto"/>
            <w:vAlign w:val="bottom"/>
          </w:tcPr>
          <w:p w14:paraId="54C40B4D" w14:textId="77777777" w:rsidR="00BF2624" w:rsidRPr="00BF2624" w:rsidRDefault="00BF2624" w:rsidP="00BF2624">
            <w:pPr>
              <w:tabs>
                <w:tab w:val="right" w:pos="1202"/>
              </w:tabs>
              <w:spacing w:after="0" w:line="240" w:lineRule="auto"/>
              <w:jc w:val="right"/>
              <w:outlineLvl w:val="0"/>
              <w:rPr>
                <w:rFonts w:asciiTheme="minorHAnsi" w:hAnsiTheme="minorHAnsi" w:cs="Arial"/>
                <w:snapToGrid w:val="0"/>
                <w:sz w:val="20"/>
                <w:szCs w:val="20"/>
              </w:rPr>
            </w:pPr>
            <w:r w:rsidRPr="00BF2624">
              <w:rPr>
                <w:rFonts w:cs="Arial"/>
                <w:sz w:val="20"/>
                <w:szCs w:val="20"/>
              </w:rPr>
              <w:t>552</w:t>
            </w:r>
          </w:p>
        </w:tc>
        <w:tc>
          <w:tcPr>
            <w:tcW w:w="614" w:type="pct"/>
            <w:tcBorders>
              <w:top w:val="nil"/>
              <w:left w:val="nil"/>
              <w:bottom w:val="nil"/>
              <w:right w:val="nil"/>
            </w:tcBorders>
            <w:shd w:val="clear" w:color="auto" w:fill="auto"/>
            <w:vAlign w:val="bottom"/>
          </w:tcPr>
          <w:p w14:paraId="7FF27E9B" w14:textId="77777777" w:rsidR="00BF2624" w:rsidRPr="00BF2624" w:rsidRDefault="00BF2624" w:rsidP="00BF2624">
            <w:pPr>
              <w:tabs>
                <w:tab w:val="right" w:pos="1202"/>
              </w:tabs>
              <w:spacing w:after="0" w:line="240" w:lineRule="auto"/>
              <w:jc w:val="right"/>
              <w:outlineLvl w:val="0"/>
              <w:rPr>
                <w:rFonts w:asciiTheme="minorHAnsi" w:hAnsiTheme="minorHAnsi" w:cs="Arial"/>
                <w:snapToGrid w:val="0"/>
                <w:sz w:val="20"/>
                <w:szCs w:val="20"/>
              </w:rPr>
            </w:pPr>
            <w:r w:rsidRPr="00BF2624">
              <w:rPr>
                <w:rFonts w:cs="Arial"/>
                <w:sz w:val="20"/>
                <w:szCs w:val="20"/>
              </w:rPr>
              <w:t>4,000</w:t>
            </w:r>
          </w:p>
        </w:tc>
        <w:tc>
          <w:tcPr>
            <w:tcW w:w="614" w:type="pct"/>
            <w:tcBorders>
              <w:top w:val="nil"/>
              <w:left w:val="nil"/>
              <w:bottom w:val="nil"/>
              <w:right w:val="nil"/>
            </w:tcBorders>
            <w:shd w:val="clear" w:color="auto" w:fill="auto"/>
            <w:vAlign w:val="bottom"/>
          </w:tcPr>
          <w:p w14:paraId="14F00742" w14:textId="77777777" w:rsidR="00BF2624" w:rsidRPr="00BF2624" w:rsidRDefault="00BF2624" w:rsidP="00BF2624">
            <w:pPr>
              <w:tabs>
                <w:tab w:val="right" w:pos="1202"/>
              </w:tabs>
              <w:spacing w:after="0" w:line="240" w:lineRule="auto"/>
              <w:jc w:val="right"/>
              <w:outlineLvl w:val="0"/>
              <w:rPr>
                <w:rFonts w:asciiTheme="minorHAnsi" w:hAnsiTheme="minorHAnsi" w:cs="Arial"/>
                <w:snapToGrid w:val="0"/>
                <w:sz w:val="20"/>
                <w:szCs w:val="20"/>
              </w:rPr>
            </w:pPr>
            <w:r w:rsidRPr="00BF2624">
              <w:rPr>
                <w:rFonts w:cs="Arial"/>
                <w:sz w:val="20"/>
                <w:szCs w:val="20"/>
              </w:rPr>
              <w:t>17</w:t>
            </w:r>
          </w:p>
        </w:tc>
        <w:tc>
          <w:tcPr>
            <w:tcW w:w="614" w:type="pct"/>
            <w:tcBorders>
              <w:top w:val="nil"/>
              <w:left w:val="nil"/>
              <w:bottom w:val="nil"/>
              <w:right w:val="nil"/>
            </w:tcBorders>
            <w:shd w:val="clear" w:color="auto" w:fill="auto"/>
            <w:vAlign w:val="bottom"/>
          </w:tcPr>
          <w:p w14:paraId="575327B2" w14:textId="77777777" w:rsidR="00BF2624" w:rsidRPr="00BF2624" w:rsidRDefault="00BF2624" w:rsidP="00BF2624">
            <w:pPr>
              <w:tabs>
                <w:tab w:val="right" w:pos="1202"/>
              </w:tabs>
              <w:spacing w:after="0" w:line="240" w:lineRule="auto"/>
              <w:jc w:val="right"/>
              <w:outlineLvl w:val="0"/>
              <w:rPr>
                <w:rFonts w:asciiTheme="minorHAnsi" w:hAnsiTheme="minorHAnsi" w:cs="Arial"/>
                <w:snapToGrid w:val="0"/>
                <w:sz w:val="20"/>
                <w:szCs w:val="20"/>
              </w:rPr>
            </w:pPr>
            <w:r w:rsidRPr="00BF2624">
              <w:rPr>
                <w:rFonts w:cs="Arial"/>
                <w:sz w:val="20"/>
                <w:szCs w:val="20"/>
              </w:rPr>
              <w:t>7,521</w:t>
            </w:r>
          </w:p>
        </w:tc>
        <w:tc>
          <w:tcPr>
            <w:tcW w:w="612" w:type="pct"/>
            <w:tcBorders>
              <w:top w:val="nil"/>
              <w:left w:val="nil"/>
              <w:bottom w:val="nil"/>
              <w:right w:val="nil"/>
            </w:tcBorders>
            <w:shd w:val="clear" w:color="auto" w:fill="auto"/>
            <w:vAlign w:val="bottom"/>
          </w:tcPr>
          <w:p w14:paraId="2C26C4C3" w14:textId="77777777" w:rsidR="00BF2624" w:rsidRPr="00BF2624" w:rsidRDefault="00BF2624" w:rsidP="00BF2624">
            <w:pPr>
              <w:tabs>
                <w:tab w:val="right" w:pos="1202"/>
              </w:tabs>
              <w:spacing w:after="0" w:line="240" w:lineRule="auto"/>
              <w:jc w:val="right"/>
              <w:outlineLvl w:val="0"/>
              <w:rPr>
                <w:rFonts w:asciiTheme="minorHAnsi" w:hAnsiTheme="minorHAnsi" w:cs="Arial"/>
                <w:snapToGrid w:val="0"/>
                <w:sz w:val="20"/>
                <w:szCs w:val="20"/>
              </w:rPr>
            </w:pPr>
            <w:r w:rsidRPr="00BF2624">
              <w:rPr>
                <w:rFonts w:cs="Arial"/>
                <w:sz w:val="20"/>
                <w:szCs w:val="20"/>
              </w:rPr>
              <w:t>212,454</w:t>
            </w:r>
          </w:p>
        </w:tc>
      </w:tr>
      <w:tr w:rsidR="00BF2624" w:rsidRPr="00BF2624" w14:paraId="33ACEECA" w14:textId="77777777" w:rsidTr="006B318F">
        <w:trPr>
          <w:trHeight w:val="429"/>
          <w:jc w:val="center"/>
        </w:trPr>
        <w:tc>
          <w:tcPr>
            <w:tcW w:w="1255" w:type="pct"/>
            <w:vAlign w:val="bottom"/>
          </w:tcPr>
          <w:p w14:paraId="3A31760F" w14:textId="77777777" w:rsidR="00BF2624" w:rsidRPr="00BF2624" w:rsidRDefault="00BF2624" w:rsidP="00BF2624">
            <w:pPr>
              <w:tabs>
                <w:tab w:val="right" w:pos="1202"/>
              </w:tabs>
              <w:spacing w:after="0" w:line="220" w:lineRule="exact"/>
              <w:outlineLvl w:val="0"/>
              <w:rPr>
                <w:rFonts w:asciiTheme="minorHAnsi" w:eastAsia="Times New Roman" w:hAnsiTheme="minorHAnsi" w:cs="Arial"/>
                <w:sz w:val="20"/>
                <w:szCs w:val="20"/>
                <w:lang w:val="hr-HR"/>
              </w:rPr>
            </w:pPr>
            <w:r w:rsidRPr="00BF2624">
              <w:rPr>
                <w:rFonts w:asciiTheme="minorHAnsi" w:eastAsia="Times New Roman" w:hAnsiTheme="minorHAnsi" w:cs="Arial"/>
                <w:sz w:val="20"/>
                <w:szCs w:val="20"/>
                <w:lang w:val="en-US"/>
              </w:rPr>
              <w:t xml:space="preserve">Loans to other customers </w:t>
            </w:r>
          </w:p>
        </w:tc>
        <w:tc>
          <w:tcPr>
            <w:tcW w:w="678" w:type="pct"/>
            <w:tcBorders>
              <w:top w:val="nil"/>
              <w:left w:val="nil"/>
              <w:bottom w:val="nil"/>
              <w:right w:val="nil"/>
            </w:tcBorders>
            <w:shd w:val="clear" w:color="auto" w:fill="auto"/>
            <w:vAlign w:val="bottom"/>
          </w:tcPr>
          <w:p w14:paraId="168AFF3C" w14:textId="77777777" w:rsidR="00BF2624" w:rsidRPr="00BF2624" w:rsidRDefault="00BF2624" w:rsidP="00BF2624">
            <w:pPr>
              <w:tabs>
                <w:tab w:val="right" w:pos="1202"/>
              </w:tabs>
              <w:spacing w:after="0" w:line="240" w:lineRule="auto"/>
              <w:jc w:val="right"/>
              <w:outlineLvl w:val="0"/>
              <w:rPr>
                <w:rFonts w:asciiTheme="minorHAnsi" w:hAnsiTheme="minorHAnsi" w:cs="Arial"/>
                <w:spacing w:val="-2"/>
                <w:sz w:val="20"/>
                <w:szCs w:val="20"/>
              </w:rPr>
            </w:pPr>
            <w:r w:rsidRPr="00BF2624">
              <w:rPr>
                <w:rFonts w:cs="Arial"/>
                <w:sz w:val="20"/>
                <w:szCs w:val="20"/>
              </w:rPr>
              <w:t>109,035</w:t>
            </w:r>
          </w:p>
        </w:tc>
        <w:tc>
          <w:tcPr>
            <w:tcW w:w="614" w:type="pct"/>
            <w:tcBorders>
              <w:top w:val="nil"/>
              <w:left w:val="nil"/>
              <w:bottom w:val="nil"/>
              <w:right w:val="nil"/>
            </w:tcBorders>
            <w:shd w:val="clear" w:color="auto" w:fill="auto"/>
            <w:vAlign w:val="bottom"/>
          </w:tcPr>
          <w:p w14:paraId="6D6E55D8" w14:textId="77777777" w:rsidR="00BF2624" w:rsidRPr="00BF2624" w:rsidRDefault="00BF2624" w:rsidP="00BF2624">
            <w:pPr>
              <w:tabs>
                <w:tab w:val="right" w:pos="1202"/>
              </w:tabs>
              <w:spacing w:after="0" w:line="240" w:lineRule="auto"/>
              <w:jc w:val="right"/>
              <w:outlineLvl w:val="0"/>
              <w:rPr>
                <w:rFonts w:asciiTheme="minorHAnsi" w:hAnsiTheme="minorHAnsi" w:cs="Arial"/>
                <w:spacing w:val="-2"/>
                <w:sz w:val="20"/>
                <w:szCs w:val="20"/>
              </w:rPr>
            </w:pPr>
            <w:r w:rsidRPr="00BF2624">
              <w:rPr>
                <w:rFonts w:cs="Arial"/>
                <w:sz w:val="20"/>
                <w:szCs w:val="20"/>
              </w:rPr>
              <w:t>36</w:t>
            </w:r>
          </w:p>
        </w:tc>
        <w:tc>
          <w:tcPr>
            <w:tcW w:w="614" w:type="pct"/>
            <w:tcBorders>
              <w:top w:val="nil"/>
              <w:left w:val="nil"/>
              <w:bottom w:val="nil"/>
              <w:right w:val="nil"/>
            </w:tcBorders>
            <w:shd w:val="clear" w:color="auto" w:fill="auto"/>
            <w:vAlign w:val="bottom"/>
          </w:tcPr>
          <w:p w14:paraId="3CE03063" w14:textId="77777777" w:rsidR="00BF2624" w:rsidRPr="00BF2624" w:rsidRDefault="00BF2624" w:rsidP="00BF2624">
            <w:pPr>
              <w:tabs>
                <w:tab w:val="right" w:pos="1202"/>
              </w:tabs>
              <w:spacing w:after="0" w:line="240" w:lineRule="auto"/>
              <w:jc w:val="right"/>
              <w:outlineLvl w:val="0"/>
              <w:rPr>
                <w:rFonts w:asciiTheme="minorHAnsi" w:hAnsiTheme="minorHAnsi" w:cs="Arial"/>
                <w:spacing w:val="-2"/>
                <w:sz w:val="20"/>
                <w:szCs w:val="20"/>
              </w:rPr>
            </w:pPr>
            <w:r w:rsidRPr="00BF2624">
              <w:rPr>
                <w:rFonts w:cs="Arial"/>
                <w:sz w:val="20"/>
                <w:szCs w:val="20"/>
              </w:rPr>
              <w:t>8,072</w:t>
            </w:r>
          </w:p>
        </w:tc>
        <w:tc>
          <w:tcPr>
            <w:tcW w:w="614" w:type="pct"/>
            <w:tcBorders>
              <w:top w:val="nil"/>
              <w:left w:val="nil"/>
              <w:bottom w:val="nil"/>
              <w:right w:val="nil"/>
            </w:tcBorders>
            <w:shd w:val="clear" w:color="auto" w:fill="auto"/>
            <w:vAlign w:val="bottom"/>
          </w:tcPr>
          <w:p w14:paraId="7FAD159C" w14:textId="77777777" w:rsidR="00BF2624" w:rsidRPr="00BF2624" w:rsidRDefault="00BF2624" w:rsidP="00BF2624">
            <w:pPr>
              <w:tabs>
                <w:tab w:val="right" w:pos="1202"/>
              </w:tabs>
              <w:spacing w:after="0" w:line="240" w:lineRule="auto"/>
              <w:jc w:val="right"/>
              <w:outlineLvl w:val="0"/>
              <w:rPr>
                <w:rFonts w:asciiTheme="minorHAnsi" w:hAnsiTheme="minorHAnsi" w:cs="Arial"/>
                <w:spacing w:val="-2"/>
                <w:sz w:val="20"/>
                <w:szCs w:val="20"/>
              </w:rPr>
            </w:pPr>
            <w:r w:rsidRPr="00BF2624">
              <w:rPr>
                <w:rFonts w:cs="Arial"/>
                <w:sz w:val="20"/>
                <w:szCs w:val="20"/>
              </w:rPr>
              <w:t>803</w:t>
            </w:r>
          </w:p>
        </w:tc>
        <w:tc>
          <w:tcPr>
            <w:tcW w:w="614" w:type="pct"/>
            <w:tcBorders>
              <w:top w:val="nil"/>
              <w:left w:val="nil"/>
              <w:bottom w:val="nil"/>
              <w:right w:val="nil"/>
            </w:tcBorders>
            <w:shd w:val="clear" w:color="auto" w:fill="auto"/>
            <w:vAlign w:val="bottom"/>
          </w:tcPr>
          <w:p w14:paraId="2E230519" w14:textId="77777777" w:rsidR="00BF2624" w:rsidRPr="00BF2624" w:rsidRDefault="00BF2624" w:rsidP="00BF2624">
            <w:pPr>
              <w:tabs>
                <w:tab w:val="right" w:pos="1202"/>
              </w:tabs>
              <w:spacing w:after="0" w:line="240" w:lineRule="auto"/>
              <w:jc w:val="right"/>
              <w:outlineLvl w:val="0"/>
              <w:rPr>
                <w:rFonts w:asciiTheme="minorHAnsi" w:hAnsiTheme="minorHAnsi" w:cs="Arial"/>
                <w:spacing w:val="-2"/>
                <w:sz w:val="20"/>
                <w:szCs w:val="20"/>
              </w:rPr>
            </w:pPr>
            <w:r w:rsidRPr="00BF2624">
              <w:rPr>
                <w:rFonts w:cs="Arial"/>
                <w:sz w:val="20"/>
                <w:szCs w:val="20"/>
              </w:rPr>
              <w:t>47,820</w:t>
            </w:r>
          </w:p>
        </w:tc>
        <w:tc>
          <w:tcPr>
            <w:tcW w:w="612" w:type="pct"/>
            <w:tcBorders>
              <w:top w:val="nil"/>
              <w:left w:val="nil"/>
              <w:bottom w:val="nil"/>
              <w:right w:val="nil"/>
            </w:tcBorders>
            <w:shd w:val="clear" w:color="auto" w:fill="auto"/>
            <w:vAlign w:val="bottom"/>
          </w:tcPr>
          <w:p w14:paraId="10875AA4" w14:textId="77777777" w:rsidR="00BF2624" w:rsidRPr="00BF2624" w:rsidRDefault="00BF2624" w:rsidP="00BF2624">
            <w:pPr>
              <w:tabs>
                <w:tab w:val="right" w:pos="1202"/>
              </w:tabs>
              <w:spacing w:after="0" w:line="240" w:lineRule="auto"/>
              <w:jc w:val="right"/>
              <w:outlineLvl w:val="0"/>
              <w:rPr>
                <w:rFonts w:asciiTheme="minorHAnsi" w:hAnsiTheme="minorHAnsi" w:cs="Arial"/>
                <w:spacing w:val="-2"/>
                <w:sz w:val="20"/>
                <w:szCs w:val="20"/>
              </w:rPr>
            </w:pPr>
            <w:r w:rsidRPr="00BF2624">
              <w:rPr>
                <w:rFonts w:cs="Arial"/>
                <w:sz w:val="20"/>
                <w:szCs w:val="20"/>
              </w:rPr>
              <w:t>165,766</w:t>
            </w:r>
          </w:p>
        </w:tc>
      </w:tr>
      <w:tr w:rsidR="00BF2624" w:rsidRPr="00BF2624" w14:paraId="1E1E3C01" w14:textId="77777777" w:rsidTr="00166751">
        <w:trPr>
          <w:trHeight w:val="275"/>
          <w:jc w:val="center"/>
        </w:trPr>
        <w:tc>
          <w:tcPr>
            <w:tcW w:w="1255" w:type="pct"/>
            <w:vAlign w:val="bottom"/>
          </w:tcPr>
          <w:p w14:paraId="0C51917B" w14:textId="77777777" w:rsidR="00BF2624" w:rsidRPr="00BF2624" w:rsidRDefault="00BF2624" w:rsidP="00BF2624">
            <w:pPr>
              <w:tabs>
                <w:tab w:val="right" w:pos="1202"/>
              </w:tabs>
              <w:spacing w:after="0" w:line="220" w:lineRule="exact"/>
              <w:outlineLvl w:val="0"/>
              <w:rPr>
                <w:rFonts w:asciiTheme="minorHAnsi" w:eastAsia="Times New Roman" w:hAnsiTheme="minorHAnsi" w:cs="Arial"/>
                <w:sz w:val="20"/>
                <w:szCs w:val="20"/>
                <w:lang w:val="hr-HR"/>
              </w:rPr>
            </w:pPr>
            <w:r w:rsidRPr="00BF2624">
              <w:rPr>
                <w:rFonts w:asciiTheme="minorHAnsi" w:eastAsia="Times New Roman" w:hAnsiTheme="minorHAnsi" w:cs="Arial"/>
                <w:sz w:val="20"/>
                <w:szCs w:val="20"/>
                <w:lang w:val="en-US"/>
              </w:rPr>
              <w:t xml:space="preserve">Other assets </w:t>
            </w:r>
          </w:p>
        </w:tc>
        <w:tc>
          <w:tcPr>
            <w:tcW w:w="678" w:type="pct"/>
            <w:tcBorders>
              <w:top w:val="nil"/>
              <w:left w:val="nil"/>
              <w:bottom w:val="single" w:sz="8" w:space="0" w:color="auto"/>
              <w:right w:val="nil"/>
            </w:tcBorders>
            <w:shd w:val="clear" w:color="auto" w:fill="auto"/>
            <w:vAlign w:val="bottom"/>
          </w:tcPr>
          <w:p w14:paraId="3046C3D9" w14:textId="77777777" w:rsidR="00BF2624" w:rsidRPr="00BF2624" w:rsidRDefault="00BF2624" w:rsidP="00BF2624">
            <w:pPr>
              <w:tabs>
                <w:tab w:val="right" w:pos="1202"/>
              </w:tabs>
              <w:spacing w:after="0" w:line="240" w:lineRule="auto"/>
              <w:jc w:val="right"/>
              <w:outlineLvl w:val="0"/>
              <w:rPr>
                <w:rFonts w:asciiTheme="minorHAnsi" w:hAnsiTheme="minorHAnsi" w:cs="Arial"/>
                <w:snapToGrid w:val="0"/>
                <w:sz w:val="20"/>
                <w:szCs w:val="20"/>
              </w:rPr>
            </w:pPr>
            <w:r w:rsidRPr="00BF2624">
              <w:rPr>
                <w:rFonts w:cs="Arial"/>
                <w:sz w:val="20"/>
                <w:szCs w:val="20"/>
              </w:rPr>
              <w:t>862</w:t>
            </w:r>
          </w:p>
        </w:tc>
        <w:tc>
          <w:tcPr>
            <w:tcW w:w="614" w:type="pct"/>
            <w:tcBorders>
              <w:top w:val="nil"/>
              <w:left w:val="nil"/>
              <w:bottom w:val="single" w:sz="8" w:space="0" w:color="auto"/>
              <w:right w:val="nil"/>
            </w:tcBorders>
            <w:shd w:val="clear" w:color="auto" w:fill="auto"/>
            <w:vAlign w:val="bottom"/>
          </w:tcPr>
          <w:p w14:paraId="25D41D19" w14:textId="77777777" w:rsidR="00BF2624" w:rsidRPr="00BF2624" w:rsidRDefault="00BF2624" w:rsidP="00BF2624">
            <w:pPr>
              <w:tabs>
                <w:tab w:val="right" w:pos="1202"/>
              </w:tabs>
              <w:spacing w:after="0" w:line="240" w:lineRule="auto"/>
              <w:jc w:val="right"/>
              <w:outlineLvl w:val="0"/>
              <w:rPr>
                <w:rFonts w:asciiTheme="minorHAnsi" w:hAnsiTheme="minorHAnsi" w:cs="Arial"/>
                <w:snapToGrid w:val="0"/>
                <w:sz w:val="20"/>
                <w:szCs w:val="20"/>
              </w:rPr>
            </w:pPr>
            <w:r w:rsidRPr="00BF2624">
              <w:rPr>
                <w:rFonts w:cs="Arial"/>
                <w:sz w:val="20"/>
                <w:szCs w:val="20"/>
              </w:rPr>
              <w:t>73</w:t>
            </w:r>
          </w:p>
        </w:tc>
        <w:tc>
          <w:tcPr>
            <w:tcW w:w="614" w:type="pct"/>
            <w:tcBorders>
              <w:top w:val="nil"/>
              <w:left w:val="nil"/>
              <w:bottom w:val="single" w:sz="8" w:space="0" w:color="auto"/>
              <w:right w:val="nil"/>
            </w:tcBorders>
            <w:shd w:val="clear" w:color="auto" w:fill="auto"/>
            <w:vAlign w:val="bottom"/>
          </w:tcPr>
          <w:p w14:paraId="556D0393" w14:textId="77777777" w:rsidR="00BF2624" w:rsidRPr="00BF2624" w:rsidRDefault="00BF2624" w:rsidP="00BF2624">
            <w:pPr>
              <w:tabs>
                <w:tab w:val="right" w:pos="1202"/>
              </w:tabs>
              <w:spacing w:after="0" w:line="240" w:lineRule="auto"/>
              <w:jc w:val="right"/>
              <w:outlineLvl w:val="0"/>
              <w:rPr>
                <w:rFonts w:asciiTheme="minorHAnsi" w:hAnsiTheme="minorHAnsi" w:cs="Arial"/>
                <w:snapToGrid w:val="0"/>
                <w:sz w:val="20"/>
                <w:szCs w:val="20"/>
              </w:rPr>
            </w:pPr>
            <w:r w:rsidRPr="00BF2624">
              <w:rPr>
                <w:rFonts w:cs="Arial"/>
                <w:sz w:val="20"/>
                <w:szCs w:val="20"/>
              </w:rPr>
              <w:t>38</w:t>
            </w:r>
          </w:p>
        </w:tc>
        <w:tc>
          <w:tcPr>
            <w:tcW w:w="614" w:type="pct"/>
            <w:tcBorders>
              <w:top w:val="nil"/>
              <w:left w:val="nil"/>
              <w:bottom w:val="single" w:sz="8" w:space="0" w:color="auto"/>
              <w:right w:val="nil"/>
            </w:tcBorders>
            <w:shd w:val="clear" w:color="auto" w:fill="auto"/>
            <w:vAlign w:val="bottom"/>
          </w:tcPr>
          <w:p w14:paraId="522F00C8" w14:textId="77777777" w:rsidR="00BF2624" w:rsidRPr="00BF2624" w:rsidRDefault="00BF2624" w:rsidP="00BF2624">
            <w:pPr>
              <w:tabs>
                <w:tab w:val="right" w:pos="1202"/>
              </w:tabs>
              <w:spacing w:after="0" w:line="240" w:lineRule="auto"/>
              <w:jc w:val="right"/>
              <w:outlineLvl w:val="0"/>
              <w:rPr>
                <w:rFonts w:asciiTheme="minorHAnsi" w:hAnsiTheme="minorHAnsi" w:cs="Arial"/>
                <w:snapToGrid w:val="0"/>
                <w:sz w:val="20"/>
                <w:szCs w:val="20"/>
              </w:rPr>
            </w:pPr>
            <w:r w:rsidRPr="00BF2624">
              <w:rPr>
                <w:rFonts w:cs="Arial"/>
                <w:sz w:val="20"/>
                <w:szCs w:val="20"/>
              </w:rPr>
              <w:t>18</w:t>
            </w:r>
          </w:p>
        </w:tc>
        <w:tc>
          <w:tcPr>
            <w:tcW w:w="614" w:type="pct"/>
            <w:tcBorders>
              <w:top w:val="nil"/>
              <w:left w:val="nil"/>
              <w:bottom w:val="single" w:sz="8" w:space="0" w:color="auto"/>
              <w:right w:val="nil"/>
            </w:tcBorders>
            <w:shd w:val="clear" w:color="auto" w:fill="auto"/>
            <w:vAlign w:val="bottom"/>
          </w:tcPr>
          <w:p w14:paraId="703DE573" w14:textId="77777777" w:rsidR="00BF2624" w:rsidRPr="00BF2624" w:rsidRDefault="00BF2624" w:rsidP="00BF2624">
            <w:pPr>
              <w:tabs>
                <w:tab w:val="right" w:pos="1202"/>
              </w:tabs>
              <w:spacing w:after="0" w:line="240" w:lineRule="auto"/>
              <w:jc w:val="right"/>
              <w:outlineLvl w:val="0"/>
              <w:rPr>
                <w:rFonts w:asciiTheme="minorHAnsi" w:hAnsiTheme="minorHAnsi" w:cs="Arial"/>
                <w:snapToGrid w:val="0"/>
                <w:sz w:val="20"/>
                <w:szCs w:val="20"/>
              </w:rPr>
            </w:pPr>
            <w:r w:rsidRPr="00BF2624">
              <w:rPr>
                <w:rFonts w:cs="Arial"/>
                <w:sz w:val="20"/>
                <w:szCs w:val="20"/>
              </w:rPr>
              <w:t>26</w:t>
            </w:r>
          </w:p>
        </w:tc>
        <w:tc>
          <w:tcPr>
            <w:tcW w:w="612" w:type="pct"/>
            <w:tcBorders>
              <w:top w:val="nil"/>
              <w:left w:val="nil"/>
              <w:bottom w:val="single" w:sz="8" w:space="0" w:color="auto"/>
              <w:right w:val="nil"/>
            </w:tcBorders>
            <w:shd w:val="clear" w:color="auto" w:fill="auto"/>
            <w:vAlign w:val="bottom"/>
          </w:tcPr>
          <w:p w14:paraId="11986318" w14:textId="77777777" w:rsidR="00BF2624" w:rsidRPr="00BF2624" w:rsidRDefault="00BF2624" w:rsidP="00BF2624">
            <w:pPr>
              <w:tabs>
                <w:tab w:val="right" w:pos="1202"/>
              </w:tabs>
              <w:spacing w:after="0" w:line="240" w:lineRule="auto"/>
              <w:jc w:val="right"/>
              <w:outlineLvl w:val="0"/>
              <w:rPr>
                <w:rFonts w:asciiTheme="minorHAnsi" w:hAnsiTheme="minorHAnsi" w:cs="Arial"/>
                <w:snapToGrid w:val="0"/>
                <w:sz w:val="20"/>
                <w:szCs w:val="20"/>
              </w:rPr>
            </w:pPr>
            <w:r w:rsidRPr="00BF2624">
              <w:rPr>
                <w:rFonts w:cs="Arial"/>
                <w:sz w:val="20"/>
                <w:szCs w:val="20"/>
              </w:rPr>
              <w:t>1,017</w:t>
            </w:r>
          </w:p>
        </w:tc>
      </w:tr>
      <w:tr w:rsidR="00BF2624" w:rsidRPr="00BF2624" w14:paraId="2F510A48" w14:textId="77777777" w:rsidTr="00166751">
        <w:trPr>
          <w:trHeight w:hRule="exact" w:val="34"/>
          <w:jc w:val="center"/>
        </w:trPr>
        <w:tc>
          <w:tcPr>
            <w:tcW w:w="1255" w:type="pct"/>
          </w:tcPr>
          <w:p w14:paraId="08F0B341" w14:textId="77777777" w:rsidR="00BF2624" w:rsidRPr="00BF2624" w:rsidRDefault="00BF2624" w:rsidP="00BF2624">
            <w:pPr>
              <w:keepNext/>
              <w:keepLines/>
              <w:tabs>
                <w:tab w:val="decimal" w:pos="1202"/>
              </w:tabs>
              <w:spacing w:after="0" w:line="120" w:lineRule="auto"/>
              <w:rPr>
                <w:rFonts w:asciiTheme="minorHAnsi" w:eastAsia="Times New Roman" w:hAnsiTheme="minorHAnsi" w:cs="Arial"/>
                <w:b/>
                <w:position w:val="4"/>
                <w:sz w:val="20"/>
                <w:szCs w:val="20"/>
                <w:lang w:val="hr-HR"/>
              </w:rPr>
            </w:pPr>
          </w:p>
        </w:tc>
        <w:tc>
          <w:tcPr>
            <w:tcW w:w="678" w:type="pct"/>
            <w:tcBorders>
              <w:top w:val="single" w:sz="8" w:space="0" w:color="auto"/>
            </w:tcBorders>
            <w:vAlign w:val="bottom"/>
          </w:tcPr>
          <w:p w14:paraId="151983A2" w14:textId="77777777" w:rsidR="00BF2624" w:rsidRPr="00BF2624" w:rsidRDefault="00BF2624" w:rsidP="00BF2624">
            <w:pPr>
              <w:keepNext/>
              <w:keepLines/>
              <w:tabs>
                <w:tab w:val="left" w:pos="215"/>
                <w:tab w:val="decimal" w:pos="1295"/>
              </w:tabs>
              <w:spacing w:after="0" w:line="240" w:lineRule="auto"/>
              <w:ind w:right="-148"/>
              <w:jc w:val="right"/>
              <w:rPr>
                <w:rFonts w:eastAsia="Times New Roman" w:cs="Arial"/>
                <w:b/>
                <w:snapToGrid w:val="0"/>
                <w:position w:val="4"/>
                <w:sz w:val="20"/>
                <w:szCs w:val="20"/>
              </w:rPr>
            </w:pPr>
          </w:p>
        </w:tc>
        <w:tc>
          <w:tcPr>
            <w:tcW w:w="614" w:type="pct"/>
            <w:tcBorders>
              <w:top w:val="single" w:sz="8" w:space="0" w:color="auto"/>
            </w:tcBorders>
            <w:vAlign w:val="bottom"/>
          </w:tcPr>
          <w:p w14:paraId="0EDB881D" w14:textId="77777777" w:rsidR="00BF2624" w:rsidRPr="00BF2624" w:rsidRDefault="00BF2624" w:rsidP="00BF2624">
            <w:pPr>
              <w:keepNext/>
              <w:keepLines/>
              <w:tabs>
                <w:tab w:val="left" w:pos="215"/>
                <w:tab w:val="decimal" w:pos="1295"/>
              </w:tabs>
              <w:spacing w:after="0" w:line="240" w:lineRule="auto"/>
              <w:ind w:right="-148"/>
              <w:jc w:val="right"/>
              <w:rPr>
                <w:rFonts w:eastAsia="Times New Roman" w:cs="Arial"/>
                <w:b/>
                <w:snapToGrid w:val="0"/>
                <w:position w:val="4"/>
                <w:sz w:val="20"/>
                <w:szCs w:val="20"/>
              </w:rPr>
            </w:pPr>
          </w:p>
        </w:tc>
        <w:tc>
          <w:tcPr>
            <w:tcW w:w="614" w:type="pct"/>
            <w:tcBorders>
              <w:top w:val="single" w:sz="8" w:space="0" w:color="auto"/>
            </w:tcBorders>
            <w:vAlign w:val="bottom"/>
          </w:tcPr>
          <w:p w14:paraId="17018519" w14:textId="77777777" w:rsidR="00BF2624" w:rsidRPr="00BF2624" w:rsidRDefault="00BF2624" w:rsidP="00BF2624">
            <w:pPr>
              <w:keepNext/>
              <w:keepLines/>
              <w:tabs>
                <w:tab w:val="decimal" w:pos="1202"/>
              </w:tabs>
              <w:spacing w:after="0" w:line="240" w:lineRule="auto"/>
              <w:jc w:val="right"/>
              <w:rPr>
                <w:rFonts w:eastAsia="Times New Roman" w:cs="Arial"/>
                <w:b/>
                <w:snapToGrid w:val="0"/>
                <w:position w:val="4"/>
                <w:sz w:val="20"/>
                <w:szCs w:val="20"/>
              </w:rPr>
            </w:pPr>
          </w:p>
        </w:tc>
        <w:tc>
          <w:tcPr>
            <w:tcW w:w="614" w:type="pct"/>
            <w:tcBorders>
              <w:top w:val="single" w:sz="8" w:space="0" w:color="auto"/>
            </w:tcBorders>
            <w:vAlign w:val="bottom"/>
          </w:tcPr>
          <w:p w14:paraId="305BCB47" w14:textId="77777777" w:rsidR="00BF2624" w:rsidRPr="00BF2624" w:rsidRDefault="00BF2624" w:rsidP="00BF2624">
            <w:pPr>
              <w:keepNext/>
              <w:keepLines/>
              <w:tabs>
                <w:tab w:val="left" w:pos="215"/>
                <w:tab w:val="decimal" w:pos="1295"/>
              </w:tabs>
              <w:spacing w:after="0" w:line="240" w:lineRule="auto"/>
              <w:ind w:right="-148"/>
              <w:jc w:val="right"/>
              <w:rPr>
                <w:rFonts w:eastAsia="Times New Roman" w:cs="Arial"/>
                <w:b/>
                <w:snapToGrid w:val="0"/>
                <w:position w:val="4"/>
                <w:sz w:val="20"/>
                <w:szCs w:val="20"/>
              </w:rPr>
            </w:pPr>
          </w:p>
        </w:tc>
        <w:tc>
          <w:tcPr>
            <w:tcW w:w="614" w:type="pct"/>
            <w:tcBorders>
              <w:top w:val="single" w:sz="8" w:space="0" w:color="auto"/>
            </w:tcBorders>
            <w:vAlign w:val="bottom"/>
          </w:tcPr>
          <w:p w14:paraId="4C92294D" w14:textId="77777777" w:rsidR="00BF2624" w:rsidRPr="00BF2624" w:rsidRDefault="00BF2624" w:rsidP="00BF2624">
            <w:pPr>
              <w:keepNext/>
              <w:keepLines/>
              <w:tabs>
                <w:tab w:val="left" w:pos="215"/>
                <w:tab w:val="decimal" w:pos="1295"/>
              </w:tabs>
              <w:spacing w:after="0" w:line="240" w:lineRule="auto"/>
              <w:ind w:right="-148"/>
              <w:jc w:val="right"/>
              <w:rPr>
                <w:rFonts w:eastAsia="Times New Roman" w:cs="Arial"/>
                <w:b/>
                <w:snapToGrid w:val="0"/>
                <w:position w:val="4"/>
                <w:sz w:val="20"/>
                <w:szCs w:val="20"/>
              </w:rPr>
            </w:pPr>
          </w:p>
        </w:tc>
        <w:tc>
          <w:tcPr>
            <w:tcW w:w="612" w:type="pct"/>
            <w:tcBorders>
              <w:top w:val="single" w:sz="8" w:space="0" w:color="auto"/>
            </w:tcBorders>
            <w:vAlign w:val="bottom"/>
          </w:tcPr>
          <w:p w14:paraId="1E4745E4" w14:textId="77777777" w:rsidR="00BF2624" w:rsidRPr="00BF2624" w:rsidRDefault="00BF2624" w:rsidP="00BF2624">
            <w:pPr>
              <w:keepNext/>
              <w:keepLines/>
              <w:tabs>
                <w:tab w:val="left" w:pos="215"/>
                <w:tab w:val="decimal" w:pos="1295"/>
              </w:tabs>
              <w:spacing w:after="0" w:line="240" w:lineRule="auto"/>
              <w:ind w:right="-148"/>
              <w:jc w:val="right"/>
              <w:rPr>
                <w:rFonts w:eastAsia="Times New Roman" w:cs="Arial"/>
                <w:b/>
                <w:snapToGrid w:val="0"/>
                <w:position w:val="4"/>
                <w:sz w:val="20"/>
                <w:szCs w:val="20"/>
              </w:rPr>
            </w:pPr>
          </w:p>
        </w:tc>
      </w:tr>
      <w:tr w:rsidR="00BF2624" w:rsidRPr="00BF2624" w14:paraId="609C3BB2" w14:textId="77777777" w:rsidTr="00166751">
        <w:trPr>
          <w:trHeight w:val="361"/>
          <w:jc w:val="center"/>
        </w:trPr>
        <w:tc>
          <w:tcPr>
            <w:tcW w:w="1255" w:type="pct"/>
          </w:tcPr>
          <w:p w14:paraId="53042673" w14:textId="77777777" w:rsidR="00BF2624" w:rsidRPr="00BF2624" w:rsidRDefault="00BF2624" w:rsidP="00BF2624">
            <w:pPr>
              <w:tabs>
                <w:tab w:val="right" w:pos="1202"/>
              </w:tabs>
              <w:spacing w:after="0" w:line="340" w:lineRule="exact"/>
              <w:outlineLvl w:val="0"/>
              <w:rPr>
                <w:rFonts w:asciiTheme="minorHAnsi" w:eastAsia="Times New Roman" w:hAnsiTheme="minorHAnsi" w:cs="Arial"/>
                <w:b/>
                <w:bCs/>
                <w:sz w:val="20"/>
                <w:szCs w:val="20"/>
                <w:lang w:val="hr-HR"/>
              </w:rPr>
            </w:pPr>
            <w:r w:rsidRPr="00BF2624">
              <w:rPr>
                <w:rFonts w:asciiTheme="minorHAnsi" w:hAnsiTheme="minorHAnsi" w:cs="Arial"/>
                <w:b/>
                <w:bCs/>
                <w:sz w:val="20"/>
                <w:szCs w:val="20"/>
              </w:rPr>
              <w:t>Total</w:t>
            </w:r>
          </w:p>
        </w:tc>
        <w:tc>
          <w:tcPr>
            <w:tcW w:w="678" w:type="pct"/>
            <w:tcBorders>
              <w:top w:val="nil"/>
              <w:left w:val="nil"/>
              <w:bottom w:val="single" w:sz="12" w:space="0" w:color="auto"/>
              <w:right w:val="nil"/>
            </w:tcBorders>
            <w:shd w:val="clear" w:color="auto" w:fill="auto"/>
            <w:vAlign w:val="bottom"/>
          </w:tcPr>
          <w:p w14:paraId="6143EFC1" w14:textId="77777777" w:rsidR="00BF2624" w:rsidRPr="00BF2624" w:rsidRDefault="00BF2624" w:rsidP="00BF2624">
            <w:pPr>
              <w:tabs>
                <w:tab w:val="right" w:pos="1202"/>
              </w:tabs>
              <w:spacing w:after="0" w:line="240" w:lineRule="auto"/>
              <w:jc w:val="right"/>
              <w:outlineLvl w:val="0"/>
              <w:rPr>
                <w:rFonts w:asciiTheme="minorHAnsi" w:hAnsiTheme="minorHAnsi" w:cs="Arial"/>
                <w:b/>
                <w:bCs/>
                <w:sz w:val="20"/>
                <w:szCs w:val="20"/>
              </w:rPr>
            </w:pPr>
            <w:r w:rsidRPr="00BF2624">
              <w:rPr>
                <w:rFonts w:cs="Arial"/>
                <w:b/>
                <w:bCs/>
                <w:sz w:val="20"/>
                <w:szCs w:val="20"/>
              </w:rPr>
              <w:t>310,261</w:t>
            </w:r>
          </w:p>
        </w:tc>
        <w:tc>
          <w:tcPr>
            <w:tcW w:w="614" w:type="pct"/>
            <w:tcBorders>
              <w:top w:val="nil"/>
              <w:left w:val="nil"/>
              <w:bottom w:val="single" w:sz="12" w:space="0" w:color="auto"/>
              <w:right w:val="nil"/>
            </w:tcBorders>
            <w:shd w:val="clear" w:color="auto" w:fill="auto"/>
            <w:vAlign w:val="bottom"/>
          </w:tcPr>
          <w:p w14:paraId="0651A120" w14:textId="77777777" w:rsidR="00BF2624" w:rsidRPr="00BF2624" w:rsidRDefault="00BF2624" w:rsidP="00BF2624">
            <w:pPr>
              <w:tabs>
                <w:tab w:val="right" w:pos="1202"/>
              </w:tabs>
              <w:spacing w:after="0" w:line="240" w:lineRule="auto"/>
              <w:jc w:val="right"/>
              <w:outlineLvl w:val="0"/>
              <w:rPr>
                <w:rFonts w:asciiTheme="minorHAnsi" w:hAnsiTheme="minorHAnsi" w:cs="Arial"/>
                <w:b/>
                <w:bCs/>
                <w:sz w:val="20"/>
                <w:szCs w:val="20"/>
              </w:rPr>
            </w:pPr>
            <w:r w:rsidRPr="00BF2624">
              <w:rPr>
                <w:rFonts w:cs="Arial"/>
                <w:b/>
                <w:bCs/>
                <w:sz w:val="20"/>
                <w:szCs w:val="20"/>
              </w:rPr>
              <w:t>661</w:t>
            </w:r>
          </w:p>
        </w:tc>
        <w:tc>
          <w:tcPr>
            <w:tcW w:w="614" w:type="pct"/>
            <w:tcBorders>
              <w:top w:val="nil"/>
              <w:left w:val="nil"/>
              <w:bottom w:val="single" w:sz="12" w:space="0" w:color="auto"/>
              <w:right w:val="nil"/>
            </w:tcBorders>
            <w:shd w:val="clear" w:color="auto" w:fill="auto"/>
            <w:vAlign w:val="bottom"/>
          </w:tcPr>
          <w:p w14:paraId="049EEC38" w14:textId="77777777" w:rsidR="00BF2624" w:rsidRPr="00BF2624" w:rsidRDefault="00BF2624" w:rsidP="00BF2624">
            <w:pPr>
              <w:tabs>
                <w:tab w:val="right" w:pos="1202"/>
              </w:tabs>
              <w:spacing w:after="0" w:line="240" w:lineRule="auto"/>
              <w:jc w:val="right"/>
              <w:outlineLvl w:val="0"/>
              <w:rPr>
                <w:rFonts w:asciiTheme="minorHAnsi" w:hAnsiTheme="minorHAnsi" w:cs="Arial"/>
                <w:b/>
                <w:bCs/>
                <w:sz w:val="20"/>
                <w:szCs w:val="20"/>
              </w:rPr>
            </w:pPr>
            <w:r w:rsidRPr="00BF2624">
              <w:rPr>
                <w:rFonts w:cs="Arial"/>
                <w:b/>
                <w:bCs/>
                <w:sz w:val="20"/>
                <w:szCs w:val="20"/>
              </w:rPr>
              <w:t>12,110</w:t>
            </w:r>
          </w:p>
        </w:tc>
        <w:tc>
          <w:tcPr>
            <w:tcW w:w="614" w:type="pct"/>
            <w:tcBorders>
              <w:top w:val="nil"/>
              <w:left w:val="nil"/>
              <w:bottom w:val="single" w:sz="12" w:space="0" w:color="auto"/>
              <w:right w:val="nil"/>
            </w:tcBorders>
            <w:shd w:val="clear" w:color="auto" w:fill="auto"/>
            <w:vAlign w:val="bottom"/>
          </w:tcPr>
          <w:p w14:paraId="5FD8DE88" w14:textId="77777777" w:rsidR="00BF2624" w:rsidRPr="00BF2624" w:rsidRDefault="00BF2624" w:rsidP="00BF2624">
            <w:pPr>
              <w:tabs>
                <w:tab w:val="right" w:pos="1202"/>
              </w:tabs>
              <w:spacing w:after="0" w:line="240" w:lineRule="auto"/>
              <w:jc w:val="right"/>
              <w:outlineLvl w:val="0"/>
              <w:rPr>
                <w:rFonts w:asciiTheme="minorHAnsi" w:hAnsiTheme="minorHAnsi" w:cs="Arial"/>
                <w:b/>
                <w:bCs/>
                <w:sz w:val="20"/>
                <w:szCs w:val="20"/>
              </w:rPr>
            </w:pPr>
            <w:r w:rsidRPr="00BF2624">
              <w:rPr>
                <w:rFonts w:cs="Arial"/>
                <w:b/>
                <w:bCs/>
                <w:sz w:val="20"/>
                <w:szCs w:val="20"/>
              </w:rPr>
              <w:t>838</w:t>
            </w:r>
          </w:p>
        </w:tc>
        <w:tc>
          <w:tcPr>
            <w:tcW w:w="614" w:type="pct"/>
            <w:tcBorders>
              <w:top w:val="nil"/>
              <w:left w:val="nil"/>
              <w:bottom w:val="single" w:sz="12" w:space="0" w:color="auto"/>
              <w:right w:val="nil"/>
            </w:tcBorders>
            <w:shd w:val="clear" w:color="auto" w:fill="auto"/>
            <w:vAlign w:val="bottom"/>
          </w:tcPr>
          <w:p w14:paraId="1DDDFE78" w14:textId="77777777" w:rsidR="00BF2624" w:rsidRPr="00BF2624" w:rsidRDefault="00BF2624" w:rsidP="00BF2624">
            <w:pPr>
              <w:tabs>
                <w:tab w:val="right" w:pos="1202"/>
              </w:tabs>
              <w:spacing w:after="0" w:line="240" w:lineRule="auto"/>
              <w:jc w:val="right"/>
              <w:outlineLvl w:val="0"/>
              <w:rPr>
                <w:rFonts w:asciiTheme="minorHAnsi" w:hAnsiTheme="minorHAnsi" w:cs="Arial"/>
                <w:b/>
                <w:bCs/>
                <w:sz w:val="20"/>
                <w:szCs w:val="20"/>
              </w:rPr>
            </w:pPr>
            <w:r w:rsidRPr="00BF2624">
              <w:rPr>
                <w:rFonts w:cs="Arial"/>
                <w:b/>
                <w:bCs/>
                <w:sz w:val="20"/>
                <w:szCs w:val="20"/>
              </w:rPr>
              <w:t>55,367</w:t>
            </w:r>
          </w:p>
        </w:tc>
        <w:tc>
          <w:tcPr>
            <w:tcW w:w="612" w:type="pct"/>
            <w:tcBorders>
              <w:top w:val="nil"/>
              <w:left w:val="nil"/>
              <w:bottom w:val="single" w:sz="12" w:space="0" w:color="auto"/>
              <w:right w:val="nil"/>
            </w:tcBorders>
            <w:shd w:val="clear" w:color="auto" w:fill="auto"/>
            <w:vAlign w:val="bottom"/>
          </w:tcPr>
          <w:p w14:paraId="68780D1F" w14:textId="77777777" w:rsidR="00BF2624" w:rsidRPr="00BF2624" w:rsidRDefault="00BF2624" w:rsidP="00BF2624">
            <w:pPr>
              <w:tabs>
                <w:tab w:val="right" w:pos="1202"/>
              </w:tabs>
              <w:spacing w:after="0" w:line="240" w:lineRule="auto"/>
              <w:jc w:val="right"/>
              <w:outlineLvl w:val="0"/>
              <w:rPr>
                <w:rFonts w:asciiTheme="minorHAnsi" w:hAnsiTheme="minorHAnsi" w:cs="Arial"/>
                <w:b/>
                <w:bCs/>
                <w:sz w:val="20"/>
                <w:szCs w:val="20"/>
              </w:rPr>
            </w:pPr>
            <w:r w:rsidRPr="00BF2624">
              <w:rPr>
                <w:rFonts w:cs="Arial"/>
                <w:b/>
                <w:bCs/>
                <w:sz w:val="20"/>
                <w:szCs w:val="20"/>
              </w:rPr>
              <w:t>379,237</w:t>
            </w:r>
          </w:p>
        </w:tc>
      </w:tr>
      <w:tr w:rsidR="009702B0" w:rsidRPr="00BF2624" w14:paraId="38151313" w14:textId="77777777" w:rsidTr="00166751">
        <w:trPr>
          <w:trHeight w:val="95"/>
          <w:jc w:val="center"/>
        </w:trPr>
        <w:tc>
          <w:tcPr>
            <w:tcW w:w="1255" w:type="pct"/>
          </w:tcPr>
          <w:p w14:paraId="64AB08E8" w14:textId="77777777" w:rsidR="009702B0" w:rsidRPr="00BF2624" w:rsidRDefault="009702B0" w:rsidP="009702B0">
            <w:pPr>
              <w:keepNext/>
              <w:keepLines/>
              <w:tabs>
                <w:tab w:val="decimal" w:pos="1202"/>
              </w:tabs>
              <w:spacing w:after="0" w:line="100" w:lineRule="exact"/>
              <w:rPr>
                <w:rFonts w:asciiTheme="minorHAnsi" w:eastAsia="Times New Roman" w:hAnsiTheme="minorHAnsi" w:cs="Arial"/>
                <w:b/>
                <w:position w:val="4"/>
                <w:sz w:val="20"/>
                <w:szCs w:val="20"/>
                <w:u w:val="thick"/>
                <w:lang w:val="hr-HR"/>
              </w:rPr>
            </w:pPr>
          </w:p>
        </w:tc>
        <w:tc>
          <w:tcPr>
            <w:tcW w:w="678" w:type="pct"/>
            <w:tcBorders>
              <w:top w:val="single" w:sz="12" w:space="0" w:color="auto"/>
            </w:tcBorders>
            <w:vAlign w:val="bottom"/>
          </w:tcPr>
          <w:p w14:paraId="1081A60B" w14:textId="77777777" w:rsidR="009702B0" w:rsidRPr="00BF2624" w:rsidRDefault="009702B0" w:rsidP="009702B0">
            <w:pPr>
              <w:keepNext/>
              <w:keepLines/>
              <w:tabs>
                <w:tab w:val="decimal" w:pos="1202"/>
              </w:tabs>
              <w:spacing w:after="0" w:line="100" w:lineRule="exact"/>
              <w:jc w:val="right"/>
              <w:rPr>
                <w:rFonts w:asciiTheme="minorHAnsi" w:eastAsia="Times New Roman" w:hAnsiTheme="minorHAnsi" w:cs="Arial"/>
                <w:b/>
                <w:position w:val="4"/>
                <w:sz w:val="20"/>
                <w:szCs w:val="20"/>
                <w:u w:val="thick"/>
                <w:lang w:val="hr-HR"/>
              </w:rPr>
            </w:pPr>
          </w:p>
        </w:tc>
        <w:tc>
          <w:tcPr>
            <w:tcW w:w="614" w:type="pct"/>
            <w:tcBorders>
              <w:top w:val="single" w:sz="12" w:space="0" w:color="auto"/>
            </w:tcBorders>
            <w:vAlign w:val="bottom"/>
          </w:tcPr>
          <w:p w14:paraId="58CBADD7" w14:textId="77777777" w:rsidR="009702B0" w:rsidRPr="00BF2624" w:rsidRDefault="009702B0" w:rsidP="009702B0">
            <w:pPr>
              <w:keepNext/>
              <w:keepLines/>
              <w:tabs>
                <w:tab w:val="decimal" w:pos="1202"/>
              </w:tabs>
              <w:spacing w:after="0" w:line="100" w:lineRule="exact"/>
              <w:jc w:val="right"/>
              <w:rPr>
                <w:rFonts w:asciiTheme="minorHAnsi" w:eastAsia="Times New Roman" w:hAnsiTheme="minorHAnsi" w:cs="Arial"/>
                <w:b/>
                <w:snapToGrid w:val="0"/>
                <w:position w:val="4"/>
                <w:sz w:val="20"/>
                <w:szCs w:val="20"/>
                <w:u w:val="thick"/>
                <w:lang w:val="hr-HR"/>
              </w:rPr>
            </w:pPr>
          </w:p>
        </w:tc>
        <w:tc>
          <w:tcPr>
            <w:tcW w:w="614" w:type="pct"/>
            <w:tcBorders>
              <w:top w:val="single" w:sz="12" w:space="0" w:color="auto"/>
            </w:tcBorders>
            <w:vAlign w:val="bottom"/>
          </w:tcPr>
          <w:p w14:paraId="18D8F3A4" w14:textId="77777777" w:rsidR="009702B0" w:rsidRPr="00BF2624" w:rsidRDefault="009702B0" w:rsidP="009702B0">
            <w:pPr>
              <w:keepNext/>
              <w:keepLines/>
              <w:tabs>
                <w:tab w:val="decimal" w:pos="1202"/>
              </w:tabs>
              <w:spacing w:after="0" w:line="100" w:lineRule="exact"/>
              <w:jc w:val="right"/>
              <w:rPr>
                <w:rFonts w:asciiTheme="minorHAnsi" w:eastAsia="Times New Roman" w:hAnsiTheme="minorHAnsi" w:cs="Arial"/>
                <w:b/>
                <w:snapToGrid w:val="0"/>
                <w:position w:val="4"/>
                <w:sz w:val="20"/>
                <w:szCs w:val="20"/>
                <w:u w:val="thick"/>
                <w:lang w:val="hr-HR"/>
              </w:rPr>
            </w:pPr>
          </w:p>
        </w:tc>
        <w:tc>
          <w:tcPr>
            <w:tcW w:w="614" w:type="pct"/>
            <w:tcBorders>
              <w:top w:val="single" w:sz="12" w:space="0" w:color="auto"/>
            </w:tcBorders>
            <w:vAlign w:val="bottom"/>
          </w:tcPr>
          <w:p w14:paraId="56078895" w14:textId="77777777" w:rsidR="009702B0" w:rsidRPr="00BF2624" w:rsidRDefault="009702B0" w:rsidP="009702B0">
            <w:pPr>
              <w:keepNext/>
              <w:keepLines/>
              <w:tabs>
                <w:tab w:val="decimal" w:pos="1202"/>
              </w:tabs>
              <w:spacing w:after="0" w:line="100" w:lineRule="exact"/>
              <w:jc w:val="right"/>
              <w:rPr>
                <w:rFonts w:asciiTheme="minorHAnsi" w:eastAsia="Times New Roman" w:hAnsiTheme="minorHAnsi" w:cs="Arial"/>
                <w:b/>
                <w:snapToGrid w:val="0"/>
                <w:position w:val="4"/>
                <w:sz w:val="20"/>
                <w:szCs w:val="20"/>
                <w:u w:val="thick"/>
                <w:lang w:val="hr-HR"/>
              </w:rPr>
            </w:pPr>
          </w:p>
        </w:tc>
        <w:tc>
          <w:tcPr>
            <w:tcW w:w="614" w:type="pct"/>
            <w:tcBorders>
              <w:top w:val="single" w:sz="12" w:space="0" w:color="auto"/>
            </w:tcBorders>
            <w:vAlign w:val="bottom"/>
          </w:tcPr>
          <w:p w14:paraId="7A0FAA32" w14:textId="77777777" w:rsidR="009702B0" w:rsidRPr="00BF2624" w:rsidRDefault="009702B0" w:rsidP="009702B0">
            <w:pPr>
              <w:keepNext/>
              <w:keepLines/>
              <w:tabs>
                <w:tab w:val="decimal" w:pos="1202"/>
              </w:tabs>
              <w:spacing w:after="0" w:line="100" w:lineRule="exact"/>
              <w:jc w:val="right"/>
              <w:rPr>
                <w:rFonts w:asciiTheme="minorHAnsi" w:eastAsia="Times New Roman" w:hAnsiTheme="minorHAnsi" w:cs="Arial"/>
                <w:b/>
                <w:snapToGrid w:val="0"/>
                <w:position w:val="4"/>
                <w:sz w:val="20"/>
                <w:szCs w:val="20"/>
                <w:u w:val="thick"/>
                <w:lang w:val="hr-HR"/>
              </w:rPr>
            </w:pPr>
          </w:p>
        </w:tc>
        <w:tc>
          <w:tcPr>
            <w:tcW w:w="612" w:type="pct"/>
            <w:tcBorders>
              <w:top w:val="single" w:sz="12" w:space="0" w:color="auto"/>
            </w:tcBorders>
            <w:vAlign w:val="bottom"/>
          </w:tcPr>
          <w:p w14:paraId="460139D9" w14:textId="77777777" w:rsidR="009702B0" w:rsidRPr="00BF2624" w:rsidRDefault="009702B0" w:rsidP="009702B0">
            <w:pPr>
              <w:keepNext/>
              <w:keepLines/>
              <w:tabs>
                <w:tab w:val="decimal" w:pos="1202"/>
              </w:tabs>
              <w:spacing w:after="0" w:line="100" w:lineRule="exact"/>
              <w:jc w:val="right"/>
              <w:rPr>
                <w:rFonts w:asciiTheme="minorHAnsi" w:eastAsia="Times New Roman" w:hAnsiTheme="minorHAnsi" w:cs="Arial"/>
                <w:b/>
                <w:snapToGrid w:val="0"/>
                <w:position w:val="4"/>
                <w:sz w:val="20"/>
                <w:szCs w:val="20"/>
                <w:u w:val="thick"/>
                <w:lang w:val="hr-HR"/>
              </w:rPr>
            </w:pPr>
          </w:p>
        </w:tc>
      </w:tr>
    </w:tbl>
    <w:p w14:paraId="1B898032" w14:textId="77777777" w:rsidR="009702B0" w:rsidRPr="009702B0" w:rsidRDefault="009702B0" w:rsidP="009702B0">
      <w:pPr>
        <w:spacing w:after="0" w:line="240" w:lineRule="auto"/>
        <w:jc w:val="both"/>
        <w:rPr>
          <w:rFonts w:cs="Arial"/>
          <w:sz w:val="20"/>
          <w:szCs w:val="20"/>
        </w:rPr>
      </w:pPr>
    </w:p>
    <w:p w14:paraId="0507ABCD" w14:textId="77777777" w:rsidR="009702B0" w:rsidRPr="00166751" w:rsidRDefault="009702B0" w:rsidP="003B209F">
      <w:pPr>
        <w:spacing w:after="0" w:line="240" w:lineRule="auto"/>
        <w:jc w:val="both"/>
        <w:rPr>
          <w:rFonts w:cs="Arial"/>
          <w:sz w:val="20"/>
          <w:szCs w:val="20"/>
        </w:rPr>
      </w:pPr>
      <w:r w:rsidRPr="00166751">
        <w:rPr>
          <w:rFonts w:cs="Arial"/>
          <w:sz w:val="20"/>
          <w:szCs w:val="20"/>
        </w:rPr>
        <w:t>Since the amount of past due but not impaired receivables of the subsidiary company is immaterial, the following text contains the breakdown of changes in past due but not impaired loans of the parent company</w:t>
      </w:r>
      <w:r w:rsidR="00011FEA" w:rsidRPr="00166751">
        <w:rPr>
          <w:rFonts w:cs="Arial"/>
          <w:sz w:val="20"/>
          <w:szCs w:val="20"/>
        </w:rPr>
        <w:t>.</w:t>
      </w:r>
    </w:p>
    <w:p w14:paraId="12567C57" w14:textId="77777777" w:rsidR="003B209F" w:rsidRPr="00166751" w:rsidRDefault="003B209F" w:rsidP="003B209F">
      <w:pPr>
        <w:spacing w:after="0" w:line="240" w:lineRule="auto"/>
        <w:jc w:val="both"/>
        <w:rPr>
          <w:rFonts w:cs="Arial"/>
          <w:sz w:val="20"/>
          <w:szCs w:val="20"/>
        </w:rPr>
      </w:pPr>
    </w:p>
    <w:p w14:paraId="1AECD72C" w14:textId="40C5E4C7" w:rsidR="009702B0" w:rsidRDefault="009702B0" w:rsidP="003B209F">
      <w:pPr>
        <w:spacing w:after="0" w:line="240" w:lineRule="auto"/>
        <w:jc w:val="both"/>
        <w:rPr>
          <w:rFonts w:cs="Arial"/>
          <w:sz w:val="20"/>
          <w:szCs w:val="20"/>
        </w:rPr>
      </w:pPr>
      <w:r w:rsidRPr="00166751">
        <w:rPr>
          <w:rFonts w:cs="Arial"/>
          <w:sz w:val="20"/>
          <w:szCs w:val="20"/>
        </w:rPr>
        <w:t xml:space="preserve">From total due and not impaired loans to financial institutions in the reporting period, an amount of HRK </w:t>
      </w:r>
      <w:r w:rsidR="00BD6739" w:rsidRPr="00BD6739">
        <w:rPr>
          <w:rFonts w:cs="Arial"/>
          <w:sz w:val="20"/>
          <w:szCs w:val="20"/>
        </w:rPr>
        <w:t xml:space="preserve">87,167 </w:t>
      </w:r>
      <w:r w:rsidRPr="00166751">
        <w:rPr>
          <w:rFonts w:cs="Arial"/>
          <w:sz w:val="20"/>
          <w:szCs w:val="20"/>
        </w:rPr>
        <w:t>thousand, i</w:t>
      </w:r>
      <w:r w:rsidR="00A94F0C">
        <w:rPr>
          <w:rFonts w:cs="Arial"/>
          <w:sz w:val="20"/>
          <w:szCs w:val="20"/>
        </w:rPr>
        <w:t>.</w:t>
      </w:r>
      <w:r w:rsidRPr="00166751">
        <w:rPr>
          <w:rFonts w:cs="Arial"/>
          <w:sz w:val="20"/>
          <w:szCs w:val="20"/>
        </w:rPr>
        <w:t>e</w:t>
      </w:r>
      <w:r w:rsidR="00A94F0C">
        <w:rPr>
          <w:rFonts w:cs="Arial"/>
          <w:sz w:val="20"/>
          <w:szCs w:val="20"/>
        </w:rPr>
        <w:t>.</w:t>
      </w:r>
      <w:r w:rsidRPr="00166751">
        <w:rPr>
          <w:rFonts w:cs="Arial"/>
          <w:sz w:val="20"/>
          <w:szCs w:val="20"/>
        </w:rPr>
        <w:t xml:space="preserve"> </w:t>
      </w:r>
      <w:r w:rsidR="00BD6739">
        <w:rPr>
          <w:rFonts w:cs="Arial"/>
          <w:sz w:val="20"/>
          <w:szCs w:val="20"/>
        </w:rPr>
        <w:t>30</w:t>
      </w:r>
      <w:r w:rsidRPr="00166751">
        <w:rPr>
          <w:rFonts w:cs="Arial"/>
          <w:sz w:val="20"/>
          <w:szCs w:val="20"/>
        </w:rPr>
        <w:t>%, relates to not executed extensions of short-term revolving loans</w:t>
      </w:r>
      <w:r w:rsidR="00011FEA" w:rsidRPr="00166751">
        <w:rPr>
          <w:rFonts w:cs="Arial"/>
          <w:sz w:val="20"/>
          <w:szCs w:val="20"/>
        </w:rPr>
        <w:t>.</w:t>
      </w:r>
      <w:r w:rsidRPr="00166751">
        <w:rPr>
          <w:rFonts w:cs="Arial"/>
          <w:sz w:val="20"/>
          <w:szCs w:val="20"/>
        </w:rPr>
        <w:t xml:space="preserve"> </w:t>
      </w:r>
    </w:p>
    <w:p w14:paraId="139DDF51" w14:textId="77777777" w:rsidR="00456831" w:rsidRDefault="00456831" w:rsidP="003B209F">
      <w:pPr>
        <w:spacing w:after="0" w:line="240" w:lineRule="auto"/>
        <w:jc w:val="both"/>
        <w:rPr>
          <w:rFonts w:cs="Arial"/>
          <w:sz w:val="20"/>
          <w:szCs w:val="20"/>
        </w:rPr>
      </w:pPr>
    </w:p>
    <w:p w14:paraId="782029A1" w14:textId="14D0B5D8" w:rsidR="00456831" w:rsidRPr="00166751" w:rsidRDefault="00456831" w:rsidP="00456831">
      <w:pPr>
        <w:spacing w:after="0" w:line="240" w:lineRule="auto"/>
        <w:jc w:val="both"/>
        <w:rPr>
          <w:rFonts w:cs="Arial"/>
          <w:sz w:val="20"/>
          <w:szCs w:val="20"/>
        </w:rPr>
      </w:pPr>
      <w:r w:rsidRPr="00166751">
        <w:rPr>
          <w:rFonts w:cs="Arial"/>
          <w:sz w:val="20"/>
          <w:szCs w:val="20"/>
        </w:rPr>
        <w:t>Due to the maturity falling on 3</w:t>
      </w:r>
      <w:r>
        <w:rPr>
          <w:rFonts w:cs="Arial"/>
          <w:sz w:val="20"/>
          <w:szCs w:val="20"/>
        </w:rPr>
        <w:t>0 Septe</w:t>
      </w:r>
      <w:r w:rsidRPr="00166751">
        <w:rPr>
          <w:rFonts w:cs="Arial"/>
          <w:sz w:val="20"/>
          <w:szCs w:val="20"/>
        </w:rPr>
        <w:t>mber 201</w:t>
      </w:r>
      <w:r>
        <w:rPr>
          <w:rFonts w:cs="Arial"/>
          <w:sz w:val="20"/>
          <w:szCs w:val="20"/>
        </w:rPr>
        <w:t>7</w:t>
      </w:r>
      <w:r w:rsidRPr="00166751">
        <w:rPr>
          <w:rFonts w:cs="Arial"/>
          <w:sz w:val="20"/>
          <w:szCs w:val="20"/>
        </w:rPr>
        <w:t xml:space="preserve"> being a non-working day, an amount of HRK </w:t>
      </w:r>
      <w:r>
        <w:rPr>
          <w:rFonts w:cs="Arial"/>
          <w:sz w:val="20"/>
          <w:szCs w:val="20"/>
        </w:rPr>
        <w:t>200.006</w:t>
      </w:r>
      <w:r w:rsidRPr="00166751">
        <w:rPr>
          <w:rFonts w:cs="Arial"/>
          <w:sz w:val="20"/>
          <w:szCs w:val="20"/>
        </w:rPr>
        <w:t xml:space="preserve"> thousand, i</w:t>
      </w:r>
      <w:r>
        <w:rPr>
          <w:rFonts w:cs="Arial"/>
          <w:sz w:val="20"/>
          <w:szCs w:val="20"/>
        </w:rPr>
        <w:t>.</w:t>
      </w:r>
      <w:r w:rsidRPr="00166751">
        <w:rPr>
          <w:rFonts w:cs="Arial"/>
          <w:sz w:val="20"/>
          <w:szCs w:val="20"/>
        </w:rPr>
        <w:t>e</w:t>
      </w:r>
      <w:r>
        <w:rPr>
          <w:rFonts w:cs="Arial"/>
          <w:sz w:val="20"/>
          <w:szCs w:val="20"/>
        </w:rPr>
        <w:t>.</w:t>
      </w:r>
      <w:r w:rsidRPr="00166751">
        <w:rPr>
          <w:rFonts w:cs="Arial"/>
          <w:sz w:val="20"/>
          <w:szCs w:val="20"/>
        </w:rPr>
        <w:t xml:space="preserve"> </w:t>
      </w:r>
      <w:r>
        <w:rPr>
          <w:rFonts w:cs="Arial"/>
          <w:sz w:val="20"/>
          <w:szCs w:val="20"/>
        </w:rPr>
        <w:t>69</w:t>
      </w:r>
      <w:r w:rsidRPr="00166751">
        <w:rPr>
          <w:rFonts w:cs="Arial"/>
          <w:sz w:val="20"/>
          <w:szCs w:val="20"/>
        </w:rPr>
        <w:t xml:space="preserve">% of due but not impaired loans to financial institutions, was collected on 2 </w:t>
      </w:r>
      <w:r>
        <w:rPr>
          <w:rFonts w:cs="Arial"/>
          <w:sz w:val="20"/>
          <w:szCs w:val="20"/>
        </w:rPr>
        <w:t>October</w:t>
      </w:r>
      <w:r w:rsidRPr="00166751">
        <w:rPr>
          <w:rFonts w:cs="Arial"/>
          <w:sz w:val="20"/>
          <w:szCs w:val="20"/>
        </w:rPr>
        <w:t xml:space="preserve"> 2017 being the first following working day.</w:t>
      </w:r>
    </w:p>
    <w:p w14:paraId="0B0763FE" w14:textId="77777777" w:rsidR="003B209F" w:rsidRPr="00166751" w:rsidRDefault="003B209F" w:rsidP="003B209F">
      <w:pPr>
        <w:spacing w:after="0" w:line="240" w:lineRule="auto"/>
        <w:jc w:val="both"/>
        <w:rPr>
          <w:rFonts w:cs="Arial"/>
          <w:sz w:val="20"/>
          <w:szCs w:val="20"/>
        </w:rPr>
      </w:pPr>
    </w:p>
    <w:p w14:paraId="63CA1536" w14:textId="7294E097" w:rsidR="009702B0" w:rsidRPr="00166751" w:rsidRDefault="009702B0" w:rsidP="003B209F">
      <w:pPr>
        <w:spacing w:after="0" w:line="240" w:lineRule="auto"/>
        <w:jc w:val="both"/>
        <w:rPr>
          <w:rFonts w:cs="Arial"/>
          <w:sz w:val="20"/>
          <w:szCs w:val="20"/>
        </w:rPr>
      </w:pPr>
      <w:r w:rsidRPr="00166751">
        <w:rPr>
          <w:rFonts w:cs="Arial"/>
          <w:sz w:val="20"/>
          <w:szCs w:val="20"/>
        </w:rPr>
        <w:t xml:space="preserve">From total due and not impaired loans to other customers in the reporting period, an amount of HRK </w:t>
      </w:r>
      <w:r w:rsidR="00BD6739">
        <w:rPr>
          <w:rFonts w:cs="Arial"/>
          <w:sz w:val="20"/>
          <w:szCs w:val="20"/>
        </w:rPr>
        <w:t>70,863</w:t>
      </w:r>
      <w:r w:rsidR="00B80DDF" w:rsidRPr="00B80DDF">
        <w:rPr>
          <w:rFonts w:cs="Arial"/>
          <w:sz w:val="20"/>
          <w:szCs w:val="20"/>
        </w:rPr>
        <w:t xml:space="preserve"> </w:t>
      </w:r>
      <w:r w:rsidRPr="00166751">
        <w:rPr>
          <w:rFonts w:cs="Arial"/>
          <w:sz w:val="20"/>
          <w:szCs w:val="20"/>
        </w:rPr>
        <w:t>thousand, i</w:t>
      </w:r>
      <w:r w:rsidR="00A94F0C">
        <w:rPr>
          <w:rFonts w:cs="Arial"/>
          <w:sz w:val="20"/>
          <w:szCs w:val="20"/>
        </w:rPr>
        <w:t>.</w:t>
      </w:r>
      <w:r w:rsidRPr="00166751">
        <w:rPr>
          <w:rFonts w:cs="Arial"/>
          <w:sz w:val="20"/>
          <w:szCs w:val="20"/>
        </w:rPr>
        <w:t>e</w:t>
      </w:r>
      <w:r w:rsidR="00A94F0C">
        <w:rPr>
          <w:rFonts w:cs="Arial"/>
          <w:sz w:val="20"/>
          <w:szCs w:val="20"/>
        </w:rPr>
        <w:t>.</w:t>
      </w:r>
      <w:r w:rsidRPr="00166751">
        <w:rPr>
          <w:rFonts w:cs="Arial"/>
          <w:sz w:val="20"/>
          <w:szCs w:val="20"/>
        </w:rPr>
        <w:t xml:space="preserve"> </w:t>
      </w:r>
      <w:r w:rsidR="00B80DDF" w:rsidRPr="00BD6739">
        <w:rPr>
          <w:rFonts w:cs="Arial"/>
          <w:sz w:val="20"/>
          <w:szCs w:val="20"/>
        </w:rPr>
        <w:t>40</w:t>
      </w:r>
      <w:r w:rsidRPr="00166751">
        <w:rPr>
          <w:rFonts w:cs="Arial"/>
          <w:sz w:val="20"/>
          <w:szCs w:val="20"/>
        </w:rPr>
        <w:t xml:space="preserve">%, relates to delays of up to 15 days, of which the amount of HRK </w:t>
      </w:r>
      <w:r w:rsidR="00BD6739">
        <w:rPr>
          <w:rFonts w:cs="Arial"/>
          <w:sz w:val="20"/>
          <w:szCs w:val="20"/>
        </w:rPr>
        <w:t>13,904</w:t>
      </w:r>
      <w:r w:rsidR="00B80DDF" w:rsidRPr="00B80DDF">
        <w:rPr>
          <w:rFonts w:cs="Arial"/>
          <w:sz w:val="20"/>
          <w:szCs w:val="20"/>
        </w:rPr>
        <w:t xml:space="preserve"> </w:t>
      </w:r>
      <w:r w:rsidRPr="00166751">
        <w:rPr>
          <w:rFonts w:cs="Arial"/>
          <w:sz w:val="20"/>
          <w:szCs w:val="20"/>
        </w:rPr>
        <w:t>thousand, i</w:t>
      </w:r>
      <w:r w:rsidR="00A94F0C">
        <w:rPr>
          <w:rFonts w:cs="Arial"/>
          <w:sz w:val="20"/>
          <w:szCs w:val="20"/>
        </w:rPr>
        <w:t>.</w:t>
      </w:r>
      <w:r w:rsidRPr="00166751">
        <w:rPr>
          <w:rFonts w:cs="Arial"/>
          <w:sz w:val="20"/>
          <w:szCs w:val="20"/>
        </w:rPr>
        <w:t>e</w:t>
      </w:r>
      <w:r w:rsidR="00A94F0C">
        <w:rPr>
          <w:rFonts w:cs="Arial"/>
          <w:sz w:val="20"/>
          <w:szCs w:val="20"/>
        </w:rPr>
        <w:t>.</w:t>
      </w:r>
      <w:r w:rsidRPr="00166751">
        <w:rPr>
          <w:rFonts w:cs="Arial"/>
          <w:sz w:val="20"/>
          <w:szCs w:val="20"/>
        </w:rPr>
        <w:t xml:space="preserve"> </w:t>
      </w:r>
      <w:r w:rsidR="00BD6739">
        <w:rPr>
          <w:rFonts w:cs="Arial"/>
          <w:sz w:val="20"/>
          <w:szCs w:val="20"/>
        </w:rPr>
        <w:t>20</w:t>
      </w:r>
      <w:r w:rsidRPr="00166751">
        <w:rPr>
          <w:rFonts w:cs="Arial"/>
          <w:sz w:val="20"/>
          <w:szCs w:val="20"/>
        </w:rPr>
        <w:t>%, was guaranteed by the Republic of Croatia</w:t>
      </w:r>
      <w:r w:rsidR="00011FEA" w:rsidRPr="00166751">
        <w:rPr>
          <w:rFonts w:cs="Arial"/>
          <w:sz w:val="20"/>
          <w:szCs w:val="20"/>
        </w:rPr>
        <w:t>.</w:t>
      </w:r>
    </w:p>
    <w:p w14:paraId="5A9CABEE" w14:textId="77777777" w:rsidR="003B209F" w:rsidRPr="00166751" w:rsidRDefault="003B209F" w:rsidP="003B209F">
      <w:pPr>
        <w:spacing w:after="0" w:line="240" w:lineRule="auto"/>
        <w:jc w:val="both"/>
        <w:rPr>
          <w:rFonts w:cs="Arial"/>
          <w:sz w:val="20"/>
          <w:szCs w:val="20"/>
        </w:rPr>
      </w:pPr>
    </w:p>
    <w:p w14:paraId="477CB834" w14:textId="77777777" w:rsidR="009702B0" w:rsidRPr="00166751" w:rsidRDefault="009702B0" w:rsidP="003B209F">
      <w:pPr>
        <w:spacing w:after="0" w:line="240" w:lineRule="auto"/>
        <w:jc w:val="both"/>
        <w:rPr>
          <w:rFonts w:cs="Arial"/>
          <w:sz w:val="20"/>
          <w:szCs w:val="20"/>
        </w:rPr>
      </w:pPr>
      <w:r w:rsidRPr="00166751">
        <w:rPr>
          <w:rFonts w:cs="Arial"/>
          <w:sz w:val="20"/>
          <w:szCs w:val="20"/>
        </w:rPr>
        <w:t>From total due and not impaired loans to financial institutions in 201</w:t>
      </w:r>
      <w:r w:rsidR="003B209F" w:rsidRPr="00166751">
        <w:rPr>
          <w:rFonts w:cs="Arial"/>
          <w:sz w:val="20"/>
          <w:szCs w:val="20"/>
        </w:rPr>
        <w:t>6</w:t>
      </w:r>
      <w:r w:rsidRPr="00166751">
        <w:rPr>
          <w:rFonts w:cs="Arial"/>
          <w:sz w:val="20"/>
          <w:szCs w:val="20"/>
        </w:rPr>
        <w:t xml:space="preserve">, an amount of HRK </w:t>
      </w:r>
      <w:r w:rsidR="003B209F" w:rsidRPr="00166751">
        <w:rPr>
          <w:rFonts w:cs="Arial"/>
          <w:sz w:val="20"/>
          <w:szCs w:val="20"/>
        </w:rPr>
        <w:t xml:space="preserve">11,448 </w:t>
      </w:r>
      <w:r w:rsidRPr="00166751">
        <w:rPr>
          <w:rFonts w:cs="Arial"/>
          <w:sz w:val="20"/>
          <w:szCs w:val="20"/>
        </w:rPr>
        <w:t>thousand, i</w:t>
      </w:r>
      <w:r w:rsidR="00A94F0C">
        <w:rPr>
          <w:rFonts w:cs="Arial"/>
          <w:sz w:val="20"/>
          <w:szCs w:val="20"/>
        </w:rPr>
        <w:t>.</w:t>
      </w:r>
      <w:r w:rsidRPr="00166751">
        <w:rPr>
          <w:rFonts w:cs="Arial"/>
          <w:sz w:val="20"/>
          <w:szCs w:val="20"/>
        </w:rPr>
        <w:t>e</w:t>
      </w:r>
      <w:r w:rsidR="00A94F0C">
        <w:rPr>
          <w:rFonts w:cs="Arial"/>
          <w:sz w:val="20"/>
          <w:szCs w:val="20"/>
        </w:rPr>
        <w:t>.</w:t>
      </w:r>
      <w:r w:rsidRPr="00166751">
        <w:rPr>
          <w:rFonts w:cs="Arial"/>
          <w:sz w:val="20"/>
          <w:szCs w:val="20"/>
        </w:rPr>
        <w:t xml:space="preserve"> </w:t>
      </w:r>
      <w:r w:rsidR="003B209F" w:rsidRPr="00166751">
        <w:rPr>
          <w:rFonts w:cs="Arial"/>
          <w:sz w:val="20"/>
          <w:szCs w:val="20"/>
        </w:rPr>
        <w:t>5</w:t>
      </w:r>
      <w:r w:rsidRPr="00166751">
        <w:rPr>
          <w:rFonts w:cs="Arial"/>
          <w:sz w:val="20"/>
          <w:szCs w:val="20"/>
        </w:rPr>
        <w:t>%, relates to not executed extensions of short-term revolving loans</w:t>
      </w:r>
      <w:r w:rsidR="00011FEA" w:rsidRPr="00166751">
        <w:rPr>
          <w:rFonts w:cs="Arial"/>
          <w:sz w:val="20"/>
          <w:szCs w:val="20"/>
        </w:rPr>
        <w:t>.</w:t>
      </w:r>
    </w:p>
    <w:p w14:paraId="16B38E91" w14:textId="77777777" w:rsidR="003B209F" w:rsidRPr="00166751" w:rsidRDefault="003B209F" w:rsidP="003B209F">
      <w:pPr>
        <w:spacing w:after="0" w:line="240" w:lineRule="auto"/>
        <w:jc w:val="both"/>
        <w:rPr>
          <w:rFonts w:cs="Arial"/>
          <w:sz w:val="20"/>
          <w:szCs w:val="20"/>
        </w:rPr>
      </w:pPr>
    </w:p>
    <w:p w14:paraId="017104D4" w14:textId="77777777" w:rsidR="00011FEA" w:rsidRPr="00166751" w:rsidRDefault="00B30067" w:rsidP="003B209F">
      <w:pPr>
        <w:spacing w:after="0" w:line="240" w:lineRule="auto"/>
        <w:jc w:val="both"/>
        <w:rPr>
          <w:rFonts w:cs="Arial"/>
          <w:sz w:val="20"/>
          <w:szCs w:val="20"/>
        </w:rPr>
      </w:pPr>
      <w:r w:rsidRPr="00166751">
        <w:rPr>
          <w:rFonts w:cs="Arial"/>
          <w:sz w:val="20"/>
          <w:szCs w:val="20"/>
        </w:rPr>
        <w:t>Due to the maturity falling on 31 December 2016 being a non-working day, an amount of HRK 193,524 thousand, i</w:t>
      </w:r>
      <w:r w:rsidR="00A94F0C">
        <w:rPr>
          <w:rFonts w:cs="Arial"/>
          <w:sz w:val="20"/>
          <w:szCs w:val="20"/>
        </w:rPr>
        <w:t>.</w:t>
      </w:r>
      <w:r w:rsidRPr="00166751">
        <w:rPr>
          <w:rFonts w:cs="Arial"/>
          <w:sz w:val="20"/>
          <w:szCs w:val="20"/>
        </w:rPr>
        <w:t>e</w:t>
      </w:r>
      <w:r w:rsidR="00A94F0C">
        <w:rPr>
          <w:rFonts w:cs="Arial"/>
          <w:sz w:val="20"/>
          <w:szCs w:val="20"/>
        </w:rPr>
        <w:t>.</w:t>
      </w:r>
      <w:r w:rsidRPr="00166751">
        <w:rPr>
          <w:rFonts w:cs="Arial"/>
          <w:sz w:val="20"/>
          <w:szCs w:val="20"/>
        </w:rPr>
        <w:t xml:space="preserve"> 91% of due but not impaired loans to financial institutions, was collected on 2 January 2017 being the first following working day</w:t>
      </w:r>
      <w:r w:rsidR="00011FEA" w:rsidRPr="00166751">
        <w:rPr>
          <w:rFonts w:cs="Arial"/>
          <w:sz w:val="20"/>
          <w:szCs w:val="20"/>
        </w:rPr>
        <w:t>.</w:t>
      </w:r>
    </w:p>
    <w:p w14:paraId="67D2FCAC" w14:textId="77777777" w:rsidR="003B209F" w:rsidRPr="00166751" w:rsidRDefault="003B209F" w:rsidP="003B209F">
      <w:pPr>
        <w:spacing w:after="0" w:line="240" w:lineRule="auto"/>
        <w:jc w:val="both"/>
        <w:rPr>
          <w:rFonts w:cs="Arial"/>
          <w:sz w:val="20"/>
          <w:szCs w:val="20"/>
        </w:rPr>
      </w:pPr>
    </w:p>
    <w:p w14:paraId="24345384" w14:textId="77777777" w:rsidR="009702B0" w:rsidRPr="00A94F0C" w:rsidRDefault="009702B0" w:rsidP="003B209F">
      <w:pPr>
        <w:spacing w:after="0" w:line="240" w:lineRule="auto"/>
        <w:jc w:val="both"/>
        <w:rPr>
          <w:rFonts w:cs="Arial"/>
          <w:sz w:val="20"/>
          <w:szCs w:val="20"/>
        </w:rPr>
      </w:pPr>
      <w:r w:rsidRPr="00166751">
        <w:rPr>
          <w:rFonts w:cs="Arial"/>
          <w:sz w:val="20"/>
          <w:szCs w:val="20"/>
        </w:rPr>
        <w:t>From total due and not impaired loans to other customers in 201</w:t>
      </w:r>
      <w:r w:rsidR="00B30067" w:rsidRPr="00166751">
        <w:rPr>
          <w:rFonts w:cs="Arial"/>
          <w:sz w:val="20"/>
          <w:szCs w:val="20"/>
        </w:rPr>
        <w:t>6</w:t>
      </w:r>
      <w:r w:rsidRPr="00166751">
        <w:rPr>
          <w:rFonts w:cs="Arial"/>
          <w:sz w:val="20"/>
          <w:szCs w:val="20"/>
        </w:rPr>
        <w:t xml:space="preserve">, an amount of HRK </w:t>
      </w:r>
      <w:r w:rsidR="00B30067" w:rsidRPr="00166751">
        <w:rPr>
          <w:rFonts w:cs="Arial"/>
          <w:sz w:val="20"/>
          <w:szCs w:val="20"/>
        </w:rPr>
        <w:t>109,035</w:t>
      </w:r>
      <w:r w:rsidRPr="00166751">
        <w:rPr>
          <w:rFonts w:cs="Arial"/>
          <w:sz w:val="20"/>
          <w:szCs w:val="20"/>
        </w:rPr>
        <w:t xml:space="preserve"> thousand, i</w:t>
      </w:r>
      <w:r w:rsidR="00A94F0C">
        <w:rPr>
          <w:rFonts w:cs="Arial"/>
          <w:sz w:val="20"/>
          <w:szCs w:val="20"/>
        </w:rPr>
        <w:t>.</w:t>
      </w:r>
      <w:r w:rsidRPr="00166751">
        <w:rPr>
          <w:rFonts w:cs="Arial"/>
          <w:sz w:val="20"/>
          <w:szCs w:val="20"/>
        </w:rPr>
        <w:t>e</w:t>
      </w:r>
      <w:r w:rsidR="00A94F0C">
        <w:rPr>
          <w:rFonts w:cs="Arial"/>
          <w:sz w:val="20"/>
          <w:szCs w:val="20"/>
        </w:rPr>
        <w:t>.</w:t>
      </w:r>
      <w:r w:rsidRPr="00166751">
        <w:rPr>
          <w:rFonts w:cs="Arial"/>
          <w:sz w:val="20"/>
          <w:szCs w:val="20"/>
        </w:rPr>
        <w:t xml:space="preserve"> </w:t>
      </w:r>
      <w:r w:rsidR="005F1566" w:rsidRPr="00166751">
        <w:rPr>
          <w:rFonts w:cs="Arial"/>
          <w:sz w:val="20"/>
          <w:szCs w:val="20"/>
        </w:rPr>
        <w:t>66</w:t>
      </w:r>
      <w:r w:rsidRPr="00166751">
        <w:rPr>
          <w:rFonts w:cs="Arial"/>
          <w:sz w:val="20"/>
          <w:szCs w:val="20"/>
        </w:rPr>
        <w:t xml:space="preserve">%, relates to delays of up to 15 days, of which the amount of HRK </w:t>
      </w:r>
      <w:r w:rsidR="005F1566" w:rsidRPr="00166751">
        <w:rPr>
          <w:rFonts w:cs="Arial"/>
          <w:sz w:val="20"/>
          <w:szCs w:val="20"/>
        </w:rPr>
        <w:t>10,430</w:t>
      </w:r>
      <w:r w:rsidRPr="00166751">
        <w:rPr>
          <w:rFonts w:cs="Arial"/>
          <w:sz w:val="20"/>
          <w:szCs w:val="20"/>
        </w:rPr>
        <w:t xml:space="preserve"> thousand, i</w:t>
      </w:r>
      <w:r w:rsidR="00A94F0C">
        <w:rPr>
          <w:rFonts w:cs="Arial"/>
          <w:sz w:val="20"/>
          <w:szCs w:val="20"/>
        </w:rPr>
        <w:t>.</w:t>
      </w:r>
      <w:r w:rsidRPr="00166751">
        <w:rPr>
          <w:rFonts w:cs="Arial"/>
          <w:sz w:val="20"/>
          <w:szCs w:val="20"/>
        </w:rPr>
        <w:t>e</w:t>
      </w:r>
      <w:r w:rsidR="00A94F0C">
        <w:rPr>
          <w:rFonts w:cs="Arial"/>
          <w:sz w:val="20"/>
          <w:szCs w:val="20"/>
        </w:rPr>
        <w:t>.</w:t>
      </w:r>
      <w:r w:rsidRPr="00166751">
        <w:rPr>
          <w:rFonts w:cs="Arial"/>
          <w:sz w:val="20"/>
          <w:szCs w:val="20"/>
        </w:rPr>
        <w:t xml:space="preserve"> </w:t>
      </w:r>
      <w:r w:rsidR="005F1566" w:rsidRPr="00166751">
        <w:rPr>
          <w:rFonts w:cs="Arial"/>
          <w:sz w:val="20"/>
          <w:szCs w:val="20"/>
        </w:rPr>
        <w:t>10</w:t>
      </w:r>
      <w:r w:rsidRPr="00166751">
        <w:rPr>
          <w:rFonts w:cs="Arial"/>
          <w:sz w:val="20"/>
          <w:szCs w:val="20"/>
        </w:rPr>
        <w:t>%, was guaranteed by the Republic of Croatia</w:t>
      </w:r>
      <w:r w:rsidRPr="00A94F0C">
        <w:rPr>
          <w:rFonts w:cs="Arial"/>
          <w:sz w:val="20"/>
          <w:szCs w:val="20"/>
        </w:rPr>
        <w:t>.</w:t>
      </w:r>
    </w:p>
    <w:p w14:paraId="0674A5A8" w14:textId="77777777" w:rsidR="009702B0" w:rsidRPr="009702B0" w:rsidRDefault="009702B0" w:rsidP="003B209F">
      <w:pPr>
        <w:spacing w:after="0" w:line="240" w:lineRule="auto"/>
        <w:jc w:val="both"/>
        <w:rPr>
          <w:sz w:val="20"/>
          <w:szCs w:val="20"/>
          <w:highlight w:val="yellow"/>
        </w:rPr>
        <w:sectPr w:rsidR="009702B0" w:rsidRPr="009702B0" w:rsidSect="00947CB7">
          <w:footerReference w:type="first" r:id="rId97"/>
          <w:pgSz w:w="11906" w:h="16838" w:code="9"/>
          <w:pgMar w:top="1418" w:right="1418" w:bottom="595" w:left="1134" w:header="709" w:footer="709" w:gutter="0"/>
          <w:cols w:space="708"/>
          <w:titlePg/>
          <w:docGrid w:linePitch="360"/>
        </w:sectPr>
      </w:pPr>
    </w:p>
    <w:p w14:paraId="4403C212" w14:textId="77777777" w:rsidR="009702B0" w:rsidRPr="009702B0" w:rsidRDefault="009702B0" w:rsidP="009702B0">
      <w:pPr>
        <w:spacing w:after="0" w:line="240" w:lineRule="auto"/>
        <w:jc w:val="both"/>
        <w:rPr>
          <w:rFonts w:eastAsia="Times New Roman" w:cs="Calibri"/>
          <w:b/>
        </w:rPr>
      </w:pPr>
    </w:p>
    <w:p w14:paraId="5F39148A"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14:paraId="2BD5D078" w14:textId="77777777" w:rsidR="009702B0" w:rsidRPr="009702B0" w:rsidRDefault="009702B0" w:rsidP="009702B0">
      <w:pPr>
        <w:spacing w:after="0" w:line="240" w:lineRule="auto"/>
        <w:jc w:val="both"/>
        <w:rPr>
          <w:rFonts w:eastAsia="Times New Roman" w:cs="Calibri"/>
          <w:b/>
        </w:rPr>
      </w:pPr>
    </w:p>
    <w:p w14:paraId="44AB595F" w14:textId="77777777" w:rsidR="009702B0" w:rsidRPr="009702B0" w:rsidRDefault="009702B0" w:rsidP="009702B0">
      <w:pPr>
        <w:spacing w:after="0" w:line="240" w:lineRule="auto"/>
        <w:jc w:val="both"/>
        <w:rPr>
          <w:rFonts w:eastAsia="Times New Roman" w:cs="Calibri"/>
          <w:b/>
        </w:rPr>
      </w:pPr>
      <w:r w:rsidRPr="009702B0">
        <w:rPr>
          <w:rFonts w:eastAsia="Times New Roman" w:cs="Calibri"/>
          <w:b/>
        </w:rPr>
        <w:t xml:space="preserve">16.3. </w:t>
      </w:r>
      <w:r w:rsidRPr="009702B0">
        <w:rPr>
          <w:rFonts w:eastAsia="Times New Roman" w:cs="Calibri"/>
          <w:b/>
        </w:rPr>
        <w:tab/>
        <w:t xml:space="preserve">Liquidity risk </w:t>
      </w:r>
    </w:p>
    <w:p w14:paraId="7C9059D0" w14:textId="77777777" w:rsidR="009702B0" w:rsidRPr="009702B0" w:rsidRDefault="009702B0" w:rsidP="009702B0">
      <w:pPr>
        <w:spacing w:after="0" w:line="240" w:lineRule="auto"/>
        <w:jc w:val="both"/>
        <w:rPr>
          <w:rFonts w:eastAsia="Times New Roman" w:cs="Calibri"/>
          <w:b/>
        </w:rPr>
      </w:pPr>
    </w:p>
    <w:p w14:paraId="48D28BA1" w14:textId="77777777" w:rsidR="009702B0" w:rsidRPr="009702B0" w:rsidRDefault="009702B0" w:rsidP="009702B0">
      <w:pPr>
        <w:spacing w:after="0" w:line="240" w:lineRule="auto"/>
        <w:jc w:val="both"/>
        <w:rPr>
          <w:rFonts w:cs="Calibri"/>
          <w:spacing w:val="-3"/>
        </w:rPr>
      </w:pPr>
      <w:r w:rsidRPr="009702B0">
        <w:rPr>
          <w:rFonts w:cs="Calibri"/>
          <w:spacing w:val="-3"/>
        </w:rPr>
        <w:t xml:space="preserve">The basic principles for managing HBOR's liquidity risk are determined in the internal documents as well as in the decisions and conclusions made by the Supervisory Board, the </w:t>
      </w:r>
      <w:r w:rsidR="00CE67EA" w:rsidRPr="009702B0">
        <w:rPr>
          <w:rFonts w:cs="Calibri"/>
          <w:spacing w:val="-3"/>
        </w:rPr>
        <w:t>Manag</w:t>
      </w:r>
      <w:r w:rsidR="00CE67EA">
        <w:rPr>
          <w:rFonts w:cs="Calibri"/>
          <w:spacing w:val="-3"/>
        </w:rPr>
        <w:t>ement</w:t>
      </w:r>
      <w:r w:rsidR="00CE67EA" w:rsidRPr="009702B0">
        <w:rPr>
          <w:rFonts w:cs="Calibri"/>
          <w:spacing w:val="-3"/>
        </w:rPr>
        <w:t xml:space="preserve"> </w:t>
      </w:r>
      <w:r w:rsidRPr="009702B0">
        <w:rPr>
          <w:rFonts w:cs="Calibri"/>
          <w:spacing w:val="-3"/>
        </w:rPr>
        <w:t xml:space="preserve">Board and the Asset and Liability Management Committee. </w:t>
      </w:r>
    </w:p>
    <w:p w14:paraId="50437E1F" w14:textId="77777777" w:rsidR="009702B0" w:rsidRPr="009702B0" w:rsidRDefault="009702B0" w:rsidP="009702B0">
      <w:pPr>
        <w:spacing w:after="0" w:line="240" w:lineRule="auto"/>
        <w:jc w:val="both"/>
        <w:rPr>
          <w:rFonts w:cs="Calibri"/>
          <w:spacing w:val="-3"/>
        </w:rPr>
      </w:pPr>
    </w:p>
    <w:p w14:paraId="484A54E9" w14:textId="5286A9CA" w:rsidR="009702B0" w:rsidRPr="009702B0" w:rsidRDefault="009702B0" w:rsidP="009702B0">
      <w:pPr>
        <w:widowControl w:val="0"/>
        <w:spacing w:after="0" w:line="240" w:lineRule="auto"/>
        <w:ind w:right="-6"/>
        <w:jc w:val="both"/>
        <w:rPr>
          <w:rFonts w:cs="Calibri"/>
          <w:spacing w:val="-3"/>
        </w:rPr>
      </w:pPr>
      <w:r w:rsidRPr="009702B0">
        <w:rPr>
          <w:rFonts w:cs="Calibri"/>
          <w:spacing w:val="-3"/>
        </w:rPr>
        <w:t>In order to manage liquidity risk, the Bank has established a system of limits, it monitors and controls limit utilisation, maintains the adequate level of liquidity reserve, continuously monitors current and planned liquidity, ensures HRK and foreign currency funds necessary for timely settlement of</w:t>
      </w:r>
      <w:r w:rsidR="006F611E">
        <w:rPr>
          <w:rFonts w:cs="Calibri"/>
          <w:spacing w:val="-3"/>
        </w:rPr>
        <w:t xml:space="preserve"> all</w:t>
      </w:r>
      <w:r w:rsidRPr="009702B0">
        <w:rPr>
          <w:rFonts w:cs="Calibri"/>
          <w:spacing w:val="-3"/>
        </w:rPr>
        <w:t xml:space="preserve"> liabilities</w:t>
      </w:r>
      <w:r w:rsidR="006F611E">
        <w:rPr>
          <w:rFonts w:cs="Calibri"/>
          <w:spacing w:val="-3"/>
        </w:rPr>
        <w:t>.</w:t>
      </w:r>
      <w:r w:rsidRPr="009702B0">
        <w:rPr>
          <w:rFonts w:cs="Calibri"/>
          <w:spacing w:val="-3"/>
        </w:rPr>
        <w:t xml:space="preserve"> In terms of liquidity risk management, the Bank monitors and strives to achieve compatibility of contracted and planned placements with the respective sources according to maturity. The Bank does not hold deposits of citizens and is therefore not exposed to wide daily fluctuations in liquidity. The Bank monitors liquidity risk by implementing the sensitivity analyses and scenario analyses in regular or stressful business conditions. Early warning signals and procedures for liquidity crisis indication or occurrence </w:t>
      </w:r>
      <w:r w:rsidR="003F45A7">
        <w:rPr>
          <w:rFonts w:cs="Calibri"/>
          <w:spacing w:val="-3"/>
        </w:rPr>
        <w:t xml:space="preserve">have been </w:t>
      </w:r>
      <w:r w:rsidRPr="009702B0">
        <w:rPr>
          <w:rFonts w:cs="Calibri"/>
          <w:spacing w:val="-3"/>
        </w:rPr>
        <w:t xml:space="preserve">determined. </w:t>
      </w:r>
    </w:p>
    <w:p w14:paraId="66A84CD4" w14:textId="77777777" w:rsidR="009702B0" w:rsidRPr="009702B0" w:rsidRDefault="009702B0" w:rsidP="009702B0">
      <w:pPr>
        <w:spacing w:after="0" w:line="240" w:lineRule="auto"/>
        <w:jc w:val="both"/>
        <w:rPr>
          <w:rFonts w:cs="Calibri"/>
          <w:bCs/>
          <w:spacing w:val="-3"/>
        </w:rPr>
        <w:sectPr w:rsidR="009702B0" w:rsidRPr="009702B0" w:rsidSect="00947CB7">
          <w:footerReference w:type="first" r:id="rId98"/>
          <w:pgSz w:w="11906" w:h="16838" w:code="9"/>
          <w:pgMar w:top="1418" w:right="1418" w:bottom="595" w:left="1134" w:header="709" w:footer="709" w:gutter="0"/>
          <w:cols w:space="708"/>
          <w:titlePg/>
          <w:docGrid w:linePitch="360"/>
        </w:sectPr>
      </w:pPr>
    </w:p>
    <w:p w14:paraId="61984737" w14:textId="77777777" w:rsidR="009702B0" w:rsidRPr="009702B0" w:rsidRDefault="009702B0" w:rsidP="009702B0">
      <w:pPr>
        <w:spacing w:after="0" w:line="240" w:lineRule="auto"/>
        <w:jc w:val="both"/>
        <w:rPr>
          <w:rFonts w:cs="Calibri"/>
          <w:bCs/>
          <w:spacing w:val="-3"/>
        </w:rPr>
      </w:pPr>
    </w:p>
    <w:p w14:paraId="29F0FFE5"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14:paraId="1D95B1C9" w14:textId="77777777" w:rsidR="009702B0" w:rsidRPr="009702B0" w:rsidRDefault="009702B0" w:rsidP="009702B0">
      <w:pPr>
        <w:spacing w:after="0" w:line="240" w:lineRule="auto"/>
        <w:jc w:val="both"/>
        <w:rPr>
          <w:rFonts w:eastAsia="Times New Roman" w:cs="Calibri"/>
          <w:b/>
        </w:rPr>
      </w:pPr>
    </w:p>
    <w:p w14:paraId="12D22B56" w14:textId="77777777" w:rsidR="009702B0" w:rsidRPr="009702B0" w:rsidRDefault="009702B0" w:rsidP="009702B0">
      <w:pPr>
        <w:spacing w:after="0" w:line="240" w:lineRule="auto"/>
        <w:jc w:val="both"/>
        <w:rPr>
          <w:rFonts w:eastAsia="Times New Roman" w:cs="Calibri"/>
          <w:b/>
        </w:rPr>
      </w:pPr>
      <w:r w:rsidRPr="009702B0">
        <w:rPr>
          <w:rFonts w:eastAsia="Times New Roman" w:cs="Calibri"/>
          <w:b/>
        </w:rPr>
        <w:t xml:space="preserve">16.3. </w:t>
      </w:r>
      <w:r w:rsidRPr="009702B0">
        <w:rPr>
          <w:rFonts w:eastAsia="Times New Roman" w:cs="Calibri"/>
          <w:b/>
        </w:rPr>
        <w:tab/>
        <w:t>Liquidity risk (continued)</w:t>
      </w:r>
    </w:p>
    <w:p w14:paraId="23D54861" w14:textId="77777777" w:rsidR="009702B0" w:rsidRPr="009702B0" w:rsidRDefault="009702B0" w:rsidP="009702B0">
      <w:pPr>
        <w:spacing w:after="0" w:line="240" w:lineRule="auto"/>
        <w:jc w:val="both"/>
        <w:rPr>
          <w:rFonts w:eastAsia="Times New Roman" w:cs="Calibri"/>
          <w:b/>
        </w:rPr>
      </w:pPr>
    </w:p>
    <w:p w14:paraId="48466550" w14:textId="132C7F94" w:rsidR="009702B0" w:rsidRPr="009702B0" w:rsidRDefault="009702B0" w:rsidP="009702B0">
      <w:pPr>
        <w:tabs>
          <w:tab w:val="left" w:pos="-720"/>
        </w:tabs>
        <w:suppressAutoHyphens/>
        <w:spacing w:after="0" w:line="240" w:lineRule="auto"/>
        <w:jc w:val="both"/>
        <w:rPr>
          <w:rFonts w:cs="Arial"/>
          <w:sz w:val="20"/>
          <w:szCs w:val="20"/>
        </w:rPr>
      </w:pPr>
      <w:r w:rsidRPr="009702B0">
        <w:rPr>
          <w:rFonts w:cs="Arial"/>
          <w:sz w:val="20"/>
          <w:szCs w:val="20"/>
        </w:rPr>
        <w:t xml:space="preserve">The table below provides an analysis of total assets and total liabilities and equity as of </w:t>
      </w:r>
      <w:r w:rsidR="00F90F31" w:rsidRPr="00F90F31">
        <w:rPr>
          <w:rFonts w:cs="Arial"/>
          <w:sz w:val="20"/>
          <w:szCs w:val="20"/>
        </w:rPr>
        <w:t xml:space="preserve">30 </w:t>
      </w:r>
      <w:r w:rsidR="0010353B">
        <w:rPr>
          <w:rFonts w:cs="Arial"/>
          <w:sz w:val="20"/>
          <w:szCs w:val="20"/>
        </w:rPr>
        <w:t>September</w:t>
      </w:r>
      <w:r w:rsidR="0010353B" w:rsidRPr="00F90F31">
        <w:rPr>
          <w:rFonts w:cs="Arial"/>
          <w:sz w:val="20"/>
          <w:szCs w:val="20"/>
        </w:rPr>
        <w:t xml:space="preserve"> </w:t>
      </w:r>
      <w:r w:rsidR="005F1566" w:rsidRPr="005F1566">
        <w:rPr>
          <w:rFonts w:cs="Arial"/>
          <w:sz w:val="20"/>
          <w:szCs w:val="20"/>
        </w:rPr>
        <w:t>2017</w:t>
      </w:r>
      <w:r w:rsidRPr="009702B0">
        <w:rPr>
          <w:rFonts w:cs="Arial"/>
          <w:sz w:val="20"/>
          <w:szCs w:val="20"/>
        </w:rPr>
        <w:t xml:space="preserve"> and 31 December 201</w:t>
      </w:r>
      <w:r w:rsidR="005F1566">
        <w:rPr>
          <w:rFonts w:cs="Arial"/>
          <w:sz w:val="20"/>
          <w:szCs w:val="20"/>
        </w:rPr>
        <w:t>6</w:t>
      </w:r>
      <w:r w:rsidRPr="009702B0">
        <w:rPr>
          <w:rFonts w:cs="Arial"/>
          <w:sz w:val="20"/>
          <w:szCs w:val="20"/>
        </w:rPr>
        <w:t xml:space="preserve"> placed into relevant maturity groupings based on the remaining period as at the Statement of Financial Position date related to the contractual maturity date, as follows:</w:t>
      </w:r>
    </w:p>
    <w:p w14:paraId="4FA9911E" w14:textId="77777777" w:rsidR="009702B0" w:rsidRPr="009702B0" w:rsidRDefault="009702B0" w:rsidP="009702B0">
      <w:pPr>
        <w:tabs>
          <w:tab w:val="left" w:pos="-720"/>
        </w:tabs>
        <w:suppressAutoHyphens/>
        <w:spacing w:after="0" w:line="240" w:lineRule="auto"/>
        <w:jc w:val="both"/>
        <w:rPr>
          <w:rFonts w:cs="Arial"/>
          <w:sz w:val="20"/>
          <w:szCs w:val="20"/>
        </w:rPr>
      </w:pPr>
    </w:p>
    <w:tbl>
      <w:tblPr>
        <w:tblW w:w="5238" w:type="pct"/>
        <w:tblInd w:w="-306" w:type="dxa"/>
        <w:tblLayout w:type="fixed"/>
        <w:tblCellMar>
          <w:left w:w="120" w:type="dxa"/>
          <w:right w:w="120" w:type="dxa"/>
        </w:tblCellMar>
        <w:tblLook w:val="0000" w:firstRow="0" w:lastRow="0" w:firstColumn="0" w:lastColumn="0" w:noHBand="0" w:noVBand="0"/>
      </w:tblPr>
      <w:tblGrid>
        <w:gridCol w:w="2987"/>
        <w:gridCol w:w="1139"/>
        <w:gridCol w:w="1135"/>
        <w:gridCol w:w="1137"/>
        <w:gridCol w:w="1135"/>
        <w:gridCol w:w="1137"/>
        <w:gridCol w:w="1129"/>
      </w:tblGrid>
      <w:tr w:rsidR="009702B0" w:rsidRPr="00321238" w14:paraId="308F55AE" w14:textId="77777777" w:rsidTr="009702B0">
        <w:trPr>
          <w:trHeight w:val="473"/>
        </w:trPr>
        <w:tc>
          <w:tcPr>
            <w:tcW w:w="1524" w:type="pct"/>
            <w:vAlign w:val="bottom"/>
          </w:tcPr>
          <w:p w14:paraId="37310AAF" w14:textId="77777777" w:rsidR="009702B0" w:rsidRPr="00321238" w:rsidRDefault="009702B0" w:rsidP="009702B0">
            <w:pPr>
              <w:tabs>
                <w:tab w:val="right" w:pos="1202"/>
              </w:tabs>
              <w:spacing w:after="0" w:line="220" w:lineRule="exact"/>
              <w:outlineLvl w:val="0"/>
              <w:rPr>
                <w:rFonts w:eastAsia="Times New Roman" w:cs="Arial"/>
                <w:b/>
                <w:sz w:val="18"/>
                <w:szCs w:val="18"/>
              </w:rPr>
            </w:pPr>
            <w:r w:rsidRPr="00321238">
              <w:rPr>
                <w:rFonts w:eastAsia="Times New Roman" w:cs="Arial"/>
                <w:b/>
                <w:sz w:val="18"/>
                <w:szCs w:val="18"/>
              </w:rPr>
              <w:t>Group</w:t>
            </w:r>
          </w:p>
          <w:p w14:paraId="6F73ACCB" w14:textId="2D271866" w:rsidR="009702B0" w:rsidRPr="00321238" w:rsidRDefault="00BD792F" w:rsidP="009702B0">
            <w:pPr>
              <w:tabs>
                <w:tab w:val="right" w:pos="1202"/>
              </w:tabs>
              <w:spacing w:after="0" w:line="220" w:lineRule="exact"/>
              <w:outlineLvl w:val="0"/>
              <w:rPr>
                <w:rFonts w:eastAsia="Times New Roman" w:cs="Arial"/>
                <w:b/>
                <w:sz w:val="18"/>
                <w:szCs w:val="18"/>
              </w:rPr>
            </w:pPr>
            <w:r>
              <w:rPr>
                <w:rFonts w:eastAsia="Times New Roman" w:cs="Arial"/>
                <w:b/>
                <w:sz w:val="18"/>
                <w:szCs w:val="18"/>
              </w:rPr>
              <w:t xml:space="preserve">Sep </w:t>
            </w:r>
            <w:r w:rsidR="0013539B">
              <w:rPr>
                <w:rFonts w:eastAsia="Times New Roman" w:cs="Arial"/>
                <w:b/>
                <w:sz w:val="18"/>
                <w:szCs w:val="18"/>
              </w:rPr>
              <w:t>30</w:t>
            </w:r>
            <w:r w:rsidR="005F1566" w:rsidRPr="00321238">
              <w:rPr>
                <w:rFonts w:eastAsia="Times New Roman" w:cs="Arial"/>
                <w:b/>
                <w:sz w:val="18"/>
                <w:szCs w:val="18"/>
              </w:rPr>
              <w:t>, 2017</w:t>
            </w:r>
          </w:p>
        </w:tc>
        <w:tc>
          <w:tcPr>
            <w:tcW w:w="581" w:type="pct"/>
          </w:tcPr>
          <w:p w14:paraId="43B8E40D" w14:textId="77777777"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 xml:space="preserve">Up to 1 </w:t>
            </w:r>
          </w:p>
          <w:p w14:paraId="2711ADC0" w14:textId="77777777"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month</w:t>
            </w:r>
          </w:p>
        </w:tc>
        <w:tc>
          <w:tcPr>
            <w:tcW w:w="579" w:type="pct"/>
          </w:tcPr>
          <w:p w14:paraId="6C436F38" w14:textId="77777777"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 xml:space="preserve">1 to 3 months </w:t>
            </w:r>
          </w:p>
        </w:tc>
        <w:tc>
          <w:tcPr>
            <w:tcW w:w="580" w:type="pct"/>
          </w:tcPr>
          <w:p w14:paraId="720EBAB1" w14:textId="77777777"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 xml:space="preserve">3 months to 1 year </w:t>
            </w:r>
          </w:p>
        </w:tc>
        <w:tc>
          <w:tcPr>
            <w:tcW w:w="579" w:type="pct"/>
          </w:tcPr>
          <w:p w14:paraId="3A1D022D" w14:textId="77777777"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1 to 3</w:t>
            </w:r>
          </w:p>
          <w:p w14:paraId="05E94527" w14:textId="77777777"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years</w:t>
            </w:r>
          </w:p>
        </w:tc>
        <w:tc>
          <w:tcPr>
            <w:tcW w:w="580" w:type="pct"/>
          </w:tcPr>
          <w:p w14:paraId="610EA39C" w14:textId="77777777"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 xml:space="preserve">Over 3 </w:t>
            </w:r>
          </w:p>
          <w:p w14:paraId="09A78B97" w14:textId="77777777"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years</w:t>
            </w:r>
          </w:p>
        </w:tc>
        <w:tc>
          <w:tcPr>
            <w:tcW w:w="576" w:type="pct"/>
          </w:tcPr>
          <w:p w14:paraId="7BA2D341" w14:textId="77777777"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 xml:space="preserve">Total </w:t>
            </w:r>
          </w:p>
        </w:tc>
      </w:tr>
      <w:tr w:rsidR="009702B0" w:rsidRPr="00321238" w14:paraId="62B4DDA1" w14:textId="77777777" w:rsidTr="009702B0">
        <w:trPr>
          <w:trHeight w:val="251"/>
        </w:trPr>
        <w:tc>
          <w:tcPr>
            <w:tcW w:w="1524" w:type="pct"/>
            <w:vAlign w:val="center"/>
          </w:tcPr>
          <w:p w14:paraId="05D6D1CD" w14:textId="77777777" w:rsidR="009702B0" w:rsidRPr="00321238" w:rsidRDefault="009702B0" w:rsidP="009702B0">
            <w:pPr>
              <w:tabs>
                <w:tab w:val="right" w:pos="1202"/>
              </w:tabs>
              <w:spacing w:after="0" w:line="220" w:lineRule="exact"/>
              <w:outlineLvl w:val="0"/>
              <w:rPr>
                <w:rFonts w:eastAsia="Times New Roman" w:cs="Arial"/>
                <w:b/>
                <w:bCs/>
                <w:sz w:val="18"/>
                <w:szCs w:val="18"/>
              </w:rPr>
            </w:pPr>
            <w:r w:rsidRPr="00321238">
              <w:rPr>
                <w:rFonts w:eastAsia="Times New Roman" w:cs="Arial"/>
                <w:b/>
                <w:bCs/>
                <w:sz w:val="18"/>
                <w:szCs w:val="18"/>
              </w:rPr>
              <w:t xml:space="preserve">Assets </w:t>
            </w:r>
          </w:p>
        </w:tc>
        <w:tc>
          <w:tcPr>
            <w:tcW w:w="581" w:type="pct"/>
            <w:vAlign w:val="bottom"/>
          </w:tcPr>
          <w:p w14:paraId="1D3B53EE" w14:textId="77777777" w:rsidR="009702B0" w:rsidRPr="00321238" w:rsidRDefault="009702B0" w:rsidP="009702B0">
            <w:pPr>
              <w:tabs>
                <w:tab w:val="right" w:pos="1202"/>
              </w:tabs>
              <w:spacing w:after="0" w:line="220" w:lineRule="exact"/>
              <w:jc w:val="right"/>
              <w:outlineLvl w:val="0"/>
              <w:rPr>
                <w:rFonts w:eastAsia="Times New Roman" w:cs="Arial"/>
                <w:b/>
                <w:bCs/>
                <w:spacing w:val="-2"/>
                <w:sz w:val="18"/>
                <w:szCs w:val="18"/>
              </w:rPr>
            </w:pPr>
          </w:p>
        </w:tc>
        <w:tc>
          <w:tcPr>
            <w:tcW w:w="579" w:type="pct"/>
            <w:vAlign w:val="bottom"/>
          </w:tcPr>
          <w:p w14:paraId="080F9C9E" w14:textId="77777777" w:rsidR="009702B0" w:rsidRPr="00321238" w:rsidRDefault="009702B0" w:rsidP="009702B0">
            <w:pPr>
              <w:tabs>
                <w:tab w:val="right" w:pos="1202"/>
              </w:tabs>
              <w:spacing w:after="0" w:line="220" w:lineRule="exact"/>
              <w:jc w:val="right"/>
              <w:outlineLvl w:val="0"/>
              <w:rPr>
                <w:rFonts w:eastAsia="Times New Roman" w:cs="Arial"/>
                <w:b/>
                <w:bCs/>
                <w:spacing w:val="-2"/>
                <w:sz w:val="18"/>
                <w:szCs w:val="18"/>
              </w:rPr>
            </w:pPr>
          </w:p>
        </w:tc>
        <w:tc>
          <w:tcPr>
            <w:tcW w:w="580" w:type="pct"/>
            <w:vAlign w:val="bottom"/>
          </w:tcPr>
          <w:p w14:paraId="59F813FE" w14:textId="77777777" w:rsidR="009702B0" w:rsidRPr="00321238" w:rsidRDefault="009702B0" w:rsidP="009702B0">
            <w:pPr>
              <w:tabs>
                <w:tab w:val="right" w:pos="1202"/>
              </w:tabs>
              <w:spacing w:after="0" w:line="220" w:lineRule="exact"/>
              <w:jc w:val="right"/>
              <w:outlineLvl w:val="0"/>
              <w:rPr>
                <w:rFonts w:eastAsia="Times New Roman" w:cs="Arial"/>
                <w:b/>
                <w:bCs/>
                <w:spacing w:val="-2"/>
                <w:sz w:val="18"/>
                <w:szCs w:val="18"/>
              </w:rPr>
            </w:pPr>
          </w:p>
        </w:tc>
        <w:tc>
          <w:tcPr>
            <w:tcW w:w="579" w:type="pct"/>
            <w:vAlign w:val="bottom"/>
          </w:tcPr>
          <w:p w14:paraId="1D23D2C3" w14:textId="77777777" w:rsidR="009702B0" w:rsidRPr="00321238" w:rsidRDefault="009702B0" w:rsidP="009702B0">
            <w:pPr>
              <w:tabs>
                <w:tab w:val="right" w:pos="1202"/>
              </w:tabs>
              <w:spacing w:after="0" w:line="220" w:lineRule="exact"/>
              <w:jc w:val="right"/>
              <w:outlineLvl w:val="0"/>
              <w:rPr>
                <w:rFonts w:eastAsia="Times New Roman" w:cs="Arial"/>
                <w:b/>
                <w:bCs/>
                <w:spacing w:val="-2"/>
                <w:sz w:val="18"/>
                <w:szCs w:val="18"/>
              </w:rPr>
            </w:pPr>
          </w:p>
        </w:tc>
        <w:tc>
          <w:tcPr>
            <w:tcW w:w="580" w:type="pct"/>
            <w:vAlign w:val="bottom"/>
          </w:tcPr>
          <w:p w14:paraId="0259545E" w14:textId="77777777" w:rsidR="009702B0" w:rsidRPr="00321238" w:rsidRDefault="009702B0" w:rsidP="009702B0">
            <w:pPr>
              <w:tabs>
                <w:tab w:val="right" w:pos="1202"/>
              </w:tabs>
              <w:spacing w:after="0" w:line="220" w:lineRule="exact"/>
              <w:jc w:val="right"/>
              <w:outlineLvl w:val="0"/>
              <w:rPr>
                <w:rFonts w:eastAsia="Times New Roman" w:cs="Arial"/>
                <w:b/>
                <w:bCs/>
                <w:spacing w:val="-2"/>
                <w:sz w:val="18"/>
                <w:szCs w:val="18"/>
              </w:rPr>
            </w:pPr>
          </w:p>
        </w:tc>
        <w:tc>
          <w:tcPr>
            <w:tcW w:w="576" w:type="pct"/>
            <w:vAlign w:val="bottom"/>
          </w:tcPr>
          <w:p w14:paraId="38063F3D" w14:textId="77777777" w:rsidR="009702B0" w:rsidRPr="00321238" w:rsidRDefault="009702B0" w:rsidP="009702B0">
            <w:pPr>
              <w:tabs>
                <w:tab w:val="right" w:pos="1202"/>
              </w:tabs>
              <w:spacing w:after="0" w:line="220" w:lineRule="exact"/>
              <w:jc w:val="right"/>
              <w:outlineLvl w:val="0"/>
              <w:rPr>
                <w:rFonts w:eastAsia="Times New Roman" w:cs="Arial"/>
                <w:b/>
                <w:bCs/>
                <w:spacing w:val="-2"/>
                <w:sz w:val="18"/>
                <w:szCs w:val="18"/>
              </w:rPr>
            </w:pPr>
          </w:p>
        </w:tc>
      </w:tr>
      <w:tr w:rsidR="00D533A8" w:rsidRPr="00321238" w14:paraId="141C3FEB" w14:textId="77777777" w:rsidTr="006B318F">
        <w:trPr>
          <w:trHeight w:val="251"/>
        </w:trPr>
        <w:tc>
          <w:tcPr>
            <w:tcW w:w="1524" w:type="pct"/>
            <w:vAlign w:val="bottom"/>
          </w:tcPr>
          <w:p w14:paraId="4FA74B7E" w14:textId="77777777" w:rsidR="00D533A8" w:rsidRPr="00321238" w:rsidRDefault="00D533A8" w:rsidP="00D533A8">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 xml:space="preserve">Cash on hand and due from banks </w:t>
            </w:r>
          </w:p>
        </w:tc>
        <w:tc>
          <w:tcPr>
            <w:tcW w:w="581" w:type="pct"/>
            <w:tcBorders>
              <w:top w:val="nil"/>
              <w:left w:val="nil"/>
              <w:bottom w:val="nil"/>
              <w:right w:val="nil"/>
            </w:tcBorders>
            <w:shd w:val="clear" w:color="auto" w:fill="auto"/>
            <w:vAlign w:val="bottom"/>
          </w:tcPr>
          <w:p w14:paraId="60081117" w14:textId="0530B83D"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739</w:t>
            </w:r>
            <w:r>
              <w:rPr>
                <w:color w:val="000000"/>
                <w:sz w:val="18"/>
                <w:szCs w:val="18"/>
              </w:rPr>
              <w:t>,</w:t>
            </w:r>
            <w:r w:rsidRPr="001A09CA">
              <w:rPr>
                <w:color w:val="000000"/>
                <w:sz w:val="18"/>
                <w:szCs w:val="18"/>
              </w:rPr>
              <w:t>917</w:t>
            </w:r>
          </w:p>
        </w:tc>
        <w:tc>
          <w:tcPr>
            <w:tcW w:w="579" w:type="pct"/>
            <w:tcBorders>
              <w:top w:val="nil"/>
              <w:left w:val="nil"/>
              <w:bottom w:val="nil"/>
              <w:right w:val="nil"/>
            </w:tcBorders>
            <w:shd w:val="clear" w:color="auto" w:fill="auto"/>
            <w:vAlign w:val="bottom"/>
          </w:tcPr>
          <w:p w14:paraId="308483E9" w14:textId="3918BBDA"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w:t>
            </w:r>
          </w:p>
        </w:tc>
        <w:tc>
          <w:tcPr>
            <w:tcW w:w="580" w:type="pct"/>
            <w:tcBorders>
              <w:top w:val="nil"/>
              <w:left w:val="nil"/>
              <w:bottom w:val="nil"/>
              <w:right w:val="nil"/>
            </w:tcBorders>
            <w:shd w:val="clear" w:color="auto" w:fill="auto"/>
            <w:vAlign w:val="bottom"/>
          </w:tcPr>
          <w:p w14:paraId="66C55257" w14:textId="04EB5CCF"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w:t>
            </w:r>
          </w:p>
        </w:tc>
        <w:tc>
          <w:tcPr>
            <w:tcW w:w="579" w:type="pct"/>
            <w:tcBorders>
              <w:top w:val="nil"/>
              <w:left w:val="nil"/>
              <w:bottom w:val="nil"/>
              <w:right w:val="nil"/>
            </w:tcBorders>
            <w:shd w:val="clear" w:color="auto" w:fill="auto"/>
            <w:vAlign w:val="bottom"/>
          </w:tcPr>
          <w:p w14:paraId="3AF4C57F" w14:textId="54543708"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w:t>
            </w:r>
          </w:p>
        </w:tc>
        <w:tc>
          <w:tcPr>
            <w:tcW w:w="580" w:type="pct"/>
            <w:tcBorders>
              <w:top w:val="nil"/>
              <w:left w:val="nil"/>
              <w:bottom w:val="nil"/>
              <w:right w:val="nil"/>
            </w:tcBorders>
            <w:shd w:val="clear" w:color="auto" w:fill="auto"/>
            <w:vAlign w:val="bottom"/>
          </w:tcPr>
          <w:p w14:paraId="5B497692" w14:textId="3DD012D6"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w:t>
            </w:r>
          </w:p>
        </w:tc>
        <w:tc>
          <w:tcPr>
            <w:tcW w:w="576" w:type="pct"/>
            <w:tcBorders>
              <w:top w:val="nil"/>
              <w:left w:val="nil"/>
              <w:bottom w:val="nil"/>
              <w:right w:val="nil"/>
            </w:tcBorders>
            <w:shd w:val="clear" w:color="auto" w:fill="auto"/>
            <w:vAlign w:val="bottom"/>
          </w:tcPr>
          <w:p w14:paraId="2C56AC49" w14:textId="68DA7CDF"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739</w:t>
            </w:r>
            <w:r>
              <w:rPr>
                <w:color w:val="000000"/>
                <w:sz w:val="18"/>
                <w:szCs w:val="18"/>
              </w:rPr>
              <w:t>,</w:t>
            </w:r>
            <w:r w:rsidRPr="001A09CA">
              <w:rPr>
                <w:color w:val="000000"/>
                <w:sz w:val="18"/>
                <w:szCs w:val="18"/>
              </w:rPr>
              <w:t>917</w:t>
            </w:r>
          </w:p>
        </w:tc>
      </w:tr>
      <w:tr w:rsidR="00D533A8" w:rsidRPr="00321238" w14:paraId="59F771AB" w14:textId="77777777" w:rsidTr="006B318F">
        <w:trPr>
          <w:trHeight w:val="267"/>
        </w:trPr>
        <w:tc>
          <w:tcPr>
            <w:tcW w:w="1524" w:type="pct"/>
            <w:vAlign w:val="bottom"/>
          </w:tcPr>
          <w:p w14:paraId="1ACCD438" w14:textId="77777777" w:rsidR="00D533A8" w:rsidRPr="00321238" w:rsidRDefault="00D533A8" w:rsidP="00D533A8">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Deposits with other banks</w:t>
            </w:r>
          </w:p>
        </w:tc>
        <w:tc>
          <w:tcPr>
            <w:tcW w:w="581" w:type="pct"/>
            <w:tcBorders>
              <w:top w:val="nil"/>
              <w:left w:val="nil"/>
              <w:bottom w:val="nil"/>
              <w:right w:val="nil"/>
            </w:tcBorders>
            <w:shd w:val="clear" w:color="auto" w:fill="auto"/>
            <w:vAlign w:val="bottom"/>
          </w:tcPr>
          <w:p w14:paraId="3EF62483" w14:textId="04EAE889"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76</w:t>
            </w:r>
          </w:p>
        </w:tc>
        <w:tc>
          <w:tcPr>
            <w:tcW w:w="579" w:type="pct"/>
            <w:tcBorders>
              <w:top w:val="nil"/>
              <w:left w:val="nil"/>
              <w:bottom w:val="nil"/>
              <w:right w:val="nil"/>
            </w:tcBorders>
            <w:shd w:val="clear" w:color="auto" w:fill="auto"/>
            <w:vAlign w:val="bottom"/>
          </w:tcPr>
          <w:p w14:paraId="03E389F7" w14:textId="42E77B74"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w:t>
            </w:r>
          </w:p>
        </w:tc>
        <w:tc>
          <w:tcPr>
            <w:tcW w:w="580" w:type="pct"/>
            <w:tcBorders>
              <w:top w:val="nil"/>
              <w:left w:val="nil"/>
              <w:bottom w:val="nil"/>
              <w:right w:val="nil"/>
            </w:tcBorders>
            <w:shd w:val="clear" w:color="auto" w:fill="auto"/>
            <w:vAlign w:val="bottom"/>
          </w:tcPr>
          <w:p w14:paraId="4B306A13" w14:textId="4577F281"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w:t>
            </w:r>
          </w:p>
        </w:tc>
        <w:tc>
          <w:tcPr>
            <w:tcW w:w="579" w:type="pct"/>
            <w:tcBorders>
              <w:top w:val="nil"/>
              <w:left w:val="nil"/>
              <w:bottom w:val="nil"/>
              <w:right w:val="nil"/>
            </w:tcBorders>
            <w:shd w:val="clear" w:color="auto" w:fill="auto"/>
            <w:vAlign w:val="bottom"/>
          </w:tcPr>
          <w:p w14:paraId="1B622E3A" w14:textId="259F25E4"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w:t>
            </w:r>
          </w:p>
        </w:tc>
        <w:tc>
          <w:tcPr>
            <w:tcW w:w="580" w:type="pct"/>
            <w:tcBorders>
              <w:top w:val="nil"/>
              <w:left w:val="nil"/>
              <w:bottom w:val="nil"/>
              <w:right w:val="nil"/>
            </w:tcBorders>
            <w:shd w:val="clear" w:color="auto" w:fill="auto"/>
            <w:vAlign w:val="bottom"/>
          </w:tcPr>
          <w:p w14:paraId="209419F3" w14:textId="657D6C4D"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w:t>
            </w:r>
          </w:p>
        </w:tc>
        <w:tc>
          <w:tcPr>
            <w:tcW w:w="576" w:type="pct"/>
            <w:tcBorders>
              <w:top w:val="nil"/>
              <w:left w:val="nil"/>
              <w:bottom w:val="nil"/>
              <w:right w:val="nil"/>
            </w:tcBorders>
            <w:shd w:val="clear" w:color="auto" w:fill="auto"/>
            <w:vAlign w:val="bottom"/>
          </w:tcPr>
          <w:p w14:paraId="6CB43F90" w14:textId="393BF698"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76</w:t>
            </w:r>
          </w:p>
        </w:tc>
      </w:tr>
      <w:tr w:rsidR="00D533A8" w:rsidRPr="00321238" w14:paraId="3729F722" w14:textId="77777777" w:rsidTr="006B318F">
        <w:trPr>
          <w:trHeight w:val="267"/>
        </w:trPr>
        <w:tc>
          <w:tcPr>
            <w:tcW w:w="1524" w:type="pct"/>
            <w:vAlign w:val="bottom"/>
          </w:tcPr>
          <w:p w14:paraId="04D09ECB" w14:textId="77777777" w:rsidR="00D533A8" w:rsidRPr="00321238" w:rsidRDefault="00D533A8" w:rsidP="00D533A8">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Loans to financial institutions*</w:t>
            </w:r>
          </w:p>
        </w:tc>
        <w:tc>
          <w:tcPr>
            <w:tcW w:w="581" w:type="pct"/>
            <w:tcBorders>
              <w:top w:val="nil"/>
              <w:left w:val="nil"/>
              <w:bottom w:val="nil"/>
              <w:right w:val="nil"/>
            </w:tcBorders>
            <w:shd w:val="clear" w:color="auto" w:fill="auto"/>
            <w:vAlign w:val="bottom"/>
          </w:tcPr>
          <w:p w14:paraId="526873EA" w14:textId="3FAA0C87" w:rsidR="00D533A8" w:rsidRPr="00321238" w:rsidRDefault="00D533A8" w:rsidP="00D533A8">
            <w:pPr>
              <w:tabs>
                <w:tab w:val="right" w:pos="1202"/>
              </w:tabs>
              <w:spacing w:after="0" w:line="240" w:lineRule="exact"/>
              <w:jc w:val="right"/>
              <w:outlineLvl w:val="0"/>
              <w:rPr>
                <w:rFonts w:cs="Arial"/>
                <w:spacing w:val="-2"/>
                <w:sz w:val="18"/>
                <w:szCs w:val="18"/>
              </w:rPr>
            </w:pPr>
            <w:r>
              <w:rPr>
                <w:color w:val="000000"/>
                <w:sz w:val="18"/>
                <w:szCs w:val="18"/>
              </w:rPr>
              <w:t>989,428</w:t>
            </w:r>
          </w:p>
        </w:tc>
        <w:tc>
          <w:tcPr>
            <w:tcW w:w="579" w:type="pct"/>
            <w:tcBorders>
              <w:top w:val="nil"/>
              <w:left w:val="nil"/>
              <w:bottom w:val="nil"/>
              <w:right w:val="nil"/>
            </w:tcBorders>
            <w:shd w:val="clear" w:color="auto" w:fill="auto"/>
            <w:vAlign w:val="bottom"/>
          </w:tcPr>
          <w:p w14:paraId="0C33AB42" w14:textId="6412A3E5" w:rsidR="00D533A8" w:rsidRPr="00321238" w:rsidRDefault="00D533A8" w:rsidP="00D533A8">
            <w:pPr>
              <w:tabs>
                <w:tab w:val="right" w:pos="1202"/>
              </w:tabs>
              <w:spacing w:after="0" w:line="240" w:lineRule="exact"/>
              <w:jc w:val="right"/>
              <w:outlineLvl w:val="0"/>
              <w:rPr>
                <w:rFonts w:cs="Arial"/>
                <w:spacing w:val="-2"/>
                <w:sz w:val="18"/>
                <w:szCs w:val="18"/>
              </w:rPr>
            </w:pPr>
            <w:r>
              <w:rPr>
                <w:color w:val="000000"/>
                <w:sz w:val="18"/>
                <w:szCs w:val="18"/>
              </w:rPr>
              <w:t>1,052,929</w:t>
            </w:r>
          </w:p>
        </w:tc>
        <w:tc>
          <w:tcPr>
            <w:tcW w:w="580" w:type="pct"/>
            <w:tcBorders>
              <w:top w:val="nil"/>
              <w:left w:val="nil"/>
              <w:bottom w:val="nil"/>
              <w:right w:val="nil"/>
            </w:tcBorders>
            <w:shd w:val="clear" w:color="auto" w:fill="auto"/>
            <w:vAlign w:val="bottom"/>
          </w:tcPr>
          <w:p w14:paraId="353DAEE3" w14:textId="5AC7FDE5"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1</w:t>
            </w:r>
            <w:r>
              <w:rPr>
                <w:color w:val="000000"/>
                <w:sz w:val="18"/>
                <w:szCs w:val="18"/>
              </w:rPr>
              <w:t>,</w:t>
            </w:r>
            <w:r w:rsidRPr="001A09CA">
              <w:rPr>
                <w:color w:val="000000"/>
                <w:sz w:val="18"/>
                <w:szCs w:val="18"/>
              </w:rPr>
              <w:t>394</w:t>
            </w:r>
            <w:r>
              <w:rPr>
                <w:color w:val="000000"/>
                <w:sz w:val="18"/>
                <w:szCs w:val="18"/>
              </w:rPr>
              <w:t>,</w:t>
            </w:r>
            <w:r w:rsidRPr="001A09CA">
              <w:rPr>
                <w:color w:val="000000"/>
                <w:sz w:val="18"/>
                <w:szCs w:val="18"/>
              </w:rPr>
              <w:t>685</w:t>
            </w:r>
          </w:p>
        </w:tc>
        <w:tc>
          <w:tcPr>
            <w:tcW w:w="579" w:type="pct"/>
            <w:tcBorders>
              <w:top w:val="nil"/>
              <w:left w:val="nil"/>
              <w:bottom w:val="nil"/>
              <w:right w:val="nil"/>
            </w:tcBorders>
            <w:shd w:val="clear" w:color="auto" w:fill="auto"/>
            <w:vAlign w:val="bottom"/>
          </w:tcPr>
          <w:p w14:paraId="1A6AFEE1" w14:textId="6B0C0A1B"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2</w:t>
            </w:r>
            <w:r>
              <w:rPr>
                <w:color w:val="000000"/>
                <w:sz w:val="18"/>
                <w:szCs w:val="18"/>
              </w:rPr>
              <w:t>,</w:t>
            </w:r>
            <w:r w:rsidRPr="001A09CA">
              <w:rPr>
                <w:color w:val="000000"/>
                <w:sz w:val="18"/>
                <w:szCs w:val="18"/>
              </w:rPr>
              <w:t>949</w:t>
            </w:r>
            <w:r>
              <w:rPr>
                <w:color w:val="000000"/>
                <w:sz w:val="18"/>
                <w:szCs w:val="18"/>
              </w:rPr>
              <w:t>,</w:t>
            </w:r>
            <w:r w:rsidRPr="001A09CA">
              <w:rPr>
                <w:color w:val="000000"/>
                <w:sz w:val="18"/>
                <w:szCs w:val="18"/>
              </w:rPr>
              <w:t>319</w:t>
            </w:r>
          </w:p>
        </w:tc>
        <w:tc>
          <w:tcPr>
            <w:tcW w:w="580" w:type="pct"/>
            <w:tcBorders>
              <w:top w:val="nil"/>
              <w:left w:val="nil"/>
              <w:bottom w:val="nil"/>
              <w:right w:val="nil"/>
            </w:tcBorders>
            <w:shd w:val="clear" w:color="auto" w:fill="auto"/>
            <w:vAlign w:val="bottom"/>
          </w:tcPr>
          <w:p w14:paraId="15C0AAFF" w14:textId="4BA2F88B"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5</w:t>
            </w:r>
            <w:r>
              <w:rPr>
                <w:color w:val="000000"/>
                <w:sz w:val="18"/>
                <w:szCs w:val="18"/>
              </w:rPr>
              <w:t>,</w:t>
            </w:r>
            <w:r w:rsidRPr="001A09CA">
              <w:rPr>
                <w:color w:val="000000"/>
                <w:sz w:val="18"/>
                <w:szCs w:val="18"/>
              </w:rPr>
              <w:t>860</w:t>
            </w:r>
            <w:r>
              <w:rPr>
                <w:color w:val="000000"/>
                <w:sz w:val="18"/>
                <w:szCs w:val="18"/>
              </w:rPr>
              <w:t>,</w:t>
            </w:r>
            <w:r w:rsidRPr="001A09CA">
              <w:rPr>
                <w:color w:val="000000"/>
                <w:sz w:val="18"/>
                <w:szCs w:val="18"/>
              </w:rPr>
              <w:t>926</w:t>
            </w:r>
          </w:p>
        </w:tc>
        <w:tc>
          <w:tcPr>
            <w:tcW w:w="576" w:type="pct"/>
            <w:tcBorders>
              <w:top w:val="nil"/>
              <w:left w:val="nil"/>
              <w:bottom w:val="nil"/>
              <w:right w:val="nil"/>
            </w:tcBorders>
            <w:shd w:val="clear" w:color="auto" w:fill="auto"/>
            <w:vAlign w:val="bottom"/>
          </w:tcPr>
          <w:p w14:paraId="1B6CC764" w14:textId="18456ABA"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12</w:t>
            </w:r>
            <w:r>
              <w:rPr>
                <w:color w:val="000000"/>
                <w:sz w:val="18"/>
                <w:szCs w:val="18"/>
              </w:rPr>
              <w:t>,</w:t>
            </w:r>
            <w:r w:rsidRPr="001A09CA">
              <w:rPr>
                <w:color w:val="000000"/>
                <w:sz w:val="18"/>
                <w:szCs w:val="18"/>
              </w:rPr>
              <w:t>247</w:t>
            </w:r>
            <w:r>
              <w:rPr>
                <w:color w:val="000000"/>
                <w:sz w:val="18"/>
                <w:szCs w:val="18"/>
              </w:rPr>
              <w:t>,</w:t>
            </w:r>
            <w:r w:rsidRPr="001A09CA">
              <w:rPr>
                <w:color w:val="000000"/>
                <w:sz w:val="18"/>
                <w:szCs w:val="18"/>
              </w:rPr>
              <w:t>287</w:t>
            </w:r>
          </w:p>
        </w:tc>
      </w:tr>
      <w:tr w:rsidR="00D533A8" w:rsidRPr="00321238" w14:paraId="0B7DF44B" w14:textId="77777777" w:rsidTr="006B318F">
        <w:trPr>
          <w:trHeight w:val="251"/>
        </w:trPr>
        <w:tc>
          <w:tcPr>
            <w:tcW w:w="1524" w:type="pct"/>
            <w:vAlign w:val="bottom"/>
          </w:tcPr>
          <w:p w14:paraId="5FFAA8D8" w14:textId="77777777" w:rsidR="00D533A8" w:rsidRPr="00321238" w:rsidRDefault="00D533A8" w:rsidP="00D533A8">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Loans to other customers</w:t>
            </w:r>
          </w:p>
        </w:tc>
        <w:tc>
          <w:tcPr>
            <w:tcW w:w="581" w:type="pct"/>
            <w:tcBorders>
              <w:top w:val="nil"/>
              <w:left w:val="nil"/>
              <w:bottom w:val="nil"/>
              <w:right w:val="nil"/>
            </w:tcBorders>
            <w:shd w:val="clear" w:color="auto" w:fill="auto"/>
            <w:vAlign w:val="bottom"/>
          </w:tcPr>
          <w:p w14:paraId="2E2C49FA" w14:textId="42617362"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1</w:t>
            </w:r>
            <w:r>
              <w:rPr>
                <w:color w:val="000000"/>
                <w:sz w:val="18"/>
                <w:szCs w:val="18"/>
              </w:rPr>
              <w:t>,</w:t>
            </w:r>
            <w:r w:rsidRPr="001A09CA">
              <w:rPr>
                <w:color w:val="000000"/>
                <w:sz w:val="18"/>
                <w:szCs w:val="18"/>
              </w:rPr>
              <w:t>972</w:t>
            </w:r>
            <w:r>
              <w:rPr>
                <w:color w:val="000000"/>
                <w:sz w:val="18"/>
                <w:szCs w:val="18"/>
              </w:rPr>
              <w:t>,</w:t>
            </w:r>
            <w:r w:rsidRPr="001A09CA">
              <w:rPr>
                <w:color w:val="000000"/>
                <w:sz w:val="18"/>
                <w:szCs w:val="18"/>
              </w:rPr>
              <w:t>564</w:t>
            </w:r>
          </w:p>
        </w:tc>
        <w:tc>
          <w:tcPr>
            <w:tcW w:w="579" w:type="pct"/>
            <w:tcBorders>
              <w:top w:val="nil"/>
              <w:left w:val="nil"/>
              <w:bottom w:val="nil"/>
              <w:right w:val="nil"/>
            </w:tcBorders>
            <w:shd w:val="clear" w:color="auto" w:fill="auto"/>
            <w:vAlign w:val="bottom"/>
          </w:tcPr>
          <w:p w14:paraId="741EB7AF" w14:textId="704A6052"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207</w:t>
            </w:r>
            <w:r>
              <w:rPr>
                <w:color w:val="000000"/>
                <w:sz w:val="18"/>
                <w:szCs w:val="18"/>
              </w:rPr>
              <w:t>,</w:t>
            </w:r>
            <w:r w:rsidRPr="001A09CA">
              <w:rPr>
                <w:color w:val="000000"/>
                <w:sz w:val="18"/>
                <w:szCs w:val="18"/>
              </w:rPr>
              <w:t>291</w:t>
            </w:r>
          </w:p>
        </w:tc>
        <w:tc>
          <w:tcPr>
            <w:tcW w:w="580" w:type="pct"/>
            <w:tcBorders>
              <w:top w:val="nil"/>
              <w:left w:val="nil"/>
              <w:bottom w:val="nil"/>
              <w:right w:val="nil"/>
            </w:tcBorders>
            <w:shd w:val="clear" w:color="auto" w:fill="auto"/>
            <w:vAlign w:val="bottom"/>
          </w:tcPr>
          <w:p w14:paraId="5979B9CC" w14:textId="53DF92DD"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889</w:t>
            </w:r>
            <w:r>
              <w:rPr>
                <w:color w:val="000000"/>
                <w:sz w:val="18"/>
                <w:szCs w:val="18"/>
              </w:rPr>
              <w:t>,</w:t>
            </w:r>
            <w:r w:rsidRPr="001A09CA">
              <w:rPr>
                <w:color w:val="000000"/>
                <w:sz w:val="18"/>
                <w:szCs w:val="18"/>
              </w:rPr>
              <w:t>924</w:t>
            </w:r>
          </w:p>
        </w:tc>
        <w:tc>
          <w:tcPr>
            <w:tcW w:w="579" w:type="pct"/>
            <w:tcBorders>
              <w:top w:val="nil"/>
              <w:left w:val="nil"/>
              <w:bottom w:val="nil"/>
              <w:right w:val="nil"/>
            </w:tcBorders>
            <w:shd w:val="clear" w:color="auto" w:fill="auto"/>
            <w:vAlign w:val="bottom"/>
          </w:tcPr>
          <w:p w14:paraId="2DD99F74" w14:textId="3BE01CEA"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1</w:t>
            </w:r>
            <w:r>
              <w:rPr>
                <w:color w:val="000000"/>
                <w:sz w:val="18"/>
                <w:szCs w:val="18"/>
              </w:rPr>
              <w:t>,</w:t>
            </w:r>
            <w:r w:rsidRPr="001A09CA">
              <w:rPr>
                <w:color w:val="000000"/>
                <w:sz w:val="18"/>
                <w:szCs w:val="18"/>
              </w:rPr>
              <w:t>963</w:t>
            </w:r>
            <w:r>
              <w:rPr>
                <w:color w:val="000000"/>
                <w:sz w:val="18"/>
                <w:szCs w:val="18"/>
              </w:rPr>
              <w:t>,</w:t>
            </w:r>
            <w:r w:rsidRPr="001A09CA">
              <w:rPr>
                <w:color w:val="000000"/>
                <w:sz w:val="18"/>
                <w:szCs w:val="18"/>
              </w:rPr>
              <w:t>395</w:t>
            </w:r>
          </w:p>
        </w:tc>
        <w:tc>
          <w:tcPr>
            <w:tcW w:w="580" w:type="pct"/>
            <w:tcBorders>
              <w:top w:val="nil"/>
              <w:left w:val="nil"/>
              <w:bottom w:val="nil"/>
              <w:right w:val="nil"/>
            </w:tcBorders>
            <w:shd w:val="clear" w:color="auto" w:fill="auto"/>
            <w:vAlign w:val="bottom"/>
          </w:tcPr>
          <w:p w14:paraId="10C6DE8A" w14:textId="6A9F0369"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6</w:t>
            </w:r>
            <w:r>
              <w:rPr>
                <w:color w:val="000000"/>
                <w:sz w:val="18"/>
                <w:szCs w:val="18"/>
              </w:rPr>
              <w:t>,</w:t>
            </w:r>
            <w:r w:rsidRPr="001A09CA">
              <w:rPr>
                <w:color w:val="000000"/>
                <w:sz w:val="18"/>
                <w:szCs w:val="18"/>
              </w:rPr>
              <w:t>880</w:t>
            </w:r>
            <w:r>
              <w:rPr>
                <w:color w:val="000000"/>
                <w:sz w:val="18"/>
                <w:szCs w:val="18"/>
              </w:rPr>
              <w:t>,</w:t>
            </w:r>
            <w:r w:rsidRPr="001A09CA">
              <w:rPr>
                <w:color w:val="000000"/>
                <w:sz w:val="18"/>
                <w:szCs w:val="18"/>
              </w:rPr>
              <w:t>038</w:t>
            </w:r>
          </w:p>
        </w:tc>
        <w:tc>
          <w:tcPr>
            <w:tcW w:w="576" w:type="pct"/>
            <w:tcBorders>
              <w:top w:val="nil"/>
              <w:left w:val="nil"/>
              <w:bottom w:val="nil"/>
              <w:right w:val="nil"/>
            </w:tcBorders>
            <w:shd w:val="clear" w:color="auto" w:fill="auto"/>
            <w:vAlign w:val="bottom"/>
          </w:tcPr>
          <w:p w14:paraId="38540CDB" w14:textId="663E3E24"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11</w:t>
            </w:r>
            <w:r>
              <w:rPr>
                <w:color w:val="000000"/>
                <w:sz w:val="18"/>
                <w:szCs w:val="18"/>
              </w:rPr>
              <w:t>,</w:t>
            </w:r>
            <w:r w:rsidRPr="001A09CA">
              <w:rPr>
                <w:color w:val="000000"/>
                <w:sz w:val="18"/>
                <w:szCs w:val="18"/>
              </w:rPr>
              <w:t>913</w:t>
            </w:r>
            <w:r>
              <w:rPr>
                <w:color w:val="000000"/>
                <w:sz w:val="18"/>
                <w:szCs w:val="18"/>
              </w:rPr>
              <w:t>,</w:t>
            </w:r>
            <w:r w:rsidRPr="001A09CA">
              <w:rPr>
                <w:color w:val="000000"/>
                <w:sz w:val="18"/>
                <w:szCs w:val="18"/>
              </w:rPr>
              <w:t>212</w:t>
            </w:r>
          </w:p>
        </w:tc>
      </w:tr>
      <w:tr w:rsidR="00D533A8" w:rsidRPr="00321238" w14:paraId="37451AF1" w14:textId="77777777" w:rsidTr="006B318F">
        <w:trPr>
          <w:trHeight w:val="487"/>
        </w:trPr>
        <w:tc>
          <w:tcPr>
            <w:tcW w:w="1524" w:type="pct"/>
            <w:vAlign w:val="bottom"/>
          </w:tcPr>
          <w:p w14:paraId="7A11A6B4" w14:textId="77777777" w:rsidR="00D533A8" w:rsidRPr="00321238" w:rsidRDefault="00D533A8" w:rsidP="00D533A8">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Financial assets at fair value through profit or loss</w:t>
            </w:r>
          </w:p>
        </w:tc>
        <w:tc>
          <w:tcPr>
            <w:tcW w:w="581" w:type="pct"/>
            <w:tcBorders>
              <w:top w:val="nil"/>
              <w:left w:val="nil"/>
              <w:bottom w:val="nil"/>
              <w:right w:val="nil"/>
            </w:tcBorders>
            <w:shd w:val="clear" w:color="auto" w:fill="auto"/>
            <w:vAlign w:val="bottom"/>
          </w:tcPr>
          <w:p w14:paraId="12352FD8" w14:textId="7CE2CEBB"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288</w:t>
            </w:r>
          </w:p>
        </w:tc>
        <w:tc>
          <w:tcPr>
            <w:tcW w:w="579" w:type="pct"/>
            <w:tcBorders>
              <w:top w:val="nil"/>
              <w:left w:val="nil"/>
              <w:bottom w:val="nil"/>
              <w:right w:val="nil"/>
            </w:tcBorders>
            <w:shd w:val="clear" w:color="auto" w:fill="auto"/>
            <w:vAlign w:val="bottom"/>
          </w:tcPr>
          <w:p w14:paraId="1D792D0A" w14:textId="2421CC1A"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w:t>
            </w:r>
          </w:p>
        </w:tc>
        <w:tc>
          <w:tcPr>
            <w:tcW w:w="580" w:type="pct"/>
            <w:tcBorders>
              <w:top w:val="nil"/>
              <w:left w:val="nil"/>
              <w:bottom w:val="nil"/>
              <w:right w:val="nil"/>
            </w:tcBorders>
            <w:shd w:val="clear" w:color="auto" w:fill="auto"/>
            <w:vAlign w:val="bottom"/>
          </w:tcPr>
          <w:p w14:paraId="4CC19B9E" w14:textId="3F9FD823"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w:t>
            </w:r>
          </w:p>
        </w:tc>
        <w:tc>
          <w:tcPr>
            <w:tcW w:w="579" w:type="pct"/>
            <w:tcBorders>
              <w:top w:val="nil"/>
              <w:left w:val="nil"/>
              <w:bottom w:val="nil"/>
              <w:right w:val="nil"/>
            </w:tcBorders>
            <w:shd w:val="clear" w:color="auto" w:fill="auto"/>
            <w:vAlign w:val="bottom"/>
          </w:tcPr>
          <w:p w14:paraId="3A7BE513" w14:textId="7233969F"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w:t>
            </w:r>
          </w:p>
        </w:tc>
        <w:tc>
          <w:tcPr>
            <w:tcW w:w="580" w:type="pct"/>
            <w:tcBorders>
              <w:top w:val="nil"/>
              <w:left w:val="nil"/>
              <w:bottom w:val="nil"/>
              <w:right w:val="nil"/>
            </w:tcBorders>
            <w:shd w:val="clear" w:color="auto" w:fill="auto"/>
            <w:vAlign w:val="bottom"/>
          </w:tcPr>
          <w:p w14:paraId="3E0FDA3A" w14:textId="40263EC8"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w:t>
            </w:r>
          </w:p>
        </w:tc>
        <w:tc>
          <w:tcPr>
            <w:tcW w:w="576" w:type="pct"/>
            <w:tcBorders>
              <w:top w:val="nil"/>
              <w:left w:val="nil"/>
              <w:bottom w:val="nil"/>
              <w:right w:val="nil"/>
            </w:tcBorders>
            <w:shd w:val="clear" w:color="auto" w:fill="auto"/>
            <w:vAlign w:val="bottom"/>
          </w:tcPr>
          <w:p w14:paraId="0133B220" w14:textId="16436396"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288</w:t>
            </w:r>
          </w:p>
        </w:tc>
      </w:tr>
      <w:tr w:rsidR="00D533A8" w:rsidRPr="00321238" w14:paraId="56790099" w14:textId="77777777" w:rsidTr="006B318F">
        <w:trPr>
          <w:trHeight w:val="251"/>
        </w:trPr>
        <w:tc>
          <w:tcPr>
            <w:tcW w:w="1524" w:type="pct"/>
            <w:vAlign w:val="bottom"/>
          </w:tcPr>
          <w:p w14:paraId="7127548F" w14:textId="77777777" w:rsidR="00D533A8" w:rsidRPr="00321238" w:rsidRDefault="00D533A8" w:rsidP="00D533A8">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Assets available for sale</w:t>
            </w:r>
          </w:p>
        </w:tc>
        <w:tc>
          <w:tcPr>
            <w:tcW w:w="581" w:type="pct"/>
            <w:tcBorders>
              <w:top w:val="nil"/>
              <w:left w:val="nil"/>
              <w:bottom w:val="nil"/>
              <w:right w:val="nil"/>
            </w:tcBorders>
            <w:shd w:val="clear" w:color="auto" w:fill="auto"/>
            <w:vAlign w:val="bottom"/>
          </w:tcPr>
          <w:p w14:paraId="0CE3E26C" w14:textId="2F22D4BC" w:rsidR="00D533A8" w:rsidRPr="00321238" w:rsidRDefault="00D533A8" w:rsidP="00D533A8">
            <w:pPr>
              <w:spacing w:after="0" w:line="240" w:lineRule="exact"/>
              <w:jc w:val="right"/>
              <w:outlineLvl w:val="0"/>
              <w:rPr>
                <w:rFonts w:cs="Arial"/>
                <w:bCs/>
                <w:color w:val="000000"/>
                <w:sz w:val="18"/>
                <w:szCs w:val="18"/>
                <w:lang w:eastAsia="hr-HR"/>
              </w:rPr>
            </w:pPr>
            <w:r w:rsidRPr="001A09CA">
              <w:rPr>
                <w:color w:val="000000"/>
                <w:sz w:val="18"/>
                <w:szCs w:val="18"/>
              </w:rPr>
              <w:t>3</w:t>
            </w:r>
            <w:r>
              <w:rPr>
                <w:color w:val="000000"/>
                <w:sz w:val="18"/>
                <w:szCs w:val="18"/>
              </w:rPr>
              <w:t>,</w:t>
            </w:r>
            <w:r w:rsidRPr="001A09CA">
              <w:rPr>
                <w:color w:val="000000"/>
                <w:sz w:val="18"/>
                <w:szCs w:val="18"/>
              </w:rPr>
              <w:t>303</w:t>
            </w:r>
            <w:r>
              <w:rPr>
                <w:color w:val="000000"/>
                <w:sz w:val="18"/>
                <w:szCs w:val="18"/>
              </w:rPr>
              <w:t>,</w:t>
            </w:r>
            <w:r w:rsidRPr="001A09CA">
              <w:rPr>
                <w:color w:val="000000"/>
                <w:sz w:val="18"/>
                <w:szCs w:val="18"/>
              </w:rPr>
              <w:t>536</w:t>
            </w:r>
          </w:p>
        </w:tc>
        <w:tc>
          <w:tcPr>
            <w:tcW w:w="579" w:type="pct"/>
            <w:tcBorders>
              <w:top w:val="nil"/>
              <w:left w:val="nil"/>
              <w:bottom w:val="nil"/>
              <w:right w:val="nil"/>
            </w:tcBorders>
            <w:shd w:val="clear" w:color="auto" w:fill="auto"/>
            <w:vAlign w:val="bottom"/>
          </w:tcPr>
          <w:p w14:paraId="1D71EF13" w14:textId="58794227" w:rsidR="00D533A8" w:rsidRPr="00321238" w:rsidRDefault="00D533A8" w:rsidP="00D533A8">
            <w:pPr>
              <w:spacing w:after="0" w:line="240" w:lineRule="exact"/>
              <w:jc w:val="right"/>
              <w:outlineLvl w:val="0"/>
              <w:rPr>
                <w:rFonts w:cs="Arial"/>
                <w:bCs/>
                <w:color w:val="000000"/>
                <w:sz w:val="18"/>
                <w:szCs w:val="18"/>
                <w:lang w:eastAsia="hr-HR"/>
              </w:rPr>
            </w:pPr>
            <w:r w:rsidRPr="001A09CA">
              <w:rPr>
                <w:color w:val="000000"/>
                <w:sz w:val="18"/>
                <w:szCs w:val="18"/>
              </w:rPr>
              <w:t>10</w:t>
            </w:r>
            <w:r>
              <w:rPr>
                <w:color w:val="000000"/>
                <w:sz w:val="18"/>
                <w:szCs w:val="18"/>
              </w:rPr>
              <w:t>,</w:t>
            </w:r>
            <w:r w:rsidRPr="001A09CA">
              <w:rPr>
                <w:color w:val="000000"/>
                <w:sz w:val="18"/>
                <w:szCs w:val="18"/>
              </w:rPr>
              <w:t>269</w:t>
            </w:r>
          </w:p>
        </w:tc>
        <w:tc>
          <w:tcPr>
            <w:tcW w:w="580" w:type="pct"/>
            <w:tcBorders>
              <w:top w:val="nil"/>
              <w:left w:val="nil"/>
              <w:bottom w:val="nil"/>
              <w:right w:val="nil"/>
            </w:tcBorders>
            <w:shd w:val="clear" w:color="auto" w:fill="auto"/>
            <w:vAlign w:val="bottom"/>
          </w:tcPr>
          <w:p w14:paraId="36ED7B54" w14:textId="3EEBC987" w:rsidR="00D533A8" w:rsidRPr="00321238" w:rsidRDefault="00D533A8" w:rsidP="00D533A8">
            <w:pPr>
              <w:spacing w:after="0" w:line="240" w:lineRule="exact"/>
              <w:jc w:val="right"/>
              <w:outlineLvl w:val="0"/>
              <w:rPr>
                <w:rFonts w:cs="Arial"/>
                <w:bCs/>
                <w:color w:val="000000"/>
                <w:sz w:val="18"/>
                <w:szCs w:val="18"/>
                <w:lang w:eastAsia="hr-HR"/>
              </w:rPr>
            </w:pPr>
            <w:r w:rsidRPr="001A09CA">
              <w:rPr>
                <w:color w:val="000000"/>
                <w:sz w:val="18"/>
                <w:szCs w:val="18"/>
              </w:rPr>
              <w:t>240</w:t>
            </w:r>
          </w:p>
        </w:tc>
        <w:tc>
          <w:tcPr>
            <w:tcW w:w="579" w:type="pct"/>
            <w:tcBorders>
              <w:top w:val="nil"/>
              <w:left w:val="nil"/>
              <w:bottom w:val="nil"/>
              <w:right w:val="nil"/>
            </w:tcBorders>
            <w:shd w:val="clear" w:color="auto" w:fill="auto"/>
            <w:vAlign w:val="bottom"/>
          </w:tcPr>
          <w:p w14:paraId="4FA10DAC" w14:textId="769F2771" w:rsidR="00D533A8" w:rsidRPr="00321238" w:rsidRDefault="00D533A8" w:rsidP="00D533A8">
            <w:pPr>
              <w:spacing w:after="0" w:line="240" w:lineRule="exact"/>
              <w:jc w:val="right"/>
              <w:outlineLvl w:val="0"/>
              <w:rPr>
                <w:rFonts w:cs="Arial"/>
                <w:bCs/>
                <w:color w:val="000000"/>
                <w:sz w:val="18"/>
                <w:szCs w:val="18"/>
                <w:lang w:eastAsia="hr-HR"/>
              </w:rPr>
            </w:pPr>
            <w:r w:rsidRPr="001A09CA">
              <w:rPr>
                <w:color w:val="000000"/>
                <w:sz w:val="18"/>
                <w:szCs w:val="18"/>
              </w:rPr>
              <w:t>-</w:t>
            </w:r>
          </w:p>
        </w:tc>
        <w:tc>
          <w:tcPr>
            <w:tcW w:w="580" w:type="pct"/>
            <w:tcBorders>
              <w:top w:val="nil"/>
              <w:left w:val="nil"/>
              <w:bottom w:val="nil"/>
              <w:right w:val="nil"/>
            </w:tcBorders>
            <w:shd w:val="clear" w:color="auto" w:fill="auto"/>
            <w:vAlign w:val="bottom"/>
          </w:tcPr>
          <w:p w14:paraId="70965640" w14:textId="52B90D5D" w:rsidR="00D533A8" w:rsidRPr="00321238" w:rsidRDefault="00D533A8" w:rsidP="00D533A8">
            <w:pPr>
              <w:spacing w:after="0" w:line="240" w:lineRule="exact"/>
              <w:jc w:val="right"/>
              <w:outlineLvl w:val="0"/>
              <w:rPr>
                <w:rFonts w:cs="Arial"/>
                <w:bCs/>
                <w:color w:val="000000"/>
                <w:sz w:val="18"/>
                <w:szCs w:val="18"/>
                <w:lang w:eastAsia="hr-HR"/>
              </w:rPr>
            </w:pPr>
            <w:r w:rsidRPr="001A09CA">
              <w:rPr>
                <w:color w:val="000000"/>
                <w:sz w:val="18"/>
                <w:szCs w:val="18"/>
              </w:rPr>
              <w:t>-</w:t>
            </w:r>
          </w:p>
        </w:tc>
        <w:tc>
          <w:tcPr>
            <w:tcW w:w="576" w:type="pct"/>
            <w:tcBorders>
              <w:top w:val="nil"/>
              <w:left w:val="nil"/>
              <w:bottom w:val="nil"/>
              <w:right w:val="nil"/>
            </w:tcBorders>
            <w:shd w:val="clear" w:color="auto" w:fill="auto"/>
            <w:vAlign w:val="bottom"/>
          </w:tcPr>
          <w:p w14:paraId="5277BC20" w14:textId="1D1AE2A5" w:rsidR="00D533A8" w:rsidRPr="00321238" w:rsidRDefault="00D533A8" w:rsidP="00D533A8">
            <w:pPr>
              <w:spacing w:after="0" w:line="240" w:lineRule="exact"/>
              <w:jc w:val="right"/>
              <w:outlineLvl w:val="0"/>
              <w:rPr>
                <w:rFonts w:cs="Arial"/>
                <w:bCs/>
                <w:color w:val="000000"/>
                <w:sz w:val="18"/>
                <w:szCs w:val="18"/>
                <w:lang w:eastAsia="hr-HR"/>
              </w:rPr>
            </w:pPr>
            <w:r w:rsidRPr="001A09CA">
              <w:rPr>
                <w:color w:val="000000"/>
                <w:sz w:val="18"/>
                <w:szCs w:val="18"/>
              </w:rPr>
              <w:t>3</w:t>
            </w:r>
            <w:r>
              <w:rPr>
                <w:color w:val="000000"/>
                <w:sz w:val="18"/>
                <w:szCs w:val="18"/>
              </w:rPr>
              <w:t>,</w:t>
            </w:r>
            <w:r w:rsidRPr="001A09CA">
              <w:rPr>
                <w:color w:val="000000"/>
                <w:sz w:val="18"/>
                <w:szCs w:val="18"/>
              </w:rPr>
              <w:t>314</w:t>
            </w:r>
            <w:r>
              <w:rPr>
                <w:color w:val="000000"/>
                <w:sz w:val="18"/>
                <w:szCs w:val="18"/>
              </w:rPr>
              <w:t>,</w:t>
            </w:r>
            <w:r w:rsidRPr="001A09CA">
              <w:rPr>
                <w:color w:val="000000"/>
                <w:sz w:val="18"/>
                <w:szCs w:val="18"/>
              </w:rPr>
              <w:t>045</w:t>
            </w:r>
          </w:p>
        </w:tc>
      </w:tr>
      <w:tr w:rsidR="00D533A8" w:rsidRPr="00321238" w14:paraId="38E99E55" w14:textId="77777777" w:rsidTr="006B318F">
        <w:trPr>
          <w:trHeight w:val="267"/>
        </w:trPr>
        <w:tc>
          <w:tcPr>
            <w:tcW w:w="1524" w:type="pct"/>
            <w:vAlign w:val="bottom"/>
          </w:tcPr>
          <w:p w14:paraId="7B18D9C6" w14:textId="77777777" w:rsidR="00D533A8" w:rsidRPr="00321238" w:rsidRDefault="00D533A8" w:rsidP="00D533A8">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Assets held to maturity</w:t>
            </w:r>
          </w:p>
        </w:tc>
        <w:tc>
          <w:tcPr>
            <w:tcW w:w="581" w:type="pct"/>
            <w:tcBorders>
              <w:top w:val="nil"/>
              <w:left w:val="nil"/>
              <w:bottom w:val="nil"/>
              <w:right w:val="nil"/>
            </w:tcBorders>
            <w:shd w:val="clear" w:color="auto" w:fill="auto"/>
            <w:vAlign w:val="bottom"/>
          </w:tcPr>
          <w:p w14:paraId="03678C3A" w14:textId="2B7590EF" w:rsidR="00D533A8" w:rsidRPr="00321238" w:rsidRDefault="00D533A8" w:rsidP="00D533A8">
            <w:pPr>
              <w:spacing w:after="0" w:line="240" w:lineRule="exact"/>
              <w:jc w:val="right"/>
              <w:outlineLvl w:val="0"/>
              <w:rPr>
                <w:rFonts w:cs="Arial"/>
                <w:bCs/>
                <w:color w:val="000000"/>
                <w:sz w:val="18"/>
                <w:szCs w:val="18"/>
                <w:lang w:eastAsia="hr-HR"/>
              </w:rPr>
            </w:pPr>
            <w:r w:rsidRPr="001A09CA">
              <w:rPr>
                <w:color w:val="000000"/>
                <w:sz w:val="18"/>
                <w:szCs w:val="18"/>
              </w:rPr>
              <w:t>-</w:t>
            </w:r>
          </w:p>
        </w:tc>
        <w:tc>
          <w:tcPr>
            <w:tcW w:w="579" w:type="pct"/>
            <w:tcBorders>
              <w:top w:val="nil"/>
              <w:left w:val="nil"/>
              <w:bottom w:val="nil"/>
              <w:right w:val="nil"/>
            </w:tcBorders>
            <w:shd w:val="clear" w:color="auto" w:fill="auto"/>
            <w:vAlign w:val="bottom"/>
          </w:tcPr>
          <w:p w14:paraId="367B33F6" w14:textId="5845F51E" w:rsidR="00D533A8" w:rsidRPr="00321238" w:rsidRDefault="00D533A8" w:rsidP="00D533A8">
            <w:pPr>
              <w:spacing w:after="0" w:line="240" w:lineRule="exact"/>
              <w:jc w:val="right"/>
              <w:outlineLvl w:val="0"/>
              <w:rPr>
                <w:rFonts w:cs="Arial"/>
                <w:bCs/>
                <w:color w:val="000000"/>
                <w:sz w:val="18"/>
                <w:szCs w:val="18"/>
                <w:lang w:eastAsia="hr-HR"/>
              </w:rPr>
            </w:pPr>
            <w:r w:rsidRPr="001A09CA">
              <w:rPr>
                <w:color w:val="000000"/>
                <w:sz w:val="18"/>
                <w:szCs w:val="18"/>
              </w:rPr>
              <w:t>16</w:t>
            </w:r>
          </w:p>
        </w:tc>
        <w:tc>
          <w:tcPr>
            <w:tcW w:w="580" w:type="pct"/>
            <w:tcBorders>
              <w:top w:val="nil"/>
              <w:left w:val="nil"/>
              <w:bottom w:val="nil"/>
              <w:right w:val="nil"/>
            </w:tcBorders>
            <w:shd w:val="clear" w:color="auto" w:fill="auto"/>
            <w:vAlign w:val="bottom"/>
          </w:tcPr>
          <w:p w14:paraId="2F852242" w14:textId="5C3230C6" w:rsidR="00D533A8" w:rsidRPr="00321238" w:rsidRDefault="00D533A8" w:rsidP="00D533A8">
            <w:pPr>
              <w:spacing w:after="0" w:line="240" w:lineRule="exact"/>
              <w:jc w:val="right"/>
              <w:outlineLvl w:val="0"/>
              <w:rPr>
                <w:rFonts w:cs="Arial"/>
                <w:bCs/>
                <w:color w:val="000000"/>
                <w:sz w:val="18"/>
                <w:szCs w:val="18"/>
                <w:lang w:eastAsia="hr-HR"/>
              </w:rPr>
            </w:pPr>
            <w:r w:rsidRPr="001A09CA">
              <w:rPr>
                <w:color w:val="000000"/>
                <w:sz w:val="18"/>
                <w:szCs w:val="18"/>
              </w:rPr>
              <w:t>2</w:t>
            </w:r>
          </w:p>
        </w:tc>
        <w:tc>
          <w:tcPr>
            <w:tcW w:w="579" w:type="pct"/>
            <w:tcBorders>
              <w:top w:val="nil"/>
              <w:left w:val="nil"/>
              <w:bottom w:val="nil"/>
              <w:right w:val="nil"/>
            </w:tcBorders>
            <w:shd w:val="clear" w:color="auto" w:fill="auto"/>
            <w:vAlign w:val="bottom"/>
          </w:tcPr>
          <w:p w14:paraId="2180192B" w14:textId="0ED96701" w:rsidR="00D533A8" w:rsidRPr="00321238" w:rsidRDefault="00D533A8" w:rsidP="00D533A8">
            <w:pPr>
              <w:spacing w:after="0" w:line="240" w:lineRule="exact"/>
              <w:jc w:val="right"/>
              <w:outlineLvl w:val="0"/>
              <w:rPr>
                <w:rFonts w:cs="Arial"/>
                <w:bCs/>
                <w:color w:val="000000"/>
                <w:sz w:val="18"/>
                <w:szCs w:val="18"/>
                <w:lang w:eastAsia="hr-HR"/>
              </w:rPr>
            </w:pPr>
            <w:r w:rsidRPr="001A09CA">
              <w:rPr>
                <w:color w:val="000000"/>
                <w:sz w:val="18"/>
                <w:szCs w:val="18"/>
              </w:rPr>
              <w:t>-</w:t>
            </w:r>
          </w:p>
        </w:tc>
        <w:tc>
          <w:tcPr>
            <w:tcW w:w="580" w:type="pct"/>
            <w:tcBorders>
              <w:top w:val="nil"/>
              <w:left w:val="nil"/>
              <w:bottom w:val="nil"/>
              <w:right w:val="nil"/>
            </w:tcBorders>
            <w:shd w:val="clear" w:color="auto" w:fill="auto"/>
            <w:vAlign w:val="bottom"/>
          </w:tcPr>
          <w:p w14:paraId="4A523C45" w14:textId="0912182F" w:rsidR="00D533A8" w:rsidRPr="00321238" w:rsidRDefault="00D533A8" w:rsidP="00D533A8">
            <w:pPr>
              <w:spacing w:after="0" w:line="240" w:lineRule="exact"/>
              <w:jc w:val="right"/>
              <w:outlineLvl w:val="0"/>
              <w:rPr>
                <w:rFonts w:cs="Arial"/>
                <w:bCs/>
                <w:color w:val="000000"/>
                <w:sz w:val="18"/>
                <w:szCs w:val="18"/>
                <w:lang w:eastAsia="hr-HR"/>
              </w:rPr>
            </w:pPr>
            <w:r w:rsidRPr="001A09CA">
              <w:rPr>
                <w:color w:val="000000"/>
                <w:sz w:val="18"/>
                <w:szCs w:val="18"/>
              </w:rPr>
              <w:t>1</w:t>
            </w:r>
            <w:r>
              <w:rPr>
                <w:color w:val="000000"/>
                <w:sz w:val="18"/>
                <w:szCs w:val="18"/>
              </w:rPr>
              <w:t>,</w:t>
            </w:r>
            <w:r w:rsidRPr="001A09CA">
              <w:rPr>
                <w:color w:val="000000"/>
                <w:sz w:val="18"/>
                <w:szCs w:val="18"/>
              </w:rPr>
              <w:t>386</w:t>
            </w:r>
          </w:p>
        </w:tc>
        <w:tc>
          <w:tcPr>
            <w:tcW w:w="576" w:type="pct"/>
            <w:tcBorders>
              <w:top w:val="nil"/>
              <w:left w:val="nil"/>
              <w:bottom w:val="nil"/>
              <w:right w:val="nil"/>
            </w:tcBorders>
            <w:shd w:val="clear" w:color="auto" w:fill="auto"/>
            <w:vAlign w:val="bottom"/>
          </w:tcPr>
          <w:p w14:paraId="4FDEFF01" w14:textId="0C80370C" w:rsidR="00D533A8" w:rsidRPr="00321238" w:rsidRDefault="00D533A8" w:rsidP="00D533A8">
            <w:pPr>
              <w:spacing w:after="0" w:line="240" w:lineRule="exact"/>
              <w:jc w:val="right"/>
              <w:outlineLvl w:val="0"/>
              <w:rPr>
                <w:rFonts w:cs="Arial"/>
                <w:bCs/>
                <w:color w:val="000000"/>
                <w:sz w:val="18"/>
                <w:szCs w:val="18"/>
                <w:lang w:eastAsia="hr-HR"/>
              </w:rPr>
            </w:pPr>
            <w:r w:rsidRPr="001A09CA">
              <w:rPr>
                <w:color w:val="000000"/>
                <w:sz w:val="18"/>
                <w:szCs w:val="18"/>
              </w:rPr>
              <w:t>1</w:t>
            </w:r>
            <w:r>
              <w:rPr>
                <w:color w:val="000000"/>
                <w:sz w:val="18"/>
                <w:szCs w:val="18"/>
              </w:rPr>
              <w:t>,</w:t>
            </w:r>
            <w:r w:rsidRPr="001A09CA">
              <w:rPr>
                <w:color w:val="000000"/>
                <w:sz w:val="18"/>
                <w:szCs w:val="18"/>
              </w:rPr>
              <w:t>404</w:t>
            </w:r>
          </w:p>
        </w:tc>
      </w:tr>
      <w:tr w:rsidR="00D533A8" w:rsidRPr="00321238" w14:paraId="342BEF45" w14:textId="77777777" w:rsidTr="006B318F">
        <w:trPr>
          <w:trHeight w:val="128"/>
        </w:trPr>
        <w:tc>
          <w:tcPr>
            <w:tcW w:w="1524" w:type="pct"/>
            <w:vAlign w:val="bottom"/>
          </w:tcPr>
          <w:p w14:paraId="756BFBF7" w14:textId="77777777" w:rsidR="00D533A8" w:rsidRPr="00321238" w:rsidRDefault="00D533A8" w:rsidP="00D533A8">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Investments in associates</w:t>
            </w:r>
          </w:p>
        </w:tc>
        <w:tc>
          <w:tcPr>
            <w:tcW w:w="581" w:type="pct"/>
            <w:tcBorders>
              <w:top w:val="nil"/>
              <w:left w:val="nil"/>
              <w:bottom w:val="nil"/>
              <w:right w:val="nil"/>
            </w:tcBorders>
            <w:shd w:val="clear" w:color="auto" w:fill="auto"/>
            <w:vAlign w:val="bottom"/>
          </w:tcPr>
          <w:p w14:paraId="4AAE31CF" w14:textId="2DCC6C4D" w:rsidR="00D533A8" w:rsidRPr="00321238" w:rsidRDefault="00D533A8" w:rsidP="00D533A8">
            <w:pPr>
              <w:spacing w:after="0" w:line="240" w:lineRule="exact"/>
              <w:jc w:val="right"/>
              <w:outlineLvl w:val="0"/>
              <w:rPr>
                <w:rFonts w:cs="Arial"/>
                <w:bCs/>
                <w:color w:val="000000"/>
                <w:sz w:val="18"/>
                <w:szCs w:val="18"/>
                <w:lang w:eastAsia="hr-HR"/>
              </w:rPr>
            </w:pPr>
            <w:r w:rsidRPr="001A09CA">
              <w:rPr>
                <w:color w:val="000000"/>
                <w:sz w:val="18"/>
                <w:szCs w:val="18"/>
              </w:rPr>
              <w:t>-</w:t>
            </w:r>
          </w:p>
        </w:tc>
        <w:tc>
          <w:tcPr>
            <w:tcW w:w="579" w:type="pct"/>
            <w:tcBorders>
              <w:top w:val="nil"/>
              <w:left w:val="nil"/>
              <w:bottom w:val="nil"/>
              <w:right w:val="nil"/>
            </w:tcBorders>
            <w:shd w:val="clear" w:color="auto" w:fill="auto"/>
            <w:vAlign w:val="bottom"/>
          </w:tcPr>
          <w:p w14:paraId="17B9AE70" w14:textId="16638E82" w:rsidR="00D533A8" w:rsidRPr="00321238" w:rsidRDefault="00D533A8" w:rsidP="00D533A8">
            <w:pPr>
              <w:spacing w:after="0" w:line="240" w:lineRule="exact"/>
              <w:jc w:val="right"/>
              <w:outlineLvl w:val="0"/>
              <w:rPr>
                <w:rFonts w:cs="Arial"/>
                <w:bCs/>
                <w:color w:val="000000"/>
                <w:sz w:val="18"/>
                <w:szCs w:val="18"/>
                <w:lang w:eastAsia="hr-HR"/>
              </w:rPr>
            </w:pPr>
            <w:r w:rsidRPr="001A09CA">
              <w:rPr>
                <w:color w:val="000000"/>
                <w:sz w:val="18"/>
                <w:szCs w:val="18"/>
              </w:rPr>
              <w:t>-</w:t>
            </w:r>
          </w:p>
        </w:tc>
        <w:tc>
          <w:tcPr>
            <w:tcW w:w="580" w:type="pct"/>
            <w:tcBorders>
              <w:top w:val="nil"/>
              <w:left w:val="nil"/>
              <w:bottom w:val="nil"/>
              <w:right w:val="nil"/>
            </w:tcBorders>
            <w:shd w:val="clear" w:color="auto" w:fill="auto"/>
            <w:vAlign w:val="bottom"/>
          </w:tcPr>
          <w:p w14:paraId="4965C92A" w14:textId="045EBE1D" w:rsidR="00D533A8" w:rsidRPr="00321238" w:rsidRDefault="00D533A8" w:rsidP="00D533A8">
            <w:pPr>
              <w:spacing w:after="0" w:line="240" w:lineRule="exact"/>
              <w:jc w:val="right"/>
              <w:outlineLvl w:val="0"/>
              <w:rPr>
                <w:rFonts w:cs="Arial"/>
                <w:bCs/>
                <w:color w:val="000000"/>
                <w:sz w:val="18"/>
                <w:szCs w:val="18"/>
                <w:lang w:eastAsia="hr-HR"/>
              </w:rPr>
            </w:pPr>
            <w:r w:rsidRPr="001A09CA">
              <w:rPr>
                <w:color w:val="000000"/>
                <w:sz w:val="18"/>
                <w:szCs w:val="18"/>
              </w:rPr>
              <w:t>-</w:t>
            </w:r>
          </w:p>
        </w:tc>
        <w:tc>
          <w:tcPr>
            <w:tcW w:w="579" w:type="pct"/>
            <w:tcBorders>
              <w:top w:val="nil"/>
              <w:left w:val="nil"/>
              <w:bottom w:val="nil"/>
              <w:right w:val="nil"/>
            </w:tcBorders>
            <w:shd w:val="clear" w:color="auto" w:fill="auto"/>
            <w:vAlign w:val="bottom"/>
          </w:tcPr>
          <w:p w14:paraId="60E33F3A" w14:textId="41B00A72" w:rsidR="00D533A8" w:rsidRPr="00321238" w:rsidRDefault="00D533A8" w:rsidP="00D533A8">
            <w:pPr>
              <w:spacing w:after="0" w:line="240" w:lineRule="exact"/>
              <w:jc w:val="right"/>
              <w:outlineLvl w:val="0"/>
              <w:rPr>
                <w:rFonts w:cs="Arial"/>
                <w:bCs/>
                <w:color w:val="000000"/>
                <w:sz w:val="18"/>
                <w:szCs w:val="18"/>
                <w:lang w:eastAsia="hr-HR"/>
              </w:rPr>
            </w:pPr>
            <w:r w:rsidRPr="001A09CA">
              <w:rPr>
                <w:color w:val="000000"/>
                <w:sz w:val="18"/>
                <w:szCs w:val="18"/>
              </w:rPr>
              <w:t>-</w:t>
            </w:r>
          </w:p>
        </w:tc>
        <w:tc>
          <w:tcPr>
            <w:tcW w:w="580" w:type="pct"/>
            <w:tcBorders>
              <w:top w:val="nil"/>
              <w:left w:val="nil"/>
              <w:bottom w:val="nil"/>
              <w:right w:val="nil"/>
            </w:tcBorders>
            <w:shd w:val="clear" w:color="auto" w:fill="auto"/>
            <w:vAlign w:val="bottom"/>
          </w:tcPr>
          <w:p w14:paraId="08FD6E4A" w14:textId="198D7BD4" w:rsidR="00D533A8" w:rsidRPr="00321238" w:rsidRDefault="00D533A8" w:rsidP="00D533A8">
            <w:pPr>
              <w:spacing w:after="0" w:line="240" w:lineRule="exact"/>
              <w:jc w:val="right"/>
              <w:outlineLvl w:val="0"/>
              <w:rPr>
                <w:rFonts w:cs="Arial"/>
                <w:bCs/>
                <w:color w:val="000000"/>
                <w:sz w:val="18"/>
                <w:szCs w:val="18"/>
                <w:lang w:eastAsia="hr-HR"/>
              </w:rPr>
            </w:pPr>
            <w:r w:rsidRPr="001A09CA">
              <w:rPr>
                <w:color w:val="000000"/>
                <w:sz w:val="18"/>
                <w:szCs w:val="18"/>
              </w:rPr>
              <w:t>-</w:t>
            </w:r>
          </w:p>
        </w:tc>
        <w:tc>
          <w:tcPr>
            <w:tcW w:w="576" w:type="pct"/>
            <w:tcBorders>
              <w:top w:val="nil"/>
              <w:left w:val="nil"/>
              <w:bottom w:val="nil"/>
              <w:right w:val="nil"/>
            </w:tcBorders>
            <w:shd w:val="clear" w:color="auto" w:fill="auto"/>
            <w:vAlign w:val="bottom"/>
          </w:tcPr>
          <w:p w14:paraId="7D7CB4AB" w14:textId="63D42145" w:rsidR="00D533A8" w:rsidRPr="00321238" w:rsidRDefault="00D533A8" w:rsidP="00D533A8">
            <w:pPr>
              <w:spacing w:after="0" w:line="240" w:lineRule="exact"/>
              <w:jc w:val="right"/>
              <w:outlineLvl w:val="0"/>
              <w:rPr>
                <w:rFonts w:cs="Arial"/>
                <w:bCs/>
                <w:color w:val="000000"/>
                <w:sz w:val="18"/>
                <w:szCs w:val="18"/>
                <w:lang w:eastAsia="hr-HR"/>
              </w:rPr>
            </w:pPr>
            <w:r w:rsidRPr="001A09CA">
              <w:rPr>
                <w:color w:val="000000"/>
                <w:sz w:val="18"/>
                <w:szCs w:val="18"/>
              </w:rPr>
              <w:t>-</w:t>
            </w:r>
          </w:p>
        </w:tc>
      </w:tr>
      <w:tr w:rsidR="00D533A8" w:rsidRPr="00321238" w14:paraId="4761A148" w14:textId="77777777" w:rsidTr="006B318F">
        <w:trPr>
          <w:trHeight w:val="473"/>
        </w:trPr>
        <w:tc>
          <w:tcPr>
            <w:tcW w:w="1524" w:type="pct"/>
            <w:vAlign w:val="bottom"/>
          </w:tcPr>
          <w:p w14:paraId="1486FA51" w14:textId="77777777" w:rsidR="00D533A8" w:rsidRPr="00321238" w:rsidRDefault="00D533A8" w:rsidP="00D533A8">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Property, plant and equipment and intangible assets</w:t>
            </w:r>
          </w:p>
        </w:tc>
        <w:tc>
          <w:tcPr>
            <w:tcW w:w="581" w:type="pct"/>
            <w:tcBorders>
              <w:top w:val="nil"/>
              <w:left w:val="nil"/>
              <w:bottom w:val="nil"/>
              <w:right w:val="nil"/>
            </w:tcBorders>
            <w:shd w:val="clear" w:color="auto" w:fill="auto"/>
            <w:vAlign w:val="bottom"/>
          </w:tcPr>
          <w:p w14:paraId="193DBD82" w14:textId="5C0D492E" w:rsidR="00D533A8" w:rsidRPr="00321238" w:rsidRDefault="00D533A8" w:rsidP="00D533A8">
            <w:pPr>
              <w:spacing w:after="0" w:line="240" w:lineRule="exact"/>
              <w:jc w:val="right"/>
              <w:outlineLvl w:val="0"/>
              <w:rPr>
                <w:rFonts w:cs="Arial"/>
                <w:bCs/>
                <w:color w:val="000000"/>
                <w:sz w:val="18"/>
                <w:szCs w:val="18"/>
                <w:lang w:eastAsia="hr-HR"/>
              </w:rPr>
            </w:pPr>
            <w:r w:rsidRPr="001A09CA">
              <w:rPr>
                <w:color w:val="000000"/>
                <w:sz w:val="18"/>
                <w:szCs w:val="18"/>
              </w:rPr>
              <w:t>-</w:t>
            </w:r>
          </w:p>
        </w:tc>
        <w:tc>
          <w:tcPr>
            <w:tcW w:w="579" w:type="pct"/>
            <w:tcBorders>
              <w:top w:val="nil"/>
              <w:left w:val="nil"/>
              <w:bottom w:val="nil"/>
              <w:right w:val="nil"/>
            </w:tcBorders>
            <w:shd w:val="clear" w:color="auto" w:fill="auto"/>
            <w:vAlign w:val="bottom"/>
          </w:tcPr>
          <w:p w14:paraId="709BF406" w14:textId="04BD3FE2" w:rsidR="00D533A8" w:rsidRPr="00321238" w:rsidRDefault="00D533A8" w:rsidP="00D533A8">
            <w:pPr>
              <w:spacing w:after="0" w:line="240" w:lineRule="exact"/>
              <w:jc w:val="right"/>
              <w:outlineLvl w:val="0"/>
              <w:rPr>
                <w:rFonts w:cs="Arial"/>
                <w:bCs/>
                <w:color w:val="000000"/>
                <w:sz w:val="18"/>
                <w:szCs w:val="18"/>
                <w:lang w:eastAsia="hr-HR"/>
              </w:rPr>
            </w:pPr>
            <w:r w:rsidRPr="001A09CA">
              <w:rPr>
                <w:color w:val="000000"/>
                <w:sz w:val="18"/>
                <w:szCs w:val="18"/>
              </w:rPr>
              <w:t>-</w:t>
            </w:r>
          </w:p>
        </w:tc>
        <w:tc>
          <w:tcPr>
            <w:tcW w:w="580" w:type="pct"/>
            <w:tcBorders>
              <w:top w:val="nil"/>
              <w:left w:val="nil"/>
              <w:bottom w:val="nil"/>
              <w:right w:val="nil"/>
            </w:tcBorders>
            <w:shd w:val="clear" w:color="auto" w:fill="auto"/>
            <w:vAlign w:val="bottom"/>
          </w:tcPr>
          <w:p w14:paraId="29ED752E" w14:textId="6B48703B" w:rsidR="00D533A8" w:rsidRPr="00321238" w:rsidRDefault="00D533A8" w:rsidP="00D533A8">
            <w:pPr>
              <w:spacing w:after="0" w:line="240" w:lineRule="exact"/>
              <w:jc w:val="right"/>
              <w:outlineLvl w:val="0"/>
              <w:rPr>
                <w:rFonts w:cs="Arial"/>
                <w:bCs/>
                <w:color w:val="000000"/>
                <w:sz w:val="18"/>
                <w:szCs w:val="18"/>
                <w:lang w:eastAsia="hr-HR"/>
              </w:rPr>
            </w:pPr>
            <w:r w:rsidRPr="001A09CA">
              <w:rPr>
                <w:color w:val="000000"/>
                <w:sz w:val="18"/>
                <w:szCs w:val="18"/>
              </w:rPr>
              <w:t>-</w:t>
            </w:r>
          </w:p>
        </w:tc>
        <w:tc>
          <w:tcPr>
            <w:tcW w:w="579" w:type="pct"/>
            <w:tcBorders>
              <w:top w:val="nil"/>
              <w:left w:val="nil"/>
              <w:bottom w:val="nil"/>
              <w:right w:val="nil"/>
            </w:tcBorders>
            <w:shd w:val="clear" w:color="auto" w:fill="auto"/>
            <w:vAlign w:val="bottom"/>
          </w:tcPr>
          <w:p w14:paraId="15B527E0" w14:textId="55066AF0" w:rsidR="00D533A8" w:rsidRPr="00321238" w:rsidRDefault="00D533A8" w:rsidP="00D533A8">
            <w:pPr>
              <w:spacing w:after="0" w:line="240" w:lineRule="exact"/>
              <w:jc w:val="right"/>
              <w:outlineLvl w:val="0"/>
              <w:rPr>
                <w:rFonts w:cs="Arial"/>
                <w:bCs/>
                <w:color w:val="000000"/>
                <w:sz w:val="18"/>
                <w:szCs w:val="18"/>
                <w:lang w:eastAsia="hr-HR"/>
              </w:rPr>
            </w:pPr>
            <w:r w:rsidRPr="001A09CA">
              <w:rPr>
                <w:color w:val="000000"/>
                <w:sz w:val="18"/>
                <w:szCs w:val="18"/>
              </w:rPr>
              <w:t>-</w:t>
            </w:r>
          </w:p>
        </w:tc>
        <w:tc>
          <w:tcPr>
            <w:tcW w:w="580" w:type="pct"/>
            <w:tcBorders>
              <w:top w:val="nil"/>
              <w:left w:val="nil"/>
              <w:bottom w:val="nil"/>
              <w:right w:val="nil"/>
            </w:tcBorders>
            <w:shd w:val="clear" w:color="auto" w:fill="auto"/>
            <w:vAlign w:val="bottom"/>
          </w:tcPr>
          <w:p w14:paraId="61C77EC2" w14:textId="19723C47" w:rsidR="00D533A8" w:rsidRPr="00321238" w:rsidRDefault="00D533A8" w:rsidP="00D533A8">
            <w:pPr>
              <w:spacing w:after="0" w:line="240" w:lineRule="exact"/>
              <w:jc w:val="right"/>
              <w:outlineLvl w:val="0"/>
              <w:rPr>
                <w:rFonts w:cs="Arial"/>
                <w:bCs/>
                <w:color w:val="000000"/>
                <w:sz w:val="18"/>
                <w:szCs w:val="18"/>
                <w:lang w:eastAsia="hr-HR"/>
              </w:rPr>
            </w:pPr>
            <w:r w:rsidRPr="001A09CA">
              <w:rPr>
                <w:color w:val="000000"/>
                <w:sz w:val="18"/>
                <w:szCs w:val="18"/>
              </w:rPr>
              <w:t>54</w:t>
            </w:r>
            <w:r>
              <w:rPr>
                <w:color w:val="000000"/>
                <w:sz w:val="18"/>
                <w:szCs w:val="18"/>
              </w:rPr>
              <w:t>,</w:t>
            </w:r>
            <w:r w:rsidRPr="001A09CA">
              <w:rPr>
                <w:color w:val="000000"/>
                <w:sz w:val="18"/>
                <w:szCs w:val="18"/>
              </w:rPr>
              <w:t>076</w:t>
            </w:r>
          </w:p>
        </w:tc>
        <w:tc>
          <w:tcPr>
            <w:tcW w:w="576" w:type="pct"/>
            <w:tcBorders>
              <w:top w:val="nil"/>
              <w:left w:val="nil"/>
              <w:bottom w:val="nil"/>
              <w:right w:val="nil"/>
            </w:tcBorders>
            <w:shd w:val="clear" w:color="auto" w:fill="auto"/>
            <w:vAlign w:val="bottom"/>
          </w:tcPr>
          <w:p w14:paraId="3D56D622" w14:textId="05E6DC6A" w:rsidR="00D533A8" w:rsidRPr="00321238" w:rsidRDefault="00D533A8" w:rsidP="00D533A8">
            <w:pPr>
              <w:spacing w:after="0" w:line="240" w:lineRule="exact"/>
              <w:jc w:val="right"/>
              <w:outlineLvl w:val="0"/>
              <w:rPr>
                <w:rFonts w:cs="Arial"/>
                <w:bCs/>
                <w:color w:val="000000"/>
                <w:sz w:val="18"/>
                <w:szCs w:val="18"/>
                <w:lang w:eastAsia="hr-HR"/>
              </w:rPr>
            </w:pPr>
            <w:r w:rsidRPr="001A09CA">
              <w:rPr>
                <w:color w:val="000000"/>
                <w:sz w:val="18"/>
                <w:szCs w:val="18"/>
              </w:rPr>
              <w:t>54</w:t>
            </w:r>
            <w:r>
              <w:rPr>
                <w:color w:val="000000"/>
                <w:sz w:val="18"/>
                <w:szCs w:val="18"/>
              </w:rPr>
              <w:t>,</w:t>
            </w:r>
            <w:r w:rsidRPr="001A09CA">
              <w:rPr>
                <w:color w:val="000000"/>
                <w:sz w:val="18"/>
                <w:szCs w:val="18"/>
              </w:rPr>
              <w:t>076</w:t>
            </w:r>
          </w:p>
        </w:tc>
      </w:tr>
      <w:tr w:rsidR="00D533A8" w:rsidRPr="00321238" w14:paraId="670B92E4" w14:textId="77777777" w:rsidTr="006B318F">
        <w:trPr>
          <w:trHeight w:val="267"/>
        </w:trPr>
        <w:tc>
          <w:tcPr>
            <w:tcW w:w="1524" w:type="pct"/>
            <w:vAlign w:val="bottom"/>
          </w:tcPr>
          <w:p w14:paraId="07751336" w14:textId="77777777" w:rsidR="00D533A8" w:rsidRPr="00321238" w:rsidRDefault="00D533A8" w:rsidP="00D533A8">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Non-current assets held for sale</w:t>
            </w:r>
          </w:p>
        </w:tc>
        <w:tc>
          <w:tcPr>
            <w:tcW w:w="581" w:type="pct"/>
            <w:tcBorders>
              <w:top w:val="nil"/>
              <w:left w:val="nil"/>
              <w:bottom w:val="nil"/>
              <w:right w:val="nil"/>
            </w:tcBorders>
            <w:shd w:val="clear" w:color="auto" w:fill="auto"/>
            <w:vAlign w:val="bottom"/>
          </w:tcPr>
          <w:p w14:paraId="316EC01B" w14:textId="04A293F8" w:rsidR="00D533A8" w:rsidRPr="00321238" w:rsidRDefault="00D533A8" w:rsidP="00D533A8">
            <w:pPr>
              <w:spacing w:after="0" w:line="240" w:lineRule="exact"/>
              <w:jc w:val="right"/>
              <w:outlineLvl w:val="0"/>
              <w:rPr>
                <w:rFonts w:cs="Arial"/>
                <w:bCs/>
                <w:color w:val="000000"/>
                <w:sz w:val="18"/>
                <w:szCs w:val="18"/>
                <w:lang w:eastAsia="hr-HR"/>
              </w:rPr>
            </w:pPr>
            <w:r w:rsidRPr="001A09CA">
              <w:rPr>
                <w:color w:val="000000"/>
                <w:sz w:val="18"/>
                <w:szCs w:val="18"/>
              </w:rPr>
              <w:t>-</w:t>
            </w:r>
          </w:p>
        </w:tc>
        <w:tc>
          <w:tcPr>
            <w:tcW w:w="579" w:type="pct"/>
            <w:tcBorders>
              <w:top w:val="nil"/>
              <w:left w:val="nil"/>
              <w:bottom w:val="nil"/>
              <w:right w:val="nil"/>
            </w:tcBorders>
            <w:shd w:val="clear" w:color="auto" w:fill="auto"/>
            <w:vAlign w:val="bottom"/>
          </w:tcPr>
          <w:p w14:paraId="00CC9C36" w14:textId="6C13532E" w:rsidR="00D533A8" w:rsidRPr="00321238" w:rsidRDefault="00D533A8" w:rsidP="00D533A8">
            <w:pPr>
              <w:spacing w:after="0" w:line="240" w:lineRule="exact"/>
              <w:jc w:val="right"/>
              <w:outlineLvl w:val="0"/>
              <w:rPr>
                <w:rFonts w:cs="Arial"/>
                <w:bCs/>
                <w:color w:val="000000"/>
                <w:sz w:val="18"/>
                <w:szCs w:val="18"/>
                <w:lang w:eastAsia="hr-HR"/>
              </w:rPr>
            </w:pPr>
          </w:p>
        </w:tc>
        <w:tc>
          <w:tcPr>
            <w:tcW w:w="580" w:type="pct"/>
            <w:tcBorders>
              <w:top w:val="nil"/>
              <w:left w:val="nil"/>
              <w:bottom w:val="nil"/>
              <w:right w:val="nil"/>
            </w:tcBorders>
            <w:shd w:val="clear" w:color="auto" w:fill="auto"/>
            <w:vAlign w:val="bottom"/>
          </w:tcPr>
          <w:p w14:paraId="44917346" w14:textId="3C6AED7E" w:rsidR="00D533A8" w:rsidRPr="00321238" w:rsidRDefault="00D533A8" w:rsidP="00D533A8">
            <w:pPr>
              <w:spacing w:after="0" w:line="240" w:lineRule="exact"/>
              <w:jc w:val="right"/>
              <w:outlineLvl w:val="0"/>
              <w:rPr>
                <w:rFonts w:cs="Arial"/>
                <w:bCs/>
                <w:color w:val="000000"/>
                <w:sz w:val="18"/>
                <w:szCs w:val="18"/>
                <w:lang w:eastAsia="hr-HR"/>
              </w:rPr>
            </w:pPr>
            <w:r w:rsidRPr="001A09CA">
              <w:rPr>
                <w:color w:val="000000"/>
                <w:sz w:val="18"/>
                <w:szCs w:val="18"/>
              </w:rPr>
              <w:t>1</w:t>
            </w:r>
            <w:r>
              <w:rPr>
                <w:color w:val="000000"/>
                <w:sz w:val="18"/>
                <w:szCs w:val="18"/>
              </w:rPr>
              <w:t>,</w:t>
            </w:r>
            <w:r w:rsidRPr="001A09CA">
              <w:rPr>
                <w:color w:val="000000"/>
                <w:sz w:val="18"/>
                <w:szCs w:val="18"/>
              </w:rPr>
              <w:t>972</w:t>
            </w:r>
          </w:p>
        </w:tc>
        <w:tc>
          <w:tcPr>
            <w:tcW w:w="579" w:type="pct"/>
            <w:tcBorders>
              <w:top w:val="nil"/>
              <w:left w:val="nil"/>
              <w:bottom w:val="nil"/>
              <w:right w:val="nil"/>
            </w:tcBorders>
            <w:shd w:val="clear" w:color="auto" w:fill="auto"/>
            <w:vAlign w:val="bottom"/>
          </w:tcPr>
          <w:p w14:paraId="1B000BFD" w14:textId="22B07EBD" w:rsidR="00D533A8" w:rsidRPr="00321238" w:rsidRDefault="00D533A8" w:rsidP="00D533A8">
            <w:pPr>
              <w:spacing w:after="0" w:line="240" w:lineRule="exact"/>
              <w:jc w:val="right"/>
              <w:outlineLvl w:val="0"/>
              <w:rPr>
                <w:rFonts w:cs="Arial"/>
                <w:bCs/>
                <w:color w:val="000000"/>
                <w:sz w:val="18"/>
                <w:szCs w:val="18"/>
                <w:lang w:eastAsia="hr-HR"/>
              </w:rPr>
            </w:pPr>
            <w:r w:rsidRPr="001A09CA">
              <w:rPr>
                <w:color w:val="000000"/>
                <w:sz w:val="18"/>
                <w:szCs w:val="18"/>
              </w:rPr>
              <w:t>2</w:t>
            </w:r>
            <w:r>
              <w:rPr>
                <w:color w:val="000000"/>
                <w:sz w:val="18"/>
                <w:szCs w:val="18"/>
              </w:rPr>
              <w:t>,</w:t>
            </w:r>
            <w:r w:rsidRPr="001A09CA">
              <w:rPr>
                <w:color w:val="000000"/>
                <w:sz w:val="18"/>
                <w:szCs w:val="18"/>
              </w:rPr>
              <w:t>765</w:t>
            </w:r>
          </w:p>
        </w:tc>
        <w:tc>
          <w:tcPr>
            <w:tcW w:w="580" w:type="pct"/>
            <w:tcBorders>
              <w:top w:val="nil"/>
              <w:left w:val="nil"/>
              <w:bottom w:val="nil"/>
              <w:right w:val="nil"/>
            </w:tcBorders>
            <w:shd w:val="clear" w:color="auto" w:fill="auto"/>
            <w:vAlign w:val="bottom"/>
          </w:tcPr>
          <w:p w14:paraId="6BD8B9C1" w14:textId="4A04D64B" w:rsidR="00D533A8" w:rsidRPr="00321238" w:rsidRDefault="00D533A8" w:rsidP="00D533A8">
            <w:pPr>
              <w:spacing w:after="0" w:line="240" w:lineRule="exact"/>
              <w:jc w:val="right"/>
              <w:outlineLvl w:val="0"/>
              <w:rPr>
                <w:rFonts w:cs="Arial"/>
                <w:bCs/>
                <w:color w:val="000000"/>
                <w:sz w:val="18"/>
                <w:szCs w:val="18"/>
                <w:lang w:eastAsia="hr-HR"/>
              </w:rPr>
            </w:pPr>
            <w:r w:rsidRPr="001A09CA">
              <w:rPr>
                <w:color w:val="000000"/>
                <w:sz w:val="18"/>
                <w:szCs w:val="18"/>
              </w:rPr>
              <w:t>12</w:t>
            </w:r>
            <w:r>
              <w:rPr>
                <w:color w:val="000000"/>
                <w:sz w:val="18"/>
                <w:szCs w:val="18"/>
              </w:rPr>
              <w:t>,</w:t>
            </w:r>
            <w:r w:rsidRPr="001A09CA">
              <w:rPr>
                <w:color w:val="000000"/>
                <w:sz w:val="18"/>
                <w:szCs w:val="18"/>
              </w:rPr>
              <w:t>308</w:t>
            </w:r>
          </w:p>
        </w:tc>
        <w:tc>
          <w:tcPr>
            <w:tcW w:w="576" w:type="pct"/>
            <w:tcBorders>
              <w:top w:val="nil"/>
              <w:left w:val="nil"/>
              <w:bottom w:val="nil"/>
              <w:right w:val="nil"/>
            </w:tcBorders>
            <w:shd w:val="clear" w:color="auto" w:fill="auto"/>
            <w:vAlign w:val="bottom"/>
          </w:tcPr>
          <w:p w14:paraId="745B20F0" w14:textId="03CAB2B8" w:rsidR="00D533A8" w:rsidRPr="00321238" w:rsidRDefault="00D533A8" w:rsidP="00D533A8">
            <w:pPr>
              <w:spacing w:after="0" w:line="240" w:lineRule="exact"/>
              <w:jc w:val="right"/>
              <w:outlineLvl w:val="0"/>
              <w:rPr>
                <w:rFonts w:cs="Arial"/>
                <w:bCs/>
                <w:color w:val="000000"/>
                <w:sz w:val="18"/>
                <w:szCs w:val="18"/>
                <w:lang w:eastAsia="hr-HR"/>
              </w:rPr>
            </w:pPr>
            <w:r w:rsidRPr="001A09CA">
              <w:rPr>
                <w:color w:val="000000"/>
                <w:sz w:val="18"/>
                <w:szCs w:val="18"/>
              </w:rPr>
              <w:t>17</w:t>
            </w:r>
            <w:r>
              <w:rPr>
                <w:color w:val="000000"/>
                <w:sz w:val="18"/>
                <w:szCs w:val="18"/>
              </w:rPr>
              <w:t>,</w:t>
            </w:r>
            <w:r w:rsidRPr="001A09CA">
              <w:rPr>
                <w:color w:val="000000"/>
                <w:sz w:val="18"/>
                <w:szCs w:val="18"/>
              </w:rPr>
              <w:t>045</w:t>
            </w:r>
          </w:p>
        </w:tc>
      </w:tr>
      <w:tr w:rsidR="00D533A8" w:rsidRPr="00321238" w14:paraId="571F2B71" w14:textId="77777777" w:rsidTr="006B318F">
        <w:trPr>
          <w:trHeight w:val="251"/>
        </w:trPr>
        <w:tc>
          <w:tcPr>
            <w:tcW w:w="1524" w:type="pct"/>
            <w:vAlign w:val="bottom"/>
          </w:tcPr>
          <w:p w14:paraId="420F30D6" w14:textId="77777777" w:rsidR="00D533A8" w:rsidRPr="00321238" w:rsidRDefault="00D533A8" w:rsidP="00D533A8">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Other assets</w:t>
            </w:r>
          </w:p>
        </w:tc>
        <w:tc>
          <w:tcPr>
            <w:tcW w:w="581" w:type="pct"/>
            <w:tcBorders>
              <w:top w:val="nil"/>
              <w:left w:val="nil"/>
              <w:bottom w:val="nil"/>
              <w:right w:val="nil"/>
            </w:tcBorders>
            <w:shd w:val="clear" w:color="auto" w:fill="auto"/>
            <w:vAlign w:val="bottom"/>
          </w:tcPr>
          <w:p w14:paraId="5BD14CD2" w14:textId="15A4E206" w:rsidR="00D533A8" w:rsidRPr="00321238" w:rsidRDefault="00D533A8" w:rsidP="00D533A8">
            <w:pPr>
              <w:spacing w:after="0" w:line="240" w:lineRule="exact"/>
              <w:jc w:val="right"/>
              <w:outlineLvl w:val="0"/>
              <w:rPr>
                <w:rFonts w:cs="Arial"/>
                <w:bCs/>
                <w:color w:val="000000"/>
                <w:sz w:val="18"/>
                <w:szCs w:val="18"/>
                <w:lang w:eastAsia="hr-HR"/>
              </w:rPr>
            </w:pPr>
            <w:r w:rsidRPr="001A09CA">
              <w:rPr>
                <w:color w:val="000000"/>
                <w:sz w:val="18"/>
                <w:szCs w:val="18"/>
              </w:rPr>
              <w:t>8</w:t>
            </w:r>
            <w:r>
              <w:rPr>
                <w:color w:val="000000"/>
                <w:sz w:val="18"/>
                <w:szCs w:val="18"/>
              </w:rPr>
              <w:t>,</w:t>
            </w:r>
            <w:r w:rsidRPr="001A09CA">
              <w:rPr>
                <w:color w:val="000000"/>
                <w:sz w:val="18"/>
                <w:szCs w:val="18"/>
              </w:rPr>
              <w:t>745</w:t>
            </w:r>
          </w:p>
        </w:tc>
        <w:tc>
          <w:tcPr>
            <w:tcW w:w="579" w:type="pct"/>
            <w:tcBorders>
              <w:top w:val="nil"/>
              <w:left w:val="nil"/>
              <w:bottom w:val="nil"/>
              <w:right w:val="nil"/>
            </w:tcBorders>
            <w:shd w:val="clear" w:color="auto" w:fill="auto"/>
            <w:vAlign w:val="bottom"/>
          </w:tcPr>
          <w:p w14:paraId="077CEE48" w14:textId="41A4D493" w:rsidR="00D533A8" w:rsidRPr="00321238" w:rsidRDefault="00D533A8" w:rsidP="00D533A8">
            <w:pPr>
              <w:spacing w:after="0" w:line="240" w:lineRule="exact"/>
              <w:jc w:val="right"/>
              <w:outlineLvl w:val="0"/>
              <w:rPr>
                <w:rFonts w:cs="Arial"/>
                <w:bCs/>
                <w:color w:val="000000"/>
                <w:sz w:val="18"/>
                <w:szCs w:val="18"/>
                <w:lang w:eastAsia="hr-HR"/>
              </w:rPr>
            </w:pPr>
            <w:r w:rsidRPr="001A09CA">
              <w:rPr>
                <w:color w:val="000000"/>
                <w:sz w:val="18"/>
                <w:szCs w:val="18"/>
              </w:rPr>
              <w:t>2</w:t>
            </w:r>
            <w:r>
              <w:rPr>
                <w:color w:val="000000"/>
                <w:sz w:val="18"/>
                <w:szCs w:val="18"/>
              </w:rPr>
              <w:t>,</w:t>
            </w:r>
            <w:r w:rsidRPr="001A09CA">
              <w:rPr>
                <w:color w:val="000000"/>
                <w:sz w:val="18"/>
                <w:szCs w:val="18"/>
              </w:rPr>
              <w:t>271</w:t>
            </w:r>
          </w:p>
        </w:tc>
        <w:tc>
          <w:tcPr>
            <w:tcW w:w="580" w:type="pct"/>
            <w:tcBorders>
              <w:top w:val="nil"/>
              <w:left w:val="nil"/>
              <w:bottom w:val="nil"/>
              <w:right w:val="nil"/>
            </w:tcBorders>
            <w:shd w:val="clear" w:color="auto" w:fill="auto"/>
            <w:vAlign w:val="bottom"/>
          </w:tcPr>
          <w:p w14:paraId="5ECDF966" w14:textId="0D54CF7D" w:rsidR="00D533A8" w:rsidRPr="00321238" w:rsidRDefault="00D533A8" w:rsidP="00D533A8">
            <w:pPr>
              <w:spacing w:after="0" w:line="240" w:lineRule="exact"/>
              <w:jc w:val="right"/>
              <w:outlineLvl w:val="0"/>
              <w:rPr>
                <w:rFonts w:cs="Arial"/>
                <w:bCs/>
                <w:color w:val="000000"/>
                <w:sz w:val="18"/>
                <w:szCs w:val="18"/>
                <w:lang w:eastAsia="hr-HR"/>
              </w:rPr>
            </w:pPr>
            <w:r w:rsidRPr="001A09CA">
              <w:rPr>
                <w:color w:val="000000"/>
                <w:sz w:val="18"/>
                <w:szCs w:val="18"/>
              </w:rPr>
              <w:t>1</w:t>
            </w:r>
            <w:r>
              <w:rPr>
                <w:color w:val="000000"/>
                <w:sz w:val="18"/>
                <w:szCs w:val="18"/>
              </w:rPr>
              <w:t>,</w:t>
            </w:r>
            <w:r w:rsidRPr="001A09CA">
              <w:rPr>
                <w:color w:val="000000"/>
                <w:sz w:val="18"/>
                <w:szCs w:val="18"/>
              </w:rPr>
              <w:t>183</w:t>
            </w:r>
          </w:p>
        </w:tc>
        <w:tc>
          <w:tcPr>
            <w:tcW w:w="579" w:type="pct"/>
            <w:tcBorders>
              <w:top w:val="nil"/>
              <w:left w:val="nil"/>
              <w:bottom w:val="nil"/>
              <w:right w:val="nil"/>
            </w:tcBorders>
            <w:shd w:val="clear" w:color="auto" w:fill="auto"/>
            <w:vAlign w:val="bottom"/>
          </w:tcPr>
          <w:p w14:paraId="1EE5B591" w14:textId="09A8A543" w:rsidR="00D533A8" w:rsidRPr="00321238" w:rsidRDefault="00D533A8" w:rsidP="00D533A8">
            <w:pPr>
              <w:spacing w:after="0" w:line="240" w:lineRule="exact"/>
              <w:jc w:val="right"/>
              <w:outlineLvl w:val="0"/>
              <w:rPr>
                <w:rFonts w:cs="Arial"/>
                <w:bCs/>
                <w:color w:val="000000"/>
                <w:sz w:val="18"/>
                <w:szCs w:val="18"/>
                <w:lang w:eastAsia="hr-HR"/>
              </w:rPr>
            </w:pPr>
            <w:r w:rsidRPr="001A09CA">
              <w:rPr>
                <w:color w:val="000000"/>
                <w:sz w:val="18"/>
                <w:szCs w:val="18"/>
              </w:rPr>
              <w:t>2</w:t>
            </w:r>
          </w:p>
        </w:tc>
        <w:tc>
          <w:tcPr>
            <w:tcW w:w="580" w:type="pct"/>
            <w:tcBorders>
              <w:top w:val="nil"/>
              <w:left w:val="nil"/>
              <w:bottom w:val="nil"/>
              <w:right w:val="nil"/>
            </w:tcBorders>
            <w:shd w:val="clear" w:color="auto" w:fill="auto"/>
            <w:vAlign w:val="bottom"/>
          </w:tcPr>
          <w:p w14:paraId="6D734AA6" w14:textId="6B74D628" w:rsidR="00D533A8" w:rsidRPr="00321238" w:rsidRDefault="00D533A8" w:rsidP="00D533A8">
            <w:pPr>
              <w:spacing w:after="0" w:line="240" w:lineRule="exact"/>
              <w:jc w:val="right"/>
              <w:outlineLvl w:val="0"/>
              <w:rPr>
                <w:rFonts w:cs="Arial"/>
                <w:bCs/>
                <w:color w:val="000000"/>
                <w:sz w:val="18"/>
                <w:szCs w:val="18"/>
                <w:lang w:eastAsia="hr-HR"/>
              </w:rPr>
            </w:pPr>
            <w:r w:rsidRPr="001A09CA">
              <w:rPr>
                <w:color w:val="000000"/>
                <w:sz w:val="18"/>
                <w:szCs w:val="18"/>
              </w:rPr>
              <w:t>1</w:t>
            </w:r>
            <w:r>
              <w:rPr>
                <w:color w:val="000000"/>
                <w:sz w:val="18"/>
                <w:szCs w:val="18"/>
              </w:rPr>
              <w:t>,</w:t>
            </w:r>
            <w:r w:rsidRPr="001A09CA">
              <w:rPr>
                <w:color w:val="000000"/>
                <w:sz w:val="18"/>
                <w:szCs w:val="18"/>
              </w:rPr>
              <w:t>173</w:t>
            </w:r>
          </w:p>
        </w:tc>
        <w:tc>
          <w:tcPr>
            <w:tcW w:w="576" w:type="pct"/>
            <w:tcBorders>
              <w:top w:val="nil"/>
              <w:left w:val="nil"/>
              <w:bottom w:val="nil"/>
              <w:right w:val="nil"/>
            </w:tcBorders>
            <w:shd w:val="clear" w:color="auto" w:fill="auto"/>
            <w:vAlign w:val="bottom"/>
          </w:tcPr>
          <w:p w14:paraId="7B03AD60" w14:textId="42680E70" w:rsidR="00D533A8" w:rsidRPr="00321238" w:rsidRDefault="00D533A8" w:rsidP="00D533A8">
            <w:pPr>
              <w:spacing w:after="0" w:line="240" w:lineRule="exact"/>
              <w:jc w:val="right"/>
              <w:outlineLvl w:val="0"/>
              <w:rPr>
                <w:rFonts w:cs="Arial"/>
                <w:bCs/>
                <w:color w:val="000000"/>
                <w:sz w:val="18"/>
                <w:szCs w:val="18"/>
                <w:lang w:eastAsia="hr-HR"/>
              </w:rPr>
            </w:pPr>
            <w:r w:rsidRPr="001A09CA">
              <w:rPr>
                <w:color w:val="000000"/>
                <w:sz w:val="18"/>
                <w:szCs w:val="18"/>
              </w:rPr>
              <w:t>13</w:t>
            </w:r>
            <w:r>
              <w:rPr>
                <w:color w:val="000000"/>
                <w:sz w:val="18"/>
                <w:szCs w:val="18"/>
              </w:rPr>
              <w:t>,</w:t>
            </w:r>
            <w:r w:rsidRPr="001A09CA">
              <w:rPr>
                <w:color w:val="000000"/>
                <w:sz w:val="18"/>
                <w:szCs w:val="18"/>
              </w:rPr>
              <w:t>374</w:t>
            </w:r>
          </w:p>
        </w:tc>
      </w:tr>
      <w:tr w:rsidR="00D533A8" w:rsidRPr="00321238" w14:paraId="16DFEB83" w14:textId="77777777" w:rsidTr="006B318F">
        <w:trPr>
          <w:trHeight w:val="267"/>
        </w:trPr>
        <w:tc>
          <w:tcPr>
            <w:tcW w:w="1524" w:type="pct"/>
            <w:vAlign w:val="bottom"/>
          </w:tcPr>
          <w:p w14:paraId="61D279B9" w14:textId="77777777" w:rsidR="00D533A8" w:rsidRPr="00321238" w:rsidRDefault="00D533A8" w:rsidP="00D533A8">
            <w:pPr>
              <w:tabs>
                <w:tab w:val="right" w:pos="1202"/>
              </w:tabs>
              <w:spacing w:after="0" w:line="200" w:lineRule="exact"/>
              <w:outlineLvl w:val="0"/>
              <w:rPr>
                <w:rFonts w:eastAsia="Times New Roman" w:cs="Arial"/>
                <w:b/>
                <w:bCs/>
                <w:sz w:val="18"/>
                <w:szCs w:val="18"/>
              </w:rPr>
            </w:pPr>
            <w:r w:rsidRPr="00321238">
              <w:rPr>
                <w:rFonts w:eastAsia="Times New Roman" w:cs="Arial"/>
                <w:b/>
                <w:bCs/>
                <w:sz w:val="18"/>
                <w:szCs w:val="18"/>
              </w:rPr>
              <w:t>Total assets (1)</w:t>
            </w:r>
          </w:p>
        </w:tc>
        <w:tc>
          <w:tcPr>
            <w:tcW w:w="581" w:type="pct"/>
            <w:tcBorders>
              <w:top w:val="single" w:sz="8" w:space="0" w:color="auto"/>
              <w:left w:val="nil"/>
              <w:bottom w:val="single" w:sz="12" w:space="0" w:color="auto"/>
              <w:right w:val="nil"/>
            </w:tcBorders>
            <w:shd w:val="clear" w:color="auto" w:fill="auto"/>
            <w:vAlign w:val="bottom"/>
          </w:tcPr>
          <w:p w14:paraId="629488B8" w14:textId="7BEEB057" w:rsidR="00D533A8" w:rsidRPr="00321238" w:rsidRDefault="00D533A8" w:rsidP="00D533A8">
            <w:pPr>
              <w:spacing w:after="0" w:line="240" w:lineRule="exact"/>
              <w:jc w:val="right"/>
              <w:outlineLvl w:val="0"/>
              <w:rPr>
                <w:rFonts w:cs="Arial"/>
                <w:b/>
                <w:bCs/>
                <w:color w:val="000000"/>
                <w:sz w:val="18"/>
                <w:szCs w:val="18"/>
                <w:lang w:eastAsia="hr-HR"/>
              </w:rPr>
            </w:pPr>
            <w:r w:rsidRPr="00FE65B6">
              <w:rPr>
                <w:b/>
                <w:bCs/>
                <w:color w:val="000000"/>
                <w:sz w:val="18"/>
                <w:szCs w:val="18"/>
              </w:rPr>
              <w:t>7</w:t>
            </w:r>
            <w:r>
              <w:rPr>
                <w:b/>
                <w:bCs/>
                <w:color w:val="000000"/>
                <w:sz w:val="18"/>
                <w:szCs w:val="18"/>
              </w:rPr>
              <w:t>,</w:t>
            </w:r>
            <w:r w:rsidRPr="00FE65B6">
              <w:rPr>
                <w:b/>
                <w:bCs/>
                <w:color w:val="000000"/>
                <w:sz w:val="18"/>
                <w:szCs w:val="18"/>
              </w:rPr>
              <w:t>014</w:t>
            </w:r>
            <w:r>
              <w:rPr>
                <w:b/>
                <w:bCs/>
                <w:color w:val="000000"/>
                <w:sz w:val="18"/>
                <w:szCs w:val="18"/>
              </w:rPr>
              <w:t>,</w:t>
            </w:r>
            <w:r w:rsidRPr="00FE65B6">
              <w:rPr>
                <w:b/>
                <w:bCs/>
                <w:color w:val="000000"/>
                <w:sz w:val="18"/>
                <w:szCs w:val="18"/>
              </w:rPr>
              <w:t>554</w:t>
            </w:r>
          </w:p>
        </w:tc>
        <w:tc>
          <w:tcPr>
            <w:tcW w:w="579" w:type="pct"/>
            <w:tcBorders>
              <w:top w:val="single" w:sz="8" w:space="0" w:color="auto"/>
              <w:left w:val="nil"/>
              <w:bottom w:val="single" w:sz="12" w:space="0" w:color="auto"/>
              <w:right w:val="nil"/>
            </w:tcBorders>
            <w:shd w:val="clear" w:color="auto" w:fill="auto"/>
            <w:vAlign w:val="bottom"/>
          </w:tcPr>
          <w:p w14:paraId="774DE4DD" w14:textId="6179450C" w:rsidR="00D533A8" w:rsidRPr="00321238" w:rsidRDefault="00D533A8">
            <w:pPr>
              <w:spacing w:after="0" w:line="240" w:lineRule="exact"/>
              <w:jc w:val="right"/>
              <w:outlineLvl w:val="0"/>
              <w:rPr>
                <w:rFonts w:cs="Arial"/>
                <w:b/>
                <w:bCs/>
                <w:color w:val="000000"/>
                <w:sz w:val="18"/>
                <w:szCs w:val="18"/>
                <w:lang w:eastAsia="hr-HR"/>
              </w:rPr>
            </w:pPr>
            <w:r w:rsidRPr="00FE65B6">
              <w:rPr>
                <w:b/>
                <w:bCs/>
                <w:color w:val="000000"/>
                <w:sz w:val="18"/>
                <w:szCs w:val="18"/>
              </w:rPr>
              <w:t>1</w:t>
            </w:r>
            <w:r>
              <w:rPr>
                <w:b/>
                <w:bCs/>
                <w:color w:val="000000"/>
                <w:sz w:val="18"/>
                <w:szCs w:val="18"/>
              </w:rPr>
              <w:t>,</w:t>
            </w:r>
            <w:r w:rsidRPr="00FE65B6">
              <w:rPr>
                <w:b/>
                <w:bCs/>
                <w:color w:val="000000"/>
                <w:sz w:val="18"/>
                <w:szCs w:val="18"/>
              </w:rPr>
              <w:t>2</w:t>
            </w:r>
            <w:r w:rsidR="000B18F9">
              <w:rPr>
                <w:b/>
                <w:bCs/>
                <w:color w:val="000000"/>
                <w:sz w:val="18"/>
                <w:szCs w:val="18"/>
              </w:rPr>
              <w:t>72</w:t>
            </w:r>
            <w:r>
              <w:rPr>
                <w:b/>
                <w:bCs/>
                <w:color w:val="000000"/>
                <w:sz w:val="18"/>
                <w:szCs w:val="18"/>
              </w:rPr>
              <w:t>,</w:t>
            </w:r>
            <w:r w:rsidRPr="00FE65B6">
              <w:rPr>
                <w:b/>
                <w:bCs/>
                <w:color w:val="000000"/>
                <w:sz w:val="18"/>
                <w:szCs w:val="18"/>
              </w:rPr>
              <w:t>776</w:t>
            </w:r>
          </w:p>
        </w:tc>
        <w:tc>
          <w:tcPr>
            <w:tcW w:w="580" w:type="pct"/>
            <w:tcBorders>
              <w:top w:val="single" w:sz="8" w:space="0" w:color="auto"/>
              <w:left w:val="nil"/>
              <w:bottom w:val="single" w:sz="12" w:space="0" w:color="auto"/>
              <w:right w:val="nil"/>
            </w:tcBorders>
            <w:shd w:val="clear" w:color="auto" w:fill="auto"/>
            <w:vAlign w:val="bottom"/>
          </w:tcPr>
          <w:p w14:paraId="0251F351" w14:textId="3994303B" w:rsidR="00D533A8" w:rsidRPr="00321238" w:rsidRDefault="00D533A8" w:rsidP="00D533A8">
            <w:pPr>
              <w:spacing w:after="0" w:line="240" w:lineRule="exact"/>
              <w:jc w:val="right"/>
              <w:outlineLvl w:val="0"/>
              <w:rPr>
                <w:rFonts w:cs="Arial"/>
                <w:b/>
                <w:bCs/>
                <w:color w:val="000000"/>
                <w:sz w:val="18"/>
                <w:szCs w:val="18"/>
                <w:lang w:eastAsia="hr-HR"/>
              </w:rPr>
            </w:pPr>
            <w:r w:rsidRPr="001A09CA">
              <w:rPr>
                <w:b/>
                <w:bCs/>
                <w:color w:val="000000"/>
                <w:sz w:val="18"/>
                <w:szCs w:val="18"/>
              </w:rPr>
              <w:t>2</w:t>
            </w:r>
            <w:r>
              <w:rPr>
                <w:b/>
                <w:bCs/>
                <w:color w:val="000000"/>
                <w:sz w:val="18"/>
                <w:szCs w:val="18"/>
              </w:rPr>
              <w:t>,</w:t>
            </w:r>
            <w:r w:rsidRPr="001A09CA">
              <w:rPr>
                <w:b/>
                <w:bCs/>
                <w:color w:val="000000"/>
                <w:sz w:val="18"/>
                <w:szCs w:val="18"/>
              </w:rPr>
              <w:t>288</w:t>
            </w:r>
            <w:r>
              <w:rPr>
                <w:b/>
                <w:bCs/>
                <w:color w:val="000000"/>
                <w:sz w:val="18"/>
                <w:szCs w:val="18"/>
              </w:rPr>
              <w:t>,</w:t>
            </w:r>
            <w:r w:rsidRPr="001A09CA">
              <w:rPr>
                <w:b/>
                <w:bCs/>
                <w:color w:val="000000"/>
                <w:sz w:val="18"/>
                <w:szCs w:val="18"/>
              </w:rPr>
              <w:t>006</w:t>
            </w:r>
          </w:p>
        </w:tc>
        <w:tc>
          <w:tcPr>
            <w:tcW w:w="579" w:type="pct"/>
            <w:tcBorders>
              <w:top w:val="single" w:sz="8" w:space="0" w:color="auto"/>
              <w:left w:val="nil"/>
              <w:bottom w:val="single" w:sz="12" w:space="0" w:color="auto"/>
              <w:right w:val="nil"/>
            </w:tcBorders>
            <w:shd w:val="clear" w:color="auto" w:fill="auto"/>
            <w:vAlign w:val="bottom"/>
          </w:tcPr>
          <w:p w14:paraId="1CF015D0" w14:textId="119C0822" w:rsidR="00D533A8" w:rsidRPr="00321238" w:rsidRDefault="00D533A8" w:rsidP="00D533A8">
            <w:pPr>
              <w:spacing w:after="0" w:line="240" w:lineRule="exact"/>
              <w:jc w:val="right"/>
              <w:outlineLvl w:val="0"/>
              <w:rPr>
                <w:rFonts w:cs="Arial"/>
                <w:b/>
                <w:bCs/>
                <w:color w:val="000000"/>
                <w:sz w:val="18"/>
                <w:szCs w:val="18"/>
                <w:lang w:eastAsia="hr-HR"/>
              </w:rPr>
            </w:pPr>
            <w:r w:rsidRPr="001A09CA">
              <w:rPr>
                <w:b/>
                <w:bCs/>
                <w:color w:val="000000"/>
                <w:sz w:val="18"/>
                <w:szCs w:val="18"/>
              </w:rPr>
              <w:t>4</w:t>
            </w:r>
            <w:r>
              <w:rPr>
                <w:b/>
                <w:bCs/>
                <w:color w:val="000000"/>
                <w:sz w:val="18"/>
                <w:szCs w:val="18"/>
              </w:rPr>
              <w:t>,</w:t>
            </w:r>
            <w:r w:rsidRPr="001A09CA">
              <w:rPr>
                <w:b/>
                <w:bCs/>
                <w:color w:val="000000"/>
                <w:sz w:val="18"/>
                <w:szCs w:val="18"/>
              </w:rPr>
              <w:t>915</w:t>
            </w:r>
            <w:r>
              <w:rPr>
                <w:b/>
                <w:bCs/>
                <w:color w:val="000000"/>
                <w:sz w:val="18"/>
                <w:szCs w:val="18"/>
              </w:rPr>
              <w:t>,</w:t>
            </w:r>
            <w:r w:rsidRPr="001A09CA">
              <w:rPr>
                <w:b/>
                <w:bCs/>
                <w:color w:val="000000"/>
                <w:sz w:val="18"/>
                <w:szCs w:val="18"/>
              </w:rPr>
              <w:t>481</w:t>
            </w:r>
          </w:p>
        </w:tc>
        <w:tc>
          <w:tcPr>
            <w:tcW w:w="580" w:type="pct"/>
            <w:tcBorders>
              <w:top w:val="single" w:sz="8" w:space="0" w:color="auto"/>
              <w:left w:val="nil"/>
              <w:bottom w:val="single" w:sz="12" w:space="0" w:color="auto"/>
              <w:right w:val="nil"/>
            </w:tcBorders>
            <w:shd w:val="clear" w:color="auto" w:fill="auto"/>
            <w:vAlign w:val="bottom"/>
          </w:tcPr>
          <w:p w14:paraId="4181868F" w14:textId="6AEEECA5" w:rsidR="00D533A8" w:rsidRPr="00321238" w:rsidRDefault="00D533A8" w:rsidP="00D533A8">
            <w:pPr>
              <w:spacing w:after="0" w:line="240" w:lineRule="exact"/>
              <w:jc w:val="right"/>
              <w:outlineLvl w:val="0"/>
              <w:rPr>
                <w:rFonts w:cs="Arial"/>
                <w:b/>
                <w:bCs/>
                <w:color w:val="000000"/>
                <w:sz w:val="18"/>
                <w:szCs w:val="18"/>
                <w:lang w:eastAsia="hr-HR"/>
              </w:rPr>
            </w:pPr>
            <w:r w:rsidRPr="001A09CA">
              <w:rPr>
                <w:b/>
                <w:bCs/>
                <w:color w:val="000000"/>
                <w:sz w:val="18"/>
                <w:szCs w:val="18"/>
              </w:rPr>
              <w:t>12</w:t>
            </w:r>
            <w:r>
              <w:rPr>
                <w:b/>
                <w:bCs/>
                <w:color w:val="000000"/>
                <w:sz w:val="18"/>
                <w:szCs w:val="18"/>
              </w:rPr>
              <w:t>,</w:t>
            </w:r>
            <w:r w:rsidRPr="001A09CA">
              <w:rPr>
                <w:b/>
                <w:bCs/>
                <w:color w:val="000000"/>
                <w:sz w:val="18"/>
                <w:szCs w:val="18"/>
              </w:rPr>
              <w:t>809</w:t>
            </w:r>
            <w:r>
              <w:rPr>
                <w:b/>
                <w:bCs/>
                <w:color w:val="000000"/>
                <w:sz w:val="18"/>
                <w:szCs w:val="18"/>
              </w:rPr>
              <w:t>,</w:t>
            </w:r>
            <w:r w:rsidRPr="001A09CA">
              <w:rPr>
                <w:b/>
                <w:bCs/>
                <w:color w:val="000000"/>
                <w:sz w:val="18"/>
                <w:szCs w:val="18"/>
              </w:rPr>
              <w:t>907</w:t>
            </w:r>
          </w:p>
        </w:tc>
        <w:tc>
          <w:tcPr>
            <w:tcW w:w="576" w:type="pct"/>
            <w:tcBorders>
              <w:top w:val="single" w:sz="8" w:space="0" w:color="auto"/>
              <w:left w:val="nil"/>
              <w:bottom w:val="single" w:sz="12" w:space="0" w:color="auto"/>
              <w:right w:val="nil"/>
            </w:tcBorders>
            <w:shd w:val="clear" w:color="auto" w:fill="auto"/>
            <w:vAlign w:val="bottom"/>
          </w:tcPr>
          <w:p w14:paraId="2113FD0F" w14:textId="13E9DDAB" w:rsidR="00D533A8" w:rsidRPr="00321238" w:rsidRDefault="00D533A8" w:rsidP="00D533A8">
            <w:pPr>
              <w:spacing w:after="0" w:line="240" w:lineRule="exact"/>
              <w:jc w:val="right"/>
              <w:outlineLvl w:val="0"/>
              <w:rPr>
                <w:rFonts w:cs="Arial"/>
                <w:b/>
                <w:bCs/>
                <w:color w:val="000000"/>
                <w:sz w:val="18"/>
                <w:szCs w:val="18"/>
                <w:lang w:eastAsia="hr-HR"/>
              </w:rPr>
            </w:pPr>
            <w:r w:rsidRPr="001A09CA">
              <w:rPr>
                <w:b/>
                <w:bCs/>
                <w:color w:val="000000"/>
                <w:sz w:val="18"/>
                <w:szCs w:val="18"/>
              </w:rPr>
              <w:t>28</w:t>
            </w:r>
            <w:r>
              <w:rPr>
                <w:b/>
                <w:bCs/>
                <w:color w:val="000000"/>
                <w:sz w:val="18"/>
                <w:szCs w:val="18"/>
              </w:rPr>
              <w:t>,</w:t>
            </w:r>
            <w:r w:rsidRPr="001A09CA">
              <w:rPr>
                <w:b/>
                <w:bCs/>
                <w:color w:val="000000"/>
                <w:sz w:val="18"/>
                <w:szCs w:val="18"/>
              </w:rPr>
              <w:t>300</w:t>
            </w:r>
            <w:r>
              <w:rPr>
                <w:b/>
                <w:bCs/>
                <w:color w:val="000000"/>
                <w:sz w:val="18"/>
                <w:szCs w:val="18"/>
              </w:rPr>
              <w:t>,</w:t>
            </w:r>
            <w:r w:rsidRPr="001A09CA">
              <w:rPr>
                <w:b/>
                <w:bCs/>
                <w:color w:val="000000"/>
                <w:sz w:val="18"/>
                <w:szCs w:val="18"/>
              </w:rPr>
              <w:t>724</w:t>
            </w:r>
          </w:p>
        </w:tc>
      </w:tr>
      <w:tr w:rsidR="0013539B" w:rsidRPr="00321238" w14:paraId="02D37614" w14:textId="77777777" w:rsidTr="009702B0">
        <w:trPr>
          <w:trHeight w:val="251"/>
        </w:trPr>
        <w:tc>
          <w:tcPr>
            <w:tcW w:w="1524" w:type="pct"/>
            <w:vAlign w:val="bottom"/>
          </w:tcPr>
          <w:p w14:paraId="275AC9DF" w14:textId="77777777" w:rsidR="0013539B" w:rsidRPr="00321238" w:rsidRDefault="0013539B" w:rsidP="0013539B">
            <w:pPr>
              <w:tabs>
                <w:tab w:val="right" w:pos="1202"/>
              </w:tabs>
              <w:spacing w:after="0" w:line="200" w:lineRule="exact"/>
              <w:outlineLvl w:val="0"/>
              <w:rPr>
                <w:rFonts w:eastAsia="Times New Roman" w:cs="Arial"/>
                <w:b/>
                <w:bCs/>
                <w:sz w:val="18"/>
                <w:szCs w:val="18"/>
              </w:rPr>
            </w:pPr>
            <w:r w:rsidRPr="00321238">
              <w:rPr>
                <w:rFonts w:eastAsia="Times New Roman" w:cs="Arial"/>
                <w:b/>
                <w:bCs/>
                <w:sz w:val="18"/>
                <w:szCs w:val="18"/>
              </w:rPr>
              <w:t>Liabilities</w:t>
            </w:r>
          </w:p>
        </w:tc>
        <w:tc>
          <w:tcPr>
            <w:tcW w:w="581" w:type="pct"/>
            <w:vAlign w:val="bottom"/>
          </w:tcPr>
          <w:p w14:paraId="60FF3C36" w14:textId="77777777" w:rsidR="0013539B" w:rsidRPr="00321238" w:rsidRDefault="0013539B" w:rsidP="0013539B">
            <w:pPr>
              <w:spacing w:after="0" w:line="220" w:lineRule="exact"/>
              <w:jc w:val="right"/>
              <w:outlineLvl w:val="0"/>
              <w:rPr>
                <w:rFonts w:eastAsia="Times New Roman" w:cs="Arial"/>
                <w:b/>
                <w:bCs/>
                <w:spacing w:val="-2"/>
                <w:sz w:val="18"/>
                <w:szCs w:val="18"/>
              </w:rPr>
            </w:pPr>
          </w:p>
        </w:tc>
        <w:tc>
          <w:tcPr>
            <w:tcW w:w="579" w:type="pct"/>
            <w:vAlign w:val="bottom"/>
          </w:tcPr>
          <w:p w14:paraId="3AB5D968" w14:textId="77777777" w:rsidR="0013539B" w:rsidRPr="00321238" w:rsidRDefault="0013539B" w:rsidP="0013539B">
            <w:pPr>
              <w:spacing w:after="0" w:line="220" w:lineRule="exact"/>
              <w:jc w:val="right"/>
              <w:outlineLvl w:val="0"/>
              <w:rPr>
                <w:rFonts w:eastAsia="Times New Roman" w:cs="Arial"/>
                <w:b/>
                <w:bCs/>
                <w:spacing w:val="-2"/>
                <w:sz w:val="18"/>
                <w:szCs w:val="18"/>
              </w:rPr>
            </w:pPr>
          </w:p>
        </w:tc>
        <w:tc>
          <w:tcPr>
            <w:tcW w:w="580" w:type="pct"/>
            <w:vAlign w:val="bottom"/>
          </w:tcPr>
          <w:p w14:paraId="6D6232EF" w14:textId="77777777" w:rsidR="0013539B" w:rsidRPr="00321238" w:rsidRDefault="0013539B" w:rsidP="0013539B">
            <w:pPr>
              <w:spacing w:after="0" w:line="220" w:lineRule="exact"/>
              <w:jc w:val="right"/>
              <w:outlineLvl w:val="0"/>
              <w:rPr>
                <w:rFonts w:eastAsia="Times New Roman" w:cs="Arial"/>
                <w:b/>
                <w:bCs/>
                <w:spacing w:val="-2"/>
                <w:sz w:val="18"/>
                <w:szCs w:val="18"/>
              </w:rPr>
            </w:pPr>
          </w:p>
        </w:tc>
        <w:tc>
          <w:tcPr>
            <w:tcW w:w="579" w:type="pct"/>
            <w:vAlign w:val="bottom"/>
          </w:tcPr>
          <w:p w14:paraId="6B48F7F4" w14:textId="77777777" w:rsidR="0013539B" w:rsidRPr="00321238" w:rsidRDefault="0013539B" w:rsidP="0013539B">
            <w:pPr>
              <w:spacing w:after="0" w:line="220" w:lineRule="exact"/>
              <w:jc w:val="right"/>
              <w:outlineLvl w:val="0"/>
              <w:rPr>
                <w:rFonts w:eastAsia="Times New Roman" w:cs="Arial"/>
                <w:b/>
                <w:bCs/>
                <w:spacing w:val="-2"/>
                <w:sz w:val="18"/>
                <w:szCs w:val="18"/>
              </w:rPr>
            </w:pPr>
          </w:p>
        </w:tc>
        <w:tc>
          <w:tcPr>
            <w:tcW w:w="580" w:type="pct"/>
            <w:vAlign w:val="bottom"/>
          </w:tcPr>
          <w:p w14:paraId="695D32AA" w14:textId="77777777" w:rsidR="0013539B" w:rsidRPr="00321238" w:rsidRDefault="0013539B" w:rsidP="0013539B">
            <w:pPr>
              <w:spacing w:after="0" w:line="220" w:lineRule="exact"/>
              <w:jc w:val="right"/>
              <w:outlineLvl w:val="0"/>
              <w:rPr>
                <w:rFonts w:eastAsia="Times New Roman" w:cs="Arial"/>
                <w:b/>
                <w:bCs/>
                <w:spacing w:val="-2"/>
                <w:sz w:val="18"/>
                <w:szCs w:val="18"/>
              </w:rPr>
            </w:pPr>
          </w:p>
        </w:tc>
        <w:tc>
          <w:tcPr>
            <w:tcW w:w="576" w:type="pct"/>
            <w:vAlign w:val="bottom"/>
          </w:tcPr>
          <w:p w14:paraId="376D9AAB" w14:textId="77777777" w:rsidR="0013539B" w:rsidRPr="00321238" w:rsidRDefault="0013539B" w:rsidP="0013539B">
            <w:pPr>
              <w:spacing w:after="0" w:line="220" w:lineRule="exact"/>
              <w:jc w:val="right"/>
              <w:outlineLvl w:val="0"/>
              <w:rPr>
                <w:rFonts w:eastAsia="Times New Roman" w:cs="Arial"/>
                <w:b/>
                <w:bCs/>
                <w:sz w:val="18"/>
                <w:szCs w:val="18"/>
              </w:rPr>
            </w:pPr>
          </w:p>
        </w:tc>
      </w:tr>
      <w:tr w:rsidR="00D533A8" w:rsidRPr="00321238" w14:paraId="0C62AF86" w14:textId="77777777" w:rsidTr="005444AA">
        <w:trPr>
          <w:trHeight w:val="251"/>
        </w:trPr>
        <w:tc>
          <w:tcPr>
            <w:tcW w:w="1524" w:type="pct"/>
            <w:vAlign w:val="bottom"/>
          </w:tcPr>
          <w:p w14:paraId="05659C95" w14:textId="77777777" w:rsidR="00D533A8" w:rsidRPr="00321238" w:rsidRDefault="00D533A8" w:rsidP="00D533A8">
            <w:pPr>
              <w:tabs>
                <w:tab w:val="right" w:pos="1202"/>
              </w:tabs>
              <w:spacing w:after="0" w:line="200" w:lineRule="exact"/>
              <w:outlineLvl w:val="0"/>
              <w:rPr>
                <w:rFonts w:eastAsia="Times New Roman" w:cs="Arial"/>
                <w:sz w:val="18"/>
                <w:szCs w:val="18"/>
              </w:rPr>
            </w:pPr>
            <w:r w:rsidRPr="00321238">
              <w:rPr>
                <w:rFonts w:eastAsia="Times New Roman" w:cs="Arial"/>
                <w:spacing w:val="-2"/>
                <w:sz w:val="18"/>
                <w:szCs w:val="18"/>
              </w:rPr>
              <w:t xml:space="preserve">Deposits </w:t>
            </w:r>
          </w:p>
        </w:tc>
        <w:tc>
          <w:tcPr>
            <w:tcW w:w="581" w:type="pct"/>
            <w:tcBorders>
              <w:top w:val="nil"/>
              <w:left w:val="nil"/>
              <w:bottom w:val="nil"/>
              <w:right w:val="nil"/>
            </w:tcBorders>
            <w:shd w:val="clear" w:color="auto" w:fill="auto"/>
            <w:vAlign w:val="center"/>
          </w:tcPr>
          <w:p w14:paraId="2634C644" w14:textId="60D09B40"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732</w:t>
            </w:r>
            <w:r>
              <w:rPr>
                <w:color w:val="000000"/>
                <w:sz w:val="18"/>
                <w:szCs w:val="18"/>
              </w:rPr>
              <w:t>,</w:t>
            </w:r>
            <w:r w:rsidRPr="001A09CA">
              <w:rPr>
                <w:color w:val="000000"/>
                <w:sz w:val="18"/>
                <w:szCs w:val="18"/>
              </w:rPr>
              <w:t>851</w:t>
            </w:r>
          </w:p>
        </w:tc>
        <w:tc>
          <w:tcPr>
            <w:tcW w:w="579" w:type="pct"/>
            <w:tcBorders>
              <w:top w:val="nil"/>
              <w:left w:val="nil"/>
              <w:bottom w:val="nil"/>
              <w:right w:val="nil"/>
            </w:tcBorders>
            <w:shd w:val="clear" w:color="auto" w:fill="auto"/>
            <w:vAlign w:val="center"/>
          </w:tcPr>
          <w:p w14:paraId="51A6E9C5" w14:textId="0373BF25"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165</w:t>
            </w:r>
            <w:r>
              <w:rPr>
                <w:color w:val="000000"/>
                <w:sz w:val="18"/>
                <w:szCs w:val="18"/>
              </w:rPr>
              <w:t>,</w:t>
            </w:r>
            <w:r w:rsidRPr="001A09CA">
              <w:rPr>
                <w:color w:val="000000"/>
                <w:sz w:val="18"/>
                <w:szCs w:val="18"/>
              </w:rPr>
              <w:t>501</w:t>
            </w:r>
          </w:p>
        </w:tc>
        <w:tc>
          <w:tcPr>
            <w:tcW w:w="580" w:type="pct"/>
            <w:tcBorders>
              <w:top w:val="nil"/>
              <w:left w:val="nil"/>
              <w:bottom w:val="nil"/>
              <w:right w:val="nil"/>
            </w:tcBorders>
            <w:shd w:val="clear" w:color="auto" w:fill="auto"/>
            <w:vAlign w:val="center"/>
          </w:tcPr>
          <w:p w14:paraId="0B631BAD" w14:textId="0D6A1623"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1</w:t>
            </w:r>
            <w:r>
              <w:rPr>
                <w:color w:val="000000"/>
                <w:sz w:val="18"/>
                <w:szCs w:val="18"/>
              </w:rPr>
              <w:t>,</w:t>
            </w:r>
            <w:r w:rsidRPr="001A09CA">
              <w:rPr>
                <w:color w:val="000000"/>
                <w:sz w:val="18"/>
                <w:szCs w:val="18"/>
              </w:rPr>
              <w:t>739</w:t>
            </w:r>
          </w:p>
        </w:tc>
        <w:tc>
          <w:tcPr>
            <w:tcW w:w="579" w:type="pct"/>
            <w:tcBorders>
              <w:top w:val="nil"/>
              <w:left w:val="nil"/>
              <w:bottom w:val="nil"/>
              <w:right w:val="nil"/>
            </w:tcBorders>
            <w:shd w:val="clear" w:color="auto" w:fill="auto"/>
            <w:vAlign w:val="center"/>
          </w:tcPr>
          <w:p w14:paraId="74296342" w14:textId="3EB7870C"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20</w:t>
            </w:r>
            <w:r>
              <w:rPr>
                <w:color w:val="000000"/>
                <w:sz w:val="18"/>
                <w:szCs w:val="18"/>
              </w:rPr>
              <w:t>,</w:t>
            </w:r>
            <w:r w:rsidRPr="001A09CA">
              <w:rPr>
                <w:color w:val="000000"/>
                <w:sz w:val="18"/>
                <w:szCs w:val="18"/>
              </w:rPr>
              <w:t>775</w:t>
            </w:r>
          </w:p>
        </w:tc>
        <w:tc>
          <w:tcPr>
            <w:tcW w:w="580" w:type="pct"/>
            <w:tcBorders>
              <w:top w:val="nil"/>
              <w:left w:val="nil"/>
              <w:bottom w:val="nil"/>
              <w:right w:val="nil"/>
            </w:tcBorders>
            <w:shd w:val="clear" w:color="auto" w:fill="auto"/>
            <w:vAlign w:val="center"/>
          </w:tcPr>
          <w:p w14:paraId="72D1C9A5" w14:textId="6F321163"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19</w:t>
            </w:r>
            <w:r>
              <w:rPr>
                <w:color w:val="000000"/>
                <w:sz w:val="18"/>
                <w:szCs w:val="18"/>
              </w:rPr>
              <w:t>,</w:t>
            </w:r>
            <w:r w:rsidRPr="001A09CA">
              <w:rPr>
                <w:color w:val="000000"/>
                <w:sz w:val="18"/>
                <w:szCs w:val="18"/>
              </w:rPr>
              <w:t>918</w:t>
            </w:r>
          </w:p>
        </w:tc>
        <w:tc>
          <w:tcPr>
            <w:tcW w:w="576" w:type="pct"/>
            <w:tcBorders>
              <w:top w:val="nil"/>
              <w:left w:val="nil"/>
              <w:bottom w:val="nil"/>
              <w:right w:val="nil"/>
            </w:tcBorders>
            <w:shd w:val="clear" w:color="auto" w:fill="auto"/>
            <w:vAlign w:val="center"/>
          </w:tcPr>
          <w:p w14:paraId="7531A3B8" w14:textId="1EFE51C1"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940</w:t>
            </w:r>
            <w:r>
              <w:rPr>
                <w:color w:val="000000"/>
                <w:sz w:val="18"/>
                <w:szCs w:val="18"/>
              </w:rPr>
              <w:t>,</w:t>
            </w:r>
            <w:r w:rsidRPr="001A09CA">
              <w:rPr>
                <w:color w:val="000000"/>
                <w:sz w:val="18"/>
                <w:szCs w:val="18"/>
              </w:rPr>
              <w:t>784</w:t>
            </w:r>
          </w:p>
        </w:tc>
      </w:tr>
      <w:tr w:rsidR="00D533A8" w:rsidRPr="00321238" w14:paraId="660CB5D4" w14:textId="77777777" w:rsidTr="005444AA">
        <w:trPr>
          <w:trHeight w:val="267"/>
        </w:trPr>
        <w:tc>
          <w:tcPr>
            <w:tcW w:w="1524" w:type="pct"/>
            <w:vAlign w:val="bottom"/>
          </w:tcPr>
          <w:p w14:paraId="40F46DE3" w14:textId="77777777" w:rsidR="00D533A8" w:rsidRPr="00321238" w:rsidRDefault="00D533A8" w:rsidP="00D533A8">
            <w:pPr>
              <w:tabs>
                <w:tab w:val="right" w:pos="1202"/>
              </w:tabs>
              <w:spacing w:after="0" w:line="200" w:lineRule="exact"/>
              <w:outlineLvl w:val="0"/>
              <w:rPr>
                <w:rFonts w:eastAsia="Times New Roman" w:cs="Arial"/>
                <w:sz w:val="18"/>
                <w:szCs w:val="18"/>
              </w:rPr>
            </w:pPr>
            <w:r w:rsidRPr="00321238">
              <w:rPr>
                <w:rFonts w:eastAsia="Times New Roman" w:cs="Arial"/>
                <w:spacing w:val="-2"/>
                <w:sz w:val="18"/>
                <w:szCs w:val="18"/>
              </w:rPr>
              <w:t xml:space="preserve">Borrowings </w:t>
            </w:r>
          </w:p>
        </w:tc>
        <w:tc>
          <w:tcPr>
            <w:tcW w:w="581" w:type="pct"/>
            <w:tcBorders>
              <w:top w:val="nil"/>
              <w:left w:val="nil"/>
              <w:bottom w:val="nil"/>
              <w:right w:val="nil"/>
            </w:tcBorders>
            <w:shd w:val="clear" w:color="auto" w:fill="auto"/>
            <w:vAlign w:val="center"/>
          </w:tcPr>
          <w:p w14:paraId="7C287EDE" w14:textId="7C11B3BA"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74</w:t>
            </w:r>
            <w:r>
              <w:rPr>
                <w:color w:val="000000"/>
                <w:sz w:val="18"/>
                <w:szCs w:val="18"/>
              </w:rPr>
              <w:t>,</w:t>
            </w:r>
            <w:r w:rsidRPr="001A09CA">
              <w:rPr>
                <w:color w:val="000000"/>
                <w:sz w:val="18"/>
                <w:szCs w:val="18"/>
              </w:rPr>
              <w:t>500</w:t>
            </w:r>
          </w:p>
        </w:tc>
        <w:tc>
          <w:tcPr>
            <w:tcW w:w="579" w:type="pct"/>
            <w:tcBorders>
              <w:top w:val="nil"/>
              <w:left w:val="nil"/>
              <w:bottom w:val="nil"/>
              <w:right w:val="nil"/>
            </w:tcBorders>
            <w:shd w:val="clear" w:color="auto" w:fill="auto"/>
            <w:vAlign w:val="center"/>
          </w:tcPr>
          <w:p w14:paraId="38980FF2" w14:textId="4A8F9DA5"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528</w:t>
            </w:r>
            <w:r>
              <w:rPr>
                <w:color w:val="000000"/>
                <w:sz w:val="18"/>
                <w:szCs w:val="18"/>
              </w:rPr>
              <w:t>,</w:t>
            </w:r>
            <w:r w:rsidRPr="001A09CA">
              <w:rPr>
                <w:color w:val="000000"/>
                <w:sz w:val="18"/>
                <w:szCs w:val="18"/>
              </w:rPr>
              <w:t>428</w:t>
            </w:r>
          </w:p>
        </w:tc>
        <w:tc>
          <w:tcPr>
            <w:tcW w:w="580" w:type="pct"/>
            <w:tcBorders>
              <w:top w:val="nil"/>
              <w:left w:val="nil"/>
              <w:bottom w:val="nil"/>
              <w:right w:val="nil"/>
            </w:tcBorders>
            <w:shd w:val="clear" w:color="auto" w:fill="auto"/>
            <w:vAlign w:val="center"/>
          </w:tcPr>
          <w:p w14:paraId="3CA89626" w14:textId="11B5F57D"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1</w:t>
            </w:r>
            <w:r>
              <w:rPr>
                <w:color w:val="000000"/>
                <w:sz w:val="18"/>
                <w:szCs w:val="18"/>
              </w:rPr>
              <w:t>,</w:t>
            </w:r>
            <w:r w:rsidRPr="001A09CA">
              <w:rPr>
                <w:color w:val="000000"/>
                <w:sz w:val="18"/>
                <w:szCs w:val="18"/>
              </w:rPr>
              <w:t>175</w:t>
            </w:r>
            <w:r>
              <w:rPr>
                <w:color w:val="000000"/>
                <w:sz w:val="18"/>
                <w:szCs w:val="18"/>
              </w:rPr>
              <w:t>,</w:t>
            </w:r>
            <w:r w:rsidRPr="001A09CA">
              <w:rPr>
                <w:color w:val="000000"/>
                <w:sz w:val="18"/>
                <w:szCs w:val="18"/>
              </w:rPr>
              <w:t>170</w:t>
            </w:r>
          </w:p>
        </w:tc>
        <w:tc>
          <w:tcPr>
            <w:tcW w:w="579" w:type="pct"/>
            <w:tcBorders>
              <w:top w:val="nil"/>
              <w:left w:val="nil"/>
              <w:bottom w:val="nil"/>
              <w:right w:val="nil"/>
            </w:tcBorders>
            <w:shd w:val="clear" w:color="auto" w:fill="auto"/>
            <w:vAlign w:val="center"/>
          </w:tcPr>
          <w:p w14:paraId="2A95047A" w14:textId="4AE4F489"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3</w:t>
            </w:r>
            <w:r>
              <w:rPr>
                <w:color w:val="000000"/>
                <w:sz w:val="18"/>
                <w:szCs w:val="18"/>
              </w:rPr>
              <w:t>,</w:t>
            </w:r>
            <w:r w:rsidRPr="001A09CA">
              <w:rPr>
                <w:color w:val="000000"/>
                <w:sz w:val="18"/>
                <w:szCs w:val="18"/>
              </w:rPr>
              <w:t>683</w:t>
            </w:r>
            <w:r>
              <w:rPr>
                <w:color w:val="000000"/>
                <w:sz w:val="18"/>
                <w:szCs w:val="18"/>
              </w:rPr>
              <w:t>,</w:t>
            </w:r>
            <w:r w:rsidRPr="001A09CA">
              <w:rPr>
                <w:color w:val="000000"/>
                <w:sz w:val="18"/>
                <w:szCs w:val="18"/>
              </w:rPr>
              <w:t>546</w:t>
            </w:r>
          </w:p>
        </w:tc>
        <w:tc>
          <w:tcPr>
            <w:tcW w:w="580" w:type="pct"/>
            <w:tcBorders>
              <w:top w:val="nil"/>
              <w:left w:val="nil"/>
              <w:bottom w:val="nil"/>
              <w:right w:val="nil"/>
            </w:tcBorders>
            <w:shd w:val="clear" w:color="auto" w:fill="auto"/>
            <w:vAlign w:val="center"/>
          </w:tcPr>
          <w:p w14:paraId="31D9798A" w14:textId="7B4EBC7B"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9</w:t>
            </w:r>
            <w:r>
              <w:rPr>
                <w:color w:val="000000"/>
                <w:sz w:val="18"/>
                <w:szCs w:val="18"/>
              </w:rPr>
              <w:t>,</w:t>
            </w:r>
            <w:r w:rsidRPr="001A09CA">
              <w:rPr>
                <w:color w:val="000000"/>
                <w:sz w:val="18"/>
                <w:szCs w:val="18"/>
              </w:rPr>
              <w:t>874</w:t>
            </w:r>
            <w:r>
              <w:rPr>
                <w:color w:val="000000"/>
                <w:sz w:val="18"/>
                <w:szCs w:val="18"/>
              </w:rPr>
              <w:t>,</w:t>
            </w:r>
            <w:r w:rsidRPr="001A09CA">
              <w:rPr>
                <w:color w:val="000000"/>
                <w:sz w:val="18"/>
                <w:szCs w:val="18"/>
              </w:rPr>
              <w:t>190</w:t>
            </w:r>
          </w:p>
        </w:tc>
        <w:tc>
          <w:tcPr>
            <w:tcW w:w="576" w:type="pct"/>
            <w:tcBorders>
              <w:top w:val="nil"/>
              <w:left w:val="nil"/>
              <w:bottom w:val="nil"/>
              <w:right w:val="nil"/>
            </w:tcBorders>
            <w:shd w:val="clear" w:color="auto" w:fill="auto"/>
            <w:vAlign w:val="center"/>
          </w:tcPr>
          <w:p w14:paraId="7F1865F7" w14:textId="2FF657D6"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15</w:t>
            </w:r>
            <w:r>
              <w:rPr>
                <w:color w:val="000000"/>
                <w:sz w:val="18"/>
                <w:szCs w:val="18"/>
              </w:rPr>
              <w:t>,</w:t>
            </w:r>
            <w:r w:rsidRPr="001A09CA">
              <w:rPr>
                <w:color w:val="000000"/>
                <w:sz w:val="18"/>
                <w:szCs w:val="18"/>
              </w:rPr>
              <w:t>335</w:t>
            </w:r>
            <w:r>
              <w:rPr>
                <w:color w:val="000000"/>
                <w:sz w:val="18"/>
                <w:szCs w:val="18"/>
              </w:rPr>
              <w:t>,</w:t>
            </w:r>
            <w:r w:rsidRPr="001A09CA">
              <w:rPr>
                <w:color w:val="000000"/>
                <w:sz w:val="18"/>
                <w:szCs w:val="18"/>
              </w:rPr>
              <w:t>834</w:t>
            </w:r>
          </w:p>
        </w:tc>
      </w:tr>
      <w:tr w:rsidR="00D533A8" w:rsidRPr="00321238" w14:paraId="1C33A94F" w14:textId="77777777" w:rsidTr="009702B0">
        <w:trPr>
          <w:trHeight w:val="267"/>
        </w:trPr>
        <w:tc>
          <w:tcPr>
            <w:tcW w:w="1524" w:type="pct"/>
            <w:vAlign w:val="bottom"/>
          </w:tcPr>
          <w:p w14:paraId="10A88506" w14:textId="77777777" w:rsidR="00D533A8" w:rsidRPr="00321238" w:rsidRDefault="00D533A8" w:rsidP="00D533A8">
            <w:pPr>
              <w:tabs>
                <w:tab w:val="right" w:pos="1202"/>
              </w:tabs>
              <w:spacing w:after="0" w:line="200" w:lineRule="exact"/>
              <w:outlineLvl w:val="0"/>
              <w:rPr>
                <w:rFonts w:eastAsia="Times New Roman" w:cs="Arial"/>
                <w:sz w:val="18"/>
                <w:szCs w:val="18"/>
              </w:rPr>
            </w:pPr>
            <w:r w:rsidRPr="00321238">
              <w:rPr>
                <w:rFonts w:eastAsia="Times New Roman" w:cs="Arial"/>
                <w:spacing w:val="-2"/>
                <w:sz w:val="18"/>
                <w:szCs w:val="18"/>
              </w:rPr>
              <w:t xml:space="preserve">Bonds payable </w:t>
            </w:r>
          </w:p>
        </w:tc>
        <w:tc>
          <w:tcPr>
            <w:tcW w:w="581" w:type="pct"/>
            <w:tcBorders>
              <w:top w:val="nil"/>
              <w:left w:val="nil"/>
              <w:bottom w:val="nil"/>
              <w:right w:val="nil"/>
            </w:tcBorders>
            <w:shd w:val="clear" w:color="auto" w:fill="auto"/>
            <w:vAlign w:val="bottom"/>
          </w:tcPr>
          <w:p w14:paraId="2C03E616" w14:textId="189471C1"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w:t>
            </w:r>
          </w:p>
        </w:tc>
        <w:tc>
          <w:tcPr>
            <w:tcW w:w="579" w:type="pct"/>
            <w:tcBorders>
              <w:top w:val="nil"/>
              <w:left w:val="nil"/>
              <w:bottom w:val="nil"/>
              <w:right w:val="nil"/>
            </w:tcBorders>
            <w:shd w:val="clear" w:color="auto" w:fill="auto"/>
            <w:vAlign w:val="bottom"/>
          </w:tcPr>
          <w:p w14:paraId="2C9EA898" w14:textId="2E282C25"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26</w:t>
            </w:r>
            <w:r>
              <w:rPr>
                <w:color w:val="000000"/>
                <w:sz w:val="18"/>
                <w:szCs w:val="18"/>
              </w:rPr>
              <w:t>,</w:t>
            </w:r>
            <w:r w:rsidRPr="001A09CA">
              <w:rPr>
                <w:color w:val="000000"/>
                <w:sz w:val="18"/>
                <w:szCs w:val="18"/>
              </w:rPr>
              <w:t>805</w:t>
            </w:r>
          </w:p>
        </w:tc>
        <w:tc>
          <w:tcPr>
            <w:tcW w:w="580" w:type="pct"/>
            <w:tcBorders>
              <w:top w:val="nil"/>
              <w:left w:val="nil"/>
              <w:bottom w:val="nil"/>
              <w:right w:val="nil"/>
            </w:tcBorders>
            <w:shd w:val="clear" w:color="auto" w:fill="auto"/>
            <w:vAlign w:val="bottom"/>
          </w:tcPr>
          <w:p w14:paraId="5DB69773" w14:textId="563240C3" w:rsidR="00D533A8" w:rsidRPr="00321238" w:rsidRDefault="00D533A8" w:rsidP="00D533A8">
            <w:pPr>
              <w:tabs>
                <w:tab w:val="right" w:pos="1202"/>
              </w:tabs>
              <w:spacing w:after="0" w:line="240" w:lineRule="exact"/>
              <w:jc w:val="right"/>
              <w:outlineLvl w:val="0"/>
              <w:rPr>
                <w:rFonts w:cs="Arial"/>
                <w:spacing w:val="-2"/>
                <w:sz w:val="18"/>
                <w:szCs w:val="18"/>
              </w:rPr>
            </w:pPr>
            <w:r>
              <w:rPr>
                <w:color w:val="000000"/>
                <w:sz w:val="18"/>
                <w:szCs w:val="18"/>
              </w:rPr>
              <w:t>-</w:t>
            </w:r>
          </w:p>
        </w:tc>
        <w:tc>
          <w:tcPr>
            <w:tcW w:w="579" w:type="pct"/>
            <w:tcBorders>
              <w:top w:val="nil"/>
              <w:left w:val="nil"/>
              <w:bottom w:val="nil"/>
              <w:right w:val="nil"/>
            </w:tcBorders>
            <w:shd w:val="clear" w:color="auto" w:fill="auto"/>
            <w:vAlign w:val="bottom"/>
          </w:tcPr>
          <w:p w14:paraId="40DCF483" w14:textId="53037744"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1</w:t>
            </w:r>
            <w:r>
              <w:rPr>
                <w:color w:val="000000"/>
                <w:sz w:val="18"/>
                <w:szCs w:val="18"/>
              </w:rPr>
              <w:t>,</w:t>
            </w:r>
            <w:r w:rsidRPr="001A09CA">
              <w:rPr>
                <w:color w:val="000000"/>
                <w:sz w:val="18"/>
                <w:szCs w:val="18"/>
              </w:rPr>
              <w:t>114</w:t>
            </w:r>
            <w:r>
              <w:rPr>
                <w:color w:val="000000"/>
                <w:sz w:val="18"/>
                <w:szCs w:val="18"/>
              </w:rPr>
              <w:t>,</w:t>
            </w:r>
            <w:r w:rsidRPr="001A09CA">
              <w:rPr>
                <w:color w:val="000000"/>
                <w:sz w:val="18"/>
                <w:szCs w:val="18"/>
              </w:rPr>
              <w:t>417</w:t>
            </w:r>
          </w:p>
        </w:tc>
        <w:tc>
          <w:tcPr>
            <w:tcW w:w="580" w:type="pct"/>
            <w:tcBorders>
              <w:top w:val="nil"/>
              <w:left w:val="nil"/>
              <w:bottom w:val="nil"/>
              <w:right w:val="nil"/>
            </w:tcBorders>
            <w:shd w:val="clear" w:color="auto" w:fill="auto"/>
            <w:vAlign w:val="bottom"/>
          </w:tcPr>
          <w:p w14:paraId="779D2858" w14:textId="4703453E"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w:t>
            </w:r>
          </w:p>
        </w:tc>
        <w:tc>
          <w:tcPr>
            <w:tcW w:w="576" w:type="pct"/>
            <w:tcBorders>
              <w:top w:val="nil"/>
              <w:left w:val="nil"/>
              <w:bottom w:val="nil"/>
              <w:right w:val="nil"/>
            </w:tcBorders>
            <w:shd w:val="clear" w:color="auto" w:fill="auto"/>
            <w:vAlign w:val="bottom"/>
          </w:tcPr>
          <w:p w14:paraId="6321A13E" w14:textId="70565F0F"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1</w:t>
            </w:r>
            <w:r>
              <w:rPr>
                <w:color w:val="000000"/>
                <w:sz w:val="18"/>
                <w:szCs w:val="18"/>
              </w:rPr>
              <w:t>,</w:t>
            </w:r>
            <w:r w:rsidRPr="001A09CA">
              <w:rPr>
                <w:color w:val="000000"/>
                <w:sz w:val="18"/>
                <w:szCs w:val="18"/>
              </w:rPr>
              <w:t>141</w:t>
            </w:r>
            <w:r>
              <w:rPr>
                <w:color w:val="000000"/>
                <w:sz w:val="18"/>
                <w:szCs w:val="18"/>
              </w:rPr>
              <w:t>,</w:t>
            </w:r>
            <w:r w:rsidRPr="001A09CA">
              <w:rPr>
                <w:color w:val="000000"/>
                <w:sz w:val="18"/>
                <w:szCs w:val="18"/>
              </w:rPr>
              <w:t>222</w:t>
            </w:r>
          </w:p>
        </w:tc>
      </w:tr>
      <w:tr w:rsidR="00D533A8" w:rsidRPr="00321238" w14:paraId="3E03DD6C" w14:textId="77777777" w:rsidTr="006B318F">
        <w:trPr>
          <w:trHeight w:val="251"/>
        </w:trPr>
        <w:tc>
          <w:tcPr>
            <w:tcW w:w="1524" w:type="pct"/>
            <w:vAlign w:val="bottom"/>
          </w:tcPr>
          <w:p w14:paraId="04F2F0C1" w14:textId="77777777" w:rsidR="00D533A8" w:rsidRPr="00321238" w:rsidRDefault="00D533A8" w:rsidP="00D533A8">
            <w:pPr>
              <w:tabs>
                <w:tab w:val="right" w:pos="1202"/>
              </w:tabs>
              <w:spacing w:after="0" w:line="200" w:lineRule="exact"/>
              <w:outlineLvl w:val="0"/>
              <w:rPr>
                <w:rFonts w:eastAsia="Times New Roman" w:cs="Arial"/>
                <w:sz w:val="18"/>
                <w:szCs w:val="18"/>
              </w:rPr>
            </w:pPr>
            <w:r w:rsidRPr="00321238">
              <w:rPr>
                <w:rFonts w:eastAsia="Times New Roman" w:cs="Arial"/>
                <w:spacing w:val="-2"/>
                <w:sz w:val="18"/>
                <w:szCs w:val="18"/>
              </w:rPr>
              <w:t xml:space="preserve">Other liabilities </w:t>
            </w:r>
          </w:p>
        </w:tc>
        <w:tc>
          <w:tcPr>
            <w:tcW w:w="581" w:type="pct"/>
            <w:tcBorders>
              <w:top w:val="nil"/>
              <w:left w:val="nil"/>
              <w:bottom w:val="nil"/>
              <w:right w:val="nil"/>
            </w:tcBorders>
            <w:shd w:val="clear" w:color="auto" w:fill="auto"/>
            <w:vAlign w:val="center"/>
          </w:tcPr>
          <w:p w14:paraId="770AC04D" w14:textId="7AA91185"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165</w:t>
            </w:r>
            <w:r>
              <w:rPr>
                <w:color w:val="000000"/>
                <w:sz w:val="18"/>
                <w:szCs w:val="18"/>
              </w:rPr>
              <w:t>,</w:t>
            </w:r>
            <w:r w:rsidRPr="001A09CA">
              <w:rPr>
                <w:color w:val="000000"/>
                <w:sz w:val="18"/>
                <w:szCs w:val="18"/>
              </w:rPr>
              <w:t>353</w:t>
            </w:r>
          </w:p>
        </w:tc>
        <w:tc>
          <w:tcPr>
            <w:tcW w:w="579" w:type="pct"/>
            <w:tcBorders>
              <w:top w:val="nil"/>
              <w:left w:val="nil"/>
              <w:bottom w:val="nil"/>
              <w:right w:val="nil"/>
            </w:tcBorders>
            <w:shd w:val="clear" w:color="auto" w:fill="auto"/>
            <w:vAlign w:val="center"/>
          </w:tcPr>
          <w:p w14:paraId="72803FE8" w14:textId="1C97F36A"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26</w:t>
            </w:r>
            <w:r>
              <w:rPr>
                <w:color w:val="000000"/>
                <w:sz w:val="18"/>
                <w:szCs w:val="18"/>
              </w:rPr>
              <w:t>,</w:t>
            </w:r>
            <w:r w:rsidRPr="001A09CA">
              <w:rPr>
                <w:color w:val="000000"/>
                <w:sz w:val="18"/>
                <w:szCs w:val="18"/>
              </w:rPr>
              <w:t>800</w:t>
            </w:r>
          </w:p>
        </w:tc>
        <w:tc>
          <w:tcPr>
            <w:tcW w:w="580" w:type="pct"/>
            <w:tcBorders>
              <w:top w:val="nil"/>
              <w:left w:val="nil"/>
              <w:bottom w:val="nil"/>
              <w:right w:val="nil"/>
            </w:tcBorders>
            <w:shd w:val="clear" w:color="auto" w:fill="auto"/>
            <w:vAlign w:val="center"/>
          </w:tcPr>
          <w:p w14:paraId="3D20A3E3" w14:textId="617D38F4"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83</w:t>
            </w:r>
            <w:r>
              <w:rPr>
                <w:color w:val="000000"/>
                <w:sz w:val="18"/>
                <w:szCs w:val="18"/>
              </w:rPr>
              <w:t>,</w:t>
            </w:r>
            <w:r w:rsidRPr="001A09CA">
              <w:rPr>
                <w:color w:val="000000"/>
                <w:sz w:val="18"/>
                <w:szCs w:val="18"/>
              </w:rPr>
              <w:t>220</w:t>
            </w:r>
          </w:p>
        </w:tc>
        <w:tc>
          <w:tcPr>
            <w:tcW w:w="579" w:type="pct"/>
            <w:tcBorders>
              <w:top w:val="nil"/>
              <w:left w:val="nil"/>
              <w:bottom w:val="nil"/>
              <w:right w:val="nil"/>
            </w:tcBorders>
            <w:shd w:val="clear" w:color="auto" w:fill="auto"/>
            <w:vAlign w:val="center"/>
          </w:tcPr>
          <w:p w14:paraId="283C1801" w14:textId="03DB8884"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168</w:t>
            </w:r>
            <w:r>
              <w:rPr>
                <w:color w:val="000000"/>
                <w:sz w:val="18"/>
                <w:szCs w:val="18"/>
              </w:rPr>
              <w:t>,</w:t>
            </w:r>
            <w:r w:rsidRPr="001A09CA">
              <w:rPr>
                <w:color w:val="000000"/>
                <w:sz w:val="18"/>
                <w:szCs w:val="18"/>
              </w:rPr>
              <w:t>359</w:t>
            </w:r>
          </w:p>
        </w:tc>
        <w:tc>
          <w:tcPr>
            <w:tcW w:w="580" w:type="pct"/>
            <w:tcBorders>
              <w:top w:val="nil"/>
              <w:left w:val="nil"/>
              <w:bottom w:val="nil"/>
              <w:right w:val="nil"/>
            </w:tcBorders>
            <w:shd w:val="clear" w:color="auto" w:fill="auto"/>
            <w:vAlign w:val="center"/>
          </w:tcPr>
          <w:p w14:paraId="24719E5B" w14:textId="1F607970"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178</w:t>
            </w:r>
            <w:r>
              <w:rPr>
                <w:color w:val="000000"/>
                <w:sz w:val="18"/>
                <w:szCs w:val="18"/>
              </w:rPr>
              <w:t>,</w:t>
            </w:r>
            <w:r w:rsidRPr="001A09CA">
              <w:rPr>
                <w:color w:val="000000"/>
                <w:sz w:val="18"/>
                <w:szCs w:val="18"/>
              </w:rPr>
              <w:t>338</w:t>
            </w:r>
          </w:p>
        </w:tc>
        <w:tc>
          <w:tcPr>
            <w:tcW w:w="576" w:type="pct"/>
            <w:tcBorders>
              <w:top w:val="nil"/>
              <w:left w:val="nil"/>
              <w:bottom w:val="nil"/>
              <w:right w:val="nil"/>
            </w:tcBorders>
            <w:shd w:val="clear" w:color="auto" w:fill="auto"/>
            <w:vAlign w:val="center"/>
          </w:tcPr>
          <w:p w14:paraId="35D4C12E" w14:textId="337C3DC0"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622</w:t>
            </w:r>
            <w:r>
              <w:rPr>
                <w:color w:val="000000"/>
                <w:sz w:val="18"/>
                <w:szCs w:val="18"/>
              </w:rPr>
              <w:t>,</w:t>
            </w:r>
            <w:r w:rsidRPr="001A09CA">
              <w:rPr>
                <w:color w:val="000000"/>
                <w:sz w:val="18"/>
                <w:szCs w:val="18"/>
              </w:rPr>
              <w:t>070</w:t>
            </w:r>
          </w:p>
        </w:tc>
      </w:tr>
      <w:tr w:rsidR="00D533A8" w:rsidRPr="00321238" w14:paraId="77CE410B" w14:textId="77777777" w:rsidTr="006B318F">
        <w:trPr>
          <w:trHeight w:val="267"/>
        </w:trPr>
        <w:tc>
          <w:tcPr>
            <w:tcW w:w="1524" w:type="pct"/>
            <w:vAlign w:val="bottom"/>
          </w:tcPr>
          <w:p w14:paraId="35525EAA" w14:textId="77777777" w:rsidR="00D533A8" w:rsidRPr="00321238" w:rsidRDefault="00D533A8" w:rsidP="00D533A8">
            <w:pPr>
              <w:tabs>
                <w:tab w:val="right" w:pos="1202"/>
              </w:tabs>
              <w:spacing w:after="0" w:line="200" w:lineRule="exact"/>
              <w:outlineLvl w:val="0"/>
              <w:rPr>
                <w:rFonts w:eastAsia="Times New Roman" w:cs="Arial"/>
                <w:b/>
                <w:bCs/>
                <w:sz w:val="18"/>
                <w:szCs w:val="18"/>
              </w:rPr>
            </w:pPr>
            <w:r w:rsidRPr="00321238">
              <w:rPr>
                <w:rFonts w:eastAsia="Times New Roman" w:cs="Arial"/>
                <w:b/>
                <w:bCs/>
                <w:sz w:val="18"/>
                <w:szCs w:val="18"/>
              </w:rPr>
              <w:t xml:space="preserve">Total liabilities </w:t>
            </w:r>
          </w:p>
        </w:tc>
        <w:tc>
          <w:tcPr>
            <w:tcW w:w="581" w:type="pct"/>
            <w:tcBorders>
              <w:top w:val="single" w:sz="4" w:space="0" w:color="auto"/>
              <w:left w:val="nil"/>
              <w:bottom w:val="single" w:sz="8" w:space="0" w:color="auto"/>
              <w:right w:val="nil"/>
            </w:tcBorders>
            <w:shd w:val="clear" w:color="auto" w:fill="auto"/>
            <w:vAlign w:val="center"/>
          </w:tcPr>
          <w:p w14:paraId="34065ED9" w14:textId="6EC3D59C" w:rsidR="00D533A8" w:rsidRPr="00321238" w:rsidRDefault="00D533A8" w:rsidP="00D533A8">
            <w:pPr>
              <w:tabs>
                <w:tab w:val="right" w:pos="1202"/>
              </w:tabs>
              <w:spacing w:after="0" w:line="240" w:lineRule="exact"/>
              <w:jc w:val="right"/>
              <w:outlineLvl w:val="0"/>
              <w:rPr>
                <w:rFonts w:cs="Arial"/>
                <w:b/>
                <w:spacing w:val="-2"/>
                <w:sz w:val="18"/>
                <w:szCs w:val="18"/>
              </w:rPr>
            </w:pPr>
            <w:r w:rsidRPr="001A09CA">
              <w:rPr>
                <w:b/>
                <w:bCs/>
                <w:color w:val="000000"/>
                <w:sz w:val="18"/>
                <w:szCs w:val="18"/>
              </w:rPr>
              <w:t>972</w:t>
            </w:r>
            <w:r>
              <w:rPr>
                <w:b/>
                <w:bCs/>
                <w:color w:val="000000"/>
                <w:sz w:val="18"/>
                <w:szCs w:val="18"/>
              </w:rPr>
              <w:t>,</w:t>
            </w:r>
            <w:r w:rsidRPr="001A09CA">
              <w:rPr>
                <w:b/>
                <w:bCs/>
                <w:color w:val="000000"/>
                <w:sz w:val="18"/>
                <w:szCs w:val="18"/>
              </w:rPr>
              <w:t>704</w:t>
            </w:r>
          </w:p>
        </w:tc>
        <w:tc>
          <w:tcPr>
            <w:tcW w:w="579" w:type="pct"/>
            <w:tcBorders>
              <w:top w:val="single" w:sz="4" w:space="0" w:color="auto"/>
              <w:left w:val="nil"/>
              <w:bottom w:val="single" w:sz="8" w:space="0" w:color="auto"/>
              <w:right w:val="nil"/>
            </w:tcBorders>
            <w:shd w:val="clear" w:color="auto" w:fill="auto"/>
            <w:vAlign w:val="center"/>
          </w:tcPr>
          <w:p w14:paraId="7371826C" w14:textId="18BC24A3" w:rsidR="00D533A8" w:rsidRPr="00321238" w:rsidRDefault="00D533A8" w:rsidP="00D533A8">
            <w:pPr>
              <w:tabs>
                <w:tab w:val="right" w:pos="1202"/>
              </w:tabs>
              <w:spacing w:after="0" w:line="240" w:lineRule="exact"/>
              <w:jc w:val="right"/>
              <w:outlineLvl w:val="0"/>
              <w:rPr>
                <w:rFonts w:cs="Arial"/>
                <w:b/>
                <w:spacing w:val="-2"/>
                <w:sz w:val="18"/>
                <w:szCs w:val="18"/>
              </w:rPr>
            </w:pPr>
            <w:r w:rsidRPr="001A09CA">
              <w:rPr>
                <w:b/>
                <w:bCs/>
                <w:color w:val="000000"/>
                <w:sz w:val="18"/>
                <w:szCs w:val="18"/>
              </w:rPr>
              <w:t>747</w:t>
            </w:r>
            <w:r>
              <w:rPr>
                <w:b/>
                <w:bCs/>
                <w:color w:val="000000"/>
                <w:sz w:val="18"/>
                <w:szCs w:val="18"/>
              </w:rPr>
              <w:t>,</w:t>
            </w:r>
            <w:r w:rsidRPr="001A09CA">
              <w:rPr>
                <w:b/>
                <w:bCs/>
                <w:color w:val="000000"/>
                <w:sz w:val="18"/>
                <w:szCs w:val="18"/>
              </w:rPr>
              <w:t>534</w:t>
            </w:r>
          </w:p>
        </w:tc>
        <w:tc>
          <w:tcPr>
            <w:tcW w:w="580" w:type="pct"/>
            <w:tcBorders>
              <w:top w:val="single" w:sz="4" w:space="0" w:color="auto"/>
              <w:left w:val="nil"/>
              <w:bottom w:val="single" w:sz="8" w:space="0" w:color="auto"/>
              <w:right w:val="nil"/>
            </w:tcBorders>
            <w:shd w:val="clear" w:color="auto" w:fill="auto"/>
            <w:vAlign w:val="center"/>
          </w:tcPr>
          <w:p w14:paraId="64A55009" w14:textId="0F003079" w:rsidR="00D533A8" w:rsidRPr="00321238" w:rsidRDefault="00D533A8" w:rsidP="00D533A8">
            <w:pPr>
              <w:tabs>
                <w:tab w:val="right" w:pos="1202"/>
              </w:tabs>
              <w:spacing w:after="0" w:line="240" w:lineRule="exact"/>
              <w:jc w:val="right"/>
              <w:outlineLvl w:val="0"/>
              <w:rPr>
                <w:rFonts w:cs="Arial"/>
                <w:b/>
                <w:spacing w:val="-2"/>
                <w:sz w:val="18"/>
                <w:szCs w:val="18"/>
              </w:rPr>
            </w:pPr>
            <w:r w:rsidRPr="001A09CA">
              <w:rPr>
                <w:b/>
                <w:bCs/>
                <w:color w:val="000000"/>
                <w:sz w:val="18"/>
                <w:szCs w:val="18"/>
              </w:rPr>
              <w:t>1</w:t>
            </w:r>
            <w:r>
              <w:rPr>
                <w:b/>
                <w:bCs/>
                <w:color w:val="000000"/>
                <w:sz w:val="18"/>
                <w:szCs w:val="18"/>
              </w:rPr>
              <w:t>,</w:t>
            </w:r>
            <w:r w:rsidRPr="001A09CA">
              <w:rPr>
                <w:b/>
                <w:bCs/>
                <w:color w:val="000000"/>
                <w:sz w:val="18"/>
                <w:szCs w:val="18"/>
              </w:rPr>
              <w:t>260</w:t>
            </w:r>
            <w:r>
              <w:rPr>
                <w:b/>
                <w:bCs/>
                <w:color w:val="000000"/>
                <w:sz w:val="18"/>
                <w:szCs w:val="18"/>
              </w:rPr>
              <w:t>,</w:t>
            </w:r>
            <w:r w:rsidRPr="001A09CA">
              <w:rPr>
                <w:b/>
                <w:bCs/>
                <w:color w:val="000000"/>
                <w:sz w:val="18"/>
                <w:szCs w:val="18"/>
              </w:rPr>
              <w:t>129</w:t>
            </w:r>
          </w:p>
        </w:tc>
        <w:tc>
          <w:tcPr>
            <w:tcW w:w="579" w:type="pct"/>
            <w:tcBorders>
              <w:top w:val="single" w:sz="4" w:space="0" w:color="auto"/>
              <w:left w:val="nil"/>
              <w:bottom w:val="single" w:sz="8" w:space="0" w:color="auto"/>
              <w:right w:val="nil"/>
            </w:tcBorders>
            <w:shd w:val="clear" w:color="auto" w:fill="auto"/>
            <w:vAlign w:val="center"/>
          </w:tcPr>
          <w:p w14:paraId="34FC4B34" w14:textId="5824FD10" w:rsidR="00D533A8" w:rsidRPr="00321238" w:rsidRDefault="00D533A8" w:rsidP="00D533A8">
            <w:pPr>
              <w:tabs>
                <w:tab w:val="right" w:pos="1202"/>
              </w:tabs>
              <w:spacing w:after="0" w:line="240" w:lineRule="exact"/>
              <w:jc w:val="right"/>
              <w:outlineLvl w:val="0"/>
              <w:rPr>
                <w:rFonts w:cs="Arial"/>
                <w:b/>
                <w:spacing w:val="-2"/>
                <w:sz w:val="18"/>
                <w:szCs w:val="18"/>
              </w:rPr>
            </w:pPr>
            <w:r w:rsidRPr="001A09CA">
              <w:rPr>
                <w:b/>
                <w:bCs/>
                <w:color w:val="000000"/>
                <w:sz w:val="18"/>
                <w:szCs w:val="18"/>
              </w:rPr>
              <w:t>4</w:t>
            </w:r>
            <w:r>
              <w:rPr>
                <w:b/>
                <w:bCs/>
                <w:color w:val="000000"/>
                <w:sz w:val="18"/>
                <w:szCs w:val="18"/>
              </w:rPr>
              <w:t>,</w:t>
            </w:r>
            <w:r w:rsidRPr="001A09CA">
              <w:rPr>
                <w:b/>
                <w:bCs/>
                <w:color w:val="000000"/>
                <w:sz w:val="18"/>
                <w:szCs w:val="18"/>
              </w:rPr>
              <w:t>987</w:t>
            </w:r>
            <w:r>
              <w:rPr>
                <w:b/>
                <w:bCs/>
                <w:color w:val="000000"/>
                <w:sz w:val="18"/>
                <w:szCs w:val="18"/>
              </w:rPr>
              <w:t>,</w:t>
            </w:r>
            <w:r w:rsidRPr="001A09CA">
              <w:rPr>
                <w:b/>
                <w:bCs/>
                <w:color w:val="000000"/>
                <w:sz w:val="18"/>
                <w:szCs w:val="18"/>
              </w:rPr>
              <w:t>097</w:t>
            </w:r>
          </w:p>
        </w:tc>
        <w:tc>
          <w:tcPr>
            <w:tcW w:w="580" w:type="pct"/>
            <w:tcBorders>
              <w:top w:val="single" w:sz="4" w:space="0" w:color="auto"/>
              <w:left w:val="nil"/>
              <w:bottom w:val="single" w:sz="8" w:space="0" w:color="auto"/>
              <w:right w:val="nil"/>
            </w:tcBorders>
            <w:shd w:val="clear" w:color="auto" w:fill="auto"/>
            <w:vAlign w:val="center"/>
          </w:tcPr>
          <w:p w14:paraId="4DDDCCE0" w14:textId="3AB8E1AA" w:rsidR="00D533A8" w:rsidRPr="00321238" w:rsidRDefault="00D533A8" w:rsidP="00D533A8">
            <w:pPr>
              <w:tabs>
                <w:tab w:val="right" w:pos="1202"/>
              </w:tabs>
              <w:spacing w:after="0" w:line="240" w:lineRule="exact"/>
              <w:jc w:val="right"/>
              <w:outlineLvl w:val="0"/>
              <w:rPr>
                <w:rFonts w:cs="Arial"/>
                <w:b/>
                <w:spacing w:val="-2"/>
                <w:sz w:val="18"/>
                <w:szCs w:val="18"/>
              </w:rPr>
            </w:pPr>
            <w:r w:rsidRPr="001A09CA">
              <w:rPr>
                <w:b/>
                <w:bCs/>
                <w:color w:val="000000"/>
                <w:sz w:val="18"/>
                <w:szCs w:val="18"/>
              </w:rPr>
              <w:t>10</w:t>
            </w:r>
            <w:r>
              <w:rPr>
                <w:b/>
                <w:bCs/>
                <w:color w:val="000000"/>
                <w:sz w:val="18"/>
                <w:szCs w:val="18"/>
              </w:rPr>
              <w:t>,</w:t>
            </w:r>
            <w:r w:rsidRPr="001A09CA">
              <w:rPr>
                <w:b/>
                <w:bCs/>
                <w:color w:val="000000"/>
                <w:sz w:val="18"/>
                <w:szCs w:val="18"/>
              </w:rPr>
              <w:t>072</w:t>
            </w:r>
            <w:r>
              <w:rPr>
                <w:b/>
                <w:bCs/>
                <w:color w:val="000000"/>
                <w:sz w:val="18"/>
                <w:szCs w:val="18"/>
              </w:rPr>
              <w:t>,</w:t>
            </w:r>
            <w:r w:rsidRPr="001A09CA">
              <w:rPr>
                <w:b/>
                <w:bCs/>
                <w:color w:val="000000"/>
                <w:sz w:val="18"/>
                <w:szCs w:val="18"/>
              </w:rPr>
              <w:t>446</w:t>
            </w:r>
          </w:p>
        </w:tc>
        <w:tc>
          <w:tcPr>
            <w:tcW w:w="576" w:type="pct"/>
            <w:tcBorders>
              <w:top w:val="single" w:sz="4" w:space="0" w:color="auto"/>
              <w:left w:val="nil"/>
              <w:bottom w:val="single" w:sz="8" w:space="0" w:color="auto"/>
              <w:right w:val="nil"/>
            </w:tcBorders>
            <w:shd w:val="clear" w:color="auto" w:fill="auto"/>
            <w:vAlign w:val="center"/>
          </w:tcPr>
          <w:p w14:paraId="5109960D" w14:textId="6FA72152" w:rsidR="00D533A8" w:rsidRPr="00321238" w:rsidRDefault="00D533A8" w:rsidP="00D533A8">
            <w:pPr>
              <w:tabs>
                <w:tab w:val="right" w:pos="1202"/>
              </w:tabs>
              <w:spacing w:after="0" w:line="240" w:lineRule="exact"/>
              <w:jc w:val="right"/>
              <w:outlineLvl w:val="0"/>
              <w:rPr>
                <w:rFonts w:cs="Arial"/>
                <w:b/>
                <w:spacing w:val="-2"/>
                <w:sz w:val="18"/>
                <w:szCs w:val="18"/>
              </w:rPr>
            </w:pPr>
            <w:r w:rsidRPr="001A09CA">
              <w:rPr>
                <w:b/>
                <w:bCs/>
                <w:color w:val="000000"/>
                <w:sz w:val="18"/>
                <w:szCs w:val="18"/>
              </w:rPr>
              <w:t>18</w:t>
            </w:r>
            <w:r>
              <w:rPr>
                <w:b/>
                <w:bCs/>
                <w:color w:val="000000"/>
                <w:sz w:val="18"/>
                <w:szCs w:val="18"/>
              </w:rPr>
              <w:t>,</w:t>
            </w:r>
            <w:r w:rsidRPr="001A09CA">
              <w:rPr>
                <w:b/>
                <w:bCs/>
                <w:color w:val="000000"/>
                <w:sz w:val="18"/>
                <w:szCs w:val="18"/>
              </w:rPr>
              <w:t>039</w:t>
            </w:r>
            <w:r>
              <w:rPr>
                <w:b/>
                <w:bCs/>
                <w:color w:val="000000"/>
                <w:sz w:val="18"/>
                <w:szCs w:val="18"/>
              </w:rPr>
              <w:t>,</w:t>
            </w:r>
            <w:r w:rsidRPr="001A09CA">
              <w:rPr>
                <w:b/>
                <w:bCs/>
                <w:color w:val="000000"/>
                <w:sz w:val="18"/>
                <w:szCs w:val="18"/>
              </w:rPr>
              <w:t>910</w:t>
            </w:r>
          </w:p>
        </w:tc>
      </w:tr>
      <w:tr w:rsidR="0013539B" w:rsidRPr="00321238" w14:paraId="2401978F" w14:textId="77777777" w:rsidTr="00166751">
        <w:trPr>
          <w:trHeight w:val="150"/>
        </w:trPr>
        <w:tc>
          <w:tcPr>
            <w:tcW w:w="1524" w:type="pct"/>
            <w:vAlign w:val="bottom"/>
          </w:tcPr>
          <w:p w14:paraId="3EA23869" w14:textId="77777777" w:rsidR="0013539B" w:rsidRPr="00321238" w:rsidRDefault="0013539B" w:rsidP="0013539B">
            <w:pPr>
              <w:tabs>
                <w:tab w:val="right" w:pos="1202"/>
              </w:tabs>
              <w:spacing w:after="0" w:line="200" w:lineRule="exact"/>
              <w:outlineLvl w:val="0"/>
              <w:rPr>
                <w:rFonts w:eastAsia="Times New Roman" w:cs="Arial"/>
                <w:sz w:val="18"/>
                <w:szCs w:val="18"/>
              </w:rPr>
            </w:pPr>
            <w:r w:rsidRPr="00321238">
              <w:rPr>
                <w:rFonts w:eastAsia="Times New Roman" w:cs="Arial"/>
                <w:b/>
                <w:bCs/>
                <w:sz w:val="18"/>
                <w:szCs w:val="18"/>
              </w:rPr>
              <w:t xml:space="preserve">Equity </w:t>
            </w:r>
          </w:p>
        </w:tc>
        <w:tc>
          <w:tcPr>
            <w:tcW w:w="581" w:type="pct"/>
            <w:tcBorders>
              <w:top w:val="single" w:sz="12" w:space="0" w:color="auto"/>
            </w:tcBorders>
            <w:vAlign w:val="bottom"/>
          </w:tcPr>
          <w:p w14:paraId="705ADFE5" w14:textId="77777777" w:rsidR="0013539B" w:rsidRPr="00321238" w:rsidRDefault="0013539B" w:rsidP="0013539B">
            <w:pPr>
              <w:spacing w:after="0" w:line="220" w:lineRule="exact"/>
              <w:jc w:val="right"/>
              <w:outlineLvl w:val="0"/>
              <w:rPr>
                <w:rFonts w:eastAsia="Times New Roman" w:cs="Arial"/>
                <w:spacing w:val="-2"/>
                <w:sz w:val="18"/>
                <w:szCs w:val="18"/>
              </w:rPr>
            </w:pPr>
          </w:p>
        </w:tc>
        <w:tc>
          <w:tcPr>
            <w:tcW w:w="579" w:type="pct"/>
            <w:tcBorders>
              <w:top w:val="single" w:sz="12" w:space="0" w:color="auto"/>
            </w:tcBorders>
            <w:vAlign w:val="bottom"/>
          </w:tcPr>
          <w:p w14:paraId="694C4688" w14:textId="77777777" w:rsidR="0013539B" w:rsidRPr="00321238" w:rsidRDefault="0013539B" w:rsidP="0013539B">
            <w:pPr>
              <w:spacing w:after="0" w:line="220" w:lineRule="exact"/>
              <w:jc w:val="right"/>
              <w:outlineLvl w:val="0"/>
              <w:rPr>
                <w:rFonts w:eastAsia="Times New Roman" w:cs="Arial"/>
                <w:spacing w:val="-2"/>
                <w:sz w:val="18"/>
                <w:szCs w:val="18"/>
              </w:rPr>
            </w:pPr>
          </w:p>
        </w:tc>
        <w:tc>
          <w:tcPr>
            <w:tcW w:w="580" w:type="pct"/>
            <w:tcBorders>
              <w:top w:val="single" w:sz="12" w:space="0" w:color="auto"/>
            </w:tcBorders>
            <w:vAlign w:val="bottom"/>
          </w:tcPr>
          <w:p w14:paraId="2E3AB071" w14:textId="77777777" w:rsidR="0013539B" w:rsidRPr="00321238" w:rsidRDefault="0013539B" w:rsidP="0013539B">
            <w:pPr>
              <w:spacing w:after="0" w:line="220" w:lineRule="exact"/>
              <w:jc w:val="right"/>
              <w:outlineLvl w:val="0"/>
              <w:rPr>
                <w:rFonts w:eastAsia="Times New Roman" w:cs="Arial"/>
                <w:spacing w:val="-2"/>
                <w:sz w:val="18"/>
                <w:szCs w:val="18"/>
              </w:rPr>
            </w:pPr>
          </w:p>
        </w:tc>
        <w:tc>
          <w:tcPr>
            <w:tcW w:w="579" w:type="pct"/>
            <w:tcBorders>
              <w:top w:val="single" w:sz="12" w:space="0" w:color="auto"/>
            </w:tcBorders>
            <w:vAlign w:val="bottom"/>
          </w:tcPr>
          <w:p w14:paraId="1C8F9B25" w14:textId="77777777" w:rsidR="0013539B" w:rsidRPr="00321238" w:rsidRDefault="0013539B" w:rsidP="0013539B">
            <w:pPr>
              <w:spacing w:after="0" w:line="220" w:lineRule="exact"/>
              <w:jc w:val="right"/>
              <w:outlineLvl w:val="0"/>
              <w:rPr>
                <w:rFonts w:eastAsia="Times New Roman" w:cs="Arial"/>
                <w:spacing w:val="-2"/>
                <w:sz w:val="18"/>
                <w:szCs w:val="18"/>
              </w:rPr>
            </w:pPr>
          </w:p>
        </w:tc>
        <w:tc>
          <w:tcPr>
            <w:tcW w:w="580" w:type="pct"/>
            <w:tcBorders>
              <w:top w:val="single" w:sz="12" w:space="0" w:color="auto"/>
            </w:tcBorders>
            <w:vAlign w:val="bottom"/>
          </w:tcPr>
          <w:p w14:paraId="4C3FA7D8" w14:textId="77777777" w:rsidR="0013539B" w:rsidRPr="00321238" w:rsidRDefault="0013539B" w:rsidP="0013539B">
            <w:pPr>
              <w:spacing w:after="0" w:line="220" w:lineRule="exact"/>
              <w:jc w:val="right"/>
              <w:outlineLvl w:val="0"/>
              <w:rPr>
                <w:rFonts w:eastAsia="Times New Roman" w:cs="Arial"/>
                <w:spacing w:val="-2"/>
                <w:sz w:val="18"/>
                <w:szCs w:val="18"/>
              </w:rPr>
            </w:pPr>
          </w:p>
        </w:tc>
        <w:tc>
          <w:tcPr>
            <w:tcW w:w="576" w:type="pct"/>
            <w:tcBorders>
              <w:top w:val="single" w:sz="12" w:space="0" w:color="auto"/>
            </w:tcBorders>
            <w:vAlign w:val="bottom"/>
          </w:tcPr>
          <w:p w14:paraId="4116D54C" w14:textId="77777777" w:rsidR="0013539B" w:rsidRPr="00321238" w:rsidRDefault="0013539B" w:rsidP="0013539B">
            <w:pPr>
              <w:spacing w:after="0" w:line="220" w:lineRule="exact"/>
              <w:jc w:val="right"/>
              <w:outlineLvl w:val="0"/>
              <w:rPr>
                <w:rFonts w:eastAsia="Times New Roman" w:cs="Arial"/>
                <w:sz w:val="18"/>
                <w:szCs w:val="18"/>
              </w:rPr>
            </w:pPr>
          </w:p>
        </w:tc>
      </w:tr>
      <w:tr w:rsidR="00D533A8" w:rsidRPr="00321238" w14:paraId="7ABF2040" w14:textId="77777777" w:rsidTr="005444AA">
        <w:trPr>
          <w:trHeight w:val="251"/>
        </w:trPr>
        <w:tc>
          <w:tcPr>
            <w:tcW w:w="1524" w:type="pct"/>
            <w:vAlign w:val="bottom"/>
          </w:tcPr>
          <w:p w14:paraId="6C1FFF58" w14:textId="77777777" w:rsidR="00D533A8" w:rsidRPr="00321238" w:rsidRDefault="00D533A8" w:rsidP="00D533A8">
            <w:pPr>
              <w:tabs>
                <w:tab w:val="right" w:pos="1202"/>
              </w:tabs>
              <w:spacing w:after="0" w:line="200" w:lineRule="exact"/>
              <w:outlineLvl w:val="0"/>
              <w:rPr>
                <w:rFonts w:eastAsia="Times New Roman" w:cs="Arial"/>
                <w:sz w:val="18"/>
                <w:szCs w:val="18"/>
              </w:rPr>
            </w:pPr>
            <w:r w:rsidRPr="00321238">
              <w:rPr>
                <w:rFonts w:eastAsia="Times New Roman" w:cs="Arial"/>
                <w:sz w:val="18"/>
                <w:szCs w:val="18"/>
              </w:rPr>
              <w:t xml:space="preserve">Founder’s capital </w:t>
            </w:r>
          </w:p>
        </w:tc>
        <w:tc>
          <w:tcPr>
            <w:tcW w:w="581" w:type="pct"/>
            <w:tcBorders>
              <w:top w:val="nil"/>
              <w:left w:val="nil"/>
              <w:bottom w:val="nil"/>
              <w:right w:val="nil"/>
            </w:tcBorders>
            <w:shd w:val="clear" w:color="auto" w:fill="auto"/>
            <w:vAlign w:val="bottom"/>
          </w:tcPr>
          <w:p w14:paraId="2293CE3A" w14:textId="77777777" w:rsidR="00D533A8" w:rsidRPr="00321238" w:rsidRDefault="00D533A8" w:rsidP="00D533A8">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79" w:type="pct"/>
            <w:tcBorders>
              <w:top w:val="nil"/>
              <w:left w:val="nil"/>
              <w:bottom w:val="nil"/>
              <w:right w:val="nil"/>
            </w:tcBorders>
            <w:shd w:val="clear" w:color="auto" w:fill="auto"/>
            <w:vAlign w:val="bottom"/>
          </w:tcPr>
          <w:p w14:paraId="1B5B5945" w14:textId="77777777" w:rsidR="00D533A8" w:rsidRPr="00321238" w:rsidRDefault="00D533A8" w:rsidP="00D533A8">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0" w:type="pct"/>
            <w:tcBorders>
              <w:top w:val="nil"/>
              <w:left w:val="nil"/>
              <w:bottom w:val="nil"/>
              <w:right w:val="nil"/>
            </w:tcBorders>
            <w:shd w:val="clear" w:color="auto" w:fill="auto"/>
            <w:vAlign w:val="bottom"/>
          </w:tcPr>
          <w:p w14:paraId="1A7C6983" w14:textId="77777777" w:rsidR="00D533A8" w:rsidRPr="00321238" w:rsidRDefault="00D533A8" w:rsidP="00D533A8">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79" w:type="pct"/>
            <w:tcBorders>
              <w:top w:val="nil"/>
              <w:left w:val="nil"/>
              <w:bottom w:val="nil"/>
              <w:right w:val="nil"/>
            </w:tcBorders>
            <w:shd w:val="clear" w:color="auto" w:fill="auto"/>
            <w:vAlign w:val="bottom"/>
          </w:tcPr>
          <w:p w14:paraId="31E877F8" w14:textId="77777777" w:rsidR="00D533A8" w:rsidRPr="00321238" w:rsidRDefault="00D533A8" w:rsidP="00D533A8">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0" w:type="pct"/>
            <w:tcBorders>
              <w:top w:val="nil"/>
              <w:left w:val="nil"/>
              <w:bottom w:val="nil"/>
              <w:right w:val="nil"/>
            </w:tcBorders>
            <w:shd w:val="clear" w:color="auto" w:fill="auto"/>
            <w:vAlign w:val="center"/>
          </w:tcPr>
          <w:p w14:paraId="3E4F3378" w14:textId="22289091"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6</w:t>
            </w:r>
            <w:r>
              <w:rPr>
                <w:color w:val="000000"/>
                <w:sz w:val="18"/>
                <w:szCs w:val="18"/>
              </w:rPr>
              <w:t>,</w:t>
            </w:r>
            <w:r w:rsidRPr="001A09CA">
              <w:rPr>
                <w:color w:val="000000"/>
                <w:sz w:val="18"/>
                <w:szCs w:val="18"/>
              </w:rPr>
              <w:t>984</w:t>
            </w:r>
            <w:r>
              <w:rPr>
                <w:color w:val="000000"/>
                <w:sz w:val="18"/>
                <w:szCs w:val="18"/>
              </w:rPr>
              <w:t>,</w:t>
            </w:r>
            <w:r w:rsidRPr="001A09CA">
              <w:rPr>
                <w:color w:val="000000"/>
                <w:sz w:val="18"/>
                <w:szCs w:val="18"/>
              </w:rPr>
              <w:t>632</w:t>
            </w:r>
          </w:p>
        </w:tc>
        <w:tc>
          <w:tcPr>
            <w:tcW w:w="576" w:type="pct"/>
            <w:tcBorders>
              <w:top w:val="nil"/>
              <w:left w:val="nil"/>
              <w:bottom w:val="nil"/>
              <w:right w:val="nil"/>
            </w:tcBorders>
            <w:shd w:val="clear" w:color="auto" w:fill="auto"/>
            <w:vAlign w:val="center"/>
          </w:tcPr>
          <w:p w14:paraId="7F765C48" w14:textId="594FE509"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6</w:t>
            </w:r>
            <w:r>
              <w:rPr>
                <w:color w:val="000000"/>
                <w:sz w:val="18"/>
                <w:szCs w:val="18"/>
              </w:rPr>
              <w:t>,</w:t>
            </w:r>
            <w:r w:rsidRPr="001A09CA">
              <w:rPr>
                <w:color w:val="000000"/>
                <w:sz w:val="18"/>
                <w:szCs w:val="18"/>
              </w:rPr>
              <w:t>984</w:t>
            </w:r>
            <w:r>
              <w:rPr>
                <w:color w:val="000000"/>
                <w:sz w:val="18"/>
                <w:szCs w:val="18"/>
              </w:rPr>
              <w:t>,</w:t>
            </w:r>
            <w:r w:rsidRPr="001A09CA">
              <w:rPr>
                <w:color w:val="000000"/>
                <w:sz w:val="18"/>
                <w:szCs w:val="18"/>
              </w:rPr>
              <w:t>632</w:t>
            </w:r>
          </w:p>
        </w:tc>
      </w:tr>
      <w:tr w:rsidR="00D533A8" w:rsidRPr="00321238" w14:paraId="6B79D647" w14:textId="77777777" w:rsidTr="005444AA">
        <w:trPr>
          <w:trHeight w:val="267"/>
        </w:trPr>
        <w:tc>
          <w:tcPr>
            <w:tcW w:w="1524" w:type="pct"/>
            <w:vAlign w:val="bottom"/>
          </w:tcPr>
          <w:p w14:paraId="11453F3F" w14:textId="77777777" w:rsidR="00D533A8" w:rsidRPr="00321238" w:rsidRDefault="00D533A8" w:rsidP="00D533A8">
            <w:pPr>
              <w:tabs>
                <w:tab w:val="right" w:pos="1202"/>
              </w:tabs>
              <w:spacing w:after="0" w:line="200" w:lineRule="exact"/>
              <w:outlineLvl w:val="0"/>
              <w:rPr>
                <w:rFonts w:eastAsia="Times New Roman" w:cs="Arial"/>
                <w:sz w:val="18"/>
                <w:szCs w:val="18"/>
              </w:rPr>
            </w:pPr>
            <w:r w:rsidRPr="00321238">
              <w:rPr>
                <w:rFonts w:eastAsia="Times New Roman" w:cs="Arial"/>
                <w:sz w:val="18"/>
                <w:szCs w:val="18"/>
              </w:rPr>
              <w:t xml:space="preserve">Retained earnings and reserves </w:t>
            </w:r>
          </w:p>
        </w:tc>
        <w:tc>
          <w:tcPr>
            <w:tcW w:w="581" w:type="pct"/>
            <w:tcBorders>
              <w:top w:val="nil"/>
              <w:left w:val="nil"/>
              <w:bottom w:val="nil"/>
              <w:right w:val="nil"/>
            </w:tcBorders>
            <w:shd w:val="clear" w:color="auto" w:fill="auto"/>
            <w:vAlign w:val="bottom"/>
          </w:tcPr>
          <w:p w14:paraId="28982170" w14:textId="77777777" w:rsidR="00D533A8" w:rsidRPr="00321238" w:rsidRDefault="00D533A8" w:rsidP="00D533A8">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79" w:type="pct"/>
            <w:tcBorders>
              <w:top w:val="nil"/>
              <w:left w:val="nil"/>
              <w:bottom w:val="nil"/>
              <w:right w:val="nil"/>
            </w:tcBorders>
            <w:shd w:val="clear" w:color="auto" w:fill="auto"/>
            <w:vAlign w:val="bottom"/>
          </w:tcPr>
          <w:p w14:paraId="6F479F73" w14:textId="77777777" w:rsidR="00D533A8" w:rsidRPr="00321238" w:rsidRDefault="00D533A8" w:rsidP="00D533A8">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0" w:type="pct"/>
            <w:tcBorders>
              <w:top w:val="nil"/>
              <w:left w:val="nil"/>
              <w:bottom w:val="nil"/>
              <w:right w:val="nil"/>
            </w:tcBorders>
            <w:shd w:val="clear" w:color="auto" w:fill="auto"/>
            <w:vAlign w:val="bottom"/>
          </w:tcPr>
          <w:p w14:paraId="29BCEFD9" w14:textId="77777777" w:rsidR="00D533A8" w:rsidRPr="00321238" w:rsidRDefault="00D533A8" w:rsidP="00D533A8">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79" w:type="pct"/>
            <w:tcBorders>
              <w:top w:val="nil"/>
              <w:left w:val="nil"/>
              <w:bottom w:val="nil"/>
              <w:right w:val="nil"/>
            </w:tcBorders>
            <w:shd w:val="clear" w:color="auto" w:fill="auto"/>
            <w:vAlign w:val="bottom"/>
          </w:tcPr>
          <w:p w14:paraId="504A0F0E" w14:textId="77777777" w:rsidR="00D533A8" w:rsidRPr="00321238" w:rsidRDefault="00D533A8" w:rsidP="00D533A8">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0" w:type="pct"/>
            <w:tcBorders>
              <w:top w:val="nil"/>
              <w:left w:val="nil"/>
              <w:bottom w:val="nil"/>
              <w:right w:val="nil"/>
            </w:tcBorders>
            <w:shd w:val="clear" w:color="auto" w:fill="auto"/>
            <w:vAlign w:val="center"/>
          </w:tcPr>
          <w:p w14:paraId="443060E8" w14:textId="7E333E96"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2</w:t>
            </w:r>
            <w:r>
              <w:rPr>
                <w:color w:val="000000"/>
                <w:sz w:val="18"/>
                <w:szCs w:val="18"/>
              </w:rPr>
              <w:t>,</w:t>
            </w:r>
            <w:r w:rsidRPr="001A09CA">
              <w:rPr>
                <w:color w:val="000000"/>
                <w:sz w:val="18"/>
                <w:szCs w:val="18"/>
              </w:rPr>
              <w:t>996</w:t>
            </w:r>
            <w:r>
              <w:rPr>
                <w:color w:val="000000"/>
                <w:sz w:val="18"/>
                <w:szCs w:val="18"/>
              </w:rPr>
              <w:t>,</w:t>
            </w:r>
            <w:r w:rsidRPr="001A09CA">
              <w:rPr>
                <w:color w:val="000000"/>
                <w:sz w:val="18"/>
                <w:szCs w:val="18"/>
              </w:rPr>
              <w:t>968</w:t>
            </w:r>
          </w:p>
        </w:tc>
        <w:tc>
          <w:tcPr>
            <w:tcW w:w="576" w:type="pct"/>
            <w:tcBorders>
              <w:top w:val="nil"/>
              <w:left w:val="nil"/>
              <w:bottom w:val="nil"/>
              <w:right w:val="nil"/>
            </w:tcBorders>
            <w:shd w:val="clear" w:color="auto" w:fill="auto"/>
            <w:vAlign w:val="center"/>
          </w:tcPr>
          <w:p w14:paraId="0F026F70" w14:textId="7DF472AF"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2</w:t>
            </w:r>
            <w:r>
              <w:rPr>
                <w:color w:val="000000"/>
                <w:sz w:val="18"/>
                <w:szCs w:val="18"/>
              </w:rPr>
              <w:t>,</w:t>
            </w:r>
            <w:r w:rsidRPr="001A09CA">
              <w:rPr>
                <w:color w:val="000000"/>
                <w:sz w:val="18"/>
                <w:szCs w:val="18"/>
              </w:rPr>
              <w:t>996</w:t>
            </w:r>
            <w:r>
              <w:rPr>
                <w:color w:val="000000"/>
                <w:sz w:val="18"/>
                <w:szCs w:val="18"/>
              </w:rPr>
              <w:t>,</w:t>
            </w:r>
            <w:r w:rsidRPr="001A09CA">
              <w:rPr>
                <w:color w:val="000000"/>
                <w:sz w:val="18"/>
                <w:szCs w:val="18"/>
              </w:rPr>
              <w:t>968</w:t>
            </w:r>
          </w:p>
        </w:tc>
      </w:tr>
      <w:tr w:rsidR="00D533A8" w:rsidRPr="00321238" w14:paraId="6D9984C9" w14:textId="77777777" w:rsidTr="005444AA">
        <w:trPr>
          <w:trHeight w:val="267"/>
        </w:trPr>
        <w:tc>
          <w:tcPr>
            <w:tcW w:w="1524" w:type="pct"/>
            <w:vAlign w:val="bottom"/>
          </w:tcPr>
          <w:p w14:paraId="3C1E63A5" w14:textId="77777777" w:rsidR="00D533A8" w:rsidRPr="00321238" w:rsidRDefault="00D533A8" w:rsidP="00D533A8">
            <w:pPr>
              <w:tabs>
                <w:tab w:val="right" w:pos="1202"/>
              </w:tabs>
              <w:spacing w:after="0" w:line="200" w:lineRule="exact"/>
              <w:outlineLvl w:val="0"/>
              <w:rPr>
                <w:rFonts w:eastAsia="Times New Roman" w:cs="Arial"/>
                <w:sz w:val="18"/>
                <w:szCs w:val="18"/>
              </w:rPr>
            </w:pPr>
            <w:r w:rsidRPr="00321238">
              <w:rPr>
                <w:rFonts w:eastAsia="Times New Roman" w:cs="Arial"/>
                <w:sz w:val="18"/>
                <w:szCs w:val="18"/>
              </w:rPr>
              <w:t xml:space="preserve">Other reserves </w:t>
            </w:r>
          </w:p>
        </w:tc>
        <w:tc>
          <w:tcPr>
            <w:tcW w:w="581" w:type="pct"/>
            <w:tcBorders>
              <w:top w:val="nil"/>
              <w:left w:val="nil"/>
              <w:bottom w:val="nil"/>
              <w:right w:val="nil"/>
            </w:tcBorders>
            <w:shd w:val="clear" w:color="auto" w:fill="auto"/>
            <w:vAlign w:val="bottom"/>
          </w:tcPr>
          <w:p w14:paraId="74E18289" w14:textId="77777777" w:rsidR="00D533A8" w:rsidRPr="00321238" w:rsidRDefault="00D533A8" w:rsidP="00D533A8">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79" w:type="pct"/>
            <w:tcBorders>
              <w:top w:val="nil"/>
              <w:left w:val="nil"/>
              <w:bottom w:val="nil"/>
              <w:right w:val="nil"/>
            </w:tcBorders>
            <w:shd w:val="clear" w:color="auto" w:fill="auto"/>
            <w:vAlign w:val="bottom"/>
          </w:tcPr>
          <w:p w14:paraId="0A59BA8F" w14:textId="77777777" w:rsidR="00D533A8" w:rsidRPr="00321238" w:rsidRDefault="00D533A8" w:rsidP="00D533A8">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0" w:type="pct"/>
            <w:tcBorders>
              <w:top w:val="nil"/>
              <w:left w:val="nil"/>
              <w:bottom w:val="nil"/>
              <w:right w:val="nil"/>
            </w:tcBorders>
            <w:shd w:val="clear" w:color="auto" w:fill="auto"/>
            <w:vAlign w:val="bottom"/>
          </w:tcPr>
          <w:p w14:paraId="2F56ABEF" w14:textId="77777777" w:rsidR="00D533A8" w:rsidRPr="00321238" w:rsidRDefault="00D533A8" w:rsidP="00D533A8">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79" w:type="pct"/>
            <w:tcBorders>
              <w:top w:val="nil"/>
              <w:left w:val="nil"/>
              <w:bottom w:val="nil"/>
              <w:right w:val="nil"/>
            </w:tcBorders>
            <w:shd w:val="clear" w:color="auto" w:fill="auto"/>
            <w:vAlign w:val="bottom"/>
          </w:tcPr>
          <w:p w14:paraId="2B0EBB34" w14:textId="77777777" w:rsidR="00D533A8" w:rsidRPr="00321238" w:rsidRDefault="00D533A8" w:rsidP="00D533A8">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0" w:type="pct"/>
            <w:tcBorders>
              <w:top w:val="nil"/>
              <w:left w:val="nil"/>
              <w:bottom w:val="nil"/>
              <w:right w:val="nil"/>
            </w:tcBorders>
            <w:shd w:val="clear" w:color="auto" w:fill="auto"/>
            <w:vAlign w:val="center"/>
          </w:tcPr>
          <w:p w14:paraId="6F308963" w14:textId="74B5222D"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90</w:t>
            </w:r>
            <w:r>
              <w:rPr>
                <w:color w:val="000000"/>
                <w:sz w:val="18"/>
                <w:szCs w:val="18"/>
              </w:rPr>
              <w:t>,</w:t>
            </w:r>
            <w:r w:rsidRPr="001A09CA">
              <w:rPr>
                <w:color w:val="000000"/>
                <w:sz w:val="18"/>
                <w:szCs w:val="18"/>
              </w:rPr>
              <w:t>397</w:t>
            </w:r>
          </w:p>
        </w:tc>
        <w:tc>
          <w:tcPr>
            <w:tcW w:w="576" w:type="pct"/>
            <w:tcBorders>
              <w:top w:val="nil"/>
              <w:left w:val="nil"/>
              <w:bottom w:val="nil"/>
              <w:right w:val="nil"/>
            </w:tcBorders>
            <w:shd w:val="clear" w:color="auto" w:fill="auto"/>
            <w:vAlign w:val="center"/>
          </w:tcPr>
          <w:p w14:paraId="34139074" w14:textId="3712EF5C"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90</w:t>
            </w:r>
            <w:r>
              <w:rPr>
                <w:color w:val="000000"/>
                <w:sz w:val="18"/>
                <w:szCs w:val="18"/>
              </w:rPr>
              <w:t>,</w:t>
            </w:r>
            <w:r w:rsidRPr="001A09CA">
              <w:rPr>
                <w:color w:val="000000"/>
                <w:sz w:val="18"/>
                <w:szCs w:val="18"/>
              </w:rPr>
              <w:t>397</w:t>
            </w:r>
          </w:p>
        </w:tc>
      </w:tr>
      <w:tr w:rsidR="00D533A8" w:rsidRPr="00321238" w14:paraId="4C4DE8FF" w14:textId="77777777" w:rsidTr="006B318F">
        <w:trPr>
          <w:trHeight w:val="251"/>
        </w:trPr>
        <w:tc>
          <w:tcPr>
            <w:tcW w:w="1524" w:type="pct"/>
            <w:vAlign w:val="bottom"/>
          </w:tcPr>
          <w:p w14:paraId="3587FA46" w14:textId="77777777" w:rsidR="00D533A8" w:rsidRPr="00321238" w:rsidRDefault="00D533A8" w:rsidP="00D533A8">
            <w:pPr>
              <w:tabs>
                <w:tab w:val="right" w:pos="1202"/>
              </w:tabs>
              <w:spacing w:after="0" w:line="200" w:lineRule="exact"/>
              <w:outlineLvl w:val="0"/>
              <w:rPr>
                <w:rFonts w:eastAsia="Times New Roman" w:cs="Arial"/>
                <w:sz w:val="18"/>
                <w:szCs w:val="18"/>
              </w:rPr>
            </w:pPr>
            <w:r w:rsidRPr="00321238">
              <w:rPr>
                <w:rFonts w:eastAsia="Times New Roman" w:cs="Arial"/>
                <w:sz w:val="18"/>
                <w:szCs w:val="18"/>
              </w:rPr>
              <w:t xml:space="preserve">Net profit for the year </w:t>
            </w:r>
          </w:p>
        </w:tc>
        <w:tc>
          <w:tcPr>
            <w:tcW w:w="581" w:type="pct"/>
            <w:tcBorders>
              <w:top w:val="nil"/>
              <w:left w:val="nil"/>
              <w:bottom w:val="nil"/>
              <w:right w:val="nil"/>
            </w:tcBorders>
            <w:shd w:val="clear" w:color="auto" w:fill="auto"/>
            <w:vAlign w:val="bottom"/>
          </w:tcPr>
          <w:p w14:paraId="3C990E98" w14:textId="77777777" w:rsidR="00D533A8" w:rsidRPr="00321238" w:rsidRDefault="00D533A8" w:rsidP="00D533A8">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79" w:type="pct"/>
            <w:tcBorders>
              <w:top w:val="nil"/>
              <w:left w:val="nil"/>
              <w:bottom w:val="nil"/>
              <w:right w:val="nil"/>
            </w:tcBorders>
            <w:shd w:val="clear" w:color="auto" w:fill="auto"/>
            <w:vAlign w:val="bottom"/>
          </w:tcPr>
          <w:p w14:paraId="56D1BBC7" w14:textId="77777777" w:rsidR="00D533A8" w:rsidRPr="00321238" w:rsidRDefault="00D533A8" w:rsidP="00D533A8">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0" w:type="pct"/>
            <w:tcBorders>
              <w:top w:val="nil"/>
              <w:left w:val="nil"/>
              <w:bottom w:val="nil"/>
              <w:right w:val="nil"/>
            </w:tcBorders>
            <w:shd w:val="clear" w:color="auto" w:fill="auto"/>
            <w:vAlign w:val="bottom"/>
          </w:tcPr>
          <w:p w14:paraId="471DA3F9" w14:textId="77777777" w:rsidR="00D533A8" w:rsidRPr="00321238" w:rsidRDefault="00D533A8" w:rsidP="00D533A8">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79" w:type="pct"/>
            <w:tcBorders>
              <w:top w:val="nil"/>
              <w:left w:val="nil"/>
              <w:bottom w:val="nil"/>
              <w:right w:val="nil"/>
            </w:tcBorders>
            <w:shd w:val="clear" w:color="auto" w:fill="auto"/>
            <w:vAlign w:val="bottom"/>
          </w:tcPr>
          <w:p w14:paraId="572869C3" w14:textId="77777777" w:rsidR="00D533A8" w:rsidRPr="00321238" w:rsidRDefault="00D533A8" w:rsidP="00D533A8">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0" w:type="pct"/>
            <w:tcBorders>
              <w:top w:val="nil"/>
              <w:left w:val="nil"/>
              <w:bottom w:val="nil"/>
              <w:right w:val="nil"/>
            </w:tcBorders>
            <w:shd w:val="clear" w:color="auto" w:fill="auto"/>
            <w:vAlign w:val="bottom"/>
          </w:tcPr>
          <w:p w14:paraId="446E43AB" w14:textId="5558B01F"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176</w:t>
            </w:r>
            <w:r>
              <w:rPr>
                <w:color w:val="000000"/>
                <w:sz w:val="18"/>
                <w:szCs w:val="18"/>
              </w:rPr>
              <w:t>,</w:t>
            </w:r>
            <w:r w:rsidRPr="001A09CA">
              <w:rPr>
                <w:color w:val="000000"/>
                <w:sz w:val="18"/>
                <w:szCs w:val="18"/>
              </w:rPr>
              <w:t>541</w:t>
            </w:r>
          </w:p>
        </w:tc>
        <w:tc>
          <w:tcPr>
            <w:tcW w:w="576" w:type="pct"/>
            <w:tcBorders>
              <w:top w:val="nil"/>
              <w:left w:val="nil"/>
              <w:bottom w:val="nil"/>
              <w:right w:val="nil"/>
            </w:tcBorders>
            <w:shd w:val="clear" w:color="auto" w:fill="auto"/>
            <w:vAlign w:val="bottom"/>
          </w:tcPr>
          <w:p w14:paraId="5526CB31" w14:textId="2272DE4D" w:rsidR="00D533A8" w:rsidRPr="00321238" w:rsidRDefault="00D533A8" w:rsidP="00D533A8">
            <w:pPr>
              <w:tabs>
                <w:tab w:val="right" w:pos="1202"/>
              </w:tabs>
              <w:spacing w:after="0" w:line="240" w:lineRule="exact"/>
              <w:jc w:val="right"/>
              <w:outlineLvl w:val="0"/>
              <w:rPr>
                <w:rFonts w:cs="Arial"/>
                <w:spacing w:val="-2"/>
                <w:sz w:val="18"/>
                <w:szCs w:val="18"/>
              </w:rPr>
            </w:pPr>
            <w:r w:rsidRPr="001A09CA">
              <w:rPr>
                <w:color w:val="000000"/>
                <w:sz w:val="18"/>
                <w:szCs w:val="18"/>
              </w:rPr>
              <w:t>176</w:t>
            </w:r>
            <w:r>
              <w:rPr>
                <w:color w:val="000000"/>
                <w:sz w:val="18"/>
                <w:szCs w:val="18"/>
              </w:rPr>
              <w:t>,</w:t>
            </w:r>
            <w:r w:rsidRPr="001A09CA">
              <w:rPr>
                <w:color w:val="000000"/>
                <w:sz w:val="18"/>
                <w:szCs w:val="18"/>
              </w:rPr>
              <w:t>541</w:t>
            </w:r>
          </w:p>
        </w:tc>
      </w:tr>
      <w:tr w:rsidR="00D533A8" w:rsidRPr="00321238" w14:paraId="01663C65" w14:textId="77777777" w:rsidTr="005444AA">
        <w:trPr>
          <w:trHeight w:val="443"/>
        </w:trPr>
        <w:tc>
          <w:tcPr>
            <w:tcW w:w="1524" w:type="pct"/>
            <w:vAlign w:val="bottom"/>
          </w:tcPr>
          <w:p w14:paraId="63F06270" w14:textId="77777777" w:rsidR="00D533A8" w:rsidRPr="00321238" w:rsidRDefault="00D533A8" w:rsidP="00D533A8">
            <w:pPr>
              <w:tabs>
                <w:tab w:val="right" w:pos="1202"/>
              </w:tabs>
              <w:spacing w:after="0" w:line="200" w:lineRule="exact"/>
              <w:outlineLvl w:val="0"/>
              <w:rPr>
                <w:rFonts w:eastAsia="Times New Roman" w:cs="Arial"/>
                <w:b/>
                <w:bCs/>
                <w:sz w:val="18"/>
                <w:szCs w:val="18"/>
              </w:rPr>
            </w:pPr>
            <w:r w:rsidRPr="00321238">
              <w:rPr>
                <w:rFonts w:eastAsia="Times New Roman" w:cs="Arial"/>
                <w:b/>
                <w:bCs/>
                <w:sz w:val="18"/>
                <w:szCs w:val="18"/>
              </w:rPr>
              <w:t xml:space="preserve">Total equity attributable to equity holders of the parent </w:t>
            </w:r>
          </w:p>
        </w:tc>
        <w:tc>
          <w:tcPr>
            <w:tcW w:w="581" w:type="pct"/>
            <w:tcBorders>
              <w:top w:val="single" w:sz="4" w:space="0" w:color="auto"/>
              <w:left w:val="nil"/>
              <w:bottom w:val="single" w:sz="8" w:space="0" w:color="auto"/>
              <w:right w:val="nil"/>
            </w:tcBorders>
            <w:shd w:val="clear" w:color="auto" w:fill="auto"/>
            <w:vAlign w:val="bottom"/>
          </w:tcPr>
          <w:p w14:paraId="17FD60CB" w14:textId="77777777" w:rsidR="00D533A8" w:rsidRPr="00321238" w:rsidRDefault="00D533A8" w:rsidP="00D533A8">
            <w:pPr>
              <w:tabs>
                <w:tab w:val="right" w:pos="1202"/>
              </w:tabs>
              <w:spacing w:after="0" w:line="240" w:lineRule="exact"/>
              <w:jc w:val="right"/>
              <w:outlineLvl w:val="0"/>
              <w:rPr>
                <w:rFonts w:cs="Arial"/>
                <w:b/>
                <w:spacing w:val="-2"/>
                <w:sz w:val="18"/>
                <w:szCs w:val="18"/>
              </w:rPr>
            </w:pPr>
            <w:r w:rsidRPr="00166751">
              <w:rPr>
                <w:rFonts w:asciiTheme="minorHAnsi" w:hAnsiTheme="minorHAnsi" w:cs="Arial"/>
                <w:b/>
                <w:bCs/>
                <w:spacing w:val="-2"/>
                <w:sz w:val="18"/>
                <w:szCs w:val="18"/>
                <w:lang w:val="hr-HR"/>
              </w:rPr>
              <w:t>-</w:t>
            </w:r>
          </w:p>
        </w:tc>
        <w:tc>
          <w:tcPr>
            <w:tcW w:w="579" w:type="pct"/>
            <w:tcBorders>
              <w:top w:val="single" w:sz="4" w:space="0" w:color="auto"/>
              <w:left w:val="nil"/>
              <w:bottom w:val="single" w:sz="8" w:space="0" w:color="auto"/>
              <w:right w:val="nil"/>
            </w:tcBorders>
            <w:shd w:val="clear" w:color="auto" w:fill="auto"/>
            <w:vAlign w:val="bottom"/>
          </w:tcPr>
          <w:p w14:paraId="6E771A1E" w14:textId="77777777" w:rsidR="00D533A8" w:rsidRPr="00321238" w:rsidRDefault="00D533A8" w:rsidP="00D533A8">
            <w:pPr>
              <w:tabs>
                <w:tab w:val="right" w:pos="1202"/>
              </w:tabs>
              <w:spacing w:after="0" w:line="240" w:lineRule="exact"/>
              <w:jc w:val="right"/>
              <w:outlineLvl w:val="0"/>
              <w:rPr>
                <w:rFonts w:cs="Arial"/>
                <w:b/>
                <w:spacing w:val="-2"/>
                <w:sz w:val="18"/>
                <w:szCs w:val="18"/>
              </w:rPr>
            </w:pPr>
            <w:r w:rsidRPr="00166751">
              <w:rPr>
                <w:rFonts w:asciiTheme="minorHAnsi" w:hAnsiTheme="minorHAnsi" w:cs="Arial"/>
                <w:b/>
                <w:bCs/>
                <w:spacing w:val="-2"/>
                <w:sz w:val="18"/>
                <w:szCs w:val="18"/>
                <w:lang w:val="hr-HR"/>
              </w:rPr>
              <w:t>-</w:t>
            </w:r>
          </w:p>
        </w:tc>
        <w:tc>
          <w:tcPr>
            <w:tcW w:w="580" w:type="pct"/>
            <w:tcBorders>
              <w:top w:val="single" w:sz="4" w:space="0" w:color="auto"/>
              <w:left w:val="nil"/>
              <w:bottom w:val="single" w:sz="8" w:space="0" w:color="auto"/>
              <w:right w:val="nil"/>
            </w:tcBorders>
            <w:shd w:val="clear" w:color="auto" w:fill="auto"/>
            <w:vAlign w:val="bottom"/>
          </w:tcPr>
          <w:p w14:paraId="6A31F0F3" w14:textId="77777777" w:rsidR="00D533A8" w:rsidRPr="00321238" w:rsidRDefault="00D533A8" w:rsidP="00D533A8">
            <w:pPr>
              <w:tabs>
                <w:tab w:val="right" w:pos="1202"/>
              </w:tabs>
              <w:spacing w:after="0" w:line="240" w:lineRule="exact"/>
              <w:jc w:val="right"/>
              <w:outlineLvl w:val="0"/>
              <w:rPr>
                <w:rFonts w:cs="Arial"/>
                <w:b/>
                <w:spacing w:val="-2"/>
                <w:sz w:val="18"/>
                <w:szCs w:val="18"/>
              </w:rPr>
            </w:pPr>
            <w:r w:rsidRPr="00166751">
              <w:rPr>
                <w:rFonts w:asciiTheme="minorHAnsi" w:hAnsiTheme="minorHAnsi" w:cs="Arial"/>
                <w:b/>
                <w:bCs/>
                <w:spacing w:val="-2"/>
                <w:sz w:val="18"/>
                <w:szCs w:val="18"/>
                <w:lang w:val="hr-HR"/>
              </w:rPr>
              <w:t>-</w:t>
            </w:r>
          </w:p>
        </w:tc>
        <w:tc>
          <w:tcPr>
            <w:tcW w:w="579" w:type="pct"/>
            <w:tcBorders>
              <w:top w:val="single" w:sz="4" w:space="0" w:color="auto"/>
              <w:left w:val="nil"/>
              <w:bottom w:val="single" w:sz="8" w:space="0" w:color="auto"/>
              <w:right w:val="nil"/>
            </w:tcBorders>
            <w:shd w:val="clear" w:color="auto" w:fill="auto"/>
            <w:vAlign w:val="bottom"/>
          </w:tcPr>
          <w:p w14:paraId="18F58474" w14:textId="77777777" w:rsidR="00D533A8" w:rsidRPr="00321238" w:rsidRDefault="00D533A8" w:rsidP="00D533A8">
            <w:pPr>
              <w:tabs>
                <w:tab w:val="right" w:pos="1202"/>
              </w:tabs>
              <w:spacing w:after="0" w:line="240" w:lineRule="exact"/>
              <w:jc w:val="right"/>
              <w:outlineLvl w:val="0"/>
              <w:rPr>
                <w:rFonts w:cs="Arial"/>
                <w:b/>
                <w:spacing w:val="-2"/>
                <w:sz w:val="18"/>
                <w:szCs w:val="18"/>
              </w:rPr>
            </w:pPr>
            <w:r w:rsidRPr="00166751">
              <w:rPr>
                <w:rFonts w:asciiTheme="minorHAnsi" w:hAnsiTheme="minorHAnsi" w:cs="Arial"/>
                <w:b/>
                <w:bCs/>
                <w:spacing w:val="-2"/>
                <w:sz w:val="18"/>
                <w:szCs w:val="18"/>
                <w:lang w:val="hr-HR"/>
              </w:rPr>
              <w:t>-</w:t>
            </w:r>
          </w:p>
        </w:tc>
        <w:tc>
          <w:tcPr>
            <w:tcW w:w="580" w:type="pct"/>
            <w:tcBorders>
              <w:top w:val="single" w:sz="4" w:space="0" w:color="auto"/>
              <w:left w:val="nil"/>
              <w:bottom w:val="single" w:sz="12" w:space="0" w:color="auto"/>
              <w:right w:val="nil"/>
            </w:tcBorders>
            <w:shd w:val="clear" w:color="auto" w:fill="auto"/>
            <w:vAlign w:val="bottom"/>
          </w:tcPr>
          <w:p w14:paraId="1DE71861" w14:textId="2BC6EB05" w:rsidR="00D533A8" w:rsidRPr="00321238" w:rsidRDefault="00D533A8" w:rsidP="00D533A8">
            <w:pPr>
              <w:tabs>
                <w:tab w:val="right" w:pos="1202"/>
              </w:tabs>
              <w:spacing w:after="0" w:line="240" w:lineRule="exact"/>
              <w:jc w:val="right"/>
              <w:outlineLvl w:val="0"/>
              <w:rPr>
                <w:rFonts w:cs="Arial"/>
                <w:b/>
                <w:spacing w:val="-2"/>
                <w:sz w:val="18"/>
                <w:szCs w:val="18"/>
              </w:rPr>
            </w:pPr>
            <w:r w:rsidRPr="001A09CA">
              <w:rPr>
                <w:b/>
                <w:bCs/>
                <w:color w:val="000000"/>
                <w:sz w:val="18"/>
                <w:szCs w:val="18"/>
              </w:rPr>
              <w:t>10</w:t>
            </w:r>
            <w:r>
              <w:rPr>
                <w:b/>
                <w:bCs/>
                <w:color w:val="000000"/>
                <w:sz w:val="18"/>
                <w:szCs w:val="18"/>
              </w:rPr>
              <w:t>,</w:t>
            </w:r>
            <w:r w:rsidRPr="001A09CA">
              <w:rPr>
                <w:b/>
                <w:bCs/>
                <w:color w:val="000000"/>
                <w:sz w:val="18"/>
                <w:szCs w:val="18"/>
              </w:rPr>
              <w:t>248</w:t>
            </w:r>
            <w:r>
              <w:rPr>
                <w:b/>
                <w:bCs/>
                <w:color w:val="000000"/>
                <w:sz w:val="18"/>
                <w:szCs w:val="18"/>
              </w:rPr>
              <w:t>,</w:t>
            </w:r>
            <w:r w:rsidRPr="001A09CA">
              <w:rPr>
                <w:b/>
                <w:bCs/>
                <w:color w:val="000000"/>
                <w:sz w:val="18"/>
                <w:szCs w:val="18"/>
              </w:rPr>
              <w:t>538</w:t>
            </w:r>
          </w:p>
        </w:tc>
        <w:tc>
          <w:tcPr>
            <w:tcW w:w="576" w:type="pct"/>
            <w:tcBorders>
              <w:top w:val="single" w:sz="4" w:space="0" w:color="auto"/>
              <w:left w:val="nil"/>
              <w:bottom w:val="single" w:sz="12" w:space="0" w:color="auto"/>
              <w:right w:val="nil"/>
            </w:tcBorders>
            <w:shd w:val="clear" w:color="auto" w:fill="auto"/>
            <w:vAlign w:val="bottom"/>
          </w:tcPr>
          <w:p w14:paraId="459F0A98" w14:textId="0932D764" w:rsidR="00D533A8" w:rsidRPr="00321238" w:rsidRDefault="00D533A8" w:rsidP="00D533A8">
            <w:pPr>
              <w:tabs>
                <w:tab w:val="right" w:pos="1202"/>
              </w:tabs>
              <w:spacing w:after="0" w:line="240" w:lineRule="exact"/>
              <w:jc w:val="right"/>
              <w:outlineLvl w:val="0"/>
              <w:rPr>
                <w:rFonts w:cs="Arial"/>
                <w:b/>
                <w:spacing w:val="-2"/>
                <w:sz w:val="18"/>
                <w:szCs w:val="18"/>
              </w:rPr>
            </w:pPr>
            <w:r w:rsidRPr="001A09CA">
              <w:rPr>
                <w:b/>
                <w:bCs/>
                <w:color w:val="000000"/>
                <w:sz w:val="18"/>
                <w:szCs w:val="18"/>
              </w:rPr>
              <w:t>10</w:t>
            </w:r>
            <w:r>
              <w:rPr>
                <w:b/>
                <w:bCs/>
                <w:color w:val="000000"/>
                <w:sz w:val="18"/>
                <w:szCs w:val="18"/>
              </w:rPr>
              <w:t>,</w:t>
            </w:r>
            <w:r w:rsidRPr="001A09CA">
              <w:rPr>
                <w:b/>
                <w:bCs/>
                <w:color w:val="000000"/>
                <w:sz w:val="18"/>
                <w:szCs w:val="18"/>
              </w:rPr>
              <w:t>248</w:t>
            </w:r>
            <w:r>
              <w:rPr>
                <w:b/>
                <w:bCs/>
                <w:color w:val="000000"/>
                <w:sz w:val="18"/>
                <w:szCs w:val="18"/>
              </w:rPr>
              <w:t>,</w:t>
            </w:r>
            <w:r w:rsidRPr="001A09CA">
              <w:rPr>
                <w:b/>
                <w:bCs/>
                <w:color w:val="000000"/>
                <w:sz w:val="18"/>
                <w:szCs w:val="18"/>
              </w:rPr>
              <w:t>538</w:t>
            </w:r>
          </w:p>
        </w:tc>
      </w:tr>
      <w:tr w:rsidR="00D533A8" w:rsidRPr="00321238" w14:paraId="62858551" w14:textId="77777777" w:rsidTr="006B318F">
        <w:trPr>
          <w:trHeight w:val="46"/>
        </w:trPr>
        <w:tc>
          <w:tcPr>
            <w:tcW w:w="1524" w:type="pct"/>
            <w:vAlign w:val="bottom"/>
          </w:tcPr>
          <w:p w14:paraId="4A2793A1" w14:textId="77777777" w:rsidR="00D533A8" w:rsidRPr="00321238" w:rsidRDefault="00D533A8" w:rsidP="00D533A8">
            <w:pPr>
              <w:tabs>
                <w:tab w:val="right" w:pos="1202"/>
              </w:tabs>
              <w:spacing w:after="0" w:line="120" w:lineRule="exact"/>
              <w:outlineLvl w:val="0"/>
              <w:rPr>
                <w:rFonts w:eastAsia="Times New Roman" w:cs="Arial"/>
                <w:b/>
                <w:bCs/>
                <w:sz w:val="18"/>
                <w:szCs w:val="18"/>
              </w:rPr>
            </w:pPr>
          </w:p>
        </w:tc>
        <w:tc>
          <w:tcPr>
            <w:tcW w:w="581" w:type="pct"/>
            <w:tcBorders>
              <w:top w:val="single" w:sz="12" w:space="0" w:color="auto"/>
              <w:left w:val="nil"/>
              <w:right w:val="nil"/>
            </w:tcBorders>
            <w:shd w:val="clear" w:color="auto" w:fill="auto"/>
            <w:vAlign w:val="bottom"/>
          </w:tcPr>
          <w:p w14:paraId="6B577662" w14:textId="77777777" w:rsidR="00D533A8" w:rsidRPr="00321238" w:rsidRDefault="00D533A8" w:rsidP="00D533A8">
            <w:pPr>
              <w:tabs>
                <w:tab w:val="right" w:pos="1202"/>
              </w:tabs>
              <w:spacing w:after="0" w:line="120" w:lineRule="exact"/>
              <w:jc w:val="right"/>
              <w:outlineLvl w:val="0"/>
              <w:rPr>
                <w:rFonts w:cs="Arial"/>
                <w:b/>
                <w:spacing w:val="-2"/>
                <w:sz w:val="18"/>
                <w:szCs w:val="18"/>
              </w:rPr>
            </w:pPr>
          </w:p>
        </w:tc>
        <w:tc>
          <w:tcPr>
            <w:tcW w:w="579" w:type="pct"/>
            <w:tcBorders>
              <w:top w:val="single" w:sz="12" w:space="0" w:color="auto"/>
              <w:left w:val="nil"/>
              <w:right w:val="nil"/>
            </w:tcBorders>
            <w:shd w:val="clear" w:color="auto" w:fill="auto"/>
            <w:vAlign w:val="bottom"/>
          </w:tcPr>
          <w:p w14:paraId="15656C50" w14:textId="77777777" w:rsidR="00D533A8" w:rsidRPr="00321238" w:rsidRDefault="00D533A8" w:rsidP="00D533A8">
            <w:pPr>
              <w:tabs>
                <w:tab w:val="right" w:pos="1202"/>
              </w:tabs>
              <w:spacing w:after="0" w:line="120" w:lineRule="exact"/>
              <w:jc w:val="right"/>
              <w:outlineLvl w:val="0"/>
              <w:rPr>
                <w:rFonts w:cs="Arial"/>
                <w:b/>
                <w:spacing w:val="-2"/>
                <w:sz w:val="18"/>
                <w:szCs w:val="18"/>
              </w:rPr>
            </w:pPr>
          </w:p>
        </w:tc>
        <w:tc>
          <w:tcPr>
            <w:tcW w:w="580" w:type="pct"/>
            <w:tcBorders>
              <w:top w:val="single" w:sz="12" w:space="0" w:color="auto"/>
              <w:left w:val="nil"/>
              <w:right w:val="nil"/>
            </w:tcBorders>
            <w:shd w:val="clear" w:color="auto" w:fill="auto"/>
            <w:vAlign w:val="bottom"/>
          </w:tcPr>
          <w:p w14:paraId="6EF90350" w14:textId="77777777" w:rsidR="00D533A8" w:rsidRPr="00321238" w:rsidRDefault="00D533A8" w:rsidP="00D533A8">
            <w:pPr>
              <w:tabs>
                <w:tab w:val="right" w:pos="1202"/>
              </w:tabs>
              <w:spacing w:after="0" w:line="120" w:lineRule="exact"/>
              <w:jc w:val="right"/>
              <w:outlineLvl w:val="0"/>
              <w:rPr>
                <w:rFonts w:cs="Arial"/>
                <w:b/>
                <w:spacing w:val="-2"/>
                <w:sz w:val="18"/>
                <w:szCs w:val="18"/>
              </w:rPr>
            </w:pPr>
          </w:p>
        </w:tc>
        <w:tc>
          <w:tcPr>
            <w:tcW w:w="579" w:type="pct"/>
            <w:tcBorders>
              <w:top w:val="single" w:sz="12" w:space="0" w:color="auto"/>
              <w:left w:val="nil"/>
              <w:right w:val="nil"/>
            </w:tcBorders>
            <w:shd w:val="clear" w:color="auto" w:fill="auto"/>
            <w:vAlign w:val="bottom"/>
          </w:tcPr>
          <w:p w14:paraId="6201147D" w14:textId="77777777" w:rsidR="00D533A8" w:rsidRPr="00321238" w:rsidRDefault="00D533A8" w:rsidP="00D533A8">
            <w:pPr>
              <w:tabs>
                <w:tab w:val="right" w:pos="1202"/>
              </w:tabs>
              <w:spacing w:after="0" w:line="120" w:lineRule="exact"/>
              <w:jc w:val="right"/>
              <w:outlineLvl w:val="0"/>
              <w:rPr>
                <w:rFonts w:cs="Arial"/>
                <w:b/>
                <w:spacing w:val="-2"/>
                <w:sz w:val="18"/>
                <w:szCs w:val="18"/>
              </w:rPr>
            </w:pPr>
          </w:p>
        </w:tc>
        <w:tc>
          <w:tcPr>
            <w:tcW w:w="580" w:type="pct"/>
            <w:tcBorders>
              <w:top w:val="single" w:sz="12" w:space="0" w:color="auto"/>
              <w:left w:val="nil"/>
              <w:right w:val="nil"/>
            </w:tcBorders>
            <w:shd w:val="clear" w:color="auto" w:fill="auto"/>
            <w:vAlign w:val="bottom"/>
          </w:tcPr>
          <w:p w14:paraId="5E7BE623" w14:textId="77777777" w:rsidR="00D533A8" w:rsidRPr="00321238" w:rsidRDefault="00D533A8" w:rsidP="00D533A8">
            <w:pPr>
              <w:tabs>
                <w:tab w:val="right" w:pos="1202"/>
              </w:tabs>
              <w:spacing w:after="0" w:line="120" w:lineRule="exact"/>
              <w:jc w:val="right"/>
              <w:outlineLvl w:val="0"/>
              <w:rPr>
                <w:rFonts w:cs="Arial"/>
                <w:b/>
                <w:spacing w:val="-2"/>
                <w:sz w:val="18"/>
                <w:szCs w:val="18"/>
              </w:rPr>
            </w:pPr>
          </w:p>
        </w:tc>
        <w:tc>
          <w:tcPr>
            <w:tcW w:w="576" w:type="pct"/>
            <w:tcBorders>
              <w:top w:val="single" w:sz="12" w:space="0" w:color="auto"/>
              <w:left w:val="nil"/>
              <w:right w:val="nil"/>
            </w:tcBorders>
            <w:shd w:val="clear" w:color="auto" w:fill="auto"/>
            <w:vAlign w:val="bottom"/>
          </w:tcPr>
          <w:p w14:paraId="5238A7AD" w14:textId="77777777" w:rsidR="00D533A8" w:rsidRPr="00321238" w:rsidRDefault="00D533A8" w:rsidP="00D533A8">
            <w:pPr>
              <w:tabs>
                <w:tab w:val="right" w:pos="1202"/>
              </w:tabs>
              <w:spacing w:after="0" w:line="120" w:lineRule="exact"/>
              <w:jc w:val="right"/>
              <w:outlineLvl w:val="0"/>
              <w:rPr>
                <w:rFonts w:cs="Arial"/>
                <w:b/>
                <w:spacing w:val="-2"/>
                <w:sz w:val="18"/>
                <w:szCs w:val="18"/>
              </w:rPr>
            </w:pPr>
          </w:p>
        </w:tc>
      </w:tr>
      <w:tr w:rsidR="00D533A8" w:rsidRPr="00321238" w14:paraId="4126F34B" w14:textId="77777777" w:rsidTr="00166751">
        <w:trPr>
          <w:trHeight w:val="223"/>
        </w:trPr>
        <w:tc>
          <w:tcPr>
            <w:tcW w:w="1524" w:type="pct"/>
            <w:vAlign w:val="bottom"/>
          </w:tcPr>
          <w:p w14:paraId="37585CBA" w14:textId="77777777" w:rsidR="00D533A8" w:rsidRPr="00321238" w:rsidRDefault="00D533A8" w:rsidP="00D533A8">
            <w:pPr>
              <w:tabs>
                <w:tab w:val="right" w:pos="1202"/>
              </w:tabs>
              <w:spacing w:after="0" w:line="200" w:lineRule="exact"/>
              <w:outlineLvl w:val="0"/>
              <w:rPr>
                <w:rFonts w:eastAsia="Times New Roman" w:cs="Arial"/>
                <w:bCs/>
                <w:sz w:val="18"/>
                <w:szCs w:val="18"/>
              </w:rPr>
            </w:pPr>
            <w:r w:rsidRPr="00321238">
              <w:rPr>
                <w:rFonts w:eastAsia="Times New Roman" w:cs="Arial"/>
                <w:bCs/>
                <w:sz w:val="18"/>
                <w:szCs w:val="18"/>
              </w:rPr>
              <w:t xml:space="preserve">Guarantee fund </w:t>
            </w:r>
          </w:p>
        </w:tc>
        <w:tc>
          <w:tcPr>
            <w:tcW w:w="581" w:type="pct"/>
            <w:tcBorders>
              <w:top w:val="nil"/>
              <w:left w:val="nil"/>
              <w:bottom w:val="nil"/>
              <w:right w:val="nil"/>
            </w:tcBorders>
            <w:shd w:val="clear" w:color="auto" w:fill="auto"/>
            <w:vAlign w:val="bottom"/>
          </w:tcPr>
          <w:p w14:paraId="53EA1F6A" w14:textId="77777777" w:rsidR="00D533A8" w:rsidRPr="00166751" w:rsidRDefault="00D533A8" w:rsidP="00D533A8">
            <w:pPr>
              <w:tabs>
                <w:tab w:val="right" w:pos="1202"/>
              </w:tabs>
              <w:spacing w:after="0" w:line="240" w:lineRule="exact"/>
              <w:jc w:val="right"/>
              <w:outlineLvl w:val="0"/>
              <w:rPr>
                <w:rFonts w:cs="Arial"/>
                <w:spacing w:val="-2"/>
                <w:sz w:val="18"/>
                <w:szCs w:val="18"/>
                <w:highlight w:val="yellow"/>
              </w:rPr>
            </w:pPr>
            <w:r w:rsidRPr="00166751">
              <w:rPr>
                <w:rFonts w:cs="Arial"/>
                <w:bCs/>
                <w:spacing w:val="-2"/>
                <w:sz w:val="18"/>
                <w:szCs w:val="18"/>
              </w:rPr>
              <w:t>-</w:t>
            </w:r>
          </w:p>
        </w:tc>
        <w:tc>
          <w:tcPr>
            <w:tcW w:w="579" w:type="pct"/>
            <w:tcBorders>
              <w:top w:val="nil"/>
              <w:left w:val="nil"/>
              <w:bottom w:val="nil"/>
              <w:right w:val="nil"/>
            </w:tcBorders>
            <w:shd w:val="clear" w:color="auto" w:fill="auto"/>
            <w:vAlign w:val="bottom"/>
          </w:tcPr>
          <w:p w14:paraId="57C40929" w14:textId="77777777" w:rsidR="00D533A8" w:rsidRPr="00166751" w:rsidRDefault="00D533A8" w:rsidP="00D533A8">
            <w:pPr>
              <w:tabs>
                <w:tab w:val="right" w:pos="1202"/>
              </w:tabs>
              <w:spacing w:after="0" w:line="240" w:lineRule="exact"/>
              <w:jc w:val="right"/>
              <w:outlineLvl w:val="0"/>
              <w:rPr>
                <w:rFonts w:cs="Arial"/>
                <w:spacing w:val="-2"/>
                <w:sz w:val="18"/>
                <w:szCs w:val="18"/>
                <w:highlight w:val="yellow"/>
              </w:rPr>
            </w:pPr>
            <w:r w:rsidRPr="00166751">
              <w:rPr>
                <w:rFonts w:cs="Arial"/>
                <w:bCs/>
                <w:spacing w:val="-2"/>
                <w:sz w:val="18"/>
                <w:szCs w:val="18"/>
              </w:rPr>
              <w:t>-</w:t>
            </w:r>
          </w:p>
        </w:tc>
        <w:tc>
          <w:tcPr>
            <w:tcW w:w="580" w:type="pct"/>
            <w:tcBorders>
              <w:top w:val="nil"/>
              <w:left w:val="nil"/>
              <w:bottom w:val="nil"/>
              <w:right w:val="nil"/>
            </w:tcBorders>
            <w:shd w:val="clear" w:color="auto" w:fill="auto"/>
            <w:vAlign w:val="bottom"/>
          </w:tcPr>
          <w:p w14:paraId="16A05A11" w14:textId="77777777" w:rsidR="00D533A8" w:rsidRPr="00166751" w:rsidRDefault="00D533A8" w:rsidP="00D533A8">
            <w:pPr>
              <w:tabs>
                <w:tab w:val="right" w:pos="1202"/>
              </w:tabs>
              <w:spacing w:after="0" w:line="240" w:lineRule="exact"/>
              <w:jc w:val="right"/>
              <w:outlineLvl w:val="0"/>
              <w:rPr>
                <w:rFonts w:cs="Arial"/>
                <w:spacing w:val="-2"/>
                <w:sz w:val="18"/>
                <w:szCs w:val="18"/>
                <w:highlight w:val="yellow"/>
              </w:rPr>
            </w:pPr>
            <w:r w:rsidRPr="00166751">
              <w:rPr>
                <w:rFonts w:cs="Arial"/>
                <w:bCs/>
                <w:spacing w:val="-2"/>
                <w:sz w:val="18"/>
                <w:szCs w:val="18"/>
              </w:rPr>
              <w:t>-</w:t>
            </w:r>
          </w:p>
        </w:tc>
        <w:tc>
          <w:tcPr>
            <w:tcW w:w="579" w:type="pct"/>
            <w:tcBorders>
              <w:top w:val="nil"/>
              <w:left w:val="nil"/>
              <w:bottom w:val="nil"/>
              <w:right w:val="nil"/>
            </w:tcBorders>
            <w:shd w:val="clear" w:color="auto" w:fill="auto"/>
            <w:vAlign w:val="bottom"/>
          </w:tcPr>
          <w:p w14:paraId="20ABEE6F" w14:textId="77777777" w:rsidR="00D533A8" w:rsidRPr="00166751" w:rsidRDefault="00D533A8" w:rsidP="00D533A8">
            <w:pPr>
              <w:tabs>
                <w:tab w:val="right" w:pos="1202"/>
              </w:tabs>
              <w:spacing w:after="0" w:line="240" w:lineRule="exact"/>
              <w:jc w:val="right"/>
              <w:outlineLvl w:val="0"/>
              <w:rPr>
                <w:rFonts w:cs="Arial"/>
                <w:spacing w:val="-2"/>
                <w:sz w:val="18"/>
                <w:szCs w:val="18"/>
                <w:highlight w:val="yellow"/>
              </w:rPr>
            </w:pPr>
            <w:r w:rsidRPr="00166751">
              <w:rPr>
                <w:rFonts w:cs="Arial"/>
                <w:bCs/>
                <w:spacing w:val="-2"/>
                <w:sz w:val="18"/>
                <w:szCs w:val="18"/>
              </w:rPr>
              <w:t>-</w:t>
            </w:r>
          </w:p>
        </w:tc>
        <w:tc>
          <w:tcPr>
            <w:tcW w:w="580" w:type="pct"/>
            <w:tcBorders>
              <w:top w:val="nil"/>
              <w:left w:val="nil"/>
              <w:bottom w:val="nil"/>
              <w:right w:val="nil"/>
            </w:tcBorders>
            <w:shd w:val="clear" w:color="auto" w:fill="auto"/>
            <w:vAlign w:val="bottom"/>
          </w:tcPr>
          <w:p w14:paraId="7EE6CAE6" w14:textId="708C3CED" w:rsidR="00D533A8" w:rsidRPr="00166751" w:rsidRDefault="00D533A8" w:rsidP="00D533A8">
            <w:pPr>
              <w:tabs>
                <w:tab w:val="right" w:pos="1202"/>
              </w:tabs>
              <w:spacing w:after="0" w:line="240" w:lineRule="exact"/>
              <w:jc w:val="right"/>
              <w:outlineLvl w:val="0"/>
              <w:rPr>
                <w:rFonts w:cs="Arial"/>
                <w:spacing w:val="-2"/>
                <w:sz w:val="18"/>
                <w:szCs w:val="18"/>
                <w:highlight w:val="yellow"/>
              </w:rPr>
            </w:pPr>
            <w:r w:rsidRPr="00A67586">
              <w:rPr>
                <w:rFonts w:cs="Arial"/>
                <w:sz w:val="18"/>
                <w:szCs w:val="18"/>
              </w:rPr>
              <w:t>12</w:t>
            </w:r>
            <w:r>
              <w:rPr>
                <w:rFonts w:cs="Arial"/>
                <w:sz w:val="18"/>
                <w:szCs w:val="18"/>
              </w:rPr>
              <w:t>,</w:t>
            </w:r>
            <w:r w:rsidRPr="00A67586">
              <w:rPr>
                <w:rFonts w:cs="Arial"/>
                <w:sz w:val="18"/>
                <w:szCs w:val="18"/>
              </w:rPr>
              <w:t>276</w:t>
            </w:r>
          </w:p>
        </w:tc>
        <w:tc>
          <w:tcPr>
            <w:tcW w:w="576" w:type="pct"/>
            <w:tcBorders>
              <w:top w:val="nil"/>
              <w:left w:val="nil"/>
              <w:bottom w:val="nil"/>
              <w:right w:val="nil"/>
            </w:tcBorders>
            <w:shd w:val="clear" w:color="auto" w:fill="auto"/>
            <w:vAlign w:val="bottom"/>
          </w:tcPr>
          <w:p w14:paraId="7702CAB2" w14:textId="166CDC47" w:rsidR="00D533A8" w:rsidRPr="00166751" w:rsidRDefault="00D533A8" w:rsidP="00D533A8">
            <w:pPr>
              <w:tabs>
                <w:tab w:val="right" w:pos="1202"/>
              </w:tabs>
              <w:spacing w:after="0" w:line="240" w:lineRule="exact"/>
              <w:jc w:val="right"/>
              <w:outlineLvl w:val="0"/>
              <w:rPr>
                <w:rFonts w:cs="Arial"/>
                <w:spacing w:val="-2"/>
                <w:sz w:val="18"/>
                <w:szCs w:val="18"/>
                <w:highlight w:val="yellow"/>
              </w:rPr>
            </w:pPr>
            <w:r w:rsidRPr="00A67586">
              <w:rPr>
                <w:rFonts w:cs="Arial"/>
                <w:sz w:val="18"/>
                <w:szCs w:val="18"/>
              </w:rPr>
              <w:t>12</w:t>
            </w:r>
            <w:r>
              <w:rPr>
                <w:rFonts w:cs="Arial"/>
                <w:sz w:val="18"/>
                <w:szCs w:val="18"/>
              </w:rPr>
              <w:t>,</w:t>
            </w:r>
            <w:r w:rsidRPr="00A67586">
              <w:rPr>
                <w:rFonts w:cs="Arial"/>
                <w:sz w:val="18"/>
                <w:szCs w:val="18"/>
              </w:rPr>
              <w:t>276</w:t>
            </w:r>
          </w:p>
        </w:tc>
      </w:tr>
      <w:tr w:rsidR="00D533A8" w:rsidRPr="00321238" w14:paraId="2ED9C55D" w14:textId="77777777" w:rsidTr="00166751">
        <w:trPr>
          <w:trHeight w:val="258"/>
        </w:trPr>
        <w:tc>
          <w:tcPr>
            <w:tcW w:w="1524" w:type="pct"/>
            <w:vAlign w:val="bottom"/>
          </w:tcPr>
          <w:p w14:paraId="0E505BFE" w14:textId="77777777" w:rsidR="00D533A8" w:rsidRPr="00321238" w:rsidRDefault="00D533A8" w:rsidP="00D533A8">
            <w:pPr>
              <w:tabs>
                <w:tab w:val="right" w:pos="1202"/>
              </w:tabs>
              <w:spacing w:after="0" w:line="200" w:lineRule="exact"/>
              <w:outlineLvl w:val="0"/>
              <w:rPr>
                <w:rFonts w:eastAsia="Times New Roman" w:cs="Arial"/>
                <w:b/>
                <w:bCs/>
                <w:sz w:val="18"/>
                <w:szCs w:val="18"/>
              </w:rPr>
            </w:pPr>
            <w:r w:rsidRPr="00321238">
              <w:rPr>
                <w:rFonts w:eastAsia="Times New Roman" w:cs="Arial"/>
                <w:b/>
                <w:bCs/>
                <w:sz w:val="18"/>
                <w:szCs w:val="18"/>
              </w:rPr>
              <w:t xml:space="preserve">Total equity </w:t>
            </w:r>
          </w:p>
        </w:tc>
        <w:tc>
          <w:tcPr>
            <w:tcW w:w="581" w:type="pct"/>
            <w:tcBorders>
              <w:top w:val="single" w:sz="4" w:space="0" w:color="auto"/>
              <w:left w:val="nil"/>
              <w:bottom w:val="single" w:sz="8" w:space="0" w:color="auto"/>
              <w:right w:val="nil"/>
            </w:tcBorders>
            <w:shd w:val="clear" w:color="auto" w:fill="auto"/>
            <w:vAlign w:val="bottom"/>
          </w:tcPr>
          <w:p w14:paraId="3BE5C749" w14:textId="77777777" w:rsidR="00D533A8" w:rsidRPr="00321238" w:rsidRDefault="00D533A8" w:rsidP="00D533A8">
            <w:pPr>
              <w:tabs>
                <w:tab w:val="right" w:pos="1202"/>
              </w:tabs>
              <w:spacing w:after="0" w:line="240" w:lineRule="exact"/>
              <w:jc w:val="right"/>
              <w:outlineLvl w:val="0"/>
              <w:rPr>
                <w:rFonts w:cs="Arial"/>
                <w:b/>
                <w:spacing w:val="-2"/>
                <w:sz w:val="18"/>
                <w:szCs w:val="18"/>
              </w:rPr>
            </w:pPr>
            <w:r w:rsidRPr="00166751">
              <w:rPr>
                <w:rFonts w:cs="Arial"/>
                <w:b/>
                <w:bCs/>
                <w:spacing w:val="-2"/>
                <w:sz w:val="18"/>
                <w:szCs w:val="18"/>
              </w:rPr>
              <w:t>-</w:t>
            </w:r>
          </w:p>
        </w:tc>
        <w:tc>
          <w:tcPr>
            <w:tcW w:w="579" w:type="pct"/>
            <w:tcBorders>
              <w:top w:val="single" w:sz="4" w:space="0" w:color="auto"/>
              <w:left w:val="nil"/>
              <w:bottom w:val="single" w:sz="8" w:space="0" w:color="auto"/>
              <w:right w:val="nil"/>
            </w:tcBorders>
            <w:shd w:val="clear" w:color="auto" w:fill="auto"/>
            <w:vAlign w:val="bottom"/>
          </w:tcPr>
          <w:p w14:paraId="791B1535" w14:textId="77777777" w:rsidR="00D533A8" w:rsidRPr="00321238" w:rsidRDefault="00D533A8" w:rsidP="00D533A8">
            <w:pPr>
              <w:tabs>
                <w:tab w:val="right" w:pos="1202"/>
              </w:tabs>
              <w:spacing w:after="0" w:line="240" w:lineRule="exact"/>
              <w:jc w:val="right"/>
              <w:outlineLvl w:val="0"/>
              <w:rPr>
                <w:rFonts w:cs="Arial"/>
                <w:b/>
                <w:spacing w:val="-2"/>
                <w:sz w:val="18"/>
                <w:szCs w:val="18"/>
              </w:rPr>
            </w:pPr>
            <w:r w:rsidRPr="00166751">
              <w:rPr>
                <w:rFonts w:cs="Arial"/>
                <w:b/>
                <w:bCs/>
                <w:spacing w:val="-2"/>
                <w:sz w:val="18"/>
                <w:szCs w:val="18"/>
              </w:rPr>
              <w:t>-</w:t>
            </w:r>
          </w:p>
        </w:tc>
        <w:tc>
          <w:tcPr>
            <w:tcW w:w="580" w:type="pct"/>
            <w:tcBorders>
              <w:top w:val="single" w:sz="4" w:space="0" w:color="auto"/>
              <w:left w:val="nil"/>
              <w:bottom w:val="single" w:sz="8" w:space="0" w:color="auto"/>
              <w:right w:val="nil"/>
            </w:tcBorders>
            <w:shd w:val="clear" w:color="auto" w:fill="auto"/>
            <w:vAlign w:val="bottom"/>
          </w:tcPr>
          <w:p w14:paraId="1F097C5B" w14:textId="77777777" w:rsidR="00D533A8" w:rsidRPr="00321238" w:rsidRDefault="00D533A8" w:rsidP="00D533A8">
            <w:pPr>
              <w:tabs>
                <w:tab w:val="right" w:pos="1202"/>
              </w:tabs>
              <w:spacing w:after="0" w:line="240" w:lineRule="exact"/>
              <w:jc w:val="right"/>
              <w:outlineLvl w:val="0"/>
              <w:rPr>
                <w:rFonts w:cs="Arial"/>
                <w:b/>
                <w:spacing w:val="-2"/>
                <w:sz w:val="18"/>
                <w:szCs w:val="18"/>
              </w:rPr>
            </w:pPr>
            <w:r w:rsidRPr="00166751">
              <w:rPr>
                <w:rFonts w:cs="Arial"/>
                <w:b/>
                <w:bCs/>
                <w:spacing w:val="-2"/>
                <w:sz w:val="18"/>
                <w:szCs w:val="18"/>
              </w:rPr>
              <w:t>-</w:t>
            </w:r>
          </w:p>
        </w:tc>
        <w:tc>
          <w:tcPr>
            <w:tcW w:w="579" w:type="pct"/>
            <w:tcBorders>
              <w:top w:val="single" w:sz="4" w:space="0" w:color="auto"/>
              <w:left w:val="nil"/>
              <w:bottom w:val="single" w:sz="8" w:space="0" w:color="auto"/>
              <w:right w:val="nil"/>
            </w:tcBorders>
            <w:shd w:val="clear" w:color="auto" w:fill="auto"/>
            <w:vAlign w:val="bottom"/>
          </w:tcPr>
          <w:p w14:paraId="49F46A54" w14:textId="77777777" w:rsidR="00D533A8" w:rsidRPr="00321238" w:rsidRDefault="00D533A8" w:rsidP="00D533A8">
            <w:pPr>
              <w:tabs>
                <w:tab w:val="right" w:pos="1202"/>
              </w:tabs>
              <w:spacing w:after="0" w:line="240" w:lineRule="exact"/>
              <w:jc w:val="right"/>
              <w:outlineLvl w:val="0"/>
              <w:rPr>
                <w:rFonts w:cs="Arial"/>
                <w:b/>
                <w:spacing w:val="-2"/>
                <w:sz w:val="18"/>
                <w:szCs w:val="18"/>
              </w:rPr>
            </w:pPr>
            <w:r w:rsidRPr="00166751">
              <w:rPr>
                <w:rFonts w:cs="Arial"/>
                <w:b/>
                <w:bCs/>
                <w:spacing w:val="-2"/>
                <w:sz w:val="18"/>
                <w:szCs w:val="18"/>
              </w:rPr>
              <w:t>-</w:t>
            </w:r>
          </w:p>
        </w:tc>
        <w:tc>
          <w:tcPr>
            <w:tcW w:w="580" w:type="pct"/>
            <w:tcBorders>
              <w:top w:val="single" w:sz="4" w:space="0" w:color="auto"/>
              <w:left w:val="nil"/>
              <w:bottom w:val="single" w:sz="8" w:space="0" w:color="auto"/>
              <w:right w:val="nil"/>
            </w:tcBorders>
            <w:shd w:val="clear" w:color="auto" w:fill="auto"/>
            <w:vAlign w:val="bottom"/>
          </w:tcPr>
          <w:p w14:paraId="409FE5FE" w14:textId="49A79890" w:rsidR="00D533A8" w:rsidRPr="00321238" w:rsidRDefault="00D533A8" w:rsidP="00D533A8">
            <w:pPr>
              <w:tabs>
                <w:tab w:val="right" w:pos="1202"/>
              </w:tabs>
              <w:spacing w:after="0" w:line="240" w:lineRule="exact"/>
              <w:jc w:val="right"/>
              <w:outlineLvl w:val="0"/>
              <w:rPr>
                <w:rFonts w:cs="Arial"/>
                <w:b/>
                <w:spacing w:val="-2"/>
                <w:sz w:val="18"/>
                <w:szCs w:val="18"/>
              </w:rPr>
            </w:pPr>
            <w:r w:rsidRPr="00A67586">
              <w:rPr>
                <w:rFonts w:cs="Arial"/>
                <w:b/>
                <w:bCs/>
                <w:color w:val="000000"/>
                <w:sz w:val="18"/>
                <w:szCs w:val="18"/>
                <w:lang w:eastAsia="hr-HR"/>
              </w:rPr>
              <w:t>10</w:t>
            </w:r>
            <w:r>
              <w:rPr>
                <w:rFonts w:cs="Arial"/>
                <w:b/>
                <w:bCs/>
                <w:color w:val="000000"/>
                <w:sz w:val="18"/>
                <w:szCs w:val="18"/>
                <w:lang w:eastAsia="hr-HR"/>
              </w:rPr>
              <w:t>,</w:t>
            </w:r>
            <w:r w:rsidRPr="00A67586">
              <w:rPr>
                <w:rFonts w:cs="Arial"/>
                <w:b/>
                <w:bCs/>
                <w:color w:val="000000"/>
                <w:sz w:val="18"/>
                <w:szCs w:val="18"/>
                <w:lang w:eastAsia="hr-HR"/>
              </w:rPr>
              <w:t>260</w:t>
            </w:r>
            <w:r>
              <w:rPr>
                <w:rFonts w:cs="Arial"/>
                <w:b/>
                <w:bCs/>
                <w:color w:val="000000"/>
                <w:sz w:val="18"/>
                <w:szCs w:val="18"/>
                <w:lang w:eastAsia="hr-HR"/>
              </w:rPr>
              <w:t>,</w:t>
            </w:r>
            <w:r w:rsidRPr="00A67586">
              <w:rPr>
                <w:rFonts w:cs="Arial"/>
                <w:b/>
                <w:bCs/>
                <w:color w:val="000000"/>
                <w:sz w:val="18"/>
                <w:szCs w:val="18"/>
                <w:lang w:eastAsia="hr-HR"/>
              </w:rPr>
              <w:t>814</w:t>
            </w:r>
          </w:p>
        </w:tc>
        <w:tc>
          <w:tcPr>
            <w:tcW w:w="576" w:type="pct"/>
            <w:tcBorders>
              <w:top w:val="single" w:sz="4" w:space="0" w:color="auto"/>
              <w:left w:val="nil"/>
              <w:bottom w:val="single" w:sz="8" w:space="0" w:color="auto"/>
              <w:right w:val="nil"/>
            </w:tcBorders>
            <w:shd w:val="clear" w:color="auto" w:fill="auto"/>
            <w:vAlign w:val="bottom"/>
          </w:tcPr>
          <w:p w14:paraId="51471412" w14:textId="0C149557" w:rsidR="00D533A8" w:rsidRPr="00321238" w:rsidRDefault="00D533A8" w:rsidP="00D533A8">
            <w:pPr>
              <w:tabs>
                <w:tab w:val="right" w:pos="1202"/>
              </w:tabs>
              <w:spacing w:after="0" w:line="240" w:lineRule="exact"/>
              <w:jc w:val="right"/>
              <w:outlineLvl w:val="0"/>
              <w:rPr>
                <w:rFonts w:cs="Arial"/>
                <w:b/>
                <w:spacing w:val="-2"/>
                <w:sz w:val="18"/>
                <w:szCs w:val="18"/>
              </w:rPr>
            </w:pPr>
            <w:r w:rsidRPr="00A67586">
              <w:rPr>
                <w:rFonts w:cs="Arial"/>
                <w:b/>
                <w:bCs/>
                <w:color w:val="000000"/>
                <w:sz w:val="18"/>
                <w:szCs w:val="18"/>
                <w:lang w:eastAsia="hr-HR"/>
              </w:rPr>
              <w:t>10</w:t>
            </w:r>
            <w:r>
              <w:rPr>
                <w:rFonts w:cs="Arial"/>
                <w:b/>
                <w:bCs/>
                <w:color w:val="000000"/>
                <w:sz w:val="18"/>
                <w:szCs w:val="18"/>
                <w:lang w:eastAsia="hr-HR"/>
              </w:rPr>
              <w:t>,</w:t>
            </w:r>
            <w:r w:rsidRPr="00A67586">
              <w:rPr>
                <w:rFonts w:cs="Arial"/>
                <w:b/>
                <w:bCs/>
                <w:color w:val="000000"/>
                <w:sz w:val="18"/>
                <w:szCs w:val="18"/>
                <w:lang w:eastAsia="hr-HR"/>
              </w:rPr>
              <w:t>260</w:t>
            </w:r>
            <w:r>
              <w:rPr>
                <w:rFonts w:cs="Arial"/>
                <w:b/>
                <w:bCs/>
                <w:color w:val="000000"/>
                <w:sz w:val="18"/>
                <w:szCs w:val="18"/>
                <w:lang w:eastAsia="hr-HR"/>
              </w:rPr>
              <w:t>,</w:t>
            </w:r>
            <w:r w:rsidRPr="00A67586">
              <w:rPr>
                <w:rFonts w:cs="Arial"/>
                <w:b/>
                <w:bCs/>
                <w:color w:val="000000"/>
                <w:sz w:val="18"/>
                <w:szCs w:val="18"/>
                <w:lang w:eastAsia="hr-HR"/>
              </w:rPr>
              <w:t>814</w:t>
            </w:r>
          </w:p>
        </w:tc>
      </w:tr>
      <w:tr w:rsidR="0013539B" w:rsidRPr="00321238" w14:paraId="77A71254" w14:textId="77777777" w:rsidTr="00166751">
        <w:trPr>
          <w:trHeight w:val="68"/>
        </w:trPr>
        <w:tc>
          <w:tcPr>
            <w:tcW w:w="1524" w:type="pct"/>
            <w:vAlign w:val="bottom"/>
          </w:tcPr>
          <w:p w14:paraId="73755DEB" w14:textId="77777777" w:rsidR="0013539B" w:rsidRPr="00321238" w:rsidRDefault="0013539B" w:rsidP="0013539B">
            <w:pPr>
              <w:tabs>
                <w:tab w:val="right" w:pos="1202"/>
              </w:tabs>
              <w:spacing w:after="0" w:line="100" w:lineRule="exact"/>
              <w:outlineLvl w:val="0"/>
              <w:rPr>
                <w:rFonts w:eastAsia="Times New Roman" w:cs="Arial"/>
                <w:b/>
                <w:bCs/>
                <w:sz w:val="18"/>
                <w:szCs w:val="18"/>
              </w:rPr>
            </w:pPr>
          </w:p>
        </w:tc>
        <w:tc>
          <w:tcPr>
            <w:tcW w:w="581" w:type="pct"/>
            <w:tcBorders>
              <w:top w:val="single" w:sz="12" w:space="0" w:color="auto"/>
              <w:left w:val="nil"/>
              <w:bottom w:val="nil"/>
              <w:right w:val="nil"/>
            </w:tcBorders>
            <w:shd w:val="clear" w:color="auto" w:fill="auto"/>
            <w:vAlign w:val="bottom"/>
          </w:tcPr>
          <w:p w14:paraId="78A0F81A" w14:textId="77777777" w:rsidR="0013539B" w:rsidRPr="00321238" w:rsidRDefault="0013539B" w:rsidP="0013539B">
            <w:pPr>
              <w:tabs>
                <w:tab w:val="right" w:pos="1202"/>
              </w:tabs>
              <w:spacing w:after="0" w:line="100" w:lineRule="exact"/>
              <w:jc w:val="right"/>
              <w:outlineLvl w:val="0"/>
              <w:rPr>
                <w:rFonts w:cs="Arial"/>
                <w:b/>
                <w:spacing w:val="-2"/>
                <w:sz w:val="18"/>
                <w:szCs w:val="18"/>
              </w:rPr>
            </w:pPr>
          </w:p>
        </w:tc>
        <w:tc>
          <w:tcPr>
            <w:tcW w:w="579" w:type="pct"/>
            <w:tcBorders>
              <w:top w:val="single" w:sz="12" w:space="0" w:color="auto"/>
              <w:left w:val="nil"/>
              <w:bottom w:val="nil"/>
              <w:right w:val="nil"/>
            </w:tcBorders>
            <w:shd w:val="clear" w:color="auto" w:fill="auto"/>
            <w:vAlign w:val="bottom"/>
          </w:tcPr>
          <w:p w14:paraId="525B07D6" w14:textId="77777777" w:rsidR="0013539B" w:rsidRPr="00321238" w:rsidRDefault="0013539B" w:rsidP="0013539B">
            <w:pPr>
              <w:tabs>
                <w:tab w:val="right" w:pos="1202"/>
              </w:tabs>
              <w:spacing w:after="0" w:line="100" w:lineRule="exact"/>
              <w:jc w:val="right"/>
              <w:outlineLvl w:val="0"/>
              <w:rPr>
                <w:rFonts w:cs="Arial"/>
                <w:b/>
                <w:spacing w:val="-2"/>
                <w:sz w:val="18"/>
                <w:szCs w:val="18"/>
              </w:rPr>
            </w:pPr>
          </w:p>
        </w:tc>
        <w:tc>
          <w:tcPr>
            <w:tcW w:w="580" w:type="pct"/>
            <w:tcBorders>
              <w:top w:val="single" w:sz="12" w:space="0" w:color="auto"/>
              <w:left w:val="nil"/>
              <w:bottom w:val="nil"/>
              <w:right w:val="nil"/>
            </w:tcBorders>
            <w:shd w:val="clear" w:color="auto" w:fill="auto"/>
            <w:vAlign w:val="bottom"/>
          </w:tcPr>
          <w:p w14:paraId="09488978" w14:textId="77777777" w:rsidR="0013539B" w:rsidRPr="00321238" w:rsidRDefault="0013539B" w:rsidP="0013539B">
            <w:pPr>
              <w:tabs>
                <w:tab w:val="right" w:pos="1202"/>
              </w:tabs>
              <w:spacing w:after="0" w:line="100" w:lineRule="exact"/>
              <w:jc w:val="right"/>
              <w:outlineLvl w:val="0"/>
              <w:rPr>
                <w:rFonts w:cs="Arial"/>
                <w:b/>
                <w:spacing w:val="-2"/>
                <w:sz w:val="18"/>
                <w:szCs w:val="18"/>
              </w:rPr>
            </w:pPr>
          </w:p>
        </w:tc>
        <w:tc>
          <w:tcPr>
            <w:tcW w:w="579" w:type="pct"/>
            <w:tcBorders>
              <w:top w:val="single" w:sz="12" w:space="0" w:color="auto"/>
              <w:left w:val="nil"/>
              <w:bottom w:val="nil"/>
              <w:right w:val="nil"/>
            </w:tcBorders>
            <w:shd w:val="clear" w:color="auto" w:fill="auto"/>
            <w:vAlign w:val="bottom"/>
          </w:tcPr>
          <w:p w14:paraId="3ECE6336" w14:textId="77777777" w:rsidR="0013539B" w:rsidRPr="00321238" w:rsidRDefault="0013539B" w:rsidP="0013539B">
            <w:pPr>
              <w:tabs>
                <w:tab w:val="right" w:pos="1202"/>
              </w:tabs>
              <w:spacing w:after="0" w:line="100" w:lineRule="exact"/>
              <w:jc w:val="right"/>
              <w:outlineLvl w:val="0"/>
              <w:rPr>
                <w:rFonts w:cs="Arial"/>
                <w:b/>
                <w:spacing w:val="-2"/>
                <w:sz w:val="18"/>
                <w:szCs w:val="18"/>
              </w:rPr>
            </w:pPr>
          </w:p>
        </w:tc>
        <w:tc>
          <w:tcPr>
            <w:tcW w:w="580" w:type="pct"/>
            <w:tcBorders>
              <w:top w:val="single" w:sz="12" w:space="0" w:color="auto"/>
              <w:left w:val="nil"/>
              <w:bottom w:val="nil"/>
              <w:right w:val="nil"/>
            </w:tcBorders>
            <w:shd w:val="clear" w:color="auto" w:fill="auto"/>
            <w:vAlign w:val="bottom"/>
          </w:tcPr>
          <w:p w14:paraId="0EC0E550" w14:textId="77777777" w:rsidR="0013539B" w:rsidRPr="00321238" w:rsidRDefault="0013539B" w:rsidP="0013539B">
            <w:pPr>
              <w:tabs>
                <w:tab w:val="right" w:pos="1202"/>
              </w:tabs>
              <w:spacing w:after="0" w:line="100" w:lineRule="exact"/>
              <w:jc w:val="right"/>
              <w:outlineLvl w:val="0"/>
              <w:rPr>
                <w:rFonts w:cs="Arial"/>
                <w:b/>
                <w:spacing w:val="-2"/>
                <w:sz w:val="18"/>
                <w:szCs w:val="18"/>
              </w:rPr>
            </w:pPr>
          </w:p>
        </w:tc>
        <w:tc>
          <w:tcPr>
            <w:tcW w:w="576" w:type="pct"/>
            <w:tcBorders>
              <w:top w:val="single" w:sz="12" w:space="0" w:color="auto"/>
              <w:left w:val="nil"/>
              <w:bottom w:val="nil"/>
              <w:right w:val="nil"/>
            </w:tcBorders>
            <w:shd w:val="clear" w:color="auto" w:fill="auto"/>
            <w:vAlign w:val="bottom"/>
          </w:tcPr>
          <w:p w14:paraId="1929E79C" w14:textId="77777777" w:rsidR="0013539B" w:rsidRPr="00321238" w:rsidRDefault="0013539B" w:rsidP="0013539B">
            <w:pPr>
              <w:tabs>
                <w:tab w:val="right" w:pos="1202"/>
              </w:tabs>
              <w:spacing w:after="0" w:line="100" w:lineRule="exact"/>
              <w:jc w:val="right"/>
              <w:outlineLvl w:val="0"/>
              <w:rPr>
                <w:rFonts w:cs="Arial"/>
                <w:b/>
                <w:spacing w:val="-2"/>
                <w:sz w:val="18"/>
                <w:szCs w:val="18"/>
              </w:rPr>
            </w:pPr>
          </w:p>
        </w:tc>
      </w:tr>
      <w:tr w:rsidR="00D533A8" w:rsidRPr="00321238" w14:paraId="43E0469D" w14:textId="77777777" w:rsidTr="006B318F">
        <w:trPr>
          <w:trHeight w:val="251"/>
        </w:trPr>
        <w:tc>
          <w:tcPr>
            <w:tcW w:w="1524" w:type="pct"/>
            <w:vAlign w:val="bottom"/>
          </w:tcPr>
          <w:p w14:paraId="5F77055E" w14:textId="77777777" w:rsidR="00D533A8" w:rsidRPr="00321238" w:rsidRDefault="00D533A8" w:rsidP="00D533A8">
            <w:pPr>
              <w:tabs>
                <w:tab w:val="right" w:pos="1202"/>
              </w:tabs>
              <w:spacing w:after="0" w:line="200" w:lineRule="exact"/>
              <w:outlineLvl w:val="0"/>
              <w:rPr>
                <w:rFonts w:eastAsia="Times New Roman" w:cs="Arial"/>
                <w:b/>
                <w:bCs/>
                <w:sz w:val="18"/>
                <w:szCs w:val="18"/>
              </w:rPr>
            </w:pPr>
            <w:r w:rsidRPr="00321238">
              <w:rPr>
                <w:rFonts w:eastAsia="Times New Roman" w:cs="Arial"/>
                <w:b/>
                <w:bCs/>
                <w:sz w:val="18"/>
                <w:szCs w:val="18"/>
              </w:rPr>
              <w:t>Total liabilities and total equity (2)</w:t>
            </w:r>
          </w:p>
        </w:tc>
        <w:tc>
          <w:tcPr>
            <w:tcW w:w="581" w:type="pct"/>
            <w:tcBorders>
              <w:top w:val="nil"/>
              <w:left w:val="nil"/>
              <w:bottom w:val="single" w:sz="12" w:space="0" w:color="auto"/>
              <w:right w:val="nil"/>
            </w:tcBorders>
            <w:shd w:val="clear" w:color="auto" w:fill="auto"/>
            <w:vAlign w:val="center"/>
          </w:tcPr>
          <w:p w14:paraId="7415D3DE" w14:textId="68B39F9A" w:rsidR="00D533A8" w:rsidRPr="00321238" w:rsidRDefault="00D533A8" w:rsidP="00D533A8">
            <w:pPr>
              <w:tabs>
                <w:tab w:val="right" w:pos="1202"/>
              </w:tabs>
              <w:spacing w:after="0" w:line="240" w:lineRule="exact"/>
              <w:jc w:val="right"/>
              <w:outlineLvl w:val="0"/>
              <w:rPr>
                <w:rFonts w:cs="Arial"/>
                <w:b/>
                <w:spacing w:val="-2"/>
                <w:sz w:val="18"/>
                <w:szCs w:val="18"/>
              </w:rPr>
            </w:pPr>
            <w:r w:rsidRPr="001A09CA">
              <w:rPr>
                <w:b/>
                <w:bCs/>
                <w:color w:val="000000"/>
                <w:sz w:val="18"/>
                <w:szCs w:val="18"/>
              </w:rPr>
              <w:t>972</w:t>
            </w:r>
            <w:r>
              <w:rPr>
                <w:b/>
                <w:bCs/>
                <w:color w:val="000000"/>
                <w:sz w:val="18"/>
                <w:szCs w:val="18"/>
              </w:rPr>
              <w:t>,</w:t>
            </w:r>
            <w:r w:rsidRPr="001A09CA">
              <w:rPr>
                <w:b/>
                <w:bCs/>
                <w:color w:val="000000"/>
                <w:sz w:val="18"/>
                <w:szCs w:val="18"/>
              </w:rPr>
              <w:t>704</w:t>
            </w:r>
          </w:p>
        </w:tc>
        <w:tc>
          <w:tcPr>
            <w:tcW w:w="579" w:type="pct"/>
            <w:tcBorders>
              <w:top w:val="nil"/>
              <w:left w:val="nil"/>
              <w:bottom w:val="single" w:sz="12" w:space="0" w:color="auto"/>
              <w:right w:val="nil"/>
            </w:tcBorders>
            <w:shd w:val="clear" w:color="auto" w:fill="auto"/>
            <w:vAlign w:val="center"/>
          </w:tcPr>
          <w:p w14:paraId="046DDAFF" w14:textId="3E15FAEA" w:rsidR="00D533A8" w:rsidRPr="00321238" w:rsidRDefault="00D533A8" w:rsidP="00D533A8">
            <w:pPr>
              <w:tabs>
                <w:tab w:val="right" w:pos="1202"/>
              </w:tabs>
              <w:spacing w:after="0" w:line="240" w:lineRule="exact"/>
              <w:jc w:val="right"/>
              <w:outlineLvl w:val="0"/>
              <w:rPr>
                <w:rFonts w:cs="Arial"/>
                <w:b/>
                <w:spacing w:val="-2"/>
                <w:sz w:val="18"/>
                <w:szCs w:val="18"/>
              </w:rPr>
            </w:pPr>
            <w:r w:rsidRPr="001A09CA">
              <w:rPr>
                <w:b/>
                <w:bCs/>
                <w:color w:val="000000"/>
                <w:sz w:val="18"/>
                <w:szCs w:val="18"/>
              </w:rPr>
              <w:t>747</w:t>
            </w:r>
            <w:r>
              <w:rPr>
                <w:b/>
                <w:bCs/>
                <w:color w:val="000000"/>
                <w:sz w:val="18"/>
                <w:szCs w:val="18"/>
              </w:rPr>
              <w:t>,</w:t>
            </w:r>
            <w:r w:rsidRPr="001A09CA">
              <w:rPr>
                <w:b/>
                <w:bCs/>
                <w:color w:val="000000"/>
                <w:sz w:val="18"/>
                <w:szCs w:val="18"/>
              </w:rPr>
              <w:t>534</w:t>
            </w:r>
          </w:p>
        </w:tc>
        <w:tc>
          <w:tcPr>
            <w:tcW w:w="580" w:type="pct"/>
            <w:tcBorders>
              <w:top w:val="nil"/>
              <w:left w:val="nil"/>
              <w:bottom w:val="single" w:sz="12" w:space="0" w:color="auto"/>
              <w:right w:val="nil"/>
            </w:tcBorders>
            <w:shd w:val="clear" w:color="auto" w:fill="auto"/>
            <w:vAlign w:val="center"/>
          </w:tcPr>
          <w:p w14:paraId="0577191F" w14:textId="53901F85" w:rsidR="00D533A8" w:rsidRPr="00321238" w:rsidRDefault="00D533A8" w:rsidP="00D533A8">
            <w:pPr>
              <w:tabs>
                <w:tab w:val="right" w:pos="1202"/>
              </w:tabs>
              <w:spacing w:after="0" w:line="240" w:lineRule="exact"/>
              <w:jc w:val="right"/>
              <w:outlineLvl w:val="0"/>
              <w:rPr>
                <w:rFonts w:cs="Arial"/>
                <w:b/>
                <w:spacing w:val="-2"/>
                <w:sz w:val="18"/>
                <w:szCs w:val="18"/>
              </w:rPr>
            </w:pPr>
            <w:r w:rsidRPr="001A09CA">
              <w:rPr>
                <w:b/>
                <w:bCs/>
                <w:color w:val="000000"/>
                <w:sz w:val="18"/>
                <w:szCs w:val="18"/>
              </w:rPr>
              <w:t>1</w:t>
            </w:r>
            <w:r>
              <w:rPr>
                <w:b/>
                <w:bCs/>
                <w:color w:val="000000"/>
                <w:sz w:val="18"/>
                <w:szCs w:val="18"/>
              </w:rPr>
              <w:t>,</w:t>
            </w:r>
            <w:r w:rsidRPr="001A09CA">
              <w:rPr>
                <w:b/>
                <w:bCs/>
                <w:color w:val="000000"/>
                <w:sz w:val="18"/>
                <w:szCs w:val="18"/>
              </w:rPr>
              <w:t>260</w:t>
            </w:r>
            <w:r>
              <w:rPr>
                <w:b/>
                <w:bCs/>
                <w:color w:val="000000"/>
                <w:sz w:val="18"/>
                <w:szCs w:val="18"/>
              </w:rPr>
              <w:t>,</w:t>
            </w:r>
            <w:r w:rsidRPr="001A09CA">
              <w:rPr>
                <w:b/>
                <w:bCs/>
                <w:color w:val="000000"/>
                <w:sz w:val="18"/>
                <w:szCs w:val="18"/>
              </w:rPr>
              <w:t>129</w:t>
            </w:r>
          </w:p>
        </w:tc>
        <w:tc>
          <w:tcPr>
            <w:tcW w:w="579" w:type="pct"/>
            <w:tcBorders>
              <w:top w:val="nil"/>
              <w:left w:val="nil"/>
              <w:bottom w:val="single" w:sz="12" w:space="0" w:color="auto"/>
              <w:right w:val="nil"/>
            </w:tcBorders>
            <w:shd w:val="clear" w:color="auto" w:fill="auto"/>
            <w:vAlign w:val="center"/>
          </w:tcPr>
          <w:p w14:paraId="450B5B61" w14:textId="5CD82C9C" w:rsidR="00D533A8" w:rsidRPr="00321238" w:rsidRDefault="00D533A8" w:rsidP="00D533A8">
            <w:pPr>
              <w:tabs>
                <w:tab w:val="right" w:pos="1202"/>
              </w:tabs>
              <w:spacing w:after="0" w:line="240" w:lineRule="exact"/>
              <w:jc w:val="right"/>
              <w:outlineLvl w:val="0"/>
              <w:rPr>
                <w:rFonts w:cs="Arial"/>
                <w:b/>
                <w:spacing w:val="-2"/>
                <w:sz w:val="18"/>
                <w:szCs w:val="18"/>
              </w:rPr>
            </w:pPr>
            <w:r w:rsidRPr="001A09CA">
              <w:rPr>
                <w:b/>
                <w:bCs/>
                <w:color w:val="000000"/>
                <w:sz w:val="18"/>
                <w:szCs w:val="18"/>
              </w:rPr>
              <w:t>4</w:t>
            </w:r>
            <w:r>
              <w:rPr>
                <w:b/>
                <w:bCs/>
                <w:color w:val="000000"/>
                <w:sz w:val="18"/>
                <w:szCs w:val="18"/>
              </w:rPr>
              <w:t>,</w:t>
            </w:r>
            <w:r w:rsidRPr="001A09CA">
              <w:rPr>
                <w:b/>
                <w:bCs/>
                <w:color w:val="000000"/>
                <w:sz w:val="18"/>
                <w:szCs w:val="18"/>
              </w:rPr>
              <w:t>987</w:t>
            </w:r>
            <w:r>
              <w:rPr>
                <w:b/>
                <w:bCs/>
                <w:color w:val="000000"/>
                <w:sz w:val="18"/>
                <w:szCs w:val="18"/>
              </w:rPr>
              <w:t>,</w:t>
            </w:r>
            <w:r w:rsidRPr="001A09CA">
              <w:rPr>
                <w:b/>
                <w:bCs/>
                <w:color w:val="000000"/>
                <w:sz w:val="18"/>
                <w:szCs w:val="18"/>
              </w:rPr>
              <w:t>097</w:t>
            </w:r>
          </w:p>
        </w:tc>
        <w:tc>
          <w:tcPr>
            <w:tcW w:w="580" w:type="pct"/>
            <w:tcBorders>
              <w:top w:val="nil"/>
              <w:left w:val="nil"/>
              <w:bottom w:val="single" w:sz="12" w:space="0" w:color="auto"/>
              <w:right w:val="nil"/>
            </w:tcBorders>
            <w:shd w:val="clear" w:color="auto" w:fill="auto"/>
            <w:vAlign w:val="center"/>
          </w:tcPr>
          <w:p w14:paraId="5FBD7D04" w14:textId="1025783D" w:rsidR="00D533A8" w:rsidRPr="00321238" w:rsidRDefault="00D533A8" w:rsidP="00D533A8">
            <w:pPr>
              <w:tabs>
                <w:tab w:val="right" w:pos="1202"/>
              </w:tabs>
              <w:spacing w:after="0" w:line="240" w:lineRule="exact"/>
              <w:jc w:val="right"/>
              <w:outlineLvl w:val="0"/>
              <w:rPr>
                <w:rFonts w:cs="Arial"/>
                <w:b/>
                <w:spacing w:val="-2"/>
                <w:sz w:val="18"/>
                <w:szCs w:val="18"/>
              </w:rPr>
            </w:pPr>
            <w:r w:rsidRPr="001A09CA">
              <w:rPr>
                <w:b/>
                <w:bCs/>
                <w:color w:val="000000"/>
                <w:sz w:val="18"/>
                <w:szCs w:val="18"/>
              </w:rPr>
              <w:t>20</w:t>
            </w:r>
            <w:r>
              <w:rPr>
                <w:b/>
                <w:bCs/>
                <w:color w:val="000000"/>
                <w:sz w:val="18"/>
                <w:szCs w:val="18"/>
              </w:rPr>
              <w:t>,</w:t>
            </w:r>
            <w:r w:rsidRPr="001A09CA">
              <w:rPr>
                <w:b/>
                <w:bCs/>
                <w:color w:val="000000"/>
                <w:sz w:val="18"/>
                <w:szCs w:val="18"/>
              </w:rPr>
              <w:t>333</w:t>
            </w:r>
            <w:r>
              <w:rPr>
                <w:b/>
                <w:bCs/>
                <w:color w:val="000000"/>
                <w:sz w:val="18"/>
                <w:szCs w:val="18"/>
              </w:rPr>
              <w:t>,</w:t>
            </w:r>
            <w:r w:rsidRPr="001A09CA">
              <w:rPr>
                <w:b/>
                <w:bCs/>
                <w:color w:val="000000"/>
                <w:sz w:val="18"/>
                <w:szCs w:val="18"/>
              </w:rPr>
              <w:t>260</w:t>
            </w:r>
          </w:p>
        </w:tc>
        <w:tc>
          <w:tcPr>
            <w:tcW w:w="576" w:type="pct"/>
            <w:tcBorders>
              <w:top w:val="nil"/>
              <w:left w:val="nil"/>
              <w:bottom w:val="single" w:sz="12" w:space="0" w:color="auto"/>
              <w:right w:val="nil"/>
            </w:tcBorders>
            <w:shd w:val="clear" w:color="auto" w:fill="auto"/>
            <w:vAlign w:val="center"/>
          </w:tcPr>
          <w:p w14:paraId="0371E80F" w14:textId="01FA411B" w:rsidR="00D533A8" w:rsidRPr="00321238" w:rsidRDefault="00D533A8" w:rsidP="00D533A8">
            <w:pPr>
              <w:tabs>
                <w:tab w:val="right" w:pos="1202"/>
              </w:tabs>
              <w:spacing w:after="0" w:line="240" w:lineRule="exact"/>
              <w:jc w:val="right"/>
              <w:outlineLvl w:val="0"/>
              <w:rPr>
                <w:rFonts w:cs="Arial"/>
                <w:b/>
                <w:spacing w:val="-2"/>
                <w:sz w:val="18"/>
                <w:szCs w:val="18"/>
              </w:rPr>
            </w:pPr>
            <w:r w:rsidRPr="001A09CA">
              <w:rPr>
                <w:b/>
                <w:bCs/>
                <w:color w:val="000000"/>
                <w:sz w:val="18"/>
                <w:szCs w:val="18"/>
              </w:rPr>
              <w:t>28</w:t>
            </w:r>
            <w:r>
              <w:rPr>
                <w:b/>
                <w:bCs/>
                <w:color w:val="000000"/>
                <w:sz w:val="18"/>
                <w:szCs w:val="18"/>
              </w:rPr>
              <w:t>,</w:t>
            </w:r>
            <w:r w:rsidRPr="001A09CA">
              <w:rPr>
                <w:b/>
                <w:bCs/>
                <w:color w:val="000000"/>
                <w:sz w:val="18"/>
                <w:szCs w:val="18"/>
              </w:rPr>
              <w:t>300</w:t>
            </w:r>
            <w:r>
              <w:rPr>
                <w:b/>
                <w:bCs/>
                <w:color w:val="000000"/>
                <w:sz w:val="18"/>
                <w:szCs w:val="18"/>
              </w:rPr>
              <w:t>,</w:t>
            </w:r>
            <w:r w:rsidRPr="001A09CA">
              <w:rPr>
                <w:b/>
                <w:bCs/>
                <w:color w:val="000000"/>
                <w:sz w:val="18"/>
                <w:szCs w:val="18"/>
              </w:rPr>
              <w:t>724</w:t>
            </w:r>
          </w:p>
        </w:tc>
      </w:tr>
      <w:tr w:rsidR="00A169AD" w:rsidRPr="00321238" w14:paraId="57C8D3EF" w14:textId="77777777" w:rsidTr="005444AA">
        <w:trPr>
          <w:trHeight w:val="267"/>
        </w:trPr>
        <w:tc>
          <w:tcPr>
            <w:tcW w:w="1524" w:type="pct"/>
            <w:vAlign w:val="bottom"/>
          </w:tcPr>
          <w:p w14:paraId="0E01D399" w14:textId="77777777" w:rsidR="00A169AD" w:rsidRPr="00321238" w:rsidRDefault="00A169AD" w:rsidP="00A169AD">
            <w:pPr>
              <w:tabs>
                <w:tab w:val="right" w:pos="1202"/>
              </w:tabs>
              <w:spacing w:after="0" w:line="200" w:lineRule="exact"/>
              <w:outlineLvl w:val="0"/>
              <w:rPr>
                <w:rFonts w:eastAsia="Times New Roman" w:cs="Arial"/>
                <w:b/>
                <w:bCs/>
                <w:spacing w:val="-2"/>
                <w:sz w:val="18"/>
                <w:szCs w:val="18"/>
              </w:rPr>
            </w:pPr>
            <w:r w:rsidRPr="00321238">
              <w:rPr>
                <w:rFonts w:eastAsia="Times New Roman" w:cs="Arial"/>
                <w:b/>
                <w:bCs/>
                <w:spacing w:val="-2"/>
                <w:sz w:val="18"/>
                <w:szCs w:val="18"/>
              </w:rPr>
              <w:t>Net assets/liabilities (1) – (2)</w:t>
            </w:r>
          </w:p>
        </w:tc>
        <w:tc>
          <w:tcPr>
            <w:tcW w:w="581" w:type="pct"/>
            <w:tcBorders>
              <w:top w:val="single" w:sz="4" w:space="0" w:color="auto"/>
              <w:left w:val="nil"/>
              <w:bottom w:val="single" w:sz="12" w:space="0" w:color="auto"/>
              <w:right w:val="nil"/>
            </w:tcBorders>
            <w:shd w:val="clear" w:color="auto" w:fill="auto"/>
            <w:vAlign w:val="bottom"/>
          </w:tcPr>
          <w:p w14:paraId="771F50E5" w14:textId="7C766425" w:rsidR="00A169AD" w:rsidRPr="00321238" w:rsidRDefault="00A169AD" w:rsidP="00A169AD">
            <w:pPr>
              <w:tabs>
                <w:tab w:val="right" w:pos="1202"/>
              </w:tabs>
              <w:spacing w:after="0" w:line="240" w:lineRule="exact"/>
              <w:jc w:val="right"/>
              <w:outlineLvl w:val="0"/>
              <w:rPr>
                <w:rFonts w:cs="Arial"/>
                <w:b/>
                <w:spacing w:val="-2"/>
                <w:sz w:val="18"/>
                <w:szCs w:val="18"/>
              </w:rPr>
            </w:pPr>
            <w:r>
              <w:rPr>
                <w:b/>
                <w:bCs/>
                <w:color w:val="000000"/>
                <w:sz w:val="18"/>
                <w:szCs w:val="18"/>
              </w:rPr>
              <w:t>6,041,850</w:t>
            </w:r>
          </w:p>
        </w:tc>
        <w:tc>
          <w:tcPr>
            <w:tcW w:w="579" w:type="pct"/>
            <w:tcBorders>
              <w:top w:val="single" w:sz="4" w:space="0" w:color="auto"/>
              <w:left w:val="nil"/>
              <w:bottom w:val="single" w:sz="12" w:space="0" w:color="auto"/>
              <w:right w:val="nil"/>
            </w:tcBorders>
            <w:shd w:val="clear" w:color="auto" w:fill="auto"/>
            <w:vAlign w:val="bottom"/>
          </w:tcPr>
          <w:p w14:paraId="076F69DD" w14:textId="7C602265" w:rsidR="00A169AD" w:rsidRPr="00321238" w:rsidRDefault="00A169AD" w:rsidP="00C436B9">
            <w:pPr>
              <w:tabs>
                <w:tab w:val="right" w:pos="1202"/>
              </w:tabs>
              <w:spacing w:after="0" w:line="240" w:lineRule="exact"/>
              <w:jc w:val="right"/>
              <w:outlineLvl w:val="0"/>
              <w:rPr>
                <w:rFonts w:cs="Arial"/>
                <w:b/>
                <w:spacing w:val="-2"/>
                <w:sz w:val="18"/>
                <w:szCs w:val="18"/>
              </w:rPr>
            </w:pPr>
            <w:r>
              <w:rPr>
                <w:b/>
                <w:bCs/>
                <w:color w:val="000000"/>
                <w:sz w:val="18"/>
                <w:szCs w:val="18"/>
              </w:rPr>
              <w:t>525,242</w:t>
            </w:r>
          </w:p>
        </w:tc>
        <w:tc>
          <w:tcPr>
            <w:tcW w:w="580" w:type="pct"/>
            <w:tcBorders>
              <w:top w:val="single" w:sz="4" w:space="0" w:color="auto"/>
              <w:left w:val="nil"/>
              <w:bottom w:val="single" w:sz="12" w:space="0" w:color="auto"/>
              <w:right w:val="nil"/>
            </w:tcBorders>
            <w:shd w:val="clear" w:color="auto" w:fill="auto"/>
            <w:vAlign w:val="bottom"/>
          </w:tcPr>
          <w:p w14:paraId="583D02C0" w14:textId="7316A97B" w:rsidR="00A169AD" w:rsidRPr="00321238" w:rsidRDefault="00A169AD" w:rsidP="00A169AD">
            <w:pPr>
              <w:tabs>
                <w:tab w:val="right" w:pos="1202"/>
              </w:tabs>
              <w:spacing w:after="0" w:line="240" w:lineRule="exact"/>
              <w:jc w:val="right"/>
              <w:outlineLvl w:val="0"/>
              <w:rPr>
                <w:rFonts w:cs="Arial"/>
                <w:b/>
                <w:spacing w:val="-2"/>
                <w:sz w:val="18"/>
                <w:szCs w:val="18"/>
              </w:rPr>
            </w:pPr>
            <w:r w:rsidRPr="001A09CA">
              <w:rPr>
                <w:b/>
                <w:bCs/>
                <w:color w:val="000000"/>
                <w:sz w:val="18"/>
                <w:szCs w:val="18"/>
              </w:rPr>
              <w:t>1</w:t>
            </w:r>
            <w:r>
              <w:rPr>
                <w:b/>
                <w:bCs/>
                <w:color w:val="000000"/>
                <w:sz w:val="18"/>
                <w:szCs w:val="18"/>
              </w:rPr>
              <w:t>,</w:t>
            </w:r>
            <w:r w:rsidRPr="001A09CA">
              <w:rPr>
                <w:b/>
                <w:bCs/>
                <w:color w:val="000000"/>
                <w:sz w:val="18"/>
                <w:szCs w:val="18"/>
              </w:rPr>
              <w:t>027</w:t>
            </w:r>
            <w:r>
              <w:rPr>
                <w:b/>
                <w:bCs/>
                <w:color w:val="000000"/>
                <w:sz w:val="18"/>
                <w:szCs w:val="18"/>
              </w:rPr>
              <w:t>,</w:t>
            </w:r>
            <w:r w:rsidRPr="001A09CA">
              <w:rPr>
                <w:b/>
                <w:bCs/>
                <w:color w:val="000000"/>
                <w:sz w:val="18"/>
                <w:szCs w:val="18"/>
              </w:rPr>
              <w:t>877</w:t>
            </w:r>
          </w:p>
        </w:tc>
        <w:tc>
          <w:tcPr>
            <w:tcW w:w="579" w:type="pct"/>
            <w:tcBorders>
              <w:top w:val="single" w:sz="4" w:space="0" w:color="auto"/>
              <w:left w:val="nil"/>
              <w:bottom w:val="single" w:sz="12" w:space="0" w:color="auto"/>
              <w:right w:val="nil"/>
            </w:tcBorders>
            <w:shd w:val="clear" w:color="auto" w:fill="auto"/>
            <w:vAlign w:val="bottom"/>
          </w:tcPr>
          <w:p w14:paraId="379F53D2" w14:textId="3FF40F9E" w:rsidR="00A169AD" w:rsidRPr="00321238" w:rsidRDefault="00A169AD" w:rsidP="00A169AD">
            <w:pPr>
              <w:tabs>
                <w:tab w:val="right" w:pos="1202"/>
              </w:tabs>
              <w:spacing w:after="0" w:line="240" w:lineRule="exact"/>
              <w:jc w:val="right"/>
              <w:outlineLvl w:val="0"/>
              <w:rPr>
                <w:rFonts w:cs="Arial"/>
                <w:b/>
                <w:spacing w:val="-2"/>
                <w:sz w:val="18"/>
                <w:szCs w:val="18"/>
              </w:rPr>
            </w:pPr>
            <w:r>
              <w:rPr>
                <w:b/>
                <w:bCs/>
                <w:color w:val="000000"/>
                <w:sz w:val="18"/>
                <w:szCs w:val="18"/>
              </w:rPr>
              <w:t>(</w:t>
            </w:r>
            <w:r w:rsidRPr="001A09CA">
              <w:rPr>
                <w:b/>
                <w:bCs/>
                <w:color w:val="000000"/>
                <w:sz w:val="18"/>
                <w:szCs w:val="18"/>
              </w:rPr>
              <w:t>71</w:t>
            </w:r>
            <w:r>
              <w:rPr>
                <w:b/>
                <w:bCs/>
                <w:color w:val="000000"/>
                <w:sz w:val="18"/>
                <w:szCs w:val="18"/>
              </w:rPr>
              <w:t>,</w:t>
            </w:r>
            <w:r w:rsidRPr="001A09CA">
              <w:rPr>
                <w:b/>
                <w:bCs/>
                <w:color w:val="000000"/>
                <w:sz w:val="18"/>
                <w:szCs w:val="18"/>
              </w:rPr>
              <w:t>616</w:t>
            </w:r>
            <w:r>
              <w:rPr>
                <w:b/>
                <w:bCs/>
                <w:color w:val="000000"/>
                <w:sz w:val="18"/>
                <w:szCs w:val="18"/>
              </w:rPr>
              <w:t>)</w:t>
            </w:r>
          </w:p>
        </w:tc>
        <w:tc>
          <w:tcPr>
            <w:tcW w:w="580" w:type="pct"/>
            <w:tcBorders>
              <w:top w:val="single" w:sz="4" w:space="0" w:color="auto"/>
              <w:left w:val="nil"/>
              <w:bottom w:val="single" w:sz="12" w:space="0" w:color="auto"/>
              <w:right w:val="nil"/>
            </w:tcBorders>
            <w:shd w:val="clear" w:color="auto" w:fill="auto"/>
            <w:vAlign w:val="bottom"/>
          </w:tcPr>
          <w:p w14:paraId="765F717B" w14:textId="18D5472F" w:rsidR="00A169AD" w:rsidRPr="00321238" w:rsidRDefault="00A169AD" w:rsidP="00A169AD">
            <w:pPr>
              <w:tabs>
                <w:tab w:val="right" w:pos="1202"/>
              </w:tabs>
              <w:spacing w:after="0" w:line="240" w:lineRule="exact"/>
              <w:jc w:val="right"/>
              <w:outlineLvl w:val="0"/>
              <w:rPr>
                <w:rFonts w:cs="Arial"/>
                <w:b/>
                <w:spacing w:val="-2"/>
                <w:sz w:val="18"/>
                <w:szCs w:val="18"/>
              </w:rPr>
            </w:pPr>
            <w:r>
              <w:rPr>
                <w:b/>
                <w:bCs/>
                <w:color w:val="000000"/>
                <w:sz w:val="18"/>
                <w:szCs w:val="18"/>
              </w:rPr>
              <w:t>(7,</w:t>
            </w:r>
            <w:r w:rsidRPr="001A09CA">
              <w:rPr>
                <w:b/>
                <w:bCs/>
                <w:color w:val="000000"/>
                <w:sz w:val="18"/>
                <w:szCs w:val="18"/>
              </w:rPr>
              <w:t>523</w:t>
            </w:r>
            <w:r>
              <w:rPr>
                <w:b/>
                <w:bCs/>
                <w:color w:val="000000"/>
                <w:sz w:val="18"/>
                <w:szCs w:val="18"/>
              </w:rPr>
              <w:t>,</w:t>
            </w:r>
            <w:r w:rsidRPr="001A09CA">
              <w:rPr>
                <w:b/>
                <w:bCs/>
                <w:color w:val="000000"/>
                <w:sz w:val="18"/>
                <w:szCs w:val="18"/>
              </w:rPr>
              <w:t>353</w:t>
            </w:r>
            <w:r>
              <w:rPr>
                <w:b/>
                <w:bCs/>
                <w:color w:val="000000"/>
                <w:sz w:val="18"/>
                <w:szCs w:val="18"/>
              </w:rPr>
              <w:t>)</w:t>
            </w:r>
          </w:p>
        </w:tc>
        <w:tc>
          <w:tcPr>
            <w:tcW w:w="576" w:type="pct"/>
            <w:tcBorders>
              <w:top w:val="single" w:sz="4" w:space="0" w:color="auto"/>
              <w:left w:val="nil"/>
              <w:bottom w:val="single" w:sz="12" w:space="0" w:color="auto"/>
              <w:right w:val="nil"/>
            </w:tcBorders>
            <w:shd w:val="clear" w:color="auto" w:fill="auto"/>
            <w:vAlign w:val="bottom"/>
          </w:tcPr>
          <w:p w14:paraId="469185DA" w14:textId="49189743" w:rsidR="00A169AD" w:rsidRPr="00321238" w:rsidRDefault="00A169AD" w:rsidP="00A169AD">
            <w:pPr>
              <w:tabs>
                <w:tab w:val="right" w:pos="1202"/>
              </w:tabs>
              <w:spacing w:after="0" w:line="240" w:lineRule="exact"/>
              <w:jc w:val="right"/>
              <w:outlineLvl w:val="0"/>
              <w:rPr>
                <w:rFonts w:cs="Arial"/>
                <w:b/>
                <w:spacing w:val="-2"/>
                <w:sz w:val="18"/>
                <w:szCs w:val="18"/>
              </w:rPr>
            </w:pPr>
            <w:r>
              <w:rPr>
                <w:b/>
                <w:bCs/>
                <w:color w:val="000000"/>
                <w:sz w:val="18"/>
                <w:szCs w:val="18"/>
              </w:rPr>
              <w:t>-</w:t>
            </w:r>
          </w:p>
        </w:tc>
      </w:tr>
      <w:tr w:rsidR="00D533A8" w:rsidRPr="00321238" w14:paraId="5F7E6FB5" w14:textId="77777777" w:rsidTr="006B318F">
        <w:trPr>
          <w:trHeight w:val="326"/>
        </w:trPr>
        <w:tc>
          <w:tcPr>
            <w:tcW w:w="1524" w:type="pct"/>
            <w:vAlign w:val="bottom"/>
          </w:tcPr>
          <w:p w14:paraId="4E776C90" w14:textId="77777777" w:rsidR="00D533A8" w:rsidRPr="00321238" w:rsidRDefault="00D533A8" w:rsidP="00D533A8">
            <w:pPr>
              <w:tabs>
                <w:tab w:val="right" w:pos="1202"/>
              </w:tabs>
              <w:spacing w:after="0" w:line="200" w:lineRule="exact"/>
              <w:outlineLvl w:val="0"/>
              <w:rPr>
                <w:rFonts w:eastAsia="Times New Roman" w:cs="Arial"/>
                <w:b/>
                <w:bCs/>
                <w:spacing w:val="-2"/>
                <w:sz w:val="18"/>
                <w:szCs w:val="18"/>
              </w:rPr>
            </w:pPr>
            <w:r w:rsidRPr="00321238">
              <w:rPr>
                <w:rFonts w:eastAsia="Times New Roman" w:cs="Arial"/>
                <w:b/>
                <w:bCs/>
                <w:spacing w:val="-2"/>
                <w:sz w:val="18"/>
                <w:szCs w:val="18"/>
              </w:rPr>
              <w:t>Net cumulative assets/liabilities</w:t>
            </w:r>
          </w:p>
        </w:tc>
        <w:tc>
          <w:tcPr>
            <w:tcW w:w="581" w:type="pct"/>
            <w:tcBorders>
              <w:top w:val="single" w:sz="12" w:space="0" w:color="auto"/>
              <w:left w:val="nil"/>
              <w:bottom w:val="single" w:sz="12" w:space="0" w:color="auto"/>
              <w:right w:val="nil"/>
            </w:tcBorders>
            <w:shd w:val="clear" w:color="auto" w:fill="auto"/>
            <w:vAlign w:val="bottom"/>
          </w:tcPr>
          <w:p w14:paraId="568CAA00" w14:textId="1A06AC6C" w:rsidR="00D533A8" w:rsidRPr="00321238" w:rsidRDefault="00A169AD" w:rsidP="00D533A8">
            <w:pPr>
              <w:tabs>
                <w:tab w:val="right" w:pos="1202"/>
              </w:tabs>
              <w:spacing w:after="0" w:line="240" w:lineRule="exact"/>
              <w:jc w:val="right"/>
              <w:outlineLvl w:val="0"/>
              <w:rPr>
                <w:rFonts w:cs="Arial"/>
                <w:b/>
                <w:spacing w:val="-2"/>
                <w:sz w:val="18"/>
                <w:szCs w:val="18"/>
              </w:rPr>
            </w:pPr>
            <w:r w:rsidRPr="00A169AD">
              <w:rPr>
                <w:b/>
                <w:bCs/>
                <w:color w:val="000000"/>
                <w:sz w:val="18"/>
                <w:szCs w:val="18"/>
              </w:rPr>
              <w:t>6,041,850</w:t>
            </w:r>
          </w:p>
        </w:tc>
        <w:tc>
          <w:tcPr>
            <w:tcW w:w="579" w:type="pct"/>
            <w:tcBorders>
              <w:top w:val="single" w:sz="12" w:space="0" w:color="auto"/>
              <w:left w:val="nil"/>
              <w:bottom w:val="single" w:sz="12" w:space="0" w:color="auto"/>
              <w:right w:val="nil"/>
            </w:tcBorders>
            <w:shd w:val="clear" w:color="auto" w:fill="auto"/>
            <w:vAlign w:val="bottom"/>
          </w:tcPr>
          <w:p w14:paraId="6D62AC19" w14:textId="1EB6EC89" w:rsidR="00D533A8" w:rsidRPr="00321238" w:rsidRDefault="00D533A8" w:rsidP="00D533A8">
            <w:pPr>
              <w:tabs>
                <w:tab w:val="right" w:pos="1202"/>
              </w:tabs>
              <w:spacing w:after="0" w:line="240" w:lineRule="exact"/>
              <w:jc w:val="right"/>
              <w:outlineLvl w:val="0"/>
              <w:rPr>
                <w:rFonts w:cs="Arial"/>
                <w:b/>
                <w:spacing w:val="-2"/>
                <w:sz w:val="18"/>
                <w:szCs w:val="18"/>
              </w:rPr>
            </w:pPr>
            <w:r w:rsidRPr="001A09CA">
              <w:rPr>
                <w:b/>
                <w:bCs/>
                <w:color w:val="000000"/>
                <w:sz w:val="18"/>
                <w:szCs w:val="18"/>
              </w:rPr>
              <w:t>6</w:t>
            </w:r>
            <w:r>
              <w:rPr>
                <w:b/>
                <w:bCs/>
                <w:color w:val="000000"/>
                <w:sz w:val="18"/>
                <w:szCs w:val="18"/>
              </w:rPr>
              <w:t>,</w:t>
            </w:r>
            <w:r w:rsidRPr="001A09CA">
              <w:rPr>
                <w:b/>
                <w:bCs/>
                <w:color w:val="000000"/>
                <w:sz w:val="18"/>
                <w:szCs w:val="18"/>
              </w:rPr>
              <w:t>567</w:t>
            </w:r>
            <w:r>
              <w:rPr>
                <w:b/>
                <w:bCs/>
                <w:color w:val="000000"/>
                <w:sz w:val="18"/>
                <w:szCs w:val="18"/>
              </w:rPr>
              <w:t>,</w:t>
            </w:r>
            <w:r w:rsidRPr="001A09CA">
              <w:rPr>
                <w:b/>
                <w:bCs/>
                <w:color w:val="000000"/>
                <w:sz w:val="18"/>
                <w:szCs w:val="18"/>
              </w:rPr>
              <w:t>092</w:t>
            </w:r>
          </w:p>
        </w:tc>
        <w:tc>
          <w:tcPr>
            <w:tcW w:w="580" w:type="pct"/>
            <w:tcBorders>
              <w:top w:val="single" w:sz="12" w:space="0" w:color="auto"/>
              <w:left w:val="nil"/>
              <w:bottom w:val="single" w:sz="12" w:space="0" w:color="auto"/>
              <w:right w:val="nil"/>
            </w:tcBorders>
            <w:shd w:val="clear" w:color="auto" w:fill="auto"/>
            <w:vAlign w:val="bottom"/>
          </w:tcPr>
          <w:p w14:paraId="7D711CB6" w14:textId="01B0DCDB" w:rsidR="00D533A8" w:rsidRPr="00321238" w:rsidRDefault="00D533A8" w:rsidP="00D533A8">
            <w:pPr>
              <w:tabs>
                <w:tab w:val="right" w:pos="1202"/>
              </w:tabs>
              <w:spacing w:after="0" w:line="240" w:lineRule="exact"/>
              <w:jc w:val="right"/>
              <w:outlineLvl w:val="0"/>
              <w:rPr>
                <w:rFonts w:cs="Arial"/>
                <w:b/>
                <w:spacing w:val="-2"/>
                <w:sz w:val="18"/>
                <w:szCs w:val="18"/>
              </w:rPr>
            </w:pPr>
            <w:r w:rsidRPr="001A09CA">
              <w:rPr>
                <w:b/>
                <w:bCs/>
                <w:color w:val="000000"/>
                <w:sz w:val="18"/>
                <w:szCs w:val="18"/>
              </w:rPr>
              <w:t>7</w:t>
            </w:r>
            <w:r>
              <w:rPr>
                <w:b/>
                <w:bCs/>
                <w:color w:val="000000"/>
                <w:sz w:val="18"/>
                <w:szCs w:val="18"/>
              </w:rPr>
              <w:t>,</w:t>
            </w:r>
            <w:r w:rsidRPr="001A09CA">
              <w:rPr>
                <w:b/>
                <w:bCs/>
                <w:color w:val="000000"/>
                <w:sz w:val="18"/>
                <w:szCs w:val="18"/>
              </w:rPr>
              <w:t>594</w:t>
            </w:r>
            <w:r>
              <w:rPr>
                <w:b/>
                <w:bCs/>
                <w:color w:val="000000"/>
                <w:sz w:val="18"/>
                <w:szCs w:val="18"/>
              </w:rPr>
              <w:t>,</w:t>
            </w:r>
            <w:r w:rsidRPr="001A09CA">
              <w:rPr>
                <w:b/>
                <w:bCs/>
                <w:color w:val="000000"/>
                <w:sz w:val="18"/>
                <w:szCs w:val="18"/>
              </w:rPr>
              <w:t>969</w:t>
            </w:r>
          </w:p>
        </w:tc>
        <w:tc>
          <w:tcPr>
            <w:tcW w:w="579" w:type="pct"/>
            <w:tcBorders>
              <w:top w:val="single" w:sz="12" w:space="0" w:color="auto"/>
              <w:left w:val="nil"/>
              <w:bottom w:val="single" w:sz="12" w:space="0" w:color="auto"/>
              <w:right w:val="nil"/>
            </w:tcBorders>
            <w:shd w:val="clear" w:color="auto" w:fill="auto"/>
            <w:vAlign w:val="bottom"/>
          </w:tcPr>
          <w:p w14:paraId="77676607" w14:textId="1C2A6B90" w:rsidR="00D533A8" w:rsidRPr="00321238" w:rsidRDefault="00D533A8" w:rsidP="00D533A8">
            <w:pPr>
              <w:tabs>
                <w:tab w:val="right" w:pos="1202"/>
              </w:tabs>
              <w:spacing w:after="0" w:line="240" w:lineRule="exact"/>
              <w:jc w:val="right"/>
              <w:outlineLvl w:val="0"/>
              <w:rPr>
                <w:rFonts w:cs="Arial"/>
                <w:b/>
                <w:spacing w:val="-2"/>
                <w:sz w:val="18"/>
                <w:szCs w:val="18"/>
              </w:rPr>
            </w:pPr>
            <w:r w:rsidRPr="001A09CA">
              <w:rPr>
                <w:b/>
                <w:bCs/>
                <w:color w:val="000000"/>
                <w:sz w:val="18"/>
                <w:szCs w:val="18"/>
              </w:rPr>
              <w:t>7</w:t>
            </w:r>
            <w:r>
              <w:rPr>
                <w:b/>
                <w:bCs/>
                <w:color w:val="000000"/>
                <w:sz w:val="18"/>
                <w:szCs w:val="18"/>
              </w:rPr>
              <w:t>,</w:t>
            </w:r>
            <w:r w:rsidRPr="001A09CA">
              <w:rPr>
                <w:b/>
                <w:bCs/>
                <w:color w:val="000000"/>
                <w:sz w:val="18"/>
                <w:szCs w:val="18"/>
              </w:rPr>
              <w:t>523</w:t>
            </w:r>
            <w:r>
              <w:rPr>
                <w:b/>
                <w:bCs/>
                <w:color w:val="000000"/>
                <w:sz w:val="18"/>
                <w:szCs w:val="18"/>
              </w:rPr>
              <w:t>,</w:t>
            </w:r>
            <w:r w:rsidRPr="001A09CA">
              <w:rPr>
                <w:b/>
                <w:bCs/>
                <w:color w:val="000000"/>
                <w:sz w:val="18"/>
                <w:szCs w:val="18"/>
              </w:rPr>
              <w:t>353</w:t>
            </w:r>
          </w:p>
        </w:tc>
        <w:tc>
          <w:tcPr>
            <w:tcW w:w="580" w:type="pct"/>
            <w:tcBorders>
              <w:top w:val="single" w:sz="12" w:space="0" w:color="auto"/>
              <w:left w:val="nil"/>
              <w:bottom w:val="single" w:sz="12" w:space="0" w:color="auto"/>
              <w:right w:val="nil"/>
            </w:tcBorders>
            <w:shd w:val="clear" w:color="auto" w:fill="auto"/>
            <w:vAlign w:val="bottom"/>
          </w:tcPr>
          <w:p w14:paraId="54C21ABF" w14:textId="226D3301" w:rsidR="00D533A8" w:rsidRPr="00321238" w:rsidRDefault="00D533A8" w:rsidP="00D533A8">
            <w:pPr>
              <w:tabs>
                <w:tab w:val="right" w:pos="1202"/>
              </w:tabs>
              <w:spacing w:after="0" w:line="240" w:lineRule="exact"/>
              <w:jc w:val="right"/>
              <w:outlineLvl w:val="0"/>
              <w:rPr>
                <w:rFonts w:cs="Arial"/>
                <w:b/>
                <w:spacing w:val="-2"/>
                <w:sz w:val="18"/>
                <w:szCs w:val="18"/>
              </w:rPr>
            </w:pPr>
            <w:r>
              <w:rPr>
                <w:b/>
                <w:bCs/>
                <w:color w:val="000000"/>
                <w:sz w:val="18"/>
                <w:szCs w:val="18"/>
              </w:rPr>
              <w:t>-</w:t>
            </w:r>
          </w:p>
        </w:tc>
        <w:tc>
          <w:tcPr>
            <w:tcW w:w="576" w:type="pct"/>
            <w:tcBorders>
              <w:top w:val="single" w:sz="12" w:space="0" w:color="auto"/>
              <w:left w:val="nil"/>
              <w:bottom w:val="single" w:sz="12" w:space="0" w:color="auto"/>
              <w:right w:val="nil"/>
            </w:tcBorders>
            <w:shd w:val="clear" w:color="auto" w:fill="auto"/>
            <w:vAlign w:val="bottom"/>
          </w:tcPr>
          <w:p w14:paraId="3588E322" w14:textId="524A6FF9" w:rsidR="00D533A8" w:rsidRPr="00321238" w:rsidRDefault="00D533A8" w:rsidP="00D533A8">
            <w:pPr>
              <w:tabs>
                <w:tab w:val="right" w:pos="1202"/>
              </w:tabs>
              <w:spacing w:after="0" w:line="240" w:lineRule="exact"/>
              <w:jc w:val="right"/>
              <w:outlineLvl w:val="0"/>
              <w:rPr>
                <w:rFonts w:cs="Arial"/>
                <w:b/>
                <w:spacing w:val="-2"/>
                <w:sz w:val="18"/>
                <w:szCs w:val="18"/>
              </w:rPr>
            </w:pPr>
            <w:r>
              <w:rPr>
                <w:b/>
                <w:bCs/>
                <w:color w:val="000000"/>
                <w:sz w:val="18"/>
                <w:szCs w:val="18"/>
              </w:rPr>
              <w:t>-</w:t>
            </w:r>
          </w:p>
        </w:tc>
      </w:tr>
    </w:tbl>
    <w:p w14:paraId="10906339" w14:textId="77777777" w:rsidR="009702B0" w:rsidRPr="009702B0" w:rsidRDefault="009702B0" w:rsidP="009702B0">
      <w:pPr>
        <w:spacing w:after="0" w:line="240" w:lineRule="auto"/>
        <w:jc w:val="both"/>
        <w:rPr>
          <w:rFonts w:eastAsia="Times New Roman" w:cs="Arial"/>
          <w:bCs/>
          <w:sz w:val="18"/>
          <w:szCs w:val="18"/>
        </w:rPr>
      </w:pPr>
    </w:p>
    <w:p w14:paraId="0E3B4DD6" w14:textId="77777777" w:rsidR="009702B0" w:rsidRPr="009702B0" w:rsidRDefault="009702B0" w:rsidP="009702B0">
      <w:pPr>
        <w:spacing w:after="0" w:line="240" w:lineRule="auto"/>
        <w:jc w:val="both"/>
        <w:rPr>
          <w:rFonts w:eastAsia="Times New Roman" w:cs="Arial"/>
          <w:bCs/>
          <w:sz w:val="18"/>
          <w:szCs w:val="18"/>
        </w:rPr>
      </w:pPr>
      <w:r w:rsidRPr="009702B0">
        <w:rPr>
          <w:rFonts w:eastAsia="Times New Roman" w:cs="Arial"/>
          <w:bCs/>
          <w:sz w:val="18"/>
          <w:szCs w:val="18"/>
        </w:rPr>
        <w:t>The items with undefined maturity are included in terms over 3 years.</w:t>
      </w:r>
    </w:p>
    <w:p w14:paraId="1425D333" w14:textId="77777777" w:rsidR="009702B0" w:rsidRDefault="009702B0" w:rsidP="009702B0">
      <w:pPr>
        <w:spacing w:after="0" w:line="240" w:lineRule="auto"/>
        <w:jc w:val="both"/>
        <w:rPr>
          <w:rFonts w:eastAsia="Times New Roman" w:cs="Arial"/>
          <w:bCs/>
          <w:sz w:val="18"/>
          <w:szCs w:val="18"/>
        </w:rPr>
      </w:pPr>
    </w:p>
    <w:p w14:paraId="23607D48" w14:textId="13506C12" w:rsidR="00EA05CB" w:rsidRDefault="00EA05CB" w:rsidP="009702B0">
      <w:pPr>
        <w:spacing w:after="0" w:line="240" w:lineRule="auto"/>
        <w:jc w:val="both"/>
        <w:rPr>
          <w:rFonts w:eastAsia="Times New Roman" w:cs="Arial"/>
          <w:bCs/>
          <w:sz w:val="18"/>
          <w:szCs w:val="18"/>
        </w:rPr>
      </w:pPr>
      <w:r w:rsidRPr="00EA05CB">
        <w:rPr>
          <w:rFonts w:eastAsia="Times New Roman" w:cs="Arial"/>
          <w:bCs/>
          <w:sz w:val="18"/>
          <w:szCs w:val="18"/>
        </w:rPr>
        <w:t>* Receivables of HRK 1,312,480 thousand relate to reverse REPO agreements. The maturity of part of receivables was prolonged after the Statement of Financial Position date, and an amount of HRK 700,000 thousand was placed in the 1 up to 3 months maturity category.</w:t>
      </w:r>
    </w:p>
    <w:p w14:paraId="25B2103B" w14:textId="77777777" w:rsidR="009702B0" w:rsidRPr="009702B0" w:rsidRDefault="009702B0" w:rsidP="009702B0">
      <w:pPr>
        <w:keepNext/>
        <w:spacing w:after="0" w:line="240" w:lineRule="auto"/>
        <w:jc w:val="both"/>
        <w:rPr>
          <w:rFonts w:eastAsia="Times New Roman" w:cs="Arial"/>
          <w:b/>
          <w:bCs/>
        </w:rPr>
      </w:pPr>
    </w:p>
    <w:p w14:paraId="3B256B78"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14:paraId="2598B1BD" w14:textId="77777777" w:rsidR="009702B0" w:rsidRPr="009702B0" w:rsidRDefault="009702B0" w:rsidP="009702B0">
      <w:pPr>
        <w:spacing w:after="0" w:line="240" w:lineRule="auto"/>
        <w:jc w:val="both"/>
        <w:rPr>
          <w:rFonts w:eastAsia="Times New Roman" w:cs="Calibri"/>
          <w:b/>
        </w:rPr>
      </w:pPr>
    </w:p>
    <w:p w14:paraId="6DE75CA6" w14:textId="77777777" w:rsidR="009702B0" w:rsidRPr="009702B0" w:rsidRDefault="009702B0" w:rsidP="009702B0">
      <w:pPr>
        <w:spacing w:after="0" w:line="240" w:lineRule="auto"/>
        <w:jc w:val="both"/>
        <w:rPr>
          <w:rFonts w:eastAsia="Times New Roman" w:cs="Calibri"/>
          <w:b/>
        </w:rPr>
      </w:pPr>
      <w:r w:rsidRPr="009702B0">
        <w:rPr>
          <w:rFonts w:eastAsia="Times New Roman" w:cs="Calibri"/>
          <w:b/>
        </w:rPr>
        <w:t xml:space="preserve">16.3. </w:t>
      </w:r>
      <w:r w:rsidRPr="009702B0">
        <w:rPr>
          <w:rFonts w:eastAsia="Times New Roman" w:cs="Calibri"/>
          <w:b/>
        </w:rPr>
        <w:tab/>
        <w:t>Liquidity risk (continued)</w:t>
      </w:r>
    </w:p>
    <w:p w14:paraId="5FDA46F6" w14:textId="77777777" w:rsidR="009702B0" w:rsidRPr="009702B0" w:rsidRDefault="009702B0" w:rsidP="009702B0">
      <w:pPr>
        <w:spacing w:after="0" w:line="240" w:lineRule="auto"/>
        <w:jc w:val="both"/>
        <w:rPr>
          <w:rFonts w:eastAsia="Times New Roman" w:cs="Calibri"/>
          <w:b/>
        </w:rPr>
      </w:pPr>
    </w:p>
    <w:tbl>
      <w:tblPr>
        <w:tblW w:w="5097" w:type="pct"/>
        <w:tblInd w:w="-164" w:type="dxa"/>
        <w:tblLayout w:type="fixed"/>
        <w:tblCellMar>
          <w:left w:w="120" w:type="dxa"/>
          <w:right w:w="120" w:type="dxa"/>
        </w:tblCellMar>
        <w:tblLook w:val="0000" w:firstRow="0" w:lastRow="0" w:firstColumn="0" w:lastColumn="0" w:noHBand="0" w:noVBand="0"/>
      </w:tblPr>
      <w:tblGrid>
        <w:gridCol w:w="2869"/>
        <w:gridCol w:w="1104"/>
        <w:gridCol w:w="1104"/>
        <w:gridCol w:w="1104"/>
        <w:gridCol w:w="1104"/>
        <w:gridCol w:w="1104"/>
        <w:gridCol w:w="1146"/>
      </w:tblGrid>
      <w:tr w:rsidR="005F1566" w:rsidRPr="005F1566" w14:paraId="45E5570B" w14:textId="77777777" w:rsidTr="005F1566">
        <w:trPr>
          <w:trHeight w:val="689"/>
        </w:trPr>
        <w:tc>
          <w:tcPr>
            <w:tcW w:w="1504" w:type="pct"/>
          </w:tcPr>
          <w:p w14:paraId="53E1328B"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Group</w:t>
            </w:r>
          </w:p>
          <w:p w14:paraId="015CDCE9"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sz w:val="18"/>
                <w:szCs w:val="18"/>
              </w:rPr>
            </w:pPr>
            <w:r>
              <w:rPr>
                <w:rFonts w:asciiTheme="minorHAnsi" w:eastAsia="Times New Roman" w:hAnsiTheme="minorHAnsi" w:cs="Arial"/>
                <w:b/>
                <w:sz w:val="18"/>
                <w:szCs w:val="18"/>
              </w:rPr>
              <w:t xml:space="preserve">Dec 31, </w:t>
            </w:r>
            <w:r w:rsidRPr="005F1566">
              <w:rPr>
                <w:rFonts w:asciiTheme="minorHAnsi" w:eastAsia="Times New Roman" w:hAnsiTheme="minorHAnsi" w:cs="Arial"/>
                <w:b/>
                <w:sz w:val="18"/>
                <w:szCs w:val="18"/>
              </w:rPr>
              <w:t>2016</w:t>
            </w:r>
          </w:p>
        </w:tc>
        <w:tc>
          <w:tcPr>
            <w:tcW w:w="579" w:type="pct"/>
          </w:tcPr>
          <w:p w14:paraId="62938506"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Up to 1 month</w:t>
            </w:r>
          </w:p>
        </w:tc>
        <w:tc>
          <w:tcPr>
            <w:tcW w:w="579" w:type="pct"/>
          </w:tcPr>
          <w:p w14:paraId="506321BA"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1 - 3 months</w:t>
            </w:r>
          </w:p>
        </w:tc>
        <w:tc>
          <w:tcPr>
            <w:tcW w:w="579" w:type="pct"/>
          </w:tcPr>
          <w:p w14:paraId="0611CD1E"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 xml:space="preserve">3 - 12 </w:t>
            </w:r>
          </w:p>
          <w:p w14:paraId="73F6A4A1"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months</w:t>
            </w:r>
          </w:p>
        </w:tc>
        <w:tc>
          <w:tcPr>
            <w:tcW w:w="579" w:type="pct"/>
          </w:tcPr>
          <w:p w14:paraId="58169F2F"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 xml:space="preserve">1 - 3 </w:t>
            </w:r>
          </w:p>
          <w:p w14:paraId="76E5C116"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years</w:t>
            </w:r>
          </w:p>
        </w:tc>
        <w:tc>
          <w:tcPr>
            <w:tcW w:w="579" w:type="pct"/>
          </w:tcPr>
          <w:p w14:paraId="672D6239"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Over 3 years</w:t>
            </w:r>
          </w:p>
        </w:tc>
        <w:tc>
          <w:tcPr>
            <w:tcW w:w="601" w:type="pct"/>
          </w:tcPr>
          <w:p w14:paraId="531E2103"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Total</w:t>
            </w:r>
          </w:p>
        </w:tc>
      </w:tr>
      <w:tr w:rsidR="005F1566" w:rsidRPr="005F1566" w14:paraId="7524939D" w14:textId="77777777" w:rsidTr="005F1566">
        <w:trPr>
          <w:trHeight w:val="166"/>
        </w:trPr>
        <w:tc>
          <w:tcPr>
            <w:tcW w:w="1504" w:type="pct"/>
          </w:tcPr>
          <w:p w14:paraId="0A490A81"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bCs/>
                <w:sz w:val="18"/>
                <w:szCs w:val="18"/>
              </w:rPr>
            </w:pPr>
            <w:r w:rsidRPr="005F1566">
              <w:rPr>
                <w:rFonts w:asciiTheme="minorHAnsi" w:eastAsia="Times New Roman" w:hAnsiTheme="minorHAnsi" w:cs="Arial"/>
                <w:b/>
                <w:bCs/>
                <w:sz w:val="18"/>
                <w:szCs w:val="18"/>
              </w:rPr>
              <w:t>Assets</w:t>
            </w:r>
          </w:p>
        </w:tc>
        <w:tc>
          <w:tcPr>
            <w:tcW w:w="579" w:type="pct"/>
          </w:tcPr>
          <w:p w14:paraId="2F24B19C"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sz w:val="18"/>
                <w:szCs w:val="18"/>
              </w:rPr>
            </w:pPr>
          </w:p>
        </w:tc>
        <w:tc>
          <w:tcPr>
            <w:tcW w:w="579" w:type="pct"/>
          </w:tcPr>
          <w:p w14:paraId="2DBE70BC"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sz w:val="18"/>
                <w:szCs w:val="18"/>
              </w:rPr>
            </w:pPr>
          </w:p>
        </w:tc>
        <w:tc>
          <w:tcPr>
            <w:tcW w:w="579" w:type="pct"/>
          </w:tcPr>
          <w:p w14:paraId="7DF7A593"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sz w:val="18"/>
                <w:szCs w:val="18"/>
              </w:rPr>
            </w:pPr>
          </w:p>
        </w:tc>
        <w:tc>
          <w:tcPr>
            <w:tcW w:w="579" w:type="pct"/>
          </w:tcPr>
          <w:p w14:paraId="2097EAF8"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sz w:val="18"/>
                <w:szCs w:val="18"/>
              </w:rPr>
            </w:pPr>
          </w:p>
        </w:tc>
        <w:tc>
          <w:tcPr>
            <w:tcW w:w="579" w:type="pct"/>
          </w:tcPr>
          <w:p w14:paraId="7F1DFB97"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sz w:val="18"/>
                <w:szCs w:val="18"/>
              </w:rPr>
            </w:pPr>
          </w:p>
        </w:tc>
        <w:tc>
          <w:tcPr>
            <w:tcW w:w="601" w:type="pct"/>
          </w:tcPr>
          <w:p w14:paraId="3C49C558"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sz w:val="18"/>
                <w:szCs w:val="18"/>
              </w:rPr>
            </w:pPr>
          </w:p>
        </w:tc>
      </w:tr>
      <w:tr w:rsidR="005F1566" w:rsidRPr="005F1566" w14:paraId="32F91C54" w14:textId="77777777" w:rsidTr="005F1566">
        <w:trPr>
          <w:trHeight w:val="246"/>
        </w:trPr>
        <w:tc>
          <w:tcPr>
            <w:tcW w:w="1504" w:type="pct"/>
          </w:tcPr>
          <w:p w14:paraId="173FD54A" w14:textId="77777777" w:rsidR="005F1566" w:rsidRPr="005F1566" w:rsidRDefault="005F1566" w:rsidP="005F1566">
            <w:pPr>
              <w:tabs>
                <w:tab w:val="right" w:pos="1202"/>
              </w:tabs>
              <w:spacing w:after="0" w:line="22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 xml:space="preserve">Cash on hand and due from banks </w:t>
            </w:r>
          </w:p>
        </w:tc>
        <w:tc>
          <w:tcPr>
            <w:tcW w:w="579" w:type="pct"/>
            <w:tcBorders>
              <w:top w:val="nil"/>
              <w:left w:val="nil"/>
              <w:bottom w:val="nil"/>
              <w:right w:val="nil"/>
            </w:tcBorders>
            <w:shd w:val="clear" w:color="auto" w:fill="auto"/>
            <w:vAlign w:val="center"/>
          </w:tcPr>
          <w:p w14:paraId="06E6370D"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491,246</w:t>
            </w:r>
          </w:p>
        </w:tc>
        <w:tc>
          <w:tcPr>
            <w:tcW w:w="579" w:type="pct"/>
            <w:tcBorders>
              <w:top w:val="nil"/>
              <w:left w:val="nil"/>
              <w:bottom w:val="nil"/>
              <w:right w:val="nil"/>
            </w:tcBorders>
            <w:shd w:val="clear" w:color="auto" w:fill="auto"/>
            <w:vAlign w:val="center"/>
          </w:tcPr>
          <w:p w14:paraId="48DAA5EB"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071C0B0E"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59E0D407"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2132F65F"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601" w:type="pct"/>
            <w:tcBorders>
              <w:top w:val="nil"/>
              <w:left w:val="nil"/>
              <w:bottom w:val="nil"/>
              <w:right w:val="nil"/>
            </w:tcBorders>
            <w:shd w:val="clear" w:color="auto" w:fill="auto"/>
            <w:vAlign w:val="center"/>
          </w:tcPr>
          <w:p w14:paraId="3B226E95"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491,246</w:t>
            </w:r>
          </w:p>
        </w:tc>
      </w:tr>
      <w:tr w:rsidR="005F1566" w:rsidRPr="005F1566" w14:paraId="0A946439" w14:textId="77777777" w:rsidTr="005F1566">
        <w:trPr>
          <w:trHeight w:val="237"/>
        </w:trPr>
        <w:tc>
          <w:tcPr>
            <w:tcW w:w="1504" w:type="pct"/>
          </w:tcPr>
          <w:p w14:paraId="19C07FF6" w14:textId="77777777" w:rsidR="005F1566" w:rsidRPr="005F1566" w:rsidRDefault="005F1566" w:rsidP="005F1566">
            <w:pPr>
              <w:tabs>
                <w:tab w:val="right" w:pos="1202"/>
              </w:tabs>
              <w:spacing w:after="0" w:line="22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Deposits with other banks</w:t>
            </w:r>
          </w:p>
        </w:tc>
        <w:tc>
          <w:tcPr>
            <w:tcW w:w="579" w:type="pct"/>
            <w:tcBorders>
              <w:top w:val="nil"/>
              <w:left w:val="nil"/>
              <w:bottom w:val="nil"/>
              <w:right w:val="nil"/>
            </w:tcBorders>
            <w:shd w:val="clear" w:color="auto" w:fill="auto"/>
            <w:vAlign w:val="center"/>
          </w:tcPr>
          <w:p w14:paraId="08F9B1C0"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6E24BAC2"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23,872</w:t>
            </w:r>
          </w:p>
        </w:tc>
        <w:tc>
          <w:tcPr>
            <w:tcW w:w="579" w:type="pct"/>
            <w:tcBorders>
              <w:top w:val="nil"/>
              <w:left w:val="nil"/>
              <w:bottom w:val="nil"/>
              <w:right w:val="nil"/>
            </w:tcBorders>
            <w:shd w:val="clear" w:color="auto" w:fill="auto"/>
            <w:vAlign w:val="center"/>
          </w:tcPr>
          <w:p w14:paraId="121DA488"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163DB938"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58F75B94"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601" w:type="pct"/>
            <w:tcBorders>
              <w:top w:val="nil"/>
              <w:left w:val="nil"/>
              <w:bottom w:val="nil"/>
              <w:right w:val="nil"/>
            </w:tcBorders>
            <w:shd w:val="clear" w:color="auto" w:fill="auto"/>
            <w:vAlign w:val="center"/>
          </w:tcPr>
          <w:p w14:paraId="24812C7C"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23,872</w:t>
            </w:r>
          </w:p>
        </w:tc>
      </w:tr>
      <w:tr w:rsidR="005F1566" w:rsidRPr="005F1566" w14:paraId="7D30A140" w14:textId="77777777" w:rsidTr="005F1566">
        <w:trPr>
          <w:trHeight w:val="158"/>
        </w:trPr>
        <w:tc>
          <w:tcPr>
            <w:tcW w:w="1504" w:type="pct"/>
          </w:tcPr>
          <w:p w14:paraId="79D583A5" w14:textId="77777777" w:rsidR="005F1566" w:rsidRPr="005F1566" w:rsidRDefault="005F1566" w:rsidP="005F1566">
            <w:pPr>
              <w:tabs>
                <w:tab w:val="right" w:pos="1202"/>
              </w:tabs>
              <w:spacing w:after="0" w:line="22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Loans to financial institutions*</w:t>
            </w:r>
          </w:p>
        </w:tc>
        <w:tc>
          <w:tcPr>
            <w:tcW w:w="579" w:type="pct"/>
            <w:tcBorders>
              <w:top w:val="nil"/>
              <w:left w:val="nil"/>
              <w:bottom w:val="nil"/>
              <w:right w:val="nil"/>
            </w:tcBorders>
            <w:shd w:val="clear" w:color="auto" w:fill="auto"/>
            <w:vAlign w:val="center"/>
          </w:tcPr>
          <w:p w14:paraId="0F283FD7"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684,891</w:t>
            </w:r>
          </w:p>
        </w:tc>
        <w:tc>
          <w:tcPr>
            <w:tcW w:w="579" w:type="pct"/>
            <w:tcBorders>
              <w:top w:val="nil"/>
              <w:left w:val="nil"/>
              <w:bottom w:val="nil"/>
              <w:right w:val="nil"/>
            </w:tcBorders>
            <w:shd w:val="clear" w:color="auto" w:fill="auto"/>
            <w:vAlign w:val="center"/>
          </w:tcPr>
          <w:p w14:paraId="1625C7FE"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441,872</w:t>
            </w:r>
          </w:p>
        </w:tc>
        <w:tc>
          <w:tcPr>
            <w:tcW w:w="579" w:type="pct"/>
            <w:tcBorders>
              <w:top w:val="nil"/>
              <w:left w:val="nil"/>
              <w:bottom w:val="nil"/>
              <w:right w:val="nil"/>
            </w:tcBorders>
            <w:shd w:val="clear" w:color="auto" w:fill="auto"/>
            <w:vAlign w:val="center"/>
          </w:tcPr>
          <w:p w14:paraId="4276072E"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1,774,961</w:t>
            </w:r>
          </w:p>
        </w:tc>
        <w:tc>
          <w:tcPr>
            <w:tcW w:w="579" w:type="pct"/>
            <w:tcBorders>
              <w:top w:val="nil"/>
              <w:left w:val="nil"/>
              <w:bottom w:val="nil"/>
              <w:right w:val="nil"/>
            </w:tcBorders>
            <w:shd w:val="clear" w:color="auto" w:fill="auto"/>
            <w:vAlign w:val="center"/>
          </w:tcPr>
          <w:p w14:paraId="44FE5A7C"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3,131,823</w:t>
            </w:r>
          </w:p>
        </w:tc>
        <w:tc>
          <w:tcPr>
            <w:tcW w:w="579" w:type="pct"/>
            <w:tcBorders>
              <w:top w:val="nil"/>
              <w:left w:val="nil"/>
              <w:bottom w:val="nil"/>
              <w:right w:val="nil"/>
            </w:tcBorders>
            <w:shd w:val="clear" w:color="auto" w:fill="auto"/>
            <w:vAlign w:val="center"/>
          </w:tcPr>
          <w:p w14:paraId="6CE21AAA"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5,855,564</w:t>
            </w:r>
          </w:p>
        </w:tc>
        <w:tc>
          <w:tcPr>
            <w:tcW w:w="601" w:type="pct"/>
            <w:tcBorders>
              <w:top w:val="nil"/>
              <w:left w:val="nil"/>
              <w:bottom w:val="nil"/>
              <w:right w:val="nil"/>
            </w:tcBorders>
            <w:shd w:val="clear" w:color="auto" w:fill="auto"/>
            <w:vAlign w:val="center"/>
          </w:tcPr>
          <w:p w14:paraId="3925E0DF"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11,889,111</w:t>
            </w:r>
          </w:p>
        </w:tc>
      </w:tr>
      <w:tr w:rsidR="005F1566" w:rsidRPr="005F1566" w14:paraId="4F42CB8A" w14:textId="77777777" w:rsidTr="005F1566">
        <w:trPr>
          <w:trHeight w:val="215"/>
        </w:trPr>
        <w:tc>
          <w:tcPr>
            <w:tcW w:w="1504" w:type="pct"/>
          </w:tcPr>
          <w:p w14:paraId="4DA71713" w14:textId="77777777" w:rsidR="005F1566" w:rsidRPr="005F1566" w:rsidRDefault="005F1566" w:rsidP="005F1566">
            <w:pPr>
              <w:tabs>
                <w:tab w:val="right" w:pos="1202"/>
              </w:tabs>
              <w:spacing w:after="0" w:line="22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Loans to other customers</w:t>
            </w:r>
          </w:p>
        </w:tc>
        <w:tc>
          <w:tcPr>
            <w:tcW w:w="579" w:type="pct"/>
            <w:tcBorders>
              <w:top w:val="nil"/>
              <w:left w:val="nil"/>
              <w:bottom w:val="nil"/>
              <w:right w:val="nil"/>
            </w:tcBorders>
            <w:shd w:val="clear" w:color="auto" w:fill="auto"/>
            <w:vAlign w:val="center"/>
          </w:tcPr>
          <w:p w14:paraId="1E2D1370"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1,423,234</w:t>
            </w:r>
          </w:p>
        </w:tc>
        <w:tc>
          <w:tcPr>
            <w:tcW w:w="579" w:type="pct"/>
            <w:tcBorders>
              <w:top w:val="nil"/>
              <w:left w:val="nil"/>
              <w:bottom w:val="nil"/>
              <w:right w:val="nil"/>
            </w:tcBorders>
            <w:shd w:val="clear" w:color="auto" w:fill="auto"/>
            <w:vAlign w:val="center"/>
          </w:tcPr>
          <w:p w14:paraId="424F79DE"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385,784</w:t>
            </w:r>
          </w:p>
        </w:tc>
        <w:tc>
          <w:tcPr>
            <w:tcW w:w="579" w:type="pct"/>
            <w:tcBorders>
              <w:top w:val="nil"/>
              <w:left w:val="nil"/>
              <w:bottom w:val="nil"/>
              <w:right w:val="nil"/>
            </w:tcBorders>
            <w:shd w:val="clear" w:color="auto" w:fill="auto"/>
            <w:vAlign w:val="center"/>
          </w:tcPr>
          <w:p w14:paraId="7E030CBE"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948,959</w:t>
            </w:r>
          </w:p>
        </w:tc>
        <w:tc>
          <w:tcPr>
            <w:tcW w:w="579" w:type="pct"/>
            <w:tcBorders>
              <w:top w:val="nil"/>
              <w:left w:val="nil"/>
              <w:bottom w:val="nil"/>
              <w:right w:val="nil"/>
            </w:tcBorders>
            <w:shd w:val="clear" w:color="auto" w:fill="auto"/>
            <w:vAlign w:val="center"/>
          </w:tcPr>
          <w:p w14:paraId="560CBFB8"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1,850,611</w:t>
            </w:r>
          </w:p>
        </w:tc>
        <w:tc>
          <w:tcPr>
            <w:tcW w:w="579" w:type="pct"/>
            <w:tcBorders>
              <w:top w:val="nil"/>
              <w:left w:val="nil"/>
              <w:bottom w:val="nil"/>
              <w:right w:val="nil"/>
            </w:tcBorders>
            <w:shd w:val="clear" w:color="auto" w:fill="auto"/>
            <w:vAlign w:val="center"/>
          </w:tcPr>
          <w:p w14:paraId="4223E8DC"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6,902,606</w:t>
            </w:r>
          </w:p>
        </w:tc>
        <w:tc>
          <w:tcPr>
            <w:tcW w:w="601" w:type="pct"/>
            <w:tcBorders>
              <w:top w:val="nil"/>
              <w:left w:val="nil"/>
              <w:bottom w:val="nil"/>
              <w:right w:val="nil"/>
            </w:tcBorders>
            <w:shd w:val="clear" w:color="auto" w:fill="auto"/>
            <w:vAlign w:val="center"/>
          </w:tcPr>
          <w:p w14:paraId="76A912CA"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11,511,194</w:t>
            </w:r>
          </w:p>
        </w:tc>
      </w:tr>
      <w:tr w:rsidR="005F1566" w:rsidRPr="005F1566" w14:paraId="2CC03D2D" w14:textId="77777777" w:rsidTr="005F1566">
        <w:trPr>
          <w:trHeight w:val="458"/>
        </w:trPr>
        <w:tc>
          <w:tcPr>
            <w:tcW w:w="1504" w:type="pct"/>
          </w:tcPr>
          <w:p w14:paraId="50874639" w14:textId="77777777" w:rsidR="005F1566" w:rsidRPr="005F1566" w:rsidRDefault="005F1566" w:rsidP="005F1566">
            <w:pPr>
              <w:tabs>
                <w:tab w:val="right" w:pos="1202"/>
              </w:tabs>
              <w:spacing w:after="0" w:line="22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Financial assets at fair value through profit or loss</w:t>
            </w:r>
          </w:p>
        </w:tc>
        <w:tc>
          <w:tcPr>
            <w:tcW w:w="579" w:type="pct"/>
            <w:tcBorders>
              <w:top w:val="nil"/>
              <w:left w:val="nil"/>
              <w:bottom w:val="nil"/>
              <w:right w:val="nil"/>
            </w:tcBorders>
            <w:shd w:val="clear" w:color="auto" w:fill="auto"/>
            <w:vAlign w:val="center"/>
          </w:tcPr>
          <w:p w14:paraId="709DD16B"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286</w:t>
            </w:r>
          </w:p>
        </w:tc>
        <w:tc>
          <w:tcPr>
            <w:tcW w:w="579" w:type="pct"/>
            <w:tcBorders>
              <w:top w:val="nil"/>
              <w:left w:val="nil"/>
              <w:bottom w:val="nil"/>
              <w:right w:val="nil"/>
            </w:tcBorders>
            <w:shd w:val="clear" w:color="auto" w:fill="auto"/>
            <w:vAlign w:val="center"/>
          </w:tcPr>
          <w:p w14:paraId="7177F878"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22840483"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3DADE53D"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53403238"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601" w:type="pct"/>
            <w:tcBorders>
              <w:top w:val="nil"/>
              <w:left w:val="nil"/>
              <w:bottom w:val="nil"/>
              <w:right w:val="nil"/>
            </w:tcBorders>
            <w:shd w:val="clear" w:color="auto" w:fill="auto"/>
            <w:vAlign w:val="center"/>
          </w:tcPr>
          <w:p w14:paraId="60D37F1C"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286</w:t>
            </w:r>
          </w:p>
        </w:tc>
      </w:tr>
      <w:tr w:rsidR="005F1566" w:rsidRPr="005F1566" w14:paraId="6C338519" w14:textId="77777777" w:rsidTr="005F1566">
        <w:trPr>
          <w:trHeight w:val="158"/>
        </w:trPr>
        <w:tc>
          <w:tcPr>
            <w:tcW w:w="1504" w:type="pct"/>
          </w:tcPr>
          <w:p w14:paraId="65F79F51" w14:textId="77777777" w:rsidR="005F1566" w:rsidRPr="005F1566" w:rsidRDefault="005F1566" w:rsidP="005F1566">
            <w:pPr>
              <w:tabs>
                <w:tab w:val="right" w:pos="1202"/>
              </w:tabs>
              <w:spacing w:after="0" w:line="22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Assets available for sale</w:t>
            </w:r>
          </w:p>
        </w:tc>
        <w:tc>
          <w:tcPr>
            <w:tcW w:w="579" w:type="pct"/>
            <w:tcBorders>
              <w:top w:val="nil"/>
              <w:left w:val="nil"/>
              <w:bottom w:val="nil"/>
              <w:right w:val="nil"/>
            </w:tcBorders>
            <w:shd w:val="clear" w:color="auto" w:fill="auto"/>
            <w:vAlign w:val="center"/>
          </w:tcPr>
          <w:p w14:paraId="67A7DA90"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3,375,864</w:t>
            </w:r>
          </w:p>
        </w:tc>
        <w:tc>
          <w:tcPr>
            <w:tcW w:w="579" w:type="pct"/>
            <w:tcBorders>
              <w:top w:val="nil"/>
              <w:left w:val="nil"/>
              <w:bottom w:val="nil"/>
              <w:right w:val="nil"/>
            </w:tcBorders>
            <w:shd w:val="clear" w:color="auto" w:fill="auto"/>
            <w:vAlign w:val="center"/>
          </w:tcPr>
          <w:p w14:paraId="2D78B4FC"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14,074</w:t>
            </w:r>
          </w:p>
        </w:tc>
        <w:tc>
          <w:tcPr>
            <w:tcW w:w="579" w:type="pct"/>
            <w:tcBorders>
              <w:top w:val="nil"/>
              <w:left w:val="nil"/>
              <w:bottom w:val="nil"/>
              <w:right w:val="nil"/>
            </w:tcBorders>
            <w:shd w:val="clear" w:color="auto" w:fill="auto"/>
            <w:vAlign w:val="center"/>
          </w:tcPr>
          <w:p w14:paraId="0AC3E5E4"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96</w:t>
            </w:r>
          </w:p>
        </w:tc>
        <w:tc>
          <w:tcPr>
            <w:tcW w:w="579" w:type="pct"/>
            <w:tcBorders>
              <w:top w:val="nil"/>
              <w:left w:val="nil"/>
              <w:bottom w:val="nil"/>
              <w:right w:val="nil"/>
            </w:tcBorders>
            <w:shd w:val="clear" w:color="auto" w:fill="auto"/>
            <w:vAlign w:val="center"/>
          </w:tcPr>
          <w:p w14:paraId="1857141A"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5FAAECBB"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601" w:type="pct"/>
            <w:tcBorders>
              <w:top w:val="nil"/>
              <w:left w:val="nil"/>
              <w:bottom w:val="nil"/>
              <w:right w:val="nil"/>
            </w:tcBorders>
            <w:shd w:val="clear" w:color="auto" w:fill="auto"/>
            <w:vAlign w:val="center"/>
          </w:tcPr>
          <w:p w14:paraId="3B48A01E"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3,390,034</w:t>
            </w:r>
          </w:p>
        </w:tc>
      </w:tr>
      <w:tr w:rsidR="005F1566" w:rsidRPr="005F1566" w14:paraId="73F30815" w14:textId="77777777" w:rsidTr="005F1566">
        <w:trPr>
          <w:trHeight w:val="158"/>
        </w:trPr>
        <w:tc>
          <w:tcPr>
            <w:tcW w:w="1504" w:type="pct"/>
            <w:vAlign w:val="bottom"/>
          </w:tcPr>
          <w:p w14:paraId="0F8606FF" w14:textId="77777777" w:rsidR="005F1566" w:rsidRPr="005F1566" w:rsidRDefault="005F1566" w:rsidP="005F1566">
            <w:pPr>
              <w:spacing w:after="0" w:line="220" w:lineRule="exact"/>
              <w:rPr>
                <w:rFonts w:asciiTheme="minorHAnsi" w:eastAsia="Times New Roman" w:hAnsiTheme="minorHAnsi" w:cs="Arial"/>
                <w:sz w:val="18"/>
                <w:szCs w:val="18"/>
                <w:lang w:val="en-US"/>
              </w:rPr>
            </w:pPr>
            <w:r w:rsidRPr="005F1566">
              <w:rPr>
                <w:rFonts w:asciiTheme="minorHAnsi" w:eastAsia="Times New Roman" w:hAnsiTheme="minorHAnsi" w:cs="Arial"/>
                <w:sz w:val="18"/>
                <w:szCs w:val="18"/>
                <w:lang w:val="en-US"/>
              </w:rPr>
              <w:t>Assets held to maturity</w:t>
            </w:r>
          </w:p>
        </w:tc>
        <w:tc>
          <w:tcPr>
            <w:tcW w:w="579" w:type="pct"/>
            <w:tcBorders>
              <w:top w:val="nil"/>
              <w:left w:val="nil"/>
              <w:bottom w:val="nil"/>
              <w:right w:val="nil"/>
            </w:tcBorders>
            <w:shd w:val="clear" w:color="auto" w:fill="auto"/>
            <w:vAlign w:val="center"/>
          </w:tcPr>
          <w:p w14:paraId="23C7224E"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297BD09F"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10</w:t>
            </w:r>
          </w:p>
        </w:tc>
        <w:tc>
          <w:tcPr>
            <w:tcW w:w="579" w:type="pct"/>
            <w:tcBorders>
              <w:top w:val="nil"/>
              <w:left w:val="nil"/>
              <w:bottom w:val="nil"/>
              <w:right w:val="nil"/>
            </w:tcBorders>
            <w:shd w:val="clear" w:color="auto" w:fill="auto"/>
            <w:vAlign w:val="center"/>
          </w:tcPr>
          <w:p w14:paraId="0DFF25C7"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4</w:t>
            </w:r>
          </w:p>
        </w:tc>
        <w:tc>
          <w:tcPr>
            <w:tcW w:w="579" w:type="pct"/>
            <w:tcBorders>
              <w:top w:val="nil"/>
              <w:left w:val="nil"/>
              <w:bottom w:val="nil"/>
              <w:right w:val="nil"/>
            </w:tcBorders>
            <w:shd w:val="clear" w:color="auto" w:fill="auto"/>
            <w:vAlign w:val="center"/>
          </w:tcPr>
          <w:p w14:paraId="1058F7BF"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4025138F"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1,408</w:t>
            </w:r>
          </w:p>
        </w:tc>
        <w:tc>
          <w:tcPr>
            <w:tcW w:w="601" w:type="pct"/>
            <w:tcBorders>
              <w:top w:val="nil"/>
              <w:left w:val="nil"/>
              <w:bottom w:val="nil"/>
              <w:right w:val="nil"/>
            </w:tcBorders>
            <w:shd w:val="clear" w:color="auto" w:fill="auto"/>
            <w:vAlign w:val="center"/>
          </w:tcPr>
          <w:p w14:paraId="696C1F20"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1,422</w:t>
            </w:r>
          </w:p>
        </w:tc>
      </w:tr>
      <w:tr w:rsidR="005F1566" w:rsidRPr="005F1566" w14:paraId="34C17E27" w14:textId="77777777" w:rsidTr="005F1566">
        <w:trPr>
          <w:trHeight w:val="217"/>
        </w:trPr>
        <w:tc>
          <w:tcPr>
            <w:tcW w:w="1504" w:type="pct"/>
            <w:vAlign w:val="bottom"/>
          </w:tcPr>
          <w:p w14:paraId="4D89F854" w14:textId="77777777" w:rsidR="005F1566" w:rsidRPr="005F1566" w:rsidRDefault="005F1566" w:rsidP="005F1566">
            <w:pPr>
              <w:spacing w:after="0" w:line="220" w:lineRule="exact"/>
              <w:rPr>
                <w:rFonts w:asciiTheme="minorHAnsi" w:eastAsia="Times New Roman" w:hAnsiTheme="minorHAnsi" w:cs="Arial"/>
                <w:sz w:val="18"/>
                <w:szCs w:val="18"/>
                <w:lang w:val="en-US"/>
              </w:rPr>
            </w:pPr>
            <w:r w:rsidRPr="005F1566">
              <w:rPr>
                <w:rFonts w:asciiTheme="minorHAnsi" w:eastAsia="Times New Roman" w:hAnsiTheme="minorHAnsi" w:cs="Arial"/>
                <w:sz w:val="18"/>
                <w:szCs w:val="18"/>
                <w:lang w:val="en-US"/>
              </w:rPr>
              <w:t>Investments in associates</w:t>
            </w:r>
          </w:p>
        </w:tc>
        <w:tc>
          <w:tcPr>
            <w:tcW w:w="579" w:type="pct"/>
            <w:tcBorders>
              <w:top w:val="nil"/>
              <w:left w:val="nil"/>
              <w:bottom w:val="nil"/>
              <w:right w:val="nil"/>
            </w:tcBorders>
            <w:shd w:val="clear" w:color="auto" w:fill="auto"/>
            <w:vAlign w:val="center"/>
          </w:tcPr>
          <w:p w14:paraId="41087B2B"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7D69F37D"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64AEFE90"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2868D9C4"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59770CEB"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601" w:type="pct"/>
            <w:tcBorders>
              <w:top w:val="nil"/>
              <w:left w:val="nil"/>
              <w:bottom w:val="nil"/>
              <w:right w:val="nil"/>
            </w:tcBorders>
            <w:shd w:val="clear" w:color="auto" w:fill="auto"/>
            <w:vAlign w:val="center"/>
          </w:tcPr>
          <w:p w14:paraId="47376F9C"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r>
      <w:tr w:rsidR="005F1566" w:rsidRPr="005F1566" w14:paraId="5B7FF268" w14:textId="77777777" w:rsidTr="005F1566">
        <w:trPr>
          <w:trHeight w:val="458"/>
        </w:trPr>
        <w:tc>
          <w:tcPr>
            <w:tcW w:w="1504" w:type="pct"/>
          </w:tcPr>
          <w:p w14:paraId="7E1166C5" w14:textId="77777777" w:rsidR="005F1566" w:rsidRPr="005F1566" w:rsidRDefault="005F1566" w:rsidP="005F1566">
            <w:pPr>
              <w:tabs>
                <w:tab w:val="right" w:pos="1202"/>
              </w:tabs>
              <w:spacing w:after="0" w:line="22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Property, plant and equipment and intangible assets</w:t>
            </w:r>
          </w:p>
        </w:tc>
        <w:tc>
          <w:tcPr>
            <w:tcW w:w="579" w:type="pct"/>
            <w:tcBorders>
              <w:top w:val="nil"/>
              <w:left w:val="nil"/>
              <w:bottom w:val="nil"/>
              <w:right w:val="nil"/>
            </w:tcBorders>
            <w:shd w:val="clear" w:color="auto" w:fill="auto"/>
            <w:vAlign w:val="center"/>
          </w:tcPr>
          <w:p w14:paraId="7CA09424"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37601D98"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7D5C1513"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50A17755"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5D6BD46A"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57,305</w:t>
            </w:r>
          </w:p>
        </w:tc>
        <w:tc>
          <w:tcPr>
            <w:tcW w:w="601" w:type="pct"/>
            <w:tcBorders>
              <w:top w:val="nil"/>
              <w:left w:val="nil"/>
              <w:bottom w:val="nil"/>
              <w:right w:val="nil"/>
            </w:tcBorders>
            <w:shd w:val="clear" w:color="auto" w:fill="auto"/>
            <w:vAlign w:val="center"/>
          </w:tcPr>
          <w:p w14:paraId="0CC0CCDD"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57,305</w:t>
            </w:r>
          </w:p>
        </w:tc>
      </w:tr>
      <w:tr w:rsidR="005F1566" w:rsidRPr="005F1566" w14:paraId="19B2CBBB" w14:textId="77777777" w:rsidTr="005F1566">
        <w:trPr>
          <w:trHeight w:val="167"/>
        </w:trPr>
        <w:tc>
          <w:tcPr>
            <w:tcW w:w="1504" w:type="pct"/>
          </w:tcPr>
          <w:p w14:paraId="56835B7E" w14:textId="77777777" w:rsidR="005F1566" w:rsidRPr="005F1566" w:rsidRDefault="005F1566" w:rsidP="005F1566">
            <w:pPr>
              <w:tabs>
                <w:tab w:val="right" w:pos="1202"/>
              </w:tabs>
              <w:spacing w:after="0" w:line="22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Non-current assets held for sale</w:t>
            </w:r>
          </w:p>
        </w:tc>
        <w:tc>
          <w:tcPr>
            <w:tcW w:w="579" w:type="pct"/>
            <w:tcBorders>
              <w:top w:val="nil"/>
              <w:left w:val="nil"/>
              <w:bottom w:val="nil"/>
              <w:right w:val="nil"/>
            </w:tcBorders>
            <w:shd w:val="clear" w:color="auto" w:fill="auto"/>
            <w:vAlign w:val="center"/>
          </w:tcPr>
          <w:p w14:paraId="0859D734"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79A1A4FA"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494308C6"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27</w:t>
            </w:r>
          </w:p>
        </w:tc>
        <w:tc>
          <w:tcPr>
            <w:tcW w:w="579" w:type="pct"/>
            <w:tcBorders>
              <w:top w:val="nil"/>
              <w:left w:val="nil"/>
              <w:bottom w:val="nil"/>
              <w:right w:val="nil"/>
            </w:tcBorders>
            <w:shd w:val="clear" w:color="auto" w:fill="auto"/>
            <w:vAlign w:val="center"/>
          </w:tcPr>
          <w:p w14:paraId="2BB47ACF"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11,450</w:t>
            </w:r>
          </w:p>
        </w:tc>
        <w:tc>
          <w:tcPr>
            <w:tcW w:w="579" w:type="pct"/>
            <w:tcBorders>
              <w:top w:val="nil"/>
              <w:left w:val="nil"/>
              <w:bottom w:val="nil"/>
              <w:right w:val="nil"/>
            </w:tcBorders>
            <w:shd w:val="clear" w:color="auto" w:fill="auto"/>
            <w:vAlign w:val="center"/>
          </w:tcPr>
          <w:p w14:paraId="45D819BC"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5,753</w:t>
            </w:r>
          </w:p>
        </w:tc>
        <w:tc>
          <w:tcPr>
            <w:tcW w:w="601" w:type="pct"/>
            <w:tcBorders>
              <w:top w:val="nil"/>
              <w:left w:val="nil"/>
              <w:bottom w:val="nil"/>
              <w:right w:val="nil"/>
            </w:tcBorders>
            <w:shd w:val="clear" w:color="auto" w:fill="auto"/>
            <w:vAlign w:val="center"/>
          </w:tcPr>
          <w:p w14:paraId="0E602687"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17,230</w:t>
            </w:r>
          </w:p>
        </w:tc>
      </w:tr>
      <w:tr w:rsidR="005F1566" w:rsidRPr="005F1566" w14:paraId="5D6AC51A" w14:textId="77777777" w:rsidTr="005F1566">
        <w:trPr>
          <w:trHeight w:val="158"/>
        </w:trPr>
        <w:tc>
          <w:tcPr>
            <w:tcW w:w="1504" w:type="pct"/>
          </w:tcPr>
          <w:p w14:paraId="7B3E91BB" w14:textId="77777777" w:rsidR="005F1566" w:rsidRPr="005F1566" w:rsidRDefault="005F1566" w:rsidP="005F1566">
            <w:pPr>
              <w:tabs>
                <w:tab w:val="right" w:pos="1202"/>
              </w:tabs>
              <w:spacing w:after="0" w:line="22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Other assets</w:t>
            </w:r>
          </w:p>
        </w:tc>
        <w:tc>
          <w:tcPr>
            <w:tcW w:w="579" w:type="pct"/>
            <w:tcBorders>
              <w:top w:val="nil"/>
              <w:left w:val="nil"/>
              <w:bottom w:val="nil"/>
              <w:right w:val="nil"/>
            </w:tcBorders>
            <w:shd w:val="clear" w:color="auto" w:fill="auto"/>
            <w:vAlign w:val="center"/>
          </w:tcPr>
          <w:p w14:paraId="2A69BA1B"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6,225</w:t>
            </w:r>
          </w:p>
        </w:tc>
        <w:tc>
          <w:tcPr>
            <w:tcW w:w="579" w:type="pct"/>
            <w:tcBorders>
              <w:top w:val="nil"/>
              <w:left w:val="nil"/>
              <w:bottom w:val="nil"/>
              <w:right w:val="nil"/>
            </w:tcBorders>
            <w:shd w:val="clear" w:color="auto" w:fill="auto"/>
            <w:vAlign w:val="center"/>
          </w:tcPr>
          <w:p w14:paraId="35156B5C"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748</w:t>
            </w:r>
          </w:p>
        </w:tc>
        <w:tc>
          <w:tcPr>
            <w:tcW w:w="579" w:type="pct"/>
            <w:tcBorders>
              <w:top w:val="nil"/>
              <w:left w:val="nil"/>
              <w:bottom w:val="nil"/>
              <w:right w:val="nil"/>
            </w:tcBorders>
            <w:shd w:val="clear" w:color="auto" w:fill="auto"/>
            <w:vAlign w:val="center"/>
          </w:tcPr>
          <w:p w14:paraId="11C48230"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530</w:t>
            </w:r>
          </w:p>
        </w:tc>
        <w:tc>
          <w:tcPr>
            <w:tcW w:w="579" w:type="pct"/>
            <w:tcBorders>
              <w:top w:val="nil"/>
              <w:left w:val="nil"/>
              <w:bottom w:val="nil"/>
              <w:right w:val="nil"/>
            </w:tcBorders>
            <w:shd w:val="clear" w:color="auto" w:fill="auto"/>
            <w:vAlign w:val="center"/>
          </w:tcPr>
          <w:p w14:paraId="3AC33624"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620</w:t>
            </w:r>
          </w:p>
        </w:tc>
        <w:tc>
          <w:tcPr>
            <w:tcW w:w="579" w:type="pct"/>
            <w:tcBorders>
              <w:top w:val="nil"/>
              <w:left w:val="nil"/>
              <w:bottom w:val="nil"/>
              <w:right w:val="nil"/>
            </w:tcBorders>
            <w:shd w:val="clear" w:color="auto" w:fill="auto"/>
            <w:vAlign w:val="center"/>
          </w:tcPr>
          <w:p w14:paraId="6E00E096"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999</w:t>
            </w:r>
          </w:p>
        </w:tc>
        <w:tc>
          <w:tcPr>
            <w:tcW w:w="601" w:type="pct"/>
            <w:tcBorders>
              <w:top w:val="nil"/>
              <w:left w:val="nil"/>
              <w:bottom w:val="nil"/>
              <w:right w:val="nil"/>
            </w:tcBorders>
            <w:shd w:val="clear" w:color="auto" w:fill="auto"/>
            <w:vAlign w:val="center"/>
          </w:tcPr>
          <w:p w14:paraId="32B4CEB5"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9,122</w:t>
            </w:r>
          </w:p>
        </w:tc>
      </w:tr>
      <w:tr w:rsidR="005F1566" w:rsidRPr="005F1566" w14:paraId="0E69E753" w14:textId="77777777" w:rsidTr="005F1566">
        <w:trPr>
          <w:trHeight w:val="166"/>
        </w:trPr>
        <w:tc>
          <w:tcPr>
            <w:tcW w:w="1504" w:type="pct"/>
          </w:tcPr>
          <w:p w14:paraId="64185DFF"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bCs/>
                <w:sz w:val="18"/>
                <w:szCs w:val="18"/>
              </w:rPr>
            </w:pPr>
            <w:r w:rsidRPr="005F1566">
              <w:rPr>
                <w:rFonts w:asciiTheme="minorHAnsi" w:eastAsia="Times New Roman" w:hAnsiTheme="minorHAnsi" w:cs="Arial"/>
                <w:b/>
                <w:bCs/>
                <w:sz w:val="18"/>
                <w:szCs w:val="18"/>
              </w:rPr>
              <w:t>Total assets (1)</w:t>
            </w:r>
          </w:p>
        </w:tc>
        <w:tc>
          <w:tcPr>
            <w:tcW w:w="579" w:type="pct"/>
            <w:tcBorders>
              <w:top w:val="single" w:sz="8" w:space="0" w:color="auto"/>
              <w:left w:val="nil"/>
              <w:bottom w:val="single" w:sz="12" w:space="0" w:color="auto"/>
              <w:right w:val="nil"/>
            </w:tcBorders>
            <w:shd w:val="clear" w:color="auto" w:fill="auto"/>
            <w:vAlign w:val="center"/>
          </w:tcPr>
          <w:p w14:paraId="15DADA87" w14:textId="77777777" w:rsidR="005F1566" w:rsidRPr="005F1566" w:rsidRDefault="005F1566" w:rsidP="005F1566">
            <w:pPr>
              <w:spacing w:after="0" w:line="240" w:lineRule="auto"/>
              <w:jc w:val="right"/>
              <w:rPr>
                <w:rFonts w:asciiTheme="minorHAnsi" w:eastAsia="Times New Roman" w:hAnsiTheme="minorHAnsi" w:cs="Arial"/>
                <w:b/>
                <w:bCs/>
                <w:sz w:val="18"/>
                <w:szCs w:val="18"/>
                <w:lang w:val="en-US"/>
              </w:rPr>
            </w:pPr>
            <w:r w:rsidRPr="005F1566">
              <w:rPr>
                <w:rFonts w:eastAsia="Times New Roman"/>
                <w:b/>
                <w:bCs/>
                <w:color w:val="000000"/>
                <w:sz w:val="18"/>
                <w:szCs w:val="18"/>
                <w:lang w:val="en-US"/>
              </w:rPr>
              <w:t>5,981,746</w:t>
            </w:r>
          </w:p>
        </w:tc>
        <w:tc>
          <w:tcPr>
            <w:tcW w:w="579" w:type="pct"/>
            <w:tcBorders>
              <w:top w:val="single" w:sz="8" w:space="0" w:color="auto"/>
              <w:left w:val="nil"/>
              <w:bottom w:val="single" w:sz="12" w:space="0" w:color="auto"/>
              <w:right w:val="nil"/>
            </w:tcBorders>
            <w:shd w:val="clear" w:color="auto" w:fill="auto"/>
            <w:vAlign w:val="center"/>
          </w:tcPr>
          <w:p w14:paraId="07FE2D2F" w14:textId="77777777" w:rsidR="005F1566" w:rsidRPr="005F1566" w:rsidRDefault="005F1566" w:rsidP="005F1566">
            <w:pPr>
              <w:spacing w:after="0" w:line="240" w:lineRule="auto"/>
              <w:jc w:val="right"/>
              <w:rPr>
                <w:rFonts w:asciiTheme="minorHAnsi" w:eastAsia="Times New Roman" w:hAnsiTheme="minorHAnsi" w:cs="Arial"/>
                <w:b/>
                <w:bCs/>
                <w:sz w:val="18"/>
                <w:szCs w:val="18"/>
                <w:lang w:val="en-US"/>
              </w:rPr>
            </w:pPr>
            <w:r w:rsidRPr="005F1566">
              <w:rPr>
                <w:rFonts w:eastAsia="Times New Roman"/>
                <w:b/>
                <w:bCs/>
                <w:color w:val="000000"/>
                <w:sz w:val="18"/>
                <w:szCs w:val="18"/>
                <w:lang w:val="en-US"/>
              </w:rPr>
              <w:t>866,360</w:t>
            </w:r>
          </w:p>
        </w:tc>
        <w:tc>
          <w:tcPr>
            <w:tcW w:w="579" w:type="pct"/>
            <w:tcBorders>
              <w:top w:val="single" w:sz="8" w:space="0" w:color="auto"/>
              <w:left w:val="nil"/>
              <w:bottom w:val="single" w:sz="12" w:space="0" w:color="auto"/>
              <w:right w:val="nil"/>
            </w:tcBorders>
            <w:shd w:val="clear" w:color="auto" w:fill="auto"/>
            <w:vAlign w:val="center"/>
          </w:tcPr>
          <w:p w14:paraId="3D182A22" w14:textId="77777777" w:rsidR="005F1566" w:rsidRPr="005F1566" w:rsidRDefault="005F1566" w:rsidP="005F1566">
            <w:pPr>
              <w:spacing w:after="0" w:line="240" w:lineRule="auto"/>
              <w:jc w:val="right"/>
              <w:rPr>
                <w:rFonts w:asciiTheme="minorHAnsi" w:eastAsia="Times New Roman" w:hAnsiTheme="minorHAnsi" w:cs="Arial"/>
                <w:b/>
                <w:bCs/>
                <w:sz w:val="18"/>
                <w:szCs w:val="18"/>
                <w:lang w:val="en-US"/>
              </w:rPr>
            </w:pPr>
            <w:r w:rsidRPr="005F1566">
              <w:rPr>
                <w:rFonts w:eastAsia="Times New Roman"/>
                <w:b/>
                <w:bCs/>
                <w:color w:val="000000"/>
                <w:sz w:val="18"/>
                <w:szCs w:val="18"/>
                <w:lang w:val="en-US"/>
              </w:rPr>
              <w:t>2,724,577</w:t>
            </w:r>
          </w:p>
        </w:tc>
        <w:tc>
          <w:tcPr>
            <w:tcW w:w="579" w:type="pct"/>
            <w:tcBorders>
              <w:top w:val="single" w:sz="8" w:space="0" w:color="auto"/>
              <w:left w:val="nil"/>
              <w:bottom w:val="single" w:sz="12" w:space="0" w:color="auto"/>
              <w:right w:val="nil"/>
            </w:tcBorders>
            <w:shd w:val="clear" w:color="auto" w:fill="auto"/>
            <w:vAlign w:val="center"/>
          </w:tcPr>
          <w:p w14:paraId="63152DD2" w14:textId="77777777" w:rsidR="005F1566" w:rsidRPr="005F1566" w:rsidRDefault="005F1566" w:rsidP="005F1566">
            <w:pPr>
              <w:spacing w:after="0" w:line="240" w:lineRule="auto"/>
              <w:jc w:val="right"/>
              <w:rPr>
                <w:rFonts w:asciiTheme="minorHAnsi" w:eastAsia="Times New Roman" w:hAnsiTheme="minorHAnsi" w:cs="Arial"/>
                <w:b/>
                <w:bCs/>
                <w:sz w:val="18"/>
                <w:szCs w:val="18"/>
                <w:lang w:val="en-US"/>
              </w:rPr>
            </w:pPr>
            <w:r w:rsidRPr="005F1566">
              <w:rPr>
                <w:rFonts w:eastAsia="Times New Roman"/>
                <w:b/>
                <w:bCs/>
                <w:color w:val="000000"/>
                <w:sz w:val="18"/>
                <w:szCs w:val="18"/>
                <w:lang w:val="en-US"/>
              </w:rPr>
              <w:t>4,994,504</w:t>
            </w:r>
          </w:p>
        </w:tc>
        <w:tc>
          <w:tcPr>
            <w:tcW w:w="579" w:type="pct"/>
            <w:tcBorders>
              <w:top w:val="single" w:sz="8" w:space="0" w:color="auto"/>
              <w:left w:val="nil"/>
              <w:bottom w:val="single" w:sz="12" w:space="0" w:color="auto"/>
              <w:right w:val="nil"/>
            </w:tcBorders>
            <w:shd w:val="clear" w:color="auto" w:fill="auto"/>
            <w:vAlign w:val="center"/>
          </w:tcPr>
          <w:p w14:paraId="3E8BB877" w14:textId="77777777" w:rsidR="005F1566" w:rsidRPr="005F1566" w:rsidRDefault="005F1566" w:rsidP="005F1566">
            <w:pPr>
              <w:spacing w:after="0" w:line="240" w:lineRule="auto"/>
              <w:jc w:val="right"/>
              <w:rPr>
                <w:rFonts w:asciiTheme="minorHAnsi" w:eastAsia="Times New Roman" w:hAnsiTheme="minorHAnsi" w:cs="Arial"/>
                <w:b/>
                <w:bCs/>
                <w:sz w:val="18"/>
                <w:szCs w:val="18"/>
                <w:lang w:val="en-US"/>
              </w:rPr>
            </w:pPr>
            <w:r w:rsidRPr="005F1566">
              <w:rPr>
                <w:rFonts w:eastAsia="Times New Roman"/>
                <w:b/>
                <w:bCs/>
                <w:color w:val="000000"/>
                <w:sz w:val="18"/>
                <w:szCs w:val="18"/>
                <w:lang w:val="en-US"/>
              </w:rPr>
              <w:t>12,823,635</w:t>
            </w:r>
          </w:p>
        </w:tc>
        <w:tc>
          <w:tcPr>
            <w:tcW w:w="601" w:type="pct"/>
            <w:tcBorders>
              <w:top w:val="single" w:sz="8" w:space="0" w:color="auto"/>
              <w:left w:val="nil"/>
              <w:bottom w:val="single" w:sz="12" w:space="0" w:color="auto"/>
              <w:right w:val="nil"/>
            </w:tcBorders>
            <w:shd w:val="clear" w:color="auto" w:fill="auto"/>
            <w:vAlign w:val="center"/>
          </w:tcPr>
          <w:p w14:paraId="11308BA5" w14:textId="77777777" w:rsidR="005F1566" w:rsidRPr="005F1566" w:rsidRDefault="005F1566" w:rsidP="005F1566">
            <w:pPr>
              <w:spacing w:after="0" w:line="240" w:lineRule="auto"/>
              <w:jc w:val="right"/>
              <w:rPr>
                <w:rFonts w:asciiTheme="minorHAnsi" w:eastAsia="Times New Roman" w:hAnsiTheme="minorHAnsi" w:cs="Arial"/>
                <w:b/>
                <w:bCs/>
                <w:sz w:val="18"/>
                <w:szCs w:val="18"/>
                <w:lang w:val="en-US"/>
              </w:rPr>
            </w:pPr>
            <w:r w:rsidRPr="005F1566">
              <w:rPr>
                <w:rFonts w:eastAsia="Times New Roman"/>
                <w:b/>
                <w:bCs/>
                <w:color w:val="000000"/>
                <w:sz w:val="18"/>
                <w:szCs w:val="18"/>
                <w:lang w:val="en-US"/>
              </w:rPr>
              <w:t>27,390,822</w:t>
            </w:r>
          </w:p>
        </w:tc>
      </w:tr>
      <w:tr w:rsidR="005F1566" w:rsidRPr="005F1566" w14:paraId="0BA8B178" w14:textId="77777777" w:rsidTr="005F1566">
        <w:trPr>
          <w:trHeight w:val="70"/>
        </w:trPr>
        <w:tc>
          <w:tcPr>
            <w:tcW w:w="1504" w:type="pct"/>
          </w:tcPr>
          <w:p w14:paraId="0FDC1F57" w14:textId="77777777" w:rsidR="005F1566" w:rsidRPr="005F1566" w:rsidRDefault="005F1566" w:rsidP="005F1566">
            <w:pPr>
              <w:tabs>
                <w:tab w:val="right" w:pos="1202"/>
              </w:tabs>
              <w:spacing w:after="0" w:line="140" w:lineRule="exact"/>
              <w:outlineLvl w:val="0"/>
              <w:rPr>
                <w:rFonts w:asciiTheme="minorHAnsi" w:eastAsia="Times New Roman" w:hAnsiTheme="minorHAnsi" w:cs="Arial"/>
                <w:b/>
                <w:bCs/>
                <w:sz w:val="18"/>
                <w:szCs w:val="18"/>
              </w:rPr>
            </w:pPr>
          </w:p>
        </w:tc>
        <w:tc>
          <w:tcPr>
            <w:tcW w:w="579" w:type="pct"/>
            <w:tcBorders>
              <w:top w:val="single" w:sz="12" w:space="0" w:color="auto"/>
            </w:tcBorders>
            <w:vAlign w:val="bottom"/>
          </w:tcPr>
          <w:p w14:paraId="0AAB0B53" w14:textId="77777777" w:rsidR="005F1566" w:rsidRPr="005F1566" w:rsidRDefault="005F1566" w:rsidP="005F1566">
            <w:pPr>
              <w:keepNext/>
              <w:keepLines/>
              <w:tabs>
                <w:tab w:val="decimal" w:pos="1202"/>
              </w:tabs>
              <w:spacing w:after="0" w:line="60" w:lineRule="exact"/>
              <w:rPr>
                <w:rFonts w:asciiTheme="minorHAnsi" w:eastAsia="Times New Roman" w:hAnsiTheme="minorHAnsi" w:cs="Arial"/>
                <w:b/>
                <w:bCs/>
                <w:position w:val="4"/>
                <w:sz w:val="18"/>
                <w:szCs w:val="18"/>
                <w:lang w:val="hr-HR"/>
              </w:rPr>
            </w:pPr>
          </w:p>
        </w:tc>
        <w:tc>
          <w:tcPr>
            <w:tcW w:w="579" w:type="pct"/>
            <w:tcBorders>
              <w:top w:val="single" w:sz="12" w:space="0" w:color="auto"/>
            </w:tcBorders>
            <w:vAlign w:val="bottom"/>
          </w:tcPr>
          <w:p w14:paraId="5EDE23E6" w14:textId="77777777" w:rsidR="005F1566" w:rsidRPr="005F1566" w:rsidRDefault="005F1566" w:rsidP="005F1566">
            <w:pPr>
              <w:keepNext/>
              <w:keepLines/>
              <w:tabs>
                <w:tab w:val="decimal" w:pos="1202"/>
              </w:tabs>
              <w:spacing w:after="0" w:line="60" w:lineRule="exact"/>
              <w:rPr>
                <w:rFonts w:asciiTheme="minorHAnsi" w:eastAsia="Times New Roman" w:hAnsiTheme="minorHAnsi" w:cs="Arial"/>
                <w:b/>
                <w:bCs/>
                <w:position w:val="4"/>
                <w:sz w:val="18"/>
                <w:szCs w:val="18"/>
                <w:lang w:val="hr-HR"/>
              </w:rPr>
            </w:pPr>
          </w:p>
        </w:tc>
        <w:tc>
          <w:tcPr>
            <w:tcW w:w="579" w:type="pct"/>
            <w:tcBorders>
              <w:top w:val="single" w:sz="12" w:space="0" w:color="auto"/>
            </w:tcBorders>
            <w:vAlign w:val="bottom"/>
          </w:tcPr>
          <w:p w14:paraId="0B1429F7" w14:textId="77777777" w:rsidR="005F1566" w:rsidRPr="005F1566" w:rsidRDefault="005F1566" w:rsidP="005F1566">
            <w:pPr>
              <w:keepNext/>
              <w:keepLines/>
              <w:tabs>
                <w:tab w:val="decimal" w:pos="1202"/>
              </w:tabs>
              <w:spacing w:after="0" w:line="60" w:lineRule="exact"/>
              <w:rPr>
                <w:rFonts w:asciiTheme="minorHAnsi" w:eastAsia="Times New Roman" w:hAnsiTheme="minorHAnsi" w:cs="Arial"/>
                <w:b/>
                <w:bCs/>
                <w:position w:val="4"/>
                <w:sz w:val="18"/>
                <w:szCs w:val="18"/>
                <w:lang w:val="hr-HR"/>
              </w:rPr>
            </w:pPr>
          </w:p>
        </w:tc>
        <w:tc>
          <w:tcPr>
            <w:tcW w:w="579" w:type="pct"/>
            <w:tcBorders>
              <w:top w:val="single" w:sz="12" w:space="0" w:color="auto"/>
            </w:tcBorders>
            <w:vAlign w:val="bottom"/>
          </w:tcPr>
          <w:p w14:paraId="1F9AA26D" w14:textId="77777777" w:rsidR="005F1566" w:rsidRPr="005F1566" w:rsidRDefault="005F1566" w:rsidP="005F1566">
            <w:pPr>
              <w:keepNext/>
              <w:keepLines/>
              <w:tabs>
                <w:tab w:val="decimal" w:pos="1202"/>
              </w:tabs>
              <w:spacing w:after="0" w:line="60" w:lineRule="exact"/>
              <w:rPr>
                <w:rFonts w:asciiTheme="minorHAnsi" w:eastAsia="Times New Roman" w:hAnsiTheme="minorHAnsi" w:cs="Arial"/>
                <w:b/>
                <w:bCs/>
                <w:position w:val="4"/>
                <w:sz w:val="18"/>
                <w:szCs w:val="18"/>
                <w:lang w:val="hr-HR"/>
              </w:rPr>
            </w:pPr>
          </w:p>
        </w:tc>
        <w:tc>
          <w:tcPr>
            <w:tcW w:w="579" w:type="pct"/>
            <w:tcBorders>
              <w:top w:val="single" w:sz="12" w:space="0" w:color="auto"/>
            </w:tcBorders>
            <w:vAlign w:val="bottom"/>
          </w:tcPr>
          <w:p w14:paraId="0A560432" w14:textId="77777777" w:rsidR="005F1566" w:rsidRPr="005F1566" w:rsidRDefault="005F1566" w:rsidP="005F1566">
            <w:pPr>
              <w:keepNext/>
              <w:keepLines/>
              <w:tabs>
                <w:tab w:val="decimal" w:pos="1202"/>
              </w:tabs>
              <w:spacing w:after="0" w:line="60" w:lineRule="exact"/>
              <w:rPr>
                <w:rFonts w:asciiTheme="minorHAnsi" w:eastAsia="Times New Roman" w:hAnsiTheme="minorHAnsi" w:cs="Arial"/>
                <w:b/>
                <w:bCs/>
                <w:position w:val="4"/>
                <w:sz w:val="18"/>
                <w:szCs w:val="18"/>
                <w:lang w:val="hr-HR"/>
              </w:rPr>
            </w:pPr>
          </w:p>
        </w:tc>
        <w:tc>
          <w:tcPr>
            <w:tcW w:w="601" w:type="pct"/>
            <w:tcBorders>
              <w:top w:val="single" w:sz="12" w:space="0" w:color="auto"/>
            </w:tcBorders>
            <w:vAlign w:val="bottom"/>
          </w:tcPr>
          <w:p w14:paraId="20EBA86A" w14:textId="77777777" w:rsidR="005F1566" w:rsidRPr="005F1566" w:rsidRDefault="005F1566" w:rsidP="005F1566">
            <w:pPr>
              <w:keepNext/>
              <w:keepLines/>
              <w:tabs>
                <w:tab w:val="decimal" w:pos="1202"/>
              </w:tabs>
              <w:spacing w:after="0" w:line="60" w:lineRule="exact"/>
              <w:rPr>
                <w:rFonts w:asciiTheme="minorHAnsi" w:eastAsia="Times New Roman" w:hAnsiTheme="minorHAnsi" w:cs="Arial"/>
                <w:b/>
                <w:bCs/>
                <w:position w:val="4"/>
                <w:sz w:val="18"/>
                <w:szCs w:val="18"/>
                <w:lang w:val="hr-HR"/>
              </w:rPr>
            </w:pPr>
          </w:p>
        </w:tc>
      </w:tr>
      <w:tr w:rsidR="005F1566" w:rsidRPr="005F1566" w14:paraId="37582358" w14:textId="77777777" w:rsidTr="005F1566">
        <w:trPr>
          <w:trHeight w:val="149"/>
        </w:trPr>
        <w:tc>
          <w:tcPr>
            <w:tcW w:w="1504" w:type="pct"/>
          </w:tcPr>
          <w:p w14:paraId="61ACFC98" w14:textId="77777777" w:rsidR="005F1566" w:rsidRPr="005F1566" w:rsidRDefault="005F1566" w:rsidP="005F1566">
            <w:pPr>
              <w:tabs>
                <w:tab w:val="right" w:pos="1202"/>
              </w:tabs>
              <w:spacing w:after="0" w:line="220" w:lineRule="exact"/>
              <w:outlineLvl w:val="0"/>
              <w:rPr>
                <w:rFonts w:asciiTheme="minorHAnsi" w:eastAsia="Times New Roman" w:hAnsiTheme="minorHAnsi" w:cs="Arial"/>
                <w:b/>
                <w:bCs/>
                <w:sz w:val="18"/>
                <w:szCs w:val="18"/>
              </w:rPr>
            </w:pPr>
            <w:r w:rsidRPr="005F1566">
              <w:rPr>
                <w:rFonts w:asciiTheme="minorHAnsi" w:eastAsia="Times New Roman" w:hAnsiTheme="minorHAnsi" w:cs="Arial"/>
                <w:b/>
                <w:bCs/>
                <w:sz w:val="18"/>
                <w:szCs w:val="18"/>
              </w:rPr>
              <w:t>Liabilities</w:t>
            </w:r>
          </w:p>
        </w:tc>
        <w:tc>
          <w:tcPr>
            <w:tcW w:w="579" w:type="pct"/>
            <w:vAlign w:val="bottom"/>
          </w:tcPr>
          <w:p w14:paraId="44632F4E" w14:textId="77777777" w:rsidR="005F1566" w:rsidRPr="005F1566" w:rsidRDefault="005F1566" w:rsidP="005F1566">
            <w:pPr>
              <w:spacing w:after="0" w:line="220" w:lineRule="exact"/>
              <w:jc w:val="right"/>
              <w:outlineLvl w:val="0"/>
              <w:rPr>
                <w:rFonts w:asciiTheme="minorHAnsi" w:eastAsia="Times New Roman" w:hAnsiTheme="minorHAnsi" w:cs="Arial"/>
                <w:b/>
                <w:bCs/>
                <w:spacing w:val="-2"/>
                <w:sz w:val="18"/>
                <w:szCs w:val="18"/>
                <w:lang w:val="hr-HR"/>
              </w:rPr>
            </w:pPr>
          </w:p>
        </w:tc>
        <w:tc>
          <w:tcPr>
            <w:tcW w:w="579" w:type="pct"/>
            <w:vAlign w:val="bottom"/>
          </w:tcPr>
          <w:p w14:paraId="2C1AA63E" w14:textId="77777777" w:rsidR="005F1566" w:rsidRPr="005F1566" w:rsidRDefault="005F1566" w:rsidP="005F1566">
            <w:pPr>
              <w:spacing w:after="0" w:line="220" w:lineRule="exact"/>
              <w:jc w:val="right"/>
              <w:outlineLvl w:val="0"/>
              <w:rPr>
                <w:rFonts w:asciiTheme="minorHAnsi" w:eastAsia="Times New Roman" w:hAnsiTheme="minorHAnsi" w:cs="Arial"/>
                <w:b/>
                <w:bCs/>
                <w:spacing w:val="-2"/>
                <w:sz w:val="18"/>
                <w:szCs w:val="18"/>
                <w:lang w:val="hr-HR"/>
              </w:rPr>
            </w:pPr>
          </w:p>
        </w:tc>
        <w:tc>
          <w:tcPr>
            <w:tcW w:w="579" w:type="pct"/>
            <w:vAlign w:val="bottom"/>
          </w:tcPr>
          <w:p w14:paraId="15686960" w14:textId="77777777" w:rsidR="005F1566" w:rsidRPr="005F1566" w:rsidRDefault="005F1566" w:rsidP="005F1566">
            <w:pPr>
              <w:spacing w:after="0" w:line="220" w:lineRule="exact"/>
              <w:jc w:val="right"/>
              <w:outlineLvl w:val="0"/>
              <w:rPr>
                <w:rFonts w:asciiTheme="minorHAnsi" w:eastAsia="Times New Roman" w:hAnsiTheme="minorHAnsi" w:cs="Arial"/>
                <w:b/>
                <w:bCs/>
                <w:spacing w:val="-2"/>
                <w:sz w:val="18"/>
                <w:szCs w:val="18"/>
                <w:lang w:val="hr-HR"/>
              </w:rPr>
            </w:pPr>
          </w:p>
        </w:tc>
        <w:tc>
          <w:tcPr>
            <w:tcW w:w="579" w:type="pct"/>
            <w:vAlign w:val="bottom"/>
          </w:tcPr>
          <w:p w14:paraId="619F3AF9" w14:textId="77777777" w:rsidR="005F1566" w:rsidRPr="005F1566" w:rsidRDefault="005F1566" w:rsidP="005F1566">
            <w:pPr>
              <w:spacing w:after="0" w:line="220" w:lineRule="exact"/>
              <w:jc w:val="right"/>
              <w:outlineLvl w:val="0"/>
              <w:rPr>
                <w:rFonts w:asciiTheme="minorHAnsi" w:eastAsia="Times New Roman" w:hAnsiTheme="minorHAnsi" w:cs="Arial"/>
                <w:b/>
                <w:bCs/>
                <w:spacing w:val="-2"/>
                <w:sz w:val="18"/>
                <w:szCs w:val="18"/>
                <w:lang w:val="hr-HR"/>
              </w:rPr>
            </w:pPr>
          </w:p>
        </w:tc>
        <w:tc>
          <w:tcPr>
            <w:tcW w:w="579" w:type="pct"/>
            <w:vAlign w:val="bottom"/>
          </w:tcPr>
          <w:p w14:paraId="34A65E04" w14:textId="77777777" w:rsidR="005F1566" w:rsidRPr="005F1566" w:rsidRDefault="005F1566" w:rsidP="005F1566">
            <w:pPr>
              <w:spacing w:after="0" w:line="220" w:lineRule="exact"/>
              <w:jc w:val="right"/>
              <w:outlineLvl w:val="0"/>
              <w:rPr>
                <w:rFonts w:asciiTheme="minorHAnsi" w:eastAsia="Times New Roman" w:hAnsiTheme="minorHAnsi" w:cs="Arial"/>
                <w:b/>
                <w:bCs/>
                <w:spacing w:val="-2"/>
                <w:sz w:val="18"/>
                <w:szCs w:val="18"/>
                <w:lang w:val="hr-HR"/>
              </w:rPr>
            </w:pPr>
          </w:p>
        </w:tc>
        <w:tc>
          <w:tcPr>
            <w:tcW w:w="601" w:type="pct"/>
            <w:vAlign w:val="bottom"/>
          </w:tcPr>
          <w:p w14:paraId="6D718715" w14:textId="77777777" w:rsidR="005F1566" w:rsidRPr="005F1566" w:rsidRDefault="005F1566" w:rsidP="005F1566">
            <w:pPr>
              <w:spacing w:after="0" w:line="220" w:lineRule="exact"/>
              <w:jc w:val="right"/>
              <w:outlineLvl w:val="0"/>
              <w:rPr>
                <w:rFonts w:asciiTheme="minorHAnsi" w:eastAsia="Times New Roman" w:hAnsiTheme="minorHAnsi" w:cs="Arial"/>
                <w:b/>
                <w:bCs/>
                <w:sz w:val="18"/>
                <w:szCs w:val="18"/>
                <w:lang w:val="hr-HR"/>
              </w:rPr>
            </w:pPr>
          </w:p>
        </w:tc>
      </w:tr>
      <w:tr w:rsidR="005F1566" w:rsidRPr="005F1566" w14:paraId="1B212312" w14:textId="77777777" w:rsidTr="005F1566">
        <w:trPr>
          <w:trHeight w:val="158"/>
        </w:trPr>
        <w:tc>
          <w:tcPr>
            <w:tcW w:w="1504" w:type="pct"/>
          </w:tcPr>
          <w:p w14:paraId="4B50C467" w14:textId="77777777" w:rsidR="005F1566" w:rsidRPr="005F1566" w:rsidRDefault="005F1566" w:rsidP="005F1566">
            <w:pPr>
              <w:spacing w:after="0" w:line="220" w:lineRule="exact"/>
              <w:rPr>
                <w:rFonts w:asciiTheme="minorHAnsi" w:eastAsia="Times New Roman" w:hAnsiTheme="minorHAnsi" w:cs="Arial"/>
                <w:sz w:val="18"/>
                <w:szCs w:val="18"/>
              </w:rPr>
            </w:pPr>
            <w:r w:rsidRPr="005F1566">
              <w:rPr>
                <w:rFonts w:asciiTheme="minorHAnsi" w:eastAsia="Times New Roman" w:hAnsiTheme="minorHAnsi" w:cs="Arial"/>
                <w:sz w:val="18"/>
                <w:szCs w:val="18"/>
              </w:rPr>
              <w:t>Deposits</w:t>
            </w:r>
          </w:p>
        </w:tc>
        <w:tc>
          <w:tcPr>
            <w:tcW w:w="579" w:type="pct"/>
            <w:tcBorders>
              <w:top w:val="nil"/>
              <w:left w:val="nil"/>
              <w:bottom w:val="nil"/>
              <w:right w:val="nil"/>
            </w:tcBorders>
            <w:shd w:val="clear" w:color="auto" w:fill="auto"/>
            <w:vAlign w:val="center"/>
          </w:tcPr>
          <w:p w14:paraId="748B90A9"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75,581</w:t>
            </w:r>
          </w:p>
        </w:tc>
        <w:tc>
          <w:tcPr>
            <w:tcW w:w="579" w:type="pct"/>
            <w:tcBorders>
              <w:top w:val="nil"/>
              <w:left w:val="nil"/>
              <w:bottom w:val="nil"/>
              <w:right w:val="nil"/>
            </w:tcBorders>
            <w:shd w:val="clear" w:color="auto" w:fill="auto"/>
            <w:vAlign w:val="center"/>
          </w:tcPr>
          <w:p w14:paraId="29399D28"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224EC174"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12,687</w:t>
            </w:r>
          </w:p>
        </w:tc>
        <w:tc>
          <w:tcPr>
            <w:tcW w:w="579" w:type="pct"/>
            <w:tcBorders>
              <w:top w:val="nil"/>
              <w:left w:val="nil"/>
              <w:bottom w:val="nil"/>
              <w:right w:val="nil"/>
            </w:tcBorders>
            <w:shd w:val="clear" w:color="auto" w:fill="auto"/>
            <w:vAlign w:val="center"/>
          </w:tcPr>
          <w:p w14:paraId="42604247"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46,407</w:t>
            </w:r>
          </w:p>
        </w:tc>
        <w:tc>
          <w:tcPr>
            <w:tcW w:w="579" w:type="pct"/>
            <w:tcBorders>
              <w:top w:val="nil"/>
              <w:left w:val="nil"/>
              <w:bottom w:val="nil"/>
              <w:right w:val="nil"/>
            </w:tcBorders>
            <w:shd w:val="clear" w:color="auto" w:fill="auto"/>
            <w:vAlign w:val="center"/>
          </w:tcPr>
          <w:p w14:paraId="01DB6E0C"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8,169</w:t>
            </w:r>
          </w:p>
        </w:tc>
        <w:tc>
          <w:tcPr>
            <w:tcW w:w="601" w:type="pct"/>
            <w:tcBorders>
              <w:top w:val="nil"/>
              <w:left w:val="nil"/>
              <w:bottom w:val="nil"/>
              <w:right w:val="nil"/>
            </w:tcBorders>
            <w:shd w:val="clear" w:color="auto" w:fill="auto"/>
            <w:vAlign w:val="center"/>
          </w:tcPr>
          <w:p w14:paraId="5A196413" w14:textId="77777777" w:rsidR="005F1566" w:rsidRPr="005F1566" w:rsidRDefault="005F1566" w:rsidP="005F1566">
            <w:pPr>
              <w:spacing w:after="0" w:line="240" w:lineRule="auto"/>
              <w:jc w:val="right"/>
              <w:rPr>
                <w:rFonts w:asciiTheme="minorHAnsi" w:eastAsia="Times New Roman" w:hAnsiTheme="minorHAnsi" w:cs="Arial"/>
                <w:bCs/>
                <w:sz w:val="18"/>
                <w:szCs w:val="18"/>
                <w:lang w:val="en-US"/>
              </w:rPr>
            </w:pPr>
            <w:r w:rsidRPr="005F1566">
              <w:rPr>
                <w:rFonts w:eastAsia="Times New Roman"/>
                <w:color w:val="000000"/>
                <w:sz w:val="18"/>
                <w:szCs w:val="18"/>
                <w:lang w:val="en-US"/>
              </w:rPr>
              <w:t>142,844</w:t>
            </w:r>
          </w:p>
        </w:tc>
      </w:tr>
      <w:tr w:rsidR="005F1566" w:rsidRPr="005F1566" w14:paraId="328600E4" w14:textId="77777777" w:rsidTr="005F1566">
        <w:trPr>
          <w:trHeight w:val="149"/>
        </w:trPr>
        <w:tc>
          <w:tcPr>
            <w:tcW w:w="1504" w:type="pct"/>
          </w:tcPr>
          <w:p w14:paraId="614B1ED0" w14:textId="77777777" w:rsidR="005F1566" w:rsidRPr="005F1566" w:rsidRDefault="005F1566" w:rsidP="005F1566">
            <w:pPr>
              <w:spacing w:after="0" w:line="220" w:lineRule="exact"/>
              <w:rPr>
                <w:rFonts w:asciiTheme="minorHAnsi" w:eastAsia="Times New Roman" w:hAnsiTheme="minorHAnsi" w:cs="Arial"/>
                <w:sz w:val="18"/>
                <w:szCs w:val="18"/>
              </w:rPr>
            </w:pPr>
            <w:r w:rsidRPr="005F1566">
              <w:rPr>
                <w:rFonts w:asciiTheme="minorHAnsi" w:eastAsia="Times New Roman" w:hAnsiTheme="minorHAnsi" w:cs="Arial"/>
                <w:sz w:val="18"/>
                <w:szCs w:val="18"/>
              </w:rPr>
              <w:t>Borrowings</w:t>
            </w:r>
          </w:p>
        </w:tc>
        <w:tc>
          <w:tcPr>
            <w:tcW w:w="579" w:type="pct"/>
            <w:tcBorders>
              <w:top w:val="nil"/>
              <w:left w:val="nil"/>
              <w:bottom w:val="nil"/>
              <w:right w:val="nil"/>
            </w:tcBorders>
            <w:shd w:val="clear" w:color="auto" w:fill="auto"/>
            <w:vAlign w:val="center"/>
          </w:tcPr>
          <w:p w14:paraId="19E9F106"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355,456</w:t>
            </w:r>
          </w:p>
        </w:tc>
        <w:tc>
          <w:tcPr>
            <w:tcW w:w="579" w:type="pct"/>
            <w:tcBorders>
              <w:top w:val="nil"/>
              <w:left w:val="nil"/>
              <w:bottom w:val="nil"/>
              <w:right w:val="nil"/>
            </w:tcBorders>
            <w:shd w:val="clear" w:color="auto" w:fill="auto"/>
            <w:vAlign w:val="center"/>
          </w:tcPr>
          <w:p w14:paraId="3ED03664"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237,339</w:t>
            </w:r>
          </w:p>
        </w:tc>
        <w:tc>
          <w:tcPr>
            <w:tcW w:w="579" w:type="pct"/>
            <w:tcBorders>
              <w:top w:val="nil"/>
              <w:left w:val="nil"/>
              <w:bottom w:val="nil"/>
              <w:right w:val="nil"/>
            </w:tcBorders>
            <w:shd w:val="clear" w:color="auto" w:fill="auto"/>
            <w:vAlign w:val="center"/>
          </w:tcPr>
          <w:p w14:paraId="54C3718B"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1,017,892</w:t>
            </w:r>
          </w:p>
        </w:tc>
        <w:tc>
          <w:tcPr>
            <w:tcW w:w="579" w:type="pct"/>
            <w:tcBorders>
              <w:top w:val="nil"/>
              <w:left w:val="nil"/>
              <w:bottom w:val="nil"/>
              <w:right w:val="nil"/>
            </w:tcBorders>
            <w:shd w:val="clear" w:color="auto" w:fill="auto"/>
            <w:vAlign w:val="center"/>
          </w:tcPr>
          <w:p w14:paraId="68E7CBD1"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3,060,113</w:t>
            </w:r>
          </w:p>
        </w:tc>
        <w:tc>
          <w:tcPr>
            <w:tcW w:w="579" w:type="pct"/>
            <w:tcBorders>
              <w:top w:val="nil"/>
              <w:left w:val="nil"/>
              <w:bottom w:val="nil"/>
              <w:right w:val="nil"/>
            </w:tcBorders>
            <w:shd w:val="clear" w:color="auto" w:fill="auto"/>
            <w:vAlign w:val="center"/>
          </w:tcPr>
          <w:p w14:paraId="1F830777"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8,720,949</w:t>
            </w:r>
          </w:p>
        </w:tc>
        <w:tc>
          <w:tcPr>
            <w:tcW w:w="601" w:type="pct"/>
            <w:tcBorders>
              <w:top w:val="nil"/>
              <w:left w:val="nil"/>
              <w:bottom w:val="nil"/>
              <w:right w:val="nil"/>
            </w:tcBorders>
            <w:shd w:val="clear" w:color="auto" w:fill="auto"/>
            <w:vAlign w:val="center"/>
          </w:tcPr>
          <w:p w14:paraId="00C22159" w14:textId="77777777" w:rsidR="005F1566" w:rsidRPr="005F1566" w:rsidRDefault="005F1566" w:rsidP="005F1566">
            <w:pPr>
              <w:spacing w:after="0" w:line="240" w:lineRule="auto"/>
              <w:jc w:val="right"/>
              <w:rPr>
                <w:rFonts w:asciiTheme="minorHAnsi" w:eastAsia="Times New Roman" w:hAnsiTheme="minorHAnsi" w:cs="Arial"/>
                <w:bCs/>
                <w:sz w:val="18"/>
                <w:szCs w:val="18"/>
                <w:lang w:val="en-US"/>
              </w:rPr>
            </w:pPr>
            <w:r w:rsidRPr="005F1566">
              <w:rPr>
                <w:rFonts w:eastAsia="Times New Roman"/>
                <w:color w:val="000000"/>
                <w:sz w:val="18"/>
                <w:szCs w:val="18"/>
                <w:lang w:val="en-US"/>
              </w:rPr>
              <w:t>13,391,749</w:t>
            </w:r>
          </w:p>
        </w:tc>
      </w:tr>
      <w:tr w:rsidR="005F1566" w:rsidRPr="005F1566" w14:paraId="5D20C0B4" w14:textId="77777777" w:rsidTr="005F1566">
        <w:trPr>
          <w:trHeight w:val="158"/>
        </w:trPr>
        <w:tc>
          <w:tcPr>
            <w:tcW w:w="1504" w:type="pct"/>
          </w:tcPr>
          <w:p w14:paraId="59DCEF16" w14:textId="77777777" w:rsidR="005F1566" w:rsidRPr="005F1566" w:rsidRDefault="005F1566" w:rsidP="005F1566">
            <w:pPr>
              <w:spacing w:after="0" w:line="220" w:lineRule="exact"/>
              <w:rPr>
                <w:rFonts w:asciiTheme="minorHAnsi" w:eastAsia="Times New Roman" w:hAnsiTheme="minorHAnsi" w:cs="Arial"/>
                <w:sz w:val="18"/>
                <w:szCs w:val="18"/>
              </w:rPr>
            </w:pPr>
            <w:r w:rsidRPr="005F1566">
              <w:rPr>
                <w:rFonts w:asciiTheme="minorHAnsi" w:eastAsia="Times New Roman" w:hAnsiTheme="minorHAnsi" w:cs="Arial"/>
                <w:sz w:val="18"/>
                <w:szCs w:val="18"/>
              </w:rPr>
              <w:t>Bonds payable</w:t>
            </w:r>
          </w:p>
        </w:tc>
        <w:tc>
          <w:tcPr>
            <w:tcW w:w="579" w:type="pct"/>
            <w:tcBorders>
              <w:top w:val="nil"/>
              <w:left w:val="nil"/>
              <w:bottom w:val="nil"/>
              <w:right w:val="nil"/>
            </w:tcBorders>
            <w:shd w:val="clear" w:color="auto" w:fill="auto"/>
            <w:vAlign w:val="center"/>
          </w:tcPr>
          <w:p w14:paraId="0BCD168B"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55E691BC"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95,932</w:t>
            </w:r>
          </w:p>
        </w:tc>
        <w:tc>
          <w:tcPr>
            <w:tcW w:w="579" w:type="pct"/>
            <w:tcBorders>
              <w:top w:val="nil"/>
              <w:left w:val="nil"/>
              <w:bottom w:val="nil"/>
              <w:right w:val="nil"/>
            </w:tcBorders>
            <w:shd w:val="clear" w:color="auto" w:fill="auto"/>
            <w:vAlign w:val="center"/>
          </w:tcPr>
          <w:p w14:paraId="0971BED4"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1,888,837</w:t>
            </w:r>
          </w:p>
        </w:tc>
        <w:tc>
          <w:tcPr>
            <w:tcW w:w="579" w:type="pct"/>
            <w:tcBorders>
              <w:top w:val="nil"/>
              <w:left w:val="nil"/>
              <w:bottom w:val="nil"/>
              <w:right w:val="nil"/>
            </w:tcBorders>
            <w:shd w:val="clear" w:color="auto" w:fill="auto"/>
            <w:vAlign w:val="center"/>
          </w:tcPr>
          <w:p w14:paraId="6BB28336"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14:paraId="3A60914C"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1,120,800</w:t>
            </w:r>
          </w:p>
        </w:tc>
        <w:tc>
          <w:tcPr>
            <w:tcW w:w="601" w:type="pct"/>
            <w:tcBorders>
              <w:top w:val="nil"/>
              <w:left w:val="nil"/>
              <w:bottom w:val="nil"/>
              <w:right w:val="nil"/>
            </w:tcBorders>
            <w:shd w:val="clear" w:color="auto" w:fill="auto"/>
            <w:vAlign w:val="center"/>
          </w:tcPr>
          <w:p w14:paraId="25B2F2FE" w14:textId="77777777" w:rsidR="005F1566" w:rsidRPr="005F1566" w:rsidRDefault="005F1566" w:rsidP="005F1566">
            <w:pPr>
              <w:spacing w:after="0" w:line="240" w:lineRule="auto"/>
              <w:jc w:val="right"/>
              <w:rPr>
                <w:rFonts w:asciiTheme="minorHAnsi" w:eastAsia="Times New Roman" w:hAnsiTheme="minorHAnsi" w:cs="Arial"/>
                <w:bCs/>
                <w:sz w:val="18"/>
                <w:szCs w:val="18"/>
                <w:lang w:val="en-US"/>
              </w:rPr>
            </w:pPr>
            <w:r w:rsidRPr="005F1566">
              <w:rPr>
                <w:rFonts w:eastAsia="Times New Roman"/>
                <w:color w:val="000000"/>
                <w:sz w:val="18"/>
                <w:szCs w:val="18"/>
                <w:lang w:val="en-US"/>
              </w:rPr>
              <w:t>3,105,569</w:t>
            </w:r>
          </w:p>
        </w:tc>
      </w:tr>
      <w:tr w:rsidR="005F1566" w:rsidRPr="005F1566" w14:paraId="5464DC44" w14:textId="77777777" w:rsidTr="005F1566">
        <w:trPr>
          <w:trHeight w:val="149"/>
        </w:trPr>
        <w:tc>
          <w:tcPr>
            <w:tcW w:w="1504" w:type="pct"/>
          </w:tcPr>
          <w:p w14:paraId="4C8DAFB4" w14:textId="77777777" w:rsidR="005F1566" w:rsidRPr="005F1566" w:rsidRDefault="005F1566" w:rsidP="005F1566">
            <w:pPr>
              <w:spacing w:after="0" w:line="220" w:lineRule="exact"/>
              <w:rPr>
                <w:rFonts w:asciiTheme="minorHAnsi" w:eastAsia="Times New Roman" w:hAnsiTheme="minorHAnsi" w:cs="Arial"/>
                <w:sz w:val="18"/>
                <w:szCs w:val="18"/>
              </w:rPr>
            </w:pPr>
            <w:r w:rsidRPr="005F1566">
              <w:rPr>
                <w:rFonts w:asciiTheme="minorHAnsi" w:eastAsia="Times New Roman" w:hAnsiTheme="minorHAnsi" w:cs="Arial"/>
                <w:sz w:val="18"/>
                <w:szCs w:val="18"/>
              </w:rPr>
              <w:t>Other liabilities</w:t>
            </w:r>
          </w:p>
        </w:tc>
        <w:tc>
          <w:tcPr>
            <w:tcW w:w="579" w:type="pct"/>
            <w:tcBorders>
              <w:top w:val="nil"/>
              <w:left w:val="nil"/>
              <w:bottom w:val="nil"/>
              <w:right w:val="nil"/>
            </w:tcBorders>
            <w:shd w:val="clear" w:color="auto" w:fill="auto"/>
            <w:vAlign w:val="center"/>
          </w:tcPr>
          <w:p w14:paraId="729A5EF5"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151,186</w:t>
            </w:r>
          </w:p>
        </w:tc>
        <w:tc>
          <w:tcPr>
            <w:tcW w:w="579" w:type="pct"/>
            <w:tcBorders>
              <w:top w:val="nil"/>
              <w:left w:val="nil"/>
              <w:bottom w:val="nil"/>
              <w:right w:val="nil"/>
            </w:tcBorders>
            <w:shd w:val="clear" w:color="auto" w:fill="auto"/>
            <w:vAlign w:val="center"/>
          </w:tcPr>
          <w:p w14:paraId="2739E3A7"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29,918</w:t>
            </w:r>
          </w:p>
        </w:tc>
        <w:tc>
          <w:tcPr>
            <w:tcW w:w="579" w:type="pct"/>
            <w:tcBorders>
              <w:top w:val="nil"/>
              <w:left w:val="nil"/>
              <w:bottom w:val="nil"/>
              <w:right w:val="nil"/>
            </w:tcBorders>
            <w:shd w:val="clear" w:color="auto" w:fill="auto"/>
            <w:vAlign w:val="center"/>
          </w:tcPr>
          <w:p w14:paraId="72DF40E0"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105,330</w:t>
            </w:r>
          </w:p>
        </w:tc>
        <w:tc>
          <w:tcPr>
            <w:tcW w:w="579" w:type="pct"/>
            <w:tcBorders>
              <w:top w:val="nil"/>
              <w:left w:val="nil"/>
              <w:bottom w:val="nil"/>
              <w:right w:val="nil"/>
            </w:tcBorders>
            <w:shd w:val="clear" w:color="auto" w:fill="auto"/>
            <w:vAlign w:val="center"/>
          </w:tcPr>
          <w:p w14:paraId="79C8CEF4"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194,459</w:t>
            </w:r>
          </w:p>
        </w:tc>
        <w:tc>
          <w:tcPr>
            <w:tcW w:w="579" w:type="pct"/>
            <w:tcBorders>
              <w:top w:val="nil"/>
              <w:left w:val="nil"/>
              <w:bottom w:val="nil"/>
              <w:right w:val="nil"/>
            </w:tcBorders>
            <w:shd w:val="clear" w:color="auto" w:fill="auto"/>
            <w:vAlign w:val="center"/>
          </w:tcPr>
          <w:p w14:paraId="27B850F7"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227,059</w:t>
            </w:r>
          </w:p>
        </w:tc>
        <w:tc>
          <w:tcPr>
            <w:tcW w:w="601" w:type="pct"/>
            <w:tcBorders>
              <w:top w:val="nil"/>
              <w:left w:val="nil"/>
              <w:bottom w:val="nil"/>
              <w:right w:val="nil"/>
            </w:tcBorders>
            <w:shd w:val="clear" w:color="auto" w:fill="auto"/>
            <w:vAlign w:val="center"/>
          </w:tcPr>
          <w:p w14:paraId="6506E3FA" w14:textId="77777777" w:rsidR="005F1566" w:rsidRPr="005F1566" w:rsidRDefault="005F1566" w:rsidP="005F1566">
            <w:pPr>
              <w:spacing w:after="0" w:line="240" w:lineRule="auto"/>
              <w:jc w:val="right"/>
              <w:rPr>
                <w:rFonts w:asciiTheme="minorHAnsi" w:eastAsia="Times New Roman" w:hAnsiTheme="minorHAnsi" w:cs="Arial"/>
                <w:bCs/>
                <w:sz w:val="18"/>
                <w:szCs w:val="18"/>
                <w:lang w:val="en-US"/>
              </w:rPr>
            </w:pPr>
            <w:r w:rsidRPr="005F1566">
              <w:rPr>
                <w:rFonts w:eastAsia="Times New Roman"/>
                <w:color w:val="000000"/>
                <w:sz w:val="18"/>
                <w:szCs w:val="18"/>
                <w:lang w:val="en-US"/>
              </w:rPr>
              <w:t>707,952</w:t>
            </w:r>
          </w:p>
        </w:tc>
      </w:tr>
      <w:tr w:rsidR="005F1566" w:rsidRPr="005F1566" w14:paraId="166EC81D" w14:textId="77777777" w:rsidTr="005F1566">
        <w:trPr>
          <w:trHeight w:val="158"/>
        </w:trPr>
        <w:tc>
          <w:tcPr>
            <w:tcW w:w="1504" w:type="pct"/>
          </w:tcPr>
          <w:p w14:paraId="3C62EC81" w14:textId="77777777" w:rsidR="005F1566" w:rsidRPr="005F1566" w:rsidRDefault="005F1566" w:rsidP="005F1566">
            <w:pPr>
              <w:tabs>
                <w:tab w:val="right" w:pos="1202"/>
              </w:tabs>
              <w:spacing w:after="0" w:line="220" w:lineRule="exact"/>
              <w:outlineLvl w:val="0"/>
              <w:rPr>
                <w:rFonts w:asciiTheme="minorHAnsi" w:eastAsia="Times New Roman" w:hAnsiTheme="minorHAnsi" w:cs="Arial"/>
                <w:b/>
                <w:bCs/>
                <w:sz w:val="18"/>
                <w:szCs w:val="18"/>
              </w:rPr>
            </w:pPr>
            <w:r w:rsidRPr="005F1566">
              <w:rPr>
                <w:rFonts w:asciiTheme="minorHAnsi" w:eastAsia="Times New Roman" w:hAnsiTheme="minorHAnsi" w:cs="Arial"/>
                <w:b/>
                <w:bCs/>
                <w:sz w:val="18"/>
                <w:szCs w:val="18"/>
              </w:rPr>
              <w:t>Total liabilities</w:t>
            </w:r>
          </w:p>
        </w:tc>
        <w:tc>
          <w:tcPr>
            <w:tcW w:w="579" w:type="pct"/>
            <w:tcBorders>
              <w:top w:val="single" w:sz="4" w:space="0" w:color="auto"/>
              <w:left w:val="nil"/>
              <w:bottom w:val="single" w:sz="8" w:space="0" w:color="auto"/>
              <w:right w:val="nil"/>
            </w:tcBorders>
            <w:shd w:val="clear" w:color="auto" w:fill="auto"/>
            <w:vAlign w:val="center"/>
          </w:tcPr>
          <w:p w14:paraId="3A17D580" w14:textId="77777777" w:rsidR="005F1566" w:rsidRPr="005F1566" w:rsidRDefault="005F1566" w:rsidP="005F1566">
            <w:pPr>
              <w:spacing w:after="0" w:line="240" w:lineRule="auto"/>
              <w:jc w:val="right"/>
              <w:rPr>
                <w:rFonts w:asciiTheme="minorHAnsi" w:eastAsia="Times New Roman" w:hAnsiTheme="minorHAnsi" w:cs="Arial"/>
                <w:b/>
                <w:sz w:val="18"/>
                <w:szCs w:val="18"/>
                <w:lang w:val="en-US"/>
              </w:rPr>
            </w:pPr>
            <w:r w:rsidRPr="005F1566">
              <w:rPr>
                <w:rFonts w:eastAsia="Times New Roman"/>
                <w:b/>
                <w:bCs/>
                <w:color w:val="000000"/>
                <w:sz w:val="18"/>
                <w:szCs w:val="18"/>
                <w:lang w:val="en-US"/>
              </w:rPr>
              <w:t>582,223</w:t>
            </w:r>
          </w:p>
        </w:tc>
        <w:tc>
          <w:tcPr>
            <w:tcW w:w="579" w:type="pct"/>
            <w:tcBorders>
              <w:top w:val="single" w:sz="4" w:space="0" w:color="auto"/>
              <w:left w:val="nil"/>
              <w:bottom w:val="single" w:sz="8" w:space="0" w:color="auto"/>
              <w:right w:val="nil"/>
            </w:tcBorders>
            <w:shd w:val="clear" w:color="auto" w:fill="auto"/>
            <w:vAlign w:val="center"/>
          </w:tcPr>
          <w:p w14:paraId="3F6651A9" w14:textId="77777777" w:rsidR="005F1566" w:rsidRPr="005F1566" w:rsidRDefault="005F1566" w:rsidP="005F1566">
            <w:pPr>
              <w:spacing w:after="0" w:line="240" w:lineRule="auto"/>
              <w:jc w:val="right"/>
              <w:rPr>
                <w:rFonts w:asciiTheme="minorHAnsi" w:eastAsia="Times New Roman" w:hAnsiTheme="minorHAnsi" w:cs="Arial"/>
                <w:b/>
                <w:sz w:val="18"/>
                <w:szCs w:val="18"/>
                <w:lang w:val="en-US"/>
              </w:rPr>
            </w:pPr>
            <w:r w:rsidRPr="005F1566">
              <w:rPr>
                <w:rFonts w:eastAsia="Times New Roman"/>
                <w:b/>
                <w:bCs/>
                <w:color w:val="000000"/>
                <w:sz w:val="18"/>
                <w:szCs w:val="18"/>
                <w:lang w:val="en-US"/>
              </w:rPr>
              <w:t>363,189</w:t>
            </w:r>
          </w:p>
        </w:tc>
        <w:tc>
          <w:tcPr>
            <w:tcW w:w="579" w:type="pct"/>
            <w:tcBorders>
              <w:top w:val="single" w:sz="4" w:space="0" w:color="auto"/>
              <w:left w:val="nil"/>
              <w:bottom w:val="single" w:sz="8" w:space="0" w:color="auto"/>
              <w:right w:val="nil"/>
            </w:tcBorders>
            <w:shd w:val="clear" w:color="auto" w:fill="auto"/>
            <w:vAlign w:val="center"/>
          </w:tcPr>
          <w:p w14:paraId="5357A925" w14:textId="77777777" w:rsidR="005F1566" w:rsidRPr="005F1566" w:rsidRDefault="005F1566" w:rsidP="005F1566">
            <w:pPr>
              <w:spacing w:after="0" w:line="240" w:lineRule="auto"/>
              <w:jc w:val="right"/>
              <w:rPr>
                <w:rFonts w:asciiTheme="minorHAnsi" w:eastAsia="Times New Roman" w:hAnsiTheme="minorHAnsi" w:cs="Arial"/>
                <w:b/>
                <w:sz w:val="18"/>
                <w:szCs w:val="18"/>
                <w:lang w:val="en-US"/>
              </w:rPr>
            </w:pPr>
            <w:r w:rsidRPr="005F1566">
              <w:rPr>
                <w:rFonts w:eastAsia="Times New Roman"/>
                <w:b/>
                <w:bCs/>
                <w:color w:val="000000"/>
                <w:sz w:val="18"/>
                <w:szCs w:val="18"/>
                <w:lang w:val="en-US"/>
              </w:rPr>
              <w:t>3,024,746</w:t>
            </w:r>
          </w:p>
        </w:tc>
        <w:tc>
          <w:tcPr>
            <w:tcW w:w="579" w:type="pct"/>
            <w:tcBorders>
              <w:top w:val="single" w:sz="4" w:space="0" w:color="auto"/>
              <w:left w:val="nil"/>
              <w:bottom w:val="single" w:sz="8" w:space="0" w:color="auto"/>
              <w:right w:val="nil"/>
            </w:tcBorders>
            <w:shd w:val="clear" w:color="auto" w:fill="auto"/>
            <w:vAlign w:val="center"/>
          </w:tcPr>
          <w:p w14:paraId="6500C7BB" w14:textId="77777777" w:rsidR="005F1566" w:rsidRPr="005F1566" w:rsidRDefault="005F1566" w:rsidP="005F1566">
            <w:pPr>
              <w:spacing w:after="0" w:line="240" w:lineRule="auto"/>
              <w:jc w:val="right"/>
              <w:rPr>
                <w:rFonts w:asciiTheme="minorHAnsi" w:eastAsia="Times New Roman" w:hAnsiTheme="minorHAnsi" w:cs="Arial"/>
                <w:b/>
                <w:sz w:val="18"/>
                <w:szCs w:val="18"/>
                <w:lang w:val="en-US"/>
              </w:rPr>
            </w:pPr>
            <w:r w:rsidRPr="005F1566">
              <w:rPr>
                <w:rFonts w:eastAsia="Times New Roman"/>
                <w:b/>
                <w:bCs/>
                <w:color w:val="000000"/>
                <w:sz w:val="18"/>
                <w:szCs w:val="18"/>
                <w:lang w:val="en-US"/>
              </w:rPr>
              <w:t>3,300,979</w:t>
            </w:r>
          </w:p>
        </w:tc>
        <w:tc>
          <w:tcPr>
            <w:tcW w:w="579" w:type="pct"/>
            <w:tcBorders>
              <w:top w:val="single" w:sz="4" w:space="0" w:color="auto"/>
              <w:left w:val="nil"/>
              <w:bottom w:val="single" w:sz="8" w:space="0" w:color="auto"/>
              <w:right w:val="nil"/>
            </w:tcBorders>
            <w:shd w:val="clear" w:color="auto" w:fill="auto"/>
            <w:vAlign w:val="center"/>
          </w:tcPr>
          <w:p w14:paraId="69FB4239" w14:textId="77777777" w:rsidR="005F1566" w:rsidRPr="005F1566" w:rsidRDefault="005F1566" w:rsidP="005F1566">
            <w:pPr>
              <w:spacing w:after="0" w:line="240" w:lineRule="auto"/>
              <w:jc w:val="right"/>
              <w:rPr>
                <w:rFonts w:asciiTheme="minorHAnsi" w:eastAsia="Times New Roman" w:hAnsiTheme="minorHAnsi" w:cs="Arial"/>
                <w:b/>
                <w:sz w:val="18"/>
                <w:szCs w:val="18"/>
                <w:lang w:val="en-US"/>
              </w:rPr>
            </w:pPr>
            <w:r w:rsidRPr="005F1566">
              <w:rPr>
                <w:rFonts w:eastAsia="Times New Roman"/>
                <w:b/>
                <w:bCs/>
                <w:color w:val="000000"/>
                <w:sz w:val="18"/>
                <w:szCs w:val="18"/>
                <w:lang w:val="en-US"/>
              </w:rPr>
              <w:t>10,076,977</w:t>
            </w:r>
          </w:p>
        </w:tc>
        <w:tc>
          <w:tcPr>
            <w:tcW w:w="601" w:type="pct"/>
            <w:tcBorders>
              <w:top w:val="single" w:sz="4" w:space="0" w:color="auto"/>
              <w:left w:val="nil"/>
              <w:bottom w:val="single" w:sz="8" w:space="0" w:color="auto"/>
              <w:right w:val="nil"/>
            </w:tcBorders>
            <w:shd w:val="clear" w:color="auto" w:fill="auto"/>
            <w:vAlign w:val="center"/>
          </w:tcPr>
          <w:p w14:paraId="6728771F" w14:textId="77777777" w:rsidR="005F1566" w:rsidRPr="005F1566" w:rsidRDefault="005F1566" w:rsidP="005F1566">
            <w:pPr>
              <w:spacing w:after="0" w:line="240" w:lineRule="auto"/>
              <w:jc w:val="right"/>
              <w:rPr>
                <w:rFonts w:asciiTheme="minorHAnsi" w:eastAsia="Times New Roman" w:hAnsiTheme="minorHAnsi" w:cs="Arial"/>
                <w:b/>
                <w:bCs/>
                <w:sz w:val="18"/>
                <w:szCs w:val="18"/>
                <w:lang w:val="en-US"/>
              </w:rPr>
            </w:pPr>
            <w:r w:rsidRPr="005F1566">
              <w:rPr>
                <w:rFonts w:eastAsia="Times New Roman"/>
                <w:b/>
                <w:bCs/>
                <w:color w:val="000000"/>
                <w:sz w:val="18"/>
                <w:szCs w:val="18"/>
                <w:lang w:val="en-US"/>
              </w:rPr>
              <w:t>17,348,114</w:t>
            </w:r>
          </w:p>
        </w:tc>
      </w:tr>
      <w:tr w:rsidR="005F1566" w:rsidRPr="005F1566" w14:paraId="1B999AF9" w14:textId="77777777" w:rsidTr="005F1566">
        <w:trPr>
          <w:trHeight w:val="166"/>
        </w:trPr>
        <w:tc>
          <w:tcPr>
            <w:tcW w:w="1504" w:type="pct"/>
            <w:vAlign w:val="bottom"/>
          </w:tcPr>
          <w:p w14:paraId="32FFD0EF"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sz w:val="18"/>
                <w:szCs w:val="18"/>
              </w:rPr>
            </w:pPr>
          </w:p>
        </w:tc>
        <w:tc>
          <w:tcPr>
            <w:tcW w:w="579" w:type="pct"/>
            <w:tcBorders>
              <w:top w:val="single" w:sz="12" w:space="0" w:color="auto"/>
            </w:tcBorders>
            <w:vAlign w:val="bottom"/>
          </w:tcPr>
          <w:p w14:paraId="1AFF36D8" w14:textId="77777777" w:rsidR="005F1566" w:rsidRPr="005F1566" w:rsidRDefault="005F1566" w:rsidP="005F1566">
            <w:pPr>
              <w:keepNext/>
              <w:keepLines/>
              <w:tabs>
                <w:tab w:val="decimal" w:pos="1202"/>
              </w:tabs>
              <w:spacing w:after="0" w:line="60" w:lineRule="exact"/>
              <w:jc w:val="right"/>
              <w:rPr>
                <w:rFonts w:asciiTheme="minorHAnsi" w:eastAsia="Times New Roman" w:hAnsiTheme="minorHAnsi" w:cs="Arial"/>
                <w:b/>
                <w:spacing w:val="-2"/>
                <w:position w:val="4"/>
                <w:sz w:val="18"/>
                <w:szCs w:val="18"/>
                <w:lang w:val="hr-HR"/>
              </w:rPr>
            </w:pPr>
          </w:p>
        </w:tc>
        <w:tc>
          <w:tcPr>
            <w:tcW w:w="579" w:type="pct"/>
            <w:tcBorders>
              <w:top w:val="single" w:sz="12" w:space="0" w:color="auto"/>
            </w:tcBorders>
            <w:vAlign w:val="bottom"/>
          </w:tcPr>
          <w:p w14:paraId="4BE7C406" w14:textId="77777777" w:rsidR="005F1566" w:rsidRPr="005F1566" w:rsidRDefault="005F1566" w:rsidP="005F1566">
            <w:pPr>
              <w:keepNext/>
              <w:keepLines/>
              <w:tabs>
                <w:tab w:val="decimal" w:pos="1202"/>
              </w:tabs>
              <w:spacing w:after="0" w:line="60" w:lineRule="exact"/>
              <w:jc w:val="right"/>
              <w:rPr>
                <w:rFonts w:asciiTheme="minorHAnsi" w:eastAsia="Times New Roman" w:hAnsiTheme="minorHAnsi" w:cs="Arial"/>
                <w:b/>
                <w:spacing w:val="-2"/>
                <w:position w:val="4"/>
                <w:sz w:val="18"/>
                <w:szCs w:val="18"/>
                <w:lang w:val="hr-HR"/>
              </w:rPr>
            </w:pPr>
          </w:p>
        </w:tc>
        <w:tc>
          <w:tcPr>
            <w:tcW w:w="579" w:type="pct"/>
            <w:tcBorders>
              <w:top w:val="single" w:sz="12" w:space="0" w:color="auto"/>
            </w:tcBorders>
            <w:vAlign w:val="bottom"/>
          </w:tcPr>
          <w:p w14:paraId="155805EE" w14:textId="77777777" w:rsidR="005F1566" w:rsidRPr="005F1566" w:rsidRDefault="005F1566" w:rsidP="005F1566">
            <w:pPr>
              <w:keepNext/>
              <w:keepLines/>
              <w:tabs>
                <w:tab w:val="decimal" w:pos="1202"/>
              </w:tabs>
              <w:spacing w:after="0" w:line="60" w:lineRule="exact"/>
              <w:jc w:val="right"/>
              <w:rPr>
                <w:rFonts w:asciiTheme="minorHAnsi" w:eastAsia="Times New Roman" w:hAnsiTheme="minorHAnsi" w:cs="Arial"/>
                <w:b/>
                <w:spacing w:val="-2"/>
                <w:position w:val="4"/>
                <w:sz w:val="18"/>
                <w:szCs w:val="18"/>
                <w:lang w:val="hr-HR"/>
              </w:rPr>
            </w:pPr>
          </w:p>
        </w:tc>
        <w:tc>
          <w:tcPr>
            <w:tcW w:w="579" w:type="pct"/>
            <w:tcBorders>
              <w:top w:val="single" w:sz="12" w:space="0" w:color="auto"/>
            </w:tcBorders>
            <w:vAlign w:val="bottom"/>
          </w:tcPr>
          <w:p w14:paraId="6CE83694" w14:textId="77777777" w:rsidR="005F1566" w:rsidRPr="005F1566" w:rsidRDefault="005F1566" w:rsidP="005F1566">
            <w:pPr>
              <w:keepNext/>
              <w:keepLines/>
              <w:tabs>
                <w:tab w:val="decimal" w:pos="1202"/>
              </w:tabs>
              <w:spacing w:after="0" w:line="60" w:lineRule="exact"/>
              <w:jc w:val="right"/>
              <w:rPr>
                <w:rFonts w:asciiTheme="minorHAnsi" w:eastAsia="Times New Roman" w:hAnsiTheme="minorHAnsi" w:cs="Arial"/>
                <w:b/>
                <w:spacing w:val="-2"/>
                <w:position w:val="4"/>
                <w:sz w:val="18"/>
                <w:szCs w:val="18"/>
                <w:lang w:val="hr-HR"/>
              </w:rPr>
            </w:pPr>
          </w:p>
        </w:tc>
        <w:tc>
          <w:tcPr>
            <w:tcW w:w="579" w:type="pct"/>
            <w:tcBorders>
              <w:top w:val="single" w:sz="12" w:space="0" w:color="auto"/>
            </w:tcBorders>
            <w:vAlign w:val="bottom"/>
          </w:tcPr>
          <w:p w14:paraId="2382B1AC" w14:textId="77777777" w:rsidR="005F1566" w:rsidRPr="005F1566" w:rsidRDefault="005F1566" w:rsidP="005F1566">
            <w:pPr>
              <w:keepNext/>
              <w:keepLines/>
              <w:tabs>
                <w:tab w:val="decimal" w:pos="1202"/>
              </w:tabs>
              <w:spacing w:after="0" w:line="60" w:lineRule="exact"/>
              <w:jc w:val="right"/>
              <w:rPr>
                <w:rFonts w:asciiTheme="minorHAnsi" w:eastAsia="Times New Roman" w:hAnsiTheme="minorHAnsi" w:cs="Arial"/>
                <w:b/>
                <w:spacing w:val="-2"/>
                <w:position w:val="4"/>
                <w:sz w:val="18"/>
                <w:szCs w:val="18"/>
                <w:lang w:val="hr-HR"/>
              </w:rPr>
            </w:pPr>
          </w:p>
        </w:tc>
        <w:tc>
          <w:tcPr>
            <w:tcW w:w="601" w:type="pct"/>
            <w:tcBorders>
              <w:top w:val="single" w:sz="12" w:space="0" w:color="auto"/>
            </w:tcBorders>
            <w:vAlign w:val="bottom"/>
          </w:tcPr>
          <w:p w14:paraId="67E6C828" w14:textId="77777777" w:rsidR="005F1566" w:rsidRPr="005F1566" w:rsidRDefault="005F1566" w:rsidP="005F1566">
            <w:pPr>
              <w:keepNext/>
              <w:keepLines/>
              <w:tabs>
                <w:tab w:val="decimal" w:pos="1202"/>
              </w:tabs>
              <w:spacing w:after="0" w:line="60" w:lineRule="exact"/>
              <w:jc w:val="right"/>
              <w:rPr>
                <w:rFonts w:asciiTheme="minorHAnsi" w:eastAsia="Times New Roman" w:hAnsiTheme="minorHAnsi" w:cs="Arial"/>
                <w:b/>
                <w:spacing w:val="-2"/>
                <w:position w:val="4"/>
                <w:sz w:val="18"/>
                <w:szCs w:val="18"/>
                <w:lang w:val="hr-HR"/>
              </w:rPr>
            </w:pPr>
          </w:p>
        </w:tc>
      </w:tr>
      <w:tr w:rsidR="005F1566" w:rsidRPr="005F1566" w14:paraId="38BE5266" w14:textId="77777777" w:rsidTr="005F1566">
        <w:trPr>
          <w:trHeight w:val="158"/>
        </w:trPr>
        <w:tc>
          <w:tcPr>
            <w:tcW w:w="1504" w:type="pct"/>
          </w:tcPr>
          <w:p w14:paraId="6EDB0045" w14:textId="77777777" w:rsidR="005F1566" w:rsidRPr="005F1566" w:rsidRDefault="005F1566" w:rsidP="005F1566">
            <w:pPr>
              <w:tabs>
                <w:tab w:val="right" w:pos="1202"/>
              </w:tabs>
              <w:spacing w:after="0" w:line="220" w:lineRule="exact"/>
              <w:outlineLvl w:val="0"/>
              <w:rPr>
                <w:rFonts w:asciiTheme="minorHAnsi" w:eastAsia="Times New Roman" w:hAnsiTheme="minorHAnsi" w:cs="Arial"/>
                <w:b/>
                <w:sz w:val="18"/>
                <w:szCs w:val="18"/>
              </w:rPr>
            </w:pPr>
            <w:r w:rsidRPr="005F1566">
              <w:rPr>
                <w:rFonts w:asciiTheme="minorHAnsi" w:eastAsia="Times New Roman" w:hAnsiTheme="minorHAnsi" w:cs="Arial"/>
                <w:b/>
                <w:bCs/>
                <w:sz w:val="18"/>
                <w:szCs w:val="18"/>
              </w:rPr>
              <w:t>Equity</w:t>
            </w:r>
          </w:p>
        </w:tc>
        <w:tc>
          <w:tcPr>
            <w:tcW w:w="579" w:type="pct"/>
            <w:vAlign w:val="bottom"/>
          </w:tcPr>
          <w:p w14:paraId="62A651A6" w14:textId="77777777"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p>
        </w:tc>
        <w:tc>
          <w:tcPr>
            <w:tcW w:w="579" w:type="pct"/>
            <w:vAlign w:val="bottom"/>
          </w:tcPr>
          <w:p w14:paraId="21972D71" w14:textId="77777777"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p>
        </w:tc>
        <w:tc>
          <w:tcPr>
            <w:tcW w:w="579" w:type="pct"/>
            <w:vAlign w:val="bottom"/>
          </w:tcPr>
          <w:p w14:paraId="3FB6FD40" w14:textId="77777777"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p>
        </w:tc>
        <w:tc>
          <w:tcPr>
            <w:tcW w:w="579" w:type="pct"/>
            <w:vAlign w:val="bottom"/>
          </w:tcPr>
          <w:p w14:paraId="6A1E58BD" w14:textId="77777777"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p>
        </w:tc>
        <w:tc>
          <w:tcPr>
            <w:tcW w:w="579" w:type="pct"/>
            <w:vAlign w:val="bottom"/>
          </w:tcPr>
          <w:p w14:paraId="293F385B" w14:textId="77777777"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p>
        </w:tc>
        <w:tc>
          <w:tcPr>
            <w:tcW w:w="601" w:type="pct"/>
            <w:vAlign w:val="bottom"/>
          </w:tcPr>
          <w:p w14:paraId="7961D1E6" w14:textId="77777777" w:rsidR="005F1566" w:rsidRPr="005F1566" w:rsidRDefault="005F1566" w:rsidP="005F1566">
            <w:pPr>
              <w:spacing w:after="0" w:line="220" w:lineRule="exact"/>
              <w:jc w:val="right"/>
              <w:outlineLvl w:val="0"/>
              <w:rPr>
                <w:rFonts w:asciiTheme="minorHAnsi" w:eastAsia="Times New Roman" w:hAnsiTheme="minorHAnsi" w:cs="Arial"/>
                <w:sz w:val="18"/>
                <w:szCs w:val="18"/>
                <w:lang w:val="hr-HR"/>
              </w:rPr>
            </w:pPr>
          </w:p>
        </w:tc>
      </w:tr>
      <w:tr w:rsidR="005F1566" w:rsidRPr="005F1566" w14:paraId="1E41C5A0" w14:textId="77777777" w:rsidTr="005F1566">
        <w:trPr>
          <w:trHeight w:val="158"/>
        </w:trPr>
        <w:tc>
          <w:tcPr>
            <w:tcW w:w="1504" w:type="pct"/>
          </w:tcPr>
          <w:p w14:paraId="786BF7FB" w14:textId="77777777" w:rsidR="005F1566" w:rsidRPr="005F1566" w:rsidRDefault="005F1566" w:rsidP="005F1566">
            <w:pPr>
              <w:tabs>
                <w:tab w:val="left" w:pos="-720"/>
              </w:tabs>
              <w:suppressAutoHyphens/>
              <w:spacing w:after="0" w:line="220" w:lineRule="exact"/>
              <w:ind w:right="-612"/>
              <w:rPr>
                <w:rFonts w:asciiTheme="minorHAnsi" w:eastAsia="Times New Roman" w:hAnsiTheme="minorHAnsi" w:cs="Arial"/>
                <w:sz w:val="18"/>
                <w:szCs w:val="18"/>
              </w:rPr>
            </w:pPr>
            <w:r w:rsidRPr="005F1566">
              <w:rPr>
                <w:rFonts w:asciiTheme="minorHAnsi" w:eastAsia="Times New Roman" w:hAnsiTheme="minorHAnsi" w:cs="Arial"/>
                <w:sz w:val="18"/>
                <w:szCs w:val="18"/>
              </w:rPr>
              <w:t>Founder’s capital</w:t>
            </w:r>
          </w:p>
        </w:tc>
        <w:tc>
          <w:tcPr>
            <w:tcW w:w="579" w:type="pct"/>
            <w:tcBorders>
              <w:top w:val="nil"/>
              <w:left w:val="nil"/>
              <w:bottom w:val="nil"/>
              <w:right w:val="nil"/>
            </w:tcBorders>
            <w:shd w:val="clear" w:color="auto" w:fill="auto"/>
            <w:vAlign w:val="center"/>
          </w:tcPr>
          <w:p w14:paraId="61154BB9" w14:textId="77777777"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r w:rsidRPr="005F1566">
              <w:rPr>
                <w:rFonts w:eastAsia="Times New Roman"/>
                <w:color w:val="000000"/>
                <w:sz w:val="18"/>
                <w:szCs w:val="18"/>
              </w:rPr>
              <w:t>-</w:t>
            </w:r>
          </w:p>
        </w:tc>
        <w:tc>
          <w:tcPr>
            <w:tcW w:w="579" w:type="pct"/>
            <w:tcBorders>
              <w:top w:val="nil"/>
              <w:left w:val="nil"/>
              <w:bottom w:val="nil"/>
              <w:right w:val="nil"/>
            </w:tcBorders>
            <w:shd w:val="clear" w:color="auto" w:fill="auto"/>
            <w:vAlign w:val="center"/>
          </w:tcPr>
          <w:p w14:paraId="0906D5A5" w14:textId="77777777"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r w:rsidRPr="005F1566">
              <w:rPr>
                <w:rFonts w:eastAsia="Times New Roman"/>
                <w:color w:val="000000"/>
                <w:sz w:val="18"/>
                <w:szCs w:val="18"/>
              </w:rPr>
              <w:t>-</w:t>
            </w:r>
          </w:p>
        </w:tc>
        <w:tc>
          <w:tcPr>
            <w:tcW w:w="579" w:type="pct"/>
            <w:tcBorders>
              <w:top w:val="nil"/>
              <w:left w:val="nil"/>
              <w:bottom w:val="nil"/>
              <w:right w:val="nil"/>
            </w:tcBorders>
            <w:shd w:val="clear" w:color="auto" w:fill="auto"/>
            <w:vAlign w:val="center"/>
          </w:tcPr>
          <w:p w14:paraId="663EE1D2" w14:textId="77777777"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r w:rsidRPr="005F1566">
              <w:rPr>
                <w:rFonts w:eastAsia="Times New Roman"/>
                <w:color w:val="000000"/>
                <w:sz w:val="18"/>
                <w:szCs w:val="18"/>
              </w:rPr>
              <w:t>-</w:t>
            </w:r>
          </w:p>
        </w:tc>
        <w:tc>
          <w:tcPr>
            <w:tcW w:w="579" w:type="pct"/>
            <w:tcBorders>
              <w:top w:val="nil"/>
              <w:left w:val="nil"/>
              <w:bottom w:val="nil"/>
              <w:right w:val="nil"/>
            </w:tcBorders>
            <w:shd w:val="clear" w:color="auto" w:fill="auto"/>
            <w:vAlign w:val="center"/>
          </w:tcPr>
          <w:p w14:paraId="156A2F0D" w14:textId="77777777"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r w:rsidRPr="005F1566">
              <w:rPr>
                <w:rFonts w:eastAsia="Times New Roman"/>
                <w:color w:val="000000"/>
                <w:sz w:val="18"/>
                <w:szCs w:val="18"/>
              </w:rPr>
              <w:t>-</w:t>
            </w:r>
          </w:p>
        </w:tc>
        <w:tc>
          <w:tcPr>
            <w:tcW w:w="579" w:type="pct"/>
            <w:tcBorders>
              <w:top w:val="nil"/>
              <w:left w:val="nil"/>
              <w:bottom w:val="nil"/>
              <w:right w:val="nil"/>
            </w:tcBorders>
            <w:shd w:val="clear" w:color="auto" w:fill="auto"/>
            <w:vAlign w:val="center"/>
          </w:tcPr>
          <w:p w14:paraId="259BBF92"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6,959,632</w:t>
            </w:r>
          </w:p>
        </w:tc>
        <w:tc>
          <w:tcPr>
            <w:tcW w:w="601" w:type="pct"/>
            <w:tcBorders>
              <w:top w:val="nil"/>
              <w:left w:val="nil"/>
              <w:bottom w:val="nil"/>
              <w:right w:val="nil"/>
            </w:tcBorders>
            <w:shd w:val="clear" w:color="auto" w:fill="auto"/>
            <w:vAlign w:val="center"/>
          </w:tcPr>
          <w:p w14:paraId="63110034" w14:textId="77777777" w:rsidR="005F1566" w:rsidRPr="005F1566" w:rsidRDefault="005F1566" w:rsidP="005F1566">
            <w:pPr>
              <w:spacing w:after="0" w:line="240" w:lineRule="auto"/>
              <w:jc w:val="right"/>
              <w:rPr>
                <w:rFonts w:asciiTheme="minorHAnsi" w:eastAsia="Times New Roman" w:hAnsiTheme="minorHAnsi" w:cs="Arial"/>
                <w:bCs/>
                <w:sz w:val="18"/>
                <w:szCs w:val="18"/>
                <w:lang w:val="en-US"/>
              </w:rPr>
            </w:pPr>
            <w:r w:rsidRPr="005F1566">
              <w:rPr>
                <w:rFonts w:eastAsia="Times New Roman"/>
                <w:color w:val="000000"/>
                <w:sz w:val="18"/>
                <w:szCs w:val="18"/>
                <w:lang w:val="en-US"/>
              </w:rPr>
              <w:t>6,959,632</w:t>
            </w:r>
          </w:p>
        </w:tc>
      </w:tr>
      <w:tr w:rsidR="005F1566" w:rsidRPr="005F1566" w14:paraId="09A23748" w14:textId="77777777" w:rsidTr="005F1566">
        <w:trPr>
          <w:trHeight w:val="149"/>
        </w:trPr>
        <w:tc>
          <w:tcPr>
            <w:tcW w:w="1504" w:type="pct"/>
          </w:tcPr>
          <w:p w14:paraId="5C4752D4" w14:textId="77777777" w:rsidR="005F1566" w:rsidRPr="005F1566" w:rsidRDefault="005F1566" w:rsidP="005F1566">
            <w:pPr>
              <w:tabs>
                <w:tab w:val="left" w:pos="-720"/>
              </w:tabs>
              <w:suppressAutoHyphens/>
              <w:spacing w:after="0" w:line="220" w:lineRule="exact"/>
              <w:ind w:right="-612"/>
              <w:rPr>
                <w:rFonts w:asciiTheme="minorHAnsi" w:eastAsia="Times New Roman" w:hAnsiTheme="minorHAnsi" w:cs="Arial"/>
                <w:sz w:val="18"/>
                <w:szCs w:val="18"/>
              </w:rPr>
            </w:pPr>
            <w:r w:rsidRPr="005F1566">
              <w:rPr>
                <w:rFonts w:asciiTheme="minorHAnsi" w:eastAsia="Times New Roman" w:hAnsiTheme="minorHAnsi" w:cs="Arial"/>
                <w:sz w:val="18"/>
                <w:szCs w:val="18"/>
              </w:rPr>
              <w:t>Retained earnings and reserves</w:t>
            </w:r>
          </w:p>
        </w:tc>
        <w:tc>
          <w:tcPr>
            <w:tcW w:w="579" w:type="pct"/>
            <w:tcBorders>
              <w:top w:val="nil"/>
              <w:left w:val="nil"/>
              <w:bottom w:val="nil"/>
              <w:right w:val="nil"/>
            </w:tcBorders>
            <w:shd w:val="clear" w:color="auto" w:fill="auto"/>
            <w:vAlign w:val="center"/>
          </w:tcPr>
          <w:p w14:paraId="374188B3" w14:textId="77777777"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r w:rsidRPr="005F1566">
              <w:rPr>
                <w:rFonts w:eastAsia="Times New Roman"/>
                <w:color w:val="000000"/>
                <w:sz w:val="18"/>
                <w:szCs w:val="18"/>
              </w:rPr>
              <w:t>-</w:t>
            </w:r>
          </w:p>
        </w:tc>
        <w:tc>
          <w:tcPr>
            <w:tcW w:w="579" w:type="pct"/>
            <w:tcBorders>
              <w:top w:val="nil"/>
              <w:left w:val="nil"/>
              <w:bottom w:val="nil"/>
              <w:right w:val="nil"/>
            </w:tcBorders>
            <w:shd w:val="clear" w:color="auto" w:fill="auto"/>
            <w:vAlign w:val="center"/>
          </w:tcPr>
          <w:p w14:paraId="68261444" w14:textId="77777777"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r w:rsidRPr="005F1566">
              <w:rPr>
                <w:rFonts w:eastAsia="Times New Roman"/>
                <w:color w:val="000000"/>
                <w:sz w:val="18"/>
                <w:szCs w:val="18"/>
              </w:rPr>
              <w:t>-</w:t>
            </w:r>
          </w:p>
        </w:tc>
        <w:tc>
          <w:tcPr>
            <w:tcW w:w="579" w:type="pct"/>
            <w:tcBorders>
              <w:top w:val="nil"/>
              <w:left w:val="nil"/>
              <w:bottom w:val="nil"/>
              <w:right w:val="nil"/>
            </w:tcBorders>
            <w:shd w:val="clear" w:color="auto" w:fill="auto"/>
            <w:vAlign w:val="center"/>
          </w:tcPr>
          <w:p w14:paraId="17E45B5C" w14:textId="77777777"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r w:rsidRPr="005F1566">
              <w:rPr>
                <w:rFonts w:eastAsia="Times New Roman"/>
                <w:color w:val="000000"/>
                <w:sz w:val="18"/>
                <w:szCs w:val="18"/>
              </w:rPr>
              <w:t>-</w:t>
            </w:r>
          </w:p>
        </w:tc>
        <w:tc>
          <w:tcPr>
            <w:tcW w:w="579" w:type="pct"/>
            <w:tcBorders>
              <w:top w:val="nil"/>
              <w:left w:val="nil"/>
              <w:bottom w:val="nil"/>
              <w:right w:val="nil"/>
            </w:tcBorders>
            <w:shd w:val="clear" w:color="auto" w:fill="auto"/>
            <w:vAlign w:val="center"/>
          </w:tcPr>
          <w:p w14:paraId="2E91860E" w14:textId="77777777"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r w:rsidRPr="005F1566">
              <w:rPr>
                <w:rFonts w:eastAsia="Times New Roman"/>
                <w:color w:val="000000"/>
                <w:sz w:val="18"/>
                <w:szCs w:val="18"/>
              </w:rPr>
              <w:t>-</w:t>
            </w:r>
          </w:p>
        </w:tc>
        <w:tc>
          <w:tcPr>
            <w:tcW w:w="579" w:type="pct"/>
            <w:tcBorders>
              <w:top w:val="nil"/>
              <w:left w:val="nil"/>
              <w:bottom w:val="nil"/>
              <w:right w:val="nil"/>
            </w:tcBorders>
            <w:shd w:val="clear" w:color="auto" w:fill="auto"/>
            <w:vAlign w:val="center"/>
          </w:tcPr>
          <w:p w14:paraId="1FD09251"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2,682,127</w:t>
            </w:r>
          </w:p>
        </w:tc>
        <w:tc>
          <w:tcPr>
            <w:tcW w:w="601" w:type="pct"/>
            <w:tcBorders>
              <w:top w:val="nil"/>
              <w:left w:val="nil"/>
              <w:bottom w:val="nil"/>
              <w:right w:val="nil"/>
            </w:tcBorders>
            <w:shd w:val="clear" w:color="auto" w:fill="auto"/>
            <w:vAlign w:val="center"/>
          </w:tcPr>
          <w:p w14:paraId="1F89EEFE" w14:textId="77777777" w:rsidR="005F1566" w:rsidRPr="005F1566" w:rsidRDefault="005F1566" w:rsidP="005F1566">
            <w:pPr>
              <w:spacing w:after="0" w:line="240" w:lineRule="auto"/>
              <w:jc w:val="right"/>
              <w:rPr>
                <w:rFonts w:asciiTheme="minorHAnsi" w:eastAsia="Times New Roman" w:hAnsiTheme="minorHAnsi" w:cs="Arial"/>
                <w:bCs/>
                <w:sz w:val="18"/>
                <w:szCs w:val="18"/>
                <w:lang w:val="en-US"/>
              </w:rPr>
            </w:pPr>
            <w:r w:rsidRPr="005F1566">
              <w:rPr>
                <w:rFonts w:eastAsia="Times New Roman"/>
                <w:color w:val="000000"/>
                <w:sz w:val="18"/>
                <w:szCs w:val="18"/>
                <w:lang w:val="en-US"/>
              </w:rPr>
              <w:t>2,682,127</w:t>
            </w:r>
          </w:p>
        </w:tc>
      </w:tr>
      <w:tr w:rsidR="005F1566" w:rsidRPr="005F1566" w14:paraId="16514675" w14:textId="77777777" w:rsidTr="005F1566">
        <w:trPr>
          <w:trHeight w:val="158"/>
        </w:trPr>
        <w:tc>
          <w:tcPr>
            <w:tcW w:w="1504" w:type="pct"/>
          </w:tcPr>
          <w:p w14:paraId="2F2F70B1" w14:textId="77777777" w:rsidR="005F1566" w:rsidRPr="005F1566" w:rsidRDefault="005F1566" w:rsidP="005F1566">
            <w:pPr>
              <w:tabs>
                <w:tab w:val="left" w:pos="-720"/>
              </w:tabs>
              <w:suppressAutoHyphens/>
              <w:spacing w:after="0" w:line="220" w:lineRule="exact"/>
              <w:ind w:right="-612"/>
              <w:rPr>
                <w:rFonts w:asciiTheme="minorHAnsi" w:eastAsia="Times New Roman" w:hAnsiTheme="minorHAnsi" w:cs="Arial"/>
                <w:sz w:val="18"/>
                <w:szCs w:val="18"/>
              </w:rPr>
            </w:pPr>
            <w:r w:rsidRPr="005F1566">
              <w:rPr>
                <w:rFonts w:asciiTheme="minorHAnsi" w:eastAsia="Times New Roman" w:hAnsiTheme="minorHAnsi" w:cs="Arial"/>
                <w:sz w:val="18"/>
                <w:szCs w:val="18"/>
              </w:rPr>
              <w:t>Other reserves</w:t>
            </w:r>
          </w:p>
        </w:tc>
        <w:tc>
          <w:tcPr>
            <w:tcW w:w="579" w:type="pct"/>
            <w:tcBorders>
              <w:top w:val="nil"/>
              <w:left w:val="nil"/>
              <w:bottom w:val="nil"/>
              <w:right w:val="nil"/>
            </w:tcBorders>
            <w:shd w:val="clear" w:color="auto" w:fill="auto"/>
            <w:vAlign w:val="center"/>
          </w:tcPr>
          <w:p w14:paraId="4A02FE3B" w14:textId="77777777"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r w:rsidRPr="005F1566">
              <w:rPr>
                <w:rFonts w:eastAsia="Times New Roman"/>
                <w:color w:val="000000"/>
                <w:sz w:val="18"/>
                <w:szCs w:val="18"/>
              </w:rPr>
              <w:t>-</w:t>
            </w:r>
          </w:p>
        </w:tc>
        <w:tc>
          <w:tcPr>
            <w:tcW w:w="579" w:type="pct"/>
            <w:tcBorders>
              <w:top w:val="nil"/>
              <w:left w:val="nil"/>
              <w:bottom w:val="nil"/>
              <w:right w:val="nil"/>
            </w:tcBorders>
            <w:shd w:val="clear" w:color="auto" w:fill="auto"/>
            <w:vAlign w:val="center"/>
          </w:tcPr>
          <w:p w14:paraId="6FE005A8" w14:textId="77777777"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r w:rsidRPr="005F1566">
              <w:rPr>
                <w:rFonts w:eastAsia="Times New Roman"/>
                <w:color w:val="000000"/>
                <w:sz w:val="18"/>
                <w:szCs w:val="18"/>
              </w:rPr>
              <w:t>-</w:t>
            </w:r>
          </w:p>
        </w:tc>
        <w:tc>
          <w:tcPr>
            <w:tcW w:w="579" w:type="pct"/>
            <w:tcBorders>
              <w:top w:val="nil"/>
              <w:left w:val="nil"/>
              <w:bottom w:val="nil"/>
              <w:right w:val="nil"/>
            </w:tcBorders>
            <w:shd w:val="clear" w:color="auto" w:fill="auto"/>
            <w:vAlign w:val="center"/>
          </w:tcPr>
          <w:p w14:paraId="0045F146" w14:textId="77777777"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r w:rsidRPr="005F1566">
              <w:rPr>
                <w:rFonts w:eastAsia="Times New Roman"/>
                <w:color w:val="000000"/>
                <w:sz w:val="18"/>
                <w:szCs w:val="18"/>
              </w:rPr>
              <w:t>-</w:t>
            </w:r>
          </w:p>
        </w:tc>
        <w:tc>
          <w:tcPr>
            <w:tcW w:w="579" w:type="pct"/>
            <w:tcBorders>
              <w:top w:val="nil"/>
              <w:left w:val="nil"/>
              <w:bottom w:val="nil"/>
              <w:right w:val="nil"/>
            </w:tcBorders>
            <w:shd w:val="clear" w:color="auto" w:fill="auto"/>
            <w:vAlign w:val="center"/>
          </w:tcPr>
          <w:p w14:paraId="1645CBFF" w14:textId="77777777"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r w:rsidRPr="005F1566">
              <w:rPr>
                <w:rFonts w:eastAsia="Times New Roman"/>
                <w:color w:val="000000"/>
                <w:sz w:val="18"/>
                <w:szCs w:val="18"/>
              </w:rPr>
              <w:t>-</w:t>
            </w:r>
          </w:p>
        </w:tc>
        <w:tc>
          <w:tcPr>
            <w:tcW w:w="579" w:type="pct"/>
            <w:tcBorders>
              <w:top w:val="nil"/>
              <w:left w:val="nil"/>
              <w:bottom w:val="nil"/>
              <w:right w:val="nil"/>
            </w:tcBorders>
            <w:shd w:val="clear" w:color="auto" w:fill="auto"/>
            <w:vAlign w:val="center"/>
          </w:tcPr>
          <w:p w14:paraId="0EAFA6A5"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73,733</w:t>
            </w:r>
          </w:p>
        </w:tc>
        <w:tc>
          <w:tcPr>
            <w:tcW w:w="601" w:type="pct"/>
            <w:tcBorders>
              <w:top w:val="nil"/>
              <w:left w:val="nil"/>
              <w:bottom w:val="nil"/>
              <w:right w:val="nil"/>
            </w:tcBorders>
            <w:shd w:val="clear" w:color="auto" w:fill="auto"/>
            <w:vAlign w:val="center"/>
          </w:tcPr>
          <w:p w14:paraId="0398C1D9" w14:textId="77777777" w:rsidR="005F1566" w:rsidRPr="005F1566" w:rsidRDefault="005F1566" w:rsidP="005F1566">
            <w:pPr>
              <w:spacing w:after="0" w:line="240" w:lineRule="auto"/>
              <w:jc w:val="right"/>
              <w:rPr>
                <w:rFonts w:asciiTheme="minorHAnsi" w:eastAsia="Times New Roman" w:hAnsiTheme="minorHAnsi" w:cs="Arial"/>
                <w:bCs/>
                <w:sz w:val="18"/>
                <w:szCs w:val="18"/>
                <w:lang w:val="en-US"/>
              </w:rPr>
            </w:pPr>
            <w:r w:rsidRPr="005F1566">
              <w:rPr>
                <w:rFonts w:eastAsia="Times New Roman"/>
                <w:color w:val="000000"/>
                <w:sz w:val="18"/>
                <w:szCs w:val="18"/>
                <w:lang w:val="en-US"/>
              </w:rPr>
              <w:t>73,733</w:t>
            </w:r>
          </w:p>
        </w:tc>
      </w:tr>
      <w:tr w:rsidR="005F1566" w:rsidRPr="005F1566" w14:paraId="04CBAE6B" w14:textId="77777777" w:rsidTr="00166751">
        <w:trPr>
          <w:trHeight w:val="149"/>
        </w:trPr>
        <w:tc>
          <w:tcPr>
            <w:tcW w:w="1504" w:type="pct"/>
          </w:tcPr>
          <w:p w14:paraId="4708AB03" w14:textId="77777777" w:rsidR="005F1566" w:rsidRPr="005F1566" w:rsidRDefault="005F1566" w:rsidP="005F1566">
            <w:pPr>
              <w:tabs>
                <w:tab w:val="left" w:pos="-720"/>
              </w:tabs>
              <w:suppressAutoHyphens/>
              <w:spacing w:after="0" w:line="220" w:lineRule="exact"/>
              <w:ind w:right="-612"/>
              <w:rPr>
                <w:rFonts w:asciiTheme="minorHAnsi" w:eastAsia="Times New Roman" w:hAnsiTheme="minorHAnsi" w:cs="Arial"/>
                <w:sz w:val="18"/>
                <w:szCs w:val="18"/>
              </w:rPr>
            </w:pPr>
            <w:r w:rsidRPr="005F1566">
              <w:rPr>
                <w:rFonts w:asciiTheme="minorHAnsi" w:eastAsia="Times New Roman" w:hAnsiTheme="minorHAnsi" w:cs="Arial"/>
                <w:sz w:val="18"/>
                <w:szCs w:val="18"/>
              </w:rPr>
              <w:t>Net profit for the year</w:t>
            </w:r>
          </w:p>
        </w:tc>
        <w:tc>
          <w:tcPr>
            <w:tcW w:w="579" w:type="pct"/>
            <w:tcBorders>
              <w:top w:val="nil"/>
              <w:left w:val="nil"/>
              <w:bottom w:val="single" w:sz="4" w:space="0" w:color="auto"/>
              <w:right w:val="nil"/>
            </w:tcBorders>
            <w:shd w:val="clear" w:color="auto" w:fill="auto"/>
            <w:vAlign w:val="center"/>
          </w:tcPr>
          <w:p w14:paraId="32955A14" w14:textId="77777777" w:rsidR="005F1566" w:rsidRPr="005F1566" w:rsidRDefault="005F1566" w:rsidP="005F1566">
            <w:pPr>
              <w:spacing w:after="0" w:line="220" w:lineRule="exact"/>
              <w:jc w:val="right"/>
              <w:rPr>
                <w:rFonts w:asciiTheme="minorHAnsi" w:eastAsia="Times New Roman" w:hAnsiTheme="minorHAnsi" w:cs="Arial"/>
                <w:spacing w:val="-2"/>
                <w:sz w:val="18"/>
                <w:szCs w:val="18"/>
                <w:lang w:val="hr-HR"/>
              </w:rPr>
            </w:pPr>
            <w:r w:rsidRPr="005F1566">
              <w:rPr>
                <w:rFonts w:eastAsia="Times New Roman"/>
                <w:color w:val="000000"/>
                <w:sz w:val="18"/>
                <w:szCs w:val="18"/>
                <w:lang w:val="en-US"/>
              </w:rPr>
              <w:t>-</w:t>
            </w:r>
          </w:p>
        </w:tc>
        <w:tc>
          <w:tcPr>
            <w:tcW w:w="579" w:type="pct"/>
            <w:tcBorders>
              <w:top w:val="nil"/>
              <w:left w:val="nil"/>
              <w:bottom w:val="single" w:sz="4" w:space="0" w:color="auto"/>
              <w:right w:val="nil"/>
            </w:tcBorders>
            <w:shd w:val="clear" w:color="auto" w:fill="auto"/>
            <w:vAlign w:val="center"/>
          </w:tcPr>
          <w:p w14:paraId="26AD81F7" w14:textId="77777777" w:rsidR="005F1566" w:rsidRPr="005F1566" w:rsidRDefault="005F1566" w:rsidP="005F1566">
            <w:pPr>
              <w:spacing w:after="0" w:line="220" w:lineRule="exact"/>
              <w:jc w:val="right"/>
              <w:rPr>
                <w:rFonts w:asciiTheme="minorHAnsi" w:eastAsia="Times New Roman" w:hAnsiTheme="minorHAnsi" w:cs="Arial"/>
                <w:spacing w:val="-2"/>
                <w:sz w:val="18"/>
                <w:szCs w:val="18"/>
                <w:lang w:val="hr-HR"/>
              </w:rPr>
            </w:pPr>
            <w:r w:rsidRPr="005F1566">
              <w:rPr>
                <w:rFonts w:eastAsia="Times New Roman"/>
                <w:color w:val="000000"/>
                <w:sz w:val="18"/>
                <w:szCs w:val="18"/>
                <w:lang w:val="en-US"/>
              </w:rPr>
              <w:t>-</w:t>
            </w:r>
          </w:p>
        </w:tc>
        <w:tc>
          <w:tcPr>
            <w:tcW w:w="579" w:type="pct"/>
            <w:tcBorders>
              <w:top w:val="nil"/>
              <w:left w:val="nil"/>
              <w:bottom w:val="single" w:sz="4" w:space="0" w:color="auto"/>
              <w:right w:val="nil"/>
            </w:tcBorders>
            <w:shd w:val="clear" w:color="auto" w:fill="auto"/>
            <w:vAlign w:val="center"/>
          </w:tcPr>
          <w:p w14:paraId="695FAC42" w14:textId="77777777" w:rsidR="005F1566" w:rsidRPr="005F1566" w:rsidRDefault="005F1566" w:rsidP="005F1566">
            <w:pPr>
              <w:spacing w:after="0" w:line="220" w:lineRule="exact"/>
              <w:jc w:val="right"/>
              <w:rPr>
                <w:rFonts w:asciiTheme="minorHAnsi" w:eastAsia="Times New Roman" w:hAnsiTheme="minorHAnsi" w:cs="Arial"/>
                <w:spacing w:val="-2"/>
                <w:sz w:val="18"/>
                <w:szCs w:val="18"/>
                <w:lang w:val="hr-HR"/>
              </w:rPr>
            </w:pPr>
            <w:r w:rsidRPr="005F1566">
              <w:rPr>
                <w:rFonts w:eastAsia="Times New Roman"/>
                <w:color w:val="000000"/>
                <w:sz w:val="18"/>
                <w:szCs w:val="18"/>
                <w:lang w:val="en-US"/>
              </w:rPr>
              <w:t>-</w:t>
            </w:r>
          </w:p>
        </w:tc>
        <w:tc>
          <w:tcPr>
            <w:tcW w:w="579" w:type="pct"/>
            <w:tcBorders>
              <w:top w:val="nil"/>
              <w:left w:val="nil"/>
              <w:bottom w:val="single" w:sz="4" w:space="0" w:color="auto"/>
              <w:right w:val="nil"/>
            </w:tcBorders>
            <w:shd w:val="clear" w:color="auto" w:fill="auto"/>
            <w:vAlign w:val="center"/>
          </w:tcPr>
          <w:p w14:paraId="16603D6A" w14:textId="77777777" w:rsidR="005F1566" w:rsidRPr="005F1566" w:rsidRDefault="005F1566" w:rsidP="005F1566">
            <w:pPr>
              <w:spacing w:after="0" w:line="220" w:lineRule="exact"/>
              <w:jc w:val="right"/>
              <w:rPr>
                <w:rFonts w:asciiTheme="minorHAnsi" w:eastAsia="Times New Roman" w:hAnsiTheme="minorHAnsi" w:cs="Arial"/>
                <w:spacing w:val="-2"/>
                <w:sz w:val="18"/>
                <w:szCs w:val="18"/>
                <w:lang w:val="hr-HR"/>
              </w:rPr>
            </w:pPr>
            <w:r w:rsidRPr="005F1566">
              <w:rPr>
                <w:rFonts w:eastAsia="Times New Roman"/>
                <w:color w:val="000000"/>
                <w:sz w:val="18"/>
                <w:szCs w:val="18"/>
                <w:lang w:val="en-US"/>
              </w:rPr>
              <w:t>-</w:t>
            </w:r>
          </w:p>
        </w:tc>
        <w:tc>
          <w:tcPr>
            <w:tcW w:w="579" w:type="pct"/>
            <w:tcBorders>
              <w:top w:val="nil"/>
              <w:left w:val="nil"/>
              <w:bottom w:val="single" w:sz="4" w:space="0" w:color="auto"/>
              <w:right w:val="nil"/>
            </w:tcBorders>
            <w:shd w:val="clear" w:color="auto" w:fill="auto"/>
            <w:vAlign w:val="bottom"/>
          </w:tcPr>
          <w:p w14:paraId="0520D265" w14:textId="77777777"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314,841</w:t>
            </w:r>
          </w:p>
        </w:tc>
        <w:tc>
          <w:tcPr>
            <w:tcW w:w="601" w:type="pct"/>
            <w:tcBorders>
              <w:top w:val="nil"/>
              <w:left w:val="nil"/>
              <w:bottom w:val="single" w:sz="4" w:space="0" w:color="auto"/>
              <w:right w:val="nil"/>
            </w:tcBorders>
            <w:shd w:val="clear" w:color="auto" w:fill="auto"/>
            <w:vAlign w:val="bottom"/>
          </w:tcPr>
          <w:p w14:paraId="573419B9" w14:textId="77777777" w:rsidR="005F1566" w:rsidRPr="005F1566" w:rsidRDefault="005F1566" w:rsidP="005F1566">
            <w:pPr>
              <w:spacing w:after="0" w:line="240" w:lineRule="auto"/>
              <w:jc w:val="right"/>
              <w:rPr>
                <w:rFonts w:asciiTheme="minorHAnsi" w:eastAsia="Times New Roman" w:hAnsiTheme="minorHAnsi" w:cs="Arial"/>
                <w:bCs/>
                <w:sz w:val="18"/>
                <w:szCs w:val="18"/>
                <w:lang w:val="en-US"/>
              </w:rPr>
            </w:pPr>
            <w:r w:rsidRPr="005F1566">
              <w:rPr>
                <w:rFonts w:eastAsia="Times New Roman"/>
                <w:color w:val="000000"/>
                <w:sz w:val="18"/>
                <w:szCs w:val="18"/>
                <w:lang w:val="en-US"/>
              </w:rPr>
              <w:t>314,841</w:t>
            </w:r>
          </w:p>
        </w:tc>
      </w:tr>
      <w:tr w:rsidR="005F1566" w:rsidRPr="005F1566" w14:paraId="3EEDE0C9" w14:textId="77777777" w:rsidTr="005F1566">
        <w:trPr>
          <w:trHeight w:val="235"/>
        </w:trPr>
        <w:tc>
          <w:tcPr>
            <w:tcW w:w="1504" w:type="pct"/>
          </w:tcPr>
          <w:p w14:paraId="14EEFB0B" w14:textId="77777777" w:rsidR="005F1566" w:rsidRPr="005F1566" w:rsidRDefault="005F1566" w:rsidP="005F1566">
            <w:pPr>
              <w:spacing w:after="0" w:line="220" w:lineRule="exact"/>
              <w:rPr>
                <w:rFonts w:asciiTheme="minorHAnsi" w:eastAsia="Times New Roman" w:hAnsiTheme="minorHAnsi" w:cs="Arial"/>
                <w:b/>
                <w:sz w:val="18"/>
                <w:szCs w:val="18"/>
              </w:rPr>
            </w:pPr>
            <w:r w:rsidRPr="005F1566">
              <w:rPr>
                <w:rFonts w:asciiTheme="minorHAnsi" w:eastAsia="Times New Roman" w:hAnsiTheme="minorHAnsi" w:cs="Arial"/>
                <w:b/>
                <w:sz w:val="18"/>
                <w:szCs w:val="18"/>
              </w:rPr>
              <w:t>Total equity attributable to equity holders of the parent</w:t>
            </w:r>
          </w:p>
        </w:tc>
        <w:tc>
          <w:tcPr>
            <w:tcW w:w="579" w:type="pct"/>
            <w:tcBorders>
              <w:top w:val="single" w:sz="4" w:space="0" w:color="auto"/>
              <w:left w:val="nil"/>
              <w:bottom w:val="single" w:sz="12" w:space="0" w:color="auto"/>
              <w:right w:val="nil"/>
            </w:tcBorders>
            <w:shd w:val="clear" w:color="auto" w:fill="auto"/>
            <w:vAlign w:val="center"/>
          </w:tcPr>
          <w:p w14:paraId="2F218301" w14:textId="77777777" w:rsidR="005F1566" w:rsidRPr="005F1566" w:rsidRDefault="005F1566" w:rsidP="005F1566">
            <w:pPr>
              <w:spacing w:after="0" w:line="220" w:lineRule="exact"/>
              <w:jc w:val="right"/>
              <w:outlineLvl w:val="0"/>
              <w:rPr>
                <w:rFonts w:asciiTheme="minorHAnsi" w:eastAsia="Times New Roman" w:hAnsiTheme="minorHAnsi" w:cs="Arial"/>
                <w:b/>
                <w:bCs/>
                <w:spacing w:val="-2"/>
                <w:sz w:val="18"/>
                <w:szCs w:val="18"/>
                <w:lang w:val="hr-HR"/>
              </w:rPr>
            </w:pPr>
            <w:r w:rsidRPr="005F1566">
              <w:rPr>
                <w:rFonts w:eastAsia="Times New Roman"/>
                <w:b/>
                <w:bCs/>
                <w:color w:val="000000"/>
                <w:sz w:val="18"/>
                <w:szCs w:val="18"/>
              </w:rPr>
              <w:t>-</w:t>
            </w:r>
          </w:p>
        </w:tc>
        <w:tc>
          <w:tcPr>
            <w:tcW w:w="579" w:type="pct"/>
            <w:tcBorders>
              <w:top w:val="single" w:sz="4" w:space="0" w:color="auto"/>
              <w:left w:val="nil"/>
              <w:bottom w:val="single" w:sz="12" w:space="0" w:color="auto"/>
              <w:right w:val="nil"/>
            </w:tcBorders>
            <w:shd w:val="clear" w:color="auto" w:fill="auto"/>
            <w:vAlign w:val="center"/>
          </w:tcPr>
          <w:p w14:paraId="33AB8512" w14:textId="77777777" w:rsidR="005F1566" w:rsidRPr="005F1566" w:rsidRDefault="005F1566" w:rsidP="005F1566">
            <w:pPr>
              <w:spacing w:after="0" w:line="220" w:lineRule="exact"/>
              <w:jc w:val="right"/>
              <w:outlineLvl w:val="0"/>
              <w:rPr>
                <w:rFonts w:asciiTheme="minorHAnsi" w:eastAsia="Times New Roman" w:hAnsiTheme="minorHAnsi" w:cs="Arial"/>
                <w:b/>
                <w:bCs/>
                <w:spacing w:val="-2"/>
                <w:sz w:val="18"/>
                <w:szCs w:val="18"/>
                <w:lang w:val="hr-HR"/>
              </w:rPr>
            </w:pPr>
            <w:r w:rsidRPr="005F1566">
              <w:rPr>
                <w:rFonts w:eastAsia="Times New Roman"/>
                <w:b/>
                <w:bCs/>
                <w:color w:val="000000"/>
                <w:sz w:val="18"/>
                <w:szCs w:val="18"/>
              </w:rPr>
              <w:t>-</w:t>
            </w:r>
          </w:p>
        </w:tc>
        <w:tc>
          <w:tcPr>
            <w:tcW w:w="579" w:type="pct"/>
            <w:tcBorders>
              <w:top w:val="single" w:sz="4" w:space="0" w:color="auto"/>
              <w:left w:val="nil"/>
              <w:bottom w:val="single" w:sz="12" w:space="0" w:color="auto"/>
              <w:right w:val="nil"/>
            </w:tcBorders>
            <w:shd w:val="clear" w:color="auto" w:fill="auto"/>
            <w:vAlign w:val="center"/>
          </w:tcPr>
          <w:p w14:paraId="561CD6DC" w14:textId="77777777" w:rsidR="005F1566" w:rsidRPr="005F1566" w:rsidRDefault="005F1566" w:rsidP="005F1566">
            <w:pPr>
              <w:spacing w:after="0" w:line="220" w:lineRule="exact"/>
              <w:jc w:val="right"/>
              <w:outlineLvl w:val="0"/>
              <w:rPr>
                <w:rFonts w:asciiTheme="minorHAnsi" w:eastAsia="Times New Roman" w:hAnsiTheme="minorHAnsi" w:cs="Arial"/>
                <w:b/>
                <w:bCs/>
                <w:spacing w:val="-2"/>
                <w:sz w:val="18"/>
                <w:szCs w:val="18"/>
                <w:lang w:val="hr-HR"/>
              </w:rPr>
            </w:pPr>
            <w:r w:rsidRPr="005F1566">
              <w:rPr>
                <w:rFonts w:eastAsia="Times New Roman"/>
                <w:b/>
                <w:bCs/>
                <w:color w:val="000000"/>
                <w:sz w:val="18"/>
                <w:szCs w:val="18"/>
              </w:rPr>
              <w:t>-</w:t>
            </w:r>
          </w:p>
        </w:tc>
        <w:tc>
          <w:tcPr>
            <w:tcW w:w="579" w:type="pct"/>
            <w:tcBorders>
              <w:top w:val="single" w:sz="4" w:space="0" w:color="auto"/>
              <w:left w:val="nil"/>
              <w:bottom w:val="single" w:sz="12" w:space="0" w:color="auto"/>
              <w:right w:val="nil"/>
            </w:tcBorders>
            <w:shd w:val="clear" w:color="auto" w:fill="auto"/>
            <w:vAlign w:val="center"/>
          </w:tcPr>
          <w:p w14:paraId="2B6B8F2A" w14:textId="77777777" w:rsidR="005F1566" w:rsidRPr="005F1566" w:rsidRDefault="005F1566" w:rsidP="005F1566">
            <w:pPr>
              <w:spacing w:after="0" w:line="220" w:lineRule="exact"/>
              <w:jc w:val="right"/>
              <w:outlineLvl w:val="0"/>
              <w:rPr>
                <w:rFonts w:asciiTheme="minorHAnsi" w:eastAsia="Times New Roman" w:hAnsiTheme="minorHAnsi" w:cs="Arial"/>
                <w:b/>
                <w:bCs/>
                <w:spacing w:val="-2"/>
                <w:sz w:val="18"/>
                <w:szCs w:val="18"/>
                <w:lang w:val="hr-HR"/>
              </w:rPr>
            </w:pPr>
            <w:r w:rsidRPr="005F1566">
              <w:rPr>
                <w:rFonts w:eastAsia="Times New Roman"/>
                <w:b/>
                <w:bCs/>
                <w:color w:val="000000"/>
                <w:sz w:val="18"/>
                <w:szCs w:val="18"/>
              </w:rPr>
              <w:t>-</w:t>
            </w:r>
          </w:p>
        </w:tc>
        <w:tc>
          <w:tcPr>
            <w:tcW w:w="579" w:type="pct"/>
            <w:tcBorders>
              <w:top w:val="single" w:sz="4" w:space="0" w:color="auto"/>
              <w:left w:val="nil"/>
              <w:bottom w:val="single" w:sz="12" w:space="0" w:color="auto"/>
              <w:right w:val="nil"/>
            </w:tcBorders>
            <w:shd w:val="clear" w:color="auto" w:fill="auto"/>
            <w:vAlign w:val="center"/>
          </w:tcPr>
          <w:p w14:paraId="585FFE8C" w14:textId="77777777" w:rsidR="005F1566" w:rsidRPr="005F1566" w:rsidRDefault="005F1566" w:rsidP="005F1566">
            <w:pPr>
              <w:spacing w:after="0" w:line="240" w:lineRule="auto"/>
              <w:jc w:val="right"/>
              <w:rPr>
                <w:rFonts w:asciiTheme="minorHAnsi" w:eastAsia="Times New Roman" w:hAnsiTheme="minorHAnsi" w:cs="Arial"/>
                <w:b/>
                <w:sz w:val="18"/>
                <w:szCs w:val="18"/>
                <w:lang w:val="en-US"/>
              </w:rPr>
            </w:pPr>
            <w:r w:rsidRPr="005F1566">
              <w:rPr>
                <w:rFonts w:eastAsia="Times New Roman"/>
                <w:b/>
                <w:bCs/>
                <w:color w:val="000000"/>
                <w:sz w:val="18"/>
                <w:szCs w:val="18"/>
                <w:lang w:val="en-US"/>
              </w:rPr>
              <w:t>10,030,333</w:t>
            </w:r>
          </w:p>
        </w:tc>
        <w:tc>
          <w:tcPr>
            <w:tcW w:w="601" w:type="pct"/>
            <w:tcBorders>
              <w:top w:val="single" w:sz="4" w:space="0" w:color="auto"/>
              <w:left w:val="nil"/>
              <w:bottom w:val="single" w:sz="12" w:space="0" w:color="auto"/>
              <w:right w:val="nil"/>
            </w:tcBorders>
            <w:shd w:val="clear" w:color="auto" w:fill="auto"/>
            <w:vAlign w:val="center"/>
          </w:tcPr>
          <w:p w14:paraId="75B514DA" w14:textId="77777777" w:rsidR="005F1566" w:rsidRPr="005F1566" w:rsidRDefault="005F1566" w:rsidP="005F1566">
            <w:pPr>
              <w:spacing w:after="0" w:line="240" w:lineRule="auto"/>
              <w:jc w:val="right"/>
              <w:rPr>
                <w:rFonts w:asciiTheme="minorHAnsi" w:eastAsia="Times New Roman" w:hAnsiTheme="minorHAnsi" w:cs="Arial"/>
                <w:b/>
                <w:bCs/>
                <w:sz w:val="18"/>
                <w:szCs w:val="18"/>
                <w:lang w:val="en-US"/>
              </w:rPr>
            </w:pPr>
            <w:r w:rsidRPr="005F1566">
              <w:rPr>
                <w:rFonts w:eastAsia="Times New Roman"/>
                <w:b/>
                <w:bCs/>
                <w:color w:val="000000"/>
                <w:sz w:val="18"/>
                <w:szCs w:val="18"/>
                <w:lang w:val="en-US"/>
              </w:rPr>
              <w:t>10,030,333</w:t>
            </w:r>
          </w:p>
        </w:tc>
      </w:tr>
      <w:tr w:rsidR="005F1566" w:rsidRPr="005F1566" w14:paraId="495F58FF" w14:textId="77777777" w:rsidTr="005F1566">
        <w:trPr>
          <w:trHeight w:val="107"/>
        </w:trPr>
        <w:tc>
          <w:tcPr>
            <w:tcW w:w="1504" w:type="pct"/>
            <w:vAlign w:val="center"/>
          </w:tcPr>
          <w:p w14:paraId="46D566F2" w14:textId="77777777" w:rsidR="005F1566" w:rsidRPr="005F1566" w:rsidRDefault="005F1566" w:rsidP="005F1566">
            <w:pPr>
              <w:tabs>
                <w:tab w:val="right" w:pos="1202"/>
              </w:tabs>
              <w:spacing w:after="0" w:line="100" w:lineRule="exact"/>
              <w:outlineLvl w:val="0"/>
              <w:rPr>
                <w:rFonts w:asciiTheme="minorHAnsi" w:eastAsia="Times New Roman" w:hAnsiTheme="minorHAnsi" w:cs="Arial"/>
                <w:bCs/>
                <w:sz w:val="18"/>
                <w:szCs w:val="18"/>
                <w:lang w:val="hr-HR"/>
              </w:rPr>
            </w:pPr>
          </w:p>
        </w:tc>
        <w:tc>
          <w:tcPr>
            <w:tcW w:w="579" w:type="pct"/>
            <w:tcBorders>
              <w:top w:val="single" w:sz="12" w:space="0" w:color="auto"/>
            </w:tcBorders>
            <w:vAlign w:val="bottom"/>
          </w:tcPr>
          <w:p w14:paraId="03DB2949" w14:textId="77777777" w:rsidR="005F1566" w:rsidRPr="005F1566" w:rsidRDefault="005F1566" w:rsidP="005F1566">
            <w:pPr>
              <w:spacing w:after="0" w:line="80" w:lineRule="exact"/>
              <w:jc w:val="right"/>
              <w:outlineLvl w:val="0"/>
              <w:rPr>
                <w:rFonts w:asciiTheme="minorHAnsi" w:eastAsia="Times New Roman" w:hAnsiTheme="minorHAnsi" w:cs="Arial"/>
                <w:bCs/>
                <w:spacing w:val="-2"/>
                <w:sz w:val="18"/>
                <w:szCs w:val="18"/>
                <w:lang w:val="hr-HR"/>
              </w:rPr>
            </w:pPr>
          </w:p>
        </w:tc>
        <w:tc>
          <w:tcPr>
            <w:tcW w:w="579" w:type="pct"/>
            <w:tcBorders>
              <w:top w:val="single" w:sz="12" w:space="0" w:color="auto"/>
            </w:tcBorders>
            <w:vAlign w:val="bottom"/>
          </w:tcPr>
          <w:p w14:paraId="09CB810E" w14:textId="77777777" w:rsidR="005F1566" w:rsidRPr="005F1566" w:rsidRDefault="005F1566" w:rsidP="005F1566">
            <w:pPr>
              <w:spacing w:after="0" w:line="80" w:lineRule="exact"/>
              <w:jc w:val="right"/>
              <w:outlineLvl w:val="0"/>
              <w:rPr>
                <w:rFonts w:asciiTheme="minorHAnsi" w:eastAsia="Times New Roman" w:hAnsiTheme="minorHAnsi" w:cs="Arial"/>
                <w:bCs/>
                <w:spacing w:val="-2"/>
                <w:sz w:val="18"/>
                <w:szCs w:val="18"/>
                <w:lang w:val="hr-HR"/>
              </w:rPr>
            </w:pPr>
          </w:p>
        </w:tc>
        <w:tc>
          <w:tcPr>
            <w:tcW w:w="579" w:type="pct"/>
            <w:tcBorders>
              <w:top w:val="single" w:sz="12" w:space="0" w:color="auto"/>
            </w:tcBorders>
            <w:vAlign w:val="bottom"/>
          </w:tcPr>
          <w:p w14:paraId="5F22BE04" w14:textId="77777777" w:rsidR="005F1566" w:rsidRPr="005F1566" w:rsidRDefault="005F1566" w:rsidP="005F1566">
            <w:pPr>
              <w:spacing w:after="0" w:line="80" w:lineRule="exact"/>
              <w:jc w:val="right"/>
              <w:outlineLvl w:val="0"/>
              <w:rPr>
                <w:rFonts w:asciiTheme="minorHAnsi" w:eastAsia="Times New Roman" w:hAnsiTheme="minorHAnsi" w:cs="Arial"/>
                <w:bCs/>
                <w:spacing w:val="-2"/>
                <w:sz w:val="18"/>
                <w:szCs w:val="18"/>
                <w:lang w:val="hr-HR"/>
              </w:rPr>
            </w:pPr>
          </w:p>
        </w:tc>
        <w:tc>
          <w:tcPr>
            <w:tcW w:w="579" w:type="pct"/>
            <w:tcBorders>
              <w:top w:val="single" w:sz="12" w:space="0" w:color="auto"/>
            </w:tcBorders>
            <w:vAlign w:val="bottom"/>
          </w:tcPr>
          <w:p w14:paraId="52E087AD" w14:textId="77777777" w:rsidR="005F1566" w:rsidRPr="005F1566" w:rsidRDefault="005F1566" w:rsidP="005F1566">
            <w:pPr>
              <w:spacing w:after="0" w:line="80" w:lineRule="exact"/>
              <w:jc w:val="right"/>
              <w:outlineLvl w:val="0"/>
              <w:rPr>
                <w:rFonts w:asciiTheme="minorHAnsi" w:eastAsia="Times New Roman" w:hAnsiTheme="minorHAnsi" w:cs="Arial"/>
                <w:bCs/>
                <w:spacing w:val="-2"/>
                <w:sz w:val="18"/>
                <w:szCs w:val="18"/>
                <w:lang w:val="hr-HR"/>
              </w:rPr>
            </w:pPr>
          </w:p>
        </w:tc>
        <w:tc>
          <w:tcPr>
            <w:tcW w:w="579" w:type="pct"/>
            <w:tcBorders>
              <w:top w:val="single" w:sz="12" w:space="0" w:color="auto"/>
            </w:tcBorders>
            <w:vAlign w:val="bottom"/>
          </w:tcPr>
          <w:p w14:paraId="0AC1EB17" w14:textId="77777777" w:rsidR="005F1566" w:rsidRPr="005F1566" w:rsidRDefault="005F1566" w:rsidP="005F1566">
            <w:pPr>
              <w:spacing w:after="0" w:line="80" w:lineRule="exact"/>
              <w:jc w:val="right"/>
              <w:outlineLvl w:val="0"/>
              <w:rPr>
                <w:rFonts w:asciiTheme="minorHAnsi" w:eastAsia="Times New Roman" w:hAnsiTheme="minorHAnsi" w:cs="Arial"/>
                <w:bCs/>
                <w:spacing w:val="-2"/>
                <w:sz w:val="18"/>
                <w:szCs w:val="18"/>
                <w:lang w:val="hr-HR"/>
              </w:rPr>
            </w:pPr>
          </w:p>
        </w:tc>
        <w:tc>
          <w:tcPr>
            <w:tcW w:w="601" w:type="pct"/>
            <w:tcBorders>
              <w:top w:val="single" w:sz="12" w:space="0" w:color="auto"/>
            </w:tcBorders>
            <w:vAlign w:val="bottom"/>
          </w:tcPr>
          <w:p w14:paraId="4C6492C4" w14:textId="77777777" w:rsidR="005F1566" w:rsidRPr="005F1566" w:rsidRDefault="005F1566" w:rsidP="005F1566">
            <w:pPr>
              <w:spacing w:after="0" w:line="80" w:lineRule="exact"/>
              <w:jc w:val="right"/>
              <w:outlineLvl w:val="0"/>
              <w:rPr>
                <w:rFonts w:asciiTheme="minorHAnsi" w:eastAsia="Times New Roman" w:hAnsiTheme="minorHAnsi" w:cs="Arial"/>
                <w:bCs/>
                <w:spacing w:val="-2"/>
                <w:sz w:val="18"/>
                <w:szCs w:val="18"/>
                <w:lang w:val="hr-HR"/>
              </w:rPr>
            </w:pPr>
          </w:p>
        </w:tc>
      </w:tr>
      <w:tr w:rsidR="005F1566" w:rsidRPr="005F1566" w14:paraId="79B0F8D8" w14:textId="77777777" w:rsidTr="005F1566">
        <w:trPr>
          <w:trHeight w:val="103"/>
        </w:trPr>
        <w:tc>
          <w:tcPr>
            <w:tcW w:w="1504" w:type="pct"/>
            <w:vAlign w:val="center"/>
          </w:tcPr>
          <w:p w14:paraId="69E608C6"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sz w:val="18"/>
                <w:szCs w:val="18"/>
              </w:rPr>
            </w:pPr>
            <w:r w:rsidRPr="005F1566">
              <w:rPr>
                <w:rFonts w:asciiTheme="minorHAnsi" w:eastAsia="Times New Roman" w:hAnsiTheme="minorHAnsi" w:cs="Arial"/>
                <w:sz w:val="18"/>
                <w:szCs w:val="18"/>
              </w:rPr>
              <w:t>Guarantee fund</w:t>
            </w:r>
          </w:p>
        </w:tc>
        <w:tc>
          <w:tcPr>
            <w:tcW w:w="579" w:type="pct"/>
            <w:tcBorders>
              <w:left w:val="nil"/>
              <w:bottom w:val="nil"/>
              <w:right w:val="nil"/>
            </w:tcBorders>
            <w:shd w:val="clear" w:color="auto" w:fill="auto"/>
            <w:vAlign w:val="center"/>
          </w:tcPr>
          <w:p w14:paraId="38EB817A" w14:textId="77777777" w:rsidR="005F1566" w:rsidRPr="005F1566" w:rsidRDefault="005F1566" w:rsidP="005F1566">
            <w:pPr>
              <w:tabs>
                <w:tab w:val="center" w:pos="4153"/>
                <w:tab w:val="right" w:pos="8306"/>
              </w:tabs>
              <w:spacing w:after="0" w:line="220" w:lineRule="exact"/>
              <w:jc w:val="right"/>
              <w:rPr>
                <w:rFonts w:asciiTheme="minorHAnsi" w:eastAsia="Times New Roman" w:hAnsiTheme="minorHAnsi" w:cs="Arial"/>
                <w:bCs/>
                <w:spacing w:val="-2"/>
                <w:sz w:val="18"/>
                <w:szCs w:val="18"/>
                <w:lang w:val="hr-HR"/>
              </w:rPr>
            </w:pPr>
            <w:r w:rsidRPr="005F1566">
              <w:rPr>
                <w:rFonts w:eastAsia="Times New Roman"/>
                <w:color w:val="000000"/>
                <w:sz w:val="18"/>
                <w:szCs w:val="18"/>
                <w:lang w:val="en-US"/>
              </w:rPr>
              <w:t>-</w:t>
            </w:r>
          </w:p>
        </w:tc>
        <w:tc>
          <w:tcPr>
            <w:tcW w:w="579" w:type="pct"/>
            <w:tcBorders>
              <w:left w:val="nil"/>
              <w:bottom w:val="nil"/>
              <w:right w:val="nil"/>
            </w:tcBorders>
            <w:shd w:val="clear" w:color="auto" w:fill="auto"/>
            <w:vAlign w:val="center"/>
          </w:tcPr>
          <w:p w14:paraId="3DD2EE3A" w14:textId="77777777" w:rsidR="005F1566" w:rsidRPr="005F1566" w:rsidRDefault="005F1566" w:rsidP="005F1566">
            <w:pPr>
              <w:tabs>
                <w:tab w:val="center" w:pos="4153"/>
                <w:tab w:val="right" w:pos="8306"/>
              </w:tabs>
              <w:spacing w:after="0" w:line="220" w:lineRule="exact"/>
              <w:jc w:val="right"/>
              <w:rPr>
                <w:rFonts w:asciiTheme="minorHAnsi" w:eastAsia="Times New Roman" w:hAnsiTheme="minorHAnsi" w:cs="Arial"/>
                <w:bCs/>
                <w:spacing w:val="-2"/>
                <w:sz w:val="18"/>
                <w:szCs w:val="18"/>
                <w:lang w:val="hr-HR"/>
              </w:rPr>
            </w:pPr>
            <w:r w:rsidRPr="005F1566">
              <w:rPr>
                <w:rFonts w:eastAsia="Times New Roman"/>
                <w:color w:val="000000"/>
                <w:sz w:val="18"/>
                <w:szCs w:val="18"/>
                <w:lang w:val="en-US"/>
              </w:rPr>
              <w:t>-</w:t>
            </w:r>
          </w:p>
        </w:tc>
        <w:tc>
          <w:tcPr>
            <w:tcW w:w="579" w:type="pct"/>
            <w:tcBorders>
              <w:left w:val="nil"/>
              <w:bottom w:val="nil"/>
              <w:right w:val="nil"/>
            </w:tcBorders>
            <w:shd w:val="clear" w:color="auto" w:fill="auto"/>
            <w:vAlign w:val="center"/>
          </w:tcPr>
          <w:p w14:paraId="6009F6CB" w14:textId="77777777" w:rsidR="005F1566" w:rsidRPr="005F1566" w:rsidRDefault="005F1566" w:rsidP="005F1566">
            <w:pPr>
              <w:tabs>
                <w:tab w:val="center" w:pos="4153"/>
                <w:tab w:val="right" w:pos="8306"/>
              </w:tabs>
              <w:spacing w:after="0" w:line="220" w:lineRule="exact"/>
              <w:jc w:val="right"/>
              <w:rPr>
                <w:rFonts w:asciiTheme="minorHAnsi" w:eastAsia="Times New Roman" w:hAnsiTheme="minorHAnsi" w:cs="Arial"/>
                <w:bCs/>
                <w:spacing w:val="-2"/>
                <w:sz w:val="18"/>
                <w:szCs w:val="18"/>
                <w:lang w:val="hr-HR"/>
              </w:rPr>
            </w:pPr>
            <w:r w:rsidRPr="005F1566">
              <w:rPr>
                <w:rFonts w:eastAsia="Times New Roman"/>
                <w:color w:val="000000"/>
                <w:sz w:val="18"/>
                <w:szCs w:val="18"/>
                <w:lang w:val="en-US"/>
              </w:rPr>
              <w:t>-</w:t>
            </w:r>
          </w:p>
        </w:tc>
        <w:tc>
          <w:tcPr>
            <w:tcW w:w="579" w:type="pct"/>
            <w:tcBorders>
              <w:left w:val="nil"/>
              <w:bottom w:val="nil"/>
              <w:right w:val="nil"/>
            </w:tcBorders>
            <w:shd w:val="clear" w:color="auto" w:fill="auto"/>
            <w:vAlign w:val="center"/>
          </w:tcPr>
          <w:p w14:paraId="794DADC6" w14:textId="77777777" w:rsidR="005F1566" w:rsidRPr="005F1566" w:rsidRDefault="005F1566" w:rsidP="005F1566">
            <w:pPr>
              <w:tabs>
                <w:tab w:val="center" w:pos="4153"/>
                <w:tab w:val="right" w:pos="8306"/>
              </w:tabs>
              <w:spacing w:after="0" w:line="220" w:lineRule="exact"/>
              <w:jc w:val="right"/>
              <w:rPr>
                <w:rFonts w:asciiTheme="minorHAnsi" w:eastAsia="Times New Roman" w:hAnsiTheme="minorHAnsi" w:cs="Arial"/>
                <w:bCs/>
                <w:spacing w:val="-2"/>
                <w:sz w:val="18"/>
                <w:szCs w:val="18"/>
                <w:lang w:val="hr-HR"/>
              </w:rPr>
            </w:pPr>
            <w:r w:rsidRPr="005F1566">
              <w:rPr>
                <w:rFonts w:eastAsia="Times New Roman"/>
                <w:color w:val="000000"/>
                <w:sz w:val="18"/>
                <w:szCs w:val="18"/>
                <w:lang w:val="en-US"/>
              </w:rPr>
              <w:t>-</w:t>
            </w:r>
          </w:p>
        </w:tc>
        <w:tc>
          <w:tcPr>
            <w:tcW w:w="579" w:type="pct"/>
            <w:tcBorders>
              <w:left w:val="nil"/>
              <w:bottom w:val="nil"/>
              <w:right w:val="nil"/>
            </w:tcBorders>
            <w:shd w:val="clear" w:color="auto" w:fill="auto"/>
            <w:vAlign w:val="center"/>
          </w:tcPr>
          <w:p w14:paraId="34107194" w14:textId="77777777" w:rsidR="005F1566" w:rsidRPr="005F1566" w:rsidRDefault="005F1566" w:rsidP="005F1566">
            <w:pPr>
              <w:tabs>
                <w:tab w:val="center" w:pos="4153"/>
                <w:tab w:val="right" w:pos="8306"/>
              </w:tabs>
              <w:spacing w:after="0" w:line="220" w:lineRule="exact"/>
              <w:jc w:val="right"/>
              <w:rPr>
                <w:rFonts w:asciiTheme="minorHAnsi" w:eastAsia="Times New Roman" w:hAnsiTheme="minorHAnsi" w:cs="Arial"/>
                <w:bCs/>
                <w:spacing w:val="-2"/>
                <w:sz w:val="18"/>
                <w:szCs w:val="18"/>
                <w:lang w:val="hr-HR"/>
              </w:rPr>
            </w:pPr>
            <w:r w:rsidRPr="005F1566">
              <w:rPr>
                <w:rFonts w:eastAsia="Times New Roman"/>
                <w:color w:val="000000"/>
                <w:sz w:val="18"/>
                <w:szCs w:val="18"/>
                <w:lang w:val="en-US"/>
              </w:rPr>
              <w:t>12,375</w:t>
            </w:r>
          </w:p>
        </w:tc>
        <w:tc>
          <w:tcPr>
            <w:tcW w:w="601" w:type="pct"/>
            <w:tcBorders>
              <w:left w:val="nil"/>
              <w:bottom w:val="nil"/>
              <w:right w:val="nil"/>
            </w:tcBorders>
            <w:shd w:val="clear" w:color="auto" w:fill="auto"/>
            <w:vAlign w:val="center"/>
          </w:tcPr>
          <w:p w14:paraId="75E1FCED" w14:textId="77777777" w:rsidR="005F1566" w:rsidRPr="005F1566" w:rsidRDefault="005F1566" w:rsidP="005F1566">
            <w:pPr>
              <w:tabs>
                <w:tab w:val="center" w:pos="4153"/>
                <w:tab w:val="right" w:pos="8306"/>
              </w:tabs>
              <w:spacing w:after="0" w:line="220" w:lineRule="exact"/>
              <w:jc w:val="right"/>
              <w:rPr>
                <w:rFonts w:asciiTheme="minorHAnsi" w:eastAsia="Times New Roman" w:hAnsiTheme="minorHAnsi" w:cs="Arial"/>
                <w:bCs/>
                <w:spacing w:val="-2"/>
                <w:sz w:val="18"/>
                <w:szCs w:val="18"/>
                <w:lang w:val="hr-HR"/>
              </w:rPr>
            </w:pPr>
            <w:r w:rsidRPr="005F1566">
              <w:rPr>
                <w:rFonts w:eastAsia="Times New Roman"/>
                <w:color w:val="000000"/>
                <w:sz w:val="18"/>
                <w:szCs w:val="18"/>
                <w:lang w:val="en-US"/>
              </w:rPr>
              <w:t>12,375</w:t>
            </w:r>
          </w:p>
        </w:tc>
      </w:tr>
      <w:tr w:rsidR="005F1566" w:rsidRPr="005F1566" w14:paraId="205F88F7" w14:textId="77777777" w:rsidTr="005F1566">
        <w:trPr>
          <w:trHeight w:val="103"/>
        </w:trPr>
        <w:tc>
          <w:tcPr>
            <w:tcW w:w="1504" w:type="pct"/>
            <w:vAlign w:val="center"/>
          </w:tcPr>
          <w:p w14:paraId="15477447" w14:textId="77777777" w:rsidR="005F1566" w:rsidRPr="005F1566" w:rsidRDefault="005F1566" w:rsidP="005F1566">
            <w:pPr>
              <w:tabs>
                <w:tab w:val="right" w:pos="1202"/>
              </w:tabs>
              <w:spacing w:after="0" w:line="80" w:lineRule="exact"/>
              <w:outlineLvl w:val="0"/>
              <w:rPr>
                <w:rFonts w:asciiTheme="minorHAnsi" w:eastAsia="Times New Roman" w:hAnsiTheme="minorHAnsi" w:cs="Arial"/>
                <w:bCs/>
                <w:sz w:val="18"/>
                <w:szCs w:val="18"/>
                <w:lang w:val="hr-HR"/>
              </w:rPr>
            </w:pPr>
          </w:p>
        </w:tc>
        <w:tc>
          <w:tcPr>
            <w:tcW w:w="579" w:type="pct"/>
            <w:tcBorders>
              <w:bottom w:val="single" w:sz="8" w:space="0" w:color="auto"/>
            </w:tcBorders>
            <w:vAlign w:val="bottom"/>
          </w:tcPr>
          <w:p w14:paraId="71447A5E" w14:textId="77777777" w:rsidR="005F1566" w:rsidRPr="005F1566" w:rsidRDefault="005F1566" w:rsidP="005F1566">
            <w:pPr>
              <w:tabs>
                <w:tab w:val="center" w:pos="4153"/>
                <w:tab w:val="right" w:pos="8306"/>
              </w:tabs>
              <w:spacing w:after="0" w:line="80" w:lineRule="exact"/>
              <w:jc w:val="right"/>
              <w:rPr>
                <w:rFonts w:asciiTheme="minorHAnsi" w:eastAsia="Times New Roman" w:hAnsiTheme="minorHAnsi" w:cs="Arial"/>
                <w:bCs/>
                <w:sz w:val="18"/>
                <w:szCs w:val="18"/>
                <w:lang w:val="hr-HR"/>
              </w:rPr>
            </w:pPr>
          </w:p>
        </w:tc>
        <w:tc>
          <w:tcPr>
            <w:tcW w:w="579" w:type="pct"/>
            <w:tcBorders>
              <w:bottom w:val="single" w:sz="8" w:space="0" w:color="auto"/>
            </w:tcBorders>
            <w:vAlign w:val="bottom"/>
          </w:tcPr>
          <w:p w14:paraId="6B17594A" w14:textId="77777777" w:rsidR="005F1566" w:rsidRPr="005F1566" w:rsidRDefault="005F1566" w:rsidP="005F1566">
            <w:pPr>
              <w:tabs>
                <w:tab w:val="center" w:pos="4153"/>
                <w:tab w:val="right" w:pos="8306"/>
              </w:tabs>
              <w:spacing w:after="0" w:line="80" w:lineRule="exact"/>
              <w:jc w:val="right"/>
              <w:rPr>
                <w:rFonts w:asciiTheme="minorHAnsi" w:eastAsia="Times New Roman" w:hAnsiTheme="minorHAnsi" w:cs="Arial"/>
                <w:bCs/>
                <w:sz w:val="18"/>
                <w:szCs w:val="18"/>
                <w:lang w:val="hr-HR"/>
              </w:rPr>
            </w:pPr>
          </w:p>
        </w:tc>
        <w:tc>
          <w:tcPr>
            <w:tcW w:w="579" w:type="pct"/>
            <w:tcBorders>
              <w:bottom w:val="single" w:sz="8" w:space="0" w:color="auto"/>
            </w:tcBorders>
            <w:vAlign w:val="bottom"/>
          </w:tcPr>
          <w:p w14:paraId="79C95082" w14:textId="77777777" w:rsidR="005F1566" w:rsidRPr="005F1566" w:rsidRDefault="005F1566" w:rsidP="005F1566">
            <w:pPr>
              <w:tabs>
                <w:tab w:val="center" w:pos="4153"/>
                <w:tab w:val="right" w:pos="8306"/>
              </w:tabs>
              <w:spacing w:after="0" w:line="80" w:lineRule="exact"/>
              <w:jc w:val="right"/>
              <w:rPr>
                <w:rFonts w:asciiTheme="minorHAnsi" w:eastAsia="Times New Roman" w:hAnsiTheme="minorHAnsi" w:cs="Arial"/>
                <w:bCs/>
                <w:sz w:val="18"/>
                <w:szCs w:val="18"/>
                <w:lang w:val="hr-HR"/>
              </w:rPr>
            </w:pPr>
          </w:p>
        </w:tc>
        <w:tc>
          <w:tcPr>
            <w:tcW w:w="579" w:type="pct"/>
            <w:tcBorders>
              <w:bottom w:val="single" w:sz="8" w:space="0" w:color="auto"/>
            </w:tcBorders>
            <w:vAlign w:val="bottom"/>
          </w:tcPr>
          <w:p w14:paraId="3B228955" w14:textId="77777777" w:rsidR="005F1566" w:rsidRPr="005F1566" w:rsidRDefault="005F1566" w:rsidP="005F1566">
            <w:pPr>
              <w:tabs>
                <w:tab w:val="center" w:pos="4153"/>
                <w:tab w:val="right" w:pos="8306"/>
              </w:tabs>
              <w:spacing w:after="0" w:line="80" w:lineRule="exact"/>
              <w:jc w:val="right"/>
              <w:rPr>
                <w:rFonts w:asciiTheme="minorHAnsi" w:eastAsia="Times New Roman" w:hAnsiTheme="minorHAnsi" w:cs="Arial"/>
                <w:bCs/>
                <w:sz w:val="18"/>
                <w:szCs w:val="18"/>
                <w:lang w:val="hr-HR"/>
              </w:rPr>
            </w:pPr>
          </w:p>
        </w:tc>
        <w:tc>
          <w:tcPr>
            <w:tcW w:w="579" w:type="pct"/>
            <w:tcBorders>
              <w:bottom w:val="single" w:sz="8" w:space="0" w:color="auto"/>
            </w:tcBorders>
            <w:vAlign w:val="bottom"/>
          </w:tcPr>
          <w:p w14:paraId="36FB5054" w14:textId="77777777" w:rsidR="005F1566" w:rsidRPr="005F1566" w:rsidRDefault="005F1566" w:rsidP="005F1566">
            <w:pPr>
              <w:tabs>
                <w:tab w:val="center" w:pos="4153"/>
                <w:tab w:val="right" w:pos="8306"/>
              </w:tabs>
              <w:spacing w:after="0" w:line="80" w:lineRule="exact"/>
              <w:jc w:val="right"/>
              <w:rPr>
                <w:rFonts w:asciiTheme="minorHAnsi" w:eastAsia="Times New Roman" w:hAnsiTheme="minorHAnsi" w:cs="Arial"/>
                <w:bCs/>
                <w:sz w:val="18"/>
                <w:szCs w:val="18"/>
                <w:lang w:val="hr-HR"/>
              </w:rPr>
            </w:pPr>
          </w:p>
        </w:tc>
        <w:tc>
          <w:tcPr>
            <w:tcW w:w="601" w:type="pct"/>
            <w:tcBorders>
              <w:bottom w:val="single" w:sz="8" w:space="0" w:color="auto"/>
            </w:tcBorders>
            <w:vAlign w:val="bottom"/>
          </w:tcPr>
          <w:p w14:paraId="6245872C" w14:textId="77777777" w:rsidR="005F1566" w:rsidRPr="005F1566" w:rsidRDefault="005F1566" w:rsidP="005F1566">
            <w:pPr>
              <w:tabs>
                <w:tab w:val="center" w:pos="4153"/>
                <w:tab w:val="right" w:pos="8306"/>
              </w:tabs>
              <w:spacing w:after="0" w:line="80" w:lineRule="exact"/>
              <w:jc w:val="right"/>
              <w:rPr>
                <w:rFonts w:asciiTheme="minorHAnsi" w:eastAsia="Times New Roman" w:hAnsiTheme="minorHAnsi" w:cs="Arial"/>
                <w:bCs/>
                <w:sz w:val="18"/>
                <w:szCs w:val="18"/>
                <w:lang w:val="hr-HR"/>
              </w:rPr>
            </w:pPr>
          </w:p>
        </w:tc>
      </w:tr>
      <w:tr w:rsidR="005F1566" w:rsidRPr="005F1566" w14:paraId="2A217278" w14:textId="77777777" w:rsidTr="005F1566">
        <w:trPr>
          <w:trHeight w:hRule="exact" w:val="340"/>
        </w:trPr>
        <w:tc>
          <w:tcPr>
            <w:tcW w:w="1504" w:type="pct"/>
            <w:vAlign w:val="center"/>
          </w:tcPr>
          <w:p w14:paraId="0C162760"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bCs/>
                <w:sz w:val="18"/>
                <w:szCs w:val="18"/>
              </w:rPr>
            </w:pPr>
            <w:r w:rsidRPr="005F1566">
              <w:rPr>
                <w:rFonts w:asciiTheme="minorHAnsi" w:eastAsia="Times New Roman" w:hAnsiTheme="minorHAnsi" w:cs="Arial"/>
                <w:b/>
                <w:bCs/>
                <w:sz w:val="18"/>
                <w:szCs w:val="18"/>
              </w:rPr>
              <w:t>Total equity</w:t>
            </w:r>
          </w:p>
        </w:tc>
        <w:tc>
          <w:tcPr>
            <w:tcW w:w="579" w:type="pct"/>
            <w:tcBorders>
              <w:top w:val="single" w:sz="4" w:space="0" w:color="auto"/>
              <w:left w:val="nil"/>
              <w:bottom w:val="single" w:sz="8" w:space="0" w:color="auto"/>
              <w:right w:val="nil"/>
            </w:tcBorders>
            <w:shd w:val="clear" w:color="auto" w:fill="auto"/>
            <w:vAlign w:val="center"/>
          </w:tcPr>
          <w:p w14:paraId="48F157D4" w14:textId="77777777" w:rsidR="005F1566" w:rsidRPr="005F1566" w:rsidRDefault="005F1566" w:rsidP="005F1566">
            <w:pPr>
              <w:keepNext/>
              <w:keepLines/>
              <w:spacing w:after="0" w:line="220" w:lineRule="exact"/>
              <w:jc w:val="right"/>
              <w:rPr>
                <w:rFonts w:asciiTheme="minorHAnsi" w:eastAsia="Times New Roman" w:hAnsiTheme="minorHAnsi" w:cs="Arial"/>
                <w:b/>
                <w:bCs/>
                <w:spacing w:val="-2"/>
                <w:position w:val="4"/>
                <w:sz w:val="18"/>
                <w:szCs w:val="18"/>
                <w:lang w:val="hr-HR"/>
              </w:rPr>
            </w:pPr>
            <w:r w:rsidRPr="005F1566">
              <w:rPr>
                <w:rFonts w:eastAsia="Times New Roman"/>
                <w:bCs/>
                <w:color w:val="000000"/>
                <w:position w:val="4"/>
                <w:sz w:val="18"/>
                <w:szCs w:val="18"/>
                <w:lang w:val="en-US"/>
              </w:rPr>
              <w:t>-</w:t>
            </w:r>
          </w:p>
        </w:tc>
        <w:tc>
          <w:tcPr>
            <w:tcW w:w="579" w:type="pct"/>
            <w:tcBorders>
              <w:top w:val="single" w:sz="4" w:space="0" w:color="auto"/>
              <w:left w:val="nil"/>
              <w:bottom w:val="single" w:sz="8" w:space="0" w:color="auto"/>
              <w:right w:val="nil"/>
            </w:tcBorders>
            <w:shd w:val="clear" w:color="auto" w:fill="auto"/>
            <w:vAlign w:val="center"/>
          </w:tcPr>
          <w:p w14:paraId="6DC34491" w14:textId="77777777" w:rsidR="005F1566" w:rsidRPr="005F1566" w:rsidRDefault="005F1566" w:rsidP="005F1566">
            <w:pPr>
              <w:tabs>
                <w:tab w:val="center" w:pos="4153"/>
                <w:tab w:val="right" w:pos="8306"/>
              </w:tabs>
              <w:spacing w:after="0" w:line="220" w:lineRule="exact"/>
              <w:jc w:val="right"/>
              <w:rPr>
                <w:rFonts w:asciiTheme="minorHAnsi" w:eastAsia="Times New Roman" w:hAnsiTheme="minorHAnsi" w:cs="Arial"/>
                <w:b/>
                <w:bCs/>
                <w:spacing w:val="-2"/>
                <w:sz w:val="18"/>
                <w:szCs w:val="18"/>
                <w:lang w:val="hr-HR"/>
              </w:rPr>
            </w:pPr>
            <w:r w:rsidRPr="005F1566">
              <w:rPr>
                <w:rFonts w:eastAsia="Times New Roman"/>
                <w:b/>
                <w:bCs/>
                <w:color w:val="000000"/>
                <w:sz w:val="18"/>
                <w:szCs w:val="18"/>
              </w:rPr>
              <w:t>-</w:t>
            </w:r>
          </w:p>
        </w:tc>
        <w:tc>
          <w:tcPr>
            <w:tcW w:w="579" w:type="pct"/>
            <w:tcBorders>
              <w:top w:val="single" w:sz="4" w:space="0" w:color="auto"/>
              <w:left w:val="nil"/>
              <w:bottom w:val="single" w:sz="8" w:space="0" w:color="auto"/>
              <w:right w:val="nil"/>
            </w:tcBorders>
            <w:shd w:val="clear" w:color="auto" w:fill="auto"/>
            <w:vAlign w:val="center"/>
          </w:tcPr>
          <w:p w14:paraId="772A65BC" w14:textId="77777777" w:rsidR="005F1566" w:rsidRPr="005F1566" w:rsidRDefault="005F1566" w:rsidP="005F1566">
            <w:pPr>
              <w:tabs>
                <w:tab w:val="center" w:pos="4153"/>
                <w:tab w:val="right" w:pos="8306"/>
              </w:tabs>
              <w:spacing w:after="0" w:line="220" w:lineRule="exact"/>
              <w:jc w:val="right"/>
              <w:rPr>
                <w:rFonts w:asciiTheme="minorHAnsi" w:eastAsia="Times New Roman" w:hAnsiTheme="minorHAnsi" w:cs="Arial"/>
                <w:b/>
                <w:bCs/>
                <w:spacing w:val="-2"/>
                <w:sz w:val="18"/>
                <w:szCs w:val="18"/>
                <w:lang w:val="hr-HR"/>
              </w:rPr>
            </w:pPr>
            <w:r w:rsidRPr="005F1566">
              <w:rPr>
                <w:rFonts w:eastAsia="Times New Roman"/>
                <w:b/>
                <w:bCs/>
                <w:color w:val="000000"/>
                <w:sz w:val="18"/>
                <w:szCs w:val="18"/>
              </w:rPr>
              <w:t>-</w:t>
            </w:r>
          </w:p>
        </w:tc>
        <w:tc>
          <w:tcPr>
            <w:tcW w:w="579" w:type="pct"/>
            <w:tcBorders>
              <w:top w:val="single" w:sz="4" w:space="0" w:color="auto"/>
              <w:left w:val="nil"/>
              <w:bottom w:val="single" w:sz="8" w:space="0" w:color="auto"/>
              <w:right w:val="nil"/>
            </w:tcBorders>
            <w:shd w:val="clear" w:color="auto" w:fill="auto"/>
            <w:vAlign w:val="center"/>
          </w:tcPr>
          <w:p w14:paraId="308DCF44" w14:textId="77777777" w:rsidR="005F1566" w:rsidRPr="005F1566" w:rsidRDefault="005F1566" w:rsidP="005F1566">
            <w:pPr>
              <w:keepNext/>
              <w:keepLines/>
              <w:spacing w:after="0" w:line="220" w:lineRule="exact"/>
              <w:jc w:val="right"/>
              <w:rPr>
                <w:rFonts w:asciiTheme="minorHAnsi" w:eastAsia="Times New Roman" w:hAnsiTheme="minorHAnsi" w:cs="Arial"/>
                <w:b/>
                <w:bCs/>
                <w:spacing w:val="-2"/>
                <w:position w:val="4"/>
                <w:sz w:val="18"/>
                <w:szCs w:val="18"/>
                <w:lang w:val="hr-HR"/>
              </w:rPr>
            </w:pPr>
            <w:r w:rsidRPr="005F1566">
              <w:rPr>
                <w:rFonts w:eastAsia="Times New Roman"/>
                <w:bCs/>
                <w:color w:val="000000"/>
                <w:position w:val="4"/>
                <w:sz w:val="18"/>
                <w:szCs w:val="18"/>
                <w:lang w:val="en-US"/>
              </w:rPr>
              <w:t>-</w:t>
            </w:r>
          </w:p>
        </w:tc>
        <w:tc>
          <w:tcPr>
            <w:tcW w:w="579" w:type="pct"/>
            <w:tcBorders>
              <w:top w:val="single" w:sz="4" w:space="0" w:color="auto"/>
              <w:left w:val="nil"/>
              <w:bottom w:val="single" w:sz="8" w:space="0" w:color="auto"/>
              <w:right w:val="nil"/>
            </w:tcBorders>
            <w:shd w:val="clear" w:color="auto" w:fill="auto"/>
            <w:vAlign w:val="center"/>
          </w:tcPr>
          <w:p w14:paraId="4B5521D1" w14:textId="77777777" w:rsidR="005F1566" w:rsidRPr="005F1566" w:rsidRDefault="005F1566" w:rsidP="005F1566">
            <w:pPr>
              <w:spacing w:after="0" w:line="240" w:lineRule="auto"/>
              <w:jc w:val="right"/>
              <w:rPr>
                <w:rFonts w:asciiTheme="minorHAnsi" w:eastAsia="Times New Roman" w:hAnsiTheme="minorHAnsi" w:cs="Arial"/>
                <w:b/>
                <w:sz w:val="18"/>
                <w:szCs w:val="18"/>
                <w:lang w:val="en-US"/>
              </w:rPr>
            </w:pPr>
            <w:r w:rsidRPr="005F1566">
              <w:rPr>
                <w:rFonts w:eastAsia="Times New Roman"/>
                <w:b/>
                <w:bCs/>
                <w:color w:val="000000"/>
                <w:sz w:val="18"/>
                <w:szCs w:val="18"/>
                <w:lang w:val="en-US"/>
              </w:rPr>
              <w:t>10,042,708</w:t>
            </w:r>
          </w:p>
        </w:tc>
        <w:tc>
          <w:tcPr>
            <w:tcW w:w="601" w:type="pct"/>
            <w:tcBorders>
              <w:top w:val="single" w:sz="4" w:space="0" w:color="auto"/>
              <w:left w:val="nil"/>
              <w:bottom w:val="single" w:sz="8" w:space="0" w:color="auto"/>
              <w:right w:val="nil"/>
            </w:tcBorders>
            <w:shd w:val="clear" w:color="auto" w:fill="auto"/>
            <w:vAlign w:val="center"/>
          </w:tcPr>
          <w:p w14:paraId="1BFF3F05" w14:textId="77777777" w:rsidR="005F1566" w:rsidRPr="005F1566" w:rsidRDefault="005F1566" w:rsidP="005F1566">
            <w:pPr>
              <w:spacing w:after="0" w:line="240" w:lineRule="auto"/>
              <w:jc w:val="right"/>
              <w:rPr>
                <w:rFonts w:asciiTheme="minorHAnsi" w:eastAsia="Times New Roman" w:hAnsiTheme="minorHAnsi" w:cs="Arial"/>
                <w:b/>
                <w:bCs/>
                <w:sz w:val="18"/>
                <w:szCs w:val="18"/>
                <w:lang w:val="en-US"/>
              </w:rPr>
            </w:pPr>
            <w:r w:rsidRPr="005F1566">
              <w:rPr>
                <w:rFonts w:eastAsia="Times New Roman"/>
                <w:b/>
                <w:bCs/>
                <w:color w:val="000000"/>
                <w:sz w:val="18"/>
                <w:szCs w:val="18"/>
                <w:lang w:val="en-US"/>
              </w:rPr>
              <w:t>10,042,708</w:t>
            </w:r>
          </w:p>
        </w:tc>
      </w:tr>
      <w:tr w:rsidR="005F1566" w:rsidRPr="005F1566" w14:paraId="6B55D593" w14:textId="77777777" w:rsidTr="005F1566">
        <w:trPr>
          <w:trHeight w:val="269"/>
        </w:trPr>
        <w:tc>
          <w:tcPr>
            <w:tcW w:w="1504" w:type="pct"/>
            <w:vAlign w:val="bottom"/>
          </w:tcPr>
          <w:p w14:paraId="60311C4A"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bCs/>
                <w:sz w:val="18"/>
                <w:szCs w:val="18"/>
              </w:rPr>
            </w:pPr>
            <w:r w:rsidRPr="005F1566">
              <w:rPr>
                <w:rFonts w:asciiTheme="minorHAnsi" w:eastAsia="Times New Roman" w:hAnsiTheme="minorHAnsi" w:cs="Arial"/>
                <w:b/>
                <w:bCs/>
                <w:sz w:val="18"/>
                <w:szCs w:val="18"/>
              </w:rPr>
              <w:t>Total liabilities and total equity (2)</w:t>
            </w:r>
          </w:p>
        </w:tc>
        <w:tc>
          <w:tcPr>
            <w:tcW w:w="579" w:type="pct"/>
            <w:tcBorders>
              <w:top w:val="nil"/>
              <w:left w:val="nil"/>
              <w:bottom w:val="single" w:sz="12" w:space="0" w:color="auto"/>
              <w:right w:val="nil"/>
            </w:tcBorders>
            <w:shd w:val="clear" w:color="auto" w:fill="auto"/>
            <w:vAlign w:val="center"/>
          </w:tcPr>
          <w:p w14:paraId="571733A6" w14:textId="77777777" w:rsidR="005F1566" w:rsidRPr="005F1566" w:rsidRDefault="005F1566" w:rsidP="005F1566">
            <w:pPr>
              <w:spacing w:after="0" w:line="240" w:lineRule="auto"/>
              <w:jc w:val="right"/>
              <w:rPr>
                <w:rFonts w:asciiTheme="minorHAnsi" w:eastAsia="Times New Roman" w:hAnsiTheme="minorHAnsi" w:cs="Arial"/>
                <w:b/>
                <w:bCs/>
                <w:sz w:val="18"/>
                <w:szCs w:val="18"/>
                <w:lang w:val="en-US"/>
              </w:rPr>
            </w:pPr>
            <w:r w:rsidRPr="005F1566">
              <w:rPr>
                <w:rFonts w:eastAsia="Times New Roman"/>
                <w:b/>
                <w:bCs/>
                <w:color w:val="000000"/>
                <w:sz w:val="18"/>
                <w:szCs w:val="18"/>
                <w:lang w:val="en-US"/>
              </w:rPr>
              <w:t>582,223</w:t>
            </w:r>
          </w:p>
        </w:tc>
        <w:tc>
          <w:tcPr>
            <w:tcW w:w="579" w:type="pct"/>
            <w:tcBorders>
              <w:top w:val="nil"/>
              <w:left w:val="nil"/>
              <w:bottom w:val="single" w:sz="12" w:space="0" w:color="auto"/>
              <w:right w:val="nil"/>
            </w:tcBorders>
            <w:shd w:val="clear" w:color="auto" w:fill="auto"/>
            <w:vAlign w:val="center"/>
          </w:tcPr>
          <w:p w14:paraId="30254F4E" w14:textId="77777777" w:rsidR="005F1566" w:rsidRPr="005F1566" w:rsidRDefault="005F1566" w:rsidP="005F1566">
            <w:pPr>
              <w:spacing w:after="0" w:line="240" w:lineRule="auto"/>
              <w:jc w:val="right"/>
              <w:rPr>
                <w:rFonts w:asciiTheme="minorHAnsi" w:eastAsia="Times New Roman" w:hAnsiTheme="minorHAnsi" w:cs="Arial"/>
                <w:b/>
                <w:bCs/>
                <w:sz w:val="18"/>
                <w:szCs w:val="18"/>
                <w:lang w:val="en-US"/>
              </w:rPr>
            </w:pPr>
            <w:r w:rsidRPr="005F1566">
              <w:rPr>
                <w:rFonts w:eastAsia="Times New Roman"/>
                <w:b/>
                <w:bCs/>
                <w:color w:val="000000"/>
                <w:sz w:val="18"/>
                <w:szCs w:val="18"/>
                <w:lang w:val="en-US"/>
              </w:rPr>
              <w:t>363,189</w:t>
            </w:r>
          </w:p>
        </w:tc>
        <w:tc>
          <w:tcPr>
            <w:tcW w:w="579" w:type="pct"/>
            <w:tcBorders>
              <w:top w:val="nil"/>
              <w:left w:val="nil"/>
              <w:bottom w:val="single" w:sz="12" w:space="0" w:color="auto"/>
              <w:right w:val="nil"/>
            </w:tcBorders>
            <w:shd w:val="clear" w:color="auto" w:fill="auto"/>
            <w:vAlign w:val="center"/>
          </w:tcPr>
          <w:p w14:paraId="226041AC" w14:textId="77777777" w:rsidR="005F1566" w:rsidRPr="005F1566" w:rsidRDefault="005F1566" w:rsidP="005F1566">
            <w:pPr>
              <w:spacing w:after="0" w:line="240" w:lineRule="auto"/>
              <w:jc w:val="right"/>
              <w:rPr>
                <w:rFonts w:asciiTheme="minorHAnsi" w:eastAsia="Times New Roman" w:hAnsiTheme="minorHAnsi" w:cs="Arial"/>
                <w:b/>
                <w:bCs/>
                <w:sz w:val="18"/>
                <w:szCs w:val="18"/>
                <w:lang w:val="en-US"/>
              </w:rPr>
            </w:pPr>
            <w:r w:rsidRPr="005F1566">
              <w:rPr>
                <w:rFonts w:eastAsia="Times New Roman"/>
                <w:b/>
                <w:bCs/>
                <w:color w:val="000000"/>
                <w:sz w:val="18"/>
                <w:szCs w:val="18"/>
                <w:lang w:val="en-US"/>
              </w:rPr>
              <w:t>3,024,746</w:t>
            </w:r>
          </w:p>
        </w:tc>
        <w:tc>
          <w:tcPr>
            <w:tcW w:w="579" w:type="pct"/>
            <w:tcBorders>
              <w:top w:val="nil"/>
              <w:left w:val="nil"/>
              <w:bottom w:val="single" w:sz="12" w:space="0" w:color="auto"/>
              <w:right w:val="nil"/>
            </w:tcBorders>
            <w:shd w:val="clear" w:color="auto" w:fill="auto"/>
            <w:vAlign w:val="center"/>
          </w:tcPr>
          <w:p w14:paraId="61C43142" w14:textId="77777777" w:rsidR="005F1566" w:rsidRPr="005F1566" w:rsidRDefault="005F1566" w:rsidP="005F1566">
            <w:pPr>
              <w:spacing w:after="0" w:line="240" w:lineRule="auto"/>
              <w:jc w:val="right"/>
              <w:rPr>
                <w:rFonts w:asciiTheme="minorHAnsi" w:eastAsia="Times New Roman" w:hAnsiTheme="minorHAnsi" w:cs="Arial"/>
                <w:b/>
                <w:bCs/>
                <w:sz w:val="18"/>
                <w:szCs w:val="18"/>
                <w:lang w:val="en-US"/>
              </w:rPr>
            </w:pPr>
            <w:r w:rsidRPr="005F1566">
              <w:rPr>
                <w:rFonts w:eastAsia="Times New Roman"/>
                <w:b/>
                <w:bCs/>
                <w:color w:val="000000"/>
                <w:sz w:val="18"/>
                <w:szCs w:val="18"/>
                <w:lang w:val="en-US"/>
              </w:rPr>
              <w:t>3,300,979</w:t>
            </w:r>
          </w:p>
        </w:tc>
        <w:tc>
          <w:tcPr>
            <w:tcW w:w="579" w:type="pct"/>
            <w:tcBorders>
              <w:top w:val="nil"/>
              <w:left w:val="nil"/>
              <w:bottom w:val="single" w:sz="12" w:space="0" w:color="auto"/>
              <w:right w:val="nil"/>
            </w:tcBorders>
            <w:shd w:val="clear" w:color="auto" w:fill="auto"/>
            <w:vAlign w:val="center"/>
          </w:tcPr>
          <w:p w14:paraId="3EA29FA5" w14:textId="77777777" w:rsidR="005F1566" w:rsidRPr="005F1566" w:rsidRDefault="005F1566" w:rsidP="005F1566">
            <w:pPr>
              <w:spacing w:after="0" w:line="240" w:lineRule="auto"/>
              <w:jc w:val="right"/>
              <w:rPr>
                <w:rFonts w:asciiTheme="minorHAnsi" w:eastAsia="Times New Roman" w:hAnsiTheme="minorHAnsi" w:cs="Arial"/>
                <w:b/>
                <w:bCs/>
                <w:sz w:val="18"/>
                <w:szCs w:val="18"/>
                <w:lang w:val="en-US"/>
              </w:rPr>
            </w:pPr>
            <w:r w:rsidRPr="005F1566">
              <w:rPr>
                <w:rFonts w:eastAsia="Times New Roman"/>
                <w:b/>
                <w:bCs/>
                <w:color w:val="000000"/>
                <w:sz w:val="18"/>
                <w:szCs w:val="18"/>
                <w:lang w:val="en-US"/>
              </w:rPr>
              <w:t>20,119,685</w:t>
            </w:r>
          </w:p>
        </w:tc>
        <w:tc>
          <w:tcPr>
            <w:tcW w:w="601" w:type="pct"/>
            <w:tcBorders>
              <w:top w:val="nil"/>
              <w:left w:val="nil"/>
              <w:bottom w:val="single" w:sz="12" w:space="0" w:color="auto"/>
              <w:right w:val="nil"/>
            </w:tcBorders>
            <w:shd w:val="clear" w:color="auto" w:fill="auto"/>
            <w:vAlign w:val="center"/>
          </w:tcPr>
          <w:p w14:paraId="7FD361A4" w14:textId="77777777" w:rsidR="005F1566" w:rsidRPr="005F1566" w:rsidRDefault="005F1566" w:rsidP="005F1566">
            <w:pPr>
              <w:spacing w:after="0" w:line="240" w:lineRule="auto"/>
              <w:jc w:val="right"/>
              <w:rPr>
                <w:rFonts w:asciiTheme="minorHAnsi" w:eastAsia="Times New Roman" w:hAnsiTheme="minorHAnsi" w:cs="Arial"/>
                <w:b/>
                <w:bCs/>
                <w:sz w:val="18"/>
                <w:szCs w:val="18"/>
                <w:lang w:val="en-US"/>
              </w:rPr>
            </w:pPr>
            <w:r w:rsidRPr="005F1566">
              <w:rPr>
                <w:rFonts w:eastAsia="Times New Roman"/>
                <w:b/>
                <w:bCs/>
                <w:color w:val="000000"/>
                <w:sz w:val="18"/>
                <w:szCs w:val="18"/>
                <w:lang w:val="en-US"/>
              </w:rPr>
              <w:t>27,390,822</w:t>
            </w:r>
          </w:p>
        </w:tc>
      </w:tr>
      <w:tr w:rsidR="005F1566" w:rsidRPr="005F1566" w14:paraId="0211B259" w14:textId="77777777" w:rsidTr="005F1566">
        <w:trPr>
          <w:trHeight w:val="179"/>
        </w:trPr>
        <w:tc>
          <w:tcPr>
            <w:tcW w:w="1504" w:type="pct"/>
            <w:vAlign w:val="bottom"/>
          </w:tcPr>
          <w:p w14:paraId="56EF5220"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bCs/>
                <w:spacing w:val="-2"/>
                <w:sz w:val="18"/>
                <w:szCs w:val="18"/>
              </w:rPr>
            </w:pPr>
            <w:r w:rsidRPr="005F1566">
              <w:rPr>
                <w:rFonts w:asciiTheme="minorHAnsi" w:eastAsia="Times New Roman" w:hAnsiTheme="minorHAnsi" w:cs="Arial"/>
                <w:b/>
                <w:bCs/>
                <w:spacing w:val="-2"/>
                <w:sz w:val="18"/>
                <w:szCs w:val="18"/>
              </w:rPr>
              <w:t>Net assets/liabilities (1) – (2)</w:t>
            </w:r>
          </w:p>
        </w:tc>
        <w:tc>
          <w:tcPr>
            <w:tcW w:w="579" w:type="pct"/>
            <w:tcBorders>
              <w:top w:val="single" w:sz="4" w:space="0" w:color="auto"/>
              <w:left w:val="nil"/>
              <w:bottom w:val="single" w:sz="12" w:space="0" w:color="auto"/>
              <w:right w:val="nil"/>
            </w:tcBorders>
            <w:shd w:val="clear" w:color="auto" w:fill="auto"/>
            <w:vAlign w:val="bottom"/>
          </w:tcPr>
          <w:p w14:paraId="362E7ADB" w14:textId="77777777" w:rsidR="005F1566" w:rsidRPr="005F1566" w:rsidRDefault="005F1566" w:rsidP="005F1566">
            <w:pPr>
              <w:spacing w:after="0" w:line="240" w:lineRule="auto"/>
              <w:jc w:val="right"/>
              <w:rPr>
                <w:rFonts w:asciiTheme="minorHAnsi" w:eastAsia="Times New Roman" w:hAnsiTheme="minorHAnsi" w:cs="Arial"/>
                <w:b/>
                <w:sz w:val="18"/>
                <w:szCs w:val="18"/>
                <w:lang w:val="en-US"/>
              </w:rPr>
            </w:pPr>
            <w:r w:rsidRPr="005F1566">
              <w:rPr>
                <w:rFonts w:eastAsia="Times New Roman"/>
                <w:b/>
                <w:bCs/>
                <w:color w:val="000000"/>
                <w:sz w:val="18"/>
                <w:szCs w:val="18"/>
                <w:lang w:val="en-US"/>
              </w:rPr>
              <w:t>5,399,523</w:t>
            </w:r>
          </w:p>
        </w:tc>
        <w:tc>
          <w:tcPr>
            <w:tcW w:w="579" w:type="pct"/>
            <w:tcBorders>
              <w:top w:val="single" w:sz="4" w:space="0" w:color="auto"/>
              <w:left w:val="nil"/>
              <w:bottom w:val="single" w:sz="12" w:space="0" w:color="auto"/>
              <w:right w:val="nil"/>
            </w:tcBorders>
            <w:shd w:val="clear" w:color="auto" w:fill="auto"/>
            <w:vAlign w:val="bottom"/>
          </w:tcPr>
          <w:p w14:paraId="302BE63F" w14:textId="77777777" w:rsidR="005F1566" w:rsidRPr="005F1566" w:rsidRDefault="005F1566" w:rsidP="005F1566">
            <w:pPr>
              <w:spacing w:after="0" w:line="240" w:lineRule="auto"/>
              <w:jc w:val="right"/>
              <w:rPr>
                <w:rFonts w:asciiTheme="minorHAnsi" w:eastAsia="Times New Roman" w:hAnsiTheme="minorHAnsi" w:cs="Arial"/>
                <w:b/>
                <w:sz w:val="18"/>
                <w:szCs w:val="18"/>
                <w:lang w:val="en-US"/>
              </w:rPr>
            </w:pPr>
            <w:r w:rsidRPr="005F1566">
              <w:rPr>
                <w:rFonts w:eastAsia="Times New Roman"/>
                <w:b/>
                <w:bCs/>
                <w:color w:val="000000"/>
                <w:sz w:val="18"/>
                <w:szCs w:val="18"/>
                <w:lang w:val="en-US"/>
              </w:rPr>
              <w:t>503,171</w:t>
            </w:r>
          </w:p>
        </w:tc>
        <w:tc>
          <w:tcPr>
            <w:tcW w:w="579" w:type="pct"/>
            <w:tcBorders>
              <w:top w:val="single" w:sz="4" w:space="0" w:color="auto"/>
              <w:left w:val="nil"/>
              <w:bottom w:val="single" w:sz="12" w:space="0" w:color="auto"/>
              <w:right w:val="nil"/>
            </w:tcBorders>
            <w:shd w:val="clear" w:color="auto" w:fill="auto"/>
            <w:vAlign w:val="bottom"/>
          </w:tcPr>
          <w:p w14:paraId="1F2CCBB1" w14:textId="77777777" w:rsidR="005F1566" w:rsidRPr="005F1566" w:rsidRDefault="005F1566" w:rsidP="005F1566">
            <w:pPr>
              <w:spacing w:after="0" w:line="240" w:lineRule="auto"/>
              <w:jc w:val="right"/>
              <w:rPr>
                <w:rFonts w:asciiTheme="minorHAnsi" w:eastAsia="Times New Roman" w:hAnsiTheme="minorHAnsi" w:cs="Arial"/>
                <w:b/>
                <w:sz w:val="18"/>
                <w:szCs w:val="18"/>
                <w:lang w:val="en-US"/>
              </w:rPr>
            </w:pPr>
            <w:r w:rsidRPr="005F1566">
              <w:rPr>
                <w:rFonts w:eastAsia="Times New Roman"/>
                <w:b/>
                <w:bCs/>
                <w:color w:val="000000"/>
                <w:sz w:val="18"/>
                <w:szCs w:val="18"/>
                <w:lang w:val="en-US"/>
              </w:rPr>
              <w:t>(300,169)</w:t>
            </w:r>
          </w:p>
        </w:tc>
        <w:tc>
          <w:tcPr>
            <w:tcW w:w="579" w:type="pct"/>
            <w:tcBorders>
              <w:top w:val="single" w:sz="4" w:space="0" w:color="auto"/>
              <w:left w:val="nil"/>
              <w:bottom w:val="single" w:sz="12" w:space="0" w:color="auto"/>
              <w:right w:val="nil"/>
            </w:tcBorders>
            <w:shd w:val="clear" w:color="auto" w:fill="auto"/>
            <w:vAlign w:val="bottom"/>
          </w:tcPr>
          <w:p w14:paraId="148EFFBF" w14:textId="77777777" w:rsidR="005F1566" w:rsidRPr="005F1566" w:rsidRDefault="005F1566" w:rsidP="005F1566">
            <w:pPr>
              <w:spacing w:after="0" w:line="240" w:lineRule="auto"/>
              <w:jc w:val="right"/>
              <w:rPr>
                <w:rFonts w:asciiTheme="minorHAnsi" w:eastAsia="Times New Roman" w:hAnsiTheme="minorHAnsi" w:cs="Arial"/>
                <w:b/>
                <w:sz w:val="18"/>
                <w:szCs w:val="18"/>
                <w:lang w:val="en-US"/>
              </w:rPr>
            </w:pPr>
            <w:r w:rsidRPr="005F1566">
              <w:rPr>
                <w:rFonts w:eastAsia="Times New Roman"/>
                <w:b/>
                <w:bCs/>
                <w:color w:val="000000"/>
                <w:sz w:val="18"/>
                <w:szCs w:val="18"/>
                <w:lang w:val="en-US"/>
              </w:rPr>
              <w:t>1,693,525</w:t>
            </w:r>
          </w:p>
        </w:tc>
        <w:tc>
          <w:tcPr>
            <w:tcW w:w="579" w:type="pct"/>
            <w:tcBorders>
              <w:top w:val="single" w:sz="4" w:space="0" w:color="auto"/>
              <w:left w:val="nil"/>
              <w:bottom w:val="single" w:sz="12" w:space="0" w:color="auto"/>
              <w:right w:val="nil"/>
            </w:tcBorders>
            <w:shd w:val="clear" w:color="auto" w:fill="auto"/>
            <w:vAlign w:val="bottom"/>
          </w:tcPr>
          <w:p w14:paraId="4CF60FF0" w14:textId="77777777" w:rsidR="005F1566" w:rsidRPr="005F1566" w:rsidRDefault="005F1566" w:rsidP="005F1566">
            <w:pPr>
              <w:tabs>
                <w:tab w:val="center" w:pos="4153"/>
                <w:tab w:val="right" w:pos="8306"/>
              </w:tabs>
              <w:spacing w:after="0" w:line="220" w:lineRule="exact"/>
              <w:jc w:val="right"/>
              <w:rPr>
                <w:rFonts w:asciiTheme="minorHAnsi" w:eastAsia="Times New Roman" w:hAnsiTheme="minorHAnsi" w:cs="Arial"/>
                <w:b/>
                <w:bCs/>
                <w:sz w:val="18"/>
                <w:szCs w:val="18"/>
                <w:lang w:val="hr-HR"/>
              </w:rPr>
            </w:pPr>
            <w:r w:rsidRPr="005F1566">
              <w:rPr>
                <w:rFonts w:eastAsia="Times New Roman"/>
                <w:b/>
                <w:bCs/>
                <w:color w:val="000000"/>
                <w:sz w:val="18"/>
                <w:szCs w:val="18"/>
                <w:lang w:val="en-US"/>
              </w:rPr>
              <w:t>(7,296,050)</w:t>
            </w:r>
          </w:p>
        </w:tc>
        <w:tc>
          <w:tcPr>
            <w:tcW w:w="601" w:type="pct"/>
            <w:tcBorders>
              <w:top w:val="single" w:sz="4" w:space="0" w:color="auto"/>
              <w:left w:val="nil"/>
              <w:bottom w:val="single" w:sz="12" w:space="0" w:color="auto"/>
              <w:right w:val="nil"/>
            </w:tcBorders>
            <w:shd w:val="clear" w:color="auto" w:fill="auto"/>
            <w:vAlign w:val="bottom"/>
          </w:tcPr>
          <w:p w14:paraId="16CE43F4" w14:textId="77777777" w:rsidR="005F1566" w:rsidRPr="005F1566" w:rsidRDefault="005F1566" w:rsidP="005F1566">
            <w:pPr>
              <w:tabs>
                <w:tab w:val="center" w:pos="4153"/>
                <w:tab w:val="right" w:pos="8306"/>
              </w:tabs>
              <w:spacing w:after="0" w:line="220" w:lineRule="exact"/>
              <w:jc w:val="right"/>
              <w:rPr>
                <w:rFonts w:asciiTheme="minorHAnsi" w:eastAsia="Times New Roman" w:hAnsiTheme="minorHAnsi" w:cs="Arial"/>
                <w:b/>
                <w:bCs/>
                <w:sz w:val="18"/>
                <w:szCs w:val="18"/>
                <w:lang w:val="hr-HR"/>
              </w:rPr>
            </w:pPr>
            <w:r w:rsidRPr="005F1566">
              <w:rPr>
                <w:rFonts w:eastAsia="Times New Roman"/>
                <w:b/>
                <w:bCs/>
                <w:color w:val="000000"/>
                <w:sz w:val="18"/>
                <w:szCs w:val="18"/>
                <w:lang w:val="en-US"/>
              </w:rPr>
              <w:t>-</w:t>
            </w:r>
          </w:p>
        </w:tc>
      </w:tr>
      <w:tr w:rsidR="005F1566" w:rsidRPr="005F1566" w14:paraId="788D23E4" w14:textId="77777777" w:rsidTr="005F1566">
        <w:trPr>
          <w:trHeight w:val="197"/>
        </w:trPr>
        <w:tc>
          <w:tcPr>
            <w:tcW w:w="1504" w:type="pct"/>
            <w:vAlign w:val="bottom"/>
          </w:tcPr>
          <w:p w14:paraId="7BF3B77A"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bCs/>
                <w:spacing w:val="-2"/>
                <w:sz w:val="18"/>
                <w:szCs w:val="18"/>
              </w:rPr>
            </w:pPr>
            <w:r w:rsidRPr="005F1566">
              <w:rPr>
                <w:rFonts w:asciiTheme="minorHAnsi" w:eastAsia="Times New Roman" w:hAnsiTheme="minorHAnsi" w:cs="Arial"/>
                <w:b/>
                <w:bCs/>
                <w:spacing w:val="-2"/>
                <w:sz w:val="18"/>
                <w:szCs w:val="18"/>
              </w:rPr>
              <w:t>Net cumulative assets/liabilities</w:t>
            </w:r>
          </w:p>
        </w:tc>
        <w:tc>
          <w:tcPr>
            <w:tcW w:w="579" w:type="pct"/>
            <w:tcBorders>
              <w:top w:val="single" w:sz="12" w:space="0" w:color="auto"/>
              <w:left w:val="nil"/>
              <w:bottom w:val="single" w:sz="12" w:space="0" w:color="auto"/>
              <w:right w:val="nil"/>
            </w:tcBorders>
            <w:shd w:val="clear" w:color="auto" w:fill="auto"/>
            <w:vAlign w:val="bottom"/>
          </w:tcPr>
          <w:p w14:paraId="4FD2B789" w14:textId="77777777" w:rsidR="005F1566" w:rsidRPr="005F1566" w:rsidRDefault="005F1566" w:rsidP="005F1566">
            <w:pPr>
              <w:spacing w:after="0" w:line="240" w:lineRule="auto"/>
              <w:jc w:val="right"/>
              <w:rPr>
                <w:rFonts w:asciiTheme="minorHAnsi" w:eastAsia="Times New Roman" w:hAnsiTheme="minorHAnsi" w:cs="Arial"/>
                <w:b/>
                <w:sz w:val="18"/>
                <w:szCs w:val="18"/>
                <w:lang w:val="en-US"/>
              </w:rPr>
            </w:pPr>
            <w:r w:rsidRPr="005F1566">
              <w:rPr>
                <w:rFonts w:eastAsia="Times New Roman"/>
                <w:b/>
                <w:bCs/>
                <w:color w:val="000000"/>
                <w:sz w:val="18"/>
                <w:szCs w:val="18"/>
                <w:lang w:val="en-US"/>
              </w:rPr>
              <w:t>5,399,523</w:t>
            </w:r>
          </w:p>
        </w:tc>
        <w:tc>
          <w:tcPr>
            <w:tcW w:w="579" w:type="pct"/>
            <w:tcBorders>
              <w:top w:val="single" w:sz="12" w:space="0" w:color="auto"/>
              <w:left w:val="nil"/>
              <w:bottom w:val="single" w:sz="12" w:space="0" w:color="auto"/>
              <w:right w:val="nil"/>
            </w:tcBorders>
            <w:shd w:val="clear" w:color="auto" w:fill="auto"/>
            <w:vAlign w:val="bottom"/>
          </w:tcPr>
          <w:p w14:paraId="61D7E90B" w14:textId="77777777" w:rsidR="005F1566" w:rsidRPr="005F1566" w:rsidRDefault="005F1566" w:rsidP="005F1566">
            <w:pPr>
              <w:spacing w:after="0" w:line="240" w:lineRule="auto"/>
              <w:jc w:val="right"/>
              <w:rPr>
                <w:rFonts w:asciiTheme="minorHAnsi" w:eastAsia="Times New Roman" w:hAnsiTheme="minorHAnsi" w:cs="Arial"/>
                <w:b/>
                <w:sz w:val="18"/>
                <w:szCs w:val="18"/>
                <w:lang w:val="en-US"/>
              </w:rPr>
            </w:pPr>
            <w:r w:rsidRPr="005F1566">
              <w:rPr>
                <w:rFonts w:eastAsia="Times New Roman"/>
                <w:b/>
                <w:bCs/>
                <w:color w:val="000000"/>
                <w:sz w:val="18"/>
                <w:szCs w:val="18"/>
                <w:lang w:val="en-US"/>
              </w:rPr>
              <w:t>5,902,694</w:t>
            </w:r>
          </w:p>
        </w:tc>
        <w:tc>
          <w:tcPr>
            <w:tcW w:w="579" w:type="pct"/>
            <w:tcBorders>
              <w:top w:val="single" w:sz="12" w:space="0" w:color="auto"/>
              <w:left w:val="nil"/>
              <w:bottom w:val="single" w:sz="12" w:space="0" w:color="auto"/>
              <w:right w:val="nil"/>
            </w:tcBorders>
            <w:shd w:val="clear" w:color="auto" w:fill="auto"/>
            <w:vAlign w:val="bottom"/>
          </w:tcPr>
          <w:p w14:paraId="331448E0" w14:textId="77777777" w:rsidR="005F1566" w:rsidRPr="005F1566" w:rsidRDefault="005F1566" w:rsidP="005F1566">
            <w:pPr>
              <w:spacing w:after="0" w:line="240" w:lineRule="auto"/>
              <w:jc w:val="right"/>
              <w:rPr>
                <w:rFonts w:asciiTheme="minorHAnsi" w:eastAsia="Times New Roman" w:hAnsiTheme="minorHAnsi" w:cs="Arial"/>
                <w:b/>
                <w:sz w:val="18"/>
                <w:szCs w:val="18"/>
                <w:lang w:val="en-US"/>
              </w:rPr>
            </w:pPr>
            <w:r w:rsidRPr="005F1566">
              <w:rPr>
                <w:rFonts w:eastAsia="Times New Roman"/>
                <w:b/>
                <w:bCs/>
                <w:color w:val="000000"/>
                <w:sz w:val="18"/>
                <w:szCs w:val="18"/>
                <w:lang w:val="en-US"/>
              </w:rPr>
              <w:t>5,602,525</w:t>
            </w:r>
          </w:p>
        </w:tc>
        <w:tc>
          <w:tcPr>
            <w:tcW w:w="579" w:type="pct"/>
            <w:tcBorders>
              <w:top w:val="single" w:sz="12" w:space="0" w:color="auto"/>
              <w:left w:val="nil"/>
              <w:bottom w:val="single" w:sz="12" w:space="0" w:color="auto"/>
              <w:right w:val="nil"/>
            </w:tcBorders>
            <w:shd w:val="clear" w:color="auto" w:fill="auto"/>
            <w:vAlign w:val="bottom"/>
          </w:tcPr>
          <w:p w14:paraId="2C3C9936" w14:textId="77777777" w:rsidR="005F1566" w:rsidRPr="005F1566" w:rsidRDefault="005F1566" w:rsidP="005F1566">
            <w:pPr>
              <w:spacing w:after="0" w:line="240" w:lineRule="auto"/>
              <w:jc w:val="right"/>
              <w:rPr>
                <w:rFonts w:asciiTheme="minorHAnsi" w:eastAsia="Times New Roman" w:hAnsiTheme="minorHAnsi" w:cs="Arial"/>
                <w:b/>
                <w:sz w:val="18"/>
                <w:szCs w:val="18"/>
                <w:lang w:val="en-US"/>
              </w:rPr>
            </w:pPr>
            <w:r w:rsidRPr="005F1566">
              <w:rPr>
                <w:rFonts w:eastAsia="Times New Roman"/>
                <w:b/>
                <w:bCs/>
                <w:color w:val="000000"/>
                <w:sz w:val="18"/>
                <w:szCs w:val="18"/>
                <w:lang w:val="en-US"/>
              </w:rPr>
              <w:t>7,296,050</w:t>
            </w:r>
          </w:p>
        </w:tc>
        <w:tc>
          <w:tcPr>
            <w:tcW w:w="579" w:type="pct"/>
            <w:tcBorders>
              <w:top w:val="single" w:sz="12" w:space="0" w:color="auto"/>
              <w:left w:val="nil"/>
              <w:bottom w:val="single" w:sz="12" w:space="0" w:color="auto"/>
              <w:right w:val="nil"/>
            </w:tcBorders>
            <w:shd w:val="clear" w:color="auto" w:fill="auto"/>
            <w:vAlign w:val="bottom"/>
          </w:tcPr>
          <w:p w14:paraId="2BCE6C4F" w14:textId="77777777" w:rsidR="005F1566" w:rsidRPr="005F1566" w:rsidRDefault="005F1566" w:rsidP="005F1566">
            <w:pPr>
              <w:tabs>
                <w:tab w:val="center" w:pos="4153"/>
                <w:tab w:val="right" w:pos="8306"/>
              </w:tabs>
              <w:spacing w:after="0" w:line="220" w:lineRule="exact"/>
              <w:jc w:val="right"/>
              <w:rPr>
                <w:rFonts w:asciiTheme="minorHAnsi" w:eastAsia="Times New Roman" w:hAnsiTheme="minorHAnsi" w:cs="Arial"/>
                <w:b/>
                <w:bCs/>
                <w:sz w:val="18"/>
                <w:szCs w:val="18"/>
                <w:lang w:val="hr-HR"/>
              </w:rPr>
            </w:pPr>
            <w:r w:rsidRPr="005F1566">
              <w:rPr>
                <w:rFonts w:eastAsia="Times New Roman"/>
                <w:b/>
                <w:bCs/>
                <w:color w:val="000000"/>
                <w:sz w:val="18"/>
                <w:szCs w:val="18"/>
                <w:lang w:val="en-US"/>
              </w:rPr>
              <w:t>-</w:t>
            </w:r>
          </w:p>
        </w:tc>
        <w:tc>
          <w:tcPr>
            <w:tcW w:w="601" w:type="pct"/>
            <w:tcBorders>
              <w:top w:val="single" w:sz="12" w:space="0" w:color="auto"/>
              <w:left w:val="nil"/>
              <w:bottom w:val="single" w:sz="12" w:space="0" w:color="auto"/>
              <w:right w:val="nil"/>
            </w:tcBorders>
            <w:shd w:val="clear" w:color="auto" w:fill="auto"/>
            <w:vAlign w:val="bottom"/>
          </w:tcPr>
          <w:p w14:paraId="291DD550" w14:textId="77777777" w:rsidR="005F1566" w:rsidRPr="005F1566" w:rsidRDefault="005F1566" w:rsidP="005F1566">
            <w:pPr>
              <w:tabs>
                <w:tab w:val="center" w:pos="4153"/>
                <w:tab w:val="right" w:pos="8306"/>
              </w:tabs>
              <w:spacing w:after="0" w:line="220" w:lineRule="exact"/>
              <w:jc w:val="right"/>
              <w:rPr>
                <w:rFonts w:asciiTheme="minorHAnsi" w:eastAsia="Times New Roman" w:hAnsiTheme="minorHAnsi" w:cs="Arial"/>
                <w:b/>
                <w:bCs/>
                <w:sz w:val="18"/>
                <w:szCs w:val="18"/>
                <w:lang w:val="hr-HR"/>
              </w:rPr>
            </w:pPr>
            <w:r w:rsidRPr="005F1566">
              <w:rPr>
                <w:rFonts w:eastAsia="Times New Roman"/>
                <w:b/>
                <w:bCs/>
                <w:color w:val="000000"/>
                <w:sz w:val="18"/>
                <w:szCs w:val="18"/>
                <w:lang w:val="en-US"/>
              </w:rPr>
              <w:t>-</w:t>
            </w:r>
          </w:p>
        </w:tc>
      </w:tr>
    </w:tbl>
    <w:p w14:paraId="59A6ED1E" w14:textId="77777777" w:rsidR="009702B0" w:rsidRPr="009702B0" w:rsidRDefault="009702B0" w:rsidP="009702B0">
      <w:pPr>
        <w:spacing w:after="0" w:line="240" w:lineRule="auto"/>
        <w:jc w:val="both"/>
        <w:rPr>
          <w:rFonts w:eastAsia="Times New Roman" w:cs="Arial"/>
          <w:bCs/>
          <w:sz w:val="18"/>
          <w:szCs w:val="18"/>
        </w:rPr>
      </w:pPr>
    </w:p>
    <w:p w14:paraId="73E38B83" w14:textId="77777777" w:rsidR="009702B0" w:rsidRPr="009702B0" w:rsidRDefault="009702B0" w:rsidP="009702B0">
      <w:pPr>
        <w:spacing w:after="0" w:line="240" w:lineRule="auto"/>
        <w:jc w:val="both"/>
        <w:rPr>
          <w:rFonts w:eastAsia="Times New Roman" w:cs="Arial"/>
          <w:bCs/>
          <w:sz w:val="18"/>
          <w:szCs w:val="18"/>
        </w:rPr>
      </w:pPr>
      <w:r w:rsidRPr="009702B0">
        <w:rPr>
          <w:rFonts w:eastAsia="Times New Roman" w:cs="Arial"/>
          <w:bCs/>
          <w:sz w:val="18"/>
          <w:szCs w:val="18"/>
        </w:rPr>
        <w:t>The items with undefined maturity are included in terms over 3 years.</w:t>
      </w:r>
    </w:p>
    <w:p w14:paraId="7B6C04D7" w14:textId="77777777" w:rsidR="009702B0" w:rsidRPr="009702B0" w:rsidRDefault="009702B0" w:rsidP="009702B0">
      <w:pPr>
        <w:spacing w:after="0" w:line="240" w:lineRule="auto"/>
        <w:jc w:val="both"/>
        <w:rPr>
          <w:rFonts w:eastAsia="Times New Roman" w:cs="Arial"/>
          <w:bCs/>
          <w:sz w:val="18"/>
          <w:szCs w:val="18"/>
        </w:rPr>
      </w:pPr>
    </w:p>
    <w:p w14:paraId="7A02ADCE" w14:textId="77777777" w:rsidR="009702B0" w:rsidRPr="009702B0" w:rsidRDefault="009702B0" w:rsidP="009702B0">
      <w:pPr>
        <w:jc w:val="both"/>
        <w:rPr>
          <w:rFonts w:eastAsia="Times New Roman"/>
          <w:i/>
          <w:sz w:val="18"/>
          <w:szCs w:val="18"/>
        </w:rPr>
      </w:pPr>
      <w:r w:rsidRPr="009702B0">
        <w:rPr>
          <w:b/>
          <w:i/>
          <w:sz w:val="18"/>
          <w:szCs w:val="18"/>
        </w:rPr>
        <w:t xml:space="preserve">* </w:t>
      </w:r>
      <w:r w:rsidR="005F1566" w:rsidRPr="005F1566">
        <w:rPr>
          <w:rFonts w:eastAsia="Times New Roman"/>
          <w:i/>
          <w:sz w:val="18"/>
          <w:szCs w:val="18"/>
        </w:rPr>
        <w:t>Receivables of HRK 232,489 thousand relate to reverse REPO agreements and were placed in the up to 1 month maturity category</w:t>
      </w:r>
      <w:r w:rsidRPr="009702B0">
        <w:rPr>
          <w:rFonts w:eastAsia="Times New Roman"/>
          <w:i/>
          <w:sz w:val="18"/>
          <w:szCs w:val="18"/>
        </w:rPr>
        <w:t xml:space="preserve">. </w:t>
      </w:r>
    </w:p>
    <w:p w14:paraId="53D2A1DC" w14:textId="77777777" w:rsidR="009702B0" w:rsidRPr="009702B0" w:rsidRDefault="009702B0" w:rsidP="009702B0">
      <w:pPr>
        <w:spacing w:after="0" w:line="240" w:lineRule="auto"/>
        <w:jc w:val="both"/>
        <w:rPr>
          <w:rFonts w:eastAsia="Times New Roman"/>
          <w:i/>
          <w:sz w:val="18"/>
          <w:szCs w:val="18"/>
          <w:highlight w:val="yellow"/>
        </w:rPr>
      </w:pPr>
    </w:p>
    <w:p w14:paraId="52984FA9" w14:textId="77777777" w:rsidR="009702B0" w:rsidRPr="009702B0" w:rsidRDefault="009702B0" w:rsidP="009702B0">
      <w:pPr>
        <w:spacing w:after="0" w:line="240" w:lineRule="auto"/>
        <w:jc w:val="both"/>
        <w:rPr>
          <w:rFonts w:eastAsia="Times New Roman" w:cs="Calibri"/>
          <w:b/>
          <w:sz w:val="18"/>
          <w:szCs w:val="18"/>
        </w:rPr>
        <w:sectPr w:rsidR="009702B0" w:rsidRPr="009702B0" w:rsidSect="00947CB7">
          <w:footerReference w:type="default" r:id="rId99"/>
          <w:footerReference w:type="first" r:id="rId100"/>
          <w:pgSz w:w="11906" w:h="16838" w:code="9"/>
          <w:pgMar w:top="1418" w:right="1418" w:bottom="595" w:left="1134" w:header="709" w:footer="709" w:gutter="0"/>
          <w:cols w:space="708"/>
          <w:titlePg/>
          <w:docGrid w:linePitch="360"/>
        </w:sectPr>
      </w:pPr>
    </w:p>
    <w:p w14:paraId="3834DEF6" w14:textId="77777777" w:rsidR="009702B0" w:rsidRPr="009702B0" w:rsidRDefault="009702B0" w:rsidP="009702B0">
      <w:pPr>
        <w:keepNext/>
        <w:spacing w:after="0" w:line="240" w:lineRule="auto"/>
        <w:jc w:val="both"/>
        <w:rPr>
          <w:rFonts w:eastAsia="Times New Roman" w:cs="Arial"/>
          <w:b/>
          <w:bCs/>
        </w:rPr>
      </w:pPr>
    </w:p>
    <w:p w14:paraId="5F5A51AA"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14:paraId="26FBDFD8" w14:textId="77777777" w:rsidR="009702B0" w:rsidRPr="009702B0" w:rsidRDefault="009702B0" w:rsidP="009702B0">
      <w:pPr>
        <w:keepNext/>
        <w:spacing w:after="0" w:line="240" w:lineRule="auto"/>
        <w:jc w:val="both"/>
        <w:rPr>
          <w:rFonts w:eastAsia="Times New Roman" w:cs="Arial"/>
          <w:b/>
          <w:bCs/>
        </w:rPr>
      </w:pPr>
    </w:p>
    <w:p w14:paraId="27C72954"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 xml:space="preserve">16.3. </w:t>
      </w:r>
      <w:r w:rsidRPr="009702B0">
        <w:rPr>
          <w:rFonts w:eastAsia="Times New Roman" w:cs="Arial"/>
          <w:b/>
          <w:bCs/>
        </w:rPr>
        <w:tab/>
        <w:t>Liquidity risk (continued)</w:t>
      </w:r>
    </w:p>
    <w:p w14:paraId="1E893669" w14:textId="77777777" w:rsidR="009702B0" w:rsidRPr="009702B0" w:rsidRDefault="009702B0" w:rsidP="009702B0">
      <w:pPr>
        <w:keepNext/>
        <w:spacing w:after="0" w:line="240" w:lineRule="auto"/>
        <w:jc w:val="both"/>
        <w:rPr>
          <w:rFonts w:eastAsia="Times New Roman" w:cs="Arial"/>
          <w:b/>
          <w:bCs/>
        </w:rPr>
      </w:pPr>
    </w:p>
    <w:p w14:paraId="10F92B25" w14:textId="22CAEA83" w:rsidR="009702B0" w:rsidRPr="009702B0" w:rsidRDefault="009702B0" w:rsidP="009702B0">
      <w:pPr>
        <w:tabs>
          <w:tab w:val="left" w:pos="-720"/>
        </w:tabs>
        <w:suppressAutoHyphens/>
        <w:spacing w:after="0" w:line="240" w:lineRule="auto"/>
        <w:jc w:val="both"/>
        <w:rPr>
          <w:rFonts w:cs="Arial"/>
          <w:sz w:val="20"/>
          <w:szCs w:val="20"/>
        </w:rPr>
      </w:pPr>
      <w:r w:rsidRPr="009702B0">
        <w:rPr>
          <w:rFonts w:cs="Arial"/>
          <w:sz w:val="20"/>
          <w:szCs w:val="20"/>
        </w:rPr>
        <w:t xml:space="preserve">The table below provides an analysis of total assets and total liabilities and equity as of </w:t>
      </w:r>
      <w:r w:rsidR="00F90F31" w:rsidRPr="00F90F31">
        <w:rPr>
          <w:rFonts w:cs="Arial"/>
          <w:sz w:val="20"/>
          <w:szCs w:val="20"/>
        </w:rPr>
        <w:t xml:space="preserve">30 </w:t>
      </w:r>
      <w:r w:rsidR="0010353B">
        <w:rPr>
          <w:rFonts w:cs="Arial"/>
          <w:sz w:val="20"/>
          <w:szCs w:val="20"/>
        </w:rPr>
        <w:t>September</w:t>
      </w:r>
      <w:r w:rsidR="00F90F31" w:rsidRPr="00F90F31">
        <w:rPr>
          <w:rFonts w:cs="Arial"/>
          <w:sz w:val="20"/>
          <w:szCs w:val="20"/>
        </w:rPr>
        <w:t xml:space="preserve"> </w:t>
      </w:r>
      <w:r w:rsidR="005F1566">
        <w:rPr>
          <w:rFonts w:cs="Arial"/>
          <w:sz w:val="20"/>
          <w:szCs w:val="20"/>
        </w:rPr>
        <w:t>2017</w:t>
      </w:r>
      <w:r w:rsidRPr="009702B0">
        <w:rPr>
          <w:rFonts w:cs="Arial"/>
          <w:sz w:val="20"/>
          <w:szCs w:val="20"/>
        </w:rPr>
        <w:t xml:space="preserve"> and 31 December 201</w:t>
      </w:r>
      <w:r w:rsidR="005F1566">
        <w:rPr>
          <w:rFonts w:cs="Arial"/>
          <w:sz w:val="20"/>
          <w:szCs w:val="20"/>
        </w:rPr>
        <w:t>6</w:t>
      </w:r>
      <w:r w:rsidRPr="009702B0">
        <w:rPr>
          <w:rFonts w:cs="Arial"/>
          <w:sz w:val="20"/>
          <w:szCs w:val="20"/>
        </w:rPr>
        <w:t xml:space="preserve"> placed into relevant maturity groupings based on the remaining period as at the Statement of Financial Position date related to the contractual maturity date, as follows:</w:t>
      </w:r>
    </w:p>
    <w:p w14:paraId="41F8EB7B" w14:textId="77777777" w:rsidR="009702B0" w:rsidRPr="009702B0" w:rsidRDefault="009702B0" w:rsidP="009702B0">
      <w:pPr>
        <w:tabs>
          <w:tab w:val="left" w:pos="-720"/>
        </w:tabs>
        <w:suppressAutoHyphens/>
        <w:spacing w:after="0" w:line="240" w:lineRule="auto"/>
        <w:jc w:val="both"/>
        <w:rPr>
          <w:rFonts w:cs="Arial"/>
          <w:sz w:val="20"/>
          <w:szCs w:val="20"/>
        </w:rPr>
      </w:pPr>
    </w:p>
    <w:tbl>
      <w:tblPr>
        <w:tblW w:w="5197" w:type="pct"/>
        <w:tblInd w:w="-164" w:type="dxa"/>
        <w:tblLayout w:type="fixed"/>
        <w:tblCellMar>
          <w:left w:w="120" w:type="dxa"/>
          <w:right w:w="120" w:type="dxa"/>
        </w:tblCellMar>
        <w:tblLook w:val="0000" w:firstRow="0" w:lastRow="0" w:firstColumn="0" w:lastColumn="0" w:noHBand="0" w:noVBand="0"/>
      </w:tblPr>
      <w:tblGrid>
        <w:gridCol w:w="3011"/>
        <w:gridCol w:w="1013"/>
        <w:gridCol w:w="1136"/>
        <w:gridCol w:w="1145"/>
        <w:gridCol w:w="1143"/>
        <w:gridCol w:w="1145"/>
        <w:gridCol w:w="1130"/>
      </w:tblGrid>
      <w:tr w:rsidR="009702B0" w:rsidRPr="00321238" w14:paraId="271ADEF3" w14:textId="77777777" w:rsidTr="005F1566">
        <w:trPr>
          <w:trHeight w:val="560"/>
        </w:trPr>
        <w:tc>
          <w:tcPr>
            <w:tcW w:w="1548" w:type="pct"/>
          </w:tcPr>
          <w:p w14:paraId="056E9AA4" w14:textId="77777777" w:rsidR="009702B0" w:rsidRPr="00321238" w:rsidRDefault="009702B0" w:rsidP="005F1566">
            <w:pPr>
              <w:tabs>
                <w:tab w:val="right" w:pos="1202"/>
              </w:tabs>
              <w:spacing w:after="0" w:line="240" w:lineRule="exact"/>
              <w:outlineLvl w:val="0"/>
              <w:rPr>
                <w:rFonts w:cs="Arial"/>
                <w:b/>
                <w:sz w:val="18"/>
                <w:szCs w:val="18"/>
              </w:rPr>
            </w:pPr>
            <w:r w:rsidRPr="00321238">
              <w:rPr>
                <w:rFonts w:cs="Arial"/>
                <w:b/>
                <w:sz w:val="18"/>
                <w:szCs w:val="18"/>
              </w:rPr>
              <w:t>Bank</w:t>
            </w:r>
          </w:p>
          <w:p w14:paraId="7F2F2798" w14:textId="5D9366CD" w:rsidR="009702B0" w:rsidRPr="00321238" w:rsidRDefault="001B3242" w:rsidP="005F1566">
            <w:pPr>
              <w:tabs>
                <w:tab w:val="right" w:pos="1202"/>
              </w:tabs>
              <w:spacing w:after="0" w:line="240" w:lineRule="exact"/>
              <w:outlineLvl w:val="0"/>
              <w:rPr>
                <w:rFonts w:cs="Arial"/>
                <w:b/>
                <w:sz w:val="18"/>
                <w:szCs w:val="18"/>
              </w:rPr>
            </w:pPr>
            <w:r>
              <w:rPr>
                <w:rFonts w:cs="Arial"/>
                <w:b/>
                <w:sz w:val="18"/>
                <w:szCs w:val="18"/>
              </w:rPr>
              <w:t xml:space="preserve">Sep </w:t>
            </w:r>
            <w:r w:rsidR="008D0D6C">
              <w:rPr>
                <w:rFonts w:cs="Arial"/>
                <w:b/>
                <w:sz w:val="18"/>
                <w:szCs w:val="18"/>
              </w:rPr>
              <w:t>30</w:t>
            </w:r>
            <w:r w:rsidR="009702B0" w:rsidRPr="00321238">
              <w:rPr>
                <w:rFonts w:cs="Arial"/>
                <w:b/>
                <w:sz w:val="18"/>
                <w:szCs w:val="18"/>
              </w:rPr>
              <w:t>, 201</w:t>
            </w:r>
            <w:r w:rsidR="005F1566" w:rsidRPr="00321238">
              <w:rPr>
                <w:rFonts w:cs="Arial"/>
                <w:b/>
                <w:sz w:val="18"/>
                <w:szCs w:val="18"/>
              </w:rPr>
              <w:t>7</w:t>
            </w:r>
          </w:p>
        </w:tc>
        <w:tc>
          <w:tcPr>
            <w:tcW w:w="521" w:type="pct"/>
          </w:tcPr>
          <w:p w14:paraId="4F0EDDE4" w14:textId="77777777"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 xml:space="preserve">Up to 1 </w:t>
            </w:r>
          </w:p>
          <w:p w14:paraId="08634E6C" w14:textId="77777777"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month</w:t>
            </w:r>
          </w:p>
        </w:tc>
        <w:tc>
          <w:tcPr>
            <w:tcW w:w="584" w:type="pct"/>
          </w:tcPr>
          <w:p w14:paraId="64C4297F" w14:textId="77777777"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 xml:space="preserve">1 to 3 months </w:t>
            </w:r>
          </w:p>
        </w:tc>
        <w:tc>
          <w:tcPr>
            <w:tcW w:w="589" w:type="pct"/>
          </w:tcPr>
          <w:p w14:paraId="5478EA0B" w14:textId="77777777"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 xml:space="preserve">3 months to 1 year </w:t>
            </w:r>
          </w:p>
        </w:tc>
        <w:tc>
          <w:tcPr>
            <w:tcW w:w="588" w:type="pct"/>
          </w:tcPr>
          <w:p w14:paraId="3DB779F8" w14:textId="77777777"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1 to 3</w:t>
            </w:r>
          </w:p>
          <w:p w14:paraId="42CEEDFE" w14:textId="77777777"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years</w:t>
            </w:r>
          </w:p>
        </w:tc>
        <w:tc>
          <w:tcPr>
            <w:tcW w:w="589" w:type="pct"/>
          </w:tcPr>
          <w:p w14:paraId="178D0D61" w14:textId="77777777"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 xml:space="preserve">Over 3 </w:t>
            </w:r>
          </w:p>
          <w:p w14:paraId="19470F7E" w14:textId="77777777"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years</w:t>
            </w:r>
          </w:p>
        </w:tc>
        <w:tc>
          <w:tcPr>
            <w:tcW w:w="581" w:type="pct"/>
          </w:tcPr>
          <w:p w14:paraId="562A12AA" w14:textId="77777777"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 xml:space="preserve">Total </w:t>
            </w:r>
          </w:p>
        </w:tc>
      </w:tr>
      <w:tr w:rsidR="009702B0" w:rsidRPr="00321238" w14:paraId="05E410C0" w14:textId="77777777" w:rsidTr="009702B0">
        <w:trPr>
          <w:trHeight w:val="271"/>
        </w:trPr>
        <w:tc>
          <w:tcPr>
            <w:tcW w:w="1548" w:type="pct"/>
            <w:vAlign w:val="bottom"/>
          </w:tcPr>
          <w:p w14:paraId="4CE7C5ED" w14:textId="77777777" w:rsidR="009702B0" w:rsidRPr="00321238" w:rsidRDefault="009702B0" w:rsidP="009702B0">
            <w:pPr>
              <w:tabs>
                <w:tab w:val="right" w:pos="1202"/>
              </w:tabs>
              <w:spacing w:after="0" w:line="240" w:lineRule="exact"/>
              <w:outlineLvl w:val="0"/>
              <w:rPr>
                <w:rFonts w:cs="Arial"/>
                <w:b/>
                <w:bCs/>
                <w:sz w:val="18"/>
                <w:szCs w:val="18"/>
              </w:rPr>
            </w:pPr>
            <w:r w:rsidRPr="00321238">
              <w:rPr>
                <w:rFonts w:cs="Arial"/>
                <w:b/>
                <w:bCs/>
                <w:sz w:val="18"/>
                <w:szCs w:val="18"/>
              </w:rPr>
              <w:t xml:space="preserve">Assets </w:t>
            </w:r>
          </w:p>
        </w:tc>
        <w:tc>
          <w:tcPr>
            <w:tcW w:w="521" w:type="pct"/>
            <w:vAlign w:val="bottom"/>
          </w:tcPr>
          <w:p w14:paraId="72A0F108" w14:textId="77777777" w:rsidR="009702B0" w:rsidRPr="00321238" w:rsidRDefault="009702B0" w:rsidP="009702B0">
            <w:pPr>
              <w:tabs>
                <w:tab w:val="right" w:pos="1202"/>
              </w:tabs>
              <w:spacing w:after="0" w:line="240" w:lineRule="exact"/>
              <w:jc w:val="right"/>
              <w:outlineLvl w:val="0"/>
              <w:rPr>
                <w:rFonts w:cs="Arial"/>
                <w:b/>
                <w:bCs/>
                <w:spacing w:val="-2"/>
                <w:sz w:val="18"/>
                <w:szCs w:val="18"/>
              </w:rPr>
            </w:pPr>
          </w:p>
        </w:tc>
        <w:tc>
          <w:tcPr>
            <w:tcW w:w="584" w:type="pct"/>
            <w:vAlign w:val="bottom"/>
          </w:tcPr>
          <w:p w14:paraId="234BBB3E" w14:textId="77777777" w:rsidR="009702B0" w:rsidRPr="00321238" w:rsidRDefault="009702B0" w:rsidP="009702B0">
            <w:pPr>
              <w:tabs>
                <w:tab w:val="right" w:pos="1202"/>
              </w:tabs>
              <w:spacing w:after="0" w:line="240" w:lineRule="exact"/>
              <w:jc w:val="right"/>
              <w:outlineLvl w:val="0"/>
              <w:rPr>
                <w:rFonts w:cs="Arial"/>
                <w:b/>
                <w:bCs/>
                <w:spacing w:val="-2"/>
                <w:sz w:val="18"/>
                <w:szCs w:val="18"/>
              </w:rPr>
            </w:pPr>
          </w:p>
        </w:tc>
        <w:tc>
          <w:tcPr>
            <w:tcW w:w="589" w:type="pct"/>
            <w:vAlign w:val="bottom"/>
          </w:tcPr>
          <w:p w14:paraId="2B5AEC67" w14:textId="77777777" w:rsidR="009702B0" w:rsidRPr="00321238" w:rsidRDefault="009702B0" w:rsidP="009702B0">
            <w:pPr>
              <w:tabs>
                <w:tab w:val="right" w:pos="1202"/>
              </w:tabs>
              <w:spacing w:after="0" w:line="240" w:lineRule="exact"/>
              <w:jc w:val="right"/>
              <w:outlineLvl w:val="0"/>
              <w:rPr>
                <w:rFonts w:cs="Arial"/>
                <w:b/>
                <w:bCs/>
                <w:spacing w:val="-2"/>
                <w:sz w:val="18"/>
                <w:szCs w:val="18"/>
              </w:rPr>
            </w:pPr>
          </w:p>
        </w:tc>
        <w:tc>
          <w:tcPr>
            <w:tcW w:w="588" w:type="pct"/>
            <w:vAlign w:val="bottom"/>
          </w:tcPr>
          <w:p w14:paraId="5A2BEBB5" w14:textId="77777777" w:rsidR="009702B0" w:rsidRPr="00321238" w:rsidRDefault="009702B0" w:rsidP="009702B0">
            <w:pPr>
              <w:tabs>
                <w:tab w:val="right" w:pos="1202"/>
              </w:tabs>
              <w:spacing w:after="0" w:line="240" w:lineRule="exact"/>
              <w:jc w:val="right"/>
              <w:outlineLvl w:val="0"/>
              <w:rPr>
                <w:rFonts w:cs="Arial"/>
                <w:b/>
                <w:bCs/>
                <w:spacing w:val="-2"/>
                <w:sz w:val="18"/>
                <w:szCs w:val="18"/>
              </w:rPr>
            </w:pPr>
          </w:p>
        </w:tc>
        <w:tc>
          <w:tcPr>
            <w:tcW w:w="589" w:type="pct"/>
            <w:vAlign w:val="bottom"/>
          </w:tcPr>
          <w:p w14:paraId="61FE52BF" w14:textId="77777777" w:rsidR="009702B0" w:rsidRPr="00321238" w:rsidRDefault="009702B0" w:rsidP="009702B0">
            <w:pPr>
              <w:tabs>
                <w:tab w:val="right" w:pos="1202"/>
              </w:tabs>
              <w:spacing w:after="0" w:line="240" w:lineRule="exact"/>
              <w:jc w:val="right"/>
              <w:outlineLvl w:val="0"/>
              <w:rPr>
                <w:rFonts w:cs="Arial"/>
                <w:b/>
                <w:bCs/>
                <w:spacing w:val="-2"/>
                <w:sz w:val="18"/>
                <w:szCs w:val="18"/>
              </w:rPr>
            </w:pPr>
          </w:p>
        </w:tc>
        <w:tc>
          <w:tcPr>
            <w:tcW w:w="581" w:type="pct"/>
            <w:vAlign w:val="bottom"/>
          </w:tcPr>
          <w:p w14:paraId="74B95AFA" w14:textId="77777777" w:rsidR="009702B0" w:rsidRPr="00321238" w:rsidRDefault="009702B0" w:rsidP="009702B0">
            <w:pPr>
              <w:tabs>
                <w:tab w:val="right" w:pos="1202"/>
              </w:tabs>
              <w:spacing w:after="0" w:line="240" w:lineRule="exact"/>
              <w:jc w:val="right"/>
              <w:outlineLvl w:val="0"/>
              <w:rPr>
                <w:rFonts w:cs="Arial"/>
                <w:b/>
                <w:bCs/>
                <w:spacing w:val="-2"/>
                <w:sz w:val="18"/>
                <w:szCs w:val="18"/>
              </w:rPr>
            </w:pPr>
          </w:p>
        </w:tc>
      </w:tr>
      <w:tr w:rsidR="00093B1A" w:rsidRPr="00321238" w14:paraId="17B877A1" w14:textId="77777777" w:rsidTr="006B318F">
        <w:trPr>
          <w:trHeight w:val="271"/>
        </w:trPr>
        <w:tc>
          <w:tcPr>
            <w:tcW w:w="1548" w:type="pct"/>
            <w:vAlign w:val="bottom"/>
          </w:tcPr>
          <w:p w14:paraId="196346D5" w14:textId="77777777" w:rsidR="00093B1A" w:rsidRPr="00321238" w:rsidRDefault="00093B1A" w:rsidP="00093B1A">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 xml:space="preserve">Cash on hand and due from banks </w:t>
            </w:r>
          </w:p>
        </w:tc>
        <w:tc>
          <w:tcPr>
            <w:tcW w:w="521" w:type="pct"/>
            <w:tcBorders>
              <w:top w:val="nil"/>
              <w:left w:val="nil"/>
              <w:bottom w:val="nil"/>
              <w:right w:val="nil"/>
            </w:tcBorders>
            <w:shd w:val="clear" w:color="auto" w:fill="auto"/>
            <w:vAlign w:val="bottom"/>
          </w:tcPr>
          <w:p w14:paraId="10A10BE2" w14:textId="036B57FD"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bCs/>
                <w:color w:val="000000"/>
                <w:sz w:val="18"/>
                <w:szCs w:val="18"/>
                <w:lang w:eastAsia="hr-HR"/>
              </w:rPr>
              <w:t>737</w:t>
            </w:r>
            <w:r>
              <w:rPr>
                <w:rFonts w:cs="Arial"/>
                <w:bCs/>
                <w:color w:val="000000"/>
                <w:sz w:val="18"/>
                <w:szCs w:val="18"/>
                <w:lang w:eastAsia="hr-HR"/>
              </w:rPr>
              <w:t>,</w:t>
            </w:r>
            <w:r w:rsidRPr="007058BA">
              <w:rPr>
                <w:rFonts w:cs="Arial"/>
                <w:bCs/>
                <w:color w:val="000000"/>
                <w:sz w:val="18"/>
                <w:szCs w:val="18"/>
                <w:lang w:eastAsia="hr-HR"/>
              </w:rPr>
              <w:t>631</w:t>
            </w:r>
          </w:p>
        </w:tc>
        <w:tc>
          <w:tcPr>
            <w:tcW w:w="584" w:type="pct"/>
            <w:tcBorders>
              <w:top w:val="nil"/>
              <w:left w:val="nil"/>
              <w:bottom w:val="nil"/>
              <w:right w:val="nil"/>
            </w:tcBorders>
            <w:shd w:val="clear" w:color="auto" w:fill="auto"/>
            <w:vAlign w:val="bottom"/>
          </w:tcPr>
          <w:p w14:paraId="0D51A0EA" w14:textId="481B498B" w:rsidR="00093B1A" w:rsidRPr="00321238" w:rsidRDefault="00093B1A" w:rsidP="00093B1A">
            <w:pPr>
              <w:tabs>
                <w:tab w:val="right" w:pos="1202"/>
              </w:tabs>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14:paraId="0F96F33F" w14:textId="59E14205" w:rsidR="00093B1A" w:rsidRPr="00321238" w:rsidRDefault="00093B1A" w:rsidP="00093B1A">
            <w:pPr>
              <w:tabs>
                <w:tab w:val="right" w:pos="1202"/>
              </w:tabs>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88" w:type="pct"/>
            <w:tcBorders>
              <w:top w:val="nil"/>
              <w:left w:val="nil"/>
              <w:bottom w:val="nil"/>
              <w:right w:val="nil"/>
            </w:tcBorders>
            <w:shd w:val="clear" w:color="auto" w:fill="auto"/>
            <w:vAlign w:val="bottom"/>
          </w:tcPr>
          <w:p w14:paraId="2CFE813E" w14:textId="31AEA291" w:rsidR="00093B1A" w:rsidRPr="00321238" w:rsidRDefault="00093B1A" w:rsidP="00093B1A">
            <w:pPr>
              <w:tabs>
                <w:tab w:val="right" w:pos="1202"/>
              </w:tabs>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14:paraId="3AB0FAB2" w14:textId="139F6BF8" w:rsidR="00093B1A" w:rsidRPr="00321238" w:rsidRDefault="00093B1A" w:rsidP="00093B1A">
            <w:pPr>
              <w:tabs>
                <w:tab w:val="right" w:pos="1202"/>
              </w:tabs>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81" w:type="pct"/>
            <w:tcBorders>
              <w:top w:val="nil"/>
              <w:left w:val="nil"/>
              <w:bottom w:val="nil"/>
              <w:right w:val="nil"/>
            </w:tcBorders>
            <w:shd w:val="clear" w:color="auto" w:fill="auto"/>
            <w:vAlign w:val="bottom"/>
          </w:tcPr>
          <w:p w14:paraId="328E49F8" w14:textId="21415264"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bCs/>
                <w:color w:val="000000"/>
                <w:sz w:val="18"/>
                <w:szCs w:val="18"/>
                <w:lang w:eastAsia="hr-HR"/>
              </w:rPr>
              <w:t>737</w:t>
            </w:r>
            <w:r>
              <w:rPr>
                <w:rFonts w:cs="Arial"/>
                <w:bCs/>
                <w:color w:val="000000"/>
                <w:sz w:val="18"/>
                <w:szCs w:val="18"/>
                <w:lang w:eastAsia="hr-HR"/>
              </w:rPr>
              <w:t>,</w:t>
            </w:r>
            <w:r w:rsidRPr="007058BA">
              <w:rPr>
                <w:rFonts w:cs="Arial"/>
                <w:bCs/>
                <w:color w:val="000000"/>
                <w:sz w:val="18"/>
                <w:szCs w:val="18"/>
                <w:lang w:eastAsia="hr-HR"/>
              </w:rPr>
              <w:t>631</w:t>
            </w:r>
          </w:p>
        </w:tc>
      </w:tr>
      <w:tr w:rsidR="00093B1A" w:rsidRPr="00321238" w14:paraId="1CE62F83" w14:textId="77777777" w:rsidTr="006B318F">
        <w:trPr>
          <w:trHeight w:val="256"/>
        </w:trPr>
        <w:tc>
          <w:tcPr>
            <w:tcW w:w="1548" w:type="pct"/>
            <w:vAlign w:val="bottom"/>
          </w:tcPr>
          <w:p w14:paraId="1AD2085F" w14:textId="77777777" w:rsidR="00093B1A" w:rsidRPr="00321238" w:rsidRDefault="00093B1A" w:rsidP="00093B1A">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Deposits with other banks</w:t>
            </w:r>
          </w:p>
        </w:tc>
        <w:tc>
          <w:tcPr>
            <w:tcW w:w="521" w:type="pct"/>
            <w:tcBorders>
              <w:top w:val="nil"/>
              <w:left w:val="nil"/>
              <w:bottom w:val="nil"/>
              <w:right w:val="nil"/>
            </w:tcBorders>
            <w:shd w:val="clear" w:color="auto" w:fill="auto"/>
            <w:vAlign w:val="bottom"/>
          </w:tcPr>
          <w:p w14:paraId="0697F6C9" w14:textId="761C2050"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bCs/>
                <w:color w:val="000000"/>
                <w:sz w:val="18"/>
                <w:szCs w:val="18"/>
                <w:lang w:eastAsia="hr-HR"/>
              </w:rPr>
              <w:t>76</w:t>
            </w:r>
          </w:p>
        </w:tc>
        <w:tc>
          <w:tcPr>
            <w:tcW w:w="584" w:type="pct"/>
            <w:tcBorders>
              <w:top w:val="nil"/>
              <w:left w:val="nil"/>
              <w:bottom w:val="nil"/>
              <w:right w:val="nil"/>
            </w:tcBorders>
            <w:shd w:val="clear" w:color="auto" w:fill="auto"/>
            <w:vAlign w:val="bottom"/>
          </w:tcPr>
          <w:p w14:paraId="0EE3416F" w14:textId="301082F7" w:rsidR="00093B1A" w:rsidRPr="00321238" w:rsidRDefault="00093B1A" w:rsidP="00093B1A">
            <w:pPr>
              <w:tabs>
                <w:tab w:val="right" w:pos="1202"/>
              </w:tabs>
              <w:spacing w:after="0" w:line="240" w:lineRule="exact"/>
              <w:jc w:val="right"/>
              <w:outlineLvl w:val="0"/>
              <w:rPr>
                <w:rFonts w:cs="Arial"/>
                <w:spacing w:val="-2"/>
                <w:sz w:val="18"/>
                <w:szCs w:val="18"/>
              </w:rPr>
            </w:pPr>
            <w:r>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14:paraId="3F51EC95" w14:textId="047D18C6" w:rsidR="00093B1A" w:rsidRPr="00321238" w:rsidRDefault="00093B1A" w:rsidP="00093B1A">
            <w:pPr>
              <w:tabs>
                <w:tab w:val="right" w:pos="1202"/>
              </w:tabs>
              <w:spacing w:after="0" w:line="240" w:lineRule="exact"/>
              <w:jc w:val="right"/>
              <w:outlineLvl w:val="0"/>
              <w:rPr>
                <w:rFonts w:cs="Arial"/>
                <w:spacing w:val="-2"/>
                <w:sz w:val="18"/>
                <w:szCs w:val="18"/>
              </w:rPr>
            </w:pPr>
            <w:r>
              <w:rPr>
                <w:rFonts w:cs="Arial"/>
                <w:bCs/>
                <w:color w:val="000000"/>
                <w:sz w:val="18"/>
                <w:szCs w:val="18"/>
                <w:lang w:eastAsia="hr-HR"/>
              </w:rPr>
              <w:t>-</w:t>
            </w:r>
          </w:p>
        </w:tc>
        <w:tc>
          <w:tcPr>
            <w:tcW w:w="588" w:type="pct"/>
            <w:tcBorders>
              <w:top w:val="nil"/>
              <w:left w:val="nil"/>
              <w:bottom w:val="nil"/>
              <w:right w:val="nil"/>
            </w:tcBorders>
            <w:shd w:val="clear" w:color="auto" w:fill="auto"/>
            <w:vAlign w:val="bottom"/>
          </w:tcPr>
          <w:p w14:paraId="44EDDEE1" w14:textId="4E2C0BA4" w:rsidR="00093B1A" w:rsidRPr="00321238" w:rsidRDefault="00093B1A" w:rsidP="00093B1A">
            <w:pPr>
              <w:tabs>
                <w:tab w:val="right" w:pos="1202"/>
              </w:tabs>
              <w:spacing w:after="0" w:line="240" w:lineRule="exact"/>
              <w:jc w:val="right"/>
              <w:outlineLvl w:val="0"/>
              <w:rPr>
                <w:rFonts w:cs="Arial"/>
                <w:spacing w:val="-2"/>
                <w:sz w:val="18"/>
                <w:szCs w:val="18"/>
              </w:rPr>
            </w:pPr>
            <w:r>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14:paraId="748C33E7" w14:textId="0AC776C3" w:rsidR="00093B1A" w:rsidRPr="00321238" w:rsidRDefault="00093B1A" w:rsidP="00093B1A">
            <w:pPr>
              <w:tabs>
                <w:tab w:val="right" w:pos="1202"/>
              </w:tabs>
              <w:spacing w:after="0" w:line="240" w:lineRule="exact"/>
              <w:jc w:val="right"/>
              <w:outlineLvl w:val="0"/>
              <w:rPr>
                <w:rFonts w:cs="Arial"/>
                <w:spacing w:val="-2"/>
                <w:sz w:val="18"/>
                <w:szCs w:val="18"/>
              </w:rPr>
            </w:pPr>
            <w:r>
              <w:rPr>
                <w:rFonts w:cs="Arial"/>
                <w:bCs/>
                <w:color w:val="000000"/>
                <w:sz w:val="18"/>
                <w:szCs w:val="18"/>
                <w:lang w:eastAsia="hr-HR"/>
              </w:rPr>
              <w:t>-</w:t>
            </w:r>
          </w:p>
        </w:tc>
        <w:tc>
          <w:tcPr>
            <w:tcW w:w="581" w:type="pct"/>
            <w:tcBorders>
              <w:top w:val="nil"/>
              <w:left w:val="nil"/>
              <w:bottom w:val="nil"/>
              <w:right w:val="nil"/>
            </w:tcBorders>
            <w:shd w:val="clear" w:color="auto" w:fill="auto"/>
            <w:vAlign w:val="bottom"/>
          </w:tcPr>
          <w:p w14:paraId="41B020C6" w14:textId="001A2DAD"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bCs/>
                <w:color w:val="000000"/>
                <w:sz w:val="18"/>
                <w:szCs w:val="18"/>
                <w:lang w:eastAsia="hr-HR"/>
              </w:rPr>
              <w:t>76</w:t>
            </w:r>
          </w:p>
        </w:tc>
      </w:tr>
      <w:tr w:rsidR="00093B1A" w:rsidRPr="00321238" w14:paraId="33921DC7" w14:textId="77777777" w:rsidTr="006B318F">
        <w:trPr>
          <w:trHeight w:val="271"/>
        </w:trPr>
        <w:tc>
          <w:tcPr>
            <w:tcW w:w="1548" w:type="pct"/>
            <w:vAlign w:val="bottom"/>
          </w:tcPr>
          <w:p w14:paraId="45B9776D" w14:textId="77777777" w:rsidR="00093B1A" w:rsidRPr="00321238" w:rsidRDefault="00093B1A" w:rsidP="00093B1A">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Loans to financial institutions*</w:t>
            </w:r>
          </w:p>
        </w:tc>
        <w:tc>
          <w:tcPr>
            <w:tcW w:w="521" w:type="pct"/>
            <w:tcBorders>
              <w:top w:val="nil"/>
              <w:left w:val="nil"/>
              <w:bottom w:val="nil"/>
              <w:right w:val="nil"/>
            </w:tcBorders>
            <w:shd w:val="clear" w:color="auto" w:fill="auto"/>
            <w:vAlign w:val="bottom"/>
          </w:tcPr>
          <w:p w14:paraId="77276B55" w14:textId="0EB7062C" w:rsidR="00093B1A" w:rsidRPr="00321238" w:rsidRDefault="00093B1A" w:rsidP="00093B1A">
            <w:pPr>
              <w:tabs>
                <w:tab w:val="right" w:pos="1202"/>
              </w:tabs>
              <w:spacing w:after="0" w:line="240" w:lineRule="exact"/>
              <w:jc w:val="right"/>
              <w:outlineLvl w:val="0"/>
              <w:rPr>
                <w:rFonts w:cs="Arial"/>
                <w:spacing w:val="-2"/>
                <w:sz w:val="18"/>
                <w:szCs w:val="18"/>
              </w:rPr>
            </w:pPr>
            <w:r>
              <w:rPr>
                <w:color w:val="000000"/>
                <w:sz w:val="18"/>
                <w:szCs w:val="18"/>
              </w:rPr>
              <w:t>989,428</w:t>
            </w:r>
          </w:p>
        </w:tc>
        <w:tc>
          <w:tcPr>
            <w:tcW w:w="584" w:type="pct"/>
            <w:tcBorders>
              <w:top w:val="nil"/>
              <w:left w:val="nil"/>
              <w:bottom w:val="nil"/>
              <w:right w:val="nil"/>
            </w:tcBorders>
            <w:shd w:val="clear" w:color="auto" w:fill="auto"/>
            <w:vAlign w:val="bottom"/>
          </w:tcPr>
          <w:p w14:paraId="3E4D9ACF" w14:textId="1E747A2D" w:rsidR="00093B1A" w:rsidRPr="00321238" w:rsidRDefault="00093B1A" w:rsidP="00093B1A">
            <w:pPr>
              <w:tabs>
                <w:tab w:val="right" w:pos="1202"/>
              </w:tabs>
              <w:spacing w:after="0" w:line="240" w:lineRule="exact"/>
              <w:jc w:val="right"/>
              <w:outlineLvl w:val="0"/>
              <w:rPr>
                <w:rFonts w:cs="Arial"/>
                <w:spacing w:val="-2"/>
                <w:sz w:val="18"/>
                <w:szCs w:val="18"/>
              </w:rPr>
            </w:pPr>
            <w:r>
              <w:rPr>
                <w:color w:val="000000"/>
                <w:sz w:val="18"/>
                <w:szCs w:val="18"/>
              </w:rPr>
              <w:t>1,052,929</w:t>
            </w:r>
          </w:p>
        </w:tc>
        <w:tc>
          <w:tcPr>
            <w:tcW w:w="589" w:type="pct"/>
            <w:tcBorders>
              <w:top w:val="nil"/>
              <w:left w:val="nil"/>
              <w:bottom w:val="nil"/>
              <w:right w:val="nil"/>
            </w:tcBorders>
            <w:shd w:val="clear" w:color="auto" w:fill="auto"/>
            <w:vAlign w:val="bottom"/>
          </w:tcPr>
          <w:p w14:paraId="4238C5A6" w14:textId="71CC29B1"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bCs/>
                <w:color w:val="000000"/>
                <w:sz w:val="18"/>
                <w:szCs w:val="18"/>
                <w:lang w:eastAsia="hr-HR"/>
              </w:rPr>
              <w:t>1</w:t>
            </w:r>
            <w:r>
              <w:rPr>
                <w:rFonts w:cs="Arial"/>
                <w:bCs/>
                <w:color w:val="000000"/>
                <w:sz w:val="18"/>
                <w:szCs w:val="18"/>
                <w:lang w:eastAsia="hr-HR"/>
              </w:rPr>
              <w:t>,</w:t>
            </w:r>
            <w:r w:rsidRPr="007058BA">
              <w:rPr>
                <w:rFonts w:cs="Arial"/>
                <w:bCs/>
                <w:color w:val="000000"/>
                <w:sz w:val="18"/>
                <w:szCs w:val="18"/>
                <w:lang w:eastAsia="hr-HR"/>
              </w:rPr>
              <w:t>394</w:t>
            </w:r>
            <w:r>
              <w:rPr>
                <w:rFonts w:cs="Arial"/>
                <w:bCs/>
                <w:color w:val="000000"/>
                <w:sz w:val="18"/>
                <w:szCs w:val="18"/>
                <w:lang w:eastAsia="hr-HR"/>
              </w:rPr>
              <w:t>,</w:t>
            </w:r>
            <w:r w:rsidRPr="007058BA">
              <w:rPr>
                <w:rFonts w:cs="Arial"/>
                <w:bCs/>
                <w:color w:val="000000"/>
                <w:sz w:val="18"/>
                <w:szCs w:val="18"/>
                <w:lang w:eastAsia="hr-HR"/>
              </w:rPr>
              <w:t>685</w:t>
            </w:r>
          </w:p>
        </w:tc>
        <w:tc>
          <w:tcPr>
            <w:tcW w:w="588" w:type="pct"/>
            <w:tcBorders>
              <w:top w:val="nil"/>
              <w:left w:val="nil"/>
              <w:bottom w:val="nil"/>
              <w:right w:val="nil"/>
            </w:tcBorders>
            <w:shd w:val="clear" w:color="auto" w:fill="auto"/>
            <w:vAlign w:val="bottom"/>
          </w:tcPr>
          <w:p w14:paraId="170351F7" w14:textId="0D61CF54"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bCs/>
                <w:color w:val="000000"/>
                <w:sz w:val="18"/>
                <w:szCs w:val="18"/>
                <w:lang w:eastAsia="hr-HR"/>
              </w:rPr>
              <w:t>2</w:t>
            </w:r>
            <w:r>
              <w:rPr>
                <w:rFonts w:cs="Arial"/>
                <w:bCs/>
                <w:color w:val="000000"/>
                <w:sz w:val="18"/>
                <w:szCs w:val="18"/>
                <w:lang w:eastAsia="hr-HR"/>
              </w:rPr>
              <w:t>,</w:t>
            </w:r>
            <w:r w:rsidRPr="007058BA">
              <w:rPr>
                <w:rFonts w:cs="Arial"/>
                <w:bCs/>
                <w:color w:val="000000"/>
                <w:sz w:val="18"/>
                <w:szCs w:val="18"/>
                <w:lang w:eastAsia="hr-HR"/>
              </w:rPr>
              <w:t>949</w:t>
            </w:r>
            <w:r>
              <w:rPr>
                <w:rFonts w:cs="Arial"/>
                <w:bCs/>
                <w:color w:val="000000"/>
                <w:sz w:val="18"/>
                <w:szCs w:val="18"/>
                <w:lang w:eastAsia="hr-HR"/>
              </w:rPr>
              <w:t>,</w:t>
            </w:r>
            <w:r w:rsidRPr="007058BA">
              <w:rPr>
                <w:rFonts w:cs="Arial"/>
                <w:bCs/>
                <w:color w:val="000000"/>
                <w:sz w:val="18"/>
                <w:szCs w:val="18"/>
                <w:lang w:eastAsia="hr-HR"/>
              </w:rPr>
              <w:t>319</w:t>
            </w:r>
          </w:p>
        </w:tc>
        <w:tc>
          <w:tcPr>
            <w:tcW w:w="589" w:type="pct"/>
            <w:tcBorders>
              <w:top w:val="nil"/>
              <w:left w:val="nil"/>
              <w:bottom w:val="nil"/>
              <w:right w:val="nil"/>
            </w:tcBorders>
            <w:shd w:val="clear" w:color="auto" w:fill="auto"/>
            <w:vAlign w:val="bottom"/>
          </w:tcPr>
          <w:p w14:paraId="756C3057" w14:textId="6E630AFD"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bCs/>
                <w:color w:val="000000"/>
                <w:sz w:val="18"/>
                <w:szCs w:val="18"/>
                <w:lang w:eastAsia="hr-HR"/>
              </w:rPr>
              <w:t>5</w:t>
            </w:r>
            <w:r>
              <w:rPr>
                <w:rFonts w:cs="Arial"/>
                <w:bCs/>
                <w:color w:val="000000"/>
                <w:sz w:val="18"/>
                <w:szCs w:val="18"/>
                <w:lang w:eastAsia="hr-HR"/>
              </w:rPr>
              <w:t>,</w:t>
            </w:r>
            <w:r w:rsidRPr="007058BA">
              <w:rPr>
                <w:rFonts w:cs="Arial"/>
                <w:bCs/>
                <w:color w:val="000000"/>
                <w:sz w:val="18"/>
                <w:szCs w:val="18"/>
                <w:lang w:eastAsia="hr-HR"/>
              </w:rPr>
              <w:t>860</w:t>
            </w:r>
            <w:r>
              <w:rPr>
                <w:rFonts w:cs="Arial"/>
                <w:bCs/>
                <w:color w:val="000000"/>
                <w:sz w:val="18"/>
                <w:szCs w:val="18"/>
                <w:lang w:eastAsia="hr-HR"/>
              </w:rPr>
              <w:t>,</w:t>
            </w:r>
            <w:r w:rsidRPr="007058BA">
              <w:rPr>
                <w:rFonts w:cs="Arial"/>
                <w:bCs/>
                <w:color w:val="000000"/>
                <w:sz w:val="18"/>
                <w:szCs w:val="18"/>
                <w:lang w:eastAsia="hr-HR"/>
              </w:rPr>
              <w:t>926</w:t>
            </w:r>
          </w:p>
        </w:tc>
        <w:tc>
          <w:tcPr>
            <w:tcW w:w="581" w:type="pct"/>
            <w:tcBorders>
              <w:top w:val="nil"/>
              <w:left w:val="nil"/>
              <w:bottom w:val="nil"/>
              <w:right w:val="nil"/>
            </w:tcBorders>
            <w:shd w:val="clear" w:color="auto" w:fill="auto"/>
            <w:vAlign w:val="bottom"/>
          </w:tcPr>
          <w:p w14:paraId="528781F9" w14:textId="560EC4B3"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bCs/>
                <w:color w:val="000000"/>
                <w:sz w:val="18"/>
                <w:szCs w:val="18"/>
                <w:lang w:eastAsia="hr-HR"/>
              </w:rPr>
              <w:t>12</w:t>
            </w:r>
            <w:r>
              <w:rPr>
                <w:rFonts w:cs="Arial"/>
                <w:bCs/>
                <w:color w:val="000000"/>
                <w:sz w:val="18"/>
                <w:szCs w:val="18"/>
                <w:lang w:eastAsia="hr-HR"/>
              </w:rPr>
              <w:t>,</w:t>
            </w:r>
            <w:r w:rsidRPr="007058BA">
              <w:rPr>
                <w:rFonts w:cs="Arial"/>
                <w:bCs/>
                <w:color w:val="000000"/>
                <w:sz w:val="18"/>
                <w:szCs w:val="18"/>
                <w:lang w:eastAsia="hr-HR"/>
              </w:rPr>
              <w:t>247</w:t>
            </w:r>
            <w:r>
              <w:rPr>
                <w:rFonts w:cs="Arial"/>
                <w:bCs/>
                <w:color w:val="000000"/>
                <w:sz w:val="18"/>
                <w:szCs w:val="18"/>
                <w:lang w:eastAsia="hr-HR"/>
              </w:rPr>
              <w:t>,</w:t>
            </w:r>
            <w:r w:rsidRPr="007058BA">
              <w:rPr>
                <w:rFonts w:cs="Arial"/>
                <w:bCs/>
                <w:color w:val="000000"/>
                <w:sz w:val="18"/>
                <w:szCs w:val="18"/>
                <w:lang w:eastAsia="hr-HR"/>
              </w:rPr>
              <w:t>287</w:t>
            </w:r>
          </w:p>
        </w:tc>
      </w:tr>
      <w:tr w:rsidR="00093B1A" w:rsidRPr="00321238" w14:paraId="39E27A4C" w14:textId="77777777" w:rsidTr="006B318F">
        <w:trPr>
          <w:trHeight w:val="271"/>
        </w:trPr>
        <w:tc>
          <w:tcPr>
            <w:tcW w:w="1548" w:type="pct"/>
            <w:vAlign w:val="bottom"/>
          </w:tcPr>
          <w:p w14:paraId="078D197D" w14:textId="77777777" w:rsidR="00093B1A" w:rsidRPr="00321238" w:rsidRDefault="00093B1A" w:rsidP="00093B1A">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Loans to other customers</w:t>
            </w:r>
          </w:p>
        </w:tc>
        <w:tc>
          <w:tcPr>
            <w:tcW w:w="521" w:type="pct"/>
            <w:tcBorders>
              <w:top w:val="nil"/>
              <w:left w:val="nil"/>
              <w:bottom w:val="nil"/>
              <w:right w:val="nil"/>
            </w:tcBorders>
            <w:shd w:val="clear" w:color="auto" w:fill="auto"/>
            <w:vAlign w:val="bottom"/>
          </w:tcPr>
          <w:p w14:paraId="4B177ABF" w14:textId="57BF9F23"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bCs/>
                <w:color w:val="000000"/>
                <w:sz w:val="18"/>
                <w:szCs w:val="18"/>
                <w:lang w:eastAsia="hr-HR"/>
              </w:rPr>
              <w:t>1</w:t>
            </w:r>
            <w:r>
              <w:rPr>
                <w:rFonts w:cs="Arial"/>
                <w:bCs/>
                <w:color w:val="000000"/>
                <w:sz w:val="18"/>
                <w:szCs w:val="18"/>
                <w:lang w:eastAsia="hr-HR"/>
              </w:rPr>
              <w:t>,</w:t>
            </w:r>
            <w:r w:rsidRPr="007058BA">
              <w:rPr>
                <w:rFonts w:cs="Arial"/>
                <w:bCs/>
                <w:color w:val="000000"/>
                <w:sz w:val="18"/>
                <w:szCs w:val="18"/>
                <w:lang w:eastAsia="hr-HR"/>
              </w:rPr>
              <w:t>972</w:t>
            </w:r>
            <w:r>
              <w:rPr>
                <w:rFonts w:cs="Arial"/>
                <w:bCs/>
                <w:color w:val="000000"/>
                <w:sz w:val="18"/>
                <w:szCs w:val="18"/>
                <w:lang w:eastAsia="hr-HR"/>
              </w:rPr>
              <w:t>,</w:t>
            </w:r>
            <w:r w:rsidRPr="007058BA">
              <w:rPr>
                <w:rFonts w:cs="Arial"/>
                <w:bCs/>
                <w:color w:val="000000"/>
                <w:sz w:val="18"/>
                <w:szCs w:val="18"/>
                <w:lang w:eastAsia="hr-HR"/>
              </w:rPr>
              <w:t>564</w:t>
            </w:r>
          </w:p>
        </w:tc>
        <w:tc>
          <w:tcPr>
            <w:tcW w:w="584" w:type="pct"/>
            <w:tcBorders>
              <w:top w:val="nil"/>
              <w:left w:val="nil"/>
              <w:bottom w:val="nil"/>
              <w:right w:val="nil"/>
            </w:tcBorders>
            <w:shd w:val="clear" w:color="auto" w:fill="auto"/>
            <w:vAlign w:val="bottom"/>
          </w:tcPr>
          <w:p w14:paraId="5ECCBCEA" w14:textId="6D48D974"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bCs/>
                <w:color w:val="000000"/>
                <w:sz w:val="18"/>
                <w:szCs w:val="18"/>
                <w:lang w:eastAsia="hr-HR"/>
              </w:rPr>
              <w:t>207</w:t>
            </w:r>
            <w:r>
              <w:rPr>
                <w:rFonts w:cs="Arial"/>
                <w:bCs/>
                <w:color w:val="000000"/>
                <w:sz w:val="18"/>
                <w:szCs w:val="18"/>
                <w:lang w:eastAsia="hr-HR"/>
              </w:rPr>
              <w:t>,</w:t>
            </w:r>
            <w:r w:rsidRPr="007058BA">
              <w:rPr>
                <w:rFonts w:cs="Arial"/>
                <w:bCs/>
                <w:color w:val="000000"/>
                <w:sz w:val="18"/>
                <w:szCs w:val="18"/>
                <w:lang w:eastAsia="hr-HR"/>
              </w:rPr>
              <w:t>291</w:t>
            </w:r>
          </w:p>
        </w:tc>
        <w:tc>
          <w:tcPr>
            <w:tcW w:w="589" w:type="pct"/>
            <w:tcBorders>
              <w:top w:val="nil"/>
              <w:left w:val="nil"/>
              <w:bottom w:val="nil"/>
              <w:right w:val="nil"/>
            </w:tcBorders>
            <w:shd w:val="clear" w:color="auto" w:fill="auto"/>
            <w:vAlign w:val="bottom"/>
          </w:tcPr>
          <w:p w14:paraId="6F783A71" w14:textId="1ECB2BE2"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bCs/>
                <w:color w:val="000000"/>
                <w:sz w:val="18"/>
                <w:szCs w:val="18"/>
                <w:lang w:eastAsia="hr-HR"/>
              </w:rPr>
              <w:t>889</w:t>
            </w:r>
            <w:r>
              <w:rPr>
                <w:rFonts w:cs="Arial"/>
                <w:bCs/>
                <w:color w:val="000000"/>
                <w:sz w:val="18"/>
                <w:szCs w:val="18"/>
                <w:lang w:eastAsia="hr-HR"/>
              </w:rPr>
              <w:t>,</w:t>
            </w:r>
            <w:r w:rsidRPr="007058BA">
              <w:rPr>
                <w:rFonts w:cs="Arial"/>
                <w:bCs/>
                <w:color w:val="000000"/>
                <w:sz w:val="18"/>
                <w:szCs w:val="18"/>
                <w:lang w:eastAsia="hr-HR"/>
              </w:rPr>
              <w:t>924</w:t>
            </w:r>
          </w:p>
        </w:tc>
        <w:tc>
          <w:tcPr>
            <w:tcW w:w="588" w:type="pct"/>
            <w:tcBorders>
              <w:top w:val="nil"/>
              <w:left w:val="nil"/>
              <w:bottom w:val="nil"/>
              <w:right w:val="nil"/>
            </w:tcBorders>
            <w:shd w:val="clear" w:color="auto" w:fill="auto"/>
            <w:vAlign w:val="bottom"/>
          </w:tcPr>
          <w:p w14:paraId="7266EE4B" w14:textId="735F3093"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bCs/>
                <w:color w:val="000000"/>
                <w:sz w:val="18"/>
                <w:szCs w:val="18"/>
                <w:lang w:eastAsia="hr-HR"/>
              </w:rPr>
              <w:t>1</w:t>
            </w:r>
            <w:r>
              <w:rPr>
                <w:rFonts w:cs="Arial"/>
                <w:bCs/>
                <w:color w:val="000000"/>
                <w:sz w:val="18"/>
                <w:szCs w:val="18"/>
                <w:lang w:eastAsia="hr-HR"/>
              </w:rPr>
              <w:t>,</w:t>
            </w:r>
            <w:r w:rsidRPr="007058BA">
              <w:rPr>
                <w:rFonts w:cs="Arial"/>
                <w:bCs/>
                <w:color w:val="000000"/>
                <w:sz w:val="18"/>
                <w:szCs w:val="18"/>
                <w:lang w:eastAsia="hr-HR"/>
              </w:rPr>
              <w:t>963</w:t>
            </w:r>
            <w:r>
              <w:rPr>
                <w:rFonts w:cs="Arial"/>
                <w:bCs/>
                <w:color w:val="000000"/>
                <w:sz w:val="18"/>
                <w:szCs w:val="18"/>
                <w:lang w:eastAsia="hr-HR"/>
              </w:rPr>
              <w:t>,</w:t>
            </w:r>
            <w:r w:rsidRPr="007058BA">
              <w:rPr>
                <w:rFonts w:cs="Arial"/>
                <w:bCs/>
                <w:color w:val="000000"/>
                <w:sz w:val="18"/>
                <w:szCs w:val="18"/>
                <w:lang w:eastAsia="hr-HR"/>
              </w:rPr>
              <w:t>395</w:t>
            </w:r>
          </w:p>
        </w:tc>
        <w:tc>
          <w:tcPr>
            <w:tcW w:w="589" w:type="pct"/>
            <w:tcBorders>
              <w:top w:val="nil"/>
              <w:left w:val="nil"/>
              <w:bottom w:val="nil"/>
              <w:right w:val="nil"/>
            </w:tcBorders>
            <w:shd w:val="clear" w:color="auto" w:fill="auto"/>
            <w:vAlign w:val="bottom"/>
          </w:tcPr>
          <w:p w14:paraId="71D0AD27" w14:textId="25D76F70"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bCs/>
                <w:color w:val="000000"/>
                <w:sz w:val="18"/>
                <w:szCs w:val="18"/>
                <w:lang w:eastAsia="hr-HR"/>
              </w:rPr>
              <w:t>6</w:t>
            </w:r>
            <w:r>
              <w:rPr>
                <w:rFonts w:cs="Arial"/>
                <w:bCs/>
                <w:color w:val="000000"/>
                <w:sz w:val="18"/>
                <w:szCs w:val="18"/>
                <w:lang w:eastAsia="hr-HR"/>
              </w:rPr>
              <w:t>,</w:t>
            </w:r>
            <w:r w:rsidRPr="007058BA">
              <w:rPr>
                <w:rFonts w:cs="Arial"/>
                <w:bCs/>
                <w:color w:val="000000"/>
                <w:sz w:val="18"/>
                <w:szCs w:val="18"/>
                <w:lang w:eastAsia="hr-HR"/>
              </w:rPr>
              <w:t>880</w:t>
            </w:r>
            <w:r>
              <w:rPr>
                <w:rFonts w:cs="Arial"/>
                <w:bCs/>
                <w:color w:val="000000"/>
                <w:sz w:val="18"/>
                <w:szCs w:val="18"/>
                <w:lang w:eastAsia="hr-HR"/>
              </w:rPr>
              <w:t>,</w:t>
            </w:r>
            <w:r w:rsidRPr="007058BA">
              <w:rPr>
                <w:rFonts w:cs="Arial"/>
                <w:bCs/>
                <w:color w:val="000000"/>
                <w:sz w:val="18"/>
                <w:szCs w:val="18"/>
                <w:lang w:eastAsia="hr-HR"/>
              </w:rPr>
              <w:t>038</w:t>
            </w:r>
          </w:p>
        </w:tc>
        <w:tc>
          <w:tcPr>
            <w:tcW w:w="581" w:type="pct"/>
            <w:tcBorders>
              <w:top w:val="nil"/>
              <w:left w:val="nil"/>
              <w:bottom w:val="nil"/>
              <w:right w:val="nil"/>
            </w:tcBorders>
            <w:shd w:val="clear" w:color="auto" w:fill="auto"/>
            <w:vAlign w:val="bottom"/>
          </w:tcPr>
          <w:p w14:paraId="6D8F9F63" w14:textId="01BF9550"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bCs/>
                <w:color w:val="000000"/>
                <w:sz w:val="18"/>
                <w:szCs w:val="18"/>
                <w:lang w:eastAsia="hr-HR"/>
              </w:rPr>
              <w:t>11</w:t>
            </w:r>
            <w:r>
              <w:rPr>
                <w:rFonts w:cs="Arial"/>
                <w:bCs/>
                <w:color w:val="000000"/>
                <w:sz w:val="18"/>
                <w:szCs w:val="18"/>
                <w:lang w:eastAsia="hr-HR"/>
              </w:rPr>
              <w:t>,</w:t>
            </w:r>
            <w:r w:rsidRPr="007058BA">
              <w:rPr>
                <w:rFonts w:cs="Arial"/>
                <w:bCs/>
                <w:color w:val="000000"/>
                <w:sz w:val="18"/>
                <w:szCs w:val="18"/>
                <w:lang w:eastAsia="hr-HR"/>
              </w:rPr>
              <w:t>913</w:t>
            </w:r>
            <w:r>
              <w:rPr>
                <w:rFonts w:cs="Arial"/>
                <w:bCs/>
                <w:color w:val="000000"/>
                <w:sz w:val="18"/>
                <w:szCs w:val="18"/>
                <w:lang w:eastAsia="hr-HR"/>
              </w:rPr>
              <w:t>,</w:t>
            </w:r>
            <w:r w:rsidRPr="007058BA">
              <w:rPr>
                <w:rFonts w:cs="Arial"/>
                <w:bCs/>
                <w:color w:val="000000"/>
                <w:sz w:val="18"/>
                <w:szCs w:val="18"/>
                <w:lang w:eastAsia="hr-HR"/>
              </w:rPr>
              <w:t>212</w:t>
            </w:r>
          </w:p>
        </w:tc>
      </w:tr>
      <w:tr w:rsidR="00093B1A" w:rsidRPr="00321238" w14:paraId="114A38C3" w14:textId="77777777" w:rsidTr="006B318F">
        <w:trPr>
          <w:trHeight w:val="256"/>
        </w:trPr>
        <w:tc>
          <w:tcPr>
            <w:tcW w:w="1548" w:type="pct"/>
            <w:vAlign w:val="bottom"/>
          </w:tcPr>
          <w:p w14:paraId="407A8DA7" w14:textId="77777777" w:rsidR="00093B1A" w:rsidRPr="00321238" w:rsidRDefault="00093B1A" w:rsidP="00093B1A">
            <w:pPr>
              <w:tabs>
                <w:tab w:val="right" w:pos="1202"/>
              </w:tabs>
              <w:spacing w:after="0" w:line="240" w:lineRule="exact"/>
              <w:outlineLvl w:val="0"/>
              <w:rPr>
                <w:rFonts w:cs="Arial"/>
                <w:sz w:val="18"/>
                <w:szCs w:val="18"/>
              </w:rPr>
            </w:pPr>
            <w:r w:rsidRPr="00321238">
              <w:rPr>
                <w:rFonts w:cs="Arial"/>
                <w:spacing w:val="-2"/>
                <w:sz w:val="18"/>
                <w:szCs w:val="18"/>
              </w:rPr>
              <w:t xml:space="preserve">Assets available for sale </w:t>
            </w:r>
          </w:p>
        </w:tc>
        <w:tc>
          <w:tcPr>
            <w:tcW w:w="521" w:type="pct"/>
            <w:tcBorders>
              <w:top w:val="nil"/>
              <w:left w:val="nil"/>
              <w:bottom w:val="nil"/>
              <w:right w:val="nil"/>
            </w:tcBorders>
            <w:shd w:val="clear" w:color="auto" w:fill="auto"/>
            <w:vAlign w:val="bottom"/>
          </w:tcPr>
          <w:p w14:paraId="3899038E" w14:textId="09F3EA49"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spacing w:val="-2"/>
                <w:sz w:val="18"/>
                <w:szCs w:val="18"/>
              </w:rPr>
              <w:t>3</w:t>
            </w:r>
            <w:r>
              <w:rPr>
                <w:rFonts w:cs="Arial"/>
                <w:spacing w:val="-2"/>
                <w:sz w:val="18"/>
                <w:szCs w:val="18"/>
              </w:rPr>
              <w:t>,</w:t>
            </w:r>
            <w:r w:rsidRPr="007058BA">
              <w:rPr>
                <w:rFonts w:cs="Arial"/>
                <w:spacing w:val="-2"/>
                <w:sz w:val="18"/>
                <w:szCs w:val="18"/>
              </w:rPr>
              <w:t>254</w:t>
            </w:r>
            <w:r>
              <w:rPr>
                <w:rFonts w:cs="Arial"/>
                <w:spacing w:val="-2"/>
                <w:sz w:val="18"/>
                <w:szCs w:val="18"/>
              </w:rPr>
              <w:t>,</w:t>
            </w:r>
            <w:r w:rsidRPr="007058BA">
              <w:rPr>
                <w:rFonts w:cs="Arial"/>
                <w:spacing w:val="-2"/>
                <w:sz w:val="18"/>
                <w:szCs w:val="18"/>
              </w:rPr>
              <w:t>487</w:t>
            </w:r>
          </w:p>
        </w:tc>
        <w:tc>
          <w:tcPr>
            <w:tcW w:w="584" w:type="pct"/>
            <w:tcBorders>
              <w:top w:val="nil"/>
              <w:left w:val="nil"/>
              <w:bottom w:val="nil"/>
              <w:right w:val="nil"/>
            </w:tcBorders>
            <w:shd w:val="clear" w:color="auto" w:fill="auto"/>
            <w:vAlign w:val="bottom"/>
          </w:tcPr>
          <w:p w14:paraId="612A27CA" w14:textId="593D689D"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spacing w:val="-2"/>
                <w:sz w:val="18"/>
                <w:szCs w:val="18"/>
              </w:rPr>
              <w:t>10</w:t>
            </w:r>
            <w:r>
              <w:rPr>
                <w:rFonts w:cs="Arial"/>
                <w:spacing w:val="-2"/>
                <w:sz w:val="18"/>
                <w:szCs w:val="18"/>
              </w:rPr>
              <w:t>,</w:t>
            </w:r>
            <w:r w:rsidRPr="007058BA">
              <w:rPr>
                <w:rFonts w:cs="Arial"/>
                <w:spacing w:val="-2"/>
                <w:sz w:val="18"/>
                <w:szCs w:val="18"/>
              </w:rPr>
              <w:t>033</w:t>
            </w:r>
          </w:p>
        </w:tc>
        <w:tc>
          <w:tcPr>
            <w:tcW w:w="589" w:type="pct"/>
            <w:tcBorders>
              <w:top w:val="nil"/>
              <w:left w:val="nil"/>
              <w:bottom w:val="nil"/>
              <w:right w:val="nil"/>
            </w:tcBorders>
            <w:shd w:val="clear" w:color="auto" w:fill="auto"/>
            <w:vAlign w:val="bottom"/>
          </w:tcPr>
          <w:p w14:paraId="29455BFB" w14:textId="23E334DD" w:rsidR="00093B1A" w:rsidRPr="00321238" w:rsidRDefault="00093B1A" w:rsidP="00093B1A">
            <w:pPr>
              <w:tabs>
                <w:tab w:val="right" w:pos="1202"/>
              </w:tabs>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88" w:type="pct"/>
            <w:tcBorders>
              <w:top w:val="nil"/>
              <w:left w:val="nil"/>
              <w:bottom w:val="nil"/>
              <w:right w:val="nil"/>
            </w:tcBorders>
            <w:shd w:val="clear" w:color="auto" w:fill="auto"/>
            <w:vAlign w:val="bottom"/>
          </w:tcPr>
          <w:p w14:paraId="64E67FBA" w14:textId="5E6FD65A" w:rsidR="00093B1A" w:rsidRPr="00321238" w:rsidRDefault="00093B1A" w:rsidP="00093B1A">
            <w:pPr>
              <w:tabs>
                <w:tab w:val="right" w:pos="1202"/>
              </w:tabs>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14:paraId="79BEF0B6" w14:textId="037F3342" w:rsidR="00093B1A" w:rsidRPr="00321238" w:rsidRDefault="00093B1A" w:rsidP="00093B1A">
            <w:pPr>
              <w:tabs>
                <w:tab w:val="right" w:pos="1202"/>
              </w:tabs>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81" w:type="pct"/>
            <w:tcBorders>
              <w:top w:val="nil"/>
              <w:left w:val="nil"/>
              <w:bottom w:val="nil"/>
              <w:right w:val="nil"/>
            </w:tcBorders>
            <w:shd w:val="clear" w:color="auto" w:fill="auto"/>
            <w:vAlign w:val="bottom"/>
          </w:tcPr>
          <w:p w14:paraId="2D2576C5" w14:textId="1EFBD27C"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bCs/>
                <w:color w:val="000000"/>
                <w:sz w:val="18"/>
                <w:szCs w:val="18"/>
                <w:lang w:eastAsia="hr-HR"/>
              </w:rPr>
              <w:t>3</w:t>
            </w:r>
            <w:r>
              <w:rPr>
                <w:rFonts w:cs="Arial"/>
                <w:bCs/>
                <w:color w:val="000000"/>
                <w:sz w:val="18"/>
                <w:szCs w:val="18"/>
                <w:lang w:eastAsia="hr-HR"/>
              </w:rPr>
              <w:t>,</w:t>
            </w:r>
            <w:r w:rsidRPr="007058BA">
              <w:rPr>
                <w:rFonts w:cs="Arial"/>
                <w:bCs/>
                <w:color w:val="000000"/>
                <w:sz w:val="18"/>
                <w:szCs w:val="18"/>
                <w:lang w:eastAsia="hr-HR"/>
              </w:rPr>
              <w:t>264</w:t>
            </w:r>
            <w:r>
              <w:rPr>
                <w:rFonts w:cs="Arial"/>
                <w:bCs/>
                <w:color w:val="000000"/>
                <w:sz w:val="18"/>
                <w:szCs w:val="18"/>
                <w:lang w:eastAsia="hr-HR"/>
              </w:rPr>
              <w:t>,</w:t>
            </w:r>
            <w:r w:rsidRPr="007058BA">
              <w:rPr>
                <w:rFonts w:cs="Arial"/>
                <w:bCs/>
                <w:color w:val="000000"/>
                <w:sz w:val="18"/>
                <w:szCs w:val="18"/>
                <w:lang w:eastAsia="hr-HR"/>
              </w:rPr>
              <w:t>520</w:t>
            </w:r>
          </w:p>
        </w:tc>
      </w:tr>
      <w:tr w:rsidR="00093B1A" w:rsidRPr="00321238" w14:paraId="7C3389BF" w14:textId="77777777" w:rsidTr="006B318F">
        <w:trPr>
          <w:trHeight w:val="271"/>
        </w:trPr>
        <w:tc>
          <w:tcPr>
            <w:tcW w:w="1548" w:type="pct"/>
            <w:vAlign w:val="bottom"/>
          </w:tcPr>
          <w:p w14:paraId="67705878" w14:textId="77777777" w:rsidR="00093B1A" w:rsidRPr="00321238" w:rsidRDefault="00093B1A" w:rsidP="00093B1A">
            <w:pPr>
              <w:tabs>
                <w:tab w:val="right" w:pos="1202"/>
              </w:tabs>
              <w:spacing w:after="0" w:line="240" w:lineRule="exact"/>
              <w:outlineLvl w:val="0"/>
              <w:rPr>
                <w:rFonts w:cs="Arial"/>
                <w:spacing w:val="-2"/>
                <w:sz w:val="18"/>
                <w:szCs w:val="18"/>
              </w:rPr>
            </w:pPr>
            <w:r w:rsidRPr="00321238">
              <w:rPr>
                <w:rFonts w:cs="Arial"/>
                <w:spacing w:val="-2"/>
                <w:sz w:val="18"/>
                <w:szCs w:val="18"/>
              </w:rPr>
              <w:t xml:space="preserve">Investments in subsidiaries </w:t>
            </w:r>
          </w:p>
        </w:tc>
        <w:tc>
          <w:tcPr>
            <w:tcW w:w="521" w:type="pct"/>
            <w:tcBorders>
              <w:top w:val="nil"/>
              <w:left w:val="nil"/>
              <w:bottom w:val="nil"/>
              <w:right w:val="nil"/>
            </w:tcBorders>
            <w:shd w:val="clear" w:color="auto" w:fill="auto"/>
            <w:vAlign w:val="bottom"/>
          </w:tcPr>
          <w:p w14:paraId="5BFEE64F" w14:textId="3DC69140" w:rsidR="00093B1A" w:rsidRPr="00321238" w:rsidRDefault="00093B1A" w:rsidP="00093B1A">
            <w:pPr>
              <w:tabs>
                <w:tab w:val="right" w:pos="1202"/>
              </w:tabs>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84" w:type="pct"/>
            <w:tcBorders>
              <w:top w:val="nil"/>
              <w:left w:val="nil"/>
              <w:bottom w:val="nil"/>
              <w:right w:val="nil"/>
            </w:tcBorders>
            <w:shd w:val="clear" w:color="auto" w:fill="auto"/>
            <w:vAlign w:val="bottom"/>
          </w:tcPr>
          <w:p w14:paraId="5CD6420F" w14:textId="05BF128E" w:rsidR="00093B1A" w:rsidRPr="00321238" w:rsidRDefault="00093B1A" w:rsidP="00093B1A">
            <w:pPr>
              <w:tabs>
                <w:tab w:val="right" w:pos="1202"/>
              </w:tabs>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14:paraId="22B11FBA" w14:textId="0E377DF2" w:rsidR="00093B1A" w:rsidRPr="00321238" w:rsidRDefault="00093B1A" w:rsidP="00093B1A">
            <w:pPr>
              <w:tabs>
                <w:tab w:val="right" w:pos="1202"/>
              </w:tabs>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88" w:type="pct"/>
            <w:tcBorders>
              <w:top w:val="nil"/>
              <w:left w:val="nil"/>
              <w:bottom w:val="nil"/>
              <w:right w:val="nil"/>
            </w:tcBorders>
            <w:shd w:val="clear" w:color="auto" w:fill="auto"/>
            <w:vAlign w:val="bottom"/>
          </w:tcPr>
          <w:p w14:paraId="001AFA17" w14:textId="01E774C6" w:rsidR="00093B1A" w:rsidRPr="00321238" w:rsidRDefault="00093B1A" w:rsidP="00093B1A">
            <w:pPr>
              <w:tabs>
                <w:tab w:val="right" w:pos="1202"/>
              </w:tabs>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14:paraId="25F8FDD4" w14:textId="46818BB5" w:rsidR="00093B1A" w:rsidRPr="00321238" w:rsidRDefault="000A2CD6" w:rsidP="00093B1A">
            <w:pPr>
              <w:tabs>
                <w:tab w:val="right" w:pos="1202"/>
              </w:tabs>
              <w:spacing w:after="0" w:line="240" w:lineRule="exact"/>
              <w:jc w:val="right"/>
              <w:outlineLvl w:val="0"/>
              <w:rPr>
                <w:rFonts w:cs="Arial"/>
                <w:spacing w:val="-2"/>
                <w:sz w:val="18"/>
                <w:szCs w:val="18"/>
              </w:rPr>
            </w:pPr>
            <w:r>
              <w:rPr>
                <w:rFonts w:cs="Arial"/>
                <w:bCs/>
                <w:color w:val="000000"/>
                <w:sz w:val="18"/>
                <w:szCs w:val="18"/>
                <w:lang w:eastAsia="hr-HR"/>
              </w:rPr>
              <w:t>-</w:t>
            </w:r>
          </w:p>
        </w:tc>
        <w:tc>
          <w:tcPr>
            <w:tcW w:w="581" w:type="pct"/>
            <w:tcBorders>
              <w:top w:val="nil"/>
              <w:left w:val="nil"/>
              <w:bottom w:val="nil"/>
              <w:right w:val="nil"/>
            </w:tcBorders>
            <w:shd w:val="clear" w:color="auto" w:fill="auto"/>
            <w:vAlign w:val="bottom"/>
          </w:tcPr>
          <w:p w14:paraId="5C2E6DB4" w14:textId="58410A59" w:rsidR="00093B1A" w:rsidRPr="00321238" w:rsidRDefault="000A2CD6" w:rsidP="00093B1A">
            <w:pPr>
              <w:tabs>
                <w:tab w:val="right" w:pos="1202"/>
              </w:tabs>
              <w:spacing w:after="0" w:line="240" w:lineRule="exact"/>
              <w:jc w:val="right"/>
              <w:outlineLvl w:val="0"/>
              <w:rPr>
                <w:rFonts w:cs="Arial"/>
                <w:spacing w:val="-2"/>
                <w:sz w:val="18"/>
                <w:szCs w:val="18"/>
              </w:rPr>
            </w:pPr>
            <w:r>
              <w:rPr>
                <w:rFonts w:cs="Arial"/>
                <w:bCs/>
                <w:color w:val="000000"/>
                <w:sz w:val="18"/>
                <w:szCs w:val="18"/>
                <w:lang w:eastAsia="hr-HR"/>
              </w:rPr>
              <w:t>-</w:t>
            </w:r>
          </w:p>
        </w:tc>
      </w:tr>
      <w:tr w:rsidR="000A2CD6" w:rsidRPr="00321238" w14:paraId="42BE48D1" w14:textId="77777777" w:rsidTr="006B318F">
        <w:trPr>
          <w:trHeight w:val="271"/>
        </w:trPr>
        <w:tc>
          <w:tcPr>
            <w:tcW w:w="1548" w:type="pct"/>
            <w:vAlign w:val="bottom"/>
          </w:tcPr>
          <w:p w14:paraId="60387226" w14:textId="77777777" w:rsidR="000A2CD6" w:rsidRPr="00321238" w:rsidRDefault="000A2CD6" w:rsidP="000A2CD6">
            <w:pPr>
              <w:tabs>
                <w:tab w:val="right" w:pos="1202"/>
              </w:tabs>
              <w:spacing w:after="0" w:line="240" w:lineRule="exact"/>
              <w:outlineLvl w:val="0"/>
              <w:rPr>
                <w:rFonts w:cs="Arial"/>
                <w:sz w:val="18"/>
                <w:szCs w:val="18"/>
              </w:rPr>
            </w:pPr>
            <w:r w:rsidRPr="00321238">
              <w:rPr>
                <w:rFonts w:cs="Arial"/>
                <w:spacing w:val="-2"/>
                <w:sz w:val="18"/>
                <w:szCs w:val="18"/>
              </w:rPr>
              <w:t xml:space="preserve">Investments in associates </w:t>
            </w:r>
          </w:p>
        </w:tc>
        <w:tc>
          <w:tcPr>
            <w:tcW w:w="521" w:type="pct"/>
            <w:tcBorders>
              <w:top w:val="nil"/>
              <w:left w:val="nil"/>
              <w:bottom w:val="nil"/>
              <w:right w:val="nil"/>
            </w:tcBorders>
            <w:shd w:val="clear" w:color="auto" w:fill="auto"/>
            <w:vAlign w:val="bottom"/>
          </w:tcPr>
          <w:p w14:paraId="70800F1E" w14:textId="5236D2D8" w:rsidR="000A2CD6" w:rsidRPr="00321238" w:rsidRDefault="000A2CD6" w:rsidP="000A2CD6">
            <w:pPr>
              <w:tabs>
                <w:tab w:val="right" w:pos="1202"/>
              </w:tabs>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84" w:type="pct"/>
            <w:tcBorders>
              <w:top w:val="nil"/>
              <w:left w:val="nil"/>
              <w:bottom w:val="nil"/>
              <w:right w:val="nil"/>
            </w:tcBorders>
            <w:shd w:val="clear" w:color="auto" w:fill="auto"/>
            <w:vAlign w:val="bottom"/>
          </w:tcPr>
          <w:p w14:paraId="7BD0E0A4" w14:textId="1C43927F" w:rsidR="000A2CD6" w:rsidRPr="00321238" w:rsidRDefault="000A2CD6" w:rsidP="000A2CD6">
            <w:pPr>
              <w:tabs>
                <w:tab w:val="right" w:pos="1202"/>
              </w:tabs>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14:paraId="1746DF67" w14:textId="6757C66F" w:rsidR="000A2CD6" w:rsidRPr="00321238" w:rsidRDefault="000A2CD6" w:rsidP="000A2CD6">
            <w:pPr>
              <w:tabs>
                <w:tab w:val="right" w:pos="1202"/>
              </w:tabs>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88" w:type="pct"/>
            <w:tcBorders>
              <w:top w:val="nil"/>
              <w:left w:val="nil"/>
              <w:bottom w:val="nil"/>
              <w:right w:val="nil"/>
            </w:tcBorders>
            <w:shd w:val="clear" w:color="auto" w:fill="auto"/>
            <w:vAlign w:val="bottom"/>
          </w:tcPr>
          <w:p w14:paraId="14F53495" w14:textId="2D648849" w:rsidR="000A2CD6" w:rsidRPr="00321238" w:rsidRDefault="000A2CD6" w:rsidP="000A2CD6">
            <w:pPr>
              <w:tabs>
                <w:tab w:val="right" w:pos="1202"/>
              </w:tabs>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14:paraId="1DEEFA85" w14:textId="04CD2AF2" w:rsidR="000A2CD6" w:rsidRPr="00321238" w:rsidRDefault="000A2CD6" w:rsidP="000A2CD6">
            <w:pPr>
              <w:tabs>
                <w:tab w:val="right" w:pos="1202"/>
              </w:tabs>
              <w:spacing w:after="0" w:line="240" w:lineRule="exact"/>
              <w:jc w:val="right"/>
              <w:outlineLvl w:val="0"/>
              <w:rPr>
                <w:rFonts w:cs="Arial"/>
                <w:spacing w:val="-2"/>
                <w:sz w:val="18"/>
                <w:szCs w:val="18"/>
              </w:rPr>
            </w:pPr>
            <w:r w:rsidRPr="007058BA">
              <w:rPr>
                <w:rFonts w:cs="Arial"/>
                <w:bCs/>
                <w:color w:val="000000"/>
                <w:sz w:val="18"/>
                <w:szCs w:val="18"/>
                <w:lang w:eastAsia="hr-HR"/>
              </w:rPr>
              <w:t>36</w:t>
            </w:r>
            <w:r>
              <w:rPr>
                <w:rFonts w:cs="Arial"/>
                <w:bCs/>
                <w:color w:val="000000"/>
                <w:sz w:val="18"/>
                <w:szCs w:val="18"/>
                <w:lang w:eastAsia="hr-HR"/>
              </w:rPr>
              <w:t>,</w:t>
            </w:r>
            <w:r w:rsidRPr="007058BA">
              <w:rPr>
                <w:rFonts w:cs="Arial"/>
                <w:bCs/>
                <w:color w:val="000000"/>
                <w:sz w:val="18"/>
                <w:szCs w:val="18"/>
                <w:lang w:eastAsia="hr-HR"/>
              </w:rPr>
              <w:t>124</w:t>
            </w:r>
          </w:p>
        </w:tc>
        <w:tc>
          <w:tcPr>
            <w:tcW w:w="581" w:type="pct"/>
            <w:tcBorders>
              <w:top w:val="nil"/>
              <w:left w:val="nil"/>
              <w:bottom w:val="nil"/>
              <w:right w:val="nil"/>
            </w:tcBorders>
            <w:shd w:val="clear" w:color="auto" w:fill="auto"/>
            <w:vAlign w:val="bottom"/>
          </w:tcPr>
          <w:p w14:paraId="740D713E" w14:textId="4DF531E5" w:rsidR="000A2CD6" w:rsidRPr="00321238" w:rsidRDefault="000A2CD6" w:rsidP="000A2CD6">
            <w:pPr>
              <w:tabs>
                <w:tab w:val="right" w:pos="1202"/>
              </w:tabs>
              <w:spacing w:after="0" w:line="240" w:lineRule="exact"/>
              <w:jc w:val="right"/>
              <w:outlineLvl w:val="0"/>
              <w:rPr>
                <w:rFonts w:cs="Arial"/>
                <w:spacing w:val="-2"/>
                <w:sz w:val="18"/>
                <w:szCs w:val="18"/>
              </w:rPr>
            </w:pPr>
            <w:r w:rsidRPr="007058BA">
              <w:rPr>
                <w:rFonts w:cs="Arial"/>
                <w:bCs/>
                <w:color w:val="000000"/>
                <w:sz w:val="18"/>
                <w:szCs w:val="18"/>
                <w:lang w:eastAsia="hr-HR"/>
              </w:rPr>
              <w:t>36</w:t>
            </w:r>
            <w:r>
              <w:rPr>
                <w:rFonts w:cs="Arial"/>
                <w:bCs/>
                <w:color w:val="000000"/>
                <w:sz w:val="18"/>
                <w:szCs w:val="18"/>
                <w:lang w:eastAsia="hr-HR"/>
              </w:rPr>
              <w:t>,</w:t>
            </w:r>
            <w:r w:rsidRPr="007058BA">
              <w:rPr>
                <w:rFonts w:cs="Arial"/>
                <w:bCs/>
                <w:color w:val="000000"/>
                <w:sz w:val="18"/>
                <w:szCs w:val="18"/>
                <w:lang w:eastAsia="hr-HR"/>
              </w:rPr>
              <w:t>124</w:t>
            </w:r>
          </w:p>
        </w:tc>
      </w:tr>
      <w:tr w:rsidR="000A2CD6" w:rsidRPr="00321238" w14:paraId="173855A4" w14:textId="77777777" w:rsidTr="006B318F">
        <w:trPr>
          <w:trHeight w:val="483"/>
        </w:trPr>
        <w:tc>
          <w:tcPr>
            <w:tcW w:w="1548" w:type="pct"/>
            <w:vAlign w:val="bottom"/>
          </w:tcPr>
          <w:p w14:paraId="18FC45FB" w14:textId="77777777" w:rsidR="000A2CD6" w:rsidRPr="00321238" w:rsidRDefault="000A2CD6" w:rsidP="000A2CD6">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Property, plant and equipment and intangible assets</w:t>
            </w:r>
          </w:p>
        </w:tc>
        <w:tc>
          <w:tcPr>
            <w:tcW w:w="521" w:type="pct"/>
            <w:tcBorders>
              <w:top w:val="nil"/>
              <w:left w:val="nil"/>
              <w:bottom w:val="nil"/>
              <w:right w:val="nil"/>
            </w:tcBorders>
            <w:shd w:val="clear" w:color="auto" w:fill="auto"/>
            <w:vAlign w:val="bottom"/>
          </w:tcPr>
          <w:p w14:paraId="21156FAC" w14:textId="52880FEF" w:rsidR="000A2CD6" w:rsidRPr="00321238" w:rsidRDefault="000A2CD6" w:rsidP="000A2CD6">
            <w:pPr>
              <w:tabs>
                <w:tab w:val="right" w:pos="1202"/>
              </w:tabs>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84" w:type="pct"/>
            <w:tcBorders>
              <w:top w:val="nil"/>
              <w:left w:val="nil"/>
              <w:bottom w:val="nil"/>
              <w:right w:val="nil"/>
            </w:tcBorders>
            <w:shd w:val="clear" w:color="auto" w:fill="auto"/>
            <w:vAlign w:val="bottom"/>
          </w:tcPr>
          <w:p w14:paraId="4E69E9E2" w14:textId="48D81353" w:rsidR="000A2CD6" w:rsidRPr="00321238" w:rsidRDefault="000A2CD6" w:rsidP="000A2CD6">
            <w:pPr>
              <w:tabs>
                <w:tab w:val="right" w:pos="1202"/>
              </w:tabs>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14:paraId="503E591E" w14:textId="246A2647" w:rsidR="000A2CD6" w:rsidRPr="00321238" w:rsidRDefault="000A2CD6" w:rsidP="000A2CD6">
            <w:pPr>
              <w:tabs>
                <w:tab w:val="right" w:pos="1202"/>
              </w:tabs>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88" w:type="pct"/>
            <w:tcBorders>
              <w:top w:val="nil"/>
              <w:left w:val="nil"/>
              <w:bottom w:val="nil"/>
              <w:right w:val="nil"/>
            </w:tcBorders>
            <w:shd w:val="clear" w:color="auto" w:fill="auto"/>
            <w:vAlign w:val="bottom"/>
          </w:tcPr>
          <w:p w14:paraId="02EDC1D3" w14:textId="174B4471" w:rsidR="000A2CD6" w:rsidRPr="00321238" w:rsidRDefault="000A2CD6" w:rsidP="000A2CD6">
            <w:pPr>
              <w:tabs>
                <w:tab w:val="right" w:pos="1202"/>
              </w:tabs>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14:paraId="76315AAB" w14:textId="4FA4324C" w:rsidR="000A2CD6" w:rsidRPr="00321238" w:rsidRDefault="000A2CD6" w:rsidP="000A2CD6">
            <w:pPr>
              <w:tabs>
                <w:tab w:val="right" w:pos="1202"/>
              </w:tabs>
              <w:spacing w:after="0" w:line="240" w:lineRule="exact"/>
              <w:jc w:val="right"/>
              <w:outlineLvl w:val="0"/>
              <w:rPr>
                <w:rFonts w:cs="Arial"/>
                <w:spacing w:val="-2"/>
                <w:sz w:val="18"/>
                <w:szCs w:val="18"/>
              </w:rPr>
            </w:pPr>
            <w:r w:rsidRPr="007058BA">
              <w:rPr>
                <w:rFonts w:cs="Arial"/>
                <w:bCs/>
                <w:color w:val="000000"/>
                <w:sz w:val="18"/>
                <w:szCs w:val="18"/>
                <w:lang w:eastAsia="hr-HR"/>
              </w:rPr>
              <w:t>54</w:t>
            </w:r>
            <w:r>
              <w:rPr>
                <w:rFonts w:cs="Arial"/>
                <w:bCs/>
                <w:color w:val="000000"/>
                <w:sz w:val="18"/>
                <w:szCs w:val="18"/>
                <w:lang w:eastAsia="hr-HR"/>
              </w:rPr>
              <w:t>,</w:t>
            </w:r>
            <w:r w:rsidRPr="007058BA">
              <w:rPr>
                <w:rFonts w:cs="Arial"/>
                <w:bCs/>
                <w:color w:val="000000"/>
                <w:sz w:val="18"/>
                <w:szCs w:val="18"/>
                <w:lang w:eastAsia="hr-HR"/>
              </w:rPr>
              <w:t>022</w:t>
            </w:r>
          </w:p>
        </w:tc>
        <w:tc>
          <w:tcPr>
            <w:tcW w:w="581" w:type="pct"/>
            <w:tcBorders>
              <w:top w:val="nil"/>
              <w:left w:val="nil"/>
              <w:bottom w:val="nil"/>
              <w:right w:val="nil"/>
            </w:tcBorders>
            <w:shd w:val="clear" w:color="auto" w:fill="auto"/>
            <w:vAlign w:val="bottom"/>
          </w:tcPr>
          <w:p w14:paraId="5E7059F8" w14:textId="5B02FC3D" w:rsidR="000A2CD6" w:rsidRPr="00321238" w:rsidRDefault="000A2CD6" w:rsidP="000A2CD6">
            <w:pPr>
              <w:tabs>
                <w:tab w:val="right" w:pos="1202"/>
              </w:tabs>
              <w:spacing w:after="0" w:line="240" w:lineRule="exact"/>
              <w:jc w:val="right"/>
              <w:outlineLvl w:val="0"/>
              <w:rPr>
                <w:rFonts w:cs="Arial"/>
                <w:spacing w:val="-2"/>
                <w:sz w:val="18"/>
                <w:szCs w:val="18"/>
              </w:rPr>
            </w:pPr>
            <w:r w:rsidRPr="007058BA">
              <w:rPr>
                <w:rFonts w:cs="Arial"/>
                <w:bCs/>
                <w:color w:val="000000"/>
                <w:sz w:val="18"/>
                <w:szCs w:val="18"/>
                <w:lang w:eastAsia="hr-HR"/>
              </w:rPr>
              <w:t>54</w:t>
            </w:r>
            <w:r>
              <w:rPr>
                <w:rFonts w:cs="Arial"/>
                <w:bCs/>
                <w:color w:val="000000"/>
                <w:sz w:val="18"/>
                <w:szCs w:val="18"/>
                <w:lang w:eastAsia="hr-HR"/>
              </w:rPr>
              <w:t>,</w:t>
            </w:r>
            <w:r w:rsidRPr="007058BA">
              <w:rPr>
                <w:rFonts w:cs="Arial"/>
                <w:bCs/>
                <w:color w:val="000000"/>
                <w:sz w:val="18"/>
                <w:szCs w:val="18"/>
                <w:lang w:eastAsia="hr-HR"/>
              </w:rPr>
              <w:t>022</w:t>
            </w:r>
          </w:p>
        </w:tc>
      </w:tr>
      <w:tr w:rsidR="000A2CD6" w:rsidRPr="00321238" w14:paraId="3FA6BB80" w14:textId="77777777" w:rsidTr="006B318F">
        <w:trPr>
          <w:trHeight w:val="271"/>
        </w:trPr>
        <w:tc>
          <w:tcPr>
            <w:tcW w:w="1548" w:type="pct"/>
            <w:vAlign w:val="bottom"/>
          </w:tcPr>
          <w:p w14:paraId="673A202F" w14:textId="77777777" w:rsidR="000A2CD6" w:rsidRPr="00321238" w:rsidRDefault="000A2CD6" w:rsidP="000A2CD6">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Non-current assets held for sale</w:t>
            </w:r>
          </w:p>
        </w:tc>
        <w:tc>
          <w:tcPr>
            <w:tcW w:w="521" w:type="pct"/>
            <w:tcBorders>
              <w:top w:val="nil"/>
              <w:left w:val="nil"/>
              <w:bottom w:val="nil"/>
              <w:right w:val="nil"/>
            </w:tcBorders>
            <w:shd w:val="clear" w:color="auto" w:fill="auto"/>
            <w:vAlign w:val="bottom"/>
          </w:tcPr>
          <w:p w14:paraId="3BF1A056" w14:textId="1C938714" w:rsidR="000A2CD6" w:rsidRPr="00321238" w:rsidRDefault="000A2CD6" w:rsidP="000A2CD6">
            <w:pPr>
              <w:tabs>
                <w:tab w:val="right" w:pos="1202"/>
              </w:tabs>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84" w:type="pct"/>
            <w:tcBorders>
              <w:top w:val="nil"/>
              <w:left w:val="nil"/>
              <w:bottom w:val="nil"/>
              <w:right w:val="nil"/>
            </w:tcBorders>
            <w:shd w:val="clear" w:color="auto" w:fill="auto"/>
            <w:vAlign w:val="bottom"/>
          </w:tcPr>
          <w:p w14:paraId="3FA0E759" w14:textId="62B1D8B7" w:rsidR="000A2CD6" w:rsidRPr="00321238" w:rsidRDefault="000A2CD6" w:rsidP="000A2CD6">
            <w:pPr>
              <w:tabs>
                <w:tab w:val="right" w:pos="1202"/>
              </w:tabs>
              <w:spacing w:after="0" w:line="240" w:lineRule="exact"/>
              <w:jc w:val="right"/>
              <w:outlineLvl w:val="0"/>
              <w:rPr>
                <w:rFonts w:cs="Arial"/>
                <w:spacing w:val="-2"/>
                <w:sz w:val="18"/>
                <w:szCs w:val="18"/>
              </w:rPr>
            </w:pPr>
            <w:r w:rsidRPr="00516D7C">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14:paraId="1AD80E96" w14:textId="5BD3C523" w:rsidR="000A2CD6" w:rsidRPr="00321238" w:rsidRDefault="000A2CD6" w:rsidP="000A2CD6">
            <w:pPr>
              <w:tabs>
                <w:tab w:val="right" w:pos="1202"/>
              </w:tabs>
              <w:spacing w:after="0" w:line="240" w:lineRule="exact"/>
              <w:jc w:val="right"/>
              <w:outlineLvl w:val="0"/>
              <w:rPr>
                <w:rFonts w:cs="Arial"/>
                <w:spacing w:val="-2"/>
                <w:sz w:val="18"/>
                <w:szCs w:val="18"/>
              </w:rPr>
            </w:pPr>
            <w:r w:rsidRPr="007058BA">
              <w:rPr>
                <w:rFonts w:cs="Arial"/>
                <w:bCs/>
                <w:color w:val="000000"/>
                <w:sz w:val="18"/>
                <w:szCs w:val="18"/>
                <w:lang w:eastAsia="hr-HR"/>
              </w:rPr>
              <w:t>1</w:t>
            </w:r>
            <w:r>
              <w:rPr>
                <w:rFonts w:cs="Arial"/>
                <w:bCs/>
                <w:color w:val="000000"/>
                <w:sz w:val="18"/>
                <w:szCs w:val="18"/>
                <w:lang w:eastAsia="hr-HR"/>
              </w:rPr>
              <w:t>,</w:t>
            </w:r>
            <w:r w:rsidRPr="007058BA">
              <w:rPr>
                <w:rFonts w:cs="Arial"/>
                <w:bCs/>
                <w:color w:val="000000"/>
                <w:sz w:val="18"/>
                <w:szCs w:val="18"/>
                <w:lang w:eastAsia="hr-HR"/>
              </w:rPr>
              <w:t>972</w:t>
            </w:r>
          </w:p>
        </w:tc>
        <w:tc>
          <w:tcPr>
            <w:tcW w:w="588" w:type="pct"/>
            <w:tcBorders>
              <w:top w:val="nil"/>
              <w:left w:val="nil"/>
              <w:bottom w:val="nil"/>
              <w:right w:val="nil"/>
            </w:tcBorders>
            <w:shd w:val="clear" w:color="auto" w:fill="auto"/>
            <w:vAlign w:val="bottom"/>
          </w:tcPr>
          <w:p w14:paraId="6DB44E61" w14:textId="6FB685A7" w:rsidR="000A2CD6" w:rsidRPr="00321238" w:rsidRDefault="000A2CD6" w:rsidP="000A2CD6">
            <w:pPr>
              <w:tabs>
                <w:tab w:val="right" w:pos="1202"/>
              </w:tabs>
              <w:spacing w:after="0" w:line="240" w:lineRule="exact"/>
              <w:jc w:val="right"/>
              <w:outlineLvl w:val="0"/>
              <w:rPr>
                <w:rFonts w:cs="Arial"/>
                <w:spacing w:val="-2"/>
                <w:sz w:val="18"/>
                <w:szCs w:val="18"/>
              </w:rPr>
            </w:pPr>
            <w:r w:rsidRPr="007058BA">
              <w:rPr>
                <w:rFonts w:cs="Arial"/>
                <w:bCs/>
                <w:color w:val="000000"/>
                <w:sz w:val="18"/>
                <w:szCs w:val="18"/>
                <w:lang w:eastAsia="hr-HR"/>
              </w:rPr>
              <w:t>2</w:t>
            </w:r>
            <w:r>
              <w:rPr>
                <w:rFonts w:cs="Arial"/>
                <w:bCs/>
                <w:color w:val="000000"/>
                <w:sz w:val="18"/>
                <w:szCs w:val="18"/>
                <w:lang w:eastAsia="hr-HR"/>
              </w:rPr>
              <w:t>,</w:t>
            </w:r>
            <w:r w:rsidRPr="007058BA">
              <w:rPr>
                <w:rFonts w:cs="Arial"/>
                <w:bCs/>
                <w:color w:val="000000"/>
                <w:sz w:val="18"/>
                <w:szCs w:val="18"/>
                <w:lang w:eastAsia="hr-HR"/>
              </w:rPr>
              <w:t>765</w:t>
            </w:r>
          </w:p>
        </w:tc>
        <w:tc>
          <w:tcPr>
            <w:tcW w:w="589" w:type="pct"/>
            <w:tcBorders>
              <w:top w:val="nil"/>
              <w:left w:val="nil"/>
              <w:bottom w:val="nil"/>
              <w:right w:val="nil"/>
            </w:tcBorders>
            <w:shd w:val="clear" w:color="auto" w:fill="auto"/>
            <w:vAlign w:val="bottom"/>
          </w:tcPr>
          <w:p w14:paraId="392FE0CA" w14:textId="27234C0D" w:rsidR="000A2CD6" w:rsidRPr="00321238" w:rsidRDefault="000A2CD6" w:rsidP="000A2CD6">
            <w:pPr>
              <w:tabs>
                <w:tab w:val="right" w:pos="1202"/>
              </w:tabs>
              <w:spacing w:after="0" w:line="240" w:lineRule="exact"/>
              <w:jc w:val="right"/>
              <w:outlineLvl w:val="0"/>
              <w:rPr>
                <w:rFonts w:cs="Arial"/>
                <w:spacing w:val="-2"/>
                <w:sz w:val="18"/>
                <w:szCs w:val="18"/>
              </w:rPr>
            </w:pPr>
            <w:r w:rsidRPr="007058BA">
              <w:rPr>
                <w:rFonts w:cs="Arial"/>
                <w:bCs/>
                <w:color w:val="000000"/>
                <w:sz w:val="18"/>
                <w:szCs w:val="18"/>
                <w:lang w:eastAsia="hr-HR"/>
              </w:rPr>
              <w:t>12</w:t>
            </w:r>
            <w:r>
              <w:rPr>
                <w:rFonts w:cs="Arial"/>
                <w:bCs/>
                <w:color w:val="000000"/>
                <w:sz w:val="18"/>
                <w:szCs w:val="18"/>
                <w:lang w:eastAsia="hr-HR"/>
              </w:rPr>
              <w:t>,</w:t>
            </w:r>
            <w:r w:rsidRPr="007058BA">
              <w:rPr>
                <w:rFonts w:cs="Arial"/>
                <w:bCs/>
                <w:color w:val="000000"/>
                <w:sz w:val="18"/>
                <w:szCs w:val="18"/>
                <w:lang w:eastAsia="hr-HR"/>
              </w:rPr>
              <w:t>308</w:t>
            </w:r>
          </w:p>
        </w:tc>
        <w:tc>
          <w:tcPr>
            <w:tcW w:w="581" w:type="pct"/>
            <w:tcBorders>
              <w:top w:val="nil"/>
              <w:left w:val="nil"/>
              <w:bottom w:val="nil"/>
              <w:right w:val="nil"/>
            </w:tcBorders>
            <w:shd w:val="clear" w:color="auto" w:fill="auto"/>
            <w:vAlign w:val="bottom"/>
          </w:tcPr>
          <w:p w14:paraId="7CCF8177" w14:textId="36EC50B7" w:rsidR="000A2CD6" w:rsidRPr="00321238" w:rsidRDefault="000A2CD6" w:rsidP="000A2CD6">
            <w:pPr>
              <w:tabs>
                <w:tab w:val="right" w:pos="1202"/>
              </w:tabs>
              <w:spacing w:after="0" w:line="240" w:lineRule="exact"/>
              <w:jc w:val="right"/>
              <w:outlineLvl w:val="0"/>
              <w:rPr>
                <w:rFonts w:cs="Arial"/>
                <w:spacing w:val="-2"/>
                <w:sz w:val="18"/>
                <w:szCs w:val="18"/>
              </w:rPr>
            </w:pPr>
            <w:r>
              <w:rPr>
                <w:rFonts w:cs="Arial"/>
                <w:bCs/>
                <w:color w:val="000000"/>
                <w:sz w:val="18"/>
                <w:szCs w:val="18"/>
                <w:lang w:eastAsia="hr-HR"/>
              </w:rPr>
              <w:t>17,045</w:t>
            </w:r>
          </w:p>
        </w:tc>
      </w:tr>
      <w:tr w:rsidR="000A2CD6" w:rsidRPr="00321238" w14:paraId="2ABAC796" w14:textId="77777777" w:rsidTr="006B318F">
        <w:trPr>
          <w:trHeight w:val="256"/>
        </w:trPr>
        <w:tc>
          <w:tcPr>
            <w:tcW w:w="1548" w:type="pct"/>
            <w:vAlign w:val="bottom"/>
          </w:tcPr>
          <w:p w14:paraId="7A73EE58" w14:textId="77777777" w:rsidR="000A2CD6" w:rsidRPr="00321238" w:rsidRDefault="000A2CD6" w:rsidP="000A2CD6">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Other assets</w:t>
            </w:r>
          </w:p>
        </w:tc>
        <w:tc>
          <w:tcPr>
            <w:tcW w:w="521" w:type="pct"/>
            <w:tcBorders>
              <w:top w:val="nil"/>
              <w:left w:val="nil"/>
              <w:bottom w:val="nil"/>
              <w:right w:val="nil"/>
            </w:tcBorders>
            <w:shd w:val="clear" w:color="auto" w:fill="auto"/>
            <w:vAlign w:val="bottom"/>
          </w:tcPr>
          <w:p w14:paraId="4C8BA5CC" w14:textId="55974E1E" w:rsidR="000A2CD6" w:rsidRPr="00321238" w:rsidRDefault="000A2CD6" w:rsidP="000A2CD6">
            <w:pPr>
              <w:tabs>
                <w:tab w:val="right" w:pos="1202"/>
              </w:tabs>
              <w:spacing w:after="0" w:line="240" w:lineRule="exact"/>
              <w:jc w:val="right"/>
              <w:outlineLvl w:val="0"/>
              <w:rPr>
                <w:rFonts w:cs="Arial"/>
                <w:spacing w:val="-2"/>
                <w:sz w:val="18"/>
                <w:szCs w:val="18"/>
              </w:rPr>
            </w:pPr>
            <w:r w:rsidRPr="007058BA">
              <w:rPr>
                <w:rFonts w:cs="Arial"/>
                <w:spacing w:val="-2"/>
                <w:sz w:val="18"/>
                <w:szCs w:val="18"/>
              </w:rPr>
              <w:t>7</w:t>
            </w:r>
            <w:r>
              <w:rPr>
                <w:rFonts w:cs="Arial"/>
                <w:spacing w:val="-2"/>
                <w:sz w:val="18"/>
                <w:szCs w:val="18"/>
              </w:rPr>
              <w:t>,</w:t>
            </w:r>
            <w:r w:rsidRPr="007058BA">
              <w:rPr>
                <w:rFonts w:cs="Arial"/>
                <w:spacing w:val="-2"/>
                <w:sz w:val="18"/>
                <w:szCs w:val="18"/>
              </w:rPr>
              <w:t>734</w:t>
            </w:r>
          </w:p>
        </w:tc>
        <w:tc>
          <w:tcPr>
            <w:tcW w:w="584" w:type="pct"/>
            <w:tcBorders>
              <w:top w:val="nil"/>
              <w:left w:val="nil"/>
              <w:bottom w:val="nil"/>
              <w:right w:val="nil"/>
            </w:tcBorders>
            <w:shd w:val="clear" w:color="auto" w:fill="auto"/>
            <w:vAlign w:val="bottom"/>
          </w:tcPr>
          <w:p w14:paraId="24645874" w14:textId="289CB4BC" w:rsidR="000A2CD6" w:rsidRPr="00321238" w:rsidRDefault="000A2CD6" w:rsidP="000A2CD6">
            <w:pPr>
              <w:tabs>
                <w:tab w:val="right" w:pos="1202"/>
              </w:tabs>
              <w:spacing w:after="0" w:line="240" w:lineRule="exact"/>
              <w:jc w:val="right"/>
              <w:outlineLvl w:val="0"/>
              <w:rPr>
                <w:rFonts w:cs="Arial"/>
                <w:spacing w:val="-2"/>
                <w:sz w:val="18"/>
                <w:szCs w:val="18"/>
              </w:rPr>
            </w:pPr>
            <w:r w:rsidRPr="007058BA">
              <w:rPr>
                <w:rFonts w:cs="Arial"/>
                <w:spacing w:val="-2"/>
                <w:sz w:val="18"/>
                <w:szCs w:val="18"/>
              </w:rPr>
              <w:t>1</w:t>
            </w:r>
            <w:r>
              <w:rPr>
                <w:rFonts w:cs="Arial"/>
                <w:spacing w:val="-2"/>
                <w:sz w:val="18"/>
                <w:szCs w:val="18"/>
              </w:rPr>
              <w:t>,</w:t>
            </w:r>
            <w:r w:rsidRPr="007058BA">
              <w:rPr>
                <w:rFonts w:cs="Arial"/>
                <w:spacing w:val="-2"/>
                <w:sz w:val="18"/>
                <w:szCs w:val="18"/>
              </w:rPr>
              <w:t>885</w:t>
            </w:r>
          </w:p>
        </w:tc>
        <w:tc>
          <w:tcPr>
            <w:tcW w:w="589" w:type="pct"/>
            <w:tcBorders>
              <w:top w:val="nil"/>
              <w:left w:val="nil"/>
              <w:bottom w:val="nil"/>
              <w:right w:val="nil"/>
            </w:tcBorders>
            <w:shd w:val="clear" w:color="auto" w:fill="auto"/>
            <w:vAlign w:val="bottom"/>
          </w:tcPr>
          <w:p w14:paraId="38A22FB6" w14:textId="73605D83" w:rsidR="000A2CD6" w:rsidRPr="00321238" w:rsidRDefault="000A2CD6" w:rsidP="000A2CD6">
            <w:pPr>
              <w:tabs>
                <w:tab w:val="right" w:pos="1202"/>
              </w:tabs>
              <w:spacing w:after="0" w:line="240" w:lineRule="exact"/>
              <w:jc w:val="right"/>
              <w:outlineLvl w:val="0"/>
              <w:rPr>
                <w:rFonts w:cs="Arial"/>
                <w:spacing w:val="-2"/>
                <w:sz w:val="18"/>
                <w:szCs w:val="18"/>
              </w:rPr>
            </w:pPr>
            <w:r w:rsidRPr="007058BA">
              <w:rPr>
                <w:rFonts w:cs="Arial"/>
                <w:spacing w:val="-2"/>
                <w:sz w:val="18"/>
                <w:szCs w:val="18"/>
              </w:rPr>
              <w:t>1</w:t>
            </w:r>
            <w:r>
              <w:rPr>
                <w:rFonts w:cs="Arial"/>
                <w:spacing w:val="-2"/>
                <w:sz w:val="18"/>
                <w:szCs w:val="18"/>
              </w:rPr>
              <w:t>,</w:t>
            </w:r>
            <w:r w:rsidRPr="007058BA">
              <w:rPr>
                <w:rFonts w:cs="Arial"/>
                <w:spacing w:val="-2"/>
                <w:sz w:val="18"/>
                <w:szCs w:val="18"/>
              </w:rPr>
              <w:t>146</w:t>
            </w:r>
          </w:p>
        </w:tc>
        <w:tc>
          <w:tcPr>
            <w:tcW w:w="588" w:type="pct"/>
            <w:tcBorders>
              <w:top w:val="nil"/>
              <w:left w:val="nil"/>
              <w:bottom w:val="nil"/>
              <w:right w:val="nil"/>
            </w:tcBorders>
            <w:shd w:val="clear" w:color="auto" w:fill="auto"/>
            <w:vAlign w:val="bottom"/>
          </w:tcPr>
          <w:p w14:paraId="410D1D3A" w14:textId="52F04F84" w:rsidR="000A2CD6" w:rsidRPr="00321238" w:rsidRDefault="000A2CD6" w:rsidP="000A2CD6">
            <w:pPr>
              <w:tabs>
                <w:tab w:val="right" w:pos="1202"/>
              </w:tabs>
              <w:spacing w:after="0" w:line="240" w:lineRule="exact"/>
              <w:jc w:val="right"/>
              <w:outlineLvl w:val="0"/>
              <w:rPr>
                <w:rFonts w:cs="Arial"/>
                <w:spacing w:val="-2"/>
                <w:sz w:val="18"/>
                <w:szCs w:val="18"/>
              </w:rPr>
            </w:pPr>
            <w:r w:rsidRPr="007058BA">
              <w:rPr>
                <w:rFonts w:cs="Arial"/>
                <w:spacing w:val="-2"/>
                <w:sz w:val="18"/>
                <w:szCs w:val="18"/>
              </w:rPr>
              <w:t>2</w:t>
            </w:r>
          </w:p>
        </w:tc>
        <w:tc>
          <w:tcPr>
            <w:tcW w:w="589" w:type="pct"/>
            <w:tcBorders>
              <w:top w:val="nil"/>
              <w:left w:val="nil"/>
              <w:bottom w:val="nil"/>
              <w:right w:val="nil"/>
            </w:tcBorders>
            <w:shd w:val="clear" w:color="auto" w:fill="auto"/>
            <w:vAlign w:val="bottom"/>
          </w:tcPr>
          <w:p w14:paraId="2F27182E" w14:textId="68276E91" w:rsidR="000A2CD6" w:rsidRPr="00321238" w:rsidRDefault="000A2CD6" w:rsidP="000A2CD6">
            <w:pPr>
              <w:tabs>
                <w:tab w:val="right" w:pos="1202"/>
              </w:tabs>
              <w:spacing w:after="0" w:line="240" w:lineRule="exact"/>
              <w:jc w:val="right"/>
              <w:outlineLvl w:val="0"/>
              <w:rPr>
                <w:rFonts w:cs="Arial"/>
                <w:spacing w:val="-2"/>
                <w:sz w:val="18"/>
                <w:szCs w:val="18"/>
              </w:rPr>
            </w:pPr>
            <w:r w:rsidRPr="007058BA">
              <w:rPr>
                <w:rFonts w:cs="Arial"/>
                <w:spacing w:val="-2"/>
                <w:sz w:val="18"/>
                <w:szCs w:val="18"/>
              </w:rPr>
              <w:t>911</w:t>
            </w:r>
          </w:p>
        </w:tc>
        <w:tc>
          <w:tcPr>
            <w:tcW w:w="581" w:type="pct"/>
            <w:tcBorders>
              <w:top w:val="nil"/>
              <w:left w:val="nil"/>
              <w:bottom w:val="nil"/>
              <w:right w:val="nil"/>
            </w:tcBorders>
            <w:shd w:val="clear" w:color="auto" w:fill="auto"/>
            <w:vAlign w:val="bottom"/>
          </w:tcPr>
          <w:p w14:paraId="09D77BF3" w14:textId="6F0D4150" w:rsidR="000A2CD6" w:rsidRPr="00321238" w:rsidRDefault="000A2CD6" w:rsidP="000A2CD6">
            <w:pPr>
              <w:tabs>
                <w:tab w:val="right" w:pos="1202"/>
              </w:tabs>
              <w:spacing w:after="0" w:line="240" w:lineRule="exact"/>
              <w:jc w:val="right"/>
              <w:outlineLvl w:val="0"/>
              <w:rPr>
                <w:rFonts w:cs="Arial"/>
                <w:spacing w:val="-2"/>
                <w:sz w:val="18"/>
                <w:szCs w:val="18"/>
              </w:rPr>
            </w:pPr>
            <w:r w:rsidRPr="007058BA">
              <w:rPr>
                <w:rFonts w:cs="Arial"/>
                <w:spacing w:val="-2"/>
                <w:sz w:val="18"/>
                <w:szCs w:val="18"/>
              </w:rPr>
              <w:t>11</w:t>
            </w:r>
            <w:r>
              <w:rPr>
                <w:rFonts w:cs="Arial"/>
                <w:spacing w:val="-2"/>
                <w:sz w:val="18"/>
                <w:szCs w:val="18"/>
              </w:rPr>
              <w:t>,</w:t>
            </w:r>
            <w:r w:rsidRPr="007058BA">
              <w:rPr>
                <w:rFonts w:cs="Arial"/>
                <w:spacing w:val="-2"/>
                <w:sz w:val="18"/>
                <w:szCs w:val="18"/>
              </w:rPr>
              <w:t>678</w:t>
            </w:r>
          </w:p>
        </w:tc>
      </w:tr>
      <w:tr w:rsidR="00093B1A" w:rsidRPr="00321238" w14:paraId="559DDBA5" w14:textId="77777777" w:rsidTr="006B318F">
        <w:trPr>
          <w:trHeight w:val="271"/>
        </w:trPr>
        <w:tc>
          <w:tcPr>
            <w:tcW w:w="1548" w:type="pct"/>
            <w:vAlign w:val="bottom"/>
          </w:tcPr>
          <w:p w14:paraId="5A8782B5" w14:textId="77777777" w:rsidR="00093B1A" w:rsidRPr="00321238" w:rsidRDefault="00093B1A" w:rsidP="00093B1A">
            <w:pPr>
              <w:tabs>
                <w:tab w:val="right" w:pos="1202"/>
              </w:tabs>
              <w:spacing w:after="0" w:line="240" w:lineRule="exact"/>
              <w:outlineLvl w:val="0"/>
              <w:rPr>
                <w:rFonts w:cs="Arial"/>
                <w:b/>
                <w:bCs/>
                <w:sz w:val="18"/>
                <w:szCs w:val="18"/>
              </w:rPr>
            </w:pPr>
            <w:r w:rsidRPr="00321238">
              <w:rPr>
                <w:rFonts w:cs="Arial"/>
                <w:b/>
                <w:bCs/>
                <w:sz w:val="18"/>
                <w:szCs w:val="18"/>
              </w:rPr>
              <w:t>Total assets (1)</w:t>
            </w:r>
          </w:p>
        </w:tc>
        <w:tc>
          <w:tcPr>
            <w:tcW w:w="521" w:type="pct"/>
            <w:tcBorders>
              <w:top w:val="single" w:sz="8" w:space="0" w:color="auto"/>
              <w:left w:val="nil"/>
              <w:bottom w:val="single" w:sz="12" w:space="0" w:color="auto"/>
              <w:right w:val="nil"/>
            </w:tcBorders>
            <w:shd w:val="clear" w:color="auto" w:fill="auto"/>
            <w:vAlign w:val="bottom"/>
          </w:tcPr>
          <w:p w14:paraId="1BAE42F5" w14:textId="6E067ABF" w:rsidR="00093B1A" w:rsidRPr="00321238" w:rsidRDefault="00093B1A" w:rsidP="00093B1A">
            <w:pPr>
              <w:tabs>
                <w:tab w:val="right" w:pos="1202"/>
              </w:tabs>
              <w:spacing w:after="0" w:line="240" w:lineRule="exact"/>
              <w:jc w:val="right"/>
              <w:outlineLvl w:val="0"/>
              <w:rPr>
                <w:rFonts w:cs="Arial"/>
                <w:b/>
                <w:spacing w:val="-2"/>
                <w:sz w:val="18"/>
                <w:szCs w:val="18"/>
              </w:rPr>
            </w:pPr>
            <w:r w:rsidRPr="00FE65B6">
              <w:rPr>
                <w:rFonts w:cs="Arial"/>
                <w:b/>
                <w:bCs/>
                <w:color w:val="000000"/>
                <w:sz w:val="18"/>
                <w:szCs w:val="18"/>
                <w:lang w:eastAsia="hr-HR"/>
              </w:rPr>
              <w:t>6</w:t>
            </w:r>
            <w:r>
              <w:rPr>
                <w:rFonts w:cs="Arial"/>
                <w:b/>
                <w:bCs/>
                <w:color w:val="000000"/>
                <w:sz w:val="18"/>
                <w:szCs w:val="18"/>
                <w:lang w:eastAsia="hr-HR"/>
              </w:rPr>
              <w:t>,</w:t>
            </w:r>
            <w:r w:rsidRPr="00FE65B6">
              <w:rPr>
                <w:rFonts w:cs="Arial"/>
                <w:b/>
                <w:bCs/>
                <w:color w:val="000000"/>
                <w:sz w:val="18"/>
                <w:szCs w:val="18"/>
                <w:lang w:eastAsia="hr-HR"/>
              </w:rPr>
              <w:t>961</w:t>
            </w:r>
            <w:r>
              <w:rPr>
                <w:rFonts w:cs="Arial"/>
                <w:b/>
                <w:bCs/>
                <w:color w:val="000000"/>
                <w:sz w:val="18"/>
                <w:szCs w:val="18"/>
                <w:lang w:eastAsia="hr-HR"/>
              </w:rPr>
              <w:t>,</w:t>
            </w:r>
            <w:r w:rsidRPr="00FE65B6">
              <w:rPr>
                <w:rFonts w:cs="Arial"/>
                <w:b/>
                <w:bCs/>
                <w:color w:val="000000"/>
                <w:sz w:val="18"/>
                <w:szCs w:val="18"/>
                <w:lang w:eastAsia="hr-HR"/>
              </w:rPr>
              <w:t>920</w:t>
            </w:r>
          </w:p>
        </w:tc>
        <w:tc>
          <w:tcPr>
            <w:tcW w:w="584" w:type="pct"/>
            <w:tcBorders>
              <w:top w:val="single" w:sz="8" w:space="0" w:color="auto"/>
              <w:left w:val="nil"/>
              <w:bottom w:val="single" w:sz="12" w:space="0" w:color="auto"/>
              <w:right w:val="nil"/>
            </w:tcBorders>
            <w:shd w:val="clear" w:color="auto" w:fill="auto"/>
            <w:vAlign w:val="bottom"/>
          </w:tcPr>
          <w:p w14:paraId="074B6562" w14:textId="5D953729" w:rsidR="00093B1A" w:rsidRPr="00321238" w:rsidRDefault="00093B1A" w:rsidP="00093B1A">
            <w:pPr>
              <w:tabs>
                <w:tab w:val="right" w:pos="1202"/>
              </w:tabs>
              <w:spacing w:after="0" w:line="240" w:lineRule="exact"/>
              <w:jc w:val="right"/>
              <w:outlineLvl w:val="0"/>
              <w:rPr>
                <w:rFonts w:cs="Arial"/>
                <w:b/>
                <w:spacing w:val="-2"/>
                <w:sz w:val="18"/>
                <w:szCs w:val="18"/>
              </w:rPr>
            </w:pPr>
            <w:r w:rsidRPr="00FE65B6">
              <w:rPr>
                <w:rFonts w:cs="Arial"/>
                <w:b/>
                <w:bCs/>
                <w:color w:val="000000"/>
                <w:sz w:val="18"/>
                <w:szCs w:val="18"/>
                <w:lang w:eastAsia="hr-HR"/>
              </w:rPr>
              <w:t>1</w:t>
            </w:r>
            <w:r>
              <w:rPr>
                <w:rFonts w:cs="Arial"/>
                <w:b/>
                <w:bCs/>
                <w:color w:val="000000"/>
                <w:sz w:val="18"/>
                <w:szCs w:val="18"/>
                <w:lang w:eastAsia="hr-HR"/>
              </w:rPr>
              <w:t>,</w:t>
            </w:r>
            <w:r w:rsidRPr="00FE65B6">
              <w:rPr>
                <w:rFonts w:cs="Arial"/>
                <w:b/>
                <w:bCs/>
                <w:color w:val="000000"/>
                <w:sz w:val="18"/>
                <w:szCs w:val="18"/>
                <w:lang w:eastAsia="hr-HR"/>
              </w:rPr>
              <w:t>272</w:t>
            </w:r>
            <w:r>
              <w:rPr>
                <w:rFonts w:cs="Arial"/>
                <w:b/>
                <w:bCs/>
                <w:color w:val="000000"/>
                <w:sz w:val="18"/>
                <w:szCs w:val="18"/>
                <w:lang w:eastAsia="hr-HR"/>
              </w:rPr>
              <w:t>,</w:t>
            </w:r>
            <w:r w:rsidRPr="00FE65B6">
              <w:rPr>
                <w:rFonts w:cs="Arial"/>
                <w:b/>
                <w:bCs/>
                <w:color w:val="000000"/>
                <w:sz w:val="18"/>
                <w:szCs w:val="18"/>
                <w:lang w:eastAsia="hr-HR"/>
              </w:rPr>
              <w:t>138</w:t>
            </w:r>
          </w:p>
        </w:tc>
        <w:tc>
          <w:tcPr>
            <w:tcW w:w="589" w:type="pct"/>
            <w:tcBorders>
              <w:top w:val="single" w:sz="8" w:space="0" w:color="auto"/>
              <w:left w:val="nil"/>
              <w:bottom w:val="single" w:sz="12" w:space="0" w:color="auto"/>
              <w:right w:val="nil"/>
            </w:tcBorders>
            <w:shd w:val="clear" w:color="auto" w:fill="auto"/>
            <w:vAlign w:val="bottom"/>
          </w:tcPr>
          <w:p w14:paraId="727D12CD" w14:textId="10A71EBF" w:rsidR="00093B1A" w:rsidRPr="00321238" w:rsidRDefault="00093B1A" w:rsidP="00093B1A">
            <w:pPr>
              <w:tabs>
                <w:tab w:val="right" w:pos="1202"/>
              </w:tabs>
              <w:spacing w:after="0" w:line="240" w:lineRule="exact"/>
              <w:jc w:val="right"/>
              <w:outlineLvl w:val="0"/>
              <w:rPr>
                <w:rFonts w:cs="Arial"/>
                <w:b/>
                <w:spacing w:val="-2"/>
                <w:sz w:val="18"/>
                <w:szCs w:val="18"/>
              </w:rPr>
            </w:pPr>
            <w:r w:rsidRPr="007058BA">
              <w:rPr>
                <w:rFonts w:cs="Arial"/>
                <w:b/>
                <w:bCs/>
                <w:color w:val="000000"/>
                <w:sz w:val="18"/>
                <w:szCs w:val="18"/>
                <w:lang w:eastAsia="hr-HR"/>
              </w:rPr>
              <w:t>2</w:t>
            </w:r>
            <w:r>
              <w:rPr>
                <w:rFonts w:cs="Arial"/>
                <w:b/>
                <w:bCs/>
                <w:color w:val="000000"/>
                <w:sz w:val="18"/>
                <w:szCs w:val="18"/>
                <w:lang w:eastAsia="hr-HR"/>
              </w:rPr>
              <w:t>,</w:t>
            </w:r>
            <w:r w:rsidRPr="007058BA">
              <w:rPr>
                <w:rFonts w:cs="Arial"/>
                <w:b/>
                <w:bCs/>
                <w:color w:val="000000"/>
                <w:sz w:val="18"/>
                <w:szCs w:val="18"/>
                <w:lang w:eastAsia="hr-HR"/>
              </w:rPr>
              <w:t>287</w:t>
            </w:r>
            <w:r>
              <w:rPr>
                <w:rFonts w:cs="Arial"/>
                <w:b/>
                <w:bCs/>
                <w:color w:val="000000"/>
                <w:sz w:val="18"/>
                <w:szCs w:val="18"/>
                <w:lang w:eastAsia="hr-HR"/>
              </w:rPr>
              <w:t>,</w:t>
            </w:r>
            <w:r w:rsidRPr="007058BA">
              <w:rPr>
                <w:rFonts w:cs="Arial"/>
                <w:b/>
                <w:bCs/>
                <w:color w:val="000000"/>
                <w:sz w:val="18"/>
                <w:szCs w:val="18"/>
                <w:lang w:eastAsia="hr-HR"/>
              </w:rPr>
              <w:t>727</w:t>
            </w:r>
          </w:p>
        </w:tc>
        <w:tc>
          <w:tcPr>
            <w:tcW w:w="588" w:type="pct"/>
            <w:tcBorders>
              <w:top w:val="single" w:sz="8" w:space="0" w:color="auto"/>
              <w:left w:val="nil"/>
              <w:bottom w:val="single" w:sz="12" w:space="0" w:color="auto"/>
              <w:right w:val="nil"/>
            </w:tcBorders>
            <w:shd w:val="clear" w:color="auto" w:fill="auto"/>
            <w:vAlign w:val="bottom"/>
          </w:tcPr>
          <w:p w14:paraId="43473723" w14:textId="17CE8241" w:rsidR="00093B1A" w:rsidRPr="00321238" w:rsidRDefault="00093B1A" w:rsidP="00093B1A">
            <w:pPr>
              <w:tabs>
                <w:tab w:val="right" w:pos="1202"/>
              </w:tabs>
              <w:spacing w:after="0" w:line="240" w:lineRule="exact"/>
              <w:jc w:val="right"/>
              <w:outlineLvl w:val="0"/>
              <w:rPr>
                <w:rFonts w:cs="Arial"/>
                <w:b/>
                <w:spacing w:val="-2"/>
                <w:sz w:val="18"/>
                <w:szCs w:val="18"/>
              </w:rPr>
            </w:pPr>
            <w:r w:rsidRPr="007058BA">
              <w:rPr>
                <w:rFonts w:cs="Arial"/>
                <w:b/>
                <w:bCs/>
                <w:color w:val="000000"/>
                <w:sz w:val="18"/>
                <w:szCs w:val="18"/>
                <w:lang w:eastAsia="hr-HR"/>
              </w:rPr>
              <w:t>4</w:t>
            </w:r>
            <w:r>
              <w:rPr>
                <w:rFonts w:cs="Arial"/>
                <w:b/>
                <w:bCs/>
                <w:color w:val="000000"/>
                <w:sz w:val="18"/>
                <w:szCs w:val="18"/>
                <w:lang w:eastAsia="hr-HR"/>
              </w:rPr>
              <w:t>,</w:t>
            </w:r>
            <w:r w:rsidRPr="007058BA">
              <w:rPr>
                <w:rFonts w:cs="Arial"/>
                <w:b/>
                <w:bCs/>
                <w:color w:val="000000"/>
                <w:sz w:val="18"/>
                <w:szCs w:val="18"/>
                <w:lang w:eastAsia="hr-HR"/>
              </w:rPr>
              <w:t>915</w:t>
            </w:r>
            <w:r>
              <w:rPr>
                <w:rFonts w:cs="Arial"/>
                <w:b/>
                <w:bCs/>
                <w:color w:val="000000"/>
                <w:sz w:val="18"/>
                <w:szCs w:val="18"/>
                <w:lang w:eastAsia="hr-HR"/>
              </w:rPr>
              <w:t>,</w:t>
            </w:r>
            <w:r w:rsidRPr="007058BA">
              <w:rPr>
                <w:rFonts w:cs="Arial"/>
                <w:b/>
                <w:bCs/>
                <w:color w:val="000000"/>
                <w:sz w:val="18"/>
                <w:szCs w:val="18"/>
                <w:lang w:eastAsia="hr-HR"/>
              </w:rPr>
              <w:t>481</w:t>
            </w:r>
          </w:p>
        </w:tc>
        <w:tc>
          <w:tcPr>
            <w:tcW w:w="589" w:type="pct"/>
            <w:tcBorders>
              <w:top w:val="single" w:sz="8" w:space="0" w:color="auto"/>
              <w:left w:val="nil"/>
              <w:bottom w:val="single" w:sz="12" w:space="0" w:color="auto"/>
              <w:right w:val="nil"/>
            </w:tcBorders>
            <w:shd w:val="clear" w:color="auto" w:fill="auto"/>
            <w:vAlign w:val="bottom"/>
          </w:tcPr>
          <w:p w14:paraId="1E1B0C83" w14:textId="2F841E69" w:rsidR="00093B1A" w:rsidRPr="00321238" w:rsidRDefault="00093B1A" w:rsidP="00093B1A">
            <w:pPr>
              <w:tabs>
                <w:tab w:val="right" w:pos="1202"/>
              </w:tabs>
              <w:spacing w:after="0" w:line="240" w:lineRule="exact"/>
              <w:jc w:val="right"/>
              <w:outlineLvl w:val="0"/>
              <w:rPr>
                <w:rFonts w:cs="Arial"/>
                <w:b/>
                <w:spacing w:val="-2"/>
                <w:sz w:val="18"/>
                <w:szCs w:val="18"/>
              </w:rPr>
            </w:pPr>
            <w:r w:rsidRPr="007058BA">
              <w:rPr>
                <w:rFonts w:cs="Arial"/>
                <w:b/>
                <w:bCs/>
                <w:color w:val="000000"/>
                <w:sz w:val="18"/>
                <w:szCs w:val="18"/>
                <w:lang w:eastAsia="hr-HR"/>
              </w:rPr>
              <w:t>12</w:t>
            </w:r>
            <w:r>
              <w:rPr>
                <w:rFonts w:cs="Arial"/>
                <w:b/>
                <w:bCs/>
                <w:color w:val="000000"/>
                <w:sz w:val="18"/>
                <w:szCs w:val="18"/>
                <w:lang w:eastAsia="hr-HR"/>
              </w:rPr>
              <w:t>,</w:t>
            </w:r>
            <w:r w:rsidRPr="007058BA">
              <w:rPr>
                <w:rFonts w:cs="Arial"/>
                <w:b/>
                <w:bCs/>
                <w:color w:val="000000"/>
                <w:sz w:val="18"/>
                <w:szCs w:val="18"/>
                <w:lang w:eastAsia="hr-HR"/>
              </w:rPr>
              <w:t>844</w:t>
            </w:r>
            <w:r>
              <w:rPr>
                <w:rFonts w:cs="Arial"/>
                <w:b/>
                <w:bCs/>
                <w:color w:val="000000"/>
                <w:sz w:val="18"/>
                <w:szCs w:val="18"/>
                <w:lang w:eastAsia="hr-HR"/>
              </w:rPr>
              <w:t>,</w:t>
            </w:r>
            <w:r w:rsidRPr="007058BA">
              <w:rPr>
                <w:rFonts w:cs="Arial"/>
                <w:b/>
                <w:bCs/>
                <w:color w:val="000000"/>
                <w:sz w:val="18"/>
                <w:szCs w:val="18"/>
                <w:lang w:eastAsia="hr-HR"/>
              </w:rPr>
              <w:t>329</w:t>
            </w:r>
          </w:p>
        </w:tc>
        <w:tc>
          <w:tcPr>
            <w:tcW w:w="581" w:type="pct"/>
            <w:tcBorders>
              <w:top w:val="single" w:sz="8" w:space="0" w:color="auto"/>
              <w:left w:val="nil"/>
              <w:bottom w:val="single" w:sz="12" w:space="0" w:color="auto"/>
              <w:right w:val="nil"/>
            </w:tcBorders>
            <w:shd w:val="clear" w:color="auto" w:fill="auto"/>
            <w:vAlign w:val="bottom"/>
          </w:tcPr>
          <w:p w14:paraId="0EBBCC6B" w14:textId="7EAE3BA8" w:rsidR="00093B1A" w:rsidRPr="00321238" w:rsidRDefault="00093B1A" w:rsidP="00093B1A">
            <w:pPr>
              <w:tabs>
                <w:tab w:val="right" w:pos="1202"/>
              </w:tabs>
              <w:spacing w:after="0" w:line="240" w:lineRule="exact"/>
              <w:jc w:val="right"/>
              <w:outlineLvl w:val="0"/>
              <w:rPr>
                <w:rFonts w:cs="Arial"/>
                <w:b/>
                <w:spacing w:val="-2"/>
                <w:sz w:val="18"/>
                <w:szCs w:val="18"/>
              </w:rPr>
            </w:pPr>
            <w:r w:rsidRPr="007058BA">
              <w:rPr>
                <w:rFonts w:cs="Arial"/>
                <w:b/>
                <w:bCs/>
                <w:color w:val="000000"/>
                <w:sz w:val="18"/>
                <w:szCs w:val="18"/>
                <w:lang w:eastAsia="hr-HR"/>
              </w:rPr>
              <w:t>28</w:t>
            </w:r>
            <w:r>
              <w:rPr>
                <w:rFonts w:cs="Arial"/>
                <w:b/>
                <w:bCs/>
                <w:color w:val="000000"/>
                <w:sz w:val="18"/>
                <w:szCs w:val="18"/>
                <w:lang w:eastAsia="hr-HR"/>
              </w:rPr>
              <w:t>,</w:t>
            </w:r>
            <w:r w:rsidRPr="007058BA">
              <w:rPr>
                <w:rFonts w:cs="Arial"/>
                <w:b/>
                <w:bCs/>
                <w:color w:val="000000"/>
                <w:sz w:val="18"/>
                <w:szCs w:val="18"/>
                <w:lang w:eastAsia="hr-HR"/>
              </w:rPr>
              <w:t>281</w:t>
            </w:r>
            <w:r>
              <w:rPr>
                <w:rFonts w:cs="Arial"/>
                <w:b/>
                <w:bCs/>
                <w:color w:val="000000"/>
                <w:sz w:val="18"/>
                <w:szCs w:val="18"/>
                <w:lang w:eastAsia="hr-HR"/>
              </w:rPr>
              <w:t>,</w:t>
            </w:r>
            <w:r w:rsidRPr="007058BA">
              <w:rPr>
                <w:rFonts w:cs="Arial"/>
                <w:b/>
                <w:bCs/>
                <w:color w:val="000000"/>
                <w:sz w:val="18"/>
                <w:szCs w:val="18"/>
                <w:lang w:eastAsia="hr-HR"/>
              </w:rPr>
              <w:t>595</w:t>
            </w:r>
          </w:p>
        </w:tc>
      </w:tr>
      <w:tr w:rsidR="00EF3682" w:rsidRPr="00321238" w14:paraId="22C36B81" w14:textId="77777777" w:rsidTr="006B318F">
        <w:trPr>
          <w:trHeight w:val="271"/>
        </w:trPr>
        <w:tc>
          <w:tcPr>
            <w:tcW w:w="1548" w:type="pct"/>
            <w:vAlign w:val="bottom"/>
          </w:tcPr>
          <w:p w14:paraId="24001A51" w14:textId="77777777" w:rsidR="00EF3682" w:rsidRPr="00321238" w:rsidRDefault="00EF3682" w:rsidP="00EF3682">
            <w:pPr>
              <w:tabs>
                <w:tab w:val="left" w:pos="0"/>
                <w:tab w:val="decimal" w:pos="1202"/>
              </w:tabs>
              <w:spacing w:after="0" w:line="240" w:lineRule="exact"/>
              <w:rPr>
                <w:rFonts w:cs="Arial"/>
                <w:b/>
                <w:bCs/>
                <w:position w:val="4"/>
                <w:sz w:val="18"/>
                <w:szCs w:val="18"/>
              </w:rPr>
            </w:pPr>
            <w:r w:rsidRPr="00321238">
              <w:rPr>
                <w:rFonts w:cs="Arial"/>
                <w:b/>
                <w:bCs/>
                <w:position w:val="4"/>
                <w:sz w:val="18"/>
                <w:szCs w:val="18"/>
              </w:rPr>
              <w:t>Liabilities</w:t>
            </w:r>
          </w:p>
        </w:tc>
        <w:tc>
          <w:tcPr>
            <w:tcW w:w="521" w:type="pct"/>
            <w:vAlign w:val="bottom"/>
          </w:tcPr>
          <w:p w14:paraId="32FE52F1" w14:textId="77777777" w:rsidR="00EF3682" w:rsidRPr="00321238" w:rsidRDefault="00EF3682" w:rsidP="00EF3682">
            <w:pPr>
              <w:spacing w:after="0" w:line="240" w:lineRule="exact"/>
              <w:jc w:val="right"/>
              <w:outlineLvl w:val="0"/>
              <w:rPr>
                <w:rFonts w:cs="Arial"/>
                <w:spacing w:val="-2"/>
                <w:sz w:val="18"/>
                <w:szCs w:val="18"/>
              </w:rPr>
            </w:pPr>
          </w:p>
        </w:tc>
        <w:tc>
          <w:tcPr>
            <w:tcW w:w="584" w:type="pct"/>
            <w:vAlign w:val="bottom"/>
          </w:tcPr>
          <w:p w14:paraId="61C0C642" w14:textId="77777777" w:rsidR="00EF3682" w:rsidRPr="00321238" w:rsidRDefault="00EF3682" w:rsidP="00EF3682">
            <w:pPr>
              <w:spacing w:after="0" w:line="240" w:lineRule="exact"/>
              <w:jc w:val="right"/>
              <w:outlineLvl w:val="0"/>
              <w:rPr>
                <w:rFonts w:cs="Arial"/>
                <w:spacing w:val="-2"/>
                <w:sz w:val="18"/>
                <w:szCs w:val="18"/>
              </w:rPr>
            </w:pPr>
          </w:p>
        </w:tc>
        <w:tc>
          <w:tcPr>
            <w:tcW w:w="589" w:type="pct"/>
            <w:vAlign w:val="bottom"/>
          </w:tcPr>
          <w:p w14:paraId="3B82C298" w14:textId="77777777" w:rsidR="00EF3682" w:rsidRPr="00321238" w:rsidRDefault="00EF3682" w:rsidP="00EF3682">
            <w:pPr>
              <w:spacing w:after="0" w:line="240" w:lineRule="exact"/>
              <w:jc w:val="right"/>
              <w:outlineLvl w:val="0"/>
              <w:rPr>
                <w:rFonts w:cs="Arial"/>
                <w:spacing w:val="-2"/>
                <w:sz w:val="18"/>
                <w:szCs w:val="18"/>
              </w:rPr>
            </w:pPr>
          </w:p>
        </w:tc>
        <w:tc>
          <w:tcPr>
            <w:tcW w:w="588" w:type="pct"/>
            <w:vAlign w:val="bottom"/>
          </w:tcPr>
          <w:p w14:paraId="22701B49" w14:textId="77777777" w:rsidR="00EF3682" w:rsidRPr="00321238" w:rsidRDefault="00EF3682" w:rsidP="00EF3682">
            <w:pPr>
              <w:spacing w:after="0" w:line="240" w:lineRule="exact"/>
              <w:jc w:val="right"/>
              <w:outlineLvl w:val="0"/>
              <w:rPr>
                <w:rFonts w:cs="Arial"/>
                <w:spacing w:val="-2"/>
                <w:sz w:val="18"/>
                <w:szCs w:val="18"/>
              </w:rPr>
            </w:pPr>
          </w:p>
        </w:tc>
        <w:tc>
          <w:tcPr>
            <w:tcW w:w="589" w:type="pct"/>
            <w:vAlign w:val="bottom"/>
          </w:tcPr>
          <w:p w14:paraId="41D37FBC" w14:textId="77777777" w:rsidR="00EF3682" w:rsidRPr="00321238" w:rsidRDefault="00EF3682" w:rsidP="00EF3682">
            <w:pPr>
              <w:spacing w:after="0" w:line="240" w:lineRule="exact"/>
              <w:jc w:val="right"/>
              <w:outlineLvl w:val="0"/>
              <w:rPr>
                <w:rFonts w:cs="Arial"/>
                <w:spacing w:val="-2"/>
                <w:sz w:val="18"/>
                <w:szCs w:val="18"/>
              </w:rPr>
            </w:pPr>
          </w:p>
        </w:tc>
        <w:tc>
          <w:tcPr>
            <w:tcW w:w="581" w:type="pct"/>
            <w:vAlign w:val="bottom"/>
          </w:tcPr>
          <w:p w14:paraId="69D81C52" w14:textId="77777777" w:rsidR="00EF3682" w:rsidRPr="00321238" w:rsidRDefault="00EF3682" w:rsidP="00EF3682">
            <w:pPr>
              <w:spacing w:after="0" w:line="240" w:lineRule="exact"/>
              <w:jc w:val="right"/>
              <w:outlineLvl w:val="0"/>
              <w:rPr>
                <w:rFonts w:cs="Arial"/>
                <w:spacing w:val="-2"/>
                <w:sz w:val="18"/>
                <w:szCs w:val="18"/>
              </w:rPr>
            </w:pPr>
          </w:p>
        </w:tc>
      </w:tr>
      <w:tr w:rsidR="00093B1A" w:rsidRPr="00321238" w14:paraId="2B069D79" w14:textId="77777777" w:rsidTr="006B318F">
        <w:trPr>
          <w:trHeight w:val="271"/>
        </w:trPr>
        <w:tc>
          <w:tcPr>
            <w:tcW w:w="1548" w:type="pct"/>
            <w:vAlign w:val="bottom"/>
          </w:tcPr>
          <w:p w14:paraId="3DFFF50D" w14:textId="77777777" w:rsidR="00093B1A" w:rsidRPr="00321238" w:rsidRDefault="00093B1A" w:rsidP="00093B1A">
            <w:pPr>
              <w:tabs>
                <w:tab w:val="right" w:pos="1202"/>
              </w:tabs>
              <w:spacing w:after="0" w:line="200" w:lineRule="exact"/>
              <w:outlineLvl w:val="0"/>
              <w:rPr>
                <w:rFonts w:eastAsia="Times New Roman" w:cs="Arial"/>
                <w:sz w:val="18"/>
                <w:szCs w:val="18"/>
              </w:rPr>
            </w:pPr>
            <w:r w:rsidRPr="00321238">
              <w:rPr>
                <w:rFonts w:eastAsia="Times New Roman" w:cs="Arial"/>
                <w:spacing w:val="-2"/>
                <w:sz w:val="18"/>
                <w:szCs w:val="18"/>
              </w:rPr>
              <w:t xml:space="preserve">Deposits </w:t>
            </w:r>
          </w:p>
        </w:tc>
        <w:tc>
          <w:tcPr>
            <w:tcW w:w="521" w:type="pct"/>
            <w:tcBorders>
              <w:top w:val="nil"/>
              <w:left w:val="nil"/>
              <w:bottom w:val="nil"/>
              <w:right w:val="nil"/>
            </w:tcBorders>
            <w:shd w:val="clear" w:color="auto" w:fill="auto"/>
            <w:vAlign w:val="bottom"/>
          </w:tcPr>
          <w:p w14:paraId="1F68CE9D" w14:textId="70587E34"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spacing w:val="-2"/>
                <w:sz w:val="18"/>
                <w:szCs w:val="18"/>
              </w:rPr>
              <w:t>732</w:t>
            </w:r>
            <w:r>
              <w:rPr>
                <w:rFonts w:cs="Arial"/>
                <w:spacing w:val="-2"/>
                <w:sz w:val="18"/>
                <w:szCs w:val="18"/>
              </w:rPr>
              <w:t>,</w:t>
            </w:r>
            <w:r w:rsidRPr="007058BA">
              <w:rPr>
                <w:rFonts w:cs="Arial"/>
                <w:spacing w:val="-2"/>
                <w:sz w:val="18"/>
                <w:szCs w:val="18"/>
              </w:rPr>
              <w:t>851</w:t>
            </w:r>
          </w:p>
        </w:tc>
        <w:tc>
          <w:tcPr>
            <w:tcW w:w="584" w:type="pct"/>
            <w:tcBorders>
              <w:top w:val="nil"/>
              <w:left w:val="nil"/>
              <w:bottom w:val="nil"/>
              <w:right w:val="nil"/>
            </w:tcBorders>
            <w:shd w:val="clear" w:color="auto" w:fill="auto"/>
            <w:vAlign w:val="bottom"/>
          </w:tcPr>
          <w:p w14:paraId="12CB1D2D" w14:textId="1EE59DEF"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spacing w:val="-2"/>
                <w:sz w:val="18"/>
                <w:szCs w:val="18"/>
              </w:rPr>
              <w:t>165</w:t>
            </w:r>
            <w:r>
              <w:rPr>
                <w:rFonts w:cs="Arial"/>
                <w:spacing w:val="-2"/>
                <w:sz w:val="18"/>
                <w:szCs w:val="18"/>
              </w:rPr>
              <w:t>,</w:t>
            </w:r>
            <w:r w:rsidRPr="007058BA">
              <w:rPr>
                <w:rFonts w:cs="Arial"/>
                <w:spacing w:val="-2"/>
                <w:sz w:val="18"/>
                <w:szCs w:val="18"/>
              </w:rPr>
              <w:t>501</w:t>
            </w:r>
          </w:p>
        </w:tc>
        <w:tc>
          <w:tcPr>
            <w:tcW w:w="589" w:type="pct"/>
            <w:tcBorders>
              <w:top w:val="nil"/>
              <w:left w:val="nil"/>
              <w:bottom w:val="nil"/>
              <w:right w:val="nil"/>
            </w:tcBorders>
            <w:shd w:val="clear" w:color="auto" w:fill="auto"/>
            <w:vAlign w:val="bottom"/>
          </w:tcPr>
          <w:p w14:paraId="152B0D69" w14:textId="21233DBD"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spacing w:val="-2"/>
                <w:sz w:val="18"/>
                <w:szCs w:val="18"/>
              </w:rPr>
              <w:t>1</w:t>
            </w:r>
            <w:r>
              <w:rPr>
                <w:rFonts w:cs="Arial"/>
                <w:spacing w:val="-2"/>
                <w:sz w:val="18"/>
                <w:szCs w:val="18"/>
              </w:rPr>
              <w:t>,</w:t>
            </w:r>
            <w:r w:rsidRPr="007058BA">
              <w:rPr>
                <w:rFonts w:cs="Arial"/>
                <w:spacing w:val="-2"/>
                <w:sz w:val="18"/>
                <w:szCs w:val="18"/>
              </w:rPr>
              <w:t>739</w:t>
            </w:r>
          </w:p>
        </w:tc>
        <w:tc>
          <w:tcPr>
            <w:tcW w:w="588" w:type="pct"/>
            <w:tcBorders>
              <w:top w:val="nil"/>
              <w:left w:val="nil"/>
              <w:bottom w:val="nil"/>
              <w:right w:val="nil"/>
            </w:tcBorders>
            <w:shd w:val="clear" w:color="auto" w:fill="auto"/>
            <w:vAlign w:val="bottom"/>
          </w:tcPr>
          <w:p w14:paraId="2FAE2241" w14:textId="0FF7915A"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spacing w:val="-2"/>
                <w:sz w:val="18"/>
                <w:szCs w:val="18"/>
              </w:rPr>
              <w:t>20</w:t>
            </w:r>
            <w:r>
              <w:rPr>
                <w:rFonts w:cs="Arial"/>
                <w:spacing w:val="-2"/>
                <w:sz w:val="18"/>
                <w:szCs w:val="18"/>
              </w:rPr>
              <w:t>,</w:t>
            </w:r>
            <w:r w:rsidRPr="007058BA">
              <w:rPr>
                <w:rFonts w:cs="Arial"/>
                <w:spacing w:val="-2"/>
                <w:sz w:val="18"/>
                <w:szCs w:val="18"/>
              </w:rPr>
              <w:t>775</w:t>
            </w:r>
          </w:p>
        </w:tc>
        <w:tc>
          <w:tcPr>
            <w:tcW w:w="589" w:type="pct"/>
            <w:tcBorders>
              <w:top w:val="nil"/>
              <w:left w:val="nil"/>
              <w:bottom w:val="nil"/>
              <w:right w:val="nil"/>
            </w:tcBorders>
            <w:shd w:val="clear" w:color="auto" w:fill="auto"/>
            <w:vAlign w:val="bottom"/>
          </w:tcPr>
          <w:p w14:paraId="4664D86D" w14:textId="1B4DDA4D"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spacing w:val="-2"/>
                <w:sz w:val="18"/>
                <w:szCs w:val="18"/>
              </w:rPr>
              <w:t>19</w:t>
            </w:r>
            <w:r>
              <w:rPr>
                <w:rFonts w:cs="Arial"/>
                <w:spacing w:val="-2"/>
                <w:sz w:val="18"/>
                <w:szCs w:val="18"/>
              </w:rPr>
              <w:t>,</w:t>
            </w:r>
            <w:r w:rsidRPr="007058BA">
              <w:rPr>
                <w:rFonts w:cs="Arial"/>
                <w:spacing w:val="-2"/>
                <w:sz w:val="18"/>
                <w:szCs w:val="18"/>
              </w:rPr>
              <w:t>918</w:t>
            </w:r>
          </w:p>
        </w:tc>
        <w:tc>
          <w:tcPr>
            <w:tcW w:w="581" w:type="pct"/>
            <w:tcBorders>
              <w:top w:val="nil"/>
              <w:left w:val="nil"/>
              <w:bottom w:val="nil"/>
              <w:right w:val="nil"/>
            </w:tcBorders>
            <w:shd w:val="clear" w:color="auto" w:fill="auto"/>
            <w:vAlign w:val="bottom"/>
          </w:tcPr>
          <w:p w14:paraId="25CFAC02" w14:textId="7A3EA97F"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spacing w:val="-2"/>
                <w:sz w:val="18"/>
                <w:szCs w:val="18"/>
              </w:rPr>
              <w:t>940</w:t>
            </w:r>
            <w:r>
              <w:rPr>
                <w:rFonts w:cs="Arial"/>
                <w:spacing w:val="-2"/>
                <w:sz w:val="18"/>
                <w:szCs w:val="18"/>
              </w:rPr>
              <w:t>,</w:t>
            </w:r>
            <w:r w:rsidRPr="007058BA">
              <w:rPr>
                <w:rFonts w:cs="Arial"/>
                <w:spacing w:val="-2"/>
                <w:sz w:val="18"/>
                <w:szCs w:val="18"/>
              </w:rPr>
              <w:t>784</w:t>
            </w:r>
          </w:p>
        </w:tc>
      </w:tr>
      <w:tr w:rsidR="00093B1A" w:rsidRPr="00321238" w14:paraId="311D4F5D" w14:textId="77777777" w:rsidTr="006B318F">
        <w:trPr>
          <w:trHeight w:val="256"/>
        </w:trPr>
        <w:tc>
          <w:tcPr>
            <w:tcW w:w="1548" w:type="pct"/>
            <w:vAlign w:val="bottom"/>
          </w:tcPr>
          <w:p w14:paraId="37D3EF25" w14:textId="77777777" w:rsidR="00093B1A" w:rsidRPr="00321238" w:rsidRDefault="00093B1A" w:rsidP="00093B1A">
            <w:pPr>
              <w:tabs>
                <w:tab w:val="right" w:pos="1202"/>
              </w:tabs>
              <w:spacing w:after="0" w:line="200" w:lineRule="exact"/>
              <w:outlineLvl w:val="0"/>
              <w:rPr>
                <w:rFonts w:eastAsia="Times New Roman" w:cs="Arial"/>
                <w:sz w:val="18"/>
                <w:szCs w:val="18"/>
              </w:rPr>
            </w:pPr>
            <w:r w:rsidRPr="00321238">
              <w:rPr>
                <w:rFonts w:eastAsia="Times New Roman" w:cs="Arial"/>
                <w:spacing w:val="-2"/>
                <w:sz w:val="18"/>
                <w:szCs w:val="18"/>
              </w:rPr>
              <w:t xml:space="preserve">Borrowings </w:t>
            </w:r>
          </w:p>
        </w:tc>
        <w:tc>
          <w:tcPr>
            <w:tcW w:w="521" w:type="pct"/>
            <w:tcBorders>
              <w:top w:val="nil"/>
              <w:left w:val="nil"/>
              <w:bottom w:val="nil"/>
              <w:right w:val="nil"/>
            </w:tcBorders>
            <w:shd w:val="clear" w:color="auto" w:fill="auto"/>
            <w:vAlign w:val="bottom"/>
          </w:tcPr>
          <w:p w14:paraId="588A1D28" w14:textId="3EC321A5"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spacing w:val="-2"/>
                <w:sz w:val="18"/>
                <w:szCs w:val="18"/>
              </w:rPr>
              <w:t>74</w:t>
            </w:r>
            <w:r>
              <w:rPr>
                <w:rFonts w:cs="Arial"/>
                <w:spacing w:val="-2"/>
                <w:sz w:val="18"/>
                <w:szCs w:val="18"/>
              </w:rPr>
              <w:t>,</w:t>
            </w:r>
            <w:r w:rsidRPr="007058BA">
              <w:rPr>
                <w:rFonts w:cs="Arial"/>
                <w:spacing w:val="-2"/>
                <w:sz w:val="18"/>
                <w:szCs w:val="18"/>
              </w:rPr>
              <w:t>500</w:t>
            </w:r>
          </w:p>
        </w:tc>
        <w:tc>
          <w:tcPr>
            <w:tcW w:w="584" w:type="pct"/>
            <w:tcBorders>
              <w:top w:val="nil"/>
              <w:left w:val="nil"/>
              <w:bottom w:val="nil"/>
              <w:right w:val="nil"/>
            </w:tcBorders>
            <w:shd w:val="clear" w:color="auto" w:fill="auto"/>
            <w:vAlign w:val="bottom"/>
          </w:tcPr>
          <w:p w14:paraId="458D62A5" w14:textId="0E8DEFD9"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spacing w:val="-2"/>
                <w:sz w:val="18"/>
                <w:szCs w:val="18"/>
              </w:rPr>
              <w:t>528</w:t>
            </w:r>
            <w:r>
              <w:rPr>
                <w:rFonts w:cs="Arial"/>
                <w:spacing w:val="-2"/>
                <w:sz w:val="18"/>
                <w:szCs w:val="18"/>
              </w:rPr>
              <w:t>,</w:t>
            </w:r>
            <w:r w:rsidRPr="007058BA">
              <w:rPr>
                <w:rFonts w:cs="Arial"/>
                <w:spacing w:val="-2"/>
                <w:sz w:val="18"/>
                <w:szCs w:val="18"/>
              </w:rPr>
              <w:t>428</w:t>
            </w:r>
          </w:p>
        </w:tc>
        <w:tc>
          <w:tcPr>
            <w:tcW w:w="589" w:type="pct"/>
            <w:tcBorders>
              <w:top w:val="nil"/>
              <w:left w:val="nil"/>
              <w:bottom w:val="nil"/>
              <w:right w:val="nil"/>
            </w:tcBorders>
            <w:shd w:val="clear" w:color="auto" w:fill="auto"/>
            <w:vAlign w:val="bottom"/>
          </w:tcPr>
          <w:p w14:paraId="5C0E28FC" w14:textId="78E2ECC4"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spacing w:val="-2"/>
                <w:sz w:val="18"/>
                <w:szCs w:val="18"/>
              </w:rPr>
              <w:t>1</w:t>
            </w:r>
            <w:r>
              <w:rPr>
                <w:rFonts w:cs="Arial"/>
                <w:spacing w:val="-2"/>
                <w:sz w:val="18"/>
                <w:szCs w:val="18"/>
              </w:rPr>
              <w:t>,</w:t>
            </w:r>
            <w:r w:rsidRPr="007058BA">
              <w:rPr>
                <w:rFonts w:cs="Arial"/>
                <w:spacing w:val="-2"/>
                <w:sz w:val="18"/>
                <w:szCs w:val="18"/>
              </w:rPr>
              <w:t>175</w:t>
            </w:r>
            <w:r>
              <w:rPr>
                <w:rFonts w:cs="Arial"/>
                <w:spacing w:val="-2"/>
                <w:sz w:val="18"/>
                <w:szCs w:val="18"/>
              </w:rPr>
              <w:t>,</w:t>
            </w:r>
            <w:r w:rsidRPr="007058BA">
              <w:rPr>
                <w:rFonts w:cs="Arial"/>
                <w:spacing w:val="-2"/>
                <w:sz w:val="18"/>
                <w:szCs w:val="18"/>
              </w:rPr>
              <w:t>170</w:t>
            </w:r>
          </w:p>
        </w:tc>
        <w:tc>
          <w:tcPr>
            <w:tcW w:w="588" w:type="pct"/>
            <w:tcBorders>
              <w:top w:val="nil"/>
              <w:left w:val="nil"/>
              <w:bottom w:val="nil"/>
              <w:right w:val="nil"/>
            </w:tcBorders>
            <w:shd w:val="clear" w:color="auto" w:fill="auto"/>
            <w:vAlign w:val="bottom"/>
          </w:tcPr>
          <w:p w14:paraId="26472B9B" w14:textId="2AC04D1B"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spacing w:val="-2"/>
                <w:sz w:val="18"/>
                <w:szCs w:val="18"/>
              </w:rPr>
              <w:t>3</w:t>
            </w:r>
            <w:r>
              <w:rPr>
                <w:rFonts w:cs="Arial"/>
                <w:spacing w:val="-2"/>
                <w:sz w:val="18"/>
                <w:szCs w:val="18"/>
              </w:rPr>
              <w:t>,</w:t>
            </w:r>
            <w:r w:rsidRPr="007058BA">
              <w:rPr>
                <w:rFonts w:cs="Arial"/>
                <w:spacing w:val="-2"/>
                <w:sz w:val="18"/>
                <w:szCs w:val="18"/>
              </w:rPr>
              <w:t>683</w:t>
            </w:r>
            <w:r>
              <w:rPr>
                <w:rFonts w:cs="Arial"/>
                <w:spacing w:val="-2"/>
                <w:sz w:val="18"/>
                <w:szCs w:val="18"/>
              </w:rPr>
              <w:t>,</w:t>
            </w:r>
            <w:r w:rsidRPr="007058BA">
              <w:rPr>
                <w:rFonts w:cs="Arial"/>
                <w:spacing w:val="-2"/>
                <w:sz w:val="18"/>
                <w:szCs w:val="18"/>
              </w:rPr>
              <w:t>546</w:t>
            </w:r>
          </w:p>
        </w:tc>
        <w:tc>
          <w:tcPr>
            <w:tcW w:w="589" w:type="pct"/>
            <w:tcBorders>
              <w:top w:val="nil"/>
              <w:left w:val="nil"/>
              <w:bottom w:val="nil"/>
              <w:right w:val="nil"/>
            </w:tcBorders>
            <w:shd w:val="clear" w:color="auto" w:fill="auto"/>
            <w:vAlign w:val="bottom"/>
          </w:tcPr>
          <w:p w14:paraId="1360ADE8" w14:textId="4A2EB1E8"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spacing w:val="-2"/>
                <w:sz w:val="18"/>
                <w:szCs w:val="18"/>
              </w:rPr>
              <w:t>9</w:t>
            </w:r>
            <w:r>
              <w:rPr>
                <w:rFonts w:cs="Arial"/>
                <w:spacing w:val="-2"/>
                <w:sz w:val="18"/>
                <w:szCs w:val="18"/>
              </w:rPr>
              <w:t>,</w:t>
            </w:r>
            <w:r w:rsidRPr="007058BA">
              <w:rPr>
                <w:rFonts w:cs="Arial"/>
                <w:spacing w:val="-2"/>
                <w:sz w:val="18"/>
                <w:szCs w:val="18"/>
              </w:rPr>
              <w:t>874</w:t>
            </w:r>
            <w:r>
              <w:rPr>
                <w:rFonts w:cs="Arial"/>
                <w:spacing w:val="-2"/>
                <w:sz w:val="18"/>
                <w:szCs w:val="18"/>
              </w:rPr>
              <w:t>,</w:t>
            </w:r>
            <w:r w:rsidRPr="007058BA">
              <w:rPr>
                <w:rFonts w:cs="Arial"/>
                <w:spacing w:val="-2"/>
                <w:sz w:val="18"/>
                <w:szCs w:val="18"/>
              </w:rPr>
              <w:t>190</w:t>
            </w:r>
          </w:p>
        </w:tc>
        <w:tc>
          <w:tcPr>
            <w:tcW w:w="581" w:type="pct"/>
            <w:tcBorders>
              <w:top w:val="nil"/>
              <w:left w:val="nil"/>
              <w:bottom w:val="nil"/>
              <w:right w:val="nil"/>
            </w:tcBorders>
            <w:shd w:val="clear" w:color="auto" w:fill="auto"/>
            <w:vAlign w:val="bottom"/>
          </w:tcPr>
          <w:p w14:paraId="7EFC5387" w14:textId="6FEA3ADF"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spacing w:val="-2"/>
                <w:sz w:val="18"/>
                <w:szCs w:val="18"/>
              </w:rPr>
              <w:t>15</w:t>
            </w:r>
            <w:r>
              <w:rPr>
                <w:rFonts w:cs="Arial"/>
                <w:spacing w:val="-2"/>
                <w:sz w:val="18"/>
                <w:szCs w:val="18"/>
              </w:rPr>
              <w:t>,</w:t>
            </w:r>
            <w:r w:rsidRPr="007058BA">
              <w:rPr>
                <w:rFonts w:cs="Arial"/>
                <w:spacing w:val="-2"/>
                <w:sz w:val="18"/>
                <w:szCs w:val="18"/>
              </w:rPr>
              <w:t>335</w:t>
            </w:r>
            <w:r>
              <w:rPr>
                <w:rFonts w:cs="Arial"/>
                <w:spacing w:val="-2"/>
                <w:sz w:val="18"/>
                <w:szCs w:val="18"/>
              </w:rPr>
              <w:t>,</w:t>
            </w:r>
            <w:r w:rsidRPr="007058BA">
              <w:rPr>
                <w:rFonts w:cs="Arial"/>
                <w:spacing w:val="-2"/>
                <w:sz w:val="18"/>
                <w:szCs w:val="18"/>
              </w:rPr>
              <w:t>834</w:t>
            </w:r>
          </w:p>
        </w:tc>
      </w:tr>
      <w:tr w:rsidR="00093B1A" w:rsidRPr="00321238" w14:paraId="34F4EDA8" w14:textId="77777777" w:rsidTr="006B318F">
        <w:trPr>
          <w:trHeight w:val="271"/>
        </w:trPr>
        <w:tc>
          <w:tcPr>
            <w:tcW w:w="1548" w:type="pct"/>
            <w:vAlign w:val="bottom"/>
          </w:tcPr>
          <w:p w14:paraId="4C7A7D39" w14:textId="77777777" w:rsidR="00093B1A" w:rsidRPr="00321238" w:rsidRDefault="00093B1A" w:rsidP="00093B1A">
            <w:pPr>
              <w:tabs>
                <w:tab w:val="right" w:pos="1202"/>
              </w:tabs>
              <w:spacing w:after="0" w:line="200" w:lineRule="exact"/>
              <w:outlineLvl w:val="0"/>
              <w:rPr>
                <w:rFonts w:eastAsia="Times New Roman" w:cs="Arial"/>
                <w:sz w:val="18"/>
                <w:szCs w:val="18"/>
              </w:rPr>
            </w:pPr>
            <w:r w:rsidRPr="00321238">
              <w:rPr>
                <w:rFonts w:eastAsia="Times New Roman" w:cs="Arial"/>
                <w:spacing w:val="-2"/>
                <w:sz w:val="18"/>
                <w:szCs w:val="18"/>
              </w:rPr>
              <w:t xml:space="preserve">Bonds payable </w:t>
            </w:r>
          </w:p>
        </w:tc>
        <w:tc>
          <w:tcPr>
            <w:tcW w:w="521" w:type="pct"/>
            <w:tcBorders>
              <w:top w:val="nil"/>
              <w:left w:val="nil"/>
              <w:bottom w:val="nil"/>
              <w:right w:val="nil"/>
            </w:tcBorders>
            <w:shd w:val="clear" w:color="auto" w:fill="auto"/>
            <w:vAlign w:val="bottom"/>
          </w:tcPr>
          <w:p w14:paraId="1222D6C4" w14:textId="07E18130"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spacing w:val="-2"/>
                <w:sz w:val="18"/>
                <w:szCs w:val="18"/>
              </w:rPr>
              <w:t>-</w:t>
            </w:r>
          </w:p>
        </w:tc>
        <w:tc>
          <w:tcPr>
            <w:tcW w:w="584" w:type="pct"/>
            <w:tcBorders>
              <w:top w:val="nil"/>
              <w:left w:val="nil"/>
              <w:bottom w:val="nil"/>
              <w:right w:val="nil"/>
            </w:tcBorders>
            <w:shd w:val="clear" w:color="auto" w:fill="auto"/>
            <w:vAlign w:val="bottom"/>
          </w:tcPr>
          <w:p w14:paraId="5D95D59F" w14:textId="1E894093"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spacing w:val="-2"/>
                <w:sz w:val="18"/>
                <w:szCs w:val="18"/>
              </w:rPr>
              <w:t>26</w:t>
            </w:r>
            <w:r>
              <w:rPr>
                <w:rFonts w:cs="Arial"/>
                <w:spacing w:val="-2"/>
                <w:sz w:val="18"/>
                <w:szCs w:val="18"/>
              </w:rPr>
              <w:t>,</w:t>
            </w:r>
            <w:r w:rsidRPr="007058BA">
              <w:rPr>
                <w:rFonts w:cs="Arial"/>
                <w:spacing w:val="-2"/>
                <w:sz w:val="18"/>
                <w:szCs w:val="18"/>
              </w:rPr>
              <w:t>805</w:t>
            </w:r>
          </w:p>
        </w:tc>
        <w:tc>
          <w:tcPr>
            <w:tcW w:w="589" w:type="pct"/>
            <w:tcBorders>
              <w:top w:val="nil"/>
              <w:left w:val="nil"/>
              <w:bottom w:val="nil"/>
              <w:right w:val="nil"/>
            </w:tcBorders>
            <w:shd w:val="clear" w:color="auto" w:fill="auto"/>
            <w:vAlign w:val="bottom"/>
          </w:tcPr>
          <w:p w14:paraId="58312C59" w14:textId="127EFFE7" w:rsidR="00093B1A" w:rsidRPr="00321238" w:rsidRDefault="00093B1A" w:rsidP="00093B1A">
            <w:pPr>
              <w:tabs>
                <w:tab w:val="right" w:pos="1202"/>
              </w:tabs>
              <w:spacing w:after="0" w:line="240" w:lineRule="exact"/>
              <w:jc w:val="right"/>
              <w:outlineLvl w:val="0"/>
              <w:rPr>
                <w:rFonts w:cs="Arial"/>
                <w:spacing w:val="-2"/>
                <w:sz w:val="18"/>
                <w:szCs w:val="18"/>
              </w:rPr>
            </w:pPr>
            <w:r>
              <w:rPr>
                <w:rFonts w:cs="Arial"/>
                <w:spacing w:val="-2"/>
                <w:sz w:val="18"/>
                <w:szCs w:val="18"/>
              </w:rPr>
              <w:t>-</w:t>
            </w:r>
          </w:p>
        </w:tc>
        <w:tc>
          <w:tcPr>
            <w:tcW w:w="588" w:type="pct"/>
            <w:tcBorders>
              <w:top w:val="nil"/>
              <w:left w:val="nil"/>
              <w:bottom w:val="nil"/>
              <w:right w:val="nil"/>
            </w:tcBorders>
            <w:shd w:val="clear" w:color="auto" w:fill="auto"/>
            <w:vAlign w:val="bottom"/>
          </w:tcPr>
          <w:p w14:paraId="717F2846" w14:textId="55D8F609"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spacing w:val="-2"/>
                <w:sz w:val="18"/>
                <w:szCs w:val="18"/>
              </w:rPr>
              <w:t>1</w:t>
            </w:r>
            <w:r>
              <w:rPr>
                <w:rFonts w:cs="Arial"/>
                <w:spacing w:val="-2"/>
                <w:sz w:val="18"/>
                <w:szCs w:val="18"/>
              </w:rPr>
              <w:t>,</w:t>
            </w:r>
            <w:r w:rsidRPr="007058BA">
              <w:rPr>
                <w:rFonts w:cs="Arial"/>
                <w:spacing w:val="-2"/>
                <w:sz w:val="18"/>
                <w:szCs w:val="18"/>
              </w:rPr>
              <w:t>114</w:t>
            </w:r>
            <w:r>
              <w:rPr>
                <w:rFonts w:cs="Arial"/>
                <w:spacing w:val="-2"/>
                <w:sz w:val="18"/>
                <w:szCs w:val="18"/>
              </w:rPr>
              <w:t>,</w:t>
            </w:r>
            <w:r w:rsidRPr="007058BA">
              <w:rPr>
                <w:rFonts w:cs="Arial"/>
                <w:spacing w:val="-2"/>
                <w:sz w:val="18"/>
                <w:szCs w:val="18"/>
              </w:rPr>
              <w:t>417</w:t>
            </w:r>
          </w:p>
        </w:tc>
        <w:tc>
          <w:tcPr>
            <w:tcW w:w="589" w:type="pct"/>
            <w:tcBorders>
              <w:top w:val="nil"/>
              <w:left w:val="nil"/>
              <w:bottom w:val="nil"/>
              <w:right w:val="nil"/>
            </w:tcBorders>
            <w:shd w:val="clear" w:color="auto" w:fill="auto"/>
            <w:vAlign w:val="bottom"/>
          </w:tcPr>
          <w:p w14:paraId="3638EC62" w14:textId="7F63A2A3"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spacing w:val="-2"/>
                <w:sz w:val="18"/>
                <w:szCs w:val="18"/>
              </w:rPr>
              <w:t>-</w:t>
            </w:r>
          </w:p>
        </w:tc>
        <w:tc>
          <w:tcPr>
            <w:tcW w:w="581" w:type="pct"/>
            <w:tcBorders>
              <w:top w:val="nil"/>
              <w:left w:val="nil"/>
              <w:bottom w:val="nil"/>
              <w:right w:val="nil"/>
            </w:tcBorders>
            <w:shd w:val="clear" w:color="auto" w:fill="auto"/>
            <w:vAlign w:val="bottom"/>
          </w:tcPr>
          <w:p w14:paraId="40D13542" w14:textId="55A0C3C6"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spacing w:val="-2"/>
                <w:sz w:val="18"/>
                <w:szCs w:val="18"/>
              </w:rPr>
              <w:t>1</w:t>
            </w:r>
            <w:r>
              <w:rPr>
                <w:rFonts w:cs="Arial"/>
                <w:spacing w:val="-2"/>
                <w:sz w:val="18"/>
                <w:szCs w:val="18"/>
              </w:rPr>
              <w:t>,</w:t>
            </w:r>
            <w:r w:rsidRPr="007058BA">
              <w:rPr>
                <w:rFonts w:cs="Arial"/>
                <w:spacing w:val="-2"/>
                <w:sz w:val="18"/>
                <w:szCs w:val="18"/>
              </w:rPr>
              <w:t>141</w:t>
            </w:r>
            <w:r>
              <w:rPr>
                <w:rFonts w:cs="Arial"/>
                <w:spacing w:val="-2"/>
                <w:sz w:val="18"/>
                <w:szCs w:val="18"/>
              </w:rPr>
              <w:t>,</w:t>
            </w:r>
            <w:r w:rsidRPr="007058BA">
              <w:rPr>
                <w:rFonts w:cs="Arial"/>
                <w:spacing w:val="-2"/>
                <w:sz w:val="18"/>
                <w:szCs w:val="18"/>
              </w:rPr>
              <w:t>222</w:t>
            </w:r>
          </w:p>
        </w:tc>
      </w:tr>
      <w:tr w:rsidR="00093B1A" w:rsidRPr="00321238" w14:paraId="0DAECE2B" w14:textId="77777777" w:rsidTr="006B318F">
        <w:trPr>
          <w:trHeight w:val="271"/>
        </w:trPr>
        <w:tc>
          <w:tcPr>
            <w:tcW w:w="1548" w:type="pct"/>
            <w:vAlign w:val="bottom"/>
          </w:tcPr>
          <w:p w14:paraId="334E2737" w14:textId="77777777" w:rsidR="00093B1A" w:rsidRPr="00321238" w:rsidRDefault="00093B1A" w:rsidP="00093B1A">
            <w:pPr>
              <w:tabs>
                <w:tab w:val="right" w:pos="1202"/>
              </w:tabs>
              <w:spacing w:after="0" w:line="200" w:lineRule="exact"/>
              <w:outlineLvl w:val="0"/>
              <w:rPr>
                <w:rFonts w:eastAsia="Times New Roman" w:cs="Arial"/>
                <w:sz w:val="18"/>
                <w:szCs w:val="18"/>
              </w:rPr>
            </w:pPr>
            <w:r w:rsidRPr="00321238">
              <w:rPr>
                <w:rFonts w:eastAsia="Times New Roman" w:cs="Arial"/>
                <w:spacing w:val="-2"/>
                <w:sz w:val="18"/>
                <w:szCs w:val="18"/>
              </w:rPr>
              <w:t xml:space="preserve">Other liabilities </w:t>
            </w:r>
          </w:p>
        </w:tc>
        <w:tc>
          <w:tcPr>
            <w:tcW w:w="521" w:type="pct"/>
            <w:tcBorders>
              <w:top w:val="nil"/>
              <w:left w:val="nil"/>
              <w:bottom w:val="nil"/>
              <w:right w:val="nil"/>
            </w:tcBorders>
            <w:shd w:val="clear" w:color="auto" w:fill="auto"/>
            <w:vAlign w:val="bottom"/>
          </w:tcPr>
          <w:p w14:paraId="58433302" w14:textId="37006277"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spacing w:val="-2"/>
                <w:sz w:val="18"/>
                <w:szCs w:val="18"/>
              </w:rPr>
              <w:t>164</w:t>
            </w:r>
            <w:r>
              <w:rPr>
                <w:rFonts w:cs="Arial"/>
                <w:spacing w:val="-2"/>
                <w:sz w:val="18"/>
                <w:szCs w:val="18"/>
              </w:rPr>
              <w:t>,</w:t>
            </w:r>
            <w:r w:rsidRPr="007058BA">
              <w:rPr>
                <w:rFonts w:cs="Arial"/>
                <w:spacing w:val="-2"/>
                <w:sz w:val="18"/>
                <w:szCs w:val="18"/>
              </w:rPr>
              <w:t>772</w:t>
            </w:r>
          </w:p>
        </w:tc>
        <w:tc>
          <w:tcPr>
            <w:tcW w:w="584" w:type="pct"/>
            <w:tcBorders>
              <w:top w:val="nil"/>
              <w:left w:val="nil"/>
              <w:bottom w:val="nil"/>
              <w:right w:val="nil"/>
            </w:tcBorders>
            <w:shd w:val="clear" w:color="auto" w:fill="auto"/>
            <w:vAlign w:val="bottom"/>
          </w:tcPr>
          <w:p w14:paraId="2508BF40" w14:textId="19B04E7D"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spacing w:val="-2"/>
                <w:sz w:val="18"/>
                <w:szCs w:val="18"/>
              </w:rPr>
              <w:t>25</w:t>
            </w:r>
            <w:r>
              <w:rPr>
                <w:rFonts w:cs="Arial"/>
                <w:spacing w:val="-2"/>
                <w:sz w:val="18"/>
                <w:szCs w:val="18"/>
              </w:rPr>
              <w:t>,</w:t>
            </w:r>
            <w:r w:rsidRPr="007058BA">
              <w:rPr>
                <w:rFonts w:cs="Arial"/>
                <w:spacing w:val="-2"/>
                <w:sz w:val="18"/>
                <w:szCs w:val="18"/>
              </w:rPr>
              <w:t>626</w:t>
            </w:r>
          </w:p>
        </w:tc>
        <w:tc>
          <w:tcPr>
            <w:tcW w:w="589" w:type="pct"/>
            <w:tcBorders>
              <w:top w:val="nil"/>
              <w:left w:val="nil"/>
              <w:bottom w:val="nil"/>
              <w:right w:val="nil"/>
            </w:tcBorders>
            <w:shd w:val="clear" w:color="auto" w:fill="auto"/>
            <w:vAlign w:val="bottom"/>
          </w:tcPr>
          <w:p w14:paraId="5B9DC6D3" w14:textId="5EB8A77B"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spacing w:val="-2"/>
                <w:sz w:val="18"/>
                <w:szCs w:val="18"/>
              </w:rPr>
              <w:t>78</w:t>
            </w:r>
            <w:r>
              <w:rPr>
                <w:rFonts w:cs="Arial"/>
                <w:spacing w:val="-2"/>
                <w:sz w:val="18"/>
                <w:szCs w:val="18"/>
              </w:rPr>
              <w:t>,</w:t>
            </w:r>
            <w:r w:rsidRPr="007058BA">
              <w:rPr>
                <w:rFonts w:cs="Arial"/>
                <w:spacing w:val="-2"/>
                <w:sz w:val="18"/>
                <w:szCs w:val="18"/>
              </w:rPr>
              <w:t>738</w:t>
            </w:r>
          </w:p>
        </w:tc>
        <w:tc>
          <w:tcPr>
            <w:tcW w:w="588" w:type="pct"/>
            <w:tcBorders>
              <w:top w:val="nil"/>
              <w:left w:val="nil"/>
              <w:bottom w:val="nil"/>
              <w:right w:val="nil"/>
            </w:tcBorders>
            <w:shd w:val="clear" w:color="auto" w:fill="auto"/>
            <w:vAlign w:val="bottom"/>
          </w:tcPr>
          <w:p w14:paraId="4EE17EEB" w14:textId="215C34FD"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spacing w:val="-2"/>
                <w:sz w:val="18"/>
                <w:szCs w:val="18"/>
              </w:rPr>
              <w:t>159</w:t>
            </w:r>
            <w:r>
              <w:rPr>
                <w:rFonts w:cs="Arial"/>
                <w:spacing w:val="-2"/>
                <w:sz w:val="18"/>
                <w:szCs w:val="18"/>
              </w:rPr>
              <w:t>,</w:t>
            </w:r>
            <w:r w:rsidRPr="007058BA">
              <w:rPr>
                <w:rFonts w:cs="Arial"/>
                <w:spacing w:val="-2"/>
                <w:sz w:val="18"/>
                <w:szCs w:val="18"/>
              </w:rPr>
              <w:t>322</w:t>
            </w:r>
          </w:p>
        </w:tc>
        <w:tc>
          <w:tcPr>
            <w:tcW w:w="589" w:type="pct"/>
            <w:tcBorders>
              <w:top w:val="nil"/>
              <w:left w:val="nil"/>
              <w:bottom w:val="nil"/>
              <w:right w:val="nil"/>
            </w:tcBorders>
            <w:shd w:val="clear" w:color="auto" w:fill="auto"/>
            <w:vAlign w:val="bottom"/>
          </w:tcPr>
          <w:p w14:paraId="3BCED749" w14:textId="6BB1FA89"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spacing w:val="-2"/>
                <w:sz w:val="18"/>
                <w:szCs w:val="18"/>
              </w:rPr>
              <w:t>180</w:t>
            </w:r>
            <w:r>
              <w:rPr>
                <w:rFonts w:cs="Arial"/>
                <w:spacing w:val="-2"/>
                <w:sz w:val="18"/>
                <w:szCs w:val="18"/>
              </w:rPr>
              <w:t>,</w:t>
            </w:r>
            <w:r w:rsidRPr="007058BA">
              <w:rPr>
                <w:rFonts w:cs="Arial"/>
                <w:spacing w:val="-2"/>
                <w:sz w:val="18"/>
                <w:szCs w:val="18"/>
              </w:rPr>
              <w:t>886</w:t>
            </w:r>
          </w:p>
        </w:tc>
        <w:tc>
          <w:tcPr>
            <w:tcW w:w="581" w:type="pct"/>
            <w:tcBorders>
              <w:top w:val="nil"/>
              <w:left w:val="nil"/>
              <w:bottom w:val="nil"/>
              <w:right w:val="nil"/>
            </w:tcBorders>
            <w:shd w:val="clear" w:color="auto" w:fill="auto"/>
            <w:vAlign w:val="bottom"/>
          </w:tcPr>
          <w:p w14:paraId="0925E42A" w14:textId="493430CC"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spacing w:val="-2"/>
                <w:sz w:val="18"/>
                <w:szCs w:val="18"/>
              </w:rPr>
              <w:t>609</w:t>
            </w:r>
            <w:r>
              <w:rPr>
                <w:rFonts w:cs="Arial"/>
                <w:spacing w:val="-2"/>
                <w:sz w:val="18"/>
                <w:szCs w:val="18"/>
              </w:rPr>
              <w:t>,</w:t>
            </w:r>
            <w:r w:rsidRPr="007058BA">
              <w:rPr>
                <w:rFonts w:cs="Arial"/>
                <w:spacing w:val="-2"/>
                <w:sz w:val="18"/>
                <w:szCs w:val="18"/>
              </w:rPr>
              <w:t>344</w:t>
            </w:r>
          </w:p>
        </w:tc>
      </w:tr>
      <w:tr w:rsidR="00093B1A" w:rsidRPr="00321238" w14:paraId="44052AFE" w14:textId="77777777" w:rsidTr="006B318F">
        <w:trPr>
          <w:trHeight w:val="256"/>
        </w:trPr>
        <w:tc>
          <w:tcPr>
            <w:tcW w:w="1548" w:type="pct"/>
            <w:vAlign w:val="bottom"/>
          </w:tcPr>
          <w:p w14:paraId="0627EFDD" w14:textId="77777777" w:rsidR="00093B1A" w:rsidRPr="00321238" w:rsidRDefault="00093B1A" w:rsidP="00093B1A">
            <w:pPr>
              <w:tabs>
                <w:tab w:val="right" w:pos="1202"/>
              </w:tabs>
              <w:spacing w:after="0" w:line="240" w:lineRule="exact"/>
              <w:outlineLvl w:val="0"/>
              <w:rPr>
                <w:rFonts w:cs="Arial"/>
                <w:b/>
                <w:bCs/>
                <w:sz w:val="18"/>
                <w:szCs w:val="18"/>
              </w:rPr>
            </w:pPr>
            <w:r w:rsidRPr="00321238">
              <w:rPr>
                <w:rFonts w:cs="Arial"/>
                <w:b/>
                <w:bCs/>
                <w:sz w:val="18"/>
                <w:szCs w:val="18"/>
              </w:rPr>
              <w:t>Total liabilities</w:t>
            </w:r>
          </w:p>
        </w:tc>
        <w:tc>
          <w:tcPr>
            <w:tcW w:w="521" w:type="pct"/>
            <w:tcBorders>
              <w:top w:val="single" w:sz="4" w:space="0" w:color="auto"/>
              <w:left w:val="nil"/>
              <w:bottom w:val="single" w:sz="8" w:space="0" w:color="auto"/>
              <w:right w:val="nil"/>
            </w:tcBorders>
            <w:shd w:val="clear" w:color="auto" w:fill="auto"/>
            <w:vAlign w:val="bottom"/>
          </w:tcPr>
          <w:p w14:paraId="45299327" w14:textId="69675D75" w:rsidR="00093B1A" w:rsidRPr="00321238" w:rsidRDefault="00093B1A" w:rsidP="00093B1A">
            <w:pPr>
              <w:tabs>
                <w:tab w:val="right" w:pos="1202"/>
              </w:tabs>
              <w:spacing w:after="0" w:line="240" w:lineRule="exact"/>
              <w:jc w:val="right"/>
              <w:outlineLvl w:val="0"/>
              <w:rPr>
                <w:rFonts w:cs="Arial"/>
                <w:b/>
                <w:spacing w:val="-2"/>
                <w:sz w:val="18"/>
                <w:szCs w:val="18"/>
              </w:rPr>
            </w:pPr>
            <w:r w:rsidRPr="007058BA">
              <w:rPr>
                <w:rFonts w:cs="Arial"/>
                <w:b/>
                <w:bCs/>
                <w:color w:val="000000"/>
                <w:sz w:val="18"/>
                <w:szCs w:val="18"/>
                <w:lang w:eastAsia="hr-HR"/>
              </w:rPr>
              <w:t>972</w:t>
            </w:r>
            <w:r>
              <w:rPr>
                <w:rFonts w:cs="Arial"/>
                <w:b/>
                <w:bCs/>
                <w:color w:val="000000"/>
                <w:sz w:val="18"/>
                <w:szCs w:val="18"/>
                <w:lang w:eastAsia="hr-HR"/>
              </w:rPr>
              <w:t>,</w:t>
            </w:r>
            <w:r w:rsidRPr="007058BA">
              <w:rPr>
                <w:rFonts w:cs="Arial"/>
                <w:b/>
                <w:bCs/>
                <w:color w:val="000000"/>
                <w:sz w:val="18"/>
                <w:szCs w:val="18"/>
                <w:lang w:eastAsia="hr-HR"/>
              </w:rPr>
              <w:t>123</w:t>
            </w:r>
          </w:p>
        </w:tc>
        <w:tc>
          <w:tcPr>
            <w:tcW w:w="584" w:type="pct"/>
            <w:tcBorders>
              <w:top w:val="single" w:sz="4" w:space="0" w:color="auto"/>
              <w:left w:val="nil"/>
              <w:bottom w:val="single" w:sz="8" w:space="0" w:color="auto"/>
              <w:right w:val="nil"/>
            </w:tcBorders>
            <w:shd w:val="clear" w:color="auto" w:fill="auto"/>
            <w:vAlign w:val="bottom"/>
          </w:tcPr>
          <w:p w14:paraId="66FF1CE7" w14:textId="6E2776D4" w:rsidR="00093B1A" w:rsidRPr="00321238" w:rsidRDefault="00093B1A" w:rsidP="00093B1A">
            <w:pPr>
              <w:tabs>
                <w:tab w:val="right" w:pos="1202"/>
              </w:tabs>
              <w:spacing w:after="0" w:line="240" w:lineRule="exact"/>
              <w:jc w:val="right"/>
              <w:outlineLvl w:val="0"/>
              <w:rPr>
                <w:rFonts w:cs="Arial"/>
                <w:b/>
                <w:spacing w:val="-2"/>
                <w:sz w:val="18"/>
                <w:szCs w:val="18"/>
              </w:rPr>
            </w:pPr>
            <w:r w:rsidRPr="007058BA">
              <w:rPr>
                <w:rFonts w:cs="Arial"/>
                <w:b/>
                <w:bCs/>
                <w:color w:val="000000"/>
                <w:sz w:val="18"/>
                <w:szCs w:val="18"/>
                <w:lang w:eastAsia="hr-HR"/>
              </w:rPr>
              <w:t>746</w:t>
            </w:r>
            <w:r>
              <w:rPr>
                <w:rFonts w:cs="Arial"/>
                <w:b/>
                <w:bCs/>
                <w:color w:val="000000"/>
                <w:sz w:val="18"/>
                <w:szCs w:val="18"/>
                <w:lang w:eastAsia="hr-HR"/>
              </w:rPr>
              <w:t>,</w:t>
            </w:r>
            <w:r w:rsidRPr="007058BA">
              <w:rPr>
                <w:rFonts w:cs="Arial"/>
                <w:b/>
                <w:bCs/>
                <w:color w:val="000000"/>
                <w:sz w:val="18"/>
                <w:szCs w:val="18"/>
                <w:lang w:eastAsia="hr-HR"/>
              </w:rPr>
              <w:t>360</w:t>
            </w:r>
          </w:p>
        </w:tc>
        <w:tc>
          <w:tcPr>
            <w:tcW w:w="589" w:type="pct"/>
            <w:tcBorders>
              <w:top w:val="single" w:sz="4" w:space="0" w:color="auto"/>
              <w:left w:val="nil"/>
              <w:bottom w:val="single" w:sz="8" w:space="0" w:color="auto"/>
              <w:right w:val="nil"/>
            </w:tcBorders>
            <w:shd w:val="clear" w:color="auto" w:fill="auto"/>
            <w:vAlign w:val="bottom"/>
          </w:tcPr>
          <w:p w14:paraId="6404ACAC" w14:textId="0A9F9856" w:rsidR="00093B1A" w:rsidRPr="00321238" w:rsidRDefault="00093B1A" w:rsidP="00093B1A">
            <w:pPr>
              <w:tabs>
                <w:tab w:val="right" w:pos="1202"/>
              </w:tabs>
              <w:spacing w:after="0" w:line="240" w:lineRule="exact"/>
              <w:jc w:val="right"/>
              <w:outlineLvl w:val="0"/>
              <w:rPr>
                <w:rFonts w:cs="Arial"/>
                <w:b/>
                <w:spacing w:val="-2"/>
                <w:sz w:val="18"/>
                <w:szCs w:val="18"/>
              </w:rPr>
            </w:pPr>
            <w:r w:rsidRPr="007058BA">
              <w:rPr>
                <w:rFonts w:cs="Arial"/>
                <w:b/>
                <w:bCs/>
                <w:color w:val="000000"/>
                <w:sz w:val="18"/>
                <w:szCs w:val="18"/>
                <w:lang w:eastAsia="hr-HR"/>
              </w:rPr>
              <w:t>1</w:t>
            </w:r>
            <w:r>
              <w:rPr>
                <w:rFonts w:cs="Arial"/>
                <w:b/>
                <w:bCs/>
                <w:color w:val="000000"/>
                <w:sz w:val="18"/>
                <w:szCs w:val="18"/>
                <w:lang w:eastAsia="hr-HR"/>
              </w:rPr>
              <w:t>,</w:t>
            </w:r>
            <w:r w:rsidRPr="007058BA">
              <w:rPr>
                <w:rFonts w:cs="Arial"/>
                <w:b/>
                <w:bCs/>
                <w:color w:val="000000"/>
                <w:sz w:val="18"/>
                <w:szCs w:val="18"/>
                <w:lang w:eastAsia="hr-HR"/>
              </w:rPr>
              <w:t>255</w:t>
            </w:r>
            <w:r>
              <w:rPr>
                <w:rFonts w:cs="Arial"/>
                <w:b/>
                <w:bCs/>
                <w:color w:val="000000"/>
                <w:sz w:val="18"/>
                <w:szCs w:val="18"/>
                <w:lang w:eastAsia="hr-HR"/>
              </w:rPr>
              <w:t>,</w:t>
            </w:r>
            <w:r w:rsidRPr="007058BA">
              <w:rPr>
                <w:rFonts w:cs="Arial"/>
                <w:b/>
                <w:bCs/>
                <w:color w:val="000000"/>
                <w:sz w:val="18"/>
                <w:szCs w:val="18"/>
                <w:lang w:eastAsia="hr-HR"/>
              </w:rPr>
              <w:t>647</w:t>
            </w:r>
          </w:p>
        </w:tc>
        <w:tc>
          <w:tcPr>
            <w:tcW w:w="588" w:type="pct"/>
            <w:tcBorders>
              <w:top w:val="single" w:sz="4" w:space="0" w:color="auto"/>
              <w:left w:val="nil"/>
              <w:bottom w:val="single" w:sz="8" w:space="0" w:color="auto"/>
              <w:right w:val="nil"/>
            </w:tcBorders>
            <w:shd w:val="clear" w:color="auto" w:fill="auto"/>
            <w:vAlign w:val="bottom"/>
          </w:tcPr>
          <w:p w14:paraId="22612BC3" w14:textId="27A3D1A4" w:rsidR="00093B1A" w:rsidRPr="00321238" w:rsidRDefault="00093B1A" w:rsidP="00093B1A">
            <w:pPr>
              <w:tabs>
                <w:tab w:val="right" w:pos="1202"/>
              </w:tabs>
              <w:spacing w:after="0" w:line="240" w:lineRule="exact"/>
              <w:jc w:val="right"/>
              <w:outlineLvl w:val="0"/>
              <w:rPr>
                <w:rFonts w:cs="Arial"/>
                <w:b/>
                <w:spacing w:val="-2"/>
                <w:sz w:val="18"/>
                <w:szCs w:val="18"/>
              </w:rPr>
            </w:pPr>
            <w:r w:rsidRPr="007058BA">
              <w:rPr>
                <w:rFonts w:cs="Arial"/>
                <w:b/>
                <w:bCs/>
                <w:color w:val="000000"/>
                <w:sz w:val="18"/>
                <w:szCs w:val="18"/>
                <w:lang w:eastAsia="hr-HR"/>
              </w:rPr>
              <w:t>4</w:t>
            </w:r>
            <w:r>
              <w:rPr>
                <w:rFonts w:cs="Arial"/>
                <w:b/>
                <w:bCs/>
                <w:color w:val="000000"/>
                <w:sz w:val="18"/>
                <w:szCs w:val="18"/>
                <w:lang w:eastAsia="hr-HR"/>
              </w:rPr>
              <w:t>,</w:t>
            </w:r>
            <w:r w:rsidRPr="007058BA">
              <w:rPr>
                <w:rFonts w:cs="Arial"/>
                <w:b/>
                <w:bCs/>
                <w:color w:val="000000"/>
                <w:sz w:val="18"/>
                <w:szCs w:val="18"/>
                <w:lang w:eastAsia="hr-HR"/>
              </w:rPr>
              <w:t>978</w:t>
            </w:r>
            <w:r>
              <w:rPr>
                <w:rFonts w:cs="Arial"/>
                <w:b/>
                <w:bCs/>
                <w:color w:val="000000"/>
                <w:sz w:val="18"/>
                <w:szCs w:val="18"/>
                <w:lang w:eastAsia="hr-HR"/>
              </w:rPr>
              <w:t>,</w:t>
            </w:r>
            <w:r w:rsidRPr="007058BA">
              <w:rPr>
                <w:rFonts w:cs="Arial"/>
                <w:b/>
                <w:bCs/>
                <w:color w:val="000000"/>
                <w:sz w:val="18"/>
                <w:szCs w:val="18"/>
                <w:lang w:eastAsia="hr-HR"/>
              </w:rPr>
              <w:t>060</w:t>
            </w:r>
          </w:p>
        </w:tc>
        <w:tc>
          <w:tcPr>
            <w:tcW w:w="589" w:type="pct"/>
            <w:tcBorders>
              <w:top w:val="single" w:sz="4" w:space="0" w:color="auto"/>
              <w:left w:val="nil"/>
              <w:bottom w:val="single" w:sz="8" w:space="0" w:color="auto"/>
              <w:right w:val="nil"/>
            </w:tcBorders>
            <w:shd w:val="clear" w:color="auto" w:fill="auto"/>
            <w:vAlign w:val="bottom"/>
          </w:tcPr>
          <w:p w14:paraId="04D89330" w14:textId="52AE5579" w:rsidR="00093B1A" w:rsidRPr="00321238" w:rsidRDefault="00093B1A" w:rsidP="00093B1A">
            <w:pPr>
              <w:tabs>
                <w:tab w:val="right" w:pos="1202"/>
              </w:tabs>
              <w:spacing w:after="0" w:line="240" w:lineRule="exact"/>
              <w:jc w:val="right"/>
              <w:outlineLvl w:val="0"/>
              <w:rPr>
                <w:rFonts w:cs="Arial"/>
                <w:b/>
                <w:spacing w:val="-2"/>
                <w:sz w:val="18"/>
                <w:szCs w:val="18"/>
              </w:rPr>
            </w:pPr>
            <w:r w:rsidRPr="007058BA">
              <w:rPr>
                <w:rFonts w:cs="Arial"/>
                <w:b/>
                <w:bCs/>
                <w:color w:val="000000"/>
                <w:sz w:val="18"/>
                <w:szCs w:val="18"/>
                <w:lang w:eastAsia="hr-HR"/>
              </w:rPr>
              <w:t>10</w:t>
            </w:r>
            <w:r>
              <w:rPr>
                <w:rFonts w:cs="Arial"/>
                <w:b/>
                <w:bCs/>
                <w:color w:val="000000"/>
                <w:sz w:val="18"/>
                <w:szCs w:val="18"/>
                <w:lang w:eastAsia="hr-HR"/>
              </w:rPr>
              <w:t>,</w:t>
            </w:r>
            <w:r w:rsidRPr="007058BA">
              <w:rPr>
                <w:rFonts w:cs="Arial"/>
                <w:b/>
                <w:bCs/>
                <w:color w:val="000000"/>
                <w:sz w:val="18"/>
                <w:szCs w:val="18"/>
                <w:lang w:eastAsia="hr-HR"/>
              </w:rPr>
              <w:t>074</w:t>
            </w:r>
            <w:r>
              <w:rPr>
                <w:rFonts w:cs="Arial"/>
                <w:b/>
                <w:bCs/>
                <w:color w:val="000000"/>
                <w:sz w:val="18"/>
                <w:szCs w:val="18"/>
                <w:lang w:eastAsia="hr-HR"/>
              </w:rPr>
              <w:t>,</w:t>
            </w:r>
            <w:r w:rsidRPr="007058BA">
              <w:rPr>
                <w:rFonts w:cs="Arial"/>
                <w:b/>
                <w:bCs/>
                <w:color w:val="000000"/>
                <w:sz w:val="18"/>
                <w:szCs w:val="18"/>
                <w:lang w:eastAsia="hr-HR"/>
              </w:rPr>
              <w:t>994</w:t>
            </w:r>
          </w:p>
        </w:tc>
        <w:tc>
          <w:tcPr>
            <w:tcW w:w="581" w:type="pct"/>
            <w:tcBorders>
              <w:top w:val="single" w:sz="4" w:space="0" w:color="auto"/>
              <w:left w:val="nil"/>
              <w:bottom w:val="single" w:sz="8" w:space="0" w:color="auto"/>
              <w:right w:val="nil"/>
            </w:tcBorders>
            <w:shd w:val="clear" w:color="auto" w:fill="auto"/>
            <w:vAlign w:val="bottom"/>
          </w:tcPr>
          <w:p w14:paraId="03934686" w14:textId="6888FE3C" w:rsidR="00093B1A" w:rsidRPr="00321238" w:rsidRDefault="00093B1A" w:rsidP="00093B1A">
            <w:pPr>
              <w:tabs>
                <w:tab w:val="right" w:pos="1202"/>
              </w:tabs>
              <w:spacing w:after="0" w:line="240" w:lineRule="exact"/>
              <w:jc w:val="right"/>
              <w:outlineLvl w:val="0"/>
              <w:rPr>
                <w:rFonts w:cs="Arial"/>
                <w:b/>
                <w:spacing w:val="-2"/>
                <w:sz w:val="18"/>
                <w:szCs w:val="18"/>
              </w:rPr>
            </w:pPr>
            <w:r w:rsidRPr="007058BA">
              <w:rPr>
                <w:rFonts w:cs="Arial"/>
                <w:b/>
                <w:bCs/>
                <w:color w:val="000000"/>
                <w:sz w:val="18"/>
                <w:szCs w:val="18"/>
                <w:lang w:eastAsia="hr-HR"/>
              </w:rPr>
              <w:t>18</w:t>
            </w:r>
            <w:r>
              <w:rPr>
                <w:rFonts w:cs="Arial"/>
                <w:b/>
                <w:bCs/>
                <w:color w:val="000000"/>
                <w:sz w:val="18"/>
                <w:szCs w:val="18"/>
                <w:lang w:eastAsia="hr-HR"/>
              </w:rPr>
              <w:t>,</w:t>
            </w:r>
            <w:r w:rsidRPr="007058BA">
              <w:rPr>
                <w:rFonts w:cs="Arial"/>
                <w:b/>
                <w:bCs/>
                <w:color w:val="000000"/>
                <w:sz w:val="18"/>
                <w:szCs w:val="18"/>
                <w:lang w:eastAsia="hr-HR"/>
              </w:rPr>
              <w:t>027</w:t>
            </w:r>
            <w:r>
              <w:rPr>
                <w:rFonts w:cs="Arial"/>
                <w:b/>
                <w:bCs/>
                <w:color w:val="000000"/>
                <w:sz w:val="18"/>
                <w:szCs w:val="18"/>
                <w:lang w:eastAsia="hr-HR"/>
              </w:rPr>
              <w:t>,</w:t>
            </w:r>
            <w:r w:rsidRPr="007058BA">
              <w:rPr>
                <w:rFonts w:cs="Arial"/>
                <w:b/>
                <w:bCs/>
                <w:color w:val="000000"/>
                <w:sz w:val="18"/>
                <w:szCs w:val="18"/>
                <w:lang w:eastAsia="hr-HR"/>
              </w:rPr>
              <w:t>184</w:t>
            </w:r>
          </w:p>
        </w:tc>
      </w:tr>
      <w:tr w:rsidR="00EF3682" w:rsidRPr="00321238" w14:paraId="07231D8B" w14:textId="77777777" w:rsidTr="006B318F">
        <w:trPr>
          <w:trHeight w:val="152"/>
        </w:trPr>
        <w:tc>
          <w:tcPr>
            <w:tcW w:w="1548" w:type="pct"/>
            <w:vAlign w:val="bottom"/>
          </w:tcPr>
          <w:p w14:paraId="154F217A" w14:textId="77777777" w:rsidR="00EF3682" w:rsidRPr="00321238" w:rsidRDefault="00EF3682" w:rsidP="00EF3682">
            <w:pPr>
              <w:tabs>
                <w:tab w:val="right" w:pos="1202"/>
              </w:tabs>
              <w:spacing w:after="0" w:line="240" w:lineRule="exact"/>
              <w:outlineLvl w:val="0"/>
              <w:rPr>
                <w:rFonts w:cs="Arial"/>
                <w:b/>
                <w:bCs/>
                <w:sz w:val="18"/>
                <w:szCs w:val="18"/>
              </w:rPr>
            </w:pPr>
            <w:r w:rsidRPr="00321238">
              <w:rPr>
                <w:rFonts w:cs="Arial"/>
                <w:b/>
                <w:bCs/>
                <w:sz w:val="18"/>
                <w:szCs w:val="18"/>
              </w:rPr>
              <w:t xml:space="preserve">Equity </w:t>
            </w:r>
          </w:p>
        </w:tc>
        <w:tc>
          <w:tcPr>
            <w:tcW w:w="521" w:type="pct"/>
            <w:tcBorders>
              <w:top w:val="single" w:sz="12" w:space="0" w:color="auto"/>
            </w:tcBorders>
            <w:shd w:val="clear" w:color="auto" w:fill="auto"/>
            <w:vAlign w:val="bottom"/>
          </w:tcPr>
          <w:p w14:paraId="17C3F893" w14:textId="77777777" w:rsidR="00EF3682" w:rsidRPr="00321238" w:rsidRDefault="00EF3682" w:rsidP="00EF3682">
            <w:pPr>
              <w:spacing w:after="0" w:line="240" w:lineRule="exact"/>
              <w:jc w:val="right"/>
              <w:outlineLvl w:val="0"/>
              <w:rPr>
                <w:rFonts w:cs="Arial"/>
                <w:spacing w:val="-2"/>
                <w:sz w:val="18"/>
                <w:szCs w:val="18"/>
              </w:rPr>
            </w:pPr>
          </w:p>
        </w:tc>
        <w:tc>
          <w:tcPr>
            <w:tcW w:w="584" w:type="pct"/>
            <w:tcBorders>
              <w:top w:val="single" w:sz="12" w:space="0" w:color="auto"/>
            </w:tcBorders>
            <w:shd w:val="clear" w:color="auto" w:fill="auto"/>
            <w:vAlign w:val="bottom"/>
          </w:tcPr>
          <w:p w14:paraId="5423DC2B" w14:textId="77777777" w:rsidR="00EF3682" w:rsidRPr="00321238" w:rsidRDefault="00EF3682" w:rsidP="00EF3682">
            <w:pPr>
              <w:spacing w:after="0" w:line="240" w:lineRule="exact"/>
              <w:jc w:val="right"/>
              <w:outlineLvl w:val="0"/>
              <w:rPr>
                <w:rFonts w:cs="Arial"/>
                <w:spacing w:val="-2"/>
                <w:sz w:val="18"/>
                <w:szCs w:val="18"/>
              </w:rPr>
            </w:pPr>
          </w:p>
        </w:tc>
        <w:tc>
          <w:tcPr>
            <w:tcW w:w="589" w:type="pct"/>
            <w:tcBorders>
              <w:top w:val="single" w:sz="12" w:space="0" w:color="auto"/>
            </w:tcBorders>
            <w:shd w:val="clear" w:color="auto" w:fill="auto"/>
            <w:vAlign w:val="bottom"/>
          </w:tcPr>
          <w:p w14:paraId="7EC2435F" w14:textId="77777777" w:rsidR="00EF3682" w:rsidRPr="00321238" w:rsidRDefault="00EF3682" w:rsidP="00EF3682">
            <w:pPr>
              <w:spacing w:after="0" w:line="240" w:lineRule="exact"/>
              <w:jc w:val="right"/>
              <w:outlineLvl w:val="0"/>
              <w:rPr>
                <w:rFonts w:cs="Arial"/>
                <w:spacing w:val="-2"/>
                <w:sz w:val="18"/>
                <w:szCs w:val="18"/>
              </w:rPr>
            </w:pPr>
          </w:p>
        </w:tc>
        <w:tc>
          <w:tcPr>
            <w:tcW w:w="588" w:type="pct"/>
            <w:tcBorders>
              <w:top w:val="single" w:sz="12" w:space="0" w:color="auto"/>
            </w:tcBorders>
            <w:shd w:val="clear" w:color="auto" w:fill="auto"/>
            <w:vAlign w:val="bottom"/>
          </w:tcPr>
          <w:p w14:paraId="7D9F86F9" w14:textId="77777777" w:rsidR="00EF3682" w:rsidRPr="00321238" w:rsidRDefault="00EF3682" w:rsidP="00EF3682">
            <w:pPr>
              <w:spacing w:after="0" w:line="240" w:lineRule="exact"/>
              <w:jc w:val="right"/>
              <w:outlineLvl w:val="0"/>
              <w:rPr>
                <w:rFonts w:cs="Arial"/>
                <w:spacing w:val="-2"/>
                <w:sz w:val="18"/>
                <w:szCs w:val="18"/>
              </w:rPr>
            </w:pPr>
          </w:p>
        </w:tc>
        <w:tc>
          <w:tcPr>
            <w:tcW w:w="589" w:type="pct"/>
            <w:tcBorders>
              <w:top w:val="single" w:sz="12" w:space="0" w:color="auto"/>
            </w:tcBorders>
            <w:shd w:val="clear" w:color="auto" w:fill="auto"/>
            <w:vAlign w:val="bottom"/>
          </w:tcPr>
          <w:p w14:paraId="6C09FB36" w14:textId="77777777" w:rsidR="00EF3682" w:rsidRPr="00321238" w:rsidRDefault="00EF3682" w:rsidP="00EF3682">
            <w:pPr>
              <w:spacing w:after="0" w:line="240" w:lineRule="exact"/>
              <w:jc w:val="right"/>
              <w:outlineLvl w:val="0"/>
              <w:rPr>
                <w:rFonts w:cs="Arial"/>
                <w:spacing w:val="-2"/>
                <w:sz w:val="18"/>
                <w:szCs w:val="18"/>
              </w:rPr>
            </w:pPr>
          </w:p>
        </w:tc>
        <w:tc>
          <w:tcPr>
            <w:tcW w:w="581" w:type="pct"/>
            <w:tcBorders>
              <w:top w:val="single" w:sz="12" w:space="0" w:color="auto"/>
            </w:tcBorders>
            <w:shd w:val="clear" w:color="auto" w:fill="auto"/>
            <w:vAlign w:val="bottom"/>
          </w:tcPr>
          <w:p w14:paraId="55F73117" w14:textId="77777777" w:rsidR="00EF3682" w:rsidRPr="00321238" w:rsidRDefault="00EF3682" w:rsidP="00EF3682">
            <w:pPr>
              <w:spacing w:after="0" w:line="240" w:lineRule="exact"/>
              <w:jc w:val="right"/>
              <w:outlineLvl w:val="0"/>
              <w:rPr>
                <w:rFonts w:cs="Arial"/>
                <w:spacing w:val="-2"/>
                <w:sz w:val="18"/>
                <w:szCs w:val="18"/>
              </w:rPr>
            </w:pPr>
          </w:p>
        </w:tc>
      </w:tr>
      <w:tr w:rsidR="00093B1A" w:rsidRPr="00321238" w14:paraId="61405570" w14:textId="77777777" w:rsidTr="006B318F">
        <w:trPr>
          <w:trHeight w:val="271"/>
        </w:trPr>
        <w:tc>
          <w:tcPr>
            <w:tcW w:w="1548" w:type="pct"/>
            <w:vAlign w:val="bottom"/>
          </w:tcPr>
          <w:p w14:paraId="69311D55" w14:textId="77777777" w:rsidR="00093B1A" w:rsidRPr="00321238" w:rsidRDefault="00093B1A" w:rsidP="00093B1A">
            <w:pPr>
              <w:tabs>
                <w:tab w:val="right" w:pos="1202"/>
              </w:tabs>
              <w:spacing w:after="0" w:line="200" w:lineRule="exact"/>
              <w:outlineLvl w:val="0"/>
              <w:rPr>
                <w:rFonts w:eastAsia="Times New Roman" w:cs="Arial"/>
                <w:sz w:val="18"/>
                <w:szCs w:val="18"/>
              </w:rPr>
            </w:pPr>
            <w:r w:rsidRPr="00321238">
              <w:rPr>
                <w:rFonts w:eastAsia="Times New Roman" w:cs="Arial"/>
                <w:sz w:val="18"/>
                <w:szCs w:val="18"/>
              </w:rPr>
              <w:t xml:space="preserve">Founder’s capital </w:t>
            </w:r>
          </w:p>
        </w:tc>
        <w:tc>
          <w:tcPr>
            <w:tcW w:w="521" w:type="pct"/>
            <w:tcBorders>
              <w:top w:val="nil"/>
              <w:left w:val="nil"/>
              <w:bottom w:val="nil"/>
              <w:right w:val="nil"/>
            </w:tcBorders>
            <w:shd w:val="clear" w:color="auto" w:fill="auto"/>
            <w:vAlign w:val="bottom"/>
          </w:tcPr>
          <w:p w14:paraId="1C3F3CCB" w14:textId="77777777" w:rsidR="00093B1A" w:rsidRPr="00321238" w:rsidRDefault="00093B1A" w:rsidP="00093B1A">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4" w:type="pct"/>
            <w:tcBorders>
              <w:top w:val="nil"/>
              <w:left w:val="nil"/>
              <w:bottom w:val="nil"/>
              <w:right w:val="nil"/>
            </w:tcBorders>
            <w:shd w:val="clear" w:color="auto" w:fill="auto"/>
            <w:vAlign w:val="bottom"/>
          </w:tcPr>
          <w:p w14:paraId="410BF556" w14:textId="77777777" w:rsidR="00093B1A" w:rsidRPr="00321238" w:rsidRDefault="00093B1A" w:rsidP="00093B1A">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14:paraId="02CFC9ED" w14:textId="77777777" w:rsidR="00093B1A" w:rsidRPr="00321238" w:rsidRDefault="00093B1A" w:rsidP="00093B1A">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8" w:type="pct"/>
            <w:tcBorders>
              <w:top w:val="nil"/>
              <w:left w:val="nil"/>
              <w:bottom w:val="nil"/>
              <w:right w:val="nil"/>
            </w:tcBorders>
            <w:shd w:val="clear" w:color="auto" w:fill="auto"/>
            <w:vAlign w:val="bottom"/>
          </w:tcPr>
          <w:p w14:paraId="788228DD" w14:textId="77777777" w:rsidR="00093B1A" w:rsidRPr="00321238" w:rsidRDefault="00093B1A" w:rsidP="00093B1A">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14:paraId="3466A717" w14:textId="5747DF30"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bCs/>
                <w:color w:val="000000"/>
                <w:sz w:val="18"/>
                <w:szCs w:val="18"/>
                <w:lang w:eastAsia="hr-HR"/>
              </w:rPr>
              <w:t>6</w:t>
            </w:r>
            <w:r>
              <w:rPr>
                <w:rFonts w:cs="Arial"/>
                <w:bCs/>
                <w:color w:val="000000"/>
                <w:sz w:val="18"/>
                <w:szCs w:val="18"/>
                <w:lang w:eastAsia="hr-HR"/>
              </w:rPr>
              <w:t>,</w:t>
            </w:r>
            <w:r w:rsidRPr="007058BA">
              <w:rPr>
                <w:rFonts w:cs="Arial"/>
                <w:bCs/>
                <w:color w:val="000000"/>
                <w:sz w:val="18"/>
                <w:szCs w:val="18"/>
                <w:lang w:eastAsia="hr-HR"/>
              </w:rPr>
              <w:t>984</w:t>
            </w:r>
            <w:r>
              <w:rPr>
                <w:rFonts w:cs="Arial"/>
                <w:bCs/>
                <w:color w:val="000000"/>
                <w:sz w:val="18"/>
                <w:szCs w:val="18"/>
                <w:lang w:eastAsia="hr-HR"/>
              </w:rPr>
              <w:t>,</w:t>
            </w:r>
            <w:r w:rsidRPr="007058BA">
              <w:rPr>
                <w:rFonts w:cs="Arial"/>
                <w:bCs/>
                <w:color w:val="000000"/>
                <w:sz w:val="18"/>
                <w:szCs w:val="18"/>
                <w:lang w:eastAsia="hr-HR"/>
              </w:rPr>
              <w:t>632</w:t>
            </w:r>
          </w:p>
        </w:tc>
        <w:tc>
          <w:tcPr>
            <w:tcW w:w="581" w:type="pct"/>
            <w:tcBorders>
              <w:top w:val="nil"/>
              <w:left w:val="nil"/>
              <w:bottom w:val="nil"/>
              <w:right w:val="nil"/>
            </w:tcBorders>
            <w:shd w:val="clear" w:color="auto" w:fill="auto"/>
            <w:vAlign w:val="bottom"/>
          </w:tcPr>
          <w:p w14:paraId="6124F10C" w14:textId="246B231B"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bCs/>
                <w:color w:val="000000"/>
                <w:sz w:val="18"/>
                <w:szCs w:val="18"/>
                <w:lang w:eastAsia="hr-HR"/>
              </w:rPr>
              <w:t>6</w:t>
            </w:r>
            <w:r>
              <w:rPr>
                <w:rFonts w:cs="Arial"/>
                <w:bCs/>
                <w:color w:val="000000"/>
                <w:sz w:val="18"/>
                <w:szCs w:val="18"/>
                <w:lang w:eastAsia="hr-HR"/>
              </w:rPr>
              <w:t>,</w:t>
            </w:r>
            <w:r w:rsidRPr="007058BA">
              <w:rPr>
                <w:rFonts w:cs="Arial"/>
                <w:bCs/>
                <w:color w:val="000000"/>
                <w:sz w:val="18"/>
                <w:szCs w:val="18"/>
                <w:lang w:eastAsia="hr-HR"/>
              </w:rPr>
              <w:t>984</w:t>
            </w:r>
            <w:r>
              <w:rPr>
                <w:rFonts w:cs="Arial"/>
                <w:bCs/>
                <w:color w:val="000000"/>
                <w:sz w:val="18"/>
                <w:szCs w:val="18"/>
                <w:lang w:eastAsia="hr-HR"/>
              </w:rPr>
              <w:t>,</w:t>
            </w:r>
            <w:r w:rsidRPr="007058BA">
              <w:rPr>
                <w:rFonts w:cs="Arial"/>
                <w:bCs/>
                <w:color w:val="000000"/>
                <w:sz w:val="18"/>
                <w:szCs w:val="18"/>
                <w:lang w:eastAsia="hr-HR"/>
              </w:rPr>
              <w:t>632</w:t>
            </w:r>
          </w:p>
        </w:tc>
      </w:tr>
      <w:tr w:rsidR="00093B1A" w:rsidRPr="00321238" w14:paraId="394228CF" w14:textId="77777777" w:rsidTr="006B318F">
        <w:trPr>
          <w:trHeight w:val="271"/>
        </w:trPr>
        <w:tc>
          <w:tcPr>
            <w:tcW w:w="1548" w:type="pct"/>
            <w:vAlign w:val="bottom"/>
          </w:tcPr>
          <w:p w14:paraId="7C1AA218" w14:textId="77777777" w:rsidR="00093B1A" w:rsidRPr="00321238" w:rsidRDefault="00093B1A" w:rsidP="00093B1A">
            <w:pPr>
              <w:tabs>
                <w:tab w:val="right" w:pos="1202"/>
              </w:tabs>
              <w:spacing w:after="0" w:line="200" w:lineRule="exact"/>
              <w:outlineLvl w:val="0"/>
              <w:rPr>
                <w:rFonts w:eastAsia="Times New Roman" w:cs="Arial"/>
                <w:sz w:val="18"/>
                <w:szCs w:val="18"/>
              </w:rPr>
            </w:pPr>
            <w:r w:rsidRPr="00321238">
              <w:rPr>
                <w:rFonts w:eastAsia="Times New Roman" w:cs="Arial"/>
                <w:sz w:val="18"/>
                <w:szCs w:val="18"/>
              </w:rPr>
              <w:t xml:space="preserve">Retained earnings and reserves </w:t>
            </w:r>
          </w:p>
        </w:tc>
        <w:tc>
          <w:tcPr>
            <w:tcW w:w="521" w:type="pct"/>
            <w:tcBorders>
              <w:top w:val="nil"/>
              <w:left w:val="nil"/>
              <w:bottom w:val="nil"/>
              <w:right w:val="nil"/>
            </w:tcBorders>
            <w:shd w:val="clear" w:color="auto" w:fill="auto"/>
            <w:vAlign w:val="bottom"/>
          </w:tcPr>
          <w:p w14:paraId="24C96EF4" w14:textId="77777777" w:rsidR="00093B1A" w:rsidRPr="00321238" w:rsidRDefault="00093B1A" w:rsidP="00093B1A">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4" w:type="pct"/>
            <w:tcBorders>
              <w:top w:val="nil"/>
              <w:left w:val="nil"/>
              <w:bottom w:val="nil"/>
              <w:right w:val="nil"/>
            </w:tcBorders>
            <w:shd w:val="clear" w:color="auto" w:fill="auto"/>
            <w:vAlign w:val="bottom"/>
          </w:tcPr>
          <w:p w14:paraId="5EB24069" w14:textId="77777777" w:rsidR="00093B1A" w:rsidRPr="00321238" w:rsidRDefault="00093B1A" w:rsidP="00093B1A">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14:paraId="775DD7B4" w14:textId="77777777" w:rsidR="00093B1A" w:rsidRPr="00321238" w:rsidRDefault="00093B1A" w:rsidP="00093B1A">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8" w:type="pct"/>
            <w:tcBorders>
              <w:top w:val="nil"/>
              <w:left w:val="nil"/>
              <w:bottom w:val="nil"/>
              <w:right w:val="nil"/>
            </w:tcBorders>
            <w:shd w:val="clear" w:color="auto" w:fill="auto"/>
            <w:vAlign w:val="bottom"/>
          </w:tcPr>
          <w:p w14:paraId="6629133E" w14:textId="77777777" w:rsidR="00093B1A" w:rsidRPr="00321238" w:rsidRDefault="00093B1A" w:rsidP="00093B1A">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14:paraId="50D41F4B" w14:textId="05A2A6BB"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bCs/>
                <w:color w:val="000000"/>
                <w:sz w:val="18"/>
                <w:szCs w:val="18"/>
                <w:lang w:eastAsia="hr-HR"/>
              </w:rPr>
              <w:t>2</w:t>
            </w:r>
            <w:r>
              <w:rPr>
                <w:rFonts w:cs="Arial"/>
                <w:bCs/>
                <w:color w:val="000000"/>
                <w:sz w:val="18"/>
                <w:szCs w:val="18"/>
                <w:lang w:eastAsia="hr-HR"/>
              </w:rPr>
              <w:t>,</w:t>
            </w:r>
            <w:r w:rsidRPr="007058BA">
              <w:rPr>
                <w:rFonts w:cs="Arial"/>
                <w:bCs/>
                <w:color w:val="000000"/>
                <w:sz w:val="18"/>
                <w:szCs w:val="18"/>
                <w:lang w:eastAsia="hr-HR"/>
              </w:rPr>
              <w:t>995</w:t>
            </w:r>
            <w:r>
              <w:rPr>
                <w:rFonts w:cs="Arial"/>
                <w:bCs/>
                <w:color w:val="000000"/>
                <w:sz w:val="18"/>
                <w:szCs w:val="18"/>
                <w:lang w:eastAsia="hr-HR"/>
              </w:rPr>
              <w:t>,</w:t>
            </w:r>
            <w:r w:rsidRPr="007058BA">
              <w:rPr>
                <w:rFonts w:cs="Arial"/>
                <w:bCs/>
                <w:color w:val="000000"/>
                <w:sz w:val="18"/>
                <w:szCs w:val="18"/>
                <w:lang w:eastAsia="hr-HR"/>
              </w:rPr>
              <w:t>656</w:t>
            </w:r>
          </w:p>
        </w:tc>
        <w:tc>
          <w:tcPr>
            <w:tcW w:w="581" w:type="pct"/>
            <w:tcBorders>
              <w:top w:val="nil"/>
              <w:left w:val="nil"/>
              <w:bottom w:val="nil"/>
              <w:right w:val="nil"/>
            </w:tcBorders>
            <w:shd w:val="clear" w:color="auto" w:fill="auto"/>
            <w:vAlign w:val="bottom"/>
          </w:tcPr>
          <w:p w14:paraId="74C15E0E" w14:textId="7DDA5D1A"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bCs/>
                <w:color w:val="000000"/>
                <w:sz w:val="18"/>
                <w:szCs w:val="18"/>
                <w:lang w:eastAsia="hr-HR"/>
              </w:rPr>
              <w:t>2</w:t>
            </w:r>
            <w:r>
              <w:rPr>
                <w:rFonts w:cs="Arial"/>
                <w:bCs/>
                <w:color w:val="000000"/>
                <w:sz w:val="18"/>
                <w:szCs w:val="18"/>
                <w:lang w:eastAsia="hr-HR"/>
              </w:rPr>
              <w:t>,</w:t>
            </w:r>
            <w:r w:rsidRPr="007058BA">
              <w:rPr>
                <w:rFonts w:cs="Arial"/>
                <w:bCs/>
                <w:color w:val="000000"/>
                <w:sz w:val="18"/>
                <w:szCs w:val="18"/>
                <w:lang w:eastAsia="hr-HR"/>
              </w:rPr>
              <w:t>995</w:t>
            </w:r>
            <w:r>
              <w:rPr>
                <w:rFonts w:cs="Arial"/>
                <w:bCs/>
                <w:color w:val="000000"/>
                <w:sz w:val="18"/>
                <w:szCs w:val="18"/>
                <w:lang w:eastAsia="hr-HR"/>
              </w:rPr>
              <w:t>,</w:t>
            </w:r>
            <w:r w:rsidRPr="007058BA">
              <w:rPr>
                <w:rFonts w:cs="Arial"/>
                <w:bCs/>
                <w:color w:val="000000"/>
                <w:sz w:val="18"/>
                <w:szCs w:val="18"/>
                <w:lang w:eastAsia="hr-HR"/>
              </w:rPr>
              <w:t>656</w:t>
            </w:r>
          </w:p>
        </w:tc>
      </w:tr>
      <w:tr w:rsidR="00093B1A" w:rsidRPr="00321238" w14:paraId="0B077A8B" w14:textId="77777777" w:rsidTr="006B318F">
        <w:trPr>
          <w:trHeight w:val="271"/>
        </w:trPr>
        <w:tc>
          <w:tcPr>
            <w:tcW w:w="1548" w:type="pct"/>
            <w:vAlign w:val="bottom"/>
          </w:tcPr>
          <w:p w14:paraId="3A24726E" w14:textId="77777777" w:rsidR="00093B1A" w:rsidRPr="00321238" w:rsidRDefault="00093B1A" w:rsidP="00093B1A">
            <w:pPr>
              <w:tabs>
                <w:tab w:val="right" w:pos="1202"/>
              </w:tabs>
              <w:spacing w:after="0" w:line="200" w:lineRule="exact"/>
              <w:outlineLvl w:val="0"/>
              <w:rPr>
                <w:rFonts w:eastAsia="Times New Roman" w:cs="Arial"/>
                <w:sz w:val="18"/>
                <w:szCs w:val="18"/>
              </w:rPr>
            </w:pPr>
            <w:r w:rsidRPr="00321238">
              <w:rPr>
                <w:rFonts w:eastAsia="Times New Roman" w:cs="Arial"/>
                <w:sz w:val="18"/>
                <w:szCs w:val="18"/>
              </w:rPr>
              <w:t xml:space="preserve">Other reserves </w:t>
            </w:r>
          </w:p>
        </w:tc>
        <w:tc>
          <w:tcPr>
            <w:tcW w:w="521" w:type="pct"/>
            <w:tcBorders>
              <w:top w:val="nil"/>
              <w:left w:val="nil"/>
              <w:bottom w:val="nil"/>
              <w:right w:val="nil"/>
            </w:tcBorders>
            <w:shd w:val="clear" w:color="auto" w:fill="auto"/>
            <w:vAlign w:val="bottom"/>
          </w:tcPr>
          <w:p w14:paraId="2346A8A6" w14:textId="77777777" w:rsidR="00093B1A" w:rsidRPr="00321238" w:rsidRDefault="00093B1A" w:rsidP="00093B1A">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4" w:type="pct"/>
            <w:tcBorders>
              <w:top w:val="nil"/>
              <w:left w:val="nil"/>
              <w:bottom w:val="nil"/>
              <w:right w:val="nil"/>
            </w:tcBorders>
            <w:shd w:val="clear" w:color="auto" w:fill="auto"/>
            <w:vAlign w:val="bottom"/>
          </w:tcPr>
          <w:p w14:paraId="68C0B51B" w14:textId="77777777" w:rsidR="00093B1A" w:rsidRPr="00321238" w:rsidRDefault="00093B1A" w:rsidP="00093B1A">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14:paraId="43F0AD9E" w14:textId="77777777" w:rsidR="00093B1A" w:rsidRPr="00321238" w:rsidRDefault="00093B1A" w:rsidP="00093B1A">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8" w:type="pct"/>
            <w:tcBorders>
              <w:top w:val="nil"/>
              <w:left w:val="nil"/>
              <w:bottom w:val="nil"/>
              <w:right w:val="nil"/>
            </w:tcBorders>
            <w:shd w:val="clear" w:color="auto" w:fill="auto"/>
            <w:vAlign w:val="bottom"/>
          </w:tcPr>
          <w:p w14:paraId="034153F4" w14:textId="77777777" w:rsidR="00093B1A" w:rsidRPr="00321238" w:rsidRDefault="00093B1A" w:rsidP="00093B1A">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14:paraId="7C3E6B0A" w14:textId="63AA3E0A"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bCs/>
                <w:color w:val="000000"/>
                <w:sz w:val="18"/>
                <w:szCs w:val="18"/>
                <w:lang w:eastAsia="hr-HR"/>
              </w:rPr>
              <w:t>86</w:t>
            </w:r>
            <w:r>
              <w:rPr>
                <w:rFonts w:cs="Arial"/>
                <w:bCs/>
                <w:color w:val="000000"/>
                <w:sz w:val="18"/>
                <w:szCs w:val="18"/>
                <w:lang w:eastAsia="hr-HR"/>
              </w:rPr>
              <w:t>,</w:t>
            </w:r>
            <w:r w:rsidRPr="007058BA">
              <w:rPr>
                <w:rFonts w:cs="Arial"/>
                <w:bCs/>
                <w:color w:val="000000"/>
                <w:sz w:val="18"/>
                <w:szCs w:val="18"/>
                <w:lang w:eastAsia="hr-HR"/>
              </w:rPr>
              <w:t>336</w:t>
            </w:r>
          </w:p>
        </w:tc>
        <w:tc>
          <w:tcPr>
            <w:tcW w:w="581" w:type="pct"/>
            <w:tcBorders>
              <w:top w:val="nil"/>
              <w:left w:val="nil"/>
              <w:bottom w:val="nil"/>
              <w:right w:val="nil"/>
            </w:tcBorders>
            <w:shd w:val="clear" w:color="auto" w:fill="auto"/>
            <w:vAlign w:val="bottom"/>
          </w:tcPr>
          <w:p w14:paraId="019D4FB5" w14:textId="3B1B81B4"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bCs/>
                <w:color w:val="000000"/>
                <w:sz w:val="18"/>
                <w:szCs w:val="18"/>
                <w:lang w:eastAsia="hr-HR"/>
              </w:rPr>
              <w:t>86</w:t>
            </w:r>
            <w:r>
              <w:rPr>
                <w:rFonts w:cs="Arial"/>
                <w:bCs/>
                <w:color w:val="000000"/>
                <w:sz w:val="18"/>
                <w:szCs w:val="18"/>
                <w:lang w:eastAsia="hr-HR"/>
              </w:rPr>
              <w:t>,</w:t>
            </w:r>
            <w:r w:rsidRPr="007058BA">
              <w:rPr>
                <w:rFonts w:cs="Arial"/>
                <w:bCs/>
                <w:color w:val="000000"/>
                <w:sz w:val="18"/>
                <w:szCs w:val="18"/>
                <w:lang w:eastAsia="hr-HR"/>
              </w:rPr>
              <w:t>336</w:t>
            </w:r>
          </w:p>
        </w:tc>
      </w:tr>
      <w:tr w:rsidR="00093B1A" w:rsidRPr="00321238" w14:paraId="1F13483C" w14:textId="77777777" w:rsidTr="006B318F">
        <w:trPr>
          <w:trHeight w:val="256"/>
        </w:trPr>
        <w:tc>
          <w:tcPr>
            <w:tcW w:w="1548" w:type="pct"/>
            <w:vAlign w:val="bottom"/>
          </w:tcPr>
          <w:p w14:paraId="38F4EB48" w14:textId="77777777" w:rsidR="00093B1A" w:rsidRPr="00321238" w:rsidRDefault="00093B1A" w:rsidP="00093B1A">
            <w:pPr>
              <w:tabs>
                <w:tab w:val="right" w:pos="1202"/>
              </w:tabs>
              <w:spacing w:after="0" w:line="200" w:lineRule="exact"/>
              <w:outlineLvl w:val="0"/>
              <w:rPr>
                <w:rFonts w:eastAsia="Times New Roman" w:cs="Arial"/>
                <w:sz w:val="18"/>
                <w:szCs w:val="18"/>
              </w:rPr>
            </w:pPr>
            <w:r w:rsidRPr="00321238">
              <w:rPr>
                <w:rFonts w:eastAsia="Times New Roman" w:cs="Arial"/>
                <w:sz w:val="18"/>
                <w:szCs w:val="18"/>
              </w:rPr>
              <w:t xml:space="preserve">Net profit for the year </w:t>
            </w:r>
          </w:p>
        </w:tc>
        <w:tc>
          <w:tcPr>
            <w:tcW w:w="521" w:type="pct"/>
            <w:tcBorders>
              <w:top w:val="nil"/>
              <w:left w:val="nil"/>
              <w:bottom w:val="nil"/>
              <w:right w:val="nil"/>
            </w:tcBorders>
            <w:shd w:val="clear" w:color="auto" w:fill="auto"/>
            <w:vAlign w:val="bottom"/>
          </w:tcPr>
          <w:p w14:paraId="26F304C2" w14:textId="77777777" w:rsidR="00093B1A" w:rsidRPr="00321238" w:rsidRDefault="00093B1A" w:rsidP="00093B1A">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4" w:type="pct"/>
            <w:tcBorders>
              <w:top w:val="nil"/>
              <w:left w:val="nil"/>
              <w:bottom w:val="nil"/>
              <w:right w:val="nil"/>
            </w:tcBorders>
            <w:shd w:val="clear" w:color="auto" w:fill="auto"/>
            <w:vAlign w:val="bottom"/>
          </w:tcPr>
          <w:p w14:paraId="540A4F4E" w14:textId="77777777" w:rsidR="00093B1A" w:rsidRPr="00321238" w:rsidRDefault="00093B1A" w:rsidP="00093B1A">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14:paraId="2A915275" w14:textId="77777777" w:rsidR="00093B1A" w:rsidRPr="00321238" w:rsidRDefault="00093B1A" w:rsidP="00093B1A">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8" w:type="pct"/>
            <w:tcBorders>
              <w:top w:val="nil"/>
              <w:left w:val="nil"/>
              <w:bottom w:val="nil"/>
              <w:right w:val="nil"/>
            </w:tcBorders>
            <w:shd w:val="clear" w:color="auto" w:fill="auto"/>
            <w:vAlign w:val="bottom"/>
          </w:tcPr>
          <w:p w14:paraId="2415144B" w14:textId="77777777" w:rsidR="00093B1A" w:rsidRPr="00321238" w:rsidRDefault="00093B1A" w:rsidP="00093B1A">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14:paraId="57B84727" w14:textId="4ED7D634"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bCs/>
                <w:color w:val="000000"/>
                <w:sz w:val="18"/>
                <w:szCs w:val="18"/>
                <w:lang w:eastAsia="hr-HR"/>
              </w:rPr>
              <w:t>175</w:t>
            </w:r>
            <w:r>
              <w:rPr>
                <w:rFonts w:cs="Arial"/>
                <w:bCs/>
                <w:color w:val="000000"/>
                <w:sz w:val="18"/>
                <w:szCs w:val="18"/>
                <w:lang w:eastAsia="hr-HR"/>
              </w:rPr>
              <w:t>,</w:t>
            </w:r>
            <w:r w:rsidRPr="007058BA">
              <w:rPr>
                <w:rFonts w:cs="Arial"/>
                <w:bCs/>
                <w:color w:val="000000"/>
                <w:sz w:val="18"/>
                <w:szCs w:val="18"/>
                <w:lang w:eastAsia="hr-HR"/>
              </w:rPr>
              <w:t>511</w:t>
            </w:r>
          </w:p>
        </w:tc>
        <w:tc>
          <w:tcPr>
            <w:tcW w:w="581" w:type="pct"/>
            <w:tcBorders>
              <w:top w:val="nil"/>
              <w:left w:val="nil"/>
              <w:bottom w:val="nil"/>
              <w:right w:val="nil"/>
            </w:tcBorders>
            <w:shd w:val="clear" w:color="auto" w:fill="auto"/>
            <w:vAlign w:val="bottom"/>
          </w:tcPr>
          <w:p w14:paraId="538E8F10" w14:textId="7CB827B8"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bCs/>
                <w:color w:val="000000"/>
                <w:sz w:val="18"/>
                <w:szCs w:val="18"/>
                <w:lang w:eastAsia="hr-HR"/>
              </w:rPr>
              <w:t>175</w:t>
            </w:r>
            <w:r>
              <w:rPr>
                <w:rFonts w:cs="Arial"/>
                <w:bCs/>
                <w:color w:val="000000"/>
                <w:sz w:val="18"/>
                <w:szCs w:val="18"/>
                <w:lang w:eastAsia="hr-HR"/>
              </w:rPr>
              <w:t>,</w:t>
            </w:r>
            <w:r w:rsidRPr="007058BA">
              <w:rPr>
                <w:rFonts w:cs="Arial"/>
                <w:bCs/>
                <w:color w:val="000000"/>
                <w:sz w:val="18"/>
                <w:szCs w:val="18"/>
                <w:lang w:eastAsia="hr-HR"/>
              </w:rPr>
              <w:t>511</w:t>
            </w:r>
          </w:p>
        </w:tc>
      </w:tr>
      <w:tr w:rsidR="00093B1A" w:rsidRPr="00321238" w14:paraId="45F8F803" w14:textId="77777777" w:rsidTr="006B318F">
        <w:trPr>
          <w:trHeight w:val="271"/>
        </w:trPr>
        <w:tc>
          <w:tcPr>
            <w:tcW w:w="1548" w:type="pct"/>
            <w:vAlign w:val="bottom"/>
          </w:tcPr>
          <w:p w14:paraId="41C6DD18" w14:textId="77777777" w:rsidR="00093B1A" w:rsidRPr="00321238" w:rsidRDefault="00093B1A" w:rsidP="00093B1A">
            <w:pPr>
              <w:tabs>
                <w:tab w:val="right" w:pos="1202"/>
              </w:tabs>
              <w:spacing w:after="0" w:line="240" w:lineRule="exact"/>
              <w:outlineLvl w:val="0"/>
              <w:rPr>
                <w:rFonts w:cs="Arial"/>
                <w:b/>
                <w:bCs/>
                <w:sz w:val="18"/>
                <w:szCs w:val="18"/>
              </w:rPr>
            </w:pPr>
            <w:r w:rsidRPr="00321238">
              <w:rPr>
                <w:rFonts w:cs="Arial"/>
                <w:b/>
                <w:bCs/>
                <w:sz w:val="18"/>
                <w:szCs w:val="18"/>
              </w:rPr>
              <w:t xml:space="preserve">Capital </w:t>
            </w:r>
          </w:p>
        </w:tc>
        <w:tc>
          <w:tcPr>
            <w:tcW w:w="521" w:type="pct"/>
            <w:tcBorders>
              <w:top w:val="single" w:sz="4" w:space="0" w:color="auto"/>
              <w:left w:val="nil"/>
              <w:bottom w:val="single" w:sz="8" w:space="0" w:color="auto"/>
              <w:right w:val="nil"/>
            </w:tcBorders>
            <w:shd w:val="clear" w:color="auto" w:fill="auto"/>
            <w:vAlign w:val="bottom"/>
          </w:tcPr>
          <w:p w14:paraId="051CBD83" w14:textId="77777777" w:rsidR="00093B1A" w:rsidRPr="00321238" w:rsidRDefault="00093B1A" w:rsidP="00093B1A">
            <w:pPr>
              <w:tabs>
                <w:tab w:val="right" w:pos="1202"/>
              </w:tabs>
              <w:spacing w:after="0" w:line="240" w:lineRule="exact"/>
              <w:jc w:val="right"/>
              <w:outlineLvl w:val="0"/>
              <w:rPr>
                <w:rFonts w:cs="Arial"/>
                <w:b/>
                <w:spacing w:val="-2"/>
                <w:sz w:val="18"/>
                <w:szCs w:val="18"/>
              </w:rPr>
            </w:pPr>
          </w:p>
        </w:tc>
        <w:tc>
          <w:tcPr>
            <w:tcW w:w="584" w:type="pct"/>
            <w:tcBorders>
              <w:top w:val="single" w:sz="4" w:space="0" w:color="auto"/>
              <w:left w:val="nil"/>
              <w:bottom w:val="single" w:sz="8" w:space="0" w:color="auto"/>
              <w:right w:val="nil"/>
            </w:tcBorders>
            <w:shd w:val="clear" w:color="auto" w:fill="auto"/>
            <w:vAlign w:val="bottom"/>
          </w:tcPr>
          <w:p w14:paraId="3A9EEB42" w14:textId="77777777" w:rsidR="00093B1A" w:rsidRPr="00321238" w:rsidRDefault="00093B1A" w:rsidP="00093B1A">
            <w:pPr>
              <w:tabs>
                <w:tab w:val="right" w:pos="1202"/>
              </w:tabs>
              <w:spacing w:after="0" w:line="240" w:lineRule="exact"/>
              <w:jc w:val="right"/>
              <w:outlineLvl w:val="0"/>
              <w:rPr>
                <w:rFonts w:cs="Arial"/>
                <w:b/>
                <w:spacing w:val="-2"/>
                <w:sz w:val="18"/>
                <w:szCs w:val="18"/>
              </w:rPr>
            </w:pPr>
          </w:p>
        </w:tc>
        <w:tc>
          <w:tcPr>
            <w:tcW w:w="589" w:type="pct"/>
            <w:tcBorders>
              <w:top w:val="single" w:sz="4" w:space="0" w:color="auto"/>
              <w:left w:val="nil"/>
              <w:bottom w:val="single" w:sz="8" w:space="0" w:color="auto"/>
              <w:right w:val="nil"/>
            </w:tcBorders>
            <w:shd w:val="clear" w:color="auto" w:fill="auto"/>
            <w:vAlign w:val="bottom"/>
          </w:tcPr>
          <w:p w14:paraId="7DB4244E" w14:textId="77777777" w:rsidR="00093B1A" w:rsidRPr="00321238" w:rsidRDefault="00093B1A" w:rsidP="00093B1A">
            <w:pPr>
              <w:tabs>
                <w:tab w:val="right" w:pos="1202"/>
              </w:tabs>
              <w:spacing w:after="0" w:line="240" w:lineRule="exact"/>
              <w:jc w:val="right"/>
              <w:outlineLvl w:val="0"/>
              <w:rPr>
                <w:rFonts w:cs="Arial"/>
                <w:b/>
                <w:spacing w:val="-2"/>
                <w:sz w:val="18"/>
                <w:szCs w:val="18"/>
              </w:rPr>
            </w:pPr>
          </w:p>
        </w:tc>
        <w:tc>
          <w:tcPr>
            <w:tcW w:w="588" w:type="pct"/>
            <w:tcBorders>
              <w:top w:val="single" w:sz="4" w:space="0" w:color="auto"/>
              <w:left w:val="nil"/>
              <w:bottom w:val="single" w:sz="8" w:space="0" w:color="auto"/>
              <w:right w:val="nil"/>
            </w:tcBorders>
            <w:shd w:val="clear" w:color="auto" w:fill="auto"/>
            <w:vAlign w:val="bottom"/>
          </w:tcPr>
          <w:p w14:paraId="02E1C2AB" w14:textId="77777777" w:rsidR="00093B1A" w:rsidRPr="00321238" w:rsidRDefault="00093B1A" w:rsidP="00093B1A">
            <w:pPr>
              <w:tabs>
                <w:tab w:val="right" w:pos="1202"/>
              </w:tabs>
              <w:spacing w:after="0" w:line="240" w:lineRule="exact"/>
              <w:jc w:val="right"/>
              <w:outlineLvl w:val="0"/>
              <w:rPr>
                <w:rFonts w:cs="Arial"/>
                <w:b/>
                <w:spacing w:val="-2"/>
                <w:sz w:val="18"/>
                <w:szCs w:val="18"/>
              </w:rPr>
            </w:pPr>
          </w:p>
        </w:tc>
        <w:tc>
          <w:tcPr>
            <w:tcW w:w="589" w:type="pct"/>
            <w:tcBorders>
              <w:top w:val="single" w:sz="4" w:space="0" w:color="auto"/>
              <w:left w:val="nil"/>
              <w:bottom w:val="single" w:sz="8" w:space="0" w:color="auto"/>
              <w:right w:val="nil"/>
            </w:tcBorders>
            <w:shd w:val="clear" w:color="auto" w:fill="auto"/>
            <w:vAlign w:val="bottom"/>
          </w:tcPr>
          <w:p w14:paraId="29F5D730" w14:textId="5C3BD345" w:rsidR="00093B1A" w:rsidRPr="00321238" w:rsidRDefault="00093B1A" w:rsidP="00093B1A">
            <w:pPr>
              <w:tabs>
                <w:tab w:val="right" w:pos="1202"/>
              </w:tabs>
              <w:spacing w:after="0" w:line="240" w:lineRule="exact"/>
              <w:jc w:val="right"/>
              <w:outlineLvl w:val="0"/>
              <w:rPr>
                <w:rFonts w:cs="Arial"/>
                <w:b/>
                <w:spacing w:val="-2"/>
                <w:sz w:val="18"/>
                <w:szCs w:val="18"/>
              </w:rPr>
            </w:pPr>
            <w:r w:rsidRPr="007058BA">
              <w:rPr>
                <w:rFonts w:cs="Arial"/>
                <w:b/>
                <w:bCs/>
                <w:color w:val="000000"/>
                <w:sz w:val="18"/>
                <w:szCs w:val="18"/>
                <w:lang w:eastAsia="hr-HR"/>
              </w:rPr>
              <w:t>10</w:t>
            </w:r>
            <w:r>
              <w:rPr>
                <w:rFonts w:cs="Arial"/>
                <w:b/>
                <w:bCs/>
                <w:color w:val="000000"/>
                <w:sz w:val="18"/>
                <w:szCs w:val="18"/>
                <w:lang w:eastAsia="hr-HR"/>
              </w:rPr>
              <w:t>,</w:t>
            </w:r>
            <w:r w:rsidRPr="007058BA">
              <w:rPr>
                <w:rFonts w:cs="Arial"/>
                <w:b/>
                <w:bCs/>
                <w:color w:val="000000"/>
                <w:sz w:val="18"/>
                <w:szCs w:val="18"/>
                <w:lang w:eastAsia="hr-HR"/>
              </w:rPr>
              <w:t>242</w:t>
            </w:r>
            <w:r>
              <w:rPr>
                <w:rFonts w:cs="Arial"/>
                <w:b/>
                <w:bCs/>
                <w:color w:val="000000"/>
                <w:sz w:val="18"/>
                <w:szCs w:val="18"/>
                <w:lang w:eastAsia="hr-HR"/>
              </w:rPr>
              <w:t>,</w:t>
            </w:r>
            <w:r w:rsidRPr="007058BA">
              <w:rPr>
                <w:rFonts w:cs="Arial"/>
                <w:b/>
                <w:bCs/>
                <w:color w:val="000000"/>
                <w:sz w:val="18"/>
                <w:szCs w:val="18"/>
                <w:lang w:eastAsia="hr-HR"/>
              </w:rPr>
              <w:t>135</w:t>
            </w:r>
          </w:p>
        </w:tc>
        <w:tc>
          <w:tcPr>
            <w:tcW w:w="581" w:type="pct"/>
            <w:tcBorders>
              <w:top w:val="single" w:sz="4" w:space="0" w:color="auto"/>
              <w:left w:val="nil"/>
              <w:bottom w:val="single" w:sz="8" w:space="0" w:color="auto"/>
              <w:right w:val="nil"/>
            </w:tcBorders>
            <w:shd w:val="clear" w:color="auto" w:fill="auto"/>
            <w:vAlign w:val="bottom"/>
          </w:tcPr>
          <w:p w14:paraId="574D27B4" w14:textId="5827225B" w:rsidR="00093B1A" w:rsidRPr="00321238" w:rsidRDefault="00093B1A" w:rsidP="00093B1A">
            <w:pPr>
              <w:tabs>
                <w:tab w:val="right" w:pos="1202"/>
              </w:tabs>
              <w:spacing w:after="0" w:line="240" w:lineRule="exact"/>
              <w:jc w:val="right"/>
              <w:outlineLvl w:val="0"/>
              <w:rPr>
                <w:rFonts w:cs="Arial"/>
                <w:b/>
                <w:spacing w:val="-2"/>
                <w:sz w:val="18"/>
                <w:szCs w:val="18"/>
              </w:rPr>
            </w:pPr>
            <w:r w:rsidRPr="007058BA">
              <w:rPr>
                <w:rFonts w:cs="Arial"/>
                <w:b/>
                <w:bCs/>
                <w:color w:val="000000"/>
                <w:sz w:val="18"/>
                <w:szCs w:val="18"/>
                <w:lang w:eastAsia="hr-HR"/>
              </w:rPr>
              <w:t>10</w:t>
            </w:r>
            <w:r>
              <w:rPr>
                <w:rFonts w:cs="Arial"/>
                <w:b/>
                <w:bCs/>
                <w:color w:val="000000"/>
                <w:sz w:val="18"/>
                <w:szCs w:val="18"/>
                <w:lang w:eastAsia="hr-HR"/>
              </w:rPr>
              <w:t>,</w:t>
            </w:r>
            <w:r w:rsidRPr="007058BA">
              <w:rPr>
                <w:rFonts w:cs="Arial"/>
                <w:b/>
                <w:bCs/>
                <w:color w:val="000000"/>
                <w:sz w:val="18"/>
                <w:szCs w:val="18"/>
                <w:lang w:eastAsia="hr-HR"/>
              </w:rPr>
              <w:t>242</w:t>
            </w:r>
            <w:r>
              <w:rPr>
                <w:rFonts w:cs="Arial"/>
                <w:b/>
                <w:bCs/>
                <w:color w:val="000000"/>
                <w:sz w:val="18"/>
                <w:szCs w:val="18"/>
                <w:lang w:eastAsia="hr-HR"/>
              </w:rPr>
              <w:t>,</w:t>
            </w:r>
            <w:r w:rsidRPr="007058BA">
              <w:rPr>
                <w:rFonts w:cs="Arial"/>
                <w:b/>
                <w:bCs/>
                <w:color w:val="000000"/>
                <w:sz w:val="18"/>
                <w:szCs w:val="18"/>
                <w:lang w:eastAsia="hr-HR"/>
              </w:rPr>
              <w:t>135</w:t>
            </w:r>
          </w:p>
        </w:tc>
      </w:tr>
      <w:tr w:rsidR="00093B1A" w:rsidRPr="00321238" w14:paraId="3EEE1487" w14:textId="77777777" w:rsidTr="006B318F">
        <w:trPr>
          <w:trHeight w:val="271"/>
        </w:trPr>
        <w:tc>
          <w:tcPr>
            <w:tcW w:w="1548" w:type="pct"/>
            <w:vAlign w:val="bottom"/>
          </w:tcPr>
          <w:p w14:paraId="7B4F59D6" w14:textId="77777777" w:rsidR="00093B1A" w:rsidRPr="00321238" w:rsidRDefault="00093B1A" w:rsidP="00093B1A">
            <w:pPr>
              <w:tabs>
                <w:tab w:val="right" w:pos="1202"/>
              </w:tabs>
              <w:spacing w:after="0" w:line="240" w:lineRule="exact"/>
              <w:outlineLvl w:val="0"/>
              <w:rPr>
                <w:rFonts w:cs="Arial"/>
                <w:sz w:val="18"/>
                <w:szCs w:val="18"/>
              </w:rPr>
            </w:pPr>
            <w:r w:rsidRPr="00321238">
              <w:rPr>
                <w:rFonts w:cs="Arial"/>
                <w:sz w:val="18"/>
                <w:szCs w:val="18"/>
              </w:rPr>
              <w:t xml:space="preserve">Guarantee fund </w:t>
            </w:r>
          </w:p>
        </w:tc>
        <w:tc>
          <w:tcPr>
            <w:tcW w:w="521" w:type="pct"/>
            <w:tcBorders>
              <w:top w:val="nil"/>
              <w:left w:val="nil"/>
              <w:bottom w:val="nil"/>
              <w:right w:val="nil"/>
            </w:tcBorders>
            <w:shd w:val="clear" w:color="auto" w:fill="auto"/>
            <w:vAlign w:val="bottom"/>
          </w:tcPr>
          <w:p w14:paraId="2E366346" w14:textId="77777777" w:rsidR="00093B1A" w:rsidRPr="00321238" w:rsidRDefault="00093B1A" w:rsidP="00093B1A">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4" w:type="pct"/>
            <w:tcBorders>
              <w:top w:val="nil"/>
              <w:left w:val="nil"/>
              <w:bottom w:val="nil"/>
              <w:right w:val="nil"/>
            </w:tcBorders>
            <w:shd w:val="clear" w:color="auto" w:fill="auto"/>
            <w:vAlign w:val="bottom"/>
          </w:tcPr>
          <w:p w14:paraId="778B4A12" w14:textId="77777777" w:rsidR="00093B1A" w:rsidRPr="00321238" w:rsidRDefault="00093B1A" w:rsidP="00093B1A">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14:paraId="35A585FB" w14:textId="77777777" w:rsidR="00093B1A" w:rsidRPr="00321238" w:rsidRDefault="00093B1A" w:rsidP="00093B1A">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8" w:type="pct"/>
            <w:tcBorders>
              <w:top w:val="nil"/>
              <w:left w:val="nil"/>
              <w:bottom w:val="nil"/>
              <w:right w:val="nil"/>
            </w:tcBorders>
            <w:shd w:val="clear" w:color="auto" w:fill="auto"/>
            <w:vAlign w:val="bottom"/>
          </w:tcPr>
          <w:p w14:paraId="2A11C853" w14:textId="77777777" w:rsidR="00093B1A" w:rsidRPr="00321238" w:rsidRDefault="00093B1A" w:rsidP="00093B1A">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14:paraId="073EDF57" w14:textId="26C09270"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bCs/>
                <w:color w:val="000000"/>
                <w:sz w:val="18"/>
                <w:szCs w:val="18"/>
                <w:lang w:eastAsia="hr-HR"/>
              </w:rPr>
              <w:t>12</w:t>
            </w:r>
            <w:r>
              <w:rPr>
                <w:rFonts w:cs="Arial"/>
                <w:bCs/>
                <w:color w:val="000000"/>
                <w:sz w:val="18"/>
                <w:szCs w:val="18"/>
                <w:lang w:eastAsia="hr-HR"/>
              </w:rPr>
              <w:t>,</w:t>
            </w:r>
            <w:r w:rsidRPr="007058BA">
              <w:rPr>
                <w:rFonts w:cs="Arial"/>
                <w:bCs/>
                <w:color w:val="000000"/>
                <w:sz w:val="18"/>
                <w:szCs w:val="18"/>
                <w:lang w:eastAsia="hr-HR"/>
              </w:rPr>
              <w:t>276</w:t>
            </w:r>
          </w:p>
        </w:tc>
        <w:tc>
          <w:tcPr>
            <w:tcW w:w="581" w:type="pct"/>
            <w:tcBorders>
              <w:top w:val="nil"/>
              <w:left w:val="nil"/>
              <w:bottom w:val="nil"/>
              <w:right w:val="nil"/>
            </w:tcBorders>
            <w:shd w:val="clear" w:color="auto" w:fill="auto"/>
            <w:vAlign w:val="bottom"/>
          </w:tcPr>
          <w:p w14:paraId="120AAF27" w14:textId="1802BF53" w:rsidR="00093B1A" w:rsidRPr="00321238" w:rsidRDefault="00093B1A" w:rsidP="00093B1A">
            <w:pPr>
              <w:tabs>
                <w:tab w:val="right" w:pos="1202"/>
              </w:tabs>
              <w:spacing w:after="0" w:line="240" w:lineRule="exact"/>
              <w:jc w:val="right"/>
              <w:outlineLvl w:val="0"/>
              <w:rPr>
                <w:rFonts w:cs="Arial"/>
                <w:spacing w:val="-2"/>
                <w:sz w:val="18"/>
                <w:szCs w:val="18"/>
              </w:rPr>
            </w:pPr>
            <w:r w:rsidRPr="007058BA">
              <w:rPr>
                <w:rFonts w:cs="Arial"/>
                <w:bCs/>
                <w:color w:val="000000"/>
                <w:sz w:val="18"/>
                <w:szCs w:val="18"/>
                <w:lang w:eastAsia="hr-HR"/>
              </w:rPr>
              <w:t>12</w:t>
            </w:r>
            <w:r>
              <w:rPr>
                <w:rFonts w:cs="Arial"/>
                <w:bCs/>
                <w:color w:val="000000"/>
                <w:sz w:val="18"/>
                <w:szCs w:val="18"/>
                <w:lang w:eastAsia="hr-HR"/>
              </w:rPr>
              <w:t>,</w:t>
            </w:r>
            <w:r w:rsidRPr="007058BA">
              <w:rPr>
                <w:rFonts w:cs="Arial"/>
                <w:bCs/>
                <w:color w:val="000000"/>
                <w:sz w:val="18"/>
                <w:szCs w:val="18"/>
                <w:lang w:eastAsia="hr-HR"/>
              </w:rPr>
              <w:t>276</w:t>
            </w:r>
          </w:p>
        </w:tc>
      </w:tr>
      <w:tr w:rsidR="00093B1A" w:rsidRPr="00321238" w14:paraId="3BA7EADB" w14:textId="77777777" w:rsidTr="006B318F">
        <w:trPr>
          <w:trHeight w:val="256"/>
        </w:trPr>
        <w:tc>
          <w:tcPr>
            <w:tcW w:w="1548" w:type="pct"/>
            <w:vAlign w:val="bottom"/>
          </w:tcPr>
          <w:p w14:paraId="4E966312" w14:textId="77777777" w:rsidR="00093B1A" w:rsidRPr="00321238" w:rsidRDefault="00093B1A" w:rsidP="00093B1A">
            <w:pPr>
              <w:tabs>
                <w:tab w:val="right" w:pos="1202"/>
              </w:tabs>
              <w:spacing w:after="0" w:line="240" w:lineRule="exact"/>
              <w:outlineLvl w:val="0"/>
              <w:rPr>
                <w:rFonts w:cs="Arial"/>
                <w:b/>
                <w:bCs/>
                <w:sz w:val="18"/>
                <w:szCs w:val="18"/>
              </w:rPr>
            </w:pPr>
            <w:r w:rsidRPr="00321238">
              <w:rPr>
                <w:rFonts w:cs="Arial"/>
                <w:b/>
                <w:bCs/>
                <w:sz w:val="18"/>
                <w:szCs w:val="18"/>
              </w:rPr>
              <w:t xml:space="preserve">Total equity </w:t>
            </w:r>
          </w:p>
        </w:tc>
        <w:tc>
          <w:tcPr>
            <w:tcW w:w="521" w:type="pct"/>
            <w:tcBorders>
              <w:top w:val="single" w:sz="4" w:space="0" w:color="auto"/>
              <w:left w:val="nil"/>
              <w:bottom w:val="single" w:sz="8" w:space="0" w:color="auto"/>
              <w:right w:val="nil"/>
            </w:tcBorders>
            <w:shd w:val="clear" w:color="auto" w:fill="auto"/>
            <w:vAlign w:val="bottom"/>
          </w:tcPr>
          <w:p w14:paraId="7A63962F" w14:textId="77777777" w:rsidR="00093B1A" w:rsidRPr="00321238" w:rsidRDefault="00093B1A" w:rsidP="00093B1A">
            <w:pPr>
              <w:tabs>
                <w:tab w:val="right" w:pos="1202"/>
              </w:tabs>
              <w:spacing w:after="0" w:line="240" w:lineRule="exact"/>
              <w:jc w:val="right"/>
              <w:outlineLvl w:val="0"/>
              <w:rPr>
                <w:rFonts w:cs="Arial"/>
                <w:b/>
                <w:spacing w:val="-2"/>
                <w:sz w:val="18"/>
                <w:szCs w:val="18"/>
              </w:rPr>
            </w:pPr>
            <w:r w:rsidRPr="00166751">
              <w:rPr>
                <w:rFonts w:ascii="Arial" w:hAnsi="Arial" w:cs="Arial"/>
                <w:b/>
                <w:bCs/>
                <w:color w:val="000000"/>
                <w:sz w:val="18"/>
                <w:szCs w:val="18"/>
              </w:rPr>
              <w:t>-</w:t>
            </w:r>
          </w:p>
        </w:tc>
        <w:tc>
          <w:tcPr>
            <w:tcW w:w="584" w:type="pct"/>
            <w:tcBorders>
              <w:top w:val="single" w:sz="4" w:space="0" w:color="auto"/>
              <w:left w:val="nil"/>
              <w:bottom w:val="single" w:sz="8" w:space="0" w:color="auto"/>
              <w:right w:val="nil"/>
            </w:tcBorders>
            <w:shd w:val="clear" w:color="auto" w:fill="auto"/>
            <w:vAlign w:val="bottom"/>
          </w:tcPr>
          <w:p w14:paraId="59857173" w14:textId="77777777" w:rsidR="00093B1A" w:rsidRPr="00321238" w:rsidRDefault="00093B1A" w:rsidP="00093B1A">
            <w:pPr>
              <w:tabs>
                <w:tab w:val="right" w:pos="1202"/>
              </w:tabs>
              <w:spacing w:after="0" w:line="240" w:lineRule="exact"/>
              <w:jc w:val="right"/>
              <w:outlineLvl w:val="0"/>
              <w:rPr>
                <w:rFonts w:cs="Arial"/>
                <w:b/>
                <w:spacing w:val="-2"/>
                <w:sz w:val="18"/>
                <w:szCs w:val="18"/>
              </w:rPr>
            </w:pPr>
            <w:r w:rsidRPr="00166751">
              <w:rPr>
                <w:rFonts w:ascii="Arial" w:hAnsi="Arial" w:cs="Arial"/>
                <w:b/>
                <w:bCs/>
                <w:color w:val="000000"/>
                <w:sz w:val="18"/>
                <w:szCs w:val="18"/>
              </w:rPr>
              <w:t>-</w:t>
            </w:r>
          </w:p>
        </w:tc>
        <w:tc>
          <w:tcPr>
            <w:tcW w:w="589" w:type="pct"/>
            <w:tcBorders>
              <w:top w:val="single" w:sz="4" w:space="0" w:color="auto"/>
              <w:left w:val="nil"/>
              <w:bottom w:val="single" w:sz="8" w:space="0" w:color="auto"/>
              <w:right w:val="nil"/>
            </w:tcBorders>
            <w:shd w:val="clear" w:color="auto" w:fill="auto"/>
            <w:vAlign w:val="bottom"/>
          </w:tcPr>
          <w:p w14:paraId="6F5E23AA" w14:textId="77777777" w:rsidR="00093B1A" w:rsidRPr="00321238" w:rsidRDefault="00093B1A" w:rsidP="00093B1A">
            <w:pPr>
              <w:tabs>
                <w:tab w:val="right" w:pos="1202"/>
              </w:tabs>
              <w:spacing w:after="0" w:line="240" w:lineRule="exact"/>
              <w:jc w:val="right"/>
              <w:outlineLvl w:val="0"/>
              <w:rPr>
                <w:rFonts w:cs="Arial"/>
                <w:b/>
                <w:spacing w:val="-2"/>
                <w:sz w:val="18"/>
                <w:szCs w:val="18"/>
              </w:rPr>
            </w:pPr>
            <w:r w:rsidRPr="00166751">
              <w:rPr>
                <w:rFonts w:ascii="Arial" w:hAnsi="Arial" w:cs="Arial"/>
                <w:b/>
                <w:bCs/>
                <w:color w:val="000000"/>
                <w:sz w:val="18"/>
                <w:szCs w:val="18"/>
              </w:rPr>
              <w:t>-</w:t>
            </w:r>
          </w:p>
        </w:tc>
        <w:tc>
          <w:tcPr>
            <w:tcW w:w="588" w:type="pct"/>
            <w:tcBorders>
              <w:top w:val="single" w:sz="4" w:space="0" w:color="auto"/>
              <w:left w:val="nil"/>
              <w:bottom w:val="single" w:sz="8" w:space="0" w:color="auto"/>
              <w:right w:val="nil"/>
            </w:tcBorders>
            <w:shd w:val="clear" w:color="auto" w:fill="auto"/>
            <w:vAlign w:val="bottom"/>
          </w:tcPr>
          <w:p w14:paraId="098B1743" w14:textId="77777777" w:rsidR="00093B1A" w:rsidRPr="00321238" w:rsidRDefault="00093B1A" w:rsidP="00093B1A">
            <w:pPr>
              <w:tabs>
                <w:tab w:val="right" w:pos="1202"/>
              </w:tabs>
              <w:spacing w:after="0" w:line="240" w:lineRule="exact"/>
              <w:jc w:val="right"/>
              <w:outlineLvl w:val="0"/>
              <w:rPr>
                <w:rFonts w:cs="Arial"/>
                <w:b/>
                <w:spacing w:val="-2"/>
                <w:sz w:val="18"/>
                <w:szCs w:val="18"/>
              </w:rPr>
            </w:pPr>
            <w:r w:rsidRPr="00166751">
              <w:rPr>
                <w:rFonts w:ascii="Arial" w:hAnsi="Arial" w:cs="Arial"/>
                <w:b/>
                <w:bCs/>
                <w:color w:val="000000"/>
                <w:sz w:val="18"/>
                <w:szCs w:val="18"/>
              </w:rPr>
              <w:t>-</w:t>
            </w:r>
          </w:p>
        </w:tc>
        <w:tc>
          <w:tcPr>
            <w:tcW w:w="589" w:type="pct"/>
            <w:tcBorders>
              <w:top w:val="single" w:sz="4" w:space="0" w:color="auto"/>
              <w:left w:val="nil"/>
              <w:bottom w:val="single" w:sz="8" w:space="0" w:color="auto"/>
              <w:right w:val="nil"/>
            </w:tcBorders>
            <w:shd w:val="clear" w:color="auto" w:fill="auto"/>
            <w:vAlign w:val="bottom"/>
          </w:tcPr>
          <w:p w14:paraId="38082B66" w14:textId="2EA05E3F" w:rsidR="00093B1A" w:rsidRPr="00321238" w:rsidRDefault="00093B1A" w:rsidP="00093B1A">
            <w:pPr>
              <w:tabs>
                <w:tab w:val="right" w:pos="1202"/>
              </w:tabs>
              <w:spacing w:after="0" w:line="240" w:lineRule="exact"/>
              <w:jc w:val="right"/>
              <w:outlineLvl w:val="0"/>
              <w:rPr>
                <w:rFonts w:cs="Arial"/>
                <w:b/>
                <w:spacing w:val="-2"/>
                <w:sz w:val="18"/>
                <w:szCs w:val="18"/>
              </w:rPr>
            </w:pPr>
            <w:r w:rsidRPr="007058BA">
              <w:rPr>
                <w:rFonts w:cs="Arial"/>
                <w:b/>
                <w:bCs/>
                <w:color w:val="000000"/>
                <w:sz w:val="18"/>
                <w:szCs w:val="18"/>
                <w:lang w:eastAsia="hr-HR"/>
              </w:rPr>
              <w:t>10</w:t>
            </w:r>
            <w:r>
              <w:rPr>
                <w:rFonts w:cs="Arial"/>
                <w:b/>
                <w:bCs/>
                <w:color w:val="000000"/>
                <w:sz w:val="18"/>
                <w:szCs w:val="18"/>
                <w:lang w:eastAsia="hr-HR"/>
              </w:rPr>
              <w:t>,</w:t>
            </w:r>
            <w:r w:rsidRPr="007058BA">
              <w:rPr>
                <w:rFonts w:cs="Arial"/>
                <w:b/>
                <w:bCs/>
                <w:color w:val="000000"/>
                <w:sz w:val="18"/>
                <w:szCs w:val="18"/>
                <w:lang w:eastAsia="hr-HR"/>
              </w:rPr>
              <w:t>254</w:t>
            </w:r>
            <w:r>
              <w:rPr>
                <w:rFonts w:cs="Arial"/>
                <w:b/>
                <w:bCs/>
                <w:color w:val="000000"/>
                <w:sz w:val="18"/>
                <w:szCs w:val="18"/>
                <w:lang w:eastAsia="hr-HR"/>
              </w:rPr>
              <w:t>,</w:t>
            </w:r>
            <w:r w:rsidRPr="007058BA">
              <w:rPr>
                <w:rFonts w:cs="Arial"/>
                <w:b/>
                <w:bCs/>
                <w:color w:val="000000"/>
                <w:sz w:val="18"/>
                <w:szCs w:val="18"/>
                <w:lang w:eastAsia="hr-HR"/>
              </w:rPr>
              <w:t>411</w:t>
            </w:r>
          </w:p>
        </w:tc>
        <w:tc>
          <w:tcPr>
            <w:tcW w:w="581" w:type="pct"/>
            <w:tcBorders>
              <w:top w:val="single" w:sz="4" w:space="0" w:color="auto"/>
              <w:left w:val="nil"/>
              <w:bottom w:val="single" w:sz="8" w:space="0" w:color="auto"/>
              <w:right w:val="nil"/>
            </w:tcBorders>
            <w:shd w:val="clear" w:color="auto" w:fill="auto"/>
            <w:vAlign w:val="bottom"/>
          </w:tcPr>
          <w:p w14:paraId="2C75BB87" w14:textId="660D2413" w:rsidR="00093B1A" w:rsidRPr="00321238" w:rsidRDefault="00093B1A" w:rsidP="00093B1A">
            <w:pPr>
              <w:tabs>
                <w:tab w:val="right" w:pos="1202"/>
              </w:tabs>
              <w:spacing w:after="0" w:line="240" w:lineRule="exact"/>
              <w:jc w:val="right"/>
              <w:outlineLvl w:val="0"/>
              <w:rPr>
                <w:rFonts w:cs="Arial"/>
                <w:b/>
                <w:spacing w:val="-2"/>
                <w:sz w:val="18"/>
                <w:szCs w:val="18"/>
              </w:rPr>
            </w:pPr>
            <w:r w:rsidRPr="007058BA">
              <w:rPr>
                <w:rFonts w:cs="Arial"/>
                <w:b/>
                <w:bCs/>
                <w:color w:val="000000"/>
                <w:sz w:val="18"/>
                <w:szCs w:val="18"/>
                <w:lang w:eastAsia="hr-HR"/>
              </w:rPr>
              <w:t>10</w:t>
            </w:r>
            <w:r>
              <w:rPr>
                <w:rFonts w:cs="Arial"/>
                <w:b/>
                <w:bCs/>
                <w:color w:val="000000"/>
                <w:sz w:val="18"/>
                <w:szCs w:val="18"/>
                <w:lang w:eastAsia="hr-HR"/>
              </w:rPr>
              <w:t>,</w:t>
            </w:r>
            <w:r w:rsidRPr="007058BA">
              <w:rPr>
                <w:rFonts w:cs="Arial"/>
                <w:b/>
                <w:bCs/>
                <w:color w:val="000000"/>
                <w:sz w:val="18"/>
                <w:szCs w:val="18"/>
                <w:lang w:eastAsia="hr-HR"/>
              </w:rPr>
              <w:t>254</w:t>
            </w:r>
            <w:r>
              <w:rPr>
                <w:rFonts w:cs="Arial"/>
                <w:b/>
                <w:bCs/>
                <w:color w:val="000000"/>
                <w:sz w:val="18"/>
                <w:szCs w:val="18"/>
                <w:lang w:eastAsia="hr-HR"/>
              </w:rPr>
              <w:t>,</w:t>
            </w:r>
            <w:r w:rsidRPr="007058BA">
              <w:rPr>
                <w:rFonts w:cs="Arial"/>
                <w:b/>
                <w:bCs/>
                <w:color w:val="000000"/>
                <w:sz w:val="18"/>
                <w:szCs w:val="18"/>
                <w:lang w:eastAsia="hr-HR"/>
              </w:rPr>
              <w:t>411</w:t>
            </w:r>
          </w:p>
        </w:tc>
      </w:tr>
      <w:tr w:rsidR="00093B1A" w:rsidRPr="00321238" w14:paraId="245A1516" w14:textId="77777777" w:rsidTr="006B318F">
        <w:trPr>
          <w:trHeight w:val="323"/>
        </w:trPr>
        <w:tc>
          <w:tcPr>
            <w:tcW w:w="1548" w:type="pct"/>
            <w:vAlign w:val="bottom"/>
          </w:tcPr>
          <w:p w14:paraId="33E9B1F8" w14:textId="77777777" w:rsidR="00093B1A" w:rsidRPr="00321238" w:rsidRDefault="00093B1A" w:rsidP="00093B1A">
            <w:pPr>
              <w:tabs>
                <w:tab w:val="right" w:pos="1202"/>
              </w:tabs>
              <w:spacing w:after="0" w:line="240" w:lineRule="exact"/>
              <w:outlineLvl w:val="0"/>
              <w:rPr>
                <w:rFonts w:cs="Arial"/>
                <w:b/>
                <w:bCs/>
                <w:sz w:val="18"/>
                <w:szCs w:val="18"/>
              </w:rPr>
            </w:pPr>
            <w:r w:rsidRPr="00321238">
              <w:rPr>
                <w:rFonts w:cs="Arial"/>
                <w:b/>
                <w:bCs/>
                <w:sz w:val="18"/>
                <w:szCs w:val="18"/>
              </w:rPr>
              <w:t>Total liabilities and total equity (2)</w:t>
            </w:r>
          </w:p>
        </w:tc>
        <w:tc>
          <w:tcPr>
            <w:tcW w:w="521" w:type="pct"/>
            <w:tcBorders>
              <w:top w:val="nil"/>
              <w:left w:val="nil"/>
              <w:bottom w:val="single" w:sz="12" w:space="0" w:color="auto"/>
              <w:right w:val="nil"/>
            </w:tcBorders>
            <w:shd w:val="clear" w:color="auto" w:fill="auto"/>
            <w:vAlign w:val="bottom"/>
          </w:tcPr>
          <w:p w14:paraId="275D4BD7" w14:textId="1D9B616F" w:rsidR="00093B1A" w:rsidRPr="00321238" w:rsidRDefault="00093B1A" w:rsidP="00093B1A">
            <w:pPr>
              <w:tabs>
                <w:tab w:val="right" w:pos="1202"/>
              </w:tabs>
              <w:spacing w:after="0" w:line="240" w:lineRule="exact"/>
              <w:jc w:val="right"/>
              <w:outlineLvl w:val="0"/>
              <w:rPr>
                <w:rFonts w:cs="Arial"/>
                <w:b/>
                <w:spacing w:val="-2"/>
                <w:sz w:val="18"/>
                <w:szCs w:val="18"/>
              </w:rPr>
            </w:pPr>
            <w:r w:rsidRPr="007058BA">
              <w:rPr>
                <w:rFonts w:cs="Arial"/>
                <w:b/>
                <w:bCs/>
                <w:color w:val="000000"/>
                <w:sz w:val="18"/>
                <w:szCs w:val="18"/>
                <w:lang w:eastAsia="hr-HR"/>
              </w:rPr>
              <w:t>972</w:t>
            </w:r>
            <w:r>
              <w:rPr>
                <w:rFonts w:cs="Arial"/>
                <w:b/>
                <w:bCs/>
                <w:color w:val="000000"/>
                <w:sz w:val="18"/>
                <w:szCs w:val="18"/>
                <w:lang w:eastAsia="hr-HR"/>
              </w:rPr>
              <w:t>,</w:t>
            </w:r>
            <w:r w:rsidRPr="007058BA">
              <w:rPr>
                <w:rFonts w:cs="Arial"/>
                <w:b/>
                <w:bCs/>
                <w:color w:val="000000"/>
                <w:sz w:val="18"/>
                <w:szCs w:val="18"/>
                <w:lang w:eastAsia="hr-HR"/>
              </w:rPr>
              <w:t>123</w:t>
            </w:r>
          </w:p>
        </w:tc>
        <w:tc>
          <w:tcPr>
            <w:tcW w:w="584" w:type="pct"/>
            <w:tcBorders>
              <w:top w:val="nil"/>
              <w:left w:val="nil"/>
              <w:bottom w:val="single" w:sz="12" w:space="0" w:color="auto"/>
              <w:right w:val="nil"/>
            </w:tcBorders>
            <w:shd w:val="clear" w:color="auto" w:fill="auto"/>
            <w:vAlign w:val="bottom"/>
          </w:tcPr>
          <w:p w14:paraId="41333B4A" w14:textId="76C77CBB" w:rsidR="00093B1A" w:rsidRPr="00321238" w:rsidRDefault="00093B1A" w:rsidP="00093B1A">
            <w:pPr>
              <w:tabs>
                <w:tab w:val="right" w:pos="1202"/>
              </w:tabs>
              <w:spacing w:after="0" w:line="240" w:lineRule="exact"/>
              <w:jc w:val="right"/>
              <w:outlineLvl w:val="0"/>
              <w:rPr>
                <w:rFonts w:cs="Arial"/>
                <w:b/>
                <w:spacing w:val="-2"/>
                <w:sz w:val="18"/>
                <w:szCs w:val="18"/>
              </w:rPr>
            </w:pPr>
            <w:r w:rsidRPr="007058BA">
              <w:rPr>
                <w:rFonts w:cs="Arial"/>
                <w:b/>
                <w:bCs/>
                <w:color w:val="000000"/>
                <w:sz w:val="18"/>
                <w:szCs w:val="18"/>
                <w:lang w:eastAsia="hr-HR"/>
              </w:rPr>
              <w:t>746</w:t>
            </w:r>
            <w:r>
              <w:rPr>
                <w:rFonts w:cs="Arial"/>
                <w:b/>
                <w:bCs/>
                <w:color w:val="000000"/>
                <w:sz w:val="18"/>
                <w:szCs w:val="18"/>
                <w:lang w:eastAsia="hr-HR"/>
              </w:rPr>
              <w:t>,</w:t>
            </w:r>
            <w:r w:rsidRPr="007058BA">
              <w:rPr>
                <w:rFonts w:cs="Arial"/>
                <w:b/>
                <w:bCs/>
                <w:color w:val="000000"/>
                <w:sz w:val="18"/>
                <w:szCs w:val="18"/>
                <w:lang w:eastAsia="hr-HR"/>
              </w:rPr>
              <w:t>360</w:t>
            </w:r>
          </w:p>
        </w:tc>
        <w:tc>
          <w:tcPr>
            <w:tcW w:w="589" w:type="pct"/>
            <w:tcBorders>
              <w:top w:val="nil"/>
              <w:left w:val="nil"/>
              <w:bottom w:val="single" w:sz="12" w:space="0" w:color="auto"/>
              <w:right w:val="nil"/>
            </w:tcBorders>
            <w:shd w:val="clear" w:color="auto" w:fill="auto"/>
            <w:vAlign w:val="bottom"/>
          </w:tcPr>
          <w:p w14:paraId="65766AF6" w14:textId="3C2348D4" w:rsidR="00093B1A" w:rsidRPr="00321238" w:rsidRDefault="00093B1A" w:rsidP="00093B1A">
            <w:pPr>
              <w:tabs>
                <w:tab w:val="right" w:pos="1202"/>
              </w:tabs>
              <w:spacing w:after="0" w:line="240" w:lineRule="exact"/>
              <w:jc w:val="right"/>
              <w:outlineLvl w:val="0"/>
              <w:rPr>
                <w:rFonts w:cs="Arial"/>
                <w:b/>
                <w:spacing w:val="-2"/>
                <w:sz w:val="18"/>
                <w:szCs w:val="18"/>
              </w:rPr>
            </w:pPr>
            <w:r w:rsidRPr="007058BA">
              <w:rPr>
                <w:rFonts w:cs="Arial"/>
                <w:b/>
                <w:bCs/>
                <w:color w:val="000000"/>
                <w:sz w:val="18"/>
                <w:szCs w:val="18"/>
                <w:lang w:eastAsia="hr-HR"/>
              </w:rPr>
              <w:t>1</w:t>
            </w:r>
            <w:r>
              <w:rPr>
                <w:rFonts w:cs="Arial"/>
                <w:b/>
                <w:bCs/>
                <w:color w:val="000000"/>
                <w:sz w:val="18"/>
                <w:szCs w:val="18"/>
                <w:lang w:eastAsia="hr-HR"/>
              </w:rPr>
              <w:t>,</w:t>
            </w:r>
            <w:r w:rsidRPr="007058BA">
              <w:rPr>
                <w:rFonts w:cs="Arial"/>
                <w:b/>
                <w:bCs/>
                <w:color w:val="000000"/>
                <w:sz w:val="18"/>
                <w:szCs w:val="18"/>
                <w:lang w:eastAsia="hr-HR"/>
              </w:rPr>
              <w:t>255</w:t>
            </w:r>
            <w:r>
              <w:rPr>
                <w:rFonts w:cs="Arial"/>
                <w:b/>
                <w:bCs/>
                <w:color w:val="000000"/>
                <w:sz w:val="18"/>
                <w:szCs w:val="18"/>
                <w:lang w:eastAsia="hr-HR"/>
              </w:rPr>
              <w:t>,</w:t>
            </w:r>
            <w:r w:rsidRPr="007058BA">
              <w:rPr>
                <w:rFonts w:cs="Arial"/>
                <w:b/>
                <w:bCs/>
                <w:color w:val="000000"/>
                <w:sz w:val="18"/>
                <w:szCs w:val="18"/>
                <w:lang w:eastAsia="hr-HR"/>
              </w:rPr>
              <w:t>647</w:t>
            </w:r>
          </w:p>
        </w:tc>
        <w:tc>
          <w:tcPr>
            <w:tcW w:w="588" w:type="pct"/>
            <w:tcBorders>
              <w:top w:val="nil"/>
              <w:left w:val="nil"/>
              <w:bottom w:val="single" w:sz="12" w:space="0" w:color="auto"/>
              <w:right w:val="nil"/>
            </w:tcBorders>
            <w:shd w:val="clear" w:color="auto" w:fill="auto"/>
            <w:vAlign w:val="bottom"/>
          </w:tcPr>
          <w:p w14:paraId="0AF23A7C" w14:textId="30ADC7C1" w:rsidR="00093B1A" w:rsidRPr="00321238" w:rsidRDefault="00093B1A" w:rsidP="00093B1A">
            <w:pPr>
              <w:tabs>
                <w:tab w:val="right" w:pos="1202"/>
              </w:tabs>
              <w:spacing w:after="0" w:line="240" w:lineRule="exact"/>
              <w:jc w:val="right"/>
              <w:outlineLvl w:val="0"/>
              <w:rPr>
                <w:rFonts w:cs="Arial"/>
                <w:b/>
                <w:spacing w:val="-2"/>
                <w:sz w:val="18"/>
                <w:szCs w:val="18"/>
              </w:rPr>
            </w:pPr>
            <w:r w:rsidRPr="007058BA">
              <w:rPr>
                <w:rFonts w:cs="Arial"/>
                <w:b/>
                <w:bCs/>
                <w:color w:val="000000"/>
                <w:sz w:val="18"/>
                <w:szCs w:val="18"/>
                <w:lang w:eastAsia="hr-HR"/>
              </w:rPr>
              <w:t>4</w:t>
            </w:r>
            <w:r>
              <w:rPr>
                <w:rFonts w:cs="Arial"/>
                <w:b/>
                <w:bCs/>
                <w:color w:val="000000"/>
                <w:sz w:val="18"/>
                <w:szCs w:val="18"/>
                <w:lang w:eastAsia="hr-HR"/>
              </w:rPr>
              <w:t>,</w:t>
            </w:r>
            <w:r w:rsidRPr="007058BA">
              <w:rPr>
                <w:rFonts w:cs="Arial"/>
                <w:b/>
                <w:bCs/>
                <w:color w:val="000000"/>
                <w:sz w:val="18"/>
                <w:szCs w:val="18"/>
                <w:lang w:eastAsia="hr-HR"/>
              </w:rPr>
              <w:t>978</w:t>
            </w:r>
            <w:r>
              <w:rPr>
                <w:rFonts w:cs="Arial"/>
                <w:b/>
                <w:bCs/>
                <w:color w:val="000000"/>
                <w:sz w:val="18"/>
                <w:szCs w:val="18"/>
                <w:lang w:eastAsia="hr-HR"/>
              </w:rPr>
              <w:t>,</w:t>
            </w:r>
            <w:r w:rsidRPr="007058BA">
              <w:rPr>
                <w:rFonts w:cs="Arial"/>
                <w:b/>
                <w:bCs/>
                <w:color w:val="000000"/>
                <w:sz w:val="18"/>
                <w:szCs w:val="18"/>
                <w:lang w:eastAsia="hr-HR"/>
              </w:rPr>
              <w:t>060</w:t>
            </w:r>
          </w:p>
        </w:tc>
        <w:tc>
          <w:tcPr>
            <w:tcW w:w="589" w:type="pct"/>
            <w:tcBorders>
              <w:top w:val="nil"/>
              <w:left w:val="nil"/>
              <w:bottom w:val="single" w:sz="12" w:space="0" w:color="auto"/>
              <w:right w:val="nil"/>
            </w:tcBorders>
            <w:shd w:val="clear" w:color="auto" w:fill="auto"/>
            <w:vAlign w:val="bottom"/>
          </w:tcPr>
          <w:p w14:paraId="09BA55BB" w14:textId="15D50FAE" w:rsidR="00093B1A" w:rsidRPr="00321238" w:rsidRDefault="00093B1A" w:rsidP="00093B1A">
            <w:pPr>
              <w:tabs>
                <w:tab w:val="right" w:pos="1202"/>
              </w:tabs>
              <w:spacing w:after="0" w:line="240" w:lineRule="exact"/>
              <w:jc w:val="right"/>
              <w:outlineLvl w:val="0"/>
              <w:rPr>
                <w:rFonts w:cs="Arial"/>
                <w:b/>
                <w:spacing w:val="-2"/>
                <w:sz w:val="18"/>
                <w:szCs w:val="18"/>
              </w:rPr>
            </w:pPr>
            <w:r w:rsidRPr="007058BA">
              <w:rPr>
                <w:rFonts w:cs="Arial"/>
                <w:b/>
                <w:bCs/>
                <w:color w:val="000000"/>
                <w:sz w:val="18"/>
                <w:szCs w:val="18"/>
                <w:lang w:eastAsia="hr-HR"/>
              </w:rPr>
              <w:t>20</w:t>
            </w:r>
            <w:r>
              <w:rPr>
                <w:rFonts w:cs="Arial"/>
                <w:b/>
                <w:bCs/>
                <w:color w:val="000000"/>
                <w:sz w:val="18"/>
                <w:szCs w:val="18"/>
                <w:lang w:eastAsia="hr-HR"/>
              </w:rPr>
              <w:t>,</w:t>
            </w:r>
            <w:r w:rsidRPr="007058BA">
              <w:rPr>
                <w:rFonts w:cs="Arial"/>
                <w:b/>
                <w:bCs/>
                <w:color w:val="000000"/>
                <w:sz w:val="18"/>
                <w:szCs w:val="18"/>
                <w:lang w:eastAsia="hr-HR"/>
              </w:rPr>
              <w:t>329</w:t>
            </w:r>
            <w:r>
              <w:rPr>
                <w:rFonts w:cs="Arial"/>
                <w:b/>
                <w:bCs/>
                <w:color w:val="000000"/>
                <w:sz w:val="18"/>
                <w:szCs w:val="18"/>
                <w:lang w:eastAsia="hr-HR"/>
              </w:rPr>
              <w:t>,</w:t>
            </w:r>
            <w:r w:rsidRPr="007058BA">
              <w:rPr>
                <w:rFonts w:cs="Arial"/>
                <w:b/>
                <w:bCs/>
                <w:color w:val="000000"/>
                <w:sz w:val="18"/>
                <w:szCs w:val="18"/>
                <w:lang w:eastAsia="hr-HR"/>
              </w:rPr>
              <w:t>405</w:t>
            </w:r>
          </w:p>
        </w:tc>
        <w:tc>
          <w:tcPr>
            <w:tcW w:w="581" w:type="pct"/>
            <w:tcBorders>
              <w:top w:val="nil"/>
              <w:left w:val="nil"/>
              <w:bottom w:val="single" w:sz="12" w:space="0" w:color="auto"/>
              <w:right w:val="nil"/>
            </w:tcBorders>
            <w:shd w:val="clear" w:color="auto" w:fill="auto"/>
            <w:vAlign w:val="bottom"/>
          </w:tcPr>
          <w:p w14:paraId="4C77A0A1" w14:textId="371D657D" w:rsidR="00093B1A" w:rsidRPr="00321238" w:rsidRDefault="00093B1A" w:rsidP="00093B1A">
            <w:pPr>
              <w:tabs>
                <w:tab w:val="right" w:pos="1202"/>
              </w:tabs>
              <w:spacing w:after="0" w:line="240" w:lineRule="exact"/>
              <w:jc w:val="right"/>
              <w:outlineLvl w:val="0"/>
              <w:rPr>
                <w:rFonts w:cs="Arial"/>
                <w:b/>
                <w:spacing w:val="-2"/>
                <w:sz w:val="18"/>
                <w:szCs w:val="18"/>
              </w:rPr>
            </w:pPr>
            <w:r w:rsidRPr="007058BA">
              <w:rPr>
                <w:rFonts w:cs="Arial"/>
                <w:b/>
                <w:bCs/>
                <w:color w:val="000000"/>
                <w:sz w:val="18"/>
                <w:szCs w:val="18"/>
                <w:lang w:eastAsia="hr-HR"/>
              </w:rPr>
              <w:t>28</w:t>
            </w:r>
            <w:r>
              <w:rPr>
                <w:rFonts w:cs="Arial"/>
                <w:b/>
                <w:bCs/>
                <w:color w:val="000000"/>
                <w:sz w:val="18"/>
                <w:szCs w:val="18"/>
                <w:lang w:eastAsia="hr-HR"/>
              </w:rPr>
              <w:t>,</w:t>
            </w:r>
            <w:r w:rsidRPr="007058BA">
              <w:rPr>
                <w:rFonts w:cs="Arial"/>
                <w:b/>
                <w:bCs/>
                <w:color w:val="000000"/>
                <w:sz w:val="18"/>
                <w:szCs w:val="18"/>
                <w:lang w:eastAsia="hr-HR"/>
              </w:rPr>
              <w:t>281</w:t>
            </w:r>
            <w:r>
              <w:rPr>
                <w:rFonts w:cs="Arial"/>
                <w:b/>
                <w:bCs/>
                <w:color w:val="000000"/>
                <w:sz w:val="18"/>
                <w:szCs w:val="18"/>
                <w:lang w:eastAsia="hr-HR"/>
              </w:rPr>
              <w:t>,</w:t>
            </w:r>
            <w:r w:rsidRPr="007058BA">
              <w:rPr>
                <w:rFonts w:cs="Arial"/>
                <w:b/>
                <w:bCs/>
                <w:color w:val="000000"/>
                <w:sz w:val="18"/>
                <w:szCs w:val="18"/>
                <w:lang w:eastAsia="hr-HR"/>
              </w:rPr>
              <w:t>595</w:t>
            </w:r>
          </w:p>
        </w:tc>
      </w:tr>
      <w:tr w:rsidR="00A169AD" w:rsidRPr="00321238" w14:paraId="7AB95D67" w14:textId="77777777" w:rsidTr="006B318F">
        <w:trPr>
          <w:trHeight w:val="271"/>
        </w:trPr>
        <w:tc>
          <w:tcPr>
            <w:tcW w:w="1548" w:type="pct"/>
            <w:vAlign w:val="bottom"/>
          </w:tcPr>
          <w:p w14:paraId="2EE7A33E" w14:textId="77777777" w:rsidR="00A169AD" w:rsidRPr="00321238" w:rsidRDefault="00A169AD" w:rsidP="00A169AD">
            <w:pPr>
              <w:tabs>
                <w:tab w:val="right" w:pos="1202"/>
              </w:tabs>
              <w:spacing w:after="0" w:line="240" w:lineRule="exact"/>
              <w:outlineLvl w:val="0"/>
              <w:rPr>
                <w:rFonts w:cs="Arial"/>
                <w:b/>
                <w:bCs/>
                <w:spacing w:val="-2"/>
                <w:sz w:val="18"/>
                <w:szCs w:val="18"/>
              </w:rPr>
            </w:pPr>
            <w:r w:rsidRPr="00321238">
              <w:rPr>
                <w:rFonts w:cs="Arial"/>
                <w:b/>
                <w:bCs/>
                <w:spacing w:val="-2"/>
                <w:sz w:val="18"/>
                <w:szCs w:val="18"/>
              </w:rPr>
              <w:t>Net assets/liabilities (1) – (2)</w:t>
            </w:r>
          </w:p>
        </w:tc>
        <w:tc>
          <w:tcPr>
            <w:tcW w:w="521" w:type="pct"/>
            <w:tcBorders>
              <w:top w:val="single" w:sz="12" w:space="0" w:color="auto"/>
              <w:left w:val="nil"/>
              <w:bottom w:val="single" w:sz="12" w:space="0" w:color="auto"/>
              <w:right w:val="nil"/>
            </w:tcBorders>
            <w:shd w:val="clear" w:color="auto" w:fill="auto"/>
            <w:vAlign w:val="bottom"/>
          </w:tcPr>
          <w:p w14:paraId="076E487C" w14:textId="7DCB2D72" w:rsidR="00A169AD" w:rsidRPr="00321238" w:rsidRDefault="00A169AD" w:rsidP="00C436B9">
            <w:pPr>
              <w:tabs>
                <w:tab w:val="right" w:pos="1202"/>
              </w:tabs>
              <w:spacing w:after="0" w:line="240" w:lineRule="exact"/>
              <w:jc w:val="right"/>
              <w:outlineLvl w:val="0"/>
              <w:rPr>
                <w:rFonts w:cs="Arial"/>
                <w:b/>
                <w:spacing w:val="-2"/>
                <w:sz w:val="18"/>
                <w:szCs w:val="18"/>
              </w:rPr>
            </w:pPr>
            <w:r>
              <w:rPr>
                <w:rFonts w:cs="Arial"/>
                <w:b/>
                <w:bCs/>
                <w:color w:val="000000"/>
                <w:sz w:val="18"/>
                <w:szCs w:val="18"/>
                <w:lang w:eastAsia="hr-HR"/>
              </w:rPr>
              <w:t>5,989,797</w:t>
            </w:r>
          </w:p>
        </w:tc>
        <w:tc>
          <w:tcPr>
            <w:tcW w:w="584" w:type="pct"/>
            <w:tcBorders>
              <w:top w:val="single" w:sz="12" w:space="0" w:color="auto"/>
              <w:left w:val="nil"/>
              <w:bottom w:val="single" w:sz="12" w:space="0" w:color="auto"/>
              <w:right w:val="nil"/>
            </w:tcBorders>
            <w:shd w:val="clear" w:color="auto" w:fill="auto"/>
            <w:vAlign w:val="bottom"/>
          </w:tcPr>
          <w:p w14:paraId="2CDF710C" w14:textId="769B61BA" w:rsidR="00A169AD" w:rsidRPr="00321238" w:rsidRDefault="00A169AD" w:rsidP="00C436B9">
            <w:pPr>
              <w:tabs>
                <w:tab w:val="right" w:pos="1202"/>
              </w:tabs>
              <w:spacing w:after="0" w:line="240" w:lineRule="exact"/>
              <w:jc w:val="right"/>
              <w:outlineLvl w:val="0"/>
              <w:rPr>
                <w:rFonts w:cs="Arial"/>
                <w:b/>
                <w:spacing w:val="-2"/>
                <w:sz w:val="18"/>
                <w:szCs w:val="18"/>
              </w:rPr>
            </w:pPr>
            <w:r>
              <w:rPr>
                <w:rFonts w:cs="Arial"/>
                <w:b/>
                <w:bCs/>
                <w:color w:val="000000"/>
                <w:sz w:val="18"/>
                <w:szCs w:val="18"/>
                <w:lang w:eastAsia="hr-HR"/>
              </w:rPr>
              <w:t>525,778</w:t>
            </w:r>
          </w:p>
        </w:tc>
        <w:tc>
          <w:tcPr>
            <w:tcW w:w="589" w:type="pct"/>
            <w:tcBorders>
              <w:top w:val="single" w:sz="12" w:space="0" w:color="auto"/>
              <w:left w:val="nil"/>
              <w:bottom w:val="single" w:sz="12" w:space="0" w:color="auto"/>
              <w:right w:val="nil"/>
            </w:tcBorders>
            <w:shd w:val="clear" w:color="auto" w:fill="auto"/>
            <w:vAlign w:val="bottom"/>
          </w:tcPr>
          <w:p w14:paraId="1300B573" w14:textId="42010B64" w:rsidR="00A169AD" w:rsidRPr="00321238" w:rsidRDefault="00A169AD" w:rsidP="00A169AD">
            <w:pPr>
              <w:tabs>
                <w:tab w:val="right" w:pos="1202"/>
              </w:tabs>
              <w:spacing w:after="0" w:line="240" w:lineRule="exact"/>
              <w:jc w:val="right"/>
              <w:outlineLvl w:val="0"/>
              <w:rPr>
                <w:rFonts w:cs="Arial"/>
                <w:b/>
                <w:spacing w:val="-2"/>
                <w:sz w:val="18"/>
                <w:szCs w:val="18"/>
              </w:rPr>
            </w:pPr>
            <w:r w:rsidRPr="007058BA">
              <w:rPr>
                <w:rFonts w:cs="Arial"/>
                <w:b/>
                <w:bCs/>
                <w:color w:val="000000"/>
                <w:sz w:val="18"/>
                <w:szCs w:val="18"/>
                <w:lang w:eastAsia="hr-HR"/>
              </w:rPr>
              <w:t>1</w:t>
            </w:r>
            <w:r>
              <w:rPr>
                <w:rFonts w:cs="Arial"/>
                <w:b/>
                <w:bCs/>
                <w:color w:val="000000"/>
                <w:sz w:val="18"/>
                <w:szCs w:val="18"/>
                <w:lang w:eastAsia="hr-HR"/>
              </w:rPr>
              <w:t>,</w:t>
            </w:r>
            <w:r w:rsidRPr="007058BA">
              <w:rPr>
                <w:rFonts w:cs="Arial"/>
                <w:b/>
                <w:bCs/>
                <w:color w:val="000000"/>
                <w:sz w:val="18"/>
                <w:szCs w:val="18"/>
                <w:lang w:eastAsia="hr-HR"/>
              </w:rPr>
              <w:t>032</w:t>
            </w:r>
            <w:r>
              <w:rPr>
                <w:rFonts w:cs="Arial"/>
                <w:b/>
                <w:bCs/>
                <w:color w:val="000000"/>
                <w:sz w:val="18"/>
                <w:szCs w:val="18"/>
                <w:lang w:eastAsia="hr-HR"/>
              </w:rPr>
              <w:t>,</w:t>
            </w:r>
            <w:r w:rsidRPr="007058BA">
              <w:rPr>
                <w:rFonts w:cs="Arial"/>
                <w:b/>
                <w:bCs/>
                <w:color w:val="000000"/>
                <w:sz w:val="18"/>
                <w:szCs w:val="18"/>
                <w:lang w:eastAsia="hr-HR"/>
              </w:rPr>
              <w:t>080</w:t>
            </w:r>
          </w:p>
        </w:tc>
        <w:tc>
          <w:tcPr>
            <w:tcW w:w="588" w:type="pct"/>
            <w:tcBorders>
              <w:top w:val="single" w:sz="12" w:space="0" w:color="auto"/>
              <w:left w:val="nil"/>
              <w:bottom w:val="single" w:sz="12" w:space="0" w:color="auto"/>
              <w:right w:val="nil"/>
            </w:tcBorders>
            <w:shd w:val="clear" w:color="auto" w:fill="auto"/>
            <w:vAlign w:val="bottom"/>
          </w:tcPr>
          <w:p w14:paraId="1D3DB952" w14:textId="3D1EC7AE" w:rsidR="00A169AD" w:rsidRPr="00321238" w:rsidRDefault="00A169AD" w:rsidP="00A169AD">
            <w:pPr>
              <w:tabs>
                <w:tab w:val="right" w:pos="1202"/>
              </w:tabs>
              <w:spacing w:after="0" w:line="240" w:lineRule="exact"/>
              <w:jc w:val="right"/>
              <w:outlineLvl w:val="0"/>
              <w:rPr>
                <w:rFonts w:cs="Arial"/>
                <w:b/>
                <w:spacing w:val="-2"/>
                <w:sz w:val="18"/>
                <w:szCs w:val="18"/>
              </w:rPr>
            </w:pPr>
            <w:r w:rsidRPr="007058BA">
              <w:rPr>
                <w:rFonts w:cs="Arial"/>
                <w:b/>
                <w:bCs/>
                <w:color w:val="000000"/>
                <w:sz w:val="18"/>
                <w:szCs w:val="18"/>
                <w:lang w:eastAsia="hr-HR"/>
              </w:rPr>
              <w:t>(62</w:t>
            </w:r>
            <w:r>
              <w:rPr>
                <w:rFonts w:cs="Arial"/>
                <w:b/>
                <w:bCs/>
                <w:color w:val="000000"/>
                <w:sz w:val="18"/>
                <w:szCs w:val="18"/>
                <w:lang w:eastAsia="hr-HR"/>
              </w:rPr>
              <w:t>,</w:t>
            </w:r>
            <w:r w:rsidRPr="007058BA">
              <w:rPr>
                <w:rFonts w:cs="Arial"/>
                <w:b/>
                <w:bCs/>
                <w:color w:val="000000"/>
                <w:sz w:val="18"/>
                <w:szCs w:val="18"/>
                <w:lang w:eastAsia="hr-HR"/>
              </w:rPr>
              <w:t>579)</w:t>
            </w:r>
          </w:p>
        </w:tc>
        <w:tc>
          <w:tcPr>
            <w:tcW w:w="589" w:type="pct"/>
            <w:tcBorders>
              <w:top w:val="single" w:sz="12" w:space="0" w:color="auto"/>
              <w:left w:val="nil"/>
              <w:bottom w:val="single" w:sz="12" w:space="0" w:color="auto"/>
              <w:right w:val="nil"/>
            </w:tcBorders>
            <w:shd w:val="clear" w:color="auto" w:fill="auto"/>
            <w:vAlign w:val="bottom"/>
          </w:tcPr>
          <w:p w14:paraId="63FB4FA3" w14:textId="60DF3B92" w:rsidR="00A169AD" w:rsidRPr="00321238" w:rsidRDefault="00A169AD" w:rsidP="00A169AD">
            <w:pPr>
              <w:tabs>
                <w:tab w:val="right" w:pos="1202"/>
              </w:tabs>
              <w:spacing w:after="0" w:line="240" w:lineRule="exact"/>
              <w:jc w:val="right"/>
              <w:outlineLvl w:val="0"/>
              <w:rPr>
                <w:rFonts w:cs="Arial"/>
                <w:b/>
                <w:spacing w:val="-2"/>
                <w:sz w:val="18"/>
                <w:szCs w:val="18"/>
              </w:rPr>
            </w:pPr>
            <w:r w:rsidRPr="007058BA">
              <w:rPr>
                <w:rFonts w:cs="Arial"/>
                <w:b/>
                <w:bCs/>
                <w:color w:val="000000"/>
                <w:sz w:val="18"/>
                <w:szCs w:val="18"/>
                <w:lang w:eastAsia="hr-HR"/>
              </w:rPr>
              <w:t>(7</w:t>
            </w:r>
            <w:r>
              <w:rPr>
                <w:rFonts w:cs="Arial"/>
                <w:b/>
                <w:bCs/>
                <w:color w:val="000000"/>
                <w:sz w:val="18"/>
                <w:szCs w:val="18"/>
                <w:lang w:eastAsia="hr-HR"/>
              </w:rPr>
              <w:t>,</w:t>
            </w:r>
            <w:r w:rsidRPr="007058BA">
              <w:rPr>
                <w:rFonts w:cs="Arial"/>
                <w:b/>
                <w:bCs/>
                <w:color w:val="000000"/>
                <w:sz w:val="18"/>
                <w:szCs w:val="18"/>
                <w:lang w:eastAsia="hr-HR"/>
              </w:rPr>
              <w:t>485</w:t>
            </w:r>
            <w:r>
              <w:rPr>
                <w:rFonts w:cs="Arial"/>
                <w:b/>
                <w:bCs/>
                <w:color w:val="000000"/>
                <w:sz w:val="18"/>
                <w:szCs w:val="18"/>
                <w:lang w:eastAsia="hr-HR"/>
              </w:rPr>
              <w:t>,</w:t>
            </w:r>
            <w:r w:rsidRPr="007058BA">
              <w:rPr>
                <w:rFonts w:cs="Arial"/>
                <w:b/>
                <w:bCs/>
                <w:color w:val="000000"/>
                <w:sz w:val="18"/>
                <w:szCs w:val="18"/>
                <w:lang w:eastAsia="hr-HR"/>
              </w:rPr>
              <w:t>076)</w:t>
            </w:r>
          </w:p>
        </w:tc>
        <w:tc>
          <w:tcPr>
            <w:tcW w:w="581" w:type="pct"/>
            <w:tcBorders>
              <w:top w:val="single" w:sz="12" w:space="0" w:color="auto"/>
              <w:left w:val="nil"/>
              <w:bottom w:val="single" w:sz="12" w:space="0" w:color="auto"/>
              <w:right w:val="nil"/>
            </w:tcBorders>
            <w:shd w:val="clear" w:color="auto" w:fill="auto"/>
            <w:vAlign w:val="bottom"/>
          </w:tcPr>
          <w:p w14:paraId="3B2AF9AE" w14:textId="6EFD3650" w:rsidR="00A169AD" w:rsidRPr="00321238" w:rsidRDefault="00A169AD" w:rsidP="00A169AD">
            <w:pPr>
              <w:tabs>
                <w:tab w:val="right" w:pos="1202"/>
              </w:tabs>
              <w:spacing w:after="0" w:line="240" w:lineRule="exact"/>
              <w:jc w:val="right"/>
              <w:outlineLvl w:val="0"/>
              <w:rPr>
                <w:rFonts w:cs="Arial"/>
                <w:b/>
                <w:spacing w:val="-2"/>
                <w:sz w:val="18"/>
                <w:szCs w:val="18"/>
              </w:rPr>
            </w:pPr>
            <w:r w:rsidRPr="007E1860">
              <w:rPr>
                <w:rFonts w:cs="Arial"/>
                <w:b/>
                <w:bCs/>
                <w:color w:val="000000"/>
                <w:sz w:val="18"/>
                <w:szCs w:val="18"/>
                <w:lang w:eastAsia="hr-HR"/>
              </w:rPr>
              <w:t>-</w:t>
            </w:r>
          </w:p>
        </w:tc>
      </w:tr>
      <w:tr w:rsidR="00A169AD" w:rsidRPr="00321238" w14:paraId="4A61BF22" w14:textId="77777777" w:rsidTr="006B318F">
        <w:trPr>
          <w:trHeight w:val="271"/>
        </w:trPr>
        <w:tc>
          <w:tcPr>
            <w:tcW w:w="1548" w:type="pct"/>
            <w:vAlign w:val="bottom"/>
          </w:tcPr>
          <w:p w14:paraId="3441266A" w14:textId="77777777" w:rsidR="00A169AD" w:rsidRPr="00321238" w:rsidRDefault="00A169AD" w:rsidP="00A169AD">
            <w:pPr>
              <w:tabs>
                <w:tab w:val="right" w:pos="1202"/>
              </w:tabs>
              <w:spacing w:after="0" w:line="240" w:lineRule="exact"/>
              <w:outlineLvl w:val="0"/>
              <w:rPr>
                <w:rFonts w:cs="Arial"/>
                <w:b/>
                <w:bCs/>
                <w:spacing w:val="-2"/>
                <w:sz w:val="18"/>
                <w:szCs w:val="18"/>
              </w:rPr>
            </w:pPr>
            <w:r w:rsidRPr="00321238">
              <w:rPr>
                <w:rFonts w:cs="Arial"/>
                <w:b/>
                <w:bCs/>
                <w:spacing w:val="-2"/>
                <w:sz w:val="18"/>
                <w:szCs w:val="18"/>
              </w:rPr>
              <w:t xml:space="preserve">Net cumulative assets/liabilities </w:t>
            </w:r>
          </w:p>
        </w:tc>
        <w:tc>
          <w:tcPr>
            <w:tcW w:w="521" w:type="pct"/>
            <w:tcBorders>
              <w:top w:val="single" w:sz="12" w:space="0" w:color="auto"/>
              <w:left w:val="nil"/>
              <w:bottom w:val="single" w:sz="12" w:space="0" w:color="000000"/>
              <w:right w:val="nil"/>
            </w:tcBorders>
            <w:shd w:val="clear" w:color="auto" w:fill="auto"/>
            <w:vAlign w:val="bottom"/>
          </w:tcPr>
          <w:p w14:paraId="426B7CDC" w14:textId="031998F2" w:rsidR="00A169AD" w:rsidRPr="00321238" w:rsidRDefault="00A169AD" w:rsidP="00C436B9">
            <w:pPr>
              <w:tabs>
                <w:tab w:val="right" w:pos="1202"/>
              </w:tabs>
              <w:spacing w:after="0" w:line="240" w:lineRule="exact"/>
              <w:jc w:val="right"/>
              <w:outlineLvl w:val="0"/>
              <w:rPr>
                <w:rFonts w:cs="Arial"/>
                <w:b/>
                <w:spacing w:val="-2"/>
                <w:sz w:val="18"/>
                <w:szCs w:val="18"/>
              </w:rPr>
            </w:pPr>
            <w:r>
              <w:rPr>
                <w:b/>
                <w:bCs/>
                <w:color w:val="000000"/>
                <w:sz w:val="18"/>
                <w:szCs w:val="18"/>
              </w:rPr>
              <w:t>5,989,797</w:t>
            </w:r>
          </w:p>
        </w:tc>
        <w:tc>
          <w:tcPr>
            <w:tcW w:w="584" w:type="pct"/>
            <w:tcBorders>
              <w:top w:val="single" w:sz="12" w:space="0" w:color="auto"/>
              <w:left w:val="nil"/>
              <w:bottom w:val="single" w:sz="12" w:space="0" w:color="000000"/>
              <w:right w:val="nil"/>
            </w:tcBorders>
            <w:shd w:val="clear" w:color="auto" w:fill="auto"/>
            <w:vAlign w:val="bottom"/>
          </w:tcPr>
          <w:p w14:paraId="30A1E149" w14:textId="080D3563" w:rsidR="00A169AD" w:rsidRPr="00321238" w:rsidRDefault="00A169AD" w:rsidP="00C436B9">
            <w:pPr>
              <w:tabs>
                <w:tab w:val="right" w:pos="1202"/>
              </w:tabs>
              <w:spacing w:after="0" w:line="240" w:lineRule="exact"/>
              <w:jc w:val="right"/>
              <w:outlineLvl w:val="0"/>
              <w:rPr>
                <w:rFonts w:cs="Arial"/>
                <w:b/>
                <w:spacing w:val="-2"/>
                <w:sz w:val="18"/>
                <w:szCs w:val="18"/>
              </w:rPr>
            </w:pPr>
            <w:r>
              <w:rPr>
                <w:b/>
                <w:bCs/>
                <w:color w:val="000000"/>
                <w:sz w:val="18"/>
                <w:szCs w:val="18"/>
              </w:rPr>
              <w:t>6,515,575</w:t>
            </w:r>
          </w:p>
        </w:tc>
        <w:tc>
          <w:tcPr>
            <w:tcW w:w="589" w:type="pct"/>
            <w:tcBorders>
              <w:top w:val="single" w:sz="12" w:space="0" w:color="auto"/>
              <w:left w:val="nil"/>
              <w:bottom w:val="single" w:sz="12" w:space="0" w:color="000000"/>
              <w:right w:val="nil"/>
            </w:tcBorders>
            <w:shd w:val="clear" w:color="auto" w:fill="auto"/>
            <w:vAlign w:val="bottom"/>
          </w:tcPr>
          <w:p w14:paraId="4D4C6D6F" w14:textId="7DC5D6A7" w:rsidR="00A169AD" w:rsidRPr="00321238" w:rsidRDefault="00A169AD" w:rsidP="00A169AD">
            <w:pPr>
              <w:tabs>
                <w:tab w:val="right" w:pos="1202"/>
              </w:tabs>
              <w:spacing w:after="0" w:line="240" w:lineRule="exact"/>
              <w:jc w:val="right"/>
              <w:outlineLvl w:val="0"/>
              <w:rPr>
                <w:rFonts w:cs="Arial"/>
                <w:b/>
                <w:spacing w:val="-2"/>
                <w:sz w:val="18"/>
                <w:szCs w:val="18"/>
              </w:rPr>
            </w:pPr>
            <w:r>
              <w:rPr>
                <w:b/>
                <w:bCs/>
                <w:color w:val="000000"/>
                <w:sz w:val="18"/>
                <w:szCs w:val="18"/>
              </w:rPr>
              <w:t>7,547,655</w:t>
            </w:r>
          </w:p>
        </w:tc>
        <w:tc>
          <w:tcPr>
            <w:tcW w:w="588" w:type="pct"/>
            <w:tcBorders>
              <w:top w:val="single" w:sz="12" w:space="0" w:color="auto"/>
              <w:left w:val="nil"/>
              <w:bottom w:val="single" w:sz="12" w:space="0" w:color="000000"/>
              <w:right w:val="nil"/>
            </w:tcBorders>
            <w:shd w:val="clear" w:color="auto" w:fill="auto"/>
            <w:vAlign w:val="bottom"/>
          </w:tcPr>
          <w:p w14:paraId="080F12D8" w14:textId="29C8C4A3" w:rsidR="00A169AD" w:rsidRPr="00321238" w:rsidRDefault="00A169AD" w:rsidP="00A169AD">
            <w:pPr>
              <w:tabs>
                <w:tab w:val="right" w:pos="1202"/>
              </w:tabs>
              <w:spacing w:after="0" w:line="240" w:lineRule="exact"/>
              <w:jc w:val="right"/>
              <w:outlineLvl w:val="0"/>
              <w:rPr>
                <w:rFonts w:cs="Arial"/>
                <w:b/>
                <w:spacing w:val="-2"/>
                <w:sz w:val="18"/>
                <w:szCs w:val="18"/>
              </w:rPr>
            </w:pPr>
            <w:r>
              <w:rPr>
                <w:b/>
                <w:bCs/>
                <w:color w:val="000000"/>
                <w:sz w:val="18"/>
                <w:szCs w:val="18"/>
              </w:rPr>
              <w:t>7,485,076</w:t>
            </w:r>
          </w:p>
        </w:tc>
        <w:tc>
          <w:tcPr>
            <w:tcW w:w="589" w:type="pct"/>
            <w:tcBorders>
              <w:top w:val="single" w:sz="12" w:space="0" w:color="auto"/>
              <w:left w:val="nil"/>
              <w:bottom w:val="single" w:sz="12" w:space="0" w:color="auto"/>
              <w:right w:val="nil"/>
            </w:tcBorders>
            <w:shd w:val="clear" w:color="auto" w:fill="auto"/>
            <w:vAlign w:val="bottom"/>
          </w:tcPr>
          <w:p w14:paraId="4552A1F0" w14:textId="162C7536" w:rsidR="00A169AD" w:rsidRPr="00321238" w:rsidRDefault="00A169AD" w:rsidP="00A169AD">
            <w:pPr>
              <w:tabs>
                <w:tab w:val="right" w:pos="1202"/>
              </w:tabs>
              <w:spacing w:after="0" w:line="240" w:lineRule="exact"/>
              <w:jc w:val="right"/>
              <w:outlineLvl w:val="0"/>
              <w:rPr>
                <w:rFonts w:cs="Arial"/>
                <w:b/>
                <w:spacing w:val="-2"/>
                <w:sz w:val="18"/>
                <w:szCs w:val="18"/>
              </w:rPr>
            </w:pPr>
            <w:r w:rsidRPr="007058BA">
              <w:rPr>
                <w:b/>
                <w:bCs/>
                <w:color w:val="000000"/>
                <w:sz w:val="18"/>
                <w:szCs w:val="18"/>
              </w:rPr>
              <w:t>-</w:t>
            </w:r>
          </w:p>
        </w:tc>
        <w:tc>
          <w:tcPr>
            <w:tcW w:w="581" w:type="pct"/>
            <w:tcBorders>
              <w:top w:val="single" w:sz="12" w:space="0" w:color="auto"/>
              <w:left w:val="nil"/>
              <w:bottom w:val="single" w:sz="12" w:space="0" w:color="auto"/>
              <w:right w:val="nil"/>
            </w:tcBorders>
            <w:shd w:val="clear" w:color="auto" w:fill="auto"/>
            <w:vAlign w:val="bottom"/>
          </w:tcPr>
          <w:p w14:paraId="0E1B5A3E" w14:textId="429963D8" w:rsidR="00A169AD" w:rsidRPr="00321238" w:rsidRDefault="00A169AD" w:rsidP="00A169AD">
            <w:pPr>
              <w:tabs>
                <w:tab w:val="right" w:pos="1202"/>
              </w:tabs>
              <w:spacing w:after="0" w:line="240" w:lineRule="exact"/>
              <w:jc w:val="right"/>
              <w:outlineLvl w:val="0"/>
              <w:rPr>
                <w:rFonts w:cs="Arial"/>
                <w:b/>
                <w:spacing w:val="-2"/>
                <w:sz w:val="18"/>
                <w:szCs w:val="18"/>
              </w:rPr>
            </w:pPr>
            <w:r w:rsidRPr="007E1860">
              <w:rPr>
                <w:rFonts w:cs="Arial"/>
                <w:b/>
                <w:bCs/>
                <w:color w:val="000000"/>
                <w:sz w:val="18"/>
                <w:szCs w:val="18"/>
                <w:lang w:eastAsia="hr-HR"/>
              </w:rPr>
              <w:t>-</w:t>
            </w:r>
          </w:p>
        </w:tc>
      </w:tr>
    </w:tbl>
    <w:p w14:paraId="22EE678D" w14:textId="77777777" w:rsidR="009702B0" w:rsidRPr="009702B0" w:rsidRDefault="009702B0" w:rsidP="009702B0">
      <w:pPr>
        <w:spacing w:after="0" w:line="240" w:lineRule="exact"/>
        <w:jc w:val="both"/>
        <w:rPr>
          <w:rFonts w:eastAsia="Times New Roman" w:cs="Arial"/>
          <w:bCs/>
          <w:sz w:val="18"/>
          <w:szCs w:val="18"/>
        </w:rPr>
      </w:pPr>
    </w:p>
    <w:p w14:paraId="2F074ACA" w14:textId="77777777" w:rsidR="009702B0" w:rsidRDefault="009702B0" w:rsidP="009702B0">
      <w:pPr>
        <w:spacing w:after="0" w:line="240" w:lineRule="auto"/>
        <w:jc w:val="both"/>
        <w:rPr>
          <w:rFonts w:eastAsia="Times New Roman" w:cs="Arial"/>
          <w:bCs/>
          <w:sz w:val="18"/>
          <w:szCs w:val="18"/>
        </w:rPr>
      </w:pPr>
      <w:r w:rsidRPr="009702B0">
        <w:rPr>
          <w:rFonts w:eastAsia="Times New Roman" w:cs="Arial"/>
          <w:bCs/>
          <w:sz w:val="18"/>
          <w:szCs w:val="18"/>
        </w:rPr>
        <w:t>The items with undefined maturity are included in terms over 3 years</w:t>
      </w:r>
      <w:r w:rsidR="00EF3682">
        <w:rPr>
          <w:rFonts w:eastAsia="Times New Roman" w:cs="Arial"/>
          <w:bCs/>
          <w:sz w:val="18"/>
          <w:szCs w:val="18"/>
        </w:rPr>
        <w:t>.</w:t>
      </w:r>
    </w:p>
    <w:p w14:paraId="45CCF48F" w14:textId="77777777" w:rsidR="005E76A4" w:rsidRPr="009702B0" w:rsidRDefault="005E76A4" w:rsidP="009702B0">
      <w:pPr>
        <w:spacing w:after="0" w:line="240" w:lineRule="auto"/>
        <w:jc w:val="both"/>
        <w:rPr>
          <w:rFonts w:eastAsia="Times New Roman"/>
          <w:i/>
          <w:sz w:val="18"/>
          <w:szCs w:val="18"/>
        </w:rPr>
      </w:pPr>
    </w:p>
    <w:p w14:paraId="37BCB01B" w14:textId="11937FA1" w:rsidR="009702B0" w:rsidRPr="009702B0" w:rsidRDefault="009702B0" w:rsidP="009702B0">
      <w:pPr>
        <w:spacing w:after="0" w:line="240" w:lineRule="auto"/>
        <w:jc w:val="both"/>
        <w:rPr>
          <w:rFonts w:eastAsia="Times New Roman" w:cs="Calibri"/>
          <w:sz w:val="18"/>
          <w:szCs w:val="18"/>
        </w:rPr>
        <w:sectPr w:rsidR="009702B0" w:rsidRPr="009702B0" w:rsidSect="00947CB7">
          <w:footerReference w:type="first" r:id="rId101"/>
          <w:pgSz w:w="11906" w:h="16838" w:code="9"/>
          <w:pgMar w:top="1418" w:right="1418" w:bottom="595" w:left="1134" w:header="709" w:footer="709" w:gutter="0"/>
          <w:cols w:space="708"/>
          <w:titlePg/>
          <w:docGrid w:linePitch="360"/>
        </w:sectPr>
      </w:pPr>
      <w:proofErr w:type="gramStart"/>
      <w:r w:rsidRPr="009702B0">
        <w:rPr>
          <w:bCs/>
          <w:i/>
          <w:sz w:val="18"/>
          <w:szCs w:val="18"/>
        </w:rPr>
        <w:t xml:space="preserve">* </w:t>
      </w:r>
      <w:r w:rsidRPr="009702B0">
        <w:rPr>
          <w:i/>
          <w:sz w:val="18"/>
          <w:szCs w:val="18"/>
        </w:rPr>
        <w:t xml:space="preserve"> </w:t>
      </w:r>
      <w:r w:rsidR="00EA05CB" w:rsidRPr="00EA05CB">
        <w:rPr>
          <w:i/>
          <w:sz w:val="18"/>
          <w:szCs w:val="18"/>
        </w:rPr>
        <w:t>*</w:t>
      </w:r>
      <w:proofErr w:type="gramEnd"/>
      <w:r w:rsidR="00EA05CB" w:rsidRPr="00EA05CB">
        <w:rPr>
          <w:i/>
          <w:sz w:val="18"/>
          <w:szCs w:val="18"/>
        </w:rPr>
        <w:t xml:space="preserve"> Receivables of HRK 1,312,480 thousand relate to reverse REPO agreements. The maturity of part of receivables was prolonged after the Statement of Financial Position date, and an amount of HRK 700,000 thousand was placed in the 1 up to 3 months maturity category.</w:t>
      </w:r>
    </w:p>
    <w:p w14:paraId="5CBCD772" w14:textId="77777777" w:rsidR="009702B0" w:rsidRPr="009702B0" w:rsidRDefault="009702B0" w:rsidP="009702B0">
      <w:pPr>
        <w:keepNext/>
        <w:spacing w:after="0" w:line="240" w:lineRule="auto"/>
        <w:jc w:val="both"/>
        <w:rPr>
          <w:rFonts w:eastAsia="Times New Roman" w:cs="Arial"/>
          <w:b/>
          <w:bCs/>
        </w:rPr>
      </w:pPr>
    </w:p>
    <w:p w14:paraId="53A20FDF"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00E560CB">
        <w:rPr>
          <w:rFonts w:eastAsia="Times New Roman" w:cs="Arial"/>
          <w:b/>
          <w:bCs/>
        </w:rPr>
        <w:t>.</w:t>
      </w:r>
      <w:r w:rsidRPr="009702B0">
        <w:rPr>
          <w:rFonts w:eastAsia="Times New Roman" w:cs="Arial"/>
          <w:b/>
          <w:bCs/>
        </w:rPr>
        <w:tab/>
        <w:t>Risk management (continued)</w:t>
      </w:r>
    </w:p>
    <w:p w14:paraId="0B47C797" w14:textId="77777777" w:rsidR="009702B0" w:rsidRPr="009702B0" w:rsidRDefault="009702B0" w:rsidP="009702B0">
      <w:pPr>
        <w:keepNext/>
        <w:spacing w:after="0" w:line="240" w:lineRule="auto"/>
        <w:jc w:val="both"/>
        <w:rPr>
          <w:rFonts w:eastAsia="Times New Roman" w:cs="Arial"/>
          <w:b/>
          <w:bCs/>
        </w:rPr>
      </w:pPr>
    </w:p>
    <w:p w14:paraId="5BC09CB5"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00E560CB">
        <w:rPr>
          <w:rFonts w:eastAsia="Times New Roman" w:cs="Arial"/>
          <w:b/>
          <w:bCs/>
        </w:rPr>
        <w:t>.</w:t>
      </w:r>
      <w:r w:rsidRPr="009702B0">
        <w:rPr>
          <w:rFonts w:eastAsia="Times New Roman" w:cs="Arial"/>
          <w:b/>
          <w:bCs/>
        </w:rPr>
        <w:t>3</w:t>
      </w:r>
      <w:r w:rsidR="00E560CB">
        <w:rPr>
          <w:rFonts w:eastAsia="Times New Roman" w:cs="Arial"/>
          <w:b/>
          <w:bCs/>
        </w:rPr>
        <w:t>.</w:t>
      </w:r>
      <w:r w:rsidRPr="009702B0">
        <w:rPr>
          <w:rFonts w:eastAsia="Times New Roman" w:cs="Arial"/>
          <w:b/>
          <w:bCs/>
        </w:rPr>
        <w:t xml:space="preserve"> </w:t>
      </w:r>
      <w:r w:rsidRPr="009702B0">
        <w:rPr>
          <w:rFonts w:eastAsia="Times New Roman" w:cs="Arial"/>
          <w:b/>
          <w:bCs/>
        </w:rPr>
        <w:tab/>
        <w:t>Liquidity risk (continued)</w:t>
      </w:r>
    </w:p>
    <w:p w14:paraId="0748B615" w14:textId="77777777" w:rsidR="009702B0" w:rsidRPr="009702B0" w:rsidRDefault="009702B0" w:rsidP="009702B0">
      <w:pPr>
        <w:tabs>
          <w:tab w:val="left" w:pos="-720"/>
        </w:tabs>
        <w:suppressAutoHyphens/>
        <w:spacing w:after="0" w:line="240" w:lineRule="auto"/>
        <w:jc w:val="both"/>
        <w:rPr>
          <w:rFonts w:cs="Arial"/>
          <w:sz w:val="20"/>
          <w:szCs w:val="20"/>
        </w:rPr>
      </w:pPr>
    </w:p>
    <w:tbl>
      <w:tblPr>
        <w:tblW w:w="5000" w:type="pct"/>
        <w:tblLayout w:type="fixed"/>
        <w:tblCellMar>
          <w:left w:w="120" w:type="dxa"/>
          <w:right w:w="120" w:type="dxa"/>
        </w:tblCellMar>
        <w:tblLook w:val="0000" w:firstRow="0" w:lastRow="0" w:firstColumn="0" w:lastColumn="0" w:noHBand="0" w:noVBand="0"/>
      </w:tblPr>
      <w:tblGrid>
        <w:gridCol w:w="2834"/>
        <w:gridCol w:w="1086"/>
        <w:gridCol w:w="1087"/>
        <w:gridCol w:w="1087"/>
        <w:gridCol w:w="1086"/>
        <w:gridCol w:w="1087"/>
        <w:gridCol w:w="1087"/>
      </w:tblGrid>
      <w:tr w:rsidR="005F1566" w:rsidRPr="005F1566" w14:paraId="519DD29B" w14:textId="77777777" w:rsidTr="005F1566">
        <w:trPr>
          <w:trHeight w:val="574"/>
        </w:trPr>
        <w:tc>
          <w:tcPr>
            <w:tcW w:w="2834" w:type="dxa"/>
          </w:tcPr>
          <w:p w14:paraId="0B7DED71"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Bank</w:t>
            </w:r>
          </w:p>
          <w:p w14:paraId="790AC929"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sz w:val="18"/>
                <w:szCs w:val="18"/>
              </w:rPr>
            </w:pPr>
            <w:r>
              <w:rPr>
                <w:rFonts w:asciiTheme="minorHAnsi" w:eastAsia="Times New Roman" w:hAnsiTheme="minorHAnsi" w:cs="Arial"/>
                <w:b/>
                <w:sz w:val="18"/>
                <w:szCs w:val="18"/>
              </w:rPr>
              <w:t xml:space="preserve">Dec 31, </w:t>
            </w:r>
            <w:r w:rsidRPr="005F1566">
              <w:rPr>
                <w:rFonts w:asciiTheme="minorHAnsi" w:eastAsia="Times New Roman" w:hAnsiTheme="minorHAnsi" w:cs="Arial"/>
                <w:b/>
                <w:sz w:val="18"/>
                <w:szCs w:val="18"/>
              </w:rPr>
              <w:t>2016</w:t>
            </w:r>
          </w:p>
        </w:tc>
        <w:tc>
          <w:tcPr>
            <w:tcW w:w="1086" w:type="dxa"/>
            <w:shd w:val="clear" w:color="auto" w:fill="auto"/>
          </w:tcPr>
          <w:p w14:paraId="2DD4242E"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Up to 1 month</w:t>
            </w:r>
          </w:p>
        </w:tc>
        <w:tc>
          <w:tcPr>
            <w:tcW w:w="1087" w:type="dxa"/>
            <w:shd w:val="clear" w:color="auto" w:fill="auto"/>
          </w:tcPr>
          <w:p w14:paraId="3E7CBCF9"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 xml:space="preserve">1 - 3 </w:t>
            </w:r>
          </w:p>
          <w:p w14:paraId="526A6224"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months</w:t>
            </w:r>
          </w:p>
        </w:tc>
        <w:tc>
          <w:tcPr>
            <w:tcW w:w="1087" w:type="dxa"/>
            <w:shd w:val="clear" w:color="auto" w:fill="auto"/>
          </w:tcPr>
          <w:p w14:paraId="5643D612"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 xml:space="preserve">3 - 12 </w:t>
            </w:r>
          </w:p>
          <w:p w14:paraId="037845F6"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months</w:t>
            </w:r>
          </w:p>
        </w:tc>
        <w:tc>
          <w:tcPr>
            <w:tcW w:w="1086" w:type="dxa"/>
            <w:shd w:val="clear" w:color="auto" w:fill="auto"/>
          </w:tcPr>
          <w:p w14:paraId="3820A48B"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 xml:space="preserve">1 - 3 </w:t>
            </w:r>
          </w:p>
          <w:p w14:paraId="5755287C"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years</w:t>
            </w:r>
          </w:p>
        </w:tc>
        <w:tc>
          <w:tcPr>
            <w:tcW w:w="1087" w:type="dxa"/>
            <w:shd w:val="clear" w:color="auto" w:fill="auto"/>
          </w:tcPr>
          <w:p w14:paraId="78FEFB87"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 xml:space="preserve">Over 3 </w:t>
            </w:r>
          </w:p>
          <w:p w14:paraId="69046C1E"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years</w:t>
            </w:r>
          </w:p>
        </w:tc>
        <w:tc>
          <w:tcPr>
            <w:tcW w:w="1087" w:type="dxa"/>
            <w:shd w:val="clear" w:color="auto" w:fill="auto"/>
          </w:tcPr>
          <w:p w14:paraId="69B4A153"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Total</w:t>
            </w:r>
          </w:p>
        </w:tc>
      </w:tr>
      <w:tr w:rsidR="005F1566" w:rsidRPr="005F1566" w14:paraId="00FEC6BA" w14:textId="77777777" w:rsidTr="005F1566">
        <w:tc>
          <w:tcPr>
            <w:tcW w:w="2834" w:type="dxa"/>
          </w:tcPr>
          <w:p w14:paraId="2EA55BE7"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bCs/>
                <w:sz w:val="18"/>
                <w:szCs w:val="18"/>
              </w:rPr>
            </w:pPr>
            <w:r w:rsidRPr="005F1566">
              <w:rPr>
                <w:rFonts w:asciiTheme="minorHAnsi" w:eastAsia="Times New Roman" w:hAnsiTheme="minorHAnsi" w:cs="Arial"/>
                <w:b/>
                <w:bCs/>
                <w:sz w:val="18"/>
                <w:szCs w:val="18"/>
              </w:rPr>
              <w:t>Assets</w:t>
            </w:r>
          </w:p>
        </w:tc>
        <w:tc>
          <w:tcPr>
            <w:tcW w:w="1086" w:type="dxa"/>
            <w:shd w:val="clear" w:color="auto" w:fill="auto"/>
            <w:vAlign w:val="bottom"/>
          </w:tcPr>
          <w:p w14:paraId="18C36D5C"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bCs/>
                <w:spacing w:val="-2"/>
                <w:sz w:val="18"/>
                <w:szCs w:val="18"/>
              </w:rPr>
            </w:pPr>
          </w:p>
        </w:tc>
        <w:tc>
          <w:tcPr>
            <w:tcW w:w="1087" w:type="dxa"/>
            <w:shd w:val="clear" w:color="auto" w:fill="auto"/>
            <w:vAlign w:val="bottom"/>
          </w:tcPr>
          <w:p w14:paraId="1C471DFE"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bCs/>
                <w:spacing w:val="-2"/>
                <w:sz w:val="18"/>
                <w:szCs w:val="18"/>
              </w:rPr>
            </w:pPr>
          </w:p>
        </w:tc>
        <w:tc>
          <w:tcPr>
            <w:tcW w:w="1087" w:type="dxa"/>
            <w:shd w:val="clear" w:color="auto" w:fill="auto"/>
            <w:vAlign w:val="bottom"/>
          </w:tcPr>
          <w:p w14:paraId="6F565C42"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bCs/>
                <w:spacing w:val="-2"/>
                <w:sz w:val="18"/>
                <w:szCs w:val="18"/>
              </w:rPr>
            </w:pPr>
          </w:p>
        </w:tc>
        <w:tc>
          <w:tcPr>
            <w:tcW w:w="1086" w:type="dxa"/>
            <w:shd w:val="clear" w:color="auto" w:fill="auto"/>
            <w:vAlign w:val="bottom"/>
          </w:tcPr>
          <w:p w14:paraId="5F1E38A6"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bCs/>
                <w:spacing w:val="-2"/>
                <w:sz w:val="18"/>
                <w:szCs w:val="18"/>
              </w:rPr>
            </w:pPr>
          </w:p>
        </w:tc>
        <w:tc>
          <w:tcPr>
            <w:tcW w:w="1087" w:type="dxa"/>
            <w:shd w:val="clear" w:color="auto" w:fill="auto"/>
            <w:vAlign w:val="bottom"/>
          </w:tcPr>
          <w:p w14:paraId="25702F11"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bCs/>
                <w:spacing w:val="-2"/>
                <w:sz w:val="18"/>
                <w:szCs w:val="18"/>
              </w:rPr>
            </w:pPr>
          </w:p>
        </w:tc>
        <w:tc>
          <w:tcPr>
            <w:tcW w:w="1087" w:type="dxa"/>
            <w:shd w:val="clear" w:color="auto" w:fill="auto"/>
            <w:vAlign w:val="bottom"/>
          </w:tcPr>
          <w:p w14:paraId="5BCA7531" w14:textId="77777777" w:rsidR="005F1566" w:rsidRPr="005F1566" w:rsidRDefault="005F1566" w:rsidP="005F1566">
            <w:pPr>
              <w:tabs>
                <w:tab w:val="right" w:pos="1202"/>
              </w:tabs>
              <w:spacing w:after="0" w:line="240" w:lineRule="exact"/>
              <w:jc w:val="right"/>
              <w:outlineLvl w:val="0"/>
              <w:rPr>
                <w:rFonts w:asciiTheme="minorHAnsi" w:eastAsia="Times New Roman" w:hAnsiTheme="minorHAnsi" w:cs="Arial"/>
                <w:b/>
                <w:bCs/>
                <w:spacing w:val="-2"/>
                <w:sz w:val="18"/>
                <w:szCs w:val="18"/>
              </w:rPr>
            </w:pPr>
          </w:p>
        </w:tc>
      </w:tr>
      <w:tr w:rsidR="005F1566" w:rsidRPr="005F1566" w14:paraId="32560C12" w14:textId="77777777" w:rsidTr="005F1566">
        <w:tc>
          <w:tcPr>
            <w:tcW w:w="2834" w:type="dxa"/>
          </w:tcPr>
          <w:p w14:paraId="491A6C97"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 xml:space="preserve">Cash on hand and due from banks </w:t>
            </w:r>
          </w:p>
        </w:tc>
        <w:tc>
          <w:tcPr>
            <w:tcW w:w="1086" w:type="dxa"/>
            <w:tcBorders>
              <w:top w:val="nil"/>
              <w:left w:val="nil"/>
              <w:bottom w:val="nil"/>
              <w:right w:val="nil"/>
            </w:tcBorders>
            <w:shd w:val="clear" w:color="auto" w:fill="auto"/>
            <w:vAlign w:val="bottom"/>
          </w:tcPr>
          <w:p w14:paraId="15C4BE57"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490,695</w:t>
            </w:r>
          </w:p>
        </w:tc>
        <w:tc>
          <w:tcPr>
            <w:tcW w:w="1087" w:type="dxa"/>
            <w:tcBorders>
              <w:top w:val="nil"/>
              <w:left w:val="nil"/>
              <w:bottom w:val="nil"/>
              <w:right w:val="nil"/>
            </w:tcBorders>
            <w:shd w:val="clear" w:color="auto" w:fill="auto"/>
            <w:vAlign w:val="bottom"/>
          </w:tcPr>
          <w:p w14:paraId="37C6DA9C"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14:paraId="62BD65B1"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6" w:type="dxa"/>
            <w:tcBorders>
              <w:top w:val="nil"/>
              <w:left w:val="nil"/>
              <w:bottom w:val="nil"/>
              <w:right w:val="nil"/>
            </w:tcBorders>
            <w:shd w:val="clear" w:color="auto" w:fill="auto"/>
            <w:vAlign w:val="bottom"/>
          </w:tcPr>
          <w:p w14:paraId="16F31B08"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14:paraId="0760D2AF"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14:paraId="287F2FB5"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490,695</w:t>
            </w:r>
          </w:p>
        </w:tc>
      </w:tr>
      <w:tr w:rsidR="005F1566" w:rsidRPr="005F1566" w14:paraId="4F16A76F" w14:textId="77777777" w:rsidTr="005F1566">
        <w:tc>
          <w:tcPr>
            <w:tcW w:w="2834" w:type="dxa"/>
          </w:tcPr>
          <w:p w14:paraId="2A19D5CC"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Deposits with other banks</w:t>
            </w:r>
          </w:p>
        </w:tc>
        <w:tc>
          <w:tcPr>
            <w:tcW w:w="1086" w:type="dxa"/>
            <w:tcBorders>
              <w:top w:val="nil"/>
              <w:left w:val="nil"/>
              <w:bottom w:val="nil"/>
              <w:right w:val="nil"/>
            </w:tcBorders>
            <w:shd w:val="clear" w:color="auto" w:fill="auto"/>
            <w:vAlign w:val="bottom"/>
          </w:tcPr>
          <w:p w14:paraId="3C2BC2FC"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14:paraId="75E40926"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23,872</w:t>
            </w:r>
          </w:p>
        </w:tc>
        <w:tc>
          <w:tcPr>
            <w:tcW w:w="1087" w:type="dxa"/>
            <w:tcBorders>
              <w:top w:val="nil"/>
              <w:left w:val="nil"/>
              <w:bottom w:val="nil"/>
              <w:right w:val="nil"/>
            </w:tcBorders>
            <w:shd w:val="clear" w:color="auto" w:fill="auto"/>
            <w:vAlign w:val="bottom"/>
          </w:tcPr>
          <w:p w14:paraId="483FDB35"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6" w:type="dxa"/>
            <w:tcBorders>
              <w:top w:val="nil"/>
              <w:left w:val="nil"/>
              <w:bottom w:val="nil"/>
              <w:right w:val="nil"/>
            </w:tcBorders>
            <w:shd w:val="clear" w:color="auto" w:fill="auto"/>
            <w:vAlign w:val="bottom"/>
          </w:tcPr>
          <w:p w14:paraId="54C96961"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14:paraId="4DDC8202"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14:paraId="1F74636A"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23,872</w:t>
            </w:r>
          </w:p>
        </w:tc>
      </w:tr>
      <w:tr w:rsidR="005F1566" w:rsidRPr="005F1566" w14:paraId="51E2ED9E" w14:textId="77777777" w:rsidTr="005F1566">
        <w:tc>
          <w:tcPr>
            <w:tcW w:w="2834" w:type="dxa"/>
          </w:tcPr>
          <w:p w14:paraId="33222391"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Loans to financial institutions*</w:t>
            </w:r>
          </w:p>
        </w:tc>
        <w:tc>
          <w:tcPr>
            <w:tcW w:w="1086" w:type="dxa"/>
            <w:tcBorders>
              <w:top w:val="nil"/>
              <w:left w:val="nil"/>
              <w:bottom w:val="nil"/>
              <w:right w:val="nil"/>
            </w:tcBorders>
            <w:shd w:val="clear" w:color="auto" w:fill="auto"/>
            <w:vAlign w:val="bottom"/>
          </w:tcPr>
          <w:p w14:paraId="3FBB4E23"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684,891</w:t>
            </w:r>
          </w:p>
        </w:tc>
        <w:tc>
          <w:tcPr>
            <w:tcW w:w="1087" w:type="dxa"/>
            <w:tcBorders>
              <w:top w:val="nil"/>
              <w:left w:val="nil"/>
              <w:bottom w:val="nil"/>
              <w:right w:val="nil"/>
            </w:tcBorders>
            <w:shd w:val="clear" w:color="auto" w:fill="auto"/>
            <w:vAlign w:val="bottom"/>
          </w:tcPr>
          <w:p w14:paraId="0FB1741A"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441,872</w:t>
            </w:r>
          </w:p>
        </w:tc>
        <w:tc>
          <w:tcPr>
            <w:tcW w:w="1087" w:type="dxa"/>
            <w:tcBorders>
              <w:top w:val="nil"/>
              <w:left w:val="nil"/>
              <w:bottom w:val="nil"/>
              <w:right w:val="nil"/>
            </w:tcBorders>
            <w:shd w:val="clear" w:color="auto" w:fill="auto"/>
            <w:vAlign w:val="bottom"/>
          </w:tcPr>
          <w:p w14:paraId="25BFC5B1"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1,774,961</w:t>
            </w:r>
          </w:p>
        </w:tc>
        <w:tc>
          <w:tcPr>
            <w:tcW w:w="1086" w:type="dxa"/>
            <w:tcBorders>
              <w:top w:val="nil"/>
              <w:left w:val="nil"/>
              <w:bottom w:val="nil"/>
              <w:right w:val="nil"/>
            </w:tcBorders>
            <w:shd w:val="clear" w:color="auto" w:fill="auto"/>
            <w:vAlign w:val="bottom"/>
          </w:tcPr>
          <w:p w14:paraId="490FCC46"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3,131,823</w:t>
            </w:r>
          </w:p>
        </w:tc>
        <w:tc>
          <w:tcPr>
            <w:tcW w:w="1087" w:type="dxa"/>
            <w:tcBorders>
              <w:top w:val="nil"/>
              <w:left w:val="nil"/>
              <w:bottom w:val="nil"/>
              <w:right w:val="nil"/>
            </w:tcBorders>
            <w:shd w:val="clear" w:color="auto" w:fill="auto"/>
            <w:vAlign w:val="bottom"/>
          </w:tcPr>
          <w:p w14:paraId="7E1C8360"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5,855,564</w:t>
            </w:r>
          </w:p>
        </w:tc>
        <w:tc>
          <w:tcPr>
            <w:tcW w:w="1087" w:type="dxa"/>
            <w:tcBorders>
              <w:top w:val="nil"/>
              <w:left w:val="nil"/>
              <w:bottom w:val="nil"/>
              <w:right w:val="nil"/>
            </w:tcBorders>
            <w:shd w:val="clear" w:color="auto" w:fill="auto"/>
            <w:vAlign w:val="bottom"/>
          </w:tcPr>
          <w:p w14:paraId="26E8F3EF"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11,889,111</w:t>
            </w:r>
          </w:p>
        </w:tc>
      </w:tr>
      <w:tr w:rsidR="005F1566" w:rsidRPr="005F1566" w14:paraId="60309720" w14:textId="77777777" w:rsidTr="005F1566">
        <w:tc>
          <w:tcPr>
            <w:tcW w:w="2834" w:type="dxa"/>
          </w:tcPr>
          <w:p w14:paraId="09C29F6B"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Loans to other customers</w:t>
            </w:r>
          </w:p>
        </w:tc>
        <w:tc>
          <w:tcPr>
            <w:tcW w:w="1086" w:type="dxa"/>
            <w:tcBorders>
              <w:top w:val="nil"/>
              <w:left w:val="nil"/>
              <w:bottom w:val="nil"/>
              <w:right w:val="nil"/>
            </w:tcBorders>
            <w:shd w:val="clear" w:color="auto" w:fill="auto"/>
            <w:vAlign w:val="bottom"/>
          </w:tcPr>
          <w:p w14:paraId="0A6A7742"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1,423,234</w:t>
            </w:r>
          </w:p>
        </w:tc>
        <w:tc>
          <w:tcPr>
            <w:tcW w:w="1087" w:type="dxa"/>
            <w:tcBorders>
              <w:top w:val="nil"/>
              <w:left w:val="nil"/>
              <w:bottom w:val="nil"/>
              <w:right w:val="nil"/>
            </w:tcBorders>
            <w:shd w:val="clear" w:color="auto" w:fill="auto"/>
            <w:vAlign w:val="bottom"/>
          </w:tcPr>
          <w:p w14:paraId="316DD8F9"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385,784</w:t>
            </w:r>
          </w:p>
        </w:tc>
        <w:tc>
          <w:tcPr>
            <w:tcW w:w="1087" w:type="dxa"/>
            <w:tcBorders>
              <w:top w:val="nil"/>
              <w:left w:val="nil"/>
              <w:bottom w:val="nil"/>
              <w:right w:val="nil"/>
            </w:tcBorders>
            <w:shd w:val="clear" w:color="auto" w:fill="auto"/>
            <w:vAlign w:val="bottom"/>
          </w:tcPr>
          <w:p w14:paraId="5E29928F"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948,959</w:t>
            </w:r>
          </w:p>
        </w:tc>
        <w:tc>
          <w:tcPr>
            <w:tcW w:w="1086" w:type="dxa"/>
            <w:tcBorders>
              <w:top w:val="nil"/>
              <w:left w:val="nil"/>
              <w:bottom w:val="nil"/>
              <w:right w:val="nil"/>
            </w:tcBorders>
            <w:shd w:val="clear" w:color="auto" w:fill="auto"/>
            <w:vAlign w:val="bottom"/>
          </w:tcPr>
          <w:p w14:paraId="7BE86A70"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1,850,611</w:t>
            </w:r>
          </w:p>
        </w:tc>
        <w:tc>
          <w:tcPr>
            <w:tcW w:w="1087" w:type="dxa"/>
            <w:tcBorders>
              <w:top w:val="nil"/>
              <w:left w:val="nil"/>
              <w:bottom w:val="nil"/>
              <w:right w:val="nil"/>
            </w:tcBorders>
            <w:shd w:val="clear" w:color="auto" w:fill="auto"/>
            <w:vAlign w:val="bottom"/>
          </w:tcPr>
          <w:p w14:paraId="1E483982"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6,902,606</w:t>
            </w:r>
          </w:p>
        </w:tc>
        <w:tc>
          <w:tcPr>
            <w:tcW w:w="1087" w:type="dxa"/>
            <w:tcBorders>
              <w:top w:val="nil"/>
              <w:left w:val="nil"/>
              <w:bottom w:val="nil"/>
              <w:right w:val="nil"/>
            </w:tcBorders>
            <w:shd w:val="clear" w:color="auto" w:fill="auto"/>
            <w:vAlign w:val="bottom"/>
          </w:tcPr>
          <w:p w14:paraId="53D2FC94"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11,511,194</w:t>
            </w:r>
          </w:p>
        </w:tc>
      </w:tr>
      <w:tr w:rsidR="005F1566" w:rsidRPr="005F1566" w14:paraId="78139166" w14:textId="77777777" w:rsidTr="005F1566">
        <w:tc>
          <w:tcPr>
            <w:tcW w:w="2834" w:type="dxa"/>
          </w:tcPr>
          <w:p w14:paraId="43228CE7"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Assets available for sale</w:t>
            </w:r>
          </w:p>
        </w:tc>
        <w:tc>
          <w:tcPr>
            <w:tcW w:w="1086" w:type="dxa"/>
            <w:tcBorders>
              <w:top w:val="nil"/>
              <w:left w:val="nil"/>
              <w:bottom w:val="nil"/>
              <w:right w:val="nil"/>
            </w:tcBorders>
            <w:shd w:val="clear" w:color="auto" w:fill="auto"/>
            <w:vAlign w:val="bottom"/>
          </w:tcPr>
          <w:p w14:paraId="1F845170"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3,329,585</w:t>
            </w:r>
          </w:p>
        </w:tc>
        <w:tc>
          <w:tcPr>
            <w:tcW w:w="1087" w:type="dxa"/>
            <w:tcBorders>
              <w:top w:val="nil"/>
              <w:left w:val="nil"/>
              <w:bottom w:val="nil"/>
              <w:right w:val="nil"/>
            </w:tcBorders>
            <w:shd w:val="clear" w:color="auto" w:fill="auto"/>
            <w:vAlign w:val="bottom"/>
          </w:tcPr>
          <w:p w14:paraId="3234EF29"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13,989</w:t>
            </w:r>
          </w:p>
        </w:tc>
        <w:tc>
          <w:tcPr>
            <w:tcW w:w="1087" w:type="dxa"/>
            <w:tcBorders>
              <w:top w:val="nil"/>
              <w:left w:val="nil"/>
              <w:bottom w:val="nil"/>
              <w:right w:val="nil"/>
            </w:tcBorders>
            <w:shd w:val="clear" w:color="auto" w:fill="auto"/>
            <w:vAlign w:val="bottom"/>
          </w:tcPr>
          <w:p w14:paraId="33C7B796"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6" w:type="dxa"/>
            <w:tcBorders>
              <w:top w:val="nil"/>
              <w:left w:val="nil"/>
              <w:bottom w:val="nil"/>
              <w:right w:val="nil"/>
            </w:tcBorders>
            <w:shd w:val="clear" w:color="auto" w:fill="auto"/>
            <w:vAlign w:val="bottom"/>
          </w:tcPr>
          <w:p w14:paraId="0FDAB81B"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14:paraId="54D5A9A4"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14:paraId="23D9DD82"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3,343,574</w:t>
            </w:r>
          </w:p>
        </w:tc>
      </w:tr>
      <w:tr w:rsidR="005F1566" w:rsidRPr="005F1566" w14:paraId="44F66538" w14:textId="77777777" w:rsidTr="005F1566">
        <w:tc>
          <w:tcPr>
            <w:tcW w:w="2834" w:type="dxa"/>
          </w:tcPr>
          <w:p w14:paraId="21BDF9B5"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Investments in subsidiaries</w:t>
            </w:r>
          </w:p>
        </w:tc>
        <w:tc>
          <w:tcPr>
            <w:tcW w:w="1086" w:type="dxa"/>
            <w:tcBorders>
              <w:top w:val="nil"/>
              <w:left w:val="nil"/>
              <w:bottom w:val="nil"/>
              <w:right w:val="nil"/>
            </w:tcBorders>
            <w:shd w:val="clear" w:color="auto" w:fill="auto"/>
            <w:vAlign w:val="bottom"/>
          </w:tcPr>
          <w:p w14:paraId="10214DC7"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14:paraId="68B18788"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14:paraId="7DA96E1B"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6" w:type="dxa"/>
            <w:tcBorders>
              <w:top w:val="nil"/>
              <w:left w:val="nil"/>
              <w:bottom w:val="nil"/>
              <w:right w:val="nil"/>
            </w:tcBorders>
            <w:shd w:val="clear" w:color="auto" w:fill="auto"/>
            <w:vAlign w:val="bottom"/>
          </w:tcPr>
          <w:p w14:paraId="67F1EBC1"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14:paraId="46EE4552"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36,124</w:t>
            </w:r>
          </w:p>
        </w:tc>
        <w:tc>
          <w:tcPr>
            <w:tcW w:w="1087" w:type="dxa"/>
            <w:tcBorders>
              <w:top w:val="nil"/>
              <w:left w:val="nil"/>
              <w:bottom w:val="nil"/>
              <w:right w:val="nil"/>
            </w:tcBorders>
            <w:shd w:val="clear" w:color="auto" w:fill="auto"/>
            <w:vAlign w:val="bottom"/>
          </w:tcPr>
          <w:p w14:paraId="3DE63E72"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36,124</w:t>
            </w:r>
          </w:p>
        </w:tc>
      </w:tr>
      <w:tr w:rsidR="005F1566" w:rsidRPr="005F1566" w14:paraId="764F8DC9" w14:textId="77777777" w:rsidTr="005F1566">
        <w:tc>
          <w:tcPr>
            <w:tcW w:w="2834" w:type="dxa"/>
          </w:tcPr>
          <w:p w14:paraId="3B95EBF6"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Investments in associates</w:t>
            </w:r>
          </w:p>
        </w:tc>
        <w:tc>
          <w:tcPr>
            <w:tcW w:w="1086" w:type="dxa"/>
            <w:tcBorders>
              <w:top w:val="nil"/>
              <w:left w:val="nil"/>
              <w:bottom w:val="nil"/>
              <w:right w:val="nil"/>
            </w:tcBorders>
            <w:shd w:val="clear" w:color="auto" w:fill="auto"/>
            <w:vAlign w:val="bottom"/>
          </w:tcPr>
          <w:p w14:paraId="018A1550"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14:paraId="2960427B"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14:paraId="6CE326CC"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6" w:type="dxa"/>
            <w:tcBorders>
              <w:top w:val="nil"/>
              <w:left w:val="nil"/>
              <w:bottom w:val="nil"/>
              <w:right w:val="nil"/>
            </w:tcBorders>
            <w:shd w:val="clear" w:color="auto" w:fill="auto"/>
            <w:vAlign w:val="bottom"/>
          </w:tcPr>
          <w:p w14:paraId="61545BB4"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14:paraId="7C4EE6B9"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14:paraId="79F63B58"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w:t>
            </w:r>
          </w:p>
        </w:tc>
      </w:tr>
      <w:tr w:rsidR="005F1566" w:rsidRPr="005F1566" w14:paraId="60AB2B3A" w14:textId="77777777" w:rsidTr="005F1566">
        <w:tc>
          <w:tcPr>
            <w:tcW w:w="2834" w:type="dxa"/>
          </w:tcPr>
          <w:p w14:paraId="64FF4ABC"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Property, plant and equipment and intangible assets</w:t>
            </w:r>
          </w:p>
        </w:tc>
        <w:tc>
          <w:tcPr>
            <w:tcW w:w="1086" w:type="dxa"/>
            <w:tcBorders>
              <w:top w:val="nil"/>
              <w:left w:val="nil"/>
              <w:bottom w:val="nil"/>
              <w:right w:val="nil"/>
            </w:tcBorders>
            <w:shd w:val="clear" w:color="auto" w:fill="auto"/>
            <w:vAlign w:val="bottom"/>
          </w:tcPr>
          <w:p w14:paraId="30E2EBBC"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14:paraId="0C7A522F"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14:paraId="4BAF821B"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6" w:type="dxa"/>
            <w:tcBorders>
              <w:top w:val="nil"/>
              <w:left w:val="nil"/>
              <w:bottom w:val="nil"/>
              <w:right w:val="nil"/>
            </w:tcBorders>
            <w:shd w:val="clear" w:color="auto" w:fill="auto"/>
            <w:vAlign w:val="bottom"/>
          </w:tcPr>
          <w:p w14:paraId="271F2605"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14:paraId="710249FB"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57,216</w:t>
            </w:r>
          </w:p>
        </w:tc>
        <w:tc>
          <w:tcPr>
            <w:tcW w:w="1087" w:type="dxa"/>
            <w:tcBorders>
              <w:top w:val="nil"/>
              <w:left w:val="nil"/>
              <w:bottom w:val="nil"/>
              <w:right w:val="nil"/>
            </w:tcBorders>
            <w:shd w:val="clear" w:color="auto" w:fill="auto"/>
            <w:vAlign w:val="bottom"/>
          </w:tcPr>
          <w:p w14:paraId="7FDD1CEA"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57,216</w:t>
            </w:r>
          </w:p>
        </w:tc>
      </w:tr>
      <w:tr w:rsidR="005F1566" w:rsidRPr="005F1566" w14:paraId="01C0E834" w14:textId="77777777" w:rsidTr="005F1566">
        <w:tc>
          <w:tcPr>
            <w:tcW w:w="2834" w:type="dxa"/>
          </w:tcPr>
          <w:p w14:paraId="21A63168"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Non-current assets held for sale</w:t>
            </w:r>
          </w:p>
        </w:tc>
        <w:tc>
          <w:tcPr>
            <w:tcW w:w="1086" w:type="dxa"/>
            <w:tcBorders>
              <w:top w:val="nil"/>
              <w:left w:val="nil"/>
              <w:bottom w:val="nil"/>
              <w:right w:val="nil"/>
            </w:tcBorders>
            <w:shd w:val="clear" w:color="auto" w:fill="auto"/>
            <w:vAlign w:val="bottom"/>
          </w:tcPr>
          <w:p w14:paraId="7FC21461"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14:paraId="5394D6E1"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14:paraId="10046981"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27</w:t>
            </w:r>
          </w:p>
        </w:tc>
        <w:tc>
          <w:tcPr>
            <w:tcW w:w="1086" w:type="dxa"/>
            <w:tcBorders>
              <w:top w:val="nil"/>
              <w:left w:val="nil"/>
              <w:bottom w:val="nil"/>
              <w:right w:val="nil"/>
            </w:tcBorders>
            <w:shd w:val="clear" w:color="auto" w:fill="auto"/>
            <w:vAlign w:val="bottom"/>
          </w:tcPr>
          <w:p w14:paraId="145045B2"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11,450</w:t>
            </w:r>
          </w:p>
        </w:tc>
        <w:tc>
          <w:tcPr>
            <w:tcW w:w="1087" w:type="dxa"/>
            <w:tcBorders>
              <w:top w:val="nil"/>
              <w:left w:val="nil"/>
              <w:bottom w:val="nil"/>
              <w:right w:val="nil"/>
            </w:tcBorders>
            <w:shd w:val="clear" w:color="auto" w:fill="auto"/>
            <w:vAlign w:val="bottom"/>
          </w:tcPr>
          <w:p w14:paraId="668E6A3F"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5,753</w:t>
            </w:r>
          </w:p>
        </w:tc>
        <w:tc>
          <w:tcPr>
            <w:tcW w:w="1087" w:type="dxa"/>
            <w:tcBorders>
              <w:top w:val="nil"/>
              <w:left w:val="nil"/>
              <w:bottom w:val="nil"/>
              <w:right w:val="nil"/>
            </w:tcBorders>
            <w:shd w:val="clear" w:color="auto" w:fill="auto"/>
            <w:vAlign w:val="bottom"/>
          </w:tcPr>
          <w:p w14:paraId="008ECFA7"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17,230</w:t>
            </w:r>
          </w:p>
        </w:tc>
      </w:tr>
      <w:tr w:rsidR="005F1566" w:rsidRPr="005F1566" w14:paraId="1A7B9F55" w14:textId="77777777" w:rsidTr="005F1566">
        <w:tc>
          <w:tcPr>
            <w:tcW w:w="2834" w:type="dxa"/>
          </w:tcPr>
          <w:p w14:paraId="6098BEA6"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Other assets</w:t>
            </w:r>
          </w:p>
        </w:tc>
        <w:tc>
          <w:tcPr>
            <w:tcW w:w="1086" w:type="dxa"/>
            <w:tcBorders>
              <w:top w:val="nil"/>
              <w:left w:val="nil"/>
              <w:bottom w:val="nil"/>
              <w:right w:val="nil"/>
            </w:tcBorders>
            <w:shd w:val="clear" w:color="auto" w:fill="auto"/>
            <w:vAlign w:val="bottom"/>
          </w:tcPr>
          <w:p w14:paraId="5ED6CEA3"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3,505</w:t>
            </w:r>
          </w:p>
        </w:tc>
        <w:tc>
          <w:tcPr>
            <w:tcW w:w="1087" w:type="dxa"/>
            <w:tcBorders>
              <w:top w:val="nil"/>
              <w:left w:val="nil"/>
              <w:bottom w:val="nil"/>
              <w:right w:val="nil"/>
            </w:tcBorders>
            <w:shd w:val="clear" w:color="auto" w:fill="auto"/>
            <w:vAlign w:val="bottom"/>
          </w:tcPr>
          <w:p w14:paraId="71C23D1F"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326</w:t>
            </w:r>
          </w:p>
        </w:tc>
        <w:tc>
          <w:tcPr>
            <w:tcW w:w="1087" w:type="dxa"/>
            <w:tcBorders>
              <w:top w:val="nil"/>
              <w:left w:val="nil"/>
              <w:bottom w:val="nil"/>
              <w:right w:val="nil"/>
            </w:tcBorders>
            <w:shd w:val="clear" w:color="auto" w:fill="auto"/>
            <w:vAlign w:val="bottom"/>
          </w:tcPr>
          <w:p w14:paraId="43AFBC68"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504</w:t>
            </w:r>
          </w:p>
        </w:tc>
        <w:tc>
          <w:tcPr>
            <w:tcW w:w="1086" w:type="dxa"/>
            <w:tcBorders>
              <w:top w:val="nil"/>
              <w:left w:val="nil"/>
              <w:bottom w:val="nil"/>
              <w:right w:val="nil"/>
            </w:tcBorders>
            <w:shd w:val="clear" w:color="auto" w:fill="auto"/>
            <w:vAlign w:val="bottom"/>
          </w:tcPr>
          <w:p w14:paraId="47DBBC38"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620</w:t>
            </w:r>
          </w:p>
        </w:tc>
        <w:tc>
          <w:tcPr>
            <w:tcW w:w="1087" w:type="dxa"/>
            <w:tcBorders>
              <w:top w:val="nil"/>
              <w:left w:val="nil"/>
              <w:bottom w:val="nil"/>
              <w:right w:val="nil"/>
            </w:tcBorders>
            <w:shd w:val="clear" w:color="auto" w:fill="auto"/>
            <w:vAlign w:val="bottom"/>
          </w:tcPr>
          <w:p w14:paraId="53D09366"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945</w:t>
            </w:r>
          </w:p>
        </w:tc>
        <w:tc>
          <w:tcPr>
            <w:tcW w:w="1087" w:type="dxa"/>
            <w:tcBorders>
              <w:top w:val="nil"/>
              <w:left w:val="nil"/>
              <w:bottom w:val="nil"/>
              <w:right w:val="nil"/>
            </w:tcBorders>
            <w:shd w:val="clear" w:color="auto" w:fill="auto"/>
            <w:vAlign w:val="bottom"/>
          </w:tcPr>
          <w:p w14:paraId="03B38ED8"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5,900</w:t>
            </w:r>
          </w:p>
        </w:tc>
      </w:tr>
      <w:tr w:rsidR="005F1566" w:rsidRPr="005F1566" w14:paraId="2AEA58DF" w14:textId="77777777" w:rsidTr="005F1566">
        <w:tc>
          <w:tcPr>
            <w:tcW w:w="2834" w:type="dxa"/>
          </w:tcPr>
          <w:p w14:paraId="139C2F76"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bCs/>
                <w:sz w:val="18"/>
                <w:szCs w:val="18"/>
              </w:rPr>
            </w:pPr>
            <w:r w:rsidRPr="005F1566">
              <w:rPr>
                <w:rFonts w:asciiTheme="minorHAnsi" w:eastAsia="Times New Roman" w:hAnsiTheme="minorHAnsi" w:cs="Arial"/>
                <w:b/>
                <w:bCs/>
                <w:sz w:val="18"/>
                <w:szCs w:val="18"/>
              </w:rPr>
              <w:t>Total assets (1)</w:t>
            </w:r>
          </w:p>
        </w:tc>
        <w:tc>
          <w:tcPr>
            <w:tcW w:w="1086" w:type="dxa"/>
            <w:tcBorders>
              <w:top w:val="single" w:sz="4" w:space="0" w:color="auto"/>
              <w:left w:val="nil"/>
              <w:bottom w:val="single" w:sz="8" w:space="0" w:color="auto"/>
              <w:right w:val="nil"/>
            </w:tcBorders>
            <w:shd w:val="clear" w:color="auto" w:fill="auto"/>
            <w:vAlign w:val="bottom"/>
          </w:tcPr>
          <w:p w14:paraId="69D58274"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5,931,910</w:t>
            </w:r>
          </w:p>
        </w:tc>
        <w:tc>
          <w:tcPr>
            <w:tcW w:w="1087" w:type="dxa"/>
            <w:tcBorders>
              <w:top w:val="single" w:sz="4" w:space="0" w:color="auto"/>
              <w:left w:val="nil"/>
              <w:bottom w:val="single" w:sz="8" w:space="0" w:color="auto"/>
              <w:right w:val="nil"/>
            </w:tcBorders>
            <w:shd w:val="clear" w:color="auto" w:fill="auto"/>
            <w:vAlign w:val="bottom"/>
          </w:tcPr>
          <w:p w14:paraId="3EFA8C02"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865,843</w:t>
            </w:r>
          </w:p>
        </w:tc>
        <w:tc>
          <w:tcPr>
            <w:tcW w:w="1087" w:type="dxa"/>
            <w:tcBorders>
              <w:top w:val="single" w:sz="4" w:space="0" w:color="auto"/>
              <w:left w:val="nil"/>
              <w:bottom w:val="single" w:sz="8" w:space="0" w:color="auto"/>
              <w:right w:val="nil"/>
            </w:tcBorders>
            <w:shd w:val="clear" w:color="auto" w:fill="auto"/>
            <w:vAlign w:val="bottom"/>
          </w:tcPr>
          <w:p w14:paraId="2CDA09D6"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2,724,451</w:t>
            </w:r>
          </w:p>
        </w:tc>
        <w:tc>
          <w:tcPr>
            <w:tcW w:w="1086" w:type="dxa"/>
            <w:tcBorders>
              <w:top w:val="single" w:sz="4" w:space="0" w:color="auto"/>
              <w:left w:val="nil"/>
              <w:bottom w:val="single" w:sz="8" w:space="0" w:color="auto"/>
              <w:right w:val="nil"/>
            </w:tcBorders>
            <w:shd w:val="clear" w:color="auto" w:fill="auto"/>
            <w:vAlign w:val="bottom"/>
          </w:tcPr>
          <w:p w14:paraId="43B819CE"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4,994,504</w:t>
            </w:r>
          </w:p>
        </w:tc>
        <w:tc>
          <w:tcPr>
            <w:tcW w:w="1087" w:type="dxa"/>
            <w:tcBorders>
              <w:top w:val="single" w:sz="4" w:space="0" w:color="auto"/>
              <w:left w:val="nil"/>
              <w:bottom w:val="single" w:sz="8" w:space="0" w:color="auto"/>
              <w:right w:val="nil"/>
            </w:tcBorders>
            <w:shd w:val="clear" w:color="auto" w:fill="auto"/>
            <w:vAlign w:val="bottom"/>
          </w:tcPr>
          <w:p w14:paraId="08C2BD1F"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12,858,208</w:t>
            </w:r>
          </w:p>
        </w:tc>
        <w:tc>
          <w:tcPr>
            <w:tcW w:w="1087" w:type="dxa"/>
            <w:tcBorders>
              <w:top w:val="single" w:sz="4" w:space="0" w:color="auto"/>
              <w:left w:val="nil"/>
              <w:bottom w:val="single" w:sz="8" w:space="0" w:color="auto"/>
              <w:right w:val="nil"/>
            </w:tcBorders>
            <w:shd w:val="clear" w:color="auto" w:fill="auto"/>
            <w:vAlign w:val="bottom"/>
          </w:tcPr>
          <w:p w14:paraId="31DDF41A"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27,374,916</w:t>
            </w:r>
          </w:p>
        </w:tc>
      </w:tr>
      <w:tr w:rsidR="005F1566" w:rsidRPr="005F1566" w14:paraId="60F58D3F" w14:textId="77777777" w:rsidTr="005F1566">
        <w:tc>
          <w:tcPr>
            <w:tcW w:w="2834" w:type="dxa"/>
          </w:tcPr>
          <w:p w14:paraId="7B602B2A" w14:textId="77777777" w:rsidR="005F1566" w:rsidRPr="005F1566" w:rsidRDefault="005F1566" w:rsidP="005F1566">
            <w:pPr>
              <w:tabs>
                <w:tab w:val="right" w:pos="1202"/>
              </w:tabs>
              <w:spacing w:after="0" w:line="140" w:lineRule="exact"/>
              <w:outlineLvl w:val="0"/>
              <w:rPr>
                <w:rFonts w:asciiTheme="minorHAnsi" w:eastAsia="Times New Roman" w:hAnsiTheme="minorHAnsi" w:cs="Arial"/>
                <w:b/>
                <w:bCs/>
                <w:sz w:val="18"/>
                <w:szCs w:val="18"/>
              </w:rPr>
            </w:pPr>
          </w:p>
        </w:tc>
        <w:tc>
          <w:tcPr>
            <w:tcW w:w="1086" w:type="dxa"/>
            <w:tcBorders>
              <w:top w:val="single" w:sz="12" w:space="0" w:color="auto"/>
            </w:tcBorders>
            <w:vAlign w:val="bottom"/>
          </w:tcPr>
          <w:p w14:paraId="3364E764"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7" w:type="dxa"/>
            <w:tcBorders>
              <w:top w:val="single" w:sz="12" w:space="0" w:color="auto"/>
            </w:tcBorders>
            <w:vAlign w:val="bottom"/>
          </w:tcPr>
          <w:p w14:paraId="410DA7FE"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7" w:type="dxa"/>
            <w:tcBorders>
              <w:top w:val="single" w:sz="12" w:space="0" w:color="auto"/>
            </w:tcBorders>
            <w:vAlign w:val="bottom"/>
          </w:tcPr>
          <w:p w14:paraId="43F28BBF"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6" w:type="dxa"/>
            <w:tcBorders>
              <w:top w:val="single" w:sz="12" w:space="0" w:color="auto"/>
            </w:tcBorders>
            <w:vAlign w:val="bottom"/>
          </w:tcPr>
          <w:p w14:paraId="4AE7FB5F"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hr-HR" w:eastAsia="hr-HR"/>
              </w:rPr>
              <w:t> </w:t>
            </w:r>
          </w:p>
        </w:tc>
        <w:tc>
          <w:tcPr>
            <w:tcW w:w="1087" w:type="dxa"/>
            <w:tcBorders>
              <w:top w:val="single" w:sz="12" w:space="0" w:color="auto"/>
            </w:tcBorders>
            <w:vAlign w:val="bottom"/>
          </w:tcPr>
          <w:p w14:paraId="40A35550"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hr-HR" w:eastAsia="hr-HR"/>
              </w:rPr>
              <w:t> </w:t>
            </w:r>
          </w:p>
        </w:tc>
        <w:tc>
          <w:tcPr>
            <w:tcW w:w="1087" w:type="dxa"/>
            <w:tcBorders>
              <w:top w:val="single" w:sz="12" w:space="0" w:color="auto"/>
            </w:tcBorders>
            <w:vAlign w:val="bottom"/>
          </w:tcPr>
          <w:p w14:paraId="550CA3D2"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r>
      <w:tr w:rsidR="005F1566" w:rsidRPr="005F1566" w14:paraId="7B98390E" w14:textId="77777777" w:rsidTr="005F1566">
        <w:tc>
          <w:tcPr>
            <w:tcW w:w="2834" w:type="dxa"/>
          </w:tcPr>
          <w:p w14:paraId="4738A18C"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bCs/>
                <w:sz w:val="18"/>
                <w:szCs w:val="18"/>
              </w:rPr>
            </w:pPr>
            <w:r w:rsidRPr="005F1566">
              <w:rPr>
                <w:rFonts w:asciiTheme="minorHAnsi" w:eastAsia="Times New Roman" w:hAnsiTheme="minorHAnsi" w:cs="Arial"/>
                <w:b/>
                <w:bCs/>
                <w:sz w:val="18"/>
                <w:szCs w:val="18"/>
              </w:rPr>
              <w:t>Liabilities</w:t>
            </w:r>
          </w:p>
        </w:tc>
        <w:tc>
          <w:tcPr>
            <w:tcW w:w="1086" w:type="dxa"/>
            <w:vAlign w:val="bottom"/>
          </w:tcPr>
          <w:p w14:paraId="629A54C5"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7" w:type="dxa"/>
            <w:vAlign w:val="bottom"/>
          </w:tcPr>
          <w:p w14:paraId="55B2EC65"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7" w:type="dxa"/>
            <w:vAlign w:val="bottom"/>
          </w:tcPr>
          <w:p w14:paraId="4C23CEEF"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6" w:type="dxa"/>
            <w:vAlign w:val="bottom"/>
          </w:tcPr>
          <w:p w14:paraId="14C6846A"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7" w:type="dxa"/>
            <w:vAlign w:val="bottom"/>
          </w:tcPr>
          <w:p w14:paraId="1ED284F7"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7" w:type="dxa"/>
            <w:vAlign w:val="bottom"/>
          </w:tcPr>
          <w:p w14:paraId="0D43C2E3"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r>
      <w:tr w:rsidR="005F1566" w:rsidRPr="005F1566" w14:paraId="00C95FB9" w14:textId="77777777" w:rsidTr="005F1566">
        <w:tc>
          <w:tcPr>
            <w:tcW w:w="2834" w:type="dxa"/>
          </w:tcPr>
          <w:p w14:paraId="19D1CFF0" w14:textId="77777777" w:rsidR="005F1566" w:rsidRPr="005F1566" w:rsidRDefault="005F1566" w:rsidP="005F1566">
            <w:pPr>
              <w:spacing w:after="0" w:line="240" w:lineRule="exact"/>
              <w:rPr>
                <w:rFonts w:asciiTheme="minorHAnsi" w:eastAsia="Times New Roman" w:hAnsiTheme="minorHAnsi" w:cs="Arial"/>
                <w:sz w:val="18"/>
                <w:szCs w:val="18"/>
              </w:rPr>
            </w:pPr>
            <w:r w:rsidRPr="005F1566">
              <w:rPr>
                <w:rFonts w:asciiTheme="minorHAnsi" w:eastAsia="Times New Roman" w:hAnsiTheme="minorHAnsi" w:cs="Arial"/>
                <w:sz w:val="18"/>
                <w:szCs w:val="18"/>
              </w:rPr>
              <w:t>Deposits</w:t>
            </w:r>
          </w:p>
        </w:tc>
        <w:tc>
          <w:tcPr>
            <w:tcW w:w="1086" w:type="dxa"/>
            <w:tcBorders>
              <w:top w:val="nil"/>
              <w:left w:val="nil"/>
              <w:bottom w:val="nil"/>
              <w:right w:val="nil"/>
            </w:tcBorders>
            <w:shd w:val="clear" w:color="auto" w:fill="auto"/>
            <w:vAlign w:val="bottom"/>
          </w:tcPr>
          <w:p w14:paraId="2122FBC9"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75,581</w:t>
            </w:r>
          </w:p>
        </w:tc>
        <w:tc>
          <w:tcPr>
            <w:tcW w:w="1087" w:type="dxa"/>
            <w:tcBorders>
              <w:top w:val="nil"/>
              <w:left w:val="nil"/>
              <w:bottom w:val="nil"/>
              <w:right w:val="nil"/>
            </w:tcBorders>
            <w:shd w:val="clear" w:color="auto" w:fill="auto"/>
            <w:vAlign w:val="bottom"/>
          </w:tcPr>
          <w:p w14:paraId="56222071"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14:paraId="76436165"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12,687</w:t>
            </w:r>
          </w:p>
        </w:tc>
        <w:tc>
          <w:tcPr>
            <w:tcW w:w="1086" w:type="dxa"/>
            <w:tcBorders>
              <w:top w:val="nil"/>
              <w:left w:val="nil"/>
              <w:bottom w:val="nil"/>
              <w:right w:val="nil"/>
            </w:tcBorders>
            <w:shd w:val="clear" w:color="auto" w:fill="auto"/>
            <w:vAlign w:val="bottom"/>
          </w:tcPr>
          <w:p w14:paraId="11FC5170"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46,407</w:t>
            </w:r>
          </w:p>
        </w:tc>
        <w:tc>
          <w:tcPr>
            <w:tcW w:w="1087" w:type="dxa"/>
            <w:tcBorders>
              <w:top w:val="nil"/>
              <w:left w:val="nil"/>
              <w:bottom w:val="nil"/>
              <w:right w:val="nil"/>
            </w:tcBorders>
            <w:shd w:val="clear" w:color="auto" w:fill="auto"/>
            <w:vAlign w:val="bottom"/>
          </w:tcPr>
          <w:p w14:paraId="17CCDEFA"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8,169</w:t>
            </w:r>
          </w:p>
        </w:tc>
        <w:tc>
          <w:tcPr>
            <w:tcW w:w="1087" w:type="dxa"/>
            <w:tcBorders>
              <w:top w:val="nil"/>
              <w:left w:val="nil"/>
              <w:bottom w:val="nil"/>
              <w:right w:val="nil"/>
            </w:tcBorders>
            <w:shd w:val="clear" w:color="auto" w:fill="auto"/>
            <w:vAlign w:val="bottom"/>
          </w:tcPr>
          <w:p w14:paraId="2992D385"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142,844</w:t>
            </w:r>
          </w:p>
        </w:tc>
      </w:tr>
      <w:tr w:rsidR="005F1566" w:rsidRPr="005F1566" w14:paraId="09C87EFE" w14:textId="77777777" w:rsidTr="005F1566">
        <w:tc>
          <w:tcPr>
            <w:tcW w:w="2834" w:type="dxa"/>
          </w:tcPr>
          <w:p w14:paraId="4869FDD8" w14:textId="77777777" w:rsidR="005F1566" w:rsidRPr="005F1566" w:rsidRDefault="005F1566" w:rsidP="005F1566">
            <w:pPr>
              <w:spacing w:after="0" w:line="240" w:lineRule="exact"/>
              <w:rPr>
                <w:rFonts w:asciiTheme="minorHAnsi" w:eastAsia="Times New Roman" w:hAnsiTheme="minorHAnsi" w:cs="Arial"/>
                <w:sz w:val="18"/>
                <w:szCs w:val="18"/>
              </w:rPr>
            </w:pPr>
            <w:r w:rsidRPr="005F1566">
              <w:rPr>
                <w:rFonts w:asciiTheme="minorHAnsi" w:eastAsia="Times New Roman" w:hAnsiTheme="minorHAnsi" w:cs="Arial"/>
                <w:sz w:val="18"/>
                <w:szCs w:val="18"/>
              </w:rPr>
              <w:t>Borrowings</w:t>
            </w:r>
          </w:p>
        </w:tc>
        <w:tc>
          <w:tcPr>
            <w:tcW w:w="1086" w:type="dxa"/>
            <w:tcBorders>
              <w:top w:val="nil"/>
              <w:left w:val="nil"/>
              <w:bottom w:val="nil"/>
              <w:right w:val="nil"/>
            </w:tcBorders>
            <w:shd w:val="clear" w:color="auto" w:fill="auto"/>
            <w:vAlign w:val="bottom"/>
          </w:tcPr>
          <w:p w14:paraId="253C25CE"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355,456</w:t>
            </w:r>
          </w:p>
        </w:tc>
        <w:tc>
          <w:tcPr>
            <w:tcW w:w="1087" w:type="dxa"/>
            <w:tcBorders>
              <w:top w:val="nil"/>
              <w:left w:val="nil"/>
              <w:bottom w:val="nil"/>
              <w:right w:val="nil"/>
            </w:tcBorders>
            <w:shd w:val="clear" w:color="auto" w:fill="auto"/>
            <w:vAlign w:val="bottom"/>
          </w:tcPr>
          <w:p w14:paraId="0F832914"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237,339</w:t>
            </w:r>
          </w:p>
        </w:tc>
        <w:tc>
          <w:tcPr>
            <w:tcW w:w="1087" w:type="dxa"/>
            <w:tcBorders>
              <w:top w:val="nil"/>
              <w:left w:val="nil"/>
              <w:bottom w:val="nil"/>
              <w:right w:val="nil"/>
            </w:tcBorders>
            <w:shd w:val="clear" w:color="auto" w:fill="auto"/>
            <w:vAlign w:val="bottom"/>
          </w:tcPr>
          <w:p w14:paraId="35CBA48E"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1,017,892</w:t>
            </w:r>
          </w:p>
        </w:tc>
        <w:tc>
          <w:tcPr>
            <w:tcW w:w="1086" w:type="dxa"/>
            <w:tcBorders>
              <w:top w:val="nil"/>
              <w:left w:val="nil"/>
              <w:bottom w:val="nil"/>
              <w:right w:val="nil"/>
            </w:tcBorders>
            <w:shd w:val="clear" w:color="auto" w:fill="auto"/>
            <w:vAlign w:val="bottom"/>
          </w:tcPr>
          <w:p w14:paraId="6074AF94"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3,060,113</w:t>
            </w:r>
          </w:p>
        </w:tc>
        <w:tc>
          <w:tcPr>
            <w:tcW w:w="1087" w:type="dxa"/>
            <w:tcBorders>
              <w:top w:val="nil"/>
              <w:left w:val="nil"/>
              <w:bottom w:val="nil"/>
              <w:right w:val="nil"/>
            </w:tcBorders>
            <w:shd w:val="clear" w:color="auto" w:fill="auto"/>
            <w:vAlign w:val="bottom"/>
          </w:tcPr>
          <w:p w14:paraId="7780B25B"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8,720,949</w:t>
            </w:r>
          </w:p>
        </w:tc>
        <w:tc>
          <w:tcPr>
            <w:tcW w:w="1087" w:type="dxa"/>
            <w:tcBorders>
              <w:top w:val="nil"/>
              <w:left w:val="nil"/>
              <w:bottom w:val="nil"/>
              <w:right w:val="nil"/>
            </w:tcBorders>
            <w:shd w:val="clear" w:color="auto" w:fill="auto"/>
            <w:vAlign w:val="bottom"/>
          </w:tcPr>
          <w:p w14:paraId="1F4734FD"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13,391,749</w:t>
            </w:r>
          </w:p>
        </w:tc>
      </w:tr>
      <w:tr w:rsidR="005F1566" w:rsidRPr="005F1566" w14:paraId="7784350F" w14:textId="77777777" w:rsidTr="005F1566">
        <w:tc>
          <w:tcPr>
            <w:tcW w:w="2834" w:type="dxa"/>
          </w:tcPr>
          <w:p w14:paraId="6BBC88C6" w14:textId="77777777" w:rsidR="005F1566" w:rsidRPr="005F1566" w:rsidRDefault="005F1566" w:rsidP="005F1566">
            <w:pPr>
              <w:spacing w:after="0" w:line="240" w:lineRule="exact"/>
              <w:rPr>
                <w:rFonts w:asciiTheme="minorHAnsi" w:eastAsia="Times New Roman" w:hAnsiTheme="minorHAnsi" w:cs="Arial"/>
                <w:sz w:val="18"/>
                <w:szCs w:val="18"/>
              </w:rPr>
            </w:pPr>
            <w:r w:rsidRPr="005F1566">
              <w:rPr>
                <w:rFonts w:asciiTheme="minorHAnsi" w:eastAsia="Times New Roman" w:hAnsiTheme="minorHAnsi" w:cs="Arial"/>
                <w:sz w:val="18"/>
                <w:szCs w:val="18"/>
              </w:rPr>
              <w:t>Bonds payable</w:t>
            </w:r>
          </w:p>
        </w:tc>
        <w:tc>
          <w:tcPr>
            <w:tcW w:w="1086" w:type="dxa"/>
            <w:tcBorders>
              <w:top w:val="nil"/>
              <w:left w:val="nil"/>
              <w:bottom w:val="nil"/>
              <w:right w:val="nil"/>
            </w:tcBorders>
            <w:shd w:val="clear" w:color="auto" w:fill="auto"/>
            <w:vAlign w:val="center"/>
          </w:tcPr>
          <w:p w14:paraId="3AD7FE1B"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center"/>
          </w:tcPr>
          <w:p w14:paraId="0B3C1420"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95,932</w:t>
            </w:r>
          </w:p>
        </w:tc>
        <w:tc>
          <w:tcPr>
            <w:tcW w:w="1087" w:type="dxa"/>
            <w:tcBorders>
              <w:top w:val="nil"/>
              <w:left w:val="nil"/>
              <w:bottom w:val="nil"/>
              <w:right w:val="nil"/>
            </w:tcBorders>
            <w:shd w:val="clear" w:color="auto" w:fill="auto"/>
            <w:vAlign w:val="center"/>
          </w:tcPr>
          <w:p w14:paraId="1ADCB996"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1,888,837</w:t>
            </w:r>
          </w:p>
        </w:tc>
        <w:tc>
          <w:tcPr>
            <w:tcW w:w="1086" w:type="dxa"/>
            <w:tcBorders>
              <w:top w:val="nil"/>
              <w:left w:val="nil"/>
              <w:bottom w:val="nil"/>
              <w:right w:val="nil"/>
            </w:tcBorders>
            <w:shd w:val="clear" w:color="auto" w:fill="auto"/>
            <w:vAlign w:val="center"/>
          </w:tcPr>
          <w:p w14:paraId="20C87E8B"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center"/>
          </w:tcPr>
          <w:p w14:paraId="46AB662C" w14:textId="77777777" w:rsidR="005F1566" w:rsidRPr="005F1566" w:rsidRDefault="005F1566" w:rsidP="005F1566">
            <w:pPr>
              <w:spacing w:after="0" w:line="240" w:lineRule="exact"/>
              <w:jc w:val="right"/>
              <w:rPr>
                <w:rFonts w:asciiTheme="minorHAnsi" w:eastAsia="Times New Roman" w:hAnsiTheme="minorHAnsi" w:cs="Arial"/>
                <w:spacing w:val="-2"/>
                <w:sz w:val="18"/>
                <w:szCs w:val="18"/>
                <w:lang w:val="en-US"/>
              </w:rPr>
            </w:pPr>
            <w:r w:rsidRPr="005F1566">
              <w:rPr>
                <w:rFonts w:eastAsia="Times New Roman"/>
                <w:color w:val="000000"/>
                <w:sz w:val="18"/>
                <w:szCs w:val="18"/>
                <w:lang w:val="en-US"/>
              </w:rPr>
              <w:t>1,120,800</w:t>
            </w:r>
          </w:p>
        </w:tc>
        <w:tc>
          <w:tcPr>
            <w:tcW w:w="1087" w:type="dxa"/>
            <w:tcBorders>
              <w:top w:val="nil"/>
              <w:left w:val="nil"/>
              <w:bottom w:val="nil"/>
              <w:right w:val="nil"/>
            </w:tcBorders>
            <w:shd w:val="clear" w:color="auto" w:fill="auto"/>
            <w:vAlign w:val="center"/>
          </w:tcPr>
          <w:p w14:paraId="387B915B" w14:textId="77777777" w:rsidR="005F1566" w:rsidRPr="005F1566" w:rsidRDefault="005F1566" w:rsidP="005F1566">
            <w:pPr>
              <w:spacing w:after="0" w:line="240" w:lineRule="exact"/>
              <w:jc w:val="right"/>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3,105,569</w:t>
            </w:r>
          </w:p>
        </w:tc>
      </w:tr>
      <w:tr w:rsidR="005F1566" w:rsidRPr="005F1566" w14:paraId="2F9FAE41" w14:textId="77777777" w:rsidTr="005F1566">
        <w:tc>
          <w:tcPr>
            <w:tcW w:w="2834" w:type="dxa"/>
          </w:tcPr>
          <w:p w14:paraId="25F47AF5" w14:textId="77777777" w:rsidR="005F1566" w:rsidRPr="005F1566" w:rsidRDefault="005F1566" w:rsidP="005F1566">
            <w:pPr>
              <w:spacing w:after="0" w:line="240" w:lineRule="exact"/>
              <w:rPr>
                <w:rFonts w:asciiTheme="minorHAnsi" w:eastAsia="Times New Roman" w:hAnsiTheme="minorHAnsi" w:cs="Arial"/>
                <w:sz w:val="18"/>
                <w:szCs w:val="18"/>
              </w:rPr>
            </w:pPr>
            <w:r w:rsidRPr="005F1566">
              <w:rPr>
                <w:rFonts w:asciiTheme="minorHAnsi" w:eastAsia="Times New Roman" w:hAnsiTheme="minorHAnsi" w:cs="Arial"/>
                <w:sz w:val="18"/>
                <w:szCs w:val="18"/>
              </w:rPr>
              <w:t>Other liabilities</w:t>
            </w:r>
          </w:p>
        </w:tc>
        <w:tc>
          <w:tcPr>
            <w:tcW w:w="1086" w:type="dxa"/>
            <w:tcBorders>
              <w:top w:val="nil"/>
              <w:left w:val="nil"/>
              <w:bottom w:val="nil"/>
              <w:right w:val="nil"/>
            </w:tcBorders>
            <w:shd w:val="clear" w:color="auto" w:fill="auto"/>
            <w:vAlign w:val="bottom"/>
          </w:tcPr>
          <w:p w14:paraId="2F1DE23F"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150,555</w:t>
            </w:r>
          </w:p>
        </w:tc>
        <w:tc>
          <w:tcPr>
            <w:tcW w:w="1087" w:type="dxa"/>
            <w:tcBorders>
              <w:top w:val="nil"/>
              <w:left w:val="nil"/>
              <w:bottom w:val="nil"/>
              <w:right w:val="nil"/>
            </w:tcBorders>
            <w:shd w:val="clear" w:color="auto" w:fill="auto"/>
            <w:vAlign w:val="bottom"/>
          </w:tcPr>
          <w:p w14:paraId="287D4B2D"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28,649</w:t>
            </w:r>
          </w:p>
        </w:tc>
        <w:tc>
          <w:tcPr>
            <w:tcW w:w="1087" w:type="dxa"/>
            <w:tcBorders>
              <w:top w:val="nil"/>
              <w:left w:val="nil"/>
              <w:bottom w:val="nil"/>
              <w:right w:val="nil"/>
            </w:tcBorders>
            <w:shd w:val="clear" w:color="auto" w:fill="auto"/>
            <w:vAlign w:val="bottom"/>
          </w:tcPr>
          <w:p w14:paraId="69B9D157"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100,528</w:t>
            </w:r>
          </w:p>
        </w:tc>
        <w:tc>
          <w:tcPr>
            <w:tcW w:w="1086" w:type="dxa"/>
            <w:tcBorders>
              <w:top w:val="nil"/>
              <w:left w:val="nil"/>
              <w:bottom w:val="nil"/>
              <w:right w:val="nil"/>
            </w:tcBorders>
            <w:shd w:val="clear" w:color="auto" w:fill="auto"/>
            <w:vAlign w:val="bottom"/>
          </w:tcPr>
          <w:p w14:paraId="18A0E833"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188,186</w:t>
            </w:r>
          </w:p>
        </w:tc>
        <w:tc>
          <w:tcPr>
            <w:tcW w:w="1087" w:type="dxa"/>
            <w:tcBorders>
              <w:top w:val="nil"/>
              <w:left w:val="nil"/>
              <w:bottom w:val="nil"/>
              <w:right w:val="nil"/>
            </w:tcBorders>
            <w:shd w:val="clear" w:color="auto" w:fill="auto"/>
            <w:vAlign w:val="bottom"/>
          </w:tcPr>
          <w:p w14:paraId="6FF8AE16"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228,856</w:t>
            </w:r>
          </w:p>
        </w:tc>
        <w:tc>
          <w:tcPr>
            <w:tcW w:w="1087" w:type="dxa"/>
            <w:tcBorders>
              <w:top w:val="nil"/>
              <w:left w:val="nil"/>
              <w:bottom w:val="nil"/>
              <w:right w:val="nil"/>
            </w:tcBorders>
            <w:shd w:val="clear" w:color="auto" w:fill="auto"/>
            <w:vAlign w:val="bottom"/>
          </w:tcPr>
          <w:p w14:paraId="323B7FB9"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696,774</w:t>
            </w:r>
          </w:p>
        </w:tc>
      </w:tr>
      <w:tr w:rsidR="005F1566" w:rsidRPr="005F1566" w14:paraId="5811DAC7" w14:textId="77777777" w:rsidTr="005F1566">
        <w:tc>
          <w:tcPr>
            <w:tcW w:w="2834" w:type="dxa"/>
          </w:tcPr>
          <w:p w14:paraId="1BECC97C"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bCs/>
                <w:sz w:val="18"/>
                <w:szCs w:val="18"/>
              </w:rPr>
            </w:pPr>
            <w:r w:rsidRPr="005F1566">
              <w:rPr>
                <w:rFonts w:asciiTheme="minorHAnsi" w:eastAsia="Times New Roman" w:hAnsiTheme="minorHAnsi" w:cs="Arial"/>
                <w:b/>
                <w:bCs/>
                <w:sz w:val="18"/>
                <w:szCs w:val="18"/>
              </w:rPr>
              <w:t>Total liabilities</w:t>
            </w:r>
          </w:p>
        </w:tc>
        <w:tc>
          <w:tcPr>
            <w:tcW w:w="1086" w:type="dxa"/>
            <w:tcBorders>
              <w:top w:val="single" w:sz="4" w:space="0" w:color="auto"/>
              <w:left w:val="nil"/>
              <w:bottom w:val="single" w:sz="8" w:space="0" w:color="auto"/>
              <w:right w:val="nil"/>
            </w:tcBorders>
            <w:shd w:val="clear" w:color="auto" w:fill="auto"/>
            <w:vAlign w:val="bottom"/>
          </w:tcPr>
          <w:p w14:paraId="65FA53AA"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581,592</w:t>
            </w:r>
          </w:p>
        </w:tc>
        <w:tc>
          <w:tcPr>
            <w:tcW w:w="1087" w:type="dxa"/>
            <w:tcBorders>
              <w:top w:val="single" w:sz="4" w:space="0" w:color="auto"/>
              <w:left w:val="nil"/>
              <w:bottom w:val="single" w:sz="8" w:space="0" w:color="auto"/>
              <w:right w:val="nil"/>
            </w:tcBorders>
            <w:shd w:val="clear" w:color="auto" w:fill="auto"/>
            <w:vAlign w:val="bottom"/>
          </w:tcPr>
          <w:p w14:paraId="4F6894BF" w14:textId="77777777" w:rsidR="005F1566" w:rsidRPr="005F1566" w:rsidRDefault="005F1566" w:rsidP="005F1566">
            <w:pPr>
              <w:tabs>
                <w:tab w:val="left" w:pos="-720"/>
              </w:tabs>
              <w:suppressAutoHyphens/>
              <w:spacing w:after="0" w:line="240" w:lineRule="exact"/>
              <w:jc w:val="right"/>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361,920</w:t>
            </w:r>
          </w:p>
        </w:tc>
        <w:tc>
          <w:tcPr>
            <w:tcW w:w="1087" w:type="dxa"/>
            <w:tcBorders>
              <w:top w:val="single" w:sz="4" w:space="0" w:color="auto"/>
              <w:left w:val="nil"/>
              <w:bottom w:val="single" w:sz="8" w:space="0" w:color="auto"/>
              <w:right w:val="nil"/>
            </w:tcBorders>
            <w:shd w:val="clear" w:color="auto" w:fill="auto"/>
            <w:vAlign w:val="bottom"/>
          </w:tcPr>
          <w:p w14:paraId="7A1F441E" w14:textId="77777777" w:rsidR="005F1566" w:rsidRPr="005F1566" w:rsidRDefault="005F1566" w:rsidP="005F1566">
            <w:pPr>
              <w:tabs>
                <w:tab w:val="left" w:pos="-720"/>
              </w:tabs>
              <w:suppressAutoHyphens/>
              <w:spacing w:after="0" w:line="240" w:lineRule="exact"/>
              <w:jc w:val="right"/>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3,019,944</w:t>
            </w:r>
          </w:p>
        </w:tc>
        <w:tc>
          <w:tcPr>
            <w:tcW w:w="1086" w:type="dxa"/>
            <w:tcBorders>
              <w:top w:val="single" w:sz="4" w:space="0" w:color="auto"/>
              <w:left w:val="nil"/>
              <w:bottom w:val="single" w:sz="8" w:space="0" w:color="auto"/>
              <w:right w:val="nil"/>
            </w:tcBorders>
            <w:shd w:val="clear" w:color="auto" w:fill="auto"/>
            <w:vAlign w:val="bottom"/>
          </w:tcPr>
          <w:p w14:paraId="1C851FD9"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3,294,706</w:t>
            </w:r>
          </w:p>
        </w:tc>
        <w:tc>
          <w:tcPr>
            <w:tcW w:w="1087" w:type="dxa"/>
            <w:tcBorders>
              <w:top w:val="single" w:sz="4" w:space="0" w:color="auto"/>
              <w:left w:val="nil"/>
              <w:bottom w:val="single" w:sz="8" w:space="0" w:color="auto"/>
              <w:right w:val="nil"/>
            </w:tcBorders>
            <w:shd w:val="clear" w:color="auto" w:fill="auto"/>
            <w:vAlign w:val="bottom"/>
          </w:tcPr>
          <w:p w14:paraId="3A237F81"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10,078,774</w:t>
            </w:r>
          </w:p>
        </w:tc>
        <w:tc>
          <w:tcPr>
            <w:tcW w:w="1087" w:type="dxa"/>
            <w:tcBorders>
              <w:top w:val="single" w:sz="4" w:space="0" w:color="auto"/>
              <w:left w:val="nil"/>
              <w:bottom w:val="single" w:sz="8" w:space="0" w:color="auto"/>
              <w:right w:val="nil"/>
            </w:tcBorders>
            <w:shd w:val="clear" w:color="auto" w:fill="auto"/>
            <w:vAlign w:val="bottom"/>
          </w:tcPr>
          <w:p w14:paraId="7EDF5020"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17,336,936</w:t>
            </w:r>
          </w:p>
        </w:tc>
      </w:tr>
      <w:tr w:rsidR="005F1566" w:rsidRPr="005F1566" w14:paraId="71700094" w14:textId="77777777" w:rsidTr="005F1566">
        <w:trPr>
          <w:trHeight w:val="36"/>
        </w:trPr>
        <w:tc>
          <w:tcPr>
            <w:tcW w:w="2834" w:type="dxa"/>
          </w:tcPr>
          <w:p w14:paraId="4002E793" w14:textId="77777777" w:rsidR="005F1566" w:rsidRPr="005F1566" w:rsidRDefault="005F1566" w:rsidP="005F1566">
            <w:pPr>
              <w:tabs>
                <w:tab w:val="right" w:pos="1202"/>
              </w:tabs>
              <w:spacing w:after="0" w:line="140" w:lineRule="exact"/>
              <w:outlineLvl w:val="0"/>
              <w:rPr>
                <w:rFonts w:asciiTheme="minorHAnsi" w:eastAsia="Times New Roman" w:hAnsiTheme="minorHAnsi" w:cs="Arial"/>
                <w:b/>
                <w:bCs/>
                <w:sz w:val="18"/>
                <w:szCs w:val="18"/>
              </w:rPr>
            </w:pPr>
          </w:p>
        </w:tc>
        <w:tc>
          <w:tcPr>
            <w:tcW w:w="1086" w:type="dxa"/>
            <w:tcBorders>
              <w:top w:val="single" w:sz="12" w:space="0" w:color="auto"/>
            </w:tcBorders>
            <w:vAlign w:val="bottom"/>
          </w:tcPr>
          <w:p w14:paraId="4A7ABFBA"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7" w:type="dxa"/>
            <w:tcBorders>
              <w:top w:val="single" w:sz="12" w:space="0" w:color="auto"/>
            </w:tcBorders>
            <w:vAlign w:val="bottom"/>
          </w:tcPr>
          <w:p w14:paraId="621A2DCA"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7" w:type="dxa"/>
            <w:tcBorders>
              <w:top w:val="single" w:sz="12" w:space="0" w:color="auto"/>
            </w:tcBorders>
            <w:vAlign w:val="bottom"/>
          </w:tcPr>
          <w:p w14:paraId="215B9BD1"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6" w:type="dxa"/>
            <w:tcBorders>
              <w:top w:val="single" w:sz="12" w:space="0" w:color="auto"/>
            </w:tcBorders>
            <w:vAlign w:val="bottom"/>
          </w:tcPr>
          <w:p w14:paraId="527556F3"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hr-HR" w:eastAsia="hr-HR"/>
              </w:rPr>
              <w:t> </w:t>
            </w:r>
          </w:p>
        </w:tc>
        <w:tc>
          <w:tcPr>
            <w:tcW w:w="1087" w:type="dxa"/>
            <w:tcBorders>
              <w:top w:val="single" w:sz="12" w:space="0" w:color="auto"/>
            </w:tcBorders>
            <w:vAlign w:val="bottom"/>
          </w:tcPr>
          <w:p w14:paraId="7A9580B1"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hr-HR" w:eastAsia="hr-HR"/>
              </w:rPr>
              <w:t> </w:t>
            </w:r>
          </w:p>
        </w:tc>
        <w:tc>
          <w:tcPr>
            <w:tcW w:w="1087" w:type="dxa"/>
            <w:tcBorders>
              <w:top w:val="single" w:sz="12" w:space="0" w:color="auto"/>
            </w:tcBorders>
            <w:vAlign w:val="bottom"/>
          </w:tcPr>
          <w:p w14:paraId="5476ED07"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r>
      <w:tr w:rsidR="005F1566" w:rsidRPr="005F1566" w14:paraId="37060868" w14:textId="77777777" w:rsidTr="005F1566">
        <w:trPr>
          <w:trHeight w:val="138"/>
        </w:trPr>
        <w:tc>
          <w:tcPr>
            <w:tcW w:w="2834" w:type="dxa"/>
          </w:tcPr>
          <w:p w14:paraId="70D32234"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sz w:val="18"/>
                <w:szCs w:val="18"/>
              </w:rPr>
            </w:pPr>
            <w:r w:rsidRPr="005F1566">
              <w:rPr>
                <w:rFonts w:asciiTheme="minorHAnsi" w:eastAsia="Times New Roman" w:hAnsiTheme="minorHAnsi" w:cs="Arial"/>
                <w:b/>
                <w:bCs/>
                <w:sz w:val="18"/>
                <w:szCs w:val="18"/>
              </w:rPr>
              <w:t>Equity</w:t>
            </w:r>
          </w:p>
        </w:tc>
        <w:tc>
          <w:tcPr>
            <w:tcW w:w="1086" w:type="dxa"/>
            <w:vAlign w:val="bottom"/>
          </w:tcPr>
          <w:p w14:paraId="6ED40938"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7" w:type="dxa"/>
            <w:vAlign w:val="bottom"/>
          </w:tcPr>
          <w:p w14:paraId="57728B93"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7" w:type="dxa"/>
            <w:vAlign w:val="bottom"/>
          </w:tcPr>
          <w:p w14:paraId="60616556"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6" w:type="dxa"/>
            <w:vAlign w:val="bottom"/>
          </w:tcPr>
          <w:p w14:paraId="13797367"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7" w:type="dxa"/>
            <w:vAlign w:val="bottom"/>
          </w:tcPr>
          <w:p w14:paraId="354D041F"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7" w:type="dxa"/>
            <w:vAlign w:val="bottom"/>
          </w:tcPr>
          <w:p w14:paraId="66A3DA99"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r>
      <w:tr w:rsidR="005F1566" w:rsidRPr="005F1566" w14:paraId="2EC58BD2" w14:textId="77777777" w:rsidTr="005F1566">
        <w:tc>
          <w:tcPr>
            <w:tcW w:w="2834" w:type="dxa"/>
          </w:tcPr>
          <w:p w14:paraId="7D7D5C0A" w14:textId="77777777" w:rsidR="005F1566" w:rsidRPr="005F1566" w:rsidRDefault="005F1566" w:rsidP="005F1566">
            <w:pPr>
              <w:tabs>
                <w:tab w:val="left" w:pos="-720"/>
              </w:tabs>
              <w:suppressAutoHyphens/>
              <w:spacing w:after="0" w:line="240" w:lineRule="exact"/>
              <w:ind w:right="-612"/>
              <w:rPr>
                <w:rFonts w:asciiTheme="minorHAnsi" w:eastAsia="Times New Roman" w:hAnsiTheme="minorHAnsi" w:cs="Arial"/>
                <w:sz w:val="18"/>
                <w:szCs w:val="18"/>
              </w:rPr>
            </w:pPr>
            <w:r w:rsidRPr="005F1566">
              <w:rPr>
                <w:rFonts w:asciiTheme="minorHAnsi" w:eastAsia="Times New Roman" w:hAnsiTheme="minorHAnsi" w:cs="Arial"/>
                <w:sz w:val="18"/>
                <w:szCs w:val="18"/>
              </w:rPr>
              <w:t>Founder’s capital</w:t>
            </w:r>
          </w:p>
        </w:tc>
        <w:tc>
          <w:tcPr>
            <w:tcW w:w="1086" w:type="dxa"/>
            <w:tcBorders>
              <w:top w:val="nil"/>
              <w:left w:val="nil"/>
              <w:bottom w:val="nil"/>
              <w:right w:val="nil"/>
            </w:tcBorders>
            <w:shd w:val="clear" w:color="auto" w:fill="auto"/>
            <w:vAlign w:val="bottom"/>
          </w:tcPr>
          <w:p w14:paraId="4D40D8CE"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7" w:type="dxa"/>
            <w:tcBorders>
              <w:top w:val="nil"/>
              <w:left w:val="nil"/>
              <w:bottom w:val="nil"/>
              <w:right w:val="nil"/>
            </w:tcBorders>
            <w:shd w:val="clear" w:color="auto" w:fill="auto"/>
            <w:vAlign w:val="bottom"/>
          </w:tcPr>
          <w:p w14:paraId="4BCA2356"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7" w:type="dxa"/>
            <w:tcBorders>
              <w:top w:val="nil"/>
              <w:left w:val="nil"/>
              <w:bottom w:val="nil"/>
              <w:right w:val="nil"/>
            </w:tcBorders>
            <w:shd w:val="clear" w:color="auto" w:fill="auto"/>
            <w:vAlign w:val="bottom"/>
          </w:tcPr>
          <w:p w14:paraId="24BA858B"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6" w:type="dxa"/>
            <w:tcBorders>
              <w:top w:val="nil"/>
              <w:left w:val="nil"/>
              <w:bottom w:val="nil"/>
              <w:right w:val="nil"/>
            </w:tcBorders>
            <w:shd w:val="clear" w:color="auto" w:fill="auto"/>
            <w:vAlign w:val="bottom"/>
          </w:tcPr>
          <w:p w14:paraId="22A1DD2C"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7" w:type="dxa"/>
            <w:tcBorders>
              <w:top w:val="nil"/>
              <w:left w:val="nil"/>
              <w:bottom w:val="nil"/>
              <w:right w:val="nil"/>
            </w:tcBorders>
            <w:shd w:val="clear" w:color="auto" w:fill="auto"/>
            <w:vAlign w:val="bottom"/>
          </w:tcPr>
          <w:p w14:paraId="36AE92E3" w14:textId="77777777" w:rsidR="005F1566" w:rsidRPr="005F1566" w:rsidRDefault="005F1566" w:rsidP="005F1566">
            <w:pPr>
              <w:spacing w:after="0" w:line="240" w:lineRule="exact"/>
              <w:jc w:val="right"/>
              <w:rPr>
                <w:rFonts w:asciiTheme="minorHAnsi" w:eastAsia="Times New Roman" w:hAnsiTheme="minorHAnsi" w:cs="Arial"/>
                <w:spacing w:val="-2"/>
                <w:sz w:val="18"/>
                <w:szCs w:val="18"/>
                <w:lang w:val="en-US"/>
              </w:rPr>
            </w:pPr>
            <w:r w:rsidRPr="005F1566">
              <w:rPr>
                <w:rFonts w:eastAsia="Times New Roman"/>
                <w:color w:val="000000"/>
                <w:sz w:val="18"/>
                <w:szCs w:val="18"/>
                <w:lang w:val="en-US"/>
              </w:rPr>
              <w:t>6,959,632</w:t>
            </w:r>
          </w:p>
        </w:tc>
        <w:tc>
          <w:tcPr>
            <w:tcW w:w="1087" w:type="dxa"/>
            <w:tcBorders>
              <w:top w:val="nil"/>
              <w:left w:val="nil"/>
              <w:bottom w:val="nil"/>
              <w:right w:val="nil"/>
            </w:tcBorders>
            <w:shd w:val="clear" w:color="auto" w:fill="auto"/>
            <w:vAlign w:val="bottom"/>
          </w:tcPr>
          <w:p w14:paraId="6245E741" w14:textId="77777777" w:rsidR="005F1566" w:rsidRPr="005F1566" w:rsidRDefault="005F1566" w:rsidP="005F1566">
            <w:pPr>
              <w:spacing w:after="0" w:line="240" w:lineRule="exact"/>
              <w:jc w:val="right"/>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6,959,632</w:t>
            </w:r>
          </w:p>
        </w:tc>
      </w:tr>
      <w:tr w:rsidR="005F1566" w:rsidRPr="005F1566" w14:paraId="4916D3CF" w14:textId="77777777" w:rsidTr="005F1566">
        <w:tc>
          <w:tcPr>
            <w:tcW w:w="2834" w:type="dxa"/>
          </w:tcPr>
          <w:p w14:paraId="6B91BDA5" w14:textId="77777777" w:rsidR="005F1566" w:rsidRPr="005F1566" w:rsidRDefault="005F1566" w:rsidP="005F1566">
            <w:pPr>
              <w:tabs>
                <w:tab w:val="left" w:pos="-720"/>
              </w:tabs>
              <w:suppressAutoHyphens/>
              <w:spacing w:after="0" w:line="240" w:lineRule="exact"/>
              <w:ind w:right="-612"/>
              <w:rPr>
                <w:rFonts w:asciiTheme="minorHAnsi" w:eastAsia="Times New Roman" w:hAnsiTheme="minorHAnsi" w:cs="Arial"/>
                <w:sz w:val="18"/>
                <w:szCs w:val="18"/>
              </w:rPr>
            </w:pPr>
            <w:r w:rsidRPr="005F1566">
              <w:rPr>
                <w:rFonts w:asciiTheme="minorHAnsi" w:eastAsia="Times New Roman" w:hAnsiTheme="minorHAnsi" w:cs="Arial"/>
                <w:sz w:val="18"/>
                <w:szCs w:val="18"/>
              </w:rPr>
              <w:t>Retained earnings and reserves</w:t>
            </w:r>
          </w:p>
        </w:tc>
        <w:tc>
          <w:tcPr>
            <w:tcW w:w="1086" w:type="dxa"/>
            <w:tcBorders>
              <w:top w:val="nil"/>
              <w:left w:val="nil"/>
              <w:bottom w:val="nil"/>
              <w:right w:val="nil"/>
            </w:tcBorders>
            <w:shd w:val="clear" w:color="auto" w:fill="auto"/>
            <w:vAlign w:val="bottom"/>
          </w:tcPr>
          <w:p w14:paraId="51255249"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7" w:type="dxa"/>
            <w:tcBorders>
              <w:top w:val="nil"/>
              <w:left w:val="nil"/>
              <w:bottom w:val="nil"/>
              <w:right w:val="nil"/>
            </w:tcBorders>
            <w:shd w:val="clear" w:color="auto" w:fill="auto"/>
            <w:vAlign w:val="bottom"/>
          </w:tcPr>
          <w:p w14:paraId="1FD2915D"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7" w:type="dxa"/>
            <w:tcBorders>
              <w:top w:val="nil"/>
              <w:left w:val="nil"/>
              <w:bottom w:val="nil"/>
              <w:right w:val="nil"/>
            </w:tcBorders>
            <w:shd w:val="clear" w:color="auto" w:fill="auto"/>
            <w:vAlign w:val="bottom"/>
          </w:tcPr>
          <w:p w14:paraId="6C1F6444"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6" w:type="dxa"/>
            <w:tcBorders>
              <w:top w:val="nil"/>
              <w:left w:val="nil"/>
              <w:bottom w:val="nil"/>
              <w:right w:val="nil"/>
            </w:tcBorders>
            <w:shd w:val="clear" w:color="auto" w:fill="auto"/>
            <w:vAlign w:val="bottom"/>
          </w:tcPr>
          <w:p w14:paraId="0B56697C"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7" w:type="dxa"/>
            <w:tcBorders>
              <w:top w:val="nil"/>
              <w:left w:val="nil"/>
              <w:bottom w:val="nil"/>
              <w:right w:val="nil"/>
            </w:tcBorders>
            <w:shd w:val="clear" w:color="auto" w:fill="auto"/>
            <w:vAlign w:val="bottom"/>
          </w:tcPr>
          <w:p w14:paraId="0D19795D" w14:textId="77777777" w:rsidR="005F1566" w:rsidRPr="005F1566" w:rsidRDefault="005F1566" w:rsidP="005F1566">
            <w:pPr>
              <w:spacing w:after="0" w:line="240" w:lineRule="exact"/>
              <w:jc w:val="right"/>
              <w:rPr>
                <w:rFonts w:asciiTheme="minorHAnsi" w:eastAsia="Times New Roman" w:hAnsiTheme="minorHAnsi" w:cs="Arial"/>
                <w:spacing w:val="-2"/>
                <w:sz w:val="18"/>
                <w:szCs w:val="18"/>
                <w:lang w:val="en-US"/>
              </w:rPr>
            </w:pPr>
            <w:r w:rsidRPr="005F1566">
              <w:rPr>
                <w:rFonts w:eastAsia="Times New Roman"/>
                <w:color w:val="000000"/>
                <w:sz w:val="18"/>
                <w:szCs w:val="18"/>
                <w:lang w:val="en-US"/>
              </w:rPr>
              <w:t>2,682,131</w:t>
            </w:r>
          </w:p>
        </w:tc>
        <w:tc>
          <w:tcPr>
            <w:tcW w:w="1087" w:type="dxa"/>
            <w:tcBorders>
              <w:top w:val="nil"/>
              <w:left w:val="nil"/>
              <w:bottom w:val="nil"/>
              <w:right w:val="nil"/>
            </w:tcBorders>
            <w:shd w:val="clear" w:color="auto" w:fill="auto"/>
            <w:vAlign w:val="bottom"/>
          </w:tcPr>
          <w:p w14:paraId="2551AAEC" w14:textId="77777777" w:rsidR="005F1566" w:rsidRPr="005F1566" w:rsidRDefault="005F1566" w:rsidP="005F1566">
            <w:pPr>
              <w:spacing w:after="0" w:line="240" w:lineRule="exact"/>
              <w:jc w:val="right"/>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2,682,131</w:t>
            </w:r>
          </w:p>
        </w:tc>
      </w:tr>
      <w:tr w:rsidR="005F1566" w:rsidRPr="005F1566" w14:paraId="624857C4" w14:textId="77777777" w:rsidTr="005F1566">
        <w:tc>
          <w:tcPr>
            <w:tcW w:w="2834" w:type="dxa"/>
          </w:tcPr>
          <w:p w14:paraId="0BC88F42" w14:textId="77777777" w:rsidR="005F1566" w:rsidRPr="005F1566" w:rsidRDefault="005F1566" w:rsidP="005F1566">
            <w:pPr>
              <w:tabs>
                <w:tab w:val="left" w:pos="-720"/>
              </w:tabs>
              <w:suppressAutoHyphens/>
              <w:spacing w:after="0" w:line="240" w:lineRule="exact"/>
              <w:ind w:right="-612"/>
              <w:rPr>
                <w:rFonts w:asciiTheme="minorHAnsi" w:eastAsia="Times New Roman" w:hAnsiTheme="minorHAnsi" w:cs="Arial"/>
                <w:sz w:val="18"/>
                <w:szCs w:val="18"/>
              </w:rPr>
            </w:pPr>
            <w:r w:rsidRPr="005F1566">
              <w:rPr>
                <w:rFonts w:asciiTheme="minorHAnsi" w:eastAsia="Times New Roman" w:hAnsiTheme="minorHAnsi" w:cs="Arial"/>
                <w:sz w:val="18"/>
                <w:szCs w:val="18"/>
              </w:rPr>
              <w:t>Other reserves</w:t>
            </w:r>
          </w:p>
        </w:tc>
        <w:tc>
          <w:tcPr>
            <w:tcW w:w="1086" w:type="dxa"/>
            <w:tcBorders>
              <w:top w:val="nil"/>
              <w:left w:val="nil"/>
              <w:right w:val="nil"/>
            </w:tcBorders>
            <w:shd w:val="clear" w:color="auto" w:fill="auto"/>
            <w:vAlign w:val="bottom"/>
          </w:tcPr>
          <w:p w14:paraId="282C8F66"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7" w:type="dxa"/>
            <w:tcBorders>
              <w:top w:val="nil"/>
              <w:left w:val="nil"/>
              <w:right w:val="nil"/>
            </w:tcBorders>
            <w:shd w:val="clear" w:color="auto" w:fill="auto"/>
            <w:vAlign w:val="bottom"/>
          </w:tcPr>
          <w:p w14:paraId="50860D47"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7" w:type="dxa"/>
            <w:tcBorders>
              <w:top w:val="nil"/>
              <w:left w:val="nil"/>
              <w:right w:val="nil"/>
            </w:tcBorders>
            <w:shd w:val="clear" w:color="auto" w:fill="auto"/>
            <w:vAlign w:val="bottom"/>
          </w:tcPr>
          <w:p w14:paraId="41B832BC"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6" w:type="dxa"/>
            <w:tcBorders>
              <w:top w:val="nil"/>
              <w:left w:val="nil"/>
              <w:right w:val="nil"/>
            </w:tcBorders>
            <w:shd w:val="clear" w:color="auto" w:fill="auto"/>
            <w:vAlign w:val="bottom"/>
          </w:tcPr>
          <w:p w14:paraId="527F3D3F"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7" w:type="dxa"/>
            <w:tcBorders>
              <w:top w:val="nil"/>
              <w:left w:val="nil"/>
              <w:bottom w:val="nil"/>
              <w:right w:val="nil"/>
            </w:tcBorders>
            <w:shd w:val="clear" w:color="auto" w:fill="auto"/>
            <w:vAlign w:val="bottom"/>
          </w:tcPr>
          <w:p w14:paraId="765D89C0" w14:textId="77777777" w:rsidR="005F1566" w:rsidRPr="005F1566" w:rsidRDefault="005F1566" w:rsidP="005F1566">
            <w:pPr>
              <w:spacing w:after="0" w:line="240" w:lineRule="exact"/>
              <w:jc w:val="right"/>
              <w:rPr>
                <w:rFonts w:asciiTheme="minorHAnsi" w:eastAsia="Times New Roman" w:hAnsiTheme="minorHAnsi" w:cs="Arial"/>
                <w:spacing w:val="-2"/>
                <w:sz w:val="18"/>
                <w:szCs w:val="18"/>
                <w:lang w:val="en-US"/>
              </w:rPr>
            </w:pPr>
            <w:r w:rsidRPr="005F1566">
              <w:rPr>
                <w:rFonts w:eastAsia="Times New Roman"/>
                <w:color w:val="000000"/>
                <w:sz w:val="18"/>
                <w:szCs w:val="18"/>
                <w:lang w:val="en-US"/>
              </w:rPr>
              <w:t>70,317</w:t>
            </w:r>
          </w:p>
        </w:tc>
        <w:tc>
          <w:tcPr>
            <w:tcW w:w="1087" w:type="dxa"/>
            <w:tcBorders>
              <w:top w:val="nil"/>
              <w:left w:val="nil"/>
              <w:bottom w:val="nil"/>
              <w:right w:val="nil"/>
            </w:tcBorders>
            <w:shd w:val="clear" w:color="auto" w:fill="auto"/>
            <w:vAlign w:val="bottom"/>
          </w:tcPr>
          <w:p w14:paraId="7D7A9238" w14:textId="77777777" w:rsidR="005F1566" w:rsidRPr="005F1566" w:rsidRDefault="005F1566" w:rsidP="005F1566">
            <w:pPr>
              <w:spacing w:after="0" w:line="240" w:lineRule="exact"/>
              <w:jc w:val="right"/>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70,317</w:t>
            </w:r>
          </w:p>
        </w:tc>
      </w:tr>
      <w:tr w:rsidR="005F1566" w:rsidRPr="005F1566" w14:paraId="1A4934DB" w14:textId="77777777" w:rsidTr="005F1566">
        <w:tc>
          <w:tcPr>
            <w:tcW w:w="2834" w:type="dxa"/>
          </w:tcPr>
          <w:p w14:paraId="0C5BE9ED" w14:textId="77777777" w:rsidR="005F1566" w:rsidRPr="005F1566" w:rsidRDefault="005F1566" w:rsidP="005F1566">
            <w:pPr>
              <w:tabs>
                <w:tab w:val="left" w:pos="-720"/>
              </w:tabs>
              <w:suppressAutoHyphens/>
              <w:spacing w:after="0" w:line="240" w:lineRule="exact"/>
              <w:ind w:right="-612"/>
              <w:rPr>
                <w:rFonts w:asciiTheme="minorHAnsi" w:eastAsia="Times New Roman" w:hAnsiTheme="minorHAnsi" w:cs="Arial"/>
                <w:sz w:val="18"/>
                <w:szCs w:val="18"/>
              </w:rPr>
            </w:pPr>
            <w:r w:rsidRPr="005F1566">
              <w:rPr>
                <w:rFonts w:asciiTheme="minorHAnsi" w:eastAsia="Times New Roman" w:hAnsiTheme="minorHAnsi" w:cs="Arial"/>
                <w:sz w:val="18"/>
                <w:szCs w:val="18"/>
              </w:rPr>
              <w:t>Net profit for the year</w:t>
            </w:r>
          </w:p>
        </w:tc>
        <w:tc>
          <w:tcPr>
            <w:tcW w:w="1086" w:type="dxa"/>
            <w:tcBorders>
              <w:top w:val="nil"/>
              <w:left w:val="nil"/>
              <w:bottom w:val="single" w:sz="4" w:space="0" w:color="auto"/>
              <w:right w:val="nil"/>
            </w:tcBorders>
            <w:shd w:val="clear" w:color="auto" w:fill="auto"/>
            <w:vAlign w:val="bottom"/>
          </w:tcPr>
          <w:p w14:paraId="3D29D5E8"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7" w:type="dxa"/>
            <w:tcBorders>
              <w:top w:val="nil"/>
              <w:left w:val="nil"/>
              <w:bottom w:val="single" w:sz="4" w:space="0" w:color="auto"/>
              <w:right w:val="nil"/>
            </w:tcBorders>
            <w:shd w:val="clear" w:color="auto" w:fill="auto"/>
            <w:vAlign w:val="bottom"/>
          </w:tcPr>
          <w:p w14:paraId="08FFF096"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7" w:type="dxa"/>
            <w:tcBorders>
              <w:top w:val="nil"/>
              <w:left w:val="nil"/>
              <w:bottom w:val="single" w:sz="4" w:space="0" w:color="auto"/>
              <w:right w:val="nil"/>
            </w:tcBorders>
            <w:shd w:val="clear" w:color="auto" w:fill="auto"/>
            <w:vAlign w:val="bottom"/>
          </w:tcPr>
          <w:p w14:paraId="5DBD7305"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6" w:type="dxa"/>
            <w:tcBorders>
              <w:top w:val="nil"/>
              <w:left w:val="nil"/>
              <w:bottom w:val="single" w:sz="4" w:space="0" w:color="auto"/>
              <w:right w:val="nil"/>
            </w:tcBorders>
            <w:shd w:val="clear" w:color="auto" w:fill="auto"/>
            <w:vAlign w:val="bottom"/>
          </w:tcPr>
          <w:p w14:paraId="47F2806D"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7" w:type="dxa"/>
            <w:tcBorders>
              <w:top w:val="nil"/>
              <w:left w:val="nil"/>
              <w:bottom w:val="nil"/>
              <w:right w:val="nil"/>
            </w:tcBorders>
            <w:shd w:val="clear" w:color="auto" w:fill="auto"/>
            <w:vAlign w:val="bottom"/>
          </w:tcPr>
          <w:p w14:paraId="3D35A7DF" w14:textId="77777777" w:rsidR="005F1566" w:rsidRPr="005F1566" w:rsidRDefault="005F1566" w:rsidP="005F1566">
            <w:pPr>
              <w:tabs>
                <w:tab w:val="left" w:pos="-720"/>
              </w:tabs>
              <w:suppressAutoHyphens/>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313,525</w:t>
            </w:r>
          </w:p>
        </w:tc>
        <w:tc>
          <w:tcPr>
            <w:tcW w:w="1087" w:type="dxa"/>
            <w:tcBorders>
              <w:top w:val="nil"/>
              <w:left w:val="nil"/>
              <w:bottom w:val="nil"/>
              <w:right w:val="nil"/>
            </w:tcBorders>
            <w:shd w:val="clear" w:color="auto" w:fill="auto"/>
            <w:vAlign w:val="bottom"/>
          </w:tcPr>
          <w:p w14:paraId="4E75DA6C" w14:textId="77777777" w:rsidR="005F1566" w:rsidRPr="005F1566" w:rsidRDefault="005F1566" w:rsidP="005F1566">
            <w:pPr>
              <w:tabs>
                <w:tab w:val="left" w:pos="-720"/>
              </w:tabs>
              <w:suppressAutoHyphens/>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313,525</w:t>
            </w:r>
          </w:p>
        </w:tc>
      </w:tr>
      <w:tr w:rsidR="005F1566" w:rsidRPr="005F1566" w14:paraId="307331E5" w14:textId="77777777" w:rsidTr="005F1566">
        <w:tc>
          <w:tcPr>
            <w:tcW w:w="2834" w:type="dxa"/>
          </w:tcPr>
          <w:p w14:paraId="057D8450"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bCs/>
                <w:sz w:val="18"/>
                <w:szCs w:val="18"/>
              </w:rPr>
            </w:pPr>
            <w:r w:rsidRPr="005F1566">
              <w:rPr>
                <w:rFonts w:asciiTheme="minorHAnsi" w:eastAsia="Times New Roman" w:hAnsiTheme="minorHAnsi" w:cs="Arial"/>
                <w:b/>
                <w:bCs/>
                <w:sz w:val="18"/>
                <w:szCs w:val="18"/>
              </w:rPr>
              <w:t>Capital</w:t>
            </w:r>
          </w:p>
        </w:tc>
        <w:tc>
          <w:tcPr>
            <w:tcW w:w="1086" w:type="dxa"/>
            <w:tcBorders>
              <w:top w:val="single" w:sz="4" w:space="0" w:color="auto"/>
              <w:left w:val="nil"/>
              <w:bottom w:val="single" w:sz="8" w:space="0" w:color="auto"/>
              <w:right w:val="nil"/>
            </w:tcBorders>
            <w:shd w:val="clear" w:color="auto" w:fill="auto"/>
            <w:vAlign w:val="bottom"/>
          </w:tcPr>
          <w:p w14:paraId="3B49A0DE"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b/>
                <w:bCs/>
                <w:color w:val="000000"/>
                <w:sz w:val="18"/>
                <w:szCs w:val="18"/>
                <w:lang w:val="en-US"/>
              </w:rPr>
              <w:t>-</w:t>
            </w:r>
          </w:p>
        </w:tc>
        <w:tc>
          <w:tcPr>
            <w:tcW w:w="1087" w:type="dxa"/>
            <w:tcBorders>
              <w:top w:val="single" w:sz="4" w:space="0" w:color="auto"/>
              <w:left w:val="nil"/>
              <w:bottom w:val="single" w:sz="8" w:space="0" w:color="auto"/>
              <w:right w:val="nil"/>
            </w:tcBorders>
            <w:shd w:val="clear" w:color="auto" w:fill="auto"/>
            <w:vAlign w:val="bottom"/>
          </w:tcPr>
          <w:p w14:paraId="12AD3A25"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b/>
                <w:bCs/>
                <w:color w:val="000000"/>
                <w:sz w:val="18"/>
                <w:szCs w:val="18"/>
                <w:lang w:val="en-US"/>
              </w:rPr>
              <w:t>-</w:t>
            </w:r>
          </w:p>
        </w:tc>
        <w:tc>
          <w:tcPr>
            <w:tcW w:w="1087" w:type="dxa"/>
            <w:tcBorders>
              <w:top w:val="single" w:sz="4" w:space="0" w:color="auto"/>
              <w:left w:val="nil"/>
              <w:bottom w:val="single" w:sz="8" w:space="0" w:color="auto"/>
              <w:right w:val="nil"/>
            </w:tcBorders>
            <w:shd w:val="clear" w:color="auto" w:fill="auto"/>
            <w:vAlign w:val="bottom"/>
          </w:tcPr>
          <w:p w14:paraId="1A9C5A96"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b/>
                <w:bCs/>
                <w:color w:val="000000"/>
                <w:sz w:val="18"/>
                <w:szCs w:val="18"/>
                <w:lang w:val="en-US"/>
              </w:rPr>
              <w:t>-</w:t>
            </w:r>
          </w:p>
        </w:tc>
        <w:tc>
          <w:tcPr>
            <w:tcW w:w="1086" w:type="dxa"/>
            <w:tcBorders>
              <w:top w:val="single" w:sz="4" w:space="0" w:color="auto"/>
              <w:left w:val="nil"/>
              <w:bottom w:val="single" w:sz="8" w:space="0" w:color="auto"/>
              <w:right w:val="nil"/>
            </w:tcBorders>
            <w:shd w:val="clear" w:color="auto" w:fill="auto"/>
            <w:vAlign w:val="bottom"/>
          </w:tcPr>
          <w:p w14:paraId="7B4BE85B"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b/>
                <w:bCs/>
                <w:color w:val="000000"/>
                <w:sz w:val="18"/>
                <w:szCs w:val="18"/>
                <w:lang w:val="en-US"/>
              </w:rPr>
              <w:t>-</w:t>
            </w:r>
          </w:p>
        </w:tc>
        <w:tc>
          <w:tcPr>
            <w:tcW w:w="1087" w:type="dxa"/>
            <w:tcBorders>
              <w:top w:val="single" w:sz="4" w:space="0" w:color="auto"/>
              <w:left w:val="nil"/>
              <w:bottom w:val="single" w:sz="12" w:space="0" w:color="auto"/>
              <w:right w:val="nil"/>
            </w:tcBorders>
            <w:shd w:val="clear" w:color="auto" w:fill="auto"/>
            <w:vAlign w:val="bottom"/>
          </w:tcPr>
          <w:p w14:paraId="2A1DF048"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10,025,605</w:t>
            </w:r>
          </w:p>
        </w:tc>
        <w:tc>
          <w:tcPr>
            <w:tcW w:w="1087" w:type="dxa"/>
            <w:tcBorders>
              <w:top w:val="single" w:sz="4" w:space="0" w:color="auto"/>
              <w:left w:val="nil"/>
              <w:bottom w:val="single" w:sz="12" w:space="0" w:color="auto"/>
              <w:right w:val="nil"/>
            </w:tcBorders>
            <w:shd w:val="clear" w:color="auto" w:fill="auto"/>
            <w:vAlign w:val="bottom"/>
          </w:tcPr>
          <w:p w14:paraId="5997D27F"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10,025,605</w:t>
            </w:r>
          </w:p>
        </w:tc>
      </w:tr>
      <w:tr w:rsidR="005F1566" w:rsidRPr="005F1566" w14:paraId="166FC791" w14:textId="77777777" w:rsidTr="005F1566">
        <w:trPr>
          <w:trHeight w:val="51"/>
        </w:trPr>
        <w:tc>
          <w:tcPr>
            <w:tcW w:w="2834" w:type="dxa"/>
          </w:tcPr>
          <w:p w14:paraId="4E4DFD46" w14:textId="77777777" w:rsidR="005F1566" w:rsidRPr="005F1566" w:rsidRDefault="005F1566" w:rsidP="005F1566">
            <w:pPr>
              <w:tabs>
                <w:tab w:val="right" w:pos="1202"/>
              </w:tabs>
              <w:spacing w:after="0" w:line="100" w:lineRule="exact"/>
              <w:outlineLvl w:val="0"/>
              <w:rPr>
                <w:rFonts w:asciiTheme="minorHAnsi" w:eastAsia="Times New Roman" w:hAnsiTheme="minorHAnsi" w:cs="Arial"/>
                <w:bCs/>
                <w:sz w:val="18"/>
                <w:szCs w:val="18"/>
                <w:lang w:val="hr-HR"/>
              </w:rPr>
            </w:pPr>
          </w:p>
        </w:tc>
        <w:tc>
          <w:tcPr>
            <w:tcW w:w="1086" w:type="dxa"/>
            <w:tcBorders>
              <w:top w:val="single" w:sz="12" w:space="0" w:color="auto"/>
            </w:tcBorders>
            <w:vAlign w:val="bottom"/>
          </w:tcPr>
          <w:p w14:paraId="20FA5387" w14:textId="77777777" w:rsidR="005F1566" w:rsidRPr="005F1566" w:rsidRDefault="005F1566" w:rsidP="005F1566">
            <w:pPr>
              <w:tabs>
                <w:tab w:val="right" w:pos="1202"/>
              </w:tabs>
              <w:spacing w:after="0" w:line="100" w:lineRule="exact"/>
              <w:outlineLvl w:val="0"/>
              <w:rPr>
                <w:rFonts w:asciiTheme="minorHAnsi" w:eastAsia="Times New Roman" w:hAnsiTheme="minorHAnsi" w:cs="Arial"/>
                <w:bCs/>
                <w:sz w:val="18"/>
                <w:szCs w:val="18"/>
                <w:lang w:val="hr-HR"/>
              </w:rPr>
            </w:pPr>
          </w:p>
        </w:tc>
        <w:tc>
          <w:tcPr>
            <w:tcW w:w="1087" w:type="dxa"/>
            <w:tcBorders>
              <w:top w:val="single" w:sz="12" w:space="0" w:color="auto"/>
            </w:tcBorders>
            <w:vAlign w:val="bottom"/>
          </w:tcPr>
          <w:p w14:paraId="3E632780" w14:textId="77777777" w:rsidR="005F1566" w:rsidRPr="005F1566" w:rsidRDefault="005F1566" w:rsidP="005F1566">
            <w:pPr>
              <w:tabs>
                <w:tab w:val="right" w:pos="1202"/>
              </w:tabs>
              <w:spacing w:after="0" w:line="100" w:lineRule="exact"/>
              <w:outlineLvl w:val="0"/>
              <w:rPr>
                <w:rFonts w:asciiTheme="minorHAnsi" w:eastAsia="Times New Roman" w:hAnsiTheme="minorHAnsi" w:cs="Arial"/>
                <w:bCs/>
                <w:sz w:val="18"/>
                <w:szCs w:val="18"/>
                <w:lang w:val="hr-HR"/>
              </w:rPr>
            </w:pPr>
          </w:p>
        </w:tc>
        <w:tc>
          <w:tcPr>
            <w:tcW w:w="1087" w:type="dxa"/>
            <w:tcBorders>
              <w:top w:val="single" w:sz="12" w:space="0" w:color="auto"/>
            </w:tcBorders>
            <w:vAlign w:val="bottom"/>
          </w:tcPr>
          <w:p w14:paraId="7CEF41F2" w14:textId="77777777" w:rsidR="005F1566" w:rsidRPr="005F1566" w:rsidRDefault="005F1566" w:rsidP="005F1566">
            <w:pPr>
              <w:tabs>
                <w:tab w:val="right" w:pos="1202"/>
              </w:tabs>
              <w:spacing w:after="0" w:line="100" w:lineRule="exact"/>
              <w:outlineLvl w:val="0"/>
              <w:rPr>
                <w:rFonts w:asciiTheme="minorHAnsi" w:eastAsia="Times New Roman" w:hAnsiTheme="minorHAnsi" w:cs="Arial"/>
                <w:bCs/>
                <w:sz w:val="18"/>
                <w:szCs w:val="18"/>
                <w:lang w:val="hr-HR"/>
              </w:rPr>
            </w:pPr>
          </w:p>
        </w:tc>
        <w:tc>
          <w:tcPr>
            <w:tcW w:w="1086" w:type="dxa"/>
            <w:tcBorders>
              <w:top w:val="single" w:sz="12" w:space="0" w:color="auto"/>
            </w:tcBorders>
            <w:vAlign w:val="bottom"/>
          </w:tcPr>
          <w:p w14:paraId="01C1E910" w14:textId="77777777" w:rsidR="005F1566" w:rsidRPr="005F1566" w:rsidRDefault="005F1566" w:rsidP="005F1566">
            <w:pPr>
              <w:tabs>
                <w:tab w:val="right" w:pos="1202"/>
              </w:tabs>
              <w:spacing w:after="0" w:line="100" w:lineRule="exact"/>
              <w:outlineLvl w:val="0"/>
              <w:rPr>
                <w:rFonts w:asciiTheme="minorHAnsi" w:eastAsia="Times New Roman" w:hAnsiTheme="minorHAnsi" w:cs="Arial"/>
                <w:bCs/>
                <w:sz w:val="18"/>
                <w:szCs w:val="18"/>
                <w:lang w:val="hr-HR"/>
              </w:rPr>
            </w:pPr>
            <w:r w:rsidRPr="005F1566">
              <w:rPr>
                <w:rFonts w:asciiTheme="minorHAnsi" w:eastAsia="Times New Roman" w:hAnsiTheme="minorHAnsi" w:cs="Arial"/>
                <w:color w:val="000000"/>
                <w:sz w:val="18"/>
                <w:szCs w:val="18"/>
                <w:lang w:val="hr-HR" w:eastAsia="hr-HR"/>
              </w:rPr>
              <w:t> </w:t>
            </w:r>
          </w:p>
        </w:tc>
        <w:tc>
          <w:tcPr>
            <w:tcW w:w="1087" w:type="dxa"/>
            <w:tcBorders>
              <w:top w:val="single" w:sz="12" w:space="0" w:color="auto"/>
            </w:tcBorders>
            <w:vAlign w:val="bottom"/>
          </w:tcPr>
          <w:p w14:paraId="0716BFF1" w14:textId="77777777" w:rsidR="005F1566" w:rsidRPr="005F1566" w:rsidRDefault="005F1566" w:rsidP="005F1566">
            <w:pPr>
              <w:tabs>
                <w:tab w:val="right" w:pos="1202"/>
              </w:tabs>
              <w:spacing w:after="0" w:line="100" w:lineRule="exact"/>
              <w:outlineLvl w:val="0"/>
              <w:rPr>
                <w:rFonts w:asciiTheme="minorHAnsi" w:eastAsia="Times New Roman" w:hAnsiTheme="minorHAnsi" w:cs="Arial"/>
                <w:bCs/>
                <w:sz w:val="18"/>
                <w:szCs w:val="18"/>
                <w:lang w:val="hr-HR"/>
              </w:rPr>
            </w:pPr>
          </w:p>
        </w:tc>
        <w:tc>
          <w:tcPr>
            <w:tcW w:w="1087" w:type="dxa"/>
            <w:tcBorders>
              <w:top w:val="single" w:sz="12" w:space="0" w:color="auto"/>
            </w:tcBorders>
            <w:vAlign w:val="bottom"/>
          </w:tcPr>
          <w:p w14:paraId="0ECE2BB7" w14:textId="77777777" w:rsidR="005F1566" w:rsidRPr="005F1566" w:rsidRDefault="005F1566" w:rsidP="005F1566">
            <w:pPr>
              <w:tabs>
                <w:tab w:val="right" w:pos="1202"/>
              </w:tabs>
              <w:spacing w:after="0" w:line="100" w:lineRule="exact"/>
              <w:outlineLvl w:val="0"/>
              <w:rPr>
                <w:rFonts w:asciiTheme="minorHAnsi" w:eastAsia="Times New Roman" w:hAnsiTheme="minorHAnsi" w:cs="Arial"/>
                <w:bCs/>
                <w:sz w:val="18"/>
                <w:szCs w:val="18"/>
                <w:lang w:val="hr-HR"/>
              </w:rPr>
            </w:pPr>
          </w:p>
        </w:tc>
      </w:tr>
      <w:tr w:rsidR="005F1566" w:rsidRPr="005F1566" w14:paraId="4DE2499A" w14:textId="77777777" w:rsidTr="005F1566">
        <w:tc>
          <w:tcPr>
            <w:tcW w:w="2834" w:type="dxa"/>
          </w:tcPr>
          <w:p w14:paraId="5947C3D4"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sz w:val="18"/>
                <w:szCs w:val="18"/>
              </w:rPr>
            </w:pPr>
            <w:r w:rsidRPr="005F1566">
              <w:rPr>
                <w:rFonts w:asciiTheme="minorHAnsi" w:eastAsia="Times New Roman" w:hAnsiTheme="minorHAnsi" w:cs="Arial"/>
                <w:sz w:val="18"/>
                <w:szCs w:val="18"/>
              </w:rPr>
              <w:t>Guarantee fund</w:t>
            </w:r>
          </w:p>
        </w:tc>
        <w:tc>
          <w:tcPr>
            <w:tcW w:w="1086" w:type="dxa"/>
            <w:tcBorders>
              <w:top w:val="nil"/>
              <w:left w:val="nil"/>
              <w:bottom w:val="nil"/>
              <w:right w:val="nil"/>
            </w:tcBorders>
            <w:shd w:val="clear" w:color="auto" w:fill="auto"/>
            <w:vAlign w:val="bottom"/>
          </w:tcPr>
          <w:p w14:paraId="31307C69"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7" w:type="dxa"/>
            <w:tcBorders>
              <w:top w:val="nil"/>
              <w:left w:val="nil"/>
              <w:bottom w:val="nil"/>
              <w:right w:val="nil"/>
            </w:tcBorders>
            <w:shd w:val="clear" w:color="auto" w:fill="auto"/>
            <w:vAlign w:val="bottom"/>
          </w:tcPr>
          <w:p w14:paraId="2C21A8F4"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7" w:type="dxa"/>
            <w:tcBorders>
              <w:top w:val="nil"/>
              <w:left w:val="nil"/>
              <w:bottom w:val="nil"/>
              <w:right w:val="nil"/>
            </w:tcBorders>
            <w:shd w:val="clear" w:color="auto" w:fill="auto"/>
            <w:vAlign w:val="bottom"/>
          </w:tcPr>
          <w:p w14:paraId="225B6632"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6" w:type="dxa"/>
            <w:tcBorders>
              <w:top w:val="nil"/>
              <w:left w:val="nil"/>
              <w:bottom w:val="nil"/>
              <w:right w:val="nil"/>
            </w:tcBorders>
            <w:shd w:val="clear" w:color="auto" w:fill="auto"/>
            <w:vAlign w:val="bottom"/>
          </w:tcPr>
          <w:p w14:paraId="276C3F91"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7" w:type="dxa"/>
            <w:tcBorders>
              <w:left w:val="nil"/>
              <w:bottom w:val="nil"/>
              <w:right w:val="nil"/>
            </w:tcBorders>
            <w:shd w:val="clear" w:color="auto" w:fill="auto"/>
            <w:vAlign w:val="bottom"/>
          </w:tcPr>
          <w:p w14:paraId="7ECF6860"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12,375</w:t>
            </w:r>
          </w:p>
        </w:tc>
        <w:tc>
          <w:tcPr>
            <w:tcW w:w="1087" w:type="dxa"/>
            <w:tcBorders>
              <w:left w:val="nil"/>
              <w:bottom w:val="nil"/>
              <w:right w:val="nil"/>
            </w:tcBorders>
            <w:shd w:val="clear" w:color="auto" w:fill="auto"/>
            <w:vAlign w:val="bottom"/>
          </w:tcPr>
          <w:p w14:paraId="75E42EBF"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12,375</w:t>
            </w:r>
          </w:p>
        </w:tc>
      </w:tr>
      <w:tr w:rsidR="005F1566" w:rsidRPr="005F1566" w14:paraId="14866AD8" w14:textId="77777777" w:rsidTr="005F1566">
        <w:trPr>
          <w:trHeight w:val="70"/>
        </w:trPr>
        <w:tc>
          <w:tcPr>
            <w:tcW w:w="2834" w:type="dxa"/>
          </w:tcPr>
          <w:p w14:paraId="7D2E684A" w14:textId="77777777" w:rsidR="005F1566" w:rsidRPr="005F1566" w:rsidRDefault="005F1566" w:rsidP="005F1566">
            <w:pPr>
              <w:tabs>
                <w:tab w:val="right" w:pos="1202"/>
              </w:tabs>
              <w:spacing w:after="0" w:line="100" w:lineRule="exact"/>
              <w:outlineLvl w:val="0"/>
              <w:rPr>
                <w:rFonts w:asciiTheme="minorHAnsi" w:eastAsia="Times New Roman" w:hAnsiTheme="minorHAnsi" w:cs="Arial"/>
                <w:bCs/>
                <w:sz w:val="18"/>
                <w:szCs w:val="18"/>
                <w:lang w:val="hr-HR"/>
              </w:rPr>
            </w:pPr>
          </w:p>
        </w:tc>
        <w:tc>
          <w:tcPr>
            <w:tcW w:w="1086" w:type="dxa"/>
            <w:tcBorders>
              <w:bottom w:val="single" w:sz="6" w:space="0" w:color="auto"/>
            </w:tcBorders>
            <w:vAlign w:val="bottom"/>
          </w:tcPr>
          <w:p w14:paraId="7863ECCB" w14:textId="77777777" w:rsidR="005F1566" w:rsidRPr="005F1566" w:rsidRDefault="005F1566" w:rsidP="005F1566">
            <w:pPr>
              <w:tabs>
                <w:tab w:val="right" w:pos="1202"/>
              </w:tabs>
              <w:spacing w:after="0" w:line="100" w:lineRule="exact"/>
              <w:outlineLvl w:val="0"/>
              <w:rPr>
                <w:rFonts w:asciiTheme="minorHAnsi" w:eastAsia="Times New Roman" w:hAnsiTheme="minorHAnsi" w:cs="Arial"/>
                <w:bCs/>
                <w:sz w:val="18"/>
                <w:szCs w:val="18"/>
                <w:lang w:val="hr-HR"/>
              </w:rPr>
            </w:pPr>
          </w:p>
        </w:tc>
        <w:tc>
          <w:tcPr>
            <w:tcW w:w="1087" w:type="dxa"/>
            <w:tcBorders>
              <w:bottom w:val="single" w:sz="6" w:space="0" w:color="auto"/>
            </w:tcBorders>
            <w:vAlign w:val="bottom"/>
          </w:tcPr>
          <w:p w14:paraId="2C802926" w14:textId="77777777" w:rsidR="005F1566" w:rsidRPr="005F1566" w:rsidRDefault="005F1566" w:rsidP="005F1566">
            <w:pPr>
              <w:tabs>
                <w:tab w:val="right" w:pos="1202"/>
              </w:tabs>
              <w:spacing w:after="0" w:line="100" w:lineRule="exact"/>
              <w:outlineLvl w:val="0"/>
              <w:rPr>
                <w:rFonts w:asciiTheme="minorHAnsi" w:eastAsia="Times New Roman" w:hAnsiTheme="minorHAnsi" w:cs="Arial"/>
                <w:bCs/>
                <w:sz w:val="18"/>
                <w:szCs w:val="18"/>
                <w:lang w:val="hr-HR"/>
              </w:rPr>
            </w:pPr>
          </w:p>
        </w:tc>
        <w:tc>
          <w:tcPr>
            <w:tcW w:w="1087" w:type="dxa"/>
            <w:tcBorders>
              <w:bottom w:val="single" w:sz="6" w:space="0" w:color="auto"/>
            </w:tcBorders>
            <w:vAlign w:val="bottom"/>
          </w:tcPr>
          <w:p w14:paraId="4BB764F4" w14:textId="77777777" w:rsidR="005F1566" w:rsidRPr="005F1566" w:rsidRDefault="005F1566" w:rsidP="005F1566">
            <w:pPr>
              <w:tabs>
                <w:tab w:val="right" w:pos="1202"/>
              </w:tabs>
              <w:spacing w:after="0" w:line="100" w:lineRule="exact"/>
              <w:outlineLvl w:val="0"/>
              <w:rPr>
                <w:rFonts w:asciiTheme="minorHAnsi" w:eastAsia="Times New Roman" w:hAnsiTheme="minorHAnsi" w:cs="Arial"/>
                <w:bCs/>
                <w:sz w:val="18"/>
                <w:szCs w:val="18"/>
                <w:lang w:val="hr-HR"/>
              </w:rPr>
            </w:pPr>
          </w:p>
        </w:tc>
        <w:tc>
          <w:tcPr>
            <w:tcW w:w="1086" w:type="dxa"/>
            <w:tcBorders>
              <w:bottom w:val="single" w:sz="6" w:space="0" w:color="auto"/>
            </w:tcBorders>
            <w:vAlign w:val="bottom"/>
          </w:tcPr>
          <w:p w14:paraId="55A8CFC9" w14:textId="77777777" w:rsidR="005F1566" w:rsidRPr="005F1566" w:rsidRDefault="005F1566" w:rsidP="005F1566">
            <w:pPr>
              <w:tabs>
                <w:tab w:val="right" w:pos="1202"/>
              </w:tabs>
              <w:spacing w:after="0" w:line="100" w:lineRule="exact"/>
              <w:outlineLvl w:val="0"/>
              <w:rPr>
                <w:rFonts w:asciiTheme="minorHAnsi" w:eastAsia="Times New Roman" w:hAnsiTheme="minorHAnsi" w:cs="Arial"/>
                <w:bCs/>
                <w:sz w:val="18"/>
                <w:szCs w:val="18"/>
                <w:lang w:val="hr-HR"/>
              </w:rPr>
            </w:pPr>
          </w:p>
        </w:tc>
        <w:tc>
          <w:tcPr>
            <w:tcW w:w="1087" w:type="dxa"/>
            <w:tcBorders>
              <w:bottom w:val="single" w:sz="6" w:space="0" w:color="auto"/>
            </w:tcBorders>
            <w:vAlign w:val="bottom"/>
          </w:tcPr>
          <w:p w14:paraId="4838487B" w14:textId="77777777" w:rsidR="005F1566" w:rsidRPr="005F1566" w:rsidRDefault="005F1566" w:rsidP="005F1566">
            <w:pPr>
              <w:tabs>
                <w:tab w:val="right" w:pos="1202"/>
              </w:tabs>
              <w:spacing w:after="0" w:line="100" w:lineRule="exact"/>
              <w:outlineLvl w:val="0"/>
              <w:rPr>
                <w:rFonts w:asciiTheme="minorHAnsi" w:eastAsia="Times New Roman" w:hAnsiTheme="minorHAnsi" w:cs="Arial"/>
                <w:bCs/>
                <w:sz w:val="18"/>
                <w:szCs w:val="18"/>
                <w:lang w:val="hr-HR"/>
              </w:rPr>
            </w:pPr>
          </w:p>
        </w:tc>
        <w:tc>
          <w:tcPr>
            <w:tcW w:w="1087" w:type="dxa"/>
            <w:tcBorders>
              <w:bottom w:val="single" w:sz="6" w:space="0" w:color="auto"/>
            </w:tcBorders>
            <w:vAlign w:val="bottom"/>
          </w:tcPr>
          <w:p w14:paraId="32417731" w14:textId="77777777" w:rsidR="005F1566" w:rsidRPr="005F1566" w:rsidRDefault="005F1566" w:rsidP="005F1566">
            <w:pPr>
              <w:tabs>
                <w:tab w:val="right" w:pos="1202"/>
              </w:tabs>
              <w:spacing w:after="0" w:line="100" w:lineRule="exact"/>
              <w:outlineLvl w:val="0"/>
              <w:rPr>
                <w:rFonts w:asciiTheme="minorHAnsi" w:eastAsia="Times New Roman" w:hAnsiTheme="minorHAnsi" w:cs="Arial"/>
                <w:bCs/>
                <w:sz w:val="18"/>
                <w:szCs w:val="18"/>
                <w:lang w:val="hr-HR"/>
              </w:rPr>
            </w:pPr>
          </w:p>
        </w:tc>
      </w:tr>
      <w:tr w:rsidR="005F1566" w:rsidRPr="005F1566" w14:paraId="1A8DEC6B" w14:textId="77777777" w:rsidTr="005F1566">
        <w:trPr>
          <w:trHeight w:val="297"/>
        </w:trPr>
        <w:tc>
          <w:tcPr>
            <w:tcW w:w="2834" w:type="dxa"/>
            <w:vAlign w:val="bottom"/>
          </w:tcPr>
          <w:p w14:paraId="03BDA45C"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bCs/>
                <w:sz w:val="18"/>
                <w:szCs w:val="18"/>
              </w:rPr>
            </w:pPr>
            <w:r w:rsidRPr="005F1566">
              <w:rPr>
                <w:rFonts w:asciiTheme="minorHAnsi" w:eastAsia="Times New Roman" w:hAnsiTheme="minorHAnsi" w:cs="Arial"/>
                <w:b/>
                <w:bCs/>
                <w:sz w:val="18"/>
                <w:szCs w:val="18"/>
              </w:rPr>
              <w:t>Total equity</w:t>
            </w:r>
          </w:p>
        </w:tc>
        <w:tc>
          <w:tcPr>
            <w:tcW w:w="1086" w:type="dxa"/>
            <w:tcBorders>
              <w:top w:val="single" w:sz="4" w:space="0" w:color="auto"/>
              <w:left w:val="nil"/>
              <w:bottom w:val="single" w:sz="8" w:space="0" w:color="auto"/>
              <w:right w:val="nil"/>
            </w:tcBorders>
            <w:shd w:val="clear" w:color="auto" w:fill="auto"/>
            <w:vAlign w:val="bottom"/>
          </w:tcPr>
          <w:p w14:paraId="1D570044"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
                <w:bCs/>
                <w:color w:val="000000"/>
                <w:sz w:val="18"/>
                <w:szCs w:val="18"/>
                <w:lang w:val="en-US"/>
              </w:rPr>
              <w:t>-</w:t>
            </w:r>
          </w:p>
        </w:tc>
        <w:tc>
          <w:tcPr>
            <w:tcW w:w="1087" w:type="dxa"/>
            <w:tcBorders>
              <w:top w:val="single" w:sz="4" w:space="0" w:color="auto"/>
              <w:left w:val="nil"/>
              <w:bottom w:val="single" w:sz="8" w:space="0" w:color="auto"/>
              <w:right w:val="nil"/>
            </w:tcBorders>
            <w:shd w:val="clear" w:color="auto" w:fill="auto"/>
            <w:vAlign w:val="bottom"/>
          </w:tcPr>
          <w:p w14:paraId="2DB1F5F0"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
                <w:bCs/>
                <w:color w:val="000000"/>
                <w:sz w:val="18"/>
                <w:szCs w:val="18"/>
                <w:lang w:val="en-US"/>
              </w:rPr>
              <w:t>-</w:t>
            </w:r>
          </w:p>
        </w:tc>
        <w:tc>
          <w:tcPr>
            <w:tcW w:w="1087" w:type="dxa"/>
            <w:tcBorders>
              <w:top w:val="single" w:sz="4" w:space="0" w:color="auto"/>
              <w:left w:val="nil"/>
              <w:bottom w:val="single" w:sz="8" w:space="0" w:color="auto"/>
              <w:right w:val="nil"/>
            </w:tcBorders>
            <w:shd w:val="clear" w:color="auto" w:fill="auto"/>
            <w:vAlign w:val="bottom"/>
          </w:tcPr>
          <w:p w14:paraId="1F34CBBC"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
                <w:bCs/>
                <w:color w:val="000000"/>
                <w:sz w:val="18"/>
                <w:szCs w:val="18"/>
                <w:lang w:val="en-US"/>
              </w:rPr>
              <w:t>-</w:t>
            </w:r>
          </w:p>
        </w:tc>
        <w:tc>
          <w:tcPr>
            <w:tcW w:w="1086" w:type="dxa"/>
            <w:tcBorders>
              <w:top w:val="single" w:sz="4" w:space="0" w:color="auto"/>
              <w:left w:val="nil"/>
              <w:bottom w:val="single" w:sz="8" w:space="0" w:color="auto"/>
              <w:right w:val="nil"/>
            </w:tcBorders>
            <w:shd w:val="clear" w:color="auto" w:fill="auto"/>
            <w:vAlign w:val="bottom"/>
          </w:tcPr>
          <w:p w14:paraId="4778B314" w14:textId="77777777"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
                <w:bCs/>
                <w:color w:val="000000"/>
                <w:sz w:val="18"/>
                <w:szCs w:val="18"/>
                <w:lang w:val="en-US"/>
              </w:rPr>
              <w:t>-</w:t>
            </w:r>
          </w:p>
        </w:tc>
        <w:tc>
          <w:tcPr>
            <w:tcW w:w="1087" w:type="dxa"/>
            <w:tcBorders>
              <w:top w:val="single" w:sz="4" w:space="0" w:color="auto"/>
              <w:left w:val="nil"/>
              <w:bottom w:val="single" w:sz="8" w:space="0" w:color="auto"/>
              <w:right w:val="nil"/>
            </w:tcBorders>
            <w:shd w:val="clear" w:color="auto" w:fill="auto"/>
            <w:vAlign w:val="bottom"/>
          </w:tcPr>
          <w:p w14:paraId="7C7AE08D"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10,037,980</w:t>
            </w:r>
          </w:p>
        </w:tc>
        <w:tc>
          <w:tcPr>
            <w:tcW w:w="1087" w:type="dxa"/>
            <w:tcBorders>
              <w:top w:val="single" w:sz="4" w:space="0" w:color="auto"/>
              <w:left w:val="nil"/>
              <w:bottom w:val="single" w:sz="8" w:space="0" w:color="auto"/>
              <w:right w:val="nil"/>
            </w:tcBorders>
            <w:shd w:val="clear" w:color="auto" w:fill="auto"/>
            <w:vAlign w:val="bottom"/>
          </w:tcPr>
          <w:p w14:paraId="11057CB5"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10,037,980</w:t>
            </w:r>
          </w:p>
        </w:tc>
      </w:tr>
      <w:tr w:rsidR="005F1566" w:rsidRPr="005F1566" w14:paraId="328BC0BB" w14:textId="77777777" w:rsidTr="005F1566">
        <w:trPr>
          <w:trHeight w:val="225"/>
        </w:trPr>
        <w:tc>
          <w:tcPr>
            <w:tcW w:w="2834" w:type="dxa"/>
            <w:vAlign w:val="bottom"/>
          </w:tcPr>
          <w:p w14:paraId="51B39558"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bCs/>
                <w:sz w:val="18"/>
                <w:szCs w:val="18"/>
              </w:rPr>
            </w:pPr>
            <w:r w:rsidRPr="005F1566">
              <w:rPr>
                <w:rFonts w:asciiTheme="minorHAnsi" w:eastAsia="Times New Roman" w:hAnsiTheme="minorHAnsi" w:cs="Arial"/>
                <w:b/>
                <w:bCs/>
                <w:sz w:val="18"/>
                <w:szCs w:val="18"/>
              </w:rPr>
              <w:t>Total liabilities and total equity (2)</w:t>
            </w:r>
          </w:p>
        </w:tc>
        <w:tc>
          <w:tcPr>
            <w:tcW w:w="1086" w:type="dxa"/>
            <w:tcBorders>
              <w:top w:val="nil"/>
              <w:left w:val="nil"/>
              <w:bottom w:val="single" w:sz="12" w:space="0" w:color="auto"/>
              <w:right w:val="nil"/>
            </w:tcBorders>
            <w:shd w:val="clear" w:color="auto" w:fill="auto"/>
            <w:vAlign w:val="bottom"/>
          </w:tcPr>
          <w:p w14:paraId="71752DF4"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581,592</w:t>
            </w:r>
          </w:p>
        </w:tc>
        <w:tc>
          <w:tcPr>
            <w:tcW w:w="1087" w:type="dxa"/>
            <w:tcBorders>
              <w:top w:val="nil"/>
              <w:left w:val="nil"/>
              <w:bottom w:val="single" w:sz="12" w:space="0" w:color="auto"/>
              <w:right w:val="nil"/>
            </w:tcBorders>
            <w:shd w:val="clear" w:color="auto" w:fill="auto"/>
            <w:vAlign w:val="bottom"/>
          </w:tcPr>
          <w:p w14:paraId="3770D371" w14:textId="77777777" w:rsidR="005F1566" w:rsidRPr="005F1566" w:rsidRDefault="005F1566" w:rsidP="005F1566">
            <w:pPr>
              <w:tabs>
                <w:tab w:val="left" w:pos="-720"/>
              </w:tabs>
              <w:suppressAutoHyphens/>
              <w:spacing w:after="0" w:line="240" w:lineRule="exact"/>
              <w:jc w:val="right"/>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361,920</w:t>
            </w:r>
          </w:p>
        </w:tc>
        <w:tc>
          <w:tcPr>
            <w:tcW w:w="1087" w:type="dxa"/>
            <w:tcBorders>
              <w:top w:val="nil"/>
              <w:left w:val="nil"/>
              <w:bottom w:val="single" w:sz="12" w:space="0" w:color="auto"/>
              <w:right w:val="nil"/>
            </w:tcBorders>
            <w:shd w:val="clear" w:color="auto" w:fill="auto"/>
            <w:vAlign w:val="bottom"/>
          </w:tcPr>
          <w:p w14:paraId="7E6C5BCE" w14:textId="77777777" w:rsidR="005F1566" w:rsidRPr="005F1566" w:rsidRDefault="005F1566" w:rsidP="005F1566">
            <w:pPr>
              <w:tabs>
                <w:tab w:val="left" w:pos="-720"/>
              </w:tabs>
              <w:suppressAutoHyphens/>
              <w:spacing w:after="0" w:line="240" w:lineRule="exact"/>
              <w:jc w:val="right"/>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3,019,944</w:t>
            </w:r>
          </w:p>
        </w:tc>
        <w:tc>
          <w:tcPr>
            <w:tcW w:w="1086" w:type="dxa"/>
            <w:tcBorders>
              <w:top w:val="nil"/>
              <w:left w:val="nil"/>
              <w:bottom w:val="single" w:sz="12" w:space="0" w:color="auto"/>
              <w:right w:val="nil"/>
            </w:tcBorders>
            <w:shd w:val="clear" w:color="auto" w:fill="auto"/>
            <w:vAlign w:val="bottom"/>
          </w:tcPr>
          <w:p w14:paraId="1E0AF229"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3,294,706</w:t>
            </w:r>
          </w:p>
        </w:tc>
        <w:tc>
          <w:tcPr>
            <w:tcW w:w="1087" w:type="dxa"/>
            <w:tcBorders>
              <w:top w:val="nil"/>
              <w:left w:val="nil"/>
              <w:bottom w:val="single" w:sz="12" w:space="0" w:color="auto"/>
              <w:right w:val="nil"/>
            </w:tcBorders>
            <w:shd w:val="clear" w:color="auto" w:fill="auto"/>
            <w:vAlign w:val="bottom"/>
          </w:tcPr>
          <w:p w14:paraId="24F8E058"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20,116,754</w:t>
            </w:r>
          </w:p>
        </w:tc>
        <w:tc>
          <w:tcPr>
            <w:tcW w:w="1087" w:type="dxa"/>
            <w:tcBorders>
              <w:top w:val="nil"/>
              <w:left w:val="nil"/>
              <w:bottom w:val="single" w:sz="12" w:space="0" w:color="auto"/>
              <w:right w:val="nil"/>
            </w:tcBorders>
            <w:shd w:val="clear" w:color="auto" w:fill="auto"/>
            <w:vAlign w:val="bottom"/>
          </w:tcPr>
          <w:p w14:paraId="7AC35473"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27,374,916</w:t>
            </w:r>
          </w:p>
        </w:tc>
      </w:tr>
      <w:tr w:rsidR="005F1566" w:rsidRPr="005F1566" w14:paraId="03DDF030" w14:textId="77777777" w:rsidTr="005F1566">
        <w:trPr>
          <w:trHeight w:hRule="exact" w:val="340"/>
        </w:trPr>
        <w:tc>
          <w:tcPr>
            <w:tcW w:w="2834" w:type="dxa"/>
            <w:vAlign w:val="center"/>
          </w:tcPr>
          <w:p w14:paraId="366D90A3"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bCs/>
                <w:spacing w:val="-2"/>
                <w:sz w:val="18"/>
                <w:szCs w:val="18"/>
              </w:rPr>
            </w:pPr>
            <w:r w:rsidRPr="005F1566">
              <w:rPr>
                <w:rFonts w:asciiTheme="minorHAnsi" w:eastAsia="Times New Roman" w:hAnsiTheme="minorHAnsi" w:cs="Arial"/>
                <w:b/>
                <w:bCs/>
                <w:spacing w:val="-2"/>
                <w:sz w:val="18"/>
                <w:szCs w:val="18"/>
              </w:rPr>
              <w:t>Net assets/liabilities (1) – (2)</w:t>
            </w:r>
          </w:p>
        </w:tc>
        <w:tc>
          <w:tcPr>
            <w:tcW w:w="1086" w:type="dxa"/>
            <w:tcBorders>
              <w:top w:val="single" w:sz="12" w:space="0" w:color="auto"/>
              <w:left w:val="nil"/>
              <w:bottom w:val="single" w:sz="12" w:space="0" w:color="auto"/>
              <w:right w:val="nil"/>
            </w:tcBorders>
            <w:shd w:val="clear" w:color="auto" w:fill="auto"/>
            <w:vAlign w:val="bottom"/>
          </w:tcPr>
          <w:p w14:paraId="24529ABA"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5,350,318</w:t>
            </w:r>
          </w:p>
        </w:tc>
        <w:tc>
          <w:tcPr>
            <w:tcW w:w="1087" w:type="dxa"/>
            <w:tcBorders>
              <w:top w:val="single" w:sz="12" w:space="0" w:color="auto"/>
              <w:left w:val="nil"/>
              <w:bottom w:val="single" w:sz="12" w:space="0" w:color="auto"/>
              <w:right w:val="nil"/>
            </w:tcBorders>
            <w:shd w:val="clear" w:color="auto" w:fill="auto"/>
            <w:vAlign w:val="bottom"/>
          </w:tcPr>
          <w:p w14:paraId="10069F6D"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503,923</w:t>
            </w:r>
          </w:p>
        </w:tc>
        <w:tc>
          <w:tcPr>
            <w:tcW w:w="1087" w:type="dxa"/>
            <w:tcBorders>
              <w:top w:val="single" w:sz="12" w:space="0" w:color="auto"/>
              <w:left w:val="nil"/>
              <w:bottom w:val="single" w:sz="12" w:space="0" w:color="auto"/>
              <w:right w:val="nil"/>
            </w:tcBorders>
            <w:shd w:val="clear" w:color="auto" w:fill="auto"/>
            <w:vAlign w:val="bottom"/>
          </w:tcPr>
          <w:p w14:paraId="691EC182"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(295,493)</w:t>
            </w:r>
          </w:p>
        </w:tc>
        <w:tc>
          <w:tcPr>
            <w:tcW w:w="1086" w:type="dxa"/>
            <w:tcBorders>
              <w:top w:val="single" w:sz="12" w:space="0" w:color="auto"/>
              <w:left w:val="nil"/>
              <w:bottom w:val="single" w:sz="12" w:space="0" w:color="auto"/>
              <w:right w:val="nil"/>
            </w:tcBorders>
            <w:shd w:val="clear" w:color="auto" w:fill="auto"/>
            <w:vAlign w:val="bottom"/>
          </w:tcPr>
          <w:p w14:paraId="5BF278CF"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1,699,798</w:t>
            </w:r>
          </w:p>
        </w:tc>
        <w:tc>
          <w:tcPr>
            <w:tcW w:w="1087" w:type="dxa"/>
            <w:tcBorders>
              <w:top w:val="single" w:sz="12" w:space="0" w:color="auto"/>
              <w:left w:val="nil"/>
              <w:bottom w:val="single" w:sz="12" w:space="0" w:color="auto"/>
              <w:right w:val="nil"/>
            </w:tcBorders>
            <w:shd w:val="clear" w:color="auto" w:fill="auto"/>
            <w:vAlign w:val="bottom"/>
          </w:tcPr>
          <w:p w14:paraId="00117C36"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(7,258,546)</w:t>
            </w:r>
          </w:p>
        </w:tc>
        <w:tc>
          <w:tcPr>
            <w:tcW w:w="1087" w:type="dxa"/>
            <w:tcBorders>
              <w:top w:val="single" w:sz="12" w:space="0" w:color="auto"/>
              <w:left w:val="nil"/>
              <w:bottom w:val="single" w:sz="12" w:space="0" w:color="auto"/>
              <w:right w:val="nil"/>
            </w:tcBorders>
            <w:shd w:val="clear" w:color="auto" w:fill="auto"/>
            <w:vAlign w:val="bottom"/>
          </w:tcPr>
          <w:p w14:paraId="39D6E362"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w:t>
            </w:r>
          </w:p>
        </w:tc>
      </w:tr>
      <w:tr w:rsidR="005F1566" w:rsidRPr="005F1566" w14:paraId="4A840F2E" w14:textId="77777777" w:rsidTr="005F1566">
        <w:tc>
          <w:tcPr>
            <w:tcW w:w="2834" w:type="dxa"/>
          </w:tcPr>
          <w:p w14:paraId="74540A6C" w14:textId="77777777" w:rsidR="005F1566" w:rsidRPr="005F1566" w:rsidRDefault="005F1566" w:rsidP="005F1566">
            <w:pPr>
              <w:tabs>
                <w:tab w:val="right" w:pos="1202"/>
              </w:tabs>
              <w:spacing w:after="0" w:line="240" w:lineRule="exact"/>
              <w:outlineLvl w:val="0"/>
              <w:rPr>
                <w:rFonts w:asciiTheme="minorHAnsi" w:eastAsia="Times New Roman" w:hAnsiTheme="minorHAnsi" w:cs="Arial"/>
                <w:b/>
                <w:bCs/>
                <w:spacing w:val="-2"/>
                <w:sz w:val="18"/>
                <w:szCs w:val="18"/>
              </w:rPr>
            </w:pPr>
            <w:r w:rsidRPr="005F1566">
              <w:rPr>
                <w:rFonts w:asciiTheme="minorHAnsi" w:eastAsia="Times New Roman" w:hAnsiTheme="minorHAnsi" w:cs="Arial"/>
                <w:b/>
                <w:bCs/>
                <w:spacing w:val="-2"/>
                <w:sz w:val="18"/>
                <w:szCs w:val="18"/>
              </w:rPr>
              <w:t>Net cumulative assets/liabilities</w:t>
            </w:r>
          </w:p>
        </w:tc>
        <w:tc>
          <w:tcPr>
            <w:tcW w:w="1086" w:type="dxa"/>
            <w:tcBorders>
              <w:top w:val="nil"/>
              <w:left w:val="nil"/>
              <w:bottom w:val="single" w:sz="12" w:space="0" w:color="000000"/>
              <w:right w:val="nil"/>
            </w:tcBorders>
            <w:shd w:val="clear" w:color="auto" w:fill="auto"/>
            <w:vAlign w:val="bottom"/>
          </w:tcPr>
          <w:p w14:paraId="5720B8C9"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5,350,318</w:t>
            </w:r>
          </w:p>
        </w:tc>
        <w:tc>
          <w:tcPr>
            <w:tcW w:w="1087" w:type="dxa"/>
            <w:tcBorders>
              <w:top w:val="nil"/>
              <w:left w:val="nil"/>
              <w:bottom w:val="single" w:sz="12" w:space="0" w:color="000000"/>
              <w:right w:val="nil"/>
            </w:tcBorders>
            <w:shd w:val="clear" w:color="auto" w:fill="auto"/>
            <w:vAlign w:val="bottom"/>
          </w:tcPr>
          <w:p w14:paraId="1D5DD20F"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5,854,241</w:t>
            </w:r>
          </w:p>
        </w:tc>
        <w:tc>
          <w:tcPr>
            <w:tcW w:w="1087" w:type="dxa"/>
            <w:tcBorders>
              <w:top w:val="nil"/>
              <w:left w:val="nil"/>
              <w:bottom w:val="single" w:sz="12" w:space="0" w:color="000000"/>
              <w:right w:val="nil"/>
            </w:tcBorders>
            <w:shd w:val="clear" w:color="auto" w:fill="auto"/>
            <w:vAlign w:val="bottom"/>
          </w:tcPr>
          <w:p w14:paraId="33505787"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5,558,748</w:t>
            </w:r>
          </w:p>
        </w:tc>
        <w:tc>
          <w:tcPr>
            <w:tcW w:w="1086" w:type="dxa"/>
            <w:tcBorders>
              <w:top w:val="nil"/>
              <w:left w:val="nil"/>
              <w:bottom w:val="single" w:sz="12" w:space="0" w:color="000000"/>
              <w:right w:val="nil"/>
            </w:tcBorders>
            <w:shd w:val="clear" w:color="auto" w:fill="auto"/>
            <w:vAlign w:val="bottom"/>
          </w:tcPr>
          <w:p w14:paraId="2C3A93DC"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7,258,546</w:t>
            </w:r>
          </w:p>
        </w:tc>
        <w:tc>
          <w:tcPr>
            <w:tcW w:w="1087" w:type="dxa"/>
            <w:tcBorders>
              <w:top w:val="nil"/>
              <w:left w:val="nil"/>
              <w:bottom w:val="single" w:sz="12" w:space="0" w:color="000000"/>
              <w:right w:val="nil"/>
            </w:tcBorders>
            <w:shd w:val="clear" w:color="auto" w:fill="auto"/>
            <w:vAlign w:val="bottom"/>
          </w:tcPr>
          <w:p w14:paraId="5E473324"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w:t>
            </w:r>
          </w:p>
        </w:tc>
        <w:tc>
          <w:tcPr>
            <w:tcW w:w="1087" w:type="dxa"/>
            <w:tcBorders>
              <w:top w:val="nil"/>
              <w:left w:val="nil"/>
              <w:bottom w:val="single" w:sz="12" w:space="0" w:color="000000"/>
              <w:right w:val="nil"/>
            </w:tcBorders>
            <w:shd w:val="clear" w:color="auto" w:fill="auto"/>
            <w:vAlign w:val="bottom"/>
          </w:tcPr>
          <w:p w14:paraId="6C81CC35" w14:textId="77777777"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w:t>
            </w:r>
          </w:p>
        </w:tc>
      </w:tr>
    </w:tbl>
    <w:p w14:paraId="4747305A" w14:textId="77777777" w:rsidR="009702B0" w:rsidRPr="009702B0" w:rsidRDefault="009702B0" w:rsidP="009702B0">
      <w:pPr>
        <w:spacing w:after="0" w:line="240" w:lineRule="exact"/>
        <w:jc w:val="both"/>
        <w:rPr>
          <w:rFonts w:eastAsia="Times New Roman" w:cs="Arial"/>
          <w:bCs/>
          <w:sz w:val="18"/>
          <w:szCs w:val="18"/>
        </w:rPr>
      </w:pPr>
    </w:p>
    <w:p w14:paraId="1116C1F8" w14:textId="77777777" w:rsidR="009702B0" w:rsidRPr="009702B0" w:rsidRDefault="009702B0" w:rsidP="009702B0">
      <w:pPr>
        <w:spacing w:after="0" w:line="240" w:lineRule="auto"/>
        <w:jc w:val="both"/>
        <w:rPr>
          <w:rFonts w:eastAsia="Times New Roman" w:cs="Arial"/>
          <w:bCs/>
          <w:sz w:val="18"/>
          <w:szCs w:val="18"/>
        </w:rPr>
      </w:pPr>
      <w:r w:rsidRPr="009702B0">
        <w:rPr>
          <w:rFonts w:eastAsia="Times New Roman" w:cs="Arial"/>
          <w:bCs/>
          <w:sz w:val="18"/>
          <w:szCs w:val="18"/>
        </w:rPr>
        <w:t>The items with undefined maturity are included in terms over 3 years.</w:t>
      </w:r>
    </w:p>
    <w:p w14:paraId="311BEF55" w14:textId="77777777" w:rsidR="009702B0" w:rsidRPr="009702B0" w:rsidRDefault="009702B0" w:rsidP="009702B0">
      <w:pPr>
        <w:spacing w:after="0" w:line="240" w:lineRule="auto"/>
        <w:jc w:val="both"/>
        <w:rPr>
          <w:rFonts w:eastAsia="Times New Roman"/>
          <w:i/>
          <w:sz w:val="18"/>
          <w:szCs w:val="18"/>
        </w:rPr>
      </w:pPr>
    </w:p>
    <w:p w14:paraId="17B9581D" w14:textId="77777777" w:rsidR="009702B0" w:rsidRPr="009702B0" w:rsidRDefault="009702B0" w:rsidP="009702B0">
      <w:pPr>
        <w:keepNext/>
        <w:spacing w:after="0" w:line="240" w:lineRule="auto"/>
        <w:ind w:right="-142"/>
        <w:jc w:val="both"/>
        <w:rPr>
          <w:rFonts w:eastAsia="Times New Roman"/>
          <w:bCs/>
          <w:i/>
          <w:sz w:val="18"/>
          <w:szCs w:val="18"/>
        </w:rPr>
      </w:pPr>
      <w:r w:rsidRPr="009702B0">
        <w:rPr>
          <w:rFonts w:eastAsia="Times New Roman"/>
          <w:bCs/>
          <w:i/>
          <w:sz w:val="18"/>
          <w:szCs w:val="18"/>
        </w:rPr>
        <w:t xml:space="preserve">* </w:t>
      </w:r>
      <w:r w:rsidR="005F1566" w:rsidRPr="005F1566">
        <w:rPr>
          <w:rFonts w:eastAsia="Times New Roman"/>
          <w:bCs/>
          <w:i/>
          <w:sz w:val="18"/>
          <w:szCs w:val="18"/>
        </w:rPr>
        <w:t>Receivables of HRK 232,489 thousand relate to reverse REPO agreements and were placed in the up to 1 month maturity category</w:t>
      </w:r>
      <w:r w:rsidR="005F1566">
        <w:rPr>
          <w:rFonts w:eastAsia="Times New Roman"/>
          <w:bCs/>
          <w:i/>
          <w:sz w:val="18"/>
          <w:szCs w:val="18"/>
        </w:rPr>
        <w:t>.</w:t>
      </w:r>
    </w:p>
    <w:p w14:paraId="3C7607E8" w14:textId="77777777" w:rsidR="009702B0" w:rsidRPr="009702B0" w:rsidRDefault="009702B0" w:rsidP="009702B0">
      <w:pPr>
        <w:spacing w:after="0" w:line="240" w:lineRule="auto"/>
        <w:rPr>
          <w:rFonts w:cs="Arial"/>
          <w:sz w:val="18"/>
          <w:szCs w:val="18"/>
          <w:highlight w:val="yellow"/>
        </w:rPr>
      </w:pPr>
    </w:p>
    <w:p w14:paraId="171A320A" w14:textId="77777777" w:rsidR="009702B0" w:rsidRPr="009702B0" w:rsidRDefault="009702B0" w:rsidP="009702B0">
      <w:pPr>
        <w:spacing w:after="0" w:line="240" w:lineRule="auto"/>
        <w:jc w:val="both"/>
        <w:rPr>
          <w:rFonts w:eastAsia="Times New Roman" w:cs="Calibri"/>
          <w:b/>
          <w:sz w:val="18"/>
          <w:szCs w:val="18"/>
        </w:rPr>
        <w:sectPr w:rsidR="009702B0" w:rsidRPr="009702B0" w:rsidSect="00947CB7">
          <w:footerReference w:type="first" r:id="rId102"/>
          <w:pgSz w:w="11906" w:h="16838" w:code="9"/>
          <w:pgMar w:top="1418" w:right="1418" w:bottom="595" w:left="1134" w:header="709" w:footer="709" w:gutter="0"/>
          <w:cols w:space="708"/>
          <w:titlePg/>
          <w:docGrid w:linePitch="360"/>
        </w:sectPr>
      </w:pPr>
    </w:p>
    <w:p w14:paraId="62FE6C8B" w14:textId="77777777" w:rsidR="009702B0" w:rsidRPr="009702B0" w:rsidRDefault="009702B0" w:rsidP="009702B0">
      <w:pPr>
        <w:keepNext/>
        <w:tabs>
          <w:tab w:val="left" w:pos="709"/>
          <w:tab w:val="left" w:pos="851"/>
        </w:tabs>
        <w:spacing w:after="0" w:line="240" w:lineRule="auto"/>
        <w:jc w:val="both"/>
        <w:rPr>
          <w:rFonts w:eastAsia="Times New Roman" w:cs="Arial"/>
          <w:b/>
          <w:bCs/>
        </w:rPr>
      </w:pPr>
    </w:p>
    <w:p w14:paraId="5596F234" w14:textId="77777777" w:rsidR="009702B0" w:rsidRPr="009702B0" w:rsidRDefault="009702B0" w:rsidP="009702B0">
      <w:pPr>
        <w:spacing w:after="0" w:line="300" w:lineRule="exact"/>
        <w:jc w:val="both"/>
        <w:rPr>
          <w:rFonts w:asciiTheme="minorHAnsi" w:eastAsia="Times New Roman" w:hAnsiTheme="minorHAnsi" w:cs="Arial"/>
          <w:b/>
          <w:bCs/>
        </w:rPr>
      </w:pPr>
      <w:r w:rsidRPr="009702B0">
        <w:rPr>
          <w:rFonts w:asciiTheme="minorHAnsi" w:eastAsia="Times New Roman" w:hAnsiTheme="minorHAnsi" w:cs="Arial"/>
          <w:b/>
          <w:bCs/>
        </w:rPr>
        <w:t>16.</w:t>
      </w:r>
      <w:r w:rsidRPr="009702B0">
        <w:rPr>
          <w:rFonts w:asciiTheme="minorHAnsi" w:eastAsia="Times New Roman" w:hAnsiTheme="minorHAnsi" w:cs="Arial"/>
          <w:b/>
          <w:bCs/>
        </w:rPr>
        <w:tab/>
        <w:t>Risk management (continued)</w:t>
      </w:r>
    </w:p>
    <w:p w14:paraId="1AD68956" w14:textId="77777777" w:rsidR="009702B0" w:rsidRPr="009702B0" w:rsidRDefault="009702B0" w:rsidP="009702B0">
      <w:pPr>
        <w:spacing w:after="0" w:line="300" w:lineRule="exact"/>
        <w:jc w:val="both"/>
        <w:rPr>
          <w:rFonts w:asciiTheme="minorHAnsi" w:eastAsia="Times New Roman" w:hAnsiTheme="minorHAnsi" w:cs="Arial"/>
          <w:b/>
          <w:bCs/>
        </w:rPr>
      </w:pPr>
    </w:p>
    <w:p w14:paraId="335F76EB" w14:textId="77777777" w:rsidR="009702B0" w:rsidRPr="009702B0" w:rsidRDefault="009702B0" w:rsidP="009702B0">
      <w:pPr>
        <w:spacing w:after="0" w:line="300" w:lineRule="exact"/>
        <w:jc w:val="both"/>
        <w:rPr>
          <w:rFonts w:asciiTheme="minorHAnsi" w:eastAsia="Times New Roman" w:hAnsiTheme="minorHAnsi"/>
          <w:b/>
        </w:rPr>
      </w:pPr>
      <w:r w:rsidRPr="009702B0">
        <w:rPr>
          <w:rFonts w:asciiTheme="minorHAnsi" w:eastAsia="Times New Roman" w:hAnsiTheme="minorHAnsi"/>
          <w:b/>
        </w:rPr>
        <w:t xml:space="preserve">16.3. </w:t>
      </w:r>
      <w:r w:rsidRPr="009702B0">
        <w:rPr>
          <w:rFonts w:asciiTheme="minorHAnsi" w:eastAsia="Times New Roman" w:hAnsiTheme="minorHAnsi"/>
          <w:b/>
        </w:rPr>
        <w:tab/>
        <w:t>Liquidity risk (continued)</w:t>
      </w:r>
    </w:p>
    <w:p w14:paraId="7061E491" w14:textId="77777777" w:rsidR="009702B0" w:rsidRPr="009702B0" w:rsidRDefault="009702B0" w:rsidP="009702B0">
      <w:pPr>
        <w:keepNext/>
        <w:spacing w:after="0" w:line="240" w:lineRule="auto"/>
        <w:jc w:val="both"/>
        <w:rPr>
          <w:rFonts w:asciiTheme="minorHAnsi" w:eastAsia="Times New Roman" w:hAnsiTheme="minorHAnsi" w:cs="Arial"/>
          <w:bCs/>
        </w:rPr>
      </w:pPr>
    </w:p>
    <w:p w14:paraId="768A8EA6" w14:textId="77777777" w:rsidR="009702B0" w:rsidRPr="009702B0" w:rsidRDefault="009702B0" w:rsidP="009702B0">
      <w:pPr>
        <w:keepNext/>
        <w:spacing w:after="0" w:line="300" w:lineRule="exact"/>
        <w:jc w:val="both"/>
        <w:rPr>
          <w:rFonts w:asciiTheme="minorHAnsi" w:eastAsia="Times New Roman" w:hAnsiTheme="minorHAnsi" w:cs="Arial"/>
          <w:bCs/>
        </w:rPr>
      </w:pPr>
      <w:r w:rsidRPr="009702B0">
        <w:rPr>
          <w:rFonts w:asciiTheme="minorHAnsi" w:eastAsia="Times New Roman" w:hAnsiTheme="minorHAnsi" w:cs="Arial"/>
          <w:bCs/>
        </w:rPr>
        <w:t>The table below indicates the remaining contractual maturity of financial liabilities of the Group in undiscounted amounts:</w:t>
      </w:r>
      <w:r w:rsidRPr="009702B0" w:rsidDel="005F1A3A">
        <w:rPr>
          <w:rFonts w:asciiTheme="minorHAnsi" w:eastAsia="Times New Roman" w:hAnsiTheme="minorHAnsi" w:cs="Arial"/>
          <w:bCs/>
          <w:highlight w:val="yellow"/>
        </w:rPr>
        <w:t xml:space="preserve"> </w:t>
      </w:r>
    </w:p>
    <w:p w14:paraId="3C8F7FCC" w14:textId="77777777" w:rsidR="009702B0" w:rsidRPr="009702B0" w:rsidRDefault="009702B0" w:rsidP="009702B0">
      <w:pPr>
        <w:keepNext/>
        <w:spacing w:after="0" w:line="360" w:lineRule="auto"/>
        <w:jc w:val="both"/>
        <w:rPr>
          <w:rFonts w:asciiTheme="minorHAnsi" w:eastAsia="Times New Roman" w:hAnsiTheme="minorHAnsi" w:cs="Arial"/>
          <w:bCs/>
          <w:sz w:val="18"/>
          <w:szCs w:val="18"/>
        </w:rPr>
      </w:pPr>
    </w:p>
    <w:tbl>
      <w:tblPr>
        <w:tblW w:w="4958" w:type="pct"/>
        <w:jc w:val="center"/>
        <w:tblLayout w:type="fixed"/>
        <w:tblCellMar>
          <w:left w:w="120" w:type="dxa"/>
          <w:right w:w="120" w:type="dxa"/>
        </w:tblCellMar>
        <w:tblLook w:val="0000" w:firstRow="0" w:lastRow="0" w:firstColumn="0" w:lastColumn="0" w:noHBand="0" w:noVBand="0"/>
      </w:tblPr>
      <w:tblGrid>
        <w:gridCol w:w="2104"/>
        <w:gridCol w:w="1251"/>
        <w:gridCol w:w="1132"/>
        <w:gridCol w:w="1190"/>
        <w:gridCol w:w="1190"/>
        <w:gridCol w:w="1190"/>
        <w:gridCol w:w="1218"/>
      </w:tblGrid>
      <w:tr w:rsidR="009702B0" w:rsidRPr="00D52976" w14:paraId="72302C4D" w14:textId="77777777" w:rsidTr="00BA3F2A">
        <w:trPr>
          <w:trHeight w:val="543"/>
          <w:jc w:val="center"/>
        </w:trPr>
        <w:tc>
          <w:tcPr>
            <w:tcW w:w="2104" w:type="dxa"/>
            <w:vAlign w:val="bottom"/>
          </w:tcPr>
          <w:p w14:paraId="68269AEF" w14:textId="77777777" w:rsidR="009702B0" w:rsidRPr="00D52976" w:rsidRDefault="009702B0" w:rsidP="009702B0">
            <w:pPr>
              <w:tabs>
                <w:tab w:val="right" w:pos="1202"/>
              </w:tabs>
              <w:spacing w:after="0" w:line="240" w:lineRule="atLeast"/>
              <w:outlineLvl w:val="0"/>
              <w:rPr>
                <w:rFonts w:asciiTheme="minorHAnsi" w:eastAsia="Times New Roman" w:hAnsiTheme="minorHAnsi" w:cs="Arial"/>
                <w:b/>
                <w:sz w:val="18"/>
                <w:szCs w:val="18"/>
              </w:rPr>
            </w:pPr>
            <w:r w:rsidRPr="00D52976">
              <w:rPr>
                <w:rFonts w:asciiTheme="minorHAnsi" w:eastAsia="Times New Roman" w:hAnsiTheme="minorHAnsi" w:cs="Arial"/>
                <w:b/>
                <w:sz w:val="18"/>
                <w:szCs w:val="18"/>
              </w:rPr>
              <w:t>Group</w:t>
            </w:r>
          </w:p>
          <w:p w14:paraId="2C12BD42" w14:textId="62940C64" w:rsidR="009702B0" w:rsidRPr="00D52976" w:rsidRDefault="001B3242" w:rsidP="009702B0">
            <w:pPr>
              <w:tabs>
                <w:tab w:val="right" w:pos="1202"/>
              </w:tabs>
              <w:spacing w:after="0" w:line="240" w:lineRule="atLeast"/>
              <w:outlineLvl w:val="0"/>
              <w:rPr>
                <w:rFonts w:asciiTheme="minorHAnsi" w:eastAsia="Times New Roman" w:hAnsiTheme="minorHAnsi" w:cs="Arial"/>
                <w:b/>
                <w:sz w:val="18"/>
                <w:szCs w:val="18"/>
              </w:rPr>
            </w:pPr>
            <w:r>
              <w:rPr>
                <w:rFonts w:asciiTheme="minorHAnsi" w:eastAsia="Times New Roman" w:hAnsiTheme="minorHAnsi" w:cs="Arial"/>
                <w:b/>
                <w:sz w:val="18"/>
                <w:szCs w:val="18"/>
              </w:rPr>
              <w:t xml:space="preserve">Sep </w:t>
            </w:r>
            <w:r w:rsidR="00FE21E9">
              <w:rPr>
                <w:rFonts w:asciiTheme="minorHAnsi" w:eastAsia="Times New Roman" w:hAnsiTheme="minorHAnsi" w:cs="Arial"/>
                <w:b/>
                <w:sz w:val="18"/>
                <w:szCs w:val="18"/>
              </w:rPr>
              <w:t>30</w:t>
            </w:r>
            <w:r w:rsidR="005F1566" w:rsidRPr="005F1566">
              <w:rPr>
                <w:rFonts w:asciiTheme="minorHAnsi" w:eastAsia="Times New Roman" w:hAnsiTheme="minorHAnsi" w:cs="Arial"/>
                <w:b/>
                <w:sz w:val="18"/>
                <w:szCs w:val="18"/>
              </w:rPr>
              <w:t>, 2017</w:t>
            </w:r>
          </w:p>
        </w:tc>
        <w:tc>
          <w:tcPr>
            <w:tcW w:w="1251" w:type="dxa"/>
          </w:tcPr>
          <w:p w14:paraId="65F35F2C" w14:textId="77777777" w:rsidR="009702B0" w:rsidRPr="00D52976"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D52976">
              <w:rPr>
                <w:rFonts w:asciiTheme="minorHAnsi" w:eastAsia="Times New Roman" w:hAnsiTheme="minorHAnsi" w:cs="Arial"/>
                <w:b/>
                <w:sz w:val="18"/>
                <w:szCs w:val="18"/>
              </w:rPr>
              <w:t>Up to 1 month</w:t>
            </w:r>
          </w:p>
        </w:tc>
        <w:tc>
          <w:tcPr>
            <w:tcW w:w="1132" w:type="dxa"/>
          </w:tcPr>
          <w:p w14:paraId="4496FECA" w14:textId="77777777" w:rsidR="009702B0" w:rsidRPr="00D52976"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D52976">
              <w:rPr>
                <w:rFonts w:asciiTheme="minorHAnsi" w:eastAsia="Times New Roman" w:hAnsiTheme="minorHAnsi" w:cs="Arial"/>
                <w:b/>
                <w:sz w:val="18"/>
                <w:szCs w:val="18"/>
              </w:rPr>
              <w:t>1 - 3 months</w:t>
            </w:r>
          </w:p>
        </w:tc>
        <w:tc>
          <w:tcPr>
            <w:tcW w:w="1190" w:type="dxa"/>
          </w:tcPr>
          <w:p w14:paraId="6FB9631F" w14:textId="77777777" w:rsidR="009702B0" w:rsidRPr="00D52976"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D52976">
              <w:rPr>
                <w:rFonts w:asciiTheme="minorHAnsi" w:eastAsia="Times New Roman" w:hAnsiTheme="minorHAnsi" w:cs="Arial"/>
                <w:b/>
                <w:sz w:val="18"/>
                <w:szCs w:val="18"/>
              </w:rPr>
              <w:t xml:space="preserve">3 - 12 </w:t>
            </w:r>
          </w:p>
          <w:p w14:paraId="361C9100" w14:textId="77777777" w:rsidR="009702B0" w:rsidRPr="00D52976"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D52976">
              <w:rPr>
                <w:rFonts w:asciiTheme="minorHAnsi" w:eastAsia="Times New Roman" w:hAnsiTheme="minorHAnsi" w:cs="Arial"/>
                <w:b/>
                <w:sz w:val="18"/>
                <w:szCs w:val="18"/>
              </w:rPr>
              <w:t>months</w:t>
            </w:r>
          </w:p>
        </w:tc>
        <w:tc>
          <w:tcPr>
            <w:tcW w:w="1190" w:type="dxa"/>
          </w:tcPr>
          <w:p w14:paraId="00F386D8" w14:textId="77777777" w:rsidR="009702B0" w:rsidRPr="00D52976"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D52976">
              <w:rPr>
                <w:rFonts w:asciiTheme="minorHAnsi" w:eastAsia="Times New Roman" w:hAnsiTheme="minorHAnsi" w:cs="Arial"/>
                <w:b/>
                <w:sz w:val="18"/>
                <w:szCs w:val="18"/>
              </w:rPr>
              <w:t xml:space="preserve">1 - 3 </w:t>
            </w:r>
          </w:p>
          <w:p w14:paraId="1988B7C8" w14:textId="77777777" w:rsidR="009702B0" w:rsidRPr="00D52976"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D52976">
              <w:rPr>
                <w:rFonts w:asciiTheme="minorHAnsi" w:eastAsia="Times New Roman" w:hAnsiTheme="minorHAnsi" w:cs="Arial"/>
                <w:b/>
                <w:sz w:val="18"/>
                <w:szCs w:val="18"/>
              </w:rPr>
              <w:t>years</w:t>
            </w:r>
          </w:p>
        </w:tc>
        <w:tc>
          <w:tcPr>
            <w:tcW w:w="1190" w:type="dxa"/>
          </w:tcPr>
          <w:p w14:paraId="2CFF26AF" w14:textId="77777777" w:rsidR="009702B0" w:rsidRPr="00D52976" w:rsidRDefault="009702B0" w:rsidP="009702B0">
            <w:pPr>
              <w:tabs>
                <w:tab w:val="right" w:pos="1263"/>
              </w:tabs>
              <w:spacing w:after="0" w:line="240" w:lineRule="atLeast"/>
              <w:jc w:val="right"/>
              <w:outlineLvl w:val="0"/>
              <w:rPr>
                <w:rFonts w:asciiTheme="minorHAnsi" w:eastAsia="Times New Roman" w:hAnsiTheme="minorHAnsi" w:cs="Arial"/>
                <w:b/>
                <w:sz w:val="18"/>
                <w:szCs w:val="18"/>
              </w:rPr>
            </w:pPr>
            <w:r w:rsidRPr="00D52976">
              <w:rPr>
                <w:rFonts w:asciiTheme="minorHAnsi" w:eastAsia="Times New Roman" w:hAnsiTheme="minorHAnsi" w:cs="Arial"/>
                <w:b/>
                <w:sz w:val="18"/>
                <w:szCs w:val="18"/>
              </w:rPr>
              <w:t xml:space="preserve">Over 3 </w:t>
            </w:r>
          </w:p>
          <w:p w14:paraId="537BE14D" w14:textId="77777777" w:rsidR="009702B0" w:rsidRPr="00D52976" w:rsidRDefault="009702B0" w:rsidP="009702B0">
            <w:pPr>
              <w:tabs>
                <w:tab w:val="right" w:pos="1263"/>
              </w:tabs>
              <w:spacing w:after="0" w:line="240" w:lineRule="atLeast"/>
              <w:jc w:val="right"/>
              <w:outlineLvl w:val="0"/>
              <w:rPr>
                <w:rFonts w:asciiTheme="minorHAnsi" w:eastAsia="Times New Roman" w:hAnsiTheme="minorHAnsi" w:cs="Arial"/>
                <w:b/>
                <w:sz w:val="18"/>
                <w:szCs w:val="18"/>
              </w:rPr>
            </w:pPr>
            <w:r w:rsidRPr="00D52976">
              <w:rPr>
                <w:rFonts w:asciiTheme="minorHAnsi" w:eastAsia="Times New Roman" w:hAnsiTheme="minorHAnsi" w:cs="Arial"/>
                <w:b/>
                <w:sz w:val="18"/>
                <w:szCs w:val="18"/>
              </w:rPr>
              <w:t>years</w:t>
            </w:r>
          </w:p>
        </w:tc>
        <w:tc>
          <w:tcPr>
            <w:tcW w:w="1218" w:type="dxa"/>
          </w:tcPr>
          <w:p w14:paraId="527F215F" w14:textId="77777777" w:rsidR="009702B0" w:rsidRPr="00D52976"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D52976">
              <w:rPr>
                <w:rFonts w:asciiTheme="minorHAnsi" w:eastAsia="Times New Roman" w:hAnsiTheme="minorHAnsi" w:cs="Arial"/>
                <w:b/>
                <w:sz w:val="18"/>
                <w:szCs w:val="18"/>
              </w:rPr>
              <w:t>Total</w:t>
            </w:r>
          </w:p>
        </w:tc>
      </w:tr>
      <w:tr w:rsidR="009702B0" w:rsidRPr="00D52976" w14:paraId="1AD08ADC" w14:textId="77777777" w:rsidTr="00166751">
        <w:trPr>
          <w:trHeight w:val="294"/>
          <w:jc w:val="center"/>
        </w:trPr>
        <w:tc>
          <w:tcPr>
            <w:tcW w:w="2104" w:type="dxa"/>
          </w:tcPr>
          <w:p w14:paraId="3D206A4D" w14:textId="77777777" w:rsidR="009702B0" w:rsidRPr="00D52976" w:rsidRDefault="009702B0" w:rsidP="009702B0">
            <w:pPr>
              <w:tabs>
                <w:tab w:val="right" w:pos="1202"/>
              </w:tabs>
              <w:spacing w:after="0" w:line="301" w:lineRule="exact"/>
              <w:outlineLvl w:val="0"/>
              <w:rPr>
                <w:rFonts w:asciiTheme="minorHAnsi" w:eastAsia="Times New Roman" w:hAnsiTheme="minorHAnsi" w:cs="Arial"/>
                <w:b/>
                <w:bCs/>
                <w:sz w:val="18"/>
                <w:szCs w:val="18"/>
              </w:rPr>
            </w:pPr>
            <w:r w:rsidRPr="00D52976">
              <w:rPr>
                <w:rFonts w:asciiTheme="minorHAnsi" w:eastAsia="Times New Roman" w:hAnsiTheme="minorHAnsi" w:cs="Arial"/>
                <w:b/>
                <w:bCs/>
                <w:sz w:val="18"/>
                <w:szCs w:val="18"/>
              </w:rPr>
              <w:t>Financial liabilities</w:t>
            </w:r>
          </w:p>
        </w:tc>
        <w:tc>
          <w:tcPr>
            <w:tcW w:w="1251" w:type="dxa"/>
            <w:vAlign w:val="bottom"/>
          </w:tcPr>
          <w:p w14:paraId="1F9AEE35" w14:textId="77777777" w:rsidR="009702B0" w:rsidRPr="00D52976"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32" w:type="dxa"/>
            <w:vAlign w:val="bottom"/>
          </w:tcPr>
          <w:p w14:paraId="15B11FC1" w14:textId="77777777" w:rsidR="009702B0" w:rsidRPr="00D52976"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90" w:type="dxa"/>
            <w:vAlign w:val="bottom"/>
          </w:tcPr>
          <w:p w14:paraId="471BE0F1" w14:textId="77777777" w:rsidR="009702B0" w:rsidRPr="00D52976"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90" w:type="dxa"/>
            <w:vAlign w:val="bottom"/>
          </w:tcPr>
          <w:p w14:paraId="13914F60" w14:textId="77777777" w:rsidR="009702B0" w:rsidRPr="00D52976"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90" w:type="dxa"/>
            <w:vAlign w:val="bottom"/>
          </w:tcPr>
          <w:p w14:paraId="489ED6D6" w14:textId="77777777" w:rsidR="009702B0" w:rsidRPr="00D52976" w:rsidRDefault="009702B0" w:rsidP="009702B0">
            <w:pPr>
              <w:tabs>
                <w:tab w:val="right" w:pos="1263"/>
              </w:tabs>
              <w:spacing w:after="0" w:line="301" w:lineRule="exact"/>
              <w:jc w:val="right"/>
              <w:outlineLvl w:val="0"/>
              <w:rPr>
                <w:rFonts w:asciiTheme="minorHAnsi" w:eastAsia="Times New Roman" w:hAnsiTheme="minorHAnsi" w:cs="Arial"/>
                <w:b/>
                <w:bCs/>
                <w:spacing w:val="-2"/>
                <w:sz w:val="18"/>
                <w:szCs w:val="18"/>
              </w:rPr>
            </w:pPr>
          </w:p>
        </w:tc>
        <w:tc>
          <w:tcPr>
            <w:tcW w:w="1218" w:type="dxa"/>
            <w:vAlign w:val="bottom"/>
          </w:tcPr>
          <w:p w14:paraId="10A4BC17" w14:textId="77777777" w:rsidR="009702B0" w:rsidRPr="00D52976" w:rsidRDefault="009702B0" w:rsidP="009702B0">
            <w:pPr>
              <w:spacing w:after="0" w:line="301" w:lineRule="exact"/>
              <w:jc w:val="right"/>
              <w:outlineLvl w:val="0"/>
              <w:rPr>
                <w:rFonts w:asciiTheme="minorHAnsi" w:eastAsia="Times New Roman" w:hAnsiTheme="minorHAnsi" w:cs="Arial"/>
                <w:b/>
                <w:bCs/>
                <w:sz w:val="18"/>
                <w:szCs w:val="18"/>
              </w:rPr>
            </w:pPr>
          </w:p>
        </w:tc>
      </w:tr>
      <w:tr w:rsidR="008211C8" w:rsidRPr="00D52976" w14:paraId="526EE3DB" w14:textId="77777777" w:rsidTr="005444AA">
        <w:trPr>
          <w:trHeight w:val="294"/>
          <w:jc w:val="center"/>
        </w:trPr>
        <w:tc>
          <w:tcPr>
            <w:tcW w:w="2104" w:type="dxa"/>
          </w:tcPr>
          <w:p w14:paraId="4D6BDEDB" w14:textId="77777777" w:rsidR="008211C8" w:rsidRPr="00D52976" w:rsidRDefault="008211C8" w:rsidP="008211C8">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D52976">
              <w:rPr>
                <w:rFonts w:asciiTheme="minorHAnsi" w:eastAsia="Times New Roman" w:hAnsiTheme="minorHAnsi" w:cs="Arial"/>
                <w:sz w:val="18"/>
                <w:szCs w:val="18"/>
              </w:rPr>
              <w:t>Deposits</w:t>
            </w:r>
          </w:p>
        </w:tc>
        <w:tc>
          <w:tcPr>
            <w:tcW w:w="1251" w:type="dxa"/>
            <w:tcBorders>
              <w:top w:val="nil"/>
              <w:left w:val="nil"/>
              <w:bottom w:val="nil"/>
              <w:right w:val="nil"/>
            </w:tcBorders>
            <w:shd w:val="clear" w:color="auto" w:fill="auto"/>
            <w:vAlign w:val="bottom"/>
          </w:tcPr>
          <w:p w14:paraId="3E515598" w14:textId="2CD8A06B" w:rsidR="008211C8" w:rsidRPr="00D52976" w:rsidRDefault="008211C8" w:rsidP="008211C8">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FE65B6">
              <w:rPr>
                <w:sz w:val="18"/>
                <w:szCs w:val="18"/>
              </w:rPr>
              <w:t>732</w:t>
            </w:r>
            <w:r>
              <w:rPr>
                <w:sz w:val="18"/>
                <w:szCs w:val="18"/>
              </w:rPr>
              <w:t>,</w:t>
            </w:r>
            <w:r w:rsidRPr="00FE65B6">
              <w:rPr>
                <w:sz w:val="18"/>
                <w:szCs w:val="18"/>
              </w:rPr>
              <w:t>851</w:t>
            </w:r>
          </w:p>
        </w:tc>
        <w:tc>
          <w:tcPr>
            <w:tcW w:w="1132" w:type="dxa"/>
            <w:tcBorders>
              <w:top w:val="nil"/>
              <w:left w:val="nil"/>
              <w:bottom w:val="nil"/>
              <w:right w:val="nil"/>
            </w:tcBorders>
            <w:shd w:val="clear" w:color="auto" w:fill="auto"/>
            <w:vAlign w:val="bottom"/>
          </w:tcPr>
          <w:p w14:paraId="514D807C" w14:textId="2870828B" w:rsidR="008211C8" w:rsidRPr="00D52976" w:rsidRDefault="008211C8" w:rsidP="008211C8">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FE65B6">
              <w:rPr>
                <w:sz w:val="18"/>
                <w:szCs w:val="18"/>
              </w:rPr>
              <w:t>165</w:t>
            </w:r>
            <w:r>
              <w:rPr>
                <w:sz w:val="18"/>
                <w:szCs w:val="18"/>
              </w:rPr>
              <w:t>,</w:t>
            </w:r>
            <w:r w:rsidRPr="00FE65B6">
              <w:rPr>
                <w:sz w:val="18"/>
                <w:szCs w:val="18"/>
              </w:rPr>
              <w:t>501</w:t>
            </w:r>
          </w:p>
        </w:tc>
        <w:tc>
          <w:tcPr>
            <w:tcW w:w="1190" w:type="dxa"/>
            <w:tcBorders>
              <w:top w:val="nil"/>
              <w:left w:val="nil"/>
              <w:bottom w:val="nil"/>
              <w:right w:val="nil"/>
            </w:tcBorders>
            <w:shd w:val="clear" w:color="auto" w:fill="auto"/>
            <w:vAlign w:val="bottom"/>
          </w:tcPr>
          <w:p w14:paraId="2546EDD7" w14:textId="0F6C0354" w:rsidR="008211C8" w:rsidRPr="00D52976" w:rsidRDefault="008211C8" w:rsidP="008211C8">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FE65B6">
              <w:rPr>
                <w:sz w:val="18"/>
                <w:szCs w:val="18"/>
              </w:rPr>
              <w:t>1</w:t>
            </w:r>
            <w:r>
              <w:rPr>
                <w:sz w:val="18"/>
                <w:szCs w:val="18"/>
              </w:rPr>
              <w:t>,</w:t>
            </w:r>
            <w:r w:rsidRPr="00FE65B6">
              <w:rPr>
                <w:sz w:val="18"/>
                <w:szCs w:val="18"/>
              </w:rPr>
              <w:t>739</w:t>
            </w:r>
          </w:p>
        </w:tc>
        <w:tc>
          <w:tcPr>
            <w:tcW w:w="1190" w:type="dxa"/>
            <w:tcBorders>
              <w:top w:val="nil"/>
              <w:left w:val="nil"/>
              <w:bottom w:val="nil"/>
              <w:right w:val="nil"/>
            </w:tcBorders>
            <w:shd w:val="clear" w:color="auto" w:fill="auto"/>
            <w:vAlign w:val="bottom"/>
          </w:tcPr>
          <w:p w14:paraId="2D1F0DF3" w14:textId="5A71E561" w:rsidR="008211C8" w:rsidRPr="00D52976" w:rsidRDefault="008211C8" w:rsidP="008211C8">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FE65B6">
              <w:rPr>
                <w:sz w:val="18"/>
                <w:szCs w:val="18"/>
              </w:rPr>
              <w:t>20</w:t>
            </w:r>
            <w:r>
              <w:rPr>
                <w:sz w:val="18"/>
                <w:szCs w:val="18"/>
              </w:rPr>
              <w:t>,</w:t>
            </w:r>
            <w:r w:rsidRPr="00FE65B6">
              <w:rPr>
                <w:sz w:val="18"/>
                <w:szCs w:val="18"/>
              </w:rPr>
              <w:t>775</w:t>
            </w:r>
          </w:p>
        </w:tc>
        <w:tc>
          <w:tcPr>
            <w:tcW w:w="1190" w:type="dxa"/>
            <w:tcBorders>
              <w:top w:val="nil"/>
              <w:left w:val="nil"/>
              <w:bottom w:val="nil"/>
              <w:right w:val="nil"/>
            </w:tcBorders>
            <w:shd w:val="clear" w:color="auto" w:fill="auto"/>
            <w:vAlign w:val="bottom"/>
          </w:tcPr>
          <w:p w14:paraId="1B66E9A3" w14:textId="289496EC" w:rsidR="008211C8" w:rsidRPr="00D52976" w:rsidRDefault="008211C8" w:rsidP="008211C8">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FE65B6">
              <w:rPr>
                <w:sz w:val="18"/>
                <w:szCs w:val="18"/>
              </w:rPr>
              <w:t>19</w:t>
            </w:r>
            <w:r>
              <w:rPr>
                <w:sz w:val="18"/>
                <w:szCs w:val="18"/>
              </w:rPr>
              <w:t>,</w:t>
            </w:r>
            <w:r w:rsidRPr="00FE65B6">
              <w:rPr>
                <w:sz w:val="18"/>
                <w:szCs w:val="18"/>
              </w:rPr>
              <w:t>918</w:t>
            </w:r>
          </w:p>
        </w:tc>
        <w:tc>
          <w:tcPr>
            <w:tcW w:w="1218" w:type="dxa"/>
            <w:tcBorders>
              <w:top w:val="nil"/>
              <w:left w:val="nil"/>
              <w:bottom w:val="nil"/>
              <w:right w:val="nil"/>
            </w:tcBorders>
            <w:shd w:val="clear" w:color="auto" w:fill="auto"/>
            <w:vAlign w:val="bottom"/>
          </w:tcPr>
          <w:p w14:paraId="561DDB32" w14:textId="5D5BFCD6" w:rsidR="008211C8" w:rsidRPr="00D52976" w:rsidRDefault="008211C8" w:rsidP="008211C8">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FE65B6">
              <w:rPr>
                <w:sz w:val="18"/>
                <w:szCs w:val="18"/>
              </w:rPr>
              <w:t>940</w:t>
            </w:r>
            <w:r>
              <w:rPr>
                <w:sz w:val="18"/>
                <w:szCs w:val="18"/>
              </w:rPr>
              <w:t>,</w:t>
            </w:r>
            <w:r w:rsidRPr="00FE65B6">
              <w:rPr>
                <w:sz w:val="18"/>
                <w:szCs w:val="18"/>
              </w:rPr>
              <w:t>784</w:t>
            </w:r>
          </w:p>
        </w:tc>
      </w:tr>
      <w:tr w:rsidR="008211C8" w:rsidRPr="00D52976" w14:paraId="28F6E0B8" w14:textId="77777777" w:rsidTr="005444AA">
        <w:trPr>
          <w:trHeight w:val="294"/>
          <w:jc w:val="center"/>
        </w:trPr>
        <w:tc>
          <w:tcPr>
            <w:tcW w:w="2104" w:type="dxa"/>
          </w:tcPr>
          <w:p w14:paraId="03282879" w14:textId="77777777" w:rsidR="008211C8" w:rsidRPr="00D52976" w:rsidRDefault="008211C8" w:rsidP="008211C8">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D52976">
              <w:rPr>
                <w:rFonts w:asciiTheme="minorHAnsi" w:eastAsia="Times New Roman" w:hAnsiTheme="minorHAnsi" w:cs="Arial"/>
                <w:sz w:val="18"/>
                <w:szCs w:val="18"/>
              </w:rPr>
              <w:t>Borrowings</w:t>
            </w:r>
          </w:p>
        </w:tc>
        <w:tc>
          <w:tcPr>
            <w:tcW w:w="1251" w:type="dxa"/>
            <w:tcBorders>
              <w:top w:val="nil"/>
              <w:left w:val="nil"/>
              <w:bottom w:val="nil"/>
              <w:right w:val="nil"/>
            </w:tcBorders>
            <w:shd w:val="clear" w:color="auto" w:fill="auto"/>
            <w:vAlign w:val="bottom"/>
          </w:tcPr>
          <w:p w14:paraId="36A54A41" w14:textId="17BFF7A3" w:rsidR="008211C8" w:rsidRPr="00D52976" w:rsidRDefault="008211C8" w:rsidP="008211C8">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FE65B6">
              <w:rPr>
                <w:sz w:val="18"/>
                <w:szCs w:val="18"/>
              </w:rPr>
              <w:t>100</w:t>
            </w:r>
            <w:r>
              <w:rPr>
                <w:sz w:val="18"/>
                <w:szCs w:val="18"/>
              </w:rPr>
              <w:t>,</w:t>
            </w:r>
            <w:r w:rsidRPr="00FE65B6">
              <w:rPr>
                <w:sz w:val="18"/>
                <w:szCs w:val="18"/>
              </w:rPr>
              <w:t>165</w:t>
            </w:r>
          </w:p>
        </w:tc>
        <w:tc>
          <w:tcPr>
            <w:tcW w:w="1132" w:type="dxa"/>
            <w:tcBorders>
              <w:top w:val="nil"/>
              <w:left w:val="nil"/>
              <w:bottom w:val="nil"/>
              <w:right w:val="nil"/>
            </w:tcBorders>
            <w:shd w:val="clear" w:color="auto" w:fill="auto"/>
            <w:vAlign w:val="bottom"/>
          </w:tcPr>
          <w:p w14:paraId="7E1E5E1A" w14:textId="0FDB6FA4" w:rsidR="008211C8" w:rsidRPr="00D52976" w:rsidRDefault="008211C8" w:rsidP="008211C8">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FE65B6">
              <w:rPr>
                <w:sz w:val="18"/>
                <w:szCs w:val="18"/>
              </w:rPr>
              <w:t>501</w:t>
            </w:r>
            <w:r>
              <w:rPr>
                <w:sz w:val="18"/>
                <w:szCs w:val="18"/>
              </w:rPr>
              <w:t>,</w:t>
            </w:r>
            <w:r w:rsidRPr="00FE65B6">
              <w:rPr>
                <w:sz w:val="18"/>
                <w:szCs w:val="18"/>
              </w:rPr>
              <w:t>689</w:t>
            </w:r>
          </w:p>
        </w:tc>
        <w:tc>
          <w:tcPr>
            <w:tcW w:w="1190" w:type="dxa"/>
            <w:tcBorders>
              <w:top w:val="nil"/>
              <w:left w:val="nil"/>
              <w:bottom w:val="nil"/>
              <w:right w:val="nil"/>
            </w:tcBorders>
            <w:shd w:val="clear" w:color="auto" w:fill="auto"/>
            <w:vAlign w:val="bottom"/>
          </w:tcPr>
          <w:p w14:paraId="6E0D0F04" w14:textId="15C781FB" w:rsidR="008211C8" w:rsidRPr="00D52976" w:rsidRDefault="008211C8" w:rsidP="008211C8">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FE65B6">
              <w:rPr>
                <w:sz w:val="18"/>
                <w:szCs w:val="18"/>
              </w:rPr>
              <w:t>1</w:t>
            </w:r>
            <w:r>
              <w:rPr>
                <w:sz w:val="18"/>
                <w:szCs w:val="18"/>
              </w:rPr>
              <w:t>,</w:t>
            </w:r>
            <w:r w:rsidRPr="00FE65B6">
              <w:rPr>
                <w:sz w:val="18"/>
                <w:szCs w:val="18"/>
              </w:rPr>
              <w:t>374</w:t>
            </w:r>
            <w:r>
              <w:rPr>
                <w:sz w:val="18"/>
                <w:szCs w:val="18"/>
              </w:rPr>
              <w:t>,</w:t>
            </w:r>
            <w:r w:rsidRPr="00FE65B6">
              <w:rPr>
                <w:sz w:val="18"/>
                <w:szCs w:val="18"/>
              </w:rPr>
              <w:t>467</w:t>
            </w:r>
          </w:p>
        </w:tc>
        <w:tc>
          <w:tcPr>
            <w:tcW w:w="1190" w:type="dxa"/>
            <w:tcBorders>
              <w:top w:val="nil"/>
              <w:left w:val="nil"/>
              <w:bottom w:val="nil"/>
              <w:right w:val="nil"/>
            </w:tcBorders>
            <w:shd w:val="clear" w:color="auto" w:fill="auto"/>
            <w:vAlign w:val="bottom"/>
          </w:tcPr>
          <w:p w14:paraId="06060B29" w14:textId="0877EAAA" w:rsidR="008211C8" w:rsidRPr="00D52976" w:rsidRDefault="008211C8" w:rsidP="008211C8">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FE65B6">
              <w:rPr>
                <w:sz w:val="18"/>
                <w:szCs w:val="18"/>
              </w:rPr>
              <w:t>4</w:t>
            </w:r>
            <w:r>
              <w:rPr>
                <w:sz w:val="18"/>
                <w:szCs w:val="18"/>
              </w:rPr>
              <w:t>,</w:t>
            </w:r>
            <w:r w:rsidRPr="00FE65B6">
              <w:rPr>
                <w:sz w:val="18"/>
                <w:szCs w:val="18"/>
              </w:rPr>
              <w:t>129</w:t>
            </w:r>
            <w:r>
              <w:rPr>
                <w:sz w:val="18"/>
                <w:szCs w:val="18"/>
              </w:rPr>
              <w:t>,</w:t>
            </w:r>
            <w:r w:rsidRPr="00FE65B6">
              <w:rPr>
                <w:sz w:val="18"/>
                <w:szCs w:val="18"/>
              </w:rPr>
              <w:t>466</w:t>
            </w:r>
          </w:p>
        </w:tc>
        <w:tc>
          <w:tcPr>
            <w:tcW w:w="1190" w:type="dxa"/>
            <w:tcBorders>
              <w:top w:val="nil"/>
              <w:left w:val="nil"/>
              <w:bottom w:val="nil"/>
              <w:right w:val="nil"/>
            </w:tcBorders>
            <w:shd w:val="clear" w:color="auto" w:fill="auto"/>
            <w:vAlign w:val="bottom"/>
          </w:tcPr>
          <w:p w14:paraId="30E6DD5E" w14:textId="3E49D337" w:rsidR="008211C8" w:rsidRPr="00D52976" w:rsidRDefault="008211C8" w:rsidP="008211C8">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FE65B6">
              <w:rPr>
                <w:sz w:val="18"/>
                <w:szCs w:val="18"/>
              </w:rPr>
              <w:t>10</w:t>
            </w:r>
            <w:r>
              <w:rPr>
                <w:sz w:val="18"/>
                <w:szCs w:val="18"/>
              </w:rPr>
              <w:t>,</w:t>
            </w:r>
            <w:r w:rsidRPr="00FE65B6">
              <w:rPr>
                <w:sz w:val="18"/>
                <w:szCs w:val="18"/>
              </w:rPr>
              <w:t>605</w:t>
            </w:r>
            <w:r>
              <w:rPr>
                <w:sz w:val="18"/>
                <w:szCs w:val="18"/>
              </w:rPr>
              <w:t>,</w:t>
            </w:r>
            <w:r w:rsidRPr="00FE65B6">
              <w:rPr>
                <w:sz w:val="18"/>
                <w:szCs w:val="18"/>
              </w:rPr>
              <w:t>419</w:t>
            </w:r>
          </w:p>
        </w:tc>
        <w:tc>
          <w:tcPr>
            <w:tcW w:w="1218" w:type="dxa"/>
            <w:tcBorders>
              <w:top w:val="nil"/>
              <w:left w:val="nil"/>
              <w:bottom w:val="nil"/>
              <w:right w:val="nil"/>
            </w:tcBorders>
            <w:shd w:val="clear" w:color="auto" w:fill="auto"/>
            <w:vAlign w:val="bottom"/>
          </w:tcPr>
          <w:p w14:paraId="23C71ED7" w14:textId="4A3481C7" w:rsidR="008211C8" w:rsidRPr="00D52976" w:rsidRDefault="008211C8" w:rsidP="008211C8">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FE65B6">
              <w:rPr>
                <w:sz w:val="18"/>
                <w:szCs w:val="18"/>
              </w:rPr>
              <w:t>16</w:t>
            </w:r>
            <w:r>
              <w:rPr>
                <w:sz w:val="18"/>
                <w:szCs w:val="18"/>
              </w:rPr>
              <w:t>,</w:t>
            </w:r>
            <w:r w:rsidRPr="00FE65B6">
              <w:rPr>
                <w:sz w:val="18"/>
                <w:szCs w:val="18"/>
              </w:rPr>
              <w:t>711</w:t>
            </w:r>
            <w:r>
              <w:rPr>
                <w:sz w:val="18"/>
                <w:szCs w:val="18"/>
              </w:rPr>
              <w:t>,</w:t>
            </w:r>
            <w:r w:rsidRPr="00FE65B6">
              <w:rPr>
                <w:sz w:val="18"/>
                <w:szCs w:val="18"/>
              </w:rPr>
              <w:t>206</w:t>
            </w:r>
          </w:p>
        </w:tc>
      </w:tr>
      <w:tr w:rsidR="008211C8" w:rsidRPr="00D52976" w14:paraId="07BE8C5D" w14:textId="77777777" w:rsidTr="00166751">
        <w:trPr>
          <w:trHeight w:val="306"/>
          <w:jc w:val="center"/>
        </w:trPr>
        <w:tc>
          <w:tcPr>
            <w:tcW w:w="2104" w:type="dxa"/>
          </w:tcPr>
          <w:p w14:paraId="2217B8AE" w14:textId="77777777" w:rsidR="008211C8" w:rsidRPr="00D52976" w:rsidRDefault="008211C8" w:rsidP="008211C8">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D52976">
              <w:rPr>
                <w:rFonts w:asciiTheme="minorHAnsi" w:eastAsia="Times New Roman" w:hAnsiTheme="minorHAnsi" w:cs="Arial"/>
                <w:sz w:val="18"/>
                <w:szCs w:val="18"/>
              </w:rPr>
              <w:t>Bonds payable</w:t>
            </w:r>
          </w:p>
        </w:tc>
        <w:tc>
          <w:tcPr>
            <w:tcW w:w="1251" w:type="dxa"/>
            <w:tcBorders>
              <w:top w:val="nil"/>
              <w:left w:val="nil"/>
              <w:right w:val="nil"/>
            </w:tcBorders>
            <w:shd w:val="clear" w:color="auto" w:fill="auto"/>
            <w:vAlign w:val="bottom"/>
          </w:tcPr>
          <w:p w14:paraId="0314A9C8" w14:textId="5B639B30" w:rsidR="008211C8" w:rsidRPr="00D52976" w:rsidRDefault="008211C8" w:rsidP="008211C8">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pl-PL"/>
              </w:rPr>
            </w:pPr>
            <w:r>
              <w:rPr>
                <w:sz w:val="18"/>
                <w:szCs w:val="18"/>
              </w:rPr>
              <w:t>-</w:t>
            </w:r>
          </w:p>
        </w:tc>
        <w:tc>
          <w:tcPr>
            <w:tcW w:w="1132" w:type="dxa"/>
            <w:tcBorders>
              <w:top w:val="nil"/>
              <w:left w:val="nil"/>
              <w:right w:val="nil"/>
            </w:tcBorders>
            <w:shd w:val="clear" w:color="auto" w:fill="auto"/>
            <w:vAlign w:val="bottom"/>
          </w:tcPr>
          <w:p w14:paraId="4AC20478" w14:textId="17456FDC" w:rsidR="008211C8" w:rsidRPr="00D52976" w:rsidRDefault="008211C8" w:rsidP="008211C8">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pl-PL"/>
              </w:rPr>
            </w:pPr>
            <w:r>
              <w:rPr>
                <w:sz w:val="18"/>
                <w:szCs w:val="18"/>
              </w:rPr>
              <w:t>-</w:t>
            </w:r>
          </w:p>
        </w:tc>
        <w:tc>
          <w:tcPr>
            <w:tcW w:w="1190" w:type="dxa"/>
            <w:tcBorders>
              <w:top w:val="nil"/>
              <w:left w:val="nil"/>
              <w:right w:val="nil"/>
            </w:tcBorders>
            <w:shd w:val="clear" w:color="auto" w:fill="auto"/>
            <w:vAlign w:val="bottom"/>
          </w:tcPr>
          <w:p w14:paraId="10324CE3" w14:textId="6B6EB162" w:rsidR="008211C8" w:rsidRPr="00D52976" w:rsidRDefault="008211C8" w:rsidP="008211C8">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pl-PL"/>
              </w:rPr>
            </w:pPr>
            <w:r w:rsidRPr="00FE65B6">
              <w:rPr>
                <w:sz w:val="18"/>
                <w:szCs w:val="18"/>
              </w:rPr>
              <w:t>67</w:t>
            </w:r>
            <w:r>
              <w:rPr>
                <w:sz w:val="18"/>
                <w:szCs w:val="18"/>
              </w:rPr>
              <w:t>,</w:t>
            </w:r>
            <w:r w:rsidRPr="00FE65B6">
              <w:rPr>
                <w:sz w:val="18"/>
                <w:szCs w:val="18"/>
              </w:rPr>
              <w:t>474</w:t>
            </w:r>
          </w:p>
        </w:tc>
        <w:tc>
          <w:tcPr>
            <w:tcW w:w="1190" w:type="dxa"/>
            <w:tcBorders>
              <w:top w:val="nil"/>
              <w:left w:val="nil"/>
              <w:right w:val="nil"/>
            </w:tcBorders>
            <w:shd w:val="clear" w:color="auto" w:fill="auto"/>
            <w:vAlign w:val="bottom"/>
          </w:tcPr>
          <w:p w14:paraId="74BC4A0C" w14:textId="7C52490D" w:rsidR="008211C8" w:rsidRPr="00D52976" w:rsidRDefault="008211C8" w:rsidP="008211C8">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pl-PL"/>
              </w:rPr>
            </w:pPr>
            <w:r w:rsidRPr="00FE65B6">
              <w:rPr>
                <w:sz w:val="18"/>
                <w:szCs w:val="18"/>
              </w:rPr>
              <w:t>1</w:t>
            </w:r>
            <w:r>
              <w:rPr>
                <w:sz w:val="18"/>
                <w:szCs w:val="18"/>
              </w:rPr>
              <w:t>,</w:t>
            </w:r>
            <w:r w:rsidRPr="00FE65B6">
              <w:rPr>
                <w:sz w:val="18"/>
                <w:szCs w:val="18"/>
              </w:rPr>
              <w:t>249</w:t>
            </w:r>
            <w:r>
              <w:rPr>
                <w:sz w:val="18"/>
                <w:szCs w:val="18"/>
              </w:rPr>
              <w:t>,</w:t>
            </w:r>
            <w:r w:rsidRPr="00FE65B6">
              <w:rPr>
                <w:sz w:val="18"/>
                <w:szCs w:val="18"/>
              </w:rPr>
              <w:t>365</w:t>
            </w:r>
          </w:p>
        </w:tc>
        <w:tc>
          <w:tcPr>
            <w:tcW w:w="1190" w:type="dxa"/>
            <w:tcBorders>
              <w:top w:val="nil"/>
              <w:left w:val="nil"/>
              <w:right w:val="nil"/>
            </w:tcBorders>
            <w:shd w:val="clear" w:color="auto" w:fill="auto"/>
            <w:vAlign w:val="bottom"/>
          </w:tcPr>
          <w:p w14:paraId="7671A74A" w14:textId="7BC971A1" w:rsidR="008211C8" w:rsidRPr="00D52976" w:rsidRDefault="008211C8" w:rsidP="008211C8">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pl-PL"/>
              </w:rPr>
            </w:pPr>
            <w:r>
              <w:rPr>
                <w:sz w:val="18"/>
                <w:szCs w:val="18"/>
              </w:rPr>
              <w:t>-</w:t>
            </w:r>
          </w:p>
        </w:tc>
        <w:tc>
          <w:tcPr>
            <w:tcW w:w="1218" w:type="dxa"/>
            <w:tcBorders>
              <w:top w:val="nil"/>
              <w:left w:val="nil"/>
              <w:right w:val="nil"/>
            </w:tcBorders>
            <w:shd w:val="clear" w:color="auto" w:fill="auto"/>
            <w:vAlign w:val="bottom"/>
          </w:tcPr>
          <w:p w14:paraId="012BC8AF" w14:textId="51ADA4E3" w:rsidR="008211C8" w:rsidRPr="00D52976" w:rsidRDefault="008211C8">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pl-PL"/>
              </w:rPr>
            </w:pPr>
            <w:r w:rsidRPr="00FE65B6">
              <w:rPr>
                <w:sz w:val="18"/>
                <w:szCs w:val="18"/>
              </w:rPr>
              <w:t>1</w:t>
            </w:r>
            <w:r>
              <w:rPr>
                <w:sz w:val="18"/>
                <w:szCs w:val="18"/>
              </w:rPr>
              <w:t>,</w:t>
            </w:r>
            <w:r w:rsidRPr="00FE65B6">
              <w:rPr>
                <w:sz w:val="18"/>
                <w:szCs w:val="18"/>
              </w:rPr>
              <w:t>316</w:t>
            </w:r>
            <w:r>
              <w:rPr>
                <w:sz w:val="18"/>
                <w:szCs w:val="18"/>
              </w:rPr>
              <w:t>,</w:t>
            </w:r>
            <w:r w:rsidRPr="00FE65B6">
              <w:rPr>
                <w:sz w:val="18"/>
                <w:szCs w:val="18"/>
              </w:rPr>
              <w:t>8</w:t>
            </w:r>
            <w:r w:rsidR="009F5C15">
              <w:rPr>
                <w:sz w:val="18"/>
                <w:szCs w:val="18"/>
              </w:rPr>
              <w:t>39</w:t>
            </w:r>
          </w:p>
        </w:tc>
      </w:tr>
      <w:tr w:rsidR="008211C8" w:rsidRPr="00D52976" w14:paraId="03ADB8DE" w14:textId="77777777" w:rsidTr="005444AA">
        <w:trPr>
          <w:trHeight w:val="294"/>
          <w:jc w:val="center"/>
        </w:trPr>
        <w:tc>
          <w:tcPr>
            <w:tcW w:w="2104" w:type="dxa"/>
          </w:tcPr>
          <w:p w14:paraId="341B7466" w14:textId="77777777" w:rsidR="008211C8" w:rsidRPr="00D52976" w:rsidRDefault="008211C8" w:rsidP="008211C8">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D52976">
              <w:rPr>
                <w:rFonts w:asciiTheme="minorHAnsi" w:eastAsia="Times New Roman" w:hAnsiTheme="minorHAnsi" w:cs="Arial"/>
                <w:sz w:val="18"/>
                <w:szCs w:val="18"/>
              </w:rPr>
              <w:t>Other liabilities</w:t>
            </w:r>
          </w:p>
        </w:tc>
        <w:tc>
          <w:tcPr>
            <w:tcW w:w="1251" w:type="dxa"/>
            <w:tcBorders>
              <w:top w:val="nil"/>
              <w:left w:val="nil"/>
              <w:right w:val="nil"/>
            </w:tcBorders>
            <w:shd w:val="clear" w:color="auto" w:fill="auto"/>
            <w:vAlign w:val="bottom"/>
          </w:tcPr>
          <w:p w14:paraId="1C4D3D45" w14:textId="3FFC11D9" w:rsidR="008211C8" w:rsidRPr="00D52976" w:rsidRDefault="008211C8" w:rsidP="008211C8">
            <w:pPr>
              <w:tabs>
                <w:tab w:val="right" w:pos="1202"/>
                <w:tab w:val="center" w:pos="4153"/>
                <w:tab w:val="right" w:pos="8306"/>
              </w:tabs>
              <w:spacing w:after="0" w:line="301" w:lineRule="exact"/>
              <w:jc w:val="right"/>
              <w:outlineLvl w:val="0"/>
              <w:rPr>
                <w:rFonts w:asciiTheme="minorHAnsi" w:eastAsia="Times New Roman" w:hAnsiTheme="minorHAnsi" w:cs="Arial"/>
                <w:sz w:val="18"/>
                <w:szCs w:val="18"/>
                <w:lang w:val="en-US"/>
              </w:rPr>
            </w:pPr>
            <w:r w:rsidRPr="00FE65B6">
              <w:rPr>
                <w:sz w:val="18"/>
                <w:szCs w:val="18"/>
              </w:rPr>
              <w:t>165</w:t>
            </w:r>
            <w:r>
              <w:rPr>
                <w:sz w:val="18"/>
                <w:szCs w:val="18"/>
              </w:rPr>
              <w:t>,</w:t>
            </w:r>
            <w:r w:rsidRPr="00FE65B6">
              <w:rPr>
                <w:sz w:val="18"/>
                <w:szCs w:val="18"/>
              </w:rPr>
              <w:t>353</w:t>
            </w:r>
          </w:p>
        </w:tc>
        <w:tc>
          <w:tcPr>
            <w:tcW w:w="1132" w:type="dxa"/>
            <w:tcBorders>
              <w:top w:val="nil"/>
              <w:left w:val="nil"/>
              <w:right w:val="nil"/>
            </w:tcBorders>
            <w:shd w:val="clear" w:color="auto" w:fill="auto"/>
            <w:vAlign w:val="bottom"/>
          </w:tcPr>
          <w:p w14:paraId="5A34317B" w14:textId="71ACCC8A" w:rsidR="008211C8" w:rsidRPr="00D52976" w:rsidRDefault="008211C8" w:rsidP="008211C8">
            <w:pPr>
              <w:tabs>
                <w:tab w:val="right" w:pos="1202"/>
                <w:tab w:val="center" w:pos="4153"/>
                <w:tab w:val="right" w:pos="8306"/>
              </w:tabs>
              <w:spacing w:after="0" w:line="301" w:lineRule="exact"/>
              <w:jc w:val="right"/>
              <w:outlineLvl w:val="0"/>
              <w:rPr>
                <w:rFonts w:asciiTheme="minorHAnsi" w:eastAsia="Times New Roman" w:hAnsiTheme="minorHAnsi" w:cs="Arial"/>
                <w:sz w:val="18"/>
                <w:szCs w:val="18"/>
                <w:lang w:val="en-US"/>
              </w:rPr>
            </w:pPr>
            <w:r w:rsidRPr="00FE65B6">
              <w:rPr>
                <w:sz w:val="18"/>
                <w:szCs w:val="18"/>
              </w:rPr>
              <w:t>26</w:t>
            </w:r>
            <w:r>
              <w:rPr>
                <w:sz w:val="18"/>
                <w:szCs w:val="18"/>
              </w:rPr>
              <w:t>,</w:t>
            </w:r>
            <w:r w:rsidRPr="00FE65B6">
              <w:rPr>
                <w:sz w:val="18"/>
                <w:szCs w:val="18"/>
              </w:rPr>
              <w:t>800</w:t>
            </w:r>
          </w:p>
        </w:tc>
        <w:tc>
          <w:tcPr>
            <w:tcW w:w="1190" w:type="dxa"/>
            <w:tcBorders>
              <w:top w:val="nil"/>
              <w:left w:val="nil"/>
              <w:right w:val="nil"/>
            </w:tcBorders>
            <w:shd w:val="clear" w:color="auto" w:fill="auto"/>
            <w:vAlign w:val="bottom"/>
          </w:tcPr>
          <w:p w14:paraId="1F5B20BA" w14:textId="5C119379" w:rsidR="008211C8" w:rsidRPr="00D52976" w:rsidRDefault="008211C8" w:rsidP="008211C8">
            <w:pPr>
              <w:tabs>
                <w:tab w:val="right" w:pos="1202"/>
                <w:tab w:val="center" w:pos="4153"/>
                <w:tab w:val="right" w:pos="8306"/>
              </w:tabs>
              <w:spacing w:after="0" w:line="301" w:lineRule="exact"/>
              <w:jc w:val="right"/>
              <w:outlineLvl w:val="0"/>
              <w:rPr>
                <w:rFonts w:asciiTheme="minorHAnsi" w:eastAsia="Times New Roman" w:hAnsiTheme="minorHAnsi" w:cs="Arial"/>
                <w:sz w:val="18"/>
                <w:szCs w:val="18"/>
                <w:lang w:val="en-US"/>
              </w:rPr>
            </w:pPr>
            <w:r w:rsidRPr="00FE65B6">
              <w:rPr>
                <w:sz w:val="18"/>
                <w:szCs w:val="18"/>
              </w:rPr>
              <w:t>83</w:t>
            </w:r>
            <w:r>
              <w:rPr>
                <w:sz w:val="18"/>
                <w:szCs w:val="18"/>
              </w:rPr>
              <w:t>,</w:t>
            </w:r>
            <w:r w:rsidRPr="00FE65B6">
              <w:rPr>
                <w:sz w:val="18"/>
                <w:szCs w:val="18"/>
              </w:rPr>
              <w:t>220</w:t>
            </w:r>
          </w:p>
        </w:tc>
        <w:tc>
          <w:tcPr>
            <w:tcW w:w="1190" w:type="dxa"/>
            <w:tcBorders>
              <w:top w:val="nil"/>
              <w:left w:val="nil"/>
              <w:right w:val="nil"/>
            </w:tcBorders>
            <w:shd w:val="clear" w:color="auto" w:fill="auto"/>
            <w:vAlign w:val="bottom"/>
          </w:tcPr>
          <w:p w14:paraId="0603440F" w14:textId="6B0A912B" w:rsidR="008211C8" w:rsidRPr="00D52976" w:rsidRDefault="008211C8" w:rsidP="008211C8">
            <w:pPr>
              <w:tabs>
                <w:tab w:val="right" w:pos="1202"/>
                <w:tab w:val="center" w:pos="4153"/>
                <w:tab w:val="right" w:pos="8306"/>
              </w:tabs>
              <w:spacing w:after="0" w:line="301" w:lineRule="exact"/>
              <w:jc w:val="right"/>
              <w:outlineLvl w:val="0"/>
              <w:rPr>
                <w:rFonts w:asciiTheme="minorHAnsi" w:eastAsia="Times New Roman" w:hAnsiTheme="minorHAnsi" w:cs="Arial"/>
                <w:sz w:val="18"/>
                <w:szCs w:val="18"/>
                <w:lang w:val="en-US"/>
              </w:rPr>
            </w:pPr>
            <w:r w:rsidRPr="00FE65B6">
              <w:rPr>
                <w:sz w:val="18"/>
                <w:szCs w:val="18"/>
              </w:rPr>
              <w:t>168</w:t>
            </w:r>
            <w:r>
              <w:rPr>
                <w:sz w:val="18"/>
                <w:szCs w:val="18"/>
              </w:rPr>
              <w:t>,</w:t>
            </w:r>
            <w:r w:rsidRPr="00FE65B6">
              <w:rPr>
                <w:sz w:val="18"/>
                <w:szCs w:val="18"/>
              </w:rPr>
              <w:t>359</w:t>
            </w:r>
          </w:p>
        </w:tc>
        <w:tc>
          <w:tcPr>
            <w:tcW w:w="1190" w:type="dxa"/>
            <w:tcBorders>
              <w:top w:val="nil"/>
              <w:left w:val="nil"/>
              <w:right w:val="nil"/>
            </w:tcBorders>
            <w:shd w:val="clear" w:color="auto" w:fill="auto"/>
            <w:vAlign w:val="bottom"/>
          </w:tcPr>
          <w:p w14:paraId="4656A7AD" w14:textId="66AEE2DD" w:rsidR="008211C8" w:rsidRPr="00D52976" w:rsidRDefault="008211C8" w:rsidP="008211C8">
            <w:pPr>
              <w:tabs>
                <w:tab w:val="right" w:pos="1202"/>
                <w:tab w:val="center" w:pos="4153"/>
                <w:tab w:val="right" w:pos="8306"/>
              </w:tabs>
              <w:spacing w:after="0" w:line="301" w:lineRule="exact"/>
              <w:jc w:val="right"/>
              <w:outlineLvl w:val="0"/>
              <w:rPr>
                <w:rFonts w:asciiTheme="minorHAnsi" w:eastAsia="Times New Roman" w:hAnsiTheme="minorHAnsi" w:cs="Arial"/>
                <w:sz w:val="18"/>
                <w:szCs w:val="18"/>
                <w:lang w:val="en-US"/>
              </w:rPr>
            </w:pPr>
            <w:r w:rsidRPr="00FE65B6">
              <w:rPr>
                <w:sz w:val="18"/>
                <w:szCs w:val="18"/>
              </w:rPr>
              <w:t>178</w:t>
            </w:r>
            <w:r>
              <w:rPr>
                <w:sz w:val="18"/>
                <w:szCs w:val="18"/>
              </w:rPr>
              <w:t>,</w:t>
            </w:r>
            <w:r w:rsidRPr="00FE65B6">
              <w:rPr>
                <w:sz w:val="18"/>
                <w:szCs w:val="18"/>
              </w:rPr>
              <w:t>338</w:t>
            </w:r>
          </w:p>
        </w:tc>
        <w:tc>
          <w:tcPr>
            <w:tcW w:w="1218" w:type="dxa"/>
            <w:tcBorders>
              <w:top w:val="nil"/>
              <w:left w:val="nil"/>
              <w:right w:val="nil"/>
            </w:tcBorders>
            <w:shd w:val="clear" w:color="auto" w:fill="auto"/>
            <w:vAlign w:val="bottom"/>
          </w:tcPr>
          <w:p w14:paraId="056B627B" w14:textId="4E78DC51" w:rsidR="008211C8" w:rsidRPr="00D52976" w:rsidRDefault="008211C8" w:rsidP="008211C8">
            <w:pPr>
              <w:tabs>
                <w:tab w:val="right" w:pos="1202"/>
                <w:tab w:val="center" w:pos="4153"/>
                <w:tab w:val="right" w:pos="8306"/>
              </w:tabs>
              <w:spacing w:after="0" w:line="301" w:lineRule="exact"/>
              <w:jc w:val="right"/>
              <w:outlineLvl w:val="0"/>
              <w:rPr>
                <w:rFonts w:asciiTheme="minorHAnsi" w:eastAsia="Times New Roman" w:hAnsiTheme="minorHAnsi" w:cs="Arial"/>
                <w:sz w:val="18"/>
                <w:szCs w:val="18"/>
                <w:lang w:val="en-US"/>
              </w:rPr>
            </w:pPr>
            <w:r w:rsidRPr="00FE65B6">
              <w:rPr>
                <w:sz w:val="18"/>
                <w:szCs w:val="18"/>
              </w:rPr>
              <w:t>622</w:t>
            </w:r>
            <w:r>
              <w:rPr>
                <w:sz w:val="18"/>
                <w:szCs w:val="18"/>
              </w:rPr>
              <w:t>,</w:t>
            </w:r>
            <w:r w:rsidRPr="00FE65B6">
              <w:rPr>
                <w:sz w:val="18"/>
                <w:szCs w:val="18"/>
              </w:rPr>
              <w:t>070</w:t>
            </w:r>
          </w:p>
        </w:tc>
      </w:tr>
      <w:tr w:rsidR="00FE21E9" w:rsidRPr="00D52976" w14:paraId="065A331C" w14:textId="77777777" w:rsidTr="00166751">
        <w:trPr>
          <w:trHeight w:val="134"/>
          <w:jc w:val="center"/>
        </w:trPr>
        <w:tc>
          <w:tcPr>
            <w:tcW w:w="2104" w:type="dxa"/>
          </w:tcPr>
          <w:p w14:paraId="3A99C842" w14:textId="77777777" w:rsidR="00FE21E9" w:rsidRPr="00D52976" w:rsidRDefault="00FE21E9" w:rsidP="00FE21E9">
            <w:pPr>
              <w:tabs>
                <w:tab w:val="right" w:pos="1202"/>
                <w:tab w:val="center" w:pos="4153"/>
                <w:tab w:val="right" w:pos="8306"/>
              </w:tabs>
              <w:spacing w:after="0" w:line="120" w:lineRule="auto"/>
              <w:outlineLvl w:val="0"/>
              <w:rPr>
                <w:rFonts w:asciiTheme="minorHAnsi" w:eastAsia="Times New Roman" w:hAnsiTheme="minorHAnsi" w:cs="Arial"/>
                <w:sz w:val="18"/>
                <w:szCs w:val="18"/>
              </w:rPr>
            </w:pPr>
          </w:p>
        </w:tc>
        <w:tc>
          <w:tcPr>
            <w:tcW w:w="1251" w:type="dxa"/>
            <w:vAlign w:val="bottom"/>
          </w:tcPr>
          <w:p w14:paraId="38A45AE0" w14:textId="77777777" w:rsidR="00FE21E9" w:rsidRPr="00D52976" w:rsidRDefault="00FE21E9" w:rsidP="00FE21E9">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32" w:type="dxa"/>
            <w:vAlign w:val="bottom"/>
          </w:tcPr>
          <w:p w14:paraId="143F277B" w14:textId="77777777" w:rsidR="00FE21E9" w:rsidRPr="00D52976" w:rsidRDefault="00FE21E9" w:rsidP="00FE21E9">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90" w:type="dxa"/>
            <w:vAlign w:val="bottom"/>
          </w:tcPr>
          <w:p w14:paraId="55DA66EF" w14:textId="77777777" w:rsidR="00FE21E9" w:rsidRPr="00D52976" w:rsidRDefault="00FE21E9" w:rsidP="00FE21E9">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90" w:type="dxa"/>
            <w:vAlign w:val="bottom"/>
          </w:tcPr>
          <w:p w14:paraId="36ABC314" w14:textId="77777777" w:rsidR="00FE21E9" w:rsidRPr="00D52976" w:rsidRDefault="00FE21E9" w:rsidP="00FE21E9">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90" w:type="dxa"/>
            <w:vAlign w:val="bottom"/>
          </w:tcPr>
          <w:p w14:paraId="7667B173" w14:textId="77777777" w:rsidR="00FE21E9" w:rsidRPr="00D52976" w:rsidRDefault="00FE21E9" w:rsidP="00FE21E9">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218" w:type="dxa"/>
            <w:vAlign w:val="bottom"/>
          </w:tcPr>
          <w:p w14:paraId="030F8B28" w14:textId="77777777" w:rsidR="00FE21E9" w:rsidRPr="00D52976" w:rsidRDefault="00FE21E9" w:rsidP="00FE21E9">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r>
      <w:tr w:rsidR="008211C8" w:rsidRPr="00D52976" w14:paraId="53954824" w14:textId="77777777" w:rsidTr="005444AA">
        <w:trPr>
          <w:trHeight w:val="229"/>
          <w:jc w:val="center"/>
        </w:trPr>
        <w:tc>
          <w:tcPr>
            <w:tcW w:w="2104" w:type="dxa"/>
            <w:vAlign w:val="bottom"/>
          </w:tcPr>
          <w:p w14:paraId="2C2471AF" w14:textId="77777777" w:rsidR="008211C8" w:rsidRPr="00D52976" w:rsidRDefault="008211C8" w:rsidP="008211C8">
            <w:pPr>
              <w:spacing w:after="0" w:line="240" w:lineRule="auto"/>
              <w:rPr>
                <w:rFonts w:asciiTheme="minorHAnsi" w:eastAsia="Times New Roman" w:hAnsiTheme="minorHAnsi" w:cs="Arial"/>
                <w:i/>
                <w:sz w:val="18"/>
                <w:szCs w:val="18"/>
              </w:rPr>
            </w:pPr>
            <w:r w:rsidRPr="00D52976">
              <w:rPr>
                <w:rFonts w:asciiTheme="minorHAnsi" w:eastAsia="Times New Roman" w:hAnsiTheme="minorHAnsi" w:cs="Arial"/>
                <w:b/>
                <w:sz w:val="18"/>
                <w:szCs w:val="18"/>
                <w:lang w:val="hr-HR"/>
              </w:rPr>
              <w:t>Total</w:t>
            </w:r>
          </w:p>
        </w:tc>
        <w:tc>
          <w:tcPr>
            <w:tcW w:w="1251" w:type="dxa"/>
            <w:tcBorders>
              <w:top w:val="single" w:sz="4" w:space="0" w:color="auto"/>
              <w:left w:val="nil"/>
              <w:bottom w:val="single" w:sz="8" w:space="0" w:color="auto"/>
              <w:right w:val="nil"/>
            </w:tcBorders>
            <w:shd w:val="clear" w:color="auto" w:fill="auto"/>
          </w:tcPr>
          <w:p w14:paraId="0D2A1D32" w14:textId="7F7D47C9" w:rsidR="008211C8" w:rsidRPr="00D52976" w:rsidRDefault="008211C8" w:rsidP="008211C8">
            <w:pPr>
              <w:tabs>
                <w:tab w:val="right" w:pos="1202"/>
              </w:tabs>
              <w:spacing w:after="0" w:line="340" w:lineRule="exact"/>
              <w:jc w:val="right"/>
              <w:outlineLvl w:val="0"/>
              <w:rPr>
                <w:rFonts w:asciiTheme="minorHAnsi" w:eastAsia="Times New Roman" w:hAnsiTheme="minorHAnsi"/>
                <w:b/>
                <w:bCs/>
                <w:sz w:val="18"/>
                <w:szCs w:val="18"/>
              </w:rPr>
            </w:pPr>
            <w:r w:rsidRPr="00FE65B6">
              <w:rPr>
                <w:rFonts w:cs="Arial"/>
                <w:b/>
                <w:sz w:val="18"/>
                <w:szCs w:val="18"/>
              </w:rPr>
              <w:t>998</w:t>
            </w:r>
            <w:r>
              <w:rPr>
                <w:rFonts w:cs="Arial"/>
                <w:b/>
                <w:sz w:val="18"/>
                <w:szCs w:val="18"/>
              </w:rPr>
              <w:t>,</w:t>
            </w:r>
            <w:r w:rsidRPr="00FE65B6">
              <w:rPr>
                <w:rFonts w:cs="Arial"/>
                <w:b/>
                <w:sz w:val="18"/>
                <w:szCs w:val="18"/>
              </w:rPr>
              <w:t>369</w:t>
            </w:r>
          </w:p>
        </w:tc>
        <w:tc>
          <w:tcPr>
            <w:tcW w:w="1132" w:type="dxa"/>
            <w:tcBorders>
              <w:top w:val="single" w:sz="4" w:space="0" w:color="auto"/>
              <w:left w:val="nil"/>
              <w:bottom w:val="single" w:sz="8" w:space="0" w:color="auto"/>
              <w:right w:val="nil"/>
            </w:tcBorders>
            <w:shd w:val="clear" w:color="auto" w:fill="auto"/>
          </w:tcPr>
          <w:p w14:paraId="23AEB9BE" w14:textId="43579E07" w:rsidR="008211C8" w:rsidRPr="00D52976" w:rsidRDefault="008211C8" w:rsidP="008211C8">
            <w:pPr>
              <w:tabs>
                <w:tab w:val="right" w:pos="1202"/>
              </w:tabs>
              <w:spacing w:after="0" w:line="340" w:lineRule="exact"/>
              <w:jc w:val="right"/>
              <w:outlineLvl w:val="0"/>
              <w:rPr>
                <w:rFonts w:asciiTheme="minorHAnsi" w:eastAsia="Times New Roman" w:hAnsiTheme="minorHAnsi"/>
                <w:b/>
                <w:bCs/>
                <w:sz w:val="18"/>
                <w:szCs w:val="18"/>
              </w:rPr>
            </w:pPr>
            <w:r w:rsidRPr="00FE65B6">
              <w:rPr>
                <w:rFonts w:cs="Arial"/>
                <w:b/>
                <w:sz w:val="18"/>
                <w:szCs w:val="18"/>
              </w:rPr>
              <w:t>693</w:t>
            </w:r>
            <w:r>
              <w:rPr>
                <w:rFonts w:cs="Arial"/>
                <w:b/>
                <w:sz w:val="18"/>
                <w:szCs w:val="18"/>
              </w:rPr>
              <w:t>,</w:t>
            </w:r>
            <w:r w:rsidRPr="00FE65B6">
              <w:rPr>
                <w:rFonts w:cs="Arial"/>
                <w:b/>
                <w:sz w:val="18"/>
                <w:szCs w:val="18"/>
              </w:rPr>
              <w:t>990</w:t>
            </w:r>
          </w:p>
        </w:tc>
        <w:tc>
          <w:tcPr>
            <w:tcW w:w="1190" w:type="dxa"/>
            <w:tcBorders>
              <w:top w:val="single" w:sz="4" w:space="0" w:color="auto"/>
              <w:left w:val="nil"/>
              <w:bottom w:val="single" w:sz="8" w:space="0" w:color="auto"/>
              <w:right w:val="nil"/>
            </w:tcBorders>
            <w:shd w:val="clear" w:color="auto" w:fill="auto"/>
          </w:tcPr>
          <w:p w14:paraId="011878CE" w14:textId="118A2630" w:rsidR="008211C8" w:rsidRPr="00D52976" w:rsidRDefault="008211C8" w:rsidP="008211C8">
            <w:pPr>
              <w:tabs>
                <w:tab w:val="right" w:pos="1202"/>
              </w:tabs>
              <w:spacing w:after="0" w:line="340" w:lineRule="exact"/>
              <w:jc w:val="right"/>
              <w:outlineLvl w:val="0"/>
              <w:rPr>
                <w:rFonts w:asciiTheme="minorHAnsi" w:eastAsia="Times New Roman" w:hAnsiTheme="minorHAnsi"/>
                <w:b/>
                <w:bCs/>
                <w:sz w:val="18"/>
                <w:szCs w:val="18"/>
              </w:rPr>
            </w:pPr>
            <w:r w:rsidRPr="00FE65B6">
              <w:rPr>
                <w:rFonts w:cs="Arial"/>
                <w:b/>
                <w:sz w:val="18"/>
                <w:szCs w:val="18"/>
              </w:rPr>
              <w:t>1</w:t>
            </w:r>
            <w:r>
              <w:rPr>
                <w:rFonts w:cs="Arial"/>
                <w:b/>
                <w:sz w:val="18"/>
                <w:szCs w:val="18"/>
              </w:rPr>
              <w:t>,</w:t>
            </w:r>
            <w:r w:rsidRPr="00FE65B6">
              <w:rPr>
                <w:rFonts w:cs="Arial"/>
                <w:b/>
                <w:sz w:val="18"/>
                <w:szCs w:val="18"/>
              </w:rPr>
              <w:t>526</w:t>
            </w:r>
            <w:r>
              <w:rPr>
                <w:rFonts w:cs="Arial"/>
                <w:b/>
                <w:sz w:val="18"/>
                <w:szCs w:val="18"/>
              </w:rPr>
              <w:t>,</w:t>
            </w:r>
            <w:r w:rsidRPr="00FE65B6">
              <w:rPr>
                <w:rFonts w:cs="Arial"/>
                <w:b/>
                <w:sz w:val="18"/>
                <w:szCs w:val="18"/>
              </w:rPr>
              <w:t>900</w:t>
            </w:r>
          </w:p>
        </w:tc>
        <w:tc>
          <w:tcPr>
            <w:tcW w:w="1190" w:type="dxa"/>
            <w:tcBorders>
              <w:top w:val="single" w:sz="4" w:space="0" w:color="auto"/>
              <w:left w:val="nil"/>
              <w:bottom w:val="single" w:sz="8" w:space="0" w:color="auto"/>
              <w:right w:val="nil"/>
            </w:tcBorders>
            <w:shd w:val="clear" w:color="auto" w:fill="auto"/>
          </w:tcPr>
          <w:p w14:paraId="22DF34F4" w14:textId="1724C9C2" w:rsidR="008211C8" w:rsidRPr="00D52976" w:rsidRDefault="008211C8" w:rsidP="008211C8">
            <w:pPr>
              <w:tabs>
                <w:tab w:val="right" w:pos="1202"/>
              </w:tabs>
              <w:spacing w:after="0" w:line="340" w:lineRule="exact"/>
              <w:jc w:val="right"/>
              <w:outlineLvl w:val="0"/>
              <w:rPr>
                <w:rFonts w:asciiTheme="minorHAnsi" w:eastAsia="Times New Roman" w:hAnsiTheme="minorHAnsi"/>
                <w:b/>
                <w:bCs/>
                <w:sz w:val="18"/>
                <w:szCs w:val="18"/>
              </w:rPr>
            </w:pPr>
            <w:r w:rsidRPr="00FE65B6">
              <w:rPr>
                <w:rFonts w:cs="Arial"/>
                <w:b/>
                <w:sz w:val="18"/>
                <w:szCs w:val="18"/>
              </w:rPr>
              <w:t>5</w:t>
            </w:r>
            <w:r>
              <w:rPr>
                <w:rFonts w:cs="Arial"/>
                <w:b/>
                <w:sz w:val="18"/>
                <w:szCs w:val="18"/>
              </w:rPr>
              <w:t>,</w:t>
            </w:r>
            <w:r w:rsidRPr="00FE65B6">
              <w:rPr>
                <w:rFonts w:cs="Arial"/>
                <w:b/>
                <w:sz w:val="18"/>
                <w:szCs w:val="18"/>
              </w:rPr>
              <w:t>567</w:t>
            </w:r>
            <w:r>
              <w:rPr>
                <w:rFonts w:cs="Arial"/>
                <w:b/>
                <w:sz w:val="18"/>
                <w:szCs w:val="18"/>
              </w:rPr>
              <w:t>,</w:t>
            </w:r>
            <w:r w:rsidRPr="00FE65B6">
              <w:rPr>
                <w:rFonts w:cs="Arial"/>
                <w:b/>
                <w:sz w:val="18"/>
                <w:szCs w:val="18"/>
              </w:rPr>
              <w:t>965</w:t>
            </w:r>
          </w:p>
        </w:tc>
        <w:tc>
          <w:tcPr>
            <w:tcW w:w="1190" w:type="dxa"/>
            <w:tcBorders>
              <w:top w:val="single" w:sz="4" w:space="0" w:color="auto"/>
              <w:left w:val="nil"/>
              <w:bottom w:val="single" w:sz="8" w:space="0" w:color="auto"/>
              <w:right w:val="nil"/>
            </w:tcBorders>
            <w:shd w:val="clear" w:color="auto" w:fill="auto"/>
          </w:tcPr>
          <w:p w14:paraId="67FF3E5E" w14:textId="4EAA130B" w:rsidR="008211C8" w:rsidRPr="00D52976" w:rsidRDefault="008211C8" w:rsidP="008211C8">
            <w:pPr>
              <w:tabs>
                <w:tab w:val="right" w:pos="1202"/>
              </w:tabs>
              <w:spacing w:after="0" w:line="340" w:lineRule="exact"/>
              <w:jc w:val="right"/>
              <w:outlineLvl w:val="0"/>
              <w:rPr>
                <w:rFonts w:asciiTheme="minorHAnsi" w:eastAsia="Times New Roman" w:hAnsiTheme="minorHAnsi"/>
                <w:b/>
                <w:bCs/>
                <w:sz w:val="18"/>
                <w:szCs w:val="18"/>
              </w:rPr>
            </w:pPr>
            <w:r w:rsidRPr="00FE65B6">
              <w:rPr>
                <w:rFonts w:cs="Arial"/>
                <w:b/>
                <w:sz w:val="18"/>
                <w:szCs w:val="18"/>
              </w:rPr>
              <w:t>10</w:t>
            </w:r>
            <w:r>
              <w:rPr>
                <w:rFonts w:cs="Arial"/>
                <w:b/>
                <w:sz w:val="18"/>
                <w:szCs w:val="18"/>
              </w:rPr>
              <w:t>,</w:t>
            </w:r>
            <w:r w:rsidRPr="00FE65B6">
              <w:rPr>
                <w:rFonts w:cs="Arial"/>
                <w:b/>
                <w:sz w:val="18"/>
                <w:szCs w:val="18"/>
              </w:rPr>
              <w:t>803</w:t>
            </w:r>
            <w:r>
              <w:rPr>
                <w:rFonts w:cs="Arial"/>
                <w:b/>
                <w:sz w:val="18"/>
                <w:szCs w:val="18"/>
              </w:rPr>
              <w:t>,</w:t>
            </w:r>
            <w:r w:rsidRPr="00FE65B6">
              <w:rPr>
                <w:rFonts w:cs="Arial"/>
                <w:b/>
                <w:sz w:val="18"/>
                <w:szCs w:val="18"/>
              </w:rPr>
              <w:t>675</w:t>
            </w:r>
          </w:p>
        </w:tc>
        <w:tc>
          <w:tcPr>
            <w:tcW w:w="1218" w:type="dxa"/>
            <w:tcBorders>
              <w:top w:val="single" w:sz="4" w:space="0" w:color="auto"/>
              <w:left w:val="nil"/>
              <w:bottom w:val="single" w:sz="8" w:space="0" w:color="auto"/>
              <w:right w:val="nil"/>
            </w:tcBorders>
            <w:shd w:val="clear" w:color="auto" w:fill="auto"/>
          </w:tcPr>
          <w:p w14:paraId="46089DA9" w14:textId="6C9A9A7A" w:rsidR="008211C8" w:rsidRPr="00D52976" w:rsidRDefault="008211C8">
            <w:pPr>
              <w:tabs>
                <w:tab w:val="right" w:pos="1202"/>
              </w:tabs>
              <w:spacing w:after="0" w:line="340" w:lineRule="exact"/>
              <w:jc w:val="right"/>
              <w:outlineLvl w:val="0"/>
              <w:rPr>
                <w:rFonts w:asciiTheme="minorHAnsi" w:eastAsia="Times New Roman" w:hAnsiTheme="minorHAnsi"/>
                <w:b/>
                <w:bCs/>
                <w:sz w:val="18"/>
                <w:szCs w:val="18"/>
              </w:rPr>
            </w:pPr>
            <w:r w:rsidRPr="00FE65B6">
              <w:rPr>
                <w:rFonts w:cs="Arial"/>
                <w:b/>
                <w:sz w:val="18"/>
                <w:szCs w:val="18"/>
              </w:rPr>
              <w:t>19</w:t>
            </w:r>
            <w:r>
              <w:rPr>
                <w:rFonts w:cs="Arial"/>
                <w:b/>
                <w:sz w:val="18"/>
                <w:szCs w:val="18"/>
              </w:rPr>
              <w:t>,</w:t>
            </w:r>
            <w:r w:rsidRPr="00FE65B6">
              <w:rPr>
                <w:rFonts w:cs="Arial"/>
                <w:b/>
                <w:sz w:val="18"/>
                <w:szCs w:val="18"/>
              </w:rPr>
              <w:t>590</w:t>
            </w:r>
            <w:r>
              <w:rPr>
                <w:rFonts w:cs="Arial"/>
                <w:b/>
                <w:sz w:val="18"/>
                <w:szCs w:val="18"/>
              </w:rPr>
              <w:t>,</w:t>
            </w:r>
            <w:r w:rsidR="009F5C15">
              <w:rPr>
                <w:rFonts w:cs="Arial"/>
                <w:b/>
                <w:sz w:val="18"/>
                <w:szCs w:val="18"/>
              </w:rPr>
              <w:t>899</w:t>
            </w:r>
          </w:p>
        </w:tc>
      </w:tr>
    </w:tbl>
    <w:p w14:paraId="20FD6E90" w14:textId="77777777" w:rsidR="009702B0" w:rsidRPr="009702B0" w:rsidRDefault="009702B0" w:rsidP="009702B0">
      <w:pPr>
        <w:keepNext/>
        <w:tabs>
          <w:tab w:val="left" w:pos="709"/>
          <w:tab w:val="left" w:pos="851"/>
        </w:tabs>
        <w:spacing w:after="0" w:line="240" w:lineRule="auto"/>
        <w:jc w:val="both"/>
        <w:rPr>
          <w:rFonts w:asciiTheme="minorHAnsi" w:eastAsia="Times New Roman" w:hAnsiTheme="minorHAnsi" w:cs="Arial"/>
          <w:b/>
          <w:bCs/>
          <w:sz w:val="18"/>
          <w:szCs w:val="18"/>
        </w:rPr>
      </w:pPr>
    </w:p>
    <w:p w14:paraId="358749DA" w14:textId="77777777" w:rsidR="009702B0" w:rsidRPr="009702B0" w:rsidRDefault="009702B0" w:rsidP="009702B0">
      <w:pPr>
        <w:tabs>
          <w:tab w:val="left" w:pos="1390"/>
        </w:tabs>
        <w:rPr>
          <w:rFonts w:asciiTheme="minorHAnsi" w:hAnsiTheme="minorHAnsi"/>
          <w:sz w:val="18"/>
          <w:szCs w:val="18"/>
        </w:rPr>
      </w:pPr>
      <w:r w:rsidRPr="009702B0">
        <w:rPr>
          <w:rFonts w:asciiTheme="minorHAnsi" w:hAnsiTheme="minorHAnsi"/>
          <w:sz w:val="18"/>
          <w:szCs w:val="18"/>
        </w:rPr>
        <w:tab/>
      </w:r>
    </w:p>
    <w:tbl>
      <w:tblPr>
        <w:tblW w:w="4989" w:type="pct"/>
        <w:jc w:val="center"/>
        <w:tblLayout w:type="fixed"/>
        <w:tblCellMar>
          <w:left w:w="120" w:type="dxa"/>
          <w:right w:w="120" w:type="dxa"/>
        </w:tblCellMar>
        <w:tblLook w:val="0000" w:firstRow="0" w:lastRow="0" w:firstColumn="0" w:lastColumn="0" w:noHBand="0" w:noVBand="0"/>
      </w:tblPr>
      <w:tblGrid>
        <w:gridCol w:w="2118"/>
        <w:gridCol w:w="1259"/>
        <w:gridCol w:w="1139"/>
        <w:gridCol w:w="1197"/>
        <w:gridCol w:w="1197"/>
        <w:gridCol w:w="1197"/>
        <w:gridCol w:w="1226"/>
      </w:tblGrid>
      <w:tr w:rsidR="009702B0" w:rsidRPr="005F1566" w14:paraId="6C7529CB" w14:textId="77777777" w:rsidTr="00BA3F2A">
        <w:trPr>
          <w:trHeight w:val="563"/>
          <w:jc w:val="center"/>
        </w:trPr>
        <w:tc>
          <w:tcPr>
            <w:tcW w:w="2118" w:type="dxa"/>
            <w:vAlign w:val="bottom"/>
          </w:tcPr>
          <w:p w14:paraId="22290B3C" w14:textId="77777777" w:rsidR="009702B0" w:rsidRPr="005F1566" w:rsidRDefault="009702B0" w:rsidP="009702B0">
            <w:pPr>
              <w:tabs>
                <w:tab w:val="right" w:pos="1202"/>
              </w:tabs>
              <w:spacing w:after="0" w:line="240" w:lineRule="atLeas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Group</w:t>
            </w:r>
          </w:p>
          <w:p w14:paraId="1BA0CAE0" w14:textId="77777777" w:rsidR="009702B0" w:rsidRPr="005F1566" w:rsidRDefault="009702B0" w:rsidP="005F1566">
            <w:pPr>
              <w:tabs>
                <w:tab w:val="right" w:pos="1202"/>
              </w:tabs>
              <w:spacing w:after="0" w:line="240" w:lineRule="atLeas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Dec 31, 201</w:t>
            </w:r>
            <w:r w:rsidR="005F1566" w:rsidRPr="005F1566">
              <w:rPr>
                <w:rFonts w:asciiTheme="minorHAnsi" w:eastAsia="Times New Roman" w:hAnsiTheme="minorHAnsi" w:cs="Arial"/>
                <w:b/>
                <w:sz w:val="18"/>
                <w:szCs w:val="18"/>
              </w:rPr>
              <w:t>6</w:t>
            </w:r>
          </w:p>
        </w:tc>
        <w:tc>
          <w:tcPr>
            <w:tcW w:w="1259" w:type="dxa"/>
          </w:tcPr>
          <w:p w14:paraId="0293B132" w14:textId="77777777" w:rsidR="009702B0" w:rsidRPr="005F1566"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Up to 1 month</w:t>
            </w:r>
          </w:p>
        </w:tc>
        <w:tc>
          <w:tcPr>
            <w:tcW w:w="1139" w:type="dxa"/>
          </w:tcPr>
          <w:p w14:paraId="77017904" w14:textId="77777777" w:rsidR="009702B0" w:rsidRPr="005F1566"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1 - 3 months</w:t>
            </w:r>
          </w:p>
        </w:tc>
        <w:tc>
          <w:tcPr>
            <w:tcW w:w="1197" w:type="dxa"/>
          </w:tcPr>
          <w:p w14:paraId="0E8C94F5" w14:textId="77777777" w:rsidR="009702B0" w:rsidRPr="005F1566"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 xml:space="preserve">3 - 12 </w:t>
            </w:r>
          </w:p>
          <w:p w14:paraId="423B20D8" w14:textId="77777777" w:rsidR="009702B0" w:rsidRPr="005F1566"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months</w:t>
            </w:r>
          </w:p>
        </w:tc>
        <w:tc>
          <w:tcPr>
            <w:tcW w:w="1197" w:type="dxa"/>
          </w:tcPr>
          <w:p w14:paraId="7167CDE4" w14:textId="77777777" w:rsidR="009702B0" w:rsidRPr="005F1566"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 xml:space="preserve">1 - 3 </w:t>
            </w:r>
          </w:p>
          <w:p w14:paraId="36529259" w14:textId="77777777" w:rsidR="009702B0" w:rsidRPr="005F1566"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years</w:t>
            </w:r>
          </w:p>
        </w:tc>
        <w:tc>
          <w:tcPr>
            <w:tcW w:w="1197" w:type="dxa"/>
          </w:tcPr>
          <w:p w14:paraId="18C5372D" w14:textId="77777777" w:rsidR="009702B0" w:rsidRPr="005F1566" w:rsidRDefault="009702B0" w:rsidP="009702B0">
            <w:pPr>
              <w:tabs>
                <w:tab w:val="right" w:pos="1263"/>
              </w:tabs>
              <w:spacing w:after="0" w:line="240" w:lineRule="atLeas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Over 3 years</w:t>
            </w:r>
          </w:p>
        </w:tc>
        <w:tc>
          <w:tcPr>
            <w:tcW w:w="1226" w:type="dxa"/>
          </w:tcPr>
          <w:p w14:paraId="60E280D4" w14:textId="77777777" w:rsidR="009702B0" w:rsidRPr="005F1566"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Total</w:t>
            </w:r>
          </w:p>
        </w:tc>
      </w:tr>
      <w:tr w:rsidR="009702B0" w:rsidRPr="005F1566" w14:paraId="19DA02A4" w14:textId="77777777" w:rsidTr="009702B0">
        <w:trPr>
          <w:trHeight w:val="332"/>
          <w:jc w:val="center"/>
        </w:trPr>
        <w:tc>
          <w:tcPr>
            <w:tcW w:w="2118" w:type="dxa"/>
          </w:tcPr>
          <w:p w14:paraId="65D13659" w14:textId="77777777" w:rsidR="009702B0" w:rsidRPr="005F1566" w:rsidRDefault="009702B0" w:rsidP="009702B0">
            <w:pPr>
              <w:tabs>
                <w:tab w:val="right" w:pos="1202"/>
              </w:tabs>
              <w:spacing w:after="0" w:line="301" w:lineRule="exact"/>
              <w:outlineLvl w:val="0"/>
              <w:rPr>
                <w:rFonts w:asciiTheme="minorHAnsi" w:eastAsia="Times New Roman" w:hAnsiTheme="minorHAnsi" w:cs="Arial"/>
                <w:b/>
                <w:bCs/>
                <w:sz w:val="18"/>
                <w:szCs w:val="18"/>
              </w:rPr>
            </w:pPr>
            <w:r w:rsidRPr="005F1566">
              <w:rPr>
                <w:rFonts w:asciiTheme="minorHAnsi" w:eastAsia="Times New Roman" w:hAnsiTheme="minorHAnsi" w:cs="Arial"/>
                <w:b/>
                <w:bCs/>
                <w:sz w:val="18"/>
                <w:szCs w:val="18"/>
              </w:rPr>
              <w:t>Financial liabilities</w:t>
            </w:r>
          </w:p>
        </w:tc>
        <w:tc>
          <w:tcPr>
            <w:tcW w:w="1259" w:type="dxa"/>
            <w:vAlign w:val="bottom"/>
          </w:tcPr>
          <w:p w14:paraId="261ED9DD" w14:textId="77777777" w:rsidR="009702B0" w:rsidRPr="005F1566"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39" w:type="dxa"/>
            <w:vAlign w:val="bottom"/>
          </w:tcPr>
          <w:p w14:paraId="0898AB7C" w14:textId="77777777" w:rsidR="009702B0" w:rsidRPr="005F1566"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97" w:type="dxa"/>
            <w:vAlign w:val="bottom"/>
          </w:tcPr>
          <w:p w14:paraId="63F7705D" w14:textId="77777777" w:rsidR="009702B0" w:rsidRPr="005F1566"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97" w:type="dxa"/>
            <w:vAlign w:val="bottom"/>
          </w:tcPr>
          <w:p w14:paraId="269E8218" w14:textId="77777777" w:rsidR="009702B0" w:rsidRPr="005F1566"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97" w:type="dxa"/>
            <w:vAlign w:val="bottom"/>
          </w:tcPr>
          <w:p w14:paraId="29F1922F" w14:textId="77777777" w:rsidR="009702B0" w:rsidRPr="005F1566" w:rsidRDefault="009702B0" w:rsidP="009702B0">
            <w:pPr>
              <w:tabs>
                <w:tab w:val="right" w:pos="1263"/>
              </w:tabs>
              <w:spacing w:after="0" w:line="301" w:lineRule="exact"/>
              <w:jc w:val="right"/>
              <w:outlineLvl w:val="0"/>
              <w:rPr>
                <w:rFonts w:asciiTheme="minorHAnsi" w:eastAsia="Times New Roman" w:hAnsiTheme="minorHAnsi" w:cs="Arial"/>
                <w:b/>
                <w:bCs/>
                <w:spacing w:val="-2"/>
                <w:sz w:val="18"/>
                <w:szCs w:val="18"/>
              </w:rPr>
            </w:pPr>
          </w:p>
        </w:tc>
        <w:tc>
          <w:tcPr>
            <w:tcW w:w="1226" w:type="dxa"/>
            <w:vAlign w:val="bottom"/>
          </w:tcPr>
          <w:p w14:paraId="3381E925" w14:textId="77777777" w:rsidR="009702B0" w:rsidRPr="005F1566" w:rsidRDefault="009702B0" w:rsidP="009702B0">
            <w:pPr>
              <w:spacing w:after="0" w:line="301" w:lineRule="exact"/>
              <w:jc w:val="right"/>
              <w:outlineLvl w:val="0"/>
              <w:rPr>
                <w:rFonts w:asciiTheme="minorHAnsi" w:eastAsia="Times New Roman" w:hAnsiTheme="minorHAnsi" w:cs="Arial"/>
                <w:b/>
                <w:bCs/>
                <w:sz w:val="18"/>
                <w:szCs w:val="18"/>
              </w:rPr>
            </w:pPr>
          </w:p>
        </w:tc>
      </w:tr>
      <w:tr w:rsidR="005F1566" w:rsidRPr="005F1566" w14:paraId="3EDC6C54" w14:textId="77777777" w:rsidTr="009702B0">
        <w:trPr>
          <w:trHeight w:val="137"/>
          <w:jc w:val="center"/>
        </w:trPr>
        <w:tc>
          <w:tcPr>
            <w:tcW w:w="2118" w:type="dxa"/>
          </w:tcPr>
          <w:p w14:paraId="5BA40B05" w14:textId="77777777" w:rsidR="005F1566" w:rsidRPr="005F1566" w:rsidRDefault="005F1566" w:rsidP="005F1566">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5F1566">
              <w:rPr>
                <w:rFonts w:asciiTheme="minorHAnsi" w:eastAsia="Times New Roman" w:hAnsiTheme="minorHAnsi" w:cs="Arial"/>
                <w:sz w:val="18"/>
                <w:szCs w:val="18"/>
              </w:rPr>
              <w:t>Deposits</w:t>
            </w:r>
          </w:p>
        </w:tc>
        <w:tc>
          <w:tcPr>
            <w:tcW w:w="1259" w:type="dxa"/>
            <w:tcBorders>
              <w:top w:val="nil"/>
              <w:left w:val="nil"/>
              <w:bottom w:val="nil"/>
              <w:right w:val="nil"/>
            </w:tcBorders>
            <w:shd w:val="clear" w:color="auto" w:fill="auto"/>
            <w:vAlign w:val="bottom"/>
          </w:tcPr>
          <w:p w14:paraId="3F47968F"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sz w:val="18"/>
                <w:szCs w:val="18"/>
              </w:rPr>
              <w:t>75,581</w:t>
            </w:r>
          </w:p>
        </w:tc>
        <w:tc>
          <w:tcPr>
            <w:tcW w:w="1139" w:type="dxa"/>
            <w:tcBorders>
              <w:top w:val="nil"/>
              <w:left w:val="nil"/>
              <w:bottom w:val="nil"/>
              <w:right w:val="nil"/>
            </w:tcBorders>
            <w:shd w:val="clear" w:color="auto" w:fill="auto"/>
            <w:vAlign w:val="bottom"/>
          </w:tcPr>
          <w:p w14:paraId="3867BA53"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sz w:val="18"/>
                <w:szCs w:val="18"/>
              </w:rPr>
              <w:t>-</w:t>
            </w:r>
          </w:p>
        </w:tc>
        <w:tc>
          <w:tcPr>
            <w:tcW w:w="1197" w:type="dxa"/>
            <w:tcBorders>
              <w:top w:val="nil"/>
              <w:left w:val="nil"/>
              <w:bottom w:val="nil"/>
              <w:right w:val="nil"/>
            </w:tcBorders>
            <w:shd w:val="clear" w:color="auto" w:fill="auto"/>
            <w:vAlign w:val="bottom"/>
          </w:tcPr>
          <w:p w14:paraId="7E63DBD7"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sz w:val="18"/>
                <w:szCs w:val="18"/>
              </w:rPr>
              <w:t>12,687</w:t>
            </w:r>
          </w:p>
        </w:tc>
        <w:tc>
          <w:tcPr>
            <w:tcW w:w="1197" w:type="dxa"/>
            <w:tcBorders>
              <w:top w:val="nil"/>
              <w:left w:val="nil"/>
              <w:bottom w:val="nil"/>
              <w:right w:val="nil"/>
            </w:tcBorders>
            <w:shd w:val="clear" w:color="auto" w:fill="auto"/>
            <w:vAlign w:val="bottom"/>
          </w:tcPr>
          <w:p w14:paraId="57F5B134"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sz w:val="18"/>
                <w:szCs w:val="18"/>
              </w:rPr>
              <w:t>46,407</w:t>
            </w:r>
          </w:p>
        </w:tc>
        <w:tc>
          <w:tcPr>
            <w:tcW w:w="1197" w:type="dxa"/>
            <w:tcBorders>
              <w:top w:val="nil"/>
              <w:left w:val="nil"/>
              <w:bottom w:val="nil"/>
              <w:right w:val="nil"/>
            </w:tcBorders>
            <w:shd w:val="clear" w:color="auto" w:fill="auto"/>
            <w:vAlign w:val="bottom"/>
          </w:tcPr>
          <w:p w14:paraId="079BF987"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sz w:val="18"/>
                <w:szCs w:val="18"/>
              </w:rPr>
              <w:t>8,169</w:t>
            </w:r>
          </w:p>
        </w:tc>
        <w:tc>
          <w:tcPr>
            <w:tcW w:w="1226" w:type="dxa"/>
            <w:tcBorders>
              <w:top w:val="nil"/>
              <w:left w:val="nil"/>
              <w:bottom w:val="nil"/>
              <w:right w:val="nil"/>
            </w:tcBorders>
            <w:shd w:val="clear" w:color="auto" w:fill="auto"/>
            <w:vAlign w:val="bottom"/>
          </w:tcPr>
          <w:p w14:paraId="05C05729"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sz w:val="18"/>
                <w:szCs w:val="18"/>
              </w:rPr>
              <w:t>142,844</w:t>
            </w:r>
          </w:p>
        </w:tc>
      </w:tr>
      <w:tr w:rsidR="005F1566" w:rsidRPr="005F1566" w14:paraId="22F21A2D" w14:textId="77777777" w:rsidTr="009702B0">
        <w:trPr>
          <w:trHeight w:val="137"/>
          <w:jc w:val="center"/>
        </w:trPr>
        <w:tc>
          <w:tcPr>
            <w:tcW w:w="2118" w:type="dxa"/>
          </w:tcPr>
          <w:p w14:paraId="2934A158" w14:textId="77777777" w:rsidR="005F1566" w:rsidRPr="005F1566" w:rsidRDefault="005F1566" w:rsidP="005F1566">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5F1566">
              <w:rPr>
                <w:rFonts w:asciiTheme="minorHAnsi" w:eastAsia="Times New Roman" w:hAnsiTheme="minorHAnsi" w:cs="Arial"/>
                <w:sz w:val="18"/>
                <w:szCs w:val="18"/>
              </w:rPr>
              <w:t>Borrowings</w:t>
            </w:r>
          </w:p>
        </w:tc>
        <w:tc>
          <w:tcPr>
            <w:tcW w:w="1259" w:type="dxa"/>
            <w:tcBorders>
              <w:top w:val="nil"/>
              <w:left w:val="nil"/>
              <w:bottom w:val="nil"/>
              <w:right w:val="nil"/>
            </w:tcBorders>
            <w:shd w:val="clear" w:color="auto" w:fill="auto"/>
            <w:vAlign w:val="bottom"/>
          </w:tcPr>
          <w:p w14:paraId="631E63BD"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sz w:val="18"/>
                <w:szCs w:val="18"/>
              </w:rPr>
              <w:t>382,184</w:t>
            </w:r>
          </w:p>
        </w:tc>
        <w:tc>
          <w:tcPr>
            <w:tcW w:w="1139" w:type="dxa"/>
            <w:tcBorders>
              <w:top w:val="nil"/>
              <w:left w:val="nil"/>
              <w:bottom w:val="nil"/>
              <w:right w:val="nil"/>
            </w:tcBorders>
            <w:shd w:val="clear" w:color="auto" w:fill="auto"/>
            <w:vAlign w:val="bottom"/>
          </w:tcPr>
          <w:p w14:paraId="1FE54166"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sz w:val="18"/>
                <w:szCs w:val="18"/>
              </w:rPr>
              <w:t>208,630</w:t>
            </w:r>
          </w:p>
        </w:tc>
        <w:tc>
          <w:tcPr>
            <w:tcW w:w="1197" w:type="dxa"/>
            <w:tcBorders>
              <w:top w:val="nil"/>
              <w:left w:val="nil"/>
              <w:bottom w:val="nil"/>
              <w:right w:val="nil"/>
            </w:tcBorders>
            <w:shd w:val="clear" w:color="auto" w:fill="auto"/>
            <w:vAlign w:val="bottom"/>
          </w:tcPr>
          <w:p w14:paraId="390AA392"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sz w:val="18"/>
                <w:szCs w:val="18"/>
              </w:rPr>
              <w:t>1,261,178</w:t>
            </w:r>
          </w:p>
        </w:tc>
        <w:tc>
          <w:tcPr>
            <w:tcW w:w="1197" w:type="dxa"/>
            <w:tcBorders>
              <w:top w:val="nil"/>
              <w:left w:val="nil"/>
              <w:bottom w:val="nil"/>
              <w:right w:val="nil"/>
            </w:tcBorders>
            <w:shd w:val="clear" w:color="auto" w:fill="auto"/>
            <w:vAlign w:val="bottom"/>
          </w:tcPr>
          <w:p w14:paraId="6831F6BF"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sz w:val="18"/>
                <w:szCs w:val="18"/>
              </w:rPr>
              <w:t>3,598,035</w:t>
            </w:r>
          </w:p>
        </w:tc>
        <w:tc>
          <w:tcPr>
            <w:tcW w:w="1197" w:type="dxa"/>
            <w:tcBorders>
              <w:top w:val="nil"/>
              <w:left w:val="nil"/>
              <w:bottom w:val="nil"/>
              <w:right w:val="nil"/>
            </w:tcBorders>
            <w:shd w:val="clear" w:color="auto" w:fill="auto"/>
            <w:vAlign w:val="bottom"/>
          </w:tcPr>
          <w:p w14:paraId="5FD3EE01"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sz w:val="18"/>
                <w:szCs w:val="18"/>
              </w:rPr>
              <w:t>9,694,025</w:t>
            </w:r>
          </w:p>
        </w:tc>
        <w:tc>
          <w:tcPr>
            <w:tcW w:w="1226" w:type="dxa"/>
            <w:tcBorders>
              <w:top w:val="nil"/>
              <w:left w:val="nil"/>
              <w:bottom w:val="nil"/>
              <w:right w:val="nil"/>
            </w:tcBorders>
            <w:shd w:val="clear" w:color="auto" w:fill="auto"/>
            <w:vAlign w:val="bottom"/>
          </w:tcPr>
          <w:p w14:paraId="605E766D"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bCs/>
                <w:sz w:val="18"/>
                <w:szCs w:val="18"/>
              </w:rPr>
              <w:t>15,144,052</w:t>
            </w:r>
          </w:p>
        </w:tc>
      </w:tr>
      <w:tr w:rsidR="005F1566" w:rsidRPr="005F1566" w14:paraId="1A7E003C" w14:textId="77777777" w:rsidTr="009702B0">
        <w:trPr>
          <w:trHeight w:val="137"/>
          <w:jc w:val="center"/>
        </w:trPr>
        <w:tc>
          <w:tcPr>
            <w:tcW w:w="2118" w:type="dxa"/>
          </w:tcPr>
          <w:p w14:paraId="3CE2FD60" w14:textId="77777777" w:rsidR="005F1566" w:rsidRPr="005F1566" w:rsidRDefault="005F1566" w:rsidP="005F1566">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5F1566">
              <w:rPr>
                <w:rFonts w:asciiTheme="minorHAnsi" w:eastAsia="Times New Roman" w:hAnsiTheme="minorHAnsi" w:cs="Arial"/>
                <w:sz w:val="18"/>
                <w:szCs w:val="18"/>
              </w:rPr>
              <w:t>Bonds payable</w:t>
            </w:r>
          </w:p>
        </w:tc>
        <w:tc>
          <w:tcPr>
            <w:tcW w:w="1259" w:type="dxa"/>
            <w:tcBorders>
              <w:top w:val="nil"/>
              <w:left w:val="nil"/>
              <w:bottom w:val="nil"/>
              <w:right w:val="nil"/>
            </w:tcBorders>
            <w:shd w:val="clear" w:color="auto" w:fill="auto"/>
            <w:vAlign w:val="bottom"/>
          </w:tcPr>
          <w:p w14:paraId="6B1F1B39"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lang w:val="pl-PL"/>
              </w:rPr>
            </w:pPr>
            <w:r w:rsidRPr="005F1566">
              <w:rPr>
                <w:rFonts w:asciiTheme="minorHAnsi" w:hAnsiTheme="minorHAnsi" w:cs="Arial"/>
                <w:sz w:val="18"/>
                <w:szCs w:val="18"/>
              </w:rPr>
              <w:t>-</w:t>
            </w:r>
          </w:p>
        </w:tc>
        <w:tc>
          <w:tcPr>
            <w:tcW w:w="1139" w:type="dxa"/>
            <w:tcBorders>
              <w:top w:val="nil"/>
              <w:left w:val="nil"/>
              <w:bottom w:val="nil"/>
              <w:right w:val="nil"/>
            </w:tcBorders>
            <w:shd w:val="clear" w:color="auto" w:fill="auto"/>
            <w:vAlign w:val="bottom"/>
          </w:tcPr>
          <w:p w14:paraId="23644143"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lang w:val="pl-PL"/>
              </w:rPr>
            </w:pPr>
            <w:r w:rsidRPr="005F1566">
              <w:rPr>
                <w:rFonts w:asciiTheme="minorHAnsi" w:hAnsiTheme="minorHAnsi" w:cs="Arial"/>
                <w:sz w:val="18"/>
                <w:szCs w:val="18"/>
              </w:rPr>
              <w:t>-</w:t>
            </w:r>
          </w:p>
        </w:tc>
        <w:tc>
          <w:tcPr>
            <w:tcW w:w="1197" w:type="dxa"/>
            <w:tcBorders>
              <w:top w:val="nil"/>
              <w:left w:val="nil"/>
              <w:bottom w:val="nil"/>
              <w:right w:val="nil"/>
            </w:tcBorders>
            <w:shd w:val="clear" w:color="auto" w:fill="auto"/>
            <w:vAlign w:val="bottom"/>
          </w:tcPr>
          <w:p w14:paraId="58285C03"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lang w:val="pl-PL"/>
              </w:rPr>
            </w:pPr>
            <w:r w:rsidRPr="005F1566">
              <w:rPr>
                <w:rFonts w:asciiTheme="minorHAnsi" w:hAnsiTheme="minorHAnsi" w:cs="Arial"/>
                <w:sz w:val="18"/>
                <w:szCs w:val="18"/>
              </w:rPr>
              <w:t>2,051,330</w:t>
            </w:r>
          </w:p>
        </w:tc>
        <w:tc>
          <w:tcPr>
            <w:tcW w:w="1197" w:type="dxa"/>
            <w:tcBorders>
              <w:top w:val="nil"/>
              <w:left w:val="nil"/>
              <w:bottom w:val="nil"/>
              <w:right w:val="nil"/>
            </w:tcBorders>
            <w:shd w:val="clear" w:color="auto" w:fill="auto"/>
            <w:vAlign w:val="bottom"/>
          </w:tcPr>
          <w:p w14:paraId="1F5ED388"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lang w:val="pl-PL"/>
              </w:rPr>
            </w:pPr>
            <w:r w:rsidRPr="005F1566">
              <w:rPr>
                <w:rFonts w:asciiTheme="minorHAnsi" w:hAnsiTheme="minorHAnsi" w:cs="Arial"/>
                <w:sz w:val="18"/>
                <w:szCs w:val="18"/>
              </w:rPr>
              <w:t>136,040</w:t>
            </w:r>
          </w:p>
        </w:tc>
        <w:tc>
          <w:tcPr>
            <w:tcW w:w="1197" w:type="dxa"/>
            <w:tcBorders>
              <w:top w:val="nil"/>
              <w:left w:val="nil"/>
              <w:bottom w:val="nil"/>
              <w:right w:val="nil"/>
            </w:tcBorders>
            <w:shd w:val="clear" w:color="auto" w:fill="auto"/>
            <w:vAlign w:val="bottom"/>
          </w:tcPr>
          <w:p w14:paraId="13E5C63A"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lang w:val="pl-PL"/>
              </w:rPr>
            </w:pPr>
            <w:r w:rsidRPr="005F1566">
              <w:rPr>
                <w:rFonts w:asciiTheme="minorHAnsi" w:hAnsiTheme="minorHAnsi" w:cs="Arial"/>
                <w:sz w:val="18"/>
                <w:szCs w:val="18"/>
              </w:rPr>
              <w:t>1,188,820</w:t>
            </w:r>
          </w:p>
        </w:tc>
        <w:tc>
          <w:tcPr>
            <w:tcW w:w="1226" w:type="dxa"/>
            <w:tcBorders>
              <w:top w:val="nil"/>
              <w:left w:val="nil"/>
              <w:bottom w:val="nil"/>
              <w:right w:val="nil"/>
            </w:tcBorders>
            <w:shd w:val="clear" w:color="auto" w:fill="auto"/>
            <w:vAlign w:val="bottom"/>
          </w:tcPr>
          <w:p w14:paraId="70F24CEC"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lang w:val="pl-PL"/>
              </w:rPr>
            </w:pPr>
            <w:r w:rsidRPr="005F1566">
              <w:rPr>
                <w:rFonts w:asciiTheme="minorHAnsi" w:hAnsiTheme="minorHAnsi" w:cs="Arial"/>
                <w:bCs/>
                <w:sz w:val="18"/>
                <w:szCs w:val="18"/>
              </w:rPr>
              <w:t>3,376,190</w:t>
            </w:r>
          </w:p>
        </w:tc>
      </w:tr>
      <w:tr w:rsidR="005F1566" w:rsidRPr="005F1566" w14:paraId="378FE57C" w14:textId="77777777" w:rsidTr="005F1566">
        <w:trPr>
          <w:trHeight w:val="137"/>
          <w:jc w:val="center"/>
        </w:trPr>
        <w:tc>
          <w:tcPr>
            <w:tcW w:w="2118" w:type="dxa"/>
          </w:tcPr>
          <w:p w14:paraId="6EDBB312" w14:textId="77777777" w:rsidR="005F1566" w:rsidRPr="005F1566" w:rsidRDefault="005F1566" w:rsidP="005F1566">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5F1566">
              <w:rPr>
                <w:rFonts w:asciiTheme="minorHAnsi" w:eastAsia="Times New Roman" w:hAnsiTheme="minorHAnsi" w:cs="Arial"/>
                <w:sz w:val="18"/>
                <w:szCs w:val="18"/>
              </w:rPr>
              <w:t>Other liabilities</w:t>
            </w:r>
          </w:p>
        </w:tc>
        <w:tc>
          <w:tcPr>
            <w:tcW w:w="1259" w:type="dxa"/>
            <w:tcBorders>
              <w:top w:val="nil"/>
              <w:left w:val="nil"/>
              <w:bottom w:val="nil"/>
              <w:right w:val="nil"/>
            </w:tcBorders>
            <w:shd w:val="clear" w:color="auto" w:fill="auto"/>
            <w:vAlign w:val="bottom"/>
          </w:tcPr>
          <w:p w14:paraId="7D7198FF" w14:textId="77777777" w:rsidR="005F1566" w:rsidRPr="005F1566" w:rsidRDefault="005F1566" w:rsidP="005F1566">
            <w:pPr>
              <w:tabs>
                <w:tab w:val="right" w:pos="1202"/>
                <w:tab w:val="center" w:pos="4153"/>
                <w:tab w:val="right" w:pos="8306"/>
              </w:tabs>
              <w:spacing w:after="0" w:line="240" w:lineRule="auto"/>
              <w:jc w:val="right"/>
              <w:outlineLvl w:val="0"/>
              <w:rPr>
                <w:rFonts w:asciiTheme="minorHAnsi" w:hAnsiTheme="minorHAnsi" w:cs="Arial"/>
                <w:sz w:val="18"/>
                <w:szCs w:val="18"/>
              </w:rPr>
            </w:pPr>
            <w:r w:rsidRPr="005F1566">
              <w:rPr>
                <w:rFonts w:asciiTheme="minorHAnsi" w:hAnsiTheme="minorHAnsi"/>
                <w:sz w:val="18"/>
                <w:szCs w:val="18"/>
              </w:rPr>
              <w:t>151,186</w:t>
            </w:r>
          </w:p>
        </w:tc>
        <w:tc>
          <w:tcPr>
            <w:tcW w:w="1139" w:type="dxa"/>
            <w:tcBorders>
              <w:top w:val="nil"/>
              <w:left w:val="nil"/>
              <w:bottom w:val="nil"/>
              <w:right w:val="nil"/>
            </w:tcBorders>
            <w:shd w:val="clear" w:color="auto" w:fill="auto"/>
            <w:vAlign w:val="bottom"/>
          </w:tcPr>
          <w:p w14:paraId="0A07585D" w14:textId="77777777" w:rsidR="005F1566" w:rsidRPr="005F1566" w:rsidRDefault="005F1566" w:rsidP="005F1566">
            <w:pPr>
              <w:tabs>
                <w:tab w:val="right" w:pos="1202"/>
                <w:tab w:val="center" w:pos="4153"/>
                <w:tab w:val="right" w:pos="8306"/>
              </w:tabs>
              <w:spacing w:after="0" w:line="240" w:lineRule="auto"/>
              <w:jc w:val="right"/>
              <w:outlineLvl w:val="0"/>
              <w:rPr>
                <w:rFonts w:asciiTheme="minorHAnsi" w:hAnsiTheme="minorHAnsi" w:cs="Arial"/>
                <w:sz w:val="18"/>
                <w:szCs w:val="18"/>
              </w:rPr>
            </w:pPr>
            <w:r w:rsidRPr="005F1566">
              <w:rPr>
                <w:rFonts w:asciiTheme="minorHAnsi" w:hAnsiTheme="minorHAnsi"/>
                <w:sz w:val="18"/>
                <w:szCs w:val="18"/>
              </w:rPr>
              <w:t>29,918</w:t>
            </w:r>
          </w:p>
        </w:tc>
        <w:tc>
          <w:tcPr>
            <w:tcW w:w="1197" w:type="dxa"/>
            <w:tcBorders>
              <w:top w:val="nil"/>
              <w:left w:val="nil"/>
              <w:bottom w:val="nil"/>
              <w:right w:val="nil"/>
            </w:tcBorders>
            <w:shd w:val="clear" w:color="auto" w:fill="auto"/>
            <w:vAlign w:val="bottom"/>
          </w:tcPr>
          <w:p w14:paraId="56D5A6A6" w14:textId="77777777" w:rsidR="005F1566" w:rsidRPr="005F1566" w:rsidRDefault="005F1566" w:rsidP="005F1566">
            <w:pPr>
              <w:tabs>
                <w:tab w:val="right" w:pos="1202"/>
                <w:tab w:val="center" w:pos="4153"/>
                <w:tab w:val="right" w:pos="8306"/>
              </w:tabs>
              <w:spacing w:after="0" w:line="240" w:lineRule="auto"/>
              <w:jc w:val="right"/>
              <w:outlineLvl w:val="0"/>
              <w:rPr>
                <w:rFonts w:asciiTheme="minorHAnsi" w:hAnsiTheme="minorHAnsi" w:cs="Arial"/>
                <w:sz w:val="18"/>
                <w:szCs w:val="18"/>
              </w:rPr>
            </w:pPr>
            <w:r w:rsidRPr="005F1566">
              <w:rPr>
                <w:rFonts w:asciiTheme="minorHAnsi" w:hAnsiTheme="minorHAnsi"/>
                <w:sz w:val="18"/>
                <w:szCs w:val="18"/>
              </w:rPr>
              <w:t>105,330</w:t>
            </w:r>
          </w:p>
        </w:tc>
        <w:tc>
          <w:tcPr>
            <w:tcW w:w="1197" w:type="dxa"/>
            <w:tcBorders>
              <w:top w:val="nil"/>
              <w:left w:val="nil"/>
              <w:bottom w:val="nil"/>
              <w:right w:val="nil"/>
            </w:tcBorders>
            <w:shd w:val="clear" w:color="auto" w:fill="auto"/>
            <w:vAlign w:val="bottom"/>
          </w:tcPr>
          <w:p w14:paraId="5D67175A" w14:textId="77777777" w:rsidR="005F1566" w:rsidRPr="005F1566" w:rsidRDefault="005F1566" w:rsidP="005F1566">
            <w:pPr>
              <w:tabs>
                <w:tab w:val="right" w:pos="1202"/>
                <w:tab w:val="center" w:pos="4153"/>
                <w:tab w:val="right" w:pos="8306"/>
              </w:tabs>
              <w:spacing w:after="0" w:line="240" w:lineRule="auto"/>
              <w:jc w:val="right"/>
              <w:outlineLvl w:val="0"/>
              <w:rPr>
                <w:rFonts w:asciiTheme="minorHAnsi" w:hAnsiTheme="minorHAnsi" w:cs="Arial"/>
                <w:sz w:val="18"/>
                <w:szCs w:val="18"/>
              </w:rPr>
            </w:pPr>
            <w:r w:rsidRPr="005F1566">
              <w:rPr>
                <w:rFonts w:asciiTheme="minorHAnsi" w:hAnsiTheme="minorHAnsi"/>
                <w:sz w:val="18"/>
                <w:szCs w:val="18"/>
              </w:rPr>
              <w:t>194,459</w:t>
            </w:r>
          </w:p>
        </w:tc>
        <w:tc>
          <w:tcPr>
            <w:tcW w:w="1197" w:type="dxa"/>
            <w:tcBorders>
              <w:top w:val="nil"/>
              <w:left w:val="nil"/>
              <w:bottom w:val="nil"/>
              <w:right w:val="nil"/>
            </w:tcBorders>
            <w:shd w:val="clear" w:color="auto" w:fill="auto"/>
            <w:vAlign w:val="bottom"/>
          </w:tcPr>
          <w:p w14:paraId="56F7CADC" w14:textId="77777777" w:rsidR="005F1566" w:rsidRPr="005F1566" w:rsidRDefault="005F1566" w:rsidP="005F1566">
            <w:pPr>
              <w:tabs>
                <w:tab w:val="right" w:pos="1202"/>
                <w:tab w:val="center" w:pos="4153"/>
                <w:tab w:val="right" w:pos="8306"/>
              </w:tabs>
              <w:spacing w:after="0" w:line="240" w:lineRule="auto"/>
              <w:jc w:val="right"/>
              <w:outlineLvl w:val="0"/>
              <w:rPr>
                <w:rFonts w:asciiTheme="minorHAnsi" w:hAnsiTheme="minorHAnsi" w:cs="Arial"/>
                <w:sz w:val="18"/>
                <w:szCs w:val="18"/>
              </w:rPr>
            </w:pPr>
            <w:r w:rsidRPr="005F1566">
              <w:rPr>
                <w:rFonts w:asciiTheme="minorHAnsi" w:hAnsiTheme="minorHAnsi"/>
                <w:sz w:val="18"/>
                <w:szCs w:val="18"/>
              </w:rPr>
              <w:t>227,059</w:t>
            </w:r>
          </w:p>
        </w:tc>
        <w:tc>
          <w:tcPr>
            <w:tcW w:w="1226" w:type="dxa"/>
            <w:tcBorders>
              <w:top w:val="nil"/>
              <w:left w:val="nil"/>
              <w:bottom w:val="nil"/>
              <w:right w:val="nil"/>
            </w:tcBorders>
            <w:shd w:val="clear" w:color="auto" w:fill="auto"/>
            <w:vAlign w:val="bottom"/>
          </w:tcPr>
          <w:p w14:paraId="7B2E3ABA" w14:textId="77777777" w:rsidR="005F1566" w:rsidRPr="005F1566" w:rsidRDefault="005F1566" w:rsidP="005F1566">
            <w:pPr>
              <w:tabs>
                <w:tab w:val="right" w:pos="1202"/>
                <w:tab w:val="center" w:pos="4153"/>
                <w:tab w:val="right" w:pos="8306"/>
              </w:tabs>
              <w:spacing w:after="0" w:line="240" w:lineRule="auto"/>
              <w:jc w:val="right"/>
              <w:outlineLvl w:val="0"/>
              <w:rPr>
                <w:rFonts w:asciiTheme="minorHAnsi" w:hAnsiTheme="minorHAnsi" w:cs="Arial"/>
                <w:sz w:val="18"/>
                <w:szCs w:val="18"/>
              </w:rPr>
            </w:pPr>
            <w:r w:rsidRPr="005F1566">
              <w:rPr>
                <w:rFonts w:asciiTheme="minorHAnsi" w:hAnsiTheme="minorHAnsi"/>
                <w:sz w:val="18"/>
                <w:szCs w:val="18"/>
              </w:rPr>
              <w:t>707,952</w:t>
            </w:r>
          </w:p>
        </w:tc>
      </w:tr>
      <w:tr w:rsidR="009702B0" w:rsidRPr="005F1566" w14:paraId="0AF35808" w14:textId="77777777" w:rsidTr="005F1566">
        <w:trPr>
          <w:trHeight w:hRule="exact" w:val="113"/>
          <w:jc w:val="center"/>
        </w:trPr>
        <w:tc>
          <w:tcPr>
            <w:tcW w:w="2118" w:type="dxa"/>
          </w:tcPr>
          <w:p w14:paraId="26639FE3" w14:textId="77777777" w:rsidR="009702B0" w:rsidRPr="005F1566" w:rsidRDefault="009702B0" w:rsidP="009702B0">
            <w:pPr>
              <w:tabs>
                <w:tab w:val="right" w:pos="1202"/>
                <w:tab w:val="center" w:pos="4153"/>
                <w:tab w:val="right" w:pos="8306"/>
              </w:tabs>
              <w:spacing w:after="0" w:line="120" w:lineRule="auto"/>
              <w:outlineLvl w:val="0"/>
              <w:rPr>
                <w:rFonts w:asciiTheme="minorHAnsi" w:eastAsia="Times New Roman" w:hAnsiTheme="minorHAnsi" w:cs="Arial"/>
                <w:sz w:val="18"/>
                <w:szCs w:val="18"/>
              </w:rPr>
            </w:pPr>
          </w:p>
        </w:tc>
        <w:tc>
          <w:tcPr>
            <w:tcW w:w="1259" w:type="dxa"/>
            <w:tcBorders>
              <w:bottom w:val="single" w:sz="6" w:space="0" w:color="auto"/>
            </w:tcBorders>
            <w:vAlign w:val="bottom"/>
          </w:tcPr>
          <w:p w14:paraId="56F99923"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39" w:type="dxa"/>
            <w:tcBorders>
              <w:bottom w:val="single" w:sz="6" w:space="0" w:color="auto"/>
            </w:tcBorders>
            <w:vAlign w:val="bottom"/>
          </w:tcPr>
          <w:p w14:paraId="4074AD1B"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97" w:type="dxa"/>
            <w:tcBorders>
              <w:bottom w:val="single" w:sz="6" w:space="0" w:color="auto"/>
            </w:tcBorders>
            <w:vAlign w:val="bottom"/>
          </w:tcPr>
          <w:p w14:paraId="5721B308"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97" w:type="dxa"/>
            <w:tcBorders>
              <w:bottom w:val="single" w:sz="6" w:space="0" w:color="auto"/>
            </w:tcBorders>
            <w:vAlign w:val="bottom"/>
          </w:tcPr>
          <w:p w14:paraId="42DE2C06"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97" w:type="dxa"/>
            <w:tcBorders>
              <w:bottom w:val="single" w:sz="6" w:space="0" w:color="auto"/>
            </w:tcBorders>
            <w:vAlign w:val="bottom"/>
          </w:tcPr>
          <w:p w14:paraId="604BAE28"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226" w:type="dxa"/>
            <w:tcBorders>
              <w:bottom w:val="single" w:sz="6" w:space="0" w:color="auto"/>
            </w:tcBorders>
            <w:vAlign w:val="bottom"/>
          </w:tcPr>
          <w:p w14:paraId="5265156A"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r>
      <w:tr w:rsidR="009702B0" w:rsidRPr="005F1566" w14:paraId="2108D5C1" w14:textId="77777777" w:rsidTr="005F1566">
        <w:trPr>
          <w:trHeight w:hRule="exact" w:val="113"/>
          <w:jc w:val="center"/>
        </w:trPr>
        <w:tc>
          <w:tcPr>
            <w:tcW w:w="2118" w:type="dxa"/>
          </w:tcPr>
          <w:p w14:paraId="3484DA30" w14:textId="77777777" w:rsidR="009702B0" w:rsidRPr="005F1566" w:rsidRDefault="009702B0" w:rsidP="009702B0">
            <w:pPr>
              <w:tabs>
                <w:tab w:val="right" w:pos="1202"/>
                <w:tab w:val="center" w:pos="4153"/>
                <w:tab w:val="right" w:pos="8306"/>
              </w:tabs>
              <w:spacing w:after="0" w:line="120" w:lineRule="auto"/>
              <w:outlineLvl w:val="0"/>
              <w:rPr>
                <w:rFonts w:asciiTheme="minorHAnsi" w:eastAsia="Times New Roman" w:hAnsiTheme="minorHAnsi" w:cs="Arial"/>
                <w:sz w:val="18"/>
                <w:szCs w:val="18"/>
              </w:rPr>
            </w:pPr>
          </w:p>
        </w:tc>
        <w:tc>
          <w:tcPr>
            <w:tcW w:w="1259" w:type="dxa"/>
            <w:tcBorders>
              <w:top w:val="single" w:sz="6" w:space="0" w:color="auto"/>
            </w:tcBorders>
            <w:vAlign w:val="bottom"/>
          </w:tcPr>
          <w:p w14:paraId="67B32E83"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39" w:type="dxa"/>
            <w:tcBorders>
              <w:top w:val="single" w:sz="6" w:space="0" w:color="auto"/>
            </w:tcBorders>
            <w:vAlign w:val="bottom"/>
          </w:tcPr>
          <w:p w14:paraId="600C57F1"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97" w:type="dxa"/>
            <w:tcBorders>
              <w:top w:val="single" w:sz="6" w:space="0" w:color="auto"/>
            </w:tcBorders>
            <w:vAlign w:val="bottom"/>
          </w:tcPr>
          <w:p w14:paraId="54969829"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97" w:type="dxa"/>
            <w:tcBorders>
              <w:top w:val="single" w:sz="6" w:space="0" w:color="auto"/>
            </w:tcBorders>
            <w:vAlign w:val="bottom"/>
          </w:tcPr>
          <w:p w14:paraId="30582E0B"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97" w:type="dxa"/>
            <w:tcBorders>
              <w:top w:val="single" w:sz="6" w:space="0" w:color="auto"/>
            </w:tcBorders>
            <w:vAlign w:val="bottom"/>
          </w:tcPr>
          <w:p w14:paraId="41EB2AF9"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226" w:type="dxa"/>
            <w:tcBorders>
              <w:top w:val="single" w:sz="6" w:space="0" w:color="auto"/>
            </w:tcBorders>
            <w:vAlign w:val="bottom"/>
          </w:tcPr>
          <w:p w14:paraId="75DC572A"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r>
      <w:tr w:rsidR="005F1566" w:rsidRPr="005F1566" w14:paraId="79B569BE" w14:textId="77777777" w:rsidTr="005F1566">
        <w:trPr>
          <w:trHeight w:val="420"/>
          <w:jc w:val="center"/>
        </w:trPr>
        <w:tc>
          <w:tcPr>
            <w:tcW w:w="2118" w:type="dxa"/>
            <w:vAlign w:val="bottom"/>
          </w:tcPr>
          <w:p w14:paraId="6AFD0B60" w14:textId="77777777" w:rsidR="005F1566" w:rsidRPr="005F1566" w:rsidRDefault="005F1566" w:rsidP="005F1566">
            <w:pPr>
              <w:spacing w:after="0" w:line="240" w:lineRule="auto"/>
              <w:rPr>
                <w:rFonts w:asciiTheme="minorHAnsi" w:eastAsia="Times New Roman" w:hAnsiTheme="minorHAnsi" w:cs="Arial"/>
                <w:i/>
                <w:sz w:val="18"/>
                <w:szCs w:val="18"/>
              </w:rPr>
            </w:pPr>
            <w:r w:rsidRPr="005F1566">
              <w:rPr>
                <w:rFonts w:asciiTheme="minorHAnsi" w:eastAsia="Times New Roman" w:hAnsiTheme="minorHAnsi" w:cs="Arial"/>
                <w:b/>
                <w:sz w:val="18"/>
                <w:szCs w:val="18"/>
                <w:lang w:val="hr-HR"/>
              </w:rPr>
              <w:t>Total</w:t>
            </w:r>
          </w:p>
        </w:tc>
        <w:tc>
          <w:tcPr>
            <w:tcW w:w="1259" w:type="dxa"/>
            <w:tcBorders>
              <w:top w:val="nil"/>
              <w:left w:val="nil"/>
              <w:bottom w:val="single" w:sz="12" w:space="0" w:color="auto"/>
              <w:right w:val="nil"/>
            </w:tcBorders>
            <w:shd w:val="clear" w:color="auto" w:fill="auto"/>
            <w:vAlign w:val="bottom"/>
          </w:tcPr>
          <w:p w14:paraId="08AA5FE8" w14:textId="77777777" w:rsidR="005F1566" w:rsidRPr="005F1566" w:rsidRDefault="005F1566" w:rsidP="005F1566">
            <w:pPr>
              <w:tabs>
                <w:tab w:val="right" w:pos="1202"/>
              </w:tabs>
              <w:spacing w:after="0" w:line="240" w:lineRule="auto"/>
              <w:jc w:val="right"/>
              <w:outlineLvl w:val="0"/>
              <w:rPr>
                <w:rFonts w:asciiTheme="minorHAnsi" w:hAnsiTheme="minorHAnsi"/>
                <w:b/>
                <w:bCs/>
                <w:sz w:val="18"/>
                <w:szCs w:val="18"/>
              </w:rPr>
            </w:pPr>
            <w:r w:rsidRPr="005F1566">
              <w:rPr>
                <w:rFonts w:asciiTheme="minorHAnsi" w:hAnsiTheme="minorHAnsi" w:cs="Arial"/>
                <w:b/>
                <w:sz w:val="18"/>
                <w:szCs w:val="18"/>
                <w:lang w:val="hr-HR"/>
              </w:rPr>
              <w:t>608,951</w:t>
            </w:r>
          </w:p>
        </w:tc>
        <w:tc>
          <w:tcPr>
            <w:tcW w:w="1139" w:type="dxa"/>
            <w:tcBorders>
              <w:top w:val="nil"/>
              <w:left w:val="nil"/>
              <w:bottom w:val="single" w:sz="12" w:space="0" w:color="auto"/>
              <w:right w:val="nil"/>
            </w:tcBorders>
            <w:shd w:val="clear" w:color="auto" w:fill="auto"/>
            <w:vAlign w:val="bottom"/>
          </w:tcPr>
          <w:p w14:paraId="0B2E0ED7" w14:textId="77777777" w:rsidR="005F1566" w:rsidRPr="005F1566" w:rsidRDefault="005F1566" w:rsidP="005F1566">
            <w:pPr>
              <w:tabs>
                <w:tab w:val="right" w:pos="1202"/>
              </w:tabs>
              <w:spacing w:after="0" w:line="240" w:lineRule="auto"/>
              <w:jc w:val="right"/>
              <w:outlineLvl w:val="0"/>
              <w:rPr>
                <w:rFonts w:asciiTheme="minorHAnsi" w:hAnsiTheme="minorHAnsi"/>
                <w:b/>
                <w:bCs/>
                <w:sz w:val="18"/>
                <w:szCs w:val="18"/>
              </w:rPr>
            </w:pPr>
            <w:r w:rsidRPr="005F1566">
              <w:rPr>
                <w:rFonts w:asciiTheme="minorHAnsi" w:hAnsiTheme="minorHAnsi" w:cs="Arial"/>
                <w:b/>
                <w:sz w:val="18"/>
                <w:szCs w:val="18"/>
                <w:lang w:val="hr-HR"/>
              </w:rPr>
              <w:t>238,548</w:t>
            </w:r>
          </w:p>
        </w:tc>
        <w:tc>
          <w:tcPr>
            <w:tcW w:w="1197" w:type="dxa"/>
            <w:tcBorders>
              <w:top w:val="nil"/>
              <w:left w:val="nil"/>
              <w:bottom w:val="single" w:sz="12" w:space="0" w:color="auto"/>
              <w:right w:val="nil"/>
            </w:tcBorders>
            <w:shd w:val="clear" w:color="auto" w:fill="auto"/>
            <w:vAlign w:val="bottom"/>
          </w:tcPr>
          <w:p w14:paraId="00FC137E" w14:textId="77777777" w:rsidR="005F1566" w:rsidRPr="005F1566" w:rsidRDefault="005F1566" w:rsidP="005F1566">
            <w:pPr>
              <w:tabs>
                <w:tab w:val="right" w:pos="1202"/>
              </w:tabs>
              <w:spacing w:after="0" w:line="240" w:lineRule="auto"/>
              <w:jc w:val="right"/>
              <w:outlineLvl w:val="0"/>
              <w:rPr>
                <w:rFonts w:asciiTheme="minorHAnsi" w:hAnsiTheme="minorHAnsi"/>
                <w:b/>
                <w:bCs/>
                <w:sz w:val="18"/>
                <w:szCs w:val="18"/>
              </w:rPr>
            </w:pPr>
            <w:r w:rsidRPr="005F1566">
              <w:rPr>
                <w:rFonts w:asciiTheme="minorHAnsi" w:hAnsiTheme="minorHAnsi" w:cs="Arial"/>
                <w:b/>
                <w:sz w:val="18"/>
                <w:szCs w:val="18"/>
                <w:lang w:val="hr-HR"/>
              </w:rPr>
              <w:t>3,430,525</w:t>
            </w:r>
          </w:p>
        </w:tc>
        <w:tc>
          <w:tcPr>
            <w:tcW w:w="1197" w:type="dxa"/>
            <w:tcBorders>
              <w:top w:val="nil"/>
              <w:left w:val="nil"/>
              <w:bottom w:val="single" w:sz="12" w:space="0" w:color="auto"/>
              <w:right w:val="nil"/>
            </w:tcBorders>
            <w:shd w:val="clear" w:color="auto" w:fill="auto"/>
            <w:vAlign w:val="bottom"/>
          </w:tcPr>
          <w:p w14:paraId="618483E4" w14:textId="77777777" w:rsidR="005F1566" w:rsidRPr="005F1566" w:rsidRDefault="005F1566" w:rsidP="005F1566">
            <w:pPr>
              <w:tabs>
                <w:tab w:val="right" w:pos="1202"/>
              </w:tabs>
              <w:spacing w:after="0" w:line="240" w:lineRule="auto"/>
              <w:jc w:val="right"/>
              <w:outlineLvl w:val="0"/>
              <w:rPr>
                <w:rFonts w:asciiTheme="minorHAnsi" w:hAnsiTheme="minorHAnsi"/>
                <w:b/>
                <w:bCs/>
                <w:sz w:val="18"/>
                <w:szCs w:val="18"/>
              </w:rPr>
            </w:pPr>
            <w:r w:rsidRPr="005F1566">
              <w:rPr>
                <w:rFonts w:asciiTheme="minorHAnsi" w:hAnsiTheme="minorHAnsi" w:cs="Arial"/>
                <w:b/>
                <w:sz w:val="18"/>
                <w:szCs w:val="18"/>
                <w:lang w:val="hr-HR"/>
              </w:rPr>
              <w:t>3,974,941</w:t>
            </w:r>
          </w:p>
        </w:tc>
        <w:tc>
          <w:tcPr>
            <w:tcW w:w="1197" w:type="dxa"/>
            <w:tcBorders>
              <w:top w:val="nil"/>
              <w:left w:val="nil"/>
              <w:bottom w:val="single" w:sz="12" w:space="0" w:color="auto"/>
              <w:right w:val="nil"/>
            </w:tcBorders>
            <w:shd w:val="clear" w:color="auto" w:fill="auto"/>
            <w:vAlign w:val="bottom"/>
          </w:tcPr>
          <w:p w14:paraId="33C4A7BC" w14:textId="77777777" w:rsidR="005F1566" w:rsidRPr="005F1566" w:rsidRDefault="005F1566" w:rsidP="005F1566">
            <w:pPr>
              <w:tabs>
                <w:tab w:val="right" w:pos="1202"/>
              </w:tabs>
              <w:spacing w:after="0" w:line="240" w:lineRule="auto"/>
              <w:jc w:val="right"/>
              <w:outlineLvl w:val="0"/>
              <w:rPr>
                <w:rFonts w:asciiTheme="minorHAnsi" w:hAnsiTheme="minorHAnsi"/>
                <w:b/>
                <w:bCs/>
                <w:sz w:val="18"/>
                <w:szCs w:val="18"/>
              </w:rPr>
            </w:pPr>
            <w:r w:rsidRPr="005F1566">
              <w:rPr>
                <w:rFonts w:asciiTheme="minorHAnsi" w:hAnsiTheme="minorHAnsi" w:cs="Arial"/>
                <w:b/>
                <w:sz w:val="18"/>
                <w:szCs w:val="18"/>
                <w:lang w:val="hr-HR"/>
              </w:rPr>
              <w:t>11,118,073</w:t>
            </w:r>
          </w:p>
        </w:tc>
        <w:tc>
          <w:tcPr>
            <w:tcW w:w="1226" w:type="dxa"/>
            <w:tcBorders>
              <w:top w:val="nil"/>
              <w:left w:val="nil"/>
              <w:bottom w:val="single" w:sz="12" w:space="0" w:color="auto"/>
              <w:right w:val="nil"/>
            </w:tcBorders>
            <w:shd w:val="clear" w:color="auto" w:fill="auto"/>
            <w:vAlign w:val="bottom"/>
          </w:tcPr>
          <w:p w14:paraId="1A639770" w14:textId="77777777" w:rsidR="005F1566" w:rsidRPr="005F1566" w:rsidRDefault="005F1566" w:rsidP="005F1566">
            <w:pPr>
              <w:tabs>
                <w:tab w:val="right" w:pos="1202"/>
              </w:tabs>
              <w:spacing w:after="0" w:line="240" w:lineRule="auto"/>
              <w:jc w:val="right"/>
              <w:outlineLvl w:val="0"/>
              <w:rPr>
                <w:rFonts w:asciiTheme="minorHAnsi" w:hAnsiTheme="minorHAnsi"/>
                <w:b/>
                <w:bCs/>
                <w:sz w:val="18"/>
                <w:szCs w:val="18"/>
              </w:rPr>
            </w:pPr>
            <w:r w:rsidRPr="005F1566">
              <w:rPr>
                <w:rFonts w:asciiTheme="minorHAnsi" w:hAnsiTheme="minorHAnsi" w:cs="Arial"/>
                <w:b/>
                <w:sz w:val="18"/>
                <w:szCs w:val="18"/>
                <w:lang w:val="hr-HR"/>
              </w:rPr>
              <w:t>19,371,038</w:t>
            </w:r>
          </w:p>
        </w:tc>
      </w:tr>
    </w:tbl>
    <w:p w14:paraId="3FA697DB" w14:textId="77777777" w:rsidR="009702B0" w:rsidRPr="009702B0" w:rsidRDefault="009702B0" w:rsidP="009702B0">
      <w:pPr>
        <w:tabs>
          <w:tab w:val="left" w:pos="1390"/>
        </w:tabs>
        <w:rPr>
          <w:rFonts w:asciiTheme="minorHAnsi" w:hAnsiTheme="minorHAnsi"/>
          <w:sz w:val="18"/>
          <w:szCs w:val="18"/>
        </w:rPr>
      </w:pPr>
    </w:p>
    <w:p w14:paraId="751C93E2" w14:textId="77777777" w:rsidR="009702B0" w:rsidRPr="009702B0" w:rsidRDefault="009702B0" w:rsidP="009702B0">
      <w:pPr>
        <w:tabs>
          <w:tab w:val="left" w:pos="1390"/>
        </w:tabs>
        <w:rPr>
          <w:b/>
          <w:bCs/>
        </w:rPr>
        <w:sectPr w:rsidR="009702B0" w:rsidRPr="009702B0" w:rsidSect="00947CB7">
          <w:footerReference w:type="first" r:id="rId103"/>
          <w:pgSz w:w="11906" w:h="16838" w:code="9"/>
          <w:pgMar w:top="1418" w:right="1418" w:bottom="595" w:left="1134" w:header="709" w:footer="709" w:gutter="0"/>
          <w:cols w:space="708"/>
          <w:titlePg/>
          <w:docGrid w:linePitch="360"/>
        </w:sectPr>
      </w:pPr>
      <w:r w:rsidRPr="009702B0">
        <w:tab/>
      </w:r>
    </w:p>
    <w:p w14:paraId="64623172" w14:textId="77777777" w:rsidR="009702B0" w:rsidRPr="009702B0" w:rsidRDefault="009702B0" w:rsidP="009702B0">
      <w:pPr>
        <w:spacing w:after="0" w:line="300" w:lineRule="exact"/>
        <w:jc w:val="both"/>
        <w:rPr>
          <w:rFonts w:asciiTheme="minorHAnsi" w:eastAsia="Times New Roman" w:hAnsiTheme="minorHAnsi" w:cs="Arial"/>
          <w:b/>
          <w:bCs/>
          <w:sz w:val="18"/>
          <w:szCs w:val="18"/>
        </w:rPr>
      </w:pPr>
    </w:p>
    <w:p w14:paraId="260FD56E" w14:textId="77777777" w:rsidR="009702B0" w:rsidRPr="009702B0" w:rsidRDefault="00FD2347" w:rsidP="009702B0">
      <w:pPr>
        <w:spacing w:after="0" w:line="300" w:lineRule="exact"/>
        <w:jc w:val="both"/>
        <w:rPr>
          <w:rFonts w:asciiTheme="minorHAnsi" w:eastAsia="Times New Roman" w:hAnsiTheme="minorHAnsi" w:cs="Arial"/>
          <w:b/>
          <w:bCs/>
        </w:rPr>
      </w:pPr>
      <w:r>
        <w:rPr>
          <w:rFonts w:asciiTheme="minorHAnsi" w:eastAsia="Times New Roman" w:hAnsiTheme="minorHAnsi" w:cs="Arial"/>
          <w:b/>
          <w:bCs/>
        </w:rPr>
        <w:t>16</w:t>
      </w:r>
      <w:r w:rsidR="009702B0" w:rsidRPr="009702B0">
        <w:rPr>
          <w:rFonts w:asciiTheme="minorHAnsi" w:eastAsia="Times New Roman" w:hAnsiTheme="minorHAnsi" w:cs="Arial"/>
          <w:b/>
          <w:bCs/>
        </w:rPr>
        <w:t>.</w:t>
      </w:r>
      <w:r w:rsidR="009702B0" w:rsidRPr="009702B0">
        <w:rPr>
          <w:rFonts w:asciiTheme="minorHAnsi" w:eastAsia="Times New Roman" w:hAnsiTheme="minorHAnsi" w:cs="Arial"/>
          <w:b/>
          <w:bCs/>
        </w:rPr>
        <w:tab/>
        <w:t>Risk management (continued)</w:t>
      </w:r>
    </w:p>
    <w:p w14:paraId="487BAFD5" w14:textId="77777777" w:rsidR="009702B0" w:rsidRPr="009702B0" w:rsidRDefault="009702B0" w:rsidP="009702B0">
      <w:pPr>
        <w:spacing w:after="0" w:line="300" w:lineRule="exact"/>
        <w:jc w:val="both"/>
        <w:rPr>
          <w:rFonts w:asciiTheme="minorHAnsi" w:eastAsia="Times New Roman" w:hAnsiTheme="minorHAnsi" w:cs="Arial"/>
          <w:b/>
          <w:bCs/>
        </w:rPr>
      </w:pPr>
    </w:p>
    <w:p w14:paraId="4C15542C" w14:textId="77777777" w:rsidR="009702B0" w:rsidRPr="009702B0" w:rsidRDefault="00FD2347" w:rsidP="009702B0">
      <w:pPr>
        <w:spacing w:after="0" w:line="300" w:lineRule="exact"/>
        <w:jc w:val="both"/>
        <w:rPr>
          <w:rFonts w:asciiTheme="minorHAnsi" w:eastAsia="Times New Roman" w:hAnsiTheme="minorHAnsi"/>
          <w:b/>
        </w:rPr>
      </w:pPr>
      <w:r>
        <w:rPr>
          <w:rFonts w:asciiTheme="minorHAnsi" w:eastAsia="Times New Roman" w:hAnsiTheme="minorHAnsi"/>
          <w:b/>
        </w:rPr>
        <w:t>16</w:t>
      </w:r>
      <w:r w:rsidR="009702B0" w:rsidRPr="009702B0">
        <w:rPr>
          <w:rFonts w:asciiTheme="minorHAnsi" w:eastAsia="Times New Roman" w:hAnsiTheme="minorHAnsi"/>
          <w:b/>
        </w:rPr>
        <w:t xml:space="preserve">.3. </w:t>
      </w:r>
      <w:r w:rsidR="009702B0" w:rsidRPr="009702B0">
        <w:rPr>
          <w:rFonts w:asciiTheme="minorHAnsi" w:eastAsia="Times New Roman" w:hAnsiTheme="minorHAnsi"/>
          <w:b/>
        </w:rPr>
        <w:tab/>
        <w:t>Liquidity risk (continued)</w:t>
      </w:r>
    </w:p>
    <w:p w14:paraId="694AF4FF" w14:textId="77777777" w:rsidR="009702B0" w:rsidRPr="009702B0" w:rsidRDefault="009702B0" w:rsidP="009702B0">
      <w:pPr>
        <w:keepNext/>
        <w:spacing w:after="0" w:line="240" w:lineRule="auto"/>
        <w:jc w:val="both"/>
        <w:rPr>
          <w:rFonts w:asciiTheme="minorHAnsi" w:eastAsia="Times New Roman" w:hAnsiTheme="minorHAnsi" w:cs="Arial"/>
          <w:bCs/>
        </w:rPr>
      </w:pPr>
    </w:p>
    <w:p w14:paraId="7BA5D2BE" w14:textId="77777777" w:rsidR="009702B0" w:rsidRPr="009702B0" w:rsidRDefault="009702B0" w:rsidP="009702B0">
      <w:pPr>
        <w:keepNext/>
        <w:spacing w:after="0" w:line="300" w:lineRule="exact"/>
        <w:jc w:val="both"/>
        <w:rPr>
          <w:rFonts w:asciiTheme="minorHAnsi" w:eastAsia="Times New Roman" w:hAnsiTheme="minorHAnsi" w:cs="Arial"/>
          <w:b/>
          <w:bCs/>
        </w:rPr>
      </w:pPr>
      <w:r w:rsidRPr="009702B0">
        <w:rPr>
          <w:rFonts w:asciiTheme="minorHAnsi" w:eastAsia="Times New Roman" w:hAnsiTheme="minorHAnsi" w:cs="Arial"/>
          <w:bCs/>
        </w:rPr>
        <w:t>The table below indicates the remaining contractual maturity of financial liabilities of the Bank in undiscounted amounts:</w:t>
      </w:r>
      <w:r w:rsidRPr="009702B0" w:rsidDel="005F1A3A">
        <w:rPr>
          <w:rFonts w:asciiTheme="minorHAnsi" w:eastAsia="Times New Roman" w:hAnsiTheme="minorHAnsi" w:cs="Arial"/>
          <w:bCs/>
        </w:rPr>
        <w:t xml:space="preserve"> </w:t>
      </w:r>
    </w:p>
    <w:p w14:paraId="2392C9BF" w14:textId="77777777" w:rsidR="009702B0" w:rsidRPr="009702B0" w:rsidRDefault="009702B0" w:rsidP="009702B0">
      <w:pPr>
        <w:tabs>
          <w:tab w:val="right" w:pos="1202"/>
          <w:tab w:val="center" w:pos="4153"/>
          <w:tab w:val="right" w:pos="8306"/>
        </w:tabs>
        <w:spacing w:after="0" w:line="301" w:lineRule="exact"/>
        <w:outlineLvl w:val="0"/>
        <w:rPr>
          <w:rFonts w:asciiTheme="minorHAnsi" w:eastAsia="Times New Roman" w:hAnsiTheme="minorHAnsi" w:cs="Arial"/>
          <w:sz w:val="18"/>
          <w:szCs w:val="18"/>
        </w:rPr>
      </w:pPr>
    </w:p>
    <w:tbl>
      <w:tblPr>
        <w:tblW w:w="4773" w:type="pct"/>
        <w:jc w:val="center"/>
        <w:tblLayout w:type="fixed"/>
        <w:tblCellMar>
          <w:left w:w="120" w:type="dxa"/>
          <w:right w:w="120" w:type="dxa"/>
        </w:tblCellMar>
        <w:tblLook w:val="0000" w:firstRow="0" w:lastRow="0" w:firstColumn="0" w:lastColumn="0" w:noHBand="0" w:noVBand="0"/>
      </w:tblPr>
      <w:tblGrid>
        <w:gridCol w:w="2233"/>
        <w:gridCol w:w="1116"/>
        <w:gridCol w:w="1116"/>
        <w:gridCol w:w="1116"/>
        <w:gridCol w:w="1116"/>
        <w:gridCol w:w="1116"/>
        <w:gridCol w:w="1116"/>
      </w:tblGrid>
      <w:tr w:rsidR="009702B0" w:rsidRPr="009702B0" w14:paraId="51471A8D" w14:textId="77777777" w:rsidTr="009702B0">
        <w:trPr>
          <w:trHeight w:val="573"/>
          <w:jc w:val="center"/>
        </w:trPr>
        <w:tc>
          <w:tcPr>
            <w:tcW w:w="2233" w:type="dxa"/>
          </w:tcPr>
          <w:p w14:paraId="51526EA4" w14:textId="77777777" w:rsidR="009702B0" w:rsidRPr="009702B0" w:rsidRDefault="009702B0" w:rsidP="009702B0">
            <w:pPr>
              <w:tabs>
                <w:tab w:val="right" w:pos="1202"/>
              </w:tabs>
              <w:spacing w:after="0" w:line="240" w:lineRule="atLeas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Bank</w:t>
            </w:r>
          </w:p>
          <w:p w14:paraId="626B63A4" w14:textId="02252852" w:rsidR="009702B0" w:rsidRPr="009702B0" w:rsidRDefault="001B3242" w:rsidP="009702B0">
            <w:pPr>
              <w:tabs>
                <w:tab w:val="right" w:pos="1202"/>
              </w:tabs>
              <w:spacing w:after="0" w:line="240" w:lineRule="atLeast"/>
              <w:outlineLvl w:val="0"/>
              <w:rPr>
                <w:rFonts w:asciiTheme="minorHAnsi" w:eastAsia="Times New Roman" w:hAnsiTheme="minorHAnsi" w:cs="Arial"/>
                <w:b/>
                <w:sz w:val="18"/>
                <w:szCs w:val="18"/>
              </w:rPr>
            </w:pPr>
            <w:r>
              <w:rPr>
                <w:rFonts w:asciiTheme="minorHAnsi" w:eastAsia="Times New Roman" w:hAnsiTheme="minorHAnsi" w:cs="Arial"/>
                <w:b/>
                <w:sz w:val="18"/>
                <w:szCs w:val="18"/>
              </w:rPr>
              <w:t xml:space="preserve">Sep </w:t>
            </w:r>
            <w:r w:rsidR="00FE21E9">
              <w:rPr>
                <w:rFonts w:asciiTheme="minorHAnsi" w:eastAsia="Times New Roman" w:hAnsiTheme="minorHAnsi" w:cs="Arial"/>
                <w:b/>
                <w:sz w:val="18"/>
                <w:szCs w:val="18"/>
              </w:rPr>
              <w:t>30</w:t>
            </w:r>
            <w:r w:rsidR="005F1566" w:rsidRPr="005F1566">
              <w:rPr>
                <w:rFonts w:asciiTheme="minorHAnsi" w:eastAsia="Times New Roman" w:hAnsiTheme="minorHAnsi" w:cs="Arial"/>
                <w:b/>
                <w:sz w:val="18"/>
                <w:szCs w:val="18"/>
              </w:rPr>
              <w:t>, 2017</w:t>
            </w:r>
          </w:p>
        </w:tc>
        <w:tc>
          <w:tcPr>
            <w:tcW w:w="1116" w:type="dxa"/>
          </w:tcPr>
          <w:p w14:paraId="4CDA7128" w14:textId="77777777" w:rsidR="009702B0" w:rsidRPr="009702B0"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Up to 1 month</w:t>
            </w:r>
          </w:p>
        </w:tc>
        <w:tc>
          <w:tcPr>
            <w:tcW w:w="1116" w:type="dxa"/>
          </w:tcPr>
          <w:p w14:paraId="7333D88E" w14:textId="77777777" w:rsidR="009702B0" w:rsidRPr="009702B0"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1 - 3 months</w:t>
            </w:r>
          </w:p>
        </w:tc>
        <w:tc>
          <w:tcPr>
            <w:tcW w:w="1116" w:type="dxa"/>
          </w:tcPr>
          <w:p w14:paraId="2707B54D" w14:textId="77777777" w:rsidR="009702B0" w:rsidRPr="009702B0"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 xml:space="preserve">3 - 12 </w:t>
            </w:r>
          </w:p>
          <w:p w14:paraId="6DC30C3C" w14:textId="77777777" w:rsidR="009702B0" w:rsidRPr="009702B0"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months</w:t>
            </w:r>
          </w:p>
        </w:tc>
        <w:tc>
          <w:tcPr>
            <w:tcW w:w="1116" w:type="dxa"/>
          </w:tcPr>
          <w:p w14:paraId="6EB93BA7" w14:textId="77777777" w:rsidR="009702B0" w:rsidRPr="009702B0"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 xml:space="preserve">1 - 3 </w:t>
            </w:r>
          </w:p>
          <w:p w14:paraId="53325833" w14:textId="77777777" w:rsidR="009702B0" w:rsidRPr="009702B0"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years</w:t>
            </w:r>
          </w:p>
        </w:tc>
        <w:tc>
          <w:tcPr>
            <w:tcW w:w="1116" w:type="dxa"/>
          </w:tcPr>
          <w:p w14:paraId="4D6E70F9" w14:textId="77777777" w:rsidR="009702B0" w:rsidRPr="009702B0" w:rsidRDefault="009702B0" w:rsidP="009702B0">
            <w:pPr>
              <w:tabs>
                <w:tab w:val="right" w:pos="1263"/>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Over 3 years</w:t>
            </w:r>
          </w:p>
        </w:tc>
        <w:tc>
          <w:tcPr>
            <w:tcW w:w="1116" w:type="dxa"/>
          </w:tcPr>
          <w:p w14:paraId="20F0CF22" w14:textId="77777777" w:rsidR="009702B0" w:rsidRPr="009702B0"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Total</w:t>
            </w:r>
          </w:p>
        </w:tc>
      </w:tr>
      <w:tr w:rsidR="009702B0" w:rsidRPr="009702B0" w14:paraId="6CAEE8D2" w14:textId="77777777" w:rsidTr="009702B0">
        <w:trPr>
          <w:jc w:val="center"/>
        </w:trPr>
        <w:tc>
          <w:tcPr>
            <w:tcW w:w="2233" w:type="dxa"/>
          </w:tcPr>
          <w:p w14:paraId="2FD26CD7" w14:textId="77777777" w:rsidR="009702B0" w:rsidRPr="009702B0" w:rsidRDefault="009702B0" w:rsidP="009702B0">
            <w:pPr>
              <w:tabs>
                <w:tab w:val="right" w:pos="1202"/>
              </w:tabs>
              <w:spacing w:after="0" w:line="301" w:lineRule="exact"/>
              <w:outlineLvl w:val="0"/>
              <w:rPr>
                <w:rFonts w:asciiTheme="minorHAnsi" w:eastAsia="Times New Roman" w:hAnsiTheme="minorHAnsi" w:cs="Arial"/>
                <w:b/>
                <w:bCs/>
                <w:sz w:val="18"/>
                <w:szCs w:val="18"/>
              </w:rPr>
            </w:pPr>
            <w:r w:rsidRPr="009702B0">
              <w:rPr>
                <w:rFonts w:asciiTheme="minorHAnsi" w:eastAsia="Times New Roman" w:hAnsiTheme="minorHAnsi" w:cs="Arial"/>
                <w:b/>
                <w:bCs/>
                <w:sz w:val="18"/>
                <w:szCs w:val="18"/>
              </w:rPr>
              <w:t>Financial liabilities</w:t>
            </w:r>
          </w:p>
        </w:tc>
        <w:tc>
          <w:tcPr>
            <w:tcW w:w="1116" w:type="dxa"/>
            <w:vAlign w:val="bottom"/>
          </w:tcPr>
          <w:p w14:paraId="36A630E0" w14:textId="77777777" w:rsidR="009702B0" w:rsidRPr="009702B0"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16" w:type="dxa"/>
            <w:vAlign w:val="bottom"/>
          </w:tcPr>
          <w:p w14:paraId="20ADC0C4" w14:textId="77777777" w:rsidR="009702B0" w:rsidRPr="009702B0"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16" w:type="dxa"/>
            <w:vAlign w:val="bottom"/>
          </w:tcPr>
          <w:p w14:paraId="44C8EC4E" w14:textId="77777777" w:rsidR="009702B0" w:rsidRPr="009702B0"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16" w:type="dxa"/>
            <w:vAlign w:val="bottom"/>
          </w:tcPr>
          <w:p w14:paraId="6B1E42A7" w14:textId="77777777" w:rsidR="009702B0" w:rsidRPr="009702B0"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16" w:type="dxa"/>
            <w:vAlign w:val="bottom"/>
          </w:tcPr>
          <w:p w14:paraId="02EFE41A" w14:textId="77777777" w:rsidR="009702B0" w:rsidRPr="009702B0" w:rsidRDefault="009702B0" w:rsidP="009702B0">
            <w:pPr>
              <w:tabs>
                <w:tab w:val="right" w:pos="1263"/>
              </w:tabs>
              <w:spacing w:after="0" w:line="301" w:lineRule="exact"/>
              <w:jc w:val="right"/>
              <w:outlineLvl w:val="0"/>
              <w:rPr>
                <w:rFonts w:asciiTheme="minorHAnsi" w:eastAsia="Times New Roman" w:hAnsiTheme="minorHAnsi" w:cs="Arial"/>
                <w:b/>
                <w:bCs/>
                <w:spacing w:val="-2"/>
                <w:sz w:val="18"/>
                <w:szCs w:val="18"/>
              </w:rPr>
            </w:pPr>
          </w:p>
        </w:tc>
        <w:tc>
          <w:tcPr>
            <w:tcW w:w="1116" w:type="dxa"/>
            <w:vAlign w:val="bottom"/>
          </w:tcPr>
          <w:p w14:paraId="480E6E6B" w14:textId="77777777" w:rsidR="009702B0" w:rsidRPr="009702B0" w:rsidRDefault="009702B0" w:rsidP="009702B0">
            <w:pPr>
              <w:spacing w:after="0" w:line="301" w:lineRule="exact"/>
              <w:jc w:val="right"/>
              <w:outlineLvl w:val="0"/>
              <w:rPr>
                <w:rFonts w:asciiTheme="minorHAnsi" w:eastAsia="Times New Roman" w:hAnsiTheme="minorHAnsi" w:cs="Arial"/>
                <w:b/>
                <w:bCs/>
                <w:sz w:val="18"/>
                <w:szCs w:val="18"/>
              </w:rPr>
            </w:pPr>
          </w:p>
        </w:tc>
      </w:tr>
      <w:tr w:rsidR="00315297" w:rsidRPr="009702B0" w14:paraId="29F1FCD0" w14:textId="77777777" w:rsidTr="005444AA">
        <w:trPr>
          <w:jc w:val="center"/>
        </w:trPr>
        <w:tc>
          <w:tcPr>
            <w:tcW w:w="2233" w:type="dxa"/>
          </w:tcPr>
          <w:p w14:paraId="0D26AAFE" w14:textId="77777777" w:rsidR="00315297" w:rsidRPr="009702B0" w:rsidRDefault="00315297" w:rsidP="00315297">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9702B0">
              <w:rPr>
                <w:rFonts w:asciiTheme="minorHAnsi" w:eastAsia="Times New Roman" w:hAnsiTheme="minorHAnsi" w:cs="Arial"/>
                <w:sz w:val="18"/>
                <w:szCs w:val="18"/>
              </w:rPr>
              <w:t>Deposits</w:t>
            </w:r>
          </w:p>
        </w:tc>
        <w:tc>
          <w:tcPr>
            <w:tcW w:w="1116" w:type="dxa"/>
            <w:tcBorders>
              <w:top w:val="nil"/>
              <w:left w:val="nil"/>
              <w:bottom w:val="nil"/>
              <w:right w:val="nil"/>
            </w:tcBorders>
            <w:shd w:val="clear" w:color="auto" w:fill="auto"/>
            <w:vAlign w:val="bottom"/>
          </w:tcPr>
          <w:p w14:paraId="1F7A7890" w14:textId="0E7170F5" w:rsidR="00315297" w:rsidRPr="00D52976" w:rsidRDefault="00315297" w:rsidP="00315297">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FE65B6">
              <w:rPr>
                <w:rFonts w:cs="Arial"/>
                <w:sz w:val="18"/>
                <w:szCs w:val="18"/>
              </w:rPr>
              <w:t>732</w:t>
            </w:r>
            <w:r>
              <w:rPr>
                <w:rFonts w:cs="Arial"/>
                <w:sz w:val="18"/>
                <w:szCs w:val="18"/>
              </w:rPr>
              <w:t>,</w:t>
            </w:r>
            <w:r w:rsidRPr="00FE65B6">
              <w:rPr>
                <w:rFonts w:cs="Arial"/>
                <w:sz w:val="18"/>
                <w:szCs w:val="18"/>
              </w:rPr>
              <w:t>851</w:t>
            </w:r>
          </w:p>
        </w:tc>
        <w:tc>
          <w:tcPr>
            <w:tcW w:w="1116" w:type="dxa"/>
            <w:tcBorders>
              <w:top w:val="nil"/>
              <w:left w:val="nil"/>
              <w:bottom w:val="nil"/>
              <w:right w:val="nil"/>
            </w:tcBorders>
            <w:shd w:val="clear" w:color="auto" w:fill="auto"/>
            <w:vAlign w:val="bottom"/>
          </w:tcPr>
          <w:p w14:paraId="386FFF2F" w14:textId="3D249616" w:rsidR="00315297" w:rsidRPr="00D52976" w:rsidRDefault="00315297" w:rsidP="00315297">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FE65B6">
              <w:rPr>
                <w:rFonts w:cs="Arial"/>
                <w:sz w:val="18"/>
                <w:szCs w:val="18"/>
              </w:rPr>
              <w:t>165</w:t>
            </w:r>
            <w:r>
              <w:rPr>
                <w:rFonts w:cs="Arial"/>
                <w:sz w:val="18"/>
                <w:szCs w:val="18"/>
              </w:rPr>
              <w:t>,</w:t>
            </w:r>
            <w:r w:rsidRPr="00FE65B6">
              <w:rPr>
                <w:rFonts w:cs="Arial"/>
                <w:sz w:val="18"/>
                <w:szCs w:val="18"/>
              </w:rPr>
              <w:t>501</w:t>
            </w:r>
          </w:p>
        </w:tc>
        <w:tc>
          <w:tcPr>
            <w:tcW w:w="1116" w:type="dxa"/>
            <w:tcBorders>
              <w:top w:val="nil"/>
              <w:left w:val="nil"/>
              <w:bottom w:val="nil"/>
              <w:right w:val="nil"/>
            </w:tcBorders>
            <w:shd w:val="clear" w:color="auto" w:fill="auto"/>
            <w:vAlign w:val="bottom"/>
          </w:tcPr>
          <w:p w14:paraId="3B9D83DE" w14:textId="577F9312" w:rsidR="00315297" w:rsidRPr="00D52976" w:rsidRDefault="00315297" w:rsidP="00315297">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FE65B6">
              <w:rPr>
                <w:rFonts w:cs="Arial"/>
                <w:sz w:val="18"/>
                <w:szCs w:val="18"/>
              </w:rPr>
              <w:t>1</w:t>
            </w:r>
            <w:r>
              <w:rPr>
                <w:rFonts w:cs="Arial"/>
                <w:sz w:val="18"/>
                <w:szCs w:val="18"/>
              </w:rPr>
              <w:t>,</w:t>
            </w:r>
            <w:r w:rsidRPr="00FE65B6">
              <w:rPr>
                <w:rFonts w:cs="Arial"/>
                <w:sz w:val="18"/>
                <w:szCs w:val="18"/>
              </w:rPr>
              <w:t>739</w:t>
            </w:r>
          </w:p>
        </w:tc>
        <w:tc>
          <w:tcPr>
            <w:tcW w:w="1116" w:type="dxa"/>
            <w:tcBorders>
              <w:top w:val="nil"/>
              <w:left w:val="nil"/>
              <w:bottom w:val="nil"/>
              <w:right w:val="nil"/>
            </w:tcBorders>
            <w:shd w:val="clear" w:color="auto" w:fill="auto"/>
            <w:vAlign w:val="bottom"/>
          </w:tcPr>
          <w:p w14:paraId="24D8B4AA" w14:textId="4F6D2AD8" w:rsidR="00315297" w:rsidRPr="00D52976" w:rsidRDefault="00315297" w:rsidP="00315297">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FE65B6">
              <w:rPr>
                <w:rFonts w:cs="Arial"/>
                <w:sz w:val="18"/>
                <w:szCs w:val="18"/>
              </w:rPr>
              <w:t>20</w:t>
            </w:r>
            <w:r>
              <w:rPr>
                <w:rFonts w:cs="Arial"/>
                <w:sz w:val="18"/>
                <w:szCs w:val="18"/>
              </w:rPr>
              <w:t>,</w:t>
            </w:r>
            <w:r w:rsidRPr="00FE65B6">
              <w:rPr>
                <w:rFonts w:cs="Arial"/>
                <w:sz w:val="18"/>
                <w:szCs w:val="18"/>
              </w:rPr>
              <w:t>775</w:t>
            </w:r>
          </w:p>
        </w:tc>
        <w:tc>
          <w:tcPr>
            <w:tcW w:w="1116" w:type="dxa"/>
            <w:tcBorders>
              <w:top w:val="nil"/>
              <w:left w:val="nil"/>
              <w:bottom w:val="nil"/>
              <w:right w:val="nil"/>
            </w:tcBorders>
            <w:shd w:val="clear" w:color="auto" w:fill="auto"/>
            <w:vAlign w:val="bottom"/>
          </w:tcPr>
          <w:p w14:paraId="2897AF82" w14:textId="0EE403D7" w:rsidR="00315297" w:rsidRPr="00D52976" w:rsidRDefault="00315297" w:rsidP="00315297">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FE65B6">
              <w:rPr>
                <w:rFonts w:cs="Arial"/>
                <w:sz w:val="18"/>
                <w:szCs w:val="18"/>
              </w:rPr>
              <w:t>19</w:t>
            </w:r>
            <w:r>
              <w:rPr>
                <w:rFonts w:cs="Arial"/>
                <w:sz w:val="18"/>
                <w:szCs w:val="18"/>
              </w:rPr>
              <w:t>,</w:t>
            </w:r>
            <w:r w:rsidRPr="00FE65B6">
              <w:rPr>
                <w:rFonts w:cs="Arial"/>
                <w:sz w:val="18"/>
                <w:szCs w:val="18"/>
              </w:rPr>
              <w:t>918</w:t>
            </w:r>
          </w:p>
        </w:tc>
        <w:tc>
          <w:tcPr>
            <w:tcW w:w="1116" w:type="dxa"/>
            <w:tcBorders>
              <w:top w:val="nil"/>
              <w:left w:val="nil"/>
              <w:bottom w:val="nil"/>
              <w:right w:val="nil"/>
            </w:tcBorders>
            <w:shd w:val="clear" w:color="auto" w:fill="auto"/>
            <w:vAlign w:val="bottom"/>
          </w:tcPr>
          <w:p w14:paraId="5E34C838" w14:textId="15F33567" w:rsidR="00315297" w:rsidRPr="00D52976" w:rsidRDefault="00315297" w:rsidP="00315297">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FE65B6">
              <w:rPr>
                <w:rFonts w:cs="Arial"/>
                <w:bCs/>
                <w:sz w:val="18"/>
                <w:szCs w:val="18"/>
              </w:rPr>
              <w:t>940</w:t>
            </w:r>
            <w:r>
              <w:rPr>
                <w:rFonts w:cs="Arial"/>
                <w:bCs/>
                <w:sz w:val="18"/>
                <w:szCs w:val="18"/>
              </w:rPr>
              <w:t>,</w:t>
            </w:r>
            <w:r w:rsidRPr="00FE65B6">
              <w:rPr>
                <w:rFonts w:cs="Arial"/>
                <w:bCs/>
                <w:sz w:val="18"/>
                <w:szCs w:val="18"/>
              </w:rPr>
              <w:t>784</w:t>
            </w:r>
          </w:p>
        </w:tc>
      </w:tr>
      <w:tr w:rsidR="00315297" w:rsidRPr="009702B0" w14:paraId="619E9721" w14:textId="77777777" w:rsidTr="005444AA">
        <w:trPr>
          <w:jc w:val="center"/>
        </w:trPr>
        <w:tc>
          <w:tcPr>
            <w:tcW w:w="2233" w:type="dxa"/>
          </w:tcPr>
          <w:p w14:paraId="437C83B1" w14:textId="77777777" w:rsidR="00315297" w:rsidRPr="009702B0" w:rsidRDefault="00315297" w:rsidP="00315297">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9702B0">
              <w:rPr>
                <w:rFonts w:asciiTheme="minorHAnsi" w:eastAsia="Times New Roman" w:hAnsiTheme="minorHAnsi" w:cs="Arial"/>
                <w:sz w:val="18"/>
                <w:szCs w:val="18"/>
              </w:rPr>
              <w:t>Borrowings</w:t>
            </w:r>
          </w:p>
        </w:tc>
        <w:tc>
          <w:tcPr>
            <w:tcW w:w="1116" w:type="dxa"/>
            <w:tcBorders>
              <w:top w:val="nil"/>
              <w:left w:val="nil"/>
              <w:bottom w:val="nil"/>
              <w:right w:val="nil"/>
            </w:tcBorders>
            <w:shd w:val="clear" w:color="auto" w:fill="auto"/>
            <w:vAlign w:val="bottom"/>
          </w:tcPr>
          <w:p w14:paraId="1AD4E5C2" w14:textId="024EB430" w:rsidR="00315297" w:rsidRPr="00D52976" w:rsidRDefault="00315297" w:rsidP="00315297">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FE65B6">
              <w:rPr>
                <w:rFonts w:cs="Arial"/>
                <w:sz w:val="18"/>
                <w:szCs w:val="18"/>
              </w:rPr>
              <w:t>100</w:t>
            </w:r>
            <w:r>
              <w:rPr>
                <w:rFonts w:cs="Arial"/>
                <w:sz w:val="18"/>
                <w:szCs w:val="18"/>
              </w:rPr>
              <w:t>,</w:t>
            </w:r>
            <w:r w:rsidRPr="00FE65B6">
              <w:rPr>
                <w:rFonts w:cs="Arial"/>
                <w:sz w:val="18"/>
                <w:szCs w:val="18"/>
              </w:rPr>
              <w:t>165</w:t>
            </w:r>
          </w:p>
        </w:tc>
        <w:tc>
          <w:tcPr>
            <w:tcW w:w="1116" w:type="dxa"/>
            <w:tcBorders>
              <w:top w:val="nil"/>
              <w:left w:val="nil"/>
              <w:bottom w:val="nil"/>
              <w:right w:val="nil"/>
            </w:tcBorders>
            <w:shd w:val="clear" w:color="auto" w:fill="auto"/>
            <w:vAlign w:val="bottom"/>
          </w:tcPr>
          <w:p w14:paraId="747F0FC0" w14:textId="0D3FA7F3" w:rsidR="00315297" w:rsidRPr="00D52976" w:rsidRDefault="00315297" w:rsidP="00315297">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FE65B6">
              <w:rPr>
                <w:rFonts w:cs="Arial"/>
                <w:sz w:val="18"/>
                <w:szCs w:val="18"/>
              </w:rPr>
              <w:t>501</w:t>
            </w:r>
            <w:r>
              <w:rPr>
                <w:rFonts w:cs="Arial"/>
                <w:sz w:val="18"/>
                <w:szCs w:val="18"/>
              </w:rPr>
              <w:t>,</w:t>
            </w:r>
            <w:r w:rsidRPr="00FE65B6">
              <w:rPr>
                <w:rFonts w:cs="Arial"/>
                <w:sz w:val="18"/>
                <w:szCs w:val="18"/>
              </w:rPr>
              <w:t>689</w:t>
            </w:r>
          </w:p>
        </w:tc>
        <w:tc>
          <w:tcPr>
            <w:tcW w:w="1116" w:type="dxa"/>
            <w:tcBorders>
              <w:top w:val="nil"/>
              <w:left w:val="nil"/>
              <w:bottom w:val="nil"/>
              <w:right w:val="nil"/>
            </w:tcBorders>
            <w:shd w:val="clear" w:color="auto" w:fill="auto"/>
            <w:vAlign w:val="bottom"/>
          </w:tcPr>
          <w:p w14:paraId="498C3581" w14:textId="65AA6D56" w:rsidR="00315297" w:rsidRPr="00D52976" w:rsidRDefault="00315297" w:rsidP="00315297">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FE65B6">
              <w:rPr>
                <w:rFonts w:cs="Arial"/>
                <w:sz w:val="18"/>
                <w:szCs w:val="18"/>
              </w:rPr>
              <w:t>1</w:t>
            </w:r>
            <w:r>
              <w:rPr>
                <w:rFonts w:cs="Arial"/>
                <w:sz w:val="18"/>
                <w:szCs w:val="18"/>
              </w:rPr>
              <w:t>,</w:t>
            </w:r>
            <w:r w:rsidRPr="00FE65B6">
              <w:rPr>
                <w:rFonts w:cs="Arial"/>
                <w:sz w:val="18"/>
                <w:szCs w:val="18"/>
              </w:rPr>
              <w:t>374</w:t>
            </w:r>
            <w:r>
              <w:rPr>
                <w:rFonts w:cs="Arial"/>
                <w:sz w:val="18"/>
                <w:szCs w:val="18"/>
              </w:rPr>
              <w:t>,</w:t>
            </w:r>
            <w:r w:rsidRPr="00FE65B6">
              <w:rPr>
                <w:rFonts w:cs="Arial"/>
                <w:sz w:val="18"/>
                <w:szCs w:val="18"/>
              </w:rPr>
              <w:t>467</w:t>
            </w:r>
          </w:p>
        </w:tc>
        <w:tc>
          <w:tcPr>
            <w:tcW w:w="1116" w:type="dxa"/>
            <w:tcBorders>
              <w:top w:val="nil"/>
              <w:left w:val="nil"/>
              <w:bottom w:val="nil"/>
              <w:right w:val="nil"/>
            </w:tcBorders>
            <w:shd w:val="clear" w:color="auto" w:fill="auto"/>
            <w:vAlign w:val="bottom"/>
          </w:tcPr>
          <w:p w14:paraId="22ED8057" w14:textId="2212D13E" w:rsidR="00315297" w:rsidRPr="00D52976" w:rsidRDefault="00315297" w:rsidP="00315297">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FE65B6">
              <w:rPr>
                <w:rFonts w:cs="Arial"/>
                <w:sz w:val="18"/>
                <w:szCs w:val="18"/>
              </w:rPr>
              <w:t>4</w:t>
            </w:r>
            <w:r>
              <w:rPr>
                <w:rFonts w:cs="Arial"/>
                <w:sz w:val="18"/>
                <w:szCs w:val="18"/>
              </w:rPr>
              <w:t>,</w:t>
            </w:r>
            <w:r w:rsidRPr="00FE65B6">
              <w:rPr>
                <w:rFonts w:cs="Arial"/>
                <w:sz w:val="18"/>
                <w:szCs w:val="18"/>
              </w:rPr>
              <w:t>129</w:t>
            </w:r>
            <w:r>
              <w:rPr>
                <w:rFonts w:cs="Arial"/>
                <w:sz w:val="18"/>
                <w:szCs w:val="18"/>
              </w:rPr>
              <w:t>,</w:t>
            </w:r>
            <w:r w:rsidRPr="00FE65B6">
              <w:rPr>
                <w:rFonts w:cs="Arial"/>
                <w:sz w:val="18"/>
                <w:szCs w:val="18"/>
              </w:rPr>
              <w:t>466</w:t>
            </w:r>
          </w:p>
        </w:tc>
        <w:tc>
          <w:tcPr>
            <w:tcW w:w="1116" w:type="dxa"/>
            <w:tcBorders>
              <w:top w:val="nil"/>
              <w:left w:val="nil"/>
              <w:bottom w:val="nil"/>
              <w:right w:val="nil"/>
            </w:tcBorders>
            <w:shd w:val="clear" w:color="auto" w:fill="auto"/>
            <w:vAlign w:val="bottom"/>
          </w:tcPr>
          <w:p w14:paraId="0C61415B" w14:textId="14729D58" w:rsidR="00315297" w:rsidRPr="00D52976" w:rsidRDefault="00315297" w:rsidP="00315297">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FE65B6">
              <w:rPr>
                <w:rFonts w:cs="Arial"/>
                <w:sz w:val="18"/>
                <w:szCs w:val="18"/>
              </w:rPr>
              <w:t>10</w:t>
            </w:r>
            <w:r>
              <w:rPr>
                <w:rFonts w:cs="Arial"/>
                <w:sz w:val="18"/>
                <w:szCs w:val="18"/>
              </w:rPr>
              <w:t>,</w:t>
            </w:r>
            <w:r w:rsidRPr="00FE65B6">
              <w:rPr>
                <w:rFonts w:cs="Arial"/>
                <w:sz w:val="18"/>
                <w:szCs w:val="18"/>
              </w:rPr>
              <w:t>605</w:t>
            </w:r>
            <w:r>
              <w:rPr>
                <w:rFonts w:cs="Arial"/>
                <w:sz w:val="18"/>
                <w:szCs w:val="18"/>
              </w:rPr>
              <w:t>,</w:t>
            </w:r>
            <w:r w:rsidRPr="00FE65B6">
              <w:rPr>
                <w:rFonts w:cs="Arial"/>
                <w:sz w:val="18"/>
                <w:szCs w:val="18"/>
              </w:rPr>
              <w:t>419</w:t>
            </w:r>
          </w:p>
        </w:tc>
        <w:tc>
          <w:tcPr>
            <w:tcW w:w="1116" w:type="dxa"/>
            <w:tcBorders>
              <w:top w:val="nil"/>
              <w:left w:val="nil"/>
              <w:bottom w:val="nil"/>
              <w:right w:val="nil"/>
            </w:tcBorders>
            <w:shd w:val="clear" w:color="auto" w:fill="auto"/>
            <w:vAlign w:val="bottom"/>
          </w:tcPr>
          <w:p w14:paraId="0A14F8EF" w14:textId="7B7645F8" w:rsidR="00315297" w:rsidRPr="00D52976" w:rsidRDefault="00315297" w:rsidP="00315297">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FE65B6">
              <w:rPr>
                <w:rFonts w:cs="Arial"/>
                <w:bCs/>
                <w:sz w:val="18"/>
                <w:szCs w:val="18"/>
              </w:rPr>
              <w:t>16</w:t>
            </w:r>
            <w:r>
              <w:rPr>
                <w:rFonts w:cs="Arial"/>
                <w:bCs/>
                <w:sz w:val="18"/>
                <w:szCs w:val="18"/>
              </w:rPr>
              <w:t>,</w:t>
            </w:r>
            <w:r w:rsidRPr="00FE65B6">
              <w:rPr>
                <w:rFonts w:cs="Arial"/>
                <w:bCs/>
                <w:sz w:val="18"/>
                <w:szCs w:val="18"/>
              </w:rPr>
              <w:t>711</w:t>
            </w:r>
            <w:r>
              <w:rPr>
                <w:rFonts w:cs="Arial"/>
                <w:bCs/>
                <w:sz w:val="18"/>
                <w:szCs w:val="18"/>
              </w:rPr>
              <w:t>,</w:t>
            </w:r>
            <w:r w:rsidRPr="00FE65B6">
              <w:rPr>
                <w:rFonts w:cs="Arial"/>
                <w:bCs/>
                <w:sz w:val="18"/>
                <w:szCs w:val="18"/>
              </w:rPr>
              <w:t>206</w:t>
            </w:r>
          </w:p>
        </w:tc>
      </w:tr>
      <w:tr w:rsidR="00315297" w:rsidRPr="009702B0" w14:paraId="460AD00A" w14:textId="77777777" w:rsidTr="00166751">
        <w:trPr>
          <w:jc w:val="center"/>
        </w:trPr>
        <w:tc>
          <w:tcPr>
            <w:tcW w:w="2233" w:type="dxa"/>
          </w:tcPr>
          <w:p w14:paraId="1C18B092" w14:textId="77777777" w:rsidR="00315297" w:rsidRPr="009702B0" w:rsidRDefault="00315297" w:rsidP="00315297">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9702B0">
              <w:rPr>
                <w:rFonts w:asciiTheme="minorHAnsi" w:eastAsia="Times New Roman" w:hAnsiTheme="minorHAnsi" w:cs="Arial"/>
                <w:sz w:val="18"/>
                <w:szCs w:val="18"/>
              </w:rPr>
              <w:t>Bonds payable</w:t>
            </w:r>
          </w:p>
        </w:tc>
        <w:tc>
          <w:tcPr>
            <w:tcW w:w="1116" w:type="dxa"/>
            <w:tcBorders>
              <w:top w:val="nil"/>
              <w:left w:val="nil"/>
              <w:right w:val="nil"/>
            </w:tcBorders>
            <w:shd w:val="clear" w:color="auto" w:fill="auto"/>
            <w:vAlign w:val="bottom"/>
          </w:tcPr>
          <w:p w14:paraId="7A3A93DF" w14:textId="03672CC4" w:rsidR="00315297" w:rsidRPr="00D52976" w:rsidRDefault="00315297" w:rsidP="00315297">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pl-PL"/>
              </w:rPr>
            </w:pPr>
            <w:r>
              <w:rPr>
                <w:rFonts w:cs="Arial"/>
                <w:sz w:val="18"/>
                <w:szCs w:val="18"/>
              </w:rPr>
              <w:t>-</w:t>
            </w:r>
          </w:p>
        </w:tc>
        <w:tc>
          <w:tcPr>
            <w:tcW w:w="1116" w:type="dxa"/>
            <w:tcBorders>
              <w:top w:val="nil"/>
              <w:left w:val="nil"/>
              <w:right w:val="nil"/>
            </w:tcBorders>
            <w:shd w:val="clear" w:color="auto" w:fill="auto"/>
            <w:vAlign w:val="bottom"/>
          </w:tcPr>
          <w:p w14:paraId="3447D31D" w14:textId="282CFD72" w:rsidR="00315297" w:rsidRPr="00D52976" w:rsidRDefault="00315297" w:rsidP="00315297">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pl-PL"/>
              </w:rPr>
            </w:pPr>
            <w:r>
              <w:rPr>
                <w:rFonts w:cs="Arial"/>
                <w:sz w:val="18"/>
                <w:szCs w:val="18"/>
              </w:rPr>
              <w:t>-</w:t>
            </w:r>
          </w:p>
        </w:tc>
        <w:tc>
          <w:tcPr>
            <w:tcW w:w="1116" w:type="dxa"/>
            <w:tcBorders>
              <w:top w:val="nil"/>
              <w:left w:val="nil"/>
              <w:right w:val="nil"/>
            </w:tcBorders>
            <w:shd w:val="clear" w:color="auto" w:fill="auto"/>
            <w:vAlign w:val="bottom"/>
          </w:tcPr>
          <w:p w14:paraId="427AD82D" w14:textId="1D60665D" w:rsidR="00315297" w:rsidRPr="00D52976" w:rsidRDefault="00315297" w:rsidP="00315297">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pl-PL"/>
              </w:rPr>
            </w:pPr>
            <w:r w:rsidRPr="00FE65B6">
              <w:rPr>
                <w:rFonts w:cs="Arial"/>
                <w:sz w:val="18"/>
                <w:szCs w:val="18"/>
              </w:rPr>
              <w:t>67</w:t>
            </w:r>
            <w:r>
              <w:rPr>
                <w:rFonts w:cs="Arial"/>
                <w:sz w:val="18"/>
                <w:szCs w:val="18"/>
              </w:rPr>
              <w:t>,</w:t>
            </w:r>
            <w:r w:rsidRPr="00FE65B6">
              <w:rPr>
                <w:rFonts w:cs="Arial"/>
                <w:sz w:val="18"/>
                <w:szCs w:val="18"/>
              </w:rPr>
              <w:t>474</w:t>
            </w:r>
          </w:p>
        </w:tc>
        <w:tc>
          <w:tcPr>
            <w:tcW w:w="1116" w:type="dxa"/>
            <w:tcBorders>
              <w:top w:val="nil"/>
              <w:left w:val="nil"/>
              <w:right w:val="nil"/>
            </w:tcBorders>
            <w:shd w:val="clear" w:color="auto" w:fill="auto"/>
            <w:vAlign w:val="bottom"/>
          </w:tcPr>
          <w:p w14:paraId="7DC40B9D" w14:textId="0D0D0918" w:rsidR="00315297" w:rsidRPr="00D52976" w:rsidRDefault="00315297" w:rsidP="00315297">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pl-PL"/>
              </w:rPr>
            </w:pPr>
            <w:r w:rsidRPr="00FE65B6">
              <w:rPr>
                <w:rFonts w:cs="Arial"/>
                <w:sz w:val="18"/>
                <w:szCs w:val="18"/>
              </w:rPr>
              <w:t>1</w:t>
            </w:r>
            <w:r>
              <w:rPr>
                <w:rFonts w:cs="Arial"/>
                <w:sz w:val="18"/>
                <w:szCs w:val="18"/>
              </w:rPr>
              <w:t>,</w:t>
            </w:r>
            <w:r w:rsidRPr="00FE65B6">
              <w:rPr>
                <w:rFonts w:cs="Arial"/>
                <w:sz w:val="18"/>
                <w:szCs w:val="18"/>
              </w:rPr>
              <w:t>249</w:t>
            </w:r>
            <w:r>
              <w:rPr>
                <w:rFonts w:cs="Arial"/>
                <w:sz w:val="18"/>
                <w:szCs w:val="18"/>
              </w:rPr>
              <w:t>,</w:t>
            </w:r>
            <w:r w:rsidRPr="00FE65B6">
              <w:rPr>
                <w:rFonts w:cs="Arial"/>
                <w:sz w:val="18"/>
                <w:szCs w:val="18"/>
              </w:rPr>
              <w:t>365</w:t>
            </w:r>
          </w:p>
        </w:tc>
        <w:tc>
          <w:tcPr>
            <w:tcW w:w="1116" w:type="dxa"/>
            <w:tcBorders>
              <w:top w:val="nil"/>
              <w:left w:val="nil"/>
              <w:right w:val="nil"/>
            </w:tcBorders>
            <w:shd w:val="clear" w:color="auto" w:fill="auto"/>
            <w:vAlign w:val="bottom"/>
          </w:tcPr>
          <w:p w14:paraId="64FE7AFF" w14:textId="4822A01B" w:rsidR="00315297" w:rsidRPr="00D52976" w:rsidRDefault="00315297" w:rsidP="00315297">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pl-PL"/>
              </w:rPr>
            </w:pPr>
            <w:r>
              <w:rPr>
                <w:rFonts w:cs="Arial"/>
                <w:sz w:val="18"/>
                <w:szCs w:val="18"/>
              </w:rPr>
              <w:t>-</w:t>
            </w:r>
          </w:p>
        </w:tc>
        <w:tc>
          <w:tcPr>
            <w:tcW w:w="1116" w:type="dxa"/>
            <w:tcBorders>
              <w:top w:val="nil"/>
              <w:left w:val="nil"/>
              <w:right w:val="nil"/>
            </w:tcBorders>
            <w:shd w:val="clear" w:color="auto" w:fill="auto"/>
            <w:vAlign w:val="bottom"/>
          </w:tcPr>
          <w:p w14:paraId="11C1774F" w14:textId="31771AAD" w:rsidR="00315297" w:rsidRPr="00D52976" w:rsidRDefault="00315297">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pl-PL"/>
              </w:rPr>
            </w:pPr>
            <w:r w:rsidRPr="00FE65B6">
              <w:rPr>
                <w:rFonts w:cs="Arial"/>
                <w:bCs/>
                <w:sz w:val="18"/>
                <w:szCs w:val="18"/>
              </w:rPr>
              <w:t>1</w:t>
            </w:r>
            <w:r>
              <w:rPr>
                <w:rFonts w:cs="Arial"/>
                <w:bCs/>
                <w:sz w:val="18"/>
                <w:szCs w:val="18"/>
              </w:rPr>
              <w:t>,</w:t>
            </w:r>
            <w:r w:rsidRPr="00FE65B6">
              <w:rPr>
                <w:rFonts w:cs="Arial"/>
                <w:bCs/>
                <w:sz w:val="18"/>
                <w:szCs w:val="18"/>
              </w:rPr>
              <w:t>316</w:t>
            </w:r>
            <w:r>
              <w:rPr>
                <w:rFonts w:cs="Arial"/>
                <w:bCs/>
                <w:sz w:val="18"/>
                <w:szCs w:val="18"/>
              </w:rPr>
              <w:t>,</w:t>
            </w:r>
            <w:r w:rsidRPr="00FE65B6">
              <w:rPr>
                <w:rFonts w:cs="Arial"/>
                <w:bCs/>
                <w:sz w:val="18"/>
                <w:szCs w:val="18"/>
              </w:rPr>
              <w:t>8</w:t>
            </w:r>
            <w:r w:rsidR="009F5C15">
              <w:rPr>
                <w:rFonts w:cs="Arial"/>
                <w:bCs/>
                <w:sz w:val="18"/>
                <w:szCs w:val="18"/>
              </w:rPr>
              <w:t>39</w:t>
            </w:r>
          </w:p>
        </w:tc>
      </w:tr>
      <w:tr w:rsidR="00315297" w:rsidRPr="009702B0" w14:paraId="5D71E669" w14:textId="77777777" w:rsidTr="005444AA">
        <w:trPr>
          <w:jc w:val="center"/>
        </w:trPr>
        <w:tc>
          <w:tcPr>
            <w:tcW w:w="2233" w:type="dxa"/>
          </w:tcPr>
          <w:p w14:paraId="27DBEE45" w14:textId="77777777" w:rsidR="00315297" w:rsidRPr="009702B0" w:rsidRDefault="00315297" w:rsidP="00315297">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9702B0">
              <w:rPr>
                <w:rFonts w:asciiTheme="minorHAnsi" w:eastAsia="Times New Roman" w:hAnsiTheme="minorHAnsi" w:cs="Arial"/>
                <w:sz w:val="18"/>
                <w:szCs w:val="18"/>
              </w:rPr>
              <w:t>Other liabilities</w:t>
            </w:r>
          </w:p>
        </w:tc>
        <w:tc>
          <w:tcPr>
            <w:tcW w:w="1116" w:type="dxa"/>
            <w:tcBorders>
              <w:top w:val="nil"/>
              <w:left w:val="nil"/>
              <w:right w:val="nil"/>
            </w:tcBorders>
            <w:shd w:val="clear" w:color="auto" w:fill="auto"/>
            <w:vAlign w:val="bottom"/>
          </w:tcPr>
          <w:p w14:paraId="3B50905A" w14:textId="72555EEF" w:rsidR="00315297" w:rsidRPr="00D52976" w:rsidRDefault="00315297" w:rsidP="00315297">
            <w:pPr>
              <w:tabs>
                <w:tab w:val="right" w:pos="1202"/>
                <w:tab w:val="center" w:pos="4153"/>
                <w:tab w:val="right" w:pos="8306"/>
              </w:tabs>
              <w:spacing w:after="0" w:line="301" w:lineRule="exact"/>
              <w:jc w:val="right"/>
              <w:outlineLvl w:val="0"/>
              <w:rPr>
                <w:rFonts w:asciiTheme="minorHAnsi" w:eastAsia="Times New Roman" w:hAnsiTheme="minorHAnsi" w:cs="Arial"/>
                <w:sz w:val="18"/>
                <w:szCs w:val="18"/>
                <w:lang w:val="en-US"/>
              </w:rPr>
            </w:pPr>
            <w:r w:rsidRPr="00FE65B6">
              <w:rPr>
                <w:rFonts w:cs="Arial"/>
                <w:sz w:val="18"/>
                <w:szCs w:val="18"/>
              </w:rPr>
              <w:t>164</w:t>
            </w:r>
            <w:r>
              <w:rPr>
                <w:rFonts w:cs="Arial"/>
                <w:sz w:val="18"/>
                <w:szCs w:val="18"/>
              </w:rPr>
              <w:t>,</w:t>
            </w:r>
            <w:r w:rsidRPr="00FE65B6">
              <w:rPr>
                <w:rFonts w:cs="Arial"/>
                <w:sz w:val="18"/>
                <w:szCs w:val="18"/>
              </w:rPr>
              <w:t>772</w:t>
            </w:r>
          </w:p>
        </w:tc>
        <w:tc>
          <w:tcPr>
            <w:tcW w:w="1116" w:type="dxa"/>
            <w:tcBorders>
              <w:top w:val="nil"/>
              <w:left w:val="nil"/>
              <w:right w:val="nil"/>
            </w:tcBorders>
            <w:shd w:val="clear" w:color="auto" w:fill="auto"/>
            <w:vAlign w:val="bottom"/>
          </w:tcPr>
          <w:p w14:paraId="1CBEAAE2" w14:textId="580FA1FF" w:rsidR="00315297" w:rsidRPr="00D52976" w:rsidRDefault="00315297" w:rsidP="00315297">
            <w:pPr>
              <w:tabs>
                <w:tab w:val="right" w:pos="1202"/>
                <w:tab w:val="center" w:pos="4153"/>
                <w:tab w:val="right" w:pos="8306"/>
              </w:tabs>
              <w:spacing w:after="0" w:line="301" w:lineRule="exact"/>
              <w:jc w:val="right"/>
              <w:outlineLvl w:val="0"/>
              <w:rPr>
                <w:rFonts w:asciiTheme="minorHAnsi" w:eastAsia="Times New Roman" w:hAnsiTheme="minorHAnsi" w:cs="Arial"/>
                <w:sz w:val="18"/>
                <w:szCs w:val="18"/>
                <w:lang w:val="en-US"/>
              </w:rPr>
            </w:pPr>
            <w:r w:rsidRPr="00FE65B6">
              <w:rPr>
                <w:rFonts w:cs="Arial"/>
                <w:sz w:val="18"/>
                <w:szCs w:val="18"/>
              </w:rPr>
              <w:t>25</w:t>
            </w:r>
            <w:r>
              <w:rPr>
                <w:rFonts w:cs="Arial"/>
                <w:sz w:val="18"/>
                <w:szCs w:val="18"/>
              </w:rPr>
              <w:t>,</w:t>
            </w:r>
            <w:r w:rsidRPr="00FE65B6">
              <w:rPr>
                <w:rFonts w:cs="Arial"/>
                <w:sz w:val="18"/>
                <w:szCs w:val="18"/>
              </w:rPr>
              <w:t>626</w:t>
            </w:r>
          </w:p>
        </w:tc>
        <w:tc>
          <w:tcPr>
            <w:tcW w:w="1116" w:type="dxa"/>
            <w:tcBorders>
              <w:top w:val="nil"/>
              <w:left w:val="nil"/>
              <w:right w:val="nil"/>
            </w:tcBorders>
            <w:shd w:val="clear" w:color="auto" w:fill="auto"/>
            <w:vAlign w:val="bottom"/>
          </w:tcPr>
          <w:p w14:paraId="59AE5FF0" w14:textId="422482D1" w:rsidR="00315297" w:rsidRPr="00D52976" w:rsidRDefault="00315297" w:rsidP="00315297">
            <w:pPr>
              <w:tabs>
                <w:tab w:val="right" w:pos="1202"/>
                <w:tab w:val="center" w:pos="4153"/>
                <w:tab w:val="right" w:pos="8306"/>
              </w:tabs>
              <w:spacing w:after="0" w:line="301" w:lineRule="exact"/>
              <w:jc w:val="right"/>
              <w:outlineLvl w:val="0"/>
              <w:rPr>
                <w:rFonts w:asciiTheme="minorHAnsi" w:eastAsia="Times New Roman" w:hAnsiTheme="minorHAnsi" w:cs="Arial"/>
                <w:sz w:val="18"/>
                <w:szCs w:val="18"/>
                <w:lang w:val="en-US"/>
              </w:rPr>
            </w:pPr>
            <w:r w:rsidRPr="00FE65B6">
              <w:rPr>
                <w:rFonts w:cs="Arial"/>
                <w:sz w:val="18"/>
                <w:szCs w:val="18"/>
              </w:rPr>
              <w:t>78</w:t>
            </w:r>
            <w:r>
              <w:rPr>
                <w:rFonts w:cs="Arial"/>
                <w:sz w:val="18"/>
                <w:szCs w:val="18"/>
              </w:rPr>
              <w:t>,</w:t>
            </w:r>
            <w:r w:rsidRPr="00FE65B6">
              <w:rPr>
                <w:rFonts w:cs="Arial"/>
                <w:sz w:val="18"/>
                <w:szCs w:val="18"/>
              </w:rPr>
              <w:t>738</w:t>
            </w:r>
          </w:p>
        </w:tc>
        <w:tc>
          <w:tcPr>
            <w:tcW w:w="1116" w:type="dxa"/>
            <w:tcBorders>
              <w:top w:val="nil"/>
              <w:left w:val="nil"/>
              <w:right w:val="nil"/>
            </w:tcBorders>
            <w:shd w:val="clear" w:color="auto" w:fill="auto"/>
            <w:vAlign w:val="bottom"/>
          </w:tcPr>
          <w:p w14:paraId="11A3711A" w14:textId="513FDE7E" w:rsidR="00315297" w:rsidRPr="00D52976" w:rsidRDefault="00315297" w:rsidP="00315297">
            <w:pPr>
              <w:tabs>
                <w:tab w:val="right" w:pos="1202"/>
                <w:tab w:val="center" w:pos="4153"/>
                <w:tab w:val="right" w:pos="8306"/>
              </w:tabs>
              <w:spacing w:after="0" w:line="301" w:lineRule="exact"/>
              <w:jc w:val="right"/>
              <w:outlineLvl w:val="0"/>
              <w:rPr>
                <w:rFonts w:asciiTheme="minorHAnsi" w:eastAsia="Times New Roman" w:hAnsiTheme="minorHAnsi" w:cs="Arial"/>
                <w:sz w:val="18"/>
                <w:szCs w:val="18"/>
                <w:lang w:val="en-US"/>
              </w:rPr>
            </w:pPr>
            <w:r w:rsidRPr="00FE65B6">
              <w:rPr>
                <w:rFonts w:cs="Arial"/>
                <w:sz w:val="18"/>
                <w:szCs w:val="18"/>
              </w:rPr>
              <w:t>159</w:t>
            </w:r>
            <w:r>
              <w:rPr>
                <w:rFonts w:cs="Arial"/>
                <w:sz w:val="18"/>
                <w:szCs w:val="18"/>
              </w:rPr>
              <w:t>,</w:t>
            </w:r>
            <w:r w:rsidRPr="00FE65B6">
              <w:rPr>
                <w:rFonts w:cs="Arial"/>
                <w:sz w:val="18"/>
                <w:szCs w:val="18"/>
              </w:rPr>
              <w:t>322</w:t>
            </w:r>
          </w:p>
        </w:tc>
        <w:tc>
          <w:tcPr>
            <w:tcW w:w="1116" w:type="dxa"/>
            <w:tcBorders>
              <w:top w:val="nil"/>
              <w:left w:val="nil"/>
              <w:right w:val="nil"/>
            </w:tcBorders>
            <w:shd w:val="clear" w:color="auto" w:fill="auto"/>
            <w:vAlign w:val="bottom"/>
          </w:tcPr>
          <w:p w14:paraId="4636B009" w14:textId="5CAF1EC5" w:rsidR="00315297" w:rsidRPr="00D52976" w:rsidRDefault="00315297" w:rsidP="00315297">
            <w:pPr>
              <w:tabs>
                <w:tab w:val="right" w:pos="1202"/>
                <w:tab w:val="center" w:pos="4153"/>
                <w:tab w:val="right" w:pos="8306"/>
              </w:tabs>
              <w:spacing w:after="0" w:line="301" w:lineRule="exact"/>
              <w:jc w:val="right"/>
              <w:outlineLvl w:val="0"/>
              <w:rPr>
                <w:rFonts w:asciiTheme="minorHAnsi" w:eastAsia="Times New Roman" w:hAnsiTheme="minorHAnsi" w:cs="Arial"/>
                <w:sz w:val="18"/>
                <w:szCs w:val="18"/>
                <w:lang w:val="en-US"/>
              </w:rPr>
            </w:pPr>
            <w:r w:rsidRPr="00FE65B6">
              <w:rPr>
                <w:rFonts w:cs="Arial"/>
                <w:sz w:val="18"/>
                <w:szCs w:val="18"/>
              </w:rPr>
              <w:t>180</w:t>
            </w:r>
            <w:r>
              <w:rPr>
                <w:rFonts w:cs="Arial"/>
                <w:sz w:val="18"/>
                <w:szCs w:val="18"/>
              </w:rPr>
              <w:t>,</w:t>
            </w:r>
            <w:r w:rsidRPr="00FE65B6">
              <w:rPr>
                <w:rFonts w:cs="Arial"/>
                <w:sz w:val="18"/>
                <w:szCs w:val="18"/>
              </w:rPr>
              <w:t>886</w:t>
            </w:r>
          </w:p>
        </w:tc>
        <w:tc>
          <w:tcPr>
            <w:tcW w:w="1116" w:type="dxa"/>
            <w:tcBorders>
              <w:top w:val="nil"/>
              <w:left w:val="nil"/>
              <w:right w:val="nil"/>
            </w:tcBorders>
            <w:shd w:val="clear" w:color="auto" w:fill="auto"/>
            <w:vAlign w:val="bottom"/>
          </w:tcPr>
          <w:p w14:paraId="3B0C2EF3" w14:textId="3C61CD9F" w:rsidR="00315297" w:rsidRPr="00D52976" w:rsidRDefault="00315297" w:rsidP="00315297">
            <w:pPr>
              <w:tabs>
                <w:tab w:val="right" w:pos="1202"/>
                <w:tab w:val="center" w:pos="4153"/>
                <w:tab w:val="right" w:pos="8306"/>
              </w:tabs>
              <w:spacing w:after="0" w:line="301" w:lineRule="exact"/>
              <w:jc w:val="right"/>
              <w:outlineLvl w:val="0"/>
              <w:rPr>
                <w:rFonts w:asciiTheme="minorHAnsi" w:eastAsia="Times New Roman" w:hAnsiTheme="minorHAnsi" w:cs="Arial"/>
                <w:sz w:val="18"/>
                <w:szCs w:val="18"/>
                <w:lang w:val="en-US"/>
              </w:rPr>
            </w:pPr>
            <w:r w:rsidRPr="00FE65B6">
              <w:rPr>
                <w:rFonts w:cs="Arial"/>
                <w:bCs/>
                <w:sz w:val="18"/>
                <w:szCs w:val="18"/>
              </w:rPr>
              <w:t>609</w:t>
            </w:r>
            <w:r>
              <w:rPr>
                <w:rFonts w:cs="Arial"/>
                <w:bCs/>
                <w:sz w:val="18"/>
                <w:szCs w:val="18"/>
              </w:rPr>
              <w:t>,</w:t>
            </w:r>
            <w:r w:rsidRPr="00FE65B6">
              <w:rPr>
                <w:rFonts w:cs="Arial"/>
                <w:bCs/>
                <w:sz w:val="18"/>
                <w:szCs w:val="18"/>
              </w:rPr>
              <w:t>344</w:t>
            </w:r>
          </w:p>
        </w:tc>
      </w:tr>
      <w:tr w:rsidR="00FE21E9" w:rsidRPr="009702B0" w14:paraId="7D8CD246" w14:textId="77777777" w:rsidTr="00166751">
        <w:trPr>
          <w:trHeight w:val="138"/>
          <w:jc w:val="center"/>
        </w:trPr>
        <w:tc>
          <w:tcPr>
            <w:tcW w:w="2233" w:type="dxa"/>
          </w:tcPr>
          <w:p w14:paraId="75A12494" w14:textId="77777777" w:rsidR="00FE21E9" w:rsidRPr="009702B0" w:rsidRDefault="00FE21E9" w:rsidP="00FE21E9">
            <w:pPr>
              <w:tabs>
                <w:tab w:val="right" w:pos="1202"/>
                <w:tab w:val="center" w:pos="4153"/>
                <w:tab w:val="right" w:pos="8306"/>
              </w:tabs>
              <w:spacing w:after="0" w:line="120" w:lineRule="auto"/>
              <w:outlineLvl w:val="0"/>
              <w:rPr>
                <w:rFonts w:asciiTheme="minorHAnsi" w:eastAsia="Times New Roman" w:hAnsiTheme="minorHAnsi" w:cs="Arial"/>
                <w:sz w:val="18"/>
                <w:szCs w:val="18"/>
              </w:rPr>
            </w:pPr>
          </w:p>
        </w:tc>
        <w:tc>
          <w:tcPr>
            <w:tcW w:w="1116" w:type="dxa"/>
            <w:tcBorders>
              <w:bottom w:val="single" w:sz="4" w:space="0" w:color="auto"/>
            </w:tcBorders>
            <w:vAlign w:val="bottom"/>
          </w:tcPr>
          <w:p w14:paraId="42054B2F" w14:textId="77777777" w:rsidR="00FE21E9" w:rsidRPr="00D52976" w:rsidRDefault="00FE21E9" w:rsidP="00FE21E9">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16" w:type="dxa"/>
            <w:tcBorders>
              <w:bottom w:val="single" w:sz="4" w:space="0" w:color="auto"/>
            </w:tcBorders>
            <w:vAlign w:val="bottom"/>
          </w:tcPr>
          <w:p w14:paraId="60222902" w14:textId="77777777" w:rsidR="00FE21E9" w:rsidRPr="00D52976" w:rsidRDefault="00FE21E9" w:rsidP="00FE21E9">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16" w:type="dxa"/>
            <w:tcBorders>
              <w:bottom w:val="single" w:sz="4" w:space="0" w:color="auto"/>
            </w:tcBorders>
            <w:vAlign w:val="bottom"/>
          </w:tcPr>
          <w:p w14:paraId="198C10E3" w14:textId="77777777" w:rsidR="00FE21E9" w:rsidRPr="00D52976" w:rsidRDefault="00FE21E9" w:rsidP="00FE21E9">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16" w:type="dxa"/>
            <w:tcBorders>
              <w:bottom w:val="single" w:sz="4" w:space="0" w:color="auto"/>
            </w:tcBorders>
            <w:vAlign w:val="bottom"/>
          </w:tcPr>
          <w:p w14:paraId="2D70A22B" w14:textId="77777777" w:rsidR="00FE21E9" w:rsidRPr="00D52976" w:rsidRDefault="00FE21E9" w:rsidP="00FE21E9">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16" w:type="dxa"/>
            <w:tcBorders>
              <w:bottom w:val="single" w:sz="4" w:space="0" w:color="auto"/>
            </w:tcBorders>
            <w:vAlign w:val="bottom"/>
          </w:tcPr>
          <w:p w14:paraId="550A0CF5" w14:textId="77777777" w:rsidR="00FE21E9" w:rsidRPr="00D52976" w:rsidRDefault="00FE21E9" w:rsidP="00FE21E9">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16" w:type="dxa"/>
            <w:tcBorders>
              <w:bottom w:val="single" w:sz="4" w:space="0" w:color="auto"/>
            </w:tcBorders>
            <w:vAlign w:val="bottom"/>
          </w:tcPr>
          <w:p w14:paraId="7D9FFBD3" w14:textId="77777777" w:rsidR="00FE21E9" w:rsidRPr="00D52976" w:rsidRDefault="00FE21E9" w:rsidP="00FE21E9">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r>
      <w:tr w:rsidR="00FE21E9" w:rsidRPr="009702B0" w14:paraId="76091339" w14:textId="77777777" w:rsidTr="00166751">
        <w:trPr>
          <w:trHeight w:val="138"/>
          <w:jc w:val="center"/>
        </w:trPr>
        <w:tc>
          <w:tcPr>
            <w:tcW w:w="2233" w:type="dxa"/>
          </w:tcPr>
          <w:p w14:paraId="1E6BB4C1" w14:textId="77777777" w:rsidR="00FE21E9" w:rsidRPr="009702B0" w:rsidRDefault="00FE21E9" w:rsidP="00FE21E9">
            <w:pPr>
              <w:tabs>
                <w:tab w:val="right" w:pos="1202"/>
                <w:tab w:val="center" w:pos="4153"/>
                <w:tab w:val="right" w:pos="8306"/>
              </w:tabs>
              <w:spacing w:after="0" w:line="120" w:lineRule="auto"/>
              <w:outlineLvl w:val="0"/>
              <w:rPr>
                <w:rFonts w:asciiTheme="minorHAnsi" w:eastAsia="Times New Roman" w:hAnsiTheme="minorHAnsi" w:cs="Arial"/>
                <w:sz w:val="18"/>
                <w:szCs w:val="18"/>
              </w:rPr>
            </w:pPr>
          </w:p>
        </w:tc>
        <w:tc>
          <w:tcPr>
            <w:tcW w:w="1116" w:type="dxa"/>
            <w:tcBorders>
              <w:top w:val="single" w:sz="4" w:space="0" w:color="auto"/>
            </w:tcBorders>
            <w:vAlign w:val="bottom"/>
          </w:tcPr>
          <w:p w14:paraId="25020431" w14:textId="77777777" w:rsidR="00FE21E9" w:rsidRPr="00D52976" w:rsidRDefault="00FE21E9" w:rsidP="00FE21E9">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16" w:type="dxa"/>
            <w:tcBorders>
              <w:top w:val="single" w:sz="4" w:space="0" w:color="auto"/>
            </w:tcBorders>
            <w:vAlign w:val="bottom"/>
          </w:tcPr>
          <w:p w14:paraId="5967887E" w14:textId="77777777" w:rsidR="00FE21E9" w:rsidRPr="00D52976" w:rsidRDefault="00FE21E9" w:rsidP="00FE21E9">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16" w:type="dxa"/>
            <w:tcBorders>
              <w:top w:val="single" w:sz="4" w:space="0" w:color="auto"/>
            </w:tcBorders>
            <w:vAlign w:val="bottom"/>
          </w:tcPr>
          <w:p w14:paraId="73EC288E" w14:textId="77777777" w:rsidR="00FE21E9" w:rsidRPr="00D52976" w:rsidRDefault="00FE21E9" w:rsidP="00FE21E9">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16" w:type="dxa"/>
            <w:tcBorders>
              <w:top w:val="single" w:sz="4" w:space="0" w:color="auto"/>
            </w:tcBorders>
            <w:vAlign w:val="bottom"/>
          </w:tcPr>
          <w:p w14:paraId="45DCC72C" w14:textId="77777777" w:rsidR="00FE21E9" w:rsidRPr="00D52976" w:rsidRDefault="00FE21E9" w:rsidP="00FE21E9">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16" w:type="dxa"/>
            <w:tcBorders>
              <w:top w:val="single" w:sz="4" w:space="0" w:color="auto"/>
            </w:tcBorders>
            <w:vAlign w:val="bottom"/>
          </w:tcPr>
          <w:p w14:paraId="41D1B8ED" w14:textId="77777777" w:rsidR="00FE21E9" w:rsidRPr="00D52976" w:rsidRDefault="00FE21E9" w:rsidP="00FE21E9">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16" w:type="dxa"/>
            <w:tcBorders>
              <w:top w:val="single" w:sz="4" w:space="0" w:color="auto"/>
            </w:tcBorders>
            <w:vAlign w:val="bottom"/>
          </w:tcPr>
          <w:p w14:paraId="25B0430D" w14:textId="77777777" w:rsidR="00FE21E9" w:rsidRPr="00D52976" w:rsidRDefault="00FE21E9" w:rsidP="00FE21E9">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r>
      <w:tr w:rsidR="00315297" w:rsidRPr="009702B0" w14:paraId="6DC2D1EE" w14:textId="77777777" w:rsidTr="00BA3F2A">
        <w:trPr>
          <w:trHeight w:val="235"/>
          <w:jc w:val="center"/>
        </w:trPr>
        <w:tc>
          <w:tcPr>
            <w:tcW w:w="2233" w:type="dxa"/>
            <w:vAlign w:val="bottom"/>
          </w:tcPr>
          <w:p w14:paraId="5533792D" w14:textId="77777777" w:rsidR="00315297" w:rsidRPr="009702B0" w:rsidRDefault="00315297" w:rsidP="00315297">
            <w:pPr>
              <w:spacing w:after="0" w:line="240" w:lineRule="auto"/>
              <w:rPr>
                <w:rFonts w:asciiTheme="minorHAnsi" w:eastAsia="Times New Roman" w:hAnsiTheme="minorHAnsi" w:cs="Arial"/>
                <w:i/>
                <w:sz w:val="18"/>
                <w:szCs w:val="18"/>
              </w:rPr>
            </w:pPr>
            <w:r w:rsidRPr="009702B0">
              <w:rPr>
                <w:rFonts w:asciiTheme="minorHAnsi" w:eastAsia="Times New Roman" w:hAnsiTheme="minorHAnsi" w:cs="Arial"/>
                <w:b/>
                <w:sz w:val="18"/>
                <w:szCs w:val="18"/>
                <w:lang w:val="hr-HR"/>
              </w:rPr>
              <w:t>Total</w:t>
            </w:r>
          </w:p>
        </w:tc>
        <w:tc>
          <w:tcPr>
            <w:tcW w:w="1116" w:type="dxa"/>
            <w:tcBorders>
              <w:top w:val="nil"/>
              <w:left w:val="nil"/>
              <w:bottom w:val="single" w:sz="12" w:space="0" w:color="auto"/>
              <w:right w:val="nil"/>
            </w:tcBorders>
            <w:shd w:val="clear" w:color="auto" w:fill="auto"/>
          </w:tcPr>
          <w:p w14:paraId="32BC9CC6" w14:textId="079DFB24" w:rsidR="00315297" w:rsidRPr="00D52976" w:rsidRDefault="00315297" w:rsidP="00315297">
            <w:pPr>
              <w:tabs>
                <w:tab w:val="right" w:pos="1202"/>
              </w:tabs>
              <w:spacing w:after="0" w:line="340" w:lineRule="exact"/>
              <w:jc w:val="right"/>
              <w:outlineLvl w:val="0"/>
              <w:rPr>
                <w:rFonts w:asciiTheme="minorHAnsi" w:eastAsia="Times New Roman" w:hAnsiTheme="minorHAnsi"/>
                <w:b/>
                <w:bCs/>
                <w:sz w:val="18"/>
                <w:szCs w:val="18"/>
              </w:rPr>
            </w:pPr>
            <w:r w:rsidRPr="00FE65B6">
              <w:rPr>
                <w:rFonts w:cs="Arial"/>
                <w:b/>
                <w:bCs/>
                <w:color w:val="000000"/>
                <w:sz w:val="18"/>
                <w:szCs w:val="18"/>
              </w:rPr>
              <w:t>997</w:t>
            </w:r>
            <w:r>
              <w:rPr>
                <w:rFonts w:cs="Arial"/>
                <w:b/>
                <w:bCs/>
                <w:color w:val="000000"/>
                <w:sz w:val="18"/>
                <w:szCs w:val="18"/>
              </w:rPr>
              <w:t>,</w:t>
            </w:r>
            <w:r w:rsidRPr="00FE65B6">
              <w:rPr>
                <w:rFonts w:cs="Arial"/>
                <w:b/>
                <w:bCs/>
                <w:color w:val="000000"/>
                <w:sz w:val="18"/>
                <w:szCs w:val="18"/>
              </w:rPr>
              <w:t>788</w:t>
            </w:r>
          </w:p>
        </w:tc>
        <w:tc>
          <w:tcPr>
            <w:tcW w:w="1116" w:type="dxa"/>
            <w:tcBorders>
              <w:top w:val="nil"/>
              <w:left w:val="nil"/>
              <w:bottom w:val="single" w:sz="12" w:space="0" w:color="auto"/>
              <w:right w:val="nil"/>
            </w:tcBorders>
            <w:shd w:val="clear" w:color="auto" w:fill="auto"/>
          </w:tcPr>
          <w:p w14:paraId="08D72137" w14:textId="376438EE" w:rsidR="00315297" w:rsidRPr="00D52976" w:rsidRDefault="00315297" w:rsidP="00315297">
            <w:pPr>
              <w:tabs>
                <w:tab w:val="right" w:pos="1202"/>
              </w:tabs>
              <w:spacing w:after="0" w:line="340" w:lineRule="exact"/>
              <w:jc w:val="right"/>
              <w:outlineLvl w:val="0"/>
              <w:rPr>
                <w:rFonts w:asciiTheme="minorHAnsi" w:eastAsia="Times New Roman" w:hAnsiTheme="minorHAnsi"/>
                <w:b/>
                <w:bCs/>
                <w:sz w:val="18"/>
                <w:szCs w:val="18"/>
              </w:rPr>
            </w:pPr>
            <w:r w:rsidRPr="00FE65B6">
              <w:rPr>
                <w:rFonts w:cs="Arial"/>
                <w:b/>
                <w:bCs/>
                <w:color w:val="000000"/>
                <w:sz w:val="18"/>
                <w:szCs w:val="18"/>
              </w:rPr>
              <w:t>692</w:t>
            </w:r>
            <w:r>
              <w:rPr>
                <w:rFonts w:cs="Arial"/>
                <w:b/>
                <w:bCs/>
                <w:color w:val="000000"/>
                <w:sz w:val="18"/>
                <w:szCs w:val="18"/>
              </w:rPr>
              <w:t>,</w:t>
            </w:r>
            <w:r w:rsidRPr="00FE65B6">
              <w:rPr>
                <w:rFonts w:cs="Arial"/>
                <w:b/>
                <w:bCs/>
                <w:color w:val="000000"/>
                <w:sz w:val="18"/>
                <w:szCs w:val="18"/>
              </w:rPr>
              <w:t>816</w:t>
            </w:r>
          </w:p>
        </w:tc>
        <w:tc>
          <w:tcPr>
            <w:tcW w:w="1116" w:type="dxa"/>
            <w:tcBorders>
              <w:top w:val="nil"/>
              <w:left w:val="nil"/>
              <w:bottom w:val="single" w:sz="12" w:space="0" w:color="auto"/>
              <w:right w:val="nil"/>
            </w:tcBorders>
            <w:shd w:val="clear" w:color="auto" w:fill="auto"/>
          </w:tcPr>
          <w:p w14:paraId="4021E0D2" w14:textId="26E89FDE" w:rsidR="00315297" w:rsidRPr="00D52976" w:rsidRDefault="00315297" w:rsidP="00315297">
            <w:pPr>
              <w:tabs>
                <w:tab w:val="right" w:pos="1202"/>
              </w:tabs>
              <w:spacing w:after="0" w:line="340" w:lineRule="exact"/>
              <w:jc w:val="right"/>
              <w:outlineLvl w:val="0"/>
              <w:rPr>
                <w:rFonts w:asciiTheme="minorHAnsi" w:eastAsia="Times New Roman" w:hAnsiTheme="minorHAnsi"/>
                <w:b/>
                <w:bCs/>
                <w:sz w:val="18"/>
                <w:szCs w:val="18"/>
              </w:rPr>
            </w:pPr>
            <w:r w:rsidRPr="00FE65B6">
              <w:rPr>
                <w:rFonts w:cs="Arial"/>
                <w:b/>
                <w:bCs/>
                <w:color w:val="000000"/>
                <w:sz w:val="18"/>
                <w:szCs w:val="18"/>
              </w:rPr>
              <w:t>1</w:t>
            </w:r>
            <w:r>
              <w:rPr>
                <w:rFonts w:cs="Arial"/>
                <w:b/>
                <w:bCs/>
                <w:color w:val="000000"/>
                <w:sz w:val="18"/>
                <w:szCs w:val="18"/>
              </w:rPr>
              <w:t>,</w:t>
            </w:r>
            <w:r w:rsidRPr="00FE65B6">
              <w:rPr>
                <w:rFonts w:cs="Arial"/>
                <w:b/>
                <w:bCs/>
                <w:color w:val="000000"/>
                <w:sz w:val="18"/>
                <w:szCs w:val="18"/>
              </w:rPr>
              <w:t>522</w:t>
            </w:r>
            <w:r>
              <w:rPr>
                <w:rFonts w:cs="Arial"/>
                <w:b/>
                <w:bCs/>
                <w:color w:val="000000"/>
                <w:sz w:val="18"/>
                <w:szCs w:val="18"/>
              </w:rPr>
              <w:t>,</w:t>
            </w:r>
            <w:r w:rsidRPr="00FE65B6">
              <w:rPr>
                <w:rFonts w:cs="Arial"/>
                <w:b/>
                <w:bCs/>
                <w:color w:val="000000"/>
                <w:sz w:val="18"/>
                <w:szCs w:val="18"/>
              </w:rPr>
              <w:t>418</w:t>
            </w:r>
          </w:p>
        </w:tc>
        <w:tc>
          <w:tcPr>
            <w:tcW w:w="1116" w:type="dxa"/>
            <w:tcBorders>
              <w:top w:val="nil"/>
              <w:left w:val="nil"/>
              <w:bottom w:val="single" w:sz="12" w:space="0" w:color="auto"/>
              <w:right w:val="nil"/>
            </w:tcBorders>
            <w:shd w:val="clear" w:color="auto" w:fill="auto"/>
          </w:tcPr>
          <w:p w14:paraId="6EBAA7B6" w14:textId="34421E2F" w:rsidR="00315297" w:rsidRPr="00D52976" w:rsidRDefault="00315297" w:rsidP="00315297">
            <w:pPr>
              <w:tabs>
                <w:tab w:val="right" w:pos="1202"/>
              </w:tabs>
              <w:spacing w:after="0" w:line="340" w:lineRule="exact"/>
              <w:jc w:val="right"/>
              <w:outlineLvl w:val="0"/>
              <w:rPr>
                <w:rFonts w:asciiTheme="minorHAnsi" w:eastAsia="Times New Roman" w:hAnsiTheme="minorHAnsi"/>
                <w:b/>
                <w:bCs/>
                <w:sz w:val="18"/>
                <w:szCs w:val="18"/>
              </w:rPr>
            </w:pPr>
            <w:r w:rsidRPr="00FE65B6">
              <w:rPr>
                <w:rFonts w:cs="Arial"/>
                <w:b/>
                <w:bCs/>
                <w:color w:val="000000"/>
                <w:sz w:val="18"/>
                <w:szCs w:val="18"/>
              </w:rPr>
              <w:t>5</w:t>
            </w:r>
            <w:r>
              <w:rPr>
                <w:rFonts w:cs="Arial"/>
                <w:b/>
                <w:bCs/>
                <w:color w:val="000000"/>
                <w:sz w:val="18"/>
                <w:szCs w:val="18"/>
              </w:rPr>
              <w:t>,</w:t>
            </w:r>
            <w:r w:rsidRPr="00FE65B6">
              <w:rPr>
                <w:rFonts w:cs="Arial"/>
                <w:b/>
                <w:bCs/>
                <w:color w:val="000000"/>
                <w:sz w:val="18"/>
                <w:szCs w:val="18"/>
              </w:rPr>
              <w:t>558</w:t>
            </w:r>
            <w:r>
              <w:rPr>
                <w:rFonts w:cs="Arial"/>
                <w:b/>
                <w:bCs/>
                <w:color w:val="000000"/>
                <w:sz w:val="18"/>
                <w:szCs w:val="18"/>
              </w:rPr>
              <w:t>,</w:t>
            </w:r>
            <w:r w:rsidRPr="00FE65B6">
              <w:rPr>
                <w:rFonts w:cs="Arial"/>
                <w:b/>
                <w:bCs/>
                <w:color w:val="000000"/>
                <w:sz w:val="18"/>
                <w:szCs w:val="18"/>
              </w:rPr>
              <w:t>928</w:t>
            </w:r>
          </w:p>
        </w:tc>
        <w:tc>
          <w:tcPr>
            <w:tcW w:w="1116" w:type="dxa"/>
            <w:tcBorders>
              <w:top w:val="nil"/>
              <w:left w:val="nil"/>
              <w:bottom w:val="single" w:sz="12" w:space="0" w:color="auto"/>
              <w:right w:val="nil"/>
            </w:tcBorders>
            <w:shd w:val="clear" w:color="auto" w:fill="auto"/>
          </w:tcPr>
          <w:p w14:paraId="09C0DFA4" w14:textId="6E61248E" w:rsidR="00315297" w:rsidRPr="00D52976" w:rsidRDefault="00315297" w:rsidP="00315297">
            <w:pPr>
              <w:tabs>
                <w:tab w:val="right" w:pos="1202"/>
              </w:tabs>
              <w:spacing w:after="0" w:line="340" w:lineRule="exact"/>
              <w:jc w:val="right"/>
              <w:outlineLvl w:val="0"/>
              <w:rPr>
                <w:rFonts w:asciiTheme="minorHAnsi" w:eastAsia="Times New Roman" w:hAnsiTheme="minorHAnsi"/>
                <w:b/>
                <w:bCs/>
                <w:sz w:val="18"/>
                <w:szCs w:val="18"/>
              </w:rPr>
            </w:pPr>
            <w:r w:rsidRPr="00FE65B6">
              <w:rPr>
                <w:rFonts w:cs="Arial"/>
                <w:b/>
                <w:bCs/>
                <w:color w:val="000000"/>
                <w:sz w:val="18"/>
                <w:szCs w:val="18"/>
              </w:rPr>
              <w:t>10</w:t>
            </w:r>
            <w:r>
              <w:rPr>
                <w:rFonts w:cs="Arial"/>
                <w:b/>
                <w:bCs/>
                <w:color w:val="000000"/>
                <w:sz w:val="18"/>
                <w:szCs w:val="18"/>
              </w:rPr>
              <w:t>,</w:t>
            </w:r>
            <w:r w:rsidRPr="00FE65B6">
              <w:rPr>
                <w:rFonts w:cs="Arial"/>
                <w:b/>
                <w:bCs/>
                <w:color w:val="000000"/>
                <w:sz w:val="18"/>
                <w:szCs w:val="18"/>
              </w:rPr>
              <w:t>806</w:t>
            </w:r>
            <w:r>
              <w:rPr>
                <w:rFonts w:cs="Arial"/>
                <w:b/>
                <w:bCs/>
                <w:color w:val="000000"/>
                <w:sz w:val="18"/>
                <w:szCs w:val="18"/>
              </w:rPr>
              <w:t>,</w:t>
            </w:r>
            <w:r w:rsidRPr="00FE65B6">
              <w:rPr>
                <w:rFonts w:cs="Arial"/>
                <w:b/>
                <w:bCs/>
                <w:color w:val="000000"/>
                <w:sz w:val="18"/>
                <w:szCs w:val="18"/>
              </w:rPr>
              <w:t>223</w:t>
            </w:r>
          </w:p>
        </w:tc>
        <w:tc>
          <w:tcPr>
            <w:tcW w:w="1116" w:type="dxa"/>
            <w:tcBorders>
              <w:top w:val="nil"/>
              <w:left w:val="nil"/>
              <w:bottom w:val="single" w:sz="12" w:space="0" w:color="auto"/>
              <w:right w:val="nil"/>
            </w:tcBorders>
            <w:shd w:val="clear" w:color="auto" w:fill="auto"/>
          </w:tcPr>
          <w:p w14:paraId="4750470E" w14:textId="34D0486D" w:rsidR="00315297" w:rsidRPr="00D52976" w:rsidRDefault="00315297">
            <w:pPr>
              <w:tabs>
                <w:tab w:val="right" w:pos="1202"/>
              </w:tabs>
              <w:spacing w:after="0" w:line="340" w:lineRule="exact"/>
              <w:jc w:val="right"/>
              <w:outlineLvl w:val="0"/>
              <w:rPr>
                <w:rFonts w:asciiTheme="minorHAnsi" w:eastAsia="Times New Roman" w:hAnsiTheme="minorHAnsi"/>
                <w:b/>
                <w:bCs/>
                <w:sz w:val="18"/>
                <w:szCs w:val="18"/>
              </w:rPr>
            </w:pPr>
            <w:r w:rsidRPr="00FE65B6">
              <w:rPr>
                <w:rFonts w:cs="Arial"/>
                <w:b/>
                <w:bCs/>
                <w:color w:val="000000"/>
                <w:sz w:val="18"/>
                <w:szCs w:val="18"/>
              </w:rPr>
              <w:t>19</w:t>
            </w:r>
            <w:r>
              <w:rPr>
                <w:rFonts w:cs="Arial"/>
                <w:b/>
                <w:bCs/>
                <w:color w:val="000000"/>
                <w:sz w:val="18"/>
                <w:szCs w:val="18"/>
              </w:rPr>
              <w:t>,</w:t>
            </w:r>
            <w:r w:rsidRPr="00FE65B6">
              <w:rPr>
                <w:rFonts w:cs="Arial"/>
                <w:b/>
                <w:bCs/>
                <w:color w:val="000000"/>
                <w:sz w:val="18"/>
                <w:szCs w:val="18"/>
              </w:rPr>
              <w:t>578</w:t>
            </w:r>
            <w:r>
              <w:rPr>
                <w:rFonts w:cs="Arial"/>
                <w:b/>
                <w:bCs/>
                <w:color w:val="000000"/>
                <w:sz w:val="18"/>
                <w:szCs w:val="18"/>
              </w:rPr>
              <w:t>,</w:t>
            </w:r>
            <w:r w:rsidRPr="00FE65B6">
              <w:rPr>
                <w:rFonts w:cs="Arial"/>
                <w:b/>
                <w:bCs/>
                <w:color w:val="000000"/>
                <w:sz w:val="18"/>
                <w:szCs w:val="18"/>
              </w:rPr>
              <w:t>17</w:t>
            </w:r>
            <w:r w:rsidR="009F5C15">
              <w:rPr>
                <w:rFonts w:cs="Arial"/>
                <w:b/>
                <w:bCs/>
                <w:color w:val="000000"/>
                <w:sz w:val="18"/>
                <w:szCs w:val="18"/>
              </w:rPr>
              <w:t>3</w:t>
            </w:r>
          </w:p>
        </w:tc>
      </w:tr>
      <w:tr w:rsidR="001866B2" w:rsidRPr="009702B0" w14:paraId="64219AA6" w14:textId="77777777" w:rsidTr="009702B0">
        <w:trPr>
          <w:jc w:val="center"/>
        </w:trPr>
        <w:tc>
          <w:tcPr>
            <w:tcW w:w="2233" w:type="dxa"/>
          </w:tcPr>
          <w:p w14:paraId="65FC7C3D" w14:textId="77777777" w:rsidR="001866B2" w:rsidRPr="009702B0" w:rsidRDefault="001866B2" w:rsidP="001866B2">
            <w:pPr>
              <w:keepNext/>
              <w:keepLines/>
              <w:tabs>
                <w:tab w:val="decimal" w:pos="1202"/>
              </w:tabs>
              <w:spacing w:after="0" w:line="100" w:lineRule="exact"/>
              <w:rPr>
                <w:rFonts w:asciiTheme="minorHAnsi" w:eastAsia="Times New Roman" w:hAnsiTheme="minorHAnsi" w:cs="Arial"/>
                <w:b/>
                <w:position w:val="4"/>
                <w:sz w:val="18"/>
                <w:szCs w:val="18"/>
              </w:rPr>
            </w:pPr>
          </w:p>
        </w:tc>
        <w:tc>
          <w:tcPr>
            <w:tcW w:w="1116" w:type="dxa"/>
            <w:tcBorders>
              <w:top w:val="single" w:sz="12" w:space="0" w:color="auto"/>
            </w:tcBorders>
            <w:vAlign w:val="bottom"/>
          </w:tcPr>
          <w:p w14:paraId="223715D7" w14:textId="77777777" w:rsidR="001866B2" w:rsidRPr="009702B0" w:rsidRDefault="001866B2" w:rsidP="001866B2">
            <w:pPr>
              <w:keepNext/>
              <w:keepLines/>
              <w:tabs>
                <w:tab w:val="decimal" w:pos="1202"/>
              </w:tabs>
              <w:spacing w:after="0" w:line="301" w:lineRule="exact"/>
              <w:jc w:val="right"/>
              <w:rPr>
                <w:rFonts w:asciiTheme="minorHAnsi" w:eastAsia="Times New Roman" w:hAnsiTheme="minorHAnsi" w:cs="Arial"/>
                <w:b/>
                <w:position w:val="4"/>
                <w:sz w:val="18"/>
                <w:szCs w:val="18"/>
                <w:lang w:val="hr-HR"/>
              </w:rPr>
            </w:pPr>
          </w:p>
        </w:tc>
        <w:tc>
          <w:tcPr>
            <w:tcW w:w="1116" w:type="dxa"/>
            <w:tcBorders>
              <w:top w:val="single" w:sz="12" w:space="0" w:color="auto"/>
            </w:tcBorders>
            <w:vAlign w:val="bottom"/>
          </w:tcPr>
          <w:p w14:paraId="364D9F3D" w14:textId="77777777" w:rsidR="001866B2" w:rsidRPr="009702B0" w:rsidRDefault="001866B2" w:rsidP="001866B2">
            <w:pPr>
              <w:keepNext/>
              <w:keepLines/>
              <w:tabs>
                <w:tab w:val="decimal" w:pos="1202"/>
                <w:tab w:val="center" w:pos="4153"/>
                <w:tab w:val="right" w:pos="8306"/>
              </w:tabs>
              <w:spacing w:after="0" w:line="301" w:lineRule="exact"/>
              <w:jc w:val="right"/>
              <w:rPr>
                <w:rFonts w:asciiTheme="minorHAnsi" w:eastAsia="Times New Roman" w:hAnsiTheme="minorHAnsi" w:cs="Arial"/>
                <w:b/>
                <w:position w:val="4"/>
                <w:sz w:val="18"/>
                <w:szCs w:val="18"/>
                <w:lang w:val="hr-HR"/>
              </w:rPr>
            </w:pPr>
          </w:p>
        </w:tc>
        <w:tc>
          <w:tcPr>
            <w:tcW w:w="1116" w:type="dxa"/>
            <w:tcBorders>
              <w:top w:val="single" w:sz="12" w:space="0" w:color="auto"/>
            </w:tcBorders>
            <w:vAlign w:val="bottom"/>
          </w:tcPr>
          <w:p w14:paraId="5AE2C199" w14:textId="77777777" w:rsidR="001866B2" w:rsidRPr="009702B0" w:rsidRDefault="001866B2" w:rsidP="001866B2">
            <w:pPr>
              <w:keepNext/>
              <w:keepLines/>
              <w:tabs>
                <w:tab w:val="decimal" w:pos="1202"/>
                <w:tab w:val="center" w:pos="4153"/>
                <w:tab w:val="right" w:pos="8306"/>
              </w:tabs>
              <w:spacing w:after="0" w:line="301" w:lineRule="exact"/>
              <w:jc w:val="right"/>
              <w:rPr>
                <w:rFonts w:asciiTheme="minorHAnsi" w:eastAsia="Times New Roman" w:hAnsiTheme="minorHAnsi" w:cs="Arial"/>
                <w:b/>
                <w:position w:val="4"/>
                <w:sz w:val="18"/>
                <w:szCs w:val="18"/>
                <w:lang w:val="hr-HR"/>
              </w:rPr>
            </w:pPr>
          </w:p>
        </w:tc>
        <w:tc>
          <w:tcPr>
            <w:tcW w:w="1116" w:type="dxa"/>
            <w:tcBorders>
              <w:top w:val="single" w:sz="12" w:space="0" w:color="auto"/>
            </w:tcBorders>
            <w:vAlign w:val="bottom"/>
          </w:tcPr>
          <w:p w14:paraId="4829EDA3" w14:textId="77777777" w:rsidR="001866B2" w:rsidRPr="009702B0" w:rsidRDefault="001866B2" w:rsidP="001866B2">
            <w:pPr>
              <w:keepNext/>
              <w:keepLines/>
              <w:tabs>
                <w:tab w:val="decimal" w:pos="1202"/>
              </w:tabs>
              <w:spacing w:after="0" w:line="301" w:lineRule="exact"/>
              <w:jc w:val="right"/>
              <w:rPr>
                <w:rFonts w:asciiTheme="minorHAnsi" w:eastAsia="Times New Roman" w:hAnsiTheme="minorHAnsi" w:cs="Arial"/>
                <w:b/>
                <w:position w:val="4"/>
                <w:sz w:val="18"/>
                <w:szCs w:val="18"/>
                <w:lang w:val="hr-HR"/>
              </w:rPr>
            </w:pPr>
          </w:p>
        </w:tc>
        <w:tc>
          <w:tcPr>
            <w:tcW w:w="1116" w:type="dxa"/>
            <w:tcBorders>
              <w:top w:val="single" w:sz="12" w:space="0" w:color="auto"/>
            </w:tcBorders>
            <w:vAlign w:val="bottom"/>
          </w:tcPr>
          <w:p w14:paraId="0B8E6501" w14:textId="77777777" w:rsidR="001866B2" w:rsidRPr="009702B0" w:rsidRDefault="001866B2" w:rsidP="001866B2">
            <w:pPr>
              <w:keepNext/>
              <w:keepLines/>
              <w:tabs>
                <w:tab w:val="right" w:pos="1263"/>
              </w:tabs>
              <w:spacing w:after="0" w:line="301" w:lineRule="exact"/>
              <w:jc w:val="right"/>
              <w:rPr>
                <w:rFonts w:asciiTheme="minorHAnsi" w:eastAsia="Times New Roman" w:hAnsiTheme="minorHAnsi" w:cs="Arial"/>
                <w:b/>
                <w:position w:val="4"/>
                <w:sz w:val="18"/>
                <w:szCs w:val="18"/>
                <w:lang w:val="hr-HR"/>
              </w:rPr>
            </w:pPr>
          </w:p>
        </w:tc>
        <w:tc>
          <w:tcPr>
            <w:tcW w:w="1116" w:type="dxa"/>
            <w:tcBorders>
              <w:top w:val="single" w:sz="12" w:space="0" w:color="auto"/>
            </w:tcBorders>
            <w:vAlign w:val="bottom"/>
          </w:tcPr>
          <w:p w14:paraId="70C58238" w14:textId="77777777" w:rsidR="001866B2" w:rsidRPr="009702B0" w:rsidRDefault="001866B2" w:rsidP="001866B2">
            <w:pPr>
              <w:keepNext/>
              <w:keepLines/>
              <w:tabs>
                <w:tab w:val="decimal" w:pos="1202"/>
              </w:tabs>
              <w:spacing w:after="0" w:line="301" w:lineRule="exact"/>
              <w:jc w:val="right"/>
              <w:rPr>
                <w:rFonts w:asciiTheme="minorHAnsi" w:eastAsia="Times New Roman" w:hAnsiTheme="minorHAnsi" w:cs="Arial"/>
                <w:b/>
                <w:position w:val="4"/>
                <w:sz w:val="18"/>
                <w:szCs w:val="18"/>
                <w:lang w:val="hr-HR"/>
              </w:rPr>
            </w:pPr>
          </w:p>
        </w:tc>
      </w:tr>
    </w:tbl>
    <w:p w14:paraId="7836B954" w14:textId="77777777" w:rsidR="009702B0" w:rsidRPr="009702B0" w:rsidRDefault="009702B0" w:rsidP="009702B0">
      <w:pPr>
        <w:keepNext/>
        <w:tabs>
          <w:tab w:val="left" w:pos="709"/>
          <w:tab w:val="left" w:pos="851"/>
        </w:tabs>
        <w:spacing w:after="0" w:line="240" w:lineRule="auto"/>
        <w:jc w:val="both"/>
        <w:rPr>
          <w:rFonts w:eastAsia="Times New Roman" w:cs="Arial"/>
          <w:b/>
          <w:bCs/>
        </w:rPr>
      </w:pPr>
    </w:p>
    <w:p w14:paraId="6670C25A" w14:textId="77777777" w:rsidR="009702B0" w:rsidRPr="009702B0" w:rsidRDefault="009702B0" w:rsidP="009702B0">
      <w:pPr>
        <w:keepNext/>
        <w:tabs>
          <w:tab w:val="left" w:pos="709"/>
          <w:tab w:val="left" w:pos="851"/>
        </w:tabs>
        <w:spacing w:after="0" w:line="240" w:lineRule="auto"/>
        <w:jc w:val="both"/>
        <w:rPr>
          <w:rFonts w:eastAsia="Times New Roman" w:cs="Arial"/>
          <w:b/>
          <w:bCs/>
        </w:rPr>
      </w:pPr>
    </w:p>
    <w:tbl>
      <w:tblPr>
        <w:tblW w:w="4773" w:type="pct"/>
        <w:jc w:val="center"/>
        <w:tblLayout w:type="fixed"/>
        <w:tblCellMar>
          <w:left w:w="120" w:type="dxa"/>
          <w:right w:w="120" w:type="dxa"/>
        </w:tblCellMar>
        <w:tblLook w:val="0000" w:firstRow="0" w:lastRow="0" w:firstColumn="0" w:lastColumn="0" w:noHBand="0" w:noVBand="0"/>
      </w:tblPr>
      <w:tblGrid>
        <w:gridCol w:w="2233"/>
        <w:gridCol w:w="1116"/>
        <w:gridCol w:w="1116"/>
        <w:gridCol w:w="1116"/>
        <w:gridCol w:w="1116"/>
        <w:gridCol w:w="1116"/>
        <w:gridCol w:w="1116"/>
      </w:tblGrid>
      <w:tr w:rsidR="009702B0" w:rsidRPr="009702B0" w14:paraId="0913B921" w14:textId="77777777" w:rsidTr="009702B0">
        <w:trPr>
          <w:trHeight w:val="587"/>
          <w:jc w:val="center"/>
        </w:trPr>
        <w:tc>
          <w:tcPr>
            <w:tcW w:w="2233" w:type="dxa"/>
          </w:tcPr>
          <w:p w14:paraId="0EDCD3D6" w14:textId="77777777" w:rsidR="009702B0" w:rsidRPr="009702B0" w:rsidRDefault="009702B0" w:rsidP="009702B0">
            <w:pPr>
              <w:tabs>
                <w:tab w:val="right" w:pos="1202"/>
              </w:tabs>
              <w:spacing w:after="0" w:line="240" w:lineRule="atLeas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Bank</w:t>
            </w:r>
          </w:p>
          <w:p w14:paraId="48B763C0" w14:textId="77777777" w:rsidR="009702B0" w:rsidRPr="009702B0" w:rsidRDefault="009702B0" w:rsidP="005F1566">
            <w:pPr>
              <w:tabs>
                <w:tab w:val="right" w:pos="1202"/>
              </w:tabs>
              <w:spacing w:after="0" w:line="240" w:lineRule="atLeas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Dec 31, 201</w:t>
            </w:r>
            <w:r w:rsidR="005F1566">
              <w:rPr>
                <w:rFonts w:asciiTheme="minorHAnsi" w:eastAsia="Times New Roman" w:hAnsiTheme="minorHAnsi" w:cs="Arial"/>
                <w:b/>
                <w:sz w:val="18"/>
                <w:szCs w:val="18"/>
              </w:rPr>
              <w:t>6</w:t>
            </w:r>
          </w:p>
        </w:tc>
        <w:tc>
          <w:tcPr>
            <w:tcW w:w="1116" w:type="dxa"/>
          </w:tcPr>
          <w:p w14:paraId="3E7AA0A1" w14:textId="77777777" w:rsidR="009702B0" w:rsidRPr="009702B0"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Up to 1 month</w:t>
            </w:r>
          </w:p>
        </w:tc>
        <w:tc>
          <w:tcPr>
            <w:tcW w:w="1116" w:type="dxa"/>
          </w:tcPr>
          <w:p w14:paraId="01711F34" w14:textId="77777777" w:rsidR="009702B0" w:rsidRPr="009702B0"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1 - 3 months</w:t>
            </w:r>
          </w:p>
        </w:tc>
        <w:tc>
          <w:tcPr>
            <w:tcW w:w="1116" w:type="dxa"/>
          </w:tcPr>
          <w:p w14:paraId="6BC6B1C7" w14:textId="77777777" w:rsidR="009702B0" w:rsidRPr="009702B0"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 xml:space="preserve">3 - 12 </w:t>
            </w:r>
          </w:p>
          <w:p w14:paraId="409F1FB9" w14:textId="77777777" w:rsidR="009702B0" w:rsidRPr="009702B0"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months</w:t>
            </w:r>
          </w:p>
        </w:tc>
        <w:tc>
          <w:tcPr>
            <w:tcW w:w="1116" w:type="dxa"/>
          </w:tcPr>
          <w:p w14:paraId="3390C7F6" w14:textId="77777777" w:rsidR="009702B0" w:rsidRPr="009702B0"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 xml:space="preserve">1 - 3 </w:t>
            </w:r>
          </w:p>
          <w:p w14:paraId="5453F458" w14:textId="77777777" w:rsidR="009702B0" w:rsidRPr="009702B0"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years</w:t>
            </w:r>
          </w:p>
        </w:tc>
        <w:tc>
          <w:tcPr>
            <w:tcW w:w="1116" w:type="dxa"/>
          </w:tcPr>
          <w:p w14:paraId="33D1B4DA" w14:textId="77777777" w:rsidR="009702B0" w:rsidRPr="009702B0" w:rsidRDefault="009702B0" w:rsidP="009702B0">
            <w:pPr>
              <w:tabs>
                <w:tab w:val="right" w:pos="1263"/>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Over 3 years</w:t>
            </w:r>
          </w:p>
        </w:tc>
        <w:tc>
          <w:tcPr>
            <w:tcW w:w="1116" w:type="dxa"/>
          </w:tcPr>
          <w:p w14:paraId="0F13E3B8" w14:textId="77777777" w:rsidR="009702B0" w:rsidRPr="009702B0"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Total</w:t>
            </w:r>
          </w:p>
        </w:tc>
      </w:tr>
      <w:tr w:rsidR="009702B0" w:rsidRPr="009702B0" w14:paraId="3664A030" w14:textId="77777777" w:rsidTr="009702B0">
        <w:trPr>
          <w:trHeight w:val="247"/>
          <w:jc w:val="center"/>
        </w:trPr>
        <w:tc>
          <w:tcPr>
            <w:tcW w:w="2233" w:type="dxa"/>
          </w:tcPr>
          <w:p w14:paraId="54B1CBB4" w14:textId="77777777" w:rsidR="009702B0" w:rsidRPr="009702B0" w:rsidRDefault="009702B0" w:rsidP="009702B0">
            <w:pPr>
              <w:tabs>
                <w:tab w:val="right" w:pos="1202"/>
              </w:tabs>
              <w:spacing w:after="0" w:line="301" w:lineRule="exact"/>
              <w:outlineLvl w:val="0"/>
              <w:rPr>
                <w:rFonts w:asciiTheme="minorHAnsi" w:eastAsia="Times New Roman" w:hAnsiTheme="minorHAnsi" w:cs="Arial"/>
                <w:b/>
                <w:bCs/>
                <w:sz w:val="18"/>
                <w:szCs w:val="18"/>
              </w:rPr>
            </w:pPr>
            <w:r w:rsidRPr="009702B0">
              <w:rPr>
                <w:rFonts w:asciiTheme="minorHAnsi" w:eastAsia="Times New Roman" w:hAnsiTheme="minorHAnsi" w:cs="Arial"/>
                <w:b/>
                <w:bCs/>
                <w:sz w:val="18"/>
                <w:szCs w:val="18"/>
              </w:rPr>
              <w:t>Financial liabilities</w:t>
            </w:r>
          </w:p>
        </w:tc>
        <w:tc>
          <w:tcPr>
            <w:tcW w:w="1116" w:type="dxa"/>
            <w:vAlign w:val="bottom"/>
          </w:tcPr>
          <w:p w14:paraId="43E09261" w14:textId="77777777" w:rsidR="009702B0" w:rsidRPr="009702B0"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16" w:type="dxa"/>
            <w:vAlign w:val="bottom"/>
          </w:tcPr>
          <w:p w14:paraId="195C72D9" w14:textId="77777777" w:rsidR="009702B0" w:rsidRPr="009702B0"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16" w:type="dxa"/>
            <w:vAlign w:val="bottom"/>
          </w:tcPr>
          <w:p w14:paraId="0AAEBFFC" w14:textId="77777777" w:rsidR="009702B0" w:rsidRPr="009702B0"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16" w:type="dxa"/>
            <w:vAlign w:val="bottom"/>
          </w:tcPr>
          <w:p w14:paraId="6D07CF28" w14:textId="77777777" w:rsidR="009702B0" w:rsidRPr="009702B0"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16" w:type="dxa"/>
            <w:vAlign w:val="bottom"/>
          </w:tcPr>
          <w:p w14:paraId="5FA31C9A" w14:textId="77777777" w:rsidR="009702B0" w:rsidRPr="009702B0" w:rsidRDefault="009702B0" w:rsidP="009702B0">
            <w:pPr>
              <w:tabs>
                <w:tab w:val="right" w:pos="1263"/>
              </w:tabs>
              <w:spacing w:after="0" w:line="301" w:lineRule="exact"/>
              <w:jc w:val="right"/>
              <w:outlineLvl w:val="0"/>
              <w:rPr>
                <w:rFonts w:asciiTheme="minorHAnsi" w:eastAsia="Times New Roman" w:hAnsiTheme="minorHAnsi" w:cs="Arial"/>
                <w:b/>
                <w:bCs/>
                <w:spacing w:val="-2"/>
                <w:sz w:val="18"/>
                <w:szCs w:val="18"/>
              </w:rPr>
            </w:pPr>
          </w:p>
        </w:tc>
        <w:tc>
          <w:tcPr>
            <w:tcW w:w="1116" w:type="dxa"/>
            <w:vAlign w:val="bottom"/>
          </w:tcPr>
          <w:p w14:paraId="0F8D2F84" w14:textId="77777777" w:rsidR="009702B0" w:rsidRPr="009702B0" w:rsidRDefault="009702B0" w:rsidP="009702B0">
            <w:pPr>
              <w:spacing w:after="0" w:line="301" w:lineRule="exact"/>
              <w:jc w:val="right"/>
              <w:outlineLvl w:val="0"/>
              <w:rPr>
                <w:rFonts w:asciiTheme="minorHAnsi" w:eastAsia="Times New Roman" w:hAnsiTheme="minorHAnsi" w:cs="Arial"/>
                <w:b/>
                <w:bCs/>
                <w:sz w:val="18"/>
                <w:szCs w:val="18"/>
              </w:rPr>
            </w:pPr>
          </w:p>
        </w:tc>
      </w:tr>
      <w:tr w:rsidR="005F1566" w:rsidRPr="009702B0" w14:paraId="4DFA4F94" w14:textId="77777777" w:rsidTr="005F1566">
        <w:trPr>
          <w:trHeight w:val="138"/>
          <w:jc w:val="center"/>
        </w:trPr>
        <w:tc>
          <w:tcPr>
            <w:tcW w:w="2233" w:type="dxa"/>
          </w:tcPr>
          <w:p w14:paraId="4D6224FB" w14:textId="77777777" w:rsidR="005F1566" w:rsidRPr="009702B0" w:rsidRDefault="005F1566" w:rsidP="005F1566">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9702B0">
              <w:rPr>
                <w:rFonts w:asciiTheme="minorHAnsi" w:eastAsia="Times New Roman" w:hAnsiTheme="minorHAnsi" w:cs="Arial"/>
                <w:sz w:val="18"/>
                <w:szCs w:val="18"/>
              </w:rPr>
              <w:t>Deposits</w:t>
            </w:r>
          </w:p>
        </w:tc>
        <w:tc>
          <w:tcPr>
            <w:tcW w:w="1116" w:type="dxa"/>
            <w:tcBorders>
              <w:top w:val="nil"/>
              <w:left w:val="nil"/>
              <w:bottom w:val="nil"/>
              <w:right w:val="nil"/>
            </w:tcBorders>
            <w:shd w:val="clear" w:color="auto" w:fill="auto"/>
            <w:vAlign w:val="bottom"/>
          </w:tcPr>
          <w:p w14:paraId="49319F54"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sz w:val="18"/>
                <w:szCs w:val="18"/>
              </w:rPr>
              <w:t>75,581</w:t>
            </w:r>
          </w:p>
        </w:tc>
        <w:tc>
          <w:tcPr>
            <w:tcW w:w="1116" w:type="dxa"/>
            <w:tcBorders>
              <w:top w:val="nil"/>
              <w:left w:val="nil"/>
              <w:bottom w:val="nil"/>
              <w:right w:val="nil"/>
            </w:tcBorders>
            <w:shd w:val="clear" w:color="auto" w:fill="auto"/>
            <w:vAlign w:val="bottom"/>
          </w:tcPr>
          <w:p w14:paraId="0FBA33CF"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sz w:val="18"/>
                <w:szCs w:val="18"/>
              </w:rPr>
              <w:t>-</w:t>
            </w:r>
          </w:p>
        </w:tc>
        <w:tc>
          <w:tcPr>
            <w:tcW w:w="1116" w:type="dxa"/>
            <w:tcBorders>
              <w:top w:val="nil"/>
              <w:left w:val="nil"/>
              <w:bottom w:val="nil"/>
              <w:right w:val="nil"/>
            </w:tcBorders>
            <w:shd w:val="clear" w:color="auto" w:fill="auto"/>
            <w:vAlign w:val="bottom"/>
          </w:tcPr>
          <w:p w14:paraId="75623AF4"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sz w:val="18"/>
                <w:szCs w:val="18"/>
              </w:rPr>
              <w:t>12,687</w:t>
            </w:r>
          </w:p>
        </w:tc>
        <w:tc>
          <w:tcPr>
            <w:tcW w:w="1116" w:type="dxa"/>
            <w:tcBorders>
              <w:top w:val="nil"/>
              <w:left w:val="nil"/>
              <w:bottom w:val="nil"/>
              <w:right w:val="nil"/>
            </w:tcBorders>
            <w:shd w:val="clear" w:color="auto" w:fill="auto"/>
            <w:vAlign w:val="bottom"/>
          </w:tcPr>
          <w:p w14:paraId="547C89AB"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sz w:val="18"/>
                <w:szCs w:val="18"/>
              </w:rPr>
              <w:t>46,407</w:t>
            </w:r>
          </w:p>
        </w:tc>
        <w:tc>
          <w:tcPr>
            <w:tcW w:w="1116" w:type="dxa"/>
            <w:tcBorders>
              <w:top w:val="nil"/>
              <w:left w:val="nil"/>
              <w:bottom w:val="nil"/>
              <w:right w:val="nil"/>
            </w:tcBorders>
            <w:shd w:val="clear" w:color="auto" w:fill="auto"/>
            <w:vAlign w:val="bottom"/>
          </w:tcPr>
          <w:p w14:paraId="48BA35AB"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sz w:val="18"/>
                <w:szCs w:val="18"/>
              </w:rPr>
              <w:t>8,169</w:t>
            </w:r>
          </w:p>
        </w:tc>
        <w:tc>
          <w:tcPr>
            <w:tcW w:w="1116" w:type="dxa"/>
            <w:tcBorders>
              <w:top w:val="nil"/>
              <w:left w:val="nil"/>
              <w:bottom w:val="nil"/>
              <w:right w:val="nil"/>
            </w:tcBorders>
            <w:shd w:val="clear" w:color="auto" w:fill="auto"/>
            <w:vAlign w:val="bottom"/>
          </w:tcPr>
          <w:p w14:paraId="2AA9C514"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bCs/>
                <w:sz w:val="18"/>
                <w:szCs w:val="18"/>
              </w:rPr>
              <w:t>142,844</w:t>
            </w:r>
          </w:p>
        </w:tc>
      </w:tr>
      <w:tr w:rsidR="005F1566" w:rsidRPr="009702B0" w14:paraId="39FB82F9" w14:textId="77777777" w:rsidTr="005F1566">
        <w:trPr>
          <w:trHeight w:val="138"/>
          <w:jc w:val="center"/>
        </w:trPr>
        <w:tc>
          <w:tcPr>
            <w:tcW w:w="2233" w:type="dxa"/>
          </w:tcPr>
          <w:p w14:paraId="16CBCD44" w14:textId="77777777" w:rsidR="005F1566" w:rsidRPr="009702B0" w:rsidRDefault="005F1566" w:rsidP="005F1566">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9702B0">
              <w:rPr>
                <w:rFonts w:asciiTheme="minorHAnsi" w:eastAsia="Times New Roman" w:hAnsiTheme="minorHAnsi" w:cs="Arial"/>
                <w:sz w:val="18"/>
                <w:szCs w:val="18"/>
              </w:rPr>
              <w:t>Borrowings</w:t>
            </w:r>
          </w:p>
        </w:tc>
        <w:tc>
          <w:tcPr>
            <w:tcW w:w="1116" w:type="dxa"/>
            <w:tcBorders>
              <w:top w:val="nil"/>
              <w:left w:val="nil"/>
              <w:bottom w:val="nil"/>
              <w:right w:val="nil"/>
            </w:tcBorders>
            <w:shd w:val="clear" w:color="auto" w:fill="auto"/>
            <w:vAlign w:val="bottom"/>
          </w:tcPr>
          <w:p w14:paraId="238E5DC8"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sz w:val="18"/>
                <w:szCs w:val="18"/>
              </w:rPr>
              <w:t>382,184</w:t>
            </w:r>
          </w:p>
        </w:tc>
        <w:tc>
          <w:tcPr>
            <w:tcW w:w="1116" w:type="dxa"/>
            <w:tcBorders>
              <w:top w:val="nil"/>
              <w:left w:val="nil"/>
              <w:bottom w:val="nil"/>
              <w:right w:val="nil"/>
            </w:tcBorders>
            <w:shd w:val="clear" w:color="auto" w:fill="auto"/>
            <w:vAlign w:val="bottom"/>
          </w:tcPr>
          <w:p w14:paraId="27B07E5A"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sz w:val="18"/>
                <w:szCs w:val="18"/>
              </w:rPr>
              <w:t>208,630</w:t>
            </w:r>
          </w:p>
        </w:tc>
        <w:tc>
          <w:tcPr>
            <w:tcW w:w="1116" w:type="dxa"/>
            <w:tcBorders>
              <w:top w:val="nil"/>
              <w:left w:val="nil"/>
              <w:bottom w:val="nil"/>
              <w:right w:val="nil"/>
            </w:tcBorders>
            <w:shd w:val="clear" w:color="auto" w:fill="auto"/>
            <w:vAlign w:val="bottom"/>
          </w:tcPr>
          <w:p w14:paraId="38EBFB1E"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sz w:val="18"/>
                <w:szCs w:val="18"/>
              </w:rPr>
              <w:t>1,261,178</w:t>
            </w:r>
          </w:p>
        </w:tc>
        <w:tc>
          <w:tcPr>
            <w:tcW w:w="1116" w:type="dxa"/>
            <w:tcBorders>
              <w:top w:val="nil"/>
              <w:left w:val="nil"/>
              <w:bottom w:val="nil"/>
              <w:right w:val="nil"/>
            </w:tcBorders>
            <w:shd w:val="clear" w:color="auto" w:fill="auto"/>
            <w:vAlign w:val="bottom"/>
          </w:tcPr>
          <w:p w14:paraId="500D7F1F"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sz w:val="18"/>
                <w:szCs w:val="18"/>
              </w:rPr>
              <w:t>3,598,035</w:t>
            </w:r>
          </w:p>
        </w:tc>
        <w:tc>
          <w:tcPr>
            <w:tcW w:w="1116" w:type="dxa"/>
            <w:tcBorders>
              <w:top w:val="nil"/>
              <w:left w:val="nil"/>
              <w:bottom w:val="nil"/>
              <w:right w:val="nil"/>
            </w:tcBorders>
            <w:shd w:val="clear" w:color="auto" w:fill="auto"/>
            <w:vAlign w:val="bottom"/>
          </w:tcPr>
          <w:p w14:paraId="30D29E35"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sz w:val="18"/>
                <w:szCs w:val="18"/>
              </w:rPr>
              <w:t>9,694,025</w:t>
            </w:r>
          </w:p>
        </w:tc>
        <w:tc>
          <w:tcPr>
            <w:tcW w:w="1116" w:type="dxa"/>
            <w:tcBorders>
              <w:top w:val="nil"/>
              <w:left w:val="nil"/>
              <w:bottom w:val="nil"/>
              <w:right w:val="nil"/>
            </w:tcBorders>
            <w:shd w:val="clear" w:color="auto" w:fill="auto"/>
            <w:vAlign w:val="bottom"/>
          </w:tcPr>
          <w:p w14:paraId="1B0C17D8"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bCs/>
                <w:sz w:val="18"/>
                <w:szCs w:val="18"/>
              </w:rPr>
              <w:t>15,144,052</w:t>
            </w:r>
          </w:p>
        </w:tc>
      </w:tr>
      <w:tr w:rsidR="005F1566" w:rsidRPr="009702B0" w14:paraId="6CFFAC6C" w14:textId="77777777" w:rsidTr="005F1566">
        <w:trPr>
          <w:trHeight w:val="138"/>
          <w:jc w:val="center"/>
        </w:trPr>
        <w:tc>
          <w:tcPr>
            <w:tcW w:w="2233" w:type="dxa"/>
          </w:tcPr>
          <w:p w14:paraId="00DC6B91" w14:textId="77777777" w:rsidR="005F1566" w:rsidRPr="009702B0" w:rsidRDefault="005F1566" w:rsidP="005F1566">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9702B0">
              <w:rPr>
                <w:rFonts w:asciiTheme="minorHAnsi" w:eastAsia="Times New Roman" w:hAnsiTheme="minorHAnsi" w:cs="Arial"/>
                <w:sz w:val="18"/>
                <w:szCs w:val="18"/>
              </w:rPr>
              <w:t>Bonds payable</w:t>
            </w:r>
          </w:p>
        </w:tc>
        <w:tc>
          <w:tcPr>
            <w:tcW w:w="1116" w:type="dxa"/>
            <w:tcBorders>
              <w:top w:val="nil"/>
              <w:left w:val="nil"/>
              <w:right w:val="nil"/>
            </w:tcBorders>
            <w:shd w:val="clear" w:color="auto" w:fill="auto"/>
            <w:vAlign w:val="bottom"/>
          </w:tcPr>
          <w:p w14:paraId="23175CBD"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lang w:val="pl-PL"/>
              </w:rPr>
            </w:pPr>
            <w:r w:rsidRPr="005F1566">
              <w:rPr>
                <w:rFonts w:asciiTheme="minorHAnsi" w:hAnsiTheme="minorHAnsi" w:cs="Arial"/>
                <w:sz w:val="18"/>
                <w:szCs w:val="18"/>
              </w:rPr>
              <w:t>-</w:t>
            </w:r>
          </w:p>
        </w:tc>
        <w:tc>
          <w:tcPr>
            <w:tcW w:w="1116" w:type="dxa"/>
            <w:tcBorders>
              <w:top w:val="nil"/>
              <w:left w:val="nil"/>
              <w:right w:val="nil"/>
            </w:tcBorders>
            <w:shd w:val="clear" w:color="auto" w:fill="auto"/>
            <w:vAlign w:val="bottom"/>
          </w:tcPr>
          <w:p w14:paraId="524D87F1"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lang w:val="pl-PL"/>
              </w:rPr>
            </w:pPr>
            <w:r w:rsidRPr="005F1566">
              <w:rPr>
                <w:rFonts w:asciiTheme="minorHAnsi" w:hAnsiTheme="minorHAnsi" w:cs="Arial"/>
                <w:sz w:val="18"/>
                <w:szCs w:val="18"/>
              </w:rPr>
              <w:t>-</w:t>
            </w:r>
          </w:p>
        </w:tc>
        <w:tc>
          <w:tcPr>
            <w:tcW w:w="1116" w:type="dxa"/>
            <w:tcBorders>
              <w:top w:val="nil"/>
              <w:left w:val="nil"/>
              <w:right w:val="nil"/>
            </w:tcBorders>
            <w:shd w:val="clear" w:color="auto" w:fill="auto"/>
            <w:vAlign w:val="bottom"/>
          </w:tcPr>
          <w:p w14:paraId="03650042"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lang w:val="pl-PL"/>
              </w:rPr>
            </w:pPr>
            <w:r w:rsidRPr="005F1566">
              <w:rPr>
                <w:rFonts w:asciiTheme="minorHAnsi" w:hAnsiTheme="minorHAnsi" w:cs="Arial"/>
                <w:sz w:val="18"/>
                <w:szCs w:val="18"/>
              </w:rPr>
              <w:t>2,051,330</w:t>
            </w:r>
          </w:p>
        </w:tc>
        <w:tc>
          <w:tcPr>
            <w:tcW w:w="1116" w:type="dxa"/>
            <w:tcBorders>
              <w:top w:val="nil"/>
              <w:left w:val="nil"/>
              <w:right w:val="nil"/>
            </w:tcBorders>
            <w:shd w:val="clear" w:color="auto" w:fill="auto"/>
            <w:vAlign w:val="bottom"/>
          </w:tcPr>
          <w:p w14:paraId="54C79BB9"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lang w:val="pl-PL"/>
              </w:rPr>
            </w:pPr>
            <w:r w:rsidRPr="005F1566">
              <w:rPr>
                <w:rFonts w:asciiTheme="minorHAnsi" w:hAnsiTheme="minorHAnsi" w:cs="Arial"/>
                <w:sz w:val="18"/>
                <w:szCs w:val="18"/>
              </w:rPr>
              <w:t>136,040</w:t>
            </w:r>
          </w:p>
        </w:tc>
        <w:tc>
          <w:tcPr>
            <w:tcW w:w="1116" w:type="dxa"/>
            <w:tcBorders>
              <w:top w:val="nil"/>
              <w:left w:val="nil"/>
              <w:right w:val="nil"/>
            </w:tcBorders>
            <w:shd w:val="clear" w:color="auto" w:fill="auto"/>
            <w:vAlign w:val="bottom"/>
          </w:tcPr>
          <w:p w14:paraId="08ADE772"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lang w:val="pl-PL"/>
              </w:rPr>
            </w:pPr>
            <w:r w:rsidRPr="005F1566">
              <w:rPr>
                <w:rFonts w:asciiTheme="minorHAnsi" w:hAnsiTheme="minorHAnsi" w:cs="Arial"/>
                <w:sz w:val="18"/>
                <w:szCs w:val="18"/>
              </w:rPr>
              <w:t>1,188,820</w:t>
            </w:r>
          </w:p>
        </w:tc>
        <w:tc>
          <w:tcPr>
            <w:tcW w:w="1116" w:type="dxa"/>
            <w:tcBorders>
              <w:top w:val="nil"/>
              <w:left w:val="nil"/>
              <w:right w:val="nil"/>
            </w:tcBorders>
            <w:shd w:val="clear" w:color="auto" w:fill="auto"/>
            <w:vAlign w:val="bottom"/>
          </w:tcPr>
          <w:p w14:paraId="1294AEB9" w14:textId="77777777"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lang w:val="pl-PL"/>
              </w:rPr>
            </w:pPr>
            <w:r w:rsidRPr="005F1566">
              <w:rPr>
                <w:rFonts w:asciiTheme="minorHAnsi" w:hAnsiTheme="minorHAnsi" w:cs="Arial"/>
                <w:bCs/>
                <w:sz w:val="18"/>
                <w:szCs w:val="18"/>
              </w:rPr>
              <w:t>3,376,190</w:t>
            </w:r>
          </w:p>
        </w:tc>
      </w:tr>
      <w:tr w:rsidR="005F1566" w:rsidRPr="009702B0" w14:paraId="58591CF0" w14:textId="77777777" w:rsidTr="005F1566">
        <w:trPr>
          <w:trHeight w:val="138"/>
          <w:jc w:val="center"/>
        </w:trPr>
        <w:tc>
          <w:tcPr>
            <w:tcW w:w="2233" w:type="dxa"/>
          </w:tcPr>
          <w:p w14:paraId="2786946F" w14:textId="77777777" w:rsidR="005F1566" w:rsidRPr="009702B0" w:rsidRDefault="005F1566" w:rsidP="005F1566">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9702B0">
              <w:rPr>
                <w:rFonts w:asciiTheme="minorHAnsi" w:eastAsia="Times New Roman" w:hAnsiTheme="minorHAnsi" w:cs="Arial"/>
                <w:sz w:val="18"/>
                <w:szCs w:val="18"/>
              </w:rPr>
              <w:t>Other liabilities</w:t>
            </w:r>
          </w:p>
        </w:tc>
        <w:tc>
          <w:tcPr>
            <w:tcW w:w="1116" w:type="dxa"/>
            <w:tcBorders>
              <w:top w:val="nil"/>
              <w:left w:val="nil"/>
              <w:bottom w:val="nil"/>
              <w:right w:val="nil"/>
            </w:tcBorders>
            <w:shd w:val="clear" w:color="auto" w:fill="auto"/>
            <w:vAlign w:val="bottom"/>
          </w:tcPr>
          <w:p w14:paraId="70F9410F" w14:textId="77777777" w:rsidR="005F1566" w:rsidRPr="005F1566" w:rsidRDefault="005F1566" w:rsidP="005F1566">
            <w:pPr>
              <w:tabs>
                <w:tab w:val="right" w:pos="1202"/>
                <w:tab w:val="center" w:pos="4153"/>
                <w:tab w:val="right" w:pos="8306"/>
              </w:tabs>
              <w:spacing w:after="0" w:line="240" w:lineRule="auto"/>
              <w:jc w:val="right"/>
              <w:outlineLvl w:val="0"/>
              <w:rPr>
                <w:rFonts w:asciiTheme="minorHAnsi" w:hAnsiTheme="minorHAnsi" w:cs="Arial"/>
                <w:sz w:val="18"/>
                <w:szCs w:val="18"/>
              </w:rPr>
            </w:pPr>
            <w:r w:rsidRPr="005F1566">
              <w:rPr>
                <w:rFonts w:asciiTheme="minorHAnsi" w:hAnsiTheme="minorHAnsi"/>
                <w:color w:val="000000"/>
                <w:sz w:val="18"/>
                <w:szCs w:val="18"/>
              </w:rPr>
              <w:t>150,555</w:t>
            </w:r>
          </w:p>
        </w:tc>
        <w:tc>
          <w:tcPr>
            <w:tcW w:w="1116" w:type="dxa"/>
            <w:tcBorders>
              <w:top w:val="nil"/>
              <w:left w:val="nil"/>
              <w:bottom w:val="nil"/>
              <w:right w:val="nil"/>
            </w:tcBorders>
            <w:shd w:val="clear" w:color="auto" w:fill="auto"/>
            <w:vAlign w:val="bottom"/>
          </w:tcPr>
          <w:p w14:paraId="2541DB61" w14:textId="77777777" w:rsidR="005F1566" w:rsidRPr="005F1566" w:rsidRDefault="005F1566" w:rsidP="005F1566">
            <w:pPr>
              <w:tabs>
                <w:tab w:val="right" w:pos="1202"/>
                <w:tab w:val="center" w:pos="4153"/>
                <w:tab w:val="right" w:pos="8306"/>
              </w:tabs>
              <w:spacing w:after="0" w:line="240" w:lineRule="auto"/>
              <w:jc w:val="right"/>
              <w:outlineLvl w:val="0"/>
              <w:rPr>
                <w:rFonts w:asciiTheme="minorHAnsi" w:hAnsiTheme="minorHAnsi" w:cs="Arial"/>
                <w:sz w:val="18"/>
                <w:szCs w:val="18"/>
              </w:rPr>
            </w:pPr>
            <w:r w:rsidRPr="005F1566">
              <w:rPr>
                <w:rFonts w:asciiTheme="minorHAnsi" w:hAnsiTheme="minorHAnsi"/>
                <w:color w:val="000000"/>
                <w:sz w:val="18"/>
                <w:szCs w:val="18"/>
              </w:rPr>
              <w:t>28,649</w:t>
            </w:r>
          </w:p>
        </w:tc>
        <w:tc>
          <w:tcPr>
            <w:tcW w:w="1116" w:type="dxa"/>
            <w:tcBorders>
              <w:top w:val="nil"/>
              <w:left w:val="nil"/>
              <w:bottom w:val="nil"/>
              <w:right w:val="nil"/>
            </w:tcBorders>
            <w:shd w:val="clear" w:color="auto" w:fill="auto"/>
            <w:vAlign w:val="bottom"/>
          </w:tcPr>
          <w:p w14:paraId="6A89E6B0" w14:textId="77777777" w:rsidR="005F1566" w:rsidRPr="005F1566" w:rsidRDefault="005F1566" w:rsidP="005F1566">
            <w:pPr>
              <w:tabs>
                <w:tab w:val="right" w:pos="1202"/>
                <w:tab w:val="center" w:pos="4153"/>
                <w:tab w:val="right" w:pos="8306"/>
              </w:tabs>
              <w:spacing w:after="0" w:line="240" w:lineRule="auto"/>
              <w:jc w:val="right"/>
              <w:outlineLvl w:val="0"/>
              <w:rPr>
                <w:rFonts w:asciiTheme="minorHAnsi" w:hAnsiTheme="minorHAnsi" w:cs="Arial"/>
                <w:sz w:val="18"/>
                <w:szCs w:val="18"/>
              </w:rPr>
            </w:pPr>
            <w:r w:rsidRPr="005F1566">
              <w:rPr>
                <w:rFonts w:asciiTheme="minorHAnsi" w:hAnsiTheme="minorHAnsi"/>
                <w:color w:val="000000"/>
                <w:sz w:val="18"/>
                <w:szCs w:val="18"/>
              </w:rPr>
              <w:t>100,528</w:t>
            </w:r>
          </w:p>
        </w:tc>
        <w:tc>
          <w:tcPr>
            <w:tcW w:w="1116" w:type="dxa"/>
            <w:tcBorders>
              <w:top w:val="nil"/>
              <w:left w:val="nil"/>
              <w:bottom w:val="nil"/>
              <w:right w:val="nil"/>
            </w:tcBorders>
            <w:shd w:val="clear" w:color="auto" w:fill="auto"/>
            <w:vAlign w:val="bottom"/>
          </w:tcPr>
          <w:p w14:paraId="4763CE98" w14:textId="77777777" w:rsidR="005F1566" w:rsidRPr="005F1566" w:rsidRDefault="005F1566" w:rsidP="005F1566">
            <w:pPr>
              <w:tabs>
                <w:tab w:val="right" w:pos="1202"/>
                <w:tab w:val="center" w:pos="4153"/>
                <w:tab w:val="right" w:pos="8306"/>
              </w:tabs>
              <w:spacing w:after="0" w:line="240" w:lineRule="auto"/>
              <w:jc w:val="right"/>
              <w:outlineLvl w:val="0"/>
              <w:rPr>
                <w:rFonts w:asciiTheme="minorHAnsi" w:hAnsiTheme="minorHAnsi" w:cs="Arial"/>
                <w:sz w:val="18"/>
                <w:szCs w:val="18"/>
              </w:rPr>
            </w:pPr>
            <w:r w:rsidRPr="005F1566">
              <w:rPr>
                <w:rFonts w:asciiTheme="minorHAnsi" w:hAnsiTheme="minorHAnsi"/>
                <w:color w:val="000000"/>
                <w:sz w:val="18"/>
                <w:szCs w:val="18"/>
              </w:rPr>
              <w:t>188,186</w:t>
            </w:r>
          </w:p>
        </w:tc>
        <w:tc>
          <w:tcPr>
            <w:tcW w:w="1116" w:type="dxa"/>
            <w:tcBorders>
              <w:top w:val="nil"/>
              <w:left w:val="nil"/>
              <w:bottom w:val="nil"/>
              <w:right w:val="nil"/>
            </w:tcBorders>
            <w:shd w:val="clear" w:color="auto" w:fill="auto"/>
            <w:vAlign w:val="bottom"/>
          </w:tcPr>
          <w:p w14:paraId="5AF98332" w14:textId="77777777" w:rsidR="005F1566" w:rsidRPr="005F1566" w:rsidRDefault="005F1566" w:rsidP="005F1566">
            <w:pPr>
              <w:tabs>
                <w:tab w:val="right" w:pos="1202"/>
                <w:tab w:val="center" w:pos="4153"/>
                <w:tab w:val="right" w:pos="8306"/>
              </w:tabs>
              <w:spacing w:after="0" w:line="240" w:lineRule="auto"/>
              <w:jc w:val="right"/>
              <w:outlineLvl w:val="0"/>
              <w:rPr>
                <w:rFonts w:asciiTheme="minorHAnsi" w:hAnsiTheme="minorHAnsi" w:cs="Arial"/>
                <w:sz w:val="18"/>
                <w:szCs w:val="18"/>
              </w:rPr>
            </w:pPr>
            <w:r w:rsidRPr="005F1566">
              <w:rPr>
                <w:rFonts w:asciiTheme="minorHAnsi" w:hAnsiTheme="minorHAnsi"/>
                <w:color w:val="000000"/>
                <w:sz w:val="18"/>
                <w:szCs w:val="18"/>
              </w:rPr>
              <w:t>228,856</w:t>
            </w:r>
          </w:p>
        </w:tc>
        <w:tc>
          <w:tcPr>
            <w:tcW w:w="1116" w:type="dxa"/>
            <w:tcBorders>
              <w:top w:val="nil"/>
              <w:left w:val="nil"/>
              <w:bottom w:val="nil"/>
              <w:right w:val="nil"/>
            </w:tcBorders>
            <w:shd w:val="clear" w:color="auto" w:fill="auto"/>
            <w:vAlign w:val="bottom"/>
          </w:tcPr>
          <w:p w14:paraId="312AF72C" w14:textId="77777777" w:rsidR="005F1566" w:rsidRPr="005F1566" w:rsidRDefault="005F1566" w:rsidP="005F1566">
            <w:pPr>
              <w:tabs>
                <w:tab w:val="right" w:pos="1202"/>
                <w:tab w:val="center" w:pos="4153"/>
                <w:tab w:val="right" w:pos="8306"/>
              </w:tabs>
              <w:spacing w:after="0" w:line="240" w:lineRule="auto"/>
              <w:jc w:val="right"/>
              <w:outlineLvl w:val="0"/>
              <w:rPr>
                <w:rFonts w:asciiTheme="minorHAnsi" w:hAnsiTheme="minorHAnsi" w:cs="Arial"/>
                <w:sz w:val="18"/>
                <w:szCs w:val="18"/>
              </w:rPr>
            </w:pPr>
            <w:r w:rsidRPr="005F1566">
              <w:rPr>
                <w:rFonts w:asciiTheme="minorHAnsi" w:hAnsiTheme="minorHAnsi"/>
                <w:bCs/>
                <w:color w:val="000000"/>
                <w:sz w:val="18"/>
                <w:szCs w:val="18"/>
              </w:rPr>
              <w:t>696,774</w:t>
            </w:r>
          </w:p>
        </w:tc>
      </w:tr>
      <w:tr w:rsidR="009702B0" w:rsidRPr="009702B0" w14:paraId="680B5CC7" w14:textId="77777777" w:rsidTr="005F1566">
        <w:trPr>
          <w:trHeight w:hRule="exact" w:val="113"/>
          <w:jc w:val="center"/>
        </w:trPr>
        <w:tc>
          <w:tcPr>
            <w:tcW w:w="2233" w:type="dxa"/>
          </w:tcPr>
          <w:p w14:paraId="6DB807BD" w14:textId="77777777" w:rsidR="009702B0" w:rsidRPr="009702B0" w:rsidRDefault="009702B0" w:rsidP="009702B0">
            <w:pPr>
              <w:tabs>
                <w:tab w:val="right" w:pos="1202"/>
                <w:tab w:val="center" w:pos="4153"/>
                <w:tab w:val="right" w:pos="8306"/>
              </w:tabs>
              <w:spacing w:after="0" w:line="120" w:lineRule="auto"/>
              <w:outlineLvl w:val="0"/>
              <w:rPr>
                <w:rFonts w:asciiTheme="minorHAnsi" w:eastAsia="Times New Roman" w:hAnsiTheme="minorHAnsi" w:cs="Arial"/>
                <w:sz w:val="18"/>
                <w:szCs w:val="18"/>
              </w:rPr>
            </w:pPr>
          </w:p>
        </w:tc>
        <w:tc>
          <w:tcPr>
            <w:tcW w:w="1116" w:type="dxa"/>
            <w:tcBorders>
              <w:bottom w:val="single" w:sz="6" w:space="0" w:color="auto"/>
            </w:tcBorders>
          </w:tcPr>
          <w:p w14:paraId="480DD4B9"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16" w:type="dxa"/>
            <w:tcBorders>
              <w:bottom w:val="single" w:sz="6" w:space="0" w:color="auto"/>
            </w:tcBorders>
          </w:tcPr>
          <w:p w14:paraId="55A688CF"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16" w:type="dxa"/>
            <w:tcBorders>
              <w:bottom w:val="single" w:sz="6" w:space="0" w:color="auto"/>
            </w:tcBorders>
          </w:tcPr>
          <w:p w14:paraId="70DB519A"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16" w:type="dxa"/>
            <w:tcBorders>
              <w:bottom w:val="single" w:sz="6" w:space="0" w:color="auto"/>
            </w:tcBorders>
          </w:tcPr>
          <w:p w14:paraId="28D66A12"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16" w:type="dxa"/>
            <w:tcBorders>
              <w:bottom w:val="single" w:sz="6" w:space="0" w:color="auto"/>
            </w:tcBorders>
          </w:tcPr>
          <w:p w14:paraId="44B00862"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16" w:type="dxa"/>
            <w:tcBorders>
              <w:bottom w:val="single" w:sz="6" w:space="0" w:color="auto"/>
            </w:tcBorders>
          </w:tcPr>
          <w:p w14:paraId="303E7B42"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r>
      <w:tr w:rsidR="009702B0" w:rsidRPr="009702B0" w14:paraId="470B7321" w14:textId="77777777" w:rsidTr="005F1566">
        <w:trPr>
          <w:trHeight w:hRule="exact" w:val="113"/>
          <w:jc w:val="center"/>
        </w:trPr>
        <w:tc>
          <w:tcPr>
            <w:tcW w:w="2233" w:type="dxa"/>
          </w:tcPr>
          <w:p w14:paraId="16F33B47" w14:textId="77777777" w:rsidR="009702B0" w:rsidRPr="009702B0" w:rsidRDefault="009702B0" w:rsidP="009702B0">
            <w:pPr>
              <w:tabs>
                <w:tab w:val="right" w:pos="1202"/>
                <w:tab w:val="center" w:pos="4153"/>
                <w:tab w:val="right" w:pos="8306"/>
              </w:tabs>
              <w:spacing w:after="0" w:line="120" w:lineRule="auto"/>
              <w:outlineLvl w:val="0"/>
              <w:rPr>
                <w:rFonts w:asciiTheme="minorHAnsi" w:eastAsia="Times New Roman" w:hAnsiTheme="minorHAnsi" w:cs="Arial"/>
                <w:sz w:val="18"/>
                <w:szCs w:val="18"/>
              </w:rPr>
            </w:pPr>
          </w:p>
        </w:tc>
        <w:tc>
          <w:tcPr>
            <w:tcW w:w="1116" w:type="dxa"/>
            <w:tcBorders>
              <w:top w:val="single" w:sz="6" w:space="0" w:color="auto"/>
            </w:tcBorders>
            <w:vAlign w:val="bottom"/>
          </w:tcPr>
          <w:p w14:paraId="0C35C560"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16" w:type="dxa"/>
            <w:tcBorders>
              <w:top w:val="single" w:sz="6" w:space="0" w:color="auto"/>
            </w:tcBorders>
            <w:vAlign w:val="bottom"/>
          </w:tcPr>
          <w:p w14:paraId="05E1984B"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16" w:type="dxa"/>
            <w:tcBorders>
              <w:top w:val="single" w:sz="6" w:space="0" w:color="auto"/>
            </w:tcBorders>
            <w:vAlign w:val="bottom"/>
          </w:tcPr>
          <w:p w14:paraId="3A9C335D"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16" w:type="dxa"/>
            <w:tcBorders>
              <w:top w:val="single" w:sz="6" w:space="0" w:color="auto"/>
            </w:tcBorders>
            <w:vAlign w:val="bottom"/>
          </w:tcPr>
          <w:p w14:paraId="156B4084"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16" w:type="dxa"/>
            <w:tcBorders>
              <w:top w:val="single" w:sz="6" w:space="0" w:color="auto"/>
            </w:tcBorders>
            <w:vAlign w:val="bottom"/>
          </w:tcPr>
          <w:p w14:paraId="4E96D79A"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16" w:type="dxa"/>
            <w:tcBorders>
              <w:top w:val="single" w:sz="6" w:space="0" w:color="auto"/>
            </w:tcBorders>
            <w:vAlign w:val="bottom"/>
          </w:tcPr>
          <w:p w14:paraId="0BDA0C02" w14:textId="77777777"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r>
      <w:tr w:rsidR="005F1566" w:rsidRPr="009702B0" w14:paraId="2E669F78" w14:textId="77777777" w:rsidTr="00C65F17">
        <w:trPr>
          <w:trHeight w:val="333"/>
          <w:jc w:val="center"/>
        </w:trPr>
        <w:tc>
          <w:tcPr>
            <w:tcW w:w="2233" w:type="dxa"/>
            <w:vAlign w:val="bottom"/>
          </w:tcPr>
          <w:p w14:paraId="1D4CA0FE" w14:textId="77777777" w:rsidR="005F1566" w:rsidRPr="009702B0" w:rsidRDefault="005F1566" w:rsidP="005F1566">
            <w:pPr>
              <w:spacing w:after="0" w:line="240" w:lineRule="auto"/>
              <w:rPr>
                <w:rFonts w:asciiTheme="minorHAnsi" w:eastAsia="Times New Roman" w:hAnsiTheme="minorHAnsi" w:cs="Arial"/>
                <w:i/>
                <w:sz w:val="18"/>
                <w:szCs w:val="18"/>
              </w:rPr>
            </w:pPr>
            <w:r w:rsidRPr="009702B0">
              <w:rPr>
                <w:rFonts w:asciiTheme="minorHAnsi" w:eastAsia="Times New Roman" w:hAnsiTheme="minorHAnsi" w:cs="Arial"/>
                <w:b/>
                <w:sz w:val="18"/>
                <w:szCs w:val="18"/>
                <w:lang w:val="hr-HR"/>
              </w:rPr>
              <w:t>Total</w:t>
            </w:r>
          </w:p>
        </w:tc>
        <w:tc>
          <w:tcPr>
            <w:tcW w:w="1116" w:type="dxa"/>
            <w:tcBorders>
              <w:top w:val="nil"/>
              <w:left w:val="nil"/>
              <w:bottom w:val="single" w:sz="18" w:space="0" w:color="auto"/>
              <w:right w:val="nil"/>
            </w:tcBorders>
            <w:shd w:val="clear" w:color="auto" w:fill="auto"/>
            <w:vAlign w:val="bottom"/>
          </w:tcPr>
          <w:p w14:paraId="1FC8E83F" w14:textId="77777777" w:rsidR="005F1566" w:rsidRPr="005F1566" w:rsidRDefault="005F1566" w:rsidP="005F1566">
            <w:pPr>
              <w:tabs>
                <w:tab w:val="right" w:pos="1202"/>
              </w:tabs>
              <w:spacing w:after="0" w:line="240" w:lineRule="auto"/>
              <w:jc w:val="right"/>
              <w:outlineLvl w:val="0"/>
              <w:rPr>
                <w:rFonts w:asciiTheme="minorHAnsi" w:hAnsiTheme="minorHAnsi"/>
                <w:b/>
                <w:bCs/>
                <w:sz w:val="18"/>
                <w:szCs w:val="18"/>
              </w:rPr>
            </w:pPr>
            <w:r w:rsidRPr="005F1566">
              <w:rPr>
                <w:rFonts w:asciiTheme="minorHAnsi" w:hAnsiTheme="minorHAnsi" w:cs="Arial"/>
                <w:b/>
                <w:bCs/>
                <w:color w:val="000000"/>
                <w:sz w:val="18"/>
                <w:szCs w:val="18"/>
              </w:rPr>
              <w:t>608,320</w:t>
            </w:r>
          </w:p>
        </w:tc>
        <w:tc>
          <w:tcPr>
            <w:tcW w:w="1116" w:type="dxa"/>
            <w:tcBorders>
              <w:top w:val="nil"/>
              <w:left w:val="nil"/>
              <w:bottom w:val="single" w:sz="18" w:space="0" w:color="auto"/>
              <w:right w:val="nil"/>
            </w:tcBorders>
            <w:shd w:val="clear" w:color="auto" w:fill="auto"/>
            <w:vAlign w:val="bottom"/>
          </w:tcPr>
          <w:p w14:paraId="798286A9" w14:textId="77777777" w:rsidR="005F1566" w:rsidRPr="005F1566" w:rsidRDefault="005F1566" w:rsidP="005F1566">
            <w:pPr>
              <w:tabs>
                <w:tab w:val="right" w:pos="1202"/>
              </w:tabs>
              <w:spacing w:after="0" w:line="240" w:lineRule="auto"/>
              <w:jc w:val="right"/>
              <w:outlineLvl w:val="0"/>
              <w:rPr>
                <w:rFonts w:asciiTheme="minorHAnsi" w:hAnsiTheme="minorHAnsi"/>
                <w:b/>
                <w:bCs/>
                <w:sz w:val="18"/>
                <w:szCs w:val="18"/>
              </w:rPr>
            </w:pPr>
            <w:r w:rsidRPr="005F1566">
              <w:rPr>
                <w:rFonts w:asciiTheme="minorHAnsi" w:hAnsiTheme="minorHAnsi" w:cs="Arial"/>
                <w:b/>
                <w:bCs/>
                <w:color w:val="000000"/>
                <w:sz w:val="18"/>
                <w:szCs w:val="18"/>
              </w:rPr>
              <w:t>237,279</w:t>
            </w:r>
          </w:p>
        </w:tc>
        <w:tc>
          <w:tcPr>
            <w:tcW w:w="1116" w:type="dxa"/>
            <w:tcBorders>
              <w:top w:val="nil"/>
              <w:left w:val="nil"/>
              <w:bottom w:val="single" w:sz="18" w:space="0" w:color="auto"/>
              <w:right w:val="nil"/>
            </w:tcBorders>
            <w:shd w:val="clear" w:color="auto" w:fill="auto"/>
            <w:vAlign w:val="bottom"/>
          </w:tcPr>
          <w:p w14:paraId="1F74F011" w14:textId="77777777" w:rsidR="005F1566" w:rsidRPr="005F1566" w:rsidRDefault="005F1566" w:rsidP="005F1566">
            <w:pPr>
              <w:tabs>
                <w:tab w:val="right" w:pos="1202"/>
              </w:tabs>
              <w:spacing w:after="0" w:line="240" w:lineRule="auto"/>
              <w:jc w:val="right"/>
              <w:outlineLvl w:val="0"/>
              <w:rPr>
                <w:rFonts w:asciiTheme="minorHAnsi" w:hAnsiTheme="minorHAnsi"/>
                <w:b/>
                <w:bCs/>
                <w:sz w:val="18"/>
                <w:szCs w:val="18"/>
              </w:rPr>
            </w:pPr>
            <w:r w:rsidRPr="005F1566">
              <w:rPr>
                <w:rFonts w:asciiTheme="minorHAnsi" w:hAnsiTheme="minorHAnsi" w:cs="Arial"/>
                <w:b/>
                <w:bCs/>
                <w:color w:val="000000"/>
                <w:sz w:val="18"/>
                <w:szCs w:val="18"/>
              </w:rPr>
              <w:t>3,425,723</w:t>
            </w:r>
          </w:p>
        </w:tc>
        <w:tc>
          <w:tcPr>
            <w:tcW w:w="1116" w:type="dxa"/>
            <w:tcBorders>
              <w:top w:val="nil"/>
              <w:left w:val="nil"/>
              <w:bottom w:val="single" w:sz="18" w:space="0" w:color="auto"/>
              <w:right w:val="nil"/>
            </w:tcBorders>
            <w:shd w:val="clear" w:color="auto" w:fill="auto"/>
            <w:vAlign w:val="bottom"/>
          </w:tcPr>
          <w:p w14:paraId="642A7A97" w14:textId="77777777" w:rsidR="005F1566" w:rsidRPr="005F1566" w:rsidRDefault="005F1566" w:rsidP="005F1566">
            <w:pPr>
              <w:tabs>
                <w:tab w:val="right" w:pos="1202"/>
              </w:tabs>
              <w:spacing w:after="0" w:line="240" w:lineRule="auto"/>
              <w:jc w:val="right"/>
              <w:outlineLvl w:val="0"/>
              <w:rPr>
                <w:rFonts w:asciiTheme="minorHAnsi" w:hAnsiTheme="minorHAnsi"/>
                <w:b/>
                <w:bCs/>
                <w:sz w:val="18"/>
                <w:szCs w:val="18"/>
              </w:rPr>
            </w:pPr>
            <w:r w:rsidRPr="005F1566">
              <w:rPr>
                <w:rFonts w:asciiTheme="minorHAnsi" w:hAnsiTheme="minorHAnsi" w:cs="Arial"/>
                <w:b/>
                <w:bCs/>
                <w:color w:val="000000"/>
                <w:sz w:val="18"/>
                <w:szCs w:val="18"/>
              </w:rPr>
              <w:t>3,968,668</w:t>
            </w:r>
          </w:p>
        </w:tc>
        <w:tc>
          <w:tcPr>
            <w:tcW w:w="1116" w:type="dxa"/>
            <w:tcBorders>
              <w:top w:val="nil"/>
              <w:left w:val="nil"/>
              <w:bottom w:val="single" w:sz="18" w:space="0" w:color="auto"/>
              <w:right w:val="nil"/>
            </w:tcBorders>
            <w:shd w:val="clear" w:color="auto" w:fill="auto"/>
            <w:vAlign w:val="bottom"/>
          </w:tcPr>
          <w:p w14:paraId="4CADD875" w14:textId="77777777" w:rsidR="005F1566" w:rsidRPr="005F1566" w:rsidRDefault="005F1566" w:rsidP="005F1566">
            <w:pPr>
              <w:tabs>
                <w:tab w:val="right" w:pos="1202"/>
              </w:tabs>
              <w:spacing w:after="0" w:line="240" w:lineRule="auto"/>
              <w:jc w:val="right"/>
              <w:outlineLvl w:val="0"/>
              <w:rPr>
                <w:rFonts w:asciiTheme="minorHAnsi" w:hAnsiTheme="minorHAnsi"/>
                <w:b/>
                <w:bCs/>
                <w:sz w:val="18"/>
                <w:szCs w:val="18"/>
              </w:rPr>
            </w:pPr>
            <w:r w:rsidRPr="005F1566">
              <w:rPr>
                <w:rFonts w:asciiTheme="minorHAnsi" w:hAnsiTheme="minorHAnsi" w:cs="Arial"/>
                <w:b/>
                <w:bCs/>
                <w:color w:val="000000"/>
                <w:sz w:val="18"/>
                <w:szCs w:val="18"/>
              </w:rPr>
              <w:t>11,119,870</w:t>
            </w:r>
          </w:p>
        </w:tc>
        <w:tc>
          <w:tcPr>
            <w:tcW w:w="1116" w:type="dxa"/>
            <w:tcBorders>
              <w:top w:val="nil"/>
              <w:left w:val="nil"/>
              <w:bottom w:val="single" w:sz="18" w:space="0" w:color="auto"/>
              <w:right w:val="nil"/>
            </w:tcBorders>
            <w:shd w:val="clear" w:color="auto" w:fill="auto"/>
            <w:vAlign w:val="bottom"/>
          </w:tcPr>
          <w:p w14:paraId="4455E608" w14:textId="77777777" w:rsidR="005F1566" w:rsidRPr="005F1566" w:rsidRDefault="005F1566" w:rsidP="005F1566">
            <w:pPr>
              <w:tabs>
                <w:tab w:val="right" w:pos="1202"/>
              </w:tabs>
              <w:spacing w:after="0" w:line="240" w:lineRule="auto"/>
              <w:jc w:val="right"/>
              <w:outlineLvl w:val="0"/>
              <w:rPr>
                <w:rFonts w:asciiTheme="minorHAnsi" w:hAnsiTheme="minorHAnsi"/>
                <w:b/>
                <w:bCs/>
                <w:sz w:val="18"/>
                <w:szCs w:val="18"/>
              </w:rPr>
            </w:pPr>
            <w:r w:rsidRPr="005F1566">
              <w:rPr>
                <w:rFonts w:asciiTheme="minorHAnsi" w:hAnsiTheme="minorHAnsi" w:cs="Arial"/>
                <w:b/>
                <w:bCs/>
                <w:color w:val="000000"/>
                <w:sz w:val="18"/>
                <w:szCs w:val="18"/>
              </w:rPr>
              <w:t>19,359,860</w:t>
            </w:r>
          </w:p>
        </w:tc>
      </w:tr>
    </w:tbl>
    <w:p w14:paraId="32007AEA" w14:textId="77777777" w:rsidR="009702B0" w:rsidRPr="009702B0" w:rsidRDefault="009702B0" w:rsidP="009702B0"/>
    <w:p w14:paraId="57781EF3" w14:textId="77777777" w:rsidR="009702B0" w:rsidRPr="009702B0" w:rsidRDefault="00D70DA8" w:rsidP="005444AA">
      <w:pPr>
        <w:tabs>
          <w:tab w:val="left" w:pos="6968"/>
        </w:tabs>
      </w:pPr>
      <w:r>
        <w:tab/>
      </w:r>
    </w:p>
    <w:p w14:paraId="3648361B" w14:textId="77777777" w:rsidR="009702B0" w:rsidRPr="009702B0" w:rsidRDefault="00D70DA8" w:rsidP="005444AA">
      <w:pPr>
        <w:tabs>
          <w:tab w:val="left" w:pos="6968"/>
        </w:tabs>
        <w:sectPr w:rsidR="009702B0" w:rsidRPr="009702B0" w:rsidSect="00947CB7">
          <w:footerReference w:type="first" r:id="rId104"/>
          <w:pgSz w:w="11906" w:h="16838" w:code="9"/>
          <w:pgMar w:top="1418" w:right="1418" w:bottom="595" w:left="1134" w:header="709" w:footer="709" w:gutter="0"/>
          <w:cols w:space="708"/>
          <w:titlePg/>
          <w:docGrid w:linePitch="360"/>
        </w:sectPr>
      </w:pPr>
      <w:r>
        <w:tab/>
      </w:r>
    </w:p>
    <w:p w14:paraId="0B507DE2" w14:textId="77777777" w:rsidR="009702B0" w:rsidRPr="009702B0" w:rsidRDefault="009702B0" w:rsidP="009702B0">
      <w:pPr>
        <w:keepNext/>
        <w:tabs>
          <w:tab w:val="left" w:pos="709"/>
          <w:tab w:val="left" w:pos="851"/>
        </w:tabs>
        <w:spacing w:after="0" w:line="240" w:lineRule="auto"/>
        <w:jc w:val="both"/>
        <w:rPr>
          <w:rFonts w:eastAsia="Times New Roman" w:cs="Arial"/>
          <w:b/>
          <w:bCs/>
        </w:rPr>
      </w:pPr>
    </w:p>
    <w:p w14:paraId="29F9F2F0" w14:textId="77777777" w:rsidR="009702B0" w:rsidRPr="009702B0" w:rsidRDefault="009702B0" w:rsidP="009702B0">
      <w:pPr>
        <w:keepNext/>
        <w:tabs>
          <w:tab w:val="left" w:pos="709"/>
          <w:tab w:val="left" w:pos="851"/>
        </w:tabs>
        <w:spacing w:after="0" w:line="240" w:lineRule="auto"/>
        <w:jc w:val="both"/>
        <w:rPr>
          <w:rFonts w:eastAsia="Times New Roman" w:cs="Arial"/>
          <w:b/>
          <w:bCs/>
        </w:rPr>
      </w:pPr>
      <w:r w:rsidRPr="009702B0">
        <w:rPr>
          <w:rFonts w:eastAsia="Times New Roman" w:cs="Arial"/>
          <w:b/>
          <w:bCs/>
        </w:rPr>
        <w:t>16.        Risk management (continued)</w:t>
      </w:r>
    </w:p>
    <w:p w14:paraId="74E99EA0" w14:textId="77777777" w:rsidR="009702B0" w:rsidRPr="009702B0" w:rsidRDefault="009702B0" w:rsidP="009702B0">
      <w:pPr>
        <w:keepNext/>
        <w:spacing w:after="0" w:line="240" w:lineRule="auto"/>
        <w:jc w:val="both"/>
        <w:rPr>
          <w:rFonts w:eastAsia="Times New Roman" w:cs="Arial"/>
          <w:b/>
          <w:bCs/>
        </w:rPr>
      </w:pPr>
    </w:p>
    <w:p w14:paraId="41775E3B" w14:textId="77777777"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16.4.     Market risk</w:t>
      </w:r>
    </w:p>
    <w:p w14:paraId="1B66CBE3" w14:textId="77777777" w:rsidR="009702B0" w:rsidRPr="009702B0" w:rsidRDefault="009702B0" w:rsidP="009702B0">
      <w:pPr>
        <w:keepNext/>
        <w:spacing w:after="0" w:line="240" w:lineRule="auto"/>
        <w:jc w:val="both"/>
        <w:rPr>
          <w:rFonts w:eastAsia="Times New Roman" w:cs="Arial"/>
          <w:b/>
          <w:bCs/>
        </w:rPr>
      </w:pPr>
    </w:p>
    <w:p w14:paraId="51A87DC2" w14:textId="77777777" w:rsidR="009702B0" w:rsidRPr="009702B0" w:rsidRDefault="009702B0" w:rsidP="009702B0">
      <w:pPr>
        <w:keepNext/>
        <w:spacing w:after="0" w:line="240" w:lineRule="auto"/>
        <w:jc w:val="both"/>
        <w:rPr>
          <w:rFonts w:cs="Arial"/>
        </w:rPr>
      </w:pPr>
      <w:r w:rsidRPr="009702B0">
        <w:rPr>
          <w:rFonts w:cs="Arial"/>
        </w:rPr>
        <w:t xml:space="preserve">Management of market risks at the Bank implies the reduction of interest rate risk and the currency risk to a minimal level. </w:t>
      </w:r>
    </w:p>
    <w:p w14:paraId="47ED6174" w14:textId="77777777" w:rsidR="009702B0" w:rsidRPr="009702B0" w:rsidRDefault="009702B0" w:rsidP="009702B0">
      <w:pPr>
        <w:spacing w:after="0" w:line="240" w:lineRule="auto"/>
        <w:jc w:val="both"/>
        <w:rPr>
          <w:rFonts w:eastAsia="Times New Roman" w:cs="Calibri"/>
          <w:b/>
        </w:rPr>
      </w:pPr>
    </w:p>
    <w:p w14:paraId="78C08125" w14:textId="77777777" w:rsidR="009702B0" w:rsidRPr="009702B0" w:rsidRDefault="009702B0" w:rsidP="009702B0">
      <w:pPr>
        <w:tabs>
          <w:tab w:val="left" w:pos="567"/>
        </w:tabs>
        <w:spacing w:after="0" w:line="240" w:lineRule="auto"/>
        <w:jc w:val="both"/>
        <w:rPr>
          <w:rFonts w:eastAsia="Times New Roman" w:cs="Calibri"/>
          <w:b/>
        </w:rPr>
      </w:pPr>
      <w:r w:rsidRPr="009702B0">
        <w:rPr>
          <w:rFonts w:eastAsia="Times New Roman" w:cs="Calibri"/>
          <w:b/>
        </w:rPr>
        <w:t>16.4.1.    Interest rate risk in the Bank’s book</w:t>
      </w:r>
    </w:p>
    <w:p w14:paraId="0C2758C3" w14:textId="77777777" w:rsidR="009702B0" w:rsidRPr="009702B0" w:rsidRDefault="009702B0" w:rsidP="009702B0">
      <w:pPr>
        <w:spacing w:after="0" w:line="240" w:lineRule="auto"/>
        <w:jc w:val="both"/>
        <w:rPr>
          <w:rFonts w:eastAsia="Times New Roman" w:cs="Calibri"/>
          <w:b/>
        </w:rPr>
      </w:pPr>
    </w:p>
    <w:p w14:paraId="5C84EF1B" w14:textId="77777777" w:rsidR="009702B0" w:rsidRPr="009702B0" w:rsidRDefault="009702B0" w:rsidP="009702B0">
      <w:pPr>
        <w:spacing w:after="0" w:line="240" w:lineRule="auto"/>
        <w:jc w:val="both"/>
        <w:rPr>
          <w:rFonts w:eastAsia="Times New Roman" w:cs="Calibri"/>
          <w:lang w:eastAsia="hr-HR"/>
        </w:rPr>
      </w:pPr>
      <w:r w:rsidRPr="009702B0">
        <w:rPr>
          <w:rFonts w:eastAsia="Times New Roman" w:cs="Calibri"/>
          <w:lang w:eastAsia="hr-HR"/>
        </w:rPr>
        <w:t>The basic principles for managing the Bank’s interest rate risk are determined in the internal documents as well as in the decisions and conclusions made by the Manag</w:t>
      </w:r>
      <w:r w:rsidR="00D27A9D">
        <w:rPr>
          <w:rFonts w:eastAsia="Times New Roman" w:cs="Calibri"/>
          <w:lang w:eastAsia="hr-HR"/>
        </w:rPr>
        <w:t>ement</w:t>
      </w:r>
      <w:r w:rsidRPr="009702B0">
        <w:rPr>
          <w:rFonts w:eastAsia="Times New Roman" w:cs="Calibri"/>
          <w:lang w:eastAsia="hr-HR"/>
        </w:rPr>
        <w:t xml:space="preserve"> Board and the Asset and Liability Management Committee. For the purpose of measurement and monitoring of interest rate risk, the Bank carries out interest rate gap analysis. Interest rate gap is calculated for certain periods according to the possibilities of interest rate changes and presents the sensitivity of the Bank to the changes in interest rates. Interest rates are structured per currency, type and value, and projections of average weighted interest rates for Bank’s funds and placements are made. </w:t>
      </w:r>
      <w:r w:rsidR="004D0FB7" w:rsidRPr="004D0FB7">
        <w:rPr>
          <w:rFonts w:eastAsia="Times New Roman" w:cs="Calibri"/>
          <w:lang w:eastAsia="hr-HR"/>
        </w:rPr>
        <w:t>Depending on the results of calculations, i.e. on the previous reports, decisions are made on the types of interest rates for future borrowings and placements in order to reduce the gap to the lowest level possible</w:t>
      </w:r>
      <w:r w:rsidR="004D0FB7">
        <w:rPr>
          <w:rFonts w:eastAsia="Times New Roman" w:cs="Calibri"/>
          <w:lang w:eastAsia="hr-HR"/>
        </w:rPr>
        <w:t xml:space="preserve">. </w:t>
      </w:r>
      <w:r w:rsidRPr="009702B0">
        <w:rPr>
          <w:rFonts w:eastAsia="Times New Roman" w:cs="Calibri"/>
          <w:lang w:eastAsia="hr-HR"/>
        </w:rPr>
        <w:t>Furthermore, in addition to harmonising interest rates on sources and placements, current market conditions and movements in forecasted market indicators are also monitored.</w:t>
      </w:r>
    </w:p>
    <w:p w14:paraId="72D5B679" w14:textId="77777777" w:rsidR="009702B0" w:rsidRPr="009702B0" w:rsidRDefault="009702B0" w:rsidP="009702B0">
      <w:pPr>
        <w:spacing w:after="0" w:line="240" w:lineRule="auto"/>
        <w:jc w:val="both"/>
        <w:rPr>
          <w:rFonts w:eastAsia="Times New Roman" w:cs="Calibri"/>
          <w:lang w:eastAsia="hr-HR"/>
        </w:rPr>
      </w:pPr>
    </w:p>
    <w:p w14:paraId="0BC62DBB" w14:textId="77777777" w:rsidR="009702B0" w:rsidRPr="009702B0" w:rsidRDefault="009702B0" w:rsidP="009702B0">
      <w:pPr>
        <w:keepNext/>
        <w:spacing w:after="0" w:line="240" w:lineRule="auto"/>
        <w:ind w:left="709" w:hanging="709"/>
        <w:jc w:val="both"/>
        <w:rPr>
          <w:rFonts w:eastAsia="Times New Roman" w:cs="Arial"/>
          <w:b/>
          <w:bCs/>
        </w:rPr>
        <w:sectPr w:rsidR="009702B0" w:rsidRPr="009702B0" w:rsidSect="00947CB7">
          <w:footerReference w:type="first" r:id="rId105"/>
          <w:pgSz w:w="11906" w:h="16838" w:code="9"/>
          <w:pgMar w:top="1418" w:right="1418" w:bottom="595" w:left="1134" w:header="709" w:footer="709" w:gutter="0"/>
          <w:cols w:space="708"/>
          <w:titlePg/>
          <w:docGrid w:linePitch="360"/>
        </w:sectPr>
      </w:pPr>
    </w:p>
    <w:p w14:paraId="4CD51674" w14:textId="77777777" w:rsidR="009702B0" w:rsidRPr="009702B0" w:rsidRDefault="009702B0" w:rsidP="009702B0">
      <w:pPr>
        <w:keepNext/>
        <w:spacing w:after="0" w:line="240" w:lineRule="auto"/>
        <w:ind w:left="709" w:hanging="709"/>
        <w:jc w:val="both"/>
        <w:rPr>
          <w:rFonts w:eastAsia="Times New Roman" w:cs="Arial"/>
          <w:b/>
          <w:bCs/>
        </w:rPr>
      </w:pPr>
    </w:p>
    <w:p w14:paraId="25CB50D6"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14:paraId="03E8DC6A" w14:textId="77777777" w:rsidR="009702B0" w:rsidRPr="009702B0" w:rsidRDefault="009702B0" w:rsidP="009702B0">
      <w:pPr>
        <w:keepNext/>
        <w:spacing w:after="0" w:line="240" w:lineRule="auto"/>
        <w:ind w:left="709" w:hanging="709"/>
        <w:jc w:val="both"/>
        <w:rPr>
          <w:rFonts w:eastAsia="Times New Roman" w:cs="Arial"/>
          <w:b/>
          <w:bCs/>
        </w:rPr>
      </w:pPr>
    </w:p>
    <w:p w14:paraId="175C8A9A"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     Market risk (continued)</w:t>
      </w:r>
    </w:p>
    <w:p w14:paraId="543E0358" w14:textId="77777777" w:rsidR="009702B0" w:rsidRPr="009702B0" w:rsidRDefault="009702B0" w:rsidP="009702B0">
      <w:pPr>
        <w:keepNext/>
        <w:spacing w:after="0" w:line="240" w:lineRule="auto"/>
        <w:ind w:left="709" w:hanging="709"/>
        <w:jc w:val="both"/>
        <w:rPr>
          <w:rFonts w:eastAsia="Times New Roman" w:cs="Arial"/>
          <w:b/>
          <w:bCs/>
        </w:rPr>
      </w:pPr>
    </w:p>
    <w:p w14:paraId="6A133928"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16.4.1</w:t>
      </w:r>
      <w:proofErr w:type="gramStart"/>
      <w:r w:rsidRPr="009702B0">
        <w:rPr>
          <w:rFonts w:eastAsia="Times New Roman" w:cs="Arial"/>
          <w:b/>
          <w:bCs/>
        </w:rPr>
        <w:t>.  Interest</w:t>
      </w:r>
      <w:proofErr w:type="gramEnd"/>
      <w:r w:rsidRPr="009702B0">
        <w:rPr>
          <w:rFonts w:eastAsia="Times New Roman" w:cs="Arial"/>
          <w:b/>
          <w:bCs/>
        </w:rPr>
        <w:t xml:space="preserve"> rate risk in the Bank’s book (continued)</w:t>
      </w:r>
    </w:p>
    <w:p w14:paraId="7E84ACD6" w14:textId="77777777" w:rsidR="009702B0" w:rsidRPr="009702B0" w:rsidRDefault="009702B0" w:rsidP="009702B0">
      <w:pPr>
        <w:keepNext/>
        <w:spacing w:after="0" w:line="240" w:lineRule="auto"/>
        <w:ind w:left="709" w:hanging="709"/>
        <w:jc w:val="both"/>
        <w:rPr>
          <w:rFonts w:eastAsia="Times New Roman" w:cs="Arial"/>
          <w:b/>
          <w:bCs/>
        </w:rPr>
      </w:pPr>
    </w:p>
    <w:p w14:paraId="42E790DE" w14:textId="3E3FB6E9" w:rsidR="009702B0" w:rsidRPr="009702B0" w:rsidRDefault="009702B0" w:rsidP="009702B0">
      <w:pPr>
        <w:spacing w:after="0" w:line="240" w:lineRule="auto"/>
        <w:ind w:right="-6"/>
        <w:jc w:val="both"/>
        <w:rPr>
          <w:rFonts w:cs="Arial"/>
        </w:rPr>
      </w:pPr>
      <w:r w:rsidRPr="009702B0">
        <w:rPr>
          <w:rFonts w:cs="Arial"/>
          <w:iCs/>
        </w:rPr>
        <w:t xml:space="preserve">The following tables demonstrate the sensitivity of the Group to interest rates risk as of </w:t>
      </w:r>
      <w:r w:rsidR="0044104F" w:rsidRPr="0044104F">
        <w:rPr>
          <w:rFonts w:cs="Arial"/>
          <w:iCs/>
        </w:rPr>
        <w:t xml:space="preserve">30 </w:t>
      </w:r>
      <w:r w:rsidR="0010353B">
        <w:rPr>
          <w:rFonts w:cs="Arial"/>
          <w:iCs/>
        </w:rPr>
        <w:t>September</w:t>
      </w:r>
      <w:r w:rsidR="0044104F" w:rsidRPr="0044104F">
        <w:rPr>
          <w:rFonts w:cs="Arial"/>
          <w:iCs/>
        </w:rPr>
        <w:t xml:space="preserve"> </w:t>
      </w:r>
      <w:r w:rsidR="003420E8" w:rsidRPr="003420E8">
        <w:rPr>
          <w:rFonts w:cs="Arial"/>
          <w:iCs/>
        </w:rPr>
        <w:t>2017</w:t>
      </w:r>
      <w:r w:rsidRPr="009702B0">
        <w:rPr>
          <w:rFonts w:cs="Arial"/>
          <w:iCs/>
        </w:rPr>
        <w:t xml:space="preserve"> and 31 December 201</w:t>
      </w:r>
      <w:r w:rsidR="003420E8">
        <w:rPr>
          <w:rFonts w:cs="Arial"/>
          <w:iCs/>
        </w:rPr>
        <w:t>6</w:t>
      </w:r>
      <w:r w:rsidRPr="009702B0">
        <w:rPr>
          <w:rFonts w:cs="Arial"/>
          <w:iCs/>
        </w:rPr>
        <w:t xml:space="preserve"> on the basis of known dates of changes in prices of assets and liabilities to which floating and fixed interest rates are applied. Periods of interest rates changes are determined on the basis of residual maturity and contracted period when interest rates change, depending on which is shorter. Assets and liabilities on which interest is not charged are placed into the non-interest bearing category. The tables below demonstrate the estimation of Group’s interest rate risk exposure as of </w:t>
      </w:r>
      <w:r w:rsidR="0044104F" w:rsidRPr="0044104F">
        <w:rPr>
          <w:rFonts w:cs="Arial"/>
          <w:iCs/>
        </w:rPr>
        <w:t xml:space="preserve">30 </w:t>
      </w:r>
      <w:r w:rsidR="0010353B">
        <w:rPr>
          <w:rFonts w:cs="Arial"/>
          <w:iCs/>
        </w:rPr>
        <w:t>September</w:t>
      </w:r>
      <w:r w:rsidR="0010353B" w:rsidRPr="0044104F">
        <w:rPr>
          <w:rFonts w:cs="Arial"/>
          <w:iCs/>
        </w:rPr>
        <w:t xml:space="preserve"> </w:t>
      </w:r>
      <w:r w:rsidR="003420E8" w:rsidRPr="003420E8">
        <w:rPr>
          <w:rFonts w:cs="Arial"/>
          <w:iCs/>
        </w:rPr>
        <w:t>2017</w:t>
      </w:r>
      <w:r w:rsidRPr="009702B0">
        <w:rPr>
          <w:rFonts w:cs="Arial"/>
          <w:iCs/>
        </w:rPr>
        <w:t xml:space="preserve"> and 31 December 201</w:t>
      </w:r>
      <w:r w:rsidR="003420E8">
        <w:rPr>
          <w:rFonts w:cs="Arial"/>
          <w:iCs/>
        </w:rPr>
        <w:t>6</w:t>
      </w:r>
      <w:r w:rsidRPr="009702B0">
        <w:rPr>
          <w:rFonts w:cs="Arial"/>
          <w:iCs/>
        </w:rPr>
        <w:t xml:space="preserve"> which may not be indicative for the positions in other periods</w:t>
      </w:r>
      <w:r w:rsidRPr="009702B0">
        <w:rPr>
          <w:rFonts w:cs="Arial"/>
        </w:rPr>
        <w:t xml:space="preserve">. </w:t>
      </w:r>
    </w:p>
    <w:p w14:paraId="48AD69B1" w14:textId="77777777" w:rsidR="009702B0" w:rsidRPr="009702B0" w:rsidRDefault="009702B0" w:rsidP="009702B0">
      <w:pPr>
        <w:tabs>
          <w:tab w:val="left" w:pos="-720"/>
        </w:tabs>
        <w:suppressAutoHyphens/>
        <w:spacing w:after="0" w:line="240" w:lineRule="auto"/>
        <w:ind w:right="-5"/>
        <w:jc w:val="both"/>
        <w:rPr>
          <w:rFonts w:cs="Arial"/>
          <w:highlight w:val="yellow"/>
        </w:rPr>
      </w:pPr>
    </w:p>
    <w:tbl>
      <w:tblPr>
        <w:tblW w:w="5343" w:type="pct"/>
        <w:tblInd w:w="-284" w:type="dxa"/>
        <w:tblLayout w:type="fixed"/>
        <w:tblCellMar>
          <w:left w:w="120" w:type="dxa"/>
          <w:right w:w="120" w:type="dxa"/>
        </w:tblCellMar>
        <w:tblLook w:val="0000" w:firstRow="0" w:lastRow="0" w:firstColumn="0" w:lastColumn="0" w:noHBand="0" w:noVBand="0"/>
      </w:tblPr>
      <w:tblGrid>
        <w:gridCol w:w="2408"/>
        <w:gridCol w:w="1084"/>
        <w:gridCol w:w="1084"/>
        <w:gridCol w:w="1084"/>
        <w:gridCol w:w="1084"/>
        <w:gridCol w:w="1084"/>
        <w:gridCol w:w="1084"/>
        <w:gridCol w:w="1084"/>
      </w:tblGrid>
      <w:tr w:rsidR="009702B0" w:rsidRPr="009702B0" w14:paraId="740802DC" w14:textId="77777777" w:rsidTr="009702B0">
        <w:trPr>
          <w:trHeight w:val="810"/>
        </w:trPr>
        <w:tc>
          <w:tcPr>
            <w:tcW w:w="1204" w:type="pct"/>
            <w:shd w:val="clear" w:color="auto" w:fill="auto"/>
            <w:vAlign w:val="center"/>
          </w:tcPr>
          <w:p w14:paraId="3FBC8B5C" w14:textId="77777777" w:rsidR="009702B0" w:rsidRPr="009702B0" w:rsidRDefault="009702B0" w:rsidP="009702B0">
            <w:pPr>
              <w:tabs>
                <w:tab w:val="left" w:pos="-720"/>
              </w:tabs>
              <w:suppressAutoHyphens/>
              <w:spacing w:after="0" w:line="280" w:lineRule="exact"/>
              <w:ind w:right="-6"/>
              <w:rPr>
                <w:rFonts w:cs="Arial"/>
                <w:b/>
                <w:sz w:val="18"/>
                <w:szCs w:val="18"/>
              </w:rPr>
            </w:pPr>
            <w:r w:rsidRPr="009702B0">
              <w:rPr>
                <w:rFonts w:cs="Arial"/>
                <w:b/>
                <w:sz w:val="18"/>
                <w:szCs w:val="18"/>
              </w:rPr>
              <w:t>Group</w:t>
            </w:r>
          </w:p>
          <w:p w14:paraId="3F3B1D04" w14:textId="2D58ED20" w:rsidR="009702B0" w:rsidRPr="009702B0" w:rsidRDefault="001B3242" w:rsidP="003420E8">
            <w:pPr>
              <w:tabs>
                <w:tab w:val="left" w:pos="-720"/>
              </w:tabs>
              <w:suppressAutoHyphens/>
              <w:spacing w:after="0" w:line="280" w:lineRule="exact"/>
              <w:ind w:right="-6"/>
              <w:rPr>
                <w:rFonts w:cs="Arial"/>
                <w:b/>
                <w:sz w:val="18"/>
                <w:szCs w:val="18"/>
              </w:rPr>
            </w:pPr>
            <w:r>
              <w:rPr>
                <w:rFonts w:cs="Arial"/>
                <w:b/>
                <w:sz w:val="18"/>
                <w:szCs w:val="18"/>
              </w:rPr>
              <w:t xml:space="preserve">Sep </w:t>
            </w:r>
            <w:r w:rsidR="00FB452F">
              <w:rPr>
                <w:rFonts w:cs="Arial"/>
                <w:b/>
                <w:sz w:val="18"/>
                <w:szCs w:val="18"/>
              </w:rPr>
              <w:t>30</w:t>
            </w:r>
            <w:r w:rsidR="009702B0" w:rsidRPr="009702B0">
              <w:rPr>
                <w:rFonts w:cs="Arial"/>
                <w:b/>
                <w:sz w:val="18"/>
                <w:szCs w:val="18"/>
              </w:rPr>
              <w:t>, 201</w:t>
            </w:r>
            <w:r w:rsidR="003420E8">
              <w:rPr>
                <w:rFonts w:cs="Arial"/>
                <w:b/>
                <w:sz w:val="18"/>
                <w:szCs w:val="18"/>
              </w:rPr>
              <w:t>7</w:t>
            </w:r>
          </w:p>
        </w:tc>
        <w:tc>
          <w:tcPr>
            <w:tcW w:w="542" w:type="pct"/>
            <w:shd w:val="clear" w:color="auto" w:fill="auto"/>
          </w:tcPr>
          <w:p w14:paraId="59D4FF10"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Up to 1 month</w:t>
            </w:r>
          </w:p>
        </w:tc>
        <w:tc>
          <w:tcPr>
            <w:tcW w:w="542" w:type="pct"/>
            <w:shd w:val="clear" w:color="auto" w:fill="auto"/>
          </w:tcPr>
          <w:p w14:paraId="5B49F622"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1 to 3 months</w:t>
            </w:r>
          </w:p>
        </w:tc>
        <w:tc>
          <w:tcPr>
            <w:tcW w:w="542" w:type="pct"/>
            <w:shd w:val="clear" w:color="auto" w:fill="auto"/>
          </w:tcPr>
          <w:p w14:paraId="3F7450B7"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 xml:space="preserve">3 months to 1 year </w:t>
            </w:r>
          </w:p>
        </w:tc>
        <w:tc>
          <w:tcPr>
            <w:tcW w:w="542" w:type="pct"/>
            <w:shd w:val="clear" w:color="auto" w:fill="auto"/>
          </w:tcPr>
          <w:p w14:paraId="6C495891"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1 to 3 years</w:t>
            </w:r>
          </w:p>
        </w:tc>
        <w:tc>
          <w:tcPr>
            <w:tcW w:w="542" w:type="pct"/>
            <w:shd w:val="clear" w:color="auto" w:fill="auto"/>
          </w:tcPr>
          <w:p w14:paraId="54D79595"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Over 3 years</w:t>
            </w:r>
          </w:p>
        </w:tc>
        <w:tc>
          <w:tcPr>
            <w:tcW w:w="542" w:type="pct"/>
            <w:shd w:val="clear" w:color="auto" w:fill="auto"/>
          </w:tcPr>
          <w:p w14:paraId="6D9245F9"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Non-interest bearing</w:t>
            </w:r>
          </w:p>
        </w:tc>
        <w:tc>
          <w:tcPr>
            <w:tcW w:w="542" w:type="pct"/>
            <w:shd w:val="clear" w:color="auto" w:fill="auto"/>
          </w:tcPr>
          <w:p w14:paraId="1F936149"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 xml:space="preserve">Total </w:t>
            </w:r>
          </w:p>
        </w:tc>
      </w:tr>
      <w:tr w:rsidR="009702B0" w:rsidRPr="009702B0" w14:paraId="234E68D0" w14:textId="77777777" w:rsidTr="009702B0">
        <w:trPr>
          <w:trHeight w:val="261"/>
        </w:trPr>
        <w:tc>
          <w:tcPr>
            <w:tcW w:w="1204" w:type="pct"/>
            <w:shd w:val="clear" w:color="auto" w:fill="auto"/>
            <w:vAlign w:val="bottom"/>
          </w:tcPr>
          <w:p w14:paraId="7262ADDA" w14:textId="77777777" w:rsidR="009702B0" w:rsidRPr="009702B0" w:rsidRDefault="009702B0" w:rsidP="009702B0">
            <w:pPr>
              <w:tabs>
                <w:tab w:val="left" w:pos="-720"/>
              </w:tabs>
              <w:suppressAutoHyphens/>
              <w:spacing w:after="0" w:line="280" w:lineRule="exact"/>
              <w:ind w:right="-5"/>
              <w:rPr>
                <w:rFonts w:cs="Arial"/>
                <w:b/>
                <w:sz w:val="18"/>
                <w:szCs w:val="18"/>
              </w:rPr>
            </w:pPr>
            <w:r w:rsidRPr="009702B0">
              <w:rPr>
                <w:rFonts w:cs="Arial"/>
                <w:b/>
                <w:sz w:val="18"/>
                <w:szCs w:val="18"/>
              </w:rPr>
              <w:t xml:space="preserve">Assets </w:t>
            </w:r>
          </w:p>
        </w:tc>
        <w:tc>
          <w:tcPr>
            <w:tcW w:w="542" w:type="pct"/>
            <w:shd w:val="clear" w:color="auto" w:fill="auto"/>
          </w:tcPr>
          <w:p w14:paraId="4EB46ED1" w14:textId="77777777" w:rsidR="009702B0" w:rsidRPr="009702B0" w:rsidRDefault="009702B0" w:rsidP="009702B0">
            <w:pPr>
              <w:tabs>
                <w:tab w:val="left" w:pos="-720"/>
              </w:tabs>
              <w:suppressAutoHyphens/>
              <w:spacing w:after="0" w:line="280" w:lineRule="exact"/>
              <w:ind w:right="-5"/>
              <w:jc w:val="right"/>
              <w:rPr>
                <w:rFonts w:cs="Arial"/>
                <w:sz w:val="18"/>
                <w:szCs w:val="18"/>
              </w:rPr>
            </w:pPr>
          </w:p>
        </w:tc>
        <w:tc>
          <w:tcPr>
            <w:tcW w:w="542" w:type="pct"/>
            <w:shd w:val="clear" w:color="auto" w:fill="auto"/>
          </w:tcPr>
          <w:p w14:paraId="7B0C340B" w14:textId="77777777" w:rsidR="009702B0" w:rsidRPr="009702B0" w:rsidRDefault="009702B0" w:rsidP="009702B0">
            <w:pPr>
              <w:tabs>
                <w:tab w:val="left" w:pos="-720"/>
              </w:tabs>
              <w:suppressAutoHyphens/>
              <w:spacing w:after="0" w:line="280" w:lineRule="exact"/>
              <w:ind w:right="-5"/>
              <w:jc w:val="right"/>
              <w:rPr>
                <w:rFonts w:cs="Arial"/>
                <w:sz w:val="18"/>
                <w:szCs w:val="18"/>
              </w:rPr>
            </w:pPr>
          </w:p>
        </w:tc>
        <w:tc>
          <w:tcPr>
            <w:tcW w:w="542" w:type="pct"/>
            <w:shd w:val="clear" w:color="auto" w:fill="auto"/>
          </w:tcPr>
          <w:p w14:paraId="1E358E52" w14:textId="77777777" w:rsidR="009702B0" w:rsidRPr="009702B0" w:rsidRDefault="009702B0" w:rsidP="009702B0">
            <w:pPr>
              <w:tabs>
                <w:tab w:val="left" w:pos="-720"/>
              </w:tabs>
              <w:suppressAutoHyphens/>
              <w:spacing w:after="0" w:line="280" w:lineRule="exact"/>
              <w:ind w:right="-5"/>
              <w:jc w:val="right"/>
              <w:rPr>
                <w:rFonts w:cs="Arial"/>
                <w:sz w:val="18"/>
                <w:szCs w:val="18"/>
              </w:rPr>
            </w:pPr>
          </w:p>
        </w:tc>
        <w:tc>
          <w:tcPr>
            <w:tcW w:w="542" w:type="pct"/>
            <w:shd w:val="clear" w:color="auto" w:fill="auto"/>
          </w:tcPr>
          <w:p w14:paraId="07A1B13D" w14:textId="77777777" w:rsidR="009702B0" w:rsidRPr="009702B0" w:rsidRDefault="009702B0" w:rsidP="009702B0">
            <w:pPr>
              <w:tabs>
                <w:tab w:val="left" w:pos="-720"/>
              </w:tabs>
              <w:suppressAutoHyphens/>
              <w:spacing w:after="0" w:line="280" w:lineRule="exact"/>
              <w:ind w:right="-5"/>
              <w:jc w:val="right"/>
              <w:rPr>
                <w:rFonts w:cs="Arial"/>
                <w:sz w:val="18"/>
                <w:szCs w:val="18"/>
              </w:rPr>
            </w:pPr>
          </w:p>
        </w:tc>
        <w:tc>
          <w:tcPr>
            <w:tcW w:w="542" w:type="pct"/>
            <w:shd w:val="clear" w:color="auto" w:fill="auto"/>
          </w:tcPr>
          <w:p w14:paraId="611935A5" w14:textId="77777777" w:rsidR="009702B0" w:rsidRPr="009702B0" w:rsidRDefault="009702B0" w:rsidP="009702B0">
            <w:pPr>
              <w:tabs>
                <w:tab w:val="left" w:pos="-720"/>
              </w:tabs>
              <w:suppressAutoHyphens/>
              <w:spacing w:after="0" w:line="280" w:lineRule="exact"/>
              <w:ind w:right="-5"/>
              <w:jc w:val="right"/>
              <w:rPr>
                <w:rFonts w:cs="Arial"/>
                <w:sz w:val="18"/>
                <w:szCs w:val="18"/>
              </w:rPr>
            </w:pPr>
          </w:p>
        </w:tc>
        <w:tc>
          <w:tcPr>
            <w:tcW w:w="542" w:type="pct"/>
            <w:shd w:val="clear" w:color="auto" w:fill="auto"/>
          </w:tcPr>
          <w:p w14:paraId="1F2BD588" w14:textId="77777777" w:rsidR="009702B0" w:rsidRPr="009702B0" w:rsidRDefault="009702B0" w:rsidP="009702B0">
            <w:pPr>
              <w:tabs>
                <w:tab w:val="left" w:pos="-720"/>
              </w:tabs>
              <w:suppressAutoHyphens/>
              <w:spacing w:after="0" w:line="280" w:lineRule="exact"/>
              <w:ind w:right="-5"/>
              <w:jc w:val="right"/>
              <w:rPr>
                <w:rFonts w:cs="Arial"/>
                <w:sz w:val="18"/>
                <w:szCs w:val="18"/>
              </w:rPr>
            </w:pPr>
          </w:p>
        </w:tc>
        <w:tc>
          <w:tcPr>
            <w:tcW w:w="542" w:type="pct"/>
            <w:shd w:val="clear" w:color="auto" w:fill="auto"/>
          </w:tcPr>
          <w:p w14:paraId="6FAB8D08" w14:textId="77777777" w:rsidR="009702B0" w:rsidRPr="009702B0" w:rsidRDefault="009702B0" w:rsidP="009702B0">
            <w:pPr>
              <w:tabs>
                <w:tab w:val="left" w:pos="-720"/>
              </w:tabs>
              <w:suppressAutoHyphens/>
              <w:spacing w:after="0" w:line="280" w:lineRule="exact"/>
              <w:ind w:right="-5"/>
              <w:jc w:val="right"/>
              <w:rPr>
                <w:rFonts w:cs="Arial"/>
                <w:sz w:val="18"/>
                <w:szCs w:val="18"/>
              </w:rPr>
            </w:pPr>
          </w:p>
        </w:tc>
      </w:tr>
      <w:tr w:rsidR="00BB1FCB" w:rsidRPr="009702B0" w14:paraId="60665F19" w14:textId="77777777" w:rsidTr="009702B0">
        <w:trPr>
          <w:trHeight w:val="549"/>
        </w:trPr>
        <w:tc>
          <w:tcPr>
            <w:tcW w:w="1204" w:type="pct"/>
            <w:shd w:val="clear" w:color="auto" w:fill="auto"/>
            <w:vAlign w:val="bottom"/>
          </w:tcPr>
          <w:p w14:paraId="1217C59D" w14:textId="77777777" w:rsidR="00BB1FCB" w:rsidRPr="009702B0" w:rsidRDefault="00BB1FCB" w:rsidP="00BB1FCB">
            <w:pPr>
              <w:tabs>
                <w:tab w:val="left" w:pos="-720"/>
              </w:tabs>
              <w:suppressAutoHyphens/>
              <w:spacing w:after="0" w:line="280" w:lineRule="exact"/>
              <w:ind w:right="-5"/>
              <w:rPr>
                <w:rFonts w:cs="Arial"/>
                <w:sz w:val="18"/>
                <w:szCs w:val="18"/>
              </w:rPr>
            </w:pPr>
            <w:r w:rsidRPr="009702B0">
              <w:rPr>
                <w:rFonts w:cs="Arial"/>
                <w:sz w:val="18"/>
                <w:szCs w:val="18"/>
              </w:rPr>
              <w:t xml:space="preserve">Cash on hand and due from banks </w:t>
            </w:r>
          </w:p>
        </w:tc>
        <w:tc>
          <w:tcPr>
            <w:tcW w:w="542" w:type="pct"/>
            <w:tcBorders>
              <w:top w:val="nil"/>
              <w:left w:val="nil"/>
              <w:bottom w:val="nil"/>
              <w:right w:val="nil"/>
            </w:tcBorders>
            <w:shd w:val="clear" w:color="auto" w:fill="auto"/>
            <w:vAlign w:val="bottom"/>
          </w:tcPr>
          <w:p w14:paraId="3504C78A" w14:textId="478DAE5B" w:rsidR="00BB1FCB" w:rsidRPr="009702B0" w:rsidRDefault="00BB1FCB" w:rsidP="00BB1FCB">
            <w:pPr>
              <w:spacing w:after="0" w:line="280" w:lineRule="exact"/>
              <w:jc w:val="right"/>
              <w:rPr>
                <w:rFonts w:cs="Arial"/>
                <w:sz w:val="18"/>
                <w:szCs w:val="18"/>
              </w:rPr>
            </w:pPr>
            <w:r w:rsidRPr="00596189">
              <w:rPr>
                <w:rFonts w:cs="Arial"/>
                <w:sz w:val="18"/>
                <w:szCs w:val="18"/>
              </w:rPr>
              <w:t>2</w:t>
            </w:r>
            <w:r>
              <w:rPr>
                <w:rFonts w:cs="Arial"/>
                <w:sz w:val="18"/>
                <w:szCs w:val="18"/>
              </w:rPr>
              <w:t>,</w:t>
            </w:r>
            <w:r w:rsidRPr="00596189">
              <w:rPr>
                <w:rFonts w:cs="Arial"/>
                <w:sz w:val="18"/>
                <w:szCs w:val="18"/>
              </w:rPr>
              <w:t>286</w:t>
            </w:r>
          </w:p>
        </w:tc>
        <w:tc>
          <w:tcPr>
            <w:tcW w:w="542" w:type="pct"/>
            <w:tcBorders>
              <w:top w:val="nil"/>
              <w:left w:val="nil"/>
              <w:bottom w:val="nil"/>
              <w:right w:val="nil"/>
            </w:tcBorders>
            <w:shd w:val="clear" w:color="auto" w:fill="auto"/>
            <w:vAlign w:val="bottom"/>
          </w:tcPr>
          <w:p w14:paraId="1367D91E" w14:textId="2166A8B6" w:rsidR="00BB1FCB" w:rsidRPr="009702B0" w:rsidRDefault="00BB1FCB" w:rsidP="00BB1FCB">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12012187" w14:textId="7A6304D0" w:rsidR="00BB1FCB" w:rsidRPr="009702B0" w:rsidRDefault="00BB1FCB" w:rsidP="00BB1FCB">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506FF269" w14:textId="43BC9054" w:rsidR="00BB1FCB" w:rsidRPr="009702B0" w:rsidRDefault="00BB1FCB" w:rsidP="00BB1FCB">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71B39316" w14:textId="33F9CE98" w:rsidR="00BB1FCB" w:rsidRPr="009702B0" w:rsidRDefault="00BB1FCB" w:rsidP="00BB1FCB">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111EB73E" w14:textId="11775C29" w:rsidR="00BB1FCB" w:rsidRPr="009702B0" w:rsidRDefault="00BB1FCB" w:rsidP="00BB1FCB">
            <w:pPr>
              <w:spacing w:after="0" w:line="280" w:lineRule="exact"/>
              <w:jc w:val="right"/>
              <w:rPr>
                <w:rFonts w:cs="Arial"/>
                <w:sz w:val="18"/>
                <w:szCs w:val="18"/>
              </w:rPr>
            </w:pPr>
            <w:r w:rsidRPr="00596189">
              <w:rPr>
                <w:rFonts w:cs="Arial"/>
                <w:sz w:val="18"/>
                <w:szCs w:val="18"/>
              </w:rPr>
              <w:t>737</w:t>
            </w:r>
            <w:r>
              <w:rPr>
                <w:rFonts w:cs="Arial"/>
                <w:sz w:val="18"/>
                <w:szCs w:val="18"/>
              </w:rPr>
              <w:t>,</w:t>
            </w:r>
            <w:r w:rsidRPr="00596189">
              <w:rPr>
                <w:rFonts w:cs="Arial"/>
                <w:sz w:val="18"/>
                <w:szCs w:val="18"/>
              </w:rPr>
              <w:t>631</w:t>
            </w:r>
          </w:p>
        </w:tc>
        <w:tc>
          <w:tcPr>
            <w:tcW w:w="542" w:type="pct"/>
            <w:tcBorders>
              <w:top w:val="nil"/>
              <w:left w:val="nil"/>
              <w:bottom w:val="nil"/>
              <w:right w:val="nil"/>
            </w:tcBorders>
            <w:shd w:val="clear" w:color="auto" w:fill="auto"/>
            <w:vAlign w:val="bottom"/>
          </w:tcPr>
          <w:p w14:paraId="62688FED" w14:textId="2B175A8D" w:rsidR="00BB1FCB" w:rsidRPr="009702B0" w:rsidRDefault="00BB1FCB" w:rsidP="00BB1FCB">
            <w:pPr>
              <w:spacing w:after="0" w:line="280" w:lineRule="exact"/>
              <w:jc w:val="right"/>
              <w:rPr>
                <w:rFonts w:cs="Arial"/>
                <w:sz w:val="18"/>
                <w:szCs w:val="18"/>
              </w:rPr>
            </w:pPr>
            <w:r w:rsidRPr="00596189">
              <w:rPr>
                <w:rFonts w:cs="Arial"/>
                <w:sz w:val="18"/>
                <w:szCs w:val="18"/>
              </w:rPr>
              <w:t>739</w:t>
            </w:r>
            <w:r>
              <w:rPr>
                <w:rFonts w:cs="Arial"/>
                <w:sz w:val="18"/>
                <w:szCs w:val="18"/>
              </w:rPr>
              <w:t>,</w:t>
            </w:r>
            <w:r w:rsidRPr="00596189">
              <w:rPr>
                <w:rFonts w:cs="Arial"/>
                <w:sz w:val="18"/>
                <w:szCs w:val="18"/>
              </w:rPr>
              <w:t>917</w:t>
            </w:r>
          </w:p>
        </w:tc>
      </w:tr>
      <w:tr w:rsidR="00BB1FCB" w:rsidRPr="009702B0" w14:paraId="1B049FEC" w14:textId="77777777" w:rsidTr="009702B0">
        <w:trPr>
          <w:trHeight w:val="261"/>
        </w:trPr>
        <w:tc>
          <w:tcPr>
            <w:tcW w:w="1204" w:type="pct"/>
            <w:shd w:val="clear" w:color="auto" w:fill="auto"/>
            <w:vAlign w:val="bottom"/>
          </w:tcPr>
          <w:p w14:paraId="525B206A" w14:textId="77777777" w:rsidR="00BB1FCB" w:rsidRPr="009702B0" w:rsidRDefault="00BB1FCB" w:rsidP="00BB1FCB">
            <w:pPr>
              <w:tabs>
                <w:tab w:val="left" w:pos="-720"/>
              </w:tabs>
              <w:suppressAutoHyphens/>
              <w:spacing w:after="0" w:line="280" w:lineRule="exact"/>
              <w:ind w:right="-5"/>
              <w:rPr>
                <w:rFonts w:cs="Arial"/>
                <w:sz w:val="18"/>
                <w:szCs w:val="18"/>
              </w:rPr>
            </w:pPr>
            <w:r w:rsidRPr="009702B0">
              <w:rPr>
                <w:rFonts w:cs="Arial"/>
                <w:sz w:val="18"/>
                <w:szCs w:val="18"/>
              </w:rPr>
              <w:t xml:space="preserve">Deposits with other banks </w:t>
            </w:r>
          </w:p>
        </w:tc>
        <w:tc>
          <w:tcPr>
            <w:tcW w:w="542" w:type="pct"/>
            <w:tcBorders>
              <w:top w:val="nil"/>
              <w:left w:val="nil"/>
              <w:bottom w:val="nil"/>
              <w:right w:val="nil"/>
            </w:tcBorders>
            <w:shd w:val="clear" w:color="auto" w:fill="auto"/>
            <w:vAlign w:val="bottom"/>
          </w:tcPr>
          <w:p w14:paraId="0CF776A6" w14:textId="79958579" w:rsidR="00BB1FCB" w:rsidRPr="009702B0" w:rsidRDefault="00BB1FCB" w:rsidP="00BB1FCB">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0C8F869D" w14:textId="782E5E7A" w:rsidR="00BB1FCB" w:rsidRPr="009702B0" w:rsidRDefault="00BB1FCB" w:rsidP="00BB1FCB">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792BF35F" w14:textId="25EB6156" w:rsidR="00BB1FCB" w:rsidRPr="009702B0" w:rsidRDefault="00BB1FCB" w:rsidP="00BB1FCB">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26248883" w14:textId="5201F330" w:rsidR="00BB1FCB" w:rsidRPr="009702B0" w:rsidRDefault="00BB1FCB" w:rsidP="00BB1FCB">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6295CCF3" w14:textId="2FDB5533" w:rsidR="00BB1FCB" w:rsidRPr="009702B0" w:rsidRDefault="00BB1FCB" w:rsidP="00BB1FCB">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27E46B6F" w14:textId="0C605A6D" w:rsidR="00BB1FCB" w:rsidRPr="009702B0" w:rsidRDefault="00BB1FCB" w:rsidP="00BB1FCB">
            <w:pPr>
              <w:spacing w:after="0" w:line="280" w:lineRule="exact"/>
              <w:jc w:val="right"/>
              <w:rPr>
                <w:rFonts w:cs="Arial"/>
                <w:sz w:val="18"/>
                <w:szCs w:val="18"/>
              </w:rPr>
            </w:pPr>
            <w:r w:rsidRPr="00596189">
              <w:rPr>
                <w:rFonts w:cs="Arial"/>
                <w:sz w:val="18"/>
                <w:szCs w:val="18"/>
              </w:rPr>
              <w:t>76</w:t>
            </w:r>
          </w:p>
        </w:tc>
        <w:tc>
          <w:tcPr>
            <w:tcW w:w="542" w:type="pct"/>
            <w:tcBorders>
              <w:top w:val="nil"/>
              <w:left w:val="nil"/>
              <w:bottom w:val="nil"/>
              <w:right w:val="nil"/>
            </w:tcBorders>
            <w:shd w:val="clear" w:color="auto" w:fill="auto"/>
            <w:vAlign w:val="bottom"/>
          </w:tcPr>
          <w:p w14:paraId="00FA3D0C" w14:textId="6779B35B" w:rsidR="00BB1FCB" w:rsidRPr="009702B0" w:rsidRDefault="00BB1FCB" w:rsidP="00BB1FCB">
            <w:pPr>
              <w:spacing w:after="0" w:line="280" w:lineRule="exact"/>
              <w:jc w:val="right"/>
              <w:rPr>
                <w:rFonts w:cs="Arial"/>
                <w:sz w:val="18"/>
                <w:szCs w:val="18"/>
              </w:rPr>
            </w:pPr>
            <w:r>
              <w:rPr>
                <w:rFonts w:cs="Arial"/>
                <w:sz w:val="18"/>
                <w:szCs w:val="18"/>
              </w:rPr>
              <w:t>76</w:t>
            </w:r>
          </w:p>
        </w:tc>
      </w:tr>
      <w:tr w:rsidR="00BB1FCB" w:rsidRPr="009702B0" w14:paraId="664319E4" w14:textId="77777777" w:rsidTr="009702B0">
        <w:trPr>
          <w:trHeight w:val="340"/>
        </w:trPr>
        <w:tc>
          <w:tcPr>
            <w:tcW w:w="1204" w:type="pct"/>
            <w:shd w:val="clear" w:color="auto" w:fill="auto"/>
            <w:vAlign w:val="bottom"/>
          </w:tcPr>
          <w:p w14:paraId="1B77DACF" w14:textId="77777777" w:rsidR="00BB1FCB" w:rsidRPr="009702B0" w:rsidRDefault="00BB1FCB" w:rsidP="00BB1FCB">
            <w:pPr>
              <w:tabs>
                <w:tab w:val="left" w:pos="-720"/>
              </w:tabs>
              <w:suppressAutoHyphens/>
              <w:spacing w:after="0" w:line="280" w:lineRule="exact"/>
              <w:ind w:right="-5"/>
              <w:rPr>
                <w:rFonts w:cs="Arial"/>
                <w:sz w:val="18"/>
                <w:szCs w:val="18"/>
              </w:rPr>
            </w:pPr>
            <w:r w:rsidRPr="009702B0">
              <w:rPr>
                <w:rFonts w:cs="Arial"/>
                <w:sz w:val="18"/>
                <w:szCs w:val="18"/>
              </w:rPr>
              <w:t>Loans to financial institutions</w:t>
            </w:r>
          </w:p>
        </w:tc>
        <w:tc>
          <w:tcPr>
            <w:tcW w:w="542" w:type="pct"/>
            <w:tcBorders>
              <w:top w:val="nil"/>
              <w:left w:val="nil"/>
              <w:bottom w:val="nil"/>
              <w:right w:val="nil"/>
            </w:tcBorders>
            <w:shd w:val="clear" w:color="auto" w:fill="auto"/>
            <w:vAlign w:val="bottom"/>
          </w:tcPr>
          <w:p w14:paraId="6011ED69" w14:textId="36A97616" w:rsidR="00BB1FCB" w:rsidRPr="009702B0" w:rsidRDefault="00BB1FCB" w:rsidP="00BB1FCB">
            <w:pPr>
              <w:spacing w:after="0" w:line="280" w:lineRule="exact"/>
              <w:jc w:val="right"/>
              <w:rPr>
                <w:rFonts w:cs="Arial"/>
                <w:sz w:val="18"/>
                <w:szCs w:val="18"/>
              </w:rPr>
            </w:pPr>
            <w:r w:rsidRPr="00596189">
              <w:rPr>
                <w:rFonts w:cs="Arial"/>
                <w:sz w:val="18"/>
                <w:szCs w:val="18"/>
              </w:rPr>
              <w:t>1</w:t>
            </w:r>
            <w:r>
              <w:rPr>
                <w:rFonts w:cs="Arial"/>
                <w:sz w:val="18"/>
                <w:szCs w:val="18"/>
              </w:rPr>
              <w:t>,</w:t>
            </w:r>
            <w:r w:rsidRPr="00596189">
              <w:rPr>
                <w:rFonts w:cs="Arial"/>
                <w:sz w:val="18"/>
                <w:szCs w:val="18"/>
              </w:rPr>
              <w:t>108</w:t>
            </w:r>
            <w:r>
              <w:rPr>
                <w:rFonts w:cs="Arial"/>
                <w:sz w:val="18"/>
                <w:szCs w:val="18"/>
              </w:rPr>
              <w:t>,</w:t>
            </w:r>
            <w:r w:rsidRPr="00596189">
              <w:rPr>
                <w:rFonts w:cs="Arial"/>
                <w:sz w:val="18"/>
                <w:szCs w:val="18"/>
              </w:rPr>
              <w:t>362</w:t>
            </w:r>
          </w:p>
        </w:tc>
        <w:tc>
          <w:tcPr>
            <w:tcW w:w="542" w:type="pct"/>
            <w:tcBorders>
              <w:top w:val="nil"/>
              <w:left w:val="nil"/>
              <w:bottom w:val="nil"/>
              <w:right w:val="nil"/>
            </w:tcBorders>
            <w:shd w:val="clear" w:color="auto" w:fill="auto"/>
            <w:vAlign w:val="bottom"/>
          </w:tcPr>
          <w:p w14:paraId="2ACDABCD" w14:textId="7E3B6D30" w:rsidR="00BB1FCB" w:rsidRPr="009702B0" w:rsidRDefault="00BB1FCB" w:rsidP="00BB1FCB">
            <w:pPr>
              <w:spacing w:after="0" w:line="280" w:lineRule="exact"/>
              <w:jc w:val="right"/>
              <w:rPr>
                <w:rFonts w:cs="Arial"/>
                <w:sz w:val="18"/>
                <w:szCs w:val="18"/>
              </w:rPr>
            </w:pPr>
            <w:r w:rsidRPr="00596189">
              <w:rPr>
                <w:rFonts w:cs="Arial"/>
                <w:sz w:val="18"/>
                <w:szCs w:val="18"/>
              </w:rPr>
              <w:t>1</w:t>
            </w:r>
            <w:r>
              <w:rPr>
                <w:rFonts w:cs="Arial"/>
                <w:sz w:val="18"/>
                <w:szCs w:val="18"/>
              </w:rPr>
              <w:t>,</w:t>
            </w:r>
            <w:r w:rsidRPr="00596189">
              <w:rPr>
                <w:rFonts w:cs="Arial"/>
                <w:sz w:val="18"/>
                <w:szCs w:val="18"/>
              </w:rPr>
              <w:t>243</w:t>
            </w:r>
            <w:r>
              <w:rPr>
                <w:rFonts w:cs="Arial"/>
                <w:sz w:val="18"/>
                <w:szCs w:val="18"/>
              </w:rPr>
              <w:t>,</w:t>
            </w:r>
            <w:r w:rsidRPr="00596189">
              <w:rPr>
                <w:rFonts w:cs="Arial"/>
                <w:sz w:val="18"/>
                <w:szCs w:val="18"/>
              </w:rPr>
              <w:t>129</w:t>
            </w:r>
          </w:p>
        </w:tc>
        <w:tc>
          <w:tcPr>
            <w:tcW w:w="542" w:type="pct"/>
            <w:tcBorders>
              <w:top w:val="nil"/>
              <w:left w:val="nil"/>
              <w:bottom w:val="nil"/>
              <w:right w:val="nil"/>
            </w:tcBorders>
            <w:shd w:val="clear" w:color="auto" w:fill="auto"/>
            <w:vAlign w:val="bottom"/>
          </w:tcPr>
          <w:p w14:paraId="2F44A0C1" w14:textId="2CA0EE9F" w:rsidR="00BB1FCB" w:rsidRPr="009702B0" w:rsidRDefault="00BB1FCB" w:rsidP="00BB1FCB">
            <w:pPr>
              <w:spacing w:after="0" w:line="280" w:lineRule="exact"/>
              <w:jc w:val="right"/>
              <w:rPr>
                <w:rFonts w:cs="Arial"/>
                <w:sz w:val="18"/>
                <w:szCs w:val="18"/>
              </w:rPr>
            </w:pPr>
            <w:r w:rsidRPr="00596189">
              <w:rPr>
                <w:rFonts w:cs="Arial"/>
                <w:sz w:val="18"/>
                <w:szCs w:val="18"/>
              </w:rPr>
              <w:t>1</w:t>
            </w:r>
            <w:r>
              <w:rPr>
                <w:rFonts w:cs="Arial"/>
                <w:sz w:val="18"/>
                <w:szCs w:val="18"/>
              </w:rPr>
              <w:t>,</w:t>
            </w:r>
            <w:r w:rsidRPr="00596189">
              <w:rPr>
                <w:rFonts w:cs="Arial"/>
                <w:sz w:val="18"/>
                <w:szCs w:val="18"/>
              </w:rPr>
              <w:t>440</w:t>
            </w:r>
            <w:r>
              <w:rPr>
                <w:rFonts w:cs="Arial"/>
                <w:sz w:val="18"/>
                <w:szCs w:val="18"/>
              </w:rPr>
              <w:t>,</w:t>
            </w:r>
            <w:r w:rsidRPr="00596189">
              <w:rPr>
                <w:rFonts w:cs="Arial"/>
                <w:sz w:val="18"/>
                <w:szCs w:val="18"/>
              </w:rPr>
              <w:t>286</w:t>
            </w:r>
          </w:p>
        </w:tc>
        <w:tc>
          <w:tcPr>
            <w:tcW w:w="542" w:type="pct"/>
            <w:tcBorders>
              <w:top w:val="nil"/>
              <w:left w:val="nil"/>
              <w:bottom w:val="nil"/>
              <w:right w:val="nil"/>
            </w:tcBorders>
            <w:shd w:val="clear" w:color="auto" w:fill="auto"/>
            <w:vAlign w:val="bottom"/>
          </w:tcPr>
          <w:p w14:paraId="76D7D850" w14:textId="12CD75D5" w:rsidR="00BB1FCB" w:rsidRPr="009702B0" w:rsidRDefault="00BB1FCB" w:rsidP="00BB1FCB">
            <w:pPr>
              <w:spacing w:after="0" w:line="280" w:lineRule="exact"/>
              <w:jc w:val="right"/>
              <w:rPr>
                <w:rFonts w:cs="Arial"/>
                <w:sz w:val="18"/>
                <w:szCs w:val="18"/>
              </w:rPr>
            </w:pPr>
            <w:r w:rsidRPr="00596189">
              <w:rPr>
                <w:rFonts w:cs="Arial"/>
                <w:sz w:val="18"/>
                <w:szCs w:val="18"/>
              </w:rPr>
              <w:t>2</w:t>
            </w:r>
            <w:r>
              <w:rPr>
                <w:rFonts w:cs="Arial"/>
                <w:sz w:val="18"/>
                <w:szCs w:val="18"/>
              </w:rPr>
              <w:t>,</w:t>
            </w:r>
            <w:r w:rsidRPr="00596189">
              <w:rPr>
                <w:rFonts w:cs="Arial"/>
                <w:sz w:val="18"/>
                <w:szCs w:val="18"/>
              </w:rPr>
              <w:t>800</w:t>
            </w:r>
            <w:r>
              <w:rPr>
                <w:rFonts w:cs="Arial"/>
                <w:sz w:val="18"/>
                <w:szCs w:val="18"/>
              </w:rPr>
              <w:t>,</w:t>
            </w:r>
            <w:r w:rsidRPr="00596189">
              <w:rPr>
                <w:rFonts w:cs="Arial"/>
                <w:sz w:val="18"/>
                <w:szCs w:val="18"/>
              </w:rPr>
              <w:t>134</w:t>
            </w:r>
          </w:p>
        </w:tc>
        <w:tc>
          <w:tcPr>
            <w:tcW w:w="542" w:type="pct"/>
            <w:tcBorders>
              <w:top w:val="nil"/>
              <w:left w:val="nil"/>
              <w:bottom w:val="nil"/>
              <w:right w:val="nil"/>
            </w:tcBorders>
            <w:shd w:val="clear" w:color="auto" w:fill="auto"/>
            <w:vAlign w:val="bottom"/>
          </w:tcPr>
          <w:p w14:paraId="51926AD9" w14:textId="6B7239E1" w:rsidR="00BB1FCB" w:rsidRPr="009702B0" w:rsidRDefault="00BB1FCB" w:rsidP="00BB1FCB">
            <w:pPr>
              <w:spacing w:after="0" w:line="280" w:lineRule="exact"/>
              <w:jc w:val="right"/>
              <w:rPr>
                <w:rFonts w:cs="Arial"/>
                <w:sz w:val="18"/>
                <w:szCs w:val="18"/>
              </w:rPr>
            </w:pPr>
            <w:r w:rsidRPr="00596189">
              <w:rPr>
                <w:rFonts w:cs="Arial"/>
                <w:sz w:val="18"/>
                <w:szCs w:val="18"/>
              </w:rPr>
              <w:t>5</w:t>
            </w:r>
            <w:r>
              <w:rPr>
                <w:rFonts w:cs="Arial"/>
                <w:sz w:val="18"/>
                <w:szCs w:val="18"/>
              </w:rPr>
              <w:t>,</w:t>
            </w:r>
            <w:r w:rsidRPr="00596189">
              <w:rPr>
                <w:rFonts w:cs="Arial"/>
                <w:sz w:val="18"/>
                <w:szCs w:val="18"/>
              </w:rPr>
              <w:t>624</w:t>
            </w:r>
            <w:r>
              <w:rPr>
                <w:rFonts w:cs="Arial"/>
                <w:sz w:val="18"/>
                <w:szCs w:val="18"/>
              </w:rPr>
              <w:t>,</w:t>
            </w:r>
            <w:r w:rsidRPr="00596189">
              <w:rPr>
                <w:rFonts w:cs="Arial"/>
                <w:sz w:val="18"/>
                <w:szCs w:val="18"/>
              </w:rPr>
              <w:t>913</w:t>
            </w:r>
          </w:p>
        </w:tc>
        <w:tc>
          <w:tcPr>
            <w:tcW w:w="542" w:type="pct"/>
            <w:tcBorders>
              <w:top w:val="nil"/>
              <w:left w:val="nil"/>
              <w:bottom w:val="nil"/>
              <w:right w:val="nil"/>
            </w:tcBorders>
            <w:shd w:val="clear" w:color="auto" w:fill="auto"/>
            <w:vAlign w:val="bottom"/>
          </w:tcPr>
          <w:p w14:paraId="7919F559" w14:textId="18234BC0" w:rsidR="00BB1FCB" w:rsidRPr="009702B0" w:rsidRDefault="00BB1FCB" w:rsidP="00BB1FCB">
            <w:pPr>
              <w:spacing w:after="0" w:line="280" w:lineRule="exact"/>
              <w:jc w:val="right"/>
              <w:rPr>
                <w:rFonts w:cs="Arial"/>
                <w:sz w:val="18"/>
                <w:szCs w:val="18"/>
              </w:rPr>
            </w:pPr>
            <w:r w:rsidRPr="00596189">
              <w:rPr>
                <w:rFonts w:cs="Arial"/>
                <w:sz w:val="18"/>
                <w:szCs w:val="18"/>
              </w:rPr>
              <w:t>30</w:t>
            </w:r>
            <w:r>
              <w:rPr>
                <w:rFonts w:cs="Arial"/>
                <w:sz w:val="18"/>
                <w:szCs w:val="18"/>
              </w:rPr>
              <w:t>,</w:t>
            </w:r>
            <w:r w:rsidRPr="00596189">
              <w:rPr>
                <w:rFonts w:cs="Arial"/>
                <w:sz w:val="18"/>
                <w:szCs w:val="18"/>
              </w:rPr>
              <w:t>463</w:t>
            </w:r>
          </w:p>
        </w:tc>
        <w:tc>
          <w:tcPr>
            <w:tcW w:w="542" w:type="pct"/>
            <w:tcBorders>
              <w:top w:val="nil"/>
              <w:left w:val="nil"/>
              <w:bottom w:val="nil"/>
              <w:right w:val="nil"/>
            </w:tcBorders>
            <w:shd w:val="clear" w:color="auto" w:fill="auto"/>
            <w:vAlign w:val="bottom"/>
          </w:tcPr>
          <w:p w14:paraId="73E65476" w14:textId="1D1DC484" w:rsidR="00BB1FCB" w:rsidRPr="009702B0" w:rsidRDefault="00BB1FCB" w:rsidP="00BB1FCB">
            <w:pPr>
              <w:spacing w:after="0" w:line="280" w:lineRule="exact"/>
              <w:jc w:val="right"/>
              <w:rPr>
                <w:rFonts w:cs="Arial"/>
                <w:sz w:val="18"/>
                <w:szCs w:val="18"/>
              </w:rPr>
            </w:pPr>
            <w:r w:rsidRPr="00596189">
              <w:rPr>
                <w:rFonts w:cs="Arial"/>
                <w:sz w:val="18"/>
                <w:szCs w:val="18"/>
              </w:rPr>
              <w:t>12</w:t>
            </w:r>
            <w:r>
              <w:rPr>
                <w:rFonts w:cs="Arial"/>
                <w:sz w:val="18"/>
                <w:szCs w:val="18"/>
              </w:rPr>
              <w:t>,</w:t>
            </w:r>
            <w:r w:rsidRPr="00596189">
              <w:rPr>
                <w:rFonts w:cs="Arial"/>
                <w:sz w:val="18"/>
                <w:szCs w:val="18"/>
              </w:rPr>
              <w:t>247</w:t>
            </w:r>
            <w:r>
              <w:rPr>
                <w:rFonts w:cs="Arial"/>
                <w:sz w:val="18"/>
                <w:szCs w:val="18"/>
              </w:rPr>
              <w:t>,</w:t>
            </w:r>
            <w:r w:rsidRPr="00596189">
              <w:rPr>
                <w:rFonts w:cs="Arial"/>
                <w:sz w:val="18"/>
                <w:szCs w:val="18"/>
              </w:rPr>
              <w:t>287</w:t>
            </w:r>
          </w:p>
        </w:tc>
      </w:tr>
      <w:tr w:rsidR="00BB1FCB" w:rsidRPr="009702B0" w14:paraId="54CDBD6E" w14:textId="77777777" w:rsidTr="009702B0">
        <w:trPr>
          <w:trHeight w:val="273"/>
        </w:trPr>
        <w:tc>
          <w:tcPr>
            <w:tcW w:w="1204" w:type="pct"/>
            <w:shd w:val="clear" w:color="auto" w:fill="auto"/>
            <w:vAlign w:val="bottom"/>
          </w:tcPr>
          <w:p w14:paraId="374536BD" w14:textId="77777777" w:rsidR="00BB1FCB" w:rsidRPr="009702B0" w:rsidRDefault="00BB1FCB" w:rsidP="00BB1FCB">
            <w:pPr>
              <w:tabs>
                <w:tab w:val="left" w:pos="-720"/>
              </w:tabs>
              <w:suppressAutoHyphens/>
              <w:spacing w:after="0" w:line="280" w:lineRule="exact"/>
              <w:ind w:right="-5"/>
              <w:rPr>
                <w:rFonts w:cs="Arial"/>
                <w:sz w:val="18"/>
                <w:szCs w:val="18"/>
              </w:rPr>
            </w:pPr>
            <w:r w:rsidRPr="009702B0">
              <w:rPr>
                <w:rFonts w:cs="Arial"/>
                <w:sz w:val="18"/>
                <w:szCs w:val="18"/>
              </w:rPr>
              <w:t xml:space="preserve">Loans to other customers </w:t>
            </w:r>
          </w:p>
        </w:tc>
        <w:tc>
          <w:tcPr>
            <w:tcW w:w="542" w:type="pct"/>
            <w:tcBorders>
              <w:top w:val="nil"/>
              <w:left w:val="nil"/>
              <w:bottom w:val="nil"/>
              <w:right w:val="nil"/>
            </w:tcBorders>
            <w:shd w:val="clear" w:color="auto" w:fill="auto"/>
            <w:vAlign w:val="bottom"/>
          </w:tcPr>
          <w:p w14:paraId="7551D49D" w14:textId="7818F75A" w:rsidR="00BB1FCB" w:rsidRPr="009702B0" w:rsidRDefault="00BB1FCB" w:rsidP="00BB1FCB">
            <w:pPr>
              <w:spacing w:after="0" w:line="280" w:lineRule="exact"/>
              <w:jc w:val="right"/>
              <w:rPr>
                <w:rFonts w:cs="Arial"/>
                <w:sz w:val="18"/>
                <w:szCs w:val="18"/>
              </w:rPr>
            </w:pPr>
            <w:r w:rsidRPr="00596189">
              <w:rPr>
                <w:rFonts w:cs="Arial"/>
                <w:sz w:val="18"/>
                <w:szCs w:val="18"/>
              </w:rPr>
              <w:t>2</w:t>
            </w:r>
            <w:r>
              <w:rPr>
                <w:rFonts w:cs="Arial"/>
                <w:sz w:val="18"/>
                <w:szCs w:val="18"/>
              </w:rPr>
              <w:t>,</w:t>
            </w:r>
            <w:r w:rsidRPr="00596189">
              <w:rPr>
                <w:rFonts w:cs="Arial"/>
                <w:sz w:val="18"/>
                <w:szCs w:val="18"/>
              </w:rPr>
              <w:t>033</w:t>
            </w:r>
            <w:r>
              <w:rPr>
                <w:rFonts w:cs="Arial"/>
                <w:sz w:val="18"/>
                <w:szCs w:val="18"/>
              </w:rPr>
              <w:t>,</w:t>
            </w:r>
            <w:r w:rsidRPr="00596189">
              <w:rPr>
                <w:rFonts w:cs="Arial"/>
                <w:sz w:val="18"/>
                <w:szCs w:val="18"/>
              </w:rPr>
              <w:t>676</w:t>
            </w:r>
          </w:p>
        </w:tc>
        <w:tc>
          <w:tcPr>
            <w:tcW w:w="542" w:type="pct"/>
            <w:tcBorders>
              <w:top w:val="nil"/>
              <w:left w:val="nil"/>
              <w:bottom w:val="nil"/>
              <w:right w:val="nil"/>
            </w:tcBorders>
            <w:shd w:val="clear" w:color="auto" w:fill="auto"/>
            <w:vAlign w:val="bottom"/>
          </w:tcPr>
          <w:p w14:paraId="5F5670B6" w14:textId="7EDCA7B0" w:rsidR="00BB1FCB" w:rsidRPr="009702B0" w:rsidRDefault="00BB1FCB" w:rsidP="00BB1FCB">
            <w:pPr>
              <w:spacing w:after="0" w:line="280" w:lineRule="exact"/>
              <w:jc w:val="right"/>
              <w:rPr>
                <w:rFonts w:cs="Arial"/>
                <w:sz w:val="18"/>
                <w:szCs w:val="18"/>
              </w:rPr>
            </w:pPr>
            <w:r w:rsidRPr="00596189">
              <w:rPr>
                <w:rFonts w:cs="Arial"/>
                <w:sz w:val="18"/>
                <w:szCs w:val="18"/>
              </w:rPr>
              <w:t>761</w:t>
            </w:r>
            <w:r>
              <w:rPr>
                <w:rFonts w:cs="Arial"/>
                <w:sz w:val="18"/>
                <w:szCs w:val="18"/>
              </w:rPr>
              <w:t>,</w:t>
            </w:r>
            <w:r w:rsidRPr="00596189">
              <w:rPr>
                <w:rFonts w:cs="Arial"/>
                <w:sz w:val="18"/>
                <w:szCs w:val="18"/>
              </w:rPr>
              <w:t>799</w:t>
            </w:r>
          </w:p>
        </w:tc>
        <w:tc>
          <w:tcPr>
            <w:tcW w:w="542" w:type="pct"/>
            <w:tcBorders>
              <w:top w:val="nil"/>
              <w:left w:val="nil"/>
              <w:bottom w:val="nil"/>
              <w:right w:val="nil"/>
            </w:tcBorders>
            <w:shd w:val="clear" w:color="auto" w:fill="auto"/>
            <w:vAlign w:val="bottom"/>
          </w:tcPr>
          <w:p w14:paraId="122EE2B1" w14:textId="4A216169" w:rsidR="00BB1FCB" w:rsidRPr="009702B0" w:rsidRDefault="00BB1FCB" w:rsidP="00BB1FCB">
            <w:pPr>
              <w:spacing w:after="0" w:line="280" w:lineRule="exact"/>
              <w:jc w:val="right"/>
              <w:rPr>
                <w:rFonts w:cs="Arial"/>
                <w:sz w:val="18"/>
                <w:szCs w:val="18"/>
              </w:rPr>
            </w:pPr>
            <w:r w:rsidRPr="00596189">
              <w:rPr>
                <w:rFonts w:cs="Arial"/>
                <w:sz w:val="18"/>
                <w:szCs w:val="18"/>
              </w:rPr>
              <w:t>770</w:t>
            </w:r>
            <w:r>
              <w:rPr>
                <w:rFonts w:cs="Arial"/>
                <w:sz w:val="18"/>
                <w:szCs w:val="18"/>
              </w:rPr>
              <w:t>,</w:t>
            </w:r>
            <w:r w:rsidRPr="00596189">
              <w:rPr>
                <w:rFonts w:cs="Arial"/>
                <w:sz w:val="18"/>
                <w:szCs w:val="18"/>
              </w:rPr>
              <w:t>835</w:t>
            </w:r>
          </w:p>
        </w:tc>
        <w:tc>
          <w:tcPr>
            <w:tcW w:w="542" w:type="pct"/>
            <w:tcBorders>
              <w:top w:val="nil"/>
              <w:left w:val="nil"/>
              <w:bottom w:val="nil"/>
              <w:right w:val="nil"/>
            </w:tcBorders>
            <w:shd w:val="clear" w:color="auto" w:fill="auto"/>
            <w:vAlign w:val="bottom"/>
          </w:tcPr>
          <w:p w14:paraId="2BBB5B59" w14:textId="0AAFDBB8" w:rsidR="00BB1FCB" w:rsidRPr="009702B0" w:rsidRDefault="00BB1FCB" w:rsidP="00BB1FCB">
            <w:pPr>
              <w:spacing w:after="0" w:line="280" w:lineRule="exact"/>
              <w:jc w:val="right"/>
              <w:rPr>
                <w:rFonts w:cs="Arial"/>
                <w:sz w:val="18"/>
                <w:szCs w:val="18"/>
              </w:rPr>
            </w:pPr>
            <w:r w:rsidRPr="00596189">
              <w:rPr>
                <w:rFonts w:cs="Arial"/>
                <w:sz w:val="18"/>
                <w:szCs w:val="18"/>
              </w:rPr>
              <w:t>1</w:t>
            </w:r>
            <w:r>
              <w:rPr>
                <w:rFonts w:cs="Arial"/>
                <w:sz w:val="18"/>
                <w:szCs w:val="18"/>
              </w:rPr>
              <w:t>,</w:t>
            </w:r>
            <w:r w:rsidRPr="00596189">
              <w:rPr>
                <w:rFonts w:cs="Arial"/>
                <w:sz w:val="18"/>
                <w:szCs w:val="18"/>
              </w:rPr>
              <w:t>665</w:t>
            </w:r>
            <w:r>
              <w:rPr>
                <w:rFonts w:cs="Arial"/>
                <w:sz w:val="18"/>
                <w:szCs w:val="18"/>
              </w:rPr>
              <w:t>,</w:t>
            </w:r>
            <w:r w:rsidRPr="00596189">
              <w:rPr>
                <w:rFonts w:cs="Arial"/>
                <w:sz w:val="18"/>
                <w:szCs w:val="18"/>
              </w:rPr>
              <w:t>456</w:t>
            </w:r>
          </w:p>
        </w:tc>
        <w:tc>
          <w:tcPr>
            <w:tcW w:w="542" w:type="pct"/>
            <w:tcBorders>
              <w:top w:val="nil"/>
              <w:left w:val="nil"/>
              <w:bottom w:val="nil"/>
              <w:right w:val="nil"/>
            </w:tcBorders>
            <w:shd w:val="clear" w:color="auto" w:fill="auto"/>
            <w:vAlign w:val="bottom"/>
          </w:tcPr>
          <w:p w14:paraId="4DAC1DE7" w14:textId="4A1BA9BC" w:rsidR="00BB1FCB" w:rsidRPr="009702B0" w:rsidRDefault="00BB1FCB" w:rsidP="00BB1FCB">
            <w:pPr>
              <w:spacing w:after="0" w:line="280" w:lineRule="exact"/>
              <w:jc w:val="right"/>
              <w:rPr>
                <w:rFonts w:cs="Arial"/>
                <w:sz w:val="18"/>
                <w:szCs w:val="18"/>
              </w:rPr>
            </w:pPr>
            <w:r w:rsidRPr="00596189">
              <w:rPr>
                <w:rFonts w:cs="Arial"/>
                <w:sz w:val="18"/>
                <w:szCs w:val="18"/>
              </w:rPr>
              <w:t>6</w:t>
            </w:r>
            <w:r>
              <w:rPr>
                <w:rFonts w:cs="Arial"/>
                <w:sz w:val="18"/>
                <w:szCs w:val="18"/>
              </w:rPr>
              <w:t>,</w:t>
            </w:r>
            <w:r w:rsidRPr="00596189">
              <w:rPr>
                <w:rFonts w:cs="Arial"/>
                <w:sz w:val="18"/>
                <w:szCs w:val="18"/>
              </w:rPr>
              <w:t>618</w:t>
            </w:r>
            <w:r>
              <w:rPr>
                <w:rFonts w:cs="Arial"/>
                <w:sz w:val="18"/>
                <w:szCs w:val="18"/>
              </w:rPr>
              <w:t>,</w:t>
            </w:r>
            <w:r w:rsidRPr="00596189">
              <w:rPr>
                <w:rFonts w:cs="Arial"/>
                <w:sz w:val="18"/>
                <w:szCs w:val="18"/>
              </w:rPr>
              <w:t>197</w:t>
            </w:r>
          </w:p>
        </w:tc>
        <w:tc>
          <w:tcPr>
            <w:tcW w:w="542" w:type="pct"/>
            <w:tcBorders>
              <w:top w:val="nil"/>
              <w:left w:val="nil"/>
              <w:bottom w:val="nil"/>
              <w:right w:val="nil"/>
            </w:tcBorders>
            <w:shd w:val="clear" w:color="auto" w:fill="auto"/>
            <w:vAlign w:val="bottom"/>
          </w:tcPr>
          <w:p w14:paraId="5F040613" w14:textId="224B6F8F" w:rsidR="00BB1FCB" w:rsidRPr="009702B0" w:rsidRDefault="00BB1FCB" w:rsidP="00BB1FCB">
            <w:pPr>
              <w:spacing w:after="0" w:line="280" w:lineRule="exact"/>
              <w:jc w:val="right"/>
              <w:rPr>
                <w:rFonts w:cs="Arial"/>
                <w:sz w:val="18"/>
                <w:szCs w:val="18"/>
              </w:rPr>
            </w:pPr>
            <w:r w:rsidRPr="00596189">
              <w:rPr>
                <w:rFonts w:cs="Arial"/>
                <w:sz w:val="18"/>
                <w:szCs w:val="18"/>
              </w:rPr>
              <w:t>63</w:t>
            </w:r>
            <w:r>
              <w:rPr>
                <w:rFonts w:cs="Arial"/>
                <w:sz w:val="18"/>
                <w:szCs w:val="18"/>
              </w:rPr>
              <w:t>,</w:t>
            </w:r>
            <w:r w:rsidRPr="00596189">
              <w:rPr>
                <w:rFonts w:cs="Arial"/>
                <w:sz w:val="18"/>
                <w:szCs w:val="18"/>
              </w:rPr>
              <w:t>249</w:t>
            </w:r>
          </w:p>
        </w:tc>
        <w:tc>
          <w:tcPr>
            <w:tcW w:w="542" w:type="pct"/>
            <w:tcBorders>
              <w:top w:val="nil"/>
              <w:left w:val="nil"/>
              <w:bottom w:val="nil"/>
              <w:right w:val="nil"/>
            </w:tcBorders>
            <w:shd w:val="clear" w:color="auto" w:fill="auto"/>
            <w:vAlign w:val="bottom"/>
          </w:tcPr>
          <w:p w14:paraId="3869FAF8" w14:textId="430387C2" w:rsidR="00BB1FCB" w:rsidRPr="009702B0" w:rsidRDefault="00BB1FCB" w:rsidP="00BB1FCB">
            <w:pPr>
              <w:spacing w:after="0" w:line="280" w:lineRule="exact"/>
              <w:jc w:val="right"/>
              <w:rPr>
                <w:rFonts w:cs="Arial"/>
                <w:sz w:val="18"/>
                <w:szCs w:val="18"/>
              </w:rPr>
            </w:pPr>
            <w:r w:rsidRPr="00596189">
              <w:rPr>
                <w:rFonts w:cs="Arial"/>
                <w:sz w:val="18"/>
                <w:szCs w:val="18"/>
              </w:rPr>
              <w:t>11</w:t>
            </w:r>
            <w:r>
              <w:rPr>
                <w:rFonts w:cs="Arial"/>
                <w:sz w:val="18"/>
                <w:szCs w:val="18"/>
              </w:rPr>
              <w:t>,</w:t>
            </w:r>
            <w:r w:rsidRPr="00596189">
              <w:rPr>
                <w:rFonts w:cs="Arial"/>
                <w:sz w:val="18"/>
                <w:szCs w:val="18"/>
              </w:rPr>
              <w:t>913</w:t>
            </w:r>
            <w:r>
              <w:rPr>
                <w:rFonts w:cs="Arial"/>
                <w:sz w:val="18"/>
                <w:szCs w:val="18"/>
              </w:rPr>
              <w:t>,</w:t>
            </w:r>
            <w:r w:rsidRPr="00596189">
              <w:rPr>
                <w:rFonts w:cs="Arial"/>
                <w:sz w:val="18"/>
                <w:szCs w:val="18"/>
              </w:rPr>
              <w:t>212</w:t>
            </w:r>
          </w:p>
        </w:tc>
      </w:tr>
      <w:tr w:rsidR="00BB1FCB" w:rsidRPr="009702B0" w14:paraId="55047B85" w14:textId="77777777" w:rsidTr="009702B0">
        <w:trPr>
          <w:trHeight w:val="535"/>
        </w:trPr>
        <w:tc>
          <w:tcPr>
            <w:tcW w:w="1204" w:type="pct"/>
            <w:shd w:val="clear" w:color="auto" w:fill="auto"/>
            <w:vAlign w:val="bottom"/>
          </w:tcPr>
          <w:p w14:paraId="73E90DC8" w14:textId="77777777" w:rsidR="00BB1FCB" w:rsidRPr="009702B0" w:rsidRDefault="00BB1FCB" w:rsidP="00BB1FCB">
            <w:pPr>
              <w:tabs>
                <w:tab w:val="left" w:pos="-720"/>
              </w:tabs>
              <w:suppressAutoHyphens/>
              <w:spacing w:after="0" w:line="280" w:lineRule="exact"/>
              <w:ind w:right="-5"/>
              <w:rPr>
                <w:rFonts w:cs="Arial"/>
                <w:sz w:val="18"/>
                <w:szCs w:val="18"/>
              </w:rPr>
            </w:pPr>
            <w:r w:rsidRPr="009702B0">
              <w:rPr>
                <w:rFonts w:cs="Arial"/>
                <w:sz w:val="18"/>
                <w:szCs w:val="18"/>
              </w:rPr>
              <w:t>Financial assets at fair value through profit or loss</w:t>
            </w:r>
          </w:p>
        </w:tc>
        <w:tc>
          <w:tcPr>
            <w:tcW w:w="542" w:type="pct"/>
            <w:tcBorders>
              <w:top w:val="nil"/>
              <w:left w:val="nil"/>
              <w:bottom w:val="nil"/>
              <w:right w:val="nil"/>
            </w:tcBorders>
            <w:shd w:val="clear" w:color="auto" w:fill="auto"/>
            <w:vAlign w:val="bottom"/>
          </w:tcPr>
          <w:p w14:paraId="4EC2B647" w14:textId="797BE9E6" w:rsidR="00BB1FCB" w:rsidRPr="009702B0" w:rsidRDefault="00BB1FCB" w:rsidP="00BB1FCB">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1ED7AF1E" w14:textId="21C92740" w:rsidR="00BB1FCB" w:rsidRPr="009702B0" w:rsidRDefault="00BB1FCB" w:rsidP="00BB1FCB">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5365C5E6" w14:textId="3CF37E1E" w:rsidR="00BB1FCB" w:rsidRPr="009702B0" w:rsidRDefault="00BB1FCB" w:rsidP="00BB1FCB">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0265E4A5" w14:textId="643A23C1" w:rsidR="00BB1FCB" w:rsidRPr="009702B0" w:rsidRDefault="00BB1FCB" w:rsidP="00BB1FCB">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1A014A7C" w14:textId="257AA1AB" w:rsidR="00BB1FCB" w:rsidRPr="009702B0" w:rsidRDefault="00BB1FCB" w:rsidP="00BB1FCB">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3E9347E6" w14:textId="6C98EEF1" w:rsidR="00BB1FCB" w:rsidRPr="009702B0" w:rsidRDefault="00BB1FCB" w:rsidP="00BB1FCB">
            <w:pPr>
              <w:spacing w:after="0" w:line="280" w:lineRule="exact"/>
              <w:jc w:val="right"/>
              <w:rPr>
                <w:rFonts w:cs="Arial"/>
                <w:sz w:val="18"/>
                <w:szCs w:val="18"/>
              </w:rPr>
            </w:pPr>
            <w:r w:rsidRPr="00596189">
              <w:rPr>
                <w:rFonts w:cs="Arial"/>
                <w:sz w:val="18"/>
                <w:szCs w:val="18"/>
              </w:rPr>
              <w:t>288</w:t>
            </w:r>
          </w:p>
        </w:tc>
        <w:tc>
          <w:tcPr>
            <w:tcW w:w="542" w:type="pct"/>
            <w:tcBorders>
              <w:top w:val="nil"/>
              <w:left w:val="nil"/>
              <w:bottom w:val="nil"/>
              <w:right w:val="nil"/>
            </w:tcBorders>
            <w:shd w:val="clear" w:color="auto" w:fill="auto"/>
            <w:vAlign w:val="bottom"/>
          </w:tcPr>
          <w:p w14:paraId="333A0CA9" w14:textId="42137AE1" w:rsidR="00BB1FCB" w:rsidRPr="009702B0" w:rsidRDefault="00BB1FCB" w:rsidP="00BB1FCB">
            <w:pPr>
              <w:spacing w:after="0" w:line="280" w:lineRule="exact"/>
              <w:jc w:val="right"/>
              <w:rPr>
                <w:rFonts w:cs="Arial"/>
                <w:sz w:val="18"/>
                <w:szCs w:val="18"/>
              </w:rPr>
            </w:pPr>
            <w:r w:rsidRPr="00596189">
              <w:rPr>
                <w:rFonts w:cs="Arial"/>
                <w:sz w:val="18"/>
                <w:szCs w:val="18"/>
              </w:rPr>
              <w:t>288</w:t>
            </w:r>
          </w:p>
        </w:tc>
      </w:tr>
      <w:tr w:rsidR="00BB1FCB" w:rsidRPr="009702B0" w14:paraId="6F45CBF8" w14:textId="77777777" w:rsidTr="009702B0">
        <w:trPr>
          <w:trHeight w:val="274"/>
        </w:trPr>
        <w:tc>
          <w:tcPr>
            <w:tcW w:w="1204" w:type="pct"/>
            <w:shd w:val="clear" w:color="auto" w:fill="auto"/>
            <w:vAlign w:val="bottom"/>
          </w:tcPr>
          <w:p w14:paraId="28038C23" w14:textId="77777777" w:rsidR="00BB1FCB" w:rsidRPr="009702B0" w:rsidRDefault="00BB1FCB" w:rsidP="00BB1FCB">
            <w:pPr>
              <w:tabs>
                <w:tab w:val="left" w:pos="-720"/>
              </w:tabs>
              <w:suppressAutoHyphens/>
              <w:spacing w:after="0" w:line="280" w:lineRule="exact"/>
              <w:ind w:right="-5"/>
              <w:rPr>
                <w:rFonts w:cs="Arial"/>
                <w:sz w:val="18"/>
                <w:szCs w:val="18"/>
              </w:rPr>
            </w:pPr>
            <w:r w:rsidRPr="009702B0">
              <w:rPr>
                <w:rFonts w:cs="Arial"/>
                <w:sz w:val="18"/>
                <w:szCs w:val="18"/>
              </w:rPr>
              <w:t xml:space="preserve">Assets available for sale </w:t>
            </w:r>
          </w:p>
        </w:tc>
        <w:tc>
          <w:tcPr>
            <w:tcW w:w="542" w:type="pct"/>
            <w:tcBorders>
              <w:top w:val="nil"/>
              <w:left w:val="nil"/>
              <w:bottom w:val="nil"/>
              <w:right w:val="nil"/>
            </w:tcBorders>
            <w:shd w:val="clear" w:color="auto" w:fill="auto"/>
            <w:vAlign w:val="bottom"/>
          </w:tcPr>
          <w:p w14:paraId="2B23E6FE" w14:textId="005DCFCD" w:rsidR="00BB1FCB" w:rsidRPr="009702B0" w:rsidRDefault="00BB1FCB" w:rsidP="00BB1FCB">
            <w:pPr>
              <w:spacing w:after="0" w:line="280" w:lineRule="exact"/>
              <w:jc w:val="right"/>
              <w:rPr>
                <w:rFonts w:cs="Arial"/>
                <w:sz w:val="18"/>
                <w:szCs w:val="18"/>
              </w:rPr>
            </w:pPr>
            <w:r w:rsidRPr="00596189">
              <w:rPr>
                <w:rFonts w:cs="Arial"/>
                <w:sz w:val="18"/>
                <w:szCs w:val="18"/>
              </w:rPr>
              <w:t>2</w:t>
            </w:r>
            <w:r>
              <w:rPr>
                <w:rFonts w:cs="Arial"/>
                <w:sz w:val="18"/>
                <w:szCs w:val="18"/>
              </w:rPr>
              <w:t>,</w:t>
            </w:r>
            <w:r w:rsidRPr="00596189">
              <w:rPr>
                <w:rFonts w:cs="Arial"/>
                <w:sz w:val="18"/>
                <w:szCs w:val="18"/>
              </w:rPr>
              <w:t>451</w:t>
            </w:r>
            <w:r>
              <w:rPr>
                <w:rFonts w:cs="Arial"/>
                <w:sz w:val="18"/>
                <w:szCs w:val="18"/>
              </w:rPr>
              <w:t>,</w:t>
            </w:r>
            <w:r w:rsidRPr="00596189">
              <w:rPr>
                <w:rFonts w:cs="Arial"/>
                <w:sz w:val="18"/>
                <w:szCs w:val="18"/>
              </w:rPr>
              <w:t>409</w:t>
            </w:r>
          </w:p>
        </w:tc>
        <w:tc>
          <w:tcPr>
            <w:tcW w:w="542" w:type="pct"/>
            <w:tcBorders>
              <w:top w:val="nil"/>
              <w:left w:val="nil"/>
              <w:bottom w:val="nil"/>
              <w:right w:val="nil"/>
            </w:tcBorders>
            <w:shd w:val="clear" w:color="auto" w:fill="auto"/>
            <w:vAlign w:val="bottom"/>
          </w:tcPr>
          <w:p w14:paraId="1B6174AB" w14:textId="29F99895" w:rsidR="00BB1FCB" w:rsidRPr="009702B0" w:rsidRDefault="00BB1FCB" w:rsidP="00BB1FCB">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04C58829" w14:textId="675F4CF1" w:rsidR="00BB1FCB" w:rsidRPr="009702B0" w:rsidRDefault="00BB1FCB" w:rsidP="00BB1FCB">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29053DAD" w14:textId="4E17A659" w:rsidR="00BB1FCB" w:rsidRPr="009702B0" w:rsidRDefault="00BB1FCB" w:rsidP="00BB1FCB">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491BD2D7" w14:textId="7C557447" w:rsidR="00BB1FCB" w:rsidRPr="009702B0" w:rsidRDefault="00BB1FCB" w:rsidP="00BB1FCB">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4B745666" w14:textId="755AC0B9" w:rsidR="00BB1FCB" w:rsidRPr="009702B0" w:rsidRDefault="00BB1FCB" w:rsidP="00BB1FCB">
            <w:pPr>
              <w:spacing w:after="0" w:line="280" w:lineRule="exact"/>
              <w:jc w:val="right"/>
              <w:rPr>
                <w:rFonts w:cs="Arial"/>
                <w:sz w:val="18"/>
                <w:szCs w:val="18"/>
              </w:rPr>
            </w:pPr>
            <w:r w:rsidRPr="00596189">
              <w:rPr>
                <w:rFonts w:cs="Arial"/>
                <w:sz w:val="18"/>
                <w:szCs w:val="18"/>
              </w:rPr>
              <w:t>862</w:t>
            </w:r>
            <w:r>
              <w:rPr>
                <w:rFonts w:cs="Arial"/>
                <w:sz w:val="18"/>
                <w:szCs w:val="18"/>
              </w:rPr>
              <w:t>,</w:t>
            </w:r>
            <w:r w:rsidRPr="00596189">
              <w:rPr>
                <w:rFonts w:cs="Arial"/>
                <w:sz w:val="18"/>
                <w:szCs w:val="18"/>
              </w:rPr>
              <w:t>636</w:t>
            </w:r>
          </w:p>
        </w:tc>
        <w:tc>
          <w:tcPr>
            <w:tcW w:w="542" w:type="pct"/>
            <w:tcBorders>
              <w:top w:val="nil"/>
              <w:left w:val="nil"/>
              <w:bottom w:val="nil"/>
              <w:right w:val="nil"/>
            </w:tcBorders>
            <w:shd w:val="clear" w:color="auto" w:fill="auto"/>
            <w:vAlign w:val="bottom"/>
          </w:tcPr>
          <w:p w14:paraId="49236E28" w14:textId="35A08001" w:rsidR="00BB1FCB" w:rsidRPr="009702B0" w:rsidRDefault="00BB1FCB" w:rsidP="00BB1FCB">
            <w:pPr>
              <w:spacing w:after="0" w:line="280" w:lineRule="exact"/>
              <w:jc w:val="right"/>
              <w:rPr>
                <w:rFonts w:cs="Arial"/>
                <w:sz w:val="18"/>
                <w:szCs w:val="18"/>
              </w:rPr>
            </w:pPr>
            <w:r w:rsidRPr="00596189">
              <w:rPr>
                <w:rFonts w:cs="Arial"/>
                <w:sz w:val="18"/>
                <w:szCs w:val="18"/>
              </w:rPr>
              <w:t>3</w:t>
            </w:r>
            <w:r>
              <w:rPr>
                <w:rFonts w:cs="Arial"/>
                <w:sz w:val="18"/>
                <w:szCs w:val="18"/>
              </w:rPr>
              <w:t>,</w:t>
            </w:r>
            <w:r w:rsidRPr="00596189">
              <w:rPr>
                <w:rFonts w:cs="Arial"/>
                <w:sz w:val="18"/>
                <w:szCs w:val="18"/>
              </w:rPr>
              <w:t>314</w:t>
            </w:r>
            <w:r>
              <w:rPr>
                <w:rFonts w:cs="Arial"/>
                <w:sz w:val="18"/>
                <w:szCs w:val="18"/>
              </w:rPr>
              <w:t>,</w:t>
            </w:r>
            <w:r w:rsidRPr="00596189">
              <w:rPr>
                <w:rFonts w:cs="Arial"/>
                <w:sz w:val="18"/>
                <w:szCs w:val="18"/>
              </w:rPr>
              <w:t>045</w:t>
            </w:r>
          </w:p>
        </w:tc>
      </w:tr>
      <w:tr w:rsidR="00BB1FCB" w:rsidRPr="009702B0" w14:paraId="6029C3FE" w14:textId="77777777" w:rsidTr="009702B0">
        <w:trPr>
          <w:trHeight w:val="261"/>
        </w:trPr>
        <w:tc>
          <w:tcPr>
            <w:tcW w:w="1204" w:type="pct"/>
            <w:shd w:val="clear" w:color="auto" w:fill="auto"/>
            <w:vAlign w:val="bottom"/>
          </w:tcPr>
          <w:p w14:paraId="63AEE852" w14:textId="77777777" w:rsidR="00BB1FCB" w:rsidRPr="009702B0" w:rsidRDefault="00BB1FCB" w:rsidP="00BB1FCB">
            <w:pPr>
              <w:tabs>
                <w:tab w:val="left" w:pos="-720"/>
              </w:tabs>
              <w:suppressAutoHyphens/>
              <w:spacing w:after="0" w:line="280" w:lineRule="exact"/>
              <w:ind w:right="-5"/>
              <w:rPr>
                <w:rFonts w:cs="Arial"/>
                <w:sz w:val="18"/>
                <w:szCs w:val="18"/>
              </w:rPr>
            </w:pPr>
            <w:r w:rsidRPr="009702B0">
              <w:rPr>
                <w:rFonts w:cs="Arial"/>
                <w:sz w:val="18"/>
                <w:szCs w:val="18"/>
              </w:rPr>
              <w:t xml:space="preserve">Assets held to maturity </w:t>
            </w:r>
          </w:p>
        </w:tc>
        <w:tc>
          <w:tcPr>
            <w:tcW w:w="542" w:type="pct"/>
            <w:tcBorders>
              <w:top w:val="nil"/>
              <w:left w:val="nil"/>
              <w:bottom w:val="nil"/>
              <w:right w:val="nil"/>
            </w:tcBorders>
            <w:shd w:val="clear" w:color="auto" w:fill="auto"/>
            <w:vAlign w:val="bottom"/>
          </w:tcPr>
          <w:p w14:paraId="48137C1D" w14:textId="695B7782" w:rsidR="00BB1FCB" w:rsidRPr="009702B0" w:rsidRDefault="00BB1FCB" w:rsidP="00BB1FCB">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2E8D34B6" w14:textId="7504AB90" w:rsidR="00BB1FCB" w:rsidRPr="009702B0" w:rsidRDefault="00BB1FCB" w:rsidP="00BB1FCB">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7A2BEB3A" w14:textId="4F369E62" w:rsidR="00BB1FCB" w:rsidRPr="009702B0" w:rsidRDefault="00BB1FCB" w:rsidP="00BB1FCB">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01EC0A5B" w14:textId="7D67052B" w:rsidR="00BB1FCB" w:rsidRPr="009702B0" w:rsidRDefault="00BB1FCB" w:rsidP="00BB1FCB">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57560951" w14:textId="743E2E37" w:rsidR="00BB1FCB" w:rsidRPr="009702B0" w:rsidRDefault="00BB1FCB" w:rsidP="00BB1FCB">
            <w:pPr>
              <w:spacing w:after="0" w:line="280" w:lineRule="exact"/>
              <w:jc w:val="right"/>
              <w:rPr>
                <w:rFonts w:cs="Arial"/>
                <w:sz w:val="18"/>
                <w:szCs w:val="18"/>
              </w:rPr>
            </w:pPr>
            <w:r w:rsidRPr="00596189">
              <w:rPr>
                <w:rFonts w:cs="Arial"/>
                <w:sz w:val="18"/>
                <w:szCs w:val="18"/>
              </w:rPr>
              <w:t>1</w:t>
            </w:r>
            <w:r>
              <w:rPr>
                <w:rFonts w:cs="Arial"/>
                <w:sz w:val="18"/>
                <w:szCs w:val="18"/>
              </w:rPr>
              <w:t>,</w:t>
            </w:r>
            <w:r w:rsidRPr="00596189">
              <w:rPr>
                <w:rFonts w:cs="Arial"/>
                <w:sz w:val="18"/>
                <w:szCs w:val="18"/>
              </w:rPr>
              <w:t>386</w:t>
            </w:r>
          </w:p>
        </w:tc>
        <w:tc>
          <w:tcPr>
            <w:tcW w:w="542" w:type="pct"/>
            <w:tcBorders>
              <w:top w:val="nil"/>
              <w:left w:val="nil"/>
              <w:bottom w:val="nil"/>
              <w:right w:val="nil"/>
            </w:tcBorders>
            <w:shd w:val="clear" w:color="auto" w:fill="auto"/>
            <w:vAlign w:val="bottom"/>
          </w:tcPr>
          <w:p w14:paraId="1AB0547A" w14:textId="107FEDE4" w:rsidR="00BB1FCB" w:rsidRPr="009702B0" w:rsidRDefault="00BB1FCB" w:rsidP="00BB1FCB">
            <w:pPr>
              <w:spacing w:after="0" w:line="280" w:lineRule="exact"/>
              <w:jc w:val="right"/>
              <w:rPr>
                <w:rFonts w:cs="Arial"/>
                <w:sz w:val="18"/>
                <w:szCs w:val="18"/>
              </w:rPr>
            </w:pPr>
            <w:r w:rsidRPr="00596189">
              <w:rPr>
                <w:rFonts w:cs="Arial"/>
                <w:sz w:val="18"/>
                <w:szCs w:val="18"/>
              </w:rPr>
              <w:t>18</w:t>
            </w:r>
          </w:p>
        </w:tc>
        <w:tc>
          <w:tcPr>
            <w:tcW w:w="542" w:type="pct"/>
            <w:tcBorders>
              <w:top w:val="nil"/>
              <w:left w:val="nil"/>
              <w:bottom w:val="nil"/>
              <w:right w:val="nil"/>
            </w:tcBorders>
            <w:shd w:val="clear" w:color="auto" w:fill="auto"/>
            <w:vAlign w:val="bottom"/>
          </w:tcPr>
          <w:p w14:paraId="79A593F3" w14:textId="16D60BB0" w:rsidR="00BB1FCB" w:rsidRPr="009702B0" w:rsidRDefault="00BB1FCB" w:rsidP="00BB1FCB">
            <w:pPr>
              <w:spacing w:after="0" w:line="280" w:lineRule="exact"/>
              <w:jc w:val="right"/>
              <w:rPr>
                <w:rFonts w:cs="Arial"/>
                <w:sz w:val="18"/>
                <w:szCs w:val="18"/>
              </w:rPr>
            </w:pPr>
            <w:r w:rsidRPr="00596189">
              <w:rPr>
                <w:rFonts w:cs="Arial"/>
                <w:sz w:val="18"/>
                <w:szCs w:val="18"/>
              </w:rPr>
              <w:t>1</w:t>
            </w:r>
            <w:r>
              <w:rPr>
                <w:rFonts w:cs="Arial"/>
                <w:sz w:val="18"/>
                <w:szCs w:val="18"/>
              </w:rPr>
              <w:t>,</w:t>
            </w:r>
            <w:r w:rsidRPr="00596189">
              <w:rPr>
                <w:rFonts w:cs="Arial"/>
                <w:sz w:val="18"/>
                <w:szCs w:val="18"/>
              </w:rPr>
              <w:t>404</w:t>
            </w:r>
          </w:p>
        </w:tc>
      </w:tr>
      <w:tr w:rsidR="00BB1FCB" w:rsidRPr="009702B0" w14:paraId="5844C5F5" w14:textId="77777777" w:rsidTr="009702B0">
        <w:trPr>
          <w:trHeight w:val="274"/>
        </w:trPr>
        <w:tc>
          <w:tcPr>
            <w:tcW w:w="1204" w:type="pct"/>
            <w:shd w:val="clear" w:color="auto" w:fill="auto"/>
            <w:vAlign w:val="bottom"/>
          </w:tcPr>
          <w:p w14:paraId="3D50C4B6" w14:textId="77777777" w:rsidR="00BB1FCB" w:rsidRPr="009702B0" w:rsidRDefault="00BB1FCB" w:rsidP="00BB1FCB">
            <w:pPr>
              <w:tabs>
                <w:tab w:val="left" w:pos="-720"/>
              </w:tabs>
              <w:suppressAutoHyphens/>
              <w:spacing w:after="0" w:line="280" w:lineRule="exact"/>
              <w:ind w:right="-5"/>
              <w:rPr>
                <w:rFonts w:cs="Arial"/>
                <w:sz w:val="18"/>
                <w:szCs w:val="18"/>
              </w:rPr>
            </w:pPr>
            <w:r w:rsidRPr="009702B0">
              <w:rPr>
                <w:rFonts w:cs="Arial"/>
                <w:sz w:val="18"/>
                <w:szCs w:val="18"/>
              </w:rPr>
              <w:t xml:space="preserve">Investments in associates </w:t>
            </w:r>
          </w:p>
        </w:tc>
        <w:tc>
          <w:tcPr>
            <w:tcW w:w="542" w:type="pct"/>
            <w:tcBorders>
              <w:top w:val="nil"/>
              <w:left w:val="nil"/>
              <w:bottom w:val="nil"/>
              <w:right w:val="nil"/>
            </w:tcBorders>
            <w:shd w:val="clear" w:color="auto" w:fill="auto"/>
            <w:vAlign w:val="bottom"/>
          </w:tcPr>
          <w:p w14:paraId="5E9740FF" w14:textId="2C8B19D5" w:rsidR="00BB1FCB" w:rsidRPr="009702B0" w:rsidRDefault="00BB1FCB" w:rsidP="00BB1FCB">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6BA57065" w14:textId="6F6AD160" w:rsidR="00BB1FCB" w:rsidRPr="009702B0" w:rsidRDefault="00BB1FCB" w:rsidP="00BB1FCB">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44D5B2E6" w14:textId="6FEF3746" w:rsidR="00BB1FCB" w:rsidRPr="009702B0" w:rsidRDefault="00BB1FCB" w:rsidP="00BB1FCB">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553D0416" w14:textId="47286BBF" w:rsidR="00BB1FCB" w:rsidRPr="009702B0" w:rsidRDefault="00BB1FCB" w:rsidP="00BB1FCB">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20D2945D" w14:textId="74BA46D7" w:rsidR="00BB1FCB" w:rsidRPr="009702B0" w:rsidRDefault="00BB1FCB" w:rsidP="00BB1FCB">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49927B7E" w14:textId="293C98BF" w:rsidR="00BB1FCB" w:rsidRPr="009702B0" w:rsidRDefault="00BB1FCB" w:rsidP="00BB1FCB">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13986419" w14:textId="14BCADEF" w:rsidR="00BB1FCB" w:rsidRPr="009702B0" w:rsidRDefault="00BB1FCB" w:rsidP="00BB1FCB">
            <w:pPr>
              <w:spacing w:after="0" w:line="280" w:lineRule="exact"/>
              <w:jc w:val="right"/>
              <w:rPr>
                <w:rFonts w:cs="Arial"/>
                <w:sz w:val="18"/>
                <w:szCs w:val="18"/>
              </w:rPr>
            </w:pPr>
            <w:r>
              <w:rPr>
                <w:rFonts w:cs="Arial"/>
                <w:sz w:val="18"/>
                <w:szCs w:val="18"/>
              </w:rPr>
              <w:t>-</w:t>
            </w:r>
          </w:p>
        </w:tc>
      </w:tr>
      <w:tr w:rsidR="00BB1FCB" w:rsidRPr="009702B0" w14:paraId="491ECCB2" w14:textId="77777777" w:rsidTr="009702B0">
        <w:trPr>
          <w:trHeight w:val="535"/>
        </w:trPr>
        <w:tc>
          <w:tcPr>
            <w:tcW w:w="1204" w:type="pct"/>
            <w:shd w:val="clear" w:color="auto" w:fill="auto"/>
            <w:vAlign w:val="bottom"/>
          </w:tcPr>
          <w:p w14:paraId="616B2EA7" w14:textId="77777777" w:rsidR="00BB1FCB" w:rsidRPr="009702B0" w:rsidRDefault="00BB1FCB" w:rsidP="00BB1FCB">
            <w:pPr>
              <w:tabs>
                <w:tab w:val="left" w:pos="-720"/>
              </w:tabs>
              <w:suppressAutoHyphens/>
              <w:spacing w:after="0" w:line="280" w:lineRule="exact"/>
              <w:ind w:right="-5"/>
              <w:rPr>
                <w:rFonts w:cs="Arial"/>
                <w:sz w:val="18"/>
                <w:szCs w:val="18"/>
              </w:rPr>
            </w:pPr>
            <w:r w:rsidRPr="009702B0">
              <w:rPr>
                <w:rFonts w:cs="Arial"/>
                <w:sz w:val="18"/>
                <w:szCs w:val="18"/>
              </w:rPr>
              <w:t xml:space="preserve">Property, plant and equipment and intangible assets </w:t>
            </w:r>
          </w:p>
        </w:tc>
        <w:tc>
          <w:tcPr>
            <w:tcW w:w="542" w:type="pct"/>
            <w:tcBorders>
              <w:top w:val="nil"/>
              <w:left w:val="nil"/>
              <w:bottom w:val="nil"/>
              <w:right w:val="nil"/>
            </w:tcBorders>
            <w:shd w:val="clear" w:color="auto" w:fill="auto"/>
            <w:vAlign w:val="bottom"/>
          </w:tcPr>
          <w:p w14:paraId="67E9B706" w14:textId="2569556F" w:rsidR="00BB1FCB" w:rsidRPr="009702B0" w:rsidRDefault="00BB1FCB" w:rsidP="00BB1FCB">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0C1F52C6" w14:textId="54FF5239" w:rsidR="00BB1FCB" w:rsidRPr="009702B0" w:rsidRDefault="00BB1FCB" w:rsidP="00BB1FCB">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28B7377E" w14:textId="620238CF" w:rsidR="00BB1FCB" w:rsidRPr="009702B0" w:rsidRDefault="00BB1FCB" w:rsidP="00BB1FCB">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17D8B425" w14:textId="0A4A50D1" w:rsidR="00BB1FCB" w:rsidRPr="009702B0" w:rsidRDefault="00BB1FCB" w:rsidP="00BB1FCB">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6F839AF9" w14:textId="600B1FD1" w:rsidR="00BB1FCB" w:rsidRPr="009702B0" w:rsidRDefault="00BB1FCB" w:rsidP="00BB1FCB">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26DD30C1" w14:textId="25D0701E" w:rsidR="00BB1FCB" w:rsidRPr="009702B0" w:rsidRDefault="00BB1FCB" w:rsidP="00BB1FCB">
            <w:pPr>
              <w:spacing w:after="0" w:line="280" w:lineRule="exact"/>
              <w:jc w:val="right"/>
              <w:rPr>
                <w:rFonts w:cs="Arial"/>
                <w:sz w:val="18"/>
                <w:szCs w:val="18"/>
              </w:rPr>
            </w:pPr>
            <w:r w:rsidRPr="00596189">
              <w:rPr>
                <w:rFonts w:cs="Arial"/>
                <w:sz w:val="18"/>
                <w:szCs w:val="18"/>
              </w:rPr>
              <w:t>54</w:t>
            </w:r>
            <w:r>
              <w:rPr>
                <w:rFonts w:cs="Arial"/>
                <w:sz w:val="18"/>
                <w:szCs w:val="18"/>
              </w:rPr>
              <w:t>,</w:t>
            </w:r>
            <w:r w:rsidRPr="00596189">
              <w:rPr>
                <w:rFonts w:cs="Arial"/>
                <w:sz w:val="18"/>
                <w:szCs w:val="18"/>
              </w:rPr>
              <w:t>076</w:t>
            </w:r>
          </w:p>
        </w:tc>
        <w:tc>
          <w:tcPr>
            <w:tcW w:w="542" w:type="pct"/>
            <w:tcBorders>
              <w:top w:val="nil"/>
              <w:left w:val="nil"/>
              <w:bottom w:val="nil"/>
              <w:right w:val="nil"/>
            </w:tcBorders>
            <w:shd w:val="clear" w:color="auto" w:fill="auto"/>
            <w:vAlign w:val="bottom"/>
          </w:tcPr>
          <w:p w14:paraId="0EA41DFB" w14:textId="4869E48C" w:rsidR="00BB1FCB" w:rsidRPr="009702B0" w:rsidRDefault="00BB1FCB" w:rsidP="00BB1FCB">
            <w:pPr>
              <w:spacing w:after="0" w:line="280" w:lineRule="exact"/>
              <w:jc w:val="right"/>
              <w:rPr>
                <w:rFonts w:cs="Arial"/>
                <w:sz w:val="18"/>
                <w:szCs w:val="18"/>
              </w:rPr>
            </w:pPr>
            <w:r w:rsidRPr="00596189">
              <w:rPr>
                <w:rFonts w:cs="Arial"/>
                <w:sz w:val="18"/>
                <w:szCs w:val="18"/>
              </w:rPr>
              <w:t>54</w:t>
            </w:r>
            <w:r>
              <w:rPr>
                <w:rFonts w:cs="Arial"/>
                <w:sz w:val="18"/>
                <w:szCs w:val="18"/>
              </w:rPr>
              <w:t>,</w:t>
            </w:r>
            <w:r w:rsidRPr="00596189">
              <w:rPr>
                <w:rFonts w:cs="Arial"/>
                <w:sz w:val="18"/>
                <w:szCs w:val="18"/>
              </w:rPr>
              <w:t>076</w:t>
            </w:r>
          </w:p>
        </w:tc>
      </w:tr>
      <w:tr w:rsidR="00BB1FCB" w:rsidRPr="009702B0" w14:paraId="3F29548F" w14:textId="77777777" w:rsidTr="009702B0">
        <w:trPr>
          <w:trHeight w:val="535"/>
        </w:trPr>
        <w:tc>
          <w:tcPr>
            <w:tcW w:w="1204" w:type="pct"/>
            <w:shd w:val="clear" w:color="auto" w:fill="auto"/>
            <w:vAlign w:val="bottom"/>
          </w:tcPr>
          <w:p w14:paraId="3D9FB071" w14:textId="77777777" w:rsidR="00BB1FCB" w:rsidRPr="009702B0" w:rsidRDefault="00BB1FCB" w:rsidP="00BB1FCB">
            <w:pPr>
              <w:tabs>
                <w:tab w:val="left" w:pos="-720"/>
              </w:tabs>
              <w:suppressAutoHyphens/>
              <w:spacing w:after="0" w:line="280" w:lineRule="exact"/>
              <w:ind w:right="-5"/>
              <w:rPr>
                <w:rFonts w:cs="Arial"/>
                <w:sz w:val="18"/>
                <w:szCs w:val="18"/>
              </w:rPr>
            </w:pPr>
            <w:r w:rsidRPr="009702B0">
              <w:rPr>
                <w:rFonts w:cs="Arial"/>
                <w:sz w:val="18"/>
                <w:szCs w:val="18"/>
              </w:rPr>
              <w:t xml:space="preserve">Non-current assets held for sale </w:t>
            </w:r>
          </w:p>
        </w:tc>
        <w:tc>
          <w:tcPr>
            <w:tcW w:w="542" w:type="pct"/>
            <w:tcBorders>
              <w:top w:val="nil"/>
              <w:left w:val="nil"/>
              <w:bottom w:val="nil"/>
              <w:right w:val="nil"/>
            </w:tcBorders>
            <w:shd w:val="clear" w:color="auto" w:fill="auto"/>
            <w:vAlign w:val="bottom"/>
          </w:tcPr>
          <w:p w14:paraId="3240A87B" w14:textId="2171AACC" w:rsidR="00BB1FCB" w:rsidRPr="009702B0" w:rsidRDefault="00BB1FCB" w:rsidP="00BB1FCB">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758C50D2" w14:textId="20B22915" w:rsidR="00BB1FCB" w:rsidRPr="009702B0" w:rsidRDefault="00BB1FCB" w:rsidP="00BB1FCB">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230575D6" w14:textId="6DDEBD5A" w:rsidR="00BB1FCB" w:rsidRPr="009702B0" w:rsidRDefault="00BB1FCB" w:rsidP="00BB1FCB">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23865BCD" w14:textId="151324C7" w:rsidR="00BB1FCB" w:rsidRPr="009702B0" w:rsidRDefault="00BB1FCB" w:rsidP="00BB1FCB">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747C7EC4" w14:textId="1A769C2B" w:rsidR="00BB1FCB" w:rsidRPr="009702B0" w:rsidRDefault="00BB1FCB" w:rsidP="00BB1FCB">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6718275A" w14:textId="5351E819" w:rsidR="00BB1FCB" w:rsidRPr="009702B0" w:rsidRDefault="00BB1FCB" w:rsidP="00BB1FCB">
            <w:pPr>
              <w:spacing w:after="0" w:line="280" w:lineRule="exact"/>
              <w:jc w:val="right"/>
              <w:rPr>
                <w:rFonts w:cs="Arial"/>
                <w:sz w:val="18"/>
                <w:szCs w:val="18"/>
              </w:rPr>
            </w:pPr>
            <w:r w:rsidRPr="00596189">
              <w:rPr>
                <w:rFonts w:cs="Arial"/>
                <w:sz w:val="18"/>
                <w:szCs w:val="18"/>
              </w:rPr>
              <w:t>17</w:t>
            </w:r>
            <w:r>
              <w:rPr>
                <w:rFonts w:cs="Arial"/>
                <w:sz w:val="18"/>
                <w:szCs w:val="18"/>
              </w:rPr>
              <w:t>,</w:t>
            </w:r>
            <w:r w:rsidRPr="00596189">
              <w:rPr>
                <w:rFonts w:cs="Arial"/>
                <w:sz w:val="18"/>
                <w:szCs w:val="18"/>
              </w:rPr>
              <w:t>045</w:t>
            </w:r>
          </w:p>
        </w:tc>
        <w:tc>
          <w:tcPr>
            <w:tcW w:w="542" w:type="pct"/>
            <w:tcBorders>
              <w:top w:val="nil"/>
              <w:left w:val="nil"/>
              <w:bottom w:val="nil"/>
              <w:right w:val="nil"/>
            </w:tcBorders>
            <w:shd w:val="clear" w:color="auto" w:fill="auto"/>
            <w:vAlign w:val="bottom"/>
          </w:tcPr>
          <w:p w14:paraId="24AA952B" w14:textId="0841F60E" w:rsidR="00BB1FCB" w:rsidRPr="009702B0" w:rsidRDefault="00BB1FCB" w:rsidP="00BB1FCB">
            <w:pPr>
              <w:spacing w:after="0" w:line="280" w:lineRule="exact"/>
              <w:jc w:val="right"/>
              <w:rPr>
                <w:rFonts w:cs="Arial"/>
                <w:sz w:val="18"/>
                <w:szCs w:val="18"/>
              </w:rPr>
            </w:pPr>
            <w:r w:rsidRPr="00596189">
              <w:rPr>
                <w:rFonts w:cs="Arial"/>
                <w:sz w:val="18"/>
                <w:szCs w:val="18"/>
              </w:rPr>
              <w:t>17</w:t>
            </w:r>
            <w:r>
              <w:rPr>
                <w:rFonts w:cs="Arial"/>
                <w:sz w:val="18"/>
                <w:szCs w:val="18"/>
              </w:rPr>
              <w:t>,</w:t>
            </w:r>
            <w:r w:rsidRPr="00596189">
              <w:rPr>
                <w:rFonts w:cs="Arial"/>
                <w:sz w:val="18"/>
                <w:szCs w:val="18"/>
              </w:rPr>
              <w:t>045</w:t>
            </w:r>
          </w:p>
        </w:tc>
      </w:tr>
      <w:tr w:rsidR="00BB1FCB" w:rsidRPr="009702B0" w14:paraId="39B8EA4E" w14:textId="77777777" w:rsidTr="005444AA">
        <w:trPr>
          <w:trHeight w:val="274"/>
        </w:trPr>
        <w:tc>
          <w:tcPr>
            <w:tcW w:w="1204" w:type="pct"/>
            <w:shd w:val="clear" w:color="auto" w:fill="auto"/>
            <w:vAlign w:val="bottom"/>
          </w:tcPr>
          <w:p w14:paraId="2F9DC5CC" w14:textId="77777777" w:rsidR="00BB1FCB" w:rsidRPr="009702B0" w:rsidRDefault="00BB1FCB" w:rsidP="00BB1FCB">
            <w:pPr>
              <w:tabs>
                <w:tab w:val="left" w:pos="-720"/>
              </w:tabs>
              <w:suppressAutoHyphens/>
              <w:spacing w:after="0" w:line="280" w:lineRule="exact"/>
              <w:ind w:right="-5"/>
              <w:rPr>
                <w:rFonts w:cs="Arial"/>
                <w:sz w:val="18"/>
                <w:szCs w:val="18"/>
              </w:rPr>
            </w:pPr>
            <w:r w:rsidRPr="009702B0">
              <w:rPr>
                <w:rFonts w:cs="Arial"/>
                <w:sz w:val="18"/>
                <w:szCs w:val="18"/>
              </w:rPr>
              <w:t xml:space="preserve">Other assets </w:t>
            </w:r>
          </w:p>
        </w:tc>
        <w:tc>
          <w:tcPr>
            <w:tcW w:w="542" w:type="pct"/>
            <w:tcBorders>
              <w:top w:val="nil"/>
              <w:left w:val="nil"/>
              <w:bottom w:val="nil"/>
              <w:right w:val="nil"/>
            </w:tcBorders>
            <w:shd w:val="clear" w:color="auto" w:fill="auto"/>
            <w:vAlign w:val="bottom"/>
          </w:tcPr>
          <w:p w14:paraId="52B9E066" w14:textId="65892AEF" w:rsidR="00BB1FCB" w:rsidRPr="009702B0" w:rsidRDefault="00BB1FCB" w:rsidP="00BB1FCB">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3FE29939" w14:textId="5A410756" w:rsidR="00BB1FCB" w:rsidRPr="009702B0" w:rsidRDefault="00BB1FCB" w:rsidP="00BB1FCB">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731CF652" w14:textId="0BC35965" w:rsidR="00BB1FCB" w:rsidRPr="009702B0" w:rsidRDefault="00BB1FCB" w:rsidP="00BB1FCB">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3922A718" w14:textId="6049216D" w:rsidR="00BB1FCB" w:rsidRPr="009702B0" w:rsidRDefault="00BB1FCB" w:rsidP="00BB1FCB">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01710E94" w14:textId="7094331A" w:rsidR="00BB1FCB" w:rsidRPr="009702B0" w:rsidRDefault="00BB1FCB" w:rsidP="00BB1FCB">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14:paraId="6948E27C" w14:textId="00796ADB" w:rsidR="00BB1FCB" w:rsidRPr="009702B0" w:rsidRDefault="00BB1FCB" w:rsidP="00BB1FCB">
            <w:pPr>
              <w:spacing w:after="0" w:line="280" w:lineRule="exact"/>
              <w:jc w:val="right"/>
              <w:rPr>
                <w:rFonts w:cs="Arial"/>
                <w:sz w:val="18"/>
                <w:szCs w:val="18"/>
              </w:rPr>
            </w:pPr>
            <w:r w:rsidRPr="00596189">
              <w:rPr>
                <w:rFonts w:cs="Arial"/>
                <w:sz w:val="18"/>
                <w:szCs w:val="18"/>
              </w:rPr>
              <w:t>13</w:t>
            </w:r>
            <w:r>
              <w:rPr>
                <w:rFonts w:cs="Arial"/>
                <w:sz w:val="18"/>
                <w:szCs w:val="18"/>
              </w:rPr>
              <w:t>,</w:t>
            </w:r>
            <w:r w:rsidRPr="00596189">
              <w:rPr>
                <w:rFonts w:cs="Arial"/>
                <w:sz w:val="18"/>
                <w:szCs w:val="18"/>
              </w:rPr>
              <w:t>374</w:t>
            </w:r>
          </w:p>
        </w:tc>
        <w:tc>
          <w:tcPr>
            <w:tcW w:w="542" w:type="pct"/>
            <w:tcBorders>
              <w:top w:val="nil"/>
              <w:left w:val="nil"/>
              <w:bottom w:val="nil"/>
              <w:right w:val="nil"/>
            </w:tcBorders>
            <w:shd w:val="clear" w:color="auto" w:fill="auto"/>
            <w:vAlign w:val="bottom"/>
          </w:tcPr>
          <w:p w14:paraId="2C259B05" w14:textId="4D04F128" w:rsidR="00BB1FCB" w:rsidRPr="009702B0" w:rsidRDefault="00BB1FCB" w:rsidP="00BB1FCB">
            <w:pPr>
              <w:spacing w:after="0" w:line="280" w:lineRule="exact"/>
              <w:jc w:val="right"/>
              <w:rPr>
                <w:rFonts w:cs="Arial"/>
                <w:sz w:val="18"/>
                <w:szCs w:val="18"/>
              </w:rPr>
            </w:pPr>
            <w:r w:rsidRPr="00596189">
              <w:rPr>
                <w:rFonts w:cs="Arial"/>
                <w:sz w:val="18"/>
                <w:szCs w:val="18"/>
              </w:rPr>
              <w:t>13</w:t>
            </w:r>
            <w:r>
              <w:rPr>
                <w:rFonts w:cs="Arial"/>
                <w:sz w:val="18"/>
                <w:szCs w:val="18"/>
              </w:rPr>
              <w:t>,</w:t>
            </w:r>
            <w:r w:rsidRPr="00596189">
              <w:rPr>
                <w:rFonts w:cs="Arial"/>
                <w:sz w:val="18"/>
                <w:szCs w:val="18"/>
              </w:rPr>
              <w:t>374</w:t>
            </w:r>
          </w:p>
        </w:tc>
      </w:tr>
      <w:tr w:rsidR="00BB1FCB" w:rsidRPr="009702B0" w14:paraId="14898773" w14:textId="77777777" w:rsidTr="006B318F">
        <w:trPr>
          <w:trHeight w:val="311"/>
        </w:trPr>
        <w:tc>
          <w:tcPr>
            <w:tcW w:w="1204" w:type="pct"/>
            <w:shd w:val="clear" w:color="auto" w:fill="auto"/>
            <w:vAlign w:val="bottom"/>
          </w:tcPr>
          <w:p w14:paraId="060183DD" w14:textId="77777777" w:rsidR="00BB1FCB" w:rsidRPr="009702B0" w:rsidRDefault="00BB1FCB" w:rsidP="00BB1FCB">
            <w:pPr>
              <w:tabs>
                <w:tab w:val="right" w:pos="1202"/>
              </w:tabs>
              <w:spacing w:after="0" w:line="320" w:lineRule="exact"/>
              <w:outlineLvl w:val="0"/>
              <w:rPr>
                <w:rFonts w:eastAsia="Times New Roman" w:cs="Arial"/>
                <w:b/>
                <w:bCs/>
                <w:sz w:val="18"/>
                <w:szCs w:val="18"/>
              </w:rPr>
            </w:pPr>
            <w:r w:rsidRPr="009702B0">
              <w:rPr>
                <w:rFonts w:eastAsia="Times New Roman" w:cs="Arial"/>
                <w:b/>
                <w:bCs/>
                <w:sz w:val="18"/>
                <w:szCs w:val="18"/>
              </w:rPr>
              <w:t>Total assets (1)</w:t>
            </w:r>
          </w:p>
        </w:tc>
        <w:tc>
          <w:tcPr>
            <w:tcW w:w="542" w:type="pct"/>
            <w:tcBorders>
              <w:top w:val="single" w:sz="4" w:space="0" w:color="auto"/>
              <w:left w:val="nil"/>
              <w:bottom w:val="single" w:sz="8" w:space="0" w:color="auto"/>
              <w:right w:val="nil"/>
            </w:tcBorders>
            <w:shd w:val="clear" w:color="auto" w:fill="auto"/>
            <w:vAlign w:val="bottom"/>
          </w:tcPr>
          <w:p w14:paraId="032C5A61" w14:textId="295EFB55" w:rsidR="00BB1FCB" w:rsidRPr="009702B0" w:rsidRDefault="00BB1FCB" w:rsidP="00BB1FCB">
            <w:pPr>
              <w:spacing w:after="0" w:line="320" w:lineRule="exact"/>
              <w:jc w:val="right"/>
              <w:rPr>
                <w:rFonts w:cs="Arial"/>
                <w:b/>
                <w:bCs/>
                <w:sz w:val="18"/>
                <w:szCs w:val="18"/>
              </w:rPr>
            </w:pPr>
            <w:r w:rsidRPr="00FE65B6">
              <w:rPr>
                <w:rFonts w:asciiTheme="minorHAnsi" w:hAnsiTheme="minorHAnsi" w:cs="Arial"/>
                <w:b/>
                <w:bCs/>
                <w:sz w:val="18"/>
                <w:szCs w:val="18"/>
                <w:lang w:val="hr-HR"/>
              </w:rPr>
              <w:t>5</w:t>
            </w:r>
            <w:r>
              <w:rPr>
                <w:rFonts w:asciiTheme="minorHAnsi" w:hAnsiTheme="minorHAnsi" w:cs="Arial"/>
                <w:b/>
                <w:bCs/>
                <w:sz w:val="18"/>
                <w:szCs w:val="18"/>
                <w:lang w:val="hr-HR"/>
              </w:rPr>
              <w:t>,</w:t>
            </w:r>
            <w:r w:rsidRPr="00FE65B6">
              <w:rPr>
                <w:rFonts w:asciiTheme="minorHAnsi" w:hAnsiTheme="minorHAnsi" w:cs="Arial"/>
                <w:b/>
                <w:bCs/>
                <w:sz w:val="18"/>
                <w:szCs w:val="18"/>
                <w:lang w:val="hr-HR"/>
              </w:rPr>
              <w:t>595</w:t>
            </w:r>
            <w:r>
              <w:rPr>
                <w:rFonts w:asciiTheme="minorHAnsi" w:hAnsiTheme="minorHAnsi" w:cs="Arial"/>
                <w:b/>
                <w:bCs/>
                <w:sz w:val="18"/>
                <w:szCs w:val="18"/>
                <w:lang w:val="hr-HR"/>
              </w:rPr>
              <w:t>,</w:t>
            </w:r>
            <w:r w:rsidRPr="00FE65B6">
              <w:rPr>
                <w:rFonts w:asciiTheme="minorHAnsi" w:hAnsiTheme="minorHAnsi" w:cs="Arial"/>
                <w:b/>
                <w:bCs/>
                <w:sz w:val="18"/>
                <w:szCs w:val="18"/>
                <w:lang w:val="hr-HR"/>
              </w:rPr>
              <w:t>733</w:t>
            </w:r>
          </w:p>
        </w:tc>
        <w:tc>
          <w:tcPr>
            <w:tcW w:w="542" w:type="pct"/>
            <w:tcBorders>
              <w:top w:val="single" w:sz="4" w:space="0" w:color="auto"/>
              <w:left w:val="nil"/>
              <w:bottom w:val="single" w:sz="8" w:space="0" w:color="auto"/>
              <w:right w:val="nil"/>
            </w:tcBorders>
            <w:shd w:val="clear" w:color="auto" w:fill="auto"/>
            <w:vAlign w:val="bottom"/>
          </w:tcPr>
          <w:p w14:paraId="5793EB57" w14:textId="55424748" w:rsidR="00BB1FCB" w:rsidRPr="009702B0" w:rsidRDefault="00BB1FCB" w:rsidP="00BB1FCB">
            <w:pPr>
              <w:spacing w:after="0" w:line="320" w:lineRule="exact"/>
              <w:jc w:val="right"/>
              <w:rPr>
                <w:rFonts w:cs="Arial"/>
                <w:b/>
                <w:bCs/>
                <w:sz w:val="18"/>
                <w:szCs w:val="18"/>
              </w:rPr>
            </w:pPr>
            <w:r w:rsidRPr="00FE65B6">
              <w:rPr>
                <w:rFonts w:asciiTheme="minorHAnsi" w:hAnsiTheme="minorHAnsi" w:cs="Arial"/>
                <w:b/>
                <w:bCs/>
                <w:sz w:val="18"/>
                <w:szCs w:val="18"/>
                <w:lang w:val="hr-HR"/>
              </w:rPr>
              <w:t>2</w:t>
            </w:r>
            <w:r>
              <w:rPr>
                <w:rFonts w:asciiTheme="minorHAnsi" w:hAnsiTheme="minorHAnsi" w:cs="Arial"/>
                <w:b/>
                <w:bCs/>
                <w:sz w:val="18"/>
                <w:szCs w:val="18"/>
                <w:lang w:val="hr-HR"/>
              </w:rPr>
              <w:t>,</w:t>
            </w:r>
            <w:r w:rsidRPr="00FE65B6">
              <w:rPr>
                <w:rFonts w:asciiTheme="minorHAnsi" w:hAnsiTheme="minorHAnsi" w:cs="Arial"/>
                <w:b/>
                <w:bCs/>
                <w:sz w:val="18"/>
                <w:szCs w:val="18"/>
                <w:lang w:val="hr-HR"/>
              </w:rPr>
              <w:t>004</w:t>
            </w:r>
            <w:r>
              <w:rPr>
                <w:rFonts w:asciiTheme="minorHAnsi" w:hAnsiTheme="minorHAnsi" w:cs="Arial"/>
                <w:b/>
                <w:bCs/>
                <w:sz w:val="18"/>
                <w:szCs w:val="18"/>
                <w:lang w:val="hr-HR"/>
              </w:rPr>
              <w:t>,</w:t>
            </w:r>
            <w:r w:rsidRPr="00FE65B6">
              <w:rPr>
                <w:rFonts w:asciiTheme="minorHAnsi" w:hAnsiTheme="minorHAnsi" w:cs="Arial"/>
                <w:b/>
                <w:bCs/>
                <w:sz w:val="18"/>
                <w:szCs w:val="18"/>
                <w:lang w:val="hr-HR"/>
              </w:rPr>
              <w:t>928</w:t>
            </w:r>
          </w:p>
        </w:tc>
        <w:tc>
          <w:tcPr>
            <w:tcW w:w="542" w:type="pct"/>
            <w:tcBorders>
              <w:top w:val="single" w:sz="4" w:space="0" w:color="auto"/>
              <w:left w:val="nil"/>
              <w:bottom w:val="single" w:sz="8" w:space="0" w:color="auto"/>
              <w:right w:val="nil"/>
            </w:tcBorders>
            <w:shd w:val="clear" w:color="auto" w:fill="auto"/>
            <w:vAlign w:val="bottom"/>
          </w:tcPr>
          <w:p w14:paraId="60B859F9" w14:textId="31858F18" w:rsidR="00BB1FCB" w:rsidRPr="009702B0" w:rsidRDefault="00BB1FCB" w:rsidP="00BB1FCB">
            <w:pPr>
              <w:spacing w:after="0" w:line="320" w:lineRule="exact"/>
              <w:jc w:val="right"/>
              <w:rPr>
                <w:rFonts w:cs="Arial"/>
                <w:b/>
                <w:bCs/>
                <w:sz w:val="18"/>
                <w:szCs w:val="18"/>
              </w:rPr>
            </w:pPr>
            <w:r w:rsidRPr="00FE65B6">
              <w:rPr>
                <w:rFonts w:asciiTheme="minorHAnsi" w:hAnsiTheme="minorHAnsi" w:cs="Arial"/>
                <w:b/>
                <w:bCs/>
                <w:sz w:val="18"/>
                <w:szCs w:val="18"/>
                <w:lang w:val="hr-HR"/>
              </w:rPr>
              <w:t>2</w:t>
            </w:r>
            <w:r>
              <w:rPr>
                <w:rFonts w:asciiTheme="minorHAnsi" w:hAnsiTheme="minorHAnsi" w:cs="Arial"/>
                <w:b/>
                <w:bCs/>
                <w:sz w:val="18"/>
                <w:szCs w:val="18"/>
                <w:lang w:val="hr-HR"/>
              </w:rPr>
              <w:t>,</w:t>
            </w:r>
            <w:r w:rsidRPr="00FE65B6">
              <w:rPr>
                <w:rFonts w:asciiTheme="minorHAnsi" w:hAnsiTheme="minorHAnsi" w:cs="Arial"/>
                <w:b/>
                <w:bCs/>
                <w:sz w:val="18"/>
                <w:szCs w:val="18"/>
                <w:lang w:val="hr-HR"/>
              </w:rPr>
              <w:t>211</w:t>
            </w:r>
            <w:r>
              <w:rPr>
                <w:rFonts w:asciiTheme="minorHAnsi" w:hAnsiTheme="minorHAnsi" w:cs="Arial"/>
                <w:b/>
                <w:bCs/>
                <w:sz w:val="18"/>
                <w:szCs w:val="18"/>
                <w:lang w:val="hr-HR"/>
              </w:rPr>
              <w:t>,</w:t>
            </w:r>
            <w:r w:rsidRPr="00FE65B6">
              <w:rPr>
                <w:rFonts w:asciiTheme="minorHAnsi" w:hAnsiTheme="minorHAnsi" w:cs="Arial"/>
                <w:b/>
                <w:bCs/>
                <w:sz w:val="18"/>
                <w:szCs w:val="18"/>
                <w:lang w:val="hr-HR"/>
              </w:rPr>
              <w:t>121</w:t>
            </w:r>
          </w:p>
        </w:tc>
        <w:tc>
          <w:tcPr>
            <w:tcW w:w="542" w:type="pct"/>
            <w:tcBorders>
              <w:top w:val="single" w:sz="4" w:space="0" w:color="auto"/>
              <w:left w:val="nil"/>
              <w:bottom w:val="single" w:sz="8" w:space="0" w:color="auto"/>
              <w:right w:val="nil"/>
            </w:tcBorders>
            <w:shd w:val="clear" w:color="auto" w:fill="auto"/>
            <w:vAlign w:val="bottom"/>
          </w:tcPr>
          <w:p w14:paraId="1B608F7C" w14:textId="773302A8" w:rsidR="00BB1FCB" w:rsidRPr="009702B0" w:rsidRDefault="00BB1FCB" w:rsidP="00BB1FCB">
            <w:pPr>
              <w:spacing w:after="0" w:line="320" w:lineRule="exact"/>
              <w:jc w:val="right"/>
              <w:rPr>
                <w:rFonts w:cs="Arial"/>
                <w:b/>
                <w:bCs/>
                <w:sz w:val="18"/>
                <w:szCs w:val="18"/>
              </w:rPr>
            </w:pPr>
            <w:r w:rsidRPr="00FE65B6">
              <w:rPr>
                <w:rFonts w:asciiTheme="minorHAnsi" w:hAnsiTheme="minorHAnsi" w:cs="Arial"/>
                <w:b/>
                <w:bCs/>
                <w:sz w:val="18"/>
                <w:szCs w:val="18"/>
                <w:lang w:val="hr-HR"/>
              </w:rPr>
              <w:t>4</w:t>
            </w:r>
            <w:r>
              <w:rPr>
                <w:rFonts w:asciiTheme="minorHAnsi" w:hAnsiTheme="minorHAnsi" w:cs="Arial"/>
                <w:b/>
                <w:bCs/>
                <w:sz w:val="18"/>
                <w:szCs w:val="18"/>
                <w:lang w:val="hr-HR"/>
              </w:rPr>
              <w:t>,</w:t>
            </w:r>
            <w:r w:rsidRPr="00FE65B6">
              <w:rPr>
                <w:rFonts w:asciiTheme="minorHAnsi" w:hAnsiTheme="minorHAnsi" w:cs="Arial"/>
                <w:b/>
                <w:bCs/>
                <w:sz w:val="18"/>
                <w:szCs w:val="18"/>
                <w:lang w:val="hr-HR"/>
              </w:rPr>
              <w:t>465</w:t>
            </w:r>
            <w:r>
              <w:rPr>
                <w:rFonts w:asciiTheme="minorHAnsi" w:hAnsiTheme="minorHAnsi" w:cs="Arial"/>
                <w:b/>
                <w:bCs/>
                <w:sz w:val="18"/>
                <w:szCs w:val="18"/>
                <w:lang w:val="hr-HR"/>
              </w:rPr>
              <w:t>,</w:t>
            </w:r>
            <w:r w:rsidRPr="00FE65B6">
              <w:rPr>
                <w:rFonts w:asciiTheme="minorHAnsi" w:hAnsiTheme="minorHAnsi" w:cs="Arial"/>
                <w:b/>
                <w:bCs/>
                <w:sz w:val="18"/>
                <w:szCs w:val="18"/>
                <w:lang w:val="hr-HR"/>
              </w:rPr>
              <w:t>590</w:t>
            </w:r>
          </w:p>
        </w:tc>
        <w:tc>
          <w:tcPr>
            <w:tcW w:w="542" w:type="pct"/>
            <w:tcBorders>
              <w:top w:val="single" w:sz="4" w:space="0" w:color="auto"/>
              <w:left w:val="nil"/>
              <w:bottom w:val="single" w:sz="8" w:space="0" w:color="auto"/>
              <w:right w:val="nil"/>
            </w:tcBorders>
            <w:shd w:val="clear" w:color="auto" w:fill="auto"/>
            <w:vAlign w:val="bottom"/>
          </w:tcPr>
          <w:p w14:paraId="626D3C58" w14:textId="667FC42F" w:rsidR="00BB1FCB" w:rsidRPr="009702B0" w:rsidRDefault="00BB1FCB" w:rsidP="00BB1FCB">
            <w:pPr>
              <w:spacing w:after="0" w:line="320" w:lineRule="exact"/>
              <w:jc w:val="right"/>
              <w:rPr>
                <w:rFonts w:cs="Arial"/>
                <w:b/>
                <w:bCs/>
                <w:sz w:val="18"/>
                <w:szCs w:val="18"/>
              </w:rPr>
            </w:pPr>
            <w:r w:rsidRPr="00FE65B6">
              <w:rPr>
                <w:rFonts w:asciiTheme="minorHAnsi" w:hAnsiTheme="minorHAnsi" w:cs="Arial"/>
                <w:b/>
                <w:bCs/>
                <w:sz w:val="18"/>
                <w:szCs w:val="18"/>
                <w:lang w:val="hr-HR"/>
              </w:rPr>
              <w:t>12</w:t>
            </w:r>
            <w:r>
              <w:rPr>
                <w:rFonts w:asciiTheme="minorHAnsi" w:hAnsiTheme="minorHAnsi" w:cs="Arial"/>
                <w:b/>
                <w:bCs/>
                <w:sz w:val="18"/>
                <w:szCs w:val="18"/>
                <w:lang w:val="hr-HR"/>
              </w:rPr>
              <w:t>,</w:t>
            </w:r>
            <w:r w:rsidRPr="00FE65B6">
              <w:rPr>
                <w:rFonts w:asciiTheme="minorHAnsi" w:hAnsiTheme="minorHAnsi" w:cs="Arial"/>
                <w:b/>
                <w:bCs/>
                <w:sz w:val="18"/>
                <w:szCs w:val="18"/>
                <w:lang w:val="hr-HR"/>
              </w:rPr>
              <w:t>244</w:t>
            </w:r>
            <w:r>
              <w:rPr>
                <w:rFonts w:asciiTheme="minorHAnsi" w:hAnsiTheme="minorHAnsi" w:cs="Arial"/>
                <w:b/>
                <w:bCs/>
                <w:sz w:val="18"/>
                <w:szCs w:val="18"/>
                <w:lang w:val="hr-HR"/>
              </w:rPr>
              <w:t>,</w:t>
            </w:r>
            <w:r w:rsidRPr="00FE65B6">
              <w:rPr>
                <w:rFonts w:asciiTheme="minorHAnsi" w:hAnsiTheme="minorHAnsi" w:cs="Arial"/>
                <w:b/>
                <w:bCs/>
                <w:sz w:val="18"/>
                <w:szCs w:val="18"/>
                <w:lang w:val="hr-HR"/>
              </w:rPr>
              <w:t>496</w:t>
            </w:r>
          </w:p>
        </w:tc>
        <w:tc>
          <w:tcPr>
            <w:tcW w:w="542" w:type="pct"/>
            <w:tcBorders>
              <w:top w:val="single" w:sz="4" w:space="0" w:color="auto"/>
              <w:left w:val="nil"/>
              <w:bottom w:val="single" w:sz="8" w:space="0" w:color="auto"/>
              <w:right w:val="nil"/>
            </w:tcBorders>
            <w:shd w:val="clear" w:color="auto" w:fill="auto"/>
            <w:vAlign w:val="bottom"/>
          </w:tcPr>
          <w:p w14:paraId="13B0F3EF" w14:textId="749EDD1E" w:rsidR="00BB1FCB" w:rsidRPr="009702B0" w:rsidRDefault="00BB1FCB" w:rsidP="00BB1FCB">
            <w:pPr>
              <w:spacing w:after="0" w:line="320" w:lineRule="exact"/>
              <w:jc w:val="right"/>
              <w:rPr>
                <w:rFonts w:cs="Arial"/>
                <w:b/>
                <w:bCs/>
                <w:sz w:val="18"/>
                <w:szCs w:val="18"/>
              </w:rPr>
            </w:pPr>
            <w:r w:rsidRPr="00FE65B6">
              <w:rPr>
                <w:rFonts w:asciiTheme="minorHAnsi" w:hAnsiTheme="minorHAnsi" w:cs="Arial"/>
                <w:b/>
                <w:bCs/>
                <w:sz w:val="18"/>
                <w:szCs w:val="18"/>
                <w:lang w:val="hr-HR"/>
              </w:rPr>
              <w:t>1</w:t>
            </w:r>
            <w:r>
              <w:rPr>
                <w:rFonts w:asciiTheme="minorHAnsi" w:hAnsiTheme="minorHAnsi" w:cs="Arial"/>
                <w:b/>
                <w:bCs/>
                <w:sz w:val="18"/>
                <w:szCs w:val="18"/>
                <w:lang w:val="hr-HR"/>
              </w:rPr>
              <w:t>,</w:t>
            </w:r>
            <w:r w:rsidRPr="00FE65B6">
              <w:rPr>
                <w:rFonts w:asciiTheme="minorHAnsi" w:hAnsiTheme="minorHAnsi" w:cs="Arial"/>
                <w:b/>
                <w:bCs/>
                <w:sz w:val="18"/>
                <w:szCs w:val="18"/>
                <w:lang w:val="hr-HR"/>
              </w:rPr>
              <w:t>778</w:t>
            </w:r>
            <w:r>
              <w:rPr>
                <w:rFonts w:asciiTheme="minorHAnsi" w:hAnsiTheme="minorHAnsi" w:cs="Arial"/>
                <w:b/>
                <w:bCs/>
                <w:sz w:val="18"/>
                <w:szCs w:val="18"/>
                <w:lang w:val="hr-HR"/>
              </w:rPr>
              <w:t>,</w:t>
            </w:r>
            <w:r w:rsidRPr="00FE65B6">
              <w:rPr>
                <w:rFonts w:asciiTheme="minorHAnsi" w:hAnsiTheme="minorHAnsi" w:cs="Arial"/>
                <w:b/>
                <w:bCs/>
                <w:sz w:val="18"/>
                <w:szCs w:val="18"/>
                <w:lang w:val="hr-HR"/>
              </w:rPr>
              <w:t>856</w:t>
            </w:r>
          </w:p>
        </w:tc>
        <w:tc>
          <w:tcPr>
            <w:tcW w:w="542" w:type="pct"/>
            <w:tcBorders>
              <w:top w:val="single" w:sz="4" w:space="0" w:color="auto"/>
              <w:left w:val="nil"/>
              <w:bottom w:val="single" w:sz="8" w:space="0" w:color="auto"/>
              <w:right w:val="nil"/>
            </w:tcBorders>
            <w:shd w:val="clear" w:color="auto" w:fill="auto"/>
            <w:vAlign w:val="bottom"/>
          </w:tcPr>
          <w:p w14:paraId="068AC3E3" w14:textId="0D95C28F" w:rsidR="00BB1FCB" w:rsidRPr="009702B0" w:rsidRDefault="00BB1FCB" w:rsidP="00BB1FCB">
            <w:pPr>
              <w:spacing w:after="0" w:line="320" w:lineRule="exact"/>
              <w:jc w:val="right"/>
              <w:rPr>
                <w:rFonts w:cs="Arial"/>
                <w:b/>
                <w:bCs/>
                <w:sz w:val="18"/>
                <w:szCs w:val="18"/>
              </w:rPr>
            </w:pPr>
            <w:r w:rsidRPr="00FE65B6">
              <w:rPr>
                <w:rFonts w:asciiTheme="minorHAnsi" w:hAnsiTheme="minorHAnsi" w:cs="Arial"/>
                <w:b/>
                <w:bCs/>
                <w:sz w:val="18"/>
                <w:szCs w:val="18"/>
                <w:lang w:val="hr-HR"/>
              </w:rPr>
              <w:t>28</w:t>
            </w:r>
            <w:r>
              <w:rPr>
                <w:rFonts w:asciiTheme="minorHAnsi" w:hAnsiTheme="minorHAnsi" w:cs="Arial"/>
                <w:b/>
                <w:bCs/>
                <w:sz w:val="18"/>
                <w:szCs w:val="18"/>
                <w:lang w:val="hr-HR"/>
              </w:rPr>
              <w:t>,</w:t>
            </w:r>
            <w:r w:rsidRPr="00FE65B6">
              <w:rPr>
                <w:rFonts w:asciiTheme="minorHAnsi" w:hAnsiTheme="minorHAnsi" w:cs="Arial"/>
                <w:b/>
                <w:bCs/>
                <w:sz w:val="18"/>
                <w:szCs w:val="18"/>
                <w:lang w:val="hr-HR"/>
              </w:rPr>
              <w:t>300</w:t>
            </w:r>
            <w:r>
              <w:rPr>
                <w:rFonts w:asciiTheme="minorHAnsi" w:hAnsiTheme="minorHAnsi" w:cs="Arial"/>
                <w:b/>
                <w:bCs/>
                <w:sz w:val="18"/>
                <w:szCs w:val="18"/>
                <w:lang w:val="hr-HR"/>
              </w:rPr>
              <w:t>,</w:t>
            </w:r>
            <w:r w:rsidRPr="00FE65B6">
              <w:rPr>
                <w:rFonts w:asciiTheme="minorHAnsi" w:hAnsiTheme="minorHAnsi" w:cs="Arial"/>
                <w:b/>
                <w:bCs/>
                <w:sz w:val="18"/>
                <w:szCs w:val="18"/>
                <w:lang w:val="hr-HR"/>
              </w:rPr>
              <w:t>724</w:t>
            </w:r>
          </w:p>
        </w:tc>
      </w:tr>
      <w:tr w:rsidR="005A78C4" w:rsidRPr="009702B0" w14:paraId="5D7C18F7" w14:textId="77777777" w:rsidTr="009702B0">
        <w:trPr>
          <w:trHeight w:val="274"/>
        </w:trPr>
        <w:tc>
          <w:tcPr>
            <w:tcW w:w="1204" w:type="pct"/>
            <w:shd w:val="clear" w:color="auto" w:fill="auto"/>
            <w:vAlign w:val="bottom"/>
          </w:tcPr>
          <w:p w14:paraId="7B1E1227" w14:textId="77777777" w:rsidR="005A78C4" w:rsidRPr="009702B0" w:rsidRDefault="005A78C4" w:rsidP="005A78C4">
            <w:pPr>
              <w:tabs>
                <w:tab w:val="left" w:pos="-720"/>
              </w:tabs>
              <w:suppressAutoHyphens/>
              <w:spacing w:after="0" w:line="280" w:lineRule="exact"/>
              <w:ind w:right="-6"/>
              <w:jc w:val="both"/>
              <w:rPr>
                <w:rFonts w:cs="Arial"/>
                <w:sz w:val="18"/>
                <w:szCs w:val="18"/>
              </w:rPr>
            </w:pPr>
          </w:p>
        </w:tc>
        <w:tc>
          <w:tcPr>
            <w:tcW w:w="542" w:type="pct"/>
            <w:tcBorders>
              <w:top w:val="single" w:sz="12" w:space="0" w:color="auto"/>
            </w:tcBorders>
            <w:shd w:val="clear" w:color="auto" w:fill="auto"/>
          </w:tcPr>
          <w:p w14:paraId="4BAB5808" w14:textId="77777777" w:rsidR="005A78C4" w:rsidRPr="009702B0" w:rsidRDefault="005A78C4" w:rsidP="005A78C4">
            <w:pPr>
              <w:tabs>
                <w:tab w:val="left" w:pos="-720"/>
              </w:tabs>
              <w:suppressAutoHyphens/>
              <w:spacing w:after="0" w:line="280" w:lineRule="exact"/>
              <w:ind w:right="-6"/>
              <w:jc w:val="right"/>
              <w:rPr>
                <w:rFonts w:cs="Arial"/>
                <w:sz w:val="18"/>
                <w:szCs w:val="18"/>
              </w:rPr>
            </w:pPr>
          </w:p>
        </w:tc>
        <w:tc>
          <w:tcPr>
            <w:tcW w:w="542" w:type="pct"/>
            <w:tcBorders>
              <w:top w:val="single" w:sz="12" w:space="0" w:color="auto"/>
            </w:tcBorders>
            <w:shd w:val="clear" w:color="auto" w:fill="auto"/>
          </w:tcPr>
          <w:p w14:paraId="075CFA1C" w14:textId="77777777" w:rsidR="005A78C4" w:rsidRPr="009702B0" w:rsidRDefault="005A78C4" w:rsidP="005A78C4">
            <w:pPr>
              <w:tabs>
                <w:tab w:val="left" w:pos="-720"/>
              </w:tabs>
              <w:suppressAutoHyphens/>
              <w:spacing w:after="0" w:line="280" w:lineRule="exact"/>
              <w:ind w:right="-6"/>
              <w:jc w:val="right"/>
              <w:rPr>
                <w:rFonts w:cs="Arial"/>
                <w:sz w:val="18"/>
                <w:szCs w:val="18"/>
              </w:rPr>
            </w:pPr>
          </w:p>
        </w:tc>
        <w:tc>
          <w:tcPr>
            <w:tcW w:w="542" w:type="pct"/>
            <w:tcBorders>
              <w:top w:val="single" w:sz="12" w:space="0" w:color="auto"/>
            </w:tcBorders>
            <w:shd w:val="clear" w:color="auto" w:fill="auto"/>
          </w:tcPr>
          <w:p w14:paraId="14F3B76D" w14:textId="77777777" w:rsidR="005A78C4" w:rsidRPr="009702B0" w:rsidRDefault="005A78C4" w:rsidP="005A78C4">
            <w:pPr>
              <w:tabs>
                <w:tab w:val="left" w:pos="-720"/>
              </w:tabs>
              <w:suppressAutoHyphens/>
              <w:spacing w:after="0" w:line="280" w:lineRule="exact"/>
              <w:ind w:right="-6"/>
              <w:jc w:val="right"/>
              <w:rPr>
                <w:rFonts w:cs="Arial"/>
                <w:sz w:val="18"/>
                <w:szCs w:val="18"/>
              </w:rPr>
            </w:pPr>
          </w:p>
        </w:tc>
        <w:tc>
          <w:tcPr>
            <w:tcW w:w="542" w:type="pct"/>
            <w:tcBorders>
              <w:top w:val="single" w:sz="12" w:space="0" w:color="auto"/>
            </w:tcBorders>
            <w:shd w:val="clear" w:color="auto" w:fill="auto"/>
          </w:tcPr>
          <w:p w14:paraId="64D08D5D" w14:textId="77777777" w:rsidR="005A78C4" w:rsidRPr="009702B0" w:rsidRDefault="005A78C4" w:rsidP="005A78C4">
            <w:pPr>
              <w:tabs>
                <w:tab w:val="left" w:pos="-720"/>
              </w:tabs>
              <w:suppressAutoHyphens/>
              <w:spacing w:after="0" w:line="280" w:lineRule="exact"/>
              <w:ind w:right="-6"/>
              <w:jc w:val="right"/>
              <w:rPr>
                <w:rFonts w:cs="Arial"/>
                <w:sz w:val="18"/>
                <w:szCs w:val="18"/>
              </w:rPr>
            </w:pPr>
          </w:p>
        </w:tc>
        <w:tc>
          <w:tcPr>
            <w:tcW w:w="542" w:type="pct"/>
            <w:tcBorders>
              <w:top w:val="single" w:sz="12" w:space="0" w:color="auto"/>
            </w:tcBorders>
            <w:shd w:val="clear" w:color="auto" w:fill="auto"/>
          </w:tcPr>
          <w:p w14:paraId="2FCC0E8A" w14:textId="77777777" w:rsidR="005A78C4" w:rsidRPr="009702B0" w:rsidRDefault="005A78C4" w:rsidP="005A78C4">
            <w:pPr>
              <w:tabs>
                <w:tab w:val="left" w:pos="-720"/>
              </w:tabs>
              <w:suppressAutoHyphens/>
              <w:spacing w:after="0" w:line="280" w:lineRule="exact"/>
              <w:ind w:right="-6"/>
              <w:jc w:val="right"/>
              <w:rPr>
                <w:rFonts w:cs="Arial"/>
                <w:sz w:val="18"/>
                <w:szCs w:val="18"/>
              </w:rPr>
            </w:pPr>
          </w:p>
        </w:tc>
        <w:tc>
          <w:tcPr>
            <w:tcW w:w="542" w:type="pct"/>
            <w:tcBorders>
              <w:top w:val="single" w:sz="12" w:space="0" w:color="auto"/>
            </w:tcBorders>
            <w:shd w:val="clear" w:color="auto" w:fill="auto"/>
          </w:tcPr>
          <w:p w14:paraId="4256913C" w14:textId="77777777" w:rsidR="005A78C4" w:rsidRPr="009702B0" w:rsidRDefault="005A78C4" w:rsidP="005A78C4">
            <w:pPr>
              <w:tabs>
                <w:tab w:val="left" w:pos="-720"/>
              </w:tabs>
              <w:suppressAutoHyphens/>
              <w:spacing w:after="0" w:line="280" w:lineRule="exact"/>
              <w:ind w:right="-6"/>
              <w:jc w:val="right"/>
              <w:rPr>
                <w:rFonts w:cs="Arial"/>
                <w:sz w:val="18"/>
                <w:szCs w:val="18"/>
              </w:rPr>
            </w:pPr>
          </w:p>
        </w:tc>
        <w:tc>
          <w:tcPr>
            <w:tcW w:w="542" w:type="pct"/>
            <w:tcBorders>
              <w:top w:val="single" w:sz="12" w:space="0" w:color="auto"/>
            </w:tcBorders>
            <w:shd w:val="clear" w:color="auto" w:fill="auto"/>
          </w:tcPr>
          <w:p w14:paraId="0E0E811E" w14:textId="77777777" w:rsidR="005A78C4" w:rsidRPr="009702B0" w:rsidRDefault="005A78C4" w:rsidP="005A78C4">
            <w:pPr>
              <w:tabs>
                <w:tab w:val="left" w:pos="-720"/>
              </w:tabs>
              <w:suppressAutoHyphens/>
              <w:spacing w:after="0" w:line="280" w:lineRule="exact"/>
              <w:ind w:right="-6"/>
              <w:jc w:val="right"/>
              <w:rPr>
                <w:rFonts w:cs="Arial"/>
                <w:sz w:val="18"/>
                <w:szCs w:val="18"/>
              </w:rPr>
            </w:pPr>
          </w:p>
        </w:tc>
      </w:tr>
    </w:tbl>
    <w:p w14:paraId="7CD696FD" w14:textId="77777777" w:rsidR="009702B0" w:rsidRPr="009702B0" w:rsidRDefault="009702B0" w:rsidP="009702B0">
      <w:pPr>
        <w:spacing w:after="0" w:line="240" w:lineRule="exact"/>
        <w:jc w:val="both"/>
        <w:rPr>
          <w:rFonts w:eastAsia="Times New Roman" w:cs="Calibri"/>
          <w:b/>
        </w:rPr>
      </w:pPr>
    </w:p>
    <w:p w14:paraId="4F6B7141" w14:textId="77777777" w:rsidR="009702B0" w:rsidRPr="009702B0" w:rsidRDefault="009702B0" w:rsidP="009702B0">
      <w:pPr>
        <w:spacing w:after="0" w:line="240" w:lineRule="exact"/>
        <w:jc w:val="both"/>
        <w:rPr>
          <w:rFonts w:eastAsia="Times New Roman" w:cs="Calibri"/>
          <w:b/>
        </w:rPr>
      </w:pPr>
    </w:p>
    <w:p w14:paraId="67E4A281" w14:textId="77777777" w:rsidR="009702B0" w:rsidRPr="009702B0" w:rsidRDefault="009702B0" w:rsidP="009702B0">
      <w:pPr>
        <w:spacing w:after="0" w:line="240" w:lineRule="auto"/>
        <w:jc w:val="both"/>
        <w:rPr>
          <w:rFonts w:eastAsia="Times New Roman" w:cs="Calibri"/>
          <w:b/>
        </w:rPr>
      </w:pPr>
    </w:p>
    <w:p w14:paraId="493B0B2D" w14:textId="77777777" w:rsidR="009702B0" w:rsidRPr="009702B0" w:rsidRDefault="009702B0" w:rsidP="009702B0">
      <w:pPr>
        <w:spacing w:after="0" w:line="240" w:lineRule="auto"/>
        <w:jc w:val="both"/>
        <w:rPr>
          <w:rFonts w:eastAsia="Times New Roman" w:cs="Calibri"/>
          <w:b/>
        </w:rPr>
      </w:pPr>
    </w:p>
    <w:p w14:paraId="79288ECB" w14:textId="77777777" w:rsidR="009702B0" w:rsidRPr="009702B0" w:rsidRDefault="009702B0" w:rsidP="009702B0">
      <w:pPr>
        <w:spacing w:after="0" w:line="240" w:lineRule="auto"/>
        <w:jc w:val="both"/>
        <w:rPr>
          <w:rFonts w:eastAsia="Times New Roman" w:cs="Calibri"/>
          <w:b/>
        </w:rPr>
        <w:sectPr w:rsidR="009702B0" w:rsidRPr="009702B0" w:rsidSect="00947CB7">
          <w:footerReference w:type="first" r:id="rId106"/>
          <w:pgSz w:w="11906" w:h="16838" w:code="9"/>
          <w:pgMar w:top="1418" w:right="1418" w:bottom="595" w:left="1134" w:header="709" w:footer="709" w:gutter="0"/>
          <w:cols w:space="708"/>
          <w:titlePg/>
          <w:docGrid w:linePitch="360"/>
        </w:sectPr>
      </w:pPr>
    </w:p>
    <w:p w14:paraId="23FAEC99" w14:textId="77777777" w:rsidR="009702B0" w:rsidRPr="009702B0" w:rsidRDefault="009702B0" w:rsidP="009702B0">
      <w:pPr>
        <w:keepNext/>
        <w:spacing w:after="0" w:line="240" w:lineRule="auto"/>
        <w:ind w:left="709" w:hanging="709"/>
        <w:jc w:val="both"/>
        <w:rPr>
          <w:rFonts w:eastAsia="Times New Roman" w:cs="Arial"/>
          <w:b/>
          <w:bCs/>
        </w:rPr>
      </w:pPr>
    </w:p>
    <w:p w14:paraId="6C535DF4"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14:paraId="55485891" w14:textId="77777777" w:rsidR="009702B0" w:rsidRPr="009702B0" w:rsidRDefault="009702B0" w:rsidP="009702B0">
      <w:pPr>
        <w:keepNext/>
        <w:spacing w:after="0" w:line="240" w:lineRule="auto"/>
        <w:ind w:left="709" w:hanging="709"/>
        <w:jc w:val="both"/>
        <w:rPr>
          <w:rFonts w:eastAsia="Times New Roman" w:cs="Arial"/>
          <w:b/>
          <w:bCs/>
        </w:rPr>
      </w:pPr>
    </w:p>
    <w:p w14:paraId="537AA77D"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     Market risk (continued)</w:t>
      </w:r>
    </w:p>
    <w:p w14:paraId="23784712" w14:textId="77777777" w:rsidR="009702B0" w:rsidRPr="009702B0" w:rsidRDefault="009702B0" w:rsidP="009702B0">
      <w:pPr>
        <w:keepNext/>
        <w:spacing w:after="0" w:line="240" w:lineRule="auto"/>
        <w:ind w:left="709" w:hanging="709"/>
        <w:jc w:val="both"/>
        <w:rPr>
          <w:rFonts w:eastAsia="Times New Roman" w:cs="Arial"/>
          <w:b/>
          <w:bCs/>
        </w:rPr>
      </w:pPr>
    </w:p>
    <w:p w14:paraId="584B3D27"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16.4.1</w:t>
      </w:r>
      <w:proofErr w:type="gramStart"/>
      <w:r w:rsidRPr="009702B0">
        <w:rPr>
          <w:rFonts w:eastAsia="Times New Roman" w:cs="Arial"/>
          <w:b/>
          <w:bCs/>
        </w:rPr>
        <w:t>.  Interest</w:t>
      </w:r>
      <w:proofErr w:type="gramEnd"/>
      <w:r w:rsidRPr="009702B0">
        <w:rPr>
          <w:rFonts w:eastAsia="Times New Roman" w:cs="Arial"/>
          <w:b/>
          <w:bCs/>
        </w:rPr>
        <w:t xml:space="preserve"> rate risk in the Bank’s book (continued)</w:t>
      </w:r>
    </w:p>
    <w:p w14:paraId="5975E32C" w14:textId="77777777" w:rsidR="009702B0" w:rsidRPr="009702B0" w:rsidRDefault="009702B0" w:rsidP="009702B0">
      <w:pPr>
        <w:tabs>
          <w:tab w:val="left" w:pos="-720"/>
        </w:tabs>
        <w:suppressAutoHyphens/>
        <w:spacing w:after="0" w:line="240" w:lineRule="auto"/>
        <w:rPr>
          <w:rFonts w:cs="Arial"/>
          <w:b/>
          <w:spacing w:val="-3"/>
        </w:rPr>
      </w:pPr>
    </w:p>
    <w:tbl>
      <w:tblPr>
        <w:tblW w:w="5531" w:type="pct"/>
        <w:tblInd w:w="-567" w:type="dxa"/>
        <w:tblLayout w:type="fixed"/>
        <w:tblCellMar>
          <w:left w:w="120" w:type="dxa"/>
          <w:right w:w="120" w:type="dxa"/>
        </w:tblCellMar>
        <w:tblLook w:val="0000" w:firstRow="0" w:lastRow="0" w:firstColumn="0" w:lastColumn="0" w:noHBand="0" w:noVBand="0"/>
      </w:tblPr>
      <w:tblGrid>
        <w:gridCol w:w="2842"/>
        <w:gridCol w:w="1135"/>
        <w:gridCol w:w="992"/>
        <w:gridCol w:w="991"/>
        <w:gridCol w:w="987"/>
        <w:gridCol w:w="1134"/>
        <w:gridCol w:w="1132"/>
        <w:gridCol w:w="1134"/>
      </w:tblGrid>
      <w:tr w:rsidR="009702B0" w:rsidRPr="009702B0" w14:paraId="4B6E66BB" w14:textId="77777777" w:rsidTr="00655C9A">
        <w:tc>
          <w:tcPr>
            <w:tcW w:w="1373" w:type="pct"/>
            <w:vAlign w:val="center"/>
          </w:tcPr>
          <w:p w14:paraId="1A98FF4E" w14:textId="77777777" w:rsidR="009702B0" w:rsidRPr="009702B0" w:rsidRDefault="009702B0" w:rsidP="009702B0">
            <w:pPr>
              <w:tabs>
                <w:tab w:val="right" w:pos="1202"/>
              </w:tabs>
              <w:spacing w:after="0" w:line="280" w:lineRule="exact"/>
              <w:outlineLvl w:val="0"/>
              <w:rPr>
                <w:rFonts w:eastAsia="Times New Roman" w:cs="Arial"/>
                <w:b/>
                <w:sz w:val="18"/>
                <w:szCs w:val="18"/>
              </w:rPr>
            </w:pPr>
            <w:r w:rsidRPr="009702B0">
              <w:rPr>
                <w:rFonts w:eastAsia="Times New Roman" w:cs="Arial"/>
                <w:b/>
                <w:sz w:val="18"/>
                <w:szCs w:val="18"/>
              </w:rPr>
              <w:t>Group</w:t>
            </w:r>
          </w:p>
          <w:p w14:paraId="7A871186" w14:textId="4555A8C3" w:rsidR="009702B0" w:rsidRPr="009702B0" w:rsidRDefault="001B3242" w:rsidP="009702B0">
            <w:pPr>
              <w:tabs>
                <w:tab w:val="right" w:pos="1202"/>
              </w:tabs>
              <w:spacing w:after="0" w:line="280" w:lineRule="exact"/>
              <w:outlineLvl w:val="0"/>
              <w:rPr>
                <w:rFonts w:eastAsia="Times New Roman" w:cs="Arial"/>
                <w:b/>
                <w:sz w:val="18"/>
                <w:szCs w:val="18"/>
              </w:rPr>
            </w:pPr>
            <w:r>
              <w:rPr>
                <w:rFonts w:eastAsia="Times New Roman" w:cs="Arial"/>
                <w:b/>
                <w:sz w:val="18"/>
                <w:szCs w:val="18"/>
              </w:rPr>
              <w:t xml:space="preserve">Sep </w:t>
            </w:r>
            <w:r w:rsidR="00655C9A">
              <w:rPr>
                <w:rFonts w:eastAsia="Times New Roman" w:cs="Arial"/>
                <w:b/>
                <w:sz w:val="18"/>
                <w:szCs w:val="18"/>
              </w:rPr>
              <w:t>30</w:t>
            </w:r>
            <w:r w:rsidR="003420E8" w:rsidRPr="003420E8">
              <w:rPr>
                <w:rFonts w:eastAsia="Times New Roman" w:cs="Arial"/>
                <w:b/>
                <w:sz w:val="18"/>
                <w:szCs w:val="18"/>
              </w:rPr>
              <w:t>, 2017</w:t>
            </w:r>
          </w:p>
        </w:tc>
        <w:tc>
          <w:tcPr>
            <w:tcW w:w="548" w:type="pct"/>
          </w:tcPr>
          <w:p w14:paraId="2AB838BE"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Up to 1 month</w:t>
            </w:r>
          </w:p>
        </w:tc>
        <w:tc>
          <w:tcPr>
            <w:tcW w:w="479" w:type="pct"/>
          </w:tcPr>
          <w:p w14:paraId="78659C9F"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1 to 3 months</w:t>
            </w:r>
          </w:p>
        </w:tc>
        <w:tc>
          <w:tcPr>
            <w:tcW w:w="479" w:type="pct"/>
          </w:tcPr>
          <w:p w14:paraId="6D368A87"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 xml:space="preserve">3 months to 1 year </w:t>
            </w:r>
          </w:p>
        </w:tc>
        <w:tc>
          <w:tcPr>
            <w:tcW w:w="477" w:type="pct"/>
          </w:tcPr>
          <w:p w14:paraId="606D462A"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 xml:space="preserve">1 to 3 </w:t>
            </w:r>
          </w:p>
          <w:p w14:paraId="5B29B377"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years</w:t>
            </w:r>
          </w:p>
        </w:tc>
        <w:tc>
          <w:tcPr>
            <w:tcW w:w="548" w:type="pct"/>
          </w:tcPr>
          <w:p w14:paraId="69D6BFE2"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 xml:space="preserve">Over 3 </w:t>
            </w:r>
          </w:p>
          <w:p w14:paraId="6E8C3144"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years</w:t>
            </w:r>
          </w:p>
        </w:tc>
        <w:tc>
          <w:tcPr>
            <w:tcW w:w="547" w:type="pct"/>
          </w:tcPr>
          <w:p w14:paraId="134AFAB0"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Non-interest bearing</w:t>
            </w:r>
          </w:p>
        </w:tc>
        <w:tc>
          <w:tcPr>
            <w:tcW w:w="548" w:type="pct"/>
          </w:tcPr>
          <w:p w14:paraId="3E7FE484"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 xml:space="preserve">Total </w:t>
            </w:r>
          </w:p>
        </w:tc>
      </w:tr>
      <w:tr w:rsidR="009702B0" w:rsidRPr="009702B0" w14:paraId="0C63D53E" w14:textId="77777777" w:rsidTr="00655C9A">
        <w:tc>
          <w:tcPr>
            <w:tcW w:w="1373" w:type="pct"/>
          </w:tcPr>
          <w:p w14:paraId="6567F869" w14:textId="77777777" w:rsidR="009702B0" w:rsidRPr="009702B0" w:rsidRDefault="009702B0" w:rsidP="009702B0">
            <w:pPr>
              <w:tabs>
                <w:tab w:val="right" w:pos="1202"/>
              </w:tabs>
              <w:spacing w:after="0" w:line="280" w:lineRule="exact"/>
              <w:outlineLvl w:val="0"/>
              <w:rPr>
                <w:rFonts w:eastAsia="Times New Roman" w:cs="Arial"/>
                <w:b/>
                <w:bCs/>
                <w:sz w:val="18"/>
                <w:szCs w:val="18"/>
              </w:rPr>
            </w:pPr>
            <w:r w:rsidRPr="009702B0">
              <w:rPr>
                <w:rFonts w:eastAsia="Times New Roman" w:cs="Arial"/>
                <w:b/>
                <w:bCs/>
                <w:sz w:val="18"/>
                <w:szCs w:val="18"/>
              </w:rPr>
              <w:t>Liabilities</w:t>
            </w:r>
          </w:p>
        </w:tc>
        <w:tc>
          <w:tcPr>
            <w:tcW w:w="548" w:type="pct"/>
            <w:vAlign w:val="bottom"/>
          </w:tcPr>
          <w:p w14:paraId="60B1C43C" w14:textId="77777777" w:rsidR="009702B0" w:rsidRPr="009702B0" w:rsidRDefault="009702B0" w:rsidP="009702B0">
            <w:pPr>
              <w:tabs>
                <w:tab w:val="right" w:pos="1202"/>
              </w:tabs>
              <w:spacing w:after="0" w:line="280" w:lineRule="exact"/>
              <w:jc w:val="right"/>
              <w:outlineLvl w:val="0"/>
              <w:rPr>
                <w:rFonts w:eastAsia="Times New Roman" w:cs="Arial"/>
                <w:spacing w:val="-2"/>
                <w:sz w:val="18"/>
                <w:szCs w:val="18"/>
              </w:rPr>
            </w:pPr>
          </w:p>
        </w:tc>
        <w:tc>
          <w:tcPr>
            <w:tcW w:w="479" w:type="pct"/>
            <w:vAlign w:val="bottom"/>
          </w:tcPr>
          <w:p w14:paraId="1EC227D0" w14:textId="77777777" w:rsidR="009702B0" w:rsidRPr="009702B0" w:rsidRDefault="009702B0" w:rsidP="009702B0">
            <w:pPr>
              <w:tabs>
                <w:tab w:val="right" w:pos="1202"/>
              </w:tabs>
              <w:spacing w:after="0" w:line="280" w:lineRule="exact"/>
              <w:jc w:val="right"/>
              <w:outlineLvl w:val="0"/>
              <w:rPr>
                <w:rFonts w:eastAsia="Times New Roman" w:cs="Arial"/>
                <w:spacing w:val="-2"/>
                <w:sz w:val="18"/>
                <w:szCs w:val="18"/>
              </w:rPr>
            </w:pPr>
          </w:p>
        </w:tc>
        <w:tc>
          <w:tcPr>
            <w:tcW w:w="479" w:type="pct"/>
            <w:vAlign w:val="bottom"/>
          </w:tcPr>
          <w:p w14:paraId="197E0D43" w14:textId="77777777" w:rsidR="009702B0" w:rsidRPr="009702B0" w:rsidRDefault="009702B0" w:rsidP="009702B0">
            <w:pPr>
              <w:tabs>
                <w:tab w:val="right" w:pos="1202"/>
              </w:tabs>
              <w:spacing w:after="0" w:line="280" w:lineRule="exact"/>
              <w:jc w:val="right"/>
              <w:outlineLvl w:val="0"/>
              <w:rPr>
                <w:rFonts w:eastAsia="Times New Roman" w:cs="Arial"/>
                <w:spacing w:val="-2"/>
                <w:sz w:val="18"/>
                <w:szCs w:val="18"/>
              </w:rPr>
            </w:pPr>
          </w:p>
        </w:tc>
        <w:tc>
          <w:tcPr>
            <w:tcW w:w="477" w:type="pct"/>
            <w:vAlign w:val="bottom"/>
          </w:tcPr>
          <w:p w14:paraId="13CF8DBF" w14:textId="77777777" w:rsidR="009702B0" w:rsidRPr="009702B0" w:rsidRDefault="009702B0" w:rsidP="009702B0">
            <w:pPr>
              <w:tabs>
                <w:tab w:val="right" w:pos="1202"/>
              </w:tabs>
              <w:spacing w:after="0" w:line="280" w:lineRule="exact"/>
              <w:jc w:val="right"/>
              <w:outlineLvl w:val="0"/>
              <w:rPr>
                <w:rFonts w:eastAsia="Times New Roman" w:cs="Arial"/>
                <w:spacing w:val="-2"/>
                <w:sz w:val="18"/>
                <w:szCs w:val="18"/>
              </w:rPr>
            </w:pPr>
          </w:p>
        </w:tc>
        <w:tc>
          <w:tcPr>
            <w:tcW w:w="548" w:type="pct"/>
            <w:vAlign w:val="bottom"/>
          </w:tcPr>
          <w:p w14:paraId="1C7D9A07" w14:textId="77777777" w:rsidR="009702B0" w:rsidRPr="009702B0" w:rsidRDefault="009702B0" w:rsidP="009702B0">
            <w:pPr>
              <w:tabs>
                <w:tab w:val="right" w:pos="1202"/>
              </w:tabs>
              <w:spacing w:after="0" w:line="280" w:lineRule="exact"/>
              <w:jc w:val="right"/>
              <w:outlineLvl w:val="0"/>
              <w:rPr>
                <w:rFonts w:eastAsia="Times New Roman" w:cs="Arial"/>
                <w:spacing w:val="-2"/>
                <w:sz w:val="18"/>
                <w:szCs w:val="18"/>
              </w:rPr>
            </w:pPr>
          </w:p>
        </w:tc>
        <w:tc>
          <w:tcPr>
            <w:tcW w:w="547" w:type="pct"/>
            <w:vAlign w:val="bottom"/>
          </w:tcPr>
          <w:p w14:paraId="198AB684" w14:textId="77777777" w:rsidR="009702B0" w:rsidRPr="009702B0" w:rsidRDefault="009702B0" w:rsidP="009702B0">
            <w:pPr>
              <w:tabs>
                <w:tab w:val="right" w:pos="1202"/>
              </w:tabs>
              <w:spacing w:after="0" w:line="280" w:lineRule="exact"/>
              <w:jc w:val="right"/>
              <w:outlineLvl w:val="0"/>
              <w:rPr>
                <w:rFonts w:eastAsia="Times New Roman" w:cs="Arial"/>
                <w:b/>
                <w:sz w:val="18"/>
                <w:szCs w:val="18"/>
              </w:rPr>
            </w:pPr>
          </w:p>
        </w:tc>
        <w:tc>
          <w:tcPr>
            <w:tcW w:w="548" w:type="pct"/>
            <w:vAlign w:val="bottom"/>
          </w:tcPr>
          <w:p w14:paraId="7988B3BA" w14:textId="77777777" w:rsidR="009702B0" w:rsidRPr="009702B0" w:rsidRDefault="009702B0" w:rsidP="009702B0">
            <w:pPr>
              <w:tabs>
                <w:tab w:val="right" w:pos="1202"/>
              </w:tabs>
              <w:spacing w:after="0" w:line="280" w:lineRule="exact"/>
              <w:jc w:val="right"/>
              <w:outlineLvl w:val="0"/>
              <w:rPr>
                <w:rFonts w:eastAsia="Times New Roman" w:cs="Arial"/>
                <w:sz w:val="18"/>
                <w:szCs w:val="18"/>
              </w:rPr>
            </w:pPr>
          </w:p>
        </w:tc>
      </w:tr>
      <w:tr w:rsidR="00C27020" w:rsidRPr="009702B0" w14:paraId="72619D68" w14:textId="77777777" w:rsidTr="00655C9A">
        <w:tc>
          <w:tcPr>
            <w:tcW w:w="1373" w:type="pct"/>
          </w:tcPr>
          <w:p w14:paraId="6CF869F0" w14:textId="77777777" w:rsidR="00C27020" w:rsidRPr="009702B0" w:rsidRDefault="00C27020" w:rsidP="00C27020">
            <w:pPr>
              <w:tabs>
                <w:tab w:val="right" w:pos="1202"/>
              </w:tabs>
              <w:spacing w:after="0" w:line="280" w:lineRule="exact"/>
              <w:outlineLvl w:val="0"/>
              <w:rPr>
                <w:rFonts w:eastAsia="Times New Roman" w:cs="Arial"/>
                <w:sz w:val="18"/>
                <w:szCs w:val="18"/>
              </w:rPr>
            </w:pPr>
            <w:r w:rsidRPr="009702B0">
              <w:rPr>
                <w:rFonts w:eastAsia="Times New Roman" w:cs="Arial"/>
                <w:spacing w:val="-2"/>
                <w:sz w:val="18"/>
                <w:szCs w:val="18"/>
              </w:rPr>
              <w:t xml:space="preserve">Deposits </w:t>
            </w:r>
          </w:p>
        </w:tc>
        <w:tc>
          <w:tcPr>
            <w:tcW w:w="548" w:type="pct"/>
            <w:tcBorders>
              <w:top w:val="nil"/>
              <w:left w:val="nil"/>
              <w:bottom w:val="nil"/>
              <w:right w:val="nil"/>
            </w:tcBorders>
            <w:shd w:val="clear" w:color="auto" w:fill="auto"/>
            <w:vAlign w:val="bottom"/>
          </w:tcPr>
          <w:p w14:paraId="110501CB" w14:textId="02381F41" w:rsidR="00C27020" w:rsidRPr="009702B0" w:rsidRDefault="00C27020" w:rsidP="00C27020">
            <w:pPr>
              <w:spacing w:after="0" w:line="280" w:lineRule="exact"/>
              <w:jc w:val="right"/>
              <w:rPr>
                <w:rFonts w:cs="Arial"/>
                <w:sz w:val="18"/>
                <w:szCs w:val="18"/>
              </w:rPr>
            </w:pPr>
            <w:r w:rsidRPr="00B424B4">
              <w:rPr>
                <w:rFonts w:cs="Arial"/>
                <w:sz w:val="18"/>
                <w:szCs w:val="18"/>
              </w:rPr>
              <w:t>644</w:t>
            </w:r>
            <w:r>
              <w:rPr>
                <w:rFonts w:cs="Arial"/>
                <w:sz w:val="18"/>
                <w:szCs w:val="18"/>
              </w:rPr>
              <w:t>,</w:t>
            </w:r>
            <w:r w:rsidRPr="00B424B4">
              <w:rPr>
                <w:rFonts w:cs="Arial"/>
                <w:sz w:val="18"/>
                <w:szCs w:val="18"/>
              </w:rPr>
              <w:t>752</w:t>
            </w:r>
          </w:p>
        </w:tc>
        <w:tc>
          <w:tcPr>
            <w:tcW w:w="479" w:type="pct"/>
            <w:tcBorders>
              <w:top w:val="nil"/>
              <w:left w:val="nil"/>
              <w:bottom w:val="nil"/>
              <w:right w:val="nil"/>
            </w:tcBorders>
            <w:shd w:val="clear" w:color="auto" w:fill="auto"/>
            <w:vAlign w:val="bottom"/>
          </w:tcPr>
          <w:p w14:paraId="082287EA" w14:textId="3E13AEFF" w:rsidR="00C27020" w:rsidRPr="009702B0" w:rsidRDefault="00C27020" w:rsidP="00C27020">
            <w:pPr>
              <w:spacing w:after="0" w:line="280" w:lineRule="exact"/>
              <w:jc w:val="right"/>
              <w:rPr>
                <w:rFonts w:cs="Arial"/>
                <w:sz w:val="18"/>
                <w:szCs w:val="18"/>
              </w:rPr>
            </w:pPr>
            <w:r>
              <w:rPr>
                <w:rFonts w:cs="Arial"/>
                <w:sz w:val="18"/>
                <w:szCs w:val="18"/>
              </w:rPr>
              <w:t>-</w:t>
            </w:r>
          </w:p>
        </w:tc>
        <w:tc>
          <w:tcPr>
            <w:tcW w:w="479" w:type="pct"/>
            <w:tcBorders>
              <w:top w:val="nil"/>
              <w:left w:val="nil"/>
              <w:bottom w:val="nil"/>
              <w:right w:val="nil"/>
            </w:tcBorders>
            <w:shd w:val="clear" w:color="auto" w:fill="auto"/>
            <w:vAlign w:val="bottom"/>
          </w:tcPr>
          <w:p w14:paraId="2FC4D435" w14:textId="142D30D4" w:rsidR="00C27020" w:rsidRPr="009702B0" w:rsidRDefault="00C27020" w:rsidP="00C27020">
            <w:pPr>
              <w:spacing w:after="0" w:line="280" w:lineRule="exact"/>
              <w:jc w:val="right"/>
              <w:rPr>
                <w:rFonts w:cs="Arial"/>
                <w:sz w:val="18"/>
                <w:szCs w:val="18"/>
              </w:rPr>
            </w:pPr>
            <w:r>
              <w:rPr>
                <w:rFonts w:cs="Arial"/>
                <w:sz w:val="18"/>
                <w:szCs w:val="18"/>
              </w:rPr>
              <w:t>-</w:t>
            </w:r>
          </w:p>
        </w:tc>
        <w:tc>
          <w:tcPr>
            <w:tcW w:w="477" w:type="pct"/>
            <w:tcBorders>
              <w:top w:val="nil"/>
              <w:left w:val="nil"/>
              <w:bottom w:val="nil"/>
              <w:right w:val="nil"/>
            </w:tcBorders>
            <w:shd w:val="clear" w:color="auto" w:fill="auto"/>
            <w:vAlign w:val="bottom"/>
          </w:tcPr>
          <w:p w14:paraId="2D0DB193" w14:textId="24B6E45F" w:rsidR="00C27020" w:rsidRPr="009702B0" w:rsidRDefault="00C27020" w:rsidP="00C27020">
            <w:pPr>
              <w:spacing w:after="0" w:line="280" w:lineRule="exact"/>
              <w:jc w:val="right"/>
              <w:rPr>
                <w:rFonts w:cs="Arial"/>
                <w:sz w:val="18"/>
                <w:szCs w:val="18"/>
              </w:rPr>
            </w:pPr>
            <w:r>
              <w:rPr>
                <w:rFonts w:cs="Arial"/>
                <w:sz w:val="18"/>
                <w:szCs w:val="18"/>
              </w:rPr>
              <w:t>-</w:t>
            </w:r>
          </w:p>
        </w:tc>
        <w:tc>
          <w:tcPr>
            <w:tcW w:w="548" w:type="pct"/>
            <w:tcBorders>
              <w:top w:val="nil"/>
              <w:left w:val="nil"/>
              <w:bottom w:val="nil"/>
              <w:right w:val="nil"/>
            </w:tcBorders>
            <w:shd w:val="clear" w:color="auto" w:fill="auto"/>
            <w:vAlign w:val="bottom"/>
          </w:tcPr>
          <w:p w14:paraId="01621059" w14:textId="1763E290" w:rsidR="00C27020" w:rsidRPr="009702B0" w:rsidRDefault="00C27020" w:rsidP="00C27020">
            <w:pPr>
              <w:spacing w:after="0" w:line="280" w:lineRule="exact"/>
              <w:jc w:val="right"/>
              <w:rPr>
                <w:rFonts w:cs="Arial"/>
                <w:sz w:val="18"/>
                <w:szCs w:val="18"/>
              </w:rPr>
            </w:pPr>
            <w:r>
              <w:rPr>
                <w:rFonts w:cs="Arial"/>
                <w:sz w:val="18"/>
                <w:szCs w:val="18"/>
              </w:rPr>
              <w:t>-</w:t>
            </w:r>
          </w:p>
        </w:tc>
        <w:tc>
          <w:tcPr>
            <w:tcW w:w="547" w:type="pct"/>
            <w:tcBorders>
              <w:top w:val="nil"/>
              <w:left w:val="nil"/>
              <w:bottom w:val="nil"/>
              <w:right w:val="nil"/>
            </w:tcBorders>
            <w:shd w:val="clear" w:color="auto" w:fill="auto"/>
            <w:vAlign w:val="bottom"/>
          </w:tcPr>
          <w:p w14:paraId="2A19E5CC" w14:textId="6DF75DD1" w:rsidR="00C27020" w:rsidRPr="009702B0" w:rsidRDefault="00C27020" w:rsidP="00C27020">
            <w:pPr>
              <w:spacing w:after="0" w:line="280" w:lineRule="exact"/>
              <w:jc w:val="right"/>
              <w:rPr>
                <w:rFonts w:cs="Arial"/>
                <w:sz w:val="18"/>
                <w:szCs w:val="18"/>
              </w:rPr>
            </w:pPr>
            <w:r w:rsidRPr="00B424B4">
              <w:rPr>
                <w:rFonts w:cs="Arial"/>
                <w:sz w:val="18"/>
                <w:szCs w:val="18"/>
              </w:rPr>
              <w:t>296</w:t>
            </w:r>
            <w:r>
              <w:rPr>
                <w:rFonts w:cs="Arial"/>
                <w:sz w:val="18"/>
                <w:szCs w:val="18"/>
              </w:rPr>
              <w:t>,</w:t>
            </w:r>
            <w:r w:rsidRPr="00B424B4">
              <w:rPr>
                <w:rFonts w:cs="Arial"/>
                <w:sz w:val="18"/>
                <w:szCs w:val="18"/>
              </w:rPr>
              <w:t>032</w:t>
            </w:r>
          </w:p>
        </w:tc>
        <w:tc>
          <w:tcPr>
            <w:tcW w:w="548" w:type="pct"/>
            <w:tcBorders>
              <w:top w:val="nil"/>
              <w:left w:val="nil"/>
              <w:bottom w:val="nil"/>
              <w:right w:val="nil"/>
            </w:tcBorders>
            <w:shd w:val="clear" w:color="auto" w:fill="auto"/>
            <w:vAlign w:val="bottom"/>
          </w:tcPr>
          <w:p w14:paraId="3E91972E" w14:textId="231C39AC" w:rsidR="00C27020" w:rsidRPr="009702B0" w:rsidRDefault="00C27020" w:rsidP="00C27020">
            <w:pPr>
              <w:spacing w:after="0" w:line="280" w:lineRule="exact"/>
              <w:jc w:val="right"/>
              <w:rPr>
                <w:rFonts w:cs="Arial"/>
                <w:bCs/>
                <w:sz w:val="18"/>
                <w:szCs w:val="18"/>
              </w:rPr>
            </w:pPr>
            <w:r w:rsidRPr="00B424B4">
              <w:rPr>
                <w:rFonts w:cs="Arial"/>
                <w:sz w:val="18"/>
                <w:szCs w:val="18"/>
              </w:rPr>
              <w:t>940</w:t>
            </w:r>
            <w:r>
              <w:rPr>
                <w:rFonts w:cs="Arial"/>
                <w:sz w:val="18"/>
                <w:szCs w:val="18"/>
              </w:rPr>
              <w:t>,</w:t>
            </w:r>
            <w:r w:rsidRPr="00B424B4">
              <w:rPr>
                <w:rFonts w:cs="Arial"/>
                <w:sz w:val="18"/>
                <w:szCs w:val="18"/>
              </w:rPr>
              <w:t>784</w:t>
            </w:r>
          </w:p>
        </w:tc>
      </w:tr>
      <w:tr w:rsidR="00C27020" w:rsidRPr="009702B0" w14:paraId="25A71BE8" w14:textId="77777777" w:rsidTr="00655C9A">
        <w:tc>
          <w:tcPr>
            <w:tcW w:w="1373" w:type="pct"/>
          </w:tcPr>
          <w:p w14:paraId="25E09146" w14:textId="77777777" w:rsidR="00C27020" w:rsidRPr="009702B0" w:rsidRDefault="00C27020" w:rsidP="00C27020">
            <w:pPr>
              <w:tabs>
                <w:tab w:val="right" w:pos="1202"/>
              </w:tabs>
              <w:spacing w:after="0" w:line="280" w:lineRule="exact"/>
              <w:outlineLvl w:val="0"/>
              <w:rPr>
                <w:rFonts w:eastAsia="Times New Roman" w:cs="Arial"/>
                <w:sz w:val="18"/>
                <w:szCs w:val="18"/>
              </w:rPr>
            </w:pPr>
            <w:r w:rsidRPr="009702B0">
              <w:rPr>
                <w:rFonts w:eastAsia="Times New Roman" w:cs="Arial"/>
                <w:spacing w:val="-2"/>
                <w:sz w:val="18"/>
                <w:szCs w:val="18"/>
              </w:rPr>
              <w:t xml:space="preserve">Borrowings </w:t>
            </w:r>
          </w:p>
        </w:tc>
        <w:tc>
          <w:tcPr>
            <w:tcW w:w="548" w:type="pct"/>
            <w:tcBorders>
              <w:top w:val="nil"/>
              <w:left w:val="nil"/>
              <w:bottom w:val="nil"/>
              <w:right w:val="nil"/>
            </w:tcBorders>
            <w:shd w:val="clear" w:color="auto" w:fill="auto"/>
            <w:vAlign w:val="bottom"/>
          </w:tcPr>
          <w:p w14:paraId="3331F2E3" w14:textId="338FFEF6" w:rsidR="00C27020" w:rsidRPr="009702B0" w:rsidRDefault="00C27020" w:rsidP="00C27020">
            <w:pPr>
              <w:spacing w:after="0" w:line="280" w:lineRule="exact"/>
              <w:jc w:val="right"/>
              <w:rPr>
                <w:rFonts w:cs="Arial"/>
                <w:sz w:val="18"/>
                <w:szCs w:val="18"/>
              </w:rPr>
            </w:pPr>
            <w:r w:rsidRPr="00B424B4">
              <w:rPr>
                <w:rFonts w:cs="Arial"/>
                <w:sz w:val="18"/>
                <w:szCs w:val="18"/>
              </w:rPr>
              <w:t>74</w:t>
            </w:r>
            <w:r>
              <w:rPr>
                <w:rFonts w:cs="Arial"/>
                <w:sz w:val="18"/>
                <w:szCs w:val="18"/>
              </w:rPr>
              <w:t>,</w:t>
            </w:r>
            <w:r w:rsidRPr="00B424B4">
              <w:rPr>
                <w:rFonts w:cs="Arial"/>
                <w:sz w:val="18"/>
                <w:szCs w:val="18"/>
              </w:rPr>
              <w:t>500</w:t>
            </w:r>
          </w:p>
        </w:tc>
        <w:tc>
          <w:tcPr>
            <w:tcW w:w="479" w:type="pct"/>
            <w:tcBorders>
              <w:top w:val="nil"/>
              <w:left w:val="nil"/>
              <w:bottom w:val="nil"/>
              <w:right w:val="nil"/>
            </w:tcBorders>
            <w:shd w:val="clear" w:color="auto" w:fill="auto"/>
            <w:vAlign w:val="bottom"/>
          </w:tcPr>
          <w:p w14:paraId="1E3FBABF" w14:textId="39989D29" w:rsidR="00C27020" w:rsidRPr="009702B0" w:rsidRDefault="00C27020" w:rsidP="00C27020">
            <w:pPr>
              <w:spacing w:after="0" w:line="280" w:lineRule="exact"/>
              <w:jc w:val="right"/>
              <w:rPr>
                <w:rFonts w:cs="Arial"/>
                <w:sz w:val="18"/>
                <w:szCs w:val="18"/>
              </w:rPr>
            </w:pPr>
            <w:r w:rsidRPr="00B424B4">
              <w:rPr>
                <w:rFonts w:cs="Arial"/>
                <w:sz w:val="18"/>
                <w:szCs w:val="18"/>
              </w:rPr>
              <w:t>455</w:t>
            </w:r>
            <w:r>
              <w:rPr>
                <w:rFonts w:cs="Arial"/>
                <w:sz w:val="18"/>
                <w:szCs w:val="18"/>
              </w:rPr>
              <w:t>,</w:t>
            </w:r>
            <w:r w:rsidRPr="00B424B4">
              <w:rPr>
                <w:rFonts w:cs="Arial"/>
                <w:sz w:val="18"/>
                <w:szCs w:val="18"/>
              </w:rPr>
              <w:t>796</w:t>
            </w:r>
          </w:p>
        </w:tc>
        <w:tc>
          <w:tcPr>
            <w:tcW w:w="479" w:type="pct"/>
            <w:tcBorders>
              <w:top w:val="nil"/>
              <w:left w:val="nil"/>
              <w:bottom w:val="nil"/>
              <w:right w:val="nil"/>
            </w:tcBorders>
            <w:shd w:val="clear" w:color="auto" w:fill="auto"/>
            <w:vAlign w:val="bottom"/>
          </w:tcPr>
          <w:p w14:paraId="0DEBE16B" w14:textId="4671CDF7" w:rsidR="00C27020" w:rsidRPr="009702B0" w:rsidRDefault="00C27020" w:rsidP="00C27020">
            <w:pPr>
              <w:spacing w:after="0" w:line="280" w:lineRule="exact"/>
              <w:jc w:val="right"/>
              <w:rPr>
                <w:rFonts w:cs="Arial"/>
                <w:sz w:val="18"/>
                <w:szCs w:val="18"/>
              </w:rPr>
            </w:pPr>
            <w:r w:rsidRPr="00B424B4">
              <w:rPr>
                <w:rFonts w:cs="Arial"/>
                <w:sz w:val="18"/>
                <w:szCs w:val="18"/>
              </w:rPr>
              <w:t>1</w:t>
            </w:r>
            <w:r>
              <w:rPr>
                <w:rFonts w:cs="Arial"/>
                <w:sz w:val="18"/>
                <w:szCs w:val="18"/>
              </w:rPr>
              <w:t>,</w:t>
            </w:r>
            <w:r w:rsidRPr="00B424B4">
              <w:rPr>
                <w:rFonts w:cs="Arial"/>
                <w:sz w:val="18"/>
                <w:szCs w:val="18"/>
              </w:rPr>
              <w:t>175</w:t>
            </w:r>
            <w:r>
              <w:rPr>
                <w:rFonts w:cs="Arial"/>
                <w:sz w:val="18"/>
                <w:szCs w:val="18"/>
              </w:rPr>
              <w:t>,</w:t>
            </w:r>
            <w:r w:rsidRPr="00B424B4">
              <w:rPr>
                <w:rFonts w:cs="Arial"/>
                <w:sz w:val="18"/>
                <w:szCs w:val="18"/>
              </w:rPr>
              <w:t>171</w:t>
            </w:r>
          </w:p>
        </w:tc>
        <w:tc>
          <w:tcPr>
            <w:tcW w:w="477" w:type="pct"/>
            <w:tcBorders>
              <w:top w:val="nil"/>
              <w:left w:val="nil"/>
              <w:bottom w:val="nil"/>
              <w:right w:val="nil"/>
            </w:tcBorders>
            <w:shd w:val="clear" w:color="auto" w:fill="auto"/>
            <w:vAlign w:val="bottom"/>
          </w:tcPr>
          <w:p w14:paraId="2D3389E8" w14:textId="7B34E0FD" w:rsidR="00C27020" w:rsidRPr="009702B0" w:rsidRDefault="00C27020" w:rsidP="00C27020">
            <w:pPr>
              <w:spacing w:after="0" w:line="280" w:lineRule="exact"/>
              <w:jc w:val="right"/>
              <w:rPr>
                <w:rFonts w:cs="Arial"/>
                <w:sz w:val="18"/>
                <w:szCs w:val="18"/>
              </w:rPr>
            </w:pPr>
            <w:r w:rsidRPr="00B424B4">
              <w:rPr>
                <w:rFonts w:cs="Arial"/>
                <w:sz w:val="18"/>
                <w:szCs w:val="18"/>
              </w:rPr>
              <w:t>3</w:t>
            </w:r>
            <w:r>
              <w:rPr>
                <w:rFonts w:cs="Arial"/>
                <w:sz w:val="18"/>
                <w:szCs w:val="18"/>
              </w:rPr>
              <w:t>,</w:t>
            </w:r>
            <w:r w:rsidRPr="00B424B4">
              <w:rPr>
                <w:rFonts w:cs="Arial"/>
                <w:sz w:val="18"/>
                <w:szCs w:val="18"/>
              </w:rPr>
              <w:t>683</w:t>
            </w:r>
            <w:r>
              <w:rPr>
                <w:rFonts w:cs="Arial"/>
                <w:sz w:val="18"/>
                <w:szCs w:val="18"/>
              </w:rPr>
              <w:t>,</w:t>
            </w:r>
            <w:r w:rsidRPr="00B424B4">
              <w:rPr>
                <w:rFonts w:cs="Arial"/>
                <w:sz w:val="18"/>
                <w:szCs w:val="18"/>
              </w:rPr>
              <w:t>546</w:t>
            </w:r>
          </w:p>
        </w:tc>
        <w:tc>
          <w:tcPr>
            <w:tcW w:w="548" w:type="pct"/>
            <w:tcBorders>
              <w:top w:val="nil"/>
              <w:left w:val="nil"/>
              <w:bottom w:val="nil"/>
              <w:right w:val="nil"/>
            </w:tcBorders>
            <w:shd w:val="clear" w:color="auto" w:fill="auto"/>
            <w:vAlign w:val="bottom"/>
          </w:tcPr>
          <w:p w14:paraId="2D3E606D" w14:textId="4CE88C6A" w:rsidR="00C27020" w:rsidRPr="009702B0" w:rsidRDefault="00C27020" w:rsidP="00C27020">
            <w:pPr>
              <w:spacing w:after="0" w:line="280" w:lineRule="exact"/>
              <w:jc w:val="right"/>
              <w:rPr>
                <w:rFonts w:cs="Arial"/>
                <w:sz w:val="18"/>
                <w:szCs w:val="18"/>
              </w:rPr>
            </w:pPr>
            <w:r w:rsidRPr="00B424B4">
              <w:rPr>
                <w:rFonts w:cs="Arial"/>
                <w:sz w:val="18"/>
                <w:szCs w:val="18"/>
              </w:rPr>
              <w:t>9</w:t>
            </w:r>
            <w:r>
              <w:rPr>
                <w:rFonts w:cs="Arial"/>
                <w:sz w:val="18"/>
                <w:szCs w:val="18"/>
              </w:rPr>
              <w:t>,</w:t>
            </w:r>
            <w:r w:rsidRPr="00B424B4">
              <w:rPr>
                <w:rFonts w:cs="Arial"/>
                <w:sz w:val="18"/>
                <w:szCs w:val="18"/>
              </w:rPr>
              <w:t>874</w:t>
            </w:r>
            <w:r>
              <w:rPr>
                <w:rFonts w:cs="Arial"/>
                <w:sz w:val="18"/>
                <w:szCs w:val="18"/>
              </w:rPr>
              <w:t>,</w:t>
            </w:r>
            <w:r w:rsidRPr="00B424B4">
              <w:rPr>
                <w:rFonts w:cs="Arial"/>
                <w:sz w:val="18"/>
                <w:szCs w:val="18"/>
              </w:rPr>
              <w:t>189</w:t>
            </w:r>
          </w:p>
        </w:tc>
        <w:tc>
          <w:tcPr>
            <w:tcW w:w="547" w:type="pct"/>
            <w:tcBorders>
              <w:top w:val="nil"/>
              <w:left w:val="nil"/>
              <w:bottom w:val="nil"/>
              <w:right w:val="nil"/>
            </w:tcBorders>
            <w:shd w:val="clear" w:color="auto" w:fill="auto"/>
            <w:vAlign w:val="bottom"/>
          </w:tcPr>
          <w:p w14:paraId="4D05F297" w14:textId="105F9C9F" w:rsidR="00C27020" w:rsidRPr="009702B0" w:rsidRDefault="00C27020" w:rsidP="00C27020">
            <w:pPr>
              <w:spacing w:after="0" w:line="280" w:lineRule="exact"/>
              <w:jc w:val="right"/>
              <w:rPr>
                <w:rFonts w:cs="Arial"/>
                <w:sz w:val="18"/>
                <w:szCs w:val="18"/>
              </w:rPr>
            </w:pPr>
            <w:r w:rsidRPr="00B424B4">
              <w:rPr>
                <w:rFonts w:cs="Arial"/>
                <w:sz w:val="18"/>
                <w:szCs w:val="18"/>
              </w:rPr>
              <w:t>72</w:t>
            </w:r>
            <w:r>
              <w:rPr>
                <w:rFonts w:cs="Arial"/>
                <w:sz w:val="18"/>
                <w:szCs w:val="18"/>
              </w:rPr>
              <w:t>,</w:t>
            </w:r>
            <w:r w:rsidRPr="00B424B4">
              <w:rPr>
                <w:rFonts w:cs="Arial"/>
                <w:sz w:val="18"/>
                <w:szCs w:val="18"/>
              </w:rPr>
              <w:t>632</w:t>
            </w:r>
          </w:p>
        </w:tc>
        <w:tc>
          <w:tcPr>
            <w:tcW w:w="548" w:type="pct"/>
            <w:tcBorders>
              <w:top w:val="nil"/>
              <w:left w:val="nil"/>
              <w:bottom w:val="nil"/>
              <w:right w:val="nil"/>
            </w:tcBorders>
            <w:shd w:val="clear" w:color="auto" w:fill="auto"/>
            <w:vAlign w:val="bottom"/>
          </w:tcPr>
          <w:p w14:paraId="78385F26" w14:textId="3F0838A2" w:rsidR="00C27020" w:rsidRPr="009702B0" w:rsidRDefault="00C27020" w:rsidP="00C27020">
            <w:pPr>
              <w:spacing w:after="0" w:line="280" w:lineRule="exact"/>
              <w:jc w:val="right"/>
              <w:rPr>
                <w:rFonts w:cs="Arial"/>
                <w:bCs/>
                <w:sz w:val="18"/>
                <w:szCs w:val="18"/>
              </w:rPr>
            </w:pPr>
            <w:r w:rsidRPr="00B424B4">
              <w:rPr>
                <w:rFonts w:cs="Arial"/>
                <w:sz w:val="18"/>
                <w:szCs w:val="18"/>
              </w:rPr>
              <w:t>15</w:t>
            </w:r>
            <w:r>
              <w:rPr>
                <w:rFonts w:cs="Arial"/>
                <w:sz w:val="18"/>
                <w:szCs w:val="18"/>
              </w:rPr>
              <w:t>,</w:t>
            </w:r>
            <w:r w:rsidRPr="00B424B4">
              <w:rPr>
                <w:rFonts w:cs="Arial"/>
                <w:sz w:val="18"/>
                <w:szCs w:val="18"/>
              </w:rPr>
              <w:t>335</w:t>
            </w:r>
            <w:r>
              <w:rPr>
                <w:rFonts w:cs="Arial"/>
                <w:sz w:val="18"/>
                <w:szCs w:val="18"/>
              </w:rPr>
              <w:t>,</w:t>
            </w:r>
            <w:r w:rsidRPr="00B424B4">
              <w:rPr>
                <w:rFonts w:cs="Arial"/>
                <w:sz w:val="18"/>
                <w:szCs w:val="18"/>
              </w:rPr>
              <w:t>834</w:t>
            </w:r>
          </w:p>
        </w:tc>
      </w:tr>
      <w:tr w:rsidR="00C27020" w:rsidRPr="009702B0" w14:paraId="6631D363" w14:textId="77777777" w:rsidTr="00655C9A">
        <w:tc>
          <w:tcPr>
            <w:tcW w:w="1373" w:type="pct"/>
          </w:tcPr>
          <w:p w14:paraId="16E66ABA" w14:textId="77777777" w:rsidR="00C27020" w:rsidRPr="009702B0" w:rsidRDefault="00C27020" w:rsidP="00C27020">
            <w:pPr>
              <w:tabs>
                <w:tab w:val="right" w:pos="1202"/>
              </w:tabs>
              <w:spacing w:after="0" w:line="280" w:lineRule="exact"/>
              <w:outlineLvl w:val="0"/>
              <w:rPr>
                <w:rFonts w:eastAsia="Times New Roman" w:cs="Arial"/>
                <w:sz w:val="18"/>
                <w:szCs w:val="18"/>
              </w:rPr>
            </w:pPr>
            <w:r w:rsidRPr="009702B0">
              <w:rPr>
                <w:rFonts w:eastAsia="Times New Roman" w:cs="Arial"/>
                <w:spacing w:val="-2"/>
                <w:sz w:val="18"/>
                <w:szCs w:val="18"/>
              </w:rPr>
              <w:t xml:space="preserve">Bonds payable </w:t>
            </w:r>
          </w:p>
        </w:tc>
        <w:tc>
          <w:tcPr>
            <w:tcW w:w="548" w:type="pct"/>
            <w:tcBorders>
              <w:top w:val="nil"/>
              <w:left w:val="nil"/>
              <w:bottom w:val="nil"/>
              <w:right w:val="nil"/>
            </w:tcBorders>
            <w:shd w:val="clear" w:color="auto" w:fill="auto"/>
            <w:vAlign w:val="bottom"/>
          </w:tcPr>
          <w:p w14:paraId="20991413" w14:textId="39717385" w:rsidR="00C27020" w:rsidRPr="009702B0" w:rsidRDefault="00C27020" w:rsidP="00C27020">
            <w:pPr>
              <w:spacing w:after="0" w:line="280" w:lineRule="exact"/>
              <w:jc w:val="right"/>
              <w:rPr>
                <w:rFonts w:cs="Arial"/>
                <w:sz w:val="18"/>
                <w:szCs w:val="18"/>
              </w:rPr>
            </w:pPr>
            <w:r>
              <w:rPr>
                <w:rFonts w:cs="Arial"/>
                <w:sz w:val="18"/>
                <w:szCs w:val="18"/>
              </w:rPr>
              <w:t>-</w:t>
            </w:r>
          </w:p>
        </w:tc>
        <w:tc>
          <w:tcPr>
            <w:tcW w:w="479" w:type="pct"/>
            <w:tcBorders>
              <w:top w:val="nil"/>
              <w:left w:val="nil"/>
              <w:bottom w:val="nil"/>
              <w:right w:val="nil"/>
            </w:tcBorders>
            <w:shd w:val="clear" w:color="auto" w:fill="auto"/>
            <w:vAlign w:val="bottom"/>
          </w:tcPr>
          <w:p w14:paraId="2BA3E0B7" w14:textId="506998E5" w:rsidR="00C27020" w:rsidRPr="009702B0" w:rsidRDefault="00C27020" w:rsidP="00C27020">
            <w:pPr>
              <w:spacing w:after="0" w:line="280" w:lineRule="exact"/>
              <w:jc w:val="right"/>
              <w:rPr>
                <w:rFonts w:cs="Arial"/>
                <w:sz w:val="18"/>
                <w:szCs w:val="18"/>
              </w:rPr>
            </w:pPr>
            <w:r w:rsidRPr="00016AD1">
              <w:rPr>
                <w:rFonts w:cs="Arial"/>
                <w:sz w:val="18"/>
                <w:szCs w:val="18"/>
              </w:rPr>
              <w:t>-</w:t>
            </w:r>
          </w:p>
        </w:tc>
        <w:tc>
          <w:tcPr>
            <w:tcW w:w="479" w:type="pct"/>
            <w:tcBorders>
              <w:top w:val="nil"/>
              <w:left w:val="nil"/>
              <w:bottom w:val="nil"/>
              <w:right w:val="nil"/>
            </w:tcBorders>
            <w:shd w:val="clear" w:color="auto" w:fill="auto"/>
            <w:vAlign w:val="bottom"/>
          </w:tcPr>
          <w:p w14:paraId="48F08EB8" w14:textId="7E1B7263" w:rsidR="00C27020" w:rsidRPr="009702B0" w:rsidRDefault="00C27020" w:rsidP="00C27020">
            <w:pPr>
              <w:spacing w:after="0" w:line="280" w:lineRule="exact"/>
              <w:jc w:val="right"/>
              <w:rPr>
                <w:rFonts w:cs="Arial"/>
                <w:sz w:val="18"/>
                <w:szCs w:val="18"/>
              </w:rPr>
            </w:pPr>
            <w:r>
              <w:rPr>
                <w:rFonts w:cs="Arial"/>
                <w:sz w:val="18"/>
                <w:szCs w:val="18"/>
              </w:rPr>
              <w:t>-</w:t>
            </w:r>
          </w:p>
        </w:tc>
        <w:tc>
          <w:tcPr>
            <w:tcW w:w="477" w:type="pct"/>
            <w:tcBorders>
              <w:top w:val="nil"/>
              <w:left w:val="nil"/>
              <w:bottom w:val="nil"/>
              <w:right w:val="nil"/>
            </w:tcBorders>
            <w:shd w:val="clear" w:color="auto" w:fill="auto"/>
            <w:vAlign w:val="bottom"/>
          </w:tcPr>
          <w:p w14:paraId="4F9FF233" w14:textId="7C59B131" w:rsidR="00C27020" w:rsidRPr="009702B0" w:rsidRDefault="00C27020" w:rsidP="00C27020">
            <w:pPr>
              <w:spacing w:after="0" w:line="280" w:lineRule="exact"/>
              <w:jc w:val="right"/>
              <w:rPr>
                <w:rFonts w:cs="Arial"/>
                <w:sz w:val="18"/>
                <w:szCs w:val="18"/>
              </w:rPr>
            </w:pPr>
            <w:r w:rsidRPr="00B424B4">
              <w:rPr>
                <w:rFonts w:cs="Arial"/>
                <w:sz w:val="18"/>
                <w:szCs w:val="18"/>
              </w:rPr>
              <w:t>1</w:t>
            </w:r>
            <w:r>
              <w:rPr>
                <w:rFonts w:cs="Arial"/>
                <w:sz w:val="18"/>
                <w:szCs w:val="18"/>
              </w:rPr>
              <w:t>,</w:t>
            </w:r>
            <w:r w:rsidRPr="00B424B4">
              <w:rPr>
                <w:rFonts w:cs="Arial"/>
                <w:sz w:val="18"/>
                <w:szCs w:val="18"/>
              </w:rPr>
              <w:t>114</w:t>
            </w:r>
            <w:r>
              <w:rPr>
                <w:rFonts w:cs="Arial"/>
                <w:sz w:val="18"/>
                <w:szCs w:val="18"/>
              </w:rPr>
              <w:t>,</w:t>
            </w:r>
            <w:r w:rsidRPr="00B424B4">
              <w:rPr>
                <w:rFonts w:cs="Arial"/>
                <w:sz w:val="18"/>
                <w:szCs w:val="18"/>
              </w:rPr>
              <w:t>417</w:t>
            </w:r>
          </w:p>
        </w:tc>
        <w:tc>
          <w:tcPr>
            <w:tcW w:w="548" w:type="pct"/>
            <w:tcBorders>
              <w:top w:val="nil"/>
              <w:left w:val="nil"/>
              <w:bottom w:val="nil"/>
              <w:right w:val="nil"/>
            </w:tcBorders>
            <w:shd w:val="clear" w:color="auto" w:fill="auto"/>
            <w:vAlign w:val="bottom"/>
          </w:tcPr>
          <w:p w14:paraId="461B61B3" w14:textId="17EFA54E" w:rsidR="00C27020" w:rsidRPr="009702B0" w:rsidRDefault="00C27020" w:rsidP="00C27020">
            <w:pPr>
              <w:spacing w:after="0" w:line="280" w:lineRule="exact"/>
              <w:jc w:val="right"/>
              <w:rPr>
                <w:rFonts w:cs="Arial"/>
                <w:sz w:val="18"/>
                <w:szCs w:val="18"/>
              </w:rPr>
            </w:pPr>
            <w:r>
              <w:rPr>
                <w:rFonts w:cs="Arial"/>
                <w:sz w:val="18"/>
                <w:szCs w:val="18"/>
              </w:rPr>
              <w:t>-</w:t>
            </w:r>
          </w:p>
        </w:tc>
        <w:tc>
          <w:tcPr>
            <w:tcW w:w="547" w:type="pct"/>
            <w:tcBorders>
              <w:top w:val="nil"/>
              <w:left w:val="nil"/>
              <w:bottom w:val="nil"/>
              <w:right w:val="nil"/>
            </w:tcBorders>
            <w:shd w:val="clear" w:color="auto" w:fill="auto"/>
            <w:vAlign w:val="bottom"/>
          </w:tcPr>
          <w:p w14:paraId="237FDB55" w14:textId="5FA56897" w:rsidR="00C27020" w:rsidRPr="009702B0" w:rsidRDefault="00C27020" w:rsidP="00C27020">
            <w:pPr>
              <w:spacing w:after="0" w:line="280" w:lineRule="exact"/>
              <w:jc w:val="right"/>
              <w:rPr>
                <w:rFonts w:cs="Arial"/>
                <w:sz w:val="18"/>
                <w:szCs w:val="18"/>
              </w:rPr>
            </w:pPr>
            <w:r w:rsidRPr="00B424B4">
              <w:rPr>
                <w:rFonts w:cs="Arial"/>
                <w:sz w:val="18"/>
                <w:szCs w:val="18"/>
              </w:rPr>
              <w:t>26</w:t>
            </w:r>
            <w:r>
              <w:rPr>
                <w:rFonts w:cs="Arial"/>
                <w:sz w:val="18"/>
                <w:szCs w:val="18"/>
              </w:rPr>
              <w:t>,</w:t>
            </w:r>
            <w:r w:rsidRPr="00B424B4">
              <w:rPr>
                <w:rFonts w:cs="Arial"/>
                <w:sz w:val="18"/>
                <w:szCs w:val="18"/>
              </w:rPr>
              <w:t>805</w:t>
            </w:r>
          </w:p>
        </w:tc>
        <w:tc>
          <w:tcPr>
            <w:tcW w:w="548" w:type="pct"/>
            <w:tcBorders>
              <w:top w:val="nil"/>
              <w:left w:val="nil"/>
              <w:bottom w:val="nil"/>
              <w:right w:val="nil"/>
            </w:tcBorders>
            <w:shd w:val="clear" w:color="auto" w:fill="auto"/>
            <w:vAlign w:val="bottom"/>
          </w:tcPr>
          <w:p w14:paraId="7B0E1468" w14:textId="67AA5F17" w:rsidR="00C27020" w:rsidRPr="009702B0" w:rsidRDefault="00C27020" w:rsidP="00C27020">
            <w:pPr>
              <w:spacing w:after="0" w:line="280" w:lineRule="exact"/>
              <w:jc w:val="right"/>
              <w:rPr>
                <w:rFonts w:cs="Arial"/>
                <w:bCs/>
                <w:sz w:val="18"/>
                <w:szCs w:val="18"/>
              </w:rPr>
            </w:pPr>
            <w:r w:rsidRPr="00B424B4">
              <w:rPr>
                <w:rFonts w:cs="Arial"/>
                <w:sz w:val="18"/>
                <w:szCs w:val="18"/>
              </w:rPr>
              <w:t>1</w:t>
            </w:r>
            <w:r>
              <w:rPr>
                <w:rFonts w:cs="Arial"/>
                <w:sz w:val="18"/>
                <w:szCs w:val="18"/>
              </w:rPr>
              <w:t>,</w:t>
            </w:r>
            <w:r w:rsidRPr="00B424B4">
              <w:rPr>
                <w:rFonts w:cs="Arial"/>
                <w:sz w:val="18"/>
                <w:szCs w:val="18"/>
              </w:rPr>
              <w:t>141</w:t>
            </w:r>
            <w:r>
              <w:rPr>
                <w:rFonts w:cs="Arial"/>
                <w:sz w:val="18"/>
                <w:szCs w:val="18"/>
              </w:rPr>
              <w:t>,</w:t>
            </w:r>
            <w:r w:rsidRPr="00B424B4">
              <w:rPr>
                <w:rFonts w:cs="Arial"/>
                <w:sz w:val="18"/>
                <w:szCs w:val="18"/>
              </w:rPr>
              <w:t>222</w:t>
            </w:r>
          </w:p>
        </w:tc>
      </w:tr>
      <w:tr w:rsidR="00C27020" w:rsidRPr="009702B0" w14:paraId="698600AF" w14:textId="77777777" w:rsidTr="00655C9A">
        <w:tc>
          <w:tcPr>
            <w:tcW w:w="1373" w:type="pct"/>
          </w:tcPr>
          <w:p w14:paraId="208775AD" w14:textId="77777777" w:rsidR="00C27020" w:rsidRPr="009702B0" w:rsidRDefault="00C27020" w:rsidP="00C27020">
            <w:pPr>
              <w:tabs>
                <w:tab w:val="right" w:pos="1202"/>
              </w:tabs>
              <w:spacing w:after="0" w:line="280" w:lineRule="exact"/>
              <w:outlineLvl w:val="0"/>
              <w:rPr>
                <w:rFonts w:eastAsia="Times New Roman" w:cs="Arial"/>
                <w:sz w:val="18"/>
                <w:szCs w:val="18"/>
              </w:rPr>
            </w:pPr>
            <w:r w:rsidRPr="009702B0">
              <w:rPr>
                <w:rFonts w:eastAsia="Times New Roman" w:cs="Arial"/>
                <w:spacing w:val="-2"/>
                <w:sz w:val="18"/>
                <w:szCs w:val="18"/>
              </w:rPr>
              <w:t xml:space="preserve">Other liabilities </w:t>
            </w:r>
          </w:p>
        </w:tc>
        <w:tc>
          <w:tcPr>
            <w:tcW w:w="548" w:type="pct"/>
            <w:tcBorders>
              <w:top w:val="nil"/>
              <w:left w:val="nil"/>
              <w:bottom w:val="nil"/>
              <w:right w:val="nil"/>
            </w:tcBorders>
            <w:shd w:val="clear" w:color="auto" w:fill="auto"/>
            <w:vAlign w:val="bottom"/>
          </w:tcPr>
          <w:p w14:paraId="07BA393B" w14:textId="0E0EE753" w:rsidR="00C27020" w:rsidRPr="009702B0" w:rsidRDefault="00C27020" w:rsidP="00C27020">
            <w:pPr>
              <w:spacing w:after="0" w:line="280" w:lineRule="exact"/>
              <w:jc w:val="right"/>
              <w:rPr>
                <w:rFonts w:cs="Arial"/>
                <w:sz w:val="18"/>
                <w:szCs w:val="18"/>
              </w:rPr>
            </w:pPr>
            <w:r>
              <w:rPr>
                <w:rFonts w:cs="Arial"/>
                <w:sz w:val="18"/>
                <w:szCs w:val="18"/>
              </w:rPr>
              <w:t>-</w:t>
            </w:r>
          </w:p>
        </w:tc>
        <w:tc>
          <w:tcPr>
            <w:tcW w:w="479" w:type="pct"/>
            <w:tcBorders>
              <w:top w:val="nil"/>
              <w:left w:val="nil"/>
              <w:bottom w:val="nil"/>
              <w:right w:val="nil"/>
            </w:tcBorders>
            <w:shd w:val="clear" w:color="auto" w:fill="auto"/>
            <w:vAlign w:val="bottom"/>
          </w:tcPr>
          <w:p w14:paraId="0E323593" w14:textId="6CCD1931" w:rsidR="00C27020" w:rsidRPr="009702B0" w:rsidRDefault="00C27020" w:rsidP="00C27020">
            <w:pPr>
              <w:spacing w:after="0" w:line="280" w:lineRule="exact"/>
              <w:jc w:val="right"/>
              <w:rPr>
                <w:rFonts w:cs="Arial"/>
                <w:sz w:val="18"/>
                <w:szCs w:val="18"/>
              </w:rPr>
            </w:pPr>
            <w:r>
              <w:rPr>
                <w:rFonts w:cs="Arial"/>
                <w:sz w:val="18"/>
                <w:szCs w:val="18"/>
              </w:rPr>
              <w:t>-</w:t>
            </w:r>
          </w:p>
        </w:tc>
        <w:tc>
          <w:tcPr>
            <w:tcW w:w="479" w:type="pct"/>
            <w:tcBorders>
              <w:top w:val="nil"/>
              <w:left w:val="nil"/>
              <w:bottom w:val="nil"/>
              <w:right w:val="nil"/>
            </w:tcBorders>
            <w:shd w:val="clear" w:color="auto" w:fill="auto"/>
            <w:vAlign w:val="bottom"/>
          </w:tcPr>
          <w:p w14:paraId="373DF12A" w14:textId="134C55EE" w:rsidR="00C27020" w:rsidRPr="009702B0" w:rsidRDefault="00C27020" w:rsidP="00C27020">
            <w:pPr>
              <w:spacing w:after="0" w:line="280" w:lineRule="exact"/>
              <w:jc w:val="right"/>
              <w:rPr>
                <w:rFonts w:cs="Arial"/>
                <w:sz w:val="18"/>
                <w:szCs w:val="18"/>
              </w:rPr>
            </w:pPr>
            <w:r>
              <w:rPr>
                <w:rFonts w:cs="Arial"/>
                <w:sz w:val="18"/>
                <w:szCs w:val="18"/>
              </w:rPr>
              <w:t>-</w:t>
            </w:r>
          </w:p>
        </w:tc>
        <w:tc>
          <w:tcPr>
            <w:tcW w:w="477" w:type="pct"/>
            <w:tcBorders>
              <w:top w:val="nil"/>
              <w:left w:val="nil"/>
              <w:bottom w:val="nil"/>
              <w:right w:val="nil"/>
            </w:tcBorders>
            <w:shd w:val="clear" w:color="auto" w:fill="auto"/>
            <w:vAlign w:val="bottom"/>
          </w:tcPr>
          <w:p w14:paraId="5E59AAE7" w14:textId="728938F1" w:rsidR="00C27020" w:rsidRPr="009702B0" w:rsidRDefault="00C27020" w:rsidP="00C27020">
            <w:pPr>
              <w:spacing w:after="0" w:line="280" w:lineRule="exact"/>
              <w:jc w:val="right"/>
              <w:rPr>
                <w:rFonts w:cs="Arial"/>
                <w:sz w:val="18"/>
                <w:szCs w:val="18"/>
              </w:rPr>
            </w:pPr>
            <w:r>
              <w:rPr>
                <w:rFonts w:cs="Arial"/>
                <w:sz w:val="18"/>
                <w:szCs w:val="18"/>
              </w:rPr>
              <w:t>-</w:t>
            </w:r>
          </w:p>
        </w:tc>
        <w:tc>
          <w:tcPr>
            <w:tcW w:w="548" w:type="pct"/>
            <w:tcBorders>
              <w:top w:val="nil"/>
              <w:left w:val="nil"/>
              <w:bottom w:val="nil"/>
              <w:right w:val="nil"/>
            </w:tcBorders>
            <w:shd w:val="clear" w:color="auto" w:fill="auto"/>
            <w:vAlign w:val="bottom"/>
          </w:tcPr>
          <w:p w14:paraId="30FE472C" w14:textId="155A5935" w:rsidR="00C27020" w:rsidRPr="009702B0" w:rsidRDefault="00C27020" w:rsidP="00C27020">
            <w:pPr>
              <w:spacing w:after="0" w:line="280" w:lineRule="exact"/>
              <w:jc w:val="right"/>
              <w:rPr>
                <w:rFonts w:cs="Arial"/>
                <w:sz w:val="18"/>
                <w:szCs w:val="18"/>
              </w:rPr>
            </w:pPr>
            <w:r>
              <w:rPr>
                <w:rFonts w:cs="Arial"/>
                <w:sz w:val="18"/>
                <w:szCs w:val="18"/>
              </w:rPr>
              <w:t>-</w:t>
            </w:r>
          </w:p>
        </w:tc>
        <w:tc>
          <w:tcPr>
            <w:tcW w:w="547" w:type="pct"/>
            <w:tcBorders>
              <w:top w:val="nil"/>
              <w:left w:val="nil"/>
              <w:bottom w:val="single" w:sz="4" w:space="0" w:color="auto"/>
              <w:right w:val="nil"/>
            </w:tcBorders>
            <w:shd w:val="clear" w:color="auto" w:fill="auto"/>
            <w:vAlign w:val="bottom"/>
          </w:tcPr>
          <w:p w14:paraId="25FD2200" w14:textId="461D1035" w:rsidR="00C27020" w:rsidRPr="009702B0" w:rsidRDefault="00C27020" w:rsidP="00C27020">
            <w:pPr>
              <w:spacing w:after="0" w:line="280" w:lineRule="exact"/>
              <w:jc w:val="right"/>
              <w:rPr>
                <w:rFonts w:cs="Arial"/>
                <w:sz w:val="18"/>
                <w:szCs w:val="18"/>
              </w:rPr>
            </w:pPr>
            <w:r w:rsidRPr="00B424B4">
              <w:rPr>
                <w:rFonts w:cs="Arial"/>
                <w:sz w:val="18"/>
                <w:szCs w:val="18"/>
              </w:rPr>
              <w:t>622</w:t>
            </w:r>
            <w:r>
              <w:rPr>
                <w:rFonts w:cs="Arial"/>
                <w:sz w:val="18"/>
                <w:szCs w:val="18"/>
              </w:rPr>
              <w:t>,</w:t>
            </w:r>
            <w:r w:rsidRPr="00B424B4">
              <w:rPr>
                <w:rFonts w:cs="Arial"/>
                <w:sz w:val="18"/>
                <w:szCs w:val="18"/>
              </w:rPr>
              <w:t>070</w:t>
            </w:r>
          </w:p>
        </w:tc>
        <w:tc>
          <w:tcPr>
            <w:tcW w:w="548" w:type="pct"/>
            <w:tcBorders>
              <w:top w:val="nil"/>
              <w:left w:val="nil"/>
              <w:bottom w:val="single" w:sz="4" w:space="0" w:color="auto"/>
              <w:right w:val="nil"/>
            </w:tcBorders>
            <w:shd w:val="clear" w:color="auto" w:fill="auto"/>
            <w:vAlign w:val="bottom"/>
          </w:tcPr>
          <w:p w14:paraId="7B0E2A9F" w14:textId="6403A5CE" w:rsidR="00C27020" w:rsidRPr="009702B0" w:rsidRDefault="00C27020" w:rsidP="00C27020">
            <w:pPr>
              <w:spacing w:after="0" w:line="280" w:lineRule="exact"/>
              <w:jc w:val="right"/>
              <w:rPr>
                <w:rFonts w:cs="Arial"/>
                <w:bCs/>
                <w:sz w:val="18"/>
                <w:szCs w:val="18"/>
              </w:rPr>
            </w:pPr>
            <w:r w:rsidRPr="00B424B4">
              <w:rPr>
                <w:rFonts w:cs="Arial"/>
                <w:sz w:val="18"/>
                <w:szCs w:val="18"/>
              </w:rPr>
              <w:t>622</w:t>
            </w:r>
            <w:r>
              <w:rPr>
                <w:rFonts w:cs="Arial"/>
                <w:sz w:val="18"/>
                <w:szCs w:val="18"/>
              </w:rPr>
              <w:t>,</w:t>
            </w:r>
            <w:r w:rsidRPr="00B424B4">
              <w:rPr>
                <w:rFonts w:cs="Arial"/>
                <w:sz w:val="18"/>
                <w:szCs w:val="18"/>
              </w:rPr>
              <w:t>070</w:t>
            </w:r>
          </w:p>
        </w:tc>
      </w:tr>
      <w:tr w:rsidR="00C27020" w:rsidRPr="009702B0" w14:paraId="0C04C511" w14:textId="77777777" w:rsidTr="005444AA">
        <w:tc>
          <w:tcPr>
            <w:tcW w:w="1373" w:type="pct"/>
          </w:tcPr>
          <w:p w14:paraId="54D51B34" w14:textId="77777777" w:rsidR="00C27020" w:rsidRPr="009702B0" w:rsidRDefault="00C27020" w:rsidP="00C27020">
            <w:pPr>
              <w:tabs>
                <w:tab w:val="right" w:pos="1202"/>
              </w:tabs>
              <w:spacing w:after="0" w:line="280" w:lineRule="exact"/>
              <w:outlineLvl w:val="0"/>
              <w:rPr>
                <w:rFonts w:eastAsia="Times New Roman" w:cs="Arial"/>
                <w:b/>
                <w:bCs/>
                <w:sz w:val="18"/>
                <w:szCs w:val="18"/>
              </w:rPr>
            </w:pPr>
            <w:r w:rsidRPr="009702B0">
              <w:rPr>
                <w:rFonts w:eastAsia="Times New Roman" w:cs="Arial"/>
                <w:b/>
                <w:bCs/>
                <w:sz w:val="18"/>
                <w:szCs w:val="18"/>
              </w:rPr>
              <w:t xml:space="preserve">Total liabilities </w:t>
            </w:r>
          </w:p>
        </w:tc>
        <w:tc>
          <w:tcPr>
            <w:tcW w:w="548" w:type="pct"/>
            <w:tcBorders>
              <w:top w:val="single" w:sz="8" w:space="0" w:color="auto"/>
              <w:left w:val="nil"/>
              <w:bottom w:val="single" w:sz="12" w:space="0" w:color="auto"/>
              <w:right w:val="nil"/>
            </w:tcBorders>
            <w:shd w:val="clear" w:color="auto" w:fill="auto"/>
            <w:vAlign w:val="bottom"/>
          </w:tcPr>
          <w:p w14:paraId="0E818DBC" w14:textId="7AFCC6E5" w:rsidR="00C27020" w:rsidRPr="009702B0" w:rsidRDefault="00C27020" w:rsidP="00C27020">
            <w:pPr>
              <w:spacing w:after="0" w:line="280" w:lineRule="exact"/>
              <w:jc w:val="right"/>
              <w:rPr>
                <w:rFonts w:cs="Arial"/>
                <w:b/>
                <w:sz w:val="18"/>
                <w:szCs w:val="18"/>
              </w:rPr>
            </w:pPr>
            <w:r w:rsidRPr="00FE65B6">
              <w:rPr>
                <w:rFonts w:asciiTheme="minorHAnsi" w:hAnsiTheme="minorHAnsi" w:cs="Arial"/>
                <w:b/>
                <w:bCs/>
                <w:sz w:val="18"/>
                <w:szCs w:val="18"/>
                <w:lang w:val="hr-HR"/>
              </w:rPr>
              <w:t>719</w:t>
            </w:r>
            <w:r>
              <w:rPr>
                <w:rFonts w:asciiTheme="minorHAnsi" w:hAnsiTheme="minorHAnsi" w:cs="Arial"/>
                <w:b/>
                <w:bCs/>
                <w:sz w:val="18"/>
                <w:szCs w:val="18"/>
                <w:lang w:val="hr-HR"/>
              </w:rPr>
              <w:t>,</w:t>
            </w:r>
            <w:r w:rsidRPr="00FE65B6">
              <w:rPr>
                <w:rFonts w:asciiTheme="minorHAnsi" w:hAnsiTheme="minorHAnsi" w:cs="Arial"/>
                <w:b/>
                <w:bCs/>
                <w:sz w:val="18"/>
                <w:szCs w:val="18"/>
                <w:lang w:val="hr-HR"/>
              </w:rPr>
              <w:t>252</w:t>
            </w:r>
          </w:p>
        </w:tc>
        <w:tc>
          <w:tcPr>
            <w:tcW w:w="479" w:type="pct"/>
            <w:tcBorders>
              <w:top w:val="single" w:sz="8" w:space="0" w:color="auto"/>
              <w:left w:val="nil"/>
              <w:bottom w:val="single" w:sz="12" w:space="0" w:color="auto"/>
              <w:right w:val="nil"/>
            </w:tcBorders>
            <w:shd w:val="clear" w:color="auto" w:fill="auto"/>
            <w:vAlign w:val="bottom"/>
          </w:tcPr>
          <w:p w14:paraId="1B2711BB" w14:textId="1D84E30F" w:rsidR="00C27020" w:rsidRPr="009702B0" w:rsidRDefault="00C27020" w:rsidP="00C27020">
            <w:pPr>
              <w:spacing w:after="0" w:line="280" w:lineRule="exact"/>
              <w:jc w:val="right"/>
              <w:rPr>
                <w:rFonts w:cs="Arial"/>
                <w:b/>
                <w:sz w:val="18"/>
                <w:szCs w:val="18"/>
              </w:rPr>
            </w:pPr>
            <w:r w:rsidRPr="00FE65B6">
              <w:rPr>
                <w:rFonts w:asciiTheme="minorHAnsi" w:hAnsiTheme="minorHAnsi" w:cs="Arial"/>
                <w:b/>
                <w:bCs/>
                <w:sz w:val="18"/>
                <w:szCs w:val="18"/>
                <w:lang w:val="hr-HR"/>
              </w:rPr>
              <w:t>455</w:t>
            </w:r>
            <w:r>
              <w:rPr>
                <w:rFonts w:asciiTheme="minorHAnsi" w:hAnsiTheme="minorHAnsi" w:cs="Arial"/>
                <w:b/>
                <w:bCs/>
                <w:sz w:val="18"/>
                <w:szCs w:val="18"/>
                <w:lang w:val="hr-HR"/>
              </w:rPr>
              <w:t>,</w:t>
            </w:r>
            <w:r w:rsidRPr="00FE65B6">
              <w:rPr>
                <w:rFonts w:asciiTheme="minorHAnsi" w:hAnsiTheme="minorHAnsi" w:cs="Arial"/>
                <w:b/>
                <w:bCs/>
                <w:sz w:val="18"/>
                <w:szCs w:val="18"/>
                <w:lang w:val="hr-HR"/>
              </w:rPr>
              <w:t>796</w:t>
            </w:r>
          </w:p>
        </w:tc>
        <w:tc>
          <w:tcPr>
            <w:tcW w:w="479" w:type="pct"/>
            <w:tcBorders>
              <w:top w:val="single" w:sz="8" w:space="0" w:color="auto"/>
              <w:left w:val="nil"/>
              <w:bottom w:val="single" w:sz="12" w:space="0" w:color="auto"/>
              <w:right w:val="nil"/>
            </w:tcBorders>
            <w:shd w:val="clear" w:color="auto" w:fill="auto"/>
            <w:vAlign w:val="bottom"/>
          </w:tcPr>
          <w:p w14:paraId="44E001C2" w14:textId="724A274C" w:rsidR="00C27020" w:rsidRPr="009702B0" w:rsidRDefault="00C27020" w:rsidP="00C27020">
            <w:pPr>
              <w:spacing w:after="0" w:line="280" w:lineRule="exact"/>
              <w:jc w:val="right"/>
              <w:rPr>
                <w:rFonts w:cs="Arial"/>
                <w:b/>
                <w:sz w:val="18"/>
                <w:szCs w:val="18"/>
              </w:rPr>
            </w:pPr>
            <w:r w:rsidRPr="00FE65B6">
              <w:rPr>
                <w:rFonts w:asciiTheme="minorHAnsi" w:hAnsiTheme="minorHAnsi" w:cs="Arial"/>
                <w:b/>
                <w:bCs/>
                <w:sz w:val="18"/>
                <w:szCs w:val="18"/>
                <w:lang w:val="hr-HR"/>
              </w:rPr>
              <w:t>1</w:t>
            </w:r>
            <w:r>
              <w:rPr>
                <w:rFonts w:asciiTheme="minorHAnsi" w:hAnsiTheme="minorHAnsi" w:cs="Arial"/>
                <w:b/>
                <w:bCs/>
                <w:sz w:val="18"/>
                <w:szCs w:val="18"/>
                <w:lang w:val="hr-HR"/>
              </w:rPr>
              <w:t>,</w:t>
            </w:r>
            <w:r w:rsidRPr="00FE65B6">
              <w:rPr>
                <w:rFonts w:asciiTheme="minorHAnsi" w:hAnsiTheme="minorHAnsi" w:cs="Arial"/>
                <w:b/>
                <w:bCs/>
                <w:sz w:val="18"/>
                <w:szCs w:val="18"/>
                <w:lang w:val="hr-HR"/>
              </w:rPr>
              <w:t>175</w:t>
            </w:r>
            <w:r>
              <w:rPr>
                <w:rFonts w:asciiTheme="minorHAnsi" w:hAnsiTheme="minorHAnsi" w:cs="Arial"/>
                <w:b/>
                <w:bCs/>
                <w:sz w:val="18"/>
                <w:szCs w:val="18"/>
                <w:lang w:val="hr-HR"/>
              </w:rPr>
              <w:t>,</w:t>
            </w:r>
            <w:r w:rsidRPr="00FE65B6">
              <w:rPr>
                <w:rFonts w:asciiTheme="minorHAnsi" w:hAnsiTheme="minorHAnsi" w:cs="Arial"/>
                <w:b/>
                <w:bCs/>
                <w:sz w:val="18"/>
                <w:szCs w:val="18"/>
                <w:lang w:val="hr-HR"/>
              </w:rPr>
              <w:t>171</w:t>
            </w:r>
          </w:p>
        </w:tc>
        <w:tc>
          <w:tcPr>
            <w:tcW w:w="477" w:type="pct"/>
            <w:tcBorders>
              <w:top w:val="single" w:sz="8" w:space="0" w:color="auto"/>
              <w:left w:val="nil"/>
              <w:bottom w:val="single" w:sz="12" w:space="0" w:color="auto"/>
              <w:right w:val="nil"/>
            </w:tcBorders>
            <w:shd w:val="clear" w:color="auto" w:fill="auto"/>
            <w:vAlign w:val="bottom"/>
          </w:tcPr>
          <w:p w14:paraId="60B04C9C" w14:textId="5708EBFA" w:rsidR="00C27020" w:rsidRPr="009702B0" w:rsidRDefault="00C27020" w:rsidP="00C27020">
            <w:pPr>
              <w:spacing w:after="0" w:line="280" w:lineRule="exact"/>
              <w:jc w:val="right"/>
              <w:rPr>
                <w:rFonts w:cs="Arial"/>
                <w:b/>
                <w:sz w:val="18"/>
                <w:szCs w:val="18"/>
              </w:rPr>
            </w:pPr>
            <w:r w:rsidRPr="00FE65B6">
              <w:rPr>
                <w:rFonts w:asciiTheme="minorHAnsi" w:hAnsiTheme="minorHAnsi" w:cs="Arial"/>
                <w:b/>
                <w:bCs/>
                <w:sz w:val="18"/>
                <w:szCs w:val="18"/>
                <w:lang w:val="hr-HR"/>
              </w:rPr>
              <w:t>4</w:t>
            </w:r>
            <w:r>
              <w:rPr>
                <w:rFonts w:asciiTheme="minorHAnsi" w:hAnsiTheme="minorHAnsi" w:cs="Arial"/>
                <w:b/>
                <w:bCs/>
                <w:sz w:val="18"/>
                <w:szCs w:val="18"/>
                <w:lang w:val="hr-HR"/>
              </w:rPr>
              <w:t>,</w:t>
            </w:r>
            <w:r w:rsidRPr="00FE65B6">
              <w:rPr>
                <w:rFonts w:asciiTheme="minorHAnsi" w:hAnsiTheme="minorHAnsi" w:cs="Arial"/>
                <w:b/>
                <w:bCs/>
                <w:sz w:val="18"/>
                <w:szCs w:val="18"/>
                <w:lang w:val="hr-HR"/>
              </w:rPr>
              <w:t>797</w:t>
            </w:r>
            <w:r>
              <w:rPr>
                <w:rFonts w:asciiTheme="minorHAnsi" w:hAnsiTheme="minorHAnsi" w:cs="Arial"/>
                <w:b/>
                <w:bCs/>
                <w:sz w:val="18"/>
                <w:szCs w:val="18"/>
                <w:lang w:val="hr-HR"/>
              </w:rPr>
              <w:t>,</w:t>
            </w:r>
            <w:r w:rsidRPr="00FE65B6">
              <w:rPr>
                <w:rFonts w:asciiTheme="minorHAnsi" w:hAnsiTheme="minorHAnsi" w:cs="Arial"/>
                <w:b/>
                <w:bCs/>
                <w:sz w:val="18"/>
                <w:szCs w:val="18"/>
                <w:lang w:val="hr-HR"/>
              </w:rPr>
              <w:t>963</w:t>
            </w:r>
          </w:p>
        </w:tc>
        <w:tc>
          <w:tcPr>
            <w:tcW w:w="548" w:type="pct"/>
            <w:tcBorders>
              <w:top w:val="single" w:sz="8" w:space="0" w:color="auto"/>
              <w:left w:val="nil"/>
              <w:bottom w:val="single" w:sz="12" w:space="0" w:color="auto"/>
              <w:right w:val="nil"/>
            </w:tcBorders>
            <w:shd w:val="clear" w:color="auto" w:fill="auto"/>
            <w:vAlign w:val="bottom"/>
          </w:tcPr>
          <w:p w14:paraId="6677F468" w14:textId="604844FB" w:rsidR="00C27020" w:rsidRPr="009702B0" w:rsidRDefault="00C27020" w:rsidP="00C27020">
            <w:pPr>
              <w:spacing w:after="0" w:line="280" w:lineRule="exact"/>
              <w:jc w:val="right"/>
              <w:rPr>
                <w:rFonts w:cs="Arial"/>
                <w:b/>
                <w:sz w:val="18"/>
                <w:szCs w:val="18"/>
              </w:rPr>
            </w:pPr>
            <w:r w:rsidRPr="00FE65B6">
              <w:rPr>
                <w:rFonts w:asciiTheme="minorHAnsi" w:hAnsiTheme="minorHAnsi" w:cs="Arial"/>
                <w:b/>
                <w:bCs/>
                <w:sz w:val="18"/>
                <w:szCs w:val="18"/>
                <w:lang w:val="hr-HR"/>
              </w:rPr>
              <w:t>9</w:t>
            </w:r>
            <w:r>
              <w:rPr>
                <w:rFonts w:asciiTheme="minorHAnsi" w:hAnsiTheme="minorHAnsi" w:cs="Arial"/>
                <w:b/>
                <w:bCs/>
                <w:sz w:val="18"/>
                <w:szCs w:val="18"/>
                <w:lang w:val="hr-HR"/>
              </w:rPr>
              <w:t>,</w:t>
            </w:r>
            <w:r w:rsidRPr="00FE65B6">
              <w:rPr>
                <w:rFonts w:asciiTheme="minorHAnsi" w:hAnsiTheme="minorHAnsi" w:cs="Arial"/>
                <w:b/>
                <w:bCs/>
                <w:sz w:val="18"/>
                <w:szCs w:val="18"/>
                <w:lang w:val="hr-HR"/>
              </w:rPr>
              <w:t>874</w:t>
            </w:r>
            <w:r>
              <w:rPr>
                <w:rFonts w:asciiTheme="minorHAnsi" w:hAnsiTheme="minorHAnsi" w:cs="Arial"/>
                <w:b/>
                <w:bCs/>
                <w:sz w:val="18"/>
                <w:szCs w:val="18"/>
                <w:lang w:val="hr-HR"/>
              </w:rPr>
              <w:t>,</w:t>
            </w:r>
            <w:r w:rsidRPr="00FE65B6">
              <w:rPr>
                <w:rFonts w:asciiTheme="minorHAnsi" w:hAnsiTheme="minorHAnsi" w:cs="Arial"/>
                <w:b/>
                <w:bCs/>
                <w:sz w:val="18"/>
                <w:szCs w:val="18"/>
                <w:lang w:val="hr-HR"/>
              </w:rPr>
              <w:t>189</w:t>
            </w:r>
          </w:p>
        </w:tc>
        <w:tc>
          <w:tcPr>
            <w:tcW w:w="547" w:type="pct"/>
            <w:tcBorders>
              <w:top w:val="single" w:sz="8" w:space="0" w:color="auto"/>
              <w:left w:val="nil"/>
              <w:bottom w:val="single" w:sz="12" w:space="0" w:color="auto"/>
              <w:right w:val="nil"/>
            </w:tcBorders>
            <w:shd w:val="clear" w:color="auto" w:fill="auto"/>
            <w:vAlign w:val="bottom"/>
          </w:tcPr>
          <w:p w14:paraId="22E81DAA" w14:textId="2ABBE2CF" w:rsidR="00C27020" w:rsidRPr="009702B0" w:rsidRDefault="00C27020" w:rsidP="00C27020">
            <w:pPr>
              <w:spacing w:after="0" w:line="280" w:lineRule="exact"/>
              <w:jc w:val="right"/>
              <w:rPr>
                <w:rFonts w:cs="Arial"/>
                <w:b/>
                <w:sz w:val="18"/>
                <w:szCs w:val="18"/>
              </w:rPr>
            </w:pPr>
            <w:r w:rsidRPr="00FE65B6">
              <w:rPr>
                <w:rFonts w:asciiTheme="minorHAnsi" w:hAnsiTheme="minorHAnsi" w:cs="Arial"/>
                <w:b/>
                <w:bCs/>
                <w:sz w:val="18"/>
                <w:szCs w:val="18"/>
                <w:lang w:val="hr-HR"/>
              </w:rPr>
              <w:t>1</w:t>
            </w:r>
            <w:r>
              <w:rPr>
                <w:rFonts w:asciiTheme="minorHAnsi" w:hAnsiTheme="minorHAnsi" w:cs="Arial"/>
                <w:b/>
                <w:bCs/>
                <w:sz w:val="18"/>
                <w:szCs w:val="18"/>
                <w:lang w:val="hr-HR"/>
              </w:rPr>
              <w:t>,</w:t>
            </w:r>
            <w:r w:rsidRPr="00FE65B6">
              <w:rPr>
                <w:rFonts w:asciiTheme="minorHAnsi" w:hAnsiTheme="minorHAnsi" w:cs="Arial"/>
                <w:b/>
                <w:bCs/>
                <w:sz w:val="18"/>
                <w:szCs w:val="18"/>
                <w:lang w:val="hr-HR"/>
              </w:rPr>
              <w:t>017</w:t>
            </w:r>
            <w:r>
              <w:rPr>
                <w:rFonts w:asciiTheme="minorHAnsi" w:hAnsiTheme="minorHAnsi" w:cs="Arial"/>
                <w:b/>
                <w:bCs/>
                <w:sz w:val="18"/>
                <w:szCs w:val="18"/>
                <w:lang w:val="hr-HR"/>
              </w:rPr>
              <w:t>,</w:t>
            </w:r>
            <w:r w:rsidRPr="00FE65B6">
              <w:rPr>
                <w:rFonts w:asciiTheme="minorHAnsi" w:hAnsiTheme="minorHAnsi" w:cs="Arial"/>
                <w:b/>
                <w:bCs/>
                <w:sz w:val="18"/>
                <w:szCs w:val="18"/>
                <w:lang w:val="hr-HR"/>
              </w:rPr>
              <w:t>539</w:t>
            </w:r>
          </w:p>
        </w:tc>
        <w:tc>
          <w:tcPr>
            <w:tcW w:w="548" w:type="pct"/>
            <w:tcBorders>
              <w:top w:val="single" w:sz="8" w:space="0" w:color="auto"/>
              <w:left w:val="nil"/>
              <w:bottom w:val="single" w:sz="12" w:space="0" w:color="auto"/>
              <w:right w:val="nil"/>
            </w:tcBorders>
            <w:shd w:val="clear" w:color="auto" w:fill="auto"/>
            <w:vAlign w:val="bottom"/>
          </w:tcPr>
          <w:p w14:paraId="3DC6BB1B" w14:textId="2B0D73C6" w:rsidR="00C27020" w:rsidRPr="009702B0" w:rsidRDefault="00C27020" w:rsidP="00C27020">
            <w:pPr>
              <w:spacing w:after="0" w:line="280" w:lineRule="exact"/>
              <w:jc w:val="right"/>
              <w:rPr>
                <w:rFonts w:cs="Arial"/>
                <w:b/>
                <w:bCs/>
                <w:sz w:val="18"/>
                <w:szCs w:val="18"/>
              </w:rPr>
            </w:pPr>
            <w:r w:rsidRPr="00FE65B6">
              <w:rPr>
                <w:rFonts w:asciiTheme="minorHAnsi" w:hAnsiTheme="minorHAnsi" w:cs="Arial"/>
                <w:b/>
                <w:bCs/>
                <w:sz w:val="18"/>
                <w:szCs w:val="18"/>
                <w:lang w:val="hr-HR"/>
              </w:rPr>
              <w:t>18</w:t>
            </w:r>
            <w:r>
              <w:rPr>
                <w:rFonts w:asciiTheme="minorHAnsi" w:hAnsiTheme="minorHAnsi" w:cs="Arial"/>
                <w:b/>
                <w:bCs/>
                <w:sz w:val="18"/>
                <w:szCs w:val="18"/>
                <w:lang w:val="hr-HR"/>
              </w:rPr>
              <w:t>,</w:t>
            </w:r>
            <w:r w:rsidRPr="00FE65B6">
              <w:rPr>
                <w:rFonts w:asciiTheme="minorHAnsi" w:hAnsiTheme="minorHAnsi" w:cs="Arial"/>
                <w:b/>
                <w:bCs/>
                <w:sz w:val="18"/>
                <w:szCs w:val="18"/>
                <w:lang w:val="hr-HR"/>
              </w:rPr>
              <w:t>039</w:t>
            </w:r>
            <w:r>
              <w:rPr>
                <w:rFonts w:asciiTheme="minorHAnsi" w:hAnsiTheme="minorHAnsi" w:cs="Arial"/>
                <w:b/>
                <w:bCs/>
                <w:sz w:val="18"/>
                <w:szCs w:val="18"/>
                <w:lang w:val="hr-HR"/>
              </w:rPr>
              <w:t>,</w:t>
            </w:r>
            <w:r w:rsidRPr="00FE65B6">
              <w:rPr>
                <w:rFonts w:asciiTheme="minorHAnsi" w:hAnsiTheme="minorHAnsi" w:cs="Arial"/>
                <w:b/>
                <w:bCs/>
                <w:sz w:val="18"/>
                <w:szCs w:val="18"/>
                <w:lang w:val="hr-HR"/>
              </w:rPr>
              <w:t>910</w:t>
            </w:r>
          </w:p>
        </w:tc>
      </w:tr>
      <w:tr w:rsidR="00FA2AA0" w:rsidRPr="009702B0" w14:paraId="64613740" w14:textId="77777777" w:rsidTr="00655C9A">
        <w:tc>
          <w:tcPr>
            <w:tcW w:w="1373" w:type="pct"/>
          </w:tcPr>
          <w:p w14:paraId="2E08D0E1" w14:textId="77777777" w:rsidR="00FA2AA0" w:rsidRPr="009702B0" w:rsidRDefault="00FA2AA0" w:rsidP="00FA2AA0">
            <w:pPr>
              <w:tabs>
                <w:tab w:val="right" w:pos="1202"/>
              </w:tabs>
              <w:spacing w:after="0" w:line="280" w:lineRule="exact"/>
              <w:outlineLvl w:val="0"/>
              <w:rPr>
                <w:rFonts w:eastAsia="Times New Roman" w:cs="Arial"/>
                <w:sz w:val="18"/>
                <w:szCs w:val="18"/>
              </w:rPr>
            </w:pPr>
            <w:r w:rsidRPr="009702B0">
              <w:rPr>
                <w:rFonts w:eastAsia="Times New Roman" w:cs="Arial"/>
                <w:b/>
                <w:bCs/>
                <w:sz w:val="18"/>
                <w:szCs w:val="18"/>
              </w:rPr>
              <w:t xml:space="preserve">Equity </w:t>
            </w:r>
          </w:p>
        </w:tc>
        <w:tc>
          <w:tcPr>
            <w:tcW w:w="548" w:type="pct"/>
            <w:tcBorders>
              <w:top w:val="single" w:sz="12" w:space="0" w:color="auto"/>
              <w:left w:val="nil"/>
              <w:bottom w:val="nil"/>
              <w:right w:val="nil"/>
            </w:tcBorders>
            <w:vAlign w:val="bottom"/>
          </w:tcPr>
          <w:p w14:paraId="234207F4" w14:textId="77777777" w:rsidR="00FA2AA0" w:rsidRPr="009702B0" w:rsidRDefault="00FA2AA0" w:rsidP="00FA2AA0">
            <w:pPr>
              <w:tabs>
                <w:tab w:val="right" w:pos="1202"/>
              </w:tabs>
              <w:spacing w:after="0" w:line="280" w:lineRule="exact"/>
              <w:jc w:val="right"/>
              <w:outlineLvl w:val="0"/>
              <w:rPr>
                <w:rFonts w:eastAsia="Times New Roman" w:cs="Arial"/>
                <w:spacing w:val="-2"/>
                <w:sz w:val="18"/>
                <w:szCs w:val="18"/>
              </w:rPr>
            </w:pPr>
          </w:p>
        </w:tc>
        <w:tc>
          <w:tcPr>
            <w:tcW w:w="479" w:type="pct"/>
            <w:tcBorders>
              <w:top w:val="single" w:sz="12" w:space="0" w:color="auto"/>
              <w:left w:val="nil"/>
              <w:bottom w:val="nil"/>
              <w:right w:val="nil"/>
            </w:tcBorders>
            <w:vAlign w:val="bottom"/>
          </w:tcPr>
          <w:p w14:paraId="3737E8AB" w14:textId="77777777" w:rsidR="00FA2AA0" w:rsidRPr="009702B0" w:rsidRDefault="00FA2AA0" w:rsidP="00FA2AA0">
            <w:pPr>
              <w:tabs>
                <w:tab w:val="right" w:pos="1202"/>
              </w:tabs>
              <w:spacing w:after="0" w:line="280" w:lineRule="exact"/>
              <w:jc w:val="right"/>
              <w:outlineLvl w:val="0"/>
              <w:rPr>
                <w:rFonts w:eastAsia="Times New Roman" w:cs="Arial"/>
                <w:spacing w:val="-2"/>
                <w:sz w:val="18"/>
                <w:szCs w:val="18"/>
              </w:rPr>
            </w:pPr>
          </w:p>
        </w:tc>
        <w:tc>
          <w:tcPr>
            <w:tcW w:w="479" w:type="pct"/>
            <w:tcBorders>
              <w:top w:val="single" w:sz="12" w:space="0" w:color="auto"/>
              <w:left w:val="nil"/>
              <w:bottom w:val="nil"/>
              <w:right w:val="nil"/>
            </w:tcBorders>
            <w:vAlign w:val="bottom"/>
          </w:tcPr>
          <w:p w14:paraId="76E5B778" w14:textId="77777777" w:rsidR="00FA2AA0" w:rsidRPr="009702B0" w:rsidRDefault="00FA2AA0" w:rsidP="00FA2AA0">
            <w:pPr>
              <w:tabs>
                <w:tab w:val="right" w:pos="1202"/>
              </w:tabs>
              <w:spacing w:after="0" w:line="280" w:lineRule="exact"/>
              <w:jc w:val="right"/>
              <w:outlineLvl w:val="0"/>
              <w:rPr>
                <w:rFonts w:eastAsia="Times New Roman" w:cs="Arial"/>
                <w:spacing w:val="-2"/>
                <w:sz w:val="18"/>
                <w:szCs w:val="18"/>
              </w:rPr>
            </w:pPr>
          </w:p>
        </w:tc>
        <w:tc>
          <w:tcPr>
            <w:tcW w:w="477" w:type="pct"/>
            <w:tcBorders>
              <w:top w:val="single" w:sz="12" w:space="0" w:color="auto"/>
              <w:left w:val="nil"/>
              <w:bottom w:val="nil"/>
              <w:right w:val="nil"/>
            </w:tcBorders>
            <w:vAlign w:val="bottom"/>
          </w:tcPr>
          <w:p w14:paraId="65BC5E25" w14:textId="77777777" w:rsidR="00FA2AA0" w:rsidRPr="009702B0" w:rsidRDefault="00FA2AA0" w:rsidP="00FA2AA0">
            <w:pPr>
              <w:tabs>
                <w:tab w:val="right" w:pos="1202"/>
              </w:tabs>
              <w:spacing w:after="0" w:line="280" w:lineRule="exact"/>
              <w:jc w:val="right"/>
              <w:outlineLvl w:val="0"/>
              <w:rPr>
                <w:rFonts w:eastAsia="Times New Roman" w:cs="Arial"/>
                <w:spacing w:val="-2"/>
                <w:sz w:val="18"/>
                <w:szCs w:val="18"/>
              </w:rPr>
            </w:pPr>
          </w:p>
        </w:tc>
        <w:tc>
          <w:tcPr>
            <w:tcW w:w="548" w:type="pct"/>
            <w:tcBorders>
              <w:top w:val="single" w:sz="12" w:space="0" w:color="auto"/>
              <w:left w:val="nil"/>
              <w:bottom w:val="nil"/>
              <w:right w:val="nil"/>
            </w:tcBorders>
            <w:vAlign w:val="bottom"/>
          </w:tcPr>
          <w:p w14:paraId="06748C7C" w14:textId="77777777" w:rsidR="00FA2AA0" w:rsidRPr="009702B0" w:rsidRDefault="00FA2AA0" w:rsidP="00FA2AA0">
            <w:pPr>
              <w:tabs>
                <w:tab w:val="right" w:pos="1202"/>
              </w:tabs>
              <w:spacing w:after="0" w:line="280" w:lineRule="exact"/>
              <w:jc w:val="right"/>
              <w:outlineLvl w:val="0"/>
              <w:rPr>
                <w:rFonts w:eastAsia="Times New Roman" w:cs="Arial"/>
                <w:spacing w:val="-2"/>
                <w:sz w:val="18"/>
                <w:szCs w:val="18"/>
              </w:rPr>
            </w:pPr>
          </w:p>
        </w:tc>
        <w:tc>
          <w:tcPr>
            <w:tcW w:w="547" w:type="pct"/>
            <w:tcBorders>
              <w:top w:val="single" w:sz="12" w:space="0" w:color="auto"/>
              <w:left w:val="nil"/>
              <w:bottom w:val="nil"/>
              <w:right w:val="nil"/>
            </w:tcBorders>
            <w:vAlign w:val="bottom"/>
          </w:tcPr>
          <w:p w14:paraId="403E18C2" w14:textId="77777777" w:rsidR="00FA2AA0" w:rsidRPr="009702B0" w:rsidRDefault="00FA2AA0" w:rsidP="00FA2AA0">
            <w:pPr>
              <w:tabs>
                <w:tab w:val="right" w:pos="1202"/>
              </w:tabs>
              <w:spacing w:after="0" w:line="280" w:lineRule="exact"/>
              <w:jc w:val="right"/>
              <w:outlineLvl w:val="0"/>
              <w:rPr>
                <w:rFonts w:eastAsia="Times New Roman" w:cs="Arial"/>
                <w:b/>
                <w:sz w:val="18"/>
                <w:szCs w:val="18"/>
              </w:rPr>
            </w:pPr>
          </w:p>
        </w:tc>
        <w:tc>
          <w:tcPr>
            <w:tcW w:w="548" w:type="pct"/>
            <w:tcBorders>
              <w:top w:val="single" w:sz="12" w:space="0" w:color="auto"/>
              <w:left w:val="nil"/>
              <w:bottom w:val="nil"/>
              <w:right w:val="nil"/>
            </w:tcBorders>
            <w:vAlign w:val="bottom"/>
          </w:tcPr>
          <w:p w14:paraId="2948AEA8" w14:textId="77777777" w:rsidR="00FA2AA0" w:rsidRPr="009702B0" w:rsidRDefault="00FA2AA0" w:rsidP="00FA2AA0">
            <w:pPr>
              <w:tabs>
                <w:tab w:val="right" w:pos="1202"/>
              </w:tabs>
              <w:spacing w:after="0" w:line="280" w:lineRule="exact"/>
              <w:jc w:val="right"/>
              <w:outlineLvl w:val="0"/>
              <w:rPr>
                <w:rFonts w:eastAsia="Times New Roman" w:cs="Arial"/>
                <w:sz w:val="18"/>
                <w:szCs w:val="18"/>
              </w:rPr>
            </w:pPr>
          </w:p>
        </w:tc>
      </w:tr>
      <w:tr w:rsidR="00C27020" w:rsidRPr="009702B0" w14:paraId="23EC61F7" w14:textId="77777777" w:rsidTr="006B318F">
        <w:tc>
          <w:tcPr>
            <w:tcW w:w="1373" w:type="pct"/>
          </w:tcPr>
          <w:p w14:paraId="00917263" w14:textId="77777777" w:rsidR="00C27020" w:rsidRPr="009702B0" w:rsidRDefault="00C27020" w:rsidP="00C27020">
            <w:pPr>
              <w:tabs>
                <w:tab w:val="right" w:pos="1202"/>
              </w:tabs>
              <w:spacing w:after="0" w:line="280" w:lineRule="exact"/>
              <w:outlineLvl w:val="0"/>
              <w:rPr>
                <w:rFonts w:eastAsia="Times New Roman" w:cs="Arial"/>
                <w:sz w:val="18"/>
                <w:szCs w:val="18"/>
              </w:rPr>
            </w:pPr>
            <w:r w:rsidRPr="009702B0">
              <w:rPr>
                <w:rFonts w:eastAsia="Times New Roman" w:cs="Arial"/>
                <w:sz w:val="18"/>
                <w:szCs w:val="18"/>
              </w:rPr>
              <w:t xml:space="preserve">Founder’s capital </w:t>
            </w:r>
          </w:p>
        </w:tc>
        <w:tc>
          <w:tcPr>
            <w:tcW w:w="548" w:type="pct"/>
            <w:tcBorders>
              <w:top w:val="nil"/>
              <w:left w:val="nil"/>
              <w:bottom w:val="nil"/>
              <w:right w:val="nil"/>
            </w:tcBorders>
            <w:shd w:val="clear" w:color="auto" w:fill="auto"/>
            <w:vAlign w:val="bottom"/>
          </w:tcPr>
          <w:p w14:paraId="66DDF529" w14:textId="77777777" w:rsidR="00C27020" w:rsidRPr="009702B0" w:rsidRDefault="00C27020" w:rsidP="00C27020">
            <w:pPr>
              <w:tabs>
                <w:tab w:val="right" w:pos="1202"/>
              </w:tabs>
              <w:spacing w:after="0" w:line="280" w:lineRule="exact"/>
              <w:jc w:val="right"/>
              <w:outlineLvl w:val="0"/>
              <w:rPr>
                <w:rFonts w:asciiTheme="minorHAnsi" w:eastAsia="Times New Roman" w:hAnsiTheme="minorHAnsi" w:cs="Arial"/>
                <w:spacing w:val="-2"/>
                <w:sz w:val="18"/>
                <w:szCs w:val="18"/>
              </w:rPr>
            </w:pPr>
            <w:r w:rsidRPr="000F2377">
              <w:rPr>
                <w:rFonts w:cs="Arial"/>
                <w:sz w:val="18"/>
                <w:szCs w:val="18"/>
              </w:rPr>
              <w:t>-</w:t>
            </w:r>
          </w:p>
        </w:tc>
        <w:tc>
          <w:tcPr>
            <w:tcW w:w="479" w:type="pct"/>
            <w:tcBorders>
              <w:top w:val="nil"/>
              <w:left w:val="nil"/>
              <w:bottom w:val="nil"/>
              <w:right w:val="nil"/>
            </w:tcBorders>
            <w:shd w:val="clear" w:color="auto" w:fill="auto"/>
            <w:vAlign w:val="bottom"/>
          </w:tcPr>
          <w:p w14:paraId="6C1324BF" w14:textId="77777777" w:rsidR="00C27020" w:rsidRPr="009702B0" w:rsidRDefault="00C27020" w:rsidP="00C27020">
            <w:pPr>
              <w:tabs>
                <w:tab w:val="right" w:pos="1202"/>
              </w:tabs>
              <w:spacing w:after="0" w:line="280" w:lineRule="exact"/>
              <w:jc w:val="right"/>
              <w:outlineLvl w:val="0"/>
              <w:rPr>
                <w:rFonts w:asciiTheme="minorHAnsi" w:eastAsia="Times New Roman" w:hAnsiTheme="minorHAnsi" w:cs="Arial"/>
                <w:spacing w:val="-2"/>
                <w:sz w:val="18"/>
                <w:szCs w:val="18"/>
              </w:rPr>
            </w:pPr>
            <w:r w:rsidRPr="000F2377">
              <w:rPr>
                <w:rFonts w:cs="Arial"/>
                <w:sz w:val="18"/>
                <w:szCs w:val="18"/>
              </w:rPr>
              <w:t>-</w:t>
            </w:r>
          </w:p>
        </w:tc>
        <w:tc>
          <w:tcPr>
            <w:tcW w:w="479" w:type="pct"/>
            <w:tcBorders>
              <w:top w:val="nil"/>
              <w:left w:val="nil"/>
              <w:bottom w:val="nil"/>
              <w:right w:val="nil"/>
            </w:tcBorders>
            <w:shd w:val="clear" w:color="auto" w:fill="auto"/>
            <w:vAlign w:val="bottom"/>
          </w:tcPr>
          <w:p w14:paraId="3575AC8C" w14:textId="6283FC47" w:rsidR="00C27020" w:rsidRPr="009702B0" w:rsidRDefault="00C27020" w:rsidP="00C27020">
            <w:pPr>
              <w:tabs>
                <w:tab w:val="right" w:pos="1202"/>
              </w:tabs>
              <w:spacing w:after="0" w:line="280" w:lineRule="exact"/>
              <w:jc w:val="right"/>
              <w:outlineLvl w:val="0"/>
              <w:rPr>
                <w:rFonts w:asciiTheme="minorHAnsi" w:eastAsia="Times New Roman" w:hAnsiTheme="minorHAnsi" w:cs="Arial"/>
                <w:spacing w:val="-2"/>
                <w:sz w:val="18"/>
                <w:szCs w:val="18"/>
              </w:rPr>
            </w:pPr>
            <w:r w:rsidRPr="000F2377">
              <w:rPr>
                <w:rFonts w:cs="Arial"/>
                <w:sz w:val="18"/>
                <w:szCs w:val="18"/>
              </w:rPr>
              <w:t>-</w:t>
            </w:r>
          </w:p>
        </w:tc>
        <w:tc>
          <w:tcPr>
            <w:tcW w:w="477" w:type="pct"/>
            <w:tcBorders>
              <w:top w:val="nil"/>
              <w:left w:val="nil"/>
              <w:bottom w:val="nil"/>
              <w:right w:val="nil"/>
            </w:tcBorders>
            <w:shd w:val="clear" w:color="auto" w:fill="auto"/>
            <w:vAlign w:val="bottom"/>
          </w:tcPr>
          <w:p w14:paraId="7E6945C1" w14:textId="7C720AFA" w:rsidR="00C27020" w:rsidRPr="009702B0" w:rsidRDefault="00C27020" w:rsidP="00C27020">
            <w:pPr>
              <w:tabs>
                <w:tab w:val="right" w:pos="1202"/>
              </w:tabs>
              <w:spacing w:after="0" w:line="280" w:lineRule="exact"/>
              <w:jc w:val="right"/>
              <w:outlineLvl w:val="0"/>
              <w:rPr>
                <w:rFonts w:asciiTheme="minorHAnsi" w:eastAsia="Times New Roman" w:hAnsiTheme="minorHAnsi" w:cs="Arial"/>
                <w:spacing w:val="-2"/>
                <w:sz w:val="18"/>
                <w:szCs w:val="18"/>
              </w:rPr>
            </w:pPr>
            <w:r w:rsidRPr="000F2377">
              <w:rPr>
                <w:rFonts w:cs="Arial"/>
                <w:sz w:val="18"/>
                <w:szCs w:val="18"/>
              </w:rPr>
              <w:t>-</w:t>
            </w:r>
          </w:p>
        </w:tc>
        <w:tc>
          <w:tcPr>
            <w:tcW w:w="548" w:type="pct"/>
            <w:tcBorders>
              <w:top w:val="nil"/>
              <w:left w:val="nil"/>
              <w:bottom w:val="nil"/>
              <w:right w:val="nil"/>
            </w:tcBorders>
            <w:shd w:val="clear" w:color="auto" w:fill="auto"/>
            <w:vAlign w:val="bottom"/>
          </w:tcPr>
          <w:p w14:paraId="27A60795" w14:textId="77777777" w:rsidR="00C27020" w:rsidRPr="009702B0" w:rsidRDefault="00C27020" w:rsidP="00C27020">
            <w:pPr>
              <w:tabs>
                <w:tab w:val="right" w:pos="1202"/>
              </w:tabs>
              <w:spacing w:after="0" w:line="280" w:lineRule="exact"/>
              <w:jc w:val="right"/>
              <w:outlineLvl w:val="0"/>
              <w:rPr>
                <w:rFonts w:asciiTheme="minorHAnsi" w:eastAsia="Times New Roman" w:hAnsiTheme="minorHAnsi" w:cs="Arial"/>
                <w:spacing w:val="-2"/>
                <w:sz w:val="18"/>
                <w:szCs w:val="18"/>
              </w:rPr>
            </w:pPr>
            <w:r w:rsidRPr="000F2377">
              <w:rPr>
                <w:rFonts w:cs="Arial"/>
                <w:sz w:val="18"/>
                <w:szCs w:val="18"/>
              </w:rPr>
              <w:t>-</w:t>
            </w:r>
          </w:p>
        </w:tc>
        <w:tc>
          <w:tcPr>
            <w:tcW w:w="547" w:type="pct"/>
            <w:shd w:val="clear" w:color="auto" w:fill="auto"/>
          </w:tcPr>
          <w:p w14:paraId="277DAC62" w14:textId="3E1F41FB" w:rsidR="00C27020" w:rsidRPr="009702B0" w:rsidRDefault="00C27020" w:rsidP="00C27020">
            <w:pPr>
              <w:spacing w:after="0" w:line="280" w:lineRule="exact"/>
              <w:jc w:val="right"/>
              <w:rPr>
                <w:rFonts w:cs="Arial"/>
                <w:sz w:val="18"/>
                <w:szCs w:val="18"/>
              </w:rPr>
            </w:pPr>
            <w:r w:rsidRPr="00B424B4">
              <w:rPr>
                <w:rFonts w:cs="Arial"/>
                <w:sz w:val="18"/>
                <w:szCs w:val="18"/>
              </w:rPr>
              <w:t>6</w:t>
            </w:r>
            <w:r>
              <w:rPr>
                <w:rFonts w:cs="Arial"/>
                <w:sz w:val="18"/>
                <w:szCs w:val="18"/>
              </w:rPr>
              <w:t>,</w:t>
            </w:r>
            <w:r w:rsidRPr="00B424B4">
              <w:rPr>
                <w:rFonts w:cs="Arial"/>
                <w:sz w:val="18"/>
                <w:szCs w:val="18"/>
              </w:rPr>
              <w:t>984</w:t>
            </w:r>
            <w:r>
              <w:rPr>
                <w:rFonts w:cs="Arial"/>
                <w:sz w:val="18"/>
                <w:szCs w:val="18"/>
              </w:rPr>
              <w:t>,</w:t>
            </w:r>
            <w:r w:rsidRPr="00B424B4">
              <w:rPr>
                <w:rFonts w:cs="Arial"/>
                <w:sz w:val="18"/>
                <w:szCs w:val="18"/>
              </w:rPr>
              <w:t>632</w:t>
            </w:r>
          </w:p>
        </w:tc>
        <w:tc>
          <w:tcPr>
            <w:tcW w:w="548" w:type="pct"/>
            <w:shd w:val="clear" w:color="auto" w:fill="auto"/>
          </w:tcPr>
          <w:p w14:paraId="1B4AE97F" w14:textId="503305DC" w:rsidR="00C27020" w:rsidRPr="009702B0" w:rsidRDefault="00C27020" w:rsidP="00C27020">
            <w:pPr>
              <w:spacing w:after="0" w:line="280" w:lineRule="exact"/>
              <w:jc w:val="right"/>
              <w:rPr>
                <w:rFonts w:cs="Arial"/>
                <w:sz w:val="18"/>
                <w:szCs w:val="18"/>
              </w:rPr>
            </w:pPr>
            <w:r w:rsidRPr="00B424B4">
              <w:rPr>
                <w:rFonts w:cs="Arial"/>
                <w:sz w:val="18"/>
                <w:szCs w:val="18"/>
              </w:rPr>
              <w:t>6</w:t>
            </w:r>
            <w:r>
              <w:rPr>
                <w:rFonts w:cs="Arial"/>
                <w:sz w:val="18"/>
                <w:szCs w:val="18"/>
              </w:rPr>
              <w:t>,</w:t>
            </w:r>
            <w:r w:rsidRPr="00B424B4">
              <w:rPr>
                <w:rFonts w:cs="Arial"/>
                <w:sz w:val="18"/>
                <w:szCs w:val="18"/>
              </w:rPr>
              <w:t>984</w:t>
            </w:r>
            <w:r>
              <w:rPr>
                <w:rFonts w:cs="Arial"/>
                <w:sz w:val="18"/>
                <w:szCs w:val="18"/>
              </w:rPr>
              <w:t>,</w:t>
            </w:r>
            <w:r w:rsidRPr="00B424B4">
              <w:rPr>
                <w:rFonts w:cs="Arial"/>
                <w:sz w:val="18"/>
                <w:szCs w:val="18"/>
              </w:rPr>
              <w:t>632</w:t>
            </w:r>
          </w:p>
        </w:tc>
      </w:tr>
      <w:tr w:rsidR="00C27020" w:rsidRPr="009702B0" w14:paraId="40477713" w14:textId="77777777" w:rsidTr="006B318F">
        <w:tc>
          <w:tcPr>
            <w:tcW w:w="1373" w:type="pct"/>
          </w:tcPr>
          <w:p w14:paraId="3E76F661" w14:textId="77777777" w:rsidR="00C27020" w:rsidRPr="009702B0" w:rsidRDefault="00C27020" w:rsidP="00C27020">
            <w:pPr>
              <w:tabs>
                <w:tab w:val="right" w:pos="1202"/>
              </w:tabs>
              <w:spacing w:after="0" w:line="280" w:lineRule="exact"/>
              <w:outlineLvl w:val="0"/>
              <w:rPr>
                <w:rFonts w:eastAsia="Times New Roman" w:cs="Arial"/>
                <w:sz w:val="18"/>
                <w:szCs w:val="18"/>
              </w:rPr>
            </w:pPr>
            <w:r w:rsidRPr="009702B0">
              <w:rPr>
                <w:rFonts w:eastAsia="Times New Roman" w:cs="Arial"/>
                <w:sz w:val="18"/>
                <w:szCs w:val="18"/>
              </w:rPr>
              <w:t xml:space="preserve">Retained earnings and reserves </w:t>
            </w:r>
          </w:p>
        </w:tc>
        <w:tc>
          <w:tcPr>
            <w:tcW w:w="548" w:type="pct"/>
            <w:tcBorders>
              <w:top w:val="nil"/>
              <w:left w:val="nil"/>
              <w:bottom w:val="nil"/>
              <w:right w:val="nil"/>
            </w:tcBorders>
            <w:shd w:val="clear" w:color="auto" w:fill="auto"/>
            <w:vAlign w:val="bottom"/>
          </w:tcPr>
          <w:p w14:paraId="74D6C32C" w14:textId="77777777" w:rsidR="00C27020" w:rsidRPr="009702B0" w:rsidRDefault="00C27020" w:rsidP="00C27020">
            <w:pPr>
              <w:tabs>
                <w:tab w:val="right" w:pos="1202"/>
              </w:tabs>
              <w:spacing w:after="0" w:line="280" w:lineRule="exact"/>
              <w:jc w:val="right"/>
              <w:outlineLvl w:val="0"/>
              <w:rPr>
                <w:rFonts w:asciiTheme="minorHAnsi" w:eastAsia="Times New Roman" w:hAnsiTheme="minorHAnsi" w:cs="Arial"/>
                <w:spacing w:val="-2"/>
                <w:sz w:val="18"/>
                <w:szCs w:val="18"/>
              </w:rPr>
            </w:pPr>
            <w:r w:rsidRPr="000F2377">
              <w:rPr>
                <w:rFonts w:cs="Arial"/>
                <w:sz w:val="18"/>
                <w:szCs w:val="18"/>
              </w:rPr>
              <w:t>-</w:t>
            </w:r>
          </w:p>
        </w:tc>
        <w:tc>
          <w:tcPr>
            <w:tcW w:w="479" w:type="pct"/>
            <w:tcBorders>
              <w:top w:val="nil"/>
              <w:left w:val="nil"/>
              <w:bottom w:val="nil"/>
              <w:right w:val="nil"/>
            </w:tcBorders>
            <w:shd w:val="clear" w:color="auto" w:fill="auto"/>
            <w:vAlign w:val="bottom"/>
          </w:tcPr>
          <w:p w14:paraId="6E0A6A50" w14:textId="77777777" w:rsidR="00C27020" w:rsidRPr="009702B0" w:rsidRDefault="00C27020" w:rsidP="00C27020">
            <w:pPr>
              <w:tabs>
                <w:tab w:val="right" w:pos="1202"/>
              </w:tabs>
              <w:spacing w:after="0" w:line="280" w:lineRule="exact"/>
              <w:jc w:val="right"/>
              <w:outlineLvl w:val="0"/>
              <w:rPr>
                <w:rFonts w:asciiTheme="minorHAnsi" w:eastAsia="Times New Roman" w:hAnsiTheme="minorHAnsi" w:cs="Arial"/>
                <w:spacing w:val="-2"/>
                <w:sz w:val="18"/>
                <w:szCs w:val="18"/>
              </w:rPr>
            </w:pPr>
            <w:r w:rsidRPr="000F2377">
              <w:rPr>
                <w:rFonts w:cs="Arial"/>
                <w:sz w:val="18"/>
                <w:szCs w:val="18"/>
              </w:rPr>
              <w:t>-</w:t>
            </w:r>
          </w:p>
        </w:tc>
        <w:tc>
          <w:tcPr>
            <w:tcW w:w="479" w:type="pct"/>
            <w:tcBorders>
              <w:top w:val="nil"/>
              <w:left w:val="nil"/>
              <w:bottom w:val="nil"/>
              <w:right w:val="nil"/>
            </w:tcBorders>
            <w:shd w:val="clear" w:color="auto" w:fill="auto"/>
            <w:vAlign w:val="bottom"/>
          </w:tcPr>
          <w:p w14:paraId="209D7EAB" w14:textId="1FD19F6B" w:rsidR="00C27020" w:rsidRPr="009702B0" w:rsidRDefault="00C27020" w:rsidP="00C27020">
            <w:pPr>
              <w:tabs>
                <w:tab w:val="right" w:pos="1202"/>
              </w:tabs>
              <w:spacing w:after="0" w:line="280" w:lineRule="exact"/>
              <w:jc w:val="right"/>
              <w:outlineLvl w:val="0"/>
              <w:rPr>
                <w:rFonts w:asciiTheme="minorHAnsi" w:eastAsia="Times New Roman" w:hAnsiTheme="minorHAnsi" w:cs="Arial"/>
                <w:spacing w:val="-2"/>
                <w:sz w:val="18"/>
                <w:szCs w:val="18"/>
              </w:rPr>
            </w:pPr>
            <w:r w:rsidRPr="000F2377">
              <w:rPr>
                <w:rFonts w:cs="Arial"/>
                <w:sz w:val="18"/>
                <w:szCs w:val="18"/>
              </w:rPr>
              <w:t>-</w:t>
            </w:r>
          </w:p>
        </w:tc>
        <w:tc>
          <w:tcPr>
            <w:tcW w:w="477" w:type="pct"/>
            <w:tcBorders>
              <w:top w:val="nil"/>
              <w:left w:val="nil"/>
              <w:bottom w:val="nil"/>
              <w:right w:val="nil"/>
            </w:tcBorders>
            <w:shd w:val="clear" w:color="auto" w:fill="auto"/>
            <w:vAlign w:val="bottom"/>
          </w:tcPr>
          <w:p w14:paraId="5511267C" w14:textId="47DD7E99" w:rsidR="00C27020" w:rsidRPr="009702B0" w:rsidRDefault="00C27020" w:rsidP="00C27020">
            <w:pPr>
              <w:tabs>
                <w:tab w:val="right" w:pos="1202"/>
              </w:tabs>
              <w:spacing w:after="0" w:line="280" w:lineRule="exact"/>
              <w:jc w:val="right"/>
              <w:outlineLvl w:val="0"/>
              <w:rPr>
                <w:rFonts w:asciiTheme="minorHAnsi" w:eastAsia="Times New Roman" w:hAnsiTheme="minorHAnsi" w:cs="Arial"/>
                <w:spacing w:val="-2"/>
                <w:sz w:val="18"/>
                <w:szCs w:val="18"/>
              </w:rPr>
            </w:pPr>
            <w:r w:rsidRPr="000F2377">
              <w:rPr>
                <w:rFonts w:cs="Arial"/>
                <w:sz w:val="18"/>
                <w:szCs w:val="18"/>
              </w:rPr>
              <w:t>-</w:t>
            </w:r>
          </w:p>
        </w:tc>
        <w:tc>
          <w:tcPr>
            <w:tcW w:w="548" w:type="pct"/>
            <w:tcBorders>
              <w:top w:val="nil"/>
              <w:left w:val="nil"/>
              <w:bottom w:val="nil"/>
              <w:right w:val="nil"/>
            </w:tcBorders>
            <w:shd w:val="clear" w:color="auto" w:fill="auto"/>
            <w:vAlign w:val="bottom"/>
          </w:tcPr>
          <w:p w14:paraId="0DFE3E03" w14:textId="77777777" w:rsidR="00C27020" w:rsidRPr="009702B0" w:rsidRDefault="00C27020" w:rsidP="00C27020">
            <w:pPr>
              <w:tabs>
                <w:tab w:val="right" w:pos="1202"/>
              </w:tabs>
              <w:spacing w:after="0" w:line="280" w:lineRule="exact"/>
              <w:jc w:val="right"/>
              <w:outlineLvl w:val="0"/>
              <w:rPr>
                <w:rFonts w:asciiTheme="minorHAnsi" w:eastAsia="Times New Roman" w:hAnsiTheme="minorHAnsi" w:cs="Arial"/>
                <w:spacing w:val="-2"/>
                <w:sz w:val="18"/>
                <w:szCs w:val="18"/>
              </w:rPr>
            </w:pPr>
            <w:r w:rsidRPr="000F2377">
              <w:rPr>
                <w:rFonts w:cs="Arial"/>
                <w:sz w:val="18"/>
                <w:szCs w:val="18"/>
              </w:rPr>
              <w:t>-</w:t>
            </w:r>
          </w:p>
        </w:tc>
        <w:tc>
          <w:tcPr>
            <w:tcW w:w="547" w:type="pct"/>
            <w:shd w:val="clear" w:color="auto" w:fill="auto"/>
          </w:tcPr>
          <w:p w14:paraId="6D9DC032" w14:textId="5074B44B" w:rsidR="00C27020" w:rsidRPr="009702B0" w:rsidRDefault="00C27020" w:rsidP="00C27020">
            <w:pPr>
              <w:spacing w:after="0" w:line="280" w:lineRule="exact"/>
              <w:jc w:val="right"/>
              <w:rPr>
                <w:rFonts w:cs="Arial"/>
                <w:sz w:val="18"/>
                <w:szCs w:val="18"/>
              </w:rPr>
            </w:pPr>
            <w:r w:rsidRPr="00B424B4">
              <w:rPr>
                <w:rFonts w:cs="Arial"/>
                <w:sz w:val="18"/>
                <w:szCs w:val="18"/>
              </w:rPr>
              <w:t>2</w:t>
            </w:r>
            <w:r>
              <w:rPr>
                <w:rFonts w:cs="Arial"/>
                <w:sz w:val="18"/>
                <w:szCs w:val="18"/>
              </w:rPr>
              <w:t>,</w:t>
            </w:r>
            <w:r w:rsidRPr="00B424B4">
              <w:rPr>
                <w:rFonts w:cs="Arial"/>
                <w:sz w:val="18"/>
                <w:szCs w:val="18"/>
              </w:rPr>
              <w:t>996</w:t>
            </w:r>
            <w:r>
              <w:rPr>
                <w:rFonts w:cs="Arial"/>
                <w:sz w:val="18"/>
                <w:szCs w:val="18"/>
              </w:rPr>
              <w:t>,</w:t>
            </w:r>
            <w:r w:rsidRPr="00B424B4">
              <w:rPr>
                <w:rFonts w:cs="Arial"/>
                <w:sz w:val="18"/>
                <w:szCs w:val="18"/>
              </w:rPr>
              <w:t>968</w:t>
            </w:r>
          </w:p>
        </w:tc>
        <w:tc>
          <w:tcPr>
            <w:tcW w:w="548" w:type="pct"/>
            <w:shd w:val="clear" w:color="auto" w:fill="auto"/>
          </w:tcPr>
          <w:p w14:paraId="57E32677" w14:textId="28358640" w:rsidR="00C27020" w:rsidRPr="009702B0" w:rsidRDefault="00C27020" w:rsidP="00C27020">
            <w:pPr>
              <w:spacing w:after="0" w:line="280" w:lineRule="exact"/>
              <w:jc w:val="right"/>
              <w:rPr>
                <w:rFonts w:cs="Arial"/>
                <w:sz w:val="18"/>
                <w:szCs w:val="18"/>
              </w:rPr>
            </w:pPr>
            <w:r w:rsidRPr="00B424B4">
              <w:rPr>
                <w:rFonts w:cs="Arial"/>
                <w:sz w:val="18"/>
                <w:szCs w:val="18"/>
              </w:rPr>
              <w:t>2</w:t>
            </w:r>
            <w:r>
              <w:rPr>
                <w:rFonts w:cs="Arial"/>
                <w:sz w:val="18"/>
                <w:szCs w:val="18"/>
              </w:rPr>
              <w:t>,</w:t>
            </w:r>
            <w:r w:rsidRPr="00B424B4">
              <w:rPr>
                <w:rFonts w:cs="Arial"/>
                <w:sz w:val="18"/>
                <w:szCs w:val="18"/>
              </w:rPr>
              <w:t>996</w:t>
            </w:r>
            <w:r>
              <w:rPr>
                <w:rFonts w:cs="Arial"/>
                <w:sz w:val="18"/>
                <w:szCs w:val="18"/>
              </w:rPr>
              <w:t>,</w:t>
            </w:r>
            <w:r w:rsidRPr="00B424B4">
              <w:rPr>
                <w:rFonts w:cs="Arial"/>
                <w:sz w:val="18"/>
                <w:szCs w:val="18"/>
              </w:rPr>
              <w:t>968</w:t>
            </w:r>
          </w:p>
        </w:tc>
      </w:tr>
      <w:tr w:rsidR="00C27020" w:rsidRPr="009702B0" w14:paraId="7DDF306E" w14:textId="77777777" w:rsidTr="006B318F">
        <w:tc>
          <w:tcPr>
            <w:tcW w:w="1373" w:type="pct"/>
          </w:tcPr>
          <w:p w14:paraId="10AFF78F" w14:textId="77777777" w:rsidR="00C27020" w:rsidRPr="009702B0" w:rsidRDefault="00C27020" w:rsidP="00C27020">
            <w:pPr>
              <w:tabs>
                <w:tab w:val="right" w:pos="1202"/>
              </w:tabs>
              <w:spacing w:after="0" w:line="280" w:lineRule="exact"/>
              <w:outlineLvl w:val="0"/>
              <w:rPr>
                <w:rFonts w:eastAsia="Times New Roman" w:cs="Arial"/>
                <w:sz w:val="18"/>
                <w:szCs w:val="18"/>
              </w:rPr>
            </w:pPr>
            <w:r w:rsidRPr="009702B0">
              <w:rPr>
                <w:rFonts w:eastAsia="Times New Roman" w:cs="Arial"/>
                <w:sz w:val="18"/>
                <w:szCs w:val="18"/>
              </w:rPr>
              <w:t xml:space="preserve">Other reserves </w:t>
            </w:r>
          </w:p>
        </w:tc>
        <w:tc>
          <w:tcPr>
            <w:tcW w:w="548" w:type="pct"/>
            <w:tcBorders>
              <w:top w:val="nil"/>
              <w:left w:val="nil"/>
              <w:bottom w:val="nil"/>
              <w:right w:val="nil"/>
            </w:tcBorders>
            <w:shd w:val="clear" w:color="auto" w:fill="auto"/>
            <w:vAlign w:val="bottom"/>
          </w:tcPr>
          <w:p w14:paraId="49B8F2C1" w14:textId="77777777" w:rsidR="00C27020" w:rsidRPr="009702B0" w:rsidRDefault="00C27020" w:rsidP="00C27020">
            <w:pPr>
              <w:tabs>
                <w:tab w:val="right" w:pos="1202"/>
              </w:tabs>
              <w:spacing w:after="0" w:line="280" w:lineRule="exact"/>
              <w:jc w:val="right"/>
              <w:outlineLvl w:val="0"/>
              <w:rPr>
                <w:rFonts w:asciiTheme="minorHAnsi" w:eastAsia="Times New Roman" w:hAnsiTheme="minorHAnsi" w:cs="Arial"/>
                <w:spacing w:val="-2"/>
                <w:sz w:val="18"/>
                <w:szCs w:val="18"/>
              </w:rPr>
            </w:pPr>
            <w:r w:rsidRPr="000F2377">
              <w:rPr>
                <w:rFonts w:cs="Arial"/>
                <w:sz w:val="18"/>
                <w:szCs w:val="18"/>
              </w:rPr>
              <w:t>-</w:t>
            </w:r>
          </w:p>
        </w:tc>
        <w:tc>
          <w:tcPr>
            <w:tcW w:w="479" w:type="pct"/>
            <w:tcBorders>
              <w:top w:val="nil"/>
              <w:left w:val="nil"/>
              <w:bottom w:val="nil"/>
              <w:right w:val="nil"/>
            </w:tcBorders>
            <w:shd w:val="clear" w:color="auto" w:fill="auto"/>
            <w:vAlign w:val="bottom"/>
          </w:tcPr>
          <w:p w14:paraId="5745ACBB" w14:textId="77777777" w:rsidR="00C27020" w:rsidRPr="009702B0" w:rsidRDefault="00C27020" w:rsidP="00C27020">
            <w:pPr>
              <w:tabs>
                <w:tab w:val="right" w:pos="1202"/>
              </w:tabs>
              <w:spacing w:after="0" w:line="280" w:lineRule="exact"/>
              <w:jc w:val="right"/>
              <w:outlineLvl w:val="0"/>
              <w:rPr>
                <w:rFonts w:asciiTheme="minorHAnsi" w:eastAsia="Times New Roman" w:hAnsiTheme="minorHAnsi" w:cs="Arial"/>
                <w:spacing w:val="-2"/>
                <w:sz w:val="18"/>
                <w:szCs w:val="18"/>
              </w:rPr>
            </w:pPr>
            <w:r w:rsidRPr="000F2377">
              <w:rPr>
                <w:rFonts w:cs="Arial"/>
                <w:sz w:val="18"/>
                <w:szCs w:val="18"/>
              </w:rPr>
              <w:t>-</w:t>
            </w:r>
          </w:p>
        </w:tc>
        <w:tc>
          <w:tcPr>
            <w:tcW w:w="479" w:type="pct"/>
            <w:tcBorders>
              <w:top w:val="nil"/>
              <w:left w:val="nil"/>
              <w:bottom w:val="nil"/>
              <w:right w:val="nil"/>
            </w:tcBorders>
            <w:shd w:val="clear" w:color="auto" w:fill="auto"/>
            <w:vAlign w:val="bottom"/>
          </w:tcPr>
          <w:p w14:paraId="27005AE0" w14:textId="4A5E1E4F" w:rsidR="00C27020" w:rsidRPr="009702B0" w:rsidRDefault="00C27020" w:rsidP="00C27020">
            <w:pPr>
              <w:tabs>
                <w:tab w:val="right" w:pos="1202"/>
              </w:tabs>
              <w:spacing w:after="0" w:line="280" w:lineRule="exact"/>
              <w:jc w:val="right"/>
              <w:outlineLvl w:val="0"/>
              <w:rPr>
                <w:rFonts w:asciiTheme="minorHAnsi" w:eastAsia="Times New Roman" w:hAnsiTheme="minorHAnsi" w:cs="Arial"/>
                <w:spacing w:val="-2"/>
                <w:sz w:val="18"/>
                <w:szCs w:val="18"/>
              </w:rPr>
            </w:pPr>
            <w:r w:rsidRPr="000F2377">
              <w:rPr>
                <w:rFonts w:cs="Arial"/>
                <w:sz w:val="18"/>
                <w:szCs w:val="18"/>
              </w:rPr>
              <w:t>-</w:t>
            </w:r>
          </w:p>
        </w:tc>
        <w:tc>
          <w:tcPr>
            <w:tcW w:w="477" w:type="pct"/>
            <w:tcBorders>
              <w:top w:val="nil"/>
              <w:left w:val="nil"/>
              <w:bottom w:val="nil"/>
              <w:right w:val="nil"/>
            </w:tcBorders>
            <w:shd w:val="clear" w:color="auto" w:fill="auto"/>
            <w:vAlign w:val="bottom"/>
          </w:tcPr>
          <w:p w14:paraId="53AB0E27" w14:textId="17BDABAC" w:rsidR="00C27020" w:rsidRPr="009702B0" w:rsidRDefault="00C27020" w:rsidP="00C27020">
            <w:pPr>
              <w:tabs>
                <w:tab w:val="right" w:pos="1202"/>
              </w:tabs>
              <w:spacing w:after="0" w:line="280" w:lineRule="exact"/>
              <w:jc w:val="right"/>
              <w:outlineLvl w:val="0"/>
              <w:rPr>
                <w:rFonts w:asciiTheme="minorHAnsi" w:eastAsia="Times New Roman" w:hAnsiTheme="minorHAnsi" w:cs="Arial"/>
                <w:spacing w:val="-2"/>
                <w:sz w:val="18"/>
                <w:szCs w:val="18"/>
              </w:rPr>
            </w:pPr>
            <w:r w:rsidRPr="000F2377">
              <w:rPr>
                <w:rFonts w:cs="Arial"/>
                <w:sz w:val="18"/>
                <w:szCs w:val="18"/>
              </w:rPr>
              <w:t>-</w:t>
            </w:r>
          </w:p>
        </w:tc>
        <w:tc>
          <w:tcPr>
            <w:tcW w:w="548" w:type="pct"/>
            <w:tcBorders>
              <w:top w:val="nil"/>
              <w:left w:val="nil"/>
              <w:bottom w:val="nil"/>
              <w:right w:val="nil"/>
            </w:tcBorders>
            <w:shd w:val="clear" w:color="auto" w:fill="auto"/>
            <w:vAlign w:val="bottom"/>
          </w:tcPr>
          <w:p w14:paraId="644AD2A5" w14:textId="77777777" w:rsidR="00C27020" w:rsidRPr="009702B0" w:rsidRDefault="00C27020" w:rsidP="00C27020">
            <w:pPr>
              <w:tabs>
                <w:tab w:val="right" w:pos="1202"/>
              </w:tabs>
              <w:spacing w:after="0" w:line="280" w:lineRule="exact"/>
              <w:jc w:val="right"/>
              <w:outlineLvl w:val="0"/>
              <w:rPr>
                <w:rFonts w:asciiTheme="minorHAnsi" w:eastAsia="Times New Roman" w:hAnsiTheme="minorHAnsi" w:cs="Arial"/>
                <w:spacing w:val="-2"/>
                <w:sz w:val="18"/>
                <w:szCs w:val="18"/>
              </w:rPr>
            </w:pPr>
            <w:r w:rsidRPr="000F2377">
              <w:rPr>
                <w:rFonts w:cs="Arial"/>
                <w:sz w:val="18"/>
                <w:szCs w:val="18"/>
              </w:rPr>
              <w:t>-</w:t>
            </w:r>
          </w:p>
        </w:tc>
        <w:tc>
          <w:tcPr>
            <w:tcW w:w="547" w:type="pct"/>
            <w:shd w:val="clear" w:color="auto" w:fill="auto"/>
          </w:tcPr>
          <w:p w14:paraId="257FF409" w14:textId="286C1965" w:rsidR="00C27020" w:rsidRPr="009702B0" w:rsidRDefault="00C27020" w:rsidP="00C27020">
            <w:pPr>
              <w:spacing w:after="0" w:line="280" w:lineRule="exact"/>
              <w:jc w:val="right"/>
              <w:rPr>
                <w:rFonts w:cs="Arial"/>
                <w:sz w:val="18"/>
                <w:szCs w:val="18"/>
              </w:rPr>
            </w:pPr>
            <w:r w:rsidRPr="00B424B4">
              <w:rPr>
                <w:rFonts w:cs="Arial"/>
                <w:sz w:val="18"/>
                <w:szCs w:val="18"/>
              </w:rPr>
              <w:t>90</w:t>
            </w:r>
            <w:r>
              <w:rPr>
                <w:rFonts w:cs="Arial"/>
                <w:sz w:val="18"/>
                <w:szCs w:val="18"/>
              </w:rPr>
              <w:t>,</w:t>
            </w:r>
            <w:r w:rsidRPr="00B424B4">
              <w:rPr>
                <w:rFonts w:cs="Arial"/>
                <w:sz w:val="18"/>
                <w:szCs w:val="18"/>
              </w:rPr>
              <w:t>397</w:t>
            </w:r>
          </w:p>
        </w:tc>
        <w:tc>
          <w:tcPr>
            <w:tcW w:w="548" w:type="pct"/>
            <w:shd w:val="clear" w:color="auto" w:fill="auto"/>
          </w:tcPr>
          <w:p w14:paraId="38C1CCEB" w14:textId="561710DB" w:rsidR="00C27020" w:rsidRPr="009702B0" w:rsidRDefault="00C27020" w:rsidP="00C27020">
            <w:pPr>
              <w:spacing w:after="0" w:line="280" w:lineRule="exact"/>
              <w:jc w:val="right"/>
              <w:rPr>
                <w:rFonts w:cs="Arial"/>
                <w:sz w:val="18"/>
                <w:szCs w:val="18"/>
              </w:rPr>
            </w:pPr>
            <w:r w:rsidRPr="00B424B4">
              <w:rPr>
                <w:rFonts w:cs="Arial"/>
                <w:sz w:val="18"/>
                <w:szCs w:val="18"/>
              </w:rPr>
              <w:t>90</w:t>
            </w:r>
            <w:r>
              <w:rPr>
                <w:rFonts w:cs="Arial"/>
                <w:sz w:val="18"/>
                <w:szCs w:val="18"/>
              </w:rPr>
              <w:t>,</w:t>
            </w:r>
            <w:r w:rsidRPr="00B424B4">
              <w:rPr>
                <w:rFonts w:cs="Arial"/>
                <w:sz w:val="18"/>
                <w:szCs w:val="18"/>
              </w:rPr>
              <w:t>397</w:t>
            </w:r>
          </w:p>
        </w:tc>
      </w:tr>
      <w:tr w:rsidR="00C27020" w:rsidRPr="009702B0" w14:paraId="524972C2" w14:textId="77777777" w:rsidTr="006B318F">
        <w:tc>
          <w:tcPr>
            <w:tcW w:w="1373" w:type="pct"/>
          </w:tcPr>
          <w:p w14:paraId="7651DCBA" w14:textId="77777777" w:rsidR="00C27020" w:rsidRPr="009702B0" w:rsidRDefault="00C27020" w:rsidP="00C27020">
            <w:pPr>
              <w:tabs>
                <w:tab w:val="right" w:pos="1202"/>
              </w:tabs>
              <w:spacing w:after="0" w:line="280" w:lineRule="exact"/>
              <w:outlineLvl w:val="0"/>
              <w:rPr>
                <w:rFonts w:eastAsia="Times New Roman" w:cs="Arial"/>
                <w:sz w:val="18"/>
                <w:szCs w:val="18"/>
              </w:rPr>
            </w:pPr>
            <w:r w:rsidRPr="009702B0">
              <w:rPr>
                <w:rFonts w:eastAsia="Times New Roman" w:cs="Arial"/>
                <w:sz w:val="18"/>
                <w:szCs w:val="18"/>
              </w:rPr>
              <w:t xml:space="preserve">Net profit for the year </w:t>
            </w:r>
          </w:p>
        </w:tc>
        <w:tc>
          <w:tcPr>
            <w:tcW w:w="548" w:type="pct"/>
            <w:tcBorders>
              <w:top w:val="nil"/>
              <w:left w:val="nil"/>
              <w:bottom w:val="nil"/>
              <w:right w:val="nil"/>
            </w:tcBorders>
            <w:shd w:val="clear" w:color="auto" w:fill="auto"/>
            <w:vAlign w:val="bottom"/>
          </w:tcPr>
          <w:p w14:paraId="3D8DB3A5" w14:textId="77777777" w:rsidR="00C27020" w:rsidRPr="009702B0" w:rsidRDefault="00C27020" w:rsidP="00C27020">
            <w:pPr>
              <w:spacing w:after="0" w:line="280" w:lineRule="exact"/>
              <w:jc w:val="right"/>
              <w:rPr>
                <w:rFonts w:cs="Arial"/>
                <w:spacing w:val="-2"/>
                <w:sz w:val="18"/>
                <w:szCs w:val="18"/>
              </w:rPr>
            </w:pPr>
            <w:r>
              <w:rPr>
                <w:rFonts w:cs="Arial"/>
                <w:sz w:val="18"/>
                <w:szCs w:val="18"/>
              </w:rPr>
              <w:t>-</w:t>
            </w:r>
          </w:p>
        </w:tc>
        <w:tc>
          <w:tcPr>
            <w:tcW w:w="479" w:type="pct"/>
            <w:tcBorders>
              <w:top w:val="nil"/>
              <w:left w:val="nil"/>
              <w:bottom w:val="nil"/>
              <w:right w:val="nil"/>
            </w:tcBorders>
            <w:shd w:val="clear" w:color="auto" w:fill="auto"/>
            <w:vAlign w:val="bottom"/>
          </w:tcPr>
          <w:p w14:paraId="0031A653" w14:textId="77777777" w:rsidR="00C27020" w:rsidRPr="009702B0" w:rsidRDefault="00C27020" w:rsidP="00C27020">
            <w:pPr>
              <w:spacing w:after="0" w:line="280" w:lineRule="exact"/>
              <w:jc w:val="right"/>
              <w:rPr>
                <w:rFonts w:cs="Arial"/>
                <w:spacing w:val="-2"/>
                <w:sz w:val="18"/>
                <w:szCs w:val="18"/>
              </w:rPr>
            </w:pPr>
            <w:r>
              <w:rPr>
                <w:rFonts w:cs="Arial"/>
                <w:sz w:val="18"/>
                <w:szCs w:val="18"/>
              </w:rPr>
              <w:t>-</w:t>
            </w:r>
          </w:p>
        </w:tc>
        <w:tc>
          <w:tcPr>
            <w:tcW w:w="479" w:type="pct"/>
            <w:tcBorders>
              <w:top w:val="nil"/>
              <w:left w:val="nil"/>
              <w:bottom w:val="nil"/>
              <w:right w:val="nil"/>
            </w:tcBorders>
            <w:shd w:val="clear" w:color="auto" w:fill="auto"/>
            <w:vAlign w:val="bottom"/>
          </w:tcPr>
          <w:p w14:paraId="0BC6686A" w14:textId="184B557A" w:rsidR="00C27020" w:rsidRPr="009702B0" w:rsidRDefault="00C27020" w:rsidP="00C27020">
            <w:pPr>
              <w:spacing w:after="0" w:line="280" w:lineRule="exact"/>
              <w:jc w:val="right"/>
              <w:rPr>
                <w:rFonts w:cs="Arial"/>
                <w:spacing w:val="-2"/>
                <w:sz w:val="18"/>
                <w:szCs w:val="18"/>
              </w:rPr>
            </w:pPr>
            <w:r>
              <w:rPr>
                <w:rFonts w:cs="Arial"/>
                <w:sz w:val="18"/>
                <w:szCs w:val="18"/>
              </w:rPr>
              <w:t>-</w:t>
            </w:r>
          </w:p>
        </w:tc>
        <w:tc>
          <w:tcPr>
            <w:tcW w:w="477" w:type="pct"/>
            <w:tcBorders>
              <w:top w:val="nil"/>
              <w:left w:val="nil"/>
              <w:bottom w:val="nil"/>
              <w:right w:val="nil"/>
            </w:tcBorders>
            <w:shd w:val="clear" w:color="auto" w:fill="auto"/>
            <w:vAlign w:val="bottom"/>
          </w:tcPr>
          <w:p w14:paraId="55A06F11" w14:textId="1D1AF992" w:rsidR="00C27020" w:rsidRPr="009702B0" w:rsidRDefault="00C27020" w:rsidP="00C27020">
            <w:pPr>
              <w:spacing w:after="0" w:line="280" w:lineRule="exact"/>
              <w:jc w:val="right"/>
              <w:rPr>
                <w:rFonts w:cs="Arial"/>
                <w:spacing w:val="-2"/>
                <w:sz w:val="18"/>
                <w:szCs w:val="18"/>
              </w:rPr>
            </w:pPr>
            <w:r>
              <w:rPr>
                <w:rFonts w:cs="Arial"/>
                <w:sz w:val="18"/>
                <w:szCs w:val="18"/>
              </w:rPr>
              <w:t>-</w:t>
            </w:r>
          </w:p>
        </w:tc>
        <w:tc>
          <w:tcPr>
            <w:tcW w:w="548" w:type="pct"/>
            <w:tcBorders>
              <w:top w:val="nil"/>
              <w:left w:val="nil"/>
              <w:bottom w:val="nil"/>
              <w:right w:val="nil"/>
            </w:tcBorders>
            <w:shd w:val="clear" w:color="auto" w:fill="auto"/>
            <w:vAlign w:val="bottom"/>
          </w:tcPr>
          <w:p w14:paraId="06D1CF1D" w14:textId="77777777" w:rsidR="00C27020" w:rsidRPr="009702B0" w:rsidRDefault="00C27020" w:rsidP="00C27020">
            <w:pPr>
              <w:spacing w:after="0" w:line="280" w:lineRule="exact"/>
              <w:jc w:val="right"/>
              <w:rPr>
                <w:rFonts w:cs="Arial"/>
                <w:spacing w:val="-2"/>
                <w:sz w:val="18"/>
                <w:szCs w:val="18"/>
              </w:rPr>
            </w:pPr>
            <w:r>
              <w:rPr>
                <w:rFonts w:cs="Arial"/>
                <w:sz w:val="18"/>
                <w:szCs w:val="18"/>
              </w:rPr>
              <w:t>-</w:t>
            </w:r>
          </w:p>
        </w:tc>
        <w:tc>
          <w:tcPr>
            <w:tcW w:w="547" w:type="pct"/>
            <w:tcBorders>
              <w:top w:val="nil"/>
              <w:left w:val="nil"/>
              <w:bottom w:val="single" w:sz="4" w:space="0" w:color="auto"/>
              <w:right w:val="nil"/>
            </w:tcBorders>
            <w:shd w:val="clear" w:color="auto" w:fill="auto"/>
          </w:tcPr>
          <w:p w14:paraId="3A033DF6" w14:textId="4DEE813E" w:rsidR="00C27020" w:rsidRPr="009702B0" w:rsidRDefault="00C27020" w:rsidP="00C27020">
            <w:pPr>
              <w:spacing w:after="0" w:line="280" w:lineRule="exact"/>
              <w:jc w:val="right"/>
              <w:rPr>
                <w:rFonts w:cs="Arial"/>
                <w:sz w:val="18"/>
                <w:szCs w:val="18"/>
              </w:rPr>
            </w:pPr>
            <w:r w:rsidRPr="00B424B4">
              <w:rPr>
                <w:rFonts w:cs="Arial"/>
                <w:sz w:val="18"/>
                <w:szCs w:val="18"/>
              </w:rPr>
              <w:t>176</w:t>
            </w:r>
            <w:r>
              <w:rPr>
                <w:rFonts w:cs="Arial"/>
                <w:sz w:val="18"/>
                <w:szCs w:val="18"/>
              </w:rPr>
              <w:t>,</w:t>
            </w:r>
            <w:r w:rsidRPr="00B424B4">
              <w:rPr>
                <w:rFonts w:cs="Arial"/>
                <w:sz w:val="18"/>
                <w:szCs w:val="18"/>
              </w:rPr>
              <w:t>541</w:t>
            </w:r>
          </w:p>
        </w:tc>
        <w:tc>
          <w:tcPr>
            <w:tcW w:w="548" w:type="pct"/>
            <w:tcBorders>
              <w:top w:val="nil"/>
              <w:left w:val="nil"/>
              <w:bottom w:val="single" w:sz="4" w:space="0" w:color="auto"/>
              <w:right w:val="nil"/>
            </w:tcBorders>
            <w:shd w:val="clear" w:color="auto" w:fill="auto"/>
          </w:tcPr>
          <w:p w14:paraId="296CE993" w14:textId="51E0FFA3" w:rsidR="00C27020" w:rsidRPr="009702B0" w:rsidRDefault="00C27020" w:rsidP="00C27020">
            <w:pPr>
              <w:spacing w:after="0" w:line="280" w:lineRule="exact"/>
              <w:jc w:val="right"/>
              <w:rPr>
                <w:rFonts w:cs="Arial"/>
                <w:sz w:val="18"/>
                <w:szCs w:val="18"/>
              </w:rPr>
            </w:pPr>
            <w:r w:rsidRPr="00B424B4">
              <w:rPr>
                <w:rFonts w:cs="Arial"/>
                <w:sz w:val="18"/>
                <w:szCs w:val="18"/>
              </w:rPr>
              <w:t>176</w:t>
            </w:r>
            <w:r>
              <w:rPr>
                <w:rFonts w:cs="Arial"/>
                <w:sz w:val="18"/>
                <w:szCs w:val="18"/>
              </w:rPr>
              <w:t>,</w:t>
            </w:r>
            <w:r w:rsidRPr="00B424B4">
              <w:rPr>
                <w:rFonts w:cs="Arial"/>
                <w:sz w:val="18"/>
                <w:szCs w:val="18"/>
              </w:rPr>
              <w:t>541</w:t>
            </w:r>
          </w:p>
        </w:tc>
      </w:tr>
      <w:tr w:rsidR="00C27020" w:rsidRPr="009702B0" w14:paraId="47EE6F3C" w14:textId="77777777" w:rsidTr="00655C9A">
        <w:tc>
          <w:tcPr>
            <w:tcW w:w="1373" w:type="pct"/>
          </w:tcPr>
          <w:p w14:paraId="66C46BD1" w14:textId="77777777" w:rsidR="00C27020" w:rsidRPr="009702B0" w:rsidRDefault="00C27020" w:rsidP="00C27020">
            <w:pPr>
              <w:tabs>
                <w:tab w:val="right" w:pos="1202"/>
              </w:tabs>
              <w:spacing w:after="0" w:line="280" w:lineRule="exact"/>
              <w:outlineLvl w:val="0"/>
              <w:rPr>
                <w:rFonts w:eastAsia="Times New Roman" w:cs="Arial"/>
                <w:sz w:val="18"/>
                <w:szCs w:val="18"/>
              </w:rPr>
            </w:pPr>
            <w:r w:rsidRPr="009702B0">
              <w:rPr>
                <w:rFonts w:eastAsia="Times New Roman" w:cs="Arial"/>
                <w:b/>
                <w:bCs/>
                <w:sz w:val="18"/>
                <w:szCs w:val="18"/>
              </w:rPr>
              <w:t xml:space="preserve">Total equity attributable to equity holders of the parent </w:t>
            </w:r>
          </w:p>
        </w:tc>
        <w:tc>
          <w:tcPr>
            <w:tcW w:w="548" w:type="pct"/>
            <w:tcBorders>
              <w:top w:val="single" w:sz="6" w:space="0" w:color="auto"/>
              <w:left w:val="nil"/>
              <w:bottom w:val="single" w:sz="12" w:space="0" w:color="auto"/>
              <w:right w:val="nil"/>
            </w:tcBorders>
            <w:shd w:val="clear" w:color="auto" w:fill="auto"/>
            <w:vAlign w:val="bottom"/>
          </w:tcPr>
          <w:p w14:paraId="18692DFC" w14:textId="77777777" w:rsidR="00C27020" w:rsidRPr="009702B0" w:rsidRDefault="00C27020" w:rsidP="00C27020">
            <w:pPr>
              <w:tabs>
                <w:tab w:val="right" w:pos="1202"/>
              </w:tabs>
              <w:spacing w:after="0" w:line="280" w:lineRule="exact"/>
              <w:jc w:val="right"/>
              <w:outlineLvl w:val="0"/>
              <w:rPr>
                <w:rFonts w:asciiTheme="minorHAnsi" w:eastAsia="Times New Roman" w:hAnsiTheme="minorHAnsi" w:cs="Arial"/>
                <w:b/>
                <w:bCs/>
                <w:spacing w:val="-2"/>
                <w:sz w:val="18"/>
                <w:szCs w:val="18"/>
              </w:rPr>
            </w:pPr>
            <w:r>
              <w:rPr>
                <w:rFonts w:asciiTheme="minorHAnsi" w:hAnsiTheme="minorHAnsi" w:cs="Arial"/>
                <w:b/>
                <w:bCs/>
                <w:spacing w:val="-2"/>
                <w:sz w:val="18"/>
                <w:szCs w:val="18"/>
                <w:lang w:val="pl-PL"/>
              </w:rPr>
              <w:t>-</w:t>
            </w:r>
          </w:p>
        </w:tc>
        <w:tc>
          <w:tcPr>
            <w:tcW w:w="479" w:type="pct"/>
            <w:tcBorders>
              <w:top w:val="single" w:sz="6" w:space="0" w:color="auto"/>
              <w:left w:val="nil"/>
              <w:bottom w:val="single" w:sz="12" w:space="0" w:color="auto"/>
              <w:right w:val="nil"/>
            </w:tcBorders>
            <w:shd w:val="clear" w:color="auto" w:fill="auto"/>
            <w:vAlign w:val="bottom"/>
          </w:tcPr>
          <w:p w14:paraId="1615D618" w14:textId="77777777" w:rsidR="00C27020" w:rsidRPr="009702B0" w:rsidRDefault="00C27020" w:rsidP="00C27020">
            <w:pPr>
              <w:tabs>
                <w:tab w:val="right" w:pos="1202"/>
              </w:tabs>
              <w:spacing w:after="0" w:line="280" w:lineRule="exact"/>
              <w:jc w:val="right"/>
              <w:outlineLvl w:val="0"/>
              <w:rPr>
                <w:rFonts w:asciiTheme="minorHAnsi" w:eastAsia="Times New Roman" w:hAnsiTheme="minorHAnsi" w:cs="Arial"/>
                <w:b/>
                <w:bCs/>
                <w:spacing w:val="-2"/>
                <w:sz w:val="18"/>
                <w:szCs w:val="18"/>
              </w:rPr>
            </w:pPr>
            <w:r>
              <w:rPr>
                <w:rFonts w:asciiTheme="minorHAnsi" w:hAnsiTheme="minorHAnsi" w:cs="Arial"/>
                <w:b/>
                <w:bCs/>
                <w:spacing w:val="-2"/>
                <w:sz w:val="18"/>
                <w:szCs w:val="18"/>
                <w:lang w:val="pl-PL"/>
              </w:rPr>
              <w:t>-</w:t>
            </w:r>
          </w:p>
        </w:tc>
        <w:tc>
          <w:tcPr>
            <w:tcW w:w="479" w:type="pct"/>
            <w:tcBorders>
              <w:top w:val="single" w:sz="6" w:space="0" w:color="auto"/>
              <w:left w:val="nil"/>
              <w:bottom w:val="single" w:sz="12" w:space="0" w:color="auto"/>
              <w:right w:val="nil"/>
            </w:tcBorders>
            <w:shd w:val="clear" w:color="auto" w:fill="auto"/>
            <w:vAlign w:val="bottom"/>
          </w:tcPr>
          <w:p w14:paraId="5EC31D60" w14:textId="62CF3972" w:rsidR="00C27020" w:rsidRPr="009702B0" w:rsidRDefault="00C27020" w:rsidP="00C27020">
            <w:pPr>
              <w:tabs>
                <w:tab w:val="right" w:pos="1202"/>
              </w:tabs>
              <w:spacing w:after="0" w:line="280" w:lineRule="exact"/>
              <w:jc w:val="right"/>
              <w:outlineLvl w:val="0"/>
              <w:rPr>
                <w:rFonts w:asciiTheme="minorHAnsi" w:eastAsia="Times New Roman" w:hAnsiTheme="minorHAnsi" w:cs="Arial"/>
                <w:b/>
                <w:bCs/>
                <w:spacing w:val="-2"/>
                <w:sz w:val="18"/>
                <w:szCs w:val="18"/>
              </w:rPr>
            </w:pPr>
            <w:r>
              <w:rPr>
                <w:rFonts w:asciiTheme="minorHAnsi" w:hAnsiTheme="minorHAnsi" w:cs="Arial"/>
                <w:b/>
                <w:bCs/>
                <w:spacing w:val="-2"/>
                <w:sz w:val="18"/>
                <w:szCs w:val="18"/>
                <w:lang w:val="pl-PL"/>
              </w:rPr>
              <w:t>-</w:t>
            </w:r>
          </w:p>
        </w:tc>
        <w:tc>
          <w:tcPr>
            <w:tcW w:w="477" w:type="pct"/>
            <w:tcBorders>
              <w:top w:val="single" w:sz="6" w:space="0" w:color="auto"/>
              <w:left w:val="nil"/>
              <w:bottom w:val="single" w:sz="12" w:space="0" w:color="auto"/>
              <w:right w:val="nil"/>
            </w:tcBorders>
            <w:shd w:val="clear" w:color="auto" w:fill="auto"/>
            <w:vAlign w:val="bottom"/>
          </w:tcPr>
          <w:p w14:paraId="7E4AD0BA" w14:textId="42DBB2F0" w:rsidR="00C27020" w:rsidRPr="009702B0" w:rsidRDefault="00C27020" w:rsidP="00C27020">
            <w:pPr>
              <w:tabs>
                <w:tab w:val="right" w:pos="1202"/>
              </w:tabs>
              <w:spacing w:after="0" w:line="280" w:lineRule="exact"/>
              <w:jc w:val="right"/>
              <w:outlineLvl w:val="0"/>
              <w:rPr>
                <w:rFonts w:asciiTheme="minorHAnsi" w:eastAsia="Times New Roman" w:hAnsiTheme="minorHAnsi" w:cs="Arial"/>
                <w:b/>
                <w:bCs/>
                <w:spacing w:val="-2"/>
                <w:sz w:val="18"/>
                <w:szCs w:val="18"/>
              </w:rPr>
            </w:pPr>
            <w:r>
              <w:rPr>
                <w:rFonts w:asciiTheme="minorHAnsi" w:hAnsiTheme="minorHAnsi" w:cs="Arial"/>
                <w:b/>
                <w:bCs/>
                <w:spacing w:val="-2"/>
                <w:sz w:val="18"/>
                <w:szCs w:val="18"/>
                <w:lang w:val="pl-PL"/>
              </w:rPr>
              <w:t>-</w:t>
            </w:r>
          </w:p>
        </w:tc>
        <w:tc>
          <w:tcPr>
            <w:tcW w:w="548" w:type="pct"/>
            <w:tcBorders>
              <w:top w:val="single" w:sz="6" w:space="0" w:color="auto"/>
              <w:left w:val="nil"/>
              <w:bottom w:val="single" w:sz="12" w:space="0" w:color="auto"/>
              <w:right w:val="nil"/>
            </w:tcBorders>
            <w:shd w:val="clear" w:color="auto" w:fill="auto"/>
            <w:vAlign w:val="bottom"/>
          </w:tcPr>
          <w:p w14:paraId="17365C25" w14:textId="77777777" w:rsidR="00C27020" w:rsidRPr="009702B0" w:rsidRDefault="00C27020" w:rsidP="00C27020">
            <w:pPr>
              <w:tabs>
                <w:tab w:val="right" w:pos="1202"/>
              </w:tabs>
              <w:spacing w:after="0" w:line="280" w:lineRule="exact"/>
              <w:jc w:val="right"/>
              <w:outlineLvl w:val="0"/>
              <w:rPr>
                <w:rFonts w:asciiTheme="minorHAnsi" w:eastAsia="Times New Roman" w:hAnsiTheme="minorHAnsi" w:cs="Arial"/>
                <w:b/>
                <w:bCs/>
                <w:spacing w:val="-2"/>
                <w:sz w:val="18"/>
                <w:szCs w:val="18"/>
              </w:rPr>
            </w:pPr>
            <w:r>
              <w:rPr>
                <w:rFonts w:asciiTheme="minorHAnsi" w:hAnsiTheme="minorHAnsi" w:cs="Arial"/>
                <w:b/>
                <w:bCs/>
                <w:spacing w:val="-2"/>
                <w:sz w:val="18"/>
                <w:szCs w:val="18"/>
                <w:lang w:val="pl-PL"/>
              </w:rPr>
              <w:t>-</w:t>
            </w:r>
          </w:p>
        </w:tc>
        <w:tc>
          <w:tcPr>
            <w:tcW w:w="547" w:type="pct"/>
            <w:tcBorders>
              <w:top w:val="single" w:sz="4" w:space="0" w:color="auto"/>
              <w:left w:val="nil"/>
              <w:bottom w:val="single" w:sz="12" w:space="0" w:color="auto"/>
              <w:right w:val="nil"/>
            </w:tcBorders>
            <w:shd w:val="clear" w:color="auto" w:fill="auto"/>
            <w:vAlign w:val="bottom"/>
          </w:tcPr>
          <w:p w14:paraId="1B79B290" w14:textId="70B08140" w:rsidR="00C27020" w:rsidRPr="009702B0" w:rsidRDefault="00C27020" w:rsidP="00C27020">
            <w:pPr>
              <w:spacing w:after="0" w:line="280" w:lineRule="exact"/>
              <w:jc w:val="right"/>
              <w:rPr>
                <w:rFonts w:cs="Arial"/>
                <w:b/>
                <w:sz w:val="18"/>
                <w:szCs w:val="18"/>
              </w:rPr>
            </w:pPr>
            <w:r w:rsidRPr="00FE65B6">
              <w:rPr>
                <w:rFonts w:asciiTheme="minorHAnsi" w:hAnsiTheme="minorHAnsi" w:cs="Arial"/>
                <w:b/>
                <w:bCs/>
                <w:sz w:val="18"/>
                <w:szCs w:val="18"/>
                <w:lang w:val="hr-HR"/>
              </w:rPr>
              <w:t>10</w:t>
            </w:r>
            <w:r>
              <w:rPr>
                <w:rFonts w:asciiTheme="minorHAnsi" w:hAnsiTheme="minorHAnsi" w:cs="Arial"/>
                <w:b/>
                <w:bCs/>
                <w:sz w:val="18"/>
                <w:szCs w:val="18"/>
                <w:lang w:val="hr-HR"/>
              </w:rPr>
              <w:t>,</w:t>
            </w:r>
            <w:r w:rsidRPr="00FE65B6">
              <w:rPr>
                <w:rFonts w:asciiTheme="minorHAnsi" w:hAnsiTheme="minorHAnsi" w:cs="Arial"/>
                <w:b/>
                <w:bCs/>
                <w:sz w:val="18"/>
                <w:szCs w:val="18"/>
                <w:lang w:val="hr-HR"/>
              </w:rPr>
              <w:t>248</w:t>
            </w:r>
            <w:r>
              <w:rPr>
                <w:rFonts w:asciiTheme="minorHAnsi" w:hAnsiTheme="minorHAnsi" w:cs="Arial"/>
                <w:b/>
                <w:bCs/>
                <w:sz w:val="18"/>
                <w:szCs w:val="18"/>
                <w:lang w:val="hr-HR"/>
              </w:rPr>
              <w:t>,</w:t>
            </w:r>
            <w:r w:rsidRPr="00FE65B6">
              <w:rPr>
                <w:rFonts w:asciiTheme="minorHAnsi" w:hAnsiTheme="minorHAnsi" w:cs="Arial"/>
                <w:b/>
                <w:bCs/>
                <w:sz w:val="18"/>
                <w:szCs w:val="18"/>
                <w:lang w:val="hr-HR"/>
              </w:rPr>
              <w:t>538</w:t>
            </w:r>
          </w:p>
        </w:tc>
        <w:tc>
          <w:tcPr>
            <w:tcW w:w="548" w:type="pct"/>
            <w:tcBorders>
              <w:top w:val="single" w:sz="4" w:space="0" w:color="auto"/>
              <w:left w:val="nil"/>
              <w:bottom w:val="single" w:sz="12" w:space="0" w:color="auto"/>
              <w:right w:val="nil"/>
            </w:tcBorders>
            <w:shd w:val="clear" w:color="auto" w:fill="auto"/>
            <w:vAlign w:val="bottom"/>
          </w:tcPr>
          <w:p w14:paraId="26C3FDDB" w14:textId="54C04969" w:rsidR="00C27020" w:rsidRPr="009702B0" w:rsidRDefault="00C27020" w:rsidP="00C27020">
            <w:pPr>
              <w:spacing w:after="0" w:line="280" w:lineRule="exact"/>
              <w:jc w:val="right"/>
              <w:rPr>
                <w:rFonts w:cs="Arial"/>
                <w:b/>
                <w:bCs/>
                <w:sz w:val="18"/>
                <w:szCs w:val="18"/>
              </w:rPr>
            </w:pPr>
            <w:r w:rsidRPr="00FE65B6">
              <w:rPr>
                <w:rFonts w:asciiTheme="minorHAnsi" w:hAnsiTheme="minorHAnsi" w:cs="Arial"/>
                <w:b/>
                <w:bCs/>
                <w:sz w:val="18"/>
                <w:szCs w:val="18"/>
                <w:lang w:val="hr-HR"/>
              </w:rPr>
              <w:t>10</w:t>
            </w:r>
            <w:r>
              <w:rPr>
                <w:rFonts w:asciiTheme="minorHAnsi" w:hAnsiTheme="minorHAnsi" w:cs="Arial"/>
                <w:b/>
                <w:bCs/>
                <w:sz w:val="18"/>
                <w:szCs w:val="18"/>
                <w:lang w:val="hr-HR"/>
              </w:rPr>
              <w:t>,</w:t>
            </w:r>
            <w:r w:rsidRPr="00FE65B6">
              <w:rPr>
                <w:rFonts w:asciiTheme="minorHAnsi" w:hAnsiTheme="minorHAnsi" w:cs="Arial"/>
                <w:b/>
                <w:bCs/>
                <w:sz w:val="18"/>
                <w:szCs w:val="18"/>
                <w:lang w:val="hr-HR"/>
              </w:rPr>
              <w:t>248</w:t>
            </w:r>
            <w:r>
              <w:rPr>
                <w:rFonts w:asciiTheme="minorHAnsi" w:hAnsiTheme="minorHAnsi" w:cs="Arial"/>
                <w:b/>
                <w:bCs/>
                <w:sz w:val="18"/>
                <w:szCs w:val="18"/>
                <w:lang w:val="hr-HR"/>
              </w:rPr>
              <w:t>,</w:t>
            </w:r>
            <w:r w:rsidRPr="00FE65B6">
              <w:rPr>
                <w:rFonts w:asciiTheme="minorHAnsi" w:hAnsiTheme="minorHAnsi" w:cs="Arial"/>
                <w:b/>
                <w:bCs/>
                <w:sz w:val="18"/>
                <w:szCs w:val="18"/>
                <w:lang w:val="hr-HR"/>
              </w:rPr>
              <w:t>538</w:t>
            </w:r>
          </w:p>
        </w:tc>
      </w:tr>
      <w:tr w:rsidR="00C27020" w:rsidRPr="009702B0" w14:paraId="54E2C601" w14:textId="77777777" w:rsidTr="006B318F">
        <w:tc>
          <w:tcPr>
            <w:tcW w:w="1373" w:type="pct"/>
          </w:tcPr>
          <w:p w14:paraId="212E1EE0" w14:textId="77777777" w:rsidR="00C27020" w:rsidRPr="009702B0" w:rsidRDefault="00C27020" w:rsidP="00C27020">
            <w:pPr>
              <w:tabs>
                <w:tab w:val="right" w:pos="1202"/>
              </w:tabs>
              <w:spacing w:after="0" w:line="280" w:lineRule="exact"/>
              <w:outlineLvl w:val="0"/>
              <w:rPr>
                <w:rFonts w:eastAsia="Times New Roman" w:cs="Arial"/>
                <w:sz w:val="18"/>
                <w:szCs w:val="18"/>
              </w:rPr>
            </w:pPr>
            <w:r w:rsidRPr="009702B0">
              <w:rPr>
                <w:rFonts w:eastAsia="Times New Roman" w:cs="Arial"/>
                <w:sz w:val="18"/>
                <w:szCs w:val="18"/>
              </w:rPr>
              <w:t>Guarantee fund</w:t>
            </w:r>
          </w:p>
        </w:tc>
        <w:tc>
          <w:tcPr>
            <w:tcW w:w="548" w:type="pct"/>
            <w:tcBorders>
              <w:top w:val="nil"/>
              <w:left w:val="nil"/>
              <w:bottom w:val="nil"/>
              <w:right w:val="nil"/>
            </w:tcBorders>
            <w:shd w:val="clear" w:color="auto" w:fill="auto"/>
            <w:vAlign w:val="bottom"/>
          </w:tcPr>
          <w:p w14:paraId="01633532" w14:textId="77777777" w:rsidR="00C27020" w:rsidRPr="009702B0" w:rsidRDefault="00C27020" w:rsidP="00C27020">
            <w:pPr>
              <w:tabs>
                <w:tab w:val="right" w:pos="1202"/>
              </w:tabs>
              <w:spacing w:after="0" w:line="280" w:lineRule="exact"/>
              <w:jc w:val="right"/>
              <w:outlineLvl w:val="0"/>
              <w:rPr>
                <w:rFonts w:asciiTheme="minorHAnsi" w:eastAsia="Times New Roman" w:hAnsiTheme="minorHAnsi" w:cs="Arial"/>
                <w:spacing w:val="-2"/>
                <w:sz w:val="18"/>
                <w:szCs w:val="18"/>
              </w:rPr>
            </w:pPr>
            <w:r>
              <w:rPr>
                <w:rFonts w:cs="Arial"/>
                <w:sz w:val="18"/>
                <w:szCs w:val="18"/>
              </w:rPr>
              <w:t>-</w:t>
            </w:r>
          </w:p>
        </w:tc>
        <w:tc>
          <w:tcPr>
            <w:tcW w:w="479" w:type="pct"/>
            <w:tcBorders>
              <w:top w:val="nil"/>
              <w:left w:val="nil"/>
              <w:bottom w:val="nil"/>
              <w:right w:val="nil"/>
            </w:tcBorders>
            <w:shd w:val="clear" w:color="auto" w:fill="auto"/>
            <w:vAlign w:val="bottom"/>
          </w:tcPr>
          <w:p w14:paraId="55FC6D05" w14:textId="77777777" w:rsidR="00C27020" w:rsidRPr="009702B0" w:rsidRDefault="00C27020" w:rsidP="00C27020">
            <w:pPr>
              <w:tabs>
                <w:tab w:val="right" w:pos="1202"/>
              </w:tabs>
              <w:spacing w:after="0" w:line="280" w:lineRule="exact"/>
              <w:jc w:val="right"/>
              <w:outlineLvl w:val="0"/>
              <w:rPr>
                <w:rFonts w:asciiTheme="minorHAnsi" w:eastAsia="Times New Roman" w:hAnsiTheme="minorHAnsi" w:cs="Arial"/>
                <w:spacing w:val="-2"/>
                <w:sz w:val="18"/>
                <w:szCs w:val="18"/>
              </w:rPr>
            </w:pPr>
            <w:r>
              <w:rPr>
                <w:rFonts w:cs="Arial"/>
                <w:sz w:val="18"/>
                <w:szCs w:val="18"/>
              </w:rPr>
              <w:t>-</w:t>
            </w:r>
          </w:p>
        </w:tc>
        <w:tc>
          <w:tcPr>
            <w:tcW w:w="479" w:type="pct"/>
            <w:tcBorders>
              <w:top w:val="nil"/>
              <w:left w:val="nil"/>
              <w:bottom w:val="nil"/>
              <w:right w:val="nil"/>
            </w:tcBorders>
            <w:shd w:val="clear" w:color="auto" w:fill="auto"/>
            <w:vAlign w:val="bottom"/>
          </w:tcPr>
          <w:p w14:paraId="4FEF38F3" w14:textId="30CAA09D" w:rsidR="00C27020" w:rsidRPr="009702B0" w:rsidRDefault="00C27020" w:rsidP="00C27020">
            <w:pPr>
              <w:tabs>
                <w:tab w:val="right" w:pos="1202"/>
              </w:tabs>
              <w:spacing w:after="0" w:line="280" w:lineRule="exact"/>
              <w:jc w:val="right"/>
              <w:outlineLvl w:val="0"/>
              <w:rPr>
                <w:rFonts w:asciiTheme="minorHAnsi" w:eastAsia="Times New Roman" w:hAnsiTheme="minorHAnsi" w:cs="Arial"/>
                <w:spacing w:val="-2"/>
                <w:sz w:val="18"/>
                <w:szCs w:val="18"/>
              </w:rPr>
            </w:pPr>
            <w:r>
              <w:rPr>
                <w:rFonts w:cs="Arial"/>
                <w:sz w:val="18"/>
                <w:szCs w:val="18"/>
              </w:rPr>
              <w:t>-</w:t>
            </w:r>
          </w:p>
        </w:tc>
        <w:tc>
          <w:tcPr>
            <w:tcW w:w="477" w:type="pct"/>
            <w:tcBorders>
              <w:top w:val="nil"/>
              <w:left w:val="nil"/>
              <w:bottom w:val="nil"/>
              <w:right w:val="nil"/>
            </w:tcBorders>
            <w:shd w:val="clear" w:color="auto" w:fill="auto"/>
            <w:vAlign w:val="bottom"/>
          </w:tcPr>
          <w:p w14:paraId="2768A94E" w14:textId="68807E8D" w:rsidR="00C27020" w:rsidRPr="009702B0" w:rsidRDefault="00C27020" w:rsidP="00C27020">
            <w:pPr>
              <w:tabs>
                <w:tab w:val="right" w:pos="1202"/>
              </w:tabs>
              <w:spacing w:after="0" w:line="280" w:lineRule="exact"/>
              <w:jc w:val="right"/>
              <w:outlineLvl w:val="0"/>
              <w:rPr>
                <w:rFonts w:asciiTheme="minorHAnsi" w:eastAsia="Times New Roman" w:hAnsiTheme="minorHAnsi" w:cs="Arial"/>
                <w:spacing w:val="-2"/>
                <w:sz w:val="18"/>
                <w:szCs w:val="18"/>
              </w:rPr>
            </w:pPr>
            <w:r>
              <w:rPr>
                <w:rFonts w:cs="Arial"/>
                <w:sz w:val="18"/>
                <w:szCs w:val="18"/>
              </w:rPr>
              <w:t>-</w:t>
            </w:r>
          </w:p>
        </w:tc>
        <w:tc>
          <w:tcPr>
            <w:tcW w:w="548" w:type="pct"/>
            <w:tcBorders>
              <w:top w:val="nil"/>
              <w:left w:val="nil"/>
              <w:bottom w:val="nil"/>
              <w:right w:val="nil"/>
            </w:tcBorders>
            <w:shd w:val="clear" w:color="auto" w:fill="auto"/>
            <w:vAlign w:val="bottom"/>
          </w:tcPr>
          <w:p w14:paraId="7533E5CE" w14:textId="77777777" w:rsidR="00C27020" w:rsidRPr="009702B0" w:rsidRDefault="00C27020" w:rsidP="00C27020">
            <w:pPr>
              <w:tabs>
                <w:tab w:val="right" w:pos="1202"/>
              </w:tabs>
              <w:spacing w:after="0" w:line="280" w:lineRule="exact"/>
              <w:jc w:val="right"/>
              <w:outlineLvl w:val="0"/>
              <w:rPr>
                <w:rFonts w:asciiTheme="minorHAnsi" w:eastAsia="Times New Roman" w:hAnsiTheme="minorHAnsi" w:cs="Arial"/>
                <w:spacing w:val="-2"/>
                <w:sz w:val="18"/>
                <w:szCs w:val="18"/>
              </w:rPr>
            </w:pPr>
            <w:r>
              <w:rPr>
                <w:rFonts w:cs="Arial"/>
                <w:sz w:val="18"/>
                <w:szCs w:val="18"/>
              </w:rPr>
              <w:t>-</w:t>
            </w:r>
          </w:p>
        </w:tc>
        <w:tc>
          <w:tcPr>
            <w:tcW w:w="547" w:type="pct"/>
            <w:tcBorders>
              <w:top w:val="nil"/>
              <w:left w:val="nil"/>
              <w:bottom w:val="single" w:sz="6" w:space="0" w:color="auto"/>
              <w:right w:val="nil"/>
            </w:tcBorders>
            <w:shd w:val="clear" w:color="auto" w:fill="auto"/>
            <w:vAlign w:val="center"/>
          </w:tcPr>
          <w:p w14:paraId="6304132F" w14:textId="6FCD28C5" w:rsidR="00C27020" w:rsidRPr="009702B0" w:rsidRDefault="00C27020" w:rsidP="00C27020">
            <w:pPr>
              <w:spacing w:after="0" w:line="280" w:lineRule="exact"/>
              <w:jc w:val="right"/>
              <w:rPr>
                <w:rFonts w:cs="Arial"/>
                <w:sz w:val="18"/>
                <w:szCs w:val="18"/>
              </w:rPr>
            </w:pPr>
            <w:r w:rsidRPr="00B424B4">
              <w:rPr>
                <w:rFonts w:cs="Arial"/>
                <w:spacing w:val="-2"/>
                <w:sz w:val="18"/>
                <w:szCs w:val="18"/>
              </w:rPr>
              <w:t>12</w:t>
            </w:r>
            <w:r>
              <w:rPr>
                <w:rFonts w:cs="Arial"/>
                <w:spacing w:val="-2"/>
                <w:sz w:val="18"/>
                <w:szCs w:val="18"/>
              </w:rPr>
              <w:t>,</w:t>
            </w:r>
            <w:r w:rsidRPr="00B424B4">
              <w:rPr>
                <w:rFonts w:cs="Arial"/>
                <w:spacing w:val="-2"/>
                <w:sz w:val="18"/>
                <w:szCs w:val="18"/>
              </w:rPr>
              <w:t>276</w:t>
            </w:r>
          </w:p>
        </w:tc>
        <w:tc>
          <w:tcPr>
            <w:tcW w:w="548" w:type="pct"/>
            <w:tcBorders>
              <w:top w:val="nil"/>
              <w:left w:val="nil"/>
              <w:bottom w:val="single" w:sz="6" w:space="0" w:color="auto"/>
              <w:right w:val="nil"/>
            </w:tcBorders>
            <w:shd w:val="clear" w:color="auto" w:fill="auto"/>
            <w:vAlign w:val="center"/>
          </w:tcPr>
          <w:p w14:paraId="2E60DBF3" w14:textId="2CA1EF6D" w:rsidR="00C27020" w:rsidRPr="009702B0" w:rsidRDefault="00C27020" w:rsidP="00C27020">
            <w:pPr>
              <w:spacing w:after="0" w:line="280" w:lineRule="exact"/>
              <w:jc w:val="right"/>
              <w:rPr>
                <w:rFonts w:cs="Arial"/>
                <w:bCs/>
                <w:sz w:val="18"/>
                <w:szCs w:val="18"/>
              </w:rPr>
            </w:pPr>
            <w:r w:rsidRPr="00B424B4">
              <w:rPr>
                <w:rFonts w:cs="Arial"/>
                <w:spacing w:val="-2"/>
                <w:sz w:val="18"/>
                <w:szCs w:val="18"/>
              </w:rPr>
              <w:t>12</w:t>
            </w:r>
            <w:r>
              <w:rPr>
                <w:rFonts w:cs="Arial"/>
                <w:spacing w:val="-2"/>
                <w:sz w:val="18"/>
                <w:szCs w:val="18"/>
              </w:rPr>
              <w:t>,</w:t>
            </w:r>
            <w:r w:rsidRPr="00B424B4">
              <w:rPr>
                <w:rFonts w:cs="Arial"/>
                <w:spacing w:val="-2"/>
                <w:sz w:val="18"/>
                <w:szCs w:val="18"/>
              </w:rPr>
              <w:t>276</w:t>
            </w:r>
          </w:p>
        </w:tc>
      </w:tr>
      <w:tr w:rsidR="00C27020" w:rsidRPr="009702B0" w14:paraId="650EC354" w14:textId="77777777" w:rsidTr="005444AA">
        <w:tc>
          <w:tcPr>
            <w:tcW w:w="1373" w:type="pct"/>
          </w:tcPr>
          <w:p w14:paraId="1AD2EE34" w14:textId="77777777" w:rsidR="00C27020" w:rsidRPr="009702B0" w:rsidRDefault="00C27020" w:rsidP="00C27020">
            <w:pPr>
              <w:tabs>
                <w:tab w:val="right" w:pos="1202"/>
              </w:tabs>
              <w:spacing w:after="0" w:line="280" w:lineRule="exact"/>
              <w:outlineLvl w:val="0"/>
              <w:rPr>
                <w:rFonts w:eastAsia="Times New Roman" w:cs="Arial"/>
                <w:b/>
                <w:bCs/>
                <w:sz w:val="18"/>
                <w:szCs w:val="18"/>
              </w:rPr>
            </w:pPr>
            <w:r w:rsidRPr="009702B0">
              <w:rPr>
                <w:rFonts w:eastAsia="Times New Roman" w:cs="Arial"/>
                <w:b/>
                <w:bCs/>
                <w:sz w:val="18"/>
                <w:szCs w:val="18"/>
              </w:rPr>
              <w:t xml:space="preserve">Total equity </w:t>
            </w:r>
          </w:p>
        </w:tc>
        <w:tc>
          <w:tcPr>
            <w:tcW w:w="548" w:type="pct"/>
            <w:tcBorders>
              <w:top w:val="single" w:sz="6" w:space="0" w:color="auto"/>
              <w:left w:val="nil"/>
              <w:bottom w:val="single" w:sz="12" w:space="0" w:color="auto"/>
              <w:right w:val="nil"/>
            </w:tcBorders>
            <w:shd w:val="clear" w:color="auto" w:fill="auto"/>
            <w:vAlign w:val="bottom"/>
          </w:tcPr>
          <w:p w14:paraId="29091290" w14:textId="77777777" w:rsidR="00C27020" w:rsidRPr="009702B0" w:rsidRDefault="00C27020" w:rsidP="00C27020">
            <w:pPr>
              <w:tabs>
                <w:tab w:val="right" w:pos="1202"/>
              </w:tabs>
              <w:spacing w:after="0" w:line="280" w:lineRule="exact"/>
              <w:jc w:val="right"/>
              <w:outlineLvl w:val="0"/>
              <w:rPr>
                <w:rFonts w:asciiTheme="minorHAnsi" w:eastAsia="Times New Roman" w:hAnsiTheme="minorHAnsi" w:cs="Arial"/>
                <w:b/>
                <w:bCs/>
                <w:spacing w:val="-2"/>
                <w:sz w:val="18"/>
                <w:szCs w:val="18"/>
                <w:lang w:val="de-DE"/>
              </w:rPr>
            </w:pPr>
            <w:r>
              <w:rPr>
                <w:rFonts w:asciiTheme="minorHAnsi" w:hAnsiTheme="minorHAnsi" w:cs="Arial"/>
                <w:b/>
                <w:bCs/>
                <w:spacing w:val="-2"/>
                <w:sz w:val="18"/>
                <w:szCs w:val="18"/>
                <w:lang w:val="pl-PL"/>
              </w:rPr>
              <w:t>-</w:t>
            </w:r>
          </w:p>
        </w:tc>
        <w:tc>
          <w:tcPr>
            <w:tcW w:w="479" w:type="pct"/>
            <w:tcBorders>
              <w:top w:val="single" w:sz="6" w:space="0" w:color="auto"/>
              <w:left w:val="nil"/>
              <w:bottom w:val="single" w:sz="12" w:space="0" w:color="auto"/>
              <w:right w:val="nil"/>
            </w:tcBorders>
            <w:shd w:val="clear" w:color="auto" w:fill="auto"/>
            <w:vAlign w:val="bottom"/>
          </w:tcPr>
          <w:p w14:paraId="5C19F7B3" w14:textId="77777777" w:rsidR="00C27020" w:rsidRPr="009702B0" w:rsidRDefault="00C27020" w:rsidP="00C27020">
            <w:pPr>
              <w:tabs>
                <w:tab w:val="right" w:pos="1202"/>
              </w:tabs>
              <w:spacing w:after="0" w:line="280" w:lineRule="exact"/>
              <w:jc w:val="right"/>
              <w:outlineLvl w:val="0"/>
              <w:rPr>
                <w:rFonts w:asciiTheme="minorHAnsi" w:eastAsia="Times New Roman" w:hAnsiTheme="minorHAnsi" w:cs="Arial"/>
                <w:b/>
                <w:bCs/>
                <w:spacing w:val="-2"/>
                <w:sz w:val="18"/>
                <w:szCs w:val="18"/>
                <w:lang w:val="de-DE"/>
              </w:rPr>
            </w:pPr>
            <w:r>
              <w:rPr>
                <w:rFonts w:asciiTheme="minorHAnsi" w:hAnsiTheme="minorHAnsi" w:cs="Arial"/>
                <w:b/>
                <w:bCs/>
                <w:spacing w:val="-2"/>
                <w:sz w:val="18"/>
                <w:szCs w:val="18"/>
                <w:lang w:val="pl-PL"/>
              </w:rPr>
              <w:t>-</w:t>
            </w:r>
          </w:p>
        </w:tc>
        <w:tc>
          <w:tcPr>
            <w:tcW w:w="479" w:type="pct"/>
            <w:tcBorders>
              <w:top w:val="single" w:sz="6" w:space="0" w:color="auto"/>
              <w:left w:val="nil"/>
              <w:bottom w:val="single" w:sz="12" w:space="0" w:color="auto"/>
              <w:right w:val="nil"/>
            </w:tcBorders>
            <w:shd w:val="clear" w:color="auto" w:fill="auto"/>
            <w:vAlign w:val="bottom"/>
          </w:tcPr>
          <w:p w14:paraId="6B40829D" w14:textId="17C109B1" w:rsidR="00C27020" w:rsidRPr="009702B0" w:rsidRDefault="00C27020" w:rsidP="00C27020">
            <w:pPr>
              <w:tabs>
                <w:tab w:val="right" w:pos="1202"/>
              </w:tabs>
              <w:spacing w:after="0" w:line="280" w:lineRule="exact"/>
              <w:jc w:val="right"/>
              <w:outlineLvl w:val="0"/>
              <w:rPr>
                <w:rFonts w:asciiTheme="minorHAnsi" w:eastAsia="Times New Roman" w:hAnsiTheme="minorHAnsi" w:cs="Arial"/>
                <w:b/>
                <w:bCs/>
                <w:spacing w:val="-2"/>
                <w:sz w:val="18"/>
                <w:szCs w:val="18"/>
                <w:lang w:val="de-DE"/>
              </w:rPr>
            </w:pPr>
            <w:r>
              <w:rPr>
                <w:rFonts w:asciiTheme="minorHAnsi" w:hAnsiTheme="minorHAnsi" w:cs="Arial"/>
                <w:b/>
                <w:bCs/>
                <w:spacing w:val="-2"/>
                <w:sz w:val="18"/>
                <w:szCs w:val="18"/>
                <w:lang w:val="pl-PL"/>
              </w:rPr>
              <w:t>-</w:t>
            </w:r>
          </w:p>
        </w:tc>
        <w:tc>
          <w:tcPr>
            <w:tcW w:w="477" w:type="pct"/>
            <w:tcBorders>
              <w:top w:val="single" w:sz="6" w:space="0" w:color="auto"/>
              <w:left w:val="nil"/>
              <w:bottom w:val="single" w:sz="12" w:space="0" w:color="auto"/>
              <w:right w:val="nil"/>
            </w:tcBorders>
            <w:shd w:val="clear" w:color="auto" w:fill="auto"/>
            <w:vAlign w:val="bottom"/>
          </w:tcPr>
          <w:p w14:paraId="24DFB327" w14:textId="639D9135" w:rsidR="00C27020" w:rsidRPr="009702B0" w:rsidRDefault="00C27020" w:rsidP="00C27020">
            <w:pPr>
              <w:tabs>
                <w:tab w:val="right" w:pos="1202"/>
              </w:tabs>
              <w:spacing w:after="0" w:line="280" w:lineRule="exact"/>
              <w:jc w:val="right"/>
              <w:outlineLvl w:val="0"/>
              <w:rPr>
                <w:rFonts w:asciiTheme="minorHAnsi" w:eastAsia="Times New Roman" w:hAnsiTheme="minorHAnsi" w:cs="Arial"/>
                <w:b/>
                <w:bCs/>
                <w:spacing w:val="-2"/>
                <w:sz w:val="18"/>
                <w:szCs w:val="18"/>
                <w:lang w:val="de-DE"/>
              </w:rPr>
            </w:pPr>
            <w:r>
              <w:rPr>
                <w:rFonts w:asciiTheme="minorHAnsi" w:hAnsiTheme="minorHAnsi" w:cs="Arial"/>
                <w:b/>
                <w:bCs/>
                <w:spacing w:val="-2"/>
                <w:sz w:val="18"/>
                <w:szCs w:val="18"/>
                <w:lang w:val="pl-PL"/>
              </w:rPr>
              <w:t>-</w:t>
            </w:r>
          </w:p>
        </w:tc>
        <w:tc>
          <w:tcPr>
            <w:tcW w:w="548" w:type="pct"/>
            <w:tcBorders>
              <w:top w:val="single" w:sz="6" w:space="0" w:color="auto"/>
              <w:left w:val="nil"/>
              <w:bottom w:val="single" w:sz="12" w:space="0" w:color="auto"/>
              <w:right w:val="nil"/>
            </w:tcBorders>
            <w:shd w:val="clear" w:color="auto" w:fill="auto"/>
            <w:vAlign w:val="bottom"/>
          </w:tcPr>
          <w:p w14:paraId="34E8AB39" w14:textId="77777777" w:rsidR="00C27020" w:rsidRPr="009702B0" w:rsidRDefault="00C27020" w:rsidP="00C27020">
            <w:pPr>
              <w:tabs>
                <w:tab w:val="right" w:pos="1202"/>
              </w:tabs>
              <w:spacing w:after="0" w:line="280" w:lineRule="exact"/>
              <w:jc w:val="right"/>
              <w:outlineLvl w:val="0"/>
              <w:rPr>
                <w:rFonts w:asciiTheme="minorHAnsi" w:eastAsia="Times New Roman" w:hAnsiTheme="minorHAnsi" w:cs="Arial"/>
                <w:b/>
                <w:bCs/>
                <w:spacing w:val="-2"/>
                <w:sz w:val="18"/>
                <w:szCs w:val="18"/>
                <w:lang w:val="de-DE"/>
              </w:rPr>
            </w:pPr>
            <w:r>
              <w:rPr>
                <w:rFonts w:asciiTheme="minorHAnsi" w:hAnsiTheme="minorHAnsi" w:cs="Arial"/>
                <w:b/>
                <w:bCs/>
                <w:spacing w:val="-2"/>
                <w:sz w:val="18"/>
                <w:szCs w:val="18"/>
                <w:lang w:val="pl-PL"/>
              </w:rPr>
              <w:t>-</w:t>
            </w:r>
          </w:p>
        </w:tc>
        <w:tc>
          <w:tcPr>
            <w:tcW w:w="547" w:type="pct"/>
            <w:tcBorders>
              <w:top w:val="nil"/>
              <w:left w:val="nil"/>
              <w:bottom w:val="single" w:sz="12" w:space="0" w:color="auto"/>
              <w:right w:val="nil"/>
            </w:tcBorders>
            <w:shd w:val="clear" w:color="auto" w:fill="auto"/>
            <w:vAlign w:val="center"/>
          </w:tcPr>
          <w:p w14:paraId="5CFD6B31" w14:textId="15DF3604" w:rsidR="00C27020" w:rsidRPr="009702B0" w:rsidRDefault="00C27020" w:rsidP="00C27020">
            <w:pPr>
              <w:spacing w:after="0" w:line="280" w:lineRule="exact"/>
              <w:jc w:val="right"/>
              <w:rPr>
                <w:rFonts w:cs="Arial"/>
                <w:b/>
                <w:sz w:val="18"/>
                <w:szCs w:val="18"/>
              </w:rPr>
            </w:pPr>
            <w:r w:rsidRPr="00FE65B6">
              <w:rPr>
                <w:rFonts w:asciiTheme="minorHAnsi" w:hAnsiTheme="minorHAnsi" w:cs="Arial"/>
                <w:b/>
                <w:bCs/>
                <w:sz w:val="18"/>
                <w:szCs w:val="18"/>
                <w:lang w:val="hr-HR"/>
              </w:rPr>
              <w:t>10</w:t>
            </w:r>
            <w:r>
              <w:rPr>
                <w:rFonts w:asciiTheme="minorHAnsi" w:hAnsiTheme="minorHAnsi" w:cs="Arial"/>
                <w:b/>
                <w:bCs/>
                <w:sz w:val="18"/>
                <w:szCs w:val="18"/>
                <w:lang w:val="hr-HR"/>
              </w:rPr>
              <w:t>,</w:t>
            </w:r>
            <w:r w:rsidRPr="00FE65B6">
              <w:rPr>
                <w:rFonts w:asciiTheme="minorHAnsi" w:hAnsiTheme="minorHAnsi" w:cs="Arial"/>
                <w:b/>
                <w:bCs/>
                <w:sz w:val="18"/>
                <w:szCs w:val="18"/>
                <w:lang w:val="hr-HR"/>
              </w:rPr>
              <w:t>260</w:t>
            </w:r>
            <w:r>
              <w:rPr>
                <w:rFonts w:asciiTheme="minorHAnsi" w:hAnsiTheme="minorHAnsi" w:cs="Arial"/>
                <w:b/>
                <w:bCs/>
                <w:sz w:val="18"/>
                <w:szCs w:val="18"/>
                <w:lang w:val="hr-HR"/>
              </w:rPr>
              <w:t>,</w:t>
            </w:r>
            <w:r w:rsidRPr="00FE65B6">
              <w:rPr>
                <w:rFonts w:asciiTheme="minorHAnsi" w:hAnsiTheme="minorHAnsi" w:cs="Arial"/>
                <w:b/>
                <w:bCs/>
                <w:sz w:val="18"/>
                <w:szCs w:val="18"/>
                <w:lang w:val="hr-HR"/>
              </w:rPr>
              <w:t>814</w:t>
            </w:r>
          </w:p>
        </w:tc>
        <w:tc>
          <w:tcPr>
            <w:tcW w:w="548" w:type="pct"/>
            <w:tcBorders>
              <w:top w:val="nil"/>
              <w:left w:val="nil"/>
              <w:bottom w:val="single" w:sz="12" w:space="0" w:color="auto"/>
              <w:right w:val="nil"/>
            </w:tcBorders>
            <w:shd w:val="clear" w:color="auto" w:fill="auto"/>
            <w:vAlign w:val="center"/>
          </w:tcPr>
          <w:p w14:paraId="01062D91" w14:textId="41A0B92D" w:rsidR="00C27020" w:rsidRPr="009702B0" w:rsidRDefault="00C27020" w:rsidP="00C27020">
            <w:pPr>
              <w:spacing w:after="0" w:line="280" w:lineRule="exact"/>
              <w:jc w:val="right"/>
              <w:rPr>
                <w:rFonts w:cs="Arial"/>
                <w:b/>
                <w:bCs/>
                <w:sz w:val="18"/>
                <w:szCs w:val="18"/>
              </w:rPr>
            </w:pPr>
            <w:r w:rsidRPr="00FE65B6">
              <w:rPr>
                <w:rFonts w:asciiTheme="minorHAnsi" w:hAnsiTheme="minorHAnsi" w:cs="Arial"/>
                <w:b/>
                <w:bCs/>
                <w:sz w:val="18"/>
                <w:szCs w:val="18"/>
                <w:lang w:val="hr-HR"/>
              </w:rPr>
              <w:t>10</w:t>
            </w:r>
            <w:r>
              <w:rPr>
                <w:rFonts w:asciiTheme="minorHAnsi" w:hAnsiTheme="minorHAnsi" w:cs="Arial"/>
                <w:b/>
                <w:bCs/>
                <w:sz w:val="18"/>
                <w:szCs w:val="18"/>
                <w:lang w:val="hr-HR"/>
              </w:rPr>
              <w:t>,</w:t>
            </w:r>
            <w:r w:rsidRPr="00FE65B6">
              <w:rPr>
                <w:rFonts w:asciiTheme="minorHAnsi" w:hAnsiTheme="minorHAnsi" w:cs="Arial"/>
                <w:b/>
                <w:bCs/>
                <w:sz w:val="18"/>
                <w:szCs w:val="18"/>
                <w:lang w:val="hr-HR"/>
              </w:rPr>
              <w:t>260</w:t>
            </w:r>
            <w:r>
              <w:rPr>
                <w:rFonts w:asciiTheme="minorHAnsi" w:hAnsiTheme="minorHAnsi" w:cs="Arial"/>
                <w:b/>
                <w:bCs/>
                <w:sz w:val="18"/>
                <w:szCs w:val="18"/>
                <w:lang w:val="hr-HR"/>
              </w:rPr>
              <w:t>,</w:t>
            </w:r>
            <w:r w:rsidRPr="00FE65B6">
              <w:rPr>
                <w:rFonts w:asciiTheme="minorHAnsi" w:hAnsiTheme="minorHAnsi" w:cs="Arial"/>
                <w:b/>
                <w:bCs/>
                <w:sz w:val="18"/>
                <w:szCs w:val="18"/>
                <w:lang w:val="hr-HR"/>
              </w:rPr>
              <w:t>814</w:t>
            </w:r>
          </w:p>
        </w:tc>
      </w:tr>
      <w:tr w:rsidR="00C27020" w:rsidRPr="009702B0" w14:paraId="3A1ED6E4" w14:textId="77777777" w:rsidTr="005444AA">
        <w:tc>
          <w:tcPr>
            <w:tcW w:w="1373" w:type="pct"/>
            <w:vAlign w:val="bottom"/>
          </w:tcPr>
          <w:p w14:paraId="02685B71" w14:textId="77777777" w:rsidR="00C27020" w:rsidRPr="009702B0" w:rsidRDefault="00C27020" w:rsidP="00C27020">
            <w:pPr>
              <w:tabs>
                <w:tab w:val="right" w:pos="1202"/>
              </w:tabs>
              <w:spacing w:after="0" w:line="280" w:lineRule="exact"/>
              <w:outlineLvl w:val="0"/>
              <w:rPr>
                <w:rFonts w:eastAsia="Times New Roman" w:cs="Arial"/>
                <w:b/>
                <w:bCs/>
                <w:sz w:val="18"/>
                <w:szCs w:val="18"/>
              </w:rPr>
            </w:pPr>
            <w:r w:rsidRPr="009702B0">
              <w:rPr>
                <w:rFonts w:eastAsia="Times New Roman" w:cs="Arial"/>
                <w:b/>
                <w:bCs/>
                <w:sz w:val="18"/>
                <w:szCs w:val="18"/>
              </w:rPr>
              <w:t>Total liabilities and total equity (2)</w:t>
            </w:r>
          </w:p>
        </w:tc>
        <w:tc>
          <w:tcPr>
            <w:tcW w:w="548" w:type="pct"/>
            <w:tcBorders>
              <w:top w:val="nil"/>
              <w:left w:val="nil"/>
              <w:bottom w:val="single" w:sz="12" w:space="0" w:color="auto"/>
              <w:right w:val="nil"/>
            </w:tcBorders>
            <w:shd w:val="clear" w:color="auto" w:fill="auto"/>
            <w:vAlign w:val="bottom"/>
          </w:tcPr>
          <w:p w14:paraId="7888A888" w14:textId="4DECCC49" w:rsidR="00C27020" w:rsidRPr="009702B0" w:rsidRDefault="00C27020" w:rsidP="00C27020">
            <w:pPr>
              <w:spacing w:after="0" w:line="280" w:lineRule="exact"/>
              <w:jc w:val="right"/>
              <w:rPr>
                <w:rFonts w:cs="Arial"/>
                <w:b/>
                <w:bCs/>
                <w:sz w:val="18"/>
                <w:szCs w:val="18"/>
              </w:rPr>
            </w:pPr>
            <w:r w:rsidRPr="00FE65B6">
              <w:rPr>
                <w:rFonts w:asciiTheme="minorHAnsi" w:hAnsiTheme="minorHAnsi" w:cs="Arial"/>
                <w:b/>
                <w:bCs/>
                <w:sz w:val="18"/>
                <w:szCs w:val="18"/>
                <w:lang w:val="hr-HR"/>
              </w:rPr>
              <w:t>719</w:t>
            </w:r>
            <w:r>
              <w:rPr>
                <w:rFonts w:asciiTheme="minorHAnsi" w:hAnsiTheme="minorHAnsi" w:cs="Arial"/>
                <w:b/>
                <w:bCs/>
                <w:sz w:val="18"/>
                <w:szCs w:val="18"/>
                <w:lang w:val="hr-HR"/>
              </w:rPr>
              <w:t>,</w:t>
            </w:r>
            <w:r w:rsidRPr="00FE65B6">
              <w:rPr>
                <w:rFonts w:asciiTheme="minorHAnsi" w:hAnsiTheme="minorHAnsi" w:cs="Arial"/>
                <w:b/>
                <w:bCs/>
                <w:sz w:val="18"/>
                <w:szCs w:val="18"/>
                <w:lang w:val="hr-HR"/>
              </w:rPr>
              <w:t>252</w:t>
            </w:r>
          </w:p>
        </w:tc>
        <w:tc>
          <w:tcPr>
            <w:tcW w:w="479" w:type="pct"/>
            <w:tcBorders>
              <w:top w:val="nil"/>
              <w:left w:val="nil"/>
              <w:bottom w:val="single" w:sz="12" w:space="0" w:color="auto"/>
              <w:right w:val="nil"/>
            </w:tcBorders>
            <w:shd w:val="clear" w:color="auto" w:fill="auto"/>
            <w:vAlign w:val="bottom"/>
          </w:tcPr>
          <w:p w14:paraId="2DB6693D" w14:textId="1316FB1C" w:rsidR="00C27020" w:rsidRPr="009702B0" w:rsidRDefault="00C27020" w:rsidP="00C27020">
            <w:pPr>
              <w:spacing w:after="0" w:line="280" w:lineRule="exact"/>
              <w:jc w:val="right"/>
              <w:rPr>
                <w:rFonts w:cs="Arial"/>
                <w:b/>
                <w:bCs/>
                <w:sz w:val="18"/>
                <w:szCs w:val="18"/>
              </w:rPr>
            </w:pPr>
            <w:r w:rsidRPr="00FE65B6">
              <w:rPr>
                <w:rFonts w:asciiTheme="minorHAnsi" w:hAnsiTheme="minorHAnsi" w:cs="Arial"/>
                <w:b/>
                <w:bCs/>
                <w:sz w:val="18"/>
                <w:szCs w:val="18"/>
                <w:lang w:val="hr-HR"/>
              </w:rPr>
              <w:t>455</w:t>
            </w:r>
            <w:r>
              <w:rPr>
                <w:rFonts w:asciiTheme="minorHAnsi" w:hAnsiTheme="minorHAnsi" w:cs="Arial"/>
                <w:b/>
                <w:bCs/>
                <w:sz w:val="18"/>
                <w:szCs w:val="18"/>
                <w:lang w:val="hr-HR"/>
              </w:rPr>
              <w:t>,</w:t>
            </w:r>
            <w:r w:rsidRPr="00FE65B6">
              <w:rPr>
                <w:rFonts w:asciiTheme="minorHAnsi" w:hAnsiTheme="minorHAnsi" w:cs="Arial"/>
                <w:b/>
                <w:bCs/>
                <w:sz w:val="18"/>
                <w:szCs w:val="18"/>
                <w:lang w:val="hr-HR"/>
              </w:rPr>
              <w:t>796</w:t>
            </w:r>
          </w:p>
        </w:tc>
        <w:tc>
          <w:tcPr>
            <w:tcW w:w="479" w:type="pct"/>
            <w:tcBorders>
              <w:top w:val="nil"/>
              <w:left w:val="nil"/>
              <w:bottom w:val="single" w:sz="12" w:space="0" w:color="auto"/>
              <w:right w:val="nil"/>
            </w:tcBorders>
            <w:shd w:val="clear" w:color="auto" w:fill="auto"/>
            <w:vAlign w:val="bottom"/>
          </w:tcPr>
          <w:p w14:paraId="49F00F11" w14:textId="11EE0FD1" w:rsidR="00C27020" w:rsidRPr="009702B0" w:rsidRDefault="00C27020" w:rsidP="00C27020">
            <w:pPr>
              <w:spacing w:after="0" w:line="280" w:lineRule="exact"/>
              <w:jc w:val="right"/>
              <w:rPr>
                <w:rFonts w:cs="Arial"/>
                <w:b/>
                <w:bCs/>
                <w:sz w:val="18"/>
                <w:szCs w:val="18"/>
              </w:rPr>
            </w:pPr>
            <w:r w:rsidRPr="00FE65B6">
              <w:rPr>
                <w:rFonts w:asciiTheme="minorHAnsi" w:hAnsiTheme="minorHAnsi" w:cs="Arial"/>
                <w:b/>
                <w:bCs/>
                <w:sz w:val="18"/>
                <w:szCs w:val="18"/>
                <w:lang w:val="hr-HR"/>
              </w:rPr>
              <w:t>1</w:t>
            </w:r>
            <w:r>
              <w:rPr>
                <w:rFonts w:asciiTheme="minorHAnsi" w:hAnsiTheme="minorHAnsi" w:cs="Arial"/>
                <w:b/>
                <w:bCs/>
                <w:sz w:val="18"/>
                <w:szCs w:val="18"/>
                <w:lang w:val="hr-HR"/>
              </w:rPr>
              <w:t>,</w:t>
            </w:r>
            <w:r w:rsidRPr="00FE65B6">
              <w:rPr>
                <w:rFonts w:asciiTheme="minorHAnsi" w:hAnsiTheme="minorHAnsi" w:cs="Arial"/>
                <w:b/>
                <w:bCs/>
                <w:sz w:val="18"/>
                <w:szCs w:val="18"/>
                <w:lang w:val="hr-HR"/>
              </w:rPr>
              <w:t>175</w:t>
            </w:r>
            <w:r>
              <w:rPr>
                <w:rFonts w:asciiTheme="minorHAnsi" w:hAnsiTheme="minorHAnsi" w:cs="Arial"/>
                <w:b/>
                <w:bCs/>
                <w:sz w:val="18"/>
                <w:szCs w:val="18"/>
                <w:lang w:val="hr-HR"/>
              </w:rPr>
              <w:t>,</w:t>
            </w:r>
            <w:r w:rsidRPr="00FE65B6">
              <w:rPr>
                <w:rFonts w:asciiTheme="minorHAnsi" w:hAnsiTheme="minorHAnsi" w:cs="Arial"/>
                <w:b/>
                <w:bCs/>
                <w:sz w:val="18"/>
                <w:szCs w:val="18"/>
                <w:lang w:val="hr-HR"/>
              </w:rPr>
              <w:t>171</w:t>
            </w:r>
          </w:p>
        </w:tc>
        <w:tc>
          <w:tcPr>
            <w:tcW w:w="477" w:type="pct"/>
            <w:tcBorders>
              <w:top w:val="nil"/>
              <w:left w:val="nil"/>
              <w:bottom w:val="single" w:sz="12" w:space="0" w:color="auto"/>
              <w:right w:val="nil"/>
            </w:tcBorders>
            <w:shd w:val="clear" w:color="auto" w:fill="auto"/>
            <w:vAlign w:val="bottom"/>
          </w:tcPr>
          <w:p w14:paraId="197EEB13" w14:textId="339EC78D" w:rsidR="00C27020" w:rsidRPr="009702B0" w:rsidRDefault="00C27020" w:rsidP="00C27020">
            <w:pPr>
              <w:spacing w:after="0" w:line="280" w:lineRule="exact"/>
              <w:jc w:val="right"/>
              <w:rPr>
                <w:rFonts w:cs="Arial"/>
                <w:b/>
                <w:bCs/>
                <w:sz w:val="18"/>
                <w:szCs w:val="18"/>
              </w:rPr>
            </w:pPr>
            <w:r w:rsidRPr="00FE65B6">
              <w:rPr>
                <w:rFonts w:asciiTheme="minorHAnsi" w:hAnsiTheme="minorHAnsi" w:cs="Arial"/>
                <w:b/>
                <w:bCs/>
                <w:sz w:val="18"/>
                <w:szCs w:val="18"/>
                <w:lang w:val="hr-HR"/>
              </w:rPr>
              <w:t>4</w:t>
            </w:r>
            <w:r>
              <w:rPr>
                <w:rFonts w:asciiTheme="minorHAnsi" w:hAnsiTheme="minorHAnsi" w:cs="Arial"/>
                <w:b/>
                <w:bCs/>
                <w:sz w:val="18"/>
                <w:szCs w:val="18"/>
                <w:lang w:val="hr-HR"/>
              </w:rPr>
              <w:t>,</w:t>
            </w:r>
            <w:r w:rsidRPr="00FE65B6">
              <w:rPr>
                <w:rFonts w:asciiTheme="minorHAnsi" w:hAnsiTheme="minorHAnsi" w:cs="Arial"/>
                <w:b/>
                <w:bCs/>
                <w:sz w:val="18"/>
                <w:szCs w:val="18"/>
                <w:lang w:val="hr-HR"/>
              </w:rPr>
              <w:t>797</w:t>
            </w:r>
            <w:r>
              <w:rPr>
                <w:rFonts w:asciiTheme="minorHAnsi" w:hAnsiTheme="minorHAnsi" w:cs="Arial"/>
                <w:b/>
                <w:bCs/>
                <w:sz w:val="18"/>
                <w:szCs w:val="18"/>
                <w:lang w:val="hr-HR"/>
              </w:rPr>
              <w:t>,</w:t>
            </w:r>
            <w:r w:rsidRPr="00FE65B6">
              <w:rPr>
                <w:rFonts w:asciiTheme="minorHAnsi" w:hAnsiTheme="minorHAnsi" w:cs="Arial"/>
                <w:b/>
                <w:bCs/>
                <w:sz w:val="18"/>
                <w:szCs w:val="18"/>
                <w:lang w:val="hr-HR"/>
              </w:rPr>
              <w:t>963</w:t>
            </w:r>
          </w:p>
        </w:tc>
        <w:tc>
          <w:tcPr>
            <w:tcW w:w="548" w:type="pct"/>
            <w:tcBorders>
              <w:top w:val="nil"/>
              <w:left w:val="nil"/>
              <w:bottom w:val="single" w:sz="12" w:space="0" w:color="auto"/>
              <w:right w:val="nil"/>
            </w:tcBorders>
            <w:shd w:val="clear" w:color="auto" w:fill="auto"/>
            <w:vAlign w:val="bottom"/>
          </w:tcPr>
          <w:p w14:paraId="350D00F5" w14:textId="57AEDAB6" w:rsidR="00C27020" w:rsidRPr="009702B0" w:rsidRDefault="00C27020" w:rsidP="00C27020">
            <w:pPr>
              <w:spacing w:after="0" w:line="280" w:lineRule="exact"/>
              <w:jc w:val="right"/>
              <w:rPr>
                <w:rFonts w:cs="Arial"/>
                <w:b/>
                <w:bCs/>
                <w:sz w:val="18"/>
                <w:szCs w:val="18"/>
              </w:rPr>
            </w:pPr>
            <w:r w:rsidRPr="00FE65B6">
              <w:rPr>
                <w:rFonts w:asciiTheme="minorHAnsi" w:hAnsiTheme="minorHAnsi" w:cs="Arial"/>
                <w:b/>
                <w:bCs/>
                <w:sz w:val="18"/>
                <w:szCs w:val="18"/>
                <w:lang w:val="hr-HR"/>
              </w:rPr>
              <w:t>9</w:t>
            </w:r>
            <w:r>
              <w:rPr>
                <w:rFonts w:asciiTheme="minorHAnsi" w:hAnsiTheme="minorHAnsi" w:cs="Arial"/>
                <w:b/>
                <w:bCs/>
                <w:sz w:val="18"/>
                <w:szCs w:val="18"/>
                <w:lang w:val="hr-HR"/>
              </w:rPr>
              <w:t>,</w:t>
            </w:r>
            <w:r w:rsidRPr="00FE65B6">
              <w:rPr>
                <w:rFonts w:asciiTheme="minorHAnsi" w:hAnsiTheme="minorHAnsi" w:cs="Arial"/>
                <w:b/>
                <w:bCs/>
                <w:sz w:val="18"/>
                <w:szCs w:val="18"/>
                <w:lang w:val="hr-HR"/>
              </w:rPr>
              <w:t>874</w:t>
            </w:r>
            <w:r>
              <w:rPr>
                <w:rFonts w:asciiTheme="minorHAnsi" w:hAnsiTheme="minorHAnsi" w:cs="Arial"/>
                <w:b/>
                <w:bCs/>
                <w:sz w:val="18"/>
                <w:szCs w:val="18"/>
                <w:lang w:val="hr-HR"/>
              </w:rPr>
              <w:t>,</w:t>
            </w:r>
            <w:r w:rsidRPr="00FE65B6">
              <w:rPr>
                <w:rFonts w:asciiTheme="minorHAnsi" w:hAnsiTheme="minorHAnsi" w:cs="Arial"/>
                <w:b/>
                <w:bCs/>
                <w:sz w:val="18"/>
                <w:szCs w:val="18"/>
                <w:lang w:val="hr-HR"/>
              </w:rPr>
              <w:t>189</w:t>
            </w:r>
          </w:p>
        </w:tc>
        <w:tc>
          <w:tcPr>
            <w:tcW w:w="547" w:type="pct"/>
            <w:tcBorders>
              <w:top w:val="nil"/>
              <w:left w:val="nil"/>
              <w:bottom w:val="single" w:sz="12" w:space="0" w:color="auto"/>
              <w:right w:val="nil"/>
            </w:tcBorders>
            <w:shd w:val="clear" w:color="auto" w:fill="auto"/>
            <w:vAlign w:val="bottom"/>
          </w:tcPr>
          <w:p w14:paraId="4EEA94AA" w14:textId="6A096117" w:rsidR="00C27020" w:rsidRPr="009702B0" w:rsidRDefault="00C27020" w:rsidP="00C27020">
            <w:pPr>
              <w:spacing w:after="0" w:line="280" w:lineRule="exact"/>
              <w:jc w:val="right"/>
              <w:rPr>
                <w:rFonts w:cs="Arial"/>
                <w:b/>
                <w:bCs/>
                <w:sz w:val="18"/>
                <w:szCs w:val="18"/>
              </w:rPr>
            </w:pPr>
            <w:r w:rsidRPr="00FE65B6">
              <w:rPr>
                <w:rFonts w:asciiTheme="minorHAnsi" w:hAnsiTheme="minorHAnsi" w:cs="Arial"/>
                <w:b/>
                <w:bCs/>
                <w:sz w:val="18"/>
                <w:szCs w:val="18"/>
                <w:lang w:val="hr-HR"/>
              </w:rPr>
              <w:t>11</w:t>
            </w:r>
            <w:r>
              <w:rPr>
                <w:rFonts w:asciiTheme="minorHAnsi" w:hAnsiTheme="minorHAnsi" w:cs="Arial"/>
                <w:b/>
                <w:bCs/>
                <w:sz w:val="18"/>
                <w:szCs w:val="18"/>
                <w:lang w:val="hr-HR"/>
              </w:rPr>
              <w:t>,</w:t>
            </w:r>
            <w:r w:rsidRPr="00FE65B6">
              <w:rPr>
                <w:rFonts w:asciiTheme="minorHAnsi" w:hAnsiTheme="minorHAnsi" w:cs="Arial"/>
                <w:b/>
                <w:bCs/>
                <w:sz w:val="18"/>
                <w:szCs w:val="18"/>
                <w:lang w:val="hr-HR"/>
              </w:rPr>
              <w:t>278</w:t>
            </w:r>
            <w:r>
              <w:rPr>
                <w:rFonts w:asciiTheme="minorHAnsi" w:hAnsiTheme="minorHAnsi" w:cs="Arial"/>
                <w:b/>
                <w:bCs/>
                <w:sz w:val="18"/>
                <w:szCs w:val="18"/>
                <w:lang w:val="hr-HR"/>
              </w:rPr>
              <w:t>,</w:t>
            </w:r>
            <w:r w:rsidRPr="00FE65B6">
              <w:rPr>
                <w:rFonts w:asciiTheme="minorHAnsi" w:hAnsiTheme="minorHAnsi" w:cs="Arial"/>
                <w:b/>
                <w:bCs/>
                <w:sz w:val="18"/>
                <w:szCs w:val="18"/>
                <w:lang w:val="hr-HR"/>
              </w:rPr>
              <w:t>353</w:t>
            </w:r>
          </w:p>
        </w:tc>
        <w:tc>
          <w:tcPr>
            <w:tcW w:w="548" w:type="pct"/>
            <w:tcBorders>
              <w:top w:val="nil"/>
              <w:left w:val="nil"/>
              <w:bottom w:val="single" w:sz="12" w:space="0" w:color="auto"/>
              <w:right w:val="nil"/>
            </w:tcBorders>
            <w:shd w:val="clear" w:color="auto" w:fill="auto"/>
            <w:vAlign w:val="bottom"/>
          </w:tcPr>
          <w:p w14:paraId="1856198C" w14:textId="6A694BA9" w:rsidR="00C27020" w:rsidRPr="009702B0" w:rsidRDefault="00C27020" w:rsidP="00C27020">
            <w:pPr>
              <w:spacing w:after="0" w:line="280" w:lineRule="exact"/>
              <w:jc w:val="right"/>
              <w:rPr>
                <w:rFonts w:cs="Arial"/>
                <w:b/>
                <w:bCs/>
                <w:sz w:val="18"/>
                <w:szCs w:val="18"/>
              </w:rPr>
            </w:pPr>
            <w:r w:rsidRPr="00FE65B6">
              <w:rPr>
                <w:rFonts w:asciiTheme="minorHAnsi" w:hAnsiTheme="minorHAnsi" w:cs="Arial"/>
                <w:b/>
                <w:bCs/>
                <w:sz w:val="18"/>
                <w:szCs w:val="18"/>
                <w:lang w:val="hr-HR"/>
              </w:rPr>
              <w:t>28</w:t>
            </w:r>
            <w:r>
              <w:rPr>
                <w:rFonts w:asciiTheme="minorHAnsi" w:hAnsiTheme="minorHAnsi" w:cs="Arial"/>
                <w:b/>
                <w:bCs/>
                <w:sz w:val="18"/>
                <w:szCs w:val="18"/>
                <w:lang w:val="hr-HR"/>
              </w:rPr>
              <w:t>,</w:t>
            </w:r>
            <w:r w:rsidRPr="00FE65B6">
              <w:rPr>
                <w:rFonts w:asciiTheme="minorHAnsi" w:hAnsiTheme="minorHAnsi" w:cs="Arial"/>
                <w:b/>
                <w:bCs/>
                <w:sz w:val="18"/>
                <w:szCs w:val="18"/>
                <w:lang w:val="hr-HR"/>
              </w:rPr>
              <w:t>300</w:t>
            </w:r>
            <w:r>
              <w:rPr>
                <w:rFonts w:asciiTheme="minorHAnsi" w:hAnsiTheme="minorHAnsi" w:cs="Arial"/>
                <w:b/>
                <w:bCs/>
                <w:sz w:val="18"/>
                <w:szCs w:val="18"/>
                <w:lang w:val="hr-HR"/>
              </w:rPr>
              <w:t>,</w:t>
            </w:r>
            <w:r w:rsidRPr="00FE65B6">
              <w:rPr>
                <w:rFonts w:asciiTheme="minorHAnsi" w:hAnsiTheme="minorHAnsi" w:cs="Arial"/>
                <w:b/>
                <w:bCs/>
                <w:sz w:val="18"/>
                <w:szCs w:val="18"/>
                <w:lang w:val="hr-HR"/>
              </w:rPr>
              <w:t>724</w:t>
            </w:r>
          </w:p>
        </w:tc>
      </w:tr>
      <w:tr w:rsidR="00C27020" w:rsidRPr="009702B0" w14:paraId="6D683DBF" w14:textId="77777777" w:rsidTr="00655C9A">
        <w:trPr>
          <w:trHeight w:hRule="exact" w:val="431"/>
        </w:trPr>
        <w:tc>
          <w:tcPr>
            <w:tcW w:w="1373" w:type="pct"/>
            <w:vAlign w:val="bottom"/>
          </w:tcPr>
          <w:p w14:paraId="4C26CA29" w14:textId="77777777" w:rsidR="00C27020" w:rsidRPr="009702B0" w:rsidRDefault="00C27020" w:rsidP="00C27020">
            <w:pPr>
              <w:tabs>
                <w:tab w:val="right" w:pos="1202"/>
              </w:tabs>
              <w:spacing w:after="0" w:line="280" w:lineRule="exact"/>
              <w:outlineLvl w:val="0"/>
              <w:rPr>
                <w:rFonts w:eastAsia="Times New Roman" w:cs="Arial"/>
                <w:b/>
                <w:bCs/>
                <w:sz w:val="18"/>
                <w:szCs w:val="18"/>
              </w:rPr>
            </w:pPr>
            <w:r w:rsidRPr="009702B0">
              <w:rPr>
                <w:rFonts w:eastAsia="Times New Roman" w:cs="Arial"/>
                <w:b/>
                <w:bCs/>
                <w:spacing w:val="-2"/>
                <w:sz w:val="18"/>
                <w:szCs w:val="18"/>
              </w:rPr>
              <w:t>Net assets/liabilities (1) – (2)</w:t>
            </w:r>
          </w:p>
        </w:tc>
        <w:tc>
          <w:tcPr>
            <w:tcW w:w="548" w:type="pct"/>
            <w:tcBorders>
              <w:top w:val="nil"/>
              <w:left w:val="nil"/>
              <w:bottom w:val="single" w:sz="12" w:space="0" w:color="auto"/>
              <w:right w:val="nil"/>
            </w:tcBorders>
            <w:shd w:val="clear" w:color="auto" w:fill="auto"/>
            <w:vAlign w:val="bottom"/>
          </w:tcPr>
          <w:p w14:paraId="07265EDD" w14:textId="64888C27" w:rsidR="00C27020" w:rsidRPr="009702B0" w:rsidRDefault="00C27020" w:rsidP="00C27020">
            <w:pPr>
              <w:spacing w:after="0" w:line="280" w:lineRule="exact"/>
              <w:jc w:val="right"/>
              <w:rPr>
                <w:rFonts w:cs="Arial"/>
                <w:b/>
                <w:sz w:val="18"/>
                <w:szCs w:val="18"/>
              </w:rPr>
            </w:pPr>
            <w:r w:rsidRPr="00FE65B6">
              <w:rPr>
                <w:rFonts w:asciiTheme="minorHAnsi" w:hAnsiTheme="minorHAnsi" w:cs="Arial"/>
                <w:b/>
                <w:bCs/>
                <w:sz w:val="18"/>
                <w:szCs w:val="18"/>
                <w:lang w:val="hr-HR"/>
              </w:rPr>
              <w:t>4</w:t>
            </w:r>
            <w:r>
              <w:rPr>
                <w:rFonts w:asciiTheme="minorHAnsi" w:hAnsiTheme="minorHAnsi" w:cs="Arial"/>
                <w:b/>
                <w:bCs/>
                <w:sz w:val="18"/>
                <w:szCs w:val="18"/>
                <w:lang w:val="hr-HR"/>
              </w:rPr>
              <w:t>,</w:t>
            </w:r>
            <w:r w:rsidRPr="00FE65B6">
              <w:rPr>
                <w:rFonts w:asciiTheme="minorHAnsi" w:hAnsiTheme="minorHAnsi" w:cs="Arial"/>
                <w:b/>
                <w:bCs/>
                <w:sz w:val="18"/>
                <w:szCs w:val="18"/>
                <w:lang w:val="hr-HR"/>
              </w:rPr>
              <w:t>876</w:t>
            </w:r>
            <w:r>
              <w:rPr>
                <w:rFonts w:asciiTheme="minorHAnsi" w:hAnsiTheme="minorHAnsi" w:cs="Arial"/>
                <w:b/>
                <w:bCs/>
                <w:sz w:val="18"/>
                <w:szCs w:val="18"/>
                <w:lang w:val="hr-HR"/>
              </w:rPr>
              <w:t>,</w:t>
            </w:r>
            <w:r w:rsidRPr="00FE65B6">
              <w:rPr>
                <w:rFonts w:asciiTheme="minorHAnsi" w:hAnsiTheme="minorHAnsi" w:cs="Arial"/>
                <w:b/>
                <w:bCs/>
                <w:sz w:val="18"/>
                <w:szCs w:val="18"/>
                <w:lang w:val="hr-HR"/>
              </w:rPr>
              <w:t>481</w:t>
            </w:r>
          </w:p>
        </w:tc>
        <w:tc>
          <w:tcPr>
            <w:tcW w:w="479" w:type="pct"/>
            <w:tcBorders>
              <w:top w:val="nil"/>
              <w:left w:val="nil"/>
              <w:bottom w:val="single" w:sz="12" w:space="0" w:color="auto"/>
              <w:right w:val="nil"/>
            </w:tcBorders>
            <w:shd w:val="clear" w:color="auto" w:fill="auto"/>
            <w:vAlign w:val="bottom"/>
          </w:tcPr>
          <w:p w14:paraId="66120133" w14:textId="661D4E6F" w:rsidR="00C27020" w:rsidRPr="009702B0" w:rsidRDefault="00C27020" w:rsidP="00C27020">
            <w:pPr>
              <w:spacing w:after="0" w:line="280" w:lineRule="exact"/>
              <w:jc w:val="right"/>
              <w:rPr>
                <w:rFonts w:cs="Arial"/>
                <w:b/>
                <w:sz w:val="18"/>
                <w:szCs w:val="18"/>
              </w:rPr>
            </w:pPr>
            <w:r w:rsidRPr="00FE65B6">
              <w:rPr>
                <w:rFonts w:asciiTheme="minorHAnsi" w:hAnsiTheme="minorHAnsi" w:cs="Arial"/>
                <w:b/>
                <w:bCs/>
                <w:sz w:val="18"/>
                <w:szCs w:val="18"/>
                <w:lang w:val="hr-HR"/>
              </w:rPr>
              <w:t>1</w:t>
            </w:r>
            <w:r>
              <w:rPr>
                <w:rFonts w:asciiTheme="minorHAnsi" w:hAnsiTheme="minorHAnsi" w:cs="Arial"/>
                <w:b/>
                <w:bCs/>
                <w:sz w:val="18"/>
                <w:szCs w:val="18"/>
                <w:lang w:val="hr-HR"/>
              </w:rPr>
              <w:t>,</w:t>
            </w:r>
            <w:r w:rsidRPr="00FE65B6">
              <w:rPr>
                <w:rFonts w:asciiTheme="minorHAnsi" w:hAnsiTheme="minorHAnsi" w:cs="Arial"/>
                <w:b/>
                <w:bCs/>
                <w:sz w:val="18"/>
                <w:szCs w:val="18"/>
                <w:lang w:val="hr-HR"/>
              </w:rPr>
              <w:t>549</w:t>
            </w:r>
            <w:r>
              <w:rPr>
                <w:rFonts w:asciiTheme="minorHAnsi" w:hAnsiTheme="minorHAnsi" w:cs="Arial"/>
                <w:b/>
                <w:bCs/>
                <w:sz w:val="18"/>
                <w:szCs w:val="18"/>
                <w:lang w:val="hr-HR"/>
              </w:rPr>
              <w:t>,</w:t>
            </w:r>
            <w:r w:rsidRPr="00FE65B6">
              <w:rPr>
                <w:rFonts w:asciiTheme="minorHAnsi" w:hAnsiTheme="minorHAnsi" w:cs="Arial"/>
                <w:b/>
                <w:bCs/>
                <w:sz w:val="18"/>
                <w:szCs w:val="18"/>
                <w:lang w:val="hr-HR"/>
              </w:rPr>
              <w:t>132</w:t>
            </w:r>
          </w:p>
        </w:tc>
        <w:tc>
          <w:tcPr>
            <w:tcW w:w="479" w:type="pct"/>
            <w:tcBorders>
              <w:top w:val="nil"/>
              <w:left w:val="nil"/>
              <w:bottom w:val="single" w:sz="12" w:space="0" w:color="auto"/>
              <w:right w:val="nil"/>
            </w:tcBorders>
            <w:shd w:val="clear" w:color="auto" w:fill="auto"/>
            <w:vAlign w:val="bottom"/>
          </w:tcPr>
          <w:p w14:paraId="5BC4F537" w14:textId="69025706" w:rsidR="00C27020" w:rsidRPr="009702B0" w:rsidRDefault="00C27020" w:rsidP="00C27020">
            <w:pPr>
              <w:spacing w:after="0" w:line="280" w:lineRule="exact"/>
              <w:jc w:val="right"/>
              <w:rPr>
                <w:rFonts w:cs="Arial"/>
                <w:b/>
                <w:sz w:val="18"/>
                <w:szCs w:val="18"/>
              </w:rPr>
            </w:pPr>
            <w:r w:rsidRPr="00FE65B6">
              <w:rPr>
                <w:rFonts w:asciiTheme="minorHAnsi" w:hAnsiTheme="minorHAnsi" w:cs="Arial"/>
                <w:b/>
                <w:bCs/>
                <w:sz w:val="18"/>
                <w:szCs w:val="18"/>
                <w:lang w:val="hr-HR"/>
              </w:rPr>
              <w:t>1</w:t>
            </w:r>
            <w:r>
              <w:rPr>
                <w:rFonts w:asciiTheme="minorHAnsi" w:hAnsiTheme="minorHAnsi" w:cs="Arial"/>
                <w:b/>
                <w:bCs/>
                <w:sz w:val="18"/>
                <w:szCs w:val="18"/>
                <w:lang w:val="hr-HR"/>
              </w:rPr>
              <w:t>,</w:t>
            </w:r>
            <w:r w:rsidRPr="00FE65B6">
              <w:rPr>
                <w:rFonts w:asciiTheme="minorHAnsi" w:hAnsiTheme="minorHAnsi" w:cs="Arial"/>
                <w:b/>
                <w:bCs/>
                <w:sz w:val="18"/>
                <w:szCs w:val="18"/>
                <w:lang w:val="hr-HR"/>
              </w:rPr>
              <w:t>035</w:t>
            </w:r>
            <w:r>
              <w:rPr>
                <w:rFonts w:asciiTheme="minorHAnsi" w:hAnsiTheme="minorHAnsi" w:cs="Arial"/>
                <w:b/>
                <w:bCs/>
                <w:sz w:val="18"/>
                <w:szCs w:val="18"/>
                <w:lang w:val="hr-HR"/>
              </w:rPr>
              <w:t>,</w:t>
            </w:r>
            <w:r w:rsidRPr="00FE65B6">
              <w:rPr>
                <w:rFonts w:asciiTheme="minorHAnsi" w:hAnsiTheme="minorHAnsi" w:cs="Arial"/>
                <w:b/>
                <w:bCs/>
                <w:sz w:val="18"/>
                <w:szCs w:val="18"/>
                <w:lang w:val="hr-HR"/>
              </w:rPr>
              <w:t>950</w:t>
            </w:r>
          </w:p>
        </w:tc>
        <w:tc>
          <w:tcPr>
            <w:tcW w:w="477" w:type="pct"/>
            <w:tcBorders>
              <w:top w:val="nil"/>
              <w:left w:val="nil"/>
              <w:bottom w:val="single" w:sz="12" w:space="0" w:color="auto"/>
              <w:right w:val="nil"/>
            </w:tcBorders>
            <w:shd w:val="clear" w:color="auto" w:fill="auto"/>
            <w:vAlign w:val="bottom"/>
          </w:tcPr>
          <w:p w14:paraId="2E002A34" w14:textId="6FE2967E" w:rsidR="00C27020" w:rsidRPr="009702B0" w:rsidRDefault="00C27020" w:rsidP="00C27020">
            <w:pPr>
              <w:spacing w:after="0" w:line="280" w:lineRule="exact"/>
              <w:jc w:val="right"/>
              <w:rPr>
                <w:rFonts w:cs="Arial"/>
                <w:b/>
                <w:sz w:val="18"/>
                <w:szCs w:val="18"/>
              </w:rPr>
            </w:pPr>
            <w:r w:rsidRPr="00FE65B6">
              <w:rPr>
                <w:rFonts w:asciiTheme="minorHAnsi" w:hAnsiTheme="minorHAnsi" w:cs="Arial"/>
                <w:b/>
                <w:bCs/>
                <w:sz w:val="18"/>
                <w:szCs w:val="18"/>
                <w:lang w:val="hr-HR"/>
              </w:rPr>
              <w:t>(332</w:t>
            </w:r>
            <w:r>
              <w:rPr>
                <w:rFonts w:asciiTheme="minorHAnsi" w:hAnsiTheme="minorHAnsi" w:cs="Arial"/>
                <w:b/>
                <w:bCs/>
                <w:sz w:val="18"/>
                <w:szCs w:val="18"/>
                <w:lang w:val="hr-HR"/>
              </w:rPr>
              <w:t>,</w:t>
            </w:r>
            <w:r w:rsidRPr="00FE65B6">
              <w:rPr>
                <w:rFonts w:asciiTheme="minorHAnsi" w:hAnsiTheme="minorHAnsi" w:cs="Arial"/>
                <w:b/>
                <w:bCs/>
                <w:sz w:val="18"/>
                <w:szCs w:val="18"/>
                <w:lang w:val="hr-HR"/>
              </w:rPr>
              <w:t>373)</w:t>
            </w:r>
          </w:p>
        </w:tc>
        <w:tc>
          <w:tcPr>
            <w:tcW w:w="548" w:type="pct"/>
            <w:tcBorders>
              <w:top w:val="nil"/>
              <w:left w:val="nil"/>
              <w:bottom w:val="single" w:sz="12" w:space="0" w:color="auto"/>
              <w:right w:val="nil"/>
            </w:tcBorders>
            <w:shd w:val="clear" w:color="auto" w:fill="auto"/>
            <w:vAlign w:val="bottom"/>
          </w:tcPr>
          <w:p w14:paraId="575FE3F5" w14:textId="296F1C2D" w:rsidR="00C27020" w:rsidRPr="009702B0" w:rsidRDefault="00C27020" w:rsidP="00C27020">
            <w:pPr>
              <w:spacing w:after="0" w:line="280" w:lineRule="exact"/>
              <w:jc w:val="right"/>
              <w:rPr>
                <w:rFonts w:cs="Arial"/>
                <w:b/>
                <w:sz w:val="18"/>
                <w:szCs w:val="18"/>
              </w:rPr>
            </w:pPr>
            <w:r w:rsidRPr="00FE65B6">
              <w:rPr>
                <w:rFonts w:asciiTheme="minorHAnsi" w:hAnsiTheme="minorHAnsi" w:cs="Arial"/>
                <w:b/>
                <w:bCs/>
                <w:sz w:val="18"/>
                <w:szCs w:val="18"/>
                <w:lang w:val="hr-HR"/>
              </w:rPr>
              <w:t>2</w:t>
            </w:r>
            <w:r>
              <w:rPr>
                <w:rFonts w:asciiTheme="minorHAnsi" w:hAnsiTheme="minorHAnsi" w:cs="Arial"/>
                <w:b/>
                <w:bCs/>
                <w:sz w:val="18"/>
                <w:szCs w:val="18"/>
                <w:lang w:val="hr-HR"/>
              </w:rPr>
              <w:t>,</w:t>
            </w:r>
            <w:r w:rsidRPr="00FE65B6">
              <w:rPr>
                <w:rFonts w:asciiTheme="minorHAnsi" w:hAnsiTheme="minorHAnsi" w:cs="Arial"/>
                <w:b/>
                <w:bCs/>
                <w:sz w:val="18"/>
                <w:szCs w:val="18"/>
                <w:lang w:val="hr-HR"/>
              </w:rPr>
              <w:t>370</w:t>
            </w:r>
            <w:r>
              <w:rPr>
                <w:rFonts w:asciiTheme="minorHAnsi" w:hAnsiTheme="minorHAnsi" w:cs="Arial"/>
                <w:b/>
                <w:bCs/>
                <w:sz w:val="18"/>
                <w:szCs w:val="18"/>
                <w:lang w:val="hr-HR"/>
              </w:rPr>
              <w:t>,</w:t>
            </w:r>
            <w:r w:rsidRPr="00FE65B6">
              <w:rPr>
                <w:rFonts w:asciiTheme="minorHAnsi" w:hAnsiTheme="minorHAnsi" w:cs="Arial"/>
                <w:b/>
                <w:bCs/>
                <w:sz w:val="18"/>
                <w:szCs w:val="18"/>
                <w:lang w:val="hr-HR"/>
              </w:rPr>
              <w:t>307</w:t>
            </w:r>
          </w:p>
        </w:tc>
        <w:tc>
          <w:tcPr>
            <w:tcW w:w="547" w:type="pct"/>
            <w:tcBorders>
              <w:top w:val="nil"/>
              <w:left w:val="nil"/>
              <w:bottom w:val="single" w:sz="12" w:space="0" w:color="auto"/>
              <w:right w:val="nil"/>
            </w:tcBorders>
            <w:shd w:val="clear" w:color="auto" w:fill="auto"/>
            <w:vAlign w:val="bottom"/>
          </w:tcPr>
          <w:p w14:paraId="14B90A65" w14:textId="1D25F9CB" w:rsidR="00C27020" w:rsidRPr="009702B0" w:rsidRDefault="00C27020" w:rsidP="00C27020">
            <w:pPr>
              <w:spacing w:after="0" w:line="280" w:lineRule="exact"/>
              <w:jc w:val="right"/>
              <w:rPr>
                <w:rFonts w:cs="Arial"/>
                <w:b/>
                <w:sz w:val="18"/>
                <w:szCs w:val="18"/>
              </w:rPr>
            </w:pPr>
            <w:r w:rsidRPr="00FE65B6">
              <w:rPr>
                <w:rFonts w:asciiTheme="minorHAnsi" w:hAnsiTheme="minorHAnsi" w:cs="Arial"/>
                <w:b/>
                <w:bCs/>
                <w:sz w:val="18"/>
                <w:szCs w:val="18"/>
                <w:lang w:val="hr-HR"/>
              </w:rPr>
              <w:t>(9</w:t>
            </w:r>
            <w:r>
              <w:rPr>
                <w:rFonts w:asciiTheme="minorHAnsi" w:hAnsiTheme="minorHAnsi" w:cs="Arial"/>
                <w:b/>
                <w:bCs/>
                <w:sz w:val="18"/>
                <w:szCs w:val="18"/>
                <w:lang w:val="hr-HR"/>
              </w:rPr>
              <w:t>,</w:t>
            </w:r>
            <w:r w:rsidRPr="00FE65B6">
              <w:rPr>
                <w:rFonts w:asciiTheme="minorHAnsi" w:hAnsiTheme="minorHAnsi" w:cs="Arial"/>
                <w:b/>
                <w:bCs/>
                <w:sz w:val="18"/>
                <w:szCs w:val="18"/>
                <w:lang w:val="hr-HR"/>
              </w:rPr>
              <w:t>499</w:t>
            </w:r>
            <w:r>
              <w:rPr>
                <w:rFonts w:asciiTheme="minorHAnsi" w:hAnsiTheme="minorHAnsi" w:cs="Arial"/>
                <w:b/>
                <w:bCs/>
                <w:sz w:val="18"/>
                <w:szCs w:val="18"/>
                <w:lang w:val="hr-HR"/>
              </w:rPr>
              <w:t>,</w:t>
            </w:r>
            <w:r w:rsidRPr="00FE65B6">
              <w:rPr>
                <w:rFonts w:asciiTheme="minorHAnsi" w:hAnsiTheme="minorHAnsi" w:cs="Arial"/>
                <w:b/>
                <w:bCs/>
                <w:sz w:val="18"/>
                <w:szCs w:val="18"/>
                <w:lang w:val="hr-HR"/>
              </w:rPr>
              <w:t>497)</w:t>
            </w:r>
          </w:p>
        </w:tc>
        <w:tc>
          <w:tcPr>
            <w:tcW w:w="548" w:type="pct"/>
            <w:tcBorders>
              <w:top w:val="nil"/>
              <w:left w:val="nil"/>
              <w:bottom w:val="single" w:sz="12" w:space="0" w:color="auto"/>
              <w:right w:val="nil"/>
            </w:tcBorders>
            <w:shd w:val="clear" w:color="auto" w:fill="auto"/>
            <w:vAlign w:val="bottom"/>
          </w:tcPr>
          <w:p w14:paraId="19D076BF" w14:textId="54ECA800" w:rsidR="00C27020" w:rsidRPr="009702B0" w:rsidRDefault="00C27020" w:rsidP="00C27020">
            <w:pPr>
              <w:spacing w:after="0" w:line="280" w:lineRule="exact"/>
              <w:jc w:val="right"/>
              <w:rPr>
                <w:rFonts w:cs="Arial"/>
                <w:b/>
                <w:sz w:val="18"/>
                <w:szCs w:val="18"/>
              </w:rPr>
            </w:pPr>
            <w:r w:rsidRPr="00FE65B6">
              <w:rPr>
                <w:rFonts w:asciiTheme="minorHAnsi" w:hAnsiTheme="minorHAnsi" w:cs="Arial"/>
                <w:b/>
                <w:bCs/>
                <w:sz w:val="18"/>
                <w:szCs w:val="18"/>
                <w:lang w:val="hr-HR"/>
              </w:rPr>
              <w:t>-</w:t>
            </w:r>
          </w:p>
        </w:tc>
      </w:tr>
      <w:tr w:rsidR="00CF1048" w:rsidRPr="009702B0" w14:paraId="190D2435" w14:textId="77777777" w:rsidTr="00655C9A">
        <w:tblPrEx>
          <w:tblCellMar>
            <w:left w:w="108" w:type="dxa"/>
            <w:right w:w="108" w:type="dxa"/>
          </w:tblCellMar>
        </w:tblPrEx>
        <w:tc>
          <w:tcPr>
            <w:tcW w:w="1373" w:type="pct"/>
          </w:tcPr>
          <w:p w14:paraId="5315C9B6" w14:textId="77777777" w:rsidR="00CF1048" w:rsidRPr="009702B0" w:rsidRDefault="00CF1048" w:rsidP="00CF1048">
            <w:pPr>
              <w:keepNext/>
              <w:keepLines/>
              <w:tabs>
                <w:tab w:val="decimal" w:pos="1202"/>
              </w:tabs>
              <w:spacing w:after="0" w:line="280" w:lineRule="exact"/>
              <w:rPr>
                <w:rFonts w:eastAsia="Times New Roman" w:cs="Arial"/>
                <w:b/>
                <w:position w:val="4"/>
                <w:sz w:val="18"/>
                <w:szCs w:val="18"/>
                <w:highlight w:val="yellow"/>
                <w:u w:val="thick"/>
              </w:rPr>
            </w:pPr>
          </w:p>
        </w:tc>
        <w:tc>
          <w:tcPr>
            <w:tcW w:w="548" w:type="pct"/>
            <w:vAlign w:val="bottom"/>
          </w:tcPr>
          <w:p w14:paraId="05E838BE" w14:textId="77777777" w:rsidR="00CF1048" w:rsidRPr="009702B0" w:rsidRDefault="00CF1048" w:rsidP="00CF1048">
            <w:pPr>
              <w:keepNext/>
              <w:keepLines/>
              <w:spacing w:after="0" w:line="280" w:lineRule="exact"/>
              <w:jc w:val="right"/>
              <w:rPr>
                <w:rFonts w:eastAsia="Times New Roman" w:cs="Arial"/>
                <w:b/>
                <w:position w:val="4"/>
                <w:sz w:val="18"/>
                <w:szCs w:val="18"/>
                <w:highlight w:val="yellow"/>
                <w:u w:val="thick"/>
              </w:rPr>
            </w:pPr>
          </w:p>
        </w:tc>
        <w:tc>
          <w:tcPr>
            <w:tcW w:w="479" w:type="pct"/>
            <w:vAlign w:val="bottom"/>
          </w:tcPr>
          <w:p w14:paraId="38D57A89" w14:textId="77777777" w:rsidR="00CF1048" w:rsidRPr="009702B0" w:rsidRDefault="00CF1048" w:rsidP="00CF1048">
            <w:pPr>
              <w:keepNext/>
              <w:keepLines/>
              <w:spacing w:after="0" w:line="280" w:lineRule="exact"/>
              <w:jc w:val="right"/>
              <w:rPr>
                <w:rFonts w:eastAsia="Times New Roman" w:cs="Arial"/>
                <w:b/>
                <w:position w:val="4"/>
                <w:sz w:val="18"/>
                <w:szCs w:val="18"/>
                <w:highlight w:val="yellow"/>
                <w:u w:val="thick"/>
              </w:rPr>
            </w:pPr>
          </w:p>
        </w:tc>
        <w:tc>
          <w:tcPr>
            <w:tcW w:w="479" w:type="pct"/>
            <w:vAlign w:val="bottom"/>
          </w:tcPr>
          <w:p w14:paraId="70CAA55F" w14:textId="77777777" w:rsidR="00CF1048" w:rsidRPr="009702B0" w:rsidRDefault="00CF1048" w:rsidP="00CF1048">
            <w:pPr>
              <w:keepNext/>
              <w:keepLines/>
              <w:spacing w:after="0" w:line="280" w:lineRule="exact"/>
              <w:jc w:val="right"/>
              <w:rPr>
                <w:rFonts w:eastAsia="Times New Roman" w:cs="Arial"/>
                <w:b/>
                <w:position w:val="4"/>
                <w:sz w:val="18"/>
                <w:szCs w:val="18"/>
                <w:highlight w:val="yellow"/>
                <w:u w:val="thick"/>
              </w:rPr>
            </w:pPr>
          </w:p>
        </w:tc>
        <w:tc>
          <w:tcPr>
            <w:tcW w:w="477" w:type="pct"/>
            <w:vAlign w:val="bottom"/>
          </w:tcPr>
          <w:p w14:paraId="293711EB" w14:textId="77777777" w:rsidR="00CF1048" w:rsidRPr="009702B0" w:rsidRDefault="00CF1048" w:rsidP="00CF1048">
            <w:pPr>
              <w:keepNext/>
              <w:keepLines/>
              <w:spacing w:after="0" w:line="280" w:lineRule="exact"/>
              <w:jc w:val="right"/>
              <w:rPr>
                <w:rFonts w:eastAsia="Times New Roman" w:cs="Arial"/>
                <w:b/>
                <w:position w:val="4"/>
                <w:sz w:val="18"/>
                <w:szCs w:val="18"/>
                <w:highlight w:val="yellow"/>
                <w:u w:val="thick"/>
              </w:rPr>
            </w:pPr>
          </w:p>
        </w:tc>
        <w:tc>
          <w:tcPr>
            <w:tcW w:w="548" w:type="pct"/>
            <w:vAlign w:val="bottom"/>
          </w:tcPr>
          <w:p w14:paraId="40B72722" w14:textId="77777777" w:rsidR="00CF1048" w:rsidRPr="009702B0" w:rsidRDefault="00CF1048" w:rsidP="00CF1048">
            <w:pPr>
              <w:keepNext/>
              <w:keepLines/>
              <w:spacing w:after="0" w:line="280" w:lineRule="exact"/>
              <w:jc w:val="right"/>
              <w:rPr>
                <w:rFonts w:eastAsia="Times New Roman" w:cs="Arial"/>
                <w:b/>
                <w:position w:val="4"/>
                <w:sz w:val="18"/>
                <w:szCs w:val="18"/>
                <w:highlight w:val="yellow"/>
                <w:u w:val="thick"/>
              </w:rPr>
            </w:pPr>
          </w:p>
        </w:tc>
        <w:tc>
          <w:tcPr>
            <w:tcW w:w="547" w:type="pct"/>
            <w:vAlign w:val="bottom"/>
          </w:tcPr>
          <w:p w14:paraId="4D65171F" w14:textId="77777777" w:rsidR="00CF1048" w:rsidRPr="009702B0" w:rsidRDefault="00CF1048" w:rsidP="00CF1048">
            <w:pPr>
              <w:keepNext/>
              <w:keepLines/>
              <w:spacing w:after="0" w:line="280" w:lineRule="exact"/>
              <w:jc w:val="right"/>
              <w:rPr>
                <w:rFonts w:eastAsia="Times New Roman" w:cs="Arial"/>
                <w:b/>
                <w:position w:val="4"/>
                <w:sz w:val="18"/>
                <w:szCs w:val="18"/>
                <w:highlight w:val="yellow"/>
                <w:u w:val="thick"/>
              </w:rPr>
            </w:pPr>
          </w:p>
        </w:tc>
        <w:tc>
          <w:tcPr>
            <w:tcW w:w="548" w:type="pct"/>
            <w:vAlign w:val="bottom"/>
          </w:tcPr>
          <w:p w14:paraId="3A34DCF3" w14:textId="77777777" w:rsidR="00CF1048" w:rsidRPr="009702B0" w:rsidRDefault="00CF1048" w:rsidP="00CF1048">
            <w:pPr>
              <w:keepNext/>
              <w:keepLines/>
              <w:spacing w:after="0" w:line="280" w:lineRule="exact"/>
              <w:jc w:val="right"/>
              <w:rPr>
                <w:rFonts w:eastAsia="Times New Roman" w:cs="Arial"/>
                <w:b/>
                <w:position w:val="4"/>
                <w:sz w:val="18"/>
                <w:szCs w:val="18"/>
                <w:highlight w:val="yellow"/>
                <w:u w:val="thick"/>
              </w:rPr>
            </w:pPr>
          </w:p>
        </w:tc>
      </w:tr>
    </w:tbl>
    <w:p w14:paraId="2832B523" w14:textId="77777777" w:rsidR="009702B0" w:rsidRPr="009702B0" w:rsidRDefault="009702B0" w:rsidP="009702B0">
      <w:pPr>
        <w:tabs>
          <w:tab w:val="left" w:pos="-720"/>
        </w:tabs>
        <w:suppressAutoHyphens/>
        <w:spacing w:line="360" w:lineRule="auto"/>
        <w:ind w:right="-5"/>
        <w:jc w:val="both"/>
        <w:rPr>
          <w:rFonts w:ascii="Arial" w:hAnsi="Arial" w:cs="Arial"/>
          <w:sz w:val="19"/>
          <w:highlight w:val="yellow"/>
        </w:rPr>
        <w:sectPr w:rsidR="009702B0" w:rsidRPr="009702B0" w:rsidSect="00947CB7">
          <w:footerReference w:type="first" r:id="rId107"/>
          <w:pgSz w:w="11906" w:h="16838" w:code="9"/>
          <w:pgMar w:top="1418" w:right="1418" w:bottom="595" w:left="1134" w:header="709" w:footer="709" w:gutter="0"/>
          <w:cols w:space="708"/>
          <w:titlePg/>
          <w:docGrid w:linePitch="360"/>
        </w:sectPr>
      </w:pPr>
    </w:p>
    <w:p w14:paraId="3C5BB5D0" w14:textId="77777777" w:rsidR="009702B0" w:rsidRPr="009702B0" w:rsidRDefault="009702B0" w:rsidP="009702B0">
      <w:pPr>
        <w:keepNext/>
        <w:spacing w:after="0" w:line="240" w:lineRule="auto"/>
        <w:ind w:left="709" w:hanging="709"/>
        <w:jc w:val="both"/>
        <w:rPr>
          <w:rFonts w:eastAsia="Times New Roman" w:cs="Arial"/>
          <w:b/>
          <w:bCs/>
        </w:rPr>
      </w:pPr>
    </w:p>
    <w:p w14:paraId="255ACBF3"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14:paraId="274EE586" w14:textId="77777777" w:rsidR="009702B0" w:rsidRPr="009702B0" w:rsidRDefault="009702B0" w:rsidP="009702B0">
      <w:pPr>
        <w:keepNext/>
        <w:spacing w:after="0" w:line="240" w:lineRule="auto"/>
        <w:ind w:left="709" w:hanging="709"/>
        <w:jc w:val="both"/>
        <w:rPr>
          <w:rFonts w:eastAsia="Times New Roman" w:cs="Arial"/>
          <w:b/>
          <w:bCs/>
        </w:rPr>
      </w:pPr>
    </w:p>
    <w:p w14:paraId="18C7FAA8"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     Market risk (continued)</w:t>
      </w:r>
    </w:p>
    <w:p w14:paraId="4AE7C29E" w14:textId="77777777" w:rsidR="009702B0" w:rsidRPr="009702B0" w:rsidRDefault="009702B0" w:rsidP="009702B0">
      <w:pPr>
        <w:keepNext/>
        <w:spacing w:after="0" w:line="240" w:lineRule="auto"/>
        <w:ind w:left="709" w:hanging="709"/>
        <w:jc w:val="both"/>
        <w:rPr>
          <w:rFonts w:eastAsia="Times New Roman" w:cs="Arial"/>
          <w:b/>
          <w:bCs/>
        </w:rPr>
      </w:pPr>
    </w:p>
    <w:p w14:paraId="3821FB18"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16.4.1</w:t>
      </w:r>
      <w:proofErr w:type="gramStart"/>
      <w:r w:rsidRPr="009702B0">
        <w:rPr>
          <w:rFonts w:eastAsia="Times New Roman" w:cs="Arial"/>
          <w:b/>
          <w:bCs/>
        </w:rPr>
        <w:t>.  Interest</w:t>
      </w:r>
      <w:proofErr w:type="gramEnd"/>
      <w:r w:rsidRPr="009702B0">
        <w:rPr>
          <w:rFonts w:eastAsia="Times New Roman" w:cs="Arial"/>
          <w:b/>
          <w:bCs/>
        </w:rPr>
        <w:t xml:space="preserve"> rate risk in the Bank’s book (continued)</w:t>
      </w:r>
    </w:p>
    <w:p w14:paraId="0AAA9D71" w14:textId="77777777" w:rsidR="009702B0" w:rsidRPr="009702B0" w:rsidRDefault="009702B0" w:rsidP="009702B0">
      <w:pPr>
        <w:keepNext/>
        <w:spacing w:after="0" w:line="240" w:lineRule="auto"/>
        <w:ind w:left="709" w:hanging="709"/>
        <w:jc w:val="both"/>
        <w:rPr>
          <w:rFonts w:eastAsia="Times New Roman" w:cs="Arial"/>
          <w:b/>
          <w:bCs/>
        </w:rPr>
      </w:pPr>
    </w:p>
    <w:tbl>
      <w:tblPr>
        <w:tblW w:w="5381" w:type="pct"/>
        <w:tblInd w:w="-284" w:type="dxa"/>
        <w:tblLayout w:type="fixed"/>
        <w:tblCellMar>
          <w:left w:w="120" w:type="dxa"/>
          <w:right w:w="120" w:type="dxa"/>
        </w:tblCellMar>
        <w:tblLook w:val="0000" w:firstRow="0" w:lastRow="0" w:firstColumn="0" w:lastColumn="0" w:noHBand="0" w:noVBand="0"/>
      </w:tblPr>
      <w:tblGrid>
        <w:gridCol w:w="2581"/>
        <w:gridCol w:w="1011"/>
        <w:gridCol w:w="1079"/>
        <w:gridCol w:w="1079"/>
        <w:gridCol w:w="995"/>
        <w:gridCol w:w="1146"/>
        <w:gridCol w:w="1099"/>
        <w:gridCol w:w="1077"/>
      </w:tblGrid>
      <w:tr w:rsidR="009702B0" w:rsidRPr="00321238" w14:paraId="713F7237" w14:textId="77777777" w:rsidTr="004F248E">
        <w:trPr>
          <w:trHeight w:val="582"/>
        </w:trPr>
        <w:tc>
          <w:tcPr>
            <w:tcW w:w="1282" w:type="pct"/>
            <w:shd w:val="clear" w:color="auto" w:fill="auto"/>
            <w:vAlign w:val="center"/>
          </w:tcPr>
          <w:p w14:paraId="4E66A3BC" w14:textId="77777777" w:rsidR="009702B0" w:rsidRPr="00321238" w:rsidRDefault="009702B0" w:rsidP="009702B0">
            <w:pPr>
              <w:tabs>
                <w:tab w:val="left" w:pos="-720"/>
              </w:tabs>
              <w:suppressAutoHyphens/>
              <w:spacing w:after="0" w:line="240" w:lineRule="auto"/>
              <w:ind w:right="-6"/>
              <w:rPr>
                <w:rFonts w:cs="Arial"/>
                <w:b/>
                <w:sz w:val="18"/>
                <w:szCs w:val="18"/>
              </w:rPr>
            </w:pPr>
            <w:r w:rsidRPr="00321238">
              <w:rPr>
                <w:rFonts w:cs="Arial"/>
                <w:b/>
                <w:sz w:val="18"/>
                <w:szCs w:val="18"/>
              </w:rPr>
              <w:t>Group</w:t>
            </w:r>
          </w:p>
          <w:p w14:paraId="52A4392A" w14:textId="77777777" w:rsidR="009702B0" w:rsidRPr="00321238" w:rsidRDefault="009702B0" w:rsidP="003420E8">
            <w:pPr>
              <w:tabs>
                <w:tab w:val="left" w:pos="-720"/>
              </w:tabs>
              <w:suppressAutoHyphens/>
              <w:spacing w:after="0" w:line="240" w:lineRule="auto"/>
              <w:ind w:right="-6"/>
              <w:rPr>
                <w:rFonts w:cs="Arial"/>
                <w:b/>
                <w:sz w:val="18"/>
                <w:szCs w:val="18"/>
              </w:rPr>
            </w:pPr>
            <w:r w:rsidRPr="00321238">
              <w:rPr>
                <w:rFonts w:cs="Arial"/>
                <w:b/>
                <w:sz w:val="18"/>
                <w:szCs w:val="18"/>
              </w:rPr>
              <w:t>Dec 31, 201</w:t>
            </w:r>
            <w:r w:rsidR="003420E8" w:rsidRPr="00321238">
              <w:rPr>
                <w:rFonts w:cs="Arial"/>
                <w:b/>
                <w:sz w:val="18"/>
                <w:szCs w:val="18"/>
              </w:rPr>
              <w:t>6</w:t>
            </w:r>
          </w:p>
        </w:tc>
        <w:tc>
          <w:tcPr>
            <w:tcW w:w="502" w:type="pct"/>
            <w:shd w:val="clear" w:color="auto" w:fill="auto"/>
          </w:tcPr>
          <w:p w14:paraId="0131E03F" w14:textId="77777777" w:rsidR="009702B0" w:rsidRPr="00321238" w:rsidRDefault="009702B0" w:rsidP="009702B0">
            <w:pPr>
              <w:tabs>
                <w:tab w:val="left" w:pos="-720"/>
              </w:tabs>
              <w:suppressAutoHyphens/>
              <w:spacing w:after="0" w:line="240" w:lineRule="auto"/>
              <w:ind w:right="-6"/>
              <w:jc w:val="right"/>
              <w:rPr>
                <w:rFonts w:cs="Arial"/>
                <w:b/>
                <w:sz w:val="18"/>
                <w:szCs w:val="18"/>
              </w:rPr>
            </w:pPr>
            <w:r w:rsidRPr="00321238">
              <w:rPr>
                <w:rFonts w:cs="Arial"/>
                <w:b/>
                <w:sz w:val="18"/>
                <w:szCs w:val="18"/>
              </w:rPr>
              <w:t>Up to 1 month</w:t>
            </w:r>
          </w:p>
        </w:tc>
        <w:tc>
          <w:tcPr>
            <w:tcW w:w="536" w:type="pct"/>
            <w:shd w:val="clear" w:color="auto" w:fill="auto"/>
          </w:tcPr>
          <w:p w14:paraId="71747825" w14:textId="77777777" w:rsidR="009702B0" w:rsidRPr="00321238" w:rsidRDefault="009702B0" w:rsidP="009702B0">
            <w:pPr>
              <w:tabs>
                <w:tab w:val="left" w:pos="-720"/>
              </w:tabs>
              <w:suppressAutoHyphens/>
              <w:spacing w:after="0" w:line="240" w:lineRule="auto"/>
              <w:ind w:right="-6"/>
              <w:jc w:val="right"/>
              <w:rPr>
                <w:rFonts w:cs="Arial"/>
                <w:b/>
                <w:sz w:val="18"/>
                <w:szCs w:val="18"/>
              </w:rPr>
            </w:pPr>
            <w:r w:rsidRPr="00321238">
              <w:rPr>
                <w:rFonts w:cs="Arial"/>
                <w:b/>
                <w:sz w:val="18"/>
                <w:szCs w:val="18"/>
              </w:rPr>
              <w:t>1 to 3 months</w:t>
            </w:r>
          </w:p>
        </w:tc>
        <w:tc>
          <w:tcPr>
            <w:tcW w:w="536" w:type="pct"/>
            <w:shd w:val="clear" w:color="auto" w:fill="auto"/>
          </w:tcPr>
          <w:p w14:paraId="1C322A8A" w14:textId="77777777" w:rsidR="009702B0" w:rsidRPr="00321238" w:rsidRDefault="009702B0" w:rsidP="009702B0">
            <w:pPr>
              <w:tabs>
                <w:tab w:val="left" w:pos="-720"/>
              </w:tabs>
              <w:suppressAutoHyphens/>
              <w:spacing w:after="0" w:line="240" w:lineRule="auto"/>
              <w:ind w:right="-6"/>
              <w:jc w:val="right"/>
              <w:rPr>
                <w:rFonts w:cs="Arial"/>
                <w:b/>
                <w:sz w:val="18"/>
                <w:szCs w:val="18"/>
              </w:rPr>
            </w:pPr>
            <w:r w:rsidRPr="00321238">
              <w:rPr>
                <w:rFonts w:cs="Arial"/>
                <w:b/>
                <w:sz w:val="18"/>
                <w:szCs w:val="18"/>
              </w:rPr>
              <w:t xml:space="preserve">3 months to 1 year </w:t>
            </w:r>
          </w:p>
        </w:tc>
        <w:tc>
          <w:tcPr>
            <w:tcW w:w="494" w:type="pct"/>
            <w:shd w:val="clear" w:color="auto" w:fill="auto"/>
          </w:tcPr>
          <w:p w14:paraId="4B96C254" w14:textId="77777777" w:rsidR="009702B0" w:rsidRPr="00321238" w:rsidRDefault="009702B0" w:rsidP="009702B0">
            <w:pPr>
              <w:tabs>
                <w:tab w:val="left" w:pos="-720"/>
              </w:tabs>
              <w:suppressAutoHyphens/>
              <w:spacing w:after="0" w:line="240" w:lineRule="auto"/>
              <w:ind w:right="-6"/>
              <w:jc w:val="right"/>
              <w:rPr>
                <w:rFonts w:cs="Arial"/>
                <w:b/>
                <w:sz w:val="18"/>
                <w:szCs w:val="18"/>
              </w:rPr>
            </w:pPr>
            <w:r w:rsidRPr="00321238">
              <w:rPr>
                <w:rFonts w:cs="Arial"/>
                <w:b/>
                <w:sz w:val="18"/>
                <w:szCs w:val="18"/>
              </w:rPr>
              <w:t>1 to 3 years</w:t>
            </w:r>
          </w:p>
        </w:tc>
        <w:tc>
          <w:tcPr>
            <w:tcW w:w="569" w:type="pct"/>
            <w:shd w:val="clear" w:color="auto" w:fill="auto"/>
          </w:tcPr>
          <w:p w14:paraId="71A9F451" w14:textId="77777777" w:rsidR="009702B0" w:rsidRPr="00321238" w:rsidRDefault="009702B0" w:rsidP="009702B0">
            <w:pPr>
              <w:tabs>
                <w:tab w:val="left" w:pos="-720"/>
              </w:tabs>
              <w:suppressAutoHyphens/>
              <w:spacing w:after="0" w:line="240" w:lineRule="auto"/>
              <w:ind w:right="-6"/>
              <w:jc w:val="right"/>
              <w:rPr>
                <w:rFonts w:cs="Arial"/>
                <w:b/>
                <w:sz w:val="18"/>
                <w:szCs w:val="18"/>
              </w:rPr>
            </w:pPr>
            <w:r w:rsidRPr="00321238">
              <w:rPr>
                <w:rFonts w:cs="Arial"/>
                <w:b/>
                <w:sz w:val="18"/>
                <w:szCs w:val="18"/>
              </w:rPr>
              <w:t>Over 3 years</w:t>
            </w:r>
          </w:p>
        </w:tc>
        <w:tc>
          <w:tcPr>
            <w:tcW w:w="546" w:type="pct"/>
            <w:shd w:val="clear" w:color="auto" w:fill="auto"/>
          </w:tcPr>
          <w:p w14:paraId="200EC588" w14:textId="77777777" w:rsidR="009702B0" w:rsidRPr="00321238" w:rsidRDefault="009702B0" w:rsidP="009702B0">
            <w:pPr>
              <w:tabs>
                <w:tab w:val="left" w:pos="-720"/>
              </w:tabs>
              <w:suppressAutoHyphens/>
              <w:spacing w:after="0" w:line="240" w:lineRule="auto"/>
              <w:ind w:right="-6"/>
              <w:jc w:val="right"/>
              <w:rPr>
                <w:rFonts w:cs="Arial"/>
                <w:b/>
                <w:sz w:val="18"/>
                <w:szCs w:val="18"/>
              </w:rPr>
            </w:pPr>
            <w:r w:rsidRPr="00321238">
              <w:rPr>
                <w:rFonts w:cs="Arial"/>
                <w:b/>
                <w:sz w:val="18"/>
                <w:szCs w:val="18"/>
              </w:rPr>
              <w:t>Non-interest bearing</w:t>
            </w:r>
          </w:p>
        </w:tc>
        <w:tc>
          <w:tcPr>
            <w:tcW w:w="535" w:type="pct"/>
            <w:shd w:val="clear" w:color="auto" w:fill="auto"/>
          </w:tcPr>
          <w:p w14:paraId="71BCC0DA" w14:textId="77777777" w:rsidR="009702B0" w:rsidRPr="00321238" w:rsidRDefault="009702B0" w:rsidP="009702B0">
            <w:pPr>
              <w:tabs>
                <w:tab w:val="left" w:pos="-720"/>
              </w:tabs>
              <w:suppressAutoHyphens/>
              <w:spacing w:after="0" w:line="240" w:lineRule="auto"/>
              <w:ind w:right="-6"/>
              <w:jc w:val="right"/>
              <w:rPr>
                <w:rFonts w:cs="Arial"/>
                <w:b/>
                <w:sz w:val="18"/>
                <w:szCs w:val="18"/>
              </w:rPr>
            </w:pPr>
            <w:r w:rsidRPr="00321238">
              <w:rPr>
                <w:rFonts w:cs="Arial"/>
                <w:b/>
                <w:sz w:val="18"/>
                <w:szCs w:val="18"/>
              </w:rPr>
              <w:t xml:space="preserve">Total </w:t>
            </w:r>
          </w:p>
        </w:tc>
      </w:tr>
      <w:tr w:rsidR="009702B0" w:rsidRPr="00321238" w14:paraId="434854A1" w14:textId="77777777" w:rsidTr="003420E8">
        <w:trPr>
          <w:trHeight w:val="279"/>
        </w:trPr>
        <w:tc>
          <w:tcPr>
            <w:tcW w:w="1282" w:type="pct"/>
            <w:shd w:val="clear" w:color="auto" w:fill="auto"/>
            <w:vAlign w:val="bottom"/>
          </w:tcPr>
          <w:p w14:paraId="2A0D8E1C" w14:textId="77777777" w:rsidR="009702B0" w:rsidRPr="00321238" w:rsidRDefault="009702B0" w:rsidP="009702B0">
            <w:pPr>
              <w:tabs>
                <w:tab w:val="left" w:pos="-720"/>
              </w:tabs>
              <w:suppressAutoHyphens/>
              <w:spacing w:after="0" w:line="240" w:lineRule="auto"/>
              <w:ind w:right="-5"/>
              <w:rPr>
                <w:rFonts w:cs="Arial"/>
                <w:b/>
                <w:sz w:val="18"/>
                <w:szCs w:val="18"/>
              </w:rPr>
            </w:pPr>
            <w:r w:rsidRPr="00321238">
              <w:rPr>
                <w:rFonts w:cs="Arial"/>
                <w:b/>
                <w:sz w:val="18"/>
                <w:szCs w:val="18"/>
              </w:rPr>
              <w:t xml:space="preserve">Assets </w:t>
            </w:r>
          </w:p>
        </w:tc>
        <w:tc>
          <w:tcPr>
            <w:tcW w:w="502" w:type="pct"/>
            <w:shd w:val="clear" w:color="auto" w:fill="auto"/>
          </w:tcPr>
          <w:p w14:paraId="651191D3" w14:textId="77777777" w:rsidR="009702B0" w:rsidRPr="00321238" w:rsidRDefault="009702B0" w:rsidP="009702B0">
            <w:pPr>
              <w:tabs>
                <w:tab w:val="left" w:pos="-720"/>
              </w:tabs>
              <w:suppressAutoHyphens/>
              <w:spacing w:after="0" w:line="240" w:lineRule="auto"/>
              <w:ind w:right="-5"/>
              <w:jc w:val="right"/>
              <w:rPr>
                <w:rFonts w:cs="Arial"/>
                <w:sz w:val="18"/>
                <w:szCs w:val="18"/>
              </w:rPr>
            </w:pPr>
          </w:p>
        </w:tc>
        <w:tc>
          <w:tcPr>
            <w:tcW w:w="536" w:type="pct"/>
            <w:shd w:val="clear" w:color="auto" w:fill="auto"/>
          </w:tcPr>
          <w:p w14:paraId="6E143AB2" w14:textId="77777777" w:rsidR="009702B0" w:rsidRPr="00321238" w:rsidRDefault="009702B0" w:rsidP="009702B0">
            <w:pPr>
              <w:tabs>
                <w:tab w:val="left" w:pos="-720"/>
              </w:tabs>
              <w:suppressAutoHyphens/>
              <w:spacing w:after="0" w:line="240" w:lineRule="auto"/>
              <w:ind w:right="-5"/>
              <w:jc w:val="right"/>
              <w:rPr>
                <w:rFonts w:cs="Arial"/>
                <w:sz w:val="18"/>
                <w:szCs w:val="18"/>
              </w:rPr>
            </w:pPr>
          </w:p>
        </w:tc>
        <w:tc>
          <w:tcPr>
            <w:tcW w:w="536" w:type="pct"/>
            <w:shd w:val="clear" w:color="auto" w:fill="auto"/>
          </w:tcPr>
          <w:p w14:paraId="191C9FD9" w14:textId="77777777" w:rsidR="009702B0" w:rsidRPr="00321238" w:rsidRDefault="009702B0" w:rsidP="009702B0">
            <w:pPr>
              <w:tabs>
                <w:tab w:val="left" w:pos="-720"/>
              </w:tabs>
              <w:suppressAutoHyphens/>
              <w:spacing w:after="0" w:line="240" w:lineRule="auto"/>
              <w:ind w:right="-5"/>
              <w:jc w:val="right"/>
              <w:rPr>
                <w:rFonts w:cs="Arial"/>
                <w:sz w:val="18"/>
                <w:szCs w:val="18"/>
              </w:rPr>
            </w:pPr>
          </w:p>
        </w:tc>
        <w:tc>
          <w:tcPr>
            <w:tcW w:w="494" w:type="pct"/>
            <w:shd w:val="clear" w:color="auto" w:fill="auto"/>
          </w:tcPr>
          <w:p w14:paraId="7A2D11EF" w14:textId="77777777" w:rsidR="009702B0" w:rsidRPr="00321238" w:rsidRDefault="009702B0" w:rsidP="009702B0">
            <w:pPr>
              <w:tabs>
                <w:tab w:val="left" w:pos="-720"/>
              </w:tabs>
              <w:suppressAutoHyphens/>
              <w:spacing w:after="0" w:line="240" w:lineRule="auto"/>
              <w:ind w:right="-5"/>
              <w:jc w:val="right"/>
              <w:rPr>
                <w:rFonts w:cs="Arial"/>
                <w:sz w:val="18"/>
                <w:szCs w:val="18"/>
              </w:rPr>
            </w:pPr>
          </w:p>
        </w:tc>
        <w:tc>
          <w:tcPr>
            <w:tcW w:w="569" w:type="pct"/>
            <w:shd w:val="clear" w:color="auto" w:fill="auto"/>
          </w:tcPr>
          <w:p w14:paraId="2E15F051" w14:textId="77777777" w:rsidR="009702B0" w:rsidRPr="00321238" w:rsidRDefault="009702B0" w:rsidP="009702B0">
            <w:pPr>
              <w:tabs>
                <w:tab w:val="left" w:pos="-720"/>
              </w:tabs>
              <w:suppressAutoHyphens/>
              <w:spacing w:after="0" w:line="240" w:lineRule="auto"/>
              <w:ind w:right="-5"/>
              <w:jc w:val="right"/>
              <w:rPr>
                <w:rFonts w:cs="Arial"/>
                <w:sz w:val="18"/>
                <w:szCs w:val="18"/>
              </w:rPr>
            </w:pPr>
          </w:p>
        </w:tc>
        <w:tc>
          <w:tcPr>
            <w:tcW w:w="546" w:type="pct"/>
            <w:shd w:val="clear" w:color="auto" w:fill="auto"/>
          </w:tcPr>
          <w:p w14:paraId="1AB11BE2" w14:textId="77777777" w:rsidR="009702B0" w:rsidRPr="00321238" w:rsidRDefault="009702B0" w:rsidP="009702B0">
            <w:pPr>
              <w:tabs>
                <w:tab w:val="left" w:pos="-720"/>
              </w:tabs>
              <w:suppressAutoHyphens/>
              <w:spacing w:after="0" w:line="240" w:lineRule="auto"/>
              <w:ind w:right="-5"/>
              <w:jc w:val="right"/>
              <w:rPr>
                <w:rFonts w:cs="Arial"/>
                <w:sz w:val="18"/>
                <w:szCs w:val="18"/>
              </w:rPr>
            </w:pPr>
          </w:p>
        </w:tc>
        <w:tc>
          <w:tcPr>
            <w:tcW w:w="535" w:type="pct"/>
            <w:shd w:val="clear" w:color="auto" w:fill="auto"/>
          </w:tcPr>
          <w:p w14:paraId="17877962" w14:textId="77777777" w:rsidR="009702B0" w:rsidRPr="00321238" w:rsidRDefault="009702B0" w:rsidP="009702B0">
            <w:pPr>
              <w:tabs>
                <w:tab w:val="left" w:pos="-720"/>
              </w:tabs>
              <w:suppressAutoHyphens/>
              <w:spacing w:after="0" w:line="240" w:lineRule="auto"/>
              <w:ind w:right="-5"/>
              <w:jc w:val="right"/>
              <w:rPr>
                <w:rFonts w:cs="Arial"/>
                <w:sz w:val="18"/>
                <w:szCs w:val="18"/>
              </w:rPr>
            </w:pPr>
          </w:p>
        </w:tc>
      </w:tr>
      <w:tr w:rsidR="003420E8" w:rsidRPr="00321238" w14:paraId="571A78A5" w14:textId="77777777" w:rsidTr="00624862">
        <w:trPr>
          <w:trHeight w:val="470"/>
        </w:trPr>
        <w:tc>
          <w:tcPr>
            <w:tcW w:w="1282" w:type="pct"/>
            <w:shd w:val="clear" w:color="auto" w:fill="auto"/>
            <w:vAlign w:val="bottom"/>
          </w:tcPr>
          <w:p w14:paraId="48E38EE3" w14:textId="77777777" w:rsidR="003420E8" w:rsidRPr="00321238" w:rsidRDefault="003420E8" w:rsidP="003420E8">
            <w:pPr>
              <w:tabs>
                <w:tab w:val="left" w:pos="-720"/>
              </w:tabs>
              <w:suppressAutoHyphens/>
              <w:spacing w:after="0" w:line="240" w:lineRule="auto"/>
              <w:ind w:right="-5"/>
              <w:rPr>
                <w:rFonts w:cs="Arial"/>
                <w:sz w:val="18"/>
                <w:szCs w:val="18"/>
              </w:rPr>
            </w:pPr>
            <w:r w:rsidRPr="00321238">
              <w:rPr>
                <w:rFonts w:cs="Arial"/>
                <w:sz w:val="18"/>
                <w:szCs w:val="18"/>
              </w:rPr>
              <w:t xml:space="preserve">Cash on hand and due from banks </w:t>
            </w:r>
          </w:p>
        </w:tc>
        <w:tc>
          <w:tcPr>
            <w:tcW w:w="502" w:type="pct"/>
            <w:tcBorders>
              <w:top w:val="nil"/>
              <w:left w:val="nil"/>
              <w:bottom w:val="nil"/>
              <w:right w:val="nil"/>
            </w:tcBorders>
            <w:shd w:val="clear" w:color="auto" w:fill="auto"/>
            <w:vAlign w:val="bottom"/>
          </w:tcPr>
          <w:p w14:paraId="5CED719B"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551</w:t>
            </w:r>
          </w:p>
        </w:tc>
        <w:tc>
          <w:tcPr>
            <w:tcW w:w="536" w:type="pct"/>
            <w:tcBorders>
              <w:top w:val="nil"/>
              <w:left w:val="nil"/>
              <w:bottom w:val="nil"/>
              <w:right w:val="nil"/>
            </w:tcBorders>
            <w:shd w:val="clear" w:color="auto" w:fill="auto"/>
            <w:vAlign w:val="bottom"/>
          </w:tcPr>
          <w:p w14:paraId="1C2C2AAB"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nil"/>
              <w:right w:val="nil"/>
            </w:tcBorders>
            <w:shd w:val="clear" w:color="auto" w:fill="auto"/>
            <w:vAlign w:val="bottom"/>
          </w:tcPr>
          <w:p w14:paraId="656D900D"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494" w:type="pct"/>
            <w:tcBorders>
              <w:top w:val="nil"/>
              <w:left w:val="nil"/>
              <w:bottom w:val="nil"/>
              <w:right w:val="nil"/>
            </w:tcBorders>
            <w:shd w:val="clear" w:color="auto" w:fill="auto"/>
            <w:vAlign w:val="bottom"/>
          </w:tcPr>
          <w:p w14:paraId="373C29D3"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69" w:type="pct"/>
            <w:tcBorders>
              <w:top w:val="nil"/>
              <w:left w:val="nil"/>
              <w:bottom w:val="nil"/>
              <w:right w:val="nil"/>
            </w:tcBorders>
            <w:shd w:val="clear" w:color="auto" w:fill="auto"/>
            <w:vAlign w:val="bottom"/>
          </w:tcPr>
          <w:p w14:paraId="1A1D5B19"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46" w:type="pct"/>
            <w:tcBorders>
              <w:top w:val="nil"/>
              <w:left w:val="nil"/>
              <w:bottom w:val="nil"/>
              <w:right w:val="nil"/>
            </w:tcBorders>
            <w:shd w:val="clear" w:color="auto" w:fill="auto"/>
            <w:vAlign w:val="bottom"/>
          </w:tcPr>
          <w:p w14:paraId="733C8095"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490</w:t>
            </w:r>
            <w:r w:rsidR="000A6679" w:rsidRPr="00321238">
              <w:rPr>
                <w:color w:val="000000"/>
                <w:sz w:val="18"/>
                <w:szCs w:val="18"/>
              </w:rPr>
              <w:t>,</w:t>
            </w:r>
            <w:r w:rsidRPr="00321238">
              <w:rPr>
                <w:color w:val="000000"/>
                <w:sz w:val="18"/>
                <w:szCs w:val="18"/>
              </w:rPr>
              <w:t>695</w:t>
            </w:r>
          </w:p>
        </w:tc>
        <w:tc>
          <w:tcPr>
            <w:tcW w:w="535" w:type="pct"/>
            <w:tcBorders>
              <w:top w:val="nil"/>
              <w:left w:val="nil"/>
              <w:bottom w:val="nil"/>
              <w:right w:val="nil"/>
            </w:tcBorders>
            <w:shd w:val="clear" w:color="auto" w:fill="auto"/>
            <w:vAlign w:val="bottom"/>
          </w:tcPr>
          <w:p w14:paraId="731DBE4D" w14:textId="77777777"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491</w:t>
            </w:r>
            <w:r w:rsidR="000A6679" w:rsidRPr="00321238">
              <w:rPr>
                <w:color w:val="000000"/>
                <w:sz w:val="18"/>
                <w:szCs w:val="18"/>
              </w:rPr>
              <w:t>,</w:t>
            </w:r>
            <w:r w:rsidRPr="00321238">
              <w:rPr>
                <w:color w:val="000000"/>
                <w:sz w:val="18"/>
                <w:szCs w:val="18"/>
              </w:rPr>
              <w:t>246</w:t>
            </w:r>
          </w:p>
        </w:tc>
      </w:tr>
      <w:tr w:rsidR="003420E8" w:rsidRPr="00321238" w14:paraId="71248B2A" w14:textId="77777777" w:rsidTr="00624862">
        <w:trPr>
          <w:trHeight w:val="279"/>
        </w:trPr>
        <w:tc>
          <w:tcPr>
            <w:tcW w:w="1282" w:type="pct"/>
            <w:shd w:val="clear" w:color="auto" w:fill="auto"/>
            <w:vAlign w:val="bottom"/>
          </w:tcPr>
          <w:p w14:paraId="2D9348B4" w14:textId="77777777" w:rsidR="003420E8" w:rsidRPr="00321238" w:rsidRDefault="003420E8" w:rsidP="003420E8">
            <w:pPr>
              <w:tabs>
                <w:tab w:val="left" w:pos="-720"/>
              </w:tabs>
              <w:suppressAutoHyphens/>
              <w:spacing w:after="0" w:line="240" w:lineRule="auto"/>
              <w:ind w:right="-5"/>
              <w:rPr>
                <w:rFonts w:cs="Arial"/>
                <w:sz w:val="18"/>
                <w:szCs w:val="18"/>
              </w:rPr>
            </w:pPr>
            <w:r w:rsidRPr="00321238">
              <w:rPr>
                <w:rFonts w:cs="Arial"/>
                <w:sz w:val="18"/>
                <w:szCs w:val="18"/>
              </w:rPr>
              <w:t xml:space="preserve">Deposits with other banks </w:t>
            </w:r>
          </w:p>
        </w:tc>
        <w:tc>
          <w:tcPr>
            <w:tcW w:w="502" w:type="pct"/>
            <w:tcBorders>
              <w:top w:val="nil"/>
              <w:left w:val="nil"/>
              <w:bottom w:val="nil"/>
              <w:right w:val="nil"/>
            </w:tcBorders>
            <w:shd w:val="clear" w:color="auto" w:fill="auto"/>
            <w:vAlign w:val="bottom"/>
          </w:tcPr>
          <w:p w14:paraId="0658F76A" w14:textId="77777777"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w:t>
            </w:r>
          </w:p>
        </w:tc>
        <w:tc>
          <w:tcPr>
            <w:tcW w:w="536" w:type="pct"/>
            <w:tcBorders>
              <w:top w:val="nil"/>
              <w:left w:val="nil"/>
              <w:bottom w:val="nil"/>
              <w:right w:val="nil"/>
            </w:tcBorders>
            <w:shd w:val="clear" w:color="auto" w:fill="auto"/>
            <w:vAlign w:val="bottom"/>
          </w:tcPr>
          <w:p w14:paraId="1E183EB4" w14:textId="77777777"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23</w:t>
            </w:r>
            <w:r w:rsidR="000A6679" w:rsidRPr="00321238">
              <w:rPr>
                <w:color w:val="000000"/>
                <w:sz w:val="18"/>
                <w:szCs w:val="18"/>
              </w:rPr>
              <w:t>,</w:t>
            </w:r>
            <w:r w:rsidRPr="00321238">
              <w:rPr>
                <w:color w:val="000000"/>
                <w:sz w:val="18"/>
                <w:szCs w:val="18"/>
              </w:rPr>
              <w:t>871</w:t>
            </w:r>
          </w:p>
        </w:tc>
        <w:tc>
          <w:tcPr>
            <w:tcW w:w="536" w:type="pct"/>
            <w:tcBorders>
              <w:top w:val="nil"/>
              <w:left w:val="nil"/>
              <w:bottom w:val="nil"/>
              <w:right w:val="nil"/>
            </w:tcBorders>
            <w:shd w:val="clear" w:color="auto" w:fill="auto"/>
            <w:vAlign w:val="bottom"/>
          </w:tcPr>
          <w:p w14:paraId="232A44C7" w14:textId="77777777"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w:t>
            </w:r>
          </w:p>
        </w:tc>
        <w:tc>
          <w:tcPr>
            <w:tcW w:w="494" w:type="pct"/>
            <w:tcBorders>
              <w:top w:val="nil"/>
              <w:left w:val="nil"/>
              <w:bottom w:val="nil"/>
              <w:right w:val="nil"/>
            </w:tcBorders>
            <w:shd w:val="clear" w:color="auto" w:fill="auto"/>
            <w:vAlign w:val="bottom"/>
          </w:tcPr>
          <w:p w14:paraId="279D416A" w14:textId="77777777"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w:t>
            </w:r>
          </w:p>
        </w:tc>
        <w:tc>
          <w:tcPr>
            <w:tcW w:w="569" w:type="pct"/>
            <w:tcBorders>
              <w:top w:val="nil"/>
              <w:left w:val="nil"/>
              <w:bottom w:val="nil"/>
              <w:right w:val="nil"/>
            </w:tcBorders>
            <w:shd w:val="clear" w:color="auto" w:fill="auto"/>
            <w:vAlign w:val="bottom"/>
          </w:tcPr>
          <w:p w14:paraId="56E33F0C" w14:textId="77777777"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w:t>
            </w:r>
          </w:p>
        </w:tc>
        <w:tc>
          <w:tcPr>
            <w:tcW w:w="546" w:type="pct"/>
            <w:tcBorders>
              <w:top w:val="nil"/>
              <w:left w:val="nil"/>
              <w:bottom w:val="nil"/>
              <w:right w:val="nil"/>
            </w:tcBorders>
            <w:shd w:val="clear" w:color="auto" w:fill="auto"/>
            <w:vAlign w:val="bottom"/>
          </w:tcPr>
          <w:p w14:paraId="66F68A65" w14:textId="77777777"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1</w:t>
            </w:r>
          </w:p>
        </w:tc>
        <w:tc>
          <w:tcPr>
            <w:tcW w:w="535" w:type="pct"/>
            <w:tcBorders>
              <w:top w:val="nil"/>
              <w:left w:val="nil"/>
              <w:bottom w:val="nil"/>
              <w:right w:val="nil"/>
            </w:tcBorders>
            <w:shd w:val="clear" w:color="auto" w:fill="auto"/>
            <w:vAlign w:val="bottom"/>
          </w:tcPr>
          <w:p w14:paraId="1B283922" w14:textId="77777777"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23</w:t>
            </w:r>
            <w:r w:rsidR="000A6679" w:rsidRPr="00321238">
              <w:rPr>
                <w:color w:val="000000"/>
                <w:sz w:val="18"/>
                <w:szCs w:val="18"/>
              </w:rPr>
              <w:t>,</w:t>
            </w:r>
            <w:r w:rsidRPr="00321238">
              <w:rPr>
                <w:color w:val="000000"/>
                <w:sz w:val="18"/>
                <w:szCs w:val="18"/>
              </w:rPr>
              <w:t>872</w:t>
            </w:r>
          </w:p>
        </w:tc>
      </w:tr>
      <w:tr w:rsidR="003420E8" w:rsidRPr="00321238" w14:paraId="50A82D2B" w14:textId="77777777" w:rsidTr="00624862">
        <w:trPr>
          <w:trHeight w:val="233"/>
        </w:trPr>
        <w:tc>
          <w:tcPr>
            <w:tcW w:w="1282" w:type="pct"/>
            <w:shd w:val="clear" w:color="auto" w:fill="auto"/>
            <w:vAlign w:val="bottom"/>
          </w:tcPr>
          <w:p w14:paraId="21FBC4D8" w14:textId="77777777" w:rsidR="003420E8" w:rsidRPr="00321238" w:rsidRDefault="003420E8" w:rsidP="003420E8">
            <w:pPr>
              <w:tabs>
                <w:tab w:val="left" w:pos="-720"/>
              </w:tabs>
              <w:suppressAutoHyphens/>
              <w:spacing w:after="0" w:line="240" w:lineRule="auto"/>
              <w:ind w:right="-5"/>
              <w:rPr>
                <w:rFonts w:cs="Arial"/>
                <w:sz w:val="18"/>
                <w:szCs w:val="18"/>
              </w:rPr>
            </w:pPr>
            <w:r w:rsidRPr="00321238">
              <w:rPr>
                <w:rFonts w:cs="Arial"/>
                <w:sz w:val="18"/>
                <w:szCs w:val="18"/>
              </w:rPr>
              <w:t>Loans to financial institutions</w:t>
            </w:r>
          </w:p>
        </w:tc>
        <w:tc>
          <w:tcPr>
            <w:tcW w:w="502" w:type="pct"/>
            <w:tcBorders>
              <w:top w:val="nil"/>
              <w:left w:val="nil"/>
              <w:bottom w:val="nil"/>
              <w:right w:val="nil"/>
            </w:tcBorders>
            <w:shd w:val="clear" w:color="auto" w:fill="auto"/>
            <w:vAlign w:val="bottom"/>
          </w:tcPr>
          <w:p w14:paraId="52BB4C3D" w14:textId="77777777"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652</w:t>
            </w:r>
            <w:r w:rsidR="000A6679" w:rsidRPr="00321238">
              <w:rPr>
                <w:color w:val="000000"/>
                <w:sz w:val="18"/>
                <w:szCs w:val="18"/>
              </w:rPr>
              <w:t>,</w:t>
            </w:r>
            <w:r w:rsidRPr="00321238">
              <w:rPr>
                <w:color w:val="000000"/>
                <w:sz w:val="18"/>
                <w:szCs w:val="18"/>
              </w:rPr>
              <w:t>666</w:t>
            </w:r>
          </w:p>
        </w:tc>
        <w:tc>
          <w:tcPr>
            <w:tcW w:w="536" w:type="pct"/>
            <w:tcBorders>
              <w:top w:val="nil"/>
              <w:left w:val="nil"/>
              <w:bottom w:val="nil"/>
              <w:right w:val="nil"/>
            </w:tcBorders>
            <w:shd w:val="clear" w:color="auto" w:fill="auto"/>
            <w:vAlign w:val="bottom"/>
          </w:tcPr>
          <w:p w14:paraId="76689BB8" w14:textId="77777777"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836</w:t>
            </w:r>
            <w:r w:rsidR="000A6679" w:rsidRPr="00321238">
              <w:rPr>
                <w:color w:val="000000"/>
                <w:sz w:val="18"/>
                <w:szCs w:val="18"/>
              </w:rPr>
              <w:t>,</w:t>
            </w:r>
            <w:r w:rsidRPr="00321238">
              <w:rPr>
                <w:color w:val="000000"/>
                <w:sz w:val="18"/>
                <w:szCs w:val="18"/>
              </w:rPr>
              <w:t>489</w:t>
            </w:r>
          </w:p>
        </w:tc>
        <w:tc>
          <w:tcPr>
            <w:tcW w:w="536" w:type="pct"/>
            <w:tcBorders>
              <w:top w:val="nil"/>
              <w:left w:val="nil"/>
              <w:bottom w:val="nil"/>
              <w:right w:val="nil"/>
            </w:tcBorders>
            <w:shd w:val="clear" w:color="auto" w:fill="auto"/>
            <w:vAlign w:val="bottom"/>
          </w:tcPr>
          <w:p w14:paraId="262AE0B3" w14:textId="77777777"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1</w:t>
            </w:r>
            <w:r w:rsidR="000A6679" w:rsidRPr="00321238">
              <w:rPr>
                <w:color w:val="000000"/>
                <w:sz w:val="18"/>
                <w:szCs w:val="18"/>
              </w:rPr>
              <w:t>,</w:t>
            </w:r>
            <w:r w:rsidRPr="00321238">
              <w:rPr>
                <w:color w:val="000000"/>
                <w:sz w:val="18"/>
                <w:szCs w:val="18"/>
              </w:rPr>
              <w:t>873</w:t>
            </w:r>
            <w:r w:rsidR="000A6679" w:rsidRPr="00321238">
              <w:rPr>
                <w:color w:val="000000"/>
                <w:sz w:val="18"/>
                <w:szCs w:val="18"/>
              </w:rPr>
              <w:t>,</w:t>
            </w:r>
            <w:r w:rsidRPr="00321238">
              <w:rPr>
                <w:color w:val="000000"/>
                <w:sz w:val="18"/>
                <w:szCs w:val="18"/>
              </w:rPr>
              <w:t>910</w:t>
            </w:r>
          </w:p>
        </w:tc>
        <w:tc>
          <w:tcPr>
            <w:tcW w:w="494" w:type="pct"/>
            <w:tcBorders>
              <w:top w:val="nil"/>
              <w:left w:val="nil"/>
              <w:bottom w:val="nil"/>
              <w:right w:val="nil"/>
            </w:tcBorders>
            <w:shd w:val="clear" w:color="auto" w:fill="auto"/>
            <w:vAlign w:val="bottom"/>
          </w:tcPr>
          <w:p w14:paraId="55FAFA6F" w14:textId="77777777"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2</w:t>
            </w:r>
            <w:r w:rsidR="000A6679" w:rsidRPr="00321238">
              <w:rPr>
                <w:color w:val="000000"/>
                <w:sz w:val="18"/>
                <w:szCs w:val="18"/>
              </w:rPr>
              <w:t>,</w:t>
            </w:r>
            <w:r w:rsidRPr="00321238">
              <w:rPr>
                <w:color w:val="000000"/>
                <w:sz w:val="18"/>
                <w:szCs w:val="18"/>
              </w:rPr>
              <w:t>926</w:t>
            </w:r>
            <w:r w:rsidR="000A6679" w:rsidRPr="00321238">
              <w:rPr>
                <w:color w:val="000000"/>
                <w:sz w:val="18"/>
                <w:szCs w:val="18"/>
              </w:rPr>
              <w:t>,</w:t>
            </w:r>
            <w:r w:rsidRPr="00321238">
              <w:rPr>
                <w:color w:val="000000"/>
                <w:sz w:val="18"/>
                <w:szCs w:val="18"/>
              </w:rPr>
              <w:t>641</w:t>
            </w:r>
          </w:p>
        </w:tc>
        <w:tc>
          <w:tcPr>
            <w:tcW w:w="569" w:type="pct"/>
            <w:tcBorders>
              <w:top w:val="nil"/>
              <w:left w:val="nil"/>
              <w:bottom w:val="nil"/>
              <w:right w:val="nil"/>
            </w:tcBorders>
            <w:shd w:val="clear" w:color="auto" w:fill="auto"/>
            <w:vAlign w:val="bottom"/>
          </w:tcPr>
          <w:p w14:paraId="18665223" w14:textId="77777777"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5</w:t>
            </w:r>
            <w:r w:rsidR="000A6679" w:rsidRPr="00321238">
              <w:rPr>
                <w:color w:val="000000"/>
                <w:sz w:val="18"/>
                <w:szCs w:val="18"/>
              </w:rPr>
              <w:t>,</w:t>
            </w:r>
            <w:r w:rsidRPr="00321238">
              <w:rPr>
                <w:color w:val="000000"/>
                <w:sz w:val="18"/>
                <w:szCs w:val="18"/>
              </w:rPr>
              <w:t>562</w:t>
            </w:r>
            <w:r w:rsidR="000A6679" w:rsidRPr="00321238">
              <w:rPr>
                <w:color w:val="000000"/>
                <w:sz w:val="18"/>
                <w:szCs w:val="18"/>
              </w:rPr>
              <w:t>,</w:t>
            </w:r>
            <w:r w:rsidRPr="00321238">
              <w:rPr>
                <w:color w:val="000000"/>
                <w:sz w:val="18"/>
                <w:szCs w:val="18"/>
              </w:rPr>
              <w:t>538</w:t>
            </w:r>
          </w:p>
        </w:tc>
        <w:tc>
          <w:tcPr>
            <w:tcW w:w="546" w:type="pct"/>
            <w:tcBorders>
              <w:top w:val="nil"/>
              <w:left w:val="nil"/>
              <w:bottom w:val="nil"/>
              <w:right w:val="nil"/>
            </w:tcBorders>
            <w:shd w:val="clear" w:color="auto" w:fill="auto"/>
            <w:vAlign w:val="bottom"/>
          </w:tcPr>
          <w:p w14:paraId="2869CC14" w14:textId="77777777"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36</w:t>
            </w:r>
            <w:r w:rsidR="000A6679" w:rsidRPr="00321238">
              <w:rPr>
                <w:color w:val="000000"/>
                <w:sz w:val="18"/>
                <w:szCs w:val="18"/>
              </w:rPr>
              <w:t>,</w:t>
            </w:r>
            <w:r w:rsidRPr="00321238">
              <w:rPr>
                <w:color w:val="000000"/>
                <w:sz w:val="18"/>
                <w:szCs w:val="18"/>
              </w:rPr>
              <w:t>867</w:t>
            </w:r>
          </w:p>
        </w:tc>
        <w:tc>
          <w:tcPr>
            <w:tcW w:w="535" w:type="pct"/>
            <w:tcBorders>
              <w:top w:val="nil"/>
              <w:left w:val="nil"/>
              <w:bottom w:val="nil"/>
              <w:right w:val="nil"/>
            </w:tcBorders>
            <w:shd w:val="clear" w:color="auto" w:fill="auto"/>
            <w:vAlign w:val="bottom"/>
          </w:tcPr>
          <w:p w14:paraId="7DC6DA0D" w14:textId="77777777"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11</w:t>
            </w:r>
            <w:r w:rsidR="000A6679" w:rsidRPr="00321238">
              <w:rPr>
                <w:color w:val="000000"/>
                <w:sz w:val="18"/>
                <w:szCs w:val="18"/>
              </w:rPr>
              <w:t>,</w:t>
            </w:r>
            <w:r w:rsidRPr="00321238">
              <w:rPr>
                <w:color w:val="000000"/>
                <w:sz w:val="18"/>
                <w:szCs w:val="18"/>
              </w:rPr>
              <w:t>889</w:t>
            </w:r>
            <w:r w:rsidR="000A6679" w:rsidRPr="00321238">
              <w:rPr>
                <w:color w:val="000000"/>
                <w:sz w:val="18"/>
                <w:szCs w:val="18"/>
              </w:rPr>
              <w:t>,</w:t>
            </w:r>
            <w:r w:rsidRPr="00321238">
              <w:rPr>
                <w:color w:val="000000"/>
                <w:sz w:val="18"/>
                <w:szCs w:val="18"/>
              </w:rPr>
              <w:t>111</w:t>
            </w:r>
          </w:p>
        </w:tc>
      </w:tr>
      <w:tr w:rsidR="003420E8" w:rsidRPr="00321238" w14:paraId="73E2D67E" w14:textId="77777777" w:rsidTr="00624862">
        <w:trPr>
          <w:trHeight w:val="249"/>
        </w:trPr>
        <w:tc>
          <w:tcPr>
            <w:tcW w:w="1282" w:type="pct"/>
            <w:shd w:val="clear" w:color="auto" w:fill="auto"/>
            <w:vAlign w:val="bottom"/>
          </w:tcPr>
          <w:p w14:paraId="5ED99B9E" w14:textId="77777777" w:rsidR="003420E8" w:rsidRPr="00321238" w:rsidRDefault="003420E8" w:rsidP="003420E8">
            <w:pPr>
              <w:tabs>
                <w:tab w:val="left" w:pos="-720"/>
              </w:tabs>
              <w:suppressAutoHyphens/>
              <w:spacing w:after="0" w:line="240" w:lineRule="auto"/>
              <w:ind w:right="-5"/>
              <w:rPr>
                <w:rFonts w:cs="Arial"/>
                <w:sz w:val="18"/>
                <w:szCs w:val="18"/>
              </w:rPr>
            </w:pPr>
            <w:r w:rsidRPr="00321238">
              <w:rPr>
                <w:rFonts w:cs="Arial"/>
                <w:sz w:val="18"/>
                <w:szCs w:val="18"/>
              </w:rPr>
              <w:t xml:space="preserve">Loans to other customers </w:t>
            </w:r>
          </w:p>
        </w:tc>
        <w:tc>
          <w:tcPr>
            <w:tcW w:w="502" w:type="pct"/>
            <w:tcBorders>
              <w:top w:val="nil"/>
              <w:left w:val="nil"/>
              <w:bottom w:val="nil"/>
              <w:right w:val="nil"/>
            </w:tcBorders>
            <w:shd w:val="clear" w:color="auto" w:fill="auto"/>
            <w:vAlign w:val="bottom"/>
          </w:tcPr>
          <w:p w14:paraId="5D33E3CC" w14:textId="77777777"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1</w:t>
            </w:r>
            <w:r w:rsidR="000A6679" w:rsidRPr="00321238">
              <w:rPr>
                <w:color w:val="000000"/>
                <w:sz w:val="18"/>
                <w:szCs w:val="18"/>
              </w:rPr>
              <w:t>,</w:t>
            </w:r>
            <w:r w:rsidRPr="00321238">
              <w:rPr>
                <w:color w:val="000000"/>
                <w:sz w:val="18"/>
                <w:szCs w:val="18"/>
              </w:rPr>
              <w:t>517</w:t>
            </w:r>
            <w:r w:rsidR="000A6679" w:rsidRPr="00321238">
              <w:rPr>
                <w:color w:val="000000"/>
                <w:sz w:val="18"/>
                <w:szCs w:val="18"/>
              </w:rPr>
              <w:t>,</w:t>
            </w:r>
            <w:r w:rsidRPr="00321238">
              <w:rPr>
                <w:color w:val="000000"/>
                <w:sz w:val="18"/>
                <w:szCs w:val="18"/>
              </w:rPr>
              <w:t>371</w:t>
            </w:r>
          </w:p>
        </w:tc>
        <w:tc>
          <w:tcPr>
            <w:tcW w:w="536" w:type="pct"/>
            <w:tcBorders>
              <w:top w:val="nil"/>
              <w:left w:val="nil"/>
              <w:bottom w:val="nil"/>
              <w:right w:val="nil"/>
            </w:tcBorders>
            <w:shd w:val="clear" w:color="auto" w:fill="auto"/>
            <w:vAlign w:val="bottom"/>
          </w:tcPr>
          <w:p w14:paraId="2AB6FC6D" w14:textId="77777777"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824</w:t>
            </w:r>
            <w:r w:rsidR="000A6679" w:rsidRPr="00321238">
              <w:rPr>
                <w:color w:val="000000"/>
                <w:sz w:val="18"/>
                <w:szCs w:val="18"/>
              </w:rPr>
              <w:t>,</w:t>
            </w:r>
            <w:r w:rsidRPr="00321238">
              <w:rPr>
                <w:color w:val="000000"/>
                <w:sz w:val="18"/>
                <w:szCs w:val="18"/>
              </w:rPr>
              <w:t>285</w:t>
            </w:r>
          </w:p>
        </w:tc>
        <w:tc>
          <w:tcPr>
            <w:tcW w:w="536" w:type="pct"/>
            <w:tcBorders>
              <w:top w:val="nil"/>
              <w:left w:val="nil"/>
              <w:bottom w:val="nil"/>
              <w:right w:val="nil"/>
            </w:tcBorders>
            <w:shd w:val="clear" w:color="auto" w:fill="auto"/>
            <w:vAlign w:val="bottom"/>
          </w:tcPr>
          <w:p w14:paraId="48FEA9FA" w14:textId="77777777"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1</w:t>
            </w:r>
            <w:r w:rsidR="000A6679" w:rsidRPr="00321238">
              <w:rPr>
                <w:color w:val="000000"/>
                <w:sz w:val="18"/>
                <w:szCs w:val="18"/>
              </w:rPr>
              <w:t>,</w:t>
            </w:r>
            <w:r w:rsidRPr="00321238">
              <w:rPr>
                <w:color w:val="000000"/>
                <w:sz w:val="18"/>
                <w:szCs w:val="18"/>
              </w:rPr>
              <w:t>081</w:t>
            </w:r>
            <w:r w:rsidR="000A6679" w:rsidRPr="00321238">
              <w:rPr>
                <w:color w:val="000000"/>
                <w:sz w:val="18"/>
                <w:szCs w:val="18"/>
              </w:rPr>
              <w:t>,</w:t>
            </w:r>
            <w:r w:rsidRPr="00321238">
              <w:rPr>
                <w:color w:val="000000"/>
                <w:sz w:val="18"/>
                <w:szCs w:val="18"/>
              </w:rPr>
              <w:t>418</w:t>
            </w:r>
          </w:p>
        </w:tc>
        <w:tc>
          <w:tcPr>
            <w:tcW w:w="494" w:type="pct"/>
            <w:tcBorders>
              <w:top w:val="nil"/>
              <w:left w:val="nil"/>
              <w:bottom w:val="nil"/>
              <w:right w:val="nil"/>
            </w:tcBorders>
            <w:shd w:val="clear" w:color="auto" w:fill="auto"/>
            <w:vAlign w:val="bottom"/>
          </w:tcPr>
          <w:p w14:paraId="6CCBC77D" w14:textId="77777777"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1</w:t>
            </w:r>
            <w:r w:rsidR="000A6679" w:rsidRPr="00321238">
              <w:rPr>
                <w:color w:val="000000"/>
                <w:sz w:val="18"/>
                <w:szCs w:val="18"/>
              </w:rPr>
              <w:t>,</w:t>
            </w:r>
            <w:r w:rsidRPr="00321238">
              <w:rPr>
                <w:color w:val="000000"/>
                <w:sz w:val="18"/>
                <w:szCs w:val="18"/>
              </w:rPr>
              <w:t>506</w:t>
            </w:r>
            <w:r w:rsidR="000A6679" w:rsidRPr="00321238">
              <w:rPr>
                <w:color w:val="000000"/>
                <w:sz w:val="18"/>
                <w:szCs w:val="18"/>
              </w:rPr>
              <w:t>,</w:t>
            </w:r>
            <w:r w:rsidRPr="00321238">
              <w:rPr>
                <w:color w:val="000000"/>
                <w:sz w:val="18"/>
                <w:szCs w:val="18"/>
              </w:rPr>
              <w:t>407</w:t>
            </w:r>
          </w:p>
        </w:tc>
        <w:tc>
          <w:tcPr>
            <w:tcW w:w="569" w:type="pct"/>
            <w:tcBorders>
              <w:top w:val="nil"/>
              <w:left w:val="nil"/>
              <w:bottom w:val="nil"/>
              <w:right w:val="nil"/>
            </w:tcBorders>
            <w:shd w:val="clear" w:color="auto" w:fill="auto"/>
            <w:vAlign w:val="bottom"/>
          </w:tcPr>
          <w:p w14:paraId="60B10749" w14:textId="77777777"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6</w:t>
            </w:r>
            <w:r w:rsidR="000A6679" w:rsidRPr="00321238">
              <w:rPr>
                <w:color w:val="000000"/>
                <w:sz w:val="18"/>
                <w:szCs w:val="18"/>
              </w:rPr>
              <w:t>,</w:t>
            </w:r>
            <w:r w:rsidRPr="00321238">
              <w:rPr>
                <w:color w:val="000000"/>
                <w:sz w:val="18"/>
                <w:szCs w:val="18"/>
              </w:rPr>
              <w:t>522</w:t>
            </w:r>
            <w:r w:rsidR="000A6679" w:rsidRPr="00321238">
              <w:rPr>
                <w:color w:val="000000"/>
                <w:sz w:val="18"/>
                <w:szCs w:val="18"/>
              </w:rPr>
              <w:t>,</w:t>
            </w:r>
            <w:r w:rsidRPr="00321238">
              <w:rPr>
                <w:color w:val="000000"/>
                <w:sz w:val="18"/>
                <w:szCs w:val="18"/>
              </w:rPr>
              <w:t>314</w:t>
            </w:r>
          </w:p>
        </w:tc>
        <w:tc>
          <w:tcPr>
            <w:tcW w:w="546" w:type="pct"/>
            <w:tcBorders>
              <w:top w:val="nil"/>
              <w:left w:val="nil"/>
              <w:bottom w:val="nil"/>
              <w:right w:val="nil"/>
            </w:tcBorders>
            <w:shd w:val="clear" w:color="auto" w:fill="auto"/>
            <w:vAlign w:val="bottom"/>
          </w:tcPr>
          <w:p w14:paraId="0271658C" w14:textId="77777777"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59</w:t>
            </w:r>
            <w:r w:rsidR="000A6679" w:rsidRPr="00321238">
              <w:rPr>
                <w:color w:val="000000"/>
                <w:sz w:val="18"/>
                <w:szCs w:val="18"/>
              </w:rPr>
              <w:t>,</w:t>
            </w:r>
            <w:r w:rsidRPr="00321238">
              <w:rPr>
                <w:color w:val="000000"/>
                <w:sz w:val="18"/>
                <w:szCs w:val="18"/>
              </w:rPr>
              <w:t>399</w:t>
            </w:r>
          </w:p>
        </w:tc>
        <w:tc>
          <w:tcPr>
            <w:tcW w:w="535" w:type="pct"/>
            <w:tcBorders>
              <w:top w:val="nil"/>
              <w:left w:val="nil"/>
              <w:bottom w:val="nil"/>
              <w:right w:val="nil"/>
            </w:tcBorders>
            <w:shd w:val="clear" w:color="auto" w:fill="auto"/>
            <w:vAlign w:val="bottom"/>
          </w:tcPr>
          <w:p w14:paraId="53516029" w14:textId="77777777"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11</w:t>
            </w:r>
            <w:r w:rsidR="000A6679" w:rsidRPr="00321238">
              <w:rPr>
                <w:color w:val="000000"/>
                <w:sz w:val="18"/>
                <w:szCs w:val="18"/>
              </w:rPr>
              <w:t>,</w:t>
            </w:r>
            <w:r w:rsidRPr="00321238">
              <w:rPr>
                <w:color w:val="000000"/>
                <w:sz w:val="18"/>
                <w:szCs w:val="18"/>
              </w:rPr>
              <w:t>511</w:t>
            </w:r>
            <w:r w:rsidR="000A6679" w:rsidRPr="00321238">
              <w:rPr>
                <w:color w:val="000000"/>
                <w:sz w:val="18"/>
                <w:szCs w:val="18"/>
              </w:rPr>
              <w:t>,</w:t>
            </w:r>
            <w:r w:rsidRPr="00321238">
              <w:rPr>
                <w:color w:val="000000"/>
                <w:sz w:val="18"/>
                <w:szCs w:val="18"/>
              </w:rPr>
              <w:t>194</w:t>
            </w:r>
          </w:p>
        </w:tc>
      </w:tr>
      <w:tr w:rsidR="003420E8" w:rsidRPr="00321238" w14:paraId="0D3E1B1D" w14:textId="77777777" w:rsidTr="00624862">
        <w:trPr>
          <w:trHeight w:val="488"/>
        </w:trPr>
        <w:tc>
          <w:tcPr>
            <w:tcW w:w="1282" w:type="pct"/>
            <w:shd w:val="clear" w:color="auto" w:fill="auto"/>
            <w:vAlign w:val="bottom"/>
          </w:tcPr>
          <w:p w14:paraId="604B8932" w14:textId="77777777" w:rsidR="003420E8" w:rsidRPr="00321238" w:rsidRDefault="003420E8" w:rsidP="003420E8">
            <w:pPr>
              <w:tabs>
                <w:tab w:val="left" w:pos="-720"/>
              </w:tabs>
              <w:suppressAutoHyphens/>
              <w:spacing w:after="0" w:line="240" w:lineRule="auto"/>
              <w:ind w:right="-5"/>
              <w:rPr>
                <w:rFonts w:cs="Arial"/>
                <w:sz w:val="18"/>
                <w:szCs w:val="18"/>
              </w:rPr>
            </w:pPr>
            <w:r w:rsidRPr="00321238">
              <w:rPr>
                <w:rFonts w:cs="Arial"/>
                <w:sz w:val="18"/>
                <w:szCs w:val="18"/>
              </w:rPr>
              <w:t>Financial assets at fair value through profit or loss</w:t>
            </w:r>
          </w:p>
        </w:tc>
        <w:tc>
          <w:tcPr>
            <w:tcW w:w="502" w:type="pct"/>
            <w:tcBorders>
              <w:top w:val="nil"/>
              <w:left w:val="nil"/>
              <w:bottom w:val="nil"/>
              <w:right w:val="nil"/>
            </w:tcBorders>
            <w:shd w:val="clear" w:color="auto" w:fill="auto"/>
            <w:vAlign w:val="bottom"/>
          </w:tcPr>
          <w:p w14:paraId="4CDB32E2"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nil"/>
              <w:right w:val="nil"/>
            </w:tcBorders>
            <w:shd w:val="clear" w:color="auto" w:fill="auto"/>
            <w:vAlign w:val="bottom"/>
          </w:tcPr>
          <w:p w14:paraId="103BDB46"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nil"/>
              <w:right w:val="nil"/>
            </w:tcBorders>
            <w:shd w:val="clear" w:color="auto" w:fill="auto"/>
            <w:vAlign w:val="bottom"/>
          </w:tcPr>
          <w:p w14:paraId="6357D7BB"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494" w:type="pct"/>
            <w:tcBorders>
              <w:top w:val="nil"/>
              <w:left w:val="nil"/>
              <w:bottom w:val="nil"/>
              <w:right w:val="nil"/>
            </w:tcBorders>
            <w:shd w:val="clear" w:color="auto" w:fill="auto"/>
            <w:vAlign w:val="bottom"/>
          </w:tcPr>
          <w:p w14:paraId="3BFC0FD4"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69" w:type="pct"/>
            <w:tcBorders>
              <w:top w:val="nil"/>
              <w:left w:val="nil"/>
              <w:bottom w:val="nil"/>
              <w:right w:val="nil"/>
            </w:tcBorders>
            <w:shd w:val="clear" w:color="auto" w:fill="auto"/>
            <w:vAlign w:val="bottom"/>
          </w:tcPr>
          <w:p w14:paraId="4FF80B43"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46" w:type="pct"/>
            <w:tcBorders>
              <w:top w:val="nil"/>
              <w:left w:val="nil"/>
              <w:bottom w:val="nil"/>
              <w:right w:val="nil"/>
            </w:tcBorders>
            <w:shd w:val="clear" w:color="auto" w:fill="auto"/>
            <w:vAlign w:val="bottom"/>
          </w:tcPr>
          <w:p w14:paraId="79D4DB9C"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286</w:t>
            </w:r>
          </w:p>
        </w:tc>
        <w:tc>
          <w:tcPr>
            <w:tcW w:w="535" w:type="pct"/>
            <w:tcBorders>
              <w:top w:val="nil"/>
              <w:left w:val="nil"/>
              <w:bottom w:val="nil"/>
              <w:right w:val="nil"/>
            </w:tcBorders>
            <w:shd w:val="clear" w:color="auto" w:fill="auto"/>
            <w:vAlign w:val="bottom"/>
          </w:tcPr>
          <w:p w14:paraId="75F9DA71" w14:textId="77777777"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286</w:t>
            </w:r>
          </w:p>
        </w:tc>
      </w:tr>
      <w:tr w:rsidR="003420E8" w:rsidRPr="00321238" w14:paraId="09F53EF8" w14:textId="77777777" w:rsidTr="00624862">
        <w:trPr>
          <w:trHeight w:val="292"/>
        </w:trPr>
        <w:tc>
          <w:tcPr>
            <w:tcW w:w="1282" w:type="pct"/>
            <w:shd w:val="clear" w:color="auto" w:fill="auto"/>
            <w:vAlign w:val="bottom"/>
          </w:tcPr>
          <w:p w14:paraId="22A2D6F8" w14:textId="77777777" w:rsidR="003420E8" w:rsidRPr="00321238" w:rsidRDefault="003420E8" w:rsidP="003420E8">
            <w:pPr>
              <w:tabs>
                <w:tab w:val="left" w:pos="-720"/>
              </w:tabs>
              <w:suppressAutoHyphens/>
              <w:spacing w:after="0" w:line="240" w:lineRule="auto"/>
              <w:ind w:right="-5"/>
              <w:rPr>
                <w:rFonts w:cs="Arial"/>
                <w:sz w:val="18"/>
                <w:szCs w:val="18"/>
              </w:rPr>
            </w:pPr>
            <w:r w:rsidRPr="00321238">
              <w:rPr>
                <w:rFonts w:cs="Arial"/>
                <w:sz w:val="18"/>
                <w:szCs w:val="18"/>
              </w:rPr>
              <w:t xml:space="preserve">Assets available for sale </w:t>
            </w:r>
          </w:p>
        </w:tc>
        <w:tc>
          <w:tcPr>
            <w:tcW w:w="502" w:type="pct"/>
            <w:tcBorders>
              <w:top w:val="nil"/>
              <w:left w:val="nil"/>
              <w:bottom w:val="nil"/>
              <w:right w:val="nil"/>
            </w:tcBorders>
            <w:shd w:val="clear" w:color="auto" w:fill="auto"/>
            <w:vAlign w:val="bottom"/>
          </w:tcPr>
          <w:p w14:paraId="5C1D9ABE"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2</w:t>
            </w:r>
            <w:r w:rsidR="000A6679" w:rsidRPr="00321238">
              <w:rPr>
                <w:color w:val="000000"/>
                <w:sz w:val="18"/>
                <w:szCs w:val="18"/>
              </w:rPr>
              <w:t>,</w:t>
            </w:r>
            <w:r w:rsidRPr="00321238">
              <w:rPr>
                <w:color w:val="000000"/>
                <w:sz w:val="18"/>
                <w:szCs w:val="18"/>
              </w:rPr>
              <w:t>431</w:t>
            </w:r>
            <w:r w:rsidR="000A6679" w:rsidRPr="00321238">
              <w:rPr>
                <w:color w:val="000000"/>
                <w:sz w:val="18"/>
                <w:szCs w:val="18"/>
              </w:rPr>
              <w:t>,</w:t>
            </w:r>
            <w:r w:rsidRPr="00321238">
              <w:rPr>
                <w:color w:val="000000"/>
                <w:sz w:val="18"/>
                <w:szCs w:val="18"/>
              </w:rPr>
              <w:t>379</w:t>
            </w:r>
          </w:p>
        </w:tc>
        <w:tc>
          <w:tcPr>
            <w:tcW w:w="536" w:type="pct"/>
            <w:tcBorders>
              <w:top w:val="nil"/>
              <w:left w:val="nil"/>
              <w:bottom w:val="nil"/>
              <w:right w:val="nil"/>
            </w:tcBorders>
            <w:shd w:val="clear" w:color="auto" w:fill="auto"/>
            <w:vAlign w:val="bottom"/>
          </w:tcPr>
          <w:p w14:paraId="76C66321"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nil"/>
              <w:right w:val="nil"/>
            </w:tcBorders>
            <w:shd w:val="clear" w:color="auto" w:fill="auto"/>
            <w:vAlign w:val="bottom"/>
          </w:tcPr>
          <w:p w14:paraId="33D5EFB6"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494" w:type="pct"/>
            <w:tcBorders>
              <w:top w:val="nil"/>
              <w:left w:val="nil"/>
              <w:bottom w:val="nil"/>
              <w:right w:val="nil"/>
            </w:tcBorders>
            <w:shd w:val="clear" w:color="auto" w:fill="auto"/>
            <w:vAlign w:val="bottom"/>
          </w:tcPr>
          <w:p w14:paraId="3159E35F"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69" w:type="pct"/>
            <w:tcBorders>
              <w:top w:val="nil"/>
              <w:left w:val="nil"/>
              <w:bottom w:val="nil"/>
              <w:right w:val="nil"/>
            </w:tcBorders>
            <w:shd w:val="clear" w:color="auto" w:fill="auto"/>
            <w:vAlign w:val="bottom"/>
          </w:tcPr>
          <w:p w14:paraId="60748D93"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46" w:type="pct"/>
            <w:tcBorders>
              <w:top w:val="nil"/>
              <w:left w:val="nil"/>
              <w:bottom w:val="nil"/>
              <w:right w:val="nil"/>
            </w:tcBorders>
            <w:shd w:val="clear" w:color="auto" w:fill="auto"/>
            <w:vAlign w:val="bottom"/>
          </w:tcPr>
          <w:p w14:paraId="726826FA"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958</w:t>
            </w:r>
            <w:r w:rsidR="000A6679" w:rsidRPr="00321238">
              <w:rPr>
                <w:color w:val="000000"/>
                <w:sz w:val="18"/>
                <w:szCs w:val="18"/>
              </w:rPr>
              <w:t>,</w:t>
            </w:r>
            <w:r w:rsidRPr="00321238">
              <w:rPr>
                <w:color w:val="000000"/>
                <w:sz w:val="18"/>
                <w:szCs w:val="18"/>
              </w:rPr>
              <w:t>655</w:t>
            </w:r>
          </w:p>
        </w:tc>
        <w:tc>
          <w:tcPr>
            <w:tcW w:w="535" w:type="pct"/>
            <w:tcBorders>
              <w:top w:val="nil"/>
              <w:left w:val="nil"/>
              <w:bottom w:val="nil"/>
              <w:right w:val="nil"/>
            </w:tcBorders>
            <w:shd w:val="clear" w:color="auto" w:fill="auto"/>
            <w:vAlign w:val="bottom"/>
          </w:tcPr>
          <w:p w14:paraId="20AC3836" w14:textId="77777777"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3</w:t>
            </w:r>
            <w:r w:rsidR="000A6679" w:rsidRPr="00321238">
              <w:rPr>
                <w:color w:val="000000"/>
                <w:sz w:val="18"/>
                <w:szCs w:val="18"/>
              </w:rPr>
              <w:t>,</w:t>
            </w:r>
            <w:r w:rsidRPr="00321238">
              <w:rPr>
                <w:color w:val="000000"/>
                <w:sz w:val="18"/>
                <w:szCs w:val="18"/>
              </w:rPr>
              <w:t>390</w:t>
            </w:r>
            <w:r w:rsidR="000A6679" w:rsidRPr="00321238">
              <w:rPr>
                <w:color w:val="000000"/>
                <w:sz w:val="18"/>
                <w:szCs w:val="18"/>
              </w:rPr>
              <w:t>,</w:t>
            </w:r>
            <w:r w:rsidRPr="00321238">
              <w:rPr>
                <w:color w:val="000000"/>
                <w:sz w:val="18"/>
                <w:szCs w:val="18"/>
              </w:rPr>
              <w:t>034</w:t>
            </w:r>
          </w:p>
        </w:tc>
      </w:tr>
      <w:tr w:rsidR="003420E8" w:rsidRPr="00321238" w14:paraId="5F13D83F" w14:textId="77777777" w:rsidTr="00624862">
        <w:trPr>
          <w:trHeight w:val="279"/>
        </w:trPr>
        <w:tc>
          <w:tcPr>
            <w:tcW w:w="1282" w:type="pct"/>
            <w:shd w:val="clear" w:color="auto" w:fill="auto"/>
            <w:vAlign w:val="bottom"/>
          </w:tcPr>
          <w:p w14:paraId="207D7149" w14:textId="77777777" w:rsidR="003420E8" w:rsidRPr="00321238" w:rsidRDefault="003420E8" w:rsidP="003420E8">
            <w:pPr>
              <w:tabs>
                <w:tab w:val="left" w:pos="-720"/>
              </w:tabs>
              <w:suppressAutoHyphens/>
              <w:spacing w:after="0" w:line="240" w:lineRule="auto"/>
              <w:ind w:right="-5"/>
              <w:rPr>
                <w:rFonts w:cs="Arial"/>
                <w:sz w:val="18"/>
                <w:szCs w:val="18"/>
              </w:rPr>
            </w:pPr>
            <w:r w:rsidRPr="00321238">
              <w:rPr>
                <w:rFonts w:cs="Arial"/>
                <w:sz w:val="18"/>
                <w:szCs w:val="18"/>
              </w:rPr>
              <w:t xml:space="preserve">Assets held to maturity </w:t>
            </w:r>
          </w:p>
        </w:tc>
        <w:tc>
          <w:tcPr>
            <w:tcW w:w="502" w:type="pct"/>
            <w:tcBorders>
              <w:top w:val="nil"/>
              <w:left w:val="nil"/>
              <w:bottom w:val="nil"/>
              <w:right w:val="nil"/>
            </w:tcBorders>
            <w:shd w:val="clear" w:color="auto" w:fill="auto"/>
            <w:vAlign w:val="bottom"/>
          </w:tcPr>
          <w:p w14:paraId="076FB20C"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nil"/>
              <w:right w:val="nil"/>
            </w:tcBorders>
            <w:shd w:val="clear" w:color="auto" w:fill="auto"/>
            <w:vAlign w:val="bottom"/>
          </w:tcPr>
          <w:p w14:paraId="630E367F"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nil"/>
              <w:right w:val="nil"/>
            </w:tcBorders>
            <w:shd w:val="clear" w:color="auto" w:fill="auto"/>
            <w:vAlign w:val="bottom"/>
          </w:tcPr>
          <w:p w14:paraId="334D928F"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494" w:type="pct"/>
            <w:tcBorders>
              <w:top w:val="nil"/>
              <w:left w:val="nil"/>
              <w:bottom w:val="nil"/>
              <w:right w:val="nil"/>
            </w:tcBorders>
            <w:shd w:val="clear" w:color="auto" w:fill="auto"/>
            <w:vAlign w:val="bottom"/>
          </w:tcPr>
          <w:p w14:paraId="41FC4B6B"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69" w:type="pct"/>
            <w:tcBorders>
              <w:top w:val="nil"/>
              <w:left w:val="nil"/>
              <w:bottom w:val="nil"/>
              <w:right w:val="nil"/>
            </w:tcBorders>
            <w:shd w:val="clear" w:color="auto" w:fill="auto"/>
            <w:vAlign w:val="bottom"/>
          </w:tcPr>
          <w:p w14:paraId="06E62F0D"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1</w:t>
            </w:r>
            <w:r w:rsidR="000A6679" w:rsidRPr="00321238">
              <w:rPr>
                <w:color w:val="000000"/>
                <w:sz w:val="18"/>
                <w:szCs w:val="18"/>
              </w:rPr>
              <w:t>,</w:t>
            </w:r>
            <w:r w:rsidRPr="00321238">
              <w:rPr>
                <w:color w:val="000000"/>
                <w:sz w:val="18"/>
                <w:szCs w:val="18"/>
              </w:rPr>
              <w:t>408</w:t>
            </w:r>
          </w:p>
        </w:tc>
        <w:tc>
          <w:tcPr>
            <w:tcW w:w="546" w:type="pct"/>
            <w:tcBorders>
              <w:top w:val="nil"/>
              <w:left w:val="nil"/>
              <w:bottom w:val="nil"/>
              <w:right w:val="nil"/>
            </w:tcBorders>
            <w:shd w:val="clear" w:color="auto" w:fill="auto"/>
            <w:vAlign w:val="bottom"/>
          </w:tcPr>
          <w:p w14:paraId="47A7BDC5"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14</w:t>
            </w:r>
          </w:p>
        </w:tc>
        <w:tc>
          <w:tcPr>
            <w:tcW w:w="535" w:type="pct"/>
            <w:tcBorders>
              <w:top w:val="nil"/>
              <w:left w:val="nil"/>
              <w:bottom w:val="nil"/>
              <w:right w:val="nil"/>
            </w:tcBorders>
            <w:shd w:val="clear" w:color="auto" w:fill="auto"/>
            <w:vAlign w:val="bottom"/>
          </w:tcPr>
          <w:p w14:paraId="09280350" w14:textId="77777777"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1</w:t>
            </w:r>
            <w:r w:rsidR="000A6679" w:rsidRPr="00321238">
              <w:rPr>
                <w:color w:val="000000"/>
                <w:sz w:val="18"/>
                <w:szCs w:val="18"/>
              </w:rPr>
              <w:t>,</w:t>
            </w:r>
            <w:r w:rsidRPr="00321238">
              <w:rPr>
                <w:color w:val="000000"/>
                <w:sz w:val="18"/>
                <w:szCs w:val="18"/>
              </w:rPr>
              <w:t>422</w:t>
            </w:r>
          </w:p>
        </w:tc>
      </w:tr>
      <w:tr w:rsidR="003420E8" w:rsidRPr="00321238" w14:paraId="17677FD1" w14:textId="77777777" w:rsidTr="00624862">
        <w:trPr>
          <w:trHeight w:val="292"/>
        </w:trPr>
        <w:tc>
          <w:tcPr>
            <w:tcW w:w="1282" w:type="pct"/>
            <w:shd w:val="clear" w:color="auto" w:fill="auto"/>
            <w:vAlign w:val="bottom"/>
          </w:tcPr>
          <w:p w14:paraId="175BCDF8" w14:textId="77777777" w:rsidR="003420E8" w:rsidRPr="00321238" w:rsidRDefault="003420E8" w:rsidP="003420E8">
            <w:pPr>
              <w:tabs>
                <w:tab w:val="left" w:pos="-720"/>
              </w:tabs>
              <w:suppressAutoHyphens/>
              <w:spacing w:after="0" w:line="240" w:lineRule="auto"/>
              <w:ind w:right="-5"/>
              <w:rPr>
                <w:rFonts w:cs="Arial"/>
                <w:sz w:val="18"/>
                <w:szCs w:val="18"/>
              </w:rPr>
            </w:pPr>
            <w:r w:rsidRPr="00321238">
              <w:rPr>
                <w:rFonts w:cs="Arial"/>
                <w:sz w:val="18"/>
                <w:szCs w:val="18"/>
              </w:rPr>
              <w:t xml:space="preserve">Investments in associates </w:t>
            </w:r>
          </w:p>
        </w:tc>
        <w:tc>
          <w:tcPr>
            <w:tcW w:w="502" w:type="pct"/>
            <w:tcBorders>
              <w:top w:val="nil"/>
              <w:left w:val="nil"/>
              <w:bottom w:val="nil"/>
              <w:right w:val="nil"/>
            </w:tcBorders>
            <w:shd w:val="clear" w:color="auto" w:fill="auto"/>
            <w:vAlign w:val="bottom"/>
          </w:tcPr>
          <w:p w14:paraId="37F957D8"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nil"/>
              <w:right w:val="nil"/>
            </w:tcBorders>
            <w:shd w:val="clear" w:color="auto" w:fill="auto"/>
            <w:vAlign w:val="bottom"/>
          </w:tcPr>
          <w:p w14:paraId="73ABCE82"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nil"/>
              <w:right w:val="nil"/>
            </w:tcBorders>
            <w:shd w:val="clear" w:color="auto" w:fill="auto"/>
            <w:vAlign w:val="bottom"/>
          </w:tcPr>
          <w:p w14:paraId="211E57A6"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494" w:type="pct"/>
            <w:tcBorders>
              <w:top w:val="nil"/>
              <w:left w:val="nil"/>
              <w:bottom w:val="nil"/>
              <w:right w:val="nil"/>
            </w:tcBorders>
            <w:shd w:val="clear" w:color="auto" w:fill="auto"/>
            <w:vAlign w:val="bottom"/>
          </w:tcPr>
          <w:p w14:paraId="2415500D"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69" w:type="pct"/>
            <w:tcBorders>
              <w:top w:val="nil"/>
              <w:left w:val="nil"/>
              <w:bottom w:val="nil"/>
              <w:right w:val="nil"/>
            </w:tcBorders>
            <w:shd w:val="clear" w:color="auto" w:fill="auto"/>
            <w:vAlign w:val="bottom"/>
          </w:tcPr>
          <w:p w14:paraId="60ACC6E8"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46" w:type="pct"/>
            <w:tcBorders>
              <w:top w:val="nil"/>
              <w:left w:val="nil"/>
              <w:bottom w:val="nil"/>
              <w:right w:val="nil"/>
            </w:tcBorders>
            <w:shd w:val="clear" w:color="auto" w:fill="auto"/>
            <w:vAlign w:val="bottom"/>
          </w:tcPr>
          <w:p w14:paraId="5F57975C"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5" w:type="pct"/>
            <w:tcBorders>
              <w:top w:val="nil"/>
              <w:left w:val="nil"/>
              <w:bottom w:val="nil"/>
              <w:right w:val="nil"/>
            </w:tcBorders>
            <w:shd w:val="clear" w:color="auto" w:fill="auto"/>
            <w:vAlign w:val="bottom"/>
          </w:tcPr>
          <w:p w14:paraId="3E567F89" w14:textId="77777777"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w:t>
            </w:r>
          </w:p>
        </w:tc>
      </w:tr>
      <w:tr w:rsidR="003420E8" w:rsidRPr="00321238" w14:paraId="7A3C5693" w14:textId="77777777" w:rsidTr="00624862">
        <w:trPr>
          <w:trHeight w:val="395"/>
        </w:trPr>
        <w:tc>
          <w:tcPr>
            <w:tcW w:w="1282" w:type="pct"/>
            <w:shd w:val="clear" w:color="auto" w:fill="auto"/>
            <w:vAlign w:val="bottom"/>
          </w:tcPr>
          <w:p w14:paraId="789F2E9E" w14:textId="77777777" w:rsidR="003420E8" w:rsidRPr="00321238" w:rsidRDefault="003420E8" w:rsidP="003420E8">
            <w:pPr>
              <w:tabs>
                <w:tab w:val="left" w:pos="-720"/>
              </w:tabs>
              <w:suppressAutoHyphens/>
              <w:spacing w:after="0" w:line="240" w:lineRule="auto"/>
              <w:ind w:right="-5"/>
              <w:rPr>
                <w:rFonts w:cs="Arial"/>
                <w:sz w:val="18"/>
                <w:szCs w:val="18"/>
              </w:rPr>
            </w:pPr>
            <w:r w:rsidRPr="00321238">
              <w:rPr>
                <w:rFonts w:cs="Arial"/>
                <w:sz w:val="18"/>
                <w:szCs w:val="18"/>
              </w:rPr>
              <w:t xml:space="preserve">Property, plant and equipment and intangible assets </w:t>
            </w:r>
          </w:p>
        </w:tc>
        <w:tc>
          <w:tcPr>
            <w:tcW w:w="502" w:type="pct"/>
            <w:tcBorders>
              <w:top w:val="nil"/>
              <w:left w:val="nil"/>
              <w:bottom w:val="nil"/>
              <w:right w:val="nil"/>
            </w:tcBorders>
            <w:shd w:val="clear" w:color="auto" w:fill="auto"/>
            <w:vAlign w:val="bottom"/>
          </w:tcPr>
          <w:p w14:paraId="0DCC5E5C"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nil"/>
              <w:right w:val="nil"/>
            </w:tcBorders>
            <w:shd w:val="clear" w:color="auto" w:fill="auto"/>
            <w:vAlign w:val="bottom"/>
          </w:tcPr>
          <w:p w14:paraId="744CA5BE"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nil"/>
              <w:right w:val="nil"/>
            </w:tcBorders>
            <w:shd w:val="clear" w:color="auto" w:fill="auto"/>
            <w:vAlign w:val="bottom"/>
          </w:tcPr>
          <w:p w14:paraId="3B7F5E50"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494" w:type="pct"/>
            <w:tcBorders>
              <w:top w:val="nil"/>
              <w:left w:val="nil"/>
              <w:bottom w:val="nil"/>
              <w:right w:val="nil"/>
            </w:tcBorders>
            <w:shd w:val="clear" w:color="auto" w:fill="auto"/>
            <w:vAlign w:val="bottom"/>
          </w:tcPr>
          <w:p w14:paraId="2051F94F"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69" w:type="pct"/>
            <w:tcBorders>
              <w:top w:val="nil"/>
              <w:left w:val="nil"/>
              <w:bottom w:val="nil"/>
              <w:right w:val="nil"/>
            </w:tcBorders>
            <w:shd w:val="clear" w:color="auto" w:fill="auto"/>
            <w:vAlign w:val="bottom"/>
          </w:tcPr>
          <w:p w14:paraId="03D601CD"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46" w:type="pct"/>
            <w:tcBorders>
              <w:top w:val="nil"/>
              <w:left w:val="nil"/>
              <w:bottom w:val="nil"/>
              <w:right w:val="nil"/>
            </w:tcBorders>
            <w:shd w:val="clear" w:color="auto" w:fill="auto"/>
            <w:vAlign w:val="bottom"/>
          </w:tcPr>
          <w:p w14:paraId="440FCE7E"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57</w:t>
            </w:r>
            <w:r w:rsidR="000A6679" w:rsidRPr="00321238">
              <w:rPr>
                <w:color w:val="000000"/>
                <w:sz w:val="18"/>
                <w:szCs w:val="18"/>
              </w:rPr>
              <w:t>,</w:t>
            </w:r>
            <w:r w:rsidRPr="00321238">
              <w:rPr>
                <w:color w:val="000000"/>
                <w:sz w:val="18"/>
                <w:szCs w:val="18"/>
              </w:rPr>
              <w:t>305</w:t>
            </w:r>
          </w:p>
        </w:tc>
        <w:tc>
          <w:tcPr>
            <w:tcW w:w="535" w:type="pct"/>
            <w:tcBorders>
              <w:top w:val="nil"/>
              <w:left w:val="nil"/>
              <w:bottom w:val="nil"/>
              <w:right w:val="nil"/>
            </w:tcBorders>
            <w:shd w:val="clear" w:color="auto" w:fill="auto"/>
            <w:vAlign w:val="bottom"/>
          </w:tcPr>
          <w:p w14:paraId="2D719A61" w14:textId="77777777"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57</w:t>
            </w:r>
            <w:r w:rsidR="000A6679" w:rsidRPr="00321238">
              <w:rPr>
                <w:color w:val="000000"/>
                <w:sz w:val="18"/>
                <w:szCs w:val="18"/>
              </w:rPr>
              <w:t>,</w:t>
            </w:r>
            <w:r w:rsidRPr="00321238">
              <w:rPr>
                <w:color w:val="000000"/>
                <w:sz w:val="18"/>
                <w:szCs w:val="18"/>
              </w:rPr>
              <w:t>305</w:t>
            </w:r>
          </w:p>
        </w:tc>
      </w:tr>
      <w:tr w:rsidR="003420E8" w:rsidRPr="00321238" w14:paraId="7956B2D1" w14:textId="77777777" w:rsidTr="000A6679">
        <w:trPr>
          <w:trHeight w:val="272"/>
        </w:trPr>
        <w:tc>
          <w:tcPr>
            <w:tcW w:w="1282" w:type="pct"/>
            <w:shd w:val="clear" w:color="auto" w:fill="auto"/>
            <w:vAlign w:val="bottom"/>
          </w:tcPr>
          <w:p w14:paraId="77D22F59" w14:textId="77777777" w:rsidR="003420E8" w:rsidRPr="00321238" w:rsidRDefault="003420E8" w:rsidP="003420E8">
            <w:pPr>
              <w:tabs>
                <w:tab w:val="left" w:pos="-720"/>
              </w:tabs>
              <w:suppressAutoHyphens/>
              <w:spacing w:after="0" w:line="240" w:lineRule="auto"/>
              <w:ind w:right="-5"/>
              <w:rPr>
                <w:rFonts w:cs="Arial"/>
                <w:sz w:val="18"/>
                <w:szCs w:val="18"/>
              </w:rPr>
            </w:pPr>
            <w:r w:rsidRPr="00321238">
              <w:rPr>
                <w:rFonts w:cs="Arial"/>
                <w:sz w:val="18"/>
                <w:szCs w:val="18"/>
              </w:rPr>
              <w:t xml:space="preserve">Non-current assets held for sale </w:t>
            </w:r>
          </w:p>
        </w:tc>
        <w:tc>
          <w:tcPr>
            <w:tcW w:w="502" w:type="pct"/>
            <w:tcBorders>
              <w:top w:val="nil"/>
              <w:left w:val="nil"/>
              <w:right w:val="nil"/>
            </w:tcBorders>
            <w:shd w:val="clear" w:color="auto" w:fill="auto"/>
            <w:vAlign w:val="bottom"/>
          </w:tcPr>
          <w:p w14:paraId="556F638A"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right w:val="nil"/>
            </w:tcBorders>
            <w:shd w:val="clear" w:color="auto" w:fill="auto"/>
            <w:vAlign w:val="bottom"/>
          </w:tcPr>
          <w:p w14:paraId="2D4A88DD"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right w:val="nil"/>
            </w:tcBorders>
            <w:shd w:val="clear" w:color="auto" w:fill="auto"/>
            <w:vAlign w:val="bottom"/>
          </w:tcPr>
          <w:p w14:paraId="1F71570F"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494" w:type="pct"/>
            <w:tcBorders>
              <w:top w:val="nil"/>
              <w:left w:val="nil"/>
              <w:right w:val="nil"/>
            </w:tcBorders>
            <w:shd w:val="clear" w:color="auto" w:fill="auto"/>
            <w:vAlign w:val="bottom"/>
          </w:tcPr>
          <w:p w14:paraId="5A25ACF2"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69" w:type="pct"/>
            <w:tcBorders>
              <w:top w:val="nil"/>
              <w:left w:val="nil"/>
              <w:right w:val="nil"/>
            </w:tcBorders>
            <w:shd w:val="clear" w:color="auto" w:fill="auto"/>
            <w:vAlign w:val="bottom"/>
          </w:tcPr>
          <w:p w14:paraId="7268993A"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46" w:type="pct"/>
            <w:tcBorders>
              <w:top w:val="nil"/>
              <w:left w:val="nil"/>
              <w:right w:val="nil"/>
            </w:tcBorders>
            <w:shd w:val="clear" w:color="auto" w:fill="auto"/>
            <w:vAlign w:val="bottom"/>
          </w:tcPr>
          <w:p w14:paraId="31CB33B1"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17</w:t>
            </w:r>
            <w:r w:rsidR="000A6679" w:rsidRPr="00321238">
              <w:rPr>
                <w:color w:val="000000"/>
                <w:sz w:val="18"/>
                <w:szCs w:val="18"/>
              </w:rPr>
              <w:t>,</w:t>
            </w:r>
            <w:r w:rsidRPr="00321238">
              <w:rPr>
                <w:color w:val="000000"/>
                <w:sz w:val="18"/>
                <w:szCs w:val="18"/>
              </w:rPr>
              <w:t>230</w:t>
            </w:r>
          </w:p>
        </w:tc>
        <w:tc>
          <w:tcPr>
            <w:tcW w:w="535" w:type="pct"/>
            <w:tcBorders>
              <w:top w:val="nil"/>
              <w:left w:val="nil"/>
              <w:right w:val="nil"/>
            </w:tcBorders>
            <w:shd w:val="clear" w:color="auto" w:fill="auto"/>
            <w:vAlign w:val="bottom"/>
          </w:tcPr>
          <w:p w14:paraId="5B8ADD3F" w14:textId="77777777"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17</w:t>
            </w:r>
            <w:r w:rsidR="000A6679" w:rsidRPr="00321238">
              <w:rPr>
                <w:color w:val="000000"/>
                <w:sz w:val="18"/>
                <w:szCs w:val="18"/>
              </w:rPr>
              <w:t>,</w:t>
            </w:r>
            <w:r w:rsidRPr="00321238">
              <w:rPr>
                <w:color w:val="000000"/>
                <w:sz w:val="18"/>
                <w:szCs w:val="18"/>
              </w:rPr>
              <w:t>230</w:t>
            </w:r>
          </w:p>
        </w:tc>
      </w:tr>
      <w:tr w:rsidR="003420E8" w:rsidRPr="00321238" w14:paraId="5691AD1E" w14:textId="77777777" w:rsidTr="000A6679">
        <w:trPr>
          <w:trHeight w:val="292"/>
        </w:trPr>
        <w:tc>
          <w:tcPr>
            <w:tcW w:w="1282" w:type="pct"/>
            <w:shd w:val="clear" w:color="auto" w:fill="auto"/>
            <w:vAlign w:val="bottom"/>
          </w:tcPr>
          <w:p w14:paraId="0E170293" w14:textId="77777777" w:rsidR="003420E8" w:rsidRPr="00321238" w:rsidRDefault="003420E8" w:rsidP="003420E8">
            <w:pPr>
              <w:tabs>
                <w:tab w:val="left" w:pos="-720"/>
              </w:tabs>
              <w:suppressAutoHyphens/>
              <w:spacing w:after="0" w:line="240" w:lineRule="auto"/>
              <w:ind w:right="-5"/>
              <w:rPr>
                <w:rFonts w:cs="Arial"/>
                <w:sz w:val="18"/>
                <w:szCs w:val="18"/>
              </w:rPr>
            </w:pPr>
            <w:r w:rsidRPr="00321238">
              <w:rPr>
                <w:rFonts w:cs="Arial"/>
                <w:sz w:val="18"/>
                <w:szCs w:val="18"/>
              </w:rPr>
              <w:t xml:space="preserve">Other assets  </w:t>
            </w:r>
          </w:p>
        </w:tc>
        <w:tc>
          <w:tcPr>
            <w:tcW w:w="502" w:type="pct"/>
            <w:tcBorders>
              <w:top w:val="nil"/>
              <w:left w:val="nil"/>
              <w:bottom w:val="single" w:sz="4" w:space="0" w:color="auto"/>
              <w:right w:val="nil"/>
            </w:tcBorders>
            <w:shd w:val="clear" w:color="auto" w:fill="auto"/>
            <w:vAlign w:val="bottom"/>
          </w:tcPr>
          <w:p w14:paraId="23CA849D"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single" w:sz="4" w:space="0" w:color="auto"/>
              <w:right w:val="nil"/>
            </w:tcBorders>
            <w:shd w:val="clear" w:color="auto" w:fill="auto"/>
            <w:vAlign w:val="bottom"/>
          </w:tcPr>
          <w:p w14:paraId="2B4E5241"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single" w:sz="4" w:space="0" w:color="auto"/>
              <w:right w:val="nil"/>
            </w:tcBorders>
            <w:shd w:val="clear" w:color="auto" w:fill="auto"/>
            <w:vAlign w:val="bottom"/>
          </w:tcPr>
          <w:p w14:paraId="76B64B92"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494" w:type="pct"/>
            <w:tcBorders>
              <w:top w:val="nil"/>
              <w:left w:val="nil"/>
              <w:bottom w:val="single" w:sz="4" w:space="0" w:color="auto"/>
              <w:right w:val="nil"/>
            </w:tcBorders>
            <w:shd w:val="clear" w:color="auto" w:fill="auto"/>
            <w:vAlign w:val="bottom"/>
          </w:tcPr>
          <w:p w14:paraId="4A7E1693"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69" w:type="pct"/>
            <w:tcBorders>
              <w:top w:val="nil"/>
              <w:left w:val="nil"/>
              <w:bottom w:val="single" w:sz="4" w:space="0" w:color="auto"/>
              <w:right w:val="nil"/>
            </w:tcBorders>
            <w:shd w:val="clear" w:color="auto" w:fill="auto"/>
            <w:vAlign w:val="bottom"/>
          </w:tcPr>
          <w:p w14:paraId="6234ED07"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46" w:type="pct"/>
            <w:tcBorders>
              <w:top w:val="nil"/>
              <w:left w:val="nil"/>
              <w:bottom w:val="single" w:sz="4" w:space="0" w:color="auto"/>
              <w:right w:val="nil"/>
            </w:tcBorders>
            <w:shd w:val="clear" w:color="auto" w:fill="auto"/>
            <w:vAlign w:val="bottom"/>
          </w:tcPr>
          <w:p w14:paraId="23760767"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9</w:t>
            </w:r>
            <w:r w:rsidR="000A6679" w:rsidRPr="00321238">
              <w:rPr>
                <w:color w:val="000000"/>
                <w:sz w:val="18"/>
                <w:szCs w:val="18"/>
              </w:rPr>
              <w:t>,</w:t>
            </w:r>
            <w:r w:rsidRPr="00321238">
              <w:rPr>
                <w:color w:val="000000"/>
                <w:sz w:val="18"/>
                <w:szCs w:val="18"/>
              </w:rPr>
              <w:t>122</w:t>
            </w:r>
          </w:p>
        </w:tc>
        <w:tc>
          <w:tcPr>
            <w:tcW w:w="535" w:type="pct"/>
            <w:tcBorders>
              <w:top w:val="nil"/>
              <w:left w:val="nil"/>
              <w:bottom w:val="single" w:sz="4" w:space="0" w:color="auto"/>
              <w:right w:val="nil"/>
            </w:tcBorders>
            <w:shd w:val="clear" w:color="auto" w:fill="auto"/>
            <w:vAlign w:val="bottom"/>
          </w:tcPr>
          <w:p w14:paraId="0206B671" w14:textId="77777777"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9</w:t>
            </w:r>
            <w:r w:rsidR="000A6679" w:rsidRPr="00321238">
              <w:rPr>
                <w:color w:val="000000"/>
                <w:sz w:val="18"/>
                <w:szCs w:val="18"/>
              </w:rPr>
              <w:t>,</w:t>
            </w:r>
            <w:r w:rsidRPr="00321238">
              <w:rPr>
                <w:color w:val="000000"/>
                <w:sz w:val="18"/>
                <w:szCs w:val="18"/>
              </w:rPr>
              <w:t>122</w:t>
            </w:r>
          </w:p>
        </w:tc>
      </w:tr>
      <w:tr w:rsidR="003420E8" w:rsidRPr="00321238" w14:paraId="7AAB9F42" w14:textId="77777777" w:rsidTr="000A6679">
        <w:trPr>
          <w:trHeight w:val="245"/>
        </w:trPr>
        <w:tc>
          <w:tcPr>
            <w:tcW w:w="1282" w:type="pct"/>
            <w:shd w:val="clear" w:color="auto" w:fill="auto"/>
            <w:vAlign w:val="bottom"/>
          </w:tcPr>
          <w:p w14:paraId="2DAB4E37" w14:textId="77777777" w:rsidR="003420E8" w:rsidRPr="00321238" w:rsidRDefault="003420E8" w:rsidP="003420E8">
            <w:pPr>
              <w:tabs>
                <w:tab w:val="right" w:pos="1202"/>
              </w:tabs>
              <w:spacing w:after="0" w:line="240" w:lineRule="auto"/>
              <w:outlineLvl w:val="0"/>
              <w:rPr>
                <w:rFonts w:eastAsia="Times New Roman" w:cs="Arial"/>
                <w:b/>
                <w:bCs/>
                <w:sz w:val="18"/>
                <w:szCs w:val="18"/>
              </w:rPr>
            </w:pPr>
            <w:r w:rsidRPr="00321238">
              <w:rPr>
                <w:rFonts w:eastAsia="Times New Roman" w:cs="Arial"/>
                <w:b/>
                <w:bCs/>
                <w:sz w:val="18"/>
                <w:szCs w:val="18"/>
              </w:rPr>
              <w:t>Total assets (1)</w:t>
            </w:r>
          </w:p>
        </w:tc>
        <w:tc>
          <w:tcPr>
            <w:tcW w:w="502" w:type="pct"/>
            <w:tcBorders>
              <w:top w:val="single" w:sz="4" w:space="0" w:color="auto"/>
              <w:left w:val="nil"/>
              <w:bottom w:val="single" w:sz="8" w:space="0" w:color="auto"/>
              <w:right w:val="nil"/>
            </w:tcBorders>
            <w:shd w:val="clear" w:color="auto" w:fill="auto"/>
            <w:vAlign w:val="center"/>
          </w:tcPr>
          <w:p w14:paraId="1FE45732" w14:textId="77777777" w:rsidR="003420E8" w:rsidRPr="00321238" w:rsidRDefault="003420E8" w:rsidP="003420E8">
            <w:pPr>
              <w:spacing w:after="0" w:line="240" w:lineRule="auto"/>
              <w:jc w:val="right"/>
              <w:rPr>
                <w:rFonts w:eastAsia="Times New Roman" w:cs="Arial"/>
                <w:b/>
                <w:bCs/>
                <w:sz w:val="18"/>
                <w:szCs w:val="18"/>
              </w:rPr>
            </w:pPr>
            <w:r w:rsidRPr="00321238">
              <w:rPr>
                <w:b/>
                <w:bCs/>
                <w:color w:val="000000"/>
                <w:sz w:val="18"/>
                <w:szCs w:val="18"/>
              </w:rPr>
              <w:t>4</w:t>
            </w:r>
            <w:r w:rsidR="000A6679" w:rsidRPr="00321238">
              <w:rPr>
                <w:b/>
                <w:bCs/>
                <w:color w:val="000000"/>
                <w:sz w:val="18"/>
                <w:szCs w:val="18"/>
              </w:rPr>
              <w:t>,</w:t>
            </w:r>
            <w:r w:rsidRPr="00321238">
              <w:rPr>
                <w:b/>
                <w:bCs/>
                <w:color w:val="000000"/>
                <w:sz w:val="18"/>
                <w:szCs w:val="18"/>
              </w:rPr>
              <w:t>601</w:t>
            </w:r>
            <w:r w:rsidR="000A6679" w:rsidRPr="00321238">
              <w:rPr>
                <w:b/>
                <w:bCs/>
                <w:color w:val="000000"/>
                <w:sz w:val="18"/>
                <w:szCs w:val="18"/>
              </w:rPr>
              <w:t>,</w:t>
            </w:r>
            <w:r w:rsidRPr="00321238">
              <w:rPr>
                <w:b/>
                <w:bCs/>
                <w:color w:val="000000"/>
                <w:sz w:val="18"/>
                <w:szCs w:val="18"/>
              </w:rPr>
              <w:t>967</w:t>
            </w:r>
          </w:p>
        </w:tc>
        <w:tc>
          <w:tcPr>
            <w:tcW w:w="536" w:type="pct"/>
            <w:tcBorders>
              <w:top w:val="single" w:sz="4" w:space="0" w:color="auto"/>
              <w:left w:val="nil"/>
              <w:bottom w:val="single" w:sz="8" w:space="0" w:color="auto"/>
              <w:right w:val="nil"/>
            </w:tcBorders>
            <w:shd w:val="clear" w:color="auto" w:fill="auto"/>
            <w:vAlign w:val="center"/>
          </w:tcPr>
          <w:p w14:paraId="15F1CA05" w14:textId="77777777" w:rsidR="003420E8" w:rsidRPr="00321238" w:rsidRDefault="003420E8" w:rsidP="003420E8">
            <w:pPr>
              <w:spacing w:after="0" w:line="240" w:lineRule="auto"/>
              <w:jc w:val="right"/>
              <w:rPr>
                <w:rFonts w:eastAsia="Times New Roman" w:cs="Arial"/>
                <w:b/>
                <w:bCs/>
                <w:sz w:val="18"/>
                <w:szCs w:val="18"/>
              </w:rPr>
            </w:pPr>
            <w:r w:rsidRPr="00321238">
              <w:rPr>
                <w:b/>
                <w:bCs/>
                <w:color w:val="000000"/>
                <w:sz w:val="18"/>
                <w:szCs w:val="18"/>
              </w:rPr>
              <w:t>1</w:t>
            </w:r>
            <w:r w:rsidR="000A6679" w:rsidRPr="00321238">
              <w:rPr>
                <w:b/>
                <w:bCs/>
                <w:color w:val="000000"/>
                <w:sz w:val="18"/>
                <w:szCs w:val="18"/>
              </w:rPr>
              <w:t>,</w:t>
            </w:r>
            <w:r w:rsidRPr="00321238">
              <w:rPr>
                <w:b/>
                <w:bCs/>
                <w:color w:val="000000"/>
                <w:sz w:val="18"/>
                <w:szCs w:val="18"/>
              </w:rPr>
              <w:t>684</w:t>
            </w:r>
            <w:r w:rsidR="000A6679" w:rsidRPr="00321238">
              <w:rPr>
                <w:b/>
                <w:bCs/>
                <w:color w:val="000000"/>
                <w:sz w:val="18"/>
                <w:szCs w:val="18"/>
              </w:rPr>
              <w:t>,</w:t>
            </w:r>
            <w:r w:rsidRPr="00321238">
              <w:rPr>
                <w:b/>
                <w:bCs/>
                <w:color w:val="000000"/>
                <w:sz w:val="18"/>
                <w:szCs w:val="18"/>
              </w:rPr>
              <w:t>645</w:t>
            </w:r>
          </w:p>
        </w:tc>
        <w:tc>
          <w:tcPr>
            <w:tcW w:w="536" w:type="pct"/>
            <w:tcBorders>
              <w:top w:val="single" w:sz="4" w:space="0" w:color="auto"/>
              <w:left w:val="nil"/>
              <w:bottom w:val="single" w:sz="8" w:space="0" w:color="auto"/>
              <w:right w:val="nil"/>
            </w:tcBorders>
            <w:shd w:val="clear" w:color="auto" w:fill="auto"/>
            <w:vAlign w:val="center"/>
          </w:tcPr>
          <w:p w14:paraId="77DFE5C6" w14:textId="77777777" w:rsidR="003420E8" w:rsidRPr="00321238" w:rsidRDefault="003420E8" w:rsidP="003420E8">
            <w:pPr>
              <w:spacing w:after="0" w:line="240" w:lineRule="auto"/>
              <w:jc w:val="right"/>
              <w:rPr>
                <w:rFonts w:eastAsia="Times New Roman" w:cs="Arial"/>
                <w:b/>
                <w:bCs/>
                <w:sz w:val="18"/>
                <w:szCs w:val="18"/>
              </w:rPr>
            </w:pPr>
            <w:r w:rsidRPr="00321238">
              <w:rPr>
                <w:b/>
                <w:bCs/>
                <w:color w:val="000000"/>
                <w:sz w:val="18"/>
                <w:szCs w:val="18"/>
              </w:rPr>
              <w:t>2</w:t>
            </w:r>
            <w:r w:rsidR="000A6679" w:rsidRPr="00321238">
              <w:rPr>
                <w:b/>
                <w:bCs/>
                <w:color w:val="000000"/>
                <w:sz w:val="18"/>
                <w:szCs w:val="18"/>
              </w:rPr>
              <w:t>,</w:t>
            </w:r>
            <w:r w:rsidRPr="00321238">
              <w:rPr>
                <w:b/>
                <w:bCs/>
                <w:color w:val="000000"/>
                <w:sz w:val="18"/>
                <w:szCs w:val="18"/>
              </w:rPr>
              <w:t>955</w:t>
            </w:r>
            <w:r w:rsidR="000A6679" w:rsidRPr="00321238">
              <w:rPr>
                <w:b/>
                <w:bCs/>
                <w:color w:val="000000"/>
                <w:sz w:val="18"/>
                <w:szCs w:val="18"/>
              </w:rPr>
              <w:t>,</w:t>
            </w:r>
            <w:r w:rsidRPr="00321238">
              <w:rPr>
                <w:b/>
                <w:bCs/>
                <w:color w:val="000000"/>
                <w:sz w:val="18"/>
                <w:szCs w:val="18"/>
              </w:rPr>
              <w:t>328</w:t>
            </w:r>
          </w:p>
        </w:tc>
        <w:tc>
          <w:tcPr>
            <w:tcW w:w="494" w:type="pct"/>
            <w:tcBorders>
              <w:top w:val="single" w:sz="4" w:space="0" w:color="auto"/>
              <w:left w:val="nil"/>
              <w:bottom w:val="single" w:sz="8" w:space="0" w:color="auto"/>
              <w:right w:val="nil"/>
            </w:tcBorders>
            <w:shd w:val="clear" w:color="auto" w:fill="auto"/>
            <w:vAlign w:val="center"/>
          </w:tcPr>
          <w:p w14:paraId="637ED377" w14:textId="77777777" w:rsidR="003420E8" w:rsidRPr="00321238" w:rsidRDefault="003420E8" w:rsidP="003420E8">
            <w:pPr>
              <w:spacing w:after="0" w:line="240" w:lineRule="auto"/>
              <w:jc w:val="right"/>
              <w:rPr>
                <w:rFonts w:eastAsia="Times New Roman" w:cs="Arial"/>
                <w:b/>
                <w:bCs/>
                <w:sz w:val="18"/>
                <w:szCs w:val="18"/>
              </w:rPr>
            </w:pPr>
            <w:r w:rsidRPr="00321238">
              <w:rPr>
                <w:b/>
                <w:bCs/>
                <w:color w:val="000000"/>
                <w:sz w:val="18"/>
                <w:szCs w:val="18"/>
              </w:rPr>
              <w:t>4</w:t>
            </w:r>
            <w:r w:rsidR="000A6679" w:rsidRPr="00321238">
              <w:rPr>
                <w:b/>
                <w:bCs/>
                <w:color w:val="000000"/>
                <w:sz w:val="18"/>
                <w:szCs w:val="18"/>
              </w:rPr>
              <w:t>,</w:t>
            </w:r>
            <w:r w:rsidRPr="00321238">
              <w:rPr>
                <w:b/>
                <w:bCs/>
                <w:color w:val="000000"/>
                <w:sz w:val="18"/>
                <w:szCs w:val="18"/>
              </w:rPr>
              <w:t>433</w:t>
            </w:r>
            <w:r w:rsidR="000A6679" w:rsidRPr="00321238">
              <w:rPr>
                <w:b/>
                <w:bCs/>
                <w:color w:val="000000"/>
                <w:sz w:val="18"/>
                <w:szCs w:val="18"/>
              </w:rPr>
              <w:t>,</w:t>
            </w:r>
            <w:r w:rsidRPr="00321238">
              <w:rPr>
                <w:b/>
                <w:bCs/>
                <w:color w:val="000000"/>
                <w:sz w:val="18"/>
                <w:szCs w:val="18"/>
              </w:rPr>
              <w:t>048</w:t>
            </w:r>
          </w:p>
        </w:tc>
        <w:tc>
          <w:tcPr>
            <w:tcW w:w="569" w:type="pct"/>
            <w:tcBorders>
              <w:top w:val="single" w:sz="4" w:space="0" w:color="auto"/>
              <w:left w:val="nil"/>
              <w:bottom w:val="single" w:sz="8" w:space="0" w:color="auto"/>
              <w:right w:val="nil"/>
            </w:tcBorders>
            <w:shd w:val="clear" w:color="auto" w:fill="auto"/>
            <w:vAlign w:val="center"/>
          </w:tcPr>
          <w:p w14:paraId="138363DC" w14:textId="77777777" w:rsidR="003420E8" w:rsidRPr="00321238" w:rsidRDefault="003420E8" w:rsidP="003420E8">
            <w:pPr>
              <w:spacing w:after="0" w:line="240" w:lineRule="auto"/>
              <w:jc w:val="right"/>
              <w:rPr>
                <w:rFonts w:eastAsia="Times New Roman" w:cs="Arial"/>
                <w:b/>
                <w:bCs/>
                <w:sz w:val="18"/>
                <w:szCs w:val="18"/>
              </w:rPr>
            </w:pPr>
            <w:r w:rsidRPr="00321238">
              <w:rPr>
                <w:b/>
                <w:bCs/>
                <w:color w:val="000000"/>
                <w:sz w:val="18"/>
                <w:szCs w:val="18"/>
              </w:rPr>
              <w:t>12</w:t>
            </w:r>
            <w:r w:rsidR="000A6679" w:rsidRPr="00321238">
              <w:rPr>
                <w:b/>
                <w:bCs/>
                <w:color w:val="000000"/>
                <w:sz w:val="18"/>
                <w:szCs w:val="18"/>
              </w:rPr>
              <w:t>,</w:t>
            </w:r>
            <w:r w:rsidRPr="00321238">
              <w:rPr>
                <w:b/>
                <w:bCs/>
                <w:color w:val="000000"/>
                <w:sz w:val="18"/>
                <w:szCs w:val="18"/>
              </w:rPr>
              <w:t>086</w:t>
            </w:r>
            <w:r w:rsidR="000A6679" w:rsidRPr="00321238">
              <w:rPr>
                <w:b/>
                <w:bCs/>
                <w:color w:val="000000"/>
                <w:sz w:val="18"/>
                <w:szCs w:val="18"/>
              </w:rPr>
              <w:t>,</w:t>
            </w:r>
            <w:r w:rsidRPr="00321238">
              <w:rPr>
                <w:b/>
                <w:bCs/>
                <w:color w:val="000000"/>
                <w:sz w:val="18"/>
                <w:szCs w:val="18"/>
              </w:rPr>
              <w:t>260</w:t>
            </w:r>
          </w:p>
        </w:tc>
        <w:tc>
          <w:tcPr>
            <w:tcW w:w="546" w:type="pct"/>
            <w:tcBorders>
              <w:top w:val="single" w:sz="4" w:space="0" w:color="auto"/>
              <w:left w:val="nil"/>
              <w:bottom w:val="single" w:sz="8" w:space="0" w:color="auto"/>
              <w:right w:val="nil"/>
            </w:tcBorders>
            <w:shd w:val="clear" w:color="auto" w:fill="auto"/>
            <w:vAlign w:val="center"/>
          </w:tcPr>
          <w:p w14:paraId="329AAA6B" w14:textId="77777777" w:rsidR="003420E8" w:rsidRPr="00321238" w:rsidRDefault="003420E8" w:rsidP="003420E8">
            <w:pPr>
              <w:spacing w:after="0" w:line="240" w:lineRule="auto"/>
              <w:jc w:val="right"/>
              <w:rPr>
                <w:rFonts w:eastAsia="Times New Roman" w:cs="Arial"/>
                <w:b/>
                <w:bCs/>
                <w:sz w:val="18"/>
                <w:szCs w:val="18"/>
              </w:rPr>
            </w:pPr>
            <w:r w:rsidRPr="00321238">
              <w:rPr>
                <w:b/>
                <w:bCs/>
                <w:color w:val="000000"/>
                <w:sz w:val="18"/>
                <w:szCs w:val="18"/>
              </w:rPr>
              <w:t>1</w:t>
            </w:r>
            <w:r w:rsidR="000A6679" w:rsidRPr="00321238">
              <w:rPr>
                <w:b/>
                <w:bCs/>
                <w:color w:val="000000"/>
                <w:sz w:val="18"/>
                <w:szCs w:val="18"/>
              </w:rPr>
              <w:t>,</w:t>
            </w:r>
            <w:r w:rsidRPr="00321238">
              <w:rPr>
                <w:b/>
                <w:bCs/>
                <w:color w:val="000000"/>
                <w:sz w:val="18"/>
                <w:szCs w:val="18"/>
              </w:rPr>
              <w:t>629</w:t>
            </w:r>
            <w:r w:rsidR="000A6679" w:rsidRPr="00321238">
              <w:rPr>
                <w:b/>
                <w:bCs/>
                <w:color w:val="000000"/>
                <w:sz w:val="18"/>
                <w:szCs w:val="18"/>
              </w:rPr>
              <w:t>,</w:t>
            </w:r>
            <w:r w:rsidRPr="00321238">
              <w:rPr>
                <w:b/>
                <w:bCs/>
                <w:color w:val="000000"/>
                <w:sz w:val="18"/>
                <w:szCs w:val="18"/>
              </w:rPr>
              <w:t>574</w:t>
            </w:r>
          </w:p>
        </w:tc>
        <w:tc>
          <w:tcPr>
            <w:tcW w:w="535" w:type="pct"/>
            <w:tcBorders>
              <w:top w:val="single" w:sz="4" w:space="0" w:color="auto"/>
              <w:left w:val="nil"/>
              <w:bottom w:val="single" w:sz="8" w:space="0" w:color="auto"/>
              <w:right w:val="nil"/>
            </w:tcBorders>
            <w:shd w:val="clear" w:color="auto" w:fill="auto"/>
            <w:vAlign w:val="center"/>
          </w:tcPr>
          <w:p w14:paraId="728886E3" w14:textId="77777777" w:rsidR="003420E8" w:rsidRPr="00321238" w:rsidRDefault="003420E8" w:rsidP="003420E8">
            <w:pPr>
              <w:spacing w:after="0" w:line="240" w:lineRule="auto"/>
              <w:jc w:val="right"/>
              <w:rPr>
                <w:rFonts w:eastAsia="Times New Roman" w:cs="Arial"/>
                <w:b/>
                <w:bCs/>
                <w:sz w:val="18"/>
                <w:szCs w:val="18"/>
              </w:rPr>
            </w:pPr>
            <w:r w:rsidRPr="00321238">
              <w:rPr>
                <w:b/>
                <w:bCs/>
                <w:color w:val="000000"/>
                <w:sz w:val="18"/>
                <w:szCs w:val="18"/>
              </w:rPr>
              <w:t>27</w:t>
            </w:r>
            <w:r w:rsidR="000A6679" w:rsidRPr="00321238">
              <w:rPr>
                <w:b/>
                <w:bCs/>
                <w:color w:val="000000"/>
                <w:sz w:val="18"/>
                <w:szCs w:val="18"/>
              </w:rPr>
              <w:t>,</w:t>
            </w:r>
            <w:r w:rsidRPr="00321238">
              <w:rPr>
                <w:b/>
                <w:bCs/>
                <w:color w:val="000000"/>
                <w:sz w:val="18"/>
                <w:szCs w:val="18"/>
              </w:rPr>
              <w:t>390</w:t>
            </w:r>
            <w:r w:rsidR="000A6679" w:rsidRPr="00321238">
              <w:rPr>
                <w:b/>
                <w:bCs/>
                <w:color w:val="000000"/>
                <w:sz w:val="18"/>
                <w:szCs w:val="18"/>
              </w:rPr>
              <w:t>,</w:t>
            </w:r>
            <w:r w:rsidRPr="00321238">
              <w:rPr>
                <w:b/>
                <w:bCs/>
                <w:color w:val="000000"/>
                <w:sz w:val="18"/>
                <w:szCs w:val="18"/>
              </w:rPr>
              <w:t>822</w:t>
            </w:r>
          </w:p>
        </w:tc>
      </w:tr>
      <w:tr w:rsidR="009702B0" w:rsidRPr="00321238" w14:paraId="5B1F6DDA" w14:textId="77777777" w:rsidTr="003420E8">
        <w:trPr>
          <w:trHeight w:val="292"/>
        </w:trPr>
        <w:tc>
          <w:tcPr>
            <w:tcW w:w="1282" w:type="pct"/>
            <w:shd w:val="clear" w:color="auto" w:fill="auto"/>
            <w:vAlign w:val="bottom"/>
          </w:tcPr>
          <w:p w14:paraId="25099D4A" w14:textId="77777777" w:rsidR="009702B0" w:rsidRPr="00321238" w:rsidRDefault="009702B0" w:rsidP="009702B0">
            <w:pPr>
              <w:tabs>
                <w:tab w:val="left" w:pos="-720"/>
              </w:tabs>
              <w:suppressAutoHyphens/>
              <w:spacing w:after="0" w:line="240" w:lineRule="auto"/>
              <w:ind w:right="-6"/>
              <w:jc w:val="both"/>
              <w:rPr>
                <w:rFonts w:cs="Arial"/>
                <w:sz w:val="18"/>
                <w:szCs w:val="18"/>
              </w:rPr>
            </w:pPr>
          </w:p>
        </w:tc>
        <w:tc>
          <w:tcPr>
            <w:tcW w:w="502" w:type="pct"/>
            <w:tcBorders>
              <w:top w:val="single" w:sz="12" w:space="0" w:color="auto"/>
            </w:tcBorders>
            <w:shd w:val="clear" w:color="auto" w:fill="auto"/>
            <w:vAlign w:val="bottom"/>
          </w:tcPr>
          <w:p w14:paraId="7CE3F286" w14:textId="77777777" w:rsidR="009702B0" w:rsidRPr="00321238" w:rsidRDefault="009702B0" w:rsidP="009702B0">
            <w:pPr>
              <w:tabs>
                <w:tab w:val="left" w:pos="-720"/>
              </w:tabs>
              <w:suppressAutoHyphens/>
              <w:spacing w:after="0" w:line="240" w:lineRule="auto"/>
              <w:ind w:right="-6"/>
              <w:jc w:val="right"/>
              <w:rPr>
                <w:rFonts w:cs="Arial"/>
                <w:sz w:val="18"/>
                <w:szCs w:val="18"/>
              </w:rPr>
            </w:pPr>
          </w:p>
        </w:tc>
        <w:tc>
          <w:tcPr>
            <w:tcW w:w="536" w:type="pct"/>
            <w:tcBorders>
              <w:top w:val="single" w:sz="12" w:space="0" w:color="auto"/>
            </w:tcBorders>
            <w:shd w:val="clear" w:color="auto" w:fill="auto"/>
            <w:vAlign w:val="bottom"/>
          </w:tcPr>
          <w:p w14:paraId="4FDC0C4B" w14:textId="77777777" w:rsidR="009702B0" w:rsidRPr="00321238" w:rsidRDefault="009702B0" w:rsidP="009702B0">
            <w:pPr>
              <w:tabs>
                <w:tab w:val="left" w:pos="-720"/>
              </w:tabs>
              <w:suppressAutoHyphens/>
              <w:spacing w:after="0" w:line="240" w:lineRule="auto"/>
              <w:ind w:right="-6"/>
              <w:jc w:val="right"/>
              <w:rPr>
                <w:rFonts w:cs="Arial"/>
                <w:sz w:val="18"/>
                <w:szCs w:val="18"/>
              </w:rPr>
            </w:pPr>
          </w:p>
        </w:tc>
        <w:tc>
          <w:tcPr>
            <w:tcW w:w="536" w:type="pct"/>
            <w:tcBorders>
              <w:top w:val="single" w:sz="12" w:space="0" w:color="auto"/>
            </w:tcBorders>
            <w:shd w:val="clear" w:color="auto" w:fill="auto"/>
            <w:vAlign w:val="bottom"/>
          </w:tcPr>
          <w:p w14:paraId="47D07EC6" w14:textId="77777777" w:rsidR="009702B0" w:rsidRPr="00321238" w:rsidRDefault="009702B0" w:rsidP="009702B0">
            <w:pPr>
              <w:tabs>
                <w:tab w:val="left" w:pos="-720"/>
              </w:tabs>
              <w:suppressAutoHyphens/>
              <w:spacing w:after="0" w:line="240" w:lineRule="auto"/>
              <w:ind w:right="-6"/>
              <w:jc w:val="right"/>
              <w:rPr>
                <w:rFonts w:cs="Arial"/>
                <w:sz w:val="18"/>
                <w:szCs w:val="18"/>
              </w:rPr>
            </w:pPr>
          </w:p>
        </w:tc>
        <w:tc>
          <w:tcPr>
            <w:tcW w:w="494" w:type="pct"/>
            <w:tcBorders>
              <w:top w:val="single" w:sz="12" w:space="0" w:color="auto"/>
            </w:tcBorders>
            <w:shd w:val="clear" w:color="auto" w:fill="auto"/>
            <w:vAlign w:val="bottom"/>
          </w:tcPr>
          <w:p w14:paraId="249C507E" w14:textId="77777777" w:rsidR="009702B0" w:rsidRPr="00321238" w:rsidRDefault="009702B0" w:rsidP="009702B0">
            <w:pPr>
              <w:tabs>
                <w:tab w:val="left" w:pos="-720"/>
              </w:tabs>
              <w:suppressAutoHyphens/>
              <w:spacing w:after="0" w:line="240" w:lineRule="auto"/>
              <w:ind w:right="-6"/>
              <w:jc w:val="right"/>
              <w:rPr>
                <w:rFonts w:cs="Arial"/>
                <w:sz w:val="18"/>
                <w:szCs w:val="18"/>
              </w:rPr>
            </w:pPr>
          </w:p>
        </w:tc>
        <w:tc>
          <w:tcPr>
            <w:tcW w:w="569" w:type="pct"/>
            <w:tcBorders>
              <w:top w:val="single" w:sz="12" w:space="0" w:color="auto"/>
            </w:tcBorders>
            <w:shd w:val="clear" w:color="auto" w:fill="auto"/>
            <w:vAlign w:val="bottom"/>
          </w:tcPr>
          <w:p w14:paraId="1BC8AE18" w14:textId="77777777" w:rsidR="009702B0" w:rsidRPr="00321238" w:rsidRDefault="009702B0" w:rsidP="009702B0">
            <w:pPr>
              <w:tabs>
                <w:tab w:val="left" w:pos="-720"/>
              </w:tabs>
              <w:suppressAutoHyphens/>
              <w:spacing w:after="0" w:line="240" w:lineRule="auto"/>
              <w:ind w:right="-6"/>
              <w:jc w:val="right"/>
              <w:rPr>
                <w:rFonts w:cs="Arial"/>
                <w:sz w:val="18"/>
                <w:szCs w:val="18"/>
              </w:rPr>
            </w:pPr>
          </w:p>
        </w:tc>
        <w:tc>
          <w:tcPr>
            <w:tcW w:w="546" w:type="pct"/>
            <w:tcBorders>
              <w:top w:val="single" w:sz="12" w:space="0" w:color="auto"/>
            </w:tcBorders>
            <w:shd w:val="clear" w:color="auto" w:fill="auto"/>
            <w:vAlign w:val="bottom"/>
          </w:tcPr>
          <w:p w14:paraId="7CCB8AA8" w14:textId="77777777" w:rsidR="009702B0" w:rsidRPr="00321238" w:rsidRDefault="009702B0" w:rsidP="009702B0">
            <w:pPr>
              <w:tabs>
                <w:tab w:val="left" w:pos="-720"/>
              </w:tabs>
              <w:suppressAutoHyphens/>
              <w:spacing w:after="0" w:line="240" w:lineRule="auto"/>
              <w:ind w:right="-6"/>
              <w:jc w:val="right"/>
              <w:rPr>
                <w:rFonts w:cs="Arial"/>
                <w:sz w:val="18"/>
                <w:szCs w:val="18"/>
              </w:rPr>
            </w:pPr>
          </w:p>
        </w:tc>
        <w:tc>
          <w:tcPr>
            <w:tcW w:w="535" w:type="pct"/>
            <w:tcBorders>
              <w:top w:val="single" w:sz="12" w:space="0" w:color="auto"/>
            </w:tcBorders>
            <w:shd w:val="clear" w:color="auto" w:fill="auto"/>
            <w:vAlign w:val="bottom"/>
          </w:tcPr>
          <w:p w14:paraId="27935B39" w14:textId="77777777" w:rsidR="009702B0" w:rsidRPr="00321238" w:rsidRDefault="009702B0" w:rsidP="009702B0">
            <w:pPr>
              <w:tabs>
                <w:tab w:val="left" w:pos="-720"/>
              </w:tabs>
              <w:suppressAutoHyphens/>
              <w:spacing w:after="0" w:line="240" w:lineRule="auto"/>
              <w:ind w:right="-6"/>
              <w:jc w:val="right"/>
              <w:rPr>
                <w:rFonts w:cs="Arial"/>
                <w:sz w:val="18"/>
                <w:szCs w:val="18"/>
              </w:rPr>
            </w:pPr>
          </w:p>
        </w:tc>
      </w:tr>
      <w:tr w:rsidR="009702B0" w:rsidRPr="00321238" w14:paraId="7A986891" w14:textId="77777777" w:rsidTr="003420E8">
        <w:trPr>
          <w:trHeight w:val="233"/>
        </w:trPr>
        <w:tc>
          <w:tcPr>
            <w:tcW w:w="1282" w:type="pct"/>
          </w:tcPr>
          <w:p w14:paraId="5FC61D5C" w14:textId="77777777" w:rsidR="009702B0" w:rsidRPr="00321238" w:rsidRDefault="009702B0" w:rsidP="009702B0">
            <w:pPr>
              <w:tabs>
                <w:tab w:val="right" w:pos="1202"/>
              </w:tabs>
              <w:spacing w:after="0" w:line="240" w:lineRule="auto"/>
              <w:outlineLvl w:val="0"/>
              <w:rPr>
                <w:rFonts w:eastAsia="Times New Roman" w:cs="Arial"/>
                <w:b/>
                <w:bCs/>
                <w:sz w:val="18"/>
                <w:szCs w:val="18"/>
              </w:rPr>
            </w:pPr>
            <w:r w:rsidRPr="00321238">
              <w:rPr>
                <w:rFonts w:eastAsia="Times New Roman" w:cs="Arial"/>
                <w:b/>
                <w:bCs/>
                <w:sz w:val="18"/>
                <w:szCs w:val="18"/>
              </w:rPr>
              <w:t xml:space="preserve">Liabilities </w:t>
            </w:r>
          </w:p>
        </w:tc>
        <w:tc>
          <w:tcPr>
            <w:tcW w:w="502" w:type="pct"/>
            <w:vAlign w:val="bottom"/>
          </w:tcPr>
          <w:p w14:paraId="4E61321B" w14:textId="77777777"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36" w:type="pct"/>
            <w:vAlign w:val="bottom"/>
          </w:tcPr>
          <w:p w14:paraId="01CC0DEE" w14:textId="77777777"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36" w:type="pct"/>
            <w:vAlign w:val="bottom"/>
          </w:tcPr>
          <w:p w14:paraId="0C3F07F4" w14:textId="77777777"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494" w:type="pct"/>
            <w:vAlign w:val="bottom"/>
          </w:tcPr>
          <w:p w14:paraId="6920E0BA" w14:textId="77777777"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69" w:type="pct"/>
            <w:vAlign w:val="bottom"/>
          </w:tcPr>
          <w:p w14:paraId="2D5A1C2C" w14:textId="77777777"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46" w:type="pct"/>
            <w:vAlign w:val="bottom"/>
          </w:tcPr>
          <w:p w14:paraId="74F7A204" w14:textId="77777777" w:rsidR="009702B0" w:rsidRPr="00321238" w:rsidRDefault="009702B0" w:rsidP="009702B0">
            <w:pPr>
              <w:tabs>
                <w:tab w:val="right" w:pos="1202"/>
              </w:tabs>
              <w:spacing w:after="0" w:line="240" w:lineRule="auto"/>
              <w:jc w:val="right"/>
              <w:outlineLvl w:val="0"/>
              <w:rPr>
                <w:rFonts w:eastAsia="Times New Roman" w:cs="Arial"/>
                <w:b/>
                <w:sz w:val="18"/>
                <w:szCs w:val="18"/>
              </w:rPr>
            </w:pPr>
          </w:p>
        </w:tc>
        <w:tc>
          <w:tcPr>
            <w:tcW w:w="535" w:type="pct"/>
            <w:vAlign w:val="bottom"/>
          </w:tcPr>
          <w:p w14:paraId="5B0F7215" w14:textId="77777777" w:rsidR="009702B0" w:rsidRPr="00321238" w:rsidRDefault="009702B0" w:rsidP="009702B0">
            <w:pPr>
              <w:tabs>
                <w:tab w:val="right" w:pos="1202"/>
              </w:tabs>
              <w:spacing w:after="0" w:line="240" w:lineRule="auto"/>
              <w:jc w:val="right"/>
              <w:outlineLvl w:val="0"/>
              <w:rPr>
                <w:rFonts w:eastAsia="Times New Roman" w:cs="Arial"/>
                <w:sz w:val="18"/>
                <w:szCs w:val="18"/>
              </w:rPr>
            </w:pPr>
          </w:p>
        </w:tc>
      </w:tr>
      <w:tr w:rsidR="003420E8" w:rsidRPr="00321238" w14:paraId="5BEF5E4C" w14:textId="77777777" w:rsidTr="00624862">
        <w:trPr>
          <w:trHeight w:val="250"/>
        </w:trPr>
        <w:tc>
          <w:tcPr>
            <w:tcW w:w="1282" w:type="pct"/>
          </w:tcPr>
          <w:p w14:paraId="43F073D1" w14:textId="77777777" w:rsidR="003420E8" w:rsidRPr="00321238" w:rsidRDefault="003420E8" w:rsidP="003420E8">
            <w:pPr>
              <w:tabs>
                <w:tab w:val="right" w:pos="1202"/>
              </w:tabs>
              <w:spacing w:after="0" w:line="240" w:lineRule="auto"/>
              <w:outlineLvl w:val="0"/>
              <w:rPr>
                <w:rFonts w:eastAsia="Times New Roman" w:cs="Arial"/>
                <w:sz w:val="18"/>
                <w:szCs w:val="18"/>
              </w:rPr>
            </w:pPr>
            <w:r w:rsidRPr="00321238">
              <w:rPr>
                <w:rFonts w:eastAsia="Times New Roman" w:cs="Arial"/>
                <w:spacing w:val="-2"/>
                <w:sz w:val="18"/>
                <w:szCs w:val="18"/>
              </w:rPr>
              <w:t xml:space="preserve">Deposits </w:t>
            </w:r>
          </w:p>
        </w:tc>
        <w:tc>
          <w:tcPr>
            <w:tcW w:w="502" w:type="pct"/>
            <w:tcBorders>
              <w:top w:val="nil"/>
              <w:left w:val="nil"/>
              <w:bottom w:val="nil"/>
              <w:right w:val="nil"/>
            </w:tcBorders>
            <w:shd w:val="clear" w:color="auto" w:fill="auto"/>
            <w:vAlign w:val="bottom"/>
          </w:tcPr>
          <w:p w14:paraId="7A97FD8D"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nil"/>
              <w:right w:val="nil"/>
            </w:tcBorders>
            <w:shd w:val="clear" w:color="auto" w:fill="auto"/>
            <w:vAlign w:val="bottom"/>
          </w:tcPr>
          <w:p w14:paraId="33E70841"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nil"/>
              <w:right w:val="nil"/>
            </w:tcBorders>
            <w:shd w:val="clear" w:color="auto" w:fill="auto"/>
            <w:vAlign w:val="bottom"/>
          </w:tcPr>
          <w:p w14:paraId="41346D2C"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494" w:type="pct"/>
            <w:tcBorders>
              <w:top w:val="nil"/>
              <w:left w:val="nil"/>
              <w:bottom w:val="nil"/>
              <w:right w:val="nil"/>
            </w:tcBorders>
            <w:shd w:val="clear" w:color="auto" w:fill="auto"/>
            <w:vAlign w:val="bottom"/>
          </w:tcPr>
          <w:p w14:paraId="134CF65F"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69" w:type="pct"/>
            <w:tcBorders>
              <w:top w:val="nil"/>
              <w:left w:val="nil"/>
              <w:bottom w:val="nil"/>
              <w:right w:val="nil"/>
            </w:tcBorders>
            <w:shd w:val="clear" w:color="auto" w:fill="auto"/>
            <w:vAlign w:val="bottom"/>
          </w:tcPr>
          <w:p w14:paraId="0A9455A2"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46" w:type="pct"/>
            <w:tcBorders>
              <w:top w:val="nil"/>
              <w:left w:val="nil"/>
              <w:bottom w:val="nil"/>
              <w:right w:val="nil"/>
            </w:tcBorders>
            <w:shd w:val="clear" w:color="auto" w:fill="auto"/>
            <w:vAlign w:val="bottom"/>
          </w:tcPr>
          <w:p w14:paraId="77A5E763"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142</w:t>
            </w:r>
            <w:r w:rsidR="000A6679" w:rsidRPr="00321238">
              <w:rPr>
                <w:color w:val="000000"/>
                <w:sz w:val="18"/>
                <w:szCs w:val="18"/>
              </w:rPr>
              <w:t>,</w:t>
            </w:r>
            <w:r w:rsidRPr="00321238">
              <w:rPr>
                <w:color w:val="000000"/>
                <w:sz w:val="18"/>
                <w:szCs w:val="18"/>
              </w:rPr>
              <w:t>844</w:t>
            </w:r>
          </w:p>
        </w:tc>
        <w:tc>
          <w:tcPr>
            <w:tcW w:w="535" w:type="pct"/>
            <w:tcBorders>
              <w:top w:val="nil"/>
              <w:left w:val="nil"/>
              <w:bottom w:val="nil"/>
              <w:right w:val="nil"/>
            </w:tcBorders>
            <w:shd w:val="clear" w:color="auto" w:fill="auto"/>
            <w:vAlign w:val="bottom"/>
          </w:tcPr>
          <w:p w14:paraId="32AAC25E" w14:textId="77777777"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142</w:t>
            </w:r>
            <w:r w:rsidR="000A6679" w:rsidRPr="00321238">
              <w:rPr>
                <w:color w:val="000000"/>
                <w:sz w:val="18"/>
                <w:szCs w:val="18"/>
              </w:rPr>
              <w:t>,</w:t>
            </w:r>
            <w:r w:rsidRPr="00321238">
              <w:rPr>
                <w:color w:val="000000"/>
                <w:sz w:val="18"/>
                <w:szCs w:val="18"/>
              </w:rPr>
              <w:t>844</w:t>
            </w:r>
          </w:p>
        </w:tc>
      </w:tr>
      <w:tr w:rsidR="003420E8" w:rsidRPr="00321238" w14:paraId="3480BD58" w14:textId="77777777" w:rsidTr="00624862">
        <w:trPr>
          <w:trHeight w:val="250"/>
        </w:trPr>
        <w:tc>
          <w:tcPr>
            <w:tcW w:w="1282" w:type="pct"/>
          </w:tcPr>
          <w:p w14:paraId="090174C3" w14:textId="77777777" w:rsidR="003420E8" w:rsidRPr="00321238" w:rsidRDefault="003420E8" w:rsidP="003420E8">
            <w:pPr>
              <w:tabs>
                <w:tab w:val="right" w:pos="1202"/>
              </w:tabs>
              <w:spacing w:after="0" w:line="240" w:lineRule="auto"/>
              <w:outlineLvl w:val="0"/>
              <w:rPr>
                <w:rFonts w:eastAsia="Times New Roman" w:cs="Arial"/>
                <w:sz w:val="18"/>
                <w:szCs w:val="18"/>
              </w:rPr>
            </w:pPr>
            <w:r w:rsidRPr="00321238">
              <w:rPr>
                <w:rFonts w:eastAsia="Times New Roman" w:cs="Arial"/>
                <w:spacing w:val="-2"/>
                <w:sz w:val="18"/>
                <w:szCs w:val="18"/>
              </w:rPr>
              <w:t xml:space="preserve">Borrowings </w:t>
            </w:r>
          </w:p>
        </w:tc>
        <w:tc>
          <w:tcPr>
            <w:tcW w:w="502" w:type="pct"/>
            <w:tcBorders>
              <w:top w:val="nil"/>
              <w:left w:val="nil"/>
              <w:bottom w:val="nil"/>
              <w:right w:val="nil"/>
            </w:tcBorders>
            <w:shd w:val="clear" w:color="auto" w:fill="auto"/>
            <w:vAlign w:val="bottom"/>
          </w:tcPr>
          <w:p w14:paraId="17E90694"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355</w:t>
            </w:r>
            <w:r w:rsidR="000A6679" w:rsidRPr="00321238">
              <w:rPr>
                <w:color w:val="000000"/>
                <w:sz w:val="18"/>
                <w:szCs w:val="18"/>
              </w:rPr>
              <w:t>,</w:t>
            </w:r>
            <w:r w:rsidRPr="00321238">
              <w:rPr>
                <w:color w:val="000000"/>
                <w:sz w:val="18"/>
                <w:szCs w:val="18"/>
              </w:rPr>
              <w:t>442</w:t>
            </w:r>
          </w:p>
        </w:tc>
        <w:tc>
          <w:tcPr>
            <w:tcW w:w="536" w:type="pct"/>
            <w:tcBorders>
              <w:top w:val="nil"/>
              <w:left w:val="nil"/>
              <w:bottom w:val="nil"/>
              <w:right w:val="nil"/>
            </w:tcBorders>
            <w:shd w:val="clear" w:color="auto" w:fill="auto"/>
            <w:vAlign w:val="bottom"/>
          </w:tcPr>
          <w:p w14:paraId="61AE15E9"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171</w:t>
            </w:r>
            <w:r w:rsidR="000A6679" w:rsidRPr="00321238">
              <w:rPr>
                <w:color w:val="000000"/>
                <w:sz w:val="18"/>
                <w:szCs w:val="18"/>
              </w:rPr>
              <w:t>,</w:t>
            </w:r>
            <w:r w:rsidRPr="00321238">
              <w:rPr>
                <w:color w:val="000000"/>
                <w:sz w:val="18"/>
                <w:szCs w:val="18"/>
              </w:rPr>
              <w:t>450</w:t>
            </w:r>
          </w:p>
        </w:tc>
        <w:tc>
          <w:tcPr>
            <w:tcW w:w="536" w:type="pct"/>
            <w:tcBorders>
              <w:top w:val="nil"/>
              <w:left w:val="nil"/>
              <w:bottom w:val="nil"/>
              <w:right w:val="nil"/>
            </w:tcBorders>
            <w:shd w:val="clear" w:color="auto" w:fill="auto"/>
            <w:vAlign w:val="bottom"/>
          </w:tcPr>
          <w:p w14:paraId="6E8B63AF"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1</w:t>
            </w:r>
            <w:r w:rsidR="000A6679" w:rsidRPr="00321238">
              <w:rPr>
                <w:color w:val="000000"/>
                <w:sz w:val="18"/>
                <w:szCs w:val="18"/>
              </w:rPr>
              <w:t>,</w:t>
            </w:r>
            <w:r w:rsidRPr="00321238">
              <w:rPr>
                <w:color w:val="000000"/>
                <w:sz w:val="18"/>
                <w:szCs w:val="18"/>
              </w:rPr>
              <w:t>020</w:t>
            </w:r>
            <w:r w:rsidR="000A6679" w:rsidRPr="00321238">
              <w:rPr>
                <w:color w:val="000000"/>
                <w:sz w:val="18"/>
                <w:szCs w:val="18"/>
              </w:rPr>
              <w:t>,</w:t>
            </w:r>
            <w:r w:rsidRPr="00321238">
              <w:rPr>
                <w:color w:val="000000"/>
                <w:sz w:val="18"/>
                <w:szCs w:val="18"/>
              </w:rPr>
              <w:t>722</w:t>
            </w:r>
          </w:p>
        </w:tc>
        <w:tc>
          <w:tcPr>
            <w:tcW w:w="494" w:type="pct"/>
            <w:tcBorders>
              <w:top w:val="nil"/>
              <w:left w:val="nil"/>
              <w:bottom w:val="nil"/>
              <w:right w:val="nil"/>
            </w:tcBorders>
            <w:shd w:val="clear" w:color="auto" w:fill="auto"/>
            <w:vAlign w:val="bottom"/>
          </w:tcPr>
          <w:p w14:paraId="747C1AD2"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3</w:t>
            </w:r>
            <w:r w:rsidR="000A6679" w:rsidRPr="00321238">
              <w:rPr>
                <w:color w:val="000000"/>
                <w:sz w:val="18"/>
                <w:szCs w:val="18"/>
              </w:rPr>
              <w:t>,</w:t>
            </w:r>
            <w:r w:rsidRPr="00321238">
              <w:rPr>
                <w:color w:val="000000"/>
                <w:sz w:val="18"/>
                <w:szCs w:val="18"/>
              </w:rPr>
              <w:t>059</w:t>
            </w:r>
            <w:r w:rsidR="000A6679" w:rsidRPr="00321238">
              <w:rPr>
                <w:color w:val="000000"/>
                <w:sz w:val="18"/>
                <w:szCs w:val="18"/>
              </w:rPr>
              <w:t>,</w:t>
            </w:r>
            <w:r w:rsidRPr="00321238">
              <w:rPr>
                <w:color w:val="000000"/>
                <w:sz w:val="18"/>
                <w:szCs w:val="18"/>
              </w:rPr>
              <w:t>168</w:t>
            </w:r>
          </w:p>
        </w:tc>
        <w:tc>
          <w:tcPr>
            <w:tcW w:w="569" w:type="pct"/>
            <w:tcBorders>
              <w:top w:val="nil"/>
              <w:left w:val="nil"/>
              <w:bottom w:val="nil"/>
              <w:right w:val="nil"/>
            </w:tcBorders>
            <w:shd w:val="clear" w:color="auto" w:fill="auto"/>
            <w:vAlign w:val="bottom"/>
          </w:tcPr>
          <w:p w14:paraId="581DDA02"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8</w:t>
            </w:r>
            <w:r w:rsidR="000A6679" w:rsidRPr="00321238">
              <w:rPr>
                <w:color w:val="000000"/>
                <w:sz w:val="18"/>
                <w:szCs w:val="18"/>
              </w:rPr>
              <w:t>,</w:t>
            </w:r>
            <w:r w:rsidRPr="00321238">
              <w:rPr>
                <w:color w:val="000000"/>
                <w:sz w:val="18"/>
                <w:szCs w:val="18"/>
              </w:rPr>
              <w:t>720</w:t>
            </w:r>
            <w:r w:rsidR="000A6679" w:rsidRPr="00321238">
              <w:rPr>
                <w:color w:val="000000"/>
                <w:sz w:val="18"/>
                <w:szCs w:val="18"/>
              </w:rPr>
              <w:t>,</w:t>
            </w:r>
            <w:r w:rsidRPr="00321238">
              <w:rPr>
                <w:color w:val="000000"/>
                <w:sz w:val="18"/>
                <w:szCs w:val="18"/>
              </w:rPr>
              <w:t>949</w:t>
            </w:r>
          </w:p>
        </w:tc>
        <w:tc>
          <w:tcPr>
            <w:tcW w:w="546" w:type="pct"/>
            <w:tcBorders>
              <w:top w:val="nil"/>
              <w:left w:val="nil"/>
              <w:bottom w:val="nil"/>
              <w:right w:val="nil"/>
            </w:tcBorders>
            <w:shd w:val="clear" w:color="auto" w:fill="auto"/>
            <w:vAlign w:val="bottom"/>
          </w:tcPr>
          <w:p w14:paraId="0C4151FA"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64</w:t>
            </w:r>
            <w:r w:rsidR="000A6679" w:rsidRPr="00321238">
              <w:rPr>
                <w:color w:val="000000"/>
                <w:sz w:val="18"/>
                <w:szCs w:val="18"/>
              </w:rPr>
              <w:t>,</w:t>
            </w:r>
            <w:r w:rsidRPr="00321238">
              <w:rPr>
                <w:color w:val="000000"/>
                <w:sz w:val="18"/>
                <w:szCs w:val="18"/>
              </w:rPr>
              <w:t>018</w:t>
            </w:r>
          </w:p>
        </w:tc>
        <w:tc>
          <w:tcPr>
            <w:tcW w:w="535" w:type="pct"/>
            <w:tcBorders>
              <w:top w:val="nil"/>
              <w:left w:val="nil"/>
              <w:bottom w:val="nil"/>
              <w:right w:val="nil"/>
            </w:tcBorders>
            <w:shd w:val="clear" w:color="auto" w:fill="auto"/>
            <w:vAlign w:val="bottom"/>
          </w:tcPr>
          <w:p w14:paraId="40F28FBB" w14:textId="77777777"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13</w:t>
            </w:r>
            <w:r w:rsidR="000A6679" w:rsidRPr="00321238">
              <w:rPr>
                <w:color w:val="000000"/>
                <w:sz w:val="18"/>
                <w:szCs w:val="18"/>
              </w:rPr>
              <w:t>,</w:t>
            </w:r>
            <w:r w:rsidRPr="00321238">
              <w:rPr>
                <w:color w:val="000000"/>
                <w:sz w:val="18"/>
                <w:szCs w:val="18"/>
              </w:rPr>
              <w:t>391</w:t>
            </w:r>
            <w:r w:rsidR="000A6679" w:rsidRPr="00321238">
              <w:rPr>
                <w:color w:val="000000"/>
                <w:sz w:val="18"/>
                <w:szCs w:val="18"/>
              </w:rPr>
              <w:t>,</w:t>
            </w:r>
            <w:r w:rsidRPr="00321238">
              <w:rPr>
                <w:color w:val="000000"/>
                <w:sz w:val="18"/>
                <w:szCs w:val="18"/>
              </w:rPr>
              <w:t>749</w:t>
            </w:r>
          </w:p>
        </w:tc>
      </w:tr>
      <w:tr w:rsidR="003420E8" w:rsidRPr="00321238" w14:paraId="779E5F63" w14:textId="77777777" w:rsidTr="00624862">
        <w:trPr>
          <w:trHeight w:val="233"/>
        </w:trPr>
        <w:tc>
          <w:tcPr>
            <w:tcW w:w="1282" w:type="pct"/>
          </w:tcPr>
          <w:p w14:paraId="49ECAC97" w14:textId="77777777" w:rsidR="003420E8" w:rsidRPr="00321238" w:rsidRDefault="003420E8" w:rsidP="003420E8">
            <w:pPr>
              <w:tabs>
                <w:tab w:val="right" w:pos="1202"/>
              </w:tabs>
              <w:spacing w:after="0" w:line="240" w:lineRule="auto"/>
              <w:outlineLvl w:val="0"/>
              <w:rPr>
                <w:rFonts w:eastAsia="Times New Roman" w:cs="Arial"/>
                <w:sz w:val="18"/>
                <w:szCs w:val="18"/>
              </w:rPr>
            </w:pPr>
            <w:r w:rsidRPr="00321238">
              <w:rPr>
                <w:rFonts w:eastAsia="Times New Roman" w:cs="Arial"/>
                <w:spacing w:val="-2"/>
                <w:sz w:val="18"/>
                <w:szCs w:val="18"/>
              </w:rPr>
              <w:t xml:space="preserve">Bonds payable </w:t>
            </w:r>
          </w:p>
        </w:tc>
        <w:tc>
          <w:tcPr>
            <w:tcW w:w="502" w:type="pct"/>
            <w:tcBorders>
              <w:top w:val="nil"/>
              <w:left w:val="nil"/>
              <w:right w:val="nil"/>
            </w:tcBorders>
            <w:shd w:val="clear" w:color="auto" w:fill="auto"/>
            <w:vAlign w:val="bottom"/>
          </w:tcPr>
          <w:p w14:paraId="17A5EB9C"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right w:val="nil"/>
            </w:tcBorders>
            <w:shd w:val="clear" w:color="auto" w:fill="auto"/>
            <w:vAlign w:val="bottom"/>
          </w:tcPr>
          <w:p w14:paraId="534C6F7A"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right w:val="nil"/>
            </w:tcBorders>
            <w:shd w:val="clear" w:color="auto" w:fill="auto"/>
            <w:vAlign w:val="bottom"/>
          </w:tcPr>
          <w:p w14:paraId="365D70D0"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1</w:t>
            </w:r>
            <w:r w:rsidR="000A6679" w:rsidRPr="00321238">
              <w:rPr>
                <w:color w:val="000000"/>
                <w:sz w:val="18"/>
                <w:szCs w:val="18"/>
              </w:rPr>
              <w:t>,</w:t>
            </w:r>
            <w:r w:rsidRPr="00321238">
              <w:rPr>
                <w:color w:val="000000"/>
                <w:sz w:val="18"/>
                <w:szCs w:val="18"/>
              </w:rPr>
              <w:t>888</w:t>
            </w:r>
            <w:r w:rsidR="000A6679" w:rsidRPr="00321238">
              <w:rPr>
                <w:color w:val="000000"/>
                <w:sz w:val="18"/>
                <w:szCs w:val="18"/>
              </w:rPr>
              <w:t>,</w:t>
            </w:r>
            <w:r w:rsidRPr="00321238">
              <w:rPr>
                <w:color w:val="000000"/>
                <w:sz w:val="18"/>
                <w:szCs w:val="18"/>
              </w:rPr>
              <w:t>837</w:t>
            </w:r>
          </w:p>
        </w:tc>
        <w:tc>
          <w:tcPr>
            <w:tcW w:w="494" w:type="pct"/>
            <w:tcBorders>
              <w:top w:val="nil"/>
              <w:left w:val="nil"/>
              <w:right w:val="nil"/>
            </w:tcBorders>
            <w:shd w:val="clear" w:color="auto" w:fill="auto"/>
            <w:vAlign w:val="bottom"/>
          </w:tcPr>
          <w:p w14:paraId="39BDBF11"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69" w:type="pct"/>
            <w:tcBorders>
              <w:top w:val="nil"/>
              <w:left w:val="nil"/>
              <w:right w:val="nil"/>
            </w:tcBorders>
            <w:shd w:val="clear" w:color="auto" w:fill="auto"/>
            <w:vAlign w:val="bottom"/>
          </w:tcPr>
          <w:p w14:paraId="3F57D168"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1</w:t>
            </w:r>
            <w:r w:rsidR="000A6679" w:rsidRPr="00321238">
              <w:rPr>
                <w:color w:val="000000"/>
                <w:sz w:val="18"/>
                <w:szCs w:val="18"/>
              </w:rPr>
              <w:t>,</w:t>
            </w:r>
            <w:r w:rsidRPr="00321238">
              <w:rPr>
                <w:color w:val="000000"/>
                <w:sz w:val="18"/>
                <w:szCs w:val="18"/>
              </w:rPr>
              <w:t>120</w:t>
            </w:r>
            <w:r w:rsidR="000A6679" w:rsidRPr="00321238">
              <w:rPr>
                <w:color w:val="000000"/>
                <w:sz w:val="18"/>
                <w:szCs w:val="18"/>
              </w:rPr>
              <w:t>,</w:t>
            </w:r>
            <w:r w:rsidRPr="00321238">
              <w:rPr>
                <w:color w:val="000000"/>
                <w:sz w:val="18"/>
                <w:szCs w:val="18"/>
              </w:rPr>
              <w:t>800</w:t>
            </w:r>
          </w:p>
        </w:tc>
        <w:tc>
          <w:tcPr>
            <w:tcW w:w="546" w:type="pct"/>
            <w:tcBorders>
              <w:top w:val="nil"/>
              <w:left w:val="nil"/>
              <w:right w:val="nil"/>
            </w:tcBorders>
            <w:shd w:val="clear" w:color="auto" w:fill="auto"/>
            <w:vAlign w:val="bottom"/>
          </w:tcPr>
          <w:p w14:paraId="270961A4"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95</w:t>
            </w:r>
            <w:r w:rsidR="000A6679" w:rsidRPr="00321238">
              <w:rPr>
                <w:color w:val="000000"/>
                <w:sz w:val="18"/>
                <w:szCs w:val="18"/>
              </w:rPr>
              <w:t>,</w:t>
            </w:r>
            <w:r w:rsidRPr="00321238">
              <w:rPr>
                <w:color w:val="000000"/>
                <w:sz w:val="18"/>
                <w:szCs w:val="18"/>
              </w:rPr>
              <w:t>932</w:t>
            </w:r>
          </w:p>
        </w:tc>
        <w:tc>
          <w:tcPr>
            <w:tcW w:w="535" w:type="pct"/>
            <w:tcBorders>
              <w:top w:val="nil"/>
              <w:left w:val="nil"/>
              <w:right w:val="nil"/>
            </w:tcBorders>
            <w:shd w:val="clear" w:color="auto" w:fill="auto"/>
            <w:vAlign w:val="bottom"/>
          </w:tcPr>
          <w:p w14:paraId="2DF3A8C5" w14:textId="77777777"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3</w:t>
            </w:r>
            <w:r w:rsidR="000A6679" w:rsidRPr="00321238">
              <w:rPr>
                <w:color w:val="000000"/>
                <w:sz w:val="18"/>
                <w:szCs w:val="18"/>
              </w:rPr>
              <w:t>,</w:t>
            </w:r>
            <w:r w:rsidRPr="00321238">
              <w:rPr>
                <w:color w:val="000000"/>
                <w:sz w:val="18"/>
                <w:szCs w:val="18"/>
              </w:rPr>
              <w:t>105</w:t>
            </w:r>
            <w:r w:rsidR="000A6679" w:rsidRPr="00321238">
              <w:rPr>
                <w:color w:val="000000"/>
                <w:sz w:val="18"/>
                <w:szCs w:val="18"/>
              </w:rPr>
              <w:t>,</w:t>
            </w:r>
            <w:r w:rsidRPr="00321238">
              <w:rPr>
                <w:color w:val="000000"/>
                <w:sz w:val="18"/>
                <w:szCs w:val="18"/>
              </w:rPr>
              <w:t>569</w:t>
            </w:r>
          </w:p>
        </w:tc>
      </w:tr>
      <w:tr w:rsidR="003420E8" w:rsidRPr="00321238" w14:paraId="1985C884" w14:textId="77777777" w:rsidTr="000A6679">
        <w:trPr>
          <w:trHeight w:val="250"/>
        </w:trPr>
        <w:tc>
          <w:tcPr>
            <w:tcW w:w="1282" w:type="pct"/>
          </w:tcPr>
          <w:p w14:paraId="11BE404B" w14:textId="77777777" w:rsidR="003420E8" w:rsidRPr="00321238" w:rsidRDefault="003420E8" w:rsidP="003420E8">
            <w:pPr>
              <w:tabs>
                <w:tab w:val="right" w:pos="1202"/>
              </w:tabs>
              <w:spacing w:after="0" w:line="240" w:lineRule="auto"/>
              <w:outlineLvl w:val="0"/>
              <w:rPr>
                <w:rFonts w:eastAsia="Times New Roman" w:cs="Arial"/>
                <w:sz w:val="18"/>
                <w:szCs w:val="18"/>
              </w:rPr>
            </w:pPr>
            <w:r w:rsidRPr="00321238">
              <w:rPr>
                <w:rFonts w:eastAsia="Times New Roman" w:cs="Arial"/>
                <w:spacing w:val="-2"/>
                <w:sz w:val="18"/>
                <w:szCs w:val="18"/>
              </w:rPr>
              <w:t xml:space="preserve">Other liabilities </w:t>
            </w:r>
          </w:p>
        </w:tc>
        <w:tc>
          <w:tcPr>
            <w:tcW w:w="502" w:type="pct"/>
            <w:tcBorders>
              <w:top w:val="nil"/>
              <w:left w:val="nil"/>
              <w:bottom w:val="single" w:sz="8" w:space="0" w:color="auto"/>
              <w:right w:val="nil"/>
            </w:tcBorders>
            <w:shd w:val="clear" w:color="auto" w:fill="auto"/>
            <w:vAlign w:val="bottom"/>
          </w:tcPr>
          <w:p w14:paraId="4AB5434E"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single" w:sz="8" w:space="0" w:color="auto"/>
              <w:right w:val="nil"/>
            </w:tcBorders>
            <w:shd w:val="clear" w:color="auto" w:fill="auto"/>
            <w:vAlign w:val="bottom"/>
          </w:tcPr>
          <w:p w14:paraId="26E3DACF"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single" w:sz="8" w:space="0" w:color="auto"/>
              <w:right w:val="nil"/>
            </w:tcBorders>
            <w:shd w:val="clear" w:color="auto" w:fill="auto"/>
            <w:vAlign w:val="bottom"/>
          </w:tcPr>
          <w:p w14:paraId="0E4DF804"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494" w:type="pct"/>
            <w:tcBorders>
              <w:top w:val="nil"/>
              <w:left w:val="nil"/>
              <w:bottom w:val="single" w:sz="8" w:space="0" w:color="auto"/>
              <w:right w:val="nil"/>
            </w:tcBorders>
            <w:shd w:val="clear" w:color="auto" w:fill="auto"/>
            <w:vAlign w:val="bottom"/>
          </w:tcPr>
          <w:p w14:paraId="6030697F"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69" w:type="pct"/>
            <w:tcBorders>
              <w:top w:val="nil"/>
              <w:left w:val="nil"/>
              <w:bottom w:val="single" w:sz="8" w:space="0" w:color="auto"/>
              <w:right w:val="nil"/>
            </w:tcBorders>
            <w:shd w:val="clear" w:color="auto" w:fill="auto"/>
            <w:vAlign w:val="bottom"/>
          </w:tcPr>
          <w:p w14:paraId="3C4C283F"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46" w:type="pct"/>
            <w:tcBorders>
              <w:top w:val="nil"/>
              <w:left w:val="nil"/>
              <w:bottom w:val="single" w:sz="8" w:space="0" w:color="auto"/>
              <w:right w:val="nil"/>
            </w:tcBorders>
            <w:shd w:val="clear" w:color="auto" w:fill="auto"/>
            <w:vAlign w:val="bottom"/>
          </w:tcPr>
          <w:p w14:paraId="50B0BD12"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707</w:t>
            </w:r>
            <w:r w:rsidR="000A6679" w:rsidRPr="00321238">
              <w:rPr>
                <w:color w:val="000000"/>
                <w:sz w:val="18"/>
                <w:szCs w:val="18"/>
              </w:rPr>
              <w:t>,</w:t>
            </w:r>
            <w:r w:rsidRPr="00321238">
              <w:rPr>
                <w:color w:val="000000"/>
                <w:sz w:val="18"/>
                <w:szCs w:val="18"/>
              </w:rPr>
              <w:t>952</w:t>
            </w:r>
          </w:p>
        </w:tc>
        <w:tc>
          <w:tcPr>
            <w:tcW w:w="535" w:type="pct"/>
            <w:tcBorders>
              <w:top w:val="nil"/>
              <w:left w:val="nil"/>
              <w:bottom w:val="single" w:sz="8" w:space="0" w:color="auto"/>
              <w:right w:val="nil"/>
            </w:tcBorders>
            <w:shd w:val="clear" w:color="auto" w:fill="auto"/>
            <w:vAlign w:val="bottom"/>
          </w:tcPr>
          <w:p w14:paraId="2752409F" w14:textId="77777777"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707</w:t>
            </w:r>
            <w:r w:rsidR="000A6679" w:rsidRPr="00321238">
              <w:rPr>
                <w:color w:val="000000"/>
                <w:sz w:val="18"/>
                <w:szCs w:val="18"/>
              </w:rPr>
              <w:t>,</w:t>
            </w:r>
            <w:r w:rsidRPr="00321238">
              <w:rPr>
                <w:color w:val="000000"/>
                <w:sz w:val="18"/>
                <w:szCs w:val="18"/>
              </w:rPr>
              <w:t>952</w:t>
            </w:r>
          </w:p>
        </w:tc>
      </w:tr>
      <w:tr w:rsidR="003420E8" w:rsidRPr="00321238" w14:paraId="784723A2" w14:textId="77777777" w:rsidTr="000A6679">
        <w:trPr>
          <w:trHeight w:val="233"/>
        </w:trPr>
        <w:tc>
          <w:tcPr>
            <w:tcW w:w="1282" w:type="pct"/>
          </w:tcPr>
          <w:p w14:paraId="3C6A1EA2" w14:textId="77777777" w:rsidR="003420E8" w:rsidRPr="00321238" w:rsidRDefault="003420E8" w:rsidP="003420E8">
            <w:pPr>
              <w:tabs>
                <w:tab w:val="right" w:pos="1202"/>
              </w:tabs>
              <w:spacing w:after="0" w:line="240" w:lineRule="auto"/>
              <w:outlineLvl w:val="0"/>
              <w:rPr>
                <w:rFonts w:eastAsia="Times New Roman" w:cs="Arial"/>
                <w:b/>
                <w:bCs/>
                <w:sz w:val="18"/>
                <w:szCs w:val="18"/>
              </w:rPr>
            </w:pPr>
            <w:r w:rsidRPr="00321238">
              <w:rPr>
                <w:rFonts w:eastAsia="Times New Roman" w:cs="Arial"/>
                <w:b/>
                <w:bCs/>
                <w:sz w:val="18"/>
                <w:szCs w:val="18"/>
              </w:rPr>
              <w:t xml:space="preserve">Total liabilities </w:t>
            </w:r>
          </w:p>
        </w:tc>
        <w:tc>
          <w:tcPr>
            <w:tcW w:w="502" w:type="pct"/>
            <w:tcBorders>
              <w:top w:val="single" w:sz="8" w:space="0" w:color="auto"/>
              <w:left w:val="nil"/>
              <w:bottom w:val="single" w:sz="8" w:space="0" w:color="auto"/>
              <w:right w:val="nil"/>
            </w:tcBorders>
            <w:shd w:val="clear" w:color="auto" w:fill="auto"/>
            <w:vAlign w:val="bottom"/>
          </w:tcPr>
          <w:p w14:paraId="4E260CE9" w14:textId="77777777" w:rsidR="003420E8" w:rsidRPr="00321238" w:rsidRDefault="003420E8" w:rsidP="003420E8">
            <w:pPr>
              <w:spacing w:after="0" w:line="240" w:lineRule="auto"/>
              <w:jc w:val="right"/>
              <w:rPr>
                <w:rFonts w:eastAsia="Times New Roman" w:cs="Arial"/>
                <w:b/>
                <w:sz w:val="18"/>
                <w:szCs w:val="18"/>
              </w:rPr>
            </w:pPr>
            <w:r w:rsidRPr="00321238">
              <w:rPr>
                <w:b/>
                <w:bCs/>
                <w:color w:val="000000"/>
                <w:sz w:val="18"/>
                <w:szCs w:val="18"/>
              </w:rPr>
              <w:t>355</w:t>
            </w:r>
            <w:r w:rsidR="000A6679" w:rsidRPr="00321238">
              <w:rPr>
                <w:b/>
                <w:bCs/>
                <w:color w:val="000000"/>
                <w:sz w:val="18"/>
                <w:szCs w:val="18"/>
              </w:rPr>
              <w:t>,</w:t>
            </w:r>
            <w:r w:rsidRPr="00321238">
              <w:rPr>
                <w:b/>
                <w:bCs/>
                <w:color w:val="000000"/>
                <w:sz w:val="18"/>
                <w:szCs w:val="18"/>
              </w:rPr>
              <w:t>442</w:t>
            </w:r>
          </w:p>
        </w:tc>
        <w:tc>
          <w:tcPr>
            <w:tcW w:w="536" w:type="pct"/>
            <w:tcBorders>
              <w:top w:val="single" w:sz="8" w:space="0" w:color="auto"/>
              <w:left w:val="nil"/>
              <w:bottom w:val="single" w:sz="8" w:space="0" w:color="auto"/>
              <w:right w:val="nil"/>
            </w:tcBorders>
            <w:shd w:val="clear" w:color="auto" w:fill="auto"/>
            <w:vAlign w:val="bottom"/>
          </w:tcPr>
          <w:p w14:paraId="24CA1B3E" w14:textId="77777777" w:rsidR="003420E8" w:rsidRPr="00321238" w:rsidRDefault="003420E8" w:rsidP="003420E8">
            <w:pPr>
              <w:spacing w:after="0" w:line="240" w:lineRule="auto"/>
              <w:jc w:val="right"/>
              <w:rPr>
                <w:rFonts w:eastAsia="Times New Roman" w:cs="Arial"/>
                <w:b/>
                <w:sz w:val="18"/>
                <w:szCs w:val="18"/>
              </w:rPr>
            </w:pPr>
            <w:r w:rsidRPr="00321238">
              <w:rPr>
                <w:b/>
                <w:bCs/>
                <w:color w:val="000000"/>
                <w:sz w:val="18"/>
                <w:szCs w:val="18"/>
              </w:rPr>
              <w:t>171</w:t>
            </w:r>
            <w:r w:rsidR="000A6679" w:rsidRPr="00321238">
              <w:rPr>
                <w:b/>
                <w:bCs/>
                <w:color w:val="000000"/>
                <w:sz w:val="18"/>
                <w:szCs w:val="18"/>
              </w:rPr>
              <w:t>,</w:t>
            </w:r>
            <w:r w:rsidRPr="00321238">
              <w:rPr>
                <w:b/>
                <w:bCs/>
                <w:color w:val="000000"/>
                <w:sz w:val="18"/>
                <w:szCs w:val="18"/>
              </w:rPr>
              <w:t>450</w:t>
            </w:r>
          </w:p>
        </w:tc>
        <w:tc>
          <w:tcPr>
            <w:tcW w:w="536" w:type="pct"/>
            <w:tcBorders>
              <w:top w:val="single" w:sz="8" w:space="0" w:color="auto"/>
              <w:left w:val="nil"/>
              <w:bottom w:val="single" w:sz="8" w:space="0" w:color="auto"/>
              <w:right w:val="nil"/>
            </w:tcBorders>
            <w:shd w:val="clear" w:color="auto" w:fill="auto"/>
            <w:vAlign w:val="bottom"/>
          </w:tcPr>
          <w:p w14:paraId="7883CFC5" w14:textId="77777777" w:rsidR="003420E8" w:rsidRPr="00321238" w:rsidRDefault="003420E8" w:rsidP="003420E8">
            <w:pPr>
              <w:spacing w:after="0" w:line="240" w:lineRule="auto"/>
              <w:jc w:val="right"/>
              <w:rPr>
                <w:rFonts w:eastAsia="Times New Roman" w:cs="Arial"/>
                <w:b/>
                <w:sz w:val="18"/>
                <w:szCs w:val="18"/>
              </w:rPr>
            </w:pPr>
            <w:r w:rsidRPr="00321238">
              <w:rPr>
                <w:b/>
                <w:bCs/>
                <w:color w:val="000000"/>
                <w:sz w:val="18"/>
                <w:szCs w:val="18"/>
              </w:rPr>
              <w:t>2</w:t>
            </w:r>
            <w:r w:rsidR="000A6679" w:rsidRPr="00321238">
              <w:rPr>
                <w:b/>
                <w:bCs/>
                <w:color w:val="000000"/>
                <w:sz w:val="18"/>
                <w:szCs w:val="18"/>
              </w:rPr>
              <w:t>,</w:t>
            </w:r>
            <w:r w:rsidRPr="00321238">
              <w:rPr>
                <w:b/>
                <w:bCs/>
                <w:color w:val="000000"/>
                <w:sz w:val="18"/>
                <w:szCs w:val="18"/>
              </w:rPr>
              <w:t>909</w:t>
            </w:r>
            <w:r w:rsidR="000A6679" w:rsidRPr="00321238">
              <w:rPr>
                <w:b/>
                <w:bCs/>
                <w:color w:val="000000"/>
                <w:sz w:val="18"/>
                <w:szCs w:val="18"/>
              </w:rPr>
              <w:t>,</w:t>
            </w:r>
            <w:r w:rsidRPr="00321238">
              <w:rPr>
                <w:b/>
                <w:bCs/>
                <w:color w:val="000000"/>
                <w:sz w:val="18"/>
                <w:szCs w:val="18"/>
              </w:rPr>
              <w:t>559</w:t>
            </w:r>
          </w:p>
        </w:tc>
        <w:tc>
          <w:tcPr>
            <w:tcW w:w="494" w:type="pct"/>
            <w:tcBorders>
              <w:top w:val="single" w:sz="8" w:space="0" w:color="auto"/>
              <w:left w:val="nil"/>
              <w:bottom w:val="single" w:sz="8" w:space="0" w:color="auto"/>
              <w:right w:val="nil"/>
            </w:tcBorders>
            <w:shd w:val="clear" w:color="auto" w:fill="auto"/>
            <w:vAlign w:val="bottom"/>
          </w:tcPr>
          <w:p w14:paraId="73C6A5E2" w14:textId="77777777" w:rsidR="003420E8" w:rsidRPr="00321238" w:rsidRDefault="003420E8" w:rsidP="003420E8">
            <w:pPr>
              <w:spacing w:after="0" w:line="240" w:lineRule="auto"/>
              <w:jc w:val="right"/>
              <w:rPr>
                <w:rFonts w:eastAsia="Times New Roman" w:cs="Arial"/>
                <w:b/>
                <w:sz w:val="18"/>
                <w:szCs w:val="18"/>
              </w:rPr>
            </w:pPr>
            <w:r w:rsidRPr="00321238">
              <w:rPr>
                <w:b/>
                <w:bCs/>
                <w:color w:val="000000"/>
                <w:sz w:val="18"/>
                <w:szCs w:val="18"/>
              </w:rPr>
              <w:t>3</w:t>
            </w:r>
            <w:r w:rsidR="000A6679" w:rsidRPr="00321238">
              <w:rPr>
                <w:b/>
                <w:bCs/>
                <w:color w:val="000000"/>
                <w:sz w:val="18"/>
                <w:szCs w:val="18"/>
              </w:rPr>
              <w:t>,</w:t>
            </w:r>
            <w:r w:rsidRPr="00321238">
              <w:rPr>
                <w:b/>
                <w:bCs/>
                <w:color w:val="000000"/>
                <w:sz w:val="18"/>
                <w:szCs w:val="18"/>
              </w:rPr>
              <w:t>059</w:t>
            </w:r>
            <w:r w:rsidR="000A6679" w:rsidRPr="00321238">
              <w:rPr>
                <w:b/>
                <w:bCs/>
                <w:color w:val="000000"/>
                <w:sz w:val="18"/>
                <w:szCs w:val="18"/>
              </w:rPr>
              <w:t>,</w:t>
            </w:r>
            <w:r w:rsidRPr="00321238">
              <w:rPr>
                <w:b/>
                <w:bCs/>
                <w:color w:val="000000"/>
                <w:sz w:val="18"/>
                <w:szCs w:val="18"/>
              </w:rPr>
              <w:t>168</w:t>
            </w:r>
          </w:p>
        </w:tc>
        <w:tc>
          <w:tcPr>
            <w:tcW w:w="569" w:type="pct"/>
            <w:tcBorders>
              <w:top w:val="single" w:sz="8" w:space="0" w:color="auto"/>
              <w:left w:val="nil"/>
              <w:bottom w:val="single" w:sz="8" w:space="0" w:color="auto"/>
              <w:right w:val="nil"/>
            </w:tcBorders>
            <w:shd w:val="clear" w:color="auto" w:fill="auto"/>
            <w:vAlign w:val="bottom"/>
          </w:tcPr>
          <w:p w14:paraId="26D6CFE8" w14:textId="77777777" w:rsidR="003420E8" w:rsidRPr="00321238" w:rsidRDefault="003420E8" w:rsidP="003420E8">
            <w:pPr>
              <w:spacing w:after="0" w:line="240" w:lineRule="auto"/>
              <w:jc w:val="right"/>
              <w:rPr>
                <w:rFonts w:eastAsia="Times New Roman" w:cs="Arial"/>
                <w:b/>
                <w:sz w:val="18"/>
                <w:szCs w:val="18"/>
              </w:rPr>
            </w:pPr>
            <w:r w:rsidRPr="00321238">
              <w:rPr>
                <w:b/>
                <w:bCs/>
                <w:color w:val="000000"/>
                <w:sz w:val="18"/>
                <w:szCs w:val="18"/>
              </w:rPr>
              <w:t>9</w:t>
            </w:r>
            <w:r w:rsidR="000A6679" w:rsidRPr="00321238">
              <w:rPr>
                <w:b/>
                <w:bCs/>
                <w:color w:val="000000"/>
                <w:sz w:val="18"/>
                <w:szCs w:val="18"/>
              </w:rPr>
              <w:t>,</w:t>
            </w:r>
            <w:r w:rsidRPr="00321238">
              <w:rPr>
                <w:b/>
                <w:bCs/>
                <w:color w:val="000000"/>
                <w:sz w:val="18"/>
                <w:szCs w:val="18"/>
              </w:rPr>
              <w:t>841</w:t>
            </w:r>
            <w:r w:rsidR="000A6679" w:rsidRPr="00321238">
              <w:rPr>
                <w:b/>
                <w:bCs/>
                <w:color w:val="000000"/>
                <w:sz w:val="18"/>
                <w:szCs w:val="18"/>
              </w:rPr>
              <w:t>,</w:t>
            </w:r>
            <w:r w:rsidRPr="00321238">
              <w:rPr>
                <w:b/>
                <w:bCs/>
                <w:color w:val="000000"/>
                <w:sz w:val="18"/>
                <w:szCs w:val="18"/>
              </w:rPr>
              <w:t>749</w:t>
            </w:r>
          </w:p>
        </w:tc>
        <w:tc>
          <w:tcPr>
            <w:tcW w:w="546" w:type="pct"/>
            <w:tcBorders>
              <w:top w:val="single" w:sz="8" w:space="0" w:color="auto"/>
              <w:left w:val="nil"/>
              <w:bottom w:val="single" w:sz="8" w:space="0" w:color="auto"/>
              <w:right w:val="nil"/>
            </w:tcBorders>
            <w:shd w:val="clear" w:color="auto" w:fill="auto"/>
            <w:vAlign w:val="bottom"/>
          </w:tcPr>
          <w:p w14:paraId="19F2B40D" w14:textId="77777777" w:rsidR="003420E8" w:rsidRPr="00321238" w:rsidRDefault="003420E8" w:rsidP="003420E8">
            <w:pPr>
              <w:spacing w:after="0" w:line="240" w:lineRule="auto"/>
              <w:jc w:val="right"/>
              <w:rPr>
                <w:rFonts w:eastAsia="Times New Roman" w:cs="Arial"/>
                <w:b/>
                <w:sz w:val="18"/>
                <w:szCs w:val="18"/>
              </w:rPr>
            </w:pPr>
            <w:r w:rsidRPr="00321238">
              <w:rPr>
                <w:b/>
                <w:bCs/>
                <w:color w:val="000000"/>
                <w:sz w:val="18"/>
                <w:szCs w:val="18"/>
              </w:rPr>
              <w:t>1</w:t>
            </w:r>
            <w:r w:rsidR="000A6679" w:rsidRPr="00321238">
              <w:rPr>
                <w:b/>
                <w:bCs/>
                <w:color w:val="000000"/>
                <w:sz w:val="18"/>
                <w:szCs w:val="18"/>
              </w:rPr>
              <w:t>,</w:t>
            </w:r>
            <w:r w:rsidRPr="00321238">
              <w:rPr>
                <w:b/>
                <w:bCs/>
                <w:color w:val="000000"/>
                <w:sz w:val="18"/>
                <w:szCs w:val="18"/>
              </w:rPr>
              <w:t>010</w:t>
            </w:r>
            <w:r w:rsidR="000A6679" w:rsidRPr="00321238">
              <w:rPr>
                <w:b/>
                <w:bCs/>
                <w:color w:val="000000"/>
                <w:sz w:val="18"/>
                <w:szCs w:val="18"/>
              </w:rPr>
              <w:t>,</w:t>
            </w:r>
            <w:r w:rsidRPr="00321238">
              <w:rPr>
                <w:b/>
                <w:bCs/>
                <w:color w:val="000000"/>
                <w:sz w:val="18"/>
                <w:szCs w:val="18"/>
              </w:rPr>
              <w:t>746</w:t>
            </w:r>
          </w:p>
        </w:tc>
        <w:tc>
          <w:tcPr>
            <w:tcW w:w="535" w:type="pct"/>
            <w:tcBorders>
              <w:top w:val="single" w:sz="8" w:space="0" w:color="auto"/>
              <w:left w:val="nil"/>
              <w:bottom w:val="single" w:sz="8" w:space="0" w:color="auto"/>
              <w:right w:val="nil"/>
            </w:tcBorders>
            <w:shd w:val="clear" w:color="auto" w:fill="auto"/>
            <w:vAlign w:val="bottom"/>
          </w:tcPr>
          <w:p w14:paraId="0EF2161E" w14:textId="77777777" w:rsidR="003420E8" w:rsidRPr="00321238" w:rsidRDefault="003420E8" w:rsidP="003420E8">
            <w:pPr>
              <w:spacing w:after="0" w:line="240" w:lineRule="auto"/>
              <w:jc w:val="right"/>
              <w:rPr>
                <w:rFonts w:eastAsia="Times New Roman" w:cs="Arial"/>
                <w:b/>
                <w:bCs/>
                <w:sz w:val="18"/>
                <w:szCs w:val="18"/>
              </w:rPr>
            </w:pPr>
            <w:r w:rsidRPr="00321238">
              <w:rPr>
                <w:b/>
                <w:bCs/>
                <w:color w:val="000000"/>
                <w:sz w:val="18"/>
                <w:szCs w:val="18"/>
              </w:rPr>
              <w:t>17</w:t>
            </w:r>
            <w:r w:rsidR="000A6679" w:rsidRPr="00321238">
              <w:rPr>
                <w:b/>
                <w:bCs/>
                <w:color w:val="000000"/>
                <w:sz w:val="18"/>
                <w:szCs w:val="18"/>
              </w:rPr>
              <w:t>,</w:t>
            </w:r>
            <w:r w:rsidRPr="00321238">
              <w:rPr>
                <w:b/>
                <w:bCs/>
                <w:color w:val="000000"/>
                <w:sz w:val="18"/>
                <w:szCs w:val="18"/>
              </w:rPr>
              <w:t>348</w:t>
            </w:r>
            <w:r w:rsidR="000A6679" w:rsidRPr="00321238">
              <w:rPr>
                <w:b/>
                <w:bCs/>
                <w:color w:val="000000"/>
                <w:sz w:val="18"/>
                <w:szCs w:val="18"/>
              </w:rPr>
              <w:t>,</w:t>
            </w:r>
            <w:r w:rsidRPr="00321238">
              <w:rPr>
                <w:b/>
                <w:bCs/>
                <w:color w:val="000000"/>
                <w:sz w:val="18"/>
                <w:szCs w:val="18"/>
              </w:rPr>
              <w:t>114</w:t>
            </w:r>
          </w:p>
        </w:tc>
      </w:tr>
      <w:tr w:rsidR="009702B0" w:rsidRPr="00321238" w14:paraId="2065021A" w14:textId="77777777" w:rsidTr="003420E8">
        <w:trPr>
          <w:trHeight w:val="250"/>
        </w:trPr>
        <w:tc>
          <w:tcPr>
            <w:tcW w:w="1282" w:type="pct"/>
          </w:tcPr>
          <w:p w14:paraId="5C2EFA88" w14:textId="77777777" w:rsidR="009702B0" w:rsidRPr="00321238" w:rsidRDefault="009702B0" w:rsidP="009702B0">
            <w:pPr>
              <w:tabs>
                <w:tab w:val="right" w:pos="1202"/>
              </w:tabs>
              <w:spacing w:after="0" w:line="240" w:lineRule="auto"/>
              <w:outlineLvl w:val="0"/>
              <w:rPr>
                <w:rFonts w:eastAsia="Times New Roman" w:cs="Arial"/>
                <w:sz w:val="18"/>
                <w:szCs w:val="18"/>
              </w:rPr>
            </w:pPr>
            <w:r w:rsidRPr="00321238">
              <w:rPr>
                <w:rFonts w:eastAsia="Times New Roman" w:cs="Arial"/>
                <w:b/>
                <w:bCs/>
                <w:sz w:val="18"/>
                <w:szCs w:val="18"/>
              </w:rPr>
              <w:t xml:space="preserve">Equity </w:t>
            </w:r>
          </w:p>
        </w:tc>
        <w:tc>
          <w:tcPr>
            <w:tcW w:w="502" w:type="pct"/>
            <w:tcBorders>
              <w:top w:val="single" w:sz="4" w:space="0" w:color="auto"/>
            </w:tcBorders>
            <w:vAlign w:val="bottom"/>
          </w:tcPr>
          <w:p w14:paraId="114E16D7" w14:textId="77777777"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36" w:type="pct"/>
            <w:tcBorders>
              <w:top w:val="single" w:sz="4" w:space="0" w:color="auto"/>
            </w:tcBorders>
            <w:vAlign w:val="bottom"/>
          </w:tcPr>
          <w:p w14:paraId="7BCEEB00" w14:textId="77777777"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36" w:type="pct"/>
            <w:tcBorders>
              <w:top w:val="single" w:sz="4" w:space="0" w:color="auto"/>
            </w:tcBorders>
            <w:vAlign w:val="bottom"/>
          </w:tcPr>
          <w:p w14:paraId="4C1A6858" w14:textId="77777777"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494" w:type="pct"/>
            <w:tcBorders>
              <w:top w:val="single" w:sz="4" w:space="0" w:color="auto"/>
            </w:tcBorders>
            <w:vAlign w:val="bottom"/>
          </w:tcPr>
          <w:p w14:paraId="2C21CFDC" w14:textId="77777777"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69" w:type="pct"/>
            <w:tcBorders>
              <w:top w:val="single" w:sz="4" w:space="0" w:color="auto"/>
            </w:tcBorders>
            <w:vAlign w:val="bottom"/>
          </w:tcPr>
          <w:p w14:paraId="2830073C" w14:textId="77777777"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46" w:type="pct"/>
            <w:tcBorders>
              <w:top w:val="single" w:sz="4" w:space="0" w:color="auto"/>
            </w:tcBorders>
            <w:vAlign w:val="bottom"/>
          </w:tcPr>
          <w:p w14:paraId="55925A3E" w14:textId="77777777" w:rsidR="009702B0" w:rsidRPr="00321238" w:rsidRDefault="009702B0" w:rsidP="009702B0">
            <w:pPr>
              <w:tabs>
                <w:tab w:val="right" w:pos="1202"/>
              </w:tabs>
              <w:spacing w:after="0" w:line="240" w:lineRule="auto"/>
              <w:jc w:val="right"/>
              <w:outlineLvl w:val="0"/>
              <w:rPr>
                <w:rFonts w:eastAsia="Times New Roman" w:cs="Arial"/>
                <w:b/>
                <w:sz w:val="18"/>
                <w:szCs w:val="18"/>
              </w:rPr>
            </w:pPr>
          </w:p>
        </w:tc>
        <w:tc>
          <w:tcPr>
            <w:tcW w:w="535" w:type="pct"/>
            <w:tcBorders>
              <w:top w:val="single" w:sz="4" w:space="0" w:color="auto"/>
            </w:tcBorders>
            <w:vAlign w:val="bottom"/>
          </w:tcPr>
          <w:p w14:paraId="6A9CE75E" w14:textId="77777777" w:rsidR="009702B0" w:rsidRPr="00321238" w:rsidRDefault="009702B0" w:rsidP="009702B0">
            <w:pPr>
              <w:tabs>
                <w:tab w:val="right" w:pos="1202"/>
              </w:tabs>
              <w:spacing w:after="0" w:line="240" w:lineRule="auto"/>
              <w:jc w:val="right"/>
              <w:outlineLvl w:val="0"/>
              <w:rPr>
                <w:rFonts w:eastAsia="Times New Roman" w:cs="Arial"/>
                <w:sz w:val="18"/>
                <w:szCs w:val="18"/>
              </w:rPr>
            </w:pPr>
          </w:p>
        </w:tc>
      </w:tr>
      <w:tr w:rsidR="003420E8" w:rsidRPr="00321238" w14:paraId="7B316A5F" w14:textId="77777777" w:rsidTr="00166751">
        <w:trPr>
          <w:trHeight w:val="233"/>
        </w:trPr>
        <w:tc>
          <w:tcPr>
            <w:tcW w:w="1282" w:type="pct"/>
            <w:vAlign w:val="bottom"/>
          </w:tcPr>
          <w:p w14:paraId="5E0E6A13" w14:textId="77777777" w:rsidR="003420E8" w:rsidRPr="00321238" w:rsidRDefault="003420E8" w:rsidP="003420E8">
            <w:pPr>
              <w:tabs>
                <w:tab w:val="right" w:pos="1202"/>
              </w:tabs>
              <w:spacing w:after="0" w:line="240" w:lineRule="auto"/>
              <w:outlineLvl w:val="0"/>
              <w:rPr>
                <w:rFonts w:eastAsia="Times New Roman" w:cs="Arial"/>
                <w:sz w:val="18"/>
                <w:szCs w:val="18"/>
              </w:rPr>
            </w:pPr>
            <w:r w:rsidRPr="00321238">
              <w:rPr>
                <w:rFonts w:eastAsia="Times New Roman" w:cs="Arial"/>
                <w:sz w:val="18"/>
                <w:szCs w:val="18"/>
              </w:rPr>
              <w:t xml:space="preserve">Founder’s capital </w:t>
            </w:r>
          </w:p>
        </w:tc>
        <w:tc>
          <w:tcPr>
            <w:tcW w:w="502" w:type="pct"/>
            <w:vAlign w:val="center"/>
          </w:tcPr>
          <w:p w14:paraId="6A083171" w14:textId="77777777" w:rsidR="003420E8" w:rsidRPr="00321238" w:rsidRDefault="003420E8" w:rsidP="003420E8">
            <w:pPr>
              <w:tabs>
                <w:tab w:val="right" w:pos="1202"/>
              </w:tabs>
              <w:spacing w:after="0" w:line="301" w:lineRule="exact"/>
              <w:jc w:val="right"/>
              <w:outlineLvl w:val="0"/>
              <w:rPr>
                <w:rFonts w:eastAsia="Times New Roman" w:cs="Arial"/>
                <w:spacing w:val="-2"/>
                <w:sz w:val="18"/>
                <w:szCs w:val="18"/>
              </w:rPr>
            </w:pPr>
            <w:r w:rsidRPr="00321238">
              <w:rPr>
                <w:rFonts w:eastAsia="Times New Roman" w:cs="Arial"/>
                <w:spacing w:val="-2"/>
                <w:sz w:val="18"/>
                <w:szCs w:val="18"/>
              </w:rPr>
              <w:t>-</w:t>
            </w:r>
          </w:p>
        </w:tc>
        <w:tc>
          <w:tcPr>
            <w:tcW w:w="536" w:type="pct"/>
            <w:vAlign w:val="center"/>
          </w:tcPr>
          <w:p w14:paraId="575DB462" w14:textId="77777777" w:rsidR="003420E8" w:rsidRPr="00321238" w:rsidRDefault="003420E8" w:rsidP="003420E8">
            <w:pPr>
              <w:tabs>
                <w:tab w:val="right" w:pos="1202"/>
              </w:tabs>
              <w:spacing w:after="0" w:line="301" w:lineRule="exact"/>
              <w:jc w:val="right"/>
              <w:outlineLvl w:val="0"/>
              <w:rPr>
                <w:rFonts w:eastAsia="Times New Roman" w:cs="Arial"/>
                <w:spacing w:val="-2"/>
                <w:sz w:val="18"/>
                <w:szCs w:val="18"/>
              </w:rPr>
            </w:pPr>
            <w:r w:rsidRPr="00321238">
              <w:rPr>
                <w:rFonts w:eastAsia="Times New Roman" w:cs="Arial"/>
                <w:spacing w:val="-2"/>
                <w:sz w:val="18"/>
                <w:szCs w:val="18"/>
              </w:rPr>
              <w:t>-</w:t>
            </w:r>
          </w:p>
        </w:tc>
        <w:tc>
          <w:tcPr>
            <w:tcW w:w="536" w:type="pct"/>
            <w:vAlign w:val="center"/>
          </w:tcPr>
          <w:p w14:paraId="40DE08DD" w14:textId="77777777" w:rsidR="003420E8" w:rsidRPr="00321238" w:rsidRDefault="003420E8" w:rsidP="003420E8">
            <w:pPr>
              <w:tabs>
                <w:tab w:val="right" w:pos="1202"/>
              </w:tabs>
              <w:spacing w:after="0" w:line="301" w:lineRule="exact"/>
              <w:jc w:val="right"/>
              <w:outlineLvl w:val="0"/>
              <w:rPr>
                <w:rFonts w:eastAsia="Times New Roman" w:cs="Arial"/>
                <w:spacing w:val="-2"/>
                <w:sz w:val="18"/>
                <w:szCs w:val="18"/>
              </w:rPr>
            </w:pPr>
            <w:r w:rsidRPr="00321238">
              <w:rPr>
                <w:rFonts w:eastAsia="Times New Roman" w:cs="Arial"/>
                <w:spacing w:val="-2"/>
                <w:sz w:val="18"/>
                <w:szCs w:val="18"/>
              </w:rPr>
              <w:t>-</w:t>
            </w:r>
          </w:p>
        </w:tc>
        <w:tc>
          <w:tcPr>
            <w:tcW w:w="494" w:type="pct"/>
            <w:vAlign w:val="center"/>
          </w:tcPr>
          <w:p w14:paraId="2106EA64" w14:textId="77777777" w:rsidR="003420E8" w:rsidRPr="00321238" w:rsidRDefault="003420E8" w:rsidP="003420E8">
            <w:pPr>
              <w:tabs>
                <w:tab w:val="right" w:pos="1202"/>
              </w:tabs>
              <w:spacing w:after="0" w:line="301" w:lineRule="exact"/>
              <w:jc w:val="right"/>
              <w:outlineLvl w:val="0"/>
              <w:rPr>
                <w:rFonts w:eastAsia="Times New Roman" w:cs="Arial"/>
                <w:spacing w:val="-2"/>
                <w:sz w:val="18"/>
                <w:szCs w:val="18"/>
              </w:rPr>
            </w:pPr>
            <w:r w:rsidRPr="00321238">
              <w:rPr>
                <w:rFonts w:eastAsia="Times New Roman" w:cs="Arial"/>
                <w:spacing w:val="-2"/>
                <w:sz w:val="18"/>
                <w:szCs w:val="18"/>
              </w:rPr>
              <w:t>-</w:t>
            </w:r>
          </w:p>
        </w:tc>
        <w:tc>
          <w:tcPr>
            <w:tcW w:w="569" w:type="pct"/>
            <w:vAlign w:val="center"/>
          </w:tcPr>
          <w:p w14:paraId="215ACB95" w14:textId="77777777" w:rsidR="003420E8" w:rsidRPr="00321238" w:rsidRDefault="003420E8" w:rsidP="003420E8">
            <w:pPr>
              <w:tabs>
                <w:tab w:val="right" w:pos="1202"/>
              </w:tabs>
              <w:spacing w:after="0" w:line="301" w:lineRule="exact"/>
              <w:jc w:val="right"/>
              <w:outlineLvl w:val="0"/>
              <w:rPr>
                <w:rFonts w:eastAsia="Times New Roman" w:cs="Arial"/>
                <w:spacing w:val="-2"/>
                <w:sz w:val="18"/>
                <w:szCs w:val="18"/>
              </w:rPr>
            </w:pPr>
            <w:r w:rsidRPr="00321238">
              <w:rPr>
                <w:rFonts w:eastAsia="Times New Roman" w:cs="Arial"/>
                <w:spacing w:val="-2"/>
                <w:sz w:val="18"/>
                <w:szCs w:val="18"/>
              </w:rPr>
              <w:t>-</w:t>
            </w:r>
          </w:p>
        </w:tc>
        <w:tc>
          <w:tcPr>
            <w:tcW w:w="546" w:type="pct"/>
            <w:tcBorders>
              <w:top w:val="nil"/>
              <w:left w:val="nil"/>
              <w:bottom w:val="nil"/>
              <w:right w:val="nil"/>
            </w:tcBorders>
            <w:shd w:val="clear" w:color="auto" w:fill="auto"/>
            <w:vAlign w:val="bottom"/>
          </w:tcPr>
          <w:p w14:paraId="3340D105"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6</w:t>
            </w:r>
            <w:r w:rsidR="000A6679" w:rsidRPr="00321238">
              <w:rPr>
                <w:color w:val="000000"/>
                <w:sz w:val="18"/>
                <w:szCs w:val="18"/>
              </w:rPr>
              <w:t>,</w:t>
            </w:r>
            <w:r w:rsidRPr="00321238">
              <w:rPr>
                <w:color w:val="000000"/>
                <w:sz w:val="18"/>
                <w:szCs w:val="18"/>
              </w:rPr>
              <w:t>959</w:t>
            </w:r>
            <w:r w:rsidR="000A6679" w:rsidRPr="00321238">
              <w:rPr>
                <w:color w:val="000000"/>
                <w:sz w:val="18"/>
                <w:szCs w:val="18"/>
              </w:rPr>
              <w:t>,</w:t>
            </w:r>
            <w:r w:rsidRPr="00321238">
              <w:rPr>
                <w:color w:val="000000"/>
                <w:sz w:val="18"/>
                <w:szCs w:val="18"/>
              </w:rPr>
              <w:t>632</w:t>
            </w:r>
          </w:p>
        </w:tc>
        <w:tc>
          <w:tcPr>
            <w:tcW w:w="535" w:type="pct"/>
            <w:tcBorders>
              <w:top w:val="nil"/>
              <w:left w:val="nil"/>
              <w:bottom w:val="nil"/>
              <w:right w:val="nil"/>
            </w:tcBorders>
            <w:shd w:val="clear" w:color="auto" w:fill="auto"/>
            <w:vAlign w:val="bottom"/>
          </w:tcPr>
          <w:p w14:paraId="589F8801" w14:textId="77777777"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6</w:t>
            </w:r>
            <w:r w:rsidR="000A6679" w:rsidRPr="00321238">
              <w:rPr>
                <w:color w:val="000000"/>
                <w:sz w:val="18"/>
                <w:szCs w:val="18"/>
              </w:rPr>
              <w:t>,</w:t>
            </w:r>
            <w:r w:rsidRPr="00321238">
              <w:rPr>
                <w:color w:val="000000"/>
                <w:sz w:val="18"/>
                <w:szCs w:val="18"/>
              </w:rPr>
              <w:t>959</w:t>
            </w:r>
            <w:r w:rsidR="000A6679" w:rsidRPr="00321238">
              <w:rPr>
                <w:color w:val="000000"/>
                <w:sz w:val="18"/>
                <w:szCs w:val="18"/>
              </w:rPr>
              <w:t>,</w:t>
            </w:r>
            <w:r w:rsidRPr="00321238">
              <w:rPr>
                <w:color w:val="000000"/>
                <w:sz w:val="18"/>
                <w:szCs w:val="18"/>
              </w:rPr>
              <w:t>632</w:t>
            </w:r>
          </w:p>
        </w:tc>
      </w:tr>
      <w:tr w:rsidR="003420E8" w:rsidRPr="00321238" w14:paraId="299556D2" w14:textId="77777777" w:rsidTr="00166751">
        <w:trPr>
          <w:trHeight w:val="250"/>
        </w:trPr>
        <w:tc>
          <w:tcPr>
            <w:tcW w:w="1282" w:type="pct"/>
            <w:vAlign w:val="bottom"/>
          </w:tcPr>
          <w:p w14:paraId="31CAC0D0" w14:textId="77777777" w:rsidR="003420E8" w:rsidRPr="00321238" w:rsidRDefault="003420E8" w:rsidP="003420E8">
            <w:pPr>
              <w:tabs>
                <w:tab w:val="right" w:pos="1202"/>
              </w:tabs>
              <w:spacing w:after="0" w:line="240" w:lineRule="auto"/>
              <w:outlineLvl w:val="0"/>
              <w:rPr>
                <w:rFonts w:eastAsia="Times New Roman" w:cs="Arial"/>
                <w:sz w:val="18"/>
                <w:szCs w:val="18"/>
              </w:rPr>
            </w:pPr>
            <w:r w:rsidRPr="00321238">
              <w:rPr>
                <w:rFonts w:eastAsia="Times New Roman" w:cs="Arial"/>
                <w:sz w:val="18"/>
                <w:szCs w:val="18"/>
              </w:rPr>
              <w:t xml:space="preserve">Retained earnings and reserves </w:t>
            </w:r>
          </w:p>
        </w:tc>
        <w:tc>
          <w:tcPr>
            <w:tcW w:w="502" w:type="pct"/>
            <w:vAlign w:val="center"/>
          </w:tcPr>
          <w:p w14:paraId="4A53C09B" w14:textId="77777777" w:rsidR="003420E8" w:rsidRPr="00321238" w:rsidRDefault="003420E8" w:rsidP="003420E8">
            <w:pPr>
              <w:tabs>
                <w:tab w:val="right" w:pos="1202"/>
              </w:tabs>
              <w:spacing w:after="0" w:line="301" w:lineRule="exact"/>
              <w:jc w:val="right"/>
              <w:outlineLvl w:val="0"/>
              <w:rPr>
                <w:rFonts w:eastAsia="Times New Roman" w:cs="Arial"/>
                <w:spacing w:val="-2"/>
                <w:sz w:val="18"/>
                <w:szCs w:val="18"/>
              </w:rPr>
            </w:pPr>
            <w:r w:rsidRPr="00321238">
              <w:rPr>
                <w:rFonts w:eastAsia="Times New Roman" w:cs="Arial"/>
                <w:spacing w:val="-2"/>
                <w:sz w:val="18"/>
                <w:szCs w:val="18"/>
              </w:rPr>
              <w:t>-</w:t>
            </w:r>
          </w:p>
        </w:tc>
        <w:tc>
          <w:tcPr>
            <w:tcW w:w="536" w:type="pct"/>
            <w:vAlign w:val="center"/>
          </w:tcPr>
          <w:p w14:paraId="0A10DA5F" w14:textId="77777777" w:rsidR="003420E8" w:rsidRPr="00321238" w:rsidRDefault="003420E8" w:rsidP="003420E8">
            <w:pPr>
              <w:tabs>
                <w:tab w:val="right" w:pos="1202"/>
              </w:tabs>
              <w:spacing w:after="0" w:line="301" w:lineRule="exact"/>
              <w:jc w:val="right"/>
              <w:outlineLvl w:val="0"/>
              <w:rPr>
                <w:rFonts w:eastAsia="Times New Roman" w:cs="Arial"/>
                <w:spacing w:val="-2"/>
                <w:sz w:val="18"/>
                <w:szCs w:val="18"/>
              </w:rPr>
            </w:pPr>
            <w:r w:rsidRPr="00321238">
              <w:rPr>
                <w:rFonts w:eastAsia="Times New Roman" w:cs="Arial"/>
                <w:spacing w:val="-2"/>
                <w:sz w:val="18"/>
                <w:szCs w:val="18"/>
              </w:rPr>
              <w:t>-</w:t>
            </w:r>
          </w:p>
        </w:tc>
        <w:tc>
          <w:tcPr>
            <w:tcW w:w="536" w:type="pct"/>
            <w:vAlign w:val="center"/>
          </w:tcPr>
          <w:p w14:paraId="43961CBE" w14:textId="77777777" w:rsidR="003420E8" w:rsidRPr="00321238" w:rsidRDefault="003420E8" w:rsidP="003420E8">
            <w:pPr>
              <w:tabs>
                <w:tab w:val="right" w:pos="1202"/>
              </w:tabs>
              <w:spacing w:after="0" w:line="301" w:lineRule="exact"/>
              <w:jc w:val="right"/>
              <w:outlineLvl w:val="0"/>
              <w:rPr>
                <w:rFonts w:eastAsia="Times New Roman" w:cs="Arial"/>
                <w:spacing w:val="-2"/>
                <w:sz w:val="18"/>
                <w:szCs w:val="18"/>
              </w:rPr>
            </w:pPr>
            <w:r w:rsidRPr="00321238">
              <w:rPr>
                <w:rFonts w:eastAsia="Times New Roman" w:cs="Arial"/>
                <w:spacing w:val="-2"/>
                <w:sz w:val="18"/>
                <w:szCs w:val="18"/>
              </w:rPr>
              <w:t>-</w:t>
            </w:r>
          </w:p>
        </w:tc>
        <w:tc>
          <w:tcPr>
            <w:tcW w:w="494" w:type="pct"/>
            <w:vAlign w:val="center"/>
          </w:tcPr>
          <w:p w14:paraId="70D981A2" w14:textId="77777777" w:rsidR="003420E8" w:rsidRPr="00321238" w:rsidRDefault="003420E8" w:rsidP="003420E8">
            <w:pPr>
              <w:tabs>
                <w:tab w:val="right" w:pos="1202"/>
              </w:tabs>
              <w:spacing w:after="0" w:line="301" w:lineRule="exact"/>
              <w:jc w:val="right"/>
              <w:outlineLvl w:val="0"/>
              <w:rPr>
                <w:rFonts w:eastAsia="Times New Roman" w:cs="Arial"/>
                <w:spacing w:val="-2"/>
                <w:sz w:val="18"/>
                <w:szCs w:val="18"/>
              </w:rPr>
            </w:pPr>
            <w:r w:rsidRPr="00321238">
              <w:rPr>
                <w:rFonts w:eastAsia="Times New Roman" w:cs="Arial"/>
                <w:spacing w:val="-2"/>
                <w:sz w:val="18"/>
                <w:szCs w:val="18"/>
              </w:rPr>
              <w:t>-</w:t>
            </w:r>
          </w:p>
        </w:tc>
        <w:tc>
          <w:tcPr>
            <w:tcW w:w="569" w:type="pct"/>
            <w:vAlign w:val="center"/>
          </w:tcPr>
          <w:p w14:paraId="634F112C" w14:textId="77777777" w:rsidR="003420E8" w:rsidRPr="00321238" w:rsidRDefault="003420E8" w:rsidP="003420E8">
            <w:pPr>
              <w:tabs>
                <w:tab w:val="right" w:pos="1202"/>
              </w:tabs>
              <w:spacing w:after="0" w:line="301" w:lineRule="exact"/>
              <w:jc w:val="right"/>
              <w:outlineLvl w:val="0"/>
              <w:rPr>
                <w:rFonts w:eastAsia="Times New Roman" w:cs="Arial"/>
                <w:spacing w:val="-2"/>
                <w:sz w:val="18"/>
                <w:szCs w:val="18"/>
              </w:rPr>
            </w:pPr>
            <w:r w:rsidRPr="00321238">
              <w:rPr>
                <w:rFonts w:eastAsia="Times New Roman" w:cs="Arial"/>
                <w:spacing w:val="-2"/>
                <w:sz w:val="18"/>
                <w:szCs w:val="18"/>
              </w:rPr>
              <w:t>-</w:t>
            </w:r>
          </w:p>
        </w:tc>
        <w:tc>
          <w:tcPr>
            <w:tcW w:w="546" w:type="pct"/>
            <w:tcBorders>
              <w:top w:val="nil"/>
              <w:left w:val="nil"/>
              <w:bottom w:val="nil"/>
              <w:right w:val="nil"/>
            </w:tcBorders>
            <w:shd w:val="clear" w:color="auto" w:fill="auto"/>
            <w:vAlign w:val="bottom"/>
          </w:tcPr>
          <w:p w14:paraId="6B529F6C"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2</w:t>
            </w:r>
            <w:r w:rsidR="000A6679" w:rsidRPr="00321238">
              <w:rPr>
                <w:color w:val="000000"/>
                <w:sz w:val="18"/>
                <w:szCs w:val="18"/>
              </w:rPr>
              <w:t>,</w:t>
            </w:r>
            <w:r w:rsidRPr="00321238">
              <w:rPr>
                <w:color w:val="000000"/>
                <w:sz w:val="18"/>
                <w:szCs w:val="18"/>
              </w:rPr>
              <w:t>682</w:t>
            </w:r>
            <w:r w:rsidR="000A6679" w:rsidRPr="00321238">
              <w:rPr>
                <w:color w:val="000000"/>
                <w:sz w:val="18"/>
                <w:szCs w:val="18"/>
              </w:rPr>
              <w:t>,</w:t>
            </w:r>
            <w:r w:rsidRPr="00321238">
              <w:rPr>
                <w:color w:val="000000"/>
                <w:sz w:val="18"/>
                <w:szCs w:val="18"/>
              </w:rPr>
              <w:t>127</w:t>
            </w:r>
          </w:p>
        </w:tc>
        <w:tc>
          <w:tcPr>
            <w:tcW w:w="535" w:type="pct"/>
            <w:tcBorders>
              <w:top w:val="nil"/>
              <w:left w:val="nil"/>
              <w:bottom w:val="nil"/>
              <w:right w:val="nil"/>
            </w:tcBorders>
            <w:shd w:val="clear" w:color="auto" w:fill="auto"/>
            <w:vAlign w:val="bottom"/>
          </w:tcPr>
          <w:p w14:paraId="5BBAD54A" w14:textId="77777777"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2</w:t>
            </w:r>
            <w:r w:rsidR="000A6679" w:rsidRPr="00321238">
              <w:rPr>
                <w:color w:val="000000"/>
                <w:sz w:val="18"/>
                <w:szCs w:val="18"/>
              </w:rPr>
              <w:t>,</w:t>
            </w:r>
            <w:r w:rsidRPr="00321238">
              <w:rPr>
                <w:color w:val="000000"/>
                <w:sz w:val="18"/>
                <w:szCs w:val="18"/>
              </w:rPr>
              <w:t>682</w:t>
            </w:r>
            <w:r w:rsidR="000A6679" w:rsidRPr="00321238">
              <w:rPr>
                <w:color w:val="000000"/>
                <w:sz w:val="18"/>
                <w:szCs w:val="18"/>
              </w:rPr>
              <w:t>,</w:t>
            </w:r>
            <w:r w:rsidRPr="00321238">
              <w:rPr>
                <w:color w:val="000000"/>
                <w:sz w:val="18"/>
                <w:szCs w:val="18"/>
              </w:rPr>
              <w:t>127</w:t>
            </w:r>
          </w:p>
        </w:tc>
      </w:tr>
      <w:tr w:rsidR="003420E8" w:rsidRPr="00321238" w14:paraId="29A26456" w14:textId="77777777" w:rsidTr="00166751">
        <w:trPr>
          <w:trHeight w:val="250"/>
        </w:trPr>
        <w:tc>
          <w:tcPr>
            <w:tcW w:w="1282" w:type="pct"/>
            <w:vAlign w:val="bottom"/>
          </w:tcPr>
          <w:p w14:paraId="61306F15" w14:textId="77777777" w:rsidR="003420E8" w:rsidRPr="00321238" w:rsidRDefault="003420E8" w:rsidP="003420E8">
            <w:pPr>
              <w:tabs>
                <w:tab w:val="right" w:pos="1202"/>
              </w:tabs>
              <w:spacing w:after="0" w:line="240" w:lineRule="auto"/>
              <w:outlineLvl w:val="0"/>
              <w:rPr>
                <w:rFonts w:eastAsia="Times New Roman" w:cs="Arial"/>
                <w:sz w:val="18"/>
                <w:szCs w:val="18"/>
              </w:rPr>
            </w:pPr>
            <w:r w:rsidRPr="00321238">
              <w:rPr>
                <w:rFonts w:eastAsia="Times New Roman" w:cs="Arial"/>
                <w:sz w:val="18"/>
                <w:szCs w:val="18"/>
              </w:rPr>
              <w:t xml:space="preserve">Other reserves </w:t>
            </w:r>
          </w:p>
        </w:tc>
        <w:tc>
          <w:tcPr>
            <w:tcW w:w="502" w:type="pct"/>
            <w:vAlign w:val="center"/>
          </w:tcPr>
          <w:p w14:paraId="1A226CB2" w14:textId="77777777" w:rsidR="003420E8" w:rsidRPr="00321238" w:rsidRDefault="003420E8" w:rsidP="003420E8">
            <w:pPr>
              <w:tabs>
                <w:tab w:val="right" w:pos="1202"/>
              </w:tabs>
              <w:spacing w:after="0" w:line="301" w:lineRule="exact"/>
              <w:jc w:val="right"/>
              <w:outlineLvl w:val="0"/>
              <w:rPr>
                <w:rFonts w:eastAsia="Times New Roman" w:cs="Arial"/>
                <w:spacing w:val="-2"/>
                <w:sz w:val="18"/>
                <w:szCs w:val="18"/>
              </w:rPr>
            </w:pPr>
            <w:r w:rsidRPr="00321238">
              <w:rPr>
                <w:rFonts w:eastAsia="Times New Roman" w:cs="Arial"/>
                <w:spacing w:val="-2"/>
                <w:sz w:val="18"/>
                <w:szCs w:val="18"/>
              </w:rPr>
              <w:t>-</w:t>
            </w:r>
          </w:p>
        </w:tc>
        <w:tc>
          <w:tcPr>
            <w:tcW w:w="536" w:type="pct"/>
            <w:vAlign w:val="center"/>
          </w:tcPr>
          <w:p w14:paraId="35B0AA01" w14:textId="77777777" w:rsidR="003420E8" w:rsidRPr="00321238" w:rsidRDefault="003420E8" w:rsidP="003420E8">
            <w:pPr>
              <w:tabs>
                <w:tab w:val="right" w:pos="1202"/>
              </w:tabs>
              <w:spacing w:after="0" w:line="301" w:lineRule="exact"/>
              <w:jc w:val="right"/>
              <w:outlineLvl w:val="0"/>
              <w:rPr>
                <w:rFonts w:eastAsia="Times New Roman" w:cs="Arial"/>
                <w:spacing w:val="-2"/>
                <w:sz w:val="18"/>
                <w:szCs w:val="18"/>
              </w:rPr>
            </w:pPr>
            <w:r w:rsidRPr="00321238">
              <w:rPr>
                <w:rFonts w:eastAsia="Times New Roman" w:cs="Arial"/>
                <w:spacing w:val="-2"/>
                <w:sz w:val="18"/>
                <w:szCs w:val="18"/>
              </w:rPr>
              <w:t>-</w:t>
            </w:r>
          </w:p>
        </w:tc>
        <w:tc>
          <w:tcPr>
            <w:tcW w:w="536" w:type="pct"/>
            <w:vAlign w:val="center"/>
          </w:tcPr>
          <w:p w14:paraId="5576AAD3" w14:textId="77777777" w:rsidR="003420E8" w:rsidRPr="00321238" w:rsidRDefault="003420E8" w:rsidP="003420E8">
            <w:pPr>
              <w:tabs>
                <w:tab w:val="right" w:pos="1202"/>
              </w:tabs>
              <w:spacing w:after="0" w:line="301" w:lineRule="exact"/>
              <w:jc w:val="right"/>
              <w:outlineLvl w:val="0"/>
              <w:rPr>
                <w:rFonts w:eastAsia="Times New Roman" w:cs="Arial"/>
                <w:spacing w:val="-2"/>
                <w:sz w:val="18"/>
                <w:szCs w:val="18"/>
              </w:rPr>
            </w:pPr>
            <w:r w:rsidRPr="00321238">
              <w:rPr>
                <w:rFonts w:eastAsia="Times New Roman" w:cs="Arial"/>
                <w:spacing w:val="-2"/>
                <w:sz w:val="18"/>
                <w:szCs w:val="18"/>
              </w:rPr>
              <w:t>-</w:t>
            </w:r>
          </w:p>
        </w:tc>
        <w:tc>
          <w:tcPr>
            <w:tcW w:w="494" w:type="pct"/>
            <w:vAlign w:val="center"/>
          </w:tcPr>
          <w:p w14:paraId="44843EEA" w14:textId="77777777" w:rsidR="003420E8" w:rsidRPr="00321238" w:rsidRDefault="003420E8" w:rsidP="003420E8">
            <w:pPr>
              <w:tabs>
                <w:tab w:val="right" w:pos="1202"/>
              </w:tabs>
              <w:spacing w:after="0" w:line="301" w:lineRule="exact"/>
              <w:jc w:val="right"/>
              <w:outlineLvl w:val="0"/>
              <w:rPr>
                <w:rFonts w:eastAsia="Times New Roman" w:cs="Arial"/>
                <w:spacing w:val="-2"/>
                <w:sz w:val="18"/>
                <w:szCs w:val="18"/>
              </w:rPr>
            </w:pPr>
            <w:r w:rsidRPr="00321238">
              <w:rPr>
                <w:rFonts w:eastAsia="Times New Roman" w:cs="Arial"/>
                <w:spacing w:val="-2"/>
                <w:sz w:val="18"/>
                <w:szCs w:val="18"/>
              </w:rPr>
              <w:t>-</w:t>
            </w:r>
          </w:p>
        </w:tc>
        <w:tc>
          <w:tcPr>
            <w:tcW w:w="569" w:type="pct"/>
            <w:vAlign w:val="center"/>
          </w:tcPr>
          <w:p w14:paraId="206E5DD1" w14:textId="77777777" w:rsidR="003420E8" w:rsidRPr="00321238" w:rsidRDefault="003420E8" w:rsidP="003420E8">
            <w:pPr>
              <w:tabs>
                <w:tab w:val="right" w:pos="1202"/>
              </w:tabs>
              <w:spacing w:after="0" w:line="301" w:lineRule="exact"/>
              <w:jc w:val="right"/>
              <w:outlineLvl w:val="0"/>
              <w:rPr>
                <w:rFonts w:eastAsia="Times New Roman" w:cs="Arial"/>
                <w:spacing w:val="-2"/>
                <w:sz w:val="18"/>
                <w:szCs w:val="18"/>
              </w:rPr>
            </w:pPr>
            <w:r w:rsidRPr="00321238">
              <w:rPr>
                <w:rFonts w:eastAsia="Times New Roman" w:cs="Arial"/>
                <w:spacing w:val="-2"/>
                <w:sz w:val="18"/>
                <w:szCs w:val="18"/>
              </w:rPr>
              <w:t>-</w:t>
            </w:r>
          </w:p>
        </w:tc>
        <w:tc>
          <w:tcPr>
            <w:tcW w:w="546" w:type="pct"/>
            <w:tcBorders>
              <w:top w:val="nil"/>
              <w:left w:val="nil"/>
              <w:right w:val="nil"/>
            </w:tcBorders>
            <w:shd w:val="clear" w:color="auto" w:fill="auto"/>
            <w:vAlign w:val="bottom"/>
          </w:tcPr>
          <w:p w14:paraId="4511E75A"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73</w:t>
            </w:r>
            <w:r w:rsidR="000A6679" w:rsidRPr="00321238">
              <w:rPr>
                <w:color w:val="000000"/>
                <w:sz w:val="18"/>
                <w:szCs w:val="18"/>
              </w:rPr>
              <w:t>,</w:t>
            </w:r>
            <w:r w:rsidRPr="00321238">
              <w:rPr>
                <w:color w:val="000000"/>
                <w:sz w:val="18"/>
                <w:szCs w:val="18"/>
              </w:rPr>
              <w:t>733</w:t>
            </w:r>
          </w:p>
        </w:tc>
        <w:tc>
          <w:tcPr>
            <w:tcW w:w="535" w:type="pct"/>
            <w:tcBorders>
              <w:top w:val="nil"/>
              <w:left w:val="nil"/>
              <w:right w:val="nil"/>
            </w:tcBorders>
            <w:shd w:val="clear" w:color="auto" w:fill="auto"/>
            <w:vAlign w:val="bottom"/>
          </w:tcPr>
          <w:p w14:paraId="5AE54C06" w14:textId="77777777"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73</w:t>
            </w:r>
            <w:r w:rsidR="000A6679" w:rsidRPr="00321238">
              <w:rPr>
                <w:color w:val="000000"/>
                <w:sz w:val="18"/>
                <w:szCs w:val="18"/>
              </w:rPr>
              <w:t>,</w:t>
            </w:r>
            <w:r w:rsidRPr="00321238">
              <w:rPr>
                <w:color w:val="000000"/>
                <w:sz w:val="18"/>
                <w:szCs w:val="18"/>
              </w:rPr>
              <w:t>733</w:t>
            </w:r>
          </w:p>
        </w:tc>
      </w:tr>
      <w:tr w:rsidR="003420E8" w:rsidRPr="00321238" w14:paraId="4B4F15D1" w14:textId="77777777" w:rsidTr="00166751">
        <w:trPr>
          <w:trHeight w:val="233"/>
        </w:trPr>
        <w:tc>
          <w:tcPr>
            <w:tcW w:w="1282" w:type="pct"/>
            <w:vAlign w:val="bottom"/>
          </w:tcPr>
          <w:p w14:paraId="55F00F22" w14:textId="77777777" w:rsidR="003420E8" w:rsidRPr="00321238" w:rsidRDefault="003420E8" w:rsidP="003420E8">
            <w:pPr>
              <w:tabs>
                <w:tab w:val="right" w:pos="1202"/>
              </w:tabs>
              <w:spacing w:after="0" w:line="240" w:lineRule="auto"/>
              <w:outlineLvl w:val="0"/>
              <w:rPr>
                <w:rFonts w:eastAsia="Times New Roman" w:cs="Arial"/>
                <w:sz w:val="18"/>
                <w:szCs w:val="18"/>
              </w:rPr>
            </w:pPr>
            <w:r w:rsidRPr="00321238">
              <w:rPr>
                <w:rFonts w:eastAsia="Times New Roman" w:cs="Arial"/>
                <w:sz w:val="18"/>
                <w:szCs w:val="18"/>
              </w:rPr>
              <w:t xml:space="preserve">Net profit for the year </w:t>
            </w:r>
          </w:p>
        </w:tc>
        <w:tc>
          <w:tcPr>
            <w:tcW w:w="502" w:type="pct"/>
            <w:tcBorders>
              <w:bottom w:val="single" w:sz="6" w:space="0" w:color="auto"/>
            </w:tcBorders>
            <w:vAlign w:val="center"/>
          </w:tcPr>
          <w:p w14:paraId="758167A9" w14:textId="77777777" w:rsidR="003420E8" w:rsidRPr="00321238" w:rsidRDefault="003420E8" w:rsidP="003420E8">
            <w:pPr>
              <w:spacing w:after="0" w:line="240" w:lineRule="auto"/>
              <w:jc w:val="right"/>
              <w:rPr>
                <w:rFonts w:eastAsia="Times New Roman" w:cs="Arial"/>
                <w:spacing w:val="-2"/>
                <w:sz w:val="18"/>
                <w:szCs w:val="18"/>
              </w:rPr>
            </w:pPr>
            <w:r w:rsidRPr="00321238">
              <w:rPr>
                <w:rFonts w:eastAsia="Times New Roman" w:cs="Arial"/>
                <w:spacing w:val="-2"/>
                <w:sz w:val="18"/>
                <w:szCs w:val="18"/>
              </w:rPr>
              <w:t>-</w:t>
            </w:r>
          </w:p>
        </w:tc>
        <w:tc>
          <w:tcPr>
            <w:tcW w:w="536" w:type="pct"/>
            <w:tcBorders>
              <w:bottom w:val="single" w:sz="6" w:space="0" w:color="auto"/>
            </w:tcBorders>
            <w:vAlign w:val="center"/>
          </w:tcPr>
          <w:p w14:paraId="0072B636" w14:textId="77777777" w:rsidR="003420E8" w:rsidRPr="00321238" w:rsidRDefault="003420E8" w:rsidP="003420E8">
            <w:pPr>
              <w:spacing w:after="0" w:line="240" w:lineRule="auto"/>
              <w:jc w:val="right"/>
              <w:rPr>
                <w:rFonts w:eastAsia="Times New Roman" w:cs="Arial"/>
                <w:spacing w:val="-2"/>
                <w:sz w:val="18"/>
                <w:szCs w:val="18"/>
              </w:rPr>
            </w:pPr>
            <w:r w:rsidRPr="00321238">
              <w:rPr>
                <w:rFonts w:eastAsia="Times New Roman" w:cs="Arial"/>
                <w:spacing w:val="-2"/>
                <w:sz w:val="18"/>
                <w:szCs w:val="18"/>
              </w:rPr>
              <w:t>-</w:t>
            </w:r>
          </w:p>
        </w:tc>
        <w:tc>
          <w:tcPr>
            <w:tcW w:w="536" w:type="pct"/>
            <w:tcBorders>
              <w:bottom w:val="single" w:sz="6" w:space="0" w:color="auto"/>
            </w:tcBorders>
            <w:vAlign w:val="center"/>
          </w:tcPr>
          <w:p w14:paraId="4BC4D3D0" w14:textId="77777777" w:rsidR="003420E8" w:rsidRPr="00321238" w:rsidRDefault="003420E8" w:rsidP="003420E8">
            <w:pPr>
              <w:spacing w:after="0" w:line="240" w:lineRule="auto"/>
              <w:jc w:val="right"/>
              <w:rPr>
                <w:rFonts w:eastAsia="Times New Roman" w:cs="Arial"/>
                <w:spacing w:val="-2"/>
                <w:sz w:val="18"/>
                <w:szCs w:val="18"/>
              </w:rPr>
            </w:pPr>
            <w:r w:rsidRPr="00321238">
              <w:rPr>
                <w:rFonts w:eastAsia="Times New Roman" w:cs="Arial"/>
                <w:spacing w:val="-2"/>
                <w:sz w:val="18"/>
                <w:szCs w:val="18"/>
              </w:rPr>
              <w:t>-</w:t>
            </w:r>
          </w:p>
        </w:tc>
        <w:tc>
          <w:tcPr>
            <w:tcW w:w="494" w:type="pct"/>
            <w:tcBorders>
              <w:bottom w:val="single" w:sz="6" w:space="0" w:color="auto"/>
            </w:tcBorders>
            <w:vAlign w:val="center"/>
          </w:tcPr>
          <w:p w14:paraId="58FEB41E" w14:textId="77777777" w:rsidR="003420E8" w:rsidRPr="00321238" w:rsidRDefault="003420E8" w:rsidP="003420E8">
            <w:pPr>
              <w:spacing w:after="0" w:line="240" w:lineRule="auto"/>
              <w:jc w:val="right"/>
              <w:rPr>
                <w:rFonts w:eastAsia="Times New Roman" w:cs="Arial"/>
                <w:spacing w:val="-2"/>
                <w:sz w:val="18"/>
                <w:szCs w:val="18"/>
              </w:rPr>
            </w:pPr>
            <w:r w:rsidRPr="00321238">
              <w:rPr>
                <w:rFonts w:eastAsia="Times New Roman" w:cs="Arial"/>
                <w:spacing w:val="-2"/>
                <w:sz w:val="18"/>
                <w:szCs w:val="18"/>
              </w:rPr>
              <w:t>-</w:t>
            </w:r>
          </w:p>
        </w:tc>
        <w:tc>
          <w:tcPr>
            <w:tcW w:w="569" w:type="pct"/>
            <w:tcBorders>
              <w:bottom w:val="single" w:sz="6" w:space="0" w:color="auto"/>
            </w:tcBorders>
            <w:vAlign w:val="center"/>
          </w:tcPr>
          <w:p w14:paraId="3E50DB3C" w14:textId="77777777" w:rsidR="003420E8" w:rsidRPr="00321238" w:rsidRDefault="003420E8" w:rsidP="003420E8">
            <w:pPr>
              <w:spacing w:after="0" w:line="240" w:lineRule="auto"/>
              <w:jc w:val="right"/>
              <w:rPr>
                <w:rFonts w:eastAsia="Times New Roman" w:cs="Arial"/>
                <w:spacing w:val="-2"/>
                <w:sz w:val="18"/>
                <w:szCs w:val="18"/>
              </w:rPr>
            </w:pPr>
            <w:r w:rsidRPr="00321238">
              <w:rPr>
                <w:rFonts w:eastAsia="Times New Roman" w:cs="Arial"/>
                <w:spacing w:val="-2"/>
                <w:sz w:val="18"/>
                <w:szCs w:val="18"/>
              </w:rPr>
              <w:t>-</w:t>
            </w:r>
          </w:p>
        </w:tc>
        <w:tc>
          <w:tcPr>
            <w:tcW w:w="546" w:type="pct"/>
            <w:tcBorders>
              <w:top w:val="nil"/>
              <w:left w:val="nil"/>
              <w:bottom w:val="single" w:sz="6" w:space="0" w:color="auto"/>
              <w:right w:val="nil"/>
            </w:tcBorders>
            <w:shd w:val="clear" w:color="auto" w:fill="auto"/>
            <w:vAlign w:val="bottom"/>
          </w:tcPr>
          <w:p w14:paraId="3EF75BB2" w14:textId="77777777"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314</w:t>
            </w:r>
            <w:r w:rsidR="000A6679" w:rsidRPr="00321238">
              <w:rPr>
                <w:color w:val="000000"/>
                <w:sz w:val="18"/>
                <w:szCs w:val="18"/>
              </w:rPr>
              <w:t>,</w:t>
            </w:r>
            <w:r w:rsidRPr="00321238">
              <w:rPr>
                <w:color w:val="000000"/>
                <w:sz w:val="18"/>
                <w:szCs w:val="18"/>
              </w:rPr>
              <w:t>841</w:t>
            </w:r>
          </w:p>
        </w:tc>
        <w:tc>
          <w:tcPr>
            <w:tcW w:w="535" w:type="pct"/>
            <w:tcBorders>
              <w:top w:val="nil"/>
              <w:left w:val="nil"/>
              <w:bottom w:val="single" w:sz="6" w:space="0" w:color="auto"/>
              <w:right w:val="nil"/>
            </w:tcBorders>
            <w:shd w:val="clear" w:color="auto" w:fill="auto"/>
            <w:vAlign w:val="bottom"/>
          </w:tcPr>
          <w:p w14:paraId="32859FC5" w14:textId="77777777"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314</w:t>
            </w:r>
            <w:r w:rsidR="000A6679" w:rsidRPr="00321238">
              <w:rPr>
                <w:color w:val="000000"/>
                <w:sz w:val="18"/>
                <w:szCs w:val="18"/>
              </w:rPr>
              <w:t>,</w:t>
            </w:r>
            <w:r w:rsidRPr="00321238">
              <w:rPr>
                <w:color w:val="000000"/>
                <w:sz w:val="18"/>
                <w:szCs w:val="18"/>
              </w:rPr>
              <w:t>841</w:t>
            </w:r>
          </w:p>
        </w:tc>
      </w:tr>
      <w:tr w:rsidR="003420E8" w:rsidRPr="00321238" w14:paraId="46B01B7B" w14:textId="77777777" w:rsidTr="00166751">
        <w:trPr>
          <w:trHeight w:val="500"/>
        </w:trPr>
        <w:tc>
          <w:tcPr>
            <w:tcW w:w="1282" w:type="pct"/>
            <w:vAlign w:val="bottom"/>
          </w:tcPr>
          <w:p w14:paraId="3404D72E" w14:textId="77777777" w:rsidR="003420E8" w:rsidRPr="00321238" w:rsidRDefault="003420E8" w:rsidP="003420E8">
            <w:pPr>
              <w:tabs>
                <w:tab w:val="right" w:pos="1202"/>
              </w:tabs>
              <w:spacing w:after="0" w:line="240" w:lineRule="auto"/>
              <w:outlineLvl w:val="0"/>
              <w:rPr>
                <w:rFonts w:eastAsia="Times New Roman" w:cs="Arial"/>
                <w:sz w:val="18"/>
                <w:szCs w:val="18"/>
              </w:rPr>
            </w:pPr>
            <w:r w:rsidRPr="00321238">
              <w:rPr>
                <w:rFonts w:eastAsia="Times New Roman" w:cs="Arial"/>
                <w:b/>
                <w:bCs/>
                <w:sz w:val="18"/>
                <w:szCs w:val="18"/>
              </w:rPr>
              <w:t>Total equity attributable to equity holders of the parent</w:t>
            </w:r>
          </w:p>
        </w:tc>
        <w:tc>
          <w:tcPr>
            <w:tcW w:w="502" w:type="pct"/>
            <w:tcBorders>
              <w:top w:val="single" w:sz="6" w:space="0" w:color="auto"/>
            </w:tcBorders>
            <w:vAlign w:val="center"/>
          </w:tcPr>
          <w:p w14:paraId="38BFDAE6" w14:textId="77777777" w:rsidR="003420E8" w:rsidRPr="00321238" w:rsidRDefault="003420E8" w:rsidP="003420E8">
            <w:pPr>
              <w:spacing w:after="0" w:line="240" w:lineRule="auto"/>
              <w:jc w:val="right"/>
              <w:rPr>
                <w:rFonts w:eastAsia="Times New Roman" w:cs="Arial"/>
                <w:b/>
                <w:bCs/>
                <w:color w:val="000000"/>
                <w:sz w:val="18"/>
                <w:szCs w:val="18"/>
                <w:lang w:val="en-US"/>
              </w:rPr>
            </w:pPr>
            <w:r w:rsidRPr="00321238">
              <w:rPr>
                <w:rFonts w:eastAsia="Times New Roman" w:cs="Arial"/>
                <w:b/>
                <w:bCs/>
                <w:color w:val="000000"/>
                <w:sz w:val="18"/>
                <w:szCs w:val="18"/>
                <w:lang w:val="en-US"/>
              </w:rPr>
              <w:t>-</w:t>
            </w:r>
          </w:p>
        </w:tc>
        <w:tc>
          <w:tcPr>
            <w:tcW w:w="536" w:type="pct"/>
            <w:tcBorders>
              <w:top w:val="single" w:sz="6" w:space="0" w:color="auto"/>
            </w:tcBorders>
            <w:vAlign w:val="center"/>
          </w:tcPr>
          <w:p w14:paraId="333D8591" w14:textId="77777777" w:rsidR="003420E8" w:rsidRPr="00321238" w:rsidRDefault="003420E8" w:rsidP="003420E8">
            <w:pPr>
              <w:spacing w:after="0" w:line="240" w:lineRule="auto"/>
              <w:jc w:val="right"/>
              <w:rPr>
                <w:rFonts w:eastAsia="Times New Roman" w:cs="Arial"/>
                <w:b/>
                <w:bCs/>
                <w:color w:val="000000"/>
                <w:sz w:val="18"/>
                <w:szCs w:val="18"/>
                <w:lang w:val="en-US"/>
              </w:rPr>
            </w:pPr>
            <w:r w:rsidRPr="00321238">
              <w:rPr>
                <w:rFonts w:eastAsia="Times New Roman" w:cs="Arial"/>
                <w:b/>
                <w:bCs/>
                <w:color w:val="000000"/>
                <w:sz w:val="18"/>
                <w:szCs w:val="18"/>
                <w:lang w:val="en-US"/>
              </w:rPr>
              <w:t>-</w:t>
            </w:r>
          </w:p>
        </w:tc>
        <w:tc>
          <w:tcPr>
            <w:tcW w:w="536" w:type="pct"/>
            <w:tcBorders>
              <w:top w:val="single" w:sz="6" w:space="0" w:color="auto"/>
            </w:tcBorders>
            <w:vAlign w:val="center"/>
          </w:tcPr>
          <w:p w14:paraId="5A39E79D" w14:textId="77777777" w:rsidR="003420E8" w:rsidRPr="00321238" w:rsidRDefault="003420E8" w:rsidP="003420E8">
            <w:pPr>
              <w:spacing w:after="0" w:line="240" w:lineRule="auto"/>
              <w:jc w:val="right"/>
              <w:rPr>
                <w:rFonts w:eastAsia="Times New Roman" w:cs="Arial"/>
                <w:b/>
                <w:bCs/>
                <w:color w:val="000000"/>
                <w:sz w:val="18"/>
                <w:szCs w:val="18"/>
                <w:lang w:val="en-US"/>
              </w:rPr>
            </w:pPr>
            <w:r w:rsidRPr="00321238">
              <w:rPr>
                <w:rFonts w:eastAsia="Times New Roman" w:cs="Arial"/>
                <w:b/>
                <w:bCs/>
                <w:color w:val="000000"/>
                <w:sz w:val="18"/>
                <w:szCs w:val="18"/>
                <w:lang w:val="en-US"/>
              </w:rPr>
              <w:t>-</w:t>
            </w:r>
          </w:p>
        </w:tc>
        <w:tc>
          <w:tcPr>
            <w:tcW w:w="494" w:type="pct"/>
            <w:tcBorders>
              <w:top w:val="single" w:sz="6" w:space="0" w:color="auto"/>
            </w:tcBorders>
            <w:vAlign w:val="center"/>
          </w:tcPr>
          <w:p w14:paraId="7A774700" w14:textId="77777777" w:rsidR="003420E8" w:rsidRPr="00321238" w:rsidRDefault="003420E8" w:rsidP="003420E8">
            <w:pPr>
              <w:spacing w:after="0" w:line="240" w:lineRule="auto"/>
              <w:jc w:val="right"/>
              <w:rPr>
                <w:rFonts w:eastAsia="Times New Roman" w:cs="Arial"/>
                <w:b/>
                <w:bCs/>
                <w:color w:val="000000"/>
                <w:sz w:val="18"/>
                <w:szCs w:val="18"/>
                <w:lang w:val="en-US"/>
              </w:rPr>
            </w:pPr>
            <w:r w:rsidRPr="00321238">
              <w:rPr>
                <w:rFonts w:eastAsia="Times New Roman" w:cs="Arial"/>
                <w:b/>
                <w:bCs/>
                <w:color w:val="000000"/>
                <w:sz w:val="18"/>
                <w:szCs w:val="18"/>
                <w:lang w:val="en-US"/>
              </w:rPr>
              <w:t>-</w:t>
            </w:r>
          </w:p>
        </w:tc>
        <w:tc>
          <w:tcPr>
            <w:tcW w:w="569" w:type="pct"/>
            <w:tcBorders>
              <w:top w:val="single" w:sz="6" w:space="0" w:color="auto"/>
            </w:tcBorders>
            <w:vAlign w:val="center"/>
          </w:tcPr>
          <w:p w14:paraId="4CEBCA74" w14:textId="77777777" w:rsidR="003420E8" w:rsidRPr="00321238" w:rsidRDefault="003420E8" w:rsidP="003420E8">
            <w:pPr>
              <w:spacing w:after="0" w:line="240" w:lineRule="auto"/>
              <w:jc w:val="right"/>
              <w:rPr>
                <w:rFonts w:eastAsia="Times New Roman" w:cs="Arial"/>
                <w:b/>
                <w:bCs/>
                <w:color w:val="000000"/>
                <w:sz w:val="18"/>
                <w:szCs w:val="18"/>
                <w:lang w:val="en-US"/>
              </w:rPr>
            </w:pPr>
            <w:r w:rsidRPr="00321238">
              <w:rPr>
                <w:rFonts w:eastAsia="Times New Roman" w:cs="Arial"/>
                <w:b/>
                <w:bCs/>
                <w:color w:val="000000"/>
                <w:sz w:val="18"/>
                <w:szCs w:val="18"/>
                <w:lang w:val="en-US"/>
              </w:rPr>
              <w:t>-</w:t>
            </w:r>
          </w:p>
        </w:tc>
        <w:tc>
          <w:tcPr>
            <w:tcW w:w="546" w:type="pct"/>
            <w:tcBorders>
              <w:top w:val="single" w:sz="6" w:space="0" w:color="auto"/>
              <w:left w:val="nil"/>
              <w:right w:val="nil"/>
            </w:tcBorders>
            <w:shd w:val="clear" w:color="auto" w:fill="auto"/>
            <w:vAlign w:val="bottom"/>
          </w:tcPr>
          <w:p w14:paraId="0CC29CEF" w14:textId="77777777" w:rsidR="003420E8" w:rsidRPr="00321238" w:rsidRDefault="003420E8" w:rsidP="003420E8">
            <w:pPr>
              <w:spacing w:after="0" w:line="240" w:lineRule="auto"/>
              <w:jc w:val="right"/>
              <w:rPr>
                <w:rFonts w:eastAsia="Times New Roman" w:cs="Arial"/>
                <w:b/>
                <w:bCs/>
                <w:color w:val="000000"/>
                <w:sz w:val="18"/>
                <w:szCs w:val="18"/>
                <w:lang w:val="en-US"/>
              </w:rPr>
            </w:pPr>
            <w:r w:rsidRPr="00321238">
              <w:rPr>
                <w:b/>
                <w:bCs/>
                <w:color w:val="000000"/>
                <w:sz w:val="18"/>
                <w:szCs w:val="18"/>
              </w:rPr>
              <w:t>10</w:t>
            </w:r>
            <w:r w:rsidR="000A6679" w:rsidRPr="00321238">
              <w:rPr>
                <w:b/>
                <w:bCs/>
                <w:color w:val="000000"/>
                <w:sz w:val="18"/>
                <w:szCs w:val="18"/>
              </w:rPr>
              <w:t>,</w:t>
            </w:r>
            <w:r w:rsidRPr="00321238">
              <w:rPr>
                <w:b/>
                <w:bCs/>
                <w:color w:val="000000"/>
                <w:sz w:val="18"/>
                <w:szCs w:val="18"/>
              </w:rPr>
              <w:t>030</w:t>
            </w:r>
            <w:r w:rsidR="000A6679" w:rsidRPr="00321238">
              <w:rPr>
                <w:b/>
                <w:bCs/>
                <w:color w:val="000000"/>
                <w:sz w:val="18"/>
                <w:szCs w:val="18"/>
              </w:rPr>
              <w:t>,</w:t>
            </w:r>
            <w:r w:rsidRPr="00321238">
              <w:rPr>
                <w:b/>
                <w:bCs/>
                <w:color w:val="000000"/>
                <w:sz w:val="18"/>
                <w:szCs w:val="18"/>
              </w:rPr>
              <w:t>333</w:t>
            </w:r>
          </w:p>
        </w:tc>
        <w:tc>
          <w:tcPr>
            <w:tcW w:w="535" w:type="pct"/>
            <w:tcBorders>
              <w:top w:val="single" w:sz="6" w:space="0" w:color="auto"/>
              <w:left w:val="nil"/>
              <w:right w:val="nil"/>
            </w:tcBorders>
            <w:shd w:val="clear" w:color="auto" w:fill="auto"/>
            <w:vAlign w:val="bottom"/>
          </w:tcPr>
          <w:p w14:paraId="210B39AB" w14:textId="77777777" w:rsidR="003420E8" w:rsidRPr="00321238" w:rsidRDefault="003420E8" w:rsidP="003420E8">
            <w:pPr>
              <w:spacing w:after="0" w:line="240" w:lineRule="auto"/>
              <w:jc w:val="right"/>
              <w:rPr>
                <w:rFonts w:eastAsia="Times New Roman" w:cs="Arial"/>
                <w:b/>
                <w:bCs/>
                <w:color w:val="000000"/>
                <w:sz w:val="18"/>
                <w:szCs w:val="18"/>
                <w:lang w:val="en-US"/>
              </w:rPr>
            </w:pPr>
            <w:r w:rsidRPr="00321238">
              <w:rPr>
                <w:b/>
                <w:bCs/>
                <w:color w:val="000000"/>
                <w:sz w:val="18"/>
                <w:szCs w:val="18"/>
              </w:rPr>
              <w:t>10</w:t>
            </w:r>
            <w:r w:rsidR="000A6679" w:rsidRPr="00321238">
              <w:rPr>
                <w:b/>
                <w:bCs/>
                <w:color w:val="000000"/>
                <w:sz w:val="18"/>
                <w:szCs w:val="18"/>
              </w:rPr>
              <w:t>,</w:t>
            </w:r>
            <w:r w:rsidRPr="00321238">
              <w:rPr>
                <w:b/>
                <w:bCs/>
                <w:color w:val="000000"/>
                <w:sz w:val="18"/>
                <w:szCs w:val="18"/>
              </w:rPr>
              <w:t>030</w:t>
            </w:r>
            <w:r w:rsidR="000A6679" w:rsidRPr="00321238">
              <w:rPr>
                <w:b/>
                <w:bCs/>
                <w:color w:val="000000"/>
                <w:sz w:val="18"/>
                <w:szCs w:val="18"/>
              </w:rPr>
              <w:t>,</w:t>
            </w:r>
            <w:r w:rsidRPr="00321238">
              <w:rPr>
                <w:b/>
                <w:bCs/>
                <w:color w:val="000000"/>
                <w:sz w:val="18"/>
                <w:szCs w:val="18"/>
              </w:rPr>
              <w:t>333</w:t>
            </w:r>
          </w:p>
        </w:tc>
      </w:tr>
      <w:tr w:rsidR="003420E8" w:rsidRPr="00321238" w14:paraId="3D7F3B1F" w14:textId="77777777" w:rsidTr="00166751">
        <w:trPr>
          <w:trHeight w:val="233"/>
        </w:trPr>
        <w:tc>
          <w:tcPr>
            <w:tcW w:w="1282" w:type="pct"/>
            <w:vAlign w:val="bottom"/>
          </w:tcPr>
          <w:p w14:paraId="6D1B06A9" w14:textId="77777777" w:rsidR="003420E8" w:rsidRPr="00321238" w:rsidRDefault="003420E8" w:rsidP="003420E8">
            <w:pPr>
              <w:tabs>
                <w:tab w:val="right" w:pos="1202"/>
              </w:tabs>
              <w:spacing w:after="0" w:line="240" w:lineRule="auto"/>
              <w:outlineLvl w:val="0"/>
              <w:rPr>
                <w:rFonts w:eastAsia="Times New Roman" w:cs="Arial"/>
                <w:sz w:val="18"/>
                <w:szCs w:val="18"/>
              </w:rPr>
            </w:pPr>
            <w:r w:rsidRPr="00321238">
              <w:rPr>
                <w:rFonts w:eastAsia="Times New Roman" w:cs="Arial"/>
                <w:sz w:val="18"/>
                <w:szCs w:val="18"/>
              </w:rPr>
              <w:t>Guarantee fund</w:t>
            </w:r>
          </w:p>
        </w:tc>
        <w:tc>
          <w:tcPr>
            <w:tcW w:w="502" w:type="pct"/>
            <w:tcBorders>
              <w:top w:val="single" w:sz="12" w:space="0" w:color="auto"/>
              <w:bottom w:val="single" w:sz="8" w:space="0" w:color="auto"/>
            </w:tcBorders>
            <w:vAlign w:val="center"/>
          </w:tcPr>
          <w:p w14:paraId="40DB7E73" w14:textId="77777777" w:rsidR="003420E8" w:rsidRPr="00321238" w:rsidRDefault="003420E8" w:rsidP="003420E8">
            <w:pPr>
              <w:spacing w:after="0" w:line="240" w:lineRule="auto"/>
              <w:jc w:val="right"/>
              <w:rPr>
                <w:rFonts w:eastAsia="Times New Roman" w:cs="Arial"/>
                <w:b/>
                <w:bCs/>
                <w:color w:val="000000"/>
                <w:sz w:val="18"/>
                <w:szCs w:val="18"/>
                <w:lang w:val="en-US"/>
              </w:rPr>
            </w:pPr>
            <w:r w:rsidRPr="00321238">
              <w:rPr>
                <w:rFonts w:eastAsia="Times New Roman" w:cs="Arial"/>
                <w:b/>
                <w:bCs/>
                <w:color w:val="000000"/>
                <w:sz w:val="18"/>
                <w:szCs w:val="18"/>
                <w:lang w:val="en-US"/>
              </w:rPr>
              <w:t>-</w:t>
            </w:r>
          </w:p>
        </w:tc>
        <w:tc>
          <w:tcPr>
            <w:tcW w:w="536" w:type="pct"/>
            <w:tcBorders>
              <w:top w:val="single" w:sz="12" w:space="0" w:color="auto"/>
              <w:bottom w:val="single" w:sz="8" w:space="0" w:color="auto"/>
            </w:tcBorders>
            <w:vAlign w:val="center"/>
          </w:tcPr>
          <w:p w14:paraId="3F8EE1C3" w14:textId="77777777" w:rsidR="003420E8" w:rsidRPr="00321238" w:rsidRDefault="003420E8" w:rsidP="003420E8">
            <w:pPr>
              <w:spacing w:after="0" w:line="240" w:lineRule="auto"/>
              <w:jc w:val="right"/>
              <w:rPr>
                <w:rFonts w:eastAsia="Times New Roman" w:cs="Arial"/>
                <w:b/>
                <w:bCs/>
                <w:color w:val="000000"/>
                <w:sz w:val="18"/>
                <w:szCs w:val="18"/>
                <w:lang w:val="en-US"/>
              </w:rPr>
            </w:pPr>
            <w:r w:rsidRPr="00321238">
              <w:rPr>
                <w:rFonts w:eastAsia="Times New Roman" w:cs="Arial"/>
                <w:b/>
                <w:bCs/>
                <w:color w:val="000000"/>
                <w:sz w:val="18"/>
                <w:szCs w:val="18"/>
                <w:lang w:val="en-US"/>
              </w:rPr>
              <w:t>-</w:t>
            </w:r>
          </w:p>
        </w:tc>
        <w:tc>
          <w:tcPr>
            <w:tcW w:w="536" w:type="pct"/>
            <w:tcBorders>
              <w:top w:val="single" w:sz="12" w:space="0" w:color="auto"/>
              <w:bottom w:val="single" w:sz="8" w:space="0" w:color="auto"/>
            </w:tcBorders>
            <w:vAlign w:val="center"/>
          </w:tcPr>
          <w:p w14:paraId="6777C377" w14:textId="77777777" w:rsidR="003420E8" w:rsidRPr="00321238" w:rsidRDefault="003420E8" w:rsidP="003420E8">
            <w:pPr>
              <w:spacing w:after="0" w:line="240" w:lineRule="auto"/>
              <w:jc w:val="right"/>
              <w:rPr>
                <w:rFonts w:eastAsia="Times New Roman" w:cs="Arial"/>
                <w:b/>
                <w:bCs/>
                <w:color w:val="000000"/>
                <w:sz w:val="18"/>
                <w:szCs w:val="18"/>
                <w:lang w:val="en-US"/>
              </w:rPr>
            </w:pPr>
            <w:r w:rsidRPr="00321238">
              <w:rPr>
                <w:rFonts w:eastAsia="Times New Roman" w:cs="Arial"/>
                <w:b/>
                <w:bCs/>
                <w:color w:val="000000"/>
                <w:sz w:val="18"/>
                <w:szCs w:val="18"/>
                <w:lang w:val="en-US"/>
              </w:rPr>
              <w:t>-</w:t>
            </w:r>
          </w:p>
        </w:tc>
        <w:tc>
          <w:tcPr>
            <w:tcW w:w="494" w:type="pct"/>
            <w:tcBorders>
              <w:top w:val="single" w:sz="12" w:space="0" w:color="auto"/>
              <w:bottom w:val="single" w:sz="8" w:space="0" w:color="auto"/>
            </w:tcBorders>
            <w:vAlign w:val="center"/>
          </w:tcPr>
          <w:p w14:paraId="78928CF6" w14:textId="77777777" w:rsidR="003420E8" w:rsidRPr="00321238" w:rsidRDefault="003420E8" w:rsidP="003420E8">
            <w:pPr>
              <w:spacing w:after="0" w:line="240" w:lineRule="auto"/>
              <w:jc w:val="right"/>
              <w:rPr>
                <w:rFonts w:eastAsia="Times New Roman" w:cs="Arial"/>
                <w:b/>
                <w:bCs/>
                <w:color w:val="000000"/>
                <w:sz w:val="18"/>
                <w:szCs w:val="18"/>
                <w:lang w:val="en-US"/>
              </w:rPr>
            </w:pPr>
            <w:r w:rsidRPr="00321238">
              <w:rPr>
                <w:rFonts w:eastAsia="Times New Roman" w:cs="Arial"/>
                <w:b/>
                <w:bCs/>
                <w:color w:val="000000"/>
                <w:sz w:val="18"/>
                <w:szCs w:val="18"/>
                <w:lang w:val="en-US"/>
              </w:rPr>
              <w:t>-</w:t>
            </w:r>
          </w:p>
        </w:tc>
        <w:tc>
          <w:tcPr>
            <w:tcW w:w="569" w:type="pct"/>
            <w:tcBorders>
              <w:top w:val="single" w:sz="12" w:space="0" w:color="auto"/>
              <w:bottom w:val="single" w:sz="8" w:space="0" w:color="auto"/>
            </w:tcBorders>
            <w:vAlign w:val="center"/>
          </w:tcPr>
          <w:p w14:paraId="2936A651" w14:textId="77777777" w:rsidR="003420E8" w:rsidRPr="00321238" w:rsidRDefault="003420E8" w:rsidP="003420E8">
            <w:pPr>
              <w:spacing w:after="0" w:line="240" w:lineRule="auto"/>
              <w:jc w:val="right"/>
              <w:rPr>
                <w:rFonts w:eastAsia="Times New Roman" w:cs="Arial"/>
                <w:b/>
                <w:bCs/>
                <w:color w:val="000000"/>
                <w:sz w:val="18"/>
                <w:szCs w:val="18"/>
                <w:lang w:val="en-US"/>
              </w:rPr>
            </w:pPr>
            <w:r w:rsidRPr="00321238">
              <w:rPr>
                <w:rFonts w:eastAsia="Times New Roman" w:cs="Arial"/>
                <w:b/>
                <w:bCs/>
                <w:color w:val="000000"/>
                <w:sz w:val="18"/>
                <w:szCs w:val="18"/>
                <w:lang w:val="en-US"/>
              </w:rPr>
              <w:t>-</w:t>
            </w:r>
          </w:p>
        </w:tc>
        <w:tc>
          <w:tcPr>
            <w:tcW w:w="546" w:type="pct"/>
            <w:tcBorders>
              <w:top w:val="single" w:sz="12" w:space="0" w:color="auto"/>
              <w:left w:val="nil"/>
              <w:bottom w:val="single" w:sz="8" w:space="0" w:color="auto"/>
              <w:right w:val="nil"/>
            </w:tcBorders>
            <w:shd w:val="clear" w:color="auto" w:fill="auto"/>
            <w:vAlign w:val="bottom"/>
          </w:tcPr>
          <w:p w14:paraId="30972919" w14:textId="77777777" w:rsidR="003420E8" w:rsidRPr="00321238" w:rsidRDefault="003420E8" w:rsidP="003420E8">
            <w:pPr>
              <w:spacing w:after="0" w:line="240" w:lineRule="auto"/>
              <w:jc w:val="right"/>
              <w:rPr>
                <w:rFonts w:eastAsia="Times New Roman" w:cs="Arial"/>
                <w:b/>
                <w:bCs/>
                <w:color w:val="000000"/>
                <w:sz w:val="18"/>
                <w:szCs w:val="18"/>
                <w:lang w:val="en-US"/>
              </w:rPr>
            </w:pPr>
            <w:r w:rsidRPr="00321238">
              <w:rPr>
                <w:color w:val="000000"/>
                <w:sz w:val="18"/>
                <w:szCs w:val="18"/>
              </w:rPr>
              <w:t>12</w:t>
            </w:r>
            <w:r w:rsidR="000A6679" w:rsidRPr="00321238">
              <w:rPr>
                <w:color w:val="000000"/>
                <w:sz w:val="18"/>
                <w:szCs w:val="18"/>
              </w:rPr>
              <w:t>,</w:t>
            </w:r>
            <w:r w:rsidRPr="00321238">
              <w:rPr>
                <w:color w:val="000000"/>
                <w:sz w:val="18"/>
                <w:szCs w:val="18"/>
              </w:rPr>
              <w:t>375</w:t>
            </w:r>
          </w:p>
        </w:tc>
        <w:tc>
          <w:tcPr>
            <w:tcW w:w="535" w:type="pct"/>
            <w:tcBorders>
              <w:top w:val="single" w:sz="12" w:space="0" w:color="auto"/>
              <w:left w:val="nil"/>
              <w:bottom w:val="single" w:sz="8" w:space="0" w:color="auto"/>
              <w:right w:val="nil"/>
            </w:tcBorders>
            <w:shd w:val="clear" w:color="auto" w:fill="auto"/>
            <w:vAlign w:val="bottom"/>
          </w:tcPr>
          <w:p w14:paraId="32107C59" w14:textId="77777777" w:rsidR="003420E8" w:rsidRPr="00321238" w:rsidRDefault="003420E8" w:rsidP="003420E8">
            <w:pPr>
              <w:spacing w:after="0" w:line="240" w:lineRule="auto"/>
              <w:jc w:val="right"/>
              <w:rPr>
                <w:rFonts w:eastAsia="Times New Roman" w:cs="Arial"/>
                <w:b/>
                <w:bCs/>
                <w:color w:val="000000"/>
                <w:sz w:val="18"/>
                <w:szCs w:val="18"/>
                <w:lang w:val="en-US"/>
              </w:rPr>
            </w:pPr>
            <w:r w:rsidRPr="00321238">
              <w:rPr>
                <w:color w:val="000000"/>
                <w:sz w:val="18"/>
                <w:szCs w:val="18"/>
              </w:rPr>
              <w:t>12</w:t>
            </w:r>
            <w:r w:rsidR="000A6679" w:rsidRPr="00321238">
              <w:rPr>
                <w:color w:val="000000"/>
                <w:sz w:val="18"/>
                <w:szCs w:val="18"/>
              </w:rPr>
              <w:t>,</w:t>
            </w:r>
            <w:r w:rsidRPr="00321238">
              <w:rPr>
                <w:color w:val="000000"/>
                <w:sz w:val="18"/>
                <w:szCs w:val="18"/>
              </w:rPr>
              <w:t>375</w:t>
            </w:r>
          </w:p>
        </w:tc>
      </w:tr>
      <w:tr w:rsidR="000A6679" w:rsidRPr="00321238" w14:paraId="4DD7A781" w14:textId="77777777" w:rsidTr="00166751">
        <w:trPr>
          <w:trHeight w:val="250"/>
        </w:trPr>
        <w:tc>
          <w:tcPr>
            <w:tcW w:w="1282" w:type="pct"/>
            <w:vAlign w:val="bottom"/>
          </w:tcPr>
          <w:p w14:paraId="550BF777" w14:textId="77777777" w:rsidR="000A6679" w:rsidRPr="00321238" w:rsidRDefault="000A6679" w:rsidP="000A6679">
            <w:pPr>
              <w:tabs>
                <w:tab w:val="right" w:pos="1202"/>
              </w:tabs>
              <w:spacing w:after="0" w:line="240" w:lineRule="auto"/>
              <w:outlineLvl w:val="0"/>
              <w:rPr>
                <w:rFonts w:eastAsia="Times New Roman" w:cs="Arial"/>
                <w:b/>
                <w:bCs/>
                <w:sz w:val="18"/>
                <w:szCs w:val="18"/>
              </w:rPr>
            </w:pPr>
            <w:r w:rsidRPr="00321238">
              <w:rPr>
                <w:rFonts w:eastAsia="Times New Roman" w:cs="Arial"/>
                <w:b/>
                <w:bCs/>
                <w:sz w:val="18"/>
                <w:szCs w:val="18"/>
              </w:rPr>
              <w:t xml:space="preserve">Total equity </w:t>
            </w:r>
          </w:p>
        </w:tc>
        <w:tc>
          <w:tcPr>
            <w:tcW w:w="502" w:type="pct"/>
            <w:tcBorders>
              <w:top w:val="single" w:sz="8" w:space="0" w:color="auto"/>
              <w:bottom w:val="single" w:sz="12" w:space="0" w:color="auto"/>
            </w:tcBorders>
            <w:vAlign w:val="center"/>
          </w:tcPr>
          <w:p w14:paraId="47217CF4" w14:textId="77777777" w:rsidR="000A6679" w:rsidRPr="00321238" w:rsidRDefault="000A6679" w:rsidP="000A6679">
            <w:pPr>
              <w:spacing w:after="0" w:line="240" w:lineRule="auto"/>
              <w:jc w:val="right"/>
              <w:rPr>
                <w:rFonts w:eastAsia="Times New Roman" w:cs="Arial"/>
                <w:b/>
                <w:bCs/>
                <w:color w:val="000000"/>
                <w:sz w:val="18"/>
                <w:szCs w:val="18"/>
                <w:lang w:val="en-US"/>
              </w:rPr>
            </w:pPr>
            <w:r w:rsidRPr="00321238">
              <w:rPr>
                <w:rFonts w:eastAsia="Times New Roman" w:cs="Arial"/>
                <w:b/>
                <w:bCs/>
                <w:color w:val="000000"/>
                <w:sz w:val="18"/>
                <w:szCs w:val="18"/>
                <w:lang w:val="en-US"/>
              </w:rPr>
              <w:t>-</w:t>
            </w:r>
          </w:p>
        </w:tc>
        <w:tc>
          <w:tcPr>
            <w:tcW w:w="536" w:type="pct"/>
            <w:tcBorders>
              <w:top w:val="single" w:sz="8" w:space="0" w:color="auto"/>
              <w:bottom w:val="single" w:sz="12" w:space="0" w:color="auto"/>
            </w:tcBorders>
            <w:vAlign w:val="center"/>
          </w:tcPr>
          <w:p w14:paraId="6AC3659E" w14:textId="77777777" w:rsidR="000A6679" w:rsidRPr="00321238" w:rsidRDefault="000A6679" w:rsidP="000A6679">
            <w:pPr>
              <w:spacing w:after="0" w:line="240" w:lineRule="auto"/>
              <w:jc w:val="right"/>
              <w:rPr>
                <w:rFonts w:eastAsia="Times New Roman" w:cs="Arial"/>
                <w:b/>
                <w:bCs/>
                <w:color w:val="000000"/>
                <w:sz w:val="18"/>
                <w:szCs w:val="18"/>
                <w:lang w:val="en-US"/>
              </w:rPr>
            </w:pPr>
            <w:r w:rsidRPr="00321238">
              <w:rPr>
                <w:rFonts w:eastAsia="Times New Roman" w:cs="Arial"/>
                <w:b/>
                <w:bCs/>
                <w:color w:val="000000"/>
                <w:sz w:val="18"/>
                <w:szCs w:val="18"/>
                <w:lang w:val="en-US"/>
              </w:rPr>
              <w:t>-</w:t>
            </w:r>
          </w:p>
        </w:tc>
        <w:tc>
          <w:tcPr>
            <w:tcW w:w="536" w:type="pct"/>
            <w:tcBorders>
              <w:top w:val="single" w:sz="8" w:space="0" w:color="auto"/>
              <w:bottom w:val="single" w:sz="12" w:space="0" w:color="auto"/>
            </w:tcBorders>
            <w:vAlign w:val="center"/>
          </w:tcPr>
          <w:p w14:paraId="651E5B74" w14:textId="77777777" w:rsidR="000A6679" w:rsidRPr="00321238" w:rsidRDefault="000A6679" w:rsidP="000A6679">
            <w:pPr>
              <w:spacing w:after="0" w:line="240" w:lineRule="auto"/>
              <w:jc w:val="right"/>
              <w:rPr>
                <w:rFonts w:eastAsia="Times New Roman" w:cs="Arial"/>
                <w:b/>
                <w:bCs/>
                <w:color w:val="000000"/>
                <w:sz w:val="18"/>
                <w:szCs w:val="18"/>
                <w:lang w:val="en-US"/>
              </w:rPr>
            </w:pPr>
            <w:r w:rsidRPr="00321238">
              <w:rPr>
                <w:rFonts w:eastAsia="Times New Roman" w:cs="Arial"/>
                <w:b/>
                <w:bCs/>
                <w:color w:val="000000"/>
                <w:sz w:val="18"/>
                <w:szCs w:val="18"/>
                <w:lang w:val="en-US"/>
              </w:rPr>
              <w:t>-</w:t>
            </w:r>
          </w:p>
        </w:tc>
        <w:tc>
          <w:tcPr>
            <w:tcW w:w="494" w:type="pct"/>
            <w:tcBorders>
              <w:top w:val="single" w:sz="8" w:space="0" w:color="auto"/>
              <w:bottom w:val="single" w:sz="12" w:space="0" w:color="auto"/>
            </w:tcBorders>
            <w:vAlign w:val="center"/>
          </w:tcPr>
          <w:p w14:paraId="58A7510C" w14:textId="77777777" w:rsidR="000A6679" w:rsidRPr="00321238" w:rsidRDefault="000A6679" w:rsidP="000A6679">
            <w:pPr>
              <w:spacing w:after="0" w:line="240" w:lineRule="auto"/>
              <w:jc w:val="right"/>
              <w:rPr>
                <w:rFonts w:eastAsia="Times New Roman" w:cs="Arial"/>
                <w:b/>
                <w:bCs/>
                <w:color w:val="000000"/>
                <w:sz w:val="18"/>
                <w:szCs w:val="18"/>
                <w:lang w:val="en-US"/>
              </w:rPr>
            </w:pPr>
            <w:r w:rsidRPr="00321238">
              <w:rPr>
                <w:rFonts w:eastAsia="Times New Roman" w:cs="Arial"/>
                <w:b/>
                <w:bCs/>
                <w:color w:val="000000"/>
                <w:sz w:val="18"/>
                <w:szCs w:val="18"/>
                <w:lang w:val="en-US"/>
              </w:rPr>
              <w:t>-</w:t>
            </w:r>
          </w:p>
        </w:tc>
        <w:tc>
          <w:tcPr>
            <w:tcW w:w="569" w:type="pct"/>
            <w:tcBorders>
              <w:top w:val="single" w:sz="8" w:space="0" w:color="auto"/>
              <w:bottom w:val="single" w:sz="12" w:space="0" w:color="auto"/>
            </w:tcBorders>
            <w:vAlign w:val="center"/>
          </w:tcPr>
          <w:p w14:paraId="25DD2662" w14:textId="77777777" w:rsidR="000A6679" w:rsidRPr="00321238" w:rsidRDefault="000A6679" w:rsidP="000A6679">
            <w:pPr>
              <w:spacing w:after="0" w:line="240" w:lineRule="auto"/>
              <w:jc w:val="right"/>
              <w:rPr>
                <w:rFonts w:eastAsia="Times New Roman" w:cs="Arial"/>
                <w:b/>
                <w:bCs/>
                <w:color w:val="000000"/>
                <w:sz w:val="18"/>
                <w:szCs w:val="18"/>
                <w:lang w:val="en-US"/>
              </w:rPr>
            </w:pPr>
            <w:r w:rsidRPr="00321238">
              <w:rPr>
                <w:rFonts w:eastAsia="Times New Roman" w:cs="Arial"/>
                <w:b/>
                <w:bCs/>
                <w:color w:val="000000"/>
                <w:sz w:val="18"/>
                <w:szCs w:val="18"/>
                <w:lang w:val="en-US"/>
              </w:rPr>
              <w:t>-</w:t>
            </w:r>
          </w:p>
        </w:tc>
        <w:tc>
          <w:tcPr>
            <w:tcW w:w="546" w:type="pct"/>
            <w:tcBorders>
              <w:top w:val="single" w:sz="8" w:space="0" w:color="auto"/>
              <w:left w:val="nil"/>
              <w:bottom w:val="single" w:sz="12" w:space="0" w:color="auto"/>
              <w:right w:val="nil"/>
            </w:tcBorders>
            <w:shd w:val="clear" w:color="auto" w:fill="auto"/>
            <w:vAlign w:val="bottom"/>
          </w:tcPr>
          <w:p w14:paraId="30163C18" w14:textId="77777777" w:rsidR="000A6679" w:rsidRPr="00321238" w:rsidRDefault="000A6679" w:rsidP="000A6679">
            <w:pPr>
              <w:spacing w:after="0" w:line="240" w:lineRule="auto"/>
              <w:jc w:val="right"/>
              <w:rPr>
                <w:rFonts w:eastAsia="Times New Roman" w:cs="Arial"/>
                <w:b/>
                <w:bCs/>
                <w:color w:val="000000"/>
                <w:sz w:val="18"/>
                <w:szCs w:val="18"/>
                <w:lang w:val="en-US"/>
              </w:rPr>
            </w:pPr>
            <w:r w:rsidRPr="00321238">
              <w:rPr>
                <w:b/>
                <w:bCs/>
                <w:color w:val="000000"/>
                <w:sz w:val="18"/>
                <w:szCs w:val="18"/>
              </w:rPr>
              <w:t>10,042,708</w:t>
            </w:r>
          </w:p>
        </w:tc>
        <w:tc>
          <w:tcPr>
            <w:tcW w:w="535" w:type="pct"/>
            <w:tcBorders>
              <w:top w:val="single" w:sz="8" w:space="0" w:color="auto"/>
              <w:left w:val="nil"/>
              <w:bottom w:val="single" w:sz="12" w:space="0" w:color="auto"/>
              <w:right w:val="nil"/>
            </w:tcBorders>
            <w:shd w:val="clear" w:color="auto" w:fill="auto"/>
            <w:vAlign w:val="bottom"/>
          </w:tcPr>
          <w:p w14:paraId="600C2AED" w14:textId="77777777" w:rsidR="000A6679" w:rsidRPr="00321238" w:rsidRDefault="000A6679" w:rsidP="000A6679">
            <w:pPr>
              <w:spacing w:after="0" w:line="240" w:lineRule="auto"/>
              <w:jc w:val="right"/>
              <w:rPr>
                <w:rFonts w:eastAsia="Times New Roman" w:cs="Arial"/>
                <w:b/>
                <w:bCs/>
                <w:color w:val="000000"/>
                <w:sz w:val="18"/>
                <w:szCs w:val="18"/>
                <w:lang w:val="en-US"/>
              </w:rPr>
            </w:pPr>
            <w:r w:rsidRPr="00321238">
              <w:rPr>
                <w:b/>
                <w:bCs/>
                <w:color w:val="000000"/>
                <w:sz w:val="18"/>
                <w:szCs w:val="18"/>
              </w:rPr>
              <w:t>10,042,708</w:t>
            </w:r>
          </w:p>
        </w:tc>
      </w:tr>
      <w:tr w:rsidR="000A6679" w:rsidRPr="00321238" w14:paraId="4D1CFF34" w14:textId="77777777" w:rsidTr="000A6679">
        <w:trPr>
          <w:trHeight w:val="483"/>
        </w:trPr>
        <w:tc>
          <w:tcPr>
            <w:tcW w:w="1282" w:type="pct"/>
          </w:tcPr>
          <w:p w14:paraId="6541DECC" w14:textId="77777777" w:rsidR="000A6679" w:rsidRPr="00321238" w:rsidRDefault="000A6679" w:rsidP="000A6679">
            <w:pPr>
              <w:tabs>
                <w:tab w:val="right" w:pos="1202"/>
              </w:tabs>
              <w:spacing w:after="0" w:line="240" w:lineRule="auto"/>
              <w:outlineLvl w:val="0"/>
              <w:rPr>
                <w:rFonts w:eastAsia="Times New Roman" w:cs="Arial"/>
                <w:b/>
                <w:bCs/>
                <w:sz w:val="18"/>
                <w:szCs w:val="18"/>
              </w:rPr>
            </w:pPr>
            <w:r w:rsidRPr="00321238">
              <w:rPr>
                <w:rFonts w:eastAsia="Times New Roman" w:cs="Arial"/>
                <w:b/>
                <w:bCs/>
                <w:sz w:val="18"/>
                <w:szCs w:val="18"/>
              </w:rPr>
              <w:t>Total liabilities and total equity (2)</w:t>
            </w:r>
          </w:p>
        </w:tc>
        <w:tc>
          <w:tcPr>
            <w:tcW w:w="502" w:type="pct"/>
            <w:tcBorders>
              <w:top w:val="single" w:sz="12" w:space="0" w:color="auto"/>
              <w:left w:val="nil"/>
              <w:bottom w:val="single" w:sz="12" w:space="0" w:color="auto"/>
              <w:right w:val="nil"/>
            </w:tcBorders>
            <w:shd w:val="clear" w:color="auto" w:fill="auto"/>
            <w:vAlign w:val="bottom"/>
          </w:tcPr>
          <w:p w14:paraId="2B0D1745" w14:textId="77777777" w:rsidR="000A6679" w:rsidRPr="00321238" w:rsidRDefault="000A6679" w:rsidP="000A6679">
            <w:pPr>
              <w:spacing w:after="0" w:line="240" w:lineRule="auto"/>
              <w:jc w:val="right"/>
              <w:rPr>
                <w:rFonts w:eastAsia="Times New Roman" w:cs="Arial"/>
                <w:b/>
                <w:bCs/>
                <w:color w:val="000000"/>
                <w:sz w:val="18"/>
                <w:szCs w:val="18"/>
                <w:lang w:val="en-US"/>
              </w:rPr>
            </w:pPr>
            <w:r w:rsidRPr="00321238">
              <w:rPr>
                <w:b/>
                <w:bCs/>
                <w:color w:val="000000"/>
                <w:sz w:val="18"/>
                <w:szCs w:val="18"/>
              </w:rPr>
              <w:t>355,442</w:t>
            </w:r>
          </w:p>
        </w:tc>
        <w:tc>
          <w:tcPr>
            <w:tcW w:w="536" w:type="pct"/>
            <w:tcBorders>
              <w:top w:val="single" w:sz="12" w:space="0" w:color="auto"/>
              <w:left w:val="nil"/>
              <w:bottom w:val="single" w:sz="12" w:space="0" w:color="auto"/>
              <w:right w:val="nil"/>
            </w:tcBorders>
            <w:shd w:val="clear" w:color="auto" w:fill="auto"/>
            <w:vAlign w:val="bottom"/>
          </w:tcPr>
          <w:p w14:paraId="30427FC5" w14:textId="77777777" w:rsidR="000A6679" w:rsidRPr="00321238" w:rsidRDefault="000A6679" w:rsidP="000A6679">
            <w:pPr>
              <w:spacing w:after="0" w:line="240" w:lineRule="auto"/>
              <w:jc w:val="right"/>
              <w:rPr>
                <w:rFonts w:eastAsia="Times New Roman" w:cs="Arial"/>
                <w:b/>
                <w:bCs/>
                <w:color w:val="000000"/>
                <w:sz w:val="18"/>
                <w:szCs w:val="18"/>
                <w:lang w:val="en-US"/>
              </w:rPr>
            </w:pPr>
            <w:r w:rsidRPr="00321238">
              <w:rPr>
                <w:b/>
                <w:bCs/>
                <w:color w:val="000000"/>
                <w:sz w:val="18"/>
                <w:szCs w:val="18"/>
              </w:rPr>
              <w:t>171,450</w:t>
            </w:r>
          </w:p>
        </w:tc>
        <w:tc>
          <w:tcPr>
            <w:tcW w:w="536" w:type="pct"/>
            <w:tcBorders>
              <w:top w:val="single" w:sz="12" w:space="0" w:color="auto"/>
              <w:left w:val="nil"/>
              <w:bottom w:val="single" w:sz="12" w:space="0" w:color="auto"/>
              <w:right w:val="nil"/>
            </w:tcBorders>
            <w:shd w:val="clear" w:color="auto" w:fill="auto"/>
            <w:vAlign w:val="bottom"/>
          </w:tcPr>
          <w:p w14:paraId="022C69E8" w14:textId="77777777" w:rsidR="000A6679" w:rsidRPr="00321238" w:rsidRDefault="000A6679" w:rsidP="000A6679">
            <w:pPr>
              <w:spacing w:after="0" w:line="240" w:lineRule="auto"/>
              <w:jc w:val="right"/>
              <w:rPr>
                <w:rFonts w:eastAsia="Times New Roman" w:cs="Arial"/>
                <w:b/>
                <w:bCs/>
                <w:color w:val="000000"/>
                <w:sz w:val="18"/>
                <w:szCs w:val="18"/>
                <w:lang w:val="en-US"/>
              </w:rPr>
            </w:pPr>
            <w:r w:rsidRPr="00321238">
              <w:rPr>
                <w:b/>
                <w:bCs/>
                <w:color w:val="000000"/>
                <w:sz w:val="18"/>
                <w:szCs w:val="18"/>
              </w:rPr>
              <w:t>2,909,559</w:t>
            </w:r>
          </w:p>
        </w:tc>
        <w:tc>
          <w:tcPr>
            <w:tcW w:w="494" w:type="pct"/>
            <w:tcBorders>
              <w:top w:val="single" w:sz="12" w:space="0" w:color="auto"/>
              <w:left w:val="nil"/>
              <w:bottom w:val="single" w:sz="12" w:space="0" w:color="auto"/>
              <w:right w:val="nil"/>
            </w:tcBorders>
            <w:shd w:val="clear" w:color="auto" w:fill="auto"/>
            <w:vAlign w:val="bottom"/>
          </w:tcPr>
          <w:p w14:paraId="7CE7ABBD" w14:textId="77777777" w:rsidR="000A6679" w:rsidRPr="00321238" w:rsidRDefault="000A6679" w:rsidP="000A6679">
            <w:pPr>
              <w:spacing w:after="0" w:line="240" w:lineRule="auto"/>
              <w:jc w:val="right"/>
              <w:rPr>
                <w:rFonts w:eastAsia="Times New Roman" w:cs="Arial"/>
                <w:b/>
                <w:bCs/>
                <w:color w:val="000000"/>
                <w:sz w:val="18"/>
                <w:szCs w:val="18"/>
                <w:lang w:val="en-US"/>
              </w:rPr>
            </w:pPr>
            <w:r w:rsidRPr="00321238">
              <w:rPr>
                <w:b/>
                <w:bCs/>
                <w:color w:val="000000"/>
                <w:sz w:val="18"/>
                <w:szCs w:val="18"/>
              </w:rPr>
              <w:t>3,059,168</w:t>
            </w:r>
          </w:p>
        </w:tc>
        <w:tc>
          <w:tcPr>
            <w:tcW w:w="569" w:type="pct"/>
            <w:tcBorders>
              <w:top w:val="single" w:sz="12" w:space="0" w:color="auto"/>
              <w:left w:val="nil"/>
              <w:bottom w:val="single" w:sz="12" w:space="0" w:color="auto"/>
              <w:right w:val="nil"/>
            </w:tcBorders>
            <w:shd w:val="clear" w:color="auto" w:fill="auto"/>
            <w:vAlign w:val="bottom"/>
          </w:tcPr>
          <w:p w14:paraId="5EB47649" w14:textId="77777777" w:rsidR="000A6679" w:rsidRPr="00321238" w:rsidRDefault="000A6679" w:rsidP="000A6679">
            <w:pPr>
              <w:spacing w:after="0" w:line="240" w:lineRule="auto"/>
              <w:jc w:val="right"/>
              <w:rPr>
                <w:rFonts w:eastAsia="Times New Roman" w:cs="Arial"/>
                <w:b/>
                <w:bCs/>
                <w:color w:val="000000"/>
                <w:sz w:val="18"/>
                <w:szCs w:val="18"/>
                <w:lang w:val="en-US"/>
              </w:rPr>
            </w:pPr>
            <w:r w:rsidRPr="00321238">
              <w:rPr>
                <w:b/>
                <w:bCs/>
                <w:color w:val="000000"/>
                <w:sz w:val="18"/>
                <w:szCs w:val="18"/>
              </w:rPr>
              <w:t>9,841,749</w:t>
            </w:r>
          </w:p>
        </w:tc>
        <w:tc>
          <w:tcPr>
            <w:tcW w:w="546" w:type="pct"/>
            <w:tcBorders>
              <w:top w:val="single" w:sz="12" w:space="0" w:color="auto"/>
              <w:left w:val="nil"/>
              <w:bottom w:val="single" w:sz="12" w:space="0" w:color="auto"/>
              <w:right w:val="nil"/>
            </w:tcBorders>
            <w:shd w:val="clear" w:color="auto" w:fill="auto"/>
            <w:vAlign w:val="bottom"/>
          </w:tcPr>
          <w:p w14:paraId="4C2AAC67" w14:textId="77777777" w:rsidR="000A6679" w:rsidRPr="00321238" w:rsidRDefault="000A6679" w:rsidP="000A6679">
            <w:pPr>
              <w:spacing w:after="0" w:line="240" w:lineRule="auto"/>
              <w:jc w:val="right"/>
              <w:rPr>
                <w:rFonts w:eastAsia="Times New Roman" w:cs="Arial"/>
                <w:b/>
                <w:bCs/>
                <w:color w:val="000000"/>
                <w:sz w:val="18"/>
                <w:szCs w:val="18"/>
                <w:lang w:val="en-US"/>
              </w:rPr>
            </w:pPr>
            <w:r w:rsidRPr="00321238">
              <w:rPr>
                <w:b/>
                <w:bCs/>
                <w:color w:val="000000"/>
                <w:sz w:val="18"/>
                <w:szCs w:val="18"/>
              </w:rPr>
              <w:t>11,053,454</w:t>
            </w:r>
          </w:p>
        </w:tc>
        <w:tc>
          <w:tcPr>
            <w:tcW w:w="535" w:type="pct"/>
            <w:tcBorders>
              <w:top w:val="single" w:sz="12" w:space="0" w:color="auto"/>
              <w:left w:val="nil"/>
              <w:bottom w:val="single" w:sz="12" w:space="0" w:color="auto"/>
              <w:right w:val="nil"/>
            </w:tcBorders>
            <w:shd w:val="clear" w:color="auto" w:fill="auto"/>
            <w:vAlign w:val="bottom"/>
          </w:tcPr>
          <w:p w14:paraId="1C24DC1D" w14:textId="77777777" w:rsidR="000A6679" w:rsidRPr="00321238" w:rsidRDefault="000A6679" w:rsidP="000A6679">
            <w:pPr>
              <w:spacing w:after="0" w:line="240" w:lineRule="auto"/>
              <w:jc w:val="right"/>
              <w:rPr>
                <w:rFonts w:eastAsia="Times New Roman" w:cs="Arial"/>
                <w:b/>
                <w:bCs/>
                <w:color w:val="000000"/>
                <w:sz w:val="18"/>
                <w:szCs w:val="18"/>
                <w:lang w:val="en-US"/>
              </w:rPr>
            </w:pPr>
            <w:r w:rsidRPr="00321238">
              <w:rPr>
                <w:b/>
                <w:bCs/>
                <w:color w:val="000000"/>
                <w:sz w:val="18"/>
                <w:szCs w:val="18"/>
              </w:rPr>
              <w:t>27,390,822</w:t>
            </w:r>
          </w:p>
        </w:tc>
      </w:tr>
      <w:tr w:rsidR="000A6679" w:rsidRPr="00321238" w14:paraId="781F0A41" w14:textId="77777777" w:rsidTr="00624862">
        <w:trPr>
          <w:trHeight w:val="250"/>
        </w:trPr>
        <w:tc>
          <w:tcPr>
            <w:tcW w:w="1282" w:type="pct"/>
          </w:tcPr>
          <w:p w14:paraId="6C775058" w14:textId="77777777" w:rsidR="000A6679" w:rsidRPr="00321238" w:rsidRDefault="000A6679" w:rsidP="000A6679">
            <w:pPr>
              <w:tabs>
                <w:tab w:val="right" w:pos="1202"/>
              </w:tabs>
              <w:spacing w:after="0" w:line="240" w:lineRule="auto"/>
              <w:outlineLvl w:val="0"/>
              <w:rPr>
                <w:rFonts w:eastAsia="Times New Roman" w:cs="Arial"/>
                <w:b/>
                <w:bCs/>
                <w:sz w:val="18"/>
                <w:szCs w:val="18"/>
              </w:rPr>
            </w:pPr>
            <w:r w:rsidRPr="00321238">
              <w:rPr>
                <w:rFonts w:eastAsia="Times New Roman" w:cs="Arial"/>
                <w:b/>
                <w:bCs/>
                <w:spacing w:val="-2"/>
                <w:sz w:val="18"/>
                <w:szCs w:val="18"/>
              </w:rPr>
              <w:t>Net assets/liabilities (1) – (2)</w:t>
            </w:r>
          </w:p>
        </w:tc>
        <w:tc>
          <w:tcPr>
            <w:tcW w:w="502" w:type="pct"/>
            <w:tcBorders>
              <w:top w:val="nil"/>
              <w:left w:val="nil"/>
              <w:bottom w:val="single" w:sz="12" w:space="0" w:color="auto"/>
              <w:right w:val="nil"/>
            </w:tcBorders>
            <w:shd w:val="clear" w:color="auto" w:fill="auto"/>
            <w:vAlign w:val="bottom"/>
          </w:tcPr>
          <w:p w14:paraId="385233BC" w14:textId="77777777" w:rsidR="000A6679" w:rsidRPr="00321238" w:rsidRDefault="000A6679" w:rsidP="000A6679">
            <w:pPr>
              <w:spacing w:after="0" w:line="240" w:lineRule="auto"/>
              <w:jc w:val="right"/>
              <w:rPr>
                <w:rFonts w:eastAsia="Times New Roman" w:cs="Arial"/>
                <w:b/>
                <w:sz w:val="18"/>
                <w:szCs w:val="18"/>
              </w:rPr>
            </w:pPr>
            <w:r w:rsidRPr="00321238">
              <w:rPr>
                <w:b/>
                <w:bCs/>
                <w:color w:val="000000"/>
                <w:sz w:val="18"/>
                <w:szCs w:val="18"/>
              </w:rPr>
              <w:t>4,246,525</w:t>
            </w:r>
          </w:p>
        </w:tc>
        <w:tc>
          <w:tcPr>
            <w:tcW w:w="536" w:type="pct"/>
            <w:tcBorders>
              <w:top w:val="nil"/>
              <w:left w:val="nil"/>
              <w:bottom w:val="single" w:sz="12" w:space="0" w:color="auto"/>
              <w:right w:val="nil"/>
            </w:tcBorders>
            <w:shd w:val="clear" w:color="auto" w:fill="auto"/>
            <w:vAlign w:val="bottom"/>
          </w:tcPr>
          <w:p w14:paraId="44977F33" w14:textId="77777777" w:rsidR="000A6679" w:rsidRPr="00321238" w:rsidRDefault="000A6679" w:rsidP="000A6679">
            <w:pPr>
              <w:spacing w:after="0" w:line="240" w:lineRule="auto"/>
              <w:jc w:val="right"/>
              <w:rPr>
                <w:rFonts w:eastAsia="Times New Roman" w:cs="Arial"/>
                <w:b/>
                <w:sz w:val="18"/>
                <w:szCs w:val="18"/>
              </w:rPr>
            </w:pPr>
            <w:r w:rsidRPr="00321238">
              <w:rPr>
                <w:b/>
                <w:bCs/>
                <w:color w:val="000000"/>
                <w:sz w:val="18"/>
                <w:szCs w:val="18"/>
              </w:rPr>
              <w:t>1,513,195</w:t>
            </w:r>
          </w:p>
        </w:tc>
        <w:tc>
          <w:tcPr>
            <w:tcW w:w="536" w:type="pct"/>
            <w:tcBorders>
              <w:top w:val="nil"/>
              <w:left w:val="nil"/>
              <w:bottom w:val="single" w:sz="12" w:space="0" w:color="auto"/>
              <w:right w:val="nil"/>
            </w:tcBorders>
            <w:shd w:val="clear" w:color="auto" w:fill="auto"/>
            <w:vAlign w:val="bottom"/>
          </w:tcPr>
          <w:p w14:paraId="02F7A172" w14:textId="77777777" w:rsidR="000A6679" w:rsidRPr="00321238" w:rsidRDefault="000A6679" w:rsidP="000A6679">
            <w:pPr>
              <w:spacing w:after="0" w:line="240" w:lineRule="auto"/>
              <w:jc w:val="right"/>
              <w:rPr>
                <w:rFonts w:eastAsia="Times New Roman" w:cs="Arial"/>
                <w:b/>
                <w:sz w:val="18"/>
                <w:szCs w:val="18"/>
              </w:rPr>
            </w:pPr>
            <w:r w:rsidRPr="00321238">
              <w:rPr>
                <w:b/>
                <w:bCs/>
                <w:color w:val="000000"/>
                <w:sz w:val="18"/>
                <w:szCs w:val="18"/>
              </w:rPr>
              <w:t>45,769</w:t>
            </w:r>
          </w:p>
        </w:tc>
        <w:tc>
          <w:tcPr>
            <w:tcW w:w="494" w:type="pct"/>
            <w:tcBorders>
              <w:top w:val="nil"/>
              <w:left w:val="nil"/>
              <w:bottom w:val="single" w:sz="12" w:space="0" w:color="auto"/>
              <w:right w:val="nil"/>
            </w:tcBorders>
            <w:shd w:val="clear" w:color="auto" w:fill="auto"/>
            <w:vAlign w:val="bottom"/>
          </w:tcPr>
          <w:p w14:paraId="70F944B0" w14:textId="77777777" w:rsidR="000A6679" w:rsidRPr="00321238" w:rsidRDefault="000A6679" w:rsidP="000A6679">
            <w:pPr>
              <w:spacing w:after="0" w:line="240" w:lineRule="auto"/>
              <w:jc w:val="right"/>
              <w:rPr>
                <w:rFonts w:eastAsia="Times New Roman" w:cs="Arial"/>
                <w:b/>
                <w:sz w:val="18"/>
                <w:szCs w:val="18"/>
              </w:rPr>
            </w:pPr>
            <w:r w:rsidRPr="00321238">
              <w:rPr>
                <w:b/>
                <w:bCs/>
                <w:color w:val="000000"/>
                <w:sz w:val="18"/>
                <w:szCs w:val="18"/>
              </w:rPr>
              <w:t>1,373,880</w:t>
            </w:r>
          </w:p>
        </w:tc>
        <w:tc>
          <w:tcPr>
            <w:tcW w:w="569" w:type="pct"/>
            <w:tcBorders>
              <w:top w:val="nil"/>
              <w:left w:val="nil"/>
              <w:bottom w:val="single" w:sz="12" w:space="0" w:color="auto"/>
              <w:right w:val="nil"/>
            </w:tcBorders>
            <w:shd w:val="clear" w:color="auto" w:fill="auto"/>
            <w:vAlign w:val="bottom"/>
          </w:tcPr>
          <w:p w14:paraId="25CD0F93" w14:textId="77777777" w:rsidR="000A6679" w:rsidRPr="00321238" w:rsidRDefault="000A6679" w:rsidP="000A6679">
            <w:pPr>
              <w:spacing w:after="0" w:line="240" w:lineRule="auto"/>
              <w:jc w:val="right"/>
              <w:rPr>
                <w:rFonts w:eastAsia="Times New Roman" w:cs="Arial"/>
                <w:b/>
                <w:sz w:val="18"/>
                <w:szCs w:val="18"/>
              </w:rPr>
            </w:pPr>
            <w:r w:rsidRPr="00321238">
              <w:rPr>
                <w:b/>
                <w:bCs/>
                <w:color w:val="000000"/>
                <w:sz w:val="18"/>
                <w:szCs w:val="18"/>
              </w:rPr>
              <w:t>2,244,511</w:t>
            </w:r>
          </w:p>
        </w:tc>
        <w:tc>
          <w:tcPr>
            <w:tcW w:w="546" w:type="pct"/>
            <w:tcBorders>
              <w:top w:val="nil"/>
              <w:left w:val="nil"/>
              <w:bottom w:val="single" w:sz="12" w:space="0" w:color="auto"/>
              <w:right w:val="nil"/>
            </w:tcBorders>
            <w:shd w:val="clear" w:color="auto" w:fill="auto"/>
            <w:vAlign w:val="bottom"/>
          </w:tcPr>
          <w:p w14:paraId="46DB39B7" w14:textId="77777777" w:rsidR="000A6679" w:rsidRPr="00321238" w:rsidRDefault="000A6679" w:rsidP="000A6679">
            <w:pPr>
              <w:spacing w:after="0" w:line="240" w:lineRule="auto"/>
              <w:jc w:val="right"/>
              <w:rPr>
                <w:rFonts w:eastAsia="Times New Roman" w:cs="Arial"/>
                <w:b/>
                <w:sz w:val="18"/>
                <w:szCs w:val="18"/>
              </w:rPr>
            </w:pPr>
            <w:r w:rsidRPr="00321238">
              <w:rPr>
                <w:b/>
                <w:bCs/>
                <w:color w:val="000000"/>
                <w:sz w:val="18"/>
                <w:szCs w:val="18"/>
              </w:rPr>
              <w:t>(9,423,880)</w:t>
            </w:r>
          </w:p>
        </w:tc>
        <w:tc>
          <w:tcPr>
            <w:tcW w:w="535" w:type="pct"/>
            <w:tcBorders>
              <w:top w:val="nil"/>
              <w:left w:val="nil"/>
              <w:bottom w:val="single" w:sz="12" w:space="0" w:color="auto"/>
              <w:right w:val="nil"/>
            </w:tcBorders>
            <w:shd w:val="clear" w:color="auto" w:fill="auto"/>
            <w:vAlign w:val="bottom"/>
          </w:tcPr>
          <w:p w14:paraId="63420DFA" w14:textId="77777777" w:rsidR="000A6679" w:rsidRPr="00321238" w:rsidRDefault="000A6679" w:rsidP="000A6679">
            <w:pPr>
              <w:spacing w:after="0" w:line="240" w:lineRule="auto"/>
              <w:jc w:val="right"/>
              <w:rPr>
                <w:rFonts w:eastAsia="Times New Roman" w:cs="Arial"/>
                <w:b/>
                <w:sz w:val="18"/>
                <w:szCs w:val="18"/>
              </w:rPr>
            </w:pPr>
            <w:r w:rsidRPr="00321238">
              <w:rPr>
                <w:b/>
                <w:bCs/>
                <w:color w:val="000000"/>
                <w:sz w:val="18"/>
                <w:szCs w:val="18"/>
              </w:rPr>
              <w:t>-</w:t>
            </w:r>
          </w:p>
        </w:tc>
      </w:tr>
      <w:tr w:rsidR="009702B0" w:rsidRPr="00321238" w14:paraId="48A3F937" w14:textId="77777777" w:rsidTr="00166751">
        <w:trPr>
          <w:trHeight w:val="36"/>
        </w:trPr>
        <w:tc>
          <w:tcPr>
            <w:tcW w:w="1282" w:type="pct"/>
          </w:tcPr>
          <w:p w14:paraId="59D96908" w14:textId="77777777" w:rsidR="009702B0" w:rsidRPr="00321238" w:rsidRDefault="009702B0" w:rsidP="00166751">
            <w:pPr>
              <w:keepNext/>
              <w:keepLines/>
              <w:tabs>
                <w:tab w:val="decimal" w:pos="1202"/>
              </w:tabs>
              <w:spacing w:after="0" w:line="100" w:lineRule="exact"/>
              <w:rPr>
                <w:rFonts w:eastAsia="Times New Roman" w:cs="Arial"/>
                <w:b/>
                <w:position w:val="4"/>
                <w:sz w:val="18"/>
                <w:szCs w:val="18"/>
                <w:highlight w:val="yellow"/>
                <w:u w:val="thick"/>
              </w:rPr>
            </w:pPr>
          </w:p>
        </w:tc>
        <w:tc>
          <w:tcPr>
            <w:tcW w:w="502" w:type="pct"/>
            <w:vAlign w:val="bottom"/>
          </w:tcPr>
          <w:p w14:paraId="049F36D8" w14:textId="77777777" w:rsidR="009702B0" w:rsidRPr="00321238" w:rsidRDefault="009702B0" w:rsidP="00166751">
            <w:pPr>
              <w:keepNext/>
              <w:keepLines/>
              <w:spacing w:after="0" w:line="100" w:lineRule="exact"/>
              <w:jc w:val="right"/>
              <w:rPr>
                <w:rFonts w:eastAsia="Times New Roman" w:cs="Arial"/>
                <w:b/>
                <w:position w:val="4"/>
                <w:sz w:val="18"/>
                <w:szCs w:val="18"/>
                <w:highlight w:val="yellow"/>
                <w:u w:val="thick"/>
              </w:rPr>
            </w:pPr>
          </w:p>
        </w:tc>
        <w:tc>
          <w:tcPr>
            <w:tcW w:w="536" w:type="pct"/>
            <w:vAlign w:val="bottom"/>
          </w:tcPr>
          <w:p w14:paraId="6B07B543" w14:textId="77777777" w:rsidR="009702B0" w:rsidRPr="00321238" w:rsidRDefault="009702B0" w:rsidP="00166751">
            <w:pPr>
              <w:keepNext/>
              <w:keepLines/>
              <w:spacing w:after="0" w:line="100" w:lineRule="exact"/>
              <w:jc w:val="right"/>
              <w:rPr>
                <w:rFonts w:eastAsia="Times New Roman" w:cs="Arial"/>
                <w:b/>
                <w:position w:val="4"/>
                <w:sz w:val="18"/>
                <w:szCs w:val="18"/>
                <w:highlight w:val="yellow"/>
                <w:u w:val="thick"/>
              </w:rPr>
            </w:pPr>
          </w:p>
        </w:tc>
        <w:tc>
          <w:tcPr>
            <w:tcW w:w="536" w:type="pct"/>
            <w:vAlign w:val="bottom"/>
          </w:tcPr>
          <w:p w14:paraId="21C1BF68" w14:textId="77777777" w:rsidR="009702B0" w:rsidRPr="00321238" w:rsidRDefault="009702B0" w:rsidP="00166751">
            <w:pPr>
              <w:keepNext/>
              <w:keepLines/>
              <w:spacing w:after="0" w:line="100" w:lineRule="exact"/>
              <w:jc w:val="right"/>
              <w:rPr>
                <w:rFonts w:eastAsia="Times New Roman" w:cs="Arial"/>
                <w:b/>
                <w:position w:val="4"/>
                <w:sz w:val="18"/>
                <w:szCs w:val="18"/>
                <w:highlight w:val="yellow"/>
                <w:u w:val="thick"/>
              </w:rPr>
            </w:pPr>
          </w:p>
        </w:tc>
        <w:tc>
          <w:tcPr>
            <w:tcW w:w="494" w:type="pct"/>
            <w:vAlign w:val="bottom"/>
          </w:tcPr>
          <w:p w14:paraId="20D8BA32" w14:textId="77777777" w:rsidR="009702B0" w:rsidRPr="00321238" w:rsidRDefault="009702B0" w:rsidP="00166751">
            <w:pPr>
              <w:keepNext/>
              <w:keepLines/>
              <w:spacing w:after="0" w:line="100" w:lineRule="exact"/>
              <w:jc w:val="right"/>
              <w:rPr>
                <w:rFonts w:eastAsia="Times New Roman" w:cs="Arial"/>
                <w:b/>
                <w:position w:val="4"/>
                <w:sz w:val="18"/>
                <w:szCs w:val="18"/>
                <w:highlight w:val="yellow"/>
                <w:u w:val="thick"/>
              </w:rPr>
            </w:pPr>
          </w:p>
        </w:tc>
        <w:tc>
          <w:tcPr>
            <w:tcW w:w="569" w:type="pct"/>
            <w:vAlign w:val="bottom"/>
          </w:tcPr>
          <w:p w14:paraId="356BD998" w14:textId="77777777" w:rsidR="009702B0" w:rsidRPr="00321238" w:rsidRDefault="009702B0" w:rsidP="00166751">
            <w:pPr>
              <w:keepNext/>
              <w:keepLines/>
              <w:spacing w:after="0" w:line="100" w:lineRule="exact"/>
              <w:jc w:val="right"/>
              <w:rPr>
                <w:rFonts w:eastAsia="Times New Roman" w:cs="Arial"/>
                <w:b/>
                <w:position w:val="4"/>
                <w:sz w:val="18"/>
                <w:szCs w:val="18"/>
                <w:highlight w:val="yellow"/>
                <w:u w:val="thick"/>
              </w:rPr>
            </w:pPr>
          </w:p>
        </w:tc>
        <w:tc>
          <w:tcPr>
            <w:tcW w:w="546" w:type="pct"/>
            <w:vAlign w:val="bottom"/>
          </w:tcPr>
          <w:p w14:paraId="0587765D" w14:textId="77777777" w:rsidR="009702B0" w:rsidRPr="00321238" w:rsidRDefault="009702B0" w:rsidP="00166751">
            <w:pPr>
              <w:keepNext/>
              <w:keepLines/>
              <w:spacing w:after="0" w:line="100" w:lineRule="exact"/>
              <w:jc w:val="right"/>
              <w:rPr>
                <w:rFonts w:eastAsia="Times New Roman" w:cs="Arial"/>
                <w:b/>
                <w:position w:val="4"/>
                <w:sz w:val="18"/>
                <w:szCs w:val="18"/>
                <w:highlight w:val="yellow"/>
                <w:u w:val="thick"/>
              </w:rPr>
            </w:pPr>
          </w:p>
        </w:tc>
        <w:tc>
          <w:tcPr>
            <w:tcW w:w="535" w:type="pct"/>
            <w:vAlign w:val="bottom"/>
          </w:tcPr>
          <w:p w14:paraId="38D46E9B" w14:textId="77777777" w:rsidR="009702B0" w:rsidRPr="00321238" w:rsidRDefault="009702B0" w:rsidP="00166751">
            <w:pPr>
              <w:keepNext/>
              <w:keepLines/>
              <w:spacing w:after="0" w:line="100" w:lineRule="exact"/>
              <w:jc w:val="right"/>
              <w:rPr>
                <w:rFonts w:eastAsia="Times New Roman" w:cs="Arial"/>
                <w:b/>
                <w:position w:val="4"/>
                <w:sz w:val="18"/>
                <w:szCs w:val="18"/>
                <w:highlight w:val="yellow"/>
                <w:u w:val="thick"/>
              </w:rPr>
            </w:pPr>
          </w:p>
        </w:tc>
      </w:tr>
    </w:tbl>
    <w:p w14:paraId="559C82B4" w14:textId="77777777" w:rsidR="009702B0" w:rsidRPr="009702B0" w:rsidRDefault="009702B0" w:rsidP="009702B0">
      <w:pPr>
        <w:spacing w:after="0" w:line="240" w:lineRule="auto"/>
        <w:jc w:val="both"/>
        <w:rPr>
          <w:rFonts w:eastAsia="Times New Roman" w:cs="Calibri"/>
          <w:b/>
        </w:rPr>
      </w:pPr>
    </w:p>
    <w:p w14:paraId="704F176B" w14:textId="77777777" w:rsidR="009702B0" w:rsidRPr="009702B0" w:rsidRDefault="009702B0" w:rsidP="009702B0">
      <w:pPr>
        <w:spacing w:after="0" w:line="240" w:lineRule="auto"/>
        <w:jc w:val="both"/>
        <w:rPr>
          <w:rFonts w:eastAsia="Times New Roman" w:cs="Calibri"/>
          <w:b/>
        </w:rPr>
      </w:pPr>
    </w:p>
    <w:p w14:paraId="25425085" w14:textId="77777777" w:rsidR="009702B0" w:rsidRPr="009702B0" w:rsidRDefault="009702B0" w:rsidP="009702B0">
      <w:pPr>
        <w:spacing w:after="0" w:line="240" w:lineRule="auto"/>
        <w:jc w:val="both"/>
        <w:rPr>
          <w:rFonts w:eastAsia="Times New Roman" w:cs="Calibri"/>
          <w:b/>
        </w:rPr>
      </w:pPr>
    </w:p>
    <w:p w14:paraId="7C17C07A" w14:textId="77777777" w:rsidR="009702B0" w:rsidRPr="009702B0" w:rsidRDefault="009702B0" w:rsidP="009702B0">
      <w:pPr>
        <w:spacing w:after="0" w:line="240" w:lineRule="auto"/>
        <w:jc w:val="both"/>
        <w:rPr>
          <w:rFonts w:eastAsia="Times New Roman" w:cs="Calibri"/>
          <w:b/>
        </w:rPr>
        <w:sectPr w:rsidR="009702B0" w:rsidRPr="009702B0" w:rsidSect="00947CB7">
          <w:footerReference w:type="first" r:id="rId108"/>
          <w:pgSz w:w="11906" w:h="16838" w:code="9"/>
          <w:pgMar w:top="1418" w:right="1418" w:bottom="595" w:left="1134" w:header="709" w:footer="709" w:gutter="0"/>
          <w:cols w:space="708"/>
          <w:titlePg/>
          <w:docGrid w:linePitch="360"/>
        </w:sectPr>
      </w:pPr>
    </w:p>
    <w:p w14:paraId="363FF112" w14:textId="77777777" w:rsidR="009702B0" w:rsidRPr="009702B0" w:rsidRDefault="009702B0" w:rsidP="009702B0">
      <w:pPr>
        <w:spacing w:after="0" w:line="240" w:lineRule="auto"/>
        <w:jc w:val="both"/>
        <w:rPr>
          <w:rFonts w:eastAsia="Times New Roman" w:cs="Calibri"/>
          <w:b/>
        </w:rPr>
      </w:pPr>
    </w:p>
    <w:p w14:paraId="4E1016FB"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        Risk management (continued)</w:t>
      </w:r>
    </w:p>
    <w:p w14:paraId="5A4E740C" w14:textId="77777777" w:rsidR="009702B0" w:rsidRPr="009702B0" w:rsidRDefault="009702B0" w:rsidP="009702B0">
      <w:pPr>
        <w:keepNext/>
        <w:spacing w:after="0" w:line="240" w:lineRule="auto"/>
        <w:ind w:left="709" w:hanging="709"/>
        <w:jc w:val="both"/>
        <w:rPr>
          <w:rFonts w:eastAsia="Times New Roman" w:cs="Arial"/>
          <w:b/>
          <w:bCs/>
        </w:rPr>
      </w:pPr>
    </w:p>
    <w:p w14:paraId="0EC6DA89"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     Market risk (continued)</w:t>
      </w:r>
    </w:p>
    <w:p w14:paraId="7DBA7C01" w14:textId="77777777" w:rsidR="009702B0" w:rsidRPr="009702B0" w:rsidRDefault="009702B0" w:rsidP="009702B0">
      <w:pPr>
        <w:keepNext/>
        <w:spacing w:after="0" w:line="240" w:lineRule="auto"/>
        <w:ind w:left="709" w:hanging="709"/>
        <w:jc w:val="both"/>
        <w:rPr>
          <w:rFonts w:eastAsia="Times New Roman" w:cs="Arial"/>
          <w:b/>
          <w:bCs/>
        </w:rPr>
      </w:pPr>
    </w:p>
    <w:p w14:paraId="76342214"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16.4.1</w:t>
      </w:r>
      <w:proofErr w:type="gramStart"/>
      <w:r w:rsidRPr="009702B0">
        <w:rPr>
          <w:rFonts w:eastAsia="Times New Roman" w:cs="Arial"/>
          <w:b/>
          <w:bCs/>
        </w:rPr>
        <w:t>.  Interest</w:t>
      </w:r>
      <w:proofErr w:type="gramEnd"/>
      <w:r w:rsidRPr="009702B0">
        <w:rPr>
          <w:rFonts w:eastAsia="Times New Roman" w:cs="Arial"/>
          <w:b/>
          <w:bCs/>
        </w:rPr>
        <w:t xml:space="preserve"> rate risk in the Bank’s book (continued)</w:t>
      </w:r>
    </w:p>
    <w:p w14:paraId="490C52E0" w14:textId="77777777" w:rsidR="009702B0" w:rsidRPr="009702B0" w:rsidRDefault="009702B0" w:rsidP="009702B0">
      <w:pPr>
        <w:keepNext/>
        <w:spacing w:after="0" w:line="240" w:lineRule="auto"/>
        <w:ind w:left="709" w:hanging="709"/>
        <w:jc w:val="both"/>
        <w:rPr>
          <w:rFonts w:eastAsia="Times New Roman" w:cs="Arial"/>
          <w:b/>
          <w:bCs/>
        </w:rPr>
      </w:pPr>
    </w:p>
    <w:p w14:paraId="78D42DB8" w14:textId="10465E3F" w:rsidR="009702B0" w:rsidRPr="009702B0" w:rsidRDefault="009702B0" w:rsidP="009702B0">
      <w:pPr>
        <w:spacing w:after="0" w:line="240" w:lineRule="auto"/>
        <w:ind w:right="-6"/>
        <w:jc w:val="both"/>
        <w:rPr>
          <w:rFonts w:cs="Arial"/>
        </w:rPr>
      </w:pPr>
      <w:r w:rsidRPr="009702B0">
        <w:rPr>
          <w:rFonts w:cs="Arial"/>
          <w:iCs/>
        </w:rPr>
        <w:t xml:space="preserve">The following tables demonstrate the sensitivity of HBOR to interest rates risk as of </w:t>
      </w:r>
      <w:r w:rsidR="0044104F" w:rsidRPr="0044104F">
        <w:rPr>
          <w:rFonts w:cs="Arial"/>
          <w:iCs/>
        </w:rPr>
        <w:t xml:space="preserve">30 </w:t>
      </w:r>
      <w:r w:rsidR="0010353B">
        <w:rPr>
          <w:rFonts w:cs="Arial"/>
          <w:iCs/>
        </w:rPr>
        <w:t>September</w:t>
      </w:r>
      <w:r w:rsidR="0010353B" w:rsidRPr="0044104F">
        <w:rPr>
          <w:rFonts w:cs="Arial"/>
          <w:iCs/>
        </w:rPr>
        <w:t xml:space="preserve"> </w:t>
      </w:r>
      <w:r w:rsidR="000A6679" w:rsidRPr="000A6679">
        <w:rPr>
          <w:rFonts w:cs="Arial"/>
          <w:iCs/>
        </w:rPr>
        <w:t>2017</w:t>
      </w:r>
      <w:r w:rsidR="000A6679">
        <w:rPr>
          <w:rFonts w:cs="Arial"/>
          <w:iCs/>
        </w:rPr>
        <w:t xml:space="preserve"> </w:t>
      </w:r>
      <w:r w:rsidRPr="009702B0">
        <w:rPr>
          <w:rFonts w:cs="Arial"/>
          <w:iCs/>
        </w:rPr>
        <w:t>and 31 December 201</w:t>
      </w:r>
      <w:r w:rsidR="000A6679">
        <w:rPr>
          <w:rFonts w:cs="Arial"/>
          <w:iCs/>
        </w:rPr>
        <w:t>6</w:t>
      </w:r>
      <w:r w:rsidRPr="009702B0">
        <w:rPr>
          <w:rFonts w:cs="Arial"/>
          <w:iCs/>
        </w:rPr>
        <w:t xml:space="preserve"> on the basis of known dates of changes in prices of assets and liabilities to which floating and fixed interest rates are applied. Periods of interest rates changes are determined on the basis of residual maturity and contracted period when interest rates change, depending on which is shorter. Assets and liabilities on which interest is not charged are placed into the non-interest bearing category. The tables below demonstrate the estimation of HBOR’s interest rate risk exposure as of </w:t>
      </w:r>
      <w:r w:rsidR="0044104F" w:rsidRPr="0044104F">
        <w:rPr>
          <w:rFonts w:cs="Arial"/>
          <w:iCs/>
        </w:rPr>
        <w:t xml:space="preserve">30 </w:t>
      </w:r>
      <w:r w:rsidR="0010353B">
        <w:rPr>
          <w:rFonts w:cs="Arial"/>
          <w:iCs/>
        </w:rPr>
        <w:t>September</w:t>
      </w:r>
      <w:r w:rsidR="0010353B" w:rsidRPr="0044104F">
        <w:rPr>
          <w:rFonts w:cs="Arial"/>
          <w:iCs/>
        </w:rPr>
        <w:t xml:space="preserve"> </w:t>
      </w:r>
      <w:r w:rsidR="000A6679" w:rsidRPr="000A6679">
        <w:rPr>
          <w:rFonts w:cs="Arial"/>
          <w:iCs/>
        </w:rPr>
        <w:t>2017</w:t>
      </w:r>
      <w:r w:rsidRPr="009702B0">
        <w:rPr>
          <w:rFonts w:cs="Arial"/>
          <w:iCs/>
        </w:rPr>
        <w:t xml:space="preserve"> and 31 December 201</w:t>
      </w:r>
      <w:r w:rsidR="000A6679">
        <w:rPr>
          <w:rFonts w:cs="Arial"/>
          <w:iCs/>
        </w:rPr>
        <w:t>6</w:t>
      </w:r>
      <w:r w:rsidRPr="009702B0">
        <w:rPr>
          <w:rFonts w:cs="Arial"/>
          <w:iCs/>
        </w:rPr>
        <w:t xml:space="preserve"> which may not be indicative for the positions in other periods</w:t>
      </w:r>
      <w:r w:rsidRPr="009702B0">
        <w:rPr>
          <w:rFonts w:cs="Arial"/>
        </w:rPr>
        <w:t xml:space="preserve">. </w:t>
      </w:r>
    </w:p>
    <w:p w14:paraId="7EEADD95" w14:textId="77777777" w:rsidR="009702B0" w:rsidRPr="009702B0" w:rsidRDefault="009702B0" w:rsidP="009702B0">
      <w:pPr>
        <w:tabs>
          <w:tab w:val="left" w:pos="-720"/>
        </w:tabs>
        <w:suppressAutoHyphens/>
        <w:spacing w:after="0" w:line="240" w:lineRule="auto"/>
        <w:ind w:right="-5"/>
        <w:jc w:val="both"/>
        <w:rPr>
          <w:rFonts w:cs="Arial"/>
        </w:rPr>
      </w:pPr>
    </w:p>
    <w:tbl>
      <w:tblPr>
        <w:tblW w:w="5235" w:type="pct"/>
        <w:tblInd w:w="-142" w:type="dxa"/>
        <w:tblLayout w:type="fixed"/>
        <w:tblCellMar>
          <w:left w:w="120" w:type="dxa"/>
          <w:right w:w="120" w:type="dxa"/>
        </w:tblCellMar>
        <w:tblLook w:val="0000" w:firstRow="0" w:lastRow="0" w:firstColumn="0" w:lastColumn="0" w:noHBand="0" w:noVBand="0"/>
      </w:tblPr>
      <w:tblGrid>
        <w:gridCol w:w="2553"/>
        <w:gridCol w:w="992"/>
        <w:gridCol w:w="994"/>
        <w:gridCol w:w="991"/>
        <w:gridCol w:w="991"/>
        <w:gridCol w:w="1091"/>
        <w:gridCol w:w="1091"/>
        <w:gridCol w:w="1091"/>
      </w:tblGrid>
      <w:tr w:rsidR="009702B0" w:rsidRPr="009702B0" w14:paraId="5318B81A" w14:textId="77777777" w:rsidTr="009702B0">
        <w:tc>
          <w:tcPr>
            <w:tcW w:w="1303" w:type="pct"/>
            <w:vAlign w:val="center"/>
          </w:tcPr>
          <w:p w14:paraId="13439325" w14:textId="77777777" w:rsidR="009702B0" w:rsidRPr="009702B0" w:rsidRDefault="009702B0" w:rsidP="009702B0">
            <w:pPr>
              <w:tabs>
                <w:tab w:val="left" w:pos="-720"/>
              </w:tabs>
              <w:suppressAutoHyphens/>
              <w:spacing w:after="0" w:line="280" w:lineRule="exact"/>
              <w:ind w:right="-6"/>
              <w:rPr>
                <w:rFonts w:cs="Arial"/>
                <w:b/>
                <w:sz w:val="18"/>
                <w:szCs w:val="18"/>
              </w:rPr>
            </w:pPr>
            <w:r w:rsidRPr="009702B0">
              <w:rPr>
                <w:rFonts w:cs="Arial"/>
                <w:b/>
                <w:sz w:val="18"/>
                <w:szCs w:val="18"/>
              </w:rPr>
              <w:t>Bank</w:t>
            </w:r>
          </w:p>
          <w:p w14:paraId="2270A937" w14:textId="769A59A5" w:rsidR="009702B0" w:rsidRPr="009702B0" w:rsidRDefault="005D3EF7" w:rsidP="009702B0">
            <w:pPr>
              <w:tabs>
                <w:tab w:val="left" w:pos="-720"/>
              </w:tabs>
              <w:suppressAutoHyphens/>
              <w:spacing w:after="0" w:line="280" w:lineRule="exact"/>
              <w:ind w:right="-6"/>
              <w:rPr>
                <w:rFonts w:cs="Arial"/>
                <w:b/>
                <w:sz w:val="18"/>
                <w:szCs w:val="18"/>
              </w:rPr>
            </w:pPr>
            <w:r>
              <w:rPr>
                <w:rFonts w:cs="Arial"/>
                <w:b/>
                <w:sz w:val="18"/>
                <w:szCs w:val="18"/>
              </w:rPr>
              <w:t xml:space="preserve">Sep </w:t>
            </w:r>
            <w:r w:rsidR="0093162C">
              <w:rPr>
                <w:rFonts w:cs="Arial"/>
                <w:b/>
                <w:sz w:val="18"/>
                <w:szCs w:val="18"/>
              </w:rPr>
              <w:t>30</w:t>
            </w:r>
            <w:r w:rsidR="000A6679">
              <w:rPr>
                <w:rFonts w:cs="Arial"/>
                <w:b/>
                <w:sz w:val="18"/>
                <w:szCs w:val="18"/>
              </w:rPr>
              <w:t>, 2017</w:t>
            </w:r>
          </w:p>
        </w:tc>
        <w:tc>
          <w:tcPr>
            <w:tcW w:w="506" w:type="pct"/>
          </w:tcPr>
          <w:p w14:paraId="5718745A"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Up to 1 month</w:t>
            </w:r>
          </w:p>
        </w:tc>
        <w:tc>
          <w:tcPr>
            <w:tcW w:w="507" w:type="pct"/>
          </w:tcPr>
          <w:p w14:paraId="60348493"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1 to 3 months</w:t>
            </w:r>
          </w:p>
        </w:tc>
        <w:tc>
          <w:tcPr>
            <w:tcW w:w="506" w:type="pct"/>
          </w:tcPr>
          <w:p w14:paraId="59CEDA1C"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 xml:space="preserve">3 months to 1 year </w:t>
            </w:r>
          </w:p>
        </w:tc>
        <w:tc>
          <w:tcPr>
            <w:tcW w:w="506" w:type="pct"/>
          </w:tcPr>
          <w:p w14:paraId="6F9254C9"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1 to 3 years</w:t>
            </w:r>
          </w:p>
        </w:tc>
        <w:tc>
          <w:tcPr>
            <w:tcW w:w="557" w:type="pct"/>
          </w:tcPr>
          <w:p w14:paraId="5BCBA372"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Over 3 years</w:t>
            </w:r>
          </w:p>
        </w:tc>
        <w:tc>
          <w:tcPr>
            <w:tcW w:w="557" w:type="pct"/>
          </w:tcPr>
          <w:p w14:paraId="2E4A3324"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Non-interest bearing</w:t>
            </w:r>
          </w:p>
        </w:tc>
        <w:tc>
          <w:tcPr>
            <w:tcW w:w="557" w:type="pct"/>
          </w:tcPr>
          <w:p w14:paraId="6F98C70A"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 xml:space="preserve">Total </w:t>
            </w:r>
          </w:p>
        </w:tc>
      </w:tr>
      <w:tr w:rsidR="009702B0" w:rsidRPr="009702B0" w14:paraId="0B1485FD" w14:textId="77777777" w:rsidTr="009702B0">
        <w:tc>
          <w:tcPr>
            <w:tcW w:w="1303" w:type="pct"/>
            <w:vAlign w:val="bottom"/>
          </w:tcPr>
          <w:p w14:paraId="765BA5D1" w14:textId="77777777" w:rsidR="009702B0" w:rsidRPr="009702B0" w:rsidRDefault="009702B0" w:rsidP="009702B0">
            <w:pPr>
              <w:tabs>
                <w:tab w:val="left" w:pos="-720"/>
              </w:tabs>
              <w:suppressAutoHyphens/>
              <w:spacing w:after="0" w:line="280" w:lineRule="exact"/>
              <w:ind w:right="-5"/>
              <w:rPr>
                <w:rFonts w:cs="Arial"/>
                <w:b/>
                <w:sz w:val="18"/>
                <w:szCs w:val="18"/>
              </w:rPr>
            </w:pPr>
            <w:r w:rsidRPr="009702B0">
              <w:rPr>
                <w:rFonts w:cs="Arial"/>
                <w:b/>
                <w:sz w:val="18"/>
                <w:szCs w:val="18"/>
              </w:rPr>
              <w:t xml:space="preserve">Assets </w:t>
            </w:r>
          </w:p>
        </w:tc>
        <w:tc>
          <w:tcPr>
            <w:tcW w:w="506" w:type="pct"/>
          </w:tcPr>
          <w:p w14:paraId="34F5441A" w14:textId="77777777" w:rsidR="009702B0" w:rsidRPr="009702B0" w:rsidRDefault="009702B0" w:rsidP="009702B0">
            <w:pPr>
              <w:tabs>
                <w:tab w:val="left" w:pos="-720"/>
              </w:tabs>
              <w:suppressAutoHyphens/>
              <w:spacing w:after="0" w:line="280" w:lineRule="exact"/>
              <w:ind w:right="-5"/>
              <w:jc w:val="right"/>
              <w:rPr>
                <w:rFonts w:cs="Arial"/>
                <w:sz w:val="18"/>
                <w:szCs w:val="18"/>
              </w:rPr>
            </w:pPr>
          </w:p>
        </w:tc>
        <w:tc>
          <w:tcPr>
            <w:tcW w:w="507" w:type="pct"/>
          </w:tcPr>
          <w:p w14:paraId="404278FB" w14:textId="77777777" w:rsidR="009702B0" w:rsidRPr="009702B0" w:rsidRDefault="009702B0" w:rsidP="009702B0">
            <w:pPr>
              <w:tabs>
                <w:tab w:val="left" w:pos="-720"/>
              </w:tabs>
              <w:suppressAutoHyphens/>
              <w:spacing w:after="0" w:line="280" w:lineRule="exact"/>
              <w:ind w:right="-5"/>
              <w:jc w:val="right"/>
              <w:rPr>
                <w:rFonts w:cs="Arial"/>
                <w:sz w:val="18"/>
                <w:szCs w:val="18"/>
              </w:rPr>
            </w:pPr>
          </w:p>
        </w:tc>
        <w:tc>
          <w:tcPr>
            <w:tcW w:w="506" w:type="pct"/>
          </w:tcPr>
          <w:p w14:paraId="5127FF5D" w14:textId="77777777" w:rsidR="009702B0" w:rsidRPr="009702B0" w:rsidRDefault="009702B0" w:rsidP="009702B0">
            <w:pPr>
              <w:tabs>
                <w:tab w:val="left" w:pos="-720"/>
              </w:tabs>
              <w:suppressAutoHyphens/>
              <w:spacing w:after="0" w:line="280" w:lineRule="exact"/>
              <w:ind w:right="-5"/>
              <w:jc w:val="right"/>
              <w:rPr>
                <w:rFonts w:cs="Arial"/>
                <w:sz w:val="18"/>
                <w:szCs w:val="18"/>
              </w:rPr>
            </w:pPr>
          </w:p>
        </w:tc>
        <w:tc>
          <w:tcPr>
            <w:tcW w:w="506" w:type="pct"/>
          </w:tcPr>
          <w:p w14:paraId="067C65E2" w14:textId="77777777" w:rsidR="009702B0" w:rsidRPr="009702B0" w:rsidRDefault="009702B0" w:rsidP="009702B0">
            <w:pPr>
              <w:tabs>
                <w:tab w:val="left" w:pos="-720"/>
              </w:tabs>
              <w:suppressAutoHyphens/>
              <w:spacing w:after="0" w:line="280" w:lineRule="exact"/>
              <w:ind w:right="-5"/>
              <w:jc w:val="right"/>
              <w:rPr>
                <w:rFonts w:cs="Arial"/>
                <w:sz w:val="18"/>
                <w:szCs w:val="18"/>
              </w:rPr>
            </w:pPr>
          </w:p>
        </w:tc>
        <w:tc>
          <w:tcPr>
            <w:tcW w:w="557" w:type="pct"/>
          </w:tcPr>
          <w:p w14:paraId="6D5D536F" w14:textId="77777777" w:rsidR="009702B0" w:rsidRPr="009702B0" w:rsidRDefault="009702B0" w:rsidP="009702B0">
            <w:pPr>
              <w:tabs>
                <w:tab w:val="left" w:pos="-720"/>
              </w:tabs>
              <w:suppressAutoHyphens/>
              <w:spacing w:after="0" w:line="280" w:lineRule="exact"/>
              <w:ind w:right="-5"/>
              <w:jc w:val="right"/>
              <w:rPr>
                <w:rFonts w:cs="Arial"/>
                <w:sz w:val="18"/>
                <w:szCs w:val="18"/>
              </w:rPr>
            </w:pPr>
          </w:p>
        </w:tc>
        <w:tc>
          <w:tcPr>
            <w:tcW w:w="557" w:type="pct"/>
          </w:tcPr>
          <w:p w14:paraId="3056BC57" w14:textId="77777777" w:rsidR="009702B0" w:rsidRPr="009702B0" w:rsidRDefault="009702B0" w:rsidP="009702B0">
            <w:pPr>
              <w:tabs>
                <w:tab w:val="left" w:pos="-720"/>
              </w:tabs>
              <w:suppressAutoHyphens/>
              <w:spacing w:after="0" w:line="280" w:lineRule="exact"/>
              <w:ind w:right="-5"/>
              <w:jc w:val="right"/>
              <w:rPr>
                <w:rFonts w:cs="Arial"/>
                <w:sz w:val="18"/>
                <w:szCs w:val="18"/>
              </w:rPr>
            </w:pPr>
          </w:p>
        </w:tc>
        <w:tc>
          <w:tcPr>
            <w:tcW w:w="557" w:type="pct"/>
          </w:tcPr>
          <w:p w14:paraId="0A84288E" w14:textId="77777777" w:rsidR="009702B0" w:rsidRPr="009702B0" w:rsidRDefault="009702B0" w:rsidP="009702B0">
            <w:pPr>
              <w:tabs>
                <w:tab w:val="left" w:pos="-720"/>
              </w:tabs>
              <w:suppressAutoHyphens/>
              <w:spacing w:after="0" w:line="280" w:lineRule="exact"/>
              <w:ind w:right="-5"/>
              <w:jc w:val="right"/>
              <w:rPr>
                <w:rFonts w:cs="Arial"/>
                <w:sz w:val="18"/>
                <w:szCs w:val="18"/>
              </w:rPr>
            </w:pPr>
          </w:p>
        </w:tc>
      </w:tr>
      <w:tr w:rsidR="00C81C91" w:rsidRPr="009702B0" w14:paraId="39201108" w14:textId="77777777" w:rsidTr="009702B0">
        <w:tc>
          <w:tcPr>
            <w:tcW w:w="1303" w:type="pct"/>
            <w:vAlign w:val="bottom"/>
          </w:tcPr>
          <w:p w14:paraId="2D64E971" w14:textId="77777777" w:rsidR="00C81C91" w:rsidRPr="009702B0" w:rsidRDefault="00C81C91" w:rsidP="00C81C91">
            <w:pPr>
              <w:tabs>
                <w:tab w:val="left" w:pos="-720"/>
              </w:tabs>
              <w:suppressAutoHyphens/>
              <w:spacing w:after="0" w:line="280" w:lineRule="exact"/>
              <w:ind w:right="-5"/>
              <w:rPr>
                <w:rFonts w:cs="Arial"/>
                <w:sz w:val="18"/>
                <w:szCs w:val="18"/>
              </w:rPr>
            </w:pPr>
            <w:r w:rsidRPr="009702B0">
              <w:rPr>
                <w:rFonts w:cs="Arial"/>
                <w:sz w:val="18"/>
                <w:szCs w:val="18"/>
              </w:rPr>
              <w:t xml:space="preserve">Cash on hand and due from banks </w:t>
            </w:r>
          </w:p>
        </w:tc>
        <w:tc>
          <w:tcPr>
            <w:tcW w:w="506" w:type="pct"/>
            <w:tcBorders>
              <w:top w:val="nil"/>
              <w:left w:val="nil"/>
              <w:bottom w:val="nil"/>
              <w:right w:val="nil"/>
            </w:tcBorders>
            <w:shd w:val="clear" w:color="auto" w:fill="auto"/>
            <w:vAlign w:val="bottom"/>
          </w:tcPr>
          <w:p w14:paraId="135C662D" w14:textId="1A6E0914" w:rsidR="00C81C91" w:rsidRPr="009702B0" w:rsidRDefault="00C81C91" w:rsidP="00C81C91">
            <w:pPr>
              <w:spacing w:after="0" w:line="280" w:lineRule="exact"/>
              <w:jc w:val="right"/>
              <w:rPr>
                <w:rFonts w:cs="Arial"/>
                <w:sz w:val="18"/>
                <w:szCs w:val="18"/>
              </w:rPr>
            </w:pPr>
            <w:r>
              <w:rPr>
                <w:rFonts w:cs="Arial"/>
                <w:sz w:val="18"/>
                <w:szCs w:val="18"/>
              </w:rPr>
              <w:t>-</w:t>
            </w:r>
          </w:p>
        </w:tc>
        <w:tc>
          <w:tcPr>
            <w:tcW w:w="507" w:type="pct"/>
            <w:tcBorders>
              <w:top w:val="nil"/>
              <w:left w:val="nil"/>
              <w:bottom w:val="nil"/>
              <w:right w:val="nil"/>
            </w:tcBorders>
            <w:shd w:val="clear" w:color="auto" w:fill="auto"/>
            <w:vAlign w:val="bottom"/>
          </w:tcPr>
          <w:p w14:paraId="5AC882D2" w14:textId="0A5EFABE" w:rsidR="00C81C91" w:rsidRPr="009702B0" w:rsidRDefault="00C81C91" w:rsidP="00C81C91">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14:paraId="594F8E26" w14:textId="78C60085" w:rsidR="00C81C91" w:rsidRPr="009702B0" w:rsidRDefault="00C81C91" w:rsidP="00C81C91">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14:paraId="5C0D3C2B" w14:textId="5F0EE2AE" w:rsidR="00C81C91" w:rsidRPr="009702B0" w:rsidRDefault="00C81C91" w:rsidP="00C81C91">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14:paraId="02CA1AD6" w14:textId="591B0A7F" w:rsidR="00C81C91" w:rsidRPr="009702B0" w:rsidRDefault="00C81C91" w:rsidP="00C81C91">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14:paraId="1E7435B9" w14:textId="7D6E8971" w:rsidR="00C81C91" w:rsidRPr="009702B0" w:rsidRDefault="00C81C91" w:rsidP="00C81C91">
            <w:pPr>
              <w:spacing w:after="0" w:line="280" w:lineRule="exact"/>
              <w:jc w:val="right"/>
              <w:rPr>
                <w:rFonts w:cs="Arial"/>
                <w:sz w:val="18"/>
                <w:szCs w:val="18"/>
              </w:rPr>
            </w:pPr>
            <w:r>
              <w:rPr>
                <w:rFonts w:cs="Arial"/>
                <w:sz w:val="18"/>
                <w:szCs w:val="18"/>
              </w:rPr>
              <w:t>737,631</w:t>
            </w:r>
          </w:p>
        </w:tc>
        <w:tc>
          <w:tcPr>
            <w:tcW w:w="557" w:type="pct"/>
            <w:tcBorders>
              <w:top w:val="nil"/>
              <w:left w:val="nil"/>
              <w:bottom w:val="nil"/>
              <w:right w:val="nil"/>
            </w:tcBorders>
            <w:shd w:val="clear" w:color="auto" w:fill="auto"/>
            <w:vAlign w:val="bottom"/>
          </w:tcPr>
          <w:p w14:paraId="6B3DB39A" w14:textId="149BB60E" w:rsidR="00C81C91" w:rsidRPr="009702B0" w:rsidRDefault="00C81C91" w:rsidP="00C81C91">
            <w:pPr>
              <w:spacing w:after="0" w:line="280" w:lineRule="exact"/>
              <w:jc w:val="right"/>
              <w:rPr>
                <w:rFonts w:cs="Arial"/>
                <w:bCs/>
                <w:sz w:val="18"/>
                <w:szCs w:val="18"/>
              </w:rPr>
            </w:pPr>
            <w:r>
              <w:rPr>
                <w:rFonts w:cs="Arial"/>
                <w:sz w:val="18"/>
                <w:szCs w:val="18"/>
              </w:rPr>
              <w:t>737,631</w:t>
            </w:r>
          </w:p>
        </w:tc>
      </w:tr>
      <w:tr w:rsidR="00C81C91" w:rsidRPr="009702B0" w14:paraId="3723520D" w14:textId="77777777" w:rsidTr="009702B0">
        <w:tc>
          <w:tcPr>
            <w:tcW w:w="1303" w:type="pct"/>
            <w:vAlign w:val="bottom"/>
          </w:tcPr>
          <w:p w14:paraId="1E3A43F0" w14:textId="77777777" w:rsidR="00C81C91" w:rsidRPr="009702B0" w:rsidRDefault="00C81C91" w:rsidP="00C81C91">
            <w:pPr>
              <w:tabs>
                <w:tab w:val="left" w:pos="-720"/>
              </w:tabs>
              <w:suppressAutoHyphens/>
              <w:spacing w:after="0" w:line="280" w:lineRule="exact"/>
              <w:ind w:right="-5"/>
              <w:rPr>
                <w:rFonts w:cs="Arial"/>
                <w:sz w:val="18"/>
                <w:szCs w:val="18"/>
              </w:rPr>
            </w:pPr>
            <w:r w:rsidRPr="009702B0">
              <w:rPr>
                <w:rFonts w:cs="Arial"/>
                <w:sz w:val="18"/>
                <w:szCs w:val="18"/>
              </w:rPr>
              <w:t xml:space="preserve">Deposits with other banks </w:t>
            </w:r>
          </w:p>
        </w:tc>
        <w:tc>
          <w:tcPr>
            <w:tcW w:w="506" w:type="pct"/>
            <w:tcBorders>
              <w:top w:val="nil"/>
              <w:left w:val="nil"/>
              <w:bottom w:val="nil"/>
              <w:right w:val="nil"/>
            </w:tcBorders>
            <w:shd w:val="clear" w:color="auto" w:fill="auto"/>
            <w:vAlign w:val="bottom"/>
          </w:tcPr>
          <w:p w14:paraId="3C4D1479" w14:textId="3D0B77A1" w:rsidR="00C81C91" w:rsidRPr="009702B0" w:rsidRDefault="00C81C91" w:rsidP="00C81C91">
            <w:pPr>
              <w:spacing w:after="0" w:line="280" w:lineRule="exact"/>
              <w:jc w:val="right"/>
              <w:rPr>
                <w:rFonts w:cs="Arial"/>
                <w:sz w:val="18"/>
                <w:szCs w:val="18"/>
              </w:rPr>
            </w:pPr>
            <w:r>
              <w:rPr>
                <w:rFonts w:cs="Arial"/>
                <w:sz w:val="18"/>
                <w:szCs w:val="18"/>
              </w:rPr>
              <w:t>-</w:t>
            </w:r>
          </w:p>
        </w:tc>
        <w:tc>
          <w:tcPr>
            <w:tcW w:w="507" w:type="pct"/>
            <w:tcBorders>
              <w:top w:val="nil"/>
              <w:left w:val="nil"/>
              <w:bottom w:val="nil"/>
              <w:right w:val="nil"/>
            </w:tcBorders>
            <w:shd w:val="clear" w:color="auto" w:fill="auto"/>
            <w:vAlign w:val="bottom"/>
          </w:tcPr>
          <w:p w14:paraId="741727F7" w14:textId="7BF91FD2" w:rsidR="00C81C91" w:rsidRPr="009702B0" w:rsidRDefault="00C81C91" w:rsidP="00C81C91">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14:paraId="37652FE8" w14:textId="1F46AE4E" w:rsidR="00C81C91" w:rsidRPr="009702B0" w:rsidRDefault="00C81C91" w:rsidP="00C81C91">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14:paraId="3FEBB6D1" w14:textId="7599B947" w:rsidR="00C81C91" w:rsidRPr="009702B0" w:rsidRDefault="00C81C91" w:rsidP="00C81C91">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14:paraId="50D13A1B" w14:textId="2565DBEB" w:rsidR="00C81C91" w:rsidRPr="009702B0" w:rsidRDefault="00C81C91" w:rsidP="00C81C91">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14:paraId="05AEF0E8" w14:textId="4FB29B6A" w:rsidR="00C81C91" w:rsidRPr="009702B0" w:rsidRDefault="00C81C91" w:rsidP="00C81C91">
            <w:pPr>
              <w:spacing w:after="0" w:line="280" w:lineRule="exact"/>
              <w:jc w:val="right"/>
              <w:rPr>
                <w:rFonts w:cs="Arial"/>
                <w:sz w:val="18"/>
                <w:szCs w:val="18"/>
              </w:rPr>
            </w:pPr>
            <w:r>
              <w:rPr>
                <w:rFonts w:cs="Arial"/>
                <w:sz w:val="18"/>
                <w:szCs w:val="18"/>
              </w:rPr>
              <w:t>76</w:t>
            </w:r>
          </w:p>
        </w:tc>
        <w:tc>
          <w:tcPr>
            <w:tcW w:w="557" w:type="pct"/>
            <w:tcBorders>
              <w:top w:val="nil"/>
              <w:left w:val="nil"/>
              <w:bottom w:val="nil"/>
              <w:right w:val="nil"/>
            </w:tcBorders>
            <w:shd w:val="clear" w:color="auto" w:fill="auto"/>
            <w:vAlign w:val="bottom"/>
          </w:tcPr>
          <w:p w14:paraId="235CB89E" w14:textId="12011192" w:rsidR="00C81C91" w:rsidRPr="009702B0" w:rsidRDefault="00C81C91" w:rsidP="00C81C91">
            <w:pPr>
              <w:spacing w:after="0" w:line="280" w:lineRule="exact"/>
              <w:jc w:val="right"/>
              <w:rPr>
                <w:rFonts w:cs="Arial"/>
                <w:bCs/>
                <w:sz w:val="18"/>
                <w:szCs w:val="18"/>
              </w:rPr>
            </w:pPr>
            <w:r>
              <w:rPr>
                <w:rFonts w:cs="Arial"/>
                <w:sz w:val="18"/>
                <w:szCs w:val="18"/>
              </w:rPr>
              <w:t>76</w:t>
            </w:r>
          </w:p>
        </w:tc>
      </w:tr>
      <w:tr w:rsidR="00C81C91" w:rsidRPr="009702B0" w14:paraId="0E3279CB" w14:textId="77777777" w:rsidTr="009702B0">
        <w:tc>
          <w:tcPr>
            <w:tcW w:w="1303" w:type="pct"/>
            <w:vAlign w:val="bottom"/>
          </w:tcPr>
          <w:p w14:paraId="610F8F97" w14:textId="77777777" w:rsidR="00C81C91" w:rsidRPr="009702B0" w:rsidRDefault="00C81C91" w:rsidP="00C81C91">
            <w:pPr>
              <w:tabs>
                <w:tab w:val="left" w:pos="-720"/>
              </w:tabs>
              <w:suppressAutoHyphens/>
              <w:spacing w:after="0" w:line="280" w:lineRule="exact"/>
              <w:ind w:right="-5"/>
              <w:rPr>
                <w:rFonts w:cs="Arial"/>
                <w:sz w:val="18"/>
                <w:szCs w:val="18"/>
              </w:rPr>
            </w:pPr>
            <w:r w:rsidRPr="009702B0">
              <w:rPr>
                <w:rFonts w:cs="Arial"/>
                <w:sz w:val="18"/>
                <w:szCs w:val="18"/>
              </w:rPr>
              <w:t xml:space="preserve">Loans to financial institutions </w:t>
            </w:r>
          </w:p>
        </w:tc>
        <w:tc>
          <w:tcPr>
            <w:tcW w:w="506" w:type="pct"/>
            <w:tcBorders>
              <w:top w:val="nil"/>
              <w:left w:val="nil"/>
              <w:bottom w:val="nil"/>
              <w:right w:val="nil"/>
            </w:tcBorders>
            <w:shd w:val="clear" w:color="auto" w:fill="auto"/>
            <w:vAlign w:val="bottom"/>
          </w:tcPr>
          <w:p w14:paraId="2D049003" w14:textId="1928FD2C" w:rsidR="00C81C91" w:rsidRPr="009702B0" w:rsidRDefault="00C81C91" w:rsidP="00C81C91">
            <w:pPr>
              <w:spacing w:after="0" w:line="280" w:lineRule="exact"/>
              <w:jc w:val="right"/>
              <w:rPr>
                <w:rFonts w:cs="Arial"/>
                <w:sz w:val="18"/>
                <w:szCs w:val="18"/>
              </w:rPr>
            </w:pPr>
            <w:r>
              <w:rPr>
                <w:rFonts w:cs="Arial"/>
                <w:sz w:val="18"/>
                <w:szCs w:val="18"/>
              </w:rPr>
              <w:t>1,108,362</w:t>
            </w:r>
          </w:p>
        </w:tc>
        <w:tc>
          <w:tcPr>
            <w:tcW w:w="507" w:type="pct"/>
            <w:tcBorders>
              <w:top w:val="nil"/>
              <w:left w:val="nil"/>
              <w:bottom w:val="nil"/>
              <w:right w:val="nil"/>
            </w:tcBorders>
            <w:shd w:val="clear" w:color="auto" w:fill="auto"/>
            <w:vAlign w:val="bottom"/>
          </w:tcPr>
          <w:p w14:paraId="23159C1B" w14:textId="001CC0C3" w:rsidR="00C81C91" w:rsidRPr="009702B0" w:rsidRDefault="00C81C91" w:rsidP="00C81C91">
            <w:pPr>
              <w:spacing w:after="0" w:line="280" w:lineRule="exact"/>
              <w:jc w:val="right"/>
              <w:rPr>
                <w:rFonts w:cs="Arial"/>
                <w:sz w:val="18"/>
                <w:szCs w:val="18"/>
              </w:rPr>
            </w:pPr>
            <w:r>
              <w:rPr>
                <w:rFonts w:cs="Arial"/>
                <w:sz w:val="18"/>
                <w:szCs w:val="18"/>
              </w:rPr>
              <w:t>1,243,129</w:t>
            </w:r>
          </w:p>
        </w:tc>
        <w:tc>
          <w:tcPr>
            <w:tcW w:w="506" w:type="pct"/>
            <w:tcBorders>
              <w:top w:val="nil"/>
              <w:left w:val="nil"/>
              <w:bottom w:val="nil"/>
              <w:right w:val="nil"/>
            </w:tcBorders>
            <w:shd w:val="clear" w:color="auto" w:fill="auto"/>
            <w:vAlign w:val="bottom"/>
          </w:tcPr>
          <w:p w14:paraId="0F12898F" w14:textId="474B0A8E" w:rsidR="00C81C91" w:rsidRPr="009702B0" w:rsidRDefault="00C81C91" w:rsidP="00C81C91">
            <w:pPr>
              <w:spacing w:after="0" w:line="280" w:lineRule="exact"/>
              <w:jc w:val="right"/>
              <w:rPr>
                <w:rFonts w:cs="Arial"/>
                <w:sz w:val="18"/>
                <w:szCs w:val="18"/>
              </w:rPr>
            </w:pPr>
            <w:r>
              <w:rPr>
                <w:rFonts w:cs="Arial"/>
                <w:sz w:val="18"/>
                <w:szCs w:val="18"/>
              </w:rPr>
              <w:t>1,440,286</w:t>
            </w:r>
          </w:p>
        </w:tc>
        <w:tc>
          <w:tcPr>
            <w:tcW w:w="506" w:type="pct"/>
            <w:tcBorders>
              <w:top w:val="nil"/>
              <w:left w:val="nil"/>
              <w:bottom w:val="nil"/>
              <w:right w:val="nil"/>
            </w:tcBorders>
            <w:shd w:val="clear" w:color="auto" w:fill="auto"/>
            <w:vAlign w:val="bottom"/>
          </w:tcPr>
          <w:p w14:paraId="5533ECF1" w14:textId="15E6686B" w:rsidR="00C81C91" w:rsidRPr="009702B0" w:rsidRDefault="00C81C91" w:rsidP="00C81C91">
            <w:pPr>
              <w:spacing w:after="0" w:line="280" w:lineRule="exact"/>
              <w:jc w:val="right"/>
              <w:rPr>
                <w:rFonts w:cs="Arial"/>
                <w:sz w:val="18"/>
                <w:szCs w:val="18"/>
              </w:rPr>
            </w:pPr>
            <w:r>
              <w:rPr>
                <w:rFonts w:cs="Arial"/>
                <w:sz w:val="18"/>
                <w:szCs w:val="18"/>
              </w:rPr>
              <w:t>2,800,134</w:t>
            </w:r>
          </w:p>
        </w:tc>
        <w:tc>
          <w:tcPr>
            <w:tcW w:w="557" w:type="pct"/>
            <w:tcBorders>
              <w:top w:val="nil"/>
              <w:left w:val="nil"/>
              <w:bottom w:val="nil"/>
              <w:right w:val="nil"/>
            </w:tcBorders>
            <w:shd w:val="clear" w:color="auto" w:fill="auto"/>
            <w:vAlign w:val="bottom"/>
          </w:tcPr>
          <w:p w14:paraId="4415CA05" w14:textId="7EBCE4F6" w:rsidR="00C81C91" w:rsidRPr="009702B0" w:rsidRDefault="00C81C91" w:rsidP="00C81C91">
            <w:pPr>
              <w:spacing w:after="0" w:line="280" w:lineRule="exact"/>
              <w:jc w:val="right"/>
              <w:rPr>
                <w:rFonts w:cs="Arial"/>
                <w:sz w:val="18"/>
                <w:szCs w:val="18"/>
              </w:rPr>
            </w:pPr>
            <w:r>
              <w:rPr>
                <w:rFonts w:cs="Arial"/>
                <w:sz w:val="18"/>
                <w:szCs w:val="18"/>
              </w:rPr>
              <w:t>5,624,913</w:t>
            </w:r>
          </w:p>
        </w:tc>
        <w:tc>
          <w:tcPr>
            <w:tcW w:w="557" w:type="pct"/>
            <w:tcBorders>
              <w:top w:val="nil"/>
              <w:left w:val="nil"/>
              <w:bottom w:val="nil"/>
              <w:right w:val="nil"/>
            </w:tcBorders>
            <w:shd w:val="clear" w:color="auto" w:fill="auto"/>
            <w:vAlign w:val="bottom"/>
          </w:tcPr>
          <w:p w14:paraId="12F3EDF2" w14:textId="2FA8C02F" w:rsidR="00C81C91" w:rsidRPr="009702B0" w:rsidRDefault="00C81C91" w:rsidP="00C81C91">
            <w:pPr>
              <w:spacing w:after="0" w:line="280" w:lineRule="exact"/>
              <w:jc w:val="right"/>
              <w:rPr>
                <w:rFonts w:cs="Arial"/>
                <w:sz w:val="18"/>
                <w:szCs w:val="18"/>
              </w:rPr>
            </w:pPr>
            <w:r>
              <w:rPr>
                <w:rFonts w:cs="Arial"/>
                <w:sz w:val="18"/>
                <w:szCs w:val="18"/>
              </w:rPr>
              <w:t>30,463</w:t>
            </w:r>
          </w:p>
        </w:tc>
        <w:tc>
          <w:tcPr>
            <w:tcW w:w="557" w:type="pct"/>
            <w:tcBorders>
              <w:top w:val="nil"/>
              <w:left w:val="nil"/>
              <w:bottom w:val="nil"/>
              <w:right w:val="nil"/>
            </w:tcBorders>
            <w:shd w:val="clear" w:color="auto" w:fill="auto"/>
            <w:vAlign w:val="bottom"/>
          </w:tcPr>
          <w:p w14:paraId="32FC255F" w14:textId="77E186A4" w:rsidR="00C81C91" w:rsidRPr="009702B0" w:rsidRDefault="00C81C91" w:rsidP="00C81C91">
            <w:pPr>
              <w:spacing w:after="0" w:line="280" w:lineRule="exact"/>
              <w:jc w:val="right"/>
              <w:rPr>
                <w:rFonts w:cs="Arial"/>
                <w:bCs/>
                <w:sz w:val="18"/>
                <w:szCs w:val="18"/>
              </w:rPr>
            </w:pPr>
            <w:r>
              <w:rPr>
                <w:rFonts w:cs="Arial"/>
                <w:sz w:val="18"/>
                <w:szCs w:val="18"/>
              </w:rPr>
              <w:t>12,247,287</w:t>
            </w:r>
          </w:p>
        </w:tc>
      </w:tr>
      <w:tr w:rsidR="00C81C91" w:rsidRPr="009702B0" w14:paraId="211E4993" w14:textId="77777777" w:rsidTr="009702B0">
        <w:tc>
          <w:tcPr>
            <w:tcW w:w="1303" w:type="pct"/>
            <w:vAlign w:val="bottom"/>
          </w:tcPr>
          <w:p w14:paraId="417710C6" w14:textId="77777777" w:rsidR="00C81C91" w:rsidRPr="009702B0" w:rsidRDefault="00C81C91" w:rsidP="00C81C91">
            <w:pPr>
              <w:tabs>
                <w:tab w:val="left" w:pos="-720"/>
              </w:tabs>
              <w:suppressAutoHyphens/>
              <w:spacing w:after="0" w:line="280" w:lineRule="exact"/>
              <w:ind w:right="-5"/>
              <w:rPr>
                <w:rFonts w:cs="Arial"/>
                <w:sz w:val="18"/>
                <w:szCs w:val="18"/>
              </w:rPr>
            </w:pPr>
            <w:r w:rsidRPr="009702B0">
              <w:rPr>
                <w:rFonts w:cs="Arial"/>
                <w:sz w:val="18"/>
                <w:szCs w:val="18"/>
              </w:rPr>
              <w:t xml:space="preserve">Loans to other customers </w:t>
            </w:r>
          </w:p>
        </w:tc>
        <w:tc>
          <w:tcPr>
            <w:tcW w:w="506" w:type="pct"/>
            <w:tcBorders>
              <w:top w:val="nil"/>
              <w:left w:val="nil"/>
              <w:bottom w:val="nil"/>
              <w:right w:val="nil"/>
            </w:tcBorders>
            <w:shd w:val="clear" w:color="auto" w:fill="auto"/>
            <w:vAlign w:val="bottom"/>
          </w:tcPr>
          <w:p w14:paraId="0FCB6655" w14:textId="54A083D7" w:rsidR="00C81C91" w:rsidRPr="009702B0" w:rsidRDefault="00C81C91" w:rsidP="00C81C91">
            <w:pPr>
              <w:spacing w:after="0" w:line="280" w:lineRule="exact"/>
              <w:jc w:val="right"/>
              <w:rPr>
                <w:rFonts w:cs="Arial"/>
                <w:sz w:val="18"/>
                <w:szCs w:val="18"/>
              </w:rPr>
            </w:pPr>
            <w:r>
              <w:rPr>
                <w:rFonts w:cs="Arial"/>
                <w:sz w:val="18"/>
                <w:szCs w:val="18"/>
              </w:rPr>
              <w:t>2,033,676</w:t>
            </w:r>
          </w:p>
        </w:tc>
        <w:tc>
          <w:tcPr>
            <w:tcW w:w="507" w:type="pct"/>
            <w:tcBorders>
              <w:top w:val="nil"/>
              <w:left w:val="nil"/>
              <w:bottom w:val="nil"/>
              <w:right w:val="nil"/>
            </w:tcBorders>
            <w:shd w:val="clear" w:color="auto" w:fill="auto"/>
            <w:vAlign w:val="bottom"/>
          </w:tcPr>
          <w:p w14:paraId="09217BA9" w14:textId="6501C593" w:rsidR="00C81C91" w:rsidRPr="009702B0" w:rsidRDefault="00C81C91" w:rsidP="00C81C91">
            <w:pPr>
              <w:spacing w:after="0" w:line="280" w:lineRule="exact"/>
              <w:jc w:val="right"/>
              <w:rPr>
                <w:rFonts w:cs="Arial"/>
                <w:sz w:val="18"/>
                <w:szCs w:val="18"/>
              </w:rPr>
            </w:pPr>
            <w:r>
              <w:rPr>
                <w:rFonts w:cs="Arial"/>
                <w:sz w:val="18"/>
                <w:szCs w:val="18"/>
              </w:rPr>
              <w:t>761,799</w:t>
            </w:r>
          </w:p>
        </w:tc>
        <w:tc>
          <w:tcPr>
            <w:tcW w:w="506" w:type="pct"/>
            <w:tcBorders>
              <w:top w:val="nil"/>
              <w:left w:val="nil"/>
              <w:bottom w:val="nil"/>
              <w:right w:val="nil"/>
            </w:tcBorders>
            <w:shd w:val="clear" w:color="auto" w:fill="auto"/>
            <w:vAlign w:val="bottom"/>
          </w:tcPr>
          <w:p w14:paraId="6491BF62" w14:textId="18C8ABF3" w:rsidR="00C81C91" w:rsidRPr="009702B0" w:rsidRDefault="00C81C91" w:rsidP="00C81C91">
            <w:pPr>
              <w:spacing w:after="0" w:line="280" w:lineRule="exact"/>
              <w:jc w:val="right"/>
              <w:rPr>
                <w:rFonts w:cs="Arial"/>
                <w:sz w:val="18"/>
                <w:szCs w:val="18"/>
              </w:rPr>
            </w:pPr>
            <w:r>
              <w:rPr>
                <w:rFonts w:cs="Arial"/>
                <w:sz w:val="18"/>
                <w:szCs w:val="18"/>
              </w:rPr>
              <w:t>770,835</w:t>
            </w:r>
          </w:p>
        </w:tc>
        <w:tc>
          <w:tcPr>
            <w:tcW w:w="506" w:type="pct"/>
            <w:tcBorders>
              <w:top w:val="nil"/>
              <w:left w:val="nil"/>
              <w:bottom w:val="nil"/>
              <w:right w:val="nil"/>
            </w:tcBorders>
            <w:shd w:val="clear" w:color="auto" w:fill="auto"/>
            <w:vAlign w:val="bottom"/>
          </w:tcPr>
          <w:p w14:paraId="46680D42" w14:textId="12ABD8E7" w:rsidR="00C81C91" w:rsidRPr="009702B0" w:rsidRDefault="00C81C91" w:rsidP="00C81C91">
            <w:pPr>
              <w:spacing w:after="0" w:line="280" w:lineRule="exact"/>
              <w:jc w:val="right"/>
              <w:rPr>
                <w:rFonts w:cs="Arial"/>
                <w:sz w:val="18"/>
                <w:szCs w:val="18"/>
              </w:rPr>
            </w:pPr>
            <w:r>
              <w:rPr>
                <w:rFonts w:cs="Arial"/>
                <w:sz w:val="18"/>
                <w:szCs w:val="18"/>
              </w:rPr>
              <w:t>1,665,456</w:t>
            </w:r>
          </w:p>
        </w:tc>
        <w:tc>
          <w:tcPr>
            <w:tcW w:w="557" w:type="pct"/>
            <w:tcBorders>
              <w:top w:val="nil"/>
              <w:left w:val="nil"/>
              <w:bottom w:val="nil"/>
              <w:right w:val="nil"/>
            </w:tcBorders>
            <w:shd w:val="clear" w:color="auto" w:fill="auto"/>
            <w:vAlign w:val="bottom"/>
          </w:tcPr>
          <w:p w14:paraId="20D18415" w14:textId="067F96BC" w:rsidR="00C81C91" w:rsidRPr="009702B0" w:rsidRDefault="00C81C91" w:rsidP="00C81C91">
            <w:pPr>
              <w:spacing w:after="0" w:line="280" w:lineRule="exact"/>
              <w:jc w:val="right"/>
              <w:rPr>
                <w:rFonts w:cs="Arial"/>
                <w:sz w:val="18"/>
                <w:szCs w:val="18"/>
              </w:rPr>
            </w:pPr>
            <w:r>
              <w:rPr>
                <w:rFonts w:cs="Arial"/>
                <w:sz w:val="18"/>
                <w:szCs w:val="18"/>
              </w:rPr>
              <w:t>6,618,197</w:t>
            </w:r>
          </w:p>
        </w:tc>
        <w:tc>
          <w:tcPr>
            <w:tcW w:w="557" w:type="pct"/>
            <w:tcBorders>
              <w:top w:val="nil"/>
              <w:left w:val="nil"/>
              <w:bottom w:val="nil"/>
              <w:right w:val="nil"/>
            </w:tcBorders>
            <w:shd w:val="clear" w:color="auto" w:fill="auto"/>
            <w:vAlign w:val="bottom"/>
          </w:tcPr>
          <w:p w14:paraId="20C4CAB6" w14:textId="67C65022" w:rsidR="00C81C91" w:rsidRPr="009702B0" w:rsidRDefault="00C81C91" w:rsidP="00C81C91">
            <w:pPr>
              <w:spacing w:after="0" w:line="280" w:lineRule="exact"/>
              <w:jc w:val="right"/>
              <w:rPr>
                <w:rFonts w:cs="Arial"/>
                <w:sz w:val="18"/>
                <w:szCs w:val="18"/>
              </w:rPr>
            </w:pPr>
            <w:r>
              <w:rPr>
                <w:rFonts w:cs="Arial"/>
                <w:sz w:val="18"/>
                <w:szCs w:val="18"/>
              </w:rPr>
              <w:t>63,249</w:t>
            </w:r>
          </w:p>
        </w:tc>
        <w:tc>
          <w:tcPr>
            <w:tcW w:w="557" w:type="pct"/>
            <w:tcBorders>
              <w:top w:val="nil"/>
              <w:left w:val="nil"/>
              <w:bottom w:val="nil"/>
              <w:right w:val="nil"/>
            </w:tcBorders>
            <w:shd w:val="clear" w:color="auto" w:fill="auto"/>
            <w:vAlign w:val="bottom"/>
          </w:tcPr>
          <w:p w14:paraId="38A15A9F" w14:textId="3DFD1E24" w:rsidR="00C81C91" w:rsidRPr="009702B0" w:rsidRDefault="00C81C91" w:rsidP="00C81C91">
            <w:pPr>
              <w:spacing w:after="0" w:line="280" w:lineRule="exact"/>
              <w:jc w:val="right"/>
              <w:rPr>
                <w:rFonts w:cs="Arial"/>
                <w:bCs/>
                <w:sz w:val="18"/>
                <w:szCs w:val="18"/>
              </w:rPr>
            </w:pPr>
            <w:r>
              <w:rPr>
                <w:rFonts w:cs="Arial"/>
                <w:sz w:val="18"/>
                <w:szCs w:val="18"/>
              </w:rPr>
              <w:t>11,913,212</w:t>
            </w:r>
          </w:p>
        </w:tc>
      </w:tr>
      <w:tr w:rsidR="00C81C91" w:rsidRPr="009702B0" w14:paraId="68270C39" w14:textId="77777777" w:rsidTr="009702B0">
        <w:tc>
          <w:tcPr>
            <w:tcW w:w="1303" w:type="pct"/>
            <w:vAlign w:val="bottom"/>
          </w:tcPr>
          <w:p w14:paraId="21F94EA4" w14:textId="77777777" w:rsidR="00C81C91" w:rsidRPr="009702B0" w:rsidRDefault="00C81C91" w:rsidP="00C81C91">
            <w:pPr>
              <w:tabs>
                <w:tab w:val="left" w:pos="-720"/>
              </w:tabs>
              <w:suppressAutoHyphens/>
              <w:spacing w:after="0" w:line="280" w:lineRule="exact"/>
              <w:ind w:right="-5"/>
              <w:rPr>
                <w:rFonts w:cs="Arial"/>
                <w:sz w:val="18"/>
                <w:szCs w:val="18"/>
              </w:rPr>
            </w:pPr>
            <w:r w:rsidRPr="009702B0">
              <w:rPr>
                <w:rFonts w:cs="Arial"/>
                <w:sz w:val="18"/>
                <w:szCs w:val="18"/>
              </w:rPr>
              <w:t xml:space="preserve">Assets available for sale </w:t>
            </w:r>
          </w:p>
        </w:tc>
        <w:tc>
          <w:tcPr>
            <w:tcW w:w="506" w:type="pct"/>
            <w:tcBorders>
              <w:top w:val="nil"/>
              <w:left w:val="nil"/>
              <w:bottom w:val="nil"/>
              <w:right w:val="nil"/>
            </w:tcBorders>
            <w:shd w:val="clear" w:color="auto" w:fill="auto"/>
            <w:vAlign w:val="bottom"/>
          </w:tcPr>
          <w:p w14:paraId="744AB2EE" w14:textId="79807478" w:rsidR="00C81C91" w:rsidRPr="009702B0" w:rsidRDefault="00C81C91" w:rsidP="00C81C91">
            <w:pPr>
              <w:spacing w:after="0" w:line="280" w:lineRule="exact"/>
              <w:jc w:val="right"/>
              <w:rPr>
                <w:rFonts w:cs="Arial"/>
                <w:sz w:val="18"/>
                <w:szCs w:val="18"/>
              </w:rPr>
            </w:pPr>
            <w:r>
              <w:rPr>
                <w:rFonts w:cs="Arial"/>
                <w:sz w:val="18"/>
                <w:szCs w:val="18"/>
              </w:rPr>
              <w:t>2,402,858</w:t>
            </w:r>
          </w:p>
        </w:tc>
        <w:tc>
          <w:tcPr>
            <w:tcW w:w="507" w:type="pct"/>
            <w:tcBorders>
              <w:top w:val="nil"/>
              <w:left w:val="nil"/>
              <w:bottom w:val="nil"/>
              <w:right w:val="nil"/>
            </w:tcBorders>
            <w:shd w:val="clear" w:color="auto" w:fill="auto"/>
            <w:vAlign w:val="bottom"/>
          </w:tcPr>
          <w:p w14:paraId="70BF4DFE" w14:textId="500108A4" w:rsidR="00C81C91" w:rsidRPr="009702B0" w:rsidRDefault="00C81C91" w:rsidP="00C81C91">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14:paraId="761FFB16" w14:textId="52B56EE4" w:rsidR="00C81C91" w:rsidRPr="009702B0" w:rsidRDefault="00C81C91" w:rsidP="00C81C91">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14:paraId="43F077E6" w14:textId="156C0F93" w:rsidR="00C81C91" w:rsidRPr="009702B0" w:rsidRDefault="00C81C91" w:rsidP="00C81C91">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14:paraId="7B348499" w14:textId="6D9E3FB5" w:rsidR="00C81C91" w:rsidRPr="009702B0" w:rsidRDefault="00C81C91" w:rsidP="00C81C91">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14:paraId="28CFDDD1" w14:textId="6AFF03A1" w:rsidR="00C81C91" w:rsidRPr="009702B0" w:rsidRDefault="00C81C91" w:rsidP="00C81C91">
            <w:pPr>
              <w:spacing w:after="0" w:line="280" w:lineRule="exact"/>
              <w:jc w:val="right"/>
              <w:rPr>
                <w:rFonts w:cs="Arial"/>
                <w:sz w:val="18"/>
                <w:szCs w:val="18"/>
              </w:rPr>
            </w:pPr>
            <w:r>
              <w:rPr>
                <w:rFonts w:cs="Arial"/>
                <w:sz w:val="18"/>
                <w:szCs w:val="18"/>
              </w:rPr>
              <w:t>861,662</w:t>
            </w:r>
          </w:p>
        </w:tc>
        <w:tc>
          <w:tcPr>
            <w:tcW w:w="557" w:type="pct"/>
            <w:tcBorders>
              <w:top w:val="nil"/>
              <w:left w:val="nil"/>
              <w:bottom w:val="nil"/>
              <w:right w:val="nil"/>
            </w:tcBorders>
            <w:shd w:val="clear" w:color="auto" w:fill="auto"/>
            <w:vAlign w:val="bottom"/>
          </w:tcPr>
          <w:p w14:paraId="497D54B2" w14:textId="543B2183" w:rsidR="00C81C91" w:rsidRPr="009702B0" w:rsidRDefault="00C81C91" w:rsidP="00C81C91">
            <w:pPr>
              <w:spacing w:after="0" w:line="280" w:lineRule="exact"/>
              <w:jc w:val="right"/>
              <w:rPr>
                <w:rFonts w:cs="Arial"/>
                <w:bCs/>
                <w:sz w:val="18"/>
                <w:szCs w:val="18"/>
              </w:rPr>
            </w:pPr>
            <w:r>
              <w:rPr>
                <w:rFonts w:cs="Arial"/>
                <w:sz w:val="18"/>
                <w:szCs w:val="18"/>
              </w:rPr>
              <w:t>3,264,520</w:t>
            </w:r>
          </w:p>
        </w:tc>
      </w:tr>
      <w:tr w:rsidR="00C81C91" w:rsidRPr="009702B0" w14:paraId="7D756C98" w14:textId="77777777" w:rsidTr="009702B0">
        <w:tc>
          <w:tcPr>
            <w:tcW w:w="1303" w:type="pct"/>
            <w:vAlign w:val="bottom"/>
          </w:tcPr>
          <w:p w14:paraId="3D0CE590" w14:textId="77777777" w:rsidR="00C81C91" w:rsidRPr="009702B0" w:rsidRDefault="00C81C91" w:rsidP="00C81C91">
            <w:pPr>
              <w:tabs>
                <w:tab w:val="left" w:pos="-720"/>
              </w:tabs>
              <w:suppressAutoHyphens/>
              <w:spacing w:after="0" w:line="280" w:lineRule="exact"/>
              <w:ind w:right="-5"/>
              <w:rPr>
                <w:rFonts w:cs="Arial"/>
                <w:sz w:val="18"/>
                <w:szCs w:val="18"/>
              </w:rPr>
            </w:pPr>
            <w:r w:rsidRPr="009702B0">
              <w:rPr>
                <w:rFonts w:cs="Arial"/>
                <w:sz w:val="18"/>
                <w:szCs w:val="18"/>
              </w:rPr>
              <w:t>Investments in subsidiaries</w:t>
            </w:r>
          </w:p>
        </w:tc>
        <w:tc>
          <w:tcPr>
            <w:tcW w:w="506" w:type="pct"/>
            <w:tcBorders>
              <w:top w:val="nil"/>
              <w:left w:val="nil"/>
              <w:bottom w:val="nil"/>
              <w:right w:val="nil"/>
            </w:tcBorders>
            <w:shd w:val="clear" w:color="auto" w:fill="auto"/>
            <w:vAlign w:val="bottom"/>
          </w:tcPr>
          <w:p w14:paraId="32CF8CA5" w14:textId="7B817953" w:rsidR="00C81C91" w:rsidRPr="009702B0" w:rsidRDefault="00C81C91" w:rsidP="00C81C91">
            <w:pPr>
              <w:spacing w:after="0" w:line="280" w:lineRule="exact"/>
              <w:jc w:val="right"/>
              <w:rPr>
                <w:rFonts w:cs="Arial"/>
                <w:sz w:val="18"/>
                <w:szCs w:val="18"/>
              </w:rPr>
            </w:pPr>
            <w:r>
              <w:rPr>
                <w:rFonts w:cs="Arial"/>
                <w:sz w:val="18"/>
                <w:szCs w:val="18"/>
              </w:rPr>
              <w:t>-</w:t>
            </w:r>
          </w:p>
        </w:tc>
        <w:tc>
          <w:tcPr>
            <w:tcW w:w="507" w:type="pct"/>
            <w:tcBorders>
              <w:top w:val="nil"/>
              <w:left w:val="nil"/>
              <w:bottom w:val="nil"/>
              <w:right w:val="nil"/>
            </w:tcBorders>
            <w:shd w:val="clear" w:color="auto" w:fill="auto"/>
            <w:vAlign w:val="bottom"/>
          </w:tcPr>
          <w:p w14:paraId="5F536CC8" w14:textId="31186415" w:rsidR="00C81C91" w:rsidRPr="009702B0" w:rsidRDefault="00C81C91" w:rsidP="00C81C91">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14:paraId="1E812281" w14:textId="0FC44815" w:rsidR="00C81C91" w:rsidRPr="009702B0" w:rsidRDefault="00C81C91" w:rsidP="00C81C91">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14:paraId="5B156D47" w14:textId="780E07EC" w:rsidR="00C81C91" w:rsidRPr="009702B0" w:rsidRDefault="00C81C91" w:rsidP="00C81C91">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14:paraId="600E2265" w14:textId="4D52CEB6" w:rsidR="00C81C91" w:rsidRPr="009702B0" w:rsidRDefault="00C81C91" w:rsidP="00C81C91">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14:paraId="194A6239" w14:textId="7CD0FE32" w:rsidR="00C81C91" w:rsidRPr="009702B0" w:rsidRDefault="00C81C91" w:rsidP="00C81C91">
            <w:pPr>
              <w:spacing w:after="0" w:line="280" w:lineRule="exact"/>
              <w:jc w:val="right"/>
              <w:rPr>
                <w:rFonts w:cs="Arial"/>
                <w:sz w:val="18"/>
                <w:szCs w:val="18"/>
              </w:rPr>
            </w:pPr>
            <w:r>
              <w:rPr>
                <w:rFonts w:cs="Arial"/>
                <w:sz w:val="18"/>
                <w:szCs w:val="18"/>
              </w:rPr>
              <w:t>36,124</w:t>
            </w:r>
          </w:p>
        </w:tc>
        <w:tc>
          <w:tcPr>
            <w:tcW w:w="557" w:type="pct"/>
            <w:tcBorders>
              <w:top w:val="nil"/>
              <w:left w:val="nil"/>
              <w:bottom w:val="nil"/>
              <w:right w:val="nil"/>
            </w:tcBorders>
            <w:shd w:val="clear" w:color="auto" w:fill="auto"/>
            <w:vAlign w:val="bottom"/>
          </w:tcPr>
          <w:p w14:paraId="55A6DCE7" w14:textId="78B4BB72" w:rsidR="00C81C91" w:rsidRPr="009702B0" w:rsidRDefault="00C81C91" w:rsidP="00C81C91">
            <w:pPr>
              <w:spacing w:after="0" w:line="280" w:lineRule="exact"/>
              <w:jc w:val="right"/>
              <w:rPr>
                <w:rFonts w:cs="Arial"/>
                <w:bCs/>
                <w:sz w:val="18"/>
                <w:szCs w:val="18"/>
              </w:rPr>
            </w:pPr>
            <w:r>
              <w:rPr>
                <w:rFonts w:cs="Arial"/>
                <w:sz w:val="18"/>
                <w:szCs w:val="18"/>
              </w:rPr>
              <w:t>36,124</w:t>
            </w:r>
          </w:p>
        </w:tc>
      </w:tr>
      <w:tr w:rsidR="00C81C91" w:rsidRPr="009702B0" w14:paraId="77D73A3D" w14:textId="77777777" w:rsidTr="00166751">
        <w:tc>
          <w:tcPr>
            <w:tcW w:w="1303" w:type="pct"/>
            <w:vAlign w:val="bottom"/>
          </w:tcPr>
          <w:p w14:paraId="1CD40BE4" w14:textId="77777777" w:rsidR="00C81C91" w:rsidRPr="009702B0" w:rsidRDefault="00C81C91" w:rsidP="00C81C91">
            <w:pPr>
              <w:tabs>
                <w:tab w:val="left" w:pos="-720"/>
              </w:tabs>
              <w:suppressAutoHyphens/>
              <w:spacing w:after="0" w:line="280" w:lineRule="exact"/>
              <w:ind w:right="-5"/>
              <w:rPr>
                <w:rFonts w:cs="Arial"/>
                <w:sz w:val="18"/>
                <w:szCs w:val="18"/>
              </w:rPr>
            </w:pPr>
            <w:r w:rsidRPr="009702B0">
              <w:rPr>
                <w:rFonts w:cs="Arial"/>
                <w:sz w:val="18"/>
                <w:szCs w:val="18"/>
              </w:rPr>
              <w:t>Investments in associates</w:t>
            </w:r>
          </w:p>
        </w:tc>
        <w:tc>
          <w:tcPr>
            <w:tcW w:w="506" w:type="pct"/>
            <w:tcBorders>
              <w:top w:val="nil"/>
              <w:left w:val="nil"/>
              <w:bottom w:val="nil"/>
              <w:right w:val="nil"/>
            </w:tcBorders>
            <w:shd w:val="clear" w:color="auto" w:fill="auto"/>
            <w:vAlign w:val="bottom"/>
          </w:tcPr>
          <w:p w14:paraId="0DD8E94C" w14:textId="48880B36" w:rsidR="00C81C91" w:rsidRPr="009702B0" w:rsidRDefault="00C81C91" w:rsidP="00C81C91">
            <w:pPr>
              <w:spacing w:after="0" w:line="280" w:lineRule="exact"/>
              <w:jc w:val="right"/>
              <w:rPr>
                <w:rFonts w:cs="Arial"/>
                <w:sz w:val="18"/>
                <w:szCs w:val="18"/>
              </w:rPr>
            </w:pPr>
            <w:r>
              <w:rPr>
                <w:rFonts w:cs="Arial"/>
                <w:sz w:val="18"/>
                <w:szCs w:val="18"/>
              </w:rPr>
              <w:t>-</w:t>
            </w:r>
          </w:p>
        </w:tc>
        <w:tc>
          <w:tcPr>
            <w:tcW w:w="507" w:type="pct"/>
            <w:tcBorders>
              <w:top w:val="nil"/>
              <w:left w:val="nil"/>
              <w:bottom w:val="nil"/>
              <w:right w:val="nil"/>
            </w:tcBorders>
            <w:shd w:val="clear" w:color="auto" w:fill="auto"/>
            <w:vAlign w:val="bottom"/>
          </w:tcPr>
          <w:p w14:paraId="557AB651" w14:textId="2622E7C4" w:rsidR="00C81C91" w:rsidRPr="009702B0" w:rsidRDefault="00C81C91" w:rsidP="00C81C91">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14:paraId="5FB1139F" w14:textId="2422192E" w:rsidR="00C81C91" w:rsidRPr="009702B0" w:rsidRDefault="00C81C91" w:rsidP="00C81C91">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14:paraId="274A9E91" w14:textId="4B2CBE6B" w:rsidR="00C81C91" w:rsidRPr="009702B0" w:rsidRDefault="00C81C91" w:rsidP="00C81C91">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14:paraId="74B1F86A" w14:textId="0E91FE5E" w:rsidR="00C81C91" w:rsidRPr="009702B0" w:rsidRDefault="00C81C91" w:rsidP="00C81C91">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14:paraId="6A93EF3E" w14:textId="11D81A6B" w:rsidR="00C81C91" w:rsidRPr="009702B0" w:rsidRDefault="00C81C91" w:rsidP="00C81C91">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14:paraId="484E1DBA" w14:textId="2A7A2C2D" w:rsidR="00C81C91" w:rsidRPr="009702B0" w:rsidRDefault="00C81C91" w:rsidP="00C81C91">
            <w:pPr>
              <w:spacing w:after="0" w:line="280" w:lineRule="exact"/>
              <w:jc w:val="right"/>
              <w:rPr>
                <w:rFonts w:cs="Arial"/>
                <w:bCs/>
                <w:sz w:val="18"/>
                <w:szCs w:val="18"/>
              </w:rPr>
            </w:pPr>
            <w:r>
              <w:rPr>
                <w:rFonts w:cs="Arial"/>
                <w:sz w:val="18"/>
                <w:szCs w:val="18"/>
              </w:rPr>
              <w:t>-</w:t>
            </w:r>
          </w:p>
        </w:tc>
      </w:tr>
      <w:tr w:rsidR="00C81C91" w:rsidRPr="009702B0" w14:paraId="1264B720" w14:textId="77777777" w:rsidTr="009702B0">
        <w:tc>
          <w:tcPr>
            <w:tcW w:w="1303" w:type="pct"/>
            <w:vAlign w:val="bottom"/>
          </w:tcPr>
          <w:p w14:paraId="16E235EA" w14:textId="77777777" w:rsidR="00C81C91" w:rsidRPr="009702B0" w:rsidRDefault="00C81C91" w:rsidP="00C81C91">
            <w:pPr>
              <w:tabs>
                <w:tab w:val="left" w:pos="-720"/>
              </w:tabs>
              <w:suppressAutoHyphens/>
              <w:spacing w:after="0" w:line="280" w:lineRule="exact"/>
              <w:ind w:right="-5"/>
              <w:rPr>
                <w:rFonts w:cs="Arial"/>
                <w:sz w:val="18"/>
                <w:szCs w:val="18"/>
              </w:rPr>
            </w:pPr>
            <w:r w:rsidRPr="009702B0">
              <w:rPr>
                <w:rFonts w:cs="Arial"/>
                <w:sz w:val="18"/>
                <w:szCs w:val="18"/>
              </w:rPr>
              <w:t xml:space="preserve">Property, plant and equipment and intangible assets </w:t>
            </w:r>
          </w:p>
        </w:tc>
        <w:tc>
          <w:tcPr>
            <w:tcW w:w="506" w:type="pct"/>
            <w:tcBorders>
              <w:top w:val="nil"/>
              <w:left w:val="nil"/>
              <w:bottom w:val="nil"/>
              <w:right w:val="nil"/>
            </w:tcBorders>
            <w:shd w:val="clear" w:color="auto" w:fill="auto"/>
            <w:vAlign w:val="bottom"/>
          </w:tcPr>
          <w:p w14:paraId="7F3B204E" w14:textId="2BFD81C2" w:rsidR="00C81C91" w:rsidRPr="009702B0" w:rsidRDefault="00C81C91" w:rsidP="00C81C91">
            <w:pPr>
              <w:spacing w:after="0" w:line="280" w:lineRule="exact"/>
              <w:jc w:val="right"/>
              <w:rPr>
                <w:rFonts w:cs="Arial"/>
                <w:sz w:val="18"/>
                <w:szCs w:val="18"/>
              </w:rPr>
            </w:pPr>
            <w:r>
              <w:rPr>
                <w:rFonts w:cs="Arial"/>
                <w:sz w:val="18"/>
                <w:szCs w:val="18"/>
              </w:rPr>
              <w:t>-</w:t>
            </w:r>
          </w:p>
        </w:tc>
        <w:tc>
          <w:tcPr>
            <w:tcW w:w="507" w:type="pct"/>
            <w:tcBorders>
              <w:top w:val="nil"/>
              <w:left w:val="nil"/>
              <w:bottom w:val="nil"/>
              <w:right w:val="nil"/>
            </w:tcBorders>
            <w:shd w:val="clear" w:color="auto" w:fill="auto"/>
            <w:vAlign w:val="bottom"/>
          </w:tcPr>
          <w:p w14:paraId="1A53496C" w14:textId="3767A6ED" w:rsidR="00C81C91" w:rsidRPr="009702B0" w:rsidRDefault="00C81C91" w:rsidP="00C81C91">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14:paraId="08347C18" w14:textId="1E7B9576" w:rsidR="00C81C91" w:rsidRPr="009702B0" w:rsidRDefault="00C81C91" w:rsidP="00C81C91">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14:paraId="60895F9C" w14:textId="06218EA9" w:rsidR="00C81C91" w:rsidRPr="009702B0" w:rsidRDefault="00C81C91" w:rsidP="00C81C91">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14:paraId="1125DB09" w14:textId="506AA51D" w:rsidR="00C81C91" w:rsidRPr="009702B0" w:rsidRDefault="00C81C91" w:rsidP="00C81C91">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14:paraId="7450A94E" w14:textId="264D1A76" w:rsidR="00C81C91" w:rsidRPr="009702B0" w:rsidRDefault="00C81C91" w:rsidP="00C81C91">
            <w:pPr>
              <w:spacing w:after="0" w:line="280" w:lineRule="exact"/>
              <w:jc w:val="right"/>
              <w:rPr>
                <w:rFonts w:cs="Arial"/>
                <w:sz w:val="18"/>
                <w:szCs w:val="18"/>
              </w:rPr>
            </w:pPr>
            <w:r>
              <w:rPr>
                <w:rFonts w:cs="Arial"/>
                <w:sz w:val="18"/>
                <w:szCs w:val="18"/>
              </w:rPr>
              <w:t>54,022</w:t>
            </w:r>
          </w:p>
        </w:tc>
        <w:tc>
          <w:tcPr>
            <w:tcW w:w="557" w:type="pct"/>
            <w:tcBorders>
              <w:top w:val="nil"/>
              <w:left w:val="nil"/>
              <w:bottom w:val="nil"/>
              <w:right w:val="nil"/>
            </w:tcBorders>
            <w:shd w:val="clear" w:color="auto" w:fill="auto"/>
            <w:vAlign w:val="bottom"/>
          </w:tcPr>
          <w:p w14:paraId="557C08A6" w14:textId="76FCDAEF" w:rsidR="00C81C91" w:rsidRPr="009702B0" w:rsidRDefault="00C81C91" w:rsidP="00C81C91">
            <w:pPr>
              <w:spacing w:after="0" w:line="280" w:lineRule="exact"/>
              <w:jc w:val="right"/>
              <w:rPr>
                <w:rFonts w:cs="Arial"/>
                <w:bCs/>
                <w:sz w:val="18"/>
                <w:szCs w:val="18"/>
              </w:rPr>
            </w:pPr>
            <w:r>
              <w:rPr>
                <w:rFonts w:cs="Arial"/>
                <w:sz w:val="18"/>
                <w:szCs w:val="18"/>
              </w:rPr>
              <w:t>54,022</w:t>
            </w:r>
          </w:p>
        </w:tc>
      </w:tr>
      <w:tr w:rsidR="00C81C91" w:rsidRPr="009702B0" w14:paraId="72461DDB" w14:textId="77777777" w:rsidTr="009702B0">
        <w:tc>
          <w:tcPr>
            <w:tcW w:w="1303" w:type="pct"/>
            <w:vAlign w:val="bottom"/>
          </w:tcPr>
          <w:p w14:paraId="3CD212E7" w14:textId="77777777" w:rsidR="00C81C91" w:rsidRPr="009702B0" w:rsidRDefault="00C81C91" w:rsidP="00C81C91">
            <w:pPr>
              <w:tabs>
                <w:tab w:val="left" w:pos="-720"/>
              </w:tabs>
              <w:suppressAutoHyphens/>
              <w:spacing w:after="0" w:line="280" w:lineRule="exact"/>
              <w:ind w:right="-5"/>
              <w:rPr>
                <w:rFonts w:cs="Arial"/>
                <w:sz w:val="18"/>
                <w:szCs w:val="18"/>
              </w:rPr>
            </w:pPr>
            <w:r w:rsidRPr="009702B0">
              <w:rPr>
                <w:rFonts w:cs="Arial"/>
                <w:sz w:val="18"/>
                <w:szCs w:val="18"/>
              </w:rPr>
              <w:t xml:space="preserve">Non-current assets held for sale </w:t>
            </w:r>
          </w:p>
        </w:tc>
        <w:tc>
          <w:tcPr>
            <w:tcW w:w="506" w:type="pct"/>
            <w:tcBorders>
              <w:top w:val="nil"/>
              <w:left w:val="nil"/>
              <w:bottom w:val="nil"/>
              <w:right w:val="nil"/>
            </w:tcBorders>
            <w:shd w:val="clear" w:color="auto" w:fill="auto"/>
            <w:vAlign w:val="bottom"/>
          </w:tcPr>
          <w:p w14:paraId="622BFE4F" w14:textId="5D67FA42" w:rsidR="00C81C91" w:rsidRPr="009702B0" w:rsidRDefault="00C81C91" w:rsidP="00C81C91">
            <w:pPr>
              <w:spacing w:after="0" w:line="280" w:lineRule="exact"/>
              <w:jc w:val="right"/>
              <w:rPr>
                <w:rFonts w:cs="Arial"/>
                <w:sz w:val="18"/>
                <w:szCs w:val="18"/>
              </w:rPr>
            </w:pPr>
            <w:r>
              <w:rPr>
                <w:rFonts w:cs="Arial"/>
                <w:sz w:val="18"/>
                <w:szCs w:val="18"/>
              </w:rPr>
              <w:t>-</w:t>
            </w:r>
          </w:p>
        </w:tc>
        <w:tc>
          <w:tcPr>
            <w:tcW w:w="507" w:type="pct"/>
            <w:tcBorders>
              <w:top w:val="nil"/>
              <w:left w:val="nil"/>
              <w:bottom w:val="nil"/>
              <w:right w:val="nil"/>
            </w:tcBorders>
            <w:shd w:val="clear" w:color="auto" w:fill="auto"/>
            <w:vAlign w:val="bottom"/>
          </w:tcPr>
          <w:p w14:paraId="4CC80719" w14:textId="78F8A47E" w:rsidR="00C81C91" w:rsidRPr="009702B0" w:rsidRDefault="00C81C91" w:rsidP="00C81C91">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14:paraId="30C5213A" w14:textId="75CB72E7" w:rsidR="00C81C91" w:rsidRPr="009702B0" w:rsidRDefault="00C81C91" w:rsidP="00C81C91">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14:paraId="15986B11" w14:textId="1903EEF2" w:rsidR="00C81C91" w:rsidRPr="009702B0" w:rsidRDefault="00C81C91" w:rsidP="00C81C91">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14:paraId="1350191C" w14:textId="46F28A76" w:rsidR="00C81C91" w:rsidRPr="009702B0" w:rsidRDefault="00C81C91" w:rsidP="00C81C91">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14:paraId="02E007EA" w14:textId="61B6B4D2" w:rsidR="00C81C91" w:rsidRPr="009702B0" w:rsidRDefault="00C81C91" w:rsidP="00C81C91">
            <w:pPr>
              <w:spacing w:after="0" w:line="280" w:lineRule="exact"/>
              <w:jc w:val="right"/>
              <w:rPr>
                <w:rFonts w:cs="Arial"/>
                <w:sz w:val="18"/>
                <w:szCs w:val="18"/>
              </w:rPr>
            </w:pPr>
            <w:r>
              <w:rPr>
                <w:rFonts w:cs="Arial"/>
                <w:sz w:val="18"/>
                <w:szCs w:val="18"/>
              </w:rPr>
              <w:t>17,045</w:t>
            </w:r>
          </w:p>
        </w:tc>
        <w:tc>
          <w:tcPr>
            <w:tcW w:w="557" w:type="pct"/>
            <w:tcBorders>
              <w:top w:val="nil"/>
              <w:left w:val="nil"/>
              <w:bottom w:val="nil"/>
              <w:right w:val="nil"/>
            </w:tcBorders>
            <w:shd w:val="clear" w:color="auto" w:fill="auto"/>
            <w:vAlign w:val="bottom"/>
          </w:tcPr>
          <w:p w14:paraId="679C4D15" w14:textId="3943C1F8" w:rsidR="00C81C91" w:rsidRPr="009702B0" w:rsidRDefault="00C81C91" w:rsidP="00C81C91">
            <w:pPr>
              <w:spacing w:after="0" w:line="280" w:lineRule="exact"/>
              <w:jc w:val="right"/>
              <w:rPr>
                <w:rFonts w:cs="Arial"/>
                <w:bCs/>
                <w:sz w:val="18"/>
                <w:szCs w:val="18"/>
              </w:rPr>
            </w:pPr>
            <w:r>
              <w:rPr>
                <w:rFonts w:cs="Arial"/>
                <w:sz w:val="18"/>
                <w:szCs w:val="18"/>
              </w:rPr>
              <w:t>17,045</w:t>
            </w:r>
          </w:p>
        </w:tc>
      </w:tr>
      <w:tr w:rsidR="00C81C91" w:rsidRPr="009702B0" w14:paraId="50157653" w14:textId="77777777" w:rsidTr="009702B0">
        <w:tc>
          <w:tcPr>
            <w:tcW w:w="1303" w:type="pct"/>
            <w:vAlign w:val="bottom"/>
          </w:tcPr>
          <w:p w14:paraId="06F45BBD" w14:textId="77777777" w:rsidR="00C81C91" w:rsidRPr="009702B0" w:rsidRDefault="00C81C91" w:rsidP="00C81C91">
            <w:pPr>
              <w:tabs>
                <w:tab w:val="left" w:pos="-720"/>
              </w:tabs>
              <w:suppressAutoHyphens/>
              <w:spacing w:after="0" w:line="280" w:lineRule="exact"/>
              <w:ind w:right="-5"/>
              <w:rPr>
                <w:rFonts w:cs="Arial"/>
                <w:sz w:val="18"/>
                <w:szCs w:val="18"/>
              </w:rPr>
            </w:pPr>
            <w:r w:rsidRPr="009702B0">
              <w:rPr>
                <w:rFonts w:cs="Arial"/>
                <w:sz w:val="18"/>
                <w:szCs w:val="18"/>
              </w:rPr>
              <w:t xml:space="preserve">Other assets </w:t>
            </w:r>
          </w:p>
        </w:tc>
        <w:tc>
          <w:tcPr>
            <w:tcW w:w="506" w:type="pct"/>
            <w:tcBorders>
              <w:top w:val="nil"/>
              <w:left w:val="nil"/>
              <w:bottom w:val="nil"/>
              <w:right w:val="nil"/>
            </w:tcBorders>
            <w:shd w:val="clear" w:color="auto" w:fill="auto"/>
            <w:vAlign w:val="bottom"/>
          </w:tcPr>
          <w:p w14:paraId="67701AD4" w14:textId="77750D39" w:rsidR="00C81C91" w:rsidRPr="009702B0" w:rsidRDefault="00C81C91" w:rsidP="00C81C91">
            <w:pPr>
              <w:spacing w:after="0" w:line="280" w:lineRule="exact"/>
              <w:jc w:val="right"/>
              <w:rPr>
                <w:rFonts w:cs="Arial"/>
                <w:sz w:val="18"/>
                <w:szCs w:val="18"/>
              </w:rPr>
            </w:pPr>
            <w:r>
              <w:rPr>
                <w:rFonts w:cs="Arial"/>
                <w:sz w:val="18"/>
                <w:szCs w:val="18"/>
              </w:rPr>
              <w:t>-</w:t>
            </w:r>
          </w:p>
        </w:tc>
        <w:tc>
          <w:tcPr>
            <w:tcW w:w="507" w:type="pct"/>
            <w:tcBorders>
              <w:top w:val="nil"/>
              <w:left w:val="nil"/>
              <w:bottom w:val="nil"/>
              <w:right w:val="nil"/>
            </w:tcBorders>
            <w:shd w:val="clear" w:color="auto" w:fill="auto"/>
            <w:vAlign w:val="bottom"/>
          </w:tcPr>
          <w:p w14:paraId="52C2278F" w14:textId="60894482" w:rsidR="00C81C91" w:rsidRPr="009702B0" w:rsidRDefault="00C81C91" w:rsidP="00C81C91">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14:paraId="7D746C0B" w14:textId="0D16125C" w:rsidR="00C81C91" w:rsidRPr="009702B0" w:rsidRDefault="00C81C91" w:rsidP="00C81C91">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14:paraId="7661CCB1" w14:textId="22CB12D0" w:rsidR="00C81C91" w:rsidRPr="009702B0" w:rsidRDefault="00C81C91" w:rsidP="00C81C91">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14:paraId="20F69551" w14:textId="639D82A9" w:rsidR="00C81C91" w:rsidRPr="009702B0" w:rsidRDefault="00C81C91" w:rsidP="00C81C91">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14:paraId="2ECB175F" w14:textId="2CAA8A14" w:rsidR="00C81C91" w:rsidRPr="009702B0" w:rsidRDefault="00C81C91" w:rsidP="00C81C91">
            <w:pPr>
              <w:spacing w:after="0" w:line="280" w:lineRule="exact"/>
              <w:jc w:val="right"/>
              <w:rPr>
                <w:rFonts w:cs="Arial"/>
                <w:sz w:val="18"/>
                <w:szCs w:val="18"/>
              </w:rPr>
            </w:pPr>
            <w:r>
              <w:rPr>
                <w:rFonts w:cs="Arial"/>
                <w:sz w:val="18"/>
                <w:szCs w:val="18"/>
              </w:rPr>
              <w:t>11,678</w:t>
            </w:r>
          </w:p>
        </w:tc>
        <w:tc>
          <w:tcPr>
            <w:tcW w:w="557" w:type="pct"/>
            <w:tcBorders>
              <w:top w:val="nil"/>
              <w:left w:val="nil"/>
              <w:bottom w:val="nil"/>
              <w:right w:val="nil"/>
            </w:tcBorders>
            <w:shd w:val="clear" w:color="auto" w:fill="auto"/>
            <w:vAlign w:val="bottom"/>
          </w:tcPr>
          <w:p w14:paraId="404C7446" w14:textId="257FDE56" w:rsidR="00C81C91" w:rsidRPr="009702B0" w:rsidRDefault="00C81C91" w:rsidP="00C81C91">
            <w:pPr>
              <w:spacing w:after="0" w:line="280" w:lineRule="exact"/>
              <w:jc w:val="right"/>
              <w:rPr>
                <w:rFonts w:cs="Arial"/>
                <w:bCs/>
                <w:sz w:val="18"/>
                <w:szCs w:val="18"/>
              </w:rPr>
            </w:pPr>
            <w:r>
              <w:rPr>
                <w:rFonts w:cs="Arial"/>
                <w:sz w:val="18"/>
                <w:szCs w:val="18"/>
              </w:rPr>
              <w:t>11,678</w:t>
            </w:r>
          </w:p>
        </w:tc>
      </w:tr>
      <w:tr w:rsidR="00ED50BE" w:rsidRPr="009702B0" w14:paraId="6D845619" w14:textId="77777777" w:rsidTr="005444AA">
        <w:trPr>
          <w:trHeight w:val="69"/>
        </w:trPr>
        <w:tc>
          <w:tcPr>
            <w:tcW w:w="1303" w:type="pct"/>
            <w:vAlign w:val="bottom"/>
          </w:tcPr>
          <w:p w14:paraId="62692046" w14:textId="77777777" w:rsidR="00ED50BE" w:rsidRPr="009702B0" w:rsidRDefault="00ED50BE" w:rsidP="00ED50BE">
            <w:pPr>
              <w:tabs>
                <w:tab w:val="right" w:pos="1202"/>
              </w:tabs>
              <w:spacing w:after="0" w:line="320" w:lineRule="exact"/>
              <w:outlineLvl w:val="0"/>
              <w:rPr>
                <w:rFonts w:eastAsia="Times New Roman" w:cs="Arial"/>
                <w:b/>
                <w:bCs/>
                <w:sz w:val="18"/>
                <w:szCs w:val="18"/>
              </w:rPr>
            </w:pPr>
            <w:r w:rsidRPr="009702B0">
              <w:rPr>
                <w:rFonts w:eastAsia="Times New Roman" w:cs="Arial"/>
                <w:b/>
                <w:bCs/>
                <w:sz w:val="18"/>
                <w:szCs w:val="18"/>
              </w:rPr>
              <w:t>Total assets (1)</w:t>
            </w:r>
          </w:p>
        </w:tc>
        <w:tc>
          <w:tcPr>
            <w:tcW w:w="506" w:type="pct"/>
            <w:tcBorders>
              <w:top w:val="single" w:sz="4" w:space="0" w:color="auto"/>
              <w:left w:val="nil"/>
              <w:bottom w:val="single" w:sz="8" w:space="0" w:color="auto"/>
              <w:right w:val="nil"/>
            </w:tcBorders>
            <w:shd w:val="clear" w:color="auto" w:fill="auto"/>
            <w:vAlign w:val="bottom"/>
          </w:tcPr>
          <w:p w14:paraId="7607FA43" w14:textId="7F34E4ED" w:rsidR="00ED50BE" w:rsidRPr="009702B0" w:rsidRDefault="00ED50BE" w:rsidP="00ED50BE">
            <w:pPr>
              <w:spacing w:after="0" w:line="320" w:lineRule="exact"/>
              <w:jc w:val="right"/>
              <w:rPr>
                <w:rFonts w:cs="Arial"/>
                <w:b/>
                <w:bCs/>
                <w:sz w:val="18"/>
                <w:szCs w:val="18"/>
              </w:rPr>
            </w:pPr>
            <w:r>
              <w:rPr>
                <w:rFonts w:asciiTheme="minorHAnsi" w:hAnsiTheme="minorHAnsi" w:cs="Arial"/>
                <w:b/>
                <w:bCs/>
                <w:sz w:val="18"/>
                <w:szCs w:val="18"/>
                <w:lang w:val="hr-HR"/>
              </w:rPr>
              <w:t>5,544,896</w:t>
            </w:r>
          </w:p>
        </w:tc>
        <w:tc>
          <w:tcPr>
            <w:tcW w:w="507" w:type="pct"/>
            <w:tcBorders>
              <w:top w:val="single" w:sz="4" w:space="0" w:color="auto"/>
              <w:left w:val="nil"/>
              <w:bottom w:val="single" w:sz="8" w:space="0" w:color="auto"/>
              <w:right w:val="nil"/>
            </w:tcBorders>
            <w:shd w:val="clear" w:color="auto" w:fill="auto"/>
            <w:vAlign w:val="bottom"/>
          </w:tcPr>
          <w:p w14:paraId="2B18DE91" w14:textId="54CAB7C1" w:rsidR="00ED50BE" w:rsidRPr="009702B0" w:rsidRDefault="00ED50BE" w:rsidP="00ED50BE">
            <w:pPr>
              <w:spacing w:after="0" w:line="320" w:lineRule="exact"/>
              <w:jc w:val="right"/>
              <w:rPr>
                <w:rFonts w:cs="Arial"/>
                <w:b/>
                <w:bCs/>
                <w:sz w:val="18"/>
                <w:szCs w:val="18"/>
              </w:rPr>
            </w:pPr>
            <w:r>
              <w:rPr>
                <w:rFonts w:asciiTheme="minorHAnsi" w:hAnsiTheme="minorHAnsi" w:cs="Arial"/>
                <w:b/>
                <w:bCs/>
                <w:sz w:val="18"/>
                <w:szCs w:val="18"/>
                <w:lang w:val="hr-HR"/>
              </w:rPr>
              <w:t>2,004,928</w:t>
            </w:r>
          </w:p>
        </w:tc>
        <w:tc>
          <w:tcPr>
            <w:tcW w:w="506" w:type="pct"/>
            <w:tcBorders>
              <w:top w:val="single" w:sz="4" w:space="0" w:color="auto"/>
              <w:left w:val="nil"/>
              <w:bottom w:val="single" w:sz="8" w:space="0" w:color="auto"/>
              <w:right w:val="nil"/>
            </w:tcBorders>
            <w:shd w:val="clear" w:color="auto" w:fill="auto"/>
            <w:vAlign w:val="center"/>
          </w:tcPr>
          <w:p w14:paraId="741F2ED3" w14:textId="0BEB4E14" w:rsidR="00ED50BE" w:rsidRPr="009702B0" w:rsidRDefault="00ED50BE" w:rsidP="00ED50BE">
            <w:pPr>
              <w:spacing w:after="0" w:line="320" w:lineRule="exact"/>
              <w:jc w:val="right"/>
              <w:rPr>
                <w:rFonts w:cs="Arial"/>
                <w:b/>
                <w:bCs/>
                <w:sz w:val="18"/>
                <w:szCs w:val="18"/>
              </w:rPr>
            </w:pPr>
            <w:r>
              <w:rPr>
                <w:rFonts w:asciiTheme="minorHAnsi" w:hAnsiTheme="minorHAnsi" w:cs="Arial"/>
                <w:b/>
                <w:bCs/>
                <w:sz w:val="18"/>
                <w:szCs w:val="18"/>
                <w:lang w:val="hr-HR"/>
              </w:rPr>
              <w:t>2,211,121</w:t>
            </w:r>
          </w:p>
        </w:tc>
        <w:tc>
          <w:tcPr>
            <w:tcW w:w="506" w:type="pct"/>
            <w:tcBorders>
              <w:top w:val="single" w:sz="4" w:space="0" w:color="auto"/>
              <w:left w:val="nil"/>
              <w:bottom w:val="single" w:sz="8" w:space="0" w:color="auto"/>
              <w:right w:val="nil"/>
            </w:tcBorders>
            <w:shd w:val="clear" w:color="auto" w:fill="auto"/>
            <w:vAlign w:val="center"/>
          </w:tcPr>
          <w:p w14:paraId="6B543FCC" w14:textId="031FDF17" w:rsidR="00ED50BE" w:rsidRPr="009702B0" w:rsidRDefault="00ED50BE" w:rsidP="00ED50BE">
            <w:pPr>
              <w:spacing w:after="0" w:line="320" w:lineRule="exact"/>
              <w:jc w:val="right"/>
              <w:rPr>
                <w:rFonts w:cs="Arial"/>
                <w:b/>
                <w:bCs/>
                <w:sz w:val="18"/>
                <w:szCs w:val="18"/>
              </w:rPr>
            </w:pPr>
            <w:r>
              <w:rPr>
                <w:rFonts w:asciiTheme="minorHAnsi" w:hAnsiTheme="minorHAnsi" w:cs="Arial"/>
                <w:b/>
                <w:bCs/>
                <w:sz w:val="18"/>
                <w:szCs w:val="18"/>
                <w:lang w:val="hr-HR"/>
              </w:rPr>
              <w:t>4,465,590</w:t>
            </w:r>
          </w:p>
        </w:tc>
        <w:tc>
          <w:tcPr>
            <w:tcW w:w="557" w:type="pct"/>
            <w:tcBorders>
              <w:top w:val="single" w:sz="4" w:space="0" w:color="auto"/>
              <w:left w:val="nil"/>
              <w:bottom w:val="single" w:sz="8" w:space="0" w:color="auto"/>
              <w:right w:val="nil"/>
            </w:tcBorders>
            <w:shd w:val="clear" w:color="auto" w:fill="auto"/>
            <w:vAlign w:val="center"/>
          </w:tcPr>
          <w:p w14:paraId="1A206BB9" w14:textId="3E9B9D10" w:rsidR="00ED50BE" w:rsidRPr="009702B0" w:rsidRDefault="00ED50BE" w:rsidP="00ED50BE">
            <w:pPr>
              <w:spacing w:after="0" w:line="320" w:lineRule="exact"/>
              <w:jc w:val="right"/>
              <w:rPr>
                <w:rFonts w:cs="Arial"/>
                <w:b/>
                <w:bCs/>
                <w:sz w:val="18"/>
                <w:szCs w:val="18"/>
              </w:rPr>
            </w:pPr>
            <w:r>
              <w:rPr>
                <w:rFonts w:asciiTheme="minorHAnsi" w:hAnsiTheme="minorHAnsi" w:cs="Arial"/>
                <w:b/>
                <w:bCs/>
                <w:sz w:val="18"/>
                <w:szCs w:val="18"/>
                <w:lang w:val="hr-HR"/>
              </w:rPr>
              <w:t>12,243,110</w:t>
            </w:r>
          </w:p>
        </w:tc>
        <w:tc>
          <w:tcPr>
            <w:tcW w:w="557" w:type="pct"/>
            <w:tcBorders>
              <w:top w:val="single" w:sz="4" w:space="0" w:color="auto"/>
              <w:left w:val="nil"/>
              <w:bottom w:val="single" w:sz="8" w:space="0" w:color="auto"/>
              <w:right w:val="nil"/>
            </w:tcBorders>
            <w:shd w:val="clear" w:color="auto" w:fill="auto"/>
            <w:vAlign w:val="bottom"/>
          </w:tcPr>
          <w:p w14:paraId="68D1605C" w14:textId="0301F522" w:rsidR="00ED50BE" w:rsidRPr="009702B0" w:rsidRDefault="00ED50BE" w:rsidP="00ED50BE">
            <w:pPr>
              <w:spacing w:after="0" w:line="320" w:lineRule="exact"/>
              <w:jc w:val="right"/>
              <w:rPr>
                <w:rFonts w:cs="Arial"/>
                <w:b/>
                <w:bCs/>
                <w:sz w:val="18"/>
                <w:szCs w:val="18"/>
              </w:rPr>
            </w:pPr>
            <w:r>
              <w:rPr>
                <w:rFonts w:asciiTheme="minorHAnsi" w:hAnsiTheme="minorHAnsi" w:cs="Arial"/>
                <w:b/>
                <w:bCs/>
                <w:sz w:val="18"/>
                <w:szCs w:val="18"/>
                <w:lang w:val="hr-HR"/>
              </w:rPr>
              <w:t>1,811,950</w:t>
            </w:r>
          </w:p>
        </w:tc>
        <w:tc>
          <w:tcPr>
            <w:tcW w:w="557" w:type="pct"/>
            <w:tcBorders>
              <w:top w:val="single" w:sz="4" w:space="0" w:color="auto"/>
              <w:left w:val="nil"/>
              <w:bottom w:val="single" w:sz="8" w:space="0" w:color="auto"/>
              <w:right w:val="nil"/>
            </w:tcBorders>
            <w:shd w:val="clear" w:color="auto" w:fill="auto"/>
            <w:vAlign w:val="bottom"/>
          </w:tcPr>
          <w:p w14:paraId="436AA68D" w14:textId="7D25BA2B" w:rsidR="00ED50BE" w:rsidRPr="009702B0" w:rsidRDefault="00ED50BE" w:rsidP="00ED50BE">
            <w:pPr>
              <w:spacing w:after="0" w:line="320" w:lineRule="exact"/>
              <w:jc w:val="right"/>
              <w:rPr>
                <w:rFonts w:cs="Arial"/>
                <w:b/>
                <w:bCs/>
                <w:sz w:val="18"/>
                <w:szCs w:val="18"/>
              </w:rPr>
            </w:pPr>
            <w:r>
              <w:rPr>
                <w:rFonts w:asciiTheme="minorHAnsi" w:hAnsiTheme="minorHAnsi" w:cs="Arial"/>
                <w:b/>
                <w:bCs/>
                <w:sz w:val="18"/>
                <w:szCs w:val="18"/>
                <w:lang w:val="hr-HR"/>
              </w:rPr>
              <w:t>28,281,595</w:t>
            </w:r>
          </w:p>
        </w:tc>
      </w:tr>
      <w:tr w:rsidR="005A63C9" w:rsidRPr="009702B0" w14:paraId="122C7C36" w14:textId="77777777" w:rsidTr="009702B0">
        <w:tc>
          <w:tcPr>
            <w:tcW w:w="1303" w:type="pct"/>
            <w:vAlign w:val="bottom"/>
          </w:tcPr>
          <w:p w14:paraId="08E7E5FC" w14:textId="77777777" w:rsidR="005A63C9" w:rsidRPr="009702B0" w:rsidRDefault="005A63C9" w:rsidP="005A63C9">
            <w:pPr>
              <w:tabs>
                <w:tab w:val="left" w:pos="-720"/>
              </w:tabs>
              <w:suppressAutoHyphens/>
              <w:spacing w:after="0" w:line="280" w:lineRule="exact"/>
              <w:ind w:right="-6"/>
              <w:jc w:val="both"/>
              <w:rPr>
                <w:rFonts w:cs="Arial"/>
                <w:sz w:val="18"/>
                <w:szCs w:val="18"/>
              </w:rPr>
            </w:pPr>
          </w:p>
        </w:tc>
        <w:tc>
          <w:tcPr>
            <w:tcW w:w="506" w:type="pct"/>
            <w:tcBorders>
              <w:top w:val="single" w:sz="12" w:space="0" w:color="auto"/>
            </w:tcBorders>
          </w:tcPr>
          <w:p w14:paraId="436EB369" w14:textId="77777777" w:rsidR="005A63C9" w:rsidRPr="009702B0" w:rsidRDefault="005A63C9" w:rsidP="005A63C9">
            <w:pPr>
              <w:tabs>
                <w:tab w:val="left" w:pos="-720"/>
              </w:tabs>
              <w:suppressAutoHyphens/>
              <w:spacing w:after="0" w:line="280" w:lineRule="exact"/>
              <w:ind w:right="-6"/>
              <w:jc w:val="right"/>
              <w:rPr>
                <w:rFonts w:cs="Arial"/>
                <w:sz w:val="18"/>
                <w:szCs w:val="18"/>
              </w:rPr>
            </w:pPr>
          </w:p>
        </w:tc>
        <w:tc>
          <w:tcPr>
            <w:tcW w:w="507" w:type="pct"/>
            <w:tcBorders>
              <w:top w:val="single" w:sz="12" w:space="0" w:color="auto"/>
            </w:tcBorders>
          </w:tcPr>
          <w:p w14:paraId="08E5AC33" w14:textId="77777777" w:rsidR="005A63C9" w:rsidRPr="009702B0" w:rsidRDefault="005A63C9" w:rsidP="005A63C9">
            <w:pPr>
              <w:tabs>
                <w:tab w:val="left" w:pos="-720"/>
              </w:tabs>
              <w:suppressAutoHyphens/>
              <w:spacing w:after="0" w:line="280" w:lineRule="exact"/>
              <w:ind w:right="-6"/>
              <w:jc w:val="right"/>
              <w:rPr>
                <w:rFonts w:cs="Arial"/>
                <w:sz w:val="18"/>
                <w:szCs w:val="18"/>
              </w:rPr>
            </w:pPr>
          </w:p>
        </w:tc>
        <w:tc>
          <w:tcPr>
            <w:tcW w:w="506" w:type="pct"/>
            <w:tcBorders>
              <w:top w:val="single" w:sz="12" w:space="0" w:color="auto"/>
            </w:tcBorders>
          </w:tcPr>
          <w:p w14:paraId="6E0BC6F7" w14:textId="77777777" w:rsidR="005A63C9" w:rsidRPr="009702B0" w:rsidRDefault="005A63C9" w:rsidP="005A63C9">
            <w:pPr>
              <w:tabs>
                <w:tab w:val="left" w:pos="-720"/>
              </w:tabs>
              <w:suppressAutoHyphens/>
              <w:spacing w:after="0" w:line="280" w:lineRule="exact"/>
              <w:ind w:right="-6"/>
              <w:jc w:val="right"/>
              <w:rPr>
                <w:rFonts w:cs="Arial"/>
                <w:sz w:val="18"/>
                <w:szCs w:val="18"/>
              </w:rPr>
            </w:pPr>
          </w:p>
        </w:tc>
        <w:tc>
          <w:tcPr>
            <w:tcW w:w="506" w:type="pct"/>
            <w:tcBorders>
              <w:top w:val="single" w:sz="12" w:space="0" w:color="auto"/>
            </w:tcBorders>
          </w:tcPr>
          <w:p w14:paraId="54DCD289" w14:textId="77777777" w:rsidR="005A63C9" w:rsidRPr="009702B0" w:rsidRDefault="005A63C9" w:rsidP="005A63C9">
            <w:pPr>
              <w:tabs>
                <w:tab w:val="left" w:pos="-720"/>
              </w:tabs>
              <w:suppressAutoHyphens/>
              <w:spacing w:after="0" w:line="280" w:lineRule="exact"/>
              <w:ind w:right="-6"/>
              <w:jc w:val="right"/>
              <w:rPr>
                <w:rFonts w:cs="Arial"/>
                <w:sz w:val="18"/>
                <w:szCs w:val="18"/>
              </w:rPr>
            </w:pPr>
          </w:p>
        </w:tc>
        <w:tc>
          <w:tcPr>
            <w:tcW w:w="557" w:type="pct"/>
            <w:tcBorders>
              <w:top w:val="single" w:sz="12" w:space="0" w:color="auto"/>
            </w:tcBorders>
          </w:tcPr>
          <w:p w14:paraId="3685C5AF" w14:textId="77777777" w:rsidR="005A63C9" w:rsidRPr="009702B0" w:rsidRDefault="005A63C9" w:rsidP="005A63C9">
            <w:pPr>
              <w:tabs>
                <w:tab w:val="left" w:pos="-720"/>
              </w:tabs>
              <w:suppressAutoHyphens/>
              <w:spacing w:after="0" w:line="280" w:lineRule="exact"/>
              <w:ind w:right="-6"/>
              <w:jc w:val="right"/>
              <w:rPr>
                <w:rFonts w:cs="Arial"/>
                <w:sz w:val="18"/>
                <w:szCs w:val="18"/>
              </w:rPr>
            </w:pPr>
          </w:p>
        </w:tc>
        <w:tc>
          <w:tcPr>
            <w:tcW w:w="557" w:type="pct"/>
            <w:tcBorders>
              <w:top w:val="single" w:sz="12" w:space="0" w:color="auto"/>
            </w:tcBorders>
          </w:tcPr>
          <w:p w14:paraId="44FDA457" w14:textId="77777777" w:rsidR="005A63C9" w:rsidRPr="009702B0" w:rsidRDefault="005A63C9" w:rsidP="005A63C9">
            <w:pPr>
              <w:tabs>
                <w:tab w:val="left" w:pos="-720"/>
              </w:tabs>
              <w:suppressAutoHyphens/>
              <w:spacing w:after="0" w:line="280" w:lineRule="exact"/>
              <w:ind w:right="-6"/>
              <w:jc w:val="right"/>
              <w:rPr>
                <w:rFonts w:cs="Arial"/>
                <w:sz w:val="18"/>
                <w:szCs w:val="18"/>
              </w:rPr>
            </w:pPr>
          </w:p>
        </w:tc>
        <w:tc>
          <w:tcPr>
            <w:tcW w:w="557" w:type="pct"/>
            <w:tcBorders>
              <w:top w:val="single" w:sz="12" w:space="0" w:color="auto"/>
            </w:tcBorders>
          </w:tcPr>
          <w:p w14:paraId="5196684F" w14:textId="77777777" w:rsidR="005A63C9" w:rsidRPr="009702B0" w:rsidRDefault="005A63C9" w:rsidP="005A63C9">
            <w:pPr>
              <w:tabs>
                <w:tab w:val="left" w:pos="-720"/>
              </w:tabs>
              <w:suppressAutoHyphens/>
              <w:spacing w:after="0" w:line="280" w:lineRule="exact"/>
              <w:ind w:right="-6"/>
              <w:jc w:val="right"/>
              <w:rPr>
                <w:rFonts w:cs="Arial"/>
                <w:sz w:val="18"/>
                <w:szCs w:val="18"/>
              </w:rPr>
            </w:pPr>
          </w:p>
        </w:tc>
      </w:tr>
    </w:tbl>
    <w:p w14:paraId="4FA5F178" w14:textId="77777777" w:rsidR="009702B0" w:rsidRPr="009702B0" w:rsidRDefault="009702B0" w:rsidP="009702B0">
      <w:pPr>
        <w:spacing w:after="0" w:line="240" w:lineRule="exact"/>
        <w:jc w:val="both"/>
        <w:rPr>
          <w:rFonts w:eastAsia="Times New Roman" w:cs="Calibri"/>
          <w:b/>
        </w:rPr>
      </w:pPr>
    </w:p>
    <w:p w14:paraId="2C2D57DF" w14:textId="77777777" w:rsidR="009702B0" w:rsidRPr="009702B0" w:rsidRDefault="009702B0" w:rsidP="009702B0">
      <w:pPr>
        <w:spacing w:after="0" w:line="240" w:lineRule="exact"/>
        <w:jc w:val="both"/>
        <w:rPr>
          <w:rFonts w:eastAsia="Times New Roman" w:cs="Calibri"/>
          <w:b/>
        </w:rPr>
      </w:pPr>
    </w:p>
    <w:p w14:paraId="6290C03B" w14:textId="77777777" w:rsidR="009702B0" w:rsidRPr="009702B0" w:rsidRDefault="009702B0" w:rsidP="009702B0">
      <w:pPr>
        <w:spacing w:after="0" w:line="240" w:lineRule="exact"/>
        <w:jc w:val="both"/>
        <w:rPr>
          <w:rFonts w:eastAsia="Times New Roman" w:cs="Calibri"/>
          <w:b/>
        </w:rPr>
      </w:pPr>
    </w:p>
    <w:p w14:paraId="662B7671" w14:textId="77777777" w:rsidR="009702B0" w:rsidRPr="009702B0" w:rsidRDefault="009702B0" w:rsidP="009702B0">
      <w:pPr>
        <w:spacing w:after="0" w:line="240" w:lineRule="exact"/>
        <w:jc w:val="both"/>
        <w:rPr>
          <w:rFonts w:eastAsia="Times New Roman" w:cs="Calibri"/>
          <w:b/>
        </w:rPr>
      </w:pPr>
    </w:p>
    <w:p w14:paraId="2C6BB32E" w14:textId="77777777" w:rsidR="009702B0" w:rsidRPr="009702B0" w:rsidRDefault="009702B0" w:rsidP="009702B0">
      <w:pPr>
        <w:spacing w:after="0" w:line="240" w:lineRule="auto"/>
        <w:jc w:val="both"/>
        <w:rPr>
          <w:rFonts w:eastAsia="Times New Roman" w:cs="Calibri"/>
          <w:b/>
        </w:rPr>
      </w:pPr>
    </w:p>
    <w:p w14:paraId="3AC5B54B" w14:textId="77777777" w:rsidR="009702B0" w:rsidRPr="009702B0" w:rsidRDefault="009702B0" w:rsidP="009702B0">
      <w:pPr>
        <w:spacing w:after="0" w:line="240" w:lineRule="auto"/>
        <w:jc w:val="both"/>
        <w:rPr>
          <w:rFonts w:eastAsia="Times New Roman" w:cs="Calibri"/>
          <w:b/>
        </w:rPr>
        <w:sectPr w:rsidR="009702B0" w:rsidRPr="009702B0" w:rsidSect="00947CB7">
          <w:footerReference w:type="first" r:id="rId109"/>
          <w:pgSz w:w="11906" w:h="16838" w:code="9"/>
          <w:pgMar w:top="1418" w:right="1418" w:bottom="595" w:left="1134" w:header="709" w:footer="709" w:gutter="0"/>
          <w:cols w:space="708"/>
          <w:titlePg/>
          <w:docGrid w:linePitch="360"/>
        </w:sectPr>
      </w:pPr>
    </w:p>
    <w:p w14:paraId="4DC8BFF5" w14:textId="77777777" w:rsidR="009702B0" w:rsidRPr="009702B0" w:rsidRDefault="009702B0" w:rsidP="009702B0">
      <w:pPr>
        <w:keepNext/>
        <w:spacing w:after="0" w:line="240" w:lineRule="auto"/>
        <w:ind w:left="709" w:hanging="709"/>
        <w:jc w:val="both"/>
        <w:rPr>
          <w:rFonts w:eastAsia="Times New Roman" w:cs="Arial"/>
          <w:b/>
          <w:bCs/>
        </w:rPr>
      </w:pPr>
    </w:p>
    <w:p w14:paraId="2978FF4F"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14:paraId="21E7435B" w14:textId="77777777" w:rsidR="009702B0" w:rsidRPr="009702B0" w:rsidRDefault="009702B0" w:rsidP="009702B0">
      <w:pPr>
        <w:keepNext/>
        <w:spacing w:after="0" w:line="240" w:lineRule="auto"/>
        <w:ind w:left="709" w:hanging="709"/>
        <w:jc w:val="both"/>
        <w:rPr>
          <w:rFonts w:eastAsia="Times New Roman" w:cs="Arial"/>
          <w:b/>
          <w:bCs/>
        </w:rPr>
      </w:pPr>
    </w:p>
    <w:p w14:paraId="400FC2BD"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     Market risk (continued)</w:t>
      </w:r>
    </w:p>
    <w:p w14:paraId="37AEADD8" w14:textId="77777777" w:rsidR="009702B0" w:rsidRPr="009702B0" w:rsidRDefault="009702B0" w:rsidP="009702B0">
      <w:pPr>
        <w:keepNext/>
        <w:spacing w:after="0" w:line="240" w:lineRule="auto"/>
        <w:ind w:left="709" w:hanging="709"/>
        <w:jc w:val="both"/>
        <w:rPr>
          <w:rFonts w:eastAsia="Times New Roman" w:cs="Arial"/>
          <w:b/>
          <w:bCs/>
        </w:rPr>
      </w:pPr>
    </w:p>
    <w:p w14:paraId="4350017F"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16.4.1</w:t>
      </w:r>
      <w:proofErr w:type="gramStart"/>
      <w:r w:rsidRPr="009702B0">
        <w:rPr>
          <w:rFonts w:eastAsia="Times New Roman" w:cs="Arial"/>
          <w:b/>
          <w:bCs/>
        </w:rPr>
        <w:t>.  Interest</w:t>
      </w:r>
      <w:proofErr w:type="gramEnd"/>
      <w:r w:rsidRPr="009702B0">
        <w:rPr>
          <w:rFonts w:eastAsia="Times New Roman" w:cs="Arial"/>
          <w:b/>
          <w:bCs/>
        </w:rPr>
        <w:t xml:space="preserve"> rate risk in the Bank’s book (continued)</w:t>
      </w:r>
    </w:p>
    <w:p w14:paraId="6F5650A8" w14:textId="77777777" w:rsidR="009702B0" w:rsidRPr="009702B0" w:rsidRDefault="009702B0" w:rsidP="009702B0">
      <w:pPr>
        <w:tabs>
          <w:tab w:val="left" w:pos="-720"/>
        </w:tabs>
        <w:suppressAutoHyphens/>
        <w:spacing w:after="0" w:line="240" w:lineRule="auto"/>
        <w:rPr>
          <w:rFonts w:cs="Arial"/>
          <w:b/>
          <w:spacing w:val="-3"/>
        </w:rPr>
      </w:pPr>
    </w:p>
    <w:tbl>
      <w:tblPr>
        <w:tblW w:w="5434" w:type="pct"/>
        <w:tblInd w:w="-284" w:type="dxa"/>
        <w:tblLayout w:type="fixed"/>
        <w:tblCellMar>
          <w:left w:w="120" w:type="dxa"/>
          <w:right w:w="120" w:type="dxa"/>
        </w:tblCellMar>
        <w:tblLook w:val="0000" w:firstRow="0" w:lastRow="0" w:firstColumn="0" w:lastColumn="0" w:noHBand="0" w:noVBand="0"/>
      </w:tblPr>
      <w:tblGrid>
        <w:gridCol w:w="2551"/>
        <w:gridCol w:w="1087"/>
        <w:gridCol w:w="1088"/>
        <w:gridCol w:w="1088"/>
        <w:gridCol w:w="1088"/>
        <w:gridCol w:w="1088"/>
        <w:gridCol w:w="1088"/>
        <w:gridCol w:w="1088"/>
      </w:tblGrid>
      <w:tr w:rsidR="009702B0" w:rsidRPr="009702B0" w14:paraId="33424940" w14:textId="77777777" w:rsidTr="00BA3F2A">
        <w:tc>
          <w:tcPr>
            <w:tcW w:w="1255" w:type="pct"/>
            <w:vAlign w:val="center"/>
          </w:tcPr>
          <w:p w14:paraId="5D612FF8" w14:textId="77777777" w:rsidR="009702B0" w:rsidRPr="009702B0" w:rsidRDefault="009702B0" w:rsidP="009702B0">
            <w:pPr>
              <w:tabs>
                <w:tab w:val="right" w:pos="1202"/>
              </w:tabs>
              <w:spacing w:after="0" w:line="280" w:lineRule="exact"/>
              <w:outlineLvl w:val="0"/>
              <w:rPr>
                <w:rFonts w:eastAsia="Times New Roman" w:cs="Arial"/>
                <w:b/>
                <w:sz w:val="18"/>
                <w:szCs w:val="18"/>
              </w:rPr>
            </w:pPr>
            <w:r w:rsidRPr="009702B0">
              <w:rPr>
                <w:rFonts w:eastAsia="Times New Roman" w:cs="Arial"/>
                <w:b/>
                <w:sz w:val="18"/>
                <w:szCs w:val="18"/>
              </w:rPr>
              <w:t>Bank</w:t>
            </w:r>
          </w:p>
          <w:p w14:paraId="747A2F82" w14:textId="2B63F2E5" w:rsidR="009702B0" w:rsidRPr="009702B0" w:rsidRDefault="00687FEE" w:rsidP="009702B0">
            <w:pPr>
              <w:tabs>
                <w:tab w:val="right" w:pos="1202"/>
              </w:tabs>
              <w:spacing w:after="0" w:line="280" w:lineRule="exact"/>
              <w:outlineLvl w:val="0"/>
              <w:rPr>
                <w:rFonts w:eastAsia="Times New Roman" w:cs="Arial"/>
                <w:b/>
                <w:sz w:val="18"/>
                <w:szCs w:val="18"/>
              </w:rPr>
            </w:pPr>
            <w:r>
              <w:rPr>
                <w:rFonts w:eastAsia="Times New Roman" w:cs="Arial"/>
                <w:b/>
                <w:sz w:val="18"/>
                <w:szCs w:val="18"/>
              </w:rPr>
              <w:t xml:space="preserve">Sep </w:t>
            </w:r>
            <w:r w:rsidR="009921EE">
              <w:rPr>
                <w:rFonts w:eastAsia="Times New Roman" w:cs="Arial"/>
                <w:b/>
                <w:sz w:val="18"/>
                <w:szCs w:val="18"/>
              </w:rPr>
              <w:t>30</w:t>
            </w:r>
            <w:r w:rsidR="000A6679" w:rsidRPr="000A6679">
              <w:rPr>
                <w:rFonts w:eastAsia="Times New Roman" w:cs="Arial"/>
                <w:b/>
                <w:sz w:val="18"/>
                <w:szCs w:val="18"/>
              </w:rPr>
              <w:t>, 2017</w:t>
            </w:r>
          </w:p>
        </w:tc>
        <w:tc>
          <w:tcPr>
            <w:tcW w:w="535" w:type="pct"/>
          </w:tcPr>
          <w:p w14:paraId="0E7D7615"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Up to 1 month</w:t>
            </w:r>
          </w:p>
        </w:tc>
        <w:tc>
          <w:tcPr>
            <w:tcW w:w="535" w:type="pct"/>
          </w:tcPr>
          <w:p w14:paraId="7E27ADCF"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1 to 3 months</w:t>
            </w:r>
          </w:p>
        </w:tc>
        <w:tc>
          <w:tcPr>
            <w:tcW w:w="535" w:type="pct"/>
          </w:tcPr>
          <w:p w14:paraId="5343E884"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 xml:space="preserve">3 months to 1 year </w:t>
            </w:r>
          </w:p>
        </w:tc>
        <w:tc>
          <w:tcPr>
            <w:tcW w:w="535" w:type="pct"/>
          </w:tcPr>
          <w:p w14:paraId="6F3BF5C7"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1 to 3 years</w:t>
            </w:r>
          </w:p>
        </w:tc>
        <w:tc>
          <w:tcPr>
            <w:tcW w:w="535" w:type="pct"/>
          </w:tcPr>
          <w:p w14:paraId="6A50CDB9"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Over 3 years</w:t>
            </w:r>
          </w:p>
        </w:tc>
        <w:tc>
          <w:tcPr>
            <w:tcW w:w="535" w:type="pct"/>
          </w:tcPr>
          <w:p w14:paraId="38F12AEB"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Non-interest bearing</w:t>
            </w:r>
          </w:p>
        </w:tc>
        <w:tc>
          <w:tcPr>
            <w:tcW w:w="535" w:type="pct"/>
          </w:tcPr>
          <w:p w14:paraId="170844C0" w14:textId="77777777"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 xml:space="preserve">Total </w:t>
            </w:r>
          </w:p>
        </w:tc>
      </w:tr>
      <w:tr w:rsidR="009702B0" w:rsidRPr="009702B0" w14:paraId="41C8BA05" w14:textId="77777777" w:rsidTr="00BA3F2A">
        <w:tc>
          <w:tcPr>
            <w:tcW w:w="1255" w:type="pct"/>
          </w:tcPr>
          <w:p w14:paraId="1100EB61" w14:textId="77777777" w:rsidR="009702B0" w:rsidRPr="009702B0" w:rsidRDefault="009702B0" w:rsidP="009702B0">
            <w:pPr>
              <w:tabs>
                <w:tab w:val="right" w:pos="1202"/>
              </w:tabs>
              <w:spacing w:after="0" w:line="280" w:lineRule="exact"/>
              <w:outlineLvl w:val="0"/>
              <w:rPr>
                <w:rFonts w:eastAsia="Times New Roman" w:cs="Arial"/>
                <w:b/>
                <w:bCs/>
                <w:sz w:val="18"/>
                <w:szCs w:val="18"/>
              </w:rPr>
            </w:pPr>
            <w:r w:rsidRPr="009702B0">
              <w:rPr>
                <w:rFonts w:eastAsia="Times New Roman" w:cs="Arial"/>
                <w:b/>
                <w:bCs/>
                <w:sz w:val="18"/>
                <w:szCs w:val="18"/>
              </w:rPr>
              <w:t xml:space="preserve">Liabilities </w:t>
            </w:r>
          </w:p>
        </w:tc>
        <w:tc>
          <w:tcPr>
            <w:tcW w:w="535" w:type="pct"/>
            <w:vAlign w:val="bottom"/>
          </w:tcPr>
          <w:p w14:paraId="6B529485" w14:textId="77777777" w:rsidR="009702B0" w:rsidRPr="009702B0" w:rsidRDefault="009702B0" w:rsidP="009702B0">
            <w:pPr>
              <w:tabs>
                <w:tab w:val="right" w:pos="1202"/>
              </w:tabs>
              <w:spacing w:after="0" w:line="280" w:lineRule="exact"/>
              <w:jc w:val="right"/>
              <w:outlineLvl w:val="0"/>
              <w:rPr>
                <w:rFonts w:eastAsia="Times New Roman" w:cs="Arial"/>
                <w:spacing w:val="-2"/>
                <w:sz w:val="18"/>
                <w:szCs w:val="18"/>
              </w:rPr>
            </w:pPr>
          </w:p>
        </w:tc>
        <w:tc>
          <w:tcPr>
            <w:tcW w:w="535" w:type="pct"/>
            <w:vAlign w:val="bottom"/>
          </w:tcPr>
          <w:p w14:paraId="5A189991" w14:textId="77777777" w:rsidR="009702B0" w:rsidRPr="009702B0" w:rsidRDefault="009702B0" w:rsidP="009702B0">
            <w:pPr>
              <w:tabs>
                <w:tab w:val="right" w:pos="1202"/>
              </w:tabs>
              <w:spacing w:after="0" w:line="280" w:lineRule="exact"/>
              <w:jc w:val="right"/>
              <w:outlineLvl w:val="0"/>
              <w:rPr>
                <w:rFonts w:eastAsia="Times New Roman" w:cs="Arial"/>
                <w:spacing w:val="-2"/>
                <w:sz w:val="18"/>
                <w:szCs w:val="18"/>
              </w:rPr>
            </w:pPr>
          </w:p>
        </w:tc>
        <w:tc>
          <w:tcPr>
            <w:tcW w:w="535" w:type="pct"/>
            <w:vAlign w:val="bottom"/>
          </w:tcPr>
          <w:p w14:paraId="7CC83533" w14:textId="77777777" w:rsidR="009702B0" w:rsidRPr="009702B0" w:rsidRDefault="009702B0" w:rsidP="009702B0">
            <w:pPr>
              <w:tabs>
                <w:tab w:val="right" w:pos="1202"/>
              </w:tabs>
              <w:spacing w:after="0" w:line="280" w:lineRule="exact"/>
              <w:jc w:val="right"/>
              <w:outlineLvl w:val="0"/>
              <w:rPr>
                <w:rFonts w:eastAsia="Times New Roman" w:cs="Arial"/>
                <w:spacing w:val="-2"/>
                <w:sz w:val="18"/>
                <w:szCs w:val="18"/>
              </w:rPr>
            </w:pPr>
          </w:p>
        </w:tc>
        <w:tc>
          <w:tcPr>
            <w:tcW w:w="535" w:type="pct"/>
            <w:vAlign w:val="bottom"/>
          </w:tcPr>
          <w:p w14:paraId="27ADEA74" w14:textId="77777777" w:rsidR="009702B0" w:rsidRPr="009702B0" w:rsidRDefault="009702B0" w:rsidP="009702B0">
            <w:pPr>
              <w:tabs>
                <w:tab w:val="right" w:pos="1202"/>
              </w:tabs>
              <w:spacing w:after="0" w:line="280" w:lineRule="exact"/>
              <w:jc w:val="right"/>
              <w:outlineLvl w:val="0"/>
              <w:rPr>
                <w:rFonts w:eastAsia="Times New Roman" w:cs="Arial"/>
                <w:spacing w:val="-2"/>
                <w:sz w:val="18"/>
                <w:szCs w:val="18"/>
              </w:rPr>
            </w:pPr>
          </w:p>
        </w:tc>
        <w:tc>
          <w:tcPr>
            <w:tcW w:w="535" w:type="pct"/>
            <w:vAlign w:val="bottom"/>
          </w:tcPr>
          <w:p w14:paraId="5608209B" w14:textId="77777777" w:rsidR="009702B0" w:rsidRPr="009702B0" w:rsidRDefault="009702B0" w:rsidP="009702B0">
            <w:pPr>
              <w:tabs>
                <w:tab w:val="right" w:pos="1202"/>
              </w:tabs>
              <w:spacing w:after="0" w:line="280" w:lineRule="exact"/>
              <w:jc w:val="right"/>
              <w:outlineLvl w:val="0"/>
              <w:rPr>
                <w:rFonts w:eastAsia="Times New Roman" w:cs="Arial"/>
                <w:spacing w:val="-2"/>
                <w:sz w:val="18"/>
                <w:szCs w:val="18"/>
              </w:rPr>
            </w:pPr>
          </w:p>
        </w:tc>
        <w:tc>
          <w:tcPr>
            <w:tcW w:w="535" w:type="pct"/>
            <w:vAlign w:val="bottom"/>
          </w:tcPr>
          <w:p w14:paraId="10D7CA8E" w14:textId="77777777" w:rsidR="009702B0" w:rsidRPr="009702B0" w:rsidRDefault="009702B0" w:rsidP="009702B0">
            <w:pPr>
              <w:tabs>
                <w:tab w:val="right" w:pos="1202"/>
              </w:tabs>
              <w:spacing w:after="0" w:line="280" w:lineRule="exact"/>
              <w:jc w:val="right"/>
              <w:outlineLvl w:val="0"/>
              <w:rPr>
                <w:rFonts w:eastAsia="Times New Roman" w:cs="Arial"/>
                <w:b/>
                <w:sz w:val="18"/>
                <w:szCs w:val="18"/>
              </w:rPr>
            </w:pPr>
          </w:p>
        </w:tc>
        <w:tc>
          <w:tcPr>
            <w:tcW w:w="535" w:type="pct"/>
            <w:vAlign w:val="bottom"/>
          </w:tcPr>
          <w:p w14:paraId="418260CF" w14:textId="77777777" w:rsidR="009702B0" w:rsidRPr="009702B0" w:rsidRDefault="009702B0" w:rsidP="009702B0">
            <w:pPr>
              <w:tabs>
                <w:tab w:val="right" w:pos="1202"/>
              </w:tabs>
              <w:spacing w:after="0" w:line="280" w:lineRule="exact"/>
              <w:jc w:val="right"/>
              <w:outlineLvl w:val="0"/>
              <w:rPr>
                <w:rFonts w:eastAsia="Times New Roman" w:cs="Arial"/>
                <w:sz w:val="18"/>
                <w:szCs w:val="18"/>
              </w:rPr>
            </w:pPr>
          </w:p>
        </w:tc>
      </w:tr>
      <w:tr w:rsidR="00ED50BE" w:rsidRPr="009702B0" w14:paraId="52F908B5" w14:textId="77777777" w:rsidTr="00BA3F2A">
        <w:tc>
          <w:tcPr>
            <w:tcW w:w="1255" w:type="pct"/>
          </w:tcPr>
          <w:p w14:paraId="4C951CF8" w14:textId="77777777" w:rsidR="00ED50BE" w:rsidRPr="009702B0" w:rsidRDefault="00ED50BE" w:rsidP="00ED50BE">
            <w:pPr>
              <w:tabs>
                <w:tab w:val="right" w:pos="1202"/>
              </w:tabs>
              <w:spacing w:after="0" w:line="280" w:lineRule="exact"/>
              <w:outlineLvl w:val="0"/>
              <w:rPr>
                <w:rFonts w:eastAsia="Times New Roman" w:cs="Arial"/>
                <w:sz w:val="18"/>
                <w:szCs w:val="18"/>
              </w:rPr>
            </w:pPr>
            <w:r w:rsidRPr="009702B0">
              <w:rPr>
                <w:rFonts w:eastAsia="Times New Roman" w:cs="Arial"/>
                <w:spacing w:val="-2"/>
                <w:sz w:val="18"/>
                <w:szCs w:val="18"/>
              </w:rPr>
              <w:t xml:space="preserve">Deposits </w:t>
            </w:r>
          </w:p>
        </w:tc>
        <w:tc>
          <w:tcPr>
            <w:tcW w:w="535" w:type="pct"/>
            <w:tcBorders>
              <w:top w:val="nil"/>
              <w:left w:val="nil"/>
              <w:bottom w:val="nil"/>
              <w:right w:val="nil"/>
            </w:tcBorders>
            <w:shd w:val="clear" w:color="auto" w:fill="auto"/>
            <w:vAlign w:val="bottom"/>
          </w:tcPr>
          <w:p w14:paraId="0F85370E" w14:textId="3469FB8E" w:rsidR="00ED50BE" w:rsidRPr="009702B0" w:rsidRDefault="00ED50BE" w:rsidP="00ED50BE">
            <w:pPr>
              <w:spacing w:after="0" w:line="280" w:lineRule="exact"/>
              <w:jc w:val="right"/>
              <w:rPr>
                <w:rFonts w:cs="Arial"/>
                <w:sz w:val="18"/>
                <w:szCs w:val="18"/>
              </w:rPr>
            </w:pPr>
            <w:r>
              <w:rPr>
                <w:rFonts w:cs="Arial"/>
                <w:sz w:val="18"/>
                <w:szCs w:val="18"/>
              </w:rPr>
              <w:t>644,752</w:t>
            </w:r>
          </w:p>
        </w:tc>
        <w:tc>
          <w:tcPr>
            <w:tcW w:w="535" w:type="pct"/>
            <w:tcBorders>
              <w:top w:val="nil"/>
              <w:left w:val="nil"/>
              <w:bottom w:val="nil"/>
              <w:right w:val="nil"/>
            </w:tcBorders>
            <w:shd w:val="clear" w:color="auto" w:fill="auto"/>
            <w:vAlign w:val="bottom"/>
          </w:tcPr>
          <w:p w14:paraId="049DC937" w14:textId="60E4518C" w:rsidR="00ED50BE" w:rsidRPr="009702B0" w:rsidRDefault="00ED50BE" w:rsidP="00ED50BE">
            <w:pPr>
              <w:spacing w:after="0" w:line="280" w:lineRule="exact"/>
              <w:jc w:val="right"/>
              <w:rPr>
                <w:rFonts w:cs="Arial"/>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343CEE24" w14:textId="32195555" w:rsidR="00ED50BE" w:rsidRPr="009702B0" w:rsidRDefault="00ED50BE" w:rsidP="00ED50BE">
            <w:pPr>
              <w:spacing w:after="0" w:line="280" w:lineRule="exact"/>
              <w:jc w:val="right"/>
              <w:rPr>
                <w:rFonts w:cs="Arial"/>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2088A688" w14:textId="10EB5FD2" w:rsidR="00ED50BE" w:rsidRPr="009702B0" w:rsidRDefault="00ED50BE" w:rsidP="00ED50BE">
            <w:pPr>
              <w:spacing w:after="0" w:line="280" w:lineRule="exact"/>
              <w:jc w:val="right"/>
              <w:rPr>
                <w:rFonts w:cs="Arial"/>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356985E0" w14:textId="30C7A8C6" w:rsidR="00ED50BE" w:rsidRPr="009702B0" w:rsidRDefault="00ED50BE" w:rsidP="00ED50BE">
            <w:pPr>
              <w:spacing w:after="0" w:line="280" w:lineRule="exact"/>
              <w:jc w:val="right"/>
              <w:rPr>
                <w:rFonts w:cs="Arial"/>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2C41AD61" w14:textId="76A27138" w:rsidR="00ED50BE" w:rsidRPr="009702B0" w:rsidRDefault="00ED50BE" w:rsidP="00ED50BE">
            <w:pPr>
              <w:spacing w:after="0" w:line="280" w:lineRule="exact"/>
              <w:jc w:val="right"/>
              <w:rPr>
                <w:rFonts w:cs="Arial"/>
                <w:sz w:val="18"/>
                <w:szCs w:val="18"/>
              </w:rPr>
            </w:pPr>
            <w:r>
              <w:rPr>
                <w:rFonts w:cs="Arial"/>
                <w:sz w:val="18"/>
                <w:szCs w:val="18"/>
              </w:rPr>
              <w:t>296,032</w:t>
            </w:r>
          </w:p>
        </w:tc>
        <w:tc>
          <w:tcPr>
            <w:tcW w:w="535" w:type="pct"/>
            <w:tcBorders>
              <w:top w:val="nil"/>
              <w:left w:val="nil"/>
              <w:bottom w:val="nil"/>
              <w:right w:val="nil"/>
            </w:tcBorders>
            <w:shd w:val="clear" w:color="auto" w:fill="auto"/>
            <w:vAlign w:val="bottom"/>
          </w:tcPr>
          <w:p w14:paraId="6EA53542" w14:textId="52EA6B10" w:rsidR="00ED50BE" w:rsidRPr="009702B0" w:rsidRDefault="00ED50BE" w:rsidP="00ED50BE">
            <w:pPr>
              <w:spacing w:after="0" w:line="280" w:lineRule="exact"/>
              <w:jc w:val="right"/>
              <w:rPr>
                <w:rFonts w:cs="Arial"/>
                <w:bCs/>
                <w:sz w:val="18"/>
                <w:szCs w:val="18"/>
              </w:rPr>
            </w:pPr>
            <w:r>
              <w:rPr>
                <w:rFonts w:cs="Arial"/>
                <w:sz w:val="18"/>
                <w:szCs w:val="18"/>
              </w:rPr>
              <w:t>940,784</w:t>
            </w:r>
          </w:p>
        </w:tc>
      </w:tr>
      <w:tr w:rsidR="00ED50BE" w:rsidRPr="009702B0" w14:paraId="376C2D48" w14:textId="77777777" w:rsidTr="00BA3F2A">
        <w:tc>
          <w:tcPr>
            <w:tcW w:w="1255" w:type="pct"/>
          </w:tcPr>
          <w:p w14:paraId="36CFD89A" w14:textId="77777777" w:rsidR="00ED50BE" w:rsidRPr="009702B0" w:rsidRDefault="00ED50BE" w:rsidP="00ED50BE">
            <w:pPr>
              <w:tabs>
                <w:tab w:val="right" w:pos="1202"/>
              </w:tabs>
              <w:spacing w:after="0" w:line="280" w:lineRule="exact"/>
              <w:outlineLvl w:val="0"/>
              <w:rPr>
                <w:rFonts w:eastAsia="Times New Roman" w:cs="Arial"/>
                <w:sz w:val="18"/>
                <w:szCs w:val="18"/>
              </w:rPr>
            </w:pPr>
            <w:r w:rsidRPr="009702B0">
              <w:rPr>
                <w:rFonts w:eastAsia="Times New Roman" w:cs="Arial"/>
                <w:spacing w:val="-2"/>
                <w:sz w:val="18"/>
                <w:szCs w:val="18"/>
              </w:rPr>
              <w:t xml:space="preserve">Borrowings </w:t>
            </w:r>
          </w:p>
        </w:tc>
        <w:tc>
          <w:tcPr>
            <w:tcW w:w="535" w:type="pct"/>
            <w:tcBorders>
              <w:top w:val="nil"/>
              <w:left w:val="nil"/>
              <w:bottom w:val="nil"/>
              <w:right w:val="nil"/>
            </w:tcBorders>
            <w:shd w:val="clear" w:color="auto" w:fill="auto"/>
            <w:vAlign w:val="bottom"/>
          </w:tcPr>
          <w:p w14:paraId="5EB56568" w14:textId="409780C5" w:rsidR="00ED50BE" w:rsidRPr="009702B0" w:rsidRDefault="00ED50BE" w:rsidP="00ED50BE">
            <w:pPr>
              <w:spacing w:after="0" w:line="280" w:lineRule="exact"/>
              <w:jc w:val="right"/>
              <w:rPr>
                <w:rFonts w:cs="Arial"/>
                <w:sz w:val="18"/>
                <w:szCs w:val="18"/>
              </w:rPr>
            </w:pPr>
            <w:r>
              <w:rPr>
                <w:rFonts w:cs="Arial"/>
                <w:sz w:val="18"/>
                <w:szCs w:val="18"/>
              </w:rPr>
              <w:t>74,500</w:t>
            </w:r>
          </w:p>
        </w:tc>
        <w:tc>
          <w:tcPr>
            <w:tcW w:w="535" w:type="pct"/>
            <w:tcBorders>
              <w:top w:val="nil"/>
              <w:left w:val="nil"/>
              <w:bottom w:val="nil"/>
              <w:right w:val="nil"/>
            </w:tcBorders>
            <w:shd w:val="clear" w:color="auto" w:fill="auto"/>
            <w:vAlign w:val="bottom"/>
          </w:tcPr>
          <w:p w14:paraId="70004256" w14:textId="12CADE19" w:rsidR="00ED50BE" w:rsidRPr="009702B0" w:rsidRDefault="00ED50BE" w:rsidP="00ED50BE">
            <w:pPr>
              <w:spacing w:after="0" w:line="280" w:lineRule="exact"/>
              <w:jc w:val="right"/>
              <w:rPr>
                <w:rFonts w:cs="Arial"/>
                <w:sz w:val="18"/>
                <w:szCs w:val="18"/>
              </w:rPr>
            </w:pPr>
            <w:r>
              <w:rPr>
                <w:rFonts w:cs="Arial"/>
                <w:sz w:val="18"/>
                <w:szCs w:val="18"/>
              </w:rPr>
              <w:t>455,796</w:t>
            </w:r>
          </w:p>
        </w:tc>
        <w:tc>
          <w:tcPr>
            <w:tcW w:w="535" w:type="pct"/>
            <w:tcBorders>
              <w:top w:val="nil"/>
              <w:left w:val="nil"/>
              <w:bottom w:val="nil"/>
              <w:right w:val="nil"/>
            </w:tcBorders>
            <w:shd w:val="clear" w:color="auto" w:fill="auto"/>
            <w:vAlign w:val="bottom"/>
          </w:tcPr>
          <w:p w14:paraId="54FDCB3C" w14:textId="7DFF0F14" w:rsidR="00ED50BE" w:rsidRPr="009702B0" w:rsidRDefault="00ED50BE" w:rsidP="00ED50BE">
            <w:pPr>
              <w:spacing w:after="0" w:line="280" w:lineRule="exact"/>
              <w:jc w:val="right"/>
              <w:rPr>
                <w:rFonts w:cs="Arial"/>
                <w:sz w:val="18"/>
                <w:szCs w:val="18"/>
              </w:rPr>
            </w:pPr>
            <w:r>
              <w:rPr>
                <w:rFonts w:cs="Arial"/>
                <w:sz w:val="18"/>
                <w:szCs w:val="18"/>
              </w:rPr>
              <w:t>1,175,171</w:t>
            </w:r>
          </w:p>
        </w:tc>
        <w:tc>
          <w:tcPr>
            <w:tcW w:w="535" w:type="pct"/>
            <w:tcBorders>
              <w:top w:val="nil"/>
              <w:left w:val="nil"/>
              <w:bottom w:val="nil"/>
              <w:right w:val="nil"/>
            </w:tcBorders>
            <w:shd w:val="clear" w:color="auto" w:fill="auto"/>
            <w:vAlign w:val="bottom"/>
          </w:tcPr>
          <w:p w14:paraId="276AAF84" w14:textId="0D08BF74" w:rsidR="00ED50BE" w:rsidRPr="009702B0" w:rsidRDefault="00ED50BE" w:rsidP="00ED50BE">
            <w:pPr>
              <w:spacing w:after="0" w:line="280" w:lineRule="exact"/>
              <w:jc w:val="right"/>
              <w:rPr>
                <w:rFonts w:cs="Arial"/>
                <w:sz w:val="18"/>
                <w:szCs w:val="18"/>
              </w:rPr>
            </w:pPr>
            <w:r>
              <w:rPr>
                <w:rFonts w:cs="Arial"/>
                <w:sz w:val="18"/>
                <w:szCs w:val="18"/>
              </w:rPr>
              <w:t>3,683,546</w:t>
            </w:r>
          </w:p>
        </w:tc>
        <w:tc>
          <w:tcPr>
            <w:tcW w:w="535" w:type="pct"/>
            <w:tcBorders>
              <w:top w:val="nil"/>
              <w:left w:val="nil"/>
              <w:bottom w:val="nil"/>
              <w:right w:val="nil"/>
            </w:tcBorders>
            <w:shd w:val="clear" w:color="auto" w:fill="auto"/>
            <w:vAlign w:val="bottom"/>
          </w:tcPr>
          <w:p w14:paraId="42DC11F3" w14:textId="1FC57AED" w:rsidR="00ED50BE" w:rsidRPr="009702B0" w:rsidRDefault="00ED50BE" w:rsidP="00ED50BE">
            <w:pPr>
              <w:spacing w:after="0" w:line="280" w:lineRule="exact"/>
              <w:jc w:val="right"/>
              <w:rPr>
                <w:rFonts w:cs="Arial"/>
                <w:sz w:val="18"/>
                <w:szCs w:val="18"/>
              </w:rPr>
            </w:pPr>
            <w:r>
              <w:rPr>
                <w:rFonts w:cs="Arial"/>
                <w:sz w:val="18"/>
                <w:szCs w:val="18"/>
              </w:rPr>
              <w:t>9,874,189</w:t>
            </w:r>
          </w:p>
        </w:tc>
        <w:tc>
          <w:tcPr>
            <w:tcW w:w="535" w:type="pct"/>
            <w:tcBorders>
              <w:top w:val="nil"/>
              <w:left w:val="nil"/>
              <w:bottom w:val="nil"/>
              <w:right w:val="nil"/>
            </w:tcBorders>
            <w:shd w:val="clear" w:color="auto" w:fill="auto"/>
            <w:vAlign w:val="bottom"/>
          </w:tcPr>
          <w:p w14:paraId="0FA97D8F" w14:textId="76099988" w:rsidR="00ED50BE" w:rsidRPr="009702B0" w:rsidRDefault="00ED50BE" w:rsidP="00ED50BE">
            <w:pPr>
              <w:spacing w:after="0" w:line="280" w:lineRule="exact"/>
              <w:jc w:val="right"/>
              <w:rPr>
                <w:rFonts w:cs="Arial"/>
                <w:sz w:val="18"/>
                <w:szCs w:val="18"/>
              </w:rPr>
            </w:pPr>
            <w:r>
              <w:rPr>
                <w:rFonts w:cs="Arial"/>
                <w:sz w:val="18"/>
                <w:szCs w:val="18"/>
              </w:rPr>
              <w:t>72,632</w:t>
            </w:r>
          </w:p>
        </w:tc>
        <w:tc>
          <w:tcPr>
            <w:tcW w:w="535" w:type="pct"/>
            <w:tcBorders>
              <w:top w:val="nil"/>
              <w:left w:val="nil"/>
              <w:bottom w:val="nil"/>
              <w:right w:val="nil"/>
            </w:tcBorders>
            <w:shd w:val="clear" w:color="auto" w:fill="auto"/>
            <w:vAlign w:val="bottom"/>
          </w:tcPr>
          <w:p w14:paraId="74428819" w14:textId="6953E287" w:rsidR="00ED50BE" w:rsidRPr="009702B0" w:rsidRDefault="00ED50BE" w:rsidP="00ED50BE">
            <w:pPr>
              <w:spacing w:after="0" w:line="280" w:lineRule="exact"/>
              <w:jc w:val="right"/>
              <w:rPr>
                <w:rFonts w:cs="Arial"/>
                <w:bCs/>
                <w:sz w:val="18"/>
                <w:szCs w:val="18"/>
              </w:rPr>
            </w:pPr>
            <w:r>
              <w:rPr>
                <w:rFonts w:cs="Arial"/>
                <w:sz w:val="18"/>
                <w:szCs w:val="18"/>
              </w:rPr>
              <w:t>15,335,834</w:t>
            </w:r>
          </w:p>
        </w:tc>
      </w:tr>
      <w:tr w:rsidR="00ED50BE" w:rsidRPr="009702B0" w14:paraId="06BD7AF0" w14:textId="77777777" w:rsidTr="00BA3F2A">
        <w:tc>
          <w:tcPr>
            <w:tcW w:w="1255" w:type="pct"/>
          </w:tcPr>
          <w:p w14:paraId="4C11E2EB" w14:textId="77777777" w:rsidR="00ED50BE" w:rsidRPr="009702B0" w:rsidRDefault="00ED50BE" w:rsidP="00ED50BE">
            <w:pPr>
              <w:tabs>
                <w:tab w:val="right" w:pos="1202"/>
              </w:tabs>
              <w:spacing w:after="0" w:line="280" w:lineRule="exact"/>
              <w:outlineLvl w:val="0"/>
              <w:rPr>
                <w:rFonts w:eastAsia="Times New Roman" w:cs="Arial"/>
                <w:sz w:val="18"/>
                <w:szCs w:val="18"/>
              </w:rPr>
            </w:pPr>
            <w:r w:rsidRPr="009702B0">
              <w:rPr>
                <w:rFonts w:eastAsia="Times New Roman" w:cs="Arial"/>
                <w:spacing w:val="-2"/>
                <w:sz w:val="18"/>
                <w:szCs w:val="18"/>
              </w:rPr>
              <w:t>Bonds payable</w:t>
            </w:r>
          </w:p>
        </w:tc>
        <w:tc>
          <w:tcPr>
            <w:tcW w:w="535" w:type="pct"/>
            <w:tcBorders>
              <w:top w:val="nil"/>
              <w:left w:val="nil"/>
              <w:bottom w:val="nil"/>
              <w:right w:val="nil"/>
            </w:tcBorders>
            <w:shd w:val="clear" w:color="auto" w:fill="auto"/>
            <w:vAlign w:val="bottom"/>
          </w:tcPr>
          <w:p w14:paraId="653B4150" w14:textId="52263314" w:rsidR="00ED50BE" w:rsidRPr="009702B0" w:rsidRDefault="00ED50BE" w:rsidP="00ED50BE">
            <w:pPr>
              <w:spacing w:after="0" w:line="280" w:lineRule="exact"/>
              <w:jc w:val="right"/>
              <w:rPr>
                <w:rFonts w:cs="Arial"/>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2D458224" w14:textId="1E825E89" w:rsidR="00ED50BE" w:rsidRPr="009702B0" w:rsidRDefault="00ED50BE" w:rsidP="00ED50BE">
            <w:pPr>
              <w:spacing w:after="0" w:line="280" w:lineRule="exact"/>
              <w:jc w:val="right"/>
              <w:rPr>
                <w:rFonts w:cs="Arial"/>
                <w:sz w:val="18"/>
                <w:szCs w:val="18"/>
              </w:rPr>
            </w:pPr>
            <w:r w:rsidRPr="00016AD1">
              <w:rPr>
                <w:rFonts w:cs="Arial"/>
                <w:sz w:val="18"/>
                <w:szCs w:val="18"/>
              </w:rPr>
              <w:t>-</w:t>
            </w:r>
          </w:p>
        </w:tc>
        <w:tc>
          <w:tcPr>
            <w:tcW w:w="535" w:type="pct"/>
            <w:tcBorders>
              <w:top w:val="nil"/>
              <w:left w:val="nil"/>
              <w:bottom w:val="nil"/>
              <w:right w:val="nil"/>
            </w:tcBorders>
            <w:shd w:val="clear" w:color="auto" w:fill="auto"/>
            <w:vAlign w:val="bottom"/>
          </w:tcPr>
          <w:p w14:paraId="5E9E5E04" w14:textId="0A716033" w:rsidR="00ED50BE" w:rsidRPr="009702B0" w:rsidRDefault="00ED50BE" w:rsidP="00ED50BE">
            <w:pPr>
              <w:spacing w:after="0" w:line="280" w:lineRule="exact"/>
              <w:jc w:val="right"/>
              <w:rPr>
                <w:rFonts w:cs="Arial"/>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7C89AF78" w14:textId="6DFD5761" w:rsidR="00ED50BE" w:rsidRPr="009702B0" w:rsidRDefault="00ED50BE" w:rsidP="00ED50BE">
            <w:pPr>
              <w:spacing w:after="0" w:line="280" w:lineRule="exact"/>
              <w:jc w:val="right"/>
              <w:rPr>
                <w:rFonts w:cs="Arial"/>
                <w:sz w:val="18"/>
                <w:szCs w:val="18"/>
              </w:rPr>
            </w:pPr>
            <w:r>
              <w:rPr>
                <w:rFonts w:cs="Arial"/>
                <w:sz w:val="18"/>
                <w:szCs w:val="18"/>
              </w:rPr>
              <w:t>1,114,417</w:t>
            </w:r>
          </w:p>
        </w:tc>
        <w:tc>
          <w:tcPr>
            <w:tcW w:w="535" w:type="pct"/>
            <w:tcBorders>
              <w:top w:val="nil"/>
              <w:left w:val="nil"/>
              <w:bottom w:val="nil"/>
              <w:right w:val="nil"/>
            </w:tcBorders>
            <w:shd w:val="clear" w:color="auto" w:fill="auto"/>
            <w:vAlign w:val="bottom"/>
          </w:tcPr>
          <w:p w14:paraId="491D7DA3" w14:textId="2B0E0905" w:rsidR="00ED50BE" w:rsidRPr="009702B0" w:rsidRDefault="00ED50BE" w:rsidP="00ED50BE">
            <w:pPr>
              <w:spacing w:after="0" w:line="280" w:lineRule="exact"/>
              <w:jc w:val="right"/>
              <w:rPr>
                <w:rFonts w:cs="Arial"/>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0B69B78D" w14:textId="547CC421" w:rsidR="00ED50BE" w:rsidRPr="009702B0" w:rsidRDefault="00ED50BE" w:rsidP="00ED50BE">
            <w:pPr>
              <w:spacing w:after="0" w:line="280" w:lineRule="exact"/>
              <w:jc w:val="right"/>
              <w:rPr>
                <w:rFonts w:cs="Arial"/>
                <w:sz w:val="18"/>
                <w:szCs w:val="18"/>
              </w:rPr>
            </w:pPr>
            <w:r>
              <w:rPr>
                <w:rFonts w:cs="Arial"/>
                <w:sz w:val="18"/>
                <w:szCs w:val="18"/>
              </w:rPr>
              <w:t>26,805</w:t>
            </w:r>
          </w:p>
        </w:tc>
        <w:tc>
          <w:tcPr>
            <w:tcW w:w="535" w:type="pct"/>
            <w:tcBorders>
              <w:top w:val="nil"/>
              <w:left w:val="nil"/>
              <w:bottom w:val="nil"/>
              <w:right w:val="nil"/>
            </w:tcBorders>
            <w:shd w:val="clear" w:color="auto" w:fill="auto"/>
            <w:vAlign w:val="bottom"/>
          </w:tcPr>
          <w:p w14:paraId="71B34DD3" w14:textId="517D127C" w:rsidR="00ED50BE" w:rsidRPr="009702B0" w:rsidRDefault="00ED50BE" w:rsidP="00ED50BE">
            <w:pPr>
              <w:spacing w:after="0" w:line="280" w:lineRule="exact"/>
              <w:jc w:val="right"/>
              <w:rPr>
                <w:rFonts w:cs="Arial"/>
                <w:bCs/>
                <w:sz w:val="18"/>
                <w:szCs w:val="18"/>
              </w:rPr>
            </w:pPr>
            <w:r>
              <w:rPr>
                <w:rFonts w:cs="Arial"/>
                <w:sz w:val="18"/>
                <w:szCs w:val="18"/>
              </w:rPr>
              <w:t>1,141,222</w:t>
            </w:r>
          </w:p>
        </w:tc>
      </w:tr>
      <w:tr w:rsidR="00ED50BE" w:rsidRPr="009702B0" w14:paraId="4CBBA782" w14:textId="77777777" w:rsidTr="00166751">
        <w:tc>
          <w:tcPr>
            <w:tcW w:w="1255" w:type="pct"/>
          </w:tcPr>
          <w:p w14:paraId="2E21F03A" w14:textId="77777777" w:rsidR="00ED50BE" w:rsidRPr="009702B0" w:rsidRDefault="00ED50BE" w:rsidP="00ED50BE">
            <w:pPr>
              <w:tabs>
                <w:tab w:val="right" w:pos="1202"/>
              </w:tabs>
              <w:spacing w:after="0" w:line="280" w:lineRule="exact"/>
              <w:outlineLvl w:val="0"/>
              <w:rPr>
                <w:rFonts w:eastAsia="Times New Roman" w:cs="Arial"/>
                <w:sz w:val="18"/>
                <w:szCs w:val="18"/>
              </w:rPr>
            </w:pPr>
            <w:r w:rsidRPr="009702B0">
              <w:rPr>
                <w:rFonts w:eastAsia="Times New Roman" w:cs="Arial"/>
                <w:spacing w:val="-2"/>
                <w:sz w:val="18"/>
                <w:szCs w:val="18"/>
              </w:rPr>
              <w:t xml:space="preserve">Other liabilities </w:t>
            </w:r>
          </w:p>
        </w:tc>
        <w:tc>
          <w:tcPr>
            <w:tcW w:w="535" w:type="pct"/>
            <w:tcBorders>
              <w:top w:val="nil"/>
              <w:left w:val="nil"/>
              <w:bottom w:val="nil"/>
              <w:right w:val="nil"/>
            </w:tcBorders>
            <w:shd w:val="clear" w:color="auto" w:fill="auto"/>
            <w:vAlign w:val="bottom"/>
          </w:tcPr>
          <w:p w14:paraId="6709ACE5" w14:textId="463AF97C" w:rsidR="00ED50BE" w:rsidRPr="009702B0" w:rsidRDefault="00ED50BE" w:rsidP="00ED50BE">
            <w:pPr>
              <w:spacing w:after="0" w:line="280" w:lineRule="exact"/>
              <w:jc w:val="right"/>
              <w:rPr>
                <w:rFonts w:cs="Arial"/>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793AC67F" w14:textId="5F81ED1A" w:rsidR="00ED50BE" w:rsidRPr="009702B0" w:rsidRDefault="00ED50BE" w:rsidP="00ED50BE">
            <w:pPr>
              <w:spacing w:after="0" w:line="280" w:lineRule="exact"/>
              <w:jc w:val="right"/>
              <w:rPr>
                <w:rFonts w:cs="Arial"/>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5EDDF942" w14:textId="1671DD3C" w:rsidR="00ED50BE" w:rsidRPr="009702B0" w:rsidRDefault="00ED50BE" w:rsidP="00ED50BE">
            <w:pPr>
              <w:spacing w:after="0" w:line="280" w:lineRule="exact"/>
              <w:jc w:val="right"/>
              <w:rPr>
                <w:rFonts w:cs="Arial"/>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04B05463" w14:textId="2940F1A8" w:rsidR="00ED50BE" w:rsidRPr="009702B0" w:rsidRDefault="00ED50BE" w:rsidP="00ED50BE">
            <w:pPr>
              <w:spacing w:after="0" w:line="280" w:lineRule="exact"/>
              <w:jc w:val="right"/>
              <w:rPr>
                <w:rFonts w:cs="Arial"/>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7BA213A8" w14:textId="3B838FF9" w:rsidR="00ED50BE" w:rsidRPr="009702B0" w:rsidRDefault="00ED50BE" w:rsidP="00ED50BE">
            <w:pPr>
              <w:spacing w:after="0" w:line="280" w:lineRule="exact"/>
              <w:jc w:val="right"/>
              <w:rPr>
                <w:rFonts w:cs="Arial"/>
                <w:sz w:val="18"/>
                <w:szCs w:val="18"/>
              </w:rPr>
            </w:pPr>
            <w:r>
              <w:rPr>
                <w:rFonts w:cs="Arial"/>
                <w:sz w:val="18"/>
                <w:szCs w:val="18"/>
              </w:rPr>
              <w:t>-</w:t>
            </w:r>
          </w:p>
        </w:tc>
        <w:tc>
          <w:tcPr>
            <w:tcW w:w="535" w:type="pct"/>
            <w:tcBorders>
              <w:top w:val="nil"/>
              <w:left w:val="nil"/>
              <w:bottom w:val="single" w:sz="4" w:space="0" w:color="auto"/>
              <w:right w:val="nil"/>
            </w:tcBorders>
            <w:shd w:val="clear" w:color="auto" w:fill="auto"/>
            <w:vAlign w:val="bottom"/>
          </w:tcPr>
          <w:p w14:paraId="13D90EFE" w14:textId="41372A69" w:rsidR="00ED50BE" w:rsidRPr="009702B0" w:rsidRDefault="00ED50BE" w:rsidP="00ED50BE">
            <w:pPr>
              <w:spacing w:after="0" w:line="280" w:lineRule="exact"/>
              <w:jc w:val="right"/>
              <w:rPr>
                <w:rFonts w:cs="Arial"/>
                <w:sz w:val="18"/>
                <w:szCs w:val="18"/>
              </w:rPr>
            </w:pPr>
            <w:r>
              <w:rPr>
                <w:rFonts w:cs="Arial"/>
                <w:sz w:val="18"/>
                <w:szCs w:val="18"/>
              </w:rPr>
              <w:t>609,344</w:t>
            </w:r>
          </w:p>
        </w:tc>
        <w:tc>
          <w:tcPr>
            <w:tcW w:w="535" w:type="pct"/>
            <w:tcBorders>
              <w:top w:val="nil"/>
              <w:left w:val="nil"/>
              <w:bottom w:val="single" w:sz="4" w:space="0" w:color="auto"/>
              <w:right w:val="nil"/>
            </w:tcBorders>
            <w:shd w:val="clear" w:color="auto" w:fill="auto"/>
            <w:vAlign w:val="bottom"/>
          </w:tcPr>
          <w:p w14:paraId="0920DC9A" w14:textId="7C62C7A5" w:rsidR="00ED50BE" w:rsidRPr="009702B0" w:rsidRDefault="00ED50BE" w:rsidP="00ED50BE">
            <w:pPr>
              <w:spacing w:after="0" w:line="280" w:lineRule="exact"/>
              <w:jc w:val="right"/>
              <w:rPr>
                <w:rFonts w:cs="Arial"/>
                <w:bCs/>
                <w:sz w:val="18"/>
                <w:szCs w:val="18"/>
              </w:rPr>
            </w:pPr>
            <w:r>
              <w:rPr>
                <w:rFonts w:cs="Arial"/>
                <w:sz w:val="18"/>
                <w:szCs w:val="18"/>
              </w:rPr>
              <w:t>609,344</w:t>
            </w:r>
          </w:p>
        </w:tc>
      </w:tr>
      <w:tr w:rsidR="00ED50BE" w:rsidRPr="009702B0" w14:paraId="28B96CA3" w14:textId="77777777" w:rsidTr="00D52976">
        <w:tc>
          <w:tcPr>
            <w:tcW w:w="1255" w:type="pct"/>
          </w:tcPr>
          <w:p w14:paraId="5615FC78" w14:textId="77777777" w:rsidR="00ED50BE" w:rsidRPr="009702B0" w:rsidRDefault="00ED50BE" w:rsidP="00ED50BE">
            <w:pPr>
              <w:tabs>
                <w:tab w:val="right" w:pos="1202"/>
              </w:tabs>
              <w:spacing w:after="0" w:line="280" w:lineRule="exact"/>
              <w:outlineLvl w:val="0"/>
              <w:rPr>
                <w:rFonts w:eastAsia="Times New Roman" w:cs="Arial"/>
                <w:b/>
                <w:bCs/>
                <w:sz w:val="18"/>
                <w:szCs w:val="18"/>
              </w:rPr>
            </w:pPr>
            <w:r w:rsidRPr="009702B0">
              <w:rPr>
                <w:rFonts w:eastAsia="Times New Roman" w:cs="Arial"/>
                <w:b/>
                <w:bCs/>
                <w:sz w:val="18"/>
                <w:szCs w:val="18"/>
              </w:rPr>
              <w:t xml:space="preserve">Total liabilities </w:t>
            </w:r>
          </w:p>
        </w:tc>
        <w:tc>
          <w:tcPr>
            <w:tcW w:w="535" w:type="pct"/>
            <w:tcBorders>
              <w:top w:val="single" w:sz="8" w:space="0" w:color="auto"/>
              <w:left w:val="nil"/>
              <w:bottom w:val="single" w:sz="12" w:space="0" w:color="auto"/>
              <w:right w:val="nil"/>
            </w:tcBorders>
            <w:shd w:val="clear" w:color="auto" w:fill="auto"/>
            <w:vAlign w:val="bottom"/>
          </w:tcPr>
          <w:p w14:paraId="2483640F" w14:textId="74920C69" w:rsidR="00ED50BE" w:rsidRPr="009702B0" w:rsidRDefault="00ED50BE" w:rsidP="00ED50BE">
            <w:pPr>
              <w:spacing w:after="0" w:line="280" w:lineRule="exact"/>
              <w:jc w:val="right"/>
              <w:rPr>
                <w:rFonts w:cs="Arial"/>
                <w:b/>
                <w:sz w:val="18"/>
                <w:szCs w:val="18"/>
              </w:rPr>
            </w:pPr>
            <w:r>
              <w:rPr>
                <w:rFonts w:eastAsia="Times New Roman" w:cs="Arial"/>
                <w:b/>
                <w:bCs/>
                <w:color w:val="000000"/>
                <w:sz w:val="18"/>
                <w:szCs w:val="18"/>
              </w:rPr>
              <w:t>719,252</w:t>
            </w:r>
          </w:p>
        </w:tc>
        <w:tc>
          <w:tcPr>
            <w:tcW w:w="535" w:type="pct"/>
            <w:tcBorders>
              <w:top w:val="single" w:sz="8" w:space="0" w:color="auto"/>
              <w:left w:val="nil"/>
              <w:bottom w:val="single" w:sz="12" w:space="0" w:color="auto"/>
              <w:right w:val="nil"/>
            </w:tcBorders>
            <w:shd w:val="clear" w:color="auto" w:fill="auto"/>
            <w:vAlign w:val="bottom"/>
          </w:tcPr>
          <w:p w14:paraId="5FA24C78" w14:textId="6A7880DC" w:rsidR="00ED50BE" w:rsidRPr="009702B0" w:rsidRDefault="00ED50BE" w:rsidP="00ED50BE">
            <w:pPr>
              <w:spacing w:after="0" w:line="280" w:lineRule="exact"/>
              <w:jc w:val="right"/>
              <w:rPr>
                <w:rFonts w:cs="Arial"/>
                <w:b/>
                <w:sz w:val="18"/>
                <w:szCs w:val="18"/>
              </w:rPr>
            </w:pPr>
            <w:r>
              <w:rPr>
                <w:rFonts w:eastAsia="Times New Roman" w:cs="Arial"/>
                <w:b/>
                <w:bCs/>
                <w:color w:val="000000"/>
                <w:sz w:val="18"/>
                <w:szCs w:val="18"/>
              </w:rPr>
              <w:t>455,796</w:t>
            </w:r>
          </w:p>
        </w:tc>
        <w:tc>
          <w:tcPr>
            <w:tcW w:w="535" w:type="pct"/>
            <w:tcBorders>
              <w:top w:val="single" w:sz="8" w:space="0" w:color="auto"/>
              <w:left w:val="nil"/>
              <w:bottom w:val="single" w:sz="12" w:space="0" w:color="auto"/>
              <w:right w:val="nil"/>
            </w:tcBorders>
            <w:shd w:val="clear" w:color="auto" w:fill="auto"/>
            <w:vAlign w:val="bottom"/>
          </w:tcPr>
          <w:p w14:paraId="705C7A32" w14:textId="720A3D0F" w:rsidR="00ED50BE" w:rsidRPr="009702B0" w:rsidRDefault="00ED50BE" w:rsidP="00ED50BE">
            <w:pPr>
              <w:spacing w:after="0" w:line="280" w:lineRule="exact"/>
              <w:jc w:val="right"/>
              <w:rPr>
                <w:rFonts w:cs="Arial"/>
                <w:b/>
                <w:sz w:val="18"/>
                <w:szCs w:val="18"/>
              </w:rPr>
            </w:pPr>
            <w:r>
              <w:rPr>
                <w:rFonts w:eastAsia="Times New Roman" w:cs="Arial"/>
                <w:b/>
                <w:bCs/>
                <w:color w:val="000000"/>
                <w:sz w:val="18"/>
                <w:szCs w:val="18"/>
              </w:rPr>
              <w:t>1,175,171</w:t>
            </w:r>
          </w:p>
        </w:tc>
        <w:tc>
          <w:tcPr>
            <w:tcW w:w="535" w:type="pct"/>
            <w:tcBorders>
              <w:top w:val="single" w:sz="8" w:space="0" w:color="auto"/>
              <w:left w:val="nil"/>
              <w:bottom w:val="single" w:sz="12" w:space="0" w:color="auto"/>
              <w:right w:val="nil"/>
            </w:tcBorders>
            <w:shd w:val="clear" w:color="auto" w:fill="auto"/>
            <w:vAlign w:val="bottom"/>
          </w:tcPr>
          <w:p w14:paraId="26C8D1DE" w14:textId="0DD561B0" w:rsidR="00ED50BE" w:rsidRPr="009702B0" w:rsidRDefault="00ED50BE" w:rsidP="00ED50BE">
            <w:pPr>
              <w:spacing w:after="0" w:line="280" w:lineRule="exact"/>
              <w:jc w:val="right"/>
              <w:rPr>
                <w:rFonts w:cs="Arial"/>
                <w:b/>
                <w:sz w:val="18"/>
                <w:szCs w:val="18"/>
              </w:rPr>
            </w:pPr>
            <w:r>
              <w:rPr>
                <w:rFonts w:eastAsia="Times New Roman" w:cs="Arial"/>
                <w:b/>
                <w:bCs/>
                <w:color w:val="000000"/>
                <w:sz w:val="18"/>
                <w:szCs w:val="18"/>
              </w:rPr>
              <w:t>4,797,963</w:t>
            </w:r>
          </w:p>
        </w:tc>
        <w:tc>
          <w:tcPr>
            <w:tcW w:w="535" w:type="pct"/>
            <w:tcBorders>
              <w:top w:val="single" w:sz="8" w:space="0" w:color="auto"/>
              <w:left w:val="nil"/>
              <w:bottom w:val="single" w:sz="12" w:space="0" w:color="auto"/>
              <w:right w:val="nil"/>
            </w:tcBorders>
            <w:shd w:val="clear" w:color="auto" w:fill="auto"/>
            <w:vAlign w:val="bottom"/>
          </w:tcPr>
          <w:p w14:paraId="0127F550" w14:textId="4E114C84" w:rsidR="00ED50BE" w:rsidRPr="009702B0" w:rsidRDefault="00ED50BE" w:rsidP="00ED50BE">
            <w:pPr>
              <w:spacing w:after="0" w:line="280" w:lineRule="exact"/>
              <w:jc w:val="right"/>
              <w:rPr>
                <w:rFonts w:cs="Arial"/>
                <w:b/>
                <w:sz w:val="18"/>
                <w:szCs w:val="18"/>
              </w:rPr>
            </w:pPr>
            <w:r>
              <w:rPr>
                <w:rFonts w:eastAsia="Times New Roman" w:cs="Arial"/>
                <w:b/>
                <w:bCs/>
                <w:color w:val="000000"/>
                <w:sz w:val="18"/>
                <w:szCs w:val="18"/>
              </w:rPr>
              <w:t>9,874,189</w:t>
            </w:r>
          </w:p>
        </w:tc>
        <w:tc>
          <w:tcPr>
            <w:tcW w:w="535" w:type="pct"/>
            <w:tcBorders>
              <w:top w:val="single" w:sz="8" w:space="0" w:color="auto"/>
              <w:left w:val="nil"/>
              <w:bottom w:val="single" w:sz="12" w:space="0" w:color="auto"/>
              <w:right w:val="nil"/>
            </w:tcBorders>
            <w:shd w:val="clear" w:color="auto" w:fill="auto"/>
            <w:vAlign w:val="bottom"/>
          </w:tcPr>
          <w:p w14:paraId="74FAB25C" w14:textId="08B14AE9" w:rsidR="00ED50BE" w:rsidRPr="009702B0" w:rsidRDefault="00ED50BE" w:rsidP="00ED50BE">
            <w:pPr>
              <w:spacing w:after="0" w:line="280" w:lineRule="exact"/>
              <w:jc w:val="right"/>
              <w:rPr>
                <w:rFonts w:cs="Arial"/>
                <w:b/>
                <w:sz w:val="18"/>
                <w:szCs w:val="18"/>
              </w:rPr>
            </w:pPr>
            <w:r>
              <w:rPr>
                <w:rFonts w:eastAsia="Times New Roman" w:cs="Arial"/>
                <w:b/>
                <w:bCs/>
                <w:color w:val="000000"/>
                <w:sz w:val="18"/>
                <w:szCs w:val="18"/>
              </w:rPr>
              <w:t>1,004,813</w:t>
            </w:r>
          </w:p>
        </w:tc>
        <w:tc>
          <w:tcPr>
            <w:tcW w:w="535" w:type="pct"/>
            <w:tcBorders>
              <w:top w:val="single" w:sz="8" w:space="0" w:color="auto"/>
              <w:left w:val="nil"/>
              <w:bottom w:val="single" w:sz="12" w:space="0" w:color="auto"/>
              <w:right w:val="nil"/>
            </w:tcBorders>
            <w:shd w:val="clear" w:color="auto" w:fill="auto"/>
            <w:vAlign w:val="bottom"/>
          </w:tcPr>
          <w:p w14:paraId="50996B62" w14:textId="14936FCA" w:rsidR="00ED50BE" w:rsidRPr="009702B0" w:rsidRDefault="00ED50BE" w:rsidP="00ED50BE">
            <w:pPr>
              <w:spacing w:after="0" w:line="280" w:lineRule="exact"/>
              <w:jc w:val="right"/>
              <w:rPr>
                <w:rFonts w:cs="Arial"/>
                <w:b/>
                <w:bCs/>
                <w:sz w:val="18"/>
                <w:szCs w:val="18"/>
              </w:rPr>
            </w:pPr>
            <w:r>
              <w:rPr>
                <w:rFonts w:eastAsia="Times New Roman" w:cs="Arial"/>
                <w:b/>
                <w:bCs/>
                <w:color w:val="000000"/>
                <w:sz w:val="18"/>
                <w:szCs w:val="18"/>
              </w:rPr>
              <w:t>18,027,184</w:t>
            </w:r>
          </w:p>
        </w:tc>
      </w:tr>
      <w:tr w:rsidR="005A63C9" w:rsidRPr="009702B0" w14:paraId="3CD9E947" w14:textId="77777777" w:rsidTr="00BA3F2A">
        <w:tc>
          <w:tcPr>
            <w:tcW w:w="1255" w:type="pct"/>
          </w:tcPr>
          <w:p w14:paraId="6C89817A" w14:textId="77777777" w:rsidR="005A63C9" w:rsidRPr="009702B0" w:rsidRDefault="005A63C9" w:rsidP="005A63C9">
            <w:pPr>
              <w:keepNext/>
              <w:keepLines/>
              <w:tabs>
                <w:tab w:val="decimal" w:pos="1202"/>
              </w:tabs>
              <w:spacing w:after="0" w:line="280" w:lineRule="exact"/>
              <w:rPr>
                <w:rFonts w:eastAsia="Times New Roman" w:cs="Arial"/>
                <w:b/>
                <w:position w:val="4"/>
                <w:sz w:val="18"/>
                <w:szCs w:val="18"/>
              </w:rPr>
            </w:pPr>
          </w:p>
        </w:tc>
        <w:tc>
          <w:tcPr>
            <w:tcW w:w="535" w:type="pct"/>
            <w:tcBorders>
              <w:top w:val="single" w:sz="12" w:space="0" w:color="auto"/>
              <w:left w:val="nil"/>
              <w:bottom w:val="nil"/>
              <w:right w:val="nil"/>
            </w:tcBorders>
            <w:vAlign w:val="bottom"/>
          </w:tcPr>
          <w:p w14:paraId="72392479" w14:textId="77777777" w:rsidR="005A63C9" w:rsidRPr="009702B0" w:rsidRDefault="005A63C9" w:rsidP="005A63C9">
            <w:pPr>
              <w:keepNext/>
              <w:keepLines/>
              <w:tabs>
                <w:tab w:val="decimal" w:pos="1202"/>
              </w:tabs>
              <w:spacing w:after="0" w:line="280" w:lineRule="exact"/>
              <w:jc w:val="right"/>
              <w:rPr>
                <w:rFonts w:eastAsia="Times New Roman" w:cs="Arial"/>
                <w:b/>
                <w:spacing w:val="-2"/>
                <w:position w:val="4"/>
                <w:sz w:val="18"/>
                <w:szCs w:val="18"/>
              </w:rPr>
            </w:pPr>
          </w:p>
        </w:tc>
        <w:tc>
          <w:tcPr>
            <w:tcW w:w="535" w:type="pct"/>
            <w:tcBorders>
              <w:top w:val="single" w:sz="12" w:space="0" w:color="auto"/>
              <w:left w:val="nil"/>
              <w:bottom w:val="nil"/>
              <w:right w:val="nil"/>
            </w:tcBorders>
            <w:vAlign w:val="bottom"/>
          </w:tcPr>
          <w:p w14:paraId="1539193D" w14:textId="77777777" w:rsidR="005A63C9" w:rsidRPr="009702B0" w:rsidRDefault="005A63C9" w:rsidP="005A63C9">
            <w:pPr>
              <w:keepNext/>
              <w:keepLines/>
              <w:tabs>
                <w:tab w:val="decimal" w:pos="1202"/>
              </w:tabs>
              <w:spacing w:after="0" w:line="280" w:lineRule="exact"/>
              <w:jc w:val="right"/>
              <w:rPr>
                <w:rFonts w:eastAsia="Times New Roman" w:cs="Arial"/>
                <w:b/>
                <w:spacing w:val="-2"/>
                <w:position w:val="4"/>
                <w:sz w:val="18"/>
                <w:szCs w:val="18"/>
              </w:rPr>
            </w:pPr>
          </w:p>
        </w:tc>
        <w:tc>
          <w:tcPr>
            <w:tcW w:w="535" w:type="pct"/>
            <w:tcBorders>
              <w:top w:val="single" w:sz="12" w:space="0" w:color="auto"/>
              <w:left w:val="nil"/>
              <w:bottom w:val="nil"/>
              <w:right w:val="nil"/>
            </w:tcBorders>
            <w:vAlign w:val="bottom"/>
          </w:tcPr>
          <w:p w14:paraId="4A8A0690" w14:textId="77777777" w:rsidR="005A63C9" w:rsidRPr="009702B0" w:rsidRDefault="005A63C9" w:rsidP="005A63C9">
            <w:pPr>
              <w:keepNext/>
              <w:keepLines/>
              <w:tabs>
                <w:tab w:val="decimal" w:pos="1202"/>
              </w:tabs>
              <w:spacing w:after="0" w:line="280" w:lineRule="exact"/>
              <w:jc w:val="right"/>
              <w:rPr>
                <w:rFonts w:eastAsia="Times New Roman" w:cs="Arial"/>
                <w:b/>
                <w:spacing w:val="-2"/>
                <w:position w:val="4"/>
                <w:sz w:val="18"/>
                <w:szCs w:val="18"/>
              </w:rPr>
            </w:pPr>
          </w:p>
        </w:tc>
        <w:tc>
          <w:tcPr>
            <w:tcW w:w="535" w:type="pct"/>
            <w:tcBorders>
              <w:top w:val="single" w:sz="12" w:space="0" w:color="auto"/>
              <w:left w:val="nil"/>
              <w:bottom w:val="nil"/>
              <w:right w:val="nil"/>
            </w:tcBorders>
            <w:vAlign w:val="bottom"/>
          </w:tcPr>
          <w:p w14:paraId="2C2A8E24" w14:textId="77777777" w:rsidR="005A63C9" w:rsidRPr="009702B0" w:rsidRDefault="005A63C9" w:rsidP="005A63C9">
            <w:pPr>
              <w:keepNext/>
              <w:keepLines/>
              <w:tabs>
                <w:tab w:val="decimal" w:pos="1202"/>
              </w:tabs>
              <w:spacing w:after="0" w:line="280" w:lineRule="exact"/>
              <w:jc w:val="right"/>
              <w:rPr>
                <w:rFonts w:eastAsia="Times New Roman" w:cs="Arial"/>
                <w:b/>
                <w:spacing w:val="-2"/>
                <w:position w:val="4"/>
                <w:sz w:val="18"/>
                <w:szCs w:val="18"/>
              </w:rPr>
            </w:pPr>
          </w:p>
        </w:tc>
        <w:tc>
          <w:tcPr>
            <w:tcW w:w="535" w:type="pct"/>
            <w:tcBorders>
              <w:top w:val="single" w:sz="12" w:space="0" w:color="auto"/>
              <w:left w:val="nil"/>
              <w:bottom w:val="nil"/>
              <w:right w:val="nil"/>
            </w:tcBorders>
            <w:vAlign w:val="bottom"/>
          </w:tcPr>
          <w:p w14:paraId="779BCE05" w14:textId="77777777" w:rsidR="005A63C9" w:rsidRPr="009702B0" w:rsidRDefault="005A63C9" w:rsidP="005A63C9">
            <w:pPr>
              <w:keepNext/>
              <w:keepLines/>
              <w:tabs>
                <w:tab w:val="decimal" w:pos="1202"/>
              </w:tabs>
              <w:spacing w:after="0" w:line="280" w:lineRule="exact"/>
              <w:jc w:val="right"/>
              <w:rPr>
                <w:rFonts w:eastAsia="Times New Roman" w:cs="Arial"/>
                <w:b/>
                <w:spacing w:val="-2"/>
                <w:position w:val="4"/>
                <w:sz w:val="18"/>
                <w:szCs w:val="18"/>
              </w:rPr>
            </w:pPr>
          </w:p>
        </w:tc>
        <w:tc>
          <w:tcPr>
            <w:tcW w:w="535" w:type="pct"/>
            <w:tcBorders>
              <w:top w:val="single" w:sz="12" w:space="0" w:color="auto"/>
              <w:left w:val="nil"/>
              <w:bottom w:val="nil"/>
              <w:right w:val="nil"/>
            </w:tcBorders>
            <w:vAlign w:val="bottom"/>
          </w:tcPr>
          <w:p w14:paraId="2F3B98F1" w14:textId="77777777" w:rsidR="005A63C9" w:rsidRPr="009702B0" w:rsidRDefault="005A63C9" w:rsidP="005A63C9">
            <w:pPr>
              <w:keepNext/>
              <w:keepLines/>
              <w:tabs>
                <w:tab w:val="decimal" w:pos="1202"/>
              </w:tabs>
              <w:spacing w:after="0" w:line="280" w:lineRule="exact"/>
              <w:jc w:val="right"/>
              <w:rPr>
                <w:rFonts w:eastAsia="Times New Roman" w:cs="Arial"/>
                <w:b/>
                <w:spacing w:val="-2"/>
                <w:position w:val="4"/>
                <w:sz w:val="18"/>
                <w:szCs w:val="18"/>
              </w:rPr>
            </w:pPr>
          </w:p>
        </w:tc>
        <w:tc>
          <w:tcPr>
            <w:tcW w:w="535" w:type="pct"/>
            <w:tcBorders>
              <w:top w:val="single" w:sz="12" w:space="0" w:color="auto"/>
              <w:left w:val="nil"/>
              <w:bottom w:val="nil"/>
              <w:right w:val="nil"/>
            </w:tcBorders>
            <w:vAlign w:val="bottom"/>
          </w:tcPr>
          <w:p w14:paraId="1C672A99" w14:textId="77777777" w:rsidR="005A63C9" w:rsidRPr="009702B0" w:rsidRDefault="005A63C9" w:rsidP="005A63C9">
            <w:pPr>
              <w:keepNext/>
              <w:keepLines/>
              <w:tabs>
                <w:tab w:val="decimal" w:pos="1202"/>
              </w:tabs>
              <w:spacing w:after="0" w:line="280" w:lineRule="exact"/>
              <w:jc w:val="right"/>
              <w:rPr>
                <w:rFonts w:eastAsia="Times New Roman" w:cs="Arial"/>
                <w:b/>
                <w:spacing w:val="-2"/>
                <w:position w:val="4"/>
                <w:sz w:val="18"/>
                <w:szCs w:val="18"/>
              </w:rPr>
            </w:pPr>
          </w:p>
        </w:tc>
      </w:tr>
      <w:tr w:rsidR="005A63C9" w:rsidRPr="009702B0" w14:paraId="167A49C6" w14:textId="77777777" w:rsidTr="00BA3F2A">
        <w:tc>
          <w:tcPr>
            <w:tcW w:w="1255" w:type="pct"/>
          </w:tcPr>
          <w:p w14:paraId="0ED71D64" w14:textId="77777777" w:rsidR="005A63C9" w:rsidRPr="009702B0" w:rsidRDefault="005A63C9" w:rsidP="005A63C9">
            <w:pPr>
              <w:tabs>
                <w:tab w:val="right" w:pos="1202"/>
              </w:tabs>
              <w:spacing w:after="0" w:line="280" w:lineRule="exact"/>
              <w:outlineLvl w:val="0"/>
              <w:rPr>
                <w:rFonts w:eastAsia="Times New Roman" w:cs="Arial"/>
                <w:sz w:val="18"/>
                <w:szCs w:val="18"/>
              </w:rPr>
            </w:pPr>
            <w:r w:rsidRPr="009702B0">
              <w:rPr>
                <w:rFonts w:eastAsia="Times New Roman" w:cs="Arial"/>
                <w:b/>
                <w:bCs/>
                <w:sz w:val="18"/>
                <w:szCs w:val="18"/>
              </w:rPr>
              <w:t xml:space="preserve">Equity </w:t>
            </w:r>
          </w:p>
        </w:tc>
        <w:tc>
          <w:tcPr>
            <w:tcW w:w="535" w:type="pct"/>
            <w:vAlign w:val="bottom"/>
          </w:tcPr>
          <w:p w14:paraId="6D8F3B93" w14:textId="77777777" w:rsidR="005A63C9" w:rsidRPr="009702B0" w:rsidRDefault="005A63C9" w:rsidP="005A63C9">
            <w:pPr>
              <w:tabs>
                <w:tab w:val="right" w:pos="1202"/>
              </w:tabs>
              <w:spacing w:after="0" w:line="280" w:lineRule="exact"/>
              <w:jc w:val="right"/>
              <w:outlineLvl w:val="0"/>
              <w:rPr>
                <w:rFonts w:eastAsia="Times New Roman" w:cs="Arial"/>
                <w:spacing w:val="-2"/>
                <w:sz w:val="18"/>
                <w:szCs w:val="18"/>
              </w:rPr>
            </w:pPr>
          </w:p>
        </w:tc>
        <w:tc>
          <w:tcPr>
            <w:tcW w:w="535" w:type="pct"/>
            <w:vAlign w:val="bottom"/>
          </w:tcPr>
          <w:p w14:paraId="2AED63B9" w14:textId="77777777" w:rsidR="005A63C9" w:rsidRPr="009702B0" w:rsidRDefault="005A63C9" w:rsidP="005A63C9">
            <w:pPr>
              <w:tabs>
                <w:tab w:val="right" w:pos="1202"/>
              </w:tabs>
              <w:spacing w:after="0" w:line="280" w:lineRule="exact"/>
              <w:jc w:val="right"/>
              <w:outlineLvl w:val="0"/>
              <w:rPr>
                <w:rFonts w:eastAsia="Times New Roman" w:cs="Arial"/>
                <w:spacing w:val="-2"/>
                <w:sz w:val="18"/>
                <w:szCs w:val="18"/>
              </w:rPr>
            </w:pPr>
          </w:p>
        </w:tc>
        <w:tc>
          <w:tcPr>
            <w:tcW w:w="535" w:type="pct"/>
            <w:vAlign w:val="bottom"/>
          </w:tcPr>
          <w:p w14:paraId="70178AA5" w14:textId="77777777" w:rsidR="005A63C9" w:rsidRPr="009702B0" w:rsidRDefault="005A63C9" w:rsidP="005A63C9">
            <w:pPr>
              <w:tabs>
                <w:tab w:val="right" w:pos="1202"/>
              </w:tabs>
              <w:spacing w:after="0" w:line="280" w:lineRule="exact"/>
              <w:jc w:val="right"/>
              <w:outlineLvl w:val="0"/>
              <w:rPr>
                <w:rFonts w:eastAsia="Times New Roman" w:cs="Arial"/>
                <w:spacing w:val="-2"/>
                <w:sz w:val="18"/>
                <w:szCs w:val="18"/>
              </w:rPr>
            </w:pPr>
          </w:p>
        </w:tc>
        <w:tc>
          <w:tcPr>
            <w:tcW w:w="535" w:type="pct"/>
            <w:vAlign w:val="bottom"/>
          </w:tcPr>
          <w:p w14:paraId="522EBEFF" w14:textId="77777777" w:rsidR="005A63C9" w:rsidRPr="009702B0" w:rsidRDefault="005A63C9" w:rsidP="005A63C9">
            <w:pPr>
              <w:tabs>
                <w:tab w:val="right" w:pos="1202"/>
              </w:tabs>
              <w:spacing w:after="0" w:line="280" w:lineRule="exact"/>
              <w:jc w:val="right"/>
              <w:outlineLvl w:val="0"/>
              <w:rPr>
                <w:rFonts w:eastAsia="Times New Roman" w:cs="Arial"/>
                <w:spacing w:val="-2"/>
                <w:sz w:val="18"/>
                <w:szCs w:val="18"/>
              </w:rPr>
            </w:pPr>
          </w:p>
        </w:tc>
        <w:tc>
          <w:tcPr>
            <w:tcW w:w="535" w:type="pct"/>
            <w:vAlign w:val="bottom"/>
          </w:tcPr>
          <w:p w14:paraId="66621B92" w14:textId="77777777" w:rsidR="005A63C9" w:rsidRPr="009702B0" w:rsidRDefault="005A63C9" w:rsidP="005A63C9">
            <w:pPr>
              <w:tabs>
                <w:tab w:val="right" w:pos="1202"/>
              </w:tabs>
              <w:spacing w:after="0" w:line="280" w:lineRule="exact"/>
              <w:jc w:val="right"/>
              <w:outlineLvl w:val="0"/>
              <w:rPr>
                <w:rFonts w:eastAsia="Times New Roman" w:cs="Arial"/>
                <w:spacing w:val="-2"/>
                <w:sz w:val="18"/>
                <w:szCs w:val="18"/>
              </w:rPr>
            </w:pPr>
          </w:p>
        </w:tc>
        <w:tc>
          <w:tcPr>
            <w:tcW w:w="535" w:type="pct"/>
            <w:vAlign w:val="bottom"/>
          </w:tcPr>
          <w:p w14:paraId="5CC88F32" w14:textId="77777777" w:rsidR="005A63C9" w:rsidRPr="009702B0" w:rsidRDefault="005A63C9" w:rsidP="005A63C9">
            <w:pPr>
              <w:tabs>
                <w:tab w:val="right" w:pos="1202"/>
              </w:tabs>
              <w:spacing w:after="0" w:line="280" w:lineRule="exact"/>
              <w:jc w:val="right"/>
              <w:outlineLvl w:val="0"/>
              <w:rPr>
                <w:rFonts w:eastAsia="Times New Roman" w:cs="Arial"/>
                <w:b/>
                <w:sz w:val="18"/>
                <w:szCs w:val="18"/>
              </w:rPr>
            </w:pPr>
          </w:p>
        </w:tc>
        <w:tc>
          <w:tcPr>
            <w:tcW w:w="535" w:type="pct"/>
            <w:vAlign w:val="bottom"/>
          </w:tcPr>
          <w:p w14:paraId="152A653B" w14:textId="77777777" w:rsidR="005A63C9" w:rsidRPr="009702B0" w:rsidRDefault="005A63C9" w:rsidP="005A63C9">
            <w:pPr>
              <w:tabs>
                <w:tab w:val="right" w:pos="1202"/>
              </w:tabs>
              <w:spacing w:after="0" w:line="280" w:lineRule="exact"/>
              <w:jc w:val="right"/>
              <w:outlineLvl w:val="0"/>
              <w:rPr>
                <w:rFonts w:eastAsia="Times New Roman" w:cs="Arial"/>
                <w:sz w:val="18"/>
                <w:szCs w:val="18"/>
              </w:rPr>
            </w:pPr>
          </w:p>
        </w:tc>
      </w:tr>
      <w:tr w:rsidR="00ED50BE" w:rsidRPr="009702B0" w14:paraId="0D8FA77D" w14:textId="77777777" w:rsidTr="00166751">
        <w:tc>
          <w:tcPr>
            <w:tcW w:w="1255" w:type="pct"/>
          </w:tcPr>
          <w:p w14:paraId="6C6CF364" w14:textId="77777777" w:rsidR="00ED50BE" w:rsidRPr="009702B0" w:rsidRDefault="00ED50BE" w:rsidP="00ED50BE">
            <w:pPr>
              <w:tabs>
                <w:tab w:val="right" w:pos="1202"/>
              </w:tabs>
              <w:spacing w:after="0" w:line="280" w:lineRule="exact"/>
              <w:outlineLvl w:val="0"/>
              <w:rPr>
                <w:rFonts w:eastAsia="Times New Roman" w:cs="Arial"/>
                <w:sz w:val="18"/>
                <w:szCs w:val="18"/>
              </w:rPr>
            </w:pPr>
            <w:r w:rsidRPr="009702B0">
              <w:rPr>
                <w:rFonts w:eastAsia="Times New Roman" w:cs="Arial"/>
                <w:sz w:val="18"/>
                <w:szCs w:val="18"/>
              </w:rPr>
              <w:t xml:space="preserve">Founder’s capital </w:t>
            </w:r>
          </w:p>
        </w:tc>
        <w:tc>
          <w:tcPr>
            <w:tcW w:w="535" w:type="pct"/>
            <w:tcBorders>
              <w:top w:val="nil"/>
              <w:left w:val="nil"/>
              <w:bottom w:val="nil"/>
              <w:right w:val="nil"/>
            </w:tcBorders>
            <w:shd w:val="clear" w:color="auto" w:fill="auto"/>
            <w:vAlign w:val="bottom"/>
          </w:tcPr>
          <w:p w14:paraId="2AC22197" w14:textId="77777777" w:rsidR="00ED50BE" w:rsidRPr="009702B0" w:rsidRDefault="00ED50BE" w:rsidP="00ED50BE">
            <w:pPr>
              <w:tabs>
                <w:tab w:val="right" w:pos="1202"/>
              </w:tabs>
              <w:spacing w:after="0" w:line="280" w:lineRule="exact"/>
              <w:jc w:val="right"/>
              <w:outlineLvl w:val="0"/>
              <w:rPr>
                <w:rFonts w:eastAsia="Times New Roman"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748F64CF" w14:textId="77777777" w:rsidR="00ED50BE" w:rsidRPr="009702B0" w:rsidRDefault="00ED50BE" w:rsidP="00ED50BE">
            <w:pPr>
              <w:tabs>
                <w:tab w:val="right" w:pos="1202"/>
              </w:tabs>
              <w:spacing w:after="0" w:line="280" w:lineRule="exact"/>
              <w:jc w:val="right"/>
              <w:outlineLvl w:val="0"/>
              <w:rPr>
                <w:rFonts w:eastAsia="Times New Roman"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3C1B59ED" w14:textId="77777777" w:rsidR="00ED50BE" w:rsidRPr="009702B0" w:rsidRDefault="00ED50BE" w:rsidP="00ED50BE">
            <w:pPr>
              <w:tabs>
                <w:tab w:val="right" w:pos="1202"/>
              </w:tabs>
              <w:spacing w:after="0" w:line="280" w:lineRule="exact"/>
              <w:jc w:val="right"/>
              <w:outlineLvl w:val="0"/>
              <w:rPr>
                <w:rFonts w:eastAsia="Times New Roman"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0055B557" w14:textId="77777777" w:rsidR="00ED50BE" w:rsidRPr="009702B0" w:rsidRDefault="00ED50BE" w:rsidP="00ED50BE">
            <w:pPr>
              <w:tabs>
                <w:tab w:val="right" w:pos="1202"/>
              </w:tabs>
              <w:spacing w:after="0" w:line="280" w:lineRule="exact"/>
              <w:jc w:val="right"/>
              <w:outlineLvl w:val="0"/>
              <w:rPr>
                <w:rFonts w:eastAsia="Times New Roman"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731A6EB8" w14:textId="77777777" w:rsidR="00ED50BE" w:rsidRPr="009702B0" w:rsidRDefault="00ED50BE" w:rsidP="00ED50BE">
            <w:pPr>
              <w:tabs>
                <w:tab w:val="right" w:pos="1202"/>
              </w:tabs>
              <w:spacing w:after="0" w:line="280" w:lineRule="exact"/>
              <w:jc w:val="right"/>
              <w:outlineLvl w:val="0"/>
              <w:rPr>
                <w:rFonts w:eastAsia="Times New Roman" w:cs="Arial"/>
                <w:spacing w:val="-2"/>
                <w:sz w:val="18"/>
                <w:szCs w:val="18"/>
              </w:rPr>
            </w:pPr>
            <w:r>
              <w:rPr>
                <w:rFonts w:cs="Arial"/>
                <w:sz w:val="18"/>
                <w:szCs w:val="18"/>
              </w:rPr>
              <w:t>-</w:t>
            </w:r>
          </w:p>
        </w:tc>
        <w:tc>
          <w:tcPr>
            <w:tcW w:w="535" w:type="pct"/>
            <w:shd w:val="clear" w:color="auto" w:fill="auto"/>
            <w:vAlign w:val="bottom"/>
          </w:tcPr>
          <w:p w14:paraId="581677D0" w14:textId="77345320" w:rsidR="00ED50BE" w:rsidRPr="009702B0" w:rsidRDefault="00ED50BE" w:rsidP="00ED50BE">
            <w:pPr>
              <w:spacing w:after="0" w:line="280" w:lineRule="exact"/>
              <w:jc w:val="right"/>
              <w:rPr>
                <w:rFonts w:cs="Arial"/>
                <w:sz w:val="18"/>
                <w:szCs w:val="18"/>
              </w:rPr>
            </w:pPr>
            <w:r>
              <w:rPr>
                <w:rFonts w:cs="Arial"/>
                <w:sz w:val="18"/>
                <w:szCs w:val="18"/>
              </w:rPr>
              <w:t>6,984,632</w:t>
            </w:r>
          </w:p>
        </w:tc>
        <w:tc>
          <w:tcPr>
            <w:tcW w:w="535" w:type="pct"/>
            <w:shd w:val="clear" w:color="auto" w:fill="auto"/>
            <w:vAlign w:val="bottom"/>
          </w:tcPr>
          <w:p w14:paraId="70FF4F3C" w14:textId="2D65DC0D" w:rsidR="00ED50BE" w:rsidRPr="00971E2C" w:rsidRDefault="00ED50BE" w:rsidP="00ED50BE">
            <w:pPr>
              <w:spacing w:after="0" w:line="280" w:lineRule="exact"/>
              <w:jc w:val="right"/>
              <w:rPr>
                <w:rFonts w:cs="Arial"/>
                <w:sz w:val="18"/>
                <w:szCs w:val="18"/>
              </w:rPr>
            </w:pPr>
            <w:r>
              <w:rPr>
                <w:rFonts w:cs="Arial"/>
                <w:sz w:val="18"/>
                <w:szCs w:val="18"/>
              </w:rPr>
              <w:t>6,984,632</w:t>
            </w:r>
          </w:p>
        </w:tc>
      </w:tr>
      <w:tr w:rsidR="00ED50BE" w:rsidRPr="009702B0" w14:paraId="77BB9434" w14:textId="77777777" w:rsidTr="00166751">
        <w:tc>
          <w:tcPr>
            <w:tcW w:w="1255" w:type="pct"/>
          </w:tcPr>
          <w:p w14:paraId="5B190F18" w14:textId="77777777" w:rsidR="00ED50BE" w:rsidRPr="009702B0" w:rsidRDefault="00ED50BE" w:rsidP="00ED50BE">
            <w:pPr>
              <w:tabs>
                <w:tab w:val="right" w:pos="1202"/>
              </w:tabs>
              <w:spacing w:after="0" w:line="280" w:lineRule="exact"/>
              <w:outlineLvl w:val="0"/>
              <w:rPr>
                <w:rFonts w:eastAsia="Times New Roman" w:cs="Arial"/>
                <w:sz w:val="18"/>
                <w:szCs w:val="18"/>
              </w:rPr>
            </w:pPr>
            <w:r w:rsidRPr="009702B0">
              <w:rPr>
                <w:rFonts w:eastAsia="Times New Roman" w:cs="Arial"/>
                <w:sz w:val="18"/>
                <w:szCs w:val="18"/>
              </w:rPr>
              <w:t xml:space="preserve">Retained earnings and reserves </w:t>
            </w:r>
          </w:p>
        </w:tc>
        <w:tc>
          <w:tcPr>
            <w:tcW w:w="535" w:type="pct"/>
            <w:tcBorders>
              <w:top w:val="nil"/>
              <w:left w:val="nil"/>
              <w:bottom w:val="nil"/>
              <w:right w:val="nil"/>
            </w:tcBorders>
            <w:shd w:val="clear" w:color="auto" w:fill="auto"/>
            <w:vAlign w:val="bottom"/>
          </w:tcPr>
          <w:p w14:paraId="6B64FDC2" w14:textId="77777777" w:rsidR="00ED50BE" w:rsidRPr="009702B0" w:rsidRDefault="00ED50BE" w:rsidP="00ED50BE">
            <w:pPr>
              <w:tabs>
                <w:tab w:val="right" w:pos="1202"/>
              </w:tabs>
              <w:spacing w:after="0" w:line="280" w:lineRule="exact"/>
              <w:jc w:val="right"/>
              <w:outlineLvl w:val="0"/>
              <w:rPr>
                <w:rFonts w:eastAsia="Times New Roman"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1C67E6DA" w14:textId="77777777" w:rsidR="00ED50BE" w:rsidRPr="009702B0" w:rsidRDefault="00ED50BE" w:rsidP="00ED50BE">
            <w:pPr>
              <w:tabs>
                <w:tab w:val="right" w:pos="1202"/>
              </w:tabs>
              <w:spacing w:after="0" w:line="280" w:lineRule="exact"/>
              <w:jc w:val="right"/>
              <w:outlineLvl w:val="0"/>
              <w:rPr>
                <w:rFonts w:eastAsia="Times New Roman"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590FF7E9" w14:textId="77777777" w:rsidR="00ED50BE" w:rsidRPr="009702B0" w:rsidRDefault="00ED50BE" w:rsidP="00ED50BE">
            <w:pPr>
              <w:tabs>
                <w:tab w:val="right" w:pos="1202"/>
              </w:tabs>
              <w:spacing w:after="0" w:line="280" w:lineRule="exact"/>
              <w:jc w:val="right"/>
              <w:outlineLvl w:val="0"/>
              <w:rPr>
                <w:rFonts w:eastAsia="Times New Roman"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54A680C2" w14:textId="77777777" w:rsidR="00ED50BE" w:rsidRPr="009702B0" w:rsidRDefault="00ED50BE" w:rsidP="00ED50BE">
            <w:pPr>
              <w:tabs>
                <w:tab w:val="right" w:pos="1202"/>
              </w:tabs>
              <w:spacing w:after="0" w:line="280" w:lineRule="exact"/>
              <w:jc w:val="right"/>
              <w:outlineLvl w:val="0"/>
              <w:rPr>
                <w:rFonts w:eastAsia="Times New Roman"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12A66786" w14:textId="77777777" w:rsidR="00ED50BE" w:rsidRPr="009702B0" w:rsidRDefault="00ED50BE" w:rsidP="00ED50BE">
            <w:pPr>
              <w:tabs>
                <w:tab w:val="right" w:pos="1202"/>
              </w:tabs>
              <w:spacing w:after="0" w:line="280" w:lineRule="exact"/>
              <w:jc w:val="right"/>
              <w:outlineLvl w:val="0"/>
              <w:rPr>
                <w:rFonts w:eastAsia="Times New Roman" w:cs="Arial"/>
                <w:spacing w:val="-2"/>
                <w:sz w:val="18"/>
                <w:szCs w:val="18"/>
              </w:rPr>
            </w:pPr>
            <w:r>
              <w:rPr>
                <w:rFonts w:cs="Arial"/>
                <w:sz w:val="18"/>
                <w:szCs w:val="18"/>
              </w:rPr>
              <w:t>-</w:t>
            </w:r>
          </w:p>
        </w:tc>
        <w:tc>
          <w:tcPr>
            <w:tcW w:w="535" w:type="pct"/>
            <w:shd w:val="clear" w:color="auto" w:fill="auto"/>
            <w:vAlign w:val="bottom"/>
          </w:tcPr>
          <w:p w14:paraId="14DE3961" w14:textId="37B7A814" w:rsidR="00ED50BE" w:rsidRPr="009702B0" w:rsidRDefault="00ED50BE" w:rsidP="00ED50BE">
            <w:pPr>
              <w:spacing w:after="0" w:line="280" w:lineRule="exact"/>
              <w:jc w:val="right"/>
              <w:rPr>
                <w:rFonts w:cs="Arial"/>
                <w:sz w:val="18"/>
                <w:szCs w:val="18"/>
              </w:rPr>
            </w:pPr>
            <w:r>
              <w:rPr>
                <w:rFonts w:cs="Arial"/>
                <w:sz w:val="18"/>
                <w:szCs w:val="18"/>
              </w:rPr>
              <w:t>2,995,656</w:t>
            </w:r>
          </w:p>
        </w:tc>
        <w:tc>
          <w:tcPr>
            <w:tcW w:w="535" w:type="pct"/>
            <w:shd w:val="clear" w:color="auto" w:fill="auto"/>
            <w:vAlign w:val="bottom"/>
          </w:tcPr>
          <w:p w14:paraId="2C4BEC78" w14:textId="1BB7DA70" w:rsidR="00ED50BE" w:rsidRPr="009702B0" w:rsidRDefault="00ED50BE" w:rsidP="00ED50BE">
            <w:pPr>
              <w:spacing w:after="0" w:line="280" w:lineRule="exact"/>
              <w:jc w:val="right"/>
              <w:rPr>
                <w:rFonts w:cs="Arial"/>
                <w:sz w:val="18"/>
                <w:szCs w:val="18"/>
              </w:rPr>
            </w:pPr>
            <w:r>
              <w:rPr>
                <w:rFonts w:cs="Arial"/>
                <w:sz w:val="18"/>
                <w:szCs w:val="18"/>
              </w:rPr>
              <w:t>2,995,656</w:t>
            </w:r>
          </w:p>
        </w:tc>
      </w:tr>
      <w:tr w:rsidR="00ED50BE" w:rsidRPr="009702B0" w14:paraId="4A627D73" w14:textId="77777777" w:rsidTr="00166751">
        <w:tc>
          <w:tcPr>
            <w:tcW w:w="1255" w:type="pct"/>
          </w:tcPr>
          <w:p w14:paraId="72317C35" w14:textId="77777777" w:rsidR="00ED50BE" w:rsidRPr="009702B0" w:rsidRDefault="00ED50BE" w:rsidP="00ED50BE">
            <w:pPr>
              <w:tabs>
                <w:tab w:val="right" w:pos="1202"/>
              </w:tabs>
              <w:spacing w:after="0" w:line="280" w:lineRule="exact"/>
              <w:outlineLvl w:val="0"/>
              <w:rPr>
                <w:rFonts w:eastAsia="Times New Roman" w:cs="Arial"/>
                <w:sz w:val="18"/>
                <w:szCs w:val="18"/>
              </w:rPr>
            </w:pPr>
            <w:r w:rsidRPr="009702B0">
              <w:rPr>
                <w:rFonts w:eastAsia="Times New Roman" w:cs="Arial"/>
                <w:sz w:val="18"/>
                <w:szCs w:val="18"/>
              </w:rPr>
              <w:t xml:space="preserve">Other reserves </w:t>
            </w:r>
          </w:p>
        </w:tc>
        <w:tc>
          <w:tcPr>
            <w:tcW w:w="535" w:type="pct"/>
            <w:tcBorders>
              <w:top w:val="nil"/>
              <w:left w:val="nil"/>
              <w:bottom w:val="nil"/>
              <w:right w:val="nil"/>
            </w:tcBorders>
            <w:shd w:val="clear" w:color="auto" w:fill="auto"/>
            <w:vAlign w:val="bottom"/>
          </w:tcPr>
          <w:p w14:paraId="6F76FE0E" w14:textId="77777777" w:rsidR="00ED50BE" w:rsidRPr="009702B0" w:rsidRDefault="00ED50BE" w:rsidP="00ED50BE">
            <w:pPr>
              <w:tabs>
                <w:tab w:val="right" w:pos="1202"/>
              </w:tabs>
              <w:spacing w:after="0" w:line="280" w:lineRule="exact"/>
              <w:jc w:val="right"/>
              <w:outlineLvl w:val="0"/>
              <w:rPr>
                <w:rFonts w:eastAsia="Times New Roman"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42FD4237" w14:textId="77777777" w:rsidR="00ED50BE" w:rsidRPr="009702B0" w:rsidRDefault="00ED50BE" w:rsidP="00ED50BE">
            <w:pPr>
              <w:tabs>
                <w:tab w:val="right" w:pos="1202"/>
              </w:tabs>
              <w:spacing w:after="0" w:line="280" w:lineRule="exact"/>
              <w:jc w:val="right"/>
              <w:outlineLvl w:val="0"/>
              <w:rPr>
                <w:rFonts w:eastAsia="Times New Roman"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08E21DD0" w14:textId="77777777" w:rsidR="00ED50BE" w:rsidRPr="009702B0" w:rsidRDefault="00ED50BE" w:rsidP="00ED50BE">
            <w:pPr>
              <w:tabs>
                <w:tab w:val="right" w:pos="1202"/>
              </w:tabs>
              <w:spacing w:after="0" w:line="280" w:lineRule="exact"/>
              <w:jc w:val="right"/>
              <w:outlineLvl w:val="0"/>
              <w:rPr>
                <w:rFonts w:eastAsia="Times New Roman"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659E6244" w14:textId="77777777" w:rsidR="00ED50BE" w:rsidRPr="009702B0" w:rsidRDefault="00ED50BE" w:rsidP="00ED50BE">
            <w:pPr>
              <w:tabs>
                <w:tab w:val="right" w:pos="1202"/>
              </w:tabs>
              <w:spacing w:after="0" w:line="280" w:lineRule="exact"/>
              <w:jc w:val="right"/>
              <w:outlineLvl w:val="0"/>
              <w:rPr>
                <w:rFonts w:eastAsia="Times New Roman"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082CC344" w14:textId="77777777" w:rsidR="00ED50BE" w:rsidRPr="009702B0" w:rsidRDefault="00ED50BE" w:rsidP="00ED50BE">
            <w:pPr>
              <w:tabs>
                <w:tab w:val="right" w:pos="1202"/>
              </w:tabs>
              <w:spacing w:after="0" w:line="280" w:lineRule="exact"/>
              <w:jc w:val="right"/>
              <w:outlineLvl w:val="0"/>
              <w:rPr>
                <w:rFonts w:eastAsia="Times New Roman" w:cs="Arial"/>
                <w:spacing w:val="-2"/>
                <w:sz w:val="18"/>
                <w:szCs w:val="18"/>
              </w:rPr>
            </w:pPr>
            <w:r>
              <w:rPr>
                <w:rFonts w:cs="Arial"/>
                <w:sz w:val="18"/>
                <w:szCs w:val="18"/>
              </w:rPr>
              <w:t>-</w:t>
            </w:r>
          </w:p>
        </w:tc>
        <w:tc>
          <w:tcPr>
            <w:tcW w:w="535" w:type="pct"/>
            <w:shd w:val="clear" w:color="auto" w:fill="auto"/>
            <w:vAlign w:val="bottom"/>
          </w:tcPr>
          <w:p w14:paraId="384BC525" w14:textId="7743C5FD" w:rsidR="00ED50BE" w:rsidRPr="009702B0" w:rsidRDefault="00ED50BE" w:rsidP="00ED50BE">
            <w:pPr>
              <w:spacing w:after="0" w:line="280" w:lineRule="exact"/>
              <w:jc w:val="right"/>
              <w:rPr>
                <w:rFonts w:cs="Arial"/>
                <w:sz w:val="18"/>
                <w:szCs w:val="18"/>
              </w:rPr>
            </w:pPr>
            <w:r>
              <w:rPr>
                <w:rFonts w:cs="Arial"/>
                <w:sz w:val="18"/>
                <w:szCs w:val="18"/>
              </w:rPr>
              <w:t>86,336</w:t>
            </w:r>
          </w:p>
        </w:tc>
        <w:tc>
          <w:tcPr>
            <w:tcW w:w="535" w:type="pct"/>
            <w:shd w:val="clear" w:color="auto" w:fill="auto"/>
            <w:vAlign w:val="bottom"/>
          </w:tcPr>
          <w:p w14:paraId="4DD6F42F" w14:textId="7E0F69CD" w:rsidR="00ED50BE" w:rsidRPr="009702B0" w:rsidRDefault="00ED50BE" w:rsidP="00ED50BE">
            <w:pPr>
              <w:spacing w:after="0" w:line="280" w:lineRule="exact"/>
              <w:jc w:val="right"/>
              <w:rPr>
                <w:rFonts w:cs="Arial"/>
                <w:sz w:val="18"/>
                <w:szCs w:val="18"/>
              </w:rPr>
            </w:pPr>
            <w:r>
              <w:rPr>
                <w:rFonts w:cs="Arial"/>
                <w:sz w:val="18"/>
                <w:szCs w:val="18"/>
              </w:rPr>
              <w:t>86,336</w:t>
            </w:r>
          </w:p>
        </w:tc>
      </w:tr>
      <w:tr w:rsidR="00ED50BE" w:rsidRPr="009702B0" w14:paraId="3EB6EA59" w14:textId="77777777" w:rsidTr="00166751">
        <w:tc>
          <w:tcPr>
            <w:tcW w:w="1255" w:type="pct"/>
          </w:tcPr>
          <w:p w14:paraId="3F737E78" w14:textId="77777777" w:rsidR="00ED50BE" w:rsidRPr="009702B0" w:rsidRDefault="00ED50BE" w:rsidP="00ED50BE">
            <w:pPr>
              <w:tabs>
                <w:tab w:val="right" w:pos="1202"/>
              </w:tabs>
              <w:spacing w:after="0" w:line="280" w:lineRule="exact"/>
              <w:outlineLvl w:val="0"/>
              <w:rPr>
                <w:rFonts w:eastAsia="Times New Roman" w:cs="Arial"/>
                <w:sz w:val="18"/>
                <w:szCs w:val="18"/>
              </w:rPr>
            </w:pPr>
            <w:r w:rsidRPr="009702B0">
              <w:rPr>
                <w:rFonts w:eastAsia="Times New Roman" w:cs="Arial"/>
                <w:sz w:val="18"/>
                <w:szCs w:val="18"/>
              </w:rPr>
              <w:t xml:space="preserve">Net profit for the year </w:t>
            </w:r>
          </w:p>
        </w:tc>
        <w:tc>
          <w:tcPr>
            <w:tcW w:w="535" w:type="pct"/>
            <w:tcBorders>
              <w:top w:val="nil"/>
              <w:left w:val="nil"/>
              <w:bottom w:val="nil"/>
              <w:right w:val="nil"/>
            </w:tcBorders>
            <w:shd w:val="clear" w:color="auto" w:fill="auto"/>
            <w:vAlign w:val="bottom"/>
          </w:tcPr>
          <w:p w14:paraId="4CC78554" w14:textId="77777777" w:rsidR="00ED50BE" w:rsidRPr="009702B0" w:rsidRDefault="00ED50BE" w:rsidP="00ED50BE">
            <w:pPr>
              <w:spacing w:after="0" w:line="280" w:lineRule="exact"/>
              <w:jc w:val="right"/>
              <w:rPr>
                <w:rFonts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1D52C926" w14:textId="77777777" w:rsidR="00ED50BE" w:rsidRPr="009702B0" w:rsidRDefault="00ED50BE" w:rsidP="00ED50BE">
            <w:pPr>
              <w:spacing w:after="0" w:line="280" w:lineRule="exact"/>
              <w:jc w:val="right"/>
              <w:rPr>
                <w:rFonts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0BFB8449" w14:textId="77777777" w:rsidR="00ED50BE" w:rsidRPr="009702B0" w:rsidRDefault="00ED50BE" w:rsidP="00ED50BE">
            <w:pPr>
              <w:spacing w:after="0" w:line="280" w:lineRule="exact"/>
              <w:jc w:val="right"/>
              <w:rPr>
                <w:rFonts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4B0E90F4" w14:textId="77777777" w:rsidR="00ED50BE" w:rsidRPr="009702B0" w:rsidRDefault="00ED50BE" w:rsidP="00ED50BE">
            <w:pPr>
              <w:spacing w:after="0" w:line="280" w:lineRule="exact"/>
              <w:jc w:val="right"/>
              <w:rPr>
                <w:rFonts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14:paraId="08DBAF78" w14:textId="77777777" w:rsidR="00ED50BE" w:rsidRPr="009702B0" w:rsidRDefault="00ED50BE" w:rsidP="00ED50BE">
            <w:pPr>
              <w:spacing w:after="0" w:line="280" w:lineRule="exact"/>
              <w:jc w:val="right"/>
              <w:rPr>
                <w:rFonts w:cs="Arial"/>
                <w:spacing w:val="-2"/>
                <w:sz w:val="18"/>
                <w:szCs w:val="18"/>
              </w:rPr>
            </w:pPr>
            <w:r>
              <w:rPr>
                <w:rFonts w:cs="Arial"/>
                <w:sz w:val="18"/>
                <w:szCs w:val="18"/>
              </w:rPr>
              <w:t>-</w:t>
            </w:r>
          </w:p>
        </w:tc>
        <w:tc>
          <w:tcPr>
            <w:tcW w:w="535" w:type="pct"/>
            <w:tcBorders>
              <w:top w:val="nil"/>
              <w:left w:val="nil"/>
              <w:bottom w:val="single" w:sz="4" w:space="0" w:color="auto"/>
              <w:right w:val="nil"/>
            </w:tcBorders>
            <w:shd w:val="clear" w:color="auto" w:fill="auto"/>
            <w:vAlign w:val="bottom"/>
          </w:tcPr>
          <w:p w14:paraId="6EE7455D" w14:textId="305AD715" w:rsidR="00ED50BE" w:rsidRPr="009702B0" w:rsidRDefault="00ED50BE" w:rsidP="00ED50BE">
            <w:pPr>
              <w:spacing w:after="0" w:line="280" w:lineRule="exact"/>
              <w:jc w:val="right"/>
              <w:rPr>
                <w:rFonts w:cs="Arial"/>
                <w:sz w:val="18"/>
                <w:szCs w:val="18"/>
              </w:rPr>
            </w:pPr>
            <w:r>
              <w:rPr>
                <w:rFonts w:cs="Arial"/>
                <w:sz w:val="18"/>
                <w:szCs w:val="18"/>
              </w:rPr>
              <w:t>175,511</w:t>
            </w:r>
          </w:p>
        </w:tc>
        <w:tc>
          <w:tcPr>
            <w:tcW w:w="535" w:type="pct"/>
            <w:tcBorders>
              <w:top w:val="nil"/>
              <w:left w:val="nil"/>
              <w:bottom w:val="single" w:sz="4" w:space="0" w:color="auto"/>
              <w:right w:val="nil"/>
            </w:tcBorders>
            <w:shd w:val="clear" w:color="auto" w:fill="auto"/>
            <w:vAlign w:val="bottom"/>
          </w:tcPr>
          <w:p w14:paraId="395CF885" w14:textId="27FA12FA" w:rsidR="00ED50BE" w:rsidRPr="009702B0" w:rsidRDefault="00ED50BE" w:rsidP="00ED50BE">
            <w:pPr>
              <w:spacing w:after="0" w:line="280" w:lineRule="exact"/>
              <w:jc w:val="right"/>
              <w:rPr>
                <w:rFonts w:cs="Arial"/>
                <w:sz w:val="18"/>
                <w:szCs w:val="18"/>
              </w:rPr>
            </w:pPr>
            <w:r>
              <w:rPr>
                <w:rFonts w:cs="Arial"/>
                <w:sz w:val="18"/>
                <w:szCs w:val="18"/>
              </w:rPr>
              <w:t>175,511</w:t>
            </w:r>
          </w:p>
        </w:tc>
      </w:tr>
      <w:tr w:rsidR="00ED50BE" w:rsidRPr="009702B0" w14:paraId="16FE28DE" w14:textId="77777777" w:rsidTr="00166751">
        <w:tc>
          <w:tcPr>
            <w:tcW w:w="1255" w:type="pct"/>
          </w:tcPr>
          <w:p w14:paraId="0A491E9E" w14:textId="77777777" w:rsidR="00ED50BE" w:rsidRPr="009702B0" w:rsidRDefault="00ED50BE" w:rsidP="00ED50BE">
            <w:pPr>
              <w:tabs>
                <w:tab w:val="right" w:pos="1202"/>
              </w:tabs>
              <w:spacing w:after="0" w:line="280" w:lineRule="exact"/>
              <w:outlineLvl w:val="0"/>
              <w:rPr>
                <w:rFonts w:eastAsia="Times New Roman" w:cs="Arial"/>
                <w:sz w:val="18"/>
                <w:szCs w:val="18"/>
              </w:rPr>
            </w:pPr>
            <w:r w:rsidRPr="009702B0">
              <w:rPr>
                <w:rFonts w:eastAsia="Times New Roman" w:cs="Arial"/>
                <w:b/>
                <w:bCs/>
                <w:sz w:val="18"/>
                <w:szCs w:val="18"/>
              </w:rPr>
              <w:t xml:space="preserve">Capital </w:t>
            </w:r>
          </w:p>
        </w:tc>
        <w:tc>
          <w:tcPr>
            <w:tcW w:w="535" w:type="pct"/>
            <w:tcBorders>
              <w:top w:val="single" w:sz="6" w:space="0" w:color="auto"/>
              <w:left w:val="nil"/>
              <w:bottom w:val="single" w:sz="12" w:space="0" w:color="auto"/>
              <w:right w:val="nil"/>
            </w:tcBorders>
            <w:vAlign w:val="bottom"/>
          </w:tcPr>
          <w:p w14:paraId="32285569" w14:textId="77777777" w:rsidR="00ED50BE" w:rsidRPr="009702B0" w:rsidRDefault="00ED50BE" w:rsidP="00ED50BE">
            <w:pPr>
              <w:tabs>
                <w:tab w:val="right" w:pos="1202"/>
              </w:tabs>
              <w:spacing w:after="0" w:line="280" w:lineRule="exact"/>
              <w:jc w:val="right"/>
              <w:outlineLvl w:val="0"/>
              <w:rPr>
                <w:rFonts w:eastAsia="Times New Roman" w:cs="Arial"/>
                <w:b/>
                <w:bCs/>
                <w:spacing w:val="-2"/>
                <w:sz w:val="18"/>
                <w:szCs w:val="18"/>
              </w:rPr>
            </w:pPr>
            <w:r>
              <w:rPr>
                <w:rFonts w:asciiTheme="minorHAnsi" w:hAnsiTheme="minorHAnsi" w:cs="Arial"/>
                <w:b/>
                <w:bCs/>
                <w:spacing w:val="-2"/>
                <w:sz w:val="18"/>
                <w:szCs w:val="18"/>
                <w:lang w:val="pl-PL"/>
              </w:rPr>
              <w:t>-</w:t>
            </w:r>
          </w:p>
        </w:tc>
        <w:tc>
          <w:tcPr>
            <w:tcW w:w="535" w:type="pct"/>
            <w:tcBorders>
              <w:top w:val="single" w:sz="6" w:space="0" w:color="auto"/>
              <w:left w:val="nil"/>
              <w:bottom w:val="single" w:sz="12" w:space="0" w:color="auto"/>
              <w:right w:val="nil"/>
            </w:tcBorders>
            <w:vAlign w:val="bottom"/>
          </w:tcPr>
          <w:p w14:paraId="506177F5" w14:textId="77777777" w:rsidR="00ED50BE" w:rsidRPr="009702B0" w:rsidRDefault="00ED50BE" w:rsidP="00ED50BE">
            <w:pPr>
              <w:tabs>
                <w:tab w:val="right" w:pos="1202"/>
              </w:tabs>
              <w:spacing w:after="0" w:line="280" w:lineRule="exact"/>
              <w:jc w:val="right"/>
              <w:outlineLvl w:val="0"/>
              <w:rPr>
                <w:rFonts w:eastAsia="Times New Roman" w:cs="Arial"/>
                <w:b/>
                <w:bCs/>
                <w:spacing w:val="-2"/>
                <w:sz w:val="18"/>
                <w:szCs w:val="18"/>
              </w:rPr>
            </w:pPr>
            <w:r>
              <w:rPr>
                <w:rFonts w:asciiTheme="minorHAnsi" w:hAnsiTheme="minorHAnsi" w:cs="Arial"/>
                <w:b/>
                <w:bCs/>
                <w:spacing w:val="-2"/>
                <w:sz w:val="18"/>
                <w:szCs w:val="18"/>
                <w:lang w:val="pl-PL"/>
              </w:rPr>
              <w:t>-</w:t>
            </w:r>
          </w:p>
        </w:tc>
        <w:tc>
          <w:tcPr>
            <w:tcW w:w="535" w:type="pct"/>
            <w:tcBorders>
              <w:top w:val="single" w:sz="6" w:space="0" w:color="auto"/>
              <w:left w:val="nil"/>
              <w:bottom w:val="single" w:sz="12" w:space="0" w:color="auto"/>
              <w:right w:val="nil"/>
            </w:tcBorders>
            <w:vAlign w:val="bottom"/>
          </w:tcPr>
          <w:p w14:paraId="4643D18A" w14:textId="77777777" w:rsidR="00ED50BE" w:rsidRPr="009702B0" w:rsidRDefault="00ED50BE" w:rsidP="00ED50BE">
            <w:pPr>
              <w:tabs>
                <w:tab w:val="right" w:pos="1202"/>
              </w:tabs>
              <w:spacing w:after="0" w:line="280" w:lineRule="exact"/>
              <w:jc w:val="right"/>
              <w:outlineLvl w:val="0"/>
              <w:rPr>
                <w:rFonts w:eastAsia="Times New Roman" w:cs="Arial"/>
                <w:b/>
                <w:bCs/>
                <w:spacing w:val="-2"/>
                <w:sz w:val="18"/>
                <w:szCs w:val="18"/>
              </w:rPr>
            </w:pPr>
            <w:r>
              <w:rPr>
                <w:rFonts w:asciiTheme="minorHAnsi" w:hAnsiTheme="minorHAnsi" w:cs="Arial"/>
                <w:b/>
                <w:bCs/>
                <w:spacing w:val="-2"/>
                <w:sz w:val="18"/>
                <w:szCs w:val="18"/>
                <w:lang w:val="pl-PL"/>
              </w:rPr>
              <w:t>-</w:t>
            </w:r>
          </w:p>
        </w:tc>
        <w:tc>
          <w:tcPr>
            <w:tcW w:w="535" w:type="pct"/>
            <w:tcBorders>
              <w:top w:val="single" w:sz="6" w:space="0" w:color="auto"/>
              <w:left w:val="nil"/>
              <w:bottom w:val="single" w:sz="12" w:space="0" w:color="auto"/>
              <w:right w:val="nil"/>
            </w:tcBorders>
            <w:vAlign w:val="bottom"/>
          </w:tcPr>
          <w:p w14:paraId="32CA6550" w14:textId="77777777" w:rsidR="00ED50BE" w:rsidRPr="009702B0" w:rsidRDefault="00ED50BE" w:rsidP="00ED50BE">
            <w:pPr>
              <w:tabs>
                <w:tab w:val="right" w:pos="1202"/>
              </w:tabs>
              <w:spacing w:after="0" w:line="280" w:lineRule="exact"/>
              <w:jc w:val="right"/>
              <w:outlineLvl w:val="0"/>
              <w:rPr>
                <w:rFonts w:eastAsia="Times New Roman" w:cs="Arial"/>
                <w:b/>
                <w:bCs/>
                <w:spacing w:val="-2"/>
                <w:sz w:val="18"/>
                <w:szCs w:val="18"/>
              </w:rPr>
            </w:pPr>
            <w:r>
              <w:rPr>
                <w:rFonts w:asciiTheme="minorHAnsi" w:hAnsiTheme="minorHAnsi" w:cs="Arial"/>
                <w:b/>
                <w:bCs/>
                <w:spacing w:val="-2"/>
                <w:sz w:val="18"/>
                <w:szCs w:val="18"/>
                <w:lang w:val="pl-PL"/>
              </w:rPr>
              <w:t>-</w:t>
            </w:r>
          </w:p>
        </w:tc>
        <w:tc>
          <w:tcPr>
            <w:tcW w:w="535" w:type="pct"/>
            <w:tcBorders>
              <w:top w:val="single" w:sz="6" w:space="0" w:color="auto"/>
              <w:left w:val="nil"/>
              <w:bottom w:val="single" w:sz="12" w:space="0" w:color="auto"/>
              <w:right w:val="nil"/>
            </w:tcBorders>
            <w:vAlign w:val="bottom"/>
          </w:tcPr>
          <w:p w14:paraId="199D8129" w14:textId="77777777" w:rsidR="00ED50BE" w:rsidRPr="009702B0" w:rsidRDefault="00ED50BE" w:rsidP="00ED50BE">
            <w:pPr>
              <w:tabs>
                <w:tab w:val="right" w:pos="1202"/>
              </w:tabs>
              <w:spacing w:after="0" w:line="280" w:lineRule="exact"/>
              <w:jc w:val="right"/>
              <w:outlineLvl w:val="0"/>
              <w:rPr>
                <w:rFonts w:eastAsia="Times New Roman" w:cs="Arial"/>
                <w:b/>
                <w:bCs/>
                <w:spacing w:val="-2"/>
                <w:sz w:val="18"/>
                <w:szCs w:val="18"/>
              </w:rPr>
            </w:pPr>
            <w:r>
              <w:rPr>
                <w:rFonts w:asciiTheme="minorHAnsi" w:hAnsiTheme="minorHAnsi" w:cs="Arial"/>
                <w:b/>
                <w:bCs/>
                <w:spacing w:val="-2"/>
                <w:sz w:val="18"/>
                <w:szCs w:val="18"/>
                <w:lang w:val="pl-PL"/>
              </w:rPr>
              <w:t>-</w:t>
            </w:r>
          </w:p>
        </w:tc>
        <w:tc>
          <w:tcPr>
            <w:tcW w:w="535" w:type="pct"/>
            <w:tcBorders>
              <w:top w:val="single" w:sz="4" w:space="0" w:color="auto"/>
              <w:left w:val="nil"/>
              <w:bottom w:val="single" w:sz="12" w:space="0" w:color="auto"/>
              <w:right w:val="nil"/>
            </w:tcBorders>
            <w:shd w:val="clear" w:color="auto" w:fill="auto"/>
            <w:vAlign w:val="bottom"/>
          </w:tcPr>
          <w:p w14:paraId="4A70C63B" w14:textId="3FB6CC33" w:rsidR="00ED50BE" w:rsidRPr="005444AA" w:rsidRDefault="00ED50BE" w:rsidP="00ED50BE">
            <w:pPr>
              <w:spacing w:after="0" w:line="280" w:lineRule="exact"/>
              <w:jc w:val="right"/>
              <w:rPr>
                <w:rFonts w:eastAsia="Times New Roman" w:cs="Arial"/>
                <w:b/>
                <w:bCs/>
                <w:color w:val="000000"/>
                <w:sz w:val="18"/>
                <w:szCs w:val="18"/>
              </w:rPr>
            </w:pPr>
            <w:r>
              <w:rPr>
                <w:rFonts w:eastAsia="Times New Roman" w:cs="Arial"/>
                <w:b/>
                <w:bCs/>
                <w:color w:val="000000"/>
                <w:sz w:val="18"/>
                <w:szCs w:val="18"/>
              </w:rPr>
              <w:t>10,242,135</w:t>
            </w:r>
          </w:p>
        </w:tc>
        <w:tc>
          <w:tcPr>
            <w:tcW w:w="535" w:type="pct"/>
            <w:tcBorders>
              <w:top w:val="single" w:sz="4" w:space="0" w:color="auto"/>
              <w:left w:val="nil"/>
              <w:bottom w:val="single" w:sz="12" w:space="0" w:color="auto"/>
              <w:right w:val="nil"/>
            </w:tcBorders>
            <w:shd w:val="clear" w:color="auto" w:fill="auto"/>
            <w:vAlign w:val="bottom"/>
          </w:tcPr>
          <w:p w14:paraId="63719215" w14:textId="62C49006" w:rsidR="00ED50BE" w:rsidRPr="005444AA" w:rsidRDefault="00ED50BE" w:rsidP="00ED50BE">
            <w:pPr>
              <w:spacing w:after="0" w:line="280" w:lineRule="exact"/>
              <w:jc w:val="right"/>
              <w:rPr>
                <w:rFonts w:eastAsia="Times New Roman" w:cs="Arial"/>
                <w:b/>
                <w:bCs/>
                <w:color w:val="000000"/>
                <w:sz w:val="18"/>
                <w:szCs w:val="18"/>
              </w:rPr>
            </w:pPr>
            <w:r>
              <w:rPr>
                <w:rFonts w:eastAsia="Times New Roman" w:cs="Arial"/>
                <w:b/>
                <w:bCs/>
                <w:color w:val="000000"/>
                <w:sz w:val="18"/>
                <w:szCs w:val="18"/>
              </w:rPr>
              <w:t>10,242,135</w:t>
            </w:r>
          </w:p>
        </w:tc>
      </w:tr>
      <w:tr w:rsidR="00ED50BE" w:rsidRPr="009702B0" w14:paraId="28AFDF9E" w14:textId="77777777" w:rsidTr="00BA3F2A">
        <w:tc>
          <w:tcPr>
            <w:tcW w:w="1255" w:type="pct"/>
          </w:tcPr>
          <w:p w14:paraId="2F727C14" w14:textId="77777777" w:rsidR="00ED50BE" w:rsidRPr="009702B0" w:rsidRDefault="00ED50BE" w:rsidP="00ED50BE">
            <w:pPr>
              <w:tabs>
                <w:tab w:val="right" w:pos="1202"/>
              </w:tabs>
              <w:spacing w:after="0" w:line="280" w:lineRule="exact"/>
              <w:outlineLvl w:val="0"/>
              <w:rPr>
                <w:rFonts w:eastAsia="Times New Roman" w:cs="Arial"/>
                <w:sz w:val="18"/>
                <w:szCs w:val="18"/>
              </w:rPr>
            </w:pPr>
            <w:r w:rsidRPr="009702B0">
              <w:rPr>
                <w:rFonts w:eastAsia="Times New Roman" w:cs="Arial"/>
                <w:sz w:val="18"/>
                <w:szCs w:val="18"/>
              </w:rPr>
              <w:t>Guarantee fund</w:t>
            </w:r>
          </w:p>
        </w:tc>
        <w:tc>
          <w:tcPr>
            <w:tcW w:w="535" w:type="pct"/>
            <w:tcBorders>
              <w:top w:val="nil"/>
              <w:left w:val="nil"/>
              <w:bottom w:val="single" w:sz="6" w:space="0" w:color="auto"/>
              <w:right w:val="nil"/>
            </w:tcBorders>
            <w:vAlign w:val="center"/>
          </w:tcPr>
          <w:p w14:paraId="560EE448" w14:textId="77777777" w:rsidR="00ED50BE" w:rsidRPr="009702B0" w:rsidRDefault="00ED50BE" w:rsidP="00ED50BE">
            <w:pPr>
              <w:tabs>
                <w:tab w:val="right" w:pos="1202"/>
              </w:tabs>
              <w:spacing w:after="0" w:line="280" w:lineRule="exact"/>
              <w:jc w:val="right"/>
              <w:outlineLvl w:val="0"/>
              <w:rPr>
                <w:rFonts w:eastAsia="Times New Roman" w:cs="Arial"/>
                <w:spacing w:val="-2"/>
                <w:sz w:val="18"/>
                <w:szCs w:val="18"/>
              </w:rPr>
            </w:pPr>
            <w:r>
              <w:rPr>
                <w:rFonts w:asciiTheme="minorHAnsi" w:hAnsiTheme="minorHAnsi" w:cs="Arial"/>
                <w:spacing w:val="-2"/>
                <w:sz w:val="18"/>
                <w:szCs w:val="18"/>
              </w:rPr>
              <w:t>-</w:t>
            </w:r>
          </w:p>
        </w:tc>
        <w:tc>
          <w:tcPr>
            <w:tcW w:w="535" w:type="pct"/>
            <w:tcBorders>
              <w:top w:val="nil"/>
              <w:left w:val="nil"/>
              <w:bottom w:val="single" w:sz="6" w:space="0" w:color="auto"/>
              <w:right w:val="nil"/>
            </w:tcBorders>
            <w:vAlign w:val="center"/>
          </w:tcPr>
          <w:p w14:paraId="14586FE8" w14:textId="77777777" w:rsidR="00ED50BE" w:rsidRPr="009702B0" w:rsidRDefault="00ED50BE" w:rsidP="00ED50BE">
            <w:pPr>
              <w:tabs>
                <w:tab w:val="right" w:pos="1202"/>
              </w:tabs>
              <w:spacing w:after="0" w:line="280" w:lineRule="exact"/>
              <w:jc w:val="right"/>
              <w:outlineLvl w:val="0"/>
              <w:rPr>
                <w:rFonts w:eastAsia="Times New Roman" w:cs="Arial"/>
                <w:spacing w:val="-2"/>
                <w:sz w:val="18"/>
                <w:szCs w:val="18"/>
              </w:rPr>
            </w:pPr>
            <w:r>
              <w:rPr>
                <w:rFonts w:asciiTheme="minorHAnsi" w:hAnsiTheme="minorHAnsi" w:cs="Arial"/>
                <w:spacing w:val="-2"/>
                <w:sz w:val="18"/>
                <w:szCs w:val="18"/>
              </w:rPr>
              <w:t>-</w:t>
            </w:r>
          </w:p>
        </w:tc>
        <w:tc>
          <w:tcPr>
            <w:tcW w:w="535" w:type="pct"/>
            <w:tcBorders>
              <w:top w:val="nil"/>
              <w:left w:val="nil"/>
              <w:bottom w:val="single" w:sz="6" w:space="0" w:color="auto"/>
              <w:right w:val="nil"/>
            </w:tcBorders>
            <w:vAlign w:val="center"/>
          </w:tcPr>
          <w:p w14:paraId="1FC9D147" w14:textId="77777777" w:rsidR="00ED50BE" w:rsidRPr="009702B0" w:rsidRDefault="00ED50BE" w:rsidP="00ED50BE">
            <w:pPr>
              <w:tabs>
                <w:tab w:val="right" w:pos="1202"/>
              </w:tabs>
              <w:spacing w:after="0" w:line="280" w:lineRule="exact"/>
              <w:jc w:val="right"/>
              <w:outlineLvl w:val="0"/>
              <w:rPr>
                <w:rFonts w:eastAsia="Times New Roman" w:cs="Arial"/>
                <w:spacing w:val="-2"/>
                <w:sz w:val="18"/>
                <w:szCs w:val="18"/>
              </w:rPr>
            </w:pPr>
            <w:r>
              <w:rPr>
                <w:rFonts w:asciiTheme="minorHAnsi" w:hAnsiTheme="minorHAnsi" w:cs="Arial"/>
                <w:spacing w:val="-2"/>
                <w:sz w:val="18"/>
                <w:szCs w:val="18"/>
              </w:rPr>
              <w:t>-</w:t>
            </w:r>
          </w:p>
        </w:tc>
        <w:tc>
          <w:tcPr>
            <w:tcW w:w="535" w:type="pct"/>
            <w:tcBorders>
              <w:top w:val="nil"/>
              <w:left w:val="nil"/>
              <w:bottom w:val="single" w:sz="6" w:space="0" w:color="auto"/>
              <w:right w:val="nil"/>
            </w:tcBorders>
            <w:vAlign w:val="center"/>
          </w:tcPr>
          <w:p w14:paraId="1C6E5AE6" w14:textId="77777777" w:rsidR="00ED50BE" w:rsidRPr="009702B0" w:rsidRDefault="00ED50BE" w:rsidP="00ED50BE">
            <w:pPr>
              <w:tabs>
                <w:tab w:val="right" w:pos="1202"/>
              </w:tabs>
              <w:spacing w:after="0" w:line="280" w:lineRule="exact"/>
              <w:jc w:val="right"/>
              <w:outlineLvl w:val="0"/>
              <w:rPr>
                <w:rFonts w:eastAsia="Times New Roman" w:cs="Arial"/>
                <w:spacing w:val="-2"/>
                <w:sz w:val="18"/>
                <w:szCs w:val="18"/>
              </w:rPr>
            </w:pPr>
            <w:r>
              <w:rPr>
                <w:rFonts w:asciiTheme="minorHAnsi" w:hAnsiTheme="minorHAnsi" w:cs="Arial"/>
                <w:spacing w:val="-2"/>
                <w:sz w:val="18"/>
                <w:szCs w:val="18"/>
              </w:rPr>
              <w:t>-</w:t>
            </w:r>
          </w:p>
        </w:tc>
        <w:tc>
          <w:tcPr>
            <w:tcW w:w="535" w:type="pct"/>
            <w:tcBorders>
              <w:top w:val="nil"/>
              <w:left w:val="nil"/>
              <w:bottom w:val="single" w:sz="6" w:space="0" w:color="auto"/>
              <w:right w:val="nil"/>
            </w:tcBorders>
            <w:vAlign w:val="center"/>
          </w:tcPr>
          <w:p w14:paraId="50A1F5AE" w14:textId="77777777" w:rsidR="00ED50BE" w:rsidRPr="009702B0" w:rsidRDefault="00ED50BE" w:rsidP="00ED50BE">
            <w:pPr>
              <w:tabs>
                <w:tab w:val="right" w:pos="1202"/>
              </w:tabs>
              <w:spacing w:after="0" w:line="280" w:lineRule="exact"/>
              <w:jc w:val="right"/>
              <w:outlineLvl w:val="0"/>
              <w:rPr>
                <w:rFonts w:eastAsia="Times New Roman" w:cs="Arial"/>
                <w:spacing w:val="-2"/>
                <w:sz w:val="18"/>
                <w:szCs w:val="18"/>
              </w:rPr>
            </w:pPr>
            <w:r>
              <w:rPr>
                <w:rFonts w:asciiTheme="minorHAnsi" w:hAnsiTheme="minorHAnsi" w:cs="Arial"/>
                <w:spacing w:val="-2"/>
                <w:sz w:val="18"/>
                <w:szCs w:val="18"/>
              </w:rPr>
              <w:t>-</w:t>
            </w:r>
          </w:p>
        </w:tc>
        <w:tc>
          <w:tcPr>
            <w:tcW w:w="535" w:type="pct"/>
            <w:tcBorders>
              <w:top w:val="nil"/>
              <w:left w:val="nil"/>
              <w:bottom w:val="single" w:sz="6" w:space="0" w:color="auto"/>
              <w:right w:val="nil"/>
            </w:tcBorders>
            <w:vAlign w:val="center"/>
          </w:tcPr>
          <w:p w14:paraId="705B0307" w14:textId="29D62BAB" w:rsidR="00ED50BE" w:rsidRPr="005444AA" w:rsidRDefault="00ED50BE" w:rsidP="00ED50BE">
            <w:pPr>
              <w:spacing w:after="0" w:line="280" w:lineRule="exact"/>
              <w:jc w:val="right"/>
              <w:rPr>
                <w:rFonts w:cs="Arial"/>
                <w:sz w:val="18"/>
                <w:szCs w:val="18"/>
              </w:rPr>
            </w:pPr>
            <w:r>
              <w:rPr>
                <w:rFonts w:asciiTheme="minorHAnsi" w:hAnsiTheme="minorHAnsi" w:cs="Arial"/>
                <w:spacing w:val="-2"/>
                <w:sz w:val="18"/>
                <w:szCs w:val="18"/>
                <w:lang w:val="hr-HR"/>
              </w:rPr>
              <w:t>12,276</w:t>
            </w:r>
          </w:p>
        </w:tc>
        <w:tc>
          <w:tcPr>
            <w:tcW w:w="535" w:type="pct"/>
            <w:tcBorders>
              <w:top w:val="nil"/>
              <w:left w:val="nil"/>
              <w:bottom w:val="single" w:sz="6" w:space="0" w:color="auto"/>
              <w:right w:val="nil"/>
            </w:tcBorders>
            <w:vAlign w:val="center"/>
          </w:tcPr>
          <w:p w14:paraId="6E90162E" w14:textId="185611C5" w:rsidR="00ED50BE" w:rsidRPr="005444AA" w:rsidRDefault="00ED50BE" w:rsidP="00ED50BE">
            <w:pPr>
              <w:spacing w:after="0" w:line="280" w:lineRule="exact"/>
              <w:jc w:val="right"/>
              <w:rPr>
                <w:rFonts w:cs="Arial"/>
                <w:sz w:val="18"/>
                <w:szCs w:val="18"/>
              </w:rPr>
            </w:pPr>
            <w:r>
              <w:rPr>
                <w:rFonts w:asciiTheme="minorHAnsi" w:hAnsiTheme="minorHAnsi" w:cs="Arial"/>
                <w:spacing w:val="-2"/>
                <w:sz w:val="18"/>
                <w:szCs w:val="18"/>
                <w:lang w:val="hr-HR"/>
              </w:rPr>
              <w:t>12,276</w:t>
            </w:r>
          </w:p>
        </w:tc>
      </w:tr>
      <w:tr w:rsidR="00ED50BE" w:rsidRPr="009702B0" w14:paraId="6908521F" w14:textId="77777777" w:rsidTr="00D52976">
        <w:tc>
          <w:tcPr>
            <w:tcW w:w="1255" w:type="pct"/>
          </w:tcPr>
          <w:p w14:paraId="7E228271" w14:textId="77777777" w:rsidR="00ED50BE" w:rsidRPr="009702B0" w:rsidRDefault="00ED50BE" w:rsidP="00ED50BE">
            <w:pPr>
              <w:tabs>
                <w:tab w:val="right" w:pos="1202"/>
              </w:tabs>
              <w:spacing w:after="0" w:line="280" w:lineRule="exact"/>
              <w:outlineLvl w:val="0"/>
              <w:rPr>
                <w:rFonts w:eastAsia="Times New Roman" w:cs="Arial"/>
                <w:b/>
                <w:bCs/>
                <w:sz w:val="18"/>
                <w:szCs w:val="18"/>
              </w:rPr>
            </w:pPr>
            <w:r w:rsidRPr="009702B0">
              <w:rPr>
                <w:rFonts w:eastAsia="Times New Roman" w:cs="Arial"/>
                <w:b/>
                <w:bCs/>
                <w:sz w:val="18"/>
                <w:szCs w:val="18"/>
              </w:rPr>
              <w:t xml:space="preserve">Total equity </w:t>
            </w:r>
          </w:p>
        </w:tc>
        <w:tc>
          <w:tcPr>
            <w:tcW w:w="535" w:type="pct"/>
            <w:tcBorders>
              <w:top w:val="nil"/>
              <w:left w:val="nil"/>
              <w:bottom w:val="single" w:sz="12" w:space="0" w:color="auto"/>
              <w:right w:val="nil"/>
            </w:tcBorders>
            <w:vAlign w:val="center"/>
          </w:tcPr>
          <w:p w14:paraId="0CF32549" w14:textId="77777777" w:rsidR="00ED50BE" w:rsidRPr="009702B0" w:rsidRDefault="00ED50BE" w:rsidP="00ED50BE">
            <w:pPr>
              <w:tabs>
                <w:tab w:val="right" w:pos="1202"/>
              </w:tabs>
              <w:spacing w:after="0" w:line="280" w:lineRule="exact"/>
              <w:jc w:val="right"/>
              <w:outlineLvl w:val="0"/>
              <w:rPr>
                <w:rFonts w:eastAsia="Times New Roman" w:cs="Arial"/>
                <w:b/>
                <w:bCs/>
                <w:spacing w:val="-2"/>
                <w:sz w:val="18"/>
                <w:szCs w:val="18"/>
              </w:rPr>
            </w:pPr>
            <w:r>
              <w:rPr>
                <w:rFonts w:asciiTheme="minorHAnsi" w:hAnsiTheme="minorHAnsi" w:cs="Arial"/>
                <w:b/>
                <w:bCs/>
                <w:spacing w:val="-2"/>
                <w:sz w:val="18"/>
                <w:szCs w:val="18"/>
                <w:lang w:val="de-DE"/>
              </w:rPr>
              <w:t>-</w:t>
            </w:r>
          </w:p>
        </w:tc>
        <w:tc>
          <w:tcPr>
            <w:tcW w:w="535" w:type="pct"/>
            <w:tcBorders>
              <w:top w:val="nil"/>
              <w:left w:val="nil"/>
              <w:bottom w:val="single" w:sz="12" w:space="0" w:color="auto"/>
              <w:right w:val="nil"/>
            </w:tcBorders>
            <w:vAlign w:val="center"/>
          </w:tcPr>
          <w:p w14:paraId="66EA1B4A" w14:textId="77777777" w:rsidR="00ED50BE" w:rsidRPr="009702B0" w:rsidRDefault="00ED50BE" w:rsidP="00ED50BE">
            <w:pPr>
              <w:tabs>
                <w:tab w:val="right" w:pos="1202"/>
              </w:tabs>
              <w:spacing w:after="0" w:line="280" w:lineRule="exact"/>
              <w:jc w:val="right"/>
              <w:outlineLvl w:val="0"/>
              <w:rPr>
                <w:rFonts w:eastAsia="Times New Roman" w:cs="Arial"/>
                <w:b/>
                <w:bCs/>
                <w:spacing w:val="-2"/>
                <w:sz w:val="18"/>
                <w:szCs w:val="18"/>
              </w:rPr>
            </w:pPr>
            <w:r>
              <w:rPr>
                <w:rFonts w:asciiTheme="minorHAnsi" w:hAnsiTheme="minorHAnsi" w:cs="Arial"/>
                <w:b/>
                <w:bCs/>
                <w:spacing w:val="-2"/>
                <w:sz w:val="18"/>
                <w:szCs w:val="18"/>
                <w:lang w:val="de-DE"/>
              </w:rPr>
              <w:t>-</w:t>
            </w:r>
          </w:p>
        </w:tc>
        <w:tc>
          <w:tcPr>
            <w:tcW w:w="535" w:type="pct"/>
            <w:tcBorders>
              <w:top w:val="nil"/>
              <w:left w:val="nil"/>
              <w:bottom w:val="single" w:sz="12" w:space="0" w:color="auto"/>
              <w:right w:val="nil"/>
            </w:tcBorders>
            <w:vAlign w:val="center"/>
          </w:tcPr>
          <w:p w14:paraId="3E25C172" w14:textId="77777777" w:rsidR="00ED50BE" w:rsidRPr="009702B0" w:rsidRDefault="00ED50BE" w:rsidP="00ED50BE">
            <w:pPr>
              <w:tabs>
                <w:tab w:val="right" w:pos="1202"/>
              </w:tabs>
              <w:spacing w:after="0" w:line="280" w:lineRule="exact"/>
              <w:jc w:val="right"/>
              <w:outlineLvl w:val="0"/>
              <w:rPr>
                <w:rFonts w:eastAsia="Times New Roman" w:cs="Arial"/>
                <w:b/>
                <w:bCs/>
                <w:spacing w:val="-2"/>
                <w:sz w:val="18"/>
                <w:szCs w:val="18"/>
              </w:rPr>
            </w:pPr>
            <w:r>
              <w:rPr>
                <w:rFonts w:asciiTheme="minorHAnsi" w:hAnsiTheme="minorHAnsi" w:cs="Arial"/>
                <w:b/>
                <w:bCs/>
                <w:spacing w:val="-2"/>
                <w:sz w:val="18"/>
                <w:szCs w:val="18"/>
                <w:lang w:val="de-DE"/>
              </w:rPr>
              <w:t>-</w:t>
            </w:r>
          </w:p>
        </w:tc>
        <w:tc>
          <w:tcPr>
            <w:tcW w:w="535" w:type="pct"/>
            <w:tcBorders>
              <w:top w:val="nil"/>
              <w:left w:val="nil"/>
              <w:bottom w:val="single" w:sz="12" w:space="0" w:color="auto"/>
              <w:right w:val="nil"/>
            </w:tcBorders>
            <w:vAlign w:val="center"/>
          </w:tcPr>
          <w:p w14:paraId="497B0AE7" w14:textId="77777777" w:rsidR="00ED50BE" w:rsidRPr="009702B0" w:rsidRDefault="00ED50BE" w:rsidP="00ED50BE">
            <w:pPr>
              <w:tabs>
                <w:tab w:val="right" w:pos="1202"/>
              </w:tabs>
              <w:spacing w:after="0" w:line="280" w:lineRule="exact"/>
              <w:jc w:val="right"/>
              <w:outlineLvl w:val="0"/>
              <w:rPr>
                <w:rFonts w:eastAsia="Times New Roman" w:cs="Arial"/>
                <w:b/>
                <w:bCs/>
                <w:spacing w:val="-2"/>
                <w:sz w:val="18"/>
                <w:szCs w:val="18"/>
              </w:rPr>
            </w:pPr>
            <w:r>
              <w:rPr>
                <w:rFonts w:asciiTheme="minorHAnsi" w:hAnsiTheme="minorHAnsi" w:cs="Arial"/>
                <w:b/>
                <w:bCs/>
                <w:spacing w:val="-2"/>
                <w:sz w:val="18"/>
                <w:szCs w:val="18"/>
                <w:lang w:val="de-DE"/>
              </w:rPr>
              <w:t>-</w:t>
            </w:r>
          </w:p>
        </w:tc>
        <w:tc>
          <w:tcPr>
            <w:tcW w:w="535" w:type="pct"/>
            <w:tcBorders>
              <w:top w:val="nil"/>
              <w:left w:val="nil"/>
              <w:bottom w:val="single" w:sz="12" w:space="0" w:color="auto"/>
              <w:right w:val="nil"/>
            </w:tcBorders>
            <w:vAlign w:val="center"/>
          </w:tcPr>
          <w:p w14:paraId="105E2D9E" w14:textId="77777777" w:rsidR="00ED50BE" w:rsidRPr="009702B0" w:rsidRDefault="00ED50BE" w:rsidP="00ED50BE">
            <w:pPr>
              <w:tabs>
                <w:tab w:val="right" w:pos="1202"/>
              </w:tabs>
              <w:spacing w:after="0" w:line="280" w:lineRule="exact"/>
              <w:jc w:val="right"/>
              <w:outlineLvl w:val="0"/>
              <w:rPr>
                <w:rFonts w:eastAsia="Times New Roman" w:cs="Arial"/>
                <w:b/>
                <w:bCs/>
                <w:spacing w:val="-2"/>
                <w:sz w:val="18"/>
                <w:szCs w:val="18"/>
              </w:rPr>
            </w:pPr>
            <w:r>
              <w:rPr>
                <w:rFonts w:asciiTheme="minorHAnsi" w:hAnsiTheme="minorHAnsi" w:cs="Arial"/>
                <w:b/>
                <w:bCs/>
                <w:spacing w:val="-2"/>
                <w:sz w:val="18"/>
                <w:szCs w:val="18"/>
                <w:lang w:val="de-DE"/>
              </w:rPr>
              <w:t>-</w:t>
            </w:r>
          </w:p>
        </w:tc>
        <w:tc>
          <w:tcPr>
            <w:tcW w:w="535" w:type="pct"/>
            <w:tcBorders>
              <w:top w:val="nil"/>
              <w:left w:val="nil"/>
              <w:bottom w:val="single" w:sz="12" w:space="0" w:color="auto"/>
              <w:right w:val="nil"/>
            </w:tcBorders>
            <w:shd w:val="clear" w:color="auto" w:fill="auto"/>
            <w:vAlign w:val="center"/>
          </w:tcPr>
          <w:p w14:paraId="0808B6E1" w14:textId="38F47374" w:rsidR="00ED50BE" w:rsidRPr="005444AA" w:rsidRDefault="00ED50BE" w:rsidP="00ED50BE">
            <w:pPr>
              <w:spacing w:after="0" w:line="280" w:lineRule="exact"/>
              <w:jc w:val="right"/>
              <w:rPr>
                <w:rFonts w:eastAsia="Times New Roman" w:cs="Arial"/>
                <w:b/>
                <w:bCs/>
                <w:color w:val="000000"/>
                <w:sz w:val="18"/>
                <w:szCs w:val="18"/>
              </w:rPr>
            </w:pPr>
            <w:r>
              <w:rPr>
                <w:rFonts w:eastAsia="Times New Roman" w:cs="Arial"/>
                <w:b/>
                <w:bCs/>
                <w:color w:val="000000"/>
                <w:sz w:val="18"/>
                <w:szCs w:val="18"/>
              </w:rPr>
              <w:t>10,254,411</w:t>
            </w:r>
          </w:p>
        </w:tc>
        <w:tc>
          <w:tcPr>
            <w:tcW w:w="535" w:type="pct"/>
            <w:tcBorders>
              <w:top w:val="nil"/>
              <w:left w:val="nil"/>
              <w:bottom w:val="single" w:sz="12" w:space="0" w:color="auto"/>
              <w:right w:val="nil"/>
            </w:tcBorders>
            <w:shd w:val="clear" w:color="auto" w:fill="auto"/>
            <w:vAlign w:val="center"/>
          </w:tcPr>
          <w:p w14:paraId="515C9D38" w14:textId="14FE0E86" w:rsidR="00ED50BE" w:rsidRPr="005444AA" w:rsidRDefault="00ED50BE" w:rsidP="00ED50BE">
            <w:pPr>
              <w:spacing w:after="0" w:line="280" w:lineRule="exact"/>
              <w:jc w:val="right"/>
              <w:rPr>
                <w:rFonts w:eastAsia="Times New Roman" w:cs="Arial"/>
                <w:b/>
                <w:bCs/>
                <w:color w:val="000000"/>
                <w:sz w:val="18"/>
                <w:szCs w:val="18"/>
              </w:rPr>
            </w:pPr>
            <w:r>
              <w:rPr>
                <w:rFonts w:eastAsia="Times New Roman" w:cs="Arial"/>
                <w:b/>
                <w:bCs/>
                <w:color w:val="000000"/>
                <w:sz w:val="18"/>
                <w:szCs w:val="18"/>
              </w:rPr>
              <w:t>10,254,411</w:t>
            </w:r>
          </w:p>
        </w:tc>
      </w:tr>
      <w:tr w:rsidR="00ED50BE" w:rsidRPr="009702B0" w14:paraId="39215C57" w14:textId="77777777" w:rsidTr="006B318F">
        <w:tc>
          <w:tcPr>
            <w:tcW w:w="1255" w:type="pct"/>
          </w:tcPr>
          <w:p w14:paraId="7F4354DC" w14:textId="77777777" w:rsidR="00ED50BE" w:rsidRPr="009702B0" w:rsidRDefault="00ED50BE" w:rsidP="00ED50BE">
            <w:pPr>
              <w:tabs>
                <w:tab w:val="right" w:pos="1202"/>
              </w:tabs>
              <w:spacing w:after="0" w:line="280" w:lineRule="exact"/>
              <w:outlineLvl w:val="0"/>
              <w:rPr>
                <w:rFonts w:eastAsia="Times New Roman" w:cs="Arial"/>
                <w:b/>
                <w:bCs/>
                <w:sz w:val="18"/>
                <w:szCs w:val="18"/>
              </w:rPr>
            </w:pPr>
            <w:r w:rsidRPr="009702B0">
              <w:rPr>
                <w:rFonts w:eastAsia="Times New Roman" w:cs="Arial"/>
                <w:b/>
                <w:bCs/>
                <w:sz w:val="18"/>
                <w:szCs w:val="18"/>
              </w:rPr>
              <w:t>Total liabilities and total equity (2)</w:t>
            </w:r>
          </w:p>
        </w:tc>
        <w:tc>
          <w:tcPr>
            <w:tcW w:w="535" w:type="pct"/>
            <w:tcBorders>
              <w:top w:val="nil"/>
              <w:left w:val="nil"/>
              <w:bottom w:val="single" w:sz="12" w:space="0" w:color="auto"/>
              <w:right w:val="nil"/>
            </w:tcBorders>
            <w:shd w:val="clear" w:color="auto" w:fill="auto"/>
            <w:vAlign w:val="bottom"/>
          </w:tcPr>
          <w:p w14:paraId="551B87D0" w14:textId="717FD4F0" w:rsidR="00ED50BE" w:rsidRPr="009702B0" w:rsidRDefault="00ED50BE" w:rsidP="00ED50BE">
            <w:pPr>
              <w:spacing w:after="0" w:line="280" w:lineRule="exact"/>
              <w:jc w:val="right"/>
              <w:rPr>
                <w:rFonts w:cs="Arial"/>
                <w:b/>
                <w:bCs/>
                <w:sz w:val="18"/>
                <w:szCs w:val="18"/>
              </w:rPr>
            </w:pPr>
            <w:r>
              <w:rPr>
                <w:rFonts w:eastAsia="Times New Roman" w:cs="Arial"/>
                <w:b/>
                <w:bCs/>
                <w:color w:val="000000"/>
                <w:sz w:val="18"/>
                <w:szCs w:val="18"/>
              </w:rPr>
              <w:t>719,252</w:t>
            </w:r>
          </w:p>
        </w:tc>
        <w:tc>
          <w:tcPr>
            <w:tcW w:w="535" w:type="pct"/>
            <w:tcBorders>
              <w:top w:val="nil"/>
              <w:left w:val="nil"/>
              <w:bottom w:val="single" w:sz="12" w:space="0" w:color="auto"/>
              <w:right w:val="nil"/>
            </w:tcBorders>
            <w:shd w:val="clear" w:color="auto" w:fill="auto"/>
            <w:vAlign w:val="bottom"/>
          </w:tcPr>
          <w:p w14:paraId="1C361533" w14:textId="588C2950" w:rsidR="00ED50BE" w:rsidRPr="009702B0" w:rsidRDefault="00ED50BE" w:rsidP="00ED50BE">
            <w:pPr>
              <w:spacing w:after="0" w:line="280" w:lineRule="exact"/>
              <w:jc w:val="right"/>
              <w:rPr>
                <w:rFonts w:cs="Arial"/>
                <w:b/>
                <w:bCs/>
                <w:sz w:val="18"/>
                <w:szCs w:val="18"/>
              </w:rPr>
            </w:pPr>
            <w:r>
              <w:rPr>
                <w:rFonts w:eastAsia="Times New Roman" w:cs="Arial"/>
                <w:b/>
                <w:bCs/>
                <w:color w:val="000000"/>
                <w:sz w:val="18"/>
                <w:szCs w:val="18"/>
              </w:rPr>
              <w:t>455,796</w:t>
            </w:r>
          </w:p>
        </w:tc>
        <w:tc>
          <w:tcPr>
            <w:tcW w:w="535" w:type="pct"/>
            <w:tcBorders>
              <w:top w:val="nil"/>
              <w:left w:val="nil"/>
              <w:bottom w:val="single" w:sz="12" w:space="0" w:color="auto"/>
              <w:right w:val="nil"/>
            </w:tcBorders>
            <w:shd w:val="clear" w:color="auto" w:fill="auto"/>
            <w:vAlign w:val="bottom"/>
          </w:tcPr>
          <w:p w14:paraId="61D808D0" w14:textId="27A1FCA8" w:rsidR="00ED50BE" w:rsidRPr="009702B0" w:rsidRDefault="00ED50BE" w:rsidP="00ED50BE">
            <w:pPr>
              <w:spacing w:after="0" w:line="280" w:lineRule="exact"/>
              <w:jc w:val="right"/>
              <w:rPr>
                <w:rFonts w:cs="Arial"/>
                <w:b/>
                <w:bCs/>
                <w:sz w:val="18"/>
                <w:szCs w:val="18"/>
              </w:rPr>
            </w:pPr>
            <w:r>
              <w:rPr>
                <w:rFonts w:eastAsia="Times New Roman" w:cs="Arial"/>
                <w:b/>
                <w:bCs/>
                <w:color w:val="000000"/>
                <w:sz w:val="18"/>
                <w:szCs w:val="18"/>
              </w:rPr>
              <w:t>1,175,171</w:t>
            </w:r>
          </w:p>
        </w:tc>
        <w:tc>
          <w:tcPr>
            <w:tcW w:w="535" w:type="pct"/>
            <w:tcBorders>
              <w:top w:val="nil"/>
              <w:left w:val="nil"/>
              <w:bottom w:val="single" w:sz="12" w:space="0" w:color="auto"/>
              <w:right w:val="nil"/>
            </w:tcBorders>
            <w:shd w:val="clear" w:color="auto" w:fill="auto"/>
            <w:vAlign w:val="bottom"/>
          </w:tcPr>
          <w:p w14:paraId="37D6F1C0" w14:textId="0C66834A" w:rsidR="00ED50BE" w:rsidRPr="009702B0" w:rsidRDefault="00ED50BE" w:rsidP="00ED50BE">
            <w:pPr>
              <w:spacing w:after="0" w:line="280" w:lineRule="exact"/>
              <w:jc w:val="right"/>
              <w:rPr>
                <w:rFonts w:cs="Arial"/>
                <w:b/>
                <w:bCs/>
                <w:sz w:val="18"/>
                <w:szCs w:val="18"/>
              </w:rPr>
            </w:pPr>
            <w:r>
              <w:rPr>
                <w:rFonts w:eastAsia="Times New Roman" w:cs="Arial"/>
                <w:b/>
                <w:bCs/>
                <w:color w:val="000000"/>
                <w:sz w:val="18"/>
                <w:szCs w:val="18"/>
              </w:rPr>
              <w:t>4,797,963</w:t>
            </w:r>
          </w:p>
        </w:tc>
        <w:tc>
          <w:tcPr>
            <w:tcW w:w="535" w:type="pct"/>
            <w:tcBorders>
              <w:top w:val="nil"/>
              <w:left w:val="nil"/>
              <w:bottom w:val="single" w:sz="12" w:space="0" w:color="auto"/>
              <w:right w:val="nil"/>
            </w:tcBorders>
            <w:shd w:val="clear" w:color="auto" w:fill="auto"/>
            <w:vAlign w:val="bottom"/>
          </w:tcPr>
          <w:p w14:paraId="4C051297" w14:textId="53C76195" w:rsidR="00ED50BE" w:rsidRPr="009702B0" w:rsidRDefault="00ED50BE" w:rsidP="00ED50BE">
            <w:pPr>
              <w:spacing w:after="0" w:line="280" w:lineRule="exact"/>
              <w:jc w:val="right"/>
              <w:rPr>
                <w:rFonts w:cs="Arial"/>
                <w:b/>
                <w:bCs/>
                <w:sz w:val="18"/>
                <w:szCs w:val="18"/>
              </w:rPr>
            </w:pPr>
            <w:r>
              <w:rPr>
                <w:rFonts w:eastAsia="Times New Roman" w:cs="Arial"/>
                <w:b/>
                <w:bCs/>
                <w:color w:val="000000"/>
                <w:sz w:val="18"/>
                <w:szCs w:val="18"/>
              </w:rPr>
              <w:t>9,874,189</w:t>
            </w:r>
          </w:p>
        </w:tc>
        <w:tc>
          <w:tcPr>
            <w:tcW w:w="535" w:type="pct"/>
            <w:tcBorders>
              <w:top w:val="nil"/>
              <w:left w:val="nil"/>
              <w:bottom w:val="single" w:sz="12" w:space="0" w:color="auto"/>
              <w:right w:val="nil"/>
            </w:tcBorders>
            <w:shd w:val="clear" w:color="auto" w:fill="auto"/>
            <w:vAlign w:val="bottom"/>
          </w:tcPr>
          <w:p w14:paraId="79A6FB66" w14:textId="22F777B5" w:rsidR="00ED50BE" w:rsidRPr="009702B0" w:rsidRDefault="00ED50BE" w:rsidP="00ED50BE">
            <w:pPr>
              <w:spacing w:after="0" w:line="280" w:lineRule="exact"/>
              <w:jc w:val="right"/>
              <w:rPr>
                <w:rFonts w:cs="Arial"/>
                <w:b/>
                <w:bCs/>
                <w:sz w:val="18"/>
                <w:szCs w:val="18"/>
              </w:rPr>
            </w:pPr>
            <w:r>
              <w:rPr>
                <w:rFonts w:eastAsia="Times New Roman" w:cs="Arial"/>
                <w:b/>
                <w:bCs/>
                <w:color w:val="000000"/>
                <w:sz w:val="18"/>
                <w:szCs w:val="18"/>
              </w:rPr>
              <w:t>11,259,224</w:t>
            </w:r>
          </w:p>
        </w:tc>
        <w:tc>
          <w:tcPr>
            <w:tcW w:w="535" w:type="pct"/>
            <w:tcBorders>
              <w:top w:val="nil"/>
              <w:left w:val="nil"/>
              <w:bottom w:val="single" w:sz="12" w:space="0" w:color="auto"/>
              <w:right w:val="nil"/>
            </w:tcBorders>
            <w:shd w:val="clear" w:color="auto" w:fill="auto"/>
            <w:vAlign w:val="bottom"/>
          </w:tcPr>
          <w:p w14:paraId="16078260" w14:textId="0AB827C9" w:rsidR="00ED50BE" w:rsidRPr="009702B0" w:rsidRDefault="00ED50BE" w:rsidP="00ED50BE">
            <w:pPr>
              <w:spacing w:after="0" w:line="280" w:lineRule="exact"/>
              <w:jc w:val="right"/>
              <w:rPr>
                <w:rFonts w:cs="Arial"/>
                <w:b/>
                <w:bCs/>
                <w:sz w:val="18"/>
                <w:szCs w:val="18"/>
              </w:rPr>
            </w:pPr>
            <w:r>
              <w:rPr>
                <w:rFonts w:eastAsia="Times New Roman" w:cs="Arial"/>
                <w:b/>
                <w:bCs/>
                <w:color w:val="000000"/>
                <w:sz w:val="18"/>
                <w:szCs w:val="18"/>
              </w:rPr>
              <w:t>28,281,595</w:t>
            </w:r>
          </w:p>
        </w:tc>
      </w:tr>
      <w:tr w:rsidR="00ED50BE" w:rsidRPr="009702B0" w14:paraId="7E095E25" w14:textId="77777777" w:rsidTr="00BA3F2A">
        <w:trPr>
          <w:trHeight w:val="371"/>
        </w:trPr>
        <w:tc>
          <w:tcPr>
            <w:tcW w:w="1255" w:type="pct"/>
            <w:vAlign w:val="bottom"/>
          </w:tcPr>
          <w:p w14:paraId="4FE049AD" w14:textId="77777777" w:rsidR="00ED50BE" w:rsidRPr="009702B0" w:rsidRDefault="00ED50BE" w:rsidP="00ED50BE">
            <w:pPr>
              <w:tabs>
                <w:tab w:val="right" w:pos="1202"/>
              </w:tabs>
              <w:spacing w:after="0" w:line="280" w:lineRule="exact"/>
              <w:outlineLvl w:val="0"/>
              <w:rPr>
                <w:rFonts w:eastAsia="Times New Roman" w:cs="Arial"/>
                <w:b/>
                <w:bCs/>
                <w:sz w:val="18"/>
                <w:szCs w:val="18"/>
              </w:rPr>
            </w:pPr>
            <w:r w:rsidRPr="009702B0">
              <w:rPr>
                <w:rFonts w:eastAsia="Times New Roman" w:cs="Arial"/>
                <w:b/>
                <w:bCs/>
                <w:spacing w:val="-2"/>
                <w:sz w:val="18"/>
                <w:szCs w:val="18"/>
              </w:rPr>
              <w:t>Net assets/liabilities (1) – (2)</w:t>
            </w:r>
          </w:p>
        </w:tc>
        <w:tc>
          <w:tcPr>
            <w:tcW w:w="535" w:type="pct"/>
            <w:tcBorders>
              <w:top w:val="nil"/>
              <w:left w:val="nil"/>
              <w:bottom w:val="single" w:sz="12" w:space="0" w:color="auto"/>
              <w:right w:val="nil"/>
            </w:tcBorders>
            <w:shd w:val="clear" w:color="auto" w:fill="auto"/>
            <w:vAlign w:val="bottom"/>
          </w:tcPr>
          <w:p w14:paraId="6A77440B" w14:textId="55DAF301" w:rsidR="00ED50BE" w:rsidRPr="009702B0" w:rsidRDefault="00ED50BE" w:rsidP="00ED50BE">
            <w:pPr>
              <w:spacing w:after="0" w:line="280" w:lineRule="exact"/>
              <w:jc w:val="right"/>
              <w:rPr>
                <w:rFonts w:cs="Arial"/>
                <w:b/>
                <w:bCs/>
                <w:sz w:val="18"/>
                <w:szCs w:val="18"/>
              </w:rPr>
            </w:pPr>
            <w:r>
              <w:rPr>
                <w:rFonts w:eastAsia="Times New Roman" w:cs="Arial"/>
                <w:b/>
                <w:bCs/>
                <w:color w:val="000000"/>
                <w:sz w:val="18"/>
                <w:szCs w:val="18"/>
              </w:rPr>
              <w:t>4,825,644</w:t>
            </w:r>
          </w:p>
        </w:tc>
        <w:tc>
          <w:tcPr>
            <w:tcW w:w="535" w:type="pct"/>
            <w:tcBorders>
              <w:top w:val="nil"/>
              <w:left w:val="nil"/>
              <w:bottom w:val="single" w:sz="12" w:space="0" w:color="auto"/>
              <w:right w:val="nil"/>
            </w:tcBorders>
            <w:shd w:val="clear" w:color="auto" w:fill="auto"/>
            <w:vAlign w:val="bottom"/>
          </w:tcPr>
          <w:p w14:paraId="7C7A3DCC" w14:textId="1EA750AE" w:rsidR="00ED50BE" w:rsidRPr="009702B0" w:rsidRDefault="00ED50BE" w:rsidP="00ED50BE">
            <w:pPr>
              <w:spacing w:after="0" w:line="280" w:lineRule="exact"/>
              <w:jc w:val="right"/>
              <w:rPr>
                <w:rFonts w:cs="Arial"/>
                <w:b/>
                <w:bCs/>
                <w:sz w:val="18"/>
                <w:szCs w:val="18"/>
              </w:rPr>
            </w:pPr>
            <w:r>
              <w:rPr>
                <w:rFonts w:eastAsia="Times New Roman" w:cs="Arial"/>
                <w:b/>
                <w:bCs/>
                <w:color w:val="000000"/>
                <w:sz w:val="18"/>
                <w:szCs w:val="18"/>
              </w:rPr>
              <w:t>1,549,132</w:t>
            </w:r>
          </w:p>
        </w:tc>
        <w:tc>
          <w:tcPr>
            <w:tcW w:w="535" w:type="pct"/>
            <w:tcBorders>
              <w:top w:val="nil"/>
              <w:left w:val="nil"/>
              <w:bottom w:val="single" w:sz="12" w:space="0" w:color="auto"/>
              <w:right w:val="nil"/>
            </w:tcBorders>
            <w:shd w:val="clear" w:color="auto" w:fill="auto"/>
            <w:vAlign w:val="bottom"/>
          </w:tcPr>
          <w:p w14:paraId="78A1B936" w14:textId="0FAEF397" w:rsidR="00ED50BE" w:rsidRPr="009702B0" w:rsidRDefault="00ED50BE" w:rsidP="00ED50BE">
            <w:pPr>
              <w:spacing w:after="0" w:line="280" w:lineRule="exact"/>
              <w:jc w:val="right"/>
              <w:rPr>
                <w:rFonts w:cs="Arial"/>
                <w:b/>
                <w:bCs/>
                <w:sz w:val="18"/>
                <w:szCs w:val="18"/>
              </w:rPr>
            </w:pPr>
            <w:r>
              <w:rPr>
                <w:rFonts w:eastAsia="Times New Roman" w:cs="Arial"/>
                <w:b/>
                <w:bCs/>
                <w:color w:val="000000"/>
                <w:sz w:val="18"/>
                <w:szCs w:val="18"/>
              </w:rPr>
              <w:t>1,035,950</w:t>
            </w:r>
          </w:p>
        </w:tc>
        <w:tc>
          <w:tcPr>
            <w:tcW w:w="535" w:type="pct"/>
            <w:tcBorders>
              <w:top w:val="nil"/>
              <w:left w:val="nil"/>
              <w:bottom w:val="single" w:sz="12" w:space="0" w:color="auto"/>
              <w:right w:val="nil"/>
            </w:tcBorders>
            <w:shd w:val="clear" w:color="auto" w:fill="auto"/>
            <w:vAlign w:val="bottom"/>
          </w:tcPr>
          <w:p w14:paraId="6F4B416E" w14:textId="45C3975C" w:rsidR="00ED50BE" w:rsidRPr="009702B0" w:rsidRDefault="00ED50BE" w:rsidP="00ED50BE">
            <w:pPr>
              <w:spacing w:after="0" w:line="280" w:lineRule="exact"/>
              <w:jc w:val="right"/>
              <w:rPr>
                <w:rFonts w:cs="Arial"/>
                <w:b/>
                <w:bCs/>
                <w:sz w:val="18"/>
                <w:szCs w:val="18"/>
              </w:rPr>
            </w:pPr>
            <w:r>
              <w:rPr>
                <w:rFonts w:eastAsia="Times New Roman" w:cs="Arial"/>
                <w:b/>
                <w:bCs/>
                <w:color w:val="000000"/>
                <w:sz w:val="18"/>
                <w:szCs w:val="18"/>
              </w:rPr>
              <w:t>(332,373)</w:t>
            </w:r>
          </w:p>
        </w:tc>
        <w:tc>
          <w:tcPr>
            <w:tcW w:w="535" w:type="pct"/>
            <w:tcBorders>
              <w:top w:val="nil"/>
              <w:left w:val="nil"/>
              <w:bottom w:val="single" w:sz="12" w:space="0" w:color="auto"/>
              <w:right w:val="nil"/>
            </w:tcBorders>
            <w:shd w:val="clear" w:color="auto" w:fill="auto"/>
            <w:vAlign w:val="bottom"/>
          </w:tcPr>
          <w:p w14:paraId="3519F9B2" w14:textId="7B928467" w:rsidR="00ED50BE" w:rsidRPr="009702B0" w:rsidRDefault="00ED50BE" w:rsidP="00ED50BE">
            <w:pPr>
              <w:spacing w:after="0" w:line="280" w:lineRule="exact"/>
              <w:jc w:val="right"/>
              <w:rPr>
                <w:rFonts w:cs="Arial"/>
                <w:b/>
                <w:bCs/>
                <w:sz w:val="18"/>
                <w:szCs w:val="18"/>
              </w:rPr>
            </w:pPr>
            <w:r>
              <w:rPr>
                <w:rFonts w:eastAsia="Times New Roman" w:cs="Arial"/>
                <w:b/>
                <w:bCs/>
                <w:color w:val="000000"/>
                <w:sz w:val="18"/>
                <w:szCs w:val="18"/>
              </w:rPr>
              <w:t>2,368,921</w:t>
            </w:r>
          </w:p>
        </w:tc>
        <w:tc>
          <w:tcPr>
            <w:tcW w:w="535" w:type="pct"/>
            <w:tcBorders>
              <w:top w:val="nil"/>
              <w:left w:val="nil"/>
              <w:bottom w:val="single" w:sz="12" w:space="0" w:color="auto"/>
              <w:right w:val="nil"/>
            </w:tcBorders>
            <w:shd w:val="clear" w:color="auto" w:fill="auto"/>
            <w:vAlign w:val="bottom"/>
          </w:tcPr>
          <w:p w14:paraId="408CE852" w14:textId="3EEE5768" w:rsidR="00ED50BE" w:rsidRPr="009702B0" w:rsidRDefault="00ED50BE" w:rsidP="00ED50BE">
            <w:pPr>
              <w:spacing w:after="0" w:line="280" w:lineRule="exact"/>
              <w:jc w:val="right"/>
              <w:rPr>
                <w:rFonts w:cs="Arial"/>
                <w:b/>
                <w:bCs/>
                <w:sz w:val="18"/>
                <w:szCs w:val="18"/>
              </w:rPr>
            </w:pPr>
            <w:r>
              <w:rPr>
                <w:rFonts w:eastAsia="Times New Roman" w:cs="Arial"/>
                <w:b/>
                <w:bCs/>
                <w:color w:val="000000"/>
                <w:sz w:val="18"/>
                <w:szCs w:val="18"/>
              </w:rPr>
              <w:t>(9,447,274)</w:t>
            </w:r>
          </w:p>
        </w:tc>
        <w:tc>
          <w:tcPr>
            <w:tcW w:w="535" w:type="pct"/>
            <w:tcBorders>
              <w:top w:val="nil"/>
              <w:left w:val="nil"/>
              <w:bottom w:val="single" w:sz="12" w:space="0" w:color="auto"/>
              <w:right w:val="nil"/>
            </w:tcBorders>
            <w:shd w:val="clear" w:color="auto" w:fill="auto"/>
            <w:vAlign w:val="bottom"/>
          </w:tcPr>
          <w:p w14:paraId="78B976A4" w14:textId="589C1183" w:rsidR="00ED50BE" w:rsidRPr="009702B0" w:rsidRDefault="00ED50BE" w:rsidP="00ED50BE">
            <w:pPr>
              <w:spacing w:after="0" w:line="280" w:lineRule="exact"/>
              <w:jc w:val="right"/>
              <w:rPr>
                <w:rFonts w:cs="Arial"/>
                <w:b/>
                <w:bCs/>
                <w:sz w:val="18"/>
                <w:szCs w:val="18"/>
              </w:rPr>
            </w:pPr>
            <w:r>
              <w:rPr>
                <w:rFonts w:eastAsia="Times New Roman" w:cs="Arial"/>
                <w:b/>
                <w:bCs/>
                <w:color w:val="000000"/>
                <w:sz w:val="18"/>
                <w:szCs w:val="18"/>
              </w:rPr>
              <w:t>-</w:t>
            </w:r>
          </w:p>
        </w:tc>
      </w:tr>
      <w:tr w:rsidR="005A63C9" w:rsidRPr="009702B0" w14:paraId="465AF192" w14:textId="77777777" w:rsidTr="00BA3F2A">
        <w:tblPrEx>
          <w:tblCellMar>
            <w:left w:w="108" w:type="dxa"/>
            <w:right w:w="108" w:type="dxa"/>
          </w:tblCellMar>
        </w:tblPrEx>
        <w:tc>
          <w:tcPr>
            <w:tcW w:w="1255" w:type="pct"/>
          </w:tcPr>
          <w:p w14:paraId="486DB949" w14:textId="77777777" w:rsidR="005A63C9" w:rsidRPr="009702B0" w:rsidRDefault="005A63C9" w:rsidP="005A63C9">
            <w:pPr>
              <w:keepNext/>
              <w:keepLines/>
              <w:tabs>
                <w:tab w:val="decimal" w:pos="1202"/>
              </w:tabs>
              <w:spacing w:after="0" w:line="280" w:lineRule="exact"/>
              <w:rPr>
                <w:rFonts w:eastAsia="Times New Roman" w:cs="Arial"/>
                <w:b/>
                <w:position w:val="4"/>
                <w:sz w:val="18"/>
                <w:szCs w:val="18"/>
                <w:u w:val="thick"/>
              </w:rPr>
            </w:pPr>
          </w:p>
        </w:tc>
        <w:tc>
          <w:tcPr>
            <w:tcW w:w="535" w:type="pct"/>
            <w:vAlign w:val="bottom"/>
          </w:tcPr>
          <w:p w14:paraId="346A0B7F" w14:textId="77777777" w:rsidR="005A63C9" w:rsidRPr="009702B0" w:rsidRDefault="005A63C9" w:rsidP="005A63C9">
            <w:pPr>
              <w:keepNext/>
              <w:keepLines/>
              <w:spacing w:after="0" w:line="280" w:lineRule="exact"/>
              <w:jc w:val="right"/>
              <w:rPr>
                <w:rFonts w:eastAsia="Times New Roman" w:cs="Arial"/>
                <w:b/>
                <w:position w:val="4"/>
                <w:sz w:val="18"/>
                <w:szCs w:val="18"/>
                <w:u w:val="thick"/>
              </w:rPr>
            </w:pPr>
          </w:p>
        </w:tc>
        <w:tc>
          <w:tcPr>
            <w:tcW w:w="535" w:type="pct"/>
            <w:vAlign w:val="bottom"/>
          </w:tcPr>
          <w:p w14:paraId="6347E924" w14:textId="77777777" w:rsidR="005A63C9" w:rsidRPr="009702B0" w:rsidRDefault="005A63C9" w:rsidP="005A63C9">
            <w:pPr>
              <w:keepNext/>
              <w:keepLines/>
              <w:spacing w:after="0" w:line="280" w:lineRule="exact"/>
              <w:jc w:val="right"/>
              <w:rPr>
                <w:rFonts w:eastAsia="Times New Roman" w:cs="Arial"/>
                <w:b/>
                <w:position w:val="4"/>
                <w:sz w:val="18"/>
                <w:szCs w:val="18"/>
                <w:u w:val="thick"/>
              </w:rPr>
            </w:pPr>
          </w:p>
        </w:tc>
        <w:tc>
          <w:tcPr>
            <w:tcW w:w="535" w:type="pct"/>
            <w:vAlign w:val="bottom"/>
          </w:tcPr>
          <w:p w14:paraId="58C7FA65" w14:textId="77777777" w:rsidR="005A63C9" w:rsidRPr="009702B0" w:rsidRDefault="005A63C9" w:rsidP="005A63C9">
            <w:pPr>
              <w:keepNext/>
              <w:keepLines/>
              <w:spacing w:after="0" w:line="280" w:lineRule="exact"/>
              <w:jc w:val="right"/>
              <w:rPr>
                <w:rFonts w:eastAsia="Times New Roman" w:cs="Arial"/>
                <w:b/>
                <w:position w:val="4"/>
                <w:sz w:val="18"/>
                <w:szCs w:val="18"/>
                <w:u w:val="thick"/>
              </w:rPr>
            </w:pPr>
          </w:p>
        </w:tc>
        <w:tc>
          <w:tcPr>
            <w:tcW w:w="535" w:type="pct"/>
            <w:vAlign w:val="bottom"/>
          </w:tcPr>
          <w:p w14:paraId="0ADDD940" w14:textId="77777777" w:rsidR="005A63C9" w:rsidRPr="009702B0" w:rsidRDefault="005A63C9" w:rsidP="005A63C9">
            <w:pPr>
              <w:keepNext/>
              <w:keepLines/>
              <w:spacing w:after="0" w:line="280" w:lineRule="exact"/>
              <w:jc w:val="right"/>
              <w:rPr>
                <w:rFonts w:eastAsia="Times New Roman" w:cs="Arial"/>
                <w:b/>
                <w:position w:val="4"/>
                <w:sz w:val="18"/>
                <w:szCs w:val="18"/>
                <w:u w:val="thick"/>
              </w:rPr>
            </w:pPr>
          </w:p>
        </w:tc>
        <w:tc>
          <w:tcPr>
            <w:tcW w:w="535" w:type="pct"/>
            <w:vAlign w:val="bottom"/>
          </w:tcPr>
          <w:p w14:paraId="7BE41695" w14:textId="77777777" w:rsidR="005A63C9" w:rsidRPr="009702B0" w:rsidRDefault="005A63C9" w:rsidP="005A63C9">
            <w:pPr>
              <w:keepNext/>
              <w:keepLines/>
              <w:spacing w:after="0" w:line="280" w:lineRule="exact"/>
              <w:jc w:val="right"/>
              <w:rPr>
                <w:rFonts w:eastAsia="Times New Roman" w:cs="Arial"/>
                <w:b/>
                <w:position w:val="4"/>
                <w:sz w:val="18"/>
                <w:szCs w:val="18"/>
                <w:u w:val="thick"/>
              </w:rPr>
            </w:pPr>
          </w:p>
        </w:tc>
        <w:tc>
          <w:tcPr>
            <w:tcW w:w="535" w:type="pct"/>
            <w:vAlign w:val="bottom"/>
          </w:tcPr>
          <w:p w14:paraId="78434404" w14:textId="77777777" w:rsidR="005A63C9" w:rsidRPr="009702B0" w:rsidRDefault="005A63C9" w:rsidP="005A63C9">
            <w:pPr>
              <w:keepNext/>
              <w:keepLines/>
              <w:spacing w:after="0" w:line="280" w:lineRule="exact"/>
              <w:jc w:val="right"/>
              <w:rPr>
                <w:rFonts w:eastAsia="Times New Roman" w:cs="Arial"/>
                <w:b/>
                <w:position w:val="4"/>
                <w:sz w:val="18"/>
                <w:szCs w:val="18"/>
                <w:u w:val="thick"/>
              </w:rPr>
            </w:pPr>
          </w:p>
        </w:tc>
        <w:tc>
          <w:tcPr>
            <w:tcW w:w="535" w:type="pct"/>
            <w:vAlign w:val="bottom"/>
          </w:tcPr>
          <w:p w14:paraId="47955140" w14:textId="77777777" w:rsidR="005A63C9" w:rsidRPr="009702B0" w:rsidRDefault="005A63C9" w:rsidP="005A63C9">
            <w:pPr>
              <w:keepNext/>
              <w:keepLines/>
              <w:spacing w:after="0" w:line="280" w:lineRule="exact"/>
              <w:jc w:val="right"/>
              <w:rPr>
                <w:rFonts w:eastAsia="Times New Roman" w:cs="Arial"/>
                <w:b/>
                <w:position w:val="4"/>
                <w:sz w:val="18"/>
                <w:szCs w:val="18"/>
                <w:u w:val="thick"/>
              </w:rPr>
            </w:pPr>
          </w:p>
        </w:tc>
      </w:tr>
    </w:tbl>
    <w:p w14:paraId="29F24867" w14:textId="77777777" w:rsidR="009702B0" w:rsidRPr="009702B0" w:rsidRDefault="009702B0" w:rsidP="009702B0">
      <w:pPr>
        <w:tabs>
          <w:tab w:val="left" w:pos="-720"/>
        </w:tabs>
        <w:suppressAutoHyphens/>
        <w:spacing w:after="0" w:line="240" w:lineRule="exact"/>
        <w:ind w:right="-5"/>
        <w:jc w:val="both"/>
        <w:rPr>
          <w:rFonts w:ascii="Arial" w:hAnsi="Arial" w:cs="Arial"/>
          <w:sz w:val="19"/>
          <w:highlight w:val="yellow"/>
        </w:rPr>
      </w:pPr>
    </w:p>
    <w:p w14:paraId="4ED07381" w14:textId="77777777" w:rsidR="009702B0" w:rsidRPr="009702B0" w:rsidRDefault="009702B0" w:rsidP="009702B0">
      <w:pPr>
        <w:spacing w:after="0" w:line="240" w:lineRule="exact"/>
        <w:jc w:val="both"/>
        <w:rPr>
          <w:rFonts w:eastAsia="Times New Roman" w:cs="Calibri"/>
          <w:b/>
        </w:rPr>
      </w:pPr>
    </w:p>
    <w:p w14:paraId="2DEBFEC5" w14:textId="77777777" w:rsidR="009702B0" w:rsidRPr="009702B0" w:rsidRDefault="009702B0" w:rsidP="009702B0">
      <w:pPr>
        <w:spacing w:after="0" w:line="240" w:lineRule="exact"/>
        <w:jc w:val="both"/>
        <w:rPr>
          <w:rFonts w:eastAsia="Times New Roman" w:cs="Calibri"/>
          <w:b/>
        </w:rPr>
      </w:pPr>
    </w:p>
    <w:p w14:paraId="51999C6A" w14:textId="77777777" w:rsidR="009702B0" w:rsidRPr="009702B0" w:rsidRDefault="009702B0" w:rsidP="009702B0">
      <w:pPr>
        <w:spacing w:after="0" w:line="240" w:lineRule="exact"/>
        <w:jc w:val="both"/>
        <w:rPr>
          <w:rFonts w:eastAsia="Times New Roman" w:cs="Calibri"/>
          <w:b/>
        </w:rPr>
        <w:sectPr w:rsidR="009702B0" w:rsidRPr="009702B0" w:rsidSect="00947CB7">
          <w:footerReference w:type="first" r:id="rId110"/>
          <w:pgSz w:w="11906" w:h="16838" w:code="9"/>
          <w:pgMar w:top="1418" w:right="1418" w:bottom="595" w:left="1134" w:header="709" w:footer="709" w:gutter="0"/>
          <w:cols w:space="708"/>
          <w:titlePg/>
          <w:docGrid w:linePitch="360"/>
        </w:sectPr>
      </w:pPr>
    </w:p>
    <w:p w14:paraId="0D1267FA" w14:textId="77777777" w:rsidR="009702B0" w:rsidRPr="009702B0" w:rsidRDefault="009702B0" w:rsidP="009702B0">
      <w:pPr>
        <w:keepNext/>
        <w:spacing w:after="0" w:line="240" w:lineRule="auto"/>
        <w:ind w:left="709" w:hanging="709"/>
        <w:jc w:val="both"/>
        <w:rPr>
          <w:rFonts w:eastAsia="Times New Roman" w:cs="Arial"/>
          <w:b/>
          <w:bCs/>
        </w:rPr>
      </w:pPr>
    </w:p>
    <w:p w14:paraId="162B90A7"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        Risk management (continued)</w:t>
      </w:r>
    </w:p>
    <w:p w14:paraId="20591E4D" w14:textId="77777777" w:rsidR="009702B0" w:rsidRPr="009702B0" w:rsidRDefault="009702B0" w:rsidP="009702B0">
      <w:pPr>
        <w:keepNext/>
        <w:spacing w:after="0" w:line="240" w:lineRule="auto"/>
        <w:ind w:left="709" w:hanging="709"/>
        <w:jc w:val="both"/>
        <w:rPr>
          <w:rFonts w:eastAsia="Times New Roman" w:cs="Arial"/>
          <w:b/>
          <w:bCs/>
        </w:rPr>
      </w:pPr>
    </w:p>
    <w:p w14:paraId="15EC3C54"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     Market risk (continued)</w:t>
      </w:r>
    </w:p>
    <w:p w14:paraId="22D31984" w14:textId="77777777" w:rsidR="009702B0" w:rsidRPr="009702B0" w:rsidRDefault="009702B0" w:rsidP="009702B0">
      <w:pPr>
        <w:keepNext/>
        <w:spacing w:after="0" w:line="240" w:lineRule="auto"/>
        <w:ind w:left="709" w:hanging="709"/>
        <w:jc w:val="both"/>
        <w:rPr>
          <w:rFonts w:eastAsia="Times New Roman" w:cs="Arial"/>
          <w:b/>
          <w:bCs/>
        </w:rPr>
      </w:pPr>
    </w:p>
    <w:p w14:paraId="17869CDF"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16.4.1</w:t>
      </w:r>
      <w:proofErr w:type="gramStart"/>
      <w:r w:rsidRPr="009702B0">
        <w:rPr>
          <w:rFonts w:eastAsia="Times New Roman" w:cs="Arial"/>
          <w:b/>
          <w:bCs/>
        </w:rPr>
        <w:t>.  Interest</w:t>
      </w:r>
      <w:proofErr w:type="gramEnd"/>
      <w:r w:rsidRPr="009702B0">
        <w:rPr>
          <w:rFonts w:eastAsia="Times New Roman" w:cs="Arial"/>
          <w:b/>
          <w:bCs/>
        </w:rPr>
        <w:t xml:space="preserve"> rate risk in the Bank’s book (continued)</w:t>
      </w:r>
    </w:p>
    <w:p w14:paraId="223CC82B" w14:textId="77777777" w:rsidR="009702B0" w:rsidRPr="009702B0" w:rsidRDefault="009702B0" w:rsidP="009702B0">
      <w:pPr>
        <w:spacing w:after="0" w:line="240" w:lineRule="exact"/>
        <w:jc w:val="both"/>
        <w:rPr>
          <w:rFonts w:eastAsia="Times New Roman" w:cs="Calibri"/>
          <w:b/>
        </w:rPr>
      </w:pPr>
    </w:p>
    <w:tbl>
      <w:tblPr>
        <w:tblW w:w="5307" w:type="pct"/>
        <w:tblInd w:w="-284" w:type="dxa"/>
        <w:tblLayout w:type="fixed"/>
        <w:tblCellMar>
          <w:left w:w="120" w:type="dxa"/>
          <w:right w:w="120" w:type="dxa"/>
        </w:tblCellMar>
        <w:tblLook w:val="0000" w:firstRow="0" w:lastRow="0" w:firstColumn="0" w:lastColumn="0" w:noHBand="0" w:noVBand="0"/>
      </w:tblPr>
      <w:tblGrid>
        <w:gridCol w:w="2381"/>
        <w:gridCol w:w="979"/>
        <w:gridCol w:w="1094"/>
        <w:gridCol w:w="1094"/>
        <w:gridCol w:w="1096"/>
        <w:gridCol w:w="1094"/>
        <w:gridCol w:w="1094"/>
        <w:gridCol w:w="1096"/>
      </w:tblGrid>
      <w:tr w:rsidR="009702B0" w:rsidRPr="00321238" w14:paraId="664B662A" w14:textId="77777777" w:rsidTr="009702B0">
        <w:trPr>
          <w:trHeight w:val="719"/>
        </w:trPr>
        <w:tc>
          <w:tcPr>
            <w:tcW w:w="1199" w:type="pct"/>
            <w:vAlign w:val="center"/>
          </w:tcPr>
          <w:p w14:paraId="10D7D318" w14:textId="77777777" w:rsidR="009702B0" w:rsidRPr="00321238" w:rsidRDefault="009702B0" w:rsidP="009702B0">
            <w:pPr>
              <w:tabs>
                <w:tab w:val="left" w:pos="-720"/>
              </w:tabs>
              <w:suppressAutoHyphens/>
              <w:spacing w:after="0" w:line="240" w:lineRule="auto"/>
              <w:ind w:right="-6"/>
              <w:rPr>
                <w:rFonts w:cs="Arial"/>
                <w:b/>
                <w:sz w:val="18"/>
                <w:szCs w:val="18"/>
              </w:rPr>
            </w:pPr>
            <w:r w:rsidRPr="00321238">
              <w:rPr>
                <w:rFonts w:cs="Arial"/>
                <w:b/>
                <w:sz w:val="18"/>
                <w:szCs w:val="18"/>
              </w:rPr>
              <w:t>Bank</w:t>
            </w:r>
          </w:p>
          <w:p w14:paraId="42C9FF68" w14:textId="77777777" w:rsidR="009702B0" w:rsidRPr="00321238" w:rsidRDefault="009702B0" w:rsidP="000A6679">
            <w:pPr>
              <w:tabs>
                <w:tab w:val="left" w:pos="-720"/>
              </w:tabs>
              <w:suppressAutoHyphens/>
              <w:spacing w:after="0" w:line="240" w:lineRule="auto"/>
              <w:ind w:right="-6"/>
              <w:rPr>
                <w:rFonts w:cs="Arial"/>
                <w:b/>
                <w:sz w:val="18"/>
                <w:szCs w:val="18"/>
              </w:rPr>
            </w:pPr>
            <w:r w:rsidRPr="00321238">
              <w:rPr>
                <w:rFonts w:cs="Arial"/>
                <w:b/>
                <w:sz w:val="18"/>
                <w:szCs w:val="18"/>
              </w:rPr>
              <w:t>Dec 31, 201</w:t>
            </w:r>
            <w:r w:rsidR="000A6679" w:rsidRPr="00321238">
              <w:rPr>
                <w:rFonts w:cs="Arial"/>
                <w:b/>
                <w:sz w:val="18"/>
                <w:szCs w:val="18"/>
              </w:rPr>
              <w:t>6</w:t>
            </w:r>
          </w:p>
        </w:tc>
        <w:tc>
          <w:tcPr>
            <w:tcW w:w="493" w:type="pct"/>
          </w:tcPr>
          <w:p w14:paraId="5A5821C1" w14:textId="77777777" w:rsidR="009702B0" w:rsidRPr="00321238" w:rsidRDefault="009702B0" w:rsidP="009702B0">
            <w:pPr>
              <w:tabs>
                <w:tab w:val="left" w:pos="-720"/>
              </w:tabs>
              <w:suppressAutoHyphens/>
              <w:spacing w:after="0" w:line="240" w:lineRule="auto"/>
              <w:ind w:right="-6"/>
              <w:jc w:val="right"/>
              <w:rPr>
                <w:rFonts w:cs="Arial"/>
                <w:b/>
                <w:sz w:val="18"/>
                <w:szCs w:val="18"/>
              </w:rPr>
            </w:pPr>
            <w:r w:rsidRPr="00321238">
              <w:rPr>
                <w:rFonts w:cs="Arial"/>
                <w:b/>
                <w:sz w:val="18"/>
                <w:szCs w:val="18"/>
              </w:rPr>
              <w:t>Up to 1 month</w:t>
            </w:r>
          </w:p>
        </w:tc>
        <w:tc>
          <w:tcPr>
            <w:tcW w:w="551" w:type="pct"/>
          </w:tcPr>
          <w:p w14:paraId="0213D550" w14:textId="77777777" w:rsidR="009702B0" w:rsidRPr="00321238" w:rsidRDefault="009702B0" w:rsidP="009702B0">
            <w:pPr>
              <w:tabs>
                <w:tab w:val="left" w:pos="-720"/>
              </w:tabs>
              <w:suppressAutoHyphens/>
              <w:spacing w:after="0" w:line="240" w:lineRule="auto"/>
              <w:ind w:right="-6"/>
              <w:jc w:val="right"/>
              <w:rPr>
                <w:rFonts w:cs="Arial"/>
                <w:b/>
                <w:sz w:val="18"/>
                <w:szCs w:val="18"/>
              </w:rPr>
            </w:pPr>
            <w:r w:rsidRPr="00321238">
              <w:rPr>
                <w:rFonts w:cs="Arial"/>
                <w:b/>
                <w:sz w:val="18"/>
                <w:szCs w:val="18"/>
              </w:rPr>
              <w:t>1 to 3 months</w:t>
            </w:r>
          </w:p>
        </w:tc>
        <w:tc>
          <w:tcPr>
            <w:tcW w:w="551" w:type="pct"/>
          </w:tcPr>
          <w:p w14:paraId="4DEB1CA1" w14:textId="77777777" w:rsidR="009702B0" w:rsidRPr="00321238" w:rsidRDefault="009702B0" w:rsidP="009702B0">
            <w:pPr>
              <w:tabs>
                <w:tab w:val="left" w:pos="-720"/>
              </w:tabs>
              <w:suppressAutoHyphens/>
              <w:spacing w:after="0" w:line="240" w:lineRule="auto"/>
              <w:ind w:right="-6"/>
              <w:jc w:val="right"/>
              <w:rPr>
                <w:rFonts w:cs="Arial"/>
                <w:b/>
                <w:sz w:val="18"/>
                <w:szCs w:val="18"/>
              </w:rPr>
            </w:pPr>
            <w:r w:rsidRPr="00321238">
              <w:rPr>
                <w:rFonts w:cs="Arial"/>
                <w:b/>
                <w:sz w:val="18"/>
                <w:szCs w:val="18"/>
              </w:rPr>
              <w:t xml:space="preserve">3 months to 1 year </w:t>
            </w:r>
          </w:p>
        </w:tc>
        <w:tc>
          <w:tcPr>
            <w:tcW w:w="552" w:type="pct"/>
          </w:tcPr>
          <w:p w14:paraId="4FB619AB" w14:textId="77777777" w:rsidR="009702B0" w:rsidRPr="00321238" w:rsidRDefault="009702B0" w:rsidP="009702B0">
            <w:pPr>
              <w:tabs>
                <w:tab w:val="left" w:pos="-720"/>
              </w:tabs>
              <w:suppressAutoHyphens/>
              <w:spacing w:after="0" w:line="240" w:lineRule="auto"/>
              <w:ind w:right="-6"/>
              <w:jc w:val="right"/>
              <w:rPr>
                <w:rFonts w:cs="Arial"/>
                <w:b/>
                <w:sz w:val="18"/>
                <w:szCs w:val="18"/>
              </w:rPr>
            </w:pPr>
            <w:r w:rsidRPr="00321238">
              <w:rPr>
                <w:rFonts w:cs="Arial"/>
                <w:b/>
                <w:sz w:val="18"/>
                <w:szCs w:val="18"/>
              </w:rPr>
              <w:t>1 to 3 years</w:t>
            </w:r>
          </w:p>
        </w:tc>
        <w:tc>
          <w:tcPr>
            <w:tcW w:w="551" w:type="pct"/>
          </w:tcPr>
          <w:p w14:paraId="1803830D" w14:textId="77777777" w:rsidR="009702B0" w:rsidRPr="00321238" w:rsidRDefault="009702B0" w:rsidP="009702B0">
            <w:pPr>
              <w:tabs>
                <w:tab w:val="left" w:pos="-720"/>
              </w:tabs>
              <w:suppressAutoHyphens/>
              <w:spacing w:after="0" w:line="240" w:lineRule="auto"/>
              <w:ind w:right="-6"/>
              <w:jc w:val="right"/>
              <w:rPr>
                <w:rFonts w:cs="Arial"/>
                <w:b/>
                <w:sz w:val="18"/>
                <w:szCs w:val="18"/>
              </w:rPr>
            </w:pPr>
            <w:r w:rsidRPr="00321238">
              <w:rPr>
                <w:rFonts w:cs="Arial"/>
                <w:b/>
                <w:sz w:val="18"/>
                <w:szCs w:val="18"/>
              </w:rPr>
              <w:t>Over 3 years</w:t>
            </w:r>
          </w:p>
        </w:tc>
        <w:tc>
          <w:tcPr>
            <w:tcW w:w="551" w:type="pct"/>
          </w:tcPr>
          <w:p w14:paraId="59C7399A" w14:textId="77777777" w:rsidR="009702B0" w:rsidRPr="00321238" w:rsidRDefault="009702B0" w:rsidP="009702B0">
            <w:pPr>
              <w:tabs>
                <w:tab w:val="left" w:pos="-720"/>
              </w:tabs>
              <w:suppressAutoHyphens/>
              <w:spacing w:after="0" w:line="240" w:lineRule="auto"/>
              <w:ind w:right="-6"/>
              <w:jc w:val="right"/>
              <w:rPr>
                <w:rFonts w:cs="Arial"/>
                <w:b/>
                <w:sz w:val="18"/>
                <w:szCs w:val="18"/>
              </w:rPr>
            </w:pPr>
            <w:r w:rsidRPr="00321238">
              <w:rPr>
                <w:rFonts w:cs="Arial"/>
                <w:b/>
                <w:sz w:val="18"/>
                <w:szCs w:val="18"/>
              </w:rPr>
              <w:t>Non-interest bearing</w:t>
            </w:r>
          </w:p>
        </w:tc>
        <w:tc>
          <w:tcPr>
            <w:tcW w:w="552" w:type="pct"/>
          </w:tcPr>
          <w:p w14:paraId="4AF9A568" w14:textId="77777777" w:rsidR="009702B0" w:rsidRPr="00321238" w:rsidRDefault="009702B0" w:rsidP="009702B0">
            <w:pPr>
              <w:tabs>
                <w:tab w:val="left" w:pos="-720"/>
              </w:tabs>
              <w:suppressAutoHyphens/>
              <w:spacing w:after="0" w:line="240" w:lineRule="auto"/>
              <w:ind w:right="-6"/>
              <w:jc w:val="right"/>
              <w:rPr>
                <w:rFonts w:cs="Arial"/>
                <w:b/>
                <w:sz w:val="18"/>
                <w:szCs w:val="18"/>
              </w:rPr>
            </w:pPr>
            <w:r w:rsidRPr="00321238">
              <w:rPr>
                <w:rFonts w:cs="Arial"/>
                <w:b/>
                <w:sz w:val="18"/>
                <w:szCs w:val="18"/>
              </w:rPr>
              <w:t xml:space="preserve">Total </w:t>
            </w:r>
          </w:p>
        </w:tc>
      </w:tr>
      <w:tr w:rsidR="009702B0" w:rsidRPr="00321238" w14:paraId="3FFDC5A6" w14:textId="77777777" w:rsidTr="009702B0">
        <w:trPr>
          <w:trHeight w:val="234"/>
        </w:trPr>
        <w:tc>
          <w:tcPr>
            <w:tcW w:w="1199" w:type="pct"/>
            <w:vAlign w:val="bottom"/>
          </w:tcPr>
          <w:p w14:paraId="759B3BDC" w14:textId="77777777" w:rsidR="009702B0" w:rsidRPr="00321238" w:rsidRDefault="009702B0" w:rsidP="009702B0">
            <w:pPr>
              <w:tabs>
                <w:tab w:val="left" w:pos="-720"/>
              </w:tabs>
              <w:suppressAutoHyphens/>
              <w:spacing w:after="0" w:line="240" w:lineRule="auto"/>
              <w:ind w:right="-5"/>
              <w:rPr>
                <w:rFonts w:cs="Arial"/>
                <w:b/>
                <w:sz w:val="18"/>
                <w:szCs w:val="18"/>
              </w:rPr>
            </w:pPr>
            <w:r w:rsidRPr="00321238">
              <w:rPr>
                <w:rFonts w:cs="Arial"/>
                <w:b/>
                <w:sz w:val="18"/>
                <w:szCs w:val="18"/>
              </w:rPr>
              <w:t xml:space="preserve">Assets </w:t>
            </w:r>
          </w:p>
        </w:tc>
        <w:tc>
          <w:tcPr>
            <w:tcW w:w="493" w:type="pct"/>
          </w:tcPr>
          <w:p w14:paraId="5F54689F" w14:textId="77777777" w:rsidR="009702B0" w:rsidRPr="00321238" w:rsidRDefault="009702B0" w:rsidP="009702B0">
            <w:pPr>
              <w:tabs>
                <w:tab w:val="left" w:pos="-720"/>
              </w:tabs>
              <w:suppressAutoHyphens/>
              <w:spacing w:after="0" w:line="240" w:lineRule="auto"/>
              <w:ind w:right="-5"/>
              <w:jc w:val="right"/>
              <w:rPr>
                <w:rFonts w:cs="Arial"/>
                <w:sz w:val="18"/>
                <w:szCs w:val="18"/>
              </w:rPr>
            </w:pPr>
          </w:p>
        </w:tc>
        <w:tc>
          <w:tcPr>
            <w:tcW w:w="551" w:type="pct"/>
          </w:tcPr>
          <w:p w14:paraId="443E85C9" w14:textId="77777777" w:rsidR="009702B0" w:rsidRPr="00321238" w:rsidRDefault="009702B0" w:rsidP="009702B0">
            <w:pPr>
              <w:tabs>
                <w:tab w:val="left" w:pos="-720"/>
              </w:tabs>
              <w:suppressAutoHyphens/>
              <w:spacing w:after="0" w:line="240" w:lineRule="auto"/>
              <w:ind w:right="-5"/>
              <w:jc w:val="right"/>
              <w:rPr>
                <w:rFonts w:cs="Arial"/>
                <w:sz w:val="18"/>
                <w:szCs w:val="18"/>
              </w:rPr>
            </w:pPr>
          </w:p>
        </w:tc>
        <w:tc>
          <w:tcPr>
            <w:tcW w:w="551" w:type="pct"/>
          </w:tcPr>
          <w:p w14:paraId="2D9F4AAF" w14:textId="77777777" w:rsidR="009702B0" w:rsidRPr="00321238" w:rsidRDefault="009702B0" w:rsidP="009702B0">
            <w:pPr>
              <w:tabs>
                <w:tab w:val="left" w:pos="-720"/>
              </w:tabs>
              <w:suppressAutoHyphens/>
              <w:spacing w:after="0" w:line="240" w:lineRule="auto"/>
              <w:ind w:right="-5"/>
              <w:jc w:val="right"/>
              <w:rPr>
                <w:rFonts w:cs="Arial"/>
                <w:sz w:val="18"/>
                <w:szCs w:val="18"/>
              </w:rPr>
            </w:pPr>
          </w:p>
        </w:tc>
        <w:tc>
          <w:tcPr>
            <w:tcW w:w="552" w:type="pct"/>
          </w:tcPr>
          <w:p w14:paraId="5300ED2C" w14:textId="77777777" w:rsidR="009702B0" w:rsidRPr="00321238" w:rsidRDefault="009702B0" w:rsidP="009702B0">
            <w:pPr>
              <w:tabs>
                <w:tab w:val="left" w:pos="-720"/>
              </w:tabs>
              <w:suppressAutoHyphens/>
              <w:spacing w:after="0" w:line="240" w:lineRule="auto"/>
              <w:ind w:right="-5"/>
              <w:jc w:val="right"/>
              <w:rPr>
                <w:rFonts w:cs="Arial"/>
                <w:sz w:val="18"/>
                <w:szCs w:val="18"/>
              </w:rPr>
            </w:pPr>
          </w:p>
        </w:tc>
        <w:tc>
          <w:tcPr>
            <w:tcW w:w="551" w:type="pct"/>
          </w:tcPr>
          <w:p w14:paraId="65978367" w14:textId="77777777" w:rsidR="009702B0" w:rsidRPr="00321238" w:rsidRDefault="009702B0" w:rsidP="009702B0">
            <w:pPr>
              <w:tabs>
                <w:tab w:val="left" w:pos="-720"/>
              </w:tabs>
              <w:suppressAutoHyphens/>
              <w:spacing w:after="0" w:line="240" w:lineRule="auto"/>
              <w:ind w:right="-5"/>
              <w:jc w:val="right"/>
              <w:rPr>
                <w:rFonts w:cs="Arial"/>
                <w:sz w:val="18"/>
                <w:szCs w:val="18"/>
              </w:rPr>
            </w:pPr>
          </w:p>
        </w:tc>
        <w:tc>
          <w:tcPr>
            <w:tcW w:w="551" w:type="pct"/>
          </w:tcPr>
          <w:p w14:paraId="0098FF22" w14:textId="77777777" w:rsidR="009702B0" w:rsidRPr="00321238" w:rsidRDefault="009702B0" w:rsidP="009702B0">
            <w:pPr>
              <w:tabs>
                <w:tab w:val="left" w:pos="-720"/>
              </w:tabs>
              <w:suppressAutoHyphens/>
              <w:spacing w:after="0" w:line="240" w:lineRule="auto"/>
              <w:ind w:right="-5"/>
              <w:jc w:val="right"/>
              <w:rPr>
                <w:rFonts w:cs="Arial"/>
                <w:sz w:val="18"/>
                <w:szCs w:val="18"/>
              </w:rPr>
            </w:pPr>
          </w:p>
        </w:tc>
        <w:tc>
          <w:tcPr>
            <w:tcW w:w="552" w:type="pct"/>
          </w:tcPr>
          <w:p w14:paraId="0880605F" w14:textId="77777777" w:rsidR="009702B0" w:rsidRPr="00321238" w:rsidRDefault="009702B0" w:rsidP="009702B0">
            <w:pPr>
              <w:tabs>
                <w:tab w:val="left" w:pos="-720"/>
              </w:tabs>
              <w:suppressAutoHyphens/>
              <w:spacing w:after="0" w:line="240" w:lineRule="auto"/>
              <w:ind w:right="-5"/>
              <w:jc w:val="right"/>
              <w:rPr>
                <w:rFonts w:cs="Arial"/>
                <w:sz w:val="18"/>
                <w:szCs w:val="18"/>
              </w:rPr>
            </w:pPr>
          </w:p>
        </w:tc>
      </w:tr>
      <w:tr w:rsidR="000A6679" w:rsidRPr="00321238" w14:paraId="395E035C" w14:textId="77777777" w:rsidTr="009702B0">
        <w:trPr>
          <w:trHeight w:val="469"/>
        </w:trPr>
        <w:tc>
          <w:tcPr>
            <w:tcW w:w="1199" w:type="pct"/>
            <w:vAlign w:val="bottom"/>
          </w:tcPr>
          <w:p w14:paraId="05944BEF" w14:textId="77777777" w:rsidR="000A6679" w:rsidRPr="00321238" w:rsidRDefault="000A6679" w:rsidP="000A6679">
            <w:pPr>
              <w:tabs>
                <w:tab w:val="left" w:pos="-720"/>
              </w:tabs>
              <w:suppressAutoHyphens/>
              <w:spacing w:after="0" w:line="240" w:lineRule="auto"/>
              <w:ind w:right="-5"/>
              <w:rPr>
                <w:rFonts w:cs="Arial"/>
                <w:sz w:val="18"/>
                <w:szCs w:val="18"/>
              </w:rPr>
            </w:pPr>
            <w:r w:rsidRPr="00321238">
              <w:rPr>
                <w:rFonts w:cs="Arial"/>
                <w:sz w:val="18"/>
                <w:szCs w:val="18"/>
              </w:rPr>
              <w:t xml:space="preserve">Cash on hand and due from banks </w:t>
            </w:r>
          </w:p>
        </w:tc>
        <w:tc>
          <w:tcPr>
            <w:tcW w:w="493" w:type="pct"/>
            <w:tcBorders>
              <w:top w:val="nil"/>
              <w:left w:val="nil"/>
              <w:bottom w:val="nil"/>
              <w:right w:val="nil"/>
            </w:tcBorders>
            <w:shd w:val="clear" w:color="auto" w:fill="auto"/>
            <w:vAlign w:val="bottom"/>
          </w:tcPr>
          <w:p w14:paraId="2531CAB8" w14:textId="77777777"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w:t>
            </w:r>
          </w:p>
        </w:tc>
        <w:tc>
          <w:tcPr>
            <w:tcW w:w="551" w:type="pct"/>
            <w:tcBorders>
              <w:top w:val="nil"/>
              <w:left w:val="nil"/>
              <w:bottom w:val="nil"/>
              <w:right w:val="nil"/>
            </w:tcBorders>
            <w:shd w:val="clear" w:color="auto" w:fill="auto"/>
            <w:vAlign w:val="bottom"/>
          </w:tcPr>
          <w:p w14:paraId="023AC5D8"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23C4B082"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2" w:type="pct"/>
            <w:tcBorders>
              <w:top w:val="nil"/>
              <w:left w:val="nil"/>
              <w:bottom w:val="nil"/>
              <w:right w:val="nil"/>
            </w:tcBorders>
            <w:shd w:val="clear" w:color="auto" w:fill="auto"/>
            <w:vAlign w:val="bottom"/>
          </w:tcPr>
          <w:p w14:paraId="4BB4382E"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5BDC1C18"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262EA754" w14:textId="77777777"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490,695</w:t>
            </w:r>
          </w:p>
        </w:tc>
        <w:tc>
          <w:tcPr>
            <w:tcW w:w="552" w:type="pct"/>
            <w:tcBorders>
              <w:top w:val="nil"/>
              <w:left w:val="nil"/>
              <w:bottom w:val="nil"/>
              <w:right w:val="nil"/>
            </w:tcBorders>
            <w:shd w:val="clear" w:color="auto" w:fill="auto"/>
            <w:vAlign w:val="bottom"/>
          </w:tcPr>
          <w:p w14:paraId="66D5F67D" w14:textId="77777777" w:rsidR="000A6679" w:rsidRPr="00321238" w:rsidRDefault="000A6679" w:rsidP="000A6679">
            <w:pPr>
              <w:spacing w:after="0" w:line="240" w:lineRule="auto"/>
              <w:jc w:val="right"/>
              <w:rPr>
                <w:rFonts w:eastAsia="Times New Roman" w:cs="Arial"/>
                <w:bCs/>
                <w:sz w:val="18"/>
                <w:szCs w:val="18"/>
              </w:rPr>
            </w:pPr>
            <w:r w:rsidRPr="00321238">
              <w:rPr>
                <w:color w:val="000000"/>
                <w:sz w:val="18"/>
                <w:szCs w:val="18"/>
              </w:rPr>
              <w:t>490,695</w:t>
            </w:r>
          </w:p>
        </w:tc>
      </w:tr>
      <w:tr w:rsidR="000A6679" w:rsidRPr="00321238" w14:paraId="3AC4D54A" w14:textId="77777777" w:rsidTr="009702B0">
        <w:trPr>
          <w:trHeight w:val="234"/>
        </w:trPr>
        <w:tc>
          <w:tcPr>
            <w:tcW w:w="1199" w:type="pct"/>
            <w:vAlign w:val="bottom"/>
          </w:tcPr>
          <w:p w14:paraId="66B3B41D" w14:textId="77777777" w:rsidR="000A6679" w:rsidRPr="00321238" w:rsidRDefault="000A6679" w:rsidP="000A6679">
            <w:pPr>
              <w:tabs>
                <w:tab w:val="left" w:pos="-720"/>
              </w:tabs>
              <w:suppressAutoHyphens/>
              <w:spacing w:after="0" w:line="240" w:lineRule="auto"/>
              <w:ind w:right="-5"/>
              <w:rPr>
                <w:rFonts w:cs="Arial"/>
                <w:sz w:val="18"/>
                <w:szCs w:val="18"/>
              </w:rPr>
            </w:pPr>
            <w:r w:rsidRPr="00321238">
              <w:rPr>
                <w:rFonts w:cs="Arial"/>
                <w:sz w:val="18"/>
                <w:szCs w:val="18"/>
              </w:rPr>
              <w:t xml:space="preserve">Deposits with other banks </w:t>
            </w:r>
          </w:p>
        </w:tc>
        <w:tc>
          <w:tcPr>
            <w:tcW w:w="493" w:type="pct"/>
            <w:tcBorders>
              <w:top w:val="nil"/>
              <w:left w:val="nil"/>
              <w:bottom w:val="nil"/>
              <w:right w:val="nil"/>
            </w:tcBorders>
            <w:shd w:val="clear" w:color="auto" w:fill="auto"/>
            <w:vAlign w:val="bottom"/>
          </w:tcPr>
          <w:p w14:paraId="1711B89F"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w:t>
            </w:r>
          </w:p>
        </w:tc>
        <w:tc>
          <w:tcPr>
            <w:tcW w:w="551" w:type="pct"/>
            <w:tcBorders>
              <w:top w:val="nil"/>
              <w:left w:val="nil"/>
              <w:bottom w:val="nil"/>
              <w:right w:val="nil"/>
            </w:tcBorders>
            <w:shd w:val="clear" w:color="auto" w:fill="auto"/>
            <w:vAlign w:val="bottom"/>
          </w:tcPr>
          <w:p w14:paraId="1DE45773"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23,871</w:t>
            </w:r>
          </w:p>
        </w:tc>
        <w:tc>
          <w:tcPr>
            <w:tcW w:w="551" w:type="pct"/>
            <w:tcBorders>
              <w:top w:val="nil"/>
              <w:left w:val="nil"/>
              <w:bottom w:val="nil"/>
              <w:right w:val="nil"/>
            </w:tcBorders>
            <w:shd w:val="clear" w:color="auto" w:fill="auto"/>
            <w:vAlign w:val="bottom"/>
          </w:tcPr>
          <w:p w14:paraId="5BFB8648"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2" w:type="pct"/>
            <w:tcBorders>
              <w:top w:val="nil"/>
              <w:left w:val="nil"/>
              <w:bottom w:val="nil"/>
              <w:right w:val="nil"/>
            </w:tcBorders>
            <w:shd w:val="clear" w:color="auto" w:fill="auto"/>
            <w:vAlign w:val="bottom"/>
          </w:tcPr>
          <w:p w14:paraId="5B5B5823"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5A512AB4"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76E01C1F"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1</w:t>
            </w:r>
          </w:p>
        </w:tc>
        <w:tc>
          <w:tcPr>
            <w:tcW w:w="552" w:type="pct"/>
            <w:tcBorders>
              <w:top w:val="nil"/>
              <w:left w:val="nil"/>
              <w:bottom w:val="nil"/>
              <w:right w:val="nil"/>
            </w:tcBorders>
            <w:shd w:val="clear" w:color="auto" w:fill="auto"/>
            <w:vAlign w:val="bottom"/>
          </w:tcPr>
          <w:p w14:paraId="0EA3BE36"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23,872</w:t>
            </w:r>
          </w:p>
        </w:tc>
      </w:tr>
      <w:tr w:rsidR="000A6679" w:rsidRPr="00321238" w14:paraId="411C4AE3" w14:textId="77777777" w:rsidTr="009702B0">
        <w:trPr>
          <w:trHeight w:val="234"/>
        </w:trPr>
        <w:tc>
          <w:tcPr>
            <w:tcW w:w="1199" w:type="pct"/>
            <w:vAlign w:val="bottom"/>
          </w:tcPr>
          <w:p w14:paraId="2C375026" w14:textId="77777777" w:rsidR="000A6679" w:rsidRPr="00321238" w:rsidRDefault="000A6679" w:rsidP="000A6679">
            <w:pPr>
              <w:tabs>
                <w:tab w:val="left" w:pos="-720"/>
              </w:tabs>
              <w:suppressAutoHyphens/>
              <w:spacing w:after="0" w:line="240" w:lineRule="auto"/>
              <w:ind w:right="-5"/>
              <w:rPr>
                <w:rFonts w:cs="Arial"/>
                <w:sz w:val="18"/>
                <w:szCs w:val="18"/>
              </w:rPr>
            </w:pPr>
            <w:r w:rsidRPr="00321238">
              <w:rPr>
                <w:rFonts w:cs="Arial"/>
                <w:sz w:val="18"/>
                <w:szCs w:val="18"/>
              </w:rPr>
              <w:t xml:space="preserve">Loans to financial institutions </w:t>
            </w:r>
          </w:p>
        </w:tc>
        <w:tc>
          <w:tcPr>
            <w:tcW w:w="493" w:type="pct"/>
            <w:tcBorders>
              <w:top w:val="nil"/>
              <w:left w:val="nil"/>
              <w:bottom w:val="nil"/>
              <w:right w:val="nil"/>
            </w:tcBorders>
            <w:shd w:val="clear" w:color="auto" w:fill="auto"/>
            <w:vAlign w:val="bottom"/>
          </w:tcPr>
          <w:p w14:paraId="610A9A98"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652,666</w:t>
            </w:r>
          </w:p>
        </w:tc>
        <w:tc>
          <w:tcPr>
            <w:tcW w:w="551" w:type="pct"/>
            <w:tcBorders>
              <w:top w:val="nil"/>
              <w:left w:val="nil"/>
              <w:bottom w:val="nil"/>
              <w:right w:val="nil"/>
            </w:tcBorders>
            <w:shd w:val="clear" w:color="auto" w:fill="auto"/>
            <w:vAlign w:val="bottom"/>
          </w:tcPr>
          <w:p w14:paraId="6ED99C6C"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836,489</w:t>
            </w:r>
          </w:p>
        </w:tc>
        <w:tc>
          <w:tcPr>
            <w:tcW w:w="551" w:type="pct"/>
            <w:tcBorders>
              <w:top w:val="nil"/>
              <w:left w:val="nil"/>
              <w:bottom w:val="nil"/>
              <w:right w:val="nil"/>
            </w:tcBorders>
            <w:shd w:val="clear" w:color="auto" w:fill="auto"/>
            <w:vAlign w:val="bottom"/>
          </w:tcPr>
          <w:p w14:paraId="2D52C7F5"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1,873,910</w:t>
            </w:r>
          </w:p>
        </w:tc>
        <w:tc>
          <w:tcPr>
            <w:tcW w:w="552" w:type="pct"/>
            <w:tcBorders>
              <w:top w:val="nil"/>
              <w:left w:val="nil"/>
              <w:bottom w:val="nil"/>
              <w:right w:val="nil"/>
            </w:tcBorders>
            <w:shd w:val="clear" w:color="auto" w:fill="auto"/>
            <w:vAlign w:val="bottom"/>
          </w:tcPr>
          <w:p w14:paraId="5BCDCB0F"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2,926,641</w:t>
            </w:r>
          </w:p>
        </w:tc>
        <w:tc>
          <w:tcPr>
            <w:tcW w:w="551" w:type="pct"/>
            <w:tcBorders>
              <w:top w:val="nil"/>
              <w:left w:val="nil"/>
              <w:bottom w:val="nil"/>
              <w:right w:val="nil"/>
            </w:tcBorders>
            <w:shd w:val="clear" w:color="auto" w:fill="auto"/>
            <w:vAlign w:val="bottom"/>
          </w:tcPr>
          <w:p w14:paraId="00F3DC1D"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5,562,538</w:t>
            </w:r>
          </w:p>
        </w:tc>
        <w:tc>
          <w:tcPr>
            <w:tcW w:w="551" w:type="pct"/>
            <w:tcBorders>
              <w:top w:val="nil"/>
              <w:left w:val="nil"/>
              <w:bottom w:val="nil"/>
              <w:right w:val="nil"/>
            </w:tcBorders>
            <w:shd w:val="clear" w:color="auto" w:fill="auto"/>
            <w:vAlign w:val="bottom"/>
          </w:tcPr>
          <w:p w14:paraId="264FF9F6"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36,867</w:t>
            </w:r>
          </w:p>
        </w:tc>
        <w:tc>
          <w:tcPr>
            <w:tcW w:w="552" w:type="pct"/>
            <w:tcBorders>
              <w:top w:val="nil"/>
              <w:left w:val="nil"/>
              <w:bottom w:val="nil"/>
              <w:right w:val="nil"/>
            </w:tcBorders>
            <w:shd w:val="clear" w:color="auto" w:fill="auto"/>
            <w:vAlign w:val="bottom"/>
          </w:tcPr>
          <w:p w14:paraId="65351966"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11,889,111</w:t>
            </w:r>
          </w:p>
        </w:tc>
      </w:tr>
      <w:tr w:rsidR="000A6679" w:rsidRPr="00321238" w14:paraId="5316C510" w14:textId="77777777" w:rsidTr="009702B0">
        <w:trPr>
          <w:trHeight w:val="249"/>
        </w:trPr>
        <w:tc>
          <w:tcPr>
            <w:tcW w:w="1199" w:type="pct"/>
            <w:vAlign w:val="bottom"/>
          </w:tcPr>
          <w:p w14:paraId="7571CD1D" w14:textId="77777777" w:rsidR="000A6679" w:rsidRPr="00321238" w:rsidRDefault="000A6679" w:rsidP="000A6679">
            <w:pPr>
              <w:tabs>
                <w:tab w:val="left" w:pos="-720"/>
              </w:tabs>
              <w:suppressAutoHyphens/>
              <w:spacing w:after="0" w:line="240" w:lineRule="auto"/>
              <w:ind w:right="-5"/>
              <w:rPr>
                <w:rFonts w:cs="Arial"/>
                <w:sz w:val="18"/>
                <w:szCs w:val="18"/>
              </w:rPr>
            </w:pPr>
            <w:r w:rsidRPr="00321238">
              <w:rPr>
                <w:rFonts w:cs="Arial"/>
                <w:sz w:val="18"/>
                <w:szCs w:val="18"/>
              </w:rPr>
              <w:t xml:space="preserve">Loans to other customers </w:t>
            </w:r>
          </w:p>
        </w:tc>
        <w:tc>
          <w:tcPr>
            <w:tcW w:w="493" w:type="pct"/>
            <w:tcBorders>
              <w:top w:val="nil"/>
              <w:left w:val="nil"/>
              <w:bottom w:val="nil"/>
              <w:right w:val="nil"/>
            </w:tcBorders>
            <w:shd w:val="clear" w:color="auto" w:fill="auto"/>
            <w:vAlign w:val="bottom"/>
          </w:tcPr>
          <w:p w14:paraId="29D6CBE5"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1,517,371</w:t>
            </w:r>
          </w:p>
        </w:tc>
        <w:tc>
          <w:tcPr>
            <w:tcW w:w="551" w:type="pct"/>
            <w:tcBorders>
              <w:top w:val="nil"/>
              <w:left w:val="nil"/>
              <w:bottom w:val="nil"/>
              <w:right w:val="nil"/>
            </w:tcBorders>
            <w:shd w:val="clear" w:color="auto" w:fill="auto"/>
            <w:vAlign w:val="bottom"/>
          </w:tcPr>
          <w:p w14:paraId="3058DB7F"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824,285</w:t>
            </w:r>
          </w:p>
        </w:tc>
        <w:tc>
          <w:tcPr>
            <w:tcW w:w="551" w:type="pct"/>
            <w:tcBorders>
              <w:top w:val="nil"/>
              <w:left w:val="nil"/>
              <w:bottom w:val="nil"/>
              <w:right w:val="nil"/>
            </w:tcBorders>
            <w:shd w:val="clear" w:color="auto" w:fill="auto"/>
            <w:vAlign w:val="bottom"/>
          </w:tcPr>
          <w:p w14:paraId="5BE95FAA"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1,081,418</w:t>
            </w:r>
          </w:p>
        </w:tc>
        <w:tc>
          <w:tcPr>
            <w:tcW w:w="552" w:type="pct"/>
            <w:tcBorders>
              <w:top w:val="nil"/>
              <w:left w:val="nil"/>
              <w:bottom w:val="nil"/>
              <w:right w:val="nil"/>
            </w:tcBorders>
            <w:shd w:val="clear" w:color="auto" w:fill="auto"/>
            <w:vAlign w:val="bottom"/>
          </w:tcPr>
          <w:p w14:paraId="2307F65E"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1,506,407</w:t>
            </w:r>
          </w:p>
        </w:tc>
        <w:tc>
          <w:tcPr>
            <w:tcW w:w="551" w:type="pct"/>
            <w:tcBorders>
              <w:top w:val="nil"/>
              <w:left w:val="nil"/>
              <w:bottom w:val="nil"/>
              <w:right w:val="nil"/>
            </w:tcBorders>
            <w:shd w:val="clear" w:color="auto" w:fill="auto"/>
            <w:vAlign w:val="bottom"/>
          </w:tcPr>
          <w:p w14:paraId="0383466C"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6,522,314</w:t>
            </w:r>
          </w:p>
        </w:tc>
        <w:tc>
          <w:tcPr>
            <w:tcW w:w="551" w:type="pct"/>
            <w:tcBorders>
              <w:top w:val="nil"/>
              <w:left w:val="nil"/>
              <w:bottom w:val="nil"/>
              <w:right w:val="nil"/>
            </w:tcBorders>
            <w:shd w:val="clear" w:color="auto" w:fill="auto"/>
            <w:vAlign w:val="bottom"/>
          </w:tcPr>
          <w:p w14:paraId="5E3161A4"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59,399</w:t>
            </w:r>
          </w:p>
        </w:tc>
        <w:tc>
          <w:tcPr>
            <w:tcW w:w="552" w:type="pct"/>
            <w:tcBorders>
              <w:top w:val="nil"/>
              <w:left w:val="nil"/>
              <w:bottom w:val="nil"/>
              <w:right w:val="nil"/>
            </w:tcBorders>
            <w:shd w:val="clear" w:color="auto" w:fill="auto"/>
            <w:vAlign w:val="bottom"/>
          </w:tcPr>
          <w:p w14:paraId="277BCA90"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11,511,194</w:t>
            </w:r>
          </w:p>
        </w:tc>
      </w:tr>
      <w:tr w:rsidR="000A6679" w:rsidRPr="00321238" w14:paraId="4EB3E95C" w14:textId="77777777" w:rsidTr="009702B0">
        <w:trPr>
          <w:trHeight w:val="234"/>
        </w:trPr>
        <w:tc>
          <w:tcPr>
            <w:tcW w:w="1199" w:type="pct"/>
            <w:vAlign w:val="bottom"/>
          </w:tcPr>
          <w:p w14:paraId="2B92CCFB" w14:textId="77777777" w:rsidR="000A6679" w:rsidRPr="00321238" w:rsidRDefault="000A6679" w:rsidP="000A6679">
            <w:pPr>
              <w:tabs>
                <w:tab w:val="left" w:pos="-720"/>
              </w:tabs>
              <w:suppressAutoHyphens/>
              <w:spacing w:after="0" w:line="240" w:lineRule="auto"/>
              <w:ind w:right="-5"/>
              <w:rPr>
                <w:rFonts w:cs="Arial"/>
                <w:sz w:val="18"/>
                <w:szCs w:val="18"/>
              </w:rPr>
            </w:pPr>
            <w:r w:rsidRPr="00321238">
              <w:rPr>
                <w:rFonts w:cs="Arial"/>
                <w:sz w:val="18"/>
                <w:szCs w:val="18"/>
              </w:rPr>
              <w:t xml:space="preserve">Assets available for sale </w:t>
            </w:r>
          </w:p>
        </w:tc>
        <w:tc>
          <w:tcPr>
            <w:tcW w:w="493" w:type="pct"/>
            <w:tcBorders>
              <w:top w:val="nil"/>
              <w:left w:val="nil"/>
              <w:bottom w:val="nil"/>
              <w:right w:val="nil"/>
            </w:tcBorders>
            <w:shd w:val="clear" w:color="auto" w:fill="auto"/>
            <w:vAlign w:val="bottom"/>
          </w:tcPr>
          <w:p w14:paraId="39CE8EAD"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2,385,835</w:t>
            </w:r>
          </w:p>
        </w:tc>
        <w:tc>
          <w:tcPr>
            <w:tcW w:w="551" w:type="pct"/>
            <w:tcBorders>
              <w:top w:val="nil"/>
              <w:left w:val="nil"/>
              <w:bottom w:val="nil"/>
              <w:right w:val="nil"/>
            </w:tcBorders>
            <w:shd w:val="clear" w:color="auto" w:fill="auto"/>
            <w:vAlign w:val="bottom"/>
          </w:tcPr>
          <w:p w14:paraId="4444665A"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0F176CEE"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2" w:type="pct"/>
            <w:tcBorders>
              <w:top w:val="nil"/>
              <w:left w:val="nil"/>
              <w:bottom w:val="nil"/>
              <w:right w:val="nil"/>
            </w:tcBorders>
            <w:shd w:val="clear" w:color="auto" w:fill="auto"/>
            <w:vAlign w:val="bottom"/>
          </w:tcPr>
          <w:p w14:paraId="10BA9EF6"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6270F531"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227B50FD"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957,739</w:t>
            </w:r>
          </w:p>
        </w:tc>
        <w:tc>
          <w:tcPr>
            <w:tcW w:w="552" w:type="pct"/>
            <w:tcBorders>
              <w:top w:val="nil"/>
              <w:left w:val="nil"/>
              <w:bottom w:val="nil"/>
              <w:right w:val="nil"/>
            </w:tcBorders>
            <w:shd w:val="clear" w:color="auto" w:fill="auto"/>
            <w:vAlign w:val="bottom"/>
          </w:tcPr>
          <w:p w14:paraId="6FDEBADF"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3,343,574</w:t>
            </w:r>
          </w:p>
        </w:tc>
      </w:tr>
      <w:tr w:rsidR="000A6679" w:rsidRPr="00321238" w14:paraId="1629C225" w14:textId="77777777" w:rsidTr="009702B0">
        <w:trPr>
          <w:trHeight w:val="234"/>
        </w:trPr>
        <w:tc>
          <w:tcPr>
            <w:tcW w:w="1199" w:type="pct"/>
            <w:vAlign w:val="bottom"/>
          </w:tcPr>
          <w:p w14:paraId="670C3B12" w14:textId="77777777" w:rsidR="000A6679" w:rsidRPr="00321238" w:rsidRDefault="000A6679" w:rsidP="000A6679">
            <w:pPr>
              <w:tabs>
                <w:tab w:val="left" w:pos="-720"/>
              </w:tabs>
              <w:suppressAutoHyphens/>
              <w:spacing w:after="0" w:line="240" w:lineRule="auto"/>
              <w:ind w:right="-5"/>
              <w:rPr>
                <w:rFonts w:cs="Arial"/>
                <w:sz w:val="18"/>
                <w:szCs w:val="18"/>
              </w:rPr>
            </w:pPr>
            <w:r w:rsidRPr="00321238">
              <w:rPr>
                <w:rFonts w:cs="Arial"/>
                <w:sz w:val="18"/>
                <w:szCs w:val="18"/>
              </w:rPr>
              <w:t>Investments in subsidiaries</w:t>
            </w:r>
          </w:p>
        </w:tc>
        <w:tc>
          <w:tcPr>
            <w:tcW w:w="493" w:type="pct"/>
            <w:tcBorders>
              <w:top w:val="nil"/>
              <w:left w:val="nil"/>
              <w:bottom w:val="nil"/>
              <w:right w:val="nil"/>
            </w:tcBorders>
            <w:shd w:val="clear" w:color="auto" w:fill="auto"/>
            <w:vAlign w:val="bottom"/>
          </w:tcPr>
          <w:p w14:paraId="5B431AC6"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3866F3B9"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60A0D938"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2" w:type="pct"/>
            <w:tcBorders>
              <w:top w:val="nil"/>
              <w:left w:val="nil"/>
              <w:bottom w:val="nil"/>
              <w:right w:val="nil"/>
            </w:tcBorders>
            <w:shd w:val="clear" w:color="auto" w:fill="auto"/>
            <w:vAlign w:val="bottom"/>
          </w:tcPr>
          <w:p w14:paraId="15BA3175"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23080F80"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07476B9C"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36,124</w:t>
            </w:r>
          </w:p>
        </w:tc>
        <w:tc>
          <w:tcPr>
            <w:tcW w:w="552" w:type="pct"/>
            <w:tcBorders>
              <w:top w:val="nil"/>
              <w:left w:val="nil"/>
              <w:bottom w:val="nil"/>
              <w:right w:val="nil"/>
            </w:tcBorders>
            <w:shd w:val="clear" w:color="auto" w:fill="auto"/>
            <w:vAlign w:val="bottom"/>
          </w:tcPr>
          <w:p w14:paraId="59F7E56F"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36,124</w:t>
            </w:r>
          </w:p>
        </w:tc>
      </w:tr>
      <w:tr w:rsidR="000A6679" w:rsidRPr="00321238" w14:paraId="21FE7760" w14:textId="77777777" w:rsidTr="009702B0">
        <w:trPr>
          <w:trHeight w:val="234"/>
        </w:trPr>
        <w:tc>
          <w:tcPr>
            <w:tcW w:w="1199" w:type="pct"/>
            <w:vAlign w:val="bottom"/>
          </w:tcPr>
          <w:p w14:paraId="5B09D1B8" w14:textId="77777777" w:rsidR="000A6679" w:rsidRPr="00321238" w:rsidRDefault="000A6679" w:rsidP="000A6679">
            <w:pPr>
              <w:tabs>
                <w:tab w:val="left" w:pos="-720"/>
              </w:tabs>
              <w:suppressAutoHyphens/>
              <w:spacing w:after="0" w:line="240" w:lineRule="auto"/>
              <w:ind w:right="-5"/>
              <w:rPr>
                <w:rFonts w:cs="Arial"/>
                <w:sz w:val="18"/>
                <w:szCs w:val="18"/>
              </w:rPr>
            </w:pPr>
            <w:r w:rsidRPr="00321238">
              <w:rPr>
                <w:rFonts w:cs="Arial"/>
                <w:sz w:val="18"/>
                <w:szCs w:val="18"/>
              </w:rPr>
              <w:t>Investments in associates</w:t>
            </w:r>
          </w:p>
        </w:tc>
        <w:tc>
          <w:tcPr>
            <w:tcW w:w="493" w:type="pct"/>
            <w:tcBorders>
              <w:top w:val="nil"/>
              <w:left w:val="nil"/>
              <w:bottom w:val="nil"/>
              <w:right w:val="nil"/>
            </w:tcBorders>
            <w:shd w:val="clear" w:color="auto" w:fill="auto"/>
            <w:vAlign w:val="bottom"/>
          </w:tcPr>
          <w:p w14:paraId="22BF563D"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215C2632"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6732234E"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2" w:type="pct"/>
            <w:tcBorders>
              <w:top w:val="nil"/>
              <w:left w:val="nil"/>
              <w:bottom w:val="nil"/>
              <w:right w:val="nil"/>
            </w:tcBorders>
            <w:shd w:val="clear" w:color="auto" w:fill="auto"/>
            <w:vAlign w:val="bottom"/>
          </w:tcPr>
          <w:p w14:paraId="09814AB2"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401B3C98"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6FF07A51"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w:t>
            </w:r>
          </w:p>
        </w:tc>
        <w:tc>
          <w:tcPr>
            <w:tcW w:w="552" w:type="pct"/>
            <w:tcBorders>
              <w:top w:val="nil"/>
              <w:left w:val="nil"/>
              <w:bottom w:val="nil"/>
              <w:right w:val="nil"/>
            </w:tcBorders>
            <w:shd w:val="clear" w:color="auto" w:fill="auto"/>
            <w:vAlign w:val="bottom"/>
          </w:tcPr>
          <w:p w14:paraId="7791733A"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w:t>
            </w:r>
          </w:p>
        </w:tc>
      </w:tr>
      <w:tr w:rsidR="000A6679" w:rsidRPr="00321238" w14:paraId="3E59EEF3" w14:textId="77777777" w:rsidTr="009702B0">
        <w:trPr>
          <w:trHeight w:val="719"/>
        </w:trPr>
        <w:tc>
          <w:tcPr>
            <w:tcW w:w="1199" w:type="pct"/>
            <w:vAlign w:val="bottom"/>
          </w:tcPr>
          <w:p w14:paraId="3A3668BB" w14:textId="77777777" w:rsidR="000A6679" w:rsidRPr="00321238" w:rsidRDefault="000A6679" w:rsidP="000A6679">
            <w:pPr>
              <w:tabs>
                <w:tab w:val="left" w:pos="-720"/>
              </w:tabs>
              <w:suppressAutoHyphens/>
              <w:spacing w:after="0" w:line="240" w:lineRule="auto"/>
              <w:ind w:right="-5"/>
              <w:rPr>
                <w:rFonts w:cs="Arial"/>
                <w:sz w:val="18"/>
                <w:szCs w:val="18"/>
              </w:rPr>
            </w:pPr>
            <w:r w:rsidRPr="00321238">
              <w:rPr>
                <w:rFonts w:cs="Arial"/>
                <w:sz w:val="18"/>
                <w:szCs w:val="18"/>
              </w:rPr>
              <w:t xml:space="preserve">Property, plant and equipment and intangible assets </w:t>
            </w:r>
          </w:p>
        </w:tc>
        <w:tc>
          <w:tcPr>
            <w:tcW w:w="493" w:type="pct"/>
            <w:tcBorders>
              <w:top w:val="nil"/>
              <w:left w:val="nil"/>
              <w:bottom w:val="nil"/>
              <w:right w:val="nil"/>
            </w:tcBorders>
            <w:shd w:val="clear" w:color="auto" w:fill="auto"/>
            <w:vAlign w:val="bottom"/>
          </w:tcPr>
          <w:p w14:paraId="545C9304"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7E80EC6C"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32FAE19F"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2" w:type="pct"/>
            <w:tcBorders>
              <w:top w:val="nil"/>
              <w:left w:val="nil"/>
              <w:bottom w:val="nil"/>
              <w:right w:val="nil"/>
            </w:tcBorders>
            <w:shd w:val="clear" w:color="auto" w:fill="auto"/>
            <w:vAlign w:val="bottom"/>
          </w:tcPr>
          <w:p w14:paraId="5DAE6A4D"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0730E823"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7A464A39" w14:textId="77777777"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57,216</w:t>
            </w:r>
          </w:p>
        </w:tc>
        <w:tc>
          <w:tcPr>
            <w:tcW w:w="552" w:type="pct"/>
            <w:tcBorders>
              <w:top w:val="nil"/>
              <w:left w:val="nil"/>
              <w:bottom w:val="nil"/>
              <w:right w:val="nil"/>
            </w:tcBorders>
            <w:shd w:val="clear" w:color="auto" w:fill="auto"/>
            <w:vAlign w:val="bottom"/>
          </w:tcPr>
          <w:p w14:paraId="759A5FCB" w14:textId="77777777" w:rsidR="000A6679" w:rsidRPr="00321238" w:rsidRDefault="000A6679" w:rsidP="000A6679">
            <w:pPr>
              <w:spacing w:after="0" w:line="240" w:lineRule="auto"/>
              <w:jc w:val="right"/>
              <w:rPr>
                <w:rFonts w:eastAsia="Times New Roman" w:cs="Arial"/>
                <w:bCs/>
                <w:sz w:val="18"/>
                <w:szCs w:val="18"/>
              </w:rPr>
            </w:pPr>
            <w:r w:rsidRPr="00321238">
              <w:rPr>
                <w:color w:val="000000"/>
                <w:sz w:val="18"/>
                <w:szCs w:val="18"/>
              </w:rPr>
              <w:t>57,216</w:t>
            </w:r>
          </w:p>
        </w:tc>
      </w:tr>
      <w:tr w:rsidR="000A6679" w:rsidRPr="00321238" w14:paraId="33F62F21" w14:textId="77777777" w:rsidTr="009702B0">
        <w:trPr>
          <w:trHeight w:val="469"/>
        </w:trPr>
        <w:tc>
          <w:tcPr>
            <w:tcW w:w="1199" w:type="pct"/>
            <w:vAlign w:val="bottom"/>
          </w:tcPr>
          <w:p w14:paraId="1B30B207" w14:textId="77777777" w:rsidR="000A6679" w:rsidRPr="00321238" w:rsidRDefault="000A6679" w:rsidP="000A6679">
            <w:pPr>
              <w:tabs>
                <w:tab w:val="left" w:pos="-720"/>
              </w:tabs>
              <w:suppressAutoHyphens/>
              <w:spacing w:after="0" w:line="240" w:lineRule="auto"/>
              <w:ind w:right="-5"/>
              <w:rPr>
                <w:rFonts w:cs="Arial"/>
                <w:sz w:val="18"/>
                <w:szCs w:val="18"/>
              </w:rPr>
            </w:pPr>
            <w:r w:rsidRPr="00321238">
              <w:rPr>
                <w:rFonts w:cs="Arial"/>
                <w:sz w:val="18"/>
                <w:szCs w:val="18"/>
              </w:rPr>
              <w:t xml:space="preserve">Non-current assets held for sale </w:t>
            </w:r>
          </w:p>
        </w:tc>
        <w:tc>
          <w:tcPr>
            <w:tcW w:w="493" w:type="pct"/>
            <w:tcBorders>
              <w:top w:val="nil"/>
              <w:left w:val="nil"/>
              <w:right w:val="nil"/>
            </w:tcBorders>
            <w:shd w:val="clear" w:color="auto" w:fill="auto"/>
            <w:vAlign w:val="bottom"/>
          </w:tcPr>
          <w:p w14:paraId="362A708A"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right w:val="nil"/>
            </w:tcBorders>
            <w:shd w:val="clear" w:color="auto" w:fill="auto"/>
            <w:vAlign w:val="bottom"/>
          </w:tcPr>
          <w:p w14:paraId="152C283D"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right w:val="nil"/>
            </w:tcBorders>
            <w:shd w:val="clear" w:color="auto" w:fill="auto"/>
            <w:vAlign w:val="bottom"/>
          </w:tcPr>
          <w:p w14:paraId="5A107849"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2" w:type="pct"/>
            <w:tcBorders>
              <w:top w:val="nil"/>
              <w:left w:val="nil"/>
              <w:right w:val="nil"/>
            </w:tcBorders>
            <w:shd w:val="clear" w:color="auto" w:fill="auto"/>
            <w:vAlign w:val="bottom"/>
          </w:tcPr>
          <w:p w14:paraId="44E37757"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right w:val="nil"/>
            </w:tcBorders>
            <w:shd w:val="clear" w:color="auto" w:fill="auto"/>
            <w:vAlign w:val="bottom"/>
          </w:tcPr>
          <w:p w14:paraId="656610E1"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right w:val="nil"/>
            </w:tcBorders>
            <w:shd w:val="clear" w:color="auto" w:fill="auto"/>
            <w:vAlign w:val="bottom"/>
          </w:tcPr>
          <w:p w14:paraId="17A2847F" w14:textId="77777777"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17,230</w:t>
            </w:r>
          </w:p>
        </w:tc>
        <w:tc>
          <w:tcPr>
            <w:tcW w:w="552" w:type="pct"/>
            <w:tcBorders>
              <w:top w:val="nil"/>
              <w:left w:val="nil"/>
              <w:right w:val="nil"/>
            </w:tcBorders>
            <w:shd w:val="clear" w:color="auto" w:fill="auto"/>
            <w:vAlign w:val="bottom"/>
          </w:tcPr>
          <w:p w14:paraId="50C1C02C" w14:textId="77777777" w:rsidR="000A6679" w:rsidRPr="00321238" w:rsidRDefault="000A6679" w:rsidP="000A6679">
            <w:pPr>
              <w:spacing w:after="0" w:line="240" w:lineRule="auto"/>
              <w:jc w:val="right"/>
              <w:rPr>
                <w:rFonts w:eastAsia="Times New Roman" w:cs="Arial"/>
                <w:bCs/>
                <w:sz w:val="18"/>
                <w:szCs w:val="18"/>
              </w:rPr>
            </w:pPr>
            <w:r w:rsidRPr="00321238">
              <w:rPr>
                <w:color w:val="000000"/>
                <w:sz w:val="18"/>
                <w:szCs w:val="18"/>
              </w:rPr>
              <w:t>17,230</w:t>
            </w:r>
          </w:p>
        </w:tc>
      </w:tr>
      <w:tr w:rsidR="000A6679" w:rsidRPr="00321238" w14:paraId="2D522F97" w14:textId="77777777" w:rsidTr="00624862">
        <w:trPr>
          <w:trHeight w:val="234"/>
        </w:trPr>
        <w:tc>
          <w:tcPr>
            <w:tcW w:w="1199" w:type="pct"/>
            <w:vAlign w:val="bottom"/>
          </w:tcPr>
          <w:p w14:paraId="067AC1FC" w14:textId="77777777" w:rsidR="000A6679" w:rsidRPr="00321238" w:rsidRDefault="000A6679" w:rsidP="000A6679">
            <w:pPr>
              <w:tabs>
                <w:tab w:val="left" w:pos="-720"/>
              </w:tabs>
              <w:suppressAutoHyphens/>
              <w:spacing w:after="0" w:line="240" w:lineRule="auto"/>
              <w:ind w:right="-5"/>
              <w:rPr>
                <w:rFonts w:cs="Arial"/>
                <w:sz w:val="18"/>
                <w:szCs w:val="18"/>
              </w:rPr>
            </w:pPr>
            <w:r w:rsidRPr="00321238">
              <w:rPr>
                <w:rFonts w:cs="Arial"/>
                <w:sz w:val="18"/>
                <w:szCs w:val="18"/>
              </w:rPr>
              <w:t xml:space="preserve">Other assets </w:t>
            </w:r>
          </w:p>
        </w:tc>
        <w:tc>
          <w:tcPr>
            <w:tcW w:w="493" w:type="pct"/>
            <w:tcBorders>
              <w:top w:val="nil"/>
              <w:left w:val="nil"/>
              <w:bottom w:val="nil"/>
              <w:right w:val="nil"/>
            </w:tcBorders>
            <w:shd w:val="clear" w:color="auto" w:fill="auto"/>
            <w:vAlign w:val="bottom"/>
          </w:tcPr>
          <w:p w14:paraId="2E708E7B"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2F16C56C"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17A097AE"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2" w:type="pct"/>
            <w:tcBorders>
              <w:top w:val="nil"/>
              <w:left w:val="nil"/>
              <w:bottom w:val="nil"/>
              <w:right w:val="nil"/>
            </w:tcBorders>
            <w:shd w:val="clear" w:color="auto" w:fill="auto"/>
            <w:vAlign w:val="bottom"/>
          </w:tcPr>
          <w:p w14:paraId="06E7A0B7"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7F0D5049"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3CCE0F7C" w14:textId="77777777"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5,900</w:t>
            </w:r>
          </w:p>
        </w:tc>
        <w:tc>
          <w:tcPr>
            <w:tcW w:w="552" w:type="pct"/>
            <w:tcBorders>
              <w:top w:val="nil"/>
              <w:left w:val="nil"/>
              <w:bottom w:val="nil"/>
              <w:right w:val="nil"/>
            </w:tcBorders>
            <w:shd w:val="clear" w:color="auto" w:fill="auto"/>
            <w:vAlign w:val="bottom"/>
          </w:tcPr>
          <w:p w14:paraId="4834D167" w14:textId="77777777" w:rsidR="000A6679" w:rsidRPr="00321238" w:rsidRDefault="000A6679" w:rsidP="000A6679">
            <w:pPr>
              <w:spacing w:after="0" w:line="240" w:lineRule="auto"/>
              <w:jc w:val="right"/>
              <w:rPr>
                <w:rFonts w:eastAsia="Times New Roman" w:cs="Arial"/>
                <w:bCs/>
                <w:sz w:val="18"/>
                <w:szCs w:val="18"/>
              </w:rPr>
            </w:pPr>
            <w:r w:rsidRPr="00321238">
              <w:rPr>
                <w:color w:val="000000"/>
                <w:sz w:val="18"/>
                <w:szCs w:val="18"/>
              </w:rPr>
              <w:t>5,900</w:t>
            </w:r>
          </w:p>
        </w:tc>
      </w:tr>
      <w:tr w:rsidR="000A6679" w:rsidRPr="00321238" w14:paraId="63B23CCB" w14:textId="77777777" w:rsidTr="00624862">
        <w:trPr>
          <w:trHeight w:val="74"/>
        </w:trPr>
        <w:tc>
          <w:tcPr>
            <w:tcW w:w="1199" w:type="pct"/>
            <w:vAlign w:val="bottom"/>
          </w:tcPr>
          <w:p w14:paraId="44F87F29" w14:textId="77777777" w:rsidR="000A6679" w:rsidRPr="00321238" w:rsidRDefault="000A6679" w:rsidP="000A6679">
            <w:pPr>
              <w:tabs>
                <w:tab w:val="right" w:pos="1202"/>
              </w:tabs>
              <w:spacing w:after="0" w:line="240" w:lineRule="auto"/>
              <w:outlineLvl w:val="0"/>
              <w:rPr>
                <w:rFonts w:eastAsia="Times New Roman" w:cs="Arial"/>
                <w:b/>
                <w:bCs/>
                <w:sz w:val="18"/>
                <w:szCs w:val="18"/>
              </w:rPr>
            </w:pPr>
            <w:r w:rsidRPr="00321238">
              <w:rPr>
                <w:rFonts w:eastAsia="Times New Roman" w:cs="Arial"/>
                <w:b/>
                <w:bCs/>
                <w:sz w:val="18"/>
                <w:szCs w:val="18"/>
              </w:rPr>
              <w:t>Total assets (1)</w:t>
            </w:r>
          </w:p>
        </w:tc>
        <w:tc>
          <w:tcPr>
            <w:tcW w:w="493" w:type="pct"/>
            <w:tcBorders>
              <w:top w:val="single" w:sz="4" w:space="0" w:color="auto"/>
              <w:left w:val="nil"/>
              <w:bottom w:val="single" w:sz="8" w:space="0" w:color="auto"/>
              <w:right w:val="nil"/>
            </w:tcBorders>
            <w:shd w:val="clear" w:color="auto" w:fill="auto"/>
            <w:vAlign w:val="center"/>
          </w:tcPr>
          <w:p w14:paraId="0C33106E"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4,555,872</w:t>
            </w:r>
          </w:p>
        </w:tc>
        <w:tc>
          <w:tcPr>
            <w:tcW w:w="551" w:type="pct"/>
            <w:tcBorders>
              <w:top w:val="single" w:sz="4" w:space="0" w:color="auto"/>
              <w:left w:val="nil"/>
              <w:bottom w:val="single" w:sz="8" w:space="0" w:color="auto"/>
              <w:right w:val="nil"/>
            </w:tcBorders>
            <w:shd w:val="clear" w:color="auto" w:fill="auto"/>
            <w:vAlign w:val="center"/>
          </w:tcPr>
          <w:p w14:paraId="1E09F8D8"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1,684,645</w:t>
            </w:r>
          </w:p>
        </w:tc>
        <w:tc>
          <w:tcPr>
            <w:tcW w:w="551" w:type="pct"/>
            <w:tcBorders>
              <w:top w:val="single" w:sz="4" w:space="0" w:color="auto"/>
              <w:left w:val="nil"/>
              <w:bottom w:val="single" w:sz="8" w:space="0" w:color="auto"/>
              <w:right w:val="nil"/>
            </w:tcBorders>
            <w:shd w:val="clear" w:color="auto" w:fill="auto"/>
            <w:vAlign w:val="center"/>
          </w:tcPr>
          <w:p w14:paraId="7F9C48BD"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2,955,328</w:t>
            </w:r>
          </w:p>
        </w:tc>
        <w:tc>
          <w:tcPr>
            <w:tcW w:w="552" w:type="pct"/>
            <w:tcBorders>
              <w:top w:val="single" w:sz="4" w:space="0" w:color="auto"/>
              <w:left w:val="nil"/>
              <w:bottom w:val="single" w:sz="8" w:space="0" w:color="auto"/>
              <w:right w:val="nil"/>
            </w:tcBorders>
            <w:shd w:val="clear" w:color="auto" w:fill="auto"/>
            <w:vAlign w:val="center"/>
          </w:tcPr>
          <w:p w14:paraId="299F656F"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4,433,048</w:t>
            </w:r>
          </w:p>
        </w:tc>
        <w:tc>
          <w:tcPr>
            <w:tcW w:w="551" w:type="pct"/>
            <w:tcBorders>
              <w:top w:val="single" w:sz="4" w:space="0" w:color="auto"/>
              <w:left w:val="nil"/>
              <w:bottom w:val="single" w:sz="8" w:space="0" w:color="auto"/>
              <w:right w:val="nil"/>
            </w:tcBorders>
            <w:shd w:val="clear" w:color="auto" w:fill="auto"/>
            <w:vAlign w:val="center"/>
          </w:tcPr>
          <w:p w14:paraId="63032704"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12,084,852</w:t>
            </w:r>
          </w:p>
        </w:tc>
        <w:tc>
          <w:tcPr>
            <w:tcW w:w="551" w:type="pct"/>
            <w:tcBorders>
              <w:top w:val="single" w:sz="4" w:space="0" w:color="auto"/>
              <w:left w:val="nil"/>
              <w:bottom w:val="single" w:sz="8" w:space="0" w:color="auto"/>
              <w:right w:val="nil"/>
            </w:tcBorders>
            <w:shd w:val="clear" w:color="auto" w:fill="auto"/>
            <w:vAlign w:val="center"/>
          </w:tcPr>
          <w:p w14:paraId="0AFCC08A"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1,661,171</w:t>
            </w:r>
          </w:p>
        </w:tc>
        <w:tc>
          <w:tcPr>
            <w:tcW w:w="552" w:type="pct"/>
            <w:tcBorders>
              <w:top w:val="single" w:sz="4" w:space="0" w:color="auto"/>
              <w:left w:val="nil"/>
              <w:bottom w:val="single" w:sz="8" w:space="0" w:color="auto"/>
              <w:right w:val="nil"/>
            </w:tcBorders>
            <w:shd w:val="clear" w:color="auto" w:fill="auto"/>
            <w:vAlign w:val="center"/>
          </w:tcPr>
          <w:p w14:paraId="1D7319D2"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27,374,916</w:t>
            </w:r>
          </w:p>
        </w:tc>
      </w:tr>
      <w:tr w:rsidR="009702B0" w:rsidRPr="00321238" w14:paraId="52C8ADEB" w14:textId="77777777" w:rsidTr="009702B0">
        <w:trPr>
          <w:trHeight w:val="249"/>
        </w:trPr>
        <w:tc>
          <w:tcPr>
            <w:tcW w:w="1199" w:type="pct"/>
            <w:vAlign w:val="bottom"/>
          </w:tcPr>
          <w:p w14:paraId="47D317BB" w14:textId="77777777" w:rsidR="009702B0" w:rsidRPr="00321238" w:rsidRDefault="009702B0" w:rsidP="009702B0">
            <w:pPr>
              <w:tabs>
                <w:tab w:val="left" w:pos="-720"/>
              </w:tabs>
              <w:suppressAutoHyphens/>
              <w:spacing w:after="0" w:line="240" w:lineRule="auto"/>
              <w:ind w:right="-6"/>
              <w:jc w:val="both"/>
              <w:rPr>
                <w:rFonts w:cs="Arial"/>
                <w:sz w:val="18"/>
                <w:szCs w:val="18"/>
              </w:rPr>
            </w:pPr>
          </w:p>
        </w:tc>
        <w:tc>
          <w:tcPr>
            <w:tcW w:w="493" w:type="pct"/>
            <w:tcBorders>
              <w:top w:val="single" w:sz="12" w:space="0" w:color="auto"/>
            </w:tcBorders>
          </w:tcPr>
          <w:p w14:paraId="08422E90" w14:textId="77777777" w:rsidR="009702B0" w:rsidRPr="00321238" w:rsidRDefault="009702B0" w:rsidP="009702B0">
            <w:pPr>
              <w:tabs>
                <w:tab w:val="left" w:pos="-720"/>
              </w:tabs>
              <w:suppressAutoHyphens/>
              <w:spacing w:after="0" w:line="240" w:lineRule="auto"/>
              <w:ind w:right="-6"/>
              <w:jc w:val="right"/>
              <w:rPr>
                <w:rFonts w:cs="Arial"/>
                <w:sz w:val="18"/>
                <w:szCs w:val="18"/>
              </w:rPr>
            </w:pPr>
          </w:p>
        </w:tc>
        <w:tc>
          <w:tcPr>
            <w:tcW w:w="551" w:type="pct"/>
            <w:tcBorders>
              <w:top w:val="single" w:sz="12" w:space="0" w:color="auto"/>
            </w:tcBorders>
          </w:tcPr>
          <w:p w14:paraId="6E0104AE" w14:textId="77777777" w:rsidR="009702B0" w:rsidRPr="00321238" w:rsidRDefault="009702B0" w:rsidP="009702B0">
            <w:pPr>
              <w:tabs>
                <w:tab w:val="left" w:pos="-720"/>
              </w:tabs>
              <w:suppressAutoHyphens/>
              <w:spacing w:after="0" w:line="240" w:lineRule="auto"/>
              <w:ind w:right="-6"/>
              <w:jc w:val="right"/>
              <w:rPr>
                <w:rFonts w:cs="Arial"/>
                <w:sz w:val="18"/>
                <w:szCs w:val="18"/>
              </w:rPr>
            </w:pPr>
          </w:p>
        </w:tc>
        <w:tc>
          <w:tcPr>
            <w:tcW w:w="551" w:type="pct"/>
            <w:tcBorders>
              <w:top w:val="single" w:sz="12" w:space="0" w:color="auto"/>
            </w:tcBorders>
          </w:tcPr>
          <w:p w14:paraId="381D7428" w14:textId="77777777" w:rsidR="009702B0" w:rsidRPr="00321238" w:rsidRDefault="009702B0" w:rsidP="009702B0">
            <w:pPr>
              <w:tabs>
                <w:tab w:val="left" w:pos="-720"/>
              </w:tabs>
              <w:suppressAutoHyphens/>
              <w:spacing w:after="0" w:line="240" w:lineRule="auto"/>
              <w:ind w:right="-6"/>
              <w:jc w:val="right"/>
              <w:rPr>
                <w:rFonts w:cs="Arial"/>
                <w:sz w:val="18"/>
                <w:szCs w:val="18"/>
              </w:rPr>
            </w:pPr>
          </w:p>
        </w:tc>
        <w:tc>
          <w:tcPr>
            <w:tcW w:w="552" w:type="pct"/>
            <w:tcBorders>
              <w:top w:val="single" w:sz="12" w:space="0" w:color="auto"/>
            </w:tcBorders>
          </w:tcPr>
          <w:p w14:paraId="5CFE0091" w14:textId="77777777" w:rsidR="009702B0" w:rsidRPr="00321238" w:rsidRDefault="009702B0" w:rsidP="009702B0">
            <w:pPr>
              <w:tabs>
                <w:tab w:val="left" w:pos="-720"/>
              </w:tabs>
              <w:suppressAutoHyphens/>
              <w:spacing w:after="0" w:line="240" w:lineRule="auto"/>
              <w:ind w:right="-6"/>
              <w:jc w:val="right"/>
              <w:rPr>
                <w:rFonts w:cs="Arial"/>
                <w:sz w:val="18"/>
                <w:szCs w:val="18"/>
              </w:rPr>
            </w:pPr>
          </w:p>
        </w:tc>
        <w:tc>
          <w:tcPr>
            <w:tcW w:w="551" w:type="pct"/>
            <w:tcBorders>
              <w:top w:val="single" w:sz="12" w:space="0" w:color="auto"/>
            </w:tcBorders>
          </w:tcPr>
          <w:p w14:paraId="176892F2" w14:textId="77777777" w:rsidR="009702B0" w:rsidRPr="00321238" w:rsidRDefault="009702B0" w:rsidP="009702B0">
            <w:pPr>
              <w:tabs>
                <w:tab w:val="left" w:pos="-720"/>
              </w:tabs>
              <w:suppressAutoHyphens/>
              <w:spacing w:after="0" w:line="240" w:lineRule="auto"/>
              <w:ind w:right="-6"/>
              <w:jc w:val="right"/>
              <w:rPr>
                <w:rFonts w:cs="Arial"/>
                <w:sz w:val="18"/>
                <w:szCs w:val="18"/>
              </w:rPr>
            </w:pPr>
          </w:p>
        </w:tc>
        <w:tc>
          <w:tcPr>
            <w:tcW w:w="551" w:type="pct"/>
            <w:tcBorders>
              <w:top w:val="single" w:sz="12" w:space="0" w:color="auto"/>
            </w:tcBorders>
          </w:tcPr>
          <w:p w14:paraId="21DA0058" w14:textId="77777777" w:rsidR="009702B0" w:rsidRPr="00321238" w:rsidRDefault="009702B0" w:rsidP="009702B0">
            <w:pPr>
              <w:tabs>
                <w:tab w:val="left" w:pos="-720"/>
              </w:tabs>
              <w:suppressAutoHyphens/>
              <w:spacing w:after="0" w:line="240" w:lineRule="auto"/>
              <w:ind w:right="-6"/>
              <w:jc w:val="right"/>
              <w:rPr>
                <w:rFonts w:cs="Arial"/>
                <w:sz w:val="18"/>
                <w:szCs w:val="18"/>
              </w:rPr>
            </w:pPr>
          </w:p>
        </w:tc>
        <w:tc>
          <w:tcPr>
            <w:tcW w:w="552" w:type="pct"/>
            <w:tcBorders>
              <w:top w:val="single" w:sz="12" w:space="0" w:color="auto"/>
            </w:tcBorders>
          </w:tcPr>
          <w:p w14:paraId="434BECD0" w14:textId="77777777" w:rsidR="009702B0" w:rsidRPr="00321238" w:rsidRDefault="009702B0" w:rsidP="009702B0">
            <w:pPr>
              <w:tabs>
                <w:tab w:val="left" w:pos="-720"/>
              </w:tabs>
              <w:suppressAutoHyphens/>
              <w:spacing w:after="0" w:line="240" w:lineRule="auto"/>
              <w:ind w:right="-6"/>
              <w:jc w:val="right"/>
              <w:rPr>
                <w:rFonts w:cs="Arial"/>
                <w:sz w:val="18"/>
                <w:szCs w:val="18"/>
              </w:rPr>
            </w:pPr>
          </w:p>
        </w:tc>
      </w:tr>
      <w:tr w:rsidR="009702B0" w:rsidRPr="00321238" w14:paraId="050FB42C" w14:textId="77777777" w:rsidTr="009702B0">
        <w:trPr>
          <w:trHeight w:val="234"/>
        </w:trPr>
        <w:tc>
          <w:tcPr>
            <w:tcW w:w="1199" w:type="pct"/>
          </w:tcPr>
          <w:p w14:paraId="77C4FFB6" w14:textId="77777777" w:rsidR="009702B0" w:rsidRPr="00321238" w:rsidRDefault="009702B0" w:rsidP="009702B0">
            <w:pPr>
              <w:tabs>
                <w:tab w:val="right" w:pos="1202"/>
              </w:tabs>
              <w:spacing w:after="0" w:line="240" w:lineRule="auto"/>
              <w:outlineLvl w:val="0"/>
              <w:rPr>
                <w:rFonts w:eastAsia="Times New Roman" w:cs="Arial"/>
                <w:b/>
                <w:bCs/>
                <w:sz w:val="18"/>
                <w:szCs w:val="18"/>
              </w:rPr>
            </w:pPr>
            <w:r w:rsidRPr="00321238">
              <w:rPr>
                <w:rFonts w:eastAsia="Times New Roman" w:cs="Arial"/>
                <w:b/>
                <w:bCs/>
                <w:sz w:val="18"/>
                <w:szCs w:val="18"/>
              </w:rPr>
              <w:t>Liabilities</w:t>
            </w:r>
          </w:p>
        </w:tc>
        <w:tc>
          <w:tcPr>
            <w:tcW w:w="493" w:type="pct"/>
            <w:vAlign w:val="bottom"/>
          </w:tcPr>
          <w:p w14:paraId="5B92E62C" w14:textId="77777777"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51" w:type="pct"/>
            <w:vAlign w:val="bottom"/>
          </w:tcPr>
          <w:p w14:paraId="2D9505F8" w14:textId="77777777"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51" w:type="pct"/>
            <w:vAlign w:val="bottom"/>
          </w:tcPr>
          <w:p w14:paraId="4912C8B8" w14:textId="77777777"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52" w:type="pct"/>
            <w:vAlign w:val="bottom"/>
          </w:tcPr>
          <w:p w14:paraId="70AB1B93" w14:textId="77777777"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51" w:type="pct"/>
            <w:vAlign w:val="bottom"/>
          </w:tcPr>
          <w:p w14:paraId="6F4DC358" w14:textId="77777777"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51" w:type="pct"/>
            <w:vAlign w:val="bottom"/>
          </w:tcPr>
          <w:p w14:paraId="154C0B5F" w14:textId="77777777" w:rsidR="009702B0" w:rsidRPr="00321238" w:rsidRDefault="009702B0" w:rsidP="009702B0">
            <w:pPr>
              <w:tabs>
                <w:tab w:val="right" w:pos="1202"/>
              </w:tabs>
              <w:spacing w:after="0" w:line="240" w:lineRule="auto"/>
              <w:jc w:val="right"/>
              <w:outlineLvl w:val="0"/>
              <w:rPr>
                <w:rFonts w:eastAsia="Times New Roman" w:cs="Arial"/>
                <w:b/>
                <w:sz w:val="18"/>
                <w:szCs w:val="18"/>
              </w:rPr>
            </w:pPr>
          </w:p>
        </w:tc>
        <w:tc>
          <w:tcPr>
            <w:tcW w:w="552" w:type="pct"/>
            <w:vAlign w:val="bottom"/>
          </w:tcPr>
          <w:p w14:paraId="215CED7E" w14:textId="77777777" w:rsidR="009702B0" w:rsidRPr="00321238" w:rsidRDefault="009702B0" w:rsidP="009702B0">
            <w:pPr>
              <w:tabs>
                <w:tab w:val="right" w:pos="1202"/>
              </w:tabs>
              <w:spacing w:after="0" w:line="240" w:lineRule="auto"/>
              <w:jc w:val="right"/>
              <w:outlineLvl w:val="0"/>
              <w:rPr>
                <w:rFonts w:eastAsia="Times New Roman" w:cs="Arial"/>
                <w:sz w:val="18"/>
                <w:szCs w:val="18"/>
              </w:rPr>
            </w:pPr>
          </w:p>
        </w:tc>
      </w:tr>
      <w:tr w:rsidR="000A6679" w:rsidRPr="00321238" w14:paraId="73D0837B" w14:textId="77777777" w:rsidTr="009702B0">
        <w:trPr>
          <w:trHeight w:val="234"/>
        </w:trPr>
        <w:tc>
          <w:tcPr>
            <w:tcW w:w="1199" w:type="pct"/>
          </w:tcPr>
          <w:p w14:paraId="467FB4B4" w14:textId="77777777" w:rsidR="000A6679" w:rsidRPr="00321238" w:rsidRDefault="000A6679" w:rsidP="000A6679">
            <w:pPr>
              <w:tabs>
                <w:tab w:val="right" w:pos="1202"/>
              </w:tabs>
              <w:spacing w:after="0" w:line="240" w:lineRule="auto"/>
              <w:outlineLvl w:val="0"/>
              <w:rPr>
                <w:rFonts w:eastAsia="Times New Roman" w:cs="Arial"/>
                <w:sz w:val="18"/>
                <w:szCs w:val="18"/>
              </w:rPr>
            </w:pPr>
            <w:r w:rsidRPr="00321238">
              <w:rPr>
                <w:rFonts w:eastAsia="Times New Roman" w:cs="Arial"/>
                <w:spacing w:val="-2"/>
                <w:sz w:val="18"/>
                <w:szCs w:val="18"/>
              </w:rPr>
              <w:t xml:space="preserve">Deposits </w:t>
            </w:r>
          </w:p>
        </w:tc>
        <w:tc>
          <w:tcPr>
            <w:tcW w:w="493" w:type="pct"/>
            <w:tcBorders>
              <w:top w:val="nil"/>
              <w:left w:val="nil"/>
              <w:bottom w:val="nil"/>
              <w:right w:val="nil"/>
            </w:tcBorders>
            <w:shd w:val="clear" w:color="auto" w:fill="auto"/>
            <w:vAlign w:val="bottom"/>
          </w:tcPr>
          <w:p w14:paraId="2C444A7D"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52EA62DE"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04DFC71A"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2" w:type="pct"/>
            <w:tcBorders>
              <w:top w:val="nil"/>
              <w:left w:val="nil"/>
              <w:bottom w:val="nil"/>
              <w:right w:val="nil"/>
            </w:tcBorders>
            <w:shd w:val="clear" w:color="auto" w:fill="auto"/>
            <w:vAlign w:val="bottom"/>
          </w:tcPr>
          <w:p w14:paraId="17E5EBDE"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6A9658B2"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24D59595" w14:textId="77777777"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142,844</w:t>
            </w:r>
          </w:p>
        </w:tc>
        <w:tc>
          <w:tcPr>
            <w:tcW w:w="552" w:type="pct"/>
            <w:tcBorders>
              <w:top w:val="nil"/>
              <w:left w:val="nil"/>
              <w:bottom w:val="nil"/>
              <w:right w:val="nil"/>
            </w:tcBorders>
            <w:shd w:val="clear" w:color="auto" w:fill="auto"/>
            <w:vAlign w:val="bottom"/>
          </w:tcPr>
          <w:p w14:paraId="30D844B4" w14:textId="77777777" w:rsidR="000A6679" w:rsidRPr="00321238" w:rsidRDefault="000A6679" w:rsidP="000A6679">
            <w:pPr>
              <w:spacing w:after="0" w:line="240" w:lineRule="auto"/>
              <w:jc w:val="right"/>
              <w:rPr>
                <w:rFonts w:eastAsia="Times New Roman" w:cs="Arial"/>
                <w:bCs/>
                <w:sz w:val="18"/>
                <w:szCs w:val="18"/>
              </w:rPr>
            </w:pPr>
            <w:r w:rsidRPr="00321238">
              <w:rPr>
                <w:color w:val="000000"/>
                <w:sz w:val="18"/>
                <w:szCs w:val="18"/>
              </w:rPr>
              <w:t>142,844</w:t>
            </w:r>
          </w:p>
        </w:tc>
      </w:tr>
      <w:tr w:rsidR="000A6679" w:rsidRPr="00321238" w14:paraId="575CDE9A" w14:textId="77777777" w:rsidTr="009702B0">
        <w:trPr>
          <w:trHeight w:val="234"/>
        </w:trPr>
        <w:tc>
          <w:tcPr>
            <w:tcW w:w="1199" w:type="pct"/>
          </w:tcPr>
          <w:p w14:paraId="2150FA93" w14:textId="77777777" w:rsidR="000A6679" w:rsidRPr="00321238" w:rsidRDefault="000A6679" w:rsidP="000A6679">
            <w:pPr>
              <w:tabs>
                <w:tab w:val="right" w:pos="1202"/>
              </w:tabs>
              <w:spacing w:after="0" w:line="240" w:lineRule="auto"/>
              <w:outlineLvl w:val="0"/>
              <w:rPr>
                <w:rFonts w:eastAsia="Times New Roman" w:cs="Arial"/>
                <w:sz w:val="18"/>
                <w:szCs w:val="18"/>
              </w:rPr>
            </w:pPr>
            <w:r w:rsidRPr="00321238">
              <w:rPr>
                <w:rFonts w:eastAsia="Times New Roman" w:cs="Arial"/>
                <w:spacing w:val="-2"/>
                <w:sz w:val="18"/>
                <w:szCs w:val="18"/>
              </w:rPr>
              <w:t xml:space="preserve">Borrowings </w:t>
            </w:r>
          </w:p>
        </w:tc>
        <w:tc>
          <w:tcPr>
            <w:tcW w:w="493" w:type="pct"/>
            <w:tcBorders>
              <w:top w:val="nil"/>
              <w:left w:val="nil"/>
              <w:bottom w:val="nil"/>
              <w:right w:val="nil"/>
            </w:tcBorders>
            <w:shd w:val="clear" w:color="auto" w:fill="auto"/>
            <w:vAlign w:val="bottom"/>
          </w:tcPr>
          <w:p w14:paraId="3AA99AAA" w14:textId="77777777"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355,442</w:t>
            </w:r>
          </w:p>
        </w:tc>
        <w:tc>
          <w:tcPr>
            <w:tcW w:w="551" w:type="pct"/>
            <w:tcBorders>
              <w:top w:val="nil"/>
              <w:left w:val="nil"/>
              <w:bottom w:val="nil"/>
              <w:right w:val="nil"/>
            </w:tcBorders>
            <w:shd w:val="clear" w:color="auto" w:fill="auto"/>
            <w:vAlign w:val="bottom"/>
          </w:tcPr>
          <w:p w14:paraId="179F4D9E" w14:textId="77777777"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171,450</w:t>
            </w:r>
          </w:p>
        </w:tc>
        <w:tc>
          <w:tcPr>
            <w:tcW w:w="551" w:type="pct"/>
            <w:tcBorders>
              <w:top w:val="nil"/>
              <w:left w:val="nil"/>
              <w:bottom w:val="nil"/>
              <w:right w:val="nil"/>
            </w:tcBorders>
            <w:shd w:val="clear" w:color="auto" w:fill="auto"/>
            <w:vAlign w:val="bottom"/>
          </w:tcPr>
          <w:p w14:paraId="5571626A" w14:textId="77777777"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1,020,722</w:t>
            </w:r>
          </w:p>
        </w:tc>
        <w:tc>
          <w:tcPr>
            <w:tcW w:w="552" w:type="pct"/>
            <w:tcBorders>
              <w:top w:val="nil"/>
              <w:left w:val="nil"/>
              <w:bottom w:val="nil"/>
              <w:right w:val="nil"/>
            </w:tcBorders>
            <w:shd w:val="clear" w:color="auto" w:fill="auto"/>
            <w:vAlign w:val="bottom"/>
          </w:tcPr>
          <w:p w14:paraId="79D9694D" w14:textId="77777777"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3,059,168</w:t>
            </w:r>
          </w:p>
        </w:tc>
        <w:tc>
          <w:tcPr>
            <w:tcW w:w="551" w:type="pct"/>
            <w:tcBorders>
              <w:top w:val="nil"/>
              <w:left w:val="nil"/>
              <w:bottom w:val="nil"/>
              <w:right w:val="nil"/>
            </w:tcBorders>
            <w:shd w:val="clear" w:color="auto" w:fill="auto"/>
            <w:vAlign w:val="bottom"/>
          </w:tcPr>
          <w:p w14:paraId="24A9A549" w14:textId="77777777"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8,720,949</w:t>
            </w:r>
          </w:p>
        </w:tc>
        <w:tc>
          <w:tcPr>
            <w:tcW w:w="551" w:type="pct"/>
            <w:tcBorders>
              <w:top w:val="nil"/>
              <w:left w:val="nil"/>
              <w:bottom w:val="nil"/>
              <w:right w:val="nil"/>
            </w:tcBorders>
            <w:shd w:val="clear" w:color="auto" w:fill="auto"/>
            <w:vAlign w:val="bottom"/>
          </w:tcPr>
          <w:p w14:paraId="1B36B42B" w14:textId="77777777"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64,018</w:t>
            </w:r>
          </w:p>
        </w:tc>
        <w:tc>
          <w:tcPr>
            <w:tcW w:w="552" w:type="pct"/>
            <w:tcBorders>
              <w:top w:val="nil"/>
              <w:left w:val="nil"/>
              <w:bottom w:val="nil"/>
              <w:right w:val="nil"/>
            </w:tcBorders>
            <w:shd w:val="clear" w:color="auto" w:fill="auto"/>
            <w:vAlign w:val="bottom"/>
          </w:tcPr>
          <w:p w14:paraId="1CAA9683" w14:textId="77777777" w:rsidR="000A6679" w:rsidRPr="00321238" w:rsidRDefault="000A6679" w:rsidP="000A6679">
            <w:pPr>
              <w:spacing w:after="0" w:line="240" w:lineRule="auto"/>
              <w:jc w:val="right"/>
              <w:rPr>
                <w:rFonts w:eastAsia="Times New Roman" w:cs="Arial"/>
                <w:bCs/>
                <w:sz w:val="18"/>
                <w:szCs w:val="18"/>
              </w:rPr>
            </w:pPr>
            <w:r w:rsidRPr="00321238">
              <w:rPr>
                <w:color w:val="000000"/>
                <w:sz w:val="18"/>
                <w:szCs w:val="18"/>
              </w:rPr>
              <w:t>13,391,749</w:t>
            </w:r>
          </w:p>
        </w:tc>
      </w:tr>
      <w:tr w:rsidR="000A6679" w:rsidRPr="00321238" w14:paraId="2D777D31" w14:textId="77777777" w:rsidTr="009702B0">
        <w:trPr>
          <w:trHeight w:val="234"/>
        </w:trPr>
        <w:tc>
          <w:tcPr>
            <w:tcW w:w="1199" w:type="pct"/>
          </w:tcPr>
          <w:p w14:paraId="20D4B0EF" w14:textId="77777777" w:rsidR="000A6679" w:rsidRPr="00321238" w:rsidRDefault="000A6679" w:rsidP="000A6679">
            <w:pPr>
              <w:tabs>
                <w:tab w:val="right" w:pos="1202"/>
              </w:tabs>
              <w:spacing w:after="0" w:line="240" w:lineRule="auto"/>
              <w:outlineLvl w:val="0"/>
              <w:rPr>
                <w:rFonts w:eastAsia="Times New Roman" w:cs="Arial"/>
                <w:sz w:val="18"/>
                <w:szCs w:val="18"/>
              </w:rPr>
            </w:pPr>
            <w:r w:rsidRPr="00321238">
              <w:rPr>
                <w:rFonts w:eastAsia="Times New Roman" w:cs="Arial"/>
                <w:spacing w:val="-2"/>
                <w:sz w:val="18"/>
                <w:szCs w:val="18"/>
              </w:rPr>
              <w:t xml:space="preserve">Bonds payable </w:t>
            </w:r>
          </w:p>
        </w:tc>
        <w:tc>
          <w:tcPr>
            <w:tcW w:w="493" w:type="pct"/>
            <w:tcBorders>
              <w:top w:val="nil"/>
              <w:left w:val="nil"/>
              <w:bottom w:val="nil"/>
              <w:right w:val="nil"/>
            </w:tcBorders>
            <w:shd w:val="clear" w:color="auto" w:fill="auto"/>
            <w:vAlign w:val="bottom"/>
          </w:tcPr>
          <w:p w14:paraId="1A948563"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4ECDE228"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4B6A0567" w14:textId="77777777"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1,888,837</w:t>
            </w:r>
          </w:p>
        </w:tc>
        <w:tc>
          <w:tcPr>
            <w:tcW w:w="552" w:type="pct"/>
            <w:tcBorders>
              <w:top w:val="nil"/>
              <w:left w:val="nil"/>
              <w:bottom w:val="nil"/>
              <w:right w:val="nil"/>
            </w:tcBorders>
            <w:shd w:val="clear" w:color="auto" w:fill="auto"/>
            <w:vAlign w:val="bottom"/>
          </w:tcPr>
          <w:p w14:paraId="3D5E1756"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5DB20CB1" w14:textId="77777777"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1,120,800</w:t>
            </w:r>
          </w:p>
        </w:tc>
        <w:tc>
          <w:tcPr>
            <w:tcW w:w="551" w:type="pct"/>
            <w:tcBorders>
              <w:top w:val="nil"/>
              <w:left w:val="nil"/>
              <w:bottom w:val="nil"/>
              <w:right w:val="nil"/>
            </w:tcBorders>
            <w:shd w:val="clear" w:color="auto" w:fill="auto"/>
            <w:vAlign w:val="bottom"/>
          </w:tcPr>
          <w:p w14:paraId="129DC2F6" w14:textId="77777777"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95,932</w:t>
            </w:r>
          </w:p>
        </w:tc>
        <w:tc>
          <w:tcPr>
            <w:tcW w:w="552" w:type="pct"/>
            <w:tcBorders>
              <w:top w:val="nil"/>
              <w:left w:val="nil"/>
              <w:bottom w:val="nil"/>
              <w:right w:val="nil"/>
            </w:tcBorders>
            <w:shd w:val="clear" w:color="auto" w:fill="auto"/>
            <w:vAlign w:val="bottom"/>
          </w:tcPr>
          <w:p w14:paraId="494D16FB" w14:textId="77777777" w:rsidR="000A6679" w:rsidRPr="00321238" w:rsidRDefault="000A6679" w:rsidP="000A6679">
            <w:pPr>
              <w:spacing w:after="0" w:line="240" w:lineRule="auto"/>
              <w:jc w:val="right"/>
              <w:rPr>
                <w:rFonts w:eastAsia="Times New Roman" w:cs="Arial"/>
                <w:bCs/>
                <w:sz w:val="18"/>
                <w:szCs w:val="18"/>
              </w:rPr>
            </w:pPr>
            <w:r w:rsidRPr="00321238">
              <w:rPr>
                <w:color w:val="000000"/>
                <w:sz w:val="18"/>
                <w:szCs w:val="18"/>
              </w:rPr>
              <w:t>3,105,569</w:t>
            </w:r>
          </w:p>
        </w:tc>
      </w:tr>
      <w:tr w:rsidR="000A6679" w:rsidRPr="00321238" w14:paraId="3546186D" w14:textId="77777777" w:rsidTr="00624862">
        <w:trPr>
          <w:trHeight w:val="249"/>
        </w:trPr>
        <w:tc>
          <w:tcPr>
            <w:tcW w:w="1199" w:type="pct"/>
          </w:tcPr>
          <w:p w14:paraId="5C0A8AC1" w14:textId="77777777" w:rsidR="000A6679" w:rsidRPr="00321238" w:rsidRDefault="000A6679" w:rsidP="000A6679">
            <w:pPr>
              <w:tabs>
                <w:tab w:val="right" w:pos="1202"/>
              </w:tabs>
              <w:spacing w:after="0" w:line="240" w:lineRule="auto"/>
              <w:outlineLvl w:val="0"/>
              <w:rPr>
                <w:rFonts w:eastAsia="Times New Roman" w:cs="Arial"/>
                <w:sz w:val="18"/>
                <w:szCs w:val="18"/>
              </w:rPr>
            </w:pPr>
            <w:r w:rsidRPr="00321238">
              <w:rPr>
                <w:rFonts w:eastAsia="Times New Roman" w:cs="Arial"/>
                <w:spacing w:val="-2"/>
                <w:sz w:val="18"/>
                <w:szCs w:val="18"/>
              </w:rPr>
              <w:t>Other liabilities</w:t>
            </w:r>
          </w:p>
        </w:tc>
        <w:tc>
          <w:tcPr>
            <w:tcW w:w="493" w:type="pct"/>
            <w:tcBorders>
              <w:top w:val="nil"/>
              <w:left w:val="nil"/>
              <w:bottom w:val="nil"/>
              <w:right w:val="nil"/>
            </w:tcBorders>
            <w:shd w:val="clear" w:color="auto" w:fill="auto"/>
            <w:vAlign w:val="bottom"/>
          </w:tcPr>
          <w:p w14:paraId="1B79F2AB"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305F5AD2"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552BF5D1"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2" w:type="pct"/>
            <w:tcBorders>
              <w:top w:val="nil"/>
              <w:left w:val="nil"/>
              <w:bottom w:val="nil"/>
              <w:right w:val="nil"/>
            </w:tcBorders>
            <w:shd w:val="clear" w:color="auto" w:fill="auto"/>
            <w:vAlign w:val="bottom"/>
          </w:tcPr>
          <w:p w14:paraId="1282305D"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278626AB" w14:textId="77777777"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14:paraId="60864184" w14:textId="77777777"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696,774</w:t>
            </w:r>
          </w:p>
        </w:tc>
        <w:tc>
          <w:tcPr>
            <w:tcW w:w="552" w:type="pct"/>
            <w:tcBorders>
              <w:top w:val="nil"/>
              <w:left w:val="nil"/>
              <w:bottom w:val="nil"/>
              <w:right w:val="nil"/>
            </w:tcBorders>
            <w:shd w:val="clear" w:color="auto" w:fill="auto"/>
            <w:vAlign w:val="bottom"/>
          </w:tcPr>
          <w:p w14:paraId="198C452A" w14:textId="77777777" w:rsidR="000A6679" w:rsidRPr="00321238" w:rsidRDefault="000A6679" w:rsidP="000A6679">
            <w:pPr>
              <w:spacing w:after="0" w:line="240" w:lineRule="auto"/>
              <w:jc w:val="right"/>
              <w:rPr>
                <w:rFonts w:eastAsia="Times New Roman" w:cs="Arial"/>
                <w:bCs/>
                <w:sz w:val="18"/>
                <w:szCs w:val="18"/>
              </w:rPr>
            </w:pPr>
            <w:r w:rsidRPr="00321238">
              <w:rPr>
                <w:color w:val="000000"/>
                <w:sz w:val="18"/>
                <w:szCs w:val="18"/>
              </w:rPr>
              <w:t>696,774</w:t>
            </w:r>
          </w:p>
        </w:tc>
      </w:tr>
      <w:tr w:rsidR="000A6679" w:rsidRPr="00321238" w14:paraId="60584A9E" w14:textId="77777777" w:rsidTr="00624862">
        <w:trPr>
          <w:trHeight w:val="220"/>
        </w:trPr>
        <w:tc>
          <w:tcPr>
            <w:tcW w:w="1199" w:type="pct"/>
          </w:tcPr>
          <w:p w14:paraId="5D23E1F7" w14:textId="77777777" w:rsidR="000A6679" w:rsidRPr="00321238" w:rsidRDefault="000A6679" w:rsidP="000A6679">
            <w:pPr>
              <w:tabs>
                <w:tab w:val="right" w:pos="1202"/>
              </w:tabs>
              <w:spacing w:after="0" w:line="240" w:lineRule="auto"/>
              <w:outlineLvl w:val="0"/>
              <w:rPr>
                <w:rFonts w:eastAsia="Times New Roman" w:cs="Arial"/>
                <w:b/>
                <w:bCs/>
                <w:sz w:val="18"/>
                <w:szCs w:val="18"/>
              </w:rPr>
            </w:pPr>
            <w:r w:rsidRPr="00321238">
              <w:rPr>
                <w:rFonts w:eastAsia="Times New Roman" w:cs="Arial"/>
                <w:b/>
                <w:bCs/>
                <w:sz w:val="18"/>
                <w:szCs w:val="18"/>
              </w:rPr>
              <w:t xml:space="preserve">Total liabilities </w:t>
            </w:r>
          </w:p>
        </w:tc>
        <w:tc>
          <w:tcPr>
            <w:tcW w:w="493" w:type="pct"/>
            <w:tcBorders>
              <w:top w:val="single" w:sz="4" w:space="0" w:color="auto"/>
              <w:left w:val="nil"/>
              <w:bottom w:val="single" w:sz="8" w:space="0" w:color="auto"/>
              <w:right w:val="nil"/>
            </w:tcBorders>
            <w:shd w:val="clear" w:color="auto" w:fill="auto"/>
            <w:vAlign w:val="center"/>
          </w:tcPr>
          <w:p w14:paraId="44A0AECD" w14:textId="77777777" w:rsidR="000A6679" w:rsidRPr="00321238" w:rsidRDefault="000A6679" w:rsidP="000A6679">
            <w:pPr>
              <w:spacing w:after="0" w:line="240" w:lineRule="auto"/>
              <w:jc w:val="right"/>
              <w:rPr>
                <w:rFonts w:eastAsia="Times New Roman" w:cs="Arial"/>
                <w:b/>
                <w:sz w:val="18"/>
                <w:szCs w:val="18"/>
              </w:rPr>
            </w:pPr>
            <w:r w:rsidRPr="00321238">
              <w:rPr>
                <w:b/>
                <w:bCs/>
                <w:color w:val="000000"/>
                <w:sz w:val="18"/>
                <w:szCs w:val="18"/>
              </w:rPr>
              <w:t>355,442</w:t>
            </w:r>
          </w:p>
        </w:tc>
        <w:tc>
          <w:tcPr>
            <w:tcW w:w="551" w:type="pct"/>
            <w:tcBorders>
              <w:top w:val="single" w:sz="4" w:space="0" w:color="auto"/>
              <w:left w:val="nil"/>
              <w:bottom w:val="single" w:sz="8" w:space="0" w:color="auto"/>
              <w:right w:val="nil"/>
            </w:tcBorders>
            <w:shd w:val="clear" w:color="auto" w:fill="auto"/>
            <w:vAlign w:val="center"/>
          </w:tcPr>
          <w:p w14:paraId="635EC1CB" w14:textId="77777777" w:rsidR="000A6679" w:rsidRPr="00321238" w:rsidRDefault="000A6679" w:rsidP="000A6679">
            <w:pPr>
              <w:spacing w:after="0" w:line="240" w:lineRule="auto"/>
              <w:jc w:val="right"/>
              <w:rPr>
                <w:rFonts w:eastAsia="Times New Roman" w:cs="Arial"/>
                <w:b/>
                <w:sz w:val="18"/>
                <w:szCs w:val="18"/>
              </w:rPr>
            </w:pPr>
            <w:r w:rsidRPr="00321238">
              <w:rPr>
                <w:b/>
                <w:bCs/>
                <w:color w:val="000000"/>
                <w:sz w:val="18"/>
                <w:szCs w:val="18"/>
              </w:rPr>
              <w:t>171,450</w:t>
            </w:r>
          </w:p>
        </w:tc>
        <w:tc>
          <w:tcPr>
            <w:tcW w:w="551" w:type="pct"/>
            <w:tcBorders>
              <w:top w:val="single" w:sz="4" w:space="0" w:color="auto"/>
              <w:left w:val="nil"/>
              <w:bottom w:val="single" w:sz="8" w:space="0" w:color="auto"/>
              <w:right w:val="nil"/>
            </w:tcBorders>
            <w:shd w:val="clear" w:color="auto" w:fill="auto"/>
            <w:vAlign w:val="center"/>
          </w:tcPr>
          <w:p w14:paraId="453D61FC" w14:textId="77777777" w:rsidR="000A6679" w:rsidRPr="00321238" w:rsidRDefault="000A6679" w:rsidP="000A6679">
            <w:pPr>
              <w:spacing w:after="0" w:line="240" w:lineRule="auto"/>
              <w:jc w:val="right"/>
              <w:rPr>
                <w:rFonts w:eastAsia="Times New Roman" w:cs="Arial"/>
                <w:b/>
                <w:sz w:val="18"/>
                <w:szCs w:val="18"/>
              </w:rPr>
            </w:pPr>
            <w:r w:rsidRPr="00321238">
              <w:rPr>
                <w:b/>
                <w:bCs/>
                <w:color w:val="000000"/>
                <w:sz w:val="18"/>
                <w:szCs w:val="18"/>
              </w:rPr>
              <w:t>2,909,559</w:t>
            </w:r>
          </w:p>
        </w:tc>
        <w:tc>
          <w:tcPr>
            <w:tcW w:w="552" w:type="pct"/>
            <w:tcBorders>
              <w:top w:val="single" w:sz="4" w:space="0" w:color="auto"/>
              <w:left w:val="nil"/>
              <w:bottom w:val="single" w:sz="8" w:space="0" w:color="auto"/>
              <w:right w:val="nil"/>
            </w:tcBorders>
            <w:shd w:val="clear" w:color="auto" w:fill="auto"/>
            <w:vAlign w:val="center"/>
          </w:tcPr>
          <w:p w14:paraId="5EE4E732" w14:textId="77777777" w:rsidR="000A6679" w:rsidRPr="00321238" w:rsidRDefault="000A6679" w:rsidP="000A6679">
            <w:pPr>
              <w:spacing w:after="0" w:line="240" w:lineRule="auto"/>
              <w:jc w:val="right"/>
              <w:rPr>
                <w:rFonts w:eastAsia="Times New Roman" w:cs="Arial"/>
                <w:b/>
                <w:sz w:val="18"/>
                <w:szCs w:val="18"/>
              </w:rPr>
            </w:pPr>
            <w:r w:rsidRPr="00321238">
              <w:rPr>
                <w:b/>
                <w:bCs/>
                <w:color w:val="000000"/>
                <w:sz w:val="18"/>
                <w:szCs w:val="18"/>
              </w:rPr>
              <w:t>3,059,168</w:t>
            </w:r>
          </w:p>
        </w:tc>
        <w:tc>
          <w:tcPr>
            <w:tcW w:w="551" w:type="pct"/>
            <w:tcBorders>
              <w:top w:val="single" w:sz="4" w:space="0" w:color="auto"/>
              <w:left w:val="nil"/>
              <w:bottom w:val="single" w:sz="8" w:space="0" w:color="auto"/>
              <w:right w:val="nil"/>
            </w:tcBorders>
            <w:shd w:val="clear" w:color="auto" w:fill="auto"/>
            <w:vAlign w:val="center"/>
          </w:tcPr>
          <w:p w14:paraId="0E866386" w14:textId="77777777" w:rsidR="000A6679" w:rsidRPr="00321238" w:rsidRDefault="000A6679" w:rsidP="000A6679">
            <w:pPr>
              <w:spacing w:after="0" w:line="240" w:lineRule="auto"/>
              <w:jc w:val="right"/>
              <w:rPr>
                <w:rFonts w:eastAsia="Times New Roman" w:cs="Arial"/>
                <w:b/>
                <w:sz w:val="18"/>
                <w:szCs w:val="18"/>
              </w:rPr>
            </w:pPr>
            <w:r w:rsidRPr="00321238">
              <w:rPr>
                <w:b/>
                <w:bCs/>
                <w:color w:val="000000"/>
                <w:sz w:val="18"/>
                <w:szCs w:val="18"/>
              </w:rPr>
              <w:t>9,841,749</w:t>
            </w:r>
          </w:p>
        </w:tc>
        <w:tc>
          <w:tcPr>
            <w:tcW w:w="551" w:type="pct"/>
            <w:tcBorders>
              <w:top w:val="single" w:sz="4" w:space="0" w:color="auto"/>
              <w:left w:val="nil"/>
              <w:bottom w:val="single" w:sz="8" w:space="0" w:color="auto"/>
              <w:right w:val="nil"/>
            </w:tcBorders>
            <w:shd w:val="clear" w:color="auto" w:fill="auto"/>
            <w:vAlign w:val="center"/>
          </w:tcPr>
          <w:p w14:paraId="54A4D6E8" w14:textId="77777777" w:rsidR="000A6679" w:rsidRPr="00321238" w:rsidRDefault="000A6679" w:rsidP="000A6679">
            <w:pPr>
              <w:spacing w:after="0" w:line="240" w:lineRule="auto"/>
              <w:jc w:val="right"/>
              <w:rPr>
                <w:rFonts w:eastAsia="Times New Roman" w:cs="Arial"/>
                <w:b/>
                <w:sz w:val="18"/>
                <w:szCs w:val="18"/>
              </w:rPr>
            </w:pPr>
            <w:r w:rsidRPr="00321238">
              <w:rPr>
                <w:b/>
                <w:bCs/>
                <w:color w:val="000000"/>
                <w:sz w:val="18"/>
                <w:szCs w:val="18"/>
              </w:rPr>
              <w:t>999,568</w:t>
            </w:r>
          </w:p>
        </w:tc>
        <w:tc>
          <w:tcPr>
            <w:tcW w:w="552" w:type="pct"/>
            <w:tcBorders>
              <w:top w:val="single" w:sz="4" w:space="0" w:color="auto"/>
              <w:left w:val="nil"/>
              <w:bottom w:val="single" w:sz="8" w:space="0" w:color="auto"/>
              <w:right w:val="nil"/>
            </w:tcBorders>
            <w:shd w:val="clear" w:color="auto" w:fill="auto"/>
            <w:vAlign w:val="center"/>
          </w:tcPr>
          <w:p w14:paraId="52D56A35"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17,336,936</w:t>
            </w:r>
          </w:p>
        </w:tc>
      </w:tr>
      <w:tr w:rsidR="009702B0" w:rsidRPr="00321238" w14:paraId="50BBF7FB" w14:textId="77777777" w:rsidTr="009702B0">
        <w:trPr>
          <w:trHeight w:val="249"/>
        </w:trPr>
        <w:tc>
          <w:tcPr>
            <w:tcW w:w="1199" w:type="pct"/>
          </w:tcPr>
          <w:p w14:paraId="363387A9" w14:textId="77777777" w:rsidR="009702B0" w:rsidRPr="00321238" w:rsidRDefault="009702B0" w:rsidP="009702B0">
            <w:pPr>
              <w:keepNext/>
              <w:keepLines/>
              <w:tabs>
                <w:tab w:val="decimal" w:pos="1202"/>
              </w:tabs>
              <w:spacing w:after="0" w:line="240" w:lineRule="auto"/>
              <w:rPr>
                <w:rFonts w:eastAsia="Times New Roman" w:cs="Arial"/>
                <w:b/>
                <w:position w:val="4"/>
                <w:sz w:val="18"/>
                <w:szCs w:val="18"/>
              </w:rPr>
            </w:pPr>
          </w:p>
        </w:tc>
        <w:tc>
          <w:tcPr>
            <w:tcW w:w="493" w:type="pct"/>
            <w:tcBorders>
              <w:top w:val="single" w:sz="12" w:space="0" w:color="auto"/>
            </w:tcBorders>
            <w:vAlign w:val="bottom"/>
          </w:tcPr>
          <w:p w14:paraId="71E82653" w14:textId="77777777" w:rsidR="009702B0" w:rsidRPr="00321238" w:rsidRDefault="009702B0" w:rsidP="009702B0">
            <w:pPr>
              <w:keepNext/>
              <w:keepLines/>
              <w:tabs>
                <w:tab w:val="decimal" w:pos="1202"/>
              </w:tabs>
              <w:spacing w:after="0" w:line="240" w:lineRule="auto"/>
              <w:jc w:val="right"/>
              <w:rPr>
                <w:rFonts w:eastAsia="Times New Roman" w:cs="Arial"/>
                <w:b/>
                <w:spacing w:val="-2"/>
                <w:position w:val="4"/>
                <w:sz w:val="18"/>
                <w:szCs w:val="18"/>
              </w:rPr>
            </w:pPr>
          </w:p>
        </w:tc>
        <w:tc>
          <w:tcPr>
            <w:tcW w:w="551" w:type="pct"/>
            <w:tcBorders>
              <w:top w:val="single" w:sz="12" w:space="0" w:color="auto"/>
            </w:tcBorders>
            <w:vAlign w:val="bottom"/>
          </w:tcPr>
          <w:p w14:paraId="72132660" w14:textId="77777777" w:rsidR="009702B0" w:rsidRPr="00321238" w:rsidRDefault="009702B0" w:rsidP="009702B0">
            <w:pPr>
              <w:keepNext/>
              <w:keepLines/>
              <w:tabs>
                <w:tab w:val="decimal" w:pos="1202"/>
              </w:tabs>
              <w:spacing w:after="0" w:line="240" w:lineRule="auto"/>
              <w:jc w:val="right"/>
              <w:rPr>
                <w:rFonts w:eastAsia="Times New Roman" w:cs="Arial"/>
                <w:b/>
                <w:spacing w:val="-2"/>
                <w:position w:val="4"/>
                <w:sz w:val="18"/>
                <w:szCs w:val="18"/>
              </w:rPr>
            </w:pPr>
          </w:p>
        </w:tc>
        <w:tc>
          <w:tcPr>
            <w:tcW w:w="551" w:type="pct"/>
            <w:tcBorders>
              <w:top w:val="single" w:sz="12" w:space="0" w:color="auto"/>
            </w:tcBorders>
            <w:vAlign w:val="bottom"/>
          </w:tcPr>
          <w:p w14:paraId="63B42430" w14:textId="77777777" w:rsidR="009702B0" w:rsidRPr="00321238" w:rsidRDefault="009702B0" w:rsidP="009702B0">
            <w:pPr>
              <w:keepNext/>
              <w:keepLines/>
              <w:tabs>
                <w:tab w:val="decimal" w:pos="1202"/>
              </w:tabs>
              <w:spacing w:after="0" w:line="240" w:lineRule="auto"/>
              <w:jc w:val="right"/>
              <w:rPr>
                <w:rFonts w:eastAsia="Times New Roman" w:cs="Arial"/>
                <w:b/>
                <w:spacing w:val="-2"/>
                <w:position w:val="4"/>
                <w:sz w:val="18"/>
                <w:szCs w:val="18"/>
              </w:rPr>
            </w:pPr>
          </w:p>
        </w:tc>
        <w:tc>
          <w:tcPr>
            <w:tcW w:w="552" w:type="pct"/>
            <w:tcBorders>
              <w:top w:val="single" w:sz="12" w:space="0" w:color="auto"/>
            </w:tcBorders>
            <w:vAlign w:val="bottom"/>
          </w:tcPr>
          <w:p w14:paraId="10DD3442" w14:textId="77777777" w:rsidR="009702B0" w:rsidRPr="00321238" w:rsidRDefault="009702B0" w:rsidP="009702B0">
            <w:pPr>
              <w:keepNext/>
              <w:keepLines/>
              <w:tabs>
                <w:tab w:val="decimal" w:pos="1202"/>
              </w:tabs>
              <w:spacing w:after="0" w:line="240" w:lineRule="auto"/>
              <w:jc w:val="right"/>
              <w:rPr>
                <w:rFonts w:eastAsia="Times New Roman" w:cs="Arial"/>
                <w:b/>
                <w:spacing w:val="-2"/>
                <w:position w:val="4"/>
                <w:sz w:val="18"/>
                <w:szCs w:val="18"/>
              </w:rPr>
            </w:pPr>
          </w:p>
        </w:tc>
        <w:tc>
          <w:tcPr>
            <w:tcW w:w="551" w:type="pct"/>
            <w:tcBorders>
              <w:top w:val="single" w:sz="12" w:space="0" w:color="auto"/>
            </w:tcBorders>
            <w:vAlign w:val="bottom"/>
          </w:tcPr>
          <w:p w14:paraId="112A9442" w14:textId="77777777" w:rsidR="009702B0" w:rsidRPr="00321238" w:rsidRDefault="009702B0" w:rsidP="009702B0">
            <w:pPr>
              <w:keepNext/>
              <w:keepLines/>
              <w:tabs>
                <w:tab w:val="decimal" w:pos="1202"/>
              </w:tabs>
              <w:spacing w:after="0" w:line="240" w:lineRule="auto"/>
              <w:jc w:val="right"/>
              <w:rPr>
                <w:rFonts w:eastAsia="Times New Roman" w:cs="Arial"/>
                <w:b/>
                <w:spacing w:val="-2"/>
                <w:position w:val="4"/>
                <w:sz w:val="18"/>
                <w:szCs w:val="18"/>
              </w:rPr>
            </w:pPr>
          </w:p>
        </w:tc>
        <w:tc>
          <w:tcPr>
            <w:tcW w:w="551" w:type="pct"/>
            <w:tcBorders>
              <w:top w:val="single" w:sz="12" w:space="0" w:color="auto"/>
            </w:tcBorders>
            <w:vAlign w:val="bottom"/>
          </w:tcPr>
          <w:p w14:paraId="29865802" w14:textId="77777777" w:rsidR="009702B0" w:rsidRPr="00321238" w:rsidRDefault="009702B0" w:rsidP="009702B0">
            <w:pPr>
              <w:keepNext/>
              <w:keepLines/>
              <w:tabs>
                <w:tab w:val="decimal" w:pos="1202"/>
              </w:tabs>
              <w:spacing w:after="0" w:line="240" w:lineRule="auto"/>
              <w:jc w:val="right"/>
              <w:rPr>
                <w:rFonts w:eastAsia="Times New Roman" w:cs="Arial"/>
                <w:b/>
                <w:spacing w:val="-2"/>
                <w:position w:val="4"/>
                <w:sz w:val="18"/>
                <w:szCs w:val="18"/>
              </w:rPr>
            </w:pPr>
          </w:p>
        </w:tc>
        <w:tc>
          <w:tcPr>
            <w:tcW w:w="552" w:type="pct"/>
            <w:tcBorders>
              <w:top w:val="single" w:sz="12" w:space="0" w:color="auto"/>
            </w:tcBorders>
            <w:vAlign w:val="bottom"/>
          </w:tcPr>
          <w:p w14:paraId="21EB08C3" w14:textId="77777777" w:rsidR="009702B0" w:rsidRPr="00321238" w:rsidRDefault="009702B0" w:rsidP="009702B0">
            <w:pPr>
              <w:keepNext/>
              <w:keepLines/>
              <w:tabs>
                <w:tab w:val="decimal" w:pos="1202"/>
              </w:tabs>
              <w:spacing w:after="0" w:line="240" w:lineRule="auto"/>
              <w:jc w:val="right"/>
              <w:rPr>
                <w:rFonts w:eastAsia="Times New Roman" w:cs="Arial"/>
                <w:b/>
                <w:spacing w:val="-2"/>
                <w:position w:val="4"/>
                <w:sz w:val="18"/>
                <w:szCs w:val="18"/>
              </w:rPr>
            </w:pPr>
          </w:p>
        </w:tc>
      </w:tr>
      <w:tr w:rsidR="009702B0" w:rsidRPr="00321238" w14:paraId="31D04A86" w14:textId="77777777" w:rsidTr="009702B0">
        <w:trPr>
          <w:trHeight w:val="234"/>
        </w:trPr>
        <w:tc>
          <w:tcPr>
            <w:tcW w:w="1199" w:type="pct"/>
          </w:tcPr>
          <w:p w14:paraId="56253B8A" w14:textId="77777777" w:rsidR="009702B0" w:rsidRPr="00321238" w:rsidRDefault="009702B0" w:rsidP="009702B0">
            <w:pPr>
              <w:tabs>
                <w:tab w:val="right" w:pos="1202"/>
              </w:tabs>
              <w:spacing w:after="0" w:line="240" w:lineRule="auto"/>
              <w:outlineLvl w:val="0"/>
              <w:rPr>
                <w:rFonts w:eastAsia="Times New Roman" w:cs="Arial"/>
                <w:sz w:val="18"/>
                <w:szCs w:val="18"/>
              </w:rPr>
            </w:pPr>
            <w:r w:rsidRPr="00321238">
              <w:rPr>
                <w:rFonts w:eastAsia="Times New Roman" w:cs="Arial"/>
                <w:b/>
                <w:bCs/>
                <w:sz w:val="18"/>
                <w:szCs w:val="18"/>
              </w:rPr>
              <w:t xml:space="preserve">Equity </w:t>
            </w:r>
          </w:p>
        </w:tc>
        <w:tc>
          <w:tcPr>
            <w:tcW w:w="493" w:type="pct"/>
            <w:vAlign w:val="bottom"/>
          </w:tcPr>
          <w:p w14:paraId="6D69F16D" w14:textId="77777777"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51" w:type="pct"/>
            <w:vAlign w:val="bottom"/>
          </w:tcPr>
          <w:p w14:paraId="145FC9B4" w14:textId="77777777"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51" w:type="pct"/>
            <w:vAlign w:val="bottom"/>
          </w:tcPr>
          <w:p w14:paraId="39C9AF78" w14:textId="77777777"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52" w:type="pct"/>
            <w:vAlign w:val="bottom"/>
          </w:tcPr>
          <w:p w14:paraId="095D6776" w14:textId="77777777"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51" w:type="pct"/>
            <w:vAlign w:val="bottom"/>
          </w:tcPr>
          <w:p w14:paraId="5F56DDAD" w14:textId="77777777"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51" w:type="pct"/>
            <w:vAlign w:val="bottom"/>
          </w:tcPr>
          <w:p w14:paraId="22831E73" w14:textId="77777777" w:rsidR="009702B0" w:rsidRPr="00321238" w:rsidRDefault="009702B0" w:rsidP="009702B0">
            <w:pPr>
              <w:tabs>
                <w:tab w:val="right" w:pos="1202"/>
              </w:tabs>
              <w:spacing w:after="0" w:line="240" w:lineRule="auto"/>
              <w:jc w:val="right"/>
              <w:outlineLvl w:val="0"/>
              <w:rPr>
                <w:rFonts w:eastAsia="Times New Roman" w:cs="Arial"/>
                <w:b/>
                <w:sz w:val="18"/>
                <w:szCs w:val="18"/>
              </w:rPr>
            </w:pPr>
          </w:p>
        </w:tc>
        <w:tc>
          <w:tcPr>
            <w:tcW w:w="552" w:type="pct"/>
            <w:vAlign w:val="bottom"/>
          </w:tcPr>
          <w:p w14:paraId="1B33EB22" w14:textId="77777777" w:rsidR="009702B0" w:rsidRPr="00321238" w:rsidRDefault="009702B0" w:rsidP="009702B0">
            <w:pPr>
              <w:tabs>
                <w:tab w:val="right" w:pos="1202"/>
              </w:tabs>
              <w:spacing w:after="0" w:line="240" w:lineRule="auto"/>
              <w:jc w:val="right"/>
              <w:outlineLvl w:val="0"/>
              <w:rPr>
                <w:rFonts w:eastAsia="Times New Roman" w:cs="Arial"/>
                <w:sz w:val="18"/>
                <w:szCs w:val="18"/>
              </w:rPr>
            </w:pPr>
          </w:p>
        </w:tc>
      </w:tr>
      <w:tr w:rsidR="000A6679" w:rsidRPr="00321238" w14:paraId="3B28A816" w14:textId="77777777" w:rsidTr="00624862">
        <w:trPr>
          <w:trHeight w:val="234"/>
        </w:trPr>
        <w:tc>
          <w:tcPr>
            <w:tcW w:w="1199" w:type="pct"/>
          </w:tcPr>
          <w:p w14:paraId="1EC7C1FC" w14:textId="77777777" w:rsidR="000A6679" w:rsidRPr="00321238" w:rsidRDefault="000A6679" w:rsidP="000A6679">
            <w:pPr>
              <w:tabs>
                <w:tab w:val="right" w:pos="1202"/>
              </w:tabs>
              <w:spacing w:after="0" w:line="240" w:lineRule="auto"/>
              <w:outlineLvl w:val="0"/>
              <w:rPr>
                <w:rFonts w:eastAsia="Times New Roman" w:cs="Arial"/>
                <w:sz w:val="18"/>
                <w:szCs w:val="18"/>
              </w:rPr>
            </w:pPr>
            <w:r w:rsidRPr="00321238">
              <w:rPr>
                <w:rFonts w:eastAsia="Times New Roman" w:cs="Arial"/>
                <w:sz w:val="18"/>
                <w:szCs w:val="18"/>
              </w:rPr>
              <w:t xml:space="preserve">Founder’s capital </w:t>
            </w:r>
          </w:p>
        </w:tc>
        <w:tc>
          <w:tcPr>
            <w:tcW w:w="493" w:type="pct"/>
            <w:vAlign w:val="bottom"/>
          </w:tcPr>
          <w:p w14:paraId="7069A913"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vAlign w:val="bottom"/>
          </w:tcPr>
          <w:p w14:paraId="20883783"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vAlign w:val="bottom"/>
          </w:tcPr>
          <w:p w14:paraId="24C66EF0"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2" w:type="pct"/>
            <w:vAlign w:val="bottom"/>
          </w:tcPr>
          <w:p w14:paraId="6B9AB890"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vAlign w:val="bottom"/>
          </w:tcPr>
          <w:p w14:paraId="29A7622D"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tcBorders>
              <w:top w:val="nil"/>
              <w:left w:val="nil"/>
              <w:bottom w:val="nil"/>
              <w:right w:val="nil"/>
            </w:tcBorders>
            <w:shd w:val="clear" w:color="auto" w:fill="auto"/>
            <w:vAlign w:val="center"/>
          </w:tcPr>
          <w:p w14:paraId="156E278D" w14:textId="77777777"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6,959,632</w:t>
            </w:r>
          </w:p>
        </w:tc>
        <w:tc>
          <w:tcPr>
            <w:tcW w:w="552" w:type="pct"/>
            <w:tcBorders>
              <w:top w:val="nil"/>
              <w:left w:val="nil"/>
              <w:bottom w:val="nil"/>
              <w:right w:val="nil"/>
            </w:tcBorders>
            <w:shd w:val="clear" w:color="auto" w:fill="auto"/>
            <w:vAlign w:val="center"/>
          </w:tcPr>
          <w:p w14:paraId="3DEFFF79" w14:textId="77777777" w:rsidR="000A6679" w:rsidRPr="00321238" w:rsidRDefault="000A6679" w:rsidP="000A6679">
            <w:pPr>
              <w:spacing w:after="0" w:line="240" w:lineRule="auto"/>
              <w:jc w:val="right"/>
              <w:rPr>
                <w:rFonts w:eastAsia="Times New Roman" w:cs="Arial"/>
                <w:bCs/>
                <w:sz w:val="18"/>
                <w:szCs w:val="18"/>
              </w:rPr>
            </w:pPr>
            <w:r w:rsidRPr="00321238">
              <w:rPr>
                <w:color w:val="000000"/>
                <w:sz w:val="18"/>
                <w:szCs w:val="18"/>
              </w:rPr>
              <w:t>6,959,632</w:t>
            </w:r>
          </w:p>
        </w:tc>
      </w:tr>
      <w:tr w:rsidR="000A6679" w:rsidRPr="00321238" w14:paraId="6578093C" w14:textId="77777777" w:rsidTr="00624862">
        <w:trPr>
          <w:trHeight w:val="483"/>
        </w:trPr>
        <w:tc>
          <w:tcPr>
            <w:tcW w:w="1199" w:type="pct"/>
          </w:tcPr>
          <w:p w14:paraId="21C539BF" w14:textId="77777777" w:rsidR="000A6679" w:rsidRPr="00321238" w:rsidRDefault="000A6679" w:rsidP="000A6679">
            <w:pPr>
              <w:tabs>
                <w:tab w:val="right" w:pos="1202"/>
              </w:tabs>
              <w:spacing w:after="0" w:line="240" w:lineRule="auto"/>
              <w:outlineLvl w:val="0"/>
              <w:rPr>
                <w:rFonts w:eastAsia="Times New Roman" w:cs="Arial"/>
                <w:sz w:val="18"/>
                <w:szCs w:val="18"/>
              </w:rPr>
            </w:pPr>
            <w:r w:rsidRPr="00321238">
              <w:rPr>
                <w:rFonts w:eastAsia="Times New Roman" w:cs="Arial"/>
                <w:sz w:val="18"/>
                <w:szCs w:val="18"/>
              </w:rPr>
              <w:t xml:space="preserve">Retained earnings and reserves </w:t>
            </w:r>
          </w:p>
        </w:tc>
        <w:tc>
          <w:tcPr>
            <w:tcW w:w="493" w:type="pct"/>
            <w:vAlign w:val="bottom"/>
          </w:tcPr>
          <w:p w14:paraId="2645217D"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vAlign w:val="bottom"/>
          </w:tcPr>
          <w:p w14:paraId="45228EBA"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vAlign w:val="bottom"/>
          </w:tcPr>
          <w:p w14:paraId="59CA5900"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2" w:type="pct"/>
            <w:vAlign w:val="bottom"/>
          </w:tcPr>
          <w:p w14:paraId="42C53043"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vAlign w:val="bottom"/>
          </w:tcPr>
          <w:p w14:paraId="21D95D53"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tcBorders>
              <w:top w:val="nil"/>
              <w:left w:val="nil"/>
              <w:bottom w:val="nil"/>
              <w:right w:val="nil"/>
            </w:tcBorders>
            <w:shd w:val="clear" w:color="auto" w:fill="auto"/>
            <w:vAlign w:val="center"/>
          </w:tcPr>
          <w:p w14:paraId="2ADDEA9B" w14:textId="77777777"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2,682,131</w:t>
            </w:r>
          </w:p>
        </w:tc>
        <w:tc>
          <w:tcPr>
            <w:tcW w:w="552" w:type="pct"/>
            <w:tcBorders>
              <w:top w:val="nil"/>
              <w:left w:val="nil"/>
              <w:bottom w:val="nil"/>
              <w:right w:val="nil"/>
            </w:tcBorders>
            <w:shd w:val="clear" w:color="auto" w:fill="auto"/>
            <w:vAlign w:val="center"/>
          </w:tcPr>
          <w:p w14:paraId="1E7E11A7" w14:textId="77777777" w:rsidR="000A6679" w:rsidRPr="00321238" w:rsidRDefault="000A6679" w:rsidP="000A6679">
            <w:pPr>
              <w:spacing w:after="0" w:line="240" w:lineRule="auto"/>
              <w:jc w:val="right"/>
              <w:rPr>
                <w:rFonts w:eastAsia="Times New Roman" w:cs="Arial"/>
                <w:bCs/>
                <w:sz w:val="18"/>
                <w:szCs w:val="18"/>
              </w:rPr>
            </w:pPr>
            <w:r w:rsidRPr="00321238">
              <w:rPr>
                <w:color w:val="000000"/>
                <w:sz w:val="18"/>
                <w:szCs w:val="18"/>
              </w:rPr>
              <w:t>2,682,131</w:t>
            </w:r>
          </w:p>
        </w:tc>
      </w:tr>
      <w:tr w:rsidR="000A6679" w:rsidRPr="00321238" w14:paraId="3133E642" w14:textId="77777777" w:rsidTr="00624862">
        <w:trPr>
          <w:trHeight w:val="234"/>
        </w:trPr>
        <w:tc>
          <w:tcPr>
            <w:tcW w:w="1199" w:type="pct"/>
          </w:tcPr>
          <w:p w14:paraId="49072D45" w14:textId="77777777" w:rsidR="000A6679" w:rsidRPr="00321238" w:rsidRDefault="000A6679" w:rsidP="000A6679">
            <w:pPr>
              <w:tabs>
                <w:tab w:val="right" w:pos="1202"/>
              </w:tabs>
              <w:spacing w:after="0" w:line="240" w:lineRule="auto"/>
              <w:outlineLvl w:val="0"/>
              <w:rPr>
                <w:rFonts w:eastAsia="Times New Roman" w:cs="Arial"/>
                <w:sz w:val="18"/>
                <w:szCs w:val="18"/>
              </w:rPr>
            </w:pPr>
            <w:r w:rsidRPr="00321238">
              <w:rPr>
                <w:rFonts w:eastAsia="Times New Roman" w:cs="Arial"/>
                <w:sz w:val="18"/>
                <w:szCs w:val="18"/>
              </w:rPr>
              <w:t xml:space="preserve">Other reserves </w:t>
            </w:r>
          </w:p>
        </w:tc>
        <w:tc>
          <w:tcPr>
            <w:tcW w:w="493" w:type="pct"/>
            <w:vAlign w:val="bottom"/>
          </w:tcPr>
          <w:p w14:paraId="33608E2D"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vAlign w:val="bottom"/>
          </w:tcPr>
          <w:p w14:paraId="1A3B3396"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vAlign w:val="bottom"/>
          </w:tcPr>
          <w:p w14:paraId="6C36AFCC"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2" w:type="pct"/>
            <w:vAlign w:val="bottom"/>
          </w:tcPr>
          <w:p w14:paraId="090308B1"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vAlign w:val="bottom"/>
          </w:tcPr>
          <w:p w14:paraId="54713136"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tcBorders>
              <w:top w:val="nil"/>
              <w:left w:val="nil"/>
              <w:bottom w:val="nil"/>
              <w:right w:val="nil"/>
            </w:tcBorders>
            <w:shd w:val="clear" w:color="auto" w:fill="auto"/>
            <w:vAlign w:val="center"/>
          </w:tcPr>
          <w:p w14:paraId="1579C654" w14:textId="77777777"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70,317</w:t>
            </w:r>
          </w:p>
        </w:tc>
        <w:tc>
          <w:tcPr>
            <w:tcW w:w="552" w:type="pct"/>
            <w:tcBorders>
              <w:top w:val="nil"/>
              <w:left w:val="nil"/>
              <w:bottom w:val="nil"/>
              <w:right w:val="nil"/>
            </w:tcBorders>
            <w:shd w:val="clear" w:color="auto" w:fill="auto"/>
            <w:vAlign w:val="center"/>
          </w:tcPr>
          <w:p w14:paraId="7BBA3298" w14:textId="77777777" w:rsidR="000A6679" w:rsidRPr="00321238" w:rsidRDefault="000A6679" w:rsidP="000A6679">
            <w:pPr>
              <w:spacing w:after="0" w:line="240" w:lineRule="auto"/>
              <w:jc w:val="right"/>
              <w:rPr>
                <w:rFonts w:eastAsia="Times New Roman" w:cs="Arial"/>
                <w:bCs/>
                <w:sz w:val="18"/>
                <w:szCs w:val="18"/>
              </w:rPr>
            </w:pPr>
            <w:r w:rsidRPr="00321238">
              <w:rPr>
                <w:color w:val="000000"/>
                <w:sz w:val="18"/>
                <w:szCs w:val="18"/>
              </w:rPr>
              <w:t>70,317</w:t>
            </w:r>
          </w:p>
        </w:tc>
      </w:tr>
      <w:tr w:rsidR="000A6679" w:rsidRPr="00321238" w14:paraId="36CFF2F4" w14:textId="77777777" w:rsidTr="00624862">
        <w:trPr>
          <w:trHeight w:val="234"/>
        </w:trPr>
        <w:tc>
          <w:tcPr>
            <w:tcW w:w="1199" w:type="pct"/>
          </w:tcPr>
          <w:p w14:paraId="2F154154" w14:textId="77777777" w:rsidR="000A6679" w:rsidRPr="00321238" w:rsidRDefault="000A6679" w:rsidP="000A6679">
            <w:pPr>
              <w:tabs>
                <w:tab w:val="right" w:pos="1202"/>
              </w:tabs>
              <w:spacing w:after="0" w:line="240" w:lineRule="auto"/>
              <w:outlineLvl w:val="0"/>
              <w:rPr>
                <w:rFonts w:eastAsia="Times New Roman" w:cs="Arial"/>
                <w:sz w:val="18"/>
                <w:szCs w:val="18"/>
              </w:rPr>
            </w:pPr>
            <w:r w:rsidRPr="00321238">
              <w:rPr>
                <w:rFonts w:eastAsia="Times New Roman" w:cs="Arial"/>
                <w:sz w:val="18"/>
                <w:szCs w:val="18"/>
              </w:rPr>
              <w:t xml:space="preserve">Net profit for the year </w:t>
            </w:r>
          </w:p>
        </w:tc>
        <w:tc>
          <w:tcPr>
            <w:tcW w:w="493" w:type="pct"/>
            <w:vAlign w:val="bottom"/>
          </w:tcPr>
          <w:p w14:paraId="5D77F4B4" w14:textId="77777777" w:rsidR="000A6679" w:rsidRPr="00321238" w:rsidRDefault="000A6679" w:rsidP="000A6679">
            <w:pPr>
              <w:spacing w:after="0" w:line="240" w:lineRule="auto"/>
              <w:jc w:val="right"/>
              <w:rPr>
                <w:rFonts w:cs="Arial"/>
                <w:spacing w:val="-2"/>
                <w:sz w:val="18"/>
                <w:szCs w:val="18"/>
              </w:rPr>
            </w:pPr>
            <w:r w:rsidRPr="00321238">
              <w:rPr>
                <w:rFonts w:cs="Arial"/>
                <w:color w:val="000000"/>
                <w:spacing w:val="-2"/>
                <w:sz w:val="18"/>
                <w:szCs w:val="18"/>
              </w:rPr>
              <w:t>-</w:t>
            </w:r>
          </w:p>
        </w:tc>
        <w:tc>
          <w:tcPr>
            <w:tcW w:w="551" w:type="pct"/>
            <w:vAlign w:val="bottom"/>
          </w:tcPr>
          <w:p w14:paraId="5DF37847" w14:textId="77777777" w:rsidR="000A6679" w:rsidRPr="00321238" w:rsidRDefault="000A6679" w:rsidP="000A6679">
            <w:pPr>
              <w:spacing w:after="0" w:line="240" w:lineRule="auto"/>
              <w:jc w:val="right"/>
              <w:rPr>
                <w:rFonts w:cs="Arial"/>
                <w:spacing w:val="-2"/>
                <w:sz w:val="18"/>
                <w:szCs w:val="18"/>
              </w:rPr>
            </w:pPr>
            <w:r w:rsidRPr="00321238">
              <w:rPr>
                <w:rFonts w:cs="Arial"/>
                <w:color w:val="000000"/>
                <w:spacing w:val="-2"/>
                <w:sz w:val="18"/>
                <w:szCs w:val="18"/>
              </w:rPr>
              <w:t>-</w:t>
            </w:r>
          </w:p>
        </w:tc>
        <w:tc>
          <w:tcPr>
            <w:tcW w:w="551" w:type="pct"/>
            <w:vAlign w:val="bottom"/>
          </w:tcPr>
          <w:p w14:paraId="605A224B" w14:textId="77777777" w:rsidR="000A6679" w:rsidRPr="00321238" w:rsidRDefault="000A6679" w:rsidP="000A6679">
            <w:pPr>
              <w:spacing w:after="0" w:line="240" w:lineRule="auto"/>
              <w:jc w:val="right"/>
              <w:rPr>
                <w:rFonts w:cs="Arial"/>
                <w:spacing w:val="-2"/>
                <w:sz w:val="18"/>
                <w:szCs w:val="18"/>
              </w:rPr>
            </w:pPr>
            <w:r w:rsidRPr="00321238">
              <w:rPr>
                <w:rFonts w:cs="Arial"/>
                <w:color w:val="000000"/>
                <w:spacing w:val="-2"/>
                <w:sz w:val="18"/>
                <w:szCs w:val="18"/>
              </w:rPr>
              <w:t>-</w:t>
            </w:r>
          </w:p>
        </w:tc>
        <w:tc>
          <w:tcPr>
            <w:tcW w:w="552" w:type="pct"/>
            <w:vAlign w:val="bottom"/>
          </w:tcPr>
          <w:p w14:paraId="7CE283AA" w14:textId="77777777" w:rsidR="000A6679" w:rsidRPr="00321238" w:rsidRDefault="000A6679" w:rsidP="000A6679">
            <w:pPr>
              <w:spacing w:after="0" w:line="240" w:lineRule="auto"/>
              <w:jc w:val="right"/>
              <w:rPr>
                <w:rFonts w:cs="Arial"/>
                <w:spacing w:val="-2"/>
                <w:sz w:val="18"/>
                <w:szCs w:val="18"/>
              </w:rPr>
            </w:pPr>
            <w:r w:rsidRPr="00321238">
              <w:rPr>
                <w:rFonts w:cs="Arial"/>
                <w:color w:val="000000"/>
                <w:spacing w:val="-2"/>
                <w:sz w:val="18"/>
                <w:szCs w:val="18"/>
              </w:rPr>
              <w:t>-</w:t>
            </w:r>
          </w:p>
        </w:tc>
        <w:tc>
          <w:tcPr>
            <w:tcW w:w="551" w:type="pct"/>
            <w:vAlign w:val="bottom"/>
          </w:tcPr>
          <w:p w14:paraId="18E20A98" w14:textId="77777777" w:rsidR="000A6679" w:rsidRPr="00321238" w:rsidRDefault="000A6679" w:rsidP="000A6679">
            <w:pPr>
              <w:spacing w:after="0" w:line="240" w:lineRule="auto"/>
              <w:jc w:val="right"/>
              <w:rPr>
                <w:rFonts w:cs="Arial"/>
                <w:spacing w:val="-2"/>
                <w:sz w:val="18"/>
                <w:szCs w:val="18"/>
              </w:rPr>
            </w:pPr>
            <w:r w:rsidRPr="00321238">
              <w:rPr>
                <w:rFonts w:cs="Arial"/>
                <w:color w:val="000000"/>
                <w:spacing w:val="-2"/>
                <w:sz w:val="18"/>
                <w:szCs w:val="18"/>
              </w:rPr>
              <w:t>-</w:t>
            </w:r>
          </w:p>
        </w:tc>
        <w:tc>
          <w:tcPr>
            <w:tcW w:w="551" w:type="pct"/>
            <w:tcBorders>
              <w:top w:val="nil"/>
              <w:left w:val="nil"/>
              <w:bottom w:val="single" w:sz="4" w:space="0" w:color="auto"/>
              <w:right w:val="nil"/>
            </w:tcBorders>
            <w:shd w:val="clear" w:color="auto" w:fill="auto"/>
            <w:vAlign w:val="center"/>
          </w:tcPr>
          <w:p w14:paraId="32BD2A2F" w14:textId="77777777"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313,525</w:t>
            </w:r>
          </w:p>
        </w:tc>
        <w:tc>
          <w:tcPr>
            <w:tcW w:w="552" w:type="pct"/>
            <w:tcBorders>
              <w:top w:val="nil"/>
              <w:left w:val="nil"/>
              <w:bottom w:val="single" w:sz="4" w:space="0" w:color="auto"/>
              <w:right w:val="nil"/>
            </w:tcBorders>
            <w:shd w:val="clear" w:color="auto" w:fill="auto"/>
            <w:vAlign w:val="center"/>
          </w:tcPr>
          <w:p w14:paraId="1E08130F" w14:textId="77777777" w:rsidR="000A6679" w:rsidRPr="00321238" w:rsidRDefault="000A6679" w:rsidP="000A6679">
            <w:pPr>
              <w:spacing w:after="0" w:line="240" w:lineRule="auto"/>
              <w:jc w:val="right"/>
              <w:rPr>
                <w:rFonts w:eastAsia="Times New Roman" w:cs="Arial"/>
                <w:bCs/>
                <w:sz w:val="18"/>
                <w:szCs w:val="18"/>
              </w:rPr>
            </w:pPr>
            <w:r w:rsidRPr="00321238">
              <w:rPr>
                <w:color w:val="000000"/>
                <w:sz w:val="18"/>
                <w:szCs w:val="18"/>
              </w:rPr>
              <w:t>313,525</w:t>
            </w:r>
          </w:p>
        </w:tc>
      </w:tr>
      <w:tr w:rsidR="000A6679" w:rsidRPr="00321238" w14:paraId="4A3B6E15" w14:textId="77777777" w:rsidTr="00624862">
        <w:trPr>
          <w:trHeight w:val="234"/>
        </w:trPr>
        <w:tc>
          <w:tcPr>
            <w:tcW w:w="1199" w:type="pct"/>
          </w:tcPr>
          <w:p w14:paraId="62A83F93" w14:textId="77777777" w:rsidR="000A6679" w:rsidRPr="00321238" w:rsidRDefault="000A6679" w:rsidP="000A6679">
            <w:pPr>
              <w:tabs>
                <w:tab w:val="right" w:pos="1202"/>
              </w:tabs>
              <w:spacing w:after="0" w:line="240" w:lineRule="auto"/>
              <w:outlineLvl w:val="0"/>
              <w:rPr>
                <w:rFonts w:eastAsia="Times New Roman" w:cs="Arial"/>
                <w:sz w:val="18"/>
                <w:szCs w:val="18"/>
              </w:rPr>
            </w:pPr>
            <w:r w:rsidRPr="00321238">
              <w:rPr>
                <w:rFonts w:eastAsia="Times New Roman" w:cs="Arial"/>
                <w:b/>
                <w:bCs/>
                <w:sz w:val="18"/>
                <w:szCs w:val="18"/>
              </w:rPr>
              <w:t xml:space="preserve">Capital </w:t>
            </w:r>
          </w:p>
        </w:tc>
        <w:tc>
          <w:tcPr>
            <w:tcW w:w="493" w:type="pct"/>
            <w:tcBorders>
              <w:top w:val="single" w:sz="6" w:space="0" w:color="auto"/>
              <w:bottom w:val="single" w:sz="12" w:space="0" w:color="auto"/>
            </w:tcBorders>
            <w:vAlign w:val="bottom"/>
          </w:tcPr>
          <w:p w14:paraId="6B9BC86F" w14:textId="77777777" w:rsidR="000A6679" w:rsidRPr="00321238" w:rsidRDefault="000A6679" w:rsidP="000A6679">
            <w:pPr>
              <w:tabs>
                <w:tab w:val="right" w:pos="1202"/>
              </w:tabs>
              <w:spacing w:after="0" w:line="240" w:lineRule="auto"/>
              <w:jc w:val="right"/>
              <w:outlineLvl w:val="0"/>
              <w:rPr>
                <w:rFonts w:eastAsia="Times New Roman" w:cs="Arial"/>
                <w:b/>
                <w:bCs/>
                <w:spacing w:val="-2"/>
                <w:sz w:val="18"/>
                <w:szCs w:val="18"/>
              </w:rPr>
            </w:pPr>
            <w:r w:rsidRPr="00321238">
              <w:rPr>
                <w:rFonts w:eastAsia="Times New Roman" w:cs="Arial"/>
                <w:b/>
                <w:bCs/>
                <w:color w:val="000000"/>
                <w:spacing w:val="-2"/>
                <w:sz w:val="18"/>
                <w:szCs w:val="18"/>
              </w:rPr>
              <w:t>-</w:t>
            </w:r>
          </w:p>
        </w:tc>
        <w:tc>
          <w:tcPr>
            <w:tcW w:w="551" w:type="pct"/>
            <w:tcBorders>
              <w:top w:val="single" w:sz="6" w:space="0" w:color="auto"/>
              <w:bottom w:val="single" w:sz="12" w:space="0" w:color="auto"/>
            </w:tcBorders>
            <w:vAlign w:val="bottom"/>
          </w:tcPr>
          <w:p w14:paraId="526548F4" w14:textId="77777777" w:rsidR="000A6679" w:rsidRPr="00321238" w:rsidRDefault="000A6679" w:rsidP="000A6679">
            <w:pPr>
              <w:tabs>
                <w:tab w:val="right" w:pos="1202"/>
              </w:tabs>
              <w:spacing w:after="0" w:line="240" w:lineRule="auto"/>
              <w:jc w:val="right"/>
              <w:outlineLvl w:val="0"/>
              <w:rPr>
                <w:rFonts w:eastAsia="Times New Roman" w:cs="Arial"/>
                <w:b/>
                <w:bCs/>
                <w:spacing w:val="-2"/>
                <w:sz w:val="18"/>
                <w:szCs w:val="18"/>
              </w:rPr>
            </w:pPr>
            <w:r w:rsidRPr="00321238">
              <w:rPr>
                <w:rFonts w:eastAsia="Times New Roman" w:cs="Arial"/>
                <w:b/>
                <w:bCs/>
                <w:color w:val="000000"/>
                <w:spacing w:val="-2"/>
                <w:sz w:val="18"/>
                <w:szCs w:val="18"/>
              </w:rPr>
              <w:t>-</w:t>
            </w:r>
          </w:p>
        </w:tc>
        <w:tc>
          <w:tcPr>
            <w:tcW w:w="551" w:type="pct"/>
            <w:tcBorders>
              <w:top w:val="single" w:sz="6" w:space="0" w:color="auto"/>
              <w:bottom w:val="single" w:sz="12" w:space="0" w:color="auto"/>
            </w:tcBorders>
            <w:vAlign w:val="bottom"/>
          </w:tcPr>
          <w:p w14:paraId="12AC9195" w14:textId="77777777" w:rsidR="000A6679" w:rsidRPr="00321238" w:rsidRDefault="000A6679" w:rsidP="000A6679">
            <w:pPr>
              <w:tabs>
                <w:tab w:val="right" w:pos="1202"/>
              </w:tabs>
              <w:spacing w:after="0" w:line="240" w:lineRule="auto"/>
              <w:jc w:val="right"/>
              <w:outlineLvl w:val="0"/>
              <w:rPr>
                <w:rFonts w:eastAsia="Times New Roman" w:cs="Arial"/>
                <w:b/>
                <w:bCs/>
                <w:spacing w:val="-2"/>
                <w:sz w:val="18"/>
                <w:szCs w:val="18"/>
              </w:rPr>
            </w:pPr>
            <w:r w:rsidRPr="00321238">
              <w:rPr>
                <w:rFonts w:eastAsia="Times New Roman" w:cs="Arial"/>
                <w:b/>
                <w:bCs/>
                <w:color w:val="000000"/>
                <w:spacing w:val="-2"/>
                <w:sz w:val="18"/>
                <w:szCs w:val="18"/>
              </w:rPr>
              <w:t>-</w:t>
            </w:r>
          </w:p>
        </w:tc>
        <w:tc>
          <w:tcPr>
            <w:tcW w:w="552" w:type="pct"/>
            <w:tcBorders>
              <w:top w:val="single" w:sz="6" w:space="0" w:color="auto"/>
              <w:bottom w:val="single" w:sz="12" w:space="0" w:color="auto"/>
            </w:tcBorders>
            <w:vAlign w:val="bottom"/>
          </w:tcPr>
          <w:p w14:paraId="0159CBE9" w14:textId="77777777" w:rsidR="000A6679" w:rsidRPr="00321238" w:rsidRDefault="000A6679" w:rsidP="000A6679">
            <w:pPr>
              <w:tabs>
                <w:tab w:val="right" w:pos="1202"/>
              </w:tabs>
              <w:spacing w:after="0" w:line="240" w:lineRule="auto"/>
              <w:jc w:val="right"/>
              <w:outlineLvl w:val="0"/>
              <w:rPr>
                <w:rFonts w:eastAsia="Times New Roman" w:cs="Arial"/>
                <w:b/>
                <w:bCs/>
                <w:spacing w:val="-2"/>
                <w:sz w:val="18"/>
                <w:szCs w:val="18"/>
              </w:rPr>
            </w:pPr>
            <w:r w:rsidRPr="00321238">
              <w:rPr>
                <w:rFonts w:eastAsia="Times New Roman" w:cs="Arial"/>
                <w:b/>
                <w:bCs/>
                <w:color w:val="000000"/>
                <w:spacing w:val="-2"/>
                <w:sz w:val="18"/>
                <w:szCs w:val="18"/>
              </w:rPr>
              <w:t>-</w:t>
            </w:r>
          </w:p>
        </w:tc>
        <w:tc>
          <w:tcPr>
            <w:tcW w:w="551" w:type="pct"/>
            <w:tcBorders>
              <w:top w:val="single" w:sz="6" w:space="0" w:color="auto"/>
              <w:bottom w:val="single" w:sz="12" w:space="0" w:color="auto"/>
            </w:tcBorders>
            <w:vAlign w:val="bottom"/>
          </w:tcPr>
          <w:p w14:paraId="6CF067C2" w14:textId="77777777" w:rsidR="000A6679" w:rsidRPr="00321238" w:rsidRDefault="000A6679" w:rsidP="000A6679">
            <w:pPr>
              <w:tabs>
                <w:tab w:val="right" w:pos="1202"/>
              </w:tabs>
              <w:spacing w:after="0" w:line="240" w:lineRule="auto"/>
              <w:jc w:val="right"/>
              <w:outlineLvl w:val="0"/>
              <w:rPr>
                <w:rFonts w:eastAsia="Times New Roman" w:cs="Arial"/>
                <w:b/>
                <w:bCs/>
                <w:spacing w:val="-2"/>
                <w:sz w:val="18"/>
                <w:szCs w:val="18"/>
              </w:rPr>
            </w:pPr>
            <w:r w:rsidRPr="00321238">
              <w:rPr>
                <w:rFonts w:eastAsia="Times New Roman" w:cs="Arial"/>
                <w:b/>
                <w:bCs/>
                <w:color w:val="000000"/>
                <w:spacing w:val="-2"/>
                <w:sz w:val="18"/>
                <w:szCs w:val="18"/>
              </w:rPr>
              <w:t>-</w:t>
            </w:r>
          </w:p>
        </w:tc>
        <w:tc>
          <w:tcPr>
            <w:tcW w:w="551" w:type="pct"/>
            <w:tcBorders>
              <w:top w:val="single" w:sz="4" w:space="0" w:color="auto"/>
              <w:left w:val="nil"/>
              <w:bottom w:val="single" w:sz="12" w:space="0" w:color="auto"/>
              <w:right w:val="nil"/>
            </w:tcBorders>
            <w:shd w:val="clear" w:color="auto" w:fill="auto"/>
            <w:vAlign w:val="center"/>
          </w:tcPr>
          <w:p w14:paraId="5DC96D92" w14:textId="77777777" w:rsidR="000A6679" w:rsidRPr="00321238" w:rsidRDefault="000A6679" w:rsidP="000A6679">
            <w:pPr>
              <w:spacing w:after="0" w:line="240" w:lineRule="auto"/>
              <w:jc w:val="right"/>
              <w:rPr>
                <w:rFonts w:eastAsia="Times New Roman" w:cs="Arial"/>
                <w:b/>
                <w:sz w:val="18"/>
                <w:szCs w:val="18"/>
              </w:rPr>
            </w:pPr>
            <w:r w:rsidRPr="00321238">
              <w:rPr>
                <w:b/>
                <w:bCs/>
                <w:color w:val="000000"/>
                <w:sz w:val="18"/>
                <w:szCs w:val="18"/>
              </w:rPr>
              <w:t>10,025,605</w:t>
            </w:r>
          </w:p>
        </w:tc>
        <w:tc>
          <w:tcPr>
            <w:tcW w:w="552" w:type="pct"/>
            <w:tcBorders>
              <w:top w:val="single" w:sz="4" w:space="0" w:color="auto"/>
              <w:left w:val="nil"/>
              <w:bottom w:val="single" w:sz="12" w:space="0" w:color="auto"/>
              <w:right w:val="nil"/>
            </w:tcBorders>
            <w:shd w:val="clear" w:color="auto" w:fill="auto"/>
            <w:vAlign w:val="center"/>
          </w:tcPr>
          <w:p w14:paraId="137D553B"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10,025,605</w:t>
            </w:r>
          </w:p>
        </w:tc>
      </w:tr>
      <w:tr w:rsidR="000A6679" w:rsidRPr="00321238" w14:paraId="146A5B04" w14:textId="77777777" w:rsidTr="00624862">
        <w:trPr>
          <w:trHeight w:val="249"/>
        </w:trPr>
        <w:tc>
          <w:tcPr>
            <w:tcW w:w="1199" w:type="pct"/>
          </w:tcPr>
          <w:p w14:paraId="64FAF790" w14:textId="77777777" w:rsidR="000A6679" w:rsidRPr="00321238" w:rsidRDefault="000A6679" w:rsidP="000A6679">
            <w:pPr>
              <w:tabs>
                <w:tab w:val="right" w:pos="1202"/>
              </w:tabs>
              <w:spacing w:after="0" w:line="240" w:lineRule="auto"/>
              <w:outlineLvl w:val="0"/>
              <w:rPr>
                <w:rFonts w:eastAsia="Times New Roman" w:cs="Arial"/>
                <w:sz w:val="18"/>
                <w:szCs w:val="18"/>
              </w:rPr>
            </w:pPr>
            <w:r w:rsidRPr="00321238">
              <w:rPr>
                <w:rFonts w:eastAsia="Times New Roman" w:cs="Arial"/>
                <w:sz w:val="18"/>
                <w:szCs w:val="18"/>
              </w:rPr>
              <w:t>Guarantee fund</w:t>
            </w:r>
          </w:p>
        </w:tc>
        <w:tc>
          <w:tcPr>
            <w:tcW w:w="493" w:type="pct"/>
            <w:tcBorders>
              <w:bottom w:val="single" w:sz="6" w:space="0" w:color="auto"/>
            </w:tcBorders>
            <w:vAlign w:val="bottom"/>
          </w:tcPr>
          <w:p w14:paraId="0AF84AA6"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tcBorders>
              <w:bottom w:val="single" w:sz="6" w:space="0" w:color="auto"/>
            </w:tcBorders>
            <w:vAlign w:val="bottom"/>
          </w:tcPr>
          <w:p w14:paraId="72547507"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tcBorders>
              <w:bottom w:val="single" w:sz="6" w:space="0" w:color="auto"/>
            </w:tcBorders>
            <w:vAlign w:val="bottom"/>
          </w:tcPr>
          <w:p w14:paraId="2D1A8C9F"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2" w:type="pct"/>
            <w:tcBorders>
              <w:bottom w:val="single" w:sz="6" w:space="0" w:color="auto"/>
            </w:tcBorders>
            <w:vAlign w:val="bottom"/>
          </w:tcPr>
          <w:p w14:paraId="6E918BFF"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tcBorders>
              <w:bottom w:val="single" w:sz="6" w:space="0" w:color="auto"/>
            </w:tcBorders>
            <w:vAlign w:val="bottom"/>
          </w:tcPr>
          <w:p w14:paraId="60B4A67A" w14:textId="77777777"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tcBorders>
              <w:left w:val="nil"/>
              <w:right w:val="nil"/>
            </w:tcBorders>
            <w:shd w:val="clear" w:color="auto" w:fill="auto"/>
            <w:vAlign w:val="bottom"/>
          </w:tcPr>
          <w:p w14:paraId="0D638571" w14:textId="77777777" w:rsidR="000A6679" w:rsidRPr="00321238" w:rsidRDefault="000A6679" w:rsidP="000A6679">
            <w:pPr>
              <w:spacing w:after="0" w:line="240" w:lineRule="auto"/>
              <w:jc w:val="right"/>
              <w:outlineLvl w:val="0"/>
              <w:rPr>
                <w:rFonts w:eastAsia="Times New Roman" w:cs="Arial"/>
                <w:spacing w:val="-2"/>
                <w:sz w:val="18"/>
                <w:szCs w:val="18"/>
              </w:rPr>
            </w:pPr>
            <w:r w:rsidRPr="00321238">
              <w:rPr>
                <w:sz w:val="18"/>
                <w:szCs w:val="18"/>
              </w:rPr>
              <w:t>12,375</w:t>
            </w:r>
          </w:p>
        </w:tc>
        <w:tc>
          <w:tcPr>
            <w:tcW w:w="552" w:type="pct"/>
            <w:tcBorders>
              <w:left w:val="nil"/>
              <w:right w:val="nil"/>
            </w:tcBorders>
            <w:shd w:val="clear" w:color="auto" w:fill="auto"/>
            <w:vAlign w:val="bottom"/>
          </w:tcPr>
          <w:p w14:paraId="3E0301D7" w14:textId="77777777" w:rsidR="000A6679" w:rsidRPr="00321238" w:rsidRDefault="000A6679" w:rsidP="000A6679">
            <w:pPr>
              <w:spacing w:after="0" w:line="240" w:lineRule="auto"/>
              <w:jc w:val="right"/>
              <w:outlineLvl w:val="0"/>
              <w:rPr>
                <w:rFonts w:eastAsia="Times New Roman" w:cs="Arial"/>
                <w:spacing w:val="-2"/>
                <w:sz w:val="18"/>
                <w:szCs w:val="18"/>
              </w:rPr>
            </w:pPr>
            <w:r w:rsidRPr="00321238">
              <w:rPr>
                <w:sz w:val="18"/>
                <w:szCs w:val="18"/>
              </w:rPr>
              <w:t>12,375</w:t>
            </w:r>
          </w:p>
        </w:tc>
      </w:tr>
      <w:tr w:rsidR="000A6679" w:rsidRPr="00321238" w14:paraId="7179BA61" w14:textId="77777777" w:rsidTr="00624862">
        <w:trPr>
          <w:trHeight w:val="234"/>
        </w:trPr>
        <w:tc>
          <w:tcPr>
            <w:tcW w:w="1199" w:type="pct"/>
          </w:tcPr>
          <w:p w14:paraId="4F326DFC" w14:textId="77777777" w:rsidR="000A6679" w:rsidRPr="00321238" w:rsidRDefault="000A6679" w:rsidP="000A6679">
            <w:pPr>
              <w:tabs>
                <w:tab w:val="right" w:pos="1202"/>
              </w:tabs>
              <w:spacing w:after="0" w:line="240" w:lineRule="auto"/>
              <w:outlineLvl w:val="0"/>
              <w:rPr>
                <w:rFonts w:eastAsia="Times New Roman" w:cs="Arial"/>
                <w:b/>
                <w:bCs/>
                <w:sz w:val="18"/>
                <w:szCs w:val="18"/>
              </w:rPr>
            </w:pPr>
            <w:r w:rsidRPr="00321238">
              <w:rPr>
                <w:rFonts w:eastAsia="Times New Roman" w:cs="Arial"/>
                <w:b/>
                <w:bCs/>
                <w:sz w:val="18"/>
                <w:szCs w:val="18"/>
              </w:rPr>
              <w:t xml:space="preserve">Total equity </w:t>
            </w:r>
          </w:p>
        </w:tc>
        <w:tc>
          <w:tcPr>
            <w:tcW w:w="493" w:type="pct"/>
            <w:tcBorders>
              <w:bottom w:val="single" w:sz="12" w:space="0" w:color="auto"/>
            </w:tcBorders>
            <w:vAlign w:val="bottom"/>
          </w:tcPr>
          <w:p w14:paraId="5CB24BF7" w14:textId="77777777" w:rsidR="000A6679" w:rsidRPr="00321238" w:rsidRDefault="000A6679" w:rsidP="000A6679">
            <w:pPr>
              <w:tabs>
                <w:tab w:val="right" w:pos="1202"/>
              </w:tabs>
              <w:spacing w:after="0" w:line="240" w:lineRule="auto"/>
              <w:jc w:val="right"/>
              <w:outlineLvl w:val="0"/>
              <w:rPr>
                <w:rFonts w:eastAsia="Times New Roman" w:cs="Arial"/>
                <w:b/>
                <w:bCs/>
                <w:spacing w:val="-2"/>
                <w:sz w:val="18"/>
                <w:szCs w:val="18"/>
              </w:rPr>
            </w:pPr>
            <w:r w:rsidRPr="00321238">
              <w:rPr>
                <w:rFonts w:eastAsia="Times New Roman" w:cs="Arial"/>
                <w:b/>
                <w:bCs/>
                <w:color w:val="000000"/>
                <w:spacing w:val="-2"/>
                <w:sz w:val="18"/>
                <w:szCs w:val="18"/>
              </w:rPr>
              <w:t>-</w:t>
            </w:r>
          </w:p>
        </w:tc>
        <w:tc>
          <w:tcPr>
            <w:tcW w:w="551" w:type="pct"/>
            <w:tcBorders>
              <w:bottom w:val="single" w:sz="12" w:space="0" w:color="auto"/>
            </w:tcBorders>
            <w:vAlign w:val="bottom"/>
          </w:tcPr>
          <w:p w14:paraId="3F192064" w14:textId="77777777" w:rsidR="000A6679" w:rsidRPr="00321238" w:rsidRDefault="000A6679" w:rsidP="000A6679">
            <w:pPr>
              <w:tabs>
                <w:tab w:val="right" w:pos="1202"/>
              </w:tabs>
              <w:spacing w:after="0" w:line="240" w:lineRule="auto"/>
              <w:jc w:val="right"/>
              <w:outlineLvl w:val="0"/>
              <w:rPr>
                <w:rFonts w:eastAsia="Times New Roman" w:cs="Arial"/>
                <w:b/>
                <w:bCs/>
                <w:spacing w:val="-2"/>
                <w:sz w:val="18"/>
                <w:szCs w:val="18"/>
              </w:rPr>
            </w:pPr>
            <w:r w:rsidRPr="00321238">
              <w:rPr>
                <w:rFonts w:eastAsia="Times New Roman" w:cs="Arial"/>
                <w:b/>
                <w:bCs/>
                <w:color w:val="000000"/>
                <w:spacing w:val="-2"/>
                <w:sz w:val="18"/>
                <w:szCs w:val="18"/>
              </w:rPr>
              <w:t>-</w:t>
            </w:r>
          </w:p>
        </w:tc>
        <w:tc>
          <w:tcPr>
            <w:tcW w:w="551" w:type="pct"/>
            <w:tcBorders>
              <w:bottom w:val="single" w:sz="12" w:space="0" w:color="auto"/>
            </w:tcBorders>
            <w:vAlign w:val="bottom"/>
          </w:tcPr>
          <w:p w14:paraId="41FC781E" w14:textId="77777777" w:rsidR="000A6679" w:rsidRPr="00321238" w:rsidRDefault="000A6679" w:rsidP="000A6679">
            <w:pPr>
              <w:tabs>
                <w:tab w:val="right" w:pos="1202"/>
              </w:tabs>
              <w:spacing w:after="0" w:line="240" w:lineRule="auto"/>
              <w:jc w:val="right"/>
              <w:outlineLvl w:val="0"/>
              <w:rPr>
                <w:rFonts w:eastAsia="Times New Roman" w:cs="Arial"/>
                <w:b/>
                <w:bCs/>
                <w:spacing w:val="-2"/>
                <w:sz w:val="18"/>
                <w:szCs w:val="18"/>
              </w:rPr>
            </w:pPr>
            <w:r w:rsidRPr="00321238">
              <w:rPr>
                <w:rFonts w:eastAsia="Times New Roman" w:cs="Arial"/>
                <w:b/>
                <w:bCs/>
                <w:color w:val="000000"/>
                <w:spacing w:val="-2"/>
                <w:sz w:val="18"/>
                <w:szCs w:val="18"/>
              </w:rPr>
              <w:t>-</w:t>
            </w:r>
          </w:p>
        </w:tc>
        <w:tc>
          <w:tcPr>
            <w:tcW w:w="552" w:type="pct"/>
            <w:tcBorders>
              <w:bottom w:val="single" w:sz="12" w:space="0" w:color="auto"/>
            </w:tcBorders>
            <w:vAlign w:val="bottom"/>
          </w:tcPr>
          <w:p w14:paraId="0D98DDEF" w14:textId="77777777" w:rsidR="000A6679" w:rsidRPr="00321238" w:rsidRDefault="000A6679" w:rsidP="000A6679">
            <w:pPr>
              <w:tabs>
                <w:tab w:val="right" w:pos="1202"/>
              </w:tabs>
              <w:spacing w:after="0" w:line="240" w:lineRule="auto"/>
              <w:jc w:val="right"/>
              <w:outlineLvl w:val="0"/>
              <w:rPr>
                <w:rFonts w:eastAsia="Times New Roman" w:cs="Arial"/>
                <w:b/>
                <w:bCs/>
                <w:spacing w:val="-2"/>
                <w:sz w:val="18"/>
                <w:szCs w:val="18"/>
              </w:rPr>
            </w:pPr>
            <w:r w:rsidRPr="00321238">
              <w:rPr>
                <w:rFonts w:eastAsia="Times New Roman" w:cs="Arial"/>
                <w:b/>
                <w:bCs/>
                <w:color w:val="000000"/>
                <w:spacing w:val="-2"/>
                <w:sz w:val="18"/>
                <w:szCs w:val="18"/>
              </w:rPr>
              <w:t>-</w:t>
            </w:r>
          </w:p>
        </w:tc>
        <w:tc>
          <w:tcPr>
            <w:tcW w:w="551" w:type="pct"/>
            <w:tcBorders>
              <w:bottom w:val="single" w:sz="12" w:space="0" w:color="auto"/>
            </w:tcBorders>
            <w:vAlign w:val="bottom"/>
          </w:tcPr>
          <w:p w14:paraId="3C86D4CB" w14:textId="77777777" w:rsidR="000A6679" w:rsidRPr="00321238" w:rsidRDefault="000A6679" w:rsidP="000A6679">
            <w:pPr>
              <w:tabs>
                <w:tab w:val="right" w:pos="1202"/>
              </w:tabs>
              <w:spacing w:after="0" w:line="240" w:lineRule="auto"/>
              <w:jc w:val="right"/>
              <w:outlineLvl w:val="0"/>
              <w:rPr>
                <w:rFonts w:eastAsia="Times New Roman" w:cs="Arial"/>
                <w:b/>
                <w:bCs/>
                <w:spacing w:val="-2"/>
                <w:sz w:val="18"/>
                <w:szCs w:val="18"/>
              </w:rPr>
            </w:pPr>
            <w:r w:rsidRPr="00321238">
              <w:rPr>
                <w:rFonts w:eastAsia="Times New Roman" w:cs="Arial"/>
                <w:b/>
                <w:bCs/>
                <w:color w:val="000000"/>
                <w:spacing w:val="-2"/>
                <w:sz w:val="18"/>
                <w:szCs w:val="18"/>
              </w:rPr>
              <w:t>-</w:t>
            </w:r>
          </w:p>
        </w:tc>
        <w:tc>
          <w:tcPr>
            <w:tcW w:w="551" w:type="pct"/>
            <w:tcBorders>
              <w:top w:val="single" w:sz="8" w:space="0" w:color="auto"/>
              <w:left w:val="nil"/>
              <w:bottom w:val="single" w:sz="12" w:space="0" w:color="auto"/>
              <w:right w:val="nil"/>
            </w:tcBorders>
            <w:shd w:val="clear" w:color="auto" w:fill="auto"/>
            <w:vAlign w:val="center"/>
          </w:tcPr>
          <w:p w14:paraId="1B9E47B7" w14:textId="77777777" w:rsidR="000A6679" w:rsidRPr="00321238" w:rsidRDefault="000A6679" w:rsidP="000A6679">
            <w:pPr>
              <w:spacing w:after="0" w:line="240" w:lineRule="auto"/>
              <w:jc w:val="right"/>
              <w:rPr>
                <w:rFonts w:eastAsia="Times New Roman" w:cs="Arial"/>
                <w:b/>
                <w:sz w:val="18"/>
                <w:szCs w:val="18"/>
              </w:rPr>
            </w:pPr>
            <w:r w:rsidRPr="00321238">
              <w:rPr>
                <w:b/>
                <w:bCs/>
                <w:color w:val="000000"/>
                <w:sz w:val="18"/>
                <w:szCs w:val="18"/>
              </w:rPr>
              <w:t>10,037,980</w:t>
            </w:r>
          </w:p>
        </w:tc>
        <w:tc>
          <w:tcPr>
            <w:tcW w:w="552" w:type="pct"/>
            <w:tcBorders>
              <w:top w:val="single" w:sz="8" w:space="0" w:color="auto"/>
              <w:left w:val="nil"/>
              <w:bottom w:val="single" w:sz="12" w:space="0" w:color="auto"/>
              <w:right w:val="nil"/>
            </w:tcBorders>
            <w:shd w:val="clear" w:color="auto" w:fill="auto"/>
            <w:vAlign w:val="center"/>
          </w:tcPr>
          <w:p w14:paraId="2231F466"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10,037,980</w:t>
            </w:r>
          </w:p>
        </w:tc>
      </w:tr>
      <w:tr w:rsidR="000A6679" w:rsidRPr="00321238" w14:paraId="6E371DE9" w14:textId="77777777" w:rsidTr="00624862">
        <w:trPr>
          <w:trHeight w:val="469"/>
        </w:trPr>
        <w:tc>
          <w:tcPr>
            <w:tcW w:w="1199" w:type="pct"/>
          </w:tcPr>
          <w:p w14:paraId="65F00675" w14:textId="77777777" w:rsidR="000A6679" w:rsidRPr="00321238" w:rsidRDefault="000A6679" w:rsidP="000A6679">
            <w:pPr>
              <w:tabs>
                <w:tab w:val="right" w:pos="1202"/>
              </w:tabs>
              <w:spacing w:after="0" w:line="240" w:lineRule="auto"/>
              <w:outlineLvl w:val="0"/>
              <w:rPr>
                <w:rFonts w:eastAsia="Times New Roman" w:cs="Arial"/>
                <w:b/>
                <w:bCs/>
                <w:sz w:val="18"/>
                <w:szCs w:val="18"/>
              </w:rPr>
            </w:pPr>
            <w:r w:rsidRPr="00321238">
              <w:rPr>
                <w:rFonts w:eastAsia="Times New Roman" w:cs="Arial"/>
                <w:b/>
                <w:bCs/>
                <w:sz w:val="18"/>
                <w:szCs w:val="18"/>
              </w:rPr>
              <w:t>Total liabilities and total equity (2)</w:t>
            </w:r>
          </w:p>
        </w:tc>
        <w:tc>
          <w:tcPr>
            <w:tcW w:w="493" w:type="pct"/>
            <w:tcBorders>
              <w:left w:val="nil"/>
              <w:bottom w:val="single" w:sz="12" w:space="0" w:color="auto"/>
              <w:right w:val="nil"/>
            </w:tcBorders>
            <w:shd w:val="clear" w:color="auto" w:fill="auto"/>
            <w:vAlign w:val="bottom"/>
          </w:tcPr>
          <w:p w14:paraId="4434B402"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355,442</w:t>
            </w:r>
          </w:p>
        </w:tc>
        <w:tc>
          <w:tcPr>
            <w:tcW w:w="551" w:type="pct"/>
            <w:tcBorders>
              <w:left w:val="nil"/>
              <w:bottom w:val="single" w:sz="12" w:space="0" w:color="auto"/>
              <w:right w:val="nil"/>
            </w:tcBorders>
            <w:shd w:val="clear" w:color="auto" w:fill="auto"/>
            <w:vAlign w:val="bottom"/>
          </w:tcPr>
          <w:p w14:paraId="34EA9415"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171,450</w:t>
            </w:r>
          </w:p>
        </w:tc>
        <w:tc>
          <w:tcPr>
            <w:tcW w:w="551" w:type="pct"/>
            <w:tcBorders>
              <w:left w:val="nil"/>
              <w:bottom w:val="single" w:sz="12" w:space="0" w:color="auto"/>
              <w:right w:val="nil"/>
            </w:tcBorders>
            <w:shd w:val="clear" w:color="auto" w:fill="auto"/>
            <w:vAlign w:val="bottom"/>
          </w:tcPr>
          <w:p w14:paraId="263FBDED"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2,909,559</w:t>
            </w:r>
          </w:p>
        </w:tc>
        <w:tc>
          <w:tcPr>
            <w:tcW w:w="552" w:type="pct"/>
            <w:tcBorders>
              <w:left w:val="nil"/>
              <w:bottom w:val="single" w:sz="12" w:space="0" w:color="auto"/>
              <w:right w:val="nil"/>
            </w:tcBorders>
            <w:shd w:val="clear" w:color="auto" w:fill="auto"/>
            <w:vAlign w:val="bottom"/>
          </w:tcPr>
          <w:p w14:paraId="7665EDD5"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3,059,168</w:t>
            </w:r>
          </w:p>
        </w:tc>
        <w:tc>
          <w:tcPr>
            <w:tcW w:w="551" w:type="pct"/>
            <w:tcBorders>
              <w:left w:val="nil"/>
              <w:bottom w:val="single" w:sz="12" w:space="0" w:color="auto"/>
              <w:right w:val="nil"/>
            </w:tcBorders>
            <w:shd w:val="clear" w:color="auto" w:fill="auto"/>
            <w:vAlign w:val="bottom"/>
          </w:tcPr>
          <w:p w14:paraId="3F62022F"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9,841,749</w:t>
            </w:r>
          </w:p>
        </w:tc>
        <w:tc>
          <w:tcPr>
            <w:tcW w:w="551" w:type="pct"/>
            <w:tcBorders>
              <w:left w:val="nil"/>
              <w:bottom w:val="single" w:sz="12" w:space="0" w:color="auto"/>
              <w:right w:val="nil"/>
            </w:tcBorders>
            <w:shd w:val="clear" w:color="auto" w:fill="auto"/>
            <w:vAlign w:val="bottom"/>
          </w:tcPr>
          <w:p w14:paraId="2DFA9E04"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11,037,548</w:t>
            </w:r>
          </w:p>
        </w:tc>
        <w:tc>
          <w:tcPr>
            <w:tcW w:w="552" w:type="pct"/>
            <w:tcBorders>
              <w:left w:val="nil"/>
              <w:bottom w:val="single" w:sz="12" w:space="0" w:color="auto"/>
              <w:right w:val="nil"/>
            </w:tcBorders>
            <w:shd w:val="clear" w:color="auto" w:fill="auto"/>
            <w:vAlign w:val="bottom"/>
          </w:tcPr>
          <w:p w14:paraId="028CCA3C"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27,374,916</w:t>
            </w:r>
          </w:p>
        </w:tc>
      </w:tr>
      <w:tr w:rsidR="000A6679" w:rsidRPr="00321238" w14:paraId="548A4B7E" w14:textId="77777777" w:rsidTr="009702B0">
        <w:trPr>
          <w:trHeight w:val="269"/>
        </w:trPr>
        <w:tc>
          <w:tcPr>
            <w:tcW w:w="1199" w:type="pct"/>
            <w:vAlign w:val="bottom"/>
          </w:tcPr>
          <w:p w14:paraId="538363BD" w14:textId="77777777" w:rsidR="000A6679" w:rsidRPr="00321238" w:rsidRDefault="000A6679" w:rsidP="000A6679">
            <w:pPr>
              <w:tabs>
                <w:tab w:val="right" w:pos="1202"/>
              </w:tabs>
              <w:spacing w:after="0" w:line="240" w:lineRule="auto"/>
              <w:outlineLvl w:val="0"/>
              <w:rPr>
                <w:rFonts w:eastAsia="Times New Roman" w:cs="Arial"/>
                <w:b/>
                <w:bCs/>
                <w:sz w:val="18"/>
                <w:szCs w:val="18"/>
              </w:rPr>
            </w:pPr>
            <w:r w:rsidRPr="00321238">
              <w:rPr>
                <w:rFonts w:eastAsia="Times New Roman" w:cs="Arial"/>
                <w:b/>
                <w:bCs/>
                <w:spacing w:val="-2"/>
                <w:sz w:val="18"/>
                <w:szCs w:val="18"/>
              </w:rPr>
              <w:t>Net assets/liabilities (1) – (2)</w:t>
            </w:r>
          </w:p>
        </w:tc>
        <w:tc>
          <w:tcPr>
            <w:tcW w:w="493" w:type="pct"/>
            <w:tcBorders>
              <w:top w:val="nil"/>
              <w:left w:val="nil"/>
              <w:bottom w:val="single" w:sz="12" w:space="0" w:color="auto"/>
              <w:right w:val="nil"/>
            </w:tcBorders>
            <w:shd w:val="clear" w:color="auto" w:fill="auto"/>
            <w:vAlign w:val="bottom"/>
          </w:tcPr>
          <w:p w14:paraId="72963062"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4,200,430</w:t>
            </w:r>
          </w:p>
        </w:tc>
        <w:tc>
          <w:tcPr>
            <w:tcW w:w="551" w:type="pct"/>
            <w:tcBorders>
              <w:top w:val="nil"/>
              <w:left w:val="nil"/>
              <w:bottom w:val="single" w:sz="12" w:space="0" w:color="auto"/>
              <w:right w:val="nil"/>
            </w:tcBorders>
            <w:shd w:val="clear" w:color="auto" w:fill="auto"/>
            <w:vAlign w:val="bottom"/>
          </w:tcPr>
          <w:p w14:paraId="06CB20EE"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1,513,195</w:t>
            </w:r>
          </w:p>
        </w:tc>
        <w:tc>
          <w:tcPr>
            <w:tcW w:w="551" w:type="pct"/>
            <w:tcBorders>
              <w:top w:val="nil"/>
              <w:left w:val="nil"/>
              <w:bottom w:val="single" w:sz="12" w:space="0" w:color="auto"/>
              <w:right w:val="nil"/>
            </w:tcBorders>
            <w:shd w:val="clear" w:color="auto" w:fill="auto"/>
            <w:vAlign w:val="bottom"/>
          </w:tcPr>
          <w:p w14:paraId="39BB11B8"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45,769</w:t>
            </w:r>
          </w:p>
        </w:tc>
        <w:tc>
          <w:tcPr>
            <w:tcW w:w="552" w:type="pct"/>
            <w:tcBorders>
              <w:top w:val="nil"/>
              <w:left w:val="nil"/>
              <w:bottom w:val="single" w:sz="12" w:space="0" w:color="auto"/>
              <w:right w:val="nil"/>
            </w:tcBorders>
            <w:shd w:val="clear" w:color="auto" w:fill="auto"/>
            <w:vAlign w:val="bottom"/>
          </w:tcPr>
          <w:p w14:paraId="58A38FB7"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1,373,880</w:t>
            </w:r>
          </w:p>
        </w:tc>
        <w:tc>
          <w:tcPr>
            <w:tcW w:w="551" w:type="pct"/>
            <w:tcBorders>
              <w:top w:val="nil"/>
              <w:left w:val="nil"/>
              <w:bottom w:val="single" w:sz="12" w:space="0" w:color="auto"/>
              <w:right w:val="nil"/>
            </w:tcBorders>
            <w:shd w:val="clear" w:color="auto" w:fill="auto"/>
            <w:vAlign w:val="bottom"/>
          </w:tcPr>
          <w:p w14:paraId="15CD5173"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2,243,103</w:t>
            </w:r>
          </w:p>
        </w:tc>
        <w:tc>
          <w:tcPr>
            <w:tcW w:w="551" w:type="pct"/>
            <w:tcBorders>
              <w:top w:val="nil"/>
              <w:left w:val="nil"/>
              <w:bottom w:val="single" w:sz="12" w:space="0" w:color="auto"/>
              <w:right w:val="nil"/>
            </w:tcBorders>
            <w:shd w:val="clear" w:color="auto" w:fill="auto"/>
            <w:vAlign w:val="bottom"/>
          </w:tcPr>
          <w:p w14:paraId="00BA66D2"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(9,376,377)</w:t>
            </w:r>
          </w:p>
        </w:tc>
        <w:tc>
          <w:tcPr>
            <w:tcW w:w="552" w:type="pct"/>
            <w:tcBorders>
              <w:top w:val="nil"/>
              <w:left w:val="nil"/>
              <w:bottom w:val="single" w:sz="12" w:space="0" w:color="auto"/>
              <w:right w:val="nil"/>
            </w:tcBorders>
            <w:shd w:val="clear" w:color="auto" w:fill="auto"/>
            <w:vAlign w:val="bottom"/>
          </w:tcPr>
          <w:p w14:paraId="0A07490E" w14:textId="77777777"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w:t>
            </w:r>
          </w:p>
        </w:tc>
      </w:tr>
      <w:tr w:rsidR="009702B0" w:rsidRPr="00321238" w14:paraId="7BF595E8" w14:textId="77777777" w:rsidTr="009702B0">
        <w:tblPrEx>
          <w:tblCellMar>
            <w:left w:w="108" w:type="dxa"/>
            <w:right w:w="108" w:type="dxa"/>
          </w:tblCellMar>
        </w:tblPrEx>
        <w:trPr>
          <w:trHeight w:val="234"/>
        </w:trPr>
        <w:tc>
          <w:tcPr>
            <w:tcW w:w="1199" w:type="pct"/>
          </w:tcPr>
          <w:p w14:paraId="587F08F6" w14:textId="77777777" w:rsidR="009702B0" w:rsidRPr="00321238" w:rsidRDefault="009702B0" w:rsidP="009702B0">
            <w:pPr>
              <w:keepNext/>
              <w:keepLines/>
              <w:tabs>
                <w:tab w:val="decimal" w:pos="1202"/>
              </w:tabs>
              <w:spacing w:after="0" w:line="240" w:lineRule="auto"/>
              <w:rPr>
                <w:rFonts w:eastAsia="Times New Roman" w:cs="Arial"/>
                <w:b/>
                <w:position w:val="4"/>
                <w:sz w:val="18"/>
                <w:szCs w:val="18"/>
                <w:u w:val="thick"/>
              </w:rPr>
            </w:pPr>
          </w:p>
        </w:tc>
        <w:tc>
          <w:tcPr>
            <w:tcW w:w="493" w:type="pct"/>
            <w:vAlign w:val="bottom"/>
          </w:tcPr>
          <w:p w14:paraId="1C87A1FB" w14:textId="77777777" w:rsidR="009702B0" w:rsidRPr="00321238" w:rsidRDefault="009702B0" w:rsidP="009702B0">
            <w:pPr>
              <w:keepNext/>
              <w:keepLines/>
              <w:spacing w:after="0" w:line="240" w:lineRule="auto"/>
              <w:jc w:val="right"/>
              <w:rPr>
                <w:rFonts w:eastAsia="Times New Roman" w:cs="Arial"/>
                <w:b/>
                <w:position w:val="4"/>
                <w:sz w:val="18"/>
                <w:szCs w:val="18"/>
                <w:u w:val="thick"/>
              </w:rPr>
            </w:pPr>
          </w:p>
        </w:tc>
        <w:tc>
          <w:tcPr>
            <w:tcW w:w="551" w:type="pct"/>
            <w:vAlign w:val="bottom"/>
          </w:tcPr>
          <w:p w14:paraId="1A5DE125" w14:textId="77777777" w:rsidR="009702B0" w:rsidRPr="00321238" w:rsidRDefault="009702B0" w:rsidP="009702B0">
            <w:pPr>
              <w:keepNext/>
              <w:keepLines/>
              <w:spacing w:after="0" w:line="240" w:lineRule="auto"/>
              <w:jc w:val="right"/>
              <w:rPr>
                <w:rFonts w:eastAsia="Times New Roman" w:cs="Arial"/>
                <w:b/>
                <w:position w:val="4"/>
                <w:sz w:val="18"/>
                <w:szCs w:val="18"/>
                <w:u w:val="thick"/>
              </w:rPr>
            </w:pPr>
          </w:p>
        </w:tc>
        <w:tc>
          <w:tcPr>
            <w:tcW w:w="551" w:type="pct"/>
            <w:vAlign w:val="bottom"/>
          </w:tcPr>
          <w:p w14:paraId="1E92FC72" w14:textId="77777777" w:rsidR="009702B0" w:rsidRPr="00321238" w:rsidRDefault="009702B0" w:rsidP="009702B0">
            <w:pPr>
              <w:keepNext/>
              <w:keepLines/>
              <w:spacing w:after="0" w:line="240" w:lineRule="auto"/>
              <w:jc w:val="right"/>
              <w:rPr>
                <w:rFonts w:eastAsia="Times New Roman" w:cs="Arial"/>
                <w:b/>
                <w:position w:val="4"/>
                <w:sz w:val="18"/>
                <w:szCs w:val="18"/>
                <w:u w:val="thick"/>
              </w:rPr>
            </w:pPr>
          </w:p>
        </w:tc>
        <w:tc>
          <w:tcPr>
            <w:tcW w:w="552" w:type="pct"/>
            <w:vAlign w:val="bottom"/>
          </w:tcPr>
          <w:p w14:paraId="07EB5724" w14:textId="77777777" w:rsidR="009702B0" w:rsidRPr="00321238" w:rsidRDefault="009702B0" w:rsidP="009702B0">
            <w:pPr>
              <w:keepNext/>
              <w:keepLines/>
              <w:spacing w:after="0" w:line="240" w:lineRule="auto"/>
              <w:jc w:val="right"/>
              <w:rPr>
                <w:rFonts w:eastAsia="Times New Roman" w:cs="Arial"/>
                <w:b/>
                <w:position w:val="4"/>
                <w:sz w:val="18"/>
                <w:szCs w:val="18"/>
                <w:u w:val="thick"/>
              </w:rPr>
            </w:pPr>
          </w:p>
        </w:tc>
        <w:tc>
          <w:tcPr>
            <w:tcW w:w="551" w:type="pct"/>
            <w:vAlign w:val="bottom"/>
          </w:tcPr>
          <w:p w14:paraId="6A7ABC9E" w14:textId="77777777" w:rsidR="009702B0" w:rsidRPr="00321238" w:rsidRDefault="009702B0" w:rsidP="009702B0">
            <w:pPr>
              <w:keepNext/>
              <w:keepLines/>
              <w:spacing w:after="0" w:line="240" w:lineRule="auto"/>
              <w:jc w:val="right"/>
              <w:rPr>
                <w:rFonts w:eastAsia="Times New Roman" w:cs="Arial"/>
                <w:b/>
                <w:position w:val="4"/>
                <w:sz w:val="18"/>
                <w:szCs w:val="18"/>
                <w:u w:val="thick"/>
              </w:rPr>
            </w:pPr>
          </w:p>
        </w:tc>
        <w:tc>
          <w:tcPr>
            <w:tcW w:w="551" w:type="pct"/>
            <w:vAlign w:val="bottom"/>
          </w:tcPr>
          <w:p w14:paraId="01A2F09D" w14:textId="77777777" w:rsidR="009702B0" w:rsidRPr="00321238" w:rsidRDefault="009702B0" w:rsidP="009702B0">
            <w:pPr>
              <w:keepNext/>
              <w:keepLines/>
              <w:spacing w:after="0" w:line="240" w:lineRule="auto"/>
              <w:jc w:val="right"/>
              <w:rPr>
                <w:rFonts w:eastAsia="Times New Roman" w:cs="Arial"/>
                <w:b/>
                <w:position w:val="4"/>
                <w:sz w:val="18"/>
                <w:szCs w:val="18"/>
                <w:u w:val="thick"/>
              </w:rPr>
            </w:pPr>
          </w:p>
        </w:tc>
        <w:tc>
          <w:tcPr>
            <w:tcW w:w="552" w:type="pct"/>
            <w:vAlign w:val="bottom"/>
          </w:tcPr>
          <w:p w14:paraId="62F56A22" w14:textId="77777777" w:rsidR="009702B0" w:rsidRPr="00321238" w:rsidRDefault="009702B0" w:rsidP="009702B0">
            <w:pPr>
              <w:keepNext/>
              <w:keepLines/>
              <w:spacing w:after="0" w:line="240" w:lineRule="auto"/>
              <w:jc w:val="right"/>
              <w:rPr>
                <w:rFonts w:eastAsia="Times New Roman" w:cs="Arial"/>
                <w:b/>
                <w:position w:val="4"/>
                <w:sz w:val="18"/>
                <w:szCs w:val="18"/>
                <w:u w:val="thick"/>
              </w:rPr>
            </w:pPr>
          </w:p>
        </w:tc>
      </w:tr>
    </w:tbl>
    <w:p w14:paraId="1784DEBE" w14:textId="77777777" w:rsidR="009702B0" w:rsidRPr="009702B0" w:rsidRDefault="009702B0" w:rsidP="009702B0">
      <w:pPr>
        <w:spacing w:after="0" w:line="240" w:lineRule="auto"/>
        <w:jc w:val="both"/>
        <w:rPr>
          <w:rFonts w:eastAsia="Times New Roman" w:cs="Calibri"/>
          <w:b/>
        </w:rPr>
        <w:sectPr w:rsidR="009702B0" w:rsidRPr="009702B0" w:rsidSect="00947CB7">
          <w:footerReference w:type="first" r:id="rId111"/>
          <w:pgSz w:w="11906" w:h="16838" w:code="9"/>
          <w:pgMar w:top="1418" w:right="1418" w:bottom="595" w:left="1134" w:header="709" w:footer="709" w:gutter="0"/>
          <w:cols w:space="708"/>
          <w:titlePg/>
          <w:docGrid w:linePitch="360"/>
        </w:sectPr>
      </w:pPr>
    </w:p>
    <w:p w14:paraId="5F61E36E" w14:textId="77777777" w:rsidR="009702B0" w:rsidRPr="009702B0" w:rsidRDefault="009702B0" w:rsidP="009702B0">
      <w:pPr>
        <w:keepNext/>
        <w:spacing w:after="0" w:line="240" w:lineRule="auto"/>
        <w:ind w:left="709" w:hanging="709"/>
        <w:jc w:val="both"/>
        <w:rPr>
          <w:rFonts w:eastAsia="Times New Roman" w:cs="Arial"/>
          <w:b/>
          <w:bCs/>
        </w:rPr>
      </w:pPr>
    </w:p>
    <w:p w14:paraId="495EECF2"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        Risk management (continued)</w:t>
      </w:r>
    </w:p>
    <w:p w14:paraId="59B4CEAA" w14:textId="77777777" w:rsidR="009702B0" w:rsidRPr="009702B0" w:rsidRDefault="009702B0" w:rsidP="009702B0">
      <w:pPr>
        <w:keepNext/>
        <w:spacing w:after="0" w:line="240" w:lineRule="auto"/>
        <w:ind w:left="709" w:hanging="709"/>
        <w:jc w:val="both"/>
        <w:rPr>
          <w:rFonts w:eastAsia="Times New Roman" w:cs="Arial"/>
          <w:b/>
          <w:bCs/>
        </w:rPr>
      </w:pPr>
    </w:p>
    <w:p w14:paraId="086925EE"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     Market risk (continued)</w:t>
      </w:r>
    </w:p>
    <w:p w14:paraId="44E0CA97" w14:textId="77777777" w:rsidR="009702B0" w:rsidRPr="009702B0" w:rsidRDefault="009702B0" w:rsidP="009702B0">
      <w:pPr>
        <w:keepNext/>
        <w:spacing w:after="0" w:line="240" w:lineRule="auto"/>
        <w:ind w:left="709" w:hanging="709"/>
        <w:jc w:val="both"/>
        <w:rPr>
          <w:rFonts w:eastAsia="Times New Roman" w:cs="Arial"/>
          <w:b/>
          <w:bCs/>
        </w:rPr>
      </w:pPr>
    </w:p>
    <w:p w14:paraId="7EC8E65B"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16.4.1</w:t>
      </w:r>
      <w:proofErr w:type="gramStart"/>
      <w:r w:rsidRPr="009702B0">
        <w:rPr>
          <w:rFonts w:eastAsia="Times New Roman" w:cs="Arial"/>
          <w:b/>
          <w:bCs/>
        </w:rPr>
        <w:t>.  Interest</w:t>
      </w:r>
      <w:proofErr w:type="gramEnd"/>
      <w:r w:rsidRPr="009702B0">
        <w:rPr>
          <w:rFonts w:eastAsia="Times New Roman" w:cs="Arial"/>
          <w:b/>
          <w:bCs/>
        </w:rPr>
        <w:t xml:space="preserve"> rate risk in the Bank’s book (continued)</w:t>
      </w:r>
    </w:p>
    <w:p w14:paraId="7C3A39A6" w14:textId="77777777" w:rsidR="009702B0" w:rsidRPr="009702B0" w:rsidRDefault="009702B0" w:rsidP="009702B0">
      <w:pPr>
        <w:keepNext/>
        <w:spacing w:after="0" w:line="240" w:lineRule="auto"/>
        <w:ind w:left="709" w:hanging="709"/>
        <w:jc w:val="both"/>
        <w:rPr>
          <w:rFonts w:eastAsia="Times New Roman" w:cs="Arial"/>
          <w:b/>
          <w:bCs/>
        </w:rPr>
      </w:pPr>
    </w:p>
    <w:p w14:paraId="60C29A9A" w14:textId="77777777" w:rsidR="009702B0" w:rsidRPr="009702B0" w:rsidRDefault="009702B0" w:rsidP="009702B0">
      <w:pPr>
        <w:tabs>
          <w:tab w:val="left" w:pos="-720"/>
        </w:tabs>
        <w:suppressAutoHyphens/>
        <w:spacing w:after="0" w:line="300" w:lineRule="exact"/>
        <w:ind w:right="-6"/>
        <w:jc w:val="both"/>
        <w:rPr>
          <w:rFonts w:asciiTheme="minorHAnsi" w:eastAsia="Times New Roman" w:hAnsiTheme="minorHAnsi" w:cs="Arial"/>
        </w:rPr>
      </w:pPr>
      <w:r w:rsidRPr="009702B0">
        <w:rPr>
          <w:rFonts w:asciiTheme="minorHAnsi" w:eastAsia="Times New Roman" w:hAnsiTheme="minorHAnsi" w:cs="Arial"/>
        </w:rPr>
        <w:t xml:space="preserve">Total assets, total liabilities and equity on the basis of a possibility of changes in interest rates (fixed or variable): </w:t>
      </w:r>
    </w:p>
    <w:p w14:paraId="24B1E52E" w14:textId="77777777" w:rsidR="009702B0" w:rsidRPr="009702B0" w:rsidRDefault="009702B0" w:rsidP="009702B0">
      <w:pPr>
        <w:keepNext/>
        <w:spacing w:after="0" w:line="240" w:lineRule="auto"/>
        <w:ind w:left="709" w:hanging="709"/>
        <w:jc w:val="both"/>
        <w:rPr>
          <w:rFonts w:eastAsia="Times New Roman" w:cs="Arial"/>
          <w:b/>
          <w:bCs/>
        </w:rPr>
      </w:pPr>
    </w:p>
    <w:tbl>
      <w:tblPr>
        <w:tblW w:w="5000" w:type="pct"/>
        <w:tblInd w:w="-142" w:type="dxa"/>
        <w:tblLayout w:type="fixed"/>
        <w:tblCellMar>
          <w:left w:w="120" w:type="dxa"/>
          <w:right w:w="120" w:type="dxa"/>
        </w:tblCellMar>
        <w:tblLook w:val="0000" w:firstRow="0" w:lastRow="0" w:firstColumn="0" w:lastColumn="0" w:noHBand="0" w:noVBand="0"/>
      </w:tblPr>
      <w:tblGrid>
        <w:gridCol w:w="3448"/>
        <w:gridCol w:w="1476"/>
        <w:gridCol w:w="1478"/>
        <w:gridCol w:w="1476"/>
        <w:gridCol w:w="1476"/>
      </w:tblGrid>
      <w:tr w:rsidR="009702B0" w:rsidRPr="000F4D26" w14:paraId="3972735D" w14:textId="77777777" w:rsidTr="009702B0">
        <w:trPr>
          <w:trHeight w:val="239"/>
        </w:trPr>
        <w:tc>
          <w:tcPr>
            <w:tcW w:w="1843" w:type="pct"/>
            <w:shd w:val="clear" w:color="auto" w:fill="auto"/>
            <w:vAlign w:val="bottom"/>
          </w:tcPr>
          <w:p w14:paraId="57B1EA61" w14:textId="77777777" w:rsidR="009702B0" w:rsidRPr="000F4D26" w:rsidRDefault="009702B0" w:rsidP="009702B0">
            <w:pPr>
              <w:tabs>
                <w:tab w:val="left" w:pos="-720"/>
              </w:tabs>
              <w:suppressAutoHyphens/>
              <w:spacing w:after="0" w:line="360" w:lineRule="auto"/>
              <w:ind w:right="-5"/>
              <w:jc w:val="both"/>
              <w:rPr>
                <w:rFonts w:asciiTheme="minorHAnsi" w:eastAsia="Times New Roman" w:hAnsiTheme="minorHAnsi" w:cs="Arial"/>
                <w:b/>
                <w:sz w:val="19"/>
                <w:szCs w:val="19"/>
                <w:lang w:val="hr-HR"/>
              </w:rPr>
            </w:pPr>
          </w:p>
        </w:tc>
        <w:tc>
          <w:tcPr>
            <w:tcW w:w="1579" w:type="pct"/>
            <w:gridSpan w:val="2"/>
            <w:shd w:val="clear" w:color="auto" w:fill="auto"/>
            <w:vAlign w:val="bottom"/>
          </w:tcPr>
          <w:p w14:paraId="5F796ED1" w14:textId="77777777" w:rsidR="009702B0" w:rsidRPr="00796B24" w:rsidRDefault="009702B0" w:rsidP="009702B0">
            <w:pPr>
              <w:tabs>
                <w:tab w:val="right" w:pos="1202"/>
              </w:tabs>
              <w:spacing w:after="0" w:line="240" w:lineRule="atLeast"/>
              <w:jc w:val="right"/>
              <w:outlineLvl w:val="0"/>
              <w:rPr>
                <w:rFonts w:asciiTheme="minorHAnsi" w:eastAsia="Times New Roman" w:hAnsiTheme="minorHAnsi" w:cs="Arial"/>
                <w:b/>
                <w:sz w:val="19"/>
                <w:szCs w:val="19"/>
                <w:lang w:val="hr-HR"/>
              </w:rPr>
            </w:pPr>
            <w:r w:rsidRPr="00796B24">
              <w:rPr>
                <w:rFonts w:asciiTheme="minorHAnsi" w:eastAsia="Times New Roman" w:hAnsiTheme="minorHAnsi" w:cs="Arial"/>
                <w:b/>
                <w:sz w:val="19"/>
                <w:szCs w:val="19"/>
                <w:lang w:val="hr-HR"/>
              </w:rPr>
              <w:t>Group</w:t>
            </w:r>
          </w:p>
        </w:tc>
        <w:tc>
          <w:tcPr>
            <w:tcW w:w="1578" w:type="pct"/>
            <w:gridSpan w:val="2"/>
            <w:shd w:val="clear" w:color="auto" w:fill="auto"/>
            <w:vAlign w:val="bottom"/>
          </w:tcPr>
          <w:p w14:paraId="509D3120" w14:textId="77777777" w:rsidR="009702B0" w:rsidRPr="000F4D26" w:rsidRDefault="009702B0" w:rsidP="009702B0">
            <w:pPr>
              <w:tabs>
                <w:tab w:val="right" w:pos="1202"/>
              </w:tabs>
              <w:spacing w:after="0" w:line="240" w:lineRule="atLeast"/>
              <w:jc w:val="right"/>
              <w:outlineLvl w:val="0"/>
              <w:rPr>
                <w:rFonts w:asciiTheme="minorHAnsi" w:eastAsia="Times New Roman" w:hAnsiTheme="minorHAnsi" w:cs="Arial"/>
                <w:b/>
                <w:sz w:val="19"/>
                <w:szCs w:val="19"/>
                <w:lang w:val="hr-HR"/>
              </w:rPr>
            </w:pPr>
            <w:r w:rsidRPr="000F4D26">
              <w:rPr>
                <w:rFonts w:asciiTheme="minorHAnsi" w:eastAsia="Times New Roman" w:hAnsiTheme="minorHAnsi" w:cs="Arial"/>
                <w:b/>
                <w:sz w:val="19"/>
                <w:szCs w:val="19"/>
                <w:lang w:val="hr-HR"/>
              </w:rPr>
              <w:t>Bank</w:t>
            </w:r>
          </w:p>
        </w:tc>
      </w:tr>
      <w:tr w:rsidR="009702B0" w:rsidRPr="000F4D26" w14:paraId="591937EC" w14:textId="77777777" w:rsidTr="009702B0">
        <w:trPr>
          <w:trHeight w:val="211"/>
        </w:trPr>
        <w:tc>
          <w:tcPr>
            <w:tcW w:w="1843" w:type="pct"/>
            <w:shd w:val="clear" w:color="auto" w:fill="auto"/>
            <w:vAlign w:val="bottom"/>
          </w:tcPr>
          <w:p w14:paraId="76C08F59" w14:textId="77777777" w:rsidR="009702B0" w:rsidRPr="000F4D26" w:rsidRDefault="009702B0" w:rsidP="009702B0">
            <w:pPr>
              <w:tabs>
                <w:tab w:val="left" w:pos="-720"/>
              </w:tabs>
              <w:suppressAutoHyphens/>
              <w:spacing w:after="0" w:line="360" w:lineRule="auto"/>
              <w:ind w:right="-5"/>
              <w:jc w:val="both"/>
              <w:rPr>
                <w:rFonts w:asciiTheme="minorHAnsi" w:eastAsia="Times New Roman" w:hAnsiTheme="minorHAnsi" w:cs="Arial"/>
                <w:b/>
                <w:sz w:val="19"/>
                <w:szCs w:val="19"/>
                <w:lang w:val="hr-HR"/>
              </w:rPr>
            </w:pPr>
          </w:p>
        </w:tc>
        <w:tc>
          <w:tcPr>
            <w:tcW w:w="789" w:type="pct"/>
            <w:vAlign w:val="center"/>
          </w:tcPr>
          <w:p w14:paraId="54483DFF" w14:textId="451F54A8" w:rsidR="009702B0" w:rsidRPr="00CE4410" w:rsidRDefault="00B56E29" w:rsidP="009702B0">
            <w:pPr>
              <w:spacing w:after="0" w:line="280" w:lineRule="exact"/>
              <w:jc w:val="right"/>
              <w:outlineLvl w:val="0"/>
              <w:rPr>
                <w:rFonts w:eastAsia="Times New Roman" w:cs="Arial"/>
                <w:b/>
                <w:bCs/>
                <w:sz w:val="19"/>
                <w:szCs w:val="19"/>
              </w:rPr>
            </w:pPr>
            <w:r>
              <w:rPr>
                <w:rFonts w:eastAsia="Times New Roman" w:cs="Arial"/>
                <w:b/>
                <w:bCs/>
                <w:sz w:val="19"/>
                <w:szCs w:val="19"/>
              </w:rPr>
              <w:t xml:space="preserve">Sep </w:t>
            </w:r>
            <w:r w:rsidR="00C9421C">
              <w:rPr>
                <w:rFonts w:eastAsia="Times New Roman" w:cs="Arial"/>
                <w:b/>
                <w:bCs/>
                <w:sz w:val="19"/>
                <w:szCs w:val="19"/>
              </w:rPr>
              <w:t>30</w:t>
            </w:r>
            <w:r w:rsidR="00AA45EA" w:rsidRPr="00796B24">
              <w:rPr>
                <w:rFonts w:eastAsia="Times New Roman" w:cs="Arial"/>
                <w:b/>
                <w:bCs/>
                <w:sz w:val="19"/>
                <w:szCs w:val="19"/>
              </w:rPr>
              <w:t>, 2017</w:t>
            </w:r>
          </w:p>
        </w:tc>
        <w:tc>
          <w:tcPr>
            <w:tcW w:w="790" w:type="pct"/>
            <w:vAlign w:val="center"/>
          </w:tcPr>
          <w:p w14:paraId="727F326E" w14:textId="77777777" w:rsidR="009702B0" w:rsidRPr="000F4D26" w:rsidRDefault="009702B0" w:rsidP="00AA45EA">
            <w:pPr>
              <w:spacing w:after="0" w:line="280" w:lineRule="exact"/>
              <w:jc w:val="right"/>
              <w:outlineLvl w:val="0"/>
              <w:rPr>
                <w:rFonts w:eastAsia="Times New Roman" w:cs="Arial"/>
                <w:b/>
                <w:bCs/>
                <w:sz w:val="19"/>
                <w:szCs w:val="19"/>
              </w:rPr>
            </w:pPr>
            <w:r w:rsidRPr="000F4D26">
              <w:rPr>
                <w:rFonts w:eastAsia="Times New Roman" w:cs="Arial"/>
                <w:b/>
                <w:bCs/>
                <w:sz w:val="19"/>
                <w:szCs w:val="19"/>
              </w:rPr>
              <w:t>Dec 31, 201</w:t>
            </w:r>
            <w:r w:rsidR="00AA45EA" w:rsidRPr="000F4D26">
              <w:rPr>
                <w:rFonts w:eastAsia="Times New Roman" w:cs="Arial"/>
                <w:b/>
                <w:bCs/>
                <w:sz w:val="19"/>
                <w:szCs w:val="19"/>
              </w:rPr>
              <w:t>6</w:t>
            </w:r>
          </w:p>
        </w:tc>
        <w:tc>
          <w:tcPr>
            <w:tcW w:w="789" w:type="pct"/>
            <w:vAlign w:val="center"/>
          </w:tcPr>
          <w:p w14:paraId="14BE9B27" w14:textId="2D2F3953" w:rsidR="009702B0" w:rsidRPr="000F4D26" w:rsidRDefault="00B56E29" w:rsidP="009702B0">
            <w:pPr>
              <w:spacing w:after="0" w:line="280" w:lineRule="exact"/>
              <w:jc w:val="right"/>
              <w:outlineLvl w:val="0"/>
              <w:rPr>
                <w:rFonts w:eastAsia="Times New Roman" w:cs="Arial"/>
                <w:b/>
                <w:bCs/>
                <w:sz w:val="19"/>
                <w:szCs w:val="19"/>
              </w:rPr>
            </w:pPr>
            <w:r>
              <w:rPr>
                <w:rFonts w:eastAsia="Times New Roman" w:cs="Arial"/>
                <w:b/>
                <w:bCs/>
                <w:sz w:val="19"/>
                <w:szCs w:val="19"/>
              </w:rPr>
              <w:t xml:space="preserve">Sep </w:t>
            </w:r>
            <w:r w:rsidR="00C9421C">
              <w:rPr>
                <w:rFonts w:eastAsia="Times New Roman" w:cs="Arial"/>
                <w:b/>
                <w:bCs/>
                <w:sz w:val="19"/>
                <w:szCs w:val="19"/>
              </w:rPr>
              <w:t>30</w:t>
            </w:r>
            <w:r w:rsidR="00AA45EA" w:rsidRPr="000F4D26">
              <w:rPr>
                <w:rFonts w:eastAsia="Times New Roman" w:cs="Arial"/>
                <w:b/>
                <w:bCs/>
                <w:sz w:val="19"/>
                <w:szCs w:val="19"/>
              </w:rPr>
              <w:t>, 2017</w:t>
            </w:r>
          </w:p>
        </w:tc>
        <w:tc>
          <w:tcPr>
            <w:tcW w:w="789" w:type="pct"/>
            <w:vAlign w:val="center"/>
          </w:tcPr>
          <w:p w14:paraId="6F52DDF0" w14:textId="77777777" w:rsidR="009702B0" w:rsidRPr="000F4D26" w:rsidRDefault="009702B0" w:rsidP="00AA45EA">
            <w:pPr>
              <w:spacing w:after="0" w:line="280" w:lineRule="exact"/>
              <w:jc w:val="right"/>
              <w:outlineLvl w:val="0"/>
              <w:rPr>
                <w:rFonts w:eastAsia="Times New Roman" w:cs="Arial"/>
                <w:b/>
                <w:bCs/>
                <w:sz w:val="19"/>
                <w:szCs w:val="19"/>
              </w:rPr>
            </w:pPr>
            <w:r w:rsidRPr="000F4D26">
              <w:rPr>
                <w:rFonts w:eastAsia="Times New Roman" w:cs="Arial"/>
                <w:b/>
                <w:bCs/>
                <w:sz w:val="19"/>
                <w:szCs w:val="19"/>
              </w:rPr>
              <w:t>Dec 31, 201</w:t>
            </w:r>
            <w:r w:rsidR="00AA45EA" w:rsidRPr="000F4D26">
              <w:rPr>
                <w:rFonts w:eastAsia="Times New Roman" w:cs="Arial"/>
                <w:b/>
                <w:bCs/>
                <w:sz w:val="19"/>
                <w:szCs w:val="19"/>
              </w:rPr>
              <w:t>6</w:t>
            </w:r>
          </w:p>
        </w:tc>
      </w:tr>
      <w:tr w:rsidR="009702B0" w:rsidRPr="000F4D26" w14:paraId="4433465F" w14:textId="77777777" w:rsidTr="009702B0">
        <w:trPr>
          <w:trHeight w:hRule="exact" w:val="284"/>
        </w:trPr>
        <w:tc>
          <w:tcPr>
            <w:tcW w:w="1843" w:type="pct"/>
            <w:shd w:val="clear" w:color="auto" w:fill="auto"/>
            <w:vAlign w:val="bottom"/>
          </w:tcPr>
          <w:p w14:paraId="37833CC4" w14:textId="77777777" w:rsidR="009702B0" w:rsidRPr="000F4D26" w:rsidRDefault="009702B0" w:rsidP="009702B0">
            <w:pPr>
              <w:tabs>
                <w:tab w:val="left" w:pos="-720"/>
              </w:tabs>
              <w:suppressAutoHyphens/>
              <w:spacing w:after="0" w:line="240" w:lineRule="auto"/>
              <w:ind w:right="-5"/>
              <w:rPr>
                <w:rFonts w:asciiTheme="minorHAnsi" w:eastAsia="Times New Roman" w:hAnsiTheme="minorHAnsi" w:cs="Arial"/>
                <w:b/>
                <w:sz w:val="19"/>
                <w:szCs w:val="19"/>
              </w:rPr>
            </w:pPr>
            <w:r w:rsidRPr="000F4D26">
              <w:rPr>
                <w:rFonts w:asciiTheme="minorHAnsi" w:eastAsia="Times New Roman" w:hAnsiTheme="minorHAnsi" w:cs="Arial"/>
                <w:b/>
                <w:sz w:val="19"/>
                <w:szCs w:val="19"/>
              </w:rPr>
              <w:t>Assets</w:t>
            </w:r>
          </w:p>
        </w:tc>
        <w:tc>
          <w:tcPr>
            <w:tcW w:w="789" w:type="pct"/>
            <w:shd w:val="clear" w:color="auto" w:fill="auto"/>
            <w:vAlign w:val="bottom"/>
          </w:tcPr>
          <w:p w14:paraId="40BEF17C" w14:textId="77777777" w:rsidR="009702B0" w:rsidRPr="00796B24" w:rsidRDefault="009702B0" w:rsidP="009702B0">
            <w:pPr>
              <w:tabs>
                <w:tab w:val="left" w:pos="-720"/>
              </w:tabs>
              <w:suppressAutoHyphens/>
              <w:spacing w:after="0" w:line="240" w:lineRule="auto"/>
              <w:ind w:right="-5"/>
              <w:jc w:val="right"/>
              <w:rPr>
                <w:rFonts w:asciiTheme="minorHAnsi" w:eastAsia="Times New Roman" w:hAnsiTheme="minorHAnsi" w:cs="Arial"/>
                <w:sz w:val="19"/>
                <w:szCs w:val="19"/>
                <w:lang w:val="hr-HR"/>
              </w:rPr>
            </w:pPr>
          </w:p>
        </w:tc>
        <w:tc>
          <w:tcPr>
            <w:tcW w:w="790" w:type="pct"/>
            <w:shd w:val="clear" w:color="auto" w:fill="auto"/>
            <w:vAlign w:val="bottom"/>
          </w:tcPr>
          <w:p w14:paraId="78430A6B" w14:textId="77777777" w:rsidR="009702B0" w:rsidRPr="000F4D26" w:rsidRDefault="009702B0" w:rsidP="009702B0">
            <w:pPr>
              <w:tabs>
                <w:tab w:val="left" w:pos="-720"/>
              </w:tabs>
              <w:suppressAutoHyphens/>
              <w:spacing w:after="0" w:line="240" w:lineRule="auto"/>
              <w:ind w:right="-5"/>
              <w:jc w:val="right"/>
              <w:rPr>
                <w:rFonts w:asciiTheme="minorHAnsi" w:eastAsia="Times New Roman" w:hAnsiTheme="minorHAnsi" w:cs="Arial"/>
                <w:sz w:val="19"/>
                <w:szCs w:val="19"/>
                <w:lang w:val="hr-HR"/>
              </w:rPr>
            </w:pPr>
          </w:p>
        </w:tc>
        <w:tc>
          <w:tcPr>
            <w:tcW w:w="789" w:type="pct"/>
            <w:shd w:val="clear" w:color="auto" w:fill="auto"/>
            <w:vAlign w:val="bottom"/>
          </w:tcPr>
          <w:p w14:paraId="3EF3AC0C" w14:textId="77777777" w:rsidR="009702B0" w:rsidRPr="000F4D26" w:rsidRDefault="009702B0" w:rsidP="009702B0">
            <w:pPr>
              <w:tabs>
                <w:tab w:val="left" w:pos="-720"/>
              </w:tabs>
              <w:suppressAutoHyphens/>
              <w:spacing w:after="0" w:line="240" w:lineRule="auto"/>
              <w:ind w:right="-5"/>
              <w:jc w:val="right"/>
              <w:rPr>
                <w:rFonts w:asciiTheme="minorHAnsi" w:eastAsia="Times New Roman" w:hAnsiTheme="minorHAnsi" w:cs="Arial"/>
                <w:sz w:val="19"/>
                <w:szCs w:val="19"/>
                <w:lang w:val="hr-HR"/>
              </w:rPr>
            </w:pPr>
          </w:p>
        </w:tc>
        <w:tc>
          <w:tcPr>
            <w:tcW w:w="789" w:type="pct"/>
            <w:shd w:val="clear" w:color="auto" w:fill="auto"/>
            <w:vAlign w:val="bottom"/>
          </w:tcPr>
          <w:p w14:paraId="251C27E5" w14:textId="77777777" w:rsidR="009702B0" w:rsidRPr="000F4D26" w:rsidRDefault="009702B0" w:rsidP="009702B0">
            <w:pPr>
              <w:tabs>
                <w:tab w:val="left" w:pos="-720"/>
              </w:tabs>
              <w:suppressAutoHyphens/>
              <w:spacing w:after="0" w:line="240" w:lineRule="auto"/>
              <w:ind w:right="-5"/>
              <w:jc w:val="right"/>
              <w:rPr>
                <w:rFonts w:asciiTheme="minorHAnsi" w:eastAsia="Times New Roman" w:hAnsiTheme="minorHAnsi" w:cs="Arial"/>
                <w:sz w:val="19"/>
                <w:szCs w:val="19"/>
                <w:lang w:val="hr-HR"/>
              </w:rPr>
            </w:pPr>
          </w:p>
        </w:tc>
      </w:tr>
      <w:tr w:rsidR="009702B0" w:rsidRPr="000F4D26" w14:paraId="20F40EBF" w14:textId="77777777" w:rsidTr="009702B0">
        <w:trPr>
          <w:trHeight w:hRule="exact" w:val="284"/>
        </w:trPr>
        <w:tc>
          <w:tcPr>
            <w:tcW w:w="1843" w:type="pct"/>
            <w:shd w:val="clear" w:color="auto" w:fill="auto"/>
            <w:vAlign w:val="bottom"/>
          </w:tcPr>
          <w:p w14:paraId="7E1F7D9B" w14:textId="77777777" w:rsidR="009702B0" w:rsidRPr="000F4D26" w:rsidRDefault="009702B0" w:rsidP="009702B0">
            <w:pPr>
              <w:tabs>
                <w:tab w:val="left" w:pos="-720"/>
              </w:tabs>
              <w:suppressAutoHyphens/>
              <w:spacing w:after="0" w:line="240" w:lineRule="auto"/>
              <w:ind w:right="-5"/>
              <w:rPr>
                <w:rFonts w:asciiTheme="minorHAnsi" w:eastAsia="Times New Roman" w:hAnsiTheme="minorHAnsi" w:cs="Arial"/>
                <w:b/>
                <w:sz w:val="19"/>
                <w:szCs w:val="19"/>
              </w:rPr>
            </w:pPr>
          </w:p>
        </w:tc>
        <w:tc>
          <w:tcPr>
            <w:tcW w:w="789" w:type="pct"/>
            <w:shd w:val="clear" w:color="auto" w:fill="auto"/>
            <w:vAlign w:val="bottom"/>
          </w:tcPr>
          <w:p w14:paraId="19228E02" w14:textId="77777777" w:rsidR="009702B0" w:rsidRPr="00796B24" w:rsidRDefault="009702B0" w:rsidP="009702B0">
            <w:pPr>
              <w:tabs>
                <w:tab w:val="left" w:pos="-720"/>
              </w:tabs>
              <w:suppressAutoHyphens/>
              <w:spacing w:after="0" w:line="240" w:lineRule="auto"/>
              <w:ind w:right="-5"/>
              <w:jc w:val="right"/>
              <w:rPr>
                <w:rFonts w:asciiTheme="minorHAnsi" w:eastAsia="Times New Roman" w:hAnsiTheme="minorHAnsi" w:cs="Arial"/>
                <w:sz w:val="19"/>
                <w:szCs w:val="19"/>
                <w:lang w:val="hr-HR"/>
              </w:rPr>
            </w:pPr>
          </w:p>
        </w:tc>
        <w:tc>
          <w:tcPr>
            <w:tcW w:w="790" w:type="pct"/>
            <w:shd w:val="clear" w:color="auto" w:fill="auto"/>
            <w:vAlign w:val="bottom"/>
          </w:tcPr>
          <w:p w14:paraId="5DAEAF60" w14:textId="77777777" w:rsidR="009702B0" w:rsidRPr="000F4D26" w:rsidRDefault="009702B0" w:rsidP="009702B0">
            <w:pPr>
              <w:tabs>
                <w:tab w:val="left" w:pos="-720"/>
              </w:tabs>
              <w:suppressAutoHyphens/>
              <w:spacing w:after="0" w:line="240" w:lineRule="auto"/>
              <w:ind w:right="-5"/>
              <w:jc w:val="right"/>
              <w:rPr>
                <w:rFonts w:asciiTheme="minorHAnsi" w:eastAsia="Times New Roman" w:hAnsiTheme="minorHAnsi" w:cs="Arial"/>
                <w:sz w:val="19"/>
                <w:szCs w:val="19"/>
                <w:lang w:val="hr-HR"/>
              </w:rPr>
            </w:pPr>
          </w:p>
        </w:tc>
        <w:tc>
          <w:tcPr>
            <w:tcW w:w="789" w:type="pct"/>
            <w:shd w:val="clear" w:color="auto" w:fill="auto"/>
            <w:vAlign w:val="bottom"/>
          </w:tcPr>
          <w:p w14:paraId="118AEF1D" w14:textId="77777777" w:rsidR="009702B0" w:rsidRPr="000F4D26" w:rsidRDefault="009702B0" w:rsidP="009702B0">
            <w:pPr>
              <w:tabs>
                <w:tab w:val="left" w:pos="-720"/>
              </w:tabs>
              <w:suppressAutoHyphens/>
              <w:spacing w:after="0" w:line="240" w:lineRule="auto"/>
              <w:ind w:right="-5"/>
              <w:jc w:val="right"/>
              <w:rPr>
                <w:rFonts w:asciiTheme="minorHAnsi" w:eastAsia="Times New Roman" w:hAnsiTheme="minorHAnsi" w:cs="Arial"/>
                <w:sz w:val="19"/>
                <w:szCs w:val="19"/>
                <w:lang w:val="hr-HR"/>
              </w:rPr>
            </w:pPr>
          </w:p>
        </w:tc>
        <w:tc>
          <w:tcPr>
            <w:tcW w:w="789" w:type="pct"/>
            <w:shd w:val="clear" w:color="auto" w:fill="auto"/>
            <w:vAlign w:val="bottom"/>
          </w:tcPr>
          <w:p w14:paraId="1A03DAF8" w14:textId="77777777" w:rsidR="009702B0" w:rsidRPr="000F4D26" w:rsidRDefault="009702B0" w:rsidP="009702B0">
            <w:pPr>
              <w:tabs>
                <w:tab w:val="left" w:pos="-720"/>
              </w:tabs>
              <w:suppressAutoHyphens/>
              <w:spacing w:after="0" w:line="240" w:lineRule="auto"/>
              <w:ind w:right="-5"/>
              <w:jc w:val="right"/>
              <w:rPr>
                <w:rFonts w:asciiTheme="minorHAnsi" w:eastAsia="Times New Roman" w:hAnsiTheme="minorHAnsi" w:cs="Arial"/>
                <w:sz w:val="19"/>
                <w:szCs w:val="19"/>
                <w:lang w:val="hr-HR"/>
              </w:rPr>
            </w:pPr>
          </w:p>
        </w:tc>
      </w:tr>
      <w:tr w:rsidR="00C835B0" w:rsidRPr="000F4D26" w14:paraId="5544EBCE" w14:textId="77777777" w:rsidTr="005444AA">
        <w:trPr>
          <w:trHeight w:hRule="exact" w:val="284"/>
        </w:trPr>
        <w:tc>
          <w:tcPr>
            <w:tcW w:w="1843" w:type="pct"/>
            <w:shd w:val="clear" w:color="auto" w:fill="auto"/>
            <w:vAlign w:val="bottom"/>
          </w:tcPr>
          <w:p w14:paraId="4DE68722" w14:textId="77777777" w:rsidR="00C835B0" w:rsidRPr="000F4D26" w:rsidRDefault="00C835B0" w:rsidP="00C835B0">
            <w:pPr>
              <w:tabs>
                <w:tab w:val="left" w:pos="-720"/>
              </w:tabs>
              <w:suppressAutoHyphens/>
              <w:spacing w:after="0" w:line="240" w:lineRule="auto"/>
              <w:ind w:right="-5"/>
              <w:rPr>
                <w:rFonts w:asciiTheme="minorHAnsi" w:eastAsia="Times New Roman" w:hAnsiTheme="minorHAnsi" w:cs="Arial"/>
                <w:sz w:val="19"/>
                <w:szCs w:val="19"/>
              </w:rPr>
            </w:pPr>
            <w:r w:rsidRPr="000F4D26">
              <w:rPr>
                <w:rFonts w:asciiTheme="minorHAnsi" w:eastAsia="Times New Roman" w:hAnsiTheme="minorHAnsi" w:cs="Arial"/>
                <w:sz w:val="19"/>
                <w:szCs w:val="19"/>
              </w:rPr>
              <w:t>Fixed interest rate assets</w:t>
            </w:r>
          </w:p>
        </w:tc>
        <w:tc>
          <w:tcPr>
            <w:tcW w:w="789" w:type="pct"/>
            <w:tcBorders>
              <w:top w:val="nil"/>
              <w:left w:val="nil"/>
              <w:bottom w:val="nil"/>
              <w:right w:val="nil"/>
            </w:tcBorders>
            <w:shd w:val="clear" w:color="auto" w:fill="auto"/>
            <w:vAlign w:val="bottom"/>
          </w:tcPr>
          <w:p w14:paraId="1FDB03B6" w14:textId="49C52834" w:rsidR="00C835B0" w:rsidRPr="005444AA" w:rsidRDefault="00C835B0" w:rsidP="00C835B0">
            <w:pPr>
              <w:tabs>
                <w:tab w:val="left" w:pos="-720"/>
              </w:tabs>
              <w:suppressAutoHyphens/>
              <w:spacing w:after="0" w:line="240" w:lineRule="auto"/>
              <w:ind w:right="-5"/>
              <w:jc w:val="right"/>
              <w:rPr>
                <w:rFonts w:cs="Arial"/>
                <w:sz w:val="19"/>
                <w:szCs w:val="19"/>
              </w:rPr>
            </w:pPr>
            <w:r w:rsidRPr="00FE65B6">
              <w:rPr>
                <w:rFonts w:cs="Arial"/>
                <w:sz w:val="19"/>
                <w:szCs w:val="19"/>
              </w:rPr>
              <w:t>25</w:t>
            </w:r>
            <w:r>
              <w:rPr>
                <w:rFonts w:cs="Arial"/>
                <w:sz w:val="19"/>
                <w:szCs w:val="19"/>
              </w:rPr>
              <w:t>,</w:t>
            </w:r>
            <w:r w:rsidRPr="00FE65B6">
              <w:rPr>
                <w:rFonts w:cs="Arial"/>
                <w:sz w:val="19"/>
                <w:szCs w:val="19"/>
              </w:rPr>
              <w:t>098</w:t>
            </w:r>
            <w:r>
              <w:rPr>
                <w:rFonts w:cs="Arial"/>
                <w:sz w:val="19"/>
                <w:szCs w:val="19"/>
              </w:rPr>
              <w:t>,</w:t>
            </w:r>
            <w:r w:rsidRPr="00FE65B6">
              <w:rPr>
                <w:rFonts w:cs="Arial"/>
                <w:sz w:val="19"/>
                <w:szCs w:val="19"/>
              </w:rPr>
              <w:t>785</w:t>
            </w:r>
          </w:p>
        </w:tc>
        <w:tc>
          <w:tcPr>
            <w:tcW w:w="790" w:type="pct"/>
            <w:tcBorders>
              <w:top w:val="nil"/>
              <w:left w:val="nil"/>
              <w:bottom w:val="nil"/>
              <w:right w:val="nil"/>
            </w:tcBorders>
            <w:shd w:val="clear" w:color="auto" w:fill="auto"/>
            <w:vAlign w:val="bottom"/>
          </w:tcPr>
          <w:p w14:paraId="302A2739" w14:textId="77777777" w:rsidR="00C835B0" w:rsidRPr="000F4D26" w:rsidRDefault="00C835B0" w:rsidP="00C835B0">
            <w:pPr>
              <w:tabs>
                <w:tab w:val="left" w:pos="-720"/>
              </w:tabs>
              <w:suppressAutoHyphens/>
              <w:spacing w:after="0" w:line="240" w:lineRule="auto"/>
              <w:ind w:right="-5"/>
              <w:jc w:val="right"/>
              <w:rPr>
                <w:rFonts w:eastAsia="Times New Roman" w:cs="Arial"/>
                <w:sz w:val="19"/>
                <w:szCs w:val="19"/>
              </w:rPr>
            </w:pPr>
            <w:r w:rsidRPr="00166751">
              <w:rPr>
                <w:rFonts w:cs="Arial"/>
                <w:sz w:val="19"/>
                <w:szCs w:val="19"/>
              </w:rPr>
              <w:t>23,991,858</w:t>
            </w:r>
          </w:p>
        </w:tc>
        <w:tc>
          <w:tcPr>
            <w:tcW w:w="789" w:type="pct"/>
            <w:tcBorders>
              <w:top w:val="nil"/>
              <w:left w:val="nil"/>
              <w:bottom w:val="nil"/>
              <w:right w:val="nil"/>
            </w:tcBorders>
            <w:shd w:val="clear" w:color="auto" w:fill="auto"/>
            <w:vAlign w:val="bottom"/>
          </w:tcPr>
          <w:p w14:paraId="5C2F81D5" w14:textId="42CD9339" w:rsidR="00C835B0" w:rsidRPr="005444AA" w:rsidRDefault="00C835B0" w:rsidP="00C835B0">
            <w:pPr>
              <w:tabs>
                <w:tab w:val="left" w:pos="-720"/>
              </w:tabs>
              <w:suppressAutoHyphens/>
              <w:spacing w:after="0" w:line="240" w:lineRule="auto"/>
              <w:ind w:right="-5"/>
              <w:jc w:val="right"/>
              <w:rPr>
                <w:bCs/>
                <w:color w:val="000000"/>
                <w:sz w:val="19"/>
                <w:szCs w:val="19"/>
              </w:rPr>
            </w:pPr>
            <w:r w:rsidRPr="00FE65B6">
              <w:rPr>
                <w:bCs/>
                <w:color w:val="000000"/>
                <w:sz w:val="19"/>
                <w:szCs w:val="19"/>
              </w:rPr>
              <w:t>25</w:t>
            </w:r>
            <w:r>
              <w:rPr>
                <w:bCs/>
                <w:color w:val="000000"/>
                <w:sz w:val="19"/>
                <w:szCs w:val="19"/>
              </w:rPr>
              <w:t>,</w:t>
            </w:r>
            <w:r w:rsidRPr="00FE65B6">
              <w:rPr>
                <w:bCs/>
                <w:color w:val="000000"/>
                <w:sz w:val="19"/>
                <w:szCs w:val="19"/>
              </w:rPr>
              <w:t>046</w:t>
            </w:r>
            <w:r>
              <w:rPr>
                <w:bCs/>
                <w:color w:val="000000"/>
                <w:sz w:val="19"/>
                <w:szCs w:val="19"/>
              </w:rPr>
              <w:t>,</w:t>
            </w:r>
            <w:r w:rsidRPr="00FE65B6">
              <w:rPr>
                <w:bCs/>
                <w:color w:val="000000"/>
                <w:sz w:val="19"/>
                <w:szCs w:val="19"/>
              </w:rPr>
              <w:t>562</w:t>
            </w:r>
          </w:p>
        </w:tc>
        <w:tc>
          <w:tcPr>
            <w:tcW w:w="789" w:type="pct"/>
            <w:tcBorders>
              <w:top w:val="nil"/>
              <w:left w:val="nil"/>
              <w:bottom w:val="nil"/>
              <w:right w:val="nil"/>
            </w:tcBorders>
            <w:shd w:val="clear" w:color="auto" w:fill="auto"/>
            <w:vAlign w:val="bottom"/>
          </w:tcPr>
          <w:p w14:paraId="2594B733" w14:textId="77777777" w:rsidR="00C835B0" w:rsidRPr="000F4D26" w:rsidRDefault="00C835B0" w:rsidP="00C835B0">
            <w:pPr>
              <w:tabs>
                <w:tab w:val="left" w:pos="-720"/>
              </w:tabs>
              <w:suppressAutoHyphens/>
              <w:spacing w:after="0" w:line="240" w:lineRule="auto"/>
              <w:ind w:right="-5"/>
              <w:jc w:val="right"/>
              <w:rPr>
                <w:rFonts w:eastAsia="Times New Roman" w:cs="Arial"/>
                <w:sz w:val="19"/>
                <w:szCs w:val="19"/>
              </w:rPr>
            </w:pPr>
            <w:r w:rsidRPr="00166751">
              <w:rPr>
                <w:bCs/>
                <w:color w:val="000000"/>
                <w:sz w:val="19"/>
                <w:szCs w:val="19"/>
              </w:rPr>
              <w:t>23,944,355</w:t>
            </w:r>
          </w:p>
        </w:tc>
      </w:tr>
      <w:tr w:rsidR="00C835B0" w:rsidRPr="000F4D26" w14:paraId="7A5BA648" w14:textId="77777777" w:rsidTr="005444AA">
        <w:trPr>
          <w:trHeight w:hRule="exact" w:val="284"/>
        </w:trPr>
        <w:tc>
          <w:tcPr>
            <w:tcW w:w="1843" w:type="pct"/>
            <w:shd w:val="clear" w:color="auto" w:fill="auto"/>
            <w:vAlign w:val="bottom"/>
          </w:tcPr>
          <w:p w14:paraId="5017143A" w14:textId="77777777" w:rsidR="00C835B0" w:rsidRPr="000F4D26" w:rsidRDefault="00C835B0" w:rsidP="00C835B0">
            <w:pPr>
              <w:tabs>
                <w:tab w:val="left" w:pos="-720"/>
              </w:tabs>
              <w:suppressAutoHyphens/>
              <w:spacing w:after="0" w:line="240" w:lineRule="exact"/>
              <w:ind w:right="-6"/>
              <w:rPr>
                <w:rFonts w:asciiTheme="minorHAnsi" w:eastAsia="Times New Roman" w:hAnsiTheme="minorHAnsi" w:cs="Arial"/>
                <w:sz w:val="19"/>
                <w:szCs w:val="19"/>
              </w:rPr>
            </w:pPr>
            <w:r w:rsidRPr="000F4D26">
              <w:rPr>
                <w:rFonts w:asciiTheme="minorHAnsi" w:eastAsia="Times New Roman" w:hAnsiTheme="minorHAnsi" w:cs="Arial"/>
                <w:sz w:val="19"/>
                <w:szCs w:val="19"/>
              </w:rPr>
              <w:t>Variable interest rate assets</w:t>
            </w:r>
          </w:p>
        </w:tc>
        <w:tc>
          <w:tcPr>
            <w:tcW w:w="789" w:type="pct"/>
            <w:tcBorders>
              <w:top w:val="nil"/>
              <w:left w:val="nil"/>
              <w:bottom w:val="nil"/>
              <w:right w:val="nil"/>
            </w:tcBorders>
            <w:shd w:val="clear" w:color="auto" w:fill="auto"/>
            <w:vAlign w:val="bottom"/>
          </w:tcPr>
          <w:p w14:paraId="206FDF79" w14:textId="2149BC4C" w:rsidR="00C835B0" w:rsidRPr="005444AA" w:rsidRDefault="00C835B0" w:rsidP="00C835B0">
            <w:pPr>
              <w:tabs>
                <w:tab w:val="left" w:pos="-720"/>
              </w:tabs>
              <w:suppressAutoHyphens/>
              <w:spacing w:after="0" w:line="240" w:lineRule="auto"/>
              <w:ind w:right="-5"/>
              <w:jc w:val="right"/>
              <w:rPr>
                <w:rFonts w:cs="Arial"/>
                <w:sz w:val="19"/>
                <w:szCs w:val="19"/>
              </w:rPr>
            </w:pPr>
            <w:r w:rsidRPr="00FE65B6">
              <w:rPr>
                <w:rFonts w:cs="Arial"/>
                <w:sz w:val="19"/>
                <w:szCs w:val="19"/>
              </w:rPr>
              <w:t>1</w:t>
            </w:r>
            <w:r>
              <w:rPr>
                <w:rFonts w:cs="Arial"/>
                <w:sz w:val="19"/>
                <w:szCs w:val="19"/>
              </w:rPr>
              <w:t>,</w:t>
            </w:r>
            <w:r w:rsidRPr="00FE65B6">
              <w:rPr>
                <w:rFonts w:cs="Arial"/>
                <w:sz w:val="19"/>
                <w:szCs w:val="19"/>
              </w:rPr>
              <w:t>423</w:t>
            </w:r>
            <w:r>
              <w:rPr>
                <w:rFonts w:cs="Arial"/>
                <w:sz w:val="19"/>
                <w:szCs w:val="19"/>
              </w:rPr>
              <w:t>,</w:t>
            </w:r>
            <w:r w:rsidRPr="00FE65B6">
              <w:rPr>
                <w:rFonts w:cs="Arial"/>
                <w:sz w:val="19"/>
                <w:szCs w:val="19"/>
              </w:rPr>
              <w:t>083</w:t>
            </w:r>
          </w:p>
        </w:tc>
        <w:tc>
          <w:tcPr>
            <w:tcW w:w="790" w:type="pct"/>
            <w:tcBorders>
              <w:top w:val="nil"/>
              <w:left w:val="nil"/>
              <w:bottom w:val="nil"/>
              <w:right w:val="nil"/>
            </w:tcBorders>
            <w:shd w:val="clear" w:color="auto" w:fill="auto"/>
            <w:vAlign w:val="bottom"/>
          </w:tcPr>
          <w:p w14:paraId="7EDCD5BB" w14:textId="77777777" w:rsidR="00C835B0" w:rsidRPr="000F4D26" w:rsidRDefault="00C835B0" w:rsidP="00C835B0">
            <w:pPr>
              <w:tabs>
                <w:tab w:val="left" w:pos="-720"/>
              </w:tabs>
              <w:suppressAutoHyphens/>
              <w:spacing w:after="0" w:line="240" w:lineRule="auto"/>
              <w:ind w:right="-5"/>
              <w:jc w:val="right"/>
              <w:rPr>
                <w:rFonts w:eastAsia="Times New Roman" w:cs="Arial"/>
                <w:sz w:val="19"/>
                <w:szCs w:val="19"/>
              </w:rPr>
            </w:pPr>
            <w:r w:rsidRPr="00166751">
              <w:rPr>
                <w:rFonts w:cs="Arial"/>
                <w:sz w:val="19"/>
                <w:szCs w:val="19"/>
              </w:rPr>
              <w:t>1,769,390</w:t>
            </w:r>
          </w:p>
        </w:tc>
        <w:tc>
          <w:tcPr>
            <w:tcW w:w="789" w:type="pct"/>
            <w:tcBorders>
              <w:top w:val="nil"/>
              <w:left w:val="nil"/>
              <w:bottom w:val="nil"/>
              <w:right w:val="nil"/>
            </w:tcBorders>
            <w:shd w:val="clear" w:color="auto" w:fill="auto"/>
            <w:vAlign w:val="bottom"/>
          </w:tcPr>
          <w:p w14:paraId="790070A6" w14:textId="74CA0B26" w:rsidR="00C835B0" w:rsidRPr="005444AA" w:rsidRDefault="00C835B0" w:rsidP="00C835B0">
            <w:pPr>
              <w:tabs>
                <w:tab w:val="left" w:pos="-720"/>
              </w:tabs>
              <w:suppressAutoHyphens/>
              <w:spacing w:after="0" w:line="240" w:lineRule="auto"/>
              <w:ind w:right="-5"/>
              <w:jc w:val="right"/>
              <w:rPr>
                <w:bCs/>
                <w:color w:val="000000"/>
                <w:sz w:val="19"/>
                <w:szCs w:val="19"/>
              </w:rPr>
            </w:pPr>
            <w:r w:rsidRPr="00FE65B6">
              <w:rPr>
                <w:bCs/>
                <w:color w:val="000000"/>
                <w:sz w:val="19"/>
                <w:szCs w:val="19"/>
              </w:rPr>
              <w:t>1</w:t>
            </w:r>
            <w:r>
              <w:rPr>
                <w:bCs/>
                <w:color w:val="000000"/>
                <w:sz w:val="19"/>
                <w:szCs w:val="19"/>
              </w:rPr>
              <w:t>,</w:t>
            </w:r>
            <w:r w:rsidRPr="00FE65B6">
              <w:rPr>
                <w:bCs/>
                <w:color w:val="000000"/>
                <w:sz w:val="19"/>
                <w:szCs w:val="19"/>
              </w:rPr>
              <w:t>423</w:t>
            </w:r>
            <w:r>
              <w:rPr>
                <w:bCs/>
                <w:color w:val="000000"/>
                <w:sz w:val="19"/>
                <w:szCs w:val="19"/>
              </w:rPr>
              <w:t>,</w:t>
            </w:r>
            <w:r w:rsidRPr="00FE65B6">
              <w:rPr>
                <w:bCs/>
                <w:color w:val="000000"/>
                <w:sz w:val="19"/>
                <w:szCs w:val="19"/>
              </w:rPr>
              <w:t>083</w:t>
            </w:r>
          </w:p>
        </w:tc>
        <w:tc>
          <w:tcPr>
            <w:tcW w:w="789" w:type="pct"/>
            <w:tcBorders>
              <w:top w:val="nil"/>
              <w:left w:val="nil"/>
              <w:bottom w:val="nil"/>
              <w:right w:val="nil"/>
            </w:tcBorders>
            <w:shd w:val="clear" w:color="auto" w:fill="auto"/>
            <w:vAlign w:val="bottom"/>
          </w:tcPr>
          <w:p w14:paraId="20EE8B1D" w14:textId="77777777" w:rsidR="00C835B0" w:rsidRPr="000F4D26" w:rsidRDefault="00C835B0" w:rsidP="00C835B0">
            <w:pPr>
              <w:tabs>
                <w:tab w:val="left" w:pos="-720"/>
              </w:tabs>
              <w:suppressAutoHyphens/>
              <w:spacing w:after="0" w:line="240" w:lineRule="auto"/>
              <w:ind w:right="-5"/>
              <w:jc w:val="right"/>
              <w:rPr>
                <w:rFonts w:eastAsia="Times New Roman" w:cs="Arial"/>
                <w:sz w:val="19"/>
                <w:szCs w:val="19"/>
              </w:rPr>
            </w:pPr>
            <w:r w:rsidRPr="00166751">
              <w:rPr>
                <w:bCs/>
                <w:color w:val="000000"/>
                <w:sz w:val="19"/>
                <w:szCs w:val="19"/>
              </w:rPr>
              <w:t>1,769,390</w:t>
            </w:r>
          </w:p>
        </w:tc>
      </w:tr>
      <w:tr w:rsidR="00C835B0" w:rsidRPr="000F4D26" w14:paraId="2B07F280" w14:textId="77777777" w:rsidTr="005444AA">
        <w:trPr>
          <w:trHeight w:hRule="exact" w:val="284"/>
        </w:trPr>
        <w:tc>
          <w:tcPr>
            <w:tcW w:w="1843" w:type="pct"/>
            <w:shd w:val="clear" w:color="auto" w:fill="auto"/>
            <w:vAlign w:val="bottom"/>
          </w:tcPr>
          <w:p w14:paraId="290714B0" w14:textId="77777777" w:rsidR="00C835B0" w:rsidRPr="000F4D26" w:rsidRDefault="00C835B0" w:rsidP="00C835B0">
            <w:pPr>
              <w:tabs>
                <w:tab w:val="left" w:pos="-720"/>
              </w:tabs>
              <w:suppressAutoHyphens/>
              <w:spacing w:after="0" w:line="240" w:lineRule="exact"/>
              <w:ind w:right="-6"/>
              <w:rPr>
                <w:rFonts w:asciiTheme="minorHAnsi" w:eastAsia="Times New Roman" w:hAnsiTheme="minorHAnsi" w:cs="Arial"/>
                <w:sz w:val="19"/>
                <w:szCs w:val="19"/>
              </w:rPr>
            </w:pPr>
            <w:r w:rsidRPr="000F4D26">
              <w:rPr>
                <w:rFonts w:asciiTheme="minorHAnsi" w:eastAsia="Times New Roman" w:hAnsiTheme="minorHAnsi" w:cs="Arial"/>
                <w:sz w:val="19"/>
                <w:szCs w:val="19"/>
              </w:rPr>
              <w:t>Non-interest bearing</w:t>
            </w:r>
          </w:p>
        </w:tc>
        <w:tc>
          <w:tcPr>
            <w:tcW w:w="789" w:type="pct"/>
            <w:tcBorders>
              <w:top w:val="nil"/>
              <w:left w:val="nil"/>
              <w:bottom w:val="nil"/>
              <w:right w:val="nil"/>
            </w:tcBorders>
            <w:shd w:val="clear" w:color="auto" w:fill="auto"/>
            <w:vAlign w:val="bottom"/>
          </w:tcPr>
          <w:p w14:paraId="0FB17995" w14:textId="4EE32F6F" w:rsidR="00C835B0" w:rsidRPr="005444AA" w:rsidRDefault="00C835B0" w:rsidP="00C835B0">
            <w:pPr>
              <w:tabs>
                <w:tab w:val="left" w:pos="-720"/>
              </w:tabs>
              <w:suppressAutoHyphens/>
              <w:spacing w:after="0" w:line="240" w:lineRule="auto"/>
              <w:ind w:right="-5"/>
              <w:jc w:val="right"/>
              <w:rPr>
                <w:rFonts w:cs="Arial"/>
                <w:sz w:val="19"/>
                <w:szCs w:val="19"/>
              </w:rPr>
            </w:pPr>
            <w:r w:rsidRPr="00FE65B6">
              <w:rPr>
                <w:rFonts w:cs="Arial"/>
                <w:sz w:val="19"/>
                <w:szCs w:val="19"/>
              </w:rPr>
              <w:t>1</w:t>
            </w:r>
            <w:r>
              <w:rPr>
                <w:rFonts w:cs="Arial"/>
                <w:sz w:val="19"/>
                <w:szCs w:val="19"/>
              </w:rPr>
              <w:t>,</w:t>
            </w:r>
            <w:r w:rsidRPr="00FE65B6">
              <w:rPr>
                <w:rFonts w:cs="Arial"/>
                <w:sz w:val="19"/>
                <w:szCs w:val="19"/>
              </w:rPr>
              <w:t>778</w:t>
            </w:r>
            <w:r>
              <w:rPr>
                <w:rFonts w:cs="Arial"/>
                <w:sz w:val="19"/>
                <w:szCs w:val="19"/>
              </w:rPr>
              <w:t>,</w:t>
            </w:r>
            <w:r w:rsidRPr="00FE65B6">
              <w:rPr>
                <w:rFonts w:cs="Arial"/>
                <w:sz w:val="19"/>
                <w:szCs w:val="19"/>
              </w:rPr>
              <w:t>856</w:t>
            </w:r>
          </w:p>
        </w:tc>
        <w:tc>
          <w:tcPr>
            <w:tcW w:w="790" w:type="pct"/>
            <w:tcBorders>
              <w:top w:val="nil"/>
              <w:left w:val="nil"/>
              <w:bottom w:val="single" w:sz="4" w:space="0" w:color="auto"/>
              <w:right w:val="nil"/>
            </w:tcBorders>
            <w:shd w:val="clear" w:color="auto" w:fill="auto"/>
            <w:vAlign w:val="bottom"/>
          </w:tcPr>
          <w:p w14:paraId="26921435" w14:textId="77777777" w:rsidR="00C835B0" w:rsidRPr="000F4D26" w:rsidRDefault="00C835B0" w:rsidP="00C835B0">
            <w:pPr>
              <w:tabs>
                <w:tab w:val="left" w:pos="-720"/>
              </w:tabs>
              <w:suppressAutoHyphens/>
              <w:spacing w:after="0" w:line="240" w:lineRule="auto"/>
              <w:ind w:right="-5"/>
              <w:jc w:val="right"/>
              <w:rPr>
                <w:rFonts w:eastAsia="Times New Roman" w:cs="Arial"/>
                <w:sz w:val="19"/>
                <w:szCs w:val="19"/>
              </w:rPr>
            </w:pPr>
            <w:r w:rsidRPr="00166751">
              <w:rPr>
                <w:rFonts w:cs="Arial"/>
                <w:sz w:val="19"/>
                <w:szCs w:val="19"/>
              </w:rPr>
              <w:t>1,629,574</w:t>
            </w:r>
          </w:p>
        </w:tc>
        <w:tc>
          <w:tcPr>
            <w:tcW w:w="789" w:type="pct"/>
            <w:tcBorders>
              <w:top w:val="nil"/>
              <w:left w:val="nil"/>
              <w:bottom w:val="nil"/>
              <w:right w:val="nil"/>
            </w:tcBorders>
            <w:shd w:val="clear" w:color="auto" w:fill="auto"/>
            <w:vAlign w:val="bottom"/>
          </w:tcPr>
          <w:p w14:paraId="4D1E0F3E" w14:textId="0ADCB4BA" w:rsidR="00C835B0" w:rsidRPr="005444AA" w:rsidRDefault="00C835B0" w:rsidP="00C835B0">
            <w:pPr>
              <w:tabs>
                <w:tab w:val="left" w:pos="-720"/>
              </w:tabs>
              <w:suppressAutoHyphens/>
              <w:spacing w:after="0" w:line="240" w:lineRule="auto"/>
              <w:ind w:right="-5"/>
              <w:jc w:val="right"/>
              <w:rPr>
                <w:bCs/>
                <w:color w:val="000000"/>
                <w:sz w:val="19"/>
                <w:szCs w:val="19"/>
              </w:rPr>
            </w:pPr>
            <w:r w:rsidRPr="00FE65B6">
              <w:rPr>
                <w:bCs/>
                <w:color w:val="000000"/>
                <w:sz w:val="19"/>
                <w:szCs w:val="19"/>
              </w:rPr>
              <w:t>1</w:t>
            </w:r>
            <w:r>
              <w:rPr>
                <w:bCs/>
                <w:color w:val="000000"/>
                <w:sz w:val="19"/>
                <w:szCs w:val="19"/>
              </w:rPr>
              <w:t>,</w:t>
            </w:r>
            <w:r w:rsidRPr="00FE65B6">
              <w:rPr>
                <w:bCs/>
                <w:color w:val="000000"/>
                <w:sz w:val="19"/>
                <w:szCs w:val="19"/>
              </w:rPr>
              <w:t>811</w:t>
            </w:r>
            <w:r>
              <w:rPr>
                <w:bCs/>
                <w:color w:val="000000"/>
                <w:sz w:val="19"/>
                <w:szCs w:val="19"/>
              </w:rPr>
              <w:t>,</w:t>
            </w:r>
            <w:r w:rsidRPr="00FE65B6">
              <w:rPr>
                <w:bCs/>
                <w:color w:val="000000"/>
                <w:sz w:val="19"/>
                <w:szCs w:val="19"/>
              </w:rPr>
              <w:t>950</w:t>
            </w:r>
          </w:p>
        </w:tc>
        <w:tc>
          <w:tcPr>
            <w:tcW w:w="789" w:type="pct"/>
            <w:tcBorders>
              <w:top w:val="nil"/>
              <w:left w:val="nil"/>
              <w:bottom w:val="single" w:sz="4" w:space="0" w:color="auto"/>
              <w:right w:val="nil"/>
            </w:tcBorders>
            <w:shd w:val="clear" w:color="auto" w:fill="auto"/>
            <w:vAlign w:val="bottom"/>
          </w:tcPr>
          <w:p w14:paraId="153B9D23" w14:textId="77777777" w:rsidR="00C835B0" w:rsidRPr="000F4D26" w:rsidRDefault="00C835B0" w:rsidP="00C835B0">
            <w:pPr>
              <w:tabs>
                <w:tab w:val="left" w:pos="-720"/>
              </w:tabs>
              <w:suppressAutoHyphens/>
              <w:spacing w:after="0" w:line="240" w:lineRule="auto"/>
              <w:ind w:right="-5"/>
              <w:jc w:val="right"/>
              <w:rPr>
                <w:rFonts w:eastAsia="Times New Roman" w:cs="Arial"/>
                <w:sz w:val="19"/>
                <w:szCs w:val="19"/>
              </w:rPr>
            </w:pPr>
            <w:r w:rsidRPr="00166751">
              <w:rPr>
                <w:bCs/>
                <w:color w:val="000000"/>
                <w:sz w:val="19"/>
                <w:szCs w:val="19"/>
              </w:rPr>
              <w:t>1,661,171</w:t>
            </w:r>
          </w:p>
        </w:tc>
      </w:tr>
      <w:tr w:rsidR="00403E2B" w:rsidRPr="000F4D26" w14:paraId="260C9E52" w14:textId="77777777" w:rsidTr="00166751">
        <w:trPr>
          <w:trHeight w:hRule="exact" w:val="382"/>
        </w:trPr>
        <w:tc>
          <w:tcPr>
            <w:tcW w:w="1843" w:type="pct"/>
            <w:shd w:val="clear" w:color="auto" w:fill="auto"/>
            <w:vAlign w:val="bottom"/>
          </w:tcPr>
          <w:p w14:paraId="6AEEE779" w14:textId="77777777" w:rsidR="00403E2B" w:rsidRPr="000F4D26" w:rsidRDefault="00403E2B" w:rsidP="00403E2B">
            <w:pPr>
              <w:tabs>
                <w:tab w:val="left" w:pos="-720"/>
              </w:tabs>
              <w:suppressAutoHyphens/>
              <w:spacing w:after="0" w:line="240" w:lineRule="exact"/>
              <w:ind w:right="-6"/>
              <w:rPr>
                <w:rFonts w:asciiTheme="minorHAnsi" w:eastAsia="Times New Roman" w:hAnsiTheme="minorHAnsi" w:cs="Arial"/>
                <w:sz w:val="19"/>
                <w:szCs w:val="19"/>
              </w:rPr>
            </w:pPr>
            <w:r w:rsidRPr="000F4D26">
              <w:rPr>
                <w:rFonts w:asciiTheme="minorHAnsi" w:eastAsia="Times New Roman" w:hAnsiTheme="minorHAnsi" w:cs="Arial"/>
                <w:b/>
                <w:sz w:val="19"/>
                <w:szCs w:val="19"/>
              </w:rPr>
              <w:t>Total assets</w:t>
            </w:r>
          </w:p>
        </w:tc>
        <w:tc>
          <w:tcPr>
            <w:tcW w:w="789" w:type="pct"/>
            <w:tcBorders>
              <w:top w:val="single" w:sz="4" w:space="0" w:color="auto"/>
              <w:left w:val="nil"/>
              <w:bottom w:val="single" w:sz="12" w:space="0" w:color="auto"/>
              <w:right w:val="nil"/>
            </w:tcBorders>
            <w:shd w:val="clear" w:color="auto" w:fill="auto"/>
            <w:vAlign w:val="bottom"/>
          </w:tcPr>
          <w:p w14:paraId="6A32F807" w14:textId="500DF5B2" w:rsidR="00403E2B" w:rsidRPr="00321238" w:rsidRDefault="00C835B0" w:rsidP="00403E2B">
            <w:pPr>
              <w:tabs>
                <w:tab w:val="left" w:pos="-720"/>
              </w:tabs>
              <w:suppressAutoHyphens/>
              <w:spacing w:after="0" w:line="240" w:lineRule="auto"/>
              <w:ind w:right="-5"/>
              <w:jc w:val="right"/>
              <w:rPr>
                <w:rFonts w:eastAsia="Times New Roman" w:cs="Arial"/>
                <w:sz w:val="19"/>
                <w:szCs w:val="19"/>
              </w:rPr>
            </w:pPr>
            <w:r w:rsidRPr="00C835B0">
              <w:rPr>
                <w:rFonts w:cs="Arial"/>
                <w:b/>
                <w:sz w:val="19"/>
                <w:szCs w:val="19"/>
              </w:rPr>
              <w:t>28,300,724</w:t>
            </w:r>
          </w:p>
        </w:tc>
        <w:tc>
          <w:tcPr>
            <w:tcW w:w="790" w:type="pct"/>
            <w:tcBorders>
              <w:top w:val="single" w:sz="4" w:space="0" w:color="auto"/>
              <w:left w:val="nil"/>
              <w:bottom w:val="single" w:sz="12" w:space="0" w:color="auto"/>
              <w:right w:val="nil"/>
            </w:tcBorders>
            <w:shd w:val="clear" w:color="auto" w:fill="auto"/>
            <w:vAlign w:val="bottom"/>
          </w:tcPr>
          <w:p w14:paraId="4062141D" w14:textId="77777777" w:rsidR="00403E2B" w:rsidRPr="000F4D26" w:rsidRDefault="00403E2B" w:rsidP="00403E2B">
            <w:pPr>
              <w:tabs>
                <w:tab w:val="left" w:pos="-720"/>
              </w:tabs>
              <w:suppressAutoHyphens/>
              <w:spacing w:after="0" w:line="240" w:lineRule="auto"/>
              <w:ind w:right="-5"/>
              <w:jc w:val="right"/>
              <w:rPr>
                <w:rFonts w:eastAsia="Times New Roman" w:cs="Arial"/>
                <w:b/>
                <w:sz w:val="19"/>
                <w:szCs w:val="19"/>
              </w:rPr>
            </w:pPr>
            <w:r w:rsidRPr="00166751">
              <w:rPr>
                <w:rFonts w:cs="Arial"/>
                <w:b/>
                <w:sz w:val="19"/>
                <w:szCs w:val="19"/>
              </w:rPr>
              <w:t>27,390,822</w:t>
            </w:r>
          </w:p>
        </w:tc>
        <w:tc>
          <w:tcPr>
            <w:tcW w:w="789" w:type="pct"/>
            <w:tcBorders>
              <w:top w:val="single" w:sz="4" w:space="0" w:color="auto"/>
              <w:left w:val="nil"/>
              <w:bottom w:val="single" w:sz="12" w:space="0" w:color="auto"/>
              <w:right w:val="nil"/>
            </w:tcBorders>
            <w:shd w:val="clear" w:color="auto" w:fill="auto"/>
            <w:vAlign w:val="bottom"/>
          </w:tcPr>
          <w:p w14:paraId="0DAA61C6" w14:textId="42979B5C" w:rsidR="00403E2B" w:rsidRPr="00321238" w:rsidRDefault="00C835B0" w:rsidP="00403E2B">
            <w:pPr>
              <w:tabs>
                <w:tab w:val="left" w:pos="-720"/>
              </w:tabs>
              <w:suppressAutoHyphens/>
              <w:spacing w:after="0" w:line="240" w:lineRule="auto"/>
              <w:ind w:right="-5"/>
              <w:jc w:val="right"/>
              <w:rPr>
                <w:rFonts w:eastAsia="Times New Roman" w:cs="Arial"/>
                <w:sz w:val="19"/>
                <w:szCs w:val="19"/>
              </w:rPr>
            </w:pPr>
            <w:r w:rsidRPr="00C835B0">
              <w:rPr>
                <w:rFonts w:cs="Arial"/>
                <w:b/>
                <w:sz w:val="19"/>
                <w:szCs w:val="19"/>
              </w:rPr>
              <w:t>28,281,595</w:t>
            </w:r>
          </w:p>
        </w:tc>
        <w:tc>
          <w:tcPr>
            <w:tcW w:w="789" w:type="pct"/>
            <w:tcBorders>
              <w:top w:val="single" w:sz="4" w:space="0" w:color="auto"/>
              <w:left w:val="nil"/>
              <w:bottom w:val="single" w:sz="12" w:space="0" w:color="auto"/>
              <w:right w:val="nil"/>
            </w:tcBorders>
            <w:shd w:val="clear" w:color="auto" w:fill="auto"/>
            <w:vAlign w:val="bottom"/>
          </w:tcPr>
          <w:p w14:paraId="5C75961C" w14:textId="77777777" w:rsidR="00403E2B" w:rsidRPr="000F4D26" w:rsidRDefault="00403E2B" w:rsidP="00403E2B">
            <w:pPr>
              <w:tabs>
                <w:tab w:val="left" w:pos="-720"/>
              </w:tabs>
              <w:suppressAutoHyphens/>
              <w:spacing w:after="0" w:line="240" w:lineRule="auto"/>
              <w:ind w:right="-5"/>
              <w:jc w:val="right"/>
              <w:rPr>
                <w:rFonts w:eastAsia="Times New Roman" w:cs="Arial"/>
                <w:b/>
                <w:sz w:val="19"/>
                <w:szCs w:val="19"/>
              </w:rPr>
            </w:pPr>
            <w:r w:rsidRPr="00166751">
              <w:rPr>
                <w:rFonts w:cs="Arial"/>
                <w:b/>
                <w:sz w:val="19"/>
                <w:szCs w:val="19"/>
              </w:rPr>
              <w:t>27,374,916</w:t>
            </w:r>
          </w:p>
        </w:tc>
      </w:tr>
      <w:tr w:rsidR="00403E2B" w:rsidRPr="000F4D26" w14:paraId="75B55C65" w14:textId="77777777" w:rsidTr="009702B0">
        <w:trPr>
          <w:trHeight w:hRule="exact" w:val="382"/>
        </w:trPr>
        <w:tc>
          <w:tcPr>
            <w:tcW w:w="1843" w:type="pct"/>
            <w:shd w:val="clear" w:color="auto" w:fill="auto"/>
            <w:vAlign w:val="bottom"/>
          </w:tcPr>
          <w:p w14:paraId="4D2263B7" w14:textId="77777777" w:rsidR="00403E2B" w:rsidRPr="000F4D26" w:rsidRDefault="00403E2B" w:rsidP="00403E2B">
            <w:pPr>
              <w:tabs>
                <w:tab w:val="left" w:pos="-720"/>
              </w:tabs>
              <w:suppressAutoHyphens/>
              <w:spacing w:after="0" w:line="240" w:lineRule="exact"/>
              <w:ind w:right="-6"/>
              <w:rPr>
                <w:rFonts w:asciiTheme="minorHAnsi" w:eastAsia="Times New Roman" w:hAnsiTheme="minorHAnsi" w:cs="Arial"/>
                <w:b/>
                <w:sz w:val="19"/>
                <w:szCs w:val="19"/>
              </w:rPr>
            </w:pPr>
          </w:p>
        </w:tc>
        <w:tc>
          <w:tcPr>
            <w:tcW w:w="789" w:type="pct"/>
            <w:tcBorders>
              <w:top w:val="single" w:sz="12" w:space="0" w:color="auto"/>
            </w:tcBorders>
            <w:shd w:val="clear" w:color="auto" w:fill="auto"/>
            <w:vAlign w:val="bottom"/>
          </w:tcPr>
          <w:p w14:paraId="3B58389A" w14:textId="77777777" w:rsidR="00403E2B" w:rsidRPr="00796B24" w:rsidRDefault="00403E2B" w:rsidP="00403E2B">
            <w:pPr>
              <w:tabs>
                <w:tab w:val="left" w:pos="-720"/>
              </w:tabs>
              <w:suppressAutoHyphens/>
              <w:spacing w:after="0" w:line="240" w:lineRule="auto"/>
              <w:ind w:right="-5"/>
              <w:jc w:val="right"/>
              <w:rPr>
                <w:rFonts w:eastAsia="Times New Roman" w:cs="Arial"/>
                <w:b/>
                <w:sz w:val="19"/>
                <w:szCs w:val="19"/>
              </w:rPr>
            </w:pPr>
          </w:p>
        </w:tc>
        <w:tc>
          <w:tcPr>
            <w:tcW w:w="790" w:type="pct"/>
            <w:tcBorders>
              <w:top w:val="single" w:sz="12" w:space="0" w:color="auto"/>
            </w:tcBorders>
            <w:shd w:val="clear" w:color="auto" w:fill="auto"/>
            <w:vAlign w:val="bottom"/>
          </w:tcPr>
          <w:p w14:paraId="42802C9C" w14:textId="77777777" w:rsidR="00403E2B" w:rsidRPr="00166751" w:rsidRDefault="00403E2B" w:rsidP="00403E2B">
            <w:pPr>
              <w:tabs>
                <w:tab w:val="left" w:pos="-720"/>
              </w:tabs>
              <w:suppressAutoHyphens/>
              <w:spacing w:after="0" w:line="240" w:lineRule="auto"/>
              <w:ind w:right="-5"/>
              <w:jc w:val="right"/>
              <w:rPr>
                <w:rFonts w:asciiTheme="minorHAnsi" w:eastAsia="Times New Roman" w:hAnsiTheme="minorHAnsi" w:cs="Arial"/>
                <w:b/>
                <w:sz w:val="19"/>
                <w:szCs w:val="19"/>
                <w:lang w:val="hr-HR"/>
              </w:rPr>
            </w:pPr>
          </w:p>
        </w:tc>
        <w:tc>
          <w:tcPr>
            <w:tcW w:w="789" w:type="pct"/>
            <w:tcBorders>
              <w:top w:val="single" w:sz="12" w:space="0" w:color="auto"/>
            </w:tcBorders>
            <w:shd w:val="clear" w:color="auto" w:fill="auto"/>
            <w:vAlign w:val="bottom"/>
          </w:tcPr>
          <w:p w14:paraId="4A3C2D25" w14:textId="77777777" w:rsidR="00403E2B" w:rsidRPr="000F4D26" w:rsidRDefault="00403E2B" w:rsidP="00403E2B">
            <w:pPr>
              <w:tabs>
                <w:tab w:val="left" w:pos="-720"/>
              </w:tabs>
              <w:suppressAutoHyphens/>
              <w:spacing w:after="0" w:line="240" w:lineRule="auto"/>
              <w:ind w:right="-5"/>
              <w:jc w:val="right"/>
              <w:rPr>
                <w:rFonts w:eastAsia="Times New Roman" w:cs="Arial"/>
                <w:b/>
                <w:sz w:val="19"/>
                <w:szCs w:val="19"/>
              </w:rPr>
            </w:pPr>
          </w:p>
        </w:tc>
        <w:tc>
          <w:tcPr>
            <w:tcW w:w="789" w:type="pct"/>
            <w:tcBorders>
              <w:top w:val="single" w:sz="12" w:space="0" w:color="auto"/>
            </w:tcBorders>
            <w:shd w:val="clear" w:color="auto" w:fill="auto"/>
            <w:vAlign w:val="bottom"/>
          </w:tcPr>
          <w:p w14:paraId="019CC16E" w14:textId="77777777" w:rsidR="00403E2B" w:rsidRPr="00166751" w:rsidRDefault="00403E2B" w:rsidP="00403E2B">
            <w:pPr>
              <w:tabs>
                <w:tab w:val="left" w:pos="-720"/>
              </w:tabs>
              <w:suppressAutoHyphens/>
              <w:spacing w:after="0" w:line="240" w:lineRule="auto"/>
              <w:ind w:right="-5"/>
              <w:jc w:val="right"/>
              <w:rPr>
                <w:rFonts w:asciiTheme="minorHAnsi" w:eastAsia="Times New Roman" w:hAnsiTheme="minorHAnsi" w:cs="Arial"/>
                <w:b/>
                <w:sz w:val="19"/>
                <w:szCs w:val="19"/>
                <w:lang w:val="hr-HR"/>
              </w:rPr>
            </w:pPr>
          </w:p>
        </w:tc>
      </w:tr>
      <w:tr w:rsidR="00403E2B" w:rsidRPr="000F4D26" w14:paraId="5A78C647" w14:textId="77777777" w:rsidTr="009702B0">
        <w:trPr>
          <w:trHeight w:hRule="exact" w:val="284"/>
        </w:trPr>
        <w:tc>
          <w:tcPr>
            <w:tcW w:w="1843" w:type="pct"/>
            <w:shd w:val="clear" w:color="auto" w:fill="auto"/>
            <w:vAlign w:val="bottom"/>
          </w:tcPr>
          <w:p w14:paraId="49A67AD0" w14:textId="77777777" w:rsidR="00403E2B" w:rsidRPr="00796B24" w:rsidRDefault="00403E2B" w:rsidP="00403E2B">
            <w:pPr>
              <w:tabs>
                <w:tab w:val="left" w:pos="-720"/>
              </w:tabs>
              <w:suppressAutoHyphens/>
              <w:spacing w:after="0" w:line="240" w:lineRule="exact"/>
              <w:ind w:right="-6"/>
              <w:rPr>
                <w:rFonts w:asciiTheme="minorHAnsi" w:eastAsia="Times New Roman" w:hAnsiTheme="minorHAnsi" w:cs="Arial"/>
                <w:sz w:val="19"/>
                <w:szCs w:val="19"/>
              </w:rPr>
            </w:pPr>
            <w:r w:rsidRPr="000F4D26">
              <w:rPr>
                <w:rFonts w:asciiTheme="minorHAnsi" w:eastAsia="Times New Roman" w:hAnsiTheme="minorHAnsi" w:cs="Arial"/>
                <w:b/>
                <w:sz w:val="19"/>
                <w:szCs w:val="19"/>
              </w:rPr>
              <w:t>Liabilities</w:t>
            </w:r>
          </w:p>
        </w:tc>
        <w:tc>
          <w:tcPr>
            <w:tcW w:w="789" w:type="pct"/>
            <w:shd w:val="clear" w:color="auto" w:fill="auto"/>
            <w:vAlign w:val="bottom"/>
          </w:tcPr>
          <w:p w14:paraId="12C26724" w14:textId="77777777" w:rsidR="00403E2B" w:rsidRPr="000F4D26" w:rsidRDefault="00403E2B" w:rsidP="00403E2B">
            <w:pPr>
              <w:tabs>
                <w:tab w:val="left" w:pos="-720"/>
              </w:tabs>
              <w:suppressAutoHyphens/>
              <w:spacing w:after="0" w:line="240" w:lineRule="auto"/>
              <w:ind w:right="-5"/>
              <w:jc w:val="right"/>
              <w:rPr>
                <w:rFonts w:eastAsia="Times New Roman" w:cs="Arial"/>
                <w:sz w:val="19"/>
                <w:szCs w:val="19"/>
              </w:rPr>
            </w:pPr>
          </w:p>
        </w:tc>
        <w:tc>
          <w:tcPr>
            <w:tcW w:w="790" w:type="pct"/>
            <w:shd w:val="clear" w:color="auto" w:fill="auto"/>
            <w:vAlign w:val="bottom"/>
          </w:tcPr>
          <w:p w14:paraId="46FB80EE" w14:textId="77777777" w:rsidR="00403E2B" w:rsidRPr="00166751" w:rsidRDefault="00403E2B" w:rsidP="00403E2B">
            <w:pPr>
              <w:tabs>
                <w:tab w:val="left" w:pos="-720"/>
              </w:tabs>
              <w:suppressAutoHyphens/>
              <w:spacing w:after="0" w:line="240" w:lineRule="auto"/>
              <w:ind w:right="-5"/>
              <w:jc w:val="right"/>
              <w:rPr>
                <w:rFonts w:asciiTheme="minorHAnsi" w:eastAsia="Times New Roman" w:hAnsiTheme="minorHAnsi" w:cs="Arial"/>
                <w:sz w:val="19"/>
                <w:szCs w:val="19"/>
                <w:lang w:val="hr-HR"/>
              </w:rPr>
            </w:pPr>
          </w:p>
        </w:tc>
        <w:tc>
          <w:tcPr>
            <w:tcW w:w="789" w:type="pct"/>
            <w:shd w:val="clear" w:color="auto" w:fill="auto"/>
            <w:vAlign w:val="bottom"/>
          </w:tcPr>
          <w:p w14:paraId="398E14C9" w14:textId="77777777" w:rsidR="00403E2B" w:rsidRPr="000F4D26" w:rsidRDefault="00403E2B" w:rsidP="00403E2B">
            <w:pPr>
              <w:tabs>
                <w:tab w:val="left" w:pos="-720"/>
              </w:tabs>
              <w:suppressAutoHyphens/>
              <w:spacing w:after="0" w:line="240" w:lineRule="auto"/>
              <w:ind w:right="-5"/>
              <w:jc w:val="right"/>
              <w:rPr>
                <w:rFonts w:eastAsia="Times New Roman" w:cs="Arial"/>
                <w:sz w:val="19"/>
                <w:szCs w:val="19"/>
              </w:rPr>
            </w:pPr>
          </w:p>
        </w:tc>
        <w:tc>
          <w:tcPr>
            <w:tcW w:w="789" w:type="pct"/>
            <w:shd w:val="clear" w:color="auto" w:fill="auto"/>
            <w:vAlign w:val="bottom"/>
          </w:tcPr>
          <w:p w14:paraId="1AC03332" w14:textId="77777777" w:rsidR="00403E2B" w:rsidRPr="00166751" w:rsidRDefault="00403E2B" w:rsidP="00403E2B">
            <w:pPr>
              <w:tabs>
                <w:tab w:val="left" w:pos="-720"/>
              </w:tabs>
              <w:suppressAutoHyphens/>
              <w:spacing w:after="0" w:line="240" w:lineRule="auto"/>
              <w:ind w:right="-5"/>
              <w:jc w:val="right"/>
              <w:rPr>
                <w:rFonts w:asciiTheme="minorHAnsi" w:eastAsia="Times New Roman" w:hAnsiTheme="minorHAnsi" w:cs="Arial"/>
                <w:sz w:val="19"/>
                <w:szCs w:val="19"/>
                <w:lang w:val="hr-HR"/>
              </w:rPr>
            </w:pPr>
          </w:p>
        </w:tc>
      </w:tr>
      <w:tr w:rsidR="00403E2B" w:rsidRPr="000F4D26" w14:paraId="3596EC60" w14:textId="77777777" w:rsidTr="009702B0">
        <w:trPr>
          <w:trHeight w:hRule="exact" w:val="284"/>
        </w:trPr>
        <w:tc>
          <w:tcPr>
            <w:tcW w:w="1843" w:type="pct"/>
            <w:shd w:val="clear" w:color="auto" w:fill="auto"/>
            <w:vAlign w:val="bottom"/>
          </w:tcPr>
          <w:p w14:paraId="665B65B6" w14:textId="77777777" w:rsidR="00403E2B" w:rsidRPr="000F4D26" w:rsidRDefault="00403E2B" w:rsidP="00403E2B">
            <w:pPr>
              <w:tabs>
                <w:tab w:val="left" w:pos="-720"/>
              </w:tabs>
              <w:suppressAutoHyphens/>
              <w:spacing w:after="0" w:line="240" w:lineRule="exact"/>
              <w:ind w:right="-6"/>
              <w:rPr>
                <w:rFonts w:asciiTheme="minorHAnsi" w:eastAsia="Times New Roman" w:hAnsiTheme="minorHAnsi" w:cs="Arial"/>
                <w:b/>
                <w:sz w:val="19"/>
                <w:szCs w:val="19"/>
              </w:rPr>
            </w:pPr>
          </w:p>
        </w:tc>
        <w:tc>
          <w:tcPr>
            <w:tcW w:w="789" w:type="pct"/>
            <w:shd w:val="clear" w:color="auto" w:fill="auto"/>
            <w:vAlign w:val="bottom"/>
          </w:tcPr>
          <w:p w14:paraId="5B59E1BD" w14:textId="77777777" w:rsidR="00403E2B" w:rsidRPr="00796B24" w:rsidRDefault="00403E2B" w:rsidP="00403E2B">
            <w:pPr>
              <w:tabs>
                <w:tab w:val="left" w:pos="-720"/>
              </w:tabs>
              <w:suppressAutoHyphens/>
              <w:spacing w:after="0" w:line="240" w:lineRule="auto"/>
              <w:ind w:right="-5"/>
              <w:jc w:val="right"/>
              <w:rPr>
                <w:rFonts w:eastAsia="Times New Roman" w:cs="Arial"/>
                <w:sz w:val="19"/>
                <w:szCs w:val="19"/>
              </w:rPr>
            </w:pPr>
          </w:p>
        </w:tc>
        <w:tc>
          <w:tcPr>
            <w:tcW w:w="790" w:type="pct"/>
            <w:shd w:val="clear" w:color="auto" w:fill="auto"/>
            <w:vAlign w:val="bottom"/>
          </w:tcPr>
          <w:p w14:paraId="2235FBB5" w14:textId="77777777" w:rsidR="00403E2B" w:rsidRPr="00166751" w:rsidRDefault="00403E2B" w:rsidP="00403E2B">
            <w:pPr>
              <w:tabs>
                <w:tab w:val="left" w:pos="-720"/>
              </w:tabs>
              <w:suppressAutoHyphens/>
              <w:spacing w:after="0" w:line="240" w:lineRule="auto"/>
              <w:ind w:right="-5"/>
              <w:jc w:val="right"/>
              <w:rPr>
                <w:rFonts w:asciiTheme="minorHAnsi" w:eastAsia="Times New Roman" w:hAnsiTheme="minorHAnsi" w:cs="Arial"/>
                <w:sz w:val="19"/>
                <w:szCs w:val="19"/>
                <w:lang w:val="hr-HR"/>
              </w:rPr>
            </w:pPr>
          </w:p>
        </w:tc>
        <w:tc>
          <w:tcPr>
            <w:tcW w:w="789" w:type="pct"/>
            <w:shd w:val="clear" w:color="auto" w:fill="auto"/>
            <w:vAlign w:val="bottom"/>
          </w:tcPr>
          <w:p w14:paraId="0C0625C0" w14:textId="77777777" w:rsidR="00403E2B" w:rsidRPr="000F4D26" w:rsidRDefault="00403E2B" w:rsidP="00403E2B">
            <w:pPr>
              <w:tabs>
                <w:tab w:val="left" w:pos="-720"/>
              </w:tabs>
              <w:suppressAutoHyphens/>
              <w:spacing w:after="0" w:line="240" w:lineRule="auto"/>
              <w:ind w:right="-5"/>
              <w:jc w:val="right"/>
              <w:rPr>
                <w:rFonts w:eastAsia="Times New Roman" w:cs="Arial"/>
                <w:sz w:val="19"/>
                <w:szCs w:val="19"/>
              </w:rPr>
            </w:pPr>
          </w:p>
        </w:tc>
        <w:tc>
          <w:tcPr>
            <w:tcW w:w="789" w:type="pct"/>
            <w:shd w:val="clear" w:color="auto" w:fill="auto"/>
            <w:vAlign w:val="bottom"/>
          </w:tcPr>
          <w:p w14:paraId="62E2E5CE" w14:textId="77777777" w:rsidR="00403E2B" w:rsidRPr="00166751" w:rsidRDefault="00403E2B" w:rsidP="00403E2B">
            <w:pPr>
              <w:tabs>
                <w:tab w:val="left" w:pos="-720"/>
              </w:tabs>
              <w:suppressAutoHyphens/>
              <w:spacing w:after="0" w:line="240" w:lineRule="auto"/>
              <w:ind w:right="-5"/>
              <w:jc w:val="right"/>
              <w:rPr>
                <w:rFonts w:asciiTheme="minorHAnsi" w:eastAsia="Times New Roman" w:hAnsiTheme="minorHAnsi" w:cs="Arial"/>
                <w:sz w:val="19"/>
                <w:szCs w:val="19"/>
                <w:lang w:val="hr-HR"/>
              </w:rPr>
            </w:pPr>
          </w:p>
        </w:tc>
      </w:tr>
      <w:tr w:rsidR="00C835B0" w:rsidRPr="000F4D26" w14:paraId="1A84BFE8" w14:textId="77777777" w:rsidTr="00624862">
        <w:trPr>
          <w:trHeight w:hRule="exact" w:val="284"/>
        </w:trPr>
        <w:tc>
          <w:tcPr>
            <w:tcW w:w="1843" w:type="pct"/>
            <w:shd w:val="clear" w:color="auto" w:fill="auto"/>
            <w:vAlign w:val="bottom"/>
          </w:tcPr>
          <w:p w14:paraId="79F6DEDC" w14:textId="77777777" w:rsidR="00C835B0" w:rsidRPr="000F4D26" w:rsidRDefault="00C835B0" w:rsidP="00C835B0">
            <w:pPr>
              <w:tabs>
                <w:tab w:val="left" w:pos="-720"/>
              </w:tabs>
              <w:suppressAutoHyphens/>
              <w:spacing w:after="0" w:line="240" w:lineRule="exact"/>
              <w:ind w:right="-6"/>
              <w:rPr>
                <w:rFonts w:asciiTheme="minorHAnsi" w:eastAsia="Times New Roman" w:hAnsiTheme="minorHAnsi" w:cs="Arial"/>
                <w:b/>
                <w:sz w:val="19"/>
                <w:szCs w:val="19"/>
              </w:rPr>
            </w:pPr>
            <w:r w:rsidRPr="000F4D26">
              <w:rPr>
                <w:rFonts w:asciiTheme="minorHAnsi" w:eastAsia="Times New Roman" w:hAnsiTheme="minorHAnsi" w:cs="Arial"/>
                <w:sz w:val="19"/>
                <w:szCs w:val="19"/>
              </w:rPr>
              <w:t>Fixed interest rate liabilities</w:t>
            </w:r>
          </w:p>
        </w:tc>
        <w:tc>
          <w:tcPr>
            <w:tcW w:w="789" w:type="pct"/>
            <w:tcBorders>
              <w:top w:val="nil"/>
              <w:left w:val="nil"/>
              <w:right w:val="nil"/>
            </w:tcBorders>
            <w:shd w:val="clear" w:color="auto" w:fill="auto"/>
            <w:vAlign w:val="bottom"/>
          </w:tcPr>
          <w:p w14:paraId="0ED0A2C6" w14:textId="42FACB2F" w:rsidR="00C835B0" w:rsidRPr="00321238" w:rsidRDefault="00C835B0" w:rsidP="00C835B0">
            <w:pPr>
              <w:tabs>
                <w:tab w:val="left" w:pos="-720"/>
              </w:tabs>
              <w:suppressAutoHyphens/>
              <w:spacing w:after="0" w:line="240" w:lineRule="auto"/>
              <w:ind w:right="-5"/>
              <w:jc w:val="right"/>
              <w:rPr>
                <w:rFonts w:eastAsia="Times New Roman" w:cs="Arial"/>
                <w:sz w:val="19"/>
                <w:szCs w:val="19"/>
              </w:rPr>
            </w:pPr>
            <w:r w:rsidRPr="00FE65B6">
              <w:rPr>
                <w:bCs/>
                <w:color w:val="000000"/>
                <w:sz w:val="19"/>
                <w:szCs w:val="19"/>
              </w:rPr>
              <w:t>17</w:t>
            </w:r>
            <w:r>
              <w:rPr>
                <w:bCs/>
                <w:color w:val="000000"/>
                <w:sz w:val="19"/>
                <w:szCs w:val="19"/>
              </w:rPr>
              <w:t>,</w:t>
            </w:r>
            <w:r w:rsidRPr="00FE65B6">
              <w:rPr>
                <w:bCs/>
                <w:color w:val="000000"/>
                <w:sz w:val="19"/>
                <w:szCs w:val="19"/>
              </w:rPr>
              <w:t>021</w:t>
            </w:r>
            <w:r>
              <w:rPr>
                <w:bCs/>
                <w:color w:val="000000"/>
                <w:sz w:val="19"/>
                <w:szCs w:val="19"/>
              </w:rPr>
              <w:t>,</w:t>
            </w:r>
            <w:r w:rsidRPr="00FE65B6">
              <w:rPr>
                <w:bCs/>
                <w:color w:val="000000"/>
                <w:sz w:val="19"/>
                <w:szCs w:val="19"/>
              </w:rPr>
              <w:t>434</w:t>
            </w:r>
          </w:p>
        </w:tc>
        <w:tc>
          <w:tcPr>
            <w:tcW w:w="790" w:type="pct"/>
            <w:tcBorders>
              <w:top w:val="nil"/>
              <w:left w:val="nil"/>
              <w:bottom w:val="nil"/>
              <w:right w:val="nil"/>
            </w:tcBorders>
            <w:shd w:val="clear" w:color="auto" w:fill="auto"/>
            <w:vAlign w:val="bottom"/>
          </w:tcPr>
          <w:p w14:paraId="75013B5A" w14:textId="77777777" w:rsidR="00C835B0" w:rsidRPr="000F4D26" w:rsidRDefault="00C835B0" w:rsidP="00C835B0">
            <w:pPr>
              <w:tabs>
                <w:tab w:val="left" w:pos="-720"/>
              </w:tabs>
              <w:suppressAutoHyphens/>
              <w:spacing w:after="0" w:line="240" w:lineRule="auto"/>
              <w:ind w:right="-5"/>
              <w:jc w:val="right"/>
              <w:rPr>
                <w:rFonts w:eastAsia="Times New Roman" w:cs="Arial"/>
                <w:sz w:val="19"/>
                <w:szCs w:val="19"/>
              </w:rPr>
            </w:pPr>
            <w:r w:rsidRPr="00166751">
              <w:rPr>
                <w:rFonts w:cs="Arial"/>
                <w:sz w:val="19"/>
                <w:szCs w:val="19"/>
              </w:rPr>
              <w:t>16,333,589</w:t>
            </w:r>
          </w:p>
        </w:tc>
        <w:tc>
          <w:tcPr>
            <w:tcW w:w="789" w:type="pct"/>
            <w:tcBorders>
              <w:top w:val="nil"/>
              <w:left w:val="nil"/>
              <w:right w:val="nil"/>
            </w:tcBorders>
            <w:shd w:val="clear" w:color="auto" w:fill="auto"/>
            <w:vAlign w:val="bottom"/>
          </w:tcPr>
          <w:p w14:paraId="4B4ED917" w14:textId="2A51AEDB" w:rsidR="00C835B0" w:rsidRPr="00321238" w:rsidRDefault="00C835B0" w:rsidP="00C835B0">
            <w:pPr>
              <w:tabs>
                <w:tab w:val="left" w:pos="-720"/>
              </w:tabs>
              <w:suppressAutoHyphens/>
              <w:spacing w:after="0" w:line="240" w:lineRule="auto"/>
              <w:ind w:right="-5"/>
              <w:jc w:val="right"/>
              <w:rPr>
                <w:rFonts w:eastAsia="Times New Roman" w:cs="Arial"/>
                <w:sz w:val="19"/>
                <w:szCs w:val="19"/>
              </w:rPr>
            </w:pPr>
            <w:r w:rsidRPr="00FE65B6">
              <w:rPr>
                <w:bCs/>
                <w:color w:val="000000"/>
                <w:sz w:val="19"/>
                <w:szCs w:val="19"/>
              </w:rPr>
              <w:t>17</w:t>
            </w:r>
            <w:r>
              <w:rPr>
                <w:bCs/>
                <w:color w:val="000000"/>
                <w:sz w:val="19"/>
                <w:szCs w:val="19"/>
              </w:rPr>
              <w:t>,</w:t>
            </w:r>
            <w:r w:rsidRPr="00FE65B6">
              <w:rPr>
                <w:bCs/>
                <w:color w:val="000000"/>
                <w:sz w:val="19"/>
                <w:szCs w:val="19"/>
              </w:rPr>
              <w:t>021</w:t>
            </w:r>
            <w:r>
              <w:rPr>
                <w:bCs/>
                <w:color w:val="000000"/>
                <w:sz w:val="19"/>
                <w:szCs w:val="19"/>
              </w:rPr>
              <w:t>,</w:t>
            </w:r>
            <w:r w:rsidRPr="00FE65B6">
              <w:rPr>
                <w:bCs/>
                <w:color w:val="000000"/>
                <w:sz w:val="19"/>
                <w:szCs w:val="19"/>
              </w:rPr>
              <w:t>434</w:t>
            </w:r>
          </w:p>
        </w:tc>
        <w:tc>
          <w:tcPr>
            <w:tcW w:w="789" w:type="pct"/>
            <w:tcBorders>
              <w:top w:val="nil"/>
              <w:left w:val="nil"/>
              <w:bottom w:val="nil"/>
              <w:right w:val="nil"/>
            </w:tcBorders>
            <w:shd w:val="clear" w:color="auto" w:fill="auto"/>
            <w:vAlign w:val="bottom"/>
          </w:tcPr>
          <w:p w14:paraId="2AEB28B0" w14:textId="77777777" w:rsidR="00C835B0" w:rsidRPr="000F4D26" w:rsidRDefault="00C835B0" w:rsidP="00C835B0">
            <w:pPr>
              <w:tabs>
                <w:tab w:val="left" w:pos="-720"/>
              </w:tabs>
              <w:suppressAutoHyphens/>
              <w:spacing w:after="0" w:line="240" w:lineRule="auto"/>
              <w:ind w:right="-5"/>
              <w:jc w:val="right"/>
              <w:rPr>
                <w:rFonts w:eastAsia="Times New Roman" w:cs="Arial"/>
                <w:sz w:val="19"/>
                <w:szCs w:val="19"/>
              </w:rPr>
            </w:pPr>
            <w:r w:rsidRPr="00166751">
              <w:rPr>
                <w:bCs/>
                <w:color w:val="000000"/>
                <w:sz w:val="19"/>
                <w:szCs w:val="19"/>
              </w:rPr>
              <w:t>16,333,589</w:t>
            </w:r>
          </w:p>
        </w:tc>
      </w:tr>
      <w:tr w:rsidR="00C835B0" w:rsidRPr="000F4D26" w14:paraId="5B97E0D1" w14:textId="77777777" w:rsidTr="00624862">
        <w:trPr>
          <w:trHeight w:hRule="exact" w:val="284"/>
        </w:trPr>
        <w:tc>
          <w:tcPr>
            <w:tcW w:w="1843" w:type="pct"/>
            <w:shd w:val="clear" w:color="auto" w:fill="auto"/>
            <w:vAlign w:val="bottom"/>
          </w:tcPr>
          <w:p w14:paraId="71C2E432" w14:textId="77777777" w:rsidR="00C835B0" w:rsidRPr="000F4D26" w:rsidRDefault="00C835B0" w:rsidP="00C835B0">
            <w:pPr>
              <w:tabs>
                <w:tab w:val="left" w:pos="-720"/>
              </w:tabs>
              <w:suppressAutoHyphens/>
              <w:spacing w:after="0" w:line="240" w:lineRule="exact"/>
              <w:ind w:right="-6"/>
              <w:rPr>
                <w:rFonts w:asciiTheme="minorHAnsi" w:eastAsia="Times New Roman" w:hAnsiTheme="minorHAnsi" w:cs="Arial"/>
                <w:sz w:val="19"/>
                <w:szCs w:val="19"/>
              </w:rPr>
            </w:pPr>
            <w:r w:rsidRPr="000F4D26">
              <w:rPr>
                <w:rFonts w:asciiTheme="minorHAnsi" w:eastAsia="Times New Roman" w:hAnsiTheme="minorHAnsi" w:cs="Arial"/>
                <w:sz w:val="19"/>
                <w:szCs w:val="19"/>
              </w:rPr>
              <w:t>Variable interest rate liabilities</w:t>
            </w:r>
          </w:p>
        </w:tc>
        <w:tc>
          <w:tcPr>
            <w:tcW w:w="789" w:type="pct"/>
            <w:tcBorders>
              <w:top w:val="nil"/>
              <w:left w:val="nil"/>
              <w:right w:val="nil"/>
            </w:tcBorders>
            <w:shd w:val="clear" w:color="auto" w:fill="auto"/>
            <w:vAlign w:val="bottom"/>
          </w:tcPr>
          <w:p w14:paraId="5CB945DA" w14:textId="6537FCC6" w:rsidR="00C835B0" w:rsidRPr="00321238" w:rsidRDefault="00C835B0" w:rsidP="00C835B0">
            <w:pPr>
              <w:tabs>
                <w:tab w:val="left" w:pos="-720"/>
              </w:tabs>
              <w:suppressAutoHyphens/>
              <w:spacing w:after="0" w:line="240" w:lineRule="auto"/>
              <w:ind w:right="-5"/>
              <w:jc w:val="right"/>
              <w:rPr>
                <w:rFonts w:eastAsia="Times New Roman" w:cs="Arial"/>
                <w:sz w:val="19"/>
                <w:szCs w:val="19"/>
              </w:rPr>
            </w:pPr>
            <w:r w:rsidRPr="00FE65B6">
              <w:rPr>
                <w:bCs/>
                <w:color w:val="000000"/>
                <w:sz w:val="19"/>
                <w:szCs w:val="19"/>
              </w:rPr>
              <w:t>937</w:t>
            </w:r>
          </w:p>
        </w:tc>
        <w:tc>
          <w:tcPr>
            <w:tcW w:w="790" w:type="pct"/>
            <w:tcBorders>
              <w:top w:val="nil"/>
              <w:left w:val="nil"/>
              <w:bottom w:val="nil"/>
              <w:right w:val="nil"/>
            </w:tcBorders>
            <w:shd w:val="clear" w:color="auto" w:fill="auto"/>
            <w:vAlign w:val="bottom"/>
          </w:tcPr>
          <w:p w14:paraId="4AB9A76B" w14:textId="77777777" w:rsidR="00C835B0" w:rsidRPr="000F4D26" w:rsidRDefault="00C835B0" w:rsidP="00C835B0">
            <w:pPr>
              <w:tabs>
                <w:tab w:val="left" w:pos="-720"/>
              </w:tabs>
              <w:suppressAutoHyphens/>
              <w:spacing w:after="0" w:line="240" w:lineRule="auto"/>
              <w:ind w:right="-5"/>
              <w:jc w:val="right"/>
              <w:rPr>
                <w:rFonts w:eastAsia="Times New Roman" w:cs="Arial"/>
                <w:sz w:val="19"/>
                <w:szCs w:val="19"/>
              </w:rPr>
            </w:pPr>
            <w:r w:rsidRPr="00166751">
              <w:rPr>
                <w:rFonts w:cs="Arial"/>
                <w:sz w:val="19"/>
                <w:szCs w:val="19"/>
              </w:rPr>
              <w:t>3,779</w:t>
            </w:r>
          </w:p>
        </w:tc>
        <w:tc>
          <w:tcPr>
            <w:tcW w:w="789" w:type="pct"/>
            <w:tcBorders>
              <w:top w:val="nil"/>
              <w:left w:val="nil"/>
              <w:right w:val="nil"/>
            </w:tcBorders>
            <w:shd w:val="clear" w:color="auto" w:fill="auto"/>
            <w:vAlign w:val="bottom"/>
          </w:tcPr>
          <w:p w14:paraId="4F588AF0" w14:textId="7561C0A5" w:rsidR="00C835B0" w:rsidRPr="00321238" w:rsidRDefault="00C835B0" w:rsidP="00C835B0">
            <w:pPr>
              <w:tabs>
                <w:tab w:val="left" w:pos="-720"/>
              </w:tabs>
              <w:suppressAutoHyphens/>
              <w:spacing w:after="0" w:line="240" w:lineRule="auto"/>
              <w:ind w:right="-5"/>
              <w:jc w:val="right"/>
              <w:rPr>
                <w:rFonts w:eastAsia="Times New Roman" w:cs="Arial"/>
                <w:sz w:val="19"/>
                <w:szCs w:val="19"/>
              </w:rPr>
            </w:pPr>
            <w:r w:rsidRPr="00FE65B6">
              <w:rPr>
                <w:bCs/>
                <w:color w:val="000000"/>
                <w:sz w:val="19"/>
                <w:szCs w:val="19"/>
              </w:rPr>
              <w:t>937</w:t>
            </w:r>
          </w:p>
        </w:tc>
        <w:tc>
          <w:tcPr>
            <w:tcW w:w="789" w:type="pct"/>
            <w:tcBorders>
              <w:top w:val="nil"/>
              <w:left w:val="nil"/>
              <w:bottom w:val="nil"/>
              <w:right w:val="nil"/>
            </w:tcBorders>
            <w:shd w:val="clear" w:color="auto" w:fill="auto"/>
            <w:vAlign w:val="bottom"/>
          </w:tcPr>
          <w:p w14:paraId="12D6F594" w14:textId="77777777" w:rsidR="00C835B0" w:rsidRPr="000F4D26" w:rsidRDefault="00C835B0" w:rsidP="00C835B0">
            <w:pPr>
              <w:tabs>
                <w:tab w:val="left" w:pos="-720"/>
              </w:tabs>
              <w:suppressAutoHyphens/>
              <w:spacing w:after="0" w:line="240" w:lineRule="auto"/>
              <w:ind w:right="-5"/>
              <w:jc w:val="right"/>
              <w:rPr>
                <w:rFonts w:eastAsia="Times New Roman" w:cs="Arial"/>
                <w:sz w:val="19"/>
                <w:szCs w:val="19"/>
              </w:rPr>
            </w:pPr>
            <w:r w:rsidRPr="00166751">
              <w:rPr>
                <w:bCs/>
                <w:color w:val="000000"/>
                <w:sz w:val="19"/>
                <w:szCs w:val="19"/>
              </w:rPr>
              <w:t>3,779</w:t>
            </w:r>
          </w:p>
        </w:tc>
      </w:tr>
      <w:tr w:rsidR="00C835B0" w:rsidRPr="000F4D26" w14:paraId="5BC49D83" w14:textId="77777777" w:rsidTr="00166751">
        <w:trPr>
          <w:trHeight w:hRule="exact" w:val="284"/>
        </w:trPr>
        <w:tc>
          <w:tcPr>
            <w:tcW w:w="1843" w:type="pct"/>
            <w:shd w:val="clear" w:color="auto" w:fill="auto"/>
            <w:vAlign w:val="bottom"/>
          </w:tcPr>
          <w:p w14:paraId="6C9898A6" w14:textId="77777777" w:rsidR="00C835B0" w:rsidRPr="000F4D26" w:rsidRDefault="00C835B0" w:rsidP="00C835B0">
            <w:pPr>
              <w:tabs>
                <w:tab w:val="left" w:pos="-720"/>
              </w:tabs>
              <w:suppressAutoHyphens/>
              <w:spacing w:after="0" w:line="240" w:lineRule="exact"/>
              <w:ind w:right="-6"/>
              <w:rPr>
                <w:rFonts w:asciiTheme="minorHAnsi" w:eastAsia="Times New Roman" w:hAnsiTheme="minorHAnsi" w:cs="Arial"/>
                <w:sz w:val="19"/>
                <w:szCs w:val="19"/>
              </w:rPr>
            </w:pPr>
            <w:r w:rsidRPr="000F4D26">
              <w:rPr>
                <w:rFonts w:asciiTheme="minorHAnsi" w:eastAsia="Times New Roman" w:hAnsiTheme="minorHAnsi" w:cs="Arial"/>
                <w:sz w:val="19"/>
                <w:szCs w:val="19"/>
              </w:rPr>
              <w:t>Non-interest bearing</w:t>
            </w:r>
          </w:p>
        </w:tc>
        <w:tc>
          <w:tcPr>
            <w:tcW w:w="789" w:type="pct"/>
            <w:tcBorders>
              <w:bottom w:val="single" w:sz="4" w:space="0" w:color="auto"/>
            </w:tcBorders>
            <w:shd w:val="clear" w:color="auto" w:fill="auto"/>
            <w:vAlign w:val="bottom"/>
          </w:tcPr>
          <w:p w14:paraId="352519A2" w14:textId="42287460" w:rsidR="00C835B0" w:rsidRPr="00321238" w:rsidRDefault="00C835B0" w:rsidP="00C835B0">
            <w:pPr>
              <w:tabs>
                <w:tab w:val="left" w:pos="-720"/>
              </w:tabs>
              <w:suppressAutoHyphens/>
              <w:spacing w:after="0" w:line="240" w:lineRule="auto"/>
              <w:ind w:right="-5"/>
              <w:jc w:val="right"/>
              <w:rPr>
                <w:rFonts w:eastAsia="Times New Roman" w:cs="Arial"/>
                <w:sz w:val="19"/>
                <w:szCs w:val="19"/>
              </w:rPr>
            </w:pPr>
            <w:r w:rsidRPr="00FE65B6">
              <w:rPr>
                <w:bCs/>
                <w:color w:val="000000"/>
                <w:sz w:val="19"/>
                <w:szCs w:val="19"/>
              </w:rPr>
              <w:t>11</w:t>
            </w:r>
            <w:r>
              <w:rPr>
                <w:bCs/>
                <w:color w:val="000000"/>
                <w:sz w:val="19"/>
                <w:szCs w:val="19"/>
              </w:rPr>
              <w:t>,</w:t>
            </w:r>
            <w:r w:rsidRPr="00FE65B6">
              <w:rPr>
                <w:bCs/>
                <w:color w:val="000000"/>
                <w:sz w:val="19"/>
                <w:szCs w:val="19"/>
              </w:rPr>
              <w:t>278</w:t>
            </w:r>
            <w:r>
              <w:rPr>
                <w:bCs/>
                <w:color w:val="000000"/>
                <w:sz w:val="19"/>
                <w:szCs w:val="19"/>
              </w:rPr>
              <w:t>,</w:t>
            </w:r>
            <w:r w:rsidRPr="00FE65B6">
              <w:rPr>
                <w:bCs/>
                <w:color w:val="000000"/>
                <w:sz w:val="19"/>
                <w:szCs w:val="19"/>
              </w:rPr>
              <w:t>353</w:t>
            </w:r>
          </w:p>
        </w:tc>
        <w:tc>
          <w:tcPr>
            <w:tcW w:w="790" w:type="pct"/>
            <w:tcBorders>
              <w:top w:val="nil"/>
              <w:left w:val="nil"/>
              <w:bottom w:val="single" w:sz="4" w:space="0" w:color="auto"/>
              <w:right w:val="nil"/>
            </w:tcBorders>
            <w:shd w:val="clear" w:color="auto" w:fill="auto"/>
            <w:vAlign w:val="bottom"/>
          </w:tcPr>
          <w:p w14:paraId="6B55231B" w14:textId="77777777" w:rsidR="00C835B0" w:rsidRPr="000F4D26" w:rsidRDefault="00C835B0" w:rsidP="00C835B0">
            <w:pPr>
              <w:tabs>
                <w:tab w:val="left" w:pos="-720"/>
              </w:tabs>
              <w:suppressAutoHyphens/>
              <w:spacing w:after="0" w:line="240" w:lineRule="auto"/>
              <w:ind w:right="-5"/>
              <w:jc w:val="right"/>
              <w:rPr>
                <w:rFonts w:eastAsia="Times New Roman" w:cs="Arial"/>
                <w:sz w:val="19"/>
                <w:szCs w:val="19"/>
              </w:rPr>
            </w:pPr>
            <w:r w:rsidRPr="00166751">
              <w:rPr>
                <w:rFonts w:cs="Arial"/>
                <w:sz w:val="19"/>
                <w:szCs w:val="19"/>
              </w:rPr>
              <w:t>11,053,454</w:t>
            </w:r>
          </w:p>
        </w:tc>
        <w:tc>
          <w:tcPr>
            <w:tcW w:w="789" w:type="pct"/>
            <w:tcBorders>
              <w:bottom w:val="single" w:sz="4" w:space="0" w:color="auto"/>
            </w:tcBorders>
            <w:shd w:val="clear" w:color="auto" w:fill="auto"/>
            <w:vAlign w:val="bottom"/>
          </w:tcPr>
          <w:p w14:paraId="3C30B90C" w14:textId="593CAB15" w:rsidR="00C835B0" w:rsidRPr="00321238" w:rsidRDefault="00C835B0" w:rsidP="00C835B0">
            <w:pPr>
              <w:tabs>
                <w:tab w:val="left" w:pos="-720"/>
              </w:tabs>
              <w:suppressAutoHyphens/>
              <w:spacing w:after="0" w:line="240" w:lineRule="auto"/>
              <w:ind w:right="-5"/>
              <w:jc w:val="right"/>
              <w:rPr>
                <w:rFonts w:eastAsia="Times New Roman" w:cs="Arial"/>
                <w:sz w:val="19"/>
                <w:szCs w:val="19"/>
              </w:rPr>
            </w:pPr>
            <w:r w:rsidRPr="00FE65B6">
              <w:rPr>
                <w:bCs/>
                <w:color w:val="000000"/>
                <w:sz w:val="19"/>
                <w:szCs w:val="19"/>
              </w:rPr>
              <w:t>11</w:t>
            </w:r>
            <w:r>
              <w:rPr>
                <w:bCs/>
                <w:color w:val="000000"/>
                <w:sz w:val="19"/>
                <w:szCs w:val="19"/>
              </w:rPr>
              <w:t>,</w:t>
            </w:r>
            <w:r w:rsidRPr="00FE65B6">
              <w:rPr>
                <w:bCs/>
                <w:color w:val="000000"/>
                <w:sz w:val="19"/>
                <w:szCs w:val="19"/>
              </w:rPr>
              <w:t>259</w:t>
            </w:r>
            <w:r>
              <w:rPr>
                <w:bCs/>
                <w:color w:val="000000"/>
                <w:sz w:val="19"/>
                <w:szCs w:val="19"/>
              </w:rPr>
              <w:t>,</w:t>
            </w:r>
            <w:r w:rsidRPr="00FE65B6">
              <w:rPr>
                <w:bCs/>
                <w:color w:val="000000"/>
                <w:sz w:val="19"/>
                <w:szCs w:val="19"/>
              </w:rPr>
              <w:t>224</w:t>
            </w:r>
          </w:p>
        </w:tc>
        <w:tc>
          <w:tcPr>
            <w:tcW w:w="789" w:type="pct"/>
            <w:tcBorders>
              <w:top w:val="nil"/>
              <w:left w:val="nil"/>
              <w:bottom w:val="single" w:sz="4" w:space="0" w:color="auto"/>
              <w:right w:val="nil"/>
            </w:tcBorders>
            <w:shd w:val="clear" w:color="auto" w:fill="auto"/>
            <w:vAlign w:val="bottom"/>
          </w:tcPr>
          <w:p w14:paraId="3437CD1D" w14:textId="77777777" w:rsidR="00C835B0" w:rsidRPr="000F4D26" w:rsidRDefault="00C835B0" w:rsidP="00C835B0">
            <w:pPr>
              <w:tabs>
                <w:tab w:val="left" w:pos="-720"/>
              </w:tabs>
              <w:suppressAutoHyphens/>
              <w:spacing w:after="0" w:line="240" w:lineRule="auto"/>
              <w:ind w:right="-5"/>
              <w:jc w:val="right"/>
              <w:rPr>
                <w:rFonts w:eastAsia="Times New Roman" w:cs="Arial"/>
                <w:sz w:val="19"/>
                <w:szCs w:val="19"/>
              </w:rPr>
            </w:pPr>
            <w:r w:rsidRPr="00166751">
              <w:rPr>
                <w:bCs/>
                <w:color w:val="000000"/>
                <w:sz w:val="19"/>
                <w:szCs w:val="19"/>
              </w:rPr>
              <w:t>11,037,548</w:t>
            </w:r>
          </w:p>
        </w:tc>
      </w:tr>
      <w:tr w:rsidR="00403E2B" w:rsidRPr="000F4D26" w14:paraId="0426E820" w14:textId="77777777" w:rsidTr="00166751">
        <w:trPr>
          <w:trHeight w:hRule="exact" w:val="397"/>
        </w:trPr>
        <w:tc>
          <w:tcPr>
            <w:tcW w:w="1843" w:type="pct"/>
            <w:shd w:val="clear" w:color="auto" w:fill="auto"/>
            <w:vAlign w:val="bottom"/>
          </w:tcPr>
          <w:p w14:paraId="20DB8B79" w14:textId="77777777" w:rsidR="00403E2B" w:rsidRPr="000F4D26" w:rsidRDefault="00403E2B" w:rsidP="00403E2B">
            <w:pPr>
              <w:tabs>
                <w:tab w:val="left" w:pos="-720"/>
              </w:tabs>
              <w:suppressAutoHyphens/>
              <w:spacing w:after="0" w:line="240" w:lineRule="exact"/>
              <w:ind w:right="-6"/>
              <w:rPr>
                <w:rFonts w:asciiTheme="minorHAnsi" w:eastAsia="Times New Roman" w:hAnsiTheme="minorHAnsi" w:cs="Arial"/>
                <w:sz w:val="19"/>
                <w:szCs w:val="19"/>
              </w:rPr>
            </w:pPr>
            <w:r w:rsidRPr="000F4D26">
              <w:rPr>
                <w:rFonts w:asciiTheme="minorHAnsi" w:eastAsia="Times New Roman" w:hAnsiTheme="minorHAnsi" w:cs="Arial"/>
                <w:b/>
                <w:sz w:val="19"/>
                <w:szCs w:val="19"/>
              </w:rPr>
              <w:t>Total liabilities and total equity</w:t>
            </w:r>
          </w:p>
        </w:tc>
        <w:tc>
          <w:tcPr>
            <w:tcW w:w="789" w:type="pct"/>
            <w:tcBorders>
              <w:top w:val="single" w:sz="4" w:space="0" w:color="auto"/>
              <w:left w:val="nil"/>
              <w:bottom w:val="single" w:sz="12" w:space="0" w:color="auto"/>
              <w:right w:val="nil"/>
            </w:tcBorders>
            <w:shd w:val="clear" w:color="auto" w:fill="auto"/>
            <w:vAlign w:val="bottom"/>
          </w:tcPr>
          <w:p w14:paraId="2182757A" w14:textId="077C3A7F" w:rsidR="00403E2B" w:rsidRPr="00321238" w:rsidRDefault="00C835B0" w:rsidP="00403E2B">
            <w:pPr>
              <w:tabs>
                <w:tab w:val="left" w:pos="-720"/>
              </w:tabs>
              <w:suppressAutoHyphens/>
              <w:spacing w:after="0" w:line="240" w:lineRule="auto"/>
              <w:ind w:right="-5"/>
              <w:jc w:val="right"/>
              <w:rPr>
                <w:rFonts w:eastAsia="Times New Roman" w:cs="Arial"/>
                <w:sz w:val="19"/>
                <w:szCs w:val="19"/>
              </w:rPr>
            </w:pPr>
            <w:r w:rsidRPr="00C835B0">
              <w:rPr>
                <w:rFonts w:cs="Arial"/>
                <w:b/>
                <w:sz w:val="19"/>
                <w:szCs w:val="19"/>
              </w:rPr>
              <w:t>28,300,724</w:t>
            </w:r>
          </w:p>
        </w:tc>
        <w:tc>
          <w:tcPr>
            <w:tcW w:w="790" w:type="pct"/>
            <w:tcBorders>
              <w:top w:val="single" w:sz="4" w:space="0" w:color="auto"/>
              <w:left w:val="nil"/>
              <w:bottom w:val="single" w:sz="12" w:space="0" w:color="auto"/>
              <w:right w:val="nil"/>
            </w:tcBorders>
            <w:shd w:val="clear" w:color="auto" w:fill="auto"/>
            <w:vAlign w:val="bottom"/>
          </w:tcPr>
          <w:p w14:paraId="24E19EF7" w14:textId="77777777" w:rsidR="00403E2B" w:rsidRPr="000F4D26" w:rsidRDefault="00403E2B" w:rsidP="00403E2B">
            <w:pPr>
              <w:tabs>
                <w:tab w:val="left" w:pos="-720"/>
              </w:tabs>
              <w:suppressAutoHyphens/>
              <w:spacing w:after="0" w:line="240" w:lineRule="auto"/>
              <w:ind w:right="-5"/>
              <w:jc w:val="right"/>
              <w:rPr>
                <w:rFonts w:eastAsia="Times New Roman" w:cs="Arial"/>
                <w:b/>
                <w:sz w:val="19"/>
                <w:szCs w:val="19"/>
              </w:rPr>
            </w:pPr>
            <w:r w:rsidRPr="00166751">
              <w:rPr>
                <w:rFonts w:cs="Arial"/>
                <w:b/>
                <w:sz w:val="19"/>
                <w:szCs w:val="19"/>
              </w:rPr>
              <w:t>27,390,822</w:t>
            </w:r>
          </w:p>
        </w:tc>
        <w:tc>
          <w:tcPr>
            <w:tcW w:w="789" w:type="pct"/>
            <w:tcBorders>
              <w:top w:val="single" w:sz="4" w:space="0" w:color="auto"/>
              <w:left w:val="nil"/>
              <w:bottom w:val="single" w:sz="12" w:space="0" w:color="auto"/>
              <w:right w:val="nil"/>
            </w:tcBorders>
            <w:shd w:val="clear" w:color="auto" w:fill="auto"/>
            <w:vAlign w:val="bottom"/>
          </w:tcPr>
          <w:p w14:paraId="7E9C34CE" w14:textId="43DCC2E6" w:rsidR="00403E2B" w:rsidRPr="00321238" w:rsidRDefault="00C835B0" w:rsidP="00403E2B">
            <w:pPr>
              <w:tabs>
                <w:tab w:val="left" w:pos="-720"/>
              </w:tabs>
              <w:suppressAutoHyphens/>
              <w:spacing w:after="0" w:line="240" w:lineRule="auto"/>
              <w:ind w:right="-5"/>
              <w:jc w:val="right"/>
              <w:rPr>
                <w:rFonts w:eastAsia="Times New Roman" w:cs="Arial"/>
                <w:sz w:val="19"/>
                <w:szCs w:val="19"/>
              </w:rPr>
            </w:pPr>
            <w:r w:rsidRPr="00C835B0">
              <w:rPr>
                <w:rFonts w:cs="Arial"/>
                <w:b/>
                <w:sz w:val="19"/>
                <w:szCs w:val="19"/>
              </w:rPr>
              <w:t>28,281,595</w:t>
            </w:r>
          </w:p>
        </w:tc>
        <w:tc>
          <w:tcPr>
            <w:tcW w:w="789" w:type="pct"/>
            <w:tcBorders>
              <w:top w:val="single" w:sz="4" w:space="0" w:color="auto"/>
              <w:left w:val="nil"/>
              <w:bottom w:val="single" w:sz="12" w:space="0" w:color="auto"/>
              <w:right w:val="nil"/>
            </w:tcBorders>
            <w:shd w:val="clear" w:color="auto" w:fill="auto"/>
            <w:vAlign w:val="bottom"/>
          </w:tcPr>
          <w:p w14:paraId="49A2C330" w14:textId="77777777" w:rsidR="00403E2B" w:rsidRPr="000F4D26" w:rsidRDefault="00403E2B" w:rsidP="00403E2B">
            <w:pPr>
              <w:tabs>
                <w:tab w:val="left" w:pos="-720"/>
              </w:tabs>
              <w:suppressAutoHyphens/>
              <w:spacing w:after="0" w:line="240" w:lineRule="auto"/>
              <w:ind w:right="-5"/>
              <w:jc w:val="right"/>
              <w:rPr>
                <w:rFonts w:eastAsia="Times New Roman" w:cs="Arial"/>
                <w:b/>
                <w:sz w:val="19"/>
                <w:szCs w:val="19"/>
              </w:rPr>
            </w:pPr>
            <w:r w:rsidRPr="00166751">
              <w:rPr>
                <w:rFonts w:cs="Arial"/>
                <w:b/>
                <w:sz w:val="19"/>
                <w:szCs w:val="19"/>
              </w:rPr>
              <w:t>27,374,916</w:t>
            </w:r>
          </w:p>
        </w:tc>
      </w:tr>
    </w:tbl>
    <w:p w14:paraId="63A3C560" w14:textId="77777777" w:rsidR="009702B0" w:rsidRPr="009702B0" w:rsidRDefault="009702B0" w:rsidP="009702B0">
      <w:pPr>
        <w:keepNext/>
        <w:spacing w:after="0" w:line="240" w:lineRule="auto"/>
        <w:ind w:left="709" w:hanging="709"/>
        <w:jc w:val="both"/>
        <w:rPr>
          <w:rFonts w:eastAsia="Times New Roman" w:cs="Arial"/>
          <w:b/>
          <w:bCs/>
        </w:rPr>
      </w:pPr>
    </w:p>
    <w:p w14:paraId="1CD7E518" w14:textId="77777777" w:rsidR="009702B0" w:rsidRPr="009702B0" w:rsidRDefault="009702B0" w:rsidP="009702B0">
      <w:pPr>
        <w:keepNext/>
        <w:spacing w:after="0" w:line="240" w:lineRule="auto"/>
        <w:ind w:left="709" w:hanging="709"/>
        <w:jc w:val="both"/>
        <w:rPr>
          <w:rFonts w:eastAsia="Times New Roman" w:cs="Arial"/>
          <w:b/>
          <w:bCs/>
        </w:rPr>
      </w:pPr>
    </w:p>
    <w:p w14:paraId="217C8ECE" w14:textId="77777777" w:rsidR="009702B0" w:rsidRPr="009702B0" w:rsidRDefault="009702B0" w:rsidP="009702B0">
      <w:pPr>
        <w:keepNext/>
        <w:spacing w:after="0" w:line="240" w:lineRule="auto"/>
        <w:ind w:left="709" w:hanging="709"/>
        <w:jc w:val="both"/>
        <w:rPr>
          <w:rFonts w:eastAsia="Times New Roman" w:cs="Arial"/>
          <w:b/>
          <w:bCs/>
        </w:rPr>
      </w:pPr>
    </w:p>
    <w:p w14:paraId="427F3A72" w14:textId="77777777" w:rsidR="009702B0" w:rsidRPr="009702B0" w:rsidRDefault="009702B0" w:rsidP="009702B0">
      <w:pPr>
        <w:keepNext/>
        <w:spacing w:after="0" w:line="240" w:lineRule="auto"/>
        <w:ind w:left="709" w:hanging="709"/>
        <w:jc w:val="both"/>
        <w:rPr>
          <w:rFonts w:eastAsia="Times New Roman" w:cs="Arial"/>
          <w:b/>
          <w:bCs/>
        </w:rPr>
      </w:pPr>
    </w:p>
    <w:p w14:paraId="25F1F770" w14:textId="77777777" w:rsidR="009702B0" w:rsidRPr="009702B0" w:rsidRDefault="009702B0" w:rsidP="009702B0">
      <w:pPr>
        <w:keepNext/>
        <w:spacing w:after="0" w:line="240" w:lineRule="auto"/>
        <w:ind w:left="709" w:hanging="709"/>
        <w:jc w:val="both"/>
        <w:rPr>
          <w:rFonts w:eastAsia="Times New Roman" w:cs="Arial"/>
          <w:b/>
          <w:bCs/>
        </w:rPr>
        <w:sectPr w:rsidR="009702B0" w:rsidRPr="009702B0" w:rsidSect="00947CB7">
          <w:footerReference w:type="first" r:id="rId112"/>
          <w:pgSz w:w="11906" w:h="16838" w:code="9"/>
          <w:pgMar w:top="1418" w:right="1418" w:bottom="595" w:left="1134" w:header="709" w:footer="709" w:gutter="0"/>
          <w:cols w:space="708"/>
          <w:titlePg/>
          <w:docGrid w:linePitch="360"/>
        </w:sectPr>
      </w:pPr>
    </w:p>
    <w:p w14:paraId="4EAE5D3A" w14:textId="77777777" w:rsidR="009702B0" w:rsidRPr="009702B0" w:rsidRDefault="009702B0" w:rsidP="009702B0">
      <w:pPr>
        <w:keepNext/>
        <w:spacing w:after="0" w:line="240" w:lineRule="auto"/>
        <w:jc w:val="both"/>
        <w:rPr>
          <w:rFonts w:eastAsia="Times New Roman" w:cs="Arial"/>
          <w:b/>
          <w:bCs/>
        </w:rPr>
      </w:pPr>
    </w:p>
    <w:p w14:paraId="123B563C"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        Risk management (continued)</w:t>
      </w:r>
    </w:p>
    <w:p w14:paraId="0967FF50" w14:textId="77777777" w:rsidR="009702B0" w:rsidRPr="009702B0" w:rsidRDefault="009702B0" w:rsidP="009702B0">
      <w:pPr>
        <w:keepNext/>
        <w:spacing w:after="0" w:line="240" w:lineRule="auto"/>
        <w:ind w:left="709" w:hanging="709"/>
        <w:jc w:val="both"/>
        <w:rPr>
          <w:rFonts w:eastAsia="Times New Roman" w:cs="Arial"/>
          <w:b/>
          <w:bCs/>
        </w:rPr>
      </w:pPr>
    </w:p>
    <w:p w14:paraId="75BA466C"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     Market risk (continued)</w:t>
      </w:r>
    </w:p>
    <w:p w14:paraId="062C9D71" w14:textId="77777777" w:rsidR="009702B0" w:rsidRPr="009702B0" w:rsidRDefault="009702B0" w:rsidP="009702B0">
      <w:pPr>
        <w:keepNext/>
        <w:spacing w:after="0" w:line="240" w:lineRule="auto"/>
        <w:ind w:left="709" w:hanging="709"/>
        <w:jc w:val="both"/>
        <w:rPr>
          <w:rFonts w:eastAsia="Times New Roman" w:cs="Arial"/>
          <w:b/>
          <w:bCs/>
        </w:rPr>
      </w:pPr>
    </w:p>
    <w:p w14:paraId="78A0A36E"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16.4.1</w:t>
      </w:r>
      <w:proofErr w:type="gramStart"/>
      <w:r w:rsidRPr="009702B0">
        <w:rPr>
          <w:rFonts w:eastAsia="Times New Roman" w:cs="Arial"/>
          <w:b/>
          <w:bCs/>
        </w:rPr>
        <w:t>.  Interest</w:t>
      </w:r>
      <w:proofErr w:type="gramEnd"/>
      <w:r w:rsidRPr="009702B0">
        <w:rPr>
          <w:rFonts w:eastAsia="Times New Roman" w:cs="Arial"/>
          <w:b/>
          <w:bCs/>
        </w:rPr>
        <w:t xml:space="preserve"> rate risk in the Bank’s book (continued)</w:t>
      </w:r>
    </w:p>
    <w:p w14:paraId="45AAB9AF" w14:textId="77777777" w:rsidR="009702B0" w:rsidRPr="009702B0" w:rsidRDefault="009702B0" w:rsidP="009702B0">
      <w:pPr>
        <w:keepNext/>
        <w:spacing w:after="0" w:line="240" w:lineRule="auto"/>
        <w:ind w:left="709" w:hanging="709"/>
        <w:jc w:val="both"/>
        <w:rPr>
          <w:rFonts w:eastAsia="Times New Roman" w:cs="Arial"/>
          <w:b/>
          <w:bCs/>
        </w:rPr>
      </w:pPr>
    </w:p>
    <w:p w14:paraId="41A238D4" w14:textId="77777777" w:rsidR="009702B0" w:rsidRPr="009702B0" w:rsidRDefault="009702B0" w:rsidP="009702B0">
      <w:pPr>
        <w:spacing w:after="0" w:line="240" w:lineRule="auto"/>
        <w:jc w:val="both"/>
        <w:rPr>
          <w:rFonts w:asciiTheme="minorHAnsi" w:eastAsia="Times New Roman" w:hAnsiTheme="minorHAnsi" w:cs="Arial"/>
          <w:b/>
          <w:bCs/>
        </w:rPr>
      </w:pPr>
      <w:r w:rsidRPr="009702B0">
        <w:rPr>
          <w:rFonts w:asciiTheme="minorHAnsi" w:eastAsia="Times New Roman" w:hAnsiTheme="minorHAnsi" w:cs="Arial"/>
          <w:b/>
          <w:bCs/>
        </w:rPr>
        <w:t>Sensitivity analysis</w:t>
      </w:r>
    </w:p>
    <w:p w14:paraId="076AF715" w14:textId="77777777" w:rsidR="009702B0" w:rsidRPr="009702B0" w:rsidRDefault="009702B0" w:rsidP="009702B0">
      <w:pPr>
        <w:spacing w:after="0" w:line="240" w:lineRule="auto"/>
        <w:jc w:val="both"/>
        <w:rPr>
          <w:rFonts w:asciiTheme="minorHAnsi" w:eastAsia="Times New Roman" w:hAnsiTheme="minorHAnsi" w:cs="Arial"/>
          <w:b/>
          <w:bCs/>
        </w:rPr>
      </w:pPr>
    </w:p>
    <w:p w14:paraId="2D95A0D8" w14:textId="77777777" w:rsidR="009702B0" w:rsidRPr="009702B0" w:rsidRDefault="009702B0" w:rsidP="009702B0">
      <w:pPr>
        <w:spacing w:after="0" w:line="240" w:lineRule="auto"/>
        <w:jc w:val="both"/>
        <w:rPr>
          <w:rFonts w:asciiTheme="minorHAnsi" w:eastAsia="Times New Roman" w:hAnsiTheme="minorHAnsi" w:cs="Arial"/>
          <w:bCs/>
        </w:rPr>
      </w:pPr>
      <w:r w:rsidRPr="009702B0">
        <w:rPr>
          <w:rFonts w:asciiTheme="minorHAnsi" w:eastAsia="Times New Roman" w:hAnsiTheme="minorHAnsi" w:cs="Arial"/>
          <w:bCs/>
        </w:rPr>
        <w:t>Assumptions used in preparing the interest risk sensitivity analysis relate to possible changes in reference interest rates in order to assess the hypothetical effect on HBOR’s profit.</w:t>
      </w:r>
    </w:p>
    <w:p w14:paraId="60484B7E" w14:textId="77777777" w:rsidR="009702B0" w:rsidRPr="009702B0" w:rsidRDefault="009702B0" w:rsidP="009702B0">
      <w:pPr>
        <w:spacing w:after="0" w:line="240" w:lineRule="auto"/>
        <w:jc w:val="both"/>
        <w:rPr>
          <w:rFonts w:asciiTheme="minorHAnsi" w:eastAsia="Times New Roman" w:hAnsiTheme="minorHAnsi" w:cs="Arial"/>
          <w:bCs/>
        </w:rPr>
      </w:pPr>
    </w:p>
    <w:p w14:paraId="5085167C" w14:textId="77777777" w:rsidR="009702B0" w:rsidRPr="009702B0" w:rsidRDefault="009702B0" w:rsidP="009702B0">
      <w:pPr>
        <w:keepNext/>
        <w:spacing w:after="0" w:line="240" w:lineRule="auto"/>
        <w:jc w:val="both"/>
        <w:rPr>
          <w:rFonts w:asciiTheme="minorHAnsi" w:eastAsia="Times New Roman" w:hAnsiTheme="minorHAnsi" w:cs="Arial"/>
          <w:bCs/>
        </w:rPr>
      </w:pPr>
      <w:r w:rsidRPr="009702B0">
        <w:rPr>
          <w:rFonts w:asciiTheme="minorHAnsi" w:eastAsia="Times New Roman" w:hAnsiTheme="minorHAnsi" w:cs="Arial"/>
          <w:bCs/>
        </w:rPr>
        <w:t>Volatility of reference interest rates in the previous 12 months has been determined using the standard deviation method</w:t>
      </w:r>
      <w:r w:rsidRPr="009702B0">
        <w:rPr>
          <w:rFonts w:asciiTheme="minorHAnsi" w:eastAsia="Times New Roman" w:hAnsiTheme="minorHAnsi"/>
          <w:bCs/>
        </w:rPr>
        <w:t xml:space="preserve"> </w:t>
      </w:r>
      <w:r w:rsidRPr="009702B0">
        <w:rPr>
          <w:rFonts w:asciiTheme="minorHAnsi" w:eastAsia="Times New Roman" w:hAnsiTheme="minorHAnsi" w:cs="Arial"/>
          <w:bCs/>
        </w:rPr>
        <w:t>on the daily changes of the reference interest rates linked to EUR and USD. On the basis of the above volatility, possible changes in reference interest rates linked to EUR and USD have been established and used in the sensitivity analysis.</w:t>
      </w:r>
    </w:p>
    <w:p w14:paraId="1CBC7A9A" w14:textId="77777777" w:rsidR="009702B0" w:rsidRPr="009702B0" w:rsidRDefault="009702B0" w:rsidP="009702B0">
      <w:pPr>
        <w:keepNext/>
        <w:spacing w:after="0" w:line="240" w:lineRule="auto"/>
        <w:jc w:val="both"/>
        <w:rPr>
          <w:rFonts w:asciiTheme="minorHAnsi" w:eastAsia="Times New Roman" w:hAnsiTheme="minorHAnsi" w:cs="Arial"/>
        </w:rPr>
      </w:pPr>
    </w:p>
    <w:p w14:paraId="05B81A79" w14:textId="77777777" w:rsidR="009702B0" w:rsidRPr="009702B0" w:rsidRDefault="009702B0" w:rsidP="009702B0">
      <w:pPr>
        <w:spacing w:after="0" w:line="240" w:lineRule="auto"/>
        <w:jc w:val="both"/>
        <w:rPr>
          <w:rFonts w:asciiTheme="minorHAnsi" w:eastAsia="Times New Roman" w:hAnsiTheme="minorHAnsi" w:cs="Arial"/>
          <w:bCs/>
        </w:rPr>
      </w:pPr>
      <w:r w:rsidRPr="009702B0">
        <w:rPr>
          <w:rFonts w:asciiTheme="minorHAnsi" w:eastAsia="Times New Roman" w:hAnsiTheme="minorHAnsi" w:cs="Arial"/>
          <w:bCs/>
        </w:rPr>
        <w:t>The analysis presents the sensitivity of interest rates to reasonably expected changes in basis points. All other variables remain constant.</w:t>
      </w:r>
    </w:p>
    <w:p w14:paraId="02DC541A" w14:textId="77777777" w:rsidR="009702B0" w:rsidRPr="009702B0" w:rsidRDefault="009702B0" w:rsidP="009702B0">
      <w:pPr>
        <w:spacing w:after="0" w:line="240" w:lineRule="auto"/>
        <w:jc w:val="both"/>
        <w:rPr>
          <w:rFonts w:asciiTheme="minorHAnsi" w:eastAsia="Times New Roman" w:hAnsiTheme="minorHAnsi" w:cs="Arial"/>
          <w:bCs/>
        </w:rPr>
      </w:pPr>
    </w:p>
    <w:p w14:paraId="59930924" w14:textId="77777777" w:rsidR="009702B0" w:rsidRPr="009702B0" w:rsidRDefault="009702B0" w:rsidP="009702B0">
      <w:pPr>
        <w:spacing w:after="0" w:line="240" w:lineRule="auto"/>
        <w:jc w:val="both"/>
        <w:rPr>
          <w:rFonts w:asciiTheme="minorHAnsi" w:eastAsia="Times New Roman" w:hAnsiTheme="minorHAnsi" w:cs="Arial"/>
          <w:bCs/>
        </w:rPr>
      </w:pPr>
      <w:r w:rsidRPr="009702B0">
        <w:rPr>
          <w:rFonts w:asciiTheme="minorHAnsi" w:eastAsia="Times New Roman" w:hAnsiTheme="minorHAnsi" w:cs="Arial"/>
          <w:bCs/>
        </w:rPr>
        <w:t>The sensitivity of profit is influenced by hypothetical changes in interest rates during a period of one year based on interest bearing assets and liabilities with a variable interest rate.</w:t>
      </w:r>
    </w:p>
    <w:p w14:paraId="78D27D8C" w14:textId="77777777" w:rsidR="009702B0" w:rsidRPr="009702B0" w:rsidRDefault="009702B0" w:rsidP="009702B0">
      <w:pPr>
        <w:keepNext/>
        <w:spacing w:after="0" w:line="240" w:lineRule="auto"/>
        <w:ind w:left="709" w:hanging="709"/>
        <w:jc w:val="both"/>
        <w:rPr>
          <w:rFonts w:asciiTheme="minorHAnsi" w:eastAsia="Times New Roman" w:hAnsiTheme="minorHAnsi" w:cs="Arial"/>
          <w:b/>
          <w:bCs/>
        </w:rPr>
      </w:pPr>
    </w:p>
    <w:p w14:paraId="3E27620A" w14:textId="77777777" w:rsidR="009702B0" w:rsidRPr="009702B0" w:rsidRDefault="009702B0" w:rsidP="009702B0">
      <w:pPr>
        <w:keepNext/>
        <w:spacing w:after="0" w:line="240" w:lineRule="auto"/>
        <w:ind w:left="709" w:hanging="709"/>
        <w:jc w:val="both"/>
        <w:rPr>
          <w:rFonts w:eastAsia="Times New Roman" w:cs="Arial"/>
          <w:b/>
          <w:bCs/>
        </w:rPr>
      </w:pPr>
    </w:p>
    <w:tbl>
      <w:tblPr>
        <w:tblW w:w="5000" w:type="pct"/>
        <w:jc w:val="right"/>
        <w:tblLook w:val="01E0" w:firstRow="1" w:lastRow="1" w:firstColumn="1" w:lastColumn="1" w:noHBand="0" w:noVBand="0"/>
      </w:tblPr>
      <w:tblGrid>
        <w:gridCol w:w="2458"/>
        <w:gridCol w:w="1772"/>
        <w:gridCol w:w="1706"/>
        <w:gridCol w:w="1706"/>
        <w:gridCol w:w="1712"/>
      </w:tblGrid>
      <w:tr w:rsidR="009702B0" w:rsidRPr="009702B0" w14:paraId="7F296E32" w14:textId="77777777" w:rsidTr="00747C99">
        <w:trPr>
          <w:trHeight w:hRule="exact" w:val="832"/>
          <w:jc w:val="right"/>
        </w:trPr>
        <w:tc>
          <w:tcPr>
            <w:tcW w:w="1314" w:type="pct"/>
            <w:shd w:val="clear" w:color="auto" w:fill="auto"/>
          </w:tcPr>
          <w:p w14:paraId="07E8EEFB" w14:textId="77777777" w:rsidR="009702B0" w:rsidRPr="009702B0" w:rsidRDefault="009702B0" w:rsidP="009702B0">
            <w:pPr>
              <w:spacing w:before="240" w:after="120" w:line="360" w:lineRule="auto"/>
              <w:jc w:val="both"/>
              <w:rPr>
                <w:rFonts w:asciiTheme="minorHAnsi" w:eastAsia="Times New Roman" w:hAnsiTheme="minorHAnsi" w:cs="Arial"/>
                <w:bCs/>
                <w:kern w:val="19"/>
                <w:sz w:val="20"/>
                <w:szCs w:val="20"/>
              </w:rPr>
            </w:pPr>
            <w:r w:rsidRPr="009702B0">
              <w:rPr>
                <w:rFonts w:asciiTheme="minorHAnsi" w:eastAsia="Times New Roman" w:hAnsiTheme="minorHAnsi" w:cs="Arial"/>
                <w:b/>
                <w:bCs/>
                <w:kern w:val="19"/>
                <w:sz w:val="20"/>
                <w:szCs w:val="20"/>
              </w:rPr>
              <w:t>Currency</w:t>
            </w:r>
          </w:p>
        </w:tc>
        <w:tc>
          <w:tcPr>
            <w:tcW w:w="947" w:type="pct"/>
            <w:shd w:val="clear" w:color="auto" w:fill="auto"/>
          </w:tcPr>
          <w:p w14:paraId="0E24C264" w14:textId="77777777" w:rsidR="009702B0" w:rsidRPr="009702B0" w:rsidRDefault="009702B0" w:rsidP="009702B0">
            <w:pPr>
              <w:spacing w:after="0" w:line="0" w:lineRule="atLeast"/>
              <w:jc w:val="right"/>
              <w:rPr>
                <w:rFonts w:asciiTheme="minorHAnsi" w:eastAsia="Times New Roman" w:hAnsiTheme="minorHAnsi" w:cs="Arial"/>
                <w:b/>
                <w:bCs/>
                <w:kern w:val="19"/>
                <w:sz w:val="20"/>
                <w:szCs w:val="20"/>
              </w:rPr>
            </w:pPr>
            <w:r w:rsidRPr="009702B0">
              <w:rPr>
                <w:rFonts w:asciiTheme="minorHAnsi" w:eastAsia="Times New Roman" w:hAnsiTheme="minorHAnsi" w:cs="Arial"/>
                <w:b/>
                <w:bCs/>
                <w:kern w:val="19"/>
                <w:sz w:val="20"/>
                <w:szCs w:val="20"/>
              </w:rPr>
              <w:t xml:space="preserve">Increase in </w:t>
            </w:r>
            <w:proofErr w:type="spellStart"/>
            <w:r w:rsidRPr="009702B0">
              <w:rPr>
                <w:rFonts w:asciiTheme="minorHAnsi" w:eastAsia="Times New Roman" w:hAnsiTheme="minorHAnsi" w:cs="Arial"/>
                <w:b/>
                <w:bCs/>
                <w:kern w:val="19"/>
                <w:sz w:val="20"/>
                <w:szCs w:val="20"/>
              </w:rPr>
              <w:t>b.p</w:t>
            </w:r>
            <w:proofErr w:type="spellEnd"/>
            <w:r w:rsidRPr="009702B0">
              <w:rPr>
                <w:rFonts w:asciiTheme="minorHAnsi" w:eastAsia="Times New Roman" w:hAnsiTheme="minorHAnsi" w:cs="Arial"/>
                <w:b/>
                <w:bCs/>
                <w:kern w:val="19"/>
                <w:sz w:val="20"/>
                <w:szCs w:val="20"/>
              </w:rPr>
              <w:t>.</w:t>
            </w:r>
          </w:p>
          <w:p w14:paraId="5439B904" w14:textId="77777777" w:rsidR="00BA1AC9" w:rsidRDefault="00BA1AC9" w:rsidP="009702B0">
            <w:pPr>
              <w:spacing w:after="0" w:line="0" w:lineRule="atLeast"/>
              <w:jc w:val="right"/>
              <w:rPr>
                <w:rFonts w:asciiTheme="minorHAnsi" w:eastAsia="Times New Roman" w:hAnsiTheme="minorHAnsi" w:cs="Arial"/>
                <w:b/>
                <w:bCs/>
                <w:kern w:val="19"/>
                <w:sz w:val="20"/>
                <w:szCs w:val="20"/>
              </w:rPr>
            </w:pPr>
            <w:r>
              <w:rPr>
                <w:rFonts w:asciiTheme="minorHAnsi" w:eastAsia="Times New Roman" w:hAnsiTheme="minorHAnsi" w:cs="Arial"/>
                <w:b/>
                <w:bCs/>
                <w:kern w:val="19"/>
                <w:sz w:val="20"/>
                <w:szCs w:val="20"/>
              </w:rPr>
              <w:t>Jan 1 to</w:t>
            </w:r>
          </w:p>
          <w:p w14:paraId="33423A70" w14:textId="072DC434" w:rsidR="009702B0" w:rsidRPr="009702B0" w:rsidRDefault="00B56E29" w:rsidP="009702B0">
            <w:pPr>
              <w:spacing w:after="0" w:line="0" w:lineRule="atLeast"/>
              <w:jc w:val="right"/>
              <w:rPr>
                <w:rFonts w:asciiTheme="minorHAnsi" w:eastAsia="Times New Roman" w:hAnsiTheme="minorHAnsi" w:cs="Arial"/>
                <w:b/>
                <w:bCs/>
                <w:kern w:val="19"/>
                <w:sz w:val="20"/>
                <w:szCs w:val="20"/>
              </w:rPr>
            </w:pPr>
            <w:r>
              <w:rPr>
                <w:rFonts w:asciiTheme="minorHAnsi" w:eastAsia="Times New Roman" w:hAnsiTheme="minorHAnsi" w:cs="Arial"/>
                <w:b/>
                <w:bCs/>
                <w:kern w:val="19"/>
                <w:sz w:val="20"/>
                <w:szCs w:val="20"/>
              </w:rPr>
              <w:t xml:space="preserve">Sep </w:t>
            </w:r>
            <w:r w:rsidR="005C621F">
              <w:rPr>
                <w:rFonts w:asciiTheme="minorHAnsi" w:eastAsia="Times New Roman" w:hAnsiTheme="minorHAnsi" w:cs="Arial"/>
                <w:b/>
                <w:bCs/>
                <w:kern w:val="19"/>
                <w:sz w:val="20"/>
                <w:szCs w:val="20"/>
              </w:rPr>
              <w:t>30</w:t>
            </w:r>
            <w:r w:rsidR="004F248E">
              <w:rPr>
                <w:rFonts w:asciiTheme="minorHAnsi" w:eastAsia="Times New Roman" w:hAnsiTheme="minorHAnsi" w:cs="Arial"/>
                <w:b/>
                <w:bCs/>
                <w:kern w:val="19"/>
                <w:sz w:val="20"/>
                <w:szCs w:val="20"/>
              </w:rPr>
              <w:t>, 2017</w:t>
            </w:r>
          </w:p>
          <w:p w14:paraId="0EC8B8CD" w14:textId="77777777" w:rsidR="009702B0" w:rsidRPr="009702B0" w:rsidRDefault="009702B0" w:rsidP="009702B0">
            <w:pPr>
              <w:spacing w:after="0" w:line="0" w:lineRule="atLeast"/>
              <w:jc w:val="right"/>
              <w:rPr>
                <w:rFonts w:asciiTheme="minorHAnsi" w:eastAsia="Times New Roman" w:hAnsiTheme="minorHAnsi" w:cs="Arial"/>
                <w:b/>
                <w:bCs/>
                <w:kern w:val="19"/>
                <w:sz w:val="20"/>
                <w:szCs w:val="20"/>
              </w:rPr>
            </w:pPr>
          </w:p>
        </w:tc>
        <w:tc>
          <w:tcPr>
            <w:tcW w:w="912" w:type="pct"/>
            <w:shd w:val="clear" w:color="auto" w:fill="auto"/>
          </w:tcPr>
          <w:p w14:paraId="45664958" w14:textId="77777777" w:rsidR="009702B0" w:rsidRPr="009702B0" w:rsidRDefault="009702B0" w:rsidP="009702B0">
            <w:pPr>
              <w:spacing w:after="0" w:line="0" w:lineRule="atLeast"/>
              <w:jc w:val="right"/>
              <w:rPr>
                <w:rFonts w:asciiTheme="minorHAnsi" w:eastAsia="Times New Roman" w:hAnsiTheme="minorHAnsi" w:cs="Arial"/>
                <w:b/>
                <w:bCs/>
                <w:kern w:val="19"/>
                <w:sz w:val="20"/>
                <w:szCs w:val="20"/>
              </w:rPr>
            </w:pPr>
            <w:r w:rsidRPr="009702B0">
              <w:rPr>
                <w:rFonts w:asciiTheme="minorHAnsi" w:eastAsia="Times New Roman" w:hAnsiTheme="minorHAnsi" w:cs="Arial"/>
                <w:b/>
                <w:bCs/>
                <w:kern w:val="19"/>
                <w:sz w:val="20"/>
                <w:szCs w:val="20"/>
              </w:rPr>
              <w:t>Effect on profit</w:t>
            </w:r>
          </w:p>
          <w:p w14:paraId="08295C6B" w14:textId="77777777" w:rsidR="00BA1AC9" w:rsidRDefault="003F018C" w:rsidP="009702B0">
            <w:pPr>
              <w:spacing w:after="0" w:line="0" w:lineRule="atLeast"/>
              <w:jc w:val="right"/>
              <w:rPr>
                <w:rFonts w:asciiTheme="minorHAnsi" w:eastAsia="Times New Roman" w:hAnsiTheme="minorHAnsi" w:cs="Arial"/>
                <w:b/>
                <w:bCs/>
                <w:kern w:val="19"/>
                <w:sz w:val="20"/>
                <w:szCs w:val="20"/>
              </w:rPr>
            </w:pPr>
            <w:r>
              <w:rPr>
                <w:rFonts w:asciiTheme="minorHAnsi" w:eastAsia="Times New Roman" w:hAnsiTheme="minorHAnsi" w:cs="Arial"/>
                <w:b/>
                <w:bCs/>
                <w:kern w:val="19"/>
                <w:sz w:val="20"/>
                <w:szCs w:val="20"/>
              </w:rPr>
              <w:t xml:space="preserve">Jan 1 to </w:t>
            </w:r>
          </w:p>
          <w:p w14:paraId="001889A4" w14:textId="01CCBFC8" w:rsidR="009702B0" w:rsidRPr="009702B0" w:rsidRDefault="00B56E29" w:rsidP="009702B0">
            <w:pPr>
              <w:spacing w:after="0" w:line="0" w:lineRule="atLeast"/>
              <w:jc w:val="right"/>
              <w:rPr>
                <w:rFonts w:asciiTheme="minorHAnsi" w:eastAsia="Times New Roman" w:hAnsiTheme="minorHAnsi" w:cs="Arial"/>
                <w:b/>
                <w:bCs/>
                <w:kern w:val="19"/>
                <w:sz w:val="20"/>
                <w:szCs w:val="20"/>
              </w:rPr>
            </w:pPr>
            <w:r>
              <w:rPr>
                <w:rFonts w:asciiTheme="minorHAnsi" w:eastAsia="Times New Roman" w:hAnsiTheme="minorHAnsi" w:cs="Arial"/>
                <w:b/>
                <w:bCs/>
                <w:kern w:val="19"/>
                <w:sz w:val="20"/>
                <w:szCs w:val="20"/>
              </w:rPr>
              <w:t>Sep</w:t>
            </w:r>
            <w:r w:rsidRPr="005C621F">
              <w:rPr>
                <w:rFonts w:asciiTheme="minorHAnsi" w:eastAsia="Times New Roman" w:hAnsiTheme="minorHAnsi" w:cs="Arial"/>
                <w:b/>
                <w:bCs/>
                <w:kern w:val="19"/>
                <w:sz w:val="20"/>
                <w:szCs w:val="20"/>
              </w:rPr>
              <w:t xml:space="preserve"> </w:t>
            </w:r>
            <w:r w:rsidR="005C621F" w:rsidRPr="005C621F">
              <w:rPr>
                <w:rFonts w:asciiTheme="minorHAnsi" w:eastAsia="Times New Roman" w:hAnsiTheme="minorHAnsi" w:cs="Arial"/>
                <w:b/>
                <w:bCs/>
                <w:kern w:val="19"/>
                <w:sz w:val="20"/>
                <w:szCs w:val="20"/>
              </w:rPr>
              <w:t>30</w:t>
            </w:r>
            <w:r w:rsidR="004F248E" w:rsidRPr="004F248E">
              <w:rPr>
                <w:rFonts w:asciiTheme="minorHAnsi" w:eastAsia="Times New Roman" w:hAnsiTheme="minorHAnsi" w:cs="Arial"/>
                <w:b/>
                <w:bCs/>
                <w:kern w:val="19"/>
                <w:sz w:val="20"/>
                <w:szCs w:val="20"/>
              </w:rPr>
              <w:t>, 2017</w:t>
            </w:r>
          </w:p>
        </w:tc>
        <w:tc>
          <w:tcPr>
            <w:tcW w:w="912" w:type="pct"/>
            <w:shd w:val="clear" w:color="auto" w:fill="auto"/>
          </w:tcPr>
          <w:p w14:paraId="486515CB" w14:textId="77777777" w:rsidR="009702B0" w:rsidRPr="009702B0" w:rsidRDefault="009702B0" w:rsidP="009702B0">
            <w:pPr>
              <w:spacing w:after="0" w:line="0" w:lineRule="atLeast"/>
              <w:jc w:val="right"/>
              <w:rPr>
                <w:rFonts w:asciiTheme="minorHAnsi" w:eastAsia="Times New Roman" w:hAnsiTheme="minorHAnsi" w:cs="Arial"/>
                <w:b/>
                <w:bCs/>
                <w:kern w:val="19"/>
                <w:sz w:val="20"/>
                <w:szCs w:val="20"/>
              </w:rPr>
            </w:pPr>
            <w:r w:rsidRPr="009702B0">
              <w:rPr>
                <w:rFonts w:asciiTheme="minorHAnsi" w:eastAsia="Times New Roman" w:hAnsiTheme="minorHAnsi" w:cs="Arial"/>
                <w:b/>
                <w:bCs/>
                <w:kern w:val="19"/>
                <w:sz w:val="20"/>
                <w:szCs w:val="20"/>
              </w:rPr>
              <w:t>Increase in</w:t>
            </w:r>
          </w:p>
          <w:p w14:paraId="2E42DE96" w14:textId="77777777" w:rsidR="00BA1AC9" w:rsidRDefault="009702B0" w:rsidP="004F248E">
            <w:pPr>
              <w:spacing w:after="0" w:line="0" w:lineRule="atLeast"/>
              <w:jc w:val="right"/>
              <w:rPr>
                <w:rFonts w:asciiTheme="minorHAnsi" w:eastAsia="Times New Roman" w:hAnsiTheme="minorHAnsi" w:cs="Arial"/>
                <w:b/>
                <w:bCs/>
                <w:kern w:val="19"/>
                <w:sz w:val="20"/>
                <w:szCs w:val="20"/>
              </w:rPr>
            </w:pPr>
            <w:r w:rsidRPr="009702B0">
              <w:rPr>
                <w:rFonts w:asciiTheme="minorHAnsi" w:eastAsia="Times New Roman" w:hAnsiTheme="minorHAnsi" w:cs="Arial"/>
                <w:b/>
                <w:bCs/>
                <w:kern w:val="19"/>
                <w:sz w:val="20"/>
                <w:szCs w:val="20"/>
              </w:rPr>
              <w:t xml:space="preserve"> </w:t>
            </w:r>
            <w:proofErr w:type="spellStart"/>
            <w:r w:rsidRPr="009702B0">
              <w:rPr>
                <w:rFonts w:asciiTheme="minorHAnsi" w:eastAsia="Times New Roman" w:hAnsiTheme="minorHAnsi" w:cs="Arial"/>
                <w:b/>
                <w:bCs/>
                <w:kern w:val="19"/>
                <w:sz w:val="20"/>
                <w:szCs w:val="20"/>
              </w:rPr>
              <w:t>b.p</w:t>
            </w:r>
            <w:proofErr w:type="spellEnd"/>
            <w:r w:rsidRPr="009702B0">
              <w:rPr>
                <w:rFonts w:asciiTheme="minorHAnsi" w:eastAsia="Times New Roman" w:hAnsiTheme="minorHAnsi" w:cs="Arial"/>
                <w:b/>
                <w:bCs/>
                <w:kern w:val="19"/>
                <w:sz w:val="20"/>
                <w:szCs w:val="20"/>
              </w:rPr>
              <w:t>.</w:t>
            </w:r>
            <w:r w:rsidRPr="009702B0" w:rsidDel="00825671">
              <w:rPr>
                <w:rFonts w:asciiTheme="minorHAnsi" w:eastAsia="Times New Roman" w:hAnsiTheme="minorHAnsi" w:cs="Arial"/>
                <w:b/>
                <w:bCs/>
                <w:kern w:val="19"/>
                <w:sz w:val="20"/>
                <w:szCs w:val="20"/>
              </w:rPr>
              <w:t xml:space="preserve"> </w:t>
            </w:r>
            <w:r w:rsidR="00BA1AC9">
              <w:rPr>
                <w:rFonts w:asciiTheme="minorHAnsi" w:eastAsia="Times New Roman" w:hAnsiTheme="minorHAnsi" w:cs="Arial"/>
                <w:b/>
                <w:bCs/>
                <w:kern w:val="19"/>
                <w:sz w:val="20"/>
                <w:szCs w:val="20"/>
              </w:rPr>
              <w:t xml:space="preserve">Jan 1 to </w:t>
            </w:r>
          </w:p>
          <w:p w14:paraId="6901F5F2" w14:textId="60EF8593" w:rsidR="009702B0" w:rsidRPr="009702B0" w:rsidRDefault="00BA1AC9" w:rsidP="004F248E">
            <w:pPr>
              <w:spacing w:after="0" w:line="0" w:lineRule="atLeast"/>
              <w:jc w:val="right"/>
              <w:rPr>
                <w:rFonts w:asciiTheme="minorHAnsi" w:eastAsia="Times New Roman" w:hAnsiTheme="minorHAnsi" w:cs="Arial"/>
                <w:b/>
                <w:bCs/>
                <w:kern w:val="19"/>
                <w:sz w:val="20"/>
                <w:szCs w:val="20"/>
              </w:rPr>
            </w:pPr>
            <w:r>
              <w:rPr>
                <w:rFonts w:asciiTheme="minorHAnsi" w:eastAsia="Times New Roman" w:hAnsiTheme="minorHAnsi" w:cs="Arial"/>
                <w:b/>
                <w:bCs/>
                <w:kern w:val="19"/>
                <w:sz w:val="20"/>
                <w:szCs w:val="20"/>
              </w:rPr>
              <w:t>Dec 31,</w:t>
            </w:r>
            <w:r w:rsidR="009702B0" w:rsidRPr="009702B0">
              <w:rPr>
                <w:rFonts w:asciiTheme="minorHAnsi" w:eastAsia="Times New Roman" w:hAnsiTheme="minorHAnsi" w:cs="Arial"/>
                <w:b/>
                <w:bCs/>
                <w:kern w:val="19"/>
                <w:sz w:val="20"/>
                <w:szCs w:val="20"/>
              </w:rPr>
              <w:t xml:space="preserve"> 201</w:t>
            </w:r>
            <w:r w:rsidR="004F248E">
              <w:rPr>
                <w:rFonts w:asciiTheme="minorHAnsi" w:eastAsia="Times New Roman" w:hAnsiTheme="minorHAnsi" w:cs="Arial"/>
                <w:b/>
                <w:bCs/>
                <w:kern w:val="19"/>
                <w:sz w:val="20"/>
                <w:szCs w:val="20"/>
              </w:rPr>
              <w:t>6</w:t>
            </w:r>
          </w:p>
        </w:tc>
        <w:tc>
          <w:tcPr>
            <w:tcW w:w="915" w:type="pct"/>
            <w:shd w:val="clear" w:color="auto" w:fill="auto"/>
          </w:tcPr>
          <w:p w14:paraId="0B452D4B" w14:textId="77777777" w:rsidR="009702B0" w:rsidRPr="009702B0" w:rsidRDefault="009702B0" w:rsidP="009702B0">
            <w:pPr>
              <w:spacing w:after="0" w:line="0" w:lineRule="atLeast"/>
              <w:jc w:val="right"/>
              <w:rPr>
                <w:rFonts w:asciiTheme="minorHAnsi" w:eastAsia="Times New Roman" w:hAnsiTheme="minorHAnsi" w:cs="Arial"/>
                <w:b/>
                <w:bCs/>
                <w:kern w:val="19"/>
                <w:sz w:val="20"/>
                <w:szCs w:val="20"/>
              </w:rPr>
            </w:pPr>
            <w:r w:rsidRPr="009702B0">
              <w:rPr>
                <w:rFonts w:asciiTheme="minorHAnsi" w:eastAsia="Times New Roman" w:hAnsiTheme="minorHAnsi" w:cs="Arial"/>
                <w:b/>
                <w:bCs/>
                <w:kern w:val="19"/>
                <w:sz w:val="20"/>
                <w:szCs w:val="20"/>
              </w:rPr>
              <w:t>Effect on profit</w:t>
            </w:r>
          </w:p>
          <w:p w14:paraId="44BCB65C" w14:textId="77777777" w:rsidR="00BA1AC9" w:rsidRDefault="00BA1AC9" w:rsidP="009702B0">
            <w:pPr>
              <w:spacing w:after="0" w:line="0" w:lineRule="atLeast"/>
              <w:jc w:val="right"/>
              <w:rPr>
                <w:rFonts w:asciiTheme="minorHAnsi" w:eastAsia="Times New Roman" w:hAnsiTheme="minorHAnsi" w:cs="Arial"/>
                <w:b/>
                <w:bCs/>
                <w:kern w:val="19"/>
                <w:sz w:val="20"/>
                <w:szCs w:val="20"/>
              </w:rPr>
            </w:pPr>
            <w:r>
              <w:rPr>
                <w:rFonts w:asciiTheme="minorHAnsi" w:eastAsia="Times New Roman" w:hAnsiTheme="minorHAnsi" w:cs="Arial"/>
                <w:b/>
                <w:bCs/>
                <w:kern w:val="19"/>
                <w:sz w:val="20"/>
                <w:szCs w:val="20"/>
              </w:rPr>
              <w:t>Jan 1 to</w:t>
            </w:r>
          </w:p>
          <w:p w14:paraId="77E74AB1" w14:textId="5FE432D7" w:rsidR="009702B0" w:rsidRPr="009702B0" w:rsidRDefault="00BA1AC9" w:rsidP="009702B0">
            <w:pPr>
              <w:spacing w:after="0" w:line="0" w:lineRule="atLeast"/>
              <w:jc w:val="right"/>
              <w:rPr>
                <w:rFonts w:asciiTheme="minorHAnsi" w:eastAsia="Times New Roman" w:hAnsiTheme="minorHAnsi" w:cs="Arial"/>
                <w:b/>
                <w:bCs/>
                <w:kern w:val="19"/>
                <w:sz w:val="20"/>
                <w:szCs w:val="20"/>
              </w:rPr>
            </w:pPr>
            <w:r>
              <w:rPr>
                <w:rFonts w:asciiTheme="minorHAnsi" w:eastAsia="Times New Roman" w:hAnsiTheme="minorHAnsi" w:cs="Arial"/>
                <w:b/>
                <w:bCs/>
                <w:kern w:val="19"/>
                <w:sz w:val="20"/>
                <w:szCs w:val="20"/>
              </w:rPr>
              <w:t xml:space="preserve">Dec 31, </w:t>
            </w:r>
            <w:r w:rsidR="004F248E">
              <w:rPr>
                <w:rFonts w:asciiTheme="minorHAnsi" w:eastAsia="Times New Roman" w:hAnsiTheme="minorHAnsi" w:cs="Arial"/>
                <w:b/>
                <w:bCs/>
                <w:kern w:val="19"/>
                <w:sz w:val="20"/>
                <w:szCs w:val="20"/>
              </w:rPr>
              <w:t>2016</w:t>
            </w:r>
          </w:p>
        </w:tc>
      </w:tr>
      <w:tr w:rsidR="009702B0" w:rsidRPr="009702B0" w14:paraId="1D8EED1A" w14:textId="77777777" w:rsidTr="009702B0">
        <w:trPr>
          <w:trHeight w:hRule="exact" w:val="279"/>
          <w:jc w:val="right"/>
        </w:trPr>
        <w:tc>
          <w:tcPr>
            <w:tcW w:w="1314" w:type="pct"/>
            <w:shd w:val="clear" w:color="auto" w:fill="auto"/>
          </w:tcPr>
          <w:p w14:paraId="737564C7" w14:textId="77777777" w:rsidR="009702B0" w:rsidRPr="009702B0" w:rsidRDefault="009702B0" w:rsidP="009702B0">
            <w:pPr>
              <w:spacing w:before="240" w:after="120" w:line="360" w:lineRule="auto"/>
              <w:jc w:val="both"/>
              <w:rPr>
                <w:rFonts w:asciiTheme="minorHAnsi" w:eastAsia="Times New Roman" w:hAnsiTheme="minorHAnsi" w:cs="Arial"/>
                <w:bCs/>
                <w:kern w:val="19"/>
                <w:sz w:val="20"/>
                <w:szCs w:val="20"/>
              </w:rPr>
            </w:pPr>
          </w:p>
        </w:tc>
        <w:tc>
          <w:tcPr>
            <w:tcW w:w="947" w:type="pct"/>
            <w:shd w:val="clear" w:color="auto" w:fill="auto"/>
            <w:vAlign w:val="center"/>
          </w:tcPr>
          <w:p w14:paraId="79A826CB" w14:textId="77777777" w:rsidR="009702B0" w:rsidRPr="009702B0" w:rsidRDefault="009702B0" w:rsidP="009702B0">
            <w:pPr>
              <w:spacing w:after="0" w:line="0" w:lineRule="atLeast"/>
              <w:jc w:val="right"/>
              <w:rPr>
                <w:rFonts w:asciiTheme="minorHAnsi" w:eastAsia="Times New Roman" w:hAnsiTheme="minorHAnsi" w:cs="Arial"/>
                <w:b/>
                <w:bCs/>
                <w:kern w:val="19"/>
                <w:sz w:val="20"/>
                <w:szCs w:val="20"/>
              </w:rPr>
            </w:pPr>
          </w:p>
        </w:tc>
        <w:tc>
          <w:tcPr>
            <w:tcW w:w="912" w:type="pct"/>
            <w:shd w:val="clear" w:color="auto" w:fill="auto"/>
            <w:vAlign w:val="center"/>
          </w:tcPr>
          <w:p w14:paraId="42E5275E" w14:textId="77777777" w:rsidR="009702B0" w:rsidRPr="009702B0" w:rsidRDefault="009702B0" w:rsidP="009702B0">
            <w:pPr>
              <w:spacing w:after="0" w:line="0" w:lineRule="atLeast"/>
              <w:jc w:val="right"/>
              <w:rPr>
                <w:rFonts w:asciiTheme="minorHAnsi" w:eastAsia="Times New Roman" w:hAnsiTheme="minorHAnsi" w:cs="Arial"/>
                <w:b/>
                <w:bCs/>
                <w:kern w:val="19"/>
                <w:sz w:val="20"/>
                <w:szCs w:val="20"/>
              </w:rPr>
            </w:pPr>
            <w:r w:rsidRPr="009702B0">
              <w:rPr>
                <w:rFonts w:asciiTheme="minorHAnsi" w:eastAsia="Times New Roman" w:hAnsiTheme="minorHAnsi" w:cs="Arial"/>
                <w:b/>
                <w:kern w:val="19"/>
                <w:sz w:val="20"/>
                <w:szCs w:val="20"/>
              </w:rPr>
              <w:t>HRK '000</w:t>
            </w:r>
          </w:p>
        </w:tc>
        <w:tc>
          <w:tcPr>
            <w:tcW w:w="912" w:type="pct"/>
            <w:shd w:val="clear" w:color="auto" w:fill="auto"/>
            <w:vAlign w:val="center"/>
          </w:tcPr>
          <w:p w14:paraId="6C241118" w14:textId="77777777" w:rsidR="009702B0" w:rsidRPr="009702B0" w:rsidRDefault="009702B0" w:rsidP="009702B0">
            <w:pPr>
              <w:spacing w:after="0" w:line="0" w:lineRule="atLeast"/>
              <w:jc w:val="right"/>
              <w:rPr>
                <w:rFonts w:asciiTheme="minorHAnsi" w:eastAsia="Times New Roman" w:hAnsiTheme="minorHAnsi" w:cs="Arial"/>
                <w:b/>
                <w:bCs/>
                <w:kern w:val="19"/>
                <w:sz w:val="20"/>
                <w:szCs w:val="20"/>
              </w:rPr>
            </w:pPr>
          </w:p>
        </w:tc>
        <w:tc>
          <w:tcPr>
            <w:tcW w:w="915" w:type="pct"/>
            <w:shd w:val="clear" w:color="auto" w:fill="auto"/>
            <w:vAlign w:val="center"/>
          </w:tcPr>
          <w:p w14:paraId="3EB0BEA7" w14:textId="77777777" w:rsidR="009702B0" w:rsidRPr="009702B0" w:rsidRDefault="009702B0" w:rsidP="009702B0">
            <w:pPr>
              <w:spacing w:after="0" w:line="0" w:lineRule="atLeast"/>
              <w:jc w:val="right"/>
              <w:rPr>
                <w:rFonts w:asciiTheme="minorHAnsi" w:eastAsia="Times New Roman" w:hAnsiTheme="minorHAnsi" w:cs="Arial"/>
                <w:b/>
                <w:bCs/>
                <w:kern w:val="19"/>
                <w:sz w:val="20"/>
                <w:szCs w:val="20"/>
              </w:rPr>
            </w:pPr>
            <w:r w:rsidRPr="009702B0">
              <w:rPr>
                <w:rFonts w:asciiTheme="minorHAnsi" w:eastAsia="Times New Roman" w:hAnsiTheme="minorHAnsi" w:cs="Arial"/>
                <w:b/>
                <w:kern w:val="19"/>
                <w:sz w:val="20"/>
                <w:szCs w:val="20"/>
              </w:rPr>
              <w:t>HRK '000</w:t>
            </w:r>
          </w:p>
        </w:tc>
      </w:tr>
      <w:tr w:rsidR="009702B0" w:rsidRPr="009702B0" w14:paraId="52BD3888" w14:textId="77777777" w:rsidTr="009702B0">
        <w:trPr>
          <w:trHeight w:hRule="exact" w:val="97"/>
          <w:jc w:val="right"/>
        </w:trPr>
        <w:tc>
          <w:tcPr>
            <w:tcW w:w="1314" w:type="pct"/>
            <w:shd w:val="clear" w:color="auto" w:fill="auto"/>
            <w:vAlign w:val="center"/>
          </w:tcPr>
          <w:p w14:paraId="0F2ACF85" w14:textId="77777777" w:rsidR="009702B0" w:rsidRPr="009702B0" w:rsidRDefault="009702B0" w:rsidP="009702B0">
            <w:pPr>
              <w:spacing w:after="0" w:line="360" w:lineRule="auto"/>
              <w:jc w:val="both"/>
              <w:rPr>
                <w:rFonts w:asciiTheme="minorHAnsi" w:eastAsia="Times New Roman" w:hAnsiTheme="minorHAnsi" w:cs="Arial"/>
                <w:bCs/>
                <w:kern w:val="19"/>
                <w:sz w:val="20"/>
                <w:szCs w:val="20"/>
              </w:rPr>
            </w:pPr>
          </w:p>
        </w:tc>
        <w:tc>
          <w:tcPr>
            <w:tcW w:w="947" w:type="pct"/>
            <w:shd w:val="clear" w:color="auto" w:fill="auto"/>
            <w:vAlign w:val="center"/>
          </w:tcPr>
          <w:p w14:paraId="7867E952" w14:textId="77777777" w:rsidR="009702B0" w:rsidRPr="009702B0" w:rsidRDefault="009702B0" w:rsidP="009702B0">
            <w:pPr>
              <w:spacing w:after="0" w:line="360" w:lineRule="auto"/>
              <w:jc w:val="right"/>
              <w:rPr>
                <w:rFonts w:asciiTheme="minorHAnsi" w:eastAsia="Times New Roman" w:hAnsiTheme="minorHAnsi" w:cs="Arial"/>
                <w:bCs/>
                <w:kern w:val="19"/>
                <w:sz w:val="20"/>
                <w:szCs w:val="20"/>
              </w:rPr>
            </w:pPr>
          </w:p>
        </w:tc>
        <w:tc>
          <w:tcPr>
            <w:tcW w:w="912" w:type="pct"/>
            <w:shd w:val="clear" w:color="auto" w:fill="auto"/>
            <w:vAlign w:val="center"/>
          </w:tcPr>
          <w:p w14:paraId="456EDDFC" w14:textId="77777777" w:rsidR="009702B0" w:rsidRPr="009702B0" w:rsidRDefault="009702B0" w:rsidP="009702B0">
            <w:pPr>
              <w:spacing w:after="0" w:line="360" w:lineRule="auto"/>
              <w:jc w:val="right"/>
              <w:rPr>
                <w:rFonts w:asciiTheme="minorHAnsi" w:eastAsia="Times New Roman" w:hAnsiTheme="minorHAnsi" w:cs="Arial"/>
                <w:bCs/>
                <w:kern w:val="19"/>
                <w:sz w:val="20"/>
                <w:szCs w:val="20"/>
              </w:rPr>
            </w:pPr>
          </w:p>
        </w:tc>
        <w:tc>
          <w:tcPr>
            <w:tcW w:w="912" w:type="pct"/>
            <w:shd w:val="clear" w:color="auto" w:fill="auto"/>
            <w:vAlign w:val="center"/>
          </w:tcPr>
          <w:p w14:paraId="4946D54D" w14:textId="77777777" w:rsidR="009702B0" w:rsidRPr="009702B0" w:rsidRDefault="009702B0" w:rsidP="009702B0">
            <w:pPr>
              <w:spacing w:after="0" w:line="360" w:lineRule="auto"/>
              <w:jc w:val="right"/>
              <w:rPr>
                <w:rFonts w:asciiTheme="minorHAnsi" w:eastAsia="Times New Roman" w:hAnsiTheme="minorHAnsi" w:cs="Arial"/>
                <w:bCs/>
                <w:kern w:val="19"/>
                <w:sz w:val="20"/>
                <w:szCs w:val="20"/>
              </w:rPr>
            </w:pPr>
          </w:p>
        </w:tc>
        <w:tc>
          <w:tcPr>
            <w:tcW w:w="915" w:type="pct"/>
            <w:shd w:val="clear" w:color="auto" w:fill="auto"/>
            <w:vAlign w:val="center"/>
          </w:tcPr>
          <w:p w14:paraId="3D71D320" w14:textId="77777777" w:rsidR="009702B0" w:rsidRPr="009702B0" w:rsidRDefault="009702B0" w:rsidP="009702B0">
            <w:pPr>
              <w:spacing w:after="0" w:line="360" w:lineRule="auto"/>
              <w:jc w:val="right"/>
              <w:rPr>
                <w:rFonts w:asciiTheme="minorHAnsi" w:eastAsia="Times New Roman" w:hAnsiTheme="minorHAnsi" w:cs="Arial"/>
                <w:bCs/>
                <w:kern w:val="19"/>
                <w:sz w:val="20"/>
                <w:szCs w:val="20"/>
              </w:rPr>
            </w:pPr>
          </w:p>
        </w:tc>
      </w:tr>
      <w:tr w:rsidR="00CF4B9B" w:rsidRPr="009702B0" w14:paraId="38B386C8" w14:textId="77777777" w:rsidTr="006B318F">
        <w:trPr>
          <w:trHeight w:hRule="exact" w:val="284"/>
          <w:jc w:val="right"/>
        </w:trPr>
        <w:tc>
          <w:tcPr>
            <w:tcW w:w="1314" w:type="pct"/>
            <w:shd w:val="clear" w:color="auto" w:fill="auto"/>
            <w:vAlign w:val="center"/>
          </w:tcPr>
          <w:p w14:paraId="402EA54E" w14:textId="77777777" w:rsidR="00CF4B9B" w:rsidRPr="009702B0" w:rsidRDefault="00CF4B9B" w:rsidP="00CF4B9B">
            <w:pPr>
              <w:spacing w:after="0" w:line="360" w:lineRule="auto"/>
              <w:jc w:val="both"/>
              <w:rPr>
                <w:rFonts w:asciiTheme="minorHAnsi" w:eastAsia="Times New Roman" w:hAnsiTheme="minorHAnsi" w:cs="Arial"/>
                <w:bCs/>
                <w:kern w:val="19"/>
                <w:sz w:val="20"/>
                <w:szCs w:val="20"/>
              </w:rPr>
            </w:pPr>
            <w:r w:rsidRPr="009702B0">
              <w:rPr>
                <w:rFonts w:asciiTheme="minorHAnsi" w:eastAsia="Times New Roman" w:hAnsiTheme="minorHAnsi" w:cs="Arial"/>
                <w:bCs/>
                <w:kern w:val="19"/>
                <w:sz w:val="20"/>
                <w:szCs w:val="20"/>
              </w:rPr>
              <w:t>EUR</w:t>
            </w:r>
          </w:p>
        </w:tc>
        <w:tc>
          <w:tcPr>
            <w:tcW w:w="947" w:type="pct"/>
            <w:shd w:val="clear" w:color="auto" w:fill="auto"/>
            <w:vAlign w:val="center"/>
          </w:tcPr>
          <w:p w14:paraId="58886A64" w14:textId="26E61AAC" w:rsidR="00CF4B9B" w:rsidRPr="009702B0" w:rsidRDefault="00CF4B9B" w:rsidP="00CF4B9B">
            <w:pPr>
              <w:spacing w:after="0" w:line="360" w:lineRule="auto"/>
              <w:jc w:val="right"/>
              <w:rPr>
                <w:rFonts w:asciiTheme="minorHAnsi" w:eastAsia="Times New Roman" w:hAnsiTheme="minorHAnsi" w:cs="Arial"/>
                <w:bCs/>
                <w:sz w:val="20"/>
                <w:szCs w:val="20"/>
                <w:lang w:val="hr-HR"/>
              </w:rPr>
            </w:pPr>
            <w:r>
              <w:rPr>
                <w:rFonts w:eastAsia="Times New Roman" w:cs="Arial"/>
                <w:bCs/>
                <w:sz w:val="20"/>
                <w:szCs w:val="20"/>
              </w:rPr>
              <w:t>+2</w:t>
            </w:r>
          </w:p>
        </w:tc>
        <w:tc>
          <w:tcPr>
            <w:tcW w:w="912" w:type="pct"/>
            <w:shd w:val="clear" w:color="auto" w:fill="auto"/>
            <w:vAlign w:val="center"/>
          </w:tcPr>
          <w:p w14:paraId="04665BFE" w14:textId="649A091C" w:rsidR="00CF4B9B" w:rsidRPr="009702B0" w:rsidRDefault="00CF4B9B" w:rsidP="00CF4B9B">
            <w:pPr>
              <w:spacing w:after="0" w:line="360" w:lineRule="auto"/>
              <w:jc w:val="right"/>
              <w:rPr>
                <w:rFonts w:asciiTheme="minorHAnsi" w:eastAsia="Times New Roman" w:hAnsiTheme="minorHAnsi" w:cs="Arial"/>
                <w:bCs/>
                <w:sz w:val="20"/>
                <w:szCs w:val="20"/>
                <w:lang w:val="hr-HR"/>
              </w:rPr>
            </w:pPr>
            <w:r>
              <w:rPr>
                <w:rFonts w:eastAsia="Times New Roman" w:cs="Arial"/>
                <w:bCs/>
                <w:sz w:val="20"/>
                <w:szCs w:val="20"/>
              </w:rPr>
              <w:t>214</w:t>
            </w:r>
          </w:p>
        </w:tc>
        <w:tc>
          <w:tcPr>
            <w:tcW w:w="912" w:type="pct"/>
            <w:shd w:val="clear" w:color="auto" w:fill="auto"/>
            <w:vAlign w:val="bottom"/>
          </w:tcPr>
          <w:p w14:paraId="65E3D4B2" w14:textId="45A72E0F" w:rsidR="00CF4B9B" w:rsidRPr="009702B0" w:rsidRDefault="00CF4B9B" w:rsidP="00CF4B9B">
            <w:pPr>
              <w:spacing w:after="0" w:line="360" w:lineRule="auto"/>
              <w:jc w:val="right"/>
              <w:rPr>
                <w:rFonts w:asciiTheme="minorHAnsi" w:eastAsia="Times New Roman" w:hAnsiTheme="minorHAnsi" w:cs="Arial"/>
                <w:bCs/>
                <w:sz w:val="20"/>
                <w:szCs w:val="20"/>
                <w:lang w:val="hr-HR"/>
              </w:rPr>
            </w:pPr>
            <w:r>
              <w:rPr>
                <w:rFonts w:cs="Arial"/>
                <w:bCs/>
                <w:sz w:val="20"/>
                <w:szCs w:val="20"/>
              </w:rPr>
              <w:t>+4</w:t>
            </w:r>
          </w:p>
        </w:tc>
        <w:tc>
          <w:tcPr>
            <w:tcW w:w="915" w:type="pct"/>
            <w:shd w:val="clear" w:color="auto" w:fill="auto"/>
            <w:vAlign w:val="bottom"/>
          </w:tcPr>
          <w:p w14:paraId="70639E0F" w14:textId="399EDEE0" w:rsidR="00CF4B9B" w:rsidRPr="009702B0" w:rsidRDefault="00CF4B9B" w:rsidP="00CF4B9B">
            <w:pPr>
              <w:spacing w:after="0" w:line="360" w:lineRule="auto"/>
              <w:jc w:val="right"/>
              <w:rPr>
                <w:rFonts w:asciiTheme="minorHAnsi" w:eastAsia="Times New Roman" w:hAnsiTheme="minorHAnsi" w:cs="Arial"/>
                <w:bCs/>
                <w:sz w:val="20"/>
                <w:szCs w:val="20"/>
                <w:lang w:val="hr-HR"/>
              </w:rPr>
            </w:pPr>
            <w:r>
              <w:rPr>
                <w:rFonts w:cs="Arial"/>
                <w:bCs/>
                <w:sz w:val="20"/>
                <w:szCs w:val="20"/>
              </w:rPr>
              <w:t>535</w:t>
            </w:r>
          </w:p>
        </w:tc>
      </w:tr>
      <w:tr w:rsidR="00CF4B9B" w:rsidRPr="009702B0" w14:paraId="02B9E8D4" w14:textId="77777777" w:rsidTr="006B318F">
        <w:trPr>
          <w:trHeight w:hRule="exact" w:val="284"/>
          <w:jc w:val="right"/>
        </w:trPr>
        <w:tc>
          <w:tcPr>
            <w:tcW w:w="1314" w:type="pct"/>
            <w:shd w:val="clear" w:color="auto" w:fill="auto"/>
            <w:vAlign w:val="center"/>
          </w:tcPr>
          <w:p w14:paraId="5A467EB2" w14:textId="77777777" w:rsidR="00CF4B9B" w:rsidRPr="009702B0" w:rsidRDefault="00CF4B9B" w:rsidP="00CF4B9B">
            <w:pPr>
              <w:spacing w:after="0" w:line="360" w:lineRule="auto"/>
              <w:jc w:val="both"/>
              <w:rPr>
                <w:rFonts w:asciiTheme="minorHAnsi" w:eastAsia="Times New Roman" w:hAnsiTheme="minorHAnsi" w:cs="Arial"/>
                <w:bCs/>
                <w:kern w:val="19"/>
                <w:sz w:val="20"/>
                <w:szCs w:val="20"/>
              </w:rPr>
            </w:pPr>
            <w:r w:rsidRPr="009702B0">
              <w:rPr>
                <w:rFonts w:asciiTheme="minorHAnsi" w:eastAsia="Times New Roman" w:hAnsiTheme="minorHAnsi" w:cs="Arial"/>
                <w:bCs/>
                <w:kern w:val="19"/>
                <w:sz w:val="20"/>
                <w:szCs w:val="20"/>
              </w:rPr>
              <w:t>USD</w:t>
            </w:r>
          </w:p>
        </w:tc>
        <w:tc>
          <w:tcPr>
            <w:tcW w:w="947" w:type="pct"/>
            <w:shd w:val="clear" w:color="auto" w:fill="auto"/>
            <w:vAlign w:val="center"/>
          </w:tcPr>
          <w:p w14:paraId="5D775CE9" w14:textId="045C52BD" w:rsidR="00CF4B9B" w:rsidRPr="009702B0" w:rsidRDefault="00CF4B9B" w:rsidP="00CF4B9B">
            <w:pPr>
              <w:spacing w:after="0" w:line="360" w:lineRule="auto"/>
              <w:jc w:val="right"/>
              <w:rPr>
                <w:rFonts w:asciiTheme="minorHAnsi" w:eastAsia="Times New Roman" w:hAnsiTheme="minorHAnsi" w:cs="Arial"/>
                <w:bCs/>
                <w:sz w:val="20"/>
                <w:szCs w:val="20"/>
                <w:lang w:val="hr-HR"/>
              </w:rPr>
            </w:pPr>
            <w:r>
              <w:rPr>
                <w:rFonts w:eastAsia="Times New Roman" w:cs="Arial"/>
                <w:bCs/>
                <w:sz w:val="20"/>
                <w:szCs w:val="20"/>
              </w:rPr>
              <w:t>+28</w:t>
            </w:r>
          </w:p>
        </w:tc>
        <w:tc>
          <w:tcPr>
            <w:tcW w:w="912" w:type="pct"/>
            <w:shd w:val="clear" w:color="auto" w:fill="auto"/>
            <w:vAlign w:val="center"/>
          </w:tcPr>
          <w:p w14:paraId="47344636" w14:textId="64DECEC9" w:rsidR="00CF4B9B" w:rsidRPr="009702B0" w:rsidRDefault="00CF4B9B" w:rsidP="00CF4B9B">
            <w:pPr>
              <w:spacing w:after="0" w:line="360" w:lineRule="auto"/>
              <w:jc w:val="right"/>
              <w:rPr>
                <w:rFonts w:asciiTheme="minorHAnsi" w:eastAsia="Times New Roman" w:hAnsiTheme="minorHAnsi" w:cs="Arial"/>
                <w:bCs/>
                <w:sz w:val="20"/>
                <w:szCs w:val="20"/>
                <w:lang w:val="hr-HR"/>
              </w:rPr>
            </w:pPr>
            <w:r>
              <w:rPr>
                <w:rFonts w:eastAsia="Times New Roman" w:cs="Arial"/>
                <w:bCs/>
                <w:sz w:val="20"/>
                <w:szCs w:val="20"/>
              </w:rPr>
              <w:t>1,010</w:t>
            </w:r>
          </w:p>
        </w:tc>
        <w:tc>
          <w:tcPr>
            <w:tcW w:w="912" w:type="pct"/>
            <w:shd w:val="clear" w:color="auto" w:fill="auto"/>
            <w:vAlign w:val="bottom"/>
          </w:tcPr>
          <w:p w14:paraId="3B767137" w14:textId="08384239" w:rsidR="00CF4B9B" w:rsidRPr="009702B0" w:rsidRDefault="00CF4B9B" w:rsidP="00CF4B9B">
            <w:pPr>
              <w:spacing w:after="0" w:line="360" w:lineRule="auto"/>
              <w:jc w:val="right"/>
              <w:rPr>
                <w:rFonts w:asciiTheme="minorHAnsi" w:eastAsia="Times New Roman" w:hAnsiTheme="minorHAnsi" w:cs="Arial"/>
                <w:bCs/>
                <w:sz w:val="20"/>
                <w:szCs w:val="20"/>
                <w:lang w:val="hr-HR"/>
              </w:rPr>
            </w:pPr>
            <w:r>
              <w:rPr>
                <w:rFonts w:cs="Arial"/>
                <w:bCs/>
                <w:sz w:val="20"/>
                <w:szCs w:val="20"/>
              </w:rPr>
              <w:t>+11</w:t>
            </w:r>
          </w:p>
        </w:tc>
        <w:tc>
          <w:tcPr>
            <w:tcW w:w="915" w:type="pct"/>
            <w:shd w:val="clear" w:color="auto" w:fill="auto"/>
            <w:vAlign w:val="bottom"/>
          </w:tcPr>
          <w:p w14:paraId="49E21E86" w14:textId="71514CDC" w:rsidR="00CF4B9B" w:rsidRPr="009702B0" w:rsidRDefault="00CF4B9B" w:rsidP="00CF4B9B">
            <w:pPr>
              <w:spacing w:after="0" w:line="360" w:lineRule="auto"/>
              <w:jc w:val="right"/>
              <w:rPr>
                <w:rFonts w:asciiTheme="minorHAnsi" w:eastAsia="Times New Roman" w:hAnsiTheme="minorHAnsi" w:cs="Arial"/>
                <w:bCs/>
                <w:sz w:val="20"/>
                <w:szCs w:val="20"/>
                <w:lang w:val="hr-HR"/>
              </w:rPr>
            </w:pPr>
            <w:r>
              <w:rPr>
                <w:rFonts w:cs="Arial"/>
                <w:bCs/>
                <w:sz w:val="20"/>
                <w:szCs w:val="20"/>
              </w:rPr>
              <w:t>472</w:t>
            </w:r>
          </w:p>
        </w:tc>
      </w:tr>
      <w:tr w:rsidR="00796B24" w:rsidRPr="009702B0" w14:paraId="113C514A" w14:textId="77777777" w:rsidTr="009702B0">
        <w:trPr>
          <w:trHeight w:hRule="exact" w:val="463"/>
          <w:jc w:val="right"/>
        </w:trPr>
        <w:tc>
          <w:tcPr>
            <w:tcW w:w="1314" w:type="pct"/>
            <w:shd w:val="clear" w:color="auto" w:fill="auto"/>
            <w:vAlign w:val="center"/>
          </w:tcPr>
          <w:p w14:paraId="3125C0F1" w14:textId="77777777" w:rsidR="00796B24" w:rsidRPr="009702B0" w:rsidRDefault="00796B24" w:rsidP="00796B24">
            <w:pPr>
              <w:spacing w:after="0" w:line="360" w:lineRule="auto"/>
              <w:jc w:val="both"/>
              <w:rPr>
                <w:rFonts w:asciiTheme="minorHAnsi" w:eastAsia="Times New Roman" w:hAnsiTheme="minorHAnsi" w:cs="Arial"/>
                <w:bCs/>
                <w:kern w:val="19"/>
                <w:sz w:val="20"/>
                <w:szCs w:val="20"/>
              </w:rPr>
            </w:pPr>
          </w:p>
        </w:tc>
        <w:tc>
          <w:tcPr>
            <w:tcW w:w="947" w:type="pct"/>
            <w:shd w:val="clear" w:color="auto" w:fill="auto"/>
            <w:vAlign w:val="center"/>
          </w:tcPr>
          <w:p w14:paraId="1067B2AD" w14:textId="77777777" w:rsidR="00796B24" w:rsidRPr="009702B0" w:rsidRDefault="00796B24" w:rsidP="00796B24">
            <w:pPr>
              <w:spacing w:after="0" w:line="360" w:lineRule="auto"/>
              <w:jc w:val="right"/>
              <w:rPr>
                <w:rFonts w:asciiTheme="minorHAnsi" w:eastAsia="Times New Roman" w:hAnsiTheme="minorHAnsi" w:cs="Arial"/>
                <w:bCs/>
                <w:kern w:val="19"/>
                <w:sz w:val="20"/>
                <w:szCs w:val="20"/>
              </w:rPr>
            </w:pPr>
          </w:p>
        </w:tc>
        <w:tc>
          <w:tcPr>
            <w:tcW w:w="912" w:type="pct"/>
            <w:shd w:val="clear" w:color="auto" w:fill="auto"/>
            <w:vAlign w:val="center"/>
          </w:tcPr>
          <w:p w14:paraId="753E4826" w14:textId="77777777" w:rsidR="00796B24" w:rsidRPr="009702B0" w:rsidRDefault="00796B24" w:rsidP="00796B24">
            <w:pPr>
              <w:spacing w:after="0" w:line="360" w:lineRule="auto"/>
              <w:jc w:val="right"/>
              <w:rPr>
                <w:rFonts w:asciiTheme="minorHAnsi" w:eastAsia="Times New Roman" w:hAnsiTheme="minorHAnsi" w:cs="Arial"/>
                <w:bCs/>
                <w:kern w:val="19"/>
                <w:sz w:val="20"/>
                <w:szCs w:val="20"/>
              </w:rPr>
            </w:pPr>
          </w:p>
        </w:tc>
        <w:tc>
          <w:tcPr>
            <w:tcW w:w="912" w:type="pct"/>
            <w:shd w:val="clear" w:color="auto" w:fill="auto"/>
            <w:vAlign w:val="center"/>
          </w:tcPr>
          <w:p w14:paraId="7162C792" w14:textId="77777777" w:rsidR="00796B24" w:rsidRPr="009702B0" w:rsidRDefault="00796B24" w:rsidP="00796B24">
            <w:pPr>
              <w:spacing w:after="0" w:line="360" w:lineRule="auto"/>
              <w:jc w:val="right"/>
              <w:rPr>
                <w:rFonts w:asciiTheme="minorHAnsi" w:eastAsia="Times New Roman" w:hAnsiTheme="minorHAnsi" w:cs="Arial"/>
                <w:bCs/>
                <w:kern w:val="19"/>
                <w:sz w:val="20"/>
                <w:szCs w:val="20"/>
              </w:rPr>
            </w:pPr>
          </w:p>
        </w:tc>
        <w:tc>
          <w:tcPr>
            <w:tcW w:w="915" w:type="pct"/>
            <w:shd w:val="clear" w:color="auto" w:fill="auto"/>
            <w:vAlign w:val="center"/>
          </w:tcPr>
          <w:p w14:paraId="758F3049" w14:textId="77777777" w:rsidR="00796B24" w:rsidRPr="009702B0" w:rsidRDefault="00796B24" w:rsidP="00796B24">
            <w:pPr>
              <w:spacing w:after="0" w:line="360" w:lineRule="auto"/>
              <w:jc w:val="right"/>
              <w:rPr>
                <w:rFonts w:asciiTheme="minorHAnsi" w:eastAsia="Times New Roman" w:hAnsiTheme="minorHAnsi" w:cs="Arial"/>
                <w:bCs/>
                <w:kern w:val="19"/>
                <w:sz w:val="20"/>
                <w:szCs w:val="20"/>
              </w:rPr>
            </w:pPr>
          </w:p>
        </w:tc>
      </w:tr>
      <w:tr w:rsidR="00796B24" w:rsidRPr="009702B0" w14:paraId="78337C99" w14:textId="77777777" w:rsidTr="00747C99">
        <w:trPr>
          <w:trHeight w:hRule="exact" w:val="849"/>
          <w:jc w:val="right"/>
        </w:trPr>
        <w:tc>
          <w:tcPr>
            <w:tcW w:w="1314" w:type="pct"/>
            <w:shd w:val="clear" w:color="auto" w:fill="auto"/>
            <w:vAlign w:val="center"/>
          </w:tcPr>
          <w:p w14:paraId="52074598" w14:textId="77777777" w:rsidR="00796B24" w:rsidRPr="009702B0" w:rsidRDefault="00796B24" w:rsidP="00796B24">
            <w:pPr>
              <w:spacing w:before="240" w:after="120" w:line="360" w:lineRule="auto"/>
              <w:rPr>
                <w:rFonts w:asciiTheme="minorHAnsi" w:eastAsia="Times New Roman" w:hAnsiTheme="minorHAnsi" w:cs="Arial"/>
                <w:b/>
                <w:bCs/>
                <w:kern w:val="19"/>
                <w:sz w:val="20"/>
                <w:szCs w:val="20"/>
              </w:rPr>
            </w:pPr>
            <w:r w:rsidRPr="009702B0">
              <w:rPr>
                <w:rFonts w:asciiTheme="minorHAnsi" w:eastAsia="Times New Roman" w:hAnsiTheme="minorHAnsi" w:cs="Arial"/>
                <w:b/>
                <w:bCs/>
                <w:kern w:val="19"/>
                <w:sz w:val="20"/>
                <w:szCs w:val="20"/>
              </w:rPr>
              <w:t>Currency</w:t>
            </w:r>
          </w:p>
        </w:tc>
        <w:tc>
          <w:tcPr>
            <w:tcW w:w="947" w:type="pct"/>
            <w:shd w:val="clear" w:color="auto" w:fill="auto"/>
          </w:tcPr>
          <w:p w14:paraId="7C05BD85" w14:textId="77777777" w:rsidR="00796B24" w:rsidRPr="009702B0" w:rsidRDefault="00796B24" w:rsidP="00796B24">
            <w:pPr>
              <w:spacing w:after="0" w:line="0" w:lineRule="atLeast"/>
              <w:jc w:val="right"/>
              <w:rPr>
                <w:rFonts w:asciiTheme="minorHAnsi" w:eastAsia="Times New Roman" w:hAnsiTheme="minorHAnsi" w:cs="Arial"/>
                <w:b/>
                <w:bCs/>
                <w:kern w:val="19"/>
                <w:sz w:val="20"/>
                <w:szCs w:val="20"/>
              </w:rPr>
            </w:pPr>
            <w:r w:rsidRPr="009702B0">
              <w:rPr>
                <w:rFonts w:asciiTheme="minorHAnsi" w:eastAsia="Times New Roman" w:hAnsiTheme="minorHAnsi" w:cs="Arial"/>
                <w:b/>
                <w:bCs/>
                <w:kern w:val="19"/>
                <w:sz w:val="20"/>
                <w:szCs w:val="20"/>
              </w:rPr>
              <w:t xml:space="preserve">Decrease in </w:t>
            </w:r>
            <w:proofErr w:type="spellStart"/>
            <w:r w:rsidRPr="009702B0">
              <w:rPr>
                <w:rFonts w:asciiTheme="minorHAnsi" w:eastAsia="Times New Roman" w:hAnsiTheme="minorHAnsi" w:cs="Arial"/>
                <w:b/>
                <w:bCs/>
                <w:kern w:val="19"/>
                <w:sz w:val="20"/>
                <w:szCs w:val="20"/>
              </w:rPr>
              <w:t>b</w:t>
            </w:r>
            <w:r>
              <w:rPr>
                <w:rFonts w:asciiTheme="minorHAnsi" w:eastAsia="Times New Roman" w:hAnsiTheme="minorHAnsi" w:cs="Arial"/>
                <w:b/>
                <w:bCs/>
                <w:kern w:val="19"/>
                <w:sz w:val="20"/>
                <w:szCs w:val="20"/>
              </w:rPr>
              <w:t>.</w:t>
            </w:r>
            <w:r w:rsidRPr="009702B0">
              <w:rPr>
                <w:rFonts w:asciiTheme="minorHAnsi" w:eastAsia="Times New Roman" w:hAnsiTheme="minorHAnsi" w:cs="Arial"/>
                <w:b/>
                <w:bCs/>
                <w:kern w:val="19"/>
                <w:sz w:val="20"/>
                <w:szCs w:val="20"/>
              </w:rPr>
              <w:t>p</w:t>
            </w:r>
            <w:proofErr w:type="spellEnd"/>
            <w:r>
              <w:rPr>
                <w:rFonts w:asciiTheme="minorHAnsi" w:eastAsia="Times New Roman" w:hAnsiTheme="minorHAnsi" w:cs="Arial"/>
                <w:b/>
                <w:bCs/>
                <w:kern w:val="19"/>
                <w:sz w:val="20"/>
                <w:szCs w:val="20"/>
              </w:rPr>
              <w:t>.</w:t>
            </w:r>
            <w:r w:rsidRPr="009702B0">
              <w:rPr>
                <w:rFonts w:asciiTheme="minorHAnsi" w:eastAsia="Times New Roman" w:hAnsiTheme="minorHAnsi" w:cs="Arial"/>
                <w:b/>
                <w:bCs/>
                <w:kern w:val="19"/>
                <w:sz w:val="20"/>
                <w:szCs w:val="20"/>
              </w:rPr>
              <w:t xml:space="preserve"> </w:t>
            </w:r>
          </w:p>
          <w:p w14:paraId="5E39459D" w14:textId="77777777" w:rsidR="00BA1AC9" w:rsidRDefault="00BA1AC9" w:rsidP="00796B24">
            <w:pPr>
              <w:spacing w:after="0" w:line="0" w:lineRule="atLeast"/>
              <w:jc w:val="right"/>
              <w:rPr>
                <w:rFonts w:asciiTheme="minorHAnsi" w:eastAsia="Times New Roman" w:hAnsiTheme="minorHAnsi" w:cs="Arial"/>
                <w:b/>
                <w:bCs/>
                <w:kern w:val="19"/>
                <w:sz w:val="20"/>
                <w:szCs w:val="20"/>
              </w:rPr>
            </w:pPr>
            <w:r>
              <w:rPr>
                <w:rFonts w:asciiTheme="minorHAnsi" w:eastAsia="Times New Roman" w:hAnsiTheme="minorHAnsi" w:cs="Arial"/>
                <w:b/>
                <w:bCs/>
                <w:kern w:val="19"/>
                <w:sz w:val="20"/>
                <w:szCs w:val="20"/>
              </w:rPr>
              <w:t>Jan 1 to</w:t>
            </w:r>
          </w:p>
          <w:p w14:paraId="03448757" w14:textId="52AFE2B7" w:rsidR="00796B24" w:rsidRPr="009702B0" w:rsidRDefault="00B56E29" w:rsidP="00796B24">
            <w:pPr>
              <w:spacing w:after="0" w:line="0" w:lineRule="atLeast"/>
              <w:jc w:val="right"/>
              <w:rPr>
                <w:rFonts w:asciiTheme="minorHAnsi" w:eastAsia="Times New Roman" w:hAnsiTheme="minorHAnsi" w:cs="Arial"/>
                <w:b/>
                <w:bCs/>
                <w:kern w:val="19"/>
                <w:sz w:val="20"/>
                <w:szCs w:val="20"/>
              </w:rPr>
            </w:pPr>
            <w:r>
              <w:rPr>
                <w:rFonts w:asciiTheme="minorHAnsi" w:eastAsia="Times New Roman" w:hAnsiTheme="minorHAnsi" w:cs="Arial"/>
                <w:b/>
                <w:bCs/>
                <w:kern w:val="19"/>
                <w:sz w:val="20"/>
                <w:szCs w:val="20"/>
              </w:rPr>
              <w:t xml:space="preserve">Sep </w:t>
            </w:r>
            <w:r w:rsidR="005C621F" w:rsidRPr="005C621F">
              <w:rPr>
                <w:rFonts w:asciiTheme="minorHAnsi" w:eastAsia="Times New Roman" w:hAnsiTheme="minorHAnsi" w:cs="Arial"/>
                <w:b/>
                <w:bCs/>
                <w:kern w:val="19"/>
                <w:sz w:val="20"/>
                <w:szCs w:val="20"/>
              </w:rPr>
              <w:t>30</w:t>
            </w:r>
            <w:r w:rsidR="00796B24" w:rsidRPr="004F248E">
              <w:rPr>
                <w:rFonts w:asciiTheme="minorHAnsi" w:eastAsia="Times New Roman" w:hAnsiTheme="minorHAnsi" w:cs="Arial"/>
                <w:b/>
                <w:bCs/>
                <w:kern w:val="19"/>
                <w:sz w:val="20"/>
                <w:szCs w:val="20"/>
              </w:rPr>
              <w:t>, 2017</w:t>
            </w:r>
          </w:p>
        </w:tc>
        <w:tc>
          <w:tcPr>
            <w:tcW w:w="912" w:type="pct"/>
            <w:shd w:val="clear" w:color="auto" w:fill="auto"/>
          </w:tcPr>
          <w:p w14:paraId="7708B6FF" w14:textId="77777777" w:rsidR="00796B24" w:rsidRPr="009702B0" w:rsidRDefault="00796B24" w:rsidP="00747C99">
            <w:pPr>
              <w:spacing w:after="0" w:line="240" w:lineRule="auto"/>
              <w:jc w:val="right"/>
              <w:rPr>
                <w:rFonts w:asciiTheme="minorHAnsi" w:eastAsia="Times New Roman" w:hAnsiTheme="minorHAnsi" w:cs="Arial"/>
                <w:b/>
                <w:bCs/>
                <w:kern w:val="19"/>
                <w:sz w:val="20"/>
                <w:szCs w:val="20"/>
              </w:rPr>
            </w:pPr>
            <w:r w:rsidRPr="009702B0">
              <w:rPr>
                <w:rFonts w:asciiTheme="minorHAnsi" w:eastAsia="Times New Roman" w:hAnsiTheme="minorHAnsi" w:cs="Arial"/>
                <w:b/>
                <w:bCs/>
                <w:kern w:val="19"/>
                <w:sz w:val="20"/>
                <w:szCs w:val="20"/>
              </w:rPr>
              <w:t>Effect on profit</w:t>
            </w:r>
          </w:p>
          <w:p w14:paraId="24613CCB" w14:textId="569E00A2" w:rsidR="00796B24" w:rsidRPr="009702B0" w:rsidRDefault="003F018C">
            <w:pPr>
              <w:spacing w:after="0" w:line="240" w:lineRule="auto"/>
              <w:jc w:val="right"/>
              <w:rPr>
                <w:rFonts w:asciiTheme="minorHAnsi" w:eastAsia="Times New Roman" w:hAnsiTheme="minorHAnsi" w:cs="Arial"/>
                <w:b/>
                <w:bCs/>
                <w:kern w:val="19"/>
                <w:sz w:val="20"/>
                <w:szCs w:val="20"/>
              </w:rPr>
            </w:pPr>
            <w:r>
              <w:rPr>
                <w:rFonts w:asciiTheme="minorHAnsi" w:eastAsia="Times New Roman" w:hAnsiTheme="minorHAnsi" w:cs="Arial"/>
                <w:b/>
                <w:bCs/>
                <w:kern w:val="19"/>
                <w:sz w:val="20"/>
                <w:szCs w:val="20"/>
              </w:rPr>
              <w:t>Jan 1 to</w:t>
            </w:r>
            <w:r w:rsidR="00B56E29">
              <w:rPr>
                <w:rFonts w:asciiTheme="minorHAnsi" w:eastAsia="Times New Roman" w:hAnsiTheme="minorHAnsi" w:cs="Arial"/>
                <w:b/>
                <w:bCs/>
                <w:kern w:val="19"/>
                <w:sz w:val="20"/>
                <w:szCs w:val="20"/>
              </w:rPr>
              <w:t xml:space="preserve"> Sep</w:t>
            </w:r>
            <w:r w:rsidR="005C621F" w:rsidRPr="005C621F">
              <w:rPr>
                <w:rFonts w:asciiTheme="minorHAnsi" w:eastAsia="Times New Roman" w:hAnsiTheme="minorHAnsi" w:cs="Arial"/>
                <w:b/>
                <w:bCs/>
                <w:kern w:val="19"/>
                <w:sz w:val="20"/>
                <w:szCs w:val="20"/>
              </w:rPr>
              <w:t xml:space="preserve"> 30</w:t>
            </w:r>
            <w:r w:rsidR="00796B24" w:rsidRPr="004F248E">
              <w:rPr>
                <w:rFonts w:asciiTheme="minorHAnsi" w:eastAsia="Times New Roman" w:hAnsiTheme="minorHAnsi" w:cs="Arial"/>
                <w:b/>
                <w:bCs/>
                <w:kern w:val="19"/>
                <w:sz w:val="20"/>
                <w:szCs w:val="20"/>
              </w:rPr>
              <w:t>, 2017</w:t>
            </w:r>
          </w:p>
        </w:tc>
        <w:tc>
          <w:tcPr>
            <w:tcW w:w="912" w:type="pct"/>
            <w:shd w:val="clear" w:color="auto" w:fill="auto"/>
          </w:tcPr>
          <w:p w14:paraId="4165EE5E" w14:textId="77777777" w:rsidR="00796B24" w:rsidRPr="009702B0" w:rsidRDefault="00796B24" w:rsidP="00747C99">
            <w:pPr>
              <w:spacing w:after="0" w:line="240" w:lineRule="auto"/>
              <w:jc w:val="right"/>
              <w:rPr>
                <w:rFonts w:asciiTheme="minorHAnsi" w:eastAsia="Times New Roman" w:hAnsiTheme="minorHAnsi" w:cs="Arial"/>
                <w:b/>
                <w:bCs/>
                <w:kern w:val="19"/>
                <w:sz w:val="20"/>
                <w:szCs w:val="20"/>
              </w:rPr>
            </w:pPr>
            <w:r w:rsidRPr="009702B0">
              <w:rPr>
                <w:rFonts w:asciiTheme="minorHAnsi" w:eastAsia="Times New Roman" w:hAnsiTheme="minorHAnsi" w:cs="Arial"/>
                <w:b/>
                <w:bCs/>
                <w:kern w:val="19"/>
                <w:sz w:val="20"/>
                <w:szCs w:val="20"/>
              </w:rPr>
              <w:t xml:space="preserve">Decrease in </w:t>
            </w:r>
          </w:p>
          <w:p w14:paraId="05BBC34C" w14:textId="23FC43E3" w:rsidR="00BA1AC9" w:rsidRDefault="00796B24" w:rsidP="00BA1AC9">
            <w:pPr>
              <w:spacing w:after="0" w:line="0" w:lineRule="atLeast"/>
              <w:jc w:val="right"/>
              <w:rPr>
                <w:rFonts w:asciiTheme="minorHAnsi" w:eastAsia="Times New Roman" w:hAnsiTheme="minorHAnsi" w:cs="Arial"/>
                <w:b/>
                <w:bCs/>
                <w:kern w:val="19"/>
                <w:sz w:val="20"/>
                <w:szCs w:val="20"/>
              </w:rPr>
            </w:pPr>
            <w:proofErr w:type="spellStart"/>
            <w:r w:rsidRPr="009702B0">
              <w:rPr>
                <w:rFonts w:asciiTheme="minorHAnsi" w:eastAsia="Times New Roman" w:hAnsiTheme="minorHAnsi" w:cs="Arial"/>
                <w:b/>
                <w:bCs/>
                <w:kern w:val="19"/>
                <w:sz w:val="20"/>
                <w:szCs w:val="20"/>
              </w:rPr>
              <w:t>b.p</w:t>
            </w:r>
            <w:proofErr w:type="spellEnd"/>
            <w:r w:rsidRPr="009702B0">
              <w:rPr>
                <w:rFonts w:asciiTheme="minorHAnsi" w:eastAsia="Times New Roman" w:hAnsiTheme="minorHAnsi" w:cs="Arial"/>
                <w:b/>
                <w:bCs/>
                <w:kern w:val="19"/>
                <w:sz w:val="20"/>
                <w:szCs w:val="20"/>
              </w:rPr>
              <w:t>.</w:t>
            </w:r>
            <w:r w:rsidR="00BA1AC9">
              <w:rPr>
                <w:rFonts w:asciiTheme="minorHAnsi" w:eastAsia="Times New Roman" w:hAnsiTheme="minorHAnsi" w:cs="Arial"/>
                <w:b/>
                <w:bCs/>
                <w:kern w:val="19"/>
                <w:sz w:val="20"/>
                <w:szCs w:val="20"/>
              </w:rPr>
              <w:t xml:space="preserve"> Jan 1 to </w:t>
            </w:r>
          </w:p>
          <w:p w14:paraId="7E7675F2" w14:textId="507F4529" w:rsidR="00796B24" w:rsidRPr="009702B0" w:rsidRDefault="00BA1AC9" w:rsidP="00747C99">
            <w:pPr>
              <w:spacing w:after="0" w:line="240" w:lineRule="auto"/>
              <w:jc w:val="right"/>
              <w:rPr>
                <w:rFonts w:asciiTheme="minorHAnsi" w:eastAsia="Times New Roman" w:hAnsiTheme="minorHAnsi" w:cs="Arial"/>
                <w:b/>
                <w:bCs/>
                <w:kern w:val="19"/>
                <w:sz w:val="20"/>
                <w:szCs w:val="20"/>
              </w:rPr>
            </w:pPr>
            <w:r>
              <w:rPr>
                <w:rFonts w:asciiTheme="minorHAnsi" w:eastAsia="Times New Roman" w:hAnsiTheme="minorHAnsi" w:cs="Arial"/>
                <w:b/>
                <w:bCs/>
                <w:kern w:val="19"/>
                <w:sz w:val="20"/>
                <w:szCs w:val="20"/>
              </w:rPr>
              <w:t>Dec 31,</w:t>
            </w:r>
            <w:r w:rsidR="00796B24" w:rsidRPr="009702B0">
              <w:rPr>
                <w:rFonts w:asciiTheme="minorHAnsi" w:eastAsia="Times New Roman" w:hAnsiTheme="minorHAnsi" w:cs="Arial"/>
                <w:b/>
                <w:bCs/>
                <w:kern w:val="19"/>
                <w:sz w:val="20"/>
                <w:szCs w:val="20"/>
              </w:rPr>
              <w:t xml:space="preserve"> 201</w:t>
            </w:r>
            <w:r w:rsidR="00796B24">
              <w:rPr>
                <w:rFonts w:asciiTheme="minorHAnsi" w:eastAsia="Times New Roman" w:hAnsiTheme="minorHAnsi" w:cs="Arial"/>
                <w:b/>
                <w:bCs/>
                <w:kern w:val="19"/>
                <w:sz w:val="20"/>
                <w:szCs w:val="20"/>
              </w:rPr>
              <w:t>6</w:t>
            </w:r>
          </w:p>
        </w:tc>
        <w:tc>
          <w:tcPr>
            <w:tcW w:w="915" w:type="pct"/>
            <w:shd w:val="clear" w:color="auto" w:fill="auto"/>
          </w:tcPr>
          <w:p w14:paraId="2197B10A" w14:textId="77777777" w:rsidR="00796B24" w:rsidRPr="009702B0" w:rsidRDefault="00796B24" w:rsidP="00747C99">
            <w:pPr>
              <w:spacing w:after="0" w:line="240" w:lineRule="auto"/>
              <w:jc w:val="right"/>
              <w:rPr>
                <w:rFonts w:asciiTheme="minorHAnsi" w:eastAsia="Times New Roman" w:hAnsiTheme="minorHAnsi" w:cs="Arial"/>
                <w:b/>
                <w:bCs/>
                <w:kern w:val="19"/>
                <w:sz w:val="20"/>
                <w:szCs w:val="20"/>
              </w:rPr>
            </w:pPr>
            <w:r w:rsidRPr="009702B0">
              <w:rPr>
                <w:rFonts w:asciiTheme="minorHAnsi" w:eastAsia="Times New Roman" w:hAnsiTheme="minorHAnsi" w:cs="Arial"/>
                <w:b/>
                <w:bCs/>
                <w:kern w:val="19"/>
                <w:sz w:val="20"/>
                <w:szCs w:val="20"/>
              </w:rPr>
              <w:t>Effect on profit</w:t>
            </w:r>
          </w:p>
          <w:p w14:paraId="2168A659" w14:textId="77777777" w:rsidR="00BA1AC9" w:rsidRDefault="00BA1AC9" w:rsidP="00747C99">
            <w:pPr>
              <w:spacing w:after="0" w:line="240" w:lineRule="auto"/>
              <w:jc w:val="right"/>
              <w:rPr>
                <w:rFonts w:asciiTheme="minorHAnsi" w:eastAsia="Times New Roman" w:hAnsiTheme="minorHAnsi" w:cs="Arial"/>
                <w:b/>
                <w:bCs/>
                <w:kern w:val="19"/>
                <w:sz w:val="20"/>
                <w:szCs w:val="20"/>
              </w:rPr>
            </w:pPr>
            <w:r>
              <w:rPr>
                <w:rFonts w:asciiTheme="minorHAnsi" w:eastAsia="Times New Roman" w:hAnsiTheme="minorHAnsi" w:cs="Arial"/>
                <w:b/>
                <w:bCs/>
                <w:kern w:val="19"/>
                <w:sz w:val="20"/>
                <w:szCs w:val="20"/>
              </w:rPr>
              <w:t>Jan 1 to</w:t>
            </w:r>
          </w:p>
          <w:p w14:paraId="536F844E" w14:textId="3D8D14AE" w:rsidR="00796B24" w:rsidRPr="009702B0" w:rsidRDefault="00BA1AC9" w:rsidP="00747C99">
            <w:pPr>
              <w:spacing w:after="0" w:line="240" w:lineRule="auto"/>
              <w:jc w:val="right"/>
              <w:rPr>
                <w:rFonts w:asciiTheme="minorHAnsi" w:eastAsia="Times New Roman" w:hAnsiTheme="minorHAnsi" w:cs="Arial"/>
                <w:b/>
                <w:bCs/>
                <w:kern w:val="19"/>
                <w:sz w:val="20"/>
                <w:szCs w:val="20"/>
              </w:rPr>
            </w:pPr>
            <w:r>
              <w:rPr>
                <w:rFonts w:asciiTheme="minorHAnsi" w:eastAsia="Times New Roman" w:hAnsiTheme="minorHAnsi" w:cs="Arial"/>
                <w:b/>
                <w:bCs/>
                <w:kern w:val="19"/>
                <w:sz w:val="20"/>
                <w:szCs w:val="20"/>
              </w:rPr>
              <w:t xml:space="preserve">Dec 31, </w:t>
            </w:r>
            <w:r w:rsidR="00796B24">
              <w:rPr>
                <w:rFonts w:asciiTheme="minorHAnsi" w:eastAsia="Times New Roman" w:hAnsiTheme="minorHAnsi" w:cs="Arial"/>
                <w:b/>
                <w:bCs/>
                <w:kern w:val="19"/>
                <w:sz w:val="20"/>
                <w:szCs w:val="20"/>
              </w:rPr>
              <w:t>2016</w:t>
            </w:r>
          </w:p>
        </w:tc>
      </w:tr>
      <w:tr w:rsidR="00796B24" w:rsidRPr="009702B0" w14:paraId="16ACFEEB" w14:textId="77777777" w:rsidTr="009702B0">
        <w:trPr>
          <w:trHeight w:hRule="exact" w:val="333"/>
          <w:jc w:val="right"/>
        </w:trPr>
        <w:tc>
          <w:tcPr>
            <w:tcW w:w="1314" w:type="pct"/>
            <w:shd w:val="clear" w:color="auto" w:fill="auto"/>
            <w:vAlign w:val="bottom"/>
          </w:tcPr>
          <w:p w14:paraId="6A3FF8BC" w14:textId="77777777" w:rsidR="00796B24" w:rsidRPr="009702B0" w:rsidRDefault="00796B24" w:rsidP="00796B24">
            <w:pPr>
              <w:spacing w:after="0" w:line="360" w:lineRule="auto"/>
              <w:jc w:val="both"/>
              <w:rPr>
                <w:rFonts w:asciiTheme="minorHAnsi" w:eastAsia="Times New Roman" w:hAnsiTheme="minorHAnsi" w:cs="Arial"/>
                <w:b/>
                <w:bCs/>
                <w:kern w:val="19"/>
                <w:sz w:val="20"/>
                <w:szCs w:val="20"/>
              </w:rPr>
            </w:pPr>
          </w:p>
        </w:tc>
        <w:tc>
          <w:tcPr>
            <w:tcW w:w="947" w:type="pct"/>
            <w:shd w:val="clear" w:color="auto" w:fill="auto"/>
            <w:vAlign w:val="bottom"/>
          </w:tcPr>
          <w:p w14:paraId="33362794" w14:textId="77777777" w:rsidR="00796B24" w:rsidRPr="009702B0" w:rsidRDefault="00796B24" w:rsidP="00796B24">
            <w:pPr>
              <w:spacing w:after="0" w:line="0" w:lineRule="atLeast"/>
              <w:jc w:val="right"/>
              <w:rPr>
                <w:rFonts w:asciiTheme="minorHAnsi" w:eastAsia="Times New Roman" w:hAnsiTheme="minorHAnsi" w:cs="Arial"/>
                <w:b/>
                <w:bCs/>
                <w:kern w:val="19"/>
                <w:sz w:val="20"/>
                <w:szCs w:val="20"/>
              </w:rPr>
            </w:pPr>
          </w:p>
        </w:tc>
        <w:tc>
          <w:tcPr>
            <w:tcW w:w="912" w:type="pct"/>
            <w:shd w:val="clear" w:color="auto" w:fill="auto"/>
            <w:vAlign w:val="center"/>
          </w:tcPr>
          <w:p w14:paraId="3F992618" w14:textId="77777777" w:rsidR="00796B24" w:rsidRPr="009702B0" w:rsidRDefault="00796B24" w:rsidP="00796B24">
            <w:pPr>
              <w:spacing w:after="0" w:line="0" w:lineRule="atLeast"/>
              <w:jc w:val="right"/>
              <w:rPr>
                <w:rFonts w:asciiTheme="minorHAnsi" w:eastAsia="Times New Roman" w:hAnsiTheme="minorHAnsi" w:cs="Arial"/>
                <w:b/>
                <w:bCs/>
                <w:kern w:val="19"/>
                <w:sz w:val="20"/>
                <w:szCs w:val="20"/>
              </w:rPr>
            </w:pPr>
            <w:r w:rsidRPr="009702B0">
              <w:rPr>
                <w:rFonts w:asciiTheme="minorHAnsi" w:eastAsia="Times New Roman" w:hAnsiTheme="minorHAnsi" w:cs="Arial"/>
                <w:b/>
                <w:kern w:val="19"/>
                <w:sz w:val="20"/>
                <w:szCs w:val="20"/>
              </w:rPr>
              <w:t>HRK '000</w:t>
            </w:r>
          </w:p>
        </w:tc>
        <w:tc>
          <w:tcPr>
            <w:tcW w:w="912" w:type="pct"/>
            <w:shd w:val="clear" w:color="auto" w:fill="auto"/>
            <w:vAlign w:val="bottom"/>
          </w:tcPr>
          <w:p w14:paraId="71572B93" w14:textId="77777777" w:rsidR="00796B24" w:rsidRPr="009702B0" w:rsidRDefault="00796B24" w:rsidP="00796B24">
            <w:pPr>
              <w:spacing w:after="0" w:line="0" w:lineRule="atLeast"/>
              <w:jc w:val="right"/>
              <w:rPr>
                <w:rFonts w:asciiTheme="minorHAnsi" w:eastAsia="Times New Roman" w:hAnsiTheme="minorHAnsi" w:cs="Arial"/>
                <w:b/>
                <w:bCs/>
                <w:kern w:val="19"/>
                <w:sz w:val="20"/>
                <w:szCs w:val="20"/>
              </w:rPr>
            </w:pPr>
          </w:p>
        </w:tc>
        <w:tc>
          <w:tcPr>
            <w:tcW w:w="915" w:type="pct"/>
            <w:shd w:val="clear" w:color="auto" w:fill="auto"/>
            <w:vAlign w:val="center"/>
          </w:tcPr>
          <w:p w14:paraId="382FA3D5" w14:textId="77777777" w:rsidR="00796B24" w:rsidRPr="009702B0" w:rsidRDefault="00796B24" w:rsidP="00796B24">
            <w:pPr>
              <w:spacing w:after="0" w:line="0" w:lineRule="atLeast"/>
              <w:jc w:val="right"/>
              <w:rPr>
                <w:rFonts w:asciiTheme="minorHAnsi" w:eastAsia="Times New Roman" w:hAnsiTheme="minorHAnsi" w:cs="Arial"/>
                <w:b/>
                <w:bCs/>
                <w:kern w:val="19"/>
                <w:sz w:val="20"/>
                <w:szCs w:val="20"/>
              </w:rPr>
            </w:pPr>
            <w:r w:rsidRPr="009702B0">
              <w:rPr>
                <w:rFonts w:asciiTheme="minorHAnsi" w:eastAsia="Times New Roman" w:hAnsiTheme="minorHAnsi" w:cs="Arial"/>
                <w:b/>
                <w:kern w:val="19"/>
                <w:sz w:val="20"/>
                <w:szCs w:val="20"/>
              </w:rPr>
              <w:t>HRK '000</w:t>
            </w:r>
          </w:p>
        </w:tc>
      </w:tr>
      <w:tr w:rsidR="00796B24" w:rsidRPr="009702B0" w14:paraId="67A82F46" w14:textId="77777777" w:rsidTr="009702B0">
        <w:trPr>
          <w:trHeight w:hRule="exact" w:val="113"/>
          <w:jc w:val="right"/>
        </w:trPr>
        <w:tc>
          <w:tcPr>
            <w:tcW w:w="1314" w:type="pct"/>
            <w:shd w:val="clear" w:color="auto" w:fill="auto"/>
            <w:vAlign w:val="center"/>
          </w:tcPr>
          <w:p w14:paraId="05BC3D5D" w14:textId="77777777" w:rsidR="00796B24" w:rsidRPr="009702B0" w:rsidRDefault="00796B24" w:rsidP="00796B24">
            <w:pPr>
              <w:spacing w:after="0" w:line="360" w:lineRule="auto"/>
              <w:jc w:val="both"/>
              <w:rPr>
                <w:rFonts w:asciiTheme="minorHAnsi" w:eastAsia="Times New Roman" w:hAnsiTheme="minorHAnsi" w:cs="Arial"/>
                <w:bCs/>
                <w:kern w:val="19"/>
                <w:sz w:val="20"/>
                <w:szCs w:val="20"/>
              </w:rPr>
            </w:pPr>
          </w:p>
        </w:tc>
        <w:tc>
          <w:tcPr>
            <w:tcW w:w="947" w:type="pct"/>
            <w:shd w:val="clear" w:color="auto" w:fill="auto"/>
            <w:vAlign w:val="center"/>
          </w:tcPr>
          <w:p w14:paraId="218AD0E9" w14:textId="77777777" w:rsidR="00796B24" w:rsidRPr="009702B0" w:rsidRDefault="00796B24" w:rsidP="00796B24">
            <w:pPr>
              <w:spacing w:after="0" w:line="360" w:lineRule="auto"/>
              <w:jc w:val="right"/>
              <w:rPr>
                <w:rFonts w:asciiTheme="minorHAnsi" w:eastAsia="Times New Roman" w:hAnsiTheme="minorHAnsi" w:cs="Arial"/>
                <w:bCs/>
                <w:kern w:val="19"/>
                <w:sz w:val="20"/>
                <w:szCs w:val="20"/>
              </w:rPr>
            </w:pPr>
          </w:p>
        </w:tc>
        <w:tc>
          <w:tcPr>
            <w:tcW w:w="912" w:type="pct"/>
            <w:shd w:val="clear" w:color="auto" w:fill="auto"/>
            <w:vAlign w:val="center"/>
          </w:tcPr>
          <w:p w14:paraId="657D2FFE" w14:textId="77777777" w:rsidR="00796B24" w:rsidRPr="009702B0" w:rsidRDefault="00796B24" w:rsidP="00796B24">
            <w:pPr>
              <w:spacing w:after="0" w:line="360" w:lineRule="auto"/>
              <w:jc w:val="right"/>
              <w:rPr>
                <w:rFonts w:asciiTheme="minorHAnsi" w:eastAsia="Times New Roman" w:hAnsiTheme="minorHAnsi" w:cs="Arial"/>
                <w:bCs/>
                <w:kern w:val="19"/>
                <w:sz w:val="20"/>
                <w:szCs w:val="20"/>
              </w:rPr>
            </w:pPr>
          </w:p>
        </w:tc>
        <w:tc>
          <w:tcPr>
            <w:tcW w:w="912" w:type="pct"/>
            <w:shd w:val="clear" w:color="auto" w:fill="auto"/>
            <w:vAlign w:val="center"/>
          </w:tcPr>
          <w:p w14:paraId="0EA709B4" w14:textId="77777777" w:rsidR="00796B24" w:rsidRPr="009702B0" w:rsidRDefault="00796B24" w:rsidP="00796B24">
            <w:pPr>
              <w:spacing w:after="0" w:line="360" w:lineRule="auto"/>
              <w:jc w:val="right"/>
              <w:rPr>
                <w:rFonts w:asciiTheme="minorHAnsi" w:eastAsia="Times New Roman" w:hAnsiTheme="minorHAnsi" w:cs="Arial"/>
                <w:bCs/>
                <w:kern w:val="19"/>
                <w:sz w:val="20"/>
                <w:szCs w:val="20"/>
              </w:rPr>
            </w:pPr>
          </w:p>
        </w:tc>
        <w:tc>
          <w:tcPr>
            <w:tcW w:w="915" w:type="pct"/>
            <w:shd w:val="clear" w:color="auto" w:fill="auto"/>
            <w:vAlign w:val="center"/>
          </w:tcPr>
          <w:p w14:paraId="392BFD7B" w14:textId="77777777" w:rsidR="00796B24" w:rsidRPr="009702B0" w:rsidRDefault="00796B24" w:rsidP="00796B24">
            <w:pPr>
              <w:spacing w:after="0" w:line="360" w:lineRule="auto"/>
              <w:jc w:val="right"/>
              <w:rPr>
                <w:rFonts w:asciiTheme="minorHAnsi" w:eastAsia="Times New Roman" w:hAnsiTheme="minorHAnsi" w:cs="Arial"/>
                <w:bCs/>
                <w:kern w:val="19"/>
                <w:sz w:val="20"/>
                <w:szCs w:val="20"/>
              </w:rPr>
            </w:pPr>
          </w:p>
        </w:tc>
      </w:tr>
      <w:tr w:rsidR="00CF4B9B" w:rsidRPr="009702B0" w14:paraId="09AF1992" w14:textId="77777777" w:rsidTr="006B318F">
        <w:trPr>
          <w:trHeight w:hRule="exact" w:val="284"/>
          <w:jc w:val="right"/>
        </w:trPr>
        <w:tc>
          <w:tcPr>
            <w:tcW w:w="1314" w:type="pct"/>
            <w:shd w:val="clear" w:color="auto" w:fill="auto"/>
            <w:vAlign w:val="center"/>
          </w:tcPr>
          <w:p w14:paraId="3A2A773B" w14:textId="77777777" w:rsidR="00CF4B9B" w:rsidRPr="009702B0" w:rsidRDefault="00CF4B9B" w:rsidP="00CF4B9B">
            <w:pPr>
              <w:spacing w:after="0" w:line="360" w:lineRule="auto"/>
              <w:jc w:val="both"/>
              <w:rPr>
                <w:rFonts w:asciiTheme="minorHAnsi" w:eastAsia="Times New Roman" w:hAnsiTheme="minorHAnsi" w:cs="Arial"/>
                <w:bCs/>
                <w:kern w:val="19"/>
                <w:sz w:val="20"/>
                <w:szCs w:val="20"/>
              </w:rPr>
            </w:pPr>
            <w:r w:rsidRPr="009702B0">
              <w:rPr>
                <w:rFonts w:asciiTheme="minorHAnsi" w:eastAsia="Times New Roman" w:hAnsiTheme="minorHAnsi" w:cs="Arial"/>
                <w:bCs/>
                <w:kern w:val="19"/>
                <w:sz w:val="20"/>
                <w:szCs w:val="20"/>
              </w:rPr>
              <w:t>EUR</w:t>
            </w:r>
          </w:p>
        </w:tc>
        <w:tc>
          <w:tcPr>
            <w:tcW w:w="947" w:type="pct"/>
            <w:shd w:val="clear" w:color="auto" w:fill="auto"/>
            <w:vAlign w:val="center"/>
          </w:tcPr>
          <w:p w14:paraId="0A2CF45E" w14:textId="068B2BA2" w:rsidR="00CF4B9B" w:rsidRPr="009702B0" w:rsidRDefault="00CF4B9B" w:rsidP="00CF4B9B">
            <w:pPr>
              <w:spacing w:after="0" w:line="360" w:lineRule="auto"/>
              <w:jc w:val="right"/>
              <w:rPr>
                <w:rFonts w:asciiTheme="minorHAnsi" w:eastAsia="Times New Roman" w:hAnsiTheme="minorHAnsi" w:cs="Arial"/>
                <w:bCs/>
                <w:sz w:val="20"/>
                <w:szCs w:val="20"/>
                <w:lang w:val="hr-HR"/>
              </w:rPr>
            </w:pPr>
            <w:r>
              <w:rPr>
                <w:rFonts w:eastAsia="Times New Roman" w:cs="Arial"/>
                <w:bCs/>
                <w:sz w:val="20"/>
                <w:szCs w:val="20"/>
              </w:rPr>
              <w:t>-2</w:t>
            </w:r>
          </w:p>
        </w:tc>
        <w:tc>
          <w:tcPr>
            <w:tcW w:w="912" w:type="pct"/>
            <w:shd w:val="clear" w:color="auto" w:fill="auto"/>
            <w:vAlign w:val="center"/>
          </w:tcPr>
          <w:p w14:paraId="79A77D22" w14:textId="2415A518" w:rsidR="00CF4B9B" w:rsidRPr="009702B0" w:rsidRDefault="00CF4B9B" w:rsidP="00CF4B9B">
            <w:pPr>
              <w:spacing w:after="0" w:line="360" w:lineRule="auto"/>
              <w:jc w:val="right"/>
              <w:rPr>
                <w:rFonts w:asciiTheme="minorHAnsi" w:eastAsia="Times New Roman" w:hAnsiTheme="minorHAnsi" w:cs="Arial"/>
                <w:bCs/>
                <w:sz w:val="20"/>
                <w:szCs w:val="20"/>
                <w:lang w:val="hr-HR"/>
              </w:rPr>
            </w:pPr>
            <w:r>
              <w:rPr>
                <w:rFonts w:eastAsia="Times New Roman" w:cs="Arial"/>
                <w:bCs/>
                <w:sz w:val="20"/>
                <w:szCs w:val="20"/>
              </w:rPr>
              <w:t>(214)</w:t>
            </w:r>
          </w:p>
        </w:tc>
        <w:tc>
          <w:tcPr>
            <w:tcW w:w="912" w:type="pct"/>
            <w:shd w:val="clear" w:color="auto" w:fill="auto"/>
            <w:vAlign w:val="bottom"/>
          </w:tcPr>
          <w:p w14:paraId="29786A07" w14:textId="1E9FFED8" w:rsidR="00CF4B9B" w:rsidRPr="009702B0" w:rsidRDefault="00CF4B9B" w:rsidP="00CF4B9B">
            <w:pPr>
              <w:spacing w:after="0" w:line="360" w:lineRule="auto"/>
              <w:jc w:val="right"/>
              <w:rPr>
                <w:rFonts w:asciiTheme="minorHAnsi" w:eastAsia="Times New Roman" w:hAnsiTheme="minorHAnsi" w:cs="Arial"/>
                <w:bCs/>
                <w:sz w:val="20"/>
                <w:szCs w:val="20"/>
                <w:lang w:val="hr-HR"/>
              </w:rPr>
            </w:pPr>
            <w:r>
              <w:rPr>
                <w:rFonts w:cs="Arial"/>
                <w:bCs/>
                <w:sz w:val="20"/>
                <w:szCs w:val="20"/>
              </w:rPr>
              <w:t>-4</w:t>
            </w:r>
          </w:p>
        </w:tc>
        <w:tc>
          <w:tcPr>
            <w:tcW w:w="915" w:type="pct"/>
            <w:shd w:val="clear" w:color="auto" w:fill="auto"/>
            <w:vAlign w:val="bottom"/>
          </w:tcPr>
          <w:p w14:paraId="0B885EF2" w14:textId="7B0061FB" w:rsidR="00CF4B9B" w:rsidRPr="009702B0" w:rsidRDefault="00CF4B9B" w:rsidP="00CF4B9B">
            <w:pPr>
              <w:spacing w:after="0" w:line="360" w:lineRule="auto"/>
              <w:jc w:val="right"/>
              <w:rPr>
                <w:rFonts w:asciiTheme="minorHAnsi" w:eastAsia="Times New Roman" w:hAnsiTheme="minorHAnsi" w:cs="Arial"/>
                <w:bCs/>
                <w:sz w:val="20"/>
                <w:szCs w:val="20"/>
                <w:lang w:val="hr-HR"/>
              </w:rPr>
            </w:pPr>
            <w:r>
              <w:rPr>
                <w:rFonts w:cs="Arial"/>
                <w:bCs/>
                <w:sz w:val="20"/>
                <w:szCs w:val="20"/>
              </w:rPr>
              <w:t>(535)</w:t>
            </w:r>
          </w:p>
        </w:tc>
      </w:tr>
      <w:tr w:rsidR="00CF4B9B" w:rsidRPr="009702B0" w14:paraId="559FDF22" w14:textId="77777777" w:rsidTr="006B318F">
        <w:trPr>
          <w:trHeight w:hRule="exact" w:val="284"/>
          <w:jc w:val="right"/>
        </w:trPr>
        <w:tc>
          <w:tcPr>
            <w:tcW w:w="1314" w:type="pct"/>
            <w:shd w:val="clear" w:color="auto" w:fill="auto"/>
            <w:vAlign w:val="center"/>
          </w:tcPr>
          <w:p w14:paraId="1D74BD99" w14:textId="77777777" w:rsidR="00CF4B9B" w:rsidRPr="009702B0" w:rsidRDefault="00CF4B9B" w:rsidP="00CF4B9B">
            <w:pPr>
              <w:spacing w:after="0" w:line="360" w:lineRule="auto"/>
              <w:jc w:val="both"/>
              <w:rPr>
                <w:rFonts w:asciiTheme="minorHAnsi" w:eastAsia="Times New Roman" w:hAnsiTheme="minorHAnsi" w:cs="Arial"/>
                <w:bCs/>
                <w:kern w:val="19"/>
                <w:sz w:val="20"/>
                <w:szCs w:val="20"/>
              </w:rPr>
            </w:pPr>
            <w:r w:rsidRPr="009702B0">
              <w:rPr>
                <w:rFonts w:asciiTheme="minorHAnsi" w:eastAsia="Times New Roman" w:hAnsiTheme="minorHAnsi" w:cs="Arial"/>
                <w:bCs/>
                <w:kern w:val="19"/>
                <w:sz w:val="20"/>
                <w:szCs w:val="20"/>
              </w:rPr>
              <w:t>USD</w:t>
            </w:r>
          </w:p>
        </w:tc>
        <w:tc>
          <w:tcPr>
            <w:tcW w:w="947" w:type="pct"/>
            <w:shd w:val="clear" w:color="auto" w:fill="auto"/>
            <w:vAlign w:val="center"/>
          </w:tcPr>
          <w:p w14:paraId="229A5BF8" w14:textId="6D6B48E1" w:rsidR="00CF4B9B" w:rsidRPr="009702B0" w:rsidRDefault="00CF4B9B" w:rsidP="00CF4B9B">
            <w:pPr>
              <w:spacing w:after="0" w:line="360" w:lineRule="auto"/>
              <w:jc w:val="right"/>
              <w:rPr>
                <w:rFonts w:asciiTheme="minorHAnsi" w:eastAsia="Times New Roman" w:hAnsiTheme="minorHAnsi" w:cs="Arial"/>
                <w:bCs/>
                <w:sz w:val="20"/>
                <w:szCs w:val="20"/>
                <w:lang w:val="hr-HR"/>
              </w:rPr>
            </w:pPr>
            <w:r>
              <w:rPr>
                <w:rFonts w:eastAsia="Times New Roman" w:cs="Arial"/>
                <w:bCs/>
                <w:sz w:val="20"/>
                <w:szCs w:val="20"/>
              </w:rPr>
              <w:t>-28</w:t>
            </w:r>
          </w:p>
        </w:tc>
        <w:tc>
          <w:tcPr>
            <w:tcW w:w="912" w:type="pct"/>
            <w:shd w:val="clear" w:color="auto" w:fill="auto"/>
            <w:vAlign w:val="center"/>
          </w:tcPr>
          <w:p w14:paraId="16C6F437" w14:textId="47D7E4A9" w:rsidR="00CF4B9B" w:rsidRPr="009702B0" w:rsidRDefault="00CF4B9B">
            <w:pPr>
              <w:spacing w:after="0" w:line="360" w:lineRule="auto"/>
              <w:jc w:val="right"/>
              <w:rPr>
                <w:rFonts w:asciiTheme="minorHAnsi" w:eastAsia="Times New Roman" w:hAnsiTheme="minorHAnsi" w:cs="Arial"/>
                <w:bCs/>
                <w:sz w:val="20"/>
                <w:szCs w:val="20"/>
                <w:lang w:val="hr-HR"/>
              </w:rPr>
            </w:pPr>
            <w:r>
              <w:rPr>
                <w:rFonts w:eastAsia="Times New Roman" w:cs="Arial"/>
                <w:bCs/>
                <w:sz w:val="20"/>
                <w:szCs w:val="20"/>
              </w:rPr>
              <w:t>(1,010)</w:t>
            </w:r>
          </w:p>
        </w:tc>
        <w:tc>
          <w:tcPr>
            <w:tcW w:w="912" w:type="pct"/>
            <w:shd w:val="clear" w:color="auto" w:fill="auto"/>
            <w:vAlign w:val="bottom"/>
          </w:tcPr>
          <w:p w14:paraId="6993A184" w14:textId="104BFE80" w:rsidR="00CF4B9B" w:rsidRPr="009702B0" w:rsidRDefault="00CF4B9B" w:rsidP="00CF4B9B">
            <w:pPr>
              <w:spacing w:after="0" w:line="360" w:lineRule="auto"/>
              <w:jc w:val="right"/>
              <w:rPr>
                <w:rFonts w:asciiTheme="minorHAnsi" w:eastAsia="Times New Roman" w:hAnsiTheme="minorHAnsi" w:cs="Arial"/>
                <w:bCs/>
                <w:sz w:val="20"/>
                <w:szCs w:val="20"/>
                <w:lang w:val="hr-HR"/>
              </w:rPr>
            </w:pPr>
            <w:r>
              <w:rPr>
                <w:rFonts w:cs="Arial"/>
                <w:bCs/>
                <w:sz w:val="20"/>
                <w:szCs w:val="20"/>
              </w:rPr>
              <w:t>-11</w:t>
            </w:r>
          </w:p>
        </w:tc>
        <w:tc>
          <w:tcPr>
            <w:tcW w:w="915" w:type="pct"/>
            <w:shd w:val="clear" w:color="auto" w:fill="auto"/>
            <w:vAlign w:val="bottom"/>
          </w:tcPr>
          <w:p w14:paraId="5FA8465A" w14:textId="4E6F34B7" w:rsidR="00CF4B9B" w:rsidRPr="009702B0" w:rsidRDefault="00CF4B9B" w:rsidP="00CF4B9B">
            <w:pPr>
              <w:spacing w:after="0" w:line="360" w:lineRule="auto"/>
              <w:jc w:val="right"/>
              <w:rPr>
                <w:rFonts w:asciiTheme="minorHAnsi" w:eastAsia="Times New Roman" w:hAnsiTheme="minorHAnsi" w:cs="Arial"/>
                <w:bCs/>
                <w:sz w:val="20"/>
                <w:szCs w:val="20"/>
                <w:lang w:val="hr-HR"/>
              </w:rPr>
            </w:pPr>
            <w:r>
              <w:rPr>
                <w:rFonts w:cs="Arial"/>
                <w:bCs/>
                <w:sz w:val="20"/>
                <w:szCs w:val="20"/>
              </w:rPr>
              <w:t>(472)</w:t>
            </w:r>
          </w:p>
        </w:tc>
      </w:tr>
    </w:tbl>
    <w:p w14:paraId="713FFF87" w14:textId="77777777" w:rsidR="009702B0" w:rsidRPr="009702B0" w:rsidRDefault="009702B0" w:rsidP="009702B0">
      <w:pPr>
        <w:spacing w:after="0" w:line="240" w:lineRule="auto"/>
        <w:jc w:val="both"/>
        <w:rPr>
          <w:rFonts w:eastAsia="Times New Roman" w:cs="Calibri"/>
          <w:b/>
        </w:rPr>
        <w:sectPr w:rsidR="009702B0" w:rsidRPr="009702B0" w:rsidSect="00947CB7">
          <w:footerReference w:type="first" r:id="rId113"/>
          <w:pgSz w:w="11906" w:h="16838" w:code="9"/>
          <w:pgMar w:top="1418" w:right="1418" w:bottom="595" w:left="1134" w:header="709" w:footer="709" w:gutter="0"/>
          <w:cols w:space="708"/>
          <w:titlePg/>
          <w:docGrid w:linePitch="360"/>
        </w:sectPr>
      </w:pPr>
    </w:p>
    <w:p w14:paraId="3F3AD8A0" w14:textId="77777777" w:rsidR="009702B0" w:rsidRPr="009702B0" w:rsidRDefault="009702B0" w:rsidP="009702B0">
      <w:pPr>
        <w:spacing w:after="0" w:line="240" w:lineRule="auto"/>
        <w:jc w:val="both"/>
        <w:rPr>
          <w:rFonts w:eastAsia="Times New Roman" w:cs="Calibri"/>
          <w:b/>
        </w:rPr>
      </w:pPr>
    </w:p>
    <w:p w14:paraId="4F955242"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        Risk management (continued)</w:t>
      </w:r>
    </w:p>
    <w:p w14:paraId="2E81898A" w14:textId="77777777" w:rsidR="009702B0" w:rsidRPr="009702B0" w:rsidRDefault="009702B0" w:rsidP="009702B0">
      <w:pPr>
        <w:keepNext/>
        <w:spacing w:after="0" w:line="240" w:lineRule="auto"/>
        <w:ind w:left="709" w:hanging="709"/>
        <w:jc w:val="both"/>
        <w:rPr>
          <w:rFonts w:eastAsia="Times New Roman" w:cs="Arial"/>
          <w:b/>
          <w:bCs/>
        </w:rPr>
      </w:pPr>
    </w:p>
    <w:p w14:paraId="3A864BA0"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     Market risk (continued)</w:t>
      </w:r>
    </w:p>
    <w:p w14:paraId="4D100075" w14:textId="77777777" w:rsidR="009702B0" w:rsidRPr="009702B0" w:rsidRDefault="009702B0" w:rsidP="009702B0">
      <w:pPr>
        <w:keepNext/>
        <w:spacing w:after="0" w:line="240" w:lineRule="auto"/>
        <w:ind w:left="709" w:hanging="709"/>
        <w:jc w:val="both"/>
        <w:rPr>
          <w:rFonts w:eastAsia="Times New Roman" w:cs="Arial"/>
          <w:b/>
          <w:bCs/>
        </w:rPr>
      </w:pPr>
    </w:p>
    <w:p w14:paraId="79EE5F58"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16.4.2</w:t>
      </w:r>
      <w:proofErr w:type="gramStart"/>
      <w:r w:rsidRPr="009702B0">
        <w:rPr>
          <w:rFonts w:eastAsia="Times New Roman" w:cs="Arial"/>
          <w:b/>
          <w:bCs/>
        </w:rPr>
        <w:t>.  Currency</w:t>
      </w:r>
      <w:proofErr w:type="gramEnd"/>
      <w:r w:rsidRPr="009702B0">
        <w:rPr>
          <w:rFonts w:eastAsia="Times New Roman" w:cs="Arial"/>
          <w:b/>
          <w:bCs/>
        </w:rPr>
        <w:t xml:space="preserve"> risk </w:t>
      </w:r>
    </w:p>
    <w:p w14:paraId="48CCA0D0" w14:textId="77777777" w:rsidR="009702B0" w:rsidRPr="009702B0" w:rsidRDefault="009702B0" w:rsidP="009702B0">
      <w:pPr>
        <w:keepNext/>
        <w:spacing w:after="0" w:line="240" w:lineRule="auto"/>
        <w:ind w:left="709" w:hanging="709"/>
        <w:jc w:val="both"/>
        <w:rPr>
          <w:rFonts w:eastAsia="Times New Roman" w:cs="Arial"/>
          <w:b/>
          <w:bCs/>
        </w:rPr>
      </w:pPr>
    </w:p>
    <w:p w14:paraId="6D42307D" w14:textId="77777777" w:rsidR="009702B0" w:rsidRPr="009702B0" w:rsidRDefault="009702B0" w:rsidP="009702B0">
      <w:pPr>
        <w:tabs>
          <w:tab w:val="left" w:pos="8280"/>
        </w:tabs>
        <w:spacing w:after="0" w:line="240" w:lineRule="auto"/>
        <w:jc w:val="both"/>
        <w:rPr>
          <w:rFonts w:cs="Calibri"/>
        </w:rPr>
      </w:pPr>
      <w:r w:rsidRPr="009702B0">
        <w:rPr>
          <w:rFonts w:cs="Calibri"/>
        </w:rPr>
        <w:t>The basic principles for managing HBOR’s currency risk are determined in the internal documents as well as in the decisions and conclusions made by the Manag</w:t>
      </w:r>
      <w:r w:rsidR="006E4FED">
        <w:rPr>
          <w:rFonts w:cs="Calibri"/>
        </w:rPr>
        <w:t>ement</w:t>
      </w:r>
      <w:r w:rsidRPr="009702B0">
        <w:rPr>
          <w:rFonts w:cs="Calibri"/>
        </w:rPr>
        <w:t xml:space="preserve"> Board and the Asset and Liability Management Committee. Methods for the measurement, i.e. assessment, monitoring and management of currency risk have been established, limits and proceedings both for cases of crisis indication and occurrence have been determined, and reports necessary for comprehensive perception of this risk have been defined. </w:t>
      </w:r>
    </w:p>
    <w:p w14:paraId="1F4B1EF4" w14:textId="77777777" w:rsidR="009702B0" w:rsidRPr="009702B0" w:rsidRDefault="009702B0" w:rsidP="009702B0">
      <w:pPr>
        <w:tabs>
          <w:tab w:val="left" w:pos="8280"/>
        </w:tabs>
        <w:spacing w:after="0" w:line="240" w:lineRule="auto"/>
        <w:jc w:val="both"/>
        <w:rPr>
          <w:rFonts w:cs="Calibri"/>
        </w:rPr>
      </w:pPr>
    </w:p>
    <w:p w14:paraId="1FEF2DB7" w14:textId="77777777" w:rsidR="009702B0" w:rsidRPr="009702B0" w:rsidRDefault="009702B0" w:rsidP="009702B0">
      <w:pPr>
        <w:tabs>
          <w:tab w:val="left" w:pos="8280"/>
        </w:tabs>
        <w:spacing w:after="0" w:line="240" w:lineRule="auto"/>
        <w:jc w:val="both"/>
        <w:rPr>
          <w:rFonts w:cs="Calibri"/>
          <w:spacing w:val="-3"/>
        </w:rPr>
      </w:pPr>
      <w:r w:rsidRPr="009702B0">
        <w:rPr>
          <w:rFonts w:cs="Calibri"/>
          <w:spacing w:val="-3"/>
        </w:rPr>
        <w:t xml:space="preserve">The Bank measures exposure to currency risk by monitoring open foreign currency position. In addition to the daily monitoring of the open foreign currency position and the projections of its developments, the Bank uses, for the measurement/assessment of currency risk, the </w:t>
      </w:r>
      <w:proofErr w:type="spellStart"/>
      <w:r w:rsidRPr="009702B0">
        <w:rPr>
          <w:rFonts w:cs="Calibri"/>
          <w:spacing w:val="-3"/>
        </w:rPr>
        <w:t>VaR</w:t>
      </w:r>
      <w:proofErr w:type="spellEnd"/>
      <w:r w:rsidRPr="009702B0">
        <w:rPr>
          <w:rFonts w:cs="Calibri"/>
          <w:spacing w:val="-3"/>
        </w:rPr>
        <w:t xml:space="preserve"> model as an auxiliary model and regularly reports to the bodies in charge on maximum possible losses on significant currencies. Scenario analyses and sensitivity analyses in regular or stressful business conditions are also performed.  </w:t>
      </w:r>
    </w:p>
    <w:p w14:paraId="35B98C5D" w14:textId="77777777" w:rsidR="009702B0" w:rsidRPr="009702B0" w:rsidRDefault="009702B0" w:rsidP="009702B0">
      <w:pPr>
        <w:tabs>
          <w:tab w:val="left" w:pos="8280"/>
        </w:tabs>
        <w:spacing w:after="0" w:line="240" w:lineRule="auto"/>
        <w:jc w:val="both"/>
        <w:rPr>
          <w:rFonts w:cs="Calibri"/>
          <w:spacing w:val="-3"/>
        </w:rPr>
      </w:pPr>
    </w:p>
    <w:p w14:paraId="2A4A9F2F" w14:textId="77777777" w:rsidR="009702B0" w:rsidRPr="009702B0" w:rsidRDefault="009702B0" w:rsidP="009702B0">
      <w:pPr>
        <w:tabs>
          <w:tab w:val="left" w:pos="8280"/>
        </w:tabs>
        <w:spacing w:after="0" w:line="240" w:lineRule="auto"/>
        <w:jc w:val="both"/>
        <w:rPr>
          <w:rFonts w:cs="Calibri"/>
          <w:spacing w:val="-3"/>
        </w:rPr>
      </w:pPr>
    </w:p>
    <w:p w14:paraId="0BC987EC" w14:textId="77777777" w:rsidR="009702B0" w:rsidRPr="009702B0" w:rsidRDefault="009702B0" w:rsidP="009702B0">
      <w:pPr>
        <w:tabs>
          <w:tab w:val="left" w:pos="8280"/>
        </w:tabs>
        <w:spacing w:after="0" w:line="240" w:lineRule="auto"/>
        <w:jc w:val="both"/>
        <w:rPr>
          <w:rFonts w:cs="Calibri"/>
          <w:spacing w:val="-3"/>
        </w:rPr>
      </w:pPr>
    </w:p>
    <w:p w14:paraId="4D7024E7" w14:textId="77777777" w:rsidR="009702B0" w:rsidRPr="009702B0" w:rsidRDefault="009702B0" w:rsidP="009702B0">
      <w:pPr>
        <w:tabs>
          <w:tab w:val="left" w:pos="8280"/>
        </w:tabs>
        <w:spacing w:after="0" w:line="240" w:lineRule="auto"/>
        <w:jc w:val="both"/>
        <w:rPr>
          <w:rFonts w:cs="Calibri"/>
          <w:spacing w:val="-3"/>
        </w:rPr>
      </w:pPr>
    </w:p>
    <w:p w14:paraId="62448649" w14:textId="77777777" w:rsidR="009702B0" w:rsidRPr="009702B0" w:rsidRDefault="009702B0" w:rsidP="009702B0">
      <w:pPr>
        <w:tabs>
          <w:tab w:val="left" w:pos="8280"/>
        </w:tabs>
        <w:spacing w:after="120" w:line="360" w:lineRule="auto"/>
        <w:jc w:val="both"/>
        <w:rPr>
          <w:rFonts w:cs="Calibri"/>
          <w:spacing w:val="-3"/>
        </w:rPr>
        <w:sectPr w:rsidR="009702B0" w:rsidRPr="009702B0" w:rsidSect="00947CB7">
          <w:footerReference w:type="first" r:id="rId114"/>
          <w:pgSz w:w="11906" w:h="16838" w:code="9"/>
          <w:pgMar w:top="1418" w:right="1418" w:bottom="595" w:left="1134" w:header="709" w:footer="709" w:gutter="0"/>
          <w:cols w:space="708"/>
          <w:titlePg/>
          <w:docGrid w:linePitch="360"/>
        </w:sectPr>
      </w:pPr>
    </w:p>
    <w:p w14:paraId="79E08C96" w14:textId="77777777" w:rsidR="009702B0" w:rsidRPr="009702B0" w:rsidRDefault="009702B0" w:rsidP="009702B0">
      <w:pPr>
        <w:keepNext/>
        <w:spacing w:after="0" w:line="240" w:lineRule="auto"/>
        <w:ind w:left="709" w:hanging="709"/>
        <w:jc w:val="both"/>
        <w:rPr>
          <w:rFonts w:eastAsia="Times New Roman" w:cs="Arial"/>
          <w:b/>
          <w:bCs/>
        </w:rPr>
      </w:pPr>
    </w:p>
    <w:p w14:paraId="367E502D"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        Risk management (continued)</w:t>
      </w:r>
    </w:p>
    <w:p w14:paraId="26D6A797" w14:textId="77777777" w:rsidR="009702B0" w:rsidRPr="009702B0" w:rsidRDefault="009702B0" w:rsidP="009702B0">
      <w:pPr>
        <w:keepNext/>
        <w:spacing w:after="0" w:line="240" w:lineRule="auto"/>
        <w:ind w:left="709" w:hanging="709"/>
        <w:jc w:val="both"/>
        <w:rPr>
          <w:rFonts w:eastAsia="Times New Roman" w:cs="Arial"/>
          <w:b/>
          <w:bCs/>
        </w:rPr>
      </w:pPr>
    </w:p>
    <w:p w14:paraId="13E80C26"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     Market risk (continued)</w:t>
      </w:r>
    </w:p>
    <w:p w14:paraId="4826BB70" w14:textId="77777777" w:rsidR="009702B0" w:rsidRPr="009702B0" w:rsidRDefault="009702B0" w:rsidP="009702B0">
      <w:pPr>
        <w:keepNext/>
        <w:spacing w:after="0" w:line="240" w:lineRule="auto"/>
        <w:ind w:left="709" w:hanging="709"/>
        <w:jc w:val="both"/>
        <w:rPr>
          <w:rFonts w:eastAsia="Times New Roman" w:cs="Arial"/>
          <w:b/>
          <w:bCs/>
        </w:rPr>
      </w:pPr>
    </w:p>
    <w:p w14:paraId="10F182EB"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16.4.2</w:t>
      </w:r>
      <w:proofErr w:type="gramStart"/>
      <w:r w:rsidRPr="009702B0">
        <w:rPr>
          <w:rFonts w:eastAsia="Times New Roman" w:cs="Arial"/>
          <w:b/>
          <w:bCs/>
        </w:rPr>
        <w:t>.  Currency</w:t>
      </w:r>
      <w:proofErr w:type="gramEnd"/>
      <w:r w:rsidRPr="009702B0">
        <w:rPr>
          <w:rFonts w:eastAsia="Times New Roman" w:cs="Arial"/>
          <w:b/>
          <w:bCs/>
        </w:rPr>
        <w:t xml:space="preserve"> risk (continued)</w:t>
      </w:r>
    </w:p>
    <w:p w14:paraId="1C3832F0" w14:textId="77777777" w:rsidR="009702B0" w:rsidRPr="009702B0" w:rsidRDefault="009702B0" w:rsidP="009702B0">
      <w:pPr>
        <w:keepNext/>
        <w:spacing w:after="0" w:line="240" w:lineRule="auto"/>
        <w:ind w:left="709" w:hanging="709"/>
        <w:jc w:val="both"/>
        <w:rPr>
          <w:rFonts w:eastAsia="Times New Roman" w:cs="Arial"/>
          <w:b/>
          <w:bCs/>
        </w:rPr>
      </w:pPr>
    </w:p>
    <w:p w14:paraId="3306D231" w14:textId="0BD11CF4" w:rsidR="009702B0" w:rsidRPr="009702B0" w:rsidRDefault="009702B0" w:rsidP="009702B0">
      <w:pPr>
        <w:keepNext/>
        <w:spacing w:after="0" w:line="240" w:lineRule="auto"/>
        <w:jc w:val="both"/>
        <w:rPr>
          <w:rFonts w:eastAsia="Times New Roman" w:cs="Arial"/>
          <w:sz w:val="20"/>
          <w:szCs w:val="20"/>
        </w:rPr>
      </w:pPr>
      <w:r w:rsidRPr="009702B0">
        <w:rPr>
          <w:rFonts w:eastAsia="Times New Roman" w:cs="Arial"/>
          <w:sz w:val="20"/>
          <w:szCs w:val="20"/>
        </w:rPr>
        <w:t xml:space="preserve">Total assets and total liabilities and equity as of </w:t>
      </w:r>
      <w:r w:rsidR="00F90F31">
        <w:rPr>
          <w:rFonts w:eastAsia="Times New Roman" w:cs="Arial"/>
          <w:sz w:val="20"/>
          <w:szCs w:val="20"/>
        </w:rPr>
        <w:t xml:space="preserve">30 </w:t>
      </w:r>
      <w:r w:rsidR="00F94C78">
        <w:rPr>
          <w:rFonts w:eastAsia="Times New Roman" w:cs="Arial"/>
          <w:sz w:val="20"/>
          <w:szCs w:val="20"/>
        </w:rPr>
        <w:t>September</w:t>
      </w:r>
      <w:r w:rsidR="00F94C78" w:rsidRPr="004F248E">
        <w:rPr>
          <w:rFonts w:eastAsia="Times New Roman" w:cs="Arial"/>
          <w:sz w:val="20"/>
          <w:szCs w:val="20"/>
        </w:rPr>
        <w:t xml:space="preserve"> </w:t>
      </w:r>
      <w:r w:rsidR="004F248E" w:rsidRPr="004F248E">
        <w:rPr>
          <w:rFonts w:eastAsia="Times New Roman" w:cs="Arial"/>
          <w:sz w:val="20"/>
          <w:szCs w:val="20"/>
        </w:rPr>
        <w:t>2017</w:t>
      </w:r>
      <w:r w:rsidRPr="009702B0">
        <w:rPr>
          <w:rFonts w:eastAsia="Times New Roman" w:cs="Arial"/>
          <w:sz w:val="20"/>
          <w:szCs w:val="20"/>
        </w:rPr>
        <w:t xml:space="preserve"> and 31 December 201</w:t>
      </w:r>
      <w:r w:rsidR="004F248E">
        <w:rPr>
          <w:rFonts w:eastAsia="Times New Roman" w:cs="Arial"/>
          <w:sz w:val="20"/>
          <w:szCs w:val="20"/>
        </w:rPr>
        <w:t>6</w:t>
      </w:r>
      <w:r w:rsidRPr="009702B0">
        <w:rPr>
          <w:rFonts w:eastAsia="Times New Roman" w:cs="Arial"/>
          <w:sz w:val="20"/>
          <w:szCs w:val="20"/>
        </w:rPr>
        <w:t xml:space="preserve"> in HRK and foreign currencies can be shown as follows:</w:t>
      </w:r>
    </w:p>
    <w:p w14:paraId="27BA73B3" w14:textId="77777777" w:rsidR="009702B0" w:rsidRPr="009702B0" w:rsidRDefault="009702B0" w:rsidP="009702B0">
      <w:pPr>
        <w:keepNext/>
        <w:spacing w:after="0" w:line="240" w:lineRule="auto"/>
        <w:jc w:val="both"/>
        <w:rPr>
          <w:rFonts w:eastAsia="Times New Roman" w:cs="Arial"/>
          <w:sz w:val="20"/>
          <w:szCs w:val="20"/>
        </w:rPr>
      </w:pPr>
    </w:p>
    <w:tbl>
      <w:tblPr>
        <w:tblW w:w="5102" w:type="pct"/>
        <w:tblInd w:w="-164" w:type="dxa"/>
        <w:tblLayout w:type="fixed"/>
        <w:tblCellMar>
          <w:left w:w="120" w:type="dxa"/>
          <w:right w:w="120" w:type="dxa"/>
        </w:tblCellMar>
        <w:tblLook w:val="0000" w:firstRow="0" w:lastRow="0" w:firstColumn="0" w:lastColumn="0" w:noHBand="0" w:noVBand="0"/>
      </w:tblPr>
      <w:tblGrid>
        <w:gridCol w:w="2902"/>
        <w:gridCol w:w="970"/>
        <w:gridCol w:w="1105"/>
        <w:gridCol w:w="1115"/>
        <w:gridCol w:w="1105"/>
        <w:gridCol w:w="1247"/>
        <w:gridCol w:w="1101"/>
      </w:tblGrid>
      <w:tr w:rsidR="009702B0" w:rsidRPr="00321238" w14:paraId="19050180" w14:textId="77777777" w:rsidTr="009702B0">
        <w:trPr>
          <w:trHeight w:val="556"/>
        </w:trPr>
        <w:tc>
          <w:tcPr>
            <w:tcW w:w="1520" w:type="pct"/>
            <w:vAlign w:val="bottom"/>
          </w:tcPr>
          <w:p w14:paraId="36F561F6" w14:textId="77777777" w:rsidR="009702B0" w:rsidRPr="00166751" w:rsidRDefault="009702B0" w:rsidP="009702B0">
            <w:pPr>
              <w:tabs>
                <w:tab w:val="right" w:pos="1202"/>
              </w:tabs>
              <w:spacing w:after="0" w:line="220" w:lineRule="exact"/>
              <w:outlineLvl w:val="0"/>
              <w:rPr>
                <w:rFonts w:eastAsia="Times New Roman" w:cs="Arial"/>
                <w:b/>
                <w:sz w:val="18"/>
                <w:szCs w:val="18"/>
              </w:rPr>
            </w:pPr>
            <w:r w:rsidRPr="00166751">
              <w:rPr>
                <w:rFonts w:eastAsia="Times New Roman" w:cs="Arial"/>
                <w:b/>
                <w:sz w:val="18"/>
                <w:szCs w:val="18"/>
              </w:rPr>
              <w:t>Group</w:t>
            </w:r>
          </w:p>
          <w:p w14:paraId="7EBBDC3A" w14:textId="77777777" w:rsidR="009702B0" w:rsidRPr="00166751" w:rsidRDefault="009702B0" w:rsidP="009702B0">
            <w:pPr>
              <w:tabs>
                <w:tab w:val="right" w:pos="1202"/>
              </w:tabs>
              <w:spacing w:after="0" w:line="220" w:lineRule="exact"/>
              <w:outlineLvl w:val="0"/>
              <w:rPr>
                <w:rFonts w:eastAsia="Times New Roman" w:cs="Arial"/>
                <w:b/>
                <w:sz w:val="18"/>
                <w:szCs w:val="18"/>
              </w:rPr>
            </w:pPr>
          </w:p>
          <w:p w14:paraId="07FC9050" w14:textId="705073DC" w:rsidR="009702B0" w:rsidRPr="00166751" w:rsidRDefault="00C53B39" w:rsidP="009702B0">
            <w:pPr>
              <w:tabs>
                <w:tab w:val="right" w:pos="1202"/>
              </w:tabs>
              <w:spacing w:after="0" w:line="220" w:lineRule="exact"/>
              <w:outlineLvl w:val="0"/>
              <w:rPr>
                <w:rFonts w:eastAsia="Times New Roman" w:cs="Arial"/>
                <w:b/>
                <w:sz w:val="18"/>
                <w:szCs w:val="18"/>
              </w:rPr>
            </w:pPr>
            <w:r>
              <w:rPr>
                <w:rFonts w:eastAsia="Times New Roman" w:cs="Arial"/>
                <w:b/>
                <w:sz w:val="18"/>
                <w:szCs w:val="18"/>
              </w:rPr>
              <w:t xml:space="preserve">Sep </w:t>
            </w:r>
            <w:r w:rsidR="00A57065">
              <w:rPr>
                <w:rFonts w:eastAsia="Times New Roman" w:cs="Arial"/>
                <w:b/>
                <w:sz w:val="18"/>
                <w:szCs w:val="18"/>
              </w:rPr>
              <w:t>30</w:t>
            </w:r>
            <w:r w:rsidR="004F248E" w:rsidRPr="00166751">
              <w:rPr>
                <w:rFonts w:eastAsia="Times New Roman" w:cs="Arial"/>
                <w:b/>
                <w:sz w:val="18"/>
                <w:szCs w:val="18"/>
              </w:rPr>
              <w:t>, 2017</w:t>
            </w:r>
          </w:p>
        </w:tc>
        <w:tc>
          <w:tcPr>
            <w:tcW w:w="508" w:type="pct"/>
          </w:tcPr>
          <w:p w14:paraId="7F390E9F" w14:textId="77777777"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USD</w:t>
            </w:r>
          </w:p>
        </w:tc>
        <w:tc>
          <w:tcPr>
            <w:tcW w:w="579" w:type="pct"/>
          </w:tcPr>
          <w:p w14:paraId="4AF2E77E" w14:textId="77777777"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 xml:space="preserve">EUR </w:t>
            </w:r>
          </w:p>
        </w:tc>
        <w:tc>
          <w:tcPr>
            <w:tcW w:w="584" w:type="pct"/>
          </w:tcPr>
          <w:p w14:paraId="63A79ED1" w14:textId="77777777"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 xml:space="preserve">Other foreign currencies </w:t>
            </w:r>
          </w:p>
        </w:tc>
        <w:tc>
          <w:tcPr>
            <w:tcW w:w="579" w:type="pct"/>
          </w:tcPr>
          <w:p w14:paraId="3084B428" w14:textId="77777777"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 xml:space="preserve">Total foreign currencies </w:t>
            </w:r>
          </w:p>
        </w:tc>
        <w:tc>
          <w:tcPr>
            <w:tcW w:w="653" w:type="pct"/>
          </w:tcPr>
          <w:p w14:paraId="6E004283" w14:textId="77777777"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HRK</w:t>
            </w:r>
          </w:p>
        </w:tc>
        <w:tc>
          <w:tcPr>
            <w:tcW w:w="577" w:type="pct"/>
          </w:tcPr>
          <w:p w14:paraId="1B048F95" w14:textId="77777777"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 xml:space="preserve">Total </w:t>
            </w:r>
          </w:p>
        </w:tc>
      </w:tr>
      <w:tr w:rsidR="009702B0" w:rsidRPr="00321238" w14:paraId="4C4B0036" w14:textId="77777777" w:rsidTr="009702B0">
        <w:trPr>
          <w:trHeight w:val="239"/>
        </w:trPr>
        <w:tc>
          <w:tcPr>
            <w:tcW w:w="1520" w:type="pct"/>
          </w:tcPr>
          <w:p w14:paraId="70175214" w14:textId="77777777" w:rsidR="009702B0" w:rsidRPr="00166751" w:rsidRDefault="009702B0" w:rsidP="009702B0">
            <w:pPr>
              <w:tabs>
                <w:tab w:val="right" w:pos="1202"/>
              </w:tabs>
              <w:spacing w:after="0" w:line="240" w:lineRule="exact"/>
              <w:outlineLvl w:val="0"/>
              <w:rPr>
                <w:rFonts w:eastAsia="Times New Roman" w:cs="Arial"/>
                <w:b/>
                <w:sz w:val="18"/>
                <w:szCs w:val="18"/>
              </w:rPr>
            </w:pPr>
            <w:r w:rsidRPr="00166751">
              <w:rPr>
                <w:rFonts w:eastAsia="Times New Roman" w:cs="Arial"/>
                <w:b/>
                <w:sz w:val="18"/>
                <w:szCs w:val="18"/>
              </w:rPr>
              <w:t xml:space="preserve">Assets </w:t>
            </w:r>
          </w:p>
        </w:tc>
        <w:tc>
          <w:tcPr>
            <w:tcW w:w="508" w:type="pct"/>
            <w:vAlign w:val="bottom"/>
          </w:tcPr>
          <w:p w14:paraId="49B4CD84" w14:textId="77777777" w:rsidR="009702B0" w:rsidRPr="00166751" w:rsidRDefault="009702B0" w:rsidP="009702B0">
            <w:pPr>
              <w:spacing w:after="0" w:line="240" w:lineRule="exact"/>
              <w:jc w:val="right"/>
              <w:rPr>
                <w:rFonts w:eastAsia="Arial Unicode MS" w:cs="Arial"/>
                <w:sz w:val="18"/>
                <w:szCs w:val="18"/>
              </w:rPr>
            </w:pPr>
          </w:p>
        </w:tc>
        <w:tc>
          <w:tcPr>
            <w:tcW w:w="579" w:type="pct"/>
            <w:vAlign w:val="bottom"/>
          </w:tcPr>
          <w:p w14:paraId="383D0B5C" w14:textId="77777777" w:rsidR="009702B0" w:rsidRPr="00166751" w:rsidRDefault="009702B0" w:rsidP="009702B0">
            <w:pPr>
              <w:spacing w:after="0" w:line="240" w:lineRule="exact"/>
              <w:jc w:val="right"/>
              <w:rPr>
                <w:rFonts w:eastAsia="Arial Unicode MS" w:cs="Arial"/>
                <w:sz w:val="18"/>
                <w:szCs w:val="18"/>
              </w:rPr>
            </w:pPr>
          </w:p>
        </w:tc>
        <w:tc>
          <w:tcPr>
            <w:tcW w:w="584" w:type="pct"/>
            <w:vAlign w:val="bottom"/>
          </w:tcPr>
          <w:p w14:paraId="18E98A10" w14:textId="77777777" w:rsidR="009702B0" w:rsidRPr="00166751" w:rsidRDefault="009702B0" w:rsidP="009702B0">
            <w:pPr>
              <w:spacing w:after="0" w:line="240" w:lineRule="exact"/>
              <w:jc w:val="right"/>
              <w:rPr>
                <w:rFonts w:eastAsia="Arial Unicode MS" w:cs="Arial"/>
                <w:sz w:val="18"/>
                <w:szCs w:val="18"/>
              </w:rPr>
            </w:pPr>
          </w:p>
        </w:tc>
        <w:tc>
          <w:tcPr>
            <w:tcW w:w="579" w:type="pct"/>
            <w:vAlign w:val="bottom"/>
          </w:tcPr>
          <w:p w14:paraId="52623FC8" w14:textId="77777777" w:rsidR="009702B0" w:rsidRPr="00166751" w:rsidRDefault="009702B0" w:rsidP="009702B0">
            <w:pPr>
              <w:spacing w:after="0" w:line="240" w:lineRule="exact"/>
              <w:jc w:val="right"/>
              <w:rPr>
                <w:rFonts w:eastAsia="Arial Unicode MS" w:cs="Arial"/>
                <w:sz w:val="18"/>
                <w:szCs w:val="18"/>
              </w:rPr>
            </w:pPr>
          </w:p>
        </w:tc>
        <w:tc>
          <w:tcPr>
            <w:tcW w:w="653" w:type="pct"/>
            <w:vAlign w:val="bottom"/>
          </w:tcPr>
          <w:p w14:paraId="1E35CFCC" w14:textId="77777777" w:rsidR="009702B0" w:rsidRPr="00166751" w:rsidRDefault="009702B0" w:rsidP="009702B0">
            <w:pPr>
              <w:spacing w:after="0" w:line="240" w:lineRule="exact"/>
              <w:jc w:val="right"/>
              <w:rPr>
                <w:rFonts w:eastAsia="Arial Unicode MS" w:cs="Arial"/>
                <w:sz w:val="18"/>
                <w:szCs w:val="18"/>
              </w:rPr>
            </w:pPr>
          </w:p>
        </w:tc>
        <w:tc>
          <w:tcPr>
            <w:tcW w:w="577" w:type="pct"/>
            <w:vAlign w:val="bottom"/>
          </w:tcPr>
          <w:p w14:paraId="11718D6B" w14:textId="77777777" w:rsidR="009702B0" w:rsidRPr="00166751" w:rsidRDefault="009702B0" w:rsidP="009702B0">
            <w:pPr>
              <w:spacing w:after="0" w:line="240" w:lineRule="exact"/>
              <w:jc w:val="right"/>
              <w:rPr>
                <w:rFonts w:eastAsia="Arial Unicode MS" w:cs="Arial"/>
                <w:sz w:val="18"/>
                <w:szCs w:val="18"/>
              </w:rPr>
            </w:pPr>
          </w:p>
        </w:tc>
      </w:tr>
      <w:tr w:rsidR="009973EB" w:rsidRPr="00321238" w14:paraId="1C005032" w14:textId="77777777" w:rsidTr="005444AA">
        <w:trPr>
          <w:trHeight w:val="254"/>
        </w:trPr>
        <w:tc>
          <w:tcPr>
            <w:tcW w:w="1520" w:type="pct"/>
          </w:tcPr>
          <w:p w14:paraId="7453F640" w14:textId="77777777" w:rsidR="009973EB" w:rsidRPr="00166751" w:rsidRDefault="009973EB" w:rsidP="009973EB">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Cash on hand and due from banks</w:t>
            </w:r>
          </w:p>
        </w:tc>
        <w:tc>
          <w:tcPr>
            <w:tcW w:w="508" w:type="pct"/>
            <w:tcBorders>
              <w:top w:val="nil"/>
              <w:left w:val="nil"/>
              <w:bottom w:val="nil"/>
              <w:right w:val="nil"/>
            </w:tcBorders>
            <w:shd w:val="clear" w:color="auto" w:fill="auto"/>
            <w:vAlign w:val="bottom"/>
          </w:tcPr>
          <w:p w14:paraId="541ADEE6" w14:textId="5979BA1A"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lang w:val="pl-PL"/>
              </w:rPr>
              <w:t>9,328</w:t>
            </w:r>
          </w:p>
        </w:tc>
        <w:tc>
          <w:tcPr>
            <w:tcW w:w="579" w:type="pct"/>
            <w:tcBorders>
              <w:top w:val="nil"/>
              <w:left w:val="nil"/>
              <w:bottom w:val="nil"/>
              <w:right w:val="nil"/>
            </w:tcBorders>
            <w:shd w:val="clear" w:color="auto" w:fill="auto"/>
            <w:vAlign w:val="bottom"/>
          </w:tcPr>
          <w:p w14:paraId="25E5FBE4" w14:textId="2DE568F7"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lang w:val="pl-PL"/>
              </w:rPr>
              <w:t>347,477</w:t>
            </w:r>
          </w:p>
        </w:tc>
        <w:tc>
          <w:tcPr>
            <w:tcW w:w="584" w:type="pct"/>
            <w:tcBorders>
              <w:top w:val="nil"/>
              <w:left w:val="nil"/>
              <w:bottom w:val="nil"/>
              <w:right w:val="nil"/>
            </w:tcBorders>
            <w:shd w:val="clear" w:color="auto" w:fill="auto"/>
            <w:vAlign w:val="bottom"/>
          </w:tcPr>
          <w:p w14:paraId="02FD279C" w14:textId="54F88653"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lang w:val="pl-PL"/>
              </w:rPr>
              <w:t>2,626</w:t>
            </w:r>
          </w:p>
        </w:tc>
        <w:tc>
          <w:tcPr>
            <w:tcW w:w="579" w:type="pct"/>
            <w:tcBorders>
              <w:top w:val="nil"/>
              <w:left w:val="nil"/>
              <w:bottom w:val="nil"/>
              <w:right w:val="nil"/>
            </w:tcBorders>
            <w:shd w:val="clear" w:color="auto" w:fill="auto"/>
            <w:vAlign w:val="bottom"/>
          </w:tcPr>
          <w:p w14:paraId="44E52D9D" w14:textId="5D45F9A3"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lang w:val="pl-PL"/>
              </w:rPr>
              <w:t>359,431</w:t>
            </w:r>
          </w:p>
        </w:tc>
        <w:tc>
          <w:tcPr>
            <w:tcW w:w="653" w:type="pct"/>
            <w:tcBorders>
              <w:top w:val="nil"/>
              <w:left w:val="nil"/>
              <w:bottom w:val="nil"/>
              <w:right w:val="nil"/>
            </w:tcBorders>
            <w:shd w:val="clear" w:color="auto" w:fill="auto"/>
            <w:vAlign w:val="bottom"/>
          </w:tcPr>
          <w:p w14:paraId="2713C4BE" w14:textId="6086DA19"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lang w:val="pl-PL"/>
              </w:rPr>
              <w:t>380,486</w:t>
            </w:r>
          </w:p>
        </w:tc>
        <w:tc>
          <w:tcPr>
            <w:tcW w:w="577" w:type="pct"/>
            <w:tcBorders>
              <w:top w:val="nil"/>
              <w:left w:val="nil"/>
              <w:bottom w:val="nil"/>
            </w:tcBorders>
            <w:shd w:val="clear" w:color="auto" w:fill="auto"/>
            <w:vAlign w:val="bottom"/>
          </w:tcPr>
          <w:p w14:paraId="3C6F7C4C" w14:textId="3069E2E6"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lang w:val="pl-PL"/>
              </w:rPr>
              <w:t>739,917</w:t>
            </w:r>
          </w:p>
        </w:tc>
      </w:tr>
      <w:tr w:rsidR="009973EB" w:rsidRPr="00321238" w14:paraId="4ED5C78D" w14:textId="77777777" w:rsidTr="005444AA">
        <w:trPr>
          <w:trHeight w:val="254"/>
        </w:trPr>
        <w:tc>
          <w:tcPr>
            <w:tcW w:w="1520" w:type="pct"/>
          </w:tcPr>
          <w:p w14:paraId="531146CF" w14:textId="77777777" w:rsidR="009973EB" w:rsidRPr="00166751" w:rsidRDefault="009973EB" w:rsidP="009973EB">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 xml:space="preserve">Deposits with other banks </w:t>
            </w:r>
          </w:p>
        </w:tc>
        <w:tc>
          <w:tcPr>
            <w:tcW w:w="508" w:type="pct"/>
            <w:tcBorders>
              <w:top w:val="nil"/>
              <w:left w:val="nil"/>
              <w:bottom w:val="nil"/>
              <w:right w:val="nil"/>
            </w:tcBorders>
            <w:shd w:val="clear" w:color="auto" w:fill="auto"/>
            <w:vAlign w:val="bottom"/>
          </w:tcPr>
          <w:p w14:paraId="58D65953" w14:textId="69326805" w:rsidR="009973EB" w:rsidRPr="00166751" w:rsidRDefault="009973EB" w:rsidP="009973EB">
            <w:pPr>
              <w:spacing w:after="0" w:line="240" w:lineRule="exact"/>
              <w:jc w:val="right"/>
              <w:rPr>
                <w:rFonts w:eastAsia="Arial Unicode MS" w:cs="Arial"/>
                <w:sz w:val="18"/>
                <w:szCs w:val="18"/>
              </w:rPr>
            </w:pPr>
            <w:r w:rsidRPr="003E2E99">
              <w:rPr>
                <w:rFonts w:eastAsia="Arial Unicode MS" w:cs="Arial"/>
                <w:sz w:val="17"/>
                <w:szCs w:val="17"/>
                <w:lang w:val="pl-PL"/>
              </w:rPr>
              <w:t>-</w:t>
            </w:r>
          </w:p>
        </w:tc>
        <w:tc>
          <w:tcPr>
            <w:tcW w:w="579" w:type="pct"/>
            <w:tcBorders>
              <w:top w:val="nil"/>
              <w:left w:val="nil"/>
              <w:bottom w:val="nil"/>
              <w:right w:val="nil"/>
            </w:tcBorders>
            <w:shd w:val="clear" w:color="auto" w:fill="auto"/>
            <w:vAlign w:val="bottom"/>
          </w:tcPr>
          <w:p w14:paraId="322DB519" w14:textId="4DCD792F"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lang w:val="pl-PL"/>
              </w:rPr>
              <w:t>76</w:t>
            </w:r>
          </w:p>
        </w:tc>
        <w:tc>
          <w:tcPr>
            <w:tcW w:w="584" w:type="pct"/>
            <w:tcBorders>
              <w:top w:val="nil"/>
              <w:left w:val="nil"/>
              <w:bottom w:val="nil"/>
              <w:right w:val="nil"/>
            </w:tcBorders>
            <w:shd w:val="clear" w:color="auto" w:fill="auto"/>
            <w:vAlign w:val="bottom"/>
          </w:tcPr>
          <w:p w14:paraId="1E8941CC" w14:textId="5EAED318"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lang w:val="pl-PL"/>
              </w:rPr>
              <w:t>-</w:t>
            </w:r>
          </w:p>
        </w:tc>
        <w:tc>
          <w:tcPr>
            <w:tcW w:w="579" w:type="pct"/>
            <w:tcBorders>
              <w:top w:val="nil"/>
              <w:left w:val="nil"/>
              <w:bottom w:val="nil"/>
              <w:right w:val="nil"/>
            </w:tcBorders>
            <w:shd w:val="clear" w:color="auto" w:fill="auto"/>
            <w:vAlign w:val="bottom"/>
          </w:tcPr>
          <w:p w14:paraId="12ADEE0D" w14:textId="73E52372"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lang w:val="pl-PL"/>
              </w:rPr>
              <w:t>76</w:t>
            </w:r>
          </w:p>
        </w:tc>
        <w:tc>
          <w:tcPr>
            <w:tcW w:w="653" w:type="pct"/>
            <w:tcBorders>
              <w:top w:val="nil"/>
              <w:left w:val="nil"/>
              <w:bottom w:val="nil"/>
              <w:right w:val="nil"/>
            </w:tcBorders>
            <w:shd w:val="clear" w:color="auto" w:fill="auto"/>
            <w:vAlign w:val="bottom"/>
          </w:tcPr>
          <w:p w14:paraId="35923261" w14:textId="388DC38D"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lang w:val="pl-PL"/>
              </w:rPr>
              <w:t>-</w:t>
            </w:r>
          </w:p>
        </w:tc>
        <w:tc>
          <w:tcPr>
            <w:tcW w:w="577" w:type="pct"/>
            <w:tcBorders>
              <w:top w:val="nil"/>
              <w:left w:val="nil"/>
              <w:bottom w:val="nil"/>
            </w:tcBorders>
            <w:shd w:val="clear" w:color="auto" w:fill="auto"/>
            <w:vAlign w:val="bottom"/>
          </w:tcPr>
          <w:p w14:paraId="44A37BEB" w14:textId="3193CADF"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lang w:val="pl-PL"/>
              </w:rPr>
              <w:t>76</w:t>
            </w:r>
          </w:p>
        </w:tc>
      </w:tr>
      <w:tr w:rsidR="009973EB" w:rsidRPr="00321238" w14:paraId="5562717A" w14:textId="77777777" w:rsidTr="005444AA">
        <w:trPr>
          <w:trHeight w:val="239"/>
        </w:trPr>
        <w:tc>
          <w:tcPr>
            <w:tcW w:w="1520" w:type="pct"/>
          </w:tcPr>
          <w:p w14:paraId="7A555C9D" w14:textId="77777777" w:rsidR="009973EB" w:rsidRPr="00166751" w:rsidRDefault="009973EB" w:rsidP="009973EB">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Loans to financial institutions</w:t>
            </w:r>
          </w:p>
        </w:tc>
        <w:tc>
          <w:tcPr>
            <w:tcW w:w="508" w:type="pct"/>
            <w:tcBorders>
              <w:top w:val="nil"/>
              <w:left w:val="nil"/>
              <w:bottom w:val="nil"/>
              <w:right w:val="nil"/>
            </w:tcBorders>
            <w:shd w:val="clear" w:color="auto" w:fill="auto"/>
            <w:vAlign w:val="bottom"/>
          </w:tcPr>
          <w:p w14:paraId="37CEDE8F" w14:textId="0DDA8DE7"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lang w:val="pl-PL"/>
              </w:rPr>
              <w:t>-</w:t>
            </w:r>
          </w:p>
        </w:tc>
        <w:tc>
          <w:tcPr>
            <w:tcW w:w="579" w:type="pct"/>
            <w:tcBorders>
              <w:top w:val="nil"/>
              <w:left w:val="nil"/>
              <w:bottom w:val="nil"/>
              <w:right w:val="nil"/>
            </w:tcBorders>
            <w:shd w:val="clear" w:color="auto" w:fill="auto"/>
            <w:vAlign w:val="bottom"/>
          </w:tcPr>
          <w:p w14:paraId="163CE09B" w14:textId="148295F0"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lang w:val="pl-PL"/>
              </w:rPr>
              <w:t>6,430,519</w:t>
            </w:r>
          </w:p>
        </w:tc>
        <w:tc>
          <w:tcPr>
            <w:tcW w:w="584" w:type="pct"/>
            <w:tcBorders>
              <w:top w:val="nil"/>
              <w:left w:val="nil"/>
              <w:bottom w:val="nil"/>
              <w:right w:val="nil"/>
            </w:tcBorders>
            <w:shd w:val="clear" w:color="auto" w:fill="auto"/>
            <w:vAlign w:val="bottom"/>
          </w:tcPr>
          <w:p w14:paraId="388146D1" w14:textId="70BEC272"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rPr>
              <w:t>-</w:t>
            </w:r>
          </w:p>
        </w:tc>
        <w:tc>
          <w:tcPr>
            <w:tcW w:w="579" w:type="pct"/>
            <w:tcBorders>
              <w:top w:val="nil"/>
              <w:left w:val="nil"/>
              <w:bottom w:val="nil"/>
              <w:right w:val="nil"/>
            </w:tcBorders>
            <w:shd w:val="clear" w:color="auto" w:fill="auto"/>
            <w:vAlign w:val="bottom"/>
          </w:tcPr>
          <w:p w14:paraId="528695B8" w14:textId="61367A56"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lang w:val="pl-PL"/>
              </w:rPr>
              <w:t>6,430,519</w:t>
            </w:r>
          </w:p>
        </w:tc>
        <w:tc>
          <w:tcPr>
            <w:tcW w:w="653" w:type="pct"/>
            <w:tcBorders>
              <w:top w:val="nil"/>
              <w:left w:val="nil"/>
              <w:bottom w:val="nil"/>
              <w:right w:val="nil"/>
            </w:tcBorders>
            <w:shd w:val="clear" w:color="auto" w:fill="auto"/>
            <w:vAlign w:val="bottom"/>
          </w:tcPr>
          <w:p w14:paraId="102A8CDD" w14:textId="020016E1"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lang w:val="pl-PL"/>
              </w:rPr>
              <w:t>5,816,768</w:t>
            </w:r>
          </w:p>
        </w:tc>
        <w:tc>
          <w:tcPr>
            <w:tcW w:w="577" w:type="pct"/>
            <w:tcBorders>
              <w:top w:val="nil"/>
              <w:left w:val="nil"/>
              <w:bottom w:val="nil"/>
            </w:tcBorders>
            <w:shd w:val="clear" w:color="auto" w:fill="auto"/>
            <w:vAlign w:val="bottom"/>
          </w:tcPr>
          <w:p w14:paraId="4B6AA5AB" w14:textId="587A5CDA"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lang w:val="pl-PL"/>
              </w:rPr>
              <w:t>12,247,287</w:t>
            </w:r>
          </w:p>
        </w:tc>
      </w:tr>
      <w:tr w:rsidR="009973EB" w:rsidRPr="00321238" w14:paraId="6C47B18B" w14:textId="77777777" w:rsidTr="005444AA">
        <w:trPr>
          <w:trHeight w:val="254"/>
        </w:trPr>
        <w:tc>
          <w:tcPr>
            <w:tcW w:w="1520" w:type="pct"/>
          </w:tcPr>
          <w:p w14:paraId="3CA845CA" w14:textId="77777777" w:rsidR="009973EB" w:rsidRPr="00166751" w:rsidRDefault="009973EB" w:rsidP="009973EB">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 xml:space="preserve">Loans to other customers </w:t>
            </w:r>
          </w:p>
        </w:tc>
        <w:tc>
          <w:tcPr>
            <w:tcW w:w="508" w:type="pct"/>
            <w:tcBorders>
              <w:top w:val="nil"/>
              <w:left w:val="nil"/>
              <w:bottom w:val="nil"/>
              <w:right w:val="nil"/>
            </w:tcBorders>
            <w:shd w:val="clear" w:color="auto" w:fill="auto"/>
            <w:vAlign w:val="bottom"/>
          </w:tcPr>
          <w:p w14:paraId="1E8A2283" w14:textId="6948E9FE"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lang w:val="pl-PL"/>
              </w:rPr>
              <w:t>444,287</w:t>
            </w:r>
          </w:p>
        </w:tc>
        <w:tc>
          <w:tcPr>
            <w:tcW w:w="579" w:type="pct"/>
            <w:tcBorders>
              <w:top w:val="nil"/>
              <w:left w:val="nil"/>
              <w:bottom w:val="nil"/>
              <w:right w:val="nil"/>
            </w:tcBorders>
            <w:shd w:val="clear" w:color="auto" w:fill="auto"/>
            <w:vAlign w:val="bottom"/>
          </w:tcPr>
          <w:p w14:paraId="345AC40C" w14:textId="2D459B1A"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lang w:val="pl-PL"/>
              </w:rPr>
              <w:t>8,593,500</w:t>
            </w:r>
          </w:p>
        </w:tc>
        <w:tc>
          <w:tcPr>
            <w:tcW w:w="584" w:type="pct"/>
            <w:tcBorders>
              <w:top w:val="nil"/>
              <w:left w:val="nil"/>
              <w:bottom w:val="nil"/>
              <w:right w:val="nil"/>
            </w:tcBorders>
            <w:shd w:val="clear" w:color="auto" w:fill="auto"/>
            <w:vAlign w:val="bottom"/>
          </w:tcPr>
          <w:p w14:paraId="191FCCA4" w14:textId="625C0883"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rPr>
              <w:t>-</w:t>
            </w:r>
          </w:p>
        </w:tc>
        <w:tc>
          <w:tcPr>
            <w:tcW w:w="579" w:type="pct"/>
            <w:tcBorders>
              <w:top w:val="nil"/>
              <w:left w:val="nil"/>
              <w:bottom w:val="nil"/>
              <w:right w:val="nil"/>
            </w:tcBorders>
            <w:shd w:val="clear" w:color="auto" w:fill="auto"/>
            <w:vAlign w:val="bottom"/>
          </w:tcPr>
          <w:p w14:paraId="73FA5F9B" w14:textId="7FBF8225"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lang w:val="pl-PL"/>
              </w:rPr>
              <w:t>9,037,787</w:t>
            </w:r>
          </w:p>
        </w:tc>
        <w:tc>
          <w:tcPr>
            <w:tcW w:w="653" w:type="pct"/>
            <w:tcBorders>
              <w:top w:val="nil"/>
              <w:left w:val="nil"/>
              <w:bottom w:val="nil"/>
              <w:right w:val="nil"/>
            </w:tcBorders>
            <w:shd w:val="clear" w:color="auto" w:fill="auto"/>
            <w:vAlign w:val="bottom"/>
          </w:tcPr>
          <w:p w14:paraId="6732A7B4" w14:textId="70F0CF9B"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lang w:val="pl-PL"/>
              </w:rPr>
              <w:t>2,875,425</w:t>
            </w:r>
          </w:p>
        </w:tc>
        <w:tc>
          <w:tcPr>
            <w:tcW w:w="577" w:type="pct"/>
            <w:tcBorders>
              <w:top w:val="nil"/>
              <w:left w:val="nil"/>
              <w:bottom w:val="nil"/>
            </w:tcBorders>
            <w:shd w:val="clear" w:color="auto" w:fill="auto"/>
            <w:vAlign w:val="bottom"/>
          </w:tcPr>
          <w:p w14:paraId="1D58A1E6" w14:textId="61596B69"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lang w:val="pl-PL"/>
              </w:rPr>
              <w:t>11,913,212</w:t>
            </w:r>
          </w:p>
        </w:tc>
      </w:tr>
      <w:tr w:rsidR="009973EB" w:rsidRPr="00321238" w14:paraId="74214222" w14:textId="77777777" w:rsidTr="005444AA">
        <w:trPr>
          <w:trHeight w:val="493"/>
        </w:trPr>
        <w:tc>
          <w:tcPr>
            <w:tcW w:w="1520" w:type="pct"/>
          </w:tcPr>
          <w:p w14:paraId="15731C28" w14:textId="77777777" w:rsidR="009973EB" w:rsidRPr="00166751" w:rsidRDefault="009973EB" w:rsidP="009973EB">
            <w:pPr>
              <w:tabs>
                <w:tab w:val="right" w:pos="1202"/>
              </w:tabs>
              <w:spacing w:after="0" w:line="240" w:lineRule="exact"/>
              <w:outlineLvl w:val="0"/>
              <w:rPr>
                <w:rFonts w:eastAsia="Times New Roman" w:cs="Arial"/>
                <w:spacing w:val="-2"/>
                <w:sz w:val="18"/>
                <w:szCs w:val="18"/>
              </w:rPr>
            </w:pPr>
            <w:r w:rsidRPr="00166751">
              <w:rPr>
                <w:rFonts w:eastAsia="Times New Roman" w:cs="Arial"/>
                <w:spacing w:val="-2"/>
                <w:sz w:val="18"/>
                <w:szCs w:val="18"/>
              </w:rPr>
              <w:t xml:space="preserve">Financial assets at fair value through profit or loss </w:t>
            </w:r>
          </w:p>
        </w:tc>
        <w:tc>
          <w:tcPr>
            <w:tcW w:w="508" w:type="pct"/>
            <w:tcBorders>
              <w:top w:val="nil"/>
              <w:left w:val="nil"/>
              <w:bottom w:val="nil"/>
              <w:right w:val="nil"/>
            </w:tcBorders>
            <w:shd w:val="clear" w:color="auto" w:fill="auto"/>
            <w:vAlign w:val="bottom"/>
          </w:tcPr>
          <w:p w14:paraId="7C0BEB57" w14:textId="3E7A8FF5" w:rsidR="009973EB" w:rsidRPr="00166751" w:rsidRDefault="009973EB" w:rsidP="009973EB">
            <w:pPr>
              <w:spacing w:after="0" w:line="240" w:lineRule="exact"/>
              <w:jc w:val="right"/>
              <w:rPr>
                <w:rFonts w:eastAsia="Arial Unicode MS" w:cs="Arial"/>
                <w:sz w:val="18"/>
                <w:szCs w:val="18"/>
              </w:rPr>
            </w:pPr>
            <w:r w:rsidRPr="003E2E99">
              <w:rPr>
                <w:rFonts w:eastAsia="Arial Unicode MS" w:cs="Arial"/>
                <w:sz w:val="17"/>
                <w:szCs w:val="17"/>
              </w:rPr>
              <w:t>-</w:t>
            </w:r>
          </w:p>
        </w:tc>
        <w:tc>
          <w:tcPr>
            <w:tcW w:w="579" w:type="pct"/>
            <w:tcBorders>
              <w:top w:val="nil"/>
              <w:left w:val="nil"/>
              <w:bottom w:val="nil"/>
              <w:right w:val="nil"/>
            </w:tcBorders>
            <w:shd w:val="clear" w:color="auto" w:fill="auto"/>
            <w:vAlign w:val="bottom"/>
          </w:tcPr>
          <w:p w14:paraId="70506D60" w14:textId="7EF18AA8"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lang w:val="pl-PL"/>
              </w:rPr>
              <w:t>288</w:t>
            </w:r>
          </w:p>
        </w:tc>
        <w:tc>
          <w:tcPr>
            <w:tcW w:w="584" w:type="pct"/>
            <w:tcBorders>
              <w:top w:val="nil"/>
              <w:left w:val="nil"/>
              <w:bottom w:val="nil"/>
              <w:right w:val="nil"/>
            </w:tcBorders>
            <w:shd w:val="clear" w:color="auto" w:fill="auto"/>
            <w:vAlign w:val="bottom"/>
          </w:tcPr>
          <w:p w14:paraId="5880F6FB" w14:textId="13615B60"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rPr>
              <w:t>-</w:t>
            </w:r>
          </w:p>
        </w:tc>
        <w:tc>
          <w:tcPr>
            <w:tcW w:w="579" w:type="pct"/>
            <w:tcBorders>
              <w:top w:val="nil"/>
              <w:left w:val="nil"/>
              <w:bottom w:val="nil"/>
              <w:right w:val="nil"/>
            </w:tcBorders>
            <w:shd w:val="clear" w:color="auto" w:fill="auto"/>
            <w:vAlign w:val="bottom"/>
          </w:tcPr>
          <w:p w14:paraId="668FE5CE" w14:textId="18FB2D98"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lang w:val="pl-PL"/>
              </w:rPr>
              <w:t>288</w:t>
            </w:r>
          </w:p>
        </w:tc>
        <w:tc>
          <w:tcPr>
            <w:tcW w:w="653" w:type="pct"/>
            <w:tcBorders>
              <w:top w:val="nil"/>
              <w:left w:val="nil"/>
              <w:bottom w:val="nil"/>
              <w:right w:val="nil"/>
            </w:tcBorders>
            <w:shd w:val="clear" w:color="auto" w:fill="auto"/>
            <w:vAlign w:val="bottom"/>
          </w:tcPr>
          <w:p w14:paraId="396FFBE2" w14:textId="7710F123"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lang w:val="pl-PL"/>
              </w:rPr>
              <w:t>-</w:t>
            </w:r>
          </w:p>
        </w:tc>
        <w:tc>
          <w:tcPr>
            <w:tcW w:w="577" w:type="pct"/>
            <w:tcBorders>
              <w:top w:val="nil"/>
              <w:left w:val="nil"/>
              <w:bottom w:val="nil"/>
            </w:tcBorders>
            <w:shd w:val="clear" w:color="auto" w:fill="auto"/>
            <w:vAlign w:val="bottom"/>
          </w:tcPr>
          <w:p w14:paraId="181EE419" w14:textId="5FFFD282"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lang w:val="pl-PL"/>
              </w:rPr>
              <w:t>288</w:t>
            </w:r>
          </w:p>
        </w:tc>
      </w:tr>
      <w:tr w:rsidR="009973EB" w:rsidRPr="00321238" w14:paraId="40E39671" w14:textId="77777777" w:rsidTr="005444AA">
        <w:trPr>
          <w:trHeight w:val="254"/>
        </w:trPr>
        <w:tc>
          <w:tcPr>
            <w:tcW w:w="1520" w:type="pct"/>
          </w:tcPr>
          <w:p w14:paraId="3AF31540" w14:textId="77777777" w:rsidR="009973EB" w:rsidRPr="00166751" w:rsidRDefault="009973EB" w:rsidP="009973EB">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 xml:space="preserve">Assets available for sale </w:t>
            </w:r>
          </w:p>
        </w:tc>
        <w:tc>
          <w:tcPr>
            <w:tcW w:w="508" w:type="pct"/>
            <w:tcBorders>
              <w:top w:val="nil"/>
              <w:left w:val="nil"/>
              <w:bottom w:val="nil"/>
              <w:right w:val="nil"/>
            </w:tcBorders>
            <w:shd w:val="clear" w:color="auto" w:fill="auto"/>
            <w:vAlign w:val="bottom"/>
          </w:tcPr>
          <w:p w14:paraId="1A831EAE" w14:textId="743BBCBC"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rPr>
              <w:t>-</w:t>
            </w:r>
          </w:p>
        </w:tc>
        <w:tc>
          <w:tcPr>
            <w:tcW w:w="579" w:type="pct"/>
            <w:tcBorders>
              <w:top w:val="nil"/>
              <w:left w:val="nil"/>
              <w:bottom w:val="nil"/>
              <w:right w:val="nil"/>
            </w:tcBorders>
            <w:shd w:val="clear" w:color="auto" w:fill="auto"/>
            <w:vAlign w:val="bottom"/>
          </w:tcPr>
          <w:p w14:paraId="333CB84D" w14:textId="32C46DA3"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lang w:val="pl-PL"/>
              </w:rPr>
              <w:t>846,321</w:t>
            </w:r>
          </w:p>
        </w:tc>
        <w:tc>
          <w:tcPr>
            <w:tcW w:w="584" w:type="pct"/>
            <w:tcBorders>
              <w:top w:val="nil"/>
              <w:left w:val="nil"/>
              <w:bottom w:val="nil"/>
              <w:right w:val="nil"/>
            </w:tcBorders>
            <w:shd w:val="clear" w:color="auto" w:fill="auto"/>
            <w:vAlign w:val="bottom"/>
          </w:tcPr>
          <w:p w14:paraId="3B773990" w14:textId="34AECB13"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rPr>
              <w:t>-</w:t>
            </w:r>
          </w:p>
        </w:tc>
        <w:tc>
          <w:tcPr>
            <w:tcW w:w="579" w:type="pct"/>
            <w:tcBorders>
              <w:top w:val="nil"/>
              <w:left w:val="nil"/>
              <w:bottom w:val="nil"/>
              <w:right w:val="nil"/>
            </w:tcBorders>
            <w:shd w:val="clear" w:color="auto" w:fill="auto"/>
            <w:vAlign w:val="bottom"/>
          </w:tcPr>
          <w:p w14:paraId="67E8301D" w14:textId="34B4D31A"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lang w:val="pl-PL"/>
              </w:rPr>
              <w:t>846,321</w:t>
            </w:r>
          </w:p>
        </w:tc>
        <w:tc>
          <w:tcPr>
            <w:tcW w:w="653" w:type="pct"/>
            <w:tcBorders>
              <w:top w:val="nil"/>
              <w:left w:val="nil"/>
              <w:bottom w:val="nil"/>
              <w:right w:val="nil"/>
            </w:tcBorders>
            <w:shd w:val="clear" w:color="auto" w:fill="auto"/>
            <w:vAlign w:val="bottom"/>
          </w:tcPr>
          <w:p w14:paraId="518AAA77" w14:textId="18134CD0"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lang w:val="pl-PL"/>
              </w:rPr>
              <w:t>2,467,724</w:t>
            </w:r>
          </w:p>
        </w:tc>
        <w:tc>
          <w:tcPr>
            <w:tcW w:w="577" w:type="pct"/>
            <w:tcBorders>
              <w:top w:val="nil"/>
              <w:left w:val="nil"/>
              <w:bottom w:val="nil"/>
            </w:tcBorders>
            <w:shd w:val="clear" w:color="auto" w:fill="auto"/>
            <w:vAlign w:val="bottom"/>
          </w:tcPr>
          <w:p w14:paraId="4FBA8094" w14:textId="37767C2A"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lang w:val="pl-PL"/>
              </w:rPr>
              <w:t>3,314,045</w:t>
            </w:r>
          </w:p>
        </w:tc>
      </w:tr>
      <w:tr w:rsidR="009973EB" w:rsidRPr="00321238" w14:paraId="484F33EE" w14:textId="77777777" w:rsidTr="005444AA">
        <w:trPr>
          <w:trHeight w:val="254"/>
        </w:trPr>
        <w:tc>
          <w:tcPr>
            <w:tcW w:w="1520" w:type="pct"/>
          </w:tcPr>
          <w:p w14:paraId="760F3D5F" w14:textId="77777777" w:rsidR="009973EB" w:rsidRPr="00166751" w:rsidRDefault="009973EB" w:rsidP="009973EB">
            <w:pPr>
              <w:tabs>
                <w:tab w:val="right" w:pos="1202"/>
              </w:tabs>
              <w:spacing w:after="0" w:line="240" w:lineRule="exact"/>
              <w:outlineLvl w:val="0"/>
              <w:rPr>
                <w:rFonts w:eastAsia="Times New Roman" w:cs="Arial"/>
                <w:spacing w:val="-2"/>
                <w:sz w:val="18"/>
                <w:szCs w:val="18"/>
              </w:rPr>
            </w:pPr>
            <w:r w:rsidRPr="00166751">
              <w:rPr>
                <w:rFonts w:eastAsia="Times New Roman" w:cs="Arial"/>
                <w:spacing w:val="-2"/>
                <w:sz w:val="18"/>
                <w:szCs w:val="18"/>
              </w:rPr>
              <w:t xml:space="preserve">Assets held to maturity </w:t>
            </w:r>
          </w:p>
        </w:tc>
        <w:tc>
          <w:tcPr>
            <w:tcW w:w="508" w:type="pct"/>
            <w:tcBorders>
              <w:top w:val="nil"/>
              <w:left w:val="nil"/>
              <w:bottom w:val="nil"/>
              <w:right w:val="nil"/>
            </w:tcBorders>
            <w:shd w:val="clear" w:color="auto" w:fill="auto"/>
            <w:vAlign w:val="bottom"/>
          </w:tcPr>
          <w:p w14:paraId="41B25AED" w14:textId="57861E5D"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rPr>
              <w:t>-</w:t>
            </w:r>
          </w:p>
        </w:tc>
        <w:tc>
          <w:tcPr>
            <w:tcW w:w="579" w:type="pct"/>
            <w:tcBorders>
              <w:top w:val="nil"/>
              <w:left w:val="nil"/>
              <w:bottom w:val="nil"/>
              <w:right w:val="nil"/>
            </w:tcBorders>
            <w:shd w:val="clear" w:color="auto" w:fill="auto"/>
            <w:vAlign w:val="bottom"/>
          </w:tcPr>
          <w:p w14:paraId="725701D9" w14:textId="4F47BE16"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rPr>
              <w:t>1,404</w:t>
            </w:r>
          </w:p>
        </w:tc>
        <w:tc>
          <w:tcPr>
            <w:tcW w:w="584" w:type="pct"/>
            <w:tcBorders>
              <w:top w:val="nil"/>
              <w:left w:val="nil"/>
              <w:bottom w:val="nil"/>
              <w:right w:val="nil"/>
            </w:tcBorders>
            <w:shd w:val="clear" w:color="auto" w:fill="auto"/>
            <w:vAlign w:val="bottom"/>
          </w:tcPr>
          <w:p w14:paraId="0EEED42D" w14:textId="0E5425D7"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rPr>
              <w:t>-</w:t>
            </w:r>
          </w:p>
        </w:tc>
        <w:tc>
          <w:tcPr>
            <w:tcW w:w="579" w:type="pct"/>
            <w:tcBorders>
              <w:top w:val="nil"/>
              <w:left w:val="nil"/>
              <w:bottom w:val="nil"/>
              <w:right w:val="nil"/>
            </w:tcBorders>
            <w:shd w:val="clear" w:color="auto" w:fill="auto"/>
            <w:vAlign w:val="bottom"/>
          </w:tcPr>
          <w:p w14:paraId="7B4E7D03" w14:textId="4D3C6665"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rPr>
              <w:t>1,404</w:t>
            </w:r>
          </w:p>
        </w:tc>
        <w:tc>
          <w:tcPr>
            <w:tcW w:w="653" w:type="pct"/>
            <w:tcBorders>
              <w:top w:val="nil"/>
              <w:left w:val="nil"/>
              <w:bottom w:val="nil"/>
              <w:right w:val="nil"/>
            </w:tcBorders>
            <w:shd w:val="clear" w:color="auto" w:fill="auto"/>
            <w:vAlign w:val="bottom"/>
          </w:tcPr>
          <w:p w14:paraId="0D1EE4EA" w14:textId="213120DC"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lang w:val="pl-PL"/>
              </w:rPr>
              <w:t>-</w:t>
            </w:r>
          </w:p>
        </w:tc>
        <w:tc>
          <w:tcPr>
            <w:tcW w:w="577" w:type="pct"/>
            <w:tcBorders>
              <w:top w:val="nil"/>
              <w:left w:val="nil"/>
              <w:bottom w:val="nil"/>
            </w:tcBorders>
            <w:shd w:val="clear" w:color="auto" w:fill="auto"/>
            <w:vAlign w:val="bottom"/>
          </w:tcPr>
          <w:p w14:paraId="75408C31" w14:textId="74C66E89"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lang w:val="pl-PL"/>
              </w:rPr>
              <w:t>1,404</w:t>
            </w:r>
          </w:p>
        </w:tc>
      </w:tr>
      <w:tr w:rsidR="009973EB" w:rsidRPr="00321238" w14:paraId="73779C78" w14:textId="77777777" w:rsidTr="005444AA">
        <w:trPr>
          <w:trHeight w:val="239"/>
        </w:trPr>
        <w:tc>
          <w:tcPr>
            <w:tcW w:w="1520" w:type="pct"/>
          </w:tcPr>
          <w:p w14:paraId="2187FC51" w14:textId="77777777" w:rsidR="009973EB" w:rsidRPr="00166751" w:rsidRDefault="009973EB" w:rsidP="009973EB">
            <w:pPr>
              <w:tabs>
                <w:tab w:val="right" w:pos="1202"/>
              </w:tabs>
              <w:spacing w:after="0" w:line="240" w:lineRule="exact"/>
              <w:outlineLvl w:val="0"/>
              <w:rPr>
                <w:rFonts w:eastAsia="Times New Roman" w:cs="Arial"/>
                <w:spacing w:val="-2"/>
                <w:sz w:val="18"/>
                <w:szCs w:val="18"/>
              </w:rPr>
            </w:pPr>
            <w:r w:rsidRPr="00166751">
              <w:rPr>
                <w:rFonts w:eastAsia="Times New Roman" w:cs="Arial"/>
                <w:spacing w:val="-2"/>
                <w:sz w:val="18"/>
                <w:szCs w:val="18"/>
              </w:rPr>
              <w:t xml:space="preserve">Investments in associates </w:t>
            </w:r>
          </w:p>
        </w:tc>
        <w:tc>
          <w:tcPr>
            <w:tcW w:w="508" w:type="pct"/>
            <w:tcBorders>
              <w:top w:val="nil"/>
              <w:left w:val="nil"/>
              <w:bottom w:val="nil"/>
              <w:right w:val="nil"/>
            </w:tcBorders>
            <w:shd w:val="clear" w:color="auto" w:fill="auto"/>
            <w:vAlign w:val="bottom"/>
          </w:tcPr>
          <w:p w14:paraId="78E77482" w14:textId="7B8B7D12"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rPr>
              <w:t>-</w:t>
            </w:r>
          </w:p>
        </w:tc>
        <w:tc>
          <w:tcPr>
            <w:tcW w:w="579" w:type="pct"/>
            <w:tcBorders>
              <w:top w:val="nil"/>
              <w:left w:val="nil"/>
              <w:bottom w:val="nil"/>
              <w:right w:val="nil"/>
            </w:tcBorders>
            <w:shd w:val="clear" w:color="auto" w:fill="auto"/>
            <w:vAlign w:val="bottom"/>
          </w:tcPr>
          <w:p w14:paraId="626D8B32" w14:textId="314A0CC2"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rPr>
              <w:t>-</w:t>
            </w:r>
          </w:p>
        </w:tc>
        <w:tc>
          <w:tcPr>
            <w:tcW w:w="584" w:type="pct"/>
            <w:tcBorders>
              <w:top w:val="nil"/>
              <w:left w:val="nil"/>
              <w:bottom w:val="nil"/>
              <w:right w:val="nil"/>
            </w:tcBorders>
            <w:shd w:val="clear" w:color="auto" w:fill="auto"/>
            <w:vAlign w:val="bottom"/>
          </w:tcPr>
          <w:p w14:paraId="1F81F3A1" w14:textId="00D833A4"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rPr>
              <w:t>-</w:t>
            </w:r>
          </w:p>
        </w:tc>
        <w:tc>
          <w:tcPr>
            <w:tcW w:w="579" w:type="pct"/>
            <w:tcBorders>
              <w:top w:val="nil"/>
              <w:left w:val="nil"/>
              <w:bottom w:val="nil"/>
              <w:right w:val="nil"/>
            </w:tcBorders>
            <w:shd w:val="clear" w:color="auto" w:fill="auto"/>
            <w:vAlign w:val="bottom"/>
          </w:tcPr>
          <w:p w14:paraId="576C21A2" w14:textId="0141C0CC"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rPr>
              <w:t>-</w:t>
            </w:r>
          </w:p>
        </w:tc>
        <w:tc>
          <w:tcPr>
            <w:tcW w:w="653" w:type="pct"/>
            <w:tcBorders>
              <w:top w:val="nil"/>
              <w:left w:val="nil"/>
              <w:bottom w:val="nil"/>
              <w:right w:val="nil"/>
            </w:tcBorders>
            <w:shd w:val="clear" w:color="auto" w:fill="auto"/>
            <w:vAlign w:val="bottom"/>
          </w:tcPr>
          <w:p w14:paraId="6A531BE4" w14:textId="528DF7A6"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lang w:val="pl-PL"/>
              </w:rPr>
              <w:t>-</w:t>
            </w:r>
          </w:p>
        </w:tc>
        <w:tc>
          <w:tcPr>
            <w:tcW w:w="577" w:type="pct"/>
            <w:tcBorders>
              <w:top w:val="nil"/>
              <w:left w:val="nil"/>
              <w:bottom w:val="nil"/>
            </w:tcBorders>
            <w:shd w:val="clear" w:color="auto" w:fill="auto"/>
            <w:vAlign w:val="bottom"/>
          </w:tcPr>
          <w:p w14:paraId="1161E414" w14:textId="2B6280B8"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lang w:val="pl-PL"/>
              </w:rPr>
              <w:t>-</w:t>
            </w:r>
          </w:p>
        </w:tc>
      </w:tr>
      <w:tr w:rsidR="009973EB" w:rsidRPr="00321238" w14:paraId="59312349" w14:textId="77777777" w:rsidTr="005444AA">
        <w:trPr>
          <w:trHeight w:val="507"/>
        </w:trPr>
        <w:tc>
          <w:tcPr>
            <w:tcW w:w="1520" w:type="pct"/>
          </w:tcPr>
          <w:p w14:paraId="4EBA9331" w14:textId="77777777" w:rsidR="009973EB" w:rsidRPr="00166751" w:rsidRDefault="009973EB" w:rsidP="009973EB">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Property, plant and equipment and intangible assets</w:t>
            </w:r>
          </w:p>
        </w:tc>
        <w:tc>
          <w:tcPr>
            <w:tcW w:w="508" w:type="pct"/>
            <w:tcBorders>
              <w:top w:val="nil"/>
              <w:left w:val="nil"/>
              <w:bottom w:val="nil"/>
              <w:right w:val="nil"/>
            </w:tcBorders>
            <w:shd w:val="clear" w:color="auto" w:fill="auto"/>
            <w:vAlign w:val="bottom"/>
          </w:tcPr>
          <w:p w14:paraId="66AD9258" w14:textId="7CF0E32A"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rPr>
              <w:t>-</w:t>
            </w:r>
          </w:p>
        </w:tc>
        <w:tc>
          <w:tcPr>
            <w:tcW w:w="579" w:type="pct"/>
            <w:tcBorders>
              <w:top w:val="nil"/>
              <w:left w:val="nil"/>
              <w:bottom w:val="nil"/>
              <w:right w:val="nil"/>
            </w:tcBorders>
            <w:shd w:val="clear" w:color="auto" w:fill="auto"/>
            <w:vAlign w:val="bottom"/>
          </w:tcPr>
          <w:p w14:paraId="2BD4281D" w14:textId="4047B7AC"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rPr>
              <w:t>-</w:t>
            </w:r>
          </w:p>
        </w:tc>
        <w:tc>
          <w:tcPr>
            <w:tcW w:w="584" w:type="pct"/>
            <w:tcBorders>
              <w:top w:val="nil"/>
              <w:left w:val="nil"/>
              <w:bottom w:val="nil"/>
              <w:right w:val="nil"/>
            </w:tcBorders>
            <w:shd w:val="clear" w:color="auto" w:fill="auto"/>
            <w:vAlign w:val="bottom"/>
          </w:tcPr>
          <w:p w14:paraId="0513BAD4" w14:textId="1A5E0D3D"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rPr>
              <w:t>-</w:t>
            </w:r>
          </w:p>
        </w:tc>
        <w:tc>
          <w:tcPr>
            <w:tcW w:w="579" w:type="pct"/>
            <w:tcBorders>
              <w:top w:val="nil"/>
              <w:left w:val="nil"/>
              <w:bottom w:val="nil"/>
              <w:right w:val="nil"/>
            </w:tcBorders>
            <w:shd w:val="clear" w:color="auto" w:fill="auto"/>
            <w:vAlign w:val="bottom"/>
          </w:tcPr>
          <w:p w14:paraId="60F305C5" w14:textId="252EA924"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rPr>
              <w:t>-</w:t>
            </w:r>
          </w:p>
        </w:tc>
        <w:tc>
          <w:tcPr>
            <w:tcW w:w="653" w:type="pct"/>
            <w:tcBorders>
              <w:top w:val="nil"/>
              <w:left w:val="nil"/>
              <w:bottom w:val="nil"/>
              <w:right w:val="nil"/>
            </w:tcBorders>
            <w:shd w:val="clear" w:color="auto" w:fill="auto"/>
            <w:vAlign w:val="bottom"/>
          </w:tcPr>
          <w:p w14:paraId="66313D97" w14:textId="0A1B849A"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lang w:val="pl-PL"/>
              </w:rPr>
              <w:t>54,076</w:t>
            </w:r>
          </w:p>
        </w:tc>
        <w:tc>
          <w:tcPr>
            <w:tcW w:w="577" w:type="pct"/>
            <w:tcBorders>
              <w:top w:val="nil"/>
              <w:left w:val="nil"/>
              <w:bottom w:val="nil"/>
            </w:tcBorders>
            <w:shd w:val="clear" w:color="auto" w:fill="auto"/>
            <w:vAlign w:val="bottom"/>
          </w:tcPr>
          <w:p w14:paraId="0A14C0B2" w14:textId="5CBAB61A"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lang w:val="pl-PL"/>
              </w:rPr>
              <w:t>54,076</w:t>
            </w:r>
          </w:p>
        </w:tc>
      </w:tr>
      <w:tr w:rsidR="009973EB" w:rsidRPr="00321238" w14:paraId="00D00E94" w14:textId="77777777" w:rsidTr="005444AA">
        <w:trPr>
          <w:trHeight w:val="239"/>
        </w:trPr>
        <w:tc>
          <w:tcPr>
            <w:tcW w:w="1520" w:type="pct"/>
          </w:tcPr>
          <w:p w14:paraId="4D239151" w14:textId="77777777" w:rsidR="009973EB" w:rsidRPr="00166751" w:rsidRDefault="009973EB" w:rsidP="009973EB">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 xml:space="preserve">Non-current assets held for sale </w:t>
            </w:r>
          </w:p>
        </w:tc>
        <w:tc>
          <w:tcPr>
            <w:tcW w:w="508" w:type="pct"/>
            <w:tcBorders>
              <w:top w:val="nil"/>
              <w:left w:val="nil"/>
              <w:bottom w:val="nil"/>
              <w:right w:val="nil"/>
            </w:tcBorders>
            <w:shd w:val="clear" w:color="auto" w:fill="auto"/>
            <w:vAlign w:val="bottom"/>
          </w:tcPr>
          <w:p w14:paraId="688ABC8C" w14:textId="01E8D918"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rPr>
              <w:t>-</w:t>
            </w:r>
          </w:p>
        </w:tc>
        <w:tc>
          <w:tcPr>
            <w:tcW w:w="579" w:type="pct"/>
            <w:tcBorders>
              <w:top w:val="nil"/>
              <w:left w:val="nil"/>
              <w:bottom w:val="nil"/>
              <w:right w:val="nil"/>
            </w:tcBorders>
            <w:shd w:val="clear" w:color="auto" w:fill="auto"/>
            <w:vAlign w:val="bottom"/>
          </w:tcPr>
          <w:p w14:paraId="2D7024D2" w14:textId="5CDD126F"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rPr>
              <w:t>-</w:t>
            </w:r>
          </w:p>
        </w:tc>
        <w:tc>
          <w:tcPr>
            <w:tcW w:w="584" w:type="pct"/>
            <w:tcBorders>
              <w:top w:val="nil"/>
              <w:left w:val="nil"/>
              <w:bottom w:val="nil"/>
              <w:right w:val="nil"/>
            </w:tcBorders>
            <w:shd w:val="clear" w:color="auto" w:fill="auto"/>
            <w:vAlign w:val="bottom"/>
          </w:tcPr>
          <w:p w14:paraId="42415D96" w14:textId="28190651"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rPr>
              <w:t>-</w:t>
            </w:r>
          </w:p>
        </w:tc>
        <w:tc>
          <w:tcPr>
            <w:tcW w:w="579" w:type="pct"/>
            <w:tcBorders>
              <w:top w:val="nil"/>
              <w:left w:val="nil"/>
              <w:bottom w:val="nil"/>
              <w:right w:val="nil"/>
            </w:tcBorders>
            <w:shd w:val="clear" w:color="auto" w:fill="auto"/>
            <w:vAlign w:val="bottom"/>
          </w:tcPr>
          <w:p w14:paraId="60B02067" w14:textId="631421AC"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rPr>
              <w:t>-</w:t>
            </w:r>
          </w:p>
        </w:tc>
        <w:tc>
          <w:tcPr>
            <w:tcW w:w="653" w:type="pct"/>
            <w:tcBorders>
              <w:top w:val="nil"/>
              <w:left w:val="nil"/>
              <w:bottom w:val="nil"/>
              <w:right w:val="nil"/>
            </w:tcBorders>
            <w:shd w:val="clear" w:color="auto" w:fill="auto"/>
            <w:vAlign w:val="bottom"/>
          </w:tcPr>
          <w:p w14:paraId="5FD7F23F" w14:textId="165CB1EE"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lang w:val="pl-PL"/>
              </w:rPr>
              <w:t>17,045</w:t>
            </w:r>
          </w:p>
        </w:tc>
        <w:tc>
          <w:tcPr>
            <w:tcW w:w="577" w:type="pct"/>
            <w:tcBorders>
              <w:top w:val="nil"/>
              <w:left w:val="nil"/>
              <w:bottom w:val="nil"/>
            </w:tcBorders>
            <w:shd w:val="clear" w:color="auto" w:fill="auto"/>
            <w:vAlign w:val="bottom"/>
          </w:tcPr>
          <w:p w14:paraId="7A754B20" w14:textId="7D22C742"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lang w:val="pl-PL"/>
              </w:rPr>
              <w:t>17,045</w:t>
            </w:r>
          </w:p>
        </w:tc>
      </w:tr>
      <w:tr w:rsidR="009973EB" w:rsidRPr="00321238" w14:paraId="1897D309" w14:textId="77777777" w:rsidTr="005444AA">
        <w:trPr>
          <w:trHeight w:val="254"/>
        </w:trPr>
        <w:tc>
          <w:tcPr>
            <w:tcW w:w="1520" w:type="pct"/>
          </w:tcPr>
          <w:p w14:paraId="48CBF24C" w14:textId="77777777" w:rsidR="009973EB" w:rsidRPr="00166751" w:rsidRDefault="009973EB" w:rsidP="009973EB">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 xml:space="preserve">Other assets </w:t>
            </w:r>
          </w:p>
        </w:tc>
        <w:tc>
          <w:tcPr>
            <w:tcW w:w="508" w:type="pct"/>
            <w:tcBorders>
              <w:top w:val="nil"/>
              <w:left w:val="nil"/>
              <w:bottom w:val="nil"/>
              <w:right w:val="nil"/>
            </w:tcBorders>
            <w:shd w:val="clear" w:color="auto" w:fill="auto"/>
            <w:vAlign w:val="bottom"/>
          </w:tcPr>
          <w:p w14:paraId="531B1FBB" w14:textId="3A4319FA"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rPr>
              <w:t>-</w:t>
            </w:r>
          </w:p>
        </w:tc>
        <w:tc>
          <w:tcPr>
            <w:tcW w:w="579" w:type="pct"/>
            <w:tcBorders>
              <w:top w:val="nil"/>
              <w:left w:val="nil"/>
              <w:bottom w:val="nil"/>
              <w:right w:val="nil"/>
            </w:tcBorders>
            <w:shd w:val="clear" w:color="auto" w:fill="auto"/>
            <w:vAlign w:val="bottom"/>
          </w:tcPr>
          <w:p w14:paraId="529D313C" w14:textId="3B484DFC"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rPr>
              <w:t>516</w:t>
            </w:r>
          </w:p>
        </w:tc>
        <w:tc>
          <w:tcPr>
            <w:tcW w:w="584" w:type="pct"/>
            <w:tcBorders>
              <w:top w:val="nil"/>
              <w:left w:val="nil"/>
              <w:bottom w:val="nil"/>
              <w:right w:val="nil"/>
            </w:tcBorders>
            <w:shd w:val="clear" w:color="auto" w:fill="auto"/>
            <w:vAlign w:val="bottom"/>
          </w:tcPr>
          <w:p w14:paraId="73769EA4" w14:textId="5FE47EEF"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rPr>
              <w:t>-</w:t>
            </w:r>
          </w:p>
        </w:tc>
        <w:tc>
          <w:tcPr>
            <w:tcW w:w="579" w:type="pct"/>
            <w:tcBorders>
              <w:top w:val="nil"/>
              <w:left w:val="nil"/>
              <w:bottom w:val="nil"/>
              <w:right w:val="nil"/>
            </w:tcBorders>
            <w:shd w:val="clear" w:color="auto" w:fill="auto"/>
            <w:vAlign w:val="bottom"/>
          </w:tcPr>
          <w:p w14:paraId="28B0DD3C" w14:textId="5BE66E1D"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rPr>
              <w:t>516</w:t>
            </w:r>
          </w:p>
        </w:tc>
        <w:tc>
          <w:tcPr>
            <w:tcW w:w="653" w:type="pct"/>
            <w:tcBorders>
              <w:top w:val="nil"/>
              <w:left w:val="nil"/>
              <w:bottom w:val="single" w:sz="2" w:space="0" w:color="auto"/>
              <w:right w:val="nil"/>
            </w:tcBorders>
            <w:shd w:val="clear" w:color="auto" w:fill="auto"/>
            <w:vAlign w:val="bottom"/>
          </w:tcPr>
          <w:p w14:paraId="242410C1" w14:textId="321B3FD4"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lang w:val="pl-PL"/>
              </w:rPr>
              <w:t>12,858</w:t>
            </w:r>
          </w:p>
        </w:tc>
        <w:tc>
          <w:tcPr>
            <w:tcW w:w="577" w:type="pct"/>
            <w:tcBorders>
              <w:top w:val="nil"/>
              <w:left w:val="nil"/>
              <w:bottom w:val="single" w:sz="2" w:space="0" w:color="auto"/>
            </w:tcBorders>
            <w:shd w:val="clear" w:color="auto" w:fill="auto"/>
            <w:vAlign w:val="bottom"/>
          </w:tcPr>
          <w:p w14:paraId="16A37A4E" w14:textId="5A6C7411" w:rsidR="009973EB" w:rsidRPr="00166751" w:rsidRDefault="009973EB" w:rsidP="009973EB">
            <w:pPr>
              <w:spacing w:after="0" w:line="240" w:lineRule="exact"/>
              <w:jc w:val="right"/>
              <w:rPr>
                <w:rFonts w:eastAsia="Arial Unicode MS" w:cs="Arial"/>
                <w:sz w:val="18"/>
                <w:szCs w:val="18"/>
              </w:rPr>
            </w:pPr>
            <w:r>
              <w:rPr>
                <w:rFonts w:eastAsia="Arial Unicode MS" w:cs="Arial"/>
                <w:sz w:val="17"/>
                <w:szCs w:val="17"/>
                <w:lang w:val="pl-PL"/>
              </w:rPr>
              <w:t>13,374</w:t>
            </w:r>
          </w:p>
        </w:tc>
      </w:tr>
      <w:tr w:rsidR="00597B73" w:rsidRPr="00321238" w14:paraId="5B446B7B" w14:textId="77777777" w:rsidTr="005444AA">
        <w:trPr>
          <w:trHeight w:val="254"/>
        </w:trPr>
        <w:tc>
          <w:tcPr>
            <w:tcW w:w="1520" w:type="pct"/>
            <w:vAlign w:val="bottom"/>
          </w:tcPr>
          <w:p w14:paraId="1387CBCD" w14:textId="77777777" w:rsidR="00597B73" w:rsidRPr="00166751" w:rsidRDefault="00597B73" w:rsidP="00597B73">
            <w:pPr>
              <w:tabs>
                <w:tab w:val="right" w:pos="1202"/>
              </w:tabs>
              <w:spacing w:after="0" w:line="240" w:lineRule="exact"/>
              <w:outlineLvl w:val="0"/>
              <w:rPr>
                <w:rFonts w:eastAsia="Times New Roman" w:cs="Arial"/>
                <w:b/>
                <w:bCs/>
                <w:sz w:val="18"/>
                <w:szCs w:val="18"/>
              </w:rPr>
            </w:pPr>
            <w:r w:rsidRPr="00166751">
              <w:rPr>
                <w:rFonts w:eastAsia="Times New Roman" w:cs="Arial"/>
                <w:b/>
                <w:bCs/>
                <w:sz w:val="18"/>
                <w:szCs w:val="18"/>
              </w:rPr>
              <w:t>Total assets (1)</w:t>
            </w:r>
          </w:p>
        </w:tc>
        <w:tc>
          <w:tcPr>
            <w:tcW w:w="508" w:type="pct"/>
            <w:tcBorders>
              <w:top w:val="single" w:sz="2" w:space="0" w:color="auto"/>
              <w:left w:val="nil"/>
              <w:bottom w:val="single" w:sz="12" w:space="0" w:color="auto"/>
              <w:right w:val="nil"/>
            </w:tcBorders>
            <w:shd w:val="clear" w:color="auto" w:fill="auto"/>
            <w:vAlign w:val="bottom"/>
          </w:tcPr>
          <w:p w14:paraId="5BA22E8B" w14:textId="0DAD9808" w:rsidR="00597B73" w:rsidRPr="00166751" w:rsidRDefault="00597B73" w:rsidP="00597B73">
            <w:pPr>
              <w:spacing w:after="0" w:line="240" w:lineRule="exact"/>
              <w:jc w:val="right"/>
              <w:rPr>
                <w:rFonts w:eastAsia="Arial Unicode MS" w:cs="Arial"/>
                <w:b/>
                <w:bCs/>
                <w:sz w:val="18"/>
                <w:szCs w:val="18"/>
              </w:rPr>
            </w:pPr>
            <w:r>
              <w:rPr>
                <w:rFonts w:eastAsia="Arial Unicode MS" w:cs="Arial"/>
                <w:b/>
                <w:bCs/>
                <w:sz w:val="17"/>
                <w:szCs w:val="17"/>
              </w:rPr>
              <w:t>453,615</w:t>
            </w:r>
          </w:p>
        </w:tc>
        <w:tc>
          <w:tcPr>
            <w:tcW w:w="579" w:type="pct"/>
            <w:tcBorders>
              <w:top w:val="single" w:sz="2" w:space="0" w:color="auto"/>
              <w:left w:val="nil"/>
              <w:bottom w:val="single" w:sz="12" w:space="0" w:color="auto"/>
              <w:right w:val="nil"/>
            </w:tcBorders>
            <w:shd w:val="clear" w:color="auto" w:fill="auto"/>
            <w:vAlign w:val="bottom"/>
          </w:tcPr>
          <w:p w14:paraId="77E077BD" w14:textId="57AE14F1" w:rsidR="00597B73" w:rsidRPr="00166751" w:rsidRDefault="00597B73" w:rsidP="00597B73">
            <w:pPr>
              <w:spacing w:after="0" w:line="240" w:lineRule="exact"/>
              <w:jc w:val="right"/>
              <w:rPr>
                <w:rFonts w:eastAsia="Arial Unicode MS" w:cs="Arial"/>
                <w:b/>
                <w:bCs/>
                <w:sz w:val="18"/>
                <w:szCs w:val="18"/>
              </w:rPr>
            </w:pPr>
            <w:r>
              <w:rPr>
                <w:rFonts w:eastAsia="Arial Unicode MS" w:cs="Arial"/>
                <w:b/>
                <w:bCs/>
                <w:sz w:val="17"/>
                <w:szCs w:val="17"/>
              </w:rPr>
              <w:t>16,220,101</w:t>
            </w:r>
          </w:p>
        </w:tc>
        <w:tc>
          <w:tcPr>
            <w:tcW w:w="584" w:type="pct"/>
            <w:tcBorders>
              <w:top w:val="single" w:sz="2" w:space="0" w:color="auto"/>
              <w:left w:val="nil"/>
              <w:bottom w:val="single" w:sz="12" w:space="0" w:color="auto"/>
              <w:right w:val="nil"/>
            </w:tcBorders>
            <w:shd w:val="clear" w:color="auto" w:fill="auto"/>
            <w:vAlign w:val="bottom"/>
          </w:tcPr>
          <w:p w14:paraId="795E876A" w14:textId="4C663791" w:rsidR="00597B73" w:rsidRPr="00166751" w:rsidRDefault="00597B73" w:rsidP="00597B73">
            <w:pPr>
              <w:spacing w:after="0" w:line="240" w:lineRule="exact"/>
              <w:jc w:val="right"/>
              <w:rPr>
                <w:rFonts w:eastAsia="Arial Unicode MS" w:cs="Arial"/>
                <w:b/>
                <w:bCs/>
                <w:sz w:val="18"/>
                <w:szCs w:val="18"/>
              </w:rPr>
            </w:pPr>
            <w:r>
              <w:rPr>
                <w:rFonts w:eastAsia="Arial Unicode MS" w:cs="Arial"/>
                <w:b/>
                <w:bCs/>
                <w:sz w:val="17"/>
                <w:szCs w:val="17"/>
              </w:rPr>
              <w:t>2,626</w:t>
            </w:r>
          </w:p>
        </w:tc>
        <w:tc>
          <w:tcPr>
            <w:tcW w:w="579" w:type="pct"/>
            <w:tcBorders>
              <w:top w:val="single" w:sz="2" w:space="0" w:color="auto"/>
              <w:left w:val="nil"/>
              <w:bottom w:val="single" w:sz="12" w:space="0" w:color="auto"/>
              <w:right w:val="nil"/>
            </w:tcBorders>
            <w:shd w:val="clear" w:color="auto" w:fill="auto"/>
            <w:vAlign w:val="bottom"/>
          </w:tcPr>
          <w:p w14:paraId="3A7DF428" w14:textId="086EA399" w:rsidR="00597B73" w:rsidRPr="00166751" w:rsidRDefault="00597B73" w:rsidP="00597B73">
            <w:pPr>
              <w:spacing w:after="0" w:line="240" w:lineRule="exact"/>
              <w:jc w:val="right"/>
              <w:rPr>
                <w:rFonts w:eastAsia="Arial Unicode MS" w:cs="Arial"/>
                <w:b/>
                <w:bCs/>
                <w:sz w:val="18"/>
                <w:szCs w:val="18"/>
              </w:rPr>
            </w:pPr>
            <w:r>
              <w:rPr>
                <w:rFonts w:eastAsia="Arial Unicode MS" w:cs="Arial"/>
                <w:b/>
                <w:bCs/>
                <w:sz w:val="17"/>
                <w:szCs w:val="17"/>
              </w:rPr>
              <w:t>16,676,342</w:t>
            </w:r>
          </w:p>
        </w:tc>
        <w:tc>
          <w:tcPr>
            <w:tcW w:w="653" w:type="pct"/>
            <w:tcBorders>
              <w:top w:val="single" w:sz="2" w:space="0" w:color="auto"/>
              <w:left w:val="nil"/>
              <w:bottom w:val="single" w:sz="12" w:space="0" w:color="auto"/>
              <w:right w:val="nil"/>
            </w:tcBorders>
            <w:shd w:val="clear" w:color="auto" w:fill="auto"/>
            <w:vAlign w:val="bottom"/>
          </w:tcPr>
          <w:p w14:paraId="0D0C65BF" w14:textId="1786E9F8" w:rsidR="00597B73" w:rsidRPr="00166751" w:rsidRDefault="00597B73" w:rsidP="00597B73">
            <w:pPr>
              <w:spacing w:after="0" w:line="240" w:lineRule="exact"/>
              <w:jc w:val="right"/>
              <w:rPr>
                <w:rFonts w:eastAsia="Arial Unicode MS" w:cs="Arial"/>
                <w:b/>
                <w:bCs/>
                <w:sz w:val="18"/>
                <w:szCs w:val="18"/>
              </w:rPr>
            </w:pPr>
            <w:r>
              <w:rPr>
                <w:rFonts w:eastAsia="Arial Unicode MS" w:cs="Arial"/>
                <w:b/>
                <w:bCs/>
                <w:sz w:val="17"/>
                <w:szCs w:val="17"/>
              </w:rPr>
              <w:t>11,624,382*</w:t>
            </w:r>
          </w:p>
        </w:tc>
        <w:tc>
          <w:tcPr>
            <w:tcW w:w="577" w:type="pct"/>
            <w:tcBorders>
              <w:top w:val="single" w:sz="2" w:space="0" w:color="auto"/>
              <w:left w:val="nil"/>
              <w:bottom w:val="single" w:sz="12" w:space="0" w:color="auto"/>
            </w:tcBorders>
            <w:shd w:val="clear" w:color="auto" w:fill="auto"/>
            <w:vAlign w:val="bottom"/>
          </w:tcPr>
          <w:p w14:paraId="2FA8013E" w14:textId="2DCA8A37" w:rsidR="00597B73" w:rsidRPr="00166751" w:rsidRDefault="00597B73" w:rsidP="00597B73">
            <w:pPr>
              <w:spacing w:after="0" w:line="240" w:lineRule="exact"/>
              <w:jc w:val="right"/>
              <w:rPr>
                <w:rFonts w:eastAsia="Arial Unicode MS" w:cs="Arial"/>
                <w:b/>
                <w:bCs/>
                <w:sz w:val="18"/>
                <w:szCs w:val="18"/>
              </w:rPr>
            </w:pPr>
            <w:r>
              <w:rPr>
                <w:rFonts w:eastAsia="Arial Unicode MS" w:cs="Arial"/>
                <w:b/>
                <w:bCs/>
                <w:sz w:val="17"/>
                <w:szCs w:val="17"/>
              </w:rPr>
              <w:t>28,300,724</w:t>
            </w:r>
          </w:p>
        </w:tc>
      </w:tr>
      <w:tr w:rsidR="00796B24" w:rsidRPr="00321238" w14:paraId="5C0BBDDA" w14:textId="77777777" w:rsidTr="00BA3F2A">
        <w:trPr>
          <w:trHeight w:val="254"/>
        </w:trPr>
        <w:tc>
          <w:tcPr>
            <w:tcW w:w="1520" w:type="pct"/>
          </w:tcPr>
          <w:p w14:paraId="6ADC4438" w14:textId="77777777" w:rsidR="00796B24" w:rsidRPr="00166751" w:rsidRDefault="00796B24" w:rsidP="00796B24">
            <w:pPr>
              <w:tabs>
                <w:tab w:val="right" w:pos="1202"/>
              </w:tabs>
              <w:spacing w:after="0" w:line="240" w:lineRule="exact"/>
              <w:outlineLvl w:val="0"/>
              <w:rPr>
                <w:rFonts w:eastAsia="Times New Roman" w:cs="Arial"/>
                <w:b/>
                <w:bCs/>
                <w:sz w:val="18"/>
                <w:szCs w:val="18"/>
              </w:rPr>
            </w:pPr>
            <w:r w:rsidRPr="00166751">
              <w:rPr>
                <w:rFonts w:eastAsia="Times New Roman" w:cs="Arial"/>
                <w:b/>
                <w:bCs/>
                <w:sz w:val="18"/>
                <w:szCs w:val="18"/>
              </w:rPr>
              <w:t xml:space="preserve">Liabilities </w:t>
            </w:r>
          </w:p>
        </w:tc>
        <w:tc>
          <w:tcPr>
            <w:tcW w:w="508" w:type="pct"/>
            <w:tcBorders>
              <w:top w:val="single" w:sz="12" w:space="0" w:color="auto"/>
            </w:tcBorders>
            <w:shd w:val="clear" w:color="auto" w:fill="auto"/>
            <w:vAlign w:val="bottom"/>
          </w:tcPr>
          <w:p w14:paraId="1F31FFD2" w14:textId="77777777" w:rsidR="00796B24" w:rsidRPr="00166751" w:rsidRDefault="00796B24" w:rsidP="00796B24">
            <w:pPr>
              <w:suppressAutoHyphens/>
              <w:spacing w:after="0" w:line="240" w:lineRule="exact"/>
              <w:ind w:left="-123"/>
              <w:jc w:val="right"/>
              <w:rPr>
                <w:rFonts w:cs="Arial"/>
                <w:spacing w:val="-2"/>
                <w:sz w:val="18"/>
                <w:szCs w:val="18"/>
              </w:rPr>
            </w:pPr>
          </w:p>
        </w:tc>
        <w:tc>
          <w:tcPr>
            <w:tcW w:w="579" w:type="pct"/>
            <w:tcBorders>
              <w:top w:val="single" w:sz="12" w:space="0" w:color="auto"/>
            </w:tcBorders>
            <w:shd w:val="clear" w:color="auto" w:fill="auto"/>
            <w:vAlign w:val="bottom"/>
          </w:tcPr>
          <w:p w14:paraId="5C2FEF48" w14:textId="77777777" w:rsidR="00796B24" w:rsidRPr="00166751" w:rsidRDefault="00796B24" w:rsidP="00796B24">
            <w:pPr>
              <w:suppressAutoHyphens/>
              <w:spacing w:after="0" w:line="240" w:lineRule="exact"/>
              <w:jc w:val="right"/>
              <w:rPr>
                <w:rFonts w:cs="Arial"/>
                <w:spacing w:val="-2"/>
                <w:sz w:val="18"/>
                <w:szCs w:val="18"/>
              </w:rPr>
            </w:pPr>
          </w:p>
        </w:tc>
        <w:tc>
          <w:tcPr>
            <w:tcW w:w="584" w:type="pct"/>
            <w:tcBorders>
              <w:top w:val="single" w:sz="12" w:space="0" w:color="auto"/>
            </w:tcBorders>
            <w:shd w:val="clear" w:color="auto" w:fill="auto"/>
            <w:vAlign w:val="bottom"/>
          </w:tcPr>
          <w:p w14:paraId="35FB8EC0" w14:textId="77777777" w:rsidR="00796B24" w:rsidRPr="00166751" w:rsidRDefault="00796B24" w:rsidP="00796B24">
            <w:pPr>
              <w:suppressAutoHyphens/>
              <w:spacing w:after="0" w:line="240" w:lineRule="exact"/>
              <w:jc w:val="right"/>
              <w:rPr>
                <w:rFonts w:cs="Arial"/>
                <w:spacing w:val="-2"/>
                <w:sz w:val="18"/>
                <w:szCs w:val="18"/>
              </w:rPr>
            </w:pPr>
          </w:p>
        </w:tc>
        <w:tc>
          <w:tcPr>
            <w:tcW w:w="579" w:type="pct"/>
            <w:tcBorders>
              <w:top w:val="single" w:sz="12" w:space="0" w:color="auto"/>
            </w:tcBorders>
            <w:shd w:val="clear" w:color="auto" w:fill="auto"/>
            <w:vAlign w:val="bottom"/>
          </w:tcPr>
          <w:p w14:paraId="0EA01D51" w14:textId="77777777" w:rsidR="00796B24" w:rsidRPr="00166751" w:rsidRDefault="00796B24" w:rsidP="00796B24">
            <w:pPr>
              <w:suppressAutoHyphens/>
              <w:spacing w:after="0" w:line="240" w:lineRule="exact"/>
              <w:jc w:val="right"/>
              <w:rPr>
                <w:rFonts w:cs="Arial"/>
                <w:spacing w:val="-2"/>
                <w:sz w:val="18"/>
                <w:szCs w:val="18"/>
              </w:rPr>
            </w:pPr>
          </w:p>
        </w:tc>
        <w:tc>
          <w:tcPr>
            <w:tcW w:w="653" w:type="pct"/>
            <w:tcBorders>
              <w:top w:val="single" w:sz="12" w:space="0" w:color="auto"/>
            </w:tcBorders>
            <w:shd w:val="clear" w:color="auto" w:fill="auto"/>
            <w:vAlign w:val="bottom"/>
          </w:tcPr>
          <w:p w14:paraId="2F915D6E" w14:textId="77777777" w:rsidR="00796B24" w:rsidRPr="00166751" w:rsidRDefault="00796B24" w:rsidP="00796B24">
            <w:pPr>
              <w:suppressAutoHyphens/>
              <w:spacing w:after="0" w:line="240" w:lineRule="exact"/>
              <w:jc w:val="right"/>
              <w:rPr>
                <w:rFonts w:cs="Arial"/>
                <w:spacing w:val="-2"/>
                <w:sz w:val="18"/>
                <w:szCs w:val="18"/>
              </w:rPr>
            </w:pPr>
          </w:p>
        </w:tc>
        <w:tc>
          <w:tcPr>
            <w:tcW w:w="577" w:type="pct"/>
            <w:tcBorders>
              <w:top w:val="single" w:sz="12" w:space="0" w:color="auto"/>
            </w:tcBorders>
            <w:shd w:val="clear" w:color="auto" w:fill="auto"/>
            <w:vAlign w:val="bottom"/>
          </w:tcPr>
          <w:p w14:paraId="76BA16DB" w14:textId="77777777" w:rsidR="00796B24" w:rsidRPr="00166751" w:rsidRDefault="00796B24" w:rsidP="00796B24">
            <w:pPr>
              <w:spacing w:after="0" w:line="240" w:lineRule="exact"/>
              <w:jc w:val="right"/>
              <w:rPr>
                <w:rFonts w:cs="Arial"/>
                <w:b/>
                <w:sz w:val="18"/>
                <w:szCs w:val="18"/>
              </w:rPr>
            </w:pPr>
          </w:p>
        </w:tc>
      </w:tr>
      <w:tr w:rsidR="00597B73" w:rsidRPr="00321238" w14:paraId="501BD645" w14:textId="77777777" w:rsidTr="005444AA">
        <w:trPr>
          <w:trHeight w:val="254"/>
        </w:trPr>
        <w:tc>
          <w:tcPr>
            <w:tcW w:w="1520" w:type="pct"/>
          </w:tcPr>
          <w:p w14:paraId="497F3C6C" w14:textId="77777777" w:rsidR="00597B73" w:rsidRPr="00166751" w:rsidRDefault="00597B73" w:rsidP="00597B73">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Deposits </w:t>
            </w:r>
          </w:p>
        </w:tc>
        <w:tc>
          <w:tcPr>
            <w:tcW w:w="508" w:type="pct"/>
            <w:tcBorders>
              <w:top w:val="nil"/>
              <w:left w:val="nil"/>
              <w:bottom w:val="nil"/>
              <w:right w:val="nil"/>
            </w:tcBorders>
            <w:shd w:val="clear" w:color="auto" w:fill="auto"/>
            <w:vAlign w:val="bottom"/>
          </w:tcPr>
          <w:p w14:paraId="313DC81D" w14:textId="4E251F85" w:rsidR="00597B73" w:rsidRPr="00166751" w:rsidRDefault="00597B73" w:rsidP="00597B73">
            <w:pPr>
              <w:spacing w:after="0" w:line="240" w:lineRule="exact"/>
              <w:jc w:val="right"/>
              <w:rPr>
                <w:rFonts w:eastAsia="Arial Unicode MS" w:cs="Arial"/>
                <w:sz w:val="18"/>
                <w:szCs w:val="18"/>
              </w:rPr>
            </w:pPr>
            <w:r>
              <w:rPr>
                <w:rFonts w:eastAsia="Arial Unicode MS" w:cs="Arial"/>
                <w:sz w:val="17"/>
                <w:szCs w:val="17"/>
              </w:rPr>
              <w:t>20,573</w:t>
            </w:r>
          </w:p>
        </w:tc>
        <w:tc>
          <w:tcPr>
            <w:tcW w:w="579" w:type="pct"/>
            <w:tcBorders>
              <w:top w:val="nil"/>
              <w:left w:val="nil"/>
              <w:bottom w:val="nil"/>
              <w:right w:val="nil"/>
            </w:tcBorders>
            <w:shd w:val="clear" w:color="auto" w:fill="auto"/>
            <w:vAlign w:val="bottom"/>
          </w:tcPr>
          <w:p w14:paraId="2A32C1F3" w14:textId="01370C5C" w:rsidR="00597B73" w:rsidRPr="00166751" w:rsidRDefault="00597B73" w:rsidP="00597B73">
            <w:pPr>
              <w:spacing w:after="0" w:line="240" w:lineRule="exact"/>
              <w:jc w:val="right"/>
              <w:rPr>
                <w:rFonts w:eastAsia="Arial Unicode MS" w:cs="Arial"/>
                <w:sz w:val="18"/>
                <w:szCs w:val="18"/>
              </w:rPr>
            </w:pPr>
            <w:r>
              <w:rPr>
                <w:rFonts w:eastAsia="Arial Unicode MS" w:cs="Arial"/>
                <w:sz w:val="17"/>
                <w:szCs w:val="17"/>
              </w:rPr>
              <w:t>691,008</w:t>
            </w:r>
          </w:p>
        </w:tc>
        <w:tc>
          <w:tcPr>
            <w:tcW w:w="584" w:type="pct"/>
            <w:tcBorders>
              <w:top w:val="nil"/>
              <w:left w:val="nil"/>
              <w:bottom w:val="nil"/>
              <w:right w:val="nil"/>
            </w:tcBorders>
            <w:shd w:val="clear" w:color="auto" w:fill="auto"/>
            <w:vAlign w:val="bottom"/>
          </w:tcPr>
          <w:p w14:paraId="784750B4" w14:textId="37E1CD22" w:rsidR="00597B73" w:rsidRPr="00166751" w:rsidRDefault="00597B73" w:rsidP="00597B73">
            <w:pPr>
              <w:spacing w:after="0" w:line="240" w:lineRule="exact"/>
              <w:jc w:val="right"/>
              <w:rPr>
                <w:rFonts w:eastAsia="Arial Unicode MS" w:cs="Arial"/>
                <w:sz w:val="18"/>
                <w:szCs w:val="18"/>
              </w:rPr>
            </w:pPr>
            <w:r>
              <w:rPr>
                <w:rFonts w:eastAsia="Arial Unicode MS" w:cs="Arial"/>
                <w:sz w:val="17"/>
                <w:szCs w:val="17"/>
              </w:rPr>
              <w:t>1,250</w:t>
            </w:r>
          </w:p>
        </w:tc>
        <w:tc>
          <w:tcPr>
            <w:tcW w:w="579" w:type="pct"/>
            <w:tcBorders>
              <w:top w:val="nil"/>
              <w:left w:val="nil"/>
              <w:bottom w:val="nil"/>
              <w:right w:val="nil"/>
            </w:tcBorders>
            <w:shd w:val="clear" w:color="auto" w:fill="auto"/>
            <w:vAlign w:val="bottom"/>
          </w:tcPr>
          <w:p w14:paraId="62F009E4" w14:textId="6C877588" w:rsidR="00597B73" w:rsidRPr="00166751" w:rsidRDefault="00597B73" w:rsidP="00597B73">
            <w:pPr>
              <w:spacing w:after="0" w:line="240" w:lineRule="exact"/>
              <w:jc w:val="right"/>
              <w:rPr>
                <w:rFonts w:eastAsia="Arial Unicode MS" w:cs="Arial"/>
                <w:sz w:val="18"/>
                <w:szCs w:val="18"/>
              </w:rPr>
            </w:pPr>
            <w:r>
              <w:rPr>
                <w:rFonts w:eastAsia="Arial Unicode MS" w:cs="Arial"/>
                <w:sz w:val="17"/>
                <w:szCs w:val="17"/>
              </w:rPr>
              <w:t>712,831</w:t>
            </w:r>
          </w:p>
        </w:tc>
        <w:tc>
          <w:tcPr>
            <w:tcW w:w="653" w:type="pct"/>
            <w:tcBorders>
              <w:top w:val="nil"/>
              <w:left w:val="nil"/>
              <w:bottom w:val="nil"/>
              <w:right w:val="nil"/>
            </w:tcBorders>
            <w:shd w:val="clear" w:color="auto" w:fill="auto"/>
            <w:vAlign w:val="bottom"/>
          </w:tcPr>
          <w:p w14:paraId="2DB85D73" w14:textId="23B4C217" w:rsidR="00597B73" w:rsidRPr="00166751" w:rsidRDefault="00597B73" w:rsidP="00597B73">
            <w:pPr>
              <w:spacing w:after="0" w:line="240" w:lineRule="exact"/>
              <w:jc w:val="right"/>
              <w:rPr>
                <w:rFonts w:eastAsia="Arial Unicode MS" w:cs="Arial"/>
                <w:sz w:val="18"/>
                <w:szCs w:val="18"/>
              </w:rPr>
            </w:pPr>
            <w:r>
              <w:rPr>
                <w:rFonts w:eastAsia="Arial Unicode MS" w:cs="Arial"/>
                <w:sz w:val="17"/>
                <w:szCs w:val="17"/>
              </w:rPr>
              <w:t>227,953</w:t>
            </w:r>
          </w:p>
        </w:tc>
        <w:tc>
          <w:tcPr>
            <w:tcW w:w="577" w:type="pct"/>
            <w:tcBorders>
              <w:top w:val="nil"/>
              <w:left w:val="nil"/>
              <w:bottom w:val="nil"/>
            </w:tcBorders>
            <w:shd w:val="clear" w:color="auto" w:fill="auto"/>
            <w:vAlign w:val="bottom"/>
          </w:tcPr>
          <w:p w14:paraId="14E5D4A7" w14:textId="6886C48B" w:rsidR="00597B73" w:rsidRPr="00166751" w:rsidRDefault="00597B73" w:rsidP="00597B73">
            <w:pPr>
              <w:spacing w:after="0" w:line="240" w:lineRule="exact"/>
              <w:jc w:val="right"/>
              <w:rPr>
                <w:rFonts w:eastAsia="Arial Unicode MS" w:cs="Arial"/>
                <w:sz w:val="18"/>
                <w:szCs w:val="18"/>
              </w:rPr>
            </w:pPr>
            <w:r>
              <w:rPr>
                <w:rFonts w:eastAsia="Arial Unicode MS" w:cs="Arial"/>
                <w:sz w:val="17"/>
                <w:szCs w:val="17"/>
              </w:rPr>
              <w:t>940,784</w:t>
            </w:r>
          </w:p>
        </w:tc>
      </w:tr>
      <w:tr w:rsidR="00597B73" w:rsidRPr="00321238" w14:paraId="6726CAD8" w14:textId="77777777" w:rsidTr="005444AA">
        <w:trPr>
          <w:trHeight w:val="239"/>
        </w:trPr>
        <w:tc>
          <w:tcPr>
            <w:tcW w:w="1520" w:type="pct"/>
          </w:tcPr>
          <w:p w14:paraId="56F7F978" w14:textId="77777777" w:rsidR="00597B73" w:rsidRPr="00166751" w:rsidRDefault="00597B73" w:rsidP="00597B73">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Borrowings </w:t>
            </w:r>
          </w:p>
        </w:tc>
        <w:tc>
          <w:tcPr>
            <w:tcW w:w="508" w:type="pct"/>
            <w:tcBorders>
              <w:top w:val="nil"/>
              <w:left w:val="nil"/>
              <w:bottom w:val="nil"/>
              <w:right w:val="nil"/>
            </w:tcBorders>
            <w:shd w:val="clear" w:color="auto" w:fill="auto"/>
            <w:vAlign w:val="bottom"/>
          </w:tcPr>
          <w:p w14:paraId="022A59B9" w14:textId="152F00AF" w:rsidR="00597B73" w:rsidRPr="00166751" w:rsidRDefault="00597B73" w:rsidP="00597B73">
            <w:pPr>
              <w:spacing w:after="0" w:line="240" w:lineRule="exact"/>
              <w:jc w:val="right"/>
              <w:rPr>
                <w:rFonts w:eastAsia="Arial Unicode MS" w:cs="Arial"/>
                <w:sz w:val="18"/>
                <w:szCs w:val="18"/>
              </w:rPr>
            </w:pPr>
            <w:r>
              <w:rPr>
                <w:rFonts w:eastAsia="Arial Unicode MS" w:cs="Arial"/>
                <w:sz w:val="17"/>
                <w:szCs w:val="17"/>
              </w:rPr>
              <w:t>404,582</w:t>
            </w:r>
          </w:p>
        </w:tc>
        <w:tc>
          <w:tcPr>
            <w:tcW w:w="579" w:type="pct"/>
            <w:tcBorders>
              <w:top w:val="nil"/>
              <w:left w:val="nil"/>
              <w:bottom w:val="nil"/>
              <w:right w:val="nil"/>
            </w:tcBorders>
            <w:shd w:val="clear" w:color="auto" w:fill="auto"/>
            <w:vAlign w:val="bottom"/>
          </w:tcPr>
          <w:p w14:paraId="2DC0BB9D" w14:textId="4739FA89" w:rsidR="00597B73" w:rsidRPr="00166751" w:rsidRDefault="00597B73" w:rsidP="00597B73">
            <w:pPr>
              <w:spacing w:after="0" w:line="240" w:lineRule="exact"/>
              <w:jc w:val="right"/>
              <w:rPr>
                <w:rFonts w:eastAsia="Arial Unicode MS" w:cs="Arial"/>
                <w:sz w:val="18"/>
                <w:szCs w:val="18"/>
              </w:rPr>
            </w:pPr>
            <w:r>
              <w:rPr>
                <w:rFonts w:eastAsia="Arial Unicode MS" w:cs="Arial"/>
                <w:sz w:val="17"/>
                <w:szCs w:val="17"/>
              </w:rPr>
              <w:t>14,931,252</w:t>
            </w:r>
          </w:p>
        </w:tc>
        <w:tc>
          <w:tcPr>
            <w:tcW w:w="584" w:type="pct"/>
            <w:tcBorders>
              <w:top w:val="nil"/>
              <w:left w:val="nil"/>
              <w:bottom w:val="nil"/>
              <w:right w:val="nil"/>
            </w:tcBorders>
            <w:shd w:val="clear" w:color="auto" w:fill="auto"/>
            <w:vAlign w:val="bottom"/>
          </w:tcPr>
          <w:p w14:paraId="55EA52B9" w14:textId="164D461E" w:rsidR="00597B73" w:rsidRPr="00166751" w:rsidRDefault="00597B73" w:rsidP="00597B73">
            <w:pPr>
              <w:spacing w:after="0" w:line="240" w:lineRule="exact"/>
              <w:jc w:val="right"/>
              <w:rPr>
                <w:rFonts w:eastAsia="Arial Unicode MS" w:cs="Arial"/>
                <w:sz w:val="18"/>
                <w:szCs w:val="18"/>
              </w:rPr>
            </w:pPr>
            <w:r>
              <w:rPr>
                <w:rFonts w:eastAsia="Arial Unicode MS" w:cs="Arial"/>
                <w:sz w:val="17"/>
                <w:szCs w:val="17"/>
              </w:rPr>
              <w:t>-</w:t>
            </w:r>
          </w:p>
        </w:tc>
        <w:tc>
          <w:tcPr>
            <w:tcW w:w="579" w:type="pct"/>
            <w:tcBorders>
              <w:top w:val="nil"/>
              <w:left w:val="nil"/>
              <w:bottom w:val="nil"/>
              <w:right w:val="nil"/>
            </w:tcBorders>
            <w:shd w:val="clear" w:color="auto" w:fill="auto"/>
            <w:vAlign w:val="bottom"/>
          </w:tcPr>
          <w:p w14:paraId="19746823" w14:textId="2D87B967" w:rsidR="00597B73" w:rsidRPr="00166751" w:rsidRDefault="00597B73" w:rsidP="00597B73">
            <w:pPr>
              <w:spacing w:after="0" w:line="240" w:lineRule="exact"/>
              <w:jc w:val="right"/>
              <w:rPr>
                <w:rFonts w:eastAsia="Arial Unicode MS" w:cs="Arial"/>
                <w:sz w:val="18"/>
                <w:szCs w:val="18"/>
              </w:rPr>
            </w:pPr>
            <w:r>
              <w:rPr>
                <w:rFonts w:eastAsia="Arial Unicode MS" w:cs="Arial"/>
                <w:sz w:val="17"/>
                <w:szCs w:val="17"/>
              </w:rPr>
              <w:t>15,335,834</w:t>
            </w:r>
          </w:p>
        </w:tc>
        <w:tc>
          <w:tcPr>
            <w:tcW w:w="653" w:type="pct"/>
            <w:tcBorders>
              <w:top w:val="nil"/>
              <w:left w:val="nil"/>
              <w:bottom w:val="nil"/>
              <w:right w:val="nil"/>
            </w:tcBorders>
            <w:shd w:val="clear" w:color="auto" w:fill="auto"/>
            <w:vAlign w:val="bottom"/>
          </w:tcPr>
          <w:p w14:paraId="21CBD3E5" w14:textId="4AE0695A" w:rsidR="00597B73" w:rsidRPr="00166751" w:rsidRDefault="00597B73" w:rsidP="00597B73">
            <w:pPr>
              <w:spacing w:after="0" w:line="240" w:lineRule="exact"/>
              <w:jc w:val="right"/>
              <w:rPr>
                <w:rFonts w:eastAsia="Arial Unicode MS" w:cs="Arial"/>
                <w:sz w:val="18"/>
                <w:szCs w:val="18"/>
              </w:rPr>
            </w:pPr>
            <w:r>
              <w:rPr>
                <w:rFonts w:eastAsia="Arial Unicode MS" w:cs="Arial"/>
                <w:sz w:val="17"/>
                <w:szCs w:val="17"/>
              </w:rPr>
              <w:t>-</w:t>
            </w:r>
          </w:p>
        </w:tc>
        <w:tc>
          <w:tcPr>
            <w:tcW w:w="577" w:type="pct"/>
            <w:tcBorders>
              <w:top w:val="nil"/>
              <w:left w:val="nil"/>
              <w:bottom w:val="nil"/>
            </w:tcBorders>
            <w:shd w:val="clear" w:color="auto" w:fill="auto"/>
            <w:vAlign w:val="bottom"/>
          </w:tcPr>
          <w:p w14:paraId="238CAF1E" w14:textId="1E367FBC" w:rsidR="00597B73" w:rsidRPr="00166751" w:rsidRDefault="00597B73" w:rsidP="00597B73">
            <w:pPr>
              <w:spacing w:after="0" w:line="240" w:lineRule="exact"/>
              <w:jc w:val="right"/>
              <w:rPr>
                <w:rFonts w:eastAsia="Arial Unicode MS" w:cs="Arial"/>
                <w:sz w:val="18"/>
                <w:szCs w:val="18"/>
              </w:rPr>
            </w:pPr>
            <w:r>
              <w:rPr>
                <w:rFonts w:eastAsia="Arial Unicode MS" w:cs="Arial"/>
                <w:sz w:val="17"/>
                <w:szCs w:val="17"/>
              </w:rPr>
              <w:t>15,335,834</w:t>
            </w:r>
          </w:p>
        </w:tc>
      </w:tr>
      <w:tr w:rsidR="00597B73" w:rsidRPr="00321238" w14:paraId="34D37881" w14:textId="77777777" w:rsidTr="005444AA">
        <w:trPr>
          <w:trHeight w:val="254"/>
        </w:trPr>
        <w:tc>
          <w:tcPr>
            <w:tcW w:w="1520" w:type="pct"/>
          </w:tcPr>
          <w:p w14:paraId="56409C1B" w14:textId="77777777" w:rsidR="00597B73" w:rsidRPr="00166751" w:rsidRDefault="00597B73" w:rsidP="00597B73">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Bonds payable </w:t>
            </w:r>
          </w:p>
        </w:tc>
        <w:tc>
          <w:tcPr>
            <w:tcW w:w="508" w:type="pct"/>
            <w:tcBorders>
              <w:top w:val="nil"/>
              <w:left w:val="nil"/>
              <w:bottom w:val="nil"/>
              <w:right w:val="nil"/>
            </w:tcBorders>
            <w:shd w:val="clear" w:color="auto" w:fill="auto"/>
            <w:vAlign w:val="bottom"/>
          </w:tcPr>
          <w:p w14:paraId="07B19745" w14:textId="2BCF0133" w:rsidR="00597B73" w:rsidRPr="00166751" w:rsidRDefault="00597B73" w:rsidP="00597B73">
            <w:pPr>
              <w:spacing w:after="0" w:line="240" w:lineRule="exact"/>
              <w:jc w:val="right"/>
              <w:rPr>
                <w:rFonts w:eastAsia="Arial Unicode MS" w:cs="Arial"/>
                <w:sz w:val="18"/>
                <w:szCs w:val="18"/>
              </w:rPr>
            </w:pPr>
            <w:r>
              <w:rPr>
                <w:rFonts w:eastAsia="Arial Unicode MS" w:cs="Arial"/>
                <w:sz w:val="17"/>
                <w:szCs w:val="17"/>
              </w:rPr>
              <w:t>-</w:t>
            </w:r>
          </w:p>
        </w:tc>
        <w:tc>
          <w:tcPr>
            <w:tcW w:w="579" w:type="pct"/>
            <w:tcBorders>
              <w:top w:val="nil"/>
              <w:left w:val="nil"/>
              <w:bottom w:val="nil"/>
              <w:right w:val="nil"/>
            </w:tcBorders>
            <w:shd w:val="clear" w:color="auto" w:fill="auto"/>
            <w:vAlign w:val="bottom"/>
          </w:tcPr>
          <w:p w14:paraId="4304F547" w14:textId="3F6DDA51" w:rsidR="00597B73" w:rsidRPr="00166751" w:rsidRDefault="00597B73" w:rsidP="00597B73">
            <w:pPr>
              <w:spacing w:after="0" w:line="240" w:lineRule="exact"/>
              <w:jc w:val="right"/>
              <w:rPr>
                <w:rFonts w:eastAsia="Arial Unicode MS" w:cs="Arial"/>
                <w:sz w:val="18"/>
                <w:szCs w:val="18"/>
              </w:rPr>
            </w:pPr>
            <w:r>
              <w:rPr>
                <w:rFonts w:eastAsia="Arial Unicode MS" w:cs="Arial"/>
                <w:sz w:val="17"/>
                <w:szCs w:val="17"/>
              </w:rPr>
              <w:t>1,141,222</w:t>
            </w:r>
          </w:p>
        </w:tc>
        <w:tc>
          <w:tcPr>
            <w:tcW w:w="584" w:type="pct"/>
            <w:tcBorders>
              <w:top w:val="nil"/>
              <w:left w:val="nil"/>
              <w:bottom w:val="nil"/>
              <w:right w:val="nil"/>
            </w:tcBorders>
            <w:shd w:val="clear" w:color="auto" w:fill="auto"/>
            <w:vAlign w:val="bottom"/>
          </w:tcPr>
          <w:p w14:paraId="30427C03" w14:textId="745D38A1" w:rsidR="00597B73" w:rsidRPr="00166751" w:rsidRDefault="00597B73" w:rsidP="00597B73">
            <w:pPr>
              <w:spacing w:after="0" w:line="240" w:lineRule="exact"/>
              <w:jc w:val="right"/>
              <w:rPr>
                <w:rFonts w:eastAsia="Arial Unicode MS" w:cs="Arial"/>
                <w:sz w:val="18"/>
                <w:szCs w:val="18"/>
              </w:rPr>
            </w:pPr>
            <w:r>
              <w:rPr>
                <w:rFonts w:eastAsia="Arial Unicode MS" w:cs="Arial"/>
                <w:sz w:val="17"/>
                <w:szCs w:val="17"/>
              </w:rPr>
              <w:t>-</w:t>
            </w:r>
          </w:p>
        </w:tc>
        <w:tc>
          <w:tcPr>
            <w:tcW w:w="579" w:type="pct"/>
            <w:tcBorders>
              <w:top w:val="nil"/>
              <w:left w:val="nil"/>
              <w:bottom w:val="nil"/>
              <w:right w:val="nil"/>
            </w:tcBorders>
            <w:shd w:val="clear" w:color="auto" w:fill="auto"/>
            <w:vAlign w:val="bottom"/>
          </w:tcPr>
          <w:p w14:paraId="019C430E" w14:textId="37526536" w:rsidR="00597B73" w:rsidRPr="00166751" w:rsidRDefault="00597B73" w:rsidP="00597B73">
            <w:pPr>
              <w:spacing w:after="0" w:line="240" w:lineRule="exact"/>
              <w:jc w:val="right"/>
              <w:rPr>
                <w:rFonts w:eastAsia="Arial Unicode MS" w:cs="Arial"/>
                <w:sz w:val="18"/>
                <w:szCs w:val="18"/>
              </w:rPr>
            </w:pPr>
            <w:r>
              <w:rPr>
                <w:rFonts w:eastAsia="Arial Unicode MS" w:cs="Arial"/>
                <w:sz w:val="17"/>
                <w:szCs w:val="17"/>
              </w:rPr>
              <w:t>1,141,222</w:t>
            </w:r>
          </w:p>
        </w:tc>
        <w:tc>
          <w:tcPr>
            <w:tcW w:w="653" w:type="pct"/>
            <w:tcBorders>
              <w:top w:val="nil"/>
              <w:left w:val="nil"/>
              <w:bottom w:val="nil"/>
              <w:right w:val="nil"/>
            </w:tcBorders>
            <w:shd w:val="clear" w:color="auto" w:fill="auto"/>
            <w:vAlign w:val="bottom"/>
          </w:tcPr>
          <w:p w14:paraId="62C519E5" w14:textId="6F0191AB" w:rsidR="00597B73" w:rsidRPr="00166751" w:rsidRDefault="00597B73" w:rsidP="00597B73">
            <w:pPr>
              <w:spacing w:after="0" w:line="240" w:lineRule="exact"/>
              <w:jc w:val="right"/>
              <w:rPr>
                <w:rFonts w:eastAsia="Arial Unicode MS" w:cs="Arial"/>
                <w:sz w:val="18"/>
                <w:szCs w:val="18"/>
              </w:rPr>
            </w:pPr>
            <w:r>
              <w:rPr>
                <w:rFonts w:eastAsia="Arial Unicode MS" w:cs="Arial"/>
                <w:sz w:val="17"/>
                <w:szCs w:val="17"/>
              </w:rPr>
              <w:t>-</w:t>
            </w:r>
          </w:p>
        </w:tc>
        <w:tc>
          <w:tcPr>
            <w:tcW w:w="577" w:type="pct"/>
            <w:tcBorders>
              <w:top w:val="nil"/>
              <w:left w:val="nil"/>
              <w:bottom w:val="nil"/>
            </w:tcBorders>
            <w:shd w:val="clear" w:color="auto" w:fill="auto"/>
            <w:vAlign w:val="bottom"/>
          </w:tcPr>
          <w:p w14:paraId="3E7F4DAB" w14:textId="2A3E5125" w:rsidR="00597B73" w:rsidRPr="00166751" w:rsidRDefault="00597B73" w:rsidP="00597B73">
            <w:pPr>
              <w:spacing w:after="0" w:line="240" w:lineRule="exact"/>
              <w:jc w:val="right"/>
              <w:rPr>
                <w:rFonts w:eastAsia="Arial Unicode MS" w:cs="Arial"/>
                <w:sz w:val="18"/>
                <w:szCs w:val="18"/>
              </w:rPr>
            </w:pPr>
            <w:r>
              <w:rPr>
                <w:rFonts w:eastAsia="Arial Unicode MS" w:cs="Arial"/>
                <w:sz w:val="17"/>
                <w:szCs w:val="17"/>
              </w:rPr>
              <w:t>1,141,222</w:t>
            </w:r>
          </w:p>
        </w:tc>
      </w:tr>
      <w:tr w:rsidR="00597B73" w:rsidRPr="00321238" w14:paraId="5C660E53" w14:textId="77777777" w:rsidTr="005444AA">
        <w:trPr>
          <w:trHeight w:val="150"/>
        </w:trPr>
        <w:tc>
          <w:tcPr>
            <w:tcW w:w="1520" w:type="pct"/>
            <w:vAlign w:val="center"/>
          </w:tcPr>
          <w:p w14:paraId="2FC2CF78" w14:textId="77777777" w:rsidR="00597B73" w:rsidRPr="00166751" w:rsidRDefault="00597B73" w:rsidP="00597B73">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Other liabilities </w:t>
            </w:r>
          </w:p>
        </w:tc>
        <w:tc>
          <w:tcPr>
            <w:tcW w:w="508" w:type="pct"/>
            <w:tcBorders>
              <w:top w:val="nil"/>
              <w:left w:val="nil"/>
              <w:bottom w:val="single" w:sz="2" w:space="0" w:color="auto"/>
              <w:right w:val="nil"/>
            </w:tcBorders>
            <w:shd w:val="clear" w:color="auto" w:fill="auto"/>
            <w:vAlign w:val="bottom"/>
          </w:tcPr>
          <w:p w14:paraId="5F9E09EE" w14:textId="33BBD461" w:rsidR="00597B73" w:rsidRPr="00166751" w:rsidRDefault="00597B73" w:rsidP="00597B73">
            <w:pPr>
              <w:spacing w:after="0" w:line="240" w:lineRule="exact"/>
              <w:jc w:val="right"/>
              <w:rPr>
                <w:rFonts w:eastAsia="Arial Unicode MS" w:cs="Arial"/>
                <w:sz w:val="18"/>
                <w:szCs w:val="18"/>
              </w:rPr>
            </w:pPr>
            <w:r>
              <w:rPr>
                <w:rFonts w:eastAsia="Arial Unicode MS" w:cs="Arial"/>
                <w:sz w:val="17"/>
                <w:szCs w:val="17"/>
              </w:rPr>
              <w:t>3,896</w:t>
            </w:r>
          </w:p>
        </w:tc>
        <w:tc>
          <w:tcPr>
            <w:tcW w:w="579" w:type="pct"/>
            <w:tcBorders>
              <w:top w:val="nil"/>
              <w:left w:val="nil"/>
              <w:bottom w:val="single" w:sz="2" w:space="0" w:color="auto"/>
              <w:right w:val="nil"/>
            </w:tcBorders>
            <w:shd w:val="clear" w:color="auto" w:fill="auto"/>
            <w:vAlign w:val="bottom"/>
          </w:tcPr>
          <w:p w14:paraId="4CEFD969" w14:textId="47CF6235" w:rsidR="00597B73" w:rsidRPr="00166751" w:rsidRDefault="00597B73" w:rsidP="00597B73">
            <w:pPr>
              <w:spacing w:after="0" w:line="240" w:lineRule="exact"/>
              <w:jc w:val="right"/>
              <w:rPr>
                <w:rFonts w:eastAsia="Arial Unicode MS" w:cs="Arial"/>
                <w:sz w:val="18"/>
                <w:szCs w:val="18"/>
              </w:rPr>
            </w:pPr>
            <w:r>
              <w:rPr>
                <w:rFonts w:eastAsia="Arial Unicode MS" w:cs="Arial"/>
                <w:sz w:val="17"/>
                <w:szCs w:val="17"/>
              </w:rPr>
              <w:t>14,036</w:t>
            </w:r>
          </w:p>
        </w:tc>
        <w:tc>
          <w:tcPr>
            <w:tcW w:w="584" w:type="pct"/>
            <w:tcBorders>
              <w:top w:val="nil"/>
              <w:left w:val="nil"/>
              <w:bottom w:val="single" w:sz="2" w:space="0" w:color="auto"/>
              <w:right w:val="nil"/>
            </w:tcBorders>
            <w:shd w:val="clear" w:color="auto" w:fill="auto"/>
            <w:vAlign w:val="bottom"/>
          </w:tcPr>
          <w:p w14:paraId="287464D7" w14:textId="79F76457" w:rsidR="00597B73" w:rsidRPr="00166751" w:rsidRDefault="00597B73" w:rsidP="00597B73">
            <w:pPr>
              <w:spacing w:after="0" w:line="240" w:lineRule="exact"/>
              <w:jc w:val="right"/>
              <w:rPr>
                <w:rFonts w:eastAsia="Arial Unicode MS" w:cs="Arial"/>
                <w:sz w:val="18"/>
                <w:szCs w:val="18"/>
              </w:rPr>
            </w:pPr>
            <w:r>
              <w:rPr>
                <w:rFonts w:eastAsia="Arial Unicode MS" w:cs="Arial"/>
                <w:sz w:val="17"/>
                <w:szCs w:val="17"/>
              </w:rPr>
              <w:t>2,775</w:t>
            </w:r>
          </w:p>
        </w:tc>
        <w:tc>
          <w:tcPr>
            <w:tcW w:w="579" w:type="pct"/>
            <w:tcBorders>
              <w:top w:val="nil"/>
              <w:left w:val="nil"/>
              <w:bottom w:val="single" w:sz="2" w:space="0" w:color="auto"/>
              <w:right w:val="nil"/>
            </w:tcBorders>
            <w:shd w:val="clear" w:color="auto" w:fill="auto"/>
            <w:vAlign w:val="bottom"/>
          </w:tcPr>
          <w:p w14:paraId="144D61D4" w14:textId="22D15CB0" w:rsidR="00597B73" w:rsidRPr="00166751" w:rsidRDefault="00597B73" w:rsidP="00597B73">
            <w:pPr>
              <w:spacing w:after="0" w:line="240" w:lineRule="exact"/>
              <w:jc w:val="right"/>
              <w:rPr>
                <w:rFonts w:eastAsia="Arial Unicode MS" w:cs="Arial"/>
                <w:sz w:val="18"/>
                <w:szCs w:val="18"/>
              </w:rPr>
            </w:pPr>
            <w:r>
              <w:rPr>
                <w:rFonts w:eastAsia="Arial Unicode MS" w:cs="Arial"/>
                <w:sz w:val="17"/>
                <w:szCs w:val="17"/>
              </w:rPr>
              <w:t>20,707</w:t>
            </w:r>
          </w:p>
        </w:tc>
        <w:tc>
          <w:tcPr>
            <w:tcW w:w="653" w:type="pct"/>
            <w:tcBorders>
              <w:top w:val="nil"/>
              <w:left w:val="nil"/>
              <w:bottom w:val="single" w:sz="2" w:space="0" w:color="auto"/>
              <w:right w:val="nil"/>
            </w:tcBorders>
            <w:shd w:val="clear" w:color="auto" w:fill="auto"/>
            <w:vAlign w:val="bottom"/>
          </w:tcPr>
          <w:p w14:paraId="77AEADB2" w14:textId="54DD81CF" w:rsidR="00597B73" w:rsidRPr="00166751" w:rsidRDefault="00597B73" w:rsidP="00597B73">
            <w:pPr>
              <w:spacing w:after="0" w:line="240" w:lineRule="exact"/>
              <w:jc w:val="right"/>
              <w:rPr>
                <w:rFonts w:eastAsia="Arial Unicode MS" w:cs="Arial"/>
                <w:sz w:val="18"/>
                <w:szCs w:val="18"/>
              </w:rPr>
            </w:pPr>
            <w:r>
              <w:rPr>
                <w:rFonts w:eastAsia="Arial Unicode MS" w:cs="Arial"/>
                <w:sz w:val="17"/>
                <w:szCs w:val="17"/>
              </w:rPr>
              <w:t>601,363</w:t>
            </w:r>
          </w:p>
        </w:tc>
        <w:tc>
          <w:tcPr>
            <w:tcW w:w="577" w:type="pct"/>
            <w:tcBorders>
              <w:top w:val="nil"/>
              <w:left w:val="nil"/>
              <w:bottom w:val="single" w:sz="2" w:space="0" w:color="auto"/>
            </w:tcBorders>
            <w:shd w:val="clear" w:color="auto" w:fill="auto"/>
            <w:vAlign w:val="bottom"/>
          </w:tcPr>
          <w:p w14:paraId="034A81E6" w14:textId="50C9D30A" w:rsidR="00597B73" w:rsidRPr="00166751" w:rsidRDefault="00597B73" w:rsidP="00597B73">
            <w:pPr>
              <w:spacing w:after="0" w:line="240" w:lineRule="exact"/>
              <w:jc w:val="right"/>
              <w:rPr>
                <w:rFonts w:eastAsia="Arial Unicode MS" w:cs="Arial"/>
                <w:sz w:val="18"/>
                <w:szCs w:val="18"/>
              </w:rPr>
            </w:pPr>
            <w:r>
              <w:rPr>
                <w:rFonts w:eastAsia="Arial Unicode MS" w:cs="Arial"/>
                <w:sz w:val="17"/>
                <w:szCs w:val="17"/>
              </w:rPr>
              <w:t>622,070</w:t>
            </w:r>
          </w:p>
        </w:tc>
      </w:tr>
      <w:tr w:rsidR="00597B73" w:rsidRPr="00321238" w14:paraId="02BB0860" w14:textId="77777777" w:rsidTr="005444AA">
        <w:trPr>
          <w:trHeight w:val="239"/>
        </w:trPr>
        <w:tc>
          <w:tcPr>
            <w:tcW w:w="1520" w:type="pct"/>
          </w:tcPr>
          <w:p w14:paraId="524061B7" w14:textId="77777777" w:rsidR="00597B73" w:rsidRPr="00166751" w:rsidRDefault="00597B73" w:rsidP="00597B73">
            <w:pPr>
              <w:tabs>
                <w:tab w:val="right" w:pos="1202"/>
              </w:tabs>
              <w:spacing w:after="0" w:line="240" w:lineRule="exact"/>
              <w:outlineLvl w:val="0"/>
              <w:rPr>
                <w:rFonts w:eastAsia="Times New Roman" w:cs="Arial"/>
                <w:b/>
                <w:bCs/>
                <w:sz w:val="18"/>
                <w:szCs w:val="18"/>
              </w:rPr>
            </w:pPr>
            <w:r w:rsidRPr="00166751">
              <w:rPr>
                <w:rFonts w:eastAsia="Times New Roman" w:cs="Arial"/>
                <w:b/>
                <w:bCs/>
                <w:sz w:val="18"/>
                <w:szCs w:val="18"/>
              </w:rPr>
              <w:t xml:space="preserve">Total liabilities </w:t>
            </w:r>
          </w:p>
        </w:tc>
        <w:tc>
          <w:tcPr>
            <w:tcW w:w="508" w:type="pct"/>
            <w:tcBorders>
              <w:top w:val="single" w:sz="2" w:space="0" w:color="auto"/>
              <w:left w:val="nil"/>
              <w:bottom w:val="single" w:sz="12" w:space="0" w:color="auto"/>
              <w:right w:val="nil"/>
            </w:tcBorders>
            <w:shd w:val="clear" w:color="auto" w:fill="auto"/>
            <w:vAlign w:val="bottom"/>
          </w:tcPr>
          <w:p w14:paraId="0AF198FA" w14:textId="69B21599" w:rsidR="00597B73" w:rsidRPr="00166751" w:rsidRDefault="00597B73" w:rsidP="00597B73">
            <w:pPr>
              <w:spacing w:after="0" w:line="240" w:lineRule="exact"/>
              <w:jc w:val="right"/>
              <w:rPr>
                <w:rFonts w:eastAsia="Arial Unicode MS" w:cs="Arial"/>
                <w:b/>
                <w:bCs/>
                <w:sz w:val="18"/>
                <w:szCs w:val="18"/>
              </w:rPr>
            </w:pPr>
            <w:r>
              <w:rPr>
                <w:rFonts w:eastAsia="Arial Unicode MS" w:cs="Arial"/>
                <w:b/>
                <w:bCs/>
                <w:sz w:val="17"/>
                <w:szCs w:val="17"/>
              </w:rPr>
              <w:t>429,051</w:t>
            </w:r>
          </w:p>
        </w:tc>
        <w:tc>
          <w:tcPr>
            <w:tcW w:w="579" w:type="pct"/>
            <w:tcBorders>
              <w:top w:val="single" w:sz="2" w:space="0" w:color="auto"/>
              <w:left w:val="nil"/>
              <w:bottom w:val="single" w:sz="12" w:space="0" w:color="auto"/>
              <w:right w:val="nil"/>
            </w:tcBorders>
            <w:shd w:val="clear" w:color="auto" w:fill="auto"/>
            <w:vAlign w:val="bottom"/>
          </w:tcPr>
          <w:p w14:paraId="71866D15" w14:textId="6FF38F28" w:rsidR="00597B73" w:rsidRPr="00166751" w:rsidRDefault="00597B73" w:rsidP="00597B73">
            <w:pPr>
              <w:spacing w:after="0" w:line="240" w:lineRule="exact"/>
              <w:jc w:val="right"/>
              <w:rPr>
                <w:rFonts w:eastAsia="Arial Unicode MS" w:cs="Arial"/>
                <w:b/>
                <w:bCs/>
                <w:sz w:val="18"/>
                <w:szCs w:val="18"/>
              </w:rPr>
            </w:pPr>
            <w:r>
              <w:rPr>
                <w:rFonts w:eastAsia="Arial Unicode MS" w:cs="Arial"/>
                <w:b/>
                <w:bCs/>
                <w:sz w:val="17"/>
                <w:szCs w:val="17"/>
              </w:rPr>
              <w:t>16,777,518</w:t>
            </w:r>
          </w:p>
        </w:tc>
        <w:tc>
          <w:tcPr>
            <w:tcW w:w="584" w:type="pct"/>
            <w:tcBorders>
              <w:top w:val="single" w:sz="2" w:space="0" w:color="auto"/>
              <w:left w:val="nil"/>
              <w:bottom w:val="single" w:sz="12" w:space="0" w:color="auto"/>
              <w:right w:val="nil"/>
            </w:tcBorders>
            <w:shd w:val="clear" w:color="auto" w:fill="auto"/>
            <w:vAlign w:val="bottom"/>
          </w:tcPr>
          <w:p w14:paraId="4D13BCA8" w14:textId="6DC7E60B" w:rsidR="00597B73" w:rsidRPr="00166751" w:rsidRDefault="00597B73" w:rsidP="00597B73">
            <w:pPr>
              <w:spacing w:after="0" w:line="240" w:lineRule="exact"/>
              <w:jc w:val="right"/>
              <w:rPr>
                <w:rFonts w:eastAsia="Arial Unicode MS" w:cs="Arial"/>
                <w:b/>
                <w:bCs/>
                <w:sz w:val="18"/>
                <w:szCs w:val="18"/>
              </w:rPr>
            </w:pPr>
            <w:r>
              <w:rPr>
                <w:rFonts w:eastAsia="Arial Unicode MS" w:cs="Arial"/>
                <w:b/>
                <w:bCs/>
                <w:sz w:val="17"/>
                <w:szCs w:val="17"/>
              </w:rPr>
              <w:t>4,025</w:t>
            </w:r>
          </w:p>
        </w:tc>
        <w:tc>
          <w:tcPr>
            <w:tcW w:w="579" w:type="pct"/>
            <w:tcBorders>
              <w:top w:val="single" w:sz="2" w:space="0" w:color="auto"/>
              <w:left w:val="nil"/>
              <w:bottom w:val="single" w:sz="12" w:space="0" w:color="auto"/>
              <w:right w:val="nil"/>
            </w:tcBorders>
            <w:shd w:val="clear" w:color="auto" w:fill="auto"/>
            <w:vAlign w:val="bottom"/>
          </w:tcPr>
          <w:p w14:paraId="093966F4" w14:textId="28D11F38" w:rsidR="00597B73" w:rsidRPr="00166751" w:rsidRDefault="00597B73" w:rsidP="00597B73">
            <w:pPr>
              <w:spacing w:after="0" w:line="240" w:lineRule="exact"/>
              <w:jc w:val="right"/>
              <w:rPr>
                <w:rFonts w:eastAsia="Arial Unicode MS" w:cs="Arial"/>
                <w:b/>
                <w:bCs/>
                <w:sz w:val="18"/>
                <w:szCs w:val="18"/>
              </w:rPr>
            </w:pPr>
            <w:r>
              <w:rPr>
                <w:rFonts w:eastAsia="Arial Unicode MS" w:cs="Arial"/>
                <w:b/>
                <w:bCs/>
                <w:sz w:val="17"/>
                <w:szCs w:val="17"/>
              </w:rPr>
              <w:t>17,210,594</w:t>
            </w:r>
          </w:p>
        </w:tc>
        <w:tc>
          <w:tcPr>
            <w:tcW w:w="653" w:type="pct"/>
            <w:tcBorders>
              <w:top w:val="single" w:sz="2" w:space="0" w:color="auto"/>
              <w:left w:val="nil"/>
              <w:bottom w:val="single" w:sz="12" w:space="0" w:color="auto"/>
              <w:right w:val="nil"/>
            </w:tcBorders>
            <w:shd w:val="clear" w:color="auto" w:fill="auto"/>
            <w:vAlign w:val="bottom"/>
          </w:tcPr>
          <w:p w14:paraId="7A2F6405" w14:textId="79A77E7B" w:rsidR="00597B73" w:rsidRPr="00166751" w:rsidRDefault="00597B73" w:rsidP="00597B73">
            <w:pPr>
              <w:spacing w:after="0" w:line="240" w:lineRule="exact"/>
              <w:jc w:val="right"/>
              <w:rPr>
                <w:rFonts w:eastAsia="Arial Unicode MS" w:cs="Arial"/>
                <w:b/>
                <w:bCs/>
                <w:sz w:val="18"/>
                <w:szCs w:val="18"/>
              </w:rPr>
            </w:pPr>
            <w:r>
              <w:rPr>
                <w:rFonts w:eastAsia="Arial Unicode MS" w:cs="Arial"/>
                <w:b/>
                <w:bCs/>
                <w:sz w:val="17"/>
                <w:szCs w:val="17"/>
              </w:rPr>
              <w:t>829,316</w:t>
            </w:r>
          </w:p>
        </w:tc>
        <w:tc>
          <w:tcPr>
            <w:tcW w:w="577" w:type="pct"/>
            <w:tcBorders>
              <w:top w:val="single" w:sz="2" w:space="0" w:color="auto"/>
              <w:left w:val="nil"/>
              <w:bottom w:val="single" w:sz="12" w:space="0" w:color="auto"/>
            </w:tcBorders>
            <w:shd w:val="clear" w:color="auto" w:fill="auto"/>
            <w:vAlign w:val="bottom"/>
          </w:tcPr>
          <w:p w14:paraId="071D1BAA" w14:textId="29AC3E67" w:rsidR="00597B73" w:rsidRPr="00166751" w:rsidRDefault="00597B73" w:rsidP="00597B73">
            <w:pPr>
              <w:spacing w:after="0" w:line="240" w:lineRule="exact"/>
              <w:jc w:val="right"/>
              <w:rPr>
                <w:rFonts w:eastAsia="Arial Unicode MS" w:cs="Arial"/>
                <w:b/>
                <w:bCs/>
                <w:sz w:val="18"/>
                <w:szCs w:val="18"/>
              </w:rPr>
            </w:pPr>
            <w:r>
              <w:rPr>
                <w:rFonts w:eastAsia="Arial Unicode MS" w:cs="Arial"/>
                <w:b/>
                <w:bCs/>
                <w:sz w:val="17"/>
                <w:szCs w:val="17"/>
              </w:rPr>
              <w:t>18,039,910</w:t>
            </w:r>
          </w:p>
        </w:tc>
      </w:tr>
      <w:tr w:rsidR="00796B24" w:rsidRPr="00321238" w14:paraId="1CC36D6E" w14:textId="77777777" w:rsidTr="00BA3F2A">
        <w:trPr>
          <w:trHeight w:val="254"/>
        </w:trPr>
        <w:tc>
          <w:tcPr>
            <w:tcW w:w="1520" w:type="pct"/>
          </w:tcPr>
          <w:p w14:paraId="5C3D0684" w14:textId="77777777" w:rsidR="00796B24" w:rsidRPr="00166751" w:rsidRDefault="00796B24" w:rsidP="00796B24">
            <w:pPr>
              <w:tabs>
                <w:tab w:val="right" w:pos="1202"/>
              </w:tabs>
              <w:spacing w:after="0" w:line="240" w:lineRule="exact"/>
              <w:outlineLvl w:val="0"/>
              <w:rPr>
                <w:rFonts w:eastAsia="Times New Roman" w:cs="Arial"/>
                <w:b/>
                <w:bCs/>
                <w:sz w:val="18"/>
                <w:szCs w:val="18"/>
              </w:rPr>
            </w:pPr>
            <w:r w:rsidRPr="00166751">
              <w:rPr>
                <w:rFonts w:eastAsia="Times New Roman" w:cs="Arial"/>
                <w:b/>
                <w:bCs/>
                <w:sz w:val="18"/>
                <w:szCs w:val="18"/>
              </w:rPr>
              <w:t xml:space="preserve">Equity </w:t>
            </w:r>
          </w:p>
        </w:tc>
        <w:tc>
          <w:tcPr>
            <w:tcW w:w="508" w:type="pct"/>
            <w:tcBorders>
              <w:top w:val="single" w:sz="12" w:space="0" w:color="auto"/>
            </w:tcBorders>
            <w:shd w:val="clear" w:color="auto" w:fill="auto"/>
            <w:vAlign w:val="bottom"/>
          </w:tcPr>
          <w:p w14:paraId="2C2FE646" w14:textId="77777777" w:rsidR="00796B24" w:rsidRPr="00166751" w:rsidRDefault="00796B24" w:rsidP="00796B24">
            <w:pPr>
              <w:spacing w:after="0" w:line="240" w:lineRule="exact"/>
              <w:jc w:val="right"/>
              <w:outlineLvl w:val="0"/>
              <w:rPr>
                <w:rFonts w:eastAsia="Times New Roman" w:cs="Arial"/>
                <w:sz w:val="18"/>
                <w:szCs w:val="18"/>
              </w:rPr>
            </w:pPr>
          </w:p>
        </w:tc>
        <w:tc>
          <w:tcPr>
            <w:tcW w:w="579" w:type="pct"/>
            <w:tcBorders>
              <w:top w:val="single" w:sz="12" w:space="0" w:color="auto"/>
            </w:tcBorders>
            <w:shd w:val="clear" w:color="auto" w:fill="auto"/>
            <w:vAlign w:val="bottom"/>
          </w:tcPr>
          <w:p w14:paraId="44A1E0A0" w14:textId="77777777" w:rsidR="00796B24" w:rsidRPr="00166751" w:rsidRDefault="00796B24" w:rsidP="00796B24">
            <w:pPr>
              <w:spacing w:after="0" w:line="240" w:lineRule="exact"/>
              <w:jc w:val="right"/>
              <w:outlineLvl w:val="0"/>
              <w:rPr>
                <w:rFonts w:eastAsia="Times New Roman" w:cs="Arial"/>
                <w:sz w:val="18"/>
                <w:szCs w:val="18"/>
              </w:rPr>
            </w:pPr>
          </w:p>
        </w:tc>
        <w:tc>
          <w:tcPr>
            <w:tcW w:w="584" w:type="pct"/>
            <w:tcBorders>
              <w:top w:val="single" w:sz="12" w:space="0" w:color="auto"/>
            </w:tcBorders>
            <w:shd w:val="clear" w:color="auto" w:fill="auto"/>
            <w:vAlign w:val="bottom"/>
          </w:tcPr>
          <w:p w14:paraId="113321C2" w14:textId="77777777" w:rsidR="00796B24" w:rsidRPr="00166751" w:rsidRDefault="00796B24" w:rsidP="00796B24">
            <w:pPr>
              <w:spacing w:after="0" w:line="240" w:lineRule="exact"/>
              <w:jc w:val="right"/>
              <w:outlineLvl w:val="0"/>
              <w:rPr>
                <w:rFonts w:eastAsia="Times New Roman" w:cs="Arial"/>
                <w:sz w:val="18"/>
                <w:szCs w:val="18"/>
              </w:rPr>
            </w:pPr>
          </w:p>
        </w:tc>
        <w:tc>
          <w:tcPr>
            <w:tcW w:w="579" w:type="pct"/>
            <w:tcBorders>
              <w:top w:val="single" w:sz="12" w:space="0" w:color="auto"/>
            </w:tcBorders>
            <w:shd w:val="clear" w:color="auto" w:fill="auto"/>
            <w:vAlign w:val="bottom"/>
          </w:tcPr>
          <w:p w14:paraId="71A2DBD3" w14:textId="77777777" w:rsidR="00796B24" w:rsidRPr="00166751" w:rsidRDefault="00796B24" w:rsidP="00796B24">
            <w:pPr>
              <w:spacing w:after="0" w:line="240" w:lineRule="exact"/>
              <w:jc w:val="right"/>
              <w:outlineLvl w:val="0"/>
              <w:rPr>
                <w:rFonts w:eastAsia="Times New Roman" w:cs="Arial"/>
                <w:sz w:val="18"/>
                <w:szCs w:val="18"/>
              </w:rPr>
            </w:pPr>
          </w:p>
        </w:tc>
        <w:tc>
          <w:tcPr>
            <w:tcW w:w="653" w:type="pct"/>
            <w:tcBorders>
              <w:top w:val="single" w:sz="12" w:space="0" w:color="auto"/>
            </w:tcBorders>
            <w:shd w:val="clear" w:color="auto" w:fill="auto"/>
            <w:vAlign w:val="bottom"/>
          </w:tcPr>
          <w:p w14:paraId="0FD83161" w14:textId="77777777" w:rsidR="00796B24" w:rsidRPr="00166751" w:rsidRDefault="00796B24" w:rsidP="00796B24">
            <w:pPr>
              <w:spacing w:after="0" w:line="240" w:lineRule="exact"/>
              <w:jc w:val="right"/>
              <w:outlineLvl w:val="0"/>
              <w:rPr>
                <w:rFonts w:eastAsia="Times New Roman" w:cs="Arial"/>
                <w:sz w:val="18"/>
                <w:szCs w:val="18"/>
              </w:rPr>
            </w:pPr>
          </w:p>
        </w:tc>
        <w:tc>
          <w:tcPr>
            <w:tcW w:w="577" w:type="pct"/>
            <w:tcBorders>
              <w:top w:val="single" w:sz="12" w:space="0" w:color="auto"/>
            </w:tcBorders>
            <w:shd w:val="clear" w:color="auto" w:fill="auto"/>
            <w:vAlign w:val="bottom"/>
          </w:tcPr>
          <w:p w14:paraId="73EB164D" w14:textId="77777777" w:rsidR="00796B24" w:rsidRPr="00166751" w:rsidRDefault="00796B24" w:rsidP="00796B24">
            <w:pPr>
              <w:spacing w:after="0" w:line="240" w:lineRule="exact"/>
              <w:jc w:val="right"/>
              <w:outlineLvl w:val="0"/>
              <w:rPr>
                <w:rFonts w:eastAsia="Times New Roman" w:cs="Arial"/>
                <w:sz w:val="18"/>
                <w:szCs w:val="18"/>
              </w:rPr>
            </w:pPr>
          </w:p>
        </w:tc>
      </w:tr>
      <w:tr w:rsidR="00597B73" w:rsidRPr="00321238" w14:paraId="6DC21C1D" w14:textId="77777777" w:rsidTr="00166751">
        <w:trPr>
          <w:trHeight w:val="254"/>
        </w:trPr>
        <w:tc>
          <w:tcPr>
            <w:tcW w:w="1520" w:type="pct"/>
          </w:tcPr>
          <w:p w14:paraId="1049C658" w14:textId="77777777" w:rsidR="00597B73" w:rsidRPr="00166751" w:rsidRDefault="00597B73" w:rsidP="00597B73">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Founder’s capital </w:t>
            </w:r>
          </w:p>
        </w:tc>
        <w:tc>
          <w:tcPr>
            <w:tcW w:w="508" w:type="pct"/>
            <w:tcBorders>
              <w:top w:val="nil"/>
              <w:left w:val="nil"/>
              <w:bottom w:val="nil"/>
              <w:right w:val="nil"/>
            </w:tcBorders>
            <w:shd w:val="clear" w:color="auto" w:fill="auto"/>
            <w:vAlign w:val="bottom"/>
          </w:tcPr>
          <w:p w14:paraId="794AC5FA" w14:textId="77777777" w:rsidR="00597B73" w:rsidRPr="00166751" w:rsidRDefault="00597B73" w:rsidP="00597B73">
            <w:pPr>
              <w:tabs>
                <w:tab w:val="right" w:pos="1202"/>
              </w:tabs>
              <w:spacing w:after="0" w:line="240" w:lineRule="exact"/>
              <w:jc w:val="right"/>
              <w:outlineLvl w:val="0"/>
              <w:rPr>
                <w:rFonts w:eastAsia="Times New Roman" w:cs="Arial"/>
                <w:spacing w:val="-2"/>
                <w:sz w:val="18"/>
                <w:szCs w:val="18"/>
              </w:rPr>
            </w:pPr>
            <w:r w:rsidRPr="00166751">
              <w:rPr>
                <w:rFonts w:asciiTheme="minorHAnsi" w:hAnsiTheme="minorHAnsi" w:cs="Arial"/>
                <w:spacing w:val="-2"/>
                <w:sz w:val="18"/>
                <w:szCs w:val="18"/>
                <w:lang w:val="hr-HR"/>
              </w:rPr>
              <w:t>-</w:t>
            </w:r>
          </w:p>
        </w:tc>
        <w:tc>
          <w:tcPr>
            <w:tcW w:w="579" w:type="pct"/>
            <w:tcBorders>
              <w:top w:val="nil"/>
              <w:left w:val="nil"/>
              <w:bottom w:val="nil"/>
              <w:right w:val="nil"/>
            </w:tcBorders>
            <w:shd w:val="clear" w:color="auto" w:fill="auto"/>
          </w:tcPr>
          <w:p w14:paraId="449A07DF" w14:textId="77777777" w:rsidR="00597B73" w:rsidRPr="00166751" w:rsidRDefault="00597B73" w:rsidP="00597B73">
            <w:pPr>
              <w:tabs>
                <w:tab w:val="right" w:pos="1202"/>
              </w:tabs>
              <w:spacing w:after="0" w:line="240" w:lineRule="exact"/>
              <w:jc w:val="right"/>
              <w:outlineLvl w:val="0"/>
              <w:rPr>
                <w:rFonts w:eastAsia="Times New Roman" w:cs="Arial"/>
                <w:spacing w:val="-2"/>
                <w:sz w:val="18"/>
                <w:szCs w:val="18"/>
              </w:rPr>
            </w:pPr>
            <w:r w:rsidRPr="00166751">
              <w:rPr>
                <w:rFonts w:asciiTheme="minorHAnsi" w:hAnsiTheme="minorHAnsi" w:cs="Arial"/>
                <w:spacing w:val="-2"/>
                <w:sz w:val="18"/>
                <w:szCs w:val="18"/>
                <w:lang w:val="hr-HR"/>
              </w:rPr>
              <w:t>-</w:t>
            </w:r>
          </w:p>
        </w:tc>
        <w:tc>
          <w:tcPr>
            <w:tcW w:w="584" w:type="pct"/>
            <w:tcBorders>
              <w:top w:val="nil"/>
              <w:left w:val="nil"/>
              <w:bottom w:val="nil"/>
              <w:right w:val="nil"/>
            </w:tcBorders>
            <w:shd w:val="clear" w:color="auto" w:fill="auto"/>
          </w:tcPr>
          <w:p w14:paraId="642CE02F" w14:textId="77777777" w:rsidR="00597B73" w:rsidRPr="00166751" w:rsidRDefault="00597B73" w:rsidP="00597B73">
            <w:pPr>
              <w:tabs>
                <w:tab w:val="right" w:pos="1202"/>
              </w:tabs>
              <w:spacing w:after="0" w:line="240" w:lineRule="exact"/>
              <w:jc w:val="right"/>
              <w:outlineLvl w:val="0"/>
              <w:rPr>
                <w:rFonts w:eastAsia="Times New Roman" w:cs="Arial"/>
                <w:spacing w:val="-2"/>
                <w:sz w:val="18"/>
                <w:szCs w:val="18"/>
              </w:rPr>
            </w:pPr>
            <w:r w:rsidRPr="00166751">
              <w:rPr>
                <w:rFonts w:asciiTheme="minorHAnsi" w:hAnsiTheme="minorHAnsi" w:cs="Arial"/>
                <w:spacing w:val="-2"/>
                <w:sz w:val="18"/>
                <w:szCs w:val="18"/>
                <w:lang w:val="hr-HR"/>
              </w:rPr>
              <w:t>-</w:t>
            </w:r>
          </w:p>
        </w:tc>
        <w:tc>
          <w:tcPr>
            <w:tcW w:w="579" w:type="pct"/>
            <w:tcBorders>
              <w:top w:val="nil"/>
              <w:left w:val="nil"/>
              <w:bottom w:val="nil"/>
              <w:right w:val="nil"/>
            </w:tcBorders>
            <w:shd w:val="clear" w:color="auto" w:fill="auto"/>
          </w:tcPr>
          <w:p w14:paraId="28A153AD" w14:textId="77777777" w:rsidR="00597B73" w:rsidRPr="00166751" w:rsidRDefault="00597B73" w:rsidP="00597B73">
            <w:pPr>
              <w:tabs>
                <w:tab w:val="right" w:pos="1202"/>
              </w:tabs>
              <w:spacing w:after="0" w:line="240" w:lineRule="exact"/>
              <w:jc w:val="right"/>
              <w:outlineLvl w:val="0"/>
              <w:rPr>
                <w:rFonts w:eastAsia="Times New Roman" w:cs="Arial"/>
                <w:spacing w:val="-2"/>
                <w:sz w:val="18"/>
                <w:szCs w:val="18"/>
              </w:rPr>
            </w:pPr>
            <w:r w:rsidRPr="00166751">
              <w:rPr>
                <w:rFonts w:asciiTheme="minorHAnsi" w:hAnsiTheme="minorHAnsi" w:cs="Arial"/>
                <w:spacing w:val="-2"/>
                <w:sz w:val="18"/>
                <w:szCs w:val="18"/>
                <w:lang w:val="hr-HR"/>
              </w:rPr>
              <w:t>-</w:t>
            </w:r>
          </w:p>
        </w:tc>
        <w:tc>
          <w:tcPr>
            <w:tcW w:w="653" w:type="pct"/>
            <w:tcBorders>
              <w:top w:val="nil"/>
              <w:left w:val="nil"/>
              <w:bottom w:val="nil"/>
              <w:right w:val="nil"/>
            </w:tcBorders>
            <w:shd w:val="clear" w:color="auto" w:fill="auto"/>
            <w:vAlign w:val="bottom"/>
          </w:tcPr>
          <w:p w14:paraId="5013DD34" w14:textId="75E67F03" w:rsidR="00597B73" w:rsidRPr="00166751" w:rsidRDefault="00597B73" w:rsidP="00597B73">
            <w:pPr>
              <w:spacing w:after="0" w:line="240" w:lineRule="exact"/>
              <w:jc w:val="right"/>
              <w:rPr>
                <w:rFonts w:eastAsia="Arial Unicode MS" w:cs="Arial"/>
                <w:sz w:val="18"/>
                <w:szCs w:val="18"/>
              </w:rPr>
            </w:pPr>
            <w:r>
              <w:rPr>
                <w:rFonts w:cs="Arial"/>
                <w:sz w:val="17"/>
                <w:szCs w:val="17"/>
              </w:rPr>
              <w:t>6,984,632</w:t>
            </w:r>
          </w:p>
        </w:tc>
        <w:tc>
          <w:tcPr>
            <w:tcW w:w="577" w:type="pct"/>
            <w:tcBorders>
              <w:top w:val="nil"/>
              <w:left w:val="nil"/>
              <w:bottom w:val="nil"/>
              <w:right w:val="nil"/>
            </w:tcBorders>
            <w:shd w:val="clear" w:color="auto" w:fill="auto"/>
            <w:vAlign w:val="bottom"/>
          </w:tcPr>
          <w:p w14:paraId="2519E710" w14:textId="5709D627" w:rsidR="00597B73" w:rsidRPr="00166751" w:rsidRDefault="00597B73" w:rsidP="00597B73">
            <w:pPr>
              <w:spacing w:after="0" w:line="240" w:lineRule="exact"/>
              <w:jc w:val="right"/>
              <w:rPr>
                <w:rFonts w:eastAsia="Arial Unicode MS" w:cs="Arial"/>
                <w:sz w:val="18"/>
                <w:szCs w:val="18"/>
              </w:rPr>
            </w:pPr>
            <w:r>
              <w:rPr>
                <w:rFonts w:cs="Arial"/>
                <w:sz w:val="17"/>
                <w:szCs w:val="17"/>
              </w:rPr>
              <w:t>6,984,632</w:t>
            </w:r>
          </w:p>
        </w:tc>
      </w:tr>
      <w:tr w:rsidR="00597B73" w:rsidRPr="00321238" w14:paraId="5FCD5AAC" w14:textId="77777777" w:rsidTr="00166751">
        <w:trPr>
          <w:trHeight w:val="239"/>
        </w:trPr>
        <w:tc>
          <w:tcPr>
            <w:tcW w:w="1520" w:type="pct"/>
          </w:tcPr>
          <w:p w14:paraId="4ABD736E" w14:textId="77777777" w:rsidR="00597B73" w:rsidRPr="00166751" w:rsidRDefault="00597B73" w:rsidP="00597B73">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Retained earnings and reserves </w:t>
            </w:r>
          </w:p>
        </w:tc>
        <w:tc>
          <w:tcPr>
            <w:tcW w:w="508" w:type="pct"/>
            <w:tcBorders>
              <w:top w:val="nil"/>
              <w:left w:val="nil"/>
              <w:bottom w:val="nil"/>
              <w:right w:val="nil"/>
            </w:tcBorders>
            <w:shd w:val="clear" w:color="auto" w:fill="auto"/>
            <w:vAlign w:val="bottom"/>
          </w:tcPr>
          <w:p w14:paraId="61021634" w14:textId="77777777" w:rsidR="00597B73" w:rsidRPr="00166751" w:rsidRDefault="00597B73" w:rsidP="00597B73">
            <w:pPr>
              <w:spacing w:after="0" w:line="240" w:lineRule="exact"/>
              <w:jc w:val="right"/>
              <w:rPr>
                <w:rFonts w:eastAsia="Arial Unicode MS" w:cs="Arial"/>
                <w:sz w:val="18"/>
                <w:szCs w:val="18"/>
              </w:rPr>
            </w:pPr>
            <w:r w:rsidRPr="00166751">
              <w:rPr>
                <w:rFonts w:cs="Arial"/>
                <w:spacing w:val="-2"/>
                <w:sz w:val="18"/>
                <w:szCs w:val="18"/>
              </w:rPr>
              <w:t>-</w:t>
            </w:r>
          </w:p>
        </w:tc>
        <w:tc>
          <w:tcPr>
            <w:tcW w:w="579" w:type="pct"/>
            <w:tcBorders>
              <w:top w:val="nil"/>
              <w:left w:val="nil"/>
              <w:bottom w:val="nil"/>
              <w:right w:val="nil"/>
            </w:tcBorders>
            <w:shd w:val="clear" w:color="auto" w:fill="auto"/>
          </w:tcPr>
          <w:p w14:paraId="281AC187" w14:textId="77777777" w:rsidR="00597B73" w:rsidRPr="00166751" w:rsidRDefault="00597B73" w:rsidP="00597B73">
            <w:pPr>
              <w:spacing w:after="0" w:line="240" w:lineRule="exact"/>
              <w:jc w:val="right"/>
              <w:rPr>
                <w:rFonts w:eastAsia="Arial Unicode MS" w:cs="Arial"/>
                <w:sz w:val="18"/>
                <w:szCs w:val="18"/>
              </w:rPr>
            </w:pPr>
            <w:r w:rsidRPr="00166751">
              <w:rPr>
                <w:rFonts w:cs="Arial"/>
                <w:spacing w:val="-2"/>
                <w:sz w:val="18"/>
                <w:szCs w:val="18"/>
              </w:rPr>
              <w:t>-</w:t>
            </w:r>
          </w:p>
        </w:tc>
        <w:tc>
          <w:tcPr>
            <w:tcW w:w="584" w:type="pct"/>
            <w:tcBorders>
              <w:top w:val="nil"/>
              <w:left w:val="nil"/>
              <w:bottom w:val="nil"/>
              <w:right w:val="nil"/>
            </w:tcBorders>
            <w:shd w:val="clear" w:color="auto" w:fill="auto"/>
          </w:tcPr>
          <w:p w14:paraId="257F1C74" w14:textId="77777777" w:rsidR="00597B73" w:rsidRPr="00166751" w:rsidRDefault="00597B73" w:rsidP="00597B73">
            <w:pPr>
              <w:spacing w:after="0" w:line="240" w:lineRule="exact"/>
              <w:jc w:val="right"/>
              <w:rPr>
                <w:rFonts w:eastAsia="Arial Unicode MS" w:cs="Arial"/>
                <w:sz w:val="18"/>
                <w:szCs w:val="18"/>
              </w:rPr>
            </w:pPr>
            <w:r w:rsidRPr="00166751">
              <w:rPr>
                <w:rFonts w:cs="Arial"/>
                <w:spacing w:val="-2"/>
                <w:sz w:val="18"/>
                <w:szCs w:val="18"/>
              </w:rPr>
              <w:t>-</w:t>
            </w:r>
          </w:p>
        </w:tc>
        <w:tc>
          <w:tcPr>
            <w:tcW w:w="579" w:type="pct"/>
            <w:tcBorders>
              <w:top w:val="nil"/>
              <w:left w:val="nil"/>
              <w:bottom w:val="nil"/>
              <w:right w:val="nil"/>
            </w:tcBorders>
            <w:shd w:val="clear" w:color="auto" w:fill="auto"/>
          </w:tcPr>
          <w:p w14:paraId="187361C3" w14:textId="77777777" w:rsidR="00597B73" w:rsidRPr="00166751" w:rsidRDefault="00597B73" w:rsidP="00597B73">
            <w:pPr>
              <w:spacing w:after="0" w:line="240" w:lineRule="exact"/>
              <w:jc w:val="right"/>
              <w:rPr>
                <w:rFonts w:eastAsia="Arial Unicode MS" w:cs="Arial"/>
                <w:sz w:val="18"/>
                <w:szCs w:val="18"/>
              </w:rPr>
            </w:pPr>
            <w:r w:rsidRPr="00166751">
              <w:rPr>
                <w:rFonts w:cs="Arial"/>
                <w:spacing w:val="-2"/>
                <w:sz w:val="18"/>
                <w:szCs w:val="18"/>
              </w:rPr>
              <w:t>-</w:t>
            </w:r>
          </w:p>
        </w:tc>
        <w:tc>
          <w:tcPr>
            <w:tcW w:w="653" w:type="pct"/>
            <w:tcBorders>
              <w:top w:val="nil"/>
              <w:left w:val="nil"/>
              <w:bottom w:val="nil"/>
              <w:right w:val="nil"/>
            </w:tcBorders>
            <w:shd w:val="clear" w:color="auto" w:fill="auto"/>
            <w:vAlign w:val="bottom"/>
          </w:tcPr>
          <w:p w14:paraId="1D7A4498" w14:textId="2F697913" w:rsidR="00597B73" w:rsidRPr="00166751" w:rsidRDefault="00597B73" w:rsidP="00597B73">
            <w:pPr>
              <w:spacing w:after="0" w:line="240" w:lineRule="exact"/>
              <w:jc w:val="right"/>
              <w:rPr>
                <w:rFonts w:eastAsia="Arial Unicode MS" w:cs="Arial"/>
                <w:sz w:val="18"/>
                <w:szCs w:val="18"/>
              </w:rPr>
            </w:pPr>
            <w:r>
              <w:rPr>
                <w:rFonts w:eastAsia="Arial Unicode MS" w:cs="Arial"/>
                <w:sz w:val="17"/>
                <w:szCs w:val="17"/>
              </w:rPr>
              <w:t>2,996,968</w:t>
            </w:r>
          </w:p>
        </w:tc>
        <w:tc>
          <w:tcPr>
            <w:tcW w:w="577" w:type="pct"/>
            <w:tcBorders>
              <w:top w:val="nil"/>
              <w:left w:val="nil"/>
              <w:bottom w:val="nil"/>
              <w:right w:val="nil"/>
            </w:tcBorders>
            <w:shd w:val="clear" w:color="auto" w:fill="auto"/>
            <w:vAlign w:val="bottom"/>
          </w:tcPr>
          <w:p w14:paraId="76A62B05" w14:textId="68789251" w:rsidR="00597B73" w:rsidRPr="00166751" w:rsidRDefault="00597B73" w:rsidP="00597B73">
            <w:pPr>
              <w:spacing w:after="0" w:line="240" w:lineRule="exact"/>
              <w:jc w:val="right"/>
              <w:rPr>
                <w:rFonts w:eastAsia="Arial Unicode MS" w:cs="Arial"/>
                <w:sz w:val="18"/>
                <w:szCs w:val="18"/>
              </w:rPr>
            </w:pPr>
            <w:r w:rsidRPr="00366409">
              <w:rPr>
                <w:rFonts w:eastAsia="Arial Unicode MS" w:cs="Arial"/>
                <w:sz w:val="17"/>
                <w:szCs w:val="17"/>
              </w:rPr>
              <w:t>2</w:t>
            </w:r>
            <w:r>
              <w:rPr>
                <w:rFonts w:eastAsia="Arial Unicode MS" w:cs="Arial"/>
                <w:sz w:val="17"/>
                <w:szCs w:val="17"/>
              </w:rPr>
              <w:t>,</w:t>
            </w:r>
            <w:r w:rsidRPr="00366409">
              <w:rPr>
                <w:rFonts w:eastAsia="Arial Unicode MS" w:cs="Arial"/>
                <w:sz w:val="17"/>
                <w:szCs w:val="17"/>
              </w:rPr>
              <w:t>996</w:t>
            </w:r>
            <w:r>
              <w:rPr>
                <w:rFonts w:eastAsia="Arial Unicode MS" w:cs="Arial"/>
                <w:sz w:val="17"/>
                <w:szCs w:val="17"/>
              </w:rPr>
              <w:t>,</w:t>
            </w:r>
            <w:r w:rsidRPr="00366409">
              <w:rPr>
                <w:rFonts w:eastAsia="Arial Unicode MS" w:cs="Arial"/>
                <w:sz w:val="17"/>
                <w:szCs w:val="17"/>
              </w:rPr>
              <w:t>968</w:t>
            </w:r>
          </w:p>
        </w:tc>
      </w:tr>
      <w:tr w:rsidR="00597B73" w:rsidRPr="00321238" w14:paraId="60205B37" w14:textId="77777777" w:rsidTr="005444AA">
        <w:trPr>
          <w:trHeight w:val="254"/>
        </w:trPr>
        <w:tc>
          <w:tcPr>
            <w:tcW w:w="1520" w:type="pct"/>
          </w:tcPr>
          <w:p w14:paraId="641C5C10" w14:textId="77777777" w:rsidR="00597B73" w:rsidRPr="00166751" w:rsidRDefault="00597B73" w:rsidP="00597B73">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Other reserves </w:t>
            </w:r>
          </w:p>
        </w:tc>
        <w:tc>
          <w:tcPr>
            <w:tcW w:w="508" w:type="pct"/>
            <w:tcBorders>
              <w:top w:val="nil"/>
              <w:left w:val="nil"/>
              <w:right w:val="nil"/>
            </w:tcBorders>
            <w:shd w:val="clear" w:color="auto" w:fill="auto"/>
            <w:vAlign w:val="bottom"/>
          </w:tcPr>
          <w:p w14:paraId="2F04BB03" w14:textId="77777777" w:rsidR="00597B73" w:rsidRPr="00166751" w:rsidRDefault="00597B73" w:rsidP="00597B73">
            <w:pPr>
              <w:spacing w:after="0" w:line="240" w:lineRule="exact"/>
              <w:jc w:val="right"/>
              <w:rPr>
                <w:rFonts w:eastAsia="Arial Unicode MS" w:cs="Arial"/>
                <w:sz w:val="18"/>
                <w:szCs w:val="18"/>
              </w:rPr>
            </w:pPr>
            <w:r w:rsidRPr="00166751">
              <w:rPr>
                <w:rFonts w:cs="Arial"/>
                <w:spacing w:val="-2"/>
                <w:sz w:val="18"/>
                <w:szCs w:val="18"/>
              </w:rPr>
              <w:t>-</w:t>
            </w:r>
          </w:p>
        </w:tc>
        <w:tc>
          <w:tcPr>
            <w:tcW w:w="579" w:type="pct"/>
            <w:tcBorders>
              <w:top w:val="nil"/>
              <w:left w:val="nil"/>
              <w:right w:val="nil"/>
            </w:tcBorders>
            <w:shd w:val="clear" w:color="auto" w:fill="auto"/>
          </w:tcPr>
          <w:p w14:paraId="63873CD3" w14:textId="77777777" w:rsidR="00597B73" w:rsidRPr="00166751" w:rsidRDefault="00597B73" w:rsidP="00597B73">
            <w:pPr>
              <w:spacing w:after="0" w:line="240" w:lineRule="exact"/>
              <w:jc w:val="right"/>
              <w:rPr>
                <w:rFonts w:eastAsia="Arial Unicode MS" w:cs="Arial"/>
                <w:sz w:val="18"/>
                <w:szCs w:val="18"/>
              </w:rPr>
            </w:pPr>
            <w:r w:rsidRPr="00166751">
              <w:rPr>
                <w:rFonts w:cs="Arial"/>
                <w:spacing w:val="-2"/>
                <w:sz w:val="18"/>
                <w:szCs w:val="18"/>
              </w:rPr>
              <w:t>-</w:t>
            </w:r>
          </w:p>
        </w:tc>
        <w:tc>
          <w:tcPr>
            <w:tcW w:w="584" w:type="pct"/>
            <w:tcBorders>
              <w:top w:val="nil"/>
              <w:left w:val="nil"/>
              <w:right w:val="nil"/>
            </w:tcBorders>
            <w:shd w:val="clear" w:color="auto" w:fill="auto"/>
          </w:tcPr>
          <w:p w14:paraId="56356994" w14:textId="77777777" w:rsidR="00597B73" w:rsidRPr="00166751" w:rsidRDefault="00597B73" w:rsidP="00597B73">
            <w:pPr>
              <w:spacing w:after="0" w:line="240" w:lineRule="exact"/>
              <w:jc w:val="right"/>
              <w:rPr>
                <w:rFonts w:eastAsia="Arial Unicode MS" w:cs="Arial"/>
                <w:sz w:val="18"/>
                <w:szCs w:val="18"/>
              </w:rPr>
            </w:pPr>
            <w:r w:rsidRPr="00166751">
              <w:rPr>
                <w:rFonts w:cs="Arial"/>
                <w:spacing w:val="-2"/>
                <w:sz w:val="18"/>
                <w:szCs w:val="18"/>
              </w:rPr>
              <w:t>-</w:t>
            </w:r>
          </w:p>
        </w:tc>
        <w:tc>
          <w:tcPr>
            <w:tcW w:w="579" w:type="pct"/>
            <w:tcBorders>
              <w:top w:val="nil"/>
              <w:left w:val="nil"/>
              <w:right w:val="nil"/>
            </w:tcBorders>
            <w:shd w:val="clear" w:color="auto" w:fill="auto"/>
          </w:tcPr>
          <w:p w14:paraId="5A20476D" w14:textId="77777777" w:rsidR="00597B73" w:rsidRPr="00166751" w:rsidRDefault="00597B73" w:rsidP="00597B73">
            <w:pPr>
              <w:spacing w:after="0" w:line="240" w:lineRule="exact"/>
              <w:jc w:val="right"/>
              <w:rPr>
                <w:rFonts w:eastAsia="Arial Unicode MS" w:cs="Arial"/>
                <w:sz w:val="18"/>
                <w:szCs w:val="18"/>
              </w:rPr>
            </w:pPr>
            <w:r w:rsidRPr="00166751">
              <w:rPr>
                <w:rFonts w:cs="Arial"/>
                <w:spacing w:val="-2"/>
                <w:sz w:val="18"/>
                <w:szCs w:val="18"/>
              </w:rPr>
              <w:t>-</w:t>
            </w:r>
          </w:p>
        </w:tc>
        <w:tc>
          <w:tcPr>
            <w:tcW w:w="653" w:type="pct"/>
            <w:tcBorders>
              <w:top w:val="nil"/>
              <w:left w:val="nil"/>
              <w:bottom w:val="nil"/>
              <w:right w:val="nil"/>
            </w:tcBorders>
            <w:shd w:val="clear" w:color="auto" w:fill="auto"/>
            <w:vAlign w:val="bottom"/>
          </w:tcPr>
          <w:p w14:paraId="236119AF" w14:textId="74920B88" w:rsidR="00597B73" w:rsidRPr="00166751" w:rsidRDefault="00597B73" w:rsidP="00597B73">
            <w:pPr>
              <w:spacing w:after="0" w:line="240" w:lineRule="exact"/>
              <w:jc w:val="right"/>
              <w:rPr>
                <w:rFonts w:eastAsia="Arial Unicode MS" w:cs="Arial"/>
                <w:sz w:val="18"/>
                <w:szCs w:val="18"/>
              </w:rPr>
            </w:pPr>
            <w:r>
              <w:rPr>
                <w:rFonts w:eastAsia="Arial Unicode MS" w:cs="Arial"/>
                <w:sz w:val="17"/>
                <w:szCs w:val="17"/>
              </w:rPr>
              <w:t>90,397</w:t>
            </w:r>
          </w:p>
        </w:tc>
        <w:tc>
          <w:tcPr>
            <w:tcW w:w="577" w:type="pct"/>
            <w:tcBorders>
              <w:top w:val="nil"/>
              <w:left w:val="nil"/>
              <w:bottom w:val="nil"/>
              <w:right w:val="nil"/>
            </w:tcBorders>
            <w:shd w:val="clear" w:color="auto" w:fill="auto"/>
            <w:vAlign w:val="bottom"/>
          </w:tcPr>
          <w:p w14:paraId="5F23166E" w14:textId="21D16601" w:rsidR="00597B73" w:rsidRPr="00166751" w:rsidRDefault="00597B73" w:rsidP="00597B73">
            <w:pPr>
              <w:spacing w:after="0" w:line="240" w:lineRule="exact"/>
              <w:jc w:val="right"/>
              <w:rPr>
                <w:rFonts w:eastAsia="Arial Unicode MS" w:cs="Arial"/>
                <w:sz w:val="18"/>
                <w:szCs w:val="18"/>
              </w:rPr>
            </w:pPr>
            <w:r>
              <w:rPr>
                <w:rFonts w:eastAsia="Arial Unicode MS" w:cs="Arial"/>
                <w:sz w:val="17"/>
                <w:szCs w:val="17"/>
              </w:rPr>
              <w:t>90,397</w:t>
            </w:r>
          </w:p>
        </w:tc>
      </w:tr>
      <w:tr w:rsidR="00597B73" w:rsidRPr="00321238" w14:paraId="10DEEEBE" w14:textId="77777777" w:rsidTr="005444AA">
        <w:trPr>
          <w:trHeight w:val="254"/>
        </w:trPr>
        <w:tc>
          <w:tcPr>
            <w:tcW w:w="1520" w:type="pct"/>
          </w:tcPr>
          <w:p w14:paraId="54584457" w14:textId="77777777" w:rsidR="00597B73" w:rsidRPr="00166751" w:rsidRDefault="00597B73" w:rsidP="00597B73">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Net profit for the year </w:t>
            </w:r>
          </w:p>
        </w:tc>
        <w:tc>
          <w:tcPr>
            <w:tcW w:w="508" w:type="pct"/>
            <w:tcBorders>
              <w:top w:val="nil"/>
              <w:left w:val="nil"/>
              <w:bottom w:val="single" w:sz="8" w:space="0" w:color="auto"/>
              <w:right w:val="nil"/>
            </w:tcBorders>
            <w:shd w:val="clear" w:color="auto" w:fill="auto"/>
            <w:vAlign w:val="bottom"/>
          </w:tcPr>
          <w:p w14:paraId="5942A501" w14:textId="77777777" w:rsidR="00597B73" w:rsidRPr="00166751" w:rsidRDefault="00597B73" w:rsidP="00597B73">
            <w:pPr>
              <w:spacing w:after="0" w:line="240" w:lineRule="exact"/>
              <w:jc w:val="right"/>
              <w:rPr>
                <w:rFonts w:eastAsia="Arial Unicode MS" w:cs="Arial"/>
                <w:sz w:val="18"/>
                <w:szCs w:val="18"/>
              </w:rPr>
            </w:pPr>
            <w:r w:rsidRPr="00166751">
              <w:rPr>
                <w:rFonts w:cs="Arial"/>
                <w:spacing w:val="-2"/>
                <w:sz w:val="18"/>
                <w:szCs w:val="18"/>
              </w:rPr>
              <w:t>-</w:t>
            </w:r>
          </w:p>
        </w:tc>
        <w:tc>
          <w:tcPr>
            <w:tcW w:w="579" w:type="pct"/>
            <w:tcBorders>
              <w:top w:val="nil"/>
              <w:left w:val="nil"/>
              <w:bottom w:val="single" w:sz="8" w:space="0" w:color="auto"/>
              <w:right w:val="nil"/>
            </w:tcBorders>
            <w:shd w:val="clear" w:color="auto" w:fill="auto"/>
          </w:tcPr>
          <w:p w14:paraId="6CC10AAD" w14:textId="77777777" w:rsidR="00597B73" w:rsidRPr="00166751" w:rsidRDefault="00597B73" w:rsidP="00597B73">
            <w:pPr>
              <w:spacing w:after="0" w:line="240" w:lineRule="exact"/>
              <w:jc w:val="right"/>
              <w:rPr>
                <w:rFonts w:eastAsia="Arial Unicode MS" w:cs="Arial"/>
                <w:sz w:val="18"/>
                <w:szCs w:val="18"/>
              </w:rPr>
            </w:pPr>
            <w:r w:rsidRPr="00166751">
              <w:rPr>
                <w:rFonts w:cs="Arial"/>
                <w:spacing w:val="-2"/>
                <w:sz w:val="18"/>
                <w:szCs w:val="18"/>
              </w:rPr>
              <w:t>-</w:t>
            </w:r>
          </w:p>
        </w:tc>
        <w:tc>
          <w:tcPr>
            <w:tcW w:w="584" w:type="pct"/>
            <w:tcBorders>
              <w:top w:val="nil"/>
              <w:left w:val="nil"/>
              <w:bottom w:val="single" w:sz="8" w:space="0" w:color="auto"/>
              <w:right w:val="nil"/>
            </w:tcBorders>
            <w:shd w:val="clear" w:color="auto" w:fill="auto"/>
          </w:tcPr>
          <w:p w14:paraId="44C37D97" w14:textId="77777777" w:rsidR="00597B73" w:rsidRPr="00166751" w:rsidRDefault="00597B73" w:rsidP="00597B73">
            <w:pPr>
              <w:spacing w:after="0" w:line="240" w:lineRule="exact"/>
              <w:jc w:val="right"/>
              <w:rPr>
                <w:rFonts w:eastAsia="Arial Unicode MS" w:cs="Arial"/>
                <w:sz w:val="18"/>
                <w:szCs w:val="18"/>
              </w:rPr>
            </w:pPr>
            <w:r w:rsidRPr="00166751">
              <w:rPr>
                <w:rFonts w:cs="Arial"/>
                <w:spacing w:val="-2"/>
                <w:sz w:val="18"/>
                <w:szCs w:val="18"/>
              </w:rPr>
              <w:t>-</w:t>
            </w:r>
          </w:p>
        </w:tc>
        <w:tc>
          <w:tcPr>
            <w:tcW w:w="579" w:type="pct"/>
            <w:tcBorders>
              <w:top w:val="nil"/>
              <w:left w:val="nil"/>
              <w:bottom w:val="single" w:sz="8" w:space="0" w:color="auto"/>
              <w:right w:val="nil"/>
            </w:tcBorders>
            <w:shd w:val="clear" w:color="auto" w:fill="auto"/>
          </w:tcPr>
          <w:p w14:paraId="1AB5F5AE" w14:textId="77777777" w:rsidR="00597B73" w:rsidRPr="00166751" w:rsidRDefault="00597B73" w:rsidP="00597B73">
            <w:pPr>
              <w:spacing w:after="0" w:line="240" w:lineRule="exact"/>
              <w:jc w:val="right"/>
              <w:rPr>
                <w:rFonts w:eastAsia="Arial Unicode MS" w:cs="Arial"/>
                <w:sz w:val="18"/>
                <w:szCs w:val="18"/>
              </w:rPr>
            </w:pPr>
            <w:r w:rsidRPr="00166751">
              <w:rPr>
                <w:rFonts w:cs="Arial"/>
                <w:spacing w:val="-2"/>
                <w:sz w:val="18"/>
                <w:szCs w:val="18"/>
              </w:rPr>
              <w:t>-</w:t>
            </w:r>
          </w:p>
        </w:tc>
        <w:tc>
          <w:tcPr>
            <w:tcW w:w="653" w:type="pct"/>
            <w:tcBorders>
              <w:top w:val="nil"/>
              <w:left w:val="nil"/>
              <w:bottom w:val="single" w:sz="4" w:space="0" w:color="auto"/>
              <w:right w:val="nil"/>
            </w:tcBorders>
            <w:shd w:val="clear" w:color="auto" w:fill="auto"/>
            <w:vAlign w:val="bottom"/>
          </w:tcPr>
          <w:p w14:paraId="519ED64C" w14:textId="7943091B" w:rsidR="00597B73" w:rsidRPr="00166751" w:rsidRDefault="00597B73" w:rsidP="00597B73">
            <w:pPr>
              <w:spacing w:after="0" w:line="240" w:lineRule="exact"/>
              <w:jc w:val="right"/>
              <w:rPr>
                <w:rFonts w:eastAsia="Arial Unicode MS" w:cs="Arial"/>
                <w:sz w:val="18"/>
                <w:szCs w:val="18"/>
              </w:rPr>
            </w:pPr>
            <w:r>
              <w:rPr>
                <w:rFonts w:eastAsia="Arial Unicode MS" w:cs="Arial"/>
                <w:sz w:val="17"/>
                <w:szCs w:val="17"/>
              </w:rPr>
              <w:t>176,541</w:t>
            </w:r>
          </w:p>
        </w:tc>
        <w:tc>
          <w:tcPr>
            <w:tcW w:w="577" w:type="pct"/>
            <w:tcBorders>
              <w:top w:val="nil"/>
              <w:left w:val="nil"/>
              <w:bottom w:val="single" w:sz="4" w:space="0" w:color="auto"/>
              <w:right w:val="nil"/>
            </w:tcBorders>
            <w:shd w:val="clear" w:color="auto" w:fill="auto"/>
            <w:vAlign w:val="bottom"/>
          </w:tcPr>
          <w:p w14:paraId="55900364" w14:textId="1BC13B5C" w:rsidR="00597B73" w:rsidRPr="00166751" w:rsidRDefault="00597B73" w:rsidP="00597B73">
            <w:pPr>
              <w:spacing w:after="0" w:line="240" w:lineRule="exact"/>
              <w:jc w:val="right"/>
              <w:rPr>
                <w:rFonts w:eastAsia="Arial Unicode MS" w:cs="Arial"/>
                <w:sz w:val="18"/>
                <w:szCs w:val="18"/>
              </w:rPr>
            </w:pPr>
            <w:r>
              <w:rPr>
                <w:rFonts w:eastAsia="Arial Unicode MS" w:cs="Arial"/>
                <w:sz w:val="17"/>
                <w:szCs w:val="17"/>
              </w:rPr>
              <w:t>176,541</w:t>
            </w:r>
          </w:p>
        </w:tc>
      </w:tr>
      <w:tr w:rsidR="00597B73" w:rsidRPr="00321238" w14:paraId="518CE5BD" w14:textId="77777777" w:rsidTr="00166751">
        <w:trPr>
          <w:trHeight w:val="493"/>
        </w:trPr>
        <w:tc>
          <w:tcPr>
            <w:tcW w:w="1520" w:type="pct"/>
          </w:tcPr>
          <w:p w14:paraId="5379B994" w14:textId="77777777" w:rsidR="00597B73" w:rsidRPr="00166751" w:rsidRDefault="00597B73" w:rsidP="00597B73">
            <w:pPr>
              <w:tabs>
                <w:tab w:val="right" w:pos="1202"/>
              </w:tabs>
              <w:spacing w:after="0" w:line="240" w:lineRule="exact"/>
              <w:outlineLvl w:val="0"/>
              <w:rPr>
                <w:rFonts w:eastAsia="Times New Roman" w:cs="Arial"/>
                <w:b/>
                <w:bCs/>
                <w:sz w:val="18"/>
                <w:szCs w:val="18"/>
              </w:rPr>
            </w:pPr>
            <w:r w:rsidRPr="00166751">
              <w:rPr>
                <w:rFonts w:eastAsia="Times New Roman" w:cs="Arial"/>
                <w:b/>
                <w:bCs/>
                <w:sz w:val="18"/>
                <w:szCs w:val="18"/>
              </w:rPr>
              <w:t xml:space="preserve">Total equity attributable to equity holders of the parent </w:t>
            </w:r>
          </w:p>
        </w:tc>
        <w:tc>
          <w:tcPr>
            <w:tcW w:w="508" w:type="pct"/>
            <w:tcBorders>
              <w:top w:val="single" w:sz="8" w:space="0" w:color="auto"/>
              <w:left w:val="nil"/>
              <w:bottom w:val="nil"/>
              <w:right w:val="nil"/>
            </w:tcBorders>
            <w:shd w:val="clear" w:color="auto" w:fill="auto"/>
            <w:vAlign w:val="bottom"/>
          </w:tcPr>
          <w:p w14:paraId="7FD13256" w14:textId="77777777" w:rsidR="00597B73" w:rsidRPr="00166751" w:rsidRDefault="00597B73" w:rsidP="00597B73">
            <w:pPr>
              <w:spacing w:after="0" w:line="240" w:lineRule="exact"/>
              <w:jc w:val="right"/>
              <w:outlineLvl w:val="0"/>
              <w:rPr>
                <w:rFonts w:eastAsia="Times New Roman" w:cs="Arial"/>
                <w:b/>
                <w:bCs/>
                <w:sz w:val="18"/>
                <w:szCs w:val="18"/>
              </w:rPr>
            </w:pPr>
            <w:r w:rsidRPr="00166751">
              <w:rPr>
                <w:rFonts w:asciiTheme="minorHAnsi" w:hAnsiTheme="minorHAnsi" w:cs="Arial"/>
                <w:spacing w:val="-2"/>
                <w:sz w:val="18"/>
                <w:szCs w:val="18"/>
                <w:lang w:val="hr-HR"/>
              </w:rPr>
              <w:t>-</w:t>
            </w:r>
          </w:p>
        </w:tc>
        <w:tc>
          <w:tcPr>
            <w:tcW w:w="579" w:type="pct"/>
            <w:tcBorders>
              <w:top w:val="single" w:sz="8" w:space="0" w:color="auto"/>
              <w:left w:val="nil"/>
              <w:bottom w:val="nil"/>
              <w:right w:val="nil"/>
            </w:tcBorders>
            <w:shd w:val="clear" w:color="auto" w:fill="auto"/>
            <w:vAlign w:val="bottom"/>
          </w:tcPr>
          <w:p w14:paraId="178509B3" w14:textId="77777777" w:rsidR="00597B73" w:rsidRPr="00166751" w:rsidRDefault="00597B73" w:rsidP="00597B73">
            <w:pPr>
              <w:spacing w:after="0" w:line="240" w:lineRule="exact"/>
              <w:jc w:val="right"/>
              <w:outlineLvl w:val="0"/>
              <w:rPr>
                <w:rFonts w:eastAsia="Times New Roman" w:cs="Arial"/>
                <w:b/>
                <w:bCs/>
                <w:sz w:val="18"/>
                <w:szCs w:val="18"/>
              </w:rPr>
            </w:pPr>
            <w:r w:rsidRPr="00166751">
              <w:rPr>
                <w:rFonts w:asciiTheme="minorHAnsi" w:hAnsiTheme="minorHAnsi" w:cs="Arial"/>
                <w:spacing w:val="-2"/>
                <w:sz w:val="18"/>
                <w:szCs w:val="18"/>
                <w:lang w:val="hr-HR"/>
              </w:rPr>
              <w:t>-</w:t>
            </w:r>
          </w:p>
        </w:tc>
        <w:tc>
          <w:tcPr>
            <w:tcW w:w="584" w:type="pct"/>
            <w:tcBorders>
              <w:top w:val="single" w:sz="8" w:space="0" w:color="auto"/>
              <w:left w:val="nil"/>
              <w:bottom w:val="nil"/>
              <w:right w:val="nil"/>
            </w:tcBorders>
            <w:shd w:val="clear" w:color="auto" w:fill="auto"/>
            <w:vAlign w:val="bottom"/>
          </w:tcPr>
          <w:p w14:paraId="65D1E6A0" w14:textId="77777777" w:rsidR="00597B73" w:rsidRPr="00166751" w:rsidRDefault="00597B73" w:rsidP="00597B73">
            <w:pPr>
              <w:spacing w:after="0" w:line="240" w:lineRule="exact"/>
              <w:jc w:val="right"/>
              <w:outlineLvl w:val="0"/>
              <w:rPr>
                <w:rFonts w:eastAsia="Times New Roman" w:cs="Arial"/>
                <w:b/>
                <w:bCs/>
                <w:sz w:val="18"/>
                <w:szCs w:val="18"/>
              </w:rPr>
            </w:pPr>
            <w:r w:rsidRPr="00166751">
              <w:rPr>
                <w:rFonts w:asciiTheme="minorHAnsi" w:hAnsiTheme="minorHAnsi" w:cs="Arial"/>
                <w:spacing w:val="-2"/>
                <w:sz w:val="18"/>
                <w:szCs w:val="18"/>
                <w:lang w:val="hr-HR"/>
              </w:rPr>
              <w:t>-</w:t>
            </w:r>
          </w:p>
        </w:tc>
        <w:tc>
          <w:tcPr>
            <w:tcW w:w="579" w:type="pct"/>
            <w:tcBorders>
              <w:top w:val="single" w:sz="8" w:space="0" w:color="auto"/>
              <w:left w:val="nil"/>
              <w:bottom w:val="nil"/>
              <w:right w:val="nil"/>
            </w:tcBorders>
            <w:shd w:val="clear" w:color="auto" w:fill="auto"/>
            <w:vAlign w:val="bottom"/>
          </w:tcPr>
          <w:p w14:paraId="408976B8" w14:textId="77777777" w:rsidR="00597B73" w:rsidRPr="00166751" w:rsidRDefault="00597B73" w:rsidP="00597B73">
            <w:pPr>
              <w:spacing w:after="0" w:line="240" w:lineRule="exact"/>
              <w:jc w:val="right"/>
              <w:outlineLvl w:val="0"/>
              <w:rPr>
                <w:rFonts w:eastAsia="Times New Roman" w:cs="Arial"/>
                <w:b/>
                <w:bCs/>
                <w:sz w:val="18"/>
                <w:szCs w:val="18"/>
              </w:rPr>
            </w:pPr>
            <w:r w:rsidRPr="00166751">
              <w:rPr>
                <w:rFonts w:asciiTheme="minorHAnsi" w:hAnsiTheme="minorHAnsi" w:cs="Arial"/>
                <w:spacing w:val="-2"/>
                <w:sz w:val="18"/>
                <w:szCs w:val="18"/>
                <w:lang w:val="hr-HR"/>
              </w:rPr>
              <w:t>-</w:t>
            </w:r>
          </w:p>
        </w:tc>
        <w:tc>
          <w:tcPr>
            <w:tcW w:w="653" w:type="pct"/>
            <w:tcBorders>
              <w:top w:val="single" w:sz="8" w:space="0" w:color="auto"/>
              <w:left w:val="nil"/>
              <w:bottom w:val="single" w:sz="12" w:space="0" w:color="auto"/>
              <w:right w:val="nil"/>
            </w:tcBorders>
            <w:shd w:val="clear" w:color="auto" w:fill="auto"/>
            <w:vAlign w:val="bottom"/>
          </w:tcPr>
          <w:p w14:paraId="749C4E93" w14:textId="5F0EF749" w:rsidR="00597B73" w:rsidRPr="00297486" w:rsidRDefault="00597B73" w:rsidP="00597B73">
            <w:pPr>
              <w:spacing w:after="0" w:line="240" w:lineRule="exact"/>
              <w:jc w:val="right"/>
              <w:rPr>
                <w:rFonts w:eastAsia="Arial Unicode MS" w:cs="Arial"/>
                <w:b/>
                <w:bCs/>
                <w:sz w:val="17"/>
                <w:szCs w:val="17"/>
              </w:rPr>
            </w:pPr>
            <w:r w:rsidRPr="006B318F">
              <w:rPr>
                <w:rFonts w:eastAsia="Arial Unicode MS" w:cs="Arial"/>
                <w:b/>
                <w:bCs/>
                <w:sz w:val="17"/>
                <w:szCs w:val="17"/>
              </w:rPr>
              <w:t>10,248,538</w:t>
            </w:r>
          </w:p>
        </w:tc>
        <w:tc>
          <w:tcPr>
            <w:tcW w:w="577" w:type="pct"/>
            <w:tcBorders>
              <w:top w:val="single" w:sz="8" w:space="0" w:color="auto"/>
              <w:left w:val="nil"/>
              <w:bottom w:val="single" w:sz="12" w:space="0" w:color="auto"/>
              <w:right w:val="nil"/>
            </w:tcBorders>
            <w:shd w:val="clear" w:color="auto" w:fill="auto"/>
            <w:vAlign w:val="bottom"/>
          </w:tcPr>
          <w:p w14:paraId="2B7F6686" w14:textId="5C319491" w:rsidR="00597B73" w:rsidRPr="00297486" w:rsidRDefault="00597B73" w:rsidP="00597B73">
            <w:pPr>
              <w:spacing w:after="0" w:line="240" w:lineRule="exact"/>
              <w:jc w:val="right"/>
              <w:rPr>
                <w:rFonts w:eastAsia="Arial Unicode MS" w:cs="Arial"/>
                <w:b/>
                <w:bCs/>
                <w:sz w:val="17"/>
                <w:szCs w:val="17"/>
              </w:rPr>
            </w:pPr>
            <w:r w:rsidRPr="006B318F">
              <w:rPr>
                <w:rFonts w:eastAsia="Arial Unicode MS" w:cs="Arial"/>
                <w:b/>
                <w:bCs/>
                <w:sz w:val="17"/>
                <w:szCs w:val="17"/>
              </w:rPr>
              <w:t>10,248,538</w:t>
            </w:r>
          </w:p>
        </w:tc>
      </w:tr>
      <w:tr w:rsidR="00597B73" w:rsidRPr="00321238" w14:paraId="18353CBC" w14:textId="77777777" w:rsidTr="009702B0">
        <w:trPr>
          <w:trHeight w:val="254"/>
        </w:trPr>
        <w:tc>
          <w:tcPr>
            <w:tcW w:w="1520" w:type="pct"/>
            <w:vAlign w:val="bottom"/>
          </w:tcPr>
          <w:p w14:paraId="2556734E" w14:textId="77777777" w:rsidR="00597B73" w:rsidRPr="00166751" w:rsidRDefault="00597B73" w:rsidP="00597B73">
            <w:pPr>
              <w:spacing w:after="0" w:line="240" w:lineRule="exact"/>
              <w:rPr>
                <w:rFonts w:cs="Arial"/>
                <w:bCs/>
                <w:sz w:val="18"/>
                <w:szCs w:val="18"/>
              </w:rPr>
            </w:pPr>
            <w:r w:rsidRPr="00166751">
              <w:rPr>
                <w:rFonts w:cs="Arial"/>
                <w:bCs/>
                <w:sz w:val="18"/>
                <w:szCs w:val="18"/>
              </w:rPr>
              <w:t>Guarantee fund</w:t>
            </w:r>
          </w:p>
        </w:tc>
        <w:tc>
          <w:tcPr>
            <w:tcW w:w="508" w:type="pct"/>
            <w:tcBorders>
              <w:top w:val="single" w:sz="12" w:space="0" w:color="auto"/>
              <w:left w:val="nil"/>
              <w:bottom w:val="single" w:sz="12" w:space="0" w:color="auto"/>
              <w:right w:val="nil"/>
            </w:tcBorders>
            <w:shd w:val="clear" w:color="auto" w:fill="auto"/>
            <w:vAlign w:val="bottom"/>
          </w:tcPr>
          <w:p w14:paraId="0092438B" w14:textId="751D71D6" w:rsidR="00597B73" w:rsidRPr="005444AA" w:rsidRDefault="00597B73" w:rsidP="00597B73">
            <w:pPr>
              <w:spacing w:after="0" w:line="240" w:lineRule="exact"/>
              <w:jc w:val="right"/>
              <w:rPr>
                <w:rFonts w:eastAsia="Arial Unicode MS" w:cs="Arial"/>
                <w:sz w:val="17"/>
                <w:szCs w:val="17"/>
              </w:rPr>
            </w:pPr>
            <w:r>
              <w:rPr>
                <w:rFonts w:asciiTheme="minorHAnsi" w:hAnsiTheme="minorHAnsi" w:cs="Arial"/>
                <w:bCs/>
                <w:spacing w:val="-2"/>
                <w:sz w:val="18"/>
                <w:szCs w:val="18"/>
                <w:lang w:val="hr-HR"/>
              </w:rPr>
              <w:t>-</w:t>
            </w:r>
          </w:p>
        </w:tc>
        <w:tc>
          <w:tcPr>
            <w:tcW w:w="579" w:type="pct"/>
            <w:tcBorders>
              <w:top w:val="single" w:sz="12" w:space="0" w:color="auto"/>
              <w:left w:val="nil"/>
              <w:bottom w:val="single" w:sz="12" w:space="0" w:color="auto"/>
              <w:right w:val="nil"/>
            </w:tcBorders>
            <w:shd w:val="clear" w:color="auto" w:fill="auto"/>
            <w:vAlign w:val="bottom"/>
          </w:tcPr>
          <w:p w14:paraId="0635D490" w14:textId="05A525EB" w:rsidR="00597B73" w:rsidRPr="005444AA" w:rsidRDefault="00597B73" w:rsidP="00597B73">
            <w:pPr>
              <w:spacing w:after="0" w:line="240" w:lineRule="exact"/>
              <w:jc w:val="right"/>
              <w:rPr>
                <w:rFonts w:eastAsia="Arial Unicode MS" w:cs="Arial"/>
                <w:sz w:val="17"/>
                <w:szCs w:val="17"/>
              </w:rPr>
            </w:pPr>
            <w:r w:rsidRPr="00AF38C2">
              <w:rPr>
                <w:rFonts w:eastAsia="Arial Unicode MS" w:cs="Arial"/>
                <w:bCs/>
                <w:sz w:val="18"/>
                <w:szCs w:val="18"/>
              </w:rPr>
              <w:t>12</w:t>
            </w:r>
            <w:r>
              <w:rPr>
                <w:rFonts w:eastAsia="Arial Unicode MS" w:cs="Arial"/>
                <w:bCs/>
                <w:sz w:val="18"/>
                <w:szCs w:val="18"/>
              </w:rPr>
              <w:t>,</w:t>
            </w:r>
            <w:r w:rsidRPr="00AF38C2">
              <w:rPr>
                <w:rFonts w:eastAsia="Arial Unicode MS" w:cs="Arial"/>
                <w:bCs/>
                <w:sz w:val="18"/>
                <w:szCs w:val="18"/>
              </w:rPr>
              <w:t>276</w:t>
            </w:r>
          </w:p>
        </w:tc>
        <w:tc>
          <w:tcPr>
            <w:tcW w:w="584" w:type="pct"/>
            <w:tcBorders>
              <w:top w:val="single" w:sz="12" w:space="0" w:color="auto"/>
              <w:left w:val="nil"/>
              <w:bottom w:val="single" w:sz="12" w:space="0" w:color="auto"/>
              <w:right w:val="nil"/>
            </w:tcBorders>
            <w:shd w:val="clear" w:color="auto" w:fill="auto"/>
            <w:vAlign w:val="bottom"/>
          </w:tcPr>
          <w:p w14:paraId="5A283A1B" w14:textId="2BAC4F8F" w:rsidR="00597B73" w:rsidRPr="005444AA" w:rsidRDefault="00597B73" w:rsidP="00597B73">
            <w:pPr>
              <w:spacing w:after="0" w:line="240" w:lineRule="exact"/>
              <w:jc w:val="right"/>
              <w:rPr>
                <w:rFonts w:eastAsia="Arial Unicode MS" w:cs="Arial"/>
                <w:sz w:val="17"/>
                <w:szCs w:val="17"/>
              </w:rPr>
            </w:pPr>
            <w:r>
              <w:rPr>
                <w:rFonts w:eastAsia="Arial Unicode MS" w:cs="Arial"/>
                <w:bCs/>
                <w:sz w:val="18"/>
                <w:szCs w:val="18"/>
              </w:rPr>
              <w:t>-</w:t>
            </w:r>
          </w:p>
        </w:tc>
        <w:tc>
          <w:tcPr>
            <w:tcW w:w="579" w:type="pct"/>
            <w:tcBorders>
              <w:top w:val="single" w:sz="12" w:space="0" w:color="auto"/>
              <w:left w:val="nil"/>
              <w:bottom w:val="single" w:sz="12" w:space="0" w:color="auto"/>
              <w:right w:val="nil"/>
            </w:tcBorders>
            <w:shd w:val="clear" w:color="auto" w:fill="auto"/>
            <w:vAlign w:val="bottom"/>
          </w:tcPr>
          <w:p w14:paraId="544A0012" w14:textId="0C74FAB7" w:rsidR="00597B73" w:rsidRPr="005444AA" w:rsidRDefault="00597B73" w:rsidP="00597B73">
            <w:pPr>
              <w:spacing w:after="0" w:line="240" w:lineRule="exact"/>
              <w:jc w:val="right"/>
              <w:rPr>
                <w:rFonts w:eastAsia="Arial Unicode MS" w:cs="Arial"/>
                <w:sz w:val="17"/>
                <w:szCs w:val="17"/>
              </w:rPr>
            </w:pPr>
            <w:r w:rsidRPr="00AF38C2">
              <w:rPr>
                <w:rFonts w:eastAsia="Arial Unicode MS" w:cs="Arial"/>
                <w:bCs/>
                <w:sz w:val="18"/>
                <w:szCs w:val="18"/>
              </w:rPr>
              <w:t>12</w:t>
            </w:r>
            <w:r>
              <w:rPr>
                <w:rFonts w:eastAsia="Arial Unicode MS" w:cs="Arial"/>
                <w:bCs/>
                <w:sz w:val="18"/>
                <w:szCs w:val="18"/>
              </w:rPr>
              <w:t>,</w:t>
            </w:r>
            <w:r w:rsidRPr="00AF38C2">
              <w:rPr>
                <w:rFonts w:eastAsia="Arial Unicode MS" w:cs="Arial"/>
                <w:bCs/>
                <w:sz w:val="18"/>
                <w:szCs w:val="18"/>
              </w:rPr>
              <w:t>276</w:t>
            </w:r>
          </w:p>
        </w:tc>
        <w:tc>
          <w:tcPr>
            <w:tcW w:w="653" w:type="pct"/>
            <w:tcBorders>
              <w:top w:val="single" w:sz="12" w:space="0" w:color="auto"/>
              <w:left w:val="nil"/>
              <w:bottom w:val="single" w:sz="12" w:space="0" w:color="auto"/>
              <w:right w:val="nil"/>
            </w:tcBorders>
            <w:shd w:val="clear" w:color="auto" w:fill="auto"/>
            <w:vAlign w:val="bottom"/>
          </w:tcPr>
          <w:p w14:paraId="35F1A076" w14:textId="7EC3092E" w:rsidR="00597B73" w:rsidRPr="005444AA" w:rsidRDefault="00597B73" w:rsidP="00597B73">
            <w:pPr>
              <w:spacing w:after="0" w:line="240" w:lineRule="exact"/>
              <w:jc w:val="right"/>
              <w:rPr>
                <w:rFonts w:eastAsia="Arial Unicode MS" w:cs="Arial"/>
                <w:sz w:val="17"/>
                <w:szCs w:val="17"/>
              </w:rPr>
            </w:pPr>
            <w:r>
              <w:rPr>
                <w:rFonts w:eastAsia="Arial Unicode MS" w:cs="Arial"/>
                <w:bCs/>
                <w:sz w:val="18"/>
                <w:szCs w:val="18"/>
              </w:rPr>
              <w:t>-</w:t>
            </w:r>
          </w:p>
        </w:tc>
        <w:tc>
          <w:tcPr>
            <w:tcW w:w="577" w:type="pct"/>
            <w:tcBorders>
              <w:top w:val="single" w:sz="12" w:space="0" w:color="auto"/>
              <w:left w:val="nil"/>
              <w:bottom w:val="single" w:sz="12" w:space="0" w:color="auto"/>
              <w:right w:val="nil"/>
            </w:tcBorders>
            <w:shd w:val="clear" w:color="auto" w:fill="auto"/>
            <w:vAlign w:val="bottom"/>
          </w:tcPr>
          <w:p w14:paraId="11A59441" w14:textId="1B442D96" w:rsidR="00597B73" w:rsidRPr="005444AA" w:rsidRDefault="00597B73" w:rsidP="00597B73">
            <w:pPr>
              <w:spacing w:after="0" w:line="240" w:lineRule="exact"/>
              <w:jc w:val="right"/>
              <w:rPr>
                <w:rFonts w:eastAsia="Arial Unicode MS" w:cs="Arial"/>
                <w:sz w:val="17"/>
                <w:szCs w:val="17"/>
              </w:rPr>
            </w:pPr>
            <w:r w:rsidRPr="00AF38C2">
              <w:rPr>
                <w:rFonts w:eastAsia="Arial Unicode MS" w:cs="Arial"/>
                <w:bCs/>
                <w:sz w:val="17"/>
                <w:szCs w:val="17"/>
              </w:rPr>
              <w:t>12</w:t>
            </w:r>
            <w:r>
              <w:rPr>
                <w:rFonts w:eastAsia="Arial Unicode MS" w:cs="Arial"/>
                <w:bCs/>
                <w:sz w:val="17"/>
                <w:szCs w:val="17"/>
              </w:rPr>
              <w:t>,</w:t>
            </w:r>
            <w:r w:rsidRPr="00AF38C2">
              <w:rPr>
                <w:rFonts w:eastAsia="Arial Unicode MS" w:cs="Arial"/>
                <w:bCs/>
                <w:sz w:val="17"/>
                <w:szCs w:val="17"/>
              </w:rPr>
              <w:t>276</w:t>
            </w:r>
          </w:p>
        </w:tc>
      </w:tr>
      <w:tr w:rsidR="00597B73" w:rsidRPr="00321238" w14:paraId="7F4F1F44" w14:textId="77777777" w:rsidTr="006B318F">
        <w:trPr>
          <w:trHeight w:val="254"/>
        </w:trPr>
        <w:tc>
          <w:tcPr>
            <w:tcW w:w="1520" w:type="pct"/>
          </w:tcPr>
          <w:p w14:paraId="4D67B7D6" w14:textId="77777777" w:rsidR="00597B73" w:rsidRPr="00166751" w:rsidRDefault="00597B73" w:rsidP="00597B73">
            <w:pPr>
              <w:spacing w:after="0" w:line="240" w:lineRule="exact"/>
              <w:rPr>
                <w:rFonts w:cs="Arial"/>
                <w:b/>
                <w:bCs/>
                <w:sz w:val="18"/>
                <w:szCs w:val="18"/>
              </w:rPr>
            </w:pPr>
            <w:r w:rsidRPr="00166751">
              <w:rPr>
                <w:rFonts w:cs="Arial"/>
                <w:b/>
                <w:bCs/>
                <w:sz w:val="18"/>
                <w:szCs w:val="18"/>
              </w:rPr>
              <w:t xml:space="preserve">Total equity </w:t>
            </w:r>
          </w:p>
        </w:tc>
        <w:tc>
          <w:tcPr>
            <w:tcW w:w="508" w:type="pct"/>
            <w:tcBorders>
              <w:top w:val="single" w:sz="12" w:space="0" w:color="auto"/>
              <w:left w:val="nil"/>
              <w:bottom w:val="single" w:sz="12" w:space="0" w:color="auto"/>
              <w:right w:val="nil"/>
            </w:tcBorders>
            <w:shd w:val="clear" w:color="auto" w:fill="auto"/>
          </w:tcPr>
          <w:p w14:paraId="1F0467C8" w14:textId="2195A158" w:rsidR="00597B73" w:rsidRPr="00166751" w:rsidRDefault="00597B73" w:rsidP="00597B73">
            <w:pPr>
              <w:spacing w:after="0" w:line="240" w:lineRule="exact"/>
              <w:jc w:val="right"/>
              <w:rPr>
                <w:rFonts w:eastAsia="Arial Unicode MS" w:cs="Arial"/>
                <w:b/>
                <w:bCs/>
                <w:sz w:val="18"/>
                <w:szCs w:val="18"/>
              </w:rPr>
            </w:pPr>
            <w:r w:rsidRPr="00FE65B6">
              <w:rPr>
                <w:rFonts w:eastAsia="Arial Unicode MS" w:cs="Arial"/>
                <w:b/>
                <w:bCs/>
                <w:sz w:val="17"/>
                <w:szCs w:val="17"/>
              </w:rPr>
              <w:t>-</w:t>
            </w:r>
          </w:p>
        </w:tc>
        <w:tc>
          <w:tcPr>
            <w:tcW w:w="579" w:type="pct"/>
            <w:tcBorders>
              <w:top w:val="single" w:sz="12" w:space="0" w:color="auto"/>
              <w:left w:val="nil"/>
              <w:bottom w:val="single" w:sz="12" w:space="0" w:color="auto"/>
              <w:right w:val="nil"/>
            </w:tcBorders>
            <w:shd w:val="clear" w:color="auto" w:fill="auto"/>
          </w:tcPr>
          <w:p w14:paraId="070E31BC" w14:textId="045B7C3F" w:rsidR="00597B73" w:rsidRPr="005444AA" w:rsidRDefault="00597B73" w:rsidP="00597B73">
            <w:pPr>
              <w:spacing w:after="0" w:line="240" w:lineRule="exact"/>
              <w:jc w:val="right"/>
              <w:rPr>
                <w:rFonts w:eastAsia="Arial Unicode MS" w:cs="Arial"/>
                <w:b/>
                <w:bCs/>
                <w:sz w:val="17"/>
                <w:szCs w:val="17"/>
              </w:rPr>
            </w:pPr>
            <w:r w:rsidRPr="00FE65B6">
              <w:rPr>
                <w:rFonts w:eastAsia="Arial Unicode MS" w:cs="Arial"/>
                <w:b/>
                <w:bCs/>
                <w:sz w:val="17"/>
                <w:szCs w:val="17"/>
              </w:rPr>
              <w:t>12</w:t>
            </w:r>
            <w:r>
              <w:rPr>
                <w:rFonts w:eastAsia="Arial Unicode MS" w:cs="Arial"/>
                <w:b/>
                <w:bCs/>
                <w:sz w:val="17"/>
                <w:szCs w:val="17"/>
              </w:rPr>
              <w:t>,</w:t>
            </w:r>
            <w:r w:rsidRPr="00FE65B6">
              <w:rPr>
                <w:rFonts w:eastAsia="Arial Unicode MS" w:cs="Arial"/>
                <w:b/>
                <w:bCs/>
                <w:sz w:val="17"/>
                <w:szCs w:val="17"/>
              </w:rPr>
              <w:t>276</w:t>
            </w:r>
          </w:p>
        </w:tc>
        <w:tc>
          <w:tcPr>
            <w:tcW w:w="584" w:type="pct"/>
            <w:tcBorders>
              <w:top w:val="single" w:sz="12" w:space="0" w:color="auto"/>
              <w:left w:val="nil"/>
              <w:bottom w:val="single" w:sz="12" w:space="0" w:color="auto"/>
              <w:right w:val="nil"/>
            </w:tcBorders>
            <w:shd w:val="clear" w:color="auto" w:fill="auto"/>
          </w:tcPr>
          <w:p w14:paraId="4696B71D" w14:textId="44BA371B" w:rsidR="00597B73" w:rsidRPr="005444AA" w:rsidRDefault="00597B73" w:rsidP="00597B73">
            <w:pPr>
              <w:spacing w:after="0" w:line="240" w:lineRule="exact"/>
              <w:jc w:val="right"/>
              <w:rPr>
                <w:rFonts w:eastAsia="Arial Unicode MS" w:cs="Arial"/>
                <w:b/>
                <w:bCs/>
                <w:sz w:val="17"/>
                <w:szCs w:val="17"/>
              </w:rPr>
            </w:pPr>
            <w:r w:rsidRPr="00FE65B6">
              <w:rPr>
                <w:rFonts w:eastAsia="Arial Unicode MS" w:cs="Arial"/>
                <w:b/>
                <w:bCs/>
                <w:sz w:val="17"/>
                <w:szCs w:val="17"/>
              </w:rPr>
              <w:t>-</w:t>
            </w:r>
          </w:p>
        </w:tc>
        <w:tc>
          <w:tcPr>
            <w:tcW w:w="579" w:type="pct"/>
            <w:tcBorders>
              <w:top w:val="single" w:sz="12" w:space="0" w:color="auto"/>
              <w:left w:val="nil"/>
              <w:bottom w:val="single" w:sz="12" w:space="0" w:color="auto"/>
              <w:right w:val="nil"/>
            </w:tcBorders>
            <w:shd w:val="clear" w:color="auto" w:fill="auto"/>
          </w:tcPr>
          <w:p w14:paraId="1EFBA7C2" w14:textId="36E0E5D2" w:rsidR="00597B73" w:rsidRPr="005444AA" w:rsidRDefault="00597B73" w:rsidP="00597B73">
            <w:pPr>
              <w:spacing w:after="0" w:line="240" w:lineRule="exact"/>
              <w:jc w:val="right"/>
              <w:rPr>
                <w:rFonts w:eastAsia="Arial Unicode MS" w:cs="Arial"/>
                <w:b/>
                <w:bCs/>
                <w:sz w:val="17"/>
                <w:szCs w:val="17"/>
              </w:rPr>
            </w:pPr>
            <w:r w:rsidRPr="00FE65B6">
              <w:rPr>
                <w:rFonts w:eastAsia="Arial Unicode MS" w:cs="Arial"/>
                <w:b/>
                <w:bCs/>
                <w:sz w:val="17"/>
                <w:szCs w:val="17"/>
              </w:rPr>
              <w:t>12</w:t>
            </w:r>
            <w:r>
              <w:rPr>
                <w:rFonts w:eastAsia="Arial Unicode MS" w:cs="Arial"/>
                <w:b/>
                <w:bCs/>
                <w:sz w:val="17"/>
                <w:szCs w:val="17"/>
              </w:rPr>
              <w:t>,</w:t>
            </w:r>
            <w:r w:rsidRPr="00FE65B6">
              <w:rPr>
                <w:rFonts w:eastAsia="Arial Unicode MS" w:cs="Arial"/>
                <w:b/>
                <w:bCs/>
                <w:sz w:val="17"/>
                <w:szCs w:val="17"/>
              </w:rPr>
              <w:t>276</w:t>
            </w:r>
          </w:p>
        </w:tc>
        <w:tc>
          <w:tcPr>
            <w:tcW w:w="653" w:type="pct"/>
            <w:tcBorders>
              <w:top w:val="single" w:sz="12" w:space="0" w:color="auto"/>
              <w:left w:val="nil"/>
              <w:bottom w:val="single" w:sz="12" w:space="0" w:color="auto"/>
              <w:right w:val="nil"/>
            </w:tcBorders>
            <w:shd w:val="clear" w:color="auto" w:fill="auto"/>
          </w:tcPr>
          <w:p w14:paraId="375F773F" w14:textId="6CDD690D" w:rsidR="00597B73" w:rsidRPr="005444AA" w:rsidRDefault="00597B73" w:rsidP="00597B73">
            <w:pPr>
              <w:spacing w:after="0" w:line="240" w:lineRule="exact"/>
              <w:jc w:val="right"/>
              <w:rPr>
                <w:rFonts w:eastAsia="Arial Unicode MS" w:cs="Arial"/>
                <w:b/>
                <w:bCs/>
                <w:sz w:val="17"/>
                <w:szCs w:val="17"/>
              </w:rPr>
            </w:pPr>
            <w:r w:rsidRPr="00FE65B6">
              <w:rPr>
                <w:rFonts w:eastAsia="Arial Unicode MS" w:cs="Arial"/>
                <w:b/>
                <w:bCs/>
                <w:sz w:val="17"/>
                <w:szCs w:val="17"/>
              </w:rPr>
              <w:t>10</w:t>
            </w:r>
            <w:r>
              <w:rPr>
                <w:rFonts w:eastAsia="Arial Unicode MS" w:cs="Arial"/>
                <w:b/>
                <w:bCs/>
                <w:sz w:val="17"/>
                <w:szCs w:val="17"/>
              </w:rPr>
              <w:t>,</w:t>
            </w:r>
            <w:r w:rsidRPr="00FE65B6">
              <w:rPr>
                <w:rFonts w:eastAsia="Arial Unicode MS" w:cs="Arial"/>
                <w:b/>
                <w:bCs/>
                <w:sz w:val="17"/>
                <w:szCs w:val="17"/>
              </w:rPr>
              <w:t>248</w:t>
            </w:r>
            <w:r>
              <w:rPr>
                <w:rFonts w:eastAsia="Arial Unicode MS" w:cs="Arial"/>
                <w:b/>
                <w:bCs/>
                <w:sz w:val="17"/>
                <w:szCs w:val="17"/>
              </w:rPr>
              <w:t>,</w:t>
            </w:r>
            <w:r w:rsidRPr="00FE65B6">
              <w:rPr>
                <w:rFonts w:eastAsia="Arial Unicode MS" w:cs="Arial"/>
                <w:b/>
                <w:bCs/>
                <w:sz w:val="17"/>
                <w:szCs w:val="17"/>
              </w:rPr>
              <w:t>538</w:t>
            </w:r>
          </w:p>
        </w:tc>
        <w:tc>
          <w:tcPr>
            <w:tcW w:w="577" w:type="pct"/>
            <w:tcBorders>
              <w:top w:val="single" w:sz="12" w:space="0" w:color="auto"/>
              <w:left w:val="nil"/>
              <w:bottom w:val="single" w:sz="12" w:space="0" w:color="auto"/>
              <w:right w:val="nil"/>
            </w:tcBorders>
            <w:shd w:val="clear" w:color="auto" w:fill="auto"/>
          </w:tcPr>
          <w:p w14:paraId="646E8772" w14:textId="051407AB" w:rsidR="00597B73" w:rsidRPr="005444AA" w:rsidRDefault="00597B73" w:rsidP="00597B73">
            <w:pPr>
              <w:spacing w:after="0" w:line="240" w:lineRule="exact"/>
              <w:jc w:val="right"/>
              <w:rPr>
                <w:rFonts w:eastAsia="Arial Unicode MS" w:cs="Arial"/>
                <w:b/>
                <w:bCs/>
                <w:sz w:val="17"/>
                <w:szCs w:val="17"/>
              </w:rPr>
            </w:pPr>
            <w:r w:rsidRPr="00FE65B6">
              <w:rPr>
                <w:rFonts w:eastAsia="Arial Unicode MS" w:cs="Arial"/>
                <w:b/>
                <w:bCs/>
                <w:sz w:val="17"/>
                <w:szCs w:val="17"/>
              </w:rPr>
              <w:t>10</w:t>
            </w:r>
            <w:r>
              <w:rPr>
                <w:rFonts w:eastAsia="Arial Unicode MS" w:cs="Arial"/>
                <w:b/>
                <w:bCs/>
                <w:sz w:val="17"/>
                <w:szCs w:val="17"/>
              </w:rPr>
              <w:t>,</w:t>
            </w:r>
            <w:r w:rsidRPr="00FE65B6">
              <w:rPr>
                <w:rFonts w:eastAsia="Arial Unicode MS" w:cs="Arial"/>
                <w:b/>
                <w:bCs/>
                <w:sz w:val="17"/>
                <w:szCs w:val="17"/>
              </w:rPr>
              <w:t>260</w:t>
            </w:r>
            <w:r>
              <w:rPr>
                <w:rFonts w:eastAsia="Arial Unicode MS" w:cs="Arial"/>
                <w:b/>
                <w:bCs/>
                <w:sz w:val="17"/>
                <w:szCs w:val="17"/>
              </w:rPr>
              <w:t>,</w:t>
            </w:r>
            <w:r w:rsidRPr="00FE65B6">
              <w:rPr>
                <w:rFonts w:eastAsia="Arial Unicode MS" w:cs="Arial"/>
                <w:b/>
                <w:bCs/>
                <w:sz w:val="17"/>
                <w:szCs w:val="17"/>
              </w:rPr>
              <w:t>814</w:t>
            </w:r>
          </w:p>
        </w:tc>
      </w:tr>
      <w:tr w:rsidR="00597B73" w:rsidRPr="00321238" w14:paraId="04B96F6F" w14:textId="77777777" w:rsidTr="006B318F">
        <w:trPr>
          <w:trHeight w:val="254"/>
        </w:trPr>
        <w:tc>
          <w:tcPr>
            <w:tcW w:w="1520" w:type="pct"/>
          </w:tcPr>
          <w:p w14:paraId="196F6167" w14:textId="77777777" w:rsidR="00597B73" w:rsidRPr="00166751" w:rsidRDefault="00597B73" w:rsidP="00597B73">
            <w:pPr>
              <w:spacing w:after="0" w:line="240" w:lineRule="exact"/>
              <w:rPr>
                <w:rFonts w:cs="Arial"/>
                <w:b/>
                <w:bCs/>
                <w:sz w:val="18"/>
                <w:szCs w:val="18"/>
              </w:rPr>
            </w:pPr>
            <w:r w:rsidRPr="00166751">
              <w:rPr>
                <w:rFonts w:cs="Arial"/>
                <w:b/>
                <w:bCs/>
                <w:sz w:val="18"/>
                <w:szCs w:val="18"/>
              </w:rPr>
              <w:t>Total liabilities and total equity (2)</w:t>
            </w:r>
          </w:p>
        </w:tc>
        <w:tc>
          <w:tcPr>
            <w:tcW w:w="508" w:type="pct"/>
            <w:tcBorders>
              <w:top w:val="single" w:sz="4" w:space="0" w:color="auto"/>
              <w:left w:val="nil"/>
              <w:bottom w:val="single" w:sz="12" w:space="0" w:color="auto"/>
              <w:right w:val="nil"/>
            </w:tcBorders>
            <w:shd w:val="clear" w:color="auto" w:fill="auto"/>
          </w:tcPr>
          <w:p w14:paraId="60F85CE5" w14:textId="6C76ECFB" w:rsidR="00597B73" w:rsidRPr="00166751" w:rsidRDefault="00597B73" w:rsidP="00597B73">
            <w:pPr>
              <w:spacing w:after="0" w:line="240" w:lineRule="exact"/>
              <w:jc w:val="right"/>
              <w:rPr>
                <w:rFonts w:eastAsia="Arial Unicode MS" w:cs="Arial"/>
                <w:b/>
                <w:bCs/>
                <w:sz w:val="18"/>
                <w:szCs w:val="18"/>
              </w:rPr>
            </w:pPr>
            <w:r w:rsidRPr="00FE65B6">
              <w:rPr>
                <w:rFonts w:eastAsia="Arial Unicode MS" w:cs="Arial"/>
                <w:b/>
                <w:bCs/>
                <w:sz w:val="17"/>
                <w:szCs w:val="17"/>
              </w:rPr>
              <w:t>429</w:t>
            </w:r>
            <w:r>
              <w:rPr>
                <w:rFonts w:eastAsia="Arial Unicode MS" w:cs="Arial"/>
                <w:b/>
                <w:bCs/>
                <w:sz w:val="17"/>
                <w:szCs w:val="17"/>
              </w:rPr>
              <w:t>,</w:t>
            </w:r>
            <w:r w:rsidRPr="00FE65B6">
              <w:rPr>
                <w:rFonts w:eastAsia="Arial Unicode MS" w:cs="Arial"/>
                <w:b/>
                <w:bCs/>
                <w:sz w:val="17"/>
                <w:szCs w:val="17"/>
              </w:rPr>
              <w:t>051</w:t>
            </w:r>
          </w:p>
        </w:tc>
        <w:tc>
          <w:tcPr>
            <w:tcW w:w="579" w:type="pct"/>
            <w:tcBorders>
              <w:top w:val="single" w:sz="4" w:space="0" w:color="auto"/>
              <w:left w:val="nil"/>
              <w:bottom w:val="single" w:sz="12" w:space="0" w:color="auto"/>
              <w:right w:val="nil"/>
            </w:tcBorders>
            <w:shd w:val="clear" w:color="auto" w:fill="auto"/>
          </w:tcPr>
          <w:p w14:paraId="3310AB0A" w14:textId="296E4C6D" w:rsidR="00597B73" w:rsidRPr="00166751" w:rsidRDefault="00597B73" w:rsidP="00597B73">
            <w:pPr>
              <w:spacing w:after="0" w:line="240" w:lineRule="exact"/>
              <w:jc w:val="right"/>
              <w:rPr>
                <w:rFonts w:eastAsia="Arial Unicode MS" w:cs="Arial"/>
                <w:b/>
                <w:bCs/>
                <w:sz w:val="18"/>
                <w:szCs w:val="18"/>
              </w:rPr>
            </w:pPr>
            <w:r w:rsidRPr="00FE65B6">
              <w:rPr>
                <w:rFonts w:eastAsia="Arial Unicode MS" w:cs="Arial"/>
                <w:b/>
                <w:bCs/>
                <w:sz w:val="17"/>
                <w:szCs w:val="17"/>
              </w:rPr>
              <w:t>16</w:t>
            </w:r>
            <w:r>
              <w:rPr>
                <w:rFonts w:eastAsia="Arial Unicode MS" w:cs="Arial"/>
                <w:b/>
                <w:bCs/>
                <w:sz w:val="17"/>
                <w:szCs w:val="17"/>
              </w:rPr>
              <w:t>,</w:t>
            </w:r>
            <w:r w:rsidRPr="00FE65B6">
              <w:rPr>
                <w:rFonts w:eastAsia="Arial Unicode MS" w:cs="Arial"/>
                <w:b/>
                <w:bCs/>
                <w:sz w:val="17"/>
                <w:szCs w:val="17"/>
              </w:rPr>
              <w:t>789</w:t>
            </w:r>
            <w:r>
              <w:rPr>
                <w:rFonts w:eastAsia="Arial Unicode MS" w:cs="Arial"/>
                <w:b/>
                <w:bCs/>
                <w:sz w:val="17"/>
                <w:szCs w:val="17"/>
              </w:rPr>
              <w:t>,</w:t>
            </w:r>
            <w:r w:rsidRPr="00FE65B6">
              <w:rPr>
                <w:rFonts w:eastAsia="Arial Unicode MS" w:cs="Arial"/>
                <w:b/>
                <w:bCs/>
                <w:sz w:val="17"/>
                <w:szCs w:val="17"/>
              </w:rPr>
              <w:t>794</w:t>
            </w:r>
          </w:p>
        </w:tc>
        <w:tc>
          <w:tcPr>
            <w:tcW w:w="584" w:type="pct"/>
            <w:tcBorders>
              <w:top w:val="single" w:sz="4" w:space="0" w:color="auto"/>
              <w:left w:val="nil"/>
              <w:bottom w:val="single" w:sz="12" w:space="0" w:color="auto"/>
              <w:right w:val="nil"/>
            </w:tcBorders>
            <w:shd w:val="clear" w:color="auto" w:fill="auto"/>
          </w:tcPr>
          <w:p w14:paraId="217E5D0D" w14:textId="0776B32A" w:rsidR="00597B73" w:rsidRPr="00166751" w:rsidRDefault="00597B73" w:rsidP="00597B73">
            <w:pPr>
              <w:spacing w:after="0" w:line="240" w:lineRule="exact"/>
              <w:jc w:val="right"/>
              <w:rPr>
                <w:rFonts w:eastAsia="Arial Unicode MS" w:cs="Arial"/>
                <w:b/>
                <w:bCs/>
                <w:sz w:val="18"/>
                <w:szCs w:val="18"/>
              </w:rPr>
            </w:pPr>
            <w:r w:rsidRPr="00FE65B6">
              <w:rPr>
                <w:rFonts w:eastAsia="Arial Unicode MS" w:cs="Arial"/>
                <w:b/>
                <w:bCs/>
                <w:sz w:val="17"/>
                <w:szCs w:val="17"/>
              </w:rPr>
              <w:t>4</w:t>
            </w:r>
            <w:r>
              <w:rPr>
                <w:rFonts w:eastAsia="Arial Unicode MS" w:cs="Arial"/>
                <w:b/>
                <w:bCs/>
                <w:sz w:val="17"/>
                <w:szCs w:val="17"/>
              </w:rPr>
              <w:t>,</w:t>
            </w:r>
            <w:r w:rsidRPr="00FE65B6">
              <w:rPr>
                <w:rFonts w:eastAsia="Arial Unicode MS" w:cs="Arial"/>
                <w:b/>
                <w:bCs/>
                <w:sz w:val="17"/>
                <w:szCs w:val="17"/>
              </w:rPr>
              <w:t>025</w:t>
            </w:r>
          </w:p>
        </w:tc>
        <w:tc>
          <w:tcPr>
            <w:tcW w:w="579" w:type="pct"/>
            <w:tcBorders>
              <w:top w:val="single" w:sz="4" w:space="0" w:color="auto"/>
              <w:left w:val="nil"/>
              <w:bottom w:val="single" w:sz="12" w:space="0" w:color="auto"/>
              <w:right w:val="nil"/>
            </w:tcBorders>
            <w:shd w:val="clear" w:color="auto" w:fill="auto"/>
          </w:tcPr>
          <w:p w14:paraId="07C47AF7" w14:textId="6FC40342" w:rsidR="00597B73" w:rsidRPr="00166751" w:rsidRDefault="00597B73" w:rsidP="00597B73">
            <w:pPr>
              <w:spacing w:after="0" w:line="240" w:lineRule="exact"/>
              <w:jc w:val="right"/>
              <w:rPr>
                <w:rFonts w:eastAsia="Arial Unicode MS" w:cs="Arial"/>
                <w:b/>
                <w:bCs/>
                <w:sz w:val="18"/>
                <w:szCs w:val="18"/>
              </w:rPr>
            </w:pPr>
            <w:r w:rsidRPr="00FE65B6">
              <w:rPr>
                <w:rFonts w:eastAsia="Arial Unicode MS" w:cs="Arial"/>
                <w:b/>
                <w:bCs/>
                <w:sz w:val="17"/>
                <w:szCs w:val="17"/>
              </w:rPr>
              <w:t>17</w:t>
            </w:r>
            <w:r>
              <w:rPr>
                <w:rFonts w:eastAsia="Arial Unicode MS" w:cs="Arial"/>
                <w:b/>
                <w:bCs/>
                <w:sz w:val="17"/>
                <w:szCs w:val="17"/>
              </w:rPr>
              <w:t>,</w:t>
            </w:r>
            <w:r w:rsidRPr="00FE65B6">
              <w:rPr>
                <w:rFonts w:eastAsia="Arial Unicode MS" w:cs="Arial"/>
                <w:b/>
                <w:bCs/>
                <w:sz w:val="17"/>
                <w:szCs w:val="17"/>
              </w:rPr>
              <w:t>222</w:t>
            </w:r>
            <w:r>
              <w:rPr>
                <w:rFonts w:eastAsia="Arial Unicode MS" w:cs="Arial"/>
                <w:b/>
                <w:bCs/>
                <w:sz w:val="17"/>
                <w:szCs w:val="17"/>
              </w:rPr>
              <w:t>,</w:t>
            </w:r>
            <w:r w:rsidRPr="00FE65B6">
              <w:rPr>
                <w:rFonts w:eastAsia="Arial Unicode MS" w:cs="Arial"/>
                <w:b/>
                <w:bCs/>
                <w:sz w:val="17"/>
                <w:szCs w:val="17"/>
              </w:rPr>
              <w:t>870</w:t>
            </w:r>
          </w:p>
        </w:tc>
        <w:tc>
          <w:tcPr>
            <w:tcW w:w="653" w:type="pct"/>
            <w:tcBorders>
              <w:top w:val="single" w:sz="4" w:space="0" w:color="auto"/>
              <w:left w:val="nil"/>
              <w:bottom w:val="single" w:sz="12" w:space="0" w:color="auto"/>
              <w:right w:val="nil"/>
            </w:tcBorders>
            <w:shd w:val="clear" w:color="auto" w:fill="auto"/>
          </w:tcPr>
          <w:p w14:paraId="17AE14E6" w14:textId="4DBDF33C" w:rsidR="00597B73" w:rsidRPr="00166751" w:rsidRDefault="00597B73" w:rsidP="00597B73">
            <w:pPr>
              <w:spacing w:after="0" w:line="240" w:lineRule="exact"/>
              <w:jc w:val="right"/>
              <w:rPr>
                <w:rFonts w:eastAsia="Arial Unicode MS" w:cs="Arial"/>
                <w:b/>
                <w:bCs/>
                <w:sz w:val="18"/>
                <w:szCs w:val="18"/>
              </w:rPr>
            </w:pPr>
            <w:r w:rsidRPr="00FE65B6">
              <w:rPr>
                <w:rFonts w:eastAsia="Arial Unicode MS" w:cs="Arial"/>
                <w:b/>
                <w:bCs/>
                <w:sz w:val="17"/>
                <w:szCs w:val="17"/>
              </w:rPr>
              <w:t>11</w:t>
            </w:r>
            <w:r>
              <w:rPr>
                <w:rFonts w:eastAsia="Arial Unicode MS" w:cs="Arial"/>
                <w:b/>
                <w:bCs/>
                <w:sz w:val="17"/>
                <w:szCs w:val="17"/>
              </w:rPr>
              <w:t>,</w:t>
            </w:r>
            <w:r w:rsidRPr="00FE65B6">
              <w:rPr>
                <w:rFonts w:eastAsia="Arial Unicode MS" w:cs="Arial"/>
                <w:b/>
                <w:bCs/>
                <w:sz w:val="17"/>
                <w:szCs w:val="17"/>
              </w:rPr>
              <w:t>077</w:t>
            </w:r>
            <w:r>
              <w:rPr>
                <w:rFonts w:eastAsia="Arial Unicode MS" w:cs="Arial"/>
                <w:b/>
                <w:bCs/>
                <w:sz w:val="17"/>
                <w:szCs w:val="17"/>
              </w:rPr>
              <w:t>,</w:t>
            </w:r>
            <w:r w:rsidRPr="00FE65B6">
              <w:rPr>
                <w:rFonts w:eastAsia="Arial Unicode MS" w:cs="Arial"/>
                <w:b/>
                <w:bCs/>
                <w:sz w:val="17"/>
                <w:szCs w:val="17"/>
              </w:rPr>
              <w:t>854</w:t>
            </w:r>
          </w:p>
        </w:tc>
        <w:tc>
          <w:tcPr>
            <w:tcW w:w="577" w:type="pct"/>
            <w:tcBorders>
              <w:top w:val="single" w:sz="4" w:space="0" w:color="auto"/>
              <w:left w:val="nil"/>
              <w:bottom w:val="single" w:sz="12" w:space="0" w:color="auto"/>
            </w:tcBorders>
            <w:shd w:val="clear" w:color="auto" w:fill="auto"/>
          </w:tcPr>
          <w:p w14:paraId="0C6473C1" w14:textId="0B29332B" w:rsidR="00597B73" w:rsidRPr="00166751" w:rsidRDefault="00597B73" w:rsidP="00597B73">
            <w:pPr>
              <w:spacing w:after="0" w:line="240" w:lineRule="exact"/>
              <w:jc w:val="right"/>
              <w:rPr>
                <w:rFonts w:eastAsia="Arial Unicode MS" w:cs="Arial"/>
                <w:b/>
                <w:bCs/>
                <w:sz w:val="18"/>
                <w:szCs w:val="18"/>
              </w:rPr>
            </w:pPr>
            <w:r w:rsidRPr="00FE65B6">
              <w:rPr>
                <w:rFonts w:eastAsia="Arial Unicode MS" w:cs="Arial"/>
                <w:b/>
                <w:bCs/>
                <w:sz w:val="17"/>
                <w:szCs w:val="17"/>
              </w:rPr>
              <w:t>28</w:t>
            </w:r>
            <w:r>
              <w:rPr>
                <w:rFonts w:eastAsia="Arial Unicode MS" w:cs="Arial"/>
                <w:b/>
                <w:bCs/>
                <w:sz w:val="17"/>
                <w:szCs w:val="17"/>
              </w:rPr>
              <w:t>,</w:t>
            </w:r>
            <w:r w:rsidRPr="00FE65B6">
              <w:rPr>
                <w:rFonts w:eastAsia="Arial Unicode MS" w:cs="Arial"/>
                <w:b/>
                <w:bCs/>
                <w:sz w:val="17"/>
                <w:szCs w:val="17"/>
              </w:rPr>
              <w:t>300</w:t>
            </w:r>
            <w:r>
              <w:rPr>
                <w:rFonts w:eastAsia="Arial Unicode MS" w:cs="Arial"/>
                <w:b/>
                <w:bCs/>
                <w:sz w:val="17"/>
                <w:szCs w:val="17"/>
              </w:rPr>
              <w:t>,</w:t>
            </w:r>
            <w:r w:rsidRPr="00FE65B6">
              <w:rPr>
                <w:rFonts w:eastAsia="Arial Unicode MS" w:cs="Arial"/>
                <w:b/>
                <w:bCs/>
                <w:sz w:val="17"/>
                <w:szCs w:val="17"/>
              </w:rPr>
              <w:t>724</w:t>
            </w:r>
          </w:p>
        </w:tc>
      </w:tr>
      <w:tr w:rsidR="00597B73" w:rsidRPr="00321238" w14:paraId="06D0EDBD" w14:textId="77777777" w:rsidTr="005444AA">
        <w:trPr>
          <w:trHeight w:val="254"/>
        </w:trPr>
        <w:tc>
          <w:tcPr>
            <w:tcW w:w="1520" w:type="pct"/>
          </w:tcPr>
          <w:p w14:paraId="58F4B144" w14:textId="77777777" w:rsidR="00597B73" w:rsidRPr="00166751" w:rsidRDefault="00597B73" w:rsidP="00597B73">
            <w:pPr>
              <w:spacing w:after="0" w:line="240" w:lineRule="exact"/>
              <w:rPr>
                <w:rFonts w:cs="Arial"/>
                <w:b/>
                <w:bCs/>
                <w:sz w:val="18"/>
                <w:szCs w:val="18"/>
              </w:rPr>
            </w:pPr>
            <w:r w:rsidRPr="00166751">
              <w:rPr>
                <w:rFonts w:cs="Arial"/>
                <w:b/>
                <w:bCs/>
                <w:sz w:val="18"/>
                <w:szCs w:val="18"/>
              </w:rPr>
              <w:t>Net assets/liabilities (1) – (2)</w:t>
            </w:r>
          </w:p>
        </w:tc>
        <w:tc>
          <w:tcPr>
            <w:tcW w:w="508" w:type="pct"/>
            <w:tcBorders>
              <w:top w:val="single" w:sz="12" w:space="0" w:color="auto"/>
              <w:left w:val="nil"/>
              <w:bottom w:val="single" w:sz="12" w:space="0" w:color="auto"/>
              <w:right w:val="nil"/>
            </w:tcBorders>
            <w:shd w:val="clear" w:color="auto" w:fill="auto"/>
            <w:vAlign w:val="bottom"/>
          </w:tcPr>
          <w:p w14:paraId="3E416388" w14:textId="469CC174" w:rsidR="00597B73" w:rsidRPr="00166751" w:rsidRDefault="00597B73" w:rsidP="00597B73">
            <w:pPr>
              <w:spacing w:after="0" w:line="240" w:lineRule="exact"/>
              <w:jc w:val="right"/>
              <w:rPr>
                <w:rFonts w:eastAsia="Arial Unicode MS" w:cs="Arial"/>
                <w:b/>
                <w:bCs/>
                <w:sz w:val="18"/>
                <w:szCs w:val="18"/>
              </w:rPr>
            </w:pPr>
            <w:r w:rsidRPr="00FE65B6">
              <w:rPr>
                <w:rFonts w:eastAsia="Arial Unicode MS" w:cs="Arial"/>
                <w:b/>
                <w:bCs/>
                <w:sz w:val="17"/>
                <w:szCs w:val="17"/>
              </w:rPr>
              <w:t>24</w:t>
            </w:r>
            <w:r>
              <w:rPr>
                <w:rFonts w:eastAsia="Arial Unicode MS" w:cs="Arial"/>
                <w:b/>
                <w:bCs/>
                <w:sz w:val="17"/>
                <w:szCs w:val="17"/>
              </w:rPr>
              <w:t>,</w:t>
            </w:r>
            <w:r w:rsidRPr="00FE65B6">
              <w:rPr>
                <w:rFonts w:eastAsia="Arial Unicode MS" w:cs="Arial"/>
                <w:b/>
                <w:bCs/>
                <w:sz w:val="17"/>
                <w:szCs w:val="17"/>
              </w:rPr>
              <w:t>564</w:t>
            </w:r>
          </w:p>
        </w:tc>
        <w:tc>
          <w:tcPr>
            <w:tcW w:w="579" w:type="pct"/>
            <w:tcBorders>
              <w:top w:val="single" w:sz="12" w:space="0" w:color="auto"/>
              <w:left w:val="nil"/>
              <w:bottom w:val="single" w:sz="12" w:space="0" w:color="auto"/>
              <w:right w:val="nil"/>
            </w:tcBorders>
            <w:shd w:val="clear" w:color="auto" w:fill="auto"/>
            <w:vAlign w:val="bottom"/>
          </w:tcPr>
          <w:p w14:paraId="6D942C79" w14:textId="06B647E6" w:rsidR="00597B73" w:rsidRPr="00166751" w:rsidRDefault="00597B73" w:rsidP="00597B73">
            <w:pPr>
              <w:spacing w:after="0" w:line="240" w:lineRule="exact"/>
              <w:jc w:val="right"/>
              <w:rPr>
                <w:rFonts w:eastAsia="Arial Unicode MS" w:cs="Arial"/>
                <w:b/>
                <w:bCs/>
                <w:sz w:val="18"/>
                <w:szCs w:val="18"/>
              </w:rPr>
            </w:pPr>
            <w:r w:rsidRPr="00FE65B6">
              <w:rPr>
                <w:rFonts w:eastAsia="Arial Unicode MS" w:cs="Arial"/>
                <w:b/>
                <w:bCs/>
                <w:sz w:val="17"/>
                <w:szCs w:val="17"/>
              </w:rPr>
              <w:t>(569</w:t>
            </w:r>
            <w:r>
              <w:rPr>
                <w:rFonts w:eastAsia="Arial Unicode MS" w:cs="Arial"/>
                <w:b/>
                <w:bCs/>
                <w:sz w:val="17"/>
                <w:szCs w:val="17"/>
              </w:rPr>
              <w:t>,</w:t>
            </w:r>
            <w:r w:rsidRPr="00FE65B6">
              <w:rPr>
                <w:rFonts w:eastAsia="Arial Unicode MS" w:cs="Arial"/>
                <w:b/>
                <w:bCs/>
                <w:sz w:val="17"/>
                <w:szCs w:val="17"/>
              </w:rPr>
              <w:t>693)</w:t>
            </w:r>
          </w:p>
        </w:tc>
        <w:tc>
          <w:tcPr>
            <w:tcW w:w="584" w:type="pct"/>
            <w:tcBorders>
              <w:top w:val="single" w:sz="12" w:space="0" w:color="auto"/>
              <w:left w:val="nil"/>
              <w:bottom w:val="single" w:sz="12" w:space="0" w:color="auto"/>
              <w:right w:val="nil"/>
            </w:tcBorders>
            <w:shd w:val="clear" w:color="auto" w:fill="auto"/>
            <w:vAlign w:val="bottom"/>
          </w:tcPr>
          <w:p w14:paraId="687B1684" w14:textId="19F10458" w:rsidR="00597B73" w:rsidRPr="00166751" w:rsidRDefault="00597B73" w:rsidP="00597B73">
            <w:pPr>
              <w:spacing w:after="0" w:line="240" w:lineRule="exact"/>
              <w:jc w:val="right"/>
              <w:rPr>
                <w:rFonts w:eastAsia="Arial Unicode MS" w:cs="Arial"/>
                <w:b/>
                <w:bCs/>
                <w:sz w:val="18"/>
                <w:szCs w:val="18"/>
              </w:rPr>
            </w:pPr>
            <w:r w:rsidRPr="00FE65B6">
              <w:rPr>
                <w:rFonts w:eastAsia="Arial Unicode MS" w:cs="Arial"/>
                <w:b/>
                <w:bCs/>
                <w:sz w:val="17"/>
                <w:szCs w:val="17"/>
              </w:rPr>
              <w:t>(1</w:t>
            </w:r>
            <w:r>
              <w:rPr>
                <w:rFonts w:eastAsia="Arial Unicode MS" w:cs="Arial"/>
                <w:b/>
                <w:bCs/>
                <w:sz w:val="17"/>
                <w:szCs w:val="17"/>
              </w:rPr>
              <w:t>,</w:t>
            </w:r>
            <w:r w:rsidRPr="00FE65B6">
              <w:rPr>
                <w:rFonts w:eastAsia="Arial Unicode MS" w:cs="Arial"/>
                <w:b/>
                <w:bCs/>
                <w:sz w:val="17"/>
                <w:szCs w:val="17"/>
              </w:rPr>
              <w:t>399)**</w:t>
            </w:r>
          </w:p>
        </w:tc>
        <w:tc>
          <w:tcPr>
            <w:tcW w:w="579" w:type="pct"/>
            <w:tcBorders>
              <w:top w:val="single" w:sz="12" w:space="0" w:color="auto"/>
              <w:left w:val="nil"/>
              <w:bottom w:val="single" w:sz="12" w:space="0" w:color="auto"/>
              <w:right w:val="nil"/>
            </w:tcBorders>
            <w:shd w:val="clear" w:color="auto" w:fill="auto"/>
            <w:vAlign w:val="bottom"/>
          </w:tcPr>
          <w:p w14:paraId="551BA9D5" w14:textId="4E4069E0" w:rsidR="00597B73" w:rsidRPr="00166751" w:rsidRDefault="00597B73" w:rsidP="00597B73">
            <w:pPr>
              <w:spacing w:after="0" w:line="240" w:lineRule="exact"/>
              <w:jc w:val="right"/>
              <w:rPr>
                <w:rFonts w:eastAsia="Arial Unicode MS" w:cs="Arial"/>
                <w:b/>
                <w:bCs/>
                <w:sz w:val="18"/>
                <w:szCs w:val="18"/>
              </w:rPr>
            </w:pPr>
            <w:r w:rsidRPr="00FE65B6">
              <w:rPr>
                <w:rFonts w:eastAsia="Arial Unicode MS" w:cs="Arial"/>
                <w:b/>
                <w:bCs/>
                <w:sz w:val="17"/>
                <w:szCs w:val="17"/>
              </w:rPr>
              <w:t>(546</w:t>
            </w:r>
            <w:r>
              <w:rPr>
                <w:rFonts w:eastAsia="Arial Unicode MS" w:cs="Arial"/>
                <w:b/>
                <w:bCs/>
                <w:sz w:val="17"/>
                <w:szCs w:val="17"/>
              </w:rPr>
              <w:t>,</w:t>
            </w:r>
            <w:r w:rsidRPr="00FE65B6">
              <w:rPr>
                <w:rFonts w:eastAsia="Arial Unicode MS" w:cs="Arial"/>
                <w:b/>
                <w:bCs/>
                <w:sz w:val="17"/>
                <w:szCs w:val="17"/>
              </w:rPr>
              <w:t>528)</w:t>
            </w:r>
          </w:p>
        </w:tc>
        <w:tc>
          <w:tcPr>
            <w:tcW w:w="653" w:type="pct"/>
            <w:tcBorders>
              <w:top w:val="single" w:sz="12" w:space="0" w:color="auto"/>
              <w:left w:val="nil"/>
              <w:bottom w:val="single" w:sz="12" w:space="0" w:color="auto"/>
              <w:right w:val="nil"/>
            </w:tcBorders>
            <w:shd w:val="clear" w:color="auto" w:fill="auto"/>
            <w:vAlign w:val="bottom"/>
          </w:tcPr>
          <w:p w14:paraId="214F2F17" w14:textId="182AA246" w:rsidR="00597B73" w:rsidRPr="00166751" w:rsidRDefault="00597B73" w:rsidP="00597B73">
            <w:pPr>
              <w:spacing w:after="0" w:line="240" w:lineRule="exact"/>
              <w:jc w:val="right"/>
              <w:rPr>
                <w:rFonts w:eastAsia="Arial Unicode MS" w:cs="Arial"/>
                <w:b/>
                <w:bCs/>
                <w:sz w:val="18"/>
                <w:szCs w:val="18"/>
              </w:rPr>
            </w:pPr>
            <w:r w:rsidRPr="00FE65B6">
              <w:rPr>
                <w:rFonts w:eastAsia="Arial Unicode MS" w:cs="Arial"/>
                <w:b/>
                <w:bCs/>
                <w:sz w:val="17"/>
                <w:szCs w:val="17"/>
              </w:rPr>
              <w:t>546</w:t>
            </w:r>
            <w:r>
              <w:rPr>
                <w:rFonts w:eastAsia="Arial Unicode MS" w:cs="Arial"/>
                <w:b/>
                <w:bCs/>
                <w:sz w:val="17"/>
                <w:szCs w:val="17"/>
              </w:rPr>
              <w:t>,</w:t>
            </w:r>
            <w:r w:rsidRPr="00FE65B6">
              <w:rPr>
                <w:rFonts w:eastAsia="Arial Unicode MS" w:cs="Arial"/>
                <w:b/>
                <w:bCs/>
                <w:sz w:val="17"/>
                <w:szCs w:val="17"/>
              </w:rPr>
              <w:t>528</w:t>
            </w:r>
          </w:p>
        </w:tc>
        <w:tc>
          <w:tcPr>
            <w:tcW w:w="577" w:type="pct"/>
            <w:tcBorders>
              <w:top w:val="single" w:sz="12" w:space="0" w:color="auto"/>
              <w:left w:val="nil"/>
              <w:bottom w:val="single" w:sz="12" w:space="0" w:color="auto"/>
            </w:tcBorders>
            <w:shd w:val="clear" w:color="auto" w:fill="auto"/>
            <w:vAlign w:val="bottom"/>
          </w:tcPr>
          <w:p w14:paraId="75CE4F9B" w14:textId="36A0207C" w:rsidR="00597B73" w:rsidRPr="00166751" w:rsidRDefault="00597B73" w:rsidP="00597B73">
            <w:pPr>
              <w:spacing w:after="0" w:line="240" w:lineRule="exact"/>
              <w:jc w:val="right"/>
              <w:rPr>
                <w:rFonts w:eastAsia="Arial Unicode MS" w:cs="Arial"/>
                <w:b/>
                <w:bCs/>
                <w:sz w:val="18"/>
                <w:szCs w:val="18"/>
              </w:rPr>
            </w:pPr>
            <w:r w:rsidRPr="00FE65B6">
              <w:rPr>
                <w:rFonts w:eastAsia="Arial Unicode MS" w:cs="Arial"/>
                <w:b/>
                <w:bCs/>
                <w:sz w:val="17"/>
                <w:szCs w:val="17"/>
              </w:rPr>
              <w:t>-</w:t>
            </w:r>
          </w:p>
        </w:tc>
      </w:tr>
    </w:tbl>
    <w:p w14:paraId="183D2C07" w14:textId="77777777" w:rsidR="009702B0" w:rsidRPr="009702B0" w:rsidRDefault="009702B0" w:rsidP="009702B0">
      <w:pPr>
        <w:tabs>
          <w:tab w:val="right" w:pos="1202"/>
        </w:tabs>
        <w:spacing w:after="0" w:line="240" w:lineRule="auto"/>
        <w:outlineLvl w:val="0"/>
        <w:rPr>
          <w:rFonts w:eastAsia="Times New Roman"/>
          <w:i/>
          <w:sz w:val="18"/>
          <w:szCs w:val="18"/>
        </w:rPr>
      </w:pPr>
    </w:p>
    <w:p w14:paraId="7DCEBD24" w14:textId="1BD9858B" w:rsidR="009702B0" w:rsidRPr="009702B0" w:rsidRDefault="009702B0" w:rsidP="009702B0">
      <w:pPr>
        <w:tabs>
          <w:tab w:val="right" w:pos="1202"/>
        </w:tabs>
        <w:spacing w:after="0" w:line="240" w:lineRule="auto"/>
        <w:jc w:val="both"/>
        <w:outlineLvl w:val="0"/>
        <w:rPr>
          <w:rFonts w:eastAsia="Times New Roman"/>
          <w:i/>
          <w:sz w:val="18"/>
          <w:szCs w:val="18"/>
        </w:rPr>
      </w:pPr>
      <w:r w:rsidRPr="009702B0">
        <w:rPr>
          <w:rFonts w:eastAsia="Times New Roman"/>
          <w:i/>
          <w:sz w:val="18"/>
          <w:szCs w:val="18"/>
        </w:rPr>
        <w:t xml:space="preserve">*Amounts linked to </w:t>
      </w:r>
      <w:proofErr w:type="gramStart"/>
      <w:r w:rsidRPr="009702B0">
        <w:rPr>
          <w:rFonts w:eastAsia="Times New Roman"/>
          <w:i/>
          <w:sz w:val="18"/>
          <w:szCs w:val="18"/>
        </w:rPr>
        <w:t>a  one</w:t>
      </w:r>
      <w:proofErr w:type="gramEnd"/>
      <w:r w:rsidRPr="009702B0">
        <w:rPr>
          <w:rFonts w:eastAsia="Times New Roman"/>
          <w:i/>
          <w:sz w:val="18"/>
          <w:szCs w:val="18"/>
        </w:rPr>
        <w:t xml:space="preserve">-way currency clause represent HRK </w:t>
      </w:r>
      <w:r w:rsidR="00597B73" w:rsidRPr="00597B73">
        <w:rPr>
          <w:rFonts w:eastAsia="Times New Roman"/>
          <w:i/>
          <w:sz w:val="18"/>
          <w:szCs w:val="18"/>
        </w:rPr>
        <w:t xml:space="preserve">176,945 </w:t>
      </w:r>
      <w:r w:rsidRPr="009702B0">
        <w:rPr>
          <w:rFonts w:eastAsia="Times New Roman"/>
          <w:i/>
          <w:sz w:val="18"/>
          <w:szCs w:val="18"/>
        </w:rPr>
        <w:t>thousand.</w:t>
      </w:r>
      <w:r w:rsidRPr="009702B0" w:rsidDel="00597E6E">
        <w:rPr>
          <w:rFonts w:eastAsia="Times New Roman"/>
          <w:i/>
          <w:sz w:val="18"/>
          <w:szCs w:val="18"/>
        </w:rPr>
        <w:t xml:space="preserve"> </w:t>
      </w:r>
    </w:p>
    <w:p w14:paraId="7F3AFB8B" w14:textId="77777777" w:rsidR="009702B0" w:rsidRPr="009702B0" w:rsidRDefault="009702B0" w:rsidP="009702B0">
      <w:pPr>
        <w:tabs>
          <w:tab w:val="right" w:pos="1202"/>
        </w:tabs>
        <w:spacing w:after="0" w:line="240" w:lineRule="auto"/>
        <w:jc w:val="both"/>
        <w:outlineLvl w:val="0"/>
        <w:rPr>
          <w:rFonts w:eastAsia="Times New Roman"/>
          <w:i/>
          <w:sz w:val="18"/>
          <w:szCs w:val="18"/>
        </w:rPr>
      </w:pPr>
    </w:p>
    <w:p w14:paraId="14D1123D" w14:textId="77777777" w:rsidR="009702B0" w:rsidRPr="009702B0" w:rsidRDefault="009702B0" w:rsidP="009702B0">
      <w:pPr>
        <w:tabs>
          <w:tab w:val="right" w:pos="1202"/>
        </w:tabs>
        <w:spacing w:after="0" w:line="240" w:lineRule="auto"/>
        <w:outlineLvl w:val="0"/>
        <w:rPr>
          <w:rFonts w:eastAsia="Times New Roman"/>
          <w:i/>
          <w:sz w:val="18"/>
          <w:szCs w:val="18"/>
        </w:rPr>
        <w:sectPr w:rsidR="009702B0" w:rsidRPr="009702B0" w:rsidSect="00947CB7">
          <w:footerReference w:type="default" r:id="rId115"/>
          <w:pgSz w:w="11906" w:h="16838" w:code="9"/>
          <w:pgMar w:top="1418" w:right="1418" w:bottom="595" w:left="1134" w:header="851" w:footer="851" w:gutter="0"/>
          <w:cols w:space="720"/>
          <w:noEndnote/>
        </w:sectPr>
      </w:pPr>
      <w:r w:rsidRPr="009702B0">
        <w:rPr>
          <w:rFonts w:eastAsia="Times New Roman"/>
          <w:i/>
          <w:sz w:val="18"/>
          <w:szCs w:val="18"/>
        </w:rPr>
        <w:t>**Reported gap is a result of provisions made for issued foreign currency guarantees in other foreign currencies stated under “Other liabilities”.</w:t>
      </w:r>
    </w:p>
    <w:p w14:paraId="33B562B0" w14:textId="77777777" w:rsidR="009702B0" w:rsidRPr="009702B0" w:rsidRDefault="009702B0" w:rsidP="009702B0">
      <w:pPr>
        <w:keepNext/>
        <w:spacing w:after="0" w:line="240" w:lineRule="auto"/>
        <w:ind w:left="709" w:hanging="709"/>
        <w:jc w:val="both"/>
        <w:rPr>
          <w:rFonts w:eastAsia="Times New Roman" w:cs="Arial"/>
          <w:b/>
          <w:bCs/>
        </w:rPr>
      </w:pPr>
    </w:p>
    <w:p w14:paraId="5097BA13"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        Risk management (continued)</w:t>
      </w:r>
    </w:p>
    <w:p w14:paraId="67CA5752" w14:textId="77777777" w:rsidR="009702B0" w:rsidRPr="009702B0" w:rsidRDefault="009702B0" w:rsidP="009702B0">
      <w:pPr>
        <w:keepNext/>
        <w:spacing w:after="0" w:line="240" w:lineRule="auto"/>
        <w:ind w:left="709" w:hanging="709"/>
        <w:jc w:val="both"/>
        <w:rPr>
          <w:rFonts w:eastAsia="Times New Roman" w:cs="Arial"/>
          <w:b/>
          <w:bCs/>
        </w:rPr>
      </w:pPr>
    </w:p>
    <w:p w14:paraId="5884DE9F"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     Market risk (continued)</w:t>
      </w:r>
    </w:p>
    <w:p w14:paraId="7C5D60EF" w14:textId="77777777" w:rsidR="009702B0" w:rsidRPr="009702B0" w:rsidRDefault="009702B0" w:rsidP="009702B0">
      <w:pPr>
        <w:keepNext/>
        <w:spacing w:after="0" w:line="240" w:lineRule="auto"/>
        <w:ind w:left="709" w:hanging="709"/>
        <w:jc w:val="both"/>
        <w:rPr>
          <w:rFonts w:eastAsia="Times New Roman" w:cs="Arial"/>
          <w:b/>
          <w:bCs/>
        </w:rPr>
      </w:pPr>
    </w:p>
    <w:p w14:paraId="255CB599"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16.4.2</w:t>
      </w:r>
      <w:proofErr w:type="gramStart"/>
      <w:r w:rsidRPr="009702B0">
        <w:rPr>
          <w:rFonts w:eastAsia="Times New Roman" w:cs="Arial"/>
          <w:b/>
          <w:bCs/>
        </w:rPr>
        <w:t>.  Currency</w:t>
      </w:r>
      <w:proofErr w:type="gramEnd"/>
      <w:r w:rsidRPr="009702B0">
        <w:rPr>
          <w:rFonts w:eastAsia="Times New Roman" w:cs="Arial"/>
          <w:b/>
          <w:bCs/>
        </w:rPr>
        <w:t xml:space="preserve"> risk (continued)</w:t>
      </w:r>
    </w:p>
    <w:p w14:paraId="70AF8353" w14:textId="77777777" w:rsidR="009702B0" w:rsidRPr="009702B0" w:rsidRDefault="009702B0" w:rsidP="009702B0">
      <w:pPr>
        <w:keepNext/>
        <w:spacing w:after="0" w:line="240" w:lineRule="auto"/>
        <w:jc w:val="both"/>
        <w:rPr>
          <w:rFonts w:eastAsia="Times New Roman" w:cs="Arial"/>
          <w:sz w:val="20"/>
          <w:szCs w:val="20"/>
        </w:rPr>
      </w:pPr>
    </w:p>
    <w:tbl>
      <w:tblPr>
        <w:tblW w:w="5228" w:type="pct"/>
        <w:tblInd w:w="-284" w:type="dxa"/>
        <w:tblLayout w:type="fixed"/>
        <w:tblCellMar>
          <w:left w:w="120" w:type="dxa"/>
          <w:right w:w="120" w:type="dxa"/>
        </w:tblCellMar>
        <w:tblLook w:val="0000" w:firstRow="0" w:lastRow="0" w:firstColumn="0" w:lastColumn="0" w:noHBand="0" w:noVBand="0"/>
      </w:tblPr>
      <w:tblGrid>
        <w:gridCol w:w="2834"/>
        <w:gridCol w:w="938"/>
        <w:gridCol w:w="1174"/>
        <w:gridCol w:w="1174"/>
        <w:gridCol w:w="1174"/>
        <w:gridCol w:w="1174"/>
        <w:gridCol w:w="1313"/>
      </w:tblGrid>
      <w:tr w:rsidR="004F248E" w:rsidRPr="00321238" w14:paraId="7374E6FE" w14:textId="77777777" w:rsidTr="004F248E">
        <w:tc>
          <w:tcPr>
            <w:tcW w:w="1449" w:type="pct"/>
            <w:vAlign w:val="bottom"/>
          </w:tcPr>
          <w:p w14:paraId="184DF1B4"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b/>
                <w:sz w:val="18"/>
                <w:szCs w:val="18"/>
              </w:rPr>
            </w:pPr>
            <w:r w:rsidRPr="00321238">
              <w:rPr>
                <w:rFonts w:asciiTheme="minorHAnsi" w:eastAsia="Times New Roman" w:hAnsiTheme="minorHAnsi" w:cs="Arial"/>
                <w:b/>
                <w:sz w:val="18"/>
                <w:szCs w:val="18"/>
              </w:rPr>
              <w:t>Group</w:t>
            </w:r>
          </w:p>
          <w:p w14:paraId="013E4542"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b/>
                <w:sz w:val="18"/>
                <w:szCs w:val="18"/>
              </w:rPr>
            </w:pPr>
          </w:p>
          <w:p w14:paraId="4CF3B7AA"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b/>
                <w:sz w:val="18"/>
                <w:szCs w:val="18"/>
              </w:rPr>
            </w:pPr>
            <w:r w:rsidRPr="00321238">
              <w:rPr>
                <w:rFonts w:asciiTheme="minorHAnsi" w:eastAsia="Times New Roman" w:hAnsiTheme="minorHAnsi" w:cs="Arial"/>
                <w:b/>
                <w:sz w:val="18"/>
                <w:szCs w:val="18"/>
              </w:rPr>
              <w:t>Dec 31, 2016</w:t>
            </w:r>
          </w:p>
        </w:tc>
        <w:tc>
          <w:tcPr>
            <w:tcW w:w="480" w:type="pct"/>
          </w:tcPr>
          <w:p w14:paraId="3CD9C190" w14:textId="77777777" w:rsidR="004F248E" w:rsidRPr="00321238"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r w:rsidRPr="00321238">
              <w:rPr>
                <w:rFonts w:asciiTheme="minorHAnsi" w:eastAsia="Times New Roman" w:hAnsiTheme="minorHAnsi" w:cs="Arial"/>
                <w:b/>
                <w:sz w:val="18"/>
                <w:szCs w:val="18"/>
              </w:rPr>
              <w:t>USD</w:t>
            </w:r>
          </w:p>
        </w:tc>
        <w:tc>
          <w:tcPr>
            <w:tcW w:w="600" w:type="pct"/>
          </w:tcPr>
          <w:p w14:paraId="08E37739" w14:textId="77777777" w:rsidR="004F248E" w:rsidRPr="00321238"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r w:rsidRPr="00321238">
              <w:rPr>
                <w:rFonts w:asciiTheme="minorHAnsi" w:eastAsia="Times New Roman" w:hAnsiTheme="minorHAnsi" w:cs="Arial"/>
                <w:b/>
                <w:sz w:val="18"/>
                <w:szCs w:val="18"/>
              </w:rPr>
              <w:t xml:space="preserve">EUR </w:t>
            </w:r>
          </w:p>
        </w:tc>
        <w:tc>
          <w:tcPr>
            <w:tcW w:w="600" w:type="pct"/>
          </w:tcPr>
          <w:p w14:paraId="19618B3E" w14:textId="77777777" w:rsidR="004F248E" w:rsidRPr="00321238"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r w:rsidRPr="00321238">
              <w:rPr>
                <w:rFonts w:asciiTheme="minorHAnsi" w:eastAsia="Times New Roman" w:hAnsiTheme="minorHAnsi" w:cs="Arial"/>
                <w:b/>
                <w:sz w:val="18"/>
                <w:szCs w:val="18"/>
              </w:rPr>
              <w:t>Other foreign currencies</w:t>
            </w:r>
          </w:p>
        </w:tc>
        <w:tc>
          <w:tcPr>
            <w:tcW w:w="600" w:type="pct"/>
          </w:tcPr>
          <w:p w14:paraId="4E279294" w14:textId="77777777" w:rsidR="004F248E" w:rsidRPr="00321238"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r w:rsidRPr="00321238">
              <w:rPr>
                <w:rFonts w:asciiTheme="minorHAnsi" w:eastAsia="Times New Roman" w:hAnsiTheme="minorHAnsi" w:cs="Arial"/>
                <w:b/>
                <w:sz w:val="18"/>
                <w:szCs w:val="18"/>
              </w:rPr>
              <w:t xml:space="preserve">Total foreign currencies </w:t>
            </w:r>
          </w:p>
        </w:tc>
        <w:tc>
          <w:tcPr>
            <w:tcW w:w="600" w:type="pct"/>
          </w:tcPr>
          <w:p w14:paraId="5F2F156D" w14:textId="77777777" w:rsidR="004F248E" w:rsidRPr="00321238"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r w:rsidRPr="00321238">
              <w:rPr>
                <w:rFonts w:asciiTheme="minorHAnsi" w:eastAsia="Times New Roman" w:hAnsiTheme="minorHAnsi" w:cs="Arial"/>
                <w:b/>
                <w:sz w:val="18"/>
                <w:szCs w:val="18"/>
              </w:rPr>
              <w:t>HRK</w:t>
            </w:r>
          </w:p>
        </w:tc>
        <w:tc>
          <w:tcPr>
            <w:tcW w:w="671" w:type="pct"/>
          </w:tcPr>
          <w:p w14:paraId="2C55D263" w14:textId="77777777" w:rsidR="004F248E" w:rsidRPr="00321238"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r w:rsidRPr="00321238">
              <w:rPr>
                <w:rFonts w:asciiTheme="minorHAnsi" w:eastAsia="Times New Roman" w:hAnsiTheme="minorHAnsi" w:cs="Arial"/>
                <w:b/>
                <w:sz w:val="18"/>
                <w:szCs w:val="18"/>
              </w:rPr>
              <w:t>Total</w:t>
            </w:r>
          </w:p>
        </w:tc>
      </w:tr>
      <w:tr w:rsidR="004F248E" w:rsidRPr="00321238" w14:paraId="1FFF1FE1" w14:textId="77777777" w:rsidTr="004F248E">
        <w:tc>
          <w:tcPr>
            <w:tcW w:w="1449" w:type="pct"/>
          </w:tcPr>
          <w:p w14:paraId="66CEA5F7"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b/>
                <w:sz w:val="18"/>
                <w:szCs w:val="18"/>
              </w:rPr>
            </w:pPr>
            <w:r w:rsidRPr="00321238">
              <w:rPr>
                <w:rFonts w:asciiTheme="minorHAnsi" w:eastAsia="Times New Roman" w:hAnsiTheme="minorHAnsi" w:cs="Arial"/>
                <w:b/>
                <w:sz w:val="18"/>
                <w:szCs w:val="18"/>
              </w:rPr>
              <w:t>Assets</w:t>
            </w:r>
          </w:p>
        </w:tc>
        <w:tc>
          <w:tcPr>
            <w:tcW w:w="480" w:type="pct"/>
            <w:vAlign w:val="bottom"/>
          </w:tcPr>
          <w:p w14:paraId="20C1F323" w14:textId="77777777" w:rsidR="004F248E" w:rsidRPr="00321238" w:rsidRDefault="004F248E" w:rsidP="004F248E">
            <w:pPr>
              <w:spacing w:after="0" w:line="240" w:lineRule="exact"/>
              <w:jc w:val="right"/>
              <w:rPr>
                <w:rFonts w:asciiTheme="minorHAnsi" w:eastAsia="Arial Unicode MS" w:hAnsiTheme="minorHAnsi" w:cs="Arial"/>
                <w:sz w:val="18"/>
                <w:szCs w:val="18"/>
              </w:rPr>
            </w:pPr>
          </w:p>
        </w:tc>
        <w:tc>
          <w:tcPr>
            <w:tcW w:w="600" w:type="pct"/>
            <w:vAlign w:val="bottom"/>
          </w:tcPr>
          <w:p w14:paraId="4B994999" w14:textId="77777777" w:rsidR="004F248E" w:rsidRPr="00321238" w:rsidRDefault="004F248E" w:rsidP="004F248E">
            <w:pPr>
              <w:spacing w:after="0" w:line="240" w:lineRule="exact"/>
              <w:jc w:val="right"/>
              <w:rPr>
                <w:rFonts w:asciiTheme="minorHAnsi" w:eastAsia="Arial Unicode MS" w:hAnsiTheme="minorHAnsi" w:cs="Arial"/>
                <w:sz w:val="18"/>
                <w:szCs w:val="18"/>
              </w:rPr>
            </w:pPr>
          </w:p>
        </w:tc>
        <w:tc>
          <w:tcPr>
            <w:tcW w:w="600" w:type="pct"/>
            <w:vAlign w:val="bottom"/>
          </w:tcPr>
          <w:p w14:paraId="52A96226" w14:textId="77777777" w:rsidR="004F248E" w:rsidRPr="00321238" w:rsidRDefault="004F248E" w:rsidP="004F248E">
            <w:pPr>
              <w:spacing w:after="0" w:line="240" w:lineRule="exact"/>
              <w:jc w:val="right"/>
              <w:rPr>
                <w:rFonts w:asciiTheme="minorHAnsi" w:eastAsia="Arial Unicode MS" w:hAnsiTheme="minorHAnsi" w:cs="Arial"/>
                <w:sz w:val="18"/>
                <w:szCs w:val="18"/>
              </w:rPr>
            </w:pPr>
          </w:p>
        </w:tc>
        <w:tc>
          <w:tcPr>
            <w:tcW w:w="600" w:type="pct"/>
            <w:vAlign w:val="bottom"/>
          </w:tcPr>
          <w:p w14:paraId="47273767" w14:textId="77777777" w:rsidR="004F248E" w:rsidRPr="00321238" w:rsidRDefault="004F248E" w:rsidP="004F248E">
            <w:pPr>
              <w:spacing w:after="0" w:line="240" w:lineRule="exact"/>
              <w:jc w:val="right"/>
              <w:rPr>
                <w:rFonts w:asciiTheme="minorHAnsi" w:eastAsia="Arial Unicode MS" w:hAnsiTheme="minorHAnsi" w:cs="Arial"/>
                <w:sz w:val="18"/>
                <w:szCs w:val="18"/>
              </w:rPr>
            </w:pPr>
          </w:p>
        </w:tc>
        <w:tc>
          <w:tcPr>
            <w:tcW w:w="600" w:type="pct"/>
            <w:vAlign w:val="bottom"/>
          </w:tcPr>
          <w:p w14:paraId="46853DF7" w14:textId="77777777" w:rsidR="004F248E" w:rsidRPr="00321238" w:rsidRDefault="004F248E" w:rsidP="004F248E">
            <w:pPr>
              <w:spacing w:after="0" w:line="240" w:lineRule="exact"/>
              <w:jc w:val="right"/>
              <w:rPr>
                <w:rFonts w:asciiTheme="minorHAnsi" w:eastAsia="Arial Unicode MS" w:hAnsiTheme="minorHAnsi" w:cs="Arial"/>
                <w:sz w:val="18"/>
                <w:szCs w:val="18"/>
              </w:rPr>
            </w:pPr>
          </w:p>
        </w:tc>
        <w:tc>
          <w:tcPr>
            <w:tcW w:w="671" w:type="pct"/>
            <w:vAlign w:val="bottom"/>
          </w:tcPr>
          <w:p w14:paraId="00A6F484" w14:textId="77777777" w:rsidR="004F248E" w:rsidRPr="00321238" w:rsidRDefault="004F248E" w:rsidP="004F248E">
            <w:pPr>
              <w:spacing w:after="0" w:line="240" w:lineRule="exact"/>
              <w:jc w:val="right"/>
              <w:rPr>
                <w:rFonts w:asciiTheme="minorHAnsi" w:eastAsia="Arial Unicode MS" w:hAnsiTheme="minorHAnsi" w:cs="Arial"/>
                <w:sz w:val="18"/>
                <w:szCs w:val="18"/>
              </w:rPr>
            </w:pPr>
          </w:p>
        </w:tc>
      </w:tr>
      <w:tr w:rsidR="004F248E" w:rsidRPr="00321238" w14:paraId="74FBAEFC" w14:textId="77777777" w:rsidTr="004F248E">
        <w:tc>
          <w:tcPr>
            <w:tcW w:w="1449" w:type="pct"/>
          </w:tcPr>
          <w:p w14:paraId="1976CFDC"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Cash on hand and due from banks</w:t>
            </w:r>
          </w:p>
        </w:tc>
        <w:tc>
          <w:tcPr>
            <w:tcW w:w="480" w:type="pct"/>
            <w:tcBorders>
              <w:top w:val="nil"/>
              <w:left w:val="nil"/>
              <w:bottom w:val="nil"/>
              <w:right w:val="nil"/>
            </w:tcBorders>
            <w:shd w:val="clear" w:color="auto" w:fill="auto"/>
            <w:vAlign w:val="bottom"/>
          </w:tcPr>
          <w:p w14:paraId="7E10F715"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1,606</w:t>
            </w:r>
          </w:p>
        </w:tc>
        <w:tc>
          <w:tcPr>
            <w:tcW w:w="600" w:type="pct"/>
            <w:tcBorders>
              <w:top w:val="nil"/>
              <w:left w:val="nil"/>
              <w:bottom w:val="nil"/>
              <w:right w:val="nil"/>
            </w:tcBorders>
            <w:shd w:val="clear" w:color="auto" w:fill="auto"/>
            <w:vAlign w:val="bottom"/>
          </w:tcPr>
          <w:p w14:paraId="6BE3E61C"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301,338</w:t>
            </w:r>
          </w:p>
        </w:tc>
        <w:tc>
          <w:tcPr>
            <w:tcW w:w="600" w:type="pct"/>
            <w:tcBorders>
              <w:top w:val="nil"/>
              <w:left w:val="nil"/>
              <w:bottom w:val="nil"/>
              <w:right w:val="nil"/>
            </w:tcBorders>
            <w:shd w:val="clear" w:color="auto" w:fill="auto"/>
            <w:vAlign w:val="bottom"/>
          </w:tcPr>
          <w:p w14:paraId="20FFC3F9"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1,584</w:t>
            </w:r>
          </w:p>
        </w:tc>
        <w:tc>
          <w:tcPr>
            <w:tcW w:w="600" w:type="pct"/>
            <w:tcBorders>
              <w:top w:val="nil"/>
              <w:left w:val="nil"/>
              <w:bottom w:val="nil"/>
              <w:right w:val="nil"/>
            </w:tcBorders>
            <w:shd w:val="clear" w:color="auto" w:fill="auto"/>
            <w:vAlign w:val="bottom"/>
          </w:tcPr>
          <w:p w14:paraId="0F0DEE6B"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304,528</w:t>
            </w:r>
          </w:p>
        </w:tc>
        <w:tc>
          <w:tcPr>
            <w:tcW w:w="600" w:type="pct"/>
            <w:tcBorders>
              <w:top w:val="nil"/>
              <w:left w:val="nil"/>
              <w:bottom w:val="nil"/>
              <w:right w:val="nil"/>
            </w:tcBorders>
            <w:shd w:val="clear" w:color="auto" w:fill="auto"/>
            <w:vAlign w:val="bottom"/>
          </w:tcPr>
          <w:p w14:paraId="248032E0"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186,718</w:t>
            </w:r>
          </w:p>
        </w:tc>
        <w:tc>
          <w:tcPr>
            <w:tcW w:w="671" w:type="pct"/>
            <w:tcBorders>
              <w:top w:val="nil"/>
              <w:left w:val="nil"/>
              <w:bottom w:val="nil"/>
              <w:right w:val="nil"/>
            </w:tcBorders>
            <w:shd w:val="clear" w:color="auto" w:fill="auto"/>
            <w:vAlign w:val="bottom"/>
          </w:tcPr>
          <w:p w14:paraId="652C7119"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491,246</w:t>
            </w:r>
          </w:p>
        </w:tc>
      </w:tr>
      <w:tr w:rsidR="004F248E" w:rsidRPr="00321238" w14:paraId="655DB5D0" w14:textId="77777777" w:rsidTr="004F248E">
        <w:tc>
          <w:tcPr>
            <w:tcW w:w="1449" w:type="pct"/>
          </w:tcPr>
          <w:p w14:paraId="7674F0C1"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 xml:space="preserve">Deposits with other banks </w:t>
            </w:r>
          </w:p>
        </w:tc>
        <w:tc>
          <w:tcPr>
            <w:tcW w:w="480" w:type="pct"/>
            <w:tcBorders>
              <w:top w:val="nil"/>
              <w:left w:val="nil"/>
              <w:bottom w:val="nil"/>
              <w:right w:val="nil"/>
            </w:tcBorders>
            <w:shd w:val="clear" w:color="auto" w:fill="auto"/>
            <w:vAlign w:val="bottom"/>
          </w:tcPr>
          <w:p w14:paraId="7F451C03"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20,581</w:t>
            </w:r>
          </w:p>
        </w:tc>
        <w:tc>
          <w:tcPr>
            <w:tcW w:w="600" w:type="pct"/>
            <w:tcBorders>
              <w:top w:val="nil"/>
              <w:left w:val="nil"/>
              <w:bottom w:val="nil"/>
              <w:right w:val="nil"/>
            </w:tcBorders>
            <w:shd w:val="clear" w:color="auto" w:fill="auto"/>
            <w:vAlign w:val="bottom"/>
          </w:tcPr>
          <w:p w14:paraId="1950A1B1"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4557CDDB"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3,291</w:t>
            </w:r>
          </w:p>
        </w:tc>
        <w:tc>
          <w:tcPr>
            <w:tcW w:w="600" w:type="pct"/>
            <w:tcBorders>
              <w:top w:val="nil"/>
              <w:left w:val="nil"/>
              <w:bottom w:val="nil"/>
              <w:right w:val="nil"/>
            </w:tcBorders>
            <w:shd w:val="clear" w:color="auto" w:fill="auto"/>
            <w:vAlign w:val="bottom"/>
          </w:tcPr>
          <w:p w14:paraId="54811A22"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23,872</w:t>
            </w:r>
          </w:p>
        </w:tc>
        <w:tc>
          <w:tcPr>
            <w:tcW w:w="600" w:type="pct"/>
            <w:tcBorders>
              <w:top w:val="nil"/>
              <w:left w:val="nil"/>
              <w:bottom w:val="nil"/>
              <w:right w:val="nil"/>
            </w:tcBorders>
            <w:shd w:val="clear" w:color="auto" w:fill="auto"/>
            <w:vAlign w:val="bottom"/>
          </w:tcPr>
          <w:p w14:paraId="77D46071"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71" w:type="pct"/>
            <w:tcBorders>
              <w:top w:val="nil"/>
              <w:left w:val="nil"/>
              <w:bottom w:val="nil"/>
              <w:right w:val="nil"/>
            </w:tcBorders>
            <w:shd w:val="clear" w:color="auto" w:fill="auto"/>
            <w:vAlign w:val="bottom"/>
          </w:tcPr>
          <w:p w14:paraId="2984C3F1"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23,872</w:t>
            </w:r>
          </w:p>
        </w:tc>
      </w:tr>
      <w:tr w:rsidR="004F248E" w:rsidRPr="00321238" w14:paraId="7C12F7D1" w14:textId="77777777" w:rsidTr="004F248E">
        <w:tc>
          <w:tcPr>
            <w:tcW w:w="1449" w:type="pct"/>
          </w:tcPr>
          <w:p w14:paraId="5714CE6B"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Loans to financial institutions</w:t>
            </w:r>
          </w:p>
        </w:tc>
        <w:tc>
          <w:tcPr>
            <w:tcW w:w="480" w:type="pct"/>
            <w:tcBorders>
              <w:top w:val="nil"/>
              <w:left w:val="nil"/>
              <w:bottom w:val="nil"/>
              <w:right w:val="nil"/>
            </w:tcBorders>
            <w:shd w:val="clear" w:color="auto" w:fill="auto"/>
            <w:vAlign w:val="bottom"/>
          </w:tcPr>
          <w:p w14:paraId="543FC140"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2CE5A10C"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6,655,483</w:t>
            </w:r>
          </w:p>
        </w:tc>
        <w:tc>
          <w:tcPr>
            <w:tcW w:w="600" w:type="pct"/>
            <w:tcBorders>
              <w:top w:val="nil"/>
              <w:left w:val="nil"/>
              <w:bottom w:val="nil"/>
              <w:right w:val="nil"/>
            </w:tcBorders>
            <w:shd w:val="clear" w:color="auto" w:fill="auto"/>
            <w:vAlign w:val="bottom"/>
          </w:tcPr>
          <w:p w14:paraId="00601950"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01B7BE46"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6,655,483</w:t>
            </w:r>
          </w:p>
        </w:tc>
        <w:tc>
          <w:tcPr>
            <w:tcW w:w="600" w:type="pct"/>
            <w:tcBorders>
              <w:top w:val="nil"/>
              <w:left w:val="nil"/>
              <w:bottom w:val="nil"/>
              <w:right w:val="nil"/>
            </w:tcBorders>
            <w:shd w:val="clear" w:color="auto" w:fill="auto"/>
            <w:vAlign w:val="bottom"/>
          </w:tcPr>
          <w:p w14:paraId="010B3D5B"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5,233,628</w:t>
            </w:r>
          </w:p>
        </w:tc>
        <w:tc>
          <w:tcPr>
            <w:tcW w:w="671" w:type="pct"/>
            <w:tcBorders>
              <w:top w:val="nil"/>
              <w:left w:val="nil"/>
              <w:bottom w:val="nil"/>
              <w:right w:val="nil"/>
            </w:tcBorders>
            <w:shd w:val="clear" w:color="auto" w:fill="auto"/>
            <w:vAlign w:val="bottom"/>
          </w:tcPr>
          <w:p w14:paraId="273D7735"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11,889,111</w:t>
            </w:r>
          </w:p>
        </w:tc>
      </w:tr>
      <w:tr w:rsidR="004F248E" w:rsidRPr="00321238" w14:paraId="63BBF689" w14:textId="77777777" w:rsidTr="004F248E">
        <w:tc>
          <w:tcPr>
            <w:tcW w:w="1449" w:type="pct"/>
          </w:tcPr>
          <w:p w14:paraId="7EB9F586"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Loans to other customers</w:t>
            </w:r>
          </w:p>
        </w:tc>
        <w:tc>
          <w:tcPr>
            <w:tcW w:w="480" w:type="pct"/>
            <w:tcBorders>
              <w:top w:val="nil"/>
              <w:left w:val="nil"/>
              <w:bottom w:val="nil"/>
              <w:right w:val="nil"/>
            </w:tcBorders>
            <w:shd w:val="clear" w:color="auto" w:fill="auto"/>
            <w:vAlign w:val="bottom"/>
          </w:tcPr>
          <w:p w14:paraId="3F0D0566"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527,661</w:t>
            </w:r>
          </w:p>
        </w:tc>
        <w:tc>
          <w:tcPr>
            <w:tcW w:w="600" w:type="pct"/>
            <w:tcBorders>
              <w:top w:val="nil"/>
              <w:left w:val="nil"/>
              <w:bottom w:val="nil"/>
              <w:right w:val="nil"/>
            </w:tcBorders>
            <w:shd w:val="clear" w:color="auto" w:fill="auto"/>
            <w:vAlign w:val="bottom"/>
          </w:tcPr>
          <w:p w14:paraId="7194ED4C"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7,768,328</w:t>
            </w:r>
          </w:p>
        </w:tc>
        <w:tc>
          <w:tcPr>
            <w:tcW w:w="600" w:type="pct"/>
            <w:tcBorders>
              <w:top w:val="nil"/>
              <w:left w:val="nil"/>
              <w:bottom w:val="nil"/>
              <w:right w:val="nil"/>
            </w:tcBorders>
            <w:shd w:val="clear" w:color="auto" w:fill="auto"/>
            <w:vAlign w:val="bottom"/>
          </w:tcPr>
          <w:p w14:paraId="7960753E"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047EB673"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8,295,989</w:t>
            </w:r>
          </w:p>
        </w:tc>
        <w:tc>
          <w:tcPr>
            <w:tcW w:w="600" w:type="pct"/>
            <w:tcBorders>
              <w:top w:val="nil"/>
              <w:left w:val="nil"/>
              <w:bottom w:val="nil"/>
              <w:right w:val="nil"/>
            </w:tcBorders>
            <w:shd w:val="clear" w:color="auto" w:fill="auto"/>
            <w:vAlign w:val="bottom"/>
          </w:tcPr>
          <w:p w14:paraId="0C2A150D"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3,215,205</w:t>
            </w:r>
          </w:p>
        </w:tc>
        <w:tc>
          <w:tcPr>
            <w:tcW w:w="671" w:type="pct"/>
            <w:tcBorders>
              <w:top w:val="nil"/>
              <w:left w:val="nil"/>
              <w:bottom w:val="nil"/>
              <w:right w:val="nil"/>
            </w:tcBorders>
            <w:shd w:val="clear" w:color="auto" w:fill="auto"/>
            <w:vAlign w:val="bottom"/>
          </w:tcPr>
          <w:p w14:paraId="45763AD6"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11,511,194</w:t>
            </w:r>
          </w:p>
        </w:tc>
      </w:tr>
      <w:tr w:rsidR="004F248E" w:rsidRPr="00321238" w14:paraId="0A37E66B" w14:textId="77777777" w:rsidTr="004F248E">
        <w:tc>
          <w:tcPr>
            <w:tcW w:w="1449" w:type="pct"/>
          </w:tcPr>
          <w:p w14:paraId="3CEDDAF5"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Financial assets at fair value through profit or loss</w:t>
            </w:r>
          </w:p>
        </w:tc>
        <w:tc>
          <w:tcPr>
            <w:tcW w:w="480" w:type="pct"/>
            <w:tcBorders>
              <w:top w:val="nil"/>
              <w:left w:val="nil"/>
              <w:bottom w:val="nil"/>
              <w:right w:val="nil"/>
            </w:tcBorders>
            <w:shd w:val="clear" w:color="auto" w:fill="auto"/>
            <w:vAlign w:val="bottom"/>
          </w:tcPr>
          <w:p w14:paraId="0BF5C625"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6EBF2473"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286</w:t>
            </w:r>
          </w:p>
        </w:tc>
        <w:tc>
          <w:tcPr>
            <w:tcW w:w="600" w:type="pct"/>
            <w:tcBorders>
              <w:top w:val="nil"/>
              <w:left w:val="nil"/>
              <w:bottom w:val="nil"/>
              <w:right w:val="nil"/>
            </w:tcBorders>
            <w:shd w:val="clear" w:color="auto" w:fill="auto"/>
            <w:vAlign w:val="bottom"/>
          </w:tcPr>
          <w:p w14:paraId="35E633A8"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5B5892D0"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286</w:t>
            </w:r>
          </w:p>
        </w:tc>
        <w:tc>
          <w:tcPr>
            <w:tcW w:w="600" w:type="pct"/>
            <w:tcBorders>
              <w:top w:val="nil"/>
              <w:left w:val="nil"/>
              <w:bottom w:val="nil"/>
              <w:right w:val="nil"/>
            </w:tcBorders>
            <w:shd w:val="clear" w:color="auto" w:fill="auto"/>
            <w:vAlign w:val="bottom"/>
          </w:tcPr>
          <w:p w14:paraId="70052D25"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71" w:type="pct"/>
            <w:tcBorders>
              <w:top w:val="nil"/>
              <w:left w:val="nil"/>
              <w:bottom w:val="nil"/>
              <w:right w:val="nil"/>
            </w:tcBorders>
            <w:shd w:val="clear" w:color="auto" w:fill="auto"/>
            <w:vAlign w:val="bottom"/>
          </w:tcPr>
          <w:p w14:paraId="11A1E0C0"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286</w:t>
            </w:r>
          </w:p>
        </w:tc>
      </w:tr>
      <w:tr w:rsidR="004F248E" w:rsidRPr="00321238" w14:paraId="457E2E30" w14:textId="77777777" w:rsidTr="004F248E">
        <w:tc>
          <w:tcPr>
            <w:tcW w:w="1449" w:type="pct"/>
          </w:tcPr>
          <w:p w14:paraId="1D8F40FC"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Assets available for sale</w:t>
            </w:r>
          </w:p>
        </w:tc>
        <w:tc>
          <w:tcPr>
            <w:tcW w:w="480" w:type="pct"/>
            <w:tcBorders>
              <w:top w:val="nil"/>
              <w:left w:val="nil"/>
              <w:bottom w:val="nil"/>
              <w:right w:val="nil"/>
            </w:tcBorders>
            <w:shd w:val="clear" w:color="auto" w:fill="auto"/>
            <w:vAlign w:val="bottom"/>
          </w:tcPr>
          <w:p w14:paraId="1BBCBA2C"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14,686</w:t>
            </w:r>
          </w:p>
        </w:tc>
        <w:tc>
          <w:tcPr>
            <w:tcW w:w="600" w:type="pct"/>
            <w:tcBorders>
              <w:top w:val="nil"/>
              <w:left w:val="nil"/>
              <w:bottom w:val="nil"/>
              <w:right w:val="nil"/>
            </w:tcBorders>
            <w:shd w:val="clear" w:color="auto" w:fill="auto"/>
            <w:vAlign w:val="bottom"/>
          </w:tcPr>
          <w:p w14:paraId="323EED6C"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1,100,197</w:t>
            </w:r>
          </w:p>
        </w:tc>
        <w:tc>
          <w:tcPr>
            <w:tcW w:w="600" w:type="pct"/>
            <w:tcBorders>
              <w:top w:val="nil"/>
              <w:left w:val="nil"/>
              <w:bottom w:val="nil"/>
              <w:right w:val="nil"/>
            </w:tcBorders>
            <w:shd w:val="clear" w:color="auto" w:fill="auto"/>
            <w:vAlign w:val="bottom"/>
          </w:tcPr>
          <w:p w14:paraId="33270DFE"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7C50A73B"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1,114,883</w:t>
            </w:r>
          </w:p>
        </w:tc>
        <w:tc>
          <w:tcPr>
            <w:tcW w:w="600" w:type="pct"/>
            <w:tcBorders>
              <w:top w:val="nil"/>
              <w:left w:val="nil"/>
              <w:bottom w:val="nil"/>
              <w:right w:val="nil"/>
            </w:tcBorders>
            <w:shd w:val="clear" w:color="auto" w:fill="auto"/>
            <w:vAlign w:val="bottom"/>
          </w:tcPr>
          <w:p w14:paraId="3D2C7A18"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2,275,151</w:t>
            </w:r>
          </w:p>
        </w:tc>
        <w:tc>
          <w:tcPr>
            <w:tcW w:w="671" w:type="pct"/>
            <w:tcBorders>
              <w:top w:val="nil"/>
              <w:left w:val="nil"/>
              <w:bottom w:val="nil"/>
              <w:right w:val="nil"/>
            </w:tcBorders>
            <w:shd w:val="clear" w:color="auto" w:fill="auto"/>
            <w:vAlign w:val="bottom"/>
          </w:tcPr>
          <w:p w14:paraId="6E54C7B4"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3,390,034</w:t>
            </w:r>
          </w:p>
        </w:tc>
      </w:tr>
      <w:tr w:rsidR="004F248E" w:rsidRPr="00321238" w14:paraId="7F4C99FC" w14:textId="77777777" w:rsidTr="004F248E">
        <w:trPr>
          <w:trHeight w:val="217"/>
        </w:trPr>
        <w:tc>
          <w:tcPr>
            <w:tcW w:w="1449" w:type="pct"/>
          </w:tcPr>
          <w:p w14:paraId="14BED390"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Assets held to maturity</w:t>
            </w:r>
          </w:p>
        </w:tc>
        <w:tc>
          <w:tcPr>
            <w:tcW w:w="480" w:type="pct"/>
            <w:tcBorders>
              <w:top w:val="nil"/>
              <w:left w:val="nil"/>
              <w:bottom w:val="nil"/>
              <w:right w:val="nil"/>
            </w:tcBorders>
            <w:shd w:val="clear" w:color="auto" w:fill="auto"/>
            <w:vAlign w:val="bottom"/>
          </w:tcPr>
          <w:p w14:paraId="77C6F2E8" w14:textId="77777777" w:rsidR="004F248E" w:rsidRPr="00321238" w:rsidRDefault="004F248E" w:rsidP="004F248E">
            <w:pPr>
              <w:spacing w:after="0" w:line="240" w:lineRule="exact"/>
              <w:jc w:val="right"/>
              <w:rPr>
                <w:rFonts w:asciiTheme="minorHAnsi" w:eastAsia="Times New Roman" w:hAnsiTheme="minorHAnsi" w:cs="Arial"/>
                <w:sz w:val="18"/>
                <w:szCs w:val="18"/>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2661A5F2" w14:textId="77777777" w:rsidR="004F248E" w:rsidRPr="00321238" w:rsidRDefault="004F248E" w:rsidP="004F248E">
            <w:pPr>
              <w:spacing w:after="0" w:line="240" w:lineRule="exact"/>
              <w:jc w:val="right"/>
              <w:rPr>
                <w:rFonts w:asciiTheme="minorHAnsi" w:eastAsia="Times New Roman" w:hAnsiTheme="minorHAnsi" w:cs="Arial"/>
                <w:sz w:val="18"/>
                <w:szCs w:val="18"/>
              </w:rPr>
            </w:pPr>
            <w:r w:rsidRPr="00321238">
              <w:rPr>
                <w:rFonts w:asciiTheme="minorHAnsi" w:eastAsia="Times New Roman" w:hAnsiTheme="minorHAnsi"/>
                <w:color w:val="000000"/>
                <w:sz w:val="18"/>
                <w:szCs w:val="18"/>
                <w:lang w:val="en-US"/>
              </w:rPr>
              <w:t>1,422</w:t>
            </w:r>
          </w:p>
        </w:tc>
        <w:tc>
          <w:tcPr>
            <w:tcW w:w="600" w:type="pct"/>
            <w:tcBorders>
              <w:top w:val="nil"/>
              <w:left w:val="nil"/>
              <w:bottom w:val="nil"/>
              <w:right w:val="nil"/>
            </w:tcBorders>
            <w:shd w:val="clear" w:color="auto" w:fill="auto"/>
            <w:vAlign w:val="bottom"/>
          </w:tcPr>
          <w:p w14:paraId="0B27EB8A" w14:textId="77777777" w:rsidR="004F248E" w:rsidRPr="00321238" w:rsidRDefault="004F248E" w:rsidP="004F248E">
            <w:pPr>
              <w:spacing w:after="0" w:line="240" w:lineRule="exact"/>
              <w:jc w:val="right"/>
              <w:rPr>
                <w:rFonts w:asciiTheme="minorHAnsi" w:eastAsia="Times New Roman" w:hAnsiTheme="minorHAnsi" w:cs="Arial"/>
                <w:sz w:val="18"/>
                <w:szCs w:val="18"/>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1583D092" w14:textId="77777777" w:rsidR="004F248E" w:rsidRPr="00321238" w:rsidRDefault="004F248E" w:rsidP="004F248E">
            <w:pPr>
              <w:spacing w:after="0" w:line="240" w:lineRule="exact"/>
              <w:jc w:val="right"/>
              <w:rPr>
                <w:rFonts w:asciiTheme="minorHAnsi" w:eastAsia="Times New Roman" w:hAnsiTheme="minorHAnsi" w:cs="Arial"/>
                <w:sz w:val="18"/>
                <w:szCs w:val="18"/>
              </w:rPr>
            </w:pPr>
            <w:r w:rsidRPr="00321238">
              <w:rPr>
                <w:rFonts w:asciiTheme="minorHAnsi" w:eastAsia="Times New Roman" w:hAnsiTheme="minorHAnsi"/>
                <w:color w:val="000000"/>
                <w:sz w:val="18"/>
                <w:szCs w:val="18"/>
                <w:lang w:val="en-US"/>
              </w:rPr>
              <w:t>1,422</w:t>
            </w:r>
          </w:p>
        </w:tc>
        <w:tc>
          <w:tcPr>
            <w:tcW w:w="600" w:type="pct"/>
            <w:tcBorders>
              <w:top w:val="nil"/>
              <w:left w:val="nil"/>
              <w:bottom w:val="nil"/>
              <w:right w:val="nil"/>
            </w:tcBorders>
            <w:shd w:val="clear" w:color="auto" w:fill="auto"/>
            <w:vAlign w:val="bottom"/>
          </w:tcPr>
          <w:p w14:paraId="7CE536CB" w14:textId="77777777" w:rsidR="004F248E" w:rsidRPr="00321238" w:rsidRDefault="004F248E" w:rsidP="004F248E">
            <w:pPr>
              <w:spacing w:after="0" w:line="240" w:lineRule="exact"/>
              <w:jc w:val="right"/>
              <w:rPr>
                <w:rFonts w:asciiTheme="minorHAnsi" w:eastAsia="Times New Roman" w:hAnsiTheme="minorHAnsi" w:cs="Arial"/>
                <w:sz w:val="18"/>
                <w:szCs w:val="18"/>
              </w:rPr>
            </w:pPr>
            <w:r w:rsidRPr="00321238">
              <w:rPr>
                <w:rFonts w:asciiTheme="minorHAnsi" w:eastAsia="Times New Roman" w:hAnsiTheme="minorHAnsi"/>
                <w:color w:val="000000"/>
                <w:sz w:val="18"/>
                <w:szCs w:val="18"/>
                <w:lang w:val="en-US"/>
              </w:rPr>
              <w:t>-</w:t>
            </w:r>
          </w:p>
        </w:tc>
        <w:tc>
          <w:tcPr>
            <w:tcW w:w="671" w:type="pct"/>
            <w:tcBorders>
              <w:top w:val="nil"/>
              <w:left w:val="nil"/>
              <w:bottom w:val="nil"/>
              <w:right w:val="nil"/>
            </w:tcBorders>
            <w:shd w:val="clear" w:color="auto" w:fill="auto"/>
            <w:vAlign w:val="bottom"/>
          </w:tcPr>
          <w:p w14:paraId="00740E13" w14:textId="77777777" w:rsidR="004F248E" w:rsidRPr="00321238" w:rsidRDefault="004F248E" w:rsidP="004F248E">
            <w:pPr>
              <w:spacing w:after="0" w:line="240" w:lineRule="exact"/>
              <w:jc w:val="right"/>
              <w:rPr>
                <w:rFonts w:asciiTheme="minorHAnsi" w:eastAsia="Times New Roman" w:hAnsiTheme="minorHAnsi" w:cs="Arial"/>
                <w:sz w:val="18"/>
                <w:szCs w:val="18"/>
              </w:rPr>
            </w:pPr>
            <w:r w:rsidRPr="00321238">
              <w:rPr>
                <w:rFonts w:asciiTheme="minorHAnsi" w:eastAsia="Times New Roman" w:hAnsiTheme="minorHAnsi"/>
                <w:color w:val="000000"/>
                <w:sz w:val="18"/>
                <w:szCs w:val="18"/>
                <w:lang w:val="en-US"/>
              </w:rPr>
              <w:t>1,422</w:t>
            </w:r>
          </w:p>
        </w:tc>
      </w:tr>
      <w:tr w:rsidR="004F248E" w:rsidRPr="00321238" w14:paraId="3ACEC9DC" w14:textId="77777777" w:rsidTr="004F248E">
        <w:tc>
          <w:tcPr>
            <w:tcW w:w="1449" w:type="pct"/>
          </w:tcPr>
          <w:p w14:paraId="38BC4366"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Investments in associates</w:t>
            </w:r>
          </w:p>
        </w:tc>
        <w:tc>
          <w:tcPr>
            <w:tcW w:w="480" w:type="pct"/>
            <w:tcBorders>
              <w:top w:val="nil"/>
              <w:left w:val="nil"/>
              <w:bottom w:val="nil"/>
              <w:right w:val="nil"/>
            </w:tcBorders>
            <w:shd w:val="clear" w:color="auto" w:fill="auto"/>
            <w:vAlign w:val="bottom"/>
          </w:tcPr>
          <w:p w14:paraId="29725FD2" w14:textId="77777777" w:rsidR="004F248E" w:rsidRPr="00321238" w:rsidRDefault="004F248E" w:rsidP="004F248E">
            <w:pPr>
              <w:spacing w:after="0" w:line="240" w:lineRule="exact"/>
              <w:jc w:val="right"/>
              <w:rPr>
                <w:rFonts w:asciiTheme="minorHAnsi" w:eastAsia="Times New Roman" w:hAnsiTheme="minorHAnsi" w:cs="Arial"/>
                <w:sz w:val="18"/>
                <w:szCs w:val="18"/>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23D2C4DF" w14:textId="77777777" w:rsidR="004F248E" w:rsidRPr="00321238" w:rsidRDefault="004F248E" w:rsidP="004F248E">
            <w:pPr>
              <w:spacing w:after="0" w:line="240" w:lineRule="exact"/>
              <w:jc w:val="right"/>
              <w:rPr>
                <w:rFonts w:asciiTheme="minorHAnsi" w:eastAsia="Times New Roman" w:hAnsiTheme="minorHAnsi" w:cs="Arial"/>
                <w:sz w:val="18"/>
                <w:szCs w:val="18"/>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67D760B9" w14:textId="77777777" w:rsidR="004F248E" w:rsidRPr="00321238" w:rsidRDefault="004F248E" w:rsidP="004F248E">
            <w:pPr>
              <w:spacing w:after="0" w:line="240" w:lineRule="exact"/>
              <w:jc w:val="right"/>
              <w:rPr>
                <w:rFonts w:asciiTheme="minorHAnsi" w:eastAsia="Times New Roman" w:hAnsiTheme="minorHAnsi" w:cs="Arial"/>
                <w:sz w:val="18"/>
                <w:szCs w:val="18"/>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4CA67E82" w14:textId="77777777" w:rsidR="004F248E" w:rsidRPr="00321238" w:rsidRDefault="004F248E" w:rsidP="004F248E">
            <w:pPr>
              <w:spacing w:after="0" w:line="240" w:lineRule="exact"/>
              <w:jc w:val="right"/>
              <w:rPr>
                <w:rFonts w:asciiTheme="minorHAnsi" w:eastAsia="Times New Roman" w:hAnsiTheme="minorHAnsi" w:cs="Arial"/>
                <w:sz w:val="18"/>
                <w:szCs w:val="18"/>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2A50313F" w14:textId="77777777" w:rsidR="004F248E" w:rsidRPr="00321238" w:rsidRDefault="004F248E" w:rsidP="004F248E">
            <w:pPr>
              <w:spacing w:after="0" w:line="240" w:lineRule="exact"/>
              <w:jc w:val="right"/>
              <w:rPr>
                <w:rFonts w:asciiTheme="minorHAnsi" w:eastAsia="Times New Roman" w:hAnsiTheme="minorHAnsi" w:cs="Arial"/>
                <w:sz w:val="18"/>
                <w:szCs w:val="18"/>
              </w:rPr>
            </w:pPr>
            <w:r w:rsidRPr="00321238">
              <w:rPr>
                <w:rFonts w:asciiTheme="minorHAnsi" w:eastAsia="Times New Roman" w:hAnsiTheme="minorHAnsi"/>
                <w:color w:val="000000"/>
                <w:sz w:val="18"/>
                <w:szCs w:val="18"/>
                <w:lang w:val="en-US"/>
              </w:rPr>
              <w:t>-</w:t>
            </w:r>
          </w:p>
        </w:tc>
        <w:tc>
          <w:tcPr>
            <w:tcW w:w="671" w:type="pct"/>
            <w:tcBorders>
              <w:top w:val="nil"/>
              <w:left w:val="nil"/>
              <w:bottom w:val="nil"/>
              <w:right w:val="nil"/>
            </w:tcBorders>
            <w:shd w:val="clear" w:color="auto" w:fill="auto"/>
            <w:vAlign w:val="bottom"/>
          </w:tcPr>
          <w:p w14:paraId="617E0691" w14:textId="77777777" w:rsidR="004F248E" w:rsidRPr="00321238" w:rsidRDefault="004F248E" w:rsidP="004F248E">
            <w:pPr>
              <w:spacing w:after="0" w:line="240" w:lineRule="exact"/>
              <w:jc w:val="right"/>
              <w:rPr>
                <w:rFonts w:asciiTheme="minorHAnsi" w:eastAsia="Times New Roman" w:hAnsiTheme="minorHAnsi" w:cs="Arial"/>
                <w:sz w:val="18"/>
                <w:szCs w:val="18"/>
              </w:rPr>
            </w:pPr>
            <w:r w:rsidRPr="00321238">
              <w:rPr>
                <w:rFonts w:asciiTheme="minorHAnsi" w:eastAsia="Times New Roman" w:hAnsiTheme="minorHAnsi"/>
                <w:color w:val="000000"/>
                <w:sz w:val="18"/>
                <w:szCs w:val="18"/>
                <w:lang w:val="en-US"/>
              </w:rPr>
              <w:t>-</w:t>
            </w:r>
          </w:p>
        </w:tc>
      </w:tr>
      <w:tr w:rsidR="004F248E" w:rsidRPr="00321238" w14:paraId="4DA671A0" w14:textId="77777777" w:rsidTr="004F248E">
        <w:tc>
          <w:tcPr>
            <w:tcW w:w="1449" w:type="pct"/>
          </w:tcPr>
          <w:p w14:paraId="2A22C6F4"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Property, plant and equipment and intangible assets</w:t>
            </w:r>
          </w:p>
        </w:tc>
        <w:tc>
          <w:tcPr>
            <w:tcW w:w="480" w:type="pct"/>
            <w:tcBorders>
              <w:top w:val="nil"/>
              <w:left w:val="nil"/>
              <w:bottom w:val="nil"/>
              <w:right w:val="nil"/>
            </w:tcBorders>
            <w:shd w:val="clear" w:color="auto" w:fill="auto"/>
            <w:vAlign w:val="bottom"/>
          </w:tcPr>
          <w:p w14:paraId="133743CD"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4A30DC0D"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4F76AAA0"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167C960B"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4494D646"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57,305</w:t>
            </w:r>
          </w:p>
        </w:tc>
        <w:tc>
          <w:tcPr>
            <w:tcW w:w="671" w:type="pct"/>
            <w:tcBorders>
              <w:top w:val="nil"/>
              <w:left w:val="nil"/>
              <w:bottom w:val="nil"/>
              <w:right w:val="nil"/>
            </w:tcBorders>
            <w:shd w:val="clear" w:color="auto" w:fill="auto"/>
            <w:vAlign w:val="bottom"/>
          </w:tcPr>
          <w:p w14:paraId="1CED10B3"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57,305</w:t>
            </w:r>
          </w:p>
        </w:tc>
      </w:tr>
      <w:tr w:rsidR="004F248E" w:rsidRPr="00321238" w14:paraId="41D9F65E" w14:textId="77777777" w:rsidTr="004F248E">
        <w:tc>
          <w:tcPr>
            <w:tcW w:w="1449" w:type="pct"/>
          </w:tcPr>
          <w:p w14:paraId="0561F5B9"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pacing w:val="-2"/>
                <w:sz w:val="18"/>
                <w:szCs w:val="18"/>
              </w:rPr>
              <w:t>Non-current assets held for sale</w:t>
            </w:r>
          </w:p>
        </w:tc>
        <w:tc>
          <w:tcPr>
            <w:tcW w:w="480" w:type="pct"/>
            <w:tcBorders>
              <w:top w:val="nil"/>
              <w:left w:val="nil"/>
              <w:bottom w:val="nil"/>
              <w:right w:val="nil"/>
            </w:tcBorders>
            <w:shd w:val="clear" w:color="auto" w:fill="auto"/>
            <w:vAlign w:val="bottom"/>
          </w:tcPr>
          <w:p w14:paraId="1A1C7195"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503E1D85"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79FF6096"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55296290"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2FB702C2"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17,230</w:t>
            </w:r>
          </w:p>
        </w:tc>
        <w:tc>
          <w:tcPr>
            <w:tcW w:w="671" w:type="pct"/>
            <w:tcBorders>
              <w:top w:val="nil"/>
              <w:left w:val="nil"/>
              <w:bottom w:val="nil"/>
              <w:right w:val="nil"/>
            </w:tcBorders>
            <w:shd w:val="clear" w:color="auto" w:fill="auto"/>
            <w:vAlign w:val="bottom"/>
          </w:tcPr>
          <w:p w14:paraId="1AF19B27"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17,230</w:t>
            </w:r>
          </w:p>
        </w:tc>
      </w:tr>
      <w:tr w:rsidR="004F248E" w:rsidRPr="00321238" w14:paraId="5D2C7F42" w14:textId="77777777" w:rsidTr="004F248E">
        <w:tc>
          <w:tcPr>
            <w:tcW w:w="1449" w:type="pct"/>
          </w:tcPr>
          <w:p w14:paraId="61CD4DC3"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Other assets</w:t>
            </w:r>
          </w:p>
        </w:tc>
        <w:tc>
          <w:tcPr>
            <w:tcW w:w="480" w:type="pct"/>
            <w:tcBorders>
              <w:top w:val="nil"/>
              <w:left w:val="nil"/>
              <w:bottom w:val="nil"/>
              <w:right w:val="nil"/>
            </w:tcBorders>
            <w:shd w:val="clear" w:color="auto" w:fill="auto"/>
            <w:vAlign w:val="bottom"/>
          </w:tcPr>
          <w:p w14:paraId="1C2D14F9"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088A53DA"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369</w:t>
            </w:r>
          </w:p>
        </w:tc>
        <w:tc>
          <w:tcPr>
            <w:tcW w:w="600" w:type="pct"/>
            <w:tcBorders>
              <w:top w:val="nil"/>
              <w:left w:val="nil"/>
              <w:bottom w:val="nil"/>
              <w:right w:val="nil"/>
            </w:tcBorders>
            <w:shd w:val="clear" w:color="auto" w:fill="auto"/>
            <w:vAlign w:val="bottom"/>
          </w:tcPr>
          <w:p w14:paraId="3DBF78EF"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758F3F23"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369</w:t>
            </w:r>
          </w:p>
        </w:tc>
        <w:tc>
          <w:tcPr>
            <w:tcW w:w="600" w:type="pct"/>
            <w:tcBorders>
              <w:top w:val="nil"/>
              <w:left w:val="nil"/>
              <w:bottom w:val="nil"/>
              <w:right w:val="nil"/>
            </w:tcBorders>
            <w:shd w:val="clear" w:color="auto" w:fill="auto"/>
            <w:vAlign w:val="bottom"/>
          </w:tcPr>
          <w:p w14:paraId="13762B83"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8,753</w:t>
            </w:r>
          </w:p>
        </w:tc>
        <w:tc>
          <w:tcPr>
            <w:tcW w:w="671" w:type="pct"/>
            <w:tcBorders>
              <w:top w:val="nil"/>
              <w:left w:val="nil"/>
              <w:bottom w:val="nil"/>
              <w:right w:val="nil"/>
            </w:tcBorders>
            <w:shd w:val="clear" w:color="auto" w:fill="auto"/>
            <w:vAlign w:val="bottom"/>
          </w:tcPr>
          <w:p w14:paraId="376FF591"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9,122</w:t>
            </w:r>
          </w:p>
        </w:tc>
      </w:tr>
      <w:tr w:rsidR="004F248E" w:rsidRPr="00321238" w14:paraId="5859A97D" w14:textId="77777777" w:rsidTr="004F248E">
        <w:tc>
          <w:tcPr>
            <w:tcW w:w="1449" w:type="pct"/>
          </w:tcPr>
          <w:p w14:paraId="0F1B010A"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b/>
                <w:bCs/>
                <w:sz w:val="18"/>
                <w:szCs w:val="18"/>
              </w:rPr>
            </w:pPr>
            <w:r w:rsidRPr="00321238">
              <w:rPr>
                <w:rFonts w:asciiTheme="minorHAnsi" w:eastAsia="Times New Roman" w:hAnsiTheme="minorHAnsi" w:cs="Arial"/>
                <w:b/>
                <w:bCs/>
                <w:sz w:val="18"/>
                <w:szCs w:val="18"/>
              </w:rPr>
              <w:t>Total assets (1)</w:t>
            </w:r>
          </w:p>
        </w:tc>
        <w:tc>
          <w:tcPr>
            <w:tcW w:w="480" w:type="pct"/>
            <w:tcBorders>
              <w:top w:val="single" w:sz="4" w:space="0" w:color="auto"/>
              <w:left w:val="nil"/>
              <w:bottom w:val="single" w:sz="8" w:space="0" w:color="auto"/>
              <w:right w:val="nil"/>
            </w:tcBorders>
            <w:shd w:val="clear" w:color="auto" w:fill="auto"/>
            <w:vAlign w:val="bottom"/>
          </w:tcPr>
          <w:p w14:paraId="1A038BFD"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564,534</w:t>
            </w:r>
          </w:p>
        </w:tc>
        <w:tc>
          <w:tcPr>
            <w:tcW w:w="600" w:type="pct"/>
            <w:tcBorders>
              <w:top w:val="single" w:sz="4" w:space="0" w:color="auto"/>
              <w:left w:val="nil"/>
              <w:bottom w:val="single" w:sz="8" w:space="0" w:color="auto"/>
              <w:right w:val="nil"/>
            </w:tcBorders>
            <w:shd w:val="clear" w:color="auto" w:fill="auto"/>
            <w:vAlign w:val="bottom"/>
          </w:tcPr>
          <w:p w14:paraId="151E3AF6"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15,827,423</w:t>
            </w:r>
          </w:p>
        </w:tc>
        <w:tc>
          <w:tcPr>
            <w:tcW w:w="600" w:type="pct"/>
            <w:tcBorders>
              <w:top w:val="single" w:sz="4" w:space="0" w:color="auto"/>
              <w:left w:val="nil"/>
              <w:bottom w:val="single" w:sz="8" w:space="0" w:color="auto"/>
              <w:right w:val="nil"/>
            </w:tcBorders>
            <w:shd w:val="clear" w:color="auto" w:fill="auto"/>
            <w:vAlign w:val="bottom"/>
          </w:tcPr>
          <w:p w14:paraId="43C89EDF"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4,875</w:t>
            </w:r>
          </w:p>
        </w:tc>
        <w:tc>
          <w:tcPr>
            <w:tcW w:w="600" w:type="pct"/>
            <w:tcBorders>
              <w:top w:val="single" w:sz="4" w:space="0" w:color="auto"/>
              <w:left w:val="nil"/>
              <w:bottom w:val="single" w:sz="8" w:space="0" w:color="auto"/>
              <w:right w:val="nil"/>
            </w:tcBorders>
            <w:shd w:val="clear" w:color="auto" w:fill="auto"/>
            <w:vAlign w:val="bottom"/>
          </w:tcPr>
          <w:p w14:paraId="0283B100"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16,396,832</w:t>
            </w:r>
          </w:p>
        </w:tc>
        <w:tc>
          <w:tcPr>
            <w:tcW w:w="600" w:type="pct"/>
            <w:tcBorders>
              <w:top w:val="single" w:sz="4" w:space="0" w:color="auto"/>
              <w:left w:val="nil"/>
              <w:bottom w:val="single" w:sz="8" w:space="0" w:color="auto"/>
              <w:right w:val="nil"/>
            </w:tcBorders>
            <w:shd w:val="clear" w:color="auto" w:fill="auto"/>
            <w:vAlign w:val="bottom"/>
          </w:tcPr>
          <w:p w14:paraId="1129F444"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10,993,990*</w:t>
            </w:r>
          </w:p>
        </w:tc>
        <w:tc>
          <w:tcPr>
            <w:tcW w:w="671" w:type="pct"/>
            <w:tcBorders>
              <w:top w:val="single" w:sz="4" w:space="0" w:color="auto"/>
              <w:left w:val="nil"/>
              <w:bottom w:val="single" w:sz="8" w:space="0" w:color="auto"/>
              <w:right w:val="nil"/>
            </w:tcBorders>
            <w:shd w:val="clear" w:color="auto" w:fill="auto"/>
            <w:vAlign w:val="bottom"/>
          </w:tcPr>
          <w:p w14:paraId="118C8F14"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27,390,822</w:t>
            </w:r>
          </w:p>
        </w:tc>
      </w:tr>
      <w:tr w:rsidR="004F248E" w:rsidRPr="00321238" w14:paraId="78597929" w14:textId="77777777" w:rsidTr="004F248E">
        <w:tblPrEx>
          <w:tblCellMar>
            <w:left w:w="108" w:type="dxa"/>
            <w:right w:w="108" w:type="dxa"/>
          </w:tblCellMar>
        </w:tblPrEx>
        <w:tc>
          <w:tcPr>
            <w:tcW w:w="1449" w:type="pct"/>
          </w:tcPr>
          <w:p w14:paraId="02C7F53C" w14:textId="77777777" w:rsidR="004F248E" w:rsidRPr="00321238" w:rsidRDefault="004F248E" w:rsidP="004F248E">
            <w:pPr>
              <w:keepNext/>
              <w:keepLines/>
              <w:tabs>
                <w:tab w:val="decimal" w:pos="1202"/>
              </w:tabs>
              <w:spacing w:after="0" w:line="140" w:lineRule="exact"/>
              <w:rPr>
                <w:rFonts w:asciiTheme="minorHAnsi" w:eastAsia="Times New Roman" w:hAnsiTheme="minorHAnsi" w:cs="Arial"/>
                <w:b/>
                <w:position w:val="4"/>
                <w:sz w:val="18"/>
                <w:szCs w:val="18"/>
                <w:u w:val="thick"/>
                <w:lang w:val="hr-HR"/>
              </w:rPr>
            </w:pPr>
          </w:p>
        </w:tc>
        <w:tc>
          <w:tcPr>
            <w:tcW w:w="480" w:type="pct"/>
            <w:tcBorders>
              <w:top w:val="single" w:sz="12" w:space="0" w:color="auto"/>
            </w:tcBorders>
            <w:vAlign w:val="bottom"/>
          </w:tcPr>
          <w:p w14:paraId="4C17A396" w14:textId="77777777" w:rsidR="004F248E" w:rsidRPr="00321238" w:rsidRDefault="004F248E" w:rsidP="004F248E">
            <w:pPr>
              <w:keepNext/>
              <w:keepLines/>
              <w:spacing w:after="0" w:line="140" w:lineRule="exact"/>
              <w:jc w:val="right"/>
              <w:rPr>
                <w:rFonts w:asciiTheme="minorHAnsi" w:eastAsia="Times New Roman" w:hAnsiTheme="minorHAnsi" w:cs="Arial"/>
                <w:b/>
                <w:position w:val="4"/>
                <w:sz w:val="18"/>
                <w:szCs w:val="18"/>
                <w:u w:val="thick"/>
                <w:lang w:val="hr-HR"/>
              </w:rPr>
            </w:pPr>
          </w:p>
        </w:tc>
        <w:tc>
          <w:tcPr>
            <w:tcW w:w="600" w:type="pct"/>
            <w:tcBorders>
              <w:top w:val="single" w:sz="12" w:space="0" w:color="auto"/>
            </w:tcBorders>
            <w:vAlign w:val="bottom"/>
          </w:tcPr>
          <w:p w14:paraId="41EB9274" w14:textId="77777777" w:rsidR="004F248E" w:rsidRPr="00321238" w:rsidRDefault="004F248E" w:rsidP="004F248E">
            <w:pPr>
              <w:keepNext/>
              <w:keepLines/>
              <w:spacing w:after="0" w:line="140" w:lineRule="exact"/>
              <w:jc w:val="right"/>
              <w:rPr>
                <w:rFonts w:asciiTheme="minorHAnsi" w:eastAsia="Times New Roman" w:hAnsiTheme="minorHAnsi" w:cs="Arial"/>
                <w:b/>
                <w:position w:val="4"/>
                <w:sz w:val="18"/>
                <w:szCs w:val="18"/>
                <w:u w:val="thick"/>
                <w:lang w:val="hr-HR"/>
              </w:rPr>
            </w:pPr>
          </w:p>
        </w:tc>
        <w:tc>
          <w:tcPr>
            <w:tcW w:w="600" w:type="pct"/>
            <w:tcBorders>
              <w:top w:val="single" w:sz="12" w:space="0" w:color="auto"/>
            </w:tcBorders>
            <w:vAlign w:val="bottom"/>
          </w:tcPr>
          <w:p w14:paraId="055E3846" w14:textId="77777777" w:rsidR="004F248E" w:rsidRPr="00321238" w:rsidRDefault="004F248E" w:rsidP="004F248E">
            <w:pPr>
              <w:keepNext/>
              <w:keepLines/>
              <w:spacing w:after="0" w:line="140" w:lineRule="exact"/>
              <w:jc w:val="right"/>
              <w:rPr>
                <w:rFonts w:asciiTheme="minorHAnsi" w:eastAsia="Times New Roman" w:hAnsiTheme="minorHAnsi" w:cs="Arial"/>
                <w:b/>
                <w:position w:val="4"/>
                <w:sz w:val="18"/>
                <w:szCs w:val="18"/>
                <w:u w:val="thick"/>
                <w:lang w:val="hr-HR"/>
              </w:rPr>
            </w:pPr>
          </w:p>
        </w:tc>
        <w:tc>
          <w:tcPr>
            <w:tcW w:w="600" w:type="pct"/>
            <w:tcBorders>
              <w:top w:val="single" w:sz="12" w:space="0" w:color="auto"/>
            </w:tcBorders>
            <w:vAlign w:val="bottom"/>
          </w:tcPr>
          <w:p w14:paraId="0AA17787" w14:textId="77777777" w:rsidR="004F248E" w:rsidRPr="00321238" w:rsidRDefault="004F248E" w:rsidP="004F248E">
            <w:pPr>
              <w:keepNext/>
              <w:keepLines/>
              <w:spacing w:after="0" w:line="140" w:lineRule="exact"/>
              <w:jc w:val="right"/>
              <w:rPr>
                <w:rFonts w:asciiTheme="minorHAnsi" w:eastAsia="Times New Roman" w:hAnsiTheme="minorHAnsi" w:cs="Arial"/>
                <w:b/>
                <w:position w:val="4"/>
                <w:sz w:val="18"/>
                <w:szCs w:val="18"/>
                <w:u w:val="thick"/>
                <w:lang w:val="hr-HR"/>
              </w:rPr>
            </w:pPr>
          </w:p>
        </w:tc>
        <w:tc>
          <w:tcPr>
            <w:tcW w:w="600" w:type="pct"/>
            <w:tcBorders>
              <w:top w:val="single" w:sz="12" w:space="0" w:color="auto"/>
            </w:tcBorders>
            <w:vAlign w:val="bottom"/>
          </w:tcPr>
          <w:p w14:paraId="6F731BF4" w14:textId="77777777" w:rsidR="004F248E" w:rsidRPr="00321238" w:rsidRDefault="004F248E" w:rsidP="004F248E">
            <w:pPr>
              <w:keepNext/>
              <w:keepLines/>
              <w:spacing w:after="0" w:line="140" w:lineRule="exact"/>
              <w:jc w:val="right"/>
              <w:rPr>
                <w:rFonts w:asciiTheme="minorHAnsi" w:eastAsia="Times New Roman" w:hAnsiTheme="minorHAnsi" w:cs="Arial"/>
                <w:b/>
                <w:position w:val="4"/>
                <w:sz w:val="18"/>
                <w:szCs w:val="18"/>
                <w:u w:val="thick"/>
                <w:lang w:val="hr-HR"/>
              </w:rPr>
            </w:pPr>
          </w:p>
        </w:tc>
        <w:tc>
          <w:tcPr>
            <w:tcW w:w="671" w:type="pct"/>
            <w:tcBorders>
              <w:top w:val="single" w:sz="12" w:space="0" w:color="auto"/>
            </w:tcBorders>
            <w:vAlign w:val="bottom"/>
          </w:tcPr>
          <w:p w14:paraId="2E045C66" w14:textId="77777777" w:rsidR="004F248E" w:rsidRPr="00321238" w:rsidRDefault="004F248E" w:rsidP="004F248E">
            <w:pPr>
              <w:keepNext/>
              <w:keepLines/>
              <w:spacing w:after="0" w:line="140" w:lineRule="exact"/>
              <w:jc w:val="right"/>
              <w:rPr>
                <w:rFonts w:asciiTheme="minorHAnsi" w:eastAsia="Times New Roman" w:hAnsiTheme="minorHAnsi" w:cs="Arial"/>
                <w:b/>
                <w:position w:val="4"/>
                <w:sz w:val="18"/>
                <w:szCs w:val="18"/>
                <w:u w:val="thick"/>
                <w:lang w:val="hr-HR"/>
              </w:rPr>
            </w:pPr>
          </w:p>
        </w:tc>
      </w:tr>
      <w:tr w:rsidR="004F248E" w:rsidRPr="00321238" w14:paraId="019BD95B" w14:textId="77777777" w:rsidTr="004F248E">
        <w:tc>
          <w:tcPr>
            <w:tcW w:w="1449" w:type="pct"/>
          </w:tcPr>
          <w:p w14:paraId="1B8A1E5F"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b/>
                <w:bCs/>
                <w:sz w:val="18"/>
                <w:szCs w:val="18"/>
              </w:rPr>
            </w:pPr>
            <w:r w:rsidRPr="00321238">
              <w:rPr>
                <w:rFonts w:asciiTheme="minorHAnsi" w:eastAsia="Times New Roman" w:hAnsiTheme="minorHAnsi" w:cs="Arial"/>
                <w:b/>
                <w:bCs/>
                <w:sz w:val="18"/>
                <w:szCs w:val="18"/>
              </w:rPr>
              <w:t>Liabilities</w:t>
            </w:r>
          </w:p>
        </w:tc>
        <w:tc>
          <w:tcPr>
            <w:tcW w:w="480" w:type="pct"/>
            <w:vAlign w:val="bottom"/>
          </w:tcPr>
          <w:p w14:paraId="1CBBDB63" w14:textId="77777777" w:rsidR="004F248E" w:rsidRPr="00321238" w:rsidRDefault="004F248E" w:rsidP="004F248E">
            <w:pPr>
              <w:suppressAutoHyphens/>
              <w:spacing w:after="0" w:line="240" w:lineRule="exact"/>
              <w:ind w:left="-123"/>
              <w:jc w:val="right"/>
              <w:rPr>
                <w:rFonts w:asciiTheme="minorHAnsi" w:eastAsia="Times New Roman" w:hAnsiTheme="minorHAnsi" w:cs="Arial"/>
                <w:spacing w:val="-2"/>
                <w:sz w:val="18"/>
                <w:szCs w:val="18"/>
                <w:lang w:val="hr-HR"/>
              </w:rPr>
            </w:pPr>
          </w:p>
        </w:tc>
        <w:tc>
          <w:tcPr>
            <w:tcW w:w="600" w:type="pct"/>
            <w:vAlign w:val="bottom"/>
          </w:tcPr>
          <w:p w14:paraId="6DDC1345" w14:textId="77777777" w:rsidR="004F248E" w:rsidRPr="00321238" w:rsidRDefault="004F248E" w:rsidP="004F248E">
            <w:pPr>
              <w:suppressAutoHyphens/>
              <w:spacing w:after="0" w:line="240" w:lineRule="exact"/>
              <w:jc w:val="right"/>
              <w:rPr>
                <w:rFonts w:asciiTheme="minorHAnsi" w:eastAsia="Times New Roman" w:hAnsiTheme="minorHAnsi" w:cs="Arial"/>
                <w:spacing w:val="-2"/>
                <w:sz w:val="18"/>
                <w:szCs w:val="18"/>
                <w:lang w:val="hr-HR"/>
              </w:rPr>
            </w:pPr>
          </w:p>
        </w:tc>
        <w:tc>
          <w:tcPr>
            <w:tcW w:w="600" w:type="pct"/>
            <w:vAlign w:val="bottom"/>
          </w:tcPr>
          <w:p w14:paraId="2EDC21A6" w14:textId="77777777" w:rsidR="004F248E" w:rsidRPr="00321238" w:rsidRDefault="004F248E" w:rsidP="004F248E">
            <w:pPr>
              <w:suppressAutoHyphens/>
              <w:spacing w:after="0" w:line="240" w:lineRule="exact"/>
              <w:jc w:val="right"/>
              <w:rPr>
                <w:rFonts w:asciiTheme="minorHAnsi" w:eastAsia="Times New Roman" w:hAnsiTheme="minorHAnsi" w:cs="Arial"/>
                <w:spacing w:val="-2"/>
                <w:sz w:val="18"/>
                <w:szCs w:val="18"/>
                <w:lang w:val="hr-HR"/>
              </w:rPr>
            </w:pPr>
          </w:p>
        </w:tc>
        <w:tc>
          <w:tcPr>
            <w:tcW w:w="600" w:type="pct"/>
            <w:vAlign w:val="bottom"/>
          </w:tcPr>
          <w:p w14:paraId="4E03A037" w14:textId="77777777" w:rsidR="004F248E" w:rsidRPr="00321238" w:rsidRDefault="004F248E" w:rsidP="004F248E">
            <w:pPr>
              <w:suppressAutoHyphens/>
              <w:spacing w:after="0" w:line="240" w:lineRule="exact"/>
              <w:jc w:val="right"/>
              <w:rPr>
                <w:rFonts w:asciiTheme="minorHAnsi" w:eastAsia="Times New Roman" w:hAnsiTheme="minorHAnsi" w:cs="Arial"/>
                <w:spacing w:val="-2"/>
                <w:sz w:val="18"/>
                <w:szCs w:val="18"/>
                <w:lang w:val="hr-HR"/>
              </w:rPr>
            </w:pPr>
          </w:p>
        </w:tc>
        <w:tc>
          <w:tcPr>
            <w:tcW w:w="600" w:type="pct"/>
            <w:vAlign w:val="bottom"/>
          </w:tcPr>
          <w:p w14:paraId="7C263FAF" w14:textId="77777777" w:rsidR="004F248E" w:rsidRPr="00321238" w:rsidRDefault="004F248E" w:rsidP="004F248E">
            <w:pPr>
              <w:suppressAutoHyphens/>
              <w:spacing w:after="0" w:line="240" w:lineRule="exact"/>
              <w:jc w:val="right"/>
              <w:rPr>
                <w:rFonts w:asciiTheme="minorHAnsi" w:eastAsia="Times New Roman" w:hAnsiTheme="minorHAnsi" w:cs="Arial"/>
                <w:spacing w:val="-2"/>
                <w:sz w:val="18"/>
                <w:szCs w:val="18"/>
                <w:lang w:val="hr-HR"/>
              </w:rPr>
            </w:pPr>
          </w:p>
        </w:tc>
        <w:tc>
          <w:tcPr>
            <w:tcW w:w="671" w:type="pct"/>
            <w:vAlign w:val="bottom"/>
          </w:tcPr>
          <w:p w14:paraId="62661761" w14:textId="77777777" w:rsidR="004F248E" w:rsidRPr="00321238" w:rsidRDefault="004F248E" w:rsidP="004F248E">
            <w:pPr>
              <w:spacing w:after="0" w:line="240" w:lineRule="exact"/>
              <w:jc w:val="right"/>
              <w:rPr>
                <w:rFonts w:asciiTheme="minorHAnsi" w:eastAsia="Times New Roman" w:hAnsiTheme="minorHAnsi" w:cs="Arial"/>
                <w:b/>
                <w:sz w:val="18"/>
                <w:szCs w:val="18"/>
                <w:lang w:val="hr-HR"/>
              </w:rPr>
            </w:pPr>
          </w:p>
        </w:tc>
      </w:tr>
      <w:tr w:rsidR="004F248E" w:rsidRPr="00321238" w14:paraId="4386EA19" w14:textId="77777777" w:rsidTr="004F248E">
        <w:tc>
          <w:tcPr>
            <w:tcW w:w="1449" w:type="pct"/>
          </w:tcPr>
          <w:p w14:paraId="52EE27DD"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Deposits</w:t>
            </w:r>
          </w:p>
        </w:tc>
        <w:tc>
          <w:tcPr>
            <w:tcW w:w="480" w:type="pct"/>
            <w:tcBorders>
              <w:top w:val="nil"/>
              <w:left w:val="nil"/>
              <w:bottom w:val="nil"/>
              <w:right w:val="nil"/>
            </w:tcBorders>
            <w:shd w:val="clear" w:color="auto" w:fill="auto"/>
            <w:vAlign w:val="bottom"/>
          </w:tcPr>
          <w:p w14:paraId="157C1EC8"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48,380</w:t>
            </w:r>
          </w:p>
        </w:tc>
        <w:tc>
          <w:tcPr>
            <w:tcW w:w="600" w:type="pct"/>
            <w:tcBorders>
              <w:top w:val="nil"/>
              <w:left w:val="nil"/>
              <w:bottom w:val="nil"/>
              <w:right w:val="nil"/>
            </w:tcBorders>
            <w:shd w:val="clear" w:color="auto" w:fill="auto"/>
            <w:vAlign w:val="bottom"/>
          </w:tcPr>
          <w:p w14:paraId="55B5A743"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42,778</w:t>
            </w:r>
          </w:p>
        </w:tc>
        <w:tc>
          <w:tcPr>
            <w:tcW w:w="600" w:type="pct"/>
            <w:tcBorders>
              <w:top w:val="nil"/>
              <w:left w:val="nil"/>
              <w:bottom w:val="nil"/>
              <w:right w:val="nil"/>
            </w:tcBorders>
            <w:shd w:val="clear" w:color="auto" w:fill="auto"/>
            <w:vAlign w:val="bottom"/>
          </w:tcPr>
          <w:p w14:paraId="34DE8F8E"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3,459</w:t>
            </w:r>
          </w:p>
        </w:tc>
        <w:tc>
          <w:tcPr>
            <w:tcW w:w="600" w:type="pct"/>
            <w:tcBorders>
              <w:top w:val="nil"/>
              <w:left w:val="nil"/>
              <w:bottom w:val="nil"/>
              <w:right w:val="nil"/>
            </w:tcBorders>
            <w:shd w:val="clear" w:color="auto" w:fill="auto"/>
            <w:vAlign w:val="bottom"/>
          </w:tcPr>
          <w:p w14:paraId="593608BC"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94,617</w:t>
            </w:r>
          </w:p>
        </w:tc>
        <w:tc>
          <w:tcPr>
            <w:tcW w:w="600" w:type="pct"/>
            <w:tcBorders>
              <w:top w:val="nil"/>
              <w:left w:val="nil"/>
              <w:bottom w:val="nil"/>
              <w:right w:val="nil"/>
            </w:tcBorders>
            <w:shd w:val="clear" w:color="auto" w:fill="auto"/>
            <w:vAlign w:val="bottom"/>
          </w:tcPr>
          <w:p w14:paraId="08F9FF73"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48,227</w:t>
            </w:r>
          </w:p>
        </w:tc>
        <w:tc>
          <w:tcPr>
            <w:tcW w:w="671" w:type="pct"/>
            <w:tcBorders>
              <w:top w:val="nil"/>
              <w:left w:val="nil"/>
              <w:bottom w:val="nil"/>
              <w:right w:val="nil"/>
            </w:tcBorders>
            <w:shd w:val="clear" w:color="auto" w:fill="auto"/>
            <w:vAlign w:val="bottom"/>
          </w:tcPr>
          <w:p w14:paraId="79C98882"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142,844</w:t>
            </w:r>
          </w:p>
        </w:tc>
      </w:tr>
      <w:tr w:rsidR="004F248E" w:rsidRPr="00321238" w14:paraId="114E80B0" w14:textId="77777777" w:rsidTr="004F248E">
        <w:tc>
          <w:tcPr>
            <w:tcW w:w="1449" w:type="pct"/>
          </w:tcPr>
          <w:p w14:paraId="29CF9920"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Borrowings</w:t>
            </w:r>
          </w:p>
        </w:tc>
        <w:tc>
          <w:tcPr>
            <w:tcW w:w="480" w:type="pct"/>
            <w:tcBorders>
              <w:top w:val="nil"/>
              <w:left w:val="nil"/>
              <w:bottom w:val="nil"/>
              <w:right w:val="nil"/>
            </w:tcBorders>
            <w:shd w:val="clear" w:color="auto" w:fill="auto"/>
            <w:vAlign w:val="bottom"/>
          </w:tcPr>
          <w:p w14:paraId="1C322483"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315,434</w:t>
            </w:r>
          </w:p>
        </w:tc>
        <w:tc>
          <w:tcPr>
            <w:tcW w:w="600" w:type="pct"/>
            <w:tcBorders>
              <w:top w:val="nil"/>
              <w:left w:val="nil"/>
              <w:bottom w:val="nil"/>
              <w:right w:val="nil"/>
            </w:tcBorders>
            <w:shd w:val="clear" w:color="auto" w:fill="auto"/>
            <w:vAlign w:val="bottom"/>
          </w:tcPr>
          <w:p w14:paraId="4AAF7ECB"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sz w:val="18"/>
                <w:szCs w:val="18"/>
                <w:lang w:val="en-US"/>
              </w:rPr>
              <w:t>13,076,315</w:t>
            </w:r>
          </w:p>
        </w:tc>
        <w:tc>
          <w:tcPr>
            <w:tcW w:w="600" w:type="pct"/>
            <w:tcBorders>
              <w:top w:val="nil"/>
              <w:left w:val="nil"/>
              <w:bottom w:val="nil"/>
              <w:right w:val="nil"/>
            </w:tcBorders>
            <w:shd w:val="clear" w:color="auto" w:fill="auto"/>
            <w:vAlign w:val="bottom"/>
          </w:tcPr>
          <w:p w14:paraId="49A01D58"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sz w:val="18"/>
                <w:szCs w:val="18"/>
                <w:lang w:val="en-US"/>
              </w:rPr>
              <w:t>-</w:t>
            </w:r>
          </w:p>
        </w:tc>
        <w:tc>
          <w:tcPr>
            <w:tcW w:w="600" w:type="pct"/>
            <w:tcBorders>
              <w:top w:val="nil"/>
              <w:left w:val="nil"/>
              <w:bottom w:val="nil"/>
              <w:right w:val="nil"/>
            </w:tcBorders>
            <w:shd w:val="clear" w:color="auto" w:fill="auto"/>
            <w:vAlign w:val="bottom"/>
          </w:tcPr>
          <w:p w14:paraId="1E928C84"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sz w:val="18"/>
                <w:szCs w:val="18"/>
                <w:lang w:val="en-US"/>
              </w:rPr>
              <w:t>13,391,749</w:t>
            </w:r>
          </w:p>
        </w:tc>
        <w:tc>
          <w:tcPr>
            <w:tcW w:w="600" w:type="pct"/>
            <w:tcBorders>
              <w:top w:val="nil"/>
              <w:left w:val="nil"/>
              <w:bottom w:val="nil"/>
              <w:right w:val="nil"/>
            </w:tcBorders>
            <w:shd w:val="clear" w:color="auto" w:fill="auto"/>
            <w:vAlign w:val="bottom"/>
          </w:tcPr>
          <w:p w14:paraId="77256BBB"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sz w:val="18"/>
                <w:szCs w:val="18"/>
                <w:lang w:val="en-US"/>
              </w:rPr>
              <w:t>-</w:t>
            </w:r>
          </w:p>
        </w:tc>
        <w:tc>
          <w:tcPr>
            <w:tcW w:w="671" w:type="pct"/>
            <w:tcBorders>
              <w:top w:val="nil"/>
              <w:left w:val="nil"/>
              <w:bottom w:val="nil"/>
              <w:right w:val="nil"/>
            </w:tcBorders>
            <w:shd w:val="clear" w:color="auto" w:fill="auto"/>
            <w:vAlign w:val="bottom"/>
          </w:tcPr>
          <w:p w14:paraId="71A2E595"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sz w:val="18"/>
                <w:szCs w:val="18"/>
                <w:lang w:val="en-US"/>
              </w:rPr>
              <w:t>13,391,749</w:t>
            </w:r>
          </w:p>
        </w:tc>
      </w:tr>
      <w:tr w:rsidR="004F248E" w:rsidRPr="00321238" w14:paraId="1B095C57" w14:textId="77777777" w:rsidTr="004F248E">
        <w:tc>
          <w:tcPr>
            <w:tcW w:w="1449" w:type="pct"/>
          </w:tcPr>
          <w:p w14:paraId="0BABA7A6"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Bonds payable</w:t>
            </w:r>
          </w:p>
        </w:tc>
        <w:tc>
          <w:tcPr>
            <w:tcW w:w="480" w:type="pct"/>
            <w:tcBorders>
              <w:top w:val="nil"/>
              <w:left w:val="nil"/>
              <w:bottom w:val="nil"/>
              <w:right w:val="nil"/>
            </w:tcBorders>
            <w:shd w:val="clear" w:color="auto" w:fill="auto"/>
            <w:vAlign w:val="bottom"/>
          </w:tcPr>
          <w:p w14:paraId="534B3843"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07BA3B95"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sz w:val="18"/>
                <w:szCs w:val="18"/>
                <w:lang w:val="en-US"/>
              </w:rPr>
              <w:t>3,105,569</w:t>
            </w:r>
          </w:p>
        </w:tc>
        <w:tc>
          <w:tcPr>
            <w:tcW w:w="600" w:type="pct"/>
            <w:tcBorders>
              <w:top w:val="nil"/>
              <w:left w:val="nil"/>
              <w:bottom w:val="nil"/>
              <w:right w:val="nil"/>
            </w:tcBorders>
            <w:shd w:val="clear" w:color="auto" w:fill="auto"/>
            <w:vAlign w:val="bottom"/>
          </w:tcPr>
          <w:p w14:paraId="0E8C836C"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sz w:val="18"/>
                <w:szCs w:val="18"/>
                <w:lang w:val="en-US"/>
              </w:rPr>
              <w:t>-</w:t>
            </w:r>
          </w:p>
        </w:tc>
        <w:tc>
          <w:tcPr>
            <w:tcW w:w="600" w:type="pct"/>
            <w:tcBorders>
              <w:top w:val="nil"/>
              <w:left w:val="nil"/>
              <w:bottom w:val="nil"/>
              <w:right w:val="nil"/>
            </w:tcBorders>
            <w:shd w:val="clear" w:color="auto" w:fill="auto"/>
            <w:vAlign w:val="bottom"/>
          </w:tcPr>
          <w:p w14:paraId="3F9A73DE"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sz w:val="18"/>
                <w:szCs w:val="18"/>
                <w:lang w:val="en-US"/>
              </w:rPr>
              <w:t>3,105,569</w:t>
            </w:r>
          </w:p>
        </w:tc>
        <w:tc>
          <w:tcPr>
            <w:tcW w:w="600" w:type="pct"/>
            <w:tcBorders>
              <w:top w:val="nil"/>
              <w:left w:val="nil"/>
              <w:bottom w:val="nil"/>
              <w:right w:val="nil"/>
            </w:tcBorders>
            <w:shd w:val="clear" w:color="auto" w:fill="auto"/>
            <w:vAlign w:val="bottom"/>
          </w:tcPr>
          <w:p w14:paraId="235BD6E1"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sz w:val="18"/>
                <w:szCs w:val="18"/>
                <w:lang w:val="en-US"/>
              </w:rPr>
              <w:t>-</w:t>
            </w:r>
          </w:p>
        </w:tc>
        <w:tc>
          <w:tcPr>
            <w:tcW w:w="671" w:type="pct"/>
            <w:tcBorders>
              <w:top w:val="nil"/>
              <w:left w:val="nil"/>
              <w:bottom w:val="nil"/>
              <w:right w:val="nil"/>
            </w:tcBorders>
            <w:shd w:val="clear" w:color="auto" w:fill="auto"/>
            <w:vAlign w:val="bottom"/>
          </w:tcPr>
          <w:p w14:paraId="154F374E"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sz w:val="18"/>
                <w:szCs w:val="18"/>
                <w:lang w:val="en-US"/>
              </w:rPr>
              <w:t>3,105,569</w:t>
            </w:r>
          </w:p>
        </w:tc>
      </w:tr>
      <w:tr w:rsidR="004F248E" w:rsidRPr="00321238" w14:paraId="594545E8" w14:textId="77777777" w:rsidTr="004F248E">
        <w:tc>
          <w:tcPr>
            <w:tcW w:w="1449" w:type="pct"/>
          </w:tcPr>
          <w:p w14:paraId="51284780"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Other liabilities</w:t>
            </w:r>
          </w:p>
        </w:tc>
        <w:tc>
          <w:tcPr>
            <w:tcW w:w="480" w:type="pct"/>
            <w:tcBorders>
              <w:top w:val="nil"/>
              <w:left w:val="nil"/>
              <w:bottom w:val="nil"/>
              <w:right w:val="nil"/>
            </w:tcBorders>
            <w:shd w:val="clear" w:color="auto" w:fill="auto"/>
            <w:vAlign w:val="bottom"/>
          </w:tcPr>
          <w:p w14:paraId="114BE7CC"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163</w:t>
            </w:r>
          </w:p>
        </w:tc>
        <w:tc>
          <w:tcPr>
            <w:tcW w:w="600" w:type="pct"/>
            <w:tcBorders>
              <w:top w:val="nil"/>
              <w:left w:val="nil"/>
              <w:bottom w:val="nil"/>
              <w:right w:val="nil"/>
            </w:tcBorders>
            <w:shd w:val="clear" w:color="auto" w:fill="auto"/>
            <w:vAlign w:val="bottom"/>
          </w:tcPr>
          <w:p w14:paraId="28083EF9"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9,664</w:t>
            </w:r>
          </w:p>
        </w:tc>
        <w:tc>
          <w:tcPr>
            <w:tcW w:w="600" w:type="pct"/>
            <w:tcBorders>
              <w:top w:val="nil"/>
              <w:left w:val="nil"/>
              <w:bottom w:val="nil"/>
              <w:right w:val="nil"/>
            </w:tcBorders>
            <w:shd w:val="clear" w:color="auto" w:fill="auto"/>
            <w:vAlign w:val="bottom"/>
          </w:tcPr>
          <w:p w14:paraId="5F64A355"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2,885</w:t>
            </w:r>
          </w:p>
        </w:tc>
        <w:tc>
          <w:tcPr>
            <w:tcW w:w="600" w:type="pct"/>
            <w:tcBorders>
              <w:top w:val="nil"/>
              <w:left w:val="nil"/>
              <w:bottom w:val="nil"/>
              <w:right w:val="nil"/>
            </w:tcBorders>
            <w:shd w:val="clear" w:color="auto" w:fill="auto"/>
            <w:vAlign w:val="bottom"/>
          </w:tcPr>
          <w:p w14:paraId="32DADBA8"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12,712</w:t>
            </w:r>
          </w:p>
        </w:tc>
        <w:tc>
          <w:tcPr>
            <w:tcW w:w="600" w:type="pct"/>
            <w:tcBorders>
              <w:top w:val="nil"/>
              <w:left w:val="nil"/>
              <w:bottom w:val="nil"/>
              <w:right w:val="nil"/>
            </w:tcBorders>
            <w:shd w:val="clear" w:color="auto" w:fill="auto"/>
            <w:vAlign w:val="bottom"/>
          </w:tcPr>
          <w:p w14:paraId="11298577"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695,240</w:t>
            </w:r>
          </w:p>
        </w:tc>
        <w:tc>
          <w:tcPr>
            <w:tcW w:w="671" w:type="pct"/>
            <w:tcBorders>
              <w:top w:val="nil"/>
              <w:left w:val="nil"/>
              <w:bottom w:val="nil"/>
              <w:right w:val="nil"/>
            </w:tcBorders>
            <w:shd w:val="clear" w:color="auto" w:fill="auto"/>
            <w:vAlign w:val="bottom"/>
          </w:tcPr>
          <w:p w14:paraId="00F1DA03"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707,952</w:t>
            </w:r>
          </w:p>
        </w:tc>
      </w:tr>
      <w:tr w:rsidR="004F248E" w:rsidRPr="00321238" w14:paraId="4BD631F7" w14:textId="77777777" w:rsidTr="004F248E">
        <w:tc>
          <w:tcPr>
            <w:tcW w:w="1449" w:type="pct"/>
          </w:tcPr>
          <w:p w14:paraId="5197C48D"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b/>
                <w:bCs/>
                <w:sz w:val="18"/>
                <w:szCs w:val="18"/>
              </w:rPr>
            </w:pPr>
            <w:r w:rsidRPr="00321238">
              <w:rPr>
                <w:rFonts w:asciiTheme="minorHAnsi" w:eastAsia="Times New Roman" w:hAnsiTheme="minorHAnsi" w:cs="Arial"/>
                <w:b/>
                <w:bCs/>
                <w:sz w:val="18"/>
                <w:szCs w:val="18"/>
              </w:rPr>
              <w:t>Total liabilities</w:t>
            </w:r>
          </w:p>
        </w:tc>
        <w:tc>
          <w:tcPr>
            <w:tcW w:w="480" w:type="pct"/>
            <w:tcBorders>
              <w:top w:val="single" w:sz="4" w:space="0" w:color="auto"/>
              <w:left w:val="nil"/>
              <w:bottom w:val="single" w:sz="8" w:space="0" w:color="auto"/>
              <w:right w:val="nil"/>
            </w:tcBorders>
            <w:shd w:val="clear" w:color="auto" w:fill="auto"/>
            <w:vAlign w:val="bottom"/>
          </w:tcPr>
          <w:p w14:paraId="465C3069"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363,977</w:t>
            </w:r>
          </w:p>
        </w:tc>
        <w:tc>
          <w:tcPr>
            <w:tcW w:w="600" w:type="pct"/>
            <w:tcBorders>
              <w:top w:val="single" w:sz="4" w:space="0" w:color="auto"/>
              <w:left w:val="nil"/>
              <w:bottom w:val="single" w:sz="8" w:space="0" w:color="auto"/>
              <w:right w:val="nil"/>
            </w:tcBorders>
            <w:shd w:val="clear" w:color="auto" w:fill="auto"/>
            <w:vAlign w:val="bottom"/>
          </w:tcPr>
          <w:p w14:paraId="59BA0828"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16,234,326</w:t>
            </w:r>
          </w:p>
        </w:tc>
        <w:tc>
          <w:tcPr>
            <w:tcW w:w="600" w:type="pct"/>
            <w:tcBorders>
              <w:top w:val="single" w:sz="4" w:space="0" w:color="auto"/>
              <w:left w:val="nil"/>
              <w:bottom w:val="single" w:sz="8" w:space="0" w:color="auto"/>
              <w:right w:val="nil"/>
            </w:tcBorders>
            <w:shd w:val="clear" w:color="auto" w:fill="auto"/>
            <w:vAlign w:val="bottom"/>
          </w:tcPr>
          <w:p w14:paraId="50D7C278"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6,344</w:t>
            </w:r>
          </w:p>
        </w:tc>
        <w:tc>
          <w:tcPr>
            <w:tcW w:w="600" w:type="pct"/>
            <w:tcBorders>
              <w:top w:val="single" w:sz="4" w:space="0" w:color="auto"/>
              <w:left w:val="nil"/>
              <w:bottom w:val="single" w:sz="8" w:space="0" w:color="auto"/>
              <w:right w:val="nil"/>
            </w:tcBorders>
            <w:shd w:val="clear" w:color="auto" w:fill="auto"/>
            <w:vAlign w:val="bottom"/>
          </w:tcPr>
          <w:p w14:paraId="004C4A91"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16,604,647</w:t>
            </w:r>
          </w:p>
        </w:tc>
        <w:tc>
          <w:tcPr>
            <w:tcW w:w="600" w:type="pct"/>
            <w:tcBorders>
              <w:top w:val="single" w:sz="4" w:space="0" w:color="auto"/>
              <w:left w:val="nil"/>
              <w:bottom w:val="single" w:sz="8" w:space="0" w:color="auto"/>
              <w:right w:val="nil"/>
            </w:tcBorders>
            <w:shd w:val="clear" w:color="auto" w:fill="auto"/>
            <w:vAlign w:val="bottom"/>
          </w:tcPr>
          <w:p w14:paraId="09D54F68"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743,467</w:t>
            </w:r>
          </w:p>
        </w:tc>
        <w:tc>
          <w:tcPr>
            <w:tcW w:w="671" w:type="pct"/>
            <w:tcBorders>
              <w:top w:val="single" w:sz="4" w:space="0" w:color="auto"/>
              <w:left w:val="nil"/>
              <w:bottom w:val="single" w:sz="8" w:space="0" w:color="auto"/>
              <w:right w:val="nil"/>
            </w:tcBorders>
            <w:shd w:val="clear" w:color="auto" w:fill="auto"/>
            <w:vAlign w:val="bottom"/>
          </w:tcPr>
          <w:p w14:paraId="5753FB22"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17,348,114</w:t>
            </w:r>
          </w:p>
        </w:tc>
      </w:tr>
      <w:tr w:rsidR="004F248E" w:rsidRPr="00321238" w14:paraId="52B04C96" w14:textId="77777777" w:rsidTr="004F248E">
        <w:trPr>
          <w:trHeight w:val="37"/>
        </w:trPr>
        <w:tc>
          <w:tcPr>
            <w:tcW w:w="1449" w:type="pct"/>
          </w:tcPr>
          <w:p w14:paraId="7347AD7D" w14:textId="77777777" w:rsidR="004F248E" w:rsidRPr="00321238" w:rsidRDefault="004F248E" w:rsidP="004F248E">
            <w:pPr>
              <w:keepNext/>
              <w:keepLines/>
              <w:tabs>
                <w:tab w:val="decimal" w:pos="1202"/>
              </w:tabs>
              <w:spacing w:after="0" w:line="140" w:lineRule="exact"/>
              <w:rPr>
                <w:rFonts w:asciiTheme="minorHAnsi" w:eastAsia="Times New Roman" w:hAnsiTheme="minorHAnsi" w:cs="Arial"/>
                <w:b/>
                <w:position w:val="4"/>
                <w:sz w:val="18"/>
                <w:szCs w:val="18"/>
                <w:u w:val="thick"/>
                <w:lang w:val="hr-HR"/>
              </w:rPr>
            </w:pPr>
          </w:p>
        </w:tc>
        <w:tc>
          <w:tcPr>
            <w:tcW w:w="480" w:type="pct"/>
            <w:tcBorders>
              <w:top w:val="single" w:sz="12" w:space="0" w:color="auto"/>
            </w:tcBorders>
            <w:vAlign w:val="bottom"/>
          </w:tcPr>
          <w:p w14:paraId="1FD78FAB" w14:textId="77777777" w:rsidR="004F248E" w:rsidRPr="00321238" w:rsidRDefault="004F248E" w:rsidP="004F248E">
            <w:pPr>
              <w:keepNext/>
              <w:keepLines/>
              <w:tabs>
                <w:tab w:val="decimal" w:pos="1202"/>
              </w:tabs>
              <w:spacing w:after="0" w:line="140" w:lineRule="exact"/>
              <w:rPr>
                <w:rFonts w:asciiTheme="minorHAnsi" w:eastAsia="Times New Roman" w:hAnsiTheme="minorHAnsi" w:cs="Arial"/>
                <w:b/>
                <w:position w:val="4"/>
                <w:sz w:val="18"/>
                <w:szCs w:val="18"/>
                <w:u w:val="thick"/>
                <w:lang w:val="hr-HR"/>
              </w:rPr>
            </w:pPr>
          </w:p>
        </w:tc>
        <w:tc>
          <w:tcPr>
            <w:tcW w:w="600" w:type="pct"/>
            <w:tcBorders>
              <w:top w:val="single" w:sz="12" w:space="0" w:color="auto"/>
            </w:tcBorders>
            <w:vAlign w:val="bottom"/>
          </w:tcPr>
          <w:p w14:paraId="2BAF6552" w14:textId="77777777" w:rsidR="004F248E" w:rsidRPr="00321238" w:rsidRDefault="004F248E" w:rsidP="004F248E">
            <w:pPr>
              <w:keepNext/>
              <w:keepLines/>
              <w:tabs>
                <w:tab w:val="decimal" w:pos="1202"/>
              </w:tabs>
              <w:spacing w:after="0" w:line="140" w:lineRule="exact"/>
              <w:rPr>
                <w:rFonts w:asciiTheme="minorHAnsi" w:eastAsia="Times New Roman" w:hAnsiTheme="minorHAnsi" w:cs="Arial"/>
                <w:b/>
                <w:position w:val="4"/>
                <w:sz w:val="18"/>
                <w:szCs w:val="18"/>
                <w:u w:val="thick"/>
                <w:lang w:val="hr-HR"/>
              </w:rPr>
            </w:pPr>
          </w:p>
        </w:tc>
        <w:tc>
          <w:tcPr>
            <w:tcW w:w="600" w:type="pct"/>
            <w:tcBorders>
              <w:top w:val="single" w:sz="12" w:space="0" w:color="auto"/>
            </w:tcBorders>
            <w:vAlign w:val="bottom"/>
          </w:tcPr>
          <w:p w14:paraId="02CEB83C" w14:textId="77777777" w:rsidR="004F248E" w:rsidRPr="00321238" w:rsidRDefault="004F248E" w:rsidP="004F248E">
            <w:pPr>
              <w:keepNext/>
              <w:keepLines/>
              <w:tabs>
                <w:tab w:val="decimal" w:pos="1202"/>
              </w:tabs>
              <w:spacing w:after="0" w:line="140" w:lineRule="exact"/>
              <w:rPr>
                <w:rFonts w:asciiTheme="minorHAnsi" w:eastAsia="Times New Roman" w:hAnsiTheme="minorHAnsi" w:cs="Arial"/>
                <w:b/>
                <w:position w:val="4"/>
                <w:sz w:val="18"/>
                <w:szCs w:val="18"/>
                <w:u w:val="thick"/>
                <w:lang w:val="hr-HR"/>
              </w:rPr>
            </w:pPr>
          </w:p>
        </w:tc>
        <w:tc>
          <w:tcPr>
            <w:tcW w:w="600" w:type="pct"/>
            <w:tcBorders>
              <w:top w:val="single" w:sz="12" w:space="0" w:color="auto"/>
            </w:tcBorders>
            <w:vAlign w:val="bottom"/>
          </w:tcPr>
          <w:p w14:paraId="4F7E872D" w14:textId="77777777" w:rsidR="004F248E" w:rsidRPr="00321238" w:rsidRDefault="004F248E" w:rsidP="004F248E">
            <w:pPr>
              <w:keepNext/>
              <w:keepLines/>
              <w:tabs>
                <w:tab w:val="decimal" w:pos="1202"/>
              </w:tabs>
              <w:spacing w:after="0" w:line="140" w:lineRule="exact"/>
              <w:rPr>
                <w:rFonts w:asciiTheme="minorHAnsi" w:eastAsia="Times New Roman" w:hAnsiTheme="minorHAnsi" w:cs="Arial"/>
                <w:b/>
                <w:position w:val="4"/>
                <w:sz w:val="18"/>
                <w:szCs w:val="18"/>
                <w:u w:val="thick"/>
                <w:lang w:val="hr-HR"/>
              </w:rPr>
            </w:pPr>
          </w:p>
        </w:tc>
        <w:tc>
          <w:tcPr>
            <w:tcW w:w="600" w:type="pct"/>
            <w:tcBorders>
              <w:top w:val="single" w:sz="12" w:space="0" w:color="auto"/>
            </w:tcBorders>
            <w:vAlign w:val="bottom"/>
          </w:tcPr>
          <w:p w14:paraId="441497BA" w14:textId="77777777" w:rsidR="004F248E" w:rsidRPr="00321238" w:rsidRDefault="004F248E" w:rsidP="004F248E">
            <w:pPr>
              <w:keepNext/>
              <w:keepLines/>
              <w:tabs>
                <w:tab w:val="decimal" w:pos="1202"/>
              </w:tabs>
              <w:spacing w:after="0" w:line="140" w:lineRule="exact"/>
              <w:rPr>
                <w:rFonts w:asciiTheme="minorHAnsi" w:eastAsia="Times New Roman" w:hAnsiTheme="minorHAnsi" w:cs="Arial"/>
                <w:b/>
                <w:position w:val="4"/>
                <w:sz w:val="18"/>
                <w:szCs w:val="18"/>
                <w:u w:val="thick"/>
                <w:lang w:val="hr-HR"/>
              </w:rPr>
            </w:pPr>
          </w:p>
        </w:tc>
        <w:tc>
          <w:tcPr>
            <w:tcW w:w="671" w:type="pct"/>
            <w:tcBorders>
              <w:top w:val="single" w:sz="12" w:space="0" w:color="auto"/>
            </w:tcBorders>
            <w:vAlign w:val="bottom"/>
          </w:tcPr>
          <w:p w14:paraId="650D84E6" w14:textId="77777777" w:rsidR="004F248E" w:rsidRPr="00321238" w:rsidRDefault="004F248E" w:rsidP="004F248E">
            <w:pPr>
              <w:keepNext/>
              <w:keepLines/>
              <w:tabs>
                <w:tab w:val="decimal" w:pos="1202"/>
              </w:tabs>
              <w:spacing w:after="0" w:line="140" w:lineRule="exact"/>
              <w:rPr>
                <w:rFonts w:asciiTheme="minorHAnsi" w:eastAsia="Times New Roman" w:hAnsiTheme="minorHAnsi" w:cs="Arial"/>
                <w:b/>
                <w:position w:val="4"/>
                <w:sz w:val="18"/>
                <w:szCs w:val="18"/>
                <w:u w:val="thick"/>
                <w:lang w:val="hr-HR"/>
              </w:rPr>
            </w:pPr>
          </w:p>
        </w:tc>
      </w:tr>
      <w:tr w:rsidR="004F248E" w:rsidRPr="00321238" w14:paraId="2766CD8A" w14:textId="77777777" w:rsidTr="004F248E">
        <w:tc>
          <w:tcPr>
            <w:tcW w:w="1449" w:type="pct"/>
          </w:tcPr>
          <w:p w14:paraId="5076F8F3"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b/>
                <w:bCs/>
                <w:sz w:val="18"/>
                <w:szCs w:val="18"/>
              </w:rPr>
            </w:pPr>
            <w:r w:rsidRPr="00321238">
              <w:rPr>
                <w:rFonts w:asciiTheme="minorHAnsi" w:eastAsia="Times New Roman" w:hAnsiTheme="minorHAnsi" w:cs="Arial"/>
                <w:b/>
                <w:bCs/>
                <w:sz w:val="18"/>
                <w:szCs w:val="18"/>
              </w:rPr>
              <w:t>Equity</w:t>
            </w:r>
          </w:p>
        </w:tc>
        <w:tc>
          <w:tcPr>
            <w:tcW w:w="480" w:type="pct"/>
            <w:vAlign w:val="bottom"/>
          </w:tcPr>
          <w:p w14:paraId="7F394FAD" w14:textId="77777777" w:rsidR="004F248E" w:rsidRPr="00321238" w:rsidRDefault="004F248E" w:rsidP="004F248E">
            <w:pPr>
              <w:spacing w:after="0" w:line="240" w:lineRule="exact"/>
              <w:jc w:val="right"/>
              <w:outlineLvl w:val="0"/>
              <w:rPr>
                <w:rFonts w:asciiTheme="minorHAnsi" w:eastAsia="Times New Roman" w:hAnsiTheme="minorHAnsi" w:cs="Arial"/>
                <w:sz w:val="18"/>
                <w:szCs w:val="18"/>
                <w:lang w:val="hr-HR"/>
              </w:rPr>
            </w:pPr>
          </w:p>
        </w:tc>
        <w:tc>
          <w:tcPr>
            <w:tcW w:w="600" w:type="pct"/>
            <w:vAlign w:val="bottom"/>
          </w:tcPr>
          <w:p w14:paraId="54B2920A" w14:textId="77777777" w:rsidR="004F248E" w:rsidRPr="00321238" w:rsidRDefault="004F248E" w:rsidP="004F248E">
            <w:pPr>
              <w:spacing w:after="0" w:line="240" w:lineRule="exact"/>
              <w:jc w:val="right"/>
              <w:outlineLvl w:val="0"/>
              <w:rPr>
                <w:rFonts w:asciiTheme="minorHAnsi" w:eastAsia="Times New Roman" w:hAnsiTheme="minorHAnsi" w:cs="Arial"/>
                <w:sz w:val="18"/>
                <w:szCs w:val="18"/>
                <w:lang w:val="hr-HR"/>
              </w:rPr>
            </w:pPr>
          </w:p>
        </w:tc>
        <w:tc>
          <w:tcPr>
            <w:tcW w:w="600" w:type="pct"/>
            <w:vAlign w:val="bottom"/>
          </w:tcPr>
          <w:p w14:paraId="61995C94" w14:textId="77777777" w:rsidR="004F248E" w:rsidRPr="00321238" w:rsidRDefault="004F248E" w:rsidP="004F248E">
            <w:pPr>
              <w:spacing w:after="0" w:line="240" w:lineRule="exact"/>
              <w:jc w:val="right"/>
              <w:outlineLvl w:val="0"/>
              <w:rPr>
                <w:rFonts w:asciiTheme="minorHAnsi" w:eastAsia="Times New Roman" w:hAnsiTheme="minorHAnsi" w:cs="Arial"/>
                <w:sz w:val="18"/>
                <w:szCs w:val="18"/>
                <w:lang w:val="hr-HR"/>
              </w:rPr>
            </w:pPr>
          </w:p>
        </w:tc>
        <w:tc>
          <w:tcPr>
            <w:tcW w:w="600" w:type="pct"/>
            <w:vAlign w:val="bottom"/>
          </w:tcPr>
          <w:p w14:paraId="53817687" w14:textId="77777777" w:rsidR="004F248E" w:rsidRPr="00321238" w:rsidRDefault="004F248E" w:rsidP="004F248E">
            <w:pPr>
              <w:spacing w:after="0" w:line="240" w:lineRule="exact"/>
              <w:jc w:val="right"/>
              <w:outlineLvl w:val="0"/>
              <w:rPr>
                <w:rFonts w:asciiTheme="minorHAnsi" w:eastAsia="Times New Roman" w:hAnsiTheme="minorHAnsi" w:cs="Arial"/>
                <w:sz w:val="18"/>
                <w:szCs w:val="18"/>
                <w:lang w:val="hr-HR"/>
              </w:rPr>
            </w:pPr>
          </w:p>
        </w:tc>
        <w:tc>
          <w:tcPr>
            <w:tcW w:w="600" w:type="pct"/>
            <w:vAlign w:val="bottom"/>
          </w:tcPr>
          <w:p w14:paraId="28ACEDF0" w14:textId="77777777" w:rsidR="004F248E" w:rsidRPr="00321238" w:rsidRDefault="004F248E" w:rsidP="004F248E">
            <w:pPr>
              <w:spacing w:after="0" w:line="240" w:lineRule="exact"/>
              <w:jc w:val="right"/>
              <w:outlineLvl w:val="0"/>
              <w:rPr>
                <w:rFonts w:asciiTheme="minorHAnsi" w:eastAsia="Times New Roman" w:hAnsiTheme="minorHAnsi" w:cs="Arial"/>
                <w:sz w:val="18"/>
                <w:szCs w:val="18"/>
                <w:lang w:val="hr-HR"/>
              </w:rPr>
            </w:pPr>
          </w:p>
        </w:tc>
        <w:tc>
          <w:tcPr>
            <w:tcW w:w="671" w:type="pct"/>
            <w:vAlign w:val="bottom"/>
          </w:tcPr>
          <w:p w14:paraId="0D30E250" w14:textId="77777777" w:rsidR="004F248E" w:rsidRPr="00321238" w:rsidRDefault="004F248E" w:rsidP="004F248E">
            <w:pPr>
              <w:spacing w:after="0" w:line="240" w:lineRule="exact"/>
              <w:jc w:val="right"/>
              <w:outlineLvl w:val="0"/>
              <w:rPr>
                <w:rFonts w:asciiTheme="minorHAnsi" w:eastAsia="Times New Roman" w:hAnsiTheme="minorHAnsi" w:cs="Arial"/>
                <w:sz w:val="18"/>
                <w:szCs w:val="18"/>
                <w:lang w:val="hr-HR"/>
              </w:rPr>
            </w:pPr>
          </w:p>
        </w:tc>
      </w:tr>
      <w:tr w:rsidR="004F248E" w:rsidRPr="00321238" w14:paraId="5F127D20" w14:textId="77777777" w:rsidTr="004F248E">
        <w:tc>
          <w:tcPr>
            <w:tcW w:w="1449" w:type="pct"/>
          </w:tcPr>
          <w:p w14:paraId="2DE7DCA2"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Founder’s capital</w:t>
            </w:r>
          </w:p>
        </w:tc>
        <w:tc>
          <w:tcPr>
            <w:tcW w:w="480" w:type="pct"/>
            <w:shd w:val="clear" w:color="auto" w:fill="auto"/>
            <w:vAlign w:val="bottom"/>
          </w:tcPr>
          <w:p w14:paraId="330800DA" w14:textId="77777777" w:rsidR="004F248E" w:rsidRPr="00321238" w:rsidRDefault="004F248E" w:rsidP="004F248E">
            <w:pPr>
              <w:tabs>
                <w:tab w:val="right" w:pos="1202"/>
              </w:tabs>
              <w:spacing w:after="0" w:line="240" w:lineRule="exact"/>
              <w:jc w:val="right"/>
              <w:outlineLvl w:val="0"/>
              <w:rPr>
                <w:rFonts w:asciiTheme="minorHAnsi" w:eastAsia="Times New Roman" w:hAnsiTheme="minorHAnsi" w:cs="Arial"/>
                <w:spacing w:val="-2"/>
                <w:sz w:val="18"/>
                <w:szCs w:val="18"/>
                <w:lang w:val="hr-HR"/>
              </w:rPr>
            </w:pPr>
            <w:r w:rsidRPr="00321238">
              <w:rPr>
                <w:rFonts w:asciiTheme="minorHAnsi" w:eastAsia="Times New Roman" w:hAnsiTheme="minorHAnsi" w:cs="Arial"/>
                <w:spacing w:val="-2"/>
                <w:sz w:val="18"/>
                <w:szCs w:val="18"/>
                <w:lang w:val="hr-HR"/>
              </w:rPr>
              <w:t>-</w:t>
            </w:r>
          </w:p>
        </w:tc>
        <w:tc>
          <w:tcPr>
            <w:tcW w:w="600" w:type="pct"/>
            <w:shd w:val="clear" w:color="auto" w:fill="auto"/>
            <w:vAlign w:val="bottom"/>
          </w:tcPr>
          <w:p w14:paraId="55158868" w14:textId="77777777" w:rsidR="004F248E" w:rsidRPr="00321238" w:rsidRDefault="004F248E" w:rsidP="004F248E">
            <w:pPr>
              <w:tabs>
                <w:tab w:val="right" w:pos="1202"/>
              </w:tabs>
              <w:spacing w:after="0" w:line="240" w:lineRule="exact"/>
              <w:jc w:val="right"/>
              <w:outlineLvl w:val="0"/>
              <w:rPr>
                <w:rFonts w:asciiTheme="minorHAnsi" w:eastAsia="Times New Roman" w:hAnsiTheme="minorHAnsi" w:cs="Arial"/>
                <w:spacing w:val="-2"/>
                <w:sz w:val="18"/>
                <w:szCs w:val="18"/>
                <w:lang w:val="hr-HR"/>
              </w:rPr>
            </w:pPr>
            <w:r w:rsidRPr="00321238">
              <w:rPr>
                <w:rFonts w:asciiTheme="minorHAnsi" w:eastAsia="Times New Roman" w:hAnsiTheme="minorHAnsi" w:cs="Arial"/>
                <w:spacing w:val="-2"/>
                <w:sz w:val="18"/>
                <w:szCs w:val="18"/>
                <w:lang w:val="hr-HR"/>
              </w:rPr>
              <w:t>-</w:t>
            </w:r>
          </w:p>
        </w:tc>
        <w:tc>
          <w:tcPr>
            <w:tcW w:w="600" w:type="pct"/>
            <w:shd w:val="clear" w:color="auto" w:fill="auto"/>
            <w:vAlign w:val="bottom"/>
          </w:tcPr>
          <w:p w14:paraId="361ED61F" w14:textId="77777777" w:rsidR="004F248E" w:rsidRPr="00321238" w:rsidRDefault="004F248E" w:rsidP="004F248E">
            <w:pPr>
              <w:tabs>
                <w:tab w:val="right" w:pos="1202"/>
              </w:tabs>
              <w:spacing w:after="0" w:line="240" w:lineRule="exact"/>
              <w:jc w:val="right"/>
              <w:outlineLvl w:val="0"/>
              <w:rPr>
                <w:rFonts w:asciiTheme="minorHAnsi" w:eastAsia="Times New Roman" w:hAnsiTheme="minorHAnsi" w:cs="Arial"/>
                <w:spacing w:val="-2"/>
                <w:sz w:val="18"/>
                <w:szCs w:val="18"/>
                <w:lang w:val="hr-HR"/>
              </w:rPr>
            </w:pPr>
            <w:r w:rsidRPr="00321238">
              <w:rPr>
                <w:rFonts w:asciiTheme="minorHAnsi" w:eastAsia="Times New Roman" w:hAnsiTheme="minorHAnsi" w:cs="Arial"/>
                <w:spacing w:val="-2"/>
                <w:sz w:val="18"/>
                <w:szCs w:val="18"/>
                <w:lang w:val="hr-HR"/>
              </w:rPr>
              <w:t>-</w:t>
            </w:r>
          </w:p>
        </w:tc>
        <w:tc>
          <w:tcPr>
            <w:tcW w:w="600" w:type="pct"/>
            <w:shd w:val="clear" w:color="auto" w:fill="auto"/>
            <w:vAlign w:val="bottom"/>
          </w:tcPr>
          <w:p w14:paraId="58094305" w14:textId="77777777" w:rsidR="004F248E" w:rsidRPr="00321238" w:rsidRDefault="004F248E" w:rsidP="004F248E">
            <w:pPr>
              <w:tabs>
                <w:tab w:val="right" w:pos="1202"/>
              </w:tabs>
              <w:spacing w:after="0" w:line="240" w:lineRule="exact"/>
              <w:jc w:val="right"/>
              <w:outlineLvl w:val="0"/>
              <w:rPr>
                <w:rFonts w:asciiTheme="minorHAnsi" w:eastAsia="Times New Roman" w:hAnsiTheme="minorHAnsi" w:cs="Arial"/>
                <w:spacing w:val="-2"/>
                <w:sz w:val="18"/>
                <w:szCs w:val="18"/>
                <w:lang w:val="hr-HR"/>
              </w:rPr>
            </w:pPr>
            <w:r w:rsidRPr="00321238">
              <w:rPr>
                <w:rFonts w:asciiTheme="minorHAnsi" w:eastAsia="Times New Roman" w:hAnsiTheme="minorHAnsi" w:cs="Arial"/>
                <w:spacing w:val="-2"/>
                <w:sz w:val="18"/>
                <w:szCs w:val="18"/>
                <w:lang w:val="hr-HR"/>
              </w:rPr>
              <w:t>-</w:t>
            </w:r>
          </w:p>
        </w:tc>
        <w:tc>
          <w:tcPr>
            <w:tcW w:w="600" w:type="pct"/>
            <w:tcBorders>
              <w:top w:val="nil"/>
              <w:left w:val="nil"/>
              <w:bottom w:val="nil"/>
              <w:right w:val="nil"/>
            </w:tcBorders>
            <w:shd w:val="clear" w:color="auto" w:fill="auto"/>
            <w:vAlign w:val="bottom"/>
          </w:tcPr>
          <w:p w14:paraId="765CF5E6" w14:textId="77777777" w:rsidR="004F248E" w:rsidRPr="00321238" w:rsidRDefault="004F248E" w:rsidP="004F248E">
            <w:pPr>
              <w:tabs>
                <w:tab w:val="right" w:pos="1202"/>
              </w:tabs>
              <w:spacing w:after="0" w:line="240" w:lineRule="exact"/>
              <w:jc w:val="right"/>
              <w:outlineLvl w:val="0"/>
              <w:rPr>
                <w:rFonts w:asciiTheme="minorHAnsi" w:eastAsia="Times New Roman" w:hAnsiTheme="minorHAnsi" w:cs="Arial"/>
                <w:spacing w:val="-2"/>
                <w:sz w:val="18"/>
                <w:szCs w:val="18"/>
                <w:lang w:val="hr-HR"/>
              </w:rPr>
            </w:pPr>
            <w:r w:rsidRPr="00321238">
              <w:rPr>
                <w:rFonts w:asciiTheme="minorHAnsi" w:eastAsia="Times New Roman" w:hAnsiTheme="minorHAnsi"/>
                <w:color w:val="000000"/>
                <w:sz w:val="18"/>
                <w:szCs w:val="18"/>
              </w:rPr>
              <w:t>6,959,632</w:t>
            </w:r>
          </w:p>
        </w:tc>
        <w:tc>
          <w:tcPr>
            <w:tcW w:w="671" w:type="pct"/>
            <w:tcBorders>
              <w:top w:val="nil"/>
              <w:left w:val="nil"/>
              <w:bottom w:val="nil"/>
              <w:right w:val="nil"/>
            </w:tcBorders>
            <w:shd w:val="clear" w:color="auto" w:fill="auto"/>
            <w:vAlign w:val="bottom"/>
          </w:tcPr>
          <w:p w14:paraId="675265A6" w14:textId="77777777" w:rsidR="004F248E" w:rsidRPr="00321238" w:rsidRDefault="004F248E" w:rsidP="004F248E">
            <w:pPr>
              <w:tabs>
                <w:tab w:val="right" w:pos="1202"/>
              </w:tabs>
              <w:spacing w:after="0" w:line="240" w:lineRule="exact"/>
              <w:jc w:val="right"/>
              <w:outlineLvl w:val="0"/>
              <w:rPr>
                <w:rFonts w:asciiTheme="minorHAnsi" w:eastAsia="Times New Roman" w:hAnsiTheme="minorHAnsi" w:cs="Arial"/>
                <w:spacing w:val="-2"/>
                <w:sz w:val="18"/>
                <w:szCs w:val="18"/>
                <w:lang w:val="hr-HR"/>
              </w:rPr>
            </w:pPr>
            <w:r w:rsidRPr="00321238">
              <w:rPr>
                <w:rFonts w:asciiTheme="minorHAnsi" w:eastAsia="Times New Roman" w:hAnsiTheme="minorHAnsi"/>
                <w:color w:val="000000"/>
                <w:sz w:val="18"/>
                <w:szCs w:val="18"/>
              </w:rPr>
              <w:t>6,959,632</w:t>
            </w:r>
          </w:p>
        </w:tc>
      </w:tr>
      <w:tr w:rsidR="004F248E" w:rsidRPr="00321238" w14:paraId="54FBDC8F" w14:textId="77777777" w:rsidTr="004F248E">
        <w:tc>
          <w:tcPr>
            <w:tcW w:w="1449" w:type="pct"/>
          </w:tcPr>
          <w:p w14:paraId="63571D13"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Retained earnings and reserves</w:t>
            </w:r>
          </w:p>
        </w:tc>
        <w:tc>
          <w:tcPr>
            <w:tcW w:w="480" w:type="pct"/>
            <w:shd w:val="clear" w:color="auto" w:fill="auto"/>
            <w:vAlign w:val="bottom"/>
          </w:tcPr>
          <w:p w14:paraId="200343B0"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Arial Unicode MS" w:hAnsiTheme="minorHAnsi" w:cs="Arial"/>
                <w:sz w:val="18"/>
                <w:szCs w:val="18"/>
                <w:lang w:val="hr-HR"/>
              </w:rPr>
              <w:t>-</w:t>
            </w:r>
          </w:p>
        </w:tc>
        <w:tc>
          <w:tcPr>
            <w:tcW w:w="600" w:type="pct"/>
            <w:shd w:val="clear" w:color="auto" w:fill="auto"/>
            <w:vAlign w:val="bottom"/>
          </w:tcPr>
          <w:p w14:paraId="38486BFD"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Arial Unicode MS" w:hAnsiTheme="minorHAnsi" w:cs="Arial"/>
                <w:sz w:val="18"/>
                <w:szCs w:val="18"/>
                <w:lang w:val="hr-HR"/>
              </w:rPr>
              <w:t>-</w:t>
            </w:r>
          </w:p>
        </w:tc>
        <w:tc>
          <w:tcPr>
            <w:tcW w:w="600" w:type="pct"/>
            <w:shd w:val="clear" w:color="auto" w:fill="auto"/>
            <w:vAlign w:val="bottom"/>
          </w:tcPr>
          <w:p w14:paraId="4D639377"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Arial Unicode MS" w:hAnsiTheme="minorHAnsi" w:cs="Arial"/>
                <w:sz w:val="18"/>
                <w:szCs w:val="18"/>
                <w:lang w:val="hr-HR"/>
              </w:rPr>
              <w:t>-</w:t>
            </w:r>
          </w:p>
        </w:tc>
        <w:tc>
          <w:tcPr>
            <w:tcW w:w="600" w:type="pct"/>
            <w:shd w:val="clear" w:color="auto" w:fill="auto"/>
            <w:vAlign w:val="bottom"/>
          </w:tcPr>
          <w:p w14:paraId="001D0BCF"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Arial Unicode MS" w:hAnsiTheme="minorHAnsi" w:cs="Arial"/>
                <w:sz w:val="18"/>
                <w:szCs w:val="18"/>
                <w:lang w:val="hr-HR"/>
              </w:rPr>
              <w:t>-</w:t>
            </w:r>
          </w:p>
        </w:tc>
        <w:tc>
          <w:tcPr>
            <w:tcW w:w="600" w:type="pct"/>
            <w:tcBorders>
              <w:top w:val="nil"/>
              <w:left w:val="nil"/>
              <w:bottom w:val="nil"/>
              <w:right w:val="nil"/>
            </w:tcBorders>
            <w:shd w:val="clear" w:color="auto" w:fill="auto"/>
            <w:vAlign w:val="bottom"/>
          </w:tcPr>
          <w:p w14:paraId="755AB3ED"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2,682,127</w:t>
            </w:r>
          </w:p>
        </w:tc>
        <w:tc>
          <w:tcPr>
            <w:tcW w:w="671" w:type="pct"/>
            <w:tcBorders>
              <w:top w:val="nil"/>
              <w:left w:val="nil"/>
              <w:bottom w:val="nil"/>
              <w:right w:val="nil"/>
            </w:tcBorders>
            <w:shd w:val="clear" w:color="auto" w:fill="auto"/>
            <w:vAlign w:val="bottom"/>
          </w:tcPr>
          <w:p w14:paraId="33B57FFD"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2,682,127</w:t>
            </w:r>
          </w:p>
        </w:tc>
      </w:tr>
      <w:tr w:rsidR="004F248E" w:rsidRPr="00321238" w14:paraId="728ECEAB" w14:textId="77777777" w:rsidTr="004F248E">
        <w:tc>
          <w:tcPr>
            <w:tcW w:w="1449" w:type="pct"/>
          </w:tcPr>
          <w:p w14:paraId="5D493702"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Other reserves</w:t>
            </w:r>
          </w:p>
        </w:tc>
        <w:tc>
          <w:tcPr>
            <w:tcW w:w="480" w:type="pct"/>
            <w:shd w:val="clear" w:color="auto" w:fill="auto"/>
            <w:vAlign w:val="bottom"/>
          </w:tcPr>
          <w:p w14:paraId="5CD0387E"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Arial Unicode MS" w:hAnsiTheme="minorHAnsi" w:cs="Arial"/>
                <w:sz w:val="18"/>
                <w:szCs w:val="18"/>
                <w:lang w:val="hr-HR"/>
              </w:rPr>
              <w:t>-</w:t>
            </w:r>
          </w:p>
        </w:tc>
        <w:tc>
          <w:tcPr>
            <w:tcW w:w="600" w:type="pct"/>
            <w:shd w:val="clear" w:color="auto" w:fill="auto"/>
            <w:vAlign w:val="bottom"/>
          </w:tcPr>
          <w:p w14:paraId="3B1421C6"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Arial Unicode MS" w:hAnsiTheme="minorHAnsi" w:cs="Arial"/>
                <w:sz w:val="18"/>
                <w:szCs w:val="18"/>
                <w:lang w:val="hr-HR"/>
              </w:rPr>
              <w:t>-</w:t>
            </w:r>
          </w:p>
        </w:tc>
        <w:tc>
          <w:tcPr>
            <w:tcW w:w="600" w:type="pct"/>
            <w:shd w:val="clear" w:color="auto" w:fill="auto"/>
            <w:vAlign w:val="bottom"/>
          </w:tcPr>
          <w:p w14:paraId="0E608745"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Arial Unicode MS" w:hAnsiTheme="minorHAnsi" w:cs="Arial"/>
                <w:sz w:val="18"/>
                <w:szCs w:val="18"/>
                <w:lang w:val="hr-HR"/>
              </w:rPr>
              <w:t>-</w:t>
            </w:r>
          </w:p>
        </w:tc>
        <w:tc>
          <w:tcPr>
            <w:tcW w:w="600" w:type="pct"/>
            <w:shd w:val="clear" w:color="auto" w:fill="auto"/>
            <w:vAlign w:val="bottom"/>
          </w:tcPr>
          <w:p w14:paraId="2832097B"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Arial Unicode MS" w:hAnsiTheme="minorHAnsi" w:cs="Arial"/>
                <w:sz w:val="18"/>
                <w:szCs w:val="18"/>
                <w:lang w:val="hr-HR"/>
              </w:rPr>
              <w:t>-</w:t>
            </w:r>
          </w:p>
        </w:tc>
        <w:tc>
          <w:tcPr>
            <w:tcW w:w="600" w:type="pct"/>
            <w:tcBorders>
              <w:top w:val="nil"/>
              <w:left w:val="nil"/>
              <w:bottom w:val="nil"/>
              <w:right w:val="nil"/>
            </w:tcBorders>
            <w:shd w:val="clear" w:color="auto" w:fill="auto"/>
            <w:vAlign w:val="bottom"/>
          </w:tcPr>
          <w:p w14:paraId="22A27BFE"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73,733</w:t>
            </w:r>
          </w:p>
        </w:tc>
        <w:tc>
          <w:tcPr>
            <w:tcW w:w="671" w:type="pct"/>
            <w:tcBorders>
              <w:top w:val="nil"/>
              <w:left w:val="nil"/>
              <w:bottom w:val="nil"/>
              <w:right w:val="nil"/>
            </w:tcBorders>
            <w:shd w:val="clear" w:color="auto" w:fill="auto"/>
            <w:vAlign w:val="bottom"/>
          </w:tcPr>
          <w:p w14:paraId="4E7B7D9D"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73,733</w:t>
            </w:r>
          </w:p>
        </w:tc>
      </w:tr>
      <w:tr w:rsidR="004F248E" w:rsidRPr="00321238" w14:paraId="18D5F094" w14:textId="77777777" w:rsidTr="004F248E">
        <w:tc>
          <w:tcPr>
            <w:tcW w:w="1449" w:type="pct"/>
          </w:tcPr>
          <w:p w14:paraId="6B9B5FC5"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Net profit for the year</w:t>
            </w:r>
          </w:p>
        </w:tc>
        <w:tc>
          <w:tcPr>
            <w:tcW w:w="480" w:type="pct"/>
            <w:tcBorders>
              <w:bottom w:val="single" w:sz="4" w:space="0" w:color="auto"/>
            </w:tcBorders>
            <w:shd w:val="clear" w:color="auto" w:fill="auto"/>
            <w:vAlign w:val="bottom"/>
          </w:tcPr>
          <w:p w14:paraId="42B5E6E7"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Arial Unicode MS" w:hAnsiTheme="minorHAnsi" w:cs="Arial"/>
                <w:sz w:val="18"/>
                <w:szCs w:val="18"/>
                <w:lang w:val="hr-HR"/>
              </w:rPr>
              <w:t>-</w:t>
            </w:r>
          </w:p>
        </w:tc>
        <w:tc>
          <w:tcPr>
            <w:tcW w:w="600" w:type="pct"/>
            <w:tcBorders>
              <w:bottom w:val="single" w:sz="4" w:space="0" w:color="auto"/>
            </w:tcBorders>
            <w:shd w:val="clear" w:color="auto" w:fill="auto"/>
            <w:vAlign w:val="bottom"/>
          </w:tcPr>
          <w:p w14:paraId="5767F9C4"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Arial Unicode MS" w:hAnsiTheme="minorHAnsi" w:cs="Arial"/>
                <w:sz w:val="18"/>
                <w:szCs w:val="18"/>
                <w:lang w:val="hr-HR"/>
              </w:rPr>
              <w:t>-</w:t>
            </w:r>
          </w:p>
        </w:tc>
        <w:tc>
          <w:tcPr>
            <w:tcW w:w="600" w:type="pct"/>
            <w:tcBorders>
              <w:bottom w:val="single" w:sz="4" w:space="0" w:color="auto"/>
            </w:tcBorders>
            <w:shd w:val="clear" w:color="auto" w:fill="auto"/>
            <w:vAlign w:val="bottom"/>
          </w:tcPr>
          <w:p w14:paraId="4AE5C9D7"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Arial Unicode MS" w:hAnsiTheme="minorHAnsi" w:cs="Arial"/>
                <w:sz w:val="18"/>
                <w:szCs w:val="18"/>
                <w:lang w:val="hr-HR"/>
              </w:rPr>
              <w:t>-</w:t>
            </w:r>
          </w:p>
        </w:tc>
        <w:tc>
          <w:tcPr>
            <w:tcW w:w="600" w:type="pct"/>
            <w:tcBorders>
              <w:bottom w:val="single" w:sz="4" w:space="0" w:color="auto"/>
            </w:tcBorders>
            <w:shd w:val="clear" w:color="auto" w:fill="auto"/>
            <w:vAlign w:val="bottom"/>
          </w:tcPr>
          <w:p w14:paraId="6C7D1DB0"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Arial Unicode MS" w:hAnsiTheme="minorHAnsi" w:cs="Arial"/>
                <w:sz w:val="18"/>
                <w:szCs w:val="18"/>
                <w:lang w:val="hr-HR"/>
              </w:rPr>
              <w:t>-</w:t>
            </w:r>
          </w:p>
        </w:tc>
        <w:tc>
          <w:tcPr>
            <w:tcW w:w="600" w:type="pct"/>
            <w:tcBorders>
              <w:top w:val="nil"/>
              <w:left w:val="nil"/>
              <w:bottom w:val="nil"/>
              <w:right w:val="nil"/>
            </w:tcBorders>
            <w:shd w:val="clear" w:color="auto" w:fill="auto"/>
            <w:vAlign w:val="bottom"/>
          </w:tcPr>
          <w:p w14:paraId="16E8C7F3"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314,841</w:t>
            </w:r>
          </w:p>
        </w:tc>
        <w:tc>
          <w:tcPr>
            <w:tcW w:w="671" w:type="pct"/>
            <w:tcBorders>
              <w:top w:val="nil"/>
              <w:left w:val="nil"/>
              <w:bottom w:val="nil"/>
              <w:right w:val="nil"/>
            </w:tcBorders>
            <w:shd w:val="clear" w:color="auto" w:fill="auto"/>
            <w:vAlign w:val="bottom"/>
          </w:tcPr>
          <w:p w14:paraId="7B4B750A" w14:textId="77777777"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314,841</w:t>
            </w:r>
          </w:p>
        </w:tc>
      </w:tr>
      <w:tr w:rsidR="004F248E" w:rsidRPr="00321238" w14:paraId="2F62D49F" w14:textId="77777777" w:rsidTr="004F248E">
        <w:tc>
          <w:tcPr>
            <w:tcW w:w="1449" w:type="pct"/>
          </w:tcPr>
          <w:p w14:paraId="627B1FA0" w14:textId="77777777" w:rsidR="004F248E" w:rsidRPr="00321238" w:rsidRDefault="004F248E" w:rsidP="004F248E">
            <w:pPr>
              <w:tabs>
                <w:tab w:val="right" w:pos="1202"/>
              </w:tabs>
              <w:spacing w:after="0" w:line="280" w:lineRule="exact"/>
              <w:outlineLvl w:val="0"/>
              <w:rPr>
                <w:rFonts w:asciiTheme="minorHAnsi" w:eastAsia="Times New Roman" w:hAnsiTheme="minorHAnsi" w:cs="Arial"/>
                <w:b/>
                <w:bCs/>
                <w:sz w:val="18"/>
                <w:szCs w:val="18"/>
              </w:rPr>
            </w:pPr>
            <w:r w:rsidRPr="00321238">
              <w:rPr>
                <w:rFonts w:asciiTheme="minorHAnsi" w:eastAsia="Times New Roman" w:hAnsiTheme="minorHAnsi" w:cs="Arial"/>
                <w:b/>
                <w:bCs/>
                <w:sz w:val="18"/>
                <w:szCs w:val="18"/>
              </w:rPr>
              <w:t>Total equity attributable to equity holders of the parent</w:t>
            </w:r>
          </w:p>
        </w:tc>
        <w:tc>
          <w:tcPr>
            <w:tcW w:w="480" w:type="pct"/>
            <w:tcBorders>
              <w:top w:val="single" w:sz="4" w:space="0" w:color="auto"/>
              <w:bottom w:val="single" w:sz="12" w:space="0" w:color="auto"/>
            </w:tcBorders>
            <w:shd w:val="clear" w:color="auto" w:fill="auto"/>
            <w:vAlign w:val="bottom"/>
          </w:tcPr>
          <w:p w14:paraId="2879305E" w14:textId="77777777" w:rsidR="004F248E" w:rsidRPr="00321238" w:rsidRDefault="004F248E" w:rsidP="004F248E">
            <w:pPr>
              <w:spacing w:after="0" w:line="240" w:lineRule="exact"/>
              <w:jc w:val="right"/>
              <w:outlineLvl w:val="0"/>
              <w:rPr>
                <w:rFonts w:asciiTheme="minorHAnsi" w:eastAsia="Times New Roman" w:hAnsiTheme="minorHAnsi" w:cs="Arial"/>
                <w:b/>
                <w:bCs/>
                <w:sz w:val="18"/>
                <w:szCs w:val="18"/>
                <w:lang w:val="hr-HR"/>
              </w:rPr>
            </w:pPr>
            <w:r w:rsidRPr="00321238">
              <w:rPr>
                <w:rFonts w:asciiTheme="minorHAnsi" w:eastAsia="Times New Roman" w:hAnsiTheme="minorHAnsi" w:cs="Arial"/>
                <w:b/>
                <w:bCs/>
                <w:sz w:val="18"/>
                <w:szCs w:val="18"/>
              </w:rPr>
              <w:t>-</w:t>
            </w:r>
          </w:p>
        </w:tc>
        <w:tc>
          <w:tcPr>
            <w:tcW w:w="600" w:type="pct"/>
            <w:tcBorders>
              <w:top w:val="single" w:sz="4" w:space="0" w:color="auto"/>
              <w:bottom w:val="single" w:sz="12" w:space="0" w:color="auto"/>
            </w:tcBorders>
            <w:shd w:val="clear" w:color="auto" w:fill="auto"/>
            <w:vAlign w:val="bottom"/>
          </w:tcPr>
          <w:p w14:paraId="4C41478F" w14:textId="77777777" w:rsidR="004F248E" w:rsidRPr="00321238" w:rsidRDefault="004F248E" w:rsidP="004F248E">
            <w:pPr>
              <w:spacing w:after="0" w:line="240" w:lineRule="exact"/>
              <w:jc w:val="right"/>
              <w:outlineLvl w:val="0"/>
              <w:rPr>
                <w:rFonts w:asciiTheme="minorHAnsi" w:eastAsia="Times New Roman" w:hAnsiTheme="minorHAnsi" w:cs="Arial"/>
                <w:b/>
                <w:bCs/>
                <w:sz w:val="18"/>
                <w:szCs w:val="18"/>
                <w:lang w:val="hr-HR"/>
              </w:rPr>
            </w:pPr>
            <w:r w:rsidRPr="00321238">
              <w:rPr>
                <w:rFonts w:asciiTheme="minorHAnsi" w:eastAsia="Times New Roman" w:hAnsiTheme="minorHAnsi" w:cs="Arial"/>
                <w:b/>
                <w:bCs/>
                <w:sz w:val="18"/>
                <w:szCs w:val="18"/>
              </w:rPr>
              <w:t>-</w:t>
            </w:r>
          </w:p>
        </w:tc>
        <w:tc>
          <w:tcPr>
            <w:tcW w:w="600" w:type="pct"/>
            <w:tcBorders>
              <w:top w:val="single" w:sz="4" w:space="0" w:color="auto"/>
              <w:bottom w:val="single" w:sz="12" w:space="0" w:color="auto"/>
            </w:tcBorders>
            <w:shd w:val="clear" w:color="auto" w:fill="auto"/>
            <w:vAlign w:val="bottom"/>
          </w:tcPr>
          <w:p w14:paraId="7F6328BD" w14:textId="77777777" w:rsidR="004F248E" w:rsidRPr="00321238" w:rsidRDefault="004F248E" w:rsidP="004F248E">
            <w:pPr>
              <w:spacing w:after="0" w:line="240" w:lineRule="exact"/>
              <w:jc w:val="right"/>
              <w:outlineLvl w:val="0"/>
              <w:rPr>
                <w:rFonts w:asciiTheme="minorHAnsi" w:eastAsia="Times New Roman" w:hAnsiTheme="minorHAnsi" w:cs="Arial"/>
                <w:b/>
                <w:bCs/>
                <w:sz w:val="18"/>
                <w:szCs w:val="18"/>
                <w:lang w:val="hr-HR"/>
              </w:rPr>
            </w:pPr>
            <w:r w:rsidRPr="00321238">
              <w:rPr>
                <w:rFonts w:asciiTheme="minorHAnsi" w:eastAsia="Times New Roman" w:hAnsiTheme="minorHAnsi" w:cs="Arial"/>
                <w:b/>
                <w:bCs/>
                <w:sz w:val="18"/>
                <w:szCs w:val="18"/>
              </w:rPr>
              <w:t>-</w:t>
            </w:r>
          </w:p>
        </w:tc>
        <w:tc>
          <w:tcPr>
            <w:tcW w:w="600" w:type="pct"/>
            <w:tcBorders>
              <w:top w:val="single" w:sz="4" w:space="0" w:color="auto"/>
              <w:bottom w:val="single" w:sz="12" w:space="0" w:color="auto"/>
            </w:tcBorders>
            <w:shd w:val="clear" w:color="auto" w:fill="auto"/>
            <w:vAlign w:val="bottom"/>
          </w:tcPr>
          <w:p w14:paraId="1A1EDB2A" w14:textId="77777777" w:rsidR="004F248E" w:rsidRPr="00321238" w:rsidRDefault="004F248E" w:rsidP="004F248E">
            <w:pPr>
              <w:spacing w:after="0" w:line="240" w:lineRule="exact"/>
              <w:jc w:val="right"/>
              <w:outlineLvl w:val="0"/>
              <w:rPr>
                <w:rFonts w:asciiTheme="minorHAnsi" w:eastAsia="Times New Roman" w:hAnsiTheme="minorHAnsi" w:cs="Arial"/>
                <w:b/>
                <w:bCs/>
                <w:sz w:val="18"/>
                <w:szCs w:val="18"/>
                <w:lang w:val="hr-HR"/>
              </w:rPr>
            </w:pPr>
            <w:r w:rsidRPr="00321238">
              <w:rPr>
                <w:rFonts w:asciiTheme="minorHAnsi" w:eastAsia="Times New Roman" w:hAnsiTheme="minorHAnsi" w:cs="Arial"/>
                <w:b/>
                <w:bCs/>
                <w:sz w:val="18"/>
                <w:szCs w:val="18"/>
              </w:rPr>
              <w:t>-</w:t>
            </w:r>
          </w:p>
        </w:tc>
        <w:tc>
          <w:tcPr>
            <w:tcW w:w="600" w:type="pct"/>
            <w:tcBorders>
              <w:top w:val="single" w:sz="4" w:space="0" w:color="auto"/>
              <w:left w:val="nil"/>
              <w:bottom w:val="single" w:sz="8" w:space="0" w:color="auto"/>
              <w:right w:val="nil"/>
            </w:tcBorders>
            <w:shd w:val="clear" w:color="auto" w:fill="auto"/>
            <w:vAlign w:val="bottom"/>
          </w:tcPr>
          <w:p w14:paraId="2CCAA184"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10,030,333</w:t>
            </w:r>
          </w:p>
        </w:tc>
        <w:tc>
          <w:tcPr>
            <w:tcW w:w="671" w:type="pct"/>
            <w:tcBorders>
              <w:top w:val="single" w:sz="4" w:space="0" w:color="auto"/>
              <w:left w:val="nil"/>
              <w:bottom w:val="single" w:sz="8" w:space="0" w:color="auto"/>
              <w:right w:val="nil"/>
            </w:tcBorders>
            <w:shd w:val="clear" w:color="auto" w:fill="auto"/>
            <w:vAlign w:val="bottom"/>
          </w:tcPr>
          <w:p w14:paraId="74A314D3"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10,030,333</w:t>
            </w:r>
          </w:p>
        </w:tc>
      </w:tr>
      <w:tr w:rsidR="004F248E" w:rsidRPr="00321238" w14:paraId="4759AFBC" w14:textId="77777777" w:rsidTr="004F248E">
        <w:trPr>
          <w:trHeight w:hRule="exact" w:val="57"/>
        </w:trPr>
        <w:tc>
          <w:tcPr>
            <w:tcW w:w="1449" w:type="pct"/>
            <w:vAlign w:val="center"/>
          </w:tcPr>
          <w:p w14:paraId="7D8395E0" w14:textId="77777777" w:rsidR="004F248E" w:rsidRPr="00321238" w:rsidRDefault="004F248E" w:rsidP="004F248E">
            <w:pPr>
              <w:tabs>
                <w:tab w:val="right" w:pos="1202"/>
              </w:tabs>
              <w:spacing w:after="0" w:line="220" w:lineRule="exact"/>
              <w:outlineLvl w:val="0"/>
              <w:rPr>
                <w:rFonts w:asciiTheme="minorHAnsi" w:eastAsia="Times New Roman" w:hAnsiTheme="minorHAnsi" w:cs="Arial"/>
                <w:sz w:val="18"/>
                <w:szCs w:val="18"/>
                <w:lang w:val="hr-HR"/>
              </w:rPr>
            </w:pPr>
          </w:p>
        </w:tc>
        <w:tc>
          <w:tcPr>
            <w:tcW w:w="480" w:type="pct"/>
            <w:tcBorders>
              <w:top w:val="single" w:sz="12" w:space="0" w:color="auto"/>
            </w:tcBorders>
            <w:vAlign w:val="bottom"/>
          </w:tcPr>
          <w:p w14:paraId="3C19A278" w14:textId="77777777" w:rsidR="004F248E" w:rsidRPr="00321238" w:rsidRDefault="004F248E" w:rsidP="004F248E">
            <w:pPr>
              <w:tabs>
                <w:tab w:val="right" w:pos="1202"/>
              </w:tabs>
              <w:spacing w:after="0" w:line="220" w:lineRule="exact"/>
              <w:jc w:val="right"/>
              <w:outlineLvl w:val="0"/>
              <w:rPr>
                <w:rFonts w:asciiTheme="minorHAnsi" w:eastAsia="Times New Roman" w:hAnsiTheme="minorHAnsi" w:cs="Arial"/>
                <w:sz w:val="18"/>
                <w:szCs w:val="18"/>
                <w:lang w:val="hr-HR"/>
              </w:rPr>
            </w:pPr>
          </w:p>
        </w:tc>
        <w:tc>
          <w:tcPr>
            <w:tcW w:w="600" w:type="pct"/>
            <w:tcBorders>
              <w:top w:val="single" w:sz="12" w:space="0" w:color="auto"/>
            </w:tcBorders>
            <w:vAlign w:val="bottom"/>
          </w:tcPr>
          <w:p w14:paraId="3E7AA53E" w14:textId="77777777" w:rsidR="004F248E" w:rsidRPr="00321238" w:rsidRDefault="004F248E" w:rsidP="004F248E">
            <w:pPr>
              <w:spacing w:after="0" w:line="220" w:lineRule="exact"/>
              <w:jc w:val="right"/>
              <w:rPr>
                <w:rFonts w:asciiTheme="minorHAnsi" w:eastAsia="Times New Roman" w:hAnsiTheme="minorHAnsi" w:cs="Arial"/>
                <w:sz w:val="18"/>
                <w:szCs w:val="18"/>
                <w:lang w:val="hr-HR"/>
              </w:rPr>
            </w:pPr>
          </w:p>
        </w:tc>
        <w:tc>
          <w:tcPr>
            <w:tcW w:w="600" w:type="pct"/>
            <w:tcBorders>
              <w:top w:val="single" w:sz="12" w:space="0" w:color="auto"/>
            </w:tcBorders>
            <w:vAlign w:val="bottom"/>
          </w:tcPr>
          <w:p w14:paraId="02221897" w14:textId="77777777" w:rsidR="004F248E" w:rsidRPr="00321238" w:rsidRDefault="004F248E" w:rsidP="004F248E">
            <w:pPr>
              <w:spacing w:after="0" w:line="220" w:lineRule="exact"/>
              <w:jc w:val="right"/>
              <w:rPr>
                <w:rFonts w:asciiTheme="minorHAnsi" w:eastAsia="Times New Roman" w:hAnsiTheme="minorHAnsi" w:cs="Arial"/>
                <w:sz w:val="18"/>
                <w:szCs w:val="18"/>
                <w:lang w:val="hr-HR"/>
              </w:rPr>
            </w:pPr>
          </w:p>
        </w:tc>
        <w:tc>
          <w:tcPr>
            <w:tcW w:w="600" w:type="pct"/>
            <w:tcBorders>
              <w:top w:val="single" w:sz="12" w:space="0" w:color="auto"/>
            </w:tcBorders>
            <w:vAlign w:val="bottom"/>
          </w:tcPr>
          <w:p w14:paraId="7115FCE5" w14:textId="77777777" w:rsidR="004F248E" w:rsidRPr="00321238" w:rsidRDefault="004F248E" w:rsidP="004F248E">
            <w:pPr>
              <w:spacing w:after="0" w:line="220" w:lineRule="exact"/>
              <w:jc w:val="right"/>
              <w:rPr>
                <w:rFonts w:asciiTheme="minorHAnsi" w:eastAsia="Times New Roman" w:hAnsiTheme="minorHAnsi" w:cs="Arial"/>
                <w:sz w:val="18"/>
                <w:szCs w:val="18"/>
                <w:lang w:val="hr-HR"/>
              </w:rPr>
            </w:pPr>
          </w:p>
        </w:tc>
        <w:tc>
          <w:tcPr>
            <w:tcW w:w="600" w:type="pct"/>
            <w:tcBorders>
              <w:top w:val="single" w:sz="12" w:space="0" w:color="auto"/>
            </w:tcBorders>
            <w:vAlign w:val="bottom"/>
          </w:tcPr>
          <w:p w14:paraId="7393C531" w14:textId="77777777" w:rsidR="004F248E" w:rsidRPr="00321238" w:rsidRDefault="004F248E" w:rsidP="004F248E">
            <w:pPr>
              <w:spacing w:after="0" w:line="220" w:lineRule="exact"/>
              <w:jc w:val="right"/>
              <w:rPr>
                <w:rFonts w:asciiTheme="minorHAnsi" w:eastAsia="Times New Roman" w:hAnsiTheme="minorHAnsi" w:cs="Arial"/>
                <w:sz w:val="18"/>
                <w:szCs w:val="18"/>
                <w:lang w:val="hr-HR"/>
              </w:rPr>
            </w:pPr>
          </w:p>
        </w:tc>
        <w:tc>
          <w:tcPr>
            <w:tcW w:w="671" w:type="pct"/>
            <w:tcBorders>
              <w:top w:val="single" w:sz="12" w:space="0" w:color="auto"/>
            </w:tcBorders>
            <w:vAlign w:val="bottom"/>
          </w:tcPr>
          <w:p w14:paraId="0700DE38" w14:textId="77777777" w:rsidR="004F248E" w:rsidRPr="00321238" w:rsidRDefault="004F248E" w:rsidP="004F248E">
            <w:pPr>
              <w:spacing w:after="0" w:line="220" w:lineRule="exact"/>
              <w:jc w:val="right"/>
              <w:rPr>
                <w:rFonts w:asciiTheme="minorHAnsi" w:eastAsia="Times New Roman" w:hAnsiTheme="minorHAnsi" w:cs="Arial"/>
                <w:sz w:val="18"/>
                <w:szCs w:val="18"/>
                <w:lang w:val="hr-HR"/>
              </w:rPr>
            </w:pPr>
          </w:p>
        </w:tc>
      </w:tr>
      <w:tr w:rsidR="004F248E" w:rsidRPr="00321238" w14:paraId="69FD4727" w14:textId="77777777" w:rsidTr="004F248E">
        <w:trPr>
          <w:trHeight w:val="305"/>
        </w:trPr>
        <w:tc>
          <w:tcPr>
            <w:tcW w:w="1449" w:type="pct"/>
            <w:vAlign w:val="center"/>
          </w:tcPr>
          <w:p w14:paraId="56B78B46"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Guarantee fund</w:t>
            </w:r>
          </w:p>
        </w:tc>
        <w:tc>
          <w:tcPr>
            <w:tcW w:w="480" w:type="pct"/>
            <w:tcBorders>
              <w:top w:val="nil"/>
              <w:left w:val="nil"/>
              <w:bottom w:val="nil"/>
              <w:right w:val="nil"/>
            </w:tcBorders>
            <w:shd w:val="clear" w:color="auto" w:fill="auto"/>
            <w:vAlign w:val="bottom"/>
          </w:tcPr>
          <w:p w14:paraId="5A66DD50" w14:textId="77777777" w:rsidR="004F248E" w:rsidRPr="00321238" w:rsidRDefault="004F248E" w:rsidP="004F248E">
            <w:pPr>
              <w:tabs>
                <w:tab w:val="right" w:pos="1202"/>
              </w:tabs>
              <w:spacing w:after="0" w:line="240" w:lineRule="exact"/>
              <w:jc w:val="right"/>
              <w:outlineLvl w:val="0"/>
              <w:rPr>
                <w:rFonts w:asciiTheme="minorHAnsi" w:eastAsia="Times New Roman" w:hAnsiTheme="minorHAnsi" w:cs="Arial"/>
                <w:bCs/>
                <w:spacing w:val="-2"/>
                <w:sz w:val="18"/>
                <w:szCs w:val="18"/>
                <w:lang w:val="hr-HR"/>
              </w:rPr>
            </w:pPr>
            <w:r w:rsidRPr="00321238">
              <w:rPr>
                <w:rFonts w:asciiTheme="minorHAnsi" w:eastAsia="Times New Roman" w:hAnsiTheme="minorHAnsi"/>
                <w:color w:val="000000"/>
                <w:sz w:val="18"/>
                <w:szCs w:val="18"/>
              </w:rPr>
              <w:t>-</w:t>
            </w:r>
          </w:p>
        </w:tc>
        <w:tc>
          <w:tcPr>
            <w:tcW w:w="600" w:type="pct"/>
            <w:tcBorders>
              <w:top w:val="nil"/>
              <w:left w:val="nil"/>
              <w:bottom w:val="nil"/>
              <w:right w:val="nil"/>
            </w:tcBorders>
            <w:shd w:val="clear" w:color="auto" w:fill="auto"/>
            <w:vAlign w:val="bottom"/>
          </w:tcPr>
          <w:p w14:paraId="37451A95" w14:textId="77777777" w:rsidR="004F248E" w:rsidRPr="00321238" w:rsidRDefault="004F248E" w:rsidP="004F248E">
            <w:pPr>
              <w:spacing w:after="0" w:line="240" w:lineRule="exact"/>
              <w:jc w:val="right"/>
              <w:rPr>
                <w:rFonts w:asciiTheme="minorHAnsi" w:eastAsia="Arial Unicode MS" w:hAnsiTheme="minorHAnsi" w:cs="Arial"/>
                <w:bCs/>
                <w:sz w:val="18"/>
                <w:szCs w:val="18"/>
                <w:lang w:val="hr-HR"/>
              </w:rPr>
            </w:pPr>
            <w:r w:rsidRPr="00321238">
              <w:rPr>
                <w:rFonts w:asciiTheme="minorHAnsi" w:eastAsia="Times New Roman" w:hAnsiTheme="minorHAnsi"/>
                <w:color w:val="000000"/>
                <w:sz w:val="18"/>
                <w:szCs w:val="18"/>
                <w:lang w:val="en-US"/>
              </w:rPr>
              <w:t>12,375</w:t>
            </w:r>
          </w:p>
        </w:tc>
        <w:tc>
          <w:tcPr>
            <w:tcW w:w="600" w:type="pct"/>
            <w:tcBorders>
              <w:top w:val="nil"/>
              <w:left w:val="nil"/>
              <w:bottom w:val="nil"/>
              <w:right w:val="nil"/>
            </w:tcBorders>
            <w:shd w:val="clear" w:color="auto" w:fill="auto"/>
            <w:vAlign w:val="bottom"/>
          </w:tcPr>
          <w:p w14:paraId="71199BC5" w14:textId="77777777" w:rsidR="004F248E" w:rsidRPr="00321238" w:rsidRDefault="004F248E" w:rsidP="004F248E">
            <w:pPr>
              <w:spacing w:after="0" w:line="240" w:lineRule="exact"/>
              <w:jc w:val="right"/>
              <w:rPr>
                <w:rFonts w:asciiTheme="minorHAnsi" w:eastAsia="Arial Unicode MS" w:hAnsiTheme="minorHAnsi" w:cs="Arial"/>
                <w:bCs/>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14:paraId="7E79C601" w14:textId="77777777" w:rsidR="004F248E" w:rsidRPr="00321238" w:rsidRDefault="004F248E" w:rsidP="004F248E">
            <w:pPr>
              <w:spacing w:after="0" w:line="240" w:lineRule="exact"/>
              <w:jc w:val="right"/>
              <w:rPr>
                <w:rFonts w:asciiTheme="minorHAnsi" w:eastAsia="Arial Unicode MS" w:hAnsiTheme="minorHAnsi" w:cs="Arial"/>
                <w:bCs/>
                <w:sz w:val="18"/>
                <w:szCs w:val="18"/>
                <w:lang w:val="hr-HR"/>
              </w:rPr>
            </w:pPr>
            <w:r w:rsidRPr="00321238">
              <w:rPr>
                <w:rFonts w:asciiTheme="minorHAnsi" w:eastAsia="Times New Roman" w:hAnsiTheme="minorHAnsi"/>
                <w:color w:val="000000"/>
                <w:sz w:val="18"/>
                <w:szCs w:val="18"/>
                <w:lang w:val="en-US"/>
              </w:rPr>
              <w:t>12,375</w:t>
            </w:r>
          </w:p>
        </w:tc>
        <w:tc>
          <w:tcPr>
            <w:tcW w:w="600" w:type="pct"/>
            <w:tcBorders>
              <w:top w:val="nil"/>
              <w:left w:val="nil"/>
              <w:bottom w:val="nil"/>
              <w:right w:val="nil"/>
            </w:tcBorders>
            <w:shd w:val="clear" w:color="auto" w:fill="auto"/>
            <w:vAlign w:val="bottom"/>
          </w:tcPr>
          <w:p w14:paraId="20AE14DE" w14:textId="77777777" w:rsidR="004F248E" w:rsidRPr="00321238" w:rsidRDefault="004F248E" w:rsidP="004F248E">
            <w:pPr>
              <w:spacing w:after="0" w:line="240" w:lineRule="exact"/>
              <w:jc w:val="right"/>
              <w:rPr>
                <w:rFonts w:asciiTheme="minorHAnsi" w:eastAsia="Arial Unicode MS" w:hAnsiTheme="minorHAnsi" w:cs="Arial"/>
                <w:bCs/>
                <w:sz w:val="18"/>
                <w:szCs w:val="18"/>
                <w:lang w:val="hr-HR"/>
              </w:rPr>
            </w:pPr>
            <w:r w:rsidRPr="00321238">
              <w:rPr>
                <w:rFonts w:asciiTheme="minorHAnsi" w:eastAsia="Times New Roman" w:hAnsiTheme="minorHAnsi"/>
                <w:color w:val="000000"/>
                <w:sz w:val="18"/>
                <w:szCs w:val="18"/>
                <w:lang w:val="en-US"/>
              </w:rPr>
              <w:t>-</w:t>
            </w:r>
          </w:p>
        </w:tc>
        <w:tc>
          <w:tcPr>
            <w:tcW w:w="671" w:type="pct"/>
            <w:tcBorders>
              <w:top w:val="nil"/>
              <w:left w:val="nil"/>
              <w:bottom w:val="nil"/>
              <w:right w:val="nil"/>
            </w:tcBorders>
            <w:shd w:val="clear" w:color="auto" w:fill="auto"/>
            <w:vAlign w:val="bottom"/>
          </w:tcPr>
          <w:p w14:paraId="51634FE8" w14:textId="77777777" w:rsidR="004F248E" w:rsidRPr="00321238" w:rsidRDefault="004F248E" w:rsidP="004F248E">
            <w:pPr>
              <w:spacing w:after="0" w:line="240" w:lineRule="exact"/>
              <w:jc w:val="right"/>
              <w:rPr>
                <w:rFonts w:asciiTheme="minorHAnsi" w:eastAsia="Arial Unicode MS" w:hAnsiTheme="minorHAnsi" w:cs="Arial"/>
                <w:bCs/>
                <w:sz w:val="18"/>
                <w:szCs w:val="18"/>
                <w:lang w:val="hr-HR"/>
              </w:rPr>
            </w:pPr>
            <w:r w:rsidRPr="00321238">
              <w:rPr>
                <w:rFonts w:asciiTheme="minorHAnsi" w:eastAsia="Times New Roman" w:hAnsiTheme="minorHAnsi"/>
                <w:color w:val="000000"/>
                <w:sz w:val="18"/>
                <w:szCs w:val="18"/>
                <w:lang w:val="en-US"/>
              </w:rPr>
              <w:t>12,375</w:t>
            </w:r>
          </w:p>
        </w:tc>
      </w:tr>
      <w:tr w:rsidR="004F248E" w:rsidRPr="00321238" w14:paraId="1F508DD0" w14:textId="77777777" w:rsidTr="004F248E">
        <w:trPr>
          <w:trHeight w:hRule="exact" w:val="57"/>
        </w:trPr>
        <w:tc>
          <w:tcPr>
            <w:tcW w:w="1449" w:type="pct"/>
            <w:vAlign w:val="center"/>
          </w:tcPr>
          <w:p w14:paraId="349F9523" w14:textId="77777777"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p>
        </w:tc>
        <w:tc>
          <w:tcPr>
            <w:tcW w:w="480" w:type="pct"/>
            <w:tcBorders>
              <w:bottom w:val="single" w:sz="8" w:space="0" w:color="auto"/>
            </w:tcBorders>
            <w:vAlign w:val="bottom"/>
          </w:tcPr>
          <w:p w14:paraId="69291DC1" w14:textId="77777777" w:rsidR="004F248E" w:rsidRPr="00321238" w:rsidRDefault="004F248E" w:rsidP="004F248E">
            <w:pPr>
              <w:tabs>
                <w:tab w:val="right" w:pos="1202"/>
              </w:tabs>
              <w:spacing w:after="0" w:line="240" w:lineRule="exact"/>
              <w:jc w:val="right"/>
              <w:outlineLvl w:val="0"/>
              <w:rPr>
                <w:rFonts w:asciiTheme="minorHAnsi" w:eastAsia="Times New Roman" w:hAnsiTheme="minorHAnsi" w:cs="Arial"/>
                <w:bCs/>
                <w:spacing w:val="-2"/>
                <w:sz w:val="18"/>
                <w:szCs w:val="18"/>
                <w:lang w:val="hr-HR"/>
              </w:rPr>
            </w:pPr>
          </w:p>
        </w:tc>
        <w:tc>
          <w:tcPr>
            <w:tcW w:w="600" w:type="pct"/>
            <w:tcBorders>
              <w:bottom w:val="single" w:sz="8" w:space="0" w:color="auto"/>
            </w:tcBorders>
            <w:vAlign w:val="bottom"/>
          </w:tcPr>
          <w:p w14:paraId="69675E3C" w14:textId="77777777" w:rsidR="004F248E" w:rsidRPr="00321238" w:rsidRDefault="004F248E" w:rsidP="004F248E">
            <w:pPr>
              <w:spacing w:after="0" w:line="240" w:lineRule="exact"/>
              <w:jc w:val="right"/>
              <w:rPr>
                <w:rFonts w:asciiTheme="minorHAnsi" w:eastAsia="Arial Unicode MS" w:hAnsiTheme="minorHAnsi" w:cs="Arial"/>
                <w:bCs/>
                <w:sz w:val="18"/>
                <w:szCs w:val="18"/>
                <w:lang w:val="hr-HR"/>
              </w:rPr>
            </w:pPr>
          </w:p>
        </w:tc>
        <w:tc>
          <w:tcPr>
            <w:tcW w:w="600" w:type="pct"/>
            <w:tcBorders>
              <w:bottom w:val="single" w:sz="8" w:space="0" w:color="auto"/>
            </w:tcBorders>
            <w:vAlign w:val="bottom"/>
          </w:tcPr>
          <w:p w14:paraId="3D971DEE" w14:textId="77777777" w:rsidR="004F248E" w:rsidRPr="00321238" w:rsidRDefault="004F248E" w:rsidP="004F248E">
            <w:pPr>
              <w:spacing w:after="0" w:line="240" w:lineRule="exact"/>
              <w:jc w:val="right"/>
              <w:rPr>
                <w:rFonts w:asciiTheme="minorHAnsi" w:eastAsia="Arial Unicode MS" w:hAnsiTheme="minorHAnsi" w:cs="Arial"/>
                <w:bCs/>
                <w:sz w:val="18"/>
                <w:szCs w:val="18"/>
                <w:lang w:val="hr-HR"/>
              </w:rPr>
            </w:pPr>
          </w:p>
        </w:tc>
        <w:tc>
          <w:tcPr>
            <w:tcW w:w="600" w:type="pct"/>
            <w:tcBorders>
              <w:bottom w:val="single" w:sz="8" w:space="0" w:color="auto"/>
            </w:tcBorders>
            <w:vAlign w:val="bottom"/>
          </w:tcPr>
          <w:p w14:paraId="69641025" w14:textId="77777777" w:rsidR="004F248E" w:rsidRPr="00321238" w:rsidRDefault="004F248E" w:rsidP="004F248E">
            <w:pPr>
              <w:spacing w:after="0" w:line="240" w:lineRule="exact"/>
              <w:jc w:val="right"/>
              <w:rPr>
                <w:rFonts w:asciiTheme="minorHAnsi" w:eastAsia="Arial Unicode MS" w:hAnsiTheme="minorHAnsi" w:cs="Arial"/>
                <w:bCs/>
                <w:sz w:val="18"/>
                <w:szCs w:val="18"/>
                <w:lang w:val="hr-HR"/>
              </w:rPr>
            </w:pPr>
          </w:p>
        </w:tc>
        <w:tc>
          <w:tcPr>
            <w:tcW w:w="600" w:type="pct"/>
            <w:tcBorders>
              <w:bottom w:val="single" w:sz="8" w:space="0" w:color="auto"/>
            </w:tcBorders>
            <w:vAlign w:val="bottom"/>
          </w:tcPr>
          <w:p w14:paraId="3ECC4FBB" w14:textId="77777777" w:rsidR="004F248E" w:rsidRPr="00321238" w:rsidRDefault="004F248E" w:rsidP="004F248E">
            <w:pPr>
              <w:spacing w:after="0" w:line="240" w:lineRule="exact"/>
              <w:rPr>
                <w:rFonts w:asciiTheme="minorHAnsi" w:eastAsia="Arial Unicode MS" w:hAnsiTheme="minorHAnsi" w:cs="Arial"/>
                <w:bCs/>
                <w:sz w:val="18"/>
                <w:szCs w:val="18"/>
                <w:lang w:val="hr-HR"/>
              </w:rPr>
            </w:pPr>
          </w:p>
        </w:tc>
        <w:tc>
          <w:tcPr>
            <w:tcW w:w="671" w:type="pct"/>
            <w:tcBorders>
              <w:bottom w:val="single" w:sz="8" w:space="0" w:color="auto"/>
            </w:tcBorders>
            <w:vAlign w:val="bottom"/>
          </w:tcPr>
          <w:p w14:paraId="3F1B8F2D" w14:textId="77777777" w:rsidR="004F248E" w:rsidRPr="00321238" w:rsidRDefault="004F248E" w:rsidP="004F248E">
            <w:pPr>
              <w:spacing w:after="0" w:line="240" w:lineRule="exact"/>
              <w:jc w:val="right"/>
              <w:rPr>
                <w:rFonts w:asciiTheme="minorHAnsi" w:eastAsia="Arial Unicode MS" w:hAnsiTheme="minorHAnsi" w:cs="Arial"/>
                <w:bCs/>
                <w:sz w:val="18"/>
                <w:szCs w:val="18"/>
                <w:lang w:val="hr-HR"/>
              </w:rPr>
            </w:pPr>
          </w:p>
        </w:tc>
      </w:tr>
      <w:tr w:rsidR="004F248E" w:rsidRPr="00321238" w14:paraId="0BCCA26E" w14:textId="77777777" w:rsidTr="004F248E">
        <w:tc>
          <w:tcPr>
            <w:tcW w:w="1449" w:type="pct"/>
            <w:vAlign w:val="bottom"/>
          </w:tcPr>
          <w:p w14:paraId="705D1D95" w14:textId="77777777" w:rsidR="004F248E" w:rsidRPr="00321238" w:rsidRDefault="004F248E" w:rsidP="004F248E">
            <w:pPr>
              <w:spacing w:after="0" w:line="240" w:lineRule="exact"/>
              <w:rPr>
                <w:rFonts w:asciiTheme="minorHAnsi" w:eastAsia="Times New Roman" w:hAnsiTheme="minorHAnsi" w:cs="Arial"/>
                <w:b/>
                <w:bCs/>
                <w:sz w:val="18"/>
                <w:szCs w:val="18"/>
              </w:rPr>
            </w:pPr>
            <w:r w:rsidRPr="00321238">
              <w:rPr>
                <w:rFonts w:asciiTheme="minorHAnsi" w:eastAsia="Times New Roman" w:hAnsiTheme="minorHAnsi" w:cs="Arial"/>
                <w:b/>
                <w:bCs/>
                <w:sz w:val="18"/>
                <w:szCs w:val="18"/>
              </w:rPr>
              <w:t xml:space="preserve">Total equity </w:t>
            </w:r>
          </w:p>
        </w:tc>
        <w:tc>
          <w:tcPr>
            <w:tcW w:w="480" w:type="pct"/>
            <w:tcBorders>
              <w:top w:val="single" w:sz="4" w:space="0" w:color="auto"/>
              <w:left w:val="nil"/>
              <w:bottom w:val="single" w:sz="8" w:space="0" w:color="auto"/>
              <w:right w:val="nil"/>
            </w:tcBorders>
            <w:shd w:val="clear" w:color="auto" w:fill="auto"/>
            <w:vAlign w:val="bottom"/>
          </w:tcPr>
          <w:p w14:paraId="3F44BFBC"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w:t>
            </w:r>
          </w:p>
        </w:tc>
        <w:tc>
          <w:tcPr>
            <w:tcW w:w="600" w:type="pct"/>
            <w:tcBorders>
              <w:top w:val="single" w:sz="4" w:space="0" w:color="auto"/>
              <w:left w:val="nil"/>
              <w:bottom w:val="single" w:sz="8" w:space="0" w:color="auto"/>
              <w:right w:val="nil"/>
            </w:tcBorders>
            <w:shd w:val="clear" w:color="auto" w:fill="auto"/>
            <w:vAlign w:val="bottom"/>
          </w:tcPr>
          <w:p w14:paraId="4B7C6AA2"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12,375</w:t>
            </w:r>
          </w:p>
        </w:tc>
        <w:tc>
          <w:tcPr>
            <w:tcW w:w="600" w:type="pct"/>
            <w:tcBorders>
              <w:top w:val="single" w:sz="4" w:space="0" w:color="auto"/>
              <w:left w:val="nil"/>
              <w:bottom w:val="single" w:sz="8" w:space="0" w:color="auto"/>
              <w:right w:val="nil"/>
            </w:tcBorders>
            <w:shd w:val="clear" w:color="auto" w:fill="auto"/>
            <w:vAlign w:val="bottom"/>
          </w:tcPr>
          <w:p w14:paraId="7F13B2CC"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w:t>
            </w:r>
          </w:p>
        </w:tc>
        <w:tc>
          <w:tcPr>
            <w:tcW w:w="600" w:type="pct"/>
            <w:tcBorders>
              <w:top w:val="single" w:sz="4" w:space="0" w:color="auto"/>
              <w:left w:val="nil"/>
              <w:bottom w:val="single" w:sz="8" w:space="0" w:color="auto"/>
              <w:right w:val="nil"/>
            </w:tcBorders>
            <w:shd w:val="clear" w:color="auto" w:fill="auto"/>
            <w:vAlign w:val="bottom"/>
          </w:tcPr>
          <w:p w14:paraId="31BF362B"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12,375</w:t>
            </w:r>
          </w:p>
        </w:tc>
        <w:tc>
          <w:tcPr>
            <w:tcW w:w="600" w:type="pct"/>
            <w:tcBorders>
              <w:top w:val="single" w:sz="4" w:space="0" w:color="auto"/>
              <w:left w:val="nil"/>
              <w:bottom w:val="single" w:sz="8" w:space="0" w:color="auto"/>
              <w:right w:val="nil"/>
            </w:tcBorders>
            <w:shd w:val="clear" w:color="auto" w:fill="auto"/>
            <w:vAlign w:val="bottom"/>
          </w:tcPr>
          <w:p w14:paraId="0F8DE56B"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10,030,333</w:t>
            </w:r>
          </w:p>
        </w:tc>
        <w:tc>
          <w:tcPr>
            <w:tcW w:w="671" w:type="pct"/>
            <w:tcBorders>
              <w:top w:val="single" w:sz="4" w:space="0" w:color="auto"/>
              <w:left w:val="nil"/>
              <w:bottom w:val="single" w:sz="8" w:space="0" w:color="auto"/>
              <w:right w:val="nil"/>
            </w:tcBorders>
            <w:shd w:val="clear" w:color="auto" w:fill="auto"/>
            <w:vAlign w:val="bottom"/>
          </w:tcPr>
          <w:p w14:paraId="51A6EC86"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10,042,708</w:t>
            </w:r>
          </w:p>
        </w:tc>
      </w:tr>
      <w:tr w:rsidR="004F248E" w:rsidRPr="00321238" w14:paraId="25AE47E8" w14:textId="77777777" w:rsidTr="004F248E">
        <w:tc>
          <w:tcPr>
            <w:tcW w:w="1449" w:type="pct"/>
          </w:tcPr>
          <w:p w14:paraId="44800FF5" w14:textId="77777777" w:rsidR="004F248E" w:rsidRPr="00321238" w:rsidRDefault="004F248E" w:rsidP="004F248E">
            <w:pPr>
              <w:spacing w:after="0" w:line="240" w:lineRule="exact"/>
              <w:rPr>
                <w:rFonts w:asciiTheme="minorHAnsi" w:eastAsia="Times New Roman" w:hAnsiTheme="minorHAnsi" w:cs="Arial"/>
                <w:b/>
                <w:bCs/>
                <w:sz w:val="18"/>
                <w:szCs w:val="18"/>
              </w:rPr>
            </w:pPr>
            <w:r w:rsidRPr="00321238">
              <w:rPr>
                <w:rFonts w:asciiTheme="minorHAnsi" w:eastAsia="Times New Roman" w:hAnsiTheme="minorHAnsi" w:cs="Arial"/>
                <w:b/>
                <w:bCs/>
                <w:sz w:val="18"/>
                <w:szCs w:val="18"/>
              </w:rPr>
              <w:t>Total liabilities and total equity (2)</w:t>
            </w:r>
          </w:p>
        </w:tc>
        <w:tc>
          <w:tcPr>
            <w:tcW w:w="480" w:type="pct"/>
            <w:tcBorders>
              <w:top w:val="single" w:sz="8" w:space="0" w:color="auto"/>
              <w:left w:val="nil"/>
              <w:bottom w:val="single" w:sz="12" w:space="0" w:color="auto"/>
              <w:right w:val="nil"/>
            </w:tcBorders>
            <w:shd w:val="clear" w:color="auto" w:fill="auto"/>
            <w:vAlign w:val="bottom"/>
          </w:tcPr>
          <w:p w14:paraId="7FF0F41B"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363,977</w:t>
            </w:r>
          </w:p>
        </w:tc>
        <w:tc>
          <w:tcPr>
            <w:tcW w:w="600" w:type="pct"/>
            <w:tcBorders>
              <w:top w:val="single" w:sz="8" w:space="0" w:color="auto"/>
              <w:left w:val="nil"/>
              <w:bottom w:val="single" w:sz="12" w:space="0" w:color="auto"/>
              <w:right w:val="nil"/>
            </w:tcBorders>
            <w:shd w:val="clear" w:color="auto" w:fill="auto"/>
            <w:vAlign w:val="bottom"/>
          </w:tcPr>
          <w:p w14:paraId="59D1A24C"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16,246,701</w:t>
            </w:r>
          </w:p>
        </w:tc>
        <w:tc>
          <w:tcPr>
            <w:tcW w:w="600" w:type="pct"/>
            <w:tcBorders>
              <w:top w:val="single" w:sz="8" w:space="0" w:color="auto"/>
              <w:left w:val="nil"/>
              <w:bottom w:val="single" w:sz="12" w:space="0" w:color="auto"/>
              <w:right w:val="nil"/>
            </w:tcBorders>
            <w:shd w:val="clear" w:color="auto" w:fill="auto"/>
            <w:vAlign w:val="bottom"/>
          </w:tcPr>
          <w:p w14:paraId="5A4C2C6D"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6,344</w:t>
            </w:r>
          </w:p>
        </w:tc>
        <w:tc>
          <w:tcPr>
            <w:tcW w:w="600" w:type="pct"/>
            <w:tcBorders>
              <w:top w:val="single" w:sz="8" w:space="0" w:color="auto"/>
              <w:left w:val="nil"/>
              <w:bottom w:val="single" w:sz="12" w:space="0" w:color="auto"/>
              <w:right w:val="nil"/>
            </w:tcBorders>
            <w:shd w:val="clear" w:color="auto" w:fill="auto"/>
            <w:vAlign w:val="bottom"/>
          </w:tcPr>
          <w:p w14:paraId="3751443D"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16,617,022</w:t>
            </w:r>
          </w:p>
        </w:tc>
        <w:tc>
          <w:tcPr>
            <w:tcW w:w="600" w:type="pct"/>
            <w:tcBorders>
              <w:top w:val="single" w:sz="8" w:space="0" w:color="auto"/>
              <w:left w:val="nil"/>
              <w:bottom w:val="single" w:sz="12" w:space="0" w:color="auto"/>
              <w:right w:val="nil"/>
            </w:tcBorders>
            <w:shd w:val="clear" w:color="auto" w:fill="auto"/>
            <w:vAlign w:val="bottom"/>
          </w:tcPr>
          <w:p w14:paraId="43B3AE8D"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10,773,800</w:t>
            </w:r>
          </w:p>
        </w:tc>
        <w:tc>
          <w:tcPr>
            <w:tcW w:w="671" w:type="pct"/>
            <w:tcBorders>
              <w:top w:val="single" w:sz="8" w:space="0" w:color="auto"/>
              <w:left w:val="nil"/>
              <w:bottom w:val="single" w:sz="12" w:space="0" w:color="auto"/>
              <w:right w:val="nil"/>
            </w:tcBorders>
            <w:shd w:val="clear" w:color="auto" w:fill="auto"/>
            <w:vAlign w:val="bottom"/>
          </w:tcPr>
          <w:p w14:paraId="5F3C419F"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27,390,822</w:t>
            </w:r>
          </w:p>
        </w:tc>
      </w:tr>
      <w:tr w:rsidR="004F248E" w:rsidRPr="00321238" w14:paraId="5B5F9EC1" w14:textId="77777777" w:rsidTr="004F248E">
        <w:trPr>
          <w:trHeight w:val="197"/>
        </w:trPr>
        <w:tc>
          <w:tcPr>
            <w:tcW w:w="1449" w:type="pct"/>
            <w:vAlign w:val="bottom"/>
          </w:tcPr>
          <w:p w14:paraId="2A094C46" w14:textId="77777777" w:rsidR="004F248E" w:rsidRPr="00321238" w:rsidRDefault="004F248E" w:rsidP="004F248E">
            <w:pPr>
              <w:spacing w:after="0" w:line="240" w:lineRule="exact"/>
              <w:rPr>
                <w:rFonts w:asciiTheme="minorHAnsi" w:eastAsia="Times New Roman" w:hAnsiTheme="minorHAnsi" w:cs="Arial"/>
                <w:b/>
                <w:bCs/>
                <w:sz w:val="18"/>
                <w:szCs w:val="18"/>
              </w:rPr>
            </w:pPr>
            <w:r w:rsidRPr="00321238">
              <w:rPr>
                <w:rFonts w:asciiTheme="minorHAnsi" w:eastAsia="Times New Roman" w:hAnsiTheme="minorHAnsi" w:cs="Arial"/>
                <w:b/>
                <w:bCs/>
                <w:sz w:val="18"/>
                <w:szCs w:val="18"/>
              </w:rPr>
              <w:t>Net assets/liabilities (1) – (2)</w:t>
            </w:r>
          </w:p>
        </w:tc>
        <w:tc>
          <w:tcPr>
            <w:tcW w:w="480" w:type="pct"/>
            <w:tcBorders>
              <w:top w:val="single" w:sz="12" w:space="0" w:color="auto"/>
              <w:left w:val="nil"/>
              <w:bottom w:val="single" w:sz="12" w:space="0" w:color="auto"/>
              <w:right w:val="nil"/>
            </w:tcBorders>
            <w:shd w:val="clear" w:color="auto" w:fill="auto"/>
            <w:vAlign w:val="bottom"/>
          </w:tcPr>
          <w:p w14:paraId="41BFEDB9"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200,557</w:t>
            </w:r>
          </w:p>
        </w:tc>
        <w:tc>
          <w:tcPr>
            <w:tcW w:w="600" w:type="pct"/>
            <w:tcBorders>
              <w:top w:val="single" w:sz="12" w:space="0" w:color="auto"/>
              <w:left w:val="nil"/>
              <w:bottom w:val="single" w:sz="12" w:space="0" w:color="auto"/>
              <w:right w:val="nil"/>
            </w:tcBorders>
            <w:shd w:val="clear" w:color="auto" w:fill="auto"/>
            <w:vAlign w:val="bottom"/>
          </w:tcPr>
          <w:p w14:paraId="7B0FB94E"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(419,278)</w:t>
            </w:r>
          </w:p>
        </w:tc>
        <w:tc>
          <w:tcPr>
            <w:tcW w:w="600" w:type="pct"/>
            <w:tcBorders>
              <w:top w:val="single" w:sz="12" w:space="0" w:color="auto"/>
              <w:left w:val="nil"/>
              <w:bottom w:val="single" w:sz="12" w:space="0" w:color="auto"/>
              <w:right w:val="nil"/>
            </w:tcBorders>
            <w:shd w:val="clear" w:color="auto" w:fill="auto"/>
            <w:vAlign w:val="bottom"/>
          </w:tcPr>
          <w:p w14:paraId="2544E324"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(1,469)**</w:t>
            </w:r>
          </w:p>
        </w:tc>
        <w:tc>
          <w:tcPr>
            <w:tcW w:w="600" w:type="pct"/>
            <w:tcBorders>
              <w:top w:val="single" w:sz="12" w:space="0" w:color="auto"/>
              <w:left w:val="nil"/>
              <w:bottom w:val="single" w:sz="12" w:space="0" w:color="auto"/>
              <w:right w:val="nil"/>
            </w:tcBorders>
            <w:shd w:val="clear" w:color="auto" w:fill="auto"/>
            <w:vAlign w:val="bottom"/>
          </w:tcPr>
          <w:p w14:paraId="5ECAB504"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(220,190)</w:t>
            </w:r>
          </w:p>
        </w:tc>
        <w:tc>
          <w:tcPr>
            <w:tcW w:w="600" w:type="pct"/>
            <w:tcBorders>
              <w:top w:val="single" w:sz="12" w:space="0" w:color="auto"/>
              <w:left w:val="nil"/>
              <w:bottom w:val="single" w:sz="12" w:space="0" w:color="auto"/>
              <w:right w:val="nil"/>
            </w:tcBorders>
            <w:shd w:val="clear" w:color="auto" w:fill="auto"/>
            <w:vAlign w:val="bottom"/>
          </w:tcPr>
          <w:p w14:paraId="218F4B99"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220,190</w:t>
            </w:r>
          </w:p>
        </w:tc>
        <w:tc>
          <w:tcPr>
            <w:tcW w:w="671" w:type="pct"/>
            <w:tcBorders>
              <w:top w:val="single" w:sz="12" w:space="0" w:color="auto"/>
              <w:left w:val="nil"/>
              <w:bottom w:val="single" w:sz="12" w:space="0" w:color="auto"/>
              <w:right w:val="nil"/>
            </w:tcBorders>
            <w:shd w:val="clear" w:color="auto" w:fill="auto"/>
            <w:vAlign w:val="bottom"/>
          </w:tcPr>
          <w:p w14:paraId="1153EAB3" w14:textId="77777777"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w:t>
            </w:r>
          </w:p>
        </w:tc>
      </w:tr>
    </w:tbl>
    <w:p w14:paraId="7E5A481F" w14:textId="77777777" w:rsidR="009702B0" w:rsidRPr="009702B0" w:rsidRDefault="009702B0" w:rsidP="009702B0">
      <w:pPr>
        <w:tabs>
          <w:tab w:val="right" w:pos="1202"/>
        </w:tabs>
        <w:spacing w:after="0" w:line="240" w:lineRule="auto"/>
        <w:outlineLvl w:val="0"/>
        <w:rPr>
          <w:rFonts w:eastAsia="Times New Roman"/>
          <w:i/>
          <w:sz w:val="18"/>
          <w:szCs w:val="18"/>
        </w:rPr>
      </w:pPr>
    </w:p>
    <w:p w14:paraId="238BBA7E" w14:textId="02E4EC88" w:rsidR="009702B0" w:rsidRPr="009702B0" w:rsidRDefault="009702B0" w:rsidP="009702B0">
      <w:pPr>
        <w:tabs>
          <w:tab w:val="right" w:pos="1202"/>
        </w:tabs>
        <w:spacing w:after="0" w:line="240" w:lineRule="auto"/>
        <w:jc w:val="both"/>
        <w:outlineLvl w:val="0"/>
        <w:rPr>
          <w:rFonts w:eastAsia="Times New Roman"/>
          <w:i/>
          <w:sz w:val="18"/>
          <w:szCs w:val="18"/>
        </w:rPr>
      </w:pPr>
      <w:r w:rsidRPr="009702B0">
        <w:rPr>
          <w:rFonts w:eastAsia="Times New Roman"/>
          <w:i/>
          <w:sz w:val="18"/>
          <w:szCs w:val="18"/>
        </w:rPr>
        <w:t xml:space="preserve">*Amounts linked to </w:t>
      </w:r>
      <w:proofErr w:type="gramStart"/>
      <w:r w:rsidRPr="009702B0">
        <w:rPr>
          <w:rFonts w:eastAsia="Times New Roman"/>
          <w:i/>
          <w:sz w:val="18"/>
          <w:szCs w:val="18"/>
        </w:rPr>
        <w:t>a  one</w:t>
      </w:r>
      <w:proofErr w:type="gramEnd"/>
      <w:r w:rsidRPr="009702B0">
        <w:rPr>
          <w:rFonts w:eastAsia="Times New Roman"/>
          <w:i/>
          <w:sz w:val="18"/>
          <w:szCs w:val="18"/>
        </w:rPr>
        <w:t xml:space="preserve">-way currency clause represent HRK </w:t>
      </w:r>
      <w:r w:rsidR="004F248E" w:rsidRPr="004F248E">
        <w:rPr>
          <w:rFonts w:eastAsia="Times New Roman"/>
          <w:i/>
          <w:sz w:val="18"/>
          <w:szCs w:val="18"/>
        </w:rPr>
        <w:t>249,278</w:t>
      </w:r>
      <w:r w:rsidRPr="009702B0">
        <w:rPr>
          <w:rFonts w:eastAsia="Times New Roman"/>
          <w:i/>
          <w:sz w:val="18"/>
          <w:szCs w:val="18"/>
        </w:rPr>
        <w:t xml:space="preserve"> thousand.</w:t>
      </w:r>
    </w:p>
    <w:p w14:paraId="427E4359" w14:textId="77777777" w:rsidR="009702B0" w:rsidRPr="009702B0" w:rsidRDefault="009702B0" w:rsidP="009702B0">
      <w:pPr>
        <w:tabs>
          <w:tab w:val="right" w:pos="1202"/>
        </w:tabs>
        <w:spacing w:after="0" w:line="240" w:lineRule="auto"/>
        <w:outlineLvl w:val="0"/>
        <w:rPr>
          <w:rFonts w:eastAsia="Times New Roman"/>
          <w:i/>
          <w:sz w:val="18"/>
          <w:szCs w:val="18"/>
        </w:rPr>
        <w:sectPr w:rsidR="009702B0" w:rsidRPr="009702B0" w:rsidSect="00947CB7">
          <w:footerReference w:type="default" r:id="rId116"/>
          <w:pgSz w:w="11906" w:h="16838" w:code="9"/>
          <w:pgMar w:top="1418" w:right="1418" w:bottom="595" w:left="1134" w:header="851" w:footer="851" w:gutter="0"/>
          <w:cols w:space="720"/>
          <w:noEndnote/>
        </w:sectPr>
      </w:pPr>
      <w:r w:rsidRPr="009702B0">
        <w:rPr>
          <w:rFonts w:eastAsia="Times New Roman"/>
          <w:i/>
          <w:sz w:val="18"/>
          <w:szCs w:val="18"/>
        </w:rPr>
        <w:t>**Reported gap is a result of provisions made for issued foreign currency guarantees in other foreign currencies stated under “Other liabilities”.</w:t>
      </w:r>
    </w:p>
    <w:p w14:paraId="00EA836E" w14:textId="77777777" w:rsidR="009702B0" w:rsidRPr="009702B0" w:rsidRDefault="009702B0" w:rsidP="009702B0">
      <w:pPr>
        <w:keepNext/>
        <w:spacing w:after="0" w:line="240" w:lineRule="auto"/>
        <w:ind w:left="709" w:hanging="709"/>
        <w:jc w:val="both"/>
        <w:rPr>
          <w:rFonts w:eastAsia="Times New Roman" w:cs="Arial"/>
          <w:b/>
          <w:bCs/>
        </w:rPr>
      </w:pPr>
    </w:p>
    <w:p w14:paraId="3FC0BB1F"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        Risk management (continued)</w:t>
      </w:r>
    </w:p>
    <w:p w14:paraId="5FD77BE3" w14:textId="77777777" w:rsidR="009702B0" w:rsidRPr="009702B0" w:rsidRDefault="009702B0" w:rsidP="009702B0">
      <w:pPr>
        <w:keepNext/>
        <w:spacing w:after="0" w:line="240" w:lineRule="auto"/>
        <w:ind w:left="709" w:hanging="709"/>
        <w:jc w:val="both"/>
        <w:rPr>
          <w:rFonts w:eastAsia="Times New Roman" w:cs="Arial"/>
          <w:b/>
          <w:bCs/>
        </w:rPr>
      </w:pPr>
    </w:p>
    <w:p w14:paraId="68B8A0C8"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     Market risk (continued)</w:t>
      </w:r>
    </w:p>
    <w:p w14:paraId="0DFD1963" w14:textId="77777777" w:rsidR="009702B0" w:rsidRPr="009702B0" w:rsidRDefault="009702B0" w:rsidP="009702B0">
      <w:pPr>
        <w:keepNext/>
        <w:spacing w:after="0" w:line="240" w:lineRule="auto"/>
        <w:ind w:left="709" w:hanging="709"/>
        <w:jc w:val="both"/>
        <w:rPr>
          <w:rFonts w:eastAsia="Times New Roman" w:cs="Arial"/>
          <w:b/>
          <w:bCs/>
        </w:rPr>
      </w:pPr>
    </w:p>
    <w:p w14:paraId="41C3A0B0"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16.4.2</w:t>
      </w:r>
      <w:proofErr w:type="gramStart"/>
      <w:r w:rsidRPr="009702B0">
        <w:rPr>
          <w:rFonts w:eastAsia="Times New Roman" w:cs="Arial"/>
          <w:b/>
          <w:bCs/>
        </w:rPr>
        <w:t>.  Currency</w:t>
      </w:r>
      <w:proofErr w:type="gramEnd"/>
      <w:r w:rsidRPr="009702B0">
        <w:rPr>
          <w:rFonts w:eastAsia="Times New Roman" w:cs="Arial"/>
          <w:b/>
          <w:bCs/>
        </w:rPr>
        <w:t xml:space="preserve"> risk (continued)</w:t>
      </w:r>
    </w:p>
    <w:p w14:paraId="08F862D9" w14:textId="77777777" w:rsidR="009702B0" w:rsidRPr="009702B0" w:rsidRDefault="009702B0" w:rsidP="009702B0">
      <w:pPr>
        <w:keepNext/>
        <w:spacing w:after="0" w:line="240" w:lineRule="auto"/>
        <w:ind w:left="709" w:hanging="709"/>
        <w:jc w:val="both"/>
        <w:rPr>
          <w:rFonts w:eastAsia="Times New Roman" w:cs="Arial"/>
          <w:b/>
          <w:bCs/>
        </w:rPr>
      </w:pPr>
    </w:p>
    <w:p w14:paraId="3BF4C951" w14:textId="2352D860" w:rsidR="009702B0" w:rsidRPr="009702B0" w:rsidRDefault="009702B0" w:rsidP="009702B0">
      <w:pPr>
        <w:keepNext/>
        <w:spacing w:after="0" w:line="240" w:lineRule="auto"/>
        <w:jc w:val="both"/>
        <w:rPr>
          <w:rFonts w:eastAsia="Times New Roman" w:cs="Arial"/>
          <w:sz w:val="20"/>
          <w:szCs w:val="20"/>
        </w:rPr>
      </w:pPr>
      <w:r w:rsidRPr="009702B0">
        <w:rPr>
          <w:rFonts w:eastAsia="Times New Roman" w:cs="Arial"/>
          <w:sz w:val="20"/>
          <w:szCs w:val="20"/>
        </w:rPr>
        <w:t xml:space="preserve">Total assets and total liabilities and equity as of </w:t>
      </w:r>
      <w:r w:rsidR="00F90F31" w:rsidRPr="00F90F31">
        <w:rPr>
          <w:rFonts w:eastAsia="Times New Roman" w:cs="Arial"/>
          <w:sz w:val="20"/>
          <w:szCs w:val="20"/>
        </w:rPr>
        <w:t xml:space="preserve">30 </w:t>
      </w:r>
      <w:r w:rsidR="00456071">
        <w:rPr>
          <w:rFonts w:eastAsia="Times New Roman" w:cs="Arial"/>
          <w:sz w:val="20"/>
          <w:szCs w:val="20"/>
        </w:rPr>
        <w:t>September</w:t>
      </w:r>
      <w:r w:rsidR="00456071" w:rsidRPr="00F90F31">
        <w:rPr>
          <w:rFonts w:eastAsia="Times New Roman" w:cs="Arial"/>
          <w:sz w:val="20"/>
          <w:szCs w:val="20"/>
        </w:rPr>
        <w:t xml:space="preserve"> </w:t>
      </w:r>
      <w:r w:rsidR="004F248E" w:rsidRPr="004F248E">
        <w:rPr>
          <w:rFonts w:eastAsia="Times New Roman" w:cs="Arial"/>
          <w:sz w:val="20"/>
          <w:szCs w:val="20"/>
        </w:rPr>
        <w:t>2017 and 31 December 2016</w:t>
      </w:r>
      <w:r w:rsidRPr="009702B0">
        <w:rPr>
          <w:rFonts w:eastAsia="Times New Roman" w:cs="Arial"/>
          <w:sz w:val="20"/>
          <w:szCs w:val="20"/>
        </w:rPr>
        <w:t xml:space="preserve"> in HRK and foreign currencies can be shown as follows:</w:t>
      </w:r>
    </w:p>
    <w:p w14:paraId="38DC01E4" w14:textId="77777777" w:rsidR="009702B0" w:rsidRPr="009702B0" w:rsidRDefault="009702B0" w:rsidP="009702B0">
      <w:pPr>
        <w:keepNext/>
        <w:spacing w:after="0" w:line="240" w:lineRule="auto"/>
        <w:jc w:val="both"/>
        <w:rPr>
          <w:rFonts w:eastAsia="Times New Roman" w:cs="Arial"/>
          <w:sz w:val="20"/>
          <w:szCs w:val="20"/>
        </w:rPr>
      </w:pPr>
    </w:p>
    <w:tbl>
      <w:tblPr>
        <w:tblW w:w="5249" w:type="pct"/>
        <w:tblInd w:w="-306" w:type="dxa"/>
        <w:tblLayout w:type="fixed"/>
        <w:tblCellMar>
          <w:left w:w="120" w:type="dxa"/>
          <w:right w:w="120" w:type="dxa"/>
        </w:tblCellMar>
        <w:tblLook w:val="0000" w:firstRow="0" w:lastRow="0" w:firstColumn="0" w:lastColumn="0" w:noHBand="0" w:noVBand="0"/>
      </w:tblPr>
      <w:tblGrid>
        <w:gridCol w:w="2859"/>
        <w:gridCol w:w="852"/>
        <w:gridCol w:w="1116"/>
        <w:gridCol w:w="1210"/>
        <w:gridCol w:w="1208"/>
        <w:gridCol w:w="1332"/>
        <w:gridCol w:w="1243"/>
      </w:tblGrid>
      <w:tr w:rsidR="009702B0" w:rsidRPr="00321238" w14:paraId="5B3CE7F7" w14:textId="77777777" w:rsidTr="002438C2">
        <w:trPr>
          <w:trHeight w:val="624"/>
        </w:trPr>
        <w:tc>
          <w:tcPr>
            <w:tcW w:w="1456" w:type="pct"/>
            <w:vAlign w:val="bottom"/>
          </w:tcPr>
          <w:p w14:paraId="6B415D05" w14:textId="77777777" w:rsidR="009702B0" w:rsidRPr="00166751" w:rsidRDefault="009702B0" w:rsidP="009702B0">
            <w:pPr>
              <w:tabs>
                <w:tab w:val="right" w:pos="1202"/>
              </w:tabs>
              <w:spacing w:after="0" w:line="240" w:lineRule="exact"/>
              <w:outlineLvl w:val="0"/>
              <w:rPr>
                <w:rFonts w:eastAsia="Times New Roman" w:cs="Arial"/>
                <w:b/>
                <w:sz w:val="18"/>
                <w:szCs w:val="18"/>
              </w:rPr>
            </w:pPr>
            <w:r w:rsidRPr="00166751">
              <w:rPr>
                <w:rFonts w:eastAsia="Times New Roman" w:cs="Arial"/>
                <w:b/>
                <w:sz w:val="18"/>
                <w:szCs w:val="18"/>
              </w:rPr>
              <w:t>Bank</w:t>
            </w:r>
          </w:p>
          <w:p w14:paraId="459A76D0" w14:textId="77777777" w:rsidR="009702B0" w:rsidRPr="00166751" w:rsidRDefault="009702B0" w:rsidP="009702B0">
            <w:pPr>
              <w:tabs>
                <w:tab w:val="right" w:pos="1202"/>
              </w:tabs>
              <w:spacing w:after="0" w:line="240" w:lineRule="exact"/>
              <w:outlineLvl w:val="0"/>
              <w:rPr>
                <w:rFonts w:eastAsia="Times New Roman" w:cs="Arial"/>
                <w:b/>
                <w:sz w:val="18"/>
                <w:szCs w:val="18"/>
              </w:rPr>
            </w:pPr>
          </w:p>
          <w:p w14:paraId="51CCD5EA" w14:textId="3C43B2D8" w:rsidR="009702B0" w:rsidRPr="00166751" w:rsidRDefault="006F5915" w:rsidP="009702B0">
            <w:pPr>
              <w:tabs>
                <w:tab w:val="right" w:pos="1202"/>
              </w:tabs>
              <w:spacing w:after="0" w:line="240" w:lineRule="exact"/>
              <w:outlineLvl w:val="0"/>
              <w:rPr>
                <w:rFonts w:eastAsia="Times New Roman" w:cs="Arial"/>
                <w:b/>
                <w:sz w:val="18"/>
                <w:szCs w:val="18"/>
              </w:rPr>
            </w:pPr>
            <w:r>
              <w:rPr>
                <w:rFonts w:eastAsia="Times New Roman" w:cs="Arial"/>
                <w:b/>
                <w:sz w:val="18"/>
                <w:szCs w:val="18"/>
              </w:rPr>
              <w:t xml:space="preserve">Sep </w:t>
            </w:r>
            <w:r w:rsidR="0019460B">
              <w:rPr>
                <w:rFonts w:eastAsia="Times New Roman" w:cs="Arial"/>
                <w:b/>
                <w:sz w:val="18"/>
                <w:szCs w:val="18"/>
              </w:rPr>
              <w:t>30</w:t>
            </w:r>
            <w:r w:rsidR="004F248E" w:rsidRPr="00166751">
              <w:rPr>
                <w:rFonts w:eastAsia="Times New Roman" w:cs="Arial"/>
                <w:b/>
                <w:sz w:val="18"/>
                <w:szCs w:val="18"/>
              </w:rPr>
              <w:t>, 2017</w:t>
            </w:r>
          </w:p>
        </w:tc>
        <w:tc>
          <w:tcPr>
            <w:tcW w:w="434" w:type="pct"/>
          </w:tcPr>
          <w:p w14:paraId="3A374F5F" w14:textId="77777777"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USD</w:t>
            </w:r>
          </w:p>
        </w:tc>
        <w:tc>
          <w:tcPr>
            <w:tcW w:w="568" w:type="pct"/>
          </w:tcPr>
          <w:p w14:paraId="76ECAF6C" w14:textId="77777777"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 xml:space="preserve">EUR </w:t>
            </w:r>
          </w:p>
        </w:tc>
        <w:tc>
          <w:tcPr>
            <w:tcW w:w="616" w:type="pct"/>
          </w:tcPr>
          <w:p w14:paraId="7112C01C" w14:textId="77777777"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 xml:space="preserve">Other </w:t>
            </w:r>
          </w:p>
          <w:p w14:paraId="7760F85E" w14:textId="77777777"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 xml:space="preserve">foreign currencies </w:t>
            </w:r>
          </w:p>
        </w:tc>
        <w:tc>
          <w:tcPr>
            <w:tcW w:w="615" w:type="pct"/>
          </w:tcPr>
          <w:p w14:paraId="5E251446" w14:textId="77777777"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Total</w:t>
            </w:r>
          </w:p>
          <w:p w14:paraId="4F87B172" w14:textId="77777777"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 xml:space="preserve"> foreign currencies </w:t>
            </w:r>
          </w:p>
        </w:tc>
        <w:tc>
          <w:tcPr>
            <w:tcW w:w="678" w:type="pct"/>
          </w:tcPr>
          <w:p w14:paraId="23AF5176" w14:textId="77777777"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HRK</w:t>
            </w:r>
          </w:p>
        </w:tc>
        <w:tc>
          <w:tcPr>
            <w:tcW w:w="633" w:type="pct"/>
          </w:tcPr>
          <w:p w14:paraId="17D4D6B0" w14:textId="77777777"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 xml:space="preserve">Total </w:t>
            </w:r>
          </w:p>
        </w:tc>
      </w:tr>
      <w:tr w:rsidR="009702B0" w:rsidRPr="00321238" w14:paraId="6910194F" w14:textId="77777777" w:rsidTr="002438C2">
        <w:trPr>
          <w:trHeight w:val="215"/>
        </w:trPr>
        <w:tc>
          <w:tcPr>
            <w:tcW w:w="1456" w:type="pct"/>
          </w:tcPr>
          <w:p w14:paraId="4A9BDA41" w14:textId="77777777" w:rsidR="009702B0" w:rsidRPr="00166751" w:rsidRDefault="009702B0" w:rsidP="009702B0">
            <w:pPr>
              <w:tabs>
                <w:tab w:val="right" w:pos="1202"/>
              </w:tabs>
              <w:spacing w:after="0" w:line="240" w:lineRule="exact"/>
              <w:outlineLvl w:val="0"/>
              <w:rPr>
                <w:rFonts w:eastAsia="Times New Roman" w:cs="Arial"/>
                <w:b/>
                <w:sz w:val="18"/>
                <w:szCs w:val="18"/>
              </w:rPr>
            </w:pPr>
            <w:r w:rsidRPr="00166751">
              <w:rPr>
                <w:rFonts w:eastAsia="Times New Roman" w:cs="Arial"/>
                <w:b/>
                <w:sz w:val="18"/>
                <w:szCs w:val="18"/>
              </w:rPr>
              <w:t xml:space="preserve">Assets </w:t>
            </w:r>
          </w:p>
        </w:tc>
        <w:tc>
          <w:tcPr>
            <w:tcW w:w="434" w:type="pct"/>
            <w:vAlign w:val="bottom"/>
          </w:tcPr>
          <w:p w14:paraId="5810BC30" w14:textId="77777777" w:rsidR="009702B0" w:rsidRPr="00166751" w:rsidRDefault="009702B0" w:rsidP="009702B0">
            <w:pPr>
              <w:spacing w:after="0" w:line="240" w:lineRule="exact"/>
              <w:jc w:val="right"/>
              <w:rPr>
                <w:rFonts w:eastAsia="Arial Unicode MS" w:cs="Arial"/>
                <w:sz w:val="18"/>
                <w:szCs w:val="18"/>
              </w:rPr>
            </w:pPr>
          </w:p>
        </w:tc>
        <w:tc>
          <w:tcPr>
            <w:tcW w:w="568" w:type="pct"/>
            <w:vAlign w:val="bottom"/>
          </w:tcPr>
          <w:p w14:paraId="15106FB5" w14:textId="77777777" w:rsidR="009702B0" w:rsidRPr="00166751" w:rsidRDefault="009702B0" w:rsidP="009702B0">
            <w:pPr>
              <w:spacing w:after="0" w:line="240" w:lineRule="exact"/>
              <w:jc w:val="right"/>
              <w:rPr>
                <w:rFonts w:eastAsia="Arial Unicode MS" w:cs="Arial"/>
                <w:sz w:val="18"/>
                <w:szCs w:val="18"/>
              </w:rPr>
            </w:pPr>
          </w:p>
        </w:tc>
        <w:tc>
          <w:tcPr>
            <w:tcW w:w="616" w:type="pct"/>
            <w:vAlign w:val="bottom"/>
          </w:tcPr>
          <w:p w14:paraId="329A264E" w14:textId="77777777" w:rsidR="009702B0" w:rsidRPr="00166751" w:rsidRDefault="009702B0" w:rsidP="009702B0">
            <w:pPr>
              <w:spacing w:after="0" w:line="240" w:lineRule="exact"/>
              <w:jc w:val="right"/>
              <w:rPr>
                <w:rFonts w:eastAsia="Arial Unicode MS" w:cs="Arial"/>
                <w:sz w:val="18"/>
                <w:szCs w:val="18"/>
              </w:rPr>
            </w:pPr>
          </w:p>
        </w:tc>
        <w:tc>
          <w:tcPr>
            <w:tcW w:w="615" w:type="pct"/>
            <w:vAlign w:val="bottom"/>
          </w:tcPr>
          <w:p w14:paraId="5EBC56F9" w14:textId="77777777" w:rsidR="009702B0" w:rsidRPr="00166751" w:rsidRDefault="009702B0" w:rsidP="009702B0">
            <w:pPr>
              <w:spacing w:after="0" w:line="240" w:lineRule="exact"/>
              <w:jc w:val="right"/>
              <w:rPr>
                <w:rFonts w:eastAsia="Arial Unicode MS" w:cs="Arial"/>
                <w:sz w:val="18"/>
                <w:szCs w:val="18"/>
              </w:rPr>
            </w:pPr>
          </w:p>
        </w:tc>
        <w:tc>
          <w:tcPr>
            <w:tcW w:w="678" w:type="pct"/>
            <w:vAlign w:val="bottom"/>
          </w:tcPr>
          <w:p w14:paraId="7A618A16" w14:textId="77777777" w:rsidR="009702B0" w:rsidRPr="00166751" w:rsidRDefault="009702B0" w:rsidP="009702B0">
            <w:pPr>
              <w:spacing w:after="0" w:line="240" w:lineRule="exact"/>
              <w:jc w:val="right"/>
              <w:rPr>
                <w:rFonts w:eastAsia="Arial Unicode MS" w:cs="Arial"/>
                <w:sz w:val="18"/>
                <w:szCs w:val="18"/>
              </w:rPr>
            </w:pPr>
          </w:p>
        </w:tc>
        <w:tc>
          <w:tcPr>
            <w:tcW w:w="633" w:type="pct"/>
            <w:vAlign w:val="bottom"/>
          </w:tcPr>
          <w:p w14:paraId="0AFB62F5" w14:textId="77777777" w:rsidR="009702B0" w:rsidRPr="00166751" w:rsidRDefault="009702B0" w:rsidP="009702B0">
            <w:pPr>
              <w:spacing w:after="0" w:line="240" w:lineRule="exact"/>
              <w:jc w:val="right"/>
              <w:rPr>
                <w:rFonts w:eastAsia="Arial Unicode MS" w:cs="Arial"/>
                <w:sz w:val="18"/>
                <w:szCs w:val="18"/>
              </w:rPr>
            </w:pPr>
          </w:p>
        </w:tc>
      </w:tr>
      <w:tr w:rsidR="002438C2" w:rsidRPr="00321238" w14:paraId="70D639DA" w14:textId="77777777" w:rsidTr="002438C2">
        <w:trPr>
          <w:trHeight w:val="279"/>
        </w:trPr>
        <w:tc>
          <w:tcPr>
            <w:tcW w:w="1456" w:type="pct"/>
            <w:vAlign w:val="bottom"/>
          </w:tcPr>
          <w:p w14:paraId="29A7D068" w14:textId="77777777" w:rsidR="002438C2" w:rsidRPr="00166751" w:rsidRDefault="002438C2" w:rsidP="002438C2">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Cash on hand and due from banks</w:t>
            </w:r>
          </w:p>
        </w:tc>
        <w:tc>
          <w:tcPr>
            <w:tcW w:w="434" w:type="pct"/>
            <w:tcBorders>
              <w:top w:val="nil"/>
              <w:left w:val="nil"/>
              <w:bottom w:val="nil"/>
              <w:right w:val="nil"/>
            </w:tcBorders>
            <w:shd w:val="clear" w:color="auto" w:fill="auto"/>
            <w:vAlign w:val="bottom"/>
          </w:tcPr>
          <w:p w14:paraId="25F2DE0E" w14:textId="0C30DC64"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9</w:t>
            </w:r>
            <w:r>
              <w:rPr>
                <w:rFonts w:eastAsia="Arial Unicode MS" w:cs="Arial"/>
                <w:sz w:val="17"/>
                <w:szCs w:val="17"/>
              </w:rPr>
              <w:t>,</w:t>
            </w:r>
            <w:r w:rsidRPr="00F609DC">
              <w:rPr>
                <w:rFonts w:eastAsia="Arial Unicode MS" w:cs="Arial"/>
                <w:sz w:val="17"/>
                <w:szCs w:val="17"/>
              </w:rPr>
              <w:t>328</w:t>
            </w:r>
          </w:p>
        </w:tc>
        <w:tc>
          <w:tcPr>
            <w:tcW w:w="568" w:type="pct"/>
            <w:tcBorders>
              <w:top w:val="nil"/>
              <w:left w:val="nil"/>
              <w:bottom w:val="nil"/>
              <w:right w:val="nil"/>
            </w:tcBorders>
            <w:shd w:val="clear" w:color="auto" w:fill="auto"/>
            <w:vAlign w:val="bottom"/>
          </w:tcPr>
          <w:p w14:paraId="713D825E" w14:textId="4983AC96"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347</w:t>
            </w:r>
            <w:r>
              <w:rPr>
                <w:rFonts w:eastAsia="Arial Unicode MS" w:cs="Arial"/>
                <w:sz w:val="17"/>
                <w:szCs w:val="17"/>
              </w:rPr>
              <w:t>,</w:t>
            </w:r>
            <w:r w:rsidRPr="00F609DC">
              <w:rPr>
                <w:rFonts w:eastAsia="Arial Unicode MS" w:cs="Arial"/>
                <w:sz w:val="17"/>
                <w:szCs w:val="17"/>
              </w:rPr>
              <w:t>477</w:t>
            </w:r>
          </w:p>
        </w:tc>
        <w:tc>
          <w:tcPr>
            <w:tcW w:w="616" w:type="pct"/>
            <w:tcBorders>
              <w:top w:val="nil"/>
              <w:left w:val="nil"/>
              <w:bottom w:val="nil"/>
              <w:right w:val="nil"/>
            </w:tcBorders>
            <w:shd w:val="clear" w:color="auto" w:fill="auto"/>
            <w:vAlign w:val="bottom"/>
          </w:tcPr>
          <w:p w14:paraId="5FBF54B2" w14:textId="5B80E28A"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2</w:t>
            </w:r>
            <w:r>
              <w:rPr>
                <w:rFonts w:eastAsia="Arial Unicode MS" w:cs="Arial"/>
                <w:sz w:val="17"/>
                <w:szCs w:val="17"/>
              </w:rPr>
              <w:t>,</w:t>
            </w:r>
            <w:r w:rsidRPr="00F609DC">
              <w:rPr>
                <w:rFonts w:eastAsia="Arial Unicode MS" w:cs="Arial"/>
                <w:sz w:val="17"/>
                <w:szCs w:val="17"/>
              </w:rPr>
              <w:t>626</w:t>
            </w:r>
          </w:p>
        </w:tc>
        <w:tc>
          <w:tcPr>
            <w:tcW w:w="615" w:type="pct"/>
            <w:tcBorders>
              <w:top w:val="nil"/>
              <w:left w:val="nil"/>
              <w:bottom w:val="nil"/>
              <w:right w:val="nil"/>
            </w:tcBorders>
            <w:shd w:val="clear" w:color="auto" w:fill="auto"/>
            <w:vAlign w:val="bottom"/>
          </w:tcPr>
          <w:p w14:paraId="4A2116F1" w14:textId="7A7F9F1F"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359</w:t>
            </w:r>
            <w:r>
              <w:rPr>
                <w:rFonts w:eastAsia="Arial Unicode MS" w:cs="Arial"/>
                <w:sz w:val="17"/>
                <w:szCs w:val="17"/>
              </w:rPr>
              <w:t>,</w:t>
            </w:r>
            <w:r w:rsidRPr="00F609DC">
              <w:rPr>
                <w:rFonts w:eastAsia="Arial Unicode MS" w:cs="Arial"/>
                <w:sz w:val="17"/>
                <w:szCs w:val="17"/>
              </w:rPr>
              <w:t>431</w:t>
            </w:r>
          </w:p>
        </w:tc>
        <w:tc>
          <w:tcPr>
            <w:tcW w:w="678" w:type="pct"/>
            <w:tcBorders>
              <w:top w:val="nil"/>
              <w:left w:val="nil"/>
              <w:bottom w:val="nil"/>
              <w:right w:val="nil"/>
            </w:tcBorders>
            <w:shd w:val="clear" w:color="auto" w:fill="auto"/>
            <w:vAlign w:val="bottom"/>
          </w:tcPr>
          <w:p w14:paraId="7279F310" w14:textId="0D08640C"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378</w:t>
            </w:r>
            <w:r>
              <w:rPr>
                <w:rFonts w:eastAsia="Arial Unicode MS" w:cs="Arial"/>
                <w:sz w:val="17"/>
                <w:szCs w:val="17"/>
              </w:rPr>
              <w:t>,</w:t>
            </w:r>
            <w:r w:rsidRPr="00F609DC">
              <w:rPr>
                <w:rFonts w:eastAsia="Arial Unicode MS" w:cs="Arial"/>
                <w:sz w:val="17"/>
                <w:szCs w:val="17"/>
              </w:rPr>
              <w:t>200</w:t>
            </w:r>
          </w:p>
        </w:tc>
        <w:tc>
          <w:tcPr>
            <w:tcW w:w="633" w:type="pct"/>
            <w:tcBorders>
              <w:top w:val="nil"/>
              <w:left w:val="nil"/>
              <w:bottom w:val="nil"/>
            </w:tcBorders>
            <w:shd w:val="clear" w:color="auto" w:fill="auto"/>
            <w:vAlign w:val="bottom"/>
          </w:tcPr>
          <w:p w14:paraId="4B6EB302" w14:textId="15F2D689"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737</w:t>
            </w:r>
            <w:r>
              <w:rPr>
                <w:rFonts w:eastAsia="Arial Unicode MS" w:cs="Arial"/>
                <w:sz w:val="17"/>
                <w:szCs w:val="17"/>
              </w:rPr>
              <w:t>,</w:t>
            </w:r>
            <w:r w:rsidRPr="00F609DC">
              <w:rPr>
                <w:rFonts w:eastAsia="Arial Unicode MS" w:cs="Arial"/>
                <w:sz w:val="17"/>
                <w:szCs w:val="17"/>
              </w:rPr>
              <w:t>631</w:t>
            </w:r>
          </w:p>
        </w:tc>
      </w:tr>
      <w:tr w:rsidR="002438C2" w:rsidRPr="00321238" w14:paraId="13457BC6" w14:textId="77777777" w:rsidTr="002438C2">
        <w:trPr>
          <w:trHeight w:hRule="exact" w:val="299"/>
        </w:trPr>
        <w:tc>
          <w:tcPr>
            <w:tcW w:w="1456" w:type="pct"/>
            <w:vAlign w:val="bottom"/>
          </w:tcPr>
          <w:p w14:paraId="65765023" w14:textId="77777777" w:rsidR="002438C2" w:rsidRPr="00166751" w:rsidRDefault="002438C2" w:rsidP="002438C2">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 xml:space="preserve">Deposits with other banks </w:t>
            </w:r>
          </w:p>
        </w:tc>
        <w:tc>
          <w:tcPr>
            <w:tcW w:w="434" w:type="pct"/>
            <w:tcBorders>
              <w:top w:val="nil"/>
              <w:left w:val="nil"/>
              <w:bottom w:val="nil"/>
              <w:right w:val="nil"/>
            </w:tcBorders>
            <w:shd w:val="clear" w:color="auto" w:fill="auto"/>
            <w:vAlign w:val="bottom"/>
          </w:tcPr>
          <w:p w14:paraId="06ED36F2" w14:textId="201D05C3"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w:t>
            </w:r>
          </w:p>
        </w:tc>
        <w:tc>
          <w:tcPr>
            <w:tcW w:w="568" w:type="pct"/>
            <w:tcBorders>
              <w:top w:val="nil"/>
              <w:left w:val="nil"/>
              <w:bottom w:val="nil"/>
              <w:right w:val="nil"/>
            </w:tcBorders>
            <w:shd w:val="clear" w:color="auto" w:fill="auto"/>
            <w:vAlign w:val="bottom"/>
          </w:tcPr>
          <w:p w14:paraId="5561886D" w14:textId="1472C1F7"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76</w:t>
            </w:r>
          </w:p>
        </w:tc>
        <w:tc>
          <w:tcPr>
            <w:tcW w:w="616" w:type="pct"/>
            <w:tcBorders>
              <w:top w:val="nil"/>
              <w:left w:val="nil"/>
              <w:bottom w:val="nil"/>
              <w:right w:val="nil"/>
            </w:tcBorders>
            <w:shd w:val="clear" w:color="auto" w:fill="auto"/>
            <w:vAlign w:val="bottom"/>
          </w:tcPr>
          <w:p w14:paraId="19BBA560" w14:textId="1187D615" w:rsidR="002438C2" w:rsidRPr="005444AA" w:rsidRDefault="002438C2" w:rsidP="002438C2">
            <w:pPr>
              <w:spacing w:after="0" w:line="240" w:lineRule="exact"/>
              <w:jc w:val="right"/>
              <w:rPr>
                <w:rFonts w:asciiTheme="minorHAnsi" w:eastAsia="Arial Unicode MS" w:hAnsiTheme="minorHAnsi" w:cs="Arial"/>
                <w:sz w:val="18"/>
                <w:szCs w:val="18"/>
                <w:lang w:val="pl-PL"/>
              </w:rPr>
            </w:pPr>
            <w:r>
              <w:rPr>
                <w:rFonts w:eastAsia="Arial Unicode MS" w:cs="Arial"/>
                <w:sz w:val="17"/>
                <w:szCs w:val="17"/>
              </w:rPr>
              <w:t>-</w:t>
            </w:r>
          </w:p>
        </w:tc>
        <w:tc>
          <w:tcPr>
            <w:tcW w:w="615" w:type="pct"/>
            <w:tcBorders>
              <w:top w:val="nil"/>
              <w:left w:val="nil"/>
              <w:bottom w:val="nil"/>
              <w:right w:val="nil"/>
            </w:tcBorders>
            <w:shd w:val="clear" w:color="auto" w:fill="auto"/>
            <w:vAlign w:val="bottom"/>
          </w:tcPr>
          <w:p w14:paraId="4EC41D4E" w14:textId="232CA3B2"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76</w:t>
            </w:r>
          </w:p>
        </w:tc>
        <w:tc>
          <w:tcPr>
            <w:tcW w:w="678" w:type="pct"/>
            <w:tcBorders>
              <w:top w:val="nil"/>
              <w:left w:val="nil"/>
              <w:bottom w:val="nil"/>
              <w:right w:val="nil"/>
            </w:tcBorders>
            <w:shd w:val="clear" w:color="auto" w:fill="auto"/>
            <w:vAlign w:val="bottom"/>
          </w:tcPr>
          <w:p w14:paraId="54A51379" w14:textId="0290A2C2"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w:t>
            </w:r>
          </w:p>
        </w:tc>
        <w:tc>
          <w:tcPr>
            <w:tcW w:w="633" w:type="pct"/>
            <w:tcBorders>
              <w:top w:val="nil"/>
              <w:left w:val="nil"/>
              <w:bottom w:val="nil"/>
            </w:tcBorders>
            <w:shd w:val="clear" w:color="auto" w:fill="auto"/>
            <w:vAlign w:val="bottom"/>
          </w:tcPr>
          <w:p w14:paraId="5BE8F680" w14:textId="01C09DB5"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76</w:t>
            </w:r>
          </w:p>
        </w:tc>
      </w:tr>
      <w:tr w:rsidR="002438C2" w:rsidRPr="00321238" w14:paraId="3F185D98" w14:textId="77777777" w:rsidTr="002438C2">
        <w:trPr>
          <w:trHeight w:hRule="exact" w:val="299"/>
        </w:trPr>
        <w:tc>
          <w:tcPr>
            <w:tcW w:w="1456" w:type="pct"/>
            <w:vAlign w:val="bottom"/>
          </w:tcPr>
          <w:p w14:paraId="6BAA044A" w14:textId="77777777" w:rsidR="002438C2" w:rsidRPr="00166751" w:rsidRDefault="002438C2" w:rsidP="002438C2">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Loans to financial institutions</w:t>
            </w:r>
          </w:p>
        </w:tc>
        <w:tc>
          <w:tcPr>
            <w:tcW w:w="434" w:type="pct"/>
            <w:tcBorders>
              <w:top w:val="nil"/>
              <w:left w:val="nil"/>
              <w:bottom w:val="nil"/>
              <w:right w:val="nil"/>
            </w:tcBorders>
            <w:shd w:val="clear" w:color="auto" w:fill="auto"/>
            <w:vAlign w:val="bottom"/>
          </w:tcPr>
          <w:p w14:paraId="74736EE9" w14:textId="556EE932"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w:t>
            </w:r>
          </w:p>
        </w:tc>
        <w:tc>
          <w:tcPr>
            <w:tcW w:w="568" w:type="pct"/>
            <w:tcBorders>
              <w:top w:val="nil"/>
              <w:left w:val="nil"/>
              <w:bottom w:val="nil"/>
              <w:right w:val="nil"/>
            </w:tcBorders>
            <w:shd w:val="clear" w:color="auto" w:fill="auto"/>
            <w:vAlign w:val="bottom"/>
          </w:tcPr>
          <w:p w14:paraId="0B72CD5E" w14:textId="1AF4F5BC"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6</w:t>
            </w:r>
            <w:r>
              <w:rPr>
                <w:rFonts w:eastAsia="Arial Unicode MS" w:cs="Arial"/>
                <w:sz w:val="17"/>
                <w:szCs w:val="17"/>
              </w:rPr>
              <w:t>,</w:t>
            </w:r>
            <w:r w:rsidRPr="00F609DC">
              <w:rPr>
                <w:rFonts w:eastAsia="Arial Unicode MS" w:cs="Arial"/>
                <w:sz w:val="17"/>
                <w:szCs w:val="17"/>
              </w:rPr>
              <w:t>430</w:t>
            </w:r>
            <w:r>
              <w:rPr>
                <w:rFonts w:eastAsia="Arial Unicode MS" w:cs="Arial"/>
                <w:sz w:val="17"/>
                <w:szCs w:val="17"/>
              </w:rPr>
              <w:t>,</w:t>
            </w:r>
            <w:r w:rsidRPr="00F609DC">
              <w:rPr>
                <w:rFonts w:eastAsia="Arial Unicode MS" w:cs="Arial"/>
                <w:sz w:val="17"/>
                <w:szCs w:val="17"/>
              </w:rPr>
              <w:t>519</w:t>
            </w:r>
          </w:p>
        </w:tc>
        <w:tc>
          <w:tcPr>
            <w:tcW w:w="616" w:type="pct"/>
            <w:tcBorders>
              <w:top w:val="nil"/>
              <w:left w:val="nil"/>
              <w:bottom w:val="nil"/>
              <w:right w:val="nil"/>
            </w:tcBorders>
            <w:shd w:val="clear" w:color="auto" w:fill="auto"/>
            <w:vAlign w:val="bottom"/>
          </w:tcPr>
          <w:p w14:paraId="4E3D5834" w14:textId="4283DF93"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w:t>
            </w:r>
          </w:p>
        </w:tc>
        <w:tc>
          <w:tcPr>
            <w:tcW w:w="615" w:type="pct"/>
            <w:tcBorders>
              <w:top w:val="nil"/>
              <w:left w:val="nil"/>
              <w:bottom w:val="nil"/>
              <w:right w:val="nil"/>
            </w:tcBorders>
            <w:shd w:val="clear" w:color="auto" w:fill="auto"/>
            <w:vAlign w:val="bottom"/>
          </w:tcPr>
          <w:p w14:paraId="226DA08E" w14:textId="5824DFAB"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6</w:t>
            </w:r>
            <w:r>
              <w:rPr>
                <w:rFonts w:eastAsia="Arial Unicode MS" w:cs="Arial"/>
                <w:sz w:val="17"/>
                <w:szCs w:val="17"/>
              </w:rPr>
              <w:t>,</w:t>
            </w:r>
            <w:r w:rsidRPr="00F609DC">
              <w:rPr>
                <w:rFonts w:eastAsia="Arial Unicode MS" w:cs="Arial"/>
                <w:sz w:val="17"/>
                <w:szCs w:val="17"/>
              </w:rPr>
              <w:t>430</w:t>
            </w:r>
            <w:r>
              <w:rPr>
                <w:rFonts w:eastAsia="Arial Unicode MS" w:cs="Arial"/>
                <w:sz w:val="17"/>
                <w:szCs w:val="17"/>
              </w:rPr>
              <w:t>,</w:t>
            </w:r>
            <w:r w:rsidRPr="00F609DC">
              <w:rPr>
                <w:rFonts w:eastAsia="Arial Unicode MS" w:cs="Arial"/>
                <w:sz w:val="17"/>
                <w:szCs w:val="17"/>
              </w:rPr>
              <w:t>519</w:t>
            </w:r>
          </w:p>
        </w:tc>
        <w:tc>
          <w:tcPr>
            <w:tcW w:w="678" w:type="pct"/>
            <w:tcBorders>
              <w:top w:val="nil"/>
              <w:left w:val="nil"/>
              <w:bottom w:val="nil"/>
              <w:right w:val="nil"/>
            </w:tcBorders>
            <w:shd w:val="clear" w:color="auto" w:fill="auto"/>
            <w:vAlign w:val="bottom"/>
          </w:tcPr>
          <w:p w14:paraId="62B51D02" w14:textId="19A59816"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5</w:t>
            </w:r>
            <w:r>
              <w:rPr>
                <w:rFonts w:eastAsia="Arial Unicode MS" w:cs="Arial"/>
                <w:sz w:val="17"/>
                <w:szCs w:val="17"/>
              </w:rPr>
              <w:t>,</w:t>
            </w:r>
            <w:r w:rsidRPr="00F609DC">
              <w:rPr>
                <w:rFonts w:eastAsia="Arial Unicode MS" w:cs="Arial"/>
                <w:sz w:val="17"/>
                <w:szCs w:val="17"/>
              </w:rPr>
              <w:t>816</w:t>
            </w:r>
            <w:r>
              <w:rPr>
                <w:rFonts w:eastAsia="Arial Unicode MS" w:cs="Arial"/>
                <w:sz w:val="17"/>
                <w:szCs w:val="17"/>
              </w:rPr>
              <w:t>,</w:t>
            </w:r>
            <w:r w:rsidRPr="00F609DC">
              <w:rPr>
                <w:rFonts w:eastAsia="Arial Unicode MS" w:cs="Arial"/>
                <w:sz w:val="17"/>
                <w:szCs w:val="17"/>
              </w:rPr>
              <w:t>768</w:t>
            </w:r>
          </w:p>
        </w:tc>
        <w:tc>
          <w:tcPr>
            <w:tcW w:w="633" w:type="pct"/>
            <w:tcBorders>
              <w:top w:val="nil"/>
              <w:left w:val="nil"/>
              <w:bottom w:val="nil"/>
            </w:tcBorders>
            <w:shd w:val="clear" w:color="auto" w:fill="auto"/>
            <w:vAlign w:val="bottom"/>
          </w:tcPr>
          <w:p w14:paraId="5926C31F" w14:textId="00C84C3A"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12</w:t>
            </w:r>
            <w:r>
              <w:rPr>
                <w:rFonts w:eastAsia="Arial Unicode MS" w:cs="Arial"/>
                <w:sz w:val="17"/>
                <w:szCs w:val="17"/>
              </w:rPr>
              <w:t>,</w:t>
            </w:r>
            <w:r w:rsidRPr="00F609DC">
              <w:rPr>
                <w:rFonts w:eastAsia="Arial Unicode MS" w:cs="Arial"/>
                <w:sz w:val="17"/>
                <w:szCs w:val="17"/>
              </w:rPr>
              <w:t>247</w:t>
            </w:r>
            <w:r>
              <w:rPr>
                <w:rFonts w:eastAsia="Arial Unicode MS" w:cs="Arial"/>
                <w:sz w:val="17"/>
                <w:szCs w:val="17"/>
              </w:rPr>
              <w:t>,</w:t>
            </w:r>
            <w:r w:rsidRPr="00F609DC">
              <w:rPr>
                <w:rFonts w:eastAsia="Arial Unicode MS" w:cs="Arial"/>
                <w:sz w:val="17"/>
                <w:szCs w:val="17"/>
              </w:rPr>
              <w:t>287</w:t>
            </w:r>
          </w:p>
        </w:tc>
      </w:tr>
      <w:tr w:rsidR="002438C2" w:rsidRPr="00321238" w14:paraId="3E529E8F" w14:textId="77777777" w:rsidTr="002438C2">
        <w:trPr>
          <w:trHeight w:hRule="exact" w:val="299"/>
        </w:trPr>
        <w:tc>
          <w:tcPr>
            <w:tcW w:w="1456" w:type="pct"/>
            <w:vAlign w:val="bottom"/>
          </w:tcPr>
          <w:p w14:paraId="24CB6830" w14:textId="77777777" w:rsidR="002438C2" w:rsidRPr="00166751" w:rsidRDefault="002438C2" w:rsidP="002438C2">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 xml:space="preserve">Loans to other customers </w:t>
            </w:r>
          </w:p>
        </w:tc>
        <w:tc>
          <w:tcPr>
            <w:tcW w:w="434" w:type="pct"/>
            <w:tcBorders>
              <w:top w:val="nil"/>
              <w:left w:val="nil"/>
              <w:bottom w:val="nil"/>
              <w:right w:val="nil"/>
            </w:tcBorders>
            <w:shd w:val="clear" w:color="auto" w:fill="auto"/>
            <w:vAlign w:val="bottom"/>
          </w:tcPr>
          <w:p w14:paraId="2A68B65B" w14:textId="1F210472"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444</w:t>
            </w:r>
            <w:r>
              <w:rPr>
                <w:rFonts w:eastAsia="Arial Unicode MS" w:cs="Arial"/>
                <w:sz w:val="17"/>
                <w:szCs w:val="17"/>
              </w:rPr>
              <w:t>,</w:t>
            </w:r>
            <w:r w:rsidRPr="00F609DC">
              <w:rPr>
                <w:rFonts w:eastAsia="Arial Unicode MS" w:cs="Arial"/>
                <w:sz w:val="17"/>
                <w:szCs w:val="17"/>
              </w:rPr>
              <w:t>287</w:t>
            </w:r>
          </w:p>
        </w:tc>
        <w:tc>
          <w:tcPr>
            <w:tcW w:w="568" w:type="pct"/>
            <w:tcBorders>
              <w:top w:val="nil"/>
              <w:left w:val="nil"/>
              <w:bottom w:val="nil"/>
              <w:right w:val="nil"/>
            </w:tcBorders>
            <w:shd w:val="clear" w:color="auto" w:fill="auto"/>
            <w:vAlign w:val="bottom"/>
          </w:tcPr>
          <w:p w14:paraId="0E288E63" w14:textId="50B445CF"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8</w:t>
            </w:r>
            <w:r>
              <w:rPr>
                <w:rFonts w:eastAsia="Arial Unicode MS" w:cs="Arial"/>
                <w:sz w:val="17"/>
                <w:szCs w:val="17"/>
              </w:rPr>
              <w:t>,</w:t>
            </w:r>
            <w:r w:rsidRPr="00F609DC">
              <w:rPr>
                <w:rFonts w:eastAsia="Arial Unicode MS" w:cs="Arial"/>
                <w:sz w:val="17"/>
                <w:szCs w:val="17"/>
              </w:rPr>
              <w:t>593</w:t>
            </w:r>
            <w:r>
              <w:rPr>
                <w:rFonts w:eastAsia="Arial Unicode MS" w:cs="Arial"/>
                <w:sz w:val="17"/>
                <w:szCs w:val="17"/>
              </w:rPr>
              <w:t>,</w:t>
            </w:r>
            <w:r w:rsidRPr="00F609DC">
              <w:rPr>
                <w:rFonts w:eastAsia="Arial Unicode MS" w:cs="Arial"/>
                <w:sz w:val="17"/>
                <w:szCs w:val="17"/>
              </w:rPr>
              <w:t>500</w:t>
            </w:r>
          </w:p>
        </w:tc>
        <w:tc>
          <w:tcPr>
            <w:tcW w:w="616" w:type="pct"/>
            <w:tcBorders>
              <w:top w:val="nil"/>
              <w:left w:val="nil"/>
              <w:bottom w:val="nil"/>
              <w:right w:val="nil"/>
            </w:tcBorders>
            <w:shd w:val="clear" w:color="auto" w:fill="auto"/>
            <w:vAlign w:val="bottom"/>
          </w:tcPr>
          <w:p w14:paraId="44EB30D3" w14:textId="2EE6E49D"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w:t>
            </w:r>
          </w:p>
        </w:tc>
        <w:tc>
          <w:tcPr>
            <w:tcW w:w="615" w:type="pct"/>
            <w:tcBorders>
              <w:top w:val="nil"/>
              <w:left w:val="nil"/>
              <w:bottom w:val="nil"/>
              <w:right w:val="nil"/>
            </w:tcBorders>
            <w:shd w:val="clear" w:color="auto" w:fill="auto"/>
            <w:vAlign w:val="bottom"/>
          </w:tcPr>
          <w:p w14:paraId="0DBCE5B9" w14:textId="6ADD2510"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9</w:t>
            </w:r>
            <w:r>
              <w:rPr>
                <w:rFonts w:eastAsia="Arial Unicode MS" w:cs="Arial"/>
                <w:sz w:val="17"/>
                <w:szCs w:val="17"/>
              </w:rPr>
              <w:t>,</w:t>
            </w:r>
            <w:r w:rsidRPr="00F609DC">
              <w:rPr>
                <w:rFonts w:eastAsia="Arial Unicode MS" w:cs="Arial"/>
                <w:sz w:val="17"/>
                <w:szCs w:val="17"/>
              </w:rPr>
              <w:t>037</w:t>
            </w:r>
            <w:r>
              <w:rPr>
                <w:rFonts w:eastAsia="Arial Unicode MS" w:cs="Arial"/>
                <w:sz w:val="17"/>
                <w:szCs w:val="17"/>
              </w:rPr>
              <w:t>,</w:t>
            </w:r>
            <w:r w:rsidRPr="00F609DC">
              <w:rPr>
                <w:rFonts w:eastAsia="Arial Unicode MS" w:cs="Arial"/>
                <w:sz w:val="17"/>
                <w:szCs w:val="17"/>
              </w:rPr>
              <w:t>787</w:t>
            </w:r>
          </w:p>
        </w:tc>
        <w:tc>
          <w:tcPr>
            <w:tcW w:w="678" w:type="pct"/>
            <w:tcBorders>
              <w:top w:val="nil"/>
              <w:left w:val="nil"/>
              <w:bottom w:val="nil"/>
              <w:right w:val="nil"/>
            </w:tcBorders>
            <w:shd w:val="clear" w:color="auto" w:fill="auto"/>
            <w:vAlign w:val="bottom"/>
          </w:tcPr>
          <w:p w14:paraId="22C5A03C" w14:textId="40E3C256"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2</w:t>
            </w:r>
            <w:r>
              <w:rPr>
                <w:rFonts w:eastAsia="Arial Unicode MS" w:cs="Arial"/>
                <w:sz w:val="17"/>
                <w:szCs w:val="17"/>
              </w:rPr>
              <w:t>,</w:t>
            </w:r>
            <w:r w:rsidRPr="00F609DC">
              <w:rPr>
                <w:rFonts w:eastAsia="Arial Unicode MS" w:cs="Arial"/>
                <w:sz w:val="17"/>
                <w:szCs w:val="17"/>
              </w:rPr>
              <w:t>875</w:t>
            </w:r>
            <w:r>
              <w:rPr>
                <w:rFonts w:eastAsia="Arial Unicode MS" w:cs="Arial"/>
                <w:sz w:val="17"/>
                <w:szCs w:val="17"/>
              </w:rPr>
              <w:t>,</w:t>
            </w:r>
            <w:r w:rsidRPr="00F609DC">
              <w:rPr>
                <w:rFonts w:eastAsia="Arial Unicode MS" w:cs="Arial"/>
                <w:sz w:val="17"/>
                <w:szCs w:val="17"/>
              </w:rPr>
              <w:t>425</w:t>
            </w:r>
          </w:p>
        </w:tc>
        <w:tc>
          <w:tcPr>
            <w:tcW w:w="633" w:type="pct"/>
            <w:tcBorders>
              <w:top w:val="nil"/>
              <w:left w:val="nil"/>
              <w:bottom w:val="nil"/>
            </w:tcBorders>
            <w:shd w:val="clear" w:color="auto" w:fill="auto"/>
            <w:vAlign w:val="bottom"/>
          </w:tcPr>
          <w:p w14:paraId="12A0CFDA" w14:textId="7CA329E4"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11</w:t>
            </w:r>
            <w:r>
              <w:rPr>
                <w:rFonts w:eastAsia="Arial Unicode MS" w:cs="Arial"/>
                <w:sz w:val="17"/>
                <w:szCs w:val="17"/>
              </w:rPr>
              <w:t>,</w:t>
            </w:r>
            <w:r w:rsidRPr="00F609DC">
              <w:rPr>
                <w:rFonts w:eastAsia="Arial Unicode MS" w:cs="Arial"/>
                <w:sz w:val="17"/>
                <w:szCs w:val="17"/>
              </w:rPr>
              <w:t>913</w:t>
            </w:r>
            <w:r>
              <w:rPr>
                <w:rFonts w:eastAsia="Arial Unicode MS" w:cs="Arial"/>
                <w:sz w:val="17"/>
                <w:szCs w:val="17"/>
              </w:rPr>
              <w:t>,</w:t>
            </w:r>
            <w:r w:rsidRPr="00F609DC">
              <w:rPr>
                <w:rFonts w:eastAsia="Arial Unicode MS" w:cs="Arial"/>
                <w:sz w:val="17"/>
                <w:szCs w:val="17"/>
              </w:rPr>
              <w:t>212</w:t>
            </w:r>
          </w:p>
        </w:tc>
      </w:tr>
      <w:tr w:rsidR="002438C2" w:rsidRPr="00321238" w14:paraId="14FA2D1B" w14:textId="77777777" w:rsidTr="002438C2">
        <w:trPr>
          <w:trHeight w:hRule="exact" w:val="299"/>
        </w:trPr>
        <w:tc>
          <w:tcPr>
            <w:tcW w:w="1456" w:type="pct"/>
            <w:vAlign w:val="bottom"/>
          </w:tcPr>
          <w:p w14:paraId="0299AEEB" w14:textId="77777777" w:rsidR="002438C2" w:rsidRPr="00166751" w:rsidRDefault="002438C2" w:rsidP="002438C2">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 xml:space="preserve">Assets available for sale </w:t>
            </w:r>
          </w:p>
        </w:tc>
        <w:tc>
          <w:tcPr>
            <w:tcW w:w="434" w:type="pct"/>
            <w:tcBorders>
              <w:top w:val="nil"/>
              <w:left w:val="nil"/>
              <w:bottom w:val="nil"/>
              <w:right w:val="nil"/>
            </w:tcBorders>
            <w:shd w:val="clear" w:color="auto" w:fill="auto"/>
            <w:vAlign w:val="bottom"/>
          </w:tcPr>
          <w:p w14:paraId="5CD80E1D" w14:textId="1A8B0911"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w:t>
            </w:r>
          </w:p>
        </w:tc>
        <w:tc>
          <w:tcPr>
            <w:tcW w:w="568" w:type="pct"/>
            <w:tcBorders>
              <w:top w:val="nil"/>
              <w:left w:val="nil"/>
              <w:bottom w:val="nil"/>
              <w:right w:val="nil"/>
            </w:tcBorders>
            <w:shd w:val="clear" w:color="auto" w:fill="auto"/>
            <w:vAlign w:val="bottom"/>
          </w:tcPr>
          <w:p w14:paraId="67A256D6" w14:textId="62E780C1"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834</w:t>
            </w:r>
            <w:r>
              <w:rPr>
                <w:rFonts w:eastAsia="Arial Unicode MS" w:cs="Arial"/>
                <w:sz w:val="17"/>
                <w:szCs w:val="17"/>
              </w:rPr>
              <w:t>,</w:t>
            </w:r>
            <w:r w:rsidRPr="00F609DC">
              <w:rPr>
                <w:rFonts w:eastAsia="Arial Unicode MS" w:cs="Arial"/>
                <w:sz w:val="17"/>
                <w:szCs w:val="17"/>
              </w:rPr>
              <w:t>409</w:t>
            </w:r>
          </w:p>
        </w:tc>
        <w:tc>
          <w:tcPr>
            <w:tcW w:w="616" w:type="pct"/>
            <w:tcBorders>
              <w:top w:val="nil"/>
              <w:left w:val="nil"/>
              <w:bottom w:val="nil"/>
              <w:right w:val="nil"/>
            </w:tcBorders>
            <w:shd w:val="clear" w:color="auto" w:fill="auto"/>
            <w:vAlign w:val="bottom"/>
          </w:tcPr>
          <w:p w14:paraId="59EA3A97" w14:textId="66435310"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w:t>
            </w:r>
          </w:p>
        </w:tc>
        <w:tc>
          <w:tcPr>
            <w:tcW w:w="615" w:type="pct"/>
            <w:tcBorders>
              <w:top w:val="nil"/>
              <w:left w:val="nil"/>
              <w:bottom w:val="nil"/>
              <w:right w:val="nil"/>
            </w:tcBorders>
            <w:shd w:val="clear" w:color="auto" w:fill="auto"/>
            <w:vAlign w:val="bottom"/>
          </w:tcPr>
          <w:p w14:paraId="09D68D73" w14:textId="3FD67CAE"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834</w:t>
            </w:r>
            <w:r>
              <w:rPr>
                <w:rFonts w:eastAsia="Arial Unicode MS" w:cs="Arial"/>
                <w:sz w:val="17"/>
                <w:szCs w:val="17"/>
              </w:rPr>
              <w:t>,</w:t>
            </w:r>
            <w:r w:rsidRPr="00F609DC">
              <w:rPr>
                <w:rFonts w:eastAsia="Arial Unicode MS" w:cs="Arial"/>
                <w:sz w:val="17"/>
                <w:szCs w:val="17"/>
              </w:rPr>
              <w:t>409</w:t>
            </w:r>
          </w:p>
        </w:tc>
        <w:tc>
          <w:tcPr>
            <w:tcW w:w="678" w:type="pct"/>
            <w:tcBorders>
              <w:top w:val="nil"/>
              <w:left w:val="nil"/>
              <w:bottom w:val="nil"/>
              <w:right w:val="nil"/>
            </w:tcBorders>
            <w:shd w:val="clear" w:color="auto" w:fill="auto"/>
            <w:vAlign w:val="bottom"/>
          </w:tcPr>
          <w:p w14:paraId="06FD190C" w14:textId="227A0052"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2</w:t>
            </w:r>
            <w:r>
              <w:rPr>
                <w:rFonts w:eastAsia="Arial Unicode MS" w:cs="Arial"/>
                <w:sz w:val="17"/>
                <w:szCs w:val="17"/>
              </w:rPr>
              <w:t>,</w:t>
            </w:r>
            <w:r w:rsidRPr="00F609DC">
              <w:rPr>
                <w:rFonts w:eastAsia="Arial Unicode MS" w:cs="Arial"/>
                <w:sz w:val="17"/>
                <w:szCs w:val="17"/>
              </w:rPr>
              <w:t>430</w:t>
            </w:r>
            <w:r>
              <w:rPr>
                <w:rFonts w:eastAsia="Arial Unicode MS" w:cs="Arial"/>
                <w:sz w:val="17"/>
                <w:szCs w:val="17"/>
              </w:rPr>
              <w:t>,</w:t>
            </w:r>
            <w:r w:rsidRPr="00F609DC">
              <w:rPr>
                <w:rFonts w:eastAsia="Arial Unicode MS" w:cs="Arial"/>
                <w:sz w:val="17"/>
                <w:szCs w:val="17"/>
              </w:rPr>
              <w:t>111</w:t>
            </w:r>
          </w:p>
        </w:tc>
        <w:tc>
          <w:tcPr>
            <w:tcW w:w="633" w:type="pct"/>
            <w:tcBorders>
              <w:top w:val="nil"/>
              <w:left w:val="nil"/>
              <w:bottom w:val="nil"/>
            </w:tcBorders>
            <w:shd w:val="clear" w:color="auto" w:fill="auto"/>
            <w:vAlign w:val="bottom"/>
          </w:tcPr>
          <w:p w14:paraId="36B6918A" w14:textId="3D6B0CDA"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3</w:t>
            </w:r>
            <w:r>
              <w:rPr>
                <w:rFonts w:eastAsia="Arial Unicode MS" w:cs="Arial"/>
                <w:sz w:val="17"/>
                <w:szCs w:val="17"/>
              </w:rPr>
              <w:t>,</w:t>
            </w:r>
            <w:r w:rsidRPr="00F609DC">
              <w:rPr>
                <w:rFonts w:eastAsia="Arial Unicode MS" w:cs="Arial"/>
                <w:sz w:val="17"/>
                <w:szCs w:val="17"/>
              </w:rPr>
              <w:t>264</w:t>
            </w:r>
            <w:r>
              <w:rPr>
                <w:rFonts w:eastAsia="Arial Unicode MS" w:cs="Arial"/>
                <w:sz w:val="17"/>
                <w:szCs w:val="17"/>
              </w:rPr>
              <w:t>,</w:t>
            </w:r>
            <w:r w:rsidRPr="00F609DC">
              <w:rPr>
                <w:rFonts w:eastAsia="Arial Unicode MS" w:cs="Arial"/>
                <w:sz w:val="17"/>
                <w:szCs w:val="17"/>
              </w:rPr>
              <w:t>520</w:t>
            </w:r>
          </w:p>
        </w:tc>
      </w:tr>
      <w:tr w:rsidR="002438C2" w:rsidRPr="00321238" w14:paraId="4F8EEC53" w14:textId="77777777" w:rsidTr="002438C2">
        <w:trPr>
          <w:trHeight w:hRule="exact" w:val="299"/>
        </w:trPr>
        <w:tc>
          <w:tcPr>
            <w:tcW w:w="1456" w:type="pct"/>
            <w:vAlign w:val="bottom"/>
          </w:tcPr>
          <w:p w14:paraId="5CA133B5" w14:textId="77777777" w:rsidR="002438C2" w:rsidRPr="00166751" w:rsidRDefault="002438C2" w:rsidP="002438C2">
            <w:pPr>
              <w:tabs>
                <w:tab w:val="right" w:pos="1202"/>
              </w:tabs>
              <w:spacing w:after="0" w:line="240" w:lineRule="exact"/>
              <w:outlineLvl w:val="0"/>
              <w:rPr>
                <w:rFonts w:eastAsia="Times New Roman" w:cs="Arial"/>
                <w:spacing w:val="-2"/>
                <w:sz w:val="18"/>
                <w:szCs w:val="18"/>
              </w:rPr>
            </w:pPr>
            <w:r w:rsidRPr="00166751">
              <w:rPr>
                <w:rFonts w:eastAsia="Times New Roman" w:cs="Arial"/>
                <w:spacing w:val="-2"/>
                <w:sz w:val="18"/>
                <w:szCs w:val="18"/>
              </w:rPr>
              <w:t xml:space="preserve">Investments in subsidiaries </w:t>
            </w:r>
          </w:p>
        </w:tc>
        <w:tc>
          <w:tcPr>
            <w:tcW w:w="434" w:type="pct"/>
            <w:tcBorders>
              <w:top w:val="nil"/>
              <w:left w:val="nil"/>
              <w:bottom w:val="nil"/>
              <w:right w:val="nil"/>
            </w:tcBorders>
            <w:shd w:val="clear" w:color="auto" w:fill="auto"/>
            <w:vAlign w:val="bottom"/>
          </w:tcPr>
          <w:p w14:paraId="2F498ADC" w14:textId="4ED8D079"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w:t>
            </w:r>
          </w:p>
        </w:tc>
        <w:tc>
          <w:tcPr>
            <w:tcW w:w="568" w:type="pct"/>
            <w:tcBorders>
              <w:top w:val="nil"/>
              <w:left w:val="nil"/>
              <w:bottom w:val="nil"/>
              <w:right w:val="nil"/>
            </w:tcBorders>
            <w:shd w:val="clear" w:color="auto" w:fill="auto"/>
            <w:vAlign w:val="bottom"/>
          </w:tcPr>
          <w:p w14:paraId="3360E72D" w14:textId="6EC2A485"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w:t>
            </w:r>
          </w:p>
        </w:tc>
        <w:tc>
          <w:tcPr>
            <w:tcW w:w="616" w:type="pct"/>
            <w:tcBorders>
              <w:top w:val="nil"/>
              <w:left w:val="nil"/>
              <w:bottom w:val="nil"/>
              <w:right w:val="nil"/>
            </w:tcBorders>
            <w:shd w:val="clear" w:color="auto" w:fill="auto"/>
            <w:vAlign w:val="bottom"/>
          </w:tcPr>
          <w:p w14:paraId="2791673E" w14:textId="3C2E781B"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w:t>
            </w:r>
          </w:p>
        </w:tc>
        <w:tc>
          <w:tcPr>
            <w:tcW w:w="615" w:type="pct"/>
            <w:tcBorders>
              <w:top w:val="nil"/>
              <w:left w:val="nil"/>
              <w:bottom w:val="nil"/>
              <w:right w:val="nil"/>
            </w:tcBorders>
            <w:shd w:val="clear" w:color="auto" w:fill="auto"/>
            <w:vAlign w:val="bottom"/>
          </w:tcPr>
          <w:p w14:paraId="10326A5A" w14:textId="5DC26BF7"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w:t>
            </w:r>
          </w:p>
        </w:tc>
        <w:tc>
          <w:tcPr>
            <w:tcW w:w="678" w:type="pct"/>
            <w:tcBorders>
              <w:top w:val="nil"/>
              <w:left w:val="nil"/>
              <w:bottom w:val="nil"/>
              <w:right w:val="nil"/>
            </w:tcBorders>
            <w:shd w:val="clear" w:color="auto" w:fill="auto"/>
            <w:vAlign w:val="bottom"/>
          </w:tcPr>
          <w:p w14:paraId="7926B457" w14:textId="06B4B980"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36</w:t>
            </w:r>
            <w:r>
              <w:rPr>
                <w:rFonts w:eastAsia="Arial Unicode MS" w:cs="Arial"/>
                <w:sz w:val="17"/>
                <w:szCs w:val="17"/>
              </w:rPr>
              <w:t>,</w:t>
            </w:r>
            <w:r w:rsidRPr="00F609DC">
              <w:rPr>
                <w:rFonts w:eastAsia="Arial Unicode MS" w:cs="Arial"/>
                <w:sz w:val="17"/>
                <w:szCs w:val="17"/>
              </w:rPr>
              <w:t>124</w:t>
            </w:r>
          </w:p>
        </w:tc>
        <w:tc>
          <w:tcPr>
            <w:tcW w:w="633" w:type="pct"/>
            <w:tcBorders>
              <w:top w:val="nil"/>
              <w:left w:val="nil"/>
              <w:bottom w:val="nil"/>
            </w:tcBorders>
            <w:shd w:val="clear" w:color="auto" w:fill="auto"/>
            <w:vAlign w:val="bottom"/>
          </w:tcPr>
          <w:p w14:paraId="5CE16FE8" w14:textId="5E3D2403"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36</w:t>
            </w:r>
            <w:r>
              <w:rPr>
                <w:rFonts w:eastAsia="Arial Unicode MS" w:cs="Arial"/>
                <w:sz w:val="17"/>
                <w:szCs w:val="17"/>
              </w:rPr>
              <w:t>,</w:t>
            </w:r>
            <w:r w:rsidRPr="00F609DC">
              <w:rPr>
                <w:rFonts w:eastAsia="Arial Unicode MS" w:cs="Arial"/>
                <w:sz w:val="17"/>
                <w:szCs w:val="17"/>
              </w:rPr>
              <w:t>124</w:t>
            </w:r>
          </w:p>
        </w:tc>
      </w:tr>
      <w:tr w:rsidR="002438C2" w:rsidRPr="00321238" w14:paraId="133C6E11" w14:textId="77777777" w:rsidTr="002438C2">
        <w:trPr>
          <w:trHeight w:hRule="exact" w:val="299"/>
        </w:trPr>
        <w:tc>
          <w:tcPr>
            <w:tcW w:w="1456" w:type="pct"/>
            <w:vAlign w:val="bottom"/>
          </w:tcPr>
          <w:p w14:paraId="390D0C36" w14:textId="77777777" w:rsidR="002438C2" w:rsidRPr="00166751" w:rsidRDefault="002438C2" w:rsidP="002438C2">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 xml:space="preserve">Investments in associates </w:t>
            </w:r>
          </w:p>
        </w:tc>
        <w:tc>
          <w:tcPr>
            <w:tcW w:w="434" w:type="pct"/>
            <w:tcBorders>
              <w:top w:val="nil"/>
              <w:left w:val="nil"/>
              <w:bottom w:val="nil"/>
              <w:right w:val="nil"/>
            </w:tcBorders>
            <w:shd w:val="clear" w:color="auto" w:fill="auto"/>
            <w:vAlign w:val="bottom"/>
          </w:tcPr>
          <w:p w14:paraId="449A4836" w14:textId="6A9B6FFD"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w:t>
            </w:r>
          </w:p>
        </w:tc>
        <w:tc>
          <w:tcPr>
            <w:tcW w:w="568" w:type="pct"/>
            <w:tcBorders>
              <w:top w:val="nil"/>
              <w:left w:val="nil"/>
              <w:bottom w:val="nil"/>
              <w:right w:val="nil"/>
            </w:tcBorders>
            <w:shd w:val="clear" w:color="auto" w:fill="auto"/>
            <w:vAlign w:val="bottom"/>
          </w:tcPr>
          <w:p w14:paraId="6DD11C3A" w14:textId="68242223"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w:t>
            </w:r>
          </w:p>
        </w:tc>
        <w:tc>
          <w:tcPr>
            <w:tcW w:w="616" w:type="pct"/>
            <w:tcBorders>
              <w:top w:val="nil"/>
              <w:left w:val="nil"/>
              <w:bottom w:val="nil"/>
              <w:right w:val="nil"/>
            </w:tcBorders>
            <w:shd w:val="clear" w:color="auto" w:fill="auto"/>
            <w:vAlign w:val="bottom"/>
          </w:tcPr>
          <w:p w14:paraId="0A34CA65" w14:textId="4D3E81C4"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w:t>
            </w:r>
          </w:p>
        </w:tc>
        <w:tc>
          <w:tcPr>
            <w:tcW w:w="615" w:type="pct"/>
            <w:tcBorders>
              <w:top w:val="nil"/>
              <w:left w:val="nil"/>
              <w:bottom w:val="nil"/>
              <w:right w:val="nil"/>
            </w:tcBorders>
            <w:shd w:val="clear" w:color="auto" w:fill="auto"/>
            <w:vAlign w:val="bottom"/>
          </w:tcPr>
          <w:p w14:paraId="264538C5" w14:textId="72050900"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w:t>
            </w:r>
          </w:p>
        </w:tc>
        <w:tc>
          <w:tcPr>
            <w:tcW w:w="678" w:type="pct"/>
            <w:tcBorders>
              <w:top w:val="nil"/>
              <w:left w:val="nil"/>
              <w:bottom w:val="nil"/>
              <w:right w:val="nil"/>
            </w:tcBorders>
            <w:shd w:val="clear" w:color="auto" w:fill="auto"/>
            <w:vAlign w:val="bottom"/>
          </w:tcPr>
          <w:p w14:paraId="489F9A42" w14:textId="46374C2C"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w:t>
            </w:r>
          </w:p>
        </w:tc>
        <w:tc>
          <w:tcPr>
            <w:tcW w:w="633" w:type="pct"/>
            <w:tcBorders>
              <w:top w:val="nil"/>
              <w:left w:val="nil"/>
              <w:bottom w:val="nil"/>
            </w:tcBorders>
            <w:shd w:val="clear" w:color="auto" w:fill="auto"/>
            <w:vAlign w:val="bottom"/>
          </w:tcPr>
          <w:p w14:paraId="2DEDB4C3" w14:textId="52720189"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w:t>
            </w:r>
          </w:p>
        </w:tc>
      </w:tr>
      <w:tr w:rsidR="002438C2" w:rsidRPr="00321238" w14:paraId="77E424AC" w14:textId="77777777" w:rsidTr="002438C2">
        <w:trPr>
          <w:trHeight w:val="460"/>
        </w:trPr>
        <w:tc>
          <w:tcPr>
            <w:tcW w:w="1456" w:type="pct"/>
            <w:vAlign w:val="bottom"/>
          </w:tcPr>
          <w:p w14:paraId="105731C2" w14:textId="77777777" w:rsidR="002438C2" w:rsidRPr="00166751" w:rsidRDefault="002438C2" w:rsidP="002438C2">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Property, plant and equipment and intangible assets</w:t>
            </w:r>
          </w:p>
        </w:tc>
        <w:tc>
          <w:tcPr>
            <w:tcW w:w="434" w:type="pct"/>
            <w:tcBorders>
              <w:top w:val="nil"/>
              <w:left w:val="nil"/>
              <w:bottom w:val="nil"/>
              <w:right w:val="nil"/>
            </w:tcBorders>
            <w:shd w:val="clear" w:color="auto" w:fill="auto"/>
            <w:vAlign w:val="bottom"/>
          </w:tcPr>
          <w:p w14:paraId="7C1CA010" w14:textId="7AB1BE88"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w:t>
            </w:r>
          </w:p>
        </w:tc>
        <w:tc>
          <w:tcPr>
            <w:tcW w:w="568" w:type="pct"/>
            <w:tcBorders>
              <w:top w:val="nil"/>
              <w:left w:val="nil"/>
              <w:bottom w:val="nil"/>
              <w:right w:val="nil"/>
            </w:tcBorders>
            <w:shd w:val="clear" w:color="auto" w:fill="auto"/>
            <w:vAlign w:val="bottom"/>
          </w:tcPr>
          <w:p w14:paraId="713575AE" w14:textId="0FE7587A"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w:t>
            </w:r>
          </w:p>
        </w:tc>
        <w:tc>
          <w:tcPr>
            <w:tcW w:w="616" w:type="pct"/>
            <w:tcBorders>
              <w:top w:val="nil"/>
              <w:left w:val="nil"/>
              <w:bottom w:val="nil"/>
              <w:right w:val="nil"/>
            </w:tcBorders>
            <w:shd w:val="clear" w:color="auto" w:fill="auto"/>
            <w:vAlign w:val="bottom"/>
          </w:tcPr>
          <w:p w14:paraId="2AF07565" w14:textId="3939F78B"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w:t>
            </w:r>
          </w:p>
        </w:tc>
        <w:tc>
          <w:tcPr>
            <w:tcW w:w="615" w:type="pct"/>
            <w:tcBorders>
              <w:top w:val="nil"/>
              <w:left w:val="nil"/>
              <w:bottom w:val="nil"/>
              <w:right w:val="nil"/>
            </w:tcBorders>
            <w:shd w:val="clear" w:color="auto" w:fill="auto"/>
            <w:vAlign w:val="bottom"/>
          </w:tcPr>
          <w:p w14:paraId="65D46DCB" w14:textId="7FDA6450"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w:t>
            </w:r>
          </w:p>
        </w:tc>
        <w:tc>
          <w:tcPr>
            <w:tcW w:w="678" w:type="pct"/>
            <w:tcBorders>
              <w:top w:val="nil"/>
              <w:left w:val="nil"/>
              <w:bottom w:val="nil"/>
              <w:right w:val="nil"/>
            </w:tcBorders>
            <w:shd w:val="clear" w:color="auto" w:fill="auto"/>
            <w:vAlign w:val="bottom"/>
          </w:tcPr>
          <w:p w14:paraId="2184F73D" w14:textId="78474293"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54</w:t>
            </w:r>
            <w:r>
              <w:rPr>
                <w:rFonts w:eastAsia="Arial Unicode MS" w:cs="Arial"/>
                <w:sz w:val="17"/>
                <w:szCs w:val="17"/>
              </w:rPr>
              <w:t>,</w:t>
            </w:r>
            <w:r w:rsidRPr="00F609DC">
              <w:rPr>
                <w:rFonts w:eastAsia="Arial Unicode MS" w:cs="Arial"/>
                <w:sz w:val="17"/>
                <w:szCs w:val="17"/>
              </w:rPr>
              <w:t>022</w:t>
            </w:r>
          </w:p>
        </w:tc>
        <w:tc>
          <w:tcPr>
            <w:tcW w:w="633" w:type="pct"/>
            <w:tcBorders>
              <w:top w:val="nil"/>
              <w:left w:val="nil"/>
              <w:bottom w:val="nil"/>
            </w:tcBorders>
            <w:shd w:val="clear" w:color="auto" w:fill="auto"/>
            <w:vAlign w:val="bottom"/>
          </w:tcPr>
          <w:p w14:paraId="050DA79F" w14:textId="60D208CC"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54</w:t>
            </w:r>
            <w:r>
              <w:rPr>
                <w:rFonts w:eastAsia="Arial Unicode MS" w:cs="Arial"/>
                <w:sz w:val="17"/>
                <w:szCs w:val="17"/>
              </w:rPr>
              <w:t>,</w:t>
            </w:r>
            <w:r w:rsidRPr="00F609DC">
              <w:rPr>
                <w:rFonts w:eastAsia="Arial Unicode MS" w:cs="Arial"/>
                <w:sz w:val="17"/>
                <w:szCs w:val="17"/>
              </w:rPr>
              <w:t>022</w:t>
            </w:r>
          </w:p>
        </w:tc>
      </w:tr>
      <w:tr w:rsidR="002438C2" w:rsidRPr="00321238" w14:paraId="7A8D1B88" w14:textId="77777777" w:rsidTr="002438C2">
        <w:trPr>
          <w:trHeight w:val="275"/>
        </w:trPr>
        <w:tc>
          <w:tcPr>
            <w:tcW w:w="1456" w:type="pct"/>
            <w:vAlign w:val="bottom"/>
          </w:tcPr>
          <w:p w14:paraId="065FD73E" w14:textId="77777777" w:rsidR="002438C2" w:rsidRPr="00166751" w:rsidRDefault="002438C2" w:rsidP="002438C2">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 xml:space="preserve">Non-current assets held for sale </w:t>
            </w:r>
          </w:p>
        </w:tc>
        <w:tc>
          <w:tcPr>
            <w:tcW w:w="434" w:type="pct"/>
            <w:tcBorders>
              <w:top w:val="nil"/>
              <w:left w:val="nil"/>
              <w:bottom w:val="nil"/>
              <w:right w:val="nil"/>
            </w:tcBorders>
            <w:shd w:val="clear" w:color="auto" w:fill="auto"/>
            <w:vAlign w:val="bottom"/>
          </w:tcPr>
          <w:p w14:paraId="25D129A3" w14:textId="74A85CA3"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w:t>
            </w:r>
          </w:p>
        </w:tc>
        <w:tc>
          <w:tcPr>
            <w:tcW w:w="568" w:type="pct"/>
            <w:tcBorders>
              <w:top w:val="nil"/>
              <w:left w:val="nil"/>
              <w:bottom w:val="nil"/>
              <w:right w:val="nil"/>
            </w:tcBorders>
            <w:shd w:val="clear" w:color="auto" w:fill="auto"/>
            <w:vAlign w:val="bottom"/>
          </w:tcPr>
          <w:p w14:paraId="643709F6" w14:textId="79F6D3F2"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w:t>
            </w:r>
          </w:p>
        </w:tc>
        <w:tc>
          <w:tcPr>
            <w:tcW w:w="616" w:type="pct"/>
            <w:tcBorders>
              <w:top w:val="nil"/>
              <w:left w:val="nil"/>
              <w:bottom w:val="nil"/>
              <w:right w:val="nil"/>
            </w:tcBorders>
            <w:shd w:val="clear" w:color="auto" w:fill="auto"/>
            <w:vAlign w:val="bottom"/>
          </w:tcPr>
          <w:p w14:paraId="2E86019A" w14:textId="0D2DD923"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w:t>
            </w:r>
          </w:p>
        </w:tc>
        <w:tc>
          <w:tcPr>
            <w:tcW w:w="615" w:type="pct"/>
            <w:tcBorders>
              <w:top w:val="nil"/>
              <w:left w:val="nil"/>
              <w:bottom w:val="nil"/>
              <w:right w:val="nil"/>
            </w:tcBorders>
            <w:shd w:val="clear" w:color="auto" w:fill="auto"/>
            <w:vAlign w:val="bottom"/>
          </w:tcPr>
          <w:p w14:paraId="65F8459D" w14:textId="32EFCEAF"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w:t>
            </w:r>
          </w:p>
        </w:tc>
        <w:tc>
          <w:tcPr>
            <w:tcW w:w="678" w:type="pct"/>
            <w:tcBorders>
              <w:top w:val="nil"/>
              <w:left w:val="nil"/>
              <w:bottom w:val="nil"/>
              <w:right w:val="nil"/>
            </w:tcBorders>
            <w:shd w:val="clear" w:color="auto" w:fill="auto"/>
            <w:vAlign w:val="bottom"/>
          </w:tcPr>
          <w:p w14:paraId="00937B9E" w14:textId="34D8E78B"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17</w:t>
            </w:r>
            <w:r>
              <w:rPr>
                <w:rFonts w:eastAsia="Arial Unicode MS" w:cs="Arial"/>
                <w:sz w:val="17"/>
                <w:szCs w:val="17"/>
              </w:rPr>
              <w:t>,</w:t>
            </w:r>
            <w:r w:rsidRPr="00F609DC">
              <w:rPr>
                <w:rFonts w:eastAsia="Arial Unicode MS" w:cs="Arial"/>
                <w:sz w:val="17"/>
                <w:szCs w:val="17"/>
              </w:rPr>
              <w:t>045</w:t>
            </w:r>
          </w:p>
        </w:tc>
        <w:tc>
          <w:tcPr>
            <w:tcW w:w="633" w:type="pct"/>
            <w:tcBorders>
              <w:top w:val="nil"/>
              <w:left w:val="nil"/>
              <w:bottom w:val="nil"/>
            </w:tcBorders>
            <w:shd w:val="clear" w:color="auto" w:fill="auto"/>
            <w:vAlign w:val="bottom"/>
          </w:tcPr>
          <w:p w14:paraId="34FA1F3C" w14:textId="00377C6B"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17</w:t>
            </w:r>
            <w:r>
              <w:rPr>
                <w:rFonts w:eastAsia="Arial Unicode MS" w:cs="Arial"/>
                <w:sz w:val="17"/>
                <w:szCs w:val="17"/>
              </w:rPr>
              <w:t>,</w:t>
            </w:r>
            <w:r w:rsidRPr="00F609DC">
              <w:rPr>
                <w:rFonts w:eastAsia="Arial Unicode MS" w:cs="Arial"/>
                <w:sz w:val="17"/>
                <w:szCs w:val="17"/>
              </w:rPr>
              <w:t>045</w:t>
            </w:r>
          </w:p>
        </w:tc>
      </w:tr>
      <w:tr w:rsidR="002438C2" w:rsidRPr="00321238" w14:paraId="32B86249" w14:textId="77777777" w:rsidTr="002438C2">
        <w:trPr>
          <w:trHeight w:val="204"/>
        </w:trPr>
        <w:tc>
          <w:tcPr>
            <w:tcW w:w="1456" w:type="pct"/>
          </w:tcPr>
          <w:p w14:paraId="12663AD7" w14:textId="77777777" w:rsidR="002438C2" w:rsidRPr="00166751" w:rsidRDefault="002438C2" w:rsidP="002438C2">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 xml:space="preserve">Other assets </w:t>
            </w:r>
          </w:p>
        </w:tc>
        <w:tc>
          <w:tcPr>
            <w:tcW w:w="434" w:type="pct"/>
            <w:tcBorders>
              <w:top w:val="nil"/>
              <w:left w:val="nil"/>
              <w:bottom w:val="nil"/>
              <w:right w:val="nil"/>
            </w:tcBorders>
            <w:shd w:val="clear" w:color="auto" w:fill="auto"/>
            <w:vAlign w:val="bottom"/>
          </w:tcPr>
          <w:p w14:paraId="76EC00BA" w14:textId="6BACBBD5"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w:t>
            </w:r>
          </w:p>
        </w:tc>
        <w:tc>
          <w:tcPr>
            <w:tcW w:w="568" w:type="pct"/>
            <w:tcBorders>
              <w:top w:val="nil"/>
              <w:left w:val="nil"/>
              <w:bottom w:val="nil"/>
              <w:right w:val="nil"/>
            </w:tcBorders>
            <w:shd w:val="clear" w:color="auto" w:fill="auto"/>
            <w:vAlign w:val="bottom"/>
          </w:tcPr>
          <w:p w14:paraId="56E4C95E" w14:textId="5CAEC59A"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172</w:t>
            </w:r>
          </w:p>
        </w:tc>
        <w:tc>
          <w:tcPr>
            <w:tcW w:w="616" w:type="pct"/>
            <w:tcBorders>
              <w:top w:val="nil"/>
              <w:left w:val="nil"/>
              <w:bottom w:val="nil"/>
              <w:right w:val="nil"/>
            </w:tcBorders>
            <w:shd w:val="clear" w:color="auto" w:fill="auto"/>
            <w:vAlign w:val="bottom"/>
          </w:tcPr>
          <w:p w14:paraId="220E0746" w14:textId="37DF8A79"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w:t>
            </w:r>
          </w:p>
        </w:tc>
        <w:tc>
          <w:tcPr>
            <w:tcW w:w="615" w:type="pct"/>
            <w:tcBorders>
              <w:top w:val="nil"/>
              <w:left w:val="nil"/>
              <w:bottom w:val="nil"/>
              <w:right w:val="nil"/>
            </w:tcBorders>
            <w:shd w:val="clear" w:color="auto" w:fill="auto"/>
            <w:vAlign w:val="bottom"/>
          </w:tcPr>
          <w:p w14:paraId="0F39C008" w14:textId="15D02285"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172</w:t>
            </w:r>
          </w:p>
        </w:tc>
        <w:tc>
          <w:tcPr>
            <w:tcW w:w="678" w:type="pct"/>
            <w:tcBorders>
              <w:top w:val="nil"/>
              <w:left w:val="nil"/>
              <w:bottom w:val="single" w:sz="2" w:space="0" w:color="auto"/>
              <w:right w:val="nil"/>
            </w:tcBorders>
            <w:shd w:val="clear" w:color="auto" w:fill="auto"/>
            <w:vAlign w:val="bottom"/>
          </w:tcPr>
          <w:p w14:paraId="35889DD7" w14:textId="6CC904A2"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11</w:t>
            </w:r>
            <w:r>
              <w:rPr>
                <w:rFonts w:eastAsia="Arial Unicode MS" w:cs="Arial"/>
                <w:sz w:val="17"/>
                <w:szCs w:val="17"/>
              </w:rPr>
              <w:t>,</w:t>
            </w:r>
            <w:r w:rsidRPr="00F609DC">
              <w:rPr>
                <w:rFonts w:eastAsia="Arial Unicode MS" w:cs="Arial"/>
                <w:sz w:val="17"/>
                <w:szCs w:val="17"/>
              </w:rPr>
              <w:t>506</w:t>
            </w:r>
          </w:p>
        </w:tc>
        <w:tc>
          <w:tcPr>
            <w:tcW w:w="633" w:type="pct"/>
            <w:tcBorders>
              <w:top w:val="nil"/>
              <w:left w:val="nil"/>
              <w:bottom w:val="single" w:sz="2" w:space="0" w:color="auto"/>
            </w:tcBorders>
            <w:shd w:val="clear" w:color="auto" w:fill="auto"/>
            <w:vAlign w:val="bottom"/>
          </w:tcPr>
          <w:p w14:paraId="551C1E04" w14:textId="76C39D28"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11</w:t>
            </w:r>
            <w:r>
              <w:rPr>
                <w:rFonts w:eastAsia="Arial Unicode MS" w:cs="Arial"/>
                <w:sz w:val="17"/>
                <w:szCs w:val="17"/>
              </w:rPr>
              <w:t>,</w:t>
            </w:r>
            <w:r w:rsidRPr="00F609DC">
              <w:rPr>
                <w:rFonts w:eastAsia="Arial Unicode MS" w:cs="Arial"/>
                <w:sz w:val="17"/>
                <w:szCs w:val="17"/>
              </w:rPr>
              <w:t>678</w:t>
            </w:r>
          </w:p>
        </w:tc>
      </w:tr>
      <w:tr w:rsidR="002438C2" w:rsidRPr="00321238" w14:paraId="2961E8C4" w14:textId="77777777" w:rsidTr="006B318F">
        <w:trPr>
          <w:trHeight w:val="163"/>
        </w:trPr>
        <w:tc>
          <w:tcPr>
            <w:tcW w:w="1456" w:type="pct"/>
            <w:vAlign w:val="bottom"/>
          </w:tcPr>
          <w:p w14:paraId="669F5466" w14:textId="77777777" w:rsidR="002438C2" w:rsidRPr="00166751" w:rsidRDefault="002438C2" w:rsidP="002438C2">
            <w:pPr>
              <w:tabs>
                <w:tab w:val="right" w:pos="1202"/>
              </w:tabs>
              <w:spacing w:after="0" w:line="240" w:lineRule="exact"/>
              <w:outlineLvl w:val="0"/>
              <w:rPr>
                <w:rFonts w:eastAsia="Times New Roman" w:cs="Arial"/>
                <w:b/>
                <w:bCs/>
                <w:sz w:val="18"/>
                <w:szCs w:val="18"/>
              </w:rPr>
            </w:pPr>
            <w:r w:rsidRPr="00166751">
              <w:rPr>
                <w:rFonts w:eastAsia="Times New Roman" w:cs="Arial"/>
                <w:b/>
                <w:bCs/>
                <w:sz w:val="18"/>
                <w:szCs w:val="18"/>
              </w:rPr>
              <w:t>Total assets (1)</w:t>
            </w:r>
          </w:p>
        </w:tc>
        <w:tc>
          <w:tcPr>
            <w:tcW w:w="434" w:type="pct"/>
            <w:tcBorders>
              <w:top w:val="single" w:sz="2" w:space="0" w:color="auto"/>
              <w:left w:val="nil"/>
              <w:bottom w:val="single" w:sz="12" w:space="0" w:color="auto"/>
              <w:right w:val="nil"/>
            </w:tcBorders>
            <w:shd w:val="clear" w:color="auto" w:fill="auto"/>
          </w:tcPr>
          <w:p w14:paraId="0975AAA5" w14:textId="4970ED5C" w:rsidR="002438C2" w:rsidRPr="005444AA" w:rsidRDefault="002438C2" w:rsidP="002438C2">
            <w:pPr>
              <w:spacing w:after="0" w:line="240" w:lineRule="exact"/>
              <w:jc w:val="right"/>
              <w:rPr>
                <w:rFonts w:asciiTheme="minorHAnsi" w:eastAsia="Arial Unicode MS" w:hAnsiTheme="minorHAnsi" w:cs="Arial"/>
                <w:b/>
                <w:sz w:val="18"/>
                <w:szCs w:val="18"/>
                <w:lang w:val="pl-PL"/>
              </w:rPr>
            </w:pPr>
            <w:r w:rsidRPr="00F609DC">
              <w:rPr>
                <w:rFonts w:eastAsia="Arial Unicode MS" w:cs="Arial"/>
                <w:b/>
                <w:bCs/>
                <w:sz w:val="17"/>
                <w:szCs w:val="17"/>
              </w:rPr>
              <w:t>453</w:t>
            </w:r>
            <w:r>
              <w:rPr>
                <w:rFonts w:eastAsia="Arial Unicode MS" w:cs="Arial"/>
                <w:b/>
                <w:bCs/>
                <w:sz w:val="17"/>
                <w:szCs w:val="17"/>
              </w:rPr>
              <w:t>,</w:t>
            </w:r>
            <w:r w:rsidRPr="00F609DC">
              <w:rPr>
                <w:rFonts w:eastAsia="Arial Unicode MS" w:cs="Arial"/>
                <w:b/>
                <w:bCs/>
                <w:sz w:val="17"/>
                <w:szCs w:val="17"/>
              </w:rPr>
              <w:t>615</w:t>
            </w:r>
          </w:p>
        </w:tc>
        <w:tc>
          <w:tcPr>
            <w:tcW w:w="568" w:type="pct"/>
            <w:tcBorders>
              <w:top w:val="single" w:sz="2" w:space="0" w:color="auto"/>
              <w:left w:val="nil"/>
              <w:bottom w:val="single" w:sz="12" w:space="0" w:color="auto"/>
              <w:right w:val="nil"/>
            </w:tcBorders>
            <w:shd w:val="clear" w:color="auto" w:fill="auto"/>
          </w:tcPr>
          <w:p w14:paraId="02202A67" w14:textId="0C4EB692" w:rsidR="002438C2" w:rsidRPr="005444AA" w:rsidRDefault="002438C2" w:rsidP="002438C2">
            <w:pPr>
              <w:spacing w:after="0" w:line="240" w:lineRule="exact"/>
              <w:jc w:val="right"/>
              <w:rPr>
                <w:rFonts w:asciiTheme="minorHAnsi" w:eastAsia="Arial Unicode MS" w:hAnsiTheme="minorHAnsi" w:cs="Arial"/>
                <w:b/>
                <w:sz w:val="18"/>
                <w:szCs w:val="18"/>
                <w:lang w:val="pl-PL"/>
              </w:rPr>
            </w:pPr>
            <w:r w:rsidRPr="00F609DC">
              <w:rPr>
                <w:rFonts w:eastAsia="Arial Unicode MS" w:cs="Arial"/>
                <w:b/>
                <w:bCs/>
                <w:sz w:val="17"/>
                <w:szCs w:val="17"/>
              </w:rPr>
              <w:t>16</w:t>
            </w:r>
            <w:r>
              <w:rPr>
                <w:rFonts w:eastAsia="Arial Unicode MS" w:cs="Arial"/>
                <w:b/>
                <w:bCs/>
                <w:sz w:val="17"/>
                <w:szCs w:val="17"/>
              </w:rPr>
              <w:t>,</w:t>
            </w:r>
            <w:r w:rsidRPr="00F609DC">
              <w:rPr>
                <w:rFonts w:eastAsia="Arial Unicode MS" w:cs="Arial"/>
                <w:b/>
                <w:bCs/>
                <w:sz w:val="17"/>
                <w:szCs w:val="17"/>
              </w:rPr>
              <w:t>206</w:t>
            </w:r>
            <w:r>
              <w:rPr>
                <w:rFonts w:eastAsia="Arial Unicode MS" w:cs="Arial"/>
                <w:b/>
                <w:bCs/>
                <w:sz w:val="17"/>
                <w:szCs w:val="17"/>
              </w:rPr>
              <w:t>,</w:t>
            </w:r>
            <w:r w:rsidRPr="00F609DC">
              <w:rPr>
                <w:rFonts w:eastAsia="Arial Unicode MS" w:cs="Arial"/>
                <w:b/>
                <w:bCs/>
                <w:sz w:val="17"/>
                <w:szCs w:val="17"/>
              </w:rPr>
              <w:t>153</w:t>
            </w:r>
          </w:p>
        </w:tc>
        <w:tc>
          <w:tcPr>
            <w:tcW w:w="616" w:type="pct"/>
            <w:tcBorders>
              <w:top w:val="single" w:sz="2" w:space="0" w:color="auto"/>
              <w:left w:val="nil"/>
              <w:bottom w:val="single" w:sz="12" w:space="0" w:color="auto"/>
              <w:right w:val="nil"/>
            </w:tcBorders>
            <w:shd w:val="clear" w:color="auto" w:fill="auto"/>
          </w:tcPr>
          <w:p w14:paraId="27075636" w14:textId="42BEB1D7" w:rsidR="002438C2" w:rsidRPr="005444AA" w:rsidRDefault="002438C2" w:rsidP="002438C2">
            <w:pPr>
              <w:spacing w:after="0" w:line="240" w:lineRule="exact"/>
              <w:jc w:val="right"/>
              <w:rPr>
                <w:rFonts w:asciiTheme="minorHAnsi" w:eastAsia="Arial Unicode MS" w:hAnsiTheme="minorHAnsi" w:cs="Arial"/>
                <w:b/>
                <w:sz w:val="18"/>
                <w:szCs w:val="18"/>
                <w:lang w:val="pl-PL"/>
              </w:rPr>
            </w:pPr>
            <w:r w:rsidRPr="00F609DC">
              <w:rPr>
                <w:rFonts w:eastAsia="Arial Unicode MS" w:cs="Arial"/>
                <w:b/>
                <w:bCs/>
                <w:sz w:val="17"/>
                <w:szCs w:val="17"/>
              </w:rPr>
              <w:t>2</w:t>
            </w:r>
            <w:r>
              <w:rPr>
                <w:rFonts w:eastAsia="Arial Unicode MS" w:cs="Arial"/>
                <w:b/>
                <w:bCs/>
                <w:sz w:val="17"/>
                <w:szCs w:val="17"/>
              </w:rPr>
              <w:t>,</w:t>
            </w:r>
            <w:r w:rsidRPr="00F609DC">
              <w:rPr>
                <w:rFonts w:eastAsia="Arial Unicode MS" w:cs="Arial"/>
                <w:b/>
                <w:bCs/>
                <w:sz w:val="17"/>
                <w:szCs w:val="17"/>
              </w:rPr>
              <w:t>626</w:t>
            </w:r>
          </w:p>
        </w:tc>
        <w:tc>
          <w:tcPr>
            <w:tcW w:w="615" w:type="pct"/>
            <w:tcBorders>
              <w:top w:val="single" w:sz="2" w:space="0" w:color="auto"/>
              <w:left w:val="nil"/>
              <w:bottom w:val="single" w:sz="12" w:space="0" w:color="auto"/>
              <w:right w:val="nil"/>
            </w:tcBorders>
            <w:shd w:val="clear" w:color="auto" w:fill="auto"/>
            <w:vAlign w:val="bottom"/>
          </w:tcPr>
          <w:p w14:paraId="5F831036" w14:textId="28B964CA" w:rsidR="002438C2" w:rsidRPr="005444AA" w:rsidRDefault="002438C2" w:rsidP="002438C2">
            <w:pPr>
              <w:spacing w:after="0" w:line="240" w:lineRule="exact"/>
              <w:jc w:val="right"/>
              <w:rPr>
                <w:rFonts w:asciiTheme="minorHAnsi" w:eastAsia="Arial Unicode MS" w:hAnsiTheme="minorHAnsi" w:cs="Arial"/>
                <w:b/>
                <w:sz w:val="18"/>
                <w:szCs w:val="18"/>
                <w:lang w:val="pl-PL"/>
              </w:rPr>
            </w:pPr>
            <w:r w:rsidRPr="00F609DC">
              <w:rPr>
                <w:rFonts w:eastAsia="Arial Unicode MS" w:cs="Arial"/>
                <w:b/>
                <w:bCs/>
                <w:sz w:val="17"/>
                <w:szCs w:val="17"/>
              </w:rPr>
              <w:t>16</w:t>
            </w:r>
            <w:r>
              <w:rPr>
                <w:rFonts w:eastAsia="Arial Unicode MS" w:cs="Arial"/>
                <w:b/>
                <w:bCs/>
                <w:sz w:val="17"/>
                <w:szCs w:val="17"/>
              </w:rPr>
              <w:t>,</w:t>
            </w:r>
            <w:r w:rsidRPr="00F609DC">
              <w:rPr>
                <w:rFonts w:eastAsia="Arial Unicode MS" w:cs="Arial"/>
                <w:b/>
                <w:bCs/>
                <w:sz w:val="17"/>
                <w:szCs w:val="17"/>
              </w:rPr>
              <w:t>662</w:t>
            </w:r>
            <w:r>
              <w:rPr>
                <w:rFonts w:eastAsia="Arial Unicode MS" w:cs="Arial"/>
                <w:b/>
                <w:bCs/>
                <w:sz w:val="17"/>
                <w:szCs w:val="17"/>
              </w:rPr>
              <w:t>,</w:t>
            </w:r>
            <w:r w:rsidRPr="00F609DC">
              <w:rPr>
                <w:rFonts w:eastAsia="Arial Unicode MS" w:cs="Arial"/>
                <w:b/>
                <w:bCs/>
                <w:sz w:val="17"/>
                <w:szCs w:val="17"/>
              </w:rPr>
              <w:t>394</w:t>
            </w:r>
          </w:p>
        </w:tc>
        <w:tc>
          <w:tcPr>
            <w:tcW w:w="678" w:type="pct"/>
            <w:tcBorders>
              <w:top w:val="single" w:sz="2" w:space="0" w:color="auto"/>
              <w:left w:val="nil"/>
              <w:bottom w:val="single" w:sz="12" w:space="0" w:color="auto"/>
              <w:right w:val="nil"/>
            </w:tcBorders>
            <w:shd w:val="clear" w:color="auto" w:fill="auto"/>
            <w:vAlign w:val="bottom"/>
          </w:tcPr>
          <w:p w14:paraId="4211DA1C" w14:textId="547B065A" w:rsidR="002438C2" w:rsidRPr="005444AA" w:rsidRDefault="002438C2" w:rsidP="002438C2">
            <w:pPr>
              <w:spacing w:after="0" w:line="240" w:lineRule="exact"/>
              <w:jc w:val="right"/>
              <w:rPr>
                <w:rFonts w:asciiTheme="minorHAnsi" w:eastAsia="Arial Unicode MS" w:hAnsiTheme="minorHAnsi" w:cs="Arial"/>
                <w:b/>
                <w:sz w:val="18"/>
                <w:szCs w:val="18"/>
                <w:lang w:val="pl-PL"/>
              </w:rPr>
            </w:pPr>
            <w:r w:rsidRPr="00F609DC">
              <w:rPr>
                <w:rFonts w:eastAsia="Arial Unicode MS" w:cs="Arial"/>
                <w:b/>
                <w:bCs/>
                <w:sz w:val="17"/>
                <w:szCs w:val="17"/>
              </w:rPr>
              <w:t>11</w:t>
            </w:r>
            <w:r>
              <w:rPr>
                <w:rFonts w:eastAsia="Arial Unicode MS" w:cs="Arial"/>
                <w:b/>
                <w:bCs/>
                <w:sz w:val="17"/>
                <w:szCs w:val="17"/>
              </w:rPr>
              <w:t>,</w:t>
            </w:r>
            <w:r w:rsidRPr="00F609DC">
              <w:rPr>
                <w:rFonts w:eastAsia="Arial Unicode MS" w:cs="Arial"/>
                <w:b/>
                <w:bCs/>
                <w:sz w:val="17"/>
                <w:szCs w:val="17"/>
              </w:rPr>
              <w:t>619</w:t>
            </w:r>
            <w:r>
              <w:rPr>
                <w:rFonts w:eastAsia="Arial Unicode MS" w:cs="Arial"/>
                <w:b/>
                <w:bCs/>
                <w:sz w:val="17"/>
                <w:szCs w:val="17"/>
              </w:rPr>
              <w:t>,</w:t>
            </w:r>
            <w:r w:rsidRPr="00F609DC">
              <w:rPr>
                <w:rFonts w:eastAsia="Arial Unicode MS" w:cs="Arial"/>
                <w:b/>
                <w:bCs/>
                <w:sz w:val="17"/>
                <w:szCs w:val="17"/>
              </w:rPr>
              <w:t>201</w:t>
            </w:r>
            <w:r>
              <w:rPr>
                <w:rFonts w:eastAsia="Arial Unicode MS" w:cs="Arial"/>
                <w:b/>
                <w:bCs/>
                <w:sz w:val="17"/>
                <w:szCs w:val="17"/>
              </w:rPr>
              <w:t>*</w:t>
            </w:r>
          </w:p>
        </w:tc>
        <w:tc>
          <w:tcPr>
            <w:tcW w:w="633" w:type="pct"/>
            <w:tcBorders>
              <w:top w:val="single" w:sz="2" w:space="0" w:color="auto"/>
              <w:left w:val="nil"/>
              <w:bottom w:val="single" w:sz="12" w:space="0" w:color="auto"/>
            </w:tcBorders>
            <w:shd w:val="clear" w:color="auto" w:fill="auto"/>
            <w:vAlign w:val="bottom"/>
          </w:tcPr>
          <w:p w14:paraId="41E92CA1" w14:textId="0EAF9639" w:rsidR="002438C2" w:rsidRPr="005444AA" w:rsidRDefault="002438C2" w:rsidP="002438C2">
            <w:pPr>
              <w:spacing w:after="0" w:line="240" w:lineRule="exact"/>
              <w:jc w:val="right"/>
              <w:rPr>
                <w:rFonts w:asciiTheme="minorHAnsi" w:eastAsia="Arial Unicode MS" w:hAnsiTheme="minorHAnsi" w:cs="Arial"/>
                <w:b/>
                <w:sz w:val="18"/>
                <w:szCs w:val="18"/>
                <w:lang w:val="pl-PL"/>
              </w:rPr>
            </w:pPr>
            <w:r w:rsidRPr="00F609DC">
              <w:rPr>
                <w:rFonts w:eastAsia="Arial Unicode MS" w:cs="Arial"/>
                <w:b/>
                <w:bCs/>
                <w:sz w:val="17"/>
                <w:szCs w:val="17"/>
              </w:rPr>
              <w:t>28</w:t>
            </w:r>
            <w:r>
              <w:rPr>
                <w:rFonts w:eastAsia="Arial Unicode MS" w:cs="Arial"/>
                <w:b/>
                <w:bCs/>
                <w:sz w:val="17"/>
                <w:szCs w:val="17"/>
              </w:rPr>
              <w:t>,</w:t>
            </w:r>
            <w:r w:rsidRPr="00F609DC">
              <w:rPr>
                <w:rFonts w:eastAsia="Arial Unicode MS" w:cs="Arial"/>
                <w:b/>
                <w:bCs/>
                <w:sz w:val="17"/>
                <w:szCs w:val="17"/>
              </w:rPr>
              <w:t>281</w:t>
            </w:r>
            <w:r>
              <w:rPr>
                <w:rFonts w:eastAsia="Arial Unicode MS" w:cs="Arial"/>
                <w:b/>
                <w:bCs/>
                <w:sz w:val="17"/>
                <w:szCs w:val="17"/>
              </w:rPr>
              <w:t>,</w:t>
            </w:r>
            <w:r w:rsidRPr="00F609DC">
              <w:rPr>
                <w:rFonts w:eastAsia="Arial Unicode MS" w:cs="Arial"/>
                <w:b/>
                <w:bCs/>
                <w:sz w:val="17"/>
                <w:szCs w:val="17"/>
              </w:rPr>
              <w:t>595</w:t>
            </w:r>
          </w:p>
        </w:tc>
      </w:tr>
      <w:tr w:rsidR="00CE4410" w:rsidRPr="00321238" w14:paraId="20497FBD" w14:textId="77777777" w:rsidTr="002438C2">
        <w:trPr>
          <w:trHeight w:val="204"/>
        </w:trPr>
        <w:tc>
          <w:tcPr>
            <w:tcW w:w="1456" w:type="pct"/>
          </w:tcPr>
          <w:p w14:paraId="2C2B7D99" w14:textId="77777777" w:rsidR="00CE4410" w:rsidRPr="00166751" w:rsidRDefault="00CE4410" w:rsidP="00CE4410">
            <w:pPr>
              <w:tabs>
                <w:tab w:val="right" w:pos="1202"/>
              </w:tabs>
              <w:spacing w:after="0" w:line="240" w:lineRule="exact"/>
              <w:outlineLvl w:val="0"/>
              <w:rPr>
                <w:rFonts w:eastAsia="Times New Roman" w:cs="Arial"/>
                <w:b/>
                <w:bCs/>
                <w:sz w:val="18"/>
                <w:szCs w:val="18"/>
              </w:rPr>
            </w:pPr>
            <w:r w:rsidRPr="00166751">
              <w:rPr>
                <w:rFonts w:eastAsia="Times New Roman" w:cs="Arial"/>
                <w:b/>
                <w:bCs/>
                <w:sz w:val="18"/>
                <w:szCs w:val="18"/>
              </w:rPr>
              <w:t xml:space="preserve">Liabilities </w:t>
            </w:r>
          </w:p>
        </w:tc>
        <w:tc>
          <w:tcPr>
            <w:tcW w:w="434" w:type="pct"/>
            <w:tcBorders>
              <w:top w:val="single" w:sz="12" w:space="0" w:color="auto"/>
            </w:tcBorders>
            <w:vAlign w:val="bottom"/>
          </w:tcPr>
          <w:p w14:paraId="1B7E1A9F" w14:textId="77777777" w:rsidR="00CE4410" w:rsidRPr="005444AA" w:rsidRDefault="00CE4410" w:rsidP="00CE4410">
            <w:pPr>
              <w:suppressAutoHyphens/>
              <w:spacing w:after="0" w:line="240" w:lineRule="exact"/>
              <w:ind w:left="-123"/>
              <w:jc w:val="right"/>
              <w:rPr>
                <w:rFonts w:asciiTheme="minorHAnsi" w:hAnsiTheme="minorHAnsi" w:cs="Arial"/>
                <w:spacing w:val="-2"/>
                <w:sz w:val="18"/>
                <w:szCs w:val="18"/>
              </w:rPr>
            </w:pPr>
          </w:p>
        </w:tc>
        <w:tc>
          <w:tcPr>
            <w:tcW w:w="568" w:type="pct"/>
            <w:tcBorders>
              <w:top w:val="single" w:sz="12" w:space="0" w:color="auto"/>
            </w:tcBorders>
            <w:vAlign w:val="bottom"/>
          </w:tcPr>
          <w:p w14:paraId="4FCFF68A" w14:textId="77777777" w:rsidR="00CE4410" w:rsidRPr="005444AA" w:rsidRDefault="00CE4410" w:rsidP="00CE4410">
            <w:pPr>
              <w:suppressAutoHyphens/>
              <w:spacing w:after="0" w:line="240" w:lineRule="exact"/>
              <w:jc w:val="right"/>
              <w:rPr>
                <w:rFonts w:asciiTheme="minorHAnsi" w:hAnsiTheme="minorHAnsi" w:cs="Arial"/>
                <w:spacing w:val="-2"/>
                <w:sz w:val="18"/>
                <w:szCs w:val="18"/>
              </w:rPr>
            </w:pPr>
          </w:p>
        </w:tc>
        <w:tc>
          <w:tcPr>
            <w:tcW w:w="616" w:type="pct"/>
            <w:tcBorders>
              <w:top w:val="single" w:sz="12" w:space="0" w:color="auto"/>
            </w:tcBorders>
            <w:vAlign w:val="bottom"/>
          </w:tcPr>
          <w:p w14:paraId="7831EF7C" w14:textId="77777777" w:rsidR="00CE4410" w:rsidRPr="005444AA" w:rsidRDefault="00CE4410" w:rsidP="00CE4410">
            <w:pPr>
              <w:suppressAutoHyphens/>
              <w:spacing w:after="0" w:line="240" w:lineRule="exact"/>
              <w:jc w:val="right"/>
              <w:rPr>
                <w:rFonts w:asciiTheme="minorHAnsi" w:hAnsiTheme="minorHAnsi" w:cs="Arial"/>
                <w:spacing w:val="-2"/>
                <w:sz w:val="18"/>
                <w:szCs w:val="18"/>
              </w:rPr>
            </w:pPr>
          </w:p>
        </w:tc>
        <w:tc>
          <w:tcPr>
            <w:tcW w:w="615" w:type="pct"/>
            <w:tcBorders>
              <w:top w:val="single" w:sz="12" w:space="0" w:color="auto"/>
            </w:tcBorders>
            <w:vAlign w:val="bottom"/>
          </w:tcPr>
          <w:p w14:paraId="2EBD62B5" w14:textId="77777777" w:rsidR="00CE4410" w:rsidRPr="005444AA" w:rsidRDefault="00CE4410" w:rsidP="00CE4410">
            <w:pPr>
              <w:suppressAutoHyphens/>
              <w:spacing w:after="0" w:line="240" w:lineRule="exact"/>
              <w:jc w:val="right"/>
              <w:rPr>
                <w:rFonts w:asciiTheme="minorHAnsi" w:hAnsiTheme="minorHAnsi" w:cs="Arial"/>
                <w:spacing w:val="-2"/>
                <w:sz w:val="18"/>
                <w:szCs w:val="18"/>
              </w:rPr>
            </w:pPr>
          </w:p>
        </w:tc>
        <w:tc>
          <w:tcPr>
            <w:tcW w:w="678" w:type="pct"/>
            <w:tcBorders>
              <w:top w:val="single" w:sz="12" w:space="0" w:color="auto"/>
            </w:tcBorders>
            <w:vAlign w:val="bottom"/>
          </w:tcPr>
          <w:p w14:paraId="32807A91" w14:textId="77777777" w:rsidR="00CE4410" w:rsidRPr="005444AA" w:rsidRDefault="00CE4410" w:rsidP="00CE4410">
            <w:pPr>
              <w:suppressAutoHyphens/>
              <w:spacing w:after="0" w:line="240" w:lineRule="exact"/>
              <w:jc w:val="right"/>
              <w:rPr>
                <w:rFonts w:asciiTheme="minorHAnsi" w:hAnsiTheme="minorHAnsi" w:cs="Arial"/>
                <w:spacing w:val="-2"/>
                <w:sz w:val="18"/>
                <w:szCs w:val="18"/>
              </w:rPr>
            </w:pPr>
          </w:p>
        </w:tc>
        <w:tc>
          <w:tcPr>
            <w:tcW w:w="633" w:type="pct"/>
            <w:tcBorders>
              <w:top w:val="single" w:sz="12" w:space="0" w:color="auto"/>
            </w:tcBorders>
            <w:vAlign w:val="bottom"/>
          </w:tcPr>
          <w:p w14:paraId="05EAEB17" w14:textId="77777777" w:rsidR="00CE4410" w:rsidRPr="005444AA" w:rsidRDefault="00CE4410" w:rsidP="00CE4410">
            <w:pPr>
              <w:spacing w:after="0" w:line="240" w:lineRule="exact"/>
              <w:jc w:val="right"/>
              <w:rPr>
                <w:rFonts w:asciiTheme="minorHAnsi" w:hAnsiTheme="minorHAnsi" w:cs="Arial"/>
                <w:b/>
                <w:sz w:val="18"/>
                <w:szCs w:val="18"/>
              </w:rPr>
            </w:pPr>
          </w:p>
        </w:tc>
      </w:tr>
      <w:tr w:rsidR="002438C2" w:rsidRPr="00321238" w14:paraId="48074C55" w14:textId="77777777" w:rsidTr="006B318F">
        <w:trPr>
          <w:trHeight w:val="215"/>
        </w:trPr>
        <w:tc>
          <w:tcPr>
            <w:tcW w:w="1456" w:type="pct"/>
          </w:tcPr>
          <w:p w14:paraId="3EB639D8" w14:textId="77777777" w:rsidR="002438C2" w:rsidRPr="00166751" w:rsidRDefault="002438C2" w:rsidP="002438C2">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Deposits </w:t>
            </w:r>
          </w:p>
        </w:tc>
        <w:tc>
          <w:tcPr>
            <w:tcW w:w="434" w:type="pct"/>
            <w:tcBorders>
              <w:top w:val="nil"/>
              <w:left w:val="nil"/>
              <w:bottom w:val="nil"/>
              <w:right w:val="nil"/>
            </w:tcBorders>
            <w:shd w:val="clear" w:color="auto" w:fill="auto"/>
          </w:tcPr>
          <w:p w14:paraId="6FD5F88B" w14:textId="0122AEED"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20</w:t>
            </w:r>
            <w:r>
              <w:rPr>
                <w:rFonts w:eastAsia="Arial Unicode MS" w:cs="Arial"/>
                <w:sz w:val="17"/>
                <w:szCs w:val="17"/>
              </w:rPr>
              <w:t>,</w:t>
            </w:r>
            <w:r w:rsidRPr="00F609DC">
              <w:rPr>
                <w:rFonts w:eastAsia="Arial Unicode MS" w:cs="Arial"/>
                <w:sz w:val="17"/>
                <w:szCs w:val="17"/>
              </w:rPr>
              <w:t>573</w:t>
            </w:r>
          </w:p>
        </w:tc>
        <w:tc>
          <w:tcPr>
            <w:tcW w:w="568" w:type="pct"/>
            <w:tcBorders>
              <w:top w:val="nil"/>
              <w:left w:val="nil"/>
              <w:bottom w:val="nil"/>
              <w:right w:val="nil"/>
            </w:tcBorders>
            <w:shd w:val="clear" w:color="auto" w:fill="auto"/>
          </w:tcPr>
          <w:p w14:paraId="7EACEDF8" w14:textId="2A9D5FA3"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691</w:t>
            </w:r>
            <w:r>
              <w:rPr>
                <w:rFonts w:eastAsia="Arial Unicode MS" w:cs="Arial"/>
                <w:sz w:val="17"/>
                <w:szCs w:val="17"/>
              </w:rPr>
              <w:t>,</w:t>
            </w:r>
            <w:r w:rsidRPr="00F609DC">
              <w:rPr>
                <w:rFonts w:eastAsia="Arial Unicode MS" w:cs="Arial"/>
                <w:sz w:val="17"/>
                <w:szCs w:val="17"/>
              </w:rPr>
              <w:t>008</w:t>
            </w:r>
          </w:p>
        </w:tc>
        <w:tc>
          <w:tcPr>
            <w:tcW w:w="616" w:type="pct"/>
            <w:tcBorders>
              <w:top w:val="nil"/>
              <w:left w:val="nil"/>
              <w:bottom w:val="nil"/>
              <w:right w:val="nil"/>
            </w:tcBorders>
            <w:shd w:val="clear" w:color="auto" w:fill="auto"/>
          </w:tcPr>
          <w:p w14:paraId="4B323E80" w14:textId="726ACA21"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1</w:t>
            </w:r>
            <w:r>
              <w:rPr>
                <w:rFonts w:eastAsia="Arial Unicode MS" w:cs="Arial"/>
                <w:sz w:val="17"/>
                <w:szCs w:val="17"/>
              </w:rPr>
              <w:t>,</w:t>
            </w:r>
            <w:r w:rsidRPr="00F609DC">
              <w:rPr>
                <w:rFonts w:eastAsia="Arial Unicode MS" w:cs="Arial"/>
                <w:sz w:val="17"/>
                <w:szCs w:val="17"/>
              </w:rPr>
              <w:t>250</w:t>
            </w:r>
          </w:p>
        </w:tc>
        <w:tc>
          <w:tcPr>
            <w:tcW w:w="615" w:type="pct"/>
            <w:tcBorders>
              <w:top w:val="nil"/>
              <w:left w:val="nil"/>
              <w:bottom w:val="nil"/>
              <w:right w:val="nil"/>
            </w:tcBorders>
            <w:shd w:val="clear" w:color="auto" w:fill="auto"/>
          </w:tcPr>
          <w:p w14:paraId="619494A2" w14:textId="05D93822"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712</w:t>
            </w:r>
            <w:r>
              <w:rPr>
                <w:rFonts w:eastAsia="Arial Unicode MS" w:cs="Arial"/>
                <w:sz w:val="17"/>
                <w:szCs w:val="17"/>
              </w:rPr>
              <w:t>,</w:t>
            </w:r>
            <w:r w:rsidRPr="00F609DC">
              <w:rPr>
                <w:rFonts w:eastAsia="Arial Unicode MS" w:cs="Arial"/>
                <w:sz w:val="17"/>
                <w:szCs w:val="17"/>
              </w:rPr>
              <w:t>831</w:t>
            </w:r>
          </w:p>
        </w:tc>
        <w:tc>
          <w:tcPr>
            <w:tcW w:w="678" w:type="pct"/>
            <w:tcBorders>
              <w:top w:val="nil"/>
              <w:left w:val="nil"/>
              <w:bottom w:val="nil"/>
              <w:right w:val="nil"/>
            </w:tcBorders>
            <w:shd w:val="clear" w:color="auto" w:fill="auto"/>
          </w:tcPr>
          <w:p w14:paraId="1C16E66B" w14:textId="794B2E04"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227</w:t>
            </w:r>
            <w:r>
              <w:rPr>
                <w:rFonts w:eastAsia="Arial Unicode MS" w:cs="Arial"/>
                <w:sz w:val="17"/>
                <w:szCs w:val="17"/>
              </w:rPr>
              <w:t>,</w:t>
            </w:r>
            <w:r w:rsidRPr="00F609DC">
              <w:rPr>
                <w:rFonts w:eastAsia="Arial Unicode MS" w:cs="Arial"/>
                <w:sz w:val="17"/>
                <w:szCs w:val="17"/>
              </w:rPr>
              <w:t>953</w:t>
            </w:r>
          </w:p>
        </w:tc>
        <w:tc>
          <w:tcPr>
            <w:tcW w:w="633" w:type="pct"/>
            <w:tcBorders>
              <w:top w:val="nil"/>
              <w:left w:val="nil"/>
              <w:bottom w:val="nil"/>
            </w:tcBorders>
            <w:shd w:val="clear" w:color="auto" w:fill="auto"/>
          </w:tcPr>
          <w:p w14:paraId="35924900" w14:textId="54313C19"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940</w:t>
            </w:r>
            <w:r>
              <w:rPr>
                <w:rFonts w:eastAsia="Arial Unicode MS" w:cs="Arial"/>
                <w:sz w:val="17"/>
                <w:szCs w:val="17"/>
              </w:rPr>
              <w:t>,</w:t>
            </w:r>
            <w:r w:rsidRPr="00F609DC">
              <w:rPr>
                <w:rFonts w:eastAsia="Arial Unicode MS" w:cs="Arial"/>
                <w:sz w:val="17"/>
                <w:szCs w:val="17"/>
              </w:rPr>
              <w:t>784</w:t>
            </w:r>
          </w:p>
        </w:tc>
      </w:tr>
      <w:tr w:rsidR="002438C2" w:rsidRPr="00321238" w14:paraId="61168377" w14:textId="77777777" w:rsidTr="006B318F">
        <w:trPr>
          <w:trHeight w:val="204"/>
        </w:trPr>
        <w:tc>
          <w:tcPr>
            <w:tcW w:w="1456" w:type="pct"/>
          </w:tcPr>
          <w:p w14:paraId="5B082FB8" w14:textId="77777777" w:rsidR="002438C2" w:rsidRPr="00166751" w:rsidRDefault="002438C2" w:rsidP="002438C2">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Borrowings </w:t>
            </w:r>
          </w:p>
        </w:tc>
        <w:tc>
          <w:tcPr>
            <w:tcW w:w="434" w:type="pct"/>
            <w:tcBorders>
              <w:top w:val="nil"/>
              <w:left w:val="nil"/>
              <w:bottom w:val="nil"/>
              <w:right w:val="nil"/>
            </w:tcBorders>
            <w:shd w:val="clear" w:color="auto" w:fill="auto"/>
          </w:tcPr>
          <w:p w14:paraId="641B93B0" w14:textId="7FDB739A"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404</w:t>
            </w:r>
            <w:r>
              <w:rPr>
                <w:rFonts w:eastAsia="Arial Unicode MS" w:cs="Arial"/>
                <w:sz w:val="17"/>
                <w:szCs w:val="17"/>
              </w:rPr>
              <w:t>,</w:t>
            </w:r>
            <w:r w:rsidRPr="00F609DC">
              <w:rPr>
                <w:rFonts w:eastAsia="Arial Unicode MS" w:cs="Arial"/>
                <w:sz w:val="17"/>
                <w:szCs w:val="17"/>
              </w:rPr>
              <w:t>582</w:t>
            </w:r>
          </w:p>
        </w:tc>
        <w:tc>
          <w:tcPr>
            <w:tcW w:w="568" w:type="pct"/>
            <w:tcBorders>
              <w:top w:val="nil"/>
              <w:left w:val="nil"/>
              <w:bottom w:val="nil"/>
              <w:right w:val="nil"/>
            </w:tcBorders>
            <w:shd w:val="clear" w:color="auto" w:fill="auto"/>
          </w:tcPr>
          <w:p w14:paraId="10FDABB8" w14:textId="20EEEA10"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14</w:t>
            </w:r>
            <w:r>
              <w:rPr>
                <w:rFonts w:eastAsia="Arial Unicode MS" w:cs="Arial"/>
                <w:sz w:val="17"/>
                <w:szCs w:val="17"/>
              </w:rPr>
              <w:t>,</w:t>
            </w:r>
            <w:r w:rsidRPr="00F609DC">
              <w:rPr>
                <w:rFonts w:eastAsia="Arial Unicode MS" w:cs="Arial"/>
                <w:sz w:val="17"/>
                <w:szCs w:val="17"/>
              </w:rPr>
              <w:t>931</w:t>
            </w:r>
            <w:r>
              <w:rPr>
                <w:rFonts w:eastAsia="Arial Unicode MS" w:cs="Arial"/>
                <w:sz w:val="17"/>
                <w:szCs w:val="17"/>
              </w:rPr>
              <w:t>,</w:t>
            </w:r>
            <w:r w:rsidRPr="00F609DC">
              <w:rPr>
                <w:rFonts w:eastAsia="Arial Unicode MS" w:cs="Arial"/>
                <w:sz w:val="17"/>
                <w:szCs w:val="17"/>
              </w:rPr>
              <w:t>252</w:t>
            </w:r>
          </w:p>
        </w:tc>
        <w:tc>
          <w:tcPr>
            <w:tcW w:w="616" w:type="pct"/>
            <w:tcBorders>
              <w:top w:val="nil"/>
              <w:left w:val="nil"/>
              <w:bottom w:val="nil"/>
              <w:right w:val="nil"/>
            </w:tcBorders>
            <w:shd w:val="clear" w:color="auto" w:fill="auto"/>
          </w:tcPr>
          <w:p w14:paraId="6EB17115" w14:textId="089618E5"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w:t>
            </w:r>
          </w:p>
        </w:tc>
        <w:tc>
          <w:tcPr>
            <w:tcW w:w="615" w:type="pct"/>
            <w:tcBorders>
              <w:top w:val="nil"/>
              <w:left w:val="nil"/>
              <w:bottom w:val="nil"/>
              <w:right w:val="nil"/>
            </w:tcBorders>
            <w:shd w:val="clear" w:color="auto" w:fill="auto"/>
          </w:tcPr>
          <w:p w14:paraId="284C1829" w14:textId="0145BBB2"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15</w:t>
            </w:r>
            <w:r>
              <w:rPr>
                <w:rFonts w:eastAsia="Arial Unicode MS" w:cs="Arial"/>
                <w:sz w:val="17"/>
                <w:szCs w:val="17"/>
              </w:rPr>
              <w:t>,</w:t>
            </w:r>
            <w:r w:rsidRPr="00F609DC">
              <w:rPr>
                <w:rFonts w:eastAsia="Arial Unicode MS" w:cs="Arial"/>
                <w:sz w:val="17"/>
                <w:szCs w:val="17"/>
              </w:rPr>
              <w:t>335</w:t>
            </w:r>
            <w:r>
              <w:rPr>
                <w:rFonts w:eastAsia="Arial Unicode MS" w:cs="Arial"/>
                <w:sz w:val="17"/>
                <w:szCs w:val="17"/>
              </w:rPr>
              <w:t>,</w:t>
            </w:r>
            <w:r w:rsidRPr="00F609DC">
              <w:rPr>
                <w:rFonts w:eastAsia="Arial Unicode MS" w:cs="Arial"/>
                <w:sz w:val="17"/>
                <w:szCs w:val="17"/>
              </w:rPr>
              <w:t>834</w:t>
            </w:r>
          </w:p>
        </w:tc>
        <w:tc>
          <w:tcPr>
            <w:tcW w:w="678" w:type="pct"/>
            <w:tcBorders>
              <w:top w:val="nil"/>
              <w:left w:val="nil"/>
              <w:bottom w:val="nil"/>
              <w:right w:val="nil"/>
            </w:tcBorders>
            <w:shd w:val="clear" w:color="auto" w:fill="auto"/>
          </w:tcPr>
          <w:p w14:paraId="0A47952B" w14:textId="6B3E5F79"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w:t>
            </w:r>
          </w:p>
        </w:tc>
        <w:tc>
          <w:tcPr>
            <w:tcW w:w="633" w:type="pct"/>
            <w:tcBorders>
              <w:top w:val="nil"/>
              <w:left w:val="nil"/>
              <w:bottom w:val="nil"/>
            </w:tcBorders>
            <w:shd w:val="clear" w:color="auto" w:fill="auto"/>
          </w:tcPr>
          <w:p w14:paraId="773255E7" w14:textId="52E18D8F"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15</w:t>
            </w:r>
            <w:r>
              <w:rPr>
                <w:rFonts w:eastAsia="Arial Unicode MS" w:cs="Arial"/>
                <w:sz w:val="17"/>
                <w:szCs w:val="17"/>
              </w:rPr>
              <w:t>,</w:t>
            </w:r>
            <w:r w:rsidRPr="00F609DC">
              <w:rPr>
                <w:rFonts w:eastAsia="Arial Unicode MS" w:cs="Arial"/>
                <w:sz w:val="17"/>
                <w:szCs w:val="17"/>
              </w:rPr>
              <w:t>335</w:t>
            </w:r>
            <w:r>
              <w:rPr>
                <w:rFonts w:eastAsia="Arial Unicode MS" w:cs="Arial"/>
                <w:sz w:val="17"/>
                <w:szCs w:val="17"/>
              </w:rPr>
              <w:t>,</w:t>
            </w:r>
            <w:r w:rsidRPr="00F609DC">
              <w:rPr>
                <w:rFonts w:eastAsia="Arial Unicode MS" w:cs="Arial"/>
                <w:sz w:val="17"/>
                <w:szCs w:val="17"/>
              </w:rPr>
              <w:t>834</w:t>
            </w:r>
          </w:p>
        </w:tc>
      </w:tr>
      <w:tr w:rsidR="002438C2" w:rsidRPr="00321238" w14:paraId="3B559C1E" w14:textId="77777777" w:rsidTr="006B318F">
        <w:trPr>
          <w:trHeight w:val="204"/>
        </w:trPr>
        <w:tc>
          <w:tcPr>
            <w:tcW w:w="1456" w:type="pct"/>
          </w:tcPr>
          <w:p w14:paraId="37BE5282" w14:textId="77777777" w:rsidR="002438C2" w:rsidRPr="00166751" w:rsidRDefault="002438C2" w:rsidP="002438C2">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Bonds payable </w:t>
            </w:r>
          </w:p>
        </w:tc>
        <w:tc>
          <w:tcPr>
            <w:tcW w:w="434" w:type="pct"/>
            <w:tcBorders>
              <w:top w:val="nil"/>
              <w:left w:val="nil"/>
              <w:bottom w:val="nil"/>
              <w:right w:val="nil"/>
            </w:tcBorders>
            <w:shd w:val="clear" w:color="auto" w:fill="auto"/>
          </w:tcPr>
          <w:p w14:paraId="1B701CBF" w14:textId="32007BD8"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w:t>
            </w:r>
          </w:p>
        </w:tc>
        <w:tc>
          <w:tcPr>
            <w:tcW w:w="568" w:type="pct"/>
            <w:tcBorders>
              <w:top w:val="nil"/>
              <w:left w:val="nil"/>
              <w:bottom w:val="nil"/>
              <w:right w:val="nil"/>
            </w:tcBorders>
            <w:shd w:val="clear" w:color="auto" w:fill="auto"/>
          </w:tcPr>
          <w:p w14:paraId="370B84DC" w14:textId="579BDF97"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1</w:t>
            </w:r>
            <w:r>
              <w:rPr>
                <w:rFonts w:eastAsia="Arial Unicode MS" w:cs="Arial"/>
                <w:sz w:val="17"/>
                <w:szCs w:val="17"/>
              </w:rPr>
              <w:t>,</w:t>
            </w:r>
            <w:r w:rsidRPr="00F609DC">
              <w:rPr>
                <w:rFonts w:eastAsia="Arial Unicode MS" w:cs="Arial"/>
                <w:sz w:val="17"/>
                <w:szCs w:val="17"/>
              </w:rPr>
              <w:t>141</w:t>
            </w:r>
            <w:r>
              <w:rPr>
                <w:rFonts w:eastAsia="Arial Unicode MS" w:cs="Arial"/>
                <w:sz w:val="17"/>
                <w:szCs w:val="17"/>
              </w:rPr>
              <w:t>,</w:t>
            </w:r>
            <w:r w:rsidRPr="00F609DC">
              <w:rPr>
                <w:rFonts w:eastAsia="Arial Unicode MS" w:cs="Arial"/>
                <w:sz w:val="17"/>
                <w:szCs w:val="17"/>
              </w:rPr>
              <w:t>222</w:t>
            </w:r>
          </w:p>
        </w:tc>
        <w:tc>
          <w:tcPr>
            <w:tcW w:w="616" w:type="pct"/>
            <w:tcBorders>
              <w:top w:val="nil"/>
              <w:left w:val="nil"/>
              <w:bottom w:val="nil"/>
              <w:right w:val="nil"/>
            </w:tcBorders>
            <w:shd w:val="clear" w:color="auto" w:fill="auto"/>
          </w:tcPr>
          <w:p w14:paraId="4FF4AB9C" w14:textId="11DD80B2"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w:t>
            </w:r>
          </w:p>
        </w:tc>
        <w:tc>
          <w:tcPr>
            <w:tcW w:w="615" w:type="pct"/>
            <w:tcBorders>
              <w:top w:val="nil"/>
              <w:left w:val="nil"/>
              <w:bottom w:val="nil"/>
              <w:right w:val="nil"/>
            </w:tcBorders>
            <w:shd w:val="clear" w:color="auto" w:fill="auto"/>
          </w:tcPr>
          <w:p w14:paraId="786868A5" w14:textId="799EE229"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1</w:t>
            </w:r>
            <w:r>
              <w:rPr>
                <w:rFonts w:eastAsia="Arial Unicode MS" w:cs="Arial"/>
                <w:sz w:val="17"/>
                <w:szCs w:val="17"/>
              </w:rPr>
              <w:t>,</w:t>
            </w:r>
            <w:r w:rsidRPr="00F609DC">
              <w:rPr>
                <w:rFonts w:eastAsia="Arial Unicode MS" w:cs="Arial"/>
                <w:sz w:val="17"/>
                <w:szCs w:val="17"/>
              </w:rPr>
              <w:t>141</w:t>
            </w:r>
            <w:r>
              <w:rPr>
                <w:rFonts w:eastAsia="Arial Unicode MS" w:cs="Arial"/>
                <w:sz w:val="17"/>
                <w:szCs w:val="17"/>
              </w:rPr>
              <w:t>,</w:t>
            </w:r>
            <w:r w:rsidRPr="00F609DC">
              <w:rPr>
                <w:rFonts w:eastAsia="Arial Unicode MS" w:cs="Arial"/>
                <w:sz w:val="17"/>
                <w:szCs w:val="17"/>
              </w:rPr>
              <w:t>222</w:t>
            </w:r>
          </w:p>
        </w:tc>
        <w:tc>
          <w:tcPr>
            <w:tcW w:w="678" w:type="pct"/>
            <w:tcBorders>
              <w:top w:val="nil"/>
              <w:left w:val="nil"/>
              <w:bottom w:val="nil"/>
              <w:right w:val="nil"/>
            </w:tcBorders>
            <w:shd w:val="clear" w:color="auto" w:fill="auto"/>
          </w:tcPr>
          <w:p w14:paraId="58836E23" w14:textId="5F573342"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w:t>
            </w:r>
          </w:p>
        </w:tc>
        <w:tc>
          <w:tcPr>
            <w:tcW w:w="633" w:type="pct"/>
            <w:tcBorders>
              <w:top w:val="nil"/>
              <w:left w:val="nil"/>
              <w:bottom w:val="nil"/>
            </w:tcBorders>
            <w:shd w:val="clear" w:color="auto" w:fill="auto"/>
          </w:tcPr>
          <w:p w14:paraId="452519A5" w14:textId="2F564843"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1</w:t>
            </w:r>
            <w:r>
              <w:rPr>
                <w:rFonts w:eastAsia="Arial Unicode MS" w:cs="Arial"/>
                <w:sz w:val="17"/>
                <w:szCs w:val="17"/>
              </w:rPr>
              <w:t>,</w:t>
            </w:r>
            <w:r w:rsidRPr="00F609DC">
              <w:rPr>
                <w:rFonts w:eastAsia="Arial Unicode MS" w:cs="Arial"/>
                <w:sz w:val="17"/>
                <w:szCs w:val="17"/>
              </w:rPr>
              <w:t>141</w:t>
            </w:r>
            <w:r>
              <w:rPr>
                <w:rFonts w:eastAsia="Arial Unicode MS" w:cs="Arial"/>
                <w:sz w:val="17"/>
                <w:szCs w:val="17"/>
              </w:rPr>
              <w:t>,</w:t>
            </w:r>
            <w:r w:rsidRPr="00F609DC">
              <w:rPr>
                <w:rFonts w:eastAsia="Arial Unicode MS" w:cs="Arial"/>
                <w:sz w:val="17"/>
                <w:szCs w:val="17"/>
              </w:rPr>
              <w:t>222</w:t>
            </w:r>
          </w:p>
        </w:tc>
      </w:tr>
      <w:tr w:rsidR="002438C2" w:rsidRPr="00321238" w14:paraId="5586F65F" w14:textId="77777777" w:rsidTr="006B318F">
        <w:trPr>
          <w:trHeight w:val="163"/>
        </w:trPr>
        <w:tc>
          <w:tcPr>
            <w:tcW w:w="1456" w:type="pct"/>
            <w:vAlign w:val="center"/>
          </w:tcPr>
          <w:p w14:paraId="5E53082F" w14:textId="77777777" w:rsidR="002438C2" w:rsidRPr="00166751" w:rsidRDefault="002438C2" w:rsidP="002438C2">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Other liabilities </w:t>
            </w:r>
          </w:p>
        </w:tc>
        <w:tc>
          <w:tcPr>
            <w:tcW w:w="434" w:type="pct"/>
            <w:tcBorders>
              <w:top w:val="nil"/>
              <w:left w:val="nil"/>
              <w:bottom w:val="single" w:sz="2" w:space="0" w:color="auto"/>
              <w:right w:val="nil"/>
            </w:tcBorders>
            <w:shd w:val="clear" w:color="auto" w:fill="auto"/>
          </w:tcPr>
          <w:p w14:paraId="326DD262" w14:textId="1C1F11A7"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3</w:t>
            </w:r>
            <w:r>
              <w:rPr>
                <w:rFonts w:eastAsia="Arial Unicode MS" w:cs="Arial"/>
                <w:sz w:val="17"/>
                <w:szCs w:val="17"/>
              </w:rPr>
              <w:t>,</w:t>
            </w:r>
            <w:r w:rsidRPr="00F609DC">
              <w:rPr>
                <w:rFonts w:eastAsia="Arial Unicode MS" w:cs="Arial"/>
                <w:sz w:val="17"/>
                <w:szCs w:val="17"/>
              </w:rPr>
              <w:t>65</w:t>
            </w:r>
            <w:r>
              <w:rPr>
                <w:rFonts w:eastAsia="Arial Unicode MS" w:cs="Arial"/>
                <w:sz w:val="17"/>
                <w:szCs w:val="17"/>
              </w:rPr>
              <w:t>8</w:t>
            </w:r>
          </w:p>
        </w:tc>
        <w:tc>
          <w:tcPr>
            <w:tcW w:w="568" w:type="pct"/>
            <w:tcBorders>
              <w:top w:val="nil"/>
              <w:left w:val="nil"/>
              <w:bottom w:val="single" w:sz="2" w:space="0" w:color="auto"/>
              <w:right w:val="nil"/>
            </w:tcBorders>
            <w:shd w:val="clear" w:color="auto" w:fill="auto"/>
          </w:tcPr>
          <w:p w14:paraId="3A2CD53D" w14:textId="6EF4E8F0" w:rsidR="002438C2" w:rsidRPr="005444AA" w:rsidRDefault="002438C2" w:rsidP="002438C2">
            <w:pPr>
              <w:spacing w:after="0" w:line="240" w:lineRule="exact"/>
              <w:jc w:val="right"/>
              <w:rPr>
                <w:rFonts w:asciiTheme="minorHAnsi" w:eastAsia="Arial Unicode MS" w:hAnsiTheme="minorHAnsi" w:cs="Arial"/>
                <w:sz w:val="18"/>
                <w:szCs w:val="18"/>
                <w:lang w:val="pl-PL"/>
              </w:rPr>
            </w:pPr>
            <w:r>
              <w:rPr>
                <w:rFonts w:eastAsia="Arial Unicode MS" w:cs="Arial"/>
                <w:sz w:val="17"/>
                <w:szCs w:val="17"/>
              </w:rPr>
              <w:t>6,377</w:t>
            </w:r>
          </w:p>
        </w:tc>
        <w:tc>
          <w:tcPr>
            <w:tcW w:w="616" w:type="pct"/>
            <w:tcBorders>
              <w:top w:val="nil"/>
              <w:left w:val="nil"/>
              <w:bottom w:val="single" w:sz="2" w:space="0" w:color="auto"/>
              <w:right w:val="nil"/>
            </w:tcBorders>
            <w:shd w:val="clear" w:color="auto" w:fill="auto"/>
          </w:tcPr>
          <w:p w14:paraId="64FD649E" w14:textId="44994502" w:rsidR="002438C2" w:rsidRPr="005444AA" w:rsidRDefault="002438C2" w:rsidP="002438C2">
            <w:pPr>
              <w:spacing w:after="0" w:line="240" w:lineRule="exact"/>
              <w:jc w:val="right"/>
              <w:rPr>
                <w:rFonts w:asciiTheme="minorHAnsi" w:eastAsia="Arial Unicode MS" w:hAnsiTheme="minorHAnsi" w:cs="Arial"/>
                <w:sz w:val="18"/>
                <w:szCs w:val="18"/>
                <w:lang w:val="pl-PL"/>
              </w:rPr>
            </w:pPr>
            <w:r>
              <w:rPr>
                <w:rFonts w:eastAsia="Arial Unicode MS" w:cs="Arial"/>
                <w:sz w:val="17"/>
                <w:szCs w:val="17"/>
              </w:rPr>
              <w:t>2,721</w:t>
            </w:r>
          </w:p>
        </w:tc>
        <w:tc>
          <w:tcPr>
            <w:tcW w:w="615" w:type="pct"/>
            <w:tcBorders>
              <w:top w:val="nil"/>
              <w:left w:val="nil"/>
              <w:bottom w:val="single" w:sz="2" w:space="0" w:color="auto"/>
              <w:right w:val="nil"/>
            </w:tcBorders>
            <w:shd w:val="clear" w:color="auto" w:fill="auto"/>
          </w:tcPr>
          <w:p w14:paraId="6809EAF8" w14:textId="46F94773"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12</w:t>
            </w:r>
            <w:r>
              <w:rPr>
                <w:rFonts w:eastAsia="Arial Unicode MS" w:cs="Arial"/>
                <w:sz w:val="17"/>
                <w:szCs w:val="17"/>
              </w:rPr>
              <w:t>,</w:t>
            </w:r>
            <w:r w:rsidRPr="00F609DC">
              <w:rPr>
                <w:rFonts w:eastAsia="Arial Unicode MS" w:cs="Arial"/>
                <w:sz w:val="17"/>
                <w:szCs w:val="17"/>
              </w:rPr>
              <w:t>756</w:t>
            </w:r>
          </w:p>
        </w:tc>
        <w:tc>
          <w:tcPr>
            <w:tcW w:w="678" w:type="pct"/>
            <w:tcBorders>
              <w:top w:val="nil"/>
              <w:left w:val="nil"/>
              <w:bottom w:val="single" w:sz="2" w:space="0" w:color="auto"/>
              <w:right w:val="nil"/>
            </w:tcBorders>
            <w:shd w:val="clear" w:color="auto" w:fill="auto"/>
          </w:tcPr>
          <w:p w14:paraId="5F8829AC" w14:textId="6436EBEE"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596</w:t>
            </w:r>
            <w:r>
              <w:rPr>
                <w:rFonts w:eastAsia="Arial Unicode MS" w:cs="Arial"/>
                <w:sz w:val="17"/>
                <w:szCs w:val="17"/>
              </w:rPr>
              <w:t>,</w:t>
            </w:r>
            <w:r w:rsidRPr="00F609DC">
              <w:rPr>
                <w:rFonts w:eastAsia="Arial Unicode MS" w:cs="Arial"/>
                <w:sz w:val="17"/>
                <w:szCs w:val="17"/>
              </w:rPr>
              <w:t>588</w:t>
            </w:r>
          </w:p>
        </w:tc>
        <w:tc>
          <w:tcPr>
            <w:tcW w:w="633" w:type="pct"/>
            <w:tcBorders>
              <w:top w:val="nil"/>
              <w:left w:val="nil"/>
              <w:bottom w:val="single" w:sz="2" w:space="0" w:color="auto"/>
            </w:tcBorders>
            <w:shd w:val="clear" w:color="auto" w:fill="auto"/>
          </w:tcPr>
          <w:p w14:paraId="05B395D0" w14:textId="2A05EB8B"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609</w:t>
            </w:r>
            <w:r>
              <w:rPr>
                <w:rFonts w:eastAsia="Arial Unicode MS" w:cs="Arial"/>
                <w:sz w:val="17"/>
                <w:szCs w:val="17"/>
              </w:rPr>
              <w:t>,</w:t>
            </w:r>
            <w:r w:rsidRPr="00F609DC">
              <w:rPr>
                <w:rFonts w:eastAsia="Arial Unicode MS" w:cs="Arial"/>
                <w:sz w:val="17"/>
                <w:szCs w:val="17"/>
              </w:rPr>
              <w:t>344</w:t>
            </w:r>
          </w:p>
        </w:tc>
      </w:tr>
      <w:tr w:rsidR="002438C2" w:rsidRPr="00321238" w14:paraId="12A46ECC" w14:textId="77777777" w:rsidTr="006B318F">
        <w:trPr>
          <w:trHeight w:val="204"/>
        </w:trPr>
        <w:tc>
          <w:tcPr>
            <w:tcW w:w="1456" w:type="pct"/>
          </w:tcPr>
          <w:p w14:paraId="35A681FD" w14:textId="77777777" w:rsidR="002438C2" w:rsidRPr="00166751" w:rsidRDefault="002438C2" w:rsidP="002438C2">
            <w:pPr>
              <w:tabs>
                <w:tab w:val="right" w:pos="1202"/>
              </w:tabs>
              <w:spacing w:after="0" w:line="240" w:lineRule="exact"/>
              <w:outlineLvl w:val="0"/>
              <w:rPr>
                <w:rFonts w:eastAsia="Times New Roman" w:cs="Arial"/>
                <w:b/>
                <w:bCs/>
                <w:sz w:val="18"/>
                <w:szCs w:val="18"/>
              </w:rPr>
            </w:pPr>
            <w:r w:rsidRPr="00166751">
              <w:rPr>
                <w:rFonts w:eastAsia="Times New Roman" w:cs="Arial"/>
                <w:b/>
                <w:bCs/>
                <w:sz w:val="18"/>
                <w:szCs w:val="18"/>
              </w:rPr>
              <w:t xml:space="preserve">Total liabilities </w:t>
            </w:r>
          </w:p>
        </w:tc>
        <w:tc>
          <w:tcPr>
            <w:tcW w:w="434" w:type="pct"/>
            <w:tcBorders>
              <w:top w:val="single" w:sz="2" w:space="0" w:color="auto"/>
              <w:left w:val="nil"/>
              <w:bottom w:val="single" w:sz="12" w:space="0" w:color="auto"/>
              <w:right w:val="nil"/>
            </w:tcBorders>
            <w:shd w:val="clear" w:color="auto" w:fill="auto"/>
          </w:tcPr>
          <w:p w14:paraId="4FD59AD4" w14:textId="402A046B" w:rsidR="002438C2" w:rsidRPr="005444AA" w:rsidRDefault="002438C2" w:rsidP="002438C2">
            <w:pPr>
              <w:spacing w:after="0" w:line="240" w:lineRule="exact"/>
              <w:jc w:val="right"/>
              <w:rPr>
                <w:rFonts w:asciiTheme="minorHAnsi" w:eastAsia="Arial Unicode MS" w:hAnsiTheme="minorHAnsi" w:cs="Arial"/>
                <w:b/>
                <w:sz w:val="18"/>
                <w:szCs w:val="18"/>
                <w:lang w:val="pl-PL"/>
              </w:rPr>
            </w:pPr>
            <w:r w:rsidRPr="00F609DC">
              <w:rPr>
                <w:rFonts w:eastAsia="Arial Unicode MS" w:cs="Arial"/>
                <w:b/>
                <w:bCs/>
                <w:sz w:val="17"/>
                <w:szCs w:val="17"/>
              </w:rPr>
              <w:t>428</w:t>
            </w:r>
            <w:r>
              <w:rPr>
                <w:rFonts w:eastAsia="Arial Unicode MS" w:cs="Arial"/>
                <w:b/>
                <w:bCs/>
                <w:sz w:val="17"/>
                <w:szCs w:val="17"/>
              </w:rPr>
              <w:t>,</w:t>
            </w:r>
            <w:r w:rsidRPr="00F609DC">
              <w:rPr>
                <w:rFonts w:eastAsia="Arial Unicode MS" w:cs="Arial"/>
                <w:b/>
                <w:bCs/>
                <w:sz w:val="17"/>
                <w:szCs w:val="17"/>
              </w:rPr>
              <w:t>81</w:t>
            </w:r>
            <w:r>
              <w:rPr>
                <w:rFonts w:eastAsia="Arial Unicode MS" w:cs="Arial"/>
                <w:b/>
                <w:bCs/>
                <w:sz w:val="17"/>
                <w:szCs w:val="17"/>
              </w:rPr>
              <w:t>3</w:t>
            </w:r>
          </w:p>
        </w:tc>
        <w:tc>
          <w:tcPr>
            <w:tcW w:w="568" w:type="pct"/>
            <w:tcBorders>
              <w:top w:val="single" w:sz="2" w:space="0" w:color="auto"/>
              <w:left w:val="nil"/>
              <w:bottom w:val="single" w:sz="12" w:space="0" w:color="auto"/>
              <w:right w:val="nil"/>
            </w:tcBorders>
            <w:shd w:val="clear" w:color="auto" w:fill="auto"/>
          </w:tcPr>
          <w:p w14:paraId="50A1A1A3" w14:textId="26F85D4E" w:rsidR="002438C2" w:rsidRPr="005444AA" w:rsidRDefault="002438C2" w:rsidP="002438C2">
            <w:pPr>
              <w:spacing w:after="0" w:line="240" w:lineRule="exact"/>
              <w:jc w:val="right"/>
              <w:rPr>
                <w:rFonts w:asciiTheme="minorHAnsi" w:eastAsia="Arial Unicode MS" w:hAnsiTheme="minorHAnsi" w:cs="Arial"/>
                <w:b/>
                <w:sz w:val="18"/>
                <w:szCs w:val="18"/>
                <w:lang w:val="pl-PL"/>
              </w:rPr>
            </w:pPr>
            <w:r>
              <w:rPr>
                <w:rFonts w:eastAsia="Arial Unicode MS" w:cs="Arial"/>
                <w:b/>
                <w:bCs/>
                <w:sz w:val="17"/>
                <w:szCs w:val="17"/>
              </w:rPr>
              <w:t>16,769,859</w:t>
            </w:r>
          </w:p>
        </w:tc>
        <w:tc>
          <w:tcPr>
            <w:tcW w:w="616" w:type="pct"/>
            <w:tcBorders>
              <w:top w:val="single" w:sz="2" w:space="0" w:color="auto"/>
              <w:left w:val="nil"/>
              <w:bottom w:val="single" w:sz="12" w:space="0" w:color="auto"/>
              <w:right w:val="nil"/>
            </w:tcBorders>
            <w:shd w:val="clear" w:color="auto" w:fill="auto"/>
          </w:tcPr>
          <w:p w14:paraId="63C2D642" w14:textId="21204A69" w:rsidR="002438C2" w:rsidRPr="005444AA" w:rsidRDefault="002438C2" w:rsidP="002438C2">
            <w:pPr>
              <w:spacing w:after="0" w:line="240" w:lineRule="exact"/>
              <w:jc w:val="right"/>
              <w:rPr>
                <w:rFonts w:asciiTheme="minorHAnsi" w:eastAsia="Arial Unicode MS" w:hAnsiTheme="minorHAnsi" w:cs="Arial"/>
                <w:b/>
                <w:sz w:val="18"/>
                <w:szCs w:val="18"/>
                <w:lang w:val="pl-PL"/>
              </w:rPr>
            </w:pPr>
            <w:r>
              <w:rPr>
                <w:rFonts w:eastAsia="Arial Unicode MS" w:cs="Arial"/>
                <w:b/>
                <w:bCs/>
                <w:sz w:val="17"/>
                <w:szCs w:val="17"/>
              </w:rPr>
              <w:t>3,971</w:t>
            </w:r>
          </w:p>
        </w:tc>
        <w:tc>
          <w:tcPr>
            <w:tcW w:w="615" w:type="pct"/>
            <w:tcBorders>
              <w:top w:val="single" w:sz="2" w:space="0" w:color="auto"/>
              <w:left w:val="nil"/>
              <w:bottom w:val="single" w:sz="12" w:space="0" w:color="auto"/>
              <w:right w:val="nil"/>
            </w:tcBorders>
            <w:shd w:val="clear" w:color="auto" w:fill="auto"/>
          </w:tcPr>
          <w:p w14:paraId="44A29F55" w14:textId="6ED36626" w:rsidR="002438C2" w:rsidRPr="005444AA" w:rsidRDefault="002438C2" w:rsidP="002438C2">
            <w:pPr>
              <w:spacing w:after="0" w:line="240" w:lineRule="exact"/>
              <w:jc w:val="right"/>
              <w:rPr>
                <w:rFonts w:asciiTheme="minorHAnsi" w:eastAsia="Arial Unicode MS" w:hAnsiTheme="minorHAnsi" w:cs="Arial"/>
                <w:b/>
                <w:sz w:val="18"/>
                <w:szCs w:val="18"/>
                <w:lang w:val="pl-PL"/>
              </w:rPr>
            </w:pPr>
            <w:r w:rsidRPr="00F609DC">
              <w:rPr>
                <w:rFonts w:eastAsia="Arial Unicode MS" w:cs="Arial"/>
                <w:b/>
                <w:bCs/>
                <w:sz w:val="17"/>
                <w:szCs w:val="17"/>
              </w:rPr>
              <w:t>17</w:t>
            </w:r>
            <w:r>
              <w:rPr>
                <w:rFonts w:eastAsia="Arial Unicode MS" w:cs="Arial"/>
                <w:b/>
                <w:bCs/>
                <w:sz w:val="17"/>
                <w:szCs w:val="17"/>
              </w:rPr>
              <w:t>,</w:t>
            </w:r>
            <w:r w:rsidRPr="00F609DC">
              <w:rPr>
                <w:rFonts w:eastAsia="Arial Unicode MS" w:cs="Arial"/>
                <w:b/>
                <w:bCs/>
                <w:sz w:val="17"/>
                <w:szCs w:val="17"/>
              </w:rPr>
              <w:t>202</w:t>
            </w:r>
            <w:r>
              <w:rPr>
                <w:rFonts w:eastAsia="Arial Unicode MS" w:cs="Arial"/>
                <w:b/>
                <w:bCs/>
                <w:sz w:val="17"/>
                <w:szCs w:val="17"/>
              </w:rPr>
              <w:t>,</w:t>
            </w:r>
            <w:r w:rsidRPr="00F609DC">
              <w:rPr>
                <w:rFonts w:eastAsia="Arial Unicode MS" w:cs="Arial"/>
                <w:b/>
                <w:bCs/>
                <w:sz w:val="17"/>
                <w:szCs w:val="17"/>
              </w:rPr>
              <w:t>643</w:t>
            </w:r>
          </w:p>
        </w:tc>
        <w:tc>
          <w:tcPr>
            <w:tcW w:w="678" w:type="pct"/>
            <w:tcBorders>
              <w:top w:val="single" w:sz="2" w:space="0" w:color="auto"/>
              <w:left w:val="nil"/>
              <w:bottom w:val="single" w:sz="12" w:space="0" w:color="auto"/>
              <w:right w:val="nil"/>
            </w:tcBorders>
            <w:shd w:val="clear" w:color="auto" w:fill="auto"/>
          </w:tcPr>
          <w:p w14:paraId="2DC7554C" w14:textId="3F02AF00" w:rsidR="002438C2" w:rsidRPr="005444AA" w:rsidRDefault="002438C2" w:rsidP="002438C2">
            <w:pPr>
              <w:spacing w:after="0" w:line="240" w:lineRule="exact"/>
              <w:jc w:val="right"/>
              <w:rPr>
                <w:rFonts w:asciiTheme="minorHAnsi" w:eastAsia="Arial Unicode MS" w:hAnsiTheme="minorHAnsi" w:cs="Arial"/>
                <w:b/>
                <w:sz w:val="18"/>
                <w:szCs w:val="18"/>
                <w:lang w:val="pl-PL"/>
              </w:rPr>
            </w:pPr>
            <w:r w:rsidRPr="00F609DC">
              <w:rPr>
                <w:rFonts w:eastAsia="Arial Unicode MS" w:cs="Arial"/>
                <w:b/>
                <w:bCs/>
                <w:sz w:val="17"/>
                <w:szCs w:val="17"/>
              </w:rPr>
              <w:t>824</w:t>
            </w:r>
            <w:r>
              <w:rPr>
                <w:rFonts w:eastAsia="Arial Unicode MS" w:cs="Arial"/>
                <w:b/>
                <w:bCs/>
                <w:sz w:val="17"/>
                <w:szCs w:val="17"/>
              </w:rPr>
              <w:t>,</w:t>
            </w:r>
            <w:r w:rsidRPr="00F609DC">
              <w:rPr>
                <w:rFonts w:eastAsia="Arial Unicode MS" w:cs="Arial"/>
                <w:b/>
                <w:bCs/>
                <w:sz w:val="17"/>
                <w:szCs w:val="17"/>
              </w:rPr>
              <w:t>541</w:t>
            </w:r>
          </w:p>
        </w:tc>
        <w:tc>
          <w:tcPr>
            <w:tcW w:w="633" w:type="pct"/>
            <w:tcBorders>
              <w:top w:val="single" w:sz="2" w:space="0" w:color="auto"/>
              <w:left w:val="nil"/>
              <w:bottom w:val="single" w:sz="12" w:space="0" w:color="auto"/>
            </w:tcBorders>
            <w:shd w:val="clear" w:color="auto" w:fill="auto"/>
          </w:tcPr>
          <w:p w14:paraId="53202125" w14:textId="65005BC1" w:rsidR="002438C2" w:rsidRPr="005444AA" w:rsidRDefault="002438C2" w:rsidP="002438C2">
            <w:pPr>
              <w:spacing w:after="0" w:line="240" w:lineRule="exact"/>
              <w:jc w:val="right"/>
              <w:rPr>
                <w:rFonts w:asciiTheme="minorHAnsi" w:eastAsia="Arial Unicode MS" w:hAnsiTheme="minorHAnsi" w:cs="Arial"/>
                <w:b/>
                <w:sz w:val="18"/>
                <w:szCs w:val="18"/>
                <w:lang w:val="pl-PL"/>
              </w:rPr>
            </w:pPr>
            <w:r w:rsidRPr="00F609DC">
              <w:rPr>
                <w:rFonts w:eastAsia="Arial Unicode MS" w:cs="Arial"/>
                <w:b/>
                <w:bCs/>
                <w:sz w:val="17"/>
                <w:szCs w:val="17"/>
              </w:rPr>
              <w:t>18</w:t>
            </w:r>
            <w:r>
              <w:rPr>
                <w:rFonts w:eastAsia="Arial Unicode MS" w:cs="Arial"/>
                <w:b/>
                <w:bCs/>
                <w:sz w:val="17"/>
                <w:szCs w:val="17"/>
              </w:rPr>
              <w:t>,</w:t>
            </w:r>
            <w:r w:rsidRPr="00F609DC">
              <w:rPr>
                <w:rFonts w:eastAsia="Arial Unicode MS" w:cs="Arial"/>
                <w:b/>
                <w:bCs/>
                <w:sz w:val="17"/>
                <w:szCs w:val="17"/>
              </w:rPr>
              <w:t>027</w:t>
            </w:r>
            <w:r>
              <w:rPr>
                <w:rFonts w:eastAsia="Arial Unicode MS" w:cs="Arial"/>
                <w:b/>
                <w:bCs/>
                <w:sz w:val="17"/>
                <w:szCs w:val="17"/>
              </w:rPr>
              <w:t>,</w:t>
            </w:r>
            <w:r w:rsidRPr="00F609DC">
              <w:rPr>
                <w:rFonts w:eastAsia="Arial Unicode MS" w:cs="Arial"/>
                <w:b/>
                <w:bCs/>
                <w:sz w:val="17"/>
                <w:szCs w:val="17"/>
              </w:rPr>
              <w:t>184</w:t>
            </w:r>
          </w:p>
        </w:tc>
      </w:tr>
      <w:tr w:rsidR="00CE4410" w:rsidRPr="00321238" w14:paraId="01A6F1E8" w14:textId="77777777" w:rsidTr="002438C2">
        <w:trPr>
          <w:trHeight w:val="204"/>
        </w:trPr>
        <w:tc>
          <w:tcPr>
            <w:tcW w:w="1456" w:type="pct"/>
          </w:tcPr>
          <w:p w14:paraId="493B403B" w14:textId="77777777" w:rsidR="00CE4410" w:rsidRPr="00166751" w:rsidRDefault="00CE4410" w:rsidP="00CE4410">
            <w:pPr>
              <w:tabs>
                <w:tab w:val="right" w:pos="1202"/>
              </w:tabs>
              <w:spacing w:after="0" w:line="240" w:lineRule="exact"/>
              <w:outlineLvl w:val="0"/>
              <w:rPr>
                <w:rFonts w:eastAsia="Times New Roman" w:cs="Arial"/>
                <w:b/>
                <w:bCs/>
                <w:sz w:val="18"/>
                <w:szCs w:val="18"/>
              </w:rPr>
            </w:pPr>
            <w:r w:rsidRPr="00166751">
              <w:rPr>
                <w:rFonts w:eastAsia="Times New Roman" w:cs="Arial"/>
                <w:b/>
                <w:bCs/>
                <w:sz w:val="18"/>
                <w:szCs w:val="18"/>
              </w:rPr>
              <w:t xml:space="preserve">Equity </w:t>
            </w:r>
          </w:p>
        </w:tc>
        <w:tc>
          <w:tcPr>
            <w:tcW w:w="434" w:type="pct"/>
            <w:tcBorders>
              <w:top w:val="single" w:sz="12" w:space="0" w:color="auto"/>
              <w:left w:val="nil"/>
              <w:right w:val="nil"/>
            </w:tcBorders>
            <w:vAlign w:val="bottom"/>
          </w:tcPr>
          <w:p w14:paraId="011BF326" w14:textId="77777777" w:rsidR="00CE4410" w:rsidRPr="00B24F55" w:rsidRDefault="00CE4410" w:rsidP="00CE4410">
            <w:pPr>
              <w:spacing w:after="0" w:line="240" w:lineRule="exact"/>
              <w:jc w:val="right"/>
              <w:outlineLvl w:val="0"/>
              <w:rPr>
                <w:rFonts w:asciiTheme="minorHAnsi" w:eastAsia="Times New Roman" w:hAnsiTheme="minorHAnsi" w:cs="Arial"/>
                <w:sz w:val="18"/>
                <w:szCs w:val="18"/>
                <w:lang w:val="hr-HR"/>
              </w:rPr>
            </w:pPr>
          </w:p>
        </w:tc>
        <w:tc>
          <w:tcPr>
            <w:tcW w:w="568" w:type="pct"/>
            <w:tcBorders>
              <w:top w:val="single" w:sz="12" w:space="0" w:color="auto"/>
              <w:left w:val="nil"/>
              <w:right w:val="nil"/>
            </w:tcBorders>
            <w:vAlign w:val="bottom"/>
          </w:tcPr>
          <w:p w14:paraId="284BB8DF" w14:textId="77777777" w:rsidR="00CE4410" w:rsidRPr="00B24F55" w:rsidRDefault="00CE4410" w:rsidP="00CE4410">
            <w:pPr>
              <w:spacing w:after="0" w:line="240" w:lineRule="exact"/>
              <w:jc w:val="right"/>
              <w:outlineLvl w:val="0"/>
              <w:rPr>
                <w:rFonts w:asciiTheme="minorHAnsi" w:eastAsia="Times New Roman" w:hAnsiTheme="minorHAnsi" w:cs="Arial"/>
                <w:sz w:val="18"/>
                <w:szCs w:val="18"/>
                <w:lang w:val="hr-HR"/>
              </w:rPr>
            </w:pPr>
          </w:p>
        </w:tc>
        <w:tc>
          <w:tcPr>
            <w:tcW w:w="616" w:type="pct"/>
            <w:tcBorders>
              <w:top w:val="single" w:sz="12" w:space="0" w:color="auto"/>
              <w:left w:val="nil"/>
              <w:right w:val="nil"/>
            </w:tcBorders>
            <w:vAlign w:val="bottom"/>
          </w:tcPr>
          <w:p w14:paraId="7C000219" w14:textId="77777777" w:rsidR="00CE4410" w:rsidRPr="00B24F55" w:rsidRDefault="00CE4410" w:rsidP="00CE4410">
            <w:pPr>
              <w:spacing w:after="0" w:line="240" w:lineRule="exact"/>
              <w:jc w:val="right"/>
              <w:outlineLvl w:val="0"/>
              <w:rPr>
                <w:rFonts w:asciiTheme="minorHAnsi" w:eastAsia="Times New Roman" w:hAnsiTheme="minorHAnsi" w:cs="Arial"/>
                <w:sz w:val="18"/>
                <w:szCs w:val="18"/>
                <w:lang w:val="hr-HR"/>
              </w:rPr>
            </w:pPr>
          </w:p>
        </w:tc>
        <w:tc>
          <w:tcPr>
            <w:tcW w:w="615" w:type="pct"/>
            <w:tcBorders>
              <w:top w:val="single" w:sz="12" w:space="0" w:color="auto"/>
              <w:left w:val="nil"/>
              <w:right w:val="nil"/>
            </w:tcBorders>
            <w:vAlign w:val="bottom"/>
          </w:tcPr>
          <w:p w14:paraId="275D828A" w14:textId="77777777" w:rsidR="00CE4410" w:rsidRPr="00B24F55" w:rsidRDefault="00CE4410" w:rsidP="00CE4410">
            <w:pPr>
              <w:spacing w:after="0" w:line="240" w:lineRule="exact"/>
              <w:jc w:val="right"/>
              <w:outlineLvl w:val="0"/>
              <w:rPr>
                <w:rFonts w:asciiTheme="minorHAnsi" w:eastAsia="Times New Roman" w:hAnsiTheme="minorHAnsi" w:cs="Arial"/>
                <w:sz w:val="18"/>
                <w:szCs w:val="18"/>
                <w:lang w:val="hr-HR"/>
              </w:rPr>
            </w:pPr>
          </w:p>
        </w:tc>
        <w:tc>
          <w:tcPr>
            <w:tcW w:w="678" w:type="pct"/>
            <w:tcBorders>
              <w:top w:val="single" w:sz="12" w:space="0" w:color="auto"/>
              <w:left w:val="nil"/>
              <w:right w:val="nil"/>
            </w:tcBorders>
            <w:vAlign w:val="bottom"/>
          </w:tcPr>
          <w:p w14:paraId="4965B755" w14:textId="77777777" w:rsidR="00CE4410" w:rsidRPr="00B24F55" w:rsidRDefault="00CE4410" w:rsidP="00CE4410">
            <w:pPr>
              <w:spacing w:after="0" w:line="240" w:lineRule="exact"/>
              <w:jc w:val="right"/>
              <w:outlineLvl w:val="0"/>
              <w:rPr>
                <w:rFonts w:asciiTheme="minorHAnsi" w:eastAsia="Times New Roman" w:hAnsiTheme="minorHAnsi" w:cs="Arial"/>
                <w:sz w:val="18"/>
                <w:szCs w:val="18"/>
                <w:lang w:val="hr-HR"/>
              </w:rPr>
            </w:pPr>
          </w:p>
        </w:tc>
        <w:tc>
          <w:tcPr>
            <w:tcW w:w="633" w:type="pct"/>
            <w:tcBorders>
              <w:top w:val="single" w:sz="12" w:space="0" w:color="auto"/>
              <w:left w:val="nil"/>
              <w:right w:val="nil"/>
            </w:tcBorders>
            <w:vAlign w:val="bottom"/>
          </w:tcPr>
          <w:p w14:paraId="5E37117E" w14:textId="77777777" w:rsidR="00CE4410" w:rsidRPr="00B24F55" w:rsidRDefault="00CE4410" w:rsidP="00CE4410">
            <w:pPr>
              <w:spacing w:after="0" w:line="240" w:lineRule="exact"/>
              <w:jc w:val="right"/>
              <w:outlineLvl w:val="0"/>
              <w:rPr>
                <w:rFonts w:asciiTheme="minorHAnsi" w:eastAsia="Times New Roman" w:hAnsiTheme="minorHAnsi" w:cs="Arial"/>
                <w:sz w:val="18"/>
                <w:szCs w:val="18"/>
                <w:lang w:val="hr-HR"/>
              </w:rPr>
            </w:pPr>
          </w:p>
        </w:tc>
      </w:tr>
      <w:tr w:rsidR="002438C2" w:rsidRPr="00321238" w14:paraId="45A562E3" w14:textId="77777777" w:rsidTr="006B318F">
        <w:trPr>
          <w:trHeight w:val="202"/>
        </w:trPr>
        <w:tc>
          <w:tcPr>
            <w:tcW w:w="1456" w:type="pct"/>
            <w:vAlign w:val="bottom"/>
          </w:tcPr>
          <w:p w14:paraId="7C9B10AB" w14:textId="77777777" w:rsidR="002438C2" w:rsidRPr="00166751" w:rsidRDefault="002438C2" w:rsidP="002438C2">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Founder’s capital </w:t>
            </w:r>
          </w:p>
        </w:tc>
        <w:tc>
          <w:tcPr>
            <w:tcW w:w="434" w:type="pct"/>
            <w:tcBorders>
              <w:top w:val="nil"/>
              <w:left w:val="nil"/>
              <w:bottom w:val="nil"/>
              <w:right w:val="nil"/>
            </w:tcBorders>
            <w:shd w:val="clear" w:color="auto" w:fill="auto"/>
            <w:vAlign w:val="bottom"/>
          </w:tcPr>
          <w:p w14:paraId="63DB6396" w14:textId="77777777" w:rsidR="002438C2" w:rsidRPr="005444AA" w:rsidRDefault="002438C2" w:rsidP="002438C2">
            <w:pPr>
              <w:spacing w:after="0" w:line="240" w:lineRule="exact"/>
              <w:jc w:val="right"/>
              <w:rPr>
                <w:rFonts w:asciiTheme="minorHAnsi" w:eastAsia="Arial Unicode MS" w:hAnsiTheme="minorHAnsi" w:cs="Arial"/>
                <w:sz w:val="18"/>
                <w:szCs w:val="18"/>
              </w:rPr>
            </w:pPr>
            <w:r w:rsidRPr="005444AA">
              <w:rPr>
                <w:rFonts w:asciiTheme="minorHAnsi" w:eastAsia="Arial Unicode MS" w:hAnsiTheme="minorHAnsi" w:cs="Arial"/>
                <w:sz w:val="18"/>
                <w:szCs w:val="18"/>
              </w:rPr>
              <w:t>-</w:t>
            </w:r>
          </w:p>
        </w:tc>
        <w:tc>
          <w:tcPr>
            <w:tcW w:w="568" w:type="pct"/>
            <w:tcBorders>
              <w:top w:val="nil"/>
              <w:left w:val="nil"/>
              <w:bottom w:val="nil"/>
              <w:right w:val="nil"/>
            </w:tcBorders>
            <w:shd w:val="clear" w:color="auto" w:fill="auto"/>
            <w:vAlign w:val="bottom"/>
          </w:tcPr>
          <w:p w14:paraId="7288536C" w14:textId="77777777" w:rsidR="002438C2" w:rsidRPr="005444AA" w:rsidRDefault="002438C2" w:rsidP="002438C2">
            <w:pPr>
              <w:spacing w:after="0" w:line="240" w:lineRule="exact"/>
              <w:jc w:val="right"/>
              <w:rPr>
                <w:rFonts w:asciiTheme="minorHAnsi" w:eastAsia="Arial Unicode MS" w:hAnsiTheme="minorHAnsi" w:cs="Arial"/>
                <w:sz w:val="18"/>
                <w:szCs w:val="18"/>
              </w:rPr>
            </w:pPr>
            <w:r w:rsidRPr="005444AA">
              <w:rPr>
                <w:rFonts w:asciiTheme="minorHAnsi" w:eastAsia="Arial Unicode MS" w:hAnsiTheme="minorHAnsi" w:cs="Arial"/>
                <w:sz w:val="18"/>
                <w:szCs w:val="18"/>
              </w:rPr>
              <w:t>-</w:t>
            </w:r>
          </w:p>
        </w:tc>
        <w:tc>
          <w:tcPr>
            <w:tcW w:w="616" w:type="pct"/>
            <w:tcBorders>
              <w:top w:val="nil"/>
              <w:left w:val="nil"/>
              <w:bottom w:val="nil"/>
              <w:right w:val="nil"/>
            </w:tcBorders>
            <w:shd w:val="clear" w:color="auto" w:fill="auto"/>
            <w:vAlign w:val="bottom"/>
          </w:tcPr>
          <w:p w14:paraId="72F53F95" w14:textId="77777777" w:rsidR="002438C2" w:rsidRPr="005444AA" w:rsidRDefault="002438C2" w:rsidP="002438C2">
            <w:pPr>
              <w:spacing w:after="0" w:line="240" w:lineRule="exact"/>
              <w:jc w:val="right"/>
              <w:rPr>
                <w:rFonts w:asciiTheme="minorHAnsi" w:eastAsia="Arial Unicode MS" w:hAnsiTheme="minorHAnsi" w:cs="Arial"/>
                <w:sz w:val="18"/>
                <w:szCs w:val="18"/>
              </w:rPr>
            </w:pPr>
            <w:r w:rsidRPr="005444AA">
              <w:rPr>
                <w:rFonts w:asciiTheme="minorHAnsi" w:eastAsia="Arial Unicode MS" w:hAnsiTheme="minorHAnsi" w:cs="Arial"/>
                <w:sz w:val="18"/>
                <w:szCs w:val="18"/>
              </w:rPr>
              <w:t>-</w:t>
            </w:r>
          </w:p>
        </w:tc>
        <w:tc>
          <w:tcPr>
            <w:tcW w:w="615" w:type="pct"/>
            <w:tcBorders>
              <w:top w:val="nil"/>
              <w:left w:val="nil"/>
              <w:bottom w:val="nil"/>
              <w:right w:val="nil"/>
            </w:tcBorders>
            <w:shd w:val="clear" w:color="auto" w:fill="auto"/>
            <w:vAlign w:val="bottom"/>
          </w:tcPr>
          <w:p w14:paraId="45951FF4" w14:textId="77777777" w:rsidR="002438C2" w:rsidRPr="005444AA" w:rsidRDefault="002438C2" w:rsidP="002438C2">
            <w:pPr>
              <w:spacing w:after="0" w:line="240" w:lineRule="exact"/>
              <w:jc w:val="right"/>
              <w:rPr>
                <w:rFonts w:asciiTheme="minorHAnsi" w:eastAsia="Arial Unicode MS" w:hAnsiTheme="minorHAnsi" w:cs="Arial"/>
                <w:sz w:val="18"/>
                <w:szCs w:val="18"/>
              </w:rPr>
            </w:pPr>
            <w:r w:rsidRPr="005444AA">
              <w:rPr>
                <w:rFonts w:asciiTheme="minorHAnsi" w:eastAsia="Arial Unicode MS" w:hAnsiTheme="minorHAnsi" w:cs="Arial"/>
                <w:sz w:val="18"/>
                <w:szCs w:val="18"/>
              </w:rPr>
              <w:t>-</w:t>
            </w:r>
          </w:p>
        </w:tc>
        <w:tc>
          <w:tcPr>
            <w:tcW w:w="678" w:type="pct"/>
            <w:tcBorders>
              <w:top w:val="nil"/>
              <w:left w:val="nil"/>
              <w:bottom w:val="nil"/>
              <w:right w:val="nil"/>
            </w:tcBorders>
            <w:shd w:val="clear" w:color="auto" w:fill="auto"/>
          </w:tcPr>
          <w:p w14:paraId="04F7B1FB" w14:textId="59CCE343"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6</w:t>
            </w:r>
            <w:r>
              <w:rPr>
                <w:rFonts w:eastAsia="Arial Unicode MS" w:cs="Arial"/>
                <w:sz w:val="17"/>
                <w:szCs w:val="17"/>
              </w:rPr>
              <w:t>,</w:t>
            </w:r>
            <w:r w:rsidRPr="00F609DC">
              <w:rPr>
                <w:rFonts w:eastAsia="Arial Unicode MS" w:cs="Arial"/>
                <w:sz w:val="17"/>
                <w:szCs w:val="17"/>
              </w:rPr>
              <w:t>984</w:t>
            </w:r>
            <w:r>
              <w:rPr>
                <w:rFonts w:eastAsia="Arial Unicode MS" w:cs="Arial"/>
                <w:sz w:val="17"/>
                <w:szCs w:val="17"/>
              </w:rPr>
              <w:t>,</w:t>
            </w:r>
            <w:r w:rsidRPr="00F609DC">
              <w:rPr>
                <w:rFonts w:eastAsia="Arial Unicode MS" w:cs="Arial"/>
                <w:sz w:val="17"/>
                <w:szCs w:val="17"/>
              </w:rPr>
              <w:t>632</w:t>
            </w:r>
          </w:p>
        </w:tc>
        <w:tc>
          <w:tcPr>
            <w:tcW w:w="633" w:type="pct"/>
            <w:tcBorders>
              <w:top w:val="nil"/>
              <w:left w:val="nil"/>
              <w:bottom w:val="nil"/>
              <w:right w:val="nil"/>
            </w:tcBorders>
            <w:shd w:val="clear" w:color="auto" w:fill="auto"/>
          </w:tcPr>
          <w:p w14:paraId="2D739199" w14:textId="24376D9D"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6</w:t>
            </w:r>
            <w:r>
              <w:rPr>
                <w:rFonts w:eastAsia="Arial Unicode MS" w:cs="Arial"/>
                <w:sz w:val="17"/>
                <w:szCs w:val="17"/>
              </w:rPr>
              <w:t>,</w:t>
            </w:r>
            <w:r w:rsidRPr="00F609DC">
              <w:rPr>
                <w:rFonts w:eastAsia="Arial Unicode MS" w:cs="Arial"/>
                <w:sz w:val="17"/>
                <w:szCs w:val="17"/>
              </w:rPr>
              <w:t>984</w:t>
            </w:r>
            <w:r>
              <w:rPr>
                <w:rFonts w:eastAsia="Arial Unicode MS" w:cs="Arial"/>
                <w:sz w:val="17"/>
                <w:szCs w:val="17"/>
              </w:rPr>
              <w:t>,</w:t>
            </w:r>
            <w:r w:rsidRPr="00F609DC">
              <w:rPr>
                <w:rFonts w:eastAsia="Arial Unicode MS" w:cs="Arial"/>
                <w:sz w:val="17"/>
                <w:szCs w:val="17"/>
              </w:rPr>
              <w:t>632</w:t>
            </w:r>
          </w:p>
        </w:tc>
      </w:tr>
      <w:tr w:rsidR="002438C2" w:rsidRPr="00321238" w14:paraId="6CF4F30A" w14:textId="77777777" w:rsidTr="006B318F">
        <w:trPr>
          <w:trHeight w:val="199"/>
        </w:trPr>
        <w:tc>
          <w:tcPr>
            <w:tcW w:w="1456" w:type="pct"/>
          </w:tcPr>
          <w:p w14:paraId="74CF832A" w14:textId="77777777" w:rsidR="002438C2" w:rsidRPr="00166751" w:rsidRDefault="002438C2" w:rsidP="002438C2">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Retained earnings and reserves </w:t>
            </w:r>
          </w:p>
        </w:tc>
        <w:tc>
          <w:tcPr>
            <w:tcW w:w="434" w:type="pct"/>
            <w:tcBorders>
              <w:top w:val="nil"/>
              <w:left w:val="nil"/>
              <w:bottom w:val="nil"/>
              <w:right w:val="nil"/>
            </w:tcBorders>
            <w:shd w:val="clear" w:color="auto" w:fill="auto"/>
            <w:vAlign w:val="bottom"/>
          </w:tcPr>
          <w:p w14:paraId="57E7E741" w14:textId="77777777" w:rsidR="002438C2" w:rsidRPr="005444AA" w:rsidRDefault="002438C2" w:rsidP="002438C2">
            <w:pPr>
              <w:spacing w:after="0" w:line="240" w:lineRule="exact"/>
              <w:jc w:val="right"/>
              <w:rPr>
                <w:rFonts w:asciiTheme="minorHAnsi" w:eastAsia="Arial Unicode MS" w:hAnsiTheme="minorHAnsi" w:cs="Arial"/>
                <w:sz w:val="18"/>
                <w:szCs w:val="18"/>
              </w:rPr>
            </w:pPr>
            <w:r w:rsidRPr="005444AA">
              <w:rPr>
                <w:rFonts w:asciiTheme="minorHAnsi" w:eastAsia="Arial Unicode MS" w:hAnsiTheme="minorHAnsi" w:cs="Arial"/>
                <w:sz w:val="18"/>
                <w:szCs w:val="18"/>
              </w:rPr>
              <w:t>-</w:t>
            </w:r>
          </w:p>
        </w:tc>
        <w:tc>
          <w:tcPr>
            <w:tcW w:w="568" w:type="pct"/>
            <w:tcBorders>
              <w:top w:val="nil"/>
              <w:left w:val="nil"/>
              <w:bottom w:val="nil"/>
              <w:right w:val="nil"/>
            </w:tcBorders>
            <w:shd w:val="clear" w:color="auto" w:fill="auto"/>
            <w:vAlign w:val="bottom"/>
          </w:tcPr>
          <w:p w14:paraId="769F9256" w14:textId="77777777" w:rsidR="002438C2" w:rsidRPr="005444AA" w:rsidRDefault="002438C2" w:rsidP="002438C2">
            <w:pPr>
              <w:spacing w:after="0" w:line="240" w:lineRule="exact"/>
              <w:jc w:val="right"/>
              <w:rPr>
                <w:rFonts w:asciiTheme="minorHAnsi" w:eastAsia="Arial Unicode MS" w:hAnsiTheme="minorHAnsi" w:cs="Arial"/>
                <w:sz w:val="18"/>
                <w:szCs w:val="18"/>
              </w:rPr>
            </w:pPr>
            <w:r w:rsidRPr="005444AA">
              <w:rPr>
                <w:rFonts w:asciiTheme="minorHAnsi" w:eastAsia="Arial Unicode MS" w:hAnsiTheme="minorHAnsi" w:cs="Arial"/>
                <w:sz w:val="18"/>
                <w:szCs w:val="18"/>
              </w:rPr>
              <w:t>-</w:t>
            </w:r>
          </w:p>
        </w:tc>
        <w:tc>
          <w:tcPr>
            <w:tcW w:w="616" w:type="pct"/>
            <w:tcBorders>
              <w:top w:val="nil"/>
              <w:left w:val="nil"/>
              <w:bottom w:val="nil"/>
              <w:right w:val="nil"/>
            </w:tcBorders>
            <w:shd w:val="clear" w:color="auto" w:fill="auto"/>
            <w:vAlign w:val="bottom"/>
          </w:tcPr>
          <w:p w14:paraId="62BDD265" w14:textId="77777777" w:rsidR="002438C2" w:rsidRPr="005444AA" w:rsidRDefault="002438C2" w:rsidP="002438C2">
            <w:pPr>
              <w:spacing w:after="0" w:line="240" w:lineRule="exact"/>
              <w:jc w:val="right"/>
              <w:rPr>
                <w:rFonts w:asciiTheme="minorHAnsi" w:eastAsia="Arial Unicode MS" w:hAnsiTheme="minorHAnsi" w:cs="Arial"/>
                <w:sz w:val="18"/>
                <w:szCs w:val="18"/>
              </w:rPr>
            </w:pPr>
            <w:r w:rsidRPr="005444AA">
              <w:rPr>
                <w:rFonts w:asciiTheme="minorHAnsi" w:eastAsia="Arial Unicode MS" w:hAnsiTheme="minorHAnsi" w:cs="Arial"/>
                <w:sz w:val="18"/>
                <w:szCs w:val="18"/>
              </w:rPr>
              <w:t>-</w:t>
            </w:r>
          </w:p>
        </w:tc>
        <w:tc>
          <w:tcPr>
            <w:tcW w:w="615" w:type="pct"/>
            <w:tcBorders>
              <w:top w:val="nil"/>
              <w:left w:val="nil"/>
              <w:bottom w:val="nil"/>
              <w:right w:val="nil"/>
            </w:tcBorders>
            <w:shd w:val="clear" w:color="auto" w:fill="auto"/>
            <w:vAlign w:val="bottom"/>
          </w:tcPr>
          <w:p w14:paraId="273D4EED" w14:textId="77777777" w:rsidR="002438C2" w:rsidRPr="005444AA" w:rsidRDefault="002438C2" w:rsidP="002438C2">
            <w:pPr>
              <w:spacing w:after="0" w:line="240" w:lineRule="exact"/>
              <w:jc w:val="right"/>
              <w:rPr>
                <w:rFonts w:asciiTheme="minorHAnsi" w:eastAsia="Arial Unicode MS" w:hAnsiTheme="minorHAnsi" w:cs="Arial"/>
                <w:sz w:val="18"/>
                <w:szCs w:val="18"/>
              </w:rPr>
            </w:pPr>
            <w:r w:rsidRPr="005444AA">
              <w:rPr>
                <w:rFonts w:asciiTheme="minorHAnsi" w:eastAsia="Arial Unicode MS" w:hAnsiTheme="minorHAnsi" w:cs="Arial"/>
                <w:sz w:val="18"/>
                <w:szCs w:val="18"/>
              </w:rPr>
              <w:t>-</w:t>
            </w:r>
          </w:p>
        </w:tc>
        <w:tc>
          <w:tcPr>
            <w:tcW w:w="678" w:type="pct"/>
            <w:tcBorders>
              <w:top w:val="nil"/>
              <w:left w:val="nil"/>
              <w:bottom w:val="nil"/>
              <w:right w:val="nil"/>
            </w:tcBorders>
            <w:shd w:val="clear" w:color="auto" w:fill="auto"/>
          </w:tcPr>
          <w:p w14:paraId="76099297" w14:textId="7D74E591"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2</w:t>
            </w:r>
            <w:r>
              <w:rPr>
                <w:rFonts w:eastAsia="Arial Unicode MS" w:cs="Arial"/>
                <w:sz w:val="17"/>
                <w:szCs w:val="17"/>
              </w:rPr>
              <w:t>,</w:t>
            </w:r>
            <w:r w:rsidRPr="00F609DC">
              <w:rPr>
                <w:rFonts w:eastAsia="Arial Unicode MS" w:cs="Arial"/>
                <w:sz w:val="17"/>
                <w:szCs w:val="17"/>
              </w:rPr>
              <w:t>995</w:t>
            </w:r>
            <w:r>
              <w:rPr>
                <w:rFonts w:eastAsia="Arial Unicode MS" w:cs="Arial"/>
                <w:sz w:val="17"/>
                <w:szCs w:val="17"/>
              </w:rPr>
              <w:t>,</w:t>
            </w:r>
            <w:r w:rsidRPr="00F609DC">
              <w:rPr>
                <w:rFonts w:eastAsia="Arial Unicode MS" w:cs="Arial"/>
                <w:sz w:val="17"/>
                <w:szCs w:val="17"/>
              </w:rPr>
              <w:t>656</w:t>
            </w:r>
          </w:p>
        </w:tc>
        <w:tc>
          <w:tcPr>
            <w:tcW w:w="633" w:type="pct"/>
            <w:tcBorders>
              <w:top w:val="nil"/>
              <w:left w:val="nil"/>
              <w:bottom w:val="nil"/>
              <w:right w:val="nil"/>
            </w:tcBorders>
            <w:shd w:val="clear" w:color="auto" w:fill="auto"/>
          </w:tcPr>
          <w:p w14:paraId="6849A968" w14:textId="0897DB19"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2</w:t>
            </w:r>
            <w:r>
              <w:rPr>
                <w:rFonts w:eastAsia="Arial Unicode MS" w:cs="Arial"/>
                <w:sz w:val="17"/>
                <w:szCs w:val="17"/>
              </w:rPr>
              <w:t>,</w:t>
            </w:r>
            <w:r w:rsidRPr="00F609DC">
              <w:rPr>
                <w:rFonts w:eastAsia="Arial Unicode MS" w:cs="Arial"/>
                <w:sz w:val="17"/>
                <w:szCs w:val="17"/>
              </w:rPr>
              <w:t>995</w:t>
            </w:r>
            <w:r>
              <w:rPr>
                <w:rFonts w:eastAsia="Arial Unicode MS" w:cs="Arial"/>
                <w:sz w:val="17"/>
                <w:szCs w:val="17"/>
              </w:rPr>
              <w:t>,</w:t>
            </w:r>
            <w:r w:rsidRPr="00F609DC">
              <w:rPr>
                <w:rFonts w:eastAsia="Arial Unicode MS" w:cs="Arial"/>
                <w:sz w:val="17"/>
                <w:szCs w:val="17"/>
              </w:rPr>
              <w:t>656</w:t>
            </w:r>
          </w:p>
        </w:tc>
      </w:tr>
      <w:tr w:rsidR="002438C2" w:rsidRPr="00321238" w14:paraId="57061656" w14:textId="77777777" w:rsidTr="006B318F">
        <w:trPr>
          <w:trHeight w:val="215"/>
        </w:trPr>
        <w:tc>
          <w:tcPr>
            <w:tcW w:w="1456" w:type="pct"/>
          </w:tcPr>
          <w:p w14:paraId="0C1CB4EE" w14:textId="77777777" w:rsidR="002438C2" w:rsidRPr="00166751" w:rsidRDefault="002438C2" w:rsidP="002438C2">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Other reserves </w:t>
            </w:r>
          </w:p>
        </w:tc>
        <w:tc>
          <w:tcPr>
            <w:tcW w:w="434" w:type="pct"/>
            <w:tcBorders>
              <w:top w:val="nil"/>
              <w:left w:val="nil"/>
              <w:bottom w:val="nil"/>
              <w:right w:val="nil"/>
            </w:tcBorders>
            <w:shd w:val="clear" w:color="auto" w:fill="auto"/>
            <w:vAlign w:val="bottom"/>
          </w:tcPr>
          <w:p w14:paraId="4455D053" w14:textId="77777777" w:rsidR="002438C2" w:rsidRPr="005444AA" w:rsidRDefault="002438C2" w:rsidP="002438C2">
            <w:pPr>
              <w:spacing w:after="0" w:line="240" w:lineRule="exact"/>
              <w:jc w:val="right"/>
              <w:rPr>
                <w:rFonts w:asciiTheme="minorHAnsi" w:eastAsia="Arial Unicode MS" w:hAnsiTheme="minorHAnsi" w:cs="Arial"/>
                <w:sz w:val="18"/>
                <w:szCs w:val="18"/>
              </w:rPr>
            </w:pPr>
            <w:r w:rsidRPr="005444AA">
              <w:rPr>
                <w:rFonts w:asciiTheme="minorHAnsi" w:eastAsia="Arial Unicode MS" w:hAnsiTheme="minorHAnsi" w:cs="Arial"/>
                <w:sz w:val="18"/>
                <w:szCs w:val="18"/>
              </w:rPr>
              <w:t>-</w:t>
            </w:r>
          </w:p>
        </w:tc>
        <w:tc>
          <w:tcPr>
            <w:tcW w:w="568" w:type="pct"/>
            <w:tcBorders>
              <w:top w:val="nil"/>
              <w:left w:val="nil"/>
              <w:bottom w:val="nil"/>
              <w:right w:val="nil"/>
            </w:tcBorders>
            <w:shd w:val="clear" w:color="auto" w:fill="auto"/>
            <w:vAlign w:val="bottom"/>
          </w:tcPr>
          <w:p w14:paraId="2B25CD08" w14:textId="77777777" w:rsidR="002438C2" w:rsidRPr="005444AA" w:rsidRDefault="002438C2" w:rsidP="002438C2">
            <w:pPr>
              <w:spacing w:after="0" w:line="240" w:lineRule="exact"/>
              <w:jc w:val="right"/>
              <w:rPr>
                <w:rFonts w:asciiTheme="minorHAnsi" w:eastAsia="Arial Unicode MS" w:hAnsiTheme="minorHAnsi" w:cs="Arial"/>
                <w:sz w:val="18"/>
                <w:szCs w:val="18"/>
              </w:rPr>
            </w:pPr>
            <w:r w:rsidRPr="005444AA">
              <w:rPr>
                <w:rFonts w:asciiTheme="minorHAnsi" w:eastAsia="Arial Unicode MS" w:hAnsiTheme="minorHAnsi" w:cs="Arial"/>
                <w:sz w:val="18"/>
                <w:szCs w:val="18"/>
              </w:rPr>
              <w:t>-</w:t>
            </w:r>
          </w:p>
        </w:tc>
        <w:tc>
          <w:tcPr>
            <w:tcW w:w="616" w:type="pct"/>
            <w:tcBorders>
              <w:top w:val="nil"/>
              <w:left w:val="nil"/>
              <w:bottom w:val="nil"/>
              <w:right w:val="nil"/>
            </w:tcBorders>
            <w:shd w:val="clear" w:color="auto" w:fill="auto"/>
            <w:vAlign w:val="bottom"/>
          </w:tcPr>
          <w:p w14:paraId="64376D51" w14:textId="77777777" w:rsidR="002438C2" w:rsidRPr="005444AA" w:rsidRDefault="002438C2" w:rsidP="002438C2">
            <w:pPr>
              <w:spacing w:after="0" w:line="240" w:lineRule="exact"/>
              <w:jc w:val="right"/>
              <w:rPr>
                <w:rFonts w:asciiTheme="minorHAnsi" w:eastAsia="Arial Unicode MS" w:hAnsiTheme="minorHAnsi" w:cs="Arial"/>
                <w:sz w:val="18"/>
                <w:szCs w:val="18"/>
              </w:rPr>
            </w:pPr>
            <w:r w:rsidRPr="005444AA">
              <w:rPr>
                <w:rFonts w:asciiTheme="minorHAnsi" w:eastAsia="Arial Unicode MS" w:hAnsiTheme="minorHAnsi" w:cs="Arial"/>
                <w:sz w:val="18"/>
                <w:szCs w:val="18"/>
              </w:rPr>
              <w:t>-</w:t>
            </w:r>
          </w:p>
        </w:tc>
        <w:tc>
          <w:tcPr>
            <w:tcW w:w="615" w:type="pct"/>
            <w:tcBorders>
              <w:top w:val="nil"/>
              <w:left w:val="nil"/>
              <w:bottom w:val="nil"/>
              <w:right w:val="nil"/>
            </w:tcBorders>
            <w:shd w:val="clear" w:color="auto" w:fill="auto"/>
            <w:vAlign w:val="bottom"/>
          </w:tcPr>
          <w:p w14:paraId="3D69AC38" w14:textId="77777777" w:rsidR="002438C2" w:rsidRPr="005444AA" w:rsidRDefault="002438C2" w:rsidP="002438C2">
            <w:pPr>
              <w:spacing w:after="0" w:line="240" w:lineRule="exact"/>
              <w:jc w:val="right"/>
              <w:rPr>
                <w:rFonts w:asciiTheme="minorHAnsi" w:eastAsia="Arial Unicode MS" w:hAnsiTheme="minorHAnsi" w:cs="Arial"/>
                <w:sz w:val="18"/>
                <w:szCs w:val="18"/>
              </w:rPr>
            </w:pPr>
            <w:r w:rsidRPr="005444AA">
              <w:rPr>
                <w:rFonts w:asciiTheme="minorHAnsi" w:eastAsia="Arial Unicode MS" w:hAnsiTheme="minorHAnsi" w:cs="Arial"/>
                <w:sz w:val="18"/>
                <w:szCs w:val="18"/>
              </w:rPr>
              <w:t>-</w:t>
            </w:r>
          </w:p>
        </w:tc>
        <w:tc>
          <w:tcPr>
            <w:tcW w:w="678" w:type="pct"/>
            <w:tcBorders>
              <w:top w:val="nil"/>
              <w:left w:val="nil"/>
              <w:bottom w:val="nil"/>
              <w:right w:val="nil"/>
            </w:tcBorders>
            <w:shd w:val="clear" w:color="auto" w:fill="auto"/>
          </w:tcPr>
          <w:p w14:paraId="1A00BA7C" w14:textId="44BD0574"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86</w:t>
            </w:r>
            <w:r>
              <w:rPr>
                <w:rFonts w:eastAsia="Arial Unicode MS" w:cs="Arial"/>
                <w:sz w:val="17"/>
                <w:szCs w:val="17"/>
              </w:rPr>
              <w:t>,</w:t>
            </w:r>
            <w:r w:rsidRPr="00F609DC">
              <w:rPr>
                <w:rFonts w:eastAsia="Arial Unicode MS" w:cs="Arial"/>
                <w:sz w:val="17"/>
                <w:szCs w:val="17"/>
              </w:rPr>
              <w:t>336</w:t>
            </w:r>
          </w:p>
        </w:tc>
        <w:tc>
          <w:tcPr>
            <w:tcW w:w="633" w:type="pct"/>
            <w:tcBorders>
              <w:top w:val="nil"/>
              <w:left w:val="nil"/>
              <w:bottom w:val="nil"/>
              <w:right w:val="nil"/>
            </w:tcBorders>
            <w:shd w:val="clear" w:color="auto" w:fill="auto"/>
          </w:tcPr>
          <w:p w14:paraId="28FEEE3B" w14:textId="228715E6"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86</w:t>
            </w:r>
            <w:r>
              <w:rPr>
                <w:rFonts w:eastAsia="Arial Unicode MS" w:cs="Arial"/>
                <w:sz w:val="17"/>
                <w:szCs w:val="17"/>
              </w:rPr>
              <w:t>,</w:t>
            </w:r>
            <w:r w:rsidRPr="00F609DC">
              <w:rPr>
                <w:rFonts w:eastAsia="Arial Unicode MS" w:cs="Arial"/>
                <w:sz w:val="17"/>
                <w:szCs w:val="17"/>
              </w:rPr>
              <w:t>336</w:t>
            </w:r>
          </w:p>
        </w:tc>
      </w:tr>
      <w:tr w:rsidR="002438C2" w:rsidRPr="00321238" w14:paraId="795FB786" w14:textId="77777777" w:rsidTr="006B318F">
        <w:trPr>
          <w:trHeight w:val="204"/>
        </w:trPr>
        <w:tc>
          <w:tcPr>
            <w:tcW w:w="1456" w:type="pct"/>
          </w:tcPr>
          <w:p w14:paraId="1F93D755" w14:textId="77777777" w:rsidR="002438C2" w:rsidRPr="00166751" w:rsidRDefault="002438C2" w:rsidP="002438C2">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Net profit for the year </w:t>
            </w:r>
          </w:p>
        </w:tc>
        <w:tc>
          <w:tcPr>
            <w:tcW w:w="434" w:type="pct"/>
            <w:tcBorders>
              <w:top w:val="nil"/>
              <w:left w:val="nil"/>
              <w:bottom w:val="single" w:sz="4" w:space="0" w:color="auto"/>
              <w:right w:val="nil"/>
            </w:tcBorders>
            <w:shd w:val="clear" w:color="auto" w:fill="auto"/>
            <w:vAlign w:val="bottom"/>
          </w:tcPr>
          <w:p w14:paraId="05B8958C" w14:textId="77777777" w:rsidR="002438C2" w:rsidRPr="005444AA" w:rsidRDefault="002438C2" w:rsidP="002438C2">
            <w:pPr>
              <w:spacing w:after="0" w:line="240" w:lineRule="exact"/>
              <w:jc w:val="right"/>
              <w:rPr>
                <w:rFonts w:asciiTheme="minorHAnsi" w:eastAsia="Arial Unicode MS" w:hAnsiTheme="minorHAnsi" w:cs="Arial"/>
                <w:sz w:val="18"/>
                <w:szCs w:val="18"/>
              </w:rPr>
            </w:pPr>
            <w:r w:rsidRPr="005444AA">
              <w:rPr>
                <w:rFonts w:asciiTheme="minorHAnsi" w:eastAsia="Arial Unicode MS" w:hAnsiTheme="minorHAnsi" w:cs="Arial"/>
                <w:sz w:val="18"/>
                <w:szCs w:val="18"/>
              </w:rPr>
              <w:t>-</w:t>
            </w:r>
          </w:p>
        </w:tc>
        <w:tc>
          <w:tcPr>
            <w:tcW w:w="568" w:type="pct"/>
            <w:tcBorders>
              <w:top w:val="nil"/>
              <w:left w:val="nil"/>
              <w:bottom w:val="single" w:sz="4" w:space="0" w:color="auto"/>
              <w:right w:val="nil"/>
            </w:tcBorders>
            <w:shd w:val="clear" w:color="auto" w:fill="auto"/>
            <w:vAlign w:val="bottom"/>
          </w:tcPr>
          <w:p w14:paraId="154DE225" w14:textId="77777777" w:rsidR="002438C2" w:rsidRPr="005444AA" w:rsidRDefault="002438C2" w:rsidP="002438C2">
            <w:pPr>
              <w:spacing w:after="0" w:line="240" w:lineRule="exact"/>
              <w:jc w:val="right"/>
              <w:rPr>
                <w:rFonts w:asciiTheme="minorHAnsi" w:eastAsia="Arial Unicode MS" w:hAnsiTheme="minorHAnsi" w:cs="Arial"/>
                <w:sz w:val="18"/>
                <w:szCs w:val="18"/>
              </w:rPr>
            </w:pPr>
            <w:r w:rsidRPr="005444AA">
              <w:rPr>
                <w:rFonts w:asciiTheme="minorHAnsi" w:eastAsia="Arial Unicode MS" w:hAnsiTheme="minorHAnsi" w:cs="Arial"/>
                <w:sz w:val="18"/>
                <w:szCs w:val="18"/>
              </w:rPr>
              <w:t>-</w:t>
            </w:r>
          </w:p>
        </w:tc>
        <w:tc>
          <w:tcPr>
            <w:tcW w:w="616" w:type="pct"/>
            <w:tcBorders>
              <w:top w:val="nil"/>
              <w:left w:val="nil"/>
              <w:bottom w:val="single" w:sz="4" w:space="0" w:color="auto"/>
              <w:right w:val="nil"/>
            </w:tcBorders>
            <w:shd w:val="clear" w:color="auto" w:fill="auto"/>
            <w:vAlign w:val="bottom"/>
          </w:tcPr>
          <w:p w14:paraId="67E96773" w14:textId="77777777" w:rsidR="002438C2" w:rsidRPr="005444AA" w:rsidRDefault="002438C2" w:rsidP="002438C2">
            <w:pPr>
              <w:spacing w:after="0" w:line="240" w:lineRule="exact"/>
              <w:jc w:val="right"/>
              <w:rPr>
                <w:rFonts w:asciiTheme="minorHAnsi" w:eastAsia="Arial Unicode MS" w:hAnsiTheme="minorHAnsi" w:cs="Arial"/>
                <w:sz w:val="18"/>
                <w:szCs w:val="18"/>
              </w:rPr>
            </w:pPr>
            <w:r w:rsidRPr="005444AA">
              <w:rPr>
                <w:rFonts w:asciiTheme="minorHAnsi" w:eastAsia="Arial Unicode MS" w:hAnsiTheme="minorHAnsi" w:cs="Arial"/>
                <w:sz w:val="18"/>
                <w:szCs w:val="18"/>
              </w:rPr>
              <w:t>-</w:t>
            </w:r>
          </w:p>
        </w:tc>
        <w:tc>
          <w:tcPr>
            <w:tcW w:w="615" w:type="pct"/>
            <w:tcBorders>
              <w:top w:val="nil"/>
              <w:left w:val="nil"/>
              <w:bottom w:val="single" w:sz="4" w:space="0" w:color="auto"/>
              <w:right w:val="nil"/>
            </w:tcBorders>
            <w:shd w:val="clear" w:color="auto" w:fill="auto"/>
            <w:vAlign w:val="bottom"/>
          </w:tcPr>
          <w:p w14:paraId="0032A7F5" w14:textId="77777777" w:rsidR="002438C2" w:rsidRPr="005444AA" w:rsidRDefault="002438C2" w:rsidP="002438C2">
            <w:pPr>
              <w:spacing w:after="0" w:line="240" w:lineRule="exact"/>
              <w:jc w:val="right"/>
              <w:rPr>
                <w:rFonts w:asciiTheme="minorHAnsi" w:eastAsia="Arial Unicode MS" w:hAnsiTheme="minorHAnsi" w:cs="Arial"/>
                <w:sz w:val="18"/>
                <w:szCs w:val="18"/>
              </w:rPr>
            </w:pPr>
            <w:r w:rsidRPr="005444AA">
              <w:rPr>
                <w:rFonts w:asciiTheme="minorHAnsi" w:eastAsia="Arial Unicode MS" w:hAnsiTheme="minorHAnsi" w:cs="Arial"/>
                <w:sz w:val="18"/>
                <w:szCs w:val="18"/>
              </w:rPr>
              <w:t>-</w:t>
            </w:r>
          </w:p>
        </w:tc>
        <w:tc>
          <w:tcPr>
            <w:tcW w:w="678" w:type="pct"/>
            <w:tcBorders>
              <w:top w:val="nil"/>
              <w:left w:val="nil"/>
              <w:bottom w:val="single" w:sz="4" w:space="0" w:color="auto"/>
              <w:right w:val="nil"/>
            </w:tcBorders>
            <w:shd w:val="clear" w:color="auto" w:fill="auto"/>
          </w:tcPr>
          <w:p w14:paraId="32621B2D" w14:textId="335FDB77"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175</w:t>
            </w:r>
            <w:r>
              <w:rPr>
                <w:rFonts w:eastAsia="Arial Unicode MS" w:cs="Arial"/>
                <w:sz w:val="17"/>
                <w:szCs w:val="17"/>
              </w:rPr>
              <w:t>,</w:t>
            </w:r>
            <w:r w:rsidRPr="00F609DC">
              <w:rPr>
                <w:rFonts w:eastAsia="Arial Unicode MS" w:cs="Arial"/>
                <w:sz w:val="17"/>
                <w:szCs w:val="17"/>
              </w:rPr>
              <w:t>511</w:t>
            </w:r>
          </w:p>
        </w:tc>
        <w:tc>
          <w:tcPr>
            <w:tcW w:w="633" w:type="pct"/>
            <w:tcBorders>
              <w:top w:val="nil"/>
              <w:left w:val="nil"/>
              <w:bottom w:val="single" w:sz="4" w:space="0" w:color="auto"/>
              <w:right w:val="nil"/>
            </w:tcBorders>
            <w:shd w:val="clear" w:color="auto" w:fill="auto"/>
          </w:tcPr>
          <w:p w14:paraId="78B95786" w14:textId="7F7345EF"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F609DC">
              <w:rPr>
                <w:rFonts w:eastAsia="Arial Unicode MS" w:cs="Arial"/>
                <w:sz w:val="17"/>
                <w:szCs w:val="17"/>
              </w:rPr>
              <w:t>175</w:t>
            </w:r>
            <w:r>
              <w:rPr>
                <w:rFonts w:eastAsia="Arial Unicode MS" w:cs="Arial"/>
                <w:sz w:val="17"/>
                <w:szCs w:val="17"/>
              </w:rPr>
              <w:t>,</w:t>
            </w:r>
            <w:r w:rsidRPr="00F609DC">
              <w:rPr>
                <w:rFonts w:eastAsia="Arial Unicode MS" w:cs="Arial"/>
                <w:sz w:val="17"/>
                <w:szCs w:val="17"/>
              </w:rPr>
              <w:t>511</w:t>
            </w:r>
          </w:p>
        </w:tc>
      </w:tr>
      <w:tr w:rsidR="002438C2" w:rsidRPr="00321238" w14:paraId="7E590E02" w14:textId="77777777" w:rsidTr="002438C2">
        <w:trPr>
          <w:trHeight w:val="204"/>
        </w:trPr>
        <w:tc>
          <w:tcPr>
            <w:tcW w:w="1456" w:type="pct"/>
            <w:vAlign w:val="bottom"/>
          </w:tcPr>
          <w:p w14:paraId="681075A8" w14:textId="77777777" w:rsidR="002438C2" w:rsidRPr="00166751" w:rsidRDefault="002438C2" w:rsidP="002438C2">
            <w:pPr>
              <w:tabs>
                <w:tab w:val="right" w:pos="1202"/>
              </w:tabs>
              <w:spacing w:after="0" w:line="240" w:lineRule="exact"/>
              <w:outlineLvl w:val="0"/>
              <w:rPr>
                <w:rFonts w:eastAsia="Times New Roman" w:cs="Arial"/>
                <w:b/>
                <w:bCs/>
                <w:sz w:val="18"/>
                <w:szCs w:val="18"/>
              </w:rPr>
            </w:pPr>
            <w:r w:rsidRPr="00166751">
              <w:rPr>
                <w:rFonts w:eastAsia="Times New Roman" w:cs="Arial"/>
                <w:b/>
                <w:bCs/>
                <w:sz w:val="18"/>
                <w:szCs w:val="18"/>
              </w:rPr>
              <w:t xml:space="preserve">Capital </w:t>
            </w:r>
          </w:p>
        </w:tc>
        <w:tc>
          <w:tcPr>
            <w:tcW w:w="434" w:type="pct"/>
            <w:tcBorders>
              <w:top w:val="single" w:sz="4" w:space="0" w:color="auto"/>
              <w:left w:val="nil"/>
              <w:bottom w:val="single" w:sz="12" w:space="0" w:color="auto"/>
              <w:right w:val="nil"/>
            </w:tcBorders>
            <w:shd w:val="clear" w:color="auto" w:fill="auto"/>
            <w:vAlign w:val="bottom"/>
          </w:tcPr>
          <w:p w14:paraId="5A7E901C" w14:textId="77777777" w:rsidR="002438C2" w:rsidRPr="005444AA" w:rsidRDefault="002438C2" w:rsidP="002438C2">
            <w:pPr>
              <w:spacing w:after="0" w:line="240" w:lineRule="exact"/>
              <w:jc w:val="right"/>
              <w:rPr>
                <w:rFonts w:asciiTheme="minorHAnsi" w:eastAsia="Arial Unicode MS" w:hAnsiTheme="minorHAnsi" w:cs="Arial"/>
                <w:b/>
                <w:sz w:val="18"/>
                <w:szCs w:val="18"/>
                <w:lang w:val="pl-PL"/>
              </w:rPr>
            </w:pPr>
            <w:r w:rsidRPr="005444AA">
              <w:rPr>
                <w:rFonts w:asciiTheme="minorHAnsi" w:eastAsia="Arial Unicode MS" w:hAnsiTheme="minorHAnsi" w:cs="Arial"/>
                <w:b/>
                <w:sz w:val="18"/>
                <w:szCs w:val="18"/>
                <w:lang w:val="pl-PL"/>
              </w:rPr>
              <w:t>-</w:t>
            </w:r>
          </w:p>
        </w:tc>
        <w:tc>
          <w:tcPr>
            <w:tcW w:w="568" w:type="pct"/>
            <w:tcBorders>
              <w:top w:val="single" w:sz="4" w:space="0" w:color="auto"/>
              <w:left w:val="nil"/>
              <w:bottom w:val="single" w:sz="12" w:space="0" w:color="auto"/>
              <w:right w:val="nil"/>
            </w:tcBorders>
            <w:shd w:val="clear" w:color="auto" w:fill="auto"/>
            <w:vAlign w:val="bottom"/>
          </w:tcPr>
          <w:p w14:paraId="446B7975" w14:textId="77777777" w:rsidR="002438C2" w:rsidRPr="005444AA" w:rsidRDefault="002438C2" w:rsidP="002438C2">
            <w:pPr>
              <w:spacing w:after="0" w:line="240" w:lineRule="exact"/>
              <w:jc w:val="right"/>
              <w:rPr>
                <w:rFonts w:asciiTheme="minorHAnsi" w:eastAsia="Arial Unicode MS" w:hAnsiTheme="minorHAnsi" w:cs="Arial"/>
                <w:b/>
                <w:sz w:val="18"/>
                <w:szCs w:val="18"/>
                <w:lang w:val="pl-PL"/>
              </w:rPr>
            </w:pPr>
            <w:r w:rsidRPr="005444AA">
              <w:rPr>
                <w:rFonts w:asciiTheme="minorHAnsi" w:eastAsia="Arial Unicode MS" w:hAnsiTheme="minorHAnsi" w:cs="Arial"/>
                <w:b/>
                <w:sz w:val="18"/>
                <w:szCs w:val="18"/>
                <w:lang w:val="pl-PL"/>
              </w:rPr>
              <w:t>-</w:t>
            </w:r>
          </w:p>
        </w:tc>
        <w:tc>
          <w:tcPr>
            <w:tcW w:w="616" w:type="pct"/>
            <w:tcBorders>
              <w:top w:val="single" w:sz="4" w:space="0" w:color="auto"/>
              <w:left w:val="nil"/>
              <w:bottom w:val="single" w:sz="12" w:space="0" w:color="auto"/>
              <w:right w:val="nil"/>
            </w:tcBorders>
            <w:shd w:val="clear" w:color="auto" w:fill="auto"/>
            <w:vAlign w:val="bottom"/>
          </w:tcPr>
          <w:p w14:paraId="6A1F5DEF" w14:textId="77777777" w:rsidR="002438C2" w:rsidRPr="005444AA" w:rsidRDefault="002438C2" w:rsidP="002438C2">
            <w:pPr>
              <w:spacing w:after="0" w:line="240" w:lineRule="exact"/>
              <w:jc w:val="right"/>
              <w:rPr>
                <w:rFonts w:asciiTheme="minorHAnsi" w:eastAsia="Arial Unicode MS" w:hAnsiTheme="minorHAnsi" w:cs="Arial"/>
                <w:b/>
                <w:sz w:val="18"/>
                <w:szCs w:val="18"/>
                <w:lang w:val="pl-PL"/>
              </w:rPr>
            </w:pPr>
            <w:r w:rsidRPr="005444AA">
              <w:rPr>
                <w:rFonts w:asciiTheme="minorHAnsi" w:eastAsia="Arial Unicode MS" w:hAnsiTheme="minorHAnsi" w:cs="Arial"/>
                <w:b/>
                <w:sz w:val="18"/>
                <w:szCs w:val="18"/>
                <w:lang w:val="pl-PL"/>
              </w:rPr>
              <w:t>-</w:t>
            </w:r>
          </w:p>
        </w:tc>
        <w:tc>
          <w:tcPr>
            <w:tcW w:w="615" w:type="pct"/>
            <w:tcBorders>
              <w:top w:val="single" w:sz="4" w:space="0" w:color="auto"/>
              <w:left w:val="nil"/>
              <w:bottom w:val="single" w:sz="12" w:space="0" w:color="auto"/>
              <w:right w:val="nil"/>
            </w:tcBorders>
            <w:shd w:val="clear" w:color="auto" w:fill="auto"/>
            <w:vAlign w:val="bottom"/>
          </w:tcPr>
          <w:p w14:paraId="50639142" w14:textId="77777777" w:rsidR="002438C2" w:rsidRPr="005444AA" w:rsidRDefault="002438C2" w:rsidP="002438C2">
            <w:pPr>
              <w:spacing w:after="0" w:line="240" w:lineRule="exact"/>
              <w:jc w:val="right"/>
              <w:rPr>
                <w:rFonts w:asciiTheme="minorHAnsi" w:eastAsia="Arial Unicode MS" w:hAnsiTheme="minorHAnsi" w:cs="Arial"/>
                <w:b/>
                <w:sz w:val="18"/>
                <w:szCs w:val="18"/>
                <w:lang w:val="pl-PL"/>
              </w:rPr>
            </w:pPr>
            <w:r w:rsidRPr="005444AA">
              <w:rPr>
                <w:rFonts w:asciiTheme="minorHAnsi" w:eastAsia="Arial Unicode MS" w:hAnsiTheme="minorHAnsi" w:cs="Arial"/>
                <w:b/>
                <w:sz w:val="18"/>
                <w:szCs w:val="18"/>
                <w:lang w:val="pl-PL"/>
              </w:rPr>
              <w:t>-</w:t>
            </w:r>
          </w:p>
        </w:tc>
        <w:tc>
          <w:tcPr>
            <w:tcW w:w="678" w:type="pct"/>
            <w:tcBorders>
              <w:top w:val="single" w:sz="4" w:space="0" w:color="auto"/>
              <w:left w:val="nil"/>
              <w:bottom w:val="single" w:sz="12" w:space="0" w:color="auto"/>
              <w:right w:val="nil"/>
            </w:tcBorders>
            <w:shd w:val="clear" w:color="auto" w:fill="auto"/>
            <w:vAlign w:val="bottom"/>
          </w:tcPr>
          <w:p w14:paraId="16C87F59" w14:textId="044EDCA3" w:rsidR="002438C2" w:rsidRPr="005444AA" w:rsidRDefault="002438C2" w:rsidP="002438C2">
            <w:pPr>
              <w:spacing w:after="0" w:line="240" w:lineRule="exact"/>
              <w:jc w:val="right"/>
              <w:rPr>
                <w:rFonts w:asciiTheme="minorHAnsi" w:eastAsia="Arial Unicode MS" w:hAnsiTheme="minorHAnsi" w:cs="Arial"/>
                <w:b/>
                <w:sz w:val="18"/>
                <w:szCs w:val="18"/>
                <w:lang w:val="pl-PL"/>
              </w:rPr>
            </w:pPr>
            <w:r w:rsidRPr="00F609DC">
              <w:rPr>
                <w:rFonts w:eastAsia="Arial Unicode MS" w:cs="Arial"/>
                <w:b/>
                <w:bCs/>
                <w:sz w:val="17"/>
                <w:szCs w:val="17"/>
              </w:rPr>
              <w:t>10</w:t>
            </w:r>
            <w:r>
              <w:rPr>
                <w:rFonts w:eastAsia="Arial Unicode MS" w:cs="Arial"/>
                <w:b/>
                <w:bCs/>
                <w:sz w:val="17"/>
                <w:szCs w:val="17"/>
              </w:rPr>
              <w:t>,</w:t>
            </w:r>
            <w:r w:rsidRPr="00F609DC">
              <w:rPr>
                <w:rFonts w:eastAsia="Arial Unicode MS" w:cs="Arial"/>
                <w:b/>
                <w:bCs/>
                <w:sz w:val="17"/>
                <w:szCs w:val="17"/>
              </w:rPr>
              <w:t>242</w:t>
            </w:r>
            <w:r>
              <w:rPr>
                <w:rFonts w:eastAsia="Arial Unicode MS" w:cs="Arial"/>
                <w:b/>
                <w:bCs/>
                <w:sz w:val="17"/>
                <w:szCs w:val="17"/>
              </w:rPr>
              <w:t>,</w:t>
            </w:r>
            <w:r w:rsidRPr="00F609DC">
              <w:rPr>
                <w:rFonts w:eastAsia="Arial Unicode MS" w:cs="Arial"/>
                <w:b/>
                <w:bCs/>
                <w:sz w:val="17"/>
                <w:szCs w:val="17"/>
              </w:rPr>
              <w:t>135</w:t>
            </w:r>
          </w:p>
        </w:tc>
        <w:tc>
          <w:tcPr>
            <w:tcW w:w="633" w:type="pct"/>
            <w:tcBorders>
              <w:top w:val="single" w:sz="4" w:space="0" w:color="auto"/>
              <w:left w:val="nil"/>
              <w:bottom w:val="single" w:sz="12" w:space="0" w:color="auto"/>
            </w:tcBorders>
            <w:shd w:val="clear" w:color="auto" w:fill="auto"/>
            <w:vAlign w:val="bottom"/>
          </w:tcPr>
          <w:p w14:paraId="24CA422A" w14:textId="60730199" w:rsidR="002438C2" w:rsidRPr="005444AA" w:rsidRDefault="002438C2" w:rsidP="002438C2">
            <w:pPr>
              <w:spacing w:after="0" w:line="240" w:lineRule="exact"/>
              <w:jc w:val="right"/>
              <w:rPr>
                <w:rFonts w:asciiTheme="minorHAnsi" w:eastAsia="Arial Unicode MS" w:hAnsiTheme="minorHAnsi" w:cs="Arial"/>
                <w:b/>
                <w:sz w:val="18"/>
                <w:szCs w:val="18"/>
                <w:lang w:val="pl-PL"/>
              </w:rPr>
            </w:pPr>
            <w:r w:rsidRPr="00F609DC">
              <w:rPr>
                <w:rFonts w:eastAsia="Arial Unicode MS" w:cs="Arial"/>
                <w:b/>
                <w:bCs/>
                <w:sz w:val="17"/>
                <w:szCs w:val="17"/>
              </w:rPr>
              <w:t>10</w:t>
            </w:r>
            <w:r>
              <w:rPr>
                <w:rFonts w:eastAsia="Arial Unicode MS" w:cs="Arial"/>
                <w:b/>
                <w:bCs/>
                <w:sz w:val="17"/>
                <w:szCs w:val="17"/>
              </w:rPr>
              <w:t>,</w:t>
            </w:r>
            <w:r w:rsidRPr="00F609DC">
              <w:rPr>
                <w:rFonts w:eastAsia="Arial Unicode MS" w:cs="Arial"/>
                <w:b/>
                <w:bCs/>
                <w:sz w:val="17"/>
                <w:szCs w:val="17"/>
              </w:rPr>
              <w:t>242</w:t>
            </w:r>
            <w:r>
              <w:rPr>
                <w:rFonts w:eastAsia="Arial Unicode MS" w:cs="Arial"/>
                <w:b/>
                <w:bCs/>
                <w:sz w:val="17"/>
                <w:szCs w:val="17"/>
              </w:rPr>
              <w:t>,</w:t>
            </w:r>
            <w:r w:rsidRPr="00F609DC">
              <w:rPr>
                <w:rFonts w:eastAsia="Arial Unicode MS" w:cs="Arial"/>
                <w:b/>
                <w:bCs/>
                <w:sz w:val="17"/>
                <w:szCs w:val="17"/>
              </w:rPr>
              <w:t>135</w:t>
            </w:r>
          </w:p>
        </w:tc>
      </w:tr>
      <w:tr w:rsidR="002438C2" w:rsidRPr="00321238" w14:paraId="307241B4" w14:textId="77777777" w:rsidTr="002438C2">
        <w:trPr>
          <w:trHeight w:val="215"/>
        </w:trPr>
        <w:tc>
          <w:tcPr>
            <w:tcW w:w="1456" w:type="pct"/>
            <w:vAlign w:val="bottom"/>
          </w:tcPr>
          <w:p w14:paraId="397B713E" w14:textId="77777777" w:rsidR="002438C2" w:rsidRPr="00166751" w:rsidRDefault="002438C2" w:rsidP="002438C2">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Guarantee fund</w:t>
            </w:r>
          </w:p>
        </w:tc>
        <w:tc>
          <w:tcPr>
            <w:tcW w:w="434" w:type="pct"/>
            <w:tcBorders>
              <w:top w:val="single" w:sz="12" w:space="0" w:color="auto"/>
              <w:left w:val="nil"/>
              <w:bottom w:val="single" w:sz="4" w:space="0" w:color="auto"/>
              <w:right w:val="nil"/>
            </w:tcBorders>
            <w:shd w:val="clear" w:color="auto" w:fill="auto"/>
            <w:vAlign w:val="bottom"/>
          </w:tcPr>
          <w:p w14:paraId="4FB41D95" w14:textId="3711471D" w:rsidR="002438C2" w:rsidRPr="00B24F55" w:rsidRDefault="002438C2" w:rsidP="002438C2">
            <w:pPr>
              <w:tabs>
                <w:tab w:val="right" w:pos="1202"/>
              </w:tabs>
              <w:spacing w:after="0" w:line="240" w:lineRule="exact"/>
              <w:jc w:val="right"/>
              <w:outlineLvl w:val="0"/>
              <w:rPr>
                <w:rFonts w:asciiTheme="minorHAnsi" w:eastAsia="Times New Roman" w:hAnsiTheme="minorHAnsi" w:cs="Arial"/>
                <w:spacing w:val="-2"/>
                <w:sz w:val="18"/>
                <w:szCs w:val="18"/>
                <w:lang w:val="hr-HR"/>
              </w:rPr>
            </w:pPr>
            <w:r>
              <w:rPr>
                <w:rFonts w:asciiTheme="minorHAnsi" w:hAnsiTheme="minorHAnsi" w:cs="Arial"/>
                <w:spacing w:val="-2"/>
                <w:sz w:val="18"/>
                <w:szCs w:val="18"/>
                <w:lang w:val="hr-HR"/>
              </w:rPr>
              <w:t>-</w:t>
            </w:r>
          </w:p>
        </w:tc>
        <w:tc>
          <w:tcPr>
            <w:tcW w:w="568" w:type="pct"/>
            <w:tcBorders>
              <w:top w:val="single" w:sz="12" w:space="0" w:color="auto"/>
              <w:left w:val="nil"/>
              <w:bottom w:val="single" w:sz="4" w:space="0" w:color="auto"/>
              <w:right w:val="nil"/>
            </w:tcBorders>
            <w:shd w:val="clear" w:color="auto" w:fill="auto"/>
            <w:vAlign w:val="bottom"/>
          </w:tcPr>
          <w:p w14:paraId="4BDFB099" w14:textId="2CE1F908"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3D63B1">
              <w:rPr>
                <w:rFonts w:eastAsia="Arial Unicode MS" w:cs="Arial"/>
                <w:sz w:val="18"/>
                <w:szCs w:val="18"/>
              </w:rPr>
              <w:t>12</w:t>
            </w:r>
            <w:r>
              <w:rPr>
                <w:rFonts w:eastAsia="Arial Unicode MS" w:cs="Arial"/>
                <w:sz w:val="18"/>
                <w:szCs w:val="18"/>
              </w:rPr>
              <w:t>,</w:t>
            </w:r>
            <w:r w:rsidRPr="003D63B1">
              <w:rPr>
                <w:rFonts w:eastAsia="Arial Unicode MS" w:cs="Arial"/>
                <w:sz w:val="18"/>
                <w:szCs w:val="18"/>
              </w:rPr>
              <w:t>276</w:t>
            </w:r>
          </w:p>
        </w:tc>
        <w:tc>
          <w:tcPr>
            <w:tcW w:w="616" w:type="pct"/>
            <w:tcBorders>
              <w:top w:val="single" w:sz="12" w:space="0" w:color="auto"/>
              <w:left w:val="nil"/>
              <w:bottom w:val="single" w:sz="4" w:space="0" w:color="auto"/>
              <w:right w:val="nil"/>
            </w:tcBorders>
            <w:shd w:val="clear" w:color="auto" w:fill="auto"/>
            <w:vAlign w:val="bottom"/>
          </w:tcPr>
          <w:p w14:paraId="5F86C4C2" w14:textId="741B650B" w:rsidR="002438C2" w:rsidRPr="005444AA" w:rsidRDefault="002438C2" w:rsidP="002438C2">
            <w:pPr>
              <w:spacing w:after="0" w:line="240" w:lineRule="exact"/>
              <w:jc w:val="right"/>
              <w:rPr>
                <w:rFonts w:asciiTheme="minorHAnsi" w:eastAsia="Arial Unicode MS" w:hAnsiTheme="minorHAnsi" w:cs="Arial"/>
                <w:sz w:val="18"/>
                <w:szCs w:val="18"/>
                <w:lang w:val="pl-PL"/>
              </w:rPr>
            </w:pPr>
            <w:r>
              <w:rPr>
                <w:rFonts w:eastAsia="Arial Unicode MS" w:cs="Arial"/>
                <w:sz w:val="18"/>
                <w:szCs w:val="18"/>
              </w:rPr>
              <w:t>-</w:t>
            </w:r>
          </w:p>
        </w:tc>
        <w:tc>
          <w:tcPr>
            <w:tcW w:w="615" w:type="pct"/>
            <w:tcBorders>
              <w:top w:val="single" w:sz="12" w:space="0" w:color="auto"/>
              <w:left w:val="nil"/>
              <w:bottom w:val="single" w:sz="4" w:space="0" w:color="auto"/>
              <w:right w:val="nil"/>
            </w:tcBorders>
            <w:shd w:val="clear" w:color="auto" w:fill="auto"/>
            <w:vAlign w:val="bottom"/>
          </w:tcPr>
          <w:p w14:paraId="503724E3" w14:textId="5A005F97"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3D63B1">
              <w:rPr>
                <w:rFonts w:eastAsia="Arial Unicode MS" w:cs="Arial"/>
                <w:sz w:val="18"/>
                <w:szCs w:val="18"/>
              </w:rPr>
              <w:t>12</w:t>
            </w:r>
            <w:r>
              <w:rPr>
                <w:rFonts w:eastAsia="Arial Unicode MS" w:cs="Arial"/>
                <w:sz w:val="18"/>
                <w:szCs w:val="18"/>
              </w:rPr>
              <w:t>,</w:t>
            </w:r>
            <w:r w:rsidRPr="003D63B1">
              <w:rPr>
                <w:rFonts w:eastAsia="Arial Unicode MS" w:cs="Arial"/>
                <w:sz w:val="18"/>
                <w:szCs w:val="18"/>
              </w:rPr>
              <w:t>276</w:t>
            </w:r>
          </w:p>
        </w:tc>
        <w:tc>
          <w:tcPr>
            <w:tcW w:w="678" w:type="pct"/>
            <w:tcBorders>
              <w:top w:val="single" w:sz="12" w:space="0" w:color="auto"/>
              <w:left w:val="nil"/>
              <w:bottom w:val="single" w:sz="4" w:space="0" w:color="auto"/>
              <w:right w:val="nil"/>
            </w:tcBorders>
            <w:shd w:val="clear" w:color="auto" w:fill="auto"/>
            <w:vAlign w:val="bottom"/>
          </w:tcPr>
          <w:p w14:paraId="6E8EED35" w14:textId="5B6002CA" w:rsidR="002438C2" w:rsidRPr="005444AA" w:rsidRDefault="002438C2" w:rsidP="002438C2">
            <w:pPr>
              <w:spacing w:after="0" w:line="240" w:lineRule="exact"/>
              <w:jc w:val="right"/>
              <w:rPr>
                <w:rFonts w:asciiTheme="minorHAnsi" w:eastAsia="Arial Unicode MS" w:hAnsiTheme="minorHAnsi" w:cs="Arial"/>
                <w:sz w:val="18"/>
                <w:szCs w:val="18"/>
                <w:lang w:val="pl-PL"/>
              </w:rPr>
            </w:pPr>
            <w:r>
              <w:rPr>
                <w:rFonts w:eastAsia="Arial Unicode MS" w:cs="Arial"/>
                <w:sz w:val="18"/>
                <w:szCs w:val="18"/>
              </w:rPr>
              <w:t>-</w:t>
            </w:r>
          </w:p>
        </w:tc>
        <w:tc>
          <w:tcPr>
            <w:tcW w:w="633" w:type="pct"/>
            <w:tcBorders>
              <w:top w:val="single" w:sz="12" w:space="0" w:color="auto"/>
              <w:left w:val="nil"/>
              <w:bottom w:val="single" w:sz="4" w:space="0" w:color="auto"/>
            </w:tcBorders>
            <w:shd w:val="clear" w:color="auto" w:fill="auto"/>
            <w:vAlign w:val="bottom"/>
          </w:tcPr>
          <w:p w14:paraId="7C2EF4CC" w14:textId="0D57DE8C" w:rsidR="002438C2" w:rsidRPr="005444AA" w:rsidRDefault="002438C2" w:rsidP="002438C2">
            <w:pPr>
              <w:spacing w:after="0" w:line="240" w:lineRule="exact"/>
              <w:jc w:val="right"/>
              <w:rPr>
                <w:rFonts w:asciiTheme="minorHAnsi" w:eastAsia="Arial Unicode MS" w:hAnsiTheme="minorHAnsi" w:cs="Arial"/>
                <w:sz w:val="18"/>
                <w:szCs w:val="18"/>
                <w:lang w:val="pl-PL"/>
              </w:rPr>
            </w:pPr>
            <w:r w:rsidRPr="003D63B1">
              <w:rPr>
                <w:rFonts w:eastAsia="Arial Unicode MS" w:cs="Arial"/>
                <w:sz w:val="18"/>
                <w:szCs w:val="18"/>
              </w:rPr>
              <w:t>12</w:t>
            </w:r>
            <w:r>
              <w:rPr>
                <w:rFonts w:eastAsia="Arial Unicode MS" w:cs="Arial"/>
                <w:sz w:val="18"/>
                <w:szCs w:val="18"/>
              </w:rPr>
              <w:t>,</w:t>
            </w:r>
            <w:r w:rsidRPr="003D63B1">
              <w:rPr>
                <w:rFonts w:eastAsia="Arial Unicode MS" w:cs="Arial"/>
                <w:sz w:val="18"/>
                <w:szCs w:val="18"/>
              </w:rPr>
              <w:t>276</w:t>
            </w:r>
          </w:p>
        </w:tc>
      </w:tr>
      <w:tr w:rsidR="002438C2" w:rsidRPr="00321238" w14:paraId="17BA8AEF" w14:textId="77777777" w:rsidTr="006B318F">
        <w:trPr>
          <w:trHeight w:val="204"/>
        </w:trPr>
        <w:tc>
          <w:tcPr>
            <w:tcW w:w="1456" w:type="pct"/>
            <w:vAlign w:val="bottom"/>
          </w:tcPr>
          <w:p w14:paraId="2A4F5927" w14:textId="77777777" w:rsidR="002438C2" w:rsidRPr="00166751" w:rsidRDefault="002438C2" w:rsidP="002438C2">
            <w:pPr>
              <w:spacing w:after="0" w:line="240" w:lineRule="exact"/>
              <w:rPr>
                <w:rFonts w:cs="Arial"/>
                <w:b/>
                <w:bCs/>
                <w:sz w:val="18"/>
                <w:szCs w:val="18"/>
              </w:rPr>
            </w:pPr>
            <w:r w:rsidRPr="00166751">
              <w:rPr>
                <w:rFonts w:cs="Arial"/>
                <w:b/>
                <w:bCs/>
                <w:sz w:val="18"/>
                <w:szCs w:val="18"/>
              </w:rPr>
              <w:t xml:space="preserve">Total equity </w:t>
            </w:r>
          </w:p>
        </w:tc>
        <w:tc>
          <w:tcPr>
            <w:tcW w:w="434" w:type="pct"/>
            <w:tcBorders>
              <w:top w:val="single" w:sz="4" w:space="0" w:color="auto"/>
              <w:left w:val="nil"/>
              <w:bottom w:val="single" w:sz="12" w:space="0" w:color="auto"/>
              <w:right w:val="nil"/>
            </w:tcBorders>
            <w:shd w:val="clear" w:color="auto" w:fill="auto"/>
            <w:vAlign w:val="bottom"/>
          </w:tcPr>
          <w:p w14:paraId="411C00F0" w14:textId="7F014831" w:rsidR="002438C2" w:rsidRPr="00B24F55" w:rsidRDefault="002438C2" w:rsidP="002438C2">
            <w:pPr>
              <w:tabs>
                <w:tab w:val="right" w:pos="1202"/>
              </w:tabs>
              <w:spacing w:after="0" w:line="240" w:lineRule="exact"/>
              <w:jc w:val="right"/>
              <w:outlineLvl w:val="0"/>
              <w:rPr>
                <w:rFonts w:asciiTheme="minorHAnsi" w:eastAsia="Times New Roman" w:hAnsiTheme="minorHAnsi" w:cs="Arial"/>
                <w:b/>
                <w:bCs/>
                <w:spacing w:val="-2"/>
                <w:sz w:val="18"/>
                <w:szCs w:val="18"/>
                <w:lang w:val="hr-HR"/>
              </w:rPr>
            </w:pPr>
            <w:r>
              <w:rPr>
                <w:rFonts w:asciiTheme="minorHAnsi" w:hAnsiTheme="minorHAnsi" w:cs="Arial"/>
                <w:b/>
                <w:bCs/>
                <w:spacing w:val="-2"/>
                <w:sz w:val="18"/>
                <w:szCs w:val="18"/>
                <w:lang w:val="hr-HR"/>
              </w:rPr>
              <w:t>-</w:t>
            </w:r>
          </w:p>
        </w:tc>
        <w:tc>
          <w:tcPr>
            <w:tcW w:w="568" w:type="pct"/>
            <w:tcBorders>
              <w:top w:val="single" w:sz="4" w:space="0" w:color="auto"/>
              <w:left w:val="nil"/>
              <w:bottom w:val="single" w:sz="12" w:space="0" w:color="auto"/>
              <w:right w:val="nil"/>
            </w:tcBorders>
            <w:shd w:val="clear" w:color="auto" w:fill="auto"/>
            <w:vAlign w:val="bottom"/>
          </w:tcPr>
          <w:p w14:paraId="6A5CD3DF" w14:textId="6F3B8DDD" w:rsidR="002438C2" w:rsidRPr="005444AA" w:rsidRDefault="002438C2" w:rsidP="002438C2">
            <w:pPr>
              <w:spacing w:after="0" w:line="240" w:lineRule="exact"/>
              <w:jc w:val="right"/>
              <w:rPr>
                <w:rFonts w:asciiTheme="minorHAnsi" w:eastAsia="Arial Unicode MS" w:hAnsiTheme="minorHAnsi" w:cs="Arial"/>
                <w:b/>
                <w:sz w:val="18"/>
                <w:szCs w:val="18"/>
                <w:lang w:val="pl-PL"/>
              </w:rPr>
            </w:pPr>
            <w:r w:rsidRPr="003D63B1">
              <w:rPr>
                <w:rFonts w:eastAsia="Arial Unicode MS" w:cs="Arial"/>
                <w:b/>
                <w:bCs/>
                <w:sz w:val="18"/>
                <w:szCs w:val="18"/>
                <w:lang w:val="pl-PL"/>
              </w:rPr>
              <w:t>12</w:t>
            </w:r>
            <w:r>
              <w:rPr>
                <w:rFonts w:eastAsia="Arial Unicode MS" w:cs="Arial"/>
                <w:b/>
                <w:bCs/>
                <w:sz w:val="18"/>
                <w:szCs w:val="18"/>
                <w:lang w:val="pl-PL"/>
              </w:rPr>
              <w:t>,</w:t>
            </w:r>
            <w:r w:rsidRPr="003D63B1">
              <w:rPr>
                <w:rFonts w:eastAsia="Arial Unicode MS" w:cs="Arial"/>
                <w:b/>
                <w:bCs/>
                <w:sz w:val="18"/>
                <w:szCs w:val="18"/>
                <w:lang w:val="pl-PL"/>
              </w:rPr>
              <w:t>276</w:t>
            </w:r>
          </w:p>
        </w:tc>
        <w:tc>
          <w:tcPr>
            <w:tcW w:w="616" w:type="pct"/>
            <w:tcBorders>
              <w:top w:val="single" w:sz="4" w:space="0" w:color="auto"/>
              <w:left w:val="nil"/>
              <w:bottom w:val="single" w:sz="12" w:space="0" w:color="auto"/>
              <w:right w:val="nil"/>
            </w:tcBorders>
            <w:shd w:val="clear" w:color="auto" w:fill="auto"/>
            <w:vAlign w:val="bottom"/>
          </w:tcPr>
          <w:p w14:paraId="0639064E" w14:textId="5ABE401C" w:rsidR="002438C2" w:rsidRPr="005444AA" w:rsidRDefault="002438C2" w:rsidP="002438C2">
            <w:pPr>
              <w:spacing w:after="0" w:line="240" w:lineRule="exact"/>
              <w:jc w:val="right"/>
              <w:rPr>
                <w:rFonts w:asciiTheme="minorHAnsi" w:eastAsia="Arial Unicode MS" w:hAnsiTheme="minorHAnsi" w:cs="Arial"/>
                <w:b/>
                <w:sz w:val="18"/>
                <w:szCs w:val="18"/>
                <w:lang w:val="pl-PL"/>
              </w:rPr>
            </w:pPr>
            <w:r>
              <w:rPr>
                <w:rFonts w:eastAsia="Arial Unicode MS" w:cs="Arial"/>
                <w:b/>
                <w:bCs/>
                <w:sz w:val="18"/>
                <w:szCs w:val="18"/>
                <w:lang w:val="pl-PL"/>
              </w:rPr>
              <w:t>-</w:t>
            </w:r>
          </w:p>
        </w:tc>
        <w:tc>
          <w:tcPr>
            <w:tcW w:w="615" w:type="pct"/>
            <w:tcBorders>
              <w:top w:val="single" w:sz="4" w:space="0" w:color="auto"/>
              <w:left w:val="nil"/>
              <w:bottom w:val="single" w:sz="12" w:space="0" w:color="auto"/>
              <w:right w:val="nil"/>
            </w:tcBorders>
            <w:shd w:val="clear" w:color="auto" w:fill="auto"/>
            <w:vAlign w:val="bottom"/>
          </w:tcPr>
          <w:p w14:paraId="54B38E37" w14:textId="4FAE5082" w:rsidR="002438C2" w:rsidRPr="005444AA" w:rsidRDefault="002438C2" w:rsidP="002438C2">
            <w:pPr>
              <w:spacing w:after="0" w:line="240" w:lineRule="exact"/>
              <w:jc w:val="right"/>
              <w:rPr>
                <w:rFonts w:asciiTheme="minorHAnsi" w:eastAsia="Arial Unicode MS" w:hAnsiTheme="minorHAnsi" w:cs="Arial"/>
                <w:b/>
                <w:sz w:val="18"/>
                <w:szCs w:val="18"/>
                <w:lang w:val="pl-PL"/>
              </w:rPr>
            </w:pPr>
            <w:r w:rsidRPr="003D63B1">
              <w:rPr>
                <w:rFonts w:eastAsia="Arial Unicode MS" w:cs="Arial"/>
                <w:b/>
                <w:bCs/>
                <w:sz w:val="18"/>
                <w:szCs w:val="18"/>
                <w:lang w:val="pl-PL"/>
              </w:rPr>
              <w:t>12</w:t>
            </w:r>
            <w:r>
              <w:rPr>
                <w:rFonts w:eastAsia="Arial Unicode MS" w:cs="Arial"/>
                <w:b/>
                <w:bCs/>
                <w:sz w:val="18"/>
                <w:szCs w:val="18"/>
                <w:lang w:val="pl-PL"/>
              </w:rPr>
              <w:t>,</w:t>
            </w:r>
            <w:r w:rsidRPr="003D63B1">
              <w:rPr>
                <w:rFonts w:eastAsia="Arial Unicode MS" w:cs="Arial"/>
                <w:b/>
                <w:bCs/>
                <w:sz w:val="18"/>
                <w:szCs w:val="18"/>
                <w:lang w:val="pl-PL"/>
              </w:rPr>
              <w:t>276</w:t>
            </w:r>
          </w:p>
        </w:tc>
        <w:tc>
          <w:tcPr>
            <w:tcW w:w="678" w:type="pct"/>
            <w:tcBorders>
              <w:top w:val="single" w:sz="4" w:space="0" w:color="auto"/>
              <w:left w:val="nil"/>
              <w:bottom w:val="single" w:sz="12" w:space="0" w:color="auto"/>
              <w:right w:val="nil"/>
            </w:tcBorders>
            <w:shd w:val="clear" w:color="auto" w:fill="auto"/>
          </w:tcPr>
          <w:p w14:paraId="0763B072" w14:textId="6D535900" w:rsidR="002438C2" w:rsidRPr="005444AA" w:rsidRDefault="002438C2" w:rsidP="002438C2">
            <w:pPr>
              <w:spacing w:after="0" w:line="240" w:lineRule="exact"/>
              <w:jc w:val="right"/>
              <w:rPr>
                <w:rFonts w:asciiTheme="minorHAnsi" w:eastAsia="Arial Unicode MS" w:hAnsiTheme="minorHAnsi" w:cs="Arial"/>
                <w:b/>
                <w:sz w:val="18"/>
                <w:szCs w:val="18"/>
                <w:lang w:val="pl-PL"/>
              </w:rPr>
            </w:pPr>
            <w:r w:rsidRPr="00FE65B6">
              <w:rPr>
                <w:rFonts w:eastAsia="Arial Unicode MS" w:cs="Arial"/>
                <w:b/>
                <w:bCs/>
                <w:sz w:val="17"/>
                <w:szCs w:val="17"/>
              </w:rPr>
              <w:t>10</w:t>
            </w:r>
            <w:r>
              <w:rPr>
                <w:rFonts w:eastAsia="Arial Unicode MS" w:cs="Arial"/>
                <w:b/>
                <w:bCs/>
                <w:sz w:val="17"/>
                <w:szCs w:val="17"/>
              </w:rPr>
              <w:t>,</w:t>
            </w:r>
            <w:r w:rsidRPr="00FE65B6">
              <w:rPr>
                <w:rFonts w:eastAsia="Arial Unicode MS" w:cs="Arial"/>
                <w:b/>
                <w:bCs/>
                <w:sz w:val="17"/>
                <w:szCs w:val="17"/>
              </w:rPr>
              <w:t>242</w:t>
            </w:r>
            <w:r>
              <w:rPr>
                <w:rFonts w:eastAsia="Arial Unicode MS" w:cs="Arial"/>
                <w:b/>
                <w:bCs/>
                <w:sz w:val="17"/>
                <w:szCs w:val="17"/>
              </w:rPr>
              <w:t>,</w:t>
            </w:r>
            <w:r w:rsidRPr="00FE65B6">
              <w:rPr>
                <w:rFonts w:eastAsia="Arial Unicode MS" w:cs="Arial"/>
                <w:b/>
                <w:bCs/>
                <w:sz w:val="17"/>
                <w:szCs w:val="17"/>
              </w:rPr>
              <w:t>135</w:t>
            </w:r>
          </w:p>
        </w:tc>
        <w:tc>
          <w:tcPr>
            <w:tcW w:w="633" w:type="pct"/>
            <w:tcBorders>
              <w:top w:val="single" w:sz="4" w:space="0" w:color="auto"/>
              <w:left w:val="nil"/>
              <w:bottom w:val="single" w:sz="12" w:space="0" w:color="auto"/>
            </w:tcBorders>
            <w:shd w:val="clear" w:color="auto" w:fill="auto"/>
          </w:tcPr>
          <w:p w14:paraId="1674BE70" w14:textId="318A43AC" w:rsidR="002438C2" w:rsidRPr="005444AA" w:rsidRDefault="002438C2" w:rsidP="002438C2">
            <w:pPr>
              <w:spacing w:after="0" w:line="240" w:lineRule="exact"/>
              <w:jc w:val="right"/>
              <w:rPr>
                <w:rFonts w:asciiTheme="minorHAnsi" w:eastAsia="Arial Unicode MS" w:hAnsiTheme="minorHAnsi" w:cs="Arial"/>
                <w:b/>
                <w:sz w:val="18"/>
                <w:szCs w:val="18"/>
                <w:lang w:val="pl-PL"/>
              </w:rPr>
            </w:pPr>
            <w:r w:rsidRPr="00FE65B6">
              <w:rPr>
                <w:rFonts w:eastAsia="Arial Unicode MS" w:cs="Arial"/>
                <w:b/>
                <w:bCs/>
                <w:sz w:val="17"/>
                <w:szCs w:val="17"/>
              </w:rPr>
              <w:t>10</w:t>
            </w:r>
            <w:r>
              <w:rPr>
                <w:rFonts w:eastAsia="Arial Unicode MS" w:cs="Arial"/>
                <w:b/>
                <w:bCs/>
                <w:sz w:val="17"/>
                <w:szCs w:val="17"/>
              </w:rPr>
              <w:t>,</w:t>
            </w:r>
            <w:r w:rsidRPr="00FE65B6">
              <w:rPr>
                <w:rFonts w:eastAsia="Arial Unicode MS" w:cs="Arial"/>
                <w:b/>
                <w:bCs/>
                <w:sz w:val="17"/>
                <w:szCs w:val="17"/>
              </w:rPr>
              <w:t>254</w:t>
            </w:r>
            <w:r>
              <w:rPr>
                <w:rFonts w:eastAsia="Arial Unicode MS" w:cs="Arial"/>
                <w:b/>
                <w:bCs/>
                <w:sz w:val="17"/>
                <w:szCs w:val="17"/>
              </w:rPr>
              <w:t>,</w:t>
            </w:r>
            <w:r w:rsidRPr="00FE65B6">
              <w:rPr>
                <w:rFonts w:eastAsia="Arial Unicode MS" w:cs="Arial"/>
                <w:b/>
                <w:bCs/>
                <w:sz w:val="17"/>
                <w:szCs w:val="17"/>
              </w:rPr>
              <w:t>411</w:t>
            </w:r>
          </w:p>
        </w:tc>
      </w:tr>
      <w:tr w:rsidR="002438C2" w:rsidRPr="00321238" w14:paraId="37D9EE8E" w14:textId="77777777" w:rsidTr="006B318F">
        <w:trPr>
          <w:trHeight w:val="207"/>
        </w:trPr>
        <w:tc>
          <w:tcPr>
            <w:tcW w:w="1456" w:type="pct"/>
            <w:vAlign w:val="bottom"/>
          </w:tcPr>
          <w:p w14:paraId="6A70A7CC" w14:textId="77777777" w:rsidR="002438C2" w:rsidRPr="00166751" w:rsidRDefault="002438C2" w:rsidP="002438C2">
            <w:pPr>
              <w:spacing w:after="0" w:line="240" w:lineRule="exact"/>
              <w:rPr>
                <w:rFonts w:cs="Arial"/>
                <w:b/>
                <w:bCs/>
                <w:sz w:val="18"/>
                <w:szCs w:val="18"/>
              </w:rPr>
            </w:pPr>
            <w:r w:rsidRPr="00166751">
              <w:rPr>
                <w:rFonts w:cs="Arial"/>
                <w:b/>
                <w:bCs/>
                <w:sz w:val="18"/>
                <w:szCs w:val="18"/>
              </w:rPr>
              <w:t>Total liabilities and total equity (2)</w:t>
            </w:r>
          </w:p>
        </w:tc>
        <w:tc>
          <w:tcPr>
            <w:tcW w:w="434" w:type="pct"/>
            <w:tcBorders>
              <w:top w:val="single" w:sz="12" w:space="0" w:color="auto"/>
              <w:left w:val="nil"/>
              <w:bottom w:val="single" w:sz="12" w:space="0" w:color="auto"/>
              <w:right w:val="nil"/>
            </w:tcBorders>
            <w:shd w:val="clear" w:color="auto" w:fill="auto"/>
          </w:tcPr>
          <w:p w14:paraId="7EE2270E" w14:textId="2052DBE7" w:rsidR="002438C2" w:rsidRPr="005444AA" w:rsidRDefault="002438C2" w:rsidP="002438C2">
            <w:pPr>
              <w:spacing w:after="0" w:line="240" w:lineRule="exact"/>
              <w:jc w:val="right"/>
              <w:rPr>
                <w:rFonts w:asciiTheme="minorHAnsi" w:eastAsia="Arial Unicode MS" w:hAnsiTheme="minorHAnsi" w:cs="Arial"/>
                <w:b/>
                <w:sz w:val="18"/>
                <w:szCs w:val="18"/>
                <w:lang w:val="pl-PL"/>
              </w:rPr>
            </w:pPr>
            <w:r w:rsidRPr="00F609DC">
              <w:rPr>
                <w:rFonts w:eastAsia="Arial Unicode MS" w:cs="Arial"/>
                <w:b/>
                <w:bCs/>
                <w:sz w:val="17"/>
                <w:szCs w:val="17"/>
              </w:rPr>
              <w:t>428</w:t>
            </w:r>
            <w:r>
              <w:rPr>
                <w:rFonts w:eastAsia="Arial Unicode MS" w:cs="Arial"/>
                <w:b/>
                <w:bCs/>
                <w:sz w:val="17"/>
                <w:szCs w:val="17"/>
              </w:rPr>
              <w:t>,</w:t>
            </w:r>
            <w:r w:rsidRPr="00F609DC">
              <w:rPr>
                <w:rFonts w:eastAsia="Arial Unicode MS" w:cs="Arial"/>
                <w:b/>
                <w:bCs/>
                <w:sz w:val="17"/>
                <w:szCs w:val="17"/>
              </w:rPr>
              <w:t>81</w:t>
            </w:r>
            <w:r>
              <w:rPr>
                <w:rFonts w:eastAsia="Arial Unicode MS" w:cs="Arial"/>
                <w:b/>
                <w:bCs/>
                <w:sz w:val="17"/>
                <w:szCs w:val="17"/>
              </w:rPr>
              <w:t>3</w:t>
            </w:r>
          </w:p>
        </w:tc>
        <w:tc>
          <w:tcPr>
            <w:tcW w:w="568" w:type="pct"/>
            <w:tcBorders>
              <w:top w:val="single" w:sz="12" w:space="0" w:color="auto"/>
              <w:left w:val="nil"/>
              <w:bottom w:val="single" w:sz="12" w:space="0" w:color="auto"/>
              <w:right w:val="nil"/>
            </w:tcBorders>
            <w:shd w:val="clear" w:color="auto" w:fill="auto"/>
          </w:tcPr>
          <w:p w14:paraId="45013E25" w14:textId="25CAEC29" w:rsidR="002438C2" w:rsidRPr="005444AA" w:rsidRDefault="002438C2" w:rsidP="002438C2">
            <w:pPr>
              <w:spacing w:after="0" w:line="240" w:lineRule="exact"/>
              <w:jc w:val="right"/>
              <w:rPr>
                <w:rFonts w:asciiTheme="minorHAnsi" w:eastAsia="Arial Unicode MS" w:hAnsiTheme="minorHAnsi" w:cs="Arial"/>
                <w:b/>
                <w:sz w:val="18"/>
                <w:szCs w:val="18"/>
                <w:lang w:val="pl-PL"/>
              </w:rPr>
            </w:pPr>
            <w:r w:rsidRPr="00F609DC">
              <w:rPr>
                <w:rFonts w:eastAsia="Arial Unicode MS" w:cs="Arial"/>
                <w:b/>
                <w:bCs/>
                <w:sz w:val="17"/>
                <w:szCs w:val="17"/>
              </w:rPr>
              <w:t>16</w:t>
            </w:r>
            <w:r>
              <w:rPr>
                <w:rFonts w:eastAsia="Arial Unicode MS" w:cs="Arial"/>
                <w:b/>
                <w:bCs/>
                <w:sz w:val="17"/>
                <w:szCs w:val="17"/>
              </w:rPr>
              <w:t>,782,135</w:t>
            </w:r>
          </w:p>
        </w:tc>
        <w:tc>
          <w:tcPr>
            <w:tcW w:w="616" w:type="pct"/>
            <w:tcBorders>
              <w:top w:val="single" w:sz="12" w:space="0" w:color="auto"/>
              <w:left w:val="nil"/>
              <w:bottom w:val="single" w:sz="12" w:space="0" w:color="auto"/>
              <w:right w:val="nil"/>
            </w:tcBorders>
            <w:shd w:val="clear" w:color="auto" w:fill="auto"/>
          </w:tcPr>
          <w:p w14:paraId="5BB9E73C" w14:textId="74D2A00E" w:rsidR="002438C2" w:rsidRPr="005444AA" w:rsidRDefault="002438C2" w:rsidP="002438C2">
            <w:pPr>
              <w:spacing w:after="0" w:line="240" w:lineRule="exact"/>
              <w:jc w:val="right"/>
              <w:rPr>
                <w:rFonts w:asciiTheme="minorHAnsi" w:eastAsia="Arial Unicode MS" w:hAnsiTheme="minorHAnsi" w:cs="Arial"/>
                <w:b/>
                <w:sz w:val="18"/>
                <w:szCs w:val="18"/>
                <w:lang w:val="pl-PL"/>
              </w:rPr>
            </w:pPr>
            <w:r>
              <w:rPr>
                <w:rFonts w:eastAsia="Arial Unicode MS" w:cs="Arial"/>
                <w:b/>
                <w:bCs/>
                <w:sz w:val="17"/>
                <w:szCs w:val="17"/>
              </w:rPr>
              <w:t>3,971</w:t>
            </w:r>
          </w:p>
        </w:tc>
        <w:tc>
          <w:tcPr>
            <w:tcW w:w="615" w:type="pct"/>
            <w:tcBorders>
              <w:top w:val="single" w:sz="12" w:space="0" w:color="auto"/>
              <w:left w:val="nil"/>
              <w:bottom w:val="single" w:sz="12" w:space="0" w:color="auto"/>
              <w:right w:val="nil"/>
            </w:tcBorders>
            <w:shd w:val="clear" w:color="auto" w:fill="auto"/>
          </w:tcPr>
          <w:p w14:paraId="05E8C1D1" w14:textId="4F533E02" w:rsidR="002438C2" w:rsidRPr="005444AA" w:rsidRDefault="002438C2" w:rsidP="002438C2">
            <w:pPr>
              <w:spacing w:after="0" w:line="240" w:lineRule="exact"/>
              <w:jc w:val="right"/>
              <w:rPr>
                <w:rFonts w:asciiTheme="minorHAnsi" w:eastAsia="Arial Unicode MS" w:hAnsiTheme="minorHAnsi" w:cs="Arial"/>
                <w:b/>
                <w:sz w:val="18"/>
                <w:szCs w:val="18"/>
                <w:lang w:val="pl-PL"/>
              </w:rPr>
            </w:pPr>
            <w:r w:rsidRPr="00F609DC">
              <w:rPr>
                <w:rFonts w:eastAsia="Arial Unicode MS" w:cs="Arial"/>
                <w:b/>
                <w:bCs/>
                <w:sz w:val="17"/>
                <w:szCs w:val="17"/>
              </w:rPr>
              <w:t>17</w:t>
            </w:r>
            <w:r>
              <w:rPr>
                <w:rFonts w:eastAsia="Arial Unicode MS" w:cs="Arial"/>
                <w:b/>
                <w:bCs/>
                <w:sz w:val="17"/>
                <w:szCs w:val="17"/>
              </w:rPr>
              <w:t>,</w:t>
            </w:r>
            <w:r w:rsidRPr="00F609DC">
              <w:rPr>
                <w:rFonts w:eastAsia="Arial Unicode MS" w:cs="Arial"/>
                <w:b/>
                <w:bCs/>
                <w:sz w:val="17"/>
                <w:szCs w:val="17"/>
              </w:rPr>
              <w:t>214</w:t>
            </w:r>
            <w:r>
              <w:rPr>
                <w:rFonts w:eastAsia="Arial Unicode MS" w:cs="Arial"/>
                <w:b/>
                <w:bCs/>
                <w:sz w:val="17"/>
                <w:szCs w:val="17"/>
              </w:rPr>
              <w:t>,</w:t>
            </w:r>
            <w:r w:rsidRPr="00F609DC">
              <w:rPr>
                <w:rFonts w:eastAsia="Arial Unicode MS" w:cs="Arial"/>
                <w:b/>
                <w:bCs/>
                <w:sz w:val="17"/>
                <w:szCs w:val="17"/>
              </w:rPr>
              <w:t>919</w:t>
            </w:r>
          </w:p>
        </w:tc>
        <w:tc>
          <w:tcPr>
            <w:tcW w:w="678" w:type="pct"/>
            <w:tcBorders>
              <w:top w:val="single" w:sz="12" w:space="0" w:color="auto"/>
              <w:left w:val="nil"/>
              <w:bottom w:val="single" w:sz="12" w:space="0" w:color="auto"/>
              <w:right w:val="nil"/>
            </w:tcBorders>
            <w:shd w:val="clear" w:color="auto" w:fill="auto"/>
          </w:tcPr>
          <w:p w14:paraId="4D601A4F" w14:textId="477EB58F" w:rsidR="002438C2" w:rsidRPr="005444AA" w:rsidRDefault="002438C2" w:rsidP="002438C2">
            <w:pPr>
              <w:spacing w:after="0" w:line="240" w:lineRule="exact"/>
              <w:jc w:val="right"/>
              <w:rPr>
                <w:rFonts w:asciiTheme="minorHAnsi" w:eastAsia="Arial Unicode MS" w:hAnsiTheme="minorHAnsi" w:cs="Arial"/>
                <w:b/>
                <w:sz w:val="18"/>
                <w:szCs w:val="18"/>
                <w:lang w:val="pl-PL"/>
              </w:rPr>
            </w:pPr>
            <w:r w:rsidRPr="00F609DC">
              <w:rPr>
                <w:rFonts w:eastAsia="Arial Unicode MS" w:cs="Arial"/>
                <w:b/>
                <w:bCs/>
                <w:sz w:val="17"/>
                <w:szCs w:val="17"/>
              </w:rPr>
              <w:t>11</w:t>
            </w:r>
            <w:r>
              <w:rPr>
                <w:rFonts w:eastAsia="Arial Unicode MS" w:cs="Arial"/>
                <w:b/>
                <w:bCs/>
                <w:sz w:val="17"/>
                <w:szCs w:val="17"/>
              </w:rPr>
              <w:t>,</w:t>
            </w:r>
            <w:r w:rsidRPr="00F609DC">
              <w:rPr>
                <w:rFonts w:eastAsia="Arial Unicode MS" w:cs="Arial"/>
                <w:b/>
                <w:bCs/>
                <w:sz w:val="17"/>
                <w:szCs w:val="17"/>
              </w:rPr>
              <w:t>066</w:t>
            </w:r>
            <w:r>
              <w:rPr>
                <w:rFonts w:eastAsia="Arial Unicode MS" w:cs="Arial"/>
                <w:b/>
                <w:bCs/>
                <w:sz w:val="17"/>
                <w:szCs w:val="17"/>
              </w:rPr>
              <w:t>,</w:t>
            </w:r>
            <w:r w:rsidRPr="00F609DC">
              <w:rPr>
                <w:rFonts w:eastAsia="Arial Unicode MS" w:cs="Arial"/>
                <w:b/>
                <w:bCs/>
                <w:sz w:val="17"/>
                <w:szCs w:val="17"/>
              </w:rPr>
              <w:t>676</w:t>
            </w:r>
          </w:p>
        </w:tc>
        <w:tc>
          <w:tcPr>
            <w:tcW w:w="633" w:type="pct"/>
            <w:tcBorders>
              <w:top w:val="single" w:sz="12" w:space="0" w:color="auto"/>
              <w:left w:val="nil"/>
              <w:bottom w:val="single" w:sz="12" w:space="0" w:color="auto"/>
            </w:tcBorders>
            <w:shd w:val="clear" w:color="auto" w:fill="auto"/>
          </w:tcPr>
          <w:p w14:paraId="7ADE290E" w14:textId="6307F8D4" w:rsidR="002438C2" w:rsidRPr="005444AA" w:rsidRDefault="002438C2" w:rsidP="002438C2">
            <w:pPr>
              <w:spacing w:after="0" w:line="240" w:lineRule="exact"/>
              <w:jc w:val="right"/>
              <w:rPr>
                <w:rFonts w:asciiTheme="minorHAnsi" w:eastAsia="Arial Unicode MS" w:hAnsiTheme="minorHAnsi" w:cs="Arial"/>
                <w:b/>
                <w:sz w:val="18"/>
                <w:szCs w:val="18"/>
                <w:lang w:val="pl-PL"/>
              </w:rPr>
            </w:pPr>
            <w:r w:rsidRPr="00F609DC">
              <w:rPr>
                <w:rFonts w:eastAsia="Arial Unicode MS" w:cs="Arial"/>
                <w:b/>
                <w:bCs/>
                <w:sz w:val="17"/>
                <w:szCs w:val="17"/>
              </w:rPr>
              <w:t>28</w:t>
            </w:r>
            <w:r>
              <w:rPr>
                <w:rFonts w:eastAsia="Arial Unicode MS" w:cs="Arial"/>
                <w:b/>
                <w:bCs/>
                <w:sz w:val="17"/>
                <w:szCs w:val="17"/>
              </w:rPr>
              <w:t>,</w:t>
            </w:r>
            <w:r w:rsidRPr="00F609DC">
              <w:rPr>
                <w:rFonts w:eastAsia="Arial Unicode MS" w:cs="Arial"/>
                <w:b/>
                <w:bCs/>
                <w:sz w:val="17"/>
                <w:szCs w:val="17"/>
              </w:rPr>
              <w:t>281</w:t>
            </w:r>
            <w:r>
              <w:rPr>
                <w:rFonts w:eastAsia="Arial Unicode MS" w:cs="Arial"/>
                <w:b/>
                <w:bCs/>
                <w:sz w:val="17"/>
                <w:szCs w:val="17"/>
              </w:rPr>
              <w:t>,</w:t>
            </w:r>
            <w:r w:rsidRPr="00F609DC">
              <w:rPr>
                <w:rFonts w:eastAsia="Arial Unicode MS" w:cs="Arial"/>
                <w:b/>
                <w:bCs/>
                <w:sz w:val="17"/>
                <w:szCs w:val="17"/>
              </w:rPr>
              <w:t>595</w:t>
            </w:r>
          </w:p>
        </w:tc>
      </w:tr>
      <w:tr w:rsidR="002438C2" w:rsidRPr="00321238" w14:paraId="29474C58" w14:textId="77777777" w:rsidTr="002438C2">
        <w:trPr>
          <w:trHeight w:val="202"/>
        </w:trPr>
        <w:tc>
          <w:tcPr>
            <w:tcW w:w="1456" w:type="pct"/>
            <w:vAlign w:val="bottom"/>
          </w:tcPr>
          <w:p w14:paraId="3EA189CA" w14:textId="77777777" w:rsidR="002438C2" w:rsidRPr="00166751" w:rsidRDefault="002438C2" w:rsidP="002438C2">
            <w:pPr>
              <w:spacing w:after="0" w:line="240" w:lineRule="exact"/>
              <w:rPr>
                <w:rFonts w:cs="Arial"/>
                <w:b/>
                <w:bCs/>
                <w:spacing w:val="-2"/>
                <w:sz w:val="18"/>
                <w:szCs w:val="18"/>
              </w:rPr>
            </w:pPr>
            <w:r w:rsidRPr="00166751">
              <w:rPr>
                <w:rFonts w:cs="Arial"/>
                <w:b/>
                <w:bCs/>
                <w:spacing w:val="-2"/>
                <w:sz w:val="18"/>
                <w:szCs w:val="18"/>
              </w:rPr>
              <w:t>Net assets/liabilities  (1) – (2)</w:t>
            </w:r>
          </w:p>
        </w:tc>
        <w:tc>
          <w:tcPr>
            <w:tcW w:w="434" w:type="pct"/>
            <w:tcBorders>
              <w:top w:val="single" w:sz="12" w:space="0" w:color="auto"/>
              <w:left w:val="nil"/>
              <w:bottom w:val="nil"/>
              <w:right w:val="nil"/>
            </w:tcBorders>
            <w:shd w:val="clear" w:color="auto" w:fill="auto"/>
            <w:vAlign w:val="bottom"/>
          </w:tcPr>
          <w:p w14:paraId="562FD9CE" w14:textId="43E1BA9A" w:rsidR="002438C2" w:rsidRPr="005444AA" w:rsidRDefault="002438C2" w:rsidP="002438C2">
            <w:pPr>
              <w:spacing w:after="0" w:line="240" w:lineRule="exact"/>
              <w:jc w:val="right"/>
              <w:rPr>
                <w:rFonts w:asciiTheme="minorHAnsi" w:eastAsia="Arial Unicode MS" w:hAnsiTheme="minorHAnsi" w:cs="Arial"/>
                <w:b/>
                <w:sz w:val="18"/>
                <w:szCs w:val="18"/>
                <w:lang w:val="pl-PL"/>
              </w:rPr>
            </w:pPr>
            <w:r w:rsidRPr="00F609DC">
              <w:rPr>
                <w:rFonts w:eastAsia="Arial Unicode MS" w:cs="Arial"/>
                <w:b/>
                <w:bCs/>
                <w:sz w:val="17"/>
                <w:szCs w:val="17"/>
              </w:rPr>
              <w:t>24</w:t>
            </w:r>
            <w:r>
              <w:rPr>
                <w:rFonts w:eastAsia="Arial Unicode MS" w:cs="Arial"/>
                <w:b/>
                <w:bCs/>
                <w:sz w:val="17"/>
                <w:szCs w:val="17"/>
              </w:rPr>
              <w:t>,</w:t>
            </w:r>
            <w:r w:rsidRPr="00F609DC">
              <w:rPr>
                <w:rFonts w:eastAsia="Arial Unicode MS" w:cs="Arial"/>
                <w:b/>
                <w:bCs/>
                <w:sz w:val="17"/>
                <w:szCs w:val="17"/>
              </w:rPr>
              <w:t>80</w:t>
            </w:r>
            <w:r>
              <w:rPr>
                <w:rFonts w:eastAsia="Arial Unicode MS" w:cs="Arial"/>
                <w:b/>
                <w:bCs/>
                <w:sz w:val="17"/>
                <w:szCs w:val="17"/>
              </w:rPr>
              <w:t>2</w:t>
            </w:r>
          </w:p>
        </w:tc>
        <w:tc>
          <w:tcPr>
            <w:tcW w:w="568" w:type="pct"/>
            <w:tcBorders>
              <w:top w:val="single" w:sz="12" w:space="0" w:color="auto"/>
              <w:left w:val="nil"/>
              <w:bottom w:val="nil"/>
              <w:right w:val="nil"/>
            </w:tcBorders>
            <w:shd w:val="clear" w:color="auto" w:fill="auto"/>
            <w:vAlign w:val="bottom"/>
          </w:tcPr>
          <w:p w14:paraId="04C3A25C" w14:textId="45C07AC4" w:rsidR="002438C2" w:rsidRPr="005444AA" w:rsidRDefault="002438C2" w:rsidP="002438C2">
            <w:pPr>
              <w:spacing w:after="0" w:line="240" w:lineRule="exact"/>
              <w:jc w:val="right"/>
              <w:rPr>
                <w:rFonts w:asciiTheme="minorHAnsi" w:eastAsia="Arial Unicode MS" w:hAnsiTheme="minorHAnsi" w:cs="Arial"/>
                <w:b/>
                <w:sz w:val="18"/>
                <w:szCs w:val="18"/>
                <w:lang w:val="pl-PL"/>
              </w:rPr>
            </w:pPr>
            <w:r w:rsidRPr="00F609DC">
              <w:rPr>
                <w:rFonts w:eastAsia="Arial Unicode MS" w:cs="Arial"/>
                <w:b/>
                <w:bCs/>
                <w:sz w:val="17"/>
                <w:szCs w:val="17"/>
              </w:rPr>
              <w:t>(</w:t>
            </w:r>
            <w:r>
              <w:rPr>
                <w:rFonts w:eastAsia="Arial Unicode MS" w:cs="Arial"/>
                <w:b/>
                <w:bCs/>
                <w:sz w:val="17"/>
                <w:szCs w:val="17"/>
              </w:rPr>
              <w:t>575,982</w:t>
            </w:r>
            <w:r w:rsidRPr="00F609DC">
              <w:rPr>
                <w:rFonts w:eastAsia="Arial Unicode MS" w:cs="Arial"/>
                <w:b/>
                <w:bCs/>
                <w:sz w:val="17"/>
                <w:szCs w:val="17"/>
              </w:rPr>
              <w:t>)</w:t>
            </w:r>
          </w:p>
        </w:tc>
        <w:tc>
          <w:tcPr>
            <w:tcW w:w="616" w:type="pct"/>
            <w:tcBorders>
              <w:top w:val="single" w:sz="12" w:space="0" w:color="auto"/>
              <w:left w:val="nil"/>
              <w:bottom w:val="nil"/>
              <w:right w:val="nil"/>
            </w:tcBorders>
            <w:shd w:val="clear" w:color="auto" w:fill="auto"/>
            <w:vAlign w:val="bottom"/>
          </w:tcPr>
          <w:p w14:paraId="603853D3" w14:textId="1FD99005" w:rsidR="002438C2" w:rsidRPr="005444AA" w:rsidRDefault="002438C2" w:rsidP="002438C2">
            <w:pPr>
              <w:spacing w:after="0" w:line="240" w:lineRule="exact"/>
              <w:jc w:val="right"/>
              <w:rPr>
                <w:rFonts w:asciiTheme="minorHAnsi" w:eastAsia="Arial Unicode MS" w:hAnsiTheme="minorHAnsi" w:cs="Arial"/>
                <w:b/>
                <w:sz w:val="18"/>
                <w:szCs w:val="18"/>
                <w:lang w:val="pl-PL"/>
              </w:rPr>
            </w:pPr>
            <w:r w:rsidRPr="00F609DC">
              <w:rPr>
                <w:rFonts w:eastAsia="Arial Unicode MS" w:cs="Arial"/>
                <w:b/>
                <w:bCs/>
                <w:sz w:val="17"/>
                <w:szCs w:val="17"/>
              </w:rPr>
              <w:t>(</w:t>
            </w:r>
            <w:r>
              <w:rPr>
                <w:rFonts w:eastAsia="Arial Unicode MS" w:cs="Arial"/>
                <w:b/>
                <w:bCs/>
                <w:sz w:val="17"/>
                <w:szCs w:val="17"/>
              </w:rPr>
              <w:t>1,345</w:t>
            </w:r>
            <w:r w:rsidRPr="00F609DC">
              <w:rPr>
                <w:rFonts w:eastAsia="Arial Unicode MS" w:cs="Arial"/>
                <w:b/>
                <w:bCs/>
                <w:sz w:val="17"/>
                <w:szCs w:val="17"/>
              </w:rPr>
              <w:t>)</w:t>
            </w:r>
            <w:r>
              <w:rPr>
                <w:rFonts w:eastAsia="Arial Unicode MS" w:cs="Arial"/>
                <w:b/>
                <w:bCs/>
                <w:sz w:val="17"/>
                <w:szCs w:val="17"/>
              </w:rPr>
              <w:t>**</w:t>
            </w:r>
          </w:p>
        </w:tc>
        <w:tc>
          <w:tcPr>
            <w:tcW w:w="615" w:type="pct"/>
            <w:tcBorders>
              <w:top w:val="single" w:sz="12" w:space="0" w:color="auto"/>
              <w:left w:val="nil"/>
              <w:bottom w:val="nil"/>
              <w:right w:val="nil"/>
            </w:tcBorders>
            <w:shd w:val="clear" w:color="auto" w:fill="auto"/>
            <w:vAlign w:val="bottom"/>
          </w:tcPr>
          <w:p w14:paraId="6BF4AC87" w14:textId="7876C4F0" w:rsidR="002438C2" w:rsidRPr="005444AA" w:rsidRDefault="002438C2" w:rsidP="002438C2">
            <w:pPr>
              <w:spacing w:after="0" w:line="240" w:lineRule="exact"/>
              <w:jc w:val="right"/>
              <w:rPr>
                <w:rFonts w:asciiTheme="minorHAnsi" w:eastAsia="Arial Unicode MS" w:hAnsiTheme="minorHAnsi" w:cs="Arial"/>
                <w:b/>
                <w:sz w:val="18"/>
                <w:szCs w:val="18"/>
                <w:lang w:val="pl-PL"/>
              </w:rPr>
            </w:pPr>
            <w:r w:rsidRPr="00F609DC">
              <w:rPr>
                <w:rFonts w:eastAsia="Arial Unicode MS" w:cs="Arial"/>
                <w:b/>
                <w:bCs/>
                <w:sz w:val="17"/>
                <w:szCs w:val="17"/>
              </w:rPr>
              <w:t>(552</w:t>
            </w:r>
            <w:r>
              <w:rPr>
                <w:rFonts w:eastAsia="Arial Unicode MS" w:cs="Arial"/>
                <w:b/>
                <w:bCs/>
                <w:sz w:val="17"/>
                <w:szCs w:val="17"/>
              </w:rPr>
              <w:t>,</w:t>
            </w:r>
            <w:r w:rsidRPr="00F609DC">
              <w:rPr>
                <w:rFonts w:eastAsia="Arial Unicode MS" w:cs="Arial"/>
                <w:b/>
                <w:bCs/>
                <w:sz w:val="17"/>
                <w:szCs w:val="17"/>
              </w:rPr>
              <w:t>525)</w:t>
            </w:r>
          </w:p>
        </w:tc>
        <w:tc>
          <w:tcPr>
            <w:tcW w:w="678" w:type="pct"/>
            <w:tcBorders>
              <w:top w:val="single" w:sz="12" w:space="0" w:color="auto"/>
              <w:left w:val="nil"/>
              <w:bottom w:val="nil"/>
              <w:right w:val="nil"/>
            </w:tcBorders>
            <w:shd w:val="clear" w:color="auto" w:fill="auto"/>
            <w:vAlign w:val="bottom"/>
          </w:tcPr>
          <w:p w14:paraId="248B9FF2" w14:textId="7F6E2312" w:rsidR="002438C2" w:rsidRPr="005444AA" w:rsidRDefault="002438C2" w:rsidP="002438C2">
            <w:pPr>
              <w:spacing w:after="0" w:line="240" w:lineRule="exact"/>
              <w:jc w:val="right"/>
              <w:rPr>
                <w:rFonts w:asciiTheme="minorHAnsi" w:eastAsia="Arial Unicode MS" w:hAnsiTheme="minorHAnsi" w:cs="Arial"/>
                <w:b/>
                <w:sz w:val="18"/>
                <w:szCs w:val="18"/>
                <w:lang w:val="pl-PL"/>
              </w:rPr>
            </w:pPr>
            <w:r w:rsidRPr="00F609DC">
              <w:rPr>
                <w:rFonts w:eastAsia="Arial Unicode MS" w:cs="Arial"/>
                <w:b/>
                <w:bCs/>
                <w:sz w:val="17"/>
                <w:szCs w:val="17"/>
              </w:rPr>
              <w:t>552</w:t>
            </w:r>
            <w:r>
              <w:rPr>
                <w:rFonts w:eastAsia="Arial Unicode MS" w:cs="Arial"/>
                <w:b/>
                <w:bCs/>
                <w:sz w:val="17"/>
                <w:szCs w:val="17"/>
              </w:rPr>
              <w:t>,</w:t>
            </w:r>
            <w:r w:rsidRPr="00F609DC">
              <w:rPr>
                <w:rFonts w:eastAsia="Arial Unicode MS" w:cs="Arial"/>
                <w:b/>
                <w:bCs/>
                <w:sz w:val="17"/>
                <w:szCs w:val="17"/>
              </w:rPr>
              <w:t>525</w:t>
            </w:r>
          </w:p>
        </w:tc>
        <w:tc>
          <w:tcPr>
            <w:tcW w:w="633" w:type="pct"/>
            <w:tcBorders>
              <w:top w:val="single" w:sz="12" w:space="0" w:color="auto"/>
              <w:left w:val="nil"/>
              <w:bottom w:val="nil"/>
              <w:right w:val="nil"/>
            </w:tcBorders>
            <w:shd w:val="clear" w:color="auto" w:fill="auto"/>
            <w:vAlign w:val="bottom"/>
          </w:tcPr>
          <w:p w14:paraId="1B83C5C8" w14:textId="3F445B5B" w:rsidR="002438C2" w:rsidRPr="005444AA" w:rsidRDefault="002438C2" w:rsidP="002438C2">
            <w:pPr>
              <w:spacing w:after="0" w:line="240" w:lineRule="exact"/>
              <w:jc w:val="right"/>
              <w:rPr>
                <w:rFonts w:asciiTheme="minorHAnsi" w:eastAsia="Arial Unicode MS" w:hAnsiTheme="minorHAnsi" w:cs="Arial"/>
                <w:b/>
                <w:sz w:val="18"/>
                <w:szCs w:val="18"/>
                <w:lang w:val="pl-PL"/>
              </w:rPr>
            </w:pPr>
            <w:r>
              <w:rPr>
                <w:rFonts w:eastAsia="Arial Unicode MS" w:cs="Arial"/>
                <w:b/>
                <w:bCs/>
                <w:sz w:val="17"/>
                <w:szCs w:val="17"/>
              </w:rPr>
              <w:t>-</w:t>
            </w:r>
          </w:p>
        </w:tc>
      </w:tr>
      <w:tr w:rsidR="00CE4410" w:rsidRPr="00321238" w14:paraId="2FE91FC5" w14:textId="77777777" w:rsidTr="002438C2">
        <w:trPr>
          <w:trHeight w:val="193"/>
        </w:trPr>
        <w:tc>
          <w:tcPr>
            <w:tcW w:w="1456" w:type="pct"/>
            <w:vAlign w:val="bottom"/>
          </w:tcPr>
          <w:p w14:paraId="2F4898C6" w14:textId="77777777" w:rsidR="00CE4410" w:rsidRPr="00166751" w:rsidRDefault="00CE4410" w:rsidP="00CE4410">
            <w:pPr>
              <w:tabs>
                <w:tab w:val="right" w:pos="1202"/>
              </w:tabs>
              <w:spacing w:after="0" w:line="240" w:lineRule="exact"/>
              <w:outlineLvl w:val="0"/>
              <w:rPr>
                <w:rFonts w:eastAsia="Times New Roman" w:cs="Arial"/>
                <w:b/>
                <w:sz w:val="18"/>
                <w:szCs w:val="18"/>
              </w:rPr>
            </w:pPr>
          </w:p>
        </w:tc>
        <w:tc>
          <w:tcPr>
            <w:tcW w:w="434" w:type="pct"/>
            <w:tcBorders>
              <w:top w:val="single" w:sz="12" w:space="0" w:color="auto"/>
            </w:tcBorders>
          </w:tcPr>
          <w:p w14:paraId="0F199E61" w14:textId="77777777" w:rsidR="00CE4410" w:rsidRPr="00166751" w:rsidRDefault="00CE4410" w:rsidP="00CE4410">
            <w:pPr>
              <w:tabs>
                <w:tab w:val="right" w:pos="1202"/>
              </w:tabs>
              <w:spacing w:after="0" w:line="240" w:lineRule="exact"/>
              <w:jc w:val="right"/>
              <w:outlineLvl w:val="0"/>
              <w:rPr>
                <w:rFonts w:eastAsia="Times New Roman" w:cs="Arial"/>
                <w:b/>
                <w:sz w:val="18"/>
                <w:szCs w:val="18"/>
              </w:rPr>
            </w:pPr>
          </w:p>
        </w:tc>
        <w:tc>
          <w:tcPr>
            <w:tcW w:w="568" w:type="pct"/>
            <w:tcBorders>
              <w:top w:val="single" w:sz="12" w:space="0" w:color="auto"/>
            </w:tcBorders>
          </w:tcPr>
          <w:p w14:paraId="64DD966D" w14:textId="77777777" w:rsidR="00CE4410" w:rsidRPr="00166751" w:rsidRDefault="00CE4410" w:rsidP="00CE4410">
            <w:pPr>
              <w:tabs>
                <w:tab w:val="right" w:pos="1202"/>
              </w:tabs>
              <w:spacing w:after="0" w:line="240" w:lineRule="exact"/>
              <w:jc w:val="right"/>
              <w:outlineLvl w:val="0"/>
              <w:rPr>
                <w:rFonts w:eastAsia="Times New Roman" w:cs="Arial"/>
                <w:b/>
                <w:sz w:val="18"/>
                <w:szCs w:val="18"/>
              </w:rPr>
            </w:pPr>
          </w:p>
        </w:tc>
        <w:tc>
          <w:tcPr>
            <w:tcW w:w="616" w:type="pct"/>
            <w:tcBorders>
              <w:top w:val="single" w:sz="12" w:space="0" w:color="auto"/>
            </w:tcBorders>
          </w:tcPr>
          <w:p w14:paraId="23E0AD5D" w14:textId="77777777" w:rsidR="00CE4410" w:rsidRPr="00166751" w:rsidRDefault="00CE4410" w:rsidP="00CE4410">
            <w:pPr>
              <w:tabs>
                <w:tab w:val="right" w:pos="1202"/>
              </w:tabs>
              <w:spacing w:after="0" w:line="240" w:lineRule="exact"/>
              <w:jc w:val="right"/>
              <w:outlineLvl w:val="0"/>
              <w:rPr>
                <w:rFonts w:eastAsia="Times New Roman" w:cs="Arial"/>
                <w:b/>
                <w:sz w:val="18"/>
                <w:szCs w:val="18"/>
              </w:rPr>
            </w:pPr>
          </w:p>
        </w:tc>
        <w:tc>
          <w:tcPr>
            <w:tcW w:w="615" w:type="pct"/>
            <w:tcBorders>
              <w:top w:val="single" w:sz="12" w:space="0" w:color="auto"/>
            </w:tcBorders>
          </w:tcPr>
          <w:p w14:paraId="7D67937C" w14:textId="77777777" w:rsidR="00CE4410" w:rsidRPr="00166751" w:rsidRDefault="00CE4410" w:rsidP="00CE4410">
            <w:pPr>
              <w:tabs>
                <w:tab w:val="right" w:pos="1202"/>
              </w:tabs>
              <w:spacing w:after="0" w:line="240" w:lineRule="exact"/>
              <w:jc w:val="right"/>
              <w:outlineLvl w:val="0"/>
              <w:rPr>
                <w:rFonts w:eastAsia="Times New Roman" w:cs="Arial"/>
                <w:b/>
                <w:sz w:val="18"/>
                <w:szCs w:val="18"/>
              </w:rPr>
            </w:pPr>
          </w:p>
        </w:tc>
        <w:tc>
          <w:tcPr>
            <w:tcW w:w="678" w:type="pct"/>
            <w:tcBorders>
              <w:top w:val="single" w:sz="12" w:space="0" w:color="auto"/>
            </w:tcBorders>
          </w:tcPr>
          <w:p w14:paraId="0991FFED" w14:textId="77777777" w:rsidR="00CE4410" w:rsidRPr="00166751" w:rsidRDefault="00CE4410" w:rsidP="00CE4410">
            <w:pPr>
              <w:tabs>
                <w:tab w:val="right" w:pos="1202"/>
              </w:tabs>
              <w:spacing w:after="0" w:line="240" w:lineRule="exact"/>
              <w:jc w:val="right"/>
              <w:outlineLvl w:val="0"/>
              <w:rPr>
                <w:rFonts w:eastAsia="Times New Roman" w:cs="Arial"/>
                <w:b/>
                <w:sz w:val="18"/>
                <w:szCs w:val="18"/>
              </w:rPr>
            </w:pPr>
          </w:p>
        </w:tc>
        <w:tc>
          <w:tcPr>
            <w:tcW w:w="633" w:type="pct"/>
            <w:tcBorders>
              <w:top w:val="single" w:sz="12" w:space="0" w:color="auto"/>
            </w:tcBorders>
          </w:tcPr>
          <w:p w14:paraId="4113CE96" w14:textId="77777777" w:rsidR="00CE4410" w:rsidRPr="00166751" w:rsidRDefault="00CE4410" w:rsidP="00CE4410">
            <w:pPr>
              <w:tabs>
                <w:tab w:val="right" w:pos="1202"/>
              </w:tabs>
              <w:spacing w:after="0" w:line="240" w:lineRule="exact"/>
              <w:outlineLvl w:val="0"/>
              <w:rPr>
                <w:rFonts w:eastAsia="Times New Roman" w:cs="Arial"/>
                <w:i/>
                <w:sz w:val="18"/>
                <w:szCs w:val="18"/>
              </w:rPr>
            </w:pPr>
          </w:p>
        </w:tc>
      </w:tr>
    </w:tbl>
    <w:p w14:paraId="1D7482CA" w14:textId="77777777" w:rsidR="009702B0" w:rsidRPr="009702B0" w:rsidRDefault="009702B0" w:rsidP="009702B0">
      <w:pPr>
        <w:tabs>
          <w:tab w:val="right" w:pos="1202"/>
        </w:tabs>
        <w:spacing w:after="0" w:line="240" w:lineRule="auto"/>
        <w:outlineLvl w:val="0"/>
        <w:rPr>
          <w:rFonts w:eastAsia="Times New Roman"/>
          <w:i/>
          <w:sz w:val="18"/>
          <w:szCs w:val="18"/>
        </w:rPr>
      </w:pPr>
    </w:p>
    <w:p w14:paraId="7DD44AAB" w14:textId="09C3FF46" w:rsidR="009702B0" w:rsidRPr="009702B0" w:rsidRDefault="009702B0" w:rsidP="009702B0">
      <w:pPr>
        <w:tabs>
          <w:tab w:val="right" w:pos="1202"/>
        </w:tabs>
        <w:spacing w:after="0" w:line="240" w:lineRule="auto"/>
        <w:jc w:val="both"/>
        <w:outlineLvl w:val="0"/>
        <w:rPr>
          <w:rFonts w:eastAsia="Times New Roman"/>
          <w:i/>
          <w:sz w:val="18"/>
          <w:szCs w:val="18"/>
        </w:rPr>
      </w:pPr>
      <w:r w:rsidRPr="009702B0">
        <w:rPr>
          <w:rFonts w:eastAsia="Times New Roman"/>
          <w:i/>
          <w:sz w:val="18"/>
          <w:szCs w:val="18"/>
        </w:rPr>
        <w:t xml:space="preserve">* Amounts linked to </w:t>
      </w:r>
      <w:proofErr w:type="gramStart"/>
      <w:r w:rsidRPr="009702B0">
        <w:rPr>
          <w:rFonts w:eastAsia="Times New Roman"/>
          <w:i/>
          <w:sz w:val="18"/>
          <w:szCs w:val="18"/>
        </w:rPr>
        <w:t>a  one</w:t>
      </w:r>
      <w:proofErr w:type="gramEnd"/>
      <w:r w:rsidRPr="009702B0">
        <w:rPr>
          <w:rFonts w:eastAsia="Times New Roman"/>
          <w:i/>
          <w:sz w:val="18"/>
          <w:szCs w:val="18"/>
        </w:rPr>
        <w:t xml:space="preserve">-way currency clause represent HRK </w:t>
      </w:r>
      <w:r w:rsidR="004E193B" w:rsidRPr="004E193B">
        <w:rPr>
          <w:rFonts w:eastAsia="Times New Roman"/>
          <w:i/>
          <w:sz w:val="18"/>
          <w:szCs w:val="18"/>
        </w:rPr>
        <w:t xml:space="preserve">176,945 </w:t>
      </w:r>
      <w:r w:rsidRPr="009702B0">
        <w:rPr>
          <w:rFonts w:eastAsia="Times New Roman"/>
          <w:i/>
          <w:sz w:val="18"/>
          <w:szCs w:val="18"/>
        </w:rPr>
        <w:t>thousand.</w:t>
      </w:r>
    </w:p>
    <w:p w14:paraId="54417210" w14:textId="77777777" w:rsidR="009702B0" w:rsidRPr="009702B0" w:rsidRDefault="009702B0" w:rsidP="009702B0">
      <w:pPr>
        <w:tabs>
          <w:tab w:val="right" w:pos="1202"/>
        </w:tabs>
        <w:spacing w:after="0" w:line="240" w:lineRule="auto"/>
        <w:outlineLvl w:val="0"/>
        <w:rPr>
          <w:rFonts w:eastAsia="Times New Roman"/>
          <w:i/>
          <w:sz w:val="18"/>
          <w:szCs w:val="18"/>
        </w:rPr>
        <w:sectPr w:rsidR="009702B0" w:rsidRPr="009702B0" w:rsidSect="00947CB7">
          <w:footerReference w:type="default" r:id="rId117"/>
          <w:pgSz w:w="11906" w:h="16838" w:code="9"/>
          <w:pgMar w:top="1418" w:right="1418" w:bottom="595" w:left="1134" w:header="851" w:footer="851" w:gutter="0"/>
          <w:cols w:space="720"/>
          <w:noEndnote/>
        </w:sectPr>
      </w:pPr>
      <w:r w:rsidRPr="009702B0">
        <w:rPr>
          <w:rFonts w:eastAsia="Times New Roman"/>
          <w:i/>
          <w:sz w:val="18"/>
          <w:szCs w:val="18"/>
        </w:rPr>
        <w:t>**Reported gap is a result of provisions made for issued foreign currency guarantees in other foreign currencies stated under “Other liabilities”.</w:t>
      </w:r>
    </w:p>
    <w:p w14:paraId="6DC1B809" w14:textId="77777777" w:rsidR="009702B0" w:rsidRPr="009702B0" w:rsidRDefault="009702B0" w:rsidP="009702B0">
      <w:pPr>
        <w:keepNext/>
        <w:spacing w:after="0" w:line="240" w:lineRule="auto"/>
        <w:ind w:left="709" w:hanging="709"/>
        <w:jc w:val="both"/>
        <w:rPr>
          <w:rFonts w:eastAsia="Times New Roman" w:cs="Arial"/>
          <w:b/>
          <w:bCs/>
        </w:rPr>
      </w:pPr>
    </w:p>
    <w:p w14:paraId="3BBE2483"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        Risk management (continued)</w:t>
      </w:r>
    </w:p>
    <w:p w14:paraId="088B7728" w14:textId="77777777" w:rsidR="009702B0" w:rsidRPr="009702B0" w:rsidRDefault="009702B0" w:rsidP="009702B0">
      <w:pPr>
        <w:keepNext/>
        <w:spacing w:after="0" w:line="240" w:lineRule="auto"/>
        <w:ind w:left="709" w:hanging="709"/>
        <w:jc w:val="both"/>
        <w:rPr>
          <w:rFonts w:eastAsia="Times New Roman" w:cs="Arial"/>
          <w:b/>
          <w:bCs/>
        </w:rPr>
      </w:pPr>
    </w:p>
    <w:p w14:paraId="6966EA88"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     Market risk (continued)</w:t>
      </w:r>
    </w:p>
    <w:p w14:paraId="2C405BAB" w14:textId="77777777" w:rsidR="009702B0" w:rsidRPr="009702B0" w:rsidRDefault="009702B0" w:rsidP="009702B0">
      <w:pPr>
        <w:keepNext/>
        <w:spacing w:after="0" w:line="240" w:lineRule="auto"/>
        <w:ind w:left="709" w:hanging="709"/>
        <w:jc w:val="both"/>
        <w:rPr>
          <w:rFonts w:eastAsia="Times New Roman" w:cs="Arial"/>
          <w:b/>
          <w:bCs/>
        </w:rPr>
      </w:pPr>
    </w:p>
    <w:p w14:paraId="3C09770E" w14:textId="77777777"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16.4.2</w:t>
      </w:r>
      <w:proofErr w:type="gramStart"/>
      <w:r w:rsidRPr="009702B0">
        <w:rPr>
          <w:rFonts w:eastAsia="Times New Roman" w:cs="Arial"/>
          <w:b/>
          <w:bCs/>
        </w:rPr>
        <w:t>.  Currency</w:t>
      </w:r>
      <w:proofErr w:type="gramEnd"/>
      <w:r w:rsidRPr="009702B0">
        <w:rPr>
          <w:rFonts w:eastAsia="Times New Roman" w:cs="Arial"/>
          <w:b/>
          <w:bCs/>
        </w:rPr>
        <w:t xml:space="preserve"> risk (continued)</w:t>
      </w:r>
    </w:p>
    <w:p w14:paraId="522915F2" w14:textId="77777777" w:rsidR="009702B0" w:rsidRPr="009702B0" w:rsidRDefault="009702B0" w:rsidP="009702B0">
      <w:pPr>
        <w:keepNext/>
        <w:spacing w:after="0" w:line="240" w:lineRule="auto"/>
        <w:ind w:left="709" w:hanging="709"/>
        <w:jc w:val="both"/>
        <w:rPr>
          <w:rFonts w:eastAsia="Times New Roman" w:cs="Arial"/>
          <w:b/>
          <w:bCs/>
        </w:rPr>
      </w:pPr>
    </w:p>
    <w:tbl>
      <w:tblPr>
        <w:tblW w:w="5228" w:type="pct"/>
        <w:tblInd w:w="-142" w:type="dxa"/>
        <w:tblLayout w:type="fixed"/>
        <w:tblCellMar>
          <w:left w:w="120" w:type="dxa"/>
          <w:right w:w="120" w:type="dxa"/>
        </w:tblCellMar>
        <w:tblLook w:val="0000" w:firstRow="0" w:lastRow="0" w:firstColumn="0" w:lastColumn="0" w:noHBand="0" w:noVBand="0"/>
      </w:tblPr>
      <w:tblGrid>
        <w:gridCol w:w="2834"/>
        <w:gridCol w:w="1132"/>
        <w:gridCol w:w="1135"/>
        <w:gridCol w:w="1135"/>
        <w:gridCol w:w="1135"/>
        <w:gridCol w:w="1275"/>
        <w:gridCol w:w="1135"/>
      </w:tblGrid>
      <w:tr w:rsidR="004F248E" w:rsidRPr="004F248E" w14:paraId="1E0E18FD" w14:textId="77777777" w:rsidTr="004F248E">
        <w:trPr>
          <w:trHeight w:val="800"/>
        </w:trPr>
        <w:tc>
          <w:tcPr>
            <w:tcW w:w="1449" w:type="pct"/>
            <w:vAlign w:val="bottom"/>
          </w:tcPr>
          <w:p w14:paraId="0D3BD828"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b/>
                <w:sz w:val="18"/>
                <w:szCs w:val="18"/>
              </w:rPr>
            </w:pPr>
            <w:r w:rsidRPr="004F248E">
              <w:rPr>
                <w:rFonts w:asciiTheme="minorHAnsi" w:eastAsia="Times New Roman" w:hAnsiTheme="minorHAnsi" w:cs="Arial"/>
                <w:b/>
                <w:sz w:val="18"/>
                <w:szCs w:val="18"/>
              </w:rPr>
              <w:t>Bank</w:t>
            </w:r>
          </w:p>
          <w:p w14:paraId="4BE037F1"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b/>
                <w:sz w:val="18"/>
                <w:szCs w:val="18"/>
              </w:rPr>
            </w:pPr>
          </w:p>
          <w:p w14:paraId="73CF0857" w14:textId="77777777" w:rsidR="004F248E" w:rsidRPr="004F248E" w:rsidRDefault="006B0E06" w:rsidP="004F248E">
            <w:pPr>
              <w:tabs>
                <w:tab w:val="right" w:pos="1202"/>
              </w:tabs>
              <w:spacing w:after="0" w:line="240" w:lineRule="exact"/>
              <w:outlineLvl w:val="0"/>
              <w:rPr>
                <w:rFonts w:asciiTheme="minorHAnsi" w:eastAsia="Times New Roman" w:hAnsiTheme="minorHAnsi" w:cs="Arial"/>
                <w:b/>
                <w:sz w:val="18"/>
                <w:szCs w:val="18"/>
              </w:rPr>
            </w:pPr>
            <w:r>
              <w:rPr>
                <w:rFonts w:asciiTheme="minorHAnsi" w:eastAsia="Times New Roman" w:hAnsiTheme="minorHAnsi" w:cs="Arial"/>
                <w:b/>
                <w:sz w:val="18"/>
                <w:szCs w:val="18"/>
              </w:rPr>
              <w:t xml:space="preserve">Dec 31, </w:t>
            </w:r>
            <w:r w:rsidR="004F248E" w:rsidRPr="004F248E">
              <w:rPr>
                <w:rFonts w:asciiTheme="minorHAnsi" w:eastAsia="Times New Roman" w:hAnsiTheme="minorHAnsi" w:cs="Arial"/>
                <w:b/>
                <w:sz w:val="18"/>
                <w:szCs w:val="18"/>
              </w:rPr>
              <w:t>2016</w:t>
            </w:r>
          </w:p>
        </w:tc>
        <w:tc>
          <w:tcPr>
            <w:tcW w:w="579" w:type="pct"/>
          </w:tcPr>
          <w:p w14:paraId="687FF21B" w14:textId="77777777" w:rsidR="004F248E" w:rsidRPr="004F248E"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r w:rsidRPr="004F248E">
              <w:rPr>
                <w:rFonts w:asciiTheme="minorHAnsi" w:eastAsia="Times New Roman" w:hAnsiTheme="minorHAnsi" w:cs="Arial"/>
                <w:b/>
                <w:sz w:val="18"/>
                <w:szCs w:val="18"/>
              </w:rPr>
              <w:t>USD</w:t>
            </w:r>
          </w:p>
        </w:tc>
        <w:tc>
          <w:tcPr>
            <w:tcW w:w="580" w:type="pct"/>
          </w:tcPr>
          <w:p w14:paraId="0F77E36F" w14:textId="77777777" w:rsidR="004F248E" w:rsidRPr="004F248E"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r w:rsidRPr="004F248E">
              <w:rPr>
                <w:rFonts w:asciiTheme="minorHAnsi" w:eastAsia="Times New Roman" w:hAnsiTheme="minorHAnsi" w:cs="Arial"/>
                <w:b/>
                <w:sz w:val="18"/>
                <w:szCs w:val="18"/>
              </w:rPr>
              <w:t xml:space="preserve">EUR </w:t>
            </w:r>
          </w:p>
        </w:tc>
        <w:tc>
          <w:tcPr>
            <w:tcW w:w="580" w:type="pct"/>
          </w:tcPr>
          <w:p w14:paraId="055CC2D7" w14:textId="77777777" w:rsidR="004F248E" w:rsidRPr="004F248E"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r w:rsidRPr="004F248E">
              <w:rPr>
                <w:rFonts w:asciiTheme="minorHAnsi" w:eastAsia="Times New Roman" w:hAnsiTheme="minorHAnsi" w:cs="Arial"/>
                <w:b/>
                <w:sz w:val="18"/>
                <w:szCs w:val="18"/>
              </w:rPr>
              <w:t>Other foreign currencies</w:t>
            </w:r>
          </w:p>
        </w:tc>
        <w:tc>
          <w:tcPr>
            <w:tcW w:w="580" w:type="pct"/>
          </w:tcPr>
          <w:p w14:paraId="52AB5758" w14:textId="77777777" w:rsidR="004F248E" w:rsidRPr="004F248E"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r w:rsidRPr="004F248E">
              <w:rPr>
                <w:rFonts w:asciiTheme="minorHAnsi" w:eastAsia="Times New Roman" w:hAnsiTheme="minorHAnsi" w:cs="Arial"/>
                <w:b/>
                <w:sz w:val="18"/>
                <w:szCs w:val="18"/>
              </w:rPr>
              <w:t xml:space="preserve">Total foreign currencies </w:t>
            </w:r>
          </w:p>
        </w:tc>
        <w:tc>
          <w:tcPr>
            <w:tcW w:w="652" w:type="pct"/>
          </w:tcPr>
          <w:p w14:paraId="1242AF60" w14:textId="77777777" w:rsidR="004F248E" w:rsidRPr="004F248E"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r w:rsidRPr="004F248E">
              <w:rPr>
                <w:rFonts w:asciiTheme="minorHAnsi" w:eastAsia="Times New Roman" w:hAnsiTheme="minorHAnsi" w:cs="Arial"/>
                <w:b/>
                <w:sz w:val="18"/>
                <w:szCs w:val="18"/>
              </w:rPr>
              <w:t>HRK</w:t>
            </w:r>
          </w:p>
        </w:tc>
        <w:tc>
          <w:tcPr>
            <w:tcW w:w="580" w:type="pct"/>
          </w:tcPr>
          <w:p w14:paraId="234EB8A3" w14:textId="77777777" w:rsidR="004F248E" w:rsidRPr="004F248E"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r w:rsidRPr="004F248E">
              <w:rPr>
                <w:rFonts w:asciiTheme="minorHAnsi" w:eastAsia="Times New Roman" w:hAnsiTheme="minorHAnsi" w:cs="Arial"/>
                <w:b/>
                <w:sz w:val="18"/>
                <w:szCs w:val="18"/>
              </w:rPr>
              <w:t>Total</w:t>
            </w:r>
          </w:p>
        </w:tc>
      </w:tr>
      <w:tr w:rsidR="004F248E" w:rsidRPr="004F248E" w14:paraId="75DFD07E" w14:textId="77777777" w:rsidTr="004F248E">
        <w:tc>
          <w:tcPr>
            <w:tcW w:w="1449" w:type="pct"/>
          </w:tcPr>
          <w:p w14:paraId="1DE1583C"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b/>
                <w:sz w:val="18"/>
                <w:szCs w:val="18"/>
              </w:rPr>
            </w:pPr>
            <w:r w:rsidRPr="004F248E">
              <w:rPr>
                <w:rFonts w:asciiTheme="minorHAnsi" w:eastAsia="Times New Roman" w:hAnsiTheme="minorHAnsi" w:cs="Arial"/>
                <w:b/>
                <w:sz w:val="18"/>
                <w:szCs w:val="18"/>
              </w:rPr>
              <w:t>Assets</w:t>
            </w:r>
          </w:p>
        </w:tc>
        <w:tc>
          <w:tcPr>
            <w:tcW w:w="579" w:type="pct"/>
            <w:vAlign w:val="bottom"/>
          </w:tcPr>
          <w:p w14:paraId="6902C3B8" w14:textId="77777777" w:rsidR="004F248E" w:rsidRPr="004F248E" w:rsidRDefault="004F248E" w:rsidP="004F248E">
            <w:pPr>
              <w:spacing w:after="0" w:line="240" w:lineRule="exact"/>
              <w:jc w:val="right"/>
              <w:rPr>
                <w:rFonts w:asciiTheme="minorHAnsi" w:eastAsia="Arial Unicode MS" w:hAnsiTheme="minorHAnsi" w:cs="Arial"/>
                <w:sz w:val="18"/>
                <w:szCs w:val="18"/>
              </w:rPr>
            </w:pPr>
          </w:p>
        </w:tc>
        <w:tc>
          <w:tcPr>
            <w:tcW w:w="580" w:type="pct"/>
            <w:vAlign w:val="bottom"/>
          </w:tcPr>
          <w:p w14:paraId="2A1B6673" w14:textId="77777777" w:rsidR="004F248E" w:rsidRPr="004F248E" w:rsidRDefault="004F248E" w:rsidP="004F248E">
            <w:pPr>
              <w:spacing w:after="0" w:line="240" w:lineRule="exact"/>
              <w:jc w:val="right"/>
              <w:rPr>
                <w:rFonts w:asciiTheme="minorHAnsi" w:eastAsia="Arial Unicode MS" w:hAnsiTheme="minorHAnsi" w:cs="Arial"/>
                <w:sz w:val="18"/>
                <w:szCs w:val="18"/>
              </w:rPr>
            </w:pPr>
          </w:p>
        </w:tc>
        <w:tc>
          <w:tcPr>
            <w:tcW w:w="580" w:type="pct"/>
            <w:vAlign w:val="bottom"/>
          </w:tcPr>
          <w:p w14:paraId="7836263C" w14:textId="77777777" w:rsidR="004F248E" w:rsidRPr="004F248E" w:rsidRDefault="004F248E" w:rsidP="004F248E">
            <w:pPr>
              <w:spacing w:after="0" w:line="240" w:lineRule="exact"/>
              <w:jc w:val="right"/>
              <w:rPr>
                <w:rFonts w:asciiTheme="minorHAnsi" w:eastAsia="Arial Unicode MS" w:hAnsiTheme="minorHAnsi" w:cs="Arial"/>
                <w:sz w:val="18"/>
                <w:szCs w:val="18"/>
              </w:rPr>
            </w:pPr>
          </w:p>
        </w:tc>
        <w:tc>
          <w:tcPr>
            <w:tcW w:w="580" w:type="pct"/>
            <w:vAlign w:val="bottom"/>
          </w:tcPr>
          <w:p w14:paraId="5065D18B" w14:textId="77777777" w:rsidR="004F248E" w:rsidRPr="004F248E" w:rsidRDefault="004F248E" w:rsidP="004F248E">
            <w:pPr>
              <w:spacing w:after="0" w:line="240" w:lineRule="exact"/>
              <w:jc w:val="right"/>
              <w:rPr>
                <w:rFonts w:asciiTheme="minorHAnsi" w:eastAsia="Arial Unicode MS" w:hAnsiTheme="minorHAnsi" w:cs="Arial"/>
                <w:sz w:val="18"/>
                <w:szCs w:val="18"/>
              </w:rPr>
            </w:pPr>
          </w:p>
        </w:tc>
        <w:tc>
          <w:tcPr>
            <w:tcW w:w="652" w:type="pct"/>
            <w:vAlign w:val="bottom"/>
          </w:tcPr>
          <w:p w14:paraId="6D24A42D" w14:textId="77777777" w:rsidR="004F248E" w:rsidRPr="004F248E" w:rsidRDefault="004F248E" w:rsidP="004F248E">
            <w:pPr>
              <w:spacing w:after="0" w:line="240" w:lineRule="exact"/>
              <w:jc w:val="right"/>
              <w:rPr>
                <w:rFonts w:asciiTheme="minorHAnsi" w:eastAsia="Arial Unicode MS" w:hAnsiTheme="minorHAnsi" w:cs="Arial"/>
                <w:sz w:val="18"/>
                <w:szCs w:val="18"/>
              </w:rPr>
            </w:pPr>
          </w:p>
        </w:tc>
        <w:tc>
          <w:tcPr>
            <w:tcW w:w="580" w:type="pct"/>
            <w:vAlign w:val="bottom"/>
          </w:tcPr>
          <w:p w14:paraId="31BB34A8" w14:textId="77777777" w:rsidR="004F248E" w:rsidRPr="004F248E" w:rsidRDefault="004F248E" w:rsidP="004F248E">
            <w:pPr>
              <w:spacing w:after="0" w:line="240" w:lineRule="exact"/>
              <w:jc w:val="right"/>
              <w:rPr>
                <w:rFonts w:asciiTheme="minorHAnsi" w:eastAsia="Arial Unicode MS" w:hAnsiTheme="minorHAnsi" w:cs="Arial"/>
                <w:sz w:val="18"/>
                <w:szCs w:val="18"/>
              </w:rPr>
            </w:pPr>
          </w:p>
        </w:tc>
      </w:tr>
      <w:tr w:rsidR="004F248E" w:rsidRPr="004F248E" w14:paraId="1CFE2A25" w14:textId="77777777" w:rsidTr="004F248E">
        <w:tc>
          <w:tcPr>
            <w:tcW w:w="1449" w:type="pct"/>
          </w:tcPr>
          <w:p w14:paraId="264E6C35"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Cash on hand and due from banks</w:t>
            </w:r>
          </w:p>
        </w:tc>
        <w:tc>
          <w:tcPr>
            <w:tcW w:w="579" w:type="pct"/>
            <w:tcBorders>
              <w:top w:val="nil"/>
              <w:left w:val="nil"/>
              <w:bottom w:val="nil"/>
              <w:right w:val="nil"/>
            </w:tcBorders>
            <w:shd w:val="clear" w:color="auto" w:fill="auto"/>
            <w:vAlign w:val="bottom"/>
          </w:tcPr>
          <w:p w14:paraId="2999FF9A"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1,606</w:t>
            </w:r>
          </w:p>
        </w:tc>
        <w:tc>
          <w:tcPr>
            <w:tcW w:w="580" w:type="pct"/>
            <w:tcBorders>
              <w:top w:val="nil"/>
              <w:left w:val="nil"/>
              <w:bottom w:val="nil"/>
              <w:right w:val="nil"/>
            </w:tcBorders>
            <w:shd w:val="clear" w:color="auto" w:fill="auto"/>
            <w:vAlign w:val="bottom"/>
          </w:tcPr>
          <w:p w14:paraId="13EF8254"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301,338</w:t>
            </w:r>
          </w:p>
        </w:tc>
        <w:tc>
          <w:tcPr>
            <w:tcW w:w="580" w:type="pct"/>
            <w:tcBorders>
              <w:top w:val="nil"/>
              <w:left w:val="nil"/>
              <w:bottom w:val="nil"/>
              <w:right w:val="nil"/>
            </w:tcBorders>
            <w:shd w:val="clear" w:color="auto" w:fill="auto"/>
            <w:vAlign w:val="bottom"/>
          </w:tcPr>
          <w:p w14:paraId="666779A6"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1,584</w:t>
            </w:r>
          </w:p>
        </w:tc>
        <w:tc>
          <w:tcPr>
            <w:tcW w:w="580" w:type="pct"/>
            <w:tcBorders>
              <w:top w:val="nil"/>
              <w:left w:val="nil"/>
              <w:bottom w:val="nil"/>
              <w:right w:val="nil"/>
            </w:tcBorders>
            <w:shd w:val="clear" w:color="auto" w:fill="auto"/>
            <w:vAlign w:val="bottom"/>
          </w:tcPr>
          <w:p w14:paraId="2AB2CACB"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304,528</w:t>
            </w:r>
          </w:p>
        </w:tc>
        <w:tc>
          <w:tcPr>
            <w:tcW w:w="652" w:type="pct"/>
            <w:tcBorders>
              <w:top w:val="nil"/>
              <w:left w:val="nil"/>
              <w:bottom w:val="nil"/>
              <w:right w:val="nil"/>
            </w:tcBorders>
            <w:shd w:val="clear" w:color="auto" w:fill="auto"/>
            <w:vAlign w:val="bottom"/>
          </w:tcPr>
          <w:p w14:paraId="281AA065"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186,167</w:t>
            </w:r>
          </w:p>
        </w:tc>
        <w:tc>
          <w:tcPr>
            <w:tcW w:w="580" w:type="pct"/>
            <w:tcBorders>
              <w:top w:val="nil"/>
              <w:left w:val="nil"/>
              <w:bottom w:val="nil"/>
            </w:tcBorders>
            <w:shd w:val="clear" w:color="auto" w:fill="auto"/>
            <w:vAlign w:val="bottom"/>
          </w:tcPr>
          <w:p w14:paraId="20880395"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490,695</w:t>
            </w:r>
          </w:p>
        </w:tc>
      </w:tr>
      <w:tr w:rsidR="004F248E" w:rsidRPr="004F248E" w14:paraId="247408EC" w14:textId="77777777" w:rsidTr="004F248E">
        <w:tc>
          <w:tcPr>
            <w:tcW w:w="1449" w:type="pct"/>
          </w:tcPr>
          <w:p w14:paraId="5DA39E10"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 xml:space="preserve">Deposits with other banks </w:t>
            </w:r>
          </w:p>
        </w:tc>
        <w:tc>
          <w:tcPr>
            <w:tcW w:w="579" w:type="pct"/>
            <w:tcBorders>
              <w:top w:val="nil"/>
              <w:left w:val="nil"/>
              <w:bottom w:val="nil"/>
              <w:right w:val="nil"/>
            </w:tcBorders>
            <w:shd w:val="clear" w:color="auto" w:fill="auto"/>
            <w:vAlign w:val="bottom"/>
          </w:tcPr>
          <w:p w14:paraId="68F3B6BC"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20,581</w:t>
            </w:r>
          </w:p>
        </w:tc>
        <w:tc>
          <w:tcPr>
            <w:tcW w:w="580" w:type="pct"/>
            <w:tcBorders>
              <w:top w:val="nil"/>
              <w:left w:val="nil"/>
              <w:bottom w:val="nil"/>
              <w:right w:val="nil"/>
            </w:tcBorders>
            <w:shd w:val="clear" w:color="auto" w:fill="auto"/>
            <w:vAlign w:val="bottom"/>
          </w:tcPr>
          <w:p w14:paraId="68B62BDA"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14:paraId="2FBD3711"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3,291</w:t>
            </w:r>
          </w:p>
        </w:tc>
        <w:tc>
          <w:tcPr>
            <w:tcW w:w="580" w:type="pct"/>
            <w:tcBorders>
              <w:top w:val="nil"/>
              <w:left w:val="nil"/>
              <w:bottom w:val="nil"/>
              <w:right w:val="nil"/>
            </w:tcBorders>
            <w:shd w:val="clear" w:color="auto" w:fill="auto"/>
            <w:vAlign w:val="bottom"/>
          </w:tcPr>
          <w:p w14:paraId="08F65E19"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23,872</w:t>
            </w:r>
          </w:p>
        </w:tc>
        <w:tc>
          <w:tcPr>
            <w:tcW w:w="652" w:type="pct"/>
            <w:tcBorders>
              <w:top w:val="nil"/>
              <w:left w:val="nil"/>
              <w:bottom w:val="nil"/>
              <w:right w:val="nil"/>
            </w:tcBorders>
            <w:shd w:val="clear" w:color="auto" w:fill="auto"/>
            <w:vAlign w:val="bottom"/>
          </w:tcPr>
          <w:p w14:paraId="6E848D2B"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w:t>
            </w:r>
          </w:p>
        </w:tc>
        <w:tc>
          <w:tcPr>
            <w:tcW w:w="580" w:type="pct"/>
            <w:tcBorders>
              <w:top w:val="nil"/>
              <w:left w:val="nil"/>
              <w:bottom w:val="nil"/>
            </w:tcBorders>
            <w:shd w:val="clear" w:color="auto" w:fill="auto"/>
            <w:vAlign w:val="bottom"/>
          </w:tcPr>
          <w:p w14:paraId="6E288B47"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23,872</w:t>
            </w:r>
          </w:p>
        </w:tc>
      </w:tr>
      <w:tr w:rsidR="004F248E" w:rsidRPr="004F248E" w14:paraId="110A3A27" w14:textId="77777777" w:rsidTr="004F248E">
        <w:tc>
          <w:tcPr>
            <w:tcW w:w="1449" w:type="pct"/>
          </w:tcPr>
          <w:p w14:paraId="12870F64"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Loans to financial institutions</w:t>
            </w:r>
          </w:p>
        </w:tc>
        <w:tc>
          <w:tcPr>
            <w:tcW w:w="579" w:type="pct"/>
            <w:tcBorders>
              <w:top w:val="nil"/>
              <w:left w:val="nil"/>
              <w:bottom w:val="nil"/>
              <w:right w:val="nil"/>
            </w:tcBorders>
            <w:shd w:val="clear" w:color="auto" w:fill="auto"/>
            <w:vAlign w:val="bottom"/>
          </w:tcPr>
          <w:p w14:paraId="62663802"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14:paraId="067F85EA"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6,655,483</w:t>
            </w:r>
          </w:p>
        </w:tc>
        <w:tc>
          <w:tcPr>
            <w:tcW w:w="580" w:type="pct"/>
            <w:tcBorders>
              <w:top w:val="nil"/>
              <w:left w:val="nil"/>
              <w:bottom w:val="nil"/>
              <w:right w:val="nil"/>
            </w:tcBorders>
            <w:shd w:val="clear" w:color="auto" w:fill="auto"/>
            <w:vAlign w:val="bottom"/>
          </w:tcPr>
          <w:p w14:paraId="654105AC"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14:paraId="0A838303"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6,655,483</w:t>
            </w:r>
          </w:p>
        </w:tc>
        <w:tc>
          <w:tcPr>
            <w:tcW w:w="652" w:type="pct"/>
            <w:tcBorders>
              <w:top w:val="nil"/>
              <w:left w:val="nil"/>
              <w:bottom w:val="nil"/>
              <w:right w:val="nil"/>
            </w:tcBorders>
            <w:shd w:val="clear" w:color="auto" w:fill="auto"/>
            <w:vAlign w:val="bottom"/>
          </w:tcPr>
          <w:p w14:paraId="7245B04D"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5,233,628</w:t>
            </w:r>
          </w:p>
        </w:tc>
        <w:tc>
          <w:tcPr>
            <w:tcW w:w="580" w:type="pct"/>
            <w:tcBorders>
              <w:top w:val="nil"/>
              <w:left w:val="nil"/>
              <w:bottom w:val="nil"/>
            </w:tcBorders>
            <w:shd w:val="clear" w:color="auto" w:fill="auto"/>
            <w:vAlign w:val="bottom"/>
          </w:tcPr>
          <w:p w14:paraId="76896C3C"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11,889,111</w:t>
            </w:r>
          </w:p>
        </w:tc>
      </w:tr>
      <w:tr w:rsidR="004F248E" w:rsidRPr="004F248E" w14:paraId="6111C13D" w14:textId="77777777" w:rsidTr="004F248E">
        <w:tc>
          <w:tcPr>
            <w:tcW w:w="1449" w:type="pct"/>
          </w:tcPr>
          <w:p w14:paraId="5065A37D"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Loans to other customers</w:t>
            </w:r>
          </w:p>
        </w:tc>
        <w:tc>
          <w:tcPr>
            <w:tcW w:w="579" w:type="pct"/>
            <w:tcBorders>
              <w:top w:val="nil"/>
              <w:left w:val="nil"/>
              <w:bottom w:val="nil"/>
              <w:right w:val="nil"/>
            </w:tcBorders>
            <w:shd w:val="clear" w:color="auto" w:fill="auto"/>
            <w:vAlign w:val="bottom"/>
          </w:tcPr>
          <w:p w14:paraId="663DCA86"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527,661</w:t>
            </w:r>
          </w:p>
        </w:tc>
        <w:tc>
          <w:tcPr>
            <w:tcW w:w="580" w:type="pct"/>
            <w:tcBorders>
              <w:top w:val="nil"/>
              <w:left w:val="nil"/>
              <w:bottom w:val="nil"/>
              <w:right w:val="nil"/>
            </w:tcBorders>
            <w:shd w:val="clear" w:color="auto" w:fill="auto"/>
            <w:vAlign w:val="bottom"/>
          </w:tcPr>
          <w:p w14:paraId="6B8F67E5"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7,768,328</w:t>
            </w:r>
          </w:p>
        </w:tc>
        <w:tc>
          <w:tcPr>
            <w:tcW w:w="580" w:type="pct"/>
            <w:tcBorders>
              <w:top w:val="nil"/>
              <w:left w:val="nil"/>
              <w:bottom w:val="nil"/>
              <w:right w:val="nil"/>
            </w:tcBorders>
            <w:shd w:val="clear" w:color="auto" w:fill="auto"/>
            <w:vAlign w:val="bottom"/>
          </w:tcPr>
          <w:p w14:paraId="7791A7A3"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14:paraId="29D90457"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8,295,989</w:t>
            </w:r>
          </w:p>
        </w:tc>
        <w:tc>
          <w:tcPr>
            <w:tcW w:w="652" w:type="pct"/>
            <w:tcBorders>
              <w:top w:val="nil"/>
              <w:left w:val="nil"/>
              <w:bottom w:val="nil"/>
              <w:right w:val="nil"/>
            </w:tcBorders>
            <w:shd w:val="clear" w:color="auto" w:fill="auto"/>
            <w:vAlign w:val="bottom"/>
          </w:tcPr>
          <w:p w14:paraId="05883548"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3,215,205</w:t>
            </w:r>
          </w:p>
        </w:tc>
        <w:tc>
          <w:tcPr>
            <w:tcW w:w="580" w:type="pct"/>
            <w:tcBorders>
              <w:top w:val="nil"/>
              <w:left w:val="nil"/>
              <w:bottom w:val="nil"/>
            </w:tcBorders>
            <w:shd w:val="clear" w:color="auto" w:fill="auto"/>
            <w:vAlign w:val="bottom"/>
          </w:tcPr>
          <w:p w14:paraId="5570BD0F"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11,511,194</w:t>
            </w:r>
          </w:p>
        </w:tc>
      </w:tr>
      <w:tr w:rsidR="004F248E" w:rsidRPr="004F248E" w14:paraId="1C3AF6E6" w14:textId="77777777" w:rsidTr="004F248E">
        <w:tc>
          <w:tcPr>
            <w:tcW w:w="1449" w:type="pct"/>
          </w:tcPr>
          <w:p w14:paraId="012F245F"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Assets available for sale</w:t>
            </w:r>
          </w:p>
        </w:tc>
        <w:tc>
          <w:tcPr>
            <w:tcW w:w="579" w:type="pct"/>
            <w:tcBorders>
              <w:top w:val="nil"/>
              <w:left w:val="nil"/>
              <w:bottom w:val="nil"/>
              <w:right w:val="nil"/>
            </w:tcBorders>
            <w:shd w:val="clear" w:color="auto" w:fill="auto"/>
            <w:vAlign w:val="bottom"/>
          </w:tcPr>
          <w:p w14:paraId="0892F083"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14,686</w:t>
            </w:r>
          </w:p>
        </w:tc>
        <w:tc>
          <w:tcPr>
            <w:tcW w:w="580" w:type="pct"/>
            <w:tcBorders>
              <w:top w:val="nil"/>
              <w:left w:val="nil"/>
              <w:bottom w:val="nil"/>
              <w:right w:val="nil"/>
            </w:tcBorders>
            <w:shd w:val="clear" w:color="auto" w:fill="auto"/>
            <w:vAlign w:val="bottom"/>
          </w:tcPr>
          <w:p w14:paraId="08217436"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1,089,520</w:t>
            </w:r>
          </w:p>
        </w:tc>
        <w:tc>
          <w:tcPr>
            <w:tcW w:w="580" w:type="pct"/>
            <w:tcBorders>
              <w:top w:val="nil"/>
              <w:left w:val="nil"/>
              <w:bottom w:val="nil"/>
              <w:right w:val="nil"/>
            </w:tcBorders>
            <w:shd w:val="clear" w:color="auto" w:fill="auto"/>
            <w:vAlign w:val="bottom"/>
          </w:tcPr>
          <w:p w14:paraId="0673F774"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14:paraId="29E8BEF9"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1,104,206</w:t>
            </w:r>
          </w:p>
        </w:tc>
        <w:tc>
          <w:tcPr>
            <w:tcW w:w="652" w:type="pct"/>
            <w:tcBorders>
              <w:top w:val="nil"/>
              <w:left w:val="nil"/>
              <w:bottom w:val="nil"/>
              <w:right w:val="nil"/>
            </w:tcBorders>
            <w:shd w:val="clear" w:color="auto" w:fill="auto"/>
            <w:vAlign w:val="bottom"/>
          </w:tcPr>
          <w:p w14:paraId="60F31D86"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2,239,368</w:t>
            </w:r>
          </w:p>
        </w:tc>
        <w:tc>
          <w:tcPr>
            <w:tcW w:w="580" w:type="pct"/>
            <w:tcBorders>
              <w:top w:val="nil"/>
              <w:left w:val="nil"/>
              <w:bottom w:val="nil"/>
            </w:tcBorders>
            <w:shd w:val="clear" w:color="auto" w:fill="auto"/>
            <w:vAlign w:val="bottom"/>
          </w:tcPr>
          <w:p w14:paraId="69C095AD"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3,343,574</w:t>
            </w:r>
          </w:p>
        </w:tc>
      </w:tr>
      <w:tr w:rsidR="004F248E" w:rsidRPr="004F248E" w14:paraId="7EB39CF6" w14:textId="77777777" w:rsidTr="004F248E">
        <w:tc>
          <w:tcPr>
            <w:tcW w:w="1449" w:type="pct"/>
          </w:tcPr>
          <w:p w14:paraId="1D1EA25C"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Investments in subsidiaries</w:t>
            </w:r>
          </w:p>
        </w:tc>
        <w:tc>
          <w:tcPr>
            <w:tcW w:w="579" w:type="pct"/>
            <w:tcBorders>
              <w:top w:val="nil"/>
              <w:left w:val="nil"/>
              <w:bottom w:val="nil"/>
              <w:right w:val="nil"/>
            </w:tcBorders>
            <w:shd w:val="clear" w:color="auto" w:fill="auto"/>
            <w:vAlign w:val="bottom"/>
          </w:tcPr>
          <w:p w14:paraId="3B475DDE"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14:paraId="3BE8DB33"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14:paraId="6F2E0D4A"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14:paraId="54C0C0F3"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w:t>
            </w:r>
          </w:p>
        </w:tc>
        <w:tc>
          <w:tcPr>
            <w:tcW w:w="652" w:type="pct"/>
            <w:tcBorders>
              <w:top w:val="nil"/>
              <w:left w:val="nil"/>
              <w:bottom w:val="nil"/>
              <w:right w:val="nil"/>
            </w:tcBorders>
            <w:shd w:val="clear" w:color="auto" w:fill="auto"/>
            <w:vAlign w:val="bottom"/>
          </w:tcPr>
          <w:p w14:paraId="01B707DE"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36,124</w:t>
            </w:r>
          </w:p>
        </w:tc>
        <w:tc>
          <w:tcPr>
            <w:tcW w:w="580" w:type="pct"/>
            <w:tcBorders>
              <w:top w:val="nil"/>
              <w:left w:val="nil"/>
              <w:bottom w:val="nil"/>
            </w:tcBorders>
            <w:shd w:val="clear" w:color="auto" w:fill="auto"/>
            <w:vAlign w:val="bottom"/>
          </w:tcPr>
          <w:p w14:paraId="65B57E1A"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36,124</w:t>
            </w:r>
          </w:p>
        </w:tc>
      </w:tr>
      <w:tr w:rsidR="004F248E" w:rsidRPr="004F248E" w14:paraId="57C76F4B" w14:textId="77777777" w:rsidTr="004F248E">
        <w:tc>
          <w:tcPr>
            <w:tcW w:w="1449" w:type="pct"/>
          </w:tcPr>
          <w:p w14:paraId="4B998154"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Investments in associates</w:t>
            </w:r>
          </w:p>
        </w:tc>
        <w:tc>
          <w:tcPr>
            <w:tcW w:w="579" w:type="pct"/>
            <w:tcBorders>
              <w:top w:val="nil"/>
              <w:left w:val="nil"/>
              <w:bottom w:val="nil"/>
              <w:right w:val="nil"/>
            </w:tcBorders>
            <w:shd w:val="clear" w:color="auto" w:fill="auto"/>
            <w:vAlign w:val="bottom"/>
          </w:tcPr>
          <w:p w14:paraId="5B034603"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14:paraId="27A1BA68"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14:paraId="0278EF0B"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14:paraId="74772281"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652" w:type="pct"/>
            <w:tcBorders>
              <w:top w:val="nil"/>
              <w:left w:val="nil"/>
              <w:bottom w:val="nil"/>
              <w:right w:val="nil"/>
            </w:tcBorders>
            <w:shd w:val="clear" w:color="auto" w:fill="auto"/>
            <w:vAlign w:val="bottom"/>
          </w:tcPr>
          <w:p w14:paraId="1973A0D6"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w:t>
            </w:r>
          </w:p>
        </w:tc>
        <w:tc>
          <w:tcPr>
            <w:tcW w:w="580" w:type="pct"/>
            <w:tcBorders>
              <w:top w:val="nil"/>
              <w:left w:val="nil"/>
              <w:bottom w:val="nil"/>
            </w:tcBorders>
            <w:shd w:val="clear" w:color="auto" w:fill="auto"/>
            <w:vAlign w:val="bottom"/>
          </w:tcPr>
          <w:p w14:paraId="03EDE06D"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w:t>
            </w:r>
          </w:p>
        </w:tc>
      </w:tr>
      <w:tr w:rsidR="004F248E" w:rsidRPr="004F248E" w14:paraId="247639F7" w14:textId="77777777" w:rsidTr="004F248E">
        <w:tc>
          <w:tcPr>
            <w:tcW w:w="1449" w:type="pct"/>
          </w:tcPr>
          <w:p w14:paraId="190564D8"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Property, plant and equipment and intangible assets</w:t>
            </w:r>
          </w:p>
        </w:tc>
        <w:tc>
          <w:tcPr>
            <w:tcW w:w="579" w:type="pct"/>
            <w:tcBorders>
              <w:top w:val="nil"/>
              <w:left w:val="nil"/>
              <w:bottom w:val="nil"/>
              <w:right w:val="nil"/>
            </w:tcBorders>
            <w:shd w:val="clear" w:color="auto" w:fill="auto"/>
            <w:vAlign w:val="bottom"/>
          </w:tcPr>
          <w:p w14:paraId="7EFA68B7"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14:paraId="679021CC"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14:paraId="1F6D8FEA"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14:paraId="4936C0B3"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w:t>
            </w:r>
          </w:p>
        </w:tc>
        <w:tc>
          <w:tcPr>
            <w:tcW w:w="652" w:type="pct"/>
            <w:tcBorders>
              <w:top w:val="nil"/>
              <w:left w:val="nil"/>
              <w:bottom w:val="nil"/>
              <w:right w:val="nil"/>
            </w:tcBorders>
            <w:shd w:val="clear" w:color="auto" w:fill="auto"/>
            <w:vAlign w:val="bottom"/>
          </w:tcPr>
          <w:p w14:paraId="548B71D0"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57,216</w:t>
            </w:r>
          </w:p>
        </w:tc>
        <w:tc>
          <w:tcPr>
            <w:tcW w:w="580" w:type="pct"/>
            <w:tcBorders>
              <w:top w:val="nil"/>
              <w:left w:val="nil"/>
              <w:bottom w:val="nil"/>
            </w:tcBorders>
            <w:shd w:val="clear" w:color="auto" w:fill="auto"/>
            <w:vAlign w:val="bottom"/>
          </w:tcPr>
          <w:p w14:paraId="049A09CA"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57,216</w:t>
            </w:r>
          </w:p>
        </w:tc>
      </w:tr>
      <w:tr w:rsidR="004F248E" w:rsidRPr="004F248E" w14:paraId="53369E4C" w14:textId="77777777" w:rsidTr="004F248E">
        <w:tc>
          <w:tcPr>
            <w:tcW w:w="1449" w:type="pct"/>
          </w:tcPr>
          <w:p w14:paraId="669A7951"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pacing w:val="-2"/>
                <w:sz w:val="18"/>
                <w:szCs w:val="18"/>
              </w:rPr>
              <w:t>Non-current assets held for sale</w:t>
            </w:r>
          </w:p>
        </w:tc>
        <w:tc>
          <w:tcPr>
            <w:tcW w:w="579" w:type="pct"/>
            <w:tcBorders>
              <w:top w:val="nil"/>
              <w:left w:val="nil"/>
              <w:bottom w:val="nil"/>
              <w:right w:val="nil"/>
            </w:tcBorders>
            <w:shd w:val="clear" w:color="auto" w:fill="auto"/>
            <w:vAlign w:val="bottom"/>
          </w:tcPr>
          <w:p w14:paraId="4F2D084B"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14:paraId="0DA4065B"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14:paraId="6894941E"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14:paraId="2703328B"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652" w:type="pct"/>
            <w:tcBorders>
              <w:top w:val="nil"/>
              <w:left w:val="nil"/>
              <w:bottom w:val="nil"/>
              <w:right w:val="nil"/>
            </w:tcBorders>
            <w:shd w:val="clear" w:color="auto" w:fill="auto"/>
            <w:vAlign w:val="bottom"/>
          </w:tcPr>
          <w:p w14:paraId="40B6CAB3"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17,230</w:t>
            </w:r>
          </w:p>
        </w:tc>
        <w:tc>
          <w:tcPr>
            <w:tcW w:w="580" w:type="pct"/>
            <w:tcBorders>
              <w:top w:val="nil"/>
              <w:left w:val="nil"/>
              <w:bottom w:val="nil"/>
            </w:tcBorders>
            <w:shd w:val="clear" w:color="auto" w:fill="auto"/>
            <w:vAlign w:val="bottom"/>
          </w:tcPr>
          <w:p w14:paraId="3F8B0474"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17,230</w:t>
            </w:r>
          </w:p>
        </w:tc>
      </w:tr>
      <w:tr w:rsidR="004F248E" w:rsidRPr="004F248E" w14:paraId="3C370DCA" w14:textId="77777777" w:rsidTr="004F248E">
        <w:tc>
          <w:tcPr>
            <w:tcW w:w="1449" w:type="pct"/>
          </w:tcPr>
          <w:p w14:paraId="7163A060"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Other assets</w:t>
            </w:r>
          </w:p>
        </w:tc>
        <w:tc>
          <w:tcPr>
            <w:tcW w:w="579" w:type="pct"/>
            <w:tcBorders>
              <w:top w:val="nil"/>
              <w:left w:val="nil"/>
              <w:bottom w:val="nil"/>
              <w:right w:val="nil"/>
            </w:tcBorders>
            <w:shd w:val="clear" w:color="auto" w:fill="auto"/>
            <w:vAlign w:val="bottom"/>
          </w:tcPr>
          <w:p w14:paraId="160C69C1"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14:paraId="7541D3B9"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14:paraId="79644C66"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14:paraId="17D3F059"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652" w:type="pct"/>
            <w:tcBorders>
              <w:top w:val="nil"/>
              <w:left w:val="nil"/>
              <w:bottom w:val="nil"/>
              <w:right w:val="nil"/>
            </w:tcBorders>
            <w:shd w:val="clear" w:color="auto" w:fill="auto"/>
            <w:vAlign w:val="bottom"/>
          </w:tcPr>
          <w:p w14:paraId="38B85395"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5,900</w:t>
            </w:r>
          </w:p>
        </w:tc>
        <w:tc>
          <w:tcPr>
            <w:tcW w:w="580" w:type="pct"/>
            <w:tcBorders>
              <w:top w:val="nil"/>
              <w:left w:val="nil"/>
              <w:bottom w:val="nil"/>
            </w:tcBorders>
            <w:shd w:val="clear" w:color="auto" w:fill="auto"/>
            <w:vAlign w:val="bottom"/>
          </w:tcPr>
          <w:p w14:paraId="126B5F63" w14:textId="77777777"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5,900</w:t>
            </w:r>
          </w:p>
        </w:tc>
      </w:tr>
      <w:tr w:rsidR="004F248E" w:rsidRPr="004F248E" w14:paraId="053BC698" w14:textId="77777777" w:rsidTr="004F248E">
        <w:trPr>
          <w:trHeight w:val="253"/>
        </w:trPr>
        <w:tc>
          <w:tcPr>
            <w:tcW w:w="1449" w:type="pct"/>
            <w:vAlign w:val="bottom"/>
          </w:tcPr>
          <w:p w14:paraId="2718DA66"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b/>
                <w:bCs/>
                <w:sz w:val="18"/>
                <w:szCs w:val="18"/>
              </w:rPr>
            </w:pPr>
            <w:r w:rsidRPr="004F248E">
              <w:rPr>
                <w:rFonts w:asciiTheme="minorHAnsi" w:eastAsia="Times New Roman" w:hAnsiTheme="minorHAnsi" w:cs="Arial"/>
                <w:b/>
                <w:bCs/>
                <w:sz w:val="18"/>
                <w:szCs w:val="18"/>
              </w:rPr>
              <w:t>Total assets (1)</w:t>
            </w:r>
          </w:p>
        </w:tc>
        <w:tc>
          <w:tcPr>
            <w:tcW w:w="579" w:type="pct"/>
            <w:tcBorders>
              <w:top w:val="single" w:sz="4" w:space="0" w:color="auto"/>
              <w:left w:val="nil"/>
              <w:bottom w:val="single" w:sz="4" w:space="0" w:color="auto"/>
              <w:right w:val="nil"/>
            </w:tcBorders>
            <w:shd w:val="clear" w:color="auto" w:fill="auto"/>
            <w:vAlign w:val="bottom"/>
          </w:tcPr>
          <w:p w14:paraId="7F7F30A0" w14:textId="77777777" w:rsidR="004F248E" w:rsidRPr="004F248E" w:rsidRDefault="004F248E" w:rsidP="004F248E">
            <w:pPr>
              <w:spacing w:after="0" w:line="300" w:lineRule="atLeast"/>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564,534</w:t>
            </w:r>
          </w:p>
        </w:tc>
        <w:tc>
          <w:tcPr>
            <w:tcW w:w="580" w:type="pct"/>
            <w:tcBorders>
              <w:top w:val="single" w:sz="4" w:space="0" w:color="auto"/>
              <w:left w:val="nil"/>
              <w:bottom w:val="single" w:sz="4" w:space="0" w:color="auto"/>
              <w:right w:val="nil"/>
            </w:tcBorders>
            <w:shd w:val="clear" w:color="auto" w:fill="auto"/>
            <w:vAlign w:val="bottom"/>
          </w:tcPr>
          <w:p w14:paraId="4D796575" w14:textId="77777777" w:rsidR="004F248E" w:rsidRPr="004F248E" w:rsidRDefault="004F248E" w:rsidP="004F248E">
            <w:pPr>
              <w:spacing w:after="0" w:line="300" w:lineRule="atLeast"/>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15,814,669</w:t>
            </w:r>
          </w:p>
        </w:tc>
        <w:tc>
          <w:tcPr>
            <w:tcW w:w="580" w:type="pct"/>
            <w:tcBorders>
              <w:top w:val="single" w:sz="4" w:space="0" w:color="auto"/>
              <w:left w:val="nil"/>
              <w:bottom w:val="single" w:sz="4" w:space="0" w:color="auto"/>
              <w:right w:val="nil"/>
            </w:tcBorders>
            <w:shd w:val="clear" w:color="auto" w:fill="auto"/>
            <w:vAlign w:val="bottom"/>
          </w:tcPr>
          <w:p w14:paraId="453612BE" w14:textId="77777777" w:rsidR="004F248E" w:rsidRPr="004F248E" w:rsidRDefault="004F248E" w:rsidP="004F248E">
            <w:pPr>
              <w:spacing w:after="0" w:line="300" w:lineRule="atLeast"/>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4,875</w:t>
            </w:r>
          </w:p>
        </w:tc>
        <w:tc>
          <w:tcPr>
            <w:tcW w:w="580" w:type="pct"/>
            <w:tcBorders>
              <w:top w:val="single" w:sz="4" w:space="0" w:color="auto"/>
              <w:left w:val="nil"/>
              <w:bottom w:val="single" w:sz="4" w:space="0" w:color="auto"/>
              <w:right w:val="nil"/>
            </w:tcBorders>
            <w:shd w:val="clear" w:color="auto" w:fill="auto"/>
            <w:vAlign w:val="bottom"/>
          </w:tcPr>
          <w:p w14:paraId="4679E9AD" w14:textId="77777777" w:rsidR="004F248E" w:rsidRPr="004F248E" w:rsidRDefault="004F248E" w:rsidP="004F248E">
            <w:pPr>
              <w:spacing w:after="0" w:line="300" w:lineRule="atLeast"/>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16,384,078</w:t>
            </w:r>
          </w:p>
        </w:tc>
        <w:tc>
          <w:tcPr>
            <w:tcW w:w="652" w:type="pct"/>
            <w:tcBorders>
              <w:top w:val="single" w:sz="4" w:space="0" w:color="auto"/>
              <w:left w:val="nil"/>
              <w:bottom w:val="single" w:sz="4" w:space="0" w:color="auto"/>
              <w:right w:val="nil"/>
            </w:tcBorders>
            <w:shd w:val="clear" w:color="auto" w:fill="auto"/>
            <w:vAlign w:val="bottom"/>
          </w:tcPr>
          <w:p w14:paraId="4E0665D7" w14:textId="77777777" w:rsidR="004F248E" w:rsidRPr="004F248E" w:rsidRDefault="004F248E" w:rsidP="004F248E">
            <w:pPr>
              <w:spacing w:after="0" w:line="300" w:lineRule="atLeast"/>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10,990,838*</w:t>
            </w:r>
          </w:p>
        </w:tc>
        <w:tc>
          <w:tcPr>
            <w:tcW w:w="580" w:type="pct"/>
            <w:tcBorders>
              <w:top w:val="single" w:sz="4" w:space="0" w:color="auto"/>
              <w:left w:val="nil"/>
              <w:bottom w:val="single" w:sz="4" w:space="0" w:color="auto"/>
            </w:tcBorders>
            <w:shd w:val="clear" w:color="auto" w:fill="auto"/>
            <w:vAlign w:val="bottom"/>
          </w:tcPr>
          <w:p w14:paraId="667DDAB2" w14:textId="77777777" w:rsidR="004F248E" w:rsidRPr="004F248E" w:rsidRDefault="004F248E" w:rsidP="004F248E">
            <w:pPr>
              <w:spacing w:after="0" w:line="300" w:lineRule="atLeast"/>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27,374,916</w:t>
            </w:r>
          </w:p>
        </w:tc>
      </w:tr>
      <w:tr w:rsidR="004F248E" w:rsidRPr="004F248E" w14:paraId="4458678C" w14:textId="77777777" w:rsidTr="004F248E">
        <w:tblPrEx>
          <w:tblCellMar>
            <w:left w:w="108" w:type="dxa"/>
            <w:right w:w="108" w:type="dxa"/>
          </w:tblCellMar>
        </w:tblPrEx>
        <w:tc>
          <w:tcPr>
            <w:tcW w:w="1449" w:type="pct"/>
          </w:tcPr>
          <w:p w14:paraId="613E6638" w14:textId="77777777" w:rsidR="004F248E" w:rsidRPr="004F248E" w:rsidRDefault="004F248E" w:rsidP="004F248E">
            <w:pPr>
              <w:keepNext/>
              <w:keepLines/>
              <w:tabs>
                <w:tab w:val="decimal" w:pos="1202"/>
              </w:tabs>
              <w:spacing w:after="0" w:line="240" w:lineRule="exact"/>
              <w:rPr>
                <w:rFonts w:asciiTheme="minorHAnsi" w:eastAsia="Times New Roman" w:hAnsiTheme="minorHAnsi" w:cs="Arial"/>
                <w:b/>
                <w:position w:val="4"/>
                <w:sz w:val="18"/>
                <w:szCs w:val="18"/>
                <w:u w:val="thick"/>
              </w:rPr>
            </w:pPr>
          </w:p>
        </w:tc>
        <w:tc>
          <w:tcPr>
            <w:tcW w:w="579" w:type="pct"/>
            <w:tcBorders>
              <w:top w:val="single" w:sz="12" w:space="0" w:color="auto"/>
            </w:tcBorders>
            <w:vAlign w:val="bottom"/>
          </w:tcPr>
          <w:p w14:paraId="31E46A9B" w14:textId="77777777" w:rsidR="004F248E" w:rsidRPr="004F248E" w:rsidRDefault="004F248E" w:rsidP="004F248E">
            <w:pPr>
              <w:keepNext/>
              <w:keepLines/>
              <w:spacing w:after="0" w:line="240" w:lineRule="exact"/>
              <w:jc w:val="right"/>
              <w:rPr>
                <w:rFonts w:asciiTheme="minorHAnsi" w:eastAsia="Times New Roman" w:hAnsiTheme="minorHAnsi" w:cs="Arial"/>
                <w:b/>
                <w:position w:val="4"/>
                <w:sz w:val="18"/>
                <w:szCs w:val="18"/>
                <w:u w:val="thick"/>
                <w:lang w:val="hr-HR"/>
              </w:rPr>
            </w:pPr>
          </w:p>
        </w:tc>
        <w:tc>
          <w:tcPr>
            <w:tcW w:w="580" w:type="pct"/>
            <w:tcBorders>
              <w:top w:val="single" w:sz="12" w:space="0" w:color="auto"/>
            </w:tcBorders>
            <w:vAlign w:val="bottom"/>
          </w:tcPr>
          <w:p w14:paraId="22DA843E" w14:textId="77777777" w:rsidR="004F248E" w:rsidRPr="004F248E" w:rsidRDefault="004F248E" w:rsidP="004F248E">
            <w:pPr>
              <w:keepNext/>
              <w:keepLines/>
              <w:spacing w:after="0" w:line="240" w:lineRule="exact"/>
              <w:jc w:val="right"/>
              <w:rPr>
                <w:rFonts w:asciiTheme="minorHAnsi" w:eastAsia="Times New Roman" w:hAnsiTheme="minorHAnsi" w:cs="Arial"/>
                <w:b/>
                <w:position w:val="4"/>
                <w:sz w:val="18"/>
                <w:szCs w:val="18"/>
                <w:u w:val="thick"/>
                <w:lang w:val="hr-HR"/>
              </w:rPr>
            </w:pPr>
          </w:p>
        </w:tc>
        <w:tc>
          <w:tcPr>
            <w:tcW w:w="580" w:type="pct"/>
            <w:tcBorders>
              <w:top w:val="single" w:sz="12" w:space="0" w:color="auto"/>
            </w:tcBorders>
            <w:vAlign w:val="bottom"/>
          </w:tcPr>
          <w:p w14:paraId="34100063" w14:textId="77777777" w:rsidR="004F248E" w:rsidRPr="004F248E" w:rsidRDefault="004F248E" w:rsidP="004F248E">
            <w:pPr>
              <w:keepNext/>
              <w:keepLines/>
              <w:spacing w:after="0" w:line="240" w:lineRule="exact"/>
              <w:jc w:val="right"/>
              <w:rPr>
                <w:rFonts w:asciiTheme="minorHAnsi" w:eastAsia="Times New Roman" w:hAnsiTheme="minorHAnsi" w:cs="Arial"/>
                <w:b/>
                <w:position w:val="4"/>
                <w:sz w:val="18"/>
                <w:szCs w:val="18"/>
                <w:u w:val="thick"/>
                <w:lang w:val="hr-HR"/>
              </w:rPr>
            </w:pPr>
          </w:p>
        </w:tc>
        <w:tc>
          <w:tcPr>
            <w:tcW w:w="580" w:type="pct"/>
            <w:tcBorders>
              <w:top w:val="single" w:sz="12" w:space="0" w:color="auto"/>
            </w:tcBorders>
            <w:vAlign w:val="bottom"/>
          </w:tcPr>
          <w:p w14:paraId="64EBA2D7" w14:textId="77777777" w:rsidR="004F248E" w:rsidRPr="004F248E" w:rsidRDefault="004F248E" w:rsidP="004F248E">
            <w:pPr>
              <w:keepNext/>
              <w:keepLines/>
              <w:spacing w:after="0" w:line="240" w:lineRule="exact"/>
              <w:jc w:val="right"/>
              <w:rPr>
                <w:rFonts w:asciiTheme="minorHAnsi" w:eastAsia="Times New Roman" w:hAnsiTheme="minorHAnsi" w:cs="Arial"/>
                <w:b/>
                <w:position w:val="4"/>
                <w:sz w:val="18"/>
                <w:szCs w:val="18"/>
                <w:u w:val="thick"/>
                <w:lang w:val="hr-HR"/>
              </w:rPr>
            </w:pPr>
          </w:p>
        </w:tc>
        <w:tc>
          <w:tcPr>
            <w:tcW w:w="652" w:type="pct"/>
            <w:tcBorders>
              <w:top w:val="single" w:sz="12" w:space="0" w:color="auto"/>
            </w:tcBorders>
            <w:vAlign w:val="bottom"/>
          </w:tcPr>
          <w:p w14:paraId="3ED2F9E2" w14:textId="77777777" w:rsidR="004F248E" w:rsidRPr="004F248E" w:rsidRDefault="004F248E" w:rsidP="004F248E">
            <w:pPr>
              <w:keepNext/>
              <w:keepLines/>
              <w:spacing w:after="0" w:line="240" w:lineRule="exact"/>
              <w:jc w:val="right"/>
              <w:rPr>
                <w:rFonts w:asciiTheme="minorHAnsi" w:eastAsia="Times New Roman" w:hAnsiTheme="minorHAnsi" w:cs="Arial"/>
                <w:b/>
                <w:position w:val="4"/>
                <w:sz w:val="18"/>
                <w:szCs w:val="18"/>
                <w:u w:val="thick"/>
                <w:lang w:val="hr-HR"/>
              </w:rPr>
            </w:pPr>
          </w:p>
        </w:tc>
        <w:tc>
          <w:tcPr>
            <w:tcW w:w="580" w:type="pct"/>
            <w:tcBorders>
              <w:top w:val="single" w:sz="12" w:space="0" w:color="auto"/>
            </w:tcBorders>
            <w:vAlign w:val="bottom"/>
          </w:tcPr>
          <w:p w14:paraId="3EC91C88" w14:textId="77777777" w:rsidR="004F248E" w:rsidRPr="004F248E" w:rsidRDefault="004F248E" w:rsidP="004F248E">
            <w:pPr>
              <w:keepNext/>
              <w:keepLines/>
              <w:spacing w:after="0" w:line="240" w:lineRule="exact"/>
              <w:jc w:val="right"/>
              <w:rPr>
                <w:rFonts w:asciiTheme="minorHAnsi" w:eastAsia="Times New Roman" w:hAnsiTheme="minorHAnsi" w:cs="Arial"/>
                <w:b/>
                <w:position w:val="4"/>
                <w:sz w:val="18"/>
                <w:szCs w:val="18"/>
                <w:u w:val="thick"/>
                <w:lang w:val="hr-HR"/>
              </w:rPr>
            </w:pPr>
          </w:p>
        </w:tc>
      </w:tr>
      <w:tr w:rsidR="004F248E" w:rsidRPr="004F248E" w14:paraId="681B723C" w14:textId="77777777" w:rsidTr="004F248E">
        <w:tc>
          <w:tcPr>
            <w:tcW w:w="1449" w:type="pct"/>
          </w:tcPr>
          <w:p w14:paraId="0E892D0B"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b/>
                <w:bCs/>
                <w:sz w:val="18"/>
                <w:szCs w:val="18"/>
              </w:rPr>
            </w:pPr>
            <w:r w:rsidRPr="004F248E">
              <w:rPr>
                <w:rFonts w:asciiTheme="minorHAnsi" w:eastAsia="Times New Roman" w:hAnsiTheme="minorHAnsi" w:cs="Arial"/>
                <w:b/>
                <w:bCs/>
                <w:sz w:val="18"/>
                <w:szCs w:val="18"/>
              </w:rPr>
              <w:t>Liabilities</w:t>
            </w:r>
          </w:p>
        </w:tc>
        <w:tc>
          <w:tcPr>
            <w:tcW w:w="579" w:type="pct"/>
            <w:vAlign w:val="bottom"/>
          </w:tcPr>
          <w:p w14:paraId="3F91C7E7" w14:textId="77777777" w:rsidR="004F248E" w:rsidRPr="004F248E" w:rsidRDefault="004F248E" w:rsidP="004F248E">
            <w:pPr>
              <w:suppressAutoHyphens/>
              <w:spacing w:after="0" w:line="240" w:lineRule="exact"/>
              <w:ind w:left="-123"/>
              <w:jc w:val="right"/>
              <w:rPr>
                <w:rFonts w:asciiTheme="minorHAnsi" w:eastAsia="Times New Roman" w:hAnsiTheme="minorHAnsi" w:cs="Arial"/>
                <w:spacing w:val="-2"/>
                <w:sz w:val="18"/>
                <w:szCs w:val="18"/>
                <w:lang w:val="hr-HR"/>
              </w:rPr>
            </w:pPr>
          </w:p>
        </w:tc>
        <w:tc>
          <w:tcPr>
            <w:tcW w:w="580" w:type="pct"/>
            <w:vAlign w:val="bottom"/>
          </w:tcPr>
          <w:p w14:paraId="56AEB8A4" w14:textId="77777777" w:rsidR="004F248E" w:rsidRPr="004F248E" w:rsidRDefault="004F248E" w:rsidP="004F248E">
            <w:pPr>
              <w:suppressAutoHyphens/>
              <w:spacing w:after="0" w:line="240" w:lineRule="exact"/>
              <w:jc w:val="right"/>
              <w:rPr>
                <w:rFonts w:asciiTheme="minorHAnsi" w:eastAsia="Times New Roman" w:hAnsiTheme="minorHAnsi" w:cs="Arial"/>
                <w:spacing w:val="-2"/>
                <w:sz w:val="18"/>
                <w:szCs w:val="18"/>
                <w:lang w:val="hr-HR"/>
              </w:rPr>
            </w:pPr>
          </w:p>
        </w:tc>
        <w:tc>
          <w:tcPr>
            <w:tcW w:w="580" w:type="pct"/>
            <w:vAlign w:val="bottom"/>
          </w:tcPr>
          <w:p w14:paraId="07EE4F9C" w14:textId="77777777" w:rsidR="004F248E" w:rsidRPr="004F248E" w:rsidRDefault="004F248E" w:rsidP="004F248E">
            <w:pPr>
              <w:suppressAutoHyphens/>
              <w:spacing w:after="0" w:line="240" w:lineRule="exact"/>
              <w:jc w:val="right"/>
              <w:rPr>
                <w:rFonts w:asciiTheme="minorHAnsi" w:eastAsia="Times New Roman" w:hAnsiTheme="minorHAnsi" w:cs="Arial"/>
                <w:spacing w:val="-2"/>
                <w:sz w:val="18"/>
                <w:szCs w:val="18"/>
                <w:lang w:val="hr-HR"/>
              </w:rPr>
            </w:pPr>
          </w:p>
        </w:tc>
        <w:tc>
          <w:tcPr>
            <w:tcW w:w="580" w:type="pct"/>
            <w:vAlign w:val="bottom"/>
          </w:tcPr>
          <w:p w14:paraId="5C70D9F4" w14:textId="77777777" w:rsidR="004F248E" w:rsidRPr="004F248E" w:rsidRDefault="004F248E" w:rsidP="004F248E">
            <w:pPr>
              <w:suppressAutoHyphens/>
              <w:spacing w:after="0" w:line="240" w:lineRule="exact"/>
              <w:jc w:val="right"/>
              <w:rPr>
                <w:rFonts w:asciiTheme="minorHAnsi" w:eastAsia="Times New Roman" w:hAnsiTheme="minorHAnsi" w:cs="Arial"/>
                <w:spacing w:val="-2"/>
                <w:sz w:val="18"/>
                <w:szCs w:val="18"/>
                <w:lang w:val="hr-HR"/>
              </w:rPr>
            </w:pPr>
          </w:p>
        </w:tc>
        <w:tc>
          <w:tcPr>
            <w:tcW w:w="652" w:type="pct"/>
            <w:vAlign w:val="bottom"/>
          </w:tcPr>
          <w:p w14:paraId="70664E03" w14:textId="77777777" w:rsidR="004F248E" w:rsidRPr="004F248E" w:rsidRDefault="004F248E" w:rsidP="004F248E">
            <w:pPr>
              <w:suppressAutoHyphens/>
              <w:spacing w:after="0" w:line="240" w:lineRule="exact"/>
              <w:jc w:val="right"/>
              <w:rPr>
                <w:rFonts w:asciiTheme="minorHAnsi" w:eastAsia="Times New Roman" w:hAnsiTheme="minorHAnsi" w:cs="Arial"/>
                <w:spacing w:val="-2"/>
                <w:sz w:val="18"/>
                <w:szCs w:val="18"/>
                <w:lang w:val="hr-HR"/>
              </w:rPr>
            </w:pPr>
          </w:p>
        </w:tc>
        <w:tc>
          <w:tcPr>
            <w:tcW w:w="580" w:type="pct"/>
            <w:vAlign w:val="bottom"/>
          </w:tcPr>
          <w:p w14:paraId="1FCBCA45" w14:textId="77777777" w:rsidR="004F248E" w:rsidRPr="004F248E" w:rsidRDefault="004F248E" w:rsidP="004F248E">
            <w:pPr>
              <w:spacing w:after="0" w:line="240" w:lineRule="exact"/>
              <w:jc w:val="right"/>
              <w:rPr>
                <w:rFonts w:asciiTheme="minorHAnsi" w:eastAsia="Times New Roman" w:hAnsiTheme="minorHAnsi" w:cs="Arial"/>
                <w:b/>
                <w:sz w:val="18"/>
                <w:szCs w:val="18"/>
                <w:lang w:val="hr-HR"/>
              </w:rPr>
            </w:pPr>
          </w:p>
        </w:tc>
      </w:tr>
      <w:tr w:rsidR="004F248E" w:rsidRPr="004F248E" w14:paraId="0E733547" w14:textId="77777777" w:rsidTr="004F248E">
        <w:tc>
          <w:tcPr>
            <w:tcW w:w="1449" w:type="pct"/>
          </w:tcPr>
          <w:p w14:paraId="7FFA5856"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Deposits</w:t>
            </w:r>
          </w:p>
        </w:tc>
        <w:tc>
          <w:tcPr>
            <w:tcW w:w="579" w:type="pct"/>
            <w:tcBorders>
              <w:top w:val="nil"/>
              <w:left w:val="nil"/>
              <w:bottom w:val="nil"/>
              <w:right w:val="nil"/>
            </w:tcBorders>
            <w:shd w:val="clear" w:color="auto" w:fill="auto"/>
            <w:vAlign w:val="bottom"/>
          </w:tcPr>
          <w:p w14:paraId="421BD4B3"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48,380</w:t>
            </w:r>
          </w:p>
        </w:tc>
        <w:tc>
          <w:tcPr>
            <w:tcW w:w="580" w:type="pct"/>
            <w:tcBorders>
              <w:top w:val="nil"/>
              <w:left w:val="nil"/>
              <w:bottom w:val="nil"/>
              <w:right w:val="nil"/>
            </w:tcBorders>
            <w:shd w:val="clear" w:color="auto" w:fill="auto"/>
            <w:vAlign w:val="bottom"/>
          </w:tcPr>
          <w:p w14:paraId="40BBC1CD"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42,778</w:t>
            </w:r>
          </w:p>
        </w:tc>
        <w:tc>
          <w:tcPr>
            <w:tcW w:w="580" w:type="pct"/>
            <w:tcBorders>
              <w:top w:val="nil"/>
              <w:left w:val="nil"/>
              <w:bottom w:val="nil"/>
              <w:right w:val="nil"/>
            </w:tcBorders>
            <w:shd w:val="clear" w:color="auto" w:fill="auto"/>
            <w:vAlign w:val="bottom"/>
          </w:tcPr>
          <w:p w14:paraId="7E06A917"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3,459</w:t>
            </w:r>
          </w:p>
        </w:tc>
        <w:tc>
          <w:tcPr>
            <w:tcW w:w="580" w:type="pct"/>
            <w:tcBorders>
              <w:top w:val="nil"/>
              <w:left w:val="nil"/>
              <w:bottom w:val="nil"/>
              <w:right w:val="nil"/>
            </w:tcBorders>
            <w:shd w:val="clear" w:color="auto" w:fill="auto"/>
            <w:vAlign w:val="bottom"/>
          </w:tcPr>
          <w:p w14:paraId="6091CC77"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94,617</w:t>
            </w:r>
          </w:p>
        </w:tc>
        <w:tc>
          <w:tcPr>
            <w:tcW w:w="652" w:type="pct"/>
            <w:tcBorders>
              <w:top w:val="nil"/>
              <w:left w:val="nil"/>
              <w:bottom w:val="nil"/>
              <w:right w:val="nil"/>
            </w:tcBorders>
            <w:shd w:val="clear" w:color="auto" w:fill="auto"/>
            <w:vAlign w:val="bottom"/>
          </w:tcPr>
          <w:p w14:paraId="545DEDD6"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48,227</w:t>
            </w:r>
          </w:p>
        </w:tc>
        <w:tc>
          <w:tcPr>
            <w:tcW w:w="580" w:type="pct"/>
            <w:tcBorders>
              <w:top w:val="nil"/>
              <w:left w:val="nil"/>
              <w:bottom w:val="nil"/>
            </w:tcBorders>
            <w:shd w:val="clear" w:color="auto" w:fill="auto"/>
            <w:vAlign w:val="bottom"/>
          </w:tcPr>
          <w:p w14:paraId="327A0734"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142,844</w:t>
            </w:r>
          </w:p>
        </w:tc>
      </w:tr>
      <w:tr w:rsidR="004F248E" w:rsidRPr="004F248E" w14:paraId="450540FA" w14:textId="77777777" w:rsidTr="004F248E">
        <w:tc>
          <w:tcPr>
            <w:tcW w:w="1449" w:type="pct"/>
          </w:tcPr>
          <w:p w14:paraId="74CFA108"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Borrowings</w:t>
            </w:r>
          </w:p>
        </w:tc>
        <w:tc>
          <w:tcPr>
            <w:tcW w:w="579" w:type="pct"/>
            <w:tcBorders>
              <w:top w:val="nil"/>
              <w:left w:val="nil"/>
              <w:bottom w:val="nil"/>
              <w:right w:val="nil"/>
            </w:tcBorders>
            <w:shd w:val="clear" w:color="auto" w:fill="auto"/>
            <w:vAlign w:val="bottom"/>
          </w:tcPr>
          <w:p w14:paraId="5C61B19B"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315,433</w:t>
            </w:r>
          </w:p>
        </w:tc>
        <w:tc>
          <w:tcPr>
            <w:tcW w:w="580" w:type="pct"/>
            <w:tcBorders>
              <w:top w:val="nil"/>
              <w:left w:val="nil"/>
              <w:bottom w:val="nil"/>
              <w:right w:val="nil"/>
            </w:tcBorders>
            <w:shd w:val="clear" w:color="auto" w:fill="auto"/>
            <w:vAlign w:val="bottom"/>
          </w:tcPr>
          <w:p w14:paraId="2AE77155"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13,076,316</w:t>
            </w:r>
          </w:p>
        </w:tc>
        <w:tc>
          <w:tcPr>
            <w:tcW w:w="580" w:type="pct"/>
            <w:tcBorders>
              <w:top w:val="nil"/>
              <w:left w:val="nil"/>
              <w:bottom w:val="nil"/>
              <w:right w:val="nil"/>
            </w:tcBorders>
            <w:shd w:val="clear" w:color="auto" w:fill="auto"/>
            <w:vAlign w:val="bottom"/>
          </w:tcPr>
          <w:p w14:paraId="0BF3A48C"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14:paraId="1CFC3A18"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13,391,749</w:t>
            </w:r>
          </w:p>
        </w:tc>
        <w:tc>
          <w:tcPr>
            <w:tcW w:w="652" w:type="pct"/>
            <w:tcBorders>
              <w:top w:val="nil"/>
              <w:left w:val="nil"/>
              <w:bottom w:val="nil"/>
              <w:right w:val="nil"/>
            </w:tcBorders>
            <w:shd w:val="clear" w:color="auto" w:fill="auto"/>
            <w:vAlign w:val="bottom"/>
          </w:tcPr>
          <w:p w14:paraId="134D7D25"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tcBorders>
            <w:shd w:val="clear" w:color="auto" w:fill="auto"/>
            <w:vAlign w:val="bottom"/>
          </w:tcPr>
          <w:p w14:paraId="1EC6A06D"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13,391,749</w:t>
            </w:r>
          </w:p>
        </w:tc>
      </w:tr>
      <w:tr w:rsidR="004F248E" w:rsidRPr="004F248E" w14:paraId="214F11E3" w14:textId="77777777" w:rsidTr="004F248E">
        <w:tc>
          <w:tcPr>
            <w:tcW w:w="1449" w:type="pct"/>
          </w:tcPr>
          <w:p w14:paraId="759A8651"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Bonds payable</w:t>
            </w:r>
          </w:p>
        </w:tc>
        <w:tc>
          <w:tcPr>
            <w:tcW w:w="579" w:type="pct"/>
            <w:tcBorders>
              <w:top w:val="nil"/>
              <w:left w:val="nil"/>
              <w:bottom w:val="nil"/>
              <w:right w:val="nil"/>
            </w:tcBorders>
            <w:shd w:val="clear" w:color="auto" w:fill="auto"/>
            <w:vAlign w:val="bottom"/>
          </w:tcPr>
          <w:p w14:paraId="441FC6EA"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14:paraId="121ED1A8"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3,105,569</w:t>
            </w:r>
          </w:p>
        </w:tc>
        <w:tc>
          <w:tcPr>
            <w:tcW w:w="580" w:type="pct"/>
            <w:tcBorders>
              <w:top w:val="nil"/>
              <w:left w:val="nil"/>
              <w:bottom w:val="nil"/>
              <w:right w:val="nil"/>
            </w:tcBorders>
            <w:shd w:val="clear" w:color="auto" w:fill="auto"/>
            <w:vAlign w:val="bottom"/>
          </w:tcPr>
          <w:p w14:paraId="435DDAEB"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14:paraId="02A44EC1"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3,105,569</w:t>
            </w:r>
          </w:p>
        </w:tc>
        <w:tc>
          <w:tcPr>
            <w:tcW w:w="652" w:type="pct"/>
            <w:tcBorders>
              <w:top w:val="nil"/>
              <w:left w:val="nil"/>
              <w:bottom w:val="nil"/>
              <w:right w:val="nil"/>
            </w:tcBorders>
            <w:shd w:val="clear" w:color="auto" w:fill="auto"/>
            <w:vAlign w:val="bottom"/>
          </w:tcPr>
          <w:p w14:paraId="746DEC5F"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tcBorders>
            <w:shd w:val="clear" w:color="auto" w:fill="auto"/>
            <w:vAlign w:val="bottom"/>
          </w:tcPr>
          <w:p w14:paraId="3811E370"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3,105,569</w:t>
            </w:r>
          </w:p>
        </w:tc>
      </w:tr>
      <w:tr w:rsidR="004F248E" w:rsidRPr="004F248E" w14:paraId="6AA5795A" w14:textId="77777777" w:rsidTr="004F248E">
        <w:tc>
          <w:tcPr>
            <w:tcW w:w="1449" w:type="pct"/>
          </w:tcPr>
          <w:p w14:paraId="716DEEE7"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Other liabilities</w:t>
            </w:r>
          </w:p>
        </w:tc>
        <w:tc>
          <w:tcPr>
            <w:tcW w:w="579" w:type="pct"/>
            <w:tcBorders>
              <w:top w:val="nil"/>
              <w:left w:val="nil"/>
              <w:bottom w:val="single" w:sz="4" w:space="0" w:color="auto"/>
              <w:right w:val="nil"/>
            </w:tcBorders>
            <w:shd w:val="clear" w:color="auto" w:fill="auto"/>
            <w:vAlign w:val="bottom"/>
          </w:tcPr>
          <w:p w14:paraId="21731206"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single" w:sz="4" w:space="0" w:color="auto"/>
              <w:right w:val="nil"/>
            </w:tcBorders>
            <w:shd w:val="clear" w:color="auto" w:fill="auto"/>
            <w:vAlign w:val="bottom"/>
          </w:tcPr>
          <w:p w14:paraId="56873EA1"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2,895</w:t>
            </w:r>
          </w:p>
        </w:tc>
        <w:tc>
          <w:tcPr>
            <w:tcW w:w="580" w:type="pct"/>
            <w:tcBorders>
              <w:top w:val="nil"/>
              <w:left w:val="nil"/>
              <w:bottom w:val="single" w:sz="4" w:space="0" w:color="auto"/>
              <w:right w:val="nil"/>
            </w:tcBorders>
            <w:shd w:val="clear" w:color="auto" w:fill="auto"/>
            <w:vAlign w:val="bottom"/>
          </w:tcPr>
          <w:p w14:paraId="1D7A8726"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2,840</w:t>
            </w:r>
          </w:p>
        </w:tc>
        <w:tc>
          <w:tcPr>
            <w:tcW w:w="580" w:type="pct"/>
            <w:tcBorders>
              <w:top w:val="nil"/>
              <w:left w:val="nil"/>
              <w:bottom w:val="single" w:sz="4" w:space="0" w:color="auto"/>
              <w:right w:val="nil"/>
            </w:tcBorders>
            <w:shd w:val="clear" w:color="auto" w:fill="auto"/>
            <w:vAlign w:val="bottom"/>
          </w:tcPr>
          <w:p w14:paraId="009F7C6C"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5,735</w:t>
            </w:r>
          </w:p>
        </w:tc>
        <w:tc>
          <w:tcPr>
            <w:tcW w:w="652" w:type="pct"/>
            <w:tcBorders>
              <w:top w:val="nil"/>
              <w:left w:val="nil"/>
              <w:bottom w:val="single" w:sz="4" w:space="0" w:color="auto"/>
              <w:right w:val="nil"/>
            </w:tcBorders>
            <w:shd w:val="clear" w:color="auto" w:fill="auto"/>
            <w:vAlign w:val="bottom"/>
          </w:tcPr>
          <w:p w14:paraId="0174F6E2"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691,039</w:t>
            </w:r>
          </w:p>
        </w:tc>
        <w:tc>
          <w:tcPr>
            <w:tcW w:w="580" w:type="pct"/>
            <w:tcBorders>
              <w:top w:val="nil"/>
              <w:left w:val="nil"/>
              <w:bottom w:val="single" w:sz="4" w:space="0" w:color="auto"/>
            </w:tcBorders>
            <w:shd w:val="clear" w:color="auto" w:fill="auto"/>
            <w:vAlign w:val="bottom"/>
          </w:tcPr>
          <w:p w14:paraId="7F2FDFB1"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696,774</w:t>
            </w:r>
          </w:p>
        </w:tc>
      </w:tr>
      <w:tr w:rsidR="004F248E" w:rsidRPr="004F248E" w14:paraId="5CD999AA" w14:textId="77777777" w:rsidTr="004F248E">
        <w:tc>
          <w:tcPr>
            <w:tcW w:w="1449" w:type="pct"/>
          </w:tcPr>
          <w:p w14:paraId="692D6083"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b/>
                <w:bCs/>
                <w:sz w:val="18"/>
                <w:szCs w:val="18"/>
              </w:rPr>
            </w:pPr>
            <w:r w:rsidRPr="004F248E">
              <w:rPr>
                <w:rFonts w:asciiTheme="minorHAnsi" w:eastAsia="Times New Roman" w:hAnsiTheme="minorHAnsi" w:cs="Arial"/>
                <w:b/>
                <w:bCs/>
                <w:sz w:val="18"/>
                <w:szCs w:val="18"/>
              </w:rPr>
              <w:t>Total liabilities</w:t>
            </w:r>
          </w:p>
        </w:tc>
        <w:tc>
          <w:tcPr>
            <w:tcW w:w="579" w:type="pct"/>
            <w:tcBorders>
              <w:top w:val="single" w:sz="4" w:space="0" w:color="auto"/>
              <w:left w:val="nil"/>
              <w:bottom w:val="single" w:sz="12" w:space="0" w:color="auto"/>
              <w:right w:val="nil"/>
            </w:tcBorders>
            <w:shd w:val="clear" w:color="auto" w:fill="auto"/>
            <w:vAlign w:val="bottom"/>
          </w:tcPr>
          <w:p w14:paraId="0CDC743C"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363,813</w:t>
            </w:r>
          </w:p>
        </w:tc>
        <w:tc>
          <w:tcPr>
            <w:tcW w:w="580" w:type="pct"/>
            <w:tcBorders>
              <w:top w:val="single" w:sz="4" w:space="0" w:color="auto"/>
              <w:left w:val="nil"/>
              <w:bottom w:val="single" w:sz="12" w:space="0" w:color="auto"/>
              <w:right w:val="nil"/>
            </w:tcBorders>
            <w:shd w:val="clear" w:color="auto" w:fill="auto"/>
            <w:vAlign w:val="bottom"/>
          </w:tcPr>
          <w:p w14:paraId="0063D1D5"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16,227,558</w:t>
            </w:r>
          </w:p>
        </w:tc>
        <w:tc>
          <w:tcPr>
            <w:tcW w:w="580" w:type="pct"/>
            <w:tcBorders>
              <w:top w:val="single" w:sz="4" w:space="0" w:color="auto"/>
              <w:left w:val="nil"/>
              <w:bottom w:val="single" w:sz="12" w:space="0" w:color="auto"/>
              <w:right w:val="nil"/>
            </w:tcBorders>
            <w:shd w:val="clear" w:color="auto" w:fill="auto"/>
            <w:vAlign w:val="bottom"/>
          </w:tcPr>
          <w:p w14:paraId="1075760E"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6,299</w:t>
            </w:r>
          </w:p>
        </w:tc>
        <w:tc>
          <w:tcPr>
            <w:tcW w:w="580" w:type="pct"/>
            <w:tcBorders>
              <w:top w:val="single" w:sz="4" w:space="0" w:color="auto"/>
              <w:left w:val="nil"/>
              <w:bottom w:val="single" w:sz="12" w:space="0" w:color="auto"/>
              <w:right w:val="nil"/>
            </w:tcBorders>
            <w:shd w:val="clear" w:color="auto" w:fill="auto"/>
            <w:vAlign w:val="bottom"/>
          </w:tcPr>
          <w:p w14:paraId="053EA7DF"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16,597,670</w:t>
            </w:r>
          </w:p>
        </w:tc>
        <w:tc>
          <w:tcPr>
            <w:tcW w:w="652" w:type="pct"/>
            <w:tcBorders>
              <w:top w:val="single" w:sz="4" w:space="0" w:color="auto"/>
              <w:left w:val="nil"/>
              <w:bottom w:val="single" w:sz="12" w:space="0" w:color="auto"/>
              <w:right w:val="nil"/>
            </w:tcBorders>
            <w:shd w:val="clear" w:color="auto" w:fill="auto"/>
            <w:vAlign w:val="bottom"/>
          </w:tcPr>
          <w:p w14:paraId="4FBABB02"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739,266</w:t>
            </w:r>
          </w:p>
        </w:tc>
        <w:tc>
          <w:tcPr>
            <w:tcW w:w="580" w:type="pct"/>
            <w:tcBorders>
              <w:top w:val="single" w:sz="4" w:space="0" w:color="auto"/>
              <w:left w:val="nil"/>
              <w:bottom w:val="single" w:sz="12" w:space="0" w:color="auto"/>
            </w:tcBorders>
            <w:shd w:val="clear" w:color="auto" w:fill="auto"/>
            <w:vAlign w:val="bottom"/>
          </w:tcPr>
          <w:p w14:paraId="49A51313"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17,336,936</w:t>
            </w:r>
          </w:p>
        </w:tc>
      </w:tr>
      <w:tr w:rsidR="004F248E" w:rsidRPr="004F248E" w14:paraId="494DDF1E" w14:textId="77777777" w:rsidTr="004F248E">
        <w:tc>
          <w:tcPr>
            <w:tcW w:w="1449" w:type="pct"/>
          </w:tcPr>
          <w:p w14:paraId="22E8FFD4" w14:textId="77777777" w:rsidR="004F248E" w:rsidRPr="004F248E" w:rsidRDefault="004F248E" w:rsidP="004F248E">
            <w:pPr>
              <w:keepNext/>
              <w:keepLines/>
              <w:tabs>
                <w:tab w:val="decimal" w:pos="1202"/>
              </w:tabs>
              <w:spacing w:after="0" w:line="240" w:lineRule="exact"/>
              <w:rPr>
                <w:rFonts w:asciiTheme="minorHAnsi" w:eastAsia="Times New Roman" w:hAnsiTheme="minorHAnsi" w:cs="Arial"/>
                <w:b/>
                <w:position w:val="4"/>
                <w:sz w:val="18"/>
                <w:szCs w:val="18"/>
              </w:rPr>
            </w:pPr>
          </w:p>
        </w:tc>
        <w:tc>
          <w:tcPr>
            <w:tcW w:w="579" w:type="pct"/>
            <w:tcBorders>
              <w:top w:val="single" w:sz="12" w:space="0" w:color="auto"/>
            </w:tcBorders>
            <w:vAlign w:val="bottom"/>
          </w:tcPr>
          <w:p w14:paraId="5FAB1F29" w14:textId="77777777" w:rsidR="004F248E" w:rsidRPr="004F248E" w:rsidRDefault="004F248E" w:rsidP="004F248E">
            <w:pPr>
              <w:keepNext/>
              <w:keepLines/>
              <w:tabs>
                <w:tab w:val="decimal" w:pos="1202"/>
              </w:tabs>
              <w:spacing w:after="0" w:line="240" w:lineRule="exact"/>
              <w:jc w:val="right"/>
              <w:rPr>
                <w:rFonts w:asciiTheme="minorHAnsi" w:eastAsia="Times New Roman" w:hAnsiTheme="minorHAnsi" w:cs="Arial"/>
                <w:b/>
                <w:spacing w:val="-2"/>
                <w:position w:val="4"/>
                <w:sz w:val="18"/>
                <w:szCs w:val="18"/>
                <w:lang w:val="hr-HR"/>
              </w:rPr>
            </w:pPr>
          </w:p>
        </w:tc>
        <w:tc>
          <w:tcPr>
            <w:tcW w:w="580" w:type="pct"/>
            <w:tcBorders>
              <w:top w:val="single" w:sz="12" w:space="0" w:color="auto"/>
            </w:tcBorders>
            <w:vAlign w:val="bottom"/>
          </w:tcPr>
          <w:p w14:paraId="42D75C1C" w14:textId="77777777" w:rsidR="004F248E" w:rsidRPr="004F248E" w:rsidRDefault="004F248E" w:rsidP="004F248E">
            <w:pPr>
              <w:keepNext/>
              <w:keepLines/>
              <w:tabs>
                <w:tab w:val="decimal" w:pos="1202"/>
              </w:tabs>
              <w:spacing w:after="0" w:line="240" w:lineRule="exact"/>
              <w:jc w:val="right"/>
              <w:rPr>
                <w:rFonts w:asciiTheme="minorHAnsi" w:eastAsia="Times New Roman" w:hAnsiTheme="minorHAnsi" w:cs="Arial"/>
                <w:b/>
                <w:spacing w:val="-2"/>
                <w:position w:val="4"/>
                <w:sz w:val="18"/>
                <w:szCs w:val="18"/>
                <w:lang w:val="hr-HR"/>
              </w:rPr>
            </w:pPr>
          </w:p>
        </w:tc>
        <w:tc>
          <w:tcPr>
            <w:tcW w:w="580" w:type="pct"/>
            <w:tcBorders>
              <w:top w:val="single" w:sz="12" w:space="0" w:color="auto"/>
            </w:tcBorders>
            <w:vAlign w:val="bottom"/>
          </w:tcPr>
          <w:p w14:paraId="5AF56D72" w14:textId="77777777" w:rsidR="004F248E" w:rsidRPr="004F248E" w:rsidRDefault="004F248E" w:rsidP="004F248E">
            <w:pPr>
              <w:keepNext/>
              <w:keepLines/>
              <w:tabs>
                <w:tab w:val="decimal" w:pos="1202"/>
              </w:tabs>
              <w:spacing w:after="0" w:line="240" w:lineRule="exact"/>
              <w:jc w:val="right"/>
              <w:rPr>
                <w:rFonts w:asciiTheme="minorHAnsi" w:eastAsia="Times New Roman" w:hAnsiTheme="minorHAnsi" w:cs="Arial"/>
                <w:b/>
                <w:spacing w:val="-2"/>
                <w:position w:val="4"/>
                <w:sz w:val="18"/>
                <w:szCs w:val="18"/>
                <w:lang w:val="hr-HR"/>
              </w:rPr>
            </w:pPr>
          </w:p>
        </w:tc>
        <w:tc>
          <w:tcPr>
            <w:tcW w:w="580" w:type="pct"/>
            <w:tcBorders>
              <w:top w:val="single" w:sz="12" w:space="0" w:color="auto"/>
            </w:tcBorders>
            <w:vAlign w:val="bottom"/>
          </w:tcPr>
          <w:p w14:paraId="14748F00" w14:textId="77777777" w:rsidR="004F248E" w:rsidRPr="004F248E" w:rsidRDefault="004F248E" w:rsidP="004F248E">
            <w:pPr>
              <w:keepNext/>
              <w:keepLines/>
              <w:tabs>
                <w:tab w:val="decimal" w:pos="1202"/>
              </w:tabs>
              <w:spacing w:after="0" w:line="240" w:lineRule="exact"/>
              <w:jc w:val="right"/>
              <w:rPr>
                <w:rFonts w:asciiTheme="minorHAnsi" w:eastAsia="Times New Roman" w:hAnsiTheme="minorHAnsi" w:cs="Arial"/>
                <w:b/>
                <w:spacing w:val="-2"/>
                <w:position w:val="4"/>
                <w:sz w:val="18"/>
                <w:szCs w:val="18"/>
                <w:lang w:val="hr-HR"/>
              </w:rPr>
            </w:pPr>
          </w:p>
        </w:tc>
        <w:tc>
          <w:tcPr>
            <w:tcW w:w="652" w:type="pct"/>
            <w:tcBorders>
              <w:top w:val="single" w:sz="12" w:space="0" w:color="auto"/>
            </w:tcBorders>
            <w:vAlign w:val="bottom"/>
          </w:tcPr>
          <w:p w14:paraId="569EABA5" w14:textId="77777777" w:rsidR="004F248E" w:rsidRPr="004F248E" w:rsidRDefault="004F248E" w:rsidP="004F248E">
            <w:pPr>
              <w:keepNext/>
              <w:keepLines/>
              <w:tabs>
                <w:tab w:val="decimal" w:pos="1202"/>
              </w:tabs>
              <w:spacing w:after="0" w:line="240" w:lineRule="exact"/>
              <w:jc w:val="right"/>
              <w:rPr>
                <w:rFonts w:asciiTheme="minorHAnsi" w:eastAsia="Times New Roman" w:hAnsiTheme="minorHAnsi" w:cs="Arial"/>
                <w:b/>
                <w:spacing w:val="-2"/>
                <w:position w:val="4"/>
                <w:sz w:val="18"/>
                <w:szCs w:val="18"/>
                <w:lang w:val="hr-HR"/>
              </w:rPr>
            </w:pPr>
          </w:p>
        </w:tc>
        <w:tc>
          <w:tcPr>
            <w:tcW w:w="580" w:type="pct"/>
            <w:tcBorders>
              <w:top w:val="single" w:sz="12" w:space="0" w:color="auto"/>
            </w:tcBorders>
            <w:vAlign w:val="bottom"/>
          </w:tcPr>
          <w:p w14:paraId="202BBF12" w14:textId="77777777" w:rsidR="004F248E" w:rsidRPr="004F248E" w:rsidRDefault="004F248E" w:rsidP="004F248E">
            <w:pPr>
              <w:keepNext/>
              <w:keepLines/>
              <w:tabs>
                <w:tab w:val="decimal" w:pos="1202"/>
              </w:tabs>
              <w:spacing w:after="0" w:line="240" w:lineRule="exact"/>
              <w:jc w:val="right"/>
              <w:rPr>
                <w:rFonts w:asciiTheme="minorHAnsi" w:eastAsia="Times New Roman" w:hAnsiTheme="minorHAnsi" w:cs="Arial"/>
                <w:b/>
                <w:spacing w:val="-2"/>
                <w:position w:val="4"/>
                <w:sz w:val="18"/>
                <w:szCs w:val="18"/>
                <w:lang w:val="hr-HR"/>
              </w:rPr>
            </w:pPr>
          </w:p>
        </w:tc>
      </w:tr>
      <w:tr w:rsidR="004F248E" w:rsidRPr="004F248E" w14:paraId="21A6158B" w14:textId="77777777" w:rsidTr="004F248E">
        <w:tc>
          <w:tcPr>
            <w:tcW w:w="1449" w:type="pct"/>
          </w:tcPr>
          <w:p w14:paraId="4B7569F9"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b/>
                <w:bCs/>
                <w:sz w:val="18"/>
                <w:szCs w:val="18"/>
              </w:rPr>
            </w:pPr>
            <w:r w:rsidRPr="004F248E">
              <w:rPr>
                <w:rFonts w:asciiTheme="minorHAnsi" w:eastAsia="Times New Roman" w:hAnsiTheme="minorHAnsi" w:cs="Arial"/>
                <w:b/>
                <w:bCs/>
                <w:sz w:val="18"/>
                <w:szCs w:val="18"/>
              </w:rPr>
              <w:t>Equity</w:t>
            </w:r>
          </w:p>
        </w:tc>
        <w:tc>
          <w:tcPr>
            <w:tcW w:w="579" w:type="pct"/>
            <w:vAlign w:val="bottom"/>
          </w:tcPr>
          <w:p w14:paraId="726F5AC2" w14:textId="77777777" w:rsidR="004F248E" w:rsidRPr="004F248E" w:rsidRDefault="004F248E" w:rsidP="004F248E">
            <w:pPr>
              <w:spacing w:after="0" w:line="240" w:lineRule="exact"/>
              <w:jc w:val="right"/>
              <w:outlineLvl w:val="0"/>
              <w:rPr>
                <w:rFonts w:asciiTheme="minorHAnsi" w:eastAsia="Times New Roman" w:hAnsiTheme="minorHAnsi" w:cs="Arial"/>
                <w:sz w:val="18"/>
                <w:szCs w:val="18"/>
                <w:lang w:val="hr-HR"/>
              </w:rPr>
            </w:pPr>
          </w:p>
        </w:tc>
        <w:tc>
          <w:tcPr>
            <w:tcW w:w="580" w:type="pct"/>
            <w:vAlign w:val="bottom"/>
          </w:tcPr>
          <w:p w14:paraId="34F9B47F" w14:textId="77777777" w:rsidR="004F248E" w:rsidRPr="004F248E" w:rsidRDefault="004F248E" w:rsidP="004F248E">
            <w:pPr>
              <w:spacing w:after="0" w:line="240" w:lineRule="exact"/>
              <w:jc w:val="right"/>
              <w:outlineLvl w:val="0"/>
              <w:rPr>
                <w:rFonts w:asciiTheme="minorHAnsi" w:eastAsia="Times New Roman" w:hAnsiTheme="minorHAnsi" w:cs="Arial"/>
                <w:sz w:val="18"/>
                <w:szCs w:val="18"/>
                <w:lang w:val="hr-HR"/>
              </w:rPr>
            </w:pPr>
          </w:p>
        </w:tc>
        <w:tc>
          <w:tcPr>
            <w:tcW w:w="580" w:type="pct"/>
            <w:vAlign w:val="bottom"/>
          </w:tcPr>
          <w:p w14:paraId="6A8E34E4" w14:textId="77777777" w:rsidR="004F248E" w:rsidRPr="004F248E" w:rsidRDefault="004F248E" w:rsidP="004F248E">
            <w:pPr>
              <w:spacing w:after="0" w:line="240" w:lineRule="exact"/>
              <w:jc w:val="right"/>
              <w:outlineLvl w:val="0"/>
              <w:rPr>
                <w:rFonts w:asciiTheme="minorHAnsi" w:eastAsia="Times New Roman" w:hAnsiTheme="minorHAnsi" w:cs="Arial"/>
                <w:sz w:val="18"/>
                <w:szCs w:val="18"/>
                <w:lang w:val="hr-HR"/>
              </w:rPr>
            </w:pPr>
          </w:p>
        </w:tc>
        <w:tc>
          <w:tcPr>
            <w:tcW w:w="580" w:type="pct"/>
            <w:vAlign w:val="bottom"/>
          </w:tcPr>
          <w:p w14:paraId="6C8FF6FA" w14:textId="77777777" w:rsidR="004F248E" w:rsidRPr="004F248E" w:rsidRDefault="004F248E" w:rsidP="004F248E">
            <w:pPr>
              <w:spacing w:after="0" w:line="240" w:lineRule="exact"/>
              <w:jc w:val="right"/>
              <w:outlineLvl w:val="0"/>
              <w:rPr>
                <w:rFonts w:asciiTheme="minorHAnsi" w:eastAsia="Times New Roman" w:hAnsiTheme="minorHAnsi" w:cs="Arial"/>
                <w:sz w:val="18"/>
                <w:szCs w:val="18"/>
                <w:lang w:val="hr-HR"/>
              </w:rPr>
            </w:pPr>
          </w:p>
        </w:tc>
        <w:tc>
          <w:tcPr>
            <w:tcW w:w="652" w:type="pct"/>
            <w:vAlign w:val="bottom"/>
          </w:tcPr>
          <w:p w14:paraId="6A02C117" w14:textId="77777777" w:rsidR="004F248E" w:rsidRPr="004F248E" w:rsidRDefault="004F248E" w:rsidP="004F248E">
            <w:pPr>
              <w:spacing w:after="0" w:line="240" w:lineRule="exact"/>
              <w:jc w:val="right"/>
              <w:outlineLvl w:val="0"/>
              <w:rPr>
                <w:rFonts w:asciiTheme="minorHAnsi" w:eastAsia="Times New Roman" w:hAnsiTheme="minorHAnsi" w:cs="Arial"/>
                <w:sz w:val="18"/>
                <w:szCs w:val="18"/>
                <w:lang w:val="hr-HR"/>
              </w:rPr>
            </w:pPr>
          </w:p>
        </w:tc>
        <w:tc>
          <w:tcPr>
            <w:tcW w:w="580" w:type="pct"/>
            <w:vAlign w:val="bottom"/>
          </w:tcPr>
          <w:p w14:paraId="06B67B55" w14:textId="77777777" w:rsidR="004F248E" w:rsidRPr="004F248E" w:rsidRDefault="004F248E" w:rsidP="004F248E">
            <w:pPr>
              <w:spacing w:after="0" w:line="240" w:lineRule="exact"/>
              <w:jc w:val="right"/>
              <w:outlineLvl w:val="0"/>
              <w:rPr>
                <w:rFonts w:asciiTheme="minorHAnsi" w:eastAsia="Times New Roman" w:hAnsiTheme="minorHAnsi" w:cs="Arial"/>
                <w:sz w:val="18"/>
                <w:szCs w:val="18"/>
                <w:lang w:val="hr-HR"/>
              </w:rPr>
            </w:pPr>
          </w:p>
        </w:tc>
      </w:tr>
      <w:tr w:rsidR="004F248E" w:rsidRPr="004F248E" w14:paraId="46DF32F4" w14:textId="77777777" w:rsidTr="004F248E">
        <w:tc>
          <w:tcPr>
            <w:tcW w:w="1449" w:type="pct"/>
            <w:vAlign w:val="bottom"/>
          </w:tcPr>
          <w:p w14:paraId="7B9528AB"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Founder’s capital</w:t>
            </w:r>
          </w:p>
        </w:tc>
        <w:tc>
          <w:tcPr>
            <w:tcW w:w="579" w:type="pct"/>
            <w:vAlign w:val="bottom"/>
          </w:tcPr>
          <w:p w14:paraId="24462AA6" w14:textId="77777777" w:rsidR="004F248E" w:rsidRPr="004F248E" w:rsidRDefault="004F248E" w:rsidP="004F248E">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4F248E">
              <w:rPr>
                <w:rFonts w:asciiTheme="minorHAnsi" w:eastAsia="Arial Unicode MS" w:hAnsiTheme="minorHAnsi" w:cs="Arial"/>
                <w:sz w:val="18"/>
                <w:szCs w:val="18"/>
              </w:rPr>
              <w:t>-</w:t>
            </w:r>
          </w:p>
        </w:tc>
        <w:tc>
          <w:tcPr>
            <w:tcW w:w="580" w:type="pct"/>
            <w:vAlign w:val="bottom"/>
          </w:tcPr>
          <w:p w14:paraId="32DEE5F7" w14:textId="77777777" w:rsidR="004F248E" w:rsidRPr="004F248E" w:rsidRDefault="004F248E" w:rsidP="004F248E">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4F248E">
              <w:rPr>
                <w:rFonts w:asciiTheme="minorHAnsi" w:eastAsia="Arial Unicode MS" w:hAnsiTheme="minorHAnsi" w:cs="Arial"/>
                <w:sz w:val="18"/>
                <w:szCs w:val="18"/>
              </w:rPr>
              <w:t>-</w:t>
            </w:r>
          </w:p>
        </w:tc>
        <w:tc>
          <w:tcPr>
            <w:tcW w:w="580" w:type="pct"/>
            <w:vAlign w:val="bottom"/>
          </w:tcPr>
          <w:p w14:paraId="2C290F65" w14:textId="77777777" w:rsidR="004F248E" w:rsidRPr="004F248E" w:rsidRDefault="004F248E" w:rsidP="004F248E">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4F248E">
              <w:rPr>
                <w:rFonts w:asciiTheme="minorHAnsi" w:eastAsia="Arial Unicode MS" w:hAnsiTheme="minorHAnsi" w:cs="Arial"/>
                <w:sz w:val="18"/>
                <w:szCs w:val="18"/>
              </w:rPr>
              <w:t>-</w:t>
            </w:r>
          </w:p>
        </w:tc>
        <w:tc>
          <w:tcPr>
            <w:tcW w:w="580" w:type="pct"/>
            <w:vAlign w:val="bottom"/>
          </w:tcPr>
          <w:p w14:paraId="3E40674A" w14:textId="77777777" w:rsidR="004F248E" w:rsidRPr="004F248E" w:rsidRDefault="004F248E" w:rsidP="004F248E">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4F248E">
              <w:rPr>
                <w:rFonts w:asciiTheme="minorHAnsi" w:eastAsia="Arial Unicode MS" w:hAnsiTheme="minorHAnsi" w:cs="Arial"/>
                <w:sz w:val="18"/>
                <w:szCs w:val="18"/>
              </w:rPr>
              <w:t>-</w:t>
            </w:r>
          </w:p>
        </w:tc>
        <w:tc>
          <w:tcPr>
            <w:tcW w:w="652" w:type="pct"/>
            <w:tcBorders>
              <w:top w:val="nil"/>
              <w:left w:val="nil"/>
              <w:bottom w:val="nil"/>
              <w:right w:val="nil"/>
            </w:tcBorders>
            <w:shd w:val="clear" w:color="auto" w:fill="auto"/>
            <w:vAlign w:val="bottom"/>
          </w:tcPr>
          <w:p w14:paraId="47C7544E"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6,959,632</w:t>
            </w:r>
          </w:p>
        </w:tc>
        <w:tc>
          <w:tcPr>
            <w:tcW w:w="580" w:type="pct"/>
            <w:tcBorders>
              <w:top w:val="nil"/>
              <w:left w:val="nil"/>
              <w:bottom w:val="nil"/>
            </w:tcBorders>
            <w:shd w:val="clear" w:color="auto" w:fill="auto"/>
            <w:vAlign w:val="bottom"/>
          </w:tcPr>
          <w:p w14:paraId="44FA06AF"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6,959,632</w:t>
            </w:r>
          </w:p>
        </w:tc>
      </w:tr>
      <w:tr w:rsidR="004F248E" w:rsidRPr="004F248E" w14:paraId="1575191C" w14:textId="77777777" w:rsidTr="004F248E">
        <w:tc>
          <w:tcPr>
            <w:tcW w:w="1449" w:type="pct"/>
          </w:tcPr>
          <w:p w14:paraId="7BB28A23"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Retained earnings and reserves</w:t>
            </w:r>
          </w:p>
        </w:tc>
        <w:tc>
          <w:tcPr>
            <w:tcW w:w="579" w:type="pct"/>
            <w:vAlign w:val="bottom"/>
          </w:tcPr>
          <w:p w14:paraId="0B6A5635"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Arial Unicode MS" w:hAnsiTheme="minorHAnsi" w:cs="Arial"/>
                <w:sz w:val="18"/>
                <w:szCs w:val="18"/>
                <w:lang w:val="en-US"/>
              </w:rPr>
              <w:t>-</w:t>
            </w:r>
          </w:p>
        </w:tc>
        <w:tc>
          <w:tcPr>
            <w:tcW w:w="580" w:type="pct"/>
            <w:vAlign w:val="bottom"/>
          </w:tcPr>
          <w:p w14:paraId="0979DB8A"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Arial Unicode MS" w:hAnsiTheme="minorHAnsi" w:cs="Arial"/>
                <w:sz w:val="18"/>
                <w:szCs w:val="18"/>
                <w:lang w:val="en-US"/>
              </w:rPr>
              <w:t>-</w:t>
            </w:r>
          </w:p>
        </w:tc>
        <w:tc>
          <w:tcPr>
            <w:tcW w:w="580" w:type="pct"/>
            <w:vAlign w:val="bottom"/>
          </w:tcPr>
          <w:p w14:paraId="22E7FE06"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Arial Unicode MS" w:hAnsiTheme="minorHAnsi" w:cs="Arial"/>
                <w:sz w:val="18"/>
                <w:szCs w:val="18"/>
                <w:lang w:val="en-US"/>
              </w:rPr>
              <w:t>-</w:t>
            </w:r>
          </w:p>
        </w:tc>
        <w:tc>
          <w:tcPr>
            <w:tcW w:w="580" w:type="pct"/>
            <w:vAlign w:val="bottom"/>
          </w:tcPr>
          <w:p w14:paraId="3908EB32"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Arial Unicode MS" w:hAnsiTheme="minorHAnsi" w:cs="Arial"/>
                <w:sz w:val="18"/>
                <w:szCs w:val="18"/>
                <w:lang w:val="en-US"/>
              </w:rPr>
              <w:t>-</w:t>
            </w:r>
          </w:p>
        </w:tc>
        <w:tc>
          <w:tcPr>
            <w:tcW w:w="652" w:type="pct"/>
            <w:tcBorders>
              <w:top w:val="nil"/>
              <w:left w:val="nil"/>
              <w:bottom w:val="nil"/>
              <w:right w:val="nil"/>
            </w:tcBorders>
            <w:shd w:val="clear" w:color="auto" w:fill="auto"/>
            <w:vAlign w:val="bottom"/>
          </w:tcPr>
          <w:p w14:paraId="2633ADCA"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2,682,131</w:t>
            </w:r>
          </w:p>
        </w:tc>
        <w:tc>
          <w:tcPr>
            <w:tcW w:w="580" w:type="pct"/>
            <w:tcBorders>
              <w:top w:val="nil"/>
              <w:left w:val="nil"/>
              <w:bottom w:val="nil"/>
            </w:tcBorders>
            <w:shd w:val="clear" w:color="auto" w:fill="auto"/>
            <w:vAlign w:val="bottom"/>
          </w:tcPr>
          <w:p w14:paraId="279EE2F2"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2,682,131</w:t>
            </w:r>
          </w:p>
        </w:tc>
      </w:tr>
      <w:tr w:rsidR="004F248E" w:rsidRPr="004F248E" w14:paraId="287B897E" w14:textId="77777777" w:rsidTr="004F248E">
        <w:tc>
          <w:tcPr>
            <w:tcW w:w="1449" w:type="pct"/>
          </w:tcPr>
          <w:p w14:paraId="48510DAE"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Other reserves</w:t>
            </w:r>
          </w:p>
        </w:tc>
        <w:tc>
          <w:tcPr>
            <w:tcW w:w="579" w:type="pct"/>
            <w:vAlign w:val="bottom"/>
          </w:tcPr>
          <w:p w14:paraId="6886A320"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Arial Unicode MS" w:hAnsiTheme="minorHAnsi" w:cs="Arial"/>
                <w:sz w:val="18"/>
                <w:szCs w:val="18"/>
                <w:lang w:val="en-US"/>
              </w:rPr>
              <w:t>-</w:t>
            </w:r>
          </w:p>
        </w:tc>
        <w:tc>
          <w:tcPr>
            <w:tcW w:w="580" w:type="pct"/>
            <w:vAlign w:val="bottom"/>
          </w:tcPr>
          <w:p w14:paraId="102CF771"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Arial Unicode MS" w:hAnsiTheme="minorHAnsi" w:cs="Arial"/>
                <w:sz w:val="18"/>
                <w:szCs w:val="18"/>
                <w:lang w:val="en-US"/>
              </w:rPr>
              <w:t>-</w:t>
            </w:r>
          </w:p>
        </w:tc>
        <w:tc>
          <w:tcPr>
            <w:tcW w:w="580" w:type="pct"/>
            <w:vAlign w:val="bottom"/>
          </w:tcPr>
          <w:p w14:paraId="281D6459"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Arial Unicode MS" w:hAnsiTheme="minorHAnsi" w:cs="Arial"/>
                <w:sz w:val="18"/>
                <w:szCs w:val="18"/>
                <w:lang w:val="en-US"/>
              </w:rPr>
              <w:t>-</w:t>
            </w:r>
          </w:p>
        </w:tc>
        <w:tc>
          <w:tcPr>
            <w:tcW w:w="580" w:type="pct"/>
            <w:vAlign w:val="bottom"/>
          </w:tcPr>
          <w:p w14:paraId="0A9F69F3"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Arial Unicode MS" w:hAnsiTheme="minorHAnsi" w:cs="Arial"/>
                <w:sz w:val="18"/>
                <w:szCs w:val="18"/>
                <w:lang w:val="en-US"/>
              </w:rPr>
              <w:t>-</w:t>
            </w:r>
          </w:p>
        </w:tc>
        <w:tc>
          <w:tcPr>
            <w:tcW w:w="652" w:type="pct"/>
            <w:tcBorders>
              <w:top w:val="nil"/>
              <w:left w:val="nil"/>
              <w:right w:val="nil"/>
            </w:tcBorders>
            <w:shd w:val="clear" w:color="auto" w:fill="auto"/>
            <w:vAlign w:val="bottom"/>
          </w:tcPr>
          <w:p w14:paraId="20B04AEC"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70,317</w:t>
            </w:r>
          </w:p>
        </w:tc>
        <w:tc>
          <w:tcPr>
            <w:tcW w:w="580" w:type="pct"/>
            <w:tcBorders>
              <w:top w:val="nil"/>
              <w:left w:val="nil"/>
            </w:tcBorders>
            <w:shd w:val="clear" w:color="auto" w:fill="auto"/>
            <w:vAlign w:val="bottom"/>
          </w:tcPr>
          <w:p w14:paraId="263709B1"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70,317</w:t>
            </w:r>
          </w:p>
        </w:tc>
      </w:tr>
      <w:tr w:rsidR="004F248E" w:rsidRPr="004F248E" w14:paraId="4D072E8E" w14:textId="77777777" w:rsidTr="004F248E">
        <w:tc>
          <w:tcPr>
            <w:tcW w:w="1449" w:type="pct"/>
          </w:tcPr>
          <w:p w14:paraId="26567779"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Net profit for the year</w:t>
            </w:r>
          </w:p>
        </w:tc>
        <w:tc>
          <w:tcPr>
            <w:tcW w:w="579" w:type="pct"/>
            <w:tcBorders>
              <w:bottom w:val="single" w:sz="4" w:space="0" w:color="auto"/>
            </w:tcBorders>
            <w:vAlign w:val="bottom"/>
          </w:tcPr>
          <w:p w14:paraId="5E32287C"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Arial Unicode MS" w:hAnsiTheme="minorHAnsi" w:cs="Arial"/>
                <w:sz w:val="18"/>
                <w:szCs w:val="18"/>
                <w:lang w:val="en-US"/>
              </w:rPr>
              <w:t>-</w:t>
            </w:r>
          </w:p>
        </w:tc>
        <w:tc>
          <w:tcPr>
            <w:tcW w:w="580" w:type="pct"/>
            <w:tcBorders>
              <w:bottom w:val="single" w:sz="4" w:space="0" w:color="auto"/>
            </w:tcBorders>
            <w:vAlign w:val="bottom"/>
          </w:tcPr>
          <w:p w14:paraId="4547FA7C"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Arial Unicode MS" w:hAnsiTheme="minorHAnsi" w:cs="Arial"/>
                <w:sz w:val="18"/>
                <w:szCs w:val="18"/>
                <w:lang w:val="en-US"/>
              </w:rPr>
              <w:t>-</w:t>
            </w:r>
          </w:p>
        </w:tc>
        <w:tc>
          <w:tcPr>
            <w:tcW w:w="580" w:type="pct"/>
            <w:tcBorders>
              <w:bottom w:val="single" w:sz="4" w:space="0" w:color="auto"/>
            </w:tcBorders>
            <w:vAlign w:val="bottom"/>
          </w:tcPr>
          <w:p w14:paraId="75612DED"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Arial Unicode MS" w:hAnsiTheme="minorHAnsi" w:cs="Arial"/>
                <w:sz w:val="18"/>
                <w:szCs w:val="18"/>
                <w:lang w:val="en-US"/>
              </w:rPr>
              <w:t>-</w:t>
            </w:r>
          </w:p>
        </w:tc>
        <w:tc>
          <w:tcPr>
            <w:tcW w:w="580" w:type="pct"/>
            <w:tcBorders>
              <w:bottom w:val="single" w:sz="4" w:space="0" w:color="auto"/>
            </w:tcBorders>
            <w:vAlign w:val="bottom"/>
          </w:tcPr>
          <w:p w14:paraId="2C2BD6DC"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Arial Unicode MS" w:hAnsiTheme="minorHAnsi" w:cs="Arial"/>
                <w:sz w:val="18"/>
                <w:szCs w:val="18"/>
                <w:lang w:val="en-US"/>
              </w:rPr>
              <w:t>-</w:t>
            </w:r>
          </w:p>
        </w:tc>
        <w:tc>
          <w:tcPr>
            <w:tcW w:w="652" w:type="pct"/>
            <w:tcBorders>
              <w:top w:val="nil"/>
              <w:left w:val="nil"/>
              <w:bottom w:val="single" w:sz="4" w:space="0" w:color="auto"/>
              <w:right w:val="nil"/>
            </w:tcBorders>
            <w:shd w:val="clear" w:color="auto" w:fill="auto"/>
            <w:vAlign w:val="bottom"/>
          </w:tcPr>
          <w:p w14:paraId="28DE6FD8"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313,525</w:t>
            </w:r>
          </w:p>
        </w:tc>
        <w:tc>
          <w:tcPr>
            <w:tcW w:w="580" w:type="pct"/>
            <w:tcBorders>
              <w:top w:val="nil"/>
              <w:left w:val="nil"/>
              <w:bottom w:val="single" w:sz="4" w:space="0" w:color="auto"/>
            </w:tcBorders>
            <w:shd w:val="clear" w:color="auto" w:fill="auto"/>
            <w:vAlign w:val="bottom"/>
          </w:tcPr>
          <w:p w14:paraId="7875749A"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313,525</w:t>
            </w:r>
          </w:p>
        </w:tc>
      </w:tr>
      <w:tr w:rsidR="004F248E" w:rsidRPr="004F248E" w14:paraId="32C7EB20" w14:textId="77777777" w:rsidTr="004F248E">
        <w:trPr>
          <w:trHeight w:val="125"/>
        </w:trPr>
        <w:tc>
          <w:tcPr>
            <w:tcW w:w="1449" w:type="pct"/>
            <w:vAlign w:val="bottom"/>
          </w:tcPr>
          <w:p w14:paraId="2791EC1B"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b/>
                <w:bCs/>
                <w:sz w:val="18"/>
                <w:szCs w:val="18"/>
              </w:rPr>
            </w:pPr>
            <w:r w:rsidRPr="004F248E">
              <w:rPr>
                <w:rFonts w:asciiTheme="minorHAnsi" w:eastAsia="Times New Roman" w:hAnsiTheme="minorHAnsi" w:cs="Arial"/>
                <w:b/>
                <w:bCs/>
                <w:sz w:val="18"/>
                <w:szCs w:val="18"/>
              </w:rPr>
              <w:t>Capital</w:t>
            </w:r>
          </w:p>
        </w:tc>
        <w:tc>
          <w:tcPr>
            <w:tcW w:w="579" w:type="pct"/>
            <w:tcBorders>
              <w:top w:val="single" w:sz="4" w:space="0" w:color="auto"/>
              <w:bottom w:val="single" w:sz="12" w:space="0" w:color="auto"/>
            </w:tcBorders>
            <w:vAlign w:val="bottom"/>
          </w:tcPr>
          <w:p w14:paraId="241B9E94" w14:textId="77777777" w:rsidR="004F248E" w:rsidRPr="004F248E" w:rsidRDefault="004F248E" w:rsidP="004F248E">
            <w:pPr>
              <w:spacing w:after="0" w:line="340" w:lineRule="exact"/>
              <w:jc w:val="right"/>
              <w:outlineLvl w:val="0"/>
              <w:rPr>
                <w:rFonts w:asciiTheme="minorHAnsi" w:eastAsia="Times New Roman" w:hAnsiTheme="minorHAnsi" w:cs="Arial"/>
                <w:b/>
                <w:bCs/>
                <w:sz w:val="18"/>
                <w:szCs w:val="18"/>
                <w:lang w:val="hr-HR"/>
              </w:rPr>
            </w:pPr>
            <w:r w:rsidRPr="004F248E">
              <w:rPr>
                <w:rFonts w:asciiTheme="minorHAnsi" w:eastAsia="Times New Roman" w:hAnsiTheme="minorHAnsi" w:cs="Arial"/>
                <w:b/>
                <w:bCs/>
                <w:sz w:val="18"/>
                <w:szCs w:val="18"/>
              </w:rPr>
              <w:t>-</w:t>
            </w:r>
          </w:p>
        </w:tc>
        <w:tc>
          <w:tcPr>
            <w:tcW w:w="580" w:type="pct"/>
            <w:tcBorders>
              <w:top w:val="single" w:sz="4" w:space="0" w:color="auto"/>
              <w:bottom w:val="single" w:sz="12" w:space="0" w:color="auto"/>
            </w:tcBorders>
            <w:vAlign w:val="bottom"/>
          </w:tcPr>
          <w:p w14:paraId="529F5447" w14:textId="77777777" w:rsidR="004F248E" w:rsidRPr="004F248E" w:rsidRDefault="004F248E" w:rsidP="004F248E">
            <w:pPr>
              <w:spacing w:after="0" w:line="340" w:lineRule="exact"/>
              <w:jc w:val="right"/>
              <w:outlineLvl w:val="0"/>
              <w:rPr>
                <w:rFonts w:asciiTheme="minorHAnsi" w:eastAsia="Times New Roman" w:hAnsiTheme="minorHAnsi" w:cs="Arial"/>
                <w:b/>
                <w:bCs/>
                <w:sz w:val="18"/>
                <w:szCs w:val="18"/>
                <w:lang w:val="hr-HR"/>
              </w:rPr>
            </w:pPr>
            <w:r w:rsidRPr="004F248E">
              <w:rPr>
                <w:rFonts w:asciiTheme="minorHAnsi" w:eastAsia="Times New Roman" w:hAnsiTheme="minorHAnsi" w:cs="Arial"/>
                <w:b/>
                <w:bCs/>
                <w:sz w:val="18"/>
                <w:szCs w:val="18"/>
              </w:rPr>
              <w:t>-</w:t>
            </w:r>
          </w:p>
        </w:tc>
        <w:tc>
          <w:tcPr>
            <w:tcW w:w="580" w:type="pct"/>
            <w:tcBorders>
              <w:top w:val="single" w:sz="4" w:space="0" w:color="auto"/>
              <w:bottom w:val="single" w:sz="12" w:space="0" w:color="auto"/>
            </w:tcBorders>
            <w:vAlign w:val="bottom"/>
          </w:tcPr>
          <w:p w14:paraId="457110B1" w14:textId="77777777" w:rsidR="004F248E" w:rsidRPr="004F248E" w:rsidRDefault="004F248E" w:rsidP="004F248E">
            <w:pPr>
              <w:spacing w:after="0" w:line="340" w:lineRule="exact"/>
              <w:jc w:val="right"/>
              <w:outlineLvl w:val="0"/>
              <w:rPr>
                <w:rFonts w:asciiTheme="minorHAnsi" w:eastAsia="Times New Roman" w:hAnsiTheme="minorHAnsi" w:cs="Arial"/>
                <w:b/>
                <w:bCs/>
                <w:sz w:val="18"/>
                <w:szCs w:val="18"/>
                <w:lang w:val="hr-HR"/>
              </w:rPr>
            </w:pPr>
            <w:r w:rsidRPr="004F248E">
              <w:rPr>
                <w:rFonts w:asciiTheme="minorHAnsi" w:eastAsia="Times New Roman" w:hAnsiTheme="minorHAnsi" w:cs="Arial"/>
                <w:b/>
                <w:bCs/>
                <w:sz w:val="18"/>
                <w:szCs w:val="18"/>
              </w:rPr>
              <w:t>-</w:t>
            </w:r>
          </w:p>
        </w:tc>
        <w:tc>
          <w:tcPr>
            <w:tcW w:w="580" w:type="pct"/>
            <w:tcBorders>
              <w:top w:val="single" w:sz="4" w:space="0" w:color="auto"/>
              <w:bottom w:val="single" w:sz="12" w:space="0" w:color="auto"/>
            </w:tcBorders>
            <w:vAlign w:val="bottom"/>
          </w:tcPr>
          <w:p w14:paraId="1D9A3B88" w14:textId="77777777" w:rsidR="004F248E" w:rsidRPr="004F248E" w:rsidRDefault="004F248E" w:rsidP="004F248E">
            <w:pPr>
              <w:spacing w:after="0" w:line="340" w:lineRule="exact"/>
              <w:jc w:val="right"/>
              <w:outlineLvl w:val="0"/>
              <w:rPr>
                <w:rFonts w:asciiTheme="minorHAnsi" w:eastAsia="Times New Roman" w:hAnsiTheme="minorHAnsi" w:cs="Arial"/>
                <w:b/>
                <w:bCs/>
                <w:sz w:val="18"/>
                <w:szCs w:val="18"/>
                <w:lang w:val="hr-HR"/>
              </w:rPr>
            </w:pPr>
            <w:r w:rsidRPr="004F248E">
              <w:rPr>
                <w:rFonts w:asciiTheme="minorHAnsi" w:eastAsia="Times New Roman" w:hAnsiTheme="minorHAnsi" w:cs="Arial"/>
                <w:b/>
                <w:bCs/>
                <w:sz w:val="18"/>
                <w:szCs w:val="18"/>
              </w:rPr>
              <w:t>-</w:t>
            </w:r>
          </w:p>
        </w:tc>
        <w:tc>
          <w:tcPr>
            <w:tcW w:w="652" w:type="pct"/>
            <w:tcBorders>
              <w:top w:val="single" w:sz="4" w:space="0" w:color="auto"/>
              <w:left w:val="nil"/>
              <w:bottom w:val="single" w:sz="4" w:space="0" w:color="auto"/>
              <w:right w:val="nil"/>
            </w:tcBorders>
            <w:shd w:val="clear" w:color="auto" w:fill="auto"/>
            <w:vAlign w:val="bottom"/>
          </w:tcPr>
          <w:p w14:paraId="40EA9318"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10,025,605</w:t>
            </w:r>
          </w:p>
        </w:tc>
        <w:tc>
          <w:tcPr>
            <w:tcW w:w="580" w:type="pct"/>
            <w:tcBorders>
              <w:top w:val="single" w:sz="4" w:space="0" w:color="auto"/>
              <w:left w:val="nil"/>
              <w:bottom w:val="single" w:sz="4" w:space="0" w:color="auto"/>
            </w:tcBorders>
            <w:shd w:val="clear" w:color="auto" w:fill="auto"/>
            <w:vAlign w:val="bottom"/>
          </w:tcPr>
          <w:p w14:paraId="0219CC86"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10,025,605</w:t>
            </w:r>
          </w:p>
        </w:tc>
      </w:tr>
      <w:tr w:rsidR="004F248E" w:rsidRPr="004F248E" w14:paraId="273F647F" w14:textId="77777777" w:rsidTr="004F248E">
        <w:trPr>
          <w:trHeight w:val="133"/>
        </w:trPr>
        <w:tc>
          <w:tcPr>
            <w:tcW w:w="1449" w:type="pct"/>
            <w:vAlign w:val="bottom"/>
          </w:tcPr>
          <w:p w14:paraId="3A93F82E"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Guarantee fund</w:t>
            </w:r>
          </w:p>
        </w:tc>
        <w:tc>
          <w:tcPr>
            <w:tcW w:w="579" w:type="pct"/>
            <w:tcBorders>
              <w:top w:val="single" w:sz="12" w:space="0" w:color="auto"/>
              <w:left w:val="nil"/>
              <w:bottom w:val="single" w:sz="4" w:space="0" w:color="auto"/>
              <w:right w:val="nil"/>
            </w:tcBorders>
            <w:shd w:val="clear" w:color="auto" w:fill="auto"/>
            <w:vAlign w:val="bottom"/>
          </w:tcPr>
          <w:p w14:paraId="59A4C71D" w14:textId="77777777" w:rsidR="004F248E" w:rsidRPr="004F248E" w:rsidRDefault="004F248E" w:rsidP="004F248E">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4F248E">
              <w:rPr>
                <w:rFonts w:asciiTheme="minorHAnsi" w:eastAsia="Times New Roman" w:hAnsiTheme="minorHAnsi" w:cs="Arial"/>
                <w:sz w:val="18"/>
                <w:szCs w:val="18"/>
              </w:rPr>
              <w:t>-</w:t>
            </w:r>
          </w:p>
        </w:tc>
        <w:tc>
          <w:tcPr>
            <w:tcW w:w="580" w:type="pct"/>
            <w:tcBorders>
              <w:top w:val="single" w:sz="12" w:space="0" w:color="auto"/>
              <w:left w:val="nil"/>
              <w:bottom w:val="single" w:sz="4" w:space="0" w:color="auto"/>
              <w:right w:val="nil"/>
            </w:tcBorders>
            <w:shd w:val="clear" w:color="auto" w:fill="auto"/>
            <w:vAlign w:val="bottom"/>
          </w:tcPr>
          <w:p w14:paraId="21778B8A"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12,375</w:t>
            </w:r>
          </w:p>
        </w:tc>
        <w:tc>
          <w:tcPr>
            <w:tcW w:w="580" w:type="pct"/>
            <w:tcBorders>
              <w:top w:val="single" w:sz="12" w:space="0" w:color="auto"/>
              <w:left w:val="nil"/>
              <w:bottom w:val="single" w:sz="4" w:space="0" w:color="auto"/>
              <w:right w:val="nil"/>
            </w:tcBorders>
            <w:shd w:val="clear" w:color="auto" w:fill="auto"/>
            <w:vAlign w:val="bottom"/>
          </w:tcPr>
          <w:p w14:paraId="0230E51C"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single" w:sz="12" w:space="0" w:color="auto"/>
              <w:left w:val="nil"/>
              <w:bottom w:val="single" w:sz="4" w:space="0" w:color="auto"/>
              <w:right w:val="nil"/>
            </w:tcBorders>
            <w:shd w:val="clear" w:color="auto" w:fill="auto"/>
            <w:vAlign w:val="bottom"/>
          </w:tcPr>
          <w:p w14:paraId="28D20A96"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12,375</w:t>
            </w:r>
          </w:p>
        </w:tc>
        <w:tc>
          <w:tcPr>
            <w:tcW w:w="652" w:type="pct"/>
            <w:tcBorders>
              <w:top w:val="single" w:sz="12" w:space="0" w:color="auto"/>
              <w:left w:val="nil"/>
              <w:bottom w:val="single" w:sz="4" w:space="0" w:color="auto"/>
              <w:right w:val="nil"/>
            </w:tcBorders>
            <w:shd w:val="clear" w:color="auto" w:fill="auto"/>
            <w:vAlign w:val="bottom"/>
          </w:tcPr>
          <w:p w14:paraId="1CECE4CE"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single" w:sz="12" w:space="0" w:color="auto"/>
              <w:left w:val="nil"/>
              <w:bottom w:val="single" w:sz="4" w:space="0" w:color="auto"/>
            </w:tcBorders>
            <w:shd w:val="clear" w:color="auto" w:fill="auto"/>
            <w:vAlign w:val="bottom"/>
          </w:tcPr>
          <w:p w14:paraId="471261D1" w14:textId="77777777"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12,375</w:t>
            </w:r>
          </w:p>
        </w:tc>
      </w:tr>
      <w:tr w:rsidR="004F248E" w:rsidRPr="004F248E" w14:paraId="5F5E7D9E" w14:textId="77777777" w:rsidTr="004F248E">
        <w:tc>
          <w:tcPr>
            <w:tcW w:w="1449" w:type="pct"/>
            <w:vAlign w:val="bottom"/>
          </w:tcPr>
          <w:p w14:paraId="45FF203F" w14:textId="77777777" w:rsidR="004F248E" w:rsidRPr="004F248E" w:rsidRDefault="004F248E" w:rsidP="004F248E">
            <w:pPr>
              <w:spacing w:after="0" w:line="240" w:lineRule="exact"/>
              <w:rPr>
                <w:rFonts w:asciiTheme="minorHAnsi" w:eastAsia="Times New Roman" w:hAnsiTheme="minorHAnsi" w:cs="Arial"/>
                <w:b/>
                <w:bCs/>
                <w:sz w:val="18"/>
                <w:szCs w:val="18"/>
              </w:rPr>
            </w:pPr>
            <w:r w:rsidRPr="004F248E">
              <w:rPr>
                <w:rFonts w:asciiTheme="minorHAnsi" w:eastAsia="Times New Roman" w:hAnsiTheme="minorHAnsi" w:cs="Arial"/>
                <w:b/>
                <w:bCs/>
                <w:sz w:val="18"/>
                <w:szCs w:val="18"/>
              </w:rPr>
              <w:t>Total equity</w:t>
            </w:r>
          </w:p>
        </w:tc>
        <w:tc>
          <w:tcPr>
            <w:tcW w:w="579" w:type="pct"/>
            <w:tcBorders>
              <w:top w:val="single" w:sz="4" w:space="0" w:color="auto"/>
              <w:left w:val="nil"/>
              <w:bottom w:val="single" w:sz="4" w:space="0" w:color="auto"/>
              <w:right w:val="nil"/>
            </w:tcBorders>
            <w:shd w:val="clear" w:color="auto" w:fill="auto"/>
            <w:vAlign w:val="bottom"/>
          </w:tcPr>
          <w:p w14:paraId="6784EEFF" w14:textId="77777777" w:rsidR="004F248E" w:rsidRPr="004F248E" w:rsidRDefault="004F248E" w:rsidP="004F248E">
            <w:pPr>
              <w:tabs>
                <w:tab w:val="right" w:pos="1202"/>
              </w:tabs>
              <w:spacing w:after="0" w:line="340" w:lineRule="exact"/>
              <w:jc w:val="right"/>
              <w:outlineLvl w:val="0"/>
              <w:rPr>
                <w:rFonts w:asciiTheme="minorHAnsi" w:eastAsia="Times New Roman" w:hAnsiTheme="minorHAnsi" w:cs="Arial"/>
                <w:b/>
                <w:bCs/>
                <w:spacing w:val="-2"/>
                <w:sz w:val="18"/>
                <w:szCs w:val="18"/>
                <w:lang w:val="hr-HR"/>
              </w:rPr>
            </w:pPr>
            <w:r w:rsidRPr="004F248E">
              <w:rPr>
                <w:rFonts w:asciiTheme="minorHAnsi" w:eastAsia="Times New Roman" w:hAnsiTheme="minorHAnsi" w:cs="Arial"/>
                <w:b/>
                <w:sz w:val="18"/>
                <w:szCs w:val="18"/>
              </w:rPr>
              <w:t>-</w:t>
            </w:r>
          </w:p>
        </w:tc>
        <w:tc>
          <w:tcPr>
            <w:tcW w:w="580" w:type="pct"/>
            <w:tcBorders>
              <w:top w:val="single" w:sz="4" w:space="0" w:color="auto"/>
              <w:left w:val="nil"/>
              <w:bottom w:val="single" w:sz="4" w:space="0" w:color="auto"/>
              <w:right w:val="nil"/>
            </w:tcBorders>
            <w:shd w:val="clear" w:color="auto" w:fill="auto"/>
            <w:vAlign w:val="bottom"/>
          </w:tcPr>
          <w:p w14:paraId="71D18BDE"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pl-PL"/>
              </w:rPr>
            </w:pPr>
            <w:r w:rsidRPr="004F248E">
              <w:rPr>
                <w:rFonts w:asciiTheme="minorHAnsi" w:eastAsia="Times New Roman" w:hAnsiTheme="minorHAnsi" w:cs="Arial"/>
                <w:b/>
                <w:sz w:val="18"/>
                <w:szCs w:val="18"/>
                <w:lang w:val="en-US"/>
              </w:rPr>
              <w:t>12,375</w:t>
            </w:r>
          </w:p>
        </w:tc>
        <w:tc>
          <w:tcPr>
            <w:tcW w:w="580" w:type="pct"/>
            <w:tcBorders>
              <w:top w:val="single" w:sz="4" w:space="0" w:color="auto"/>
              <w:left w:val="nil"/>
              <w:bottom w:val="single" w:sz="4" w:space="0" w:color="auto"/>
              <w:right w:val="nil"/>
            </w:tcBorders>
            <w:shd w:val="clear" w:color="auto" w:fill="auto"/>
            <w:vAlign w:val="bottom"/>
          </w:tcPr>
          <w:p w14:paraId="0EEFBEAF"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pl-PL"/>
              </w:rPr>
            </w:pPr>
            <w:r w:rsidRPr="004F248E">
              <w:rPr>
                <w:rFonts w:asciiTheme="minorHAnsi" w:eastAsia="Times New Roman" w:hAnsiTheme="minorHAnsi" w:cs="Arial"/>
                <w:b/>
                <w:sz w:val="18"/>
                <w:szCs w:val="18"/>
                <w:lang w:val="en-US"/>
              </w:rPr>
              <w:t>-</w:t>
            </w:r>
          </w:p>
        </w:tc>
        <w:tc>
          <w:tcPr>
            <w:tcW w:w="580" w:type="pct"/>
            <w:tcBorders>
              <w:top w:val="single" w:sz="4" w:space="0" w:color="auto"/>
              <w:left w:val="nil"/>
              <w:bottom w:val="single" w:sz="4" w:space="0" w:color="auto"/>
              <w:right w:val="nil"/>
            </w:tcBorders>
            <w:shd w:val="clear" w:color="auto" w:fill="auto"/>
            <w:vAlign w:val="bottom"/>
          </w:tcPr>
          <w:p w14:paraId="1E72FCF1"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pl-PL"/>
              </w:rPr>
            </w:pPr>
            <w:r w:rsidRPr="004F248E">
              <w:rPr>
                <w:rFonts w:asciiTheme="minorHAnsi" w:eastAsia="Times New Roman" w:hAnsiTheme="minorHAnsi" w:cs="Arial"/>
                <w:b/>
                <w:sz w:val="18"/>
                <w:szCs w:val="18"/>
                <w:lang w:val="en-US"/>
              </w:rPr>
              <w:t>12,375</w:t>
            </w:r>
          </w:p>
        </w:tc>
        <w:tc>
          <w:tcPr>
            <w:tcW w:w="652" w:type="pct"/>
            <w:tcBorders>
              <w:top w:val="single" w:sz="4" w:space="0" w:color="auto"/>
              <w:left w:val="nil"/>
              <w:bottom w:val="single" w:sz="4" w:space="0" w:color="auto"/>
              <w:right w:val="nil"/>
            </w:tcBorders>
            <w:shd w:val="clear" w:color="auto" w:fill="auto"/>
            <w:vAlign w:val="bottom"/>
          </w:tcPr>
          <w:p w14:paraId="3C5E7A53"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pl-PL"/>
              </w:rPr>
            </w:pPr>
            <w:r w:rsidRPr="004F248E">
              <w:rPr>
                <w:rFonts w:asciiTheme="minorHAnsi" w:eastAsia="Times New Roman" w:hAnsiTheme="minorHAnsi" w:cs="Arial"/>
                <w:b/>
                <w:sz w:val="18"/>
                <w:szCs w:val="18"/>
                <w:lang w:val="en-US"/>
              </w:rPr>
              <w:t>10,025,605</w:t>
            </w:r>
          </w:p>
        </w:tc>
        <w:tc>
          <w:tcPr>
            <w:tcW w:w="580" w:type="pct"/>
            <w:tcBorders>
              <w:top w:val="single" w:sz="4" w:space="0" w:color="auto"/>
              <w:left w:val="nil"/>
              <w:bottom w:val="single" w:sz="4" w:space="0" w:color="auto"/>
            </w:tcBorders>
            <w:shd w:val="clear" w:color="auto" w:fill="auto"/>
            <w:vAlign w:val="bottom"/>
          </w:tcPr>
          <w:p w14:paraId="0F8794A7"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10,037,980</w:t>
            </w:r>
          </w:p>
        </w:tc>
      </w:tr>
      <w:tr w:rsidR="004F248E" w:rsidRPr="004F248E" w14:paraId="4E3A091C" w14:textId="77777777" w:rsidTr="004F248E">
        <w:tc>
          <w:tcPr>
            <w:tcW w:w="1449" w:type="pct"/>
          </w:tcPr>
          <w:p w14:paraId="47060405" w14:textId="77777777" w:rsidR="004F248E" w:rsidRPr="004F248E" w:rsidRDefault="004F248E" w:rsidP="004F248E">
            <w:pPr>
              <w:spacing w:after="0" w:line="240" w:lineRule="exact"/>
              <w:rPr>
                <w:rFonts w:asciiTheme="minorHAnsi" w:eastAsia="Times New Roman" w:hAnsiTheme="minorHAnsi" w:cs="Arial"/>
                <w:b/>
                <w:bCs/>
                <w:sz w:val="18"/>
                <w:szCs w:val="18"/>
              </w:rPr>
            </w:pPr>
            <w:r w:rsidRPr="004F248E">
              <w:rPr>
                <w:rFonts w:asciiTheme="minorHAnsi" w:eastAsia="Times New Roman" w:hAnsiTheme="minorHAnsi" w:cs="Arial"/>
                <w:b/>
                <w:bCs/>
                <w:sz w:val="18"/>
                <w:szCs w:val="18"/>
              </w:rPr>
              <w:t>Total liabilities and total equity (2)</w:t>
            </w:r>
          </w:p>
        </w:tc>
        <w:tc>
          <w:tcPr>
            <w:tcW w:w="579" w:type="pct"/>
            <w:tcBorders>
              <w:top w:val="single" w:sz="4" w:space="0" w:color="auto"/>
              <w:left w:val="nil"/>
              <w:bottom w:val="single" w:sz="12" w:space="0" w:color="auto"/>
              <w:right w:val="nil"/>
            </w:tcBorders>
            <w:shd w:val="clear" w:color="auto" w:fill="auto"/>
            <w:vAlign w:val="bottom"/>
          </w:tcPr>
          <w:p w14:paraId="4CD503B1"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pl-PL"/>
              </w:rPr>
            </w:pPr>
            <w:r w:rsidRPr="004F248E">
              <w:rPr>
                <w:rFonts w:asciiTheme="minorHAnsi" w:eastAsia="Times New Roman" w:hAnsiTheme="minorHAnsi" w:cs="Arial"/>
                <w:b/>
                <w:sz w:val="18"/>
                <w:szCs w:val="18"/>
                <w:lang w:val="en-US"/>
              </w:rPr>
              <w:t>363,813</w:t>
            </w:r>
          </w:p>
        </w:tc>
        <w:tc>
          <w:tcPr>
            <w:tcW w:w="580" w:type="pct"/>
            <w:tcBorders>
              <w:top w:val="single" w:sz="4" w:space="0" w:color="auto"/>
              <w:left w:val="nil"/>
              <w:bottom w:val="single" w:sz="12" w:space="0" w:color="auto"/>
              <w:right w:val="nil"/>
            </w:tcBorders>
            <w:shd w:val="clear" w:color="auto" w:fill="auto"/>
            <w:vAlign w:val="bottom"/>
          </w:tcPr>
          <w:p w14:paraId="22FB68E8"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pl-PL"/>
              </w:rPr>
            </w:pPr>
            <w:r w:rsidRPr="004F248E">
              <w:rPr>
                <w:rFonts w:asciiTheme="minorHAnsi" w:eastAsia="Times New Roman" w:hAnsiTheme="minorHAnsi" w:cs="Arial"/>
                <w:b/>
                <w:sz w:val="18"/>
                <w:szCs w:val="18"/>
                <w:lang w:val="en-US"/>
              </w:rPr>
              <w:t>16,239,933</w:t>
            </w:r>
          </w:p>
        </w:tc>
        <w:tc>
          <w:tcPr>
            <w:tcW w:w="580" w:type="pct"/>
            <w:tcBorders>
              <w:top w:val="single" w:sz="4" w:space="0" w:color="auto"/>
              <w:left w:val="nil"/>
              <w:bottom w:val="single" w:sz="12" w:space="0" w:color="auto"/>
              <w:right w:val="nil"/>
            </w:tcBorders>
            <w:shd w:val="clear" w:color="auto" w:fill="auto"/>
            <w:vAlign w:val="bottom"/>
          </w:tcPr>
          <w:p w14:paraId="21F44A53"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pl-PL"/>
              </w:rPr>
            </w:pPr>
            <w:r w:rsidRPr="004F248E">
              <w:rPr>
                <w:rFonts w:asciiTheme="minorHAnsi" w:eastAsia="Times New Roman" w:hAnsiTheme="minorHAnsi" w:cs="Arial"/>
                <w:b/>
                <w:sz w:val="18"/>
                <w:szCs w:val="18"/>
                <w:lang w:val="en-US"/>
              </w:rPr>
              <w:t>6,299</w:t>
            </w:r>
          </w:p>
        </w:tc>
        <w:tc>
          <w:tcPr>
            <w:tcW w:w="580" w:type="pct"/>
            <w:tcBorders>
              <w:top w:val="single" w:sz="4" w:space="0" w:color="auto"/>
              <w:left w:val="nil"/>
              <w:bottom w:val="single" w:sz="12" w:space="0" w:color="auto"/>
              <w:right w:val="nil"/>
            </w:tcBorders>
            <w:shd w:val="clear" w:color="auto" w:fill="auto"/>
            <w:vAlign w:val="bottom"/>
          </w:tcPr>
          <w:p w14:paraId="33D414EA"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pl-PL"/>
              </w:rPr>
            </w:pPr>
            <w:r w:rsidRPr="004F248E">
              <w:rPr>
                <w:rFonts w:asciiTheme="minorHAnsi" w:eastAsia="Times New Roman" w:hAnsiTheme="minorHAnsi" w:cs="Arial"/>
                <w:b/>
                <w:sz w:val="18"/>
                <w:szCs w:val="18"/>
                <w:lang w:val="en-US"/>
              </w:rPr>
              <w:t>16,610,045</w:t>
            </w:r>
          </w:p>
        </w:tc>
        <w:tc>
          <w:tcPr>
            <w:tcW w:w="652" w:type="pct"/>
            <w:tcBorders>
              <w:top w:val="single" w:sz="4" w:space="0" w:color="auto"/>
              <w:left w:val="nil"/>
              <w:bottom w:val="single" w:sz="12" w:space="0" w:color="auto"/>
              <w:right w:val="nil"/>
            </w:tcBorders>
            <w:shd w:val="clear" w:color="auto" w:fill="auto"/>
            <w:vAlign w:val="bottom"/>
          </w:tcPr>
          <w:p w14:paraId="6A3328C7"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pl-PL"/>
              </w:rPr>
            </w:pPr>
            <w:r w:rsidRPr="004F248E">
              <w:rPr>
                <w:rFonts w:asciiTheme="minorHAnsi" w:eastAsia="Times New Roman" w:hAnsiTheme="minorHAnsi" w:cs="Arial"/>
                <w:b/>
                <w:sz w:val="18"/>
                <w:szCs w:val="18"/>
                <w:lang w:val="en-US"/>
              </w:rPr>
              <w:t>10,764,871</w:t>
            </w:r>
          </w:p>
        </w:tc>
        <w:tc>
          <w:tcPr>
            <w:tcW w:w="580" w:type="pct"/>
            <w:tcBorders>
              <w:top w:val="single" w:sz="4" w:space="0" w:color="auto"/>
              <w:left w:val="nil"/>
              <w:bottom w:val="single" w:sz="12" w:space="0" w:color="auto"/>
            </w:tcBorders>
            <w:shd w:val="clear" w:color="auto" w:fill="auto"/>
            <w:vAlign w:val="bottom"/>
          </w:tcPr>
          <w:p w14:paraId="47B036FB"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pl-PL"/>
              </w:rPr>
            </w:pPr>
            <w:r w:rsidRPr="004F248E">
              <w:rPr>
                <w:rFonts w:asciiTheme="minorHAnsi" w:eastAsia="Times New Roman" w:hAnsiTheme="minorHAnsi" w:cs="Arial"/>
                <w:b/>
                <w:sz w:val="18"/>
                <w:szCs w:val="18"/>
                <w:lang w:val="en-US"/>
              </w:rPr>
              <w:t>27,374,916</w:t>
            </w:r>
          </w:p>
        </w:tc>
      </w:tr>
      <w:tr w:rsidR="004F248E" w:rsidRPr="004F248E" w14:paraId="10532AB7" w14:textId="77777777" w:rsidTr="004F248E">
        <w:trPr>
          <w:trHeight w:val="311"/>
        </w:trPr>
        <w:tc>
          <w:tcPr>
            <w:tcW w:w="1449" w:type="pct"/>
            <w:vAlign w:val="bottom"/>
          </w:tcPr>
          <w:p w14:paraId="237C4D6B" w14:textId="77777777" w:rsidR="004F248E" w:rsidRPr="004F248E" w:rsidRDefault="004F248E" w:rsidP="004F248E">
            <w:pPr>
              <w:spacing w:after="0" w:line="240" w:lineRule="exact"/>
              <w:rPr>
                <w:rFonts w:asciiTheme="minorHAnsi" w:eastAsia="Times New Roman" w:hAnsiTheme="minorHAnsi" w:cs="Arial"/>
                <w:b/>
                <w:bCs/>
                <w:spacing w:val="-2"/>
                <w:sz w:val="18"/>
                <w:szCs w:val="18"/>
              </w:rPr>
            </w:pPr>
            <w:r w:rsidRPr="004F248E">
              <w:rPr>
                <w:rFonts w:asciiTheme="minorHAnsi" w:eastAsia="Times New Roman" w:hAnsiTheme="minorHAnsi" w:cs="Arial"/>
                <w:b/>
                <w:bCs/>
                <w:spacing w:val="-2"/>
                <w:sz w:val="18"/>
                <w:szCs w:val="18"/>
              </w:rPr>
              <w:t>Net assets/liabilities (1) – (2)</w:t>
            </w:r>
          </w:p>
        </w:tc>
        <w:tc>
          <w:tcPr>
            <w:tcW w:w="579" w:type="pct"/>
            <w:tcBorders>
              <w:top w:val="single" w:sz="12" w:space="0" w:color="auto"/>
              <w:left w:val="nil"/>
              <w:bottom w:val="single" w:sz="12" w:space="0" w:color="auto"/>
              <w:right w:val="nil"/>
            </w:tcBorders>
            <w:shd w:val="clear" w:color="auto" w:fill="auto"/>
            <w:vAlign w:val="bottom"/>
          </w:tcPr>
          <w:p w14:paraId="72B2B7F7"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 xml:space="preserve">200,721 </w:t>
            </w:r>
          </w:p>
        </w:tc>
        <w:tc>
          <w:tcPr>
            <w:tcW w:w="580" w:type="pct"/>
            <w:tcBorders>
              <w:top w:val="single" w:sz="12" w:space="0" w:color="auto"/>
              <w:left w:val="nil"/>
              <w:bottom w:val="single" w:sz="12" w:space="0" w:color="auto"/>
              <w:right w:val="nil"/>
            </w:tcBorders>
            <w:shd w:val="clear" w:color="auto" w:fill="auto"/>
            <w:vAlign w:val="bottom"/>
          </w:tcPr>
          <w:p w14:paraId="4D48847A"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 xml:space="preserve"> (425,264)</w:t>
            </w:r>
          </w:p>
        </w:tc>
        <w:tc>
          <w:tcPr>
            <w:tcW w:w="580" w:type="pct"/>
            <w:tcBorders>
              <w:top w:val="single" w:sz="12" w:space="0" w:color="auto"/>
              <w:left w:val="nil"/>
              <w:bottom w:val="single" w:sz="12" w:space="0" w:color="auto"/>
              <w:right w:val="nil"/>
            </w:tcBorders>
            <w:shd w:val="clear" w:color="auto" w:fill="auto"/>
            <w:vAlign w:val="bottom"/>
          </w:tcPr>
          <w:p w14:paraId="720F1F00"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 xml:space="preserve"> (1,424)**</w:t>
            </w:r>
          </w:p>
        </w:tc>
        <w:tc>
          <w:tcPr>
            <w:tcW w:w="580" w:type="pct"/>
            <w:tcBorders>
              <w:top w:val="single" w:sz="12" w:space="0" w:color="auto"/>
              <w:left w:val="nil"/>
              <w:bottom w:val="single" w:sz="12" w:space="0" w:color="auto"/>
              <w:right w:val="nil"/>
            </w:tcBorders>
            <w:shd w:val="clear" w:color="auto" w:fill="auto"/>
            <w:vAlign w:val="bottom"/>
          </w:tcPr>
          <w:p w14:paraId="4925254E"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 xml:space="preserve"> (225,967)</w:t>
            </w:r>
          </w:p>
        </w:tc>
        <w:tc>
          <w:tcPr>
            <w:tcW w:w="652" w:type="pct"/>
            <w:tcBorders>
              <w:top w:val="single" w:sz="12" w:space="0" w:color="auto"/>
              <w:left w:val="nil"/>
              <w:bottom w:val="single" w:sz="12" w:space="0" w:color="auto"/>
              <w:right w:val="nil"/>
            </w:tcBorders>
            <w:shd w:val="clear" w:color="auto" w:fill="auto"/>
            <w:vAlign w:val="bottom"/>
          </w:tcPr>
          <w:p w14:paraId="3115072A"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 xml:space="preserve">225,967 </w:t>
            </w:r>
          </w:p>
        </w:tc>
        <w:tc>
          <w:tcPr>
            <w:tcW w:w="580" w:type="pct"/>
            <w:tcBorders>
              <w:top w:val="single" w:sz="12" w:space="0" w:color="auto"/>
              <w:left w:val="nil"/>
              <w:bottom w:val="single" w:sz="12" w:space="0" w:color="auto"/>
              <w:right w:val="nil"/>
            </w:tcBorders>
            <w:shd w:val="clear" w:color="auto" w:fill="auto"/>
            <w:vAlign w:val="bottom"/>
          </w:tcPr>
          <w:p w14:paraId="0EC0AA55" w14:textId="77777777" w:rsidR="004F248E" w:rsidRPr="004F248E" w:rsidRDefault="004F248E" w:rsidP="004F248E">
            <w:pPr>
              <w:spacing w:after="0" w:line="240" w:lineRule="auto"/>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w:t>
            </w:r>
          </w:p>
        </w:tc>
      </w:tr>
      <w:tr w:rsidR="004F248E" w:rsidRPr="004F248E" w14:paraId="43BB5704" w14:textId="77777777" w:rsidTr="004F248E">
        <w:trPr>
          <w:trHeight w:hRule="exact" w:val="57"/>
        </w:trPr>
        <w:tc>
          <w:tcPr>
            <w:tcW w:w="1449" w:type="pct"/>
            <w:vAlign w:val="bottom"/>
          </w:tcPr>
          <w:p w14:paraId="619A6BEC"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b/>
                <w:sz w:val="18"/>
                <w:szCs w:val="18"/>
              </w:rPr>
            </w:pPr>
          </w:p>
        </w:tc>
        <w:tc>
          <w:tcPr>
            <w:tcW w:w="579" w:type="pct"/>
            <w:tcBorders>
              <w:top w:val="single" w:sz="12" w:space="0" w:color="auto"/>
            </w:tcBorders>
          </w:tcPr>
          <w:p w14:paraId="7C2B1479" w14:textId="77777777" w:rsidR="004F248E" w:rsidRPr="004F248E"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p>
        </w:tc>
        <w:tc>
          <w:tcPr>
            <w:tcW w:w="580" w:type="pct"/>
            <w:tcBorders>
              <w:top w:val="single" w:sz="12" w:space="0" w:color="auto"/>
            </w:tcBorders>
          </w:tcPr>
          <w:p w14:paraId="1BBD5AB3" w14:textId="77777777" w:rsidR="004F248E" w:rsidRPr="004F248E"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p>
        </w:tc>
        <w:tc>
          <w:tcPr>
            <w:tcW w:w="580" w:type="pct"/>
            <w:tcBorders>
              <w:top w:val="single" w:sz="12" w:space="0" w:color="auto"/>
            </w:tcBorders>
          </w:tcPr>
          <w:p w14:paraId="4A4D3881" w14:textId="77777777" w:rsidR="004F248E" w:rsidRPr="004F248E"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p>
        </w:tc>
        <w:tc>
          <w:tcPr>
            <w:tcW w:w="580" w:type="pct"/>
            <w:tcBorders>
              <w:top w:val="single" w:sz="12" w:space="0" w:color="auto"/>
            </w:tcBorders>
          </w:tcPr>
          <w:p w14:paraId="0F7D7E8A" w14:textId="77777777" w:rsidR="004F248E" w:rsidRPr="004F248E"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p>
        </w:tc>
        <w:tc>
          <w:tcPr>
            <w:tcW w:w="652" w:type="pct"/>
            <w:tcBorders>
              <w:top w:val="single" w:sz="12" w:space="0" w:color="auto"/>
            </w:tcBorders>
          </w:tcPr>
          <w:p w14:paraId="5C6C2728" w14:textId="77777777" w:rsidR="004F248E" w:rsidRPr="004F248E"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p>
        </w:tc>
        <w:tc>
          <w:tcPr>
            <w:tcW w:w="580" w:type="pct"/>
            <w:tcBorders>
              <w:top w:val="single" w:sz="12" w:space="0" w:color="auto"/>
            </w:tcBorders>
          </w:tcPr>
          <w:p w14:paraId="3C271E1F" w14:textId="77777777" w:rsidR="004F248E" w:rsidRPr="004F248E" w:rsidRDefault="004F248E" w:rsidP="004F248E">
            <w:pPr>
              <w:tabs>
                <w:tab w:val="right" w:pos="1202"/>
              </w:tabs>
              <w:spacing w:after="0" w:line="240" w:lineRule="exact"/>
              <w:outlineLvl w:val="0"/>
              <w:rPr>
                <w:rFonts w:asciiTheme="minorHAnsi" w:eastAsia="Times New Roman" w:hAnsiTheme="minorHAnsi" w:cs="Arial"/>
                <w:i/>
                <w:sz w:val="18"/>
                <w:szCs w:val="18"/>
              </w:rPr>
            </w:pPr>
          </w:p>
        </w:tc>
      </w:tr>
    </w:tbl>
    <w:p w14:paraId="0506006F" w14:textId="77777777" w:rsidR="009702B0" w:rsidRPr="009702B0" w:rsidRDefault="009702B0" w:rsidP="009702B0">
      <w:pPr>
        <w:tabs>
          <w:tab w:val="right" w:pos="1202"/>
        </w:tabs>
        <w:spacing w:after="0" w:line="240" w:lineRule="auto"/>
        <w:outlineLvl w:val="0"/>
        <w:rPr>
          <w:rFonts w:eastAsia="Times New Roman"/>
          <w:i/>
          <w:sz w:val="18"/>
          <w:szCs w:val="18"/>
        </w:rPr>
      </w:pPr>
    </w:p>
    <w:p w14:paraId="30359EFD" w14:textId="3F24DE2C" w:rsidR="009702B0" w:rsidRPr="009702B0" w:rsidRDefault="009702B0" w:rsidP="009702B0">
      <w:pPr>
        <w:tabs>
          <w:tab w:val="right" w:pos="1202"/>
        </w:tabs>
        <w:spacing w:after="0" w:line="240" w:lineRule="auto"/>
        <w:jc w:val="both"/>
        <w:outlineLvl w:val="0"/>
        <w:rPr>
          <w:rFonts w:eastAsia="Times New Roman"/>
          <w:i/>
          <w:sz w:val="18"/>
          <w:szCs w:val="18"/>
        </w:rPr>
      </w:pPr>
      <w:r w:rsidRPr="009702B0">
        <w:rPr>
          <w:rFonts w:eastAsia="Times New Roman"/>
          <w:i/>
          <w:sz w:val="18"/>
          <w:szCs w:val="18"/>
        </w:rPr>
        <w:t xml:space="preserve">*Amounts linked to </w:t>
      </w:r>
      <w:proofErr w:type="gramStart"/>
      <w:r w:rsidRPr="009702B0">
        <w:rPr>
          <w:rFonts w:eastAsia="Times New Roman"/>
          <w:i/>
          <w:sz w:val="18"/>
          <w:szCs w:val="18"/>
        </w:rPr>
        <w:t>a  one</w:t>
      </w:r>
      <w:proofErr w:type="gramEnd"/>
      <w:r w:rsidRPr="009702B0">
        <w:rPr>
          <w:rFonts w:eastAsia="Times New Roman"/>
          <w:i/>
          <w:sz w:val="18"/>
          <w:szCs w:val="18"/>
        </w:rPr>
        <w:t xml:space="preserve">-way currency clause represent HRK </w:t>
      </w:r>
      <w:r w:rsidR="006B0E06" w:rsidRPr="006B0E06">
        <w:rPr>
          <w:rFonts w:eastAsia="Times New Roman"/>
          <w:i/>
          <w:sz w:val="18"/>
          <w:szCs w:val="18"/>
        </w:rPr>
        <w:t>249,278</w:t>
      </w:r>
      <w:r w:rsidRPr="009702B0">
        <w:rPr>
          <w:rFonts w:eastAsia="Times New Roman"/>
          <w:i/>
          <w:sz w:val="18"/>
          <w:szCs w:val="18"/>
        </w:rPr>
        <w:t xml:space="preserve"> thousand.</w:t>
      </w:r>
    </w:p>
    <w:p w14:paraId="1421258E" w14:textId="77777777" w:rsidR="009702B0" w:rsidRPr="009702B0" w:rsidRDefault="009702B0" w:rsidP="009702B0">
      <w:pPr>
        <w:tabs>
          <w:tab w:val="right" w:pos="1202"/>
        </w:tabs>
        <w:spacing w:after="0" w:line="240" w:lineRule="auto"/>
        <w:outlineLvl w:val="0"/>
        <w:rPr>
          <w:rFonts w:eastAsia="Times New Roman"/>
          <w:i/>
          <w:sz w:val="18"/>
          <w:szCs w:val="18"/>
        </w:rPr>
        <w:sectPr w:rsidR="009702B0" w:rsidRPr="009702B0" w:rsidSect="00947CB7">
          <w:footerReference w:type="default" r:id="rId118"/>
          <w:pgSz w:w="11906" w:h="16838" w:code="9"/>
          <w:pgMar w:top="1418" w:right="1418" w:bottom="595" w:left="1134" w:header="851" w:footer="851" w:gutter="0"/>
          <w:cols w:space="720"/>
          <w:noEndnote/>
        </w:sectPr>
      </w:pPr>
      <w:r w:rsidRPr="009702B0">
        <w:rPr>
          <w:rFonts w:eastAsia="Times New Roman"/>
          <w:i/>
          <w:sz w:val="18"/>
          <w:szCs w:val="18"/>
        </w:rPr>
        <w:t>**Reported gap is a result of provisions made for issued foreign currency guarantees in other foreign currencies stated under “Other liabilities”.</w:t>
      </w:r>
    </w:p>
    <w:p w14:paraId="56AA83AA" w14:textId="77777777" w:rsidR="009702B0" w:rsidRPr="009702B0" w:rsidRDefault="009702B0" w:rsidP="009702B0">
      <w:pPr>
        <w:keepNext/>
        <w:spacing w:after="0" w:line="240" w:lineRule="auto"/>
        <w:ind w:left="709" w:hanging="709"/>
        <w:jc w:val="both"/>
        <w:rPr>
          <w:rFonts w:eastAsia="Times New Roman" w:cs="Arial"/>
          <w:b/>
          <w:bCs/>
        </w:rPr>
      </w:pPr>
    </w:p>
    <w:p w14:paraId="6689EABF" w14:textId="77777777" w:rsidR="009702B0" w:rsidRPr="009702B0" w:rsidRDefault="009702B0" w:rsidP="009702B0">
      <w:pPr>
        <w:keepNext/>
        <w:spacing w:after="0" w:line="240" w:lineRule="auto"/>
        <w:ind w:left="709" w:hanging="709"/>
        <w:jc w:val="both"/>
        <w:rPr>
          <w:rFonts w:asciiTheme="minorHAnsi" w:eastAsia="Times New Roman" w:hAnsiTheme="minorHAnsi" w:cs="Arial"/>
          <w:b/>
          <w:bCs/>
        </w:rPr>
      </w:pPr>
      <w:r w:rsidRPr="009702B0">
        <w:rPr>
          <w:rFonts w:asciiTheme="minorHAnsi" w:eastAsia="Times New Roman" w:hAnsiTheme="minorHAnsi" w:cs="Arial"/>
          <w:b/>
          <w:bCs/>
        </w:rPr>
        <w:t>16.         Risk management (continued)</w:t>
      </w:r>
    </w:p>
    <w:p w14:paraId="53FF80FF" w14:textId="77777777" w:rsidR="009702B0" w:rsidRPr="009702B0" w:rsidRDefault="009702B0" w:rsidP="009702B0">
      <w:pPr>
        <w:keepNext/>
        <w:spacing w:after="0" w:line="240" w:lineRule="auto"/>
        <w:ind w:left="709" w:hanging="709"/>
        <w:jc w:val="both"/>
        <w:rPr>
          <w:rFonts w:asciiTheme="minorHAnsi" w:eastAsia="Times New Roman" w:hAnsiTheme="minorHAnsi" w:cs="Arial"/>
          <w:b/>
          <w:bCs/>
        </w:rPr>
      </w:pPr>
    </w:p>
    <w:p w14:paraId="0C0487CA" w14:textId="77777777" w:rsidR="009702B0" w:rsidRPr="009702B0" w:rsidRDefault="009702B0" w:rsidP="009702B0">
      <w:pPr>
        <w:keepNext/>
        <w:spacing w:after="0" w:line="240" w:lineRule="auto"/>
        <w:ind w:left="709" w:hanging="709"/>
        <w:jc w:val="both"/>
        <w:rPr>
          <w:rFonts w:asciiTheme="minorHAnsi" w:eastAsia="Times New Roman" w:hAnsiTheme="minorHAnsi" w:cs="Arial"/>
          <w:b/>
          <w:bCs/>
        </w:rPr>
      </w:pPr>
      <w:r w:rsidRPr="009702B0">
        <w:rPr>
          <w:rFonts w:asciiTheme="minorHAnsi" w:eastAsia="Times New Roman" w:hAnsiTheme="minorHAnsi" w:cs="Arial"/>
          <w:b/>
          <w:bCs/>
        </w:rPr>
        <w:t>16.4.      Market risk (continued)</w:t>
      </w:r>
    </w:p>
    <w:p w14:paraId="24D9F8FF" w14:textId="77777777" w:rsidR="009702B0" w:rsidRPr="009702B0" w:rsidRDefault="009702B0" w:rsidP="009702B0">
      <w:pPr>
        <w:keepNext/>
        <w:spacing w:after="0" w:line="240" w:lineRule="auto"/>
        <w:ind w:left="709" w:hanging="709"/>
        <w:jc w:val="both"/>
        <w:rPr>
          <w:rFonts w:asciiTheme="minorHAnsi" w:eastAsia="Times New Roman" w:hAnsiTheme="minorHAnsi" w:cs="Arial"/>
          <w:b/>
          <w:bCs/>
        </w:rPr>
      </w:pPr>
    </w:p>
    <w:p w14:paraId="59321358" w14:textId="77777777" w:rsidR="009702B0" w:rsidRPr="009702B0" w:rsidRDefault="009702B0" w:rsidP="009702B0">
      <w:pPr>
        <w:spacing w:after="0" w:line="240" w:lineRule="auto"/>
        <w:jc w:val="both"/>
        <w:rPr>
          <w:rFonts w:asciiTheme="minorHAnsi" w:eastAsia="Times New Roman" w:hAnsiTheme="minorHAnsi" w:cs="Arial"/>
          <w:b/>
          <w:bCs/>
        </w:rPr>
      </w:pPr>
      <w:r w:rsidRPr="009702B0">
        <w:rPr>
          <w:rFonts w:asciiTheme="minorHAnsi" w:eastAsia="Times New Roman" w:hAnsiTheme="minorHAnsi" w:cs="Arial"/>
          <w:b/>
          <w:bCs/>
        </w:rPr>
        <w:t>16.4.2</w:t>
      </w:r>
      <w:proofErr w:type="gramStart"/>
      <w:r w:rsidRPr="009702B0">
        <w:rPr>
          <w:rFonts w:asciiTheme="minorHAnsi" w:eastAsia="Times New Roman" w:hAnsiTheme="minorHAnsi" w:cs="Arial"/>
          <w:b/>
          <w:bCs/>
        </w:rPr>
        <w:t>.  Currency</w:t>
      </w:r>
      <w:proofErr w:type="gramEnd"/>
      <w:r w:rsidRPr="009702B0">
        <w:rPr>
          <w:rFonts w:asciiTheme="minorHAnsi" w:eastAsia="Times New Roman" w:hAnsiTheme="minorHAnsi" w:cs="Arial"/>
          <w:b/>
          <w:bCs/>
        </w:rPr>
        <w:t xml:space="preserve"> risk (continued)</w:t>
      </w:r>
    </w:p>
    <w:p w14:paraId="711D0676" w14:textId="77777777" w:rsidR="009702B0" w:rsidRPr="009702B0" w:rsidRDefault="009702B0" w:rsidP="009702B0">
      <w:pPr>
        <w:spacing w:after="0" w:line="240" w:lineRule="auto"/>
        <w:jc w:val="both"/>
        <w:rPr>
          <w:rFonts w:asciiTheme="minorHAnsi" w:eastAsia="Times New Roman" w:hAnsiTheme="minorHAnsi" w:cs="Arial"/>
          <w:b/>
          <w:bCs/>
        </w:rPr>
      </w:pPr>
    </w:p>
    <w:p w14:paraId="018DC180" w14:textId="77777777" w:rsidR="009702B0" w:rsidRPr="009702B0" w:rsidRDefault="009702B0" w:rsidP="009702B0">
      <w:pPr>
        <w:spacing w:after="0" w:line="240" w:lineRule="auto"/>
        <w:jc w:val="both"/>
        <w:rPr>
          <w:rFonts w:asciiTheme="minorHAnsi" w:eastAsia="Times New Roman" w:hAnsiTheme="minorHAnsi" w:cs="Arial"/>
          <w:b/>
          <w:bCs/>
        </w:rPr>
      </w:pPr>
      <w:r w:rsidRPr="009702B0">
        <w:rPr>
          <w:rFonts w:asciiTheme="minorHAnsi" w:eastAsia="Times New Roman" w:hAnsiTheme="minorHAnsi" w:cs="Arial"/>
          <w:b/>
          <w:bCs/>
        </w:rPr>
        <w:t>Sensitivity analysis</w:t>
      </w:r>
    </w:p>
    <w:p w14:paraId="3644FCE1" w14:textId="77777777" w:rsidR="009702B0" w:rsidRPr="009702B0" w:rsidRDefault="009702B0" w:rsidP="009702B0">
      <w:pPr>
        <w:spacing w:after="0" w:line="240" w:lineRule="auto"/>
        <w:jc w:val="both"/>
        <w:rPr>
          <w:rFonts w:asciiTheme="minorHAnsi" w:eastAsia="Times New Roman" w:hAnsiTheme="minorHAnsi" w:cs="Arial"/>
          <w:b/>
          <w:bCs/>
        </w:rPr>
      </w:pPr>
    </w:p>
    <w:p w14:paraId="0FA6121E" w14:textId="77777777" w:rsidR="009702B0" w:rsidRPr="009702B0" w:rsidRDefault="009702B0" w:rsidP="009702B0">
      <w:pPr>
        <w:spacing w:after="0" w:line="240" w:lineRule="auto"/>
        <w:jc w:val="both"/>
        <w:rPr>
          <w:rFonts w:asciiTheme="minorHAnsi" w:eastAsia="Times New Roman" w:hAnsiTheme="minorHAnsi" w:cs="Arial"/>
          <w:bCs/>
        </w:rPr>
      </w:pPr>
      <w:r w:rsidRPr="009702B0">
        <w:rPr>
          <w:rFonts w:asciiTheme="minorHAnsi" w:eastAsia="Times New Roman" w:hAnsiTheme="minorHAnsi" w:cs="Arial"/>
          <w:bCs/>
        </w:rPr>
        <w:t>Sensitivity analysis of the Bank’s total assets and total liabilities to fluctuations in foreign exchange rates is carried out for those foreign currencies that represent Bank’s significant currencies as at the reporting date.</w:t>
      </w:r>
    </w:p>
    <w:p w14:paraId="7111C7B0" w14:textId="77777777" w:rsidR="009702B0" w:rsidRPr="009702B0" w:rsidRDefault="009702B0" w:rsidP="009702B0">
      <w:pPr>
        <w:spacing w:after="0" w:line="240" w:lineRule="auto"/>
        <w:jc w:val="both"/>
        <w:rPr>
          <w:rFonts w:asciiTheme="minorHAnsi" w:eastAsia="Times New Roman" w:hAnsiTheme="minorHAnsi" w:cs="Arial"/>
          <w:bCs/>
        </w:rPr>
      </w:pPr>
    </w:p>
    <w:p w14:paraId="52268D05" w14:textId="046C0B3D" w:rsidR="009702B0" w:rsidRPr="009702B0" w:rsidRDefault="009702B0" w:rsidP="009702B0">
      <w:pPr>
        <w:spacing w:after="0" w:line="240" w:lineRule="auto"/>
        <w:jc w:val="both"/>
        <w:rPr>
          <w:rFonts w:asciiTheme="minorHAnsi" w:eastAsia="Times New Roman" w:hAnsiTheme="minorHAnsi" w:cs="Arial"/>
          <w:bCs/>
        </w:rPr>
      </w:pPr>
      <w:r w:rsidRPr="009702B0">
        <w:rPr>
          <w:rFonts w:asciiTheme="minorHAnsi" w:eastAsia="Times New Roman" w:hAnsiTheme="minorHAnsi" w:cs="Arial"/>
          <w:bCs/>
        </w:rPr>
        <w:t xml:space="preserve">An assumption of reasonably possible fluctuations in EUR exchange rates against HRK was used in the foreign currency risk sensitivity analysis, with the other variables remaining stable, in order to assess the hypothetical effect on HBOR’s profit as of </w:t>
      </w:r>
      <w:r w:rsidR="0044104F" w:rsidRPr="0044104F">
        <w:rPr>
          <w:rFonts w:asciiTheme="minorHAnsi" w:eastAsia="Times New Roman" w:hAnsiTheme="minorHAnsi" w:cs="Arial"/>
          <w:bCs/>
        </w:rPr>
        <w:t xml:space="preserve">30 </w:t>
      </w:r>
      <w:r w:rsidR="00F94C78">
        <w:rPr>
          <w:rFonts w:asciiTheme="minorHAnsi" w:eastAsia="Times New Roman" w:hAnsiTheme="minorHAnsi" w:cs="Arial"/>
          <w:bCs/>
        </w:rPr>
        <w:t>September</w:t>
      </w:r>
      <w:r w:rsidR="00F94C78" w:rsidRPr="0044104F">
        <w:rPr>
          <w:rFonts w:asciiTheme="minorHAnsi" w:eastAsia="Times New Roman" w:hAnsiTheme="minorHAnsi" w:cs="Arial"/>
          <w:bCs/>
        </w:rPr>
        <w:t xml:space="preserve"> </w:t>
      </w:r>
      <w:r w:rsidR="006B0E06" w:rsidRPr="006B0E06">
        <w:rPr>
          <w:rFonts w:asciiTheme="minorHAnsi" w:eastAsia="Times New Roman" w:hAnsiTheme="minorHAnsi" w:cs="Arial"/>
          <w:bCs/>
        </w:rPr>
        <w:t>2017</w:t>
      </w:r>
      <w:r w:rsidRPr="009702B0">
        <w:rPr>
          <w:rFonts w:asciiTheme="minorHAnsi" w:eastAsia="Times New Roman" w:hAnsiTheme="minorHAnsi" w:cs="Arial"/>
          <w:bCs/>
        </w:rPr>
        <w:t>.</w:t>
      </w:r>
    </w:p>
    <w:p w14:paraId="2BFCC9D1" w14:textId="77777777" w:rsidR="009702B0" w:rsidRPr="009702B0" w:rsidRDefault="009702B0" w:rsidP="009702B0">
      <w:pPr>
        <w:spacing w:after="0" w:line="240" w:lineRule="auto"/>
        <w:jc w:val="both"/>
        <w:rPr>
          <w:rFonts w:asciiTheme="minorHAnsi" w:eastAsia="Times New Roman" w:hAnsiTheme="minorHAnsi" w:cs="Arial"/>
          <w:bCs/>
        </w:rPr>
      </w:pPr>
    </w:p>
    <w:p w14:paraId="1BD717F7" w14:textId="23BE399A" w:rsidR="009702B0" w:rsidRPr="009702B0" w:rsidRDefault="009702B0" w:rsidP="009702B0">
      <w:pPr>
        <w:keepNext/>
        <w:spacing w:after="0" w:line="240" w:lineRule="auto"/>
        <w:jc w:val="both"/>
        <w:rPr>
          <w:rFonts w:asciiTheme="minorHAnsi" w:eastAsia="Times New Roman" w:hAnsiTheme="minorHAnsi" w:cs="Arial"/>
          <w:bCs/>
        </w:rPr>
      </w:pPr>
      <w:r w:rsidRPr="009702B0">
        <w:rPr>
          <w:rFonts w:asciiTheme="minorHAnsi" w:eastAsia="Times New Roman" w:hAnsiTheme="minorHAnsi" w:cs="Arial"/>
          <w:bCs/>
        </w:rPr>
        <w:t xml:space="preserve">Volatility of the exchange rate EUR/HRK, determined using the standard deviation method on the changes of the foreign exchange rate EUR/HRK, equalled </w:t>
      </w:r>
      <w:r w:rsidRPr="00B81643">
        <w:rPr>
          <w:rFonts w:asciiTheme="minorHAnsi" w:eastAsia="Times New Roman" w:hAnsiTheme="minorHAnsi" w:cs="Arial"/>
          <w:bCs/>
        </w:rPr>
        <w:t>1.</w:t>
      </w:r>
      <w:r w:rsidR="00683134" w:rsidRPr="00B81643">
        <w:rPr>
          <w:rFonts w:asciiTheme="minorHAnsi" w:eastAsia="Times New Roman" w:hAnsiTheme="minorHAnsi" w:cs="Arial"/>
          <w:bCs/>
        </w:rPr>
        <w:t>5</w:t>
      </w:r>
      <w:r w:rsidRPr="009702B0">
        <w:rPr>
          <w:rFonts w:asciiTheme="minorHAnsi" w:eastAsia="Times New Roman" w:hAnsiTheme="minorHAnsi" w:cs="Arial"/>
          <w:bCs/>
        </w:rPr>
        <w:t>% in the previous 12 months</w:t>
      </w:r>
      <w:r w:rsidR="007D1FAB">
        <w:rPr>
          <w:rFonts w:asciiTheme="minorHAnsi" w:eastAsia="Times New Roman" w:hAnsiTheme="minorHAnsi" w:cs="Arial"/>
          <w:bCs/>
        </w:rPr>
        <w:t>.</w:t>
      </w:r>
    </w:p>
    <w:p w14:paraId="25BF2BAF" w14:textId="77777777" w:rsidR="009702B0" w:rsidRPr="009702B0" w:rsidRDefault="009702B0" w:rsidP="009702B0">
      <w:pPr>
        <w:keepNext/>
        <w:spacing w:after="0" w:line="240" w:lineRule="auto"/>
        <w:jc w:val="both"/>
        <w:rPr>
          <w:rFonts w:asciiTheme="minorHAnsi" w:eastAsia="Times New Roman" w:hAnsiTheme="minorHAnsi" w:cs="Arial"/>
        </w:rPr>
      </w:pPr>
    </w:p>
    <w:p w14:paraId="31FBA0F5" w14:textId="77777777" w:rsidR="009702B0" w:rsidRPr="009702B0" w:rsidRDefault="009702B0" w:rsidP="009702B0">
      <w:pPr>
        <w:spacing w:after="0" w:line="240" w:lineRule="auto"/>
        <w:jc w:val="both"/>
        <w:rPr>
          <w:rFonts w:asciiTheme="minorHAnsi" w:eastAsia="Times New Roman" w:hAnsiTheme="minorHAnsi" w:cs="Arial"/>
          <w:bCs/>
        </w:rPr>
      </w:pPr>
      <w:r w:rsidRPr="009702B0">
        <w:rPr>
          <w:rFonts w:asciiTheme="minorHAnsi" w:eastAsia="Times New Roman" w:hAnsiTheme="minorHAnsi" w:cs="Arial"/>
          <w:bCs/>
        </w:rPr>
        <w:t>The effect of the assumed changes in the foreign exchange rate EUR/HRK by total asset, total liabilities and equity items denominated or indexed to EUR on HBOR’s profits is stated below.</w:t>
      </w:r>
    </w:p>
    <w:p w14:paraId="1D5A9C51" w14:textId="77777777" w:rsidR="009702B0" w:rsidRPr="009702B0" w:rsidRDefault="009702B0" w:rsidP="009702B0">
      <w:pPr>
        <w:spacing w:after="0" w:line="240" w:lineRule="auto"/>
        <w:jc w:val="both"/>
        <w:rPr>
          <w:rFonts w:asciiTheme="minorHAnsi" w:eastAsia="Times New Roman" w:hAnsiTheme="minorHAnsi" w:cs="Arial"/>
          <w:bCs/>
        </w:rPr>
      </w:pPr>
    </w:p>
    <w:tbl>
      <w:tblPr>
        <w:tblW w:w="5000" w:type="pct"/>
        <w:jc w:val="center"/>
        <w:tblLook w:val="01E0" w:firstRow="1" w:lastRow="1" w:firstColumn="1" w:lastColumn="1" w:noHBand="0" w:noVBand="0"/>
      </w:tblPr>
      <w:tblGrid>
        <w:gridCol w:w="2316"/>
        <w:gridCol w:w="1663"/>
        <w:gridCol w:w="1792"/>
        <w:gridCol w:w="1796"/>
        <w:gridCol w:w="1787"/>
      </w:tblGrid>
      <w:tr w:rsidR="009702B0" w:rsidRPr="009702B0" w14:paraId="26BBAB65" w14:textId="77777777" w:rsidTr="005E259E">
        <w:trPr>
          <w:trHeight w:hRule="exact" w:val="1112"/>
          <w:jc w:val="center"/>
        </w:trPr>
        <w:tc>
          <w:tcPr>
            <w:tcW w:w="1238" w:type="pct"/>
            <w:vAlign w:val="bottom"/>
          </w:tcPr>
          <w:p w14:paraId="382B8394" w14:textId="77777777" w:rsidR="009702B0" w:rsidRPr="009702B0" w:rsidRDefault="009702B0" w:rsidP="009702B0">
            <w:pPr>
              <w:spacing w:after="0" w:line="240" w:lineRule="auto"/>
              <w:jc w:val="right"/>
              <w:rPr>
                <w:rFonts w:asciiTheme="minorHAnsi" w:eastAsia="Times New Roman" w:hAnsiTheme="minorHAnsi" w:cs="Arial"/>
                <w:b/>
                <w:sz w:val="20"/>
                <w:szCs w:val="20"/>
              </w:rPr>
            </w:pPr>
          </w:p>
        </w:tc>
        <w:tc>
          <w:tcPr>
            <w:tcW w:w="889" w:type="pct"/>
            <w:vAlign w:val="bottom"/>
          </w:tcPr>
          <w:p w14:paraId="7863886C" w14:textId="77777777" w:rsidR="009702B0" w:rsidRPr="009702B0" w:rsidRDefault="009702B0" w:rsidP="009702B0">
            <w:pPr>
              <w:spacing w:after="0" w:line="240" w:lineRule="auto"/>
              <w:jc w:val="right"/>
              <w:rPr>
                <w:rFonts w:asciiTheme="minorHAnsi" w:eastAsia="Times New Roman" w:hAnsiTheme="minorHAnsi" w:cs="Arial"/>
                <w:b/>
                <w:bCs/>
                <w:sz w:val="20"/>
                <w:szCs w:val="20"/>
              </w:rPr>
            </w:pPr>
            <w:r w:rsidRPr="009702B0">
              <w:rPr>
                <w:rFonts w:asciiTheme="minorHAnsi" w:eastAsia="Times New Roman" w:hAnsiTheme="minorHAnsi" w:cs="Arial"/>
                <w:b/>
                <w:bCs/>
                <w:sz w:val="20"/>
                <w:szCs w:val="20"/>
              </w:rPr>
              <w:t xml:space="preserve">Change in currency rate </w:t>
            </w:r>
          </w:p>
          <w:p w14:paraId="3BE1207C" w14:textId="77777777" w:rsidR="00BA1AC9" w:rsidRDefault="00BA1AC9">
            <w:pPr>
              <w:spacing w:after="0" w:line="240" w:lineRule="auto"/>
              <w:jc w:val="right"/>
              <w:rPr>
                <w:rFonts w:asciiTheme="minorHAnsi" w:eastAsia="Times New Roman" w:hAnsiTheme="minorHAnsi" w:cs="Arial"/>
                <w:b/>
                <w:bCs/>
                <w:sz w:val="20"/>
                <w:szCs w:val="20"/>
              </w:rPr>
            </w:pPr>
            <w:r>
              <w:rPr>
                <w:rFonts w:asciiTheme="minorHAnsi" w:eastAsia="Times New Roman" w:hAnsiTheme="minorHAnsi" w:cs="Arial"/>
                <w:b/>
                <w:bCs/>
                <w:sz w:val="20"/>
                <w:szCs w:val="20"/>
              </w:rPr>
              <w:t>Jan 1 to</w:t>
            </w:r>
          </w:p>
          <w:p w14:paraId="1D759843" w14:textId="3FF7E10D" w:rsidR="009702B0" w:rsidRPr="009702B0" w:rsidRDefault="006F5915">
            <w:pPr>
              <w:spacing w:after="0" w:line="240" w:lineRule="auto"/>
              <w:jc w:val="right"/>
              <w:rPr>
                <w:rFonts w:asciiTheme="minorHAnsi" w:eastAsia="Times New Roman" w:hAnsiTheme="minorHAnsi" w:cs="Arial"/>
                <w:b/>
                <w:sz w:val="20"/>
                <w:szCs w:val="20"/>
              </w:rPr>
            </w:pPr>
            <w:r>
              <w:rPr>
                <w:rFonts w:asciiTheme="minorHAnsi" w:eastAsia="Times New Roman" w:hAnsiTheme="minorHAnsi" w:cs="Arial"/>
                <w:b/>
                <w:bCs/>
                <w:sz w:val="20"/>
                <w:szCs w:val="20"/>
              </w:rPr>
              <w:t xml:space="preserve">Sep </w:t>
            </w:r>
            <w:r w:rsidR="00C32561">
              <w:rPr>
                <w:rFonts w:asciiTheme="minorHAnsi" w:eastAsia="Times New Roman" w:hAnsiTheme="minorHAnsi" w:cs="Arial"/>
                <w:b/>
                <w:bCs/>
                <w:sz w:val="20"/>
                <w:szCs w:val="20"/>
              </w:rPr>
              <w:t>30</w:t>
            </w:r>
            <w:r w:rsidR="006B0E06">
              <w:rPr>
                <w:rFonts w:asciiTheme="minorHAnsi" w:eastAsia="Times New Roman" w:hAnsiTheme="minorHAnsi" w:cs="Arial"/>
                <w:b/>
                <w:bCs/>
                <w:sz w:val="20"/>
                <w:szCs w:val="20"/>
              </w:rPr>
              <w:t>, 2017</w:t>
            </w:r>
          </w:p>
        </w:tc>
        <w:tc>
          <w:tcPr>
            <w:tcW w:w="958" w:type="pct"/>
            <w:vAlign w:val="bottom"/>
          </w:tcPr>
          <w:p w14:paraId="435F1416" w14:textId="77777777" w:rsidR="009702B0" w:rsidRPr="009702B0" w:rsidRDefault="009702B0" w:rsidP="009702B0">
            <w:pPr>
              <w:spacing w:after="0" w:line="240" w:lineRule="auto"/>
              <w:jc w:val="right"/>
              <w:rPr>
                <w:rFonts w:asciiTheme="minorHAnsi" w:eastAsia="Times New Roman" w:hAnsiTheme="minorHAnsi" w:cs="Arial"/>
                <w:b/>
                <w:bCs/>
                <w:sz w:val="20"/>
                <w:szCs w:val="20"/>
              </w:rPr>
            </w:pPr>
            <w:r w:rsidRPr="009702B0">
              <w:rPr>
                <w:rFonts w:asciiTheme="minorHAnsi" w:eastAsia="Times New Roman" w:hAnsiTheme="minorHAnsi" w:cs="Arial"/>
                <w:b/>
                <w:bCs/>
                <w:sz w:val="20"/>
                <w:szCs w:val="20"/>
              </w:rPr>
              <w:t>Effect on</w:t>
            </w:r>
          </w:p>
          <w:p w14:paraId="3192705A" w14:textId="77777777" w:rsidR="009702B0" w:rsidRPr="009702B0" w:rsidRDefault="009702B0" w:rsidP="009702B0">
            <w:pPr>
              <w:spacing w:after="0" w:line="240" w:lineRule="auto"/>
              <w:jc w:val="right"/>
              <w:rPr>
                <w:rFonts w:asciiTheme="minorHAnsi" w:eastAsia="Times New Roman" w:hAnsiTheme="minorHAnsi" w:cs="Arial"/>
                <w:b/>
                <w:bCs/>
                <w:sz w:val="20"/>
                <w:szCs w:val="20"/>
              </w:rPr>
            </w:pPr>
            <w:r w:rsidRPr="009702B0">
              <w:rPr>
                <w:rFonts w:asciiTheme="minorHAnsi" w:eastAsia="Times New Roman" w:hAnsiTheme="minorHAnsi" w:cs="Arial"/>
                <w:b/>
                <w:bCs/>
                <w:sz w:val="20"/>
                <w:szCs w:val="20"/>
              </w:rPr>
              <w:t xml:space="preserve">profit </w:t>
            </w:r>
          </w:p>
          <w:p w14:paraId="38F103A5" w14:textId="77777777" w:rsidR="00BA1AC9" w:rsidRDefault="00BA1AC9" w:rsidP="009702B0">
            <w:pPr>
              <w:spacing w:after="0" w:line="240" w:lineRule="auto"/>
              <w:jc w:val="right"/>
              <w:rPr>
                <w:rFonts w:asciiTheme="minorHAnsi" w:eastAsia="Times New Roman" w:hAnsiTheme="minorHAnsi" w:cs="Arial"/>
                <w:b/>
                <w:bCs/>
                <w:sz w:val="20"/>
                <w:szCs w:val="20"/>
              </w:rPr>
            </w:pPr>
            <w:r>
              <w:rPr>
                <w:rFonts w:asciiTheme="minorHAnsi" w:eastAsia="Times New Roman" w:hAnsiTheme="minorHAnsi" w:cs="Arial"/>
                <w:b/>
                <w:bCs/>
                <w:sz w:val="20"/>
                <w:szCs w:val="20"/>
              </w:rPr>
              <w:t xml:space="preserve">Jan 1 to </w:t>
            </w:r>
          </w:p>
          <w:p w14:paraId="59ECF6CC" w14:textId="3BBAE8A8" w:rsidR="009702B0" w:rsidRPr="009702B0" w:rsidRDefault="00F94C78" w:rsidP="009702B0">
            <w:pPr>
              <w:spacing w:after="0" w:line="240" w:lineRule="auto"/>
              <w:jc w:val="right"/>
              <w:rPr>
                <w:rFonts w:asciiTheme="minorHAnsi" w:eastAsia="Times New Roman" w:hAnsiTheme="minorHAnsi" w:cs="Arial"/>
                <w:b/>
                <w:sz w:val="20"/>
                <w:szCs w:val="20"/>
              </w:rPr>
            </w:pPr>
            <w:r>
              <w:rPr>
                <w:rFonts w:asciiTheme="minorHAnsi" w:eastAsia="Times New Roman" w:hAnsiTheme="minorHAnsi" w:cs="Arial"/>
                <w:b/>
                <w:bCs/>
                <w:sz w:val="20"/>
                <w:szCs w:val="20"/>
              </w:rPr>
              <w:t>S</w:t>
            </w:r>
            <w:r w:rsidR="006F5915">
              <w:rPr>
                <w:rFonts w:asciiTheme="minorHAnsi" w:eastAsia="Times New Roman" w:hAnsiTheme="minorHAnsi" w:cs="Arial"/>
                <w:b/>
                <w:bCs/>
                <w:sz w:val="20"/>
                <w:szCs w:val="20"/>
              </w:rPr>
              <w:t>ep</w:t>
            </w:r>
            <w:r>
              <w:rPr>
                <w:rFonts w:asciiTheme="minorHAnsi" w:eastAsia="Times New Roman" w:hAnsiTheme="minorHAnsi" w:cs="Arial"/>
                <w:b/>
                <w:bCs/>
                <w:sz w:val="20"/>
                <w:szCs w:val="20"/>
              </w:rPr>
              <w:t xml:space="preserve"> </w:t>
            </w:r>
            <w:r w:rsidR="00686B45">
              <w:rPr>
                <w:rFonts w:asciiTheme="minorHAnsi" w:eastAsia="Times New Roman" w:hAnsiTheme="minorHAnsi" w:cs="Arial"/>
                <w:b/>
                <w:bCs/>
                <w:sz w:val="20"/>
                <w:szCs w:val="20"/>
              </w:rPr>
              <w:t>30</w:t>
            </w:r>
            <w:r w:rsidR="006B0E06" w:rsidRPr="006B0E06">
              <w:rPr>
                <w:rFonts w:asciiTheme="minorHAnsi" w:eastAsia="Times New Roman" w:hAnsiTheme="minorHAnsi" w:cs="Arial"/>
                <w:b/>
                <w:bCs/>
                <w:sz w:val="20"/>
                <w:szCs w:val="20"/>
              </w:rPr>
              <w:t>, 2017</w:t>
            </w:r>
          </w:p>
        </w:tc>
        <w:tc>
          <w:tcPr>
            <w:tcW w:w="960" w:type="pct"/>
            <w:vAlign w:val="bottom"/>
          </w:tcPr>
          <w:p w14:paraId="72C4E299" w14:textId="77777777" w:rsidR="009702B0" w:rsidRPr="009702B0" w:rsidRDefault="009702B0" w:rsidP="009702B0">
            <w:pPr>
              <w:spacing w:after="0" w:line="240" w:lineRule="auto"/>
              <w:jc w:val="right"/>
              <w:rPr>
                <w:rFonts w:asciiTheme="minorHAnsi" w:eastAsia="Times New Roman" w:hAnsiTheme="minorHAnsi" w:cs="Arial"/>
                <w:b/>
                <w:bCs/>
                <w:sz w:val="20"/>
                <w:szCs w:val="20"/>
              </w:rPr>
            </w:pPr>
            <w:r w:rsidRPr="009702B0">
              <w:rPr>
                <w:rFonts w:asciiTheme="minorHAnsi" w:eastAsia="Times New Roman" w:hAnsiTheme="minorHAnsi" w:cs="Arial"/>
                <w:b/>
                <w:bCs/>
                <w:sz w:val="20"/>
                <w:szCs w:val="20"/>
              </w:rPr>
              <w:t xml:space="preserve">Change in currency rate </w:t>
            </w:r>
          </w:p>
          <w:p w14:paraId="02817DDE" w14:textId="77777777" w:rsidR="00BA1AC9" w:rsidRDefault="00BA1AC9" w:rsidP="006B0E06">
            <w:pPr>
              <w:spacing w:after="0" w:line="240" w:lineRule="auto"/>
              <w:jc w:val="right"/>
              <w:rPr>
                <w:rFonts w:asciiTheme="minorHAnsi" w:eastAsia="Times New Roman" w:hAnsiTheme="minorHAnsi" w:cs="Arial"/>
                <w:b/>
                <w:bCs/>
                <w:sz w:val="20"/>
                <w:szCs w:val="20"/>
              </w:rPr>
            </w:pPr>
            <w:r>
              <w:rPr>
                <w:rFonts w:asciiTheme="minorHAnsi" w:eastAsia="Times New Roman" w:hAnsiTheme="minorHAnsi" w:cs="Arial"/>
                <w:b/>
                <w:bCs/>
                <w:sz w:val="20"/>
                <w:szCs w:val="20"/>
              </w:rPr>
              <w:t>Jan 1 to</w:t>
            </w:r>
          </w:p>
          <w:p w14:paraId="0635F668" w14:textId="426810C1" w:rsidR="009702B0" w:rsidRPr="009702B0" w:rsidRDefault="00BA1AC9" w:rsidP="006B0E06">
            <w:pPr>
              <w:spacing w:after="0" w:line="240" w:lineRule="auto"/>
              <w:jc w:val="right"/>
              <w:rPr>
                <w:rFonts w:asciiTheme="minorHAnsi" w:eastAsia="Times New Roman" w:hAnsiTheme="minorHAnsi" w:cs="Arial"/>
                <w:b/>
                <w:sz w:val="20"/>
                <w:szCs w:val="20"/>
              </w:rPr>
            </w:pPr>
            <w:r>
              <w:rPr>
                <w:rFonts w:asciiTheme="minorHAnsi" w:eastAsia="Times New Roman" w:hAnsiTheme="minorHAnsi" w:cs="Arial"/>
                <w:b/>
                <w:bCs/>
                <w:sz w:val="20"/>
                <w:szCs w:val="20"/>
              </w:rPr>
              <w:t>Dec 31</w:t>
            </w:r>
            <w:r w:rsidR="006B0E06" w:rsidRPr="006B0E06">
              <w:rPr>
                <w:rFonts w:asciiTheme="minorHAnsi" w:eastAsia="Times New Roman" w:hAnsiTheme="minorHAnsi" w:cs="Arial"/>
                <w:b/>
                <w:bCs/>
                <w:sz w:val="20"/>
                <w:szCs w:val="20"/>
              </w:rPr>
              <w:t>, 201</w:t>
            </w:r>
            <w:r w:rsidR="006B0E06">
              <w:rPr>
                <w:rFonts w:asciiTheme="minorHAnsi" w:eastAsia="Times New Roman" w:hAnsiTheme="minorHAnsi" w:cs="Arial"/>
                <w:b/>
                <w:bCs/>
                <w:sz w:val="20"/>
                <w:szCs w:val="20"/>
              </w:rPr>
              <w:t>6</w:t>
            </w:r>
          </w:p>
        </w:tc>
        <w:tc>
          <w:tcPr>
            <w:tcW w:w="955" w:type="pct"/>
            <w:vAlign w:val="bottom"/>
          </w:tcPr>
          <w:p w14:paraId="5F3A99C5" w14:textId="77777777" w:rsidR="009702B0" w:rsidRPr="009702B0" w:rsidRDefault="009702B0" w:rsidP="009702B0">
            <w:pPr>
              <w:spacing w:after="0" w:line="240" w:lineRule="auto"/>
              <w:jc w:val="right"/>
              <w:rPr>
                <w:rFonts w:asciiTheme="minorHAnsi" w:eastAsia="Times New Roman" w:hAnsiTheme="minorHAnsi" w:cs="Arial"/>
                <w:b/>
                <w:bCs/>
                <w:sz w:val="20"/>
                <w:szCs w:val="20"/>
              </w:rPr>
            </w:pPr>
            <w:r w:rsidRPr="009702B0">
              <w:rPr>
                <w:rFonts w:asciiTheme="minorHAnsi" w:eastAsia="Times New Roman" w:hAnsiTheme="minorHAnsi" w:cs="Arial"/>
                <w:b/>
                <w:bCs/>
                <w:sz w:val="20"/>
                <w:szCs w:val="20"/>
              </w:rPr>
              <w:t>Effect on</w:t>
            </w:r>
          </w:p>
          <w:p w14:paraId="6629F7ED" w14:textId="77777777" w:rsidR="009702B0" w:rsidRPr="009702B0" w:rsidRDefault="009702B0" w:rsidP="009702B0">
            <w:pPr>
              <w:spacing w:after="0" w:line="240" w:lineRule="auto"/>
              <w:jc w:val="right"/>
              <w:rPr>
                <w:rFonts w:asciiTheme="minorHAnsi" w:eastAsia="Times New Roman" w:hAnsiTheme="minorHAnsi" w:cs="Arial"/>
                <w:b/>
                <w:bCs/>
                <w:sz w:val="20"/>
                <w:szCs w:val="20"/>
              </w:rPr>
            </w:pPr>
            <w:r w:rsidRPr="009702B0">
              <w:rPr>
                <w:rFonts w:asciiTheme="minorHAnsi" w:eastAsia="Times New Roman" w:hAnsiTheme="minorHAnsi" w:cs="Arial"/>
                <w:b/>
                <w:bCs/>
                <w:sz w:val="20"/>
                <w:szCs w:val="20"/>
              </w:rPr>
              <w:t xml:space="preserve">profit </w:t>
            </w:r>
          </w:p>
          <w:p w14:paraId="3C4013B4" w14:textId="77777777" w:rsidR="008F26FC" w:rsidRDefault="008F26FC" w:rsidP="009702B0">
            <w:pPr>
              <w:spacing w:after="0" w:line="240" w:lineRule="auto"/>
              <w:jc w:val="right"/>
              <w:rPr>
                <w:rFonts w:asciiTheme="minorHAnsi" w:eastAsia="Times New Roman" w:hAnsiTheme="minorHAnsi" w:cs="Arial"/>
                <w:b/>
                <w:bCs/>
                <w:sz w:val="20"/>
                <w:szCs w:val="20"/>
              </w:rPr>
            </w:pPr>
            <w:r>
              <w:rPr>
                <w:rFonts w:asciiTheme="minorHAnsi" w:eastAsia="Times New Roman" w:hAnsiTheme="minorHAnsi" w:cs="Arial"/>
                <w:b/>
                <w:bCs/>
                <w:sz w:val="20"/>
                <w:szCs w:val="20"/>
              </w:rPr>
              <w:t>Jan 1 to</w:t>
            </w:r>
          </w:p>
          <w:p w14:paraId="7319255F" w14:textId="2D578851" w:rsidR="009702B0" w:rsidRPr="009702B0" w:rsidRDefault="008F26FC" w:rsidP="009702B0">
            <w:pPr>
              <w:spacing w:after="0" w:line="240" w:lineRule="auto"/>
              <w:jc w:val="right"/>
              <w:rPr>
                <w:rFonts w:asciiTheme="minorHAnsi" w:eastAsia="Times New Roman" w:hAnsiTheme="minorHAnsi" w:cs="Arial"/>
                <w:b/>
                <w:sz w:val="20"/>
                <w:szCs w:val="20"/>
              </w:rPr>
            </w:pPr>
            <w:r>
              <w:rPr>
                <w:rFonts w:asciiTheme="minorHAnsi" w:eastAsia="Times New Roman" w:hAnsiTheme="minorHAnsi" w:cs="Arial"/>
                <w:b/>
                <w:bCs/>
                <w:sz w:val="20"/>
                <w:szCs w:val="20"/>
              </w:rPr>
              <w:t>Dec 31</w:t>
            </w:r>
            <w:r w:rsidR="006B0E06">
              <w:rPr>
                <w:rFonts w:asciiTheme="minorHAnsi" w:eastAsia="Times New Roman" w:hAnsiTheme="minorHAnsi" w:cs="Arial"/>
                <w:b/>
                <w:bCs/>
                <w:sz w:val="20"/>
                <w:szCs w:val="20"/>
              </w:rPr>
              <w:t>, 2016</w:t>
            </w:r>
          </w:p>
        </w:tc>
      </w:tr>
      <w:tr w:rsidR="009702B0" w:rsidRPr="009702B0" w14:paraId="1DDB6A55" w14:textId="77777777" w:rsidTr="009702B0">
        <w:trPr>
          <w:trHeight w:hRule="exact" w:val="353"/>
          <w:jc w:val="center"/>
        </w:trPr>
        <w:tc>
          <w:tcPr>
            <w:tcW w:w="1238" w:type="pct"/>
          </w:tcPr>
          <w:p w14:paraId="08AAFB2A" w14:textId="77777777" w:rsidR="009702B0" w:rsidRPr="009702B0" w:rsidRDefault="009702B0" w:rsidP="009702B0">
            <w:pPr>
              <w:spacing w:after="0" w:line="240" w:lineRule="auto"/>
              <w:jc w:val="right"/>
              <w:rPr>
                <w:rFonts w:asciiTheme="minorHAnsi" w:eastAsia="Times New Roman" w:hAnsiTheme="minorHAnsi" w:cs="Arial"/>
                <w:sz w:val="20"/>
                <w:szCs w:val="20"/>
              </w:rPr>
            </w:pPr>
          </w:p>
        </w:tc>
        <w:tc>
          <w:tcPr>
            <w:tcW w:w="889" w:type="pct"/>
          </w:tcPr>
          <w:p w14:paraId="227239F3" w14:textId="77777777" w:rsidR="009702B0" w:rsidRPr="009702B0" w:rsidRDefault="009702B0" w:rsidP="009702B0">
            <w:pPr>
              <w:spacing w:after="0" w:line="240" w:lineRule="auto"/>
              <w:jc w:val="right"/>
              <w:rPr>
                <w:rFonts w:asciiTheme="minorHAnsi" w:eastAsia="Times New Roman" w:hAnsiTheme="minorHAnsi" w:cs="Arial"/>
                <w:sz w:val="20"/>
                <w:szCs w:val="20"/>
              </w:rPr>
            </w:pPr>
            <w:r w:rsidRPr="009702B0">
              <w:rPr>
                <w:rFonts w:eastAsia="Times New Roman" w:cs="Arial"/>
                <w:b/>
                <w:bCs/>
                <w:sz w:val="20"/>
                <w:szCs w:val="20"/>
              </w:rPr>
              <w:t>%</w:t>
            </w:r>
          </w:p>
        </w:tc>
        <w:tc>
          <w:tcPr>
            <w:tcW w:w="958" w:type="pct"/>
            <w:vAlign w:val="center"/>
          </w:tcPr>
          <w:p w14:paraId="1325E1E4" w14:textId="77777777" w:rsidR="009702B0" w:rsidRPr="009702B0" w:rsidRDefault="009702B0" w:rsidP="009702B0">
            <w:pPr>
              <w:spacing w:after="0" w:line="240" w:lineRule="auto"/>
              <w:jc w:val="right"/>
              <w:rPr>
                <w:rFonts w:asciiTheme="minorHAnsi" w:eastAsia="Times New Roman" w:hAnsiTheme="minorHAnsi" w:cs="Arial"/>
                <w:sz w:val="20"/>
                <w:szCs w:val="20"/>
              </w:rPr>
            </w:pPr>
            <w:r w:rsidRPr="009702B0">
              <w:rPr>
                <w:rFonts w:asciiTheme="minorHAnsi" w:eastAsia="Times New Roman" w:hAnsiTheme="minorHAnsi" w:cs="Arial"/>
                <w:b/>
                <w:bCs/>
                <w:sz w:val="20"/>
                <w:szCs w:val="20"/>
              </w:rPr>
              <w:t>HRK' 000</w:t>
            </w:r>
          </w:p>
        </w:tc>
        <w:tc>
          <w:tcPr>
            <w:tcW w:w="960" w:type="pct"/>
          </w:tcPr>
          <w:p w14:paraId="2F57ADAA" w14:textId="77777777" w:rsidR="009702B0" w:rsidRPr="009702B0" w:rsidRDefault="009702B0" w:rsidP="009702B0">
            <w:pPr>
              <w:spacing w:after="0" w:line="240" w:lineRule="auto"/>
              <w:jc w:val="right"/>
              <w:rPr>
                <w:rFonts w:asciiTheme="minorHAnsi" w:eastAsia="Times New Roman" w:hAnsiTheme="minorHAnsi" w:cs="Arial"/>
                <w:sz w:val="20"/>
                <w:szCs w:val="20"/>
              </w:rPr>
            </w:pPr>
            <w:r w:rsidRPr="009702B0">
              <w:rPr>
                <w:rFonts w:eastAsia="Times New Roman" w:cs="Arial"/>
                <w:b/>
                <w:bCs/>
                <w:sz w:val="20"/>
                <w:szCs w:val="20"/>
              </w:rPr>
              <w:t>%</w:t>
            </w:r>
          </w:p>
        </w:tc>
        <w:tc>
          <w:tcPr>
            <w:tcW w:w="955" w:type="pct"/>
            <w:vAlign w:val="center"/>
          </w:tcPr>
          <w:p w14:paraId="51AE1152" w14:textId="77777777" w:rsidR="009702B0" w:rsidRPr="009702B0" w:rsidRDefault="009702B0" w:rsidP="009702B0">
            <w:pPr>
              <w:spacing w:after="0" w:line="240" w:lineRule="auto"/>
              <w:jc w:val="right"/>
              <w:rPr>
                <w:rFonts w:asciiTheme="minorHAnsi" w:eastAsia="Times New Roman" w:hAnsiTheme="minorHAnsi" w:cs="Arial"/>
                <w:sz w:val="20"/>
                <w:szCs w:val="20"/>
              </w:rPr>
            </w:pPr>
            <w:r w:rsidRPr="009702B0">
              <w:rPr>
                <w:rFonts w:asciiTheme="minorHAnsi" w:eastAsia="Times New Roman" w:hAnsiTheme="minorHAnsi" w:cs="Arial"/>
                <w:b/>
                <w:bCs/>
                <w:sz w:val="20"/>
                <w:szCs w:val="20"/>
              </w:rPr>
              <w:t>HRK' 000</w:t>
            </w:r>
          </w:p>
        </w:tc>
      </w:tr>
      <w:tr w:rsidR="009702B0" w:rsidRPr="009702B0" w14:paraId="60332CF2" w14:textId="77777777" w:rsidTr="009702B0">
        <w:trPr>
          <w:trHeight w:hRule="exact" w:val="175"/>
          <w:jc w:val="center"/>
        </w:trPr>
        <w:tc>
          <w:tcPr>
            <w:tcW w:w="1238" w:type="pct"/>
          </w:tcPr>
          <w:p w14:paraId="058AF5CE" w14:textId="77777777" w:rsidR="009702B0" w:rsidRPr="009702B0" w:rsidRDefault="009702B0" w:rsidP="009702B0">
            <w:pPr>
              <w:spacing w:after="0" w:line="240" w:lineRule="auto"/>
              <w:jc w:val="both"/>
              <w:rPr>
                <w:rFonts w:asciiTheme="minorHAnsi" w:eastAsia="Times New Roman" w:hAnsiTheme="minorHAnsi" w:cs="Arial"/>
                <w:sz w:val="20"/>
                <w:szCs w:val="20"/>
              </w:rPr>
            </w:pPr>
          </w:p>
        </w:tc>
        <w:tc>
          <w:tcPr>
            <w:tcW w:w="889" w:type="pct"/>
          </w:tcPr>
          <w:p w14:paraId="3F0498C8" w14:textId="77777777" w:rsidR="009702B0" w:rsidRPr="009702B0" w:rsidRDefault="009702B0" w:rsidP="009702B0">
            <w:pPr>
              <w:spacing w:after="0" w:line="240" w:lineRule="auto"/>
              <w:jc w:val="center"/>
              <w:rPr>
                <w:rFonts w:asciiTheme="minorHAnsi" w:eastAsia="Times New Roman" w:hAnsiTheme="minorHAnsi" w:cs="Arial"/>
                <w:sz w:val="20"/>
                <w:szCs w:val="20"/>
              </w:rPr>
            </w:pPr>
          </w:p>
        </w:tc>
        <w:tc>
          <w:tcPr>
            <w:tcW w:w="958" w:type="pct"/>
            <w:vAlign w:val="center"/>
          </w:tcPr>
          <w:p w14:paraId="2E660C4C" w14:textId="77777777" w:rsidR="009702B0" w:rsidRPr="009702B0" w:rsidRDefault="009702B0" w:rsidP="009702B0">
            <w:pPr>
              <w:spacing w:after="0" w:line="240" w:lineRule="auto"/>
              <w:jc w:val="center"/>
              <w:rPr>
                <w:rFonts w:asciiTheme="minorHAnsi" w:eastAsia="Times New Roman" w:hAnsiTheme="minorHAnsi" w:cs="Arial"/>
                <w:b/>
                <w:bCs/>
                <w:sz w:val="20"/>
                <w:szCs w:val="20"/>
              </w:rPr>
            </w:pPr>
          </w:p>
        </w:tc>
        <w:tc>
          <w:tcPr>
            <w:tcW w:w="960" w:type="pct"/>
          </w:tcPr>
          <w:p w14:paraId="1BF278B5" w14:textId="77777777" w:rsidR="009702B0" w:rsidRPr="009702B0" w:rsidRDefault="009702B0" w:rsidP="009702B0">
            <w:pPr>
              <w:spacing w:after="0" w:line="240" w:lineRule="auto"/>
              <w:jc w:val="center"/>
              <w:rPr>
                <w:rFonts w:asciiTheme="minorHAnsi" w:eastAsia="Times New Roman" w:hAnsiTheme="minorHAnsi" w:cs="Arial"/>
                <w:sz w:val="20"/>
                <w:szCs w:val="20"/>
              </w:rPr>
            </w:pPr>
          </w:p>
        </w:tc>
        <w:tc>
          <w:tcPr>
            <w:tcW w:w="955" w:type="pct"/>
            <w:vAlign w:val="center"/>
          </w:tcPr>
          <w:p w14:paraId="400D7AF7" w14:textId="77777777" w:rsidR="009702B0" w:rsidRPr="009702B0" w:rsidRDefault="009702B0" w:rsidP="009702B0">
            <w:pPr>
              <w:spacing w:after="0" w:line="240" w:lineRule="auto"/>
              <w:jc w:val="center"/>
              <w:rPr>
                <w:rFonts w:asciiTheme="minorHAnsi" w:eastAsia="Times New Roman" w:hAnsiTheme="minorHAnsi" w:cs="Arial"/>
                <w:b/>
                <w:bCs/>
                <w:sz w:val="20"/>
                <w:szCs w:val="20"/>
              </w:rPr>
            </w:pPr>
          </w:p>
        </w:tc>
      </w:tr>
      <w:tr w:rsidR="00A05FF8" w:rsidRPr="009702B0" w14:paraId="50C371FD" w14:textId="77777777" w:rsidTr="009702B0">
        <w:trPr>
          <w:trHeight w:hRule="exact" w:val="284"/>
          <w:jc w:val="center"/>
        </w:trPr>
        <w:tc>
          <w:tcPr>
            <w:tcW w:w="1238" w:type="pct"/>
            <w:vAlign w:val="center"/>
          </w:tcPr>
          <w:p w14:paraId="26502A3D" w14:textId="77777777" w:rsidR="00A05FF8" w:rsidRPr="009702B0" w:rsidRDefault="00A05FF8" w:rsidP="00A05FF8">
            <w:pPr>
              <w:spacing w:after="0" w:line="240" w:lineRule="auto"/>
              <w:jc w:val="both"/>
              <w:rPr>
                <w:rFonts w:asciiTheme="minorHAnsi" w:eastAsia="Times New Roman" w:hAnsiTheme="minorHAnsi" w:cs="Arial"/>
                <w:sz w:val="20"/>
                <w:szCs w:val="20"/>
              </w:rPr>
            </w:pPr>
            <w:r w:rsidRPr="009702B0">
              <w:rPr>
                <w:rFonts w:asciiTheme="minorHAnsi" w:eastAsia="Times New Roman" w:hAnsiTheme="minorHAnsi" w:cs="Arial"/>
                <w:bCs/>
                <w:sz w:val="20"/>
                <w:szCs w:val="20"/>
              </w:rPr>
              <w:t>EUR</w:t>
            </w:r>
          </w:p>
        </w:tc>
        <w:tc>
          <w:tcPr>
            <w:tcW w:w="889" w:type="pct"/>
          </w:tcPr>
          <w:p w14:paraId="6C713655" w14:textId="0C7C50F9" w:rsidR="00A05FF8" w:rsidRPr="006B318F" w:rsidRDefault="00A05FF8" w:rsidP="00A05FF8">
            <w:pPr>
              <w:spacing w:after="0" w:line="240" w:lineRule="auto"/>
              <w:jc w:val="right"/>
              <w:rPr>
                <w:rFonts w:cs="Arial"/>
                <w:sz w:val="20"/>
                <w:szCs w:val="20"/>
              </w:rPr>
            </w:pPr>
            <w:r w:rsidRPr="006B318F">
              <w:rPr>
                <w:rFonts w:cs="Arial"/>
                <w:sz w:val="20"/>
                <w:szCs w:val="20"/>
              </w:rPr>
              <w:t>+1,5%</w:t>
            </w:r>
          </w:p>
        </w:tc>
        <w:tc>
          <w:tcPr>
            <w:tcW w:w="958" w:type="pct"/>
          </w:tcPr>
          <w:p w14:paraId="4E3E425B" w14:textId="183B0F11" w:rsidR="00A05FF8" w:rsidRPr="009702B0" w:rsidRDefault="00A05FF8" w:rsidP="00A05FF8">
            <w:pPr>
              <w:spacing w:after="0" w:line="240" w:lineRule="auto"/>
              <w:jc w:val="right"/>
              <w:rPr>
                <w:rFonts w:asciiTheme="minorHAnsi" w:eastAsia="Times New Roman" w:hAnsiTheme="minorHAnsi" w:cs="Arial"/>
                <w:bCs/>
                <w:sz w:val="20"/>
                <w:szCs w:val="20"/>
                <w:lang w:val="hr-HR"/>
              </w:rPr>
            </w:pPr>
            <w:r>
              <w:rPr>
                <w:rFonts w:cs="Arial"/>
                <w:sz w:val="20"/>
                <w:szCs w:val="20"/>
              </w:rPr>
              <w:t>1,926</w:t>
            </w:r>
          </w:p>
        </w:tc>
        <w:tc>
          <w:tcPr>
            <w:tcW w:w="960" w:type="pct"/>
          </w:tcPr>
          <w:p w14:paraId="4584710E" w14:textId="3438A76C" w:rsidR="00A05FF8" w:rsidRPr="009702B0" w:rsidRDefault="00A05FF8" w:rsidP="00A05FF8">
            <w:pPr>
              <w:spacing w:after="0" w:line="240" w:lineRule="auto"/>
              <w:jc w:val="right"/>
              <w:rPr>
                <w:rFonts w:asciiTheme="minorHAnsi" w:eastAsia="Times New Roman" w:hAnsiTheme="minorHAnsi" w:cs="Arial"/>
                <w:bCs/>
                <w:sz w:val="20"/>
                <w:szCs w:val="20"/>
                <w:lang w:val="hr-HR"/>
              </w:rPr>
            </w:pPr>
            <w:r w:rsidRPr="00740612">
              <w:rPr>
                <w:rFonts w:cs="Arial"/>
                <w:sz w:val="20"/>
                <w:szCs w:val="20"/>
              </w:rPr>
              <w:t>+1.</w:t>
            </w:r>
            <w:r>
              <w:rPr>
                <w:rFonts w:cs="Arial"/>
                <w:sz w:val="20"/>
                <w:szCs w:val="20"/>
              </w:rPr>
              <w:t>5</w:t>
            </w:r>
            <w:r w:rsidRPr="00740612">
              <w:rPr>
                <w:rFonts w:cs="Arial"/>
                <w:sz w:val="20"/>
                <w:szCs w:val="20"/>
              </w:rPr>
              <w:t>%</w:t>
            </w:r>
          </w:p>
        </w:tc>
        <w:tc>
          <w:tcPr>
            <w:tcW w:w="955" w:type="pct"/>
          </w:tcPr>
          <w:p w14:paraId="04F1F151" w14:textId="2F5F1E18" w:rsidR="00A05FF8" w:rsidRPr="009702B0" w:rsidRDefault="00A05FF8" w:rsidP="00A05FF8">
            <w:pPr>
              <w:spacing w:after="0" w:line="240" w:lineRule="auto"/>
              <w:jc w:val="right"/>
              <w:rPr>
                <w:rFonts w:asciiTheme="minorHAnsi" w:eastAsia="Times New Roman" w:hAnsiTheme="minorHAnsi" w:cs="Arial"/>
                <w:bCs/>
                <w:sz w:val="20"/>
                <w:szCs w:val="20"/>
                <w:lang w:val="hr-HR"/>
              </w:rPr>
            </w:pPr>
            <w:r w:rsidRPr="00740612">
              <w:rPr>
                <w:rFonts w:cs="Arial"/>
                <w:sz w:val="20"/>
                <w:szCs w:val="20"/>
              </w:rPr>
              <w:t xml:space="preserve">                </w:t>
            </w:r>
            <w:r>
              <w:rPr>
                <w:rFonts w:cs="Arial"/>
                <w:sz w:val="20"/>
                <w:szCs w:val="20"/>
              </w:rPr>
              <w:t>5</w:t>
            </w:r>
            <w:r w:rsidRPr="00740612">
              <w:rPr>
                <w:rFonts w:cs="Arial"/>
                <w:sz w:val="20"/>
                <w:szCs w:val="20"/>
              </w:rPr>
              <w:t>,</w:t>
            </w:r>
            <w:r>
              <w:rPr>
                <w:rFonts w:cs="Arial"/>
                <w:sz w:val="20"/>
                <w:szCs w:val="20"/>
              </w:rPr>
              <w:t>912</w:t>
            </w:r>
          </w:p>
        </w:tc>
      </w:tr>
      <w:tr w:rsidR="00A05FF8" w:rsidRPr="009702B0" w14:paraId="319FE70C" w14:textId="77777777" w:rsidTr="009702B0">
        <w:trPr>
          <w:trHeight w:hRule="exact" w:val="85"/>
          <w:jc w:val="center"/>
        </w:trPr>
        <w:tc>
          <w:tcPr>
            <w:tcW w:w="1238" w:type="pct"/>
            <w:vAlign w:val="center"/>
          </w:tcPr>
          <w:p w14:paraId="74F8CE46" w14:textId="77777777" w:rsidR="00A05FF8" w:rsidRPr="009702B0" w:rsidRDefault="00A05FF8" w:rsidP="00A05FF8">
            <w:pPr>
              <w:spacing w:after="0" w:line="240" w:lineRule="auto"/>
              <w:jc w:val="both"/>
              <w:rPr>
                <w:rFonts w:asciiTheme="minorHAnsi" w:eastAsia="Times New Roman" w:hAnsiTheme="minorHAnsi" w:cs="Arial"/>
                <w:sz w:val="20"/>
                <w:szCs w:val="20"/>
              </w:rPr>
            </w:pPr>
          </w:p>
        </w:tc>
        <w:tc>
          <w:tcPr>
            <w:tcW w:w="889" w:type="pct"/>
          </w:tcPr>
          <w:p w14:paraId="080E4BB1" w14:textId="2F1E470E" w:rsidR="00A05FF8" w:rsidRPr="006B318F" w:rsidRDefault="00A05FF8" w:rsidP="00A05FF8">
            <w:pPr>
              <w:spacing w:after="0" w:line="240" w:lineRule="auto"/>
              <w:jc w:val="right"/>
              <w:rPr>
                <w:rFonts w:cs="Arial"/>
                <w:sz w:val="20"/>
                <w:szCs w:val="20"/>
              </w:rPr>
            </w:pPr>
            <w:r w:rsidRPr="006B318F">
              <w:rPr>
                <w:rFonts w:cs="Arial"/>
                <w:sz w:val="20"/>
                <w:szCs w:val="20"/>
              </w:rPr>
              <w:t>-</w:t>
            </w:r>
          </w:p>
        </w:tc>
        <w:tc>
          <w:tcPr>
            <w:tcW w:w="958" w:type="pct"/>
          </w:tcPr>
          <w:p w14:paraId="277A8D4F" w14:textId="77777777" w:rsidR="00A05FF8" w:rsidRPr="009702B0" w:rsidRDefault="00A05FF8" w:rsidP="00A05FF8">
            <w:pPr>
              <w:spacing w:after="0" w:line="240" w:lineRule="auto"/>
              <w:jc w:val="right"/>
              <w:rPr>
                <w:rFonts w:asciiTheme="minorHAnsi" w:eastAsia="Times New Roman" w:hAnsiTheme="minorHAnsi" w:cs="Arial"/>
                <w:bCs/>
                <w:sz w:val="20"/>
                <w:szCs w:val="20"/>
                <w:lang w:val="hr-HR"/>
              </w:rPr>
            </w:pPr>
          </w:p>
        </w:tc>
        <w:tc>
          <w:tcPr>
            <w:tcW w:w="960" w:type="pct"/>
          </w:tcPr>
          <w:p w14:paraId="238BD888" w14:textId="77777777" w:rsidR="00A05FF8" w:rsidRPr="009702B0" w:rsidRDefault="00A05FF8" w:rsidP="00A05FF8">
            <w:pPr>
              <w:spacing w:after="0" w:line="240" w:lineRule="auto"/>
              <w:jc w:val="right"/>
              <w:rPr>
                <w:rFonts w:asciiTheme="minorHAnsi" w:eastAsia="Times New Roman" w:hAnsiTheme="minorHAnsi" w:cs="Arial"/>
                <w:bCs/>
                <w:sz w:val="20"/>
                <w:szCs w:val="20"/>
                <w:lang w:val="hr-HR"/>
              </w:rPr>
            </w:pPr>
          </w:p>
        </w:tc>
        <w:tc>
          <w:tcPr>
            <w:tcW w:w="955" w:type="pct"/>
          </w:tcPr>
          <w:p w14:paraId="46FEA229" w14:textId="77777777" w:rsidR="00A05FF8" w:rsidRPr="009702B0" w:rsidRDefault="00A05FF8" w:rsidP="00A05FF8">
            <w:pPr>
              <w:spacing w:after="0" w:line="240" w:lineRule="auto"/>
              <w:jc w:val="right"/>
              <w:rPr>
                <w:rFonts w:asciiTheme="minorHAnsi" w:eastAsia="Times New Roman" w:hAnsiTheme="minorHAnsi" w:cs="Arial"/>
                <w:bCs/>
                <w:sz w:val="20"/>
                <w:szCs w:val="20"/>
                <w:lang w:val="hr-HR"/>
              </w:rPr>
            </w:pPr>
          </w:p>
        </w:tc>
      </w:tr>
      <w:tr w:rsidR="00A05FF8" w:rsidRPr="009702B0" w14:paraId="10F5BA26" w14:textId="77777777" w:rsidTr="009702B0">
        <w:trPr>
          <w:trHeight w:hRule="exact" w:val="284"/>
          <w:jc w:val="center"/>
        </w:trPr>
        <w:tc>
          <w:tcPr>
            <w:tcW w:w="1238" w:type="pct"/>
            <w:vAlign w:val="center"/>
          </w:tcPr>
          <w:p w14:paraId="5E6F7D44" w14:textId="77777777" w:rsidR="00A05FF8" w:rsidRPr="009702B0" w:rsidRDefault="00A05FF8" w:rsidP="00A05FF8">
            <w:pPr>
              <w:spacing w:after="0" w:line="240" w:lineRule="auto"/>
              <w:jc w:val="both"/>
              <w:rPr>
                <w:rFonts w:asciiTheme="minorHAnsi" w:eastAsia="Times New Roman" w:hAnsiTheme="minorHAnsi" w:cs="Arial"/>
                <w:sz w:val="20"/>
                <w:szCs w:val="20"/>
              </w:rPr>
            </w:pPr>
            <w:r w:rsidRPr="009702B0">
              <w:rPr>
                <w:rFonts w:asciiTheme="minorHAnsi" w:eastAsia="Times New Roman" w:hAnsiTheme="minorHAnsi" w:cs="Arial"/>
                <w:bCs/>
                <w:sz w:val="20"/>
                <w:szCs w:val="20"/>
              </w:rPr>
              <w:t>EUR</w:t>
            </w:r>
          </w:p>
        </w:tc>
        <w:tc>
          <w:tcPr>
            <w:tcW w:w="889" w:type="pct"/>
          </w:tcPr>
          <w:p w14:paraId="76258599" w14:textId="2CBDB1E7" w:rsidR="00A05FF8" w:rsidRPr="006B318F" w:rsidRDefault="00A05FF8" w:rsidP="00A05FF8">
            <w:pPr>
              <w:spacing w:after="0" w:line="240" w:lineRule="auto"/>
              <w:jc w:val="right"/>
              <w:rPr>
                <w:rFonts w:cs="Arial"/>
                <w:sz w:val="20"/>
                <w:szCs w:val="20"/>
              </w:rPr>
            </w:pPr>
            <w:r w:rsidRPr="006B318F">
              <w:rPr>
                <w:rFonts w:cs="Arial"/>
                <w:sz w:val="20"/>
                <w:szCs w:val="20"/>
              </w:rPr>
              <w:t>-1,5%</w:t>
            </w:r>
          </w:p>
        </w:tc>
        <w:tc>
          <w:tcPr>
            <w:tcW w:w="958" w:type="pct"/>
          </w:tcPr>
          <w:p w14:paraId="18832E01" w14:textId="045EC3A3" w:rsidR="00A05FF8" w:rsidRPr="009702B0" w:rsidRDefault="00A05FF8" w:rsidP="00A05FF8">
            <w:pPr>
              <w:spacing w:after="0" w:line="240" w:lineRule="auto"/>
              <w:jc w:val="right"/>
              <w:rPr>
                <w:rFonts w:asciiTheme="minorHAnsi" w:eastAsia="Times New Roman" w:hAnsiTheme="minorHAnsi" w:cs="Arial"/>
                <w:bCs/>
                <w:sz w:val="20"/>
                <w:szCs w:val="20"/>
                <w:lang w:val="hr-HR"/>
              </w:rPr>
            </w:pPr>
            <w:r>
              <w:rPr>
                <w:rFonts w:eastAsia="Times New Roman" w:cs="Arial"/>
                <w:bCs/>
                <w:sz w:val="20"/>
                <w:szCs w:val="20"/>
              </w:rPr>
              <w:t>52</w:t>
            </w:r>
          </w:p>
        </w:tc>
        <w:tc>
          <w:tcPr>
            <w:tcW w:w="960" w:type="pct"/>
          </w:tcPr>
          <w:p w14:paraId="7B8893BB" w14:textId="6F12540F" w:rsidR="00A05FF8" w:rsidRPr="009702B0" w:rsidRDefault="00A05FF8" w:rsidP="00A05FF8">
            <w:pPr>
              <w:spacing w:after="0" w:line="240" w:lineRule="auto"/>
              <w:jc w:val="right"/>
              <w:rPr>
                <w:rFonts w:asciiTheme="minorHAnsi" w:eastAsia="Times New Roman" w:hAnsiTheme="minorHAnsi" w:cs="Arial"/>
                <w:bCs/>
                <w:sz w:val="20"/>
                <w:szCs w:val="20"/>
                <w:lang w:val="hr-HR"/>
              </w:rPr>
            </w:pPr>
            <w:r w:rsidRPr="00740612">
              <w:rPr>
                <w:rFonts w:cs="Arial"/>
                <w:sz w:val="20"/>
                <w:szCs w:val="20"/>
              </w:rPr>
              <w:t>-1.</w:t>
            </w:r>
            <w:r>
              <w:rPr>
                <w:rFonts w:cs="Arial"/>
                <w:sz w:val="20"/>
                <w:szCs w:val="20"/>
              </w:rPr>
              <w:t>5</w:t>
            </w:r>
            <w:r w:rsidRPr="00740612">
              <w:rPr>
                <w:rFonts w:cs="Arial"/>
                <w:sz w:val="20"/>
                <w:szCs w:val="20"/>
              </w:rPr>
              <w:t>%</w:t>
            </w:r>
          </w:p>
        </w:tc>
        <w:tc>
          <w:tcPr>
            <w:tcW w:w="955" w:type="pct"/>
          </w:tcPr>
          <w:p w14:paraId="4198760D" w14:textId="1BCDD6DD" w:rsidR="00A05FF8" w:rsidRPr="009702B0" w:rsidRDefault="00A05FF8" w:rsidP="00A05FF8">
            <w:pPr>
              <w:spacing w:after="0" w:line="240" w:lineRule="auto"/>
              <w:jc w:val="right"/>
              <w:rPr>
                <w:rFonts w:asciiTheme="minorHAnsi" w:eastAsia="Times New Roman" w:hAnsiTheme="minorHAnsi" w:cs="Arial"/>
                <w:bCs/>
                <w:sz w:val="20"/>
                <w:szCs w:val="20"/>
                <w:lang w:val="hr-HR"/>
              </w:rPr>
            </w:pPr>
            <w:r w:rsidRPr="00740612">
              <w:rPr>
                <w:rFonts w:cs="Arial"/>
                <w:sz w:val="20"/>
                <w:szCs w:val="20"/>
              </w:rPr>
              <w:t xml:space="preserve">              (</w:t>
            </w:r>
            <w:r>
              <w:rPr>
                <w:rFonts w:cs="Arial"/>
                <w:sz w:val="20"/>
                <w:szCs w:val="20"/>
              </w:rPr>
              <w:t>5</w:t>
            </w:r>
            <w:r w:rsidRPr="00740612">
              <w:rPr>
                <w:rFonts w:cs="Arial"/>
                <w:sz w:val="20"/>
                <w:szCs w:val="20"/>
              </w:rPr>
              <w:t>,</w:t>
            </w:r>
            <w:r>
              <w:rPr>
                <w:rFonts w:cs="Arial"/>
                <w:sz w:val="20"/>
                <w:szCs w:val="20"/>
              </w:rPr>
              <w:t>020</w:t>
            </w:r>
            <w:r w:rsidRPr="00740612">
              <w:rPr>
                <w:rFonts w:cs="Arial"/>
                <w:sz w:val="20"/>
                <w:szCs w:val="20"/>
              </w:rPr>
              <w:t>)</w:t>
            </w:r>
          </w:p>
        </w:tc>
      </w:tr>
    </w:tbl>
    <w:p w14:paraId="3DF30D16" w14:textId="77777777" w:rsidR="009702B0" w:rsidRPr="009702B0" w:rsidRDefault="009702B0" w:rsidP="009702B0">
      <w:pPr>
        <w:keepNext/>
        <w:spacing w:after="0" w:line="240" w:lineRule="auto"/>
        <w:ind w:left="709" w:hanging="709"/>
        <w:jc w:val="both"/>
        <w:rPr>
          <w:rFonts w:eastAsia="Times New Roman" w:cs="Arial"/>
          <w:b/>
          <w:bCs/>
        </w:rPr>
      </w:pPr>
    </w:p>
    <w:p w14:paraId="1AEB3A97" w14:textId="77777777" w:rsidR="009702B0" w:rsidRPr="009702B0" w:rsidRDefault="009702B0" w:rsidP="009702B0">
      <w:pPr>
        <w:spacing w:after="0" w:line="240" w:lineRule="auto"/>
        <w:jc w:val="both"/>
        <w:rPr>
          <w:rFonts w:eastAsia="Times New Roman" w:cs="Calibri"/>
          <w:b/>
        </w:rPr>
      </w:pPr>
      <w:r w:rsidRPr="009702B0">
        <w:rPr>
          <w:rFonts w:eastAsia="Times New Roman" w:cs="Calibri"/>
          <w:b/>
        </w:rPr>
        <w:t xml:space="preserve">16.5.   Operational risk  </w:t>
      </w:r>
    </w:p>
    <w:p w14:paraId="4D337B03" w14:textId="77777777" w:rsidR="009702B0" w:rsidRPr="009702B0" w:rsidRDefault="009702B0" w:rsidP="009702B0">
      <w:pPr>
        <w:spacing w:after="0" w:line="240" w:lineRule="auto"/>
        <w:jc w:val="both"/>
        <w:rPr>
          <w:rFonts w:cs="Calibri"/>
        </w:rPr>
      </w:pPr>
    </w:p>
    <w:p w14:paraId="4B02F8DB" w14:textId="77777777" w:rsidR="009702B0" w:rsidRDefault="009702B0" w:rsidP="009702B0">
      <w:pPr>
        <w:widowControl w:val="0"/>
        <w:spacing w:after="0" w:line="240" w:lineRule="auto"/>
        <w:jc w:val="both"/>
        <w:rPr>
          <w:rFonts w:cs="Calibri"/>
        </w:rPr>
      </w:pPr>
      <w:r w:rsidRPr="009702B0">
        <w:rPr>
          <w:rFonts w:cs="Calibri"/>
        </w:rPr>
        <w:t>The Bank has established a framework for operational risk management that is, to a considerable extent</w:t>
      </w:r>
      <w:proofErr w:type="gramStart"/>
      <w:r w:rsidRPr="009702B0">
        <w:rPr>
          <w:rFonts w:cs="Calibri"/>
        </w:rPr>
        <w:t>,  aligned</w:t>
      </w:r>
      <w:proofErr w:type="gramEnd"/>
      <w:r w:rsidRPr="009702B0">
        <w:rPr>
          <w:rFonts w:cs="Calibri"/>
        </w:rPr>
        <w:t xml:space="preserve"> with regulations prescribed by the Croatian National Bank applicable to the Bank's business and good banking practices in the area of risk management</w:t>
      </w:r>
      <w:r w:rsidR="004D0FB7">
        <w:rPr>
          <w:rFonts w:cs="Calibri"/>
        </w:rPr>
        <w:t xml:space="preserve"> that was introduced in 2012</w:t>
      </w:r>
      <w:r w:rsidRPr="009702B0">
        <w:rPr>
          <w:rFonts w:cs="Calibri"/>
        </w:rPr>
        <w:t>.</w:t>
      </w:r>
    </w:p>
    <w:p w14:paraId="4C11D06F" w14:textId="77777777" w:rsidR="007D1FAB" w:rsidRPr="009702B0" w:rsidRDefault="007D1FAB" w:rsidP="009702B0">
      <w:pPr>
        <w:widowControl w:val="0"/>
        <w:spacing w:after="0" w:line="240" w:lineRule="auto"/>
        <w:jc w:val="both"/>
        <w:rPr>
          <w:rFonts w:cs="Calibri"/>
        </w:rPr>
      </w:pPr>
    </w:p>
    <w:p w14:paraId="62761B39" w14:textId="7BD7CB07" w:rsidR="009702B0" w:rsidRPr="009702B0" w:rsidRDefault="009702B0" w:rsidP="009702B0">
      <w:pPr>
        <w:spacing w:after="0" w:line="240" w:lineRule="auto"/>
        <w:jc w:val="both"/>
        <w:rPr>
          <w:rFonts w:cs="Calibri"/>
        </w:rPr>
      </w:pPr>
      <w:r w:rsidRPr="009702B0">
        <w:rPr>
          <w:rFonts w:cs="Calibri"/>
        </w:rPr>
        <w:t>The basic principles of operational risk management were identified in the umbrella act, Operational Risk Management Polic</w:t>
      </w:r>
      <w:r w:rsidR="00572821">
        <w:rPr>
          <w:rFonts w:cs="Calibri"/>
        </w:rPr>
        <w:t>ies</w:t>
      </w:r>
      <w:r w:rsidR="0038521F">
        <w:rPr>
          <w:rFonts w:cs="Calibri"/>
        </w:rPr>
        <w:t>.</w:t>
      </w:r>
      <w:r w:rsidRPr="009702B0">
        <w:rPr>
          <w:rFonts w:cs="Calibri"/>
        </w:rPr>
        <w:t xml:space="preserve"> </w:t>
      </w:r>
      <w:r w:rsidR="0038521F">
        <w:rPr>
          <w:rFonts w:cs="Calibri"/>
        </w:rPr>
        <w:t>T</w:t>
      </w:r>
      <w:r w:rsidRPr="009702B0">
        <w:rPr>
          <w:rFonts w:cs="Calibri"/>
        </w:rPr>
        <w:t>he structure of management and accountability in the system was set up, the approach for the calculation of capital requirements for operational risk was determined</w:t>
      </w:r>
      <w:r w:rsidR="00214515">
        <w:rPr>
          <w:rFonts w:cs="Calibri"/>
        </w:rPr>
        <w:t>,</w:t>
      </w:r>
      <w:r w:rsidRPr="009702B0">
        <w:rPr>
          <w:rFonts w:cs="Calibri"/>
        </w:rPr>
        <w:t xml:space="preserve"> the recording and reporting system was established</w:t>
      </w:r>
      <w:r w:rsidR="00214515">
        <w:rPr>
          <w:rFonts w:cs="Calibri"/>
        </w:rPr>
        <w:t xml:space="preserve"> </w:t>
      </w:r>
      <w:r w:rsidR="00824D9E">
        <w:rPr>
          <w:rFonts w:cs="Calibri"/>
        </w:rPr>
        <w:t xml:space="preserve">and </w:t>
      </w:r>
      <w:r w:rsidR="00E33976">
        <w:rPr>
          <w:rFonts w:cs="Calibri"/>
        </w:rPr>
        <w:t xml:space="preserve">the identification, measurement, assessment, control and monitoring of operational risk </w:t>
      </w:r>
      <w:r w:rsidR="006949C8">
        <w:rPr>
          <w:rFonts w:cs="Calibri"/>
        </w:rPr>
        <w:t>were put in place</w:t>
      </w:r>
      <w:r w:rsidRPr="009702B0">
        <w:rPr>
          <w:rFonts w:cs="Calibri"/>
        </w:rPr>
        <w:t>.</w:t>
      </w:r>
    </w:p>
    <w:p w14:paraId="67FF3EEF" w14:textId="77777777" w:rsidR="009702B0" w:rsidRPr="009702B0" w:rsidRDefault="009702B0" w:rsidP="009702B0">
      <w:pPr>
        <w:spacing w:after="0" w:line="240" w:lineRule="auto"/>
        <w:jc w:val="both"/>
        <w:rPr>
          <w:rFonts w:cs="Calibri"/>
        </w:rPr>
      </w:pPr>
    </w:p>
    <w:p w14:paraId="461E3FE0" w14:textId="77777777" w:rsidR="009702B0" w:rsidRPr="009702B0" w:rsidRDefault="009702B0" w:rsidP="009702B0">
      <w:pPr>
        <w:spacing w:after="0" w:line="240" w:lineRule="auto"/>
        <w:jc w:val="both"/>
        <w:rPr>
          <w:rFonts w:cs="Calibri"/>
        </w:rPr>
      </w:pPr>
      <w:r w:rsidRPr="009702B0">
        <w:rPr>
          <w:rFonts w:cs="Calibri"/>
        </w:rPr>
        <w:t>The Committee for IT management was established in order to monitor IT system performance with the purpose of IT resources management by setting the appropriate level of efficiency and security of IT for providing, among other things, appropriate management of risks arising from IT technology utilisation. The IT system security control function is in charge of monitoring the security of the IT system. Within this function, a system for the management of business continuity was established.</w:t>
      </w:r>
    </w:p>
    <w:p w14:paraId="1185412E" w14:textId="77777777" w:rsidR="009702B0" w:rsidRPr="009702B0" w:rsidRDefault="009702B0" w:rsidP="009702B0">
      <w:pPr>
        <w:spacing w:after="0" w:line="240" w:lineRule="auto"/>
        <w:jc w:val="both"/>
        <w:rPr>
          <w:rFonts w:cs="Calibri"/>
        </w:rPr>
        <w:sectPr w:rsidR="009702B0" w:rsidRPr="009702B0" w:rsidSect="00947CB7">
          <w:footerReference w:type="first" r:id="rId119"/>
          <w:pgSz w:w="11906" w:h="16838" w:code="9"/>
          <w:pgMar w:top="1418" w:right="1418" w:bottom="595" w:left="1134" w:header="709" w:footer="709" w:gutter="0"/>
          <w:cols w:space="708"/>
          <w:titlePg/>
          <w:docGrid w:linePitch="360"/>
        </w:sectPr>
      </w:pPr>
    </w:p>
    <w:p w14:paraId="40223C28" w14:textId="77777777" w:rsidR="009702B0" w:rsidRPr="009702B0" w:rsidRDefault="009702B0" w:rsidP="009702B0">
      <w:pPr>
        <w:spacing w:after="0" w:line="240" w:lineRule="auto"/>
        <w:jc w:val="both"/>
        <w:rPr>
          <w:rFonts w:cs="Calibri"/>
        </w:rPr>
      </w:pPr>
    </w:p>
    <w:p w14:paraId="7C6A9814" w14:textId="77777777" w:rsidR="009702B0" w:rsidRPr="009702B0" w:rsidRDefault="009702B0" w:rsidP="009702B0">
      <w:pPr>
        <w:keepNext/>
        <w:spacing w:after="0" w:line="240" w:lineRule="auto"/>
        <w:ind w:left="567" w:hanging="567"/>
        <w:jc w:val="both"/>
        <w:rPr>
          <w:rFonts w:asciiTheme="minorHAnsi" w:eastAsia="Times New Roman" w:hAnsiTheme="minorHAnsi" w:cs="Arial"/>
          <w:b/>
          <w:bCs/>
        </w:rPr>
      </w:pPr>
      <w:r w:rsidRPr="009702B0">
        <w:rPr>
          <w:rFonts w:asciiTheme="minorHAnsi" w:eastAsia="Times New Roman" w:hAnsiTheme="minorHAnsi" w:cs="Arial"/>
          <w:b/>
          <w:bCs/>
        </w:rPr>
        <w:t>16.      Risk management (continued)</w:t>
      </w:r>
    </w:p>
    <w:p w14:paraId="20593765" w14:textId="77777777" w:rsidR="009702B0" w:rsidRPr="009702B0" w:rsidRDefault="009702B0" w:rsidP="009702B0">
      <w:pPr>
        <w:keepNext/>
        <w:spacing w:after="0" w:line="240" w:lineRule="auto"/>
        <w:ind w:left="709" w:hanging="709"/>
        <w:jc w:val="both"/>
        <w:rPr>
          <w:rFonts w:asciiTheme="minorHAnsi" w:eastAsia="Times New Roman" w:hAnsiTheme="minorHAnsi" w:cs="Arial"/>
          <w:b/>
          <w:bCs/>
        </w:rPr>
      </w:pPr>
    </w:p>
    <w:p w14:paraId="19AEE88C" w14:textId="77777777" w:rsidR="009702B0" w:rsidRPr="009702B0" w:rsidRDefault="009702B0" w:rsidP="009702B0">
      <w:pPr>
        <w:spacing w:after="0" w:line="240" w:lineRule="auto"/>
        <w:jc w:val="both"/>
        <w:rPr>
          <w:rFonts w:eastAsia="Times New Roman" w:cs="Calibri"/>
          <w:b/>
          <w:lang w:eastAsia="hr-HR"/>
        </w:rPr>
      </w:pPr>
      <w:r w:rsidRPr="009702B0">
        <w:rPr>
          <w:rFonts w:eastAsia="Times New Roman" w:cs="Calibri"/>
          <w:b/>
          <w:lang w:eastAsia="hr-HR"/>
        </w:rPr>
        <w:t>16.6</w:t>
      </w:r>
      <w:proofErr w:type="gramStart"/>
      <w:r w:rsidRPr="009702B0">
        <w:rPr>
          <w:rFonts w:eastAsia="Times New Roman" w:cs="Calibri"/>
          <w:b/>
          <w:lang w:eastAsia="hr-HR"/>
        </w:rPr>
        <w:t>.  Outsourcing</w:t>
      </w:r>
      <w:proofErr w:type="gramEnd"/>
      <w:r w:rsidRPr="009702B0">
        <w:rPr>
          <w:rFonts w:eastAsia="Times New Roman" w:cs="Calibri"/>
          <w:b/>
          <w:lang w:eastAsia="hr-HR"/>
        </w:rPr>
        <w:t xml:space="preserve"> risk</w:t>
      </w:r>
    </w:p>
    <w:p w14:paraId="661C07F1" w14:textId="77777777" w:rsidR="009702B0" w:rsidRPr="009702B0" w:rsidRDefault="009702B0" w:rsidP="009702B0">
      <w:pPr>
        <w:spacing w:after="0" w:line="240" w:lineRule="auto"/>
        <w:jc w:val="both"/>
        <w:rPr>
          <w:rFonts w:eastAsia="Times New Roman" w:cs="Calibri"/>
          <w:b/>
          <w:lang w:eastAsia="hr-HR"/>
        </w:rPr>
      </w:pPr>
    </w:p>
    <w:p w14:paraId="5C699485" w14:textId="77777777" w:rsidR="009702B0" w:rsidRPr="009702B0" w:rsidRDefault="009702B0" w:rsidP="009702B0">
      <w:pPr>
        <w:spacing w:after="0" w:line="240" w:lineRule="auto"/>
        <w:jc w:val="both"/>
        <w:rPr>
          <w:rFonts w:eastAsia="Times New Roman" w:cs="Calibri"/>
          <w:lang w:eastAsia="hr-HR"/>
        </w:rPr>
      </w:pPr>
      <w:r w:rsidRPr="009702B0">
        <w:rPr>
          <w:rFonts w:eastAsia="Times New Roman" w:cs="Calibri"/>
          <w:lang w:eastAsia="hr-HR"/>
        </w:rPr>
        <w:t>The aim of outsourcing is to reduce the operating costs, to achieve a higher level of services and to use the professional know-how of service providers in the performance of daily activities.</w:t>
      </w:r>
    </w:p>
    <w:p w14:paraId="5973A8B4" w14:textId="77777777" w:rsidR="009702B0" w:rsidRPr="009702B0" w:rsidRDefault="009702B0" w:rsidP="009702B0">
      <w:pPr>
        <w:spacing w:after="0" w:line="240" w:lineRule="auto"/>
        <w:jc w:val="both"/>
        <w:rPr>
          <w:rFonts w:eastAsia="Times New Roman" w:cs="Calibri"/>
          <w:lang w:eastAsia="hr-HR"/>
        </w:rPr>
      </w:pPr>
    </w:p>
    <w:p w14:paraId="451BDAEE" w14:textId="082BF05A" w:rsidR="009702B0" w:rsidRPr="009702B0" w:rsidRDefault="009702B0" w:rsidP="009702B0">
      <w:pPr>
        <w:tabs>
          <w:tab w:val="left" w:pos="709"/>
        </w:tabs>
        <w:spacing w:after="0" w:line="240" w:lineRule="auto"/>
        <w:jc w:val="both"/>
        <w:rPr>
          <w:rFonts w:cs="Calibri"/>
        </w:rPr>
      </w:pPr>
      <w:r w:rsidRPr="009702B0">
        <w:rPr>
          <w:rFonts w:cs="Calibri"/>
        </w:rPr>
        <w:t xml:space="preserve">The Bank manages the outsourcing risk on the basis of internal documents that are in compliance with the regulations prescribed by the Croatian National Bank </w:t>
      </w:r>
      <w:r w:rsidR="003B0997">
        <w:rPr>
          <w:rFonts w:cs="Calibri"/>
        </w:rPr>
        <w:t xml:space="preserve">and the good banking practice </w:t>
      </w:r>
      <w:r w:rsidRPr="009702B0">
        <w:rPr>
          <w:rFonts w:cs="Calibri"/>
        </w:rPr>
        <w:t xml:space="preserve">applicable to the </w:t>
      </w:r>
      <w:r w:rsidR="003B0997">
        <w:rPr>
          <w:rFonts w:cs="Calibri"/>
        </w:rPr>
        <w:t>operations of</w:t>
      </w:r>
      <w:r w:rsidRPr="009702B0">
        <w:rPr>
          <w:rFonts w:cs="Calibri"/>
        </w:rPr>
        <w:t xml:space="preserve"> the Bank. Internal documents determine the </w:t>
      </w:r>
      <w:r w:rsidR="003B0997">
        <w:rPr>
          <w:rFonts w:cs="Calibri"/>
        </w:rPr>
        <w:t>management of this risk,</w:t>
      </w:r>
      <w:r w:rsidRPr="009702B0">
        <w:rPr>
          <w:rFonts w:cs="Calibri"/>
        </w:rPr>
        <w:t xml:space="preserve"> the procedures for the </w:t>
      </w:r>
      <w:r w:rsidR="003F45A7">
        <w:rPr>
          <w:rFonts w:cs="Calibri"/>
        </w:rPr>
        <w:t xml:space="preserve">carrying out of </w:t>
      </w:r>
      <w:r w:rsidR="003F45A7" w:rsidRPr="009702B0">
        <w:rPr>
          <w:rFonts w:cs="Calibri"/>
        </w:rPr>
        <w:t>outsourc</w:t>
      </w:r>
      <w:r w:rsidR="003F45A7">
        <w:rPr>
          <w:rFonts w:cs="Calibri"/>
        </w:rPr>
        <w:t>e</w:t>
      </w:r>
      <w:r w:rsidR="00054D90">
        <w:rPr>
          <w:rFonts w:cs="Calibri"/>
        </w:rPr>
        <w:t>d</w:t>
      </w:r>
      <w:r w:rsidR="003F45A7" w:rsidRPr="009702B0">
        <w:rPr>
          <w:rFonts w:cs="Calibri"/>
        </w:rPr>
        <w:t xml:space="preserve"> </w:t>
      </w:r>
      <w:r w:rsidRPr="009702B0">
        <w:rPr>
          <w:rFonts w:cs="Calibri"/>
        </w:rPr>
        <w:t xml:space="preserve">activities, the rules for the management of relations with the service providers and the obligation to reduce the risk to the lowest level possible. </w:t>
      </w:r>
    </w:p>
    <w:p w14:paraId="58AAB89F" w14:textId="77777777" w:rsidR="009702B0" w:rsidRPr="009702B0" w:rsidRDefault="009702B0" w:rsidP="009702B0">
      <w:pPr>
        <w:tabs>
          <w:tab w:val="left" w:pos="709"/>
        </w:tabs>
        <w:spacing w:after="0" w:line="240" w:lineRule="auto"/>
        <w:jc w:val="both"/>
        <w:rPr>
          <w:rFonts w:cs="Calibri"/>
        </w:rPr>
      </w:pPr>
    </w:p>
    <w:p w14:paraId="287995A3" w14:textId="77777777" w:rsidR="009702B0" w:rsidRPr="009702B0" w:rsidRDefault="009702B0" w:rsidP="009702B0">
      <w:pPr>
        <w:tabs>
          <w:tab w:val="left" w:pos="709"/>
        </w:tabs>
        <w:spacing w:after="0" w:line="240" w:lineRule="auto"/>
        <w:jc w:val="both"/>
        <w:rPr>
          <w:rFonts w:cs="Calibri"/>
        </w:rPr>
      </w:pPr>
      <w:r w:rsidRPr="009702B0">
        <w:rPr>
          <w:rFonts w:cs="Calibri"/>
        </w:rPr>
        <w:t>Central records of outsourced activities have been established and reports on materially significant outsourced activities are submitted to the Manag</w:t>
      </w:r>
      <w:r w:rsidR="0049338D">
        <w:rPr>
          <w:rFonts w:cs="Calibri"/>
        </w:rPr>
        <w:t>ement</w:t>
      </w:r>
      <w:r w:rsidRPr="009702B0">
        <w:rPr>
          <w:rFonts w:cs="Calibri"/>
        </w:rPr>
        <w:t xml:space="preserve"> Board and the Supervisory Board of the Bank on an annual basis.  </w:t>
      </w:r>
    </w:p>
    <w:p w14:paraId="5B6E5AF1" w14:textId="77777777" w:rsidR="009702B0" w:rsidRPr="009702B0" w:rsidRDefault="009702B0" w:rsidP="009702B0">
      <w:pPr>
        <w:spacing w:after="0" w:line="240" w:lineRule="auto"/>
        <w:jc w:val="both"/>
        <w:rPr>
          <w:rFonts w:cs="Calibri"/>
        </w:rPr>
      </w:pPr>
    </w:p>
    <w:p w14:paraId="33A3A964" w14:textId="77777777" w:rsidR="009702B0" w:rsidRPr="009702B0" w:rsidRDefault="009702B0" w:rsidP="009702B0">
      <w:pPr>
        <w:rPr>
          <w:rFonts w:cs="Calibri"/>
          <w:b/>
        </w:rPr>
      </w:pPr>
    </w:p>
    <w:p w14:paraId="28A63300" w14:textId="77777777" w:rsidR="009702B0" w:rsidRPr="009702B0" w:rsidRDefault="009702B0" w:rsidP="009702B0">
      <w:pPr>
        <w:tabs>
          <w:tab w:val="left" w:pos="709"/>
        </w:tabs>
        <w:spacing w:after="0" w:line="240" w:lineRule="auto"/>
        <w:jc w:val="both"/>
        <w:rPr>
          <w:rFonts w:eastAsia="Times New Roman" w:cs="Arial"/>
        </w:rPr>
        <w:sectPr w:rsidR="009702B0" w:rsidRPr="009702B0" w:rsidSect="00947CB7">
          <w:footerReference w:type="first" r:id="rId120"/>
          <w:pgSz w:w="11906" w:h="16838" w:code="9"/>
          <w:pgMar w:top="1418" w:right="1418" w:bottom="595" w:left="1134" w:header="709" w:footer="709" w:gutter="0"/>
          <w:cols w:space="708"/>
          <w:titlePg/>
          <w:docGrid w:linePitch="360"/>
        </w:sectPr>
      </w:pPr>
    </w:p>
    <w:p w14:paraId="0AFF6065" w14:textId="77777777" w:rsidR="009702B0" w:rsidRPr="009702B0" w:rsidRDefault="009702B0" w:rsidP="009702B0">
      <w:pPr>
        <w:tabs>
          <w:tab w:val="left" w:pos="709"/>
        </w:tabs>
        <w:spacing w:after="0" w:line="240" w:lineRule="auto"/>
        <w:jc w:val="both"/>
        <w:rPr>
          <w:rFonts w:eastAsia="Times New Roman" w:cs="Arial"/>
          <w:sz w:val="24"/>
          <w:szCs w:val="24"/>
        </w:rPr>
      </w:pPr>
    </w:p>
    <w:p w14:paraId="0221AA8F" w14:textId="77777777" w:rsidR="009702B0" w:rsidRPr="009702B0" w:rsidRDefault="009702B0" w:rsidP="009702B0">
      <w:pPr>
        <w:keepNext/>
        <w:spacing w:after="0" w:line="240" w:lineRule="auto"/>
        <w:ind w:left="708" w:hanging="708"/>
        <w:jc w:val="both"/>
        <w:rPr>
          <w:rFonts w:eastAsia="Times New Roman" w:cs="Arial"/>
          <w:b/>
          <w:bCs/>
          <w:spacing w:val="-3"/>
        </w:rPr>
      </w:pPr>
      <w:r w:rsidRPr="009702B0">
        <w:rPr>
          <w:rFonts w:eastAsia="Times New Roman" w:cs="Arial"/>
          <w:b/>
          <w:bCs/>
          <w:spacing w:val="-3"/>
        </w:rPr>
        <w:t>17.</w:t>
      </w:r>
      <w:r w:rsidRPr="009702B0">
        <w:rPr>
          <w:rFonts w:eastAsia="Times New Roman" w:cs="Arial"/>
          <w:b/>
          <w:bCs/>
          <w:spacing w:val="-3"/>
        </w:rPr>
        <w:tab/>
        <w:t>Fair value of financial assets and financial liabilities initially recogni</w:t>
      </w:r>
      <w:r w:rsidR="00D757F0">
        <w:rPr>
          <w:rFonts w:eastAsia="Times New Roman" w:cs="Arial"/>
          <w:b/>
          <w:bCs/>
          <w:spacing w:val="-3"/>
        </w:rPr>
        <w:t>s</w:t>
      </w:r>
      <w:r w:rsidRPr="009702B0">
        <w:rPr>
          <w:rFonts w:eastAsia="Times New Roman" w:cs="Arial"/>
          <w:b/>
          <w:bCs/>
          <w:spacing w:val="-3"/>
        </w:rPr>
        <w:t xml:space="preserve">ed and measured at fair value </w:t>
      </w:r>
    </w:p>
    <w:p w14:paraId="6098D556" w14:textId="77777777" w:rsidR="009702B0" w:rsidRPr="009702B0" w:rsidRDefault="009702B0" w:rsidP="009702B0">
      <w:pPr>
        <w:keepNext/>
        <w:spacing w:after="0" w:line="240" w:lineRule="auto"/>
        <w:jc w:val="both"/>
        <w:rPr>
          <w:rFonts w:eastAsia="Times New Roman" w:cs="Arial"/>
          <w:b/>
          <w:bCs/>
          <w:spacing w:val="-3"/>
        </w:rPr>
      </w:pPr>
    </w:p>
    <w:p w14:paraId="623D3695" w14:textId="77777777" w:rsidR="009702B0" w:rsidRPr="009702B0" w:rsidRDefault="009702B0" w:rsidP="009702B0">
      <w:pPr>
        <w:spacing w:after="0" w:line="240" w:lineRule="auto"/>
        <w:jc w:val="both"/>
        <w:rPr>
          <w:rFonts w:cs="Arial"/>
          <w:bCs/>
        </w:rPr>
      </w:pPr>
      <w:r w:rsidRPr="009702B0">
        <w:rPr>
          <w:rFonts w:cs="Arial"/>
          <w:bCs/>
        </w:rPr>
        <w:t>Fair value represents the price that would be received to sell an asset or paid to transfer a liability of the Group in an orderly transaction at the measurement date in the principal or the most advantageous market under current market conditions.</w:t>
      </w:r>
    </w:p>
    <w:p w14:paraId="6163EA03" w14:textId="77777777" w:rsidR="009702B0" w:rsidRPr="009702B0" w:rsidRDefault="009702B0" w:rsidP="009702B0">
      <w:pPr>
        <w:spacing w:after="0" w:line="240" w:lineRule="auto"/>
        <w:jc w:val="both"/>
        <w:rPr>
          <w:rFonts w:cs="Arial"/>
          <w:bCs/>
        </w:rPr>
      </w:pPr>
    </w:p>
    <w:p w14:paraId="511566E8" w14:textId="77777777" w:rsidR="009702B0" w:rsidRPr="009702B0" w:rsidRDefault="009702B0" w:rsidP="009702B0">
      <w:pPr>
        <w:spacing w:after="0" w:line="240" w:lineRule="auto"/>
        <w:jc w:val="both"/>
        <w:rPr>
          <w:rFonts w:cs="Arial"/>
          <w:bCs/>
        </w:rPr>
      </w:pPr>
      <w:r w:rsidRPr="009702B0">
        <w:rPr>
          <w:rFonts w:cs="Arial"/>
          <w:bCs/>
        </w:rPr>
        <w:t>Basic price is an exit price, regardless of whether that price is directly observable or estimated using another valuation technique.</w:t>
      </w:r>
    </w:p>
    <w:p w14:paraId="3D19A8C0" w14:textId="77777777" w:rsidR="009702B0" w:rsidRPr="009702B0" w:rsidRDefault="009702B0" w:rsidP="009702B0">
      <w:pPr>
        <w:spacing w:after="0" w:line="240" w:lineRule="auto"/>
        <w:jc w:val="both"/>
        <w:rPr>
          <w:rFonts w:cs="Arial"/>
          <w:bCs/>
        </w:rPr>
      </w:pPr>
    </w:p>
    <w:p w14:paraId="1C6B98C1" w14:textId="77777777" w:rsidR="009702B0" w:rsidRPr="009702B0" w:rsidRDefault="009702B0" w:rsidP="009702B0">
      <w:pPr>
        <w:spacing w:after="0" w:line="240" w:lineRule="auto"/>
        <w:jc w:val="both"/>
        <w:rPr>
          <w:rFonts w:cs="Arial"/>
        </w:rPr>
      </w:pPr>
      <w:r w:rsidRPr="009702B0">
        <w:rPr>
          <w:rFonts w:cs="Arial"/>
        </w:rPr>
        <w:t xml:space="preserve">At initial recognition, when an asset is acquired or a liability is assumed in an exchange transaction for that asset or liability, the transaction price is the price paid to acquire the asset or received to assume the liability (an entry price). </w:t>
      </w:r>
    </w:p>
    <w:p w14:paraId="66CFF722" w14:textId="77777777" w:rsidR="009702B0" w:rsidRPr="009702B0" w:rsidRDefault="009702B0" w:rsidP="009702B0">
      <w:pPr>
        <w:spacing w:after="0" w:line="240" w:lineRule="auto"/>
        <w:jc w:val="both"/>
        <w:rPr>
          <w:rFonts w:eastAsia="Times New Roman" w:cs="Arial"/>
        </w:rPr>
      </w:pPr>
      <w:r w:rsidRPr="009702B0">
        <w:rPr>
          <w:rFonts w:eastAsia="Times New Roman" w:cs="Arial"/>
        </w:rPr>
        <w:t>The fair value of the asset or liability is the price that would be received to sell the asset or paid to transfer the liability (an exit price).</w:t>
      </w:r>
    </w:p>
    <w:p w14:paraId="5348B715" w14:textId="77777777" w:rsidR="009702B0" w:rsidRPr="009702B0" w:rsidRDefault="009702B0" w:rsidP="009702B0">
      <w:pPr>
        <w:spacing w:after="0" w:line="240" w:lineRule="auto"/>
        <w:jc w:val="both"/>
        <w:rPr>
          <w:rFonts w:eastAsia="Times New Roman" w:cs="Arial"/>
        </w:rPr>
      </w:pPr>
    </w:p>
    <w:p w14:paraId="27A47167" w14:textId="77777777" w:rsidR="009702B0" w:rsidRPr="009702B0" w:rsidRDefault="009702B0" w:rsidP="009702B0">
      <w:pPr>
        <w:spacing w:after="0" w:line="240" w:lineRule="auto"/>
        <w:jc w:val="both"/>
        <w:rPr>
          <w:rFonts w:cs="Arial"/>
        </w:rPr>
      </w:pPr>
      <w:r w:rsidRPr="009702B0">
        <w:rPr>
          <w:rFonts w:cs="Arial"/>
        </w:rPr>
        <w:t>If another IFRS or legal provision requires or permits an entity to measure an asset or a liability initially at fair value and the transaction price differs from fair value, the Group shall recogni</w:t>
      </w:r>
      <w:r w:rsidR="00D757F0">
        <w:rPr>
          <w:rFonts w:cs="Arial"/>
        </w:rPr>
        <w:t>s</w:t>
      </w:r>
      <w:r w:rsidRPr="009702B0">
        <w:rPr>
          <w:rFonts w:cs="Arial"/>
        </w:rPr>
        <w:t>e the resulting gain or loss in profit or loss unless otherwise specified.</w:t>
      </w:r>
    </w:p>
    <w:p w14:paraId="6A9F4EE9" w14:textId="77777777" w:rsidR="009702B0" w:rsidRPr="009702B0" w:rsidRDefault="009702B0" w:rsidP="009702B0">
      <w:pPr>
        <w:spacing w:after="0" w:line="240" w:lineRule="auto"/>
        <w:jc w:val="both"/>
        <w:rPr>
          <w:rFonts w:cs="Arial"/>
        </w:rPr>
      </w:pPr>
    </w:p>
    <w:p w14:paraId="7CA34052" w14:textId="77777777" w:rsidR="009702B0" w:rsidRPr="009702B0" w:rsidRDefault="009702B0" w:rsidP="009702B0">
      <w:pPr>
        <w:spacing w:after="0" w:line="240" w:lineRule="auto"/>
        <w:jc w:val="both"/>
        <w:rPr>
          <w:rFonts w:cs="Arial"/>
          <w:bCs/>
        </w:rPr>
      </w:pPr>
      <w:r w:rsidRPr="009702B0">
        <w:rPr>
          <w:rFonts w:cs="Arial"/>
          <w:bCs/>
        </w:rPr>
        <w:t>For measuring fair value, the Group is maximising the use of relevant observable inputs and minimising the use of unobservable inputs.</w:t>
      </w:r>
    </w:p>
    <w:p w14:paraId="1DE77769" w14:textId="77777777" w:rsidR="009702B0" w:rsidRPr="009702B0" w:rsidRDefault="009702B0" w:rsidP="009702B0">
      <w:pPr>
        <w:spacing w:after="0" w:line="240" w:lineRule="auto"/>
        <w:jc w:val="both"/>
        <w:rPr>
          <w:rFonts w:cs="Arial"/>
          <w:bCs/>
        </w:rPr>
      </w:pPr>
    </w:p>
    <w:p w14:paraId="53DCC718" w14:textId="77777777" w:rsidR="009702B0" w:rsidRPr="009702B0" w:rsidRDefault="009702B0" w:rsidP="009702B0">
      <w:pPr>
        <w:spacing w:after="0" w:line="240" w:lineRule="auto"/>
        <w:jc w:val="both"/>
        <w:rPr>
          <w:rFonts w:cs="Arial"/>
          <w:bCs/>
        </w:rPr>
      </w:pPr>
      <w:r w:rsidRPr="009702B0">
        <w:rPr>
          <w:rFonts w:cs="Arial"/>
          <w:bCs/>
        </w:rPr>
        <w:t xml:space="preserve">The Group selects inputs that are consistent with the characteristics of the asset or liability that market participants would take into account in a transaction for the asset or liability. </w:t>
      </w:r>
    </w:p>
    <w:p w14:paraId="57CEB64A" w14:textId="77777777" w:rsidR="009702B0" w:rsidRPr="009702B0" w:rsidRDefault="009702B0" w:rsidP="009702B0">
      <w:pPr>
        <w:spacing w:after="0" w:line="240" w:lineRule="auto"/>
        <w:jc w:val="both"/>
        <w:rPr>
          <w:rFonts w:cs="Arial"/>
          <w:bCs/>
        </w:rPr>
      </w:pPr>
    </w:p>
    <w:p w14:paraId="3034152B" w14:textId="77777777" w:rsidR="009702B0" w:rsidRPr="009702B0" w:rsidRDefault="009702B0" w:rsidP="009702B0">
      <w:pPr>
        <w:spacing w:after="0" w:line="240" w:lineRule="auto"/>
        <w:jc w:val="both"/>
        <w:rPr>
          <w:rFonts w:cs="Arial"/>
          <w:bCs/>
        </w:rPr>
      </w:pPr>
      <w:r w:rsidRPr="009702B0">
        <w:rPr>
          <w:rFonts w:cs="Arial"/>
          <w:bCs/>
        </w:rPr>
        <w:t>If an asset or a liability measured at fair value has a bid price and an ask price (e.g. an input from a dealer market), the Group uses the price within the bid-ask spread as the most representative of fair value.</w:t>
      </w:r>
    </w:p>
    <w:p w14:paraId="591CD5C1" w14:textId="77777777" w:rsidR="009702B0" w:rsidRPr="009702B0" w:rsidRDefault="009702B0" w:rsidP="009702B0">
      <w:pPr>
        <w:spacing w:after="0" w:line="240" w:lineRule="auto"/>
        <w:jc w:val="both"/>
        <w:rPr>
          <w:rFonts w:cs="Arial"/>
          <w:bCs/>
        </w:rPr>
      </w:pPr>
    </w:p>
    <w:p w14:paraId="424143BA" w14:textId="77777777" w:rsidR="009702B0" w:rsidRPr="009702B0" w:rsidRDefault="009702B0" w:rsidP="009702B0">
      <w:pPr>
        <w:spacing w:after="0" w:line="240" w:lineRule="auto"/>
        <w:jc w:val="both"/>
        <w:rPr>
          <w:rFonts w:cs="Arial"/>
          <w:bCs/>
        </w:rPr>
      </w:pPr>
      <w:r w:rsidRPr="009702B0">
        <w:rPr>
          <w:rFonts w:cs="Arial"/>
          <w:bCs/>
        </w:rPr>
        <w:t>Pursuant to aforesaid, the carrying amounts of cash and balances with the Croatian National Bank approximately present their fair values.</w:t>
      </w:r>
    </w:p>
    <w:p w14:paraId="5CCFFEA6" w14:textId="77777777" w:rsidR="009702B0" w:rsidRPr="009702B0" w:rsidRDefault="009702B0" w:rsidP="009702B0">
      <w:pPr>
        <w:spacing w:after="0" w:line="240" w:lineRule="auto"/>
        <w:jc w:val="both"/>
        <w:rPr>
          <w:rFonts w:cs="Arial"/>
          <w:bCs/>
        </w:rPr>
      </w:pPr>
    </w:p>
    <w:p w14:paraId="32691C78" w14:textId="77777777" w:rsidR="009702B0" w:rsidRPr="009702B0" w:rsidRDefault="009702B0" w:rsidP="009702B0">
      <w:pPr>
        <w:spacing w:after="0" w:line="240" w:lineRule="auto"/>
        <w:jc w:val="both"/>
        <w:rPr>
          <w:rFonts w:cs="Arial"/>
          <w:bCs/>
        </w:rPr>
      </w:pPr>
      <w:r w:rsidRPr="009702B0">
        <w:rPr>
          <w:rFonts w:cs="Arial"/>
          <w:bCs/>
        </w:rPr>
        <w:t>The estimated fair value of deposits with other banks approximates their carrying amounts since all deposits mature up to 90 days.</w:t>
      </w:r>
    </w:p>
    <w:p w14:paraId="0575EC3B" w14:textId="77777777" w:rsidR="009702B0" w:rsidRPr="009702B0" w:rsidRDefault="009702B0" w:rsidP="009702B0">
      <w:pPr>
        <w:spacing w:after="0" w:line="240" w:lineRule="auto"/>
        <w:jc w:val="both"/>
        <w:rPr>
          <w:rFonts w:cs="Arial"/>
          <w:bCs/>
        </w:rPr>
      </w:pPr>
    </w:p>
    <w:p w14:paraId="17F45599" w14:textId="77777777" w:rsidR="009702B0" w:rsidRPr="009702B0" w:rsidRDefault="009702B0" w:rsidP="009702B0">
      <w:pPr>
        <w:spacing w:after="0" w:line="240" w:lineRule="auto"/>
        <w:jc w:val="both"/>
        <w:rPr>
          <w:rFonts w:ascii="Arial" w:hAnsi="Arial" w:cs="Arial"/>
          <w:bCs/>
          <w:sz w:val="19"/>
          <w:szCs w:val="19"/>
        </w:rPr>
      </w:pPr>
      <w:r w:rsidRPr="009702B0">
        <w:rPr>
          <w:rFonts w:cs="Arial"/>
          <w:bCs/>
        </w:rPr>
        <w:t xml:space="preserve">Loans and advances to financial institutions and other customers are presented net of provisions for impairment. The estimated fair value of loans and advances represents the discounted amount of estimated future cash flows expected to be received. The </w:t>
      </w:r>
      <w:proofErr w:type="gramStart"/>
      <w:r w:rsidRPr="009702B0">
        <w:rPr>
          <w:rFonts w:cs="Arial"/>
          <w:bCs/>
        </w:rPr>
        <w:t>interests</w:t>
      </w:r>
      <w:proofErr w:type="gramEnd"/>
      <w:r w:rsidRPr="009702B0">
        <w:rPr>
          <w:rFonts w:cs="Arial"/>
          <w:bCs/>
        </w:rPr>
        <w:t xml:space="preserve"> subsidies that are recogni</w:t>
      </w:r>
      <w:r w:rsidR="00D757F0">
        <w:rPr>
          <w:rFonts w:cs="Arial"/>
          <w:bCs/>
        </w:rPr>
        <w:t>s</w:t>
      </w:r>
      <w:r w:rsidRPr="009702B0">
        <w:rPr>
          <w:rFonts w:cs="Arial"/>
          <w:bCs/>
        </w:rPr>
        <w:t>ed as deferred income in discounted amounts and presented within other liabilities are taken into account in estimating fair value. The fair value of HRK loans with one-way currency clause is assessed as described under the “Foreign currency transactions and foreign currency clause” paragraph</w:t>
      </w:r>
      <w:r w:rsidRPr="009702B0">
        <w:rPr>
          <w:rFonts w:ascii="Arial" w:hAnsi="Arial" w:cs="Arial"/>
          <w:bCs/>
          <w:sz w:val="19"/>
          <w:szCs w:val="19"/>
        </w:rPr>
        <w:t>.</w:t>
      </w:r>
    </w:p>
    <w:p w14:paraId="138490F9" w14:textId="77777777" w:rsidR="009702B0" w:rsidRPr="009702B0" w:rsidRDefault="009702B0" w:rsidP="009702B0">
      <w:pPr>
        <w:spacing w:after="0" w:line="240" w:lineRule="auto"/>
        <w:jc w:val="both"/>
        <w:rPr>
          <w:rFonts w:ascii="Arial" w:hAnsi="Arial" w:cs="Arial"/>
          <w:bCs/>
          <w:sz w:val="19"/>
          <w:szCs w:val="19"/>
        </w:rPr>
        <w:sectPr w:rsidR="009702B0" w:rsidRPr="009702B0" w:rsidSect="00947CB7">
          <w:footerReference w:type="first" r:id="rId121"/>
          <w:pgSz w:w="11906" w:h="16838" w:code="9"/>
          <w:pgMar w:top="1418" w:right="1418" w:bottom="595" w:left="1134" w:header="709" w:footer="709" w:gutter="0"/>
          <w:cols w:space="708"/>
          <w:titlePg/>
          <w:docGrid w:linePitch="360"/>
        </w:sectPr>
      </w:pPr>
    </w:p>
    <w:p w14:paraId="5FBA5162" w14:textId="77777777" w:rsidR="009702B0" w:rsidRPr="009702B0" w:rsidRDefault="009702B0" w:rsidP="009702B0">
      <w:pPr>
        <w:spacing w:after="0" w:line="240" w:lineRule="auto"/>
        <w:jc w:val="both"/>
        <w:rPr>
          <w:rFonts w:cs="Arial"/>
          <w:bCs/>
        </w:rPr>
      </w:pPr>
    </w:p>
    <w:p w14:paraId="09D10DE6" w14:textId="77777777" w:rsidR="009702B0" w:rsidRPr="009702B0" w:rsidRDefault="009702B0" w:rsidP="009702B0">
      <w:pPr>
        <w:spacing w:after="0" w:line="240" w:lineRule="auto"/>
        <w:jc w:val="both"/>
        <w:rPr>
          <w:rFonts w:eastAsia="Times New Roman" w:cs="Arial"/>
          <w:b/>
          <w:bCs/>
          <w:spacing w:val="-3"/>
        </w:rPr>
      </w:pPr>
      <w:r w:rsidRPr="009702B0">
        <w:rPr>
          <w:rFonts w:eastAsia="Times New Roman" w:cs="Arial"/>
          <w:b/>
          <w:bCs/>
          <w:spacing w:val="-3"/>
        </w:rPr>
        <w:t xml:space="preserve">17. </w:t>
      </w:r>
      <w:r w:rsidRPr="009702B0">
        <w:rPr>
          <w:rFonts w:eastAsia="Times New Roman" w:cs="Arial"/>
          <w:b/>
          <w:bCs/>
          <w:spacing w:val="-3"/>
        </w:rPr>
        <w:tab/>
        <w:t>Fair value of financial assets and financial liabilities initially recogni</w:t>
      </w:r>
      <w:r w:rsidR="00D757F0">
        <w:rPr>
          <w:rFonts w:eastAsia="Times New Roman" w:cs="Arial"/>
          <w:b/>
          <w:bCs/>
          <w:spacing w:val="-3"/>
        </w:rPr>
        <w:t>s</w:t>
      </w:r>
      <w:r w:rsidRPr="009702B0">
        <w:rPr>
          <w:rFonts w:eastAsia="Times New Roman" w:cs="Arial"/>
          <w:b/>
          <w:bCs/>
          <w:spacing w:val="-3"/>
        </w:rPr>
        <w:t>ed and measured at fair value</w:t>
      </w:r>
    </w:p>
    <w:p w14:paraId="340ED63F" w14:textId="77777777" w:rsidR="009702B0" w:rsidRPr="009702B0" w:rsidRDefault="009702B0" w:rsidP="009702B0">
      <w:pPr>
        <w:spacing w:after="0" w:line="240" w:lineRule="auto"/>
        <w:jc w:val="both"/>
        <w:rPr>
          <w:rFonts w:cs="Arial"/>
          <w:b/>
          <w:bCs/>
        </w:rPr>
      </w:pPr>
      <w:r w:rsidRPr="009702B0">
        <w:rPr>
          <w:rFonts w:cs="Arial"/>
          <w:bCs/>
        </w:rPr>
        <w:tab/>
      </w:r>
      <w:r w:rsidRPr="009702B0">
        <w:rPr>
          <w:rFonts w:cs="Arial"/>
          <w:b/>
          <w:bCs/>
        </w:rPr>
        <w:t>(</w:t>
      </w:r>
      <w:proofErr w:type="gramStart"/>
      <w:r w:rsidRPr="009702B0">
        <w:rPr>
          <w:rFonts w:cs="Arial"/>
          <w:b/>
          <w:bCs/>
        </w:rPr>
        <w:t>continued</w:t>
      </w:r>
      <w:proofErr w:type="gramEnd"/>
      <w:r w:rsidRPr="009702B0">
        <w:rPr>
          <w:rFonts w:cs="Arial"/>
          <w:b/>
          <w:bCs/>
        </w:rPr>
        <w:t>)</w:t>
      </w:r>
    </w:p>
    <w:p w14:paraId="383DF060" w14:textId="77777777" w:rsidR="009702B0" w:rsidRPr="009702B0" w:rsidRDefault="009702B0" w:rsidP="009702B0">
      <w:pPr>
        <w:spacing w:after="0" w:line="240" w:lineRule="auto"/>
        <w:jc w:val="both"/>
        <w:rPr>
          <w:rFonts w:cs="Arial"/>
          <w:b/>
          <w:bCs/>
        </w:rPr>
      </w:pPr>
    </w:p>
    <w:p w14:paraId="3B3B6346" w14:textId="77777777" w:rsidR="009702B0" w:rsidRPr="009702B0" w:rsidRDefault="009702B0" w:rsidP="009702B0">
      <w:pPr>
        <w:spacing w:after="0" w:line="240" w:lineRule="auto"/>
        <w:jc w:val="both"/>
        <w:rPr>
          <w:rFonts w:cs="Arial"/>
          <w:bCs/>
        </w:rPr>
      </w:pPr>
      <w:r w:rsidRPr="009702B0">
        <w:rPr>
          <w:rFonts w:cs="Arial"/>
          <w:bCs/>
        </w:rPr>
        <w:t>The Group’s long-term borrowings have no quoted market price, and their fair value is estimated as the present value of future cash flows, discounted at interest rates in effect at the Statement of Financial Position date for new borrowings of a similar nature and with a similar remaining maturity. As the Group’s long term borrowings mostly bear variable interest, the Group estimates that their carrying amount is reasonable approximation of fair value.</w:t>
      </w:r>
    </w:p>
    <w:p w14:paraId="705C4A72" w14:textId="77777777" w:rsidR="009702B0" w:rsidRPr="009702B0" w:rsidRDefault="009702B0" w:rsidP="009702B0">
      <w:pPr>
        <w:spacing w:after="0" w:line="240" w:lineRule="auto"/>
        <w:jc w:val="both"/>
        <w:rPr>
          <w:rFonts w:cs="Arial"/>
          <w:bCs/>
        </w:rPr>
      </w:pPr>
    </w:p>
    <w:p w14:paraId="1FA0E556" w14:textId="18B0608C" w:rsidR="009702B0" w:rsidRPr="009702B0" w:rsidRDefault="009702B0" w:rsidP="009702B0">
      <w:pPr>
        <w:spacing w:after="0" w:line="240" w:lineRule="auto"/>
        <w:jc w:val="both"/>
        <w:rPr>
          <w:rFonts w:cs="Arial"/>
          <w:bCs/>
        </w:rPr>
      </w:pPr>
      <w:r w:rsidRPr="009702B0">
        <w:rPr>
          <w:rFonts w:cs="Arial"/>
          <w:bCs/>
        </w:rPr>
        <w:t xml:space="preserve">The fair value of bonds issued by HBOR on </w:t>
      </w:r>
      <w:r w:rsidR="0044104F" w:rsidRPr="0044104F">
        <w:rPr>
          <w:rFonts w:cs="Arial"/>
          <w:bCs/>
        </w:rPr>
        <w:t xml:space="preserve">30 </w:t>
      </w:r>
      <w:r w:rsidR="00437BEF">
        <w:rPr>
          <w:rFonts w:cs="Arial"/>
          <w:bCs/>
        </w:rPr>
        <w:t>September</w:t>
      </w:r>
      <w:r w:rsidR="00437BEF" w:rsidRPr="0044104F">
        <w:rPr>
          <w:rFonts w:cs="Arial"/>
          <w:bCs/>
        </w:rPr>
        <w:t xml:space="preserve"> </w:t>
      </w:r>
      <w:r w:rsidRPr="009702B0">
        <w:rPr>
          <w:rFonts w:cs="Arial"/>
          <w:bCs/>
        </w:rPr>
        <w:t>201</w:t>
      </w:r>
      <w:r w:rsidR="00907F67">
        <w:rPr>
          <w:rFonts w:cs="Arial"/>
          <w:bCs/>
        </w:rPr>
        <w:t>7</w:t>
      </w:r>
      <w:r w:rsidRPr="009702B0">
        <w:rPr>
          <w:rFonts w:cs="Arial"/>
          <w:bCs/>
        </w:rPr>
        <w:t xml:space="preserve"> is stated in Note 13 and is presented by using level 2 inputs that are observable at Bloomberg service on the basis of mid-rate of Bloomberg Generic (BGN) prices.</w:t>
      </w:r>
    </w:p>
    <w:p w14:paraId="7A8AD9B3" w14:textId="77777777" w:rsidR="009702B0" w:rsidRPr="009702B0" w:rsidRDefault="009702B0" w:rsidP="009702B0">
      <w:pPr>
        <w:spacing w:after="0" w:line="240" w:lineRule="auto"/>
        <w:jc w:val="both"/>
        <w:rPr>
          <w:rFonts w:cs="Arial"/>
          <w:bCs/>
        </w:rPr>
      </w:pPr>
    </w:p>
    <w:p w14:paraId="3BCE907A" w14:textId="77777777" w:rsidR="009702B0" w:rsidRPr="009702B0" w:rsidRDefault="009702B0" w:rsidP="009702B0">
      <w:pPr>
        <w:spacing w:after="0" w:line="240" w:lineRule="auto"/>
        <w:jc w:val="both"/>
        <w:rPr>
          <w:rFonts w:cs="Arial"/>
          <w:bCs/>
        </w:rPr>
      </w:pPr>
      <w:r w:rsidRPr="009702B0">
        <w:rPr>
          <w:rFonts w:cs="Arial"/>
          <w:bCs/>
        </w:rPr>
        <w:t>BGN or Bloomberg Generic price is the simple average price that includes indicative prices and executable prices. The mid-rate is the average between the quoted “ask” price and the “bid” price.</w:t>
      </w:r>
    </w:p>
    <w:p w14:paraId="7E897A40" w14:textId="77777777" w:rsidR="009702B0" w:rsidRPr="009702B0" w:rsidRDefault="009702B0" w:rsidP="009702B0">
      <w:pPr>
        <w:spacing w:after="0" w:line="240" w:lineRule="auto"/>
        <w:jc w:val="both"/>
        <w:rPr>
          <w:rFonts w:cs="Arial"/>
          <w:bCs/>
          <w:lang w:val="en-US"/>
        </w:rPr>
      </w:pPr>
    </w:p>
    <w:p w14:paraId="7B23D299" w14:textId="77777777" w:rsidR="009702B0" w:rsidRPr="009702B0" w:rsidRDefault="009702B0" w:rsidP="009702B0">
      <w:pPr>
        <w:spacing w:after="0" w:line="240" w:lineRule="auto"/>
        <w:jc w:val="both"/>
        <w:rPr>
          <w:rFonts w:cs="Arial"/>
          <w:bCs/>
        </w:rPr>
      </w:pPr>
      <w:r w:rsidRPr="009702B0">
        <w:rPr>
          <w:rFonts w:cs="Arial"/>
          <w:bCs/>
        </w:rPr>
        <w:t>The Group takes care of the fair value hierarchy presentation that comprises three levels of inputs to valuation techniques used to measure fair value as follows:</w:t>
      </w:r>
    </w:p>
    <w:p w14:paraId="28532069" w14:textId="77777777" w:rsidR="009702B0" w:rsidRPr="009702B0" w:rsidRDefault="009702B0" w:rsidP="009702B0">
      <w:pPr>
        <w:spacing w:after="0" w:line="240" w:lineRule="auto"/>
        <w:jc w:val="both"/>
        <w:rPr>
          <w:rFonts w:cs="Arial"/>
          <w:bCs/>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2"/>
        <w:gridCol w:w="2551"/>
        <w:gridCol w:w="2410"/>
      </w:tblGrid>
      <w:tr w:rsidR="009702B0" w:rsidRPr="009702B0" w14:paraId="0CFB82A6" w14:textId="77777777" w:rsidTr="009702B0">
        <w:trPr>
          <w:trHeight w:val="389"/>
          <w:jc w:val="center"/>
        </w:trPr>
        <w:tc>
          <w:tcPr>
            <w:tcW w:w="1985" w:type="dxa"/>
            <w:tcBorders>
              <w:top w:val="nil"/>
              <w:left w:val="nil"/>
            </w:tcBorders>
            <w:shd w:val="clear" w:color="auto" w:fill="auto"/>
          </w:tcPr>
          <w:p w14:paraId="180F141E" w14:textId="77777777" w:rsidR="009702B0" w:rsidRPr="009702B0" w:rsidRDefault="009702B0" w:rsidP="009702B0">
            <w:pPr>
              <w:spacing w:after="0" w:line="240" w:lineRule="auto"/>
              <w:jc w:val="both"/>
              <w:rPr>
                <w:rFonts w:cs="Arial"/>
                <w:b/>
                <w:bCs/>
                <w:sz w:val="20"/>
                <w:szCs w:val="20"/>
              </w:rPr>
            </w:pPr>
            <w:r w:rsidRPr="009702B0">
              <w:rPr>
                <w:rFonts w:cs="Arial"/>
                <w:sz w:val="20"/>
                <w:szCs w:val="20"/>
              </w:rPr>
              <w:br w:type="page"/>
            </w:r>
            <w:r w:rsidRPr="009702B0">
              <w:rPr>
                <w:rFonts w:cs="Arial"/>
                <w:bCs/>
                <w:sz w:val="20"/>
                <w:szCs w:val="20"/>
              </w:rPr>
              <w:br w:type="page"/>
            </w:r>
          </w:p>
        </w:tc>
        <w:tc>
          <w:tcPr>
            <w:tcW w:w="2552" w:type="dxa"/>
            <w:shd w:val="clear" w:color="auto" w:fill="auto"/>
          </w:tcPr>
          <w:p w14:paraId="158390AD" w14:textId="77777777" w:rsidR="009702B0" w:rsidRPr="009702B0" w:rsidRDefault="009702B0" w:rsidP="009702B0">
            <w:pPr>
              <w:spacing w:after="0" w:line="240" w:lineRule="auto"/>
              <w:jc w:val="both"/>
              <w:rPr>
                <w:rFonts w:cs="Arial"/>
                <w:b/>
                <w:bCs/>
                <w:sz w:val="20"/>
                <w:szCs w:val="20"/>
              </w:rPr>
            </w:pPr>
            <w:r w:rsidRPr="009702B0">
              <w:rPr>
                <w:rFonts w:cs="Arial"/>
                <w:b/>
                <w:bCs/>
                <w:sz w:val="20"/>
                <w:szCs w:val="20"/>
              </w:rPr>
              <w:t>Level 1</w:t>
            </w:r>
          </w:p>
        </w:tc>
        <w:tc>
          <w:tcPr>
            <w:tcW w:w="2551" w:type="dxa"/>
            <w:shd w:val="clear" w:color="auto" w:fill="auto"/>
          </w:tcPr>
          <w:p w14:paraId="73520527" w14:textId="77777777" w:rsidR="009702B0" w:rsidRPr="009702B0" w:rsidRDefault="009702B0" w:rsidP="009702B0">
            <w:pPr>
              <w:spacing w:after="0" w:line="240" w:lineRule="auto"/>
              <w:jc w:val="both"/>
              <w:rPr>
                <w:rFonts w:cs="Arial"/>
                <w:b/>
                <w:bCs/>
                <w:sz w:val="20"/>
                <w:szCs w:val="20"/>
              </w:rPr>
            </w:pPr>
            <w:r w:rsidRPr="009702B0">
              <w:rPr>
                <w:rFonts w:cs="Arial"/>
                <w:b/>
                <w:bCs/>
                <w:sz w:val="20"/>
                <w:szCs w:val="20"/>
              </w:rPr>
              <w:t>Level 2</w:t>
            </w:r>
          </w:p>
        </w:tc>
        <w:tc>
          <w:tcPr>
            <w:tcW w:w="2410" w:type="dxa"/>
            <w:shd w:val="clear" w:color="auto" w:fill="auto"/>
          </w:tcPr>
          <w:p w14:paraId="2C9C8DE0" w14:textId="77777777" w:rsidR="009702B0" w:rsidRPr="009702B0" w:rsidRDefault="009702B0" w:rsidP="009702B0">
            <w:pPr>
              <w:spacing w:after="0" w:line="240" w:lineRule="auto"/>
              <w:jc w:val="both"/>
              <w:rPr>
                <w:rFonts w:cs="Arial"/>
                <w:b/>
                <w:bCs/>
                <w:sz w:val="20"/>
                <w:szCs w:val="20"/>
              </w:rPr>
            </w:pPr>
            <w:r w:rsidRPr="009702B0">
              <w:rPr>
                <w:rFonts w:cs="Arial"/>
                <w:b/>
                <w:bCs/>
                <w:sz w:val="20"/>
                <w:szCs w:val="20"/>
              </w:rPr>
              <w:t>Level 3</w:t>
            </w:r>
          </w:p>
        </w:tc>
      </w:tr>
      <w:tr w:rsidR="009702B0" w:rsidRPr="009702B0" w14:paraId="105849D7" w14:textId="77777777" w:rsidTr="009702B0">
        <w:trPr>
          <w:trHeight w:val="376"/>
          <w:jc w:val="center"/>
        </w:trPr>
        <w:tc>
          <w:tcPr>
            <w:tcW w:w="1985" w:type="dxa"/>
            <w:tcBorders>
              <w:bottom w:val="single" w:sz="4" w:space="0" w:color="auto"/>
            </w:tcBorders>
            <w:shd w:val="clear" w:color="auto" w:fill="auto"/>
          </w:tcPr>
          <w:p w14:paraId="27CFDD98" w14:textId="77777777" w:rsidR="009702B0" w:rsidRPr="009702B0" w:rsidRDefault="009702B0" w:rsidP="009702B0">
            <w:pPr>
              <w:spacing w:after="0" w:line="240" w:lineRule="auto"/>
              <w:rPr>
                <w:rFonts w:cs="Arial"/>
                <w:b/>
                <w:bCs/>
                <w:sz w:val="20"/>
                <w:szCs w:val="20"/>
              </w:rPr>
            </w:pPr>
            <w:r w:rsidRPr="009702B0">
              <w:rPr>
                <w:rFonts w:cs="Arial"/>
                <w:b/>
                <w:bCs/>
                <w:sz w:val="20"/>
                <w:szCs w:val="20"/>
              </w:rPr>
              <w:t>Inputs:</w:t>
            </w:r>
          </w:p>
        </w:tc>
        <w:tc>
          <w:tcPr>
            <w:tcW w:w="2552" w:type="dxa"/>
            <w:tcBorders>
              <w:bottom w:val="single" w:sz="4" w:space="0" w:color="auto"/>
            </w:tcBorders>
            <w:shd w:val="clear" w:color="auto" w:fill="auto"/>
          </w:tcPr>
          <w:p w14:paraId="6C74C80A" w14:textId="77777777" w:rsidR="009702B0" w:rsidRPr="009702B0" w:rsidRDefault="009702B0" w:rsidP="009702B0">
            <w:pPr>
              <w:spacing w:after="0" w:line="240" w:lineRule="auto"/>
              <w:rPr>
                <w:rFonts w:asciiTheme="minorHAnsi" w:hAnsiTheme="minorHAnsi" w:cs="Arial"/>
                <w:bCs/>
                <w:sz w:val="20"/>
                <w:szCs w:val="20"/>
              </w:rPr>
            </w:pPr>
            <w:r w:rsidRPr="009702B0">
              <w:rPr>
                <w:rFonts w:asciiTheme="minorHAnsi" w:hAnsiTheme="minorHAnsi" w:cs="Arial"/>
                <w:bCs/>
                <w:sz w:val="20"/>
                <w:szCs w:val="20"/>
              </w:rPr>
              <w:t>Quoted prices (unadjusted) in active markets for identical assets or liabilities that the entity can access at the measurement date.</w:t>
            </w:r>
          </w:p>
        </w:tc>
        <w:tc>
          <w:tcPr>
            <w:tcW w:w="2551" w:type="dxa"/>
            <w:tcBorders>
              <w:bottom w:val="single" w:sz="4" w:space="0" w:color="auto"/>
            </w:tcBorders>
            <w:shd w:val="clear" w:color="auto" w:fill="auto"/>
          </w:tcPr>
          <w:p w14:paraId="572B0DD5" w14:textId="77777777" w:rsidR="009702B0" w:rsidRPr="009702B0" w:rsidRDefault="009702B0" w:rsidP="009702B0">
            <w:pPr>
              <w:spacing w:after="0" w:line="240" w:lineRule="auto"/>
              <w:rPr>
                <w:rFonts w:asciiTheme="minorHAnsi" w:hAnsiTheme="minorHAnsi" w:cs="Arial"/>
                <w:bCs/>
                <w:sz w:val="20"/>
                <w:szCs w:val="20"/>
              </w:rPr>
            </w:pPr>
            <w:r w:rsidRPr="009702B0">
              <w:rPr>
                <w:rFonts w:asciiTheme="minorHAnsi" w:hAnsiTheme="minorHAnsi" w:cs="Arial"/>
                <w:bCs/>
                <w:sz w:val="20"/>
                <w:szCs w:val="20"/>
              </w:rPr>
              <w:t>Inputs other than quoted prices included within Level 1 that are observable for the asset or liability, either directly or indirectly.</w:t>
            </w:r>
          </w:p>
        </w:tc>
        <w:tc>
          <w:tcPr>
            <w:tcW w:w="2410" w:type="dxa"/>
            <w:tcBorders>
              <w:bottom w:val="single" w:sz="4" w:space="0" w:color="auto"/>
            </w:tcBorders>
            <w:shd w:val="clear" w:color="auto" w:fill="auto"/>
          </w:tcPr>
          <w:p w14:paraId="29BE9B4B" w14:textId="77777777" w:rsidR="009702B0" w:rsidRPr="009702B0" w:rsidRDefault="009702B0" w:rsidP="009702B0">
            <w:pPr>
              <w:spacing w:after="0" w:line="240" w:lineRule="auto"/>
              <w:rPr>
                <w:rFonts w:asciiTheme="minorHAnsi" w:hAnsiTheme="minorHAnsi" w:cs="Arial"/>
                <w:bCs/>
                <w:sz w:val="20"/>
                <w:szCs w:val="20"/>
              </w:rPr>
            </w:pPr>
            <w:r w:rsidRPr="009702B0">
              <w:rPr>
                <w:rFonts w:asciiTheme="minorHAnsi" w:hAnsiTheme="minorHAnsi" w:cs="Arial"/>
                <w:bCs/>
                <w:sz w:val="20"/>
                <w:szCs w:val="20"/>
              </w:rPr>
              <w:t>Unobservable inputs for the asset or liability or adjusted market inputs</w:t>
            </w:r>
            <w:r w:rsidRPr="009702B0">
              <w:rPr>
                <w:rFonts w:asciiTheme="minorHAnsi" w:hAnsiTheme="minorHAnsi" w:cs="Arial"/>
                <w:b/>
                <w:bCs/>
                <w:sz w:val="20"/>
                <w:szCs w:val="20"/>
              </w:rPr>
              <w:t>.</w:t>
            </w:r>
          </w:p>
        </w:tc>
      </w:tr>
    </w:tbl>
    <w:p w14:paraId="26157C6C" w14:textId="77777777" w:rsidR="009702B0" w:rsidRPr="009702B0" w:rsidRDefault="009702B0" w:rsidP="009702B0">
      <w:pPr>
        <w:keepNext/>
        <w:spacing w:after="0" w:line="240" w:lineRule="auto"/>
        <w:jc w:val="both"/>
        <w:rPr>
          <w:rFonts w:eastAsia="Times New Roman" w:cs="Arial"/>
          <w:spacing w:val="-3"/>
          <w:sz w:val="24"/>
          <w:szCs w:val="24"/>
        </w:rPr>
      </w:pPr>
    </w:p>
    <w:p w14:paraId="2153015F" w14:textId="77777777" w:rsidR="009702B0" w:rsidRPr="009702B0" w:rsidRDefault="009702B0" w:rsidP="009702B0">
      <w:pPr>
        <w:spacing w:after="0" w:line="240" w:lineRule="auto"/>
        <w:jc w:val="both"/>
        <w:rPr>
          <w:rFonts w:cs="Arial"/>
          <w:bCs/>
        </w:rPr>
      </w:pPr>
      <w:r w:rsidRPr="009702B0">
        <w:rPr>
          <w:rFonts w:cs="Arial"/>
          <w:bCs/>
        </w:rPr>
        <w:t xml:space="preserve">The Group discloses transfers between levels of the fair value hierarchy at the end of the reporting period during which the transfer occurred. </w:t>
      </w:r>
    </w:p>
    <w:p w14:paraId="08684D97" w14:textId="77777777" w:rsidR="009702B0" w:rsidRPr="009702B0" w:rsidRDefault="009702B0" w:rsidP="009702B0">
      <w:pPr>
        <w:keepNext/>
        <w:spacing w:after="0" w:line="240" w:lineRule="auto"/>
        <w:jc w:val="both"/>
        <w:rPr>
          <w:rFonts w:eastAsia="Times New Roman" w:cs="Arial"/>
          <w:spacing w:val="-3"/>
          <w:sz w:val="24"/>
          <w:szCs w:val="24"/>
        </w:rPr>
      </w:pPr>
    </w:p>
    <w:p w14:paraId="2475568D" w14:textId="77777777" w:rsidR="009702B0" w:rsidRPr="009702B0" w:rsidRDefault="009702B0" w:rsidP="009702B0">
      <w:pPr>
        <w:keepNext/>
        <w:spacing w:after="0" w:line="240" w:lineRule="auto"/>
        <w:jc w:val="both"/>
        <w:rPr>
          <w:rFonts w:eastAsia="Times New Roman" w:cs="Arial"/>
          <w:spacing w:val="-3"/>
          <w:sz w:val="24"/>
          <w:szCs w:val="24"/>
        </w:rPr>
      </w:pPr>
    </w:p>
    <w:p w14:paraId="448617A5" w14:textId="77777777" w:rsidR="009702B0" w:rsidRPr="009702B0" w:rsidRDefault="009702B0" w:rsidP="009702B0">
      <w:pPr>
        <w:keepNext/>
        <w:spacing w:after="0" w:line="240" w:lineRule="auto"/>
        <w:jc w:val="both"/>
        <w:rPr>
          <w:rFonts w:eastAsia="Times New Roman" w:cs="Arial"/>
          <w:spacing w:val="-3"/>
          <w:sz w:val="24"/>
          <w:szCs w:val="24"/>
        </w:rPr>
        <w:sectPr w:rsidR="009702B0" w:rsidRPr="009702B0" w:rsidSect="00947CB7">
          <w:footerReference w:type="first" r:id="rId122"/>
          <w:pgSz w:w="11906" w:h="16838" w:code="9"/>
          <w:pgMar w:top="1418" w:right="1418" w:bottom="595" w:left="1134" w:header="709" w:footer="709" w:gutter="0"/>
          <w:cols w:space="708"/>
          <w:titlePg/>
          <w:docGrid w:linePitch="360"/>
        </w:sectPr>
      </w:pPr>
    </w:p>
    <w:p w14:paraId="6745E629" w14:textId="77777777" w:rsidR="009702B0" w:rsidRPr="009702B0" w:rsidRDefault="009702B0" w:rsidP="009702B0">
      <w:pPr>
        <w:keepNext/>
        <w:spacing w:after="0" w:line="240" w:lineRule="auto"/>
        <w:jc w:val="both"/>
        <w:rPr>
          <w:rFonts w:eastAsia="Times New Roman" w:cs="Arial"/>
          <w:b/>
          <w:bCs/>
          <w:spacing w:val="-3"/>
        </w:rPr>
      </w:pPr>
    </w:p>
    <w:p w14:paraId="7F9BAF32" w14:textId="77777777" w:rsidR="009702B0" w:rsidRPr="009702B0" w:rsidRDefault="009702B0" w:rsidP="009702B0">
      <w:pPr>
        <w:keepNext/>
        <w:spacing w:after="0" w:line="240" w:lineRule="auto"/>
        <w:ind w:left="708" w:hanging="708"/>
        <w:jc w:val="both"/>
        <w:rPr>
          <w:rFonts w:eastAsia="Times New Roman" w:cs="Arial"/>
          <w:b/>
          <w:bCs/>
          <w:spacing w:val="-3"/>
        </w:rPr>
      </w:pPr>
      <w:r w:rsidRPr="009702B0">
        <w:rPr>
          <w:rFonts w:eastAsia="Times New Roman" w:cs="Arial"/>
          <w:b/>
          <w:bCs/>
          <w:spacing w:val="-3"/>
        </w:rPr>
        <w:t xml:space="preserve">17. </w:t>
      </w:r>
      <w:r w:rsidRPr="009702B0">
        <w:rPr>
          <w:rFonts w:eastAsia="Times New Roman" w:cs="Arial"/>
          <w:b/>
          <w:bCs/>
          <w:spacing w:val="-3"/>
        </w:rPr>
        <w:tab/>
        <w:t>Fair value of financial assets and financial liabilities initially recogni</w:t>
      </w:r>
      <w:r w:rsidR="00D757F0">
        <w:rPr>
          <w:rFonts w:eastAsia="Times New Roman" w:cs="Arial"/>
          <w:b/>
          <w:bCs/>
          <w:spacing w:val="-3"/>
        </w:rPr>
        <w:t>s</w:t>
      </w:r>
      <w:r w:rsidRPr="009702B0">
        <w:rPr>
          <w:rFonts w:eastAsia="Times New Roman" w:cs="Arial"/>
          <w:b/>
          <w:bCs/>
          <w:spacing w:val="-3"/>
        </w:rPr>
        <w:t xml:space="preserve">ed and measured at fair value (continued) </w:t>
      </w:r>
    </w:p>
    <w:p w14:paraId="129D1E7B" w14:textId="77777777" w:rsidR="009702B0" w:rsidRPr="009702B0" w:rsidRDefault="009702B0" w:rsidP="009702B0">
      <w:pPr>
        <w:keepNext/>
        <w:spacing w:after="0" w:line="240" w:lineRule="auto"/>
        <w:ind w:left="708" w:hanging="708"/>
        <w:jc w:val="both"/>
        <w:rPr>
          <w:rFonts w:eastAsia="Times New Roman" w:cs="Arial"/>
          <w:b/>
          <w:bCs/>
          <w:spacing w:val="-3"/>
        </w:rPr>
      </w:pPr>
    </w:p>
    <w:p w14:paraId="30A71E57" w14:textId="77777777" w:rsidR="009702B0" w:rsidRPr="009702B0" w:rsidRDefault="009702B0" w:rsidP="009702B0">
      <w:pPr>
        <w:keepNext/>
        <w:spacing w:after="0" w:line="240" w:lineRule="auto"/>
        <w:jc w:val="both"/>
        <w:rPr>
          <w:rFonts w:eastAsia="Times New Roman" w:cs="Arial"/>
          <w:spacing w:val="-3"/>
        </w:rPr>
      </w:pPr>
      <w:r w:rsidRPr="009702B0">
        <w:rPr>
          <w:rFonts w:eastAsia="Times New Roman" w:cs="Arial"/>
          <w:spacing w:val="-3"/>
        </w:rPr>
        <w:t xml:space="preserve">The Group measures certain financial assets and financial liabilities at fair value at the end of each reporting period: </w:t>
      </w:r>
    </w:p>
    <w:tbl>
      <w:tblPr>
        <w:tblW w:w="10536" w:type="dxa"/>
        <w:tblInd w:w="-567" w:type="dxa"/>
        <w:tblLayout w:type="fixed"/>
        <w:tblCellMar>
          <w:left w:w="122" w:type="dxa"/>
          <w:right w:w="122" w:type="dxa"/>
        </w:tblCellMar>
        <w:tblLook w:val="0000" w:firstRow="0" w:lastRow="0" w:firstColumn="0" w:lastColumn="0" w:noHBand="0" w:noVBand="0"/>
      </w:tblPr>
      <w:tblGrid>
        <w:gridCol w:w="4258"/>
        <w:gridCol w:w="943"/>
        <w:gridCol w:w="1066"/>
        <w:gridCol w:w="1068"/>
        <w:gridCol w:w="1066"/>
        <w:gridCol w:w="1066"/>
        <w:gridCol w:w="1069"/>
      </w:tblGrid>
      <w:tr w:rsidR="006B0E06" w:rsidRPr="006B0E06" w14:paraId="28937C65" w14:textId="77777777" w:rsidTr="006B0E06">
        <w:trPr>
          <w:trHeight w:hRule="exact" w:val="283"/>
        </w:trPr>
        <w:tc>
          <w:tcPr>
            <w:tcW w:w="4258" w:type="dxa"/>
            <w:vAlign w:val="center"/>
          </w:tcPr>
          <w:p w14:paraId="1643B84A" w14:textId="77777777" w:rsidR="006B0E06" w:rsidRPr="006B0E06" w:rsidRDefault="006B0E06" w:rsidP="006B0E06">
            <w:pPr>
              <w:tabs>
                <w:tab w:val="right" w:pos="1202"/>
              </w:tabs>
              <w:spacing w:after="0" w:line="240" w:lineRule="auto"/>
              <w:outlineLvl w:val="0"/>
              <w:rPr>
                <w:rFonts w:eastAsia="Times New Roman" w:cs="Arial"/>
                <w:sz w:val="17"/>
                <w:szCs w:val="17"/>
              </w:rPr>
            </w:pPr>
            <w:r w:rsidRPr="006B0E06">
              <w:rPr>
                <w:rFonts w:eastAsia="Times New Roman" w:cs="Arial"/>
                <w:b/>
                <w:sz w:val="17"/>
                <w:szCs w:val="17"/>
              </w:rPr>
              <w:t>Group</w:t>
            </w:r>
          </w:p>
        </w:tc>
        <w:tc>
          <w:tcPr>
            <w:tcW w:w="3077" w:type="dxa"/>
            <w:gridSpan w:val="3"/>
            <w:vAlign w:val="bottom"/>
          </w:tcPr>
          <w:p w14:paraId="3F01A9B4" w14:textId="4174A903" w:rsidR="006B0E06" w:rsidRPr="006B0E06" w:rsidRDefault="00075D04" w:rsidP="006B0E06">
            <w:pPr>
              <w:tabs>
                <w:tab w:val="right" w:pos="1202"/>
              </w:tabs>
              <w:spacing w:after="0" w:line="240" w:lineRule="auto"/>
              <w:jc w:val="right"/>
              <w:outlineLvl w:val="0"/>
              <w:rPr>
                <w:rFonts w:eastAsia="Times New Roman" w:cs="Arial"/>
                <w:b/>
                <w:bCs/>
                <w:sz w:val="17"/>
                <w:szCs w:val="17"/>
              </w:rPr>
            </w:pPr>
            <w:r>
              <w:rPr>
                <w:rFonts w:eastAsia="Times New Roman" w:cs="Arial"/>
                <w:b/>
                <w:bCs/>
                <w:sz w:val="17"/>
                <w:szCs w:val="17"/>
              </w:rPr>
              <w:t xml:space="preserve">Sep </w:t>
            </w:r>
            <w:r w:rsidR="00CD4FF2">
              <w:rPr>
                <w:rFonts w:eastAsia="Times New Roman" w:cs="Arial"/>
                <w:b/>
                <w:bCs/>
                <w:sz w:val="17"/>
                <w:szCs w:val="17"/>
              </w:rPr>
              <w:t>30</w:t>
            </w:r>
            <w:r w:rsidR="006B0E06">
              <w:rPr>
                <w:rFonts w:eastAsia="Times New Roman" w:cs="Arial"/>
                <w:b/>
                <w:bCs/>
                <w:sz w:val="17"/>
                <w:szCs w:val="17"/>
              </w:rPr>
              <w:t xml:space="preserve">, </w:t>
            </w:r>
            <w:r w:rsidR="006B0E06" w:rsidRPr="006B0E06">
              <w:rPr>
                <w:rFonts w:eastAsia="Times New Roman" w:cs="Arial"/>
                <w:b/>
                <w:bCs/>
                <w:sz w:val="17"/>
                <w:szCs w:val="17"/>
              </w:rPr>
              <w:t>201</w:t>
            </w:r>
            <w:r w:rsidR="006B0E06">
              <w:rPr>
                <w:rFonts w:eastAsia="Times New Roman" w:cs="Arial"/>
                <w:b/>
                <w:bCs/>
                <w:sz w:val="17"/>
                <w:szCs w:val="17"/>
              </w:rPr>
              <w:t>7</w:t>
            </w:r>
          </w:p>
        </w:tc>
        <w:tc>
          <w:tcPr>
            <w:tcW w:w="3201" w:type="dxa"/>
            <w:gridSpan w:val="3"/>
            <w:vAlign w:val="bottom"/>
          </w:tcPr>
          <w:p w14:paraId="3DD8286C" w14:textId="77777777" w:rsidR="006B0E06" w:rsidRPr="006B0E06" w:rsidRDefault="006B0E06" w:rsidP="006B0E06">
            <w:pPr>
              <w:tabs>
                <w:tab w:val="right" w:pos="1202"/>
              </w:tabs>
              <w:spacing w:after="0" w:line="240" w:lineRule="auto"/>
              <w:jc w:val="right"/>
              <w:outlineLvl w:val="0"/>
              <w:rPr>
                <w:rFonts w:eastAsia="Times New Roman" w:cs="Arial"/>
                <w:b/>
                <w:bCs/>
                <w:sz w:val="17"/>
                <w:szCs w:val="17"/>
              </w:rPr>
            </w:pPr>
            <w:r>
              <w:rPr>
                <w:rFonts w:eastAsia="Times New Roman" w:cs="Arial"/>
                <w:b/>
                <w:bCs/>
                <w:sz w:val="17"/>
                <w:szCs w:val="17"/>
              </w:rPr>
              <w:t>Dec 31, 2016</w:t>
            </w:r>
          </w:p>
        </w:tc>
      </w:tr>
      <w:tr w:rsidR="006B0E06" w:rsidRPr="006B0E06" w14:paraId="4A411CF4" w14:textId="77777777" w:rsidTr="006B0E06">
        <w:trPr>
          <w:trHeight w:hRule="exact" w:val="283"/>
        </w:trPr>
        <w:tc>
          <w:tcPr>
            <w:tcW w:w="4258" w:type="dxa"/>
            <w:vAlign w:val="center"/>
          </w:tcPr>
          <w:p w14:paraId="3D17FB45" w14:textId="77777777" w:rsidR="006B0E06" w:rsidRPr="006B0E06" w:rsidRDefault="006B0E06" w:rsidP="006B0E06">
            <w:pPr>
              <w:tabs>
                <w:tab w:val="right" w:pos="1202"/>
              </w:tabs>
              <w:spacing w:after="0" w:line="240" w:lineRule="auto"/>
              <w:outlineLvl w:val="0"/>
              <w:rPr>
                <w:rFonts w:eastAsia="Times New Roman" w:cs="Arial"/>
                <w:spacing w:val="-2"/>
                <w:sz w:val="17"/>
                <w:szCs w:val="17"/>
              </w:rPr>
            </w:pPr>
          </w:p>
        </w:tc>
        <w:tc>
          <w:tcPr>
            <w:tcW w:w="943" w:type="dxa"/>
            <w:vAlign w:val="bottom"/>
          </w:tcPr>
          <w:p w14:paraId="5C0F51F8" w14:textId="77777777" w:rsidR="006B0E06" w:rsidRPr="006B0E06" w:rsidRDefault="006B0E06" w:rsidP="006B0E06">
            <w:pPr>
              <w:tabs>
                <w:tab w:val="right" w:pos="1202"/>
              </w:tabs>
              <w:spacing w:after="0" w:line="240" w:lineRule="auto"/>
              <w:jc w:val="right"/>
              <w:outlineLvl w:val="0"/>
              <w:rPr>
                <w:rFonts w:eastAsia="Times New Roman" w:cs="Arial"/>
                <w:b/>
                <w:spacing w:val="-2"/>
                <w:sz w:val="17"/>
                <w:szCs w:val="17"/>
              </w:rPr>
            </w:pPr>
            <w:r w:rsidRPr="006B0E06">
              <w:rPr>
                <w:rFonts w:eastAsia="Times New Roman" w:cs="Arial"/>
                <w:b/>
                <w:spacing w:val="-2"/>
                <w:sz w:val="17"/>
                <w:szCs w:val="17"/>
              </w:rPr>
              <w:t>Level 1</w:t>
            </w:r>
          </w:p>
        </w:tc>
        <w:tc>
          <w:tcPr>
            <w:tcW w:w="1066" w:type="dxa"/>
            <w:vAlign w:val="bottom"/>
          </w:tcPr>
          <w:p w14:paraId="52C87102" w14:textId="77777777" w:rsidR="006B0E06" w:rsidRPr="006B0E06" w:rsidRDefault="006B0E06" w:rsidP="006B0E06">
            <w:pPr>
              <w:tabs>
                <w:tab w:val="right" w:pos="1202"/>
              </w:tabs>
              <w:spacing w:after="0" w:line="240" w:lineRule="auto"/>
              <w:jc w:val="right"/>
              <w:outlineLvl w:val="0"/>
              <w:rPr>
                <w:rFonts w:eastAsia="Times New Roman" w:cs="Arial"/>
                <w:b/>
                <w:spacing w:val="-2"/>
                <w:sz w:val="17"/>
                <w:szCs w:val="17"/>
              </w:rPr>
            </w:pPr>
            <w:r w:rsidRPr="006B0E06">
              <w:rPr>
                <w:rFonts w:eastAsia="Times New Roman" w:cs="Arial"/>
                <w:b/>
                <w:spacing w:val="-2"/>
                <w:sz w:val="17"/>
                <w:szCs w:val="17"/>
              </w:rPr>
              <w:t>Level 2</w:t>
            </w:r>
          </w:p>
        </w:tc>
        <w:tc>
          <w:tcPr>
            <w:tcW w:w="1068" w:type="dxa"/>
            <w:vAlign w:val="bottom"/>
          </w:tcPr>
          <w:p w14:paraId="6EA4325D" w14:textId="77777777" w:rsidR="006B0E06" w:rsidRPr="006B0E06" w:rsidRDefault="006B0E06" w:rsidP="006B0E06">
            <w:pPr>
              <w:tabs>
                <w:tab w:val="right" w:pos="1202"/>
              </w:tabs>
              <w:spacing w:after="0" w:line="240" w:lineRule="auto"/>
              <w:jc w:val="right"/>
              <w:outlineLvl w:val="0"/>
              <w:rPr>
                <w:rFonts w:eastAsia="Times New Roman" w:cs="Arial"/>
                <w:b/>
                <w:spacing w:val="-2"/>
                <w:sz w:val="17"/>
                <w:szCs w:val="17"/>
              </w:rPr>
            </w:pPr>
            <w:r w:rsidRPr="006B0E06">
              <w:rPr>
                <w:rFonts w:eastAsia="Times New Roman" w:cs="Arial"/>
                <w:b/>
                <w:spacing w:val="-2"/>
                <w:sz w:val="17"/>
                <w:szCs w:val="17"/>
              </w:rPr>
              <w:t>Level 3</w:t>
            </w:r>
          </w:p>
        </w:tc>
        <w:tc>
          <w:tcPr>
            <w:tcW w:w="1066" w:type="dxa"/>
            <w:vAlign w:val="bottom"/>
          </w:tcPr>
          <w:p w14:paraId="2C2D156B" w14:textId="77777777" w:rsidR="006B0E06" w:rsidRPr="006B0E06" w:rsidRDefault="006B0E06" w:rsidP="006B0E06">
            <w:pPr>
              <w:tabs>
                <w:tab w:val="right" w:pos="1202"/>
              </w:tabs>
              <w:spacing w:after="0" w:line="240" w:lineRule="auto"/>
              <w:jc w:val="right"/>
              <w:outlineLvl w:val="0"/>
              <w:rPr>
                <w:rFonts w:eastAsia="Times New Roman" w:cs="Arial"/>
                <w:b/>
                <w:spacing w:val="-2"/>
                <w:sz w:val="17"/>
                <w:szCs w:val="17"/>
              </w:rPr>
            </w:pPr>
            <w:r w:rsidRPr="006B0E06">
              <w:rPr>
                <w:rFonts w:eastAsia="Times New Roman" w:cs="Arial"/>
                <w:b/>
                <w:spacing w:val="-2"/>
                <w:sz w:val="17"/>
                <w:szCs w:val="17"/>
              </w:rPr>
              <w:t>Level 1</w:t>
            </w:r>
          </w:p>
        </w:tc>
        <w:tc>
          <w:tcPr>
            <w:tcW w:w="1066" w:type="dxa"/>
            <w:vAlign w:val="bottom"/>
          </w:tcPr>
          <w:p w14:paraId="589B789F" w14:textId="77777777" w:rsidR="006B0E06" w:rsidRPr="006B0E06" w:rsidRDefault="006B0E06" w:rsidP="006B0E06">
            <w:pPr>
              <w:tabs>
                <w:tab w:val="right" w:pos="1202"/>
              </w:tabs>
              <w:spacing w:after="0" w:line="240" w:lineRule="auto"/>
              <w:jc w:val="right"/>
              <w:outlineLvl w:val="0"/>
              <w:rPr>
                <w:rFonts w:eastAsia="Times New Roman" w:cs="Arial"/>
                <w:b/>
                <w:spacing w:val="-2"/>
                <w:sz w:val="17"/>
                <w:szCs w:val="17"/>
              </w:rPr>
            </w:pPr>
            <w:r w:rsidRPr="006B0E06">
              <w:rPr>
                <w:rFonts w:eastAsia="Times New Roman" w:cs="Arial"/>
                <w:b/>
                <w:spacing w:val="-2"/>
                <w:sz w:val="17"/>
                <w:szCs w:val="17"/>
              </w:rPr>
              <w:t>Level 2</w:t>
            </w:r>
          </w:p>
        </w:tc>
        <w:tc>
          <w:tcPr>
            <w:tcW w:w="1069" w:type="dxa"/>
            <w:vAlign w:val="bottom"/>
          </w:tcPr>
          <w:p w14:paraId="5F6F41ED" w14:textId="77777777" w:rsidR="006B0E06" w:rsidRPr="006B0E06" w:rsidRDefault="006B0E06" w:rsidP="006B0E06">
            <w:pPr>
              <w:tabs>
                <w:tab w:val="right" w:pos="1202"/>
              </w:tabs>
              <w:spacing w:after="0" w:line="240" w:lineRule="auto"/>
              <w:jc w:val="right"/>
              <w:outlineLvl w:val="0"/>
              <w:rPr>
                <w:rFonts w:eastAsia="Times New Roman" w:cs="Arial"/>
                <w:b/>
                <w:spacing w:val="-2"/>
                <w:sz w:val="17"/>
                <w:szCs w:val="17"/>
              </w:rPr>
            </w:pPr>
            <w:r w:rsidRPr="006B0E06">
              <w:rPr>
                <w:rFonts w:eastAsia="Times New Roman" w:cs="Arial"/>
                <w:b/>
                <w:spacing w:val="-2"/>
                <w:sz w:val="17"/>
                <w:szCs w:val="17"/>
              </w:rPr>
              <w:t>Level 3</w:t>
            </w:r>
          </w:p>
        </w:tc>
      </w:tr>
      <w:tr w:rsidR="006B0E06" w:rsidRPr="006B0E06" w14:paraId="686557AB" w14:textId="77777777" w:rsidTr="006B0E06">
        <w:trPr>
          <w:trHeight w:hRule="exact" w:val="226"/>
        </w:trPr>
        <w:tc>
          <w:tcPr>
            <w:tcW w:w="4258" w:type="dxa"/>
            <w:vAlign w:val="bottom"/>
          </w:tcPr>
          <w:p w14:paraId="3F00A025" w14:textId="77777777" w:rsidR="006B0E06" w:rsidRPr="006B0E06" w:rsidRDefault="006B0E06" w:rsidP="006B0E06">
            <w:pPr>
              <w:tabs>
                <w:tab w:val="right" w:pos="1202"/>
              </w:tabs>
              <w:spacing w:after="0" w:line="240" w:lineRule="auto"/>
              <w:outlineLvl w:val="0"/>
              <w:rPr>
                <w:rFonts w:eastAsia="Times New Roman" w:cs="Arial"/>
                <w:spacing w:val="-2"/>
                <w:sz w:val="17"/>
                <w:szCs w:val="17"/>
              </w:rPr>
            </w:pPr>
            <w:r w:rsidRPr="006B0E06">
              <w:rPr>
                <w:rFonts w:eastAsia="Times New Roman" w:cs="Arial"/>
                <w:b/>
                <w:i/>
                <w:sz w:val="17"/>
                <w:szCs w:val="17"/>
              </w:rPr>
              <w:t>Financial assets at fair value through profit or loss:</w:t>
            </w:r>
          </w:p>
        </w:tc>
        <w:tc>
          <w:tcPr>
            <w:tcW w:w="943" w:type="dxa"/>
            <w:vAlign w:val="bottom"/>
          </w:tcPr>
          <w:p w14:paraId="160C8DAD" w14:textId="77777777" w:rsidR="006B0E06" w:rsidRPr="006B0E06" w:rsidRDefault="006B0E06" w:rsidP="006B0E06">
            <w:pPr>
              <w:tabs>
                <w:tab w:val="right" w:pos="1202"/>
              </w:tabs>
              <w:spacing w:after="0" w:line="240" w:lineRule="auto"/>
              <w:jc w:val="right"/>
              <w:outlineLvl w:val="0"/>
              <w:rPr>
                <w:rFonts w:eastAsia="Times New Roman" w:cs="Arial"/>
                <w:b/>
                <w:spacing w:val="-2"/>
                <w:sz w:val="17"/>
                <w:szCs w:val="17"/>
              </w:rPr>
            </w:pPr>
          </w:p>
        </w:tc>
        <w:tc>
          <w:tcPr>
            <w:tcW w:w="1066" w:type="dxa"/>
            <w:vAlign w:val="bottom"/>
          </w:tcPr>
          <w:p w14:paraId="7AA3DE57" w14:textId="77777777" w:rsidR="006B0E06" w:rsidRPr="006B0E06" w:rsidRDefault="006B0E06" w:rsidP="006B0E06">
            <w:pPr>
              <w:tabs>
                <w:tab w:val="right" w:pos="1202"/>
              </w:tabs>
              <w:spacing w:after="0" w:line="240" w:lineRule="auto"/>
              <w:jc w:val="right"/>
              <w:outlineLvl w:val="0"/>
              <w:rPr>
                <w:rFonts w:eastAsia="Times New Roman" w:cs="Arial"/>
                <w:b/>
                <w:spacing w:val="-2"/>
                <w:sz w:val="17"/>
                <w:szCs w:val="17"/>
              </w:rPr>
            </w:pPr>
          </w:p>
        </w:tc>
        <w:tc>
          <w:tcPr>
            <w:tcW w:w="1068" w:type="dxa"/>
            <w:vAlign w:val="bottom"/>
          </w:tcPr>
          <w:p w14:paraId="7B95AE28" w14:textId="77777777" w:rsidR="006B0E06" w:rsidRPr="006B0E06" w:rsidRDefault="006B0E06" w:rsidP="006B0E06">
            <w:pPr>
              <w:tabs>
                <w:tab w:val="right" w:pos="1202"/>
              </w:tabs>
              <w:spacing w:after="0" w:line="240" w:lineRule="auto"/>
              <w:jc w:val="right"/>
              <w:outlineLvl w:val="0"/>
              <w:rPr>
                <w:rFonts w:eastAsia="Times New Roman" w:cs="Arial"/>
                <w:b/>
                <w:spacing w:val="-2"/>
                <w:sz w:val="17"/>
                <w:szCs w:val="17"/>
              </w:rPr>
            </w:pPr>
          </w:p>
        </w:tc>
        <w:tc>
          <w:tcPr>
            <w:tcW w:w="1066" w:type="dxa"/>
            <w:vAlign w:val="bottom"/>
          </w:tcPr>
          <w:p w14:paraId="38472CCB" w14:textId="77777777" w:rsidR="006B0E06" w:rsidRPr="006B0E06" w:rsidRDefault="006B0E06" w:rsidP="006B0E06">
            <w:pPr>
              <w:tabs>
                <w:tab w:val="right" w:pos="1202"/>
              </w:tabs>
              <w:spacing w:after="0" w:line="240" w:lineRule="auto"/>
              <w:jc w:val="right"/>
              <w:outlineLvl w:val="0"/>
              <w:rPr>
                <w:rFonts w:eastAsia="Times New Roman" w:cs="Arial"/>
                <w:b/>
                <w:spacing w:val="-2"/>
                <w:sz w:val="17"/>
                <w:szCs w:val="17"/>
              </w:rPr>
            </w:pPr>
          </w:p>
        </w:tc>
        <w:tc>
          <w:tcPr>
            <w:tcW w:w="1066" w:type="dxa"/>
            <w:vAlign w:val="bottom"/>
          </w:tcPr>
          <w:p w14:paraId="1D8E2FC1" w14:textId="77777777" w:rsidR="006B0E06" w:rsidRPr="006B0E06" w:rsidRDefault="006B0E06" w:rsidP="006B0E06">
            <w:pPr>
              <w:tabs>
                <w:tab w:val="right" w:pos="1202"/>
              </w:tabs>
              <w:spacing w:after="0" w:line="240" w:lineRule="auto"/>
              <w:jc w:val="right"/>
              <w:outlineLvl w:val="0"/>
              <w:rPr>
                <w:rFonts w:eastAsia="Times New Roman" w:cs="Arial"/>
                <w:b/>
                <w:spacing w:val="-2"/>
                <w:sz w:val="17"/>
                <w:szCs w:val="17"/>
              </w:rPr>
            </w:pPr>
          </w:p>
        </w:tc>
        <w:tc>
          <w:tcPr>
            <w:tcW w:w="1069" w:type="dxa"/>
            <w:vAlign w:val="bottom"/>
          </w:tcPr>
          <w:p w14:paraId="72CAC7F1" w14:textId="77777777" w:rsidR="006B0E06" w:rsidRPr="006B0E06" w:rsidRDefault="006B0E06" w:rsidP="006B0E06">
            <w:pPr>
              <w:tabs>
                <w:tab w:val="right" w:pos="1202"/>
              </w:tabs>
              <w:spacing w:after="0" w:line="240" w:lineRule="auto"/>
              <w:jc w:val="right"/>
              <w:outlineLvl w:val="0"/>
              <w:rPr>
                <w:rFonts w:eastAsia="Times New Roman" w:cs="Arial"/>
                <w:b/>
                <w:spacing w:val="-2"/>
                <w:sz w:val="17"/>
                <w:szCs w:val="17"/>
              </w:rPr>
            </w:pPr>
          </w:p>
        </w:tc>
      </w:tr>
      <w:tr w:rsidR="00C23E5D" w:rsidRPr="006B0E06" w14:paraId="08A080D3" w14:textId="77777777" w:rsidTr="005444AA">
        <w:trPr>
          <w:trHeight w:hRule="exact" w:val="396"/>
        </w:trPr>
        <w:tc>
          <w:tcPr>
            <w:tcW w:w="4258" w:type="dxa"/>
            <w:vAlign w:val="bottom"/>
          </w:tcPr>
          <w:p w14:paraId="12E12359" w14:textId="77777777" w:rsidR="00C23E5D" w:rsidRPr="006B0E06" w:rsidRDefault="00C23E5D" w:rsidP="00C23E5D">
            <w:pPr>
              <w:tabs>
                <w:tab w:val="right" w:pos="1202"/>
              </w:tabs>
              <w:spacing w:after="0" w:line="240" w:lineRule="auto"/>
              <w:outlineLvl w:val="0"/>
              <w:rPr>
                <w:rFonts w:eastAsia="Times New Roman" w:cs="Arial"/>
                <w:b/>
                <w:i/>
                <w:sz w:val="17"/>
                <w:szCs w:val="17"/>
              </w:rPr>
            </w:pPr>
            <w:r w:rsidRPr="006B0E06">
              <w:rPr>
                <w:rFonts w:eastAsia="Times New Roman" w:cs="Arial"/>
                <w:sz w:val="17"/>
                <w:szCs w:val="17"/>
              </w:rPr>
              <w:t xml:space="preserve">Shares in investment funds recognised at fair value through profit or loss </w:t>
            </w:r>
          </w:p>
        </w:tc>
        <w:tc>
          <w:tcPr>
            <w:tcW w:w="943" w:type="dxa"/>
            <w:tcBorders>
              <w:top w:val="nil"/>
              <w:left w:val="nil"/>
              <w:bottom w:val="nil"/>
              <w:right w:val="nil"/>
            </w:tcBorders>
            <w:shd w:val="clear" w:color="auto" w:fill="auto"/>
            <w:vAlign w:val="bottom"/>
          </w:tcPr>
          <w:p w14:paraId="6215DA35" w14:textId="33849CE0" w:rsidR="00C23E5D" w:rsidRPr="006B0E06" w:rsidRDefault="00247060" w:rsidP="00C23E5D">
            <w:pPr>
              <w:tabs>
                <w:tab w:val="right" w:pos="1202"/>
              </w:tabs>
              <w:spacing w:after="0" w:line="301" w:lineRule="exact"/>
              <w:jc w:val="right"/>
              <w:outlineLvl w:val="0"/>
              <w:rPr>
                <w:rFonts w:ascii="Arial" w:eastAsia="Times New Roman" w:hAnsi="Arial" w:cs="Arial"/>
                <w:sz w:val="17"/>
                <w:szCs w:val="17"/>
                <w:lang w:val="hr-HR"/>
              </w:rPr>
            </w:pPr>
            <w:r w:rsidRPr="00247060">
              <w:rPr>
                <w:rFonts w:eastAsia="Times New Roman" w:cs="Arial"/>
                <w:sz w:val="17"/>
                <w:szCs w:val="17"/>
              </w:rPr>
              <w:t>288</w:t>
            </w:r>
          </w:p>
        </w:tc>
        <w:tc>
          <w:tcPr>
            <w:tcW w:w="1066" w:type="dxa"/>
            <w:tcBorders>
              <w:top w:val="nil"/>
              <w:left w:val="nil"/>
              <w:bottom w:val="nil"/>
              <w:right w:val="nil"/>
            </w:tcBorders>
            <w:shd w:val="clear" w:color="auto" w:fill="auto"/>
            <w:vAlign w:val="bottom"/>
          </w:tcPr>
          <w:p w14:paraId="7B610B07" w14:textId="025BB7D1" w:rsidR="00C23E5D" w:rsidRPr="006B0E06" w:rsidRDefault="00C23E5D" w:rsidP="00C23E5D">
            <w:pPr>
              <w:tabs>
                <w:tab w:val="right" w:pos="1202"/>
              </w:tabs>
              <w:spacing w:after="0" w:line="301" w:lineRule="exact"/>
              <w:jc w:val="right"/>
              <w:outlineLvl w:val="0"/>
              <w:rPr>
                <w:rFonts w:eastAsia="Times New Roman" w:cs="Arial"/>
                <w:sz w:val="17"/>
                <w:szCs w:val="17"/>
              </w:rPr>
            </w:pPr>
            <w:r>
              <w:rPr>
                <w:rFonts w:eastAsia="Times New Roman" w:cs="Arial"/>
                <w:sz w:val="17"/>
                <w:szCs w:val="17"/>
              </w:rPr>
              <w:t>-</w:t>
            </w:r>
          </w:p>
        </w:tc>
        <w:tc>
          <w:tcPr>
            <w:tcW w:w="1068" w:type="dxa"/>
            <w:tcBorders>
              <w:top w:val="nil"/>
              <w:left w:val="nil"/>
              <w:bottom w:val="nil"/>
              <w:right w:val="nil"/>
            </w:tcBorders>
            <w:shd w:val="clear" w:color="auto" w:fill="auto"/>
            <w:vAlign w:val="bottom"/>
          </w:tcPr>
          <w:p w14:paraId="54F0FB56" w14:textId="13A76E92" w:rsidR="00C23E5D" w:rsidRPr="006B0E06" w:rsidRDefault="00C23E5D" w:rsidP="00C23E5D">
            <w:pPr>
              <w:tabs>
                <w:tab w:val="right" w:pos="1202"/>
              </w:tabs>
              <w:spacing w:after="0" w:line="301" w:lineRule="exact"/>
              <w:jc w:val="right"/>
              <w:outlineLvl w:val="0"/>
              <w:rPr>
                <w:rFonts w:ascii="Arial" w:eastAsia="Times New Roman" w:hAnsi="Arial" w:cs="Arial"/>
                <w:sz w:val="17"/>
                <w:szCs w:val="17"/>
                <w:lang w:val="hr-HR"/>
              </w:rPr>
            </w:pPr>
            <w:r>
              <w:rPr>
                <w:rFonts w:eastAsia="Times New Roman" w:cs="Arial"/>
                <w:sz w:val="17"/>
                <w:szCs w:val="17"/>
              </w:rPr>
              <w:t>-</w:t>
            </w:r>
          </w:p>
        </w:tc>
        <w:tc>
          <w:tcPr>
            <w:tcW w:w="1066" w:type="dxa"/>
            <w:tcBorders>
              <w:top w:val="nil"/>
              <w:left w:val="nil"/>
              <w:bottom w:val="nil"/>
              <w:right w:val="nil"/>
            </w:tcBorders>
            <w:shd w:val="clear" w:color="auto" w:fill="auto"/>
            <w:vAlign w:val="bottom"/>
          </w:tcPr>
          <w:p w14:paraId="3BE6EC62" w14:textId="77777777" w:rsidR="00C23E5D" w:rsidRPr="006B0E06" w:rsidRDefault="00C23E5D" w:rsidP="00C23E5D">
            <w:pPr>
              <w:tabs>
                <w:tab w:val="right" w:pos="1202"/>
              </w:tabs>
              <w:spacing w:after="0" w:line="301" w:lineRule="exact"/>
              <w:jc w:val="right"/>
              <w:outlineLvl w:val="0"/>
              <w:rPr>
                <w:rFonts w:ascii="Arial" w:eastAsia="Times New Roman" w:hAnsi="Arial" w:cs="Arial"/>
                <w:sz w:val="17"/>
                <w:szCs w:val="17"/>
                <w:lang w:val="hr-HR"/>
              </w:rPr>
            </w:pPr>
            <w:r w:rsidRPr="006B0E06">
              <w:rPr>
                <w:sz w:val="17"/>
                <w:szCs w:val="17"/>
              </w:rPr>
              <w:t>286</w:t>
            </w:r>
          </w:p>
        </w:tc>
        <w:tc>
          <w:tcPr>
            <w:tcW w:w="1066" w:type="dxa"/>
            <w:tcBorders>
              <w:top w:val="nil"/>
              <w:left w:val="nil"/>
              <w:bottom w:val="nil"/>
              <w:right w:val="nil"/>
            </w:tcBorders>
            <w:shd w:val="clear" w:color="auto" w:fill="auto"/>
            <w:vAlign w:val="bottom"/>
          </w:tcPr>
          <w:p w14:paraId="250732C9" w14:textId="77777777" w:rsidR="00C23E5D" w:rsidRPr="006B0E06" w:rsidRDefault="00C23E5D" w:rsidP="00C23E5D">
            <w:pPr>
              <w:tabs>
                <w:tab w:val="right" w:pos="1202"/>
              </w:tabs>
              <w:spacing w:after="0" w:line="301" w:lineRule="exact"/>
              <w:jc w:val="right"/>
              <w:outlineLvl w:val="0"/>
              <w:rPr>
                <w:rFonts w:eastAsia="Times New Roman" w:cs="Arial"/>
                <w:sz w:val="17"/>
                <w:szCs w:val="17"/>
              </w:rPr>
            </w:pPr>
            <w:r w:rsidRPr="006B0E06">
              <w:rPr>
                <w:sz w:val="17"/>
                <w:szCs w:val="17"/>
              </w:rPr>
              <w:t>-</w:t>
            </w:r>
          </w:p>
        </w:tc>
        <w:tc>
          <w:tcPr>
            <w:tcW w:w="1069" w:type="dxa"/>
            <w:tcBorders>
              <w:top w:val="nil"/>
              <w:left w:val="nil"/>
              <w:bottom w:val="nil"/>
              <w:right w:val="nil"/>
            </w:tcBorders>
            <w:shd w:val="clear" w:color="auto" w:fill="auto"/>
            <w:vAlign w:val="bottom"/>
          </w:tcPr>
          <w:p w14:paraId="203411ED" w14:textId="77777777" w:rsidR="00C23E5D" w:rsidRPr="006B0E06" w:rsidRDefault="00C23E5D" w:rsidP="00C23E5D">
            <w:pPr>
              <w:tabs>
                <w:tab w:val="right" w:pos="1202"/>
              </w:tabs>
              <w:spacing w:after="0" w:line="301" w:lineRule="exact"/>
              <w:jc w:val="right"/>
              <w:outlineLvl w:val="0"/>
              <w:rPr>
                <w:rFonts w:ascii="Arial" w:eastAsia="Times New Roman" w:hAnsi="Arial" w:cs="Arial"/>
                <w:sz w:val="17"/>
                <w:szCs w:val="17"/>
                <w:lang w:val="hr-HR"/>
              </w:rPr>
            </w:pPr>
            <w:r w:rsidRPr="006B0E06">
              <w:rPr>
                <w:sz w:val="17"/>
                <w:szCs w:val="17"/>
              </w:rPr>
              <w:t>-</w:t>
            </w:r>
          </w:p>
        </w:tc>
      </w:tr>
      <w:tr w:rsidR="00C23E5D" w:rsidRPr="006B0E06" w14:paraId="54B53678" w14:textId="77777777" w:rsidTr="005444AA">
        <w:trPr>
          <w:trHeight w:hRule="exact" w:val="297"/>
        </w:trPr>
        <w:tc>
          <w:tcPr>
            <w:tcW w:w="4258" w:type="dxa"/>
            <w:vAlign w:val="bottom"/>
          </w:tcPr>
          <w:p w14:paraId="107ADC52" w14:textId="77777777" w:rsidR="00C23E5D" w:rsidRPr="006B0E06" w:rsidRDefault="00C23E5D" w:rsidP="00C23E5D">
            <w:pPr>
              <w:tabs>
                <w:tab w:val="right" w:pos="1202"/>
              </w:tabs>
              <w:spacing w:after="0" w:line="240" w:lineRule="auto"/>
              <w:outlineLvl w:val="0"/>
              <w:rPr>
                <w:rFonts w:eastAsia="Times New Roman" w:cs="Arial"/>
                <w:sz w:val="17"/>
                <w:szCs w:val="17"/>
              </w:rPr>
            </w:pPr>
            <w:r w:rsidRPr="006B0E06">
              <w:rPr>
                <w:rFonts w:eastAsia="Times New Roman" w:cs="Arial"/>
                <w:b/>
                <w:sz w:val="17"/>
                <w:szCs w:val="17"/>
              </w:rPr>
              <w:t xml:space="preserve">Total financial assets at fair value through profit or loss </w:t>
            </w:r>
          </w:p>
        </w:tc>
        <w:tc>
          <w:tcPr>
            <w:tcW w:w="943" w:type="dxa"/>
            <w:tcBorders>
              <w:top w:val="single" w:sz="4" w:space="0" w:color="auto"/>
              <w:left w:val="nil"/>
              <w:bottom w:val="single" w:sz="8" w:space="0" w:color="auto"/>
              <w:right w:val="nil"/>
            </w:tcBorders>
            <w:shd w:val="clear" w:color="auto" w:fill="auto"/>
            <w:vAlign w:val="bottom"/>
          </w:tcPr>
          <w:p w14:paraId="5462FC12" w14:textId="01830D7A" w:rsidR="00C23E5D" w:rsidRPr="006B0E06" w:rsidRDefault="00247060" w:rsidP="00C23E5D">
            <w:pPr>
              <w:tabs>
                <w:tab w:val="right" w:pos="1202"/>
              </w:tabs>
              <w:spacing w:after="0" w:line="240" w:lineRule="auto"/>
              <w:jc w:val="right"/>
              <w:outlineLvl w:val="0"/>
              <w:rPr>
                <w:rFonts w:asciiTheme="minorHAnsi" w:eastAsia="Times New Roman" w:hAnsiTheme="minorHAnsi" w:cs="Arial"/>
                <w:b/>
                <w:sz w:val="17"/>
                <w:szCs w:val="17"/>
              </w:rPr>
            </w:pPr>
            <w:r w:rsidRPr="00247060">
              <w:rPr>
                <w:rFonts w:eastAsia="Times New Roman" w:cs="Arial"/>
                <w:b/>
                <w:sz w:val="17"/>
                <w:szCs w:val="17"/>
              </w:rPr>
              <w:t>288</w:t>
            </w:r>
          </w:p>
        </w:tc>
        <w:tc>
          <w:tcPr>
            <w:tcW w:w="1066" w:type="dxa"/>
            <w:tcBorders>
              <w:top w:val="single" w:sz="4" w:space="0" w:color="auto"/>
              <w:left w:val="nil"/>
              <w:bottom w:val="single" w:sz="8" w:space="0" w:color="auto"/>
              <w:right w:val="nil"/>
            </w:tcBorders>
            <w:shd w:val="clear" w:color="auto" w:fill="auto"/>
            <w:vAlign w:val="bottom"/>
          </w:tcPr>
          <w:p w14:paraId="746D26E9" w14:textId="38870DC5" w:rsidR="00C23E5D" w:rsidRPr="006B0E06" w:rsidRDefault="00C23E5D" w:rsidP="00C23E5D">
            <w:pPr>
              <w:tabs>
                <w:tab w:val="right" w:pos="1202"/>
              </w:tabs>
              <w:spacing w:after="0" w:line="301" w:lineRule="exact"/>
              <w:jc w:val="right"/>
              <w:outlineLvl w:val="0"/>
              <w:rPr>
                <w:rFonts w:eastAsia="Times New Roman" w:cs="Arial"/>
                <w:b/>
                <w:sz w:val="17"/>
                <w:szCs w:val="17"/>
              </w:rPr>
            </w:pPr>
            <w:r w:rsidRPr="001907A5">
              <w:t>-</w:t>
            </w:r>
          </w:p>
        </w:tc>
        <w:tc>
          <w:tcPr>
            <w:tcW w:w="1068" w:type="dxa"/>
            <w:tcBorders>
              <w:top w:val="single" w:sz="4" w:space="0" w:color="auto"/>
              <w:left w:val="nil"/>
              <w:bottom w:val="single" w:sz="8" w:space="0" w:color="auto"/>
              <w:right w:val="nil"/>
            </w:tcBorders>
            <w:shd w:val="clear" w:color="auto" w:fill="auto"/>
            <w:vAlign w:val="bottom"/>
          </w:tcPr>
          <w:p w14:paraId="1A7AB9D3" w14:textId="30281DA7" w:rsidR="00C23E5D" w:rsidRPr="006B0E06" w:rsidRDefault="00C23E5D" w:rsidP="00C23E5D">
            <w:pPr>
              <w:tabs>
                <w:tab w:val="right" w:pos="1202"/>
              </w:tabs>
              <w:spacing w:after="0" w:line="301" w:lineRule="exact"/>
              <w:jc w:val="right"/>
              <w:outlineLvl w:val="0"/>
              <w:rPr>
                <w:rFonts w:ascii="Arial" w:eastAsia="Times New Roman" w:hAnsi="Arial" w:cs="Arial"/>
                <w:b/>
                <w:sz w:val="17"/>
                <w:szCs w:val="17"/>
                <w:lang w:val="hr-HR"/>
              </w:rPr>
            </w:pPr>
            <w:r w:rsidRPr="001907A5">
              <w:t>-</w:t>
            </w:r>
          </w:p>
        </w:tc>
        <w:tc>
          <w:tcPr>
            <w:tcW w:w="1066" w:type="dxa"/>
            <w:tcBorders>
              <w:top w:val="single" w:sz="4" w:space="0" w:color="auto"/>
              <w:left w:val="nil"/>
              <w:bottom w:val="single" w:sz="8" w:space="0" w:color="auto"/>
              <w:right w:val="nil"/>
            </w:tcBorders>
            <w:shd w:val="clear" w:color="auto" w:fill="auto"/>
            <w:vAlign w:val="bottom"/>
          </w:tcPr>
          <w:p w14:paraId="71378CD2" w14:textId="77777777" w:rsidR="00C23E5D" w:rsidRPr="006B0E06" w:rsidRDefault="00C23E5D" w:rsidP="00C23E5D">
            <w:pPr>
              <w:tabs>
                <w:tab w:val="right" w:pos="1202"/>
              </w:tabs>
              <w:spacing w:after="0" w:line="240" w:lineRule="auto"/>
              <w:jc w:val="right"/>
              <w:outlineLvl w:val="0"/>
              <w:rPr>
                <w:rFonts w:asciiTheme="minorHAnsi" w:eastAsia="Times New Roman" w:hAnsiTheme="minorHAnsi" w:cs="Arial"/>
                <w:b/>
                <w:sz w:val="17"/>
                <w:szCs w:val="17"/>
              </w:rPr>
            </w:pPr>
            <w:r w:rsidRPr="006B0E06">
              <w:rPr>
                <w:rFonts w:asciiTheme="minorHAnsi" w:eastAsia="Times New Roman" w:hAnsiTheme="minorHAnsi" w:cs="Arial"/>
                <w:b/>
                <w:sz w:val="17"/>
                <w:szCs w:val="17"/>
              </w:rPr>
              <w:t>286</w:t>
            </w:r>
          </w:p>
        </w:tc>
        <w:tc>
          <w:tcPr>
            <w:tcW w:w="1066" w:type="dxa"/>
            <w:tcBorders>
              <w:top w:val="single" w:sz="4" w:space="0" w:color="auto"/>
              <w:left w:val="nil"/>
              <w:bottom w:val="single" w:sz="8" w:space="0" w:color="auto"/>
              <w:right w:val="nil"/>
            </w:tcBorders>
            <w:shd w:val="clear" w:color="auto" w:fill="auto"/>
            <w:vAlign w:val="bottom"/>
          </w:tcPr>
          <w:p w14:paraId="7B2244D4" w14:textId="77777777" w:rsidR="00C23E5D" w:rsidRPr="006B0E06" w:rsidRDefault="00C23E5D" w:rsidP="00C23E5D">
            <w:pPr>
              <w:tabs>
                <w:tab w:val="right" w:pos="1202"/>
              </w:tabs>
              <w:spacing w:after="0" w:line="301" w:lineRule="exact"/>
              <w:jc w:val="right"/>
              <w:outlineLvl w:val="0"/>
              <w:rPr>
                <w:rFonts w:eastAsia="Times New Roman" w:cs="Arial"/>
                <w:b/>
                <w:sz w:val="17"/>
                <w:szCs w:val="17"/>
              </w:rPr>
            </w:pPr>
            <w:r w:rsidRPr="006B0E06">
              <w:rPr>
                <w:b/>
                <w:sz w:val="17"/>
                <w:szCs w:val="17"/>
              </w:rPr>
              <w:t>-</w:t>
            </w:r>
          </w:p>
        </w:tc>
        <w:tc>
          <w:tcPr>
            <w:tcW w:w="1069" w:type="dxa"/>
            <w:tcBorders>
              <w:top w:val="single" w:sz="4" w:space="0" w:color="auto"/>
              <w:left w:val="nil"/>
              <w:bottom w:val="single" w:sz="8" w:space="0" w:color="auto"/>
              <w:right w:val="nil"/>
            </w:tcBorders>
            <w:shd w:val="clear" w:color="auto" w:fill="auto"/>
            <w:vAlign w:val="bottom"/>
          </w:tcPr>
          <w:p w14:paraId="6CB7729F" w14:textId="77777777" w:rsidR="00C23E5D" w:rsidRPr="006B0E06" w:rsidRDefault="00C23E5D" w:rsidP="00C23E5D">
            <w:pPr>
              <w:tabs>
                <w:tab w:val="right" w:pos="1202"/>
              </w:tabs>
              <w:spacing w:after="0" w:line="301" w:lineRule="exact"/>
              <w:jc w:val="right"/>
              <w:outlineLvl w:val="0"/>
              <w:rPr>
                <w:rFonts w:ascii="Arial" w:eastAsia="Times New Roman" w:hAnsi="Arial" w:cs="Arial"/>
                <w:b/>
                <w:sz w:val="17"/>
                <w:szCs w:val="17"/>
                <w:lang w:val="hr-HR"/>
              </w:rPr>
            </w:pPr>
            <w:r w:rsidRPr="006B0E06">
              <w:rPr>
                <w:b/>
                <w:sz w:val="17"/>
                <w:szCs w:val="17"/>
              </w:rPr>
              <w:t>-</w:t>
            </w:r>
          </w:p>
        </w:tc>
      </w:tr>
      <w:tr w:rsidR="0069580C" w:rsidRPr="006B0E06" w14:paraId="5E696625" w14:textId="77777777" w:rsidTr="005444AA">
        <w:trPr>
          <w:trHeight w:hRule="exact" w:val="226"/>
        </w:trPr>
        <w:tc>
          <w:tcPr>
            <w:tcW w:w="4258" w:type="dxa"/>
            <w:vAlign w:val="bottom"/>
          </w:tcPr>
          <w:p w14:paraId="46F78B69" w14:textId="77777777" w:rsidR="0069580C" w:rsidRPr="006B0E06" w:rsidRDefault="0069580C" w:rsidP="0069580C">
            <w:pPr>
              <w:tabs>
                <w:tab w:val="right" w:pos="1202"/>
              </w:tabs>
              <w:spacing w:after="0" w:line="240" w:lineRule="auto"/>
              <w:outlineLvl w:val="0"/>
              <w:rPr>
                <w:rFonts w:eastAsia="Times New Roman" w:cs="Arial"/>
                <w:b/>
                <w:spacing w:val="-2"/>
                <w:sz w:val="17"/>
                <w:szCs w:val="17"/>
              </w:rPr>
            </w:pPr>
            <w:r w:rsidRPr="006B0E06">
              <w:rPr>
                <w:rFonts w:eastAsia="Times New Roman" w:cs="Arial"/>
                <w:b/>
                <w:spacing w:val="-2"/>
                <w:sz w:val="17"/>
                <w:szCs w:val="17"/>
              </w:rPr>
              <w:t>Assets available for sale:</w:t>
            </w:r>
          </w:p>
        </w:tc>
        <w:tc>
          <w:tcPr>
            <w:tcW w:w="943" w:type="dxa"/>
            <w:tcBorders>
              <w:top w:val="single" w:sz="12" w:space="0" w:color="auto"/>
            </w:tcBorders>
            <w:vAlign w:val="bottom"/>
          </w:tcPr>
          <w:p w14:paraId="21AC119D"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6" w:type="dxa"/>
            <w:tcBorders>
              <w:top w:val="single" w:sz="12" w:space="0" w:color="auto"/>
            </w:tcBorders>
            <w:vAlign w:val="bottom"/>
          </w:tcPr>
          <w:p w14:paraId="612C7F09"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8" w:type="dxa"/>
            <w:tcBorders>
              <w:top w:val="single" w:sz="12" w:space="0" w:color="auto"/>
            </w:tcBorders>
            <w:vAlign w:val="bottom"/>
          </w:tcPr>
          <w:p w14:paraId="031275A8"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6" w:type="dxa"/>
            <w:tcBorders>
              <w:top w:val="single" w:sz="12" w:space="0" w:color="auto"/>
            </w:tcBorders>
            <w:vAlign w:val="bottom"/>
          </w:tcPr>
          <w:p w14:paraId="76386B65"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6" w:type="dxa"/>
            <w:tcBorders>
              <w:top w:val="single" w:sz="12" w:space="0" w:color="auto"/>
            </w:tcBorders>
            <w:vAlign w:val="bottom"/>
          </w:tcPr>
          <w:p w14:paraId="6D7CF8D4"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9" w:type="dxa"/>
            <w:tcBorders>
              <w:top w:val="single" w:sz="12" w:space="0" w:color="auto"/>
            </w:tcBorders>
            <w:vAlign w:val="bottom"/>
          </w:tcPr>
          <w:p w14:paraId="6E62C696"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r>
      <w:tr w:rsidR="0069580C" w:rsidRPr="006B0E06" w14:paraId="4146F42B" w14:textId="77777777" w:rsidTr="005444AA">
        <w:trPr>
          <w:trHeight w:hRule="exact" w:val="226"/>
        </w:trPr>
        <w:tc>
          <w:tcPr>
            <w:tcW w:w="4258" w:type="dxa"/>
            <w:vAlign w:val="bottom"/>
          </w:tcPr>
          <w:p w14:paraId="0C808AD0" w14:textId="77777777" w:rsidR="0069580C" w:rsidRPr="006B0E06" w:rsidRDefault="0069580C" w:rsidP="0069580C">
            <w:pPr>
              <w:tabs>
                <w:tab w:val="right" w:pos="1202"/>
              </w:tabs>
              <w:spacing w:after="0" w:line="240" w:lineRule="auto"/>
              <w:outlineLvl w:val="0"/>
              <w:rPr>
                <w:rFonts w:eastAsia="Times New Roman" w:cs="Arial"/>
                <w:b/>
                <w:spacing w:val="-2"/>
                <w:sz w:val="17"/>
                <w:szCs w:val="17"/>
              </w:rPr>
            </w:pPr>
            <w:r w:rsidRPr="006B0E06">
              <w:rPr>
                <w:rFonts w:eastAsia="Times New Roman" w:cs="Arial"/>
                <w:b/>
                <w:spacing w:val="-2"/>
                <w:sz w:val="17"/>
                <w:szCs w:val="17"/>
              </w:rPr>
              <w:t>Debt instruments:</w:t>
            </w:r>
          </w:p>
        </w:tc>
        <w:tc>
          <w:tcPr>
            <w:tcW w:w="943" w:type="dxa"/>
            <w:vAlign w:val="bottom"/>
          </w:tcPr>
          <w:p w14:paraId="3A59FA38"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6" w:type="dxa"/>
            <w:vAlign w:val="bottom"/>
          </w:tcPr>
          <w:p w14:paraId="28E11A13"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8" w:type="dxa"/>
            <w:vAlign w:val="bottom"/>
          </w:tcPr>
          <w:p w14:paraId="5EB21BAC"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6" w:type="dxa"/>
            <w:vAlign w:val="bottom"/>
          </w:tcPr>
          <w:p w14:paraId="71DC8E57"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6" w:type="dxa"/>
            <w:vAlign w:val="bottom"/>
          </w:tcPr>
          <w:p w14:paraId="354D9F49"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9" w:type="dxa"/>
            <w:vAlign w:val="bottom"/>
          </w:tcPr>
          <w:p w14:paraId="7DE47AC6"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r>
      <w:tr w:rsidR="0069580C" w:rsidRPr="006B0E06" w14:paraId="4E6C15E9" w14:textId="77777777" w:rsidTr="005444AA">
        <w:trPr>
          <w:trHeight w:hRule="exact" w:val="226"/>
        </w:trPr>
        <w:tc>
          <w:tcPr>
            <w:tcW w:w="4258" w:type="dxa"/>
            <w:vAlign w:val="bottom"/>
          </w:tcPr>
          <w:p w14:paraId="5A11E15F" w14:textId="77777777" w:rsidR="0069580C" w:rsidRPr="006B0E06" w:rsidRDefault="0069580C" w:rsidP="0069580C">
            <w:pPr>
              <w:tabs>
                <w:tab w:val="right" w:pos="1202"/>
              </w:tabs>
              <w:spacing w:after="0" w:line="240" w:lineRule="auto"/>
              <w:outlineLvl w:val="0"/>
              <w:rPr>
                <w:rFonts w:eastAsia="Times New Roman" w:cs="Arial"/>
                <w:b/>
                <w:i/>
                <w:spacing w:val="-2"/>
                <w:sz w:val="17"/>
                <w:szCs w:val="17"/>
              </w:rPr>
            </w:pPr>
            <w:r w:rsidRPr="006B0E06">
              <w:rPr>
                <w:rFonts w:eastAsia="Times New Roman" w:cs="Arial"/>
                <w:b/>
                <w:i/>
                <w:spacing w:val="-2"/>
                <w:sz w:val="17"/>
                <w:szCs w:val="17"/>
              </w:rPr>
              <w:t>Listed debt instruments:</w:t>
            </w:r>
          </w:p>
        </w:tc>
        <w:tc>
          <w:tcPr>
            <w:tcW w:w="943" w:type="dxa"/>
            <w:vAlign w:val="bottom"/>
          </w:tcPr>
          <w:p w14:paraId="7AFFEBD9"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6" w:type="dxa"/>
            <w:vAlign w:val="bottom"/>
          </w:tcPr>
          <w:p w14:paraId="4707EB14"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8" w:type="dxa"/>
            <w:vAlign w:val="bottom"/>
          </w:tcPr>
          <w:p w14:paraId="15D232DD"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6" w:type="dxa"/>
            <w:vAlign w:val="bottom"/>
          </w:tcPr>
          <w:p w14:paraId="3BF5FE89"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6" w:type="dxa"/>
            <w:vAlign w:val="bottom"/>
          </w:tcPr>
          <w:p w14:paraId="673294B9"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9" w:type="dxa"/>
            <w:vAlign w:val="bottom"/>
          </w:tcPr>
          <w:p w14:paraId="1A807DF0"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r>
      <w:tr w:rsidR="00247060" w:rsidRPr="006B0E06" w14:paraId="37978046" w14:textId="77777777" w:rsidTr="006B318F">
        <w:trPr>
          <w:trHeight w:hRule="exact" w:val="313"/>
        </w:trPr>
        <w:tc>
          <w:tcPr>
            <w:tcW w:w="4258" w:type="dxa"/>
            <w:vAlign w:val="bottom"/>
          </w:tcPr>
          <w:p w14:paraId="23916E8D" w14:textId="77777777" w:rsidR="00247060" w:rsidRPr="006B0E06" w:rsidRDefault="00247060" w:rsidP="00247060">
            <w:pPr>
              <w:tabs>
                <w:tab w:val="right" w:pos="1202"/>
              </w:tabs>
              <w:spacing w:after="0" w:line="240" w:lineRule="auto"/>
              <w:outlineLvl w:val="0"/>
              <w:rPr>
                <w:rFonts w:eastAsia="Times New Roman" w:cs="Arial"/>
                <w:spacing w:val="-2"/>
                <w:sz w:val="17"/>
                <w:szCs w:val="17"/>
              </w:rPr>
            </w:pPr>
            <w:r w:rsidRPr="006B0E06">
              <w:rPr>
                <w:rFonts w:eastAsia="Times New Roman" w:cs="Arial"/>
                <w:spacing w:val="-2"/>
                <w:sz w:val="17"/>
                <w:szCs w:val="17"/>
              </w:rPr>
              <w:t>Bonds of the Ministry of Finance of the Republic of Croatia</w:t>
            </w:r>
          </w:p>
        </w:tc>
        <w:tc>
          <w:tcPr>
            <w:tcW w:w="943" w:type="dxa"/>
            <w:tcBorders>
              <w:top w:val="nil"/>
              <w:left w:val="nil"/>
              <w:bottom w:val="nil"/>
              <w:right w:val="nil"/>
            </w:tcBorders>
            <w:shd w:val="clear" w:color="auto" w:fill="auto"/>
            <w:vAlign w:val="bottom"/>
          </w:tcPr>
          <w:p w14:paraId="1D4AE813" w14:textId="1BA8BB78" w:rsidR="00247060" w:rsidRPr="005444AA" w:rsidRDefault="00247060" w:rsidP="00247060">
            <w:pPr>
              <w:tabs>
                <w:tab w:val="right" w:pos="1202"/>
              </w:tabs>
              <w:spacing w:after="0" w:line="301" w:lineRule="exact"/>
              <w:jc w:val="right"/>
              <w:outlineLvl w:val="0"/>
              <w:rPr>
                <w:rFonts w:eastAsia="Times New Roman"/>
                <w:color w:val="000000"/>
                <w:sz w:val="17"/>
                <w:szCs w:val="17"/>
                <w:lang w:val="en-US"/>
              </w:rPr>
            </w:pPr>
            <w:r w:rsidRPr="006B318F">
              <w:rPr>
                <w:rFonts w:eastAsia="Times New Roman"/>
                <w:color w:val="000000"/>
                <w:sz w:val="17"/>
                <w:szCs w:val="17"/>
                <w:lang w:val="en-US"/>
              </w:rPr>
              <w:t>896,475</w:t>
            </w:r>
          </w:p>
        </w:tc>
        <w:tc>
          <w:tcPr>
            <w:tcW w:w="1066" w:type="dxa"/>
            <w:tcBorders>
              <w:top w:val="nil"/>
              <w:left w:val="nil"/>
              <w:bottom w:val="nil"/>
              <w:right w:val="nil"/>
            </w:tcBorders>
            <w:shd w:val="clear" w:color="auto" w:fill="auto"/>
            <w:vAlign w:val="bottom"/>
          </w:tcPr>
          <w:p w14:paraId="5DB5D401" w14:textId="332C9C46" w:rsidR="00247060" w:rsidRPr="005444AA" w:rsidRDefault="00247060" w:rsidP="00247060">
            <w:pPr>
              <w:tabs>
                <w:tab w:val="right" w:pos="1202"/>
              </w:tabs>
              <w:spacing w:after="0" w:line="301" w:lineRule="exact"/>
              <w:jc w:val="right"/>
              <w:outlineLvl w:val="0"/>
              <w:rPr>
                <w:rFonts w:eastAsia="Times New Roman"/>
                <w:color w:val="000000"/>
                <w:sz w:val="17"/>
                <w:szCs w:val="17"/>
                <w:lang w:val="en-US"/>
              </w:rPr>
            </w:pPr>
            <w:r w:rsidRPr="005444AA">
              <w:rPr>
                <w:rFonts w:eastAsia="Times New Roman"/>
                <w:color w:val="000000"/>
                <w:sz w:val="17"/>
                <w:szCs w:val="17"/>
                <w:lang w:val="en-US"/>
              </w:rPr>
              <w:t>-</w:t>
            </w:r>
          </w:p>
        </w:tc>
        <w:tc>
          <w:tcPr>
            <w:tcW w:w="1068" w:type="dxa"/>
            <w:tcBorders>
              <w:top w:val="nil"/>
              <w:left w:val="nil"/>
              <w:bottom w:val="nil"/>
              <w:right w:val="nil"/>
            </w:tcBorders>
            <w:shd w:val="clear" w:color="auto" w:fill="auto"/>
            <w:vAlign w:val="bottom"/>
          </w:tcPr>
          <w:p w14:paraId="2392FF8F" w14:textId="5173F8D1" w:rsidR="00247060" w:rsidRPr="005444AA" w:rsidRDefault="00247060" w:rsidP="00247060">
            <w:pPr>
              <w:tabs>
                <w:tab w:val="right" w:pos="1202"/>
              </w:tabs>
              <w:spacing w:after="0" w:line="301" w:lineRule="exact"/>
              <w:jc w:val="right"/>
              <w:outlineLvl w:val="0"/>
              <w:rPr>
                <w:rFonts w:eastAsia="Times New Roman"/>
                <w:color w:val="000000"/>
                <w:sz w:val="17"/>
                <w:szCs w:val="17"/>
                <w:lang w:val="en-US"/>
              </w:rPr>
            </w:pPr>
            <w:r w:rsidRPr="005444AA">
              <w:rPr>
                <w:rFonts w:eastAsia="Times New Roman"/>
                <w:color w:val="000000"/>
                <w:sz w:val="17"/>
                <w:szCs w:val="17"/>
                <w:lang w:val="en-US"/>
              </w:rPr>
              <w:t>-</w:t>
            </w:r>
          </w:p>
        </w:tc>
        <w:tc>
          <w:tcPr>
            <w:tcW w:w="1066" w:type="dxa"/>
            <w:tcBorders>
              <w:top w:val="nil"/>
              <w:left w:val="nil"/>
              <w:bottom w:val="nil"/>
              <w:right w:val="nil"/>
            </w:tcBorders>
            <w:shd w:val="clear" w:color="auto" w:fill="auto"/>
            <w:vAlign w:val="bottom"/>
          </w:tcPr>
          <w:p w14:paraId="5962D894" w14:textId="77777777" w:rsidR="00247060" w:rsidRPr="006B0E06" w:rsidRDefault="00247060" w:rsidP="00247060">
            <w:pPr>
              <w:tabs>
                <w:tab w:val="right" w:pos="1202"/>
              </w:tabs>
              <w:spacing w:after="0" w:line="301" w:lineRule="exact"/>
              <w:jc w:val="right"/>
              <w:outlineLvl w:val="0"/>
              <w:rPr>
                <w:rFonts w:eastAsia="Times New Roman" w:cs="Arial"/>
                <w:spacing w:val="-2"/>
                <w:sz w:val="17"/>
                <w:szCs w:val="17"/>
              </w:rPr>
            </w:pPr>
            <w:r w:rsidRPr="006B0E06">
              <w:rPr>
                <w:rFonts w:eastAsia="Times New Roman"/>
                <w:color w:val="000000"/>
                <w:sz w:val="17"/>
                <w:szCs w:val="17"/>
                <w:lang w:val="en-US"/>
              </w:rPr>
              <w:t>925,887</w:t>
            </w:r>
          </w:p>
        </w:tc>
        <w:tc>
          <w:tcPr>
            <w:tcW w:w="1066" w:type="dxa"/>
            <w:tcBorders>
              <w:top w:val="nil"/>
              <w:left w:val="nil"/>
              <w:bottom w:val="nil"/>
              <w:right w:val="nil"/>
            </w:tcBorders>
            <w:shd w:val="clear" w:color="auto" w:fill="auto"/>
            <w:vAlign w:val="bottom"/>
          </w:tcPr>
          <w:p w14:paraId="401B987B" w14:textId="77777777" w:rsidR="00247060" w:rsidRPr="006B0E06" w:rsidRDefault="00247060" w:rsidP="00247060">
            <w:pPr>
              <w:tabs>
                <w:tab w:val="right" w:pos="1202"/>
              </w:tabs>
              <w:spacing w:after="0" w:line="301" w:lineRule="exact"/>
              <w:jc w:val="right"/>
              <w:outlineLvl w:val="0"/>
              <w:rPr>
                <w:rFonts w:eastAsia="Times New Roman" w:cs="Arial"/>
                <w:spacing w:val="-2"/>
                <w:sz w:val="17"/>
                <w:szCs w:val="17"/>
              </w:rPr>
            </w:pPr>
            <w:r w:rsidRPr="006B0E06">
              <w:rPr>
                <w:sz w:val="17"/>
                <w:szCs w:val="17"/>
              </w:rPr>
              <w:t>-</w:t>
            </w:r>
          </w:p>
        </w:tc>
        <w:tc>
          <w:tcPr>
            <w:tcW w:w="1069" w:type="dxa"/>
            <w:tcBorders>
              <w:top w:val="nil"/>
              <w:left w:val="nil"/>
              <w:bottom w:val="nil"/>
              <w:right w:val="nil"/>
            </w:tcBorders>
            <w:shd w:val="clear" w:color="auto" w:fill="auto"/>
            <w:vAlign w:val="bottom"/>
          </w:tcPr>
          <w:p w14:paraId="7DB5840A" w14:textId="77777777" w:rsidR="00247060" w:rsidRPr="006B0E06" w:rsidRDefault="00247060" w:rsidP="00247060">
            <w:pPr>
              <w:tabs>
                <w:tab w:val="right" w:pos="1202"/>
              </w:tabs>
              <w:spacing w:after="0" w:line="301" w:lineRule="exact"/>
              <w:jc w:val="right"/>
              <w:outlineLvl w:val="0"/>
              <w:rPr>
                <w:rFonts w:eastAsia="Times New Roman" w:cs="Arial"/>
                <w:spacing w:val="-2"/>
                <w:sz w:val="17"/>
                <w:szCs w:val="17"/>
              </w:rPr>
            </w:pPr>
            <w:r w:rsidRPr="006B0E06">
              <w:rPr>
                <w:sz w:val="17"/>
                <w:szCs w:val="17"/>
              </w:rPr>
              <w:t>-</w:t>
            </w:r>
          </w:p>
        </w:tc>
      </w:tr>
      <w:tr w:rsidR="00247060" w:rsidRPr="006B0E06" w14:paraId="74B9DD72" w14:textId="77777777" w:rsidTr="006B318F">
        <w:trPr>
          <w:trHeight w:hRule="exact" w:val="283"/>
        </w:trPr>
        <w:tc>
          <w:tcPr>
            <w:tcW w:w="4258" w:type="dxa"/>
            <w:vAlign w:val="bottom"/>
          </w:tcPr>
          <w:p w14:paraId="4A20D505" w14:textId="77777777" w:rsidR="00247060" w:rsidRPr="006B0E06" w:rsidRDefault="00247060" w:rsidP="00247060">
            <w:pPr>
              <w:tabs>
                <w:tab w:val="right" w:pos="1202"/>
              </w:tabs>
              <w:spacing w:after="0" w:line="260" w:lineRule="exact"/>
              <w:outlineLvl w:val="0"/>
              <w:rPr>
                <w:rFonts w:asciiTheme="minorHAnsi" w:eastAsia="Times New Roman" w:hAnsiTheme="minorHAnsi" w:cs="Arial"/>
                <w:spacing w:val="-2"/>
                <w:sz w:val="17"/>
                <w:szCs w:val="17"/>
              </w:rPr>
            </w:pPr>
            <w:r w:rsidRPr="006B0E06">
              <w:rPr>
                <w:rFonts w:asciiTheme="minorHAnsi" w:eastAsia="Times New Roman" w:hAnsiTheme="minorHAnsi" w:cs="Arial"/>
                <w:spacing w:val="-2"/>
                <w:sz w:val="17"/>
                <w:szCs w:val="17"/>
              </w:rPr>
              <w:t>Financial institution bonds</w:t>
            </w:r>
          </w:p>
        </w:tc>
        <w:tc>
          <w:tcPr>
            <w:tcW w:w="943" w:type="dxa"/>
            <w:tcBorders>
              <w:top w:val="nil"/>
              <w:left w:val="nil"/>
              <w:bottom w:val="nil"/>
              <w:right w:val="nil"/>
            </w:tcBorders>
            <w:shd w:val="clear" w:color="auto" w:fill="auto"/>
            <w:vAlign w:val="bottom"/>
          </w:tcPr>
          <w:p w14:paraId="6899079E" w14:textId="691D41C7" w:rsidR="00247060" w:rsidRPr="005444AA" w:rsidRDefault="00247060" w:rsidP="00247060">
            <w:pPr>
              <w:tabs>
                <w:tab w:val="right" w:pos="1202"/>
              </w:tabs>
              <w:spacing w:after="0" w:line="301" w:lineRule="exact"/>
              <w:jc w:val="right"/>
              <w:outlineLvl w:val="0"/>
              <w:rPr>
                <w:rFonts w:eastAsia="Times New Roman"/>
                <w:color w:val="000000"/>
                <w:sz w:val="17"/>
                <w:szCs w:val="17"/>
                <w:lang w:val="en-US"/>
              </w:rPr>
            </w:pPr>
            <w:r w:rsidRPr="006B318F">
              <w:rPr>
                <w:rFonts w:eastAsia="Times New Roman"/>
                <w:color w:val="000000"/>
                <w:sz w:val="17"/>
                <w:szCs w:val="17"/>
                <w:lang w:val="en-US"/>
              </w:rPr>
              <w:t>878</w:t>
            </w:r>
          </w:p>
        </w:tc>
        <w:tc>
          <w:tcPr>
            <w:tcW w:w="1066" w:type="dxa"/>
            <w:tcBorders>
              <w:top w:val="nil"/>
              <w:left w:val="nil"/>
              <w:bottom w:val="nil"/>
              <w:right w:val="nil"/>
            </w:tcBorders>
            <w:shd w:val="clear" w:color="auto" w:fill="auto"/>
            <w:vAlign w:val="bottom"/>
          </w:tcPr>
          <w:p w14:paraId="51C61A54" w14:textId="22715B57" w:rsidR="00247060" w:rsidRPr="005444AA" w:rsidRDefault="00247060" w:rsidP="00247060">
            <w:pPr>
              <w:tabs>
                <w:tab w:val="right" w:pos="1202"/>
              </w:tabs>
              <w:spacing w:after="0" w:line="301" w:lineRule="exact"/>
              <w:jc w:val="right"/>
              <w:outlineLvl w:val="0"/>
              <w:rPr>
                <w:rFonts w:eastAsia="Times New Roman"/>
                <w:color w:val="000000"/>
                <w:sz w:val="17"/>
                <w:szCs w:val="17"/>
                <w:lang w:val="en-US"/>
              </w:rPr>
            </w:pPr>
            <w:r w:rsidRPr="005444AA">
              <w:rPr>
                <w:rFonts w:eastAsia="Times New Roman"/>
                <w:color w:val="000000"/>
                <w:sz w:val="17"/>
                <w:szCs w:val="17"/>
                <w:lang w:val="en-US"/>
              </w:rPr>
              <w:t>-</w:t>
            </w:r>
          </w:p>
        </w:tc>
        <w:tc>
          <w:tcPr>
            <w:tcW w:w="1068" w:type="dxa"/>
            <w:tcBorders>
              <w:top w:val="nil"/>
              <w:left w:val="nil"/>
              <w:bottom w:val="nil"/>
              <w:right w:val="nil"/>
            </w:tcBorders>
            <w:shd w:val="clear" w:color="auto" w:fill="auto"/>
            <w:vAlign w:val="bottom"/>
          </w:tcPr>
          <w:p w14:paraId="37ECF1DE" w14:textId="71C9EF98" w:rsidR="00247060" w:rsidRPr="005444AA" w:rsidRDefault="00247060" w:rsidP="00247060">
            <w:pPr>
              <w:tabs>
                <w:tab w:val="right" w:pos="1202"/>
              </w:tabs>
              <w:spacing w:after="0" w:line="301" w:lineRule="exact"/>
              <w:jc w:val="right"/>
              <w:outlineLvl w:val="0"/>
              <w:rPr>
                <w:rFonts w:eastAsia="Times New Roman"/>
                <w:color w:val="000000"/>
                <w:sz w:val="17"/>
                <w:szCs w:val="17"/>
                <w:lang w:val="en-US"/>
              </w:rPr>
            </w:pPr>
            <w:r w:rsidRPr="005444AA">
              <w:rPr>
                <w:rFonts w:eastAsia="Times New Roman"/>
                <w:color w:val="000000"/>
                <w:sz w:val="17"/>
                <w:szCs w:val="17"/>
                <w:lang w:val="en-US"/>
              </w:rPr>
              <w:t>-</w:t>
            </w:r>
          </w:p>
        </w:tc>
        <w:tc>
          <w:tcPr>
            <w:tcW w:w="1066" w:type="dxa"/>
            <w:tcBorders>
              <w:top w:val="nil"/>
              <w:left w:val="nil"/>
              <w:bottom w:val="nil"/>
              <w:right w:val="nil"/>
            </w:tcBorders>
            <w:shd w:val="clear" w:color="auto" w:fill="auto"/>
            <w:vAlign w:val="bottom"/>
          </w:tcPr>
          <w:p w14:paraId="180793F6" w14:textId="77777777" w:rsidR="00247060" w:rsidRPr="006B0E06" w:rsidRDefault="00247060" w:rsidP="00247060">
            <w:pPr>
              <w:tabs>
                <w:tab w:val="right" w:pos="1202"/>
              </w:tabs>
              <w:spacing w:after="0" w:line="301" w:lineRule="exact"/>
              <w:jc w:val="right"/>
              <w:outlineLvl w:val="0"/>
              <w:rPr>
                <w:rFonts w:eastAsia="Times New Roman" w:cs="Arial"/>
                <w:spacing w:val="-2"/>
                <w:sz w:val="17"/>
                <w:szCs w:val="17"/>
              </w:rPr>
            </w:pPr>
            <w:r w:rsidRPr="006B0E06">
              <w:rPr>
                <w:rFonts w:eastAsia="Times New Roman"/>
                <w:color w:val="000000"/>
                <w:sz w:val="17"/>
                <w:szCs w:val="17"/>
                <w:lang w:val="en-US"/>
              </w:rPr>
              <w:t>910</w:t>
            </w:r>
          </w:p>
        </w:tc>
        <w:tc>
          <w:tcPr>
            <w:tcW w:w="1066" w:type="dxa"/>
            <w:tcBorders>
              <w:top w:val="nil"/>
              <w:left w:val="nil"/>
              <w:bottom w:val="nil"/>
              <w:right w:val="nil"/>
            </w:tcBorders>
            <w:shd w:val="clear" w:color="auto" w:fill="auto"/>
            <w:vAlign w:val="bottom"/>
          </w:tcPr>
          <w:p w14:paraId="75C414B0" w14:textId="77777777" w:rsidR="00247060" w:rsidRPr="006B0E06" w:rsidRDefault="00247060" w:rsidP="00247060">
            <w:pPr>
              <w:tabs>
                <w:tab w:val="right" w:pos="1202"/>
              </w:tabs>
              <w:spacing w:after="0" w:line="301" w:lineRule="exact"/>
              <w:jc w:val="right"/>
              <w:outlineLvl w:val="0"/>
              <w:rPr>
                <w:rFonts w:eastAsia="Times New Roman" w:cs="Arial"/>
                <w:spacing w:val="-2"/>
                <w:sz w:val="17"/>
                <w:szCs w:val="17"/>
              </w:rPr>
            </w:pPr>
            <w:r w:rsidRPr="006B0E06">
              <w:rPr>
                <w:sz w:val="17"/>
                <w:szCs w:val="17"/>
              </w:rPr>
              <w:t>-</w:t>
            </w:r>
          </w:p>
        </w:tc>
        <w:tc>
          <w:tcPr>
            <w:tcW w:w="1069" w:type="dxa"/>
            <w:tcBorders>
              <w:top w:val="nil"/>
              <w:left w:val="nil"/>
              <w:bottom w:val="nil"/>
              <w:right w:val="nil"/>
            </w:tcBorders>
            <w:shd w:val="clear" w:color="auto" w:fill="auto"/>
            <w:vAlign w:val="bottom"/>
          </w:tcPr>
          <w:p w14:paraId="7E5A9959" w14:textId="77777777" w:rsidR="00247060" w:rsidRPr="006B0E06" w:rsidRDefault="00247060" w:rsidP="00247060">
            <w:pPr>
              <w:tabs>
                <w:tab w:val="right" w:pos="1202"/>
              </w:tabs>
              <w:spacing w:after="0" w:line="301" w:lineRule="exact"/>
              <w:jc w:val="right"/>
              <w:outlineLvl w:val="0"/>
              <w:rPr>
                <w:rFonts w:eastAsia="Times New Roman" w:cs="Arial"/>
                <w:spacing w:val="-2"/>
                <w:sz w:val="17"/>
                <w:szCs w:val="17"/>
              </w:rPr>
            </w:pPr>
            <w:r w:rsidRPr="006B0E06">
              <w:rPr>
                <w:sz w:val="17"/>
                <w:szCs w:val="17"/>
              </w:rPr>
              <w:t>-</w:t>
            </w:r>
          </w:p>
        </w:tc>
      </w:tr>
      <w:tr w:rsidR="00247060" w:rsidRPr="006B0E06" w14:paraId="148C78E0" w14:textId="77777777" w:rsidTr="006B318F">
        <w:trPr>
          <w:trHeight w:hRule="exact" w:val="283"/>
        </w:trPr>
        <w:tc>
          <w:tcPr>
            <w:tcW w:w="4258" w:type="dxa"/>
            <w:vAlign w:val="bottom"/>
          </w:tcPr>
          <w:p w14:paraId="197150D5" w14:textId="77777777" w:rsidR="00247060" w:rsidRPr="006B0E06" w:rsidRDefault="00247060" w:rsidP="00247060">
            <w:pPr>
              <w:tabs>
                <w:tab w:val="right" w:pos="1202"/>
              </w:tabs>
              <w:spacing w:after="0" w:line="260" w:lineRule="exact"/>
              <w:outlineLvl w:val="0"/>
              <w:rPr>
                <w:rFonts w:asciiTheme="minorHAnsi" w:eastAsia="Times New Roman" w:hAnsiTheme="minorHAnsi" w:cs="Arial"/>
                <w:spacing w:val="-2"/>
                <w:sz w:val="17"/>
                <w:szCs w:val="17"/>
              </w:rPr>
            </w:pPr>
            <w:r w:rsidRPr="006B0E06">
              <w:rPr>
                <w:rFonts w:asciiTheme="minorHAnsi" w:eastAsia="Times New Roman" w:hAnsiTheme="minorHAnsi" w:cs="Arial"/>
                <w:spacing w:val="-2"/>
                <w:sz w:val="17"/>
                <w:szCs w:val="17"/>
              </w:rPr>
              <w:t>Corporate bonds</w:t>
            </w:r>
          </w:p>
        </w:tc>
        <w:tc>
          <w:tcPr>
            <w:tcW w:w="943" w:type="dxa"/>
            <w:tcBorders>
              <w:top w:val="nil"/>
              <w:left w:val="nil"/>
              <w:bottom w:val="nil"/>
              <w:right w:val="nil"/>
            </w:tcBorders>
            <w:shd w:val="clear" w:color="auto" w:fill="auto"/>
            <w:vAlign w:val="bottom"/>
          </w:tcPr>
          <w:p w14:paraId="2B36BCF1" w14:textId="6AF995FF" w:rsidR="00247060" w:rsidRPr="005444AA" w:rsidRDefault="00247060" w:rsidP="00247060">
            <w:pPr>
              <w:tabs>
                <w:tab w:val="right" w:pos="1202"/>
              </w:tabs>
              <w:spacing w:after="0" w:line="301" w:lineRule="exact"/>
              <w:jc w:val="right"/>
              <w:outlineLvl w:val="0"/>
              <w:rPr>
                <w:rFonts w:eastAsia="Times New Roman"/>
                <w:color w:val="000000"/>
                <w:sz w:val="17"/>
                <w:szCs w:val="17"/>
                <w:lang w:val="en-US"/>
              </w:rPr>
            </w:pPr>
            <w:r w:rsidRPr="006B318F">
              <w:rPr>
                <w:rFonts w:eastAsia="Times New Roman"/>
                <w:color w:val="000000"/>
                <w:sz w:val="17"/>
                <w:szCs w:val="17"/>
                <w:lang w:val="en-US"/>
              </w:rPr>
              <w:t>786</w:t>
            </w:r>
          </w:p>
        </w:tc>
        <w:tc>
          <w:tcPr>
            <w:tcW w:w="1066" w:type="dxa"/>
            <w:tcBorders>
              <w:top w:val="nil"/>
              <w:left w:val="nil"/>
              <w:bottom w:val="nil"/>
              <w:right w:val="nil"/>
            </w:tcBorders>
            <w:shd w:val="clear" w:color="auto" w:fill="auto"/>
            <w:vAlign w:val="bottom"/>
          </w:tcPr>
          <w:p w14:paraId="6DFB40EA" w14:textId="03FC5A8A" w:rsidR="00247060" w:rsidRPr="005444AA" w:rsidRDefault="00247060" w:rsidP="00247060">
            <w:pPr>
              <w:tabs>
                <w:tab w:val="right" w:pos="1202"/>
              </w:tabs>
              <w:spacing w:after="0" w:line="301" w:lineRule="exact"/>
              <w:jc w:val="right"/>
              <w:outlineLvl w:val="0"/>
              <w:rPr>
                <w:rFonts w:eastAsia="Times New Roman"/>
                <w:color w:val="000000"/>
                <w:sz w:val="17"/>
                <w:szCs w:val="17"/>
                <w:lang w:val="en-US"/>
              </w:rPr>
            </w:pPr>
            <w:r w:rsidRPr="005444AA">
              <w:rPr>
                <w:rFonts w:eastAsia="Times New Roman"/>
                <w:color w:val="000000"/>
                <w:sz w:val="17"/>
                <w:szCs w:val="17"/>
                <w:lang w:val="en-US"/>
              </w:rPr>
              <w:t>-</w:t>
            </w:r>
          </w:p>
        </w:tc>
        <w:tc>
          <w:tcPr>
            <w:tcW w:w="1068" w:type="dxa"/>
            <w:tcBorders>
              <w:top w:val="nil"/>
              <w:left w:val="nil"/>
              <w:bottom w:val="nil"/>
              <w:right w:val="nil"/>
            </w:tcBorders>
            <w:shd w:val="clear" w:color="auto" w:fill="auto"/>
            <w:vAlign w:val="bottom"/>
          </w:tcPr>
          <w:p w14:paraId="5AF64944" w14:textId="032A2033" w:rsidR="00247060" w:rsidRPr="005444AA" w:rsidRDefault="00247060" w:rsidP="00247060">
            <w:pPr>
              <w:tabs>
                <w:tab w:val="right" w:pos="1202"/>
              </w:tabs>
              <w:spacing w:after="0" w:line="301" w:lineRule="exact"/>
              <w:jc w:val="right"/>
              <w:outlineLvl w:val="0"/>
              <w:rPr>
                <w:rFonts w:eastAsia="Times New Roman"/>
                <w:color w:val="000000"/>
                <w:sz w:val="17"/>
                <w:szCs w:val="17"/>
                <w:lang w:val="en-US"/>
              </w:rPr>
            </w:pPr>
            <w:r w:rsidRPr="005444AA">
              <w:rPr>
                <w:rFonts w:eastAsia="Times New Roman"/>
                <w:color w:val="000000"/>
                <w:sz w:val="17"/>
                <w:szCs w:val="17"/>
                <w:lang w:val="en-US"/>
              </w:rPr>
              <w:t>-</w:t>
            </w:r>
          </w:p>
        </w:tc>
        <w:tc>
          <w:tcPr>
            <w:tcW w:w="1066" w:type="dxa"/>
            <w:tcBorders>
              <w:top w:val="nil"/>
              <w:left w:val="nil"/>
              <w:bottom w:val="nil"/>
              <w:right w:val="nil"/>
            </w:tcBorders>
            <w:shd w:val="clear" w:color="auto" w:fill="auto"/>
            <w:vAlign w:val="bottom"/>
          </w:tcPr>
          <w:p w14:paraId="3565A413" w14:textId="77777777" w:rsidR="00247060" w:rsidRPr="006B0E06" w:rsidRDefault="00247060" w:rsidP="00247060">
            <w:pPr>
              <w:tabs>
                <w:tab w:val="right" w:pos="1202"/>
              </w:tabs>
              <w:spacing w:after="0" w:line="301" w:lineRule="exact"/>
              <w:jc w:val="right"/>
              <w:outlineLvl w:val="0"/>
              <w:rPr>
                <w:rFonts w:eastAsia="Times New Roman" w:cs="Arial"/>
                <w:spacing w:val="-2"/>
                <w:sz w:val="17"/>
                <w:szCs w:val="17"/>
              </w:rPr>
            </w:pPr>
            <w:r w:rsidRPr="006B0E06">
              <w:rPr>
                <w:rFonts w:eastAsia="Times New Roman"/>
                <w:color w:val="000000"/>
                <w:sz w:val="17"/>
                <w:szCs w:val="17"/>
                <w:lang w:val="en-US"/>
              </w:rPr>
              <w:t>1,161</w:t>
            </w:r>
          </w:p>
        </w:tc>
        <w:tc>
          <w:tcPr>
            <w:tcW w:w="1066" w:type="dxa"/>
            <w:tcBorders>
              <w:top w:val="nil"/>
              <w:left w:val="nil"/>
              <w:bottom w:val="nil"/>
              <w:right w:val="nil"/>
            </w:tcBorders>
            <w:shd w:val="clear" w:color="auto" w:fill="auto"/>
            <w:vAlign w:val="bottom"/>
          </w:tcPr>
          <w:p w14:paraId="175435BC" w14:textId="77777777" w:rsidR="00247060" w:rsidRPr="006B0E06" w:rsidRDefault="00247060" w:rsidP="00247060">
            <w:pPr>
              <w:tabs>
                <w:tab w:val="right" w:pos="1202"/>
              </w:tabs>
              <w:spacing w:after="0" w:line="301" w:lineRule="exact"/>
              <w:jc w:val="right"/>
              <w:outlineLvl w:val="0"/>
              <w:rPr>
                <w:rFonts w:eastAsia="Times New Roman" w:cs="Arial"/>
                <w:spacing w:val="-2"/>
                <w:sz w:val="17"/>
                <w:szCs w:val="17"/>
              </w:rPr>
            </w:pPr>
            <w:r w:rsidRPr="006B0E06">
              <w:rPr>
                <w:sz w:val="17"/>
                <w:szCs w:val="17"/>
              </w:rPr>
              <w:t>-</w:t>
            </w:r>
          </w:p>
        </w:tc>
        <w:tc>
          <w:tcPr>
            <w:tcW w:w="1069" w:type="dxa"/>
            <w:tcBorders>
              <w:top w:val="nil"/>
              <w:left w:val="nil"/>
              <w:bottom w:val="nil"/>
              <w:right w:val="nil"/>
            </w:tcBorders>
            <w:shd w:val="clear" w:color="auto" w:fill="auto"/>
            <w:vAlign w:val="bottom"/>
          </w:tcPr>
          <w:p w14:paraId="149E360E" w14:textId="77777777" w:rsidR="00247060" w:rsidRPr="006B0E06" w:rsidRDefault="00247060" w:rsidP="00247060">
            <w:pPr>
              <w:tabs>
                <w:tab w:val="right" w:pos="1202"/>
              </w:tabs>
              <w:spacing w:after="0" w:line="301" w:lineRule="exact"/>
              <w:jc w:val="right"/>
              <w:outlineLvl w:val="0"/>
              <w:rPr>
                <w:rFonts w:eastAsia="Times New Roman" w:cs="Arial"/>
                <w:spacing w:val="-2"/>
                <w:sz w:val="17"/>
                <w:szCs w:val="17"/>
              </w:rPr>
            </w:pPr>
            <w:r w:rsidRPr="006B0E06">
              <w:rPr>
                <w:sz w:val="17"/>
                <w:szCs w:val="17"/>
              </w:rPr>
              <w:t>-</w:t>
            </w:r>
          </w:p>
        </w:tc>
      </w:tr>
      <w:tr w:rsidR="00247060" w:rsidRPr="006B0E06" w14:paraId="7281C6AA" w14:textId="77777777" w:rsidTr="006B318F">
        <w:trPr>
          <w:trHeight w:hRule="exact" w:val="396"/>
        </w:trPr>
        <w:tc>
          <w:tcPr>
            <w:tcW w:w="4258" w:type="dxa"/>
            <w:vAlign w:val="bottom"/>
          </w:tcPr>
          <w:p w14:paraId="6C05EF48" w14:textId="77777777" w:rsidR="00247060" w:rsidRPr="006B0E06" w:rsidRDefault="00247060" w:rsidP="00247060">
            <w:pPr>
              <w:tabs>
                <w:tab w:val="right" w:pos="1202"/>
              </w:tabs>
              <w:spacing w:after="0" w:line="240" w:lineRule="auto"/>
              <w:outlineLvl w:val="0"/>
              <w:rPr>
                <w:rFonts w:eastAsia="Times New Roman" w:cs="Arial"/>
                <w:spacing w:val="-2"/>
                <w:sz w:val="17"/>
                <w:szCs w:val="17"/>
              </w:rPr>
            </w:pPr>
            <w:r w:rsidRPr="006B0E06">
              <w:rPr>
                <w:rFonts w:eastAsia="Times New Roman" w:cs="Arial"/>
                <w:spacing w:val="-2"/>
                <w:sz w:val="17"/>
                <w:szCs w:val="17"/>
              </w:rPr>
              <w:t xml:space="preserve">Treasury bills of the Ministry of Finance of the Republic of Croatia </w:t>
            </w:r>
          </w:p>
        </w:tc>
        <w:tc>
          <w:tcPr>
            <w:tcW w:w="943" w:type="dxa"/>
            <w:tcBorders>
              <w:top w:val="nil"/>
              <w:left w:val="nil"/>
              <w:bottom w:val="nil"/>
              <w:right w:val="nil"/>
            </w:tcBorders>
            <w:shd w:val="clear" w:color="auto" w:fill="auto"/>
            <w:vAlign w:val="bottom"/>
          </w:tcPr>
          <w:p w14:paraId="3AB9890E" w14:textId="0222039F" w:rsidR="00247060" w:rsidRPr="005444AA" w:rsidRDefault="00247060" w:rsidP="00247060">
            <w:pPr>
              <w:tabs>
                <w:tab w:val="right" w:pos="1202"/>
              </w:tabs>
              <w:spacing w:after="0" w:line="301" w:lineRule="exact"/>
              <w:jc w:val="right"/>
              <w:outlineLvl w:val="0"/>
              <w:rPr>
                <w:rFonts w:eastAsia="Times New Roman"/>
                <w:color w:val="000000"/>
                <w:sz w:val="17"/>
                <w:szCs w:val="17"/>
                <w:lang w:val="en-US"/>
              </w:rPr>
            </w:pPr>
            <w:r w:rsidRPr="006B318F">
              <w:rPr>
                <w:rFonts w:eastAsia="Times New Roman"/>
                <w:color w:val="000000"/>
                <w:sz w:val="17"/>
                <w:szCs w:val="17"/>
                <w:lang w:val="en-US"/>
              </w:rPr>
              <w:t>1,548,521</w:t>
            </w:r>
          </w:p>
        </w:tc>
        <w:tc>
          <w:tcPr>
            <w:tcW w:w="1066" w:type="dxa"/>
            <w:tcBorders>
              <w:top w:val="nil"/>
              <w:left w:val="nil"/>
              <w:bottom w:val="nil"/>
              <w:right w:val="nil"/>
            </w:tcBorders>
            <w:shd w:val="clear" w:color="auto" w:fill="auto"/>
            <w:vAlign w:val="bottom"/>
          </w:tcPr>
          <w:p w14:paraId="7ACBA723" w14:textId="6DF19BFD" w:rsidR="00247060" w:rsidRPr="005444AA" w:rsidRDefault="00247060" w:rsidP="00247060">
            <w:pPr>
              <w:tabs>
                <w:tab w:val="right" w:pos="1202"/>
              </w:tabs>
              <w:spacing w:after="0" w:line="301" w:lineRule="exact"/>
              <w:jc w:val="right"/>
              <w:outlineLvl w:val="0"/>
              <w:rPr>
                <w:rFonts w:eastAsia="Times New Roman"/>
                <w:color w:val="000000"/>
                <w:sz w:val="17"/>
                <w:szCs w:val="17"/>
                <w:lang w:val="en-US"/>
              </w:rPr>
            </w:pPr>
            <w:r w:rsidRPr="005444AA">
              <w:rPr>
                <w:rFonts w:eastAsia="Times New Roman"/>
                <w:color w:val="000000"/>
                <w:sz w:val="17"/>
                <w:szCs w:val="17"/>
                <w:lang w:val="en-US"/>
              </w:rPr>
              <w:t>-</w:t>
            </w:r>
          </w:p>
        </w:tc>
        <w:tc>
          <w:tcPr>
            <w:tcW w:w="1068" w:type="dxa"/>
            <w:tcBorders>
              <w:top w:val="nil"/>
              <w:left w:val="nil"/>
              <w:bottom w:val="nil"/>
              <w:right w:val="nil"/>
            </w:tcBorders>
            <w:shd w:val="clear" w:color="auto" w:fill="auto"/>
            <w:vAlign w:val="bottom"/>
          </w:tcPr>
          <w:p w14:paraId="71D7EDBC" w14:textId="68FA36B5" w:rsidR="00247060" w:rsidRPr="005444AA" w:rsidRDefault="00247060" w:rsidP="00247060">
            <w:pPr>
              <w:tabs>
                <w:tab w:val="right" w:pos="1202"/>
              </w:tabs>
              <w:spacing w:after="0" w:line="301" w:lineRule="exact"/>
              <w:jc w:val="right"/>
              <w:outlineLvl w:val="0"/>
              <w:rPr>
                <w:rFonts w:eastAsia="Times New Roman"/>
                <w:color w:val="000000"/>
                <w:sz w:val="17"/>
                <w:szCs w:val="17"/>
                <w:lang w:val="en-US"/>
              </w:rPr>
            </w:pPr>
            <w:r w:rsidRPr="005444AA">
              <w:rPr>
                <w:rFonts w:eastAsia="Times New Roman"/>
                <w:color w:val="000000"/>
                <w:sz w:val="17"/>
                <w:szCs w:val="17"/>
                <w:lang w:val="en-US"/>
              </w:rPr>
              <w:t>-</w:t>
            </w:r>
          </w:p>
        </w:tc>
        <w:tc>
          <w:tcPr>
            <w:tcW w:w="1066" w:type="dxa"/>
            <w:tcBorders>
              <w:top w:val="nil"/>
              <w:left w:val="nil"/>
              <w:bottom w:val="nil"/>
              <w:right w:val="nil"/>
            </w:tcBorders>
            <w:shd w:val="clear" w:color="auto" w:fill="auto"/>
            <w:vAlign w:val="bottom"/>
          </w:tcPr>
          <w:p w14:paraId="03C8479A" w14:textId="77777777" w:rsidR="00247060" w:rsidRPr="006B0E06" w:rsidRDefault="00247060" w:rsidP="00247060">
            <w:pPr>
              <w:tabs>
                <w:tab w:val="right" w:pos="1202"/>
              </w:tabs>
              <w:spacing w:after="0" w:line="301" w:lineRule="exact"/>
              <w:jc w:val="right"/>
              <w:outlineLvl w:val="0"/>
              <w:rPr>
                <w:rFonts w:eastAsia="Times New Roman" w:cs="Arial"/>
                <w:spacing w:val="-2"/>
                <w:sz w:val="17"/>
                <w:szCs w:val="17"/>
              </w:rPr>
            </w:pPr>
            <w:r w:rsidRPr="006B0E06">
              <w:rPr>
                <w:rFonts w:eastAsia="Times New Roman"/>
                <w:color w:val="000000"/>
                <w:sz w:val="17"/>
                <w:szCs w:val="17"/>
                <w:lang w:val="en-US"/>
              </w:rPr>
              <w:t>1,500,420</w:t>
            </w:r>
          </w:p>
        </w:tc>
        <w:tc>
          <w:tcPr>
            <w:tcW w:w="1066" w:type="dxa"/>
            <w:tcBorders>
              <w:top w:val="nil"/>
              <w:left w:val="nil"/>
              <w:bottom w:val="nil"/>
              <w:right w:val="nil"/>
            </w:tcBorders>
            <w:shd w:val="clear" w:color="auto" w:fill="auto"/>
            <w:vAlign w:val="bottom"/>
          </w:tcPr>
          <w:p w14:paraId="356F8DA0" w14:textId="77777777" w:rsidR="00247060" w:rsidRPr="006B0E06" w:rsidRDefault="00247060" w:rsidP="00247060">
            <w:pPr>
              <w:tabs>
                <w:tab w:val="right" w:pos="1202"/>
              </w:tabs>
              <w:spacing w:after="0" w:line="301" w:lineRule="exact"/>
              <w:jc w:val="right"/>
              <w:outlineLvl w:val="0"/>
              <w:rPr>
                <w:rFonts w:eastAsia="Times New Roman" w:cs="Arial"/>
                <w:spacing w:val="-2"/>
                <w:sz w:val="17"/>
                <w:szCs w:val="17"/>
              </w:rPr>
            </w:pPr>
            <w:r w:rsidRPr="006B0E06">
              <w:rPr>
                <w:sz w:val="17"/>
                <w:szCs w:val="17"/>
              </w:rPr>
              <w:t>-</w:t>
            </w:r>
          </w:p>
        </w:tc>
        <w:tc>
          <w:tcPr>
            <w:tcW w:w="1069" w:type="dxa"/>
            <w:tcBorders>
              <w:top w:val="nil"/>
              <w:left w:val="nil"/>
              <w:bottom w:val="nil"/>
              <w:right w:val="nil"/>
            </w:tcBorders>
            <w:shd w:val="clear" w:color="auto" w:fill="auto"/>
            <w:vAlign w:val="bottom"/>
          </w:tcPr>
          <w:p w14:paraId="13991330" w14:textId="77777777" w:rsidR="00247060" w:rsidRPr="006B0E06" w:rsidRDefault="00247060" w:rsidP="00247060">
            <w:pPr>
              <w:tabs>
                <w:tab w:val="right" w:pos="1202"/>
              </w:tabs>
              <w:spacing w:after="0" w:line="301" w:lineRule="exact"/>
              <w:jc w:val="right"/>
              <w:outlineLvl w:val="0"/>
              <w:rPr>
                <w:rFonts w:eastAsia="Times New Roman" w:cs="Arial"/>
                <w:spacing w:val="-2"/>
                <w:sz w:val="17"/>
                <w:szCs w:val="17"/>
              </w:rPr>
            </w:pPr>
            <w:r w:rsidRPr="006B0E06">
              <w:rPr>
                <w:sz w:val="17"/>
                <w:szCs w:val="17"/>
              </w:rPr>
              <w:t>-</w:t>
            </w:r>
          </w:p>
        </w:tc>
      </w:tr>
      <w:tr w:rsidR="00247060" w:rsidRPr="006B0E06" w14:paraId="4F12DFA5" w14:textId="77777777" w:rsidTr="006B318F">
        <w:trPr>
          <w:trHeight w:hRule="exact" w:val="283"/>
        </w:trPr>
        <w:tc>
          <w:tcPr>
            <w:tcW w:w="4258" w:type="dxa"/>
            <w:vAlign w:val="bottom"/>
          </w:tcPr>
          <w:p w14:paraId="77AF6ABB" w14:textId="77777777" w:rsidR="00247060" w:rsidRPr="006B0E06" w:rsidRDefault="00247060" w:rsidP="00247060">
            <w:pPr>
              <w:tabs>
                <w:tab w:val="right" w:pos="1202"/>
              </w:tabs>
              <w:spacing w:after="0" w:line="240" w:lineRule="auto"/>
              <w:outlineLvl w:val="0"/>
              <w:rPr>
                <w:rFonts w:eastAsia="Times New Roman" w:cs="Arial"/>
                <w:spacing w:val="-2"/>
                <w:sz w:val="17"/>
                <w:szCs w:val="17"/>
              </w:rPr>
            </w:pPr>
            <w:r w:rsidRPr="006B0E06">
              <w:rPr>
                <w:rFonts w:eastAsia="Times New Roman" w:cs="Arial"/>
                <w:spacing w:val="-2"/>
                <w:sz w:val="17"/>
                <w:szCs w:val="17"/>
              </w:rPr>
              <w:t xml:space="preserve">Accrued interest </w:t>
            </w:r>
          </w:p>
        </w:tc>
        <w:tc>
          <w:tcPr>
            <w:tcW w:w="943" w:type="dxa"/>
            <w:tcBorders>
              <w:top w:val="nil"/>
              <w:left w:val="nil"/>
              <w:bottom w:val="nil"/>
              <w:right w:val="nil"/>
            </w:tcBorders>
            <w:shd w:val="clear" w:color="auto" w:fill="auto"/>
            <w:vAlign w:val="bottom"/>
          </w:tcPr>
          <w:p w14:paraId="1F9E7542" w14:textId="6211B56A" w:rsidR="00247060" w:rsidRPr="005444AA" w:rsidRDefault="00247060" w:rsidP="00247060">
            <w:pPr>
              <w:tabs>
                <w:tab w:val="right" w:pos="1202"/>
              </w:tabs>
              <w:spacing w:after="0" w:line="301" w:lineRule="exact"/>
              <w:jc w:val="right"/>
              <w:outlineLvl w:val="0"/>
              <w:rPr>
                <w:rFonts w:eastAsia="Times New Roman"/>
                <w:color w:val="000000"/>
                <w:sz w:val="17"/>
                <w:szCs w:val="17"/>
                <w:lang w:val="en-US"/>
              </w:rPr>
            </w:pPr>
            <w:r w:rsidRPr="006B318F">
              <w:rPr>
                <w:rFonts w:eastAsia="Times New Roman"/>
                <w:color w:val="000000"/>
                <w:sz w:val="17"/>
                <w:szCs w:val="17"/>
                <w:lang w:val="en-US"/>
              </w:rPr>
              <w:t>10,369</w:t>
            </w:r>
          </w:p>
        </w:tc>
        <w:tc>
          <w:tcPr>
            <w:tcW w:w="1066" w:type="dxa"/>
            <w:tcBorders>
              <w:top w:val="nil"/>
              <w:left w:val="nil"/>
              <w:bottom w:val="nil"/>
              <w:right w:val="nil"/>
            </w:tcBorders>
            <w:shd w:val="clear" w:color="auto" w:fill="auto"/>
            <w:vAlign w:val="bottom"/>
          </w:tcPr>
          <w:p w14:paraId="1D05190E" w14:textId="5C69806B" w:rsidR="00247060" w:rsidRPr="005444AA" w:rsidRDefault="00247060" w:rsidP="00247060">
            <w:pPr>
              <w:tabs>
                <w:tab w:val="right" w:pos="1202"/>
              </w:tabs>
              <w:spacing w:after="0" w:line="301" w:lineRule="exact"/>
              <w:jc w:val="right"/>
              <w:outlineLvl w:val="0"/>
              <w:rPr>
                <w:rFonts w:eastAsia="Times New Roman"/>
                <w:color w:val="000000"/>
                <w:sz w:val="17"/>
                <w:szCs w:val="17"/>
                <w:lang w:val="en-US"/>
              </w:rPr>
            </w:pPr>
            <w:r w:rsidRPr="005444AA">
              <w:rPr>
                <w:rFonts w:eastAsia="Times New Roman"/>
                <w:color w:val="000000"/>
                <w:sz w:val="17"/>
                <w:szCs w:val="17"/>
                <w:lang w:val="en-US"/>
              </w:rPr>
              <w:t>-</w:t>
            </w:r>
          </w:p>
        </w:tc>
        <w:tc>
          <w:tcPr>
            <w:tcW w:w="1068" w:type="dxa"/>
            <w:tcBorders>
              <w:top w:val="nil"/>
              <w:left w:val="nil"/>
              <w:bottom w:val="nil"/>
              <w:right w:val="nil"/>
            </w:tcBorders>
            <w:shd w:val="clear" w:color="auto" w:fill="auto"/>
            <w:vAlign w:val="bottom"/>
          </w:tcPr>
          <w:p w14:paraId="679EEAC7" w14:textId="56706BB3" w:rsidR="00247060" w:rsidRPr="005444AA" w:rsidRDefault="00247060" w:rsidP="00247060">
            <w:pPr>
              <w:tabs>
                <w:tab w:val="right" w:pos="1202"/>
              </w:tabs>
              <w:spacing w:after="0" w:line="301" w:lineRule="exact"/>
              <w:jc w:val="right"/>
              <w:outlineLvl w:val="0"/>
              <w:rPr>
                <w:rFonts w:eastAsia="Times New Roman"/>
                <w:color w:val="000000"/>
                <w:sz w:val="17"/>
                <w:szCs w:val="17"/>
                <w:lang w:val="en-US"/>
              </w:rPr>
            </w:pPr>
            <w:r w:rsidRPr="005444AA">
              <w:rPr>
                <w:rFonts w:eastAsia="Times New Roman"/>
                <w:color w:val="000000"/>
                <w:sz w:val="17"/>
                <w:szCs w:val="17"/>
                <w:lang w:val="en-US"/>
              </w:rPr>
              <w:t>-</w:t>
            </w:r>
          </w:p>
        </w:tc>
        <w:tc>
          <w:tcPr>
            <w:tcW w:w="1066" w:type="dxa"/>
            <w:tcBorders>
              <w:top w:val="nil"/>
              <w:left w:val="nil"/>
              <w:bottom w:val="nil"/>
              <w:right w:val="nil"/>
            </w:tcBorders>
            <w:shd w:val="clear" w:color="auto" w:fill="auto"/>
            <w:vAlign w:val="bottom"/>
          </w:tcPr>
          <w:p w14:paraId="56A1B314" w14:textId="77777777" w:rsidR="00247060" w:rsidRPr="006B0E06" w:rsidRDefault="00247060" w:rsidP="00247060">
            <w:pPr>
              <w:tabs>
                <w:tab w:val="right" w:pos="1202"/>
              </w:tabs>
              <w:spacing w:after="0" w:line="301" w:lineRule="exact"/>
              <w:jc w:val="right"/>
              <w:outlineLvl w:val="0"/>
              <w:rPr>
                <w:rFonts w:eastAsia="Times New Roman" w:cs="Arial"/>
                <w:spacing w:val="-2"/>
                <w:sz w:val="17"/>
                <w:szCs w:val="17"/>
              </w:rPr>
            </w:pPr>
            <w:r w:rsidRPr="006B0E06">
              <w:rPr>
                <w:rFonts w:eastAsia="Times New Roman"/>
                <w:color w:val="000000"/>
                <w:sz w:val="17"/>
                <w:szCs w:val="17"/>
                <w:lang w:val="en-US"/>
              </w:rPr>
              <w:t>14,495</w:t>
            </w:r>
          </w:p>
        </w:tc>
        <w:tc>
          <w:tcPr>
            <w:tcW w:w="1066" w:type="dxa"/>
            <w:tcBorders>
              <w:top w:val="nil"/>
              <w:left w:val="nil"/>
              <w:bottom w:val="nil"/>
              <w:right w:val="nil"/>
            </w:tcBorders>
            <w:shd w:val="clear" w:color="auto" w:fill="auto"/>
            <w:vAlign w:val="bottom"/>
          </w:tcPr>
          <w:p w14:paraId="145FD77E" w14:textId="77777777" w:rsidR="00247060" w:rsidRPr="006B0E06" w:rsidRDefault="00247060" w:rsidP="00247060">
            <w:pPr>
              <w:tabs>
                <w:tab w:val="right" w:pos="1202"/>
              </w:tabs>
              <w:spacing w:after="0" w:line="301" w:lineRule="exact"/>
              <w:jc w:val="right"/>
              <w:outlineLvl w:val="0"/>
              <w:rPr>
                <w:rFonts w:eastAsia="Times New Roman" w:cs="Arial"/>
                <w:spacing w:val="-2"/>
                <w:sz w:val="17"/>
                <w:szCs w:val="17"/>
              </w:rPr>
            </w:pPr>
            <w:r w:rsidRPr="006B0E06">
              <w:rPr>
                <w:sz w:val="17"/>
                <w:szCs w:val="17"/>
              </w:rPr>
              <w:t>-</w:t>
            </w:r>
          </w:p>
        </w:tc>
        <w:tc>
          <w:tcPr>
            <w:tcW w:w="1069" w:type="dxa"/>
            <w:tcBorders>
              <w:top w:val="nil"/>
              <w:left w:val="nil"/>
              <w:bottom w:val="nil"/>
              <w:right w:val="nil"/>
            </w:tcBorders>
            <w:shd w:val="clear" w:color="auto" w:fill="auto"/>
            <w:vAlign w:val="bottom"/>
          </w:tcPr>
          <w:p w14:paraId="3BDAAC5A" w14:textId="77777777" w:rsidR="00247060" w:rsidRPr="006B0E06" w:rsidRDefault="00247060" w:rsidP="00247060">
            <w:pPr>
              <w:tabs>
                <w:tab w:val="right" w:pos="1202"/>
              </w:tabs>
              <w:spacing w:after="0" w:line="301" w:lineRule="exact"/>
              <w:jc w:val="right"/>
              <w:outlineLvl w:val="0"/>
              <w:rPr>
                <w:rFonts w:eastAsia="Times New Roman" w:cs="Arial"/>
                <w:spacing w:val="-2"/>
                <w:sz w:val="17"/>
                <w:szCs w:val="17"/>
              </w:rPr>
            </w:pPr>
            <w:r w:rsidRPr="006B0E06">
              <w:rPr>
                <w:sz w:val="17"/>
                <w:szCs w:val="17"/>
              </w:rPr>
              <w:t>-</w:t>
            </w:r>
          </w:p>
        </w:tc>
      </w:tr>
      <w:tr w:rsidR="00247060" w:rsidRPr="006B0E06" w14:paraId="0147B294" w14:textId="77777777" w:rsidTr="006B318F">
        <w:trPr>
          <w:trHeight w:hRule="exact" w:val="226"/>
        </w:trPr>
        <w:tc>
          <w:tcPr>
            <w:tcW w:w="4258" w:type="dxa"/>
            <w:vAlign w:val="bottom"/>
          </w:tcPr>
          <w:p w14:paraId="221AACD0" w14:textId="77777777" w:rsidR="00247060" w:rsidRPr="006B0E06" w:rsidRDefault="00247060" w:rsidP="00247060">
            <w:pPr>
              <w:tabs>
                <w:tab w:val="right" w:pos="1202"/>
              </w:tabs>
              <w:spacing w:after="0" w:line="240" w:lineRule="auto"/>
              <w:outlineLvl w:val="0"/>
              <w:rPr>
                <w:rFonts w:eastAsia="Times New Roman" w:cs="Arial"/>
                <w:spacing w:val="-2"/>
                <w:sz w:val="17"/>
                <w:szCs w:val="17"/>
              </w:rPr>
            </w:pPr>
            <w:r w:rsidRPr="006B0E06">
              <w:rPr>
                <w:rFonts w:eastAsia="Times New Roman" w:cs="Arial"/>
                <w:b/>
                <w:i/>
                <w:spacing w:val="-2"/>
                <w:sz w:val="17"/>
                <w:szCs w:val="17"/>
              </w:rPr>
              <w:t>Unlisted debt instruments:</w:t>
            </w:r>
          </w:p>
        </w:tc>
        <w:tc>
          <w:tcPr>
            <w:tcW w:w="943" w:type="dxa"/>
            <w:tcBorders>
              <w:top w:val="nil"/>
              <w:left w:val="nil"/>
              <w:bottom w:val="nil"/>
              <w:right w:val="nil"/>
            </w:tcBorders>
            <w:shd w:val="clear" w:color="auto" w:fill="auto"/>
            <w:vAlign w:val="bottom"/>
          </w:tcPr>
          <w:p w14:paraId="7464624E" w14:textId="77777777" w:rsidR="00247060" w:rsidRPr="005444AA" w:rsidRDefault="00247060" w:rsidP="00247060">
            <w:pPr>
              <w:tabs>
                <w:tab w:val="right" w:pos="1202"/>
              </w:tabs>
              <w:spacing w:after="0" w:line="301" w:lineRule="exact"/>
              <w:jc w:val="right"/>
              <w:outlineLvl w:val="0"/>
              <w:rPr>
                <w:rFonts w:eastAsia="Times New Roman"/>
                <w:color w:val="000000"/>
                <w:sz w:val="17"/>
                <w:szCs w:val="17"/>
                <w:lang w:val="en-US"/>
              </w:rPr>
            </w:pPr>
          </w:p>
        </w:tc>
        <w:tc>
          <w:tcPr>
            <w:tcW w:w="1066" w:type="dxa"/>
            <w:tcBorders>
              <w:top w:val="nil"/>
              <w:left w:val="nil"/>
              <w:bottom w:val="nil"/>
              <w:right w:val="nil"/>
            </w:tcBorders>
            <w:shd w:val="clear" w:color="auto" w:fill="auto"/>
            <w:vAlign w:val="bottom"/>
          </w:tcPr>
          <w:p w14:paraId="4A1C33C2" w14:textId="77777777" w:rsidR="00247060" w:rsidRPr="005444AA" w:rsidRDefault="00247060" w:rsidP="00247060">
            <w:pPr>
              <w:tabs>
                <w:tab w:val="right" w:pos="1202"/>
              </w:tabs>
              <w:spacing w:after="0" w:line="301" w:lineRule="exact"/>
              <w:jc w:val="right"/>
              <w:outlineLvl w:val="0"/>
              <w:rPr>
                <w:rFonts w:eastAsia="Times New Roman"/>
                <w:color w:val="000000"/>
                <w:sz w:val="17"/>
                <w:szCs w:val="17"/>
                <w:lang w:val="en-US"/>
              </w:rPr>
            </w:pPr>
          </w:p>
        </w:tc>
        <w:tc>
          <w:tcPr>
            <w:tcW w:w="1068" w:type="dxa"/>
            <w:tcBorders>
              <w:top w:val="nil"/>
              <w:left w:val="nil"/>
              <w:bottom w:val="nil"/>
              <w:right w:val="nil"/>
            </w:tcBorders>
            <w:shd w:val="clear" w:color="auto" w:fill="auto"/>
            <w:vAlign w:val="bottom"/>
          </w:tcPr>
          <w:p w14:paraId="36FA8932" w14:textId="77777777" w:rsidR="00247060" w:rsidRPr="005444AA" w:rsidRDefault="00247060" w:rsidP="00247060">
            <w:pPr>
              <w:tabs>
                <w:tab w:val="right" w:pos="1202"/>
              </w:tabs>
              <w:spacing w:after="0" w:line="301" w:lineRule="exact"/>
              <w:jc w:val="right"/>
              <w:outlineLvl w:val="0"/>
              <w:rPr>
                <w:rFonts w:eastAsia="Times New Roman"/>
                <w:color w:val="000000"/>
                <w:sz w:val="17"/>
                <w:szCs w:val="17"/>
                <w:lang w:val="en-US"/>
              </w:rPr>
            </w:pPr>
          </w:p>
        </w:tc>
        <w:tc>
          <w:tcPr>
            <w:tcW w:w="1066" w:type="dxa"/>
            <w:tcBorders>
              <w:top w:val="nil"/>
              <w:left w:val="nil"/>
              <w:bottom w:val="nil"/>
              <w:right w:val="nil"/>
            </w:tcBorders>
            <w:shd w:val="clear" w:color="auto" w:fill="auto"/>
            <w:vAlign w:val="bottom"/>
          </w:tcPr>
          <w:p w14:paraId="446E1656" w14:textId="77777777" w:rsidR="00247060" w:rsidRPr="006B0E06" w:rsidRDefault="00247060" w:rsidP="00247060">
            <w:pPr>
              <w:tabs>
                <w:tab w:val="right" w:pos="1202"/>
              </w:tabs>
              <w:spacing w:after="0" w:line="301" w:lineRule="exact"/>
              <w:jc w:val="right"/>
              <w:outlineLvl w:val="0"/>
              <w:rPr>
                <w:rFonts w:eastAsia="Times New Roman" w:cs="Arial"/>
                <w:spacing w:val="-2"/>
                <w:sz w:val="17"/>
                <w:szCs w:val="17"/>
              </w:rPr>
            </w:pPr>
          </w:p>
        </w:tc>
        <w:tc>
          <w:tcPr>
            <w:tcW w:w="1066" w:type="dxa"/>
            <w:tcBorders>
              <w:top w:val="nil"/>
              <w:left w:val="nil"/>
              <w:bottom w:val="nil"/>
              <w:right w:val="nil"/>
            </w:tcBorders>
            <w:shd w:val="clear" w:color="auto" w:fill="auto"/>
            <w:vAlign w:val="bottom"/>
          </w:tcPr>
          <w:p w14:paraId="4E5BAC8B" w14:textId="77777777" w:rsidR="00247060" w:rsidRPr="006B0E06" w:rsidRDefault="00247060" w:rsidP="00247060">
            <w:pPr>
              <w:tabs>
                <w:tab w:val="right" w:pos="1202"/>
              </w:tabs>
              <w:spacing w:after="0" w:line="301" w:lineRule="exact"/>
              <w:jc w:val="right"/>
              <w:outlineLvl w:val="0"/>
              <w:rPr>
                <w:rFonts w:eastAsia="Times New Roman" w:cs="Arial"/>
                <w:spacing w:val="-2"/>
                <w:sz w:val="17"/>
                <w:szCs w:val="17"/>
              </w:rPr>
            </w:pPr>
          </w:p>
        </w:tc>
        <w:tc>
          <w:tcPr>
            <w:tcW w:w="1069" w:type="dxa"/>
            <w:tcBorders>
              <w:top w:val="nil"/>
              <w:left w:val="nil"/>
              <w:bottom w:val="nil"/>
              <w:right w:val="nil"/>
            </w:tcBorders>
            <w:shd w:val="clear" w:color="auto" w:fill="auto"/>
            <w:vAlign w:val="bottom"/>
          </w:tcPr>
          <w:p w14:paraId="2DF73F64" w14:textId="77777777" w:rsidR="00247060" w:rsidRPr="006B0E06" w:rsidRDefault="00247060" w:rsidP="00247060">
            <w:pPr>
              <w:tabs>
                <w:tab w:val="right" w:pos="1202"/>
              </w:tabs>
              <w:spacing w:after="0" w:line="301" w:lineRule="exact"/>
              <w:jc w:val="right"/>
              <w:outlineLvl w:val="0"/>
              <w:rPr>
                <w:rFonts w:eastAsia="Times New Roman" w:cs="Arial"/>
                <w:spacing w:val="-2"/>
                <w:sz w:val="17"/>
                <w:szCs w:val="17"/>
              </w:rPr>
            </w:pPr>
          </w:p>
        </w:tc>
      </w:tr>
      <w:tr w:rsidR="00247060" w:rsidRPr="006B0E06" w14:paraId="3A847EF2" w14:textId="77777777" w:rsidTr="006B318F">
        <w:trPr>
          <w:trHeight w:hRule="exact" w:val="283"/>
        </w:trPr>
        <w:tc>
          <w:tcPr>
            <w:tcW w:w="4258" w:type="dxa"/>
            <w:vAlign w:val="bottom"/>
          </w:tcPr>
          <w:p w14:paraId="369A83AD" w14:textId="77777777" w:rsidR="00247060" w:rsidRPr="006B0E06" w:rsidRDefault="00247060" w:rsidP="00247060">
            <w:pPr>
              <w:tabs>
                <w:tab w:val="right" w:pos="1202"/>
              </w:tabs>
              <w:spacing w:after="0" w:line="240" w:lineRule="auto"/>
              <w:outlineLvl w:val="0"/>
              <w:rPr>
                <w:rFonts w:eastAsia="Times New Roman" w:cs="Arial"/>
                <w:spacing w:val="-2"/>
                <w:sz w:val="17"/>
                <w:szCs w:val="17"/>
              </w:rPr>
            </w:pPr>
            <w:r w:rsidRPr="006B0E06">
              <w:rPr>
                <w:rFonts w:eastAsia="Times New Roman" w:cs="Arial"/>
                <w:spacing w:val="-2"/>
                <w:sz w:val="17"/>
                <w:szCs w:val="17"/>
              </w:rPr>
              <w:t>Corporate bonds</w:t>
            </w:r>
          </w:p>
        </w:tc>
        <w:tc>
          <w:tcPr>
            <w:tcW w:w="943" w:type="dxa"/>
            <w:tcBorders>
              <w:top w:val="nil"/>
              <w:left w:val="nil"/>
              <w:bottom w:val="nil"/>
              <w:right w:val="nil"/>
            </w:tcBorders>
            <w:shd w:val="clear" w:color="auto" w:fill="auto"/>
            <w:vAlign w:val="bottom"/>
          </w:tcPr>
          <w:p w14:paraId="60BA4842" w14:textId="31E0A245" w:rsidR="00247060" w:rsidRPr="005444AA" w:rsidRDefault="00247060" w:rsidP="00247060">
            <w:pPr>
              <w:tabs>
                <w:tab w:val="right" w:pos="1202"/>
              </w:tabs>
              <w:spacing w:after="0" w:line="301" w:lineRule="exact"/>
              <w:jc w:val="right"/>
              <w:outlineLvl w:val="0"/>
              <w:rPr>
                <w:rFonts w:eastAsia="Times New Roman"/>
                <w:color w:val="000000"/>
                <w:sz w:val="17"/>
                <w:szCs w:val="17"/>
                <w:lang w:val="en-US"/>
              </w:rPr>
            </w:pPr>
            <w:r w:rsidRPr="005444AA">
              <w:rPr>
                <w:rFonts w:eastAsia="Times New Roman"/>
                <w:color w:val="000000"/>
                <w:sz w:val="17"/>
                <w:szCs w:val="17"/>
                <w:lang w:val="en-US"/>
              </w:rPr>
              <w:t>-</w:t>
            </w:r>
          </w:p>
        </w:tc>
        <w:tc>
          <w:tcPr>
            <w:tcW w:w="1066" w:type="dxa"/>
            <w:tcBorders>
              <w:top w:val="nil"/>
              <w:left w:val="nil"/>
              <w:bottom w:val="nil"/>
              <w:right w:val="nil"/>
            </w:tcBorders>
            <w:shd w:val="clear" w:color="auto" w:fill="auto"/>
            <w:vAlign w:val="bottom"/>
          </w:tcPr>
          <w:p w14:paraId="6572EB0F" w14:textId="11BE0EA8" w:rsidR="00247060" w:rsidRPr="005444AA" w:rsidRDefault="00247060" w:rsidP="00247060">
            <w:pPr>
              <w:tabs>
                <w:tab w:val="right" w:pos="1202"/>
              </w:tabs>
              <w:spacing w:after="0" w:line="301" w:lineRule="exact"/>
              <w:jc w:val="right"/>
              <w:outlineLvl w:val="0"/>
              <w:rPr>
                <w:rFonts w:eastAsia="Times New Roman"/>
                <w:color w:val="000000"/>
                <w:sz w:val="17"/>
                <w:szCs w:val="17"/>
                <w:lang w:val="en-US"/>
              </w:rPr>
            </w:pPr>
            <w:r w:rsidRPr="005444AA">
              <w:rPr>
                <w:rFonts w:eastAsia="Times New Roman"/>
                <w:color w:val="000000"/>
                <w:sz w:val="17"/>
                <w:szCs w:val="17"/>
                <w:lang w:val="en-US"/>
              </w:rPr>
              <w:t>-</w:t>
            </w:r>
          </w:p>
        </w:tc>
        <w:tc>
          <w:tcPr>
            <w:tcW w:w="1068" w:type="dxa"/>
            <w:tcBorders>
              <w:top w:val="nil"/>
              <w:left w:val="nil"/>
              <w:bottom w:val="nil"/>
              <w:right w:val="nil"/>
            </w:tcBorders>
            <w:shd w:val="clear" w:color="auto" w:fill="auto"/>
            <w:vAlign w:val="bottom"/>
          </w:tcPr>
          <w:p w14:paraId="04B08B8C" w14:textId="4344F17D" w:rsidR="00247060" w:rsidRPr="005444AA" w:rsidRDefault="00247060" w:rsidP="00247060">
            <w:pPr>
              <w:tabs>
                <w:tab w:val="right" w:pos="1202"/>
              </w:tabs>
              <w:spacing w:after="0" w:line="301" w:lineRule="exact"/>
              <w:jc w:val="right"/>
              <w:outlineLvl w:val="0"/>
              <w:rPr>
                <w:rFonts w:eastAsia="Times New Roman"/>
                <w:color w:val="000000"/>
                <w:sz w:val="17"/>
                <w:szCs w:val="17"/>
                <w:lang w:val="en-US"/>
              </w:rPr>
            </w:pPr>
            <w:r w:rsidRPr="006B318F">
              <w:rPr>
                <w:rFonts w:eastAsia="Times New Roman"/>
                <w:color w:val="000000"/>
                <w:sz w:val="17"/>
                <w:szCs w:val="17"/>
                <w:lang w:val="en-US"/>
              </w:rPr>
              <w:t>512</w:t>
            </w:r>
          </w:p>
        </w:tc>
        <w:tc>
          <w:tcPr>
            <w:tcW w:w="1066" w:type="dxa"/>
            <w:tcBorders>
              <w:top w:val="nil"/>
              <w:left w:val="nil"/>
              <w:bottom w:val="nil"/>
              <w:right w:val="nil"/>
            </w:tcBorders>
            <w:shd w:val="clear" w:color="auto" w:fill="auto"/>
            <w:vAlign w:val="bottom"/>
          </w:tcPr>
          <w:p w14:paraId="03E63F52" w14:textId="77777777" w:rsidR="00247060" w:rsidRPr="006B0E06" w:rsidRDefault="00247060" w:rsidP="00247060">
            <w:pPr>
              <w:tabs>
                <w:tab w:val="right" w:pos="1202"/>
              </w:tabs>
              <w:spacing w:after="0" w:line="301" w:lineRule="exact"/>
              <w:jc w:val="right"/>
              <w:outlineLvl w:val="0"/>
              <w:rPr>
                <w:rFonts w:eastAsia="Times New Roman" w:cs="Arial"/>
                <w:spacing w:val="-2"/>
                <w:sz w:val="17"/>
                <w:szCs w:val="17"/>
              </w:rPr>
            </w:pPr>
            <w:r w:rsidRPr="006B0E06">
              <w:rPr>
                <w:sz w:val="17"/>
                <w:szCs w:val="17"/>
              </w:rPr>
              <w:t>-</w:t>
            </w:r>
          </w:p>
        </w:tc>
        <w:tc>
          <w:tcPr>
            <w:tcW w:w="1066" w:type="dxa"/>
            <w:tcBorders>
              <w:top w:val="nil"/>
              <w:left w:val="nil"/>
              <w:bottom w:val="nil"/>
              <w:right w:val="nil"/>
            </w:tcBorders>
            <w:shd w:val="clear" w:color="auto" w:fill="auto"/>
            <w:vAlign w:val="bottom"/>
          </w:tcPr>
          <w:p w14:paraId="3317EEE0" w14:textId="77777777" w:rsidR="00247060" w:rsidRPr="006B0E06" w:rsidRDefault="00247060" w:rsidP="00247060">
            <w:pPr>
              <w:tabs>
                <w:tab w:val="right" w:pos="1202"/>
              </w:tabs>
              <w:spacing w:after="0" w:line="301" w:lineRule="exact"/>
              <w:jc w:val="right"/>
              <w:outlineLvl w:val="0"/>
              <w:rPr>
                <w:rFonts w:eastAsia="Times New Roman" w:cs="Arial"/>
                <w:spacing w:val="-2"/>
                <w:sz w:val="17"/>
                <w:szCs w:val="17"/>
              </w:rPr>
            </w:pPr>
            <w:r w:rsidRPr="006B0E06">
              <w:rPr>
                <w:sz w:val="17"/>
                <w:szCs w:val="17"/>
              </w:rPr>
              <w:t>-</w:t>
            </w:r>
          </w:p>
        </w:tc>
        <w:tc>
          <w:tcPr>
            <w:tcW w:w="1069" w:type="dxa"/>
            <w:tcBorders>
              <w:top w:val="nil"/>
              <w:left w:val="nil"/>
              <w:bottom w:val="nil"/>
              <w:right w:val="nil"/>
            </w:tcBorders>
            <w:shd w:val="clear" w:color="auto" w:fill="auto"/>
            <w:vAlign w:val="bottom"/>
          </w:tcPr>
          <w:p w14:paraId="3833E928" w14:textId="77777777" w:rsidR="00247060" w:rsidRPr="006B0E06" w:rsidRDefault="00247060" w:rsidP="00247060">
            <w:pPr>
              <w:tabs>
                <w:tab w:val="right" w:pos="1202"/>
              </w:tabs>
              <w:spacing w:after="0" w:line="301" w:lineRule="exact"/>
              <w:jc w:val="right"/>
              <w:outlineLvl w:val="0"/>
              <w:rPr>
                <w:rFonts w:eastAsia="Times New Roman" w:cs="Arial"/>
                <w:spacing w:val="-2"/>
                <w:sz w:val="17"/>
                <w:szCs w:val="17"/>
              </w:rPr>
            </w:pPr>
            <w:r w:rsidRPr="006B0E06">
              <w:rPr>
                <w:rFonts w:eastAsia="Times New Roman"/>
                <w:color w:val="000000"/>
                <w:sz w:val="17"/>
                <w:szCs w:val="17"/>
                <w:lang w:val="en-US"/>
              </w:rPr>
              <w:t>502</w:t>
            </w:r>
          </w:p>
        </w:tc>
      </w:tr>
      <w:tr w:rsidR="00247060" w:rsidRPr="006B0E06" w14:paraId="1BCB9F01" w14:textId="77777777" w:rsidTr="006B318F">
        <w:trPr>
          <w:trHeight w:hRule="exact" w:val="298"/>
        </w:trPr>
        <w:tc>
          <w:tcPr>
            <w:tcW w:w="4258" w:type="dxa"/>
            <w:vAlign w:val="bottom"/>
          </w:tcPr>
          <w:p w14:paraId="0806D479" w14:textId="77777777" w:rsidR="00247060" w:rsidRPr="006B0E06" w:rsidRDefault="00247060" w:rsidP="00247060">
            <w:pPr>
              <w:tabs>
                <w:tab w:val="right" w:pos="1202"/>
              </w:tabs>
              <w:spacing w:after="0" w:line="240" w:lineRule="auto"/>
              <w:outlineLvl w:val="0"/>
              <w:rPr>
                <w:rFonts w:eastAsia="Times New Roman" w:cs="Arial"/>
                <w:spacing w:val="-2"/>
                <w:sz w:val="17"/>
                <w:szCs w:val="17"/>
              </w:rPr>
            </w:pPr>
            <w:r w:rsidRPr="006B0E06">
              <w:rPr>
                <w:rFonts w:eastAsia="Times New Roman" w:cs="Arial"/>
                <w:spacing w:val="-2"/>
                <w:sz w:val="17"/>
                <w:szCs w:val="17"/>
              </w:rPr>
              <w:t>Accrued interest</w:t>
            </w:r>
          </w:p>
        </w:tc>
        <w:tc>
          <w:tcPr>
            <w:tcW w:w="943" w:type="dxa"/>
            <w:tcBorders>
              <w:top w:val="nil"/>
              <w:left w:val="nil"/>
              <w:bottom w:val="nil"/>
              <w:right w:val="nil"/>
            </w:tcBorders>
            <w:shd w:val="clear" w:color="auto" w:fill="auto"/>
            <w:vAlign w:val="bottom"/>
          </w:tcPr>
          <w:p w14:paraId="0911CF2C" w14:textId="46F11390" w:rsidR="00247060" w:rsidRPr="006B318F" w:rsidRDefault="00247060" w:rsidP="00247060">
            <w:pPr>
              <w:tabs>
                <w:tab w:val="right" w:pos="1202"/>
              </w:tabs>
              <w:spacing w:after="0" w:line="301" w:lineRule="exact"/>
              <w:jc w:val="right"/>
              <w:outlineLvl w:val="0"/>
              <w:rPr>
                <w:rFonts w:eastAsia="Times New Roman"/>
                <w:color w:val="000000"/>
                <w:sz w:val="17"/>
                <w:szCs w:val="17"/>
                <w:lang w:val="en-US"/>
              </w:rPr>
            </w:pPr>
            <w:r w:rsidRPr="006B318F">
              <w:rPr>
                <w:rFonts w:eastAsia="Times New Roman"/>
                <w:color w:val="000000"/>
                <w:sz w:val="17"/>
                <w:szCs w:val="17"/>
                <w:lang w:val="en-US"/>
              </w:rPr>
              <w:t>-</w:t>
            </w:r>
          </w:p>
        </w:tc>
        <w:tc>
          <w:tcPr>
            <w:tcW w:w="1066" w:type="dxa"/>
            <w:tcBorders>
              <w:top w:val="nil"/>
              <w:left w:val="nil"/>
              <w:bottom w:val="nil"/>
              <w:right w:val="nil"/>
            </w:tcBorders>
            <w:shd w:val="clear" w:color="auto" w:fill="auto"/>
            <w:vAlign w:val="bottom"/>
          </w:tcPr>
          <w:p w14:paraId="0B457AB8" w14:textId="29885C45" w:rsidR="00247060" w:rsidRPr="006B318F" w:rsidRDefault="00247060" w:rsidP="00247060">
            <w:pPr>
              <w:tabs>
                <w:tab w:val="right" w:pos="1202"/>
              </w:tabs>
              <w:spacing w:after="0" w:line="301" w:lineRule="exact"/>
              <w:jc w:val="right"/>
              <w:outlineLvl w:val="0"/>
              <w:rPr>
                <w:rFonts w:eastAsia="Times New Roman"/>
                <w:color w:val="000000"/>
                <w:sz w:val="17"/>
                <w:szCs w:val="17"/>
                <w:lang w:val="en-US"/>
              </w:rPr>
            </w:pPr>
            <w:r w:rsidRPr="006B318F">
              <w:rPr>
                <w:rFonts w:eastAsia="Times New Roman"/>
                <w:color w:val="000000"/>
                <w:sz w:val="17"/>
                <w:szCs w:val="17"/>
                <w:lang w:val="en-US"/>
              </w:rPr>
              <w:t>-</w:t>
            </w:r>
          </w:p>
        </w:tc>
        <w:tc>
          <w:tcPr>
            <w:tcW w:w="1068" w:type="dxa"/>
            <w:tcBorders>
              <w:top w:val="nil"/>
              <w:left w:val="nil"/>
              <w:bottom w:val="nil"/>
              <w:right w:val="nil"/>
            </w:tcBorders>
            <w:shd w:val="clear" w:color="auto" w:fill="auto"/>
            <w:vAlign w:val="bottom"/>
          </w:tcPr>
          <w:p w14:paraId="03818D02" w14:textId="6F489E8D" w:rsidR="00247060" w:rsidRPr="006B0E06" w:rsidRDefault="00247060" w:rsidP="00247060">
            <w:pPr>
              <w:tabs>
                <w:tab w:val="right" w:pos="1202"/>
              </w:tabs>
              <w:spacing w:after="0" w:line="301" w:lineRule="exact"/>
              <w:jc w:val="right"/>
              <w:outlineLvl w:val="0"/>
              <w:rPr>
                <w:rFonts w:eastAsia="Times New Roman"/>
                <w:color w:val="000000"/>
                <w:sz w:val="17"/>
                <w:szCs w:val="17"/>
                <w:lang w:val="en-US"/>
              </w:rPr>
            </w:pPr>
            <w:r w:rsidRPr="006B318F">
              <w:rPr>
                <w:rFonts w:eastAsia="Times New Roman"/>
                <w:color w:val="000000"/>
                <w:sz w:val="17"/>
                <w:szCs w:val="17"/>
                <w:lang w:val="en-US"/>
              </w:rPr>
              <w:t>150</w:t>
            </w:r>
          </w:p>
        </w:tc>
        <w:tc>
          <w:tcPr>
            <w:tcW w:w="1066" w:type="dxa"/>
            <w:tcBorders>
              <w:top w:val="nil"/>
              <w:left w:val="nil"/>
              <w:bottom w:val="nil"/>
              <w:right w:val="nil"/>
            </w:tcBorders>
            <w:shd w:val="clear" w:color="auto" w:fill="auto"/>
            <w:vAlign w:val="bottom"/>
          </w:tcPr>
          <w:p w14:paraId="1C0B46FE" w14:textId="77777777" w:rsidR="00247060" w:rsidRPr="006B0E06" w:rsidRDefault="00247060" w:rsidP="00247060">
            <w:pPr>
              <w:tabs>
                <w:tab w:val="right" w:pos="1202"/>
              </w:tabs>
              <w:spacing w:after="0" w:line="301" w:lineRule="exact"/>
              <w:jc w:val="right"/>
              <w:outlineLvl w:val="0"/>
              <w:rPr>
                <w:rFonts w:eastAsia="Times New Roman" w:cs="Arial"/>
                <w:spacing w:val="-2"/>
                <w:sz w:val="17"/>
                <w:szCs w:val="17"/>
              </w:rPr>
            </w:pPr>
            <w:r w:rsidRPr="006B0E06">
              <w:rPr>
                <w:sz w:val="17"/>
                <w:szCs w:val="17"/>
              </w:rPr>
              <w:t>-</w:t>
            </w:r>
          </w:p>
        </w:tc>
        <w:tc>
          <w:tcPr>
            <w:tcW w:w="1066" w:type="dxa"/>
            <w:tcBorders>
              <w:top w:val="nil"/>
              <w:left w:val="nil"/>
              <w:bottom w:val="nil"/>
              <w:right w:val="nil"/>
            </w:tcBorders>
            <w:shd w:val="clear" w:color="auto" w:fill="auto"/>
            <w:vAlign w:val="bottom"/>
          </w:tcPr>
          <w:p w14:paraId="77AF39C3" w14:textId="77777777" w:rsidR="00247060" w:rsidRPr="006B0E06" w:rsidRDefault="00247060" w:rsidP="00247060">
            <w:pPr>
              <w:tabs>
                <w:tab w:val="right" w:pos="1202"/>
              </w:tabs>
              <w:spacing w:after="0" w:line="301" w:lineRule="exact"/>
              <w:jc w:val="right"/>
              <w:outlineLvl w:val="0"/>
              <w:rPr>
                <w:rFonts w:eastAsia="Times New Roman" w:cs="Arial"/>
                <w:spacing w:val="-2"/>
                <w:sz w:val="17"/>
                <w:szCs w:val="17"/>
              </w:rPr>
            </w:pPr>
            <w:r w:rsidRPr="006B0E06">
              <w:rPr>
                <w:sz w:val="17"/>
                <w:szCs w:val="17"/>
              </w:rPr>
              <w:t>-</w:t>
            </w:r>
          </w:p>
        </w:tc>
        <w:tc>
          <w:tcPr>
            <w:tcW w:w="1069" w:type="dxa"/>
            <w:tcBorders>
              <w:top w:val="nil"/>
              <w:left w:val="nil"/>
              <w:bottom w:val="nil"/>
              <w:right w:val="nil"/>
            </w:tcBorders>
            <w:shd w:val="clear" w:color="auto" w:fill="auto"/>
            <w:vAlign w:val="bottom"/>
          </w:tcPr>
          <w:p w14:paraId="1847F696" w14:textId="77777777" w:rsidR="00247060" w:rsidRPr="006B0E06" w:rsidRDefault="00247060" w:rsidP="00247060">
            <w:pPr>
              <w:tabs>
                <w:tab w:val="right" w:pos="1202"/>
              </w:tabs>
              <w:spacing w:after="0" w:line="301" w:lineRule="exact"/>
              <w:jc w:val="right"/>
              <w:outlineLvl w:val="0"/>
              <w:rPr>
                <w:rFonts w:eastAsia="Times New Roman"/>
                <w:color w:val="000000"/>
                <w:sz w:val="17"/>
                <w:szCs w:val="17"/>
                <w:lang w:val="en-US"/>
              </w:rPr>
            </w:pPr>
            <w:r w:rsidRPr="006B0E06">
              <w:rPr>
                <w:rFonts w:eastAsia="Times New Roman"/>
                <w:color w:val="000000"/>
                <w:sz w:val="17"/>
                <w:szCs w:val="17"/>
                <w:lang w:val="en-US"/>
              </w:rPr>
              <w:t>99</w:t>
            </w:r>
          </w:p>
        </w:tc>
      </w:tr>
      <w:tr w:rsidR="00247060" w:rsidRPr="006B0E06" w14:paraId="4CF14EF3" w14:textId="77777777" w:rsidTr="005444AA">
        <w:trPr>
          <w:trHeight w:hRule="exact" w:val="283"/>
        </w:trPr>
        <w:tc>
          <w:tcPr>
            <w:tcW w:w="4258" w:type="dxa"/>
            <w:vAlign w:val="bottom"/>
          </w:tcPr>
          <w:p w14:paraId="6D9F99EA" w14:textId="77777777" w:rsidR="00247060" w:rsidRPr="006B0E06" w:rsidRDefault="00247060" w:rsidP="00247060">
            <w:pPr>
              <w:tabs>
                <w:tab w:val="right" w:pos="1202"/>
              </w:tabs>
              <w:spacing w:after="0" w:line="240" w:lineRule="auto"/>
              <w:outlineLvl w:val="0"/>
              <w:rPr>
                <w:rFonts w:eastAsia="Times New Roman" w:cs="Arial"/>
                <w:b/>
                <w:spacing w:val="-2"/>
                <w:sz w:val="17"/>
                <w:szCs w:val="17"/>
              </w:rPr>
            </w:pPr>
            <w:r w:rsidRPr="006B0E06">
              <w:rPr>
                <w:rFonts w:eastAsia="Times New Roman" w:cs="Arial"/>
                <w:b/>
                <w:spacing w:val="-2"/>
                <w:sz w:val="17"/>
                <w:szCs w:val="17"/>
              </w:rPr>
              <w:t xml:space="preserve">Total debt instruments </w:t>
            </w:r>
          </w:p>
        </w:tc>
        <w:tc>
          <w:tcPr>
            <w:tcW w:w="943" w:type="dxa"/>
            <w:tcBorders>
              <w:top w:val="single" w:sz="4" w:space="0" w:color="auto"/>
              <w:left w:val="nil"/>
              <w:bottom w:val="single" w:sz="8" w:space="0" w:color="auto"/>
              <w:right w:val="nil"/>
            </w:tcBorders>
            <w:shd w:val="clear" w:color="auto" w:fill="auto"/>
            <w:vAlign w:val="bottom"/>
          </w:tcPr>
          <w:p w14:paraId="1EE09AD3" w14:textId="4FF77F1B" w:rsidR="00247060" w:rsidRPr="006B0E06" w:rsidRDefault="00247060" w:rsidP="00247060">
            <w:pPr>
              <w:tabs>
                <w:tab w:val="right" w:pos="1202"/>
              </w:tabs>
              <w:spacing w:after="0" w:line="240" w:lineRule="auto"/>
              <w:jc w:val="right"/>
              <w:outlineLvl w:val="0"/>
              <w:rPr>
                <w:rFonts w:asciiTheme="minorHAnsi" w:eastAsia="Times New Roman" w:hAnsiTheme="minorHAnsi" w:cs="Arial"/>
                <w:b/>
                <w:sz w:val="17"/>
                <w:szCs w:val="17"/>
              </w:rPr>
            </w:pPr>
            <w:r w:rsidRPr="005E3806">
              <w:rPr>
                <w:rFonts w:eastAsia="Times New Roman" w:cs="Arial"/>
                <w:b/>
                <w:sz w:val="17"/>
                <w:szCs w:val="17"/>
              </w:rPr>
              <w:t>2</w:t>
            </w:r>
            <w:r>
              <w:rPr>
                <w:rFonts w:eastAsia="Times New Roman" w:cs="Arial"/>
                <w:b/>
                <w:sz w:val="17"/>
                <w:szCs w:val="17"/>
              </w:rPr>
              <w:t>,</w:t>
            </w:r>
            <w:r w:rsidRPr="005E3806">
              <w:rPr>
                <w:rFonts w:eastAsia="Times New Roman" w:cs="Arial"/>
                <w:b/>
                <w:sz w:val="17"/>
                <w:szCs w:val="17"/>
              </w:rPr>
              <w:t>457</w:t>
            </w:r>
            <w:r>
              <w:rPr>
                <w:rFonts w:eastAsia="Times New Roman" w:cs="Arial"/>
                <w:b/>
                <w:sz w:val="17"/>
                <w:szCs w:val="17"/>
              </w:rPr>
              <w:t>,</w:t>
            </w:r>
            <w:r w:rsidRPr="005E3806">
              <w:rPr>
                <w:rFonts w:eastAsia="Times New Roman" w:cs="Arial"/>
                <w:b/>
                <w:sz w:val="17"/>
                <w:szCs w:val="17"/>
              </w:rPr>
              <w:t>029</w:t>
            </w:r>
          </w:p>
        </w:tc>
        <w:tc>
          <w:tcPr>
            <w:tcW w:w="1066" w:type="dxa"/>
            <w:tcBorders>
              <w:top w:val="single" w:sz="4" w:space="0" w:color="auto"/>
              <w:left w:val="nil"/>
              <w:bottom w:val="single" w:sz="8" w:space="0" w:color="auto"/>
              <w:right w:val="nil"/>
            </w:tcBorders>
            <w:shd w:val="clear" w:color="auto" w:fill="auto"/>
            <w:vAlign w:val="bottom"/>
          </w:tcPr>
          <w:p w14:paraId="29A04B06" w14:textId="64D4209F" w:rsidR="00247060" w:rsidRPr="006B0E06" w:rsidRDefault="00247060" w:rsidP="00247060">
            <w:pPr>
              <w:tabs>
                <w:tab w:val="right" w:pos="1202"/>
              </w:tabs>
              <w:spacing w:after="0" w:line="301" w:lineRule="exact"/>
              <w:jc w:val="right"/>
              <w:outlineLvl w:val="0"/>
              <w:rPr>
                <w:b/>
                <w:sz w:val="17"/>
                <w:szCs w:val="17"/>
              </w:rPr>
            </w:pPr>
            <w:r>
              <w:rPr>
                <w:rFonts w:eastAsia="Times New Roman" w:cs="Arial"/>
                <w:b/>
                <w:sz w:val="17"/>
                <w:szCs w:val="17"/>
              </w:rPr>
              <w:t>-</w:t>
            </w:r>
          </w:p>
        </w:tc>
        <w:tc>
          <w:tcPr>
            <w:tcW w:w="1068" w:type="dxa"/>
            <w:tcBorders>
              <w:top w:val="single" w:sz="4" w:space="0" w:color="auto"/>
              <w:left w:val="nil"/>
              <w:bottom w:val="single" w:sz="8" w:space="0" w:color="auto"/>
              <w:right w:val="nil"/>
            </w:tcBorders>
            <w:shd w:val="clear" w:color="auto" w:fill="auto"/>
            <w:vAlign w:val="bottom"/>
          </w:tcPr>
          <w:p w14:paraId="056AEBC4" w14:textId="38F47098" w:rsidR="00247060" w:rsidRPr="006B0E06" w:rsidRDefault="00247060" w:rsidP="00247060">
            <w:pPr>
              <w:tabs>
                <w:tab w:val="right" w:pos="1202"/>
              </w:tabs>
              <w:spacing w:after="0" w:line="240" w:lineRule="auto"/>
              <w:jc w:val="right"/>
              <w:outlineLvl w:val="0"/>
              <w:rPr>
                <w:rFonts w:asciiTheme="minorHAnsi" w:eastAsia="Times New Roman" w:hAnsiTheme="minorHAnsi" w:cs="Arial"/>
                <w:b/>
                <w:sz w:val="17"/>
                <w:szCs w:val="17"/>
              </w:rPr>
            </w:pPr>
            <w:r w:rsidRPr="005E3806">
              <w:rPr>
                <w:rFonts w:eastAsia="Times New Roman" w:cs="Arial"/>
                <w:b/>
                <w:sz w:val="17"/>
                <w:szCs w:val="17"/>
              </w:rPr>
              <w:t>662</w:t>
            </w:r>
          </w:p>
        </w:tc>
        <w:tc>
          <w:tcPr>
            <w:tcW w:w="1066" w:type="dxa"/>
            <w:tcBorders>
              <w:top w:val="single" w:sz="4" w:space="0" w:color="auto"/>
              <w:left w:val="nil"/>
              <w:bottom w:val="single" w:sz="8" w:space="0" w:color="auto"/>
              <w:right w:val="nil"/>
            </w:tcBorders>
            <w:shd w:val="clear" w:color="auto" w:fill="auto"/>
            <w:vAlign w:val="bottom"/>
          </w:tcPr>
          <w:p w14:paraId="71E375B9" w14:textId="77777777" w:rsidR="00247060" w:rsidRPr="006B0E06" w:rsidRDefault="00247060" w:rsidP="00247060">
            <w:pPr>
              <w:tabs>
                <w:tab w:val="right" w:pos="1202"/>
              </w:tabs>
              <w:spacing w:after="0" w:line="240" w:lineRule="auto"/>
              <w:jc w:val="right"/>
              <w:outlineLvl w:val="0"/>
              <w:rPr>
                <w:rFonts w:asciiTheme="minorHAnsi" w:eastAsia="Times New Roman" w:hAnsiTheme="minorHAnsi" w:cs="Arial"/>
                <w:b/>
                <w:sz w:val="17"/>
                <w:szCs w:val="17"/>
              </w:rPr>
            </w:pPr>
            <w:r w:rsidRPr="006B0E06">
              <w:rPr>
                <w:rFonts w:asciiTheme="minorHAnsi" w:eastAsia="Times New Roman" w:hAnsiTheme="minorHAnsi" w:cs="Arial"/>
                <w:b/>
                <w:sz w:val="17"/>
                <w:szCs w:val="17"/>
              </w:rPr>
              <w:t>2,442,873</w:t>
            </w:r>
          </w:p>
        </w:tc>
        <w:tc>
          <w:tcPr>
            <w:tcW w:w="1066" w:type="dxa"/>
            <w:tcBorders>
              <w:top w:val="single" w:sz="4" w:space="0" w:color="auto"/>
              <w:left w:val="nil"/>
              <w:bottom w:val="single" w:sz="8" w:space="0" w:color="auto"/>
              <w:right w:val="nil"/>
            </w:tcBorders>
            <w:shd w:val="clear" w:color="auto" w:fill="auto"/>
            <w:vAlign w:val="bottom"/>
          </w:tcPr>
          <w:p w14:paraId="3E282AE6" w14:textId="77777777" w:rsidR="00247060" w:rsidRPr="006B0E06" w:rsidRDefault="00247060" w:rsidP="00247060">
            <w:pPr>
              <w:tabs>
                <w:tab w:val="right" w:pos="1202"/>
              </w:tabs>
              <w:spacing w:after="0" w:line="301" w:lineRule="exact"/>
              <w:jc w:val="right"/>
              <w:outlineLvl w:val="0"/>
              <w:rPr>
                <w:b/>
                <w:sz w:val="17"/>
                <w:szCs w:val="17"/>
              </w:rPr>
            </w:pPr>
            <w:r w:rsidRPr="006B0E06">
              <w:rPr>
                <w:b/>
                <w:sz w:val="17"/>
                <w:szCs w:val="17"/>
              </w:rPr>
              <w:t>-</w:t>
            </w:r>
          </w:p>
        </w:tc>
        <w:tc>
          <w:tcPr>
            <w:tcW w:w="1069" w:type="dxa"/>
            <w:tcBorders>
              <w:top w:val="single" w:sz="4" w:space="0" w:color="auto"/>
              <w:left w:val="nil"/>
              <w:bottom w:val="single" w:sz="8" w:space="0" w:color="auto"/>
              <w:right w:val="nil"/>
            </w:tcBorders>
            <w:shd w:val="clear" w:color="auto" w:fill="auto"/>
            <w:vAlign w:val="bottom"/>
          </w:tcPr>
          <w:p w14:paraId="26029A97" w14:textId="77777777" w:rsidR="00247060" w:rsidRPr="006B0E06" w:rsidRDefault="00247060" w:rsidP="00247060">
            <w:pPr>
              <w:tabs>
                <w:tab w:val="right" w:pos="1202"/>
              </w:tabs>
              <w:spacing w:after="0" w:line="240" w:lineRule="auto"/>
              <w:jc w:val="right"/>
              <w:outlineLvl w:val="0"/>
              <w:rPr>
                <w:rFonts w:asciiTheme="minorHAnsi" w:eastAsia="Times New Roman" w:hAnsiTheme="minorHAnsi" w:cs="Arial"/>
                <w:b/>
                <w:sz w:val="17"/>
                <w:szCs w:val="17"/>
              </w:rPr>
            </w:pPr>
            <w:r w:rsidRPr="006B0E06">
              <w:rPr>
                <w:rFonts w:asciiTheme="minorHAnsi" w:eastAsia="Times New Roman" w:hAnsiTheme="minorHAnsi" w:cs="Arial"/>
                <w:b/>
                <w:sz w:val="17"/>
                <w:szCs w:val="17"/>
              </w:rPr>
              <w:t>601</w:t>
            </w:r>
          </w:p>
        </w:tc>
      </w:tr>
      <w:tr w:rsidR="0069580C" w:rsidRPr="006B0E06" w14:paraId="03AE5C87" w14:textId="77777777" w:rsidTr="006B0E06">
        <w:trPr>
          <w:trHeight w:hRule="exact" w:val="226"/>
        </w:trPr>
        <w:tc>
          <w:tcPr>
            <w:tcW w:w="4258" w:type="dxa"/>
            <w:vAlign w:val="bottom"/>
          </w:tcPr>
          <w:p w14:paraId="606E8DAD" w14:textId="77777777" w:rsidR="0069580C" w:rsidRPr="006B0E06" w:rsidRDefault="0069580C" w:rsidP="0069580C">
            <w:pPr>
              <w:tabs>
                <w:tab w:val="right" w:pos="1202"/>
              </w:tabs>
              <w:spacing w:after="0" w:line="240" w:lineRule="auto"/>
              <w:outlineLvl w:val="0"/>
              <w:rPr>
                <w:rFonts w:eastAsia="Times New Roman" w:cs="Arial"/>
                <w:b/>
                <w:spacing w:val="-2"/>
                <w:sz w:val="17"/>
                <w:szCs w:val="17"/>
              </w:rPr>
            </w:pPr>
            <w:r w:rsidRPr="006B0E06">
              <w:rPr>
                <w:rFonts w:eastAsia="Times New Roman" w:cs="Arial"/>
                <w:b/>
                <w:spacing w:val="-2"/>
                <w:sz w:val="17"/>
                <w:szCs w:val="17"/>
              </w:rPr>
              <w:t>Equity instruments:</w:t>
            </w:r>
          </w:p>
        </w:tc>
        <w:tc>
          <w:tcPr>
            <w:tcW w:w="943" w:type="dxa"/>
            <w:tcBorders>
              <w:top w:val="single" w:sz="12" w:space="0" w:color="auto"/>
              <w:left w:val="nil"/>
              <w:right w:val="nil"/>
            </w:tcBorders>
            <w:shd w:val="clear" w:color="auto" w:fill="auto"/>
            <w:vAlign w:val="bottom"/>
          </w:tcPr>
          <w:p w14:paraId="0C3E180B" w14:textId="77777777" w:rsidR="0069580C" w:rsidRPr="006B0E06" w:rsidRDefault="0069580C" w:rsidP="0069580C">
            <w:pPr>
              <w:tabs>
                <w:tab w:val="right" w:pos="1202"/>
              </w:tabs>
              <w:spacing w:after="0" w:line="301" w:lineRule="exact"/>
              <w:jc w:val="right"/>
              <w:outlineLvl w:val="0"/>
              <w:rPr>
                <w:rFonts w:asciiTheme="minorHAnsi" w:eastAsia="Times New Roman" w:hAnsiTheme="minorHAnsi" w:cs="Arial"/>
                <w:b/>
                <w:sz w:val="17"/>
                <w:szCs w:val="17"/>
              </w:rPr>
            </w:pPr>
          </w:p>
        </w:tc>
        <w:tc>
          <w:tcPr>
            <w:tcW w:w="1066" w:type="dxa"/>
            <w:tcBorders>
              <w:top w:val="single" w:sz="12" w:space="0" w:color="auto"/>
              <w:left w:val="nil"/>
              <w:right w:val="nil"/>
            </w:tcBorders>
            <w:shd w:val="clear" w:color="auto" w:fill="auto"/>
            <w:vAlign w:val="bottom"/>
          </w:tcPr>
          <w:p w14:paraId="452D0A94" w14:textId="77777777" w:rsidR="0069580C" w:rsidRPr="006B0E06" w:rsidRDefault="0069580C" w:rsidP="0069580C">
            <w:pPr>
              <w:tabs>
                <w:tab w:val="right" w:pos="1202"/>
              </w:tabs>
              <w:spacing w:after="0" w:line="301" w:lineRule="exact"/>
              <w:jc w:val="right"/>
              <w:outlineLvl w:val="0"/>
              <w:rPr>
                <w:rFonts w:asciiTheme="minorHAnsi" w:eastAsia="Times New Roman" w:hAnsiTheme="minorHAnsi" w:cs="Arial"/>
                <w:b/>
                <w:sz w:val="17"/>
                <w:szCs w:val="17"/>
              </w:rPr>
            </w:pPr>
          </w:p>
        </w:tc>
        <w:tc>
          <w:tcPr>
            <w:tcW w:w="1068" w:type="dxa"/>
            <w:tcBorders>
              <w:top w:val="single" w:sz="12" w:space="0" w:color="auto"/>
              <w:left w:val="nil"/>
              <w:right w:val="nil"/>
            </w:tcBorders>
            <w:shd w:val="clear" w:color="auto" w:fill="auto"/>
            <w:vAlign w:val="bottom"/>
          </w:tcPr>
          <w:p w14:paraId="6BFBAC86" w14:textId="77777777" w:rsidR="0069580C" w:rsidRPr="006B0E06" w:rsidRDefault="0069580C" w:rsidP="0069580C">
            <w:pPr>
              <w:tabs>
                <w:tab w:val="right" w:pos="1202"/>
              </w:tabs>
              <w:spacing w:after="0" w:line="301" w:lineRule="exact"/>
              <w:jc w:val="right"/>
              <w:outlineLvl w:val="0"/>
              <w:rPr>
                <w:rFonts w:asciiTheme="minorHAnsi" w:eastAsia="Times New Roman" w:hAnsiTheme="minorHAnsi" w:cs="Arial"/>
                <w:b/>
                <w:sz w:val="17"/>
                <w:szCs w:val="17"/>
              </w:rPr>
            </w:pPr>
          </w:p>
        </w:tc>
        <w:tc>
          <w:tcPr>
            <w:tcW w:w="1066" w:type="dxa"/>
            <w:tcBorders>
              <w:top w:val="single" w:sz="12" w:space="0" w:color="auto"/>
              <w:left w:val="nil"/>
              <w:right w:val="nil"/>
            </w:tcBorders>
            <w:shd w:val="clear" w:color="auto" w:fill="auto"/>
            <w:vAlign w:val="bottom"/>
          </w:tcPr>
          <w:p w14:paraId="31168BF0" w14:textId="77777777" w:rsidR="0069580C" w:rsidRPr="006B0E06" w:rsidRDefault="0069580C" w:rsidP="0069580C">
            <w:pPr>
              <w:tabs>
                <w:tab w:val="right" w:pos="1202"/>
              </w:tabs>
              <w:spacing w:after="0" w:line="301" w:lineRule="exact"/>
              <w:jc w:val="right"/>
              <w:outlineLvl w:val="0"/>
              <w:rPr>
                <w:rFonts w:asciiTheme="minorHAnsi" w:eastAsia="Times New Roman" w:hAnsiTheme="minorHAnsi" w:cs="Arial"/>
                <w:b/>
                <w:sz w:val="17"/>
                <w:szCs w:val="17"/>
              </w:rPr>
            </w:pPr>
          </w:p>
        </w:tc>
        <w:tc>
          <w:tcPr>
            <w:tcW w:w="1066" w:type="dxa"/>
            <w:tcBorders>
              <w:top w:val="single" w:sz="12" w:space="0" w:color="auto"/>
              <w:left w:val="nil"/>
              <w:right w:val="nil"/>
            </w:tcBorders>
            <w:shd w:val="clear" w:color="auto" w:fill="auto"/>
            <w:vAlign w:val="bottom"/>
          </w:tcPr>
          <w:p w14:paraId="49034862" w14:textId="77777777" w:rsidR="0069580C" w:rsidRPr="006B0E06" w:rsidRDefault="0069580C" w:rsidP="0069580C">
            <w:pPr>
              <w:tabs>
                <w:tab w:val="right" w:pos="1202"/>
              </w:tabs>
              <w:spacing w:after="0" w:line="301" w:lineRule="exact"/>
              <w:jc w:val="right"/>
              <w:outlineLvl w:val="0"/>
              <w:rPr>
                <w:rFonts w:asciiTheme="minorHAnsi" w:eastAsia="Times New Roman" w:hAnsiTheme="minorHAnsi" w:cs="Arial"/>
                <w:b/>
                <w:sz w:val="17"/>
                <w:szCs w:val="17"/>
              </w:rPr>
            </w:pPr>
          </w:p>
        </w:tc>
        <w:tc>
          <w:tcPr>
            <w:tcW w:w="1069" w:type="dxa"/>
            <w:tcBorders>
              <w:top w:val="single" w:sz="12" w:space="0" w:color="auto"/>
              <w:left w:val="nil"/>
              <w:right w:val="nil"/>
            </w:tcBorders>
            <w:shd w:val="clear" w:color="auto" w:fill="auto"/>
            <w:vAlign w:val="bottom"/>
          </w:tcPr>
          <w:p w14:paraId="1DFCBB69" w14:textId="77777777" w:rsidR="0069580C" w:rsidRPr="006B0E06" w:rsidRDefault="0069580C" w:rsidP="0069580C">
            <w:pPr>
              <w:tabs>
                <w:tab w:val="right" w:pos="1202"/>
              </w:tabs>
              <w:spacing w:after="0" w:line="301" w:lineRule="exact"/>
              <w:jc w:val="right"/>
              <w:outlineLvl w:val="0"/>
              <w:rPr>
                <w:rFonts w:asciiTheme="minorHAnsi" w:eastAsia="Times New Roman" w:hAnsiTheme="minorHAnsi" w:cs="Arial"/>
                <w:b/>
                <w:sz w:val="17"/>
                <w:szCs w:val="17"/>
              </w:rPr>
            </w:pPr>
          </w:p>
        </w:tc>
      </w:tr>
      <w:tr w:rsidR="0069580C" w:rsidRPr="006B0E06" w14:paraId="5AA84C14" w14:textId="77777777" w:rsidTr="006B0E06">
        <w:trPr>
          <w:trHeight w:hRule="exact" w:val="226"/>
        </w:trPr>
        <w:tc>
          <w:tcPr>
            <w:tcW w:w="4258" w:type="dxa"/>
            <w:vAlign w:val="bottom"/>
          </w:tcPr>
          <w:p w14:paraId="53204F0E" w14:textId="77777777" w:rsidR="0069580C" w:rsidRPr="006B0E06" w:rsidRDefault="0069580C" w:rsidP="0069580C">
            <w:pPr>
              <w:tabs>
                <w:tab w:val="right" w:pos="1202"/>
              </w:tabs>
              <w:spacing w:after="0" w:line="240" w:lineRule="auto"/>
              <w:outlineLvl w:val="0"/>
              <w:rPr>
                <w:rFonts w:eastAsia="Times New Roman" w:cs="Arial"/>
                <w:b/>
                <w:i/>
                <w:spacing w:val="-2"/>
                <w:sz w:val="17"/>
                <w:szCs w:val="17"/>
              </w:rPr>
            </w:pPr>
            <w:r w:rsidRPr="006B0E06">
              <w:rPr>
                <w:rFonts w:eastAsia="Times New Roman" w:cs="Arial"/>
                <w:b/>
                <w:i/>
                <w:spacing w:val="-2"/>
                <w:sz w:val="17"/>
                <w:szCs w:val="17"/>
              </w:rPr>
              <w:t>Listed equity instruments:</w:t>
            </w:r>
          </w:p>
        </w:tc>
        <w:tc>
          <w:tcPr>
            <w:tcW w:w="943" w:type="dxa"/>
            <w:tcBorders>
              <w:left w:val="nil"/>
              <w:right w:val="nil"/>
            </w:tcBorders>
            <w:shd w:val="clear" w:color="auto" w:fill="auto"/>
            <w:vAlign w:val="bottom"/>
          </w:tcPr>
          <w:p w14:paraId="1985A5C7" w14:textId="77777777" w:rsidR="0069580C" w:rsidRPr="006B0E06" w:rsidRDefault="0069580C" w:rsidP="0069580C">
            <w:pPr>
              <w:tabs>
                <w:tab w:val="right" w:pos="1202"/>
              </w:tabs>
              <w:spacing w:after="0" w:line="301" w:lineRule="exact"/>
              <w:jc w:val="right"/>
              <w:outlineLvl w:val="0"/>
              <w:rPr>
                <w:rFonts w:asciiTheme="minorHAnsi" w:eastAsia="Times New Roman" w:hAnsiTheme="minorHAnsi" w:cs="Arial"/>
                <w:b/>
                <w:sz w:val="17"/>
                <w:szCs w:val="17"/>
              </w:rPr>
            </w:pPr>
          </w:p>
        </w:tc>
        <w:tc>
          <w:tcPr>
            <w:tcW w:w="1066" w:type="dxa"/>
            <w:tcBorders>
              <w:left w:val="nil"/>
              <w:right w:val="nil"/>
            </w:tcBorders>
            <w:shd w:val="clear" w:color="auto" w:fill="auto"/>
            <w:vAlign w:val="bottom"/>
          </w:tcPr>
          <w:p w14:paraId="37358707" w14:textId="77777777" w:rsidR="0069580C" w:rsidRPr="006B0E06" w:rsidRDefault="0069580C" w:rsidP="0069580C">
            <w:pPr>
              <w:tabs>
                <w:tab w:val="right" w:pos="1202"/>
              </w:tabs>
              <w:spacing w:after="0" w:line="301" w:lineRule="exact"/>
              <w:jc w:val="right"/>
              <w:outlineLvl w:val="0"/>
              <w:rPr>
                <w:rFonts w:asciiTheme="minorHAnsi" w:eastAsia="Times New Roman" w:hAnsiTheme="minorHAnsi" w:cs="Arial"/>
                <w:b/>
                <w:sz w:val="17"/>
                <w:szCs w:val="17"/>
              </w:rPr>
            </w:pPr>
          </w:p>
        </w:tc>
        <w:tc>
          <w:tcPr>
            <w:tcW w:w="1068" w:type="dxa"/>
            <w:tcBorders>
              <w:left w:val="nil"/>
              <w:right w:val="nil"/>
            </w:tcBorders>
            <w:shd w:val="clear" w:color="auto" w:fill="auto"/>
            <w:vAlign w:val="bottom"/>
          </w:tcPr>
          <w:p w14:paraId="1B89F92D" w14:textId="77777777" w:rsidR="0069580C" w:rsidRPr="006B0E06" w:rsidRDefault="0069580C" w:rsidP="0069580C">
            <w:pPr>
              <w:tabs>
                <w:tab w:val="right" w:pos="1202"/>
              </w:tabs>
              <w:spacing w:after="0" w:line="301" w:lineRule="exact"/>
              <w:jc w:val="right"/>
              <w:outlineLvl w:val="0"/>
              <w:rPr>
                <w:rFonts w:asciiTheme="minorHAnsi" w:eastAsia="Times New Roman" w:hAnsiTheme="minorHAnsi" w:cs="Arial"/>
                <w:b/>
                <w:sz w:val="17"/>
                <w:szCs w:val="17"/>
              </w:rPr>
            </w:pPr>
          </w:p>
        </w:tc>
        <w:tc>
          <w:tcPr>
            <w:tcW w:w="1066" w:type="dxa"/>
            <w:tcBorders>
              <w:left w:val="nil"/>
              <w:right w:val="nil"/>
            </w:tcBorders>
            <w:shd w:val="clear" w:color="auto" w:fill="auto"/>
            <w:vAlign w:val="bottom"/>
          </w:tcPr>
          <w:p w14:paraId="172900D4" w14:textId="77777777" w:rsidR="0069580C" w:rsidRPr="006B0E06" w:rsidRDefault="0069580C" w:rsidP="0069580C">
            <w:pPr>
              <w:tabs>
                <w:tab w:val="right" w:pos="1202"/>
              </w:tabs>
              <w:spacing w:after="0" w:line="301" w:lineRule="exact"/>
              <w:jc w:val="right"/>
              <w:outlineLvl w:val="0"/>
              <w:rPr>
                <w:rFonts w:asciiTheme="minorHAnsi" w:eastAsia="Times New Roman" w:hAnsiTheme="minorHAnsi" w:cs="Arial"/>
                <w:b/>
                <w:sz w:val="17"/>
                <w:szCs w:val="17"/>
              </w:rPr>
            </w:pPr>
          </w:p>
        </w:tc>
        <w:tc>
          <w:tcPr>
            <w:tcW w:w="1066" w:type="dxa"/>
            <w:tcBorders>
              <w:left w:val="nil"/>
              <w:right w:val="nil"/>
            </w:tcBorders>
            <w:shd w:val="clear" w:color="auto" w:fill="auto"/>
            <w:vAlign w:val="bottom"/>
          </w:tcPr>
          <w:p w14:paraId="1B117173" w14:textId="77777777" w:rsidR="0069580C" w:rsidRPr="006B0E06" w:rsidRDefault="0069580C" w:rsidP="0069580C">
            <w:pPr>
              <w:tabs>
                <w:tab w:val="right" w:pos="1202"/>
              </w:tabs>
              <w:spacing w:after="0" w:line="301" w:lineRule="exact"/>
              <w:jc w:val="right"/>
              <w:outlineLvl w:val="0"/>
              <w:rPr>
                <w:rFonts w:asciiTheme="minorHAnsi" w:eastAsia="Times New Roman" w:hAnsiTheme="minorHAnsi" w:cs="Arial"/>
                <w:b/>
                <w:sz w:val="17"/>
                <w:szCs w:val="17"/>
              </w:rPr>
            </w:pPr>
          </w:p>
        </w:tc>
        <w:tc>
          <w:tcPr>
            <w:tcW w:w="1069" w:type="dxa"/>
            <w:tcBorders>
              <w:left w:val="nil"/>
              <w:right w:val="nil"/>
            </w:tcBorders>
            <w:shd w:val="clear" w:color="auto" w:fill="auto"/>
            <w:vAlign w:val="bottom"/>
          </w:tcPr>
          <w:p w14:paraId="073A179B" w14:textId="77777777" w:rsidR="0069580C" w:rsidRPr="006B0E06" w:rsidRDefault="0069580C" w:rsidP="0069580C">
            <w:pPr>
              <w:tabs>
                <w:tab w:val="right" w:pos="1202"/>
              </w:tabs>
              <w:spacing w:after="0" w:line="301" w:lineRule="exact"/>
              <w:jc w:val="right"/>
              <w:outlineLvl w:val="0"/>
              <w:rPr>
                <w:rFonts w:asciiTheme="minorHAnsi" w:eastAsia="Times New Roman" w:hAnsiTheme="minorHAnsi" w:cs="Arial"/>
                <w:b/>
                <w:sz w:val="17"/>
                <w:szCs w:val="17"/>
              </w:rPr>
            </w:pPr>
          </w:p>
        </w:tc>
      </w:tr>
      <w:tr w:rsidR="00C23E5D" w:rsidRPr="006B0E06" w14:paraId="4422A1F0" w14:textId="77777777" w:rsidTr="005444AA">
        <w:trPr>
          <w:trHeight w:hRule="exact" w:val="241"/>
        </w:trPr>
        <w:tc>
          <w:tcPr>
            <w:tcW w:w="4258" w:type="dxa"/>
            <w:vAlign w:val="bottom"/>
          </w:tcPr>
          <w:p w14:paraId="057B9301" w14:textId="77777777" w:rsidR="00C23E5D" w:rsidRPr="006B0E06" w:rsidRDefault="00C23E5D" w:rsidP="00C23E5D">
            <w:pPr>
              <w:tabs>
                <w:tab w:val="right" w:pos="1202"/>
              </w:tabs>
              <w:spacing w:after="0" w:line="240" w:lineRule="auto"/>
              <w:outlineLvl w:val="0"/>
              <w:rPr>
                <w:rFonts w:eastAsia="Times New Roman" w:cs="Arial"/>
                <w:spacing w:val="-2"/>
                <w:sz w:val="17"/>
                <w:szCs w:val="17"/>
              </w:rPr>
            </w:pPr>
            <w:r w:rsidRPr="006B0E06">
              <w:rPr>
                <w:rFonts w:eastAsia="Times New Roman" w:cs="Arial"/>
                <w:spacing w:val="-2"/>
                <w:sz w:val="17"/>
                <w:szCs w:val="17"/>
              </w:rPr>
              <w:t>Corporate shares</w:t>
            </w:r>
          </w:p>
        </w:tc>
        <w:tc>
          <w:tcPr>
            <w:tcW w:w="943" w:type="dxa"/>
            <w:tcBorders>
              <w:top w:val="single" w:sz="4" w:space="0" w:color="auto"/>
              <w:bottom w:val="single" w:sz="4" w:space="0" w:color="auto"/>
            </w:tcBorders>
            <w:shd w:val="clear" w:color="auto" w:fill="auto"/>
            <w:vAlign w:val="bottom"/>
          </w:tcPr>
          <w:p w14:paraId="70C34AE0" w14:textId="1490423A" w:rsidR="00C23E5D" w:rsidRPr="006B0E06" w:rsidRDefault="00247060" w:rsidP="00C23E5D">
            <w:pPr>
              <w:tabs>
                <w:tab w:val="right" w:pos="1202"/>
              </w:tabs>
              <w:spacing w:after="0" w:line="240" w:lineRule="auto"/>
              <w:jc w:val="right"/>
              <w:outlineLvl w:val="0"/>
              <w:rPr>
                <w:rFonts w:asciiTheme="minorHAnsi" w:eastAsia="Times New Roman" w:hAnsiTheme="minorHAnsi" w:cs="Arial"/>
                <w:sz w:val="17"/>
                <w:szCs w:val="17"/>
              </w:rPr>
            </w:pPr>
            <w:r w:rsidRPr="00247060">
              <w:rPr>
                <w:rFonts w:asciiTheme="minorHAnsi" w:eastAsia="Times New Roman" w:hAnsiTheme="minorHAnsi" w:cs="Arial"/>
                <w:sz w:val="17"/>
                <w:szCs w:val="17"/>
              </w:rPr>
              <w:t>16,805</w:t>
            </w:r>
          </w:p>
        </w:tc>
        <w:tc>
          <w:tcPr>
            <w:tcW w:w="1066" w:type="dxa"/>
            <w:tcBorders>
              <w:top w:val="single" w:sz="4" w:space="0" w:color="auto"/>
              <w:bottom w:val="single" w:sz="4" w:space="0" w:color="auto"/>
            </w:tcBorders>
            <w:shd w:val="clear" w:color="auto" w:fill="auto"/>
            <w:vAlign w:val="bottom"/>
          </w:tcPr>
          <w:p w14:paraId="0F1C7873" w14:textId="6462F97D" w:rsidR="00C23E5D" w:rsidRPr="006B0E06" w:rsidRDefault="00C23E5D" w:rsidP="00C23E5D">
            <w:pPr>
              <w:tabs>
                <w:tab w:val="right" w:pos="1202"/>
              </w:tabs>
              <w:spacing w:after="0" w:line="240" w:lineRule="auto"/>
              <w:jc w:val="right"/>
              <w:outlineLvl w:val="0"/>
              <w:rPr>
                <w:rFonts w:asciiTheme="minorHAnsi" w:eastAsia="Times New Roman" w:hAnsiTheme="minorHAnsi" w:cs="Arial"/>
                <w:sz w:val="17"/>
                <w:szCs w:val="17"/>
              </w:rPr>
            </w:pPr>
            <w:r w:rsidRPr="005444AA">
              <w:rPr>
                <w:rFonts w:asciiTheme="minorHAnsi" w:eastAsia="Times New Roman" w:hAnsiTheme="minorHAnsi" w:cs="Arial"/>
                <w:sz w:val="17"/>
                <w:szCs w:val="17"/>
              </w:rPr>
              <w:t>-</w:t>
            </w:r>
          </w:p>
        </w:tc>
        <w:tc>
          <w:tcPr>
            <w:tcW w:w="1068" w:type="dxa"/>
            <w:tcBorders>
              <w:top w:val="single" w:sz="4" w:space="0" w:color="auto"/>
              <w:bottom w:val="single" w:sz="4" w:space="0" w:color="auto"/>
            </w:tcBorders>
            <w:shd w:val="clear" w:color="auto" w:fill="auto"/>
            <w:vAlign w:val="bottom"/>
          </w:tcPr>
          <w:p w14:paraId="52459E08" w14:textId="440A1A22" w:rsidR="00C23E5D" w:rsidRPr="006B0E06" w:rsidRDefault="00C23E5D" w:rsidP="00C23E5D">
            <w:pPr>
              <w:tabs>
                <w:tab w:val="right" w:pos="1202"/>
              </w:tabs>
              <w:spacing w:after="0" w:line="240" w:lineRule="auto"/>
              <w:jc w:val="right"/>
              <w:outlineLvl w:val="0"/>
              <w:rPr>
                <w:rFonts w:asciiTheme="minorHAnsi" w:eastAsia="Times New Roman" w:hAnsiTheme="minorHAnsi" w:cs="Arial"/>
                <w:sz w:val="17"/>
                <w:szCs w:val="17"/>
              </w:rPr>
            </w:pPr>
            <w:r w:rsidRPr="005444AA">
              <w:rPr>
                <w:rFonts w:asciiTheme="minorHAnsi" w:eastAsia="Times New Roman" w:hAnsiTheme="minorHAnsi" w:cs="Arial"/>
                <w:sz w:val="17"/>
                <w:szCs w:val="17"/>
              </w:rPr>
              <w:t>-</w:t>
            </w:r>
          </w:p>
        </w:tc>
        <w:tc>
          <w:tcPr>
            <w:tcW w:w="1066" w:type="dxa"/>
            <w:tcBorders>
              <w:top w:val="single" w:sz="4" w:space="0" w:color="auto"/>
              <w:bottom w:val="single" w:sz="4" w:space="0" w:color="auto"/>
            </w:tcBorders>
            <w:shd w:val="clear" w:color="auto" w:fill="auto"/>
            <w:vAlign w:val="bottom"/>
          </w:tcPr>
          <w:p w14:paraId="53CC72F8" w14:textId="77777777" w:rsidR="00C23E5D" w:rsidRPr="006B0E06" w:rsidRDefault="00C23E5D" w:rsidP="00C23E5D">
            <w:pPr>
              <w:tabs>
                <w:tab w:val="right" w:pos="1202"/>
              </w:tabs>
              <w:spacing w:after="0" w:line="240" w:lineRule="auto"/>
              <w:jc w:val="right"/>
              <w:outlineLvl w:val="0"/>
              <w:rPr>
                <w:rFonts w:asciiTheme="minorHAnsi" w:eastAsia="Times New Roman" w:hAnsiTheme="minorHAnsi" w:cs="Arial"/>
                <w:sz w:val="17"/>
                <w:szCs w:val="17"/>
              </w:rPr>
            </w:pPr>
            <w:r w:rsidRPr="006B0E06">
              <w:rPr>
                <w:rFonts w:asciiTheme="minorHAnsi" w:eastAsia="Times New Roman" w:hAnsiTheme="minorHAnsi" w:cs="Arial"/>
                <w:sz w:val="17"/>
                <w:szCs w:val="17"/>
              </w:rPr>
              <w:t>10,938</w:t>
            </w:r>
          </w:p>
        </w:tc>
        <w:tc>
          <w:tcPr>
            <w:tcW w:w="1066" w:type="dxa"/>
            <w:tcBorders>
              <w:top w:val="single" w:sz="4" w:space="0" w:color="auto"/>
              <w:bottom w:val="single" w:sz="4" w:space="0" w:color="auto"/>
            </w:tcBorders>
            <w:shd w:val="clear" w:color="auto" w:fill="auto"/>
            <w:vAlign w:val="bottom"/>
          </w:tcPr>
          <w:p w14:paraId="65637AAB" w14:textId="77777777" w:rsidR="00C23E5D" w:rsidRPr="006B0E06" w:rsidRDefault="00C23E5D" w:rsidP="00C23E5D">
            <w:pPr>
              <w:tabs>
                <w:tab w:val="right" w:pos="1202"/>
              </w:tabs>
              <w:spacing w:after="0" w:line="240" w:lineRule="auto"/>
              <w:jc w:val="right"/>
              <w:outlineLvl w:val="0"/>
              <w:rPr>
                <w:rFonts w:asciiTheme="minorHAnsi" w:eastAsia="Times New Roman" w:hAnsiTheme="minorHAnsi" w:cs="Arial"/>
                <w:sz w:val="17"/>
                <w:szCs w:val="17"/>
              </w:rPr>
            </w:pPr>
            <w:r w:rsidRPr="006B0E06">
              <w:rPr>
                <w:rFonts w:asciiTheme="minorHAnsi" w:eastAsia="Times New Roman" w:hAnsiTheme="minorHAnsi" w:cs="Arial"/>
                <w:sz w:val="17"/>
                <w:szCs w:val="17"/>
              </w:rPr>
              <w:t>-</w:t>
            </w:r>
          </w:p>
        </w:tc>
        <w:tc>
          <w:tcPr>
            <w:tcW w:w="1069" w:type="dxa"/>
            <w:tcBorders>
              <w:top w:val="single" w:sz="4" w:space="0" w:color="auto"/>
              <w:bottom w:val="single" w:sz="4" w:space="0" w:color="auto"/>
            </w:tcBorders>
            <w:shd w:val="clear" w:color="auto" w:fill="auto"/>
            <w:vAlign w:val="bottom"/>
          </w:tcPr>
          <w:p w14:paraId="3465E583" w14:textId="77777777" w:rsidR="00C23E5D" w:rsidRPr="006B0E06" w:rsidRDefault="00C23E5D" w:rsidP="00C23E5D">
            <w:pPr>
              <w:tabs>
                <w:tab w:val="right" w:pos="1202"/>
              </w:tabs>
              <w:spacing w:after="0" w:line="240" w:lineRule="auto"/>
              <w:jc w:val="right"/>
              <w:outlineLvl w:val="0"/>
              <w:rPr>
                <w:rFonts w:asciiTheme="minorHAnsi" w:eastAsia="Times New Roman" w:hAnsiTheme="minorHAnsi" w:cs="Arial"/>
                <w:sz w:val="17"/>
                <w:szCs w:val="17"/>
              </w:rPr>
            </w:pPr>
            <w:r w:rsidRPr="006B0E06">
              <w:rPr>
                <w:rFonts w:asciiTheme="minorHAnsi" w:eastAsia="Times New Roman" w:hAnsiTheme="minorHAnsi" w:cs="Arial"/>
                <w:sz w:val="17"/>
                <w:szCs w:val="17"/>
              </w:rPr>
              <w:t>-</w:t>
            </w:r>
          </w:p>
        </w:tc>
      </w:tr>
      <w:tr w:rsidR="0069580C" w:rsidRPr="006B0E06" w14:paraId="49CD742F" w14:textId="77777777" w:rsidTr="006B0E06">
        <w:trPr>
          <w:trHeight w:hRule="exact" w:val="226"/>
        </w:trPr>
        <w:tc>
          <w:tcPr>
            <w:tcW w:w="4258" w:type="dxa"/>
            <w:vAlign w:val="bottom"/>
          </w:tcPr>
          <w:p w14:paraId="7FAB5BBC" w14:textId="77777777" w:rsidR="0069580C" w:rsidRPr="006B0E06" w:rsidRDefault="0069580C" w:rsidP="0069580C">
            <w:pPr>
              <w:tabs>
                <w:tab w:val="right" w:pos="1202"/>
              </w:tabs>
              <w:spacing w:after="0" w:line="240" w:lineRule="auto"/>
              <w:outlineLvl w:val="0"/>
              <w:rPr>
                <w:rFonts w:eastAsia="Times New Roman" w:cs="Arial"/>
                <w:b/>
                <w:spacing w:val="-2"/>
                <w:sz w:val="17"/>
                <w:szCs w:val="17"/>
              </w:rPr>
            </w:pPr>
            <w:r w:rsidRPr="006B0E06">
              <w:rPr>
                <w:rFonts w:eastAsia="Times New Roman" w:cs="Arial"/>
                <w:b/>
                <w:spacing w:val="-2"/>
                <w:sz w:val="17"/>
                <w:szCs w:val="17"/>
              </w:rPr>
              <w:t>Unlisted equity instruments:</w:t>
            </w:r>
            <w:r w:rsidRPr="006B0E06" w:rsidDel="00D51A81">
              <w:rPr>
                <w:rFonts w:eastAsia="Times New Roman" w:cs="Arial"/>
                <w:b/>
                <w:spacing w:val="-2"/>
                <w:sz w:val="17"/>
                <w:szCs w:val="17"/>
              </w:rPr>
              <w:t xml:space="preserve"> </w:t>
            </w:r>
          </w:p>
        </w:tc>
        <w:tc>
          <w:tcPr>
            <w:tcW w:w="943" w:type="dxa"/>
            <w:tcBorders>
              <w:top w:val="single" w:sz="4" w:space="0" w:color="auto"/>
            </w:tcBorders>
            <w:vAlign w:val="bottom"/>
          </w:tcPr>
          <w:p w14:paraId="6BEB3C8C"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6" w:type="dxa"/>
            <w:tcBorders>
              <w:top w:val="single" w:sz="4" w:space="0" w:color="auto"/>
            </w:tcBorders>
            <w:vAlign w:val="bottom"/>
          </w:tcPr>
          <w:p w14:paraId="3A7EAD70"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8" w:type="dxa"/>
            <w:tcBorders>
              <w:top w:val="single" w:sz="4" w:space="0" w:color="auto"/>
            </w:tcBorders>
            <w:vAlign w:val="bottom"/>
          </w:tcPr>
          <w:p w14:paraId="28D06ECA"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6" w:type="dxa"/>
            <w:tcBorders>
              <w:top w:val="single" w:sz="4" w:space="0" w:color="auto"/>
            </w:tcBorders>
            <w:vAlign w:val="bottom"/>
          </w:tcPr>
          <w:p w14:paraId="5F3711B3"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6" w:type="dxa"/>
            <w:tcBorders>
              <w:top w:val="single" w:sz="4" w:space="0" w:color="auto"/>
            </w:tcBorders>
            <w:vAlign w:val="bottom"/>
          </w:tcPr>
          <w:p w14:paraId="5EAEE375"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9" w:type="dxa"/>
            <w:tcBorders>
              <w:top w:val="single" w:sz="4" w:space="0" w:color="auto"/>
            </w:tcBorders>
            <w:vAlign w:val="bottom"/>
          </w:tcPr>
          <w:p w14:paraId="7658DAC3" w14:textId="77777777"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r>
      <w:tr w:rsidR="00247060" w:rsidRPr="006B0E06" w14:paraId="3CED0CD1" w14:textId="77777777" w:rsidTr="006B318F">
        <w:trPr>
          <w:trHeight w:hRule="exact" w:val="283"/>
        </w:trPr>
        <w:tc>
          <w:tcPr>
            <w:tcW w:w="4258" w:type="dxa"/>
            <w:vAlign w:val="bottom"/>
          </w:tcPr>
          <w:p w14:paraId="69EF06F6" w14:textId="77777777" w:rsidR="00247060" w:rsidRPr="006B0E06" w:rsidRDefault="00247060" w:rsidP="00247060">
            <w:pPr>
              <w:tabs>
                <w:tab w:val="right" w:pos="1202"/>
              </w:tabs>
              <w:spacing w:after="0" w:line="240" w:lineRule="auto"/>
              <w:outlineLvl w:val="0"/>
              <w:rPr>
                <w:rFonts w:eastAsia="Times New Roman" w:cs="Arial"/>
                <w:sz w:val="17"/>
                <w:szCs w:val="17"/>
              </w:rPr>
            </w:pPr>
            <w:r w:rsidRPr="006B0E06">
              <w:rPr>
                <w:rFonts w:eastAsia="Times New Roman" w:cs="Arial"/>
                <w:sz w:val="17"/>
                <w:szCs w:val="17"/>
              </w:rPr>
              <w:t>Investment in shares of foreign companies</w:t>
            </w:r>
          </w:p>
        </w:tc>
        <w:tc>
          <w:tcPr>
            <w:tcW w:w="943" w:type="dxa"/>
            <w:tcBorders>
              <w:top w:val="nil"/>
              <w:left w:val="nil"/>
              <w:bottom w:val="nil"/>
              <w:right w:val="nil"/>
            </w:tcBorders>
            <w:shd w:val="clear" w:color="auto" w:fill="auto"/>
            <w:vAlign w:val="bottom"/>
          </w:tcPr>
          <w:p w14:paraId="11EB0E0C" w14:textId="7D4957B9" w:rsidR="00247060" w:rsidRPr="006B318F" w:rsidRDefault="00247060" w:rsidP="00247060">
            <w:pPr>
              <w:tabs>
                <w:tab w:val="right" w:pos="1202"/>
              </w:tabs>
              <w:spacing w:after="0" w:line="301" w:lineRule="exact"/>
              <w:jc w:val="right"/>
              <w:outlineLvl w:val="0"/>
              <w:rPr>
                <w:sz w:val="17"/>
                <w:szCs w:val="17"/>
              </w:rPr>
            </w:pPr>
            <w:r w:rsidRPr="006B318F">
              <w:rPr>
                <w:sz w:val="17"/>
                <w:szCs w:val="17"/>
              </w:rPr>
              <w:t>-</w:t>
            </w:r>
          </w:p>
        </w:tc>
        <w:tc>
          <w:tcPr>
            <w:tcW w:w="1066" w:type="dxa"/>
            <w:tcBorders>
              <w:top w:val="nil"/>
              <w:left w:val="nil"/>
              <w:bottom w:val="nil"/>
              <w:right w:val="nil"/>
            </w:tcBorders>
            <w:shd w:val="clear" w:color="auto" w:fill="auto"/>
            <w:vAlign w:val="bottom"/>
          </w:tcPr>
          <w:p w14:paraId="01868D73" w14:textId="01B75E4E" w:rsidR="00247060" w:rsidRPr="005444AA" w:rsidRDefault="00247060" w:rsidP="00247060">
            <w:pPr>
              <w:tabs>
                <w:tab w:val="right" w:pos="1202"/>
              </w:tabs>
              <w:spacing w:after="0" w:line="301" w:lineRule="exact"/>
              <w:jc w:val="right"/>
              <w:outlineLvl w:val="0"/>
              <w:rPr>
                <w:sz w:val="17"/>
                <w:szCs w:val="17"/>
              </w:rPr>
            </w:pPr>
            <w:r w:rsidRPr="006B318F">
              <w:rPr>
                <w:sz w:val="17"/>
                <w:szCs w:val="17"/>
              </w:rPr>
              <w:t>35</w:t>
            </w:r>
          </w:p>
        </w:tc>
        <w:tc>
          <w:tcPr>
            <w:tcW w:w="1068" w:type="dxa"/>
            <w:shd w:val="clear" w:color="auto" w:fill="auto"/>
            <w:vAlign w:val="bottom"/>
          </w:tcPr>
          <w:p w14:paraId="21ED12E7" w14:textId="72A980D1" w:rsidR="00247060" w:rsidRPr="006B318F" w:rsidRDefault="00247060" w:rsidP="00247060">
            <w:pPr>
              <w:tabs>
                <w:tab w:val="right" w:pos="1202"/>
              </w:tabs>
              <w:spacing w:after="0" w:line="301" w:lineRule="exact"/>
              <w:jc w:val="right"/>
              <w:outlineLvl w:val="0"/>
              <w:rPr>
                <w:sz w:val="17"/>
                <w:szCs w:val="17"/>
              </w:rPr>
            </w:pPr>
            <w:r w:rsidRPr="006B318F">
              <w:rPr>
                <w:sz w:val="17"/>
                <w:szCs w:val="17"/>
              </w:rPr>
              <w:t>-</w:t>
            </w:r>
          </w:p>
        </w:tc>
        <w:tc>
          <w:tcPr>
            <w:tcW w:w="1066" w:type="dxa"/>
            <w:shd w:val="clear" w:color="auto" w:fill="auto"/>
            <w:vAlign w:val="bottom"/>
          </w:tcPr>
          <w:p w14:paraId="1EFADC26" w14:textId="77777777" w:rsidR="00247060" w:rsidRPr="006B0E06" w:rsidRDefault="00247060" w:rsidP="00247060">
            <w:pPr>
              <w:tabs>
                <w:tab w:val="right" w:pos="1202"/>
              </w:tabs>
              <w:spacing w:after="0" w:line="301" w:lineRule="exact"/>
              <w:jc w:val="right"/>
              <w:outlineLvl w:val="0"/>
              <w:rPr>
                <w:rFonts w:eastAsia="Times New Roman" w:cs="Arial"/>
                <w:sz w:val="17"/>
                <w:szCs w:val="17"/>
              </w:rPr>
            </w:pPr>
            <w:r w:rsidRPr="006B0E06">
              <w:rPr>
                <w:sz w:val="17"/>
                <w:szCs w:val="17"/>
              </w:rPr>
              <w:t>-</w:t>
            </w:r>
          </w:p>
        </w:tc>
        <w:tc>
          <w:tcPr>
            <w:tcW w:w="1066" w:type="dxa"/>
            <w:tcBorders>
              <w:top w:val="nil"/>
              <w:left w:val="nil"/>
              <w:bottom w:val="nil"/>
              <w:right w:val="nil"/>
            </w:tcBorders>
            <w:shd w:val="clear" w:color="auto" w:fill="auto"/>
            <w:vAlign w:val="bottom"/>
          </w:tcPr>
          <w:p w14:paraId="18DC4D93" w14:textId="77777777" w:rsidR="00247060" w:rsidRPr="006B0E06" w:rsidRDefault="00247060" w:rsidP="00247060">
            <w:pPr>
              <w:tabs>
                <w:tab w:val="right" w:pos="1202"/>
              </w:tabs>
              <w:spacing w:after="0" w:line="301" w:lineRule="exact"/>
              <w:jc w:val="right"/>
              <w:outlineLvl w:val="0"/>
              <w:rPr>
                <w:rFonts w:eastAsia="Times New Roman" w:cs="Arial"/>
                <w:sz w:val="17"/>
                <w:szCs w:val="17"/>
              </w:rPr>
            </w:pPr>
            <w:r w:rsidRPr="006B0E06">
              <w:rPr>
                <w:sz w:val="17"/>
                <w:szCs w:val="17"/>
              </w:rPr>
              <w:t>32</w:t>
            </w:r>
          </w:p>
        </w:tc>
        <w:tc>
          <w:tcPr>
            <w:tcW w:w="1069" w:type="dxa"/>
            <w:shd w:val="clear" w:color="auto" w:fill="auto"/>
            <w:vAlign w:val="bottom"/>
          </w:tcPr>
          <w:p w14:paraId="5698BF3B" w14:textId="77777777" w:rsidR="00247060" w:rsidRPr="006B0E06" w:rsidRDefault="00247060" w:rsidP="00247060">
            <w:pPr>
              <w:tabs>
                <w:tab w:val="right" w:pos="1202"/>
              </w:tabs>
              <w:spacing w:after="0" w:line="301" w:lineRule="exact"/>
              <w:jc w:val="right"/>
              <w:outlineLvl w:val="0"/>
              <w:rPr>
                <w:rFonts w:eastAsia="Times New Roman" w:cs="Arial"/>
                <w:sz w:val="17"/>
                <w:szCs w:val="17"/>
              </w:rPr>
            </w:pPr>
            <w:r w:rsidRPr="006B0E06">
              <w:rPr>
                <w:sz w:val="17"/>
                <w:szCs w:val="17"/>
              </w:rPr>
              <w:t>-</w:t>
            </w:r>
          </w:p>
        </w:tc>
      </w:tr>
      <w:tr w:rsidR="00247060" w:rsidRPr="006B0E06" w14:paraId="3FF1506A" w14:textId="77777777" w:rsidTr="006B318F">
        <w:trPr>
          <w:trHeight w:hRule="exact" w:val="283"/>
        </w:trPr>
        <w:tc>
          <w:tcPr>
            <w:tcW w:w="4258" w:type="dxa"/>
            <w:vAlign w:val="bottom"/>
          </w:tcPr>
          <w:p w14:paraId="6D118FEE" w14:textId="77777777" w:rsidR="00247060" w:rsidRPr="006B0E06" w:rsidRDefault="00247060" w:rsidP="00247060">
            <w:pPr>
              <w:tabs>
                <w:tab w:val="right" w:pos="1202"/>
              </w:tabs>
              <w:spacing w:after="0" w:line="240" w:lineRule="auto"/>
              <w:outlineLvl w:val="0"/>
              <w:rPr>
                <w:rFonts w:eastAsia="Times New Roman" w:cs="Arial"/>
                <w:sz w:val="17"/>
                <w:szCs w:val="17"/>
              </w:rPr>
            </w:pPr>
            <w:r w:rsidRPr="006B0E06">
              <w:rPr>
                <w:rFonts w:eastAsia="Times New Roman" w:cs="Arial"/>
                <w:sz w:val="17"/>
                <w:szCs w:val="17"/>
              </w:rPr>
              <w:t xml:space="preserve">Investment in financial institutions shares </w:t>
            </w:r>
          </w:p>
        </w:tc>
        <w:tc>
          <w:tcPr>
            <w:tcW w:w="943" w:type="dxa"/>
            <w:tcBorders>
              <w:top w:val="nil"/>
              <w:left w:val="nil"/>
              <w:bottom w:val="nil"/>
              <w:right w:val="nil"/>
            </w:tcBorders>
            <w:shd w:val="clear" w:color="auto" w:fill="auto"/>
            <w:vAlign w:val="bottom"/>
          </w:tcPr>
          <w:p w14:paraId="55CB8DC7" w14:textId="6BBFD1C1" w:rsidR="00247060" w:rsidRPr="006B318F" w:rsidRDefault="00247060" w:rsidP="00247060">
            <w:pPr>
              <w:tabs>
                <w:tab w:val="right" w:pos="1202"/>
              </w:tabs>
              <w:spacing w:after="0" w:line="301" w:lineRule="exact"/>
              <w:jc w:val="right"/>
              <w:outlineLvl w:val="0"/>
              <w:rPr>
                <w:sz w:val="17"/>
                <w:szCs w:val="17"/>
              </w:rPr>
            </w:pPr>
            <w:r w:rsidRPr="006B318F">
              <w:rPr>
                <w:sz w:val="17"/>
                <w:szCs w:val="17"/>
              </w:rPr>
              <w:t>-</w:t>
            </w:r>
          </w:p>
        </w:tc>
        <w:tc>
          <w:tcPr>
            <w:tcW w:w="1066" w:type="dxa"/>
            <w:tcBorders>
              <w:top w:val="nil"/>
              <w:left w:val="nil"/>
              <w:bottom w:val="nil"/>
              <w:right w:val="nil"/>
            </w:tcBorders>
            <w:shd w:val="clear" w:color="auto" w:fill="auto"/>
            <w:vAlign w:val="bottom"/>
          </w:tcPr>
          <w:p w14:paraId="7D0AEFEB" w14:textId="38DEC563" w:rsidR="00247060" w:rsidRPr="005444AA" w:rsidRDefault="00247060" w:rsidP="00247060">
            <w:pPr>
              <w:tabs>
                <w:tab w:val="right" w:pos="1202"/>
              </w:tabs>
              <w:spacing w:after="0" w:line="301" w:lineRule="exact"/>
              <w:jc w:val="right"/>
              <w:outlineLvl w:val="0"/>
              <w:rPr>
                <w:sz w:val="17"/>
                <w:szCs w:val="17"/>
              </w:rPr>
            </w:pPr>
            <w:r w:rsidRPr="006B318F">
              <w:rPr>
                <w:sz w:val="17"/>
                <w:szCs w:val="17"/>
              </w:rPr>
              <w:t>161</w:t>
            </w:r>
          </w:p>
        </w:tc>
        <w:tc>
          <w:tcPr>
            <w:tcW w:w="1068" w:type="dxa"/>
            <w:shd w:val="clear" w:color="auto" w:fill="auto"/>
            <w:vAlign w:val="bottom"/>
          </w:tcPr>
          <w:p w14:paraId="27A30867" w14:textId="55472C92" w:rsidR="00247060" w:rsidRPr="006B318F" w:rsidRDefault="00247060" w:rsidP="00247060">
            <w:pPr>
              <w:tabs>
                <w:tab w:val="right" w:pos="1202"/>
              </w:tabs>
              <w:spacing w:after="0" w:line="301" w:lineRule="exact"/>
              <w:jc w:val="right"/>
              <w:outlineLvl w:val="0"/>
              <w:rPr>
                <w:sz w:val="17"/>
                <w:szCs w:val="17"/>
              </w:rPr>
            </w:pPr>
            <w:r w:rsidRPr="006B318F">
              <w:rPr>
                <w:sz w:val="17"/>
                <w:szCs w:val="17"/>
              </w:rPr>
              <w:t>-</w:t>
            </w:r>
          </w:p>
        </w:tc>
        <w:tc>
          <w:tcPr>
            <w:tcW w:w="1066" w:type="dxa"/>
            <w:tcBorders>
              <w:top w:val="nil"/>
              <w:left w:val="nil"/>
              <w:bottom w:val="nil"/>
              <w:right w:val="nil"/>
            </w:tcBorders>
            <w:shd w:val="clear" w:color="auto" w:fill="auto"/>
            <w:vAlign w:val="bottom"/>
          </w:tcPr>
          <w:p w14:paraId="34861EFA" w14:textId="77777777" w:rsidR="00247060" w:rsidRPr="006B0E06" w:rsidRDefault="00247060" w:rsidP="00247060">
            <w:pPr>
              <w:tabs>
                <w:tab w:val="right" w:pos="1202"/>
              </w:tabs>
              <w:spacing w:after="0" w:line="301" w:lineRule="exact"/>
              <w:jc w:val="right"/>
              <w:outlineLvl w:val="0"/>
              <w:rPr>
                <w:rFonts w:eastAsia="Times New Roman" w:cs="Arial"/>
                <w:sz w:val="17"/>
                <w:szCs w:val="17"/>
              </w:rPr>
            </w:pPr>
            <w:r w:rsidRPr="006B0E06">
              <w:rPr>
                <w:sz w:val="17"/>
                <w:szCs w:val="17"/>
              </w:rPr>
              <w:t>-</w:t>
            </w:r>
          </w:p>
        </w:tc>
        <w:tc>
          <w:tcPr>
            <w:tcW w:w="1066" w:type="dxa"/>
            <w:tcBorders>
              <w:top w:val="nil"/>
              <w:left w:val="nil"/>
              <w:bottom w:val="nil"/>
              <w:right w:val="nil"/>
            </w:tcBorders>
            <w:shd w:val="clear" w:color="auto" w:fill="auto"/>
            <w:vAlign w:val="bottom"/>
          </w:tcPr>
          <w:p w14:paraId="185F2235" w14:textId="77777777" w:rsidR="00247060" w:rsidRPr="006B0E06" w:rsidRDefault="00247060" w:rsidP="00247060">
            <w:pPr>
              <w:tabs>
                <w:tab w:val="right" w:pos="1202"/>
              </w:tabs>
              <w:spacing w:after="0" w:line="301" w:lineRule="exact"/>
              <w:jc w:val="right"/>
              <w:outlineLvl w:val="0"/>
              <w:rPr>
                <w:rFonts w:eastAsia="Times New Roman" w:cs="Arial"/>
                <w:sz w:val="17"/>
                <w:szCs w:val="17"/>
              </w:rPr>
            </w:pPr>
            <w:r w:rsidRPr="006B0E06">
              <w:rPr>
                <w:sz w:val="17"/>
                <w:szCs w:val="17"/>
              </w:rPr>
              <w:t>161</w:t>
            </w:r>
          </w:p>
        </w:tc>
        <w:tc>
          <w:tcPr>
            <w:tcW w:w="1069" w:type="dxa"/>
            <w:tcBorders>
              <w:top w:val="nil"/>
              <w:left w:val="nil"/>
              <w:bottom w:val="nil"/>
              <w:right w:val="nil"/>
            </w:tcBorders>
            <w:shd w:val="clear" w:color="auto" w:fill="auto"/>
            <w:vAlign w:val="bottom"/>
          </w:tcPr>
          <w:p w14:paraId="14B00660" w14:textId="77777777" w:rsidR="00247060" w:rsidRPr="006B0E06" w:rsidRDefault="00247060" w:rsidP="00247060">
            <w:pPr>
              <w:tabs>
                <w:tab w:val="right" w:pos="1202"/>
              </w:tabs>
              <w:spacing w:after="0" w:line="301" w:lineRule="exact"/>
              <w:jc w:val="right"/>
              <w:outlineLvl w:val="0"/>
              <w:rPr>
                <w:rFonts w:eastAsia="Times New Roman" w:cs="Arial"/>
                <w:sz w:val="17"/>
                <w:szCs w:val="17"/>
              </w:rPr>
            </w:pPr>
            <w:r w:rsidRPr="006B0E06">
              <w:rPr>
                <w:sz w:val="17"/>
                <w:szCs w:val="17"/>
              </w:rPr>
              <w:t>-</w:t>
            </w:r>
          </w:p>
        </w:tc>
      </w:tr>
      <w:tr w:rsidR="00247060" w:rsidRPr="006B0E06" w14:paraId="3229367A" w14:textId="77777777" w:rsidTr="006B318F">
        <w:trPr>
          <w:trHeight w:hRule="exact" w:val="283"/>
        </w:trPr>
        <w:tc>
          <w:tcPr>
            <w:tcW w:w="4258" w:type="dxa"/>
            <w:vAlign w:val="bottom"/>
          </w:tcPr>
          <w:p w14:paraId="27A6CD8C" w14:textId="77777777" w:rsidR="00247060" w:rsidRPr="006B0E06" w:rsidRDefault="00247060" w:rsidP="00247060">
            <w:pPr>
              <w:tabs>
                <w:tab w:val="right" w:pos="1202"/>
              </w:tabs>
              <w:spacing w:after="0" w:line="240" w:lineRule="auto"/>
              <w:outlineLvl w:val="0"/>
              <w:rPr>
                <w:rFonts w:eastAsia="Times New Roman" w:cs="Arial"/>
                <w:sz w:val="17"/>
                <w:szCs w:val="17"/>
              </w:rPr>
            </w:pPr>
            <w:r w:rsidRPr="006B0E06">
              <w:rPr>
                <w:rFonts w:eastAsia="Times New Roman" w:cs="Arial"/>
                <w:sz w:val="17"/>
                <w:szCs w:val="17"/>
              </w:rPr>
              <w:t>Shares of foreign financial institutions – EIF</w:t>
            </w:r>
          </w:p>
        </w:tc>
        <w:tc>
          <w:tcPr>
            <w:tcW w:w="943" w:type="dxa"/>
            <w:tcBorders>
              <w:top w:val="nil"/>
              <w:left w:val="nil"/>
              <w:bottom w:val="nil"/>
              <w:right w:val="nil"/>
            </w:tcBorders>
            <w:shd w:val="clear" w:color="auto" w:fill="auto"/>
            <w:vAlign w:val="bottom"/>
          </w:tcPr>
          <w:p w14:paraId="452841EF" w14:textId="2685D36D" w:rsidR="00247060" w:rsidRPr="006B318F" w:rsidRDefault="00247060" w:rsidP="00247060">
            <w:pPr>
              <w:tabs>
                <w:tab w:val="right" w:pos="1202"/>
              </w:tabs>
              <w:spacing w:after="0" w:line="301" w:lineRule="exact"/>
              <w:jc w:val="right"/>
              <w:outlineLvl w:val="0"/>
              <w:rPr>
                <w:sz w:val="17"/>
                <w:szCs w:val="17"/>
              </w:rPr>
            </w:pPr>
            <w:r w:rsidRPr="006B318F">
              <w:rPr>
                <w:sz w:val="17"/>
                <w:szCs w:val="17"/>
              </w:rPr>
              <w:t>-</w:t>
            </w:r>
          </w:p>
        </w:tc>
        <w:tc>
          <w:tcPr>
            <w:tcW w:w="1066" w:type="dxa"/>
            <w:tcBorders>
              <w:top w:val="nil"/>
              <w:left w:val="nil"/>
              <w:bottom w:val="nil"/>
              <w:right w:val="nil"/>
            </w:tcBorders>
            <w:shd w:val="clear" w:color="auto" w:fill="auto"/>
            <w:vAlign w:val="bottom"/>
          </w:tcPr>
          <w:p w14:paraId="34765201" w14:textId="770CD622" w:rsidR="00247060" w:rsidRPr="005444AA" w:rsidRDefault="00247060" w:rsidP="00247060">
            <w:pPr>
              <w:tabs>
                <w:tab w:val="right" w:pos="1202"/>
              </w:tabs>
              <w:spacing w:after="0" w:line="301" w:lineRule="exact"/>
              <w:jc w:val="right"/>
              <w:outlineLvl w:val="0"/>
              <w:rPr>
                <w:sz w:val="17"/>
                <w:szCs w:val="17"/>
              </w:rPr>
            </w:pPr>
            <w:r w:rsidRPr="006B318F">
              <w:rPr>
                <w:sz w:val="17"/>
                <w:szCs w:val="17"/>
              </w:rPr>
              <w:t>25,371</w:t>
            </w:r>
          </w:p>
        </w:tc>
        <w:tc>
          <w:tcPr>
            <w:tcW w:w="1068" w:type="dxa"/>
            <w:shd w:val="clear" w:color="auto" w:fill="auto"/>
            <w:vAlign w:val="bottom"/>
          </w:tcPr>
          <w:p w14:paraId="3A34C495" w14:textId="427FD8E0" w:rsidR="00247060" w:rsidRPr="006B318F" w:rsidRDefault="00247060" w:rsidP="00247060">
            <w:pPr>
              <w:tabs>
                <w:tab w:val="right" w:pos="1202"/>
              </w:tabs>
              <w:spacing w:after="0" w:line="301" w:lineRule="exact"/>
              <w:jc w:val="right"/>
              <w:outlineLvl w:val="0"/>
              <w:rPr>
                <w:sz w:val="17"/>
                <w:szCs w:val="17"/>
              </w:rPr>
            </w:pPr>
            <w:r w:rsidRPr="006B318F">
              <w:rPr>
                <w:sz w:val="17"/>
                <w:szCs w:val="17"/>
              </w:rPr>
              <w:t>-</w:t>
            </w:r>
          </w:p>
        </w:tc>
        <w:tc>
          <w:tcPr>
            <w:tcW w:w="1066" w:type="dxa"/>
            <w:tcBorders>
              <w:top w:val="nil"/>
              <w:left w:val="nil"/>
              <w:bottom w:val="nil"/>
              <w:right w:val="nil"/>
            </w:tcBorders>
            <w:shd w:val="clear" w:color="auto" w:fill="auto"/>
            <w:vAlign w:val="bottom"/>
          </w:tcPr>
          <w:p w14:paraId="15666844" w14:textId="77777777" w:rsidR="00247060" w:rsidRPr="006B0E06" w:rsidRDefault="00247060" w:rsidP="00247060">
            <w:pPr>
              <w:tabs>
                <w:tab w:val="right" w:pos="1202"/>
              </w:tabs>
              <w:spacing w:after="0" w:line="301" w:lineRule="exact"/>
              <w:jc w:val="right"/>
              <w:outlineLvl w:val="0"/>
              <w:rPr>
                <w:rFonts w:eastAsia="Times New Roman" w:cs="Arial"/>
                <w:sz w:val="17"/>
                <w:szCs w:val="17"/>
              </w:rPr>
            </w:pPr>
            <w:r w:rsidRPr="006B0E06">
              <w:rPr>
                <w:sz w:val="17"/>
                <w:szCs w:val="17"/>
              </w:rPr>
              <w:t>-</w:t>
            </w:r>
          </w:p>
        </w:tc>
        <w:tc>
          <w:tcPr>
            <w:tcW w:w="1066" w:type="dxa"/>
            <w:tcBorders>
              <w:top w:val="nil"/>
              <w:left w:val="nil"/>
              <w:bottom w:val="nil"/>
              <w:right w:val="nil"/>
            </w:tcBorders>
            <w:shd w:val="clear" w:color="auto" w:fill="auto"/>
            <w:vAlign w:val="bottom"/>
          </w:tcPr>
          <w:p w14:paraId="14BAADE8" w14:textId="77777777" w:rsidR="00247060" w:rsidRPr="006B0E06" w:rsidRDefault="00247060" w:rsidP="00247060">
            <w:pPr>
              <w:tabs>
                <w:tab w:val="right" w:pos="1202"/>
              </w:tabs>
              <w:spacing w:after="0" w:line="301" w:lineRule="exact"/>
              <w:jc w:val="right"/>
              <w:outlineLvl w:val="0"/>
              <w:rPr>
                <w:rFonts w:eastAsia="Times New Roman" w:cs="Arial"/>
                <w:sz w:val="17"/>
                <w:szCs w:val="17"/>
              </w:rPr>
            </w:pPr>
            <w:r w:rsidRPr="006B0E06">
              <w:rPr>
                <w:sz w:val="17"/>
                <w:szCs w:val="17"/>
              </w:rPr>
              <w:t>25,815</w:t>
            </w:r>
          </w:p>
        </w:tc>
        <w:tc>
          <w:tcPr>
            <w:tcW w:w="1069" w:type="dxa"/>
            <w:tcBorders>
              <w:top w:val="nil"/>
              <w:left w:val="nil"/>
              <w:bottom w:val="nil"/>
              <w:right w:val="nil"/>
            </w:tcBorders>
            <w:shd w:val="clear" w:color="auto" w:fill="auto"/>
            <w:vAlign w:val="bottom"/>
          </w:tcPr>
          <w:p w14:paraId="58AE4F68" w14:textId="77777777" w:rsidR="00247060" w:rsidRPr="006B0E06" w:rsidRDefault="00247060" w:rsidP="00247060">
            <w:pPr>
              <w:tabs>
                <w:tab w:val="right" w:pos="1202"/>
              </w:tabs>
              <w:spacing w:after="0" w:line="301" w:lineRule="exact"/>
              <w:jc w:val="right"/>
              <w:outlineLvl w:val="0"/>
              <w:rPr>
                <w:rFonts w:eastAsia="Times New Roman" w:cs="Arial"/>
                <w:sz w:val="17"/>
                <w:szCs w:val="17"/>
              </w:rPr>
            </w:pPr>
            <w:r w:rsidRPr="006B0E06">
              <w:rPr>
                <w:sz w:val="17"/>
                <w:szCs w:val="17"/>
              </w:rPr>
              <w:t>-</w:t>
            </w:r>
          </w:p>
        </w:tc>
      </w:tr>
      <w:tr w:rsidR="00247060" w:rsidRPr="006B0E06" w14:paraId="425D18A8" w14:textId="77777777" w:rsidTr="006B318F">
        <w:trPr>
          <w:trHeight w:hRule="exact" w:val="306"/>
        </w:trPr>
        <w:tc>
          <w:tcPr>
            <w:tcW w:w="4258" w:type="dxa"/>
            <w:vAlign w:val="bottom"/>
          </w:tcPr>
          <w:p w14:paraId="721BBD29" w14:textId="77777777" w:rsidR="00247060" w:rsidRPr="006B0E06" w:rsidRDefault="00247060" w:rsidP="00247060">
            <w:pPr>
              <w:tabs>
                <w:tab w:val="right" w:pos="1202"/>
              </w:tabs>
              <w:spacing w:after="0" w:line="240" w:lineRule="auto"/>
              <w:outlineLvl w:val="0"/>
              <w:rPr>
                <w:rFonts w:eastAsia="Times New Roman" w:cs="Arial"/>
                <w:spacing w:val="-2"/>
                <w:sz w:val="17"/>
                <w:szCs w:val="17"/>
              </w:rPr>
            </w:pPr>
            <w:r w:rsidRPr="006B0E06">
              <w:rPr>
                <w:rFonts w:eastAsia="Times New Roman" w:cs="Arial"/>
                <w:spacing w:val="-2"/>
                <w:sz w:val="17"/>
                <w:szCs w:val="17"/>
              </w:rPr>
              <w:t xml:space="preserve">Corporate shares </w:t>
            </w:r>
          </w:p>
        </w:tc>
        <w:tc>
          <w:tcPr>
            <w:tcW w:w="943" w:type="dxa"/>
            <w:tcBorders>
              <w:top w:val="nil"/>
              <w:left w:val="nil"/>
              <w:bottom w:val="nil"/>
              <w:right w:val="nil"/>
            </w:tcBorders>
            <w:shd w:val="clear" w:color="auto" w:fill="auto"/>
            <w:vAlign w:val="bottom"/>
          </w:tcPr>
          <w:p w14:paraId="2D34BBBE" w14:textId="3DAFF366" w:rsidR="00247060" w:rsidRPr="006B0E06" w:rsidRDefault="00247060" w:rsidP="00247060">
            <w:pPr>
              <w:tabs>
                <w:tab w:val="right" w:pos="1202"/>
              </w:tabs>
              <w:spacing w:after="0" w:line="301" w:lineRule="exact"/>
              <w:jc w:val="right"/>
              <w:outlineLvl w:val="0"/>
              <w:rPr>
                <w:sz w:val="17"/>
                <w:szCs w:val="17"/>
              </w:rPr>
            </w:pPr>
            <w:r w:rsidRPr="006B318F">
              <w:rPr>
                <w:sz w:val="17"/>
                <w:szCs w:val="17"/>
              </w:rPr>
              <w:t>-</w:t>
            </w:r>
          </w:p>
        </w:tc>
        <w:tc>
          <w:tcPr>
            <w:tcW w:w="1066" w:type="dxa"/>
            <w:tcBorders>
              <w:top w:val="nil"/>
              <w:left w:val="nil"/>
              <w:bottom w:val="nil"/>
              <w:right w:val="nil"/>
            </w:tcBorders>
            <w:shd w:val="clear" w:color="auto" w:fill="auto"/>
            <w:vAlign w:val="bottom"/>
          </w:tcPr>
          <w:p w14:paraId="5B132696" w14:textId="22196AB8" w:rsidR="00247060" w:rsidRPr="006B0E06" w:rsidRDefault="00247060" w:rsidP="00247060">
            <w:pPr>
              <w:tabs>
                <w:tab w:val="right" w:pos="1202"/>
              </w:tabs>
              <w:spacing w:after="0" w:line="301" w:lineRule="exact"/>
              <w:jc w:val="right"/>
              <w:outlineLvl w:val="0"/>
              <w:rPr>
                <w:sz w:val="17"/>
                <w:szCs w:val="17"/>
              </w:rPr>
            </w:pPr>
            <w:r w:rsidRPr="006B318F">
              <w:rPr>
                <w:sz w:val="17"/>
                <w:szCs w:val="17"/>
              </w:rPr>
              <w:t>-</w:t>
            </w:r>
          </w:p>
        </w:tc>
        <w:tc>
          <w:tcPr>
            <w:tcW w:w="1068" w:type="dxa"/>
            <w:shd w:val="clear" w:color="auto" w:fill="auto"/>
            <w:vAlign w:val="bottom"/>
          </w:tcPr>
          <w:p w14:paraId="08BC3C09" w14:textId="441FE671" w:rsidR="00247060" w:rsidRPr="006B0E06" w:rsidRDefault="00247060" w:rsidP="00247060">
            <w:pPr>
              <w:tabs>
                <w:tab w:val="right" w:pos="1202"/>
              </w:tabs>
              <w:spacing w:after="0" w:line="301" w:lineRule="exact"/>
              <w:jc w:val="right"/>
              <w:outlineLvl w:val="0"/>
              <w:rPr>
                <w:sz w:val="17"/>
                <w:szCs w:val="17"/>
              </w:rPr>
            </w:pPr>
            <w:r w:rsidRPr="006B318F">
              <w:rPr>
                <w:sz w:val="17"/>
                <w:szCs w:val="17"/>
              </w:rPr>
              <w:t>-</w:t>
            </w:r>
          </w:p>
        </w:tc>
        <w:tc>
          <w:tcPr>
            <w:tcW w:w="1066" w:type="dxa"/>
            <w:tcBorders>
              <w:top w:val="nil"/>
              <w:left w:val="nil"/>
              <w:bottom w:val="nil"/>
              <w:right w:val="nil"/>
            </w:tcBorders>
            <w:shd w:val="clear" w:color="auto" w:fill="auto"/>
            <w:vAlign w:val="bottom"/>
          </w:tcPr>
          <w:p w14:paraId="3857DC31" w14:textId="77777777" w:rsidR="00247060" w:rsidRPr="006B0E06" w:rsidRDefault="00247060" w:rsidP="00247060">
            <w:pPr>
              <w:tabs>
                <w:tab w:val="right" w:pos="1202"/>
              </w:tabs>
              <w:spacing w:after="0" w:line="301" w:lineRule="exact"/>
              <w:jc w:val="right"/>
              <w:outlineLvl w:val="0"/>
              <w:rPr>
                <w:sz w:val="17"/>
                <w:szCs w:val="17"/>
              </w:rPr>
            </w:pPr>
            <w:r w:rsidRPr="006B0E06">
              <w:rPr>
                <w:sz w:val="17"/>
                <w:szCs w:val="17"/>
              </w:rPr>
              <w:t>-</w:t>
            </w:r>
          </w:p>
        </w:tc>
        <w:tc>
          <w:tcPr>
            <w:tcW w:w="1066" w:type="dxa"/>
            <w:tcBorders>
              <w:top w:val="nil"/>
              <w:left w:val="nil"/>
              <w:bottom w:val="nil"/>
              <w:right w:val="nil"/>
            </w:tcBorders>
            <w:shd w:val="clear" w:color="auto" w:fill="auto"/>
            <w:vAlign w:val="bottom"/>
          </w:tcPr>
          <w:p w14:paraId="1DA7231D" w14:textId="77777777" w:rsidR="00247060" w:rsidRPr="006B0E06" w:rsidRDefault="00247060" w:rsidP="00247060">
            <w:pPr>
              <w:tabs>
                <w:tab w:val="right" w:pos="1202"/>
              </w:tabs>
              <w:spacing w:after="0" w:line="301" w:lineRule="exact"/>
              <w:jc w:val="right"/>
              <w:outlineLvl w:val="0"/>
              <w:rPr>
                <w:sz w:val="17"/>
                <w:szCs w:val="17"/>
              </w:rPr>
            </w:pPr>
            <w:r w:rsidRPr="006B0E06">
              <w:rPr>
                <w:sz w:val="17"/>
                <w:szCs w:val="17"/>
              </w:rPr>
              <w:t>-</w:t>
            </w:r>
          </w:p>
        </w:tc>
        <w:tc>
          <w:tcPr>
            <w:tcW w:w="1069" w:type="dxa"/>
            <w:tcBorders>
              <w:top w:val="nil"/>
              <w:left w:val="nil"/>
              <w:bottom w:val="nil"/>
              <w:right w:val="nil"/>
            </w:tcBorders>
            <w:shd w:val="clear" w:color="auto" w:fill="auto"/>
            <w:vAlign w:val="bottom"/>
          </w:tcPr>
          <w:p w14:paraId="2FFAC4CF" w14:textId="77777777" w:rsidR="00247060" w:rsidRPr="006B0E06" w:rsidRDefault="00247060" w:rsidP="00247060">
            <w:pPr>
              <w:tabs>
                <w:tab w:val="right" w:pos="1202"/>
              </w:tabs>
              <w:spacing w:after="0" w:line="301" w:lineRule="exact"/>
              <w:jc w:val="right"/>
              <w:outlineLvl w:val="0"/>
              <w:rPr>
                <w:sz w:val="17"/>
                <w:szCs w:val="17"/>
              </w:rPr>
            </w:pPr>
            <w:r w:rsidRPr="006B0E06">
              <w:rPr>
                <w:sz w:val="17"/>
                <w:szCs w:val="17"/>
              </w:rPr>
              <w:t>-</w:t>
            </w:r>
          </w:p>
        </w:tc>
      </w:tr>
      <w:tr w:rsidR="00247060" w:rsidRPr="006B0E06" w14:paraId="30EE20F5" w14:textId="77777777" w:rsidTr="006B0E06">
        <w:trPr>
          <w:trHeight w:hRule="exact" w:val="279"/>
        </w:trPr>
        <w:tc>
          <w:tcPr>
            <w:tcW w:w="4258" w:type="dxa"/>
            <w:vAlign w:val="bottom"/>
          </w:tcPr>
          <w:p w14:paraId="0887CE9C" w14:textId="77777777" w:rsidR="00247060" w:rsidRPr="006B0E06" w:rsidRDefault="00247060" w:rsidP="00247060">
            <w:pPr>
              <w:tabs>
                <w:tab w:val="right" w:pos="1202"/>
              </w:tabs>
              <w:spacing w:after="0" w:line="240" w:lineRule="auto"/>
              <w:outlineLvl w:val="0"/>
              <w:rPr>
                <w:rFonts w:eastAsia="Times New Roman" w:cs="Arial"/>
                <w:b/>
                <w:sz w:val="17"/>
                <w:szCs w:val="17"/>
              </w:rPr>
            </w:pPr>
            <w:r w:rsidRPr="006B0E06">
              <w:rPr>
                <w:rFonts w:eastAsia="Times New Roman" w:cs="Arial"/>
                <w:b/>
                <w:sz w:val="17"/>
                <w:szCs w:val="17"/>
              </w:rPr>
              <w:t xml:space="preserve">Total equity instruments </w:t>
            </w:r>
          </w:p>
        </w:tc>
        <w:tc>
          <w:tcPr>
            <w:tcW w:w="943" w:type="dxa"/>
            <w:tcBorders>
              <w:top w:val="single" w:sz="4" w:space="0" w:color="auto"/>
              <w:left w:val="nil"/>
              <w:bottom w:val="single" w:sz="8" w:space="0" w:color="auto"/>
              <w:right w:val="nil"/>
            </w:tcBorders>
            <w:shd w:val="clear" w:color="auto" w:fill="auto"/>
            <w:vAlign w:val="bottom"/>
          </w:tcPr>
          <w:p w14:paraId="5D0DE786" w14:textId="16D84F7A" w:rsidR="00247060" w:rsidRPr="006B0E06" w:rsidRDefault="00247060" w:rsidP="00247060">
            <w:pPr>
              <w:tabs>
                <w:tab w:val="right" w:pos="1202"/>
              </w:tabs>
              <w:spacing w:after="0" w:line="240" w:lineRule="auto"/>
              <w:jc w:val="right"/>
              <w:outlineLvl w:val="0"/>
              <w:rPr>
                <w:rFonts w:asciiTheme="minorHAnsi" w:eastAsia="Times New Roman" w:hAnsiTheme="minorHAnsi" w:cs="Arial"/>
                <w:b/>
                <w:sz w:val="17"/>
                <w:szCs w:val="17"/>
              </w:rPr>
            </w:pPr>
            <w:r w:rsidRPr="005E3806">
              <w:rPr>
                <w:rFonts w:eastAsia="Times New Roman" w:cs="Arial"/>
                <w:b/>
                <w:sz w:val="17"/>
                <w:szCs w:val="17"/>
              </w:rPr>
              <w:t>16</w:t>
            </w:r>
            <w:r>
              <w:rPr>
                <w:rFonts w:eastAsia="Times New Roman" w:cs="Arial"/>
                <w:b/>
                <w:sz w:val="17"/>
                <w:szCs w:val="17"/>
              </w:rPr>
              <w:t>,</w:t>
            </w:r>
            <w:r w:rsidRPr="005E3806">
              <w:rPr>
                <w:rFonts w:eastAsia="Times New Roman" w:cs="Arial"/>
                <w:b/>
                <w:sz w:val="17"/>
                <w:szCs w:val="17"/>
              </w:rPr>
              <w:t>805</w:t>
            </w:r>
          </w:p>
        </w:tc>
        <w:tc>
          <w:tcPr>
            <w:tcW w:w="1066" w:type="dxa"/>
            <w:tcBorders>
              <w:top w:val="single" w:sz="4" w:space="0" w:color="auto"/>
              <w:left w:val="nil"/>
              <w:bottom w:val="single" w:sz="8" w:space="0" w:color="auto"/>
              <w:right w:val="nil"/>
            </w:tcBorders>
            <w:shd w:val="clear" w:color="auto" w:fill="auto"/>
            <w:vAlign w:val="bottom"/>
          </w:tcPr>
          <w:p w14:paraId="7977EA00" w14:textId="036DA74F" w:rsidR="00247060" w:rsidRPr="006B0E06" w:rsidRDefault="00247060" w:rsidP="00247060">
            <w:pPr>
              <w:tabs>
                <w:tab w:val="right" w:pos="1202"/>
              </w:tabs>
              <w:spacing w:after="0" w:line="240" w:lineRule="auto"/>
              <w:jc w:val="right"/>
              <w:outlineLvl w:val="0"/>
              <w:rPr>
                <w:rFonts w:asciiTheme="minorHAnsi" w:eastAsia="Times New Roman" w:hAnsiTheme="minorHAnsi" w:cs="Arial"/>
                <w:b/>
                <w:sz w:val="17"/>
                <w:szCs w:val="17"/>
              </w:rPr>
            </w:pPr>
            <w:r w:rsidRPr="005E3806">
              <w:rPr>
                <w:rFonts w:eastAsia="Times New Roman" w:cs="Arial"/>
                <w:b/>
                <w:sz w:val="17"/>
                <w:szCs w:val="17"/>
              </w:rPr>
              <w:t>25</w:t>
            </w:r>
            <w:r>
              <w:rPr>
                <w:rFonts w:eastAsia="Times New Roman" w:cs="Arial"/>
                <w:b/>
                <w:sz w:val="17"/>
                <w:szCs w:val="17"/>
              </w:rPr>
              <w:t>,</w:t>
            </w:r>
            <w:r w:rsidRPr="005E3806">
              <w:rPr>
                <w:rFonts w:eastAsia="Times New Roman" w:cs="Arial"/>
                <w:b/>
                <w:sz w:val="17"/>
                <w:szCs w:val="17"/>
              </w:rPr>
              <w:t>567</w:t>
            </w:r>
          </w:p>
        </w:tc>
        <w:tc>
          <w:tcPr>
            <w:tcW w:w="1068" w:type="dxa"/>
            <w:tcBorders>
              <w:top w:val="single" w:sz="4" w:space="0" w:color="auto"/>
              <w:left w:val="nil"/>
              <w:bottom w:val="single" w:sz="8" w:space="0" w:color="auto"/>
              <w:right w:val="nil"/>
            </w:tcBorders>
            <w:shd w:val="clear" w:color="auto" w:fill="auto"/>
            <w:vAlign w:val="bottom"/>
          </w:tcPr>
          <w:p w14:paraId="0858F88A" w14:textId="20B826B7" w:rsidR="00247060" w:rsidRPr="006B0E06" w:rsidRDefault="00247060" w:rsidP="00247060">
            <w:pPr>
              <w:tabs>
                <w:tab w:val="right" w:pos="1202"/>
              </w:tabs>
              <w:spacing w:after="0" w:line="301" w:lineRule="exact"/>
              <w:jc w:val="right"/>
              <w:outlineLvl w:val="0"/>
              <w:rPr>
                <w:b/>
                <w:sz w:val="17"/>
                <w:szCs w:val="17"/>
              </w:rPr>
            </w:pPr>
            <w:r>
              <w:rPr>
                <w:rFonts w:eastAsia="Times New Roman" w:cs="Arial"/>
                <w:b/>
                <w:sz w:val="17"/>
                <w:szCs w:val="17"/>
              </w:rPr>
              <w:t>-</w:t>
            </w:r>
          </w:p>
        </w:tc>
        <w:tc>
          <w:tcPr>
            <w:tcW w:w="1066" w:type="dxa"/>
            <w:tcBorders>
              <w:top w:val="single" w:sz="4" w:space="0" w:color="auto"/>
              <w:left w:val="nil"/>
              <w:bottom w:val="single" w:sz="8" w:space="0" w:color="auto"/>
              <w:right w:val="nil"/>
            </w:tcBorders>
            <w:shd w:val="clear" w:color="auto" w:fill="auto"/>
            <w:vAlign w:val="bottom"/>
          </w:tcPr>
          <w:p w14:paraId="58438765" w14:textId="77777777" w:rsidR="00247060" w:rsidRPr="006B0E06" w:rsidRDefault="00247060" w:rsidP="00247060">
            <w:pPr>
              <w:tabs>
                <w:tab w:val="right" w:pos="1202"/>
              </w:tabs>
              <w:spacing w:after="0" w:line="240" w:lineRule="auto"/>
              <w:jc w:val="right"/>
              <w:outlineLvl w:val="0"/>
              <w:rPr>
                <w:rFonts w:asciiTheme="minorHAnsi" w:eastAsia="Times New Roman" w:hAnsiTheme="minorHAnsi" w:cs="Arial"/>
                <w:b/>
                <w:sz w:val="17"/>
                <w:szCs w:val="17"/>
              </w:rPr>
            </w:pPr>
            <w:r w:rsidRPr="006B0E06">
              <w:rPr>
                <w:rFonts w:asciiTheme="minorHAnsi" w:eastAsia="Times New Roman" w:hAnsiTheme="minorHAnsi" w:cs="Arial"/>
                <w:b/>
                <w:sz w:val="17"/>
                <w:szCs w:val="17"/>
              </w:rPr>
              <w:t>10,938</w:t>
            </w:r>
          </w:p>
        </w:tc>
        <w:tc>
          <w:tcPr>
            <w:tcW w:w="1066" w:type="dxa"/>
            <w:tcBorders>
              <w:top w:val="single" w:sz="4" w:space="0" w:color="auto"/>
              <w:left w:val="nil"/>
              <w:bottom w:val="single" w:sz="8" w:space="0" w:color="auto"/>
              <w:right w:val="nil"/>
            </w:tcBorders>
            <w:shd w:val="clear" w:color="auto" w:fill="auto"/>
            <w:vAlign w:val="bottom"/>
          </w:tcPr>
          <w:p w14:paraId="31AE0F8D" w14:textId="77777777" w:rsidR="00247060" w:rsidRPr="006B0E06" w:rsidRDefault="00247060" w:rsidP="00247060">
            <w:pPr>
              <w:tabs>
                <w:tab w:val="right" w:pos="1202"/>
              </w:tabs>
              <w:spacing w:after="0" w:line="240" w:lineRule="auto"/>
              <w:jc w:val="right"/>
              <w:outlineLvl w:val="0"/>
              <w:rPr>
                <w:rFonts w:asciiTheme="minorHAnsi" w:eastAsia="Times New Roman" w:hAnsiTheme="minorHAnsi" w:cs="Arial"/>
                <w:b/>
                <w:sz w:val="17"/>
                <w:szCs w:val="17"/>
              </w:rPr>
            </w:pPr>
            <w:r w:rsidRPr="006B0E06">
              <w:rPr>
                <w:rFonts w:asciiTheme="minorHAnsi" w:eastAsia="Times New Roman" w:hAnsiTheme="minorHAnsi" w:cs="Arial"/>
                <w:b/>
                <w:sz w:val="17"/>
                <w:szCs w:val="17"/>
              </w:rPr>
              <w:t>26,008</w:t>
            </w:r>
          </w:p>
        </w:tc>
        <w:tc>
          <w:tcPr>
            <w:tcW w:w="1069" w:type="dxa"/>
            <w:tcBorders>
              <w:top w:val="single" w:sz="4" w:space="0" w:color="auto"/>
              <w:left w:val="nil"/>
              <w:bottom w:val="single" w:sz="8" w:space="0" w:color="auto"/>
              <w:right w:val="nil"/>
            </w:tcBorders>
            <w:shd w:val="clear" w:color="auto" w:fill="auto"/>
            <w:vAlign w:val="bottom"/>
          </w:tcPr>
          <w:p w14:paraId="7D97503D" w14:textId="77777777" w:rsidR="00247060" w:rsidRPr="006B0E06" w:rsidRDefault="00247060" w:rsidP="00247060">
            <w:pPr>
              <w:tabs>
                <w:tab w:val="right" w:pos="1202"/>
              </w:tabs>
              <w:spacing w:after="0" w:line="301" w:lineRule="exact"/>
              <w:jc w:val="right"/>
              <w:outlineLvl w:val="0"/>
              <w:rPr>
                <w:b/>
                <w:sz w:val="17"/>
                <w:szCs w:val="17"/>
              </w:rPr>
            </w:pPr>
            <w:r w:rsidRPr="006B0E06">
              <w:rPr>
                <w:b/>
                <w:sz w:val="17"/>
                <w:szCs w:val="17"/>
              </w:rPr>
              <w:t>-</w:t>
            </w:r>
          </w:p>
        </w:tc>
      </w:tr>
      <w:tr w:rsidR="0069580C" w:rsidRPr="006B0E06" w14:paraId="080184A6" w14:textId="77777777" w:rsidTr="00166751">
        <w:trPr>
          <w:trHeight w:hRule="exact" w:val="226"/>
        </w:trPr>
        <w:tc>
          <w:tcPr>
            <w:tcW w:w="4258" w:type="dxa"/>
            <w:vAlign w:val="bottom"/>
          </w:tcPr>
          <w:p w14:paraId="3A7326F4" w14:textId="77777777" w:rsidR="0069580C" w:rsidRPr="006B0E06" w:rsidRDefault="0069580C" w:rsidP="0069580C">
            <w:pPr>
              <w:tabs>
                <w:tab w:val="right" w:pos="1202"/>
              </w:tabs>
              <w:spacing w:after="0" w:line="240" w:lineRule="auto"/>
              <w:outlineLvl w:val="0"/>
              <w:rPr>
                <w:rFonts w:eastAsia="Times New Roman" w:cs="Arial"/>
                <w:b/>
                <w:i/>
                <w:sz w:val="17"/>
                <w:szCs w:val="17"/>
              </w:rPr>
            </w:pPr>
            <w:r w:rsidRPr="006B0E06">
              <w:rPr>
                <w:rFonts w:eastAsia="Times New Roman" w:cs="Arial"/>
                <w:b/>
                <w:i/>
                <w:sz w:val="17"/>
                <w:szCs w:val="17"/>
              </w:rPr>
              <w:t>Investments in investment funds:</w:t>
            </w:r>
          </w:p>
        </w:tc>
        <w:tc>
          <w:tcPr>
            <w:tcW w:w="943" w:type="dxa"/>
            <w:tcBorders>
              <w:top w:val="single" w:sz="12" w:space="0" w:color="auto"/>
            </w:tcBorders>
            <w:vAlign w:val="bottom"/>
          </w:tcPr>
          <w:p w14:paraId="6EAA3136" w14:textId="77777777" w:rsidR="0069580C" w:rsidRPr="006B0E06" w:rsidRDefault="0069580C" w:rsidP="0069580C">
            <w:pPr>
              <w:tabs>
                <w:tab w:val="right" w:pos="1202"/>
              </w:tabs>
              <w:spacing w:after="0" w:line="240" w:lineRule="auto"/>
              <w:jc w:val="right"/>
              <w:outlineLvl w:val="0"/>
              <w:rPr>
                <w:rFonts w:eastAsia="Times New Roman" w:cs="Arial"/>
                <w:b/>
                <w:sz w:val="17"/>
                <w:szCs w:val="17"/>
              </w:rPr>
            </w:pPr>
          </w:p>
        </w:tc>
        <w:tc>
          <w:tcPr>
            <w:tcW w:w="1066" w:type="dxa"/>
            <w:tcBorders>
              <w:top w:val="single" w:sz="12" w:space="0" w:color="auto"/>
            </w:tcBorders>
            <w:vAlign w:val="bottom"/>
          </w:tcPr>
          <w:p w14:paraId="122EC4E7" w14:textId="77777777" w:rsidR="0069580C" w:rsidRPr="006B0E06" w:rsidRDefault="0069580C" w:rsidP="0069580C">
            <w:pPr>
              <w:tabs>
                <w:tab w:val="right" w:pos="1202"/>
              </w:tabs>
              <w:spacing w:after="0" w:line="240" w:lineRule="auto"/>
              <w:jc w:val="right"/>
              <w:outlineLvl w:val="0"/>
              <w:rPr>
                <w:rFonts w:eastAsia="Times New Roman" w:cs="Arial"/>
                <w:b/>
                <w:sz w:val="17"/>
                <w:szCs w:val="17"/>
              </w:rPr>
            </w:pPr>
          </w:p>
        </w:tc>
        <w:tc>
          <w:tcPr>
            <w:tcW w:w="1068" w:type="dxa"/>
            <w:tcBorders>
              <w:top w:val="single" w:sz="12" w:space="0" w:color="auto"/>
            </w:tcBorders>
            <w:vAlign w:val="bottom"/>
          </w:tcPr>
          <w:p w14:paraId="27449521" w14:textId="77777777" w:rsidR="0069580C" w:rsidRPr="006B0E06" w:rsidRDefault="0069580C" w:rsidP="0069580C">
            <w:pPr>
              <w:tabs>
                <w:tab w:val="right" w:pos="1202"/>
              </w:tabs>
              <w:spacing w:after="0" w:line="240" w:lineRule="auto"/>
              <w:jc w:val="right"/>
              <w:outlineLvl w:val="0"/>
              <w:rPr>
                <w:rFonts w:eastAsia="Times New Roman" w:cs="Arial"/>
                <w:b/>
                <w:sz w:val="17"/>
                <w:szCs w:val="17"/>
              </w:rPr>
            </w:pPr>
          </w:p>
        </w:tc>
        <w:tc>
          <w:tcPr>
            <w:tcW w:w="1066" w:type="dxa"/>
            <w:tcBorders>
              <w:top w:val="single" w:sz="12" w:space="0" w:color="auto"/>
            </w:tcBorders>
            <w:vAlign w:val="bottom"/>
          </w:tcPr>
          <w:p w14:paraId="0D19EA35" w14:textId="77777777" w:rsidR="0069580C" w:rsidRPr="006B0E06" w:rsidRDefault="0069580C" w:rsidP="0069580C">
            <w:pPr>
              <w:tabs>
                <w:tab w:val="right" w:pos="1202"/>
              </w:tabs>
              <w:spacing w:after="0" w:line="240" w:lineRule="auto"/>
              <w:jc w:val="right"/>
              <w:outlineLvl w:val="0"/>
              <w:rPr>
                <w:rFonts w:eastAsia="Times New Roman" w:cs="Arial"/>
                <w:b/>
                <w:sz w:val="17"/>
                <w:szCs w:val="17"/>
              </w:rPr>
            </w:pPr>
          </w:p>
        </w:tc>
        <w:tc>
          <w:tcPr>
            <w:tcW w:w="1066" w:type="dxa"/>
            <w:tcBorders>
              <w:top w:val="single" w:sz="12" w:space="0" w:color="auto"/>
            </w:tcBorders>
            <w:vAlign w:val="bottom"/>
          </w:tcPr>
          <w:p w14:paraId="363AB737" w14:textId="77777777" w:rsidR="0069580C" w:rsidRPr="006B0E06" w:rsidRDefault="0069580C" w:rsidP="0069580C">
            <w:pPr>
              <w:tabs>
                <w:tab w:val="right" w:pos="1202"/>
              </w:tabs>
              <w:spacing w:after="0" w:line="240" w:lineRule="auto"/>
              <w:jc w:val="right"/>
              <w:outlineLvl w:val="0"/>
              <w:rPr>
                <w:rFonts w:eastAsia="Times New Roman" w:cs="Arial"/>
                <w:b/>
                <w:sz w:val="17"/>
                <w:szCs w:val="17"/>
              </w:rPr>
            </w:pPr>
          </w:p>
        </w:tc>
        <w:tc>
          <w:tcPr>
            <w:tcW w:w="1069" w:type="dxa"/>
            <w:tcBorders>
              <w:top w:val="single" w:sz="12" w:space="0" w:color="auto"/>
            </w:tcBorders>
            <w:vAlign w:val="bottom"/>
          </w:tcPr>
          <w:p w14:paraId="05938928" w14:textId="77777777" w:rsidR="0069580C" w:rsidRPr="006B0E06" w:rsidRDefault="0069580C" w:rsidP="0069580C">
            <w:pPr>
              <w:tabs>
                <w:tab w:val="right" w:pos="1202"/>
              </w:tabs>
              <w:spacing w:after="0" w:line="240" w:lineRule="auto"/>
              <w:jc w:val="right"/>
              <w:outlineLvl w:val="0"/>
              <w:rPr>
                <w:rFonts w:eastAsia="Times New Roman" w:cs="Arial"/>
                <w:b/>
                <w:sz w:val="17"/>
                <w:szCs w:val="17"/>
              </w:rPr>
            </w:pPr>
          </w:p>
        </w:tc>
      </w:tr>
      <w:tr w:rsidR="0069580C" w:rsidRPr="006B0E06" w14:paraId="305F5AA0" w14:textId="77777777" w:rsidTr="00166751">
        <w:trPr>
          <w:trHeight w:hRule="exact" w:val="283"/>
        </w:trPr>
        <w:tc>
          <w:tcPr>
            <w:tcW w:w="4258" w:type="dxa"/>
            <w:vAlign w:val="bottom"/>
          </w:tcPr>
          <w:p w14:paraId="3D4A81DD" w14:textId="77777777" w:rsidR="0069580C" w:rsidRPr="006B0E06" w:rsidRDefault="0069580C" w:rsidP="0069580C">
            <w:pPr>
              <w:tabs>
                <w:tab w:val="right" w:pos="1202"/>
              </w:tabs>
              <w:spacing w:after="0" w:line="240" w:lineRule="auto"/>
              <w:outlineLvl w:val="0"/>
              <w:rPr>
                <w:rFonts w:eastAsia="Times New Roman" w:cs="Arial"/>
                <w:b/>
                <w:i/>
                <w:sz w:val="17"/>
                <w:szCs w:val="17"/>
              </w:rPr>
            </w:pPr>
            <w:r w:rsidRPr="006B0E06">
              <w:rPr>
                <w:rFonts w:eastAsia="Times New Roman" w:cs="Arial"/>
                <w:sz w:val="17"/>
                <w:szCs w:val="17"/>
              </w:rPr>
              <w:t>Shares classified as assets available for sale</w:t>
            </w:r>
          </w:p>
        </w:tc>
        <w:tc>
          <w:tcPr>
            <w:tcW w:w="943" w:type="dxa"/>
            <w:tcBorders>
              <w:top w:val="nil"/>
              <w:left w:val="nil"/>
              <w:right w:val="nil"/>
            </w:tcBorders>
            <w:shd w:val="clear" w:color="auto" w:fill="auto"/>
            <w:vAlign w:val="bottom"/>
          </w:tcPr>
          <w:p w14:paraId="6E64BF8B" w14:textId="53B209FA" w:rsidR="0069580C" w:rsidRPr="006B318F" w:rsidRDefault="00247060" w:rsidP="0069580C">
            <w:pPr>
              <w:tabs>
                <w:tab w:val="right" w:pos="1202"/>
              </w:tabs>
              <w:spacing w:after="0" w:line="301" w:lineRule="exact"/>
              <w:jc w:val="right"/>
              <w:outlineLvl w:val="0"/>
              <w:rPr>
                <w:sz w:val="17"/>
                <w:szCs w:val="17"/>
              </w:rPr>
            </w:pPr>
            <w:r w:rsidRPr="006B318F">
              <w:rPr>
                <w:sz w:val="17"/>
                <w:szCs w:val="17"/>
              </w:rPr>
              <w:t>813,982</w:t>
            </w:r>
          </w:p>
        </w:tc>
        <w:tc>
          <w:tcPr>
            <w:tcW w:w="1066" w:type="dxa"/>
            <w:tcBorders>
              <w:top w:val="nil"/>
              <w:left w:val="nil"/>
              <w:right w:val="nil"/>
            </w:tcBorders>
            <w:shd w:val="clear" w:color="auto" w:fill="auto"/>
            <w:vAlign w:val="bottom"/>
          </w:tcPr>
          <w:p w14:paraId="2A15238B" w14:textId="77777777" w:rsidR="0069580C" w:rsidRPr="006B318F" w:rsidRDefault="0069580C" w:rsidP="0069580C">
            <w:pPr>
              <w:tabs>
                <w:tab w:val="right" w:pos="1202"/>
              </w:tabs>
              <w:spacing w:after="0" w:line="301" w:lineRule="exact"/>
              <w:jc w:val="right"/>
              <w:outlineLvl w:val="0"/>
              <w:rPr>
                <w:sz w:val="17"/>
                <w:szCs w:val="17"/>
              </w:rPr>
            </w:pPr>
            <w:r w:rsidRPr="006B318F">
              <w:rPr>
                <w:sz w:val="17"/>
                <w:szCs w:val="17"/>
              </w:rPr>
              <w:t>-</w:t>
            </w:r>
          </w:p>
        </w:tc>
        <w:tc>
          <w:tcPr>
            <w:tcW w:w="1068" w:type="dxa"/>
            <w:tcBorders>
              <w:top w:val="nil"/>
              <w:left w:val="nil"/>
              <w:right w:val="nil"/>
            </w:tcBorders>
            <w:shd w:val="clear" w:color="auto" w:fill="auto"/>
            <w:vAlign w:val="bottom"/>
          </w:tcPr>
          <w:p w14:paraId="080162A4" w14:textId="77777777" w:rsidR="0069580C" w:rsidRPr="006B0E06" w:rsidRDefault="0069580C" w:rsidP="0069580C">
            <w:pPr>
              <w:tabs>
                <w:tab w:val="right" w:pos="1202"/>
              </w:tabs>
              <w:spacing w:after="0" w:line="301" w:lineRule="exact"/>
              <w:jc w:val="right"/>
              <w:outlineLvl w:val="0"/>
              <w:rPr>
                <w:rFonts w:eastAsia="Times New Roman" w:cs="Arial"/>
                <w:sz w:val="17"/>
                <w:szCs w:val="17"/>
              </w:rPr>
            </w:pPr>
            <w:r>
              <w:rPr>
                <w:rFonts w:eastAsia="Times New Roman" w:cs="Arial"/>
                <w:sz w:val="17"/>
                <w:szCs w:val="17"/>
              </w:rPr>
              <w:t>-</w:t>
            </w:r>
          </w:p>
        </w:tc>
        <w:tc>
          <w:tcPr>
            <w:tcW w:w="1066" w:type="dxa"/>
            <w:tcBorders>
              <w:top w:val="nil"/>
              <w:left w:val="nil"/>
              <w:right w:val="nil"/>
            </w:tcBorders>
            <w:shd w:val="clear" w:color="auto" w:fill="auto"/>
            <w:vAlign w:val="bottom"/>
          </w:tcPr>
          <w:p w14:paraId="3831EA92" w14:textId="77777777" w:rsidR="0069580C" w:rsidRPr="006B0E06" w:rsidRDefault="0069580C" w:rsidP="0069580C">
            <w:pPr>
              <w:tabs>
                <w:tab w:val="right" w:pos="1202"/>
              </w:tabs>
              <w:spacing w:after="0" w:line="301" w:lineRule="exact"/>
              <w:jc w:val="right"/>
              <w:outlineLvl w:val="0"/>
              <w:rPr>
                <w:rFonts w:eastAsia="Times New Roman" w:cs="Arial"/>
                <w:sz w:val="17"/>
                <w:szCs w:val="17"/>
              </w:rPr>
            </w:pPr>
            <w:r w:rsidRPr="006B0E06">
              <w:rPr>
                <w:sz w:val="17"/>
                <w:szCs w:val="17"/>
              </w:rPr>
              <w:t>909,614</w:t>
            </w:r>
          </w:p>
        </w:tc>
        <w:tc>
          <w:tcPr>
            <w:tcW w:w="1066" w:type="dxa"/>
            <w:tcBorders>
              <w:top w:val="nil"/>
              <w:left w:val="nil"/>
              <w:right w:val="nil"/>
            </w:tcBorders>
            <w:shd w:val="clear" w:color="auto" w:fill="auto"/>
            <w:vAlign w:val="bottom"/>
          </w:tcPr>
          <w:p w14:paraId="6E00B755" w14:textId="77777777" w:rsidR="0069580C" w:rsidRPr="006B0E06" w:rsidRDefault="0069580C" w:rsidP="0069580C">
            <w:pPr>
              <w:tabs>
                <w:tab w:val="right" w:pos="1202"/>
              </w:tabs>
              <w:spacing w:after="0" w:line="301" w:lineRule="exact"/>
              <w:jc w:val="right"/>
              <w:outlineLvl w:val="0"/>
              <w:rPr>
                <w:rFonts w:eastAsia="Times New Roman" w:cs="Arial"/>
                <w:sz w:val="17"/>
                <w:szCs w:val="17"/>
              </w:rPr>
            </w:pPr>
            <w:r w:rsidRPr="006B0E06">
              <w:rPr>
                <w:sz w:val="17"/>
                <w:szCs w:val="17"/>
              </w:rPr>
              <w:t>-</w:t>
            </w:r>
          </w:p>
        </w:tc>
        <w:tc>
          <w:tcPr>
            <w:tcW w:w="1069" w:type="dxa"/>
            <w:tcBorders>
              <w:top w:val="nil"/>
              <w:left w:val="nil"/>
              <w:right w:val="nil"/>
            </w:tcBorders>
            <w:shd w:val="clear" w:color="auto" w:fill="auto"/>
            <w:vAlign w:val="bottom"/>
          </w:tcPr>
          <w:p w14:paraId="2C861EFB" w14:textId="77777777" w:rsidR="0069580C" w:rsidRPr="006B0E06" w:rsidRDefault="0069580C" w:rsidP="0069580C">
            <w:pPr>
              <w:tabs>
                <w:tab w:val="right" w:pos="1202"/>
              </w:tabs>
              <w:spacing w:after="0" w:line="301" w:lineRule="exact"/>
              <w:jc w:val="right"/>
              <w:outlineLvl w:val="0"/>
              <w:rPr>
                <w:rFonts w:eastAsia="Times New Roman" w:cs="Arial"/>
                <w:sz w:val="17"/>
                <w:szCs w:val="17"/>
              </w:rPr>
            </w:pPr>
            <w:r w:rsidRPr="006B0E06">
              <w:rPr>
                <w:sz w:val="17"/>
                <w:szCs w:val="17"/>
              </w:rPr>
              <w:t>-</w:t>
            </w:r>
          </w:p>
        </w:tc>
      </w:tr>
      <w:tr w:rsidR="0069580C" w:rsidRPr="006B0E06" w14:paraId="55FA9BAB" w14:textId="77777777" w:rsidTr="00166751">
        <w:trPr>
          <w:trHeight w:hRule="exact" w:val="55"/>
        </w:trPr>
        <w:tc>
          <w:tcPr>
            <w:tcW w:w="4258" w:type="dxa"/>
            <w:vMerge w:val="restart"/>
            <w:vAlign w:val="bottom"/>
          </w:tcPr>
          <w:p w14:paraId="552484FD" w14:textId="77777777" w:rsidR="0069580C" w:rsidRPr="006B0E06" w:rsidRDefault="0069580C" w:rsidP="0069580C">
            <w:pPr>
              <w:tabs>
                <w:tab w:val="right" w:pos="1202"/>
              </w:tabs>
              <w:spacing w:after="0" w:line="240" w:lineRule="auto"/>
              <w:outlineLvl w:val="0"/>
              <w:rPr>
                <w:rFonts w:eastAsia="Times New Roman" w:cs="Arial"/>
                <w:b/>
                <w:sz w:val="17"/>
                <w:szCs w:val="17"/>
              </w:rPr>
            </w:pPr>
            <w:r w:rsidRPr="006B0E06">
              <w:rPr>
                <w:rFonts w:eastAsia="Times New Roman" w:cs="Arial"/>
                <w:b/>
                <w:sz w:val="17"/>
                <w:szCs w:val="17"/>
              </w:rPr>
              <w:t xml:space="preserve">Total investments in investment funds </w:t>
            </w:r>
          </w:p>
        </w:tc>
        <w:tc>
          <w:tcPr>
            <w:tcW w:w="943" w:type="dxa"/>
            <w:tcBorders>
              <w:left w:val="nil"/>
              <w:bottom w:val="single" w:sz="12" w:space="0" w:color="auto"/>
              <w:right w:val="nil"/>
            </w:tcBorders>
            <w:shd w:val="clear" w:color="auto" w:fill="auto"/>
            <w:vAlign w:val="bottom"/>
          </w:tcPr>
          <w:p w14:paraId="750EC815" w14:textId="7035B14E" w:rsidR="0069580C" w:rsidRPr="006B0E06" w:rsidRDefault="0069580C" w:rsidP="0069580C">
            <w:pPr>
              <w:tabs>
                <w:tab w:val="right" w:pos="1202"/>
              </w:tabs>
              <w:spacing w:after="0" w:line="301" w:lineRule="exact"/>
              <w:jc w:val="right"/>
              <w:outlineLvl w:val="0"/>
              <w:rPr>
                <w:rFonts w:eastAsia="Times New Roman" w:cs="Arial"/>
                <w:b/>
                <w:sz w:val="17"/>
                <w:szCs w:val="17"/>
              </w:rPr>
            </w:pPr>
          </w:p>
        </w:tc>
        <w:tc>
          <w:tcPr>
            <w:tcW w:w="1066" w:type="dxa"/>
            <w:tcBorders>
              <w:left w:val="nil"/>
              <w:bottom w:val="single" w:sz="12" w:space="0" w:color="auto"/>
              <w:right w:val="nil"/>
            </w:tcBorders>
            <w:shd w:val="clear" w:color="auto" w:fill="auto"/>
            <w:vAlign w:val="bottom"/>
          </w:tcPr>
          <w:p w14:paraId="531EB63A" w14:textId="77777777" w:rsidR="0069580C" w:rsidRPr="006B0E06" w:rsidRDefault="0069580C" w:rsidP="0069580C">
            <w:pPr>
              <w:tabs>
                <w:tab w:val="right" w:pos="1202"/>
              </w:tabs>
              <w:spacing w:after="0" w:line="301" w:lineRule="exact"/>
              <w:jc w:val="right"/>
              <w:outlineLvl w:val="0"/>
              <w:rPr>
                <w:rFonts w:eastAsia="Times New Roman" w:cs="Arial"/>
                <w:b/>
                <w:sz w:val="17"/>
                <w:szCs w:val="17"/>
              </w:rPr>
            </w:pPr>
            <w:r>
              <w:rPr>
                <w:b/>
                <w:bCs/>
                <w:color w:val="000000"/>
                <w:sz w:val="17"/>
                <w:szCs w:val="17"/>
              </w:rPr>
              <w:t>-</w:t>
            </w:r>
          </w:p>
        </w:tc>
        <w:tc>
          <w:tcPr>
            <w:tcW w:w="1068" w:type="dxa"/>
            <w:tcBorders>
              <w:left w:val="nil"/>
              <w:bottom w:val="single" w:sz="12" w:space="0" w:color="auto"/>
              <w:right w:val="nil"/>
            </w:tcBorders>
            <w:shd w:val="clear" w:color="auto" w:fill="auto"/>
            <w:vAlign w:val="bottom"/>
          </w:tcPr>
          <w:p w14:paraId="5C41BEC9" w14:textId="77777777" w:rsidR="0069580C" w:rsidRPr="006B0E06" w:rsidRDefault="0069580C" w:rsidP="0069580C">
            <w:pPr>
              <w:tabs>
                <w:tab w:val="right" w:pos="1202"/>
              </w:tabs>
              <w:spacing w:after="0" w:line="301" w:lineRule="exact"/>
              <w:jc w:val="right"/>
              <w:outlineLvl w:val="0"/>
              <w:rPr>
                <w:rFonts w:eastAsia="Times New Roman" w:cs="Arial"/>
                <w:b/>
                <w:sz w:val="17"/>
                <w:szCs w:val="17"/>
              </w:rPr>
            </w:pPr>
            <w:r>
              <w:rPr>
                <w:b/>
                <w:bCs/>
                <w:color w:val="000000"/>
                <w:sz w:val="17"/>
                <w:szCs w:val="17"/>
              </w:rPr>
              <w:t>-</w:t>
            </w:r>
          </w:p>
        </w:tc>
        <w:tc>
          <w:tcPr>
            <w:tcW w:w="1066" w:type="dxa"/>
            <w:tcBorders>
              <w:left w:val="nil"/>
              <w:bottom w:val="single" w:sz="12" w:space="0" w:color="auto"/>
              <w:right w:val="nil"/>
            </w:tcBorders>
            <w:shd w:val="clear" w:color="auto" w:fill="auto"/>
            <w:vAlign w:val="bottom"/>
          </w:tcPr>
          <w:p w14:paraId="61411E8D" w14:textId="77777777" w:rsidR="0069580C" w:rsidRPr="006B0E06" w:rsidRDefault="0069580C" w:rsidP="0069580C">
            <w:pPr>
              <w:tabs>
                <w:tab w:val="right" w:pos="1202"/>
              </w:tabs>
              <w:spacing w:after="0" w:line="301" w:lineRule="exact"/>
              <w:jc w:val="right"/>
              <w:outlineLvl w:val="0"/>
              <w:rPr>
                <w:rFonts w:eastAsia="Times New Roman" w:cs="Arial"/>
                <w:b/>
                <w:sz w:val="17"/>
                <w:szCs w:val="17"/>
              </w:rPr>
            </w:pPr>
          </w:p>
        </w:tc>
        <w:tc>
          <w:tcPr>
            <w:tcW w:w="1066" w:type="dxa"/>
            <w:tcBorders>
              <w:left w:val="nil"/>
              <w:bottom w:val="single" w:sz="12" w:space="0" w:color="auto"/>
              <w:right w:val="nil"/>
            </w:tcBorders>
            <w:shd w:val="clear" w:color="auto" w:fill="auto"/>
            <w:vAlign w:val="bottom"/>
          </w:tcPr>
          <w:p w14:paraId="1A3DF8E4" w14:textId="77777777" w:rsidR="0069580C" w:rsidRPr="006B0E06" w:rsidRDefault="0069580C" w:rsidP="0069580C">
            <w:pPr>
              <w:tabs>
                <w:tab w:val="right" w:pos="1202"/>
              </w:tabs>
              <w:spacing w:after="0" w:line="301" w:lineRule="exact"/>
              <w:jc w:val="right"/>
              <w:outlineLvl w:val="0"/>
              <w:rPr>
                <w:rFonts w:eastAsia="Times New Roman" w:cs="Arial"/>
                <w:b/>
                <w:sz w:val="17"/>
                <w:szCs w:val="17"/>
              </w:rPr>
            </w:pPr>
          </w:p>
        </w:tc>
        <w:tc>
          <w:tcPr>
            <w:tcW w:w="1069" w:type="dxa"/>
            <w:tcBorders>
              <w:left w:val="nil"/>
              <w:bottom w:val="single" w:sz="12" w:space="0" w:color="auto"/>
              <w:right w:val="nil"/>
            </w:tcBorders>
            <w:shd w:val="clear" w:color="auto" w:fill="auto"/>
            <w:vAlign w:val="bottom"/>
          </w:tcPr>
          <w:p w14:paraId="56820B5C" w14:textId="77777777" w:rsidR="0069580C" w:rsidRPr="006B0E06" w:rsidRDefault="0069580C" w:rsidP="0069580C">
            <w:pPr>
              <w:tabs>
                <w:tab w:val="right" w:pos="1202"/>
              </w:tabs>
              <w:spacing w:after="0" w:line="301" w:lineRule="exact"/>
              <w:jc w:val="right"/>
              <w:outlineLvl w:val="0"/>
              <w:rPr>
                <w:rFonts w:eastAsia="Times New Roman" w:cs="Arial"/>
                <w:b/>
                <w:sz w:val="17"/>
                <w:szCs w:val="17"/>
              </w:rPr>
            </w:pPr>
          </w:p>
        </w:tc>
      </w:tr>
      <w:tr w:rsidR="0069580C" w:rsidRPr="006B0E06" w14:paraId="1FF23A3A" w14:textId="77777777" w:rsidTr="00166751">
        <w:trPr>
          <w:trHeight w:hRule="exact" w:val="311"/>
        </w:trPr>
        <w:tc>
          <w:tcPr>
            <w:tcW w:w="4258" w:type="dxa"/>
            <w:vMerge/>
            <w:vAlign w:val="bottom"/>
          </w:tcPr>
          <w:p w14:paraId="0A32C165" w14:textId="77777777" w:rsidR="0069580C" w:rsidRPr="006B0E06" w:rsidRDefault="0069580C" w:rsidP="0069580C">
            <w:pPr>
              <w:tabs>
                <w:tab w:val="right" w:pos="1202"/>
              </w:tabs>
              <w:spacing w:after="0" w:line="240" w:lineRule="auto"/>
              <w:outlineLvl w:val="0"/>
              <w:rPr>
                <w:rFonts w:eastAsia="Times New Roman" w:cs="Arial"/>
                <w:b/>
                <w:sz w:val="17"/>
                <w:szCs w:val="17"/>
              </w:rPr>
            </w:pPr>
          </w:p>
        </w:tc>
        <w:tc>
          <w:tcPr>
            <w:tcW w:w="943" w:type="dxa"/>
            <w:tcBorders>
              <w:top w:val="single" w:sz="4" w:space="0" w:color="auto"/>
              <w:left w:val="nil"/>
              <w:bottom w:val="single" w:sz="12" w:space="0" w:color="auto"/>
              <w:right w:val="nil"/>
            </w:tcBorders>
            <w:shd w:val="clear" w:color="auto" w:fill="auto"/>
            <w:vAlign w:val="bottom"/>
          </w:tcPr>
          <w:p w14:paraId="5832041A" w14:textId="56DFF658" w:rsidR="0069580C" w:rsidRPr="006B0E06" w:rsidRDefault="00247060" w:rsidP="0069580C">
            <w:pPr>
              <w:tabs>
                <w:tab w:val="right" w:pos="1202"/>
              </w:tabs>
              <w:spacing w:after="0" w:line="301" w:lineRule="exact"/>
              <w:jc w:val="right"/>
              <w:outlineLvl w:val="0"/>
              <w:rPr>
                <w:rFonts w:eastAsia="Times New Roman" w:cs="Arial"/>
                <w:b/>
                <w:sz w:val="17"/>
                <w:szCs w:val="17"/>
              </w:rPr>
            </w:pPr>
            <w:r w:rsidRPr="00247060">
              <w:rPr>
                <w:b/>
                <w:bCs/>
                <w:color w:val="000000"/>
                <w:sz w:val="17"/>
                <w:szCs w:val="17"/>
              </w:rPr>
              <w:t>813,982</w:t>
            </w:r>
          </w:p>
        </w:tc>
        <w:tc>
          <w:tcPr>
            <w:tcW w:w="1066" w:type="dxa"/>
            <w:tcBorders>
              <w:top w:val="single" w:sz="4" w:space="0" w:color="auto"/>
              <w:left w:val="nil"/>
              <w:bottom w:val="single" w:sz="12" w:space="0" w:color="auto"/>
              <w:right w:val="nil"/>
            </w:tcBorders>
            <w:shd w:val="clear" w:color="auto" w:fill="auto"/>
            <w:vAlign w:val="bottom"/>
          </w:tcPr>
          <w:p w14:paraId="11D42D12" w14:textId="77777777" w:rsidR="0069580C" w:rsidRPr="006B0E06" w:rsidRDefault="0069580C" w:rsidP="0069580C">
            <w:pPr>
              <w:tabs>
                <w:tab w:val="right" w:pos="1202"/>
              </w:tabs>
              <w:spacing w:after="0" w:line="301" w:lineRule="exact"/>
              <w:jc w:val="right"/>
              <w:outlineLvl w:val="0"/>
              <w:rPr>
                <w:rFonts w:eastAsia="Times New Roman" w:cs="Arial"/>
                <w:b/>
                <w:sz w:val="17"/>
                <w:szCs w:val="17"/>
              </w:rPr>
            </w:pPr>
            <w:r>
              <w:rPr>
                <w:b/>
                <w:bCs/>
                <w:color w:val="000000"/>
                <w:sz w:val="17"/>
                <w:szCs w:val="17"/>
              </w:rPr>
              <w:t>-</w:t>
            </w:r>
          </w:p>
        </w:tc>
        <w:tc>
          <w:tcPr>
            <w:tcW w:w="1068" w:type="dxa"/>
            <w:tcBorders>
              <w:top w:val="single" w:sz="4" w:space="0" w:color="auto"/>
              <w:left w:val="nil"/>
              <w:bottom w:val="single" w:sz="12" w:space="0" w:color="auto"/>
              <w:right w:val="nil"/>
            </w:tcBorders>
            <w:shd w:val="clear" w:color="auto" w:fill="auto"/>
            <w:vAlign w:val="bottom"/>
          </w:tcPr>
          <w:p w14:paraId="13D1B3EE" w14:textId="77777777" w:rsidR="0069580C" w:rsidRPr="006B0E06" w:rsidRDefault="0069580C" w:rsidP="0069580C">
            <w:pPr>
              <w:tabs>
                <w:tab w:val="right" w:pos="1202"/>
              </w:tabs>
              <w:spacing w:after="0" w:line="301" w:lineRule="exact"/>
              <w:jc w:val="right"/>
              <w:outlineLvl w:val="0"/>
              <w:rPr>
                <w:rFonts w:eastAsia="Times New Roman" w:cs="Arial"/>
                <w:b/>
                <w:sz w:val="17"/>
                <w:szCs w:val="17"/>
              </w:rPr>
            </w:pPr>
            <w:r>
              <w:rPr>
                <w:b/>
                <w:bCs/>
                <w:color w:val="000000"/>
                <w:sz w:val="17"/>
                <w:szCs w:val="17"/>
              </w:rPr>
              <w:t>-</w:t>
            </w:r>
          </w:p>
        </w:tc>
        <w:tc>
          <w:tcPr>
            <w:tcW w:w="1066" w:type="dxa"/>
            <w:tcBorders>
              <w:top w:val="single" w:sz="12" w:space="0" w:color="auto"/>
              <w:bottom w:val="single" w:sz="12" w:space="0" w:color="auto"/>
            </w:tcBorders>
            <w:vAlign w:val="bottom"/>
          </w:tcPr>
          <w:p w14:paraId="6EF06143" w14:textId="77777777" w:rsidR="0069580C" w:rsidRPr="006B0E06" w:rsidRDefault="0069580C" w:rsidP="0069580C">
            <w:pPr>
              <w:tabs>
                <w:tab w:val="right" w:pos="1202"/>
              </w:tabs>
              <w:spacing w:after="0" w:line="301" w:lineRule="exact"/>
              <w:jc w:val="right"/>
              <w:outlineLvl w:val="0"/>
              <w:rPr>
                <w:rFonts w:eastAsia="Times New Roman" w:cs="Arial"/>
                <w:b/>
                <w:sz w:val="17"/>
                <w:szCs w:val="17"/>
              </w:rPr>
            </w:pPr>
            <w:r w:rsidRPr="006B0E06">
              <w:rPr>
                <w:b/>
                <w:sz w:val="17"/>
                <w:szCs w:val="17"/>
              </w:rPr>
              <w:t>909,614</w:t>
            </w:r>
          </w:p>
        </w:tc>
        <w:tc>
          <w:tcPr>
            <w:tcW w:w="1066" w:type="dxa"/>
            <w:tcBorders>
              <w:top w:val="single" w:sz="12" w:space="0" w:color="auto"/>
              <w:bottom w:val="single" w:sz="12" w:space="0" w:color="auto"/>
            </w:tcBorders>
            <w:vAlign w:val="bottom"/>
          </w:tcPr>
          <w:p w14:paraId="16D04333" w14:textId="77777777" w:rsidR="0069580C" w:rsidRPr="006B0E06" w:rsidRDefault="0069580C" w:rsidP="0069580C">
            <w:pPr>
              <w:tabs>
                <w:tab w:val="right" w:pos="1202"/>
              </w:tabs>
              <w:spacing w:after="0" w:line="301" w:lineRule="exact"/>
              <w:jc w:val="right"/>
              <w:outlineLvl w:val="0"/>
              <w:rPr>
                <w:rFonts w:eastAsia="Times New Roman" w:cs="Arial"/>
                <w:b/>
                <w:sz w:val="17"/>
                <w:szCs w:val="17"/>
              </w:rPr>
            </w:pPr>
            <w:r w:rsidRPr="006B0E06">
              <w:rPr>
                <w:b/>
                <w:sz w:val="17"/>
                <w:szCs w:val="17"/>
              </w:rPr>
              <w:t>-</w:t>
            </w:r>
          </w:p>
        </w:tc>
        <w:tc>
          <w:tcPr>
            <w:tcW w:w="1069" w:type="dxa"/>
            <w:tcBorders>
              <w:top w:val="single" w:sz="12" w:space="0" w:color="auto"/>
              <w:bottom w:val="single" w:sz="12" w:space="0" w:color="auto"/>
            </w:tcBorders>
            <w:vAlign w:val="bottom"/>
          </w:tcPr>
          <w:p w14:paraId="4EAEB8BE" w14:textId="77777777" w:rsidR="0069580C" w:rsidRPr="006B0E06" w:rsidRDefault="0069580C" w:rsidP="0069580C">
            <w:pPr>
              <w:tabs>
                <w:tab w:val="right" w:pos="1202"/>
              </w:tabs>
              <w:spacing w:after="0" w:line="301" w:lineRule="exact"/>
              <w:jc w:val="right"/>
              <w:outlineLvl w:val="0"/>
              <w:rPr>
                <w:rFonts w:eastAsia="Times New Roman" w:cs="Arial"/>
                <w:b/>
                <w:sz w:val="17"/>
                <w:szCs w:val="17"/>
              </w:rPr>
            </w:pPr>
            <w:r w:rsidRPr="006B0E06">
              <w:rPr>
                <w:b/>
                <w:sz w:val="17"/>
                <w:szCs w:val="17"/>
              </w:rPr>
              <w:t>-</w:t>
            </w:r>
          </w:p>
        </w:tc>
      </w:tr>
      <w:tr w:rsidR="00247060" w:rsidRPr="006B0E06" w14:paraId="7401AB65" w14:textId="77777777" w:rsidTr="006B318F">
        <w:trPr>
          <w:trHeight w:hRule="exact" w:val="401"/>
        </w:trPr>
        <w:tc>
          <w:tcPr>
            <w:tcW w:w="4258" w:type="dxa"/>
            <w:vAlign w:val="bottom"/>
          </w:tcPr>
          <w:p w14:paraId="2AB07772" w14:textId="77777777" w:rsidR="00247060" w:rsidRPr="006B0E06" w:rsidRDefault="00247060" w:rsidP="00247060">
            <w:pPr>
              <w:tabs>
                <w:tab w:val="right" w:pos="1202"/>
              </w:tabs>
              <w:spacing w:after="0" w:line="240" w:lineRule="auto"/>
              <w:outlineLvl w:val="0"/>
              <w:rPr>
                <w:rFonts w:eastAsia="Times New Roman" w:cs="Arial"/>
                <w:b/>
                <w:i/>
                <w:sz w:val="17"/>
                <w:szCs w:val="17"/>
              </w:rPr>
            </w:pPr>
            <w:r w:rsidRPr="006B0E06">
              <w:rPr>
                <w:rFonts w:eastAsia="Times New Roman" w:cs="Arial"/>
                <w:b/>
                <w:sz w:val="17"/>
                <w:szCs w:val="17"/>
              </w:rPr>
              <w:t xml:space="preserve">Total assets available for sale </w:t>
            </w:r>
          </w:p>
        </w:tc>
        <w:tc>
          <w:tcPr>
            <w:tcW w:w="943" w:type="dxa"/>
            <w:tcBorders>
              <w:top w:val="single" w:sz="12" w:space="0" w:color="auto"/>
              <w:left w:val="nil"/>
              <w:bottom w:val="single" w:sz="18" w:space="0" w:color="auto"/>
              <w:right w:val="nil"/>
            </w:tcBorders>
            <w:shd w:val="clear" w:color="auto" w:fill="auto"/>
            <w:vAlign w:val="bottom"/>
          </w:tcPr>
          <w:p w14:paraId="4EE328FB" w14:textId="68FA754B" w:rsidR="00247060" w:rsidRPr="006B0E06" w:rsidRDefault="00247060" w:rsidP="00247060">
            <w:pPr>
              <w:tabs>
                <w:tab w:val="right" w:pos="1202"/>
              </w:tabs>
              <w:spacing w:after="0" w:line="301" w:lineRule="exact"/>
              <w:jc w:val="right"/>
              <w:outlineLvl w:val="0"/>
              <w:rPr>
                <w:b/>
                <w:sz w:val="17"/>
                <w:szCs w:val="17"/>
              </w:rPr>
            </w:pPr>
            <w:r w:rsidRPr="006B318F">
              <w:rPr>
                <w:b/>
                <w:sz w:val="17"/>
                <w:szCs w:val="17"/>
              </w:rPr>
              <w:t>3,287,816</w:t>
            </w:r>
          </w:p>
        </w:tc>
        <w:tc>
          <w:tcPr>
            <w:tcW w:w="1066" w:type="dxa"/>
            <w:tcBorders>
              <w:top w:val="single" w:sz="12" w:space="0" w:color="auto"/>
              <w:left w:val="nil"/>
              <w:bottom w:val="single" w:sz="18" w:space="0" w:color="auto"/>
              <w:right w:val="nil"/>
            </w:tcBorders>
            <w:shd w:val="clear" w:color="auto" w:fill="auto"/>
            <w:vAlign w:val="bottom"/>
          </w:tcPr>
          <w:p w14:paraId="7BA7F37B" w14:textId="6B72AA97" w:rsidR="00247060" w:rsidRPr="006B0E06" w:rsidRDefault="00247060" w:rsidP="00247060">
            <w:pPr>
              <w:tabs>
                <w:tab w:val="right" w:pos="1202"/>
              </w:tabs>
              <w:spacing w:after="0" w:line="301" w:lineRule="exact"/>
              <w:jc w:val="right"/>
              <w:outlineLvl w:val="0"/>
              <w:rPr>
                <w:b/>
                <w:sz w:val="17"/>
                <w:szCs w:val="17"/>
              </w:rPr>
            </w:pPr>
            <w:r w:rsidRPr="006B318F">
              <w:rPr>
                <w:b/>
                <w:sz w:val="17"/>
                <w:szCs w:val="17"/>
              </w:rPr>
              <w:t>25,567</w:t>
            </w:r>
          </w:p>
        </w:tc>
        <w:tc>
          <w:tcPr>
            <w:tcW w:w="1068" w:type="dxa"/>
            <w:tcBorders>
              <w:top w:val="single" w:sz="12" w:space="0" w:color="auto"/>
              <w:left w:val="nil"/>
              <w:bottom w:val="single" w:sz="18" w:space="0" w:color="auto"/>
              <w:right w:val="nil"/>
            </w:tcBorders>
            <w:shd w:val="clear" w:color="auto" w:fill="auto"/>
            <w:vAlign w:val="bottom"/>
          </w:tcPr>
          <w:p w14:paraId="7534AEC4" w14:textId="290755B9" w:rsidR="00247060" w:rsidRPr="006B0E06" w:rsidRDefault="00247060" w:rsidP="00247060">
            <w:pPr>
              <w:tabs>
                <w:tab w:val="right" w:pos="1202"/>
              </w:tabs>
              <w:spacing w:after="0" w:line="301" w:lineRule="exact"/>
              <w:jc w:val="right"/>
              <w:outlineLvl w:val="0"/>
              <w:rPr>
                <w:b/>
                <w:sz w:val="17"/>
                <w:szCs w:val="17"/>
              </w:rPr>
            </w:pPr>
            <w:r w:rsidRPr="006B318F">
              <w:rPr>
                <w:b/>
                <w:sz w:val="17"/>
                <w:szCs w:val="17"/>
              </w:rPr>
              <w:t>662</w:t>
            </w:r>
          </w:p>
        </w:tc>
        <w:tc>
          <w:tcPr>
            <w:tcW w:w="1066" w:type="dxa"/>
            <w:tcBorders>
              <w:top w:val="single" w:sz="12" w:space="0" w:color="auto"/>
              <w:left w:val="nil"/>
              <w:bottom w:val="single" w:sz="18" w:space="0" w:color="auto"/>
              <w:right w:val="nil"/>
            </w:tcBorders>
            <w:shd w:val="clear" w:color="auto" w:fill="auto"/>
            <w:vAlign w:val="bottom"/>
          </w:tcPr>
          <w:p w14:paraId="0121836D" w14:textId="77777777" w:rsidR="00247060" w:rsidRPr="006B0E06" w:rsidRDefault="00247060" w:rsidP="00247060">
            <w:pPr>
              <w:tabs>
                <w:tab w:val="right" w:pos="1202"/>
              </w:tabs>
              <w:spacing w:after="0" w:line="301" w:lineRule="exact"/>
              <w:jc w:val="right"/>
              <w:outlineLvl w:val="0"/>
              <w:rPr>
                <w:b/>
                <w:sz w:val="17"/>
                <w:szCs w:val="17"/>
              </w:rPr>
            </w:pPr>
            <w:r w:rsidRPr="006B0E06">
              <w:rPr>
                <w:b/>
                <w:sz w:val="17"/>
                <w:szCs w:val="17"/>
              </w:rPr>
              <w:t>3,363,425</w:t>
            </w:r>
          </w:p>
        </w:tc>
        <w:tc>
          <w:tcPr>
            <w:tcW w:w="1066" w:type="dxa"/>
            <w:tcBorders>
              <w:top w:val="single" w:sz="12" w:space="0" w:color="auto"/>
              <w:left w:val="nil"/>
              <w:bottom w:val="single" w:sz="18" w:space="0" w:color="auto"/>
              <w:right w:val="nil"/>
            </w:tcBorders>
            <w:shd w:val="clear" w:color="auto" w:fill="auto"/>
            <w:vAlign w:val="bottom"/>
          </w:tcPr>
          <w:p w14:paraId="7DBBA790" w14:textId="77777777" w:rsidR="00247060" w:rsidRPr="006B0E06" w:rsidRDefault="00247060" w:rsidP="00247060">
            <w:pPr>
              <w:tabs>
                <w:tab w:val="right" w:pos="1202"/>
              </w:tabs>
              <w:spacing w:after="0" w:line="301" w:lineRule="exact"/>
              <w:jc w:val="right"/>
              <w:outlineLvl w:val="0"/>
              <w:rPr>
                <w:b/>
                <w:sz w:val="17"/>
                <w:szCs w:val="17"/>
              </w:rPr>
            </w:pPr>
            <w:r w:rsidRPr="006B0E06">
              <w:rPr>
                <w:b/>
                <w:sz w:val="17"/>
                <w:szCs w:val="17"/>
              </w:rPr>
              <w:t>26,008</w:t>
            </w:r>
          </w:p>
        </w:tc>
        <w:tc>
          <w:tcPr>
            <w:tcW w:w="1069" w:type="dxa"/>
            <w:tcBorders>
              <w:top w:val="single" w:sz="12" w:space="0" w:color="auto"/>
              <w:left w:val="nil"/>
              <w:bottom w:val="single" w:sz="18" w:space="0" w:color="auto"/>
              <w:right w:val="nil"/>
            </w:tcBorders>
            <w:shd w:val="clear" w:color="auto" w:fill="auto"/>
            <w:vAlign w:val="bottom"/>
          </w:tcPr>
          <w:p w14:paraId="23183DA5" w14:textId="77777777" w:rsidR="00247060" w:rsidRPr="006B0E06" w:rsidRDefault="00247060" w:rsidP="00247060">
            <w:pPr>
              <w:tabs>
                <w:tab w:val="right" w:pos="1202"/>
              </w:tabs>
              <w:spacing w:after="0" w:line="301" w:lineRule="exact"/>
              <w:jc w:val="right"/>
              <w:outlineLvl w:val="0"/>
              <w:rPr>
                <w:b/>
                <w:sz w:val="17"/>
                <w:szCs w:val="17"/>
              </w:rPr>
            </w:pPr>
            <w:r w:rsidRPr="006B0E06">
              <w:rPr>
                <w:b/>
                <w:sz w:val="17"/>
                <w:szCs w:val="17"/>
              </w:rPr>
              <w:t>601</w:t>
            </w:r>
          </w:p>
        </w:tc>
      </w:tr>
    </w:tbl>
    <w:p w14:paraId="7F193454" w14:textId="77777777" w:rsidR="00AE262B" w:rsidRDefault="00AE262B" w:rsidP="00BA3F2A">
      <w:pPr>
        <w:spacing w:after="0" w:line="240" w:lineRule="auto"/>
        <w:ind w:left="-284" w:right="-427"/>
        <w:jc w:val="both"/>
        <w:rPr>
          <w:rFonts w:cs="FrutigerLTCom-Light"/>
          <w:sz w:val="19"/>
          <w:szCs w:val="19"/>
        </w:rPr>
      </w:pPr>
    </w:p>
    <w:p w14:paraId="04F9776D" w14:textId="77777777" w:rsidR="009702B0" w:rsidRPr="00166751" w:rsidRDefault="009702B0" w:rsidP="00BA3F2A">
      <w:pPr>
        <w:spacing w:after="0" w:line="240" w:lineRule="auto"/>
        <w:ind w:left="-284" w:right="-427"/>
        <w:jc w:val="both"/>
        <w:rPr>
          <w:lang w:eastAsia="zh-CN"/>
        </w:rPr>
      </w:pPr>
      <w:r w:rsidRPr="00AB4E42">
        <w:rPr>
          <w:rFonts w:cs="FrutigerLTCom-Light"/>
          <w:sz w:val="19"/>
          <w:szCs w:val="19"/>
        </w:rPr>
        <w:t xml:space="preserve"> </w:t>
      </w:r>
      <w:r w:rsidRPr="00166751">
        <w:rPr>
          <w:rFonts w:cs="FrutigerLTCom-Light"/>
        </w:rPr>
        <w:t xml:space="preserve">Treasury Bills of the Ministry of Finance of the Republic of </w:t>
      </w:r>
      <w:proofErr w:type="gramStart"/>
      <w:r w:rsidRPr="00166751">
        <w:rPr>
          <w:rFonts w:cs="FrutigerLTCom-Light"/>
        </w:rPr>
        <w:t xml:space="preserve">Croatia </w:t>
      </w:r>
      <w:r w:rsidR="00B60D79" w:rsidRPr="00166751">
        <w:rPr>
          <w:rFonts w:cs="FrutigerLTCom-Light"/>
        </w:rPr>
        <w:t xml:space="preserve"> were</w:t>
      </w:r>
      <w:proofErr w:type="gramEnd"/>
      <w:r w:rsidR="00B60D79" w:rsidRPr="00166751">
        <w:rPr>
          <w:rFonts w:cs="FrutigerLTCom-Light"/>
        </w:rPr>
        <w:t xml:space="preserve"> classified within</w:t>
      </w:r>
      <w:r w:rsidR="00AB4E42">
        <w:rPr>
          <w:rFonts w:cs="FrutigerLTCom-Light"/>
        </w:rPr>
        <w:t xml:space="preserve"> </w:t>
      </w:r>
      <w:r w:rsidRPr="00166751">
        <w:rPr>
          <w:rFonts w:cs="FrutigerLTCom-Light"/>
        </w:rPr>
        <w:t xml:space="preserve">Level 1 </w:t>
      </w:r>
      <w:r w:rsidR="002D3717" w:rsidRPr="00166751">
        <w:rPr>
          <w:rFonts w:cs="FrutigerLTCom-Light"/>
        </w:rPr>
        <w:t xml:space="preserve">of the fair value hierarchy </w:t>
      </w:r>
      <w:r w:rsidRPr="00166751">
        <w:rPr>
          <w:rFonts w:cs="FrutigerLTCom-Light"/>
        </w:rPr>
        <w:t xml:space="preserve">because credit institutions in the country started to list prices at </w:t>
      </w:r>
      <w:r w:rsidRPr="00166751">
        <w:rPr>
          <w:lang w:eastAsia="zh-CN"/>
        </w:rPr>
        <w:t xml:space="preserve">Bloomberg, and quoted market price </w:t>
      </w:r>
      <w:r w:rsidR="002D3717" w:rsidRPr="00166751">
        <w:rPr>
          <w:lang w:eastAsia="zh-CN"/>
        </w:rPr>
        <w:t xml:space="preserve">is </w:t>
      </w:r>
      <w:r w:rsidRPr="00166751">
        <w:rPr>
          <w:lang w:eastAsia="zh-CN"/>
        </w:rPr>
        <w:t>used as the valuation technique.</w:t>
      </w:r>
    </w:p>
    <w:p w14:paraId="71673C47" w14:textId="77777777" w:rsidR="009702B0" w:rsidRPr="00166751" w:rsidRDefault="009702B0" w:rsidP="005444AA">
      <w:pPr>
        <w:keepNext/>
        <w:tabs>
          <w:tab w:val="left" w:pos="567"/>
        </w:tabs>
        <w:spacing w:after="0" w:line="240" w:lineRule="auto"/>
        <w:ind w:left="-284" w:right="-427"/>
        <w:jc w:val="right"/>
        <w:rPr>
          <w:rFonts w:eastAsia="Times New Roman" w:cs="Arial"/>
          <w:spacing w:val="-3"/>
        </w:rPr>
      </w:pPr>
    </w:p>
    <w:p w14:paraId="20806C07" w14:textId="77777777" w:rsidR="009702B0" w:rsidRPr="00166751" w:rsidRDefault="009702B0" w:rsidP="00BA3F2A">
      <w:pPr>
        <w:spacing w:after="0" w:line="240" w:lineRule="auto"/>
        <w:ind w:left="-284" w:right="-427"/>
        <w:jc w:val="both"/>
        <w:rPr>
          <w:rFonts w:eastAsia="Times New Roman" w:cs="Arial"/>
          <w:lang w:eastAsia="hr-HR"/>
        </w:rPr>
      </w:pPr>
      <w:r w:rsidRPr="00166751">
        <w:rPr>
          <w:rFonts w:cs="FrutigerLTCom-Light"/>
        </w:rPr>
        <w:t>Debt Instruments: Corporate Bonds were classified within Level 3 of the fair value hierarchy. The valuation technique used was the method of the discounted cash flows based on market interest rates, spread linked to internal credit-rating and internally determined spread linked to financial instrument liquidity</w:t>
      </w:r>
      <w:r w:rsidRPr="00166751">
        <w:rPr>
          <w:rFonts w:eastAsia="Times New Roman" w:cs="Arial"/>
          <w:lang w:eastAsia="hr-HR"/>
        </w:rPr>
        <w:t>.</w:t>
      </w:r>
    </w:p>
    <w:p w14:paraId="79BD024F" w14:textId="77777777" w:rsidR="009702B0" w:rsidRPr="00166751" w:rsidRDefault="009702B0" w:rsidP="00BA3F2A">
      <w:pPr>
        <w:spacing w:after="0" w:line="240" w:lineRule="auto"/>
        <w:ind w:left="-284" w:right="-427"/>
        <w:jc w:val="both"/>
        <w:rPr>
          <w:rFonts w:eastAsia="Times New Roman" w:cs="Arial"/>
          <w:sz w:val="19"/>
          <w:szCs w:val="19"/>
          <w:highlight w:val="yellow"/>
          <w:lang w:eastAsia="hr-HR"/>
        </w:rPr>
      </w:pPr>
    </w:p>
    <w:p w14:paraId="630E92A0" w14:textId="77777777" w:rsidR="00C56E63" w:rsidRDefault="00C56E63" w:rsidP="00BA3F2A">
      <w:pPr>
        <w:spacing w:after="0" w:line="240" w:lineRule="auto"/>
        <w:ind w:left="-284"/>
        <w:jc w:val="both"/>
        <w:rPr>
          <w:rFonts w:eastAsia="Times New Roman" w:cs="Arial"/>
          <w:b/>
          <w:bCs/>
          <w:spacing w:val="-3"/>
          <w:sz w:val="19"/>
          <w:szCs w:val="19"/>
          <w:highlight w:val="yellow"/>
        </w:rPr>
        <w:sectPr w:rsidR="00C56E63" w:rsidSect="00947CB7">
          <w:footerReference w:type="default" r:id="rId123"/>
          <w:footerReference w:type="first" r:id="rId124"/>
          <w:pgSz w:w="11906" w:h="16838" w:code="9"/>
          <w:pgMar w:top="1418" w:right="1418" w:bottom="595" w:left="1134" w:header="709" w:footer="709" w:gutter="0"/>
          <w:cols w:space="708"/>
          <w:titlePg/>
          <w:docGrid w:linePitch="360"/>
        </w:sectPr>
      </w:pPr>
    </w:p>
    <w:p w14:paraId="1177908F" w14:textId="77777777" w:rsidR="006C4260" w:rsidRDefault="006C4260" w:rsidP="009702B0">
      <w:pPr>
        <w:keepNext/>
        <w:spacing w:after="0" w:line="240" w:lineRule="auto"/>
        <w:ind w:left="567" w:hanging="567"/>
        <w:jc w:val="both"/>
        <w:rPr>
          <w:rFonts w:eastAsia="Times New Roman" w:cs="Arial"/>
          <w:b/>
          <w:bCs/>
          <w:spacing w:val="-3"/>
        </w:rPr>
      </w:pPr>
    </w:p>
    <w:p w14:paraId="32F1862E" w14:textId="77777777" w:rsidR="009702B0" w:rsidRPr="009702B0" w:rsidRDefault="009702B0" w:rsidP="009702B0">
      <w:pPr>
        <w:keepNext/>
        <w:spacing w:after="0" w:line="240" w:lineRule="auto"/>
        <w:ind w:left="567" w:hanging="567"/>
        <w:jc w:val="both"/>
        <w:rPr>
          <w:rFonts w:eastAsia="Times New Roman" w:cs="Arial"/>
          <w:b/>
          <w:bCs/>
          <w:spacing w:val="-3"/>
        </w:rPr>
      </w:pPr>
      <w:r w:rsidRPr="009702B0">
        <w:rPr>
          <w:rFonts w:eastAsia="Times New Roman" w:cs="Arial"/>
          <w:b/>
          <w:bCs/>
          <w:spacing w:val="-3"/>
        </w:rPr>
        <w:t>17.</w:t>
      </w:r>
      <w:r w:rsidRPr="009702B0">
        <w:rPr>
          <w:rFonts w:eastAsia="Times New Roman" w:cs="Arial"/>
          <w:b/>
          <w:bCs/>
          <w:spacing w:val="-3"/>
        </w:rPr>
        <w:tab/>
        <w:t>Fair value of financial assets and financial liabilities initially recogni</w:t>
      </w:r>
      <w:r w:rsidR="00D757F0">
        <w:rPr>
          <w:rFonts w:eastAsia="Times New Roman" w:cs="Arial"/>
          <w:b/>
          <w:bCs/>
          <w:spacing w:val="-3"/>
        </w:rPr>
        <w:t>s</w:t>
      </w:r>
      <w:r w:rsidRPr="009702B0">
        <w:rPr>
          <w:rFonts w:eastAsia="Times New Roman" w:cs="Arial"/>
          <w:b/>
          <w:bCs/>
          <w:spacing w:val="-3"/>
        </w:rPr>
        <w:t>ed and measured at fair value (continued)</w:t>
      </w:r>
    </w:p>
    <w:p w14:paraId="76B57071" w14:textId="77777777" w:rsidR="009702B0" w:rsidRPr="009702B0" w:rsidRDefault="009702B0" w:rsidP="009702B0">
      <w:pPr>
        <w:keepNext/>
        <w:spacing w:after="0" w:line="240" w:lineRule="auto"/>
        <w:jc w:val="both"/>
        <w:rPr>
          <w:rFonts w:eastAsia="Times New Roman" w:cs="Arial"/>
          <w:spacing w:val="-3"/>
          <w:sz w:val="24"/>
          <w:szCs w:val="24"/>
        </w:rPr>
      </w:pPr>
    </w:p>
    <w:tbl>
      <w:tblPr>
        <w:tblW w:w="9937" w:type="dxa"/>
        <w:jc w:val="center"/>
        <w:tblLayout w:type="fixed"/>
        <w:tblCellMar>
          <w:left w:w="85" w:type="dxa"/>
          <w:right w:w="122" w:type="dxa"/>
        </w:tblCellMar>
        <w:tblLook w:val="0000" w:firstRow="0" w:lastRow="0" w:firstColumn="0" w:lastColumn="0" w:noHBand="0" w:noVBand="0"/>
      </w:tblPr>
      <w:tblGrid>
        <w:gridCol w:w="3550"/>
        <w:gridCol w:w="1135"/>
        <w:gridCol w:w="993"/>
        <w:gridCol w:w="994"/>
        <w:gridCol w:w="1135"/>
        <w:gridCol w:w="1135"/>
        <w:gridCol w:w="995"/>
      </w:tblGrid>
      <w:tr w:rsidR="006B0E06" w:rsidRPr="00E26B60" w14:paraId="4E773BC8" w14:textId="77777777" w:rsidTr="006B0E06">
        <w:trPr>
          <w:trHeight w:val="266"/>
          <w:jc w:val="center"/>
        </w:trPr>
        <w:tc>
          <w:tcPr>
            <w:tcW w:w="3550" w:type="dxa"/>
            <w:shd w:val="clear" w:color="auto" w:fill="auto"/>
          </w:tcPr>
          <w:p w14:paraId="29A7A82C" w14:textId="77777777" w:rsidR="006B0E06" w:rsidRPr="006B318F" w:rsidRDefault="006B0E06" w:rsidP="006B0E06">
            <w:pPr>
              <w:tabs>
                <w:tab w:val="right" w:pos="1202"/>
              </w:tabs>
              <w:spacing w:after="0" w:line="240" w:lineRule="auto"/>
              <w:outlineLvl w:val="0"/>
              <w:rPr>
                <w:rFonts w:eastAsia="Times New Roman" w:cs="Arial"/>
                <w:sz w:val="17"/>
                <w:szCs w:val="17"/>
              </w:rPr>
            </w:pPr>
            <w:r w:rsidRPr="006B318F">
              <w:rPr>
                <w:rFonts w:eastAsia="Times New Roman" w:cs="Arial"/>
                <w:b/>
                <w:sz w:val="17"/>
                <w:szCs w:val="17"/>
              </w:rPr>
              <w:t>Bank</w:t>
            </w:r>
          </w:p>
        </w:tc>
        <w:tc>
          <w:tcPr>
            <w:tcW w:w="3122" w:type="dxa"/>
            <w:gridSpan w:val="3"/>
            <w:vAlign w:val="center"/>
          </w:tcPr>
          <w:p w14:paraId="1FEB630C" w14:textId="19705F38" w:rsidR="006B0E06" w:rsidRPr="006B318F" w:rsidRDefault="00B15AB8">
            <w:pPr>
              <w:tabs>
                <w:tab w:val="right" w:pos="1202"/>
              </w:tabs>
              <w:spacing w:after="0" w:line="240" w:lineRule="auto"/>
              <w:jc w:val="right"/>
              <w:outlineLvl w:val="0"/>
              <w:rPr>
                <w:rFonts w:eastAsia="Times New Roman" w:cs="Arial"/>
                <w:b/>
                <w:bCs/>
                <w:sz w:val="17"/>
                <w:szCs w:val="17"/>
              </w:rPr>
            </w:pPr>
            <w:r w:rsidRPr="006B318F">
              <w:rPr>
                <w:rFonts w:eastAsia="Times New Roman" w:cs="Arial"/>
                <w:b/>
                <w:bCs/>
                <w:sz w:val="17"/>
                <w:szCs w:val="17"/>
              </w:rPr>
              <w:t xml:space="preserve">Sep </w:t>
            </w:r>
            <w:r w:rsidR="00191C78" w:rsidRPr="006B318F">
              <w:rPr>
                <w:rFonts w:eastAsia="Times New Roman" w:cs="Arial"/>
                <w:b/>
                <w:bCs/>
                <w:sz w:val="17"/>
                <w:szCs w:val="17"/>
              </w:rPr>
              <w:t>30</w:t>
            </w:r>
            <w:r w:rsidR="006B0E06" w:rsidRPr="006B318F">
              <w:rPr>
                <w:rFonts w:eastAsia="Times New Roman" w:cs="Arial"/>
                <w:b/>
                <w:bCs/>
                <w:sz w:val="17"/>
                <w:szCs w:val="17"/>
              </w:rPr>
              <w:t>, 2017</w:t>
            </w:r>
          </w:p>
        </w:tc>
        <w:tc>
          <w:tcPr>
            <w:tcW w:w="3265" w:type="dxa"/>
            <w:gridSpan w:val="3"/>
            <w:shd w:val="clear" w:color="auto" w:fill="auto"/>
            <w:vAlign w:val="center"/>
          </w:tcPr>
          <w:p w14:paraId="24438CA4" w14:textId="77777777" w:rsidR="006B0E06" w:rsidRPr="006B318F" w:rsidRDefault="006B0E06" w:rsidP="006B0E06">
            <w:pPr>
              <w:tabs>
                <w:tab w:val="right" w:pos="1202"/>
              </w:tabs>
              <w:spacing w:after="0" w:line="240" w:lineRule="auto"/>
              <w:jc w:val="right"/>
              <w:outlineLvl w:val="0"/>
              <w:rPr>
                <w:rFonts w:eastAsia="Times New Roman" w:cs="Arial"/>
                <w:b/>
                <w:bCs/>
                <w:sz w:val="17"/>
                <w:szCs w:val="17"/>
              </w:rPr>
            </w:pPr>
            <w:r w:rsidRPr="006B318F">
              <w:rPr>
                <w:rFonts w:eastAsia="Times New Roman" w:cs="Arial"/>
                <w:b/>
                <w:bCs/>
                <w:sz w:val="17"/>
                <w:szCs w:val="17"/>
              </w:rPr>
              <w:t>Dec 31, 2016</w:t>
            </w:r>
          </w:p>
        </w:tc>
      </w:tr>
      <w:tr w:rsidR="006B0E06" w:rsidRPr="00E26B60" w14:paraId="236B8841" w14:textId="77777777" w:rsidTr="006B0E06">
        <w:trPr>
          <w:trHeight w:val="265"/>
          <w:jc w:val="center"/>
        </w:trPr>
        <w:tc>
          <w:tcPr>
            <w:tcW w:w="3550" w:type="dxa"/>
            <w:shd w:val="clear" w:color="auto" w:fill="auto"/>
          </w:tcPr>
          <w:p w14:paraId="4F3D3714" w14:textId="77777777" w:rsidR="006B0E06" w:rsidRPr="006B318F" w:rsidRDefault="006B0E06" w:rsidP="006B0E06">
            <w:pPr>
              <w:tabs>
                <w:tab w:val="right" w:pos="1202"/>
              </w:tabs>
              <w:spacing w:after="0" w:line="240" w:lineRule="auto"/>
              <w:outlineLvl w:val="0"/>
              <w:rPr>
                <w:rFonts w:eastAsia="Times New Roman" w:cs="Arial"/>
                <w:spacing w:val="-2"/>
                <w:sz w:val="17"/>
                <w:szCs w:val="17"/>
              </w:rPr>
            </w:pPr>
          </w:p>
        </w:tc>
        <w:tc>
          <w:tcPr>
            <w:tcW w:w="1135" w:type="dxa"/>
            <w:vAlign w:val="bottom"/>
          </w:tcPr>
          <w:p w14:paraId="7A76E8C8" w14:textId="77777777" w:rsidR="006B0E06" w:rsidRPr="006B318F" w:rsidRDefault="006B0E06" w:rsidP="006B0E06">
            <w:pPr>
              <w:tabs>
                <w:tab w:val="right" w:pos="1202"/>
              </w:tabs>
              <w:spacing w:after="0" w:line="240" w:lineRule="auto"/>
              <w:jc w:val="right"/>
              <w:outlineLvl w:val="0"/>
              <w:rPr>
                <w:rFonts w:eastAsia="Times New Roman" w:cs="Arial"/>
                <w:b/>
                <w:spacing w:val="-2"/>
                <w:sz w:val="17"/>
                <w:szCs w:val="17"/>
              </w:rPr>
            </w:pPr>
            <w:r w:rsidRPr="006B318F">
              <w:rPr>
                <w:rFonts w:eastAsia="Times New Roman" w:cs="Arial"/>
                <w:b/>
                <w:spacing w:val="-2"/>
                <w:sz w:val="17"/>
                <w:szCs w:val="17"/>
              </w:rPr>
              <w:t>Level 1</w:t>
            </w:r>
          </w:p>
        </w:tc>
        <w:tc>
          <w:tcPr>
            <w:tcW w:w="993" w:type="dxa"/>
            <w:vAlign w:val="bottom"/>
          </w:tcPr>
          <w:p w14:paraId="3ECD3DC9" w14:textId="77777777" w:rsidR="006B0E06" w:rsidRPr="006B318F" w:rsidRDefault="006B0E06" w:rsidP="006B0E06">
            <w:pPr>
              <w:tabs>
                <w:tab w:val="right" w:pos="1202"/>
              </w:tabs>
              <w:spacing w:after="0" w:line="240" w:lineRule="auto"/>
              <w:jc w:val="right"/>
              <w:outlineLvl w:val="0"/>
              <w:rPr>
                <w:rFonts w:eastAsia="Times New Roman" w:cs="Arial"/>
                <w:b/>
                <w:spacing w:val="-2"/>
                <w:sz w:val="17"/>
                <w:szCs w:val="17"/>
              </w:rPr>
            </w:pPr>
            <w:r w:rsidRPr="006B318F">
              <w:rPr>
                <w:rFonts w:eastAsia="Times New Roman" w:cs="Arial"/>
                <w:b/>
                <w:spacing w:val="-2"/>
                <w:sz w:val="17"/>
                <w:szCs w:val="17"/>
              </w:rPr>
              <w:t>Level 2</w:t>
            </w:r>
          </w:p>
        </w:tc>
        <w:tc>
          <w:tcPr>
            <w:tcW w:w="994" w:type="dxa"/>
            <w:vAlign w:val="bottom"/>
          </w:tcPr>
          <w:p w14:paraId="62C82F0B" w14:textId="77777777" w:rsidR="006B0E06" w:rsidRPr="006B318F" w:rsidRDefault="006B0E06" w:rsidP="006B0E06">
            <w:pPr>
              <w:tabs>
                <w:tab w:val="right" w:pos="1202"/>
              </w:tabs>
              <w:spacing w:after="0" w:line="240" w:lineRule="auto"/>
              <w:jc w:val="right"/>
              <w:outlineLvl w:val="0"/>
              <w:rPr>
                <w:rFonts w:eastAsia="Times New Roman" w:cs="Arial"/>
                <w:b/>
                <w:spacing w:val="-2"/>
                <w:sz w:val="17"/>
                <w:szCs w:val="17"/>
              </w:rPr>
            </w:pPr>
            <w:r w:rsidRPr="006B318F">
              <w:rPr>
                <w:rFonts w:eastAsia="Times New Roman" w:cs="Arial"/>
                <w:b/>
                <w:spacing w:val="-2"/>
                <w:sz w:val="17"/>
                <w:szCs w:val="17"/>
              </w:rPr>
              <w:t>Level 3</w:t>
            </w:r>
          </w:p>
        </w:tc>
        <w:tc>
          <w:tcPr>
            <w:tcW w:w="1135" w:type="dxa"/>
            <w:shd w:val="clear" w:color="auto" w:fill="auto"/>
            <w:vAlign w:val="bottom"/>
          </w:tcPr>
          <w:p w14:paraId="34C1AFD5" w14:textId="77777777" w:rsidR="006B0E06" w:rsidRPr="006B318F" w:rsidRDefault="006B0E06" w:rsidP="006B0E06">
            <w:pPr>
              <w:tabs>
                <w:tab w:val="right" w:pos="1202"/>
              </w:tabs>
              <w:spacing w:after="0" w:line="240" w:lineRule="auto"/>
              <w:jc w:val="right"/>
              <w:outlineLvl w:val="0"/>
              <w:rPr>
                <w:rFonts w:eastAsia="Times New Roman" w:cs="Arial"/>
                <w:b/>
                <w:spacing w:val="-2"/>
                <w:sz w:val="17"/>
                <w:szCs w:val="17"/>
              </w:rPr>
            </w:pPr>
            <w:r w:rsidRPr="006B318F">
              <w:rPr>
                <w:rFonts w:eastAsia="Times New Roman" w:cs="Arial"/>
                <w:b/>
                <w:spacing w:val="-2"/>
                <w:sz w:val="17"/>
                <w:szCs w:val="17"/>
              </w:rPr>
              <w:t>Level 1</w:t>
            </w:r>
          </w:p>
        </w:tc>
        <w:tc>
          <w:tcPr>
            <w:tcW w:w="1135" w:type="dxa"/>
            <w:shd w:val="clear" w:color="auto" w:fill="auto"/>
            <w:vAlign w:val="bottom"/>
          </w:tcPr>
          <w:p w14:paraId="05835B5E" w14:textId="77777777" w:rsidR="006B0E06" w:rsidRPr="006B318F" w:rsidRDefault="006B0E06" w:rsidP="006B0E06">
            <w:pPr>
              <w:tabs>
                <w:tab w:val="right" w:pos="1202"/>
              </w:tabs>
              <w:spacing w:after="0" w:line="240" w:lineRule="auto"/>
              <w:jc w:val="right"/>
              <w:outlineLvl w:val="0"/>
              <w:rPr>
                <w:rFonts w:eastAsia="Times New Roman" w:cs="Arial"/>
                <w:b/>
                <w:spacing w:val="-2"/>
                <w:sz w:val="17"/>
                <w:szCs w:val="17"/>
              </w:rPr>
            </w:pPr>
            <w:r w:rsidRPr="006B318F">
              <w:rPr>
                <w:rFonts w:eastAsia="Times New Roman" w:cs="Arial"/>
                <w:b/>
                <w:spacing w:val="-2"/>
                <w:sz w:val="17"/>
                <w:szCs w:val="17"/>
              </w:rPr>
              <w:t>Level 2</w:t>
            </w:r>
          </w:p>
        </w:tc>
        <w:tc>
          <w:tcPr>
            <w:tcW w:w="995" w:type="dxa"/>
            <w:shd w:val="clear" w:color="auto" w:fill="auto"/>
            <w:vAlign w:val="bottom"/>
          </w:tcPr>
          <w:p w14:paraId="1B54E896" w14:textId="77777777" w:rsidR="006B0E06" w:rsidRPr="006B318F" w:rsidRDefault="006B0E06" w:rsidP="006B0E06">
            <w:pPr>
              <w:tabs>
                <w:tab w:val="right" w:pos="1202"/>
              </w:tabs>
              <w:spacing w:after="0" w:line="240" w:lineRule="auto"/>
              <w:jc w:val="right"/>
              <w:outlineLvl w:val="0"/>
              <w:rPr>
                <w:rFonts w:eastAsia="Times New Roman" w:cs="Arial"/>
                <w:b/>
                <w:spacing w:val="-2"/>
                <w:sz w:val="17"/>
                <w:szCs w:val="17"/>
              </w:rPr>
            </w:pPr>
            <w:r w:rsidRPr="006B318F">
              <w:rPr>
                <w:rFonts w:eastAsia="Times New Roman" w:cs="Arial"/>
                <w:b/>
                <w:spacing w:val="-2"/>
                <w:sz w:val="17"/>
                <w:szCs w:val="17"/>
              </w:rPr>
              <w:t>Level 3</w:t>
            </w:r>
          </w:p>
        </w:tc>
      </w:tr>
      <w:tr w:rsidR="006B0E06" w:rsidRPr="00E26B60" w14:paraId="763FA68A" w14:textId="77777777" w:rsidTr="006B0E06">
        <w:trPr>
          <w:trHeight w:val="191"/>
          <w:jc w:val="center"/>
        </w:trPr>
        <w:tc>
          <w:tcPr>
            <w:tcW w:w="3550" w:type="dxa"/>
            <w:shd w:val="clear" w:color="auto" w:fill="auto"/>
            <w:vAlign w:val="bottom"/>
          </w:tcPr>
          <w:p w14:paraId="6F56DD35" w14:textId="77777777" w:rsidR="006B0E06" w:rsidRPr="006B318F" w:rsidRDefault="006B0E06" w:rsidP="006B0E06">
            <w:pPr>
              <w:tabs>
                <w:tab w:val="right" w:pos="1202"/>
              </w:tabs>
              <w:spacing w:after="0" w:line="240" w:lineRule="auto"/>
              <w:outlineLvl w:val="0"/>
              <w:rPr>
                <w:rFonts w:eastAsia="Times New Roman" w:cs="Arial"/>
                <w:b/>
                <w:i/>
                <w:spacing w:val="-2"/>
                <w:sz w:val="17"/>
                <w:szCs w:val="17"/>
              </w:rPr>
            </w:pPr>
            <w:r w:rsidRPr="006B318F">
              <w:rPr>
                <w:rFonts w:eastAsia="Times New Roman" w:cs="Arial"/>
                <w:b/>
                <w:i/>
                <w:spacing w:val="-2"/>
                <w:sz w:val="17"/>
                <w:szCs w:val="17"/>
              </w:rPr>
              <w:t>Assets available for sale:</w:t>
            </w:r>
          </w:p>
        </w:tc>
        <w:tc>
          <w:tcPr>
            <w:tcW w:w="1135" w:type="dxa"/>
            <w:vAlign w:val="center"/>
          </w:tcPr>
          <w:p w14:paraId="727131E9" w14:textId="77777777" w:rsidR="006B0E06" w:rsidRPr="006B318F" w:rsidDel="00561A80" w:rsidRDefault="006B0E06" w:rsidP="006B0E06">
            <w:pPr>
              <w:tabs>
                <w:tab w:val="right" w:pos="1202"/>
              </w:tabs>
              <w:spacing w:after="0" w:line="240" w:lineRule="auto"/>
              <w:jc w:val="right"/>
              <w:outlineLvl w:val="0"/>
              <w:rPr>
                <w:rFonts w:eastAsia="Times New Roman" w:cs="Arial"/>
                <w:spacing w:val="-2"/>
                <w:sz w:val="17"/>
                <w:szCs w:val="17"/>
              </w:rPr>
            </w:pPr>
          </w:p>
        </w:tc>
        <w:tc>
          <w:tcPr>
            <w:tcW w:w="993" w:type="dxa"/>
            <w:vAlign w:val="center"/>
          </w:tcPr>
          <w:p w14:paraId="7B94BAFE" w14:textId="77777777" w:rsidR="006B0E06" w:rsidRPr="006B318F" w:rsidDel="00561A80" w:rsidRDefault="006B0E06" w:rsidP="006B0E06">
            <w:pPr>
              <w:tabs>
                <w:tab w:val="right" w:pos="1202"/>
              </w:tabs>
              <w:spacing w:after="0" w:line="240" w:lineRule="auto"/>
              <w:jc w:val="right"/>
              <w:outlineLvl w:val="0"/>
              <w:rPr>
                <w:rFonts w:eastAsia="Times New Roman" w:cs="Arial"/>
                <w:spacing w:val="-2"/>
                <w:sz w:val="17"/>
                <w:szCs w:val="17"/>
              </w:rPr>
            </w:pPr>
          </w:p>
        </w:tc>
        <w:tc>
          <w:tcPr>
            <w:tcW w:w="994" w:type="dxa"/>
            <w:vAlign w:val="center"/>
          </w:tcPr>
          <w:p w14:paraId="13D68C26" w14:textId="77777777" w:rsidR="006B0E06" w:rsidRPr="006B318F" w:rsidDel="00561A80" w:rsidRDefault="006B0E06" w:rsidP="006B0E06">
            <w:pPr>
              <w:tabs>
                <w:tab w:val="right" w:pos="1202"/>
              </w:tabs>
              <w:spacing w:after="0" w:line="240" w:lineRule="auto"/>
              <w:jc w:val="right"/>
              <w:outlineLvl w:val="0"/>
              <w:rPr>
                <w:rFonts w:eastAsia="Times New Roman" w:cs="Arial"/>
                <w:spacing w:val="-2"/>
                <w:sz w:val="17"/>
                <w:szCs w:val="17"/>
              </w:rPr>
            </w:pPr>
          </w:p>
        </w:tc>
        <w:tc>
          <w:tcPr>
            <w:tcW w:w="1135" w:type="dxa"/>
            <w:shd w:val="clear" w:color="auto" w:fill="auto"/>
            <w:vAlign w:val="center"/>
          </w:tcPr>
          <w:p w14:paraId="28CB5A9C" w14:textId="77777777" w:rsidR="006B0E06" w:rsidRPr="006B318F" w:rsidDel="00561A80" w:rsidRDefault="006B0E06" w:rsidP="006B0E06">
            <w:pPr>
              <w:tabs>
                <w:tab w:val="right" w:pos="1202"/>
              </w:tabs>
              <w:spacing w:after="0" w:line="240" w:lineRule="auto"/>
              <w:jc w:val="right"/>
              <w:outlineLvl w:val="0"/>
              <w:rPr>
                <w:rFonts w:eastAsia="Times New Roman" w:cs="Arial"/>
                <w:spacing w:val="-2"/>
                <w:sz w:val="17"/>
                <w:szCs w:val="17"/>
              </w:rPr>
            </w:pPr>
          </w:p>
        </w:tc>
        <w:tc>
          <w:tcPr>
            <w:tcW w:w="1135" w:type="dxa"/>
            <w:shd w:val="clear" w:color="auto" w:fill="auto"/>
            <w:vAlign w:val="center"/>
          </w:tcPr>
          <w:p w14:paraId="1C5FCD1E" w14:textId="77777777" w:rsidR="006B0E06" w:rsidRPr="006B318F" w:rsidDel="00561A80" w:rsidRDefault="006B0E06" w:rsidP="006B0E06">
            <w:pPr>
              <w:tabs>
                <w:tab w:val="right" w:pos="1202"/>
              </w:tabs>
              <w:spacing w:after="0" w:line="240" w:lineRule="auto"/>
              <w:jc w:val="right"/>
              <w:outlineLvl w:val="0"/>
              <w:rPr>
                <w:rFonts w:eastAsia="Times New Roman" w:cs="Arial"/>
                <w:spacing w:val="-2"/>
                <w:sz w:val="17"/>
                <w:szCs w:val="17"/>
              </w:rPr>
            </w:pPr>
          </w:p>
        </w:tc>
        <w:tc>
          <w:tcPr>
            <w:tcW w:w="995" w:type="dxa"/>
            <w:shd w:val="clear" w:color="auto" w:fill="auto"/>
            <w:vAlign w:val="center"/>
          </w:tcPr>
          <w:p w14:paraId="224CC574" w14:textId="77777777" w:rsidR="006B0E06" w:rsidRPr="006B318F" w:rsidDel="00561A80" w:rsidRDefault="006B0E06" w:rsidP="006B0E06">
            <w:pPr>
              <w:tabs>
                <w:tab w:val="right" w:pos="1202"/>
              </w:tabs>
              <w:spacing w:after="0" w:line="240" w:lineRule="auto"/>
              <w:jc w:val="right"/>
              <w:outlineLvl w:val="0"/>
              <w:rPr>
                <w:rFonts w:eastAsia="Times New Roman" w:cs="Arial"/>
                <w:spacing w:val="-2"/>
                <w:sz w:val="17"/>
                <w:szCs w:val="17"/>
              </w:rPr>
            </w:pPr>
          </w:p>
        </w:tc>
      </w:tr>
      <w:tr w:rsidR="006B0E06" w:rsidRPr="00E26B60" w14:paraId="652FFE6E" w14:textId="77777777" w:rsidTr="006B0E06">
        <w:trPr>
          <w:trHeight w:val="276"/>
          <w:jc w:val="center"/>
        </w:trPr>
        <w:tc>
          <w:tcPr>
            <w:tcW w:w="3550" w:type="dxa"/>
            <w:shd w:val="clear" w:color="auto" w:fill="auto"/>
            <w:vAlign w:val="bottom"/>
          </w:tcPr>
          <w:p w14:paraId="02E4ED34" w14:textId="77777777" w:rsidR="006B0E06" w:rsidRPr="006B318F" w:rsidRDefault="006B0E06" w:rsidP="006B0E06">
            <w:pPr>
              <w:tabs>
                <w:tab w:val="right" w:pos="1202"/>
              </w:tabs>
              <w:spacing w:after="0" w:line="240" w:lineRule="auto"/>
              <w:outlineLvl w:val="0"/>
              <w:rPr>
                <w:rFonts w:eastAsia="Times New Roman" w:cs="Arial"/>
                <w:b/>
                <w:i/>
                <w:spacing w:val="-2"/>
                <w:sz w:val="17"/>
                <w:szCs w:val="17"/>
              </w:rPr>
            </w:pPr>
            <w:r w:rsidRPr="006B318F">
              <w:rPr>
                <w:rFonts w:eastAsia="Times New Roman" w:cs="Arial"/>
                <w:b/>
                <w:i/>
                <w:spacing w:val="-2"/>
                <w:sz w:val="17"/>
                <w:szCs w:val="17"/>
              </w:rPr>
              <w:t>Debt instruments:</w:t>
            </w:r>
          </w:p>
        </w:tc>
        <w:tc>
          <w:tcPr>
            <w:tcW w:w="1135" w:type="dxa"/>
            <w:vAlign w:val="center"/>
          </w:tcPr>
          <w:p w14:paraId="236C9B1D" w14:textId="77777777" w:rsidR="006B0E06" w:rsidRPr="006B318F" w:rsidDel="00561A80" w:rsidRDefault="006B0E06" w:rsidP="006B0E06">
            <w:pPr>
              <w:tabs>
                <w:tab w:val="right" w:pos="1202"/>
              </w:tabs>
              <w:spacing w:after="0" w:line="240" w:lineRule="auto"/>
              <w:jc w:val="right"/>
              <w:outlineLvl w:val="0"/>
              <w:rPr>
                <w:rFonts w:eastAsia="Times New Roman" w:cs="Arial"/>
                <w:spacing w:val="-2"/>
                <w:sz w:val="17"/>
                <w:szCs w:val="17"/>
              </w:rPr>
            </w:pPr>
          </w:p>
        </w:tc>
        <w:tc>
          <w:tcPr>
            <w:tcW w:w="993" w:type="dxa"/>
            <w:vAlign w:val="center"/>
          </w:tcPr>
          <w:p w14:paraId="18877C5C" w14:textId="77777777" w:rsidR="006B0E06" w:rsidRPr="006B318F" w:rsidDel="00561A80" w:rsidRDefault="006B0E06" w:rsidP="006B0E06">
            <w:pPr>
              <w:tabs>
                <w:tab w:val="right" w:pos="1202"/>
              </w:tabs>
              <w:spacing w:after="0" w:line="240" w:lineRule="auto"/>
              <w:jc w:val="right"/>
              <w:outlineLvl w:val="0"/>
              <w:rPr>
                <w:rFonts w:eastAsia="Times New Roman" w:cs="Arial"/>
                <w:spacing w:val="-2"/>
                <w:sz w:val="17"/>
                <w:szCs w:val="17"/>
              </w:rPr>
            </w:pPr>
          </w:p>
        </w:tc>
        <w:tc>
          <w:tcPr>
            <w:tcW w:w="994" w:type="dxa"/>
            <w:vAlign w:val="center"/>
          </w:tcPr>
          <w:p w14:paraId="20BA9138" w14:textId="77777777" w:rsidR="006B0E06" w:rsidRPr="006B318F" w:rsidDel="00561A80" w:rsidRDefault="006B0E06" w:rsidP="006B0E06">
            <w:pPr>
              <w:tabs>
                <w:tab w:val="right" w:pos="1202"/>
              </w:tabs>
              <w:spacing w:after="0" w:line="240" w:lineRule="auto"/>
              <w:jc w:val="right"/>
              <w:outlineLvl w:val="0"/>
              <w:rPr>
                <w:rFonts w:eastAsia="Times New Roman" w:cs="Arial"/>
                <w:spacing w:val="-2"/>
                <w:sz w:val="17"/>
                <w:szCs w:val="17"/>
              </w:rPr>
            </w:pPr>
          </w:p>
        </w:tc>
        <w:tc>
          <w:tcPr>
            <w:tcW w:w="1135" w:type="dxa"/>
            <w:shd w:val="clear" w:color="auto" w:fill="auto"/>
            <w:vAlign w:val="center"/>
          </w:tcPr>
          <w:p w14:paraId="3061C2DF" w14:textId="77777777" w:rsidR="006B0E06" w:rsidRPr="006B318F" w:rsidDel="00561A80" w:rsidRDefault="006B0E06" w:rsidP="006B0E06">
            <w:pPr>
              <w:tabs>
                <w:tab w:val="right" w:pos="1202"/>
              </w:tabs>
              <w:spacing w:after="0" w:line="240" w:lineRule="auto"/>
              <w:jc w:val="right"/>
              <w:outlineLvl w:val="0"/>
              <w:rPr>
                <w:rFonts w:eastAsia="Times New Roman" w:cs="Arial"/>
                <w:spacing w:val="-2"/>
                <w:sz w:val="17"/>
                <w:szCs w:val="17"/>
              </w:rPr>
            </w:pPr>
          </w:p>
        </w:tc>
        <w:tc>
          <w:tcPr>
            <w:tcW w:w="1135" w:type="dxa"/>
            <w:shd w:val="clear" w:color="auto" w:fill="auto"/>
            <w:vAlign w:val="center"/>
          </w:tcPr>
          <w:p w14:paraId="317DC153" w14:textId="77777777" w:rsidR="006B0E06" w:rsidRPr="006B318F" w:rsidDel="00561A80" w:rsidRDefault="006B0E06" w:rsidP="006B0E06">
            <w:pPr>
              <w:tabs>
                <w:tab w:val="right" w:pos="1202"/>
              </w:tabs>
              <w:spacing w:after="0" w:line="240" w:lineRule="auto"/>
              <w:jc w:val="right"/>
              <w:outlineLvl w:val="0"/>
              <w:rPr>
                <w:rFonts w:eastAsia="Times New Roman" w:cs="Arial"/>
                <w:spacing w:val="-2"/>
                <w:sz w:val="17"/>
                <w:szCs w:val="17"/>
              </w:rPr>
            </w:pPr>
          </w:p>
        </w:tc>
        <w:tc>
          <w:tcPr>
            <w:tcW w:w="995" w:type="dxa"/>
            <w:shd w:val="clear" w:color="auto" w:fill="auto"/>
            <w:vAlign w:val="center"/>
          </w:tcPr>
          <w:p w14:paraId="406E5E9A" w14:textId="77777777" w:rsidR="006B0E06" w:rsidRPr="006B318F" w:rsidDel="00561A80" w:rsidRDefault="006B0E06" w:rsidP="006B0E06">
            <w:pPr>
              <w:tabs>
                <w:tab w:val="right" w:pos="1202"/>
              </w:tabs>
              <w:spacing w:after="0" w:line="240" w:lineRule="auto"/>
              <w:jc w:val="right"/>
              <w:outlineLvl w:val="0"/>
              <w:rPr>
                <w:rFonts w:eastAsia="Times New Roman" w:cs="Arial"/>
                <w:spacing w:val="-2"/>
                <w:sz w:val="17"/>
                <w:szCs w:val="17"/>
              </w:rPr>
            </w:pPr>
          </w:p>
        </w:tc>
      </w:tr>
      <w:tr w:rsidR="006B0E06" w:rsidRPr="00E26B60" w14:paraId="410699DC" w14:textId="77777777" w:rsidTr="006B0E06">
        <w:trPr>
          <w:trHeight w:val="265"/>
          <w:jc w:val="center"/>
        </w:trPr>
        <w:tc>
          <w:tcPr>
            <w:tcW w:w="3550" w:type="dxa"/>
            <w:shd w:val="clear" w:color="auto" w:fill="auto"/>
            <w:vAlign w:val="bottom"/>
          </w:tcPr>
          <w:p w14:paraId="7D409C8C" w14:textId="77777777" w:rsidR="006B0E06" w:rsidRPr="006B318F" w:rsidRDefault="006B0E06" w:rsidP="006B0E06">
            <w:pPr>
              <w:tabs>
                <w:tab w:val="right" w:pos="1202"/>
              </w:tabs>
              <w:spacing w:after="0" w:line="240" w:lineRule="auto"/>
              <w:outlineLvl w:val="0"/>
              <w:rPr>
                <w:rFonts w:eastAsia="Times New Roman" w:cs="Arial"/>
                <w:b/>
                <w:i/>
                <w:spacing w:val="-2"/>
                <w:sz w:val="17"/>
                <w:szCs w:val="17"/>
              </w:rPr>
            </w:pPr>
            <w:r w:rsidRPr="006B318F">
              <w:rPr>
                <w:rFonts w:eastAsia="Times New Roman" w:cs="Arial"/>
                <w:b/>
                <w:i/>
                <w:spacing w:val="-2"/>
                <w:sz w:val="17"/>
                <w:szCs w:val="17"/>
              </w:rPr>
              <w:t>Listed debt instruments:</w:t>
            </w:r>
          </w:p>
        </w:tc>
        <w:tc>
          <w:tcPr>
            <w:tcW w:w="1135" w:type="dxa"/>
            <w:vAlign w:val="center"/>
          </w:tcPr>
          <w:p w14:paraId="32C297DA" w14:textId="77777777" w:rsidR="006B0E06" w:rsidRPr="006B318F" w:rsidDel="00561A80" w:rsidRDefault="006B0E06" w:rsidP="006B0E06">
            <w:pPr>
              <w:tabs>
                <w:tab w:val="right" w:pos="1202"/>
              </w:tabs>
              <w:spacing w:after="0" w:line="240" w:lineRule="auto"/>
              <w:jc w:val="right"/>
              <w:outlineLvl w:val="0"/>
              <w:rPr>
                <w:rFonts w:eastAsia="Times New Roman" w:cs="Arial"/>
                <w:spacing w:val="-2"/>
                <w:sz w:val="17"/>
                <w:szCs w:val="17"/>
              </w:rPr>
            </w:pPr>
          </w:p>
        </w:tc>
        <w:tc>
          <w:tcPr>
            <w:tcW w:w="993" w:type="dxa"/>
            <w:vAlign w:val="center"/>
          </w:tcPr>
          <w:p w14:paraId="6E485CBC" w14:textId="77777777" w:rsidR="006B0E06" w:rsidRPr="006B318F" w:rsidDel="00561A80" w:rsidRDefault="006B0E06" w:rsidP="006B0E06">
            <w:pPr>
              <w:tabs>
                <w:tab w:val="right" w:pos="1202"/>
              </w:tabs>
              <w:spacing w:after="0" w:line="240" w:lineRule="auto"/>
              <w:jc w:val="right"/>
              <w:outlineLvl w:val="0"/>
              <w:rPr>
                <w:rFonts w:eastAsia="Times New Roman" w:cs="Arial"/>
                <w:spacing w:val="-2"/>
                <w:sz w:val="17"/>
                <w:szCs w:val="17"/>
              </w:rPr>
            </w:pPr>
          </w:p>
        </w:tc>
        <w:tc>
          <w:tcPr>
            <w:tcW w:w="994" w:type="dxa"/>
            <w:vAlign w:val="center"/>
          </w:tcPr>
          <w:p w14:paraId="691A90A1" w14:textId="77777777" w:rsidR="006B0E06" w:rsidRPr="006B318F" w:rsidDel="00561A80" w:rsidRDefault="006B0E06" w:rsidP="006B0E06">
            <w:pPr>
              <w:tabs>
                <w:tab w:val="right" w:pos="1202"/>
              </w:tabs>
              <w:spacing w:after="0" w:line="240" w:lineRule="auto"/>
              <w:jc w:val="right"/>
              <w:outlineLvl w:val="0"/>
              <w:rPr>
                <w:rFonts w:eastAsia="Times New Roman" w:cs="Arial"/>
                <w:spacing w:val="-2"/>
                <w:sz w:val="17"/>
                <w:szCs w:val="17"/>
              </w:rPr>
            </w:pPr>
          </w:p>
        </w:tc>
        <w:tc>
          <w:tcPr>
            <w:tcW w:w="1135" w:type="dxa"/>
            <w:shd w:val="clear" w:color="auto" w:fill="auto"/>
            <w:vAlign w:val="center"/>
          </w:tcPr>
          <w:p w14:paraId="3B2B65E7" w14:textId="77777777" w:rsidR="006B0E06" w:rsidRPr="006B318F" w:rsidDel="00561A80" w:rsidRDefault="006B0E06" w:rsidP="006B0E06">
            <w:pPr>
              <w:tabs>
                <w:tab w:val="right" w:pos="1202"/>
              </w:tabs>
              <w:spacing w:after="0" w:line="240" w:lineRule="auto"/>
              <w:jc w:val="right"/>
              <w:outlineLvl w:val="0"/>
              <w:rPr>
                <w:rFonts w:eastAsia="Times New Roman" w:cs="Arial"/>
                <w:spacing w:val="-2"/>
                <w:sz w:val="17"/>
                <w:szCs w:val="17"/>
              </w:rPr>
            </w:pPr>
          </w:p>
        </w:tc>
        <w:tc>
          <w:tcPr>
            <w:tcW w:w="1135" w:type="dxa"/>
            <w:shd w:val="clear" w:color="auto" w:fill="auto"/>
            <w:vAlign w:val="center"/>
          </w:tcPr>
          <w:p w14:paraId="0AF11A99" w14:textId="77777777" w:rsidR="006B0E06" w:rsidRPr="006B318F" w:rsidDel="00561A80" w:rsidRDefault="006B0E06" w:rsidP="006B0E06">
            <w:pPr>
              <w:tabs>
                <w:tab w:val="right" w:pos="1202"/>
              </w:tabs>
              <w:spacing w:after="0" w:line="240" w:lineRule="auto"/>
              <w:jc w:val="right"/>
              <w:outlineLvl w:val="0"/>
              <w:rPr>
                <w:rFonts w:eastAsia="Times New Roman" w:cs="Arial"/>
                <w:spacing w:val="-2"/>
                <w:sz w:val="17"/>
                <w:szCs w:val="17"/>
              </w:rPr>
            </w:pPr>
          </w:p>
        </w:tc>
        <w:tc>
          <w:tcPr>
            <w:tcW w:w="995" w:type="dxa"/>
            <w:shd w:val="clear" w:color="auto" w:fill="auto"/>
            <w:vAlign w:val="center"/>
          </w:tcPr>
          <w:p w14:paraId="5E962497" w14:textId="77777777" w:rsidR="006B0E06" w:rsidRPr="006B318F" w:rsidDel="00561A80" w:rsidRDefault="006B0E06" w:rsidP="006B0E06">
            <w:pPr>
              <w:tabs>
                <w:tab w:val="right" w:pos="1202"/>
              </w:tabs>
              <w:spacing w:after="0" w:line="240" w:lineRule="auto"/>
              <w:jc w:val="right"/>
              <w:outlineLvl w:val="0"/>
              <w:rPr>
                <w:rFonts w:eastAsia="Times New Roman" w:cs="Arial"/>
                <w:spacing w:val="-2"/>
                <w:sz w:val="17"/>
                <w:szCs w:val="17"/>
              </w:rPr>
            </w:pPr>
          </w:p>
        </w:tc>
      </w:tr>
      <w:tr w:rsidR="00490C12" w:rsidRPr="00E26B60" w14:paraId="33847252" w14:textId="77777777" w:rsidTr="006B318F">
        <w:trPr>
          <w:trHeight w:val="265"/>
          <w:jc w:val="center"/>
        </w:trPr>
        <w:tc>
          <w:tcPr>
            <w:tcW w:w="3550" w:type="dxa"/>
            <w:shd w:val="clear" w:color="auto" w:fill="auto"/>
            <w:vAlign w:val="bottom"/>
          </w:tcPr>
          <w:p w14:paraId="35496111" w14:textId="77777777" w:rsidR="00490C12" w:rsidRPr="006B318F" w:rsidRDefault="00490C12" w:rsidP="00490C12">
            <w:pPr>
              <w:tabs>
                <w:tab w:val="right" w:pos="1202"/>
              </w:tabs>
              <w:spacing w:after="0" w:line="240" w:lineRule="auto"/>
              <w:outlineLvl w:val="0"/>
              <w:rPr>
                <w:rFonts w:eastAsia="Times New Roman" w:cs="Arial"/>
                <w:spacing w:val="-2"/>
                <w:sz w:val="17"/>
                <w:szCs w:val="17"/>
              </w:rPr>
            </w:pPr>
            <w:r w:rsidRPr="006B318F">
              <w:rPr>
                <w:rFonts w:eastAsia="Times New Roman" w:cs="Arial"/>
                <w:spacing w:val="-2"/>
                <w:sz w:val="17"/>
                <w:szCs w:val="17"/>
              </w:rPr>
              <w:t xml:space="preserve">Bonds of the Ministry of Finance of the Republic of Croatia </w:t>
            </w:r>
          </w:p>
        </w:tc>
        <w:tc>
          <w:tcPr>
            <w:tcW w:w="1135" w:type="dxa"/>
            <w:tcBorders>
              <w:top w:val="nil"/>
              <w:left w:val="nil"/>
              <w:bottom w:val="nil"/>
              <w:right w:val="nil"/>
            </w:tcBorders>
            <w:shd w:val="clear" w:color="auto" w:fill="auto"/>
            <w:vAlign w:val="bottom"/>
          </w:tcPr>
          <w:p w14:paraId="5B1DA257" w14:textId="0701A5FD" w:rsidR="00490C12" w:rsidRPr="006B318F" w:rsidRDefault="00490C12" w:rsidP="00490C12">
            <w:pPr>
              <w:tabs>
                <w:tab w:val="right" w:pos="1202"/>
              </w:tabs>
              <w:spacing w:after="0" w:line="301" w:lineRule="exact"/>
              <w:jc w:val="right"/>
              <w:outlineLvl w:val="0"/>
              <w:rPr>
                <w:rFonts w:eastAsia="Times New Roman"/>
                <w:color w:val="000000"/>
                <w:sz w:val="17"/>
                <w:szCs w:val="17"/>
                <w:lang w:val="en-US"/>
              </w:rPr>
            </w:pPr>
            <w:r w:rsidRPr="006B318F">
              <w:rPr>
                <w:rFonts w:eastAsia="Times New Roman"/>
                <w:color w:val="000000"/>
                <w:sz w:val="17"/>
                <w:szCs w:val="17"/>
                <w:lang w:val="en-US"/>
              </w:rPr>
              <w:t>853,824</w:t>
            </w:r>
          </w:p>
        </w:tc>
        <w:tc>
          <w:tcPr>
            <w:tcW w:w="993" w:type="dxa"/>
            <w:tcBorders>
              <w:top w:val="nil"/>
              <w:left w:val="nil"/>
              <w:bottom w:val="nil"/>
              <w:right w:val="nil"/>
            </w:tcBorders>
            <w:shd w:val="clear" w:color="auto" w:fill="auto"/>
            <w:vAlign w:val="bottom"/>
          </w:tcPr>
          <w:p w14:paraId="1AE9C34B" w14:textId="654988B0" w:rsidR="00490C12" w:rsidRPr="006B318F" w:rsidRDefault="00490C12" w:rsidP="00490C12">
            <w:pPr>
              <w:tabs>
                <w:tab w:val="right" w:pos="1202"/>
              </w:tabs>
              <w:spacing w:after="0" w:line="301" w:lineRule="exact"/>
              <w:jc w:val="right"/>
              <w:outlineLvl w:val="0"/>
              <w:rPr>
                <w:rFonts w:eastAsia="Times New Roman"/>
                <w:color w:val="000000"/>
                <w:sz w:val="17"/>
                <w:szCs w:val="17"/>
                <w:lang w:val="en-US"/>
              </w:rPr>
            </w:pPr>
            <w:r w:rsidRPr="006B318F">
              <w:rPr>
                <w:rFonts w:eastAsia="Times New Roman"/>
                <w:color w:val="000000"/>
                <w:sz w:val="17"/>
                <w:szCs w:val="17"/>
                <w:lang w:val="en-US"/>
              </w:rPr>
              <w:t>-</w:t>
            </w:r>
          </w:p>
        </w:tc>
        <w:tc>
          <w:tcPr>
            <w:tcW w:w="994" w:type="dxa"/>
            <w:tcBorders>
              <w:top w:val="nil"/>
              <w:left w:val="nil"/>
              <w:bottom w:val="nil"/>
              <w:right w:val="nil"/>
            </w:tcBorders>
            <w:shd w:val="clear" w:color="auto" w:fill="auto"/>
            <w:vAlign w:val="bottom"/>
          </w:tcPr>
          <w:p w14:paraId="14F5C600" w14:textId="510DC777" w:rsidR="00490C12" w:rsidRPr="006B318F" w:rsidRDefault="00490C12" w:rsidP="00490C12">
            <w:pPr>
              <w:tabs>
                <w:tab w:val="right" w:pos="1202"/>
              </w:tabs>
              <w:spacing w:after="0" w:line="301" w:lineRule="exact"/>
              <w:jc w:val="right"/>
              <w:outlineLvl w:val="0"/>
              <w:rPr>
                <w:rFonts w:eastAsia="Times New Roman"/>
                <w:color w:val="000000"/>
                <w:sz w:val="17"/>
                <w:szCs w:val="17"/>
                <w:lang w:val="en-US"/>
              </w:rPr>
            </w:pPr>
            <w:r w:rsidRPr="006B318F">
              <w:rPr>
                <w:rFonts w:eastAsia="Times New Roman"/>
                <w:color w:val="000000"/>
                <w:sz w:val="17"/>
                <w:szCs w:val="17"/>
                <w:lang w:val="en-US"/>
              </w:rPr>
              <w:t>-</w:t>
            </w:r>
          </w:p>
        </w:tc>
        <w:tc>
          <w:tcPr>
            <w:tcW w:w="1135" w:type="dxa"/>
            <w:tcBorders>
              <w:top w:val="nil"/>
              <w:left w:val="nil"/>
              <w:bottom w:val="nil"/>
              <w:right w:val="nil"/>
            </w:tcBorders>
            <w:shd w:val="clear" w:color="auto" w:fill="auto"/>
            <w:vAlign w:val="bottom"/>
          </w:tcPr>
          <w:p w14:paraId="33B9B8DB" w14:textId="77777777" w:rsidR="00490C12" w:rsidRPr="006B318F" w:rsidRDefault="00490C12" w:rsidP="00490C12">
            <w:pPr>
              <w:tabs>
                <w:tab w:val="right" w:pos="1202"/>
              </w:tabs>
              <w:spacing w:after="0" w:line="301" w:lineRule="exact"/>
              <w:jc w:val="right"/>
              <w:outlineLvl w:val="0"/>
              <w:rPr>
                <w:rFonts w:asciiTheme="minorHAnsi" w:eastAsia="Times New Roman" w:hAnsiTheme="minorHAnsi" w:cs="Arial"/>
                <w:spacing w:val="-2"/>
                <w:sz w:val="17"/>
                <w:szCs w:val="17"/>
              </w:rPr>
            </w:pPr>
            <w:r w:rsidRPr="006B318F">
              <w:rPr>
                <w:rFonts w:eastAsia="Times New Roman"/>
                <w:color w:val="000000"/>
                <w:sz w:val="17"/>
                <w:szCs w:val="17"/>
                <w:lang w:val="en-US"/>
              </w:rPr>
              <w:t>884,914</w:t>
            </w:r>
          </w:p>
        </w:tc>
        <w:tc>
          <w:tcPr>
            <w:tcW w:w="1135" w:type="dxa"/>
            <w:tcBorders>
              <w:top w:val="nil"/>
              <w:left w:val="nil"/>
              <w:bottom w:val="nil"/>
              <w:right w:val="nil"/>
            </w:tcBorders>
            <w:shd w:val="clear" w:color="auto" w:fill="auto"/>
            <w:vAlign w:val="bottom"/>
          </w:tcPr>
          <w:p w14:paraId="76F56EA4" w14:textId="77777777" w:rsidR="00490C12" w:rsidRPr="006B318F" w:rsidRDefault="00490C12" w:rsidP="00490C12">
            <w:pPr>
              <w:tabs>
                <w:tab w:val="right" w:pos="1202"/>
              </w:tabs>
              <w:spacing w:after="0" w:line="301" w:lineRule="exact"/>
              <w:jc w:val="right"/>
              <w:outlineLvl w:val="0"/>
              <w:rPr>
                <w:rFonts w:asciiTheme="minorHAnsi" w:eastAsia="Times New Roman" w:hAnsiTheme="minorHAnsi" w:cs="Arial"/>
                <w:spacing w:val="-2"/>
                <w:sz w:val="17"/>
                <w:szCs w:val="17"/>
              </w:rPr>
            </w:pPr>
            <w:r w:rsidRPr="006B318F">
              <w:rPr>
                <w:rFonts w:asciiTheme="minorHAnsi" w:eastAsia="Times New Roman" w:hAnsiTheme="minorHAnsi" w:cs="Arial"/>
                <w:spacing w:val="-2"/>
                <w:sz w:val="17"/>
                <w:szCs w:val="17"/>
              </w:rPr>
              <w:t>-</w:t>
            </w:r>
          </w:p>
        </w:tc>
        <w:tc>
          <w:tcPr>
            <w:tcW w:w="995" w:type="dxa"/>
            <w:tcBorders>
              <w:top w:val="nil"/>
              <w:left w:val="nil"/>
              <w:bottom w:val="nil"/>
              <w:right w:val="nil"/>
            </w:tcBorders>
            <w:shd w:val="clear" w:color="auto" w:fill="auto"/>
            <w:vAlign w:val="bottom"/>
          </w:tcPr>
          <w:p w14:paraId="40A2758D" w14:textId="77777777" w:rsidR="00490C12" w:rsidRPr="006B318F" w:rsidRDefault="00490C12" w:rsidP="00490C12">
            <w:pPr>
              <w:tabs>
                <w:tab w:val="right" w:pos="1202"/>
              </w:tabs>
              <w:spacing w:after="0" w:line="301" w:lineRule="exact"/>
              <w:jc w:val="right"/>
              <w:outlineLvl w:val="0"/>
              <w:rPr>
                <w:rFonts w:asciiTheme="minorHAnsi" w:eastAsia="Times New Roman" w:hAnsiTheme="minorHAnsi" w:cs="Arial"/>
                <w:spacing w:val="-2"/>
                <w:sz w:val="17"/>
                <w:szCs w:val="17"/>
              </w:rPr>
            </w:pPr>
            <w:r w:rsidRPr="006B318F">
              <w:rPr>
                <w:rFonts w:asciiTheme="minorHAnsi" w:eastAsia="Times New Roman" w:hAnsiTheme="minorHAnsi" w:cs="Arial"/>
                <w:spacing w:val="-2"/>
                <w:sz w:val="17"/>
                <w:szCs w:val="17"/>
              </w:rPr>
              <w:t>-</w:t>
            </w:r>
          </w:p>
        </w:tc>
      </w:tr>
      <w:tr w:rsidR="00490C12" w:rsidRPr="00E26B60" w14:paraId="1E74B30C" w14:textId="77777777" w:rsidTr="006B318F">
        <w:trPr>
          <w:trHeight w:val="107"/>
          <w:jc w:val="center"/>
        </w:trPr>
        <w:tc>
          <w:tcPr>
            <w:tcW w:w="3550" w:type="dxa"/>
            <w:shd w:val="clear" w:color="auto" w:fill="auto"/>
            <w:vAlign w:val="bottom"/>
          </w:tcPr>
          <w:p w14:paraId="7B22944B" w14:textId="77777777" w:rsidR="00490C12" w:rsidRPr="006B318F" w:rsidRDefault="00490C12" w:rsidP="00490C12">
            <w:pPr>
              <w:tabs>
                <w:tab w:val="right" w:pos="1202"/>
              </w:tabs>
              <w:spacing w:after="0" w:line="240" w:lineRule="auto"/>
              <w:outlineLvl w:val="0"/>
              <w:rPr>
                <w:rFonts w:eastAsia="Times New Roman" w:cs="Arial"/>
                <w:spacing w:val="-2"/>
                <w:sz w:val="17"/>
                <w:szCs w:val="17"/>
              </w:rPr>
            </w:pPr>
            <w:r w:rsidRPr="006B318F">
              <w:rPr>
                <w:rFonts w:eastAsia="Times New Roman" w:cs="Arial"/>
                <w:spacing w:val="-2"/>
                <w:sz w:val="17"/>
                <w:szCs w:val="17"/>
              </w:rPr>
              <w:t xml:space="preserve">Treasury bills of the Ministry of finance of the Republic of Croatia </w:t>
            </w:r>
          </w:p>
        </w:tc>
        <w:tc>
          <w:tcPr>
            <w:tcW w:w="1135" w:type="dxa"/>
            <w:tcBorders>
              <w:top w:val="nil"/>
              <w:left w:val="nil"/>
              <w:bottom w:val="nil"/>
              <w:right w:val="nil"/>
            </w:tcBorders>
            <w:shd w:val="clear" w:color="auto" w:fill="auto"/>
            <w:vAlign w:val="bottom"/>
          </w:tcPr>
          <w:p w14:paraId="789FFFA6" w14:textId="18A9FFEB" w:rsidR="00490C12" w:rsidRPr="006B318F" w:rsidRDefault="00490C12" w:rsidP="00490C12">
            <w:pPr>
              <w:tabs>
                <w:tab w:val="right" w:pos="1202"/>
              </w:tabs>
              <w:spacing w:after="0" w:line="301" w:lineRule="exact"/>
              <w:jc w:val="right"/>
              <w:outlineLvl w:val="0"/>
              <w:rPr>
                <w:rFonts w:eastAsia="Times New Roman"/>
                <w:color w:val="000000"/>
                <w:sz w:val="17"/>
                <w:szCs w:val="17"/>
                <w:lang w:val="en-US"/>
              </w:rPr>
            </w:pPr>
            <w:r w:rsidRPr="006B318F">
              <w:rPr>
                <w:rFonts w:eastAsia="Times New Roman"/>
                <w:color w:val="000000"/>
                <w:sz w:val="17"/>
                <w:szCs w:val="17"/>
                <w:lang w:val="en-US"/>
              </w:rPr>
              <w:t>1,548,521</w:t>
            </w:r>
          </w:p>
        </w:tc>
        <w:tc>
          <w:tcPr>
            <w:tcW w:w="993" w:type="dxa"/>
            <w:tcBorders>
              <w:top w:val="nil"/>
              <w:left w:val="nil"/>
              <w:bottom w:val="nil"/>
              <w:right w:val="nil"/>
            </w:tcBorders>
            <w:shd w:val="clear" w:color="auto" w:fill="auto"/>
            <w:vAlign w:val="bottom"/>
          </w:tcPr>
          <w:p w14:paraId="2D1F6DA1" w14:textId="4CCB8C1F" w:rsidR="00490C12" w:rsidRPr="006B318F" w:rsidRDefault="00490C12" w:rsidP="00490C12">
            <w:pPr>
              <w:tabs>
                <w:tab w:val="right" w:pos="1202"/>
              </w:tabs>
              <w:spacing w:after="0" w:line="301" w:lineRule="exact"/>
              <w:jc w:val="right"/>
              <w:outlineLvl w:val="0"/>
              <w:rPr>
                <w:rFonts w:eastAsia="Times New Roman"/>
                <w:color w:val="000000"/>
                <w:sz w:val="17"/>
                <w:szCs w:val="17"/>
                <w:lang w:val="en-US"/>
              </w:rPr>
            </w:pPr>
            <w:r w:rsidRPr="006B318F">
              <w:rPr>
                <w:rFonts w:eastAsia="Times New Roman"/>
                <w:color w:val="000000"/>
                <w:sz w:val="17"/>
                <w:szCs w:val="17"/>
                <w:lang w:val="en-US"/>
              </w:rPr>
              <w:t>-</w:t>
            </w:r>
          </w:p>
        </w:tc>
        <w:tc>
          <w:tcPr>
            <w:tcW w:w="994" w:type="dxa"/>
            <w:tcBorders>
              <w:top w:val="nil"/>
              <w:left w:val="nil"/>
              <w:bottom w:val="nil"/>
              <w:right w:val="nil"/>
            </w:tcBorders>
            <w:shd w:val="clear" w:color="auto" w:fill="auto"/>
            <w:vAlign w:val="bottom"/>
          </w:tcPr>
          <w:p w14:paraId="29BD89BD" w14:textId="37CB727B" w:rsidR="00490C12" w:rsidRPr="006B318F" w:rsidRDefault="00490C12" w:rsidP="00490C12">
            <w:pPr>
              <w:tabs>
                <w:tab w:val="right" w:pos="1202"/>
              </w:tabs>
              <w:spacing w:after="0" w:line="301" w:lineRule="exact"/>
              <w:jc w:val="right"/>
              <w:outlineLvl w:val="0"/>
              <w:rPr>
                <w:rFonts w:eastAsia="Times New Roman"/>
                <w:color w:val="000000"/>
                <w:sz w:val="17"/>
                <w:szCs w:val="17"/>
                <w:lang w:val="en-US"/>
              </w:rPr>
            </w:pPr>
            <w:r w:rsidRPr="006B318F">
              <w:rPr>
                <w:rFonts w:eastAsia="Times New Roman"/>
                <w:color w:val="000000"/>
                <w:sz w:val="17"/>
                <w:szCs w:val="17"/>
                <w:lang w:val="en-US"/>
              </w:rPr>
              <w:t>-</w:t>
            </w:r>
          </w:p>
        </w:tc>
        <w:tc>
          <w:tcPr>
            <w:tcW w:w="1135" w:type="dxa"/>
            <w:tcBorders>
              <w:top w:val="nil"/>
              <w:left w:val="nil"/>
              <w:bottom w:val="nil"/>
              <w:right w:val="nil"/>
            </w:tcBorders>
            <w:shd w:val="clear" w:color="auto" w:fill="auto"/>
            <w:vAlign w:val="bottom"/>
          </w:tcPr>
          <w:p w14:paraId="6759DFBD" w14:textId="77777777" w:rsidR="00490C12" w:rsidRPr="006B318F" w:rsidRDefault="00490C12" w:rsidP="00490C12">
            <w:pPr>
              <w:tabs>
                <w:tab w:val="right" w:pos="1202"/>
              </w:tabs>
              <w:spacing w:after="0" w:line="301" w:lineRule="exact"/>
              <w:jc w:val="right"/>
              <w:outlineLvl w:val="0"/>
              <w:rPr>
                <w:rFonts w:asciiTheme="minorHAnsi" w:eastAsia="Times New Roman" w:hAnsiTheme="minorHAnsi" w:cs="Arial"/>
                <w:spacing w:val="-2"/>
                <w:sz w:val="17"/>
                <w:szCs w:val="17"/>
              </w:rPr>
            </w:pPr>
            <w:r w:rsidRPr="006B318F">
              <w:rPr>
                <w:rFonts w:eastAsia="Times New Roman"/>
                <w:color w:val="000000"/>
                <w:sz w:val="17"/>
                <w:szCs w:val="17"/>
                <w:lang w:val="en-US"/>
              </w:rPr>
              <w:t>1,500,420</w:t>
            </w:r>
          </w:p>
        </w:tc>
        <w:tc>
          <w:tcPr>
            <w:tcW w:w="1135" w:type="dxa"/>
            <w:tcBorders>
              <w:top w:val="nil"/>
              <w:left w:val="nil"/>
              <w:bottom w:val="nil"/>
              <w:right w:val="nil"/>
            </w:tcBorders>
            <w:shd w:val="clear" w:color="auto" w:fill="auto"/>
            <w:vAlign w:val="bottom"/>
          </w:tcPr>
          <w:p w14:paraId="7DE94BD2" w14:textId="77777777" w:rsidR="00490C12" w:rsidRPr="006B318F" w:rsidRDefault="00490C12" w:rsidP="00490C12">
            <w:pPr>
              <w:tabs>
                <w:tab w:val="right" w:pos="1202"/>
              </w:tabs>
              <w:spacing w:after="0" w:line="301" w:lineRule="exact"/>
              <w:jc w:val="right"/>
              <w:outlineLvl w:val="0"/>
              <w:rPr>
                <w:rFonts w:asciiTheme="minorHAnsi" w:eastAsia="Times New Roman" w:hAnsiTheme="minorHAnsi" w:cs="Arial"/>
                <w:spacing w:val="-2"/>
                <w:sz w:val="17"/>
                <w:szCs w:val="17"/>
              </w:rPr>
            </w:pPr>
            <w:r w:rsidRPr="006B318F">
              <w:rPr>
                <w:rFonts w:asciiTheme="minorHAnsi" w:eastAsia="Times New Roman" w:hAnsiTheme="minorHAnsi" w:cs="Arial"/>
                <w:spacing w:val="-2"/>
                <w:sz w:val="17"/>
                <w:szCs w:val="17"/>
              </w:rPr>
              <w:t>-</w:t>
            </w:r>
          </w:p>
        </w:tc>
        <w:tc>
          <w:tcPr>
            <w:tcW w:w="995" w:type="dxa"/>
            <w:tcBorders>
              <w:top w:val="nil"/>
              <w:left w:val="nil"/>
              <w:bottom w:val="nil"/>
              <w:right w:val="nil"/>
            </w:tcBorders>
            <w:shd w:val="clear" w:color="auto" w:fill="auto"/>
            <w:vAlign w:val="bottom"/>
          </w:tcPr>
          <w:p w14:paraId="7A0EA249" w14:textId="77777777" w:rsidR="00490C12" w:rsidRPr="006B318F" w:rsidRDefault="00490C12" w:rsidP="00490C12">
            <w:pPr>
              <w:tabs>
                <w:tab w:val="right" w:pos="1202"/>
              </w:tabs>
              <w:spacing w:after="0" w:line="301" w:lineRule="exact"/>
              <w:jc w:val="right"/>
              <w:outlineLvl w:val="0"/>
              <w:rPr>
                <w:rFonts w:asciiTheme="minorHAnsi" w:eastAsia="Times New Roman" w:hAnsiTheme="minorHAnsi" w:cs="Arial"/>
                <w:spacing w:val="-2"/>
                <w:sz w:val="17"/>
                <w:szCs w:val="17"/>
              </w:rPr>
            </w:pPr>
            <w:r w:rsidRPr="006B318F">
              <w:rPr>
                <w:rFonts w:asciiTheme="minorHAnsi" w:eastAsia="Times New Roman" w:hAnsiTheme="minorHAnsi" w:cs="Arial"/>
                <w:spacing w:val="-2"/>
                <w:sz w:val="17"/>
                <w:szCs w:val="17"/>
              </w:rPr>
              <w:t>-</w:t>
            </w:r>
          </w:p>
        </w:tc>
      </w:tr>
      <w:tr w:rsidR="00490C12" w:rsidRPr="00E26B60" w14:paraId="4B0BE565" w14:textId="77777777" w:rsidTr="005444AA">
        <w:trPr>
          <w:trHeight w:val="265"/>
          <w:jc w:val="center"/>
        </w:trPr>
        <w:tc>
          <w:tcPr>
            <w:tcW w:w="3550" w:type="dxa"/>
            <w:shd w:val="clear" w:color="auto" w:fill="auto"/>
            <w:vAlign w:val="bottom"/>
          </w:tcPr>
          <w:p w14:paraId="7E0595D1" w14:textId="77777777" w:rsidR="00490C12" w:rsidRPr="006B318F" w:rsidRDefault="00490C12" w:rsidP="00490C12">
            <w:pPr>
              <w:tabs>
                <w:tab w:val="right" w:pos="1202"/>
              </w:tabs>
              <w:spacing w:after="0" w:line="240" w:lineRule="auto"/>
              <w:outlineLvl w:val="0"/>
              <w:rPr>
                <w:rFonts w:eastAsia="Times New Roman" w:cs="Arial"/>
                <w:spacing w:val="-2"/>
                <w:sz w:val="17"/>
                <w:szCs w:val="17"/>
              </w:rPr>
            </w:pPr>
            <w:r w:rsidRPr="006B318F">
              <w:rPr>
                <w:rFonts w:eastAsia="Times New Roman" w:cs="Arial"/>
                <w:spacing w:val="-2"/>
                <w:sz w:val="17"/>
                <w:szCs w:val="17"/>
              </w:rPr>
              <w:t xml:space="preserve">Accrued interest </w:t>
            </w:r>
          </w:p>
        </w:tc>
        <w:tc>
          <w:tcPr>
            <w:tcW w:w="1135" w:type="dxa"/>
            <w:tcBorders>
              <w:top w:val="nil"/>
              <w:left w:val="nil"/>
              <w:bottom w:val="nil"/>
              <w:right w:val="nil"/>
            </w:tcBorders>
            <w:shd w:val="clear" w:color="auto" w:fill="auto"/>
            <w:vAlign w:val="bottom"/>
          </w:tcPr>
          <w:p w14:paraId="3751778D" w14:textId="12F39DC5" w:rsidR="00490C12" w:rsidRPr="006B318F" w:rsidRDefault="00490C12" w:rsidP="00490C12">
            <w:pPr>
              <w:tabs>
                <w:tab w:val="right" w:pos="1202"/>
              </w:tabs>
              <w:spacing w:after="0" w:line="301" w:lineRule="exact"/>
              <w:jc w:val="right"/>
              <w:outlineLvl w:val="0"/>
              <w:rPr>
                <w:rFonts w:eastAsia="Times New Roman"/>
                <w:color w:val="000000"/>
                <w:sz w:val="17"/>
                <w:szCs w:val="17"/>
                <w:lang w:val="en-US"/>
              </w:rPr>
            </w:pPr>
            <w:r w:rsidRPr="006B318F">
              <w:rPr>
                <w:rFonts w:eastAsia="Times New Roman"/>
                <w:color w:val="000000"/>
                <w:sz w:val="17"/>
                <w:szCs w:val="17"/>
                <w:lang w:val="en-US"/>
              </w:rPr>
              <w:t>9,883</w:t>
            </w:r>
          </w:p>
        </w:tc>
        <w:tc>
          <w:tcPr>
            <w:tcW w:w="993" w:type="dxa"/>
            <w:tcBorders>
              <w:top w:val="nil"/>
              <w:left w:val="nil"/>
              <w:bottom w:val="nil"/>
              <w:right w:val="nil"/>
            </w:tcBorders>
            <w:shd w:val="clear" w:color="auto" w:fill="auto"/>
            <w:vAlign w:val="bottom"/>
          </w:tcPr>
          <w:p w14:paraId="4B64232E" w14:textId="26F8542D" w:rsidR="00490C12" w:rsidRPr="006B318F" w:rsidRDefault="00490C12" w:rsidP="00490C12">
            <w:pPr>
              <w:tabs>
                <w:tab w:val="right" w:pos="1202"/>
              </w:tabs>
              <w:spacing w:after="0" w:line="301" w:lineRule="exact"/>
              <w:jc w:val="right"/>
              <w:outlineLvl w:val="0"/>
              <w:rPr>
                <w:rFonts w:eastAsia="Times New Roman"/>
                <w:color w:val="000000"/>
                <w:sz w:val="17"/>
                <w:szCs w:val="17"/>
                <w:lang w:val="en-US"/>
              </w:rPr>
            </w:pPr>
            <w:r w:rsidRPr="006B318F">
              <w:rPr>
                <w:rFonts w:eastAsia="Times New Roman"/>
                <w:color w:val="000000"/>
                <w:sz w:val="17"/>
                <w:szCs w:val="17"/>
                <w:lang w:val="en-US"/>
              </w:rPr>
              <w:t>-</w:t>
            </w:r>
          </w:p>
        </w:tc>
        <w:tc>
          <w:tcPr>
            <w:tcW w:w="994" w:type="dxa"/>
            <w:tcBorders>
              <w:top w:val="nil"/>
              <w:left w:val="nil"/>
              <w:bottom w:val="nil"/>
              <w:right w:val="nil"/>
            </w:tcBorders>
            <w:shd w:val="clear" w:color="auto" w:fill="auto"/>
            <w:vAlign w:val="bottom"/>
          </w:tcPr>
          <w:p w14:paraId="5BA67613" w14:textId="1FC21260" w:rsidR="00490C12" w:rsidRPr="006B318F" w:rsidRDefault="00490C12" w:rsidP="00490C12">
            <w:pPr>
              <w:tabs>
                <w:tab w:val="right" w:pos="1202"/>
              </w:tabs>
              <w:spacing w:after="0" w:line="301" w:lineRule="exact"/>
              <w:jc w:val="right"/>
              <w:outlineLvl w:val="0"/>
              <w:rPr>
                <w:rFonts w:eastAsia="Times New Roman"/>
                <w:color w:val="000000"/>
                <w:sz w:val="17"/>
                <w:szCs w:val="17"/>
                <w:lang w:val="en-US"/>
              </w:rPr>
            </w:pPr>
            <w:r w:rsidRPr="006B318F">
              <w:rPr>
                <w:rFonts w:eastAsia="Times New Roman"/>
                <w:color w:val="000000"/>
                <w:sz w:val="17"/>
                <w:szCs w:val="17"/>
                <w:lang w:val="en-US"/>
              </w:rPr>
              <w:t>-</w:t>
            </w:r>
          </w:p>
        </w:tc>
        <w:tc>
          <w:tcPr>
            <w:tcW w:w="1135" w:type="dxa"/>
            <w:tcBorders>
              <w:top w:val="nil"/>
              <w:left w:val="nil"/>
              <w:bottom w:val="nil"/>
              <w:right w:val="nil"/>
            </w:tcBorders>
            <w:shd w:val="clear" w:color="auto" w:fill="auto"/>
            <w:vAlign w:val="center"/>
          </w:tcPr>
          <w:p w14:paraId="1C0C92FE" w14:textId="77777777" w:rsidR="00490C12" w:rsidRPr="006B318F" w:rsidRDefault="00490C12" w:rsidP="00490C12">
            <w:pPr>
              <w:tabs>
                <w:tab w:val="right" w:pos="1202"/>
              </w:tabs>
              <w:spacing w:after="0" w:line="301" w:lineRule="exact"/>
              <w:jc w:val="right"/>
              <w:outlineLvl w:val="0"/>
              <w:rPr>
                <w:rFonts w:asciiTheme="minorHAnsi" w:eastAsia="Times New Roman" w:hAnsiTheme="minorHAnsi" w:cs="Arial"/>
                <w:spacing w:val="-2"/>
                <w:sz w:val="17"/>
                <w:szCs w:val="17"/>
              </w:rPr>
            </w:pPr>
            <w:r w:rsidRPr="006B318F">
              <w:rPr>
                <w:rFonts w:eastAsia="Times New Roman"/>
                <w:color w:val="000000"/>
                <w:sz w:val="17"/>
                <w:szCs w:val="17"/>
                <w:lang w:val="en-US"/>
              </w:rPr>
              <w:t>13,890</w:t>
            </w:r>
          </w:p>
        </w:tc>
        <w:tc>
          <w:tcPr>
            <w:tcW w:w="1135" w:type="dxa"/>
            <w:tcBorders>
              <w:top w:val="nil"/>
              <w:left w:val="nil"/>
              <w:bottom w:val="nil"/>
              <w:right w:val="nil"/>
            </w:tcBorders>
            <w:shd w:val="clear" w:color="auto" w:fill="auto"/>
            <w:vAlign w:val="bottom"/>
          </w:tcPr>
          <w:p w14:paraId="296FD6D1" w14:textId="77777777" w:rsidR="00490C12" w:rsidRPr="006B318F" w:rsidRDefault="00490C12" w:rsidP="00490C12">
            <w:pPr>
              <w:tabs>
                <w:tab w:val="right" w:pos="1202"/>
              </w:tabs>
              <w:spacing w:after="0" w:line="301" w:lineRule="exact"/>
              <w:jc w:val="right"/>
              <w:outlineLvl w:val="0"/>
              <w:rPr>
                <w:rFonts w:asciiTheme="minorHAnsi" w:eastAsia="Times New Roman" w:hAnsiTheme="minorHAnsi" w:cs="Arial"/>
                <w:spacing w:val="-2"/>
                <w:sz w:val="17"/>
                <w:szCs w:val="17"/>
              </w:rPr>
            </w:pPr>
            <w:r w:rsidRPr="006B318F">
              <w:rPr>
                <w:rFonts w:asciiTheme="minorHAnsi" w:eastAsia="Times New Roman" w:hAnsiTheme="minorHAnsi" w:cs="Arial"/>
                <w:spacing w:val="-2"/>
                <w:sz w:val="17"/>
                <w:szCs w:val="17"/>
              </w:rPr>
              <w:t>-</w:t>
            </w:r>
          </w:p>
        </w:tc>
        <w:tc>
          <w:tcPr>
            <w:tcW w:w="995" w:type="dxa"/>
            <w:tcBorders>
              <w:top w:val="nil"/>
              <w:left w:val="nil"/>
              <w:bottom w:val="nil"/>
              <w:right w:val="nil"/>
            </w:tcBorders>
            <w:shd w:val="clear" w:color="auto" w:fill="auto"/>
            <w:vAlign w:val="bottom"/>
          </w:tcPr>
          <w:p w14:paraId="4290E0C6" w14:textId="77777777" w:rsidR="00490C12" w:rsidRPr="006B318F" w:rsidRDefault="00490C12" w:rsidP="00490C12">
            <w:pPr>
              <w:tabs>
                <w:tab w:val="right" w:pos="1202"/>
              </w:tabs>
              <w:spacing w:after="0" w:line="301" w:lineRule="exact"/>
              <w:jc w:val="right"/>
              <w:outlineLvl w:val="0"/>
              <w:rPr>
                <w:rFonts w:asciiTheme="minorHAnsi" w:eastAsia="Times New Roman" w:hAnsiTheme="minorHAnsi" w:cs="Arial"/>
                <w:spacing w:val="-2"/>
                <w:sz w:val="17"/>
                <w:szCs w:val="17"/>
              </w:rPr>
            </w:pPr>
            <w:r w:rsidRPr="006B318F">
              <w:rPr>
                <w:rFonts w:asciiTheme="minorHAnsi" w:eastAsia="Times New Roman" w:hAnsiTheme="minorHAnsi" w:cs="Arial"/>
                <w:spacing w:val="-2"/>
                <w:sz w:val="17"/>
                <w:szCs w:val="17"/>
              </w:rPr>
              <w:t>-</w:t>
            </w:r>
          </w:p>
        </w:tc>
      </w:tr>
      <w:tr w:rsidR="00490C12" w:rsidRPr="00E26B60" w14:paraId="6D110054" w14:textId="77777777" w:rsidTr="006B0E06">
        <w:trPr>
          <w:trHeight w:val="265"/>
          <w:jc w:val="center"/>
        </w:trPr>
        <w:tc>
          <w:tcPr>
            <w:tcW w:w="3550" w:type="dxa"/>
            <w:shd w:val="clear" w:color="auto" w:fill="auto"/>
            <w:vAlign w:val="bottom"/>
          </w:tcPr>
          <w:p w14:paraId="226C28E3" w14:textId="77777777" w:rsidR="00490C12" w:rsidRPr="006B318F" w:rsidRDefault="00490C12" w:rsidP="00490C12">
            <w:pPr>
              <w:tabs>
                <w:tab w:val="right" w:pos="1202"/>
              </w:tabs>
              <w:spacing w:after="0" w:line="240" w:lineRule="auto"/>
              <w:outlineLvl w:val="0"/>
              <w:rPr>
                <w:rFonts w:eastAsia="Times New Roman" w:cs="Arial"/>
                <w:spacing w:val="-2"/>
                <w:sz w:val="17"/>
                <w:szCs w:val="17"/>
              </w:rPr>
            </w:pPr>
            <w:r w:rsidRPr="006B318F">
              <w:rPr>
                <w:rFonts w:cs="Arial"/>
                <w:b/>
                <w:i/>
                <w:spacing w:val="-2"/>
                <w:sz w:val="17"/>
                <w:szCs w:val="17"/>
              </w:rPr>
              <w:t>Unlisted debt instruments:</w:t>
            </w:r>
          </w:p>
        </w:tc>
        <w:tc>
          <w:tcPr>
            <w:tcW w:w="1135" w:type="dxa"/>
            <w:tcBorders>
              <w:top w:val="nil"/>
              <w:left w:val="nil"/>
              <w:bottom w:val="nil"/>
              <w:right w:val="nil"/>
            </w:tcBorders>
            <w:shd w:val="clear" w:color="auto" w:fill="auto"/>
            <w:vAlign w:val="bottom"/>
          </w:tcPr>
          <w:p w14:paraId="2A695419" w14:textId="77777777" w:rsidR="00490C12" w:rsidRPr="006B318F" w:rsidRDefault="00490C12" w:rsidP="00490C12">
            <w:pPr>
              <w:tabs>
                <w:tab w:val="right" w:pos="1202"/>
              </w:tabs>
              <w:spacing w:after="0" w:line="301" w:lineRule="exact"/>
              <w:jc w:val="right"/>
              <w:outlineLvl w:val="0"/>
              <w:rPr>
                <w:rFonts w:eastAsia="Times New Roman"/>
                <w:color w:val="000000"/>
                <w:sz w:val="17"/>
                <w:szCs w:val="17"/>
                <w:lang w:val="en-US"/>
              </w:rPr>
            </w:pPr>
          </w:p>
        </w:tc>
        <w:tc>
          <w:tcPr>
            <w:tcW w:w="993" w:type="dxa"/>
            <w:tcBorders>
              <w:top w:val="nil"/>
              <w:left w:val="nil"/>
              <w:bottom w:val="nil"/>
              <w:right w:val="nil"/>
            </w:tcBorders>
            <w:shd w:val="clear" w:color="auto" w:fill="auto"/>
            <w:vAlign w:val="bottom"/>
          </w:tcPr>
          <w:p w14:paraId="25CC0F70" w14:textId="77777777" w:rsidR="00490C12" w:rsidRPr="006B318F" w:rsidRDefault="00490C12" w:rsidP="00490C12">
            <w:pPr>
              <w:tabs>
                <w:tab w:val="right" w:pos="1202"/>
              </w:tabs>
              <w:spacing w:after="0" w:line="301" w:lineRule="exact"/>
              <w:jc w:val="right"/>
              <w:outlineLvl w:val="0"/>
              <w:rPr>
                <w:rFonts w:eastAsia="Times New Roman"/>
                <w:color w:val="000000"/>
                <w:sz w:val="17"/>
                <w:szCs w:val="17"/>
                <w:lang w:val="en-US"/>
              </w:rPr>
            </w:pPr>
          </w:p>
        </w:tc>
        <w:tc>
          <w:tcPr>
            <w:tcW w:w="994" w:type="dxa"/>
            <w:tcBorders>
              <w:top w:val="nil"/>
              <w:left w:val="nil"/>
              <w:bottom w:val="nil"/>
              <w:right w:val="nil"/>
            </w:tcBorders>
            <w:shd w:val="clear" w:color="auto" w:fill="auto"/>
            <w:vAlign w:val="bottom"/>
          </w:tcPr>
          <w:p w14:paraId="2078F2B0" w14:textId="77777777" w:rsidR="00490C12" w:rsidRPr="006B318F" w:rsidRDefault="00490C12" w:rsidP="00490C12">
            <w:pPr>
              <w:tabs>
                <w:tab w:val="right" w:pos="1202"/>
              </w:tabs>
              <w:spacing w:after="0" w:line="301" w:lineRule="exact"/>
              <w:jc w:val="right"/>
              <w:outlineLvl w:val="0"/>
              <w:rPr>
                <w:rFonts w:eastAsia="Times New Roman"/>
                <w:color w:val="000000"/>
                <w:sz w:val="17"/>
                <w:szCs w:val="17"/>
                <w:lang w:val="en-US"/>
              </w:rPr>
            </w:pPr>
          </w:p>
        </w:tc>
        <w:tc>
          <w:tcPr>
            <w:tcW w:w="1135" w:type="dxa"/>
            <w:tcBorders>
              <w:top w:val="nil"/>
              <w:left w:val="nil"/>
              <w:bottom w:val="nil"/>
              <w:right w:val="nil"/>
            </w:tcBorders>
            <w:shd w:val="clear" w:color="auto" w:fill="auto"/>
            <w:vAlign w:val="bottom"/>
          </w:tcPr>
          <w:p w14:paraId="5B0309DA" w14:textId="77777777" w:rsidR="00490C12" w:rsidRPr="006B318F" w:rsidRDefault="00490C12" w:rsidP="00490C12">
            <w:pPr>
              <w:tabs>
                <w:tab w:val="right" w:pos="1202"/>
              </w:tabs>
              <w:spacing w:after="0" w:line="301" w:lineRule="exact"/>
              <w:jc w:val="right"/>
              <w:outlineLvl w:val="0"/>
              <w:rPr>
                <w:rFonts w:asciiTheme="minorHAnsi" w:eastAsia="Times New Roman" w:hAnsiTheme="minorHAnsi" w:cs="Arial"/>
                <w:spacing w:val="-2"/>
                <w:sz w:val="17"/>
                <w:szCs w:val="17"/>
              </w:rPr>
            </w:pPr>
          </w:p>
        </w:tc>
        <w:tc>
          <w:tcPr>
            <w:tcW w:w="1135" w:type="dxa"/>
            <w:tcBorders>
              <w:top w:val="nil"/>
              <w:left w:val="nil"/>
              <w:bottom w:val="nil"/>
              <w:right w:val="nil"/>
            </w:tcBorders>
            <w:shd w:val="clear" w:color="auto" w:fill="auto"/>
            <w:vAlign w:val="bottom"/>
          </w:tcPr>
          <w:p w14:paraId="1E9DC7B7" w14:textId="77777777" w:rsidR="00490C12" w:rsidRPr="006B318F" w:rsidRDefault="00490C12" w:rsidP="00490C12">
            <w:pPr>
              <w:tabs>
                <w:tab w:val="right" w:pos="1202"/>
              </w:tabs>
              <w:spacing w:after="0" w:line="301" w:lineRule="exact"/>
              <w:jc w:val="right"/>
              <w:outlineLvl w:val="0"/>
              <w:rPr>
                <w:rFonts w:asciiTheme="minorHAnsi" w:eastAsia="Times New Roman" w:hAnsiTheme="minorHAnsi" w:cs="Arial"/>
                <w:spacing w:val="-2"/>
                <w:sz w:val="17"/>
                <w:szCs w:val="17"/>
              </w:rPr>
            </w:pPr>
          </w:p>
        </w:tc>
        <w:tc>
          <w:tcPr>
            <w:tcW w:w="995" w:type="dxa"/>
            <w:tcBorders>
              <w:top w:val="nil"/>
              <w:left w:val="nil"/>
              <w:bottom w:val="nil"/>
              <w:right w:val="nil"/>
            </w:tcBorders>
            <w:shd w:val="clear" w:color="auto" w:fill="auto"/>
            <w:vAlign w:val="bottom"/>
          </w:tcPr>
          <w:p w14:paraId="260370F4" w14:textId="77777777" w:rsidR="00490C12" w:rsidRPr="006B318F" w:rsidRDefault="00490C12" w:rsidP="00490C12">
            <w:pPr>
              <w:tabs>
                <w:tab w:val="right" w:pos="1202"/>
              </w:tabs>
              <w:spacing w:after="0" w:line="301" w:lineRule="exact"/>
              <w:jc w:val="right"/>
              <w:outlineLvl w:val="0"/>
              <w:rPr>
                <w:rFonts w:asciiTheme="minorHAnsi" w:eastAsia="Times New Roman" w:hAnsiTheme="minorHAnsi" w:cs="Arial"/>
                <w:spacing w:val="-2"/>
                <w:sz w:val="17"/>
                <w:szCs w:val="17"/>
              </w:rPr>
            </w:pPr>
          </w:p>
        </w:tc>
      </w:tr>
      <w:tr w:rsidR="00490C12" w:rsidRPr="00E26B60" w14:paraId="55A8BC6F" w14:textId="77777777" w:rsidTr="006B0E06">
        <w:trPr>
          <w:trHeight w:val="265"/>
          <w:jc w:val="center"/>
        </w:trPr>
        <w:tc>
          <w:tcPr>
            <w:tcW w:w="3550" w:type="dxa"/>
            <w:shd w:val="clear" w:color="auto" w:fill="auto"/>
            <w:vAlign w:val="bottom"/>
          </w:tcPr>
          <w:p w14:paraId="40467F7E" w14:textId="77777777" w:rsidR="00490C12" w:rsidRPr="006B318F" w:rsidRDefault="00490C12" w:rsidP="00490C12">
            <w:pPr>
              <w:tabs>
                <w:tab w:val="right" w:pos="1202"/>
              </w:tabs>
              <w:spacing w:after="0" w:line="240" w:lineRule="auto"/>
              <w:outlineLvl w:val="0"/>
              <w:rPr>
                <w:rFonts w:eastAsia="Times New Roman" w:cs="Arial"/>
                <w:spacing w:val="-2"/>
                <w:sz w:val="17"/>
                <w:szCs w:val="17"/>
              </w:rPr>
            </w:pPr>
            <w:r w:rsidRPr="006B318F">
              <w:rPr>
                <w:rFonts w:cs="Arial"/>
                <w:spacing w:val="-2"/>
                <w:sz w:val="17"/>
                <w:szCs w:val="17"/>
              </w:rPr>
              <w:t>Corporate bonds</w:t>
            </w:r>
          </w:p>
        </w:tc>
        <w:tc>
          <w:tcPr>
            <w:tcW w:w="1135" w:type="dxa"/>
            <w:tcBorders>
              <w:top w:val="nil"/>
              <w:left w:val="nil"/>
              <w:bottom w:val="nil"/>
              <w:right w:val="nil"/>
            </w:tcBorders>
            <w:shd w:val="clear" w:color="auto" w:fill="auto"/>
            <w:vAlign w:val="bottom"/>
          </w:tcPr>
          <w:p w14:paraId="6B95CAAE" w14:textId="7347A00C" w:rsidR="00490C12" w:rsidRPr="006B318F" w:rsidRDefault="00490C12" w:rsidP="00490C12">
            <w:pPr>
              <w:tabs>
                <w:tab w:val="right" w:pos="1202"/>
              </w:tabs>
              <w:spacing w:after="0" w:line="301" w:lineRule="exact"/>
              <w:jc w:val="right"/>
              <w:outlineLvl w:val="0"/>
              <w:rPr>
                <w:rFonts w:eastAsia="Times New Roman"/>
                <w:color w:val="000000"/>
                <w:sz w:val="17"/>
                <w:szCs w:val="17"/>
                <w:lang w:val="en-US"/>
              </w:rPr>
            </w:pPr>
            <w:r w:rsidRPr="006B318F">
              <w:rPr>
                <w:rFonts w:eastAsia="Times New Roman"/>
                <w:color w:val="000000"/>
                <w:sz w:val="17"/>
                <w:szCs w:val="17"/>
                <w:lang w:val="en-US"/>
              </w:rPr>
              <w:t>-</w:t>
            </w:r>
          </w:p>
        </w:tc>
        <w:tc>
          <w:tcPr>
            <w:tcW w:w="993" w:type="dxa"/>
            <w:tcBorders>
              <w:top w:val="nil"/>
              <w:left w:val="nil"/>
              <w:bottom w:val="nil"/>
              <w:right w:val="nil"/>
            </w:tcBorders>
            <w:shd w:val="clear" w:color="auto" w:fill="auto"/>
            <w:vAlign w:val="bottom"/>
          </w:tcPr>
          <w:p w14:paraId="6C8D611B" w14:textId="1DD3EEE3" w:rsidR="00490C12" w:rsidRPr="006B318F" w:rsidRDefault="00490C12" w:rsidP="00490C12">
            <w:pPr>
              <w:tabs>
                <w:tab w:val="right" w:pos="1202"/>
              </w:tabs>
              <w:spacing w:after="0" w:line="301" w:lineRule="exact"/>
              <w:jc w:val="right"/>
              <w:outlineLvl w:val="0"/>
              <w:rPr>
                <w:rFonts w:eastAsia="Times New Roman"/>
                <w:color w:val="000000"/>
                <w:sz w:val="17"/>
                <w:szCs w:val="17"/>
                <w:lang w:val="en-US"/>
              </w:rPr>
            </w:pPr>
            <w:r w:rsidRPr="006B318F">
              <w:rPr>
                <w:rFonts w:eastAsia="Times New Roman"/>
                <w:color w:val="000000"/>
                <w:sz w:val="17"/>
                <w:szCs w:val="17"/>
                <w:lang w:val="en-US"/>
              </w:rPr>
              <w:t>-</w:t>
            </w:r>
          </w:p>
        </w:tc>
        <w:tc>
          <w:tcPr>
            <w:tcW w:w="994" w:type="dxa"/>
            <w:tcBorders>
              <w:top w:val="nil"/>
              <w:left w:val="nil"/>
              <w:bottom w:val="nil"/>
              <w:right w:val="nil"/>
            </w:tcBorders>
            <w:shd w:val="clear" w:color="auto" w:fill="auto"/>
            <w:vAlign w:val="bottom"/>
          </w:tcPr>
          <w:p w14:paraId="06D3383B" w14:textId="66803E20" w:rsidR="00490C12" w:rsidRPr="006B318F" w:rsidRDefault="00490C12" w:rsidP="00490C12">
            <w:pPr>
              <w:tabs>
                <w:tab w:val="right" w:pos="1202"/>
              </w:tabs>
              <w:spacing w:after="0" w:line="301" w:lineRule="exact"/>
              <w:jc w:val="right"/>
              <w:outlineLvl w:val="0"/>
              <w:rPr>
                <w:rFonts w:eastAsia="Times New Roman"/>
                <w:color w:val="000000"/>
                <w:sz w:val="17"/>
                <w:szCs w:val="17"/>
                <w:lang w:val="en-US"/>
              </w:rPr>
            </w:pPr>
            <w:r w:rsidRPr="006B318F">
              <w:rPr>
                <w:rFonts w:eastAsia="Times New Roman"/>
                <w:color w:val="000000"/>
                <w:sz w:val="17"/>
                <w:szCs w:val="17"/>
                <w:lang w:val="en-US"/>
              </w:rPr>
              <w:t>512</w:t>
            </w:r>
          </w:p>
        </w:tc>
        <w:tc>
          <w:tcPr>
            <w:tcW w:w="1135" w:type="dxa"/>
            <w:tcBorders>
              <w:top w:val="nil"/>
              <w:left w:val="nil"/>
              <w:bottom w:val="nil"/>
              <w:right w:val="nil"/>
            </w:tcBorders>
            <w:shd w:val="clear" w:color="auto" w:fill="auto"/>
            <w:vAlign w:val="bottom"/>
          </w:tcPr>
          <w:p w14:paraId="7020E6CE" w14:textId="77777777" w:rsidR="00490C12" w:rsidRPr="006B318F" w:rsidRDefault="00490C12" w:rsidP="00490C12">
            <w:pPr>
              <w:tabs>
                <w:tab w:val="right" w:pos="1202"/>
              </w:tabs>
              <w:spacing w:after="0" w:line="301" w:lineRule="exact"/>
              <w:jc w:val="right"/>
              <w:outlineLvl w:val="0"/>
              <w:rPr>
                <w:rFonts w:asciiTheme="minorHAnsi" w:eastAsia="Times New Roman" w:hAnsiTheme="minorHAnsi" w:cs="Arial"/>
                <w:spacing w:val="-2"/>
                <w:sz w:val="17"/>
                <w:szCs w:val="17"/>
              </w:rPr>
            </w:pPr>
            <w:r w:rsidRPr="006B318F">
              <w:rPr>
                <w:rFonts w:asciiTheme="minorHAnsi" w:eastAsia="Times New Roman" w:hAnsiTheme="minorHAnsi" w:cs="Arial"/>
                <w:sz w:val="17"/>
                <w:szCs w:val="17"/>
              </w:rPr>
              <w:t>-</w:t>
            </w:r>
          </w:p>
        </w:tc>
        <w:tc>
          <w:tcPr>
            <w:tcW w:w="1135" w:type="dxa"/>
            <w:tcBorders>
              <w:top w:val="nil"/>
              <w:left w:val="nil"/>
              <w:bottom w:val="nil"/>
              <w:right w:val="nil"/>
            </w:tcBorders>
            <w:shd w:val="clear" w:color="auto" w:fill="auto"/>
            <w:vAlign w:val="bottom"/>
          </w:tcPr>
          <w:p w14:paraId="39434F98" w14:textId="77777777" w:rsidR="00490C12" w:rsidRPr="006B318F" w:rsidRDefault="00490C12" w:rsidP="00490C12">
            <w:pPr>
              <w:tabs>
                <w:tab w:val="right" w:pos="1202"/>
              </w:tabs>
              <w:spacing w:after="0" w:line="301" w:lineRule="exact"/>
              <w:jc w:val="right"/>
              <w:outlineLvl w:val="0"/>
              <w:rPr>
                <w:rFonts w:asciiTheme="minorHAnsi" w:eastAsia="Times New Roman" w:hAnsiTheme="minorHAnsi" w:cs="Arial"/>
                <w:spacing w:val="-2"/>
                <w:sz w:val="17"/>
                <w:szCs w:val="17"/>
              </w:rPr>
            </w:pPr>
            <w:r w:rsidRPr="006B318F">
              <w:rPr>
                <w:rFonts w:asciiTheme="minorHAnsi" w:eastAsia="Times New Roman" w:hAnsiTheme="minorHAnsi" w:cs="Arial"/>
                <w:spacing w:val="-2"/>
                <w:sz w:val="17"/>
                <w:szCs w:val="17"/>
              </w:rPr>
              <w:t>-</w:t>
            </w:r>
          </w:p>
        </w:tc>
        <w:tc>
          <w:tcPr>
            <w:tcW w:w="995" w:type="dxa"/>
            <w:tcBorders>
              <w:top w:val="nil"/>
              <w:left w:val="nil"/>
              <w:bottom w:val="nil"/>
              <w:right w:val="nil"/>
            </w:tcBorders>
            <w:shd w:val="clear" w:color="auto" w:fill="auto"/>
            <w:vAlign w:val="bottom"/>
          </w:tcPr>
          <w:p w14:paraId="66513D47" w14:textId="77777777" w:rsidR="00490C12" w:rsidRPr="006B318F" w:rsidRDefault="00490C12" w:rsidP="00490C12">
            <w:pPr>
              <w:tabs>
                <w:tab w:val="right" w:pos="1202"/>
              </w:tabs>
              <w:spacing w:after="0" w:line="301" w:lineRule="exact"/>
              <w:jc w:val="right"/>
              <w:outlineLvl w:val="0"/>
              <w:rPr>
                <w:rFonts w:asciiTheme="minorHAnsi" w:eastAsia="Times New Roman" w:hAnsiTheme="minorHAnsi" w:cs="Arial"/>
                <w:spacing w:val="-2"/>
                <w:sz w:val="17"/>
                <w:szCs w:val="17"/>
              </w:rPr>
            </w:pPr>
            <w:r w:rsidRPr="006B318F">
              <w:rPr>
                <w:rFonts w:asciiTheme="minorHAnsi" w:eastAsia="Times New Roman" w:hAnsiTheme="minorHAnsi" w:cs="Arial"/>
                <w:spacing w:val="-2"/>
                <w:sz w:val="17"/>
                <w:szCs w:val="17"/>
              </w:rPr>
              <w:t>502</w:t>
            </w:r>
          </w:p>
        </w:tc>
      </w:tr>
      <w:tr w:rsidR="00490C12" w:rsidRPr="00E26B60" w14:paraId="618C9F0C" w14:textId="77777777" w:rsidTr="006B0E06">
        <w:trPr>
          <w:trHeight w:val="265"/>
          <w:jc w:val="center"/>
        </w:trPr>
        <w:tc>
          <w:tcPr>
            <w:tcW w:w="3550" w:type="dxa"/>
            <w:shd w:val="clear" w:color="auto" w:fill="auto"/>
            <w:vAlign w:val="bottom"/>
          </w:tcPr>
          <w:p w14:paraId="4551E0E4" w14:textId="77777777" w:rsidR="00490C12" w:rsidRPr="006B318F" w:rsidRDefault="00490C12" w:rsidP="00490C12">
            <w:pPr>
              <w:tabs>
                <w:tab w:val="right" w:pos="1202"/>
              </w:tabs>
              <w:spacing w:after="0" w:line="240" w:lineRule="auto"/>
              <w:outlineLvl w:val="0"/>
              <w:rPr>
                <w:rFonts w:eastAsia="Times New Roman" w:cs="Arial"/>
                <w:spacing w:val="-2"/>
                <w:sz w:val="17"/>
                <w:szCs w:val="17"/>
              </w:rPr>
            </w:pPr>
            <w:r w:rsidRPr="006B318F">
              <w:rPr>
                <w:rFonts w:cs="Arial"/>
                <w:spacing w:val="-2"/>
                <w:sz w:val="17"/>
                <w:szCs w:val="17"/>
              </w:rPr>
              <w:t>Accrued interest</w:t>
            </w:r>
          </w:p>
        </w:tc>
        <w:tc>
          <w:tcPr>
            <w:tcW w:w="1135" w:type="dxa"/>
            <w:tcBorders>
              <w:top w:val="nil"/>
              <w:left w:val="nil"/>
              <w:bottom w:val="nil"/>
              <w:right w:val="nil"/>
            </w:tcBorders>
            <w:shd w:val="clear" w:color="auto" w:fill="auto"/>
            <w:vAlign w:val="bottom"/>
          </w:tcPr>
          <w:p w14:paraId="712D5A40" w14:textId="60DC2C49" w:rsidR="00490C12" w:rsidRPr="006B318F" w:rsidRDefault="00490C12" w:rsidP="00490C12">
            <w:pPr>
              <w:tabs>
                <w:tab w:val="right" w:pos="1202"/>
              </w:tabs>
              <w:spacing w:after="0" w:line="301" w:lineRule="exact"/>
              <w:jc w:val="right"/>
              <w:outlineLvl w:val="0"/>
              <w:rPr>
                <w:rFonts w:eastAsia="Times New Roman"/>
                <w:color w:val="000000"/>
                <w:sz w:val="17"/>
                <w:szCs w:val="17"/>
                <w:lang w:val="en-US"/>
              </w:rPr>
            </w:pPr>
            <w:r w:rsidRPr="006B318F">
              <w:rPr>
                <w:rFonts w:eastAsia="Times New Roman"/>
                <w:color w:val="000000"/>
                <w:sz w:val="17"/>
                <w:szCs w:val="17"/>
                <w:lang w:val="en-US"/>
              </w:rPr>
              <w:t>-</w:t>
            </w:r>
          </w:p>
        </w:tc>
        <w:tc>
          <w:tcPr>
            <w:tcW w:w="993" w:type="dxa"/>
            <w:tcBorders>
              <w:top w:val="nil"/>
              <w:left w:val="nil"/>
              <w:bottom w:val="nil"/>
              <w:right w:val="nil"/>
            </w:tcBorders>
            <w:shd w:val="clear" w:color="auto" w:fill="auto"/>
            <w:vAlign w:val="bottom"/>
          </w:tcPr>
          <w:p w14:paraId="73EC37C4" w14:textId="799BE47A" w:rsidR="00490C12" w:rsidRPr="006B318F" w:rsidRDefault="00490C12" w:rsidP="00490C12">
            <w:pPr>
              <w:tabs>
                <w:tab w:val="right" w:pos="1202"/>
              </w:tabs>
              <w:spacing w:after="0" w:line="301" w:lineRule="exact"/>
              <w:jc w:val="right"/>
              <w:outlineLvl w:val="0"/>
              <w:rPr>
                <w:rFonts w:eastAsia="Times New Roman"/>
                <w:color w:val="000000"/>
                <w:sz w:val="17"/>
                <w:szCs w:val="17"/>
                <w:lang w:val="en-US"/>
              </w:rPr>
            </w:pPr>
            <w:r w:rsidRPr="006B318F">
              <w:rPr>
                <w:rFonts w:eastAsia="Times New Roman"/>
                <w:color w:val="000000"/>
                <w:sz w:val="17"/>
                <w:szCs w:val="17"/>
                <w:lang w:val="en-US"/>
              </w:rPr>
              <w:t>-</w:t>
            </w:r>
          </w:p>
        </w:tc>
        <w:tc>
          <w:tcPr>
            <w:tcW w:w="994" w:type="dxa"/>
            <w:tcBorders>
              <w:top w:val="nil"/>
              <w:left w:val="nil"/>
              <w:bottom w:val="nil"/>
              <w:right w:val="nil"/>
            </w:tcBorders>
            <w:shd w:val="clear" w:color="auto" w:fill="auto"/>
            <w:vAlign w:val="bottom"/>
          </w:tcPr>
          <w:p w14:paraId="48245768" w14:textId="6C99151A" w:rsidR="00490C12" w:rsidRPr="006B318F" w:rsidRDefault="00490C12" w:rsidP="00490C12">
            <w:pPr>
              <w:tabs>
                <w:tab w:val="right" w:pos="1202"/>
              </w:tabs>
              <w:spacing w:after="0" w:line="301" w:lineRule="exact"/>
              <w:jc w:val="right"/>
              <w:outlineLvl w:val="0"/>
              <w:rPr>
                <w:rFonts w:eastAsia="Times New Roman"/>
                <w:color w:val="000000"/>
                <w:sz w:val="17"/>
                <w:szCs w:val="17"/>
                <w:lang w:val="en-US"/>
              </w:rPr>
            </w:pPr>
            <w:r w:rsidRPr="006B318F">
              <w:rPr>
                <w:rFonts w:eastAsia="Times New Roman"/>
                <w:color w:val="000000"/>
                <w:sz w:val="17"/>
                <w:szCs w:val="17"/>
                <w:lang w:val="en-US"/>
              </w:rPr>
              <w:t>150</w:t>
            </w:r>
          </w:p>
        </w:tc>
        <w:tc>
          <w:tcPr>
            <w:tcW w:w="1135" w:type="dxa"/>
            <w:tcBorders>
              <w:top w:val="nil"/>
              <w:left w:val="nil"/>
              <w:bottom w:val="nil"/>
              <w:right w:val="nil"/>
            </w:tcBorders>
            <w:shd w:val="clear" w:color="auto" w:fill="auto"/>
            <w:vAlign w:val="bottom"/>
          </w:tcPr>
          <w:p w14:paraId="353A1EB4" w14:textId="77777777" w:rsidR="00490C12" w:rsidRPr="006B318F" w:rsidRDefault="00490C12" w:rsidP="00490C12">
            <w:pPr>
              <w:tabs>
                <w:tab w:val="right" w:pos="1202"/>
              </w:tabs>
              <w:spacing w:after="0" w:line="301" w:lineRule="exact"/>
              <w:jc w:val="right"/>
              <w:outlineLvl w:val="0"/>
              <w:rPr>
                <w:rFonts w:asciiTheme="minorHAnsi" w:eastAsia="Times New Roman" w:hAnsiTheme="minorHAnsi" w:cs="Arial"/>
                <w:spacing w:val="-2"/>
                <w:sz w:val="17"/>
                <w:szCs w:val="17"/>
              </w:rPr>
            </w:pPr>
            <w:r w:rsidRPr="006B318F">
              <w:rPr>
                <w:rFonts w:asciiTheme="minorHAnsi" w:eastAsia="Times New Roman" w:hAnsiTheme="minorHAnsi" w:cs="Arial"/>
                <w:sz w:val="17"/>
                <w:szCs w:val="17"/>
              </w:rPr>
              <w:t>-</w:t>
            </w:r>
          </w:p>
        </w:tc>
        <w:tc>
          <w:tcPr>
            <w:tcW w:w="1135" w:type="dxa"/>
            <w:tcBorders>
              <w:top w:val="nil"/>
              <w:left w:val="nil"/>
              <w:bottom w:val="nil"/>
              <w:right w:val="nil"/>
            </w:tcBorders>
            <w:shd w:val="clear" w:color="auto" w:fill="auto"/>
            <w:vAlign w:val="bottom"/>
          </w:tcPr>
          <w:p w14:paraId="11B8A4C7" w14:textId="77777777" w:rsidR="00490C12" w:rsidRPr="006B318F" w:rsidRDefault="00490C12" w:rsidP="00490C12">
            <w:pPr>
              <w:tabs>
                <w:tab w:val="right" w:pos="1202"/>
              </w:tabs>
              <w:spacing w:after="0" w:line="301" w:lineRule="exact"/>
              <w:jc w:val="right"/>
              <w:outlineLvl w:val="0"/>
              <w:rPr>
                <w:rFonts w:asciiTheme="minorHAnsi" w:eastAsia="Times New Roman" w:hAnsiTheme="minorHAnsi" w:cs="Arial"/>
                <w:spacing w:val="-2"/>
                <w:sz w:val="17"/>
                <w:szCs w:val="17"/>
              </w:rPr>
            </w:pPr>
            <w:r w:rsidRPr="006B318F">
              <w:rPr>
                <w:rFonts w:asciiTheme="minorHAnsi" w:eastAsia="Times New Roman" w:hAnsiTheme="minorHAnsi" w:cs="Arial"/>
                <w:spacing w:val="-2"/>
                <w:sz w:val="17"/>
                <w:szCs w:val="17"/>
              </w:rPr>
              <w:t>-</w:t>
            </w:r>
          </w:p>
        </w:tc>
        <w:tc>
          <w:tcPr>
            <w:tcW w:w="995" w:type="dxa"/>
            <w:tcBorders>
              <w:top w:val="nil"/>
              <w:left w:val="nil"/>
              <w:bottom w:val="nil"/>
              <w:right w:val="nil"/>
            </w:tcBorders>
            <w:shd w:val="clear" w:color="auto" w:fill="auto"/>
            <w:vAlign w:val="bottom"/>
          </w:tcPr>
          <w:p w14:paraId="73962169" w14:textId="77777777" w:rsidR="00490C12" w:rsidRPr="006B318F" w:rsidRDefault="00490C12" w:rsidP="00490C12">
            <w:pPr>
              <w:tabs>
                <w:tab w:val="right" w:pos="1202"/>
              </w:tabs>
              <w:spacing w:after="0" w:line="301" w:lineRule="exact"/>
              <w:jc w:val="right"/>
              <w:outlineLvl w:val="0"/>
              <w:rPr>
                <w:rFonts w:asciiTheme="minorHAnsi" w:eastAsia="Times New Roman" w:hAnsiTheme="minorHAnsi" w:cs="Arial"/>
                <w:spacing w:val="-2"/>
                <w:sz w:val="17"/>
                <w:szCs w:val="17"/>
              </w:rPr>
            </w:pPr>
            <w:r w:rsidRPr="006B318F">
              <w:rPr>
                <w:rFonts w:asciiTheme="minorHAnsi" w:eastAsia="Times New Roman" w:hAnsiTheme="minorHAnsi" w:cs="Arial"/>
                <w:spacing w:val="-2"/>
                <w:sz w:val="17"/>
                <w:szCs w:val="17"/>
              </w:rPr>
              <w:t>99</w:t>
            </w:r>
          </w:p>
        </w:tc>
      </w:tr>
      <w:tr w:rsidR="00490C12" w:rsidRPr="00E26B60" w14:paraId="41C6C466" w14:textId="77777777" w:rsidTr="006B0E06">
        <w:trPr>
          <w:trHeight w:val="190"/>
          <w:jc w:val="center"/>
        </w:trPr>
        <w:tc>
          <w:tcPr>
            <w:tcW w:w="3550" w:type="dxa"/>
            <w:shd w:val="clear" w:color="auto" w:fill="auto"/>
            <w:vAlign w:val="bottom"/>
          </w:tcPr>
          <w:p w14:paraId="6ABE6A65" w14:textId="77777777" w:rsidR="00490C12" w:rsidRPr="006B318F" w:rsidRDefault="00490C12" w:rsidP="00490C12">
            <w:pPr>
              <w:tabs>
                <w:tab w:val="right" w:pos="1202"/>
              </w:tabs>
              <w:spacing w:after="0" w:line="240" w:lineRule="auto"/>
              <w:outlineLvl w:val="0"/>
              <w:rPr>
                <w:rFonts w:eastAsia="Times New Roman" w:cs="Arial"/>
                <w:b/>
                <w:spacing w:val="-2"/>
                <w:sz w:val="17"/>
                <w:szCs w:val="17"/>
              </w:rPr>
            </w:pPr>
            <w:r w:rsidRPr="006B318F">
              <w:rPr>
                <w:rFonts w:eastAsia="Times New Roman" w:cs="Arial"/>
                <w:b/>
                <w:spacing w:val="-2"/>
                <w:sz w:val="17"/>
                <w:szCs w:val="17"/>
              </w:rPr>
              <w:t xml:space="preserve">Total debt instruments </w:t>
            </w:r>
          </w:p>
        </w:tc>
        <w:tc>
          <w:tcPr>
            <w:tcW w:w="1135" w:type="dxa"/>
            <w:tcBorders>
              <w:top w:val="single" w:sz="4" w:space="0" w:color="auto"/>
              <w:left w:val="nil"/>
              <w:bottom w:val="single" w:sz="12" w:space="0" w:color="auto"/>
              <w:right w:val="nil"/>
            </w:tcBorders>
            <w:shd w:val="clear" w:color="auto" w:fill="auto"/>
            <w:vAlign w:val="bottom"/>
          </w:tcPr>
          <w:p w14:paraId="26049922" w14:textId="47CB7F28" w:rsidR="00490C12" w:rsidRPr="006B318F" w:rsidRDefault="00490C12" w:rsidP="00490C12">
            <w:pPr>
              <w:tabs>
                <w:tab w:val="right" w:pos="1202"/>
              </w:tabs>
              <w:spacing w:after="0" w:line="301" w:lineRule="exact"/>
              <w:jc w:val="right"/>
              <w:outlineLvl w:val="0"/>
              <w:rPr>
                <w:rFonts w:asciiTheme="minorHAnsi" w:eastAsia="Times New Roman" w:hAnsiTheme="minorHAnsi" w:cs="Arial"/>
                <w:b/>
                <w:noProof/>
                <w:spacing w:val="-2"/>
                <w:sz w:val="17"/>
                <w:szCs w:val="17"/>
                <w:lang w:eastAsia="hr-HR"/>
              </w:rPr>
            </w:pPr>
            <w:r w:rsidRPr="006B318F">
              <w:rPr>
                <w:rFonts w:asciiTheme="minorHAnsi" w:eastAsia="Times New Roman" w:hAnsiTheme="minorHAnsi" w:cs="Arial"/>
                <w:b/>
                <w:noProof/>
                <w:spacing w:val="-2"/>
                <w:sz w:val="17"/>
                <w:szCs w:val="17"/>
                <w:lang w:eastAsia="hr-HR"/>
              </w:rPr>
              <w:t>2,412,228</w:t>
            </w:r>
          </w:p>
        </w:tc>
        <w:tc>
          <w:tcPr>
            <w:tcW w:w="993" w:type="dxa"/>
            <w:tcBorders>
              <w:top w:val="single" w:sz="4" w:space="0" w:color="auto"/>
              <w:left w:val="nil"/>
              <w:bottom w:val="single" w:sz="12" w:space="0" w:color="auto"/>
              <w:right w:val="nil"/>
            </w:tcBorders>
            <w:shd w:val="clear" w:color="auto" w:fill="auto"/>
            <w:vAlign w:val="bottom"/>
          </w:tcPr>
          <w:p w14:paraId="19736B2C" w14:textId="64D9ECFB" w:rsidR="00490C12" w:rsidRPr="006B318F" w:rsidRDefault="00490C12" w:rsidP="00490C12">
            <w:pPr>
              <w:tabs>
                <w:tab w:val="right" w:pos="1202"/>
              </w:tabs>
              <w:spacing w:after="0" w:line="301" w:lineRule="exact"/>
              <w:jc w:val="right"/>
              <w:outlineLvl w:val="0"/>
              <w:rPr>
                <w:rFonts w:asciiTheme="minorHAnsi" w:eastAsia="Times New Roman" w:hAnsiTheme="minorHAnsi" w:cs="Arial"/>
                <w:b/>
                <w:noProof/>
                <w:spacing w:val="-2"/>
                <w:sz w:val="17"/>
                <w:szCs w:val="17"/>
                <w:lang w:eastAsia="hr-HR"/>
              </w:rPr>
            </w:pPr>
            <w:r w:rsidRPr="006B318F">
              <w:rPr>
                <w:rFonts w:asciiTheme="minorHAnsi" w:eastAsia="Times New Roman" w:hAnsiTheme="minorHAnsi" w:cs="Arial"/>
                <w:b/>
                <w:noProof/>
                <w:spacing w:val="-2"/>
                <w:sz w:val="17"/>
                <w:szCs w:val="17"/>
                <w:lang w:eastAsia="hr-HR"/>
              </w:rPr>
              <w:t>-</w:t>
            </w:r>
          </w:p>
        </w:tc>
        <w:tc>
          <w:tcPr>
            <w:tcW w:w="994" w:type="dxa"/>
            <w:tcBorders>
              <w:top w:val="single" w:sz="4" w:space="0" w:color="auto"/>
              <w:left w:val="nil"/>
              <w:bottom w:val="single" w:sz="12" w:space="0" w:color="auto"/>
              <w:right w:val="nil"/>
            </w:tcBorders>
            <w:shd w:val="clear" w:color="auto" w:fill="auto"/>
            <w:vAlign w:val="bottom"/>
          </w:tcPr>
          <w:p w14:paraId="7BE324D6" w14:textId="17655604" w:rsidR="00490C12" w:rsidRPr="006B318F" w:rsidRDefault="00490C12" w:rsidP="00490C12">
            <w:pPr>
              <w:tabs>
                <w:tab w:val="right" w:pos="1202"/>
              </w:tabs>
              <w:spacing w:after="0" w:line="301" w:lineRule="exact"/>
              <w:jc w:val="right"/>
              <w:outlineLvl w:val="0"/>
              <w:rPr>
                <w:rFonts w:asciiTheme="minorHAnsi" w:eastAsia="Times New Roman" w:hAnsiTheme="minorHAnsi" w:cs="Arial"/>
                <w:b/>
                <w:noProof/>
                <w:spacing w:val="-2"/>
                <w:sz w:val="17"/>
                <w:szCs w:val="17"/>
                <w:lang w:eastAsia="hr-HR"/>
              </w:rPr>
            </w:pPr>
            <w:r w:rsidRPr="006B318F">
              <w:rPr>
                <w:rFonts w:asciiTheme="minorHAnsi" w:eastAsia="Times New Roman" w:hAnsiTheme="minorHAnsi" w:cs="Arial"/>
                <w:b/>
                <w:noProof/>
                <w:spacing w:val="-2"/>
                <w:sz w:val="17"/>
                <w:szCs w:val="17"/>
                <w:lang w:eastAsia="hr-HR"/>
              </w:rPr>
              <w:t>662</w:t>
            </w:r>
          </w:p>
        </w:tc>
        <w:tc>
          <w:tcPr>
            <w:tcW w:w="1135" w:type="dxa"/>
            <w:tcBorders>
              <w:top w:val="single" w:sz="4" w:space="0" w:color="auto"/>
              <w:left w:val="nil"/>
              <w:bottom w:val="single" w:sz="12" w:space="0" w:color="auto"/>
              <w:right w:val="nil"/>
            </w:tcBorders>
            <w:shd w:val="clear" w:color="auto" w:fill="auto"/>
            <w:vAlign w:val="bottom"/>
          </w:tcPr>
          <w:p w14:paraId="54092C3D" w14:textId="77777777" w:rsidR="00490C12" w:rsidRPr="006B318F" w:rsidRDefault="00490C12" w:rsidP="00490C12">
            <w:pPr>
              <w:tabs>
                <w:tab w:val="right" w:pos="1202"/>
              </w:tabs>
              <w:spacing w:after="0" w:line="301" w:lineRule="exact"/>
              <w:jc w:val="right"/>
              <w:outlineLvl w:val="0"/>
              <w:rPr>
                <w:rFonts w:asciiTheme="minorHAnsi" w:eastAsia="Times New Roman" w:hAnsiTheme="minorHAnsi" w:cs="Arial"/>
                <w:b/>
                <w:noProof/>
                <w:spacing w:val="-2"/>
                <w:sz w:val="17"/>
                <w:szCs w:val="17"/>
                <w:lang w:eastAsia="hr-HR"/>
              </w:rPr>
            </w:pPr>
            <w:r w:rsidRPr="006B318F">
              <w:rPr>
                <w:rFonts w:asciiTheme="minorHAnsi" w:eastAsia="Times New Roman" w:hAnsiTheme="minorHAnsi" w:cs="Arial"/>
                <w:b/>
                <w:noProof/>
                <w:spacing w:val="-2"/>
                <w:sz w:val="17"/>
                <w:szCs w:val="17"/>
                <w:lang w:eastAsia="hr-HR"/>
              </w:rPr>
              <w:t>2,399,224</w:t>
            </w:r>
          </w:p>
        </w:tc>
        <w:tc>
          <w:tcPr>
            <w:tcW w:w="1135" w:type="dxa"/>
            <w:tcBorders>
              <w:top w:val="single" w:sz="4" w:space="0" w:color="auto"/>
              <w:left w:val="nil"/>
              <w:bottom w:val="single" w:sz="12" w:space="0" w:color="auto"/>
              <w:right w:val="nil"/>
            </w:tcBorders>
            <w:shd w:val="clear" w:color="auto" w:fill="auto"/>
            <w:vAlign w:val="bottom"/>
          </w:tcPr>
          <w:p w14:paraId="7EF2FBCB" w14:textId="77777777" w:rsidR="00490C12" w:rsidRPr="006B318F" w:rsidRDefault="00490C12" w:rsidP="00490C12">
            <w:pPr>
              <w:tabs>
                <w:tab w:val="right" w:pos="1202"/>
              </w:tabs>
              <w:spacing w:after="0" w:line="301" w:lineRule="exact"/>
              <w:jc w:val="right"/>
              <w:outlineLvl w:val="0"/>
              <w:rPr>
                <w:rFonts w:asciiTheme="minorHAnsi" w:eastAsia="Times New Roman" w:hAnsiTheme="minorHAnsi" w:cs="Arial"/>
                <w:b/>
                <w:noProof/>
                <w:spacing w:val="-2"/>
                <w:sz w:val="17"/>
                <w:szCs w:val="17"/>
                <w:lang w:eastAsia="hr-HR"/>
              </w:rPr>
            </w:pPr>
            <w:r w:rsidRPr="006B318F">
              <w:rPr>
                <w:rFonts w:asciiTheme="minorHAnsi" w:eastAsia="Times New Roman" w:hAnsiTheme="minorHAnsi" w:cs="Arial"/>
                <w:b/>
                <w:noProof/>
                <w:spacing w:val="-2"/>
                <w:sz w:val="17"/>
                <w:szCs w:val="17"/>
                <w:lang w:eastAsia="hr-HR"/>
              </w:rPr>
              <w:t>-</w:t>
            </w:r>
          </w:p>
        </w:tc>
        <w:tc>
          <w:tcPr>
            <w:tcW w:w="995" w:type="dxa"/>
            <w:tcBorders>
              <w:top w:val="single" w:sz="4" w:space="0" w:color="auto"/>
              <w:left w:val="nil"/>
              <w:bottom w:val="single" w:sz="12" w:space="0" w:color="auto"/>
              <w:right w:val="nil"/>
            </w:tcBorders>
            <w:shd w:val="clear" w:color="auto" w:fill="auto"/>
            <w:vAlign w:val="bottom"/>
          </w:tcPr>
          <w:p w14:paraId="4AB2A091" w14:textId="77777777" w:rsidR="00490C12" w:rsidRPr="006B318F" w:rsidRDefault="00490C12" w:rsidP="00490C12">
            <w:pPr>
              <w:tabs>
                <w:tab w:val="right" w:pos="1202"/>
              </w:tabs>
              <w:spacing w:after="0" w:line="301" w:lineRule="exact"/>
              <w:jc w:val="right"/>
              <w:outlineLvl w:val="0"/>
              <w:rPr>
                <w:rFonts w:asciiTheme="minorHAnsi" w:eastAsia="Times New Roman" w:hAnsiTheme="minorHAnsi" w:cs="Arial"/>
                <w:b/>
                <w:noProof/>
                <w:spacing w:val="-2"/>
                <w:sz w:val="17"/>
                <w:szCs w:val="17"/>
                <w:lang w:eastAsia="hr-HR"/>
              </w:rPr>
            </w:pPr>
            <w:r w:rsidRPr="006B318F">
              <w:rPr>
                <w:rFonts w:asciiTheme="minorHAnsi" w:eastAsia="Times New Roman" w:hAnsiTheme="minorHAnsi" w:cs="Arial"/>
                <w:b/>
                <w:noProof/>
                <w:spacing w:val="-2"/>
                <w:sz w:val="17"/>
                <w:szCs w:val="17"/>
                <w:lang w:eastAsia="hr-HR"/>
              </w:rPr>
              <w:t>601</w:t>
            </w:r>
          </w:p>
        </w:tc>
      </w:tr>
      <w:tr w:rsidR="0069580C" w:rsidRPr="00E26B60" w14:paraId="438B19ED" w14:textId="77777777" w:rsidTr="00166751">
        <w:trPr>
          <w:trHeight w:val="148"/>
          <w:jc w:val="center"/>
        </w:trPr>
        <w:tc>
          <w:tcPr>
            <w:tcW w:w="3550" w:type="dxa"/>
            <w:shd w:val="clear" w:color="auto" w:fill="auto"/>
            <w:vAlign w:val="bottom"/>
          </w:tcPr>
          <w:p w14:paraId="01696236" w14:textId="77777777" w:rsidR="0069580C" w:rsidRPr="006B318F" w:rsidRDefault="0069580C" w:rsidP="0069580C">
            <w:pPr>
              <w:tabs>
                <w:tab w:val="right" w:pos="1202"/>
              </w:tabs>
              <w:spacing w:after="0" w:line="240" w:lineRule="auto"/>
              <w:outlineLvl w:val="0"/>
              <w:rPr>
                <w:rFonts w:eastAsia="Times New Roman" w:cs="Arial"/>
                <w:spacing w:val="-2"/>
                <w:sz w:val="17"/>
                <w:szCs w:val="17"/>
              </w:rPr>
            </w:pPr>
          </w:p>
        </w:tc>
        <w:tc>
          <w:tcPr>
            <w:tcW w:w="1135" w:type="dxa"/>
            <w:tcBorders>
              <w:top w:val="single" w:sz="12" w:space="0" w:color="auto"/>
              <w:left w:val="nil"/>
              <w:right w:val="nil"/>
            </w:tcBorders>
            <w:shd w:val="clear" w:color="auto" w:fill="auto"/>
            <w:vAlign w:val="bottom"/>
          </w:tcPr>
          <w:p w14:paraId="42E96D56" w14:textId="77777777" w:rsidR="0069580C" w:rsidRPr="006B318F" w:rsidRDefault="0069580C" w:rsidP="0069580C">
            <w:pPr>
              <w:tabs>
                <w:tab w:val="right" w:pos="1202"/>
              </w:tabs>
              <w:spacing w:after="0" w:line="240" w:lineRule="auto"/>
              <w:jc w:val="right"/>
              <w:outlineLvl w:val="0"/>
              <w:rPr>
                <w:rFonts w:asciiTheme="minorHAnsi" w:eastAsia="Times New Roman" w:hAnsiTheme="minorHAnsi" w:cs="Arial"/>
                <w:spacing w:val="-2"/>
                <w:sz w:val="17"/>
                <w:szCs w:val="17"/>
              </w:rPr>
            </w:pPr>
          </w:p>
        </w:tc>
        <w:tc>
          <w:tcPr>
            <w:tcW w:w="993" w:type="dxa"/>
            <w:tcBorders>
              <w:top w:val="single" w:sz="12" w:space="0" w:color="auto"/>
              <w:left w:val="nil"/>
              <w:right w:val="nil"/>
            </w:tcBorders>
            <w:shd w:val="clear" w:color="auto" w:fill="auto"/>
            <w:vAlign w:val="bottom"/>
          </w:tcPr>
          <w:p w14:paraId="10144D2B" w14:textId="77777777" w:rsidR="0069580C" w:rsidRPr="006B318F" w:rsidRDefault="0069580C" w:rsidP="0069580C">
            <w:pPr>
              <w:tabs>
                <w:tab w:val="right" w:pos="1202"/>
              </w:tabs>
              <w:spacing w:after="0" w:line="240" w:lineRule="auto"/>
              <w:jc w:val="right"/>
              <w:outlineLvl w:val="0"/>
              <w:rPr>
                <w:rFonts w:asciiTheme="minorHAnsi" w:eastAsia="Times New Roman" w:hAnsiTheme="minorHAnsi" w:cs="Arial"/>
                <w:spacing w:val="-2"/>
                <w:sz w:val="17"/>
                <w:szCs w:val="17"/>
              </w:rPr>
            </w:pPr>
          </w:p>
        </w:tc>
        <w:tc>
          <w:tcPr>
            <w:tcW w:w="994" w:type="dxa"/>
            <w:tcBorders>
              <w:top w:val="single" w:sz="12" w:space="0" w:color="auto"/>
              <w:left w:val="nil"/>
              <w:right w:val="nil"/>
            </w:tcBorders>
            <w:shd w:val="clear" w:color="auto" w:fill="auto"/>
            <w:vAlign w:val="bottom"/>
          </w:tcPr>
          <w:p w14:paraId="75E13027" w14:textId="77777777" w:rsidR="0069580C" w:rsidRPr="006B318F" w:rsidRDefault="0069580C" w:rsidP="0069580C">
            <w:pPr>
              <w:tabs>
                <w:tab w:val="right" w:pos="1202"/>
              </w:tabs>
              <w:spacing w:after="0" w:line="240" w:lineRule="auto"/>
              <w:jc w:val="right"/>
              <w:outlineLvl w:val="0"/>
              <w:rPr>
                <w:rFonts w:asciiTheme="minorHAnsi" w:eastAsia="Times New Roman" w:hAnsiTheme="minorHAnsi" w:cs="Arial"/>
                <w:spacing w:val="-2"/>
                <w:sz w:val="17"/>
                <w:szCs w:val="17"/>
              </w:rPr>
            </w:pPr>
          </w:p>
        </w:tc>
        <w:tc>
          <w:tcPr>
            <w:tcW w:w="1135" w:type="dxa"/>
            <w:tcBorders>
              <w:top w:val="single" w:sz="12" w:space="0" w:color="auto"/>
            </w:tcBorders>
            <w:vAlign w:val="bottom"/>
          </w:tcPr>
          <w:p w14:paraId="5B013796" w14:textId="77777777" w:rsidR="0069580C" w:rsidRPr="006B318F" w:rsidRDefault="0069580C" w:rsidP="0069580C">
            <w:pPr>
              <w:tabs>
                <w:tab w:val="right" w:pos="1202"/>
              </w:tabs>
              <w:spacing w:after="0" w:line="240" w:lineRule="auto"/>
              <w:jc w:val="right"/>
              <w:outlineLvl w:val="0"/>
              <w:rPr>
                <w:rFonts w:asciiTheme="minorHAnsi" w:eastAsia="Times New Roman" w:hAnsiTheme="minorHAnsi" w:cs="Arial"/>
                <w:spacing w:val="-2"/>
                <w:sz w:val="17"/>
                <w:szCs w:val="17"/>
              </w:rPr>
            </w:pPr>
          </w:p>
        </w:tc>
        <w:tc>
          <w:tcPr>
            <w:tcW w:w="1135" w:type="dxa"/>
            <w:tcBorders>
              <w:top w:val="single" w:sz="12" w:space="0" w:color="auto"/>
            </w:tcBorders>
            <w:vAlign w:val="bottom"/>
          </w:tcPr>
          <w:p w14:paraId="58BE533A" w14:textId="77777777" w:rsidR="0069580C" w:rsidRPr="006B318F" w:rsidRDefault="0069580C" w:rsidP="0069580C">
            <w:pPr>
              <w:tabs>
                <w:tab w:val="right" w:pos="1202"/>
              </w:tabs>
              <w:spacing w:after="0" w:line="240" w:lineRule="auto"/>
              <w:jc w:val="right"/>
              <w:outlineLvl w:val="0"/>
              <w:rPr>
                <w:rFonts w:asciiTheme="minorHAnsi" w:eastAsia="Times New Roman" w:hAnsiTheme="minorHAnsi" w:cs="Arial"/>
                <w:spacing w:val="-2"/>
                <w:sz w:val="17"/>
                <w:szCs w:val="17"/>
              </w:rPr>
            </w:pPr>
          </w:p>
        </w:tc>
        <w:tc>
          <w:tcPr>
            <w:tcW w:w="995" w:type="dxa"/>
            <w:tcBorders>
              <w:top w:val="single" w:sz="12" w:space="0" w:color="auto"/>
            </w:tcBorders>
            <w:vAlign w:val="bottom"/>
          </w:tcPr>
          <w:p w14:paraId="188BBAD4" w14:textId="77777777" w:rsidR="0069580C" w:rsidRPr="006B318F" w:rsidRDefault="0069580C" w:rsidP="0069580C">
            <w:pPr>
              <w:tabs>
                <w:tab w:val="right" w:pos="1202"/>
              </w:tabs>
              <w:spacing w:after="0" w:line="240" w:lineRule="auto"/>
              <w:jc w:val="right"/>
              <w:outlineLvl w:val="0"/>
              <w:rPr>
                <w:rFonts w:asciiTheme="minorHAnsi" w:eastAsia="Times New Roman" w:hAnsiTheme="minorHAnsi" w:cs="Arial"/>
                <w:spacing w:val="-2"/>
                <w:sz w:val="17"/>
                <w:szCs w:val="17"/>
              </w:rPr>
            </w:pPr>
          </w:p>
        </w:tc>
      </w:tr>
      <w:tr w:rsidR="0069580C" w:rsidRPr="00E26B60" w14:paraId="3F31E839" w14:textId="77777777" w:rsidTr="00166751">
        <w:trPr>
          <w:trHeight w:val="148"/>
          <w:jc w:val="center"/>
        </w:trPr>
        <w:tc>
          <w:tcPr>
            <w:tcW w:w="3550" w:type="dxa"/>
            <w:shd w:val="clear" w:color="auto" w:fill="auto"/>
            <w:vAlign w:val="bottom"/>
          </w:tcPr>
          <w:p w14:paraId="4A6E7ACE" w14:textId="77777777" w:rsidR="0069580C" w:rsidRPr="006B318F" w:rsidRDefault="0069580C" w:rsidP="0069580C">
            <w:pPr>
              <w:tabs>
                <w:tab w:val="right" w:pos="1202"/>
              </w:tabs>
              <w:spacing w:after="0" w:line="240" w:lineRule="auto"/>
              <w:outlineLvl w:val="0"/>
              <w:rPr>
                <w:rFonts w:eastAsia="Times New Roman" w:cs="Arial"/>
                <w:spacing w:val="-2"/>
                <w:sz w:val="17"/>
                <w:szCs w:val="17"/>
              </w:rPr>
            </w:pPr>
            <w:r w:rsidRPr="006B318F">
              <w:rPr>
                <w:rFonts w:cs="Arial"/>
                <w:b/>
                <w:spacing w:val="-2"/>
                <w:sz w:val="17"/>
                <w:szCs w:val="17"/>
              </w:rPr>
              <w:t>Equity instruments:</w:t>
            </w:r>
          </w:p>
        </w:tc>
        <w:tc>
          <w:tcPr>
            <w:tcW w:w="1135" w:type="dxa"/>
            <w:tcBorders>
              <w:left w:val="nil"/>
              <w:right w:val="nil"/>
            </w:tcBorders>
            <w:shd w:val="clear" w:color="auto" w:fill="auto"/>
            <w:vAlign w:val="bottom"/>
          </w:tcPr>
          <w:p w14:paraId="0B6A0549" w14:textId="77777777" w:rsidR="0069580C" w:rsidRPr="006B318F" w:rsidRDefault="0069580C" w:rsidP="0069580C">
            <w:pPr>
              <w:tabs>
                <w:tab w:val="right" w:pos="1202"/>
              </w:tabs>
              <w:spacing w:after="0" w:line="240" w:lineRule="auto"/>
              <w:jc w:val="right"/>
              <w:outlineLvl w:val="0"/>
              <w:rPr>
                <w:rFonts w:asciiTheme="minorHAnsi" w:eastAsia="Times New Roman" w:hAnsiTheme="minorHAnsi" w:cs="Arial"/>
                <w:spacing w:val="-2"/>
                <w:sz w:val="17"/>
                <w:szCs w:val="17"/>
              </w:rPr>
            </w:pPr>
          </w:p>
        </w:tc>
        <w:tc>
          <w:tcPr>
            <w:tcW w:w="993" w:type="dxa"/>
            <w:tcBorders>
              <w:left w:val="nil"/>
              <w:right w:val="nil"/>
            </w:tcBorders>
            <w:shd w:val="clear" w:color="auto" w:fill="auto"/>
            <w:vAlign w:val="bottom"/>
          </w:tcPr>
          <w:p w14:paraId="7D5969D4" w14:textId="77777777" w:rsidR="0069580C" w:rsidRPr="006B318F" w:rsidRDefault="0069580C" w:rsidP="0069580C">
            <w:pPr>
              <w:tabs>
                <w:tab w:val="right" w:pos="1202"/>
              </w:tabs>
              <w:spacing w:after="0" w:line="240" w:lineRule="auto"/>
              <w:jc w:val="right"/>
              <w:outlineLvl w:val="0"/>
              <w:rPr>
                <w:rFonts w:asciiTheme="minorHAnsi" w:eastAsia="Times New Roman" w:hAnsiTheme="minorHAnsi" w:cs="Arial"/>
                <w:spacing w:val="-2"/>
                <w:sz w:val="17"/>
                <w:szCs w:val="17"/>
              </w:rPr>
            </w:pPr>
          </w:p>
        </w:tc>
        <w:tc>
          <w:tcPr>
            <w:tcW w:w="994" w:type="dxa"/>
            <w:tcBorders>
              <w:left w:val="nil"/>
              <w:right w:val="nil"/>
            </w:tcBorders>
            <w:shd w:val="clear" w:color="auto" w:fill="auto"/>
            <w:vAlign w:val="bottom"/>
          </w:tcPr>
          <w:p w14:paraId="6A3DDF93" w14:textId="77777777" w:rsidR="0069580C" w:rsidRPr="006B318F" w:rsidRDefault="0069580C" w:rsidP="0069580C">
            <w:pPr>
              <w:tabs>
                <w:tab w:val="right" w:pos="1202"/>
              </w:tabs>
              <w:spacing w:after="0" w:line="240" w:lineRule="auto"/>
              <w:jc w:val="right"/>
              <w:outlineLvl w:val="0"/>
              <w:rPr>
                <w:rFonts w:asciiTheme="minorHAnsi" w:eastAsia="Times New Roman" w:hAnsiTheme="minorHAnsi" w:cs="Arial"/>
                <w:spacing w:val="-2"/>
                <w:sz w:val="17"/>
                <w:szCs w:val="17"/>
              </w:rPr>
            </w:pPr>
          </w:p>
        </w:tc>
        <w:tc>
          <w:tcPr>
            <w:tcW w:w="1135" w:type="dxa"/>
            <w:vAlign w:val="bottom"/>
          </w:tcPr>
          <w:p w14:paraId="62B70A74" w14:textId="77777777" w:rsidR="0069580C" w:rsidRPr="006B318F" w:rsidRDefault="0069580C" w:rsidP="0069580C">
            <w:pPr>
              <w:tabs>
                <w:tab w:val="right" w:pos="1202"/>
              </w:tabs>
              <w:spacing w:after="0" w:line="240" w:lineRule="auto"/>
              <w:jc w:val="right"/>
              <w:outlineLvl w:val="0"/>
              <w:rPr>
                <w:rFonts w:asciiTheme="minorHAnsi" w:eastAsia="Times New Roman" w:hAnsiTheme="minorHAnsi" w:cs="Arial"/>
                <w:spacing w:val="-2"/>
                <w:sz w:val="17"/>
                <w:szCs w:val="17"/>
              </w:rPr>
            </w:pPr>
          </w:p>
        </w:tc>
        <w:tc>
          <w:tcPr>
            <w:tcW w:w="1135" w:type="dxa"/>
            <w:vAlign w:val="bottom"/>
          </w:tcPr>
          <w:p w14:paraId="2318EE3E" w14:textId="77777777" w:rsidR="0069580C" w:rsidRPr="006B318F" w:rsidRDefault="0069580C" w:rsidP="0069580C">
            <w:pPr>
              <w:tabs>
                <w:tab w:val="right" w:pos="1202"/>
              </w:tabs>
              <w:spacing w:after="0" w:line="240" w:lineRule="auto"/>
              <w:jc w:val="right"/>
              <w:outlineLvl w:val="0"/>
              <w:rPr>
                <w:rFonts w:asciiTheme="minorHAnsi" w:eastAsia="Times New Roman" w:hAnsiTheme="minorHAnsi" w:cs="Arial"/>
                <w:spacing w:val="-2"/>
                <w:sz w:val="17"/>
                <w:szCs w:val="17"/>
              </w:rPr>
            </w:pPr>
          </w:p>
        </w:tc>
        <w:tc>
          <w:tcPr>
            <w:tcW w:w="995" w:type="dxa"/>
            <w:vAlign w:val="bottom"/>
          </w:tcPr>
          <w:p w14:paraId="0E787BCC" w14:textId="77777777" w:rsidR="0069580C" w:rsidRPr="006B318F" w:rsidRDefault="0069580C" w:rsidP="0069580C">
            <w:pPr>
              <w:tabs>
                <w:tab w:val="right" w:pos="1202"/>
              </w:tabs>
              <w:spacing w:after="0" w:line="240" w:lineRule="auto"/>
              <w:jc w:val="right"/>
              <w:outlineLvl w:val="0"/>
              <w:rPr>
                <w:rFonts w:asciiTheme="minorHAnsi" w:eastAsia="Times New Roman" w:hAnsiTheme="minorHAnsi" w:cs="Arial"/>
                <w:spacing w:val="-2"/>
                <w:sz w:val="17"/>
                <w:szCs w:val="17"/>
              </w:rPr>
            </w:pPr>
          </w:p>
        </w:tc>
      </w:tr>
      <w:tr w:rsidR="0069580C" w:rsidRPr="00E26B60" w14:paraId="3F607402" w14:textId="77777777" w:rsidTr="00166751">
        <w:trPr>
          <w:trHeight w:val="148"/>
          <w:jc w:val="center"/>
        </w:trPr>
        <w:tc>
          <w:tcPr>
            <w:tcW w:w="3550" w:type="dxa"/>
            <w:shd w:val="clear" w:color="auto" w:fill="auto"/>
            <w:vAlign w:val="bottom"/>
          </w:tcPr>
          <w:p w14:paraId="78A6A580" w14:textId="77777777" w:rsidR="0069580C" w:rsidRPr="006B318F" w:rsidRDefault="0069580C" w:rsidP="0069580C">
            <w:pPr>
              <w:tabs>
                <w:tab w:val="right" w:pos="1202"/>
              </w:tabs>
              <w:spacing w:after="0" w:line="240" w:lineRule="auto"/>
              <w:outlineLvl w:val="0"/>
              <w:rPr>
                <w:rFonts w:eastAsia="Times New Roman" w:cs="Arial"/>
                <w:spacing w:val="-2"/>
                <w:sz w:val="17"/>
                <w:szCs w:val="17"/>
              </w:rPr>
            </w:pPr>
            <w:r w:rsidRPr="006B318F">
              <w:rPr>
                <w:rFonts w:cs="Arial"/>
                <w:b/>
                <w:i/>
                <w:spacing w:val="-2"/>
                <w:sz w:val="17"/>
                <w:szCs w:val="17"/>
              </w:rPr>
              <w:t>Listed equity instruments:</w:t>
            </w:r>
          </w:p>
        </w:tc>
        <w:tc>
          <w:tcPr>
            <w:tcW w:w="1135" w:type="dxa"/>
            <w:tcBorders>
              <w:left w:val="nil"/>
              <w:bottom w:val="single" w:sz="4" w:space="0" w:color="auto"/>
              <w:right w:val="nil"/>
            </w:tcBorders>
            <w:shd w:val="clear" w:color="auto" w:fill="auto"/>
            <w:vAlign w:val="bottom"/>
          </w:tcPr>
          <w:p w14:paraId="2C2814B0" w14:textId="77777777" w:rsidR="0069580C" w:rsidRPr="006B318F" w:rsidRDefault="0069580C" w:rsidP="0069580C">
            <w:pPr>
              <w:tabs>
                <w:tab w:val="right" w:pos="1202"/>
              </w:tabs>
              <w:spacing w:after="0" w:line="240" w:lineRule="auto"/>
              <w:jc w:val="right"/>
              <w:outlineLvl w:val="0"/>
              <w:rPr>
                <w:rFonts w:asciiTheme="minorHAnsi" w:eastAsia="Times New Roman" w:hAnsiTheme="minorHAnsi" w:cs="Arial"/>
                <w:spacing w:val="-2"/>
                <w:sz w:val="17"/>
                <w:szCs w:val="17"/>
              </w:rPr>
            </w:pPr>
          </w:p>
        </w:tc>
        <w:tc>
          <w:tcPr>
            <w:tcW w:w="993" w:type="dxa"/>
            <w:tcBorders>
              <w:left w:val="nil"/>
              <w:bottom w:val="single" w:sz="4" w:space="0" w:color="auto"/>
              <w:right w:val="nil"/>
            </w:tcBorders>
            <w:shd w:val="clear" w:color="auto" w:fill="auto"/>
            <w:vAlign w:val="bottom"/>
          </w:tcPr>
          <w:p w14:paraId="18AE8113" w14:textId="77777777" w:rsidR="0069580C" w:rsidRPr="006B318F" w:rsidRDefault="0069580C" w:rsidP="0069580C">
            <w:pPr>
              <w:tabs>
                <w:tab w:val="right" w:pos="1202"/>
              </w:tabs>
              <w:spacing w:after="0" w:line="240" w:lineRule="auto"/>
              <w:jc w:val="right"/>
              <w:outlineLvl w:val="0"/>
              <w:rPr>
                <w:rFonts w:asciiTheme="minorHAnsi" w:eastAsia="Times New Roman" w:hAnsiTheme="minorHAnsi" w:cs="Arial"/>
                <w:spacing w:val="-2"/>
                <w:sz w:val="17"/>
                <w:szCs w:val="17"/>
              </w:rPr>
            </w:pPr>
          </w:p>
        </w:tc>
        <w:tc>
          <w:tcPr>
            <w:tcW w:w="994" w:type="dxa"/>
            <w:tcBorders>
              <w:left w:val="nil"/>
              <w:bottom w:val="single" w:sz="4" w:space="0" w:color="auto"/>
              <w:right w:val="nil"/>
            </w:tcBorders>
            <w:shd w:val="clear" w:color="auto" w:fill="auto"/>
            <w:vAlign w:val="bottom"/>
          </w:tcPr>
          <w:p w14:paraId="799A8745" w14:textId="77777777" w:rsidR="0069580C" w:rsidRPr="006B318F" w:rsidRDefault="0069580C" w:rsidP="0069580C">
            <w:pPr>
              <w:tabs>
                <w:tab w:val="right" w:pos="1202"/>
              </w:tabs>
              <w:spacing w:after="0" w:line="240" w:lineRule="auto"/>
              <w:jc w:val="right"/>
              <w:outlineLvl w:val="0"/>
              <w:rPr>
                <w:rFonts w:asciiTheme="minorHAnsi" w:eastAsia="Times New Roman" w:hAnsiTheme="minorHAnsi" w:cs="Arial"/>
                <w:spacing w:val="-2"/>
                <w:sz w:val="17"/>
                <w:szCs w:val="17"/>
              </w:rPr>
            </w:pPr>
          </w:p>
        </w:tc>
        <w:tc>
          <w:tcPr>
            <w:tcW w:w="1135" w:type="dxa"/>
            <w:vAlign w:val="bottom"/>
          </w:tcPr>
          <w:p w14:paraId="38446C4F" w14:textId="77777777" w:rsidR="0069580C" w:rsidRPr="006B318F" w:rsidRDefault="0069580C" w:rsidP="0069580C">
            <w:pPr>
              <w:tabs>
                <w:tab w:val="right" w:pos="1202"/>
              </w:tabs>
              <w:spacing w:after="0" w:line="240" w:lineRule="auto"/>
              <w:jc w:val="right"/>
              <w:outlineLvl w:val="0"/>
              <w:rPr>
                <w:rFonts w:asciiTheme="minorHAnsi" w:eastAsia="Times New Roman" w:hAnsiTheme="minorHAnsi" w:cs="Arial"/>
                <w:spacing w:val="-2"/>
                <w:sz w:val="17"/>
                <w:szCs w:val="17"/>
              </w:rPr>
            </w:pPr>
          </w:p>
        </w:tc>
        <w:tc>
          <w:tcPr>
            <w:tcW w:w="1135" w:type="dxa"/>
            <w:vAlign w:val="bottom"/>
          </w:tcPr>
          <w:p w14:paraId="33FBF17C" w14:textId="77777777" w:rsidR="0069580C" w:rsidRPr="006B318F" w:rsidRDefault="0069580C" w:rsidP="0069580C">
            <w:pPr>
              <w:tabs>
                <w:tab w:val="right" w:pos="1202"/>
              </w:tabs>
              <w:spacing w:after="0" w:line="240" w:lineRule="auto"/>
              <w:jc w:val="right"/>
              <w:outlineLvl w:val="0"/>
              <w:rPr>
                <w:rFonts w:asciiTheme="minorHAnsi" w:eastAsia="Times New Roman" w:hAnsiTheme="minorHAnsi" w:cs="Arial"/>
                <w:spacing w:val="-2"/>
                <w:sz w:val="17"/>
                <w:szCs w:val="17"/>
              </w:rPr>
            </w:pPr>
          </w:p>
        </w:tc>
        <w:tc>
          <w:tcPr>
            <w:tcW w:w="995" w:type="dxa"/>
            <w:vAlign w:val="bottom"/>
          </w:tcPr>
          <w:p w14:paraId="636BF344" w14:textId="77777777" w:rsidR="0069580C" w:rsidRPr="006B318F" w:rsidRDefault="0069580C" w:rsidP="0069580C">
            <w:pPr>
              <w:tabs>
                <w:tab w:val="right" w:pos="1202"/>
              </w:tabs>
              <w:spacing w:after="0" w:line="240" w:lineRule="auto"/>
              <w:jc w:val="right"/>
              <w:outlineLvl w:val="0"/>
              <w:rPr>
                <w:rFonts w:asciiTheme="minorHAnsi" w:eastAsia="Times New Roman" w:hAnsiTheme="minorHAnsi" w:cs="Arial"/>
                <w:spacing w:val="-2"/>
                <w:sz w:val="17"/>
                <w:szCs w:val="17"/>
              </w:rPr>
            </w:pPr>
          </w:p>
        </w:tc>
      </w:tr>
      <w:tr w:rsidR="009734A1" w:rsidRPr="00E26B60" w14:paraId="4C1199C1" w14:textId="77777777" w:rsidTr="00166751">
        <w:trPr>
          <w:trHeight w:val="148"/>
          <w:jc w:val="center"/>
        </w:trPr>
        <w:tc>
          <w:tcPr>
            <w:tcW w:w="3550" w:type="dxa"/>
            <w:shd w:val="clear" w:color="auto" w:fill="auto"/>
            <w:vAlign w:val="bottom"/>
          </w:tcPr>
          <w:p w14:paraId="724F57AD" w14:textId="77777777" w:rsidR="009734A1" w:rsidRPr="006B318F" w:rsidRDefault="009734A1" w:rsidP="009734A1">
            <w:pPr>
              <w:tabs>
                <w:tab w:val="right" w:pos="1202"/>
              </w:tabs>
              <w:spacing w:after="0" w:line="240" w:lineRule="auto"/>
              <w:outlineLvl w:val="0"/>
              <w:rPr>
                <w:rFonts w:eastAsia="Times New Roman" w:cs="Arial"/>
                <w:spacing w:val="-2"/>
                <w:sz w:val="17"/>
                <w:szCs w:val="17"/>
              </w:rPr>
            </w:pPr>
            <w:r w:rsidRPr="006B318F">
              <w:rPr>
                <w:rFonts w:cs="Arial"/>
                <w:spacing w:val="-2"/>
                <w:sz w:val="17"/>
                <w:szCs w:val="17"/>
              </w:rPr>
              <w:t>Corporate shares</w:t>
            </w:r>
          </w:p>
        </w:tc>
        <w:tc>
          <w:tcPr>
            <w:tcW w:w="1135" w:type="dxa"/>
            <w:tcBorders>
              <w:top w:val="single" w:sz="4" w:space="0" w:color="auto"/>
              <w:left w:val="nil"/>
              <w:bottom w:val="single" w:sz="4" w:space="0" w:color="auto"/>
              <w:right w:val="nil"/>
            </w:tcBorders>
            <w:shd w:val="clear" w:color="auto" w:fill="auto"/>
            <w:vAlign w:val="bottom"/>
          </w:tcPr>
          <w:p w14:paraId="68E377B7" w14:textId="25A1A275" w:rsidR="009734A1" w:rsidRPr="006B318F" w:rsidRDefault="00490C12" w:rsidP="009734A1">
            <w:pPr>
              <w:tabs>
                <w:tab w:val="right" w:pos="1202"/>
              </w:tabs>
              <w:spacing w:after="0" w:line="240" w:lineRule="auto"/>
              <w:jc w:val="right"/>
              <w:outlineLvl w:val="0"/>
              <w:rPr>
                <w:rFonts w:asciiTheme="minorHAnsi" w:eastAsia="Times New Roman" w:hAnsiTheme="minorHAnsi" w:cs="Arial"/>
                <w:spacing w:val="-2"/>
                <w:sz w:val="17"/>
                <w:szCs w:val="17"/>
              </w:rPr>
            </w:pPr>
            <w:r w:rsidRPr="006B318F">
              <w:rPr>
                <w:rFonts w:asciiTheme="minorHAnsi" w:hAnsiTheme="minorHAnsi"/>
                <w:sz w:val="17"/>
                <w:szCs w:val="17"/>
              </w:rPr>
              <w:t>16,805</w:t>
            </w:r>
          </w:p>
        </w:tc>
        <w:tc>
          <w:tcPr>
            <w:tcW w:w="993" w:type="dxa"/>
            <w:tcBorders>
              <w:top w:val="single" w:sz="4" w:space="0" w:color="auto"/>
              <w:left w:val="nil"/>
              <w:bottom w:val="single" w:sz="4" w:space="0" w:color="auto"/>
              <w:right w:val="nil"/>
            </w:tcBorders>
            <w:shd w:val="clear" w:color="auto" w:fill="auto"/>
            <w:vAlign w:val="bottom"/>
          </w:tcPr>
          <w:p w14:paraId="797488A9" w14:textId="77777777" w:rsidR="009734A1" w:rsidRPr="006B318F" w:rsidRDefault="009734A1" w:rsidP="009734A1">
            <w:pPr>
              <w:tabs>
                <w:tab w:val="right" w:pos="1202"/>
              </w:tabs>
              <w:spacing w:after="0" w:line="240" w:lineRule="auto"/>
              <w:jc w:val="right"/>
              <w:outlineLvl w:val="0"/>
              <w:rPr>
                <w:rFonts w:asciiTheme="minorHAnsi" w:eastAsia="Times New Roman" w:hAnsiTheme="minorHAnsi" w:cs="Arial"/>
                <w:spacing w:val="-2"/>
                <w:sz w:val="17"/>
                <w:szCs w:val="17"/>
              </w:rPr>
            </w:pPr>
            <w:r w:rsidRPr="00E26B60">
              <w:rPr>
                <w:sz w:val="17"/>
                <w:szCs w:val="17"/>
              </w:rPr>
              <w:t>-</w:t>
            </w:r>
          </w:p>
        </w:tc>
        <w:tc>
          <w:tcPr>
            <w:tcW w:w="994" w:type="dxa"/>
            <w:tcBorders>
              <w:top w:val="single" w:sz="4" w:space="0" w:color="auto"/>
              <w:left w:val="nil"/>
              <w:bottom w:val="single" w:sz="4" w:space="0" w:color="auto"/>
              <w:right w:val="nil"/>
            </w:tcBorders>
            <w:shd w:val="clear" w:color="auto" w:fill="auto"/>
            <w:vAlign w:val="bottom"/>
          </w:tcPr>
          <w:p w14:paraId="06ABABCA" w14:textId="77777777" w:rsidR="009734A1" w:rsidRPr="006B318F" w:rsidRDefault="009734A1" w:rsidP="009734A1">
            <w:pPr>
              <w:tabs>
                <w:tab w:val="right" w:pos="1202"/>
              </w:tabs>
              <w:spacing w:after="0" w:line="240" w:lineRule="auto"/>
              <w:jc w:val="right"/>
              <w:outlineLvl w:val="0"/>
              <w:rPr>
                <w:rFonts w:asciiTheme="minorHAnsi" w:eastAsia="Times New Roman" w:hAnsiTheme="minorHAnsi" w:cs="Arial"/>
                <w:spacing w:val="-2"/>
                <w:sz w:val="17"/>
                <w:szCs w:val="17"/>
              </w:rPr>
            </w:pPr>
            <w:r w:rsidRPr="00E26B60">
              <w:rPr>
                <w:sz w:val="17"/>
                <w:szCs w:val="17"/>
              </w:rPr>
              <w:t>-</w:t>
            </w:r>
          </w:p>
        </w:tc>
        <w:tc>
          <w:tcPr>
            <w:tcW w:w="1135" w:type="dxa"/>
            <w:tcBorders>
              <w:top w:val="single" w:sz="4" w:space="0" w:color="auto"/>
              <w:left w:val="nil"/>
              <w:bottom w:val="single" w:sz="4" w:space="0" w:color="auto"/>
              <w:right w:val="nil"/>
            </w:tcBorders>
            <w:shd w:val="clear" w:color="auto" w:fill="auto"/>
            <w:vAlign w:val="bottom"/>
          </w:tcPr>
          <w:p w14:paraId="02EA298C" w14:textId="77777777" w:rsidR="009734A1" w:rsidRPr="006B318F" w:rsidRDefault="009734A1" w:rsidP="009734A1">
            <w:pPr>
              <w:tabs>
                <w:tab w:val="right" w:pos="1202"/>
              </w:tabs>
              <w:spacing w:after="0" w:line="240" w:lineRule="auto"/>
              <w:jc w:val="right"/>
              <w:outlineLvl w:val="0"/>
              <w:rPr>
                <w:rFonts w:asciiTheme="minorHAnsi" w:eastAsia="Times New Roman" w:hAnsiTheme="minorHAnsi" w:cs="Arial"/>
                <w:spacing w:val="-2"/>
                <w:sz w:val="17"/>
                <w:szCs w:val="17"/>
              </w:rPr>
            </w:pPr>
            <w:r w:rsidRPr="006B318F">
              <w:rPr>
                <w:rFonts w:asciiTheme="minorHAnsi" w:hAnsiTheme="minorHAnsi"/>
                <w:sz w:val="17"/>
                <w:szCs w:val="17"/>
              </w:rPr>
              <w:t>10,938</w:t>
            </w:r>
          </w:p>
        </w:tc>
        <w:tc>
          <w:tcPr>
            <w:tcW w:w="1135" w:type="dxa"/>
            <w:tcBorders>
              <w:top w:val="single" w:sz="4" w:space="0" w:color="auto"/>
              <w:left w:val="nil"/>
              <w:bottom w:val="single" w:sz="4" w:space="0" w:color="auto"/>
              <w:right w:val="nil"/>
            </w:tcBorders>
            <w:shd w:val="clear" w:color="auto" w:fill="auto"/>
            <w:vAlign w:val="bottom"/>
          </w:tcPr>
          <w:p w14:paraId="6C488612" w14:textId="77777777" w:rsidR="009734A1" w:rsidRPr="006B318F" w:rsidRDefault="009734A1" w:rsidP="009734A1">
            <w:pPr>
              <w:tabs>
                <w:tab w:val="right" w:pos="1202"/>
              </w:tabs>
              <w:spacing w:after="0" w:line="240" w:lineRule="auto"/>
              <w:jc w:val="right"/>
              <w:outlineLvl w:val="0"/>
              <w:rPr>
                <w:rFonts w:asciiTheme="minorHAnsi" w:eastAsia="Times New Roman" w:hAnsiTheme="minorHAnsi" w:cs="Arial"/>
                <w:spacing w:val="-2"/>
                <w:sz w:val="17"/>
                <w:szCs w:val="17"/>
              </w:rPr>
            </w:pPr>
            <w:r w:rsidRPr="006B318F">
              <w:rPr>
                <w:rFonts w:asciiTheme="minorHAnsi" w:hAnsiTheme="minorHAnsi"/>
                <w:sz w:val="17"/>
                <w:szCs w:val="17"/>
              </w:rPr>
              <w:t>-</w:t>
            </w:r>
          </w:p>
        </w:tc>
        <w:tc>
          <w:tcPr>
            <w:tcW w:w="995" w:type="dxa"/>
            <w:tcBorders>
              <w:top w:val="single" w:sz="4" w:space="0" w:color="auto"/>
              <w:left w:val="nil"/>
              <w:bottom w:val="single" w:sz="4" w:space="0" w:color="auto"/>
              <w:right w:val="nil"/>
            </w:tcBorders>
            <w:shd w:val="clear" w:color="auto" w:fill="auto"/>
            <w:vAlign w:val="bottom"/>
          </w:tcPr>
          <w:p w14:paraId="354C52CF" w14:textId="77777777" w:rsidR="009734A1" w:rsidRPr="006B318F" w:rsidRDefault="009734A1" w:rsidP="009734A1">
            <w:pPr>
              <w:tabs>
                <w:tab w:val="right" w:pos="1202"/>
              </w:tabs>
              <w:spacing w:after="0" w:line="240" w:lineRule="auto"/>
              <w:jc w:val="right"/>
              <w:outlineLvl w:val="0"/>
              <w:rPr>
                <w:rFonts w:asciiTheme="minorHAnsi" w:eastAsia="Times New Roman" w:hAnsiTheme="minorHAnsi" w:cs="Arial"/>
                <w:spacing w:val="-2"/>
                <w:sz w:val="17"/>
                <w:szCs w:val="17"/>
              </w:rPr>
            </w:pPr>
            <w:r w:rsidRPr="006B318F">
              <w:rPr>
                <w:rFonts w:asciiTheme="minorHAnsi" w:hAnsiTheme="minorHAnsi"/>
                <w:sz w:val="17"/>
                <w:szCs w:val="17"/>
              </w:rPr>
              <w:t>-</w:t>
            </w:r>
          </w:p>
        </w:tc>
      </w:tr>
      <w:tr w:rsidR="009734A1" w:rsidRPr="00E26B60" w14:paraId="3C3C44D4" w14:textId="77777777" w:rsidTr="00166751">
        <w:trPr>
          <w:trHeight w:val="265"/>
          <w:jc w:val="center"/>
        </w:trPr>
        <w:tc>
          <w:tcPr>
            <w:tcW w:w="3550" w:type="dxa"/>
            <w:shd w:val="clear" w:color="auto" w:fill="auto"/>
            <w:vAlign w:val="bottom"/>
          </w:tcPr>
          <w:p w14:paraId="5A4450B0" w14:textId="77777777" w:rsidR="009734A1" w:rsidRPr="006B318F" w:rsidRDefault="009734A1" w:rsidP="009734A1">
            <w:pPr>
              <w:tabs>
                <w:tab w:val="right" w:pos="1202"/>
              </w:tabs>
              <w:spacing w:after="0" w:line="240" w:lineRule="auto"/>
              <w:outlineLvl w:val="0"/>
              <w:rPr>
                <w:rFonts w:eastAsia="Times New Roman" w:cs="Arial"/>
                <w:b/>
                <w:i/>
                <w:spacing w:val="-2"/>
                <w:sz w:val="17"/>
                <w:szCs w:val="17"/>
              </w:rPr>
            </w:pPr>
            <w:r w:rsidRPr="006B318F">
              <w:rPr>
                <w:rFonts w:cs="Arial"/>
                <w:b/>
                <w:spacing w:val="-2"/>
                <w:sz w:val="17"/>
                <w:szCs w:val="17"/>
              </w:rPr>
              <w:t>Unlisted equity instruments:</w:t>
            </w:r>
            <w:r w:rsidRPr="006B318F" w:rsidDel="00D51A81">
              <w:rPr>
                <w:rFonts w:cs="Arial"/>
                <w:b/>
                <w:spacing w:val="-2"/>
                <w:sz w:val="17"/>
                <w:szCs w:val="17"/>
              </w:rPr>
              <w:t xml:space="preserve"> </w:t>
            </w:r>
          </w:p>
        </w:tc>
        <w:tc>
          <w:tcPr>
            <w:tcW w:w="1135" w:type="dxa"/>
            <w:tcBorders>
              <w:top w:val="nil"/>
              <w:left w:val="nil"/>
              <w:bottom w:val="nil"/>
              <w:right w:val="nil"/>
            </w:tcBorders>
            <w:shd w:val="clear" w:color="auto" w:fill="auto"/>
          </w:tcPr>
          <w:p w14:paraId="09D84609" w14:textId="44E23586" w:rsidR="009734A1" w:rsidRPr="006B318F" w:rsidDel="00561A80" w:rsidRDefault="009734A1" w:rsidP="009734A1">
            <w:pPr>
              <w:tabs>
                <w:tab w:val="right" w:pos="1202"/>
              </w:tabs>
              <w:spacing w:after="0" w:line="240" w:lineRule="auto"/>
              <w:jc w:val="right"/>
              <w:outlineLvl w:val="0"/>
              <w:rPr>
                <w:rFonts w:asciiTheme="minorHAnsi" w:eastAsia="Times New Roman" w:hAnsiTheme="minorHAnsi" w:cs="Arial"/>
                <w:spacing w:val="-2"/>
                <w:sz w:val="17"/>
                <w:szCs w:val="17"/>
              </w:rPr>
            </w:pPr>
          </w:p>
        </w:tc>
        <w:tc>
          <w:tcPr>
            <w:tcW w:w="993" w:type="dxa"/>
            <w:tcBorders>
              <w:top w:val="nil"/>
              <w:left w:val="nil"/>
              <w:bottom w:val="nil"/>
              <w:right w:val="nil"/>
            </w:tcBorders>
            <w:shd w:val="clear" w:color="auto" w:fill="auto"/>
            <w:vAlign w:val="bottom"/>
          </w:tcPr>
          <w:p w14:paraId="49036F6E" w14:textId="24A84B3F" w:rsidR="009734A1" w:rsidRPr="006B318F" w:rsidDel="00561A80" w:rsidRDefault="009734A1" w:rsidP="009734A1">
            <w:pPr>
              <w:tabs>
                <w:tab w:val="right" w:pos="1202"/>
              </w:tabs>
              <w:spacing w:after="0" w:line="240" w:lineRule="auto"/>
              <w:jc w:val="right"/>
              <w:outlineLvl w:val="0"/>
              <w:rPr>
                <w:rFonts w:asciiTheme="minorHAnsi" w:eastAsia="Times New Roman" w:hAnsiTheme="minorHAnsi" w:cs="Arial"/>
                <w:spacing w:val="-2"/>
                <w:sz w:val="17"/>
                <w:szCs w:val="17"/>
              </w:rPr>
            </w:pPr>
          </w:p>
        </w:tc>
        <w:tc>
          <w:tcPr>
            <w:tcW w:w="994" w:type="dxa"/>
            <w:tcBorders>
              <w:top w:val="nil"/>
              <w:left w:val="nil"/>
              <w:bottom w:val="nil"/>
              <w:right w:val="nil"/>
            </w:tcBorders>
            <w:shd w:val="clear" w:color="auto" w:fill="auto"/>
            <w:vAlign w:val="bottom"/>
          </w:tcPr>
          <w:p w14:paraId="23D6B697" w14:textId="352C3969" w:rsidR="009734A1" w:rsidRPr="006B318F" w:rsidDel="00561A80" w:rsidRDefault="009734A1" w:rsidP="009734A1">
            <w:pPr>
              <w:tabs>
                <w:tab w:val="right" w:pos="1202"/>
              </w:tabs>
              <w:spacing w:after="0" w:line="240" w:lineRule="auto"/>
              <w:jc w:val="right"/>
              <w:outlineLvl w:val="0"/>
              <w:rPr>
                <w:rFonts w:asciiTheme="minorHAnsi" w:eastAsia="Times New Roman" w:hAnsiTheme="minorHAnsi" w:cs="Arial"/>
                <w:spacing w:val="-2"/>
                <w:sz w:val="17"/>
                <w:szCs w:val="17"/>
              </w:rPr>
            </w:pPr>
          </w:p>
        </w:tc>
        <w:tc>
          <w:tcPr>
            <w:tcW w:w="1135" w:type="dxa"/>
            <w:vAlign w:val="bottom"/>
          </w:tcPr>
          <w:p w14:paraId="7F277A58" w14:textId="77777777" w:rsidR="009734A1" w:rsidRPr="006B318F" w:rsidDel="00561A80" w:rsidRDefault="009734A1" w:rsidP="009734A1">
            <w:pPr>
              <w:tabs>
                <w:tab w:val="right" w:pos="1202"/>
              </w:tabs>
              <w:spacing w:after="0" w:line="240" w:lineRule="auto"/>
              <w:jc w:val="right"/>
              <w:outlineLvl w:val="0"/>
              <w:rPr>
                <w:rFonts w:asciiTheme="minorHAnsi" w:eastAsia="Times New Roman" w:hAnsiTheme="minorHAnsi" w:cs="Arial"/>
                <w:spacing w:val="-2"/>
                <w:sz w:val="17"/>
                <w:szCs w:val="17"/>
              </w:rPr>
            </w:pPr>
          </w:p>
        </w:tc>
        <w:tc>
          <w:tcPr>
            <w:tcW w:w="1135" w:type="dxa"/>
            <w:vAlign w:val="bottom"/>
          </w:tcPr>
          <w:p w14:paraId="288D8AB7" w14:textId="77777777" w:rsidR="009734A1" w:rsidRPr="006B318F" w:rsidDel="00561A80" w:rsidRDefault="009734A1" w:rsidP="009734A1">
            <w:pPr>
              <w:tabs>
                <w:tab w:val="right" w:pos="1202"/>
              </w:tabs>
              <w:spacing w:after="0" w:line="240" w:lineRule="auto"/>
              <w:jc w:val="right"/>
              <w:outlineLvl w:val="0"/>
              <w:rPr>
                <w:rFonts w:asciiTheme="minorHAnsi" w:eastAsia="Times New Roman" w:hAnsiTheme="minorHAnsi" w:cs="Arial"/>
                <w:spacing w:val="-2"/>
                <w:sz w:val="17"/>
                <w:szCs w:val="17"/>
              </w:rPr>
            </w:pPr>
          </w:p>
        </w:tc>
        <w:tc>
          <w:tcPr>
            <w:tcW w:w="995" w:type="dxa"/>
            <w:vAlign w:val="bottom"/>
          </w:tcPr>
          <w:p w14:paraId="590F54FD" w14:textId="77777777" w:rsidR="009734A1" w:rsidRPr="006B318F" w:rsidDel="00561A80" w:rsidRDefault="009734A1" w:rsidP="009734A1">
            <w:pPr>
              <w:tabs>
                <w:tab w:val="right" w:pos="1202"/>
              </w:tabs>
              <w:spacing w:after="0" w:line="240" w:lineRule="auto"/>
              <w:jc w:val="right"/>
              <w:outlineLvl w:val="0"/>
              <w:rPr>
                <w:rFonts w:asciiTheme="minorHAnsi" w:eastAsia="Times New Roman" w:hAnsiTheme="minorHAnsi" w:cs="Arial"/>
                <w:spacing w:val="-2"/>
                <w:sz w:val="17"/>
                <w:szCs w:val="17"/>
              </w:rPr>
            </w:pPr>
          </w:p>
        </w:tc>
      </w:tr>
      <w:tr w:rsidR="00490C12" w:rsidRPr="00E26B60" w14:paraId="38E367DF" w14:textId="77777777" w:rsidTr="006B318F">
        <w:trPr>
          <w:trHeight w:val="265"/>
          <w:jc w:val="center"/>
        </w:trPr>
        <w:tc>
          <w:tcPr>
            <w:tcW w:w="3550" w:type="dxa"/>
            <w:shd w:val="clear" w:color="auto" w:fill="auto"/>
            <w:vAlign w:val="bottom"/>
          </w:tcPr>
          <w:p w14:paraId="6F294777" w14:textId="77777777" w:rsidR="00490C12" w:rsidRPr="006B318F" w:rsidRDefault="00490C12" w:rsidP="00490C12">
            <w:pPr>
              <w:tabs>
                <w:tab w:val="right" w:pos="1202"/>
              </w:tabs>
              <w:spacing w:after="0" w:line="240" w:lineRule="auto"/>
              <w:outlineLvl w:val="0"/>
              <w:rPr>
                <w:rFonts w:eastAsia="Times New Roman" w:cs="Arial"/>
                <w:sz w:val="17"/>
                <w:szCs w:val="17"/>
              </w:rPr>
            </w:pPr>
            <w:r w:rsidRPr="006B318F">
              <w:rPr>
                <w:rFonts w:eastAsia="Times New Roman" w:cs="Arial"/>
                <w:sz w:val="17"/>
                <w:szCs w:val="17"/>
              </w:rPr>
              <w:t xml:space="preserve">Investment in shares of foreign companies </w:t>
            </w:r>
          </w:p>
        </w:tc>
        <w:tc>
          <w:tcPr>
            <w:tcW w:w="1135" w:type="dxa"/>
            <w:tcBorders>
              <w:top w:val="nil"/>
              <w:left w:val="nil"/>
              <w:bottom w:val="nil"/>
              <w:right w:val="nil"/>
            </w:tcBorders>
            <w:shd w:val="clear" w:color="auto" w:fill="auto"/>
            <w:vAlign w:val="bottom"/>
          </w:tcPr>
          <w:p w14:paraId="1DA780E4" w14:textId="7CA341EA" w:rsidR="00490C12" w:rsidRPr="006B318F" w:rsidRDefault="00490C12" w:rsidP="00490C12">
            <w:pPr>
              <w:tabs>
                <w:tab w:val="right" w:pos="1202"/>
              </w:tabs>
              <w:spacing w:after="0" w:line="301" w:lineRule="exact"/>
              <w:jc w:val="right"/>
              <w:outlineLvl w:val="0"/>
              <w:rPr>
                <w:rFonts w:asciiTheme="minorHAnsi" w:eastAsia="Times New Roman" w:hAnsiTheme="minorHAnsi" w:cs="Arial"/>
                <w:sz w:val="17"/>
                <w:szCs w:val="17"/>
              </w:rPr>
            </w:pPr>
            <w:r w:rsidRPr="006B318F">
              <w:rPr>
                <w:rFonts w:asciiTheme="minorHAnsi" w:eastAsia="Times New Roman" w:hAnsiTheme="minorHAnsi" w:cs="Arial"/>
                <w:sz w:val="17"/>
                <w:szCs w:val="17"/>
              </w:rPr>
              <w:t>-</w:t>
            </w:r>
          </w:p>
        </w:tc>
        <w:tc>
          <w:tcPr>
            <w:tcW w:w="993" w:type="dxa"/>
            <w:tcBorders>
              <w:top w:val="nil"/>
              <w:left w:val="nil"/>
              <w:bottom w:val="nil"/>
              <w:right w:val="nil"/>
            </w:tcBorders>
            <w:shd w:val="clear" w:color="auto" w:fill="auto"/>
            <w:vAlign w:val="bottom"/>
          </w:tcPr>
          <w:p w14:paraId="3E086A98" w14:textId="1E24A6DF" w:rsidR="00490C12" w:rsidRPr="006B318F" w:rsidRDefault="00490C12" w:rsidP="00490C12">
            <w:pPr>
              <w:tabs>
                <w:tab w:val="right" w:pos="1202"/>
              </w:tabs>
              <w:spacing w:after="0" w:line="301" w:lineRule="exact"/>
              <w:jc w:val="right"/>
              <w:outlineLvl w:val="0"/>
              <w:rPr>
                <w:rFonts w:asciiTheme="minorHAnsi" w:eastAsia="Times New Roman" w:hAnsiTheme="minorHAnsi" w:cs="Arial"/>
                <w:sz w:val="17"/>
                <w:szCs w:val="17"/>
              </w:rPr>
            </w:pPr>
            <w:r w:rsidRPr="006B318F">
              <w:rPr>
                <w:rFonts w:asciiTheme="minorHAnsi" w:eastAsia="Times New Roman" w:hAnsiTheme="minorHAnsi" w:cs="Arial"/>
                <w:sz w:val="17"/>
                <w:szCs w:val="17"/>
              </w:rPr>
              <w:t>35</w:t>
            </w:r>
          </w:p>
        </w:tc>
        <w:tc>
          <w:tcPr>
            <w:tcW w:w="994" w:type="dxa"/>
            <w:tcBorders>
              <w:top w:val="nil"/>
              <w:left w:val="nil"/>
              <w:bottom w:val="nil"/>
              <w:right w:val="nil"/>
            </w:tcBorders>
            <w:shd w:val="clear" w:color="auto" w:fill="auto"/>
            <w:vAlign w:val="bottom"/>
          </w:tcPr>
          <w:p w14:paraId="63EE12CC" w14:textId="7F226C09" w:rsidR="00490C12" w:rsidRPr="006B318F" w:rsidRDefault="00490C12" w:rsidP="00490C12">
            <w:pPr>
              <w:tabs>
                <w:tab w:val="right" w:pos="1202"/>
              </w:tabs>
              <w:spacing w:after="0" w:line="301" w:lineRule="exact"/>
              <w:jc w:val="right"/>
              <w:outlineLvl w:val="0"/>
              <w:rPr>
                <w:rFonts w:asciiTheme="minorHAnsi" w:eastAsia="Times New Roman" w:hAnsiTheme="minorHAnsi" w:cs="Arial"/>
                <w:sz w:val="17"/>
                <w:szCs w:val="17"/>
              </w:rPr>
            </w:pPr>
            <w:r w:rsidRPr="006B318F">
              <w:rPr>
                <w:rFonts w:asciiTheme="minorHAnsi" w:eastAsia="Times New Roman" w:hAnsiTheme="minorHAnsi" w:cs="Arial"/>
                <w:sz w:val="17"/>
                <w:szCs w:val="17"/>
              </w:rPr>
              <w:t>-</w:t>
            </w:r>
          </w:p>
        </w:tc>
        <w:tc>
          <w:tcPr>
            <w:tcW w:w="1135" w:type="dxa"/>
            <w:tcBorders>
              <w:top w:val="nil"/>
              <w:left w:val="nil"/>
              <w:bottom w:val="nil"/>
              <w:right w:val="nil"/>
            </w:tcBorders>
            <w:shd w:val="clear" w:color="auto" w:fill="auto"/>
            <w:vAlign w:val="bottom"/>
          </w:tcPr>
          <w:p w14:paraId="3F54042F" w14:textId="77777777" w:rsidR="00490C12" w:rsidRPr="006B318F" w:rsidRDefault="00490C12" w:rsidP="00490C12">
            <w:pPr>
              <w:tabs>
                <w:tab w:val="right" w:pos="1202"/>
              </w:tabs>
              <w:spacing w:after="0" w:line="301" w:lineRule="exact"/>
              <w:jc w:val="right"/>
              <w:outlineLvl w:val="0"/>
              <w:rPr>
                <w:rFonts w:asciiTheme="minorHAnsi" w:eastAsia="Times New Roman" w:hAnsiTheme="minorHAnsi" w:cs="Arial"/>
                <w:sz w:val="17"/>
                <w:szCs w:val="17"/>
              </w:rPr>
            </w:pPr>
            <w:r w:rsidRPr="006B318F">
              <w:rPr>
                <w:rFonts w:asciiTheme="minorHAnsi" w:eastAsia="Times New Roman" w:hAnsiTheme="minorHAnsi" w:cs="Arial"/>
                <w:sz w:val="17"/>
                <w:szCs w:val="17"/>
              </w:rPr>
              <w:t>-</w:t>
            </w:r>
          </w:p>
        </w:tc>
        <w:tc>
          <w:tcPr>
            <w:tcW w:w="1135" w:type="dxa"/>
            <w:tcBorders>
              <w:top w:val="nil"/>
              <w:left w:val="nil"/>
              <w:bottom w:val="nil"/>
              <w:right w:val="nil"/>
            </w:tcBorders>
            <w:shd w:val="clear" w:color="auto" w:fill="auto"/>
            <w:vAlign w:val="bottom"/>
          </w:tcPr>
          <w:p w14:paraId="15316461" w14:textId="77777777" w:rsidR="00490C12" w:rsidRPr="006B318F" w:rsidRDefault="00490C12" w:rsidP="00490C12">
            <w:pPr>
              <w:tabs>
                <w:tab w:val="right" w:pos="1202"/>
              </w:tabs>
              <w:spacing w:after="0" w:line="301" w:lineRule="exact"/>
              <w:jc w:val="right"/>
              <w:outlineLvl w:val="0"/>
              <w:rPr>
                <w:rFonts w:asciiTheme="minorHAnsi" w:eastAsia="Times New Roman" w:hAnsiTheme="minorHAnsi" w:cs="Arial"/>
                <w:sz w:val="17"/>
                <w:szCs w:val="17"/>
              </w:rPr>
            </w:pPr>
            <w:r w:rsidRPr="006B318F">
              <w:rPr>
                <w:rFonts w:asciiTheme="minorHAnsi" w:eastAsia="Times New Roman" w:hAnsiTheme="minorHAnsi" w:cs="Arial"/>
                <w:sz w:val="17"/>
                <w:szCs w:val="17"/>
              </w:rPr>
              <w:t>32</w:t>
            </w:r>
          </w:p>
        </w:tc>
        <w:tc>
          <w:tcPr>
            <w:tcW w:w="995" w:type="dxa"/>
            <w:tcBorders>
              <w:top w:val="nil"/>
              <w:left w:val="nil"/>
              <w:bottom w:val="nil"/>
              <w:right w:val="nil"/>
            </w:tcBorders>
            <w:shd w:val="clear" w:color="auto" w:fill="auto"/>
            <w:vAlign w:val="bottom"/>
          </w:tcPr>
          <w:p w14:paraId="22E4A6E5" w14:textId="77777777" w:rsidR="00490C12" w:rsidRPr="006B318F" w:rsidRDefault="00490C12" w:rsidP="00490C12">
            <w:pPr>
              <w:tabs>
                <w:tab w:val="right" w:pos="1202"/>
              </w:tabs>
              <w:spacing w:after="0" w:line="301" w:lineRule="exact"/>
              <w:jc w:val="right"/>
              <w:outlineLvl w:val="0"/>
              <w:rPr>
                <w:rFonts w:asciiTheme="minorHAnsi" w:eastAsia="Times New Roman" w:hAnsiTheme="minorHAnsi" w:cs="Arial"/>
                <w:sz w:val="17"/>
                <w:szCs w:val="17"/>
              </w:rPr>
            </w:pPr>
            <w:r w:rsidRPr="006B318F">
              <w:rPr>
                <w:rFonts w:asciiTheme="minorHAnsi" w:eastAsia="Times New Roman" w:hAnsiTheme="minorHAnsi" w:cs="Arial"/>
                <w:sz w:val="17"/>
                <w:szCs w:val="17"/>
              </w:rPr>
              <w:t>-</w:t>
            </w:r>
          </w:p>
        </w:tc>
      </w:tr>
      <w:tr w:rsidR="00490C12" w:rsidRPr="00E26B60" w14:paraId="63E712C0" w14:textId="77777777" w:rsidTr="006B318F">
        <w:trPr>
          <w:trHeight w:val="265"/>
          <w:jc w:val="center"/>
        </w:trPr>
        <w:tc>
          <w:tcPr>
            <w:tcW w:w="3550" w:type="dxa"/>
            <w:shd w:val="clear" w:color="auto" w:fill="auto"/>
            <w:vAlign w:val="bottom"/>
          </w:tcPr>
          <w:p w14:paraId="0714B733" w14:textId="77777777" w:rsidR="00490C12" w:rsidRPr="006B318F" w:rsidRDefault="00490C12" w:rsidP="00490C12">
            <w:pPr>
              <w:tabs>
                <w:tab w:val="right" w:pos="1202"/>
              </w:tabs>
              <w:spacing w:after="0" w:line="240" w:lineRule="auto"/>
              <w:outlineLvl w:val="0"/>
              <w:rPr>
                <w:rFonts w:eastAsia="Times New Roman" w:cs="Arial"/>
                <w:sz w:val="17"/>
                <w:szCs w:val="17"/>
              </w:rPr>
            </w:pPr>
            <w:r w:rsidRPr="006B318F">
              <w:rPr>
                <w:rFonts w:eastAsia="Times New Roman" w:cs="Arial"/>
                <w:sz w:val="17"/>
                <w:szCs w:val="17"/>
              </w:rPr>
              <w:t xml:space="preserve">Investment in financial institutions shares </w:t>
            </w:r>
          </w:p>
        </w:tc>
        <w:tc>
          <w:tcPr>
            <w:tcW w:w="1135" w:type="dxa"/>
            <w:tcBorders>
              <w:top w:val="nil"/>
              <w:left w:val="nil"/>
              <w:bottom w:val="nil"/>
              <w:right w:val="nil"/>
            </w:tcBorders>
            <w:shd w:val="clear" w:color="auto" w:fill="auto"/>
            <w:vAlign w:val="bottom"/>
          </w:tcPr>
          <w:p w14:paraId="40C4C332" w14:textId="669789DB" w:rsidR="00490C12" w:rsidRPr="006B318F" w:rsidRDefault="00490C12" w:rsidP="00490C12">
            <w:pPr>
              <w:tabs>
                <w:tab w:val="right" w:pos="1202"/>
              </w:tabs>
              <w:spacing w:after="0" w:line="301" w:lineRule="exact"/>
              <w:jc w:val="right"/>
              <w:outlineLvl w:val="0"/>
              <w:rPr>
                <w:rFonts w:asciiTheme="minorHAnsi" w:eastAsia="Times New Roman" w:hAnsiTheme="minorHAnsi" w:cs="Arial"/>
                <w:sz w:val="17"/>
                <w:szCs w:val="17"/>
              </w:rPr>
            </w:pPr>
            <w:r w:rsidRPr="006B318F">
              <w:rPr>
                <w:rFonts w:asciiTheme="minorHAnsi" w:eastAsia="Times New Roman" w:hAnsiTheme="minorHAnsi" w:cs="Arial"/>
                <w:sz w:val="17"/>
                <w:szCs w:val="17"/>
              </w:rPr>
              <w:t>-</w:t>
            </w:r>
          </w:p>
        </w:tc>
        <w:tc>
          <w:tcPr>
            <w:tcW w:w="993" w:type="dxa"/>
            <w:tcBorders>
              <w:top w:val="nil"/>
              <w:left w:val="nil"/>
              <w:bottom w:val="nil"/>
              <w:right w:val="nil"/>
            </w:tcBorders>
            <w:shd w:val="clear" w:color="auto" w:fill="auto"/>
            <w:vAlign w:val="bottom"/>
          </w:tcPr>
          <w:p w14:paraId="57811A52" w14:textId="5E9088AC" w:rsidR="00490C12" w:rsidRPr="006B318F" w:rsidRDefault="00490C12" w:rsidP="00490C12">
            <w:pPr>
              <w:tabs>
                <w:tab w:val="right" w:pos="1202"/>
              </w:tabs>
              <w:spacing w:after="0" w:line="301" w:lineRule="exact"/>
              <w:jc w:val="right"/>
              <w:outlineLvl w:val="0"/>
              <w:rPr>
                <w:rFonts w:asciiTheme="minorHAnsi" w:eastAsia="Times New Roman" w:hAnsiTheme="minorHAnsi" w:cs="Arial"/>
                <w:sz w:val="17"/>
                <w:szCs w:val="17"/>
              </w:rPr>
            </w:pPr>
            <w:r w:rsidRPr="006B318F">
              <w:rPr>
                <w:rFonts w:asciiTheme="minorHAnsi" w:eastAsia="Times New Roman" w:hAnsiTheme="minorHAnsi" w:cs="Arial"/>
                <w:sz w:val="17"/>
                <w:szCs w:val="17"/>
              </w:rPr>
              <w:t>161</w:t>
            </w:r>
          </w:p>
        </w:tc>
        <w:tc>
          <w:tcPr>
            <w:tcW w:w="994" w:type="dxa"/>
            <w:tcBorders>
              <w:top w:val="nil"/>
              <w:left w:val="nil"/>
              <w:bottom w:val="nil"/>
              <w:right w:val="nil"/>
            </w:tcBorders>
            <w:shd w:val="clear" w:color="auto" w:fill="auto"/>
            <w:vAlign w:val="bottom"/>
          </w:tcPr>
          <w:p w14:paraId="0EDBAEBB" w14:textId="69D820D3" w:rsidR="00490C12" w:rsidRPr="006B318F" w:rsidRDefault="00490C12" w:rsidP="00490C12">
            <w:pPr>
              <w:tabs>
                <w:tab w:val="right" w:pos="1202"/>
              </w:tabs>
              <w:spacing w:after="0" w:line="301" w:lineRule="exact"/>
              <w:jc w:val="right"/>
              <w:outlineLvl w:val="0"/>
              <w:rPr>
                <w:rFonts w:asciiTheme="minorHAnsi" w:eastAsia="Times New Roman" w:hAnsiTheme="minorHAnsi" w:cs="Arial"/>
                <w:sz w:val="17"/>
                <w:szCs w:val="17"/>
              </w:rPr>
            </w:pPr>
            <w:r w:rsidRPr="006B318F">
              <w:rPr>
                <w:rFonts w:asciiTheme="minorHAnsi" w:eastAsia="Times New Roman" w:hAnsiTheme="minorHAnsi" w:cs="Arial"/>
                <w:sz w:val="17"/>
                <w:szCs w:val="17"/>
              </w:rPr>
              <w:t>-</w:t>
            </w:r>
          </w:p>
        </w:tc>
        <w:tc>
          <w:tcPr>
            <w:tcW w:w="1135" w:type="dxa"/>
            <w:tcBorders>
              <w:top w:val="nil"/>
              <w:left w:val="nil"/>
              <w:bottom w:val="nil"/>
              <w:right w:val="nil"/>
            </w:tcBorders>
            <w:shd w:val="clear" w:color="auto" w:fill="auto"/>
            <w:vAlign w:val="bottom"/>
          </w:tcPr>
          <w:p w14:paraId="1CCB07D7" w14:textId="77777777" w:rsidR="00490C12" w:rsidRPr="006B318F" w:rsidRDefault="00490C12" w:rsidP="00490C12">
            <w:pPr>
              <w:tabs>
                <w:tab w:val="right" w:pos="1202"/>
              </w:tabs>
              <w:spacing w:after="0" w:line="301" w:lineRule="exact"/>
              <w:jc w:val="right"/>
              <w:outlineLvl w:val="0"/>
              <w:rPr>
                <w:rFonts w:asciiTheme="minorHAnsi" w:eastAsia="Times New Roman" w:hAnsiTheme="minorHAnsi" w:cs="Arial"/>
                <w:sz w:val="17"/>
                <w:szCs w:val="17"/>
              </w:rPr>
            </w:pPr>
            <w:r w:rsidRPr="006B318F">
              <w:rPr>
                <w:rFonts w:asciiTheme="minorHAnsi" w:eastAsia="Times New Roman" w:hAnsiTheme="minorHAnsi" w:cs="Arial"/>
                <w:sz w:val="17"/>
                <w:szCs w:val="17"/>
              </w:rPr>
              <w:t>-</w:t>
            </w:r>
          </w:p>
        </w:tc>
        <w:tc>
          <w:tcPr>
            <w:tcW w:w="1135" w:type="dxa"/>
            <w:tcBorders>
              <w:top w:val="nil"/>
              <w:left w:val="nil"/>
              <w:bottom w:val="nil"/>
              <w:right w:val="nil"/>
            </w:tcBorders>
            <w:shd w:val="clear" w:color="auto" w:fill="auto"/>
            <w:vAlign w:val="bottom"/>
          </w:tcPr>
          <w:p w14:paraId="33F876A8" w14:textId="77777777" w:rsidR="00490C12" w:rsidRPr="006B318F" w:rsidRDefault="00490C12" w:rsidP="00490C12">
            <w:pPr>
              <w:tabs>
                <w:tab w:val="right" w:pos="1202"/>
              </w:tabs>
              <w:spacing w:after="0" w:line="301" w:lineRule="exact"/>
              <w:jc w:val="right"/>
              <w:outlineLvl w:val="0"/>
              <w:rPr>
                <w:rFonts w:asciiTheme="minorHAnsi" w:eastAsia="Times New Roman" w:hAnsiTheme="minorHAnsi" w:cs="Arial"/>
                <w:sz w:val="17"/>
                <w:szCs w:val="17"/>
              </w:rPr>
            </w:pPr>
            <w:r w:rsidRPr="006B318F">
              <w:rPr>
                <w:rFonts w:asciiTheme="minorHAnsi" w:eastAsia="Times New Roman" w:hAnsiTheme="minorHAnsi" w:cs="Arial"/>
                <w:sz w:val="17"/>
                <w:szCs w:val="17"/>
              </w:rPr>
              <w:t>161</w:t>
            </w:r>
          </w:p>
        </w:tc>
        <w:tc>
          <w:tcPr>
            <w:tcW w:w="995" w:type="dxa"/>
            <w:tcBorders>
              <w:top w:val="nil"/>
              <w:left w:val="nil"/>
              <w:bottom w:val="nil"/>
              <w:right w:val="nil"/>
            </w:tcBorders>
            <w:shd w:val="clear" w:color="auto" w:fill="auto"/>
            <w:vAlign w:val="bottom"/>
          </w:tcPr>
          <w:p w14:paraId="5DECE3AB" w14:textId="77777777" w:rsidR="00490C12" w:rsidRPr="006B318F" w:rsidRDefault="00490C12" w:rsidP="00490C12">
            <w:pPr>
              <w:tabs>
                <w:tab w:val="right" w:pos="1202"/>
              </w:tabs>
              <w:spacing w:after="0" w:line="301" w:lineRule="exact"/>
              <w:jc w:val="right"/>
              <w:outlineLvl w:val="0"/>
              <w:rPr>
                <w:rFonts w:asciiTheme="minorHAnsi" w:eastAsia="Times New Roman" w:hAnsiTheme="minorHAnsi" w:cs="Arial"/>
                <w:sz w:val="17"/>
                <w:szCs w:val="17"/>
              </w:rPr>
            </w:pPr>
            <w:r w:rsidRPr="006B318F">
              <w:rPr>
                <w:rFonts w:asciiTheme="minorHAnsi" w:eastAsia="Times New Roman" w:hAnsiTheme="minorHAnsi" w:cs="Arial"/>
                <w:sz w:val="17"/>
                <w:szCs w:val="17"/>
              </w:rPr>
              <w:t>-</w:t>
            </w:r>
          </w:p>
        </w:tc>
      </w:tr>
      <w:tr w:rsidR="00490C12" w:rsidRPr="00E26B60" w14:paraId="070D1FDA" w14:textId="77777777" w:rsidTr="006B318F">
        <w:trPr>
          <w:trHeight w:val="281"/>
          <w:jc w:val="center"/>
        </w:trPr>
        <w:tc>
          <w:tcPr>
            <w:tcW w:w="3550" w:type="dxa"/>
            <w:shd w:val="clear" w:color="auto" w:fill="auto"/>
            <w:vAlign w:val="bottom"/>
          </w:tcPr>
          <w:p w14:paraId="32C744B7" w14:textId="77777777" w:rsidR="00490C12" w:rsidRPr="006B318F" w:rsidRDefault="00490C12" w:rsidP="00490C12">
            <w:pPr>
              <w:tabs>
                <w:tab w:val="right" w:pos="1202"/>
              </w:tabs>
              <w:spacing w:after="0" w:line="240" w:lineRule="auto"/>
              <w:outlineLvl w:val="0"/>
              <w:rPr>
                <w:rFonts w:eastAsia="Times New Roman" w:cs="Arial"/>
                <w:sz w:val="17"/>
                <w:szCs w:val="17"/>
              </w:rPr>
            </w:pPr>
            <w:r w:rsidRPr="006B318F">
              <w:rPr>
                <w:rFonts w:eastAsia="Times New Roman" w:cs="Arial"/>
                <w:sz w:val="17"/>
                <w:szCs w:val="17"/>
              </w:rPr>
              <w:t>Shares of foreign financial institutions – EIF</w:t>
            </w:r>
          </w:p>
        </w:tc>
        <w:tc>
          <w:tcPr>
            <w:tcW w:w="1135" w:type="dxa"/>
            <w:tcBorders>
              <w:top w:val="nil"/>
              <w:left w:val="nil"/>
              <w:bottom w:val="nil"/>
              <w:right w:val="nil"/>
            </w:tcBorders>
            <w:shd w:val="clear" w:color="auto" w:fill="auto"/>
            <w:vAlign w:val="bottom"/>
          </w:tcPr>
          <w:p w14:paraId="21A3E8B7" w14:textId="23701F89" w:rsidR="00490C12" w:rsidRPr="006B318F" w:rsidRDefault="00490C12" w:rsidP="00490C12">
            <w:pPr>
              <w:tabs>
                <w:tab w:val="right" w:pos="1202"/>
              </w:tabs>
              <w:spacing w:after="0" w:line="301" w:lineRule="exact"/>
              <w:jc w:val="right"/>
              <w:outlineLvl w:val="0"/>
              <w:rPr>
                <w:rFonts w:asciiTheme="minorHAnsi" w:eastAsia="Times New Roman" w:hAnsiTheme="minorHAnsi" w:cs="Arial"/>
                <w:sz w:val="17"/>
                <w:szCs w:val="17"/>
              </w:rPr>
            </w:pPr>
            <w:r w:rsidRPr="006B318F">
              <w:rPr>
                <w:rFonts w:asciiTheme="minorHAnsi" w:eastAsia="Times New Roman" w:hAnsiTheme="minorHAnsi" w:cs="Arial"/>
                <w:sz w:val="17"/>
                <w:szCs w:val="17"/>
              </w:rPr>
              <w:t>-</w:t>
            </w:r>
          </w:p>
        </w:tc>
        <w:tc>
          <w:tcPr>
            <w:tcW w:w="993" w:type="dxa"/>
            <w:tcBorders>
              <w:top w:val="nil"/>
              <w:left w:val="nil"/>
              <w:bottom w:val="nil"/>
              <w:right w:val="nil"/>
            </w:tcBorders>
            <w:shd w:val="clear" w:color="auto" w:fill="auto"/>
            <w:vAlign w:val="bottom"/>
          </w:tcPr>
          <w:p w14:paraId="28236BDB" w14:textId="1F769F4A" w:rsidR="00490C12" w:rsidRPr="006B318F" w:rsidRDefault="00490C12" w:rsidP="00490C12">
            <w:pPr>
              <w:tabs>
                <w:tab w:val="right" w:pos="1202"/>
              </w:tabs>
              <w:spacing w:after="0" w:line="301" w:lineRule="exact"/>
              <w:jc w:val="right"/>
              <w:outlineLvl w:val="0"/>
              <w:rPr>
                <w:rFonts w:asciiTheme="minorHAnsi" w:eastAsia="Times New Roman" w:hAnsiTheme="minorHAnsi" w:cs="Arial"/>
                <w:sz w:val="17"/>
                <w:szCs w:val="17"/>
              </w:rPr>
            </w:pPr>
            <w:r w:rsidRPr="006B318F">
              <w:rPr>
                <w:rFonts w:asciiTheme="minorHAnsi" w:eastAsia="Times New Roman" w:hAnsiTheme="minorHAnsi" w:cs="Arial"/>
                <w:sz w:val="17"/>
                <w:szCs w:val="17"/>
              </w:rPr>
              <w:t>25,371</w:t>
            </w:r>
          </w:p>
        </w:tc>
        <w:tc>
          <w:tcPr>
            <w:tcW w:w="994" w:type="dxa"/>
            <w:tcBorders>
              <w:top w:val="nil"/>
              <w:left w:val="nil"/>
              <w:bottom w:val="nil"/>
              <w:right w:val="nil"/>
            </w:tcBorders>
            <w:shd w:val="clear" w:color="auto" w:fill="auto"/>
            <w:vAlign w:val="bottom"/>
          </w:tcPr>
          <w:p w14:paraId="71ED6CF3" w14:textId="24C9AF87" w:rsidR="00490C12" w:rsidRPr="006B318F" w:rsidRDefault="00490C12" w:rsidP="00490C12">
            <w:pPr>
              <w:tabs>
                <w:tab w:val="right" w:pos="1202"/>
              </w:tabs>
              <w:spacing w:after="0" w:line="301" w:lineRule="exact"/>
              <w:jc w:val="right"/>
              <w:outlineLvl w:val="0"/>
              <w:rPr>
                <w:rFonts w:asciiTheme="minorHAnsi" w:eastAsia="Times New Roman" w:hAnsiTheme="minorHAnsi" w:cs="Arial"/>
                <w:sz w:val="17"/>
                <w:szCs w:val="17"/>
              </w:rPr>
            </w:pPr>
            <w:r w:rsidRPr="006B318F">
              <w:rPr>
                <w:rFonts w:asciiTheme="minorHAnsi" w:eastAsia="Times New Roman" w:hAnsiTheme="minorHAnsi" w:cs="Arial"/>
                <w:sz w:val="17"/>
                <w:szCs w:val="17"/>
              </w:rPr>
              <w:t>-</w:t>
            </w:r>
          </w:p>
        </w:tc>
        <w:tc>
          <w:tcPr>
            <w:tcW w:w="1135" w:type="dxa"/>
            <w:tcBorders>
              <w:top w:val="nil"/>
              <w:left w:val="nil"/>
              <w:bottom w:val="nil"/>
              <w:right w:val="nil"/>
            </w:tcBorders>
            <w:shd w:val="clear" w:color="auto" w:fill="auto"/>
            <w:vAlign w:val="bottom"/>
          </w:tcPr>
          <w:p w14:paraId="3C798F8D" w14:textId="77777777" w:rsidR="00490C12" w:rsidRPr="006B318F" w:rsidRDefault="00490C12" w:rsidP="00490C12">
            <w:pPr>
              <w:tabs>
                <w:tab w:val="right" w:pos="1202"/>
              </w:tabs>
              <w:spacing w:after="0" w:line="301" w:lineRule="exact"/>
              <w:jc w:val="right"/>
              <w:outlineLvl w:val="0"/>
              <w:rPr>
                <w:rFonts w:asciiTheme="minorHAnsi" w:eastAsia="Times New Roman" w:hAnsiTheme="minorHAnsi" w:cs="Arial"/>
                <w:sz w:val="17"/>
                <w:szCs w:val="17"/>
              </w:rPr>
            </w:pPr>
            <w:r w:rsidRPr="006B318F">
              <w:rPr>
                <w:rFonts w:asciiTheme="minorHAnsi" w:eastAsia="Times New Roman" w:hAnsiTheme="minorHAnsi" w:cs="Arial"/>
                <w:sz w:val="17"/>
                <w:szCs w:val="17"/>
              </w:rPr>
              <w:t>-</w:t>
            </w:r>
          </w:p>
        </w:tc>
        <w:tc>
          <w:tcPr>
            <w:tcW w:w="1135" w:type="dxa"/>
            <w:tcBorders>
              <w:top w:val="nil"/>
              <w:left w:val="nil"/>
              <w:bottom w:val="nil"/>
              <w:right w:val="nil"/>
            </w:tcBorders>
            <w:shd w:val="clear" w:color="auto" w:fill="auto"/>
            <w:vAlign w:val="bottom"/>
          </w:tcPr>
          <w:p w14:paraId="1E84F602" w14:textId="77777777" w:rsidR="00490C12" w:rsidRPr="006B318F" w:rsidRDefault="00490C12" w:rsidP="00490C12">
            <w:pPr>
              <w:tabs>
                <w:tab w:val="right" w:pos="1202"/>
              </w:tabs>
              <w:spacing w:after="0" w:line="301" w:lineRule="exact"/>
              <w:jc w:val="right"/>
              <w:outlineLvl w:val="0"/>
              <w:rPr>
                <w:rFonts w:asciiTheme="minorHAnsi" w:eastAsia="Times New Roman" w:hAnsiTheme="minorHAnsi" w:cs="Arial"/>
                <w:sz w:val="17"/>
                <w:szCs w:val="17"/>
              </w:rPr>
            </w:pPr>
            <w:r w:rsidRPr="006B318F">
              <w:rPr>
                <w:rFonts w:asciiTheme="minorHAnsi" w:eastAsia="Times New Roman" w:hAnsiTheme="minorHAnsi" w:cs="Arial"/>
                <w:sz w:val="17"/>
                <w:szCs w:val="17"/>
              </w:rPr>
              <w:t>25,815</w:t>
            </w:r>
          </w:p>
        </w:tc>
        <w:tc>
          <w:tcPr>
            <w:tcW w:w="995" w:type="dxa"/>
            <w:tcBorders>
              <w:top w:val="nil"/>
              <w:left w:val="nil"/>
              <w:bottom w:val="nil"/>
              <w:right w:val="nil"/>
            </w:tcBorders>
            <w:shd w:val="clear" w:color="auto" w:fill="auto"/>
            <w:vAlign w:val="bottom"/>
          </w:tcPr>
          <w:p w14:paraId="6DDE5FC6" w14:textId="77777777" w:rsidR="00490C12" w:rsidRPr="006B318F" w:rsidRDefault="00490C12" w:rsidP="00490C12">
            <w:pPr>
              <w:tabs>
                <w:tab w:val="right" w:pos="1202"/>
              </w:tabs>
              <w:spacing w:after="0" w:line="301" w:lineRule="exact"/>
              <w:jc w:val="right"/>
              <w:outlineLvl w:val="0"/>
              <w:rPr>
                <w:rFonts w:asciiTheme="minorHAnsi" w:eastAsia="Times New Roman" w:hAnsiTheme="minorHAnsi" w:cs="Arial"/>
                <w:sz w:val="17"/>
                <w:szCs w:val="17"/>
              </w:rPr>
            </w:pPr>
            <w:r w:rsidRPr="006B318F">
              <w:rPr>
                <w:rFonts w:asciiTheme="minorHAnsi" w:eastAsia="Times New Roman" w:hAnsiTheme="minorHAnsi" w:cs="Arial"/>
                <w:sz w:val="17"/>
                <w:szCs w:val="17"/>
              </w:rPr>
              <w:t>-</w:t>
            </w:r>
          </w:p>
        </w:tc>
      </w:tr>
      <w:tr w:rsidR="00490C12" w:rsidRPr="00E26B60" w14:paraId="5EF4A6F9" w14:textId="77777777" w:rsidTr="006B318F">
        <w:trPr>
          <w:trHeight w:val="265"/>
          <w:jc w:val="center"/>
        </w:trPr>
        <w:tc>
          <w:tcPr>
            <w:tcW w:w="3550" w:type="dxa"/>
            <w:shd w:val="clear" w:color="auto" w:fill="auto"/>
            <w:vAlign w:val="bottom"/>
          </w:tcPr>
          <w:p w14:paraId="1D8B977C" w14:textId="77777777" w:rsidR="00490C12" w:rsidRPr="006B318F" w:rsidRDefault="00490C12" w:rsidP="00490C12">
            <w:pPr>
              <w:tabs>
                <w:tab w:val="right" w:pos="1202"/>
              </w:tabs>
              <w:spacing w:after="0" w:line="240" w:lineRule="auto"/>
              <w:outlineLvl w:val="0"/>
              <w:rPr>
                <w:rFonts w:eastAsia="Times New Roman" w:cs="Arial"/>
                <w:spacing w:val="-2"/>
                <w:sz w:val="17"/>
                <w:szCs w:val="17"/>
              </w:rPr>
            </w:pPr>
            <w:r w:rsidRPr="006B318F">
              <w:rPr>
                <w:rFonts w:eastAsia="Times New Roman" w:cs="Arial"/>
                <w:spacing w:val="-2"/>
                <w:sz w:val="17"/>
                <w:szCs w:val="17"/>
              </w:rPr>
              <w:t xml:space="preserve">Corporate shares </w:t>
            </w:r>
          </w:p>
        </w:tc>
        <w:tc>
          <w:tcPr>
            <w:tcW w:w="1135" w:type="dxa"/>
            <w:tcBorders>
              <w:top w:val="nil"/>
              <w:left w:val="nil"/>
              <w:bottom w:val="nil"/>
              <w:right w:val="nil"/>
            </w:tcBorders>
            <w:shd w:val="clear" w:color="auto" w:fill="auto"/>
            <w:vAlign w:val="bottom"/>
          </w:tcPr>
          <w:p w14:paraId="0F3F26BF" w14:textId="685F991E" w:rsidR="00490C12" w:rsidRPr="006B318F" w:rsidRDefault="00490C12" w:rsidP="00490C12">
            <w:pPr>
              <w:tabs>
                <w:tab w:val="right" w:pos="1202"/>
              </w:tabs>
              <w:spacing w:after="0" w:line="301" w:lineRule="exact"/>
              <w:jc w:val="right"/>
              <w:outlineLvl w:val="0"/>
              <w:rPr>
                <w:rFonts w:asciiTheme="minorHAnsi" w:eastAsia="Times New Roman" w:hAnsiTheme="minorHAnsi" w:cs="Arial"/>
                <w:sz w:val="17"/>
                <w:szCs w:val="17"/>
              </w:rPr>
            </w:pPr>
            <w:r w:rsidRPr="006B318F">
              <w:rPr>
                <w:rFonts w:asciiTheme="minorHAnsi" w:eastAsia="Times New Roman" w:hAnsiTheme="minorHAnsi" w:cs="Arial"/>
                <w:sz w:val="17"/>
                <w:szCs w:val="17"/>
              </w:rPr>
              <w:t>-</w:t>
            </w:r>
          </w:p>
        </w:tc>
        <w:tc>
          <w:tcPr>
            <w:tcW w:w="993" w:type="dxa"/>
            <w:tcBorders>
              <w:top w:val="nil"/>
              <w:left w:val="nil"/>
              <w:bottom w:val="nil"/>
              <w:right w:val="nil"/>
            </w:tcBorders>
            <w:shd w:val="clear" w:color="auto" w:fill="auto"/>
            <w:vAlign w:val="bottom"/>
          </w:tcPr>
          <w:p w14:paraId="04BE37CB" w14:textId="36821440" w:rsidR="00490C12" w:rsidRPr="006B318F" w:rsidRDefault="00490C12" w:rsidP="00490C12">
            <w:pPr>
              <w:tabs>
                <w:tab w:val="right" w:pos="1202"/>
              </w:tabs>
              <w:spacing w:after="0" w:line="301" w:lineRule="exact"/>
              <w:jc w:val="right"/>
              <w:outlineLvl w:val="0"/>
              <w:rPr>
                <w:rFonts w:asciiTheme="minorHAnsi" w:eastAsia="Times New Roman" w:hAnsiTheme="minorHAnsi" w:cs="Arial"/>
                <w:sz w:val="17"/>
                <w:szCs w:val="17"/>
              </w:rPr>
            </w:pPr>
            <w:r w:rsidRPr="006B318F">
              <w:rPr>
                <w:rFonts w:asciiTheme="minorHAnsi" w:eastAsia="Times New Roman" w:hAnsiTheme="minorHAnsi" w:cs="Arial"/>
                <w:sz w:val="17"/>
                <w:szCs w:val="17"/>
              </w:rPr>
              <w:t>-</w:t>
            </w:r>
          </w:p>
        </w:tc>
        <w:tc>
          <w:tcPr>
            <w:tcW w:w="994" w:type="dxa"/>
            <w:tcBorders>
              <w:top w:val="nil"/>
              <w:left w:val="nil"/>
              <w:bottom w:val="nil"/>
              <w:right w:val="nil"/>
            </w:tcBorders>
            <w:shd w:val="clear" w:color="auto" w:fill="auto"/>
            <w:vAlign w:val="bottom"/>
          </w:tcPr>
          <w:p w14:paraId="106F2863" w14:textId="374FBADC" w:rsidR="00490C12" w:rsidRPr="006B318F" w:rsidRDefault="00490C12" w:rsidP="00490C12">
            <w:pPr>
              <w:tabs>
                <w:tab w:val="right" w:pos="1202"/>
              </w:tabs>
              <w:spacing w:after="0" w:line="301" w:lineRule="exact"/>
              <w:jc w:val="right"/>
              <w:outlineLvl w:val="0"/>
              <w:rPr>
                <w:rFonts w:asciiTheme="minorHAnsi" w:eastAsia="Times New Roman" w:hAnsiTheme="minorHAnsi" w:cs="Arial"/>
                <w:sz w:val="17"/>
                <w:szCs w:val="17"/>
              </w:rPr>
            </w:pPr>
            <w:r w:rsidRPr="006B318F">
              <w:rPr>
                <w:rFonts w:asciiTheme="minorHAnsi" w:eastAsia="Times New Roman" w:hAnsiTheme="minorHAnsi" w:cs="Arial"/>
                <w:sz w:val="17"/>
                <w:szCs w:val="17"/>
              </w:rPr>
              <w:t>-</w:t>
            </w:r>
          </w:p>
        </w:tc>
        <w:tc>
          <w:tcPr>
            <w:tcW w:w="1135" w:type="dxa"/>
            <w:tcBorders>
              <w:top w:val="nil"/>
              <w:left w:val="nil"/>
              <w:bottom w:val="nil"/>
              <w:right w:val="nil"/>
            </w:tcBorders>
            <w:shd w:val="clear" w:color="auto" w:fill="auto"/>
            <w:vAlign w:val="bottom"/>
          </w:tcPr>
          <w:p w14:paraId="136D15F0" w14:textId="77777777" w:rsidR="00490C12" w:rsidRPr="006B318F" w:rsidRDefault="00490C12" w:rsidP="00490C12">
            <w:pPr>
              <w:tabs>
                <w:tab w:val="right" w:pos="1202"/>
              </w:tabs>
              <w:spacing w:after="0" w:line="301" w:lineRule="exact"/>
              <w:jc w:val="right"/>
              <w:outlineLvl w:val="0"/>
              <w:rPr>
                <w:rFonts w:asciiTheme="minorHAnsi" w:eastAsia="Times New Roman" w:hAnsiTheme="minorHAnsi" w:cs="Arial"/>
                <w:sz w:val="17"/>
                <w:szCs w:val="17"/>
              </w:rPr>
            </w:pPr>
            <w:r w:rsidRPr="006B318F">
              <w:rPr>
                <w:rFonts w:asciiTheme="minorHAnsi" w:eastAsia="Times New Roman" w:hAnsiTheme="minorHAnsi" w:cs="Arial"/>
                <w:sz w:val="17"/>
                <w:szCs w:val="17"/>
              </w:rPr>
              <w:t>-</w:t>
            </w:r>
          </w:p>
        </w:tc>
        <w:tc>
          <w:tcPr>
            <w:tcW w:w="1135" w:type="dxa"/>
            <w:tcBorders>
              <w:top w:val="nil"/>
              <w:left w:val="nil"/>
              <w:bottom w:val="nil"/>
              <w:right w:val="nil"/>
            </w:tcBorders>
            <w:shd w:val="clear" w:color="auto" w:fill="auto"/>
            <w:vAlign w:val="bottom"/>
          </w:tcPr>
          <w:p w14:paraId="5AEF65F6" w14:textId="77777777" w:rsidR="00490C12" w:rsidRPr="006B318F" w:rsidRDefault="00490C12" w:rsidP="00490C12">
            <w:pPr>
              <w:tabs>
                <w:tab w:val="right" w:pos="1202"/>
              </w:tabs>
              <w:spacing w:after="0" w:line="301" w:lineRule="exact"/>
              <w:jc w:val="right"/>
              <w:outlineLvl w:val="0"/>
              <w:rPr>
                <w:rFonts w:asciiTheme="minorHAnsi" w:eastAsia="Times New Roman" w:hAnsiTheme="minorHAnsi" w:cs="Arial"/>
                <w:sz w:val="17"/>
                <w:szCs w:val="17"/>
              </w:rPr>
            </w:pPr>
            <w:r w:rsidRPr="006B318F">
              <w:rPr>
                <w:rFonts w:asciiTheme="minorHAnsi" w:eastAsia="Times New Roman" w:hAnsiTheme="minorHAnsi" w:cs="Arial"/>
                <w:sz w:val="17"/>
                <w:szCs w:val="17"/>
              </w:rPr>
              <w:t>-</w:t>
            </w:r>
          </w:p>
        </w:tc>
        <w:tc>
          <w:tcPr>
            <w:tcW w:w="995" w:type="dxa"/>
            <w:tcBorders>
              <w:top w:val="nil"/>
              <w:left w:val="nil"/>
              <w:bottom w:val="nil"/>
              <w:right w:val="nil"/>
            </w:tcBorders>
            <w:shd w:val="clear" w:color="auto" w:fill="auto"/>
            <w:vAlign w:val="bottom"/>
          </w:tcPr>
          <w:p w14:paraId="2D277D0A" w14:textId="77777777" w:rsidR="00490C12" w:rsidRPr="006B318F" w:rsidRDefault="00490C12" w:rsidP="00490C12">
            <w:pPr>
              <w:tabs>
                <w:tab w:val="right" w:pos="1202"/>
              </w:tabs>
              <w:spacing w:after="0" w:line="301" w:lineRule="exact"/>
              <w:jc w:val="right"/>
              <w:outlineLvl w:val="0"/>
              <w:rPr>
                <w:rFonts w:asciiTheme="minorHAnsi" w:eastAsia="Times New Roman" w:hAnsiTheme="minorHAnsi" w:cs="Arial"/>
                <w:sz w:val="17"/>
                <w:szCs w:val="17"/>
              </w:rPr>
            </w:pPr>
            <w:r w:rsidRPr="006B318F">
              <w:rPr>
                <w:rFonts w:asciiTheme="minorHAnsi" w:eastAsia="Times New Roman" w:hAnsiTheme="minorHAnsi" w:cs="Arial"/>
                <w:sz w:val="17"/>
                <w:szCs w:val="17"/>
              </w:rPr>
              <w:t>-</w:t>
            </w:r>
          </w:p>
        </w:tc>
      </w:tr>
      <w:tr w:rsidR="00490C12" w:rsidRPr="00E26B60" w14:paraId="06939217" w14:textId="77777777" w:rsidTr="006B318F">
        <w:trPr>
          <w:trHeight w:val="265"/>
          <w:jc w:val="center"/>
        </w:trPr>
        <w:tc>
          <w:tcPr>
            <w:tcW w:w="3550" w:type="dxa"/>
            <w:shd w:val="clear" w:color="auto" w:fill="auto"/>
            <w:vAlign w:val="bottom"/>
          </w:tcPr>
          <w:p w14:paraId="6AB67D17" w14:textId="77777777" w:rsidR="00490C12" w:rsidRPr="006B318F" w:rsidRDefault="00490C12" w:rsidP="00490C12">
            <w:pPr>
              <w:tabs>
                <w:tab w:val="right" w:pos="1202"/>
              </w:tabs>
              <w:spacing w:after="0" w:line="240" w:lineRule="auto"/>
              <w:outlineLvl w:val="0"/>
              <w:rPr>
                <w:rFonts w:eastAsia="Times New Roman" w:cs="Arial"/>
                <w:b/>
                <w:sz w:val="17"/>
                <w:szCs w:val="17"/>
              </w:rPr>
            </w:pPr>
            <w:r w:rsidRPr="006B318F">
              <w:rPr>
                <w:rFonts w:eastAsia="Times New Roman" w:cs="Arial"/>
                <w:b/>
                <w:sz w:val="17"/>
                <w:szCs w:val="17"/>
              </w:rPr>
              <w:t xml:space="preserve">Total equity instruments </w:t>
            </w:r>
          </w:p>
        </w:tc>
        <w:tc>
          <w:tcPr>
            <w:tcW w:w="1135" w:type="dxa"/>
            <w:tcBorders>
              <w:top w:val="single" w:sz="4" w:space="0" w:color="auto"/>
              <w:left w:val="nil"/>
              <w:bottom w:val="single" w:sz="8" w:space="0" w:color="auto"/>
              <w:right w:val="nil"/>
            </w:tcBorders>
            <w:shd w:val="clear" w:color="auto" w:fill="auto"/>
            <w:vAlign w:val="bottom"/>
          </w:tcPr>
          <w:p w14:paraId="75E9C500" w14:textId="08C05B13" w:rsidR="00490C12" w:rsidRPr="006B318F" w:rsidRDefault="00490C12" w:rsidP="00490C12">
            <w:pPr>
              <w:tabs>
                <w:tab w:val="right" w:pos="1202"/>
              </w:tabs>
              <w:spacing w:after="0" w:line="301" w:lineRule="exact"/>
              <w:jc w:val="right"/>
              <w:outlineLvl w:val="0"/>
              <w:rPr>
                <w:rFonts w:eastAsia="Times New Roman"/>
                <w:b/>
                <w:bCs/>
                <w:color w:val="000000"/>
                <w:sz w:val="17"/>
                <w:szCs w:val="17"/>
                <w:lang w:val="en-US"/>
              </w:rPr>
            </w:pPr>
            <w:r w:rsidRPr="006B318F">
              <w:rPr>
                <w:rFonts w:eastAsia="Times New Roman"/>
                <w:b/>
                <w:bCs/>
                <w:color w:val="000000"/>
                <w:sz w:val="17"/>
                <w:szCs w:val="17"/>
                <w:lang w:val="en-US"/>
              </w:rPr>
              <w:t>16,805</w:t>
            </w:r>
          </w:p>
        </w:tc>
        <w:tc>
          <w:tcPr>
            <w:tcW w:w="993" w:type="dxa"/>
            <w:tcBorders>
              <w:top w:val="single" w:sz="4" w:space="0" w:color="auto"/>
              <w:left w:val="nil"/>
              <w:bottom w:val="single" w:sz="8" w:space="0" w:color="auto"/>
              <w:right w:val="nil"/>
            </w:tcBorders>
            <w:shd w:val="clear" w:color="auto" w:fill="auto"/>
            <w:vAlign w:val="bottom"/>
          </w:tcPr>
          <w:p w14:paraId="2437958D" w14:textId="56729083" w:rsidR="00490C12" w:rsidRPr="006B318F" w:rsidRDefault="00490C12" w:rsidP="00490C12">
            <w:pPr>
              <w:tabs>
                <w:tab w:val="right" w:pos="1202"/>
              </w:tabs>
              <w:spacing w:after="0" w:line="301" w:lineRule="exact"/>
              <w:jc w:val="right"/>
              <w:outlineLvl w:val="0"/>
              <w:rPr>
                <w:rFonts w:eastAsia="Times New Roman"/>
                <w:b/>
                <w:bCs/>
                <w:color w:val="000000"/>
                <w:sz w:val="17"/>
                <w:szCs w:val="17"/>
                <w:lang w:val="en-US"/>
              </w:rPr>
            </w:pPr>
            <w:r w:rsidRPr="006B318F">
              <w:rPr>
                <w:rFonts w:eastAsia="Times New Roman"/>
                <w:b/>
                <w:bCs/>
                <w:color w:val="000000"/>
                <w:sz w:val="17"/>
                <w:szCs w:val="17"/>
                <w:lang w:val="en-US"/>
              </w:rPr>
              <w:t>25,567</w:t>
            </w:r>
          </w:p>
        </w:tc>
        <w:tc>
          <w:tcPr>
            <w:tcW w:w="994" w:type="dxa"/>
            <w:tcBorders>
              <w:top w:val="single" w:sz="4" w:space="0" w:color="auto"/>
              <w:left w:val="nil"/>
              <w:bottom w:val="single" w:sz="8" w:space="0" w:color="auto"/>
              <w:right w:val="nil"/>
            </w:tcBorders>
            <w:shd w:val="clear" w:color="auto" w:fill="auto"/>
            <w:vAlign w:val="bottom"/>
          </w:tcPr>
          <w:p w14:paraId="03710224" w14:textId="2FD3F5B7" w:rsidR="00490C12" w:rsidRPr="006B318F" w:rsidRDefault="00490C12" w:rsidP="00490C12">
            <w:pPr>
              <w:tabs>
                <w:tab w:val="right" w:pos="1202"/>
              </w:tabs>
              <w:spacing w:after="0" w:line="301" w:lineRule="exact"/>
              <w:jc w:val="right"/>
              <w:outlineLvl w:val="0"/>
              <w:rPr>
                <w:rFonts w:eastAsia="Times New Roman"/>
                <w:b/>
                <w:bCs/>
                <w:color w:val="000000"/>
                <w:sz w:val="17"/>
                <w:szCs w:val="17"/>
                <w:lang w:val="en-US"/>
              </w:rPr>
            </w:pPr>
            <w:r w:rsidRPr="006B318F">
              <w:rPr>
                <w:rFonts w:eastAsia="Times New Roman"/>
                <w:b/>
                <w:bCs/>
                <w:color w:val="000000"/>
                <w:sz w:val="17"/>
                <w:szCs w:val="17"/>
                <w:lang w:val="en-US"/>
              </w:rPr>
              <w:t>-</w:t>
            </w:r>
          </w:p>
        </w:tc>
        <w:tc>
          <w:tcPr>
            <w:tcW w:w="1135" w:type="dxa"/>
            <w:tcBorders>
              <w:top w:val="single" w:sz="4" w:space="0" w:color="auto"/>
              <w:left w:val="nil"/>
              <w:bottom w:val="single" w:sz="8" w:space="0" w:color="auto"/>
              <w:right w:val="nil"/>
            </w:tcBorders>
            <w:shd w:val="clear" w:color="auto" w:fill="auto"/>
            <w:vAlign w:val="bottom"/>
          </w:tcPr>
          <w:p w14:paraId="216BD03C" w14:textId="77777777" w:rsidR="00490C12" w:rsidRPr="006B318F" w:rsidRDefault="00490C12" w:rsidP="00490C12">
            <w:pPr>
              <w:tabs>
                <w:tab w:val="right" w:pos="1202"/>
              </w:tabs>
              <w:spacing w:after="0" w:line="301" w:lineRule="exact"/>
              <w:jc w:val="right"/>
              <w:outlineLvl w:val="0"/>
              <w:rPr>
                <w:rFonts w:asciiTheme="minorHAnsi" w:eastAsia="Times New Roman" w:hAnsiTheme="minorHAnsi" w:cs="Arial"/>
                <w:b/>
                <w:sz w:val="17"/>
                <w:szCs w:val="17"/>
              </w:rPr>
            </w:pPr>
            <w:r w:rsidRPr="006B318F">
              <w:rPr>
                <w:rFonts w:eastAsia="Times New Roman"/>
                <w:b/>
                <w:bCs/>
                <w:color w:val="000000"/>
                <w:sz w:val="17"/>
                <w:szCs w:val="17"/>
                <w:lang w:val="en-US"/>
              </w:rPr>
              <w:t>10,938</w:t>
            </w:r>
          </w:p>
        </w:tc>
        <w:tc>
          <w:tcPr>
            <w:tcW w:w="1135" w:type="dxa"/>
            <w:tcBorders>
              <w:top w:val="single" w:sz="4" w:space="0" w:color="auto"/>
              <w:left w:val="nil"/>
              <w:bottom w:val="single" w:sz="8" w:space="0" w:color="auto"/>
              <w:right w:val="nil"/>
            </w:tcBorders>
            <w:shd w:val="clear" w:color="auto" w:fill="auto"/>
            <w:vAlign w:val="bottom"/>
          </w:tcPr>
          <w:p w14:paraId="40204744" w14:textId="77777777" w:rsidR="00490C12" w:rsidRPr="006B318F" w:rsidRDefault="00490C12" w:rsidP="00490C12">
            <w:pPr>
              <w:tabs>
                <w:tab w:val="right" w:pos="1202"/>
              </w:tabs>
              <w:spacing w:after="0" w:line="301" w:lineRule="exact"/>
              <w:jc w:val="right"/>
              <w:outlineLvl w:val="0"/>
              <w:rPr>
                <w:rFonts w:asciiTheme="minorHAnsi" w:eastAsia="Times New Roman" w:hAnsiTheme="minorHAnsi" w:cs="Arial"/>
                <w:b/>
                <w:sz w:val="17"/>
                <w:szCs w:val="17"/>
              </w:rPr>
            </w:pPr>
            <w:r w:rsidRPr="006B318F">
              <w:rPr>
                <w:rFonts w:eastAsia="Times New Roman"/>
                <w:b/>
                <w:bCs/>
                <w:color w:val="000000"/>
                <w:sz w:val="17"/>
                <w:szCs w:val="17"/>
                <w:lang w:val="en-US"/>
              </w:rPr>
              <w:t>26,008</w:t>
            </w:r>
          </w:p>
        </w:tc>
        <w:tc>
          <w:tcPr>
            <w:tcW w:w="995" w:type="dxa"/>
            <w:tcBorders>
              <w:top w:val="single" w:sz="4" w:space="0" w:color="auto"/>
              <w:left w:val="nil"/>
              <w:bottom w:val="single" w:sz="8" w:space="0" w:color="auto"/>
              <w:right w:val="nil"/>
            </w:tcBorders>
            <w:shd w:val="clear" w:color="auto" w:fill="auto"/>
            <w:vAlign w:val="bottom"/>
          </w:tcPr>
          <w:p w14:paraId="315AE1C2" w14:textId="77777777" w:rsidR="00490C12" w:rsidRPr="006B318F" w:rsidRDefault="00490C12" w:rsidP="00490C12">
            <w:pPr>
              <w:tabs>
                <w:tab w:val="right" w:pos="1202"/>
              </w:tabs>
              <w:spacing w:after="0" w:line="301" w:lineRule="exact"/>
              <w:jc w:val="right"/>
              <w:outlineLvl w:val="0"/>
              <w:rPr>
                <w:rFonts w:asciiTheme="minorHAnsi" w:eastAsia="Times New Roman" w:hAnsiTheme="minorHAnsi" w:cs="Arial"/>
                <w:b/>
                <w:sz w:val="17"/>
                <w:szCs w:val="17"/>
              </w:rPr>
            </w:pPr>
            <w:r w:rsidRPr="006B318F">
              <w:rPr>
                <w:rFonts w:asciiTheme="minorHAnsi" w:eastAsia="Times New Roman" w:hAnsiTheme="minorHAnsi" w:cs="Arial"/>
                <w:b/>
                <w:sz w:val="17"/>
                <w:szCs w:val="17"/>
              </w:rPr>
              <w:t>-</w:t>
            </w:r>
          </w:p>
        </w:tc>
      </w:tr>
      <w:tr w:rsidR="009734A1" w:rsidRPr="00E26B60" w14:paraId="536F530A" w14:textId="77777777" w:rsidTr="00166751">
        <w:trPr>
          <w:trHeight w:hRule="exact" w:val="113"/>
          <w:jc w:val="center"/>
        </w:trPr>
        <w:tc>
          <w:tcPr>
            <w:tcW w:w="3550" w:type="dxa"/>
            <w:shd w:val="clear" w:color="auto" w:fill="auto"/>
            <w:vAlign w:val="bottom"/>
          </w:tcPr>
          <w:p w14:paraId="66584230" w14:textId="77777777" w:rsidR="009734A1" w:rsidRPr="006B318F" w:rsidRDefault="009734A1" w:rsidP="009734A1">
            <w:pPr>
              <w:tabs>
                <w:tab w:val="right" w:pos="1202"/>
              </w:tabs>
              <w:spacing w:after="0" w:line="240" w:lineRule="auto"/>
              <w:outlineLvl w:val="0"/>
              <w:rPr>
                <w:rFonts w:eastAsia="Times New Roman" w:cs="Arial"/>
                <w:b/>
                <w:sz w:val="17"/>
                <w:szCs w:val="17"/>
              </w:rPr>
            </w:pPr>
          </w:p>
        </w:tc>
        <w:tc>
          <w:tcPr>
            <w:tcW w:w="1135" w:type="dxa"/>
            <w:tcBorders>
              <w:top w:val="single" w:sz="12" w:space="0" w:color="auto"/>
            </w:tcBorders>
            <w:vAlign w:val="bottom"/>
          </w:tcPr>
          <w:p w14:paraId="62F0105D" w14:textId="77777777" w:rsidR="009734A1" w:rsidRPr="006B318F" w:rsidRDefault="009734A1" w:rsidP="009734A1">
            <w:pPr>
              <w:tabs>
                <w:tab w:val="right" w:pos="1202"/>
              </w:tabs>
              <w:spacing w:after="0" w:line="240" w:lineRule="auto"/>
              <w:jc w:val="right"/>
              <w:outlineLvl w:val="0"/>
              <w:rPr>
                <w:rFonts w:asciiTheme="minorHAnsi" w:eastAsia="Times New Roman" w:hAnsiTheme="minorHAnsi" w:cs="Arial"/>
                <w:b/>
                <w:sz w:val="17"/>
                <w:szCs w:val="17"/>
              </w:rPr>
            </w:pPr>
          </w:p>
        </w:tc>
        <w:tc>
          <w:tcPr>
            <w:tcW w:w="993" w:type="dxa"/>
            <w:tcBorders>
              <w:top w:val="single" w:sz="12" w:space="0" w:color="auto"/>
            </w:tcBorders>
            <w:vAlign w:val="bottom"/>
          </w:tcPr>
          <w:p w14:paraId="2EB0B353" w14:textId="77777777" w:rsidR="009734A1" w:rsidRPr="006B318F" w:rsidRDefault="009734A1" w:rsidP="009734A1">
            <w:pPr>
              <w:tabs>
                <w:tab w:val="right" w:pos="1202"/>
              </w:tabs>
              <w:spacing w:after="0" w:line="240" w:lineRule="auto"/>
              <w:jc w:val="right"/>
              <w:outlineLvl w:val="0"/>
              <w:rPr>
                <w:rFonts w:asciiTheme="minorHAnsi" w:eastAsia="Times New Roman" w:hAnsiTheme="minorHAnsi" w:cs="Arial"/>
                <w:b/>
                <w:sz w:val="17"/>
                <w:szCs w:val="17"/>
              </w:rPr>
            </w:pPr>
            <w:r w:rsidRPr="00E26B60">
              <w:rPr>
                <w:rFonts w:cs="Arial"/>
                <w:sz w:val="17"/>
                <w:szCs w:val="17"/>
              </w:rPr>
              <w:t>-</w:t>
            </w:r>
          </w:p>
        </w:tc>
        <w:tc>
          <w:tcPr>
            <w:tcW w:w="994" w:type="dxa"/>
            <w:tcBorders>
              <w:top w:val="single" w:sz="12" w:space="0" w:color="auto"/>
            </w:tcBorders>
            <w:vAlign w:val="bottom"/>
          </w:tcPr>
          <w:p w14:paraId="4BDC5470" w14:textId="77777777" w:rsidR="009734A1" w:rsidRPr="006B318F" w:rsidRDefault="009734A1" w:rsidP="009734A1">
            <w:pPr>
              <w:tabs>
                <w:tab w:val="right" w:pos="1202"/>
              </w:tabs>
              <w:spacing w:after="0" w:line="240" w:lineRule="auto"/>
              <w:jc w:val="right"/>
              <w:outlineLvl w:val="0"/>
              <w:rPr>
                <w:rFonts w:asciiTheme="minorHAnsi" w:eastAsia="Times New Roman" w:hAnsiTheme="minorHAnsi" w:cs="Arial"/>
                <w:b/>
                <w:sz w:val="17"/>
                <w:szCs w:val="17"/>
              </w:rPr>
            </w:pPr>
            <w:r w:rsidRPr="00E26B60">
              <w:rPr>
                <w:rFonts w:cs="Arial"/>
                <w:sz w:val="17"/>
                <w:szCs w:val="17"/>
              </w:rPr>
              <w:t>-</w:t>
            </w:r>
          </w:p>
        </w:tc>
        <w:tc>
          <w:tcPr>
            <w:tcW w:w="1135" w:type="dxa"/>
            <w:tcBorders>
              <w:top w:val="single" w:sz="12" w:space="0" w:color="auto"/>
            </w:tcBorders>
            <w:vAlign w:val="bottom"/>
          </w:tcPr>
          <w:p w14:paraId="5EA02BFF" w14:textId="77777777" w:rsidR="009734A1" w:rsidRPr="006B318F" w:rsidRDefault="009734A1" w:rsidP="009734A1">
            <w:pPr>
              <w:tabs>
                <w:tab w:val="right" w:pos="1202"/>
              </w:tabs>
              <w:spacing w:after="0" w:line="240" w:lineRule="auto"/>
              <w:jc w:val="right"/>
              <w:outlineLvl w:val="0"/>
              <w:rPr>
                <w:rFonts w:asciiTheme="minorHAnsi" w:eastAsia="Times New Roman" w:hAnsiTheme="minorHAnsi" w:cs="Arial"/>
                <w:b/>
                <w:sz w:val="17"/>
                <w:szCs w:val="17"/>
              </w:rPr>
            </w:pPr>
          </w:p>
        </w:tc>
        <w:tc>
          <w:tcPr>
            <w:tcW w:w="1135" w:type="dxa"/>
            <w:tcBorders>
              <w:top w:val="single" w:sz="12" w:space="0" w:color="auto"/>
            </w:tcBorders>
            <w:vAlign w:val="bottom"/>
          </w:tcPr>
          <w:p w14:paraId="41C4B146" w14:textId="77777777" w:rsidR="009734A1" w:rsidRPr="006B318F" w:rsidRDefault="009734A1" w:rsidP="009734A1">
            <w:pPr>
              <w:tabs>
                <w:tab w:val="right" w:pos="1202"/>
              </w:tabs>
              <w:spacing w:after="0" w:line="240" w:lineRule="auto"/>
              <w:jc w:val="right"/>
              <w:outlineLvl w:val="0"/>
              <w:rPr>
                <w:rFonts w:asciiTheme="minorHAnsi" w:eastAsia="Times New Roman" w:hAnsiTheme="minorHAnsi" w:cs="Arial"/>
                <w:b/>
                <w:sz w:val="17"/>
                <w:szCs w:val="17"/>
              </w:rPr>
            </w:pPr>
          </w:p>
        </w:tc>
        <w:tc>
          <w:tcPr>
            <w:tcW w:w="995" w:type="dxa"/>
            <w:tcBorders>
              <w:top w:val="single" w:sz="12" w:space="0" w:color="auto"/>
            </w:tcBorders>
            <w:vAlign w:val="bottom"/>
          </w:tcPr>
          <w:p w14:paraId="31D1A9E4" w14:textId="77777777" w:rsidR="009734A1" w:rsidRPr="006B318F" w:rsidRDefault="009734A1" w:rsidP="009734A1">
            <w:pPr>
              <w:tabs>
                <w:tab w:val="right" w:pos="1202"/>
              </w:tabs>
              <w:spacing w:after="0" w:line="240" w:lineRule="auto"/>
              <w:jc w:val="right"/>
              <w:outlineLvl w:val="0"/>
              <w:rPr>
                <w:rFonts w:asciiTheme="minorHAnsi" w:eastAsia="Times New Roman" w:hAnsiTheme="minorHAnsi" w:cs="Arial"/>
                <w:b/>
                <w:sz w:val="17"/>
                <w:szCs w:val="17"/>
              </w:rPr>
            </w:pPr>
          </w:p>
        </w:tc>
      </w:tr>
      <w:tr w:rsidR="009734A1" w:rsidRPr="00E26B60" w14:paraId="6486ACED" w14:textId="77777777" w:rsidTr="00166751">
        <w:trPr>
          <w:trHeight w:val="225"/>
          <w:jc w:val="center"/>
        </w:trPr>
        <w:tc>
          <w:tcPr>
            <w:tcW w:w="3550" w:type="dxa"/>
            <w:shd w:val="clear" w:color="auto" w:fill="auto"/>
            <w:vAlign w:val="bottom"/>
          </w:tcPr>
          <w:p w14:paraId="70D17DD9" w14:textId="77777777" w:rsidR="009734A1" w:rsidRPr="006B318F" w:rsidRDefault="009734A1" w:rsidP="009734A1">
            <w:pPr>
              <w:tabs>
                <w:tab w:val="right" w:pos="1202"/>
              </w:tabs>
              <w:spacing w:after="0" w:line="240" w:lineRule="auto"/>
              <w:outlineLvl w:val="0"/>
              <w:rPr>
                <w:rFonts w:eastAsia="Times New Roman" w:cs="Arial"/>
                <w:b/>
                <w:i/>
                <w:sz w:val="17"/>
                <w:szCs w:val="17"/>
              </w:rPr>
            </w:pPr>
            <w:r w:rsidRPr="006B318F">
              <w:rPr>
                <w:rFonts w:eastAsia="Times New Roman" w:cs="Arial"/>
                <w:b/>
                <w:i/>
                <w:sz w:val="17"/>
                <w:szCs w:val="17"/>
              </w:rPr>
              <w:t>Investments in investment funds:</w:t>
            </w:r>
          </w:p>
        </w:tc>
        <w:tc>
          <w:tcPr>
            <w:tcW w:w="1135" w:type="dxa"/>
            <w:tcBorders>
              <w:left w:val="nil"/>
              <w:right w:val="nil"/>
            </w:tcBorders>
            <w:shd w:val="clear" w:color="auto" w:fill="auto"/>
            <w:vAlign w:val="bottom"/>
          </w:tcPr>
          <w:p w14:paraId="2FD5D828" w14:textId="77777777" w:rsidR="009734A1" w:rsidRPr="006B318F" w:rsidRDefault="009734A1" w:rsidP="009734A1">
            <w:pPr>
              <w:tabs>
                <w:tab w:val="right" w:pos="1202"/>
              </w:tabs>
              <w:spacing w:after="0" w:line="240" w:lineRule="auto"/>
              <w:jc w:val="right"/>
              <w:outlineLvl w:val="0"/>
              <w:rPr>
                <w:rFonts w:asciiTheme="minorHAnsi" w:eastAsia="Times New Roman" w:hAnsiTheme="minorHAnsi" w:cs="Arial"/>
                <w:b/>
                <w:sz w:val="17"/>
                <w:szCs w:val="17"/>
              </w:rPr>
            </w:pPr>
          </w:p>
        </w:tc>
        <w:tc>
          <w:tcPr>
            <w:tcW w:w="993" w:type="dxa"/>
            <w:tcBorders>
              <w:left w:val="nil"/>
              <w:right w:val="nil"/>
            </w:tcBorders>
            <w:shd w:val="clear" w:color="auto" w:fill="auto"/>
            <w:vAlign w:val="bottom"/>
          </w:tcPr>
          <w:p w14:paraId="39D246C8" w14:textId="77777777" w:rsidR="009734A1" w:rsidRPr="006B318F" w:rsidRDefault="009734A1" w:rsidP="009734A1">
            <w:pPr>
              <w:tabs>
                <w:tab w:val="right" w:pos="1202"/>
              </w:tabs>
              <w:spacing w:after="0" w:line="240" w:lineRule="auto"/>
              <w:jc w:val="right"/>
              <w:outlineLvl w:val="0"/>
              <w:rPr>
                <w:rFonts w:asciiTheme="minorHAnsi" w:eastAsia="Times New Roman" w:hAnsiTheme="minorHAnsi" w:cs="Arial"/>
                <w:b/>
                <w:sz w:val="17"/>
                <w:szCs w:val="17"/>
              </w:rPr>
            </w:pPr>
          </w:p>
        </w:tc>
        <w:tc>
          <w:tcPr>
            <w:tcW w:w="994" w:type="dxa"/>
            <w:tcBorders>
              <w:left w:val="nil"/>
              <w:right w:val="nil"/>
            </w:tcBorders>
            <w:shd w:val="clear" w:color="auto" w:fill="auto"/>
            <w:vAlign w:val="bottom"/>
          </w:tcPr>
          <w:p w14:paraId="52F22EBD" w14:textId="77777777" w:rsidR="009734A1" w:rsidRPr="006B318F" w:rsidRDefault="009734A1" w:rsidP="009734A1">
            <w:pPr>
              <w:tabs>
                <w:tab w:val="right" w:pos="1202"/>
              </w:tabs>
              <w:spacing w:after="0" w:line="240" w:lineRule="auto"/>
              <w:jc w:val="right"/>
              <w:outlineLvl w:val="0"/>
              <w:rPr>
                <w:rFonts w:asciiTheme="minorHAnsi" w:eastAsia="Times New Roman" w:hAnsiTheme="minorHAnsi" w:cs="Arial"/>
                <w:b/>
                <w:sz w:val="17"/>
                <w:szCs w:val="17"/>
              </w:rPr>
            </w:pPr>
          </w:p>
        </w:tc>
        <w:tc>
          <w:tcPr>
            <w:tcW w:w="1135" w:type="dxa"/>
            <w:vAlign w:val="bottom"/>
          </w:tcPr>
          <w:p w14:paraId="2FF7D876" w14:textId="77777777" w:rsidR="009734A1" w:rsidRPr="006B318F" w:rsidRDefault="009734A1" w:rsidP="009734A1">
            <w:pPr>
              <w:tabs>
                <w:tab w:val="right" w:pos="1202"/>
              </w:tabs>
              <w:spacing w:after="0" w:line="240" w:lineRule="auto"/>
              <w:jc w:val="right"/>
              <w:outlineLvl w:val="0"/>
              <w:rPr>
                <w:rFonts w:asciiTheme="minorHAnsi" w:eastAsia="Times New Roman" w:hAnsiTheme="minorHAnsi" w:cs="Arial"/>
                <w:b/>
                <w:sz w:val="17"/>
                <w:szCs w:val="17"/>
              </w:rPr>
            </w:pPr>
          </w:p>
        </w:tc>
        <w:tc>
          <w:tcPr>
            <w:tcW w:w="1135" w:type="dxa"/>
            <w:vAlign w:val="bottom"/>
          </w:tcPr>
          <w:p w14:paraId="5237EB80" w14:textId="77777777" w:rsidR="009734A1" w:rsidRPr="006B318F" w:rsidRDefault="009734A1" w:rsidP="009734A1">
            <w:pPr>
              <w:tabs>
                <w:tab w:val="right" w:pos="1202"/>
              </w:tabs>
              <w:spacing w:after="0" w:line="240" w:lineRule="auto"/>
              <w:jc w:val="right"/>
              <w:outlineLvl w:val="0"/>
              <w:rPr>
                <w:rFonts w:asciiTheme="minorHAnsi" w:eastAsia="Times New Roman" w:hAnsiTheme="minorHAnsi" w:cs="Arial"/>
                <w:b/>
                <w:sz w:val="17"/>
                <w:szCs w:val="17"/>
              </w:rPr>
            </w:pPr>
          </w:p>
        </w:tc>
        <w:tc>
          <w:tcPr>
            <w:tcW w:w="995" w:type="dxa"/>
            <w:vAlign w:val="bottom"/>
          </w:tcPr>
          <w:p w14:paraId="46527606" w14:textId="77777777" w:rsidR="009734A1" w:rsidRPr="006B318F" w:rsidRDefault="009734A1" w:rsidP="009734A1">
            <w:pPr>
              <w:tabs>
                <w:tab w:val="right" w:pos="1202"/>
              </w:tabs>
              <w:spacing w:after="0" w:line="240" w:lineRule="auto"/>
              <w:jc w:val="right"/>
              <w:outlineLvl w:val="0"/>
              <w:rPr>
                <w:rFonts w:asciiTheme="minorHAnsi" w:eastAsia="Times New Roman" w:hAnsiTheme="minorHAnsi" w:cs="Arial"/>
                <w:b/>
                <w:sz w:val="17"/>
                <w:szCs w:val="17"/>
              </w:rPr>
            </w:pPr>
          </w:p>
        </w:tc>
      </w:tr>
      <w:tr w:rsidR="009734A1" w:rsidRPr="00E26B60" w14:paraId="756CFBC4" w14:textId="77777777" w:rsidTr="00166751">
        <w:trPr>
          <w:trHeight w:val="290"/>
          <w:jc w:val="center"/>
        </w:trPr>
        <w:tc>
          <w:tcPr>
            <w:tcW w:w="3550" w:type="dxa"/>
            <w:shd w:val="clear" w:color="auto" w:fill="auto"/>
            <w:vAlign w:val="bottom"/>
          </w:tcPr>
          <w:p w14:paraId="1DA4FDC1" w14:textId="77777777" w:rsidR="009734A1" w:rsidRPr="006B318F" w:rsidRDefault="009734A1" w:rsidP="009734A1">
            <w:pPr>
              <w:tabs>
                <w:tab w:val="right" w:pos="1202"/>
              </w:tabs>
              <w:spacing w:after="0" w:line="240" w:lineRule="auto"/>
              <w:outlineLvl w:val="0"/>
              <w:rPr>
                <w:rFonts w:eastAsia="Times New Roman" w:cs="Arial"/>
                <w:b/>
                <w:i/>
                <w:sz w:val="17"/>
                <w:szCs w:val="17"/>
              </w:rPr>
            </w:pPr>
            <w:r w:rsidRPr="006B318F">
              <w:rPr>
                <w:rFonts w:eastAsia="Times New Roman" w:cs="Arial"/>
                <w:sz w:val="17"/>
                <w:szCs w:val="17"/>
              </w:rPr>
              <w:t>Shares classified as assets available for sale</w:t>
            </w:r>
          </w:p>
        </w:tc>
        <w:tc>
          <w:tcPr>
            <w:tcW w:w="1135" w:type="dxa"/>
            <w:tcBorders>
              <w:left w:val="nil"/>
              <w:bottom w:val="single" w:sz="4" w:space="0" w:color="auto"/>
              <w:right w:val="nil"/>
            </w:tcBorders>
            <w:shd w:val="clear" w:color="auto" w:fill="auto"/>
            <w:vAlign w:val="bottom"/>
          </w:tcPr>
          <w:p w14:paraId="5DA7A00A" w14:textId="041EDCAB" w:rsidR="009734A1" w:rsidRPr="006B318F" w:rsidRDefault="00490C12" w:rsidP="009734A1">
            <w:pPr>
              <w:tabs>
                <w:tab w:val="right" w:pos="1202"/>
              </w:tabs>
              <w:spacing w:after="0" w:line="301" w:lineRule="exact"/>
              <w:jc w:val="right"/>
              <w:outlineLvl w:val="0"/>
              <w:rPr>
                <w:rFonts w:asciiTheme="minorHAnsi" w:eastAsia="Times New Roman" w:hAnsiTheme="minorHAnsi" w:cs="Arial"/>
                <w:sz w:val="17"/>
                <w:szCs w:val="17"/>
              </w:rPr>
            </w:pPr>
            <w:r w:rsidRPr="006B318F">
              <w:rPr>
                <w:rFonts w:asciiTheme="minorHAnsi" w:eastAsia="Times New Roman" w:hAnsiTheme="minorHAnsi" w:cs="Arial"/>
                <w:sz w:val="17"/>
                <w:szCs w:val="17"/>
              </w:rPr>
              <w:t>809,258</w:t>
            </w:r>
          </w:p>
        </w:tc>
        <w:tc>
          <w:tcPr>
            <w:tcW w:w="993" w:type="dxa"/>
            <w:tcBorders>
              <w:left w:val="nil"/>
              <w:bottom w:val="single" w:sz="4" w:space="0" w:color="auto"/>
              <w:right w:val="nil"/>
            </w:tcBorders>
            <w:shd w:val="clear" w:color="auto" w:fill="auto"/>
            <w:vAlign w:val="bottom"/>
          </w:tcPr>
          <w:p w14:paraId="02B3920D" w14:textId="77777777" w:rsidR="009734A1" w:rsidRPr="006B318F" w:rsidRDefault="009734A1" w:rsidP="009734A1">
            <w:pPr>
              <w:tabs>
                <w:tab w:val="right" w:pos="1202"/>
              </w:tabs>
              <w:spacing w:after="0" w:line="301" w:lineRule="exact"/>
              <w:jc w:val="right"/>
              <w:outlineLvl w:val="0"/>
              <w:rPr>
                <w:rFonts w:asciiTheme="minorHAnsi" w:eastAsia="Times New Roman" w:hAnsiTheme="minorHAnsi" w:cs="Arial"/>
                <w:sz w:val="17"/>
                <w:szCs w:val="17"/>
              </w:rPr>
            </w:pPr>
            <w:r w:rsidRPr="00E26B60">
              <w:rPr>
                <w:rFonts w:cs="Arial"/>
                <w:b/>
                <w:sz w:val="17"/>
                <w:szCs w:val="17"/>
              </w:rPr>
              <w:t>-</w:t>
            </w:r>
          </w:p>
        </w:tc>
        <w:tc>
          <w:tcPr>
            <w:tcW w:w="994" w:type="dxa"/>
            <w:tcBorders>
              <w:left w:val="nil"/>
              <w:bottom w:val="single" w:sz="4" w:space="0" w:color="auto"/>
              <w:right w:val="nil"/>
            </w:tcBorders>
            <w:shd w:val="clear" w:color="auto" w:fill="auto"/>
            <w:vAlign w:val="bottom"/>
          </w:tcPr>
          <w:p w14:paraId="3DF6BE36" w14:textId="77777777" w:rsidR="009734A1" w:rsidRPr="006B318F" w:rsidRDefault="009734A1" w:rsidP="009734A1">
            <w:pPr>
              <w:tabs>
                <w:tab w:val="right" w:pos="1202"/>
              </w:tabs>
              <w:spacing w:after="0" w:line="301" w:lineRule="exact"/>
              <w:jc w:val="right"/>
              <w:outlineLvl w:val="0"/>
              <w:rPr>
                <w:rFonts w:asciiTheme="minorHAnsi" w:eastAsia="Times New Roman" w:hAnsiTheme="minorHAnsi" w:cs="Arial"/>
                <w:sz w:val="17"/>
                <w:szCs w:val="17"/>
              </w:rPr>
            </w:pPr>
            <w:r w:rsidRPr="00E26B60">
              <w:rPr>
                <w:rFonts w:cs="Arial"/>
                <w:b/>
                <w:sz w:val="17"/>
                <w:szCs w:val="17"/>
              </w:rPr>
              <w:t>-</w:t>
            </w:r>
          </w:p>
        </w:tc>
        <w:tc>
          <w:tcPr>
            <w:tcW w:w="1135" w:type="dxa"/>
            <w:tcBorders>
              <w:bottom w:val="single" w:sz="4" w:space="0" w:color="auto"/>
            </w:tcBorders>
            <w:vAlign w:val="bottom"/>
          </w:tcPr>
          <w:p w14:paraId="3DEBEE05" w14:textId="77777777" w:rsidR="009734A1" w:rsidRPr="006B318F" w:rsidRDefault="009734A1" w:rsidP="009734A1">
            <w:pPr>
              <w:tabs>
                <w:tab w:val="right" w:pos="1202"/>
              </w:tabs>
              <w:spacing w:after="0" w:line="301" w:lineRule="exact"/>
              <w:jc w:val="right"/>
              <w:outlineLvl w:val="0"/>
              <w:rPr>
                <w:rFonts w:asciiTheme="minorHAnsi" w:eastAsia="Times New Roman" w:hAnsiTheme="minorHAnsi" w:cs="Arial"/>
                <w:sz w:val="17"/>
                <w:szCs w:val="17"/>
              </w:rPr>
            </w:pPr>
            <w:r w:rsidRPr="006B318F">
              <w:rPr>
                <w:rFonts w:asciiTheme="minorHAnsi" w:eastAsia="Times New Roman" w:hAnsiTheme="minorHAnsi" w:cs="Arial"/>
                <w:sz w:val="17"/>
                <w:szCs w:val="17"/>
              </w:rPr>
              <w:t>906,803</w:t>
            </w:r>
          </w:p>
        </w:tc>
        <w:tc>
          <w:tcPr>
            <w:tcW w:w="1135" w:type="dxa"/>
            <w:tcBorders>
              <w:bottom w:val="single" w:sz="4" w:space="0" w:color="auto"/>
            </w:tcBorders>
            <w:vAlign w:val="bottom"/>
          </w:tcPr>
          <w:p w14:paraId="1F16FC7A" w14:textId="77777777" w:rsidR="009734A1" w:rsidRPr="006B318F" w:rsidRDefault="009734A1" w:rsidP="009734A1">
            <w:pPr>
              <w:tabs>
                <w:tab w:val="right" w:pos="1202"/>
              </w:tabs>
              <w:spacing w:after="0" w:line="301" w:lineRule="exact"/>
              <w:jc w:val="right"/>
              <w:outlineLvl w:val="0"/>
              <w:rPr>
                <w:rFonts w:asciiTheme="minorHAnsi" w:eastAsia="Times New Roman" w:hAnsiTheme="minorHAnsi" w:cs="Arial"/>
                <w:sz w:val="17"/>
                <w:szCs w:val="17"/>
              </w:rPr>
            </w:pPr>
            <w:r w:rsidRPr="006B318F">
              <w:rPr>
                <w:rFonts w:asciiTheme="minorHAnsi" w:eastAsia="Times New Roman" w:hAnsiTheme="minorHAnsi" w:cs="Arial"/>
                <w:sz w:val="17"/>
                <w:szCs w:val="17"/>
              </w:rPr>
              <w:t>-</w:t>
            </w:r>
          </w:p>
        </w:tc>
        <w:tc>
          <w:tcPr>
            <w:tcW w:w="995" w:type="dxa"/>
            <w:tcBorders>
              <w:bottom w:val="single" w:sz="4" w:space="0" w:color="auto"/>
            </w:tcBorders>
            <w:vAlign w:val="bottom"/>
          </w:tcPr>
          <w:p w14:paraId="4FE092CF" w14:textId="77777777" w:rsidR="009734A1" w:rsidRPr="006B318F" w:rsidRDefault="009734A1" w:rsidP="009734A1">
            <w:pPr>
              <w:tabs>
                <w:tab w:val="right" w:pos="1202"/>
              </w:tabs>
              <w:spacing w:after="0" w:line="301" w:lineRule="exact"/>
              <w:jc w:val="right"/>
              <w:outlineLvl w:val="0"/>
              <w:rPr>
                <w:rFonts w:asciiTheme="minorHAnsi" w:eastAsia="Times New Roman" w:hAnsiTheme="minorHAnsi" w:cs="Arial"/>
                <w:sz w:val="17"/>
                <w:szCs w:val="17"/>
              </w:rPr>
            </w:pPr>
            <w:r w:rsidRPr="006B318F">
              <w:rPr>
                <w:rFonts w:asciiTheme="minorHAnsi" w:eastAsia="Times New Roman" w:hAnsiTheme="minorHAnsi" w:cs="Arial"/>
                <w:sz w:val="17"/>
                <w:szCs w:val="17"/>
              </w:rPr>
              <w:t>-</w:t>
            </w:r>
          </w:p>
        </w:tc>
      </w:tr>
      <w:tr w:rsidR="009734A1" w:rsidRPr="00E26B60" w14:paraId="005B107D" w14:textId="77777777" w:rsidTr="006B318F">
        <w:trPr>
          <w:trHeight w:val="208"/>
          <w:jc w:val="center"/>
        </w:trPr>
        <w:tc>
          <w:tcPr>
            <w:tcW w:w="3550" w:type="dxa"/>
            <w:shd w:val="clear" w:color="auto" w:fill="auto"/>
            <w:vAlign w:val="bottom"/>
          </w:tcPr>
          <w:p w14:paraId="710395F8" w14:textId="77777777" w:rsidR="009734A1" w:rsidRPr="006B318F" w:rsidRDefault="009734A1" w:rsidP="009734A1">
            <w:pPr>
              <w:tabs>
                <w:tab w:val="right" w:pos="1202"/>
              </w:tabs>
              <w:spacing w:after="0" w:line="240" w:lineRule="auto"/>
              <w:outlineLvl w:val="0"/>
              <w:rPr>
                <w:rFonts w:eastAsia="Times New Roman" w:cs="Arial"/>
                <w:b/>
                <w:sz w:val="17"/>
                <w:szCs w:val="17"/>
              </w:rPr>
            </w:pPr>
            <w:r w:rsidRPr="006B318F">
              <w:rPr>
                <w:rFonts w:eastAsia="Times New Roman" w:cs="Arial"/>
                <w:b/>
                <w:sz w:val="17"/>
                <w:szCs w:val="17"/>
              </w:rPr>
              <w:t>Total investments in investment funds</w:t>
            </w:r>
          </w:p>
        </w:tc>
        <w:tc>
          <w:tcPr>
            <w:tcW w:w="1135" w:type="dxa"/>
            <w:tcBorders>
              <w:top w:val="single" w:sz="4" w:space="0" w:color="auto"/>
              <w:left w:val="nil"/>
              <w:bottom w:val="single" w:sz="12" w:space="0" w:color="auto"/>
              <w:right w:val="nil"/>
            </w:tcBorders>
            <w:shd w:val="clear" w:color="auto" w:fill="auto"/>
            <w:vAlign w:val="bottom"/>
          </w:tcPr>
          <w:p w14:paraId="319D5064" w14:textId="2F042EE4" w:rsidR="009734A1" w:rsidRPr="006B318F" w:rsidRDefault="00490C12" w:rsidP="009734A1">
            <w:pPr>
              <w:tabs>
                <w:tab w:val="right" w:pos="1202"/>
              </w:tabs>
              <w:spacing w:after="0" w:line="301" w:lineRule="exact"/>
              <w:jc w:val="right"/>
              <w:outlineLvl w:val="0"/>
              <w:rPr>
                <w:rFonts w:asciiTheme="minorHAnsi" w:eastAsia="Times New Roman" w:hAnsiTheme="minorHAnsi" w:cs="Arial"/>
                <w:b/>
                <w:sz w:val="17"/>
                <w:szCs w:val="17"/>
              </w:rPr>
            </w:pPr>
            <w:r w:rsidRPr="006B318F">
              <w:rPr>
                <w:rFonts w:asciiTheme="minorHAnsi" w:eastAsia="Times New Roman" w:hAnsiTheme="minorHAnsi" w:cs="Arial"/>
                <w:b/>
                <w:sz w:val="17"/>
                <w:szCs w:val="17"/>
              </w:rPr>
              <w:t>809,258</w:t>
            </w:r>
          </w:p>
        </w:tc>
        <w:tc>
          <w:tcPr>
            <w:tcW w:w="993" w:type="dxa"/>
            <w:tcBorders>
              <w:top w:val="single" w:sz="4" w:space="0" w:color="auto"/>
              <w:left w:val="nil"/>
              <w:bottom w:val="single" w:sz="12" w:space="0" w:color="auto"/>
              <w:right w:val="nil"/>
            </w:tcBorders>
            <w:shd w:val="clear" w:color="auto" w:fill="auto"/>
            <w:vAlign w:val="bottom"/>
          </w:tcPr>
          <w:p w14:paraId="7B21EB8F" w14:textId="77777777" w:rsidR="009734A1" w:rsidRPr="006B318F" w:rsidRDefault="009734A1" w:rsidP="009734A1">
            <w:pPr>
              <w:tabs>
                <w:tab w:val="right" w:pos="1202"/>
              </w:tabs>
              <w:spacing w:after="0" w:line="301" w:lineRule="exact"/>
              <w:jc w:val="right"/>
              <w:outlineLvl w:val="0"/>
              <w:rPr>
                <w:rFonts w:asciiTheme="minorHAnsi" w:eastAsia="Times New Roman" w:hAnsiTheme="minorHAnsi" w:cs="Arial"/>
                <w:b/>
                <w:sz w:val="17"/>
                <w:szCs w:val="17"/>
              </w:rPr>
            </w:pPr>
            <w:r w:rsidRPr="006B318F">
              <w:rPr>
                <w:rFonts w:asciiTheme="minorHAnsi" w:eastAsia="Times New Roman" w:hAnsiTheme="minorHAnsi" w:cs="Arial"/>
                <w:b/>
                <w:sz w:val="17"/>
                <w:szCs w:val="17"/>
              </w:rPr>
              <w:t>-</w:t>
            </w:r>
          </w:p>
        </w:tc>
        <w:tc>
          <w:tcPr>
            <w:tcW w:w="994" w:type="dxa"/>
            <w:tcBorders>
              <w:top w:val="single" w:sz="4" w:space="0" w:color="auto"/>
              <w:left w:val="nil"/>
              <w:bottom w:val="single" w:sz="12" w:space="0" w:color="auto"/>
              <w:right w:val="nil"/>
            </w:tcBorders>
            <w:shd w:val="clear" w:color="auto" w:fill="auto"/>
            <w:vAlign w:val="bottom"/>
          </w:tcPr>
          <w:p w14:paraId="5F56C7FB" w14:textId="77777777" w:rsidR="009734A1" w:rsidRPr="006B318F" w:rsidRDefault="009734A1" w:rsidP="009734A1">
            <w:pPr>
              <w:tabs>
                <w:tab w:val="right" w:pos="1202"/>
              </w:tabs>
              <w:spacing w:after="0" w:line="301" w:lineRule="exact"/>
              <w:jc w:val="right"/>
              <w:outlineLvl w:val="0"/>
              <w:rPr>
                <w:rFonts w:asciiTheme="minorHAnsi" w:eastAsia="Times New Roman" w:hAnsiTheme="minorHAnsi" w:cs="Arial"/>
                <w:b/>
                <w:sz w:val="17"/>
                <w:szCs w:val="17"/>
              </w:rPr>
            </w:pPr>
            <w:r w:rsidRPr="00E26B60">
              <w:rPr>
                <w:rFonts w:cs="Arial"/>
                <w:b/>
                <w:sz w:val="17"/>
                <w:szCs w:val="17"/>
              </w:rPr>
              <w:t>-</w:t>
            </w:r>
          </w:p>
        </w:tc>
        <w:tc>
          <w:tcPr>
            <w:tcW w:w="1135" w:type="dxa"/>
            <w:tcBorders>
              <w:top w:val="single" w:sz="4" w:space="0" w:color="auto"/>
              <w:left w:val="nil"/>
              <w:bottom w:val="single" w:sz="12" w:space="0" w:color="auto"/>
              <w:right w:val="nil"/>
            </w:tcBorders>
            <w:shd w:val="clear" w:color="auto" w:fill="auto"/>
            <w:vAlign w:val="bottom"/>
          </w:tcPr>
          <w:p w14:paraId="1F42CBEA" w14:textId="77777777" w:rsidR="009734A1" w:rsidRPr="006B318F" w:rsidRDefault="009734A1" w:rsidP="009734A1">
            <w:pPr>
              <w:tabs>
                <w:tab w:val="right" w:pos="1202"/>
              </w:tabs>
              <w:spacing w:after="0" w:line="301" w:lineRule="exact"/>
              <w:jc w:val="right"/>
              <w:outlineLvl w:val="0"/>
              <w:rPr>
                <w:rFonts w:asciiTheme="minorHAnsi" w:eastAsia="Times New Roman" w:hAnsiTheme="minorHAnsi" w:cs="Arial"/>
                <w:b/>
                <w:sz w:val="17"/>
                <w:szCs w:val="17"/>
              </w:rPr>
            </w:pPr>
            <w:r w:rsidRPr="006B318F">
              <w:rPr>
                <w:rFonts w:asciiTheme="minorHAnsi" w:eastAsia="Times New Roman" w:hAnsiTheme="minorHAnsi" w:cs="Arial"/>
                <w:b/>
                <w:sz w:val="17"/>
                <w:szCs w:val="17"/>
              </w:rPr>
              <w:t>906,803</w:t>
            </w:r>
          </w:p>
        </w:tc>
        <w:tc>
          <w:tcPr>
            <w:tcW w:w="1135" w:type="dxa"/>
            <w:tcBorders>
              <w:top w:val="single" w:sz="4" w:space="0" w:color="auto"/>
              <w:left w:val="nil"/>
              <w:bottom w:val="single" w:sz="12" w:space="0" w:color="auto"/>
              <w:right w:val="nil"/>
            </w:tcBorders>
            <w:shd w:val="clear" w:color="auto" w:fill="auto"/>
            <w:vAlign w:val="bottom"/>
          </w:tcPr>
          <w:p w14:paraId="6095A0C7" w14:textId="77777777" w:rsidR="009734A1" w:rsidRPr="006B318F" w:rsidRDefault="009734A1" w:rsidP="009734A1">
            <w:pPr>
              <w:tabs>
                <w:tab w:val="right" w:pos="1202"/>
              </w:tabs>
              <w:spacing w:after="0" w:line="301" w:lineRule="exact"/>
              <w:jc w:val="right"/>
              <w:outlineLvl w:val="0"/>
              <w:rPr>
                <w:rFonts w:asciiTheme="minorHAnsi" w:eastAsia="Times New Roman" w:hAnsiTheme="minorHAnsi" w:cs="Arial"/>
                <w:b/>
                <w:sz w:val="17"/>
                <w:szCs w:val="17"/>
              </w:rPr>
            </w:pPr>
            <w:r w:rsidRPr="006B318F">
              <w:rPr>
                <w:rFonts w:asciiTheme="minorHAnsi" w:eastAsia="Times New Roman" w:hAnsiTheme="minorHAnsi" w:cs="Arial"/>
                <w:b/>
                <w:sz w:val="17"/>
                <w:szCs w:val="17"/>
              </w:rPr>
              <w:t>-</w:t>
            </w:r>
          </w:p>
        </w:tc>
        <w:tc>
          <w:tcPr>
            <w:tcW w:w="995" w:type="dxa"/>
            <w:tcBorders>
              <w:top w:val="single" w:sz="4" w:space="0" w:color="auto"/>
              <w:left w:val="nil"/>
              <w:bottom w:val="single" w:sz="12" w:space="0" w:color="auto"/>
              <w:right w:val="nil"/>
            </w:tcBorders>
            <w:shd w:val="clear" w:color="auto" w:fill="auto"/>
            <w:vAlign w:val="bottom"/>
          </w:tcPr>
          <w:p w14:paraId="6745EB26" w14:textId="77777777" w:rsidR="009734A1" w:rsidRPr="006B318F" w:rsidRDefault="009734A1" w:rsidP="009734A1">
            <w:pPr>
              <w:tabs>
                <w:tab w:val="right" w:pos="1202"/>
              </w:tabs>
              <w:spacing w:after="0" w:line="301" w:lineRule="exact"/>
              <w:jc w:val="right"/>
              <w:outlineLvl w:val="0"/>
              <w:rPr>
                <w:rFonts w:asciiTheme="minorHAnsi" w:eastAsia="Times New Roman" w:hAnsiTheme="minorHAnsi" w:cs="Arial"/>
                <w:b/>
                <w:sz w:val="17"/>
                <w:szCs w:val="17"/>
              </w:rPr>
            </w:pPr>
            <w:r w:rsidRPr="006B318F">
              <w:rPr>
                <w:rFonts w:asciiTheme="minorHAnsi" w:eastAsia="Times New Roman" w:hAnsiTheme="minorHAnsi" w:cs="Arial"/>
                <w:b/>
                <w:sz w:val="17"/>
                <w:szCs w:val="17"/>
              </w:rPr>
              <w:t>-</w:t>
            </w:r>
          </w:p>
        </w:tc>
      </w:tr>
      <w:tr w:rsidR="00490C12" w:rsidRPr="00E26B60" w14:paraId="05F50892" w14:textId="77777777" w:rsidTr="006B318F">
        <w:trPr>
          <w:trHeight w:hRule="exact" w:val="309"/>
          <w:jc w:val="center"/>
        </w:trPr>
        <w:tc>
          <w:tcPr>
            <w:tcW w:w="3550" w:type="dxa"/>
            <w:shd w:val="clear" w:color="auto" w:fill="auto"/>
            <w:vAlign w:val="bottom"/>
          </w:tcPr>
          <w:p w14:paraId="40942C4E" w14:textId="77777777" w:rsidR="00490C12" w:rsidRPr="006B318F" w:rsidRDefault="00490C12" w:rsidP="00490C12">
            <w:pPr>
              <w:tabs>
                <w:tab w:val="right" w:pos="1202"/>
              </w:tabs>
              <w:spacing w:after="0" w:line="240" w:lineRule="auto"/>
              <w:outlineLvl w:val="0"/>
              <w:rPr>
                <w:rFonts w:eastAsia="Times New Roman" w:cs="Arial"/>
                <w:b/>
                <w:sz w:val="17"/>
                <w:szCs w:val="17"/>
              </w:rPr>
            </w:pPr>
            <w:r w:rsidRPr="006B318F">
              <w:rPr>
                <w:rFonts w:eastAsia="Times New Roman" w:cs="Arial"/>
                <w:b/>
                <w:sz w:val="17"/>
                <w:szCs w:val="17"/>
              </w:rPr>
              <w:t xml:space="preserve">Total assets available for sale </w:t>
            </w:r>
          </w:p>
        </w:tc>
        <w:tc>
          <w:tcPr>
            <w:tcW w:w="1135" w:type="dxa"/>
            <w:tcBorders>
              <w:top w:val="single" w:sz="12" w:space="0" w:color="auto"/>
              <w:left w:val="nil"/>
              <w:bottom w:val="single" w:sz="18" w:space="0" w:color="auto"/>
              <w:right w:val="nil"/>
            </w:tcBorders>
            <w:shd w:val="clear" w:color="auto" w:fill="auto"/>
          </w:tcPr>
          <w:p w14:paraId="0F747C37" w14:textId="4E879F18" w:rsidR="00490C12" w:rsidRPr="006B318F" w:rsidRDefault="00490C12" w:rsidP="00490C12">
            <w:pPr>
              <w:tabs>
                <w:tab w:val="right" w:pos="1202"/>
              </w:tabs>
              <w:spacing w:after="0" w:line="301" w:lineRule="exact"/>
              <w:jc w:val="right"/>
              <w:outlineLvl w:val="0"/>
              <w:rPr>
                <w:rFonts w:eastAsia="Times New Roman" w:cs="Arial"/>
                <w:b/>
                <w:sz w:val="17"/>
                <w:szCs w:val="17"/>
                <w:lang w:val="hr-HR"/>
              </w:rPr>
            </w:pPr>
            <w:r w:rsidRPr="006B318F">
              <w:rPr>
                <w:rFonts w:eastAsia="Times New Roman" w:cs="Arial"/>
                <w:b/>
                <w:sz w:val="17"/>
                <w:szCs w:val="17"/>
                <w:lang w:val="hr-HR"/>
              </w:rPr>
              <w:t>3,238,291</w:t>
            </w:r>
          </w:p>
        </w:tc>
        <w:tc>
          <w:tcPr>
            <w:tcW w:w="993" w:type="dxa"/>
            <w:tcBorders>
              <w:top w:val="single" w:sz="12" w:space="0" w:color="auto"/>
              <w:left w:val="nil"/>
              <w:bottom w:val="single" w:sz="18" w:space="0" w:color="auto"/>
              <w:right w:val="nil"/>
            </w:tcBorders>
            <w:shd w:val="clear" w:color="auto" w:fill="auto"/>
          </w:tcPr>
          <w:p w14:paraId="02CDFD9C" w14:textId="43EF3363" w:rsidR="00490C12" w:rsidRPr="006B318F" w:rsidRDefault="00490C12" w:rsidP="00490C12">
            <w:pPr>
              <w:tabs>
                <w:tab w:val="right" w:pos="1202"/>
              </w:tabs>
              <w:spacing w:after="0" w:line="301" w:lineRule="exact"/>
              <w:jc w:val="right"/>
              <w:outlineLvl w:val="0"/>
              <w:rPr>
                <w:rFonts w:eastAsia="Times New Roman" w:cs="Arial"/>
                <w:b/>
                <w:sz w:val="17"/>
                <w:szCs w:val="17"/>
                <w:lang w:val="hr-HR"/>
              </w:rPr>
            </w:pPr>
            <w:r w:rsidRPr="006B318F">
              <w:rPr>
                <w:rFonts w:eastAsia="Times New Roman" w:cs="Arial"/>
                <w:b/>
                <w:sz w:val="17"/>
                <w:szCs w:val="17"/>
                <w:lang w:val="hr-HR"/>
              </w:rPr>
              <w:t>25,567</w:t>
            </w:r>
          </w:p>
        </w:tc>
        <w:tc>
          <w:tcPr>
            <w:tcW w:w="994" w:type="dxa"/>
            <w:tcBorders>
              <w:top w:val="single" w:sz="12" w:space="0" w:color="auto"/>
              <w:left w:val="nil"/>
              <w:bottom w:val="single" w:sz="18" w:space="0" w:color="auto"/>
              <w:right w:val="nil"/>
            </w:tcBorders>
            <w:shd w:val="clear" w:color="auto" w:fill="auto"/>
          </w:tcPr>
          <w:p w14:paraId="338702EB" w14:textId="4A93245F" w:rsidR="00490C12" w:rsidRPr="006B318F" w:rsidRDefault="00490C12" w:rsidP="00490C12">
            <w:pPr>
              <w:tabs>
                <w:tab w:val="right" w:pos="1202"/>
              </w:tabs>
              <w:spacing w:after="0" w:line="301" w:lineRule="exact"/>
              <w:jc w:val="right"/>
              <w:outlineLvl w:val="0"/>
              <w:rPr>
                <w:rFonts w:eastAsia="Times New Roman" w:cs="Arial"/>
                <w:b/>
                <w:sz w:val="17"/>
                <w:szCs w:val="17"/>
                <w:lang w:val="hr-HR"/>
              </w:rPr>
            </w:pPr>
            <w:r w:rsidRPr="006B318F">
              <w:rPr>
                <w:rFonts w:eastAsia="Times New Roman" w:cs="Arial"/>
                <w:b/>
                <w:sz w:val="17"/>
                <w:szCs w:val="17"/>
                <w:lang w:val="hr-HR"/>
              </w:rPr>
              <w:t>662</w:t>
            </w:r>
          </w:p>
        </w:tc>
        <w:tc>
          <w:tcPr>
            <w:tcW w:w="1135" w:type="dxa"/>
            <w:tcBorders>
              <w:top w:val="single" w:sz="12" w:space="0" w:color="auto"/>
              <w:left w:val="nil"/>
              <w:bottom w:val="single" w:sz="18" w:space="0" w:color="auto"/>
              <w:right w:val="nil"/>
            </w:tcBorders>
            <w:shd w:val="clear" w:color="auto" w:fill="auto"/>
            <w:vAlign w:val="bottom"/>
          </w:tcPr>
          <w:p w14:paraId="5D87C285" w14:textId="77777777" w:rsidR="00490C12" w:rsidRPr="006B318F" w:rsidRDefault="00490C12" w:rsidP="00490C12">
            <w:pPr>
              <w:tabs>
                <w:tab w:val="right" w:pos="1202"/>
              </w:tabs>
              <w:spacing w:after="0" w:line="301" w:lineRule="exact"/>
              <w:jc w:val="right"/>
              <w:outlineLvl w:val="0"/>
              <w:rPr>
                <w:rFonts w:asciiTheme="minorHAnsi" w:eastAsia="Times New Roman" w:hAnsiTheme="minorHAnsi" w:cs="Arial"/>
                <w:b/>
                <w:sz w:val="17"/>
                <w:szCs w:val="17"/>
              </w:rPr>
            </w:pPr>
            <w:r w:rsidRPr="006B318F">
              <w:rPr>
                <w:rFonts w:eastAsia="Times New Roman" w:cs="Arial"/>
                <w:b/>
                <w:sz w:val="17"/>
                <w:szCs w:val="17"/>
                <w:lang w:val="hr-HR"/>
              </w:rPr>
              <w:t>3,316,965</w:t>
            </w:r>
          </w:p>
        </w:tc>
        <w:tc>
          <w:tcPr>
            <w:tcW w:w="1135" w:type="dxa"/>
            <w:tcBorders>
              <w:top w:val="single" w:sz="12" w:space="0" w:color="auto"/>
              <w:left w:val="nil"/>
              <w:bottom w:val="single" w:sz="18" w:space="0" w:color="auto"/>
              <w:right w:val="nil"/>
            </w:tcBorders>
            <w:shd w:val="clear" w:color="auto" w:fill="auto"/>
            <w:vAlign w:val="bottom"/>
          </w:tcPr>
          <w:p w14:paraId="3C3E4E4B" w14:textId="77777777" w:rsidR="00490C12" w:rsidRPr="006B318F" w:rsidRDefault="00490C12" w:rsidP="00490C12">
            <w:pPr>
              <w:tabs>
                <w:tab w:val="right" w:pos="1202"/>
              </w:tabs>
              <w:spacing w:after="0" w:line="301" w:lineRule="exact"/>
              <w:jc w:val="right"/>
              <w:outlineLvl w:val="0"/>
              <w:rPr>
                <w:rFonts w:asciiTheme="minorHAnsi" w:eastAsia="Times New Roman" w:hAnsiTheme="minorHAnsi" w:cs="Arial"/>
                <w:b/>
                <w:sz w:val="17"/>
                <w:szCs w:val="17"/>
              </w:rPr>
            </w:pPr>
            <w:r w:rsidRPr="006B318F">
              <w:rPr>
                <w:rFonts w:eastAsia="Times New Roman" w:cs="Arial"/>
                <w:b/>
                <w:sz w:val="17"/>
                <w:szCs w:val="17"/>
                <w:lang w:val="hr-HR"/>
              </w:rPr>
              <w:t>26,008</w:t>
            </w:r>
          </w:p>
        </w:tc>
        <w:tc>
          <w:tcPr>
            <w:tcW w:w="995" w:type="dxa"/>
            <w:tcBorders>
              <w:top w:val="single" w:sz="12" w:space="0" w:color="auto"/>
              <w:left w:val="nil"/>
              <w:bottom w:val="single" w:sz="18" w:space="0" w:color="auto"/>
              <w:right w:val="nil"/>
            </w:tcBorders>
            <w:shd w:val="clear" w:color="auto" w:fill="auto"/>
            <w:vAlign w:val="bottom"/>
          </w:tcPr>
          <w:p w14:paraId="3D4E7541" w14:textId="77777777" w:rsidR="00490C12" w:rsidRPr="006B318F" w:rsidRDefault="00490C12" w:rsidP="00490C12">
            <w:pPr>
              <w:tabs>
                <w:tab w:val="right" w:pos="1202"/>
              </w:tabs>
              <w:spacing w:after="0" w:line="301" w:lineRule="exact"/>
              <w:jc w:val="right"/>
              <w:outlineLvl w:val="0"/>
              <w:rPr>
                <w:rFonts w:asciiTheme="minorHAnsi" w:eastAsia="Times New Roman" w:hAnsiTheme="minorHAnsi" w:cs="Arial"/>
                <w:b/>
                <w:sz w:val="17"/>
                <w:szCs w:val="17"/>
              </w:rPr>
            </w:pPr>
            <w:r w:rsidRPr="006B318F">
              <w:rPr>
                <w:rFonts w:eastAsia="Times New Roman" w:cs="Arial"/>
                <w:b/>
                <w:sz w:val="17"/>
                <w:szCs w:val="17"/>
                <w:lang w:val="hr-HR"/>
              </w:rPr>
              <w:t>601</w:t>
            </w:r>
          </w:p>
        </w:tc>
      </w:tr>
    </w:tbl>
    <w:p w14:paraId="2456873B" w14:textId="77777777" w:rsidR="009702B0" w:rsidRPr="009702B0" w:rsidRDefault="009702B0" w:rsidP="009702B0">
      <w:pPr>
        <w:keepNext/>
        <w:spacing w:after="0" w:line="240" w:lineRule="auto"/>
        <w:jc w:val="both"/>
        <w:rPr>
          <w:rFonts w:eastAsia="Times New Roman" w:cs="Arial"/>
          <w:spacing w:val="-3"/>
          <w:sz w:val="24"/>
          <w:szCs w:val="24"/>
        </w:rPr>
      </w:pPr>
    </w:p>
    <w:p w14:paraId="268EB322" w14:textId="09E72E53" w:rsidR="009702B0" w:rsidRPr="00166751" w:rsidRDefault="009702B0" w:rsidP="00BA3F2A">
      <w:pPr>
        <w:spacing w:after="0" w:line="240" w:lineRule="auto"/>
        <w:ind w:left="-142" w:right="-142"/>
        <w:jc w:val="both"/>
        <w:rPr>
          <w:lang w:eastAsia="zh-CN"/>
        </w:rPr>
      </w:pPr>
      <w:r w:rsidRPr="00166751">
        <w:rPr>
          <w:rFonts w:cs="FrutigerLTCom-Light"/>
        </w:rPr>
        <w:t xml:space="preserve">Treasury Bills of the Ministry of Finance of the Republic of Croatia were </w:t>
      </w:r>
      <w:r w:rsidR="00CA539C" w:rsidRPr="00166751">
        <w:rPr>
          <w:rFonts w:cs="FrutigerLTCom-Light"/>
        </w:rPr>
        <w:t xml:space="preserve">classified within </w:t>
      </w:r>
      <w:r w:rsidRPr="00166751">
        <w:rPr>
          <w:rFonts w:cs="FrutigerLTCom-Light"/>
        </w:rPr>
        <w:t xml:space="preserve">Level 1 </w:t>
      </w:r>
      <w:r w:rsidR="00CA539C" w:rsidRPr="00166751">
        <w:rPr>
          <w:rFonts w:cs="FrutigerLTCom-Light"/>
        </w:rPr>
        <w:t xml:space="preserve">of the fair value hierarchy </w:t>
      </w:r>
      <w:r w:rsidRPr="00166751">
        <w:rPr>
          <w:rFonts w:cs="FrutigerLTCom-Light"/>
        </w:rPr>
        <w:t xml:space="preserve">because credit institutions in the country started to list prices at </w:t>
      </w:r>
      <w:r w:rsidRPr="00166751">
        <w:rPr>
          <w:lang w:eastAsia="zh-CN"/>
        </w:rPr>
        <w:t xml:space="preserve">Bloomberg, and quoted market price </w:t>
      </w:r>
      <w:r w:rsidR="00CA539C" w:rsidRPr="00166751">
        <w:rPr>
          <w:lang w:eastAsia="zh-CN"/>
        </w:rPr>
        <w:t xml:space="preserve">is </w:t>
      </w:r>
      <w:r w:rsidRPr="00166751">
        <w:rPr>
          <w:lang w:eastAsia="zh-CN"/>
        </w:rPr>
        <w:t>used as the valuation technique.</w:t>
      </w:r>
    </w:p>
    <w:p w14:paraId="4B7AEAE1" w14:textId="77777777" w:rsidR="009702B0" w:rsidRPr="00166751" w:rsidRDefault="009702B0" w:rsidP="00BA3F2A">
      <w:pPr>
        <w:keepNext/>
        <w:tabs>
          <w:tab w:val="left" w:pos="567"/>
        </w:tabs>
        <w:spacing w:after="0" w:line="240" w:lineRule="auto"/>
        <w:ind w:left="-142" w:right="-142"/>
        <w:jc w:val="both"/>
        <w:rPr>
          <w:rFonts w:eastAsia="Times New Roman" w:cs="Arial"/>
          <w:spacing w:val="-3"/>
        </w:rPr>
      </w:pPr>
    </w:p>
    <w:p w14:paraId="4591972D" w14:textId="77777777" w:rsidR="009702B0" w:rsidRPr="00166751" w:rsidRDefault="009702B0" w:rsidP="00BA3F2A">
      <w:pPr>
        <w:spacing w:after="0" w:line="240" w:lineRule="auto"/>
        <w:ind w:left="-142" w:right="-142"/>
        <w:jc w:val="both"/>
        <w:rPr>
          <w:rFonts w:eastAsia="Times New Roman" w:cs="Arial"/>
          <w:lang w:eastAsia="hr-HR"/>
        </w:rPr>
      </w:pPr>
      <w:r w:rsidRPr="00166751">
        <w:rPr>
          <w:rFonts w:cs="FrutigerLTCom-Light"/>
        </w:rPr>
        <w:t>Debt Instruments: Corporate Bonds were classified within Level 3 of the fair value hierarchy. The valuation technique used was the method of the discounted cash flows based on market interest rates, spread linked to internal credit-rating and internally determined spread linked to financial instrument liquidity</w:t>
      </w:r>
      <w:r w:rsidRPr="00166751">
        <w:rPr>
          <w:rFonts w:eastAsia="Times New Roman" w:cs="Arial"/>
          <w:lang w:eastAsia="hr-HR"/>
        </w:rPr>
        <w:t>.</w:t>
      </w:r>
    </w:p>
    <w:p w14:paraId="7D61603A" w14:textId="77777777" w:rsidR="009702B0" w:rsidRPr="009702B0" w:rsidRDefault="009702B0" w:rsidP="00BA3F2A">
      <w:pPr>
        <w:spacing w:after="0" w:line="240" w:lineRule="auto"/>
        <w:ind w:left="-142" w:right="-142"/>
        <w:jc w:val="both"/>
        <w:rPr>
          <w:rFonts w:eastAsia="Times New Roman" w:cs="Arial"/>
          <w:sz w:val="19"/>
          <w:szCs w:val="19"/>
          <w:lang w:eastAsia="hr-HR"/>
        </w:rPr>
      </w:pPr>
    </w:p>
    <w:p w14:paraId="1BB58AD5" w14:textId="77777777" w:rsidR="0047200A" w:rsidRDefault="0047200A" w:rsidP="009702B0">
      <w:pPr>
        <w:spacing w:after="0" w:line="240" w:lineRule="auto"/>
        <w:jc w:val="both"/>
        <w:rPr>
          <w:rFonts w:eastAsia="Times New Roman" w:cs="Arial"/>
          <w:b/>
          <w:bCs/>
          <w:spacing w:val="-3"/>
          <w:sz w:val="18"/>
          <w:szCs w:val="18"/>
        </w:rPr>
      </w:pPr>
    </w:p>
    <w:p w14:paraId="1E9BC74D" w14:textId="77777777" w:rsidR="0047200A" w:rsidRPr="00166751" w:rsidRDefault="0047200A" w:rsidP="00166751">
      <w:pPr>
        <w:rPr>
          <w:rFonts w:eastAsia="Times New Roman" w:cs="Arial"/>
          <w:sz w:val="18"/>
          <w:szCs w:val="18"/>
        </w:rPr>
      </w:pPr>
    </w:p>
    <w:p w14:paraId="5939981B" w14:textId="77777777" w:rsidR="0047200A" w:rsidRPr="00166751" w:rsidRDefault="0047200A" w:rsidP="00166751">
      <w:pPr>
        <w:rPr>
          <w:rFonts w:eastAsia="Times New Roman" w:cs="Arial"/>
          <w:sz w:val="18"/>
          <w:szCs w:val="18"/>
        </w:rPr>
      </w:pPr>
    </w:p>
    <w:p w14:paraId="1762CDC8" w14:textId="77777777" w:rsidR="007322EF" w:rsidRPr="00166751" w:rsidRDefault="007322EF" w:rsidP="00166751">
      <w:pPr>
        <w:rPr>
          <w:rFonts w:eastAsia="Times New Roman" w:cs="Arial"/>
          <w:sz w:val="18"/>
          <w:szCs w:val="18"/>
        </w:rPr>
        <w:sectPr w:rsidR="007322EF" w:rsidRPr="00166751" w:rsidSect="00947CB7">
          <w:footerReference w:type="first" r:id="rId125"/>
          <w:pgSz w:w="11906" w:h="16838" w:code="9"/>
          <w:pgMar w:top="1418" w:right="1418" w:bottom="595" w:left="1134" w:header="709" w:footer="709" w:gutter="0"/>
          <w:cols w:space="708"/>
          <w:titlePg/>
          <w:docGrid w:linePitch="360"/>
        </w:sectPr>
      </w:pPr>
    </w:p>
    <w:p w14:paraId="447D3AC9" w14:textId="77777777" w:rsidR="009702B0" w:rsidRPr="009702B0" w:rsidRDefault="009702B0" w:rsidP="009702B0">
      <w:pPr>
        <w:spacing w:after="0" w:line="240" w:lineRule="auto"/>
        <w:jc w:val="both"/>
        <w:rPr>
          <w:rFonts w:eastAsia="Times New Roman" w:cs="Arial"/>
          <w:b/>
          <w:bCs/>
          <w:spacing w:val="-3"/>
          <w:sz w:val="18"/>
          <w:szCs w:val="18"/>
        </w:rPr>
      </w:pPr>
    </w:p>
    <w:p w14:paraId="134515A7" w14:textId="77777777" w:rsidR="009702B0" w:rsidRPr="009702B0" w:rsidRDefault="009702B0" w:rsidP="009702B0">
      <w:pPr>
        <w:keepNext/>
        <w:tabs>
          <w:tab w:val="left" w:pos="567"/>
        </w:tabs>
        <w:spacing w:after="0" w:line="240" w:lineRule="auto"/>
        <w:jc w:val="both"/>
        <w:rPr>
          <w:rFonts w:eastAsia="Times New Roman" w:cs="Arial"/>
          <w:b/>
          <w:bCs/>
          <w:spacing w:val="-3"/>
        </w:rPr>
      </w:pPr>
      <w:r w:rsidRPr="009702B0">
        <w:rPr>
          <w:rFonts w:eastAsia="Times New Roman" w:cs="Arial"/>
          <w:b/>
          <w:bCs/>
          <w:spacing w:val="-3"/>
        </w:rPr>
        <w:t xml:space="preserve">17. </w:t>
      </w:r>
      <w:r w:rsidRPr="009702B0">
        <w:rPr>
          <w:rFonts w:eastAsia="Times New Roman" w:cs="Arial"/>
          <w:b/>
          <w:bCs/>
          <w:spacing w:val="-3"/>
        </w:rPr>
        <w:tab/>
        <w:t>Fair value of financial assets and financial liabilities (continued)</w:t>
      </w:r>
    </w:p>
    <w:p w14:paraId="5C5C58F8" w14:textId="77777777" w:rsidR="009702B0" w:rsidRPr="009702B0" w:rsidRDefault="009702B0" w:rsidP="009702B0">
      <w:pPr>
        <w:keepNext/>
        <w:tabs>
          <w:tab w:val="left" w:pos="567"/>
        </w:tabs>
        <w:spacing w:after="0" w:line="240" w:lineRule="auto"/>
        <w:jc w:val="both"/>
        <w:rPr>
          <w:rFonts w:eastAsia="Times New Roman" w:cs="Arial"/>
          <w:b/>
          <w:bCs/>
          <w:spacing w:val="-3"/>
        </w:rPr>
      </w:pPr>
    </w:p>
    <w:p w14:paraId="5DCE0FDD" w14:textId="77777777" w:rsidR="009702B0" w:rsidRPr="009702B0" w:rsidRDefault="009702B0" w:rsidP="009702B0">
      <w:pPr>
        <w:tabs>
          <w:tab w:val="left" w:pos="567"/>
        </w:tabs>
        <w:spacing w:after="0" w:line="240" w:lineRule="auto"/>
        <w:ind w:left="709" w:hanging="709"/>
        <w:jc w:val="both"/>
        <w:rPr>
          <w:rFonts w:eastAsia="Times New Roman" w:cs="Arial"/>
          <w:b/>
          <w:bCs/>
          <w:spacing w:val="-3"/>
        </w:rPr>
      </w:pPr>
      <w:r w:rsidRPr="009702B0">
        <w:rPr>
          <w:rFonts w:eastAsia="Times New Roman" w:cs="Arial"/>
          <w:b/>
          <w:bCs/>
          <w:spacing w:val="-3"/>
        </w:rPr>
        <w:t xml:space="preserve">17.1. </w:t>
      </w:r>
      <w:r w:rsidRPr="009702B0">
        <w:rPr>
          <w:rFonts w:eastAsia="Times New Roman" w:cs="Arial"/>
          <w:b/>
          <w:bCs/>
          <w:spacing w:val="-3"/>
        </w:rPr>
        <w:tab/>
        <w:t xml:space="preserve">Fair value of financial assets and financial liabilities carried at amortized cost </w:t>
      </w:r>
    </w:p>
    <w:p w14:paraId="45436F18" w14:textId="77777777" w:rsidR="009702B0" w:rsidRPr="009702B0" w:rsidRDefault="009702B0" w:rsidP="009702B0">
      <w:pPr>
        <w:tabs>
          <w:tab w:val="left" w:pos="567"/>
        </w:tabs>
        <w:spacing w:after="0" w:line="240" w:lineRule="auto"/>
        <w:ind w:left="709" w:hanging="709"/>
        <w:jc w:val="both"/>
        <w:rPr>
          <w:rFonts w:eastAsia="Times New Roman" w:cs="Arial"/>
          <w:b/>
          <w:bCs/>
          <w:spacing w:val="-3"/>
        </w:rPr>
      </w:pPr>
    </w:p>
    <w:p w14:paraId="4709D571" w14:textId="274A8445" w:rsidR="009702B0" w:rsidRPr="009702B0" w:rsidRDefault="009702B0" w:rsidP="009702B0">
      <w:pPr>
        <w:spacing w:after="0" w:line="240" w:lineRule="auto"/>
        <w:jc w:val="both"/>
        <w:rPr>
          <w:rFonts w:eastAsia="Times New Roman" w:cs="Arial"/>
          <w:bCs/>
          <w:spacing w:val="-3"/>
        </w:rPr>
      </w:pPr>
      <w:r w:rsidRPr="009702B0">
        <w:rPr>
          <w:rFonts w:eastAsia="Times New Roman" w:cs="Arial"/>
          <w:bCs/>
          <w:spacing w:val="-3"/>
        </w:rPr>
        <w:t>The Manag</w:t>
      </w:r>
      <w:r w:rsidR="001D18AA">
        <w:rPr>
          <w:rFonts w:eastAsia="Times New Roman" w:cs="Arial"/>
          <w:bCs/>
          <w:spacing w:val="-3"/>
        </w:rPr>
        <w:t>ement</w:t>
      </w:r>
      <w:r w:rsidRPr="009702B0">
        <w:rPr>
          <w:rFonts w:eastAsia="Times New Roman" w:cs="Arial"/>
          <w:bCs/>
          <w:spacing w:val="-3"/>
        </w:rPr>
        <w:t xml:space="preserve"> Board estimates that the carrying amounts of financial assets and financial liabilities carried at amortized cost are a reasonable approximation of fair value. The fair value of bonds payable that is determined by using adjusted observable prices is presented in Note 13.</w:t>
      </w:r>
    </w:p>
    <w:p w14:paraId="5F4E3534" w14:textId="77777777" w:rsidR="009702B0" w:rsidRPr="009702B0" w:rsidRDefault="009702B0" w:rsidP="009702B0">
      <w:pPr>
        <w:spacing w:after="0" w:line="240" w:lineRule="auto"/>
        <w:jc w:val="both"/>
        <w:rPr>
          <w:rFonts w:eastAsia="Times New Roman" w:cs="Arial"/>
          <w:b/>
        </w:rPr>
      </w:pPr>
    </w:p>
    <w:p w14:paraId="565BEDF9" w14:textId="77777777" w:rsidR="009702B0" w:rsidRPr="009702B0" w:rsidRDefault="009702B0" w:rsidP="009702B0">
      <w:pPr>
        <w:tabs>
          <w:tab w:val="left" w:pos="567"/>
        </w:tabs>
        <w:spacing w:after="0" w:line="240" w:lineRule="auto"/>
        <w:jc w:val="both"/>
        <w:rPr>
          <w:rFonts w:eastAsia="Times New Roman" w:cs="Arial"/>
          <w:b/>
        </w:rPr>
      </w:pPr>
      <w:r w:rsidRPr="009702B0">
        <w:rPr>
          <w:rFonts w:eastAsia="Times New Roman" w:cs="Arial"/>
          <w:b/>
        </w:rPr>
        <w:t>18.</w:t>
      </w:r>
      <w:r w:rsidRPr="009702B0">
        <w:rPr>
          <w:rFonts w:eastAsia="Times New Roman" w:cs="Arial"/>
          <w:b/>
        </w:rPr>
        <w:tab/>
        <w:t>Reporting by segments</w:t>
      </w:r>
    </w:p>
    <w:p w14:paraId="1FC53A62" w14:textId="77777777" w:rsidR="009702B0" w:rsidRPr="009702B0" w:rsidRDefault="009702B0" w:rsidP="009702B0">
      <w:pPr>
        <w:tabs>
          <w:tab w:val="left" w:pos="567"/>
        </w:tabs>
        <w:spacing w:after="0" w:line="240" w:lineRule="auto"/>
        <w:jc w:val="both"/>
        <w:rPr>
          <w:rFonts w:eastAsia="Times New Roman" w:cs="Arial"/>
          <w:b/>
        </w:rPr>
      </w:pPr>
    </w:p>
    <w:p w14:paraId="6C5D7BAB" w14:textId="77777777" w:rsidR="009702B0" w:rsidRPr="009702B0" w:rsidRDefault="009702B0" w:rsidP="009702B0">
      <w:pPr>
        <w:spacing w:after="0" w:line="240" w:lineRule="auto"/>
        <w:jc w:val="both"/>
        <w:rPr>
          <w:rFonts w:eastAsia="Times New Roman" w:cs="Arial"/>
        </w:rPr>
      </w:pPr>
      <w:r w:rsidRPr="009702B0">
        <w:rPr>
          <w:rFonts w:eastAsia="Times New Roman" w:cs="Arial"/>
        </w:rPr>
        <w:t xml:space="preserve">General information on segments is given in relation to business segments of the Group. </w:t>
      </w:r>
    </w:p>
    <w:p w14:paraId="595E468E" w14:textId="77777777" w:rsidR="009702B0" w:rsidRPr="009702B0" w:rsidRDefault="009702B0" w:rsidP="009702B0">
      <w:pPr>
        <w:spacing w:after="0" w:line="240" w:lineRule="auto"/>
        <w:jc w:val="both"/>
        <w:rPr>
          <w:rFonts w:eastAsia="Times New Roman" w:cs="Arial"/>
        </w:rPr>
      </w:pPr>
    </w:p>
    <w:p w14:paraId="10C5A41C" w14:textId="77777777" w:rsidR="009702B0" w:rsidRPr="009702B0" w:rsidRDefault="009702B0" w:rsidP="009702B0">
      <w:pPr>
        <w:spacing w:after="0" w:line="240" w:lineRule="auto"/>
        <w:jc w:val="both"/>
        <w:rPr>
          <w:rFonts w:eastAsia="Times New Roman" w:cs="Arial"/>
        </w:rPr>
      </w:pPr>
      <w:r w:rsidRPr="009702B0">
        <w:rPr>
          <w:rFonts w:eastAsia="Times New Roman" w:cs="Arial"/>
        </w:rPr>
        <w:t>Since the Group does not allocate administrative costs and equity by segments, the profitability of segments is not presented.</w:t>
      </w:r>
    </w:p>
    <w:p w14:paraId="09357694" w14:textId="77777777" w:rsidR="009702B0" w:rsidRPr="009702B0" w:rsidRDefault="009702B0" w:rsidP="009702B0">
      <w:pPr>
        <w:spacing w:after="0" w:line="240" w:lineRule="auto"/>
        <w:jc w:val="both"/>
        <w:rPr>
          <w:rFonts w:eastAsia="Times New Roman" w:cs="Arial"/>
        </w:rPr>
      </w:pPr>
    </w:p>
    <w:p w14:paraId="6312CC47" w14:textId="77777777" w:rsidR="009702B0" w:rsidRPr="009702B0" w:rsidRDefault="009702B0" w:rsidP="009702B0">
      <w:pPr>
        <w:spacing w:after="0" w:line="240" w:lineRule="auto"/>
        <w:jc w:val="both"/>
        <w:rPr>
          <w:rFonts w:eastAsia="Times New Roman" w:cs="Arial"/>
        </w:rPr>
      </w:pPr>
      <w:r w:rsidRPr="009702B0">
        <w:rPr>
          <w:rFonts w:eastAsia="Times New Roman" w:cs="Arial"/>
        </w:rPr>
        <w:t>Assets and liabilities by segments are presented in net terms, i.e. gross after impairment and provisioning, and before the effect of mitigation through collateral received.</w:t>
      </w:r>
    </w:p>
    <w:p w14:paraId="6333A8B1" w14:textId="77777777" w:rsidR="009702B0" w:rsidRPr="009702B0" w:rsidRDefault="009702B0" w:rsidP="009702B0">
      <w:pPr>
        <w:spacing w:after="0" w:line="240" w:lineRule="auto"/>
        <w:jc w:val="both"/>
        <w:rPr>
          <w:rFonts w:eastAsia="Times New Roman" w:cs="Arial"/>
        </w:rPr>
      </w:pPr>
    </w:p>
    <w:p w14:paraId="4FDB7387" w14:textId="77777777" w:rsidR="009702B0" w:rsidRPr="009702B0" w:rsidRDefault="009702B0" w:rsidP="009702B0">
      <w:pPr>
        <w:spacing w:after="0" w:line="240" w:lineRule="auto"/>
        <w:jc w:val="both"/>
        <w:rPr>
          <w:rFonts w:eastAsia="Times New Roman" w:cs="Arial"/>
        </w:rPr>
      </w:pPr>
      <w:r w:rsidRPr="009702B0">
        <w:rPr>
          <w:rFonts w:eastAsia="Times New Roman" w:cs="Arial"/>
        </w:rPr>
        <w:t>Business operations of segments are divided in terms of organisation and management. Each segment as a whole provides various products and services and operates in various markets.</w:t>
      </w:r>
    </w:p>
    <w:p w14:paraId="30EBEB18" w14:textId="77777777" w:rsidR="009702B0" w:rsidRPr="009702B0" w:rsidRDefault="009702B0" w:rsidP="009702B0">
      <w:pPr>
        <w:spacing w:after="0" w:line="240" w:lineRule="auto"/>
        <w:jc w:val="both"/>
        <w:rPr>
          <w:rFonts w:eastAsia="Times New Roman" w:cs="Arial"/>
          <w:b/>
        </w:rPr>
      </w:pPr>
    </w:p>
    <w:p w14:paraId="65A6C485" w14:textId="77777777" w:rsidR="009702B0" w:rsidRPr="009702B0" w:rsidRDefault="009702B0" w:rsidP="009702B0">
      <w:pPr>
        <w:spacing w:after="0" w:line="240" w:lineRule="auto"/>
        <w:jc w:val="both"/>
        <w:rPr>
          <w:rFonts w:eastAsia="Times New Roman" w:cs="Arial"/>
          <w:b/>
        </w:rPr>
      </w:pPr>
      <w:r w:rsidRPr="009702B0">
        <w:rPr>
          <w:rFonts w:eastAsia="Times New Roman" w:cs="Arial"/>
          <w:b/>
        </w:rPr>
        <w:t>Business segments:</w:t>
      </w:r>
    </w:p>
    <w:p w14:paraId="49CE0320" w14:textId="77777777" w:rsidR="009702B0" w:rsidRPr="009702B0" w:rsidRDefault="009702B0" w:rsidP="009702B0">
      <w:pPr>
        <w:spacing w:after="0" w:line="240" w:lineRule="auto"/>
        <w:jc w:val="both"/>
        <w:rPr>
          <w:rFonts w:eastAsia="Times New Roman" w:cs="Arial"/>
          <w:b/>
        </w:rPr>
      </w:pPr>
    </w:p>
    <w:p w14:paraId="7F5AB02C" w14:textId="77777777" w:rsidR="009702B0" w:rsidRPr="009702B0" w:rsidRDefault="009702B0" w:rsidP="009702B0">
      <w:pPr>
        <w:spacing w:after="0" w:line="240" w:lineRule="auto"/>
        <w:jc w:val="both"/>
        <w:rPr>
          <w:rFonts w:eastAsia="Times New Roman" w:cs="Arial"/>
        </w:rPr>
      </w:pPr>
      <w:r w:rsidRPr="009702B0">
        <w:rPr>
          <w:rFonts w:eastAsia="Times New Roman" w:cs="Arial"/>
        </w:rPr>
        <w:t>The Group has following business segments:</w:t>
      </w:r>
    </w:p>
    <w:p w14:paraId="5525881C" w14:textId="77777777" w:rsidR="009702B0" w:rsidRPr="009702B0" w:rsidRDefault="009702B0" w:rsidP="009702B0">
      <w:pPr>
        <w:spacing w:after="0" w:line="240" w:lineRule="auto"/>
        <w:jc w:val="both"/>
        <w:rPr>
          <w:rFonts w:eastAsia="Times New Roman" w:cs="Arial"/>
        </w:rPr>
      </w:pPr>
    </w:p>
    <w:tbl>
      <w:tblPr>
        <w:tblW w:w="0" w:type="auto"/>
        <w:tblLook w:val="01E0" w:firstRow="1" w:lastRow="1" w:firstColumn="1" w:lastColumn="1" w:noHBand="0" w:noVBand="0"/>
      </w:tblPr>
      <w:tblGrid>
        <w:gridCol w:w="3528"/>
        <w:gridCol w:w="236"/>
        <w:gridCol w:w="5524"/>
      </w:tblGrid>
      <w:tr w:rsidR="009702B0" w:rsidRPr="009702B0" w14:paraId="5BBB96EC" w14:textId="77777777" w:rsidTr="009702B0">
        <w:tc>
          <w:tcPr>
            <w:tcW w:w="3528" w:type="dxa"/>
            <w:shd w:val="clear" w:color="auto" w:fill="auto"/>
          </w:tcPr>
          <w:p w14:paraId="1BE38B64" w14:textId="77777777" w:rsidR="009702B0" w:rsidRPr="009702B0" w:rsidRDefault="009702B0" w:rsidP="009702B0">
            <w:pPr>
              <w:spacing w:after="0" w:line="240" w:lineRule="auto"/>
              <w:jc w:val="both"/>
              <w:rPr>
                <w:rFonts w:eastAsia="Times New Roman" w:cs="Arial"/>
                <w:b/>
              </w:rPr>
            </w:pPr>
            <w:r w:rsidRPr="009702B0">
              <w:rPr>
                <w:rFonts w:eastAsia="Times New Roman" w:cs="Arial"/>
                <w:b/>
              </w:rPr>
              <w:t>Segment:</w:t>
            </w:r>
          </w:p>
        </w:tc>
        <w:tc>
          <w:tcPr>
            <w:tcW w:w="236" w:type="dxa"/>
            <w:shd w:val="clear" w:color="auto" w:fill="auto"/>
          </w:tcPr>
          <w:p w14:paraId="0367406B" w14:textId="77777777" w:rsidR="009702B0" w:rsidRPr="009702B0" w:rsidRDefault="009702B0" w:rsidP="009702B0">
            <w:pPr>
              <w:spacing w:after="0" w:line="240" w:lineRule="auto"/>
              <w:jc w:val="both"/>
              <w:rPr>
                <w:rFonts w:eastAsia="Times New Roman" w:cs="Arial"/>
                <w:b/>
              </w:rPr>
            </w:pPr>
          </w:p>
        </w:tc>
        <w:tc>
          <w:tcPr>
            <w:tcW w:w="5524" w:type="dxa"/>
            <w:shd w:val="clear" w:color="auto" w:fill="auto"/>
          </w:tcPr>
          <w:p w14:paraId="2B1EE81E" w14:textId="77777777" w:rsidR="009702B0" w:rsidRPr="009702B0" w:rsidRDefault="009702B0" w:rsidP="009702B0">
            <w:pPr>
              <w:spacing w:after="0" w:line="240" w:lineRule="auto"/>
              <w:jc w:val="both"/>
              <w:rPr>
                <w:rFonts w:eastAsia="Times New Roman" w:cs="Arial"/>
                <w:b/>
                <w:lang w:eastAsia="hr-HR"/>
              </w:rPr>
            </w:pPr>
            <w:r w:rsidRPr="009702B0">
              <w:rPr>
                <w:rFonts w:eastAsia="Times New Roman" w:cs="Arial"/>
                <w:b/>
                <w:lang w:eastAsia="hr-HR"/>
              </w:rPr>
              <w:t>Business activities of the segment include:</w:t>
            </w:r>
          </w:p>
        </w:tc>
      </w:tr>
      <w:tr w:rsidR="009702B0" w:rsidRPr="009702B0" w14:paraId="4C005EA9" w14:textId="77777777" w:rsidTr="009702B0">
        <w:tc>
          <w:tcPr>
            <w:tcW w:w="3528" w:type="dxa"/>
            <w:shd w:val="clear" w:color="auto" w:fill="auto"/>
          </w:tcPr>
          <w:p w14:paraId="4699B546" w14:textId="77777777" w:rsidR="009702B0" w:rsidRPr="009702B0" w:rsidRDefault="009702B0" w:rsidP="009702B0">
            <w:pPr>
              <w:spacing w:after="0" w:line="240" w:lineRule="auto"/>
              <w:jc w:val="both"/>
              <w:rPr>
                <w:rFonts w:eastAsia="Times New Roman" w:cs="Arial"/>
              </w:rPr>
            </w:pPr>
          </w:p>
        </w:tc>
        <w:tc>
          <w:tcPr>
            <w:tcW w:w="236" w:type="dxa"/>
            <w:shd w:val="clear" w:color="auto" w:fill="auto"/>
          </w:tcPr>
          <w:p w14:paraId="11CC1A98" w14:textId="77777777" w:rsidR="009702B0" w:rsidRPr="009702B0" w:rsidRDefault="009702B0" w:rsidP="009702B0">
            <w:pPr>
              <w:spacing w:after="0" w:line="240" w:lineRule="auto"/>
              <w:jc w:val="both"/>
              <w:rPr>
                <w:rFonts w:eastAsia="Times New Roman" w:cs="Arial"/>
              </w:rPr>
            </w:pPr>
          </w:p>
        </w:tc>
        <w:tc>
          <w:tcPr>
            <w:tcW w:w="5524" w:type="dxa"/>
            <w:shd w:val="clear" w:color="auto" w:fill="auto"/>
          </w:tcPr>
          <w:p w14:paraId="5E24FCBA" w14:textId="77777777" w:rsidR="009702B0" w:rsidRPr="009702B0" w:rsidRDefault="009702B0" w:rsidP="009702B0">
            <w:pPr>
              <w:spacing w:after="0" w:line="240" w:lineRule="auto"/>
              <w:jc w:val="both"/>
              <w:rPr>
                <w:rFonts w:eastAsia="Times New Roman" w:cs="Arial"/>
                <w:lang w:eastAsia="hr-HR"/>
              </w:rPr>
            </w:pPr>
          </w:p>
        </w:tc>
      </w:tr>
      <w:tr w:rsidR="009702B0" w:rsidRPr="009702B0" w14:paraId="3BD5BBC6" w14:textId="77777777" w:rsidTr="009702B0">
        <w:tc>
          <w:tcPr>
            <w:tcW w:w="3528" w:type="dxa"/>
            <w:shd w:val="clear" w:color="auto" w:fill="auto"/>
          </w:tcPr>
          <w:p w14:paraId="453C533C" w14:textId="77777777" w:rsidR="009702B0" w:rsidRPr="009702B0" w:rsidRDefault="009702B0" w:rsidP="009702B0">
            <w:pPr>
              <w:spacing w:after="0" w:line="240" w:lineRule="auto"/>
              <w:jc w:val="both"/>
              <w:rPr>
                <w:rFonts w:eastAsia="Times New Roman" w:cs="Arial"/>
              </w:rPr>
            </w:pPr>
            <w:r w:rsidRPr="009702B0">
              <w:rPr>
                <w:rFonts w:eastAsia="Times New Roman" w:cs="Arial"/>
              </w:rPr>
              <w:t>Banking activities</w:t>
            </w:r>
          </w:p>
        </w:tc>
        <w:tc>
          <w:tcPr>
            <w:tcW w:w="236" w:type="dxa"/>
            <w:shd w:val="clear" w:color="auto" w:fill="auto"/>
          </w:tcPr>
          <w:p w14:paraId="3651F678" w14:textId="77777777" w:rsidR="009702B0" w:rsidRPr="009702B0" w:rsidRDefault="009702B0" w:rsidP="009702B0">
            <w:pPr>
              <w:spacing w:after="0" w:line="240" w:lineRule="auto"/>
              <w:jc w:val="both"/>
              <w:rPr>
                <w:rFonts w:eastAsia="Times New Roman" w:cs="Arial"/>
              </w:rPr>
            </w:pPr>
          </w:p>
        </w:tc>
        <w:tc>
          <w:tcPr>
            <w:tcW w:w="5524" w:type="dxa"/>
            <w:shd w:val="clear" w:color="auto" w:fill="auto"/>
          </w:tcPr>
          <w:p w14:paraId="016932FD" w14:textId="77777777" w:rsidR="009702B0" w:rsidRPr="009702B0" w:rsidRDefault="009702B0" w:rsidP="009702B0">
            <w:pPr>
              <w:spacing w:after="0" w:line="240" w:lineRule="auto"/>
              <w:jc w:val="both"/>
              <w:rPr>
                <w:rFonts w:eastAsia="Times New Roman" w:cs="Arial"/>
                <w:lang w:eastAsia="hr-HR"/>
              </w:rPr>
            </w:pPr>
            <w:r w:rsidRPr="009702B0">
              <w:rPr>
                <w:rFonts w:eastAsia="Times New Roman" w:cs="Arial"/>
                <w:lang w:eastAsia="hr-HR"/>
              </w:rPr>
              <w:t xml:space="preserve">Financing reconstruction and development of the Croatian economy, financing of infrastructure, export promotion, support for the development of small and medium-sized companies, environmental protection, and export credit insurance of Croatian goods and services against non-market risks for and on behalf of the Republic of Croatia. </w:t>
            </w:r>
          </w:p>
        </w:tc>
      </w:tr>
      <w:tr w:rsidR="009702B0" w:rsidRPr="009702B0" w14:paraId="47A7CE99" w14:textId="77777777" w:rsidTr="009702B0">
        <w:tc>
          <w:tcPr>
            <w:tcW w:w="3528" w:type="dxa"/>
            <w:shd w:val="clear" w:color="auto" w:fill="auto"/>
          </w:tcPr>
          <w:p w14:paraId="119166B0" w14:textId="77777777" w:rsidR="009702B0" w:rsidRPr="009702B0" w:rsidRDefault="009702B0" w:rsidP="009702B0">
            <w:pPr>
              <w:spacing w:after="0" w:line="240" w:lineRule="auto"/>
              <w:jc w:val="both"/>
              <w:rPr>
                <w:rFonts w:eastAsia="Times New Roman" w:cs="Arial"/>
              </w:rPr>
            </w:pPr>
          </w:p>
        </w:tc>
        <w:tc>
          <w:tcPr>
            <w:tcW w:w="236" w:type="dxa"/>
            <w:shd w:val="clear" w:color="auto" w:fill="auto"/>
          </w:tcPr>
          <w:p w14:paraId="121D1F05" w14:textId="77777777" w:rsidR="009702B0" w:rsidRPr="009702B0" w:rsidRDefault="009702B0" w:rsidP="009702B0">
            <w:pPr>
              <w:spacing w:after="0" w:line="240" w:lineRule="auto"/>
              <w:jc w:val="both"/>
              <w:rPr>
                <w:rFonts w:eastAsia="Times New Roman" w:cs="Arial"/>
              </w:rPr>
            </w:pPr>
          </w:p>
        </w:tc>
        <w:tc>
          <w:tcPr>
            <w:tcW w:w="5524" w:type="dxa"/>
            <w:shd w:val="clear" w:color="auto" w:fill="auto"/>
          </w:tcPr>
          <w:p w14:paraId="023BB552" w14:textId="77777777" w:rsidR="009702B0" w:rsidRPr="009702B0" w:rsidRDefault="009702B0" w:rsidP="009702B0">
            <w:pPr>
              <w:spacing w:after="0" w:line="240" w:lineRule="auto"/>
              <w:jc w:val="both"/>
              <w:rPr>
                <w:rFonts w:eastAsia="Times New Roman" w:cs="Arial"/>
              </w:rPr>
            </w:pPr>
          </w:p>
        </w:tc>
      </w:tr>
      <w:tr w:rsidR="009702B0" w:rsidRPr="009702B0" w14:paraId="4BBC6316" w14:textId="77777777" w:rsidTr="009702B0">
        <w:tc>
          <w:tcPr>
            <w:tcW w:w="3528" w:type="dxa"/>
            <w:shd w:val="clear" w:color="auto" w:fill="auto"/>
          </w:tcPr>
          <w:p w14:paraId="0BADAC30" w14:textId="77777777" w:rsidR="009702B0" w:rsidRPr="009702B0" w:rsidRDefault="009702B0" w:rsidP="009702B0">
            <w:pPr>
              <w:spacing w:after="0" w:line="240" w:lineRule="auto"/>
              <w:jc w:val="both"/>
              <w:rPr>
                <w:rFonts w:eastAsia="Times New Roman" w:cs="Arial"/>
              </w:rPr>
            </w:pPr>
            <w:r w:rsidRPr="009702B0">
              <w:rPr>
                <w:rFonts w:eastAsia="Times New Roman" w:cs="Arial"/>
              </w:rPr>
              <w:t xml:space="preserve">Insurance activities </w:t>
            </w:r>
          </w:p>
        </w:tc>
        <w:tc>
          <w:tcPr>
            <w:tcW w:w="236" w:type="dxa"/>
            <w:shd w:val="clear" w:color="auto" w:fill="auto"/>
          </w:tcPr>
          <w:p w14:paraId="20B3676F" w14:textId="77777777" w:rsidR="009702B0" w:rsidRPr="009702B0" w:rsidRDefault="009702B0" w:rsidP="009702B0">
            <w:pPr>
              <w:spacing w:after="0" w:line="240" w:lineRule="auto"/>
              <w:jc w:val="both"/>
              <w:rPr>
                <w:rFonts w:eastAsia="Times New Roman" w:cs="Arial"/>
              </w:rPr>
            </w:pPr>
          </w:p>
        </w:tc>
        <w:tc>
          <w:tcPr>
            <w:tcW w:w="5524" w:type="dxa"/>
            <w:shd w:val="clear" w:color="auto" w:fill="auto"/>
          </w:tcPr>
          <w:p w14:paraId="1D93D76E" w14:textId="77777777" w:rsidR="009702B0" w:rsidRPr="009702B0" w:rsidRDefault="009702B0" w:rsidP="009702B0">
            <w:pPr>
              <w:spacing w:after="0" w:line="240" w:lineRule="auto"/>
              <w:jc w:val="both"/>
              <w:rPr>
                <w:rFonts w:eastAsia="Times New Roman" w:cs="Arial"/>
              </w:rPr>
            </w:pPr>
            <w:r w:rsidRPr="009702B0">
              <w:rPr>
                <w:rFonts w:eastAsia="Times New Roman" w:cs="Arial"/>
              </w:rPr>
              <w:t xml:space="preserve">Insurance of foreign and domestic short-term receivables of business entities relating to deliveries of goods and services </w:t>
            </w:r>
          </w:p>
        </w:tc>
      </w:tr>
      <w:tr w:rsidR="009702B0" w:rsidRPr="009702B0" w14:paraId="41B4EC89" w14:textId="77777777" w:rsidTr="009702B0">
        <w:tc>
          <w:tcPr>
            <w:tcW w:w="3528" w:type="dxa"/>
            <w:shd w:val="clear" w:color="auto" w:fill="auto"/>
          </w:tcPr>
          <w:p w14:paraId="153231D0" w14:textId="77777777" w:rsidR="009702B0" w:rsidRPr="009702B0" w:rsidRDefault="009702B0" w:rsidP="009702B0">
            <w:pPr>
              <w:spacing w:after="0" w:line="240" w:lineRule="auto"/>
              <w:jc w:val="both"/>
              <w:rPr>
                <w:rFonts w:eastAsia="Times New Roman" w:cs="Arial"/>
              </w:rPr>
            </w:pPr>
          </w:p>
        </w:tc>
        <w:tc>
          <w:tcPr>
            <w:tcW w:w="236" w:type="dxa"/>
            <w:shd w:val="clear" w:color="auto" w:fill="auto"/>
          </w:tcPr>
          <w:p w14:paraId="41ADC4D7" w14:textId="77777777" w:rsidR="009702B0" w:rsidRPr="009702B0" w:rsidRDefault="009702B0" w:rsidP="009702B0">
            <w:pPr>
              <w:spacing w:after="0" w:line="240" w:lineRule="auto"/>
              <w:jc w:val="both"/>
              <w:rPr>
                <w:rFonts w:eastAsia="Times New Roman" w:cs="Arial"/>
              </w:rPr>
            </w:pPr>
          </w:p>
        </w:tc>
        <w:tc>
          <w:tcPr>
            <w:tcW w:w="5524" w:type="dxa"/>
            <w:shd w:val="clear" w:color="auto" w:fill="auto"/>
          </w:tcPr>
          <w:p w14:paraId="4265427F" w14:textId="77777777" w:rsidR="009702B0" w:rsidRPr="009702B0" w:rsidRDefault="009702B0" w:rsidP="009702B0">
            <w:pPr>
              <w:spacing w:after="0" w:line="240" w:lineRule="auto"/>
              <w:jc w:val="both"/>
              <w:rPr>
                <w:rFonts w:eastAsia="Times New Roman" w:cs="Arial"/>
              </w:rPr>
            </w:pPr>
          </w:p>
        </w:tc>
      </w:tr>
      <w:tr w:rsidR="009702B0" w:rsidRPr="009702B0" w14:paraId="2E976859" w14:textId="77777777" w:rsidTr="009702B0">
        <w:tc>
          <w:tcPr>
            <w:tcW w:w="3528" w:type="dxa"/>
            <w:shd w:val="clear" w:color="auto" w:fill="auto"/>
          </w:tcPr>
          <w:p w14:paraId="54E31AE9" w14:textId="77777777" w:rsidR="009702B0" w:rsidRPr="009702B0" w:rsidRDefault="009702B0" w:rsidP="009702B0">
            <w:pPr>
              <w:spacing w:after="0" w:line="240" w:lineRule="auto"/>
              <w:jc w:val="both"/>
              <w:rPr>
                <w:rFonts w:eastAsia="Times New Roman" w:cs="Arial"/>
              </w:rPr>
            </w:pPr>
            <w:r w:rsidRPr="009702B0">
              <w:rPr>
                <w:rFonts w:eastAsia="Times New Roman" w:cs="Arial"/>
              </w:rPr>
              <w:t>Other</w:t>
            </w:r>
          </w:p>
        </w:tc>
        <w:tc>
          <w:tcPr>
            <w:tcW w:w="236" w:type="dxa"/>
            <w:shd w:val="clear" w:color="auto" w:fill="auto"/>
          </w:tcPr>
          <w:p w14:paraId="278C4000" w14:textId="77777777" w:rsidR="009702B0" w:rsidRPr="009702B0" w:rsidRDefault="009702B0" w:rsidP="009702B0">
            <w:pPr>
              <w:spacing w:after="0" w:line="240" w:lineRule="auto"/>
              <w:jc w:val="both"/>
              <w:rPr>
                <w:rFonts w:eastAsia="Times New Roman" w:cs="Arial"/>
              </w:rPr>
            </w:pPr>
          </w:p>
        </w:tc>
        <w:tc>
          <w:tcPr>
            <w:tcW w:w="5524" w:type="dxa"/>
            <w:shd w:val="clear" w:color="auto" w:fill="auto"/>
          </w:tcPr>
          <w:p w14:paraId="4A80144B" w14:textId="77777777" w:rsidR="009702B0" w:rsidRPr="009702B0" w:rsidRDefault="009702B0" w:rsidP="009702B0">
            <w:pPr>
              <w:spacing w:after="0" w:line="240" w:lineRule="auto"/>
              <w:jc w:val="both"/>
              <w:rPr>
                <w:rFonts w:eastAsia="Times New Roman" w:cs="Arial"/>
              </w:rPr>
            </w:pPr>
            <w:r w:rsidRPr="009702B0">
              <w:rPr>
                <w:rFonts w:eastAsia="Times New Roman" w:cs="Arial"/>
              </w:rPr>
              <w:t xml:space="preserve">Preparation of analyses, credit risk assessment and providing information on creditworthiness </w:t>
            </w:r>
          </w:p>
        </w:tc>
      </w:tr>
    </w:tbl>
    <w:p w14:paraId="018AF5C7" w14:textId="77777777" w:rsidR="009702B0" w:rsidRPr="009702B0" w:rsidRDefault="009702B0" w:rsidP="009702B0">
      <w:pPr>
        <w:spacing w:after="0" w:line="240" w:lineRule="auto"/>
        <w:jc w:val="both"/>
        <w:rPr>
          <w:rFonts w:eastAsia="Times New Roman" w:cs="Calibri"/>
          <w:lang w:eastAsia="hr-HR"/>
        </w:rPr>
      </w:pPr>
    </w:p>
    <w:p w14:paraId="4B0385CB" w14:textId="77777777" w:rsidR="009702B0" w:rsidRPr="009702B0" w:rsidRDefault="009702B0" w:rsidP="009702B0">
      <w:pPr>
        <w:spacing w:after="0" w:line="240" w:lineRule="auto"/>
        <w:jc w:val="both"/>
        <w:rPr>
          <w:rFonts w:eastAsia="Times New Roman" w:cs="Calibri"/>
          <w:lang w:eastAsia="hr-HR"/>
        </w:rPr>
      </w:pPr>
    </w:p>
    <w:p w14:paraId="6130A6EB" w14:textId="77777777" w:rsidR="009702B0" w:rsidRPr="009702B0" w:rsidRDefault="009702B0" w:rsidP="009702B0">
      <w:pPr>
        <w:spacing w:after="0" w:line="240" w:lineRule="auto"/>
        <w:jc w:val="both"/>
        <w:rPr>
          <w:rFonts w:eastAsia="Times New Roman" w:cs="Calibri"/>
          <w:sz w:val="24"/>
          <w:szCs w:val="24"/>
          <w:lang w:eastAsia="hr-HR"/>
        </w:rPr>
      </w:pPr>
    </w:p>
    <w:p w14:paraId="22807970" w14:textId="77777777" w:rsidR="009702B0" w:rsidRPr="009702B0" w:rsidRDefault="009702B0" w:rsidP="009702B0">
      <w:pPr>
        <w:spacing w:after="0" w:line="240" w:lineRule="auto"/>
        <w:jc w:val="both"/>
        <w:rPr>
          <w:rFonts w:eastAsia="Times New Roman" w:cs="Calibri"/>
          <w:sz w:val="24"/>
          <w:szCs w:val="24"/>
          <w:lang w:eastAsia="hr-HR"/>
        </w:rPr>
        <w:sectPr w:rsidR="009702B0" w:rsidRPr="009702B0" w:rsidSect="00947CB7">
          <w:footerReference w:type="first" r:id="rId126"/>
          <w:pgSz w:w="11906" w:h="16838" w:code="9"/>
          <w:pgMar w:top="1418" w:right="1418" w:bottom="595" w:left="1134" w:header="709" w:footer="709" w:gutter="0"/>
          <w:cols w:space="708"/>
          <w:titlePg/>
          <w:docGrid w:linePitch="360"/>
        </w:sectPr>
      </w:pPr>
    </w:p>
    <w:p w14:paraId="35BF7F07" w14:textId="77777777" w:rsidR="009702B0" w:rsidRPr="009702B0" w:rsidRDefault="009702B0" w:rsidP="009702B0">
      <w:pPr>
        <w:spacing w:after="0" w:line="240" w:lineRule="auto"/>
        <w:jc w:val="both"/>
        <w:rPr>
          <w:rFonts w:eastAsia="Times New Roman" w:cs="Calibri"/>
          <w:sz w:val="24"/>
          <w:szCs w:val="24"/>
          <w:lang w:eastAsia="hr-HR"/>
        </w:rPr>
      </w:pPr>
    </w:p>
    <w:p w14:paraId="0E78F202" w14:textId="77777777" w:rsidR="009702B0" w:rsidRPr="009702B0" w:rsidRDefault="009702B0" w:rsidP="009702B0">
      <w:pPr>
        <w:spacing w:after="0" w:line="240" w:lineRule="auto"/>
        <w:jc w:val="both"/>
        <w:rPr>
          <w:rFonts w:eastAsia="Times New Roman" w:cs="Arial"/>
          <w:b/>
        </w:rPr>
      </w:pPr>
      <w:r w:rsidRPr="009702B0">
        <w:rPr>
          <w:rFonts w:eastAsia="Times New Roman" w:cs="Arial"/>
          <w:b/>
          <w:spacing w:val="-3"/>
        </w:rPr>
        <w:t xml:space="preserve">18. </w:t>
      </w:r>
      <w:r w:rsidRPr="009702B0">
        <w:rPr>
          <w:rFonts w:eastAsia="Times New Roman" w:cs="Arial"/>
          <w:b/>
          <w:spacing w:val="-3"/>
        </w:rPr>
        <w:tab/>
      </w:r>
      <w:r w:rsidRPr="009702B0">
        <w:rPr>
          <w:rFonts w:eastAsia="Times New Roman" w:cs="Arial"/>
          <w:b/>
        </w:rPr>
        <w:t>Reporting by segments (continued)</w:t>
      </w:r>
    </w:p>
    <w:p w14:paraId="50E8EE9F" w14:textId="77777777" w:rsidR="009702B0" w:rsidRPr="009702B0" w:rsidRDefault="009702B0" w:rsidP="009702B0">
      <w:pPr>
        <w:spacing w:after="0" w:line="240" w:lineRule="auto"/>
        <w:jc w:val="both"/>
        <w:rPr>
          <w:rFonts w:eastAsia="Times New Roman" w:cs="Arial"/>
          <w:b/>
          <w:sz w:val="24"/>
          <w:szCs w:val="24"/>
        </w:rPr>
      </w:pPr>
    </w:p>
    <w:tbl>
      <w:tblPr>
        <w:tblpPr w:leftFromText="181" w:rightFromText="181" w:vertAnchor="text" w:horzAnchor="margin" w:tblpXSpec="center" w:tblpY="1"/>
        <w:tblW w:w="9889" w:type="dxa"/>
        <w:tblLayout w:type="fixed"/>
        <w:tblLook w:val="04A0" w:firstRow="1" w:lastRow="0" w:firstColumn="1" w:lastColumn="0" w:noHBand="0" w:noVBand="1"/>
      </w:tblPr>
      <w:tblGrid>
        <w:gridCol w:w="3227"/>
        <w:gridCol w:w="1134"/>
        <w:gridCol w:w="1593"/>
        <w:gridCol w:w="1242"/>
        <w:gridCol w:w="1309"/>
        <w:gridCol w:w="1384"/>
      </w:tblGrid>
      <w:tr w:rsidR="009702B0" w:rsidRPr="00693FCC" w14:paraId="1B3A9A57" w14:textId="77777777" w:rsidTr="00BA3F2A">
        <w:trPr>
          <w:trHeight w:val="145"/>
        </w:trPr>
        <w:tc>
          <w:tcPr>
            <w:tcW w:w="3227" w:type="dxa"/>
            <w:shd w:val="clear" w:color="auto" w:fill="auto"/>
            <w:vAlign w:val="bottom"/>
          </w:tcPr>
          <w:p w14:paraId="131736EF" w14:textId="77777777" w:rsidR="009702B0" w:rsidRPr="00BA3F2A" w:rsidRDefault="009702B0" w:rsidP="009702B0">
            <w:pPr>
              <w:spacing w:after="0" w:line="240" w:lineRule="auto"/>
              <w:rPr>
                <w:rFonts w:eastAsia="Times New Roman" w:cs="Arial"/>
                <w:b/>
                <w:bCs/>
                <w:sz w:val="18"/>
                <w:szCs w:val="18"/>
              </w:rPr>
            </w:pPr>
          </w:p>
        </w:tc>
        <w:tc>
          <w:tcPr>
            <w:tcW w:w="1134" w:type="dxa"/>
            <w:shd w:val="clear" w:color="auto" w:fill="auto"/>
            <w:noWrap/>
          </w:tcPr>
          <w:p w14:paraId="7CA33B3F" w14:textId="77777777" w:rsidR="009702B0" w:rsidRPr="00BA3F2A" w:rsidRDefault="009702B0" w:rsidP="009702B0">
            <w:pPr>
              <w:spacing w:after="0" w:line="240" w:lineRule="auto"/>
              <w:jc w:val="right"/>
              <w:rPr>
                <w:rFonts w:eastAsia="Times New Roman" w:cs="Arial"/>
                <w:b/>
                <w:sz w:val="18"/>
                <w:szCs w:val="18"/>
              </w:rPr>
            </w:pPr>
          </w:p>
        </w:tc>
        <w:tc>
          <w:tcPr>
            <w:tcW w:w="1593" w:type="dxa"/>
            <w:shd w:val="clear" w:color="auto" w:fill="auto"/>
            <w:noWrap/>
            <w:vAlign w:val="bottom"/>
          </w:tcPr>
          <w:p w14:paraId="1D24EA95" w14:textId="77777777" w:rsidR="009702B0" w:rsidRPr="00BA3F2A" w:rsidRDefault="009702B0" w:rsidP="009702B0">
            <w:pPr>
              <w:spacing w:after="0" w:line="240" w:lineRule="auto"/>
              <w:jc w:val="right"/>
              <w:rPr>
                <w:rFonts w:eastAsia="Times New Roman" w:cs="Arial"/>
                <w:b/>
                <w:sz w:val="18"/>
                <w:szCs w:val="18"/>
              </w:rPr>
            </w:pPr>
          </w:p>
        </w:tc>
        <w:tc>
          <w:tcPr>
            <w:tcW w:w="1242" w:type="dxa"/>
            <w:shd w:val="clear" w:color="auto" w:fill="auto"/>
            <w:noWrap/>
            <w:vAlign w:val="bottom"/>
          </w:tcPr>
          <w:p w14:paraId="2C481200" w14:textId="77777777" w:rsidR="009702B0" w:rsidRPr="00BA3F2A" w:rsidRDefault="009702B0" w:rsidP="009702B0">
            <w:pPr>
              <w:spacing w:after="0" w:line="240" w:lineRule="auto"/>
              <w:jc w:val="right"/>
              <w:rPr>
                <w:rFonts w:eastAsia="Times New Roman" w:cs="Arial"/>
                <w:b/>
                <w:sz w:val="18"/>
                <w:szCs w:val="18"/>
              </w:rPr>
            </w:pPr>
          </w:p>
        </w:tc>
        <w:tc>
          <w:tcPr>
            <w:tcW w:w="1309" w:type="dxa"/>
            <w:shd w:val="clear" w:color="auto" w:fill="auto"/>
            <w:noWrap/>
            <w:vAlign w:val="bottom"/>
          </w:tcPr>
          <w:p w14:paraId="63E7427E" w14:textId="77777777" w:rsidR="009702B0" w:rsidRPr="00BA3F2A" w:rsidRDefault="009702B0" w:rsidP="009702B0">
            <w:pPr>
              <w:spacing w:after="0" w:line="240" w:lineRule="auto"/>
              <w:jc w:val="right"/>
              <w:rPr>
                <w:rFonts w:eastAsia="Times New Roman" w:cs="Arial"/>
                <w:b/>
                <w:sz w:val="18"/>
                <w:szCs w:val="18"/>
              </w:rPr>
            </w:pPr>
          </w:p>
        </w:tc>
        <w:tc>
          <w:tcPr>
            <w:tcW w:w="1384" w:type="dxa"/>
            <w:shd w:val="clear" w:color="auto" w:fill="auto"/>
            <w:noWrap/>
            <w:vAlign w:val="bottom"/>
          </w:tcPr>
          <w:p w14:paraId="39EEDA54" w14:textId="77777777" w:rsidR="009702B0" w:rsidRPr="00BA3F2A" w:rsidRDefault="009702B0" w:rsidP="009702B0">
            <w:pPr>
              <w:spacing w:after="0" w:line="240" w:lineRule="auto"/>
              <w:jc w:val="right"/>
              <w:rPr>
                <w:rFonts w:eastAsia="Times New Roman" w:cs="Arial"/>
                <w:b/>
                <w:sz w:val="18"/>
                <w:szCs w:val="18"/>
              </w:rPr>
            </w:pPr>
          </w:p>
        </w:tc>
      </w:tr>
      <w:tr w:rsidR="009702B0" w:rsidRPr="00693FCC" w14:paraId="0ECC4D1A" w14:textId="77777777" w:rsidTr="00BA3F2A">
        <w:trPr>
          <w:trHeight w:val="600"/>
        </w:trPr>
        <w:tc>
          <w:tcPr>
            <w:tcW w:w="3227" w:type="dxa"/>
            <w:shd w:val="clear" w:color="auto" w:fill="auto"/>
            <w:vAlign w:val="center"/>
          </w:tcPr>
          <w:p w14:paraId="323FBC92" w14:textId="04E8E984" w:rsidR="009702B0" w:rsidRPr="00BA3F2A" w:rsidRDefault="00B605DE" w:rsidP="009702B0">
            <w:pPr>
              <w:spacing w:after="0" w:line="240" w:lineRule="auto"/>
              <w:rPr>
                <w:rFonts w:eastAsia="Times New Roman" w:cs="Arial"/>
                <w:b/>
                <w:bCs/>
                <w:sz w:val="18"/>
                <w:szCs w:val="18"/>
              </w:rPr>
            </w:pPr>
            <w:r>
              <w:rPr>
                <w:rFonts w:eastAsia="Times New Roman" w:cs="Arial"/>
                <w:b/>
                <w:bCs/>
                <w:sz w:val="18"/>
                <w:szCs w:val="18"/>
              </w:rPr>
              <w:t xml:space="preserve">Sep </w:t>
            </w:r>
            <w:r w:rsidR="00191C78">
              <w:rPr>
                <w:rFonts w:eastAsia="Times New Roman" w:cs="Arial"/>
                <w:b/>
                <w:bCs/>
                <w:sz w:val="18"/>
                <w:szCs w:val="18"/>
              </w:rPr>
              <w:t>30</w:t>
            </w:r>
            <w:r w:rsidR="006B0E06">
              <w:rPr>
                <w:rFonts w:eastAsia="Times New Roman" w:cs="Arial"/>
                <w:b/>
                <w:bCs/>
                <w:sz w:val="18"/>
                <w:szCs w:val="18"/>
              </w:rPr>
              <w:t>, 2017</w:t>
            </w:r>
          </w:p>
        </w:tc>
        <w:tc>
          <w:tcPr>
            <w:tcW w:w="1134" w:type="dxa"/>
            <w:shd w:val="clear" w:color="auto" w:fill="auto"/>
            <w:vAlign w:val="center"/>
          </w:tcPr>
          <w:p w14:paraId="5231F305" w14:textId="77777777" w:rsidR="009702B0" w:rsidRPr="00BA3F2A" w:rsidRDefault="009702B0" w:rsidP="009702B0">
            <w:pPr>
              <w:spacing w:after="0" w:line="240" w:lineRule="auto"/>
              <w:jc w:val="right"/>
              <w:rPr>
                <w:rFonts w:eastAsia="Times New Roman" w:cs="Arial"/>
                <w:b/>
                <w:bCs/>
                <w:sz w:val="18"/>
                <w:szCs w:val="18"/>
              </w:rPr>
            </w:pPr>
            <w:r w:rsidRPr="00BA3F2A">
              <w:rPr>
                <w:rFonts w:eastAsia="Times New Roman" w:cs="Arial"/>
                <w:b/>
                <w:bCs/>
                <w:sz w:val="18"/>
                <w:szCs w:val="18"/>
              </w:rPr>
              <w:t>Banking activities</w:t>
            </w:r>
          </w:p>
        </w:tc>
        <w:tc>
          <w:tcPr>
            <w:tcW w:w="1593" w:type="dxa"/>
            <w:shd w:val="clear" w:color="auto" w:fill="auto"/>
            <w:vAlign w:val="center"/>
          </w:tcPr>
          <w:p w14:paraId="6144F9AE" w14:textId="77777777" w:rsidR="009702B0" w:rsidRPr="00BA3F2A" w:rsidRDefault="009702B0" w:rsidP="009702B0">
            <w:pPr>
              <w:spacing w:after="0" w:line="240" w:lineRule="auto"/>
              <w:jc w:val="right"/>
              <w:rPr>
                <w:rFonts w:eastAsia="Times New Roman" w:cs="Arial"/>
                <w:b/>
                <w:bCs/>
                <w:sz w:val="18"/>
                <w:szCs w:val="18"/>
              </w:rPr>
            </w:pPr>
            <w:r w:rsidRPr="00BA3F2A">
              <w:rPr>
                <w:rFonts w:eastAsia="Times New Roman" w:cs="Arial"/>
                <w:b/>
                <w:bCs/>
                <w:sz w:val="18"/>
                <w:szCs w:val="18"/>
              </w:rPr>
              <w:t>Insurance activities</w:t>
            </w:r>
          </w:p>
        </w:tc>
        <w:tc>
          <w:tcPr>
            <w:tcW w:w="1242" w:type="dxa"/>
            <w:shd w:val="clear" w:color="auto" w:fill="auto"/>
            <w:vAlign w:val="center"/>
          </w:tcPr>
          <w:p w14:paraId="2E2B7382" w14:textId="77777777" w:rsidR="009702B0" w:rsidRPr="00BA3F2A" w:rsidRDefault="009702B0" w:rsidP="009702B0">
            <w:pPr>
              <w:spacing w:after="0" w:line="240" w:lineRule="auto"/>
              <w:jc w:val="right"/>
              <w:rPr>
                <w:rFonts w:eastAsia="Times New Roman" w:cs="Arial"/>
                <w:b/>
                <w:bCs/>
                <w:sz w:val="18"/>
                <w:szCs w:val="18"/>
              </w:rPr>
            </w:pPr>
            <w:r w:rsidRPr="00BA3F2A">
              <w:rPr>
                <w:rFonts w:eastAsia="Times New Roman" w:cs="Arial"/>
                <w:b/>
                <w:bCs/>
                <w:sz w:val="18"/>
                <w:szCs w:val="18"/>
              </w:rPr>
              <w:t>Other activities</w:t>
            </w:r>
          </w:p>
        </w:tc>
        <w:tc>
          <w:tcPr>
            <w:tcW w:w="1309" w:type="dxa"/>
            <w:shd w:val="clear" w:color="auto" w:fill="auto"/>
            <w:vAlign w:val="center"/>
          </w:tcPr>
          <w:p w14:paraId="53FB2043" w14:textId="77777777" w:rsidR="009702B0" w:rsidRPr="00BA3F2A" w:rsidRDefault="009702B0" w:rsidP="009702B0">
            <w:pPr>
              <w:spacing w:after="0" w:line="240" w:lineRule="auto"/>
              <w:jc w:val="right"/>
              <w:rPr>
                <w:rFonts w:eastAsia="Times New Roman" w:cs="Arial"/>
                <w:b/>
                <w:bCs/>
                <w:sz w:val="18"/>
                <w:szCs w:val="18"/>
              </w:rPr>
            </w:pPr>
            <w:r w:rsidRPr="00BA3F2A">
              <w:rPr>
                <w:rFonts w:eastAsia="Times New Roman" w:cs="Arial"/>
                <w:b/>
                <w:bCs/>
                <w:sz w:val="18"/>
                <w:szCs w:val="18"/>
              </w:rPr>
              <w:t>Unallocated</w:t>
            </w:r>
          </w:p>
        </w:tc>
        <w:tc>
          <w:tcPr>
            <w:tcW w:w="1384" w:type="dxa"/>
            <w:shd w:val="clear" w:color="auto" w:fill="auto"/>
            <w:vAlign w:val="center"/>
          </w:tcPr>
          <w:p w14:paraId="6411829A" w14:textId="77777777" w:rsidR="009702B0" w:rsidRPr="00BA3F2A" w:rsidRDefault="009702B0" w:rsidP="009702B0">
            <w:pPr>
              <w:spacing w:after="0" w:line="240" w:lineRule="auto"/>
              <w:jc w:val="right"/>
              <w:rPr>
                <w:rFonts w:eastAsia="Times New Roman" w:cs="Arial"/>
                <w:b/>
                <w:bCs/>
                <w:sz w:val="18"/>
                <w:szCs w:val="18"/>
              </w:rPr>
            </w:pPr>
            <w:r w:rsidRPr="00BA3F2A">
              <w:rPr>
                <w:rFonts w:eastAsia="Times New Roman" w:cs="Arial"/>
                <w:b/>
                <w:bCs/>
                <w:sz w:val="18"/>
                <w:szCs w:val="18"/>
              </w:rPr>
              <w:t>Total</w:t>
            </w:r>
          </w:p>
        </w:tc>
      </w:tr>
      <w:tr w:rsidR="00E16456" w:rsidRPr="00693FCC" w14:paraId="2AF4DB9A" w14:textId="77777777" w:rsidTr="00BA3F2A">
        <w:trPr>
          <w:trHeight w:val="300"/>
        </w:trPr>
        <w:tc>
          <w:tcPr>
            <w:tcW w:w="3227" w:type="dxa"/>
            <w:shd w:val="clear" w:color="auto" w:fill="auto"/>
            <w:vAlign w:val="bottom"/>
          </w:tcPr>
          <w:p w14:paraId="4EB69B49" w14:textId="77777777" w:rsidR="00E16456" w:rsidRPr="00BA3F2A" w:rsidRDefault="00E16456" w:rsidP="00E16456">
            <w:pPr>
              <w:spacing w:after="0" w:line="240" w:lineRule="auto"/>
              <w:rPr>
                <w:rFonts w:eastAsia="Times New Roman" w:cs="Arial"/>
                <w:sz w:val="18"/>
                <w:szCs w:val="18"/>
              </w:rPr>
            </w:pPr>
            <w:r w:rsidRPr="00BA3F2A">
              <w:rPr>
                <w:rFonts w:eastAsia="Times New Roman" w:cs="Arial"/>
                <w:sz w:val="18"/>
                <w:szCs w:val="18"/>
              </w:rPr>
              <w:t xml:space="preserve">Net interest income </w:t>
            </w:r>
          </w:p>
        </w:tc>
        <w:tc>
          <w:tcPr>
            <w:tcW w:w="1134" w:type="dxa"/>
            <w:tcBorders>
              <w:top w:val="nil"/>
              <w:left w:val="nil"/>
              <w:bottom w:val="nil"/>
              <w:right w:val="nil"/>
            </w:tcBorders>
            <w:shd w:val="clear" w:color="auto" w:fill="auto"/>
            <w:noWrap/>
            <w:vAlign w:val="bottom"/>
          </w:tcPr>
          <w:p w14:paraId="4E702C3D" w14:textId="7FA4AECD" w:rsidR="00E16456" w:rsidRPr="00BA3F2A" w:rsidRDefault="00E16456" w:rsidP="00E16456">
            <w:pPr>
              <w:spacing w:after="0" w:line="240" w:lineRule="auto"/>
              <w:jc w:val="right"/>
              <w:rPr>
                <w:rFonts w:eastAsia="Times New Roman" w:cs="Arial"/>
                <w:color w:val="000000"/>
                <w:sz w:val="18"/>
                <w:szCs w:val="18"/>
              </w:rPr>
            </w:pPr>
            <w:r w:rsidRPr="00FE65B6">
              <w:rPr>
                <w:rFonts w:cs="Arial"/>
                <w:sz w:val="18"/>
                <w:szCs w:val="18"/>
              </w:rPr>
              <w:t>358</w:t>
            </w:r>
            <w:r>
              <w:rPr>
                <w:rFonts w:cs="Arial"/>
                <w:sz w:val="18"/>
                <w:szCs w:val="18"/>
              </w:rPr>
              <w:t>,</w:t>
            </w:r>
            <w:r w:rsidRPr="00FE65B6">
              <w:rPr>
                <w:rFonts w:cs="Arial"/>
                <w:sz w:val="18"/>
                <w:szCs w:val="18"/>
              </w:rPr>
              <w:t>502</w:t>
            </w:r>
          </w:p>
        </w:tc>
        <w:tc>
          <w:tcPr>
            <w:tcW w:w="1593" w:type="dxa"/>
            <w:tcBorders>
              <w:top w:val="nil"/>
              <w:left w:val="nil"/>
              <w:bottom w:val="nil"/>
              <w:right w:val="nil"/>
            </w:tcBorders>
            <w:shd w:val="clear" w:color="auto" w:fill="auto"/>
            <w:noWrap/>
            <w:vAlign w:val="bottom"/>
          </w:tcPr>
          <w:p w14:paraId="405E0F81" w14:textId="6BD2FC4F" w:rsidR="00E16456" w:rsidRPr="00BA3F2A" w:rsidRDefault="00E16456" w:rsidP="00E16456">
            <w:pPr>
              <w:spacing w:after="0" w:line="240" w:lineRule="auto"/>
              <w:jc w:val="right"/>
              <w:rPr>
                <w:rFonts w:eastAsia="Times New Roman" w:cs="Arial"/>
                <w:color w:val="000000"/>
                <w:sz w:val="18"/>
                <w:szCs w:val="18"/>
              </w:rPr>
            </w:pPr>
            <w:r w:rsidRPr="00FE65B6">
              <w:rPr>
                <w:rFonts w:cs="Arial"/>
                <w:sz w:val="18"/>
                <w:szCs w:val="18"/>
              </w:rPr>
              <w:t>1</w:t>
            </w:r>
            <w:r>
              <w:rPr>
                <w:rFonts w:cs="Arial"/>
                <w:sz w:val="18"/>
                <w:szCs w:val="18"/>
              </w:rPr>
              <w:t>,</w:t>
            </w:r>
            <w:r w:rsidRPr="00FE65B6">
              <w:rPr>
                <w:rFonts w:cs="Arial"/>
                <w:sz w:val="18"/>
                <w:szCs w:val="18"/>
              </w:rPr>
              <w:t>234</w:t>
            </w:r>
          </w:p>
        </w:tc>
        <w:tc>
          <w:tcPr>
            <w:tcW w:w="1242" w:type="dxa"/>
            <w:tcBorders>
              <w:top w:val="nil"/>
              <w:left w:val="nil"/>
              <w:bottom w:val="nil"/>
              <w:right w:val="nil"/>
            </w:tcBorders>
            <w:shd w:val="clear" w:color="auto" w:fill="auto"/>
            <w:noWrap/>
            <w:vAlign w:val="bottom"/>
          </w:tcPr>
          <w:p w14:paraId="73859E8D" w14:textId="18265D0F" w:rsidR="00E16456" w:rsidRPr="00BA3F2A" w:rsidRDefault="00E16456" w:rsidP="00E16456">
            <w:pPr>
              <w:spacing w:after="0" w:line="240" w:lineRule="auto"/>
              <w:jc w:val="right"/>
              <w:rPr>
                <w:rFonts w:eastAsia="Times New Roman" w:cs="Arial"/>
                <w:color w:val="000000"/>
                <w:sz w:val="18"/>
                <w:szCs w:val="18"/>
              </w:rPr>
            </w:pPr>
            <w:r>
              <w:rPr>
                <w:rFonts w:cs="Arial"/>
                <w:sz w:val="18"/>
                <w:szCs w:val="18"/>
              </w:rPr>
              <w:t>-</w:t>
            </w:r>
          </w:p>
        </w:tc>
        <w:tc>
          <w:tcPr>
            <w:tcW w:w="1309" w:type="dxa"/>
            <w:tcBorders>
              <w:top w:val="nil"/>
              <w:left w:val="nil"/>
              <w:bottom w:val="nil"/>
              <w:right w:val="nil"/>
            </w:tcBorders>
            <w:shd w:val="clear" w:color="auto" w:fill="auto"/>
            <w:noWrap/>
            <w:vAlign w:val="bottom"/>
          </w:tcPr>
          <w:p w14:paraId="68208D7E" w14:textId="12CCD3C1" w:rsidR="00E16456" w:rsidRPr="00BA3F2A" w:rsidRDefault="00E16456" w:rsidP="00E16456">
            <w:pPr>
              <w:spacing w:after="0" w:line="240" w:lineRule="auto"/>
              <w:jc w:val="right"/>
              <w:rPr>
                <w:rFonts w:eastAsia="Times New Roman" w:cs="Arial"/>
                <w:color w:val="000000"/>
                <w:sz w:val="18"/>
                <w:szCs w:val="18"/>
              </w:rPr>
            </w:pPr>
            <w:r>
              <w:rPr>
                <w:rFonts w:cs="Arial"/>
                <w:sz w:val="18"/>
                <w:szCs w:val="18"/>
              </w:rPr>
              <w:t>-</w:t>
            </w:r>
          </w:p>
        </w:tc>
        <w:tc>
          <w:tcPr>
            <w:tcW w:w="1384" w:type="dxa"/>
            <w:tcBorders>
              <w:top w:val="nil"/>
              <w:left w:val="nil"/>
              <w:bottom w:val="nil"/>
              <w:right w:val="nil"/>
            </w:tcBorders>
            <w:shd w:val="clear" w:color="auto" w:fill="auto"/>
            <w:noWrap/>
            <w:vAlign w:val="bottom"/>
          </w:tcPr>
          <w:p w14:paraId="43E107CB" w14:textId="4020AFB6" w:rsidR="00E16456" w:rsidRPr="00BA3F2A" w:rsidRDefault="00E16456" w:rsidP="00E16456">
            <w:pPr>
              <w:spacing w:after="0" w:line="240" w:lineRule="auto"/>
              <w:jc w:val="right"/>
              <w:rPr>
                <w:rFonts w:eastAsia="Times New Roman" w:cs="Arial"/>
                <w:color w:val="000000"/>
                <w:sz w:val="18"/>
                <w:szCs w:val="18"/>
              </w:rPr>
            </w:pPr>
            <w:r w:rsidRPr="00FE65B6">
              <w:rPr>
                <w:rFonts w:cs="Arial"/>
                <w:sz w:val="18"/>
                <w:szCs w:val="18"/>
              </w:rPr>
              <w:t>359</w:t>
            </w:r>
            <w:r>
              <w:rPr>
                <w:rFonts w:cs="Arial"/>
                <w:sz w:val="18"/>
                <w:szCs w:val="18"/>
              </w:rPr>
              <w:t>,</w:t>
            </w:r>
            <w:r w:rsidRPr="00FE65B6">
              <w:rPr>
                <w:rFonts w:cs="Arial"/>
                <w:sz w:val="18"/>
                <w:szCs w:val="18"/>
              </w:rPr>
              <w:t>736</w:t>
            </w:r>
          </w:p>
        </w:tc>
      </w:tr>
      <w:tr w:rsidR="00E16456" w:rsidRPr="00693FCC" w14:paraId="5766BF47" w14:textId="77777777" w:rsidTr="00BA3F2A">
        <w:trPr>
          <w:trHeight w:val="300"/>
        </w:trPr>
        <w:tc>
          <w:tcPr>
            <w:tcW w:w="3227" w:type="dxa"/>
            <w:shd w:val="clear" w:color="auto" w:fill="auto"/>
            <w:vAlign w:val="bottom"/>
          </w:tcPr>
          <w:p w14:paraId="0E996928" w14:textId="77777777" w:rsidR="00E16456" w:rsidRPr="00BA3F2A" w:rsidRDefault="00E16456" w:rsidP="00E16456">
            <w:pPr>
              <w:spacing w:after="0" w:line="240" w:lineRule="auto"/>
              <w:rPr>
                <w:rFonts w:eastAsia="Times New Roman" w:cs="Arial"/>
                <w:sz w:val="18"/>
                <w:szCs w:val="18"/>
              </w:rPr>
            </w:pPr>
            <w:r w:rsidRPr="00BA3F2A">
              <w:rPr>
                <w:rFonts w:eastAsia="Times New Roman" w:cs="Arial"/>
                <w:sz w:val="18"/>
                <w:szCs w:val="18"/>
              </w:rPr>
              <w:t xml:space="preserve">Net fee income </w:t>
            </w:r>
          </w:p>
        </w:tc>
        <w:tc>
          <w:tcPr>
            <w:tcW w:w="1134" w:type="dxa"/>
            <w:tcBorders>
              <w:top w:val="nil"/>
              <w:left w:val="nil"/>
              <w:bottom w:val="nil"/>
              <w:right w:val="nil"/>
            </w:tcBorders>
            <w:shd w:val="clear" w:color="auto" w:fill="auto"/>
            <w:noWrap/>
            <w:vAlign w:val="bottom"/>
          </w:tcPr>
          <w:p w14:paraId="2E63DE93" w14:textId="3C69A382" w:rsidR="00E16456" w:rsidRPr="00BA3F2A" w:rsidRDefault="00E16456" w:rsidP="00E16456">
            <w:pPr>
              <w:spacing w:after="0" w:line="240" w:lineRule="auto"/>
              <w:jc w:val="right"/>
              <w:rPr>
                <w:rFonts w:eastAsia="Times New Roman" w:cs="Arial"/>
                <w:color w:val="000000"/>
                <w:sz w:val="18"/>
                <w:szCs w:val="18"/>
              </w:rPr>
            </w:pPr>
            <w:r w:rsidRPr="00FE65B6">
              <w:rPr>
                <w:rFonts w:cs="Arial"/>
                <w:sz w:val="18"/>
                <w:szCs w:val="18"/>
              </w:rPr>
              <w:t>28</w:t>
            </w:r>
            <w:r>
              <w:rPr>
                <w:rFonts w:cs="Arial"/>
                <w:sz w:val="18"/>
                <w:szCs w:val="18"/>
              </w:rPr>
              <w:t>,</w:t>
            </w:r>
            <w:r w:rsidRPr="00FE65B6">
              <w:rPr>
                <w:rFonts w:cs="Arial"/>
                <w:sz w:val="18"/>
                <w:szCs w:val="18"/>
              </w:rPr>
              <w:t>774</w:t>
            </w:r>
          </w:p>
        </w:tc>
        <w:tc>
          <w:tcPr>
            <w:tcW w:w="1593" w:type="dxa"/>
            <w:tcBorders>
              <w:top w:val="nil"/>
              <w:left w:val="nil"/>
              <w:bottom w:val="nil"/>
              <w:right w:val="nil"/>
            </w:tcBorders>
            <w:shd w:val="clear" w:color="auto" w:fill="auto"/>
            <w:noWrap/>
            <w:vAlign w:val="bottom"/>
          </w:tcPr>
          <w:p w14:paraId="485E8C56" w14:textId="3BB28878" w:rsidR="00E16456" w:rsidRPr="00BA3F2A" w:rsidRDefault="00E16456" w:rsidP="00E16456">
            <w:pPr>
              <w:spacing w:after="0" w:line="240" w:lineRule="auto"/>
              <w:jc w:val="right"/>
              <w:rPr>
                <w:rFonts w:eastAsia="Times New Roman" w:cs="Arial"/>
                <w:color w:val="000000"/>
                <w:sz w:val="18"/>
                <w:szCs w:val="18"/>
              </w:rPr>
            </w:pPr>
            <w:r w:rsidRPr="00FE65B6">
              <w:rPr>
                <w:rFonts w:cs="Arial"/>
                <w:sz w:val="18"/>
                <w:szCs w:val="18"/>
              </w:rPr>
              <w:t>954</w:t>
            </w:r>
          </w:p>
        </w:tc>
        <w:tc>
          <w:tcPr>
            <w:tcW w:w="1242" w:type="dxa"/>
            <w:tcBorders>
              <w:top w:val="nil"/>
              <w:left w:val="nil"/>
              <w:bottom w:val="nil"/>
              <w:right w:val="nil"/>
            </w:tcBorders>
            <w:shd w:val="clear" w:color="auto" w:fill="auto"/>
            <w:noWrap/>
            <w:vAlign w:val="bottom"/>
          </w:tcPr>
          <w:p w14:paraId="6E3A9E66" w14:textId="4B2A400E" w:rsidR="00E16456" w:rsidRPr="00BA3F2A" w:rsidRDefault="00E16456" w:rsidP="00E16456">
            <w:pPr>
              <w:spacing w:after="0" w:line="240" w:lineRule="auto"/>
              <w:jc w:val="right"/>
              <w:rPr>
                <w:rFonts w:eastAsia="Times New Roman" w:cs="Arial"/>
                <w:color w:val="000000"/>
                <w:sz w:val="18"/>
                <w:szCs w:val="18"/>
              </w:rPr>
            </w:pPr>
            <w:r w:rsidRPr="00FE65B6">
              <w:rPr>
                <w:rFonts w:cs="Arial"/>
                <w:sz w:val="18"/>
                <w:szCs w:val="18"/>
              </w:rPr>
              <w:t>795</w:t>
            </w:r>
          </w:p>
        </w:tc>
        <w:tc>
          <w:tcPr>
            <w:tcW w:w="1309" w:type="dxa"/>
            <w:tcBorders>
              <w:top w:val="nil"/>
              <w:left w:val="nil"/>
              <w:bottom w:val="nil"/>
              <w:right w:val="nil"/>
            </w:tcBorders>
            <w:shd w:val="clear" w:color="auto" w:fill="auto"/>
            <w:noWrap/>
            <w:vAlign w:val="bottom"/>
          </w:tcPr>
          <w:p w14:paraId="59DBA31E" w14:textId="2EE83879" w:rsidR="00E16456" w:rsidRPr="00BA3F2A" w:rsidRDefault="00E16456" w:rsidP="00E16456">
            <w:pPr>
              <w:spacing w:after="0" w:line="240" w:lineRule="auto"/>
              <w:jc w:val="right"/>
              <w:rPr>
                <w:rFonts w:eastAsia="Times New Roman" w:cs="Arial"/>
                <w:color w:val="000000"/>
                <w:sz w:val="18"/>
                <w:szCs w:val="18"/>
              </w:rPr>
            </w:pPr>
            <w:r>
              <w:rPr>
                <w:rFonts w:cs="Arial"/>
                <w:sz w:val="18"/>
                <w:szCs w:val="18"/>
              </w:rPr>
              <w:t>-</w:t>
            </w:r>
          </w:p>
        </w:tc>
        <w:tc>
          <w:tcPr>
            <w:tcW w:w="1384" w:type="dxa"/>
            <w:tcBorders>
              <w:top w:val="nil"/>
              <w:left w:val="nil"/>
              <w:bottom w:val="nil"/>
              <w:right w:val="nil"/>
            </w:tcBorders>
            <w:shd w:val="clear" w:color="auto" w:fill="auto"/>
            <w:noWrap/>
            <w:vAlign w:val="bottom"/>
          </w:tcPr>
          <w:p w14:paraId="5A0D9DAC" w14:textId="31E5913C" w:rsidR="00E16456" w:rsidRPr="00BA3F2A" w:rsidRDefault="00E16456" w:rsidP="00E16456">
            <w:pPr>
              <w:spacing w:after="0" w:line="240" w:lineRule="auto"/>
              <w:jc w:val="right"/>
              <w:rPr>
                <w:rFonts w:eastAsia="Times New Roman" w:cs="Arial"/>
                <w:color w:val="000000"/>
                <w:sz w:val="18"/>
                <w:szCs w:val="18"/>
              </w:rPr>
            </w:pPr>
            <w:r w:rsidRPr="00FE65B6">
              <w:rPr>
                <w:rFonts w:cs="Arial"/>
                <w:sz w:val="18"/>
                <w:szCs w:val="18"/>
              </w:rPr>
              <w:t>30</w:t>
            </w:r>
            <w:r>
              <w:rPr>
                <w:rFonts w:cs="Arial"/>
                <w:sz w:val="18"/>
                <w:szCs w:val="18"/>
              </w:rPr>
              <w:t>,</w:t>
            </w:r>
            <w:r w:rsidRPr="00FE65B6">
              <w:rPr>
                <w:rFonts w:cs="Arial"/>
                <w:sz w:val="18"/>
                <w:szCs w:val="18"/>
              </w:rPr>
              <w:t>523</w:t>
            </w:r>
          </w:p>
        </w:tc>
      </w:tr>
      <w:tr w:rsidR="00E16456" w:rsidRPr="00693FCC" w14:paraId="02A332A7" w14:textId="77777777" w:rsidTr="00BA3F2A">
        <w:trPr>
          <w:trHeight w:val="280"/>
        </w:trPr>
        <w:tc>
          <w:tcPr>
            <w:tcW w:w="3227" w:type="dxa"/>
            <w:shd w:val="clear" w:color="auto" w:fill="auto"/>
            <w:vAlign w:val="bottom"/>
          </w:tcPr>
          <w:p w14:paraId="1BC4E0EF" w14:textId="77777777" w:rsidR="00E16456" w:rsidRPr="00BA3F2A" w:rsidRDefault="00E16456" w:rsidP="00E16456">
            <w:pPr>
              <w:spacing w:after="0" w:line="240" w:lineRule="auto"/>
              <w:rPr>
                <w:rFonts w:eastAsia="Times New Roman" w:cs="Arial"/>
                <w:sz w:val="18"/>
                <w:szCs w:val="18"/>
              </w:rPr>
            </w:pPr>
            <w:r w:rsidRPr="00BA3F2A">
              <w:rPr>
                <w:rFonts w:eastAsia="Times New Roman" w:cs="Arial"/>
                <w:sz w:val="18"/>
                <w:szCs w:val="18"/>
              </w:rPr>
              <w:t>Net income/(expenses) from financial operations</w:t>
            </w:r>
          </w:p>
        </w:tc>
        <w:tc>
          <w:tcPr>
            <w:tcW w:w="1134" w:type="dxa"/>
            <w:tcBorders>
              <w:top w:val="nil"/>
              <w:left w:val="nil"/>
              <w:bottom w:val="nil"/>
              <w:right w:val="nil"/>
            </w:tcBorders>
            <w:shd w:val="clear" w:color="auto" w:fill="auto"/>
            <w:noWrap/>
            <w:vAlign w:val="bottom"/>
          </w:tcPr>
          <w:p w14:paraId="6AF5F801" w14:textId="4F011CD2" w:rsidR="00E16456" w:rsidRPr="00BA3F2A" w:rsidRDefault="00E16456" w:rsidP="00E16456">
            <w:pPr>
              <w:spacing w:after="0" w:line="240" w:lineRule="auto"/>
              <w:jc w:val="right"/>
              <w:rPr>
                <w:rFonts w:eastAsia="Times New Roman" w:cs="Arial"/>
                <w:color w:val="000000"/>
                <w:sz w:val="18"/>
                <w:szCs w:val="18"/>
              </w:rPr>
            </w:pPr>
            <w:r w:rsidRPr="00FE65B6">
              <w:rPr>
                <w:rFonts w:cs="Arial"/>
                <w:sz w:val="18"/>
                <w:szCs w:val="18"/>
              </w:rPr>
              <w:t>(18</w:t>
            </w:r>
            <w:r>
              <w:rPr>
                <w:rFonts w:cs="Arial"/>
                <w:sz w:val="18"/>
                <w:szCs w:val="18"/>
              </w:rPr>
              <w:t>,</w:t>
            </w:r>
            <w:r w:rsidRPr="00FE65B6">
              <w:rPr>
                <w:rFonts w:cs="Arial"/>
                <w:sz w:val="18"/>
                <w:szCs w:val="18"/>
              </w:rPr>
              <w:t>878)</w:t>
            </w:r>
          </w:p>
        </w:tc>
        <w:tc>
          <w:tcPr>
            <w:tcW w:w="1593" w:type="dxa"/>
            <w:tcBorders>
              <w:top w:val="nil"/>
              <w:left w:val="nil"/>
              <w:bottom w:val="nil"/>
              <w:right w:val="nil"/>
            </w:tcBorders>
            <w:shd w:val="clear" w:color="auto" w:fill="auto"/>
            <w:noWrap/>
            <w:vAlign w:val="bottom"/>
          </w:tcPr>
          <w:p w14:paraId="79382DA1" w14:textId="78BB7A27" w:rsidR="00E16456" w:rsidRPr="00BA3F2A" w:rsidRDefault="00E16456" w:rsidP="00E16456">
            <w:pPr>
              <w:spacing w:after="0" w:line="240" w:lineRule="auto"/>
              <w:jc w:val="right"/>
              <w:rPr>
                <w:rFonts w:eastAsia="Times New Roman" w:cs="Arial"/>
                <w:color w:val="000000"/>
                <w:sz w:val="18"/>
                <w:szCs w:val="18"/>
              </w:rPr>
            </w:pPr>
            <w:r w:rsidRPr="00FE65B6">
              <w:rPr>
                <w:rFonts w:cs="Arial"/>
                <w:sz w:val="18"/>
                <w:szCs w:val="18"/>
              </w:rPr>
              <w:t>(112)</w:t>
            </w:r>
          </w:p>
        </w:tc>
        <w:tc>
          <w:tcPr>
            <w:tcW w:w="1242" w:type="dxa"/>
            <w:tcBorders>
              <w:top w:val="nil"/>
              <w:left w:val="nil"/>
              <w:bottom w:val="nil"/>
              <w:right w:val="nil"/>
            </w:tcBorders>
            <w:shd w:val="clear" w:color="auto" w:fill="auto"/>
            <w:noWrap/>
            <w:vAlign w:val="bottom"/>
          </w:tcPr>
          <w:p w14:paraId="7B3B6FA6" w14:textId="4B4A3084" w:rsidR="00E16456" w:rsidRPr="00BA3F2A" w:rsidRDefault="00E16456" w:rsidP="00E16456">
            <w:pPr>
              <w:spacing w:after="0" w:line="240" w:lineRule="auto"/>
              <w:jc w:val="right"/>
              <w:rPr>
                <w:rFonts w:eastAsia="Times New Roman" w:cs="Arial"/>
                <w:color w:val="000000"/>
                <w:sz w:val="18"/>
                <w:szCs w:val="18"/>
              </w:rPr>
            </w:pPr>
            <w:r w:rsidRPr="00FE65B6">
              <w:rPr>
                <w:rFonts w:cs="Arial"/>
                <w:sz w:val="18"/>
                <w:szCs w:val="18"/>
              </w:rPr>
              <w:t>2</w:t>
            </w:r>
          </w:p>
        </w:tc>
        <w:tc>
          <w:tcPr>
            <w:tcW w:w="1309" w:type="dxa"/>
            <w:tcBorders>
              <w:top w:val="nil"/>
              <w:left w:val="nil"/>
              <w:bottom w:val="nil"/>
              <w:right w:val="nil"/>
            </w:tcBorders>
            <w:shd w:val="clear" w:color="auto" w:fill="auto"/>
            <w:noWrap/>
            <w:vAlign w:val="bottom"/>
          </w:tcPr>
          <w:p w14:paraId="32371E61" w14:textId="783405A7" w:rsidR="00E16456" w:rsidRPr="00BA3F2A" w:rsidRDefault="00E16456" w:rsidP="00E16456">
            <w:pPr>
              <w:spacing w:after="0" w:line="240" w:lineRule="auto"/>
              <w:jc w:val="right"/>
              <w:rPr>
                <w:rFonts w:eastAsia="Times New Roman" w:cs="Arial"/>
                <w:color w:val="000000"/>
                <w:sz w:val="18"/>
                <w:szCs w:val="18"/>
              </w:rPr>
            </w:pPr>
            <w:r>
              <w:rPr>
                <w:rFonts w:cs="Arial"/>
                <w:sz w:val="18"/>
                <w:szCs w:val="18"/>
              </w:rPr>
              <w:t>-</w:t>
            </w:r>
          </w:p>
        </w:tc>
        <w:tc>
          <w:tcPr>
            <w:tcW w:w="1384" w:type="dxa"/>
            <w:tcBorders>
              <w:top w:val="nil"/>
              <w:left w:val="nil"/>
              <w:bottom w:val="nil"/>
              <w:right w:val="nil"/>
            </w:tcBorders>
            <w:shd w:val="clear" w:color="auto" w:fill="auto"/>
            <w:noWrap/>
            <w:vAlign w:val="bottom"/>
          </w:tcPr>
          <w:p w14:paraId="07953872" w14:textId="232B9523" w:rsidR="00E16456" w:rsidRPr="00BA3F2A" w:rsidRDefault="00E16456" w:rsidP="00E16456">
            <w:pPr>
              <w:spacing w:after="0" w:line="240" w:lineRule="auto"/>
              <w:jc w:val="right"/>
              <w:rPr>
                <w:rFonts w:eastAsia="Times New Roman" w:cs="Arial"/>
                <w:color w:val="000000"/>
                <w:sz w:val="18"/>
                <w:szCs w:val="18"/>
              </w:rPr>
            </w:pPr>
            <w:r w:rsidRPr="00FE65B6">
              <w:rPr>
                <w:rFonts w:cs="Arial"/>
                <w:sz w:val="18"/>
                <w:szCs w:val="18"/>
              </w:rPr>
              <w:t>(18</w:t>
            </w:r>
            <w:r>
              <w:rPr>
                <w:rFonts w:cs="Arial"/>
                <w:sz w:val="18"/>
                <w:szCs w:val="18"/>
              </w:rPr>
              <w:t>,</w:t>
            </w:r>
            <w:r w:rsidRPr="00FE65B6">
              <w:rPr>
                <w:rFonts w:cs="Arial"/>
                <w:sz w:val="18"/>
                <w:szCs w:val="18"/>
              </w:rPr>
              <w:t>988)</w:t>
            </w:r>
          </w:p>
        </w:tc>
      </w:tr>
      <w:tr w:rsidR="00E16456" w:rsidRPr="00693FCC" w14:paraId="4EE358E8" w14:textId="77777777" w:rsidTr="00BA3F2A">
        <w:trPr>
          <w:trHeight w:val="300"/>
        </w:trPr>
        <w:tc>
          <w:tcPr>
            <w:tcW w:w="3227" w:type="dxa"/>
            <w:shd w:val="clear" w:color="auto" w:fill="auto"/>
            <w:vAlign w:val="bottom"/>
          </w:tcPr>
          <w:p w14:paraId="49DADDD9" w14:textId="77777777" w:rsidR="00E16456" w:rsidRPr="00BA3F2A" w:rsidRDefault="00E16456" w:rsidP="00E16456">
            <w:pPr>
              <w:spacing w:after="0" w:line="240" w:lineRule="auto"/>
              <w:rPr>
                <w:rFonts w:eastAsia="Times New Roman" w:cs="Arial"/>
                <w:sz w:val="18"/>
                <w:szCs w:val="18"/>
              </w:rPr>
            </w:pPr>
            <w:r w:rsidRPr="00BA3F2A">
              <w:rPr>
                <w:rFonts w:eastAsia="Times New Roman" w:cs="Arial"/>
                <w:sz w:val="18"/>
                <w:szCs w:val="18"/>
              </w:rPr>
              <w:t>Net premiums earned</w:t>
            </w:r>
          </w:p>
        </w:tc>
        <w:tc>
          <w:tcPr>
            <w:tcW w:w="1134" w:type="dxa"/>
            <w:tcBorders>
              <w:top w:val="nil"/>
              <w:left w:val="nil"/>
              <w:bottom w:val="nil"/>
              <w:right w:val="nil"/>
            </w:tcBorders>
            <w:shd w:val="clear" w:color="auto" w:fill="auto"/>
            <w:noWrap/>
            <w:vAlign w:val="bottom"/>
          </w:tcPr>
          <w:p w14:paraId="6C7DBBFA" w14:textId="5A052BFE" w:rsidR="00E16456" w:rsidRPr="00BA3F2A" w:rsidRDefault="00E16456" w:rsidP="00E16456">
            <w:pPr>
              <w:spacing w:after="0" w:line="240" w:lineRule="auto"/>
              <w:jc w:val="right"/>
              <w:rPr>
                <w:rFonts w:eastAsia="Times New Roman" w:cs="Arial"/>
                <w:color w:val="000000"/>
                <w:sz w:val="18"/>
                <w:szCs w:val="18"/>
              </w:rPr>
            </w:pPr>
            <w:r>
              <w:rPr>
                <w:rFonts w:cs="Arial"/>
                <w:sz w:val="18"/>
                <w:szCs w:val="18"/>
              </w:rPr>
              <w:t>-</w:t>
            </w:r>
          </w:p>
        </w:tc>
        <w:tc>
          <w:tcPr>
            <w:tcW w:w="1593" w:type="dxa"/>
            <w:tcBorders>
              <w:top w:val="nil"/>
              <w:left w:val="nil"/>
              <w:bottom w:val="nil"/>
              <w:right w:val="nil"/>
            </w:tcBorders>
            <w:shd w:val="clear" w:color="auto" w:fill="auto"/>
            <w:noWrap/>
            <w:vAlign w:val="bottom"/>
          </w:tcPr>
          <w:p w14:paraId="2EA1571D" w14:textId="705396AC" w:rsidR="00E16456" w:rsidRPr="00BA3F2A" w:rsidRDefault="00E16456" w:rsidP="00E16456">
            <w:pPr>
              <w:spacing w:after="0" w:line="240" w:lineRule="auto"/>
              <w:jc w:val="right"/>
              <w:rPr>
                <w:rFonts w:eastAsia="Times New Roman" w:cs="Arial"/>
                <w:color w:val="000000"/>
                <w:sz w:val="18"/>
                <w:szCs w:val="18"/>
              </w:rPr>
            </w:pPr>
            <w:r w:rsidRPr="00FE65B6">
              <w:rPr>
                <w:rFonts w:cs="Arial"/>
                <w:sz w:val="18"/>
                <w:szCs w:val="18"/>
              </w:rPr>
              <w:t>5</w:t>
            </w:r>
            <w:r>
              <w:rPr>
                <w:rFonts w:cs="Arial"/>
                <w:sz w:val="18"/>
                <w:szCs w:val="18"/>
              </w:rPr>
              <w:t>,</w:t>
            </w:r>
            <w:r w:rsidRPr="00FE65B6">
              <w:rPr>
                <w:rFonts w:cs="Arial"/>
                <w:sz w:val="18"/>
                <w:szCs w:val="18"/>
              </w:rPr>
              <w:t>022</w:t>
            </w:r>
          </w:p>
        </w:tc>
        <w:tc>
          <w:tcPr>
            <w:tcW w:w="1242" w:type="dxa"/>
            <w:tcBorders>
              <w:top w:val="nil"/>
              <w:left w:val="nil"/>
              <w:bottom w:val="nil"/>
              <w:right w:val="nil"/>
            </w:tcBorders>
            <w:shd w:val="clear" w:color="auto" w:fill="auto"/>
            <w:noWrap/>
            <w:vAlign w:val="bottom"/>
          </w:tcPr>
          <w:p w14:paraId="7E97BF95" w14:textId="51C827D7" w:rsidR="00E16456" w:rsidRPr="00BA3F2A" w:rsidRDefault="00E16456" w:rsidP="00E16456">
            <w:pPr>
              <w:spacing w:after="0" w:line="240" w:lineRule="auto"/>
              <w:jc w:val="right"/>
              <w:rPr>
                <w:rFonts w:eastAsia="Times New Roman" w:cs="Arial"/>
                <w:color w:val="000000"/>
                <w:sz w:val="18"/>
                <w:szCs w:val="18"/>
              </w:rPr>
            </w:pPr>
            <w:r>
              <w:rPr>
                <w:rFonts w:cs="Arial"/>
                <w:sz w:val="18"/>
                <w:szCs w:val="18"/>
              </w:rPr>
              <w:t>-</w:t>
            </w:r>
          </w:p>
        </w:tc>
        <w:tc>
          <w:tcPr>
            <w:tcW w:w="1309" w:type="dxa"/>
            <w:tcBorders>
              <w:top w:val="nil"/>
              <w:left w:val="nil"/>
              <w:bottom w:val="nil"/>
              <w:right w:val="nil"/>
            </w:tcBorders>
            <w:shd w:val="clear" w:color="auto" w:fill="auto"/>
            <w:noWrap/>
            <w:vAlign w:val="bottom"/>
          </w:tcPr>
          <w:p w14:paraId="1E9DC558" w14:textId="06AD378E" w:rsidR="00E16456" w:rsidRPr="00BA3F2A" w:rsidRDefault="00E16456" w:rsidP="00E16456">
            <w:pPr>
              <w:spacing w:after="0" w:line="240" w:lineRule="auto"/>
              <w:jc w:val="right"/>
              <w:rPr>
                <w:rFonts w:eastAsia="Times New Roman" w:cs="Arial"/>
                <w:color w:val="000000"/>
                <w:sz w:val="18"/>
                <w:szCs w:val="18"/>
              </w:rPr>
            </w:pPr>
            <w:r>
              <w:rPr>
                <w:rFonts w:cs="Arial"/>
                <w:sz w:val="18"/>
                <w:szCs w:val="18"/>
              </w:rPr>
              <w:t>-</w:t>
            </w:r>
          </w:p>
        </w:tc>
        <w:tc>
          <w:tcPr>
            <w:tcW w:w="1384" w:type="dxa"/>
            <w:tcBorders>
              <w:top w:val="nil"/>
              <w:left w:val="nil"/>
              <w:bottom w:val="nil"/>
              <w:right w:val="nil"/>
            </w:tcBorders>
            <w:shd w:val="clear" w:color="auto" w:fill="auto"/>
            <w:noWrap/>
            <w:vAlign w:val="bottom"/>
          </w:tcPr>
          <w:p w14:paraId="25A89185" w14:textId="752BEDB9" w:rsidR="00E16456" w:rsidRPr="00BA3F2A" w:rsidRDefault="00E16456" w:rsidP="00E16456">
            <w:pPr>
              <w:spacing w:after="0" w:line="240" w:lineRule="auto"/>
              <w:jc w:val="right"/>
              <w:rPr>
                <w:rFonts w:eastAsia="Times New Roman" w:cs="Arial"/>
                <w:color w:val="000000"/>
                <w:sz w:val="18"/>
                <w:szCs w:val="18"/>
              </w:rPr>
            </w:pPr>
            <w:r w:rsidRPr="00FE65B6">
              <w:rPr>
                <w:rFonts w:cs="Arial"/>
                <w:sz w:val="18"/>
                <w:szCs w:val="18"/>
              </w:rPr>
              <w:t>5</w:t>
            </w:r>
            <w:r>
              <w:rPr>
                <w:rFonts w:cs="Arial"/>
                <w:sz w:val="18"/>
                <w:szCs w:val="18"/>
              </w:rPr>
              <w:t>,</w:t>
            </w:r>
            <w:r w:rsidRPr="00FE65B6">
              <w:rPr>
                <w:rFonts w:cs="Arial"/>
                <w:sz w:val="18"/>
                <w:szCs w:val="18"/>
              </w:rPr>
              <w:t>022</w:t>
            </w:r>
          </w:p>
        </w:tc>
      </w:tr>
      <w:tr w:rsidR="00E16456" w:rsidRPr="00693FCC" w14:paraId="6A2EA7ED" w14:textId="77777777" w:rsidTr="00BA3F2A">
        <w:trPr>
          <w:trHeight w:val="300"/>
        </w:trPr>
        <w:tc>
          <w:tcPr>
            <w:tcW w:w="3227" w:type="dxa"/>
            <w:shd w:val="clear" w:color="auto" w:fill="auto"/>
            <w:vAlign w:val="bottom"/>
          </w:tcPr>
          <w:p w14:paraId="02D6A1F7" w14:textId="77777777" w:rsidR="00E16456" w:rsidRPr="00BA3F2A" w:rsidRDefault="00E16456" w:rsidP="00E16456">
            <w:pPr>
              <w:spacing w:after="0" w:line="240" w:lineRule="auto"/>
              <w:rPr>
                <w:rFonts w:eastAsia="Times New Roman" w:cs="Arial"/>
                <w:sz w:val="18"/>
                <w:szCs w:val="18"/>
              </w:rPr>
            </w:pPr>
            <w:r w:rsidRPr="00BA3F2A">
              <w:rPr>
                <w:rFonts w:eastAsia="Times New Roman" w:cs="Arial"/>
                <w:sz w:val="18"/>
                <w:szCs w:val="18"/>
              </w:rPr>
              <w:t xml:space="preserve">Other income </w:t>
            </w:r>
          </w:p>
        </w:tc>
        <w:tc>
          <w:tcPr>
            <w:tcW w:w="1134" w:type="dxa"/>
            <w:tcBorders>
              <w:top w:val="nil"/>
              <w:left w:val="nil"/>
              <w:bottom w:val="single" w:sz="2" w:space="0" w:color="auto"/>
              <w:right w:val="nil"/>
            </w:tcBorders>
            <w:shd w:val="clear" w:color="auto" w:fill="auto"/>
            <w:noWrap/>
            <w:vAlign w:val="bottom"/>
          </w:tcPr>
          <w:p w14:paraId="7F10207F" w14:textId="782970A0" w:rsidR="00E16456" w:rsidRPr="00BA3F2A" w:rsidRDefault="00E16456" w:rsidP="00E16456">
            <w:pPr>
              <w:spacing w:after="0" w:line="240" w:lineRule="auto"/>
              <w:jc w:val="right"/>
              <w:rPr>
                <w:rFonts w:eastAsia="Times New Roman" w:cs="Arial"/>
                <w:color w:val="000000"/>
                <w:sz w:val="18"/>
                <w:szCs w:val="18"/>
              </w:rPr>
            </w:pPr>
            <w:r w:rsidRPr="00FE65B6">
              <w:rPr>
                <w:rFonts w:cs="Arial"/>
                <w:sz w:val="18"/>
                <w:szCs w:val="18"/>
              </w:rPr>
              <w:t>6</w:t>
            </w:r>
            <w:r>
              <w:rPr>
                <w:rFonts w:cs="Arial"/>
                <w:sz w:val="18"/>
                <w:szCs w:val="18"/>
              </w:rPr>
              <w:t>,</w:t>
            </w:r>
            <w:r w:rsidRPr="00FE65B6">
              <w:rPr>
                <w:rFonts w:cs="Arial"/>
                <w:sz w:val="18"/>
                <w:szCs w:val="18"/>
              </w:rPr>
              <w:t>278</w:t>
            </w:r>
          </w:p>
        </w:tc>
        <w:tc>
          <w:tcPr>
            <w:tcW w:w="1593" w:type="dxa"/>
            <w:tcBorders>
              <w:top w:val="nil"/>
              <w:left w:val="nil"/>
              <w:bottom w:val="single" w:sz="2" w:space="0" w:color="auto"/>
              <w:right w:val="nil"/>
            </w:tcBorders>
            <w:shd w:val="clear" w:color="auto" w:fill="auto"/>
            <w:noWrap/>
            <w:vAlign w:val="bottom"/>
          </w:tcPr>
          <w:p w14:paraId="28BBA8F1" w14:textId="68D2A2AF" w:rsidR="00E16456" w:rsidRPr="00BA3F2A" w:rsidRDefault="00E16456" w:rsidP="00E16456">
            <w:pPr>
              <w:spacing w:after="0" w:line="240" w:lineRule="auto"/>
              <w:jc w:val="right"/>
              <w:rPr>
                <w:rFonts w:eastAsia="Times New Roman" w:cs="Arial"/>
                <w:color w:val="000000"/>
                <w:sz w:val="18"/>
                <w:szCs w:val="18"/>
              </w:rPr>
            </w:pPr>
            <w:r w:rsidRPr="00FE65B6">
              <w:rPr>
                <w:rFonts w:cs="Arial"/>
                <w:sz w:val="18"/>
                <w:szCs w:val="18"/>
              </w:rPr>
              <w:t>56</w:t>
            </w:r>
          </w:p>
        </w:tc>
        <w:tc>
          <w:tcPr>
            <w:tcW w:w="1242" w:type="dxa"/>
            <w:tcBorders>
              <w:top w:val="nil"/>
              <w:left w:val="nil"/>
              <w:bottom w:val="single" w:sz="2" w:space="0" w:color="auto"/>
              <w:right w:val="nil"/>
            </w:tcBorders>
            <w:shd w:val="clear" w:color="auto" w:fill="auto"/>
            <w:noWrap/>
            <w:vAlign w:val="bottom"/>
          </w:tcPr>
          <w:p w14:paraId="424CF93F" w14:textId="73B7F773" w:rsidR="00E16456" w:rsidRPr="00BA3F2A" w:rsidRDefault="00E16456" w:rsidP="00E16456">
            <w:pPr>
              <w:spacing w:after="0" w:line="240" w:lineRule="auto"/>
              <w:jc w:val="right"/>
              <w:rPr>
                <w:rFonts w:eastAsia="Times New Roman" w:cs="Arial"/>
                <w:color w:val="000000"/>
                <w:sz w:val="18"/>
                <w:szCs w:val="18"/>
              </w:rPr>
            </w:pPr>
            <w:r w:rsidRPr="00FE65B6">
              <w:rPr>
                <w:rFonts w:cs="Arial"/>
                <w:sz w:val="18"/>
                <w:szCs w:val="18"/>
              </w:rPr>
              <w:t>211</w:t>
            </w:r>
          </w:p>
        </w:tc>
        <w:tc>
          <w:tcPr>
            <w:tcW w:w="1309" w:type="dxa"/>
            <w:tcBorders>
              <w:top w:val="nil"/>
              <w:left w:val="nil"/>
              <w:bottom w:val="single" w:sz="2" w:space="0" w:color="auto"/>
              <w:right w:val="nil"/>
            </w:tcBorders>
            <w:shd w:val="clear" w:color="auto" w:fill="auto"/>
            <w:noWrap/>
            <w:vAlign w:val="bottom"/>
          </w:tcPr>
          <w:p w14:paraId="1E02BB9B" w14:textId="2A8FA9EB" w:rsidR="00E16456" w:rsidRPr="00BA3F2A" w:rsidRDefault="00E16456" w:rsidP="00E16456">
            <w:pPr>
              <w:spacing w:after="0" w:line="240" w:lineRule="auto"/>
              <w:jc w:val="right"/>
              <w:rPr>
                <w:rFonts w:eastAsia="Times New Roman" w:cs="Arial"/>
                <w:color w:val="000000"/>
                <w:sz w:val="18"/>
                <w:szCs w:val="18"/>
              </w:rPr>
            </w:pPr>
            <w:r>
              <w:rPr>
                <w:rFonts w:cs="Arial"/>
                <w:sz w:val="18"/>
                <w:szCs w:val="18"/>
              </w:rPr>
              <w:t>(</w:t>
            </w:r>
            <w:r w:rsidRPr="00FE65B6">
              <w:rPr>
                <w:rFonts w:cs="Arial"/>
                <w:sz w:val="18"/>
                <w:szCs w:val="18"/>
              </w:rPr>
              <w:t>220</w:t>
            </w:r>
            <w:r>
              <w:rPr>
                <w:rFonts w:cs="Arial"/>
                <w:sz w:val="18"/>
                <w:szCs w:val="18"/>
              </w:rPr>
              <w:t>)</w:t>
            </w:r>
          </w:p>
        </w:tc>
        <w:tc>
          <w:tcPr>
            <w:tcW w:w="1384" w:type="dxa"/>
            <w:tcBorders>
              <w:top w:val="nil"/>
              <w:left w:val="nil"/>
              <w:bottom w:val="single" w:sz="2" w:space="0" w:color="auto"/>
              <w:right w:val="nil"/>
            </w:tcBorders>
            <w:shd w:val="clear" w:color="auto" w:fill="auto"/>
            <w:noWrap/>
            <w:vAlign w:val="bottom"/>
          </w:tcPr>
          <w:p w14:paraId="69E3FB5A" w14:textId="29EA3C80" w:rsidR="00E16456" w:rsidRPr="00BA3F2A" w:rsidRDefault="00E16456" w:rsidP="00E16456">
            <w:pPr>
              <w:spacing w:after="0" w:line="240" w:lineRule="auto"/>
              <w:jc w:val="right"/>
              <w:rPr>
                <w:rFonts w:eastAsia="Times New Roman" w:cs="Arial"/>
                <w:color w:val="000000"/>
                <w:sz w:val="18"/>
                <w:szCs w:val="18"/>
              </w:rPr>
            </w:pPr>
            <w:r w:rsidRPr="00FE65B6">
              <w:rPr>
                <w:rFonts w:cs="Arial"/>
                <w:sz w:val="18"/>
                <w:szCs w:val="18"/>
              </w:rPr>
              <w:t>6</w:t>
            </w:r>
            <w:r>
              <w:rPr>
                <w:rFonts w:cs="Arial"/>
                <w:sz w:val="18"/>
                <w:szCs w:val="18"/>
              </w:rPr>
              <w:t>,</w:t>
            </w:r>
            <w:r w:rsidRPr="00FE65B6">
              <w:rPr>
                <w:rFonts w:cs="Arial"/>
                <w:sz w:val="18"/>
                <w:szCs w:val="18"/>
              </w:rPr>
              <w:t>325</w:t>
            </w:r>
          </w:p>
        </w:tc>
      </w:tr>
      <w:tr w:rsidR="00E16456" w:rsidRPr="00693FCC" w14:paraId="35917459" w14:textId="77777777" w:rsidTr="005444AA">
        <w:trPr>
          <w:trHeight w:val="300"/>
        </w:trPr>
        <w:tc>
          <w:tcPr>
            <w:tcW w:w="3227" w:type="dxa"/>
            <w:shd w:val="clear" w:color="auto" w:fill="auto"/>
            <w:vAlign w:val="bottom"/>
          </w:tcPr>
          <w:p w14:paraId="1AED0F15" w14:textId="77777777" w:rsidR="00E16456" w:rsidRPr="00BA3F2A" w:rsidRDefault="00E16456" w:rsidP="00E16456">
            <w:pPr>
              <w:spacing w:after="0" w:line="240" w:lineRule="auto"/>
              <w:rPr>
                <w:rFonts w:eastAsia="Times New Roman" w:cs="Arial"/>
                <w:b/>
                <w:bCs/>
                <w:sz w:val="18"/>
                <w:szCs w:val="18"/>
              </w:rPr>
            </w:pPr>
            <w:r w:rsidRPr="00BA3F2A">
              <w:rPr>
                <w:rFonts w:eastAsia="Times New Roman" w:cs="Arial"/>
                <w:b/>
                <w:bCs/>
                <w:sz w:val="18"/>
                <w:szCs w:val="18"/>
              </w:rPr>
              <w:t xml:space="preserve">Income from operating activities </w:t>
            </w:r>
          </w:p>
        </w:tc>
        <w:tc>
          <w:tcPr>
            <w:tcW w:w="1134" w:type="dxa"/>
            <w:tcBorders>
              <w:top w:val="single" w:sz="8" w:space="0" w:color="auto"/>
              <w:left w:val="nil"/>
              <w:bottom w:val="single" w:sz="8" w:space="0" w:color="auto"/>
              <w:right w:val="nil"/>
            </w:tcBorders>
            <w:shd w:val="clear" w:color="auto" w:fill="auto"/>
            <w:noWrap/>
            <w:vAlign w:val="bottom"/>
          </w:tcPr>
          <w:p w14:paraId="13686642" w14:textId="0113F94C" w:rsidR="00E16456" w:rsidRPr="00BA3F2A" w:rsidRDefault="00E16456" w:rsidP="00E16456">
            <w:pPr>
              <w:spacing w:after="0" w:line="240" w:lineRule="auto"/>
              <w:jc w:val="right"/>
              <w:rPr>
                <w:rFonts w:eastAsia="Times New Roman" w:cs="Arial"/>
                <w:b/>
                <w:bCs/>
                <w:color w:val="000000"/>
                <w:sz w:val="18"/>
                <w:szCs w:val="18"/>
              </w:rPr>
            </w:pPr>
            <w:r w:rsidRPr="00FE65B6">
              <w:rPr>
                <w:rFonts w:cs="Arial"/>
                <w:b/>
                <w:sz w:val="18"/>
                <w:szCs w:val="18"/>
              </w:rPr>
              <w:t>374</w:t>
            </w:r>
            <w:r>
              <w:rPr>
                <w:rFonts w:cs="Arial"/>
                <w:b/>
                <w:sz w:val="18"/>
                <w:szCs w:val="18"/>
              </w:rPr>
              <w:t>,</w:t>
            </w:r>
            <w:r w:rsidRPr="00FE65B6">
              <w:rPr>
                <w:rFonts w:cs="Arial"/>
                <w:b/>
                <w:sz w:val="18"/>
                <w:szCs w:val="18"/>
              </w:rPr>
              <w:t>676</w:t>
            </w:r>
          </w:p>
        </w:tc>
        <w:tc>
          <w:tcPr>
            <w:tcW w:w="1593" w:type="dxa"/>
            <w:tcBorders>
              <w:top w:val="single" w:sz="8" w:space="0" w:color="auto"/>
              <w:left w:val="nil"/>
              <w:bottom w:val="single" w:sz="8" w:space="0" w:color="auto"/>
              <w:right w:val="nil"/>
            </w:tcBorders>
            <w:shd w:val="clear" w:color="auto" w:fill="auto"/>
            <w:noWrap/>
            <w:vAlign w:val="bottom"/>
          </w:tcPr>
          <w:p w14:paraId="2727AC59" w14:textId="00B33458" w:rsidR="00E16456" w:rsidRPr="00BA3F2A" w:rsidRDefault="00E16456" w:rsidP="00E16456">
            <w:pPr>
              <w:spacing w:after="0" w:line="240" w:lineRule="auto"/>
              <w:jc w:val="right"/>
              <w:rPr>
                <w:rFonts w:eastAsia="Times New Roman" w:cs="Arial"/>
                <w:b/>
                <w:bCs/>
                <w:color w:val="000000"/>
                <w:sz w:val="18"/>
                <w:szCs w:val="18"/>
              </w:rPr>
            </w:pPr>
            <w:r w:rsidRPr="00FE65B6">
              <w:rPr>
                <w:rFonts w:cs="Arial"/>
                <w:b/>
                <w:sz w:val="18"/>
                <w:szCs w:val="18"/>
              </w:rPr>
              <w:t>7</w:t>
            </w:r>
            <w:r>
              <w:rPr>
                <w:rFonts w:cs="Arial"/>
                <w:b/>
                <w:sz w:val="18"/>
                <w:szCs w:val="18"/>
              </w:rPr>
              <w:t>,</w:t>
            </w:r>
            <w:r w:rsidRPr="00FE65B6">
              <w:rPr>
                <w:rFonts w:cs="Arial"/>
                <w:b/>
                <w:sz w:val="18"/>
                <w:szCs w:val="18"/>
              </w:rPr>
              <w:t>154</w:t>
            </w:r>
          </w:p>
        </w:tc>
        <w:tc>
          <w:tcPr>
            <w:tcW w:w="1242" w:type="dxa"/>
            <w:tcBorders>
              <w:top w:val="single" w:sz="8" w:space="0" w:color="auto"/>
              <w:left w:val="nil"/>
              <w:bottom w:val="single" w:sz="8" w:space="0" w:color="auto"/>
              <w:right w:val="nil"/>
            </w:tcBorders>
            <w:shd w:val="clear" w:color="auto" w:fill="auto"/>
            <w:noWrap/>
            <w:vAlign w:val="bottom"/>
          </w:tcPr>
          <w:p w14:paraId="380B98EA" w14:textId="75EBC69E" w:rsidR="00E16456" w:rsidRPr="00BA3F2A" w:rsidRDefault="00E16456" w:rsidP="00E16456">
            <w:pPr>
              <w:spacing w:after="0" w:line="240" w:lineRule="auto"/>
              <w:jc w:val="right"/>
              <w:rPr>
                <w:rFonts w:eastAsia="Times New Roman" w:cs="Arial"/>
                <w:b/>
                <w:bCs/>
                <w:color w:val="000000"/>
                <w:sz w:val="18"/>
                <w:szCs w:val="18"/>
              </w:rPr>
            </w:pPr>
            <w:r w:rsidRPr="00FE65B6">
              <w:rPr>
                <w:rFonts w:cs="Arial"/>
                <w:b/>
                <w:sz w:val="18"/>
                <w:szCs w:val="18"/>
              </w:rPr>
              <w:t>1</w:t>
            </w:r>
            <w:r>
              <w:rPr>
                <w:rFonts w:cs="Arial"/>
                <w:b/>
                <w:sz w:val="18"/>
                <w:szCs w:val="18"/>
              </w:rPr>
              <w:t>,</w:t>
            </w:r>
            <w:r w:rsidRPr="00FE65B6">
              <w:rPr>
                <w:rFonts w:cs="Arial"/>
                <w:b/>
                <w:sz w:val="18"/>
                <w:szCs w:val="18"/>
              </w:rPr>
              <w:t>008</w:t>
            </w:r>
          </w:p>
        </w:tc>
        <w:tc>
          <w:tcPr>
            <w:tcW w:w="1309" w:type="dxa"/>
            <w:tcBorders>
              <w:top w:val="single" w:sz="8" w:space="0" w:color="auto"/>
              <w:left w:val="nil"/>
              <w:bottom w:val="single" w:sz="8" w:space="0" w:color="auto"/>
              <w:right w:val="nil"/>
            </w:tcBorders>
            <w:shd w:val="clear" w:color="auto" w:fill="auto"/>
            <w:noWrap/>
            <w:vAlign w:val="bottom"/>
          </w:tcPr>
          <w:p w14:paraId="2FF626E5" w14:textId="70054AA0" w:rsidR="00E16456" w:rsidRPr="00BA3F2A" w:rsidRDefault="00E16456" w:rsidP="00E16456">
            <w:pPr>
              <w:spacing w:after="0" w:line="240" w:lineRule="auto"/>
              <w:jc w:val="right"/>
              <w:rPr>
                <w:rFonts w:eastAsia="Times New Roman" w:cs="Arial"/>
                <w:b/>
                <w:bCs/>
                <w:color w:val="000000"/>
                <w:sz w:val="18"/>
                <w:szCs w:val="18"/>
              </w:rPr>
            </w:pPr>
            <w:r>
              <w:rPr>
                <w:rFonts w:cs="Arial"/>
                <w:b/>
                <w:sz w:val="18"/>
                <w:szCs w:val="18"/>
              </w:rPr>
              <w:t>(</w:t>
            </w:r>
            <w:r w:rsidRPr="00FE65B6">
              <w:rPr>
                <w:rFonts w:cs="Arial"/>
                <w:b/>
                <w:sz w:val="18"/>
                <w:szCs w:val="18"/>
              </w:rPr>
              <w:t>220</w:t>
            </w:r>
            <w:r>
              <w:rPr>
                <w:rFonts w:cs="Arial"/>
                <w:b/>
                <w:sz w:val="18"/>
                <w:szCs w:val="18"/>
              </w:rPr>
              <w:t>)</w:t>
            </w:r>
          </w:p>
        </w:tc>
        <w:tc>
          <w:tcPr>
            <w:tcW w:w="1384" w:type="dxa"/>
            <w:tcBorders>
              <w:top w:val="single" w:sz="8" w:space="0" w:color="auto"/>
              <w:left w:val="nil"/>
              <w:bottom w:val="single" w:sz="8" w:space="0" w:color="auto"/>
              <w:right w:val="nil"/>
            </w:tcBorders>
            <w:shd w:val="clear" w:color="auto" w:fill="auto"/>
            <w:noWrap/>
            <w:vAlign w:val="bottom"/>
          </w:tcPr>
          <w:p w14:paraId="113EE986" w14:textId="74EA9713" w:rsidR="00E16456" w:rsidRPr="00BA3F2A" w:rsidRDefault="00E16456" w:rsidP="00E16456">
            <w:pPr>
              <w:spacing w:after="0" w:line="240" w:lineRule="auto"/>
              <w:jc w:val="right"/>
              <w:rPr>
                <w:rFonts w:eastAsia="Times New Roman" w:cs="Arial"/>
                <w:b/>
                <w:bCs/>
                <w:color w:val="000000"/>
                <w:sz w:val="18"/>
                <w:szCs w:val="18"/>
              </w:rPr>
            </w:pPr>
            <w:r w:rsidRPr="00FE65B6">
              <w:rPr>
                <w:rFonts w:cs="Arial"/>
                <w:b/>
                <w:sz w:val="18"/>
                <w:szCs w:val="18"/>
              </w:rPr>
              <w:t>382</w:t>
            </w:r>
            <w:r>
              <w:rPr>
                <w:rFonts w:cs="Arial"/>
                <w:b/>
                <w:sz w:val="18"/>
                <w:szCs w:val="18"/>
              </w:rPr>
              <w:t>,</w:t>
            </w:r>
            <w:r w:rsidRPr="00FE65B6">
              <w:rPr>
                <w:rFonts w:cs="Arial"/>
                <w:b/>
                <w:sz w:val="18"/>
                <w:szCs w:val="18"/>
              </w:rPr>
              <w:t>618</w:t>
            </w:r>
          </w:p>
        </w:tc>
      </w:tr>
      <w:tr w:rsidR="00191C78" w:rsidRPr="00693FCC" w14:paraId="416E524E" w14:textId="77777777" w:rsidTr="00BA3F2A">
        <w:trPr>
          <w:trHeight w:val="60"/>
        </w:trPr>
        <w:tc>
          <w:tcPr>
            <w:tcW w:w="3227" w:type="dxa"/>
            <w:shd w:val="clear" w:color="auto" w:fill="auto"/>
            <w:vAlign w:val="bottom"/>
          </w:tcPr>
          <w:p w14:paraId="28295CCA" w14:textId="77777777" w:rsidR="00191C78" w:rsidRPr="00BA3F2A" w:rsidRDefault="00191C78" w:rsidP="00191C78">
            <w:pPr>
              <w:spacing w:after="0" w:line="240" w:lineRule="auto"/>
              <w:rPr>
                <w:rFonts w:eastAsia="Times New Roman" w:cs="Arial"/>
                <w:sz w:val="18"/>
                <w:szCs w:val="18"/>
              </w:rPr>
            </w:pPr>
          </w:p>
        </w:tc>
        <w:tc>
          <w:tcPr>
            <w:tcW w:w="1134" w:type="dxa"/>
            <w:tcBorders>
              <w:top w:val="nil"/>
              <w:left w:val="nil"/>
              <w:bottom w:val="nil"/>
              <w:right w:val="nil"/>
            </w:tcBorders>
            <w:shd w:val="clear" w:color="auto" w:fill="auto"/>
            <w:noWrap/>
            <w:vAlign w:val="bottom"/>
          </w:tcPr>
          <w:p w14:paraId="55D97EC8" w14:textId="77777777" w:rsidR="00191C78" w:rsidRPr="00BA3F2A" w:rsidRDefault="00191C78" w:rsidP="00191C78">
            <w:pPr>
              <w:spacing w:after="0" w:line="140" w:lineRule="exact"/>
              <w:jc w:val="right"/>
              <w:rPr>
                <w:rFonts w:eastAsia="Times New Roman" w:cs="Arial"/>
                <w:sz w:val="18"/>
                <w:szCs w:val="18"/>
              </w:rPr>
            </w:pPr>
          </w:p>
        </w:tc>
        <w:tc>
          <w:tcPr>
            <w:tcW w:w="1593" w:type="dxa"/>
            <w:tcBorders>
              <w:top w:val="nil"/>
              <w:left w:val="nil"/>
              <w:bottom w:val="nil"/>
              <w:right w:val="nil"/>
            </w:tcBorders>
            <w:shd w:val="clear" w:color="auto" w:fill="auto"/>
            <w:noWrap/>
            <w:vAlign w:val="bottom"/>
          </w:tcPr>
          <w:p w14:paraId="13E1B0DA" w14:textId="77777777" w:rsidR="00191C78" w:rsidRPr="00BA3F2A" w:rsidRDefault="00191C78" w:rsidP="00191C78">
            <w:pPr>
              <w:spacing w:after="0" w:line="140" w:lineRule="exact"/>
              <w:jc w:val="right"/>
              <w:rPr>
                <w:rFonts w:eastAsia="Times New Roman" w:cs="Arial"/>
                <w:sz w:val="18"/>
                <w:szCs w:val="18"/>
              </w:rPr>
            </w:pPr>
          </w:p>
        </w:tc>
        <w:tc>
          <w:tcPr>
            <w:tcW w:w="1242" w:type="dxa"/>
            <w:tcBorders>
              <w:top w:val="nil"/>
              <w:left w:val="nil"/>
              <w:bottom w:val="nil"/>
              <w:right w:val="nil"/>
            </w:tcBorders>
            <w:shd w:val="clear" w:color="auto" w:fill="auto"/>
            <w:noWrap/>
            <w:vAlign w:val="bottom"/>
          </w:tcPr>
          <w:p w14:paraId="544A47C7" w14:textId="77777777" w:rsidR="00191C78" w:rsidRPr="00BA3F2A" w:rsidRDefault="00191C78" w:rsidP="00191C78">
            <w:pPr>
              <w:spacing w:after="0" w:line="140" w:lineRule="exact"/>
              <w:jc w:val="right"/>
              <w:rPr>
                <w:rFonts w:eastAsia="Times New Roman" w:cs="Arial"/>
                <w:sz w:val="18"/>
                <w:szCs w:val="18"/>
              </w:rPr>
            </w:pPr>
          </w:p>
        </w:tc>
        <w:tc>
          <w:tcPr>
            <w:tcW w:w="1309" w:type="dxa"/>
            <w:tcBorders>
              <w:top w:val="nil"/>
              <w:left w:val="nil"/>
              <w:bottom w:val="nil"/>
              <w:right w:val="nil"/>
            </w:tcBorders>
            <w:shd w:val="clear" w:color="auto" w:fill="auto"/>
            <w:noWrap/>
            <w:vAlign w:val="bottom"/>
          </w:tcPr>
          <w:p w14:paraId="40B07A0E" w14:textId="77777777" w:rsidR="00191C78" w:rsidRPr="00BA3F2A" w:rsidRDefault="00191C78" w:rsidP="00191C78">
            <w:pPr>
              <w:spacing w:after="0" w:line="140" w:lineRule="exact"/>
              <w:jc w:val="right"/>
              <w:rPr>
                <w:rFonts w:eastAsia="Times New Roman" w:cs="Arial"/>
                <w:sz w:val="18"/>
                <w:szCs w:val="18"/>
              </w:rPr>
            </w:pPr>
          </w:p>
        </w:tc>
        <w:tc>
          <w:tcPr>
            <w:tcW w:w="1384" w:type="dxa"/>
            <w:tcBorders>
              <w:top w:val="nil"/>
              <w:left w:val="nil"/>
              <w:bottom w:val="nil"/>
              <w:right w:val="nil"/>
            </w:tcBorders>
            <w:shd w:val="clear" w:color="auto" w:fill="auto"/>
            <w:noWrap/>
            <w:vAlign w:val="bottom"/>
          </w:tcPr>
          <w:p w14:paraId="4D473FFB" w14:textId="77777777" w:rsidR="00191C78" w:rsidRPr="00BA3F2A" w:rsidRDefault="00191C78" w:rsidP="00191C78">
            <w:pPr>
              <w:spacing w:after="0" w:line="140" w:lineRule="exact"/>
              <w:jc w:val="right"/>
              <w:rPr>
                <w:rFonts w:eastAsia="Times New Roman" w:cs="Arial"/>
                <w:sz w:val="18"/>
                <w:szCs w:val="18"/>
              </w:rPr>
            </w:pPr>
          </w:p>
        </w:tc>
      </w:tr>
      <w:tr w:rsidR="00E16456" w:rsidRPr="00693FCC" w14:paraId="0B76D6D2" w14:textId="77777777" w:rsidTr="00BA3F2A">
        <w:trPr>
          <w:trHeight w:hRule="exact" w:val="284"/>
        </w:trPr>
        <w:tc>
          <w:tcPr>
            <w:tcW w:w="3227" w:type="dxa"/>
            <w:shd w:val="clear" w:color="auto" w:fill="auto"/>
            <w:vAlign w:val="bottom"/>
          </w:tcPr>
          <w:p w14:paraId="4058572C" w14:textId="77777777" w:rsidR="00E16456" w:rsidRPr="00BA3F2A" w:rsidRDefault="00E16456" w:rsidP="00E16456">
            <w:pPr>
              <w:spacing w:after="0" w:line="240" w:lineRule="auto"/>
              <w:rPr>
                <w:rFonts w:eastAsia="Times New Roman" w:cs="Arial"/>
                <w:sz w:val="18"/>
                <w:szCs w:val="18"/>
              </w:rPr>
            </w:pPr>
            <w:r w:rsidRPr="00BA3F2A">
              <w:rPr>
                <w:rFonts w:eastAsia="Times New Roman" w:cs="Arial"/>
                <w:sz w:val="18"/>
                <w:szCs w:val="18"/>
              </w:rPr>
              <w:t>Operating costs</w:t>
            </w:r>
          </w:p>
        </w:tc>
        <w:tc>
          <w:tcPr>
            <w:tcW w:w="1134" w:type="dxa"/>
            <w:tcBorders>
              <w:top w:val="nil"/>
              <w:left w:val="nil"/>
              <w:bottom w:val="nil"/>
              <w:right w:val="nil"/>
            </w:tcBorders>
            <w:shd w:val="clear" w:color="auto" w:fill="auto"/>
            <w:noWrap/>
            <w:vAlign w:val="bottom"/>
          </w:tcPr>
          <w:p w14:paraId="18150ED9" w14:textId="30A389A5" w:rsidR="00E16456" w:rsidRPr="00BA3F2A" w:rsidRDefault="00E16456" w:rsidP="00E16456">
            <w:pPr>
              <w:spacing w:after="0" w:line="300" w:lineRule="exact"/>
              <w:jc w:val="right"/>
              <w:rPr>
                <w:rFonts w:eastAsia="Times New Roman" w:cs="Arial"/>
                <w:sz w:val="18"/>
                <w:szCs w:val="18"/>
              </w:rPr>
            </w:pPr>
            <w:r w:rsidRPr="00FE65B6">
              <w:rPr>
                <w:rFonts w:cs="Arial"/>
                <w:sz w:val="18"/>
                <w:szCs w:val="18"/>
              </w:rPr>
              <w:t xml:space="preserve"> (107</w:t>
            </w:r>
            <w:r>
              <w:rPr>
                <w:rFonts w:cs="Arial"/>
                <w:sz w:val="18"/>
                <w:szCs w:val="18"/>
              </w:rPr>
              <w:t>,</w:t>
            </w:r>
            <w:r w:rsidRPr="00FE65B6">
              <w:rPr>
                <w:rFonts w:cs="Arial"/>
                <w:sz w:val="18"/>
                <w:szCs w:val="18"/>
              </w:rPr>
              <w:t>296)</w:t>
            </w:r>
          </w:p>
        </w:tc>
        <w:tc>
          <w:tcPr>
            <w:tcW w:w="1593" w:type="dxa"/>
            <w:tcBorders>
              <w:top w:val="nil"/>
              <w:left w:val="nil"/>
              <w:bottom w:val="nil"/>
              <w:right w:val="nil"/>
            </w:tcBorders>
            <w:shd w:val="clear" w:color="auto" w:fill="auto"/>
            <w:noWrap/>
            <w:vAlign w:val="bottom"/>
          </w:tcPr>
          <w:p w14:paraId="7AE768D4" w14:textId="792B9AD5" w:rsidR="00E16456" w:rsidRPr="00BA3F2A" w:rsidRDefault="00E16456" w:rsidP="00E16456">
            <w:pPr>
              <w:spacing w:after="0" w:line="300" w:lineRule="exact"/>
              <w:jc w:val="right"/>
              <w:rPr>
                <w:rFonts w:eastAsia="Times New Roman" w:cs="Arial"/>
                <w:sz w:val="18"/>
                <w:szCs w:val="18"/>
              </w:rPr>
            </w:pPr>
            <w:r w:rsidRPr="00FE65B6">
              <w:rPr>
                <w:rFonts w:cs="Arial"/>
                <w:sz w:val="18"/>
                <w:szCs w:val="18"/>
              </w:rPr>
              <w:t xml:space="preserve"> (4</w:t>
            </w:r>
            <w:r>
              <w:rPr>
                <w:rFonts w:cs="Arial"/>
                <w:sz w:val="18"/>
                <w:szCs w:val="18"/>
              </w:rPr>
              <w:t>,</w:t>
            </w:r>
            <w:r w:rsidRPr="00FE65B6">
              <w:rPr>
                <w:rFonts w:cs="Arial"/>
                <w:sz w:val="18"/>
                <w:szCs w:val="18"/>
              </w:rPr>
              <w:t>841)</w:t>
            </w:r>
          </w:p>
        </w:tc>
        <w:tc>
          <w:tcPr>
            <w:tcW w:w="1242" w:type="dxa"/>
            <w:tcBorders>
              <w:top w:val="nil"/>
              <w:left w:val="nil"/>
              <w:bottom w:val="nil"/>
              <w:right w:val="nil"/>
            </w:tcBorders>
            <w:shd w:val="clear" w:color="auto" w:fill="auto"/>
            <w:noWrap/>
            <w:vAlign w:val="bottom"/>
          </w:tcPr>
          <w:p w14:paraId="1AAD9098" w14:textId="18DFC947" w:rsidR="00E16456" w:rsidRPr="00BA3F2A" w:rsidRDefault="00E16456" w:rsidP="00E16456">
            <w:pPr>
              <w:spacing w:after="0" w:line="300" w:lineRule="exact"/>
              <w:jc w:val="right"/>
              <w:rPr>
                <w:rFonts w:eastAsia="Times New Roman" w:cs="Arial"/>
                <w:sz w:val="18"/>
                <w:szCs w:val="18"/>
              </w:rPr>
            </w:pPr>
            <w:r w:rsidRPr="00FE65B6">
              <w:rPr>
                <w:rFonts w:cs="Arial"/>
                <w:sz w:val="18"/>
                <w:szCs w:val="18"/>
              </w:rPr>
              <w:t xml:space="preserve"> (806)</w:t>
            </w:r>
          </w:p>
        </w:tc>
        <w:tc>
          <w:tcPr>
            <w:tcW w:w="1309" w:type="dxa"/>
            <w:tcBorders>
              <w:top w:val="nil"/>
              <w:left w:val="nil"/>
              <w:bottom w:val="nil"/>
              <w:right w:val="nil"/>
            </w:tcBorders>
            <w:shd w:val="clear" w:color="auto" w:fill="auto"/>
            <w:noWrap/>
            <w:vAlign w:val="bottom"/>
          </w:tcPr>
          <w:p w14:paraId="0F90C933" w14:textId="5C3971D9" w:rsidR="00E16456" w:rsidRPr="00BA3F2A" w:rsidRDefault="00E16456" w:rsidP="00E16456">
            <w:pPr>
              <w:spacing w:after="0" w:line="300" w:lineRule="exact"/>
              <w:jc w:val="right"/>
              <w:rPr>
                <w:rFonts w:eastAsia="Times New Roman" w:cs="Arial"/>
                <w:sz w:val="18"/>
                <w:szCs w:val="18"/>
              </w:rPr>
            </w:pPr>
            <w:r w:rsidRPr="00FE65B6">
              <w:rPr>
                <w:rFonts w:cs="Arial"/>
                <w:sz w:val="18"/>
                <w:szCs w:val="18"/>
              </w:rPr>
              <w:t xml:space="preserve"> 221 </w:t>
            </w:r>
          </w:p>
        </w:tc>
        <w:tc>
          <w:tcPr>
            <w:tcW w:w="1384" w:type="dxa"/>
            <w:tcBorders>
              <w:top w:val="nil"/>
              <w:left w:val="nil"/>
              <w:bottom w:val="nil"/>
              <w:right w:val="nil"/>
            </w:tcBorders>
            <w:shd w:val="clear" w:color="auto" w:fill="auto"/>
            <w:noWrap/>
            <w:vAlign w:val="bottom"/>
          </w:tcPr>
          <w:p w14:paraId="408362EC" w14:textId="721B2B57" w:rsidR="00E16456" w:rsidRPr="00BA3F2A" w:rsidRDefault="00E16456" w:rsidP="00E16456">
            <w:pPr>
              <w:spacing w:after="0" w:line="300" w:lineRule="exact"/>
              <w:jc w:val="right"/>
              <w:rPr>
                <w:rFonts w:eastAsia="Times New Roman" w:cs="Arial"/>
                <w:sz w:val="18"/>
                <w:szCs w:val="18"/>
              </w:rPr>
            </w:pPr>
            <w:r w:rsidRPr="00FE65B6">
              <w:rPr>
                <w:rFonts w:cs="Arial"/>
                <w:sz w:val="18"/>
                <w:szCs w:val="18"/>
              </w:rPr>
              <w:t xml:space="preserve"> (112</w:t>
            </w:r>
            <w:r>
              <w:rPr>
                <w:rFonts w:cs="Arial"/>
                <w:sz w:val="18"/>
                <w:szCs w:val="18"/>
              </w:rPr>
              <w:t>,</w:t>
            </w:r>
            <w:r w:rsidRPr="00FE65B6">
              <w:rPr>
                <w:rFonts w:cs="Arial"/>
                <w:sz w:val="18"/>
                <w:szCs w:val="18"/>
              </w:rPr>
              <w:t>722)</w:t>
            </w:r>
          </w:p>
        </w:tc>
      </w:tr>
      <w:tr w:rsidR="00E16456" w:rsidRPr="00693FCC" w14:paraId="56BDA47C" w14:textId="77777777" w:rsidTr="00BA3F2A">
        <w:trPr>
          <w:trHeight w:hRule="exact" w:val="284"/>
        </w:trPr>
        <w:tc>
          <w:tcPr>
            <w:tcW w:w="3227" w:type="dxa"/>
            <w:shd w:val="clear" w:color="auto" w:fill="auto"/>
            <w:vAlign w:val="bottom"/>
          </w:tcPr>
          <w:p w14:paraId="691BFD05" w14:textId="77777777" w:rsidR="00E16456" w:rsidRPr="00BA3F2A" w:rsidRDefault="00E16456" w:rsidP="00E16456">
            <w:pPr>
              <w:spacing w:after="0" w:line="240" w:lineRule="auto"/>
              <w:rPr>
                <w:rFonts w:eastAsia="Times New Roman" w:cs="Arial"/>
                <w:sz w:val="18"/>
                <w:szCs w:val="18"/>
              </w:rPr>
            </w:pPr>
            <w:r w:rsidRPr="00BA3F2A">
              <w:rPr>
                <w:rFonts w:eastAsia="Times New Roman" w:cs="Arial"/>
                <w:sz w:val="18"/>
                <w:szCs w:val="18"/>
              </w:rPr>
              <w:t xml:space="preserve">Impairment loss and provisions </w:t>
            </w:r>
          </w:p>
        </w:tc>
        <w:tc>
          <w:tcPr>
            <w:tcW w:w="1134" w:type="dxa"/>
            <w:tcBorders>
              <w:top w:val="nil"/>
              <w:left w:val="nil"/>
              <w:bottom w:val="nil"/>
              <w:right w:val="nil"/>
            </w:tcBorders>
            <w:shd w:val="clear" w:color="auto" w:fill="auto"/>
            <w:noWrap/>
            <w:vAlign w:val="bottom"/>
          </w:tcPr>
          <w:p w14:paraId="71C694A3" w14:textId="2B992757" w:rsidR="00E16456" w:rsidRPr="00BA3F2A" w:rsidRDefault="00E16456" w:rsidP="00E16456">
            <w:pPr>
              <w:spacing w:after="0" w:line="300" w:lineRule="exact"/>
              <w:jc w:val="right"/>
              <w:rPr>
                <w:rFonts w:eastAsia="Times New Roman" w:cs="Arial"/>
                <w:sz w:val="18"/>
                <w:szCs w:val="18"/>
              </w:rPr>
            </w:pPr>
            <w:r w:rsidRPr="00FE65B6">
              <w:rPr>
                <w:rFonts w:cs="Arial"/>
                <w:sz w:val="18"/>
                <w:szCs w:val="18"/>
              </w:rPr>
              <w:t xml:space="preserve"> (91</w:t>
            </w:r>
            <w:r>
              <w:rPr>
                <w:rFonts w:cs="Arial"/>
                <w:sz w:val="18"/>
                <w:szCs w:val="18"/>
              </w:rPr>
              <w:t>,</w:t>
            </w:r>
            <w:r w:rsidRPr="00FE65B6">
              <w:rPr>
                <w:rFonts w:cs="Arial"/>
                <w:sz w:val="18"/>
                <w:szCs w:val="18"/>
              </w:rPr>
              <w:t>869)</w:t>
            </w:r>
          </w:p>
        </w:tc>
        <w:tc>
          <w:tcPr>
            <w:tcW w:w="1593" w:type="dxa"/>
            <w:tcBorders>
              <w:top w:val="nil"/>
              <w:left w:val="nil"/>
              <w:bottom w:val="nil"/>
              <w:right w:val="nil"/>
            </w:tcBorders>
            <w:shd w:val="clear" w:color="auto" w:fill="auto"/>
            <w:noWrap/>
            <w:vAlign w:val="bottom"/>
          </w:tcPr>
          <w:p w14:paraId="6A4119AA" w14:textId="2D86FDD0" w:rsidR="00E16456" w:rsidRPr="00BA3F2A" w:rsidRDefault="00E16456" w:rsidP="00E16456">
            <w:pPr>
              <w:spacing w:after="0" w:line="300" w:lineRule="exact"/>
              <w:jc w:val="right"/>
              <w:rPr>
                <w:rFonts w:eastAsia="Times New Roman" w:cs="Arial"/>
                <w:sz w:val="18"/>
                <w:szCs w:val="18"/>
              </w:rPr>
            </w:pPr>
            <w:r w:rsidRPr="00FE65B6">
              <w:rPr>
                <w:rFonts w:cs="Arial"/>
                <w:sz w:val="18"/>
                <w:szCs w:val="18"/>
              </w:rPr>
              <w:t xml:space="preserve"> (22)</w:t>
            </w:r>
          </w:p>
        </w:tc>
        <w:tc>
          <w:tcPr>
            <w:tcW w:w="1242" w:type="dxa"/>
            <w:tcBorders>
              <w:top w:val="nil"/>
              <w:left w:val="nil"/>
              <w:bottom w:val="nil"/>
              <w:right w:val="nil"/>
            </w:tcBorders>
            <w:shd w:val="clear" w:color="auto" w:fill="auto"/>
            <w:noWrap/>
            <w:vAlign w:val="bottom"/>
          </w:tcPr>
          <w:p w14:paraId="5E8270B0" w14:textId="2EC3D9CC" w:rsidR="00E16456" w:rsidRPr="00BA3F2A" w:rsidRDefault="00E16456" w:rsidP="00E16456">
            <w:pPr>
              <w:spacing w:after="0" w:line="300" w:lineRule="exact"/>
              <w:jc w:val="right"/>
              <w:rPr>
                <w:rFonts w:eastAsia="Times New Roman" w:cs="Arial"/>
                <w:sz w:val="18"/>
                <w:szCs w:val="18"/>
              </w:rPr>
            </w:pPr>
            <w:r w:rsidRPr="00FE65B6">
              <w:rPr>
                <w:rFonts w:cs="Arial"/>
                <w:sz w:val="18"/>
                <w:szCs w:val="18"/>
              </w:rPr>
              <w:t xml:space="preserve"> (7)</w:t>
            </w:r>
          </w:p>
        </w:tc>
        <w:tc>
          <w:tcPr>
            <w:tcW w:w="1309" w:type="dxa"/>
            <w:tcBorders>
              <w:top w:val="nil"/>
              <w:left w:val="nil"/>
              <w:bottom w:val="nil"/>
              <w:right w:val="nil"/>
            </w:tcBorders>
            <w:shd w:val="clear" w:color="auto" w:fill="auto"/>
            <w:noWrap/>
            <w:vAlign w:val="bottom"/>
          </w:tcPr>
          <w:p w14:paraId="4D29F949" w14:textId="2A873AA8" w:rsidR="00E16456" w:rsidRPr="00BA3F2A" w:rsidRDefault="00E16456" w:rsidP="00E16456">
            <w:pPr>
              <w:spacing w:after="0" w:line="300" w:lineRule="exact"/>
              <w:jc w:val="right"/>
              <w:rPr>
                <w:rFonts w:eastAsia="Times New Roman" w:cs="Arial"/>
                <w:sz w:val="18"/>
                <w:szCs w:val="18"/>
              </w:rPr>
            </w:pPr>
            <w:r w:rsidRPr="00FE65B6">
              <w:rPr>
                <w:rFonts w:cs="Arial"/>
                <w:sz w:val="18"/>
                <w:szCs w:val="18"/>
              </w:rPr>
              <w:t xml:space="preserve"> - </w:t>
            </w:r>
          </w:p>
        </w:tc>
        <w:tc>
          <w:tcPr>
            <w:tcW w:w="1384" w:type="dxa"/>
            <w:tcBorders>
              <w:top w:val="nil"/>
              <w:left w:val="nil"/>
              <w:bottom w:val="nil"/>
              <w:right w:val="nil"/>
            </w:tcBorders>
            <w:shd w:val="clear" w:color="auto" w:fill="auto"/>
            <w:noWrap/>
            <w:vAlign w:val="bottom"/>
          </w:tcPr>
          <w:p w14:paraId="5E4D4E31" w14:textId="2CCE0751" w:rsidR="00E16456" w:rsidRPr="00BA3F2A" w:rsidRDefault="00E16456" w:rsidP="00E16456">
            <w:pPr>
              <w:spacing w:after="0" w:line="300" w:lineRule="exact"/>
              <w:jc w:val="right"/>
              <w:rPr>
                <w:rFonts w:eastAsia="Times New Roman" w:cs="Arial"/>
                <w:sz w:val="18"/>
                <w:szCs w:val="18"/>
              </w:rPr>
            </w:pPr>
            <w:r w:rsidRPr="00FE65B6">
              <w:rPr>
                <w:rFonts w:cs="Arial"/>
                <w:sz w:val="18"/>
                <w:szCs w:val="18"/>
              </w:rPr>
              <w:t xml:space="preserve"> (91</w:t>
            </w:r>
            <w:r>
              <w:rPr>
                <w:rFonts w:cs="Arial"/>
                <w:sz w:val="18"/>
                <w:szCs w:val="18"/>
              </w:rPr>
              <w:t>,</w:t>
            </w:r>
            <w:r w:rsidRPr="00FE65B6">
              <w:rPr>
                <w:rFonts w:cs="Arial"/>
                <w:sz w:val="18"/>
                <w:szCs w:val="18"/>
              </w:rPr>
              <w:t>898)</w:t>
            </w:r>
          </w:p>
        </w:tc>
      </w:tr>
      <w:tr w:rsidR="00E16456" w:rsidRPr="00693FCC" w14:paraId="6CEAF940" w14:textId="77777777" w:rsidTr="00BA3F2A">
        <w:trPr>
          <w:trHeight w:hRule="exact" w:val="284"/>
        </w:trPr>
        <w:tc>
          <w:tcPr>
            <w:tcW w:w="3227" w:type="dxa"/>
            <w:shd w:val="clear" w:color="auto" w:fill="auto"/>
            <w:vAlign w:val="bottom"/>
          </w:tcPr>
          <w:p w14:paraId="445C1E76" w14:textId="77777777" w:rsidR="00E16456" w:rsidRPr="00BA3F2A" w:rsidRDefault="00E16456" w:rsidP="00E16456">
            <w:pPr>
              <w:spacing w:after="0" w:line="240" w:lineRule="auto"/>
              <w:rPr>
                <w:rFonts w:eastAsia="Times New Roman" w:cs="Arial"/>
                <w:sz w:val="18"/>
                <w:szCs w:val="18"/>
              </w:rPr>
            </w:pPr>
            <w:r w:rsidRPr="00BA3F2A">
              <w:rPr>
                <w:rFonts w:eastAsia="Times New Roman" w:cs="Arial"/>
                <w:sz w:val="18"/>
                <w:szCs w:val="18"/>
              </w:rPr>
              <w:t>Expenses for insured cases</w:t>
            </w:r>
          </w:p>
        </w:tc>
        <w:tc>
          <w:tcPr>
            <w:tcW w:w="1134" w:type="dxa"/>
            <w:tcBorders>
              <w:top w:val="nil"/>
              <w:left w:val="nil"/>
              <w:bottom w:val="nil"/>
              <w:right w:val="nil"/>
            </w:tcBorders>
            <w:shd w:val="clear" w:color="auto" w:fill="auto"/>
            <w:noWrap/>
            <w:vAlign w:val="bottom"/>
          </w:tcPr>
          <w:p w14:paraId="1D09608C" w14:textId="76FB6F16" w:rsidR="00E16456" w:rsidRPr="00BA3F2A" w:rsidRDefault="00E16456" w:rsidP="00E16456">
            <w:pPr>
              <w:spacing w:after="0" w:line="300" w:lineRule="exact"/>
              <w:jc w:val="right"/>
              <w:rPr>
                <w:rFonts w:eastAsia="Times New Roman" w:cs="Arial"/>
                <w:sz w:val="18"/>
                <w:szCs w:val="18"/>
              </w:rPr>
            </w:pPr>
            <w:r>
              <w:rPr>
                <w:rFonts w:cs="Arial"/>
                <w:sz w:val="18"/>
                <w:szCs w:val="18"/>
              </w:rPr>
              <w:t>-</w:t>
            </w:r>
          </w:p>
        </w:tc>
        <w:tc>
          <w:tcPr>
            <w:tcW w:w="1593" w:type="dxa"/>
            <w:tcBorders>
              <w:top w:val="nil"/>
              <w:left w:val="nil"/>
              <w:bottom w:val="nil"/>
              <w:right w:val="nil"/>
            </w:tcBorders>
            <w:shd w:val="clear" w:color="auto" w:fill="auto"/>
            <w:noWrap/>
            <w:vAlign w:val="bottom"/>
          </w:tcPr>
          <w:p w14:paraId="0BC99FDF" w14:textId="26E195D5" w:rsidR="00E16456" w:rsidRPr="00BA3F2A" w:rsidRDefault="00E16456" w:rsidP="00E16456">
            <w:pPr>
              <w:spacing w:after="0" w:line="300" w:lineRule="exact"/>
              <w:jc w:val="right"/>
              <w:rPr>
                <w:rFonts w:eastAsia="Times New Roman" w:cs="Arial"/>
                <w:sz w:val="18"/>
                <w:szCs w:val="18"/>
              </w:rPr>
            </w:pPr>
            <w:r w:rsidRPr="00FE65B6">
              <w:rPr>
                <w:rFonts w:cs="Arial"/>
                <w:sz w:val="18"/>
                <w:szCs w:val="18"/>
              </w:rPr>
              <w:t xml:space="preserve"> (210)</w:t>
            </w:r>
          </w:p>
        </w:tc>
        <w:tc>
          <w:tcPr>
            <w:tcW w:w="1242" w:type="dxa"/>
            <w:tcBorders>
              <w:top w:val="nil"/>
              <w:left w:val="nil"/>
              <w:bottom w:val="nil"/>
              <w:right w:val="nil"/>
            </w:tcBorders>
            <w:shd w:val="clear" w:color="auto" w:fill="auto"/>
            <w:noWrap/>
            <w:vAlign w:val="bottom"/>
          </w:tcPr>
          <w:p w14:paraId="5106ECA7" w14:textId="373DC327" w:rsidR="00E16456" w:rsidRPr="00BA3F2A" w:rsidRDefault="00E16456" w:rsidP="00E16456">
            <w:pPr>
              <w:spacing w:after="0" w:line="300" w:lineRule="exact"/>
              <w:jc w:val="right"/>
              <w:rPr>
                <w:rFonts w:eastAsia="Times New Roman" w:cs="Arial"/>
                <w:sz w:val="18"/>
                <w:szCs w:val="18"/>
              </w:rPr>
            </w:pPr>
            <w:r>
              <w:rPr>
                <w:rFonts w:cs="Arial"/>
                <w:sz w:val="18"/>
                <w:szCs w:val="18"/>
              </w:rPr>
              <w:t>-</w:t>
            </w:r>
          </w:p>
        </w:tc>
        <w:tc>
          <w:tcPr>
            <w:tcW w:w="1309" w:type="dxa"/>
            <w:tcBorders>
              <w:top w:val="nil"/>
              <w:left w:val="nil"/>
              <w:bottom w:val="nil"/>
              <w:right w:val="nil"/>
            </w:tcBorders>
            <w:shd w:val="clear" w:color="auto" w:fill="auto"/>
            <w:noWrap/>
            <w:vAlign w:val="bottom"/>
          </w:tcPr>
          <w:p w14:paraId="11B196D1" w14:textId="5774808A" w:rsidR="00E16456" w:rsidRPr="00BA3F2A" w:rsidRDefault="00E16456" w:rsidP="00E16456">
            <w:pPr>
              <w:spacing w:after="0" w:line="300" w:lineRule="exact"/>
              <w:jc w:val="right"/>
              <w:rPr>
                <w:rFonts w:eastAsia="Times New Roman" w:cs="Arial"/>
                <w:sz w:val="18"/>
                <w:szCs w:val="18"/>
              </w:rPr>
            </w:pPr>
            <w:r>
              <w:rPr>
                <w:rFonts w:cs="Arial"/>
                <w:sz w:val="18"/>
                <w:szCs w:val="18"/>
              </w:rPr>
              <w:t>-</w:t>
            </w:r>
          </w:p>
        </w:tc>
        <w:tc>
          <w:tcPr>
            <w:tcW w:w="1384" w:type="dxa"/>
            <w:tcBorders>
              <w:top w:val="nil"/>
              <w:left w:val="nil"/>
              <w:bottom w:val="nil"/>
              <w:right w:val="nil"/>
            </w:tcBorders>
            <w:shd w:val="clear" w:color="auto" w:fill="auto"/>
            <w:noWrap/>
            <w:vAlign w:val="bottom"/>
          </w:tcPr>
          <w:p w14:paraId="64F382BA" w14:textId="2B741204" w:rsidR="00E16456" w:rsidRPr="00BA3F2A" w:rsidRDefault="00E16456" w:rsidP="00E16456">
            <w:pPr>
              <w:spacing w:after="0" w:line="300" w:lineRule="exact"/>
              <w:jc w:val="right"/>
              <w:rPr>
                <w:rFonts w:eastAsia="Times New Roman" w:cs="Arial"/>
                <w:sz w:val="18"/>
                <w:szCs w:val="18"/>
              </w:rPr>
            </w:pPr>
            <w:r w:rsidRPr="00FE65B6">
              <w:rPr>
                <w:rFonts w:cs="Arial"/>
                <w:sz w:val="18"/>
                <w:szCs w:val="18"/>
              </w:rPr>
              <w:t xml:space="preserve"> (210)</w:t>
            </w:r>
          </w:p>
        </w:tc>
      </w:tr>
      <w:tr w:rsidR="00E16456" w:rsidRPr="00693FCC" w14:paraId="2E9A3C06" w14:textId="77777777" w:rsidTr="00BA3F2A">
        <w:trPr>
          <w:trHeight w:hRule="exact" w:val="284"/>
        </w:trPr>
        <w:tc>
          <w:tcPr>
            <w:tcW w:w="3227" w:type="dxa"/>
            <w:shd w:val="clear" w:color="auto" w:fill="auto"/>
            <w:vAlign w:val="bottom"/>
          </w:tcPr>
          <w:p w14:paraId="0D690ABB" w14:textId="77777777" w:rsidR="00E16456" w:rsidRPr="00BA3F2A" w:rsidRDefault="00E16456" w:rsidP="00E16456">
            <w:pPr>
              <w:spacing w:after="0" w:line="240" w:lineRule="auto"/>
              <w:rPr>
                <w:rFonts w:eastAsia="Times New Roman" w:cs="Arial"/>
                <w:sz w:val="18"/>
                <w:szCs w:val="18"/>
              </w:rPr>
            </w:pPr>
            <w:r w:rsidRPr="00BA3F2A">
              <w:rPr>
                <w:rFonts w:eastAsia="Times New Roman" w:cs="Arial"/>
                <w:sz w:val="18"/>
                <w:szCs w:val="18"/>
              </w:rPr>
              <w:t xml:space="preserve">Net change in provisions </w:t>
            </w:r>
          </w:p>
        </w:tc>
        <w:tc>
          <w:tcPr>
            <w:tcW w:w="1134" w:type="dxa"/>
            <w:tcBorders>
              <w:top w:val="nil"/>
              <w:left w:val="nil"/>
              <w:bottom w:val="nil"/>
              <w:right w:val="nil"/>
            </w:tcBorders>
            <w:shd w:val="clear" w:color="auto" w:fill="auto"/>
            <w:noWrap/>
            <w:vAlign w:val="bottom"/>
          </w:tcPr>
          <w:p w14:paraId="11CD72CA" w14:textId="1EE3DBCD" w:rsidR="00E16456" w:rsidRPr="00BA3F2A" w:rsidRDefault="00E16456" w:rsidP="00E16456">
            <w:pPr>
              <w:spacing w:after="0" w:line="300" w:lineRule="exact"/>
              <w:jc w:val="right"/>
              <w:rPr>
                <w:rFonts w:eastAsia="Times New Roman" w:cs="Arial"/>
                <w:sz w:val="18"/>
                <w:szCs w:val="18"/>
              </w:rPr>
            </w:pPr>
            <w:r>
              <w:rPr>
                <w:rFonts w:cs="Arial"/>
                <w:sz w:val="18"/>
                <w:szCs w:val="18"/>
              </w:rPr>
              <w:t>-</w:t>
            </w:r>
          </w:p>
        </w:tc>
        <w:tc>
          <w:tcPr>
            <w:tcW w:w="1593" w:type="dxa"/>
            <w:tcBorders>
              <w:top w:val="nil"/>
              <w:left w:val="nil"/>
              <w:bottom w:val="nil"/>
              <w:right w:val="nil"/>
            </w:tcBorders>
            <w:shd w:val="clear" w:color="auto" w:fill="auto"/>
            <w:noWrap/>
            <w:vAlign w:val="bottom"/>
          </w:tcPr>
          <w:p w14:paraId="11B97478" w14:textId="267411BA" w:rsidR="00E16456" w:rsidRPr="00BA3F2A" w:rsidRDefault="00E16456" w:rsidP="00E16456">
            <w:pPr>
              <w:spacing w:after="0" w:line="300" w:lineRule="exact"/>
              <w:jc w:val="right"/>
              <w:rPr>
                <w:rFonts w:eastAsia="Times New Roman" w:cs="Arial"/>
                <w:sz w:val="18"/>
                <w:szCs w:val="18"/>
              </w:rPr>
            </w:pPr>
            <w:r w:rsidRPr="00FE65B6">
              <w:rPr>
                <w:rFonts w:cs="Arial"/>
                <w:sz w:val="18"/>
                <w:szCs w:val="18"/>
              </w:rPr>
              <w:t xml:space="preserve"> (1</w:t>
            </w:r>
            <w:r>
              <w:rPr>
                <w:rFonts w:cs="Arial"/>
                <w:sz w:val="18"/>
                <w:szCs w:val="18"/>
              </w:rPr>
              <w:t>,</w:t>
            </w:r>
            <w:r w:rsidRPr="00FE65B6">
              <w:rPr>
                <w:rFonts w:cs="Arial"/>
                <w:sz w:val="18"/>
                <w:szCs w:val="18"/>
              </w:rPr>
              <w:t>097)</w:t>
            </w:r>
          </w:p>
        </w:tc>
        <w:tc>
          <w:tcPr>
            <w:tcW w:w="1242" w:type="dxa"/>
            <w:tcBorders>
              <w:top w:val="nil"/>
              <w:left w:val="nil"/>
              <w:bottom w:val="nil"/>
              <w:right w:val="nil"/>
            </w:tcBorders>
            <w:shd w:val="clear" w:color="auto" w:fill="auto"/>
            <w:noWrap/>
            <w:vAlign w:val="bottom"/>
          </w:tcPr>
          <w:p w14:paraId="12B5E535" w14:textId="4DD8E6A2" w:rsidR="00E16456" w:rsidRPr="00BA3F2A" w:rsidRDefault="00E16456" w:rsidP="00E16456">
            <w:pPr>
              <w:spacing w:after="0" w:line="300" w:lineRule="exact"/>
              <w:jc w:val="right"/>
              <w:rPr>
                <w:rFonts w:eastAsia="Times New Roman" w:cs="Arial"/>
                <w:sz w:val="18"/>
                <w:szCs w:val="18"/>
              </w:rPr>
            </w:pPr>
            <w:r>
              <w:rPr>
                <w:rFonts w:cs="Arial"/>
                <w:sz w:val="18"/>
                <w:szCs w:val="18"/>
              </w:rPr>
              <w:t>-</w:t>
            </w:r>
          </w:p>
        </w:tc>
        <w:tc>
          <w:tcPr>
            <w:tcW w:w="1309" w:type="dxa"/>
            <w:tcBorders>
              <w:top w:val="nil"/>
              <w:left w:val="nil"/>
              <w:bottom w:val="nil"/>
              <w:right w:val="nil"/>
            </w:tcBorders>
            <w:shd w:val="clear" w:color="auto" w:fill="auto"/>
            <w:noWrap/>
            <w:vAlign w:val="bottom"/>
          </w:tcPr>
          <w:p w14:paraId="6726CBE9" w14:textId="1514BB6E" w:rsidR="00E16456" w:rsidRPr="00BA3F2A" w:rsidRDefault="00E16456" w:rsidP="00E16456">
            <w:pPr>
              <w:spacing w:after="0" w:line="300" w:lineRule="exact"/>
              <w:jc w:val="right"/>
              <w:rPr>
                <w:rFonts w:eastAsia="Times New Roman" w:cs="Arial"/>
                <w:sz w:val="18"/>
                <w:szCs w:val="18"/>
              </w:rPr>
            </w:pPr>
            <w:r w:rsidRPr="00FE65B6">
              <w:rPr>
                <w:rFonts w:cs="Arial"/>
                <w:sz w:val="18"/>
                <w:szCs w:val="18"/>
              </w:rPr>
              <w:t xml:space="preserve"> - </w:t>
            </w:r>
          </w:p>
        </w:tc>
        <w:tc>
          <w:tcPr>
            <w:tcW w:w="1384" w:type="dxa"/>
            <w:tcBorders>
              <w:top w:val="nil"/>
              <w:left w:val="nil"/>
              <w:bottom w:val="nil"/>
              <w:right w:val="nil"/>
            </w:tcBorders>
            <w:shd w:val="clear" w:color="auto" w:fill="auto"/>
            <w:noWrap/>
            <w:vAlign w:val="bottom"/>
          </w:tcPr>
          <w:p w14:paraId="5669A98C" w14:textId="576737FC" w:rsidR="00E16456" w:rsidRPr="00BA3F2A" w:rsidRDefault="00E16456" w:rsidP="00E16456">
            <w:pPr>
              <w:spacing w:after="0" w:line="300" w:lineRule="exact"/>
              <w:jc w:val="right"/>
              <w:rPr>
                <w:rFonts w:eastAsia="Times New Roman" w:cs="Arial"/>
                <w:sz w:val="18"/>
                <w:szCs w:val="18"/>
              </w:rPr>
            </w:pPr>
            <w:r w:rsidRPr="00FE65B6">
              <w:rPr>
                <w:rFonts w:cs="Arial"/>
                <w:sz w:val="18"/>
                <w:szCs w:val="18"/>
              </w:rPr>
              <w:t xml:space="preserve"> (1</w:t>
            </w:r>
            <w:r>
              <w:rPr>
                <w:rFonts w:cs="Arial"/>
                <w:sz w:val="18"/>
                <w:szCs w:val="18"/>
              </w:rPr>
              <w:t>,</w:t>
            </w:r>
            <w:r w:rsidRPr="00FE65B6">
              <w:rPr>
                <w:rFonts w:cs="Arial"/>
                <w:sz w:val="18"/>
                <w:szCs w:val="18"/>
              </w:rPr>
              <w:t>097)</w:t>
            </w:r>
          </w:p>
        </w:tc>
      </w:tr>
      <w:tr w:rsidR="00E16456" w:rsidRPr="00693FCC" w14:paraId="5FCB16B4" w14:textId="77777777" w:rsidTr="00BA3F2A">
        <w:trPr>
          <w:trHeight w:hRule="exact" w:val="284"/>
        </w:trPr>
        <w:tc>
          <w:tcPr>
            <w:tcW w:w="3227" w:type="dxa"/>
            <w:shd w:val="clear" w:color="auto" w:fill="auto"/>
            <w:vAlign w:val="bottom"/>
          </w:tcPr>
          <w:p w14:paraId="6DFD75B0" w14:textId="77777777" w:rsidR="00E16456" w:rsidRPr="00BA3F2A" w:rsidRDefault="00E16456" w:rsidP="00E16456">
            <w:pPr>
              <w:spacing w:after="0" w:line="240" w:lineRule="auto"/>
              <w:rPr>
                <w:rFonts w:eastAsia="Times New Roman" w:cs="Arial"/>
                <w:sz w:val="18"/>
                <w:szCs w:val="18"/>
              </w:rPr>
            </w:pPr>
            <w:r w:rsidRPr="00BA3F2A">
              <w:rPr>
                <w:rFonts w:eastAsia="Times New Roman" w:cs="Arial"/>
                <w:sz w:val="18"/>
                <w:szCs w:val="18"/>
              </w:rPr>
              <w:t>Other expenses</w:t>
            </w:r>
          </w:p>
        </w:tc>
        <w:tc>
          <w:tcPr>
            <w:tcW w:w="1134" w:type="dxa"/>
            <w:tcBorders>
              <w:top w:val="nil"/>
              <w:left w:val="nil"/>
              <w:bottom w:val="nil"/>
              <w:right w:val="nil"/>
            </w:tcBorders>
            <w:shd w:val="clear" w:color="auto" w:fill="auto"/>
            <w:noWrap/>
            <w:vAlign w:val="bottom"/>
          </w:tcPr>
          <w:p w14:paraId="2F98D407" w14:textId="2DDBB443" w:rsidR="00E16456" w:rsidRPr="00BA3F2A" w:rsidRDefault="00E16456" w:rsidP="00E16456">
            <w:pPr>
              <w:spacing w:after="0" w:line="300" w:lineRule="exact"/>
              <w:jc w:val="right"/>
              <w:rPr>
                <w:rFonts w:eastAsia="Times New Roman" w:cs="Arial"/>
                <w:sz w:val="18"/>
                <w:szCs w:val="18"/>
              </w:rPr>
            </w:pPr>
            <w:r>
              <w:rPr>
                <w:rFonts w:cs="Arial"/>
                <w:sz w:val="18"/>
                <w:szCs w:val="18"/>
              </w:rPr>
              <w:t>-</w:t>
            </w:r>
          </w:p>
        </w:tc>
        <w:tc>
          <w:tcPr>
            <w:tcW w:w="1593" w:type="dxa"/>
            <w:tcBorders>
              <w:top w:val="nil"/>
              <w:left w:val="nil"/>
              <w:bottom w:val="nil"/>
              <w:right w:val="nil"/>
            </w:tcBorders>
            <w:shd w:val="clear" w:color="auto" w:fill="auto"/>
            <w:noWrap/>
            <w:vAlign w:val="bottom"/>
          </w:tcPr>
          <w:p w14:paraId="150AEA63" w14:textId="609F2F87" w:rsidR="00E16456" w:rsidRPr="00BA3F2A" w:rsidRDefault="00E16456" w:rsidP="00E16456">
            <w:pPr>
              <w:spacing w:after="0" w:line="300" w:lineRule="exact"/>
              <w:jc w:val="right"/>
              <w:rPr>
                <w:rFonts w:eastAsia="Times New Roman" w:cs="Arial"/>
                <w:sz w:val="18"/>
                <w:szCs w:val="18"/>
              </w:rPr>
            </w:pPr>
            <w:r w:rsidRPr="00AD1C4A">
              <w:rPr>
                <w:rFonts w:cs="Arial"/>
                <w:sz w:val="18"/>
                <w:szCs w:val="18"/>
              </w:rPr>
              <w:t>(150)</w:t>
            </w:r>
            <w:r w:rsidRPr="00AD1C4A" w:rsidDel="00622765">
              <w:rPr>
                <w:rFonts w:cs="Arial"/>
                <w:sz w:val="18"/>
                <w:szCs w:val="18"/>
              </w:rPr>
              <w:t xml:space="preserve"> </w:t>
            </w:r>
          </w:p>
        </w:tc>
        <w:tc>
          <w:tcPr>
            <w:tcW w:w="1242" w:type="dxa"/>
            <w:tcBorders>
              <w:top w:val="nil"/>
              <w:left w:val="nil"/>
              <w:bottom w:val="nil"/>
              <w:right w:val="nil"/>
            </w:tcBorders>
            <w:shd w:val="clear" w:color="auto" w:fill="auto"/>
            <w:noWrap/>
            <w:vAlign w:val="bottom"/>
          </w:tcPr>
          <w:p w14:paraId="5ECE8346" w14:textId="55EF28EE" w:rsidR="00E16456" w:rsidRPr="00BA3F2A" w:rsidRDefault="00E16456" w:rsidP="00E16456">
            <w:pPr>
              <w:spacing w:after="0" w:line="300" w:lineRule="exact"/>
              <w:jc w:val="right"/>
              <w:rPr>
                <w:rFonts w:eastAsia="Times New Roman" w:cs="Arial"/>
                <w:sz w:val="18"/>
                <w:szCs w:val="18"/>
              </w:rPr>
            </w:pPr>
            <w:r>
              <w:rPr>
                <w:rFonts w:cs="Arial"/>
                <w:sz w:val="18"/>
                <w:szCs w:val="18"/>
              </w:rPr>
              <w:t>-</w:t>
            </w:r>
          </w:p>
        </w:tc>
        <w:tc>
          <w:tcPr>
            <w:tcW w:w="1309" w:type="dxa"/>
            <w:tcBorders>
              <w:top w:val="nil"/>
              <w:left w:val="nil"/>
              <w:bottom w:val="nil"/>
              <w:right w:val="nil"/>
            </w:tcBorders>
            <w:shd w:val="clear" w:color="auto" w:fill="auto"/>
            <w:noWrap/>
            <w:vAlign w:val="bottom"/>
          </w:tcPr>
          <w:p w14:paraId="338EEDD2" w14:textId="530218F6" w:rsidR="00E16456" w:rsidRPr="00BA3F2A" w:rsidRDefault="00E16456" w:rsidP="00E16456">
            <w:pPr>
              <w:spacing w:after="0" w:line="300" w:lineRule="exact"/>
              <w:jc w:val="right"/>
              <w:rPr>
                <w:rFonts w:eastAsia="Times New Roman" w:cs="Arial"/>
                <w:sz w:val="18"/>
                <w:szCs w:val="18"/>
              </w:rPr>
            </w:pPr>
            <w:r>
              <w:rPr>
                <w:rFonts w:cs="Arial"/>
                <w:sz w:val="18"/>
                <w:szCs w:val="18"/>
              </w:rPr>
              <w:t>-</w:t>
            </w:r>
          </w:p>
        </w:tc>
        <w:tc>
          <w:tcPr>
            <w:tcW w:w="1384" w:type="dxa"/>
            <w:tcBorders>
              <w:top w:val="nil"/>
              <w:left w:val="nil"/>
              <w:bottom w:val="nil"/>
              <w:right w:val="nil"/>
            </w:tcBorders>
            <w:shd w:val="clear" w:color="auto" w:fill="auto"/>
            <w:noWrap/>
            <w:vAlign w:val="bottom"/>
          </w:tcPr>
          <w:p w14:paraId="0D465F85" w14:textId="128481CB" w:rsidR="00E16456" w:rsidRPr="00BA3F2A" w:rsidRDefault="00E16456" w:rsidP="00E16456">
            <w:pPr>
              <w:spacing w:after="0" w:line="300" w:lineRule="exact"/>
              <w:jc w:val="right"/>
              <w:rPr>
                <w:rFonts w:eastAsia="Times New Roman" w:cs="Arial"/>
                <w:sz w:val="18"/>
                <w:szCs w:val="18"/>
              </w:rPr>
            </w:pPr>
            <w:r w:rsidRPr="00AD1C4A">
              <w:rPr>
                <w:rFonts w:cs="Arial"/>
                <w:sz w:val="18"/>
                <w:szCs w:val="18"/>
              </w:rPr>
              <w:t>(150)</w:t>
            </w:r>
            <w:r w:rsidRPr="00AD1C4A" w:rsidDel="00622765">
              <w:rPr>
                <w:rFonts w:cs="Arial"/>
                <w:sz w:val="18"/>
                <w:szCs w:val="18"/>
              </w:rPr>
              <w:t xml:space="preserve"> </w:t>
            </w:r>
          </w:p>
        </w:tc>
      </w:tr>
      <w:tr w:rsidR="00E16456" w:rsidRPr="00693FCC" w14:paraId="2EF1D984" w14:textId="77777777" w:rsidTr="00BA3F2A">
        <w:trPr>
          <w:trHeight w:val="300"/>
        </w:trPr>
        <w:tc>
          <w:tcPr>
            <w:tcW w:w="3227" w:type="dxa"/>
            <w:shd w:val="clear" w:color="auto" w:fill="auto"/>
            <w:vAlign w:val="bottom"/>
          </w:tcPr>
          <w:p w14:paraId="0D32E9BC" w14:textId="77777777" w:rsidR="00E16456" w:rsidRPr="00BA3F2A" w:rsidRDefault="00E16456" w:rsidP="00E16456">
            <w:pPr>
              <w:spacing w:after="0" w:line="240" w:lineRule="auto"/>
              <w:rPr>
                <w:rFonts w:eastAsia="Times New Roman" w:cs="Arial"/>
                <w:b/>
                <w:bCs/>
                <w:sz w:val="18"/>
                <w:szCs w:val="18"/>
              </w:rPr>
            </w:pPr>
            <w:r w:rsidRPr="00BA3F2A">
              <w:rPr>
                <w:rFonts w:eastAsia="Times New Roman" w:cs="Arial"/>
                <w:b/>
                <w:bCs/>
                <w:sz w:val="18"/>
                <w:szCs w:val="18"/>
              </w:rPr>
              <w:t xml:space="preserve">Operating expenses </w:t>
            </w:r>
          </w:p>
        </w:tc>
        <w:tc>
          <w:tcPr>
            <w:tcW w:w="1134" w:type="dxa"/>
            <w:tcBorders>
              <w:top w:val="single" w:sz="4" w:space="0" w:color="auto"/>
              <w:left w:val="nil"/>
              <w:bottom w:val="single" w:sz="8" w:space="0" w:color="auto"/>
              <w:right w:val="nil"/>
            </w:tcBorders>
            <w:shd w:val="clear" w:color="auto" w:fill="auto"/>
            <w:noWrap/>
            <w:vAlign w:val="bottom"/>
          </w:tcPr>
          <w:p w14:paraId="753D8BD0" w14:textId="004181ED" w:rsidR="00E16456" w:rsidRPr="00BA3F2A" w:rsidRDefault="00E16456" w:rsidP="00E16456">
            <w:pPr>
              <w:spacing w:after="0" w:line="300" w:lineRule="exact"/>
              <w:jc w:val="right"/>
              <w:rPr>
                <w:rFonts w:eastAsia="Times New Roman" w:cs="Arial"/>
                <w:b/>
                <w:bCs/>
                <w:sz w:val="18"/>
                <w:szCs w:val="18"/>
              </w:rPr>
            </w:pPr>
            <w:r w:rsidRPr="00FE65B6">
              <w:rPr>
                <w:rFonts w:cs="Arial"/>
                <w:b/>
                <w:sz w:val="18"/>
                <w:szCs w:val="18"/>
              </w:rPr>
              <w:t xml:space="preserve"> (199</w:t>
            </w:r>
            <w:r>
              <w:rPr>
                <w:rFonts w:cs="Arial"/>
                <w:b/>
                <w:sz w:val="18"/>
                <w:szCs w:val="18"/>
              </w:rPr>
              <w:t>,</w:t>
            </w:r>
            <w:r w:rsidRPr="00FE65B6">
              <w:rPr>
                <w:rFonts w:cs="Arial"/>
                <w:b/>
                <w:sz w:val="18"/>
                <w:szCs w:val="18"/>
              </w:rPr>
              <w:t>165)</w:t>
            </w:r>
          </w:p>
        </w:tc>
        <w:tc>
          <w:tcPr>
            <w:tcW w:w="1593" w:type="dxa"/>
            <w:tcBorders>
              <w:top w:val="single" w:sz="4" w:space="0" w:color="auto"/>
              <w:left w:val="nil"/>
              <w:bottom w:val="single" w:sz="8" w:space="0" w:color="auto"/>
              <w:right w:val="nil"/>
            </w:tcBorders>
            <w:shd w:val="clear" w:color="auto" w:fill="auto"/>
            <w:noWrap/>
            <w:vAlign w:val="bottom"/>
          </w:tcPr>
          <w:p w14:paraId="5529A572" w14:textId="2A1BDC47" w:rsidR="00E16456" w:rsidRPr="00BA3F2A" w:rsidRDefault="00E16456" w:rsidP="00E16456">
            <w:pPr>
              <w:spacing w:after="0" w:line="300" w:lineRule="exact"/>
              <w:jc w:val="right"/>
              <w:rPr>
                <w:rFonts w:eastAsia="Times New Roman" w:cs="Arial"/>
                <w:b/>
                <w:bCs/>
                <w:sz w:val="18"/>
                <w:szCs w:val="18"/>
              </w:rPr>
            </w:pPr>
            <w:r w:rsidRPr="00FE65B6">
              <w:rPr>
                <w:rFonts w:cs="Arial"/>
                <w:b/>
                <w:sz w:val="18"/>
                <w:szCs w:val="18"/>
              </w:rPr>
              <w:t xml:space="preserve"> (6</w:t>
            </w:r>
            <w:r>
              <w:rPr>
                <w:rFonts w:cs="Arial"/>
                <w:b/>
                <w:sz w:val="18"/>
                <w:szCs w:val="18"/>
              </w:rPr>
              <w:t>,</w:t>
            </w:r>
            <w:r w:rsidRPr="00FE65B6">
              <w:rPr>
                <w:rFonts w:cs="Arial"/>
                <w:b/>
                <w:sz w:val="18"/>
                <w:szCs w:val="18"/>
              </w:rPr>
              <w:t>320)</w:t>
            </w:r>
          </w:p>
        </w:tc>
        <w:tc>
          <w:tcPr>
            <w:tcW w:w="1242" w:type="dxa"/>
            <w:tcBorders>
              <w:top w:val="single" w:sz="4" w:space="0" w:color="auto"/>
              <w:left w:val="nil"/>
              <w:bottom w:val="single" w:sz="8" w:space="0" w:color="auto"/>
              <w:right w:val="nil"/>
            </w:tcBorders>
            <w:shd w:val="clear" w:color="auto" w:fill="auto"/>
            <w:noWrap/>
            <w:vAlign w:val="bottom"/>
          </w:tcPr>
          <w:p w14:paraId="39BCDC0F" w14:textId="09DE5328" w:rsidR="00E16456" w:rsidRPr="00BA3F2A" w:rsidRDefault="00E16456" w:rsidP="00E16456">
            <w:pPr>
              <w:spacing w:after="0" w:line="300" w:lineRule="exact"/>
              <w:jc w:val="right"/>
              <w:rPr>
                <w:rFonts w:eastAsia="Times New Roman" w:cs="Arial"/>
                <w:b/>
                <w:bCs/>
                <w:sz w:val="18"/>
                <w:szCs w:val="18"/>
              </w:rPr>
            </w:pPr>
            <w:r w:rsidRPr="00FE65B6">
              <w:rPr>
                <w:rFonts w:cs="Arial"/>
                <w:b/>
                <w:sz w:val="18"/>
                <w:szCs w:val="18"/>
              </w:rPr>
              <w:t xml:space="preserve"> (813)</w:t>
            </w:r>
          </w:p>
        </w:tc>
        <w:tc>
          <w:tcPr>
            <w:tcW w:w="1309" w:type="dxa"/>
            <w:tcBorders>
              <w:top w:val="single" w:sz="4" w:space="0" w:color="auto"/>
              <w:left w:val="nil"/>
              <w:bottom w:val="single" w:sz="8" w:space="0" w:color="auto"/>
              <w:right w:val="nil"/>
            </w:tcBorders>
            <w:shd w:val="clear" w:color="auto" w:fill="auto"/>
            <w:noWrap/>
            <w:vAlign w:val="bottom"/>
          </w:tcPr>
          <w:p w14:paraId="1D52F688" w14:textId="3128E453" w:rsidR="00E16456" w:rsidRPr="00BA3F2A" w:rsidRDefault="00E16456" w:rsidP="00E16456">
            <w:pPr>
              <w:spacing w:after="0" w:line="300" w:lineRule="exact"/>
              <w:jc w:val="right"/>
              <w:rPr>
                <w:rFonts w:eastAsia="Times New Roman" w:cs="Arial"/>
                <w:b/>
                <w:bCs/>
                <w:sz w:val="18"/>
                <w:szCs w:val="18"/>
              </w:rPr>
            </w:pPr>
            <w:r w:rsidRPr="00FE65B6">
              <w:rPr>
                <w:rFonts w:cs="Arial"/>
                <w:b/>
                <w:sz w:val="18"/>
                <w:szCs w:val="18"/>
              </w:rPr>
              <w:t xml:space="preserve"> 221 </w:t>
            </w:r>
          </w:p>
        </w:tc>
        <w:tc>
          <w:tcPr>
            <w:tcW w:w="1384" w:type="dxa"/>
            <w:tcBorders>
              <w:top w:val="single" w:sz="4" w:space="0" w:color="auto"/>
              <w:left w:val="nil"/>
              <w:bottom w:val="single" w:sz="8" w:space="0" w:color="auto"/>
              <w:right w:val="nil"/>
            </w:tcBorders>
            <w:shd w:val="clear" w:color="auto" w:fill="auto"/>
            <w:noWrap/>
            <w:vAlign w:val="bottom"/>
          </w:tcPr>
          <w:p w14:paraId="12C87309" w14:textId="1C2C5742" w:rsidR="00E16456" w:rsidRPr="00BA3F2A" w:rsidRDefault="00E16456" w:rsidP="00187607">
            <w:pPr>
              <w:spacing w:after="0" w:line="300" w:lineRule="exact"/>
              <w:jc w:val="right"/>
              <w:rPr>
                <w:rFonts w:eastAsia="Times New Roman" w:cs="Arial"/>
                <w:b/>
                <w:bCs/>
                <w:sz w:val="18"/>
                <w:szCs w:val="18"/>
              </w:rPr>
            </w:pPr>
            <w:r w:rsidRPr="00FE65B6">
              <w:rPr>
                <w:rFonts w:cs="Arial"/>
                <w:b/>
                <w:sz w:val="18"/>
                <w:szCs w:val="18"/>
              </w:rPr>
              <w:t xml:space="preserve"> (</w:t>
            </w:r>
            <w:r w:rsidR="000B39E0" w:rsidRPr="000B39E0">
              <w:rPr>
                <w:rFonts w:cs="Arial"/>
                <w:b/>
                <w:sz w:val="18"/>
                <w:szCs w:val="18"/>
              </w:rPr>
              <w:t>206</w:t>
            </w:r>
            <w:r w:rsidR="000B39E0">
              <w:rPr>
                <w:rFonts w:cs="Arial"/>
                <w:b/>
                <w:sz w:val="18"/>
                <w:szCs w:val="18"/>
              </w:rPr>
              <w:t>,</w:t>
            </w:r>
            <w:r w:rsidR="000B39E0" w:rsidRPr="000B39E0">
              <w:rPr>
                <w:rFonts w:cs="Arial"/>
                <w:b/>
                <w:sz w:val="18"/>
                <w:szCs w:val="18"/>
              </w:rPr>
              <w:t>077)</w:t>
            </w:r>
          </w:p>
        </w:tc>
      </w:tr>
      <w:tr w:rsidR="00191C78" w:rsidRPr="00693FCC" w14:paraId="5E586006" w14:textId="77777777" w:rsidTr="00BA3F2A">
        <w:trPr>
          <w:trHeight w:val="174"/>
        </w:trPr>
        <w:tc>
          <w:tcPr>
            <w:tcW w:w="3227" w:type="dxa"/>
            <w:shd w:val="clear" w:color="auto" w:fill="auto"/>
            <w:vAlign w:val="bottom"/>
          </w:tcPr>
          <w:p w14:paraId="0F326E1B" w14:textId="77777777" w:rsidR="00191C78" w:rsidRPr="00BA3F2A" w:rsidRDefault="00191C78" w:rsidP="00191C78">
            <w:pPr>
              <w:spacing w:after="0" w:line="240" w:lineRule="auto"/>
              <w:rPr>
                <w:rFonts w:eastAsia="Times New Roman" w:cs="Arial"/>
                <w:sz w:val="18"/>
                <w:szCs w:val="18"/>
              </w:rPr>
            </w:pPr>
          </w:p>
        </w:tc>
        <w:tc>
          <w:tcPr>
            <w:tcW w:w="1134" w:type="dxa"/>
            <w:tcBorders>
              <w:top w:val="single" w:sz="8" w:space="0" w:color="auto"/>
              <w:left w:val="nil"/>
              <w:bottom w:val="nil"/>
              <w:right w:val="nil"/>
            </w:tcBorders>
            <w:shd w:val="clear" w:color="auto" w:fill="auto"/>
            <w:noWrap/>
            <w:vAlign w:val="bottom"/>
          </w:tcPr>
          <w:p w14:paraId="1CB6AA6C" w14:textId="77777777" w:rsidR="00191C78" w:rsidRPr="00BA3F2A" w:rsidRDefault="00191C78" w:rsidP="00191C78">
            <w:pPr>
              <w:spacing w:after="0" w:line="140" w:lineRule="exact"/>
              <w:jc w:val="right"/>
              <w:rPr>
                <w:rFonts w:eastAsia="Times New Roman" w:cs="Arial"/>
                <w:sz w:val="18"/>
                <w:szCs w:val="18"/>
              </w:rPr>
            </w:pPr>
          </w:p>
        </w:tc>
        <w:tc>
          <w:tcPr>
            <w:tcW w:w="1593" w:type="dxa"/>
            <w:tcBorders>
              <w:top w:val="single" w:sz="8" w:space="0" w:color="auto"/>
              <w:left w:val="nil"/>
              <w:bottom w:val="nil"/>
              <w:right w:val="nil"/>
            </w:tcBorders>
            <w:shd w:val="clear" w:color="auto" w:fill="auto"/>
            <w:noWrap/>
            <w:vAlign w:val="bottom"/>
          </w:tcPr>
          <w:p w14:paraId="26B4B5F2" w14:textId="77777777" w:rsidR="00191C78" w:rsidRPr="00BA3F2A" w:rsidRDefault="00191C78" w:rsidP="00191C78">
            <w:pPr>
              <w:spacing w:after="0" w:line="140" w:lineRule="exact"/>
              <w:jc w:val="right"/>
              <w:rPr>
                <w:rFonts w:eastAsia="Times New Roman" w:cs="Arial"/>
                <w:sz w:val="18"/>
                <w:szCs w:val="18"/>
              </w:rPr>
            </w:pPr>
          </w:p>
        </w:tc>
        <w:tc>
          <w:tcPr>
            <w:tcW w:w="1242" w:type="dxa"/>
            <w:tcBorders>
              <w:top w:val="single" w:sz="8" w:space="0" w:color="auto"/>
              <w:left w:val="nil"/>
              <w:bottom w:val="nil"/>
              <w:right w:val="nil"/>
            </w:tcBorders>
            <w:shd w:val="clear" w:color="auto" w:fill="auto"/>
            <w:noWrap/>
            <w:vAlign w:val="bottom"/>
          </w:tcPr>
          <w:p w14:paraId="7DB4CE0A" w14:textId="77777777" w:rsidR="00191C78" w:rsidRPr="00BA3F2A" w:rsidRDefault="00191C78" w:rsidP="00191C78">
            <w:pPr>
              <w:spacing w:after="0" w:line="140" w:lineRule="exact"/>
              <w:jc w:val="right"/>
              <w:rPr>
                <w:rFonts w:eastAsia="Times New Roman" w:cs="Arial"/>
                <w:sz w:val="18"/>
                <w:szCs w:val="18"/>
              </w:rPr>
            </w:pPr>
          </w:p>
        </w:tc>
        <w:tc>
          <w:tcPr>
            <w:tcW w:w="1309" w:type="dxa"/>
            <w:tcBorders>
              <w:top w:val="single" w:sz="8" w:space="0" w:color="auto"/>
              <w:left w:val="nil"/>
              <w:bottom w:val="nil"/>
              <w:right w:val="nil"/>
            </w:tcBorders>
            <w:shd w:val="clear" w:color="auto" w:fill="auto"/>
            <w:noWrap/>
            <w:vAlign w:val="bottom"/>
          </w:tcPr>
          <w:p w14:paraId="1C5160A1" w14:textId="77777777" w:rsidR="00191C78" w:rsidRPr="00BA3F2A" w:rsidRDefault="00191C78" w:rsidP="00191C78">
            <w:pPr>
              <w:spacing w:after="0" w:line="140" w:lineRule="exact"/>
              <w:jc w:val="right"/>
              <w:rPr>
                <w:rFonts w:eastAsia="Times New Roman" w:cs="Arial"/>
                <w:sz w:val="18"/>
                <w:szCs w:val="18"/>
              </w:rPr>
            </w:pPr>
          </w:p>
        </w:tc>
        <w:tc>
          <w:tcPr>
            <w:tcW w:w="1384" w:type="dxa"/>
            <w:tcBorders>
              <w:top w:val="single" w:sz="8" w:space="0" w:color="auto"/>
              <w:left w:val="nil"/>
              <w:bottom w:val="nil"/>
              <w:right w:val="nil"/>
            </w:tcBorders>
            <w:shd w:val="clear" w:color="auto" w:fill="auto"/>
            <w:noWrap/>
            <w:vAlign w:val="bottom"/>
          </w:tcPr>
          <w:p w14:paraId="78F4B1DD" w14:textId="77777777" w:rsidR="00191C78" w:rsidRPr="00BA3F2A" w:rsidRDefault="00191C78" w:rsidP="00191C78">
            <w:pPr>
              <w:spacing w:after="0" w:line="140" w:lineRule="exact"/>
              <w:jc w:val="right"/>
              <w:rPr>
                <w:rFonts w:eastAsia="Times New Roman" w:cs="Arial"/>
                <w:sz w:val="18"/>
                <w:szCs w:val="18"/>
              </w:rPr>
            </w:pPr>
          </w:p>
        </w:tc>
      </w:tr>
      <w:tr w:rsidR="00E16456" w:rsidRPr="00693FCC" w14:paraId="4E35B7AD" w14:textId="77777777" w:rsidTr="006B318F">
        <w:trPr>
          <w:trHeight w:val="300"/>
        </w:trPr>
        <w:tc>
          <w:tcPr>
            <w:tcW w:w="3227" w:type="dxa"/>
            <w:shd w:val="clear" w:color="auto" w:fill="auto"/>
            <w:vAlign w:val="bottom"/>
          </w:tcPr>
          <w:p w14:paraId="7F68A004" w14:textId="77777777" w:rsidR="00E16456" w:rsidRPr="00BA3F2A" w:rsidRDefault="00E16456" w:rsidP="00E16456">
            <w:pPr>
              <w:spacing w:after="0" w:line="240" w:lineRule="auto"/>
              <w:rPr>
                <w:rFonts w:eastAsia="Times New Roman" w:cs="Arial"/>
                <w:b/>
                <w:bCs/>
                <w:sz w:val="18"/>
                <w:szCs w:val="18"/>
              </w:rPr>
            </w:pPr>
            <w:r w:rsidRPr="00BA3F2A">
              <w:rPr>
                <w:rFonts w:eastAsia="Times New Roman" w:cs="Arial"/>
                <w:b/>
                <w:bCs/>
                <w:sz w:val="18"/>
                <w:szCs w:val="18"/>
              </w:rPr>
              <w:t xml:space="preserve">Profit/(loss) before income tax </w:t>
            </w:r>
          </w:p>
        </w:tc>
        <w:tc>
          <w:tcPr>
            <w:tcW w:w="1134" w:type="dxa"/>
            <w:tcBorders>
              <w:top w:val="nil"/>
              <w:left w:val="nil"/>
              <w:bottom w:val="nil"/>
              <w:right w:val="nil"/>
            </w:tcBorders>
            <w:shd w:val="clear" w:color="auto" w:fill="auto"/>
            <w:noWrap/>
          </w:tcPr>
          <w:p w14:paraId="6BCFB17C" w14:textId="186930D7" w:rsidR="00E16456" w:rsidRPr="00BA3F2A" w:rsidRDefault="00E16456" w:rsidP="00E16456">
            <w:pPr>
              <w:spacing w:after="0" w:line="300" w:lineRule="exact"/>
              <w:jc w:val="right"/>
              <w:rPr>
                <w:rFonts w:eastAsia="Times New Roman" w:cs="Arial"/>
                <w:b/>
                <w:bCs/>
                <w:sz w:val="18"/>
                <w:szCs w:val="18"/>
              </w:rPr>
            </w:pPr>
            <w:r w:rsidRPr="00FE65B6">
              <w:rPr>
                <w:rFonts w:cs="Arial"/>
                <w:sz w:val="18"/>
                <w:szCs w:val="18"/>
              </w:rPr>
              <w:t xml:space="preserve"> 175</w:t>
            </w:r>
            <w:r>
              <w:rPr>
                <w:rFonts w:cs="Arial"/>
                <w:sz w:val="18"/>
                <w:szCs w:val="18"/>
              </w:rPr>
              <w:t>,</w:t>
            </w:r>
            <w:r w:rsidRPr="00FE65B6">
              <w:rPr>
                <w:rFonts w:cs="Arial"/>
                <w:sz w:val="18"/>
                <w:szCs w:val="18"/>
              </w:rPr>
              <w:t xml:space="preserve">511 </w:t>
            </w:r>
          </w:p>
        </w:tc>
        <w:tc>
          <w:tcPr>
            <w:tcW w:w="1593" w:type="dxa"/>
            <w:tcBorders>
              <w:top w:val="nil"/>
              <w:left w:val="nil"/>
              <w:bottom w:val="nil"/>
              <w:right w:val="nil"/>
            </w:tcBorders>
            <w:shd w:val="clear" w:color="auto" w:fill="auto"/>
            <w:noWrap/>
          </w:tcPr>
          <w:p w14:paraId="19D8E1F4" w14:textId="207166A5" w:rsidR="00E16456" w:rsidRPr="00BA3F2A" w:rsidRDefault="00E16456" w:rsidP="00E16456">
            <w:pPr>
              <w:spacing w:after="0" w:line="300" w:lineRule="exact"/>
              <w:jc w:val="right"/>
              <w:rPr>
                <w:rFonts w:eastAsia="Times New Roman" w:cs="Arial"/>
                <w:b/>
                <w:bCs/>
                <w:sz w:val="18"/>
                <w:szCs w:val="18"/>
              </w:rPr>
            </w:pPr>
            <w:r w:rsidRPr="00FE65B6">
              <w:rPr>
                <w:rFonts w:cs="Arial"/>
                <w:sz w:val="18"/>
                <w:szCs w:val="18"/>
              </w:rPr>
              <w:t xml:space="preserve"> 834 </w:t>
            </w:r>
          </w:p>
        </w:tc>
        <w:tc>
          <w:tcPr>
            <w:tcW w:w="1242" w:type="dxa"/>
            <w:tcBorders>
              <w:top w:val="nil"/>
              <w:left w:val="nil"/>
              <w:bottom w:val="nil"/>
              <w:right w:val="nil"/>
            </w:tcBorders>
            <w:shd w:val="clear" w:color="auto" w:fill="auto"/>
            <w:noWrap/>
          </w:tcPr>
          <w:p w14:paraId="30610384" w14:textId="397B89F4" w:rsidR="00E16456" w:rsidRPr="00BA3F2A" w:rsidRDefault="00E16456" w:rsidP="00E16456">
            <w:pPr>
              <w:spacing w:after="0" w:line="300" w:lineRule="exact"/>
              <w:jc w:val="right"/>
              <w:rPr>
                <w:rFonts w:eastAsia="Times New Roman" w:cs="Arial"/>
                <w:b/>
                <w:bCs/>
                <w:sz w:val="18"/>
                <w:szCs w:val="18"/>
              </w:rPr>
            </w:pPr>
            <w:r w:rsidRPr="00FE65B6">
              <w:rPr>
                <w:rFonts w:cs="Arial"/>
                <w:sz w:val="18"/>
                <w:szCs w:val="18"/>
              </w:rPr>
              <w:t xml:space="preserve"> 195 </w:t>
            </w:r>
          </w:p>
        </w:tc>
        <w:tc>
          <w:tcPr>
            <w:tcW w:w="1309" w:type="dxa"/>
            <w:tcBorders>
              <w:top w:val="nil"/>
              <w:left w:val="nil"/>
              <w:bottom w:val="nil"/>
              <w:right w:val="nil"/>
            </w:tcBorders>
            <w:shd w:val="clear" w:color="auto" w:fill="auto"/>
            <w:noWrap/>
          </w:tcPr>
          <w:p w14:paraId="14D0A96F" w14:textId="53683074" w:rsidR="00E16456" w:rsidRPr="00BA3F2A" w:rsidRDefault="00E16456" w:rsidP="00E16456">
            <w:pPr>
              <w:spacing w:after="0" w:line="300" w:lineRule="exact"/>
              <w:jc w:val="right"/>
              <w:rPr>
                <w:rFonts w:eastAsia="Times New Roman" w:cs="Arial"/>
                <w:b/>
                <w:bCs/>
                <w:sz w:val="18"/>
                <w:szCs w:val="18"/>
              </w:rPr>
            </w:pPr>
            <w:r w:rsidRPr="00FE65B6">
              <w:rPr>
                <w:rFonts w:cs="Arial"/>
                <w:sz w:val="18"/>
                <w:szCs w:val="18"/>
              </w:rPr>
              <w:t xml:space="preserve"> 1 </w:t>
            </w:r>
          </w:p>
        </w:tc>
        <w:tc>
          <w:tcPr>
            <w:tcW w:w="1384" w:type="dxa"/>
            <w:tcBorders>
              <w:top w:val="nil"/>
              <w:left w:val="nil"/>
              <w:bottom w:val="nil"/>
              <w:right w:val="nil"/>
            </w:tcBorders>
            <w:shd w:val="clear" w:color="auto" w:fill="auto"/>
            <w:noWrap/>
          </w:tcPr>
          <w:p w14:paraId="2400CFEF" w14:textId="6D8F53A3" w:rsidR="00E16456" w:rsidRPr="00BA3F2A" w:rsidRDefault="00E16456" w:rsidP="00E16456">
            <w:pPr>
              <w:spacing w:after="0" w:line="300" w:lineRule="exact"/>
              <w:jc w:val="right"/>
              <w:rPr>
                <w:rFonts w:eastAsia="Times New Roman" w:cs="Arial"/>
                <w:b/>
                <w:bCs/>
                <w:sz w:val="18"/>
                <w:szCs w:val="18"/>
              </w:rPr>
            </w:pPr>
            <w:r w:rsidRPr="00FE65B6">
              <w:rPr>
                <w:rFonts w:cs="Arial"/>
                <w:sz w:val="18"/>
                <w:szCs w:val="18"/>
              </w:rPr>
              <w:t xml:space="preserve"> 176</w:t>
            </w:r>
            <w:r>
              <w:rPr>
                <w:rFonts w:cs="Arial"/>
                <w:sz w:val="18"/>
                <w:szCs w:val="18"/>
              </w:rPr>
              <w:t>,</w:t>
            </w:r>
            <w:r w:rsidRPr="00FE65B6">
              <w:rPr>
                <w:rFonts w:cs="Arial"/>
                <w:sz w:val="18"/>
                <w:szCs w:val="18"/>
              </w:rPr>
              <w:t xml:space="preserve">541 </w:t>
            </w:r>
          </w:p>
        </w:tc>
      </w:tr>
      <w:tr w:rsidR="009210EA" w:rsidRPr="00693FCC" w14:paraId="57F91776" w14:textId="77777777" w:rsidTr="00BA3F2A">
        <w:trPr>
          <w:trHeight w:val="300"/>
        </w:trPr>
        <w:tc>
          <w:tcPr>
            <w:tcW w:w="3227" w:type="dxa"/>
            <w:shd w:val="clear" w:color="auto" w:fill="auto"/>
            <w:vAlign w:val="bottom"/>
          </w:tcPr>
          <w:p w14:paraId="7DD435FF" w14:textId="77777777" w:rsidR="009210EA" w:rsidRPr="00BA3F2A" w:rsidRDefault="009210EA" w:rsidP="009210EA">
            <w:pPr>
              <w:spacing w:after="0" w:line="240" w:lineRule="auto"/>
              <w:rPr>
                <w:rFonts w:eastAsia="Times New Roman" w:cs="Arial"/>
                <w:sz w:val="18"/>
                <w:szCs w:val="18"/>
              </w:rPr>
            </w:pPr>
            <w:r w:rsidRPr="00BA3F2A">
              <w:rPr>
                <w:rFonts w:eastAsia="Times New Roman" w:cs="Arial"/>
                <w:sz w:val="18"/>
                <w:szCs w:val="18"/>
              </w:rPr>
              <w:t xml:space="preserve">Income tax </w:t>
            </w:r>
          </w:p>
        </w:tc>
        <w:tc>
          <w:tcPr>
            <w:tcW w:w="1134" w:type="dxa"/>
            <w:tcBorders>
              <w:top w:val="nil"/>
              <w:left w:val="nil"/>
              <w:bottom w:val="nil"/>
              <w:right w:val="nil"/>
            </w:tcBorders>
            <w:shd w:val="clear" w:color="auto" w:fill="auto"/>
            <w:noWrap/>
            <w:vAlign w:val="bottom"/>
          </w:tcPr>
          <w:p w14:paraId="512862C9" w14:textId="32665ABB" w:rsidR="009210EA" w:rsidRPr="00BA3F2A" w:rsidRDefault="009210EA" w:rsidP="009210EA">
            <w:pPr>
              <w:spacing w:after="0" w:line="300" w:lineRule="exact"/>
              <w:jc w:val="right"/>
              <w:rPr>
                <w:rFonts w:eastAsia="Times New Roman" w:cs="Arial"/>
                <w:sz w:val="18"/>
                <w:szCs w:val="18"/>
              </w:rPr>
            </w:pPr>
            <w:r w:rsidRPr="00B4620E">
              <w:rPr>
                <w:rFonts w:cs="Arial"/>
                <w:bCs/>
                <w:sz w:val="18"/>
                <w:szCs w:val="18"/>
              </w:rPr>
              <w:t>-</w:t>
            </w:r>
          </w:p>
        </w:tc>
        <w:tc>
          <w:tcPr>
            <w:tcW w:w="1593" w:type="dxa"/>
            <w:tcBorders>
              <w:top w:val="nil"/>
              <w:left w:val="nil"/>
              <w:bottom w:val="nil"/>
              <w:right w:val="nil"/>
            </w:tcBorders>
            <w:shd w:val="clear" w:color="auto" w:fill="auto"/>
            <w:noWrap/>
            <w:vAlign w:val="bottom"/>
          </w:tcPr>
          <w:p w14:paraId="15628945" w14:textId="5EBB9126" w:rsidR="009210EA" w:rsidRPr="00BA3F2A" w:rsidRDefault="009210EA" w:rsidP="009210EA">
            <w:pPr>
              <w:spacing w:after="0" w:line="300" w:lineRule="exact"/>
              <w:jc w:val="right"/>
              <w:rPr>
                <w:rFonts w:eastAsia="Times New Roman" w:cs="Arial"/>
                <w:sz w:val="18"/>
                <w:szCs w:val="18"/>
              </w:rPr>
            </w:pPr>
            <w:r w:rsidRPr="00B4620E">
              <w:rPr>
                <w:rFonts w:cs="Arial"/>
                <w:bCs/>
                <w:sz w:val="18"/>
                <w:szCs w:val="18"/>
              </w:rPr>
              <w:t>-</w:t>
            </w:r>
          </w:p>
        </w:tc>
        <w:tc>
          <w:tcPr>
            <w:tcW w:w="1242" w:type="dxa"/>
            <w:tcBorders>
              <w:top w:val="nil"/>
              <w:left w:val="nil"/>
              <w:bottom w:val="nil"/>
              <w:right w:val="nil"/>
            </w:tcBorders>
            <w:shd w:val="clear" w:color="auto" w:fill="auto"/>
            <w:noWrap/>
            <w:vAlign w:val="bottom"/>
          </w:tcPr>
          <w:p w14:paraId="0038E427" w14:textId="5CBC4980" w:rsidR="009210EA" w:rsidRPr="00BA3F2A" w:rsidRDefault="009210EA" w:rsidP="009210EA">
            <w:pPr>
              <w:spacing w:after="0" w:line="300" w:lineRule="exact"/>
              <w:jc w:val="right"/>
              <w:rPr>
                <w:rFonts w:eastAsia="Times New Roman" w:cs="Arial"/>
                <w:sz w:val="18"/>
                <w:szCs w:val="18"/>
              </w:rPr>
            </w:pPr>
            <w:r w:rsidRPr="00B4620E">
              <w:rPr>
                <w:rFonts w:cs="Arial"/>
                <w:bCs/>
                <w:sz w:val="18"/>
                <w:szCs w:val="18"/>
              </w:rPr>
              <w:t>-</w:t>
            </w:r>
          </w:p>
        </w:tc>
        <w:tc>
          <w:tcPr>
            <w:tcW w:w="1309" w:type="dxa"/>
            <w:tcBorders>
              <w:top w:val="nil"/>
              <w:left w:val="nil"/>
              <w:bottom w:val="nil"/>
              <w:right w:val="nil"/>
            </w:tcBorders>
            <w:shd w:val="clear" w:color="auto" w:fill="auto"/>
            <w:noWrap/>
            <w:vAlign w:val="bottom"/>
          </w:tcPr>
          <w:p w14:paraId="2195559B" w14:textId="3E5CA684" w:rsidR="009210EA" w:rsidRPr="00BA3F2A" w:rsidRDefault="009210EA" w:rsidP="009210EA">
            <w:pPr>
              <w:spacing w:after="0" w:line="300" w:lineRule="exact"/>
              <w:jc w:val="right"/>
              <w:rPr>
                <w:rFonts w:eastAsia="Times New Roman" w:cs="Arial"/>
                <w:sz w:val="18"/>
                <w:szCs w:val="18"/>
              </w:rPr>
            </w:pPr>
            <w:r w:rsidRPr="00B4620E">
              <w:rPr>
                <w:rFonts w:cs="Arial"/>
                <w:bCs/>
                <w:sz w:val="18"/>
                <w:szCs w:val="18"/>
              </w:rPr>
              <w:t>-</w:t>
            </w:r>
          </w:p>
        </w:tc>
        <w:tc>
          <w:tcPr>
            <w:tcW w:w="1384" w:type="dxa"/>
            <w:tcBorders>
              <w:top w:val="nil"/>
              <w:left w:val="nil"/>
              <w:bottom w:val="nil"/>
              <w:right w:val="nil"/>
            </w:tcBorders>
            <w:shd w:val="clear" w:color="auto" w:fill="auto"/>
            <w:noWrap/>
            <w:vAlign w:val="bottom"/>
          </w:tcPr>
          <w:p w14:paraId="7901DFF1" w14:textId="036CE8D4" w:rsidR="009210EA" w:rsidRPr="00BA3F2A" w:rsidRDefault="009210EA" w:rsidP="009210EA">
            <w:pPr>
              <w:spacing w:after="0" w:line="300" w:lineRule="exact"/>
              <w:jc w:val="right"/>
              <w:rPr>
                <w:rFonts w:eastAsia="Times New Roman" w:cs="Arial"/>
                <w:sz w:val="18"/>
                <w:szCs w:val="18"/>
              </w:rPr>
            </w:pPr>
            <w:r w:rsidRPr="00B4620E">
              <w:rPr>
                <w:rFonts w:cs="Arial"/>
                <w:bCs/>
                <w:sz w:val="18"/>
                <w:szCs w:val="18"/>
              </w:rPr>
              <w:t>-</w:t>
            </w:r>
          </w:p>
        </w:tc>
      </w:tr>
      <w:tr w:rsidR="00E16456" w:rsidRPr="00693FCC" w14:paraId="5B786A13" w14:textId="77777777" w:rsidTr="00BA3F2A">
        <w:trPr>
          <w:trHeight w:val="315"/>
        </w:trPr>
        <w:tc>
          <w:tcPr>
            <w:tcW w:w="3227" w:type="dxa"/>
            <w:shd w:val="clear" w:color="auto" w:fill="auto"/>
            <w:vAlign w:val="bottom"/>
          </w:tcPr>
          <w:p w14:paraId="0A05EDE6" w14:textId="77777777" w:rsidR="00E16456" w:rsidRPr="00BA3F2A" w:rsidRDefault="00E16456" w:rsidP="00E16456">
            <w:pPr>
              <w:spacing w:after="0" w:line="240" w:lineRule="auto"/>
              <w:rPr>
                <w:rFonts w:eastAsia="Times New Roman" w:cs="Arial"/>
                <w:b/>
                <w:bCs/>
                <w:sz w:val="18"/>
                <w:szCs w:val="18"/>
              </w:rPr>
            </w:pPr>
            <w:r w:rsidRPr="00BA3F2A">
              <w:rPr>
                <w:rFonts w:eastAsia="Times New Roman" w:cs="Arial"/>
                <w:b/>
                <w:bCs/>
                <w:sz w:val="18"/>
                <w:szCs w:val="18"/>
              </w:rPr>
              <w:t xml:space="preserve">Profit/(loss) for the year </w:t>
            </w:r>
          </w:p>
        </w:tc>
        <w:tc>
          <w:tcPr>
            <w:tcW w:w="1134" w:type="dxa"/>
            <w:tcBorders>
              <w:top w:val="single" w:sz="4" w:space="0" w:color="auto"/>
              <w:left w:val="nil"/>
              <w:bottom w:val="single" w:sz="8" w:space="0" w:color="auto"/>
              <w:right w:val="nil"/>
            </w:tcBorders>
            <w:shd w:val="clear" w:color="auto" w:fill="auto"/>
            <w:noWrap/>
            <w:vAlign w:val="bottom"/>
          </w:tcPr>
          <w:p w14:paraId="208456D7" w14:textId="66885D43" w:rsidR="00E16456" w:rsidRPr="00BA3F2A" w:rsidRDefault="00E16456" w:rsidP="00E16456">
            <w:pPr>
              <w:spacing w:after="0" w:line="300" w:lineRule="exact"/>
              <w:jc w:val="right"/>
              <w:rPr>
                <w:rFonts w:eastAsia="Times New Roman" w:cs="Arial"/>
                <w:b/>
                <w:bCs/>
                <w:sz w:val="18"/>
                <w:szCs w:val="18"/>
              </w:rPr>
            </w:pPr>
            <w:r w:rsidRPr="00FE65B6">
              <w:rPr>
                <w:rFonts w:cs="Arial"/>
                <w:b/>
                <w:sz w:val="18"/>
                <w:szCs w:val="18"/>
              </w:rPr>
              <w:t xml:space="preserve"> 175</w:t>
            </w:r>
            <w:r>
              <w:rPr>
                <w:rFonts w:cs="Arial"/>
                <w:b/>
                <w:sz w:val="18"/>
                <w:szCs w:val="18"/>
              </w:rPr>
              <w:t>,</w:t>
            </w:r>
            <w:r w:rsidRPr="00FE65B6">
              <w:rPr>
                <w:rFonts w:cs="Arial"/>
                <w:b/>
                <w:sz w:val="18"/>
                <w:szCs w:val="18"/>
              </w:rPr>
              <w:t xml:space="preserve">511 </w:t>
            </w:r>
          </w:p>
        </w:tc>
        <w:tc>
          <w:tcPr>
            <w:tcW w:w="1593" w:type="dxa"/>
            <w:tcBorders>
              <w:top w:val="single" w:sz="4" w:space="0" w:color="auto"/>
              <w:left w:val="nil"/>
              <w:bottom w:val="single" w:sz="8" w:space="0" w:color="auto"/>
              <w:right w:val="nil"/>
            </w:tcBorders>
            <w:shd w:val="clear" w:color="auto" w:fill="auto"/>
            <w:noWrap/>
            <w:vAlign w:val="bottom"/>
          </w:tcPr>
          <w:p w14:paraId="1004381F" w14:textId="1FE0EDEB" w:rsidR="00E16456" w:rsidRPr="00BA3F2A" w:rsidRDefault="00E16456" w:rsidP="00E16456">
            <w:pPr>
              <w:spacing w:after="0" w:line="300" w:lineRule="exact"/>
              <w:jc w:val="right"/>
              <w:rPr>
                <w:rFonts w:eastAsia="Times New Roman" w:cs="Arial"/>
                <w:b/>
                <w:bCs/>
                <w:sz w:val="18"/>
                <w:szCs w:val="18"/>
              </w:rPr>
            </w:pPr>
            <w:r w:rsidRPr="00FE65B6">
              <w:rPr>
                <w:rFonts w:cs="Arial"/>
                <w:b/>
                <w:sz w:val="18"/>
                <w:szCs w:val="18"/>
              </w:rPr>
              <w:t xml:space="preserve"> 834 </w:t>
            </w:r>
          </w:p>
        </w:tc>
        <w:tc>
          <w:tcPr>
            <w:tcW w:w="1242" w:type="dxa"/>
            <w:tcBorders>
              <w:top w:val="single" w:sz="4" w:space="0" w:color="auto"/>
              <w:left w:val="nil"/>
              <w:bottom w:val="single" w:sz="8" w:space="0" w:color="auto"/>
              <w:right w:val="nil"/>
            </w:tcBorders>
            <w:shd w:val="clear" w:color="auto" w:fill="auto"/>
            <w:noWrap/>
            <w:vAlign w:val="bottom"/>
          </w:tcPr>
          <w:p w14:paraId="0CE9B1B7" w14:textId="13140A72" w:rsidR="00E16456" w:rsidRPr="00BA3F2A" w:rsidRDefault="00E16456" w:rsidP="00E16456">
            <w:pPr>
              <w:spacing w:after="0" w:line="300" w:lineRule="exact"/>
              <w:jc w:val="right"/>
              <w:rPr>
                <w:rFonts w:eastAsia="Times New Roman" w:cs="Arial"/>
                <w:b/>
                <w:bCs/>
                <w:sz w:val="18"/>
                <w:szCs w:val="18"/>
              </w:rPr>
            </w:pPr>
            <w:r w:rsidRPr="00FE65B6">
              <w:rPr>
                <w:rFonts w:cs="Arial"/>
                <w:b/>
                <w:sz w:val="18"/>
                <w:szCs w:val="18"/>
              </w:rPr>
              <w:t xml:space="preserve"> 195 </w:t>
            </w:r>
          </w:p>
        </w:tc>
        <w:tc>
          <w:tcPr>
            <w:tcW w:w="1309" w:type="dxa"/>
            <w:tcBorders>
              <w:top w:val="single" w:sz="4" w:space="0" w:color="auto"/>
              <w:left w:val="nil"/>
              <w:bottom w:val="single" w:sz="8" w:space="0" w:color="auto"/>
              <w:right w:val="nil"/>
            </w:tcBorders>
            <w:shd w:val="clear" w:color="auto" w:fill="auto"/>
            <w:noWrap/>
            <w:vAlign w:val="bottom"/>
          </w:tcPr>
          <w:p w14:paraId="7C5372A6" w14:textId="02E16221" w:rsidR="00E16456" w:rsidRPr="00BA3F2A" w:rsidRDefault="00E16456" w:rsidP="00E16456">
            <w:pPr>
              <w:spacing w:after="0" w:line="300" w:lineRule="exact"/>
              <w:jc w:val="right"/>
              <w:rPr>
                <w:rFonts w:eastAsia="Times New Roman" w:cs="Arial"/>
                <w:b/>
                <w:bCs/>
                <w:sz w:val="18"/>
                <w:szCs w:val="18"/>
              </w:rPr>
            </w:pPr>
            <w:r w:rsidRPr="00FE65B6">
              <w:rPr>
                <w:rFonts w:cs="Arial"/>
                <w:b/>
                <w:sz w:val="18"/>
                <w:szCs w:val="18"/>
              </w:rPr>
              <w:t xml:space="preserve"> 1 </w:t>
            </w:r>
          </w:p>
        </w:tc>
        <w:tc>
          <w:tcPr>
            <w:tcW w:w="1384" w:type="dxa"/>
            <w:tcBorders>
              <w:top w:val="single" w:sz="4" w:space="0" w:color="auto"/>
              <w:left w:val="nil"/>
              <w:bottom w:val="single" w:sz="8" w:space="0" w:color="auto"/>
              <w:right w:val="nil"/>
            </w:tcBorders>
            <w:shd w:val="clear" w:color="auto" w:fill="auto"/>
            <w:noWrap/>
            <w:vAlign w:val="bottom"/>
          </w:tcPr>
          <w:p w14:paraId="28623AD9" w14:textId="4821E155" w:rsidR="00E16456" w:rsidRPr="00BA3F2A" w:rsidRDefault="00E16456" w:rsidP="00E16456">
            <w:pPr>
              <w:spacing w:after="0" w:line="300" w:lineRule="exact"/>
              <w:jc w:val="right"/>
              <w:rPr>
                <w:rFonts w:eastAsia="Times New Roman" w:cs="Arial"/>
                <w:b/>
                <w:bCs/>
                <w:sz w:val="18"/>
                <w:szCs w:val="18"/>
              </w:rPr>
            </w:pPr>
            <w:r w:rsidRPr="00FE65B6">
              <w:rPr>
                <w:rFonts w:cs="Arial"/>
                <w:b/>
                <w:sz w:val="18"/>
                <w:szCs w:val="18"/>
              </w:rPr>
              <w:t xml:space="preserve"> 176</w:t>
            </w:r>
            <w:r>
              <w:rPr>
                <w:rFonts w:cs="Arial"/>
                <w:b/>
                <w:sz w:val="18"/>
                <w:szCs w:val="18"/>
              </w:rPr>
              <w:t>,</w:t>
            </w:r>
            <w:r w:rsidRPr="00FE65B6">
              <w:rPr>
                <w:rFonts w:cs="Arial"/>
                <w:b/>
                <w:sz w:val="18"/>
                <w:szCs w:val="18"/>
              </w:rPr>
              <w:t xml:space="preserve">541 </w:t>
            </w:r>
          </w:p>
        </w:tc>
      </w:tr>
      <w:tr w:rsidR="00191C78" w:rsidRPr="00693FCC" w14:paraId="1DA52A92" w14:textId="77777777" w:rsidTr="00BA3F2A">
        <w:trPr>
          <w:trHeight w:val="52"/>
        </w:trPr>
        <w:tc>
          <w:tcPr>
            <w:tcW w:w="3227" w:type="dxa"/>
            <w:shd w:val="clear" w:color="auto" w:fill="auto"/>
            <w:vAlign w:val="bottom"/>
          </w:tcPr>
          <w:p w14:paraId="358A538A" w14:textId="77777777" w:rsidR="00191C78" w:rsidRPr="00BA3F2A" w:rsidRDefault="00191C78" w:rsidP="00191C78">
            <w:pPr>
              <w:spacing w:after="0" w:line="240" w:lineRule="auto"/>
              <w:rPr>
                <w:rFonts w:eastAsia="Times New Roman" w:cs="Arial"/>
                <w:sz w:val="18"/>
                <w:szCs w:val="18"/>
              </w:rPr>
            </w:pPr>
          </w:p>
        </w:tc>
        <w:tc>
          <w:tcPr>
            <w:tcW w:w="1134" w:type="dxa"/>
            <w:tcBorders>
              <w:top w:val="nil"/>
              <w:left w:val="nil"/>
              <w:bottom w:val="nil"/>
              <w:right w:val="nil"/>
            </w:tcBorders>
            <w:shd w:val="clear" w:color="auto" w:fill="auto"/>
            <w:noWrap/>
            <w:vAlign w:val="bottom"/>
          </w:tcPr>
          <w:p w14:paraId="16B3998C" w14:textId="77777777" w:rsidR="00191C78" w:rsidRPr="00BA3F2A" w:rsidRDefault="00191C78" w:rsidP="00191C78">
            <w:pPr>
              <w:spacing w:after="0" w:line="140" w:lineRule="exact"/>
              <w:jc w:val="right"/>
              <w:rPr>
                <w:rFonts w:eastAsia="Times New Roman" w:cs="Arial"/>
                <w:sz w:val="18"/>
                <w:szCs w:val="18"/>
              </w:rPr>
            </w:pPr>
          </w:p>
        </w:tc>
        <w:tc>
          <w:tcPr>
            <w:tcW w:w="1593" w:type="dxa"/>
            <w:tcBorders>
              <w:top w:val="nil"/>
              <w:left w:val="nil"/>
              <w:bottom w:val="nil"/>
              <w:right w:val="nil"/>
            </w:tcBorders>
            <w:shd w:val="clear" w:color="auto" w:fill="auto"/>
            <w:noWrap/>
            <w:vAlign w:val="bottom"/>
          </w:tcPr>
          <w:p w14:paraId="03163D1F" w14:textId="77777777" w:rsidR="00191C78" w:rsidRPr="00BA3F2A" w:rsidRDefault="00191C78" w:rsidP="00191C78">
            <w:pPr>
              <w:spacing w:after="0" w:line="140" w:lineRule="exact"/>
              <w:jc w:val="right"/>
              <w:rPr>
                <w:rFonts w:eastAsia="Times New Roman" w:cs="Arial"/>
                <w:sz w:val="18"/>
                <w:szCs w:val="18"/>
              </w:rPr>
            </w:pPr>
          </w:p>
        </w:tc>
        <w:tc>
          <w:tcPr>
            <w:tcW w:w="1242" w:type="dxa"/>
            <w:tcBorders>
              <w:top w:val="nil"/>
              <w:left w:val="nil"/>
              <w:bottom w:val="nil"/>
              <w:right w:val="nil"/>
            </w:tcBorders>
            <w:shd w:val="clear" w:color="auto" w:fill="auto"/>
            <w:noWrap/>
            <w:vAlign w:val="bottom"/>
          </w:tcPr>
          <w:p w14:paraId="073376A7" w14:textId="77777777" w:rsidR="00191C78" w:rsidRPr="00BA3F2A" w:rsidRDefault="00191C78" w:rsidP="00191C78">
            <w:pPr>
              <w:spacing w:after="0" w:line="140" w:lineRule="exact"/>
              <w:jc w:val="right"/>
              <w:rPr>
                <w:rFonts w:eastAsia="Times New Roman" w:cs="Arial"/>
                <w:sz w:val="18"/>
                <w:szCs w:val="18"/>
              </w:rPr>
            </w:pPr>
          </w:p>
        </w:tc>
        <w:tc>
          <w:tcPr>
            <w:tcW w:w="1309" w:type="dxa"/>
            <w:tcBorders>
              <w:top w:val="nil"/>
              <w:left w:val="nil"/>
              <w:bottom w:val="nil"/>
              <w:right w:val="nil"/>
            </w:tcBorders>
            <w:shd w:val="clear" w:color="auto" w:fill="auto"/>
            <w:noWrap/>
            <w:vAlign w:val="bottom"/>
          </w:tcPr>
          <w:p w14:paraId="5C5B9479" w14:textId="77777777" w:rsidR="00191C78" w:rsidRPr="00BA3F2A" w:rsidRDefault="00191C78" w:rsidP="00191C78">
            <w:pPr>
              <w:spacing w:after="0" w:line="140" w:lineRule="exact"/>
              <w:jc w:val="right"/>
              <w:rPr>
                <w:rFonts w:eastAsia="Times New Roman" w:cs="Arial"/>
                <w:sz w:val="18"/>
                <w:szCs w:val="18"/>
              </w:rPr>
            </w:pPr>
          </w:p>
        </w:tc>
        <w:tc>
          <w:tcPr>
            <w:tcW w:w="1384" w:type="dxa"/>
            <w:tcBorders>
              <w:top w:val="nil"/>
              <w:left w:val="nil"/>
              <w:bottom w:val="nil"/>
              <w:right w:val="nil"/>
            </w:tcBorders>
            <w:shd w:val="clear" w:color="auto" w:fill="auto"/>
            <w:noWrap/>
            <w:vAlign w:val="bottom"/>
          </w:tcPr>
          <w:p w14:paraId="405BD272" w14:textId="77777777" w:rsidR="00191C78" w:rsidRPr="00BA3F2A" w:rsidRDefault="00191C78" w:rsidP="00191C78">
            <w:pPr>
              <w:spacing w:after="0" w:line="140" w:lineRule="exact"/>
              <w:jc w:val="right"/>
              <w:rPr>
                <w:rFonts w:eastAsia="Times New Roman" w:cs="Arial"/>
                <w:sz w:val="18"/>
                <w:szCs w:val="18"/>
              </w:rPr>
            </w:pPr>
          </w:p>
        </w:tc>
      </w:tr>
      <w:tr w:rsidR="00E16456" w:rsidRPr="00693FCC" w14:paraId="56A889CF" w14:textId="77777777" w:rsidTr="00BA3F2A">
        <w:trPr>
          <w:trHeight w:val="300"/>
        </w:trPr>
        <w:tc>
          <w:tcPr>
            <w:tcW w:w="3227" w:type="dxa"/>
            <w:shd w:val="clear" w:color="auto" w:fill="auto"/>
            <w:vAlign w:val="bottom"/>
          </w:tcPr>
          <w:p w14:paraId="645EDDA2" w14:textId="77777777" w:rsidR="00E16456" w:rsidRPr="00BA3F2A" w:rsidRDefault="00E16456" w:rsidP="00E16456">
            <w:pPr>
              <w:spacing w:after="0" w:line="240" w:lineRule="auto"/>
              <w:rPr>
                <w:rFonts w:eastAsia="Times New Roman" w:cs="Arial"/>
                <w:sz w:val="18"/>
                <w:szCs w:val="18"/>
              </w:rPr>
            </w:pPr>
            <w:r w:rsidRPr="00BA3F2A">
              <w:rPr>
                <w:rFonts w:eastAsia="Times New Roman" w:cs="Arial"/>
                <w:sz w:val="18"/>
                <w:szCs w:val="18"/>
              </w:rPr>
              <w:t>Assets of segment</w:t>
            </w:r>
          </w:p>
        </w:tc>
        <w:tc>
          <w:tcPr>
            <w:tcW w:w="1134" w:type="dxa"/>
            <w:tcBorders>
              <w:top w:val="nil"/>
              <w:left w:val="nil"/>
              <w:bottom w:val="single" w:sz="4" w:space="0" w:color="auto"/>
              <w:right w:val="nil"/>
            </w:tcBorders>
            <w:shd w:val="clear" w:color="auto" w:fill="auto"/>
            <w:noWrap/>
            <w:vAlign w:val="bottom"/>
          </w:tcPr>
          <w:p w14:paraId="26696B57" w14:textId="657093BF" w:rsidR="00E16456" w:rsidRPr="00BA3F2A" w:rsidRDefault="00E16456" w:rsidP="00E16456">
            <w:pPr>
              <w:spacing w:after="0" w:line="300" w:lineRule="exact"/>
              <w:jc w:val="right"/>
              <w:rPr>
                <w:rFonts w:eastAsia="Times New Roman" w:cs="Arial"/>
                <w:sz w:val="18"/>
                <w:szCs w:val="18"/>
              </w:rPr>
            </w:pPr>
            <w:r w:rsidRPr="00FE65B6">
              <w:rPr>
                <w:rFonts w:cs="Arial"/>
                <w:sz w:val="18"/>
                <w:szCs w:val="18"/>
              </w:rPr>
              <w:t xml:space="preserve"> 28</w:t>
            </w:r>
            <w:r>
              <w:rPr>
                <w:rFonts w:cs="Arial"/>
                <w:sz w:val="18"/>
                <w:szCs w:val="18"/>
              </w:rPr>
              <w:t>,</w:t>
            </w:r>
            <w:r w:rsidRPr="00FE65B6">
              <w:rPr>
                <w:rFonts w:cs="Arial"/>
                <w:sz w:val="18"/>
                <w:szCs w:val="18"/>
              </w:rPr>
              <w:t>281</w:t>
            </w:r>
            <w:r>
              <w:rPr>
                <w:rFonts w:cs="Arial"/>
                <w:sz w:val="18"/>
                <w:szCs w:val="18"/>
              </w:rPr>
              <w:t>,</w:t>
            </w:r>
            <w:r w:rsidRPr="00FE65B6">
              <w:rPr>
                <w:rFonts w:cs="Arial"/>
                <w:sz w:val="18"/>
                <w:szCs w:val="18"/>
              </w:rPr>
              <w:t xml:space="preserve">595 </w:t>
            </w:r>
          </w:p>
        </w:tc>
        <w:tc>
          <w:tcPr>
            <w:tcW w:w="1593" w:type="dxa"/>
            <w:tcBorders>
              <w:top w:val="nil"/>
              <w:left w:val="nil"/>
              <w:bottom w:val="single" w:sz="4" w:space="0" w:color="auto"/>
              <w:right w:val="nil"/>
            </w:tcBorders>
            <w:shd w:val="clear" w:color="auto" w:fill="auto"/>
            <w:noWrap/>
            <w:vAlign w:val="bottom"/>
          </w:tcPr>
          <w:p w14:paraId="3547BA21" w14:textId="7EFC1C1D" w:rsidR="00E16456" w:rsidRPr="00BA3F2A" w:rsidRDefault="00E16456" w:rsidP="00E16456">
            <w:pPr>
              <w:spacing w:after="0" w:line="300" w:lineRule="exact"/>
              <w:jc w:val="right"/>
              <w:rPr>
                <w:rFonts w:eastAsia="Times New Roman" w:cs="Arial"/>
                <w:sz w:val="18"/>
                <w:szCs w:val="18"/>
              </w:rPr>
            </w:pPr>
            <w:r w:rsidRPr="00FE65B6">
              <w:rPr>
                <w:rFonts w:cs="Arial"/>
                <w:sz w:val="18"/>
                <w:szCs w:val="18"/>
              </w:rPr>
              <w:t xml:space="preserve"> 54</w:t>
            </w:r>
            <w:r>
              <w:rPr>
                <w:rFonts w:cs="Arial"/>
                <w:sz w:val="18"/>
                <w:szCs w:val="18"/>
              </w:rPr>
              <w:t>,</w:t>
            </w:r>
            <w:r w:rsidRPr="00FE65B6">
              <w:rPr>
                <w:rFonts w:cs="Arial"/>
                <w:sz w:val="18"/>
                <w:szCs w:val="18"/>
              </w:rPr>
              <w:t xml:space="preserve">780 </w:t>
            </w:r>
          </w:p>
        </w:tc>
        <w:tc>
          <w:tcPr>
            <w:tcW w:w="1242" w:type="dxa"/>
            <w:tcBorders>
              <w:top w:val="nil"/>
              <w:left w:val="nil"/>
              <w:bottom w:val="single" w:sz="4" w:space="0" w:color="auto"/>
              <w:right w:val="nil"/>
            </w:tcBorders>
            <w:shd w:val="clear" w:color="auto" w:fill="auto"/>
            <w:noWrap/>
            <w:vAlign w:val="bottom"/>
          </w:tcPr>
          <w:p w14:paraId="1BBC4F72" w14:textId="46087F9B" w:rsidR="00E16456" w:rsidRPr="00BA3F2A" w:rsidRDefault="00E16456" w:rsidP="00E16456">
            <w:pPr>
              <w:spacing w:after="0" w:line="300" w:lineRule="exact"/>
              <w:jc w:val="right"/>
              <w:rPr>
                <w:rFonts w:eastAsia="Times New Roman" w:cs="Arial"/>
                <w:sz w:val="18"/>
                <w:szCs w:val="18"/>
              </w:rPr>
            </w:pPr>
            <w:r w:rsidRPr="00FE65B6">
              <w:rPr>
                <w:rFonts w:cs="Arial"/>
                <w:sz w:val="18"/>
                <w:szCs w:val="18"/>
              </w:rPr>
              <w:t xml:space="preserve"> 1</w:t>
            </w:r>
            <w:r>
              <w:rPr>
                <w:rFonts w:cs="Arial"/>
                <w:sz w:val="18"/>
                <w:szCs w:val="18"/>
              </w:rPr>
              <w:t>,</w:t>
            </w:r>
            <w:r w:rsidRPr="00FE65B6">
              <w:rPr>
                <w:rFonts w:cs="Arial"/>
                <w:sz w:val="18"/>
                <w:szCs w:val="18"/>
              </w:rPr>
              <w:t xml:space="preserve">006 </w:t>
            </w:r>
          </w:p>
        </w:tc>
        <w:tc>
          <w:tcPr>
            <w:tcW w:w="1309" w:type="dxa"/>
            <w:tcBorders>
              <w:top w:val="nil"/>
              <w:left w:val="nil"/>
              <w:bottom w:val="single" w:sz="4" w:space="0" w:color="auto"/>
              <w:right w:val="nil"/>
            </w:tcBorders>
            <w:shd w:val="clear" w:color="auto" w:fill="auto"/>
            <w:noWrap/>
            <w:vAlign w:val="bottom"/>
          </w:tcPr>
          <w:p w14:paraId="22407885" w14:textId="23126A07" w:rsidR="00E16456" w:rsidRPr="00BA3F2A" w:rsidRDefault="00E16456" w:rsidP="00E16456">
            <w:pPr>
              <w:spacing w:after="0" w:line="300" w:lineRule="exact"/>
              <w:jc w:val="right"/>
              <w:rPr>
                <w:rFonts w:eastAsia="Times New Roman" w:cs="Arial"/>
                <w:sz w:val="18"/>
                <w:szCs w:val="18"/>
              </w:rPr>
            </w:pPr>
            <w:r w:rsidRPr="00FE65B6">
              <w:rPr>
                <w:rFonts w:cs="Arial"/>
                <w:sz w:val="18"/>
                <w:szCs w:val="18"/>
              </w:rPr>
              <w:t xml:space="preserve"> (36</w:t>
            </w:r>
            <w:r>
              <w:rPr>
                <w:rFonts w:cs="Arial"/>
                <w:sz w:val="18"/>
                <w:szCs w:val="18"/>
              </w:rPr>
              <w:t>,</w:t>
            </w:r>
            <w:r w:rsidRPr="00FE65B6">
              <w:rPr>
                <w:rFonts w:cs="Arial"/>
                <w:sz w:val="18"/>
                <w:szCs w:val="18"/>
              </w:rPr>
              <w:t>657)</w:t>
            </w:r>
          </w:p>
        </w:tc>
        <w:tc>
          <w:tcPr>
            <w:tcW w:w="1384" w:type="dxa"/>
            <w:tcBorders>
              <w:top w:val="nil"/>
              <w:left w:val="nil"/>
              <w:bottom w:val="single" w:sz="4" w:space="0" w:color="auto"/>
              <w:right w:val="nil"/>
            </w:tcBorders>
            <w:shd w:val="clear" w:color="auto" w:fill="auto"/>
            <w:noWrap/>
            <w:vAlign w:val="bottom"/>
          </w:tcPr>
          <w:p w14:paraId="1E5C5152" w14:textId="7BCC8D85" w:rsidR="00E16456" w:rsidRPr="00BA3F2A" w:rsidRDefault="00E16456" w:rsidP="00E16456">
            <w:pPr>
              <w:spacing w:after="0" w:line="300" w:lineRule="exact"/>
              <w:jc w:val="right"/>
              <w:rPr>
                <w:rFonts w:eastAsia="Times New Roman" w:cs="Arial"/>
                <w:sz w:val="18"/>
                <w:szCs w:val="18"/>
              </w:rPr>
            </w:pPr>
            <w:r w:rsidRPr="00FE65B6">
              <w:rPr>
                <w:rFonts w:cs="Arial"/>
                <w:sz w:val="18"/>
                <w:szCs w:val="18"/>
              </w:rPr>
              <w:t xml:space="preserve"> 28</w:t>
            </w:r>
            <w:r>
              <w:rPr>
                <w:rFonts w:cs="Arial"/>
                <w:sz w:val="18"/>
                <w:szCs w:val="18"/>
              </w:rPr>
              <w:t>,</w:t>
            </w:r>
            <w:r w:rsidRPr="00FE65B6">
              <w:rPr>
                <w:rFonts w:cs="Arial"/>
                <w:sz w:val="18"/>
                <w:szCs w:val="18"/>
              </w:rPr>
              <w:t>300</w:t>
            </w:r>
            <w:r>
              <w:rPr>
                <w:rFonts w:cs="Arial"/>
                <w:sz w:val="18"/>
                <w:szCs w:val="18"/>
              </w:rPr>
              <w:t>,</w:t>
            </w:r>
            <w:r w:rsidRPr="00FE65B6">
              <w:rPr>
                <w:rFonts w:cs="Arial"/>
                <w:sz w:val="18"/>
                <w:szCs w:val="18"/>
              </w:rPr>
              <w:t xml:space="preserve">724 </w:t>
            </w:r>
          </w:p>
        </w:tc>
      </w:tr>
      <w:tr w:rsidR="00E16456" w:rsidRPr="00693FCC" w14:paraId="6553419C" w14:textId="77777777" w:rsidTr="00BA3F2A">
        <w:trPr>
          <w:trHeight w:val="315"/>
        </w:trPr>
        <w:tc>
          <w:tcPr>
            <w:tcW w:w="3227" w:type="dxa"/>
            <w:shd w:val="clear" w:color="auto" w:fill="auto"/>
            <w:vAlign w:val="bottom"/>
          </w:tcPr>
          <w:p w14:paraId="1ABBADEE" w14:textId="77777777" w:rsidR="00E16456" w:rsidRPr="00BA3F2A" w:rsidRDefault="00E16456" w:rsidP="00E16456">
            <w:pPr>
              <w:spacing w:after="0" w:line="240" w:lineRule="auto"/>
              <w:rPr>
                <w:rFonts w:eastAsia="Times New Roman" w:cs="Arial"/>
                <w:b/>
                <w:bCs/>
                <w:sz w:val="18"/>
                <w:szCs w:val="18"/>
              </w:rPr>
            </w:pPr>
            <w:r w:rsidRPr="00BA3F2A">
              <w:rPr>
                <w:rFonts w:eastAsia="Times New Roman" w:cs="Arial"/>
                <w:b/>
                <w:bCs/>
                <w:sz w:val="18"/>
                <w:szCs w:val="18"/>
              </w:rPr>
              <w:t xml:space="preserve">Total assets </w:t>
            </w:r>
          </w:p>
        </w:tc>
        <w:tc>
          <w:tcPr>
            <w:tcW w:w="1134" w:type="dxa"/>
            <w:tcBorders>
              <w:top w:val="nil"/>
              <w:left w:val="nil"/>
              <w:bottom w:val="single" w:sz="4" w:space="0" w:color="auto"/>
              <w:right w:val="nil"/>
            </w:tcBorders>
            <w:shd w:val="clear" w:color="auto" w:fill="auto"/>
            <w:noWrap/>
            <w:vAlign w:val="bottom"/>
          </w:tcPr>
          <w:p w14:paraId="2D0C543C" w14:textId="62B42121" w:rsidR="00E16456" w:rsidRPr="00BA3F2A" w:rsidRDefault="00E16456" w:rsidP="00E16456">
            <w:pPr>
              <w:spacing w:after="0" w:line="300" w:lineRule="exact"/>
              <w:jc w:val="right"/>
              <w:rPr>
                <w:rFonts w:eastAsia="Times New Roman" w:cs="Arial"/>
                <w:b/>
                <w:sz w:val="18"/>
                <w:szCs w:val="18"/>
              </w:rPr>
            </w:pPr>
            <w:r w:rsidRPr="00FE65B6">
              <w:rPr>
                <w:rFonts w:cs="Arial"/>
                <w:b/>
                <w:sz w:val="18"/>
                <w:szCs w:val="18"/>
              </w:rPr>
              <w:t xml:space="preserve"> 28</w:t>
            </w:r>
            <w:r>
              <w:rPr>
                <w:rFonts w:cs="Arial"/>
                <w:b/>
                <w:sz w:val="18"/>
                <w:szCs w:val="18"/>
              </w:rPr>
              <w:t>,</w:t>
            </w:r>
            <w:r w:rsidRPr="00FE65B6">
              <w:rPr>
                <w:rFonts w:cs="Arial"/>
                <w:b/>
                <w:sz w:val="18"/>
                <w:szCs w:val="18"/>
              </w:rPr>
              <w:t>281</w:t>
            </w:r>
            <w:r>
              <w:rPr>
                <w:rFonts w:cs="Arial"/>
                <w:b/>
                <w:sz w:val="18"/>
                <w:szCs w:val="18"/>
              </w:rPr>
              <w:t>,</w:t>
            </w:r>
            <w:r w:rsidRPr="00FE65B6">
              <w:rPr>
                <w:rFonts w:cs="Arial"/>
                <w:b/>
                <w:sz w:val="18"/>
                <w:szCs w:val="18"/>
              </w:rPr>
              <w:t xml:space="preserve">595 </w:t>
            </w:r>
          </w:p>
        </w:tc>
        <w:tc>
          <w:tcPr>
            <w:tcW w:w="1593" w:type="dxa"/>
            <w:tcBorders>
              <w:top w:val="nil"/>
              <w:left w:val="nil"/>
              <w:bottom w:val="single" w:sz="4" w:space="0" w:color="auto"/>
              <w:right w:val="nil"/>
            </w:tcBorders>
            <w:shd w:val="clear" w:color="auto" w:fill="auto"/>
            <w:noWrap/>
            <w:vAlign w:val="bottom"/>
          </w:tcPr>
          <w:p w14:paraId="4D08544B" w14:textId="51B4A5BB" w:rsidR="00E16456" w:rsidRPr="00BA3F2A" w:rsidRDefault="00E16456" w:rsidP="00E16456">
            <w:pPr>
              <w:spacing w:after="0" w:line="300" w:lineRule="exact"/>
              <w:jc w:val="right"/>
              <w:rPr>
                <w:rFonts w:eastAsia="Times New Roman" w:cs="Arial"/>
                <w:b/>
                <w:sz w:val="18"/>
                <w:szCs w:val="18"/>
              </w:rPr>
            </w:pPr>
            <w:r w:rsidRPr="00FE65B6">
              <w:rPr>
                <w:rFonts w:cs="Arial"/>
                <w:b/>
                <w:sz w:val="18"/>
                <w:szCs w:val="18"/>
              </w:rPr>
              <w:t xml:space="preserve"> 54</w:t>
            </w:r>
            <w:r>
              <w:rPr>
                <w:rFonts w:cs="Arial"/>
                <w:b/>
                <w:sz w:val="18"/>
                <w:szCs w:val="18"/>
              </w:rPr>
              <w:t>,</w:t>
            </w:r>
            <w:r w:rsidRPr="00FE65B6">
              <w:rPr>
                <w:rFonts w:cs="Arial"/>
                <w:b/>
                <w:sz w:val="18"/>
                <w:szCs w:val="18"/>
              </w:rPr>
              <w:t xml:space="preserve">780 </w:t>
            </w:r>
          </w:p>
        </w:tc>
        <w:tc>
          <w:tcPr>
            <w:tcW w:w="1242" w:type="dxa"/>
            <w:tcBorders>
              <w:top w:val="nil"/>
              <w:left w:val="nil"/>
              <w:bottom w:val="single" w:sz="4" w:space="0" w:color="auto"/>
              <w:right w:val="nil"/>
            </w:tcBorders>
            <w:shd w:val="clear" w:color="auto" w:fill="auto"/>
            <w:noWrap/>
            <w:vAlign w:val="bottom"/>
          </w:tcPr>
          <w:p w14:paraId="53969A8F" w14:textId="473AD154" w:rsidR="00E16456" w:rsidRPr="00BA3F2A" w:rsidRDefault="00E16456" w:rsidP="00E16456">
            <w:pPr>
              <w:spacing w:after="0" w:line="300" w:lineRule="exact"/>
              <w:jc w:val="right"/>
              <w:rPr>
                <w:rFonts w:eastAsia="Times New Roman" w:cs="Arial"/>
                <w:b/>
                <w:sz w:val="18"/>
                <w:szCs w:val="18"/>
              </w:rPr>
            </w:pPr>
            <w:r w:rsidRPr="00FE65B6">
              <w:rPr>
                <w:rFonts w:cs="Arial"/>
                <w:b/>
                <w:sz w:val="18"/>
                <w:szCs w:val="18"/>
              </w:rPr>
              <w:t xml:space="preserve"> 1</w:t>
            </w:r>
            <w:r>
              <w:rPr>
                <w:rFonts w:cs="Arial"/>
                <w:b/>
                <w:sz w:val="18"/>
                <w:szCs w:val="18"/>
              </w:rPr>
              <w:t>,</w:t>
            </w:r>
            <w:r w:rsidRPr="00FE65B6">
              <w:rPr>
                <w:rFonts w:cs="Arial"/>
                <w:b/>
                <w:sz w:val="18"/>
                <w:szCs w:val="18"/>
              </w:rPr>
              <w:t xml:space="preserve">006 </w:t>
            </w:r>
          </w:p>
        </w:tc>
        <w:tc>
          <w:tcPr>
            <w:tcW w:w="1309" w:type="dxa"/>
            <w:tcBorders>
              <w:top w:val="nil"/>
              <w:left w:val="nil"/>
              <w:bottom w:val="single" w:sz="4" w:space="0" w:color="auto"/>
              <w:right w:val="nil"/>
            </w:tcBorders>
            <w:shd w:val="clear" w:color="auto" w:fill="auto"/>
            <w:noWrap/>
            <w:vAlign w:val="bottom"/>
          </w:tcPr>
          <w:p w14:paraId="53B44D92" w14:textId="397B3233" w:rsidR="00E16456" w:rsidRPr="00BA3F2A" w:rsidRDefault="00E16456" w:rsidP="00E16456">
            <w:pPr>
              <w:spacing w:after="0" w:line="300" w:lineRule="exact"/>
              <w:jc w:val="right"/>
              <w:rPr>
                <w:rFonts w:eastAsia="Times New Roman" w:cs="Arial"/>
                <w:b/>
                <w:sz w:val="18"/>
                <w:szCs w:val="18"/>
              </w:rPr>
            </w:pPr>
            <w:r w:rsidRPr="00FE65B6">
              <w:rPr>
                <w:rFonts w:cs="Arial"/>
                <w:b/>
                <w:sz w:val="18"/>
                <w:szCs w:val="18"/>
              </w:rPr>
              <w:t xml:space="preserve"> (36</w:t>
            </w:r>
            <w:r>
              <w:rPr>
                <w:rFonts w:cs="Arial"/>
                <w:b/>
                <w:sz w:val="18"/>
                <w:szCs w:val="18"/>
              </w:rPr>
              <w:t>,</w:t>
            </w:r>
            <w:r w:rsidRPr="00FE65B6">
              <w:rPr>
                <w:rFonts w:cs="Arial"/>
                <w:b/>
                <w:sz w:val="18"/>
                <w:szCs w:val="18"/>
              </w:rPr>
              <w:t>657)</w:t>
            </w:r>
          </w:p>
        </w:tc>
        <w:tc>
          <w:tcPr>
            <w:tcW w:w="1384" w:type="dxa"/>
            <w:tcBorders>
              <w:top w:val="nil"/>
              <w:left w:val="nil"/>
              <w:bottom w:val="single" w:sz="4" w:space="0" w:color="auto"/>
              <w:right w:val="nil"/>
            </w:tcBorders>
            <w:shd w:val="clear" w:color="auto" w:fill="auto"/>
            <w:noWrap/>
            <w:vAlign w:val="bottom"/>
          </w:tcPr>
          <w:p w14:paraId="4710A9EA" w14:textId="2279ECD1" w:rsidR="00E16456" w:rsidRPr="00BA3F2A" w:rsidRDefault="00E16456" w:rsidP="00E16456">
            <w:pPr>
              <w:spacing w:after="0" w:line="300" w:lineRule="exact"/>
              <w:jc w:val="right"/>
              <w:rPr>
                <w:rFonts w:eastAsia="Times New Roman" w:cs="Arial"/>
                <w:b/>
                <w:sz w:val="18"/>
                <w:szCs w:val="18"/>
              </w:rPr>
            </w:pPr>
            <w:r w:rsidRPr="00FE65B6">
              <w:rPr>
                <w:rFonts w:cs="Arial"/>
                <w:b/>
                <w:sz w:val="18"/>
                <w:szCs w:val="18"/>
              </w:rPr>
              <w:t xml:space="preserve"> 28</w:t>
            </w:r>
            <w:r>
              <w:rPr>
                <w:rFonts w:cs="Arial"/>
                <w:b/>
                <w:sz w:val="18"/>
                <w:szCs w:val="18"/>
              </w:rPr>
              <w:t>,</w:t>
            </w:r>
            <w:r w:rsidRPr="00FE65B6">
              <w:rPr>
                <w:rFonts w:cs="Arial"/>
                <w:b/>
                <w:sz w:val="18"/>
                <w:szCs w:val="18"/>
              </w:rPr>
              <w:t>300</w:t>
            </w:r>
            <w:r>
              <w:rPr>
                <w:rFonts w:cs="Arial"/>
                <w:b/>
                <w:sz w:val="18"/>
                <w:szCs w:val="18"/>
              </w:rPr>
              <w:t>,</w:t>
            </w:r>
            <w:r w:rsidRPr="00FE65B6">
              <w:rPr>
                <w:rFonts w:cs="Arial"/>
                <w:b/>
                <w:sz w:val="18"/>
                <w:szCs w:val="18"/>
              </w:rPr>
              <w:t xml:space="preserve">724 </w:t>
            </w:r>
          </w:p>
        </w:tc>
      </w:tr>
      <w:tr w:rsidR="00191C78" w:rsidRPr="00693FCC" w14:paraId="458DC3B5" w14:textId="77777777" w:rsidTr="00BA3F2A">
        <w:trPr>
          <w:trHeight w:val="121"/>
        </w:trPr>
        <w:tc>
          <w:tcPr>
            <w:tcW w:w="3227" w:type="dxa"/>
            <w:shd w:val="clear" w:color="auto" w:fill="auto"/>
            <w:vAlign w:val="bottom"/>
          </w:tcPr>
          <w:p w14:paraId="4608E213" w14:textId="77777777" w:rsidR="00191C78" w:rsidRPr="00BA3F2A" w:rsidRDefault="00191C78" w:rsidP="00191C78">
            <w:pPr>
              <w:spacing w:after="0" w:line="240" w:lineRule="auto"/>
              <w:rPr>
                <w:rFonts w:eastAsia="Times New Roman" w:cs="Arial"/>
                <w:sz w:val="18"/>
                <w:szCs w:val="18"/>
              </w:rPr>
            </w:pPr>
          </w:p>
        </w:tc>
        <w:tc>
          <w:tcPr>
            <w:tcW w:w="1134" w:type="dxa"/>
            <w:tcBorders>
              <w:top w:val="single" w:sz="8" w:space="0" w:color="auto"/>
              <w:left w:val="nil"/>
              <w:bottom w:val="nil"/>
              <w:right w:val="nil"/>
            </w:tcBorders>
            <w:shd w:val="clear" w:color="auto" w:fill="auto"/>
            <w:noWrap/>
            <w:vAlign w:val="bottom"/>
          </w:tcPr>
          <w:p w14:paraId="5DD5DC06" w14:textId="77777777" w:rsidR="00191C78" w:rsidRPr="00BA3F2A" w:rsidRDefault="00191C78" w:rsidP="00191C78">
            <w:pPr>
              <w:spacing w:after="0" w:line="140" w:lineRule="exact"/>
              <w:jc w:val="right"/>
              <w:rPr>
                <w:rFonts w:eastAsia="Times New Roman" w:cs="Arial"/>
                <w:sz w:val="18"/>
                <w:szCs w:val="18"/>
              </w:rPr>
            </w:pPr>
          </w:p>
        </w:tc>
        <w:tc>
          <w:tcPr>
            <w:tcW w:w="1593" w:type="dxa"/>
            <w:tcBorders>
              <w:top w:val="single" w:sz="8" w:space="0" w:color="auto"/>
              <w:left w:val="nil"/>
              <w:bottom w:val="nil"/>
              <w:right w:val="nil"/>
            </w:tcBorders>
            <w:shd w:val="clear" w:color="auto" w:fill="auto"/>
            <w:noWrap/>
            <w:vAlign w:val="bottom"/>
          </w:tcPr>
          <w:p w14:paraId="7066CC4F" w14:textId="77777777" w:rsidR="00191C78" w:rsidRPr="00BA3F2A" w:rsidRDefault="00191C78" w:rsidP="00191C78">
            <w:pPr>
              <w:spacing w:after="0" w:line="140" w:lineRule="exact"/>
              <w:jc w:val="right"/>
              <w:rPr>
                <w:rFonts w:eastAsia="Times New Roman" w:cs="Arial"/>
                <w:sz w:val="18"/>
                <w:szCs w:val="18"/>
              </w:rPr>
            </w:pPr>
          </w:p>
        </w:tc>
        <w:tc>
          <w:tcPr>
            <w:tcW w:w="1242" w:type="dxa"/>
            <w:tcBorders>
              <w:top w:val="single" w:sz="8" w:space="0" w:color="auto"/>
              <w:left w:val="nil"/>
              <w:bottom w:val="nil"/>
              <w:right w:val="nil"/>
            </w:tcBorders>
            <w:shd w:val="clear" w:color="auto" w:fill="auto"/>
            <w:noWrap/>
            <w:vAlign w:val="bottom"/>
          </w:tcPr>
          <w:p w14:paraId="32B8F5C0" w14:textId="77777777" w:rsidR="00191C78" w:rsidRPr="00BA3F2A" w:rsidRDefault="00191C78" w:rsidP="00191C78">
            <w:pPr>
              <w:spacing w:after="0" w:line="140" w:lineRule="exact"/>
              <w:jc w:val="right"/>
              <w:rPr>
                <w:rFonts w:eastAsia="Times New Roman" w:cs="Arial"/>
                <w:sz w:val="18"/>
                <w:szCs w:val="18"/>
              </w:rPr>
            </w:pPr>
          </w:p>
        </w:tc>
        <w:tc>
          <w:tcPr>
            <w:tcW w:w="1309" w:type="dxa"/>
            <w:tcBorders>
              <w:top w:val="single" w:sz="8" w:space="0" w:color="auto"/>
              <w:left w:val="nil"/>
              <w:bottom w:val="nil"/>
              <w:right w:val="nil"/>
            </w:tcBorders>
            <w:shd w:val="clear" w:color="auto" w:fill="auto"/>
            <w:noWrap/>
            <w:vAlign w:val="bottom"/>
          </w:tcPr>
          <w:p w14:paraId="7CB894BF" w14:textId="77777777" w:rsidR="00191C78" w:rsidRPr="00BA3F2A" w:rsidRDefault="00191C78" w:rsidP="00191C78">
            <w:pPr>
              <w:spacing w:after="0" w:line="140" w:lineRule="exact"/>
              <w:jc w:val="right"/>
              <w:rPr>
                <w:rFonts w:eastAsia="Times New Roman" w:cs="Arial"/>
                <w:sz w:val="18"/>
                <w:szCs w:val="18"/>
              </w:rPr>
            </w:pPr>
          </w:p>
        </w:tc>
        <w:tc>
          <w:tcPr>
            <w:tcW w:w="1384" w:type="dxa"/>
            <w:tcBorders>
              <w:top w:val="single" w:sz="8" w:space="0" w:color="auto"/>
              <w:left w:val="nil"/>
              <w:bottom w:val="nil"/>
              <w:right w:val="nil"/>
            </w:tcBorders>
            <w:shd w:val="clear" w:color="auto" w:fill="auto"/>
            <w:noWrap/>
            <w:vAlign w:val="bottom"/>
          </w:tcPr>
          <w:p w14:paraId="502F66F6" w14:textId="77777777" w:rsidR="00191C78" w:rsidRPr="00BA3F2A" w:rsidRDefault="00191C78" w:rsidP="00191C78">
            <w:pPr>
              <w:spacing w:after="0" w:line="140" w:lineRule="exact"/>
              <w:jc w:val="right"/>
              <w:rPr>
                <w:rFonts w:eastAsia="Times New Roman" w:cs="Arial"/>
                <w:sz w:val="18"/>
                <w:szCs w:val="18"/>
              </w:rPr>
            </w:pPr>
          </w:p>
        </w:tc>
      </w:tr>
      <w:tr w:rsidR="00E16456" w:rsidRPr="00693FCC" w14:paraId="08B3334C" w14:textId="77777777" w:rsidTr="00BA3F2A">
        <w:trPr>
          <w:trHeight w:val="300"/>
        </w:trPr>
        <w:tc>
          <w:tcPr>
            <w:tcW w:w="3227" w:type="dxa"/>
            <w:shd w:val="clear" w:color="auto" w:fill="auto"/>
            <w:vAlign w:val="bottom"/>
          </w:tcPr>
          <w:p w14:paraId="6A99D683" w14:textId="77777777" w:rsidR="00E16456" w:rsidRPr="00BA3F2A" w:rsidRDefault="00E16456" w:rsidP="00E16456">
            <w:pPr>
              <w:spacing w:after="0" w:line="240" w:lineRule="auto"/>
              <w:rPr>
                <w:rFonts w:eastAsia="Times New Roman" w:cs="Arial"/>
                <w:sz w:val="18"/>
                <w:szCs w:val="18"/>
              </w:rPr>
            </w:pPr>
            <w:r w:rsidRPr="00BA3F2A">
              <w:rPr>
                <w:rFonts w:eastAsia="Times New Roman" w:cs="Arial"/>
                <w:sz w:val="18"/>
                <w:szCs w:val="18"/>
              </w:rPr>
              <w:t>Liabilities of segment</w:t>
            </w:r>
          </w:p>
        </w:tc>
        <w:tc>
          <w:tcPr>
            <w:tcW w:w="1134" w:type="dxa"/>
            <w:tcBorders>
              <w:top w:val="nil"/>
              <w:left w:val="nil"/>
              <w:bottom w:val="nil"/>
              <w:right w:val="nil"/>
            </w:tcBorders>
            <w:shd w:val="clear" w:color="auto" w:fill="auto"/>
            <w:noWrap/>
            <w:vAlign w:val="bottom"/>
          </w:tcPr>
          <w:p w14:paraId="2AC73EAD" w14:textId="2269C5F0" w:rsidR="00E16456" w:rsidRPr="00BA3F2A" w:rsidRDefault="00E16456" w:rsidP="00E16456">
            <w:pPr>
              <w:spacing w:after="0" w:line="300" w:lineRule="exact"/>
              <w:jc w:val="right"/>
              <w:rPr>
                <w:rFonts w:eastAsia="Times New Roman" w:cs="Arial"/>
                <w:sz w:val="18"/>
                <w:szCs w:val="18"/>
              </w:rPr>
            </w:pPr>
            <w:r w:rsidRPr="00FE65B6">
              <w:rPr>
                <w:rFonts w:cs="Arial"/>
                <w:sz w:val="18"/>
                <w:szCs w:val="18"/>
              </w:rPr>
              <w:t xml:space="preserve"> 18</w:t>
            </w:r>
            <w:r>
              <w:rPr>
                <w:rFonts w:cs="Arial"/>
                <w:sz w:val="18"/>
                <w:szCs w:val="18"/>
              </w:rPr>
              <w:t>,</w:t>
            </w:r>
            <w:r w:rsidRPr="00FE65B6">
              <w:rPr>
                <w:rFonts w:cs="Arial"/>
                <w:sz w:val="18"/>
                <w:szCs w:val="18"/>
              </w:rPr>
              <w:t>027</w:t>
            </w:r>
            <w:r>
              <w:rPr>
                <w:rFonts w:cs="Arial"/>
                <w:sz w:val="18"/>
                <w:szCs w:val="18"/>
              </w:rPr>
              <w:t>,</w:t>
            </w:r>
            <w:r w:rsidRPr="00FE65B6">
              <w:rPr>
                <w:rFonts w:cs="Arial"/>
                <w:sz w:val="18"/>
                <w:szCs w:val="18"/>
              </w:rPr>
              <w:t xml:space="preserve">184 </w:t>
            </w:r>
          </w:p>
        </w:tc>
        <w:tc>
          <w:tcPr>
            <w:tcW w:w="1593" w:type="dxa"/>
            <w:tcBorders>
              <w:top w:val="nil"/>
              <w:left w:val="nil"/>
              <w:bottom w:val="nil"/>
              <w:right w:val="nil"/>
            </w:tcBorders>
            <w:shd w:val="clear" w:color="auto" w:fill="auto"/>
            <w:noWrap/>
            <w:vAlign w:val="bottom"/>
          </w:tcPr>
          <w:p w14:paraId="38BC3995" w14:textId="417FEE52" w:rsidR="00E16456" w:rsidRPr="00BA3F2A" w:rsidRDefault="00E16456" w:rsidP="00E16456">
            <w:pPr>
              <w:spacing w:after="0" w:line="300" w:lineRule="exact"/>
              <w:jc w:val="right"/>
              <w:rPr>
                <w:rFonts w:eastAsia="Times New Roman" w:cs="Arial"/>
                <w:sz w:val="18"/>
                <w:szCs w:val="18"/>
              </w:rPr>
            </w:pPr>
            <w:r w:rsidRPr="00FE65B6">
              <w:rPr>
                <w:rFonts w:cs="Arial"/>
                <w:sz w:val="18"/>
                <w:szCs w:val="18"/>
              </w:rPr>
              <w:t xml:space="preserve"> 12</w:t>
            </w:r>
            <w:r>
              <w:rPr>
                <w:rFonts w:cs="Arial"/>
                <w:sz w:val="18"/>
                <w:szCs w:val="18"/>
              </w:rPr>
              <w:t>,</w:t>
            </w:r>
            <w:r w:rsidRPr="00FE65B6">
              <w:rPr>
                <w:rFonts w:cs="Arial"/>
                <w:sz w:val="18"/>
                <w:szCs w:val="18"/>
              </w:rPr>
              <w:t xml:space="preserve">690 </w:t>
            </w:r>
          </w:p>
        </w:tc>
        <w:tc>
          <w:tcPr>
            <w:tcW w:w="1242" w:type="dxa"/>
            <w:tcBorders>
              <w:top w:val="nil"/>
              <w:left w:val="nil"/>
              <w:bottom w:val="nil"/>
              <w:right w:val="nil"/>
            </w:tcBorders>
            <w:shd w:val="clear" w:color="auto" w:fill="auto"/>
            <w:noWrap/>
            <w:vAlign w:val="bottom"/>
          </w:tcPr>
          <w:p w14:paraId="27F9CE97" w14:textId="63E69F3F" w:rsidR="00E16456" w:rsidRPr="00BA3F2A" w:rsidRDefault="00E16456" w:rsidP="00E16456">
            <w:pPr>
              <w:spacing w:after="0" w:line="300" w:lineRule="exact"/>
              <w:jc w:val="right"/>
              <w:rPr>
                <w:rFonts w:eastAsia="Times New Roman" w:cs="Arial"/>
                <w:sz w:val="18"/>
                <w:szCs w:val="18"/>
              </w:rPr>
            </w:pPr>
            <w:r w:rsidRPr="00FE65B6">
              <w:rPr>
                <w:rFonts w:cs="Arial"/>
                <w:sz w:val="18"/>
                <w:szCs w:val="18"/>
              </w:rPr>
              <w:t xml:space="preserve"> 65 </w:t>
            </w:r>
          </w:p>
        </w:tc>
        <w:tc>
          <w:tcPr>
            <w:tcW w:w="1309" w:type="dxa"/>
            <w:tcBorders>
              <w:top w:val="nil"/>
              <w:left w:val="nil"/>
              <w:bottom w:val="nil"/>
              <w:right w:val="nil"/>
            </w:tcBorders>
            <w:shd w:val="clear" w:color="auto" w:fill="auto"/>
            <w:noWrap/>
            <w:vAlign w:val="bottom"/>
          </w:tcPr>
          <w:p w14:paraId="357738F1" w14:textId="21781D76" w:rsidR="00E16456" w:rsidRPr="00BA3F2A" w:rsidRDefault="00E16456" w:rsidP="00E16456">
            <w:pPr>
              <w:spacing w:after="0" w:line="300" w:lineRule="exact"/>
              <w:jc w:val="right"/>
              <w:rPr>
                <w:rFonts w:eastAsia="Times New Roman" w:cs="Arial"/>
                <w:sz w:val="18"/>
                <w:szCs w:val="18"/>
              </w:rPr>
            </w:pPr>
            <w:r w:rsidRPr="00FE65B6">
              <w:rPr>
                <w:rFonts w:cs="Arial"/>
                <w:sz w:val="18"/>
                <w:szCs w:val="18"/>
              </w:rPr>
              <w:t xml:space="preserve"> (29)</w:t>
            </w:r>
          </w:p>
        </w:tc>
        <w:tc>
          <w:tcPr>
            <w:tcW w:w="1384" w:type="dxa"/>
            <w:tcBorders>
              <w:top w:val="nil"/>
              <w:left w:val="nil"/>
              <w:bottom w:val="nil"/>
              <w:right w:val="nil"/>
            </w:tcBorders>
            <w:shd w:val="clear" w:color="auto" w:fill="auto"/>
            <w:noWrap/>
            <w:vAlign w:val="bottom"/>
          </w:tcPr>
          <w:p w14:paraId="39D05755" w14:textId="75E4248D" w:rsidR="00E16456" w:rsidRPr="00BA3F2A" w:rsidRDefault="00E16456" w:rsidP="00E16456">
            <w:pPr>
              <w:spacing w:after="0" w:line="300" w:lineRule="exact"/>
              <w:jc w:val="right"/>
              <w:rPr>
                <w:rFonts w:eastAsia="Times New Roman" w:cs="Arial"/>
                <w:sz w:val="18"/>
                <w:szCs w:val="18"/>
              </w:rPr>
            </w:pPr>
            <w:r w:rsidRPr="00FE65B6">
              <w:rPr>
                <w:rFonts w:cs="Arial"/>
                <w:sz w:val="18"/>
                <w:szCs w:val="18"/>
              </w:rPr>
              <w:t xml:space="preserve"> 18</w:t>
            </w:r>
            <w:r>
              <w:rPr>
                <w:rFonts w:cs="Arial"/>
                <w:sz w:val="18"/>
                <w:szCs w:val="18"/>
              </w:rPr>
              <w:t>,</w:t>
            </w:r>
            <w:r w:rsidRPr="00FE65B6">
              <w:rPr>
                <w:rFonts w:cs="Arial"/>
                <w:sz w:val="18"/>
                <w:szCs w:val="18"/>
              </w:rPr>
              <w:t>039</w:t>
            </w:r>
            <w:r>
              <w:rPr>
                <w:rFonts w:cs="Arial"/>
                <w:sz w:val="18"/>
                <w:szCs w:val="18"/>
              </w:rPr>
              <w:t>,</w:t>
            </w:r>
            <w:r w:rsidRPr="00FE65B6">
              <w:rPr>
                <w:rFonts w:cs="Arial"/>
                <w:sz w:val="18"/>
                <w:szCs w:val="18"/>
              </w:rPr>
              <w:t xml:space="preserve">910 </w:t>
            </w:r>
          </w:p>
        </w:tc>
      </w:tr>
      <w:tr w:rsidR="00E16456" w:rsidRPr="00693FCC" w14:paraId="59443909" w14:textId="77777777" w:rsidTr="00BA3F2A">
        <w:trPr>
          <w:trHeight w:val="300"/>
        </w:trPr>
        <w:tc>
          <w:tcPr>
            <w:tcW w:w="3227" w:type="dxa"/>
            <w:shd w:val="clear" w:color="auto" w:fill="auto"/>
            <w:vAlign w:val="bottom"/>
          </w:tcPr>
          <w:p w14:paraId="5DC38ECC" w14:textId="77777777" w:rsidR="00E16456" w:rsidRPr="00BA3F2A" w:rsidRDefault="00E16456" w:rsidP="00E16456">
            <w:pPr>
              <w:spacing w:after="0" w:line="240" w:lineRule="auto"/>
              <w:rPr>
                <w:rFonts w:eastAsia="Times New Roman" w:cs="Arial"/>
                <w:sz w:val="18"/>
                <w:szCs w:val="18"/>
              </w:rPr>
            </w:pPr>
            <w:r w:rsidRPr="00BA3F2A">
              <w:rPr>
                <w:rFonts w:eastAsia="Times New Roman" w:cs="Arial"/>
                <w:sz w:val="18"/>
                <w:szCs w:val="18"/>
              </w:rPr>
              <w:t>Total equity</w:t>
            </w:r>
          </w:p>
        </w:tc>
        <w:tc>
          <w:tcPr>
            <w:tcW w:w="1134" w:type="dxa"/>
            <w:tcBorders>
              <w:top w:val="nil"/>
              <w:left w:val="nil"/>
              <w:bottom w:val="nil"/>
              <w:right w:val="nil"/>
            </w:tcBorders>
            <w:shd w:val="clear" w:color="auto" w:fill="auto"/>
            <w:noWrap/>
            <w:vAlign w:val="bottom"/>
          </w:tcPr>
          <w:p w14:paraId="324A1E0C" w14:textId="53C3CD9E" w:rsidR="00E16456" w:rsidRPr="00BA3F2A" w:rsidRDefault="00E16456" w:rsidP="00E16456">
            <w:pPr>
              <w:spacing w:after="0" w:line="300" w:lineRule="exact"/>
              <w:jc w:val="right"/>
              <w:rPr>
                <w:rFonts w:eastAsia="Times New Roman" w:cs="Arial"/>
                <w:sz w:val="18"/>
                <w:szCs w:val="18"/>
              </w:rPr>
            </w:pPr>
            <w:r w:rsidRPr="00FE65B6">
              <w:rPr>
                <w:rFonts w:cs="Arial"/>
                <w:sz w:val="18"/>
                <w:szCs w:val="18"/>
              </w:rPr>
              <w:t xml:space="preserve"> 10</w:t>
            </w:r>
            <w:r>
              <w:rPr>
                <w:rFonts w:cs="Arial"/>
                <w:sz w:val="18"/>
                <w:szCs w:val="18"/>
              </w:rPr>
              <w:t>,</w:t>
            </w:r>
            <w:r w:rsidRPr="00FE65B6">
              <w:rPr>
                <w:rFonts w:cs="Arial"/>
                <w:sz w:val="18"/>
                <w:szCs w:val="18"/>
              </w:rPr>
              <w:t>254</w:t>
            </w:r>
            <w:r>
              <w:rPr>
                <w:rFonts w:cs="Arial"/>
                <w:sz w:val="18"/>
                <w:szCs w:val="18"/>
              </w:rPr>
              <w:t>,</w:t>
            </w:r>
            <w:r w:rsidRPr="00FE65B6">
              <w:rPr>
                <w:rFonts w:cs="Arial"/>
                <w:sz w:val="18"/>
                <w:szCs w:val="18"/>
              </w:rPr>
              <w:t xml:space="preserve">411 </w:t>
            </w:r>
          </w:p>
        </w:tc>
        <w:tc>
          <w:tcPr>
            <w:tcW w:w="1593" w:type="dxa"/>
            <w:tcBorders>
              <w:top w:val="nil"/>
              <w:left w:val="nil"/>
              <w:bottom w:val="nil"/>
              <w:right w:val="nil"/>
            </w:tcBorders>
            <w:shd w:val="clear" w:color="auto" w:fill="auto"/>
            <w:noWrap/>
            <w:vAlign w:val="bottom"/>
          </w:tcPr>
          <w:p w14:paraId="606F8873" w14:textId="77DA68A5" w:rsidR="00E16456" w:rsidRPr="00BA3F2A" w:rsidRDefault="00E16456" w:rsidP="00E16456">
            <w:pPr>
              <w:spacing w:after="0" w:line="300" w:lineRule="exact"/>
              <w:jc w:val="right"/>
              <w:rPr>
                <w:rFonts w:eastAsia="Times New Roman" w:cs="Arial"/>
                <w:sz w:val="18"/>
                <w:szCs w:val="18"/>
              </w:rPr>
            </w:pPr>
            <w:r w:rsidRPr="00FE65B6">
              <w:rPr>
                <w:rFonts w:cs="Arial"/>
                <w:sz w:val="18"/>
                <w:szCs w:val="18"/>
              </w:rPr>
              <w:t xml:space="preserve"> 4</w:t>
            </w:r>
            <w:r>
              <w:rPr>
                <w:rFonts w:cs="Arial"/>
                <w:sz w:val="18"/>
                <w:szCs w:val="18"/>
              </w:rPr>
              <w:t>,</w:t>
            </w:r>
            <w:r w:rsidRPr="00FE65B6">
              <w:rPr>
                <w:rFonts w:cs="Arial"/>
                <w:sz w:val="18"/>
                <w:szCs w:val="18"/>
              </w:rPr>
              <w:t xml:space="preserve">589 </w:t>
            </w:r>
          </w:p>
        </w:tc>
        <w:tc>
          <w:tcPr>
            <w:tcW w:w="1242" w:type="dxa"/>
            <w:tcBorders>
              <w:top w:val="nil"/>
              <w:left w:val="nil"/>
              <w:bottom w:val="nil"/>
              <w:right w:val="nil"/>
            </w:tcBorders>
            <w:shd w:val="clear" w:color="auto" w:fill="auto"/>
            <w:noWrap/>
            <w:vAlign w:val="bottom"/>
          </w:tcPr>
          <w:p w14:paraId="31D298AB" w14:textId="10ED7D20" w:rsidR="00E16456" w:rsidRPr="00BA3F2A" w:rsidRDefault="00E16456" w:rsidP="00E16456">
            <w:pPr>
              <w:spacing w:after="0" w:line="300" w:lineRule="exact"/>
              <w:jc w:val="right"/>
              <w:rPr>
                <w:rFonts w:eastAsia="Times New Roman" w:cs="Arial"/>
                <w:sz w:val="18"/>
                <w:szCs w:val="18"/>
              </w:rPr>
            </w:pPr>
            <w:r w:rsidRPr="00FE65B6">
              <w:rPr>
                <w:rFonts w:cs="Arial"/>
                <w:sz w:val="18"/>
                <w:szCs w:val="18"/>
              </w:rPr>
              <w:t xml:space="preserve"> 641 </w:t>
            </w:r>
          </w:p>
        </w:tc>
        <w:tc>
          <w:tcPr>
            <w:tcW w:w="1309" w:type="dxa"/>
            <w:tcBorders>
              <w:top w:val="nil"/>
              <w:left w:val="nil"/>
              <w:bottom w:val="nil"/>
              <w:right w:val="nil"/>
            </w:tcBorders>
            <w:shd w:val="clear" w:color="auto" w:fill="auto"/>
            <w:noWrap/>
            <w:vAlign w:val="bottom"/>
          </w:tcPr>
          <w:p w14:paraId="77379961" w14:textId="5C03B0BD" w:rsidR="00E16456" w:rsidRPr="00BA3F2A" w:rsidRDefault="00E16456" w:rsidP="00E16456">
            <w:pPr>
              <w:spacing w:after="0" w:line="300" w:lineRule="exact"/>
              <w:jc w:val="right"/>
              <w:rPr>
                <w:rFonts w:eastAsia="Times New Roman" w:cs="Arial"/>
                <w:sz w:val="18"/>
                <w:szCs w:val="18"/>
              </w:rPr>
            </w:pPr>
            <w:r w:rsidRPr="00FE65B6">
              <w:rPr>
                <w:rFonts w:cs="Arial"/>
                <w:sz w:val="18"/>
                <w:szCs w:val="18"/>
              </w:rPr>
              <w:t xml:space="preserve"> 1</w:t>
            </w:r>
            <w:r>
              <w:rPr>
                <w:rFonts w:cs="Arial"/>
                <w:sz w:val="18"/>
                <w:szCs w:val="18"/>
              </w:rPr>
              <w:t>,</w:t>
            </w:r>
            <w:r w:rsidRPr="00FE65B6">
              <w:rPr>
                <w:rFonts w:cs="Arial"/>
                <w:sz w:val="18"/>
                <w:szCs w:val="18"/>
              </w:rPr>
              <w:t xml:space="preserve">173 </w:t>
            </w:r>
          </w:p>
        </w:tc>
        <w:tc>
          <w:tcPr>
            <w:tcW w:w="1384" w:type="dxa"/>
            <w:tcBorders>
              <w:top w:val="nil"/>
              <w:left w:val="nil"/>
              <w:bottom w:val="nil"/>
              <w:right w:val="nil"/>
            </w:tcBorders>
            <w:shd w:val="clear" w:color="auto" w:fill="auto"/>
            <w:noWrap/>
            <w:vAlign w:val="bottom"/>
          </w:tcPr>
          <w:p w14:paraId="2B042676" w14:textId="45A7F785" w:rsidR="00E16456" w:rsidRPr="00BA3F2A" w:rsidRDefault="00E16456" w:rsidP="00E16456">
            <w:pPr>
              <w:spacing w:after="0" w:line="300" w:lineRule="exact"/>
              <w:jc w:val="right"/>
              <w:rPr>
                <w:rFonts w:eastAsia="Times New Roman" w:cs="Arial"/>
                <w:sz w:val="18"/>
                <w:szCs w:val="18"/>
              </w:rPr>
            </w:pPr>
            <w:r w:rsidRPr="00FE65B6">
              <w:rPr>
                <w:rFonts w:cs="Arial"/>
                <w:sz w:val="18"/>
                <w:szCs w:val="18"/>
              </w:rPr>
              <w:t xml:space="preserve"> 10</w:t>
            </w:r>
            <w:r>
              <w:rPr>
                <w:rFonts w:cs="Arial"/>
                <w:sz w:val="18"/>
                <w:szCs w:val="18"/>
              </w:rPr>
              <w:t>,</w:t>
            </w:r>
            <w:r w:rsidRPr="00FE65B6">
              <w:rPr>
                <w:rFonts w:cs="Arial"/>
                <w:sz w:val="18"/>
                <w:szCs w:val="18"/>
              </w:rPr>
              <w:t>260</w:t>
            </w:r>
            <w:r>
              <w:rPr>
                <w:rFonts w:cs="Arial"/>
                <w:sz w:val="18"/>
                <w:szCs w:val="18"/>
              </w:rPr>
              <w:t>,</w:t>
            </w:r>
            <w:r w:rsidRPr="00FE65B6">
              <w:rPr>
                <w:rFonts w:cs="Arial"/>
                <w:sz w:val="18"/>
                <w:szCs w:val="18"/>
              </w:rPr>
              <w:t xml:space="preserve">814 </w:t>
            </w:r>
          </w:p>
        </w:tc>
      </w:tr>
      <w:tr w:rsidR="00E16456" w:rsidRPr="00693FCC" w14:paraId="7E8DA7B3" w14:textId="77777777" w:rsidTr="00BA3F2A">
        <w:trPr>
          <w:trHeight w:val="315"/>
        </w:trPr>
        <w:tc>
          <w:tcPr>
            <w:tcW w:w="3227" w:type="dxa"/>
            <w:shd w:val="clear" w:color="auto" w:fill="auto"/>
            <w:vAlign w:val="bottom"/>
          </w:tcPr>
          <w:p w14:paraId="294CE2A4" w14:textId="77777777" w:rsidR="00E16456" w:rsidRPr="00BA3F2A" w:rsidRDefault="00E16456" w:rsidP="00E16456">
            <w:pPr>
              <w:spacing w:after="0" w:line="240" w:lineRule="auto"/>
              <w:rPr>
                <w:rFonts w:eastAsia="Times New Roman" w:cs="Arial"/>
                <w:b/>
                <w:bCs/>
                <w:sz w:val="18"/>
                <w:szCs w:val="18"/>
              </w:rPr>
            </w:pPr>
            <w:r w:rsidRPr="00BA3F2A">
              <w:rPr>
                <w:rFonts w:eastAsia="Times New Roman" w:cs="Arial"/>
                <w:b/>
                <w:bCs/>
                <w:sz w:val="18"/>
                <w:szCs w:val="18"/>
              </w:rPr>
              <w:t>Total liabilities and total equity</w:t>
            </w:r>
          </w:p>
        </w:tc>
        <w:tc>
          <w:tcPr>
            <w:tcW w:w="1134" w:type="dxa"/>
            <w:tcBorders>
              <w:top w:val="single" w:sz="4" w:space="0" w:color="auto"/>
              <w:left w:val="nil"/>
              <w:bottom w:val="single" w:sz="8" w:space="0" w:color="auto"/>
              <w:right w:val="nil"/>
            </w:tcBorders>
            <w:shd w:val="clear" w:color="auto" w:fill="auto"/>
            <w:noWrap/>
            <w:vAlign w:val="bottom"/>
          </w:tcPr>
          <w:p w14:paraId="059F754A" w14:textId="5F00CC5B" w:rsidR="00E16456" w:rsidRPr="00BA3F2A" w:rsidRDefault="00E16456" w:rsidP="00E16456">
            <w:pPr>
              <w:spacing w:after="0" w:line="300" w:lineRule="exact"/>
              <w:jc w:val="right"/>
              <w:rPr>
                <w:rFonts w:eastAsia="Times New Roman" w:cs="Arial"/>
                <w:b/>
                <w:bCs/>
                <w:sz w:val="18"/>
                <w:szCs w:val="18"/>
              </w:rPr>
            </w:pPr>
            <w:r w:rsidRPr="00FE65B6">
              <w:rPr>
                <w:rFonts w:cs="Arial"/>
                <w:b/>
                <w:sz w:val="18"/>
                <w:szCs w:val="18"/>
              </w:rPr>
              <w:t xml:space="preserve"> 28</w:t>
            </w:r>
            <w:r>
              <w:rPr>
                <w:rFonts w:cs="Arial"/>
                <w:b/>
                <w:sz w:val="18"/>
                <w:szCs w:val="18"/>
              </w:rPr>
              <w:t>,</w:t>
            </w:r>
            <w:r w:rsidRPr="00FE65B6">
              <w:rPr>
                <w:rFonts w:cs="Arial"/>
                <w:b/>
                <w:sz w:val="18"/>
                <w:szCs w:val="18"/>
              </w:rPr>
              <w:t>281</w:t>
            </w:r>
            <w:r>
              <w:rPr>
                <w:rFonts w:cs="Arial"/>
                <w:b/>
                <w:sz w:val="18"/>
                <w:szCs w:val="18"/>
              </w:rPr>
              <w:t>,</w:t>
            </w:r>
            <w:r w:rsidRPr="00FE65B6">
              <w:rPr>
                <w:rFonts w:cs="Arial"/>
                <w:b/>
                <w:sz w:val="18"/>
                <w:szCs w:val="18"/>
              </w:rPr>
              <w:t xml:space="preserve">595 </w:t>
            </w:r>
          </w:p>
        </w:tc>
        <w:tc>
          <w:tcPr>
            <w:tcW w:w="1593" w:type="dxa"/>
            <w:tcBorders>
              <w:top w:val="single" w:sz="4" w:space="0" w:color="auto"/>
              <w:left w:val="nil"/>
              <w:bottom w:val="single" w:sz="8" w:space="0" w:color="auto"/>
              <w:right w:val="nil"/>
            </w:tcBorders>
            <w:shd w:val="clear" w:color="auto" w:fill="auto"/>
            <w:noWrap/>
            <w:vAlign w:val="bottom"/>
          </w:tcPr>
          <w:p w14:paraId="516344D7" w14:textId="67E2984E" w:rsidR="00E16456" w:rsidRPr="00BA3F2A" w:rsidRDefault="00E16456" w:rsidP="00E16456">
            <w:pPr>
              <w:spacing w:after="0" w:line="300" w:lineRule="exact"/>
              <w:jc w:val="right"/>
              <w:rPr>
                <w:rFonts w:eastAsia="Times New Roman" w:cs="Arial"/>
                <w:b/>
                <w:bCs/>
                <w:sz w:val="18"/>
                <w:szCs w:val="18"/>
              </w:rPr>
            </w:pPr>
            <w:r w:rsidRPr="00FE65B6">
              <w:rPr>
                <w:rFonts w:cs="Arial"/>
                <w:b/>
                <w:sz w:val="18"/>
                <w:szCs w:val="18"/>
              </w:rPr>
              <w:t xml:space="preserve"> 17</w:t>
            </w:r>
            <w:r>
              <w:rPr>
                <w:rFonts w:cs="Arial"/>
                <w:b/>
                <w:sz w:val="18"/>
                <w:szCs w:val="18"/>
              </w:rPr>
              <w:t>,</w:t>
            </w:r>
            <w:r w:rsidRPr="00FE65B6">
              <w:rPr>
                <w:rFonts w:cs="Arial"/>
                <w:b/>
                <w:sz w:val="18"/>
                <w:szCs w:val="18"/>
              </w:rPr>
              <w:t xml:space="preserve">279 </w:t>
            </w:r>
          </w:p>
        </w:tc>
        <w:tc>
          <w:tcPr>
            <w:tcW w:w="1242" w:type="dxa"/>
            <w:tcBorders>
              <w:top w:val="single" w:sz="4" w:space="0" w:color="auto"/>
              <w:left w:val="nil"/>
              <w:bottom w:val="single" w:sz="8" w:space="0" w:color="auto"/>
              <w:right w:val="nil"/>
            </w:tcBorders>
            <w:shd w:val="clear" w:color="auto" w:fill="auto"/>
            <w:noWrap/>
            <w:vAlign w:val="bottom"/>
          </w:tcPr>
          <w:p w14:paraId="6854C558" w14:textId="7AF9DCC5" w:rsidR="00E16456" w:rsidRPr="00BA3F2A" w:rsidRDefault="00E16456" w:rsidP="00E16456">
            <w:pPr>
              <w:spacing w:after="0" w:line="300" w:lineRule="exact"/>
              <w:jc w:val="right"/>
              <w:rPr>
                <w:rFonts w:eastAsia="Times New Roman" w:cs="Arial"/>
                <w:b/>
                <w:bCs/>
                <w:sz w:val="18"/>
                <w:szCs w:val="18"/>
              </w:rPr>
            </w:pPr>
            <w:r w:rsidRPr="00FE65B6">
              <w:rPr>
                <w:rFonts w:cs="Arial"/>
                <w:b/>
                <w:sz w:val="18"/>
                <w:szCs w:val="18"/>
              </w:rPr>
              <w:t xml:space="preserve"> 706 </w:t>
            </w:r>
          </w:p>
        </w:tc>
        <w:tc>
          <w:tcPr>
            <w:tcW w:w="1309" w:type="dxa"/>
            <w:tcBorders>
              <w:top w:val="single" w:sz="4" w:space="0" w:color="auto"/>
              <w:left w:val="nil"/>
              <w:bottom w:val="single" w:sz="8" w:space="0" w:color="auto"/>
              <w:right w:val="nil"/>
            </w:tcBorders>
            <w:shd w:val="clear" w:color="auto" w:fill="auto"/>
            <w:noWrap/>
            <w:vAlign w:val="bottom"/>
          </w:tcPr>
          <w:p w14:paraId="1723A7A0" w14:textId="16AE4656" w:rsidR="00E16456" w:rsidRPr="00BA3F2A" w:rsidRDefault="00E16456" w:rsidP="00E16456">
            <w:pPr>
              <w:spacing w:after="0" w:line="300" w:lineRule="exact"/>
              <w:jc w:val="right"/>
              <w:rPr>
                <w:rFonts w:eastAsia="Times New Roman" w:cs="Arial"/>
                <w:b/>
                <w:bCs/>
                <w:sz w:val="18"/>
                <w:szCs w:val="18"/>
              </w:rPr>
            </w:pPr>
            <w:r w:rsidRPr="00FE65B6">
              <w:rPr>
                <w:rFonts w:cs="Arial"/>
                <w:b/>
                <w:sz w:val="18"/>
                <w:szCs w:val="18"/>
              </w:rPr>
              <w:t xml:space="preserve"> 1</w:t>
            </w:r>
            <w:r>
              <w:rPr>
                <w:rFonts w:cs="Arial"/>
                <w:b/>
                <w:sz w:val="18"/>
                <w:szCs w:val="18"/>
              </w:rPr>
              <w:t>,</w:t>
            </w:r>
            <w:r w:rsidRPr="00FE65B6">
              <w:rPr>
                <w:rFonts w:cs="Arial"/>
                <w:b/>
                <w:sz w:val="18"/>
                <w:szCs w:val="18"/>
              </w:rPr>
              <w:t xml:space="preserve">144 </w:t>
            </w:r>
          </w:p>
        </w:tc>
        <w:tc>
          <w:tcPr>
            <w:tcW w:w="1384" w:type="dxa"/>
            <w:tcBorders>
              <w:top w:val="single" w:sz="4" w:space="0" w:color="auto"/>
              <w:left w:val="nil"/>
              <w:bottom w:val="single" w:sz="8" w:space="0" w:color="auto"/>
              <w:right w:val="nil"/>
            </w:tcBorders>
            <w:shd w:val="clear" w:color="auto" w:fill="auto"/>
            <w:noWrap/>
            <w:vAlign w:val="bottom"/>
          </w:tcPr>
          <w:p w14:paraId="4DE252C1" w14:textId="398324FB" w:rsidR="00E16456" w:rsidRPr="00BA3F2A" w:rsidRDefault="00E16456" w:rsidP="00E16456">
            <w:pPr>
              <w:spacing w:after="0" w:line="300" w:lineRule="exact"/>
              <w:jc w:val="right"/>
              <w:rPr>
                <w:rFonts w:eastAsia="Times New Roman" w:cs="Arial"/>
                <w:b/>
                <w:bCs/>
                <w:sz w:val="18"/>
                <w:szCs w:val="18"/>
              </w:rPr>
            </w:pPr>
            <w:r w:rsidRPr="00FE65B6">
              <w:rPr>
                <w:rFonts w:cs="Arial"/>
                <w:b/>
                <w:sz w:val="18"/>
                <w:szCs w:val="18"/>
              </w:rPr>
              <w:t xml:space="preserve"> 28</w:t>
            </w:r>
            <w:r>
              <w:rPr>
                <w:rFonts w:cs="Arial"/>
                <w:b/>
                <w:sz w:val="18"/>
                <w:szCs w:val="18"/>
              </w:rPr>
              <w:t>,</w:t>
            </w:r>
            <w:r w:rsidRPr="00FE65B6">
              <w:rPr>
                <w:rFonts w:cs="Arial"/>
                <w:b/>
                <w:sz w:val="18"/>
                <w:szCs w:val="18"/>
              </w:rPr>
              <w:t>300</w:t>
            </w:r>
            <w:r>
              <w:rPr>
                <w:rFonts w:cs="Arial"/>
                <w:b/>
                <w:sz w:val="18"/>
                <w:szCs w:val="18"/>
              </w:rPr>
              <w:t>,</w:t>
            </w:r>
            <w:r w:rsidRPr="00FE65B6">
              <w:rPr>
                <w:rFonts w:cs="Arial"/>
                <w:b/>
                <w:sz w:val="18"/>
                <w:szCs w:val="18"/>
              </w:rPr>
              <w:t xml:space="preserve">724 </w:t>
            </w:r>
          </w:p>
        </w:tc>
      </w:tr>
    </w:tbl>
    <w:p w14:paraId="1B678C52" w14:textId="77777777" w:rsidR="009702B0" w:rsidRPr="009702B0" w:rsidRDefault="009702B0" w:rsidP="009702B0">
      <w:pPr>
        <w:spacing w:after="0" w:line="240" w:lineRule="auto"/>
        <w:jc w:val="both"/>
        <w:rPr>
          <w:rFonts w:eastAsia="Times New Roman" w:cs="Arial"/>
          <w:sz w:val="24"/>
          <w:szCs w:val="24"/>
        </w:rPr>
      </w:pPr>
    </w:p>
    <w:p w14:paraId="6E7ED6DD" w14:textId="77777777" w:rsidR="009702B0" w:rsidRPr="009702B0" w:rsidRDefault="009702B0" w:rsidP="009702B0">
      <w:pPr>
        <w:spacing w:after="0" w:line="240" w:lineRule="auto"/>
        <w:jc w:val="both"/>
        <w:rPr>
          <w:rFonts w:eastAsia="Times New Roman" w:cs="Arial"/>
        </w:rPr>
      </w:pPr>
      <w:r w:rsidRPr="009702B0">
        <w:rPr>
          <w:rFonts w:eastAsia="Times New Roman" w:cs="Arial"/>
        </w:rPr>
        <w:t>Intra-group transactions are presented under “Unallocated”.</w:t>
      </w:r>
    </w:p>
    <w:p w14:paraId="1305DB84" w14:textId="77777777" w:rsidR="009702B0" w:rsidRPr="009702B0" w:rsidRDefault="009702B0" w:rsidP="009702B0">
      <w:pPr>
        <w:spacing w:after="0" w:line="240" w:lineRule="auto"/>
        <w:jc w:val="both"/>
        <w:rPr>
          <w:rFonts w:eastAsia="Times New Roman" w:cs="Arial"/>
        </w:rPr>
      </w:pPr>
    </w:p>
    <w:p w14:paraId="62C31AE9" w14:textId="77777777" w:rsidR="009702B0" w:rsidRPr="009702B0" w:rsidRDefault="009702B0" w:rsidP="009702B0">
      <w:pPr>
        <w:spacing w:after="0" w:line="240" w:lineRule="auto"/>
        <w:jc w:val="both"/>
        <w:rPr>
          <w:rFonts w:eastAsia="Times New Roman" w:cs="Arial"/>
        </w:rPr>
      </w:pPr>
      <w:r w:rsidRPr="009702B0">
        <w:rPr>
          <w:rFonts w:eastAsia="Times New Roman" w:cs="Arial"/>
        </w:rPr>
        <w:t>For the purposes of this Note, Net income</w:t>
      </w:r>
      <w:proofErr w:type="gramStart"/>
      <w:r w:rsidRPr="009702B0">
        <w:rPr>
          <w:rFonts w:eastAsia="Times New Roman" w:cs="Arial"/>
        </w:rPr>
        <w:t>/(</w:t>
      </w:r>
      <w:proofErr w:type="gramEnd"/>
      <w:r w:rsidRPr="009702B0">
        <w:rPr>
          <w:rFonts w:eastAsia="Times New Roman" w:cs="Arial"/>
        </w:rPr>
        <w:t>expense) from financial activities is reported as an income item, regardless the actual reali</w:t>
      </w:r>
      <w:r w:rsidR="00D757F0">
        <w:rPr>
          <w:rFonts w:eastAsia="Times New Roman" w:cs="Arial"/>
        </w:rPr>
        <w:t>s</w:t>
      </w:r>
      <w:r w:rsidRPr="009702B0">
        <w:rPr>
          <w:rFonts w:eastAsia="Times New Roman" w:cs="Arial"/>
        </w:rPr>
        <w:t>ation, to enable comparison of the amounts stated in the Statement of profit or loss and other comprehensive income.</w:t>
      </w:r>
    </w:p>
    <w:p w14:paraId="71EC532E" w14:textId="77777777" w:rsidR="009702B0" w:rsidRPr="009702B0" w:rsidRDefault="009702B0" w:rsidP="009702B0">
      <w:pPr>
        <w:spacing w:after="0" w:line="240" w:lineRule="auto"/>
        <w:jc w:val="both"/>
        <w:rPr>
          <w:rFonts w:eastAsia="Times New Roman" w:cs="Calibri"/>
          <w:sz w:val="24"/>
          <w:szCs w:val="24"/>
          <w:lang w:eastAsia="hr-HR"/>
        </w:rPr>
      </w:pPr>
    </w:p>
    <w:p w14:paraId="123FF331" w14:textId="77777777" w:rsidR="009702B0" w:rsidRPr="009702B0" w:rsidRDefault="009702B0" w:rsidP="009702B0">
      <w:pPr>
        <w:spacing w:after="0" w:line="240" w:lineRule="auto"/>
        <w:jc w:val="both"/>
        <w:rPr>
          <w:rFonts w:eastAsia="Times New Roman" w:cs="Calibri"/>
          <w:lang w:eastAsia="hr-HR"/>
        </w:rPr>
        <w:sectPr w:rsidR="009702B0" w:rsidRPr="009702B0" w:rsidSect="00947CB7">
          <w:footerReference w:type="first" r:id="rId127"/>
          <w:pgSz w:w="11906" w:h="16838" w:code="9"/>
          <w:pgMar w:top="1418" w:right="1418" w:bottom="595" w:left="1134" w:header="709" w:footer="709" w:gutter="0"/>
          <w:cols w:space="708"/>
          <w:titlePg/>
          <w:docGrid w:linePitch="360"/>
        </w:sectPr>
      </w:pPr>
      <w:r w:rsidRPr="009702B0">
        <w:rPr>
          <w:rFonts w:eastAsia="Times New Roman" w:cs="Calibri"/>
          <w:lang w:eastAsia="hr-HR"/>
        </w:rPr>
        <w:t>The Group decided to apply a simple approach of stating operating segments by taking into consideration the main business model of each member of the Group as previously described in this Note.</w:t>
      </w:r>
    </w:p>
    <w:p w14:paraId="3A614C6F" w14:textId="77777777" w:rsidR="009702B0" w:rsidRPr="009702B0" w:rsidRDefault="009702B0" w:rsidP="009702B0">
      <w:pPr>
        <w:spacing w:after="0" w:line="240" w:lineRule="auto"/>
        <w:jc w:val="both"/>
        <w:rPr>
          <w:rFonts w:eastAsia="Times New Roman" w:cs="Calibri"/>
          <w:sz w:val="24"/>
          <w:szCs w:val="24"/>
          <w:lang w:eastAsia="hr-HR"/>
        </w:rPr>
      </w:pPr>
    </w:p>
    <w:p w14:paraId="41BE098D" w14:textId="77777777" w:rsidR="009702B0" w:rsidRPr="009702B0" w:rsidRDefault="009702B0" w:rsidP="009702B0">
      <w:pPr>
        <w:spacing w:after="0" w:line="240" w:lineRule="auto"/>
        <w:jc w:val="both"/>
        <w:rPr>
          <w:rFonts w:eastAsia="Times New Roman" w:cs="Arial"/>
          <w:b/>
        </w:rPr>
      </w:pPr>
      <w:r w:rsidRPr="009702B0">
        <w:rPr>
          <w:rFonts w:eastAsia="Times New Roman" w:cs="Arial"/>
          <w:b/>
          <w:spacing w:val="-3"/>
        </w:rPr>
        <w:t xml:space="preserve">18. </w:t>
      </w:r>
      <w:r w:rsidRPr="009702B0">
        <w:rPr>
          <w:rFonts w:eastAsia="Times New Roman" w:cs="Arial"/>
          <w:b/>
          <w:spacing w:val="-3"/>
        </w:rPr>
        <w:tab/>
      </w:r>
      <w:r w:rsidRPr="009702B0">
        <w:rPr>
          <w:rFonts w:eastAsia="Times New Roman" w:cs="Arial"/>
          <w:b/>
        </w:rPr>
        <w:t>Reporting by segments (continued)</w:t>
      </w:r>
    </w:p>
    <w:p w14:paraId="32814E26" w14:textId="77777777" w:rsidR="009702B0" w:rsidRPr="009702B0" w:rsidRDefault="009702B0" w:rsidP="009702B0">
      <w:pPr>
        <w:spacing w:after="0" w:line="240" w:lineRule="auto"/>
        <w:jc w:val="both"/>
        <w:rPr>
          <w:rFonts w:eastAsia="Times New Roman" w:cs="Arial"/>
          <w:sz w:val="24"/>
          <w:szCs w:val="24"/>
        </w:rPr>
      </w:pPr>
    </w:p>
    <w:tbl>
      <w:tblPr>
        <w:tblpPr w:leftFromText="181" w:rightFromText="181" w:vertAnchor="text" w:horzAnchor="margin" w:tblpXSpec="center" w:tblpY="1"/>
        <w:tblW w:w="9889" w:type="dxa"/>
        <w:tblLayout w:type="fixed"/>
        <w:tblLook w:val="04A0" w:firstRow="1" w:lastRow="0" w:firstColumn="1" w:lastColumn="0" w:noHBand="0" w:noVBand="1"/>
      </w:tblPr>
      <w:tblGrid>
        <w:gridCol w:w="3085"/>
        <w:gridCol w:w="1276"/>
        <w:gridCol w:w="1701"/>
        <w:gridCol w:w="1134"/>
        <w:gridCol w:w="1559"/>
        <w:gridCol w:w="1134"/>
      </w:tblGrid>
      <w:tr w:rsidR="009702B0" w:rsidRPr="00E0503B" w14:paraId="00E7A58A" w14:textId="77777777" w:rsidTr="009702B0">
        <w:trPr>
          <w:trHeight w:val="140"/>
        </w:trPr>
        <w:tc>
          <w:tcPr>
            <w:tcW w:w="3085" w:type="dxa"/>
            <w:shd w:val="clear" w:color="auto" w:fill="auto"/>
            <w:vAlign w:val="bottom"/>
          </w:tcPr>
          <w:p w14:paraId="259FDF2C" w14:textId="77777777" w:rsidR="009702B0" w:rsidRPr="00166751" w:rsidRDefault="009702B0" w:rsidP="009702B0">
            <w:pPr>
              <w:spacing w:after="0" w:line="240" w:lineRule="auto"/>
              <w:rPr>
                <w:rFonts w:eastAsia="Times New Roman" w:cs="Arial"/>
                <w:b/>
                <w:bCs/>
                <w:sz w:val="18"/>
                <w:szCs w:val="18"/>
              </w:rPr>
            </w:pPr>
          </w:p>
        </w:tc>
        <w:tc>
          <w:tcPr>
            <w:tcW w:w="1276" w:type="dxa"/>
            <w:shd w:val="clear" w:color="auto" w:fill="auto"/>
            <w:noWrap/>
            <w:vAlign w:val="bottom"/>
          </w:tcPr>
          <w:p w14:paraId="01416CE3" w14:textId="77777777" w:rsidR="009702B0" w:rsidRPr="00166751" w:rsidRDefault="009702B0" w:rsidP="009702B0">
            <w:pPr>
              <w:spacing w:after="0" w:line="240" w:lineRule="auto"/>
              <w:jc w:val="right"/>
              <w:rPr>
                <w:rFonts w:eastAsia="Times New Roman" w:cs="Arial"/>
                <w:b/>
                <w:sz w:val="18"/>
                <w:szCs w:val="18"/>
              </w:rPr>
            </w:pPr>
          </w:p>
        </w:tc>
        <w:tc>
          <w:tcPr>
            <w:tcW w:w="1701" w:type="dxa"/>
            <w:shd w:val="clear" w:color="auto" w:fill="auto"/>
            <w:noWrap/>
            <w:vAlign w:val="bottom"/>
          </w:tcPr>
          <w:p w14:paraId="45FAE208" w14:textId="77777777" w:rsidR="009702B0" w:rsidRPr="00166751" w:rsidRDefault="009702B0" w:rsidP="009702B0">
            <w:pPr>
              <w:spacing w:after="0" w:line="240" w:lineRule="auto"/>
              <w:jc w:val="right"/>
              <w:rPr>
                <w:rFonts w:eastAsia="Times New Roman" w:cs="Arial"/>
                <w:b/>
                <w:sz w:val="18"/>
                <w:szCs w:val="18"/>
              </w:rPr>
            </w:pPr>
          </w:p>
        </w:tc>
        <w:tc>
          <w:tcPr>
            <w:tcW w:w="1134" w:type="dxa"/>
            <w:shd w:val="clear" w:color="auto" w:fill="auto"/>
            <w:noWrap/>
            <w:vAlign w:val="bottom"/>
          </w:tcPr>
          <w:p w14:paraId="44BE3522" w14:textId="77777777" w:rsidR="009702B0" w:rsidRPr="00166751" w:rsidRDefault="009702B0" w:rsidP="009702B0">
            <w:pPr>
              <w:spacing w:after="0" w:line="240" w:lineRule="auto"/>
              <w:jc w:val="right"/>
              <w:rPr>
                <w:rFonts w:eastAsia="Times New Roman" w:cs="Arial"/>
                <w:b/>
                <w:sz w:val="18"/>
                <w:szCs w:val="18"/>
              </w:rPr>
            </w:pPr>
          </w:p>
        </w:tc>
        <w:tc>
          <w:tcPr>
            <w:tcW w:w="1559" w:type="dxa"/>
            <w:shd w:val="clear" w:color="auto" w:fill="auto"/>
            <w:noWrap/>
            <w:vAlign w:val="bottom"/>
          </w:tcPr>
          <w:p w14:paraId="500931B1" w14:textId="77777777" w:rsidR="009702B0" w:rsidRPr="00166751" w:rsidRDefault="009702B0" w:rsidP="009702B0">
            <w:pPr>
              <w:spacing w:after="0" w:line="240" w:lineRule="auto"/>
              <w:jc w:val="right"/>
              <w:rPr>
                <w:rFonts w:eastAsia="Times New Roman" w:cs="Arial"/>
                <w:b/>
                <w:sz w:val="18"/>
                <w:szCs w:val="18"/>
              </w:rPr>
            </w:pPr>
          </w:p>
        </w:tc>
        <w:tc>
          <w:tcPr>
            <w:tcW w:w="1134" w:type="dxa"/>
            <w:shd w:val="clear" w:color="auto" w:fill="auto"/>
            <w:noWrap/>
            <w:vAlign w:val="bottom"/>
          </w:tcPr>
          <w:p w14:paraId="0BC43310" w14:textId="77777777" w:rsidR="009702B0" w:rsidRPr="00166751" w:rsidRDefault="009702B0" w:rsidP="009702B0">
            <w:pPr>
              <w:spacing w:after="0" w:line="240" w:lineRule="auto"/>
              <w:jc w:val="right"/>
              <w:rPr>
                <w:rFonts w:eastAsia="Times New Roman" w:cs="Arial"/>
                <w:b/>
                <w:sz w:val="18"/>
                <w:szCs w:val="18"/>
              </w:rPr>
            </w:pPr>
          </w:p>
        </w:tc>
      </w:tr>
      <w:tr w:rsidR="009702B0" w:rsidRPr="00E0503B" w14:paraId="62D4096B" w14:textId="77777777" w:rsidTr="009702B0">
        <w:trPr>
          <w:trHeight w:val="600"/>
        </w:trPr>
        <w:tc>
          <w:tcPr>
            <w:tcW w:w="3085" w:type="dxa"/>
            <w:shd w:val="clear" w:color="auto" w:fill="auto"/>
            <w:vAlign w:val="center"/>
          </w:tcPr>
          <w:p w14:paraId="51C63F80" w14:textId="772E803B" w:rsidR="006B0E06" w:rsidRPr="00166751" w:rsidRDefault="00B605DE" w:rsidP="009702B0">
            <w:pPr>
              <w:spacing w:after="0" w:line="240" w:lineRule="auto"/>
              <w:rPr>
                <w:rFonts w:eastAsia="Times New Roman" w:cs="Arial"/>
                <w:b/>
                <w:bCs/>
                <w:sz w:val="18"/>
                <w:szCs w:val="18"/>
              </w:rPr>
            </w:pPr>
            <w:r>
              <w:rPr>
                <w:rFonts w:eastAsia="Times New Roman" w:cs="Arial"/>
                <w:b/>
                <w:bCs/>
                <w:sz w:val="18"/>
                <w:szCs w:val="18"/>
              </w:rPr>
              <w:t xml:space="preserve">Sep </w:t>
            </w:r>
            <w:r w:rsidR="000D07E4">
              <w:rPr>
                <w:rFonts w:eastAsia="Times New Roman" w:cs="Arial"/>
                <w:b/>
                <w:bCs/>
                <w:sz w:val="18"/>
                <w:szCs w:val="18"/>
              </w:rPr>
              <w:t>30</w:t>
            </w:r>
            <w:r w:rsidR="006B0E06" w:rsidRPr="00166751">
              <w:rPr>
                <w:rFonts w:eastAsia="Times New Roman" w:cs="Arial"/>
                <w:b/>
                <w:bCs/>
                <w:sz w:val="18"/>
                <w:szCs w:val="18"/>
              </w:rPr>
              <w:t>, 2016</w:t>
            </w:r>
          </w:p>
        </w:tc>
        <w:tc>
          <w:tcPr>
            <w:tcW w:w="1276" w:type="dxa"/>
            <w:shd w:val="clear" w:color="auto" w:fill="auto"/>
            <w:vAlign w:val="center"/>
          </w:tcPr>
          <w:p w14:paraId="3D7EFD53" w14:textId="77777777" w:rsidR="009702B0" w:rsidRPr="00166751" w:rsidRDefault="009702B0" w:rsidP="009702B0">
            <w:pPr>
              <w:spacing w:after="0" w:line="240" w:lineRule="auto"/>
              <w:jc w:val="right"/>
              <w:rPr>
                <w:rFonts w:eastAsia="Times New Roman" w:cs="Arial"/>
                <w:b/>
                <w:bCs/>
                <w:sz w:val="18"/>
                <w:szCs w:val="18"/>
              </w:rPr>
            </w:pPr>
            <w:r w:rsidRPr="00166751">
              <w:rPr>
                <w:rFonts w:eastAsia="Times New Roman" w:cs="Arial"/>
                <w:b/>
                <w:bCs/>
                <w:sz w:val="18"/>
                <w:szCs w:val="18"/>
              </w:rPr>
              <w:t xml:space="preserve">Banking activities </w:t>
            </w:r>
          </w:p>
        </w:tc>
        <w:tc>
          <w:tcPr>
            <w:tcW w:w="1701" w:type="dxa"/>
            <w:shd w:val="clear" w:color="auto" w:fill="auto"/>
            <w:vAlign w:val="center"/>
          </w:tcPr>
          <w:p w14:paraId="4BC926B4" w14:textId="77777777" w:rsidR="009702B0" w:rsidRPr="00166751" w:rsidRDefault="009702B0" w:rsidP="009702B0">
            <w:pPr>
              <w:spacing w:after="0" w:line="240" w:lineRule="auto"/>
              <w:jc w:val="right"/>
              <w:rPr>
                <w:rFonts w:eastAsia="Times New Roman" w:cs="Arial"/>
                <w:b/>
                <w:bCs/>
                <w:sz w:val="18"/>
                <w:szCs w:val="18"/>
              </w:rPr>
            </w:pPr>
            <w:r w:rsidRPr="00166751">
              <w:rPr>
                <w:rFonts w:eastAsia="Times New Roman" w:cs="Arial"/>
                <w:b/>
                <w:bCs/>
                <w:sz w:val="18"/>
                <w:szCs w:val="18"/>
              </w:rPr>
              <w:t xml:space="preserve">Insurance activities </w:t>
            </w:r>
          </w:p>
        </w:tc>
        <w:tc>
          <w:tcPr>
            <w:tcW w:w="1134" w:type="dxa"/>
            <w:shd w:val="clear" w:color="auto" w:fill="auto"/>
            <w:vAlign w:val="center"/>
          </w:tcPr>
          <w:p w14:paraId="7EDEA127" w14:textId="77777777" w:rsidR="009702B0" w:rsidRPr="00166751" w:rsidRDefault="009702B0" w:rsidP="009702B0">
            <w:pPr>
              <w:spacing w:after="0" w:line="240" w:lineRule="auto"/>
              <w:jc w:val="right"/>
              <w:rPr>
                <w:rFonts w:eastAsia="Times New Roman" w:cs="Arial"/>
                <w:b/>
                <w:bCs/>
                <w:sz w:val="18"/>
                <w:szCs w:val="18"/>
              </w:rPr>
            </w:pPr>
            <w:r w:rsidRPr="00166751">
              <w:rPr>
                <w:rFonts w:eastAsia="Times New Roman" w:cs="Arial"/>
                <w:b/>
                <w:bCs/>
                <w:sz w:val="18"/>
                <w:szCs w:val="18"/>
              </w:rPr>
              <w:t xml:space="preserve">Other activities </w:t>
            </w:r>
          </w:p>
        </w:tc>
        <w:tc>
          <w:tcPr>
            <w:tcW w:w="1559" w:type="dxa"/>
            <w:shd w:val="clear" w:color="auto" w:fill="auto"/>
            <w:vAlign w:val="center"/>
          </w:tcPr>
          <w:p w14:paraId="3DD9463C" w14:textId="77777777" w:rsidR="009702B0" w:rsidRPr="00166751" w:rsidRDefault="009702B0" w:rsidP="009702B0">
            <w:pPr>
              <w:spacing w:after="0" w:line="240" w:lineRule="auto"/>
              <w:jc w:val="right"/>
              <w:rPr>
                <w:rFonts w:eastAsia="Times New Roman" w:cs="Arial"/>
                <w:b/>
                <w:bCs/>
                <w:sz w:val="18"/>
                <w:szCs w:val="18"/>
              </w:rPr>
            </w:pPr>
            <w:r w:rsidRPr="00166751">
              <w:rPr>
                <w:rFonts w:eastAsia="Times New Roman" w:cs="Arial"/>
                <w:b/>
                <w:bCs/>
                <w:sz w:val="18"/>
                <w:szCs w:val="18"/>
              </w:rPr>
              <w:t xml:space="preserve">Unallocated </w:t>
            </w:r>
          </w:p>
        </w:tc>
        <w:tc>
          <w:tcPr>
            <w:tcW w:w="1134" w:type="dxa"/>
            <w:shd w:val="clear" w:color="auto" w:fill="auto"/>
            <w:vAlign w:val="center"/>
          </w:tcPr>
          <w:p w14:paraId="53684962" w14:textId="77777777" w:rsidR="009702B0" w:rsidRPr="00166751" w:rsidRDefault="009702B0" w:rsidP="009702B0">
            <w:pPr>
              <w:spacing w:after="0" w:line="240" w:lineRule="auto"/>
              <w:jc w:val="right"/>
              <w:rPr>
                <w:rFonts w:eastAsia="Times New Roman" w:cs="Arial"/>
                <w:b/>
                <w:bCs/>
                <w:sz w:val="18"/>
                <w:szCs w:val="18"/>
              </w:rPr>
            </w:pPr>
            <w:r w:rsidRPr="00166751">
              <w:rPr>
                <w:rFonts w:eastAsia="Times New Roman" w:cs="Arial"/>
                <w:b/>
                <w:bCs/>
                <w:sz w:val="18"/>
                <w:szCs w:val="18"/>
              </w:rPr>
              <w:t xml:space="preserve">Total </w:t>
            </w:r>
          </w:p>
        </w:tc>
      </w:tr>
      <w:tr w:rsidR="009702B0" w:rsidRPr="00E0503B" w14:paraId="1F71A892" w14:textId="77777777" w:rsidTr="009702B0">
        <w:trPr>
          <w:trHeight w:val="59"/>
        </w:trPr>
        <w:tc>
          <w:tcPr>
            <w:tcW w:w="3085" w:type="dxa"/>
            <w:shd w:val="clear" w:color="auto" w:fill="auto"/>
            <w:vAlign w:val="bottom"/>
          </w:tcPr>
          <w:p w14:paraId="7B7A3F62" w14:textId="77777777" w:rsidR="009702B0" w:rsidRPr="00166751" w:rsidRDefault="009702B0" w:rsidP="009702B0">
            <w:pPr>
              <w:spacing w:after="0" w:line="240" w:lineRule="auto"/>
              <w:rPr>
                <w:rFonts w:eastAsia="Times New Roman" w:cs="Arial"/>
                <w:sz w:val="18"/>
                <w:szCs w:val="18"/>
              </w:rPr>
            </w:pPr>
          </w:p>
        </w:tc>
        <w:tc>
          <w:tcPr>
            <w:tcW w:w="1276" w:type="dxa"/>
            <w:shd w:val="clear" w:color="auto" w:fill="auto"/>
            <w:noWrap/>
            <w:vAlign w:val="bottom"/>
          </w:tcPr>
          <w:p w14:paraId="1BDE99ED" w14:textId="77777777" w:rsidR="009702B0" w:rsidRPr="00166751" w:rsidRDefault="009702B0" w:rsidP="009702B0">
            <w:pPr>
              <w:spacing w:after="0" w:line="240" w:lineRule="auto"/>
              <w:jc w:val="right"/>
              <w:rPr>
                <w:rFonts w:eastAsia="Times New Roman" w:cs="Arial"/>
                <w:sz w:val="18"/>
                <w:szCs w:val="18"/>
              </w:rPr>
            </w:pPr>
          </w:p>
        </w:tc>
        <w:tc>
          <w:tcPr>
            <w:tcW w:w="1701" w:type="dxa"/>
            <w:shd w:val="clear" w:color="auto" w:fill="auto"/>
            <w:noWrap/>
            <w:vAlign w:val="bottom"/>
          </w:tcPr>
          <w:p w14:paraId="45C3CE5F" w14:textId="77777777" w:rsidR="009702B0" w:rsidRPr="00166751" w:rsidRDefault="009702B0" w:rsidP="009702B0">
            <w:pPr>
              <w:spacing w:after="0" w:line="240" w:lineRule="auto"/>
              <w:jc w:val="right"/>
              <w:rPr>
                <w:rFonts w:eastAsia="Times New Roman" w:cs="Arial"/>
                <w:sz w:val="18"/>
                <w:szCs w:val="18"/>
              </w:rPr>
            </w:pPr>
          </w:p>
        </w:tc>
        <w:tc>
          <w:tcPr>
            <w:tcW w:w="1134" w:type="dxa"/>
            <w:shd w:val="clear" w:color="auto" w:fill="auto"/>
            <w:noWrap/>
            <w:vAlign w:val="bottom"/>
          </w:tcPr>
          <w:p w14:paraId="03D0F1F9" w14:textId="77777777" w:rsidR="009702B0" w:rsidRPr="00166751" w:rsidRDefault="009702B0" w:rsidP="009702B0">
            <w:pPr>
              <w:spacing w:after="0" w:line="240" w:lineRule="auto"/>
              <w:jc w:val="right"/>
              <w:rPr>
                <w:rFonts w:eastAsia="Times New Roman" w:cs="Arial"/>
                <w:sz w:val="18"/>
                <w:szCs w:val="18"/>
              </w:rPr>
            </w:pPr>
          </w:p>
        </w:tc>
        <w:tc>
          <w:tcPr>
            <w:tcW w:w="1559" w:type="dxa"/>
            <w:shd w:val="clear" w:color="auto" w:fill="auto"/>
            <w:noWrap/>
            <w:vAlign w:val="bottom"/>
          </w:tcPr>
          <w:p w14:paraId="01DFA0AC" w14:textId="77777777" w:rsidR="009702B0" w:rsidRPr="00166751" w:rsidRDefault="009702B0" w:rsidP="009702B0">
            <w:pPr>
              <w:spacing w:after="0" w:line="240" w:lineRule="auto"/>
              <w:jc w:val="right"/>
              <w:rPr>
                <w:rFonts w:eastAsia="Times New Roman" w:cs="Arial"/>
                <w:sz w:val="18"/>
                <w:szCs w:val="18"/>
              </w:rPr>
            </w:pPr>
          </w:p>
        </w:tc>
        <w:tc>
          <w:tcPr>
            <w:tcW w:w="1134" w:type="dxa"/>
            <w:shd w:val="clear" w:color="auto" w:fill="auto"/>
            <w:noWrap/>
            <w:vAlign w:val="bottom"/>
          </w:tcPr>
          <w:p w14:paraId="7B239756" w14:textId="77777777" w:rsidR="009702B0" w:rsidRPr="00166751" w:rsidRDefault="009702B0" w:rsidP="009702B0">
            <w:pPr>
              <w:spacing w:after="0" w:line="240" w:lineRule="auto"/>
              <w:jc w:val="right"/>
              <w:rPr>
                <w:rFonts w:eastAsia="Times New Roman" w:cs="Arial"/>
                <w:sz w:val="18"/>
                <w:szCs w:val="18"/>
              </w:rPr>
            </w:pPr>
          </w:p>
        </w:tc>
      </w:tr>
      <w:tr w:rsidR="00E87987" w:rsidRPr="00E0503B" w14:paraId="7F0B2CA0" w14:textId="77777777" w:rsidTr="009702B0">
        <w:trPr>
          <w:trHeight w:val="300"/>
        </w:trPr>
        <w:tc>
          <w:tcPr>
            <w:tcW w:w="3085" w:type="dxa"/>
            <w:shd w:val="clear" w:color="auto" w:fill="auto"/>
            <w:vAlign w:val="bottom"/>
          </w:tcPr>
          <w:p w14:paraId="665CA9DA" w14:textId="77777777" w:rsidR="00E87987" w:rsidRPr="00166751" w:rsidRDefault="00E87987" w:rsidP="00E87987">
            <w:pPr>
              <w:spacing w:after="0" w:line="240" w:lineRule="auto"/>
              <w:rPr>
                <w:rFonts w:eastAsia="Times New Roman" w:cs="Arial"/>
                <w:sz w:val="18"/>
                <w:szCs w:val="18"/>
              </w:rPr>
            </w:pPr>
            <w:r w:rsidRPr="00166751">
              <w:rPr>
                <w:rFonts w:eastAsia="Times New Roman" w:cs="Arial"/>
                <w:sz w:val="18"/>
                <w:szCs w:val="18"/>
              </w:rPr>
              <w:t xml:space="preserve">Net interest income </w:t>
            </w:r>
          </w:p>
        </w:tc>
        <w:tc>
          <w:tcPr>
            <w:tcW w:w="1276" w:type="dxa"/>
            <w:tcBorders>
              <w:top w:val="nil"/>
              <w:left w:val="nil"/>
              <w:bottom w:val="nil"/>
              <w:right w:val="nil"/>
            </w:tcBorders>
            <w:shd w:val="clear" w:color="auto" w:fill="auto"/>
            <w:noWrap/>
            <w:vAlign w:val="bottom"/>
          </w:tcPr>
          <w:p w14:paraId="0BECEE9C" w14:textId="4DFA4979" w:rsidR="00E87987" w:rsidRPr="00166751" w:rsidRDefault="00E87987" w:rsidP="00E87987">
            <w:pPr>
              <w:spacing w:after="0" w:line="240" w:lineRule="exact"/>
              <w:jc w:val="right"/>
              <w:rPr>
                <w:rFonts w:cs="Arial"/>
                <w:sz w:val="18"/>
                <w:szCs w:val="18"/>
              </w:rPr>
            </w:pPr>
            <w:r w:rsidRPr="00693FCC">
              <w:rPr>
                <w:rFonts w:cs="Arial"/>
                <w:sz w:val="18"/>
                <w:szCs w:val="18"/>
              </w:rPr>
              <w:t>302</w:t>
            </w:r>
            <w:r>
              <w:rPr>
                <w:rFonts w:cs="Arial"/>
                <w:sz w:val="18"/>
                <w:szCs w:val="18"/>
              </w:rPr>
              <w:t>,</w:t>
            </w:r>
            <w:r w:rsidRPr="00693FCC">
              <w:rPr>
                <w:rFonts w:cs="Arial"/>
                <w:sz w:val="18"/>
                <w:szCs w:val="18"/>
              </w:rPr>
              <w:t>808</w:t>
            </w:r>
          </w:p>
        </w:tc>
        <w:tc>
          <w:tcPr>
            <w:tcW w:w="1701" w:type="dxa"/>
            <w:tcBorders>
              <w:top w:val="nil"/>
              <w:left w:val="nil"/>
              <w:bottom w:val="nil"/>
              <w:right w:val="nil"/>
            </w:tcBorders>
            <w:shd w:val="clear" w:color="auto" w:fill="auto"/>
            <w:noWrap/>
            <w:vAlign w:val="bottom"/>
          </w:tcPr>
          <w:p w14:paraId="1B8A850E" w14:textId="15E1927B" w:rsidR="00E87987" w:rsidRPr="00166751" w:rsidRDefault="00E87987" w:rsidP="00E87987">
            <w:pPr>
              <w:spacing w:after="0" w:line="240" w:lineRule="exact"/>
              <w:jc w:val="right"/>
              <w:rPr>
                <w:rFonts w:cs="Arial"/>
                <w:sz w:val="18"/>
                <w:szCs w:val="18"/>
              </w:rPr>
            </w:pPr>
            <w:r w:rsidRPr="00693FCC">
              <w:rPr>
                <w:rFonts w:cs="Arial"/>
                <w:sz w:val="18"/>
                <w:szCs w:val="18"/>
              </w:rPr>
              <w:t>1</w:t>
            </w:r>
            <w:r>
              <w:rPr>
                <w:rFonts w:cs="Arial"/>
                <w:sz w:val="18"/>
                <w:szCs w:val="18"/>
              </w:rPr>
              <w:t>,</w:t>
            </w:r>
            <w:r w:rsidRPr="00693FCC">
              <w:rPr>
                <w:rFonts w:cs="Arial"/>
                <w:sz w:val="18"/>
                <w:szCs w:val="18"/>
              </w:rPr>
              <w:t>242</w:t>
            </w:r>
          </w:p>
        </w:tc>
        <w:tc>
          <w:tcPr>
            <w:tcW w:w="1134" w:type="dxa"/>
            <w:tcBorders>
              <w:top w:val="nil"/>
              <w:left w:val="nil"/>
              <w:bottom w:val="nil"/>
              <w:right w:val="nil"/>
            </w:tcBorders>
            <w:shd w:val="clear" w:color="auto" w:fill="auto"/>
            <w:noWrap/>
            <w:vAlign w:val="bottom"/>
          </w:tcPr>
          <w:p w14:paraId="2C1F2E46" w14:textId="09BD4544" w:rsidR="00E87987" w:rsidRPr="00166751" w:rsidRDefault="00E87987" w:rsidP="00E87987">
            <w:pPr>
              <w:spacing w:after="0" w:line="240" w:lineRule="exact"/>
              <w:jc w:val="right"/>
              <w:rPr>
                <w:rFonts w:cs="Arial"/>
                <w:sz w:val="18"/>
                <w:szCs w:val="18"/>
              </w:rPr>
            </w:pPr>
            <w:r w:rsidRPr="00693FCC">
              <w:rPr>
                <w:rFonts w:cs="Arial"/>
                <w:sz w:val="18"/>
                <w:szCs w:val="18"/>
              </w:rPr>
              <w:t>-</w:t>
            </w:r>
          </w:p>
        </w:tc>
        <w:tc>
          <w:tcPr>
            <w:tcW w:w="1559" w:type="dxa"/>
            <w:tcBorders>
              <w:top w:val="nil"/>
              <w:left w:val="nil"/>
              <w:bottom w:val="nil"/>
              <w:right w:val="nil"/>
            </w:tcBorders>
            <w:shd w:val="clear" w:color="auto" w:fill="auto"/>
            <w:noWrap/>
            <w:vAlign w:val="bottom"/>
          </w:tcPr>
          <w:p w14:paraId="433EF225" w14:textId="3D16E73E" w:rsidR="00E87987" w:rsidRPr="00166751" w:rsidRDefault="00E87987" w:rsidP="00E87987">
            <w:pPr>
              <w:spacing w:after="0" w:line="240" w:lineRule="exact"/>
              <w:jc w:val="right"/>
              <w:rPr>
                <w:rFonts w:cs="Arial"/>
                <w:sz w:val="18"/>
                <w:szCs w:val="18"/>
              </w:rPr>
            </w:pPr>
            <w:r w:rsidRPr="00693FCC">
              <w:rPr>
                <w:rFonts w:cs="Arial"/>
                <w:sz w:val="18"/>
                <w:szCs w:val="18"/>
              </w:rPr>
              <w:t>-</w:t>
            </w:r>
          </w:p>
        </w:tc>
        <w:tc>
          <w:tcPr>
            <w:tcW w:w="1134" w:type="dxa"/>
            <w:tcBorders>
              <w:top w:val="nil"/>
              <w:left w:val="nil"/>
              <w:bottom w:val="nil"/>
              <w:right w:val="nil"/>
            </w:tcBorders>
            <w:shd w:val="clear" w:color="auto" w:fill="auto"/>
            <w:noWrap/>
            <w:vAlign w:val="bottom"/>
          </w:tcPr>
          <w:p w14:paraId="60DC508D" w14:textId="32B20F70" w:rsidR="00E87987" w:rsidRPr="00166751" w:rsidRDefault="00E87987" w:rsidP="00E87987">
            <w:pPr>
              <w:spacing w:after="0" w:line="240" w:lineRule="exact"/>
              <w:jc w:val="right"/>
              <w:rPr>
                <w:rFonts w:cs="Arial"/>
                <w:sz w:val="18"/>
                <w:szCs w:val="18"/>
              </w:rPr>
            </w:pPr>
            <w:r w:rsidRPr="00693FCC">
              <w:rPr>
                <w:rFonts w:cs="Arial"/>
                <w:sz w:val="18"/>
                <w:szCs w:val="18"/>
              </w:rPr>
              <w:t>304</w:t>
            </w:r>
            <w:r>
              <w:rPr>
                <w:rFonts w:cs="Arial"/>
                <w:sz w:val="18"/>
                <w:szCs w:val="18"/>
              </w:rPr>
              <w:t>,</w:t>
            </w:r>
            <w:r w:rsidRPr="00693FCC">
              <w:rPr>
                <w:rFonts w:cs="Arial"/>
                <w:sz w:val="18"/>
                <w:szCs w:val="18"/>
              </w:rPr>
              <w:t>050</w:t>
            </w:r>
          </w:p>
        </w:tc>
      </w:tr>
      <w:tr w:rsidR="00E87987" w:rsidRPr="00E0503B" w14:paraId="327D2915" w14:textId="77777777" w:rsidTr="009702B0">
        <w:trPr>
          <w:trHeight w:val="300"/>
        </w:trPr>
        <w:tc>
          <w:tcPr>
            <w:tcW w:w="3085" w:type="dxa"/>
            <w:shd w:val="clear" w:color="auto" w:fill="auto"/>
            <w:vAlign w:val="bottom"/>
          </w:tcPr>
          <w:p w14:paraId="6ABBFC8B" w14:textId="77777777" w:rsidR="00E87987" w:rsidRPr="00166751" w:rsidRDefault="00E87987" w:rsidP="00E87987">
            <w:pPr>
              <w:spacing w:after="0" w:line="240" w:lineRule="auto"/>
              <w:rPr>
                <w:rFonts w:eastAsia="Times New Roman" w:cs="Arial"/>
                <w:sz w:val="18"/>
                <w:szCs w:val="18"/>
              </w:rPr>
            </w:pPr>
            <w:r w:rsidRPr="00166751">
              <w:rPr>
                <w:rFonts w:eastAsia="Times New Roman" w:cs="Arial"/>
                <w:sz w:val="18"/>
                <w:szCs w:val="18"/>
              </w:rPr>
              <w:t xml:space="preserve">Net fee income </w:t>
            </w:r>
          </w:p>
        </w:tc>
        <w:tc>
          <w:tcPr>
            <w:tcW w:w="1276" w:type="dxa"/>
            <w:tcBorders>
              <w:top w:val="nil"/>
              <w:left w:val="nil"/>
              <w:bottom w:val="nil"/>
              <w:right w:val="nil"/>
            </w:tcBorders>
            <w:shd w:val="clear" w:color="auto" w:fill="auto"/>
            <w:noWrap/>
            <w:vAlign w:val="bottom"/>
          </w:tcPr>
          <w:p w14:paraId="48D45B9A" w14:textId="74071453" w:rsidR="00E87987" w:rsidRPr="00166751" w:rsidRDefault="00E87987" w:rsidP="00E87987">
            <w:pPr>
              <w:spacing w:after="0" w:line="240" w:lineRule="exact"/>
              <w:jc w:val="right"/>
              <w:rPr>
                <w:rFonts w:cs="Arial"/>
                <w:sz w:val="18"/>
                <w:szCs w:val="18"/>
              </w:rPr>
            </w:pPr>
            <w:r w:rsidRPr="00693FCC">
              <w:rPr>
                <w:rFonts w:cs="Arial"/>
                <w:sz w:val="18"/>
                <w:szCs w:val="18"/>
              </w:rPr>
              <w:t>18</w:t>
            </w:r>
            <w:r>
              <w:rPr>
                <w:rFonts w:cs="Arial"/>
                <w:sz w:val="18"/>
                <w:szCs w:val="18"/>
              </w:rPr>
              <w:t>,</w:t>
            </w:r>
            <w:r w:rsidRPr="00693FCC">
              <w:rPr>
                <w:rFonts w:cs="Arial"/>
                <w:sz w:val="18"/>
                <w:szCs w:val="18"/>
              </w:rPr>
              <w:t>857</w:t>
            </w:r>
          </w:p>
        </w:tc>
        <w:tc>
          <w:tcPr>
            <w:tcW w:w="1701" w:type="dxa"/>
            <w:tcBorders>
              <w:top w:val="nil"/>
              <w:left w:val="nil"/>
              <w:bottom w:val="nil"/>
              <w:right w:val="nil"/>
            </w:tcBorders>
            <w:shd w:val="clear" w:color="auto" w:fill="auto"/>
            <w:noWrap/>
            <w:vAlign w:val="bottom"/>
          </w:tcPr>
          <w:p w14:paraId="15CB0D7F" w14:textId="4EA3AFC9" w:rsidR="00E87987" w:rsidRPr="00166751" w:rsidRDefault="00E87987" w:rsidP="00E87987">
            <w:pPr>
              <w:spacing w:after="0" w:line="240" w:lineRule="exact"/>
              <w:jc w:val="right"/>
              <w:rPr>
                <w:rFonts w:cs="Arial"/>
                <w:sz w:val="18"/>
                <w:szCs w:val="18"/>
              </w:rPr>
            </w:pPr>
            <w:r w:rsidRPr="00693FCC">
              <w:rPr>
                <w:rFonts w:cs="Arial"/>
                <w:sz w:val="18"/>
                <w:szCs w:val="18"/>
              </w:rPr>
              <w:t>954</w:t>
            </w:r>
          </w:p>
        </w:tc>
        <w:tc>
          <w:tcPr>
            <w:tcW w:w="1134" w:type="dxa"/>
            <w:tcBorders>
              <w:top w:val="nil"/>
              <w:left w:val="nil"/>
              <w:bottom w:val="nil"/>
              <w:right w:val="nil"/>
            </w:tcBorders>
            <w:shd w:val="clear" w:color="auto" w:fill="auto"/>
            <w:noWrap/>
            <w:vAlign w:val="bottom"/>
          </w:tcPr>
          <w:p w14:paraId="29D17FDA" w14:textId="789B80C4" w:rsidR="00E87987" w:rsidRPr="00166751" w:rsidRDefault="00E87987" w:rsidP="00E87987">
            <w:pPr>
              <w:spacing w:after="0" w:line="240" w:lineRule="exact"/>
              <w:jc w:val="right"/>
              <w:rPr>
                <w:rFonts w:cs="Arial"/>
                <w:sz w:val="18"/>
                <w:szCs w:val="18"/>
              </w:rPr>
            </w:pPr>
            <w:r w:rsidRPr="00693FCC">
              <w:rPr>
                <w:rFonts w:cs="Arial"/>
                <w:sz w:val="18"/>
                <w:szCs w:val="18"/>
              </w:rPr>
              <w:t>730</w:t>
            </w:r>
          </w:p>
        </w:tc>
        <w:tc>
          <w:tcPr>
            <w:tcW w:w="1559" w:type="dxa"/>
            <w:tcBorders>
              <w:top w:val="nil"/>
              <w:left w:val="nil"/>
              <w:bottom w:val="nil"/>
              <w:right w:val="nil"/>
            </w:tcBorders>
            <w:shd w:val="clear" w:color="auto" w:fill="auto"/>
            <w:noWrap/>
            <w:vAlign w:val="bottom"/>
          </w:tcPr>
          <w:p w14:paraId="6522A94E" w14:textId="00A7DBBD" w:rsidR="00E87987" w:rsidRPr="00166751" w:rsidRDefault="00E87987" w:rsidP="00E87987">
            <w:pPr>
              <w:spacing w:after="0" w:line="240" w:lineRule="exact"/>
              <w:jc w:val="right"/>
              <w:rPr>
                <w:rFonts w:cs="Arial"/>
                <w:sz w:val="18"/>
                <w:szCs w:val="18"/>
              </w:rPr>
            </w:pPr>
            <w:r w:rsidRPr="00693FCC">
              <w:rPr>
                <w:rFonts w:cs="Arial"/>
                <w:sz w:val="18"/>
                <w:szCs w:val="18"/>
              </w:rPr>
              <w:t>-</w:t>
            </w:r>
          </w:p>
        </w:tc>
        <w:tc>
          <w:tcPr>
            <w:tcW w:w="1134" w:type="dxa"/>
            <w:tcBorders>
              <w:top w:val="nil"/>
              <w:left w:val="nil"/>
              <w:bottom w:val="nil"/>
              <w:right w:val="nil"/>
            </w:tcBorders>
            <w:shd w:val="clear" w:color="auto" w:fill="auto"/>
            <w:noWrap/>
            <w:vAlign w:val="bottom"/>
          </w:tcPr>
          <w:p w14:paraId="7DC610BD" w14:textId="42A590F1" w:rsidR="00E87987" w:rsidRPr="00166751" w:rsidRDefault="00E87987" w:rsidP="00E87987">
            <w:pPr>
              <w:spacing w:after="0" w:line="240" w:lineRule="exact"/>
              <w:jc w:val="right"/>
              <w:rPr>
                <w:rFonts w:cs="Arial"/>
                <w:sz w:val="18"/>
                <w:szCs w:val="18"/>
              </w:rPr>
            </w:pPr>
            <w:r w:rsidRPr="00693FCC">
              <w:rPr>
                <w:rFonts w:cs="Arial"/>
                <w:sz w:val="18"/>
                <w:szCs w:val="18"/>
              </w:rPr>
              <w:t>20</w:t>
            </w:r>
            <w:r>
              <w:rPr>
                <w:rFonts w:cs="Arial"/>
                <w:sz w:val="18"/>
                <w:szCs w:val="18"/>
              </w:rPr>
              <w:t>,</w:t>
            </w:r>
            <w:r w:rsidRPr="00693FCC">
              <w:rPr>
                <w:rFonts w:cs="Arial"/>
                <w:sz w:val="18"/>
                <w:szCs w:val="18"/>
              </w:rPr>
              <w:t>541</w:t>
            </w:r>
          </w:p>
        </w:tc>
      </w:tr>
      <w:tr w:rsidR="00E87987" w:rsidRPr="00E0503B" w14:paraId="3F011DAA" w14:textId="77777777" w:rsidTr="009702B0">
        <w:trPr>
          <w:trHeight w:val="280"/>
        </w:trPr>
        <w:tc>
          <w:tcPr>
            <w:tcW w:w="3085" w:type="dxa"/>
            <w:shd w:val="clear" w:color="auto" w:fill="auto"/>
            <w:vAlign w:val="bottom"/>
          </w:tcPr>
          <w:p w14:paraId="069DDF60" w14:textId="77777777" w:rsidR="00E87987" w:rsidRPr="00166751" w:rsidRDefault="00E87987" w:rsidP="00E87987">
            <w:pPr>
              <w:spacing w:after="0" w:line="240" w:lineRule="auto"/>
              <w:rPr>
                <w:rFonts w:eastAsia="Times New Roman" w:cs="Arial"/>
                <w:sz w:val="18"/>
                <w:szCs w:val="18"/>
              </w:rPr>
            </w:pPr>
            <w:r w:rsidRPr="00166751">
              <w:rPr>
                <w:rFonts w:eastAsia="Times New Roman" w:cs="Arial"/>
                <w:sz w:val="18"/>
                <w:szCs w:val="18"/>
              </w:rPr>
              <w:t>Net income/(expenses) from financial operations</w:t>
            </w:r>
          </w:p>
        </w:tc>
        <w:tc>
          <w:tcPr>
            <w:tcW w:w="1276" w:type="dxa"/>
            <w:tcBorders>
              <w:top w:val="nil"/>
              <w:left w:val="nil"/>
              <w:bottom w:val="nil"/>
              <w:right w:val="nil"/>
            </w:tcBorders>
            <w:shd w:val="clear" w:color="auto" w:fill="auto"/>
            <w:noWrap/>
            <w:vAlign w:val="bottom"/>
          </w:tcPr>
          <w:p w14:paraId="718F2A0F" w14:textId="64B638A1" w:rsidR="00E87987" w:rsidRPr="00166751" w:rsidRDefault="00E87987" w:rsidP="00E87987">
            <w:pPr>
              <w:spacing w:after="0" w:line="240" w:lineRule="exact"/>
              <w:jc w:val="right"/>
              <w:rPr>
                <w:rFonts w:cs="Arial"/>
                <w:sz w:val="18"/>
                <w:szCs w:val="18"/>
              </w:rPr>
            </w:pPr>
            <w:r w:rsidRPr="00693FCC">
              <w:rPr>
                <w:rFonts w:cs="Arial"/>
                <w:sz w:val="18"/>
                <w:szCs w:val="18"/>
              </w:rPr>
              <w:t>(11</w:t>
            </w:r>
            <w:r>
              <w:rPr>
                <w:rFonts w:cs="Arial"/>
                <w:sz w:val="18"/>
                <w:szCs w:val="18"/>
              </w:rPr>
              <w:t>,</w:t>
            </w:r>
            <w:r w:rsidRPr="00693FCC">
              <w:rPr>
                <w:rFonts w:cs="Arial"/>
                <w:sz w:val="18"/>
                <w:szCs w:val="18"/>
              </w:rPr>
              <w:t>128)</w:t>
            </w:r>
          </w:p>
        </w:tc>
        <w:tc>
          <w:tcPr>
            <w:tcW w:w="1701" w:type="dxa"/>
            <w:tcBorders>
              <w:top w:val="nil"/>
              <w:left w:val="nil"/>
              <w:bottom w:val="nil"/>
              <w:right w:val="nil"/>
            </w:tcBorders>
            <w:shd w:val="clear" w:color="auto" w:fill="auto"/>
            <w:noWrap/>
            <w:vAlign w:val="bottom"/>
          </w:tcPr>
          <w:p w14:paraId="1C4D6688" w14:textId="3DA75DF1" w:rsidR="00E87987" w:rsidRPr="00166751" w:rsidRDefault="00E87987" w:rsidP="00E87987">
            <w:pPr>
              <w:spacing w:after="0" w:line="240" w:lineRule="exact"/>
              <w:jc w:val="right"/>
              <w:rPr>
                <w:rFonts w:cs="Arial"/>
                <w:sz w:val="18"/>
                <w:szCs w:val="18"/>
              </w:rPr>
            </w:pPr>
            <w:r w:rsidRPr="00693FCC">
              <w:rPr>
                <w:rFonts w:cs="Arial"/>
                <w:sz w:val="18"/>
                <w:szCs w:val="18"/>
              </w:rPr>
              <w:t>87</w:t>
            </w:r>
          </w:p>
        </w:tc>
        <w:tc>
          <w:tcPr>
            <w:tcW w:w="1134" w:type="dxa"/>
            <w:tcBorders>
              <w:top w:val="nil"/>
              <w:left w:val="nil"/>
              <w:bottom w:val="nil"/>
              <w:right w:val="nil"/>
            </w:tcBorders>
            <w:shd w:val="clear" w:color="auto" w:fill="auto"/>
            <w:noWrap/>
            <w:vAlign w:val="bottom"/>
          </w:tcPr>
          <w:p w14:paraId="6063243B" w14:textId="58CBBE24" w:rsidR="00E87987" w:rsidRPr="00166751" w:rsidRDefault="00E87987" w:rsidP="00E87987">
            <w:pPr>
              <w:spacing w:after="0" w:line="240" w:lineRule="exact"/>
              <w:jc w:val="right"/>
              <w:rPr>
                <w:rFonts w:cs="Arial"/>
                <w:sz w:val="18"/>
                <w:szCs w:val="18"/>
              </w:rPr>
            </w:pPr>
            <w:r w:rsidRPr="00693FCC">
              <w:rPr>
                <w:rFonts w:cs="Arial"/>
                <w:sz w:val="18"/>
                <w:szCs w:val="18"/>
              </w:rPr>
              <w:t>4</w:t>
            </w:r>
          </w:p>
        </w:tc>
        <w:tc>
          <w:tcPr>
            <w:tcW w:w="1559" w:type="dxa"/>
            <w:tcBorders>
              <w:top w:val="nil"/>
              <w:left w:val="nil"/>
              <w:bottom w:val="nil"/>
              <w:right w:val="nil"/>
            </w:tcBorders>
            <w:shd w:val="clear" w:color="auto" w:fill="auto"/>
            <w:noWrap/>
            <w:vAlign w:val="bottom"/>
          </w:tcPr>
          <w:p w14:paraId="5671C772" w14:textId="1B4A51E2" w:rsidR="00E87987" w:rsidRPr="00166751" w:rsidRDefault="00E87987" w:rsidP="00E87987">
            <w:pPr>
              <w:spacing w:after="0" w:line="240" w:lineRule="exact"/>
              <w:jc w:val="right"/>
              <w:rPr>
                <w:rFonts w:cs="Arial"/>
                <w:sz w:val="18"/>
                <w:szCs w:val="18"/>
              </w:rPr>
            </w:pPr>
            <w:r w:rsidRPr="00693FCC">
              <w:rPr>
                <w:rFonts w:cs="Arial"/>
                <w:sz w:val="18"/>
                <w:szCs w:val="18"/>
              </w:rPr>
              <w:t>-</w:t>
            </w:r>
          </w:p>
        </w:tc>
        <w:tc>
          <w:tcPr>
            <w:tcW w:w="1134" w:type="dxa"/>
            <w:tcBorders>
              <w:top w:val="nil"/>
              <w:left w:val="nil"/>
              <w:bottom w:val="nil"/>
              <w:right w:val="nil"/>
            </w:tcBorders>
            <w:shd w:val="clear" w:color="auto" w:fill="auto"/>
            <w:noWrap/>
            <w:vAlign w:val="bottom"/>
          </w:tcPr>
          <w:p w14:paraId="65FD3C59" w14:textId="0D3406AC" w:rsidR="00E87987" w:rsidRPr="00166751" w:rsidRDefault="00E87987" w:rsidP="00E87987">
            <w:pPr>
              <w:spacing w:after="0" w:line="240" w:lineRule="exact"/>
              <w:jc w:val="right"/>
              <w:rPr>
                <w:rFonts w:cs="Arial"/>
                <w:sz w:val="18"/>
                <w:szCs w:val="18"/>
              </w:rPr>
            </w:pPr>
            <w:r w:rsidRPr="00693FCC">
              <w:rPr>
                <w:rFonts w:cs="Arial"/>
                <w:sz w:val="18"/>
                <w:szCs w:val="18"/>
              </w:rPr>
              <w:t>(11</w:t>
            </w:r>
            <w:r>
              <w:rPr>
                <w:rFonts w:cs="Arial"/>
                <w:sz w:val="18"/>
                <w:szCs w:val="18"/>
              </w:rPr>
              <w:t>,</w:t>
            </w:r>
            <w:r w:rsidRPr="00693FCC">
              <w:rPr>
                <w:rFonts w:cs="Arial"/>
                <w:sz w:val="18"/>
                <w:szCs w:val="18"/>
              </w:rPr>
              <w:t>037)</w:t>
            </w:r>
          </w:p>
        </w:tc>
      </w:tr>
      <w:tr w:rsidR="00E87987" w:rsidRPr="00E0503B" w14:paraId="06ED2DDC" w14:textId="77777777" w:rsidTr="009702B0">
        <w:trPr>
          <w:trHeight w:val="300"/>
        </w:trPr>
        <w:tc>
          <w:tcPr>
            <w:tcW w:w="3085" w:type="dxa"/>
            <w:shd w:val="clear" w:color="auto" w:fill="auto"/>
            <w:vAlign w:val="bottom"/>
          </w:tcPr>
          <w:p w14:paraId="28DBDBD9" w14:textId="77777777" w:rsidR="00E87987" w:rsidRPr="00166751" w:rsidRDefault="00E87987" w:rsidP="00E87987">
            <w:pPr>
              <w:spacing w:after="0" w:line="240" w:lineRule="auto"/>
              <w:rPr>
                <w:rFonts w:eastAsia="Times New Roman" w:cs="Arial"/>
                <w:sz w:val="18"/>
                <w:szCs w:val="18"/>
              </w:rPr>
            </w:pPr>
            <w:r w:rsidRPr="00166751">
              <w:rPr>
                <w:rFonts w:eastAsia="Times New Roman" w:cs="Arial"/>
                <w:sz w:val="18"/>
                <w:szCs w:val="18"/>
              </w:rPr>
              <w:t>Net premiums earned</w:t>
            </w:r>
          </w:p>
        </w:tc>
        <w:tc>
          <w:tcPr>
            <w:tcW w:w="1276" w:type="dxa"/>
            <w:tcBorders>
              <w:top w:val="nil"/>
              <w:left w:val="nil"/>
              <w:bottom w:val="nil"/>
              <w:right w:val="nil"/>
            </w:tcBorders>
            <w:shd w:val="clear" w:color="auto" w:fill="auto"/>
            <w:noWrap/>
            <w:vAlign w:val="bottom"/>
          </w:tcPr>
          <w:p w14:paraId="158DEC8D" w14:textId="1FF0B779" w:rsidR="00E87987" w:rsidRPr="00166751" w:rsidRDefault="00E87987" w:rsidP="00E87987">
            <w:pPr>
              <w:spacing w:after="0" w:line="240" w:lineRule="exact"/>
              <w:jc w:val="right"/>
              <w:rPr>
                <w:rFonts w:cs="Arial"/>
                <w:sz w:val="18"/>
                <w:szCs w:val="18"/>
              </w:rPr>
            </w:pPr>
            <w:r w:rsidRPr="00693FCC">
              <w:rPr>
                <w:rFonts w:cs="Arial"/>
                <w:sz w:val="18"/>
                <w:szCs w:val="18"/>
              </w:rPr>
              <w:t>-</w:t>
            </w:r>
          </w:p>
        </w:tc>
        <w:tc>
          <w:tcPr>
            <w:tcW w:w="1701" w:type="dxa"/>
            <w:tcBorders>
              <w:top w:val="nil"/>
              <w:left w:val="nil"/>
              <w:bottom w:val="nil"/>
              <w:right w:val="nil"/>
            </w:tcBorders>
            <w:shd w:val="clear" w:color="auto" w:fill="auto"/>
            <w:noWrap/>
            <w:vAlign w:val="bottom"/>
          </w:tcPr>
          <w:p w14:paraId="00B8931A" w14:textId="70BB5F44" w:rsidR="00E87987" w:rsidRPr="00166751" w:rsidRDefault="00E87987" w:rsidP="00E87987">
            <w:pPr>
              <w:spacing w:after="0" w:line="240" w:lineRule="exact"/>
              <w:jc w:val="right"/>
              <w:rPr>
                <w:rFonts w:cs="Arial"/>
                <w:sz w:val="18"/>
                <w:szCs w:val="18"/>
              </w:rPr>
            </w:pPr>
            <w:r w:rsidRPr="00693FCC">
              <w:rPr>
                <w:rFonts w:cs="Arial"/>
                <w:sz w:val="18"/>
                <w:szCs w:val="18"/>
              </w:rPr>
              <w:t>4</w:t>
            </w:r>
            <w:r>
              <w:rPr>
                <w:rFonts w:cs="Arial"/>
                <w:sz w:val="18"/>
                <w:szCs w:val="18"/>
              </w:rPr>
              <w:t>,</w:t>
            </w:r>
            <w:r w:rsidRPr="00693FCC">
              <w:rPr>
                <w:rFonts w:cs="Arial"/>
                <w:sz w:val="18"/>
                <w:szCs w:val="18"/>
              </w:rPr>
              <w:t>976</w:t>
            </w:r>
          </w:p>
        </w:tc>
        <w:tc>
          <w:tcPr>
            <w:tcW w:w="1134" w:type="dxa"/>
            <w:tcBorders>
              <w:top w:val="nil"/>
              <w:left w:val="nil"/>
              <w:bottom w:val="nil"/>
              <w:right w:val="nil"/>
            </w:tcBorders>
            <w:shd w:val="clear" w:color="auto" w:fill="auto"/>
            <w:noWrap/>
            <w:vAlign w:val="bottom"/>
          </w:tcPr>
          <w:p w14:paraId="43EFF090" w14:textId="5F42AA63" w:rsidR="00E87987" w:rsidRPr="00166751" w:rsidRDefault="00E87987" w:rsidP="00E87987">
            <w:pPr>
              <w:spacing w:after="0" w:line="240" w:lineRule="exact"/>
              <w:jc w:val="right"/>
              <w:rPr>
                <w:rFonts w:cs="Arial"/>
                <w:sz w:val="18"/>
                <w:szCs w:val="18"/>
              </w:rPr>
            </w:pPr>
            <w:r w:rsidRPr="00693FCC">
              <w:rPr>
                <w:rFonts w:cs="Arial"/>
                <w:sz w:val="18"/>
                <w:szCs w:val="18"/>
              </w:rPr>
              <w:t>-</w:t>
            </w:r>
          </w:p>
        </w:tc>
        <w:tc>
          <w:tcPr>
            <w:tcW w:w="1559" w:type="dxa"/>
            <w:tcBorders>
              <w:top w:val="nil"/>
              <w:left w:val="nil"/>
              <w:bottom w:val="nil"/>
              <w:right w:val="nil"/>
            </w:tcBorders>
            <w:shd w:val="clear" w:color="auto" w:fill="auto"/>
            <w:noWrap/>
            <w:vAlign w:val="bottom"/>
          </w:tcPr>
          <w:p w14:paraId="66EC8CEB" w14:textId="1B8F8D61" w:rsidR="00E87987" w:rsidRPr="00166751" w:rsidRDefault="00E87987" w:rsidP="00E87987">
            <w:pPr>
              <w:spacing w:after="0" w:line="240" w:lineRule="exact"/>
              <w:jc w:val="right"/>
              <w:rPr>
                <w:rFonts w:cs="Arial"/>
                <w:sz w:val="18"/>
                <w:szCs w:val="18"/>
              </w:rPr>
            </w:pPr>
            <w:r w:rsidRPr="00693FCC">
              <w:rPr>
                <w:rFonts w:cs="Arial"/>
                <w:sz w:val="18"/>
                <w:szCs w:val="18"/>
              </w:rPr>
              <w:t>-</w:t>
            </w:r>
          </w:p>
        </w:tc>
        <w:tc>
          <w:tcPr>
            <w:tcW w:w="1134" w:type="dxa"/>
            <w:tcBorders>
              <w:top w:val="nil"/>
              <w:left w:val="nil"/>
              <w:bottom w:val="nil"/>
              <w:right w:val="nil"/>
            </w:tcBorders>
            <w:shd w:val="clear" w:color="auto" w:fill="auto"/>
            <w:noWrap/>
            <w:vAlign w:val="bottom"/>
          </w:tcPr>
          <w:p w14:paraId="1BE6F90D" w14:textId="6D2F8DEA" w:rsidR="00E87987" w:rsidRPr="00166751" w:rsidRDefault="00E87987" w:rsidP="00E87987">
            <w:pPr>
              <w:spacing w:after="0" w:line="240" w:lineRule="exact"/>
              <w:jc w:val="right"/>
              <w:rPr>
                <w:rFonts w:cs="Arial"/>
                <w:sz w:val="18"/>
                <w:szCs w:val="18"/>
              </w:rPr>
            </w:pPr>
            <w:r w:rsidRPr="00693FCC">
              <w:rPr>
                <w:rFonts w:cs="Arial"/>
                <w:sz w:val="18"/>
                <w:szCs w:val="18"/>
              </w:rPr>
              <w:t>4</w:t>
            </w:r>
            <w:r>
              <w:rPr>
                <w:rFonts w:cs="Arial"/>
                <w:sz w:val="18"/>
                <w:szCs w:val="18"/>
              </w:rPr>
              <w:t>,</w:t>
            </w:r>
            <w:r w:rsidRPr="00693FCC">
              <w:rPr>
                <w:rFonts w:cs="Arial"/>
                <w:sz w:val="18"/>
                <w:szCs w:val="18"/>
              </w:rPr>
              <w:t>976</w:t>
            </w:r>
          </w:p>
        </w:tc>
      </w:tr>
      <w:tr w:rsidR="00E87987" w:rsidRPr="00E0503B" w14:paraId="5D875771" w14:textId="77777777" w:rsidTr="005444AA">
        <w:trPr>
          <w:trHeight w:val="300"/>
        </w:trPr>
        <w:tc>
          <w:tcPr>
            <w:tcW w:w="3085" w:type="dxa"/>
            <w:shd w:val="clear" w:color="auto" w:fill="auto"/>
            <w:vAlign w:val="bottom"/>
          </w:tcPr>
          <w:p w14:paraId="540504FF" w14:textId="77777777" w:rsidR="00E87987" w:rsidRPr="00166751" w:rsidRDefault="00E87987" w:rsidP="00E87987">
            <w:pPr>
              <w:spacing w:after="0" w:line="240" w:lineRule="auto"/>
              <w:rPr>
                <w:rFonts w:eastAsia="Times New Roman" w:cs="Arial"/>
                <w:sz w:val="18"/>
                <w:szCs w:val="18"/>
              </w:rPr>
            </w:pPr>
            <w:r w:rsidRPr="00166751">
              <w:rPr>
                <w:rFonts w:eastAsia="Times New Roman" w:cs="Arial"/>
                <w:sz w:val="18"/>
                <w:szCs w:val="18"/>
              </w:rPr>
              <w:t xml:space="preserve">Other income </w:t>
            </w:r>
          </w:p>
        </w:tc>
        <w:tc>
          <w:tcPr>
            <w:tcW w:w="1276" w:type="dxa"/>
            <w:tcBorders>
              <w:top w:val="nil"/>
              <w:left w:val="nil"/>
              <w:bottom w:val="single" w:sz="2" w:space="0" w:color="auto"/>
              <w:right w:val="nil"/>
            </w:tcBorders>
            <w:shd w:val="clear" w:color="auto" w:fill="auto"/>
            <w:noWrap/>
            <w:vAlign w:val="bottom"/>
          </w:tcPr>
          <w:p w14:paraId="5F9D8DB1" w14:textId="54643561" w:rsidR="00E87987" w:rsidRPr="00166751" w:rsidRDefault="00E87987" w:rsidP="00E87987">
            <w:pPr>
              <w:spacing w:after="0" w:line="240" w:lineRule="exact"/>
              <w:jc w:val="right"/>
              <w:rPr>
                <w:rFonts w:cs="Arial"/>
                <w:sz w:val="18"/>
                <w:szCs w:val="18"/>
              </w:rPr>
            </w:pPr>
            <w:r w:rsidRPr="00693FCC">
              <w:rPr>
                <w:rFonts w:cs="Arial"/>
                <w:sz w:val="18"/>
                <w:szCs w:val="18"/>
              </w:rPr>
              <w:t>5</w:t>
            </w:r>
            <w:r>
              <w:rPr>
                <w:rFonts w:cs="Arial"/>
                <w:sz w:val="18"/>
                <w:szCs w:val="18"/>
              </w:rPr>
              <w:t>,</w:t>
            </w:r>
            <w:r w:rsidRPr="00693FCC">
              <w:rPr>
                <w:rFonts w:cs="Arial"/>
                <w:sz w:val="18"/>
                <w:szCs w:val="18"/>
              </w:rPr>
              <w:t>275</w:t>
            </w:r>
          </w:p>
        </w:tc>
        <w:tc>
          <w:tcPr>
            <w:tcW w:w="1701" w:type="dxa"/>
            <w:tcBorders>
              <w:top w:val="nil"/>
              <w:left w:val="nil"/>
              <w:bottom w:val="single" w:sz="2" w:space="0" w:color="auto"/>
              <w:right w:val="nil"/>
            </w:tcBorders>
            <w:shd w:val="clear" w:color="auto" w:fill="auto"/>
            <w:noWrap/>
            <w:vAlign w:val="bottom"/>
          </w:tcPr>
          <w:p w14:paraId="3A519E16" w14:textId="2360AF52" w:rsidR="00E87987" w:rsidRPr="00166751" w:rsidRDefault="00E87987" w:rsidP="00E87987">
            <w:pPr>
              <w:spacing w:after="0" w:line="240" w:lineRule="exact"/>
              <w:jc w:val="right"/>
              <w:rPr>
                <w:rFonts w:cs="Arial"/>
                <w:sz w:val="18"/>
                <w:szCs w:val="18"/>
              </w:rPr>
            </w:pPr>
            <w:r w:rsidRPr="00693FCC">
              <w:rPr>
                <w:rFonts w:cs="Arial"/>
                <w:sz w:val="18"/>
                <w:szCs w:val="18"/>
              </w:rPr>
              <w:t>43</w:t>
            </w:r>
          </w:p>
        </w:tc>
        <w:tc>
          <w:tcPr>
            <w:tcW w:w="1134" w:type="dxa"/>
            <w:tcBorders>
              <w:top w:val="nil"/>
              <w:left w:val="nil"/>
              <w:bottom w:val="single" w:sz="2" w:space="0" w:color="auto"/>
              <w:right w:val="nil"/>
            </w:tcBorders>
            <w:shd w:val="clear" w:color="auto" w:fill="auto"/>
            <w:noWrap/>
            <w:vAlign w:val="bottom"/>
          </w:tcPr>
          <w:p w14:paraId="682A8336" w14:textId="4F32918A" w:rsidR="00E87987" w:rsidRPr="00166751" w:rsidRDefault="00E87987" w:rsidP="00E87987">
            <w:pPr>
              <w:spacing w:after="0" w:line="240" w:lineRule="exact"/>
              <w:jc w:val="right"/>
              <w:rPr>
                <w:rFonts w:cs="Arial"/>
                <w:sz w:val="18"/>
                <w:szCs w:val="18"/>
              </w:rPr>
            </w:pPr>
            <w:r w:rsidRPr="00693FCC">
              <w:rPr>
                <w:rFonts w:cs="Arial"/>
                <w:sz w:val="18"/>
                <w:szCs w:val="18"/>
              </w:rPr>
              <w:t>212</w:t>
            </w:r>
          </w:p>
        </w:tc>
        <w:tc>
          <w:tcPr>
            <w:tcW w:w="1559" w:type="dxa"/>
            <w:tcBorders>
              <w:top w:val="nil"/>
              <w:left w:val="nil"/>
              <w:bottom w:val="single" w:sz="2" w:space="0" w:color="auto"/>
              <w:right w:val="nil"/>
            </w:tcBorders>
            <w:shd w:val="clear" w:color="auto" w:fill="auto"/>
            <w:noWrap/>
            <w:vAlign w:val="bottom"/>
          </w:tcPr>
          <w:p w14:paraId="41F8AAEC" w14:textId="6206302D" w:rsidR="00E87987" w:rsidRPr="00166751" w:rsidRDefault="00E87987" w:rsidP="00E87987">
            <w:pPr>
              <w:spacing w:after="0" w:line="240" w:lineRule="exact"/>
              <w:jc w:val="right"/>
              <w:rPr>
                <w:rFonts w:cs="Arial"/>
                <w:sz w:val="18"/>
                <w:szCs w:val="18"/>
              </w:rPr>
            </w:pPr>
            <w:r w:rsidRPr="00693FCC">
              <w:rPr>
                <w:rFonts w:cs="Arial"/>
                <w:sz w:val="18"/>
                <w:szCs w:val="18"/>
              </w:rPr>
              <w:t>(223)</w:t>
            </w:r>
          </w:p>
        </w:tc>
        <w:tc>
          <w:tcPr>
            <w:tcW w:w="1134" w:type="dxa"/>
            <w:tcBorders>
              <w:top w:val="nil"/>
              <w:left w:val="nil"/>
              <w:bottom w:val="single" w:sz="2" w:space="0" w:color="auto"/>
              <w:right w:val="nil"/>
            </w:tcBorders>
            <w:shd w:val="clear" w:color="auto" w:fill="auto"/>
            <w:noWrap/>
            <w:vAlign w:val="bottom"/>
          </w:tcPr>
          <w:p w14:paraId="7BC206AF" w14:textId="22730E68" w:rsidR="00E87987" w:rsidRPr="00166751" w:rsidRDefault="00E87987" w:rsidP="00E87987">
            <w:pPr>
              <w:spacing w:after="0" w:line="240" w:lineRule="exact"/>
              <w:jc w:val="right"/>
              <w:rPr>
                <w:rFonts w:cs="Arial"/>
                <w:sz w:val="18"/>
                <w:szCs w:val="18"/>
              </w:rPr>
            </w:pPr>
            <w:r w:rsidRPr="00693FCC">
              <w:rPr>
                <w:rFonts w:cs="Arial"/>
                <w:sz w:val="18"/>
                <w:szCs w:val="18"/>
              </w:rPr>
              <w:t>5</w:t>
            </w:r>
            <w:r>
              <w:rPr>
                <w:rFonts w:cs="Arial"/>
                <w:sz w:val="18"/>
                <w:szCs w:val="18"/>
              </w:rPr>
              <w:t>,</w:t>
            </w:r>
            <w:r w:rsidRPr="00693FCC">
              <w:rPr>
                <w:rFonts w:cs="Arial"/>
                <w:sz w:val="18"/>
                <w:szCs w:val="18"/>
              </w:rPr>
              <w:t>307</w:t>
            </w:r>
          </w:p>
        </w:tc>
      </w:tr>
      <w:tr w:rsidR="00E87987" w:rsidRPr="00E0503B" w14:paraId="7DDA6C6D" w14:textId="77777777" w:rsidTr="005444AA">
        <w:trPr>
          <w:trHeight w:val="300"/>
        </w:trPr>
        <w:tc>
          <w:tcPr>
            <w:tcW w:w="3085" w:type="dxa"/>
            <w:shd w:val="clear" w:color="auto" w:fill="auto"/>
            <w:vAlign w:val="bottom"/>
          </w:tcPr>
          <w:p w14:paraId="2C326B3C" w14:textId="77777777" w:rsidR="00E87987" w:rsidRPr="00166751" w:rsidRDefault="00E87987" w:rsidP="00E87987">
            <w:pPr>
              <w:spacing w:after="0" w:line="240" w:lineRule="auto"/>
              <w:rPr>
                <w:rFonts w:eastAsia="Times New Roman" w:cs="Arial"/>
                <w:b/>
                <w:bCs/>
                <w:sz w:val="18"/>
                <w:szCs w:val="18"/>
              </w:rPr>
            </w:pPr>
            <w:r w:rsidRPr="00166751">
              <w:rPr>
                <w:rFonts w:eastAsia="Times New Roman" w:cs="Arial"/>
                <w:b/>
                <w:bCs/>
                <w:sz w:val="18"/>
                <w:szCs w:val="18"/>
              </w:rPr>
              <w:t>Income from operating activities</w:t>
            </w:r>
          </w:p>
        </w:tc>
        <w:tc>
          <w:tcPr>
            <w:tcW w:w="1276" w:type="dxa"/>
            <w:tcBorders>
              <w:top w:val="single" w:sz="2" w:space="0" w:color="auto"/>
              <w:left w:val="nil"/>
              <w:bottom w:val="single" w:sz="8" w:space="0" w:color="auto"/>
              <w:right w:val="nil"/>
            </w:tcBorders>
            <w:shd w:val="clear" w:color="auto" w:fill="auto"/>
            <w:noWrap/>
            <w:vAlign w:val="bottom"/>
          </w:tcPr>
          <w:p w14:paraId="2548A6D4" w14:textId="721FE55D" w:rsidR="00E87987" w:rsidRPr="00166751" w:rsidRDefault="00E87987" w:rsidP="00E87987">
            <w:pPr>
              <w:spacing w:after="0" w:line="240" w:lineRule="exact"/>
              <w:jc w:val="right"/>
              <w:rPr>
                <w:rFonts w:cs="Arial"/>
                <w:sz w:val="18"/>
                <w:szCs w:val="18"/>
              </w:rPr>
            </w:pPr>
            <w:r w:rsidRPr="00693FCC">
              <w:rPr>
                <w:rFonts w:cs="Arial"/>
                <w:b/>
                <w:sz w:val="18"/>
                <w:szCs w:val="18"/>
              </w:rPr>
              <w:t>315</w:t>
            </w:r>
            <w:r>
              <w:rPr>
                <w:rFonts w:cs="Arial"/>
                <w:b/>
                <w:sz w:val="18"/>
                <w:szCs w:val="18"/>
              </w:rPr>
              <w:t>,</w:t>
            </w:r>
            <w:r w:rsidRPr="00693FCC">
              <w:rPr>
                <w:rFonts w:cs="Arial"/>
                <w:b/>
                <w:sz w:val="18"/>
                <w:szCs w:val="18"/>
              </w:rPr>
              <w:t>812</w:t>
            </w:r>
          </w:p>
        </w:tc>
        <w:tc>
          <w:tcPr>
            <w:tcW w:w="1701" w:type="dxa"/>
            <w:tcBorders>
              <w:top w:val="single" w:sz="2" w:space="0" w:color="auto"/>
              <w:left w:val="nil"/>
              <w:bottom w:val="single" w:sz="8" w:space="0" w:color="auto"/>
              <w:right w:val="nil"/>
            </w:tcBorders>
            <w:shd w:val="clear" w:color="auto" w:fill="auto"/>
            <w:noWrap/>
            <w:vAlign w:val="bottom"/>
          </w:tcPr>
          <w:p w14:paraId="6F34D82C" w14:textId="6865E17E" w:rsidR="00E87987" w:rsidRPr="00166751" w:rsidRDefault="00E87987" w:rsidP="00E87987">
            <w:pPr>
              <w:spacing w:after="0" w:line="240" w:lineRule="exact"/>
              <w:jc w:val="right"/>
              <w:rPr>
                <w:rFonts w:cs="Arial"/>
                <w:sz w:val="18"/>
                <w:szCs w:val="18"/>
              </w:rPr>
            </w:pPr>
            <w:r w:rsidRPr="00693FCC">
              <w:rPr>
                <w:rFonts w:cs="Arial"/>
                <w:b/>
                <w:sz w:val="18"/>
                <w:szCs w:val="18"/>
              </w:rPr>
              <w:t>7</w:t>
            </w:r>
            <w:r>
              <w:rPr>
                <w:rFonts w:cs="Arial"/>
                <w:b/>
                <w:sz w:val="18"/>
                <w:szCs w:val="18"/>
              </w:rPr>
              <w:t>,</w:t>
            </w:r>
            <w:r w:rsidRPr="00693FCC">
              <w:rPr>
                <w:rFonts w:cs="Arial"/>
                <w:b/>
                <w:sz w:val="18"/>
                <w:szCs w:val="18"/>
              </w:rPr>
              <w:t>302</w:t>
            </w:r>
          </w:p>
        </w:tc>
        <w:tc>
          <w:tcPr>
            <w:tcW w:w="1134" w:type="dxa"/>
            <w:tcBorders>
              <w:top w:val="single" w:sz="2" w:space="0" w:color="auto"/>
              <w:left w:val="nil"/>
              <w:bottom w:val="single" w:sz="8" w:space="0" w:color="auto"/>
              <w:right w:val="nil"/>
            </w:tcBorders>
            <w:shd w:val="clear" w:color="auto" w:fill="auto"/>
            <w:noWrap/>
            <w:vAlign w:val="bottom"/>
          </w:tcPr>
          <w:p w14:paraId="595602EC" w14:textId="27888DE5" w:rsidR="00E87987" w:rsidRPr="00166751" w:rsidRDefault="00E87987" w:rsidP="00E87987">
            <w:pPr>
              <w:spacing w:after="0" w:line="240" w:lineRule="exact"/>
              <w:jc w:val="right"/>
              <w:rPr>
                <w:rFonts w:cs="Arial"/>
                <w:sz w:val="18"/>
                <w:szCs w:val="18"/>
              </w:rPr>
            </w:pPr>
            <w:r w:rsidRPr="00693FCC">
              <w:rPr>
                <w:rFonts w:cs="Arial"/>
                <w:b/>
                <w:sz w:val="18"/>
                <w:szCs w:val="18"/>
              </w:rPr>
              <w:t>946</w:t>
            </w:r>
          </w:p>
        </w:tc>
        <w:tc>
          <w:tcPr>
            <w:tcW w:w="1559" w:type="dxa"/>
            <w:tcBorders>
              <w:top w:val="single" w:sz="2" w:space="0" w:color="auto"/>
              <w:left w:val="nil"/>
              <w:bottom w:val="single" w:sz="8" w:space="0" w:color="auto"/>
              <w:right w:val="nil"/>
            </w:tcBorders>
            <w:shd w:val="clear" w:color="auto" w:fill="auto"/>
            <w:noWrap/>
            <w:vAlign w:val="bottom"/>
          </w:tcPr>
          <w:p w14:paraId="53BB0A26" w14:textId="28223841" w:rsidR="00E87987" w:rsidRPr="00166751" w:rsidRDefault="00E87987" w:rsidP="00E87987">
            <w:pPr>
              <w:spacing w:after="0" w:line="240" w:lineRule="exact"/>
              <w:jc w:val="right"/>
              <w:rPr>
                <w:rFonts w:cs="Arial"/>
                <w:sz w:val="18"/>
                <w:szCs w:val="18"/>
              </w:rPr>
            </w:pPr>
            <w:r w:rsidRPr="00693FCC">
              <w:rPr>
                <w:rFonts w:cs="Arial"/>
                <w:b/>
                <w:sz w:val="18"/>
                <w:szCs w:val="18"/>
              </w:rPr>
              <w:t>(223)</w:t>
            </w:r>
          </w:p>
        </w:tc>
        <w:tc>
          <w:tcPr>
            <w:tcW w:w="1134" w:type="dxa"/>
            <w:tcBorders>
              <w:top w:val="single" w:sz="2" w:space="0" w:color="auto"/>
              <w:left w:val="nil"/>
              <w:bottom w:val="single" w:sz="8" w:space="0" w:color="auto"/>
              <w:right w:val="nil"/>
            </w:tcBorders>
            <w:shd w:val="clear" w:color="auto" w:fill="auto"/>
            <w:noWrap/>
            <w:vAlign w:val="bottom"/>
          </w:tcPr>
          <w:p w14:paraId="49813BA8" w14:textId="3ABC8B72" w:rsidR="00E87987" w:rsidRPr="00166751" w:rsidRDefault="00E87987" w:rsidP="00E87987">
            <w:pPr>
              <w:spacing w:after="0" w:line="240" w:lineRule="exact"/>
              <w:jc w:val="right"/>
              <w:rPr>
                <w:rFonts w:cs="Arial"/>
                <w:sz w:val="18"/>
                <w:szCs w:val="18"/>
              </w:rPr>
            </w:pPr>
            <w:r w:rsidRPr="00693FCC">
              <w:rPr>
                <w:rFonts w:cs="Arial"/>
                <w:b/>
                <w:sz w:val="18"/>
                <w:szCs w:val="18"/>
              </w:rPr>
              <w:t>323</w:t>
            </w:r>
            <w:r>
              <w:rPr>
                <w:rFonts w:cs="Arial"/>
                <w:b/>
                <w:sz w:val="18"/>
                <w:szCs w:val="18"/>
              </w:rPr>
              <w:t>,</w:t>
            </w:r>
            <w:r w:rsidRPr="00693FCC">
              <w:rPr>
                <w:rFonts w:cs="Arial"/>
                <w:b/>
                <w:sz w:val="18"/>
                <w:szCs w:val="18"/>
              </w:rPr>
              <w:t>837</w:t>
            </w:r>
          </w:p>
        </w:tc>
      </w:tr>
      <w:tr w:rsidR="000D07E4" w:rsidRPr="00E0503B" w14:paraId="40E397AF" w14:textId="77777777" w:rsidTr="009702B0">
        <w:trPr>
          <w:trHeight w:val="305"/>
        </w:trPr>
        <w:tc>
          <w:tcPr>
            <w:tcW w:w="3085" w:type="dxa"/>
            <w:shd w:val="clear" w:color="auto" w:fill="auto"/>
            <w:vAlign w:val="bottom"/>
          </w:tcPr>
          <w:p w14:paraId="3F7E8DFB" w14:textId="77777777" w:rsidR="000D07E4" w:rsidRPr="00166751" w:rsidRDefault="000D07E4" w:rsidP="000D07E4">
            <w:pPr>
              <w:spacing w:after="0" w:line="240" w:lineRule="auto"/>
              <w:rPr>
                <w:rFonts w:eastAsia="Times New Roman" w:cs="Arial"/>
                <w:sz w:val="18"/>
                <w:szCs w:val="18"/>
              </w:rPr>
            </w:pPr>
          </w:p>
        </w:tc>
        <w:tc>
          <w:tcPr>
            <w:tcW w:w="1276" w:type="dxa"/>
            <w:tcBorders>
              <w:top w:val="nil"/>
              <w:left w:val="nil"/>
              <w:bottom w:val="nil"/>
              <w:right w:val="nil"/>
            </w:tcBorders>
            <w:shd w:val="clear" w:color="auto" w:fill="auto"/>
            <w:noWrap/>
            <w:vAlign w:val="bottom"/>
          </w:tcPr>
          <w:p w14:paraId="75199DBD" w14:textId="77777777" w:rsidR="000D07E4" w:rsidRPr="00166751" w:rsidRDefault="000D07E4" w:rsidP="000D07E4">
            <w:pPr>
              <w:spacing w:after="0" w:line="240" w:lineRule="exact"/>
              <w:jc w:val="right"/>
              <w:rPr>
                <w:rFonts w:cs="Arial"/>
                <w:b/>
                <w:bCs/>
                <w:sz w:val="18"/>
                <w:szCs w:val="18"/>
              </w:rPr>
            </w:pPr>
          </w:p>
        </w:tc>
        <w:tc>
          <w:tcPr>
            <w:tcW w:w="1701" w:type="dxa"/>
            <w:tcBorders>
              <w:top w:val="nil"/>
              <w:left w:val="nil"/>
              <w:bottom w:val="nil"/>
              <w:right w:val="nil"/>
            </w:tcBorders>
            <w:shd w:val="clear" w:color="auto" w:fill="auto"/>
            <w:noWrap/>
            <w:vAlign w:val="bottom"/>
          </w:tcPr>
          <w:p w14:paraId="72C54767" w14:textId="77777777" w:rsidR="000D07E4" w:rsidRPr="00166751" w:rsidRDefault="000D07E4" w:rsidP="000D07E4">
            <w:pPr>
              <w:spacing w:after="0" w:line="240" w:lineRule="exact"/>
              <w:jc w:val="right"/>
              <w:rPr>
                <w:rFonts w:cs="Arial"/>
                <w:b/>
                <w:bCs/>
                <w:sz w:val="18"/>
                <w:szCs w:val="18"/>
              </w:rPr>
            </w:pPr>
          </w:p>
        </w:tc>
        <w:tc>
          <w:tcPr>
            <w:tcW w:w="1134" w:type="dxa"/>
            <w:tcBorders>
              <w:top w:val="nil"/>
              <w:left w:val="nil"/>
              <w:bottom w:val="nil"/>
              <w:right w:val="nil"/>
            </w:tcBorders>
            <w:shd w:val="clear" w:color="auto" w:fill="auto"/>
            <w:noWrap/>
            <w:vAlign w:val="bottom"/>
          </w:tcPr>
          <w:p w14:paraId="1551426A" w14:textId="77777777" w:rsidR="000D07E4" w:rsidRPr="00166751" w:rsidRDefault="000D07E4" w:rsidP="000D07E4">
            <w:pPr>
              <w:spacing w:after="0" w:line="240" w:lineRule="exact"/>
              <w:jc w:val="right"/>
              <w:rPr>
                <w:rFonts w:cs="Arial"/>
                <w:b/>
                <w:bCs/>
                <w:sz w:val="18"/>
                <w:szCs w:val="18"/>
              </w:rPr>
            </w:pPr>
          </w:p>
        </w:tc>
        <w:tc>
          <w:tcPr>
            <w:tcW w:w="1559" w:type="dxa"/>
            <w:tcBorders>
              <w:top w:val="nil"/>
              <w:left w:val="nil"/>
              <w:bottom w:val="nil"/>
              <w:right w:val="nil"/>
            </w:tcBorders>
            <w:shd w:val="clear" w:color="auto" w:fill="auto"/>
            <w:noWrap/>
            <w:vAlign w:val="bottom"/>
          </w:tcPr>
          <w:p w14:paraId="696DAA0E" w14:textId="77777777" w:rsidR="000D07E4" w:rsidRPr="00166751" w:rsidRDefault="000D07E4" w:rsidP="000D07E4">
            <w:pPr>
              <w:spacing w:after="0" w:line="240" w:lineRule="exact"/>
              <w:jc w:val="right"/>
              <w:rPr>
                <w:rFonts w:cs="Arial"/>
                <w:b/>
                <w:bCs/>
                <w:sz w:val="18"/>
                <w:szCs w:val="18"/>
              </w:rPr>
            </w:pPr>
          </w:p>
        </w:tc>
        <w:tc>
          <w:tcPr>
            <w:tcW w:w="1134" w:type="dxa"/>
            <w:tcBorders>
              <w:top w:val="nil"/>
              <w:left w:val="nil"/>
              <w:bottom w:val="nil"/>
              <w:right w:val="nil"/>
            </w:tcBorders>
            <w:shd w:val="clear" w:color="auto" w:fill="auto"/>
            <w:noWrap/>
            <w:vAlign w:val="bottom"/>
          </w:tcPr>
          <w:p w14:paraId="2F21DB37" w14:textId="77777777" w:rsidR="000D07E4" w:rsidRPr="00166751" w:rsidRDefault="000D07E4" w:rsidP="000D07E4">
            <w:pPr>
              <w:spacing w:after="0" w:line="240" w:lineRule="exact"/>
              <w:jc w:val="right"/>
              <w:rPr>
                <w:rFonts w:cs="Arial"/>
                <w:b/>
                <w:bCs/>
                <w:sz w:val="18"/>
                <w:szCs w:val="18"/>
              </w:rPr>
            </w:pPr>
          </w:p>
        </w:tc>
      </w:tr>
      <w:tr w:rsidR="00E87987" w:rsidRPr="00E0503B" w14:paraId="445A0F89" w14:textId="77777777" w:rsidTr="009702B0">
        <w:trPr>
          <w:trHeight w:hRule="exact" w:val="284"/>
        </w:trPr>
        <w:tc>
          <w:tcPr>
            <w:tcW w:w="3085" w:type="dxa"/>
            <w:shd w:val="clear" w:color="auto" w:fill="auto"/>
            <w:vAlign w:val="bottom"/>
          </w:tcPr>
          <w:p w14:paraId="763EF215" w14:textId="77777777" w:rsidR="00E87987" w:rsidRPr="00166751" w:rsidRDefault="00E87987" w:rsidP="00E87987">
            <w:pPr>
              <w:spacing w:after="0" w:line="240" w:lineRule="auto"/>
              <w:rPr>
                <w:rFonts w:eastAsia="Times New Roman" w:cs="Arial"/>
                <w:sz w:val="18"/>
                <w:szCs w:val="18"/>
              </w:rPr>
            </w:pPr>
            <w:r w:rsidRPr="00166751">
              <w:rPr>
                <w:rFonts w:eastAsia="Times New Roman" w:cs="Arial"/>
                <w:sz w:val="18"/>
                <w:szCs w:val="18"/>
              </w:rPr>
              <w:t xml:space="preserve">Operating costs </w:t>
            </w:r>
          </w:p>
        </w:tc>
        <w:tc>
          <w:tcPr>
            <w:tcW w:w="1276" w:type="dxa"/>
            <w:tcBorders>
              <w:top w:val="nil"/>
              <w:left w:val="nil"/>
              <w:bottom w:val="nil"/>
              <w:right w:val="nil"/>
            </w:tcBorders>
            <w:shd w:val="clear" w:color="auto" w:fill="auto"/>
            <w:noWrap/>
            <w:vAlign w:val="bottom"/>
          </w:tcPr>
          <w:p w14:paraId="67DA03D7" w14:textId="2EDBB90A" w:rsidR="00E87987" w:rsidRPr="00166751" w:rsidRDefault="00E87987" w:rsidP="00E87987">
            <w:pPr>
              <w:spacing w:after="0" w:line="240" w:lineRule="exact"/>
              <w:jc w:val="right"/>
              <w:rPr>
                <w:rFonts w:cs="Arial"/>
                <w:sz w:val="18"/>
                <w:szCs w:val="18"/>
              </w:rPr>
            </w:pPr>
            <w:r w:rsidRPr="00693FCC">
              <w:rPr>
                <w:rFonts w:cs="Arial"/>
                <w:sz w:val="18"/>
                <w:szCs w:val="18"/>
              </w:rPr>
              <w:t>(112</w:t>
            </w:r>
            <w:r>
              <w:rPr>
                <w:rFonts w:cs="Arial"/>
                <w:sz w:val="18"/>
                <w:szCs w:val="18"/>
              </w:rPr>
              <w:t>,</w:t>
            </w:r>
            <w:r w:rsidRPr="00693FCC">
              <w:rPr>
                <w:rFonts w:cs="Arial"/>
                <w:sz w:val="18"/>
                <w:szCs w:val="18"/>
              </w:rPr>
              <w:t>011)</w:t>
            </w:r>
          </w:p>
        </w:tc>
        <w:tc>
          <w:tcPr>
            <w:tcW w:w="1701" w:type="dxa"/>
            <w:tcBorders>
              <w:top w:val="nil"/>
              <w:left w:val="nil"/>
              <w:bottom w:val="nil"/>
              <w:right w:val="nil"/>
            </w:tcBorders>
            <w:shd w:val="clear" w:color="auto" w:fill="auto"/>
            <w:noWrap/>
            <w:vAlign w:val="bottom"/>
          </w:tcPr>
          <w:p w14:paraId="31D244D2" w14:textId="23CACB61" w:rsidR="00E87987" w:rsidRPr="00166751" w:rsidRDefault="00E87987" w:rsidP="00E87987">
            <w:pPr>
              <w:spacing w:after="0" w:line="240" w:lineRule="exact"/>
              <w:jc w:val="right"/>
              <w:rPr>
                <w:rFonts w:cs="Arial"/>
                <w:sz w:val="18"/>
                <w:szCs w:val="18"/>
              </w:rPr>
            </w:pPr>
            <w:r w:rsidRPr="00693FCC">
              <w:rPr>
                <w:rFonts w:cs="Arial"/>
                <w:sz w:val="18"/>
                <w:szCs w:val="18"/>
              </w:rPr>
              <w:t>(3</w:t>
            </w:r>
            <w:r>
              <w:rPr>
                <w:rFonts w:cs="Arial"/>
                <w:sz w:val="18"/>
                <w:szCs w:val="18"/>
              </w:rPr>
              <w:t>,</w:t>
            </w:r>
            <w:r w:rsidRPr="00693FCC">
              <w:rPr>
                <w:rFonts w:cs="Arial"/>
                <w:sz w:val="18"/>
                <w:szCs w:val="18"/>
              </w:rPr>
              <w:t>925)</w:t>
            </w:r>
          </w:p>
        </w:tc>
        <w:tc>
          <w:tcPr>
            <w:tcW w:w="1134" w:type="dxa"/>
            <w:tcBorders>
              <w:top w:val="nil"/>
              <w:left w:val="nil"/>
              <w:bottom w:val="nil"/>
              <w:right w:val="nil"/>
            </w:tcBorders>
            <w:shd w:val="clear" w:color="auto" w:fill="auto"/>
            <w:noWrap/>
            <w:vAlign w:val="bottom"/>
          </w:tcPr>
          <w:p w14:paraId="6AA6ED79" w14:textId="73BA1F66" w:rsidR="00E87987" w:rsidRPr="00166751" w:rsidRDefault="00E87987" w:rsidP="00E87987">
            <w:pPr>
              <w:spacing w:after="0" w:line="240" w:lineRule="exact"/>
              <w:jc w:val="right"/>
              <w:rPr>
                <w:rFonts w:cs="Arial"/>
                <w:sz w:val="18"/>
                <w:szCs w:val="18"/>
              </w:rPr>
            </w:pPr>
            <w:r w:rsidRPr="00693FCC">
              <w:rPr>
                <w:rFonts w:cs="Arial"/>
                <w:sz w:val="18"/>
                <w:szCs w:val="18"/>
              </w:rPr>
              <w:t>(795)</w:t>
            </w:r>
          </w:p>
        </w:tc>
        <w:tc>
          <w:tcPr>
            <w:tcW w:w="1559" w:type="dxa"/>
            <w:tcBorders>
              <w:top w:val="nil"/>
              <w:left w:val="nil"/>
              <w:bottom w:val="nil"/>
              <w:right w:val="nil"/>
            </w:tcBorders>
            <w:shd w:val="clear" w:color="auto" w:fill="auto"/>
            <w:noWrap/>
            <w:vAlign w:val="bottom"/>
          </w:tcPr>
          <w:p w14:paraId="20F13C36" w14:textId="465381EB" w:rsidR="00E87987" w:rsidRPr="00166751" w:rsidRDefault="00E87987" w:rsidP="00E87987">
            <w:pPr>
              <w:spacing w:after="0" w:line="240" w:lineRule="exact"/>
              <w:jc w:val="right"/>
              <w:rPr>
                <w:rFonts w:cs="Arial"/>
                <w:sz w:val="18"/>
                <w:szCs w:val="18"/>
              </w:rPr>
            </w:pPr>
            <w:r w:rsidRPr="00693FCC">
              <w:rPr>
                <w:rFonts w:cs="Arial"/>
                <w:sz w:val="18"/>
                <w:szCs w:val="18"/>
              </w:rPr>
              <w:t>224</w:t>
            </w:r>
          </w:p>
        </w:tc>
        <w:tc>
          <w:tcPr>
            <w:tcW w:w="1134" w:type="dxa"/>
            <w:tcBorders>
              <w:top w:val="nil"/>
              <w:left w:val="nil"/>
              <w:bottom w:val="nil"/>
              <w:right w:val="nil"/>
            </w:tcBorders>
            <w:shd w:val="clear" w:color="auto" w:fill="auto"/>
            <w:noWrap/>
            <w:vAlign w:val="bottom"/>
          </w:tcPr>
          <w:p w14:paraId="619FA3C1" w14:textId="6A120C62" w:rsidR="00E87987" w:rsidRPr="00166751" w:rsidRDefault="00E87987" w:rsidP="00E87987">
            <w:pPr>
              <w:spacing w:after="0" w:line="240" w:lineRule="exact"/>
              <w:jc w:val="right"/>
              <w:rPr>
                <w:rFonts w:cs="Arial"/>
                <w:sz w:val="18"/>
                <w:szCs w:val="18"/>
              </w:rPr>
            </w:pPr>
            <w:r w:rsidRPr="00693FCC">
              <w:rPr>
                <w:rFonts w:cs="Arial"/>
                <w:sz w:val="18"/>
                <w:szCs w:val="18"/>
              </w:rPr>
              <w:t>(116</w:t>
            </w:r>
            <w:r>
              <w:rPr>
                <w:rFonts w:cs="Arial"/>
                <w:sz w:val="18"/>
                <w:szCs w:val="18"/>
              </w:rPr>
              <w:t>,</w:t>
            </w:r>
            <w:r w:rsidRPr="00693FCC">
              <w:rPr>
                <w:rFonts w:cs="Arial"/>
                <w:sz w:val="18"/>
                <w:szCs w:val="18"/>
              </w:rPr>
              <w:t>507)</w:t>
            </w:r>
          </w:p>
        </w:tc>
      </w:tr>
      <w:tr w:rsidR="00E87987" w:rsidRPr="00E0503B" w14:paraId="7F90BE59" w14:textId="77777777" w:rsidTr="009702B0">
        <w:trPr>
          <w:trHeight w:hRule="exact" w:val="284"/>
        </w:trPr>
        <w:tc>
          <w:tcPr>
            <w:tcW w:w="3085" w:type="dxa"/>
            <w:shd w:val="clear" w:color="auto" w:fill="auto"/>
            <w:vAlign w:val="bottom"/>
          </w:tcPr>
          <w:p w14:paraId="4E12CE3D" w14:textId="77777777" w:rsidR="00E87987" w:rsidRPr="00166751" w:rsidRDefault="00E87987" w:rsidP="00E87987">
            <w:pPr>
              <w:spacing w:after="0" w:line="240" w:lineRule="auto"/>
              <w:rPr>
                <w:rFonts w:eastAsia="Times New Roman" w:cs="Arial"/>
                <w:sz w:val="18"/>
                <w:szCs w:val="18"/>
              </w:rPr>
            </w:pPr>
            <w:r w:rsidRPr="00166751">
              <w:rPr>
                <w:rFonts w:eastAsia="Times New Roman" w:cs="Arial"/>
                <w:sz w:val="18"/>
                <w:szCs w:val="18"/>
              </w:rPr>
              <w:t xml:space="preserve">Impairment loss and provisions </w:t>
            </w:r>
          </w:p>
        </w:tc>
        <w:tc>
          <w:tcPr>
            <w:tcW w:w="1276" w:type="dxa"/>
            <w:tcBorders>
              <w:top w:val="nil"/>
              <w:left w:val="nil"/>
              <w:bottom w:val="nil"/>
              <w:right w:val="nil"/>
            </w:tcBorders>
            <w:shd w:val="clear" w:color="auto" w:fill="auto"/>
            <w:noWrap/>
            <w:vAlign w:val="bottom"/>
          </w:tcPr>
          <w:p w14:paraId="427EE156" w14:textId="0109210F" w:rsidR="00E87987" w:rsidRPr="00166751" w:rsidRDefault="00E87987" w:rsidP="00E87987">
            <w:pPr>
              <w:spacing w:after="0" w:line="240" w:lineRule="exact"/>
              <w:jc w:val="right"/>
              <w:rPr>
                <w:rFonts w:cs="Arial"/>
                <w:sz w:val="18"/>
                <w:szCs w:val="18"/>
              </w:rPr>
            </w:pPr>
            <w:r w:rsidRPr="00693FCC">
              <w:rPr>
                <w:rFonts w:cs="Arial"/>
                <w:sz w:val="18"/>
                <w:szCs w:val="18"/>
              </w:rPr>
              <w:t>(44</w:t>
            </w:r>
            <w:r>
              <w:rPr>
                <w:rFonts w:cs="Arial"/>
                <w:sz w:val="18"/>
                <w:szCs w:val="18"/>
              </w:rPr>
              <w:t>,</w:t>
            </w:r>
            <w:r w:rsidRPr="00693FCC">
              <w:rPr>
                <w:rFonts w:cs="Arial"/>
                <w:sz w:val="18"/>
                <w:szCs w:val="18"/>
              </w:rPr>
              <w:t>880)</w:t>
            </w:r>
          </w:p>
        </w:tc>
        <w:tc>
          <w:tcPr>
            <w:tcW w:w="1701" w:type="dxa"/>
            <w:tcBorders>
              <w:top w:val="nil"/>
              <w:left w:val="nil"/>
              <w:bottom w:val="nil"/>
              <w:right w:val="nil"/>
            </w:tcBorders>
            <w:shd w:val="clear" w:color="auto" w:fill="auto"/>
            <w:noWrap/>
            <w:vAlign w:val="bottom"/>
          </w:tcPr>
          <w:p w14:paraId="18977EA8" w14:textId="5645E4C2" w:rsidR="00E87987" w:rsidRPr="00166751" w:rsidRDefault="00E87987" w:rsidP="00E87987">
            <w:pPr>
              <w:spacing w:after="0" w:line="240" w:lineRule="exact"/>
              <w:jc w:val="right"/>
              <w:rPr>
                <w:rFonts w:cs="Arial"/>
                <w:sz w:val="18"/>
                <w:szCs w:val="18"/>
              </w:rPr>
            </w:pPr>
            <w:r w:rsidRPr="00693FCC">
              <w:rPr>
                <w:rFonts w:cs="Arial"/>
                <w:sz w:val="18"/>
                <w:szCs w:val="18"/>
              </w:rPr>
              <w:t>63</w:t>
            </w:r>
          </w:p>
        </w:tc>
        <w:tc>
          <w:tcPr>
            <w:tcW w:w="1134" w:type="dxa"/>
            <w:tcBorders>
              <w:top w:val="nil"/>
              <w:left w:val="nil"/>
              <w:bottom w:val="nil"/>
              <w:right w:val="nil"/>
            </w:tcBorders>
            <w:shd w:val="clear" w:color="auto" w:fill="auto"/>
            <w:noWrap/>
            <w:vAlign w:val="bottom"/>
          </w:tcPr>
          <w:p w14:paraId="06E2A16A" w14:textId="5265DC0A" w:rsidR="00E87987" w:rsidRPr="00166751" w:rsidRDefault="00E87987" w:rsidP="00E87987">
            <w:pPr>
              <w:spacing w:after="0" w:line="240" w:lineRule="exact"/>
              <w:jc w:val="right"/>
              <w:rPr>
                <w:rFonts w:cs="Arial"/>
                <w:sz w:val="18"/>
                <w:szCs w:val="18"/>
              </w:rPr>
            </w:pPr>
            <w:r w:rsidRPr="00693FCC">
              <w:rPr>
                <w:rFonts w:cs="Arial"/>
                <w:sz w:val="18"/>
                <w:szCs w:val="18"/>
              </w:rPr>
              <w:t>10</w:t>
            </w:r>
          </w:p>
        </w:tc>
        <w:tc>
          <w:tcPr>
            <w:tcW w:w="1559" w:type="dxa"/>
            <w:tcBorders>
              <w:top w:val="nil"/>
              <w:left w:val="nil"/>
              <w:bottom w:val="nil"/>
              <w:right w:val="nil"/>
            </w:tcBorders>
            <w:shd w:val="clear" w:color="auto" w:fill="auto"/>
            <w:noWrap/>
            <w:vAlign w:val="bottom"/>
          </w:tcPr>
          <w:p w14:paraId="3F5723B1" w14:textId="28B750B6" w:rsidR="00E87987" w:rsidRPr="00166751" w:rsidRDefault="00E87987" w:rsidP="00E87987">
            <w:pPr>
              <w:spacing w:after="0" w:line="240" w:lineRule="exact"/>
              <w:jc w:val="right"/>
              <w:rPr>
                <w:rFonts w:cs="Arial"/>
                <w:sz w:val="18"/>
                <w:szCs w:val="18"/>
              </w:rPr>
            </w:pPr>
            <w:r w:rsidRPr="00693FCC">
              <w:rPr>
                <w:rFonts w:cs="Arial"/>
                <w:sz w:val="18"/>
                <w:szCs w:val="18"/>
              </w:rPr>
              <w:t>-</w:t>
            </w:r>
          </w:p>
        </w:tc>
        <w:tc>
          <w:tcPr>
            <w:tcW w:w="1134" w:type="dxa"/>
            <w:tcBorders>
              <w:top w:val="nil"/>
              <w:left w:val="nil"/>
              <w:bottom w:val="nil"/>
              <w:right w:val="nil"/>
            </w:tcBorders>
            <w:shd w:val="clear" w:color="auto" w:fill="auto"/>
            <w:noWrap/>
            <w:vAlign w:val="bottom"/>
          </w:tcPr>
          <w:p w14:paraId="0D012262" w14:textId="033B15BC" w:rsidR="00E87987" w:rsidRPr="00166751" w:rsidRDefault="00E87987" w:rsidP="00E87987">
            <w:pPr>
              <w:spacing w:after="0" w:line="240" w:lineRule="exact"/>
              <w:jc w:val="right"/>
              <w:rPr>
                <w:rFonts w:cs="Arial"/>
                <w:sz w:val="18"/>
                <w:szCs w:val="18"/>
              </w:rPr>
            </w:pPr>
            <w:r w:rsidRPr="00693FCC">
              <w:rPr>
                <w:rFonts w:cs="Arial"/>
                <w:sz w:val="18"/>
                <w:szCs w:val="18"/>
              </w:rPr>
              <w:t>(44</w:t>
            </w:r>
            <w:r>
              <w:rPr>
                <w:rFonts w:cs="Arial"/>
                <w:sz w:val="18"/>
                <w:szCs w:val="18"/>
              </w:rPr>
              <w:t>,</w:t>
            </w:r>
            <w:r w:rsidRPr="00693FCC">
              <w:rPr>
                <w:rFonts w:cs="Arial"/>
                <w:sz w:val="18"/>
                <w:szCs w:val="18"/>
              </w:rPr>
              <w:t>807)</w:t>
            </w:r>
          </w:p>
        </w:tc>
      </w:tr>
      <w:tr w:rsidR="00E87987" w:rsidRPr="00E0503B" w14:paraId="043D51E4" w14:textId="77777777" w:rsidTr="009702B0">
        <w:trPr>
          <w:trHeight w:hRule="exact" w:val="284"/>
        </w:trPr>
        <w:tc>
          <w:tcPr>
            <w:tcW w:w="3085" w:type="dxa"/>
            <w:shd w:val="clear" w:color="auto" w:fill="auto"/>
            <w:vAlign w:val="bottom"/>
          </w:tcPr>
          <w:p w14:paraId="6EE357BD" w14:textId="77777777" w:rsidR="00E87987" w:rsidRPr="00166751" w:rsidRDefault="00E87987" w:rsidP="00E87987">
            <w:pPr>
              <w:spacing w:after="0" w:line="240" w:lineRule="auto"/>
              <w:rPr>
                <w:rFonts w:eastAsia="Times New Roman" w:cs="Arial"/>
                <w:sz w:val="18"/>
                <w:szCs w:val="18"/>
              </w:rPr>
            </w:pPr>
            <w:r w:rsidRPr="00166751">
              <w:rPr>
                <w:rFonts w:eastAsia="Times New Roman" w:cs="Arial"/>
                <w:sz w:val="18"/>
                <w:szCs w:val="18"/>
              </w:rPr>
              <w:t>Expenses for insured cases</w:t>
            </w:r>
          </w:p>
        </w:tc>
        <w:tc>
          <w:tcPr>
            <w:tcW w:w="1276" w:type="dxa"/>
            <w:tcBorders>
              <w:top w:val="nil"/>
              <w:left w:val="nil"/>
              <w:bottom w:val="nil"/>
              <w:right w:val="nil"/>
            </w:tcBorders>
            <w:shd w:val="clear" w:color="auto" w:fill="auto"/>
            <w:noWrap/>
            <w:vAlign w:val="bottom"/>
          </w:tcPr>
          <w:p w14:paraId="22A9CDCC" w14:textId="0CBD8C04" w:rsidR="00E87987" w:rsidRPr="00166751" w:rsidRDefault="00E87987" w:rsidP="00E87987">
            <w:pPr>
              <w:spacing w:after="0" w:line="240" w:lineRule="exact"/>
              <w:jc w:val="right"/>
              <w:rPr>
                <w:rFonts w:cs="Arial"/>
                <w:sz w:val="18"/>
                <w:szCs w:val="18"/>
              </w:rPr>
            </w:pPr>
            <w:r w:rsidRPr="00693FCC">
              <w:rPr>
                <w:rFonts w:cs="Arial"/>
                <w:sz w:val="18"/>
                <w:szCs w:val="18"/>
              </w:rPr>
              <w:t>-</w:t>
            </w:r>
          </w:p>
        </w:tc>
        <w:tc>
          <w:tcPr>
            <w:tcW w:w="1701" w:type="dxa"/>
            <w:tcBorders>
              <w:top w:val="nil"/>
              <w:left w:val="nil"/>
              <w:bottom w:val="nil"/>
              <w:right w:val="nil"/>
            </w:tcBorders>
            <w:shd w:val="clear" w:color="auto" w:fill="auto"/>
            <w:noWrap/>
            <w:vAlign w:val="bottom"/>
          </w:tcPr>
          <w:p w14:paraId="6748C062" w14:textId="069D04CB" w:rsidR="00E87987" w:rsidRPr="00166751" w:rsidRDefault="00E87987" w:rsidP="00E87987">
            <w:pPr>
              <w:spacing w:after="0" w:line="240" w:lineRule="exact"/>
              <w:jc w:val="right"/>
              <w:rPr>
                <w:rFonts w:cs="Arial"/>
                <w:sz w:val="18"/>
                <w:szCs w:val="18"/>
              </w:rPr>
            </w:pPr>
            <w:r w:rsidRPr="00693FCC">
              <w:rPr>
                <w:rFonts w:cs="Arial"/>
                <w:sz w:val="18"/>
                <w:szCs w:val="18"/>
              </w:rPr>
              <w:t>(1</w:t>
            </w:r>
            <w:r>
              <w:rPr>
                <w:rFonts w:cs="Arial"/>
                <w:sz w:val="18"/>
                <w:szCs w:val="18"/>
              </w:rPr>
              <w:t>,</w:t>
            </w:r>
            <w:r w:rsidRPr="00693FCC">
              <w:rPr>
                <w:rFonts w:cs="Arial"/>
                <w:sz w:val="18"/>
                <w:szCs w:val="18"/>
              </w:rPr>
              <w:t>591)</w:t>
            </w:r>
          </w:p>
        </w:tc>
        <w:tc>
          <w:tcPr>
            <w:tcW w:w="1134" w:type="dxa"/>
            <w:tcBorders>
              <w:top w:val="nil"/>
              <w:left w:val="nil"/>
              <w:bottom w:val="nil"/>
              <w:right w:val="nil"/>
            </w:tcBorders>
            <w:shd w:val="clear" w:color="auto" w:fill="auto"/>
            <w:noWrap/>
            <w:vAlign w:val="bottom"/>
          </w:tcPr>
          <w:p w14:paraId="6D094F0F" w14:textId="50CDA009" w:rsidR="00E87987" w:rsidRPr="00166751" w:rsidRDefault="00E87987" w:rsidP="00E87987">
            <w:pPr>
              <w:spacing w:after="0" w:line="240" w:lineRule="exact"/>
              <w:jc w:val="right"/>
              <w:rPr>
                <w:rFonts w:cs="Arial"/>
                <w:sz w:val="18"/>
                <w:szCs w:val="18"/>
              </w:rPr>
            </w:pPr>
            <w:r w:rsidRPr="00693FCC">
              <w:rPr>
                <w:rFonts w:cs="Arial"/>
                <w:sz w:val="18"/>
                <w:szCs w:val="18"/>
              </w:rPr>
              <w:t>-</w:t>
            </w:r>
          </w:p>
        </w:tc>
        <w:tc>
          <w:tcPr>
            <w:tcW w:w="1559" w:type="dxa"/>
            <w:tcBorders>
              <w:top w:val="nil"/>
              <w:left w:val="nil"/>
              <w:bottom w:val="nil"/>
              <w:right w:val="nil"/>
            </w:tcBorders>
            <w:shd w:val="clear" w:color="auto" w:fill="auto"/>
            <w:noWrap/>
            <w:vAlign w:val="bottom"/>
          </w:tcPr>
          <w:p w14:paraId="192ADC07" w14:textId="7B814D43" w:rsidR="00E87987" w:rsidRPr="00166751" w:rsidRDefault="00E87987" w:rsidP="00E87987">
            <w:pPr>
              <w:spacing w:after="0" w:line="240" w:lineRule="exact"/>
              <w:jc w:val="right"/>
              <w:rPr>
                <w:rFonts w:cs="Arial"/>
                <w:sz w:val="18"/>
                <w:szCs w:val="18"/>
              </w:rPr>
            </w:pPr>
            <w:r w:rsidRPr="00693FCC">
              <w:rPr>
                <w:rFonts w:cs="Arial"/>
                <w:sz w:val="18"/>
                <w:szCs w:val="18"/>
              </w:rPr>
              <w:t>-</w:t>
            </w:r>
          </w:p>
        </w:tc>
        <w:tc>
          <w:tcPr>
            <w:tcW w:w="1134" w:type="dxa"/>
            <w:tcBorders>
              <w:top w:val="nil"/>
              <w:left w:val="nil"/>
              <w:bottom w:val="nil"/>
              <w:right w:val="nil"/>
            </w:tcBorders>
            <w:shd w:val="clear" w:color="auto" w:fill="auto"/>
            <w:noWrap/>
            <w:vAlign w:val="bottom"/>
          </w:tcPr>
          <w:p w14:paraId="1C47A979" w14:textId="36FE133A" w:rsidR="00E87987" w:rsidRPr="00166751" w:rsidRDefault="00E87987" w:rsidP="00E87987">
            <w:pPr>
              <w:spacing w:after="0" w:line="240" w:lineRule="exact"/>
              <w:jc w:val="right"/>
              <w:rPr>
                <w:rFonts w:cs="Arial"/>
                <w:sz w:val="18"/>
                <w:szCs w:val="18"/>
              </w:rPr>
            </w:pPr>
            <w:r w:rsidRPr="00693FCC">
              <w:rPr>
                <w:rFonts w:cs="Arial"/>
                <w:sz w:val="18"/>
                <w:szCs w:val="18"/>
              </w:rPr>
              <w:t>(1</w:t>
            </w:r>
            <w:r>
              <w:rPr>
                <w:rFonts w:cs="Arial"/>
                <w:sz w:val="18"/>
                <w:szCs w:val="18"/>
              </w:rPr>
              <w:t>,</w:t>
            </w:r>
            <w:r w:rsidRPr="00693FCC">
              <w:rPr>
                <w:rFonts w:cs="Arial"/>
                <w:sz w:val="18"/>
                <w:szCs w:val="18"/>
              </w:rPr>
              <w:t>591)</w:t>
            </w:r>
          </w:p>
        </w:tc>
      </w:tr>
      <w:tr w:rsidR="00E87987" w:rsidRPr="00E0503B" w14:paraId="5FF4F6A5" w14:textId="77777777" w:rsidTr="009702B0">
        <w:trPr>
          <w:trHeight w:hRule="exact" w:val="284"/>
        </w:trPr>
        <w:tc>
          <w:tcPr>
            <w:tcW w:w="3085" w:type="dxa"/>
            <w:shd w:val="clear" w:color="auto" w:fill="auto"/>
            <w:vAlign w:val="bottom"/>
          </w:tcPr>
          <w:p w14:paraId="3F7B3D84" w14:textId="77777777" w:rsidR="00E87987" w:rsidRPr="00166751" w:rsidRDefault="00E87987" w:rsidP="00E87987">
            <w:pPr>
              <w:spacing w:after="0" w:line="240" w:lineRule="auto"/>
              <w:rPr>
                <w:rFonts w:eastAsia="Times New Roman" w:cs="Arial"/>
                <w:sz w:val="18"/>
                <w:szCs w:val="18"/>
              </w:rPr>
            </w:pPr>
            <w:r w:rsidRPr="00166751">
              <w:rPr>
                <w:rFonts w:eastAsia="Times New Roman" w:cs="Arial"/>
                <w:sz w:val="18"/>
                <w:szCs w:val="18"/>
              </w:rPr>
              <w:t xml:space="preserve">Net change in provisions </w:t>
            </w:r>
          </w:p>
        </w:tc>
        <w:tc>
          <w:tcPr>
            <w:tcW w:w="1276" w:type="dxa"/>
            <w:tcBorders>
              <w:top w:val="nil"/>
              <w:left w:val="nil"/>
              <w:bottom w:val="nil"/>
              <w:right w:val="nil"/>
            </w:tcBorders>
            <w:shd w:val="clear" w:color="auto" w:fill="auto"/>
            <w:noWrap/>
            <w:vAlign w:val="bottom"/>
          </w:tcPr>
          <w:p w14:paraId="75F3D8CD" w14:textId="4C3459EF" w:rsidR="00E87987" w:rsidRPr="00166751" w:rsidRDefault="00E87987" w:rsidP="00E87987">
            <w:pPr>
              <w:spacing w:after="0" w:line="240" w:lineRule="exact"/>
              <w:jc w:val="right"/>
              <w:rPr>
                <w:rFonts w:cs="Arial"/>
                <w:sz w:val="18"/>
                <w:szCs w:val="18"/>
              </w:rPr>
            </w:pPr>
            <w:r w:rsidRPr="00693FCC">
              <w:rPr>
                <w:rFonts w:cs="Arial"/>
                <w:sz w:val="18"/>
                <w:szCs w:val="18"/>
              </w:rPr>
              <w:t>-</w:t>
            </w:r>
          </w:p>
        </w:tc>
        <w:tc>
          <w:tcPr>
            <w:tcW w:w="1701" w:type="dxa"/>
            <w:tcBorders>
              <w:top w:val="nil"/>
              <w:left w:val="nil"/>
              <w:bottom w:val="nil"/>
              <w:right w:val="nil"/>
            </w:tcBorders>
            <w:shd w:val="clear" w:color="auto" w:fill="auto"/>
            <w:noWrap/>
            <w:vAlign w:val="bottom"/>
          </w:tcPr>
          <w:p w14:paraId="26D1273C" w14:textId="0F6AF2B4" w:rsidR="00E87987" w:rsidRPr="00166751" w:rsidRDefault="00E87987" w:rsidP="00E87987">
            <w:pPr>
              <w:spacing w:after="0" w:line="240" w:lineRule="exact"/>
              <w:jc w:val="right"/>
              <w:rPr>
                <w:rFonts w:cs="Arial"/>
                <w:sz w:val="18"/>
                <w:szCs w:val="18"/>
              </w:rPr>
            </w:pPr>
            <w:r w:rsidRPr="00693FCC">
              <w:rPr>
                <w:rFonts w:cs="Arial"/>
                <w:sz w:val="18"/>
                <w:szCs w:val="18"/>
              </w:rPr>
              <w:t>(755)</w:t>
            </w:r>
          </w:p>
        </w:tc>
        <w:tc>
          <w:tcPr>
            <w:tcW w:w="1134" w:type="dxa"/>
            <w:tcBorders>
              <w:top w:val="nil"/>
              <w:left w:val="nil"/>
              <w:bottom w:val="nil"/>
              <w:right w:val="nil"/>
            </w:tcBorders>
            <w:shd w:val="clear" w:color="auto" w:fill="auto"/>
            <w:noWrap/>
            <w:vAlign w:val="bottom"/>
          </w:tcPr>
          <w:p w14:paraId="40DAFEE4" w14:textId="14EDA4CE" w:rsidR="00E87987" w:rsidRPr="00166751" w:rsidRDefault="00E87987" w:rsidP="00E87987">
            <w:pPr>
              <w:spacing w:after="0" w:line="240" w:lineRule="exact"/>
              <w:jc w:val="right"/>
              <w:rPr>
                <w:rFonts w:cs="Arial"/>
                <w:sz w:val="18"/>
                <w:szCs w:val="18"/>
              </w:rPr>
            </w:pPr>
            <w:r w:rsidRPr="00693FCC">
              <w:rPr>
                <w:rFonts w:cs="Arial"/>
                <w:sz w:val="18"/>
                <w:szCs w:val="18"/>
              </w:rPr>
              <w:t>-</w:t>
            </w:r>
          </w:p>
        </w:tc>
        <w:tc>
          <w:tcPr>
            <w:tcW w:w="1559" w:type="dxa"/>
            <w:tcBorders>
              <w:top w:val="nil"/>
              <w:left w:val="nil"/>
              <w:bottom w:val="nil"/>
              <w:right w:val="nil"/>
            </w:tcBorders>
            <w:shd w:val="clear" w:color="auto" w:fill="auto"/>
            <w:noWrap/>
            <w:vAlign w:val="bottom"/>
          </w:tcPr>
          <w:p w14:paraId="2C713F5B" w14:textId="7BD83C43" w:rsidR="00E87987" w:rsidRPr="00166751" w:rsidRDefault="00E87987" w:rsidP="00E87987">
            <w:pPr>
              <w:spacing w:after="0" w:line="240" w:lineRule="exact"/>
              <w:jc w:val="right"/>
              <w:rPr>
                <w:rFonts w:cs="Arial"/>
                <w:sz w:val="18"/>
                <w:szCs w:val="18"/>
              </w:rPr>
            </w:pPr>
            <w:r w:rsidRPr="00693FCC">
              <w:rPr>
                <w:rFonts w:cs="Arial"/>
                <w:sz w:val="18"/>
                <w:szCs w:val="18"/>
              </w:rPr>
              <w:t>-</w:t>
            </w:r>
          </w:p>
        </w:tc>
        <w:tc>
          <w:tcPr>
            <w:tcW w:w="1134" w:type="dxa"/>
            <w:tcBorders>
              <w:top w:val="nil"/>
              <w:left w:val="nil"/>
              <w:bottom w:val="nil"/>
              <w:right w:val="nil"/>
            </w:tcBorders>
            <w:shd w:val="clear" w:color="auto" w:fill="auto"/>
            <w:noWrap/>
            <w:vAlign w:val="bottom"/>
          </w:tcPr>
          <w:p w14:paraId="0F984753" w14:textId="318CD6D8" w:rsidR="00E87987" w:rsidRPr="00166751" w:rsidRDefault="00E87987" w:rsidP="00E87987">
            <w:pPr>
              <w:spacing w:after="0" w:line="240" w:lineRule="exact"/>
              <w:jc w:val="right"/>
              <w:rPr>
                <w:rFonts w:cs="Arial"/>
                <w:sz w:val="18"/>
                <w:szCs w:val="18"/>
              </w:rPr>
            </w:pPr>
            <w:r w:rsidRPr="00693FCC">
              <w:rPr>
                <w:rFonts w:cs="Arial"/>
                <w:sz w:val="18"/>
                <w:szCs w:val="18"/>
              </w:rPr>
              <w:t>(755)</w:t>
            </w:r>
          </w:p>
        </w:tc>
      </w:tr>
      <w:tr w:rsidR="00E87987" w:rsidRPr="00E0503B" w14:paraId="47B8B663" w14:textId="77777777" w:rsidTr="009702B0">
        <w:trPr>
          <w:trHeight w:hRule="exact" w:val="284"/>
        </w:trPr>
        <w:tc>
          <w:tcPr>
            <w:tcW w:w="3085" w:type="dxa"/>
            <w:shd w:val="clear" w:color="auto" w:fill="auto"/>
            <w:vAlign w:val="bottom"/>
          </w:tcPr>
          <w:p w14:paraId="53A6FA52" w14:textId="77777777" w:rsidR="00E87987" w:rsidRPr="00166751" w:rsidRDefault="00E87987" w:rsidP="00E87987">
            <w:pPr>
              <w:spacing w:after="0" w:line="240" w:lineRule="auto"/>
              <w:rPr>
                <w:rFonts w:eastAsia="Times New Roman" w:cs="Arial"/>
                <w:sz w:val="18"/>
                <w:szCs w:val="18"/>
              </w:rPr>
            </w:pPr>
            <w:r w:rsidRPr="00166751">
              <w:rPr>
                <w:rFonts w:eastAsia="Times New Roman" w:cs="Arial"/>
                <w:sz w:val="18"/>
                <w:szCs w:val="18"/>
              </w:rPr>
              <w:t>Other expenses</w:t>
            </w:r>
          </w:p>
        </w:tc>
        <w:tc>
          <w:tcPr>
            <w:tcW w:w="1276" w:type="dxa"/>
            <w:tcBorders>
              <w:top w:val="nil"/>
              <w:left w:val="nil"/>
              <w:bottom w:val="nil"/>
              <w:right w:val="nil"/>
            </w:tcBorders>
            <w:shd w:val="clear" w:color="auto" w:fill="auto"/>
            <w:noWrap/>
            <w:vAlign w:val="bottom"/>
          </w:tcPr>
          <w:p w14:paraId="47DE0896" w14:textId="031AE3BB" w:rsidR="00E87987" w:rsidRPr="00166751" w:rsidRDefault="00E87987" w:rsidP="00E87987">
            <w:pPr>
              <w:spacing w:after="0" w:line="240" w:lineRule="exact"/>
              <w:jc w:val="right"/>
              <w:rPr>
                <w:rFonts w:cs="Arial"/>
                <w:sz w:val="18"/>
                <w:szCs w:val="18"/>
              </w:rPr>
            </w:pPr>
            <w:r w:rsidRPr="00693FCC">
              <w:rPr>
                <w:rFonts w:cs="Arial"/>
                <w:sz w:val="18"/>
                <w:szCs w:val="18"/>
              </w:rPr>
              <w:t>-</w:t>
            </w:r>
          </w:p>
        </w:tc>
        <w:tc>
          <w:tcPr>
            <w:tcW w:w="1701" w:type="dxa"/>
            <w:tcBorders>
              <w:top w:val="nil"/>
              <w:left w:val="nil"/>
              <w:bottom w:val="nil"/>
              <w:right w:val="nil"/>
            </w:tcBorders>
            <w:shd w:val="clear" w:color="auto" w:fill="auto"/>
            <w:noWrap/>
            <w:vAlign w:val="bottom"/>
          </w:tcPr>
          <w:p w14:paraId="2BFC3271" w14:textId="399F2672" w:rsidR="00E87987" w:rsidRPr="00166751" w:rsidRDefault="00E87987" w:rsidP="00E87987">
            <w:pPr>
              <w:spacing w:after="0" w:line="240" w:lineRule="exact"/>
              <w:jc w:val="right"/>
              <w:rPr>
                <w:rFonts w:cs="Arial"/>
                <w:sz w:val="18"/>
                <w:szCs w:val="18"/>
              </w:rPr>
            </w:pPr>
            <w:r w:rsidRPr="00693FCC">
              <w:rPr>
                <w:rFonts w:cs="Arial"/>
                <w:sz w:val="18"/>
                <w:szCs w:val="18"/>
              </w:rPr>
              <w:t>(399)</w:t>
            </w:r>
          </w:p>
        </w:tc>
        <w:tc>
          <w:tcPr>
            <w:tcW w:w="1134" w:type="dxa"/>
            <w:tcBorders>
              <w:top w:val="nil"/>
              <w:left w:val="nil"/>
              <w:bottom w:val="nil"/>
              <w:right w:val="nil"/>
            </w:tcBorders>
            <w:shd w:val="clear" w:color="auto" w:fill="auto"/>
            <w:noWrap/>
            <w:vAlign w:val="bottom"/>
          </w:tcPr>
          <w:p w14:paraId="0527EBA0" w14:textId="2992AF05" w:rsidR="00E87987" w:rsidRPr="00166751" w:rsidRDefault="00E87987" w:rsidP="00E87987">
            <w:pPr>
              <w:spacing w:after="0" w:line="240" w:lineRule="exact"/>
              <w:jc w:val="right"/>
              <w:rPr>
                <w:rFonts w:cs="Arial"/>
                <w:sz w:val="18"/>
                <w:szCs w:val="18"/>
              </w:rPr>
            </w:pPr>
            <w:r w:rsidRPr="00693FCC">
              <w:rPr>
                <w:rFonts w:cs="Arial"/>
                <w:sz w:val="18"/>
                <w:szCs w:val="18"/>
              </w:rPr>
              <w:t>-</w:t>
            </w:r>
          </w:p>
        </w:tc>
        <w:tc>
          <w:tcPr>
            <w:tcW w:w="1559" w:type="dxa"/>
            <w:tcBorders>
              <w:top w:val="nil"/>
              <w:left w:val="nil"/>
              <w:bottom w:val="nil"/>
              <w:right w:val="nil"/>
            </w:tcBorders>
            <w:shd w:val="clear" w:color="auto" w:fill="auto"/>
            <w:noWrap/>
            <w:vAlign w:val="bottom"/>
          </w:tcPr>
          <w:p w14:paraId="6787130B" w14:textId="7B5127DB" w:rsidR="00E87987" w:rsidRPr="00166751" w:rsidRDefault="00E87987" w:rsidP="00E87987">
            <w:pPr>
              <w:spacing w:after="0" w:line="240" w:lineRule="exact"/>
              <w:jc w:val="right"/>
              <w:rPr>
                <w:rFonts w:cs="Arial"/>
                <w:sz w:val="18"/>
                <w:szCs w:val="18"/>
              </w:rPr>
            </w:pPr>
            <w:r w:rsidRPr="00693FCC">
              <w:rPr>
                <w:rFonts w:cs="Arial"/>
                <w:sz w:val="18"/>
                <w:szCs w:val="18"/>
              </w:rPr>
              <w:t>-</w:t>
            </w:r>
          </w:p>
        </w:tc>
        <w:tc>
          <w:tcPr>
            <w:tcW w:w="1134" w:type="dxa"/>
            <w:tcBorders>
              <w:top w:val="nil"/>
              <w:left w:val="nil"/>
              <w:bottom w:val="nil"/>
              <w:right w:val="nil"/>
            </w:tcBorders>
            <w:shd w:val="clear" w:color="auto" w:fill="auto"/>
            <w:noWrap/>
            <w:vAlign w:val="bottom"/>
          </w:tcPr>
          <w:p w14:paraId="43F2767F" w14:textId="737302FA" w:rsidR="00E87987" w:rsidRPr="00166751" w:rsidRDefault="00E87987" w:rsidP="00E87987">
            <w:pPr>
              <w:spacing w:after="0" w:line="240" w:lineRule="exact"/>
              <w:jc w:val="right"/>
              <w:rPr>
                <w:rFonts w:cs="Arial"/>
                <w:sz w:val="18"/>
                <w:szCs w:val="18"/>
              </w:rPr>
            </w:pPr>
            <w:r w:rsidRPr="00693FCC">
              <w:rPr>
                <w:rFonts w:cs="Arial"/>
                <w:sz w:val="18"/>
                <w:szCs w:val="18"/>
              </w:rPr>
              <w:t>(399)</w:t>
            </w:r>
          </w:p>
        </w:tc>
      </w:tr>
      <w:tr w:rsidR="00E87987" w:rsidRPr="00E0503B" w14:paraId="3E7F9CC2" w14:textId="77777777" w:rsidTr="005444AA">
        <w:trPr>
          <w:trHeight w:val="300"/>
        </w:trPr>
        <w:tc>
          <w:tcPr>
            <w:tcW w:w="3085" w:type="dxa"/>
            <w:shd w:val="clear" w:color="auto" w:fill="auto"/>
            <w:vAlign w:val="bottom"/>
          </w:tcPr>
          <w:p w14:paraId="1439BC0D" w14:textId="77777777" w:rsidR="00E87987" w:rsidRPr="00166751" w:rsidRDefault="00E87987" w:rsidP="00E87987">
            <w:pPr>
              <w:spacing w:after="0" w:line="240" w:lineRule="auto"/>
              <w:rPr>
                <w:rFonts w:eastAsia="Times New Roman" w:cs="Arial"/>
                <w:b/>
                <w:bCs/>
                <w:sz w:val="18"/>
                <w:szCs w:val="18"/>
              </w:rPr>
            </w:pPr>
            <w:r w:rsidRPr="00166751">
              <w:rPr>
                <w:rFonts w:eastAsia="Times New Roman" w:cs="Arial"/>
                <w:b/>
                <w:bCs/>
                <w:sz w:val="18"/>
                <w:szCs w:val="18"/>
              </w:rPr>
              <w:t xml:space="preserve">Operating expenses </w:t>
            </w:r>
          </w:p>
        </w:tc>
        <w:tc>
          <w:tcPr>
            <w:tcW w:w="1276" w:type="dxa"/>
            <w:tcBorders>
              <w:top w:val="single" w:sz="4" w:space="0" w:color="auto"/>
              <w:left w:val="nil"/>
              <w:bottom w:val="single" w:sz="8" w:space="0" w:color="auto"/>
              <w:right w:val="nil"/>
            </w:tcBorders>
            <w:shd w:val="clear" w:color="auto" w:fill="auto"/>
            <w:noWrap/>
            <w:vAlign w:val="bottom"/>
          </w:tcPr>
          <w:p w14:paraId="05EFE829" w14:textId="09AED9B6" w:rsidR="00E87987" w:rsidRPr="00166751" w:rsidRDefault="00E87987" w:rsidP="00E87987">
            <w:pPr>
              <w:spacing w:after="0" w:line="240" w:lineRule="exact"/>
              <w:jc w:val="right"/>
              <w:rPr>
                <w:rFonts w:cs="Arial"/>
                <w:sz w:val="18"/>
                <w:szCs w:val="18"/>
              </w:rPr>
            </w:pPr>
            <w:r w:rsidRPr="00693FCC">
              <w:rPr>
                <w:rFonts w:cs="Arial"/>
                <w:b/>
                <w:sz w:val="18"/>
                <w:szCs w:val="18"/>
              </w:rPr>
              <w:t>(156</w:t>
            </w:r>
            <w:r>
              <w:rPr>
                <w:rFonts w:cs="Arial"/>
                <w:b/>
                <w:sz w:val="18"/>
                <w:szCs w:val="18"/>
              </w:rPr>
              <w:t>,</w:t>
            </w:r>
            <w:r w:rsidRPr="00693FCC">
              <w:rPr>
                <w:rFonts w:cs="Arial"/>
                <w:b/>
                <w:sz w:val="18"/>
                <w:szCs w:val="18"/>
              </w:rPr>
              <w:t>891)</w:t>
            </w:r>
          </w:p>
        </w:tc>
        <w:tc>
          <w:tcPr>
            <w:tcW w:w="1701" w:type="dxa"/>
            <w:tcBorders>
              <w:top w:val="single" w:sz="4" w:space="0" w:color="auto"/>
              <w:left w:val="nil"/>
              <w:bottom w:val="single" w:sz="8" w:space="0" w:color="auto"/>
              <w:right w:val="nil"/>
            </w:tcBorders>
            <w:shd w:val="clear" w:color="auto" w:fill="auto"/>
            <w:noWrap/>
            <w:vAlign w:val="bottom"/>
          </w:tcPr>
          <w:p w14:paraId="5FAA3187" w14:textId="1D242B58" w:rsidR="00E87987" w:rsidRPr="00166751" w:rsidRDefault="00E87987" w:rsidP="00E87987">
            <w:pPr>
              <w:spacing w:after="0" w:line="240" w:lineRule="exact"/>
              <w:jc w:val="right"/>
              <w:rPr>
                <w:rFonts w:cs="Arial"/>
                <w:sz w:val="18"/>
                <w:szCs w:val="18"/>
              </w:rPr>
            </w:pPr>
            <w:r w:rsidRPr="00693FCC">
              <w:rPr>
                <w:rFonts w:cs="Arial"/>
                <w:b/>
                <w:sz w:val="18"/>
                <w:szCs w:val="18"/>
              </w:rPr>
              <w:t>(6</w:t>
            </w:r>
            <w:r>
              <w:rPr>
                <w:rFonts w:cs="Arial"/>
                <w:b/>
                <w:sz w:val="18"/>
                <w:szCs w:val="18"/>
              </w:rPr>
              <w:t>,</w:t>
            </w:r>
            <w:r w:rsidRPr="00693FCC">
              <w:rPr>
                <w:rFonts w:cs="Arial"/>
                <w:b/>
                <w:sz w:val="18"/>
                <w:szCs w:val="18"/>
              </w:rPr>
              <w:t>607)</w:t>
            </w:r>
          </w:p>
        </w:tc>
        <w:tc>
          <w:tcPr>
            <w:tcW w:w="1134" w:type="dxa"/>
            <w:tcBorders>
              <w:top w:val="single" w:sz="4" w:space="0" w:color="auto"/>
              <w:left w:val="nil"/>
              <w:bottom w:val="single" w:sz="8" w:space="0" w:color="auto"/>
              <w:right w:val="nil"/>
            </w:tcBorders>
            <w:shd w:val="clear" w:color="auto" w:fill="auto"/>
            <w:noWrap/>
            <w:vAlign w:val="bottom"/>
          </w:tcPr>
          <w:p w14:paraId="1F3AF092" w14:textId="058B0FB5" w:rsidR="00E87987" w:rsidRPr="00166751" w:rsidRDefault="00E87987" w:rsidP="00E87987">
            <w:pPr>
              <w:spacing w:after="0" w:line="240" w:lineRule="exact"/>
              <w:jc w:val="right"/>
              <w:rPr>
                <w:rFonts w:cs="Arial"/>
                <w:sz w:val="18"/>
                <w:szCs w:val="18"/>
              </w:rPr>
            </w:pPr>
            <w:r w:rsidRPr="00693FCC">
              <w:rPr>
                <w:rFonts w:cs="Arial"/>
                <w:b/>
                <w:sz w:val="18"/>
                <w:szCs w:val="18"/>
              </w:rPr>
              <w:t>(785)</w:t>
            </w:r>
          </w:p>
        </w:tc>
        <w:tc>
          <w:tcPr>
            <w:tcW w:w="1559" w:type="dxa"/>
            <w:tcBorders>
              <w:top w:val="single" w:sz="4" w:space="0" w:color="auto"/>
              <w:left w:val="nil"/>
              <w:bottom w:val="single" w:sz="8" w:space="0" w:color="auto"/>
              <w:right w:val="nil"/>
            </w:tcBorders>
            <w:shd w:val="clear" w:color="auto" w:fill="auto"/>
            <w:noWrap/>
            <w:vAlign w:val="bottom"/>
          </w:tcPr>
          <w:p w14:paraId="332BD36D" w14:textId="42E64960" w:rsidR="00E87987" w:rsidRPr="00166751" w:rsidRDefault="00E87987" w:rsidP="00E87987">
            <w:pPr>
              <w:spacing w:after="0" w:line="240" w:lineRule="exact"/>
              <w:jc w:val="right"/>
              <w:rPr>
                <w:rFonts w:cs="Arial"/>
                <w:sz w:val="18"/>
                <w:szCs w:val="18"/>
              </w:rPr>
            </w:pPr>
            <w:r w:rsidRPr="00693FCC">
              <w:rPr>
                <w:rFonts w:cs="Arial"/>
                <w:b/>
                <w:sz w:val="18"/>
                <w:szCs w:val="18"/>
              </w:rPr>
              <w:t>224</w:t>
            </w:r>
          </w:p>
        </w:tc>
        <w:tc>
          <w:tcPr>
            <w:tcW w:w="1134" w:type="dxa"/>
            <w:tcBorders>
              <w:top w:val="single" w:sz="4" w:space="0" w:color="auto"/>
              <w:left w:val="nil"/>
              <w:bottom w:val="single" w:sz="8" w:space="0" w:color="auto"/>
              <w:right w:val="nil"/>
            </w:tcBorders>
            <w:shd w:val="clear" w:color="auto" w:fill="auto"/>
            <w:noWrap/>
            <w:vAlign w:val="bottom"/>
          </w:tcPr>
          <w:p w14:paraId="335AD3E4" w14:textId="7FFF5EB2" w:rsidR="00E87987" w:rsidRPr="00166751" w:rsidRDefault="00E87987" w:rsidP="00E87987">
            <w:pPr>
              <w:spacing w:after="0" w:line="240" w:lineRule="exact"/>
              <w:jc w:val="right"/>
              <w:rPr>
                <w:rFonts w:cs="Arial"/>
                <w:sz w:val="18"/>
                <w:szCs w:val="18"/>
              </w:rPr>
            </w:pPr>
            <w:r w:rsidRPr="00693FCC">
              <w:rPr>
                <w:rFonts w:cs="Arial"/>
                <w:b/>
                <w:sz w:val="18"/>
                <w:szCs w:val="18"/>
              </w:rPr>
              <w:t>(164</w:t>
            </w:r>
            <w:r>
              <w:rPr>
                <w:rFonts w:cs="Arial"/>
                <w:b/>
                <w:sz w:val="18"/>
                <w:szCs w:val="18"/>
              </w:rPr>
              <w:t>,</w:t>
            </w:r>
            <w:r w:rsidRPr="00693FCC">
              <w:rPr>
                <w:rFonts w:cs="Arial"/>
                <w:b/>
                <w:sz w:val="18"/>
                <w:szCs w:val="18"/>
              </w:rPr>
              <w:t>059)</w:t>
            </w:r>
          </w:p>
        </w:tc>
      </w:tr>
      <w:tr w:rsidR="000D07E4" w:rsidRPr="00E0503B" w14:paraId="3FB39BBC" w14:textId="77777777" w:rsidTr="006B0E06">
        <w:trPr>
          <w:trHeight w:val="174"/>
        </w:trPr>
        <w:tc>
          <w:tcPr>
            <w:tcW w:w="3085" w:type="dxa"/>
            <w:shd w:val="clear" w:color="auto" w:fill="auto"/>
            <w:vAlign w:val="bottom"/>
          </w:tcPr>
          <w:p w14:paraId="40AD8A87" w14:textId="77777777" w:rsidR="000D07E4" w:rsidRPr="00166751" w:rsidRDefault="000D07E4" w:rsidP="000D07E4">
            <w:pPr>
              <w:spacing w:after="0" w:line="240" w:lineRule="auto"/>
              <w:rPr>
                <w:rFonts w:eastAsia="Times New Roman" w:cs="Arial"/>
                <w:sz w:val="18"/>
                <w:szCs w:val="18"/>
              </w:rPr>
            </w:pPr>
          </w:p>
        </w:tc>
        <w:tc>
          <w:tcPr>
            <w:tcW w:w="1276" w:type="dxa"/>
            <w:tcBorders>
              <w:top w:val="nil"/>
              <w:left w:val="nil"/>
              <w:bottom w:val="nil"/>
              <w:right w:val="nil"/>
            </w:tcBorders>
            <w:shd w:val="clear" w:color="auto" w:fill="auto"/>
            <w:noWrap/>
            <w:vAlign w:val="bottom"/>
          </w:tcPr>
          <w:p w14:paraId="5CA844E4" w14:textId="77777777" w:rsidR="000D07E4" w:rsidRPr="00166751" w:rsidRDefault="000D07E4" w:rsidP="000D07E4">
            <w:pPr>
              <w:spacing w:after="0" w:line="240" w:lineRule="exact"/>
              <w:jc w:val="right"/>
              <w:rPr>
                <w:rFonts w:cs="Arial"/>
                <w:b/>
                <w:bCs/>
                <w:sz w:val="18"/>
                <w:szCs w:val="18"/>
              </w:rPr>
            </w:pPr>
          </w:p>
        </w:tc>
        <w:tc>
          <w:tcPr>
            <w:tcW w:w="1701" w:type="dxa"/>
            <w:tcBorders>
              <w:top w:val="nil"/>
              <w:left w:val="nil"/>
              <w:bottom w:val="nil"/>
              <w:right w:val="nil"/>
            </w:tcBorders>
            <w:shd w:val="clear" w:color="auto" w:fill="auto"/>
            <w:noWrap/>
            <w:vAlign w:val="bottom"/>
          </w:tcPr>
          <w:p w14:paraId="3E67D597" w14:textId="77777777" w:rsidR="000D07E4" w:rsidRPr="00166751" w:rsidRDefault="000D07E4" w:rsidP="000D07E4">
            <w:pPr>
              <w:spacing w:after="0" w:line="240" w:lineRule="exact"/>
              <w:jc w:val="right"/>
              <w:rPr>
                <w:rFonts w:cs="Arial"/>
                <w:b/>
                <w:bCs/>
                <w:sz w:val="18"/>
                <w:szCs w:val="18"/>
              </w:rPr>
            </w:pPr>
          </w:p>
        </w:tc>
        <w:tc>
          <w:tcPr>
            <w:tcW w:w="1134" w:type="dxa"/>
            <w:tcBorders>
              <w:top w:val="nil"/>
              <w:left w:val="nil"/>
              <w:bottom w:val="nil"/>
              <w:right w:val="nil"/>
            </w:tcBorders>
            <w:shd w:val="clear" w:color="auto" w:fill="auto"/>
            <w:noWrap/>
            <w:vAlign w:val="bottom"/>
          </w:tcPr>
          <w:p w14:paraId="3079D7E0" w14:textId="77777777" w:rsidR="000D07E4" w:rsidRPr="00166751" w:rsidRDefault="000D07E4" w:rsidP="000D07E4">
            <w:pPr>
              <w:spacing w:after="0" w:line="240" w:lineRule="exact"/>
              <w:jc w:val="right"/>
              <w:rPr>
                <w:rFonts w:cs="Arial"/>
                <w:b/>
                <w:bCs/>
                <w:sz w:val="18"/>
                <w:szCs w:val="18"/>
              </w:rPr>
            </w:pPr>
          </w:p>
        </w:tc>
        <w:tc>
          <w:tcPr>
            <w:tcW w:w="1559" w:type="dxa"/>
            <w:tcBorders>
              <w:top w:val="nil"/>
              <w:left w:val="nil"/>
              <w:bottom w:val="nil"/>
              <w:right w:val="nil"/>
            </w:tcBorders>
            <w:shd w:val="clear" w:color="auto" w:fill="auto"/>
            <w:noWrap/>
            <w:vAlign w:val="bottom"/>
          </w:tcPr>
          <w:p w14:paraId="4D5B73EE" w14:textId="77777777" w:rsidR="000D07E4" w:rsidRPr="00166751" w:rsidRDefault="000D07E4" w:rsidP="000D07E4">
            <w:pPr>
              <w:spacing w:after="0" w:line="240" w:lineRule="exact"/>
              <w:jc w:val="right"/>
              <w:rPr>
                <w:rFonts w:cs="Arial"/>
                <w:b/>
                <w:bCs/>
                <w:sz w:val="18"/>
                <w:szCs w:val="18"/>
              </w:rPr>
            </w:pPr>
          </w:p>
        </w:tc>
        <w:tc>
          <w:tcPr>
            <w:tcW w:w="1134" w:type="dxa"/>
            <w:tcBorders>
              <w:top w:val="nil"/>
              <w:left w:val="nil"/>
              <w:bottom w:val="nil"/>
              <w:right w:val="nil"/>
            </w:tcBorders>
            <w:shd w:val="clear" w:color="auto" w:fill="auto"/>
            <w:noWrap/>
            <w:vAlign w:val="bottom"/>
          </w:tcPr>
          <w:p w14:paraId="487B5D35" w14:textId="77777777" w:rsidR="000D07E4" w:rsidRPr="00166751" w:rsidRDefault="000D07E4" w:rsidP="000D07E4">
            <w:pPr>
              <w:spacing w:after="0" w:line="240" w:lineRule="exact"/>
              <w:jc w:val="right"/>
              <w:rPr>
                <w:rFonts w:cs="Arial"/>
                <w:b/>
                <w:bCs/>
                <w:sz w:val="18"/>
                <w:szCs w:val="18"/>
              </w:rPr>
            </w:pPr>
          </w:p>
        </w:tc>
      </w:tr>
      <w:tr w:rsidR="00E87987" w:rsidRPr="00E0503B" w14:paraId="4A9DA188" w14:textId="77777777" w:rsidTr="009702B0">
        <w:trPr>
          <w:trHeight w:val="300"/>
        </w:trPr>
        <w:tc>
          <w:tcPr>
            <w:tcW w:w="3085" w:type="dxa"/>
            <w:shd w:val="clear" w:color="auto" w:fill="auto"/>
            <w:vAlign w:val="bottom"/>
          </w:tcPr>
          <w:p w14:paraId="686A6132" w14:textId="77777777" w:rsidR="00E87987" w:rsidRPr="00166751" w:rsidRDefault="00E87987" w:rsidP="00E87987">
            <w:pPr>
              <w:spacing w:after="0" w:line="240" w:lineRule="auto"/>
              <w:rPr>
                <w:rFonts w:eastAsia="Times New Roman" w:cs="Arial"/>
                <w:b/>
                <w:bCs/>
                <w:sz w:val="18"/>
                <w:szCs w:val="18"/>
              </w:rPr>
            </w:pPr>
            <w:r w:rsidRPr="00166751">
              <w:rPr>
                <w:rFonts w:eastAsia="Times New Roman" w:cs="Arial"/>
                <w:b/>
                <w:bCs/>
                <w:sz w:val="18"/>
                <w:szCs w:val="18"/>
              </w:rPr>
              <w:t xml:space="preserve">Profit/(loss) before income tax </w:t>
            </w:r>
          </w:p>
        </w:tc>
        <w:tc>
          <w:tcPr>
            <w:tcW w:w="1276" w:type="dxa"/>
            <w:tcBorders>
              <w:top w:val="nil"/>
              <w:left w:val="nil"/>
              <w:bottom w:val="nil"/>
              <w:right w:val="nil"/>
            </w:tcBorders>
            <w:shd w:val="clear" w:color="auto" w:fill="auto"/>
            <w:noWrap/>
            <w:vAlign w:val="bottom"/>
          </w:tcPr>
          <w:p w14:paraId="541FBC90" w14:textId="4F695908" w:rsidR="00E87987" w:rsidRPr="00166751" w:rsidRDefault="00E87987" w:rsidP="00E87987">
            <w:pPr>
              <w:spacing w:after="0" w:line="240" w:lineRule="exact"/>
              <w:jc w:val="right"/>
              <w:rPr>
                <w:rFonts w:cs="Arial"/>
                <w:sz w:val="18"/>
                <w:szCs w:val="18"/>
              </w:rPr>
            </w:pPr>
            <w:r w:rsidRPr="00693FCC">
              <w:rPr>
                <w:rFonts w:cs="Arial"/>
                <w:sz w:val="18"/>
                <w:szCs w:val="18"/>
              </w:rPr>
              <w:t>158</w:t>
            </w:r>
            <w:r>
              <w:rPr>
                <w:rFonts w:cs="Arial"/>
                <w:sz w:val="18"/>
                <w:szCs w:val="18"/>
              </w:rPr>
              <w:t>,</w:t>
            </w:r>
            <w:r w:rsidRPr="00693FCC">
              <w:rPr>
                <w:rFonts w:cs="Arial"/>
                <w:sz w:val="18"/>
                <w:szCs w:val="18"/>
              </w:rPr>
              <w:t>921</w:t>
            </w:r>
          </w:p>
        </w:tc>
        <w:tc>
          <w:tcPr>
            <w:tcW w:w="1701" w:type="dxa"/>
            <w:tcBorders>
              <w:top w:val="nil"/>
              <w:left w:val="nil"/>
              <w:bottom w:val="nil"/>
              <w:right w:val="nil"/>
            </w:tcBorders>
            <w:shd w:val="clear" w:color="auto" w:fill="auto"/>
            <w:noWrap/>
            <w:vAlign w:val="bottom"/>
          </w:tcPr>
          <w:p w14:paraId="6091D4C0" w14:textId="17896483" w:rsidR="00E87987" w:rsidRPr="00166751" w:rsidRDefault="00E87987" w:rsidP="00E87987">
            <w:pPr>
              <w:spacing w:after="0" w:line="240" w:lineRule="exact"/>
              <w:jc w:val="right"/>
              <w:rPr>
                <w:rFonts w:cs="Arial"/>
                <w:sz w:val="18"/>
                <w:szCs w:val="18"/>
              </w:rPr>
            </w:pPr>
            <w:r w:rsidRPr="00693FCC">
              <w:rPr>
                <w:rFonts w:cs="Arial"/>
                <w:sz w:val="18"/>
                <w:szCs w:val="18"/>
              </w:rPr>
              <w:t>695</w:t>
            </w:r>
          </w:p>
        </w:tc>
        <w:tc>
          <w:tcPr>
            <w:tcW w:w="1134" w:type="dxa"/>
            <w:tcBorders>
              <w:top w:val="nil"/>
              <w:left w:val="nil"/>
              <w:bottom w:val="nil"/>
              <w:right w:val="nil"/>
            </w:tcBorders>
            <w:shd w:val="clear" w:color="auto" w:fill="auto"/>
            <w:noWrap/>
            <w:vAlign w:val="bottom"/>
          </w:tcPr>
          <w:p w14:paraId="559BADEE" w14:textId="0CE1AD44" w:rsidR="00E87987" w:rsidRPr="00166751" w:rsidRDefault="00E87987" w:rsidP="00E87987">
            <w:pPr>
              <w:spacing w:after="0" w:line="240" w:lineRule="exact"/>
              <w:jc w:val="right"/>
              <w:rPr>
                <w:rFonts w:cs="Arial"/>
                <w:sz w:val="18"/>
                <w:szCs w:val="18"/>
              </w:rPr>
            </w:pPr>
            <w:r w:rsidRPr="00693FCC">
              <w:rPr>
                <w:rFonts w:cs="Arial"/>
                <w:sz w:val="18"/>
                <w:szCs w:val="18"/>
              </w:rPr>
              <w:t>161</w:t>
            </w:r>
          </w:p>
        </w:tc>
        <w:tc>
          <w:tcPr>
            <w:tcW w:w="1559" w:type="dxa"/>
            <w:tcBorders>
              <w:top w:val="nil"/>
              <w:left w:val="nil"/>
              <w:bottom w:val="nil"/>
              <w:right w:val="nil"/>
            </w:tcBorders>
            <w:shd w:val="clear" w:color="auto" w:fill="auto"/>
            <w:noWrap/>
            <w:vAlign w:val="bottom"/>
          </w:tcPr>
          <w:p w14:paraId="506C57AE" w14:textId="48C0BB9B" w:rsidR="00E87987" w:rsidRPr="00166751" w:rsidRDefault="00E87987" w:rsidP="00E87987">
            <w:pPr>
              <w:spacing w:after="0" w:line="240" w:lineRule="exact"/>
              <w:jc w:val="right"/>
              <w:rPr>
                <w:rFonts w:cs="Arial"/>
                <w:sz w:val="18"/>
                <w:szCs w:val="18"/>
              </w:rPr>
            </w:pPr>
            <w:r w:rsidRPr="00693FCC">
              <w:rPr>
                <w:rFonts w:cs="Arial"/>
                <w:sz w:val="18"/>
                <w:szCs w:val="18"/>
              </w:rPr>
              <w:t>1</w:t>
            </w:r>
          </w:p>
        </w:tc>
        <w:tc>
          <w:tcPr>
            <w:tcW w:w="1134" w:type="dxa"/>
            <w:tcBorders>
              <w:top w:val="nil"/>
              <w:left w:val="nil"/>
              <w:bottom w:val="nil"/>
              <w:right w:val="nil"/>
            </w:tcBorders>
            <w:shd w:val="clear" w:color="auto" w:fill="auto"/>
            <w:noWrap/>
            <w:vAlign w:val="bottom"/>
          </w:tcPr>
          <w:p w14:paraId="676C8E58" w14:textId="2564493E" w:rsidR="00E87987" w:rsidRPr="00166751" w:rsidRDefault="00E87987" w:rsidP="00E87987">
            <w:pPr>
              <w:spacing w:after="0" w:line="240" w:lineRule="exact"/>
              <w:jc w:val="right"/>
              <w:rPr>
                <w:rFonts w:cs="Arial"/>
                <w:sz w:val="18"/>
                <w:szCs w:val="18"/>
              </w:rPr>
            </w:pPr>
            <w:r w:rsidRPr="00693FCC">
              <w:rPr>
                <w:rFonts w:cs="Arial"/>
                <w:sz w:val="18"/>
                <w:szCs w:val="18"/>
              </w:rPr>
              <w:t>159</w:t>
            </w:r>
            <w:r>
              <w:rPr>
                <w:rFonts w:cs="Arial"/>
                <w:sz w:val="18"/>
                <w:szCs w:val="18"/>
              </w:rPr>
              <w:t>,</w:t>
            </w:r>
            <w:r w:rsidRPr="00693FCC">
              <w:rPr>
                <w:rFonts w:cs="Arial"/>
                <w:sz w:val="18"/>
                <w:szCs w:val="18"/>
              </w:rPr>
              <w:t>778</w:t>
            </w:r>
          </w:p>
        </w:tc>
      </w:tr>
      <w:tr w:rsidR="00347B35" w:rsidRPr="00E0503B" w14:paraId="6D6403D1" w14:textId="77777777" w:rsidTr="009702B0">
        <w:trPr>
          <w:trHeight w:val="300"/>
        </w:trPr>
        <w:tc>
          <w:tcPr>
            <w:tcW w:w="3085" w:type="dxa"/>
            <w:shd w:val="clear" w:color="auto" w:fill="auto"/>
            <w:vAlign w:val="bottom"/>
          </w:tcPr>
          <w:p w14:paraId="1C4AB6E6" w14:textId="77777777" w:rsidR="00347B35" w:rsidRPr="00166751" w:rsidRDefault="00347B35" w:rsidP="00347B35">
            <w:pPr>
              <w:spacing w:after="0" w:line="240" w:lineRule="auto"/>
              <w:rPr>
                <w:rFonts w:eastAsia="Times New Roman" w:cs="Arial"/>
                <w:sz w:val="18"/>
                <w:szCs w:val="18"/>
              </w:rPr>
            </w:pPr>
            <w:r w:rsidRPr="00166751">
              <w:rPr>
                <w:rFonts w:eastAsia="Times New Roman" w:cs="Arial"/>
                <w:sz w:val="18"/>
                <w:szCs w:val="18"/>
              </w:rPr>
              <w:t>Income tax</w:t>
            </w:r>
          </w:p>
        </w:tc>
        <w:tc>
          <w:tcPr>
            <w:tcW w:w="1276" w:type="dxa"/>
            <w:tcBorders>
              <w:top w:val="nil"/>
              <w:left w:val="nil"/>
              <w:bottom w:val="nil"/>
              <w:right w:val="nil"/>
            </w:tcBorders>
            <w:shd w:val="clear" w:color="auto" w:fill="auto"/>
            <w:noWrap/>
            <w:vAlign w:val="bottom"/>
          </w:tcPr>
          <w:p w14:paraId="79575CE2" w14:textId="5C4D4C20" w:rsidR="00347B35" w:rsidRPr="00166751" w:rsidRDefault="00347B35" w:rsidP="00347B35">
            <w:pPr>
              <w:spacing w:after="0" w:line="240" w:lineRule="exact"/>
              <w:jc w:val="right"/>
              <w:rPr>
                <w:rFonts w:cs="Arial"/>
                <w:b/>
                <w:bCs/>
                <w:sz w:val="18"/>
                <w:szCs w:val="18"/>
              </w:rPr>
            </w:pPr>
            <w:r w:rsidRPr="00B4620E">
              <w:rPr>
                <w:rFonts w:cs="Arial"/>
                <w:bCs/>
                <w:sz w:val="18"/>
                <w:szCs w:val="18"/>
              </w:rPr>
              <w:t>-</w:t>
            </w:r>
          </w:p>
        </w:tc>
        <w:tc>
          <w:tcPr>
            <w:tcW w:w="1701" w:type="dxa"/>
            <w:tcBorders>
              <w:top w:val="nil"/>
              <w:left w:val="nil"/>
              <w:bottom w:val="nil"/>
              <w:right w:val="nil"/>
            </w:tcBorders>
            <w:shd w:val="clear" w:color="auto" w:fill="auto"/>
            <w:noWrap/>
            <w:vAlign w:val="bottom"/>
          </w:tcPr>
          <w:p w14:paraId="2793474F" w14:textId="1C6E4F67" w:rsidR="00347B35" w:rsidRPr="00166751" w:rsidRDefault="00347B35" w:rsidP="00347B35">
            <w:pPr>
              <w:spacing w:after="0" w:line="240" w:lineRule="exact"/>
              <w:jc w:val="right"/>
              <w:rPr>
                <w:rFonts w:cs="Arial"/>
                <w:b/>
                <w:bCs/>
                <w:sz w:val="18"/>
                <w:szCs w:val="18"/>
              </w:rPr>
            </w:pPr>
            <w:r w:rsidRPr="00B4620E">
              <w:rPr>
                <w:rFonts w:cs="Arial"/>
                <w:bCs/>
                <w:sz w:val="18"/>
                <w:szCs w:val="18"/>
              </w:rPr>
              <w:t>-</w:t>
            </w:r>
          </w:p>
        </w:tc>
        <w:tc>
          <w:tcPr>
            <w:tcW w:w="1134" w:type="dxa"/>
            <w:tcBorders>
              <w:top w:val="nil"/>
              <w:left w:val="nil"/>
              <w:bottom w:val="nil"/>
              <w:right w:val="nil"/>
            </w:tcBorders>
            <w:shd w:val="clear" w:color="auto" w:fill="auto"/>
            <w:noWrap/>
            <w:vAlign w:val="bottom"/>
          </w:tcPr>
          <w:p w14:paraId="58236941" w14:textId="4EE8EBD9" w:rsidR="00347B35" w:rsidRPr="00166751" w:rsidRDefault="00347B35" w:rsidP="00347B35">
            <w:pPr>
              <w:spacing w:after="0" w:line="240" w:lineRule="exact"/>
              <w:jc w:val="right"/>
              <w:rPr>
                <w:rFonts w:cs="Arial"/>
                <w:b/>
                <w:bCs/>
                <w:sz w:val="18"/>
                <w:szCs w:val="18"/>
              </w:rPr>
            </w:pPr>
            <w:r w:rsidRPr="00B4620E">
              <w:rPr>
                <w:rFonts w:cs="Arial"/>
                <w:bCs/>
                <w:sz w:val="18"/>
                <w:szCs w:val="18"/>
              </w:rPr>
              <w:t>-</w:t>
            </w:r>
          </w:p>
        </w:tc>
        <w:tc>
          <w:tcPr>
            <w:tcW w:w="1559" w:type="dxa"/>
            <w:tcBorders>
              <w:top w:val="nil"/>
              <w:left w:val="nil"/>
              <w:bottom w:val="nil"/>
              <w:right w:val="nil"/>
            </w:tcBorders>
            <w:shd w:val="clear" w:color="auto" w:fill="auto"/>
            <w:noWrap/>
            <w:vAlign w:val="bottom"/>
          </w:tcPr>
          <w:p w14:paraId="6189CE5C" w14:textId="58ACBDF8" w:rsidR="00347B35" w:rsidRPr="00166751" w:rsidRDefault="00347B35" w:rsidP="00347B35">
            <w:pPr>
              <w:spacing w:after="0" w:line="240" w:lineRule="exact"/>
              <w:jc w:val="right"/>
              <w:rPr>
                <w:rFonts w:cs="Arial"/>
                <w:b/>
                <w:bCs/>
                <w:sz w:val="18"/>
                <w:szCs w:val="18"/>
              </w:rPr>
            </w:pPr>
            <w:r w:rsidRPr="00B4620E">
              <w:rPr>
                <w:rFonts w:cs="Arial"/>
                <w:bCs/>
                <w:sz w:val="18"/>
                <w:szCs w:val="18"/>
              </w:rPr>
              <w:t>-</w:t>
            </w:r>
          </w:p>
        </w:tc>
        <w:tc>
          <w:tcPr>
            <w:tcW w:w="1134" w:type="dxa"/>
            <w:tcBorders>
              <w:top w:val="nil"/>
              <w:left w:val="nil"/>
              <w:bottom w:val="nil"/>
              <w:right w:val="nil"/>
            </w:tcBorders>
            <w:shd w:val="clear" w:color="auto" w:fill="auto"/>
            <w:noWrap/>
            <w:vAlign w:val="bottom"/>
          </w:tcPr>
          <w:p w14:paraId="7EBE80E6" w14:textId="135A9882" w:rsidR="00347B35" w:rsidRPr="00166751" w:rsidRDefault="00347B35" w:rsidP="00347B35">
            <w:pPr>
              <w:spacing w:after="0" w:line="240" w:lineRule="exact"/>
              <w:jc w:val="right"/>
              <w:rPr>
                <w:rFonts w:cs="Arial"/>
                <w:b/>
                <w:bCs/>
                <w:sz w:val="18"/>
                <w:szCs w:val="18"/>
              </w:rPr>
            </w:pPr>
          </w:p>
        </w:tc>
      </w:tr>
      <w:tr w:rsidR="00E87987" w:rsidRPr="00E0503B" w14:paraId="0B20CBBD" w14:textId="77777777" w:rsidTr="009702B0">
        <w:trPr>
          <w:trHeight w:val="315"/>
        </w:trPr>
        <w:tc>
          <w:tcPr>
            <w:tcW w:w="3085" w:type="dxa"/>
            <w:shd w:val="clear" w:color="auto" w:fill="auto"/>
            <w:vAlign w:val="bottom"/>
          </w:tcPr>
          <w:p w14:paraId="30F36A54" w14:textId="77777777" w:rsidR="00E87987" w:rsidRPr="00166751" w:rsidRDefault="00E87987" w:rsidP="00E87987">
            <w:pPr>
              <w:spacing w:after="0" w:line="240" w:lineRule="auto"/>
              <w:rPr>
                <w:rFonts w:eastAsia="Times New Roman" w:cs="Arial"/>
                <w:b/>
                <w:bCs/>
                <w:sz w:val="18"/>
                <w:szCs w:val="18"/>
              </w:rPr>
            </w:pPr>
            <w:r w:rsidRPr="00166751">
              <w:rPr>
                <w:rFonts w:eastAsia="Times New Roman" w:cs="Arial"/>
                <w:b/>
                <w:bCs/>
                <w:sz w:val="18"/>
                <w:szCs w:val="18"/>
              </w:rPr>
              <w:t xml:space="preserve">Profit/(loss) for the year </w:t>
            </w:r>
          </w:p>
        </w:tc>
        <w:tc>
          <w:tcPr>
            <w:tcW w:w="1276" w:type="dxa"/>
            <w:tcBorders>
              <w:top w:val="single" w:sz="4" w:space="0" w:color="auto"/>
              <w:left w:val="nil"/>
              <w:bottom w:val="single" w:sz="8" w:space="0" w:color="auto"/>
              <w:right w:val="nil"/>
            </w:tcBorders>
            <w:shd w:val="clear" w:color="auto" w:fill="auto"/>
            <w:noWrap/>
            <w:vAlign w:val="bottom"/>
          </w:tcPr>
          <w:p w14:paraId="0542E6AB" w14:textId="18D7B4CC" w:rsidR="00E87987" w:rsidRPr="00166751" w:rsidRDefault="00E87987" w:rsidP="00E87987">
            <w:pPr>
              <w:spacing w:after="0" w:line="240" w:lineRule="exact"/>
              <w:jc w:val="right"/>
              <w:rPr>
                <w:rFonts w:cs="Arial"/>
                <w:sz w:val="18"/>
                <w:szCs w:val="18"/>
              </w:rPr>
            </w:pPr>
            <w:r w:rsidRPr="00693FCC">
              <w:rPr>
                <w:rFonts w:cs="Arial"/>
                <w:b/>
                <w:sz w:val="18"/>
                <w:szCs w:val="18"/>
              </w:rPr>
              <w:t>158</w:t>
            </w:r>
            <w:r>
              <w:rPr>
                <w:rFonts w:cs="Arial"/>
                <w:b/>
                <w:sz w:val="18"/>
                <w:szCs w:val="18"/>
              </w:rPr>
              <w:t>,</w:t>
            </w:r>
            <w:r w:rsidRPr="00693FCC">
              <w:rPr>
                <w:rFonts w:cs="Arial"/>
                <w:b/>
                <w:sz w:val="18"/>
                <w:szCs w:val="18"/>
              </w:rPr>
              <w:t>921</w:t>
            </w:r>
          </w:p>
        </w:tc>
        <w:tc>
          <w:tcPr>
            <w:tcW w:w="1701" w:type="dxa"/>
            <w:tcBorders>
              <w:top w:val="single" w:sz="4" w:space="0" w:color="auto"/>
              <w:left w:val="nil"/>
              <w:bottom w:val="single" w:sz="8" w:space="0" w:color="auto"/>
              <w:right w:val="nil"/>
            </w:tcBorders>
            <w:shd w:val="clear" w:color="auto" w:fill="auto"/>
            <w:noWrap/>
            <w:vAlign w:val="bottom"/>
          </w:tcPr>
          <w:p w14:paraId="7297F2E7" w14:textId="263FB49A" w:rsidR="00E87987" w:rsidRPr="00166751" w:rsidRDefault="00E87987" w:rsidP="00E87987">
            <w:pPr>
              <w:spacing w:after="0" w:line="240" w:lineRule="exact"/>
              <w:jc w:val="right"/>
              <w:rPr>
                <w:rFonts w:cs="Arial"/>
                <w:sz w:val="18"/>
                <w:szCs w:val="18"/>
              </w:rPr>
            </w:pPr>
            <w:r w:rsidRPr="00693FCC">
              <w:rPr>
                <w:rFonts w:cs="Arial"/>
                <w:b/>
                <w:sz w:val="18"/>
                <w:szCs w:val="18"/>
              </w:rPr>
              <w:t>695</w:t>
            </w:r>
          </w:p>
        </w:tc>
        <w:tc>
          <w:tcPr>
            <w:tcW w:w="1134" w:type="dxa"/>
            <w:tcBorders>
              <w:top w:val="single" w:sz="4" w:space="0" w:color="auto"/>
              <w:left w:val="nil"/>
              <w:bottom w:val="single" w:sz="8" w:space="0" w:color="auto"/>
              <w:right w:val="nil"/>
            </w:tcBorders>
            <w:shd w:val="clear" w:color="auto" w:fill="auto"/>
            <w:noWrap/>
            <w:vAlign w:val="bottom"/>
          </w:tcPr>
          <w:p w14:paraId="4A4E7E61" w14:textId="75003E26" w:rsidR="00E87987" w:rsidRPr="00166751" w:rsidRDefault="00E87987" w:rsidP="00E87987">
            <w:pPr>
              <w:spacing w:after="0" w:line="240" w:lineRule="exact"/>
              <w:jc w:val="right"/>
              <w:rPr>
                <w:rFonts w:cs="Arial"/>
                <w:sz w:val="18"/>
                <w:szCs w:val="18"/>
              </w:rPr>
            </w:pPr>
            <w:r w:rsidRPr="00693FCC">
              <w:rPr>
                <w:rFonts w:cs="Arial"/>
                <w:b/>
                <w:sz w:val="18"/>
                <w:szCs w:val="18"/>
              </w:rPr>
              <w:t>161</w:t>
            </w:r>
          </w:p>
        </w:tc>
        <w:tc>
          <w:tcPr>
            <w:tcW w:w="1559" w:type="dxa"/>
            <w:tcBorders>
              <w:top w:val="single" w:sz="4" w:space="0" w:color="auto"/>
              <w:left w:val="nil"/>
              <w:bottom w:val="single" w:sz="8" w:space="0" w:color="auto"/>
              <w:right w:val="nil"/>
            </w:tcBorders>
            <w:shd w:val="clear" w:color="auto" w:fill="auto"/>
            <w:noWrap/>
            <w:vAlign w:val="bottom"/>
          </w:tcPr>
          <w:p w14:paraId="40532FD2" w14:textId="255D3F94" w:rsidR="00E87987" w:rsidRPr="00166751" w:rsidRDefault="00E87987" w:rsidP="00E87987">
            <w:pPr>
              <w:spacing w:after="0" w:line="240" w:lineRule="exact"/>
              <w:jc w:val="right"/>
              <w:rPr>
                <w:rFonts w:cs="Arial"/>
                <w:sz w:val="18"/>
                <w:szCs w:val="18"/>
              </w:rPr>
            </w:pPr>
            <w:r w:rsidRPr="00693FCC">
              <w:rPr>
                <w:rFonts w:cs="Arial"/>
                <w:b/>
                <w:sz w:val="18"/>
                <w:szCs w:val="18"/>
              </w:rPr>
              <w:t>1</w:t>
            </w:r>
          </w:p>
        </w:tc>
        <w:tc>
          <w:tcPr>
            <w:tcW w:w="1134" w:type="dxa"/>
            <w:tcBorders>
              <w:top w:val="single" w:sz="4" w:space="0" w:color="auto"/>
              <w:left w:val="nil"/>
              <w:bottom w:val="single" w:sz="8" w:space="0" w:color="auto"/>
              <w:right w:val="nil"/>
            </w:tcBorders>
            <w:shd w:val="clear" w:color="auto" w:fill="auto"/>
            <w:noWrap/>
            <w:vAlign w:val="bottom"/>
          </w:tcPr>
          <w:p w14:paraId="525E6A4C" w14:textId="7382881E" w:rsidR="00E87987" w:rsidRPr="00166751" w:rsidRDefault="00E87987" w:rsidP="00E87987">
            <w:pPr>
              <w:spacing w:after="0" w:line="240" w:lineRule="exact"/>
              <w:jc w:val="right"/>
              <w:rPr>
                <w:rFonts w:cs="Arial"/>
                <w:sz w:val="18"/>
                <w:szCs w:val="18"/>
              </w:rPr>
            </w:pPr>
            <w:r w:rsidRPr="00693FCC">
              <w:rPr>
                <w:rFonts w:cs="Arial"/>
                <w:b/>
                <w:sz w:val="18"/>
                <w:szCs w:val="18"/>
              </w:rPr>
              <w:t>159</w:t>
            </w:r>
            <w:r>
              <w:rPr>
                <w:rFonts w:cs="Arial"/>
                <w:b/>
                <w:sz w:val="18"/>
                <w:szCs w:val="18"/>
              </w:rPr>
              <w:t>,</w:t>
            </w:r>
            <w:r w:rsidRPr="00693FCC">
              <w:rPr>
                <w:rFonts w:cs="Arial"/>
                <w:b/>
                <w:sz w:val="18"/>
                <w:szCs w:val="18"/>
              </w:rPr>
              <w:t>778</w:t>
            </w:r>
          </w:p>
        </w:tc>
      </w:tr>
      <w:tr w:rsidR="009702B0" w:rsidRPr="00E0503B" w14:paraId="07859046" w14:textId="77777777" w:rsidTr="009702B0">
        <w:trPr>
          <w:trHeight w:val="52"/>
        </w:trPr>
        <w:tc>
          <w:tcPr>
            <w:tcW w:w="3085" w:type="dxa"/>
            <w:shd w:val="clear" w:color="auto" w:fill="auto"/>
            <w:vAlign w:val="bottom"/>
          </w:tcPr>
          <w:p w14:paraId="0434DB3E" w14:textId="77777777" w:rsidR="009702B0" w:rsidRPr="00166751" w:rsidRDefault="009702B0" w:rsidP="009702B0">
            <w:pPr>
              <w:spacing w:after="0" w:line="240" w:lineRule="auto"/>
              <w:rPr>
                <w:rFonts w:eastAsia="Times New Roman" w:cs="Arial"/>
                <w:sz w:val="18"/>
                <w:szCs w:val="18"/>
              </w:rPr>
            </w:pPr>
          </w:p>
        </w:tc>
        <w:tc>
          <w:tcPr>
            <w:tcW w:w="1276" w:type="dxa"/>
            <w:tcBorders>
              <w:top w:val="single" w:sz="12" w:space="0" w:color="auto"/>
            </w:tcBorders>
            <w:shd w:val="clear" w:color="auto" w:fill="auto"/>
            <w:noWrap/>
            <w:vAlign w:val="bottom"/>
          </w:tcPr>
          <w:p w14:paraId="7ACB9B3B" w14:textId="77777777" w:rsidR="009702B0" w:rsidRPr="00166751" w:rsidRDefault="009702B0" w:rsidP="009702B0">
            <w:pPr>
              <w:spacing w:line="140" w:lineRule="exact"/>
              <w:jc w:val="right"/>
              <w:rPr>
                <w:rFonts w:cs="Arial"/>
                <w:sz w:val="18"/>
                <w:szCs w:val="18"/>
              </w:rPr>
            </w:pPr>
          </w:p>
        </w:tc>
        <w:tc>
          <w:tcPr>
            <w:tcW w:w="1701" w:type="dxa"/>
            <w:tcBorders>
              <w:top w:val="single" w:sz="12" w:space="0" w:color="auto"/>
            </w:tcBorders>
            <w:shd w:val="clear" w:color="auto" w:fill="auto"/>
            <w:noWrap/>
            <w:vAlign w:val="bottom"/>
          </w:tcPr>
          <w:p w14:paraId="700F3219" w14:textId="77777777" w:rsidR="009702B0" w:rsidRPr="00166751" w:rsidRDefault="009702B0" w:rsidP="009702B0">
            <w:pPr>
              <w:spacing w:line="140" w:lineRule="exact"/>
              <w:jc w:val="right"/>
              <w:rPr>
                <w:rFonts w:cs="Arial"/>
                <w:sz w:val="18"/>
                <w:szCs w:val="18"/>
              </w:rPr>
            </w:pPr>
          </w:p>
        </w:tc>
        <w:tc>
          <w:tcPr>
            <w:tcW w:w="1134" w:type="dxa"/>
            <w:tcBorders>
              <w:top w:val="single" w:sz="12" w:space="0" w:color="auto"/>
            </w:tcBorders>
            <w:shd w:val="clear" w:color="auto" w:fill="auto"/>
            <w:noWrap/>
            <w:vAlign w:val="bottom"/>
          </w:tcPr>
          <w:p w14:paraId="1201D91A" w14:textId="77777777" w:rsidR="009702B0" w:rsidRPr="00166751" w:rsidRDefault="009702B0" w:rsidP="009702B0">
            <w:pPr>
              <w:spacing w:line="140" w:lineRule="exact"/>
              <w:jc w:val="right"/>
              <w:rPr>
                <w:rFonts w:cs="Arial"/>
                <w:sz w:val="18"/>
                <w:szCs w:val="18"/>
              </w:rPr>
            </w:pPr>
          </w:p>
        </w:tc>
        <w:tc>
          <w:tcPr>
            <w:tcW w:w="1559" w:type="dxa"/>
            <w:tcBorders>
              <w:top w:val="single" w:sz="12" w:space="0" w:color="auto"/>
            </w:tcBorders>
            <w:shd w:val="clear" w:color="auto" w:fill="auto"/>
            <w:noWrap/>
            <w:vAlign w:val="bottom"/>
          </w:tcPr>
          <w:p w14:paraId="6BF28333" w14:textId="77777777" w:rsidR="009702B0" w:rsidRPr="00166751" w:rsidRDefault="009702B0" w:rsidP="009702B0">
            <w:pPr>
              <w:spacing w:line="140" w:lineRule="exact"/>
              <w:jc w:val="right"/>
              <w:rPr>
                <w:rFonts w:cs="Arial"/>
                <w:sz w:val="18"/>
                <w:szCs w:val="18"/>
              </w:rPr>
            </w:pPr>
          </w:p>
        </w:tc>
        <w:tc>
          <w:tcPr>
            <w:tcW w:w="1134" w:type="dxa"/>
            <w:tcBorders>
              <w:top w:val="single" w:sz="12" w:space="0" w:color="auto"/>
            </w:tcBorders>
            <w:shd w:val="clear" w:color="auto" w:fill="auto"/>
            <w:noWrap/>
            <w:vAlign w:val="bottom"/>
          </w:tcPr>
          <w:p w14:paraId="51A023AD" w14:textId="77777777" w:rsidR="009702B0" w:rsidRPr="00166751" w:rsidRDefault="009702B0" w:rsidP="009702B0">
            <w:pPr>
              <w:spacing w:line="140" w:lineRule="exact"/>
              <w:jc w:val="right"/>
              <w:rPr>
                <w:rFonts w:cs="Arial"/>
                <w:sz w:val="18"/>
                <w:szCs w:val="18"/>
              </w:rPr>
            </w:pPr>
          </w:p>
        </w:tc>
      </w:tr>
      <w:tr w:rsidR="009702B0" w:rsidRPr="00E0503B" w14:paraId="68E21183" w14:textId="77777777" w:rsidTr="009702B0">
        <w:trPr>
          <w:trHeight w:val="300"/>
        </w:trPr>
        <w:tc>
          <w:tcPr>
            <w:tcW w:w="3085" w:type="dxa"/>
            <w:shd w:val="clear" w:color="auto" w:fill="auto"/>
            <w:vAlign w:val="bottom"/>
          </w:tcPr>
          <w:p w14:paraId="29FC7A8A" w14:textId="77777777" w:rsidR="009702B0" w:rsidRPr="00166751" w:rsidRDefault="009702B0" w:rsidP="006B0E06">
            <w:pPr>
              <w:spacing w:after="0" w:line="240" w:lineRule="auto"/>
              <w:rPr>
                <w:rFonts w:eastAsia="Times New Roman" w:cs="Arial"/>
                <w:b/>
                <w:sz w:val="18"/>
                <w:szCs w:val="18"/>
                <w:highlight w:val="yellow"/>
              </w:rPr>
            </w:pPr>
            <w:r w:rsidRPr="00166751">
              <w:rPr>
                <w:rFonts w:eastAsia="Times New Roman" w:cs="Arial"/>
                <w:b/>
                <w:sz w:val="18"/>
                <w:szCs w:val="18"/>
              </w:rPr>
              <w:t>Dec 31, 201</w:t>
            </w:r>
            <w:r w:rsidR="006B0E06" w:rsidRPr="00166751">
              <w:rPr>
                <w:rFonts w:eastAsia="Times New Roman" w:cs="Arial"/>
                <w:b/>
                <w:sz w:val="18"/>
                <w:szCs w:val="18"/>
              </w:rPr>
              <w:t>6</w:t>
            </w:r>
          </w:p>
        </w:tc>
        <w:tc>
          <w:tcPr>
            <w:tcW w:w="1276" w:type="dxa"/>
            <w:shd w:val="clear" w:color="auto" w:fill="auto"/>
            <w:noWrap/>
            <w:vAlign w:val="bottom"/>
          </w:tcPr>
          <w:p w14:paraId="55F5C0F2" w14:textId="77777777" w:rsidR="009702B0" w:rsidRPr="00166751" w:rsidRDefault="009702B0" w:rsidP="009702B0">
            <w:pPr>
              <w:spacing w:line="140" w:lineRule="exact"/>
              <w:jc w:val="right"/>
              <w:rPr>
                <w:rFonts w:cs="Arial"/>
                <w:sz w:val="18"/>
                <w:szCs w:val="18"/>
              </w:rPr>
            </w:pPr>
          </w:p>
        </w:tc>
        <w:tc>
          <w:tcPr>
            <w:tcW w:w="1701" w:type="dxa"/>
            <w:shd w:val="clear" w:color="auto" w:fill="auto"/>
            <w:noWrap/>
            <w:vAlign w:val="bottom"/>
          </w:tcPr>
          <w:p w14:paraId="4FF7E253" w14:textId="77777777" w:rsidR="009702B0" w:rsidRPr="00166751" w:rsidRDefault="009702B0" w:rsidP="009702B0">
            <w:pPr>
              <w:spacing w:line="140" w:lineRule="exact"/>
              <w:jc w:val="right"/>
              <w:rPr>
                <w:rFonts w:cs="Arial"/>
                <w:sz w:val="18"/>
                <w:szCs w:val="18"/>
              </w:rPr>
            </w:pPr>
          </w:p>
        </w:tc>
        <w:tc>
          <w:tcPr>
            <w:tcW w:w="1134" w:type="dxa"/>
            <w:shd w:val="clear" w:color="auto" w:fill="auto"/>
            <w:noWrap/>
            <w:vAlign w:val="bottom"/>
          </w:tcPr>
          <w:p w14:paraId="73B25EE5" w14:textId="77777777" w:rsidR="009702B0" w:rsidRPr="00166751" w:rsidRDefault="009702B0" w:rsidP="009702B0">
            <w:pPr>
              <w:spacing w:line="140" w:lineRule="exact"/>
              <w:jc w:val="right"/>
              <w:rPr>
                <w:rFonts w:cs="Arial"/>
                <w:sz w:val="18"/>
                <w:szCs w:val="18"/>
              </w:rPr>
            </w:pPr>
          </w:p>
        </w:tc>
        <w:tc>
          <w:tcPr>
            <w:tcW w:w="1559" w:type="dxa"/>
            <w:shd w:val="clear" w:color="auto" w:fill="auto"/>
            <w:noWrap/>
            <w:vAlign w:val="bottom"/>
          </w:tcPr>
          <w:p w14:paraId="1CEF61BE" w14:textId="77777777" w:rsidR="009702B0" w:rsidRPr="00166751" w:rsidRDefault="009702B0" w:rsidP="009702B0">
            <w:pPr>
              <w:spacing w:line="140" w:lineRule="exact"/>
              <w:jc w:val="right"/>
              <w:rPr>
                <w:rFonts w:cs="Arial"/>
                <w:sz w:val="18"/>
                <w:szCs w:val="18"/>
              </w:rPr>
            </w:pPr>
          </w:p>
        </w:tc>
        <w:tc>
          <w:tcPr>
            <w:tcW w:w="1134" w:type="dxa"/>
            <w:shd w:val="clear" w:color="auto" w:fill="auto"/>
            <w:noWrap/>
            <w:vAlign w:val="bottom"/>
          </w:tcPr>
          <w:p w14:paraId="268574E4" w14:textId="77777777" w:rsidR="009702B0" w:rsidRPr="00166751" w:rsidRDefault="009702B0" w:rsidP="009702B0">
            <w:pPr>
              <w:spacing w:line="140" w:lineRule="exact"/>
              <w:jc w:val="right"/>
              <w:rPr>
                <w:rFonts w:cs="Arial"/>
                <w:sz w:val="18"/>
                <w:szCs w:val="18"/>
              </w:rPr>
            </w:pPr>
          </w:p>
        </w:tc>
      </w:tr>
      <w:tr w:rsidR="009702B0" w:rsidRPr="00E0503B" w14:paraId="5D9E8F31" w14:textId="77777777" w:rsidTr="009702B0">
        <w:trPr>
          <w:trHeight w:val="300"/>
        </w:trPr>
        <w:tc>
          <w:tcPr>
            <w:tcW w:w="3085" w:type="dxa"/>
            <w:shd w:val="clear" w:color="auto" w:fill="auto"/>
            <w:vAlign w:val="bottom"/>
          </w:tcPr>
          <w:p w14:paraId="43C6C1C1" w14:textId="77777777" w:rsidR="009702B0" w:rsidRPr="00166751" w:rsidRDefault="009702B0" w:rsidP="009702B0">
            <w:pPr>
              <w:spacing w:after="0" w:line="240" w:lineRule="auto"/>
              <w:rPr>
                <w:rFonts w:eastAsia="Times New Roman" w:cs="Arial"/>
                <w:sz w:val="18"/>
                <w:szCs w:val="18"/>
                <w:highlight w:val="yellow"/>
              </w:rPr>
            </w:pPr>
          </w:p>
        </w:tc>
        <w:tc>
          <w:tcPr>
            <w:tcW w:w="1276" w:type="dxa"/>
            <w:shd w:val="clear" w:color="auto" w:fill="auto"/>
            <w:noWrap/>
            <w:vAlign w:val="bottom"/>
          </w:tcPr>
          <w:p w14:paraId="3B03E9EC" w14:textId="77777777" w:rsidR="009702B0" w:rsidRPr="00166751" w:rsidRDefault="009702B0" w:rsidP="009702B0">
            <w:pPr>
              <w:spacing w:line="140" w:lineRule="exact"/>
              <w:jc w:val="right"/>
              <w:rPr>
                <w:rFonts w:cs="Arial"/>
                <w:sz w:val="18"/>
                <w:szCs w:val="18"/>
              </w:rPr>
            </w:pPr>
          </w:p>
        </w:tc>
        <w:tc>
          <w:tcPr>
            <w:tcW w:w="1701" w:type="dxa"/>
            <w:shd w:val="clear" w:color="auto" w:fill="auto"/>
            <w:noWrap/>
            <w:vAlign w:val="bottom"/>
          </w:tcPr>
          <w:p w14:paraId="2031D04A" w14:textId="77777777" w:rsidR="009702B0" w:rsidRPr="00166751" w:rsidRDefault="009702B0" w:rsidP="009702B0">
            <w:pPr>
              <w:spacing w:line="140" w:lineRule="exact"/>
              <w:jc w:val="right"/>
              <w:rPr>
                <w:rFonts w:cs="Arial"/>
                <w:sz w:val="18"/>
                <w:szCs w:val="18"/>
              </w:rPr>
            </w:pPr>
          </w:p>
        </w:tc>
        <w:tc>
          <w:tcPr>
            <w:tcW w:w="1134" w:type="dxa"/>
            <w:shd w:val="clear" w:color="auto" w:fill="auto"/>
            <w:noWrap/>
            <w:vAlign w:val="bottom"/>
          </w:tcPr>
          <w:p w14:paraId="32105A49" w14:textId="77777777" w:rsidR="009702B0" w:rsidRPr="00166751" w:rsidRDefault="009702B0" w:rsidP="009702B0">
            <w:pPr>
              <w:spacing w:line="140" w:lineRule="exact"/>
              <w:jc w:val="right"/>
              <w:rPr>
                <w:rFonts w:cs="Arial"/>
                <w:sz w:val="18"/>
                <w:szCs w:val="18"/>
              </w:rPr>
            </w:pPr>
          </w:p>
        </w:tc>
        <w:tc>
          <w:tcPr>
            <w:tcW w:w="1559" w:type="dxa"/>
            <w:shd w:val="clear" w:color="auto" w:fill="auto"/>
            <w:noWrap/>
            <w:vAlign w:val="bottom"/>
          </w:tcPr>
          <w:p w14:paraId="38646D39" w14:textId="77777777" w:rsidR="009702B0" w:rsidRPr="00166751" w:rsidRDefault="009702B0" w:rsidP="009702B0">
            <w:pPr>
              <w:spacing w:line="140" w:lineRule="exact"/>
              <w:jc w:val="right"/>
              <w:rPr>
                <w:rFonts w:cs="Arial"/>
                <w:sz w:val="18"/>
                <w:szCs w:val="18"/>
              </w:rPr>
            </w:pPr>
          </w:p>
        </w:tc>
        <w:tc>
          <w:tcPr>
            <w:tcW w:w="1134" w:type="dxa"/>
            <w:shd w:val="clear" w:color="auto" w:fill="auto"/>
            <w:noWrap/>
            <w:vAlign w:val="bottom"/>
          </w:tcPr>
          <w:p w14:paraId="7FBF0137" w14:textId="77777777" w:rsidR="009702B0" w:rsidRPr="00166751" w:rsidRDefault="009702B0" w:rsidP="009702B0">
            <w:pPr>
              <w:spacing w:line="140" w:lineRule="exact"/>
              <w:jc w:val="right"/>
              <w:rPr>
                <w:rFonts w:cs="Arial"/>
                <w:sz w:val="18"/>
                <w:szCs w:val="18"/>
              </w:rPr>
            </w:pPr>
          </w:p>
        </w:tc>
      </w:tr>
      <w:tr w:rsidR="0060271B" w:rsidRPr="00E0503B" w14:paraId="299F15B9" w14:textId="77777777" w:rsidTr="009702B0">
        <w:trPr>
          <w:trHeight w:val="300"/>
        </w:trPr>
        <w:tc>
          <w:tcPr>
            <w:tcW w:w="3085" w:type="dxa"/>
            <w:shd w:val="clear" w:color="auto" w:fill="auto"/>
            <w:vAlign w:val="bottom"/>
          </w:tcPr>
          <w:p w14:paraId="26E84084" w14:textId="77777777" w:rsidR="0060271B" w:rsidRPr="00166751" w:rsidRDefault="0060271B" w:rsidP="0060271B">
            <w:pPr>
              <w:spacing w:after="0" w:line="240" w:lineRule="auto"/>
              <w:rPr>
                <w:rFonts w:eastAsia="Times New Roman" w:cs="Arial"/>
                <w:sz w:val="18"/>
                <w:szCs w:val="18"/>
              </w:rPr>
            </w:pPr>
            <w:r w:rsidRPr="00166751">
              <w:rPr>
                <w:rFonts w:eastAsia="Times New Roman" w:cs="Arial"/>
                <w:sz w:val="18"/>
                <w:szCs w:val="18"/>
              </w:rPr>
              <w:t>Assets of segment</w:t>
            </w:r>
          </w:p>
        </w:tc>
        <w:tc>
          <w:tcPr>
            <w:tcW w:w="1276" w:type="dxa"/>
            <w:tcBorders>
              <w:top w:val="nil"/>
              <w:left w:val="nil"/>
              <w:bottom w:val="nil"/>
              <w:right w:val="nil"/>
            </w:tcBorders>
            <w:shd w:val="clear" w:color="auto" w:fill="auto"/>
            <w:noWrap/>
            <w:vAlign w:val="bottom"/>
          </w:tcPr>
          <w:p w14:paraId="36FFC924" w14:textId="77777777" w:rsidR="0060271B" w:rsidRPr="00166751" w:rsidRDefault="0060271B" w:rsidP="0060271B">
            <w:pPr>
              <w:spacing w:after="0" w:line="240" w:lineRule="exact"/>
              <w:jc w:val="right"/>
              <w:rPr>
                <w:rFonts w:cs="Arial"/>
                <w:sz w:val="18"/>
                <w:szCs w:val="18"/>
              </w:rPr>
            </w:pPr>
            <w:r>
              <w:rPr>
                <w:rFonts w:cs="Arial"/>
                <w:sz w:val="18"/>
                <w:szCs w:val="18"/>
              </w:rPr>
              <w:t>27,374,916</w:t>
            </w:r>
          </w:p>
        </w:tc>
        <w:tc>
          <w:tcPr>
            <w:tcW w:w="1701" w:type="dxa"/>
            <w:tcBorders>
              <w:top w:val="nil"/>
              <w:left w:val="nil"/>
              <w:bottom w:val="nil"/>
              <w:right w:val="nil"/>
            </w:tcBorders>
            <w:shd w:val="clear" w:color="auto" w:fill="auto"/>
            <w:noWrap/>
            <w:vAlign w:val="bottom"/>
          </w:tcPr>
          <w:p w14:paraId="0DD444F8" w14:textId="77777777" w:rsidR="0060271B" w:rsidRPr="00166751" w:rsidRDefault="0060271B" w:rsidP="0060271B">
            <w:pPr>
              <w:spacing w:after="0" w:line="240" w:lineRule="exact"/>
              <w:jc w:val="right"/>
              <w:rPr>
                <w:rFonts w:cs="Arial"/>
                <w:sz w:val="18"/>
                <w:szCs w:val="18"/>
              </w:rPr>
            </w:pPr>
            <w:r>
              <w:rPr>
                <w:rFonts w:cs="Arial"/>
                <w:sz w:val="18"/>
                <w:szCs w:val="18"/>
              </w:rPr>
              <w:t>51,667</w:t>
            </w:r>
          </w:p>
        </w:tc>
        <w:tc>
          <w:tcPr>
            <w:tcW w:w="1134" w:type="dxa"/>
            <w:tcBorders>
              <w:top w:val="nil"/>
              <w:left w:val="nil"/>
              <w:bottom w:val="nil"/>
              <w:right w:val="nil"/>
            </w:tcBorders>
            <w:shd w:val="clear" w:color="auto" w:fill="auto"/>
            <w:noWrap/>
            <w:vAlign w:val="bottom"/>
          </w:tcPr>
          <w:p w14:paraId="23669E3C" w14:textId="77777777" w:rsidR="0060271B" w:rsidRPr="00166751" w:rsidRDefault="0060271B" w:rsidP="0060271B">
            <w:pPr>
              <w:spacing w:after="0" w:line="240" w:lineRule="exact"/>
              <w:jc w:val="right"/>
              <w:rPr>
                <w:rFonts w:cs="Arial"/>
                <w:sz w:val="18"/>
                <w:szCs w:val="18"/>
              </w:rPr>
            </w:pPr>
            <w:r>
              <w:rPr>
                <w:rFonts w:cs="Arial"/>
                <w:sz w:val="18"/>
                <w:szCs w:val="18"/>
              </w:rPr>
              <w:t>895</w:t>
            </w:r>
          </w:p>
        </w:tc>
        <w:tc>
          <w:tcPr>
            <w:tcW w:w="1559" w:type="dxa"/>
            <w:tcBorders>
              <w:top w:val="nil"/>
              <w:left w:val="nil"/>
              <w:bottom w:val="nil"/>
              <w:right w:val="nil"/>
            </w:tcBorders>
            <w:shd w:val="clear" w:color="auto" w:fill="auto"/>
            <w:noWrap/>
            <w:vAlign w:val="bottom"/>
          </w:tcPr>
          <w:p w14:paraId="32D129DB" w14:textId="77777777" w:rsidR="0060271B" w:rsidRPr="00166751" w:rsidRDefault="0060271B" w:rsidP="0060271B">
            <w:pPr>
              <w:spacing w:after="0" w:line="240" w:lineRule="exact"/>
              <w:jc w:val="right"/>
              <w:rPr>
                <w:rFonts w:cs="Arial"/>
                <w:sz w:val="18"/>
                <w:szCs w:val="18"/>
              </w:rPr>
            </w:pPr>
            <w:r w:rsidRPr="00E45CA6">
              <w:rPr>
                <w:rFonts w:cs="Arial"/>
                <w:sz w:val="18"/>
                <w:szCs w:val="18"/>
              </w:rPr>
              <w:t>(36</w:t>
            </w:r>
            <w:r>
              <w:rPr>
                <w:rFonts w:cs="Arial"/>
                <w:sz w:val="18"/>
                <w:szCs w:val="18"/>
              </w:rPr>
              <w:t>,656</w:t>
            </w:r>
            <w:r w:rsidRPr="00E45CA6">
              <w:rPr>
                <w:rFonts w:cs="Arial"/>
                <w:sz w:val="18"/>
                <w:szCs w:val="18"/>
              </w:rPr>
              <w:t>)</w:t>
            </w:r>
          </w:p>
        </w:tc>
        <w:tc>
          <w:tcPr>
            <w:tcW w:w="1134" w:type="dxa"/>
            <w:tcBorders>
              <w:top w:val="nil"/>
              <w:left w:val="nil"/>
              <w:bottom w:val="nil"/>
              <w:right w:val="nil"/>
            </w:tcBorders>
            <w:shd w:val="clear" w:color="auto" w:fill="auto"/>
            <w:noWrap/>
            <w:vAlign w:val="bottom"/>
          </w:tcPr>
          <w:p w14:paraId="1D3F8A08" w14:textId="77777777" w:rsidR="0060271B" w:rsidRPr="00166751" w:rsidRDefault="0060271B" w:rsidP="0060271B">
            <w:pPr>
              <w:spacing w:after="0" w:line="240" w:lineRule="exact"/>
              <w:jc w:val="right"/>
              <w:rPr>
                <w:rFonts w:cs="Arial"/>
                <w:sz w:val="18"/>
                <w:szCs w:val="18"/>
              </w:rPr>
            </w:pPr>
            <w:r>
              <w:rPr>
                <w:rFonts w:cs="Arial"/>
                <w:sz w:val="18"/>
                <w:szCs w:val="18"/>
              </w:rPr>
              <w:t>27,390,822</w:t>
            </w:r>
          </w:p>
        </w:tc>
      </w:tr>
      <w:tr w:rsidR="0060271B" w:rsidRPr="00E0503B" w14:paraId="6B7857C1" w14:textId="77777777" w:rsidTr="009702B0">
        <w:trPr>
          <w:trHeight w:val="315"/>
        </w:trPr>
        <w:tc>
          <w:tcPr>
            <w:tcW w:w="3085" w:type="dxa"/>
            <w:shd w:val="clear" w:color="auto" w:fill="auto"/>
            <w:vAlign w:val="bottom"/>
          </w:tcPr>
          <w:p w14:paraId="57111241" w14:textId="77777777" w:rsidR="0060271B" w:rsidRPr="00166751" w:rsidRDefault="0060271B" w:rsidP="0060271B">
            <w:pPr>
              <w:spacing w:after="0" w:line="240" w:lineRule="auto"/>
              <w:rPr>
                <w:rFonts w:eastAsia="Times New Roman" w:cs="Arial"/>
                <w:b/>
                <w:bCs/>
                <w:sz w:val="18"/>
                <w:szCs w:val="18"/>
              </w:rPr>
            </w:pPr>
            <w:r w:rsidRPr="00166751">
              <w:rPr>
                <w:rFonts w:eastAsia="Times New Roman" w:cs="Arial"/>
                <w:b/>
                <w:bCs/>
                <w:sz w:val="18"/>
                <w:szCs w:val="18"/>
              </w:rPr>
              <w:t xml:space="preserve">Total assets </w:t>
            </w:r>
          </w:p>
        </w:tc>
        <w:tc>
          <w:tcPr>
            <w:tcW w:w="1276" w:type="dxa"/>
            <w:tcBorders>
              <w:top w:val="single" w:sz="4" w:space="0" w:color="auto"/>
              <w:left w:val="nil"/>
              <w:bottom w:val="single" w:sz="8" w:space="0" w:color="auto"/>
              <w:right w:val="nil"/>
            </w:tcBorders>
            <w:shd w:val="clear" w:color="auto" w:fill="auto"/>
            <w:noWrap/>
            <w:vAlign w:val="bottom"/>
          </w:tcPr>
          <w:p w14:paraId="44F61C5B" w14:textId="77777777" w:rsidR="0060271B" w:rsidRPr="00166751" w:rsidRDefault="0060271B" w:rsidP="0060271B">
            <w:pPr>
              <w:spacing w:after="0" w:line="240" w:lineRule="exact"/>
              <w:jc w:val="right"/>
              <w:rPr>
                <w:rFonts w:cs="Arial"/>
                <w:sz w:val="18"/>
                <w:szCs w:val="18"/>
              </w:rPr>
            </w:pPr>
            <w:r w:rsidRPr="00D729B6">
              <w:rPr>
                <w:rFonts w:cs="Arial"/>
                <w:b/>
                <w:sz w:val="18"/>
                <w:szCs w:val="18"/>
              </w:rPr>
              <w:t>27</w:t>
            </w:r>
            <w:r>
              <w:rPr>
                <w:rFonts w:cs="Arial"/>
                <w:b/>
                <w:sz w:val="18"/>
                <w:szCs w:val="18"/>
              </w:rPr>
              <w:t>,</w:t>
            </w:r>
            <w:r w:rsidRPr="00D729B6">
              <w:rPr>
                <w:rFonts w:cs="Arial"/>
                <w:b/>
                <w:sz w:val="18"/>
                <w:szCs w:val="18"/>
              </w:rPr>
              <w:t>374</w:t>
            </w:r>
            <w:r>
              <w:rPr>
                <w:rFonts w:cs="Arial"/>
                <w:b/>
                <w:sz w:val="18"/>
                <w:szCs w:val="18"/>
              </w:rPr>
              <w:t>,</w:t>
            </w:r>
            <w:r w:rsidRPr="00D729B6">
              <w:rPr>
                <w:rFonts w:cs="Arial"/>
                <w:b/>
                <w:sz w:val="18"/>
                <w:szCs w:val="18"/>
              </w:rPr>
              <w:t>916</w:t>
            </w:r>
          </w:p>
        </w:tc>
        <w:tc>
          <w:tcPr>
            <w:tcW w:w="1701" w:type="dxa"/>
            <w:tcBorders>
              <w:top w:val="single" w:sz="4" w:space="0" w:color="auto"/>
              <w:left w:val="nil"/>
              <w:bottom w:val="single" w:sz="8" w:space="0" w:color="auto"/>
              <w:right w:val="nil"/>
            </w:tcBorders>
            <w:shd w:val="clear" w:color="auto" w:fill="auto"/>
            <w:noWrap/>
            <w:vAlign w:val="bottom"/>
          </w:tcPr>
          <w:p w14:paraId="30AAB99C" w14:textId="77777777" w:rsidR="0060271B" w:rsidRPr="00166751" w:rsidRDefault="0060271B" w:rsidP="0060271B">
            <w:pPr>
              <w:spacing w:after="0" w:line="240" w:lineRule="exact"/>
              <w:jc w:val="right"/>
              <w:rPr>
                <w:rFonts w:cs="Arial"/>
                <w:sz w:val="18"/>
                <w:szCs w:val="18"/>
              </w:rPr>
            </w:pPr>
            <w:r>
              <w:rPr>
                <w:rFonts w:cs="Arial"/>
                <w:b/>
                <w:sz w:val="18"/>
                <w:szCs w:val="18"/>
              </w:rPr>
              <w:t>51,667</w:t>
            </w:r>
          </w:p>
        </w:tc>
        <w:tc>
          <w:tcPr>
            <w:tcW w:w="1134" w:type="dxa"/>
            <w:tcBorders>
              <w:top w:val="single" w:sz="4" w:space="0" w:color="auto"/>
              <w:left w:val="nil"/>
              <w:bottom w:val="single" w:sz="8" w:space="0" w:color="auto"/>
              <w:right w:val="nil"/>
            </w:tcBorders>
            <w:shd w:val="clear" w:color="auto" w:fill="auto"/>
            <w:noWrap/>
            <w:vAlign w:val="bottom"/>
          </w:tcPr>
          <w:p w14:paraId="209F5464" w14:textId="77777777" w:rsidR="0060271B" w:rsidRPr="00166751" w:rsidRDefault="0060271B" w:rsidP="0060271B">
            <w:pPr>
              <w:spacing w:after="0" w:line="240" w:lineRule="exact"/>
              <w:jc w:val="right"/>
              <w:rPr>
                <w:rFonts w:cs="Arial"/>
                <w:sz w:val="18"/>
                <w:szCs w:val="18"/>
              </w:rPr>
            </w:pPr>
            <w:r>
              <w:rPr>
                <w:rFonts w:cs="Arial"/>
                <w:b/>
                <w:sz w:val="18"/>
                <w:szCs w:val="18"/>
              </w:rPr>
              <w:t>895</w:t>
            </w:r>
          </w:p>
        </w:tc>
        <w:tc>
          <w:tcPr>
            <w:tcW w:w="1559" w:type="dxa"/>
            <w:tcBorders>
              <w:top w:val="single" w:sz="4" w:space="0" w:color="auto"/>
              <w:left w:val="nil"/>
              <w:bottom w:val="single" w:sz="8" w:space="0" w:color="auto"/>
              <w:right w:val="nil"/>
            </w:tcBorders>
            <w:shd w:val="clear" w:color="auto" w:fill="auto"/>
            <w:noWrap/>
            <w:vAlign w:val="bottom"/>
          </w:tcPr>
          <w:p w14:paraId="1B753515" w14:textId="77777777" w:rsidR="0060271B" w:rsidRPr="00166751" w:rsidRDefault="0060271B" w:rsidP="0060271B">
            <w:pPr>
              <w:spacing w:after="0" w:line="240" w:lineRule="exact"/>
              <w:jc w:val="right"/>
              <w:rPr>
                <w:rFonts w:cs="Arial"/>
                <w:sz w:val="18"/>
                <w:szCs w:val="18"/>
              </w:rPr>
            </w:pPr>
            <w:r w:rsidRPr="00E45CA6">
              <w:rPr>
                <w:rFonts w:cs="Arial"/>
                <w:b/>
                <w:sz w:val="18"/>
                <w:szCs w:val="18"/>
              </w:rPr>
              <w:t>(36</w:t>
            </w:r>
            <w:r>
              <w:rPr>
                <w:rFonts w:cs="Arial"/>
                <w:b/>
                <w:sz w:val="18"/>
                <w:szCs w:val="18"/>
              </w:rPr>
              <w:t>,656</w:t>
            </w:r>
            <w:r w:rsidRPr="00E45CA6">
              <w:rPr>
                <w:rFonts w:cs="Arial"/>
                <w:b/>
                <w:sz w:val="18"/>
                <w:szCs w:val="18"/>
              </w:rPr>
              <w:t>)</w:t>
            </w:r>
          </w:p>
        </w:tc>
        <w:tc>
          <w:tcPr>
            <w:tcW w:w="1134" w:type="dxa"/>
            <w:tcBorders>
              <w:top w:val="single" w:sz="4" w:space="0" w:color="auto"/>
              <w:left w:val="nil"/>
              <w:bottom w:val="single" w:sz="8" w:space="0" w:color="auto"/>
              <w:right w:val="nil"/>
            </w:tcBorders>
            <w:shd w:val="clear" w:color="auto" w:fill="auto"/>
            <w:noWrap/>
            <w:vAlign w:val="bottom"/>
          </w:tcPr>
          <w:p w14:paraId="7A82154E" w14:textId="77777777" w:rsidR="0060271B" w:rsidRPr="00166751" w:rsidRDefault="0060271B" w:rsidP="0060271B">
            <w:pPr>
              <w:spacing w:after="0" w:line="240" w:lineRule="exact"/>
              <w:jc w:val="right"/>
              <w:rPr>
                <w:rFonts w:cs="Arial"/>
                <w:sz w:val="18"/>
                <w:szCs w:val="18"/>
              </w:rPr>
            </w:pPr>
            <w:r>
              <w:rPr>
                <w:rFonts w:cs="Arial"/>
                <w:b/>
                <w:sz w:val="18"/>
                <w:szCs w:val="18"/>
              </w:rPr>
              <w:t>27,390,822</w:t>
            </w:r>
          </w:p>
        </w:tc>
      </w:tr>
      <w:tr w:rsidR="0060271B" w:rsidRPr="00E0503B" w14:paraId="342175CF" w14:textId="77777777" w:rsidTr="006B0E06">
        <w:trPr>
          <w:trHeight w:val="121"/>
        </w:trPr>
        <w:tc>
          <w:tcPr>
            <w:tcW w:w="3085" w:type="dxa"/>
            <w:shd w:val="clear" w:color="auto" w:fill="auto"/>
            <w:vAlign w:val="bottom"/>
          </w:tcPr>
          <w:p w14:paraId="02CB8239" w14:textId="77777777" w:rsidR="0060271B" w:rsidRPr="00166751" w:rsidRDefault="0060271B" w:rsidP="0060271B">
            <w:pPr>
              <w:spacing w:after="0" w:line="240" w:lineRule="auto"/>
              <w:rPr>
                <w:rFonts w:eastAsia="Times New Roman" w:cs="Arial"/>
                <w:sz w:val="18"/>
                <w:szCs w:val="18"/>
              </w:rPr>
            </w:pPr>
          </w:p>
        </w:tc>
        <w:tc>
          <w:tcPr>
            <w:tcW w:w="1276" w:type="dxa"/>
            <w:tcBorders>
              <w:top w:val="single" w:sz="8" w:space="0" w:color="auto"/>
              <w:left w:val="nil"/>
              <w:bottom w:val="nil"/>
              <w:right w:val="nil"/>
            </w:tcBorders>
            <w:shd w:val="clear" w:color="auto" w:fill="auto"/>
            <w:noWrap/>
            <w:vAlign w:val="bottom"/>
          </w:tcPr>
          <w:p w14:paraId="544F88F7" w14:textId="77777777" w:rsidR="0060271B" w:rsidRPr="00166751" w:rsidRDefault="0060271B" w:rsidP="0060271B">
            <w:pPr>
              <w:spacing w:after="0" w:line="240" w:lineRule="exact"/>
              <w:jc w:val="right"/>
              <w:rPr>
                <w:rFonts w:cs="Arial"/>
                <w:b/>
                <w:sz w:val="18"/>
                <w:szCs w:val="18"/>
              </w:rPr>
            </w:pPr>
          </w:p>
        </w:tc>
        <w:tc>
          <w:tcPr>
            <w:tcW w:w="1701" w:type="dxa"/>
            <w:tcBorders>
              <w:top w:val="single" w:sz="8" w:space="0" w:color="auto"/>
              <w:left w:val="nil"/>
              <w:bottom w:val="nil"/>
              <w:right w:val="nil"/>
            </w:tcBorders>
            <w:shd w:val="clear" w:color="auto" w:fill="auto"/>
            <w:noWrap/>
            <w:vAlign w:val="bottom"/>
          </w:tcPr>
          <w:p w14:paraId="0A4657C8" w14:textId="77777777" w:rsidR="0060271B" w:rsidRPr="00166751" w:rsidRDefault="0060271B" w:rsidP="0060271B">
            <w:pPr>
              <w:spacing w:after="0" w:line="240" w:lineRule="exact"/>
              <w:jc w:val="right"/>
              <w:rPr>
                <w:rFonts w:cs="Arial"/>
                <w:b/>
                <w:sz w:val="18"/>
                <w:szCs w:val="18"/>
              </w:rPr>
            </w:pPr>
          </w:p>
        </w:tc>
        <w:tc>
          <w:tcPr>
            <w:tcW w:w="1134" w:type="dxa"/>
            <w:tcBorders>
              <w:top w:val="single" w:sz="8" w:space="0" w:color="auto"/>
              <w:left w:val="nil"/>
              <w:bottom w:val="nil"/>
              <w:right w:val="nil"/>
            </w:tcBorders>
            <w:shd w:val="clear" w:color="auto" w:fill="auto"/>
            <w:noWrap/>
            <w:vAlign w:val="bottom"/>
          </w:tcPr>
          <w:p w14:paraId="47A25B4A" w14:textId="77777777" w:rsidR="0060271B" w:rsidRPr="00166751" w:rsidRDefault="0060271B" w:rsidP="0060271B">
            <w:pPr>
              <w:spacing w:after="0" w:line="240" w:lineRule="exact"/>
              <w:jc w:val="right"/>
              <w:rPr>
                <w:rFonts w:cs="Arial"/>
                <w:b/>
                <w:sz w:val="18"/>
                <w:szCs w:val="18"/>
              </w:rPr>
            </w:pPr>
          </w:p>
        </w:tc>
        <w:tc>
          <w:tcPr>
            <w:tcW w:w="1559" w:type="dxa"/>
            <w:tcBorders>
              <w:top w:val="single" w:sz="8" w:space="0" w:color="auto"/>
              <w:left w:val="nil"/>
              <w:bottom w:val="nil"/>
              <w:right w:val="nil"/>
            </w:tcBorders>
            <w:shd w:val="clear" w:color="auto" w:fill="auto"/>
            <w:noWrap/>
            <w:vAlign w:val="bottom"/>
          </w:tcPr>
          <w:p w14:paraId="3A94F23C" w14:textId="77777777" w:rsidR="0060271B" w:rsidRPr="00166751" w:rsidRDefault="0060271B" w:rsidP="0060271B">
            <w:pPr>
              <w:spacing w:after="0" w:line="240" w:lineRule="exact"/>
              <w:jc w:val="right"/>
              <w:rPr>
                <w:rFonts w:cs="Arial"/>
                <w:b/>
                <w:sz w:val="18"/>
                <w:szCs w:val="18"/>
              </w:rPr>
            </w:pPr>
          </w:p>
        </w:tc>
        <w:tc>
          <w:tcPr>
            <w:tcW w:w="1134" w:type="dxa"/>
            <w:tcBorders>
              <w:top w:val="single" w:sz="8" w:space="0" w:color="auto"/>
              <w:left w:val="nil"/>
              <w:bottom w:val="nil"/>
              <w:right w:val="nil"/>
            </w:tcBorders>
            <w:shd w:val="clear" w:color="auto" w:fill="auto"/>
            <w:noWrap/>
            <w:vAlign w:val="bottom"/>
          </w:tcPr>
          <w:p w14:paraId="7F1DC527" w14:textId="77777777" w:rsidR="0060271B" w:rsidRPr="00166751" w:rsidRDefault="0060271B" w:rsidP="0060271B">
            <w:pPr>
              <w:spacing w:after="0" w:line="240" w:lineRule="exact"/>
              <w:jc w:val="right"/>
              <w:rPr>
                <w:rFonts w:cs="Arial"/>
                <w:b/>
                <w:sz w:val="18"/>
                <w:szCs w:val="18"/>
              </w:rPr>
            </w:pPr>
          </w:p>
        </w:tc>
      </w:tr>
      <w:tr w:rsidR="0060271B" w:rsidRPr="00E0503B" w14:paraId="727532D6" w14:textId="77777777" w:rsidTr="009702B0">
        <w:trPr>
          <w:trHeight w:val="307"/>
        </w:trPr>
        <w:tc>
          <w:tcPr>
            <w:tcW w:w="3085" w:type="dxa"/>
            <w:shd w:val="clear" w:color="auto" w:fill="auto"/>
            <w:vAlign w:val="bottom"/>
          </w:tcPr>
          <w:p w14:paraId="02B15DCB" w14:textId="77777777" w:rsidR="0060271B" w:rsidRPr="00166751" w:rsidRDefault="0060271B" w:rsidP="0060271B">
            <w:pPr>
              <w:spacing w:after="0" w:line="240" w:lineRule="auto"/>
              <w:rPr>
                <w:rFonts w:eastAsia="Times New Roman" w:cs="Arial"/>
                <w:sz w:val="18"/>
                <w:szCs w:val="18"/>
              </w:rPr>
            </w:pPr>
            <w:r w:rsidRPr="00166751">
              <w:rPr>
                <w:rFonts w:eastAsia="Times New Roman" w:cs="Arial"/>
                <w:sz w:val="18"/>
                <w:szCs w:val="18"/>
              </w:rPr>
              <w:t>Liabilities of segment</w:t>
            </w:r>
          </w:p>
        </w:tc>
        <w:tc>
          <w:tcPr>
            <w:tcW w:w="1276" w:type="dxa"/>
            <w:tcBorders>
              <w:top w:val="nil"/>
              <w:left w:val="nil"/>
              <w:bottom w:val="nil"/>
              <w:right w:val="nil"/>
            </w:tcBorders>
            <w:shd w:val="clear" w:color="auto" w:fill="auto"/>
            <w:noWrap/>
            <w:vAlign w:val="bottom"/>
          </w:tcPr>
          <w:p w14:paraId="6967F52F" w14:textId="77777777" w:rsidR="0060271B" w:rsidRPr="00166751" w:rsidRDefault="0060271B" w:rsidP="0060271B">
            <w:pPr>
              <w:spacing w:after="0" w:line="240" w:lineRule="exact"/>
              <w:jc w:val="right"/>
              <w:rPr>
                <w:rFonts w:cs="Arial"/>
                <w:sz w:val="18"/>
                <w:szCs w:val="18"/>
              </w:rPr>
            </w:pPr>
            <w:r>
              <w:rPr>
                <w:rFonts w:cs="Arial"/>
                <w:sz w:val="18"/>
                <w:szCs w:val="18"/>
              </w:rPr>
              <w:t>17,336,936</w:t>
            </w:r>
          </w:p>
        </w:tc>
        <w:tc>
          <w:tcPr>
            <w:tcW w:w="1701" w:type="dxa"/>
            <w:tcBorders>
              <w:top w:val="nil"/>
              <w:left w:val="nil"/>
              <w:bottom w:val="nil"/>
              <w:right w:val="nil"/>
            </w:tcBorders>
            <w:shd w:val="clear" w:color="auto" w:fill="auto"/>
            <w:noWrap/>
            <w:vAlign w:val="bottom"/>
          </w:tcPr>
          <w:p w14:paraId="5435EE02" w14:textId="77777777" w:rsidR="0060271B" w:rsidRPr="00166751" w:rsidRDefault="0060271B" w:rsidP="0060271B">
            <w:pPr>
              <w:spacing w:after="0" w:line="240" w:lineRule="exact"/>
              <w:jc w:val="right"/>
              <w:rPr>
                <w:rFonts w:cs="Arial"/>
                <w:sz w:val="18"/>
                <w:szCs w:val="18"/>
              </w:rPr>
            </w:pPr>
            <w:r>
              <w:rPr>
                <w:rFonts w:cs="Arial"/>
                <w:sz w:val="18"/>
                <w:szCs w:val="18"/>
              </w:rPr>
              <w:t>11,049</w:t>
            </w:r>
          </w:p>
        </w:tc>
        <w:tc>
          <w:tcPr>
            <w:tcW w:w="1134" w:type="dxa"/>
            <w:tcBorders>
              <w:top w:val="nil"/>
              <w:left w:val="nil"/>
              <w:bottom w:val="nil"/>
              <w:right w:val="nil"/>
            </w:tcBorders>
            <w:shd w:val="clear" w:color="auto" w:fill="auto"/>
            <w:noWrap/>
            <w:vAlign w:val="bottom"/>
          </w:tcPr>
          <w:p w14:paraId="33F89CB7" w14:textId="77777777" w:rsidR="0060271B" w:rsidRPr="00166751" w:rsidRDefault="0060271B" w:rsidP="0060271B">
            <w:pPr>
              <w:spacing w:after="0" w:line="240" w:lineRule="exact"/>
              <w:jc w:val="right"/>
              <w:rPr>
                <w:rFonts w:cs="Arial"/>
                <w:sz w:val="18"/>
                <w:szCs w:val="18"/>
              </w:rPr>
            </w:pPr>
            <w:r>
              <w:rPr>
                <w:rFonts w:cs="Arial"/>
                <w:sz w:val="18"/>
                <w:szCs w:val="18"/>
              </w:rPr>
              <w:t>159</w:t>
            </w:r>
          </w:p>
        </w:tc>
        <w:tc>
          <w:tcPr>
            <w:tcW w:w="1559" w:type="dxa"/>
            <w:tcBorders>
              <w:top w:val="nil"/>
              <w:left w:val="nil"/>
              <w:bottom w:val="nil"/>
              <w:right w:val="nil"/>
            </w:tcBorders>
            <w:shd w:val="clear" w:color="auto" w:fill="auto"/>
            <w:noWrap/>
            <w:vAlign w:val="bottom"/>
          </w:tcPr>
          <w:p w14:paraId="63A0F816" w14:textId="77777777" w:rsidR="0060271B" w:rsidRPr="00166751" w:rsidRDefault="0060271B" w:rsidP="0060271B">
            <w:pPr>
              <w:spacing w:after="0" w:line="240" w:lineRule="exact"/>
              <w:jc w:val="right"/>
              <w:rPr>
                <w:rFonts w:cs="Arial"/>
                <w:sz w:val="18"/>
                <w:szCs w:val="18"/>
              </w:rPr>
            </w:pPr>
            <w:r w:rsidRPr="00E45CA6">
              <w:rPr>
                <w:rFonts w:cs="Arial"/>
                <w:sz w:val="18"/>
                <w:szCs w:val="18"/>
              </w:rPr>
              <w:t>(3</w:t>
            </w:r>
            <w:r>
              <w:rPr>
                <w:rFonts w:cs="Arial"/>
                <w:sz w:val="18"/>
                <w:szCs w:val="18"/>
              </w:rPr>
              <w:t>0</w:t>
            </w:r>
            <w:r w:rsidRPr="00E45CA6">
              <w:rPr>
                <w:rFonts w:cs="Arial"/>
                <w:sz w:val="18"/>
                <w:szCs w:val="18"/>
              </w:rPr>
              <w:t>)</w:t>
            </w:r>
          </w:p>
        </w:tc>
        <w:tc>
          <w:tcPr>
            <w:tcW w:w="1134" w:type="dxa"/>
            <w:tcBorders>
              <w:top w:val="nil"/>
              <w:left w:val="nil"/>
              <w:bottom w:val="nil"/>
              <w:right w:val="nil"/>
            </w:tcBorders>
            <w:shd w:val="clear" w:color="auto" w:fill="auto"/>
            <w:noWrap/>
            <w:vAlign w:val="bottom"/>
          </w:tcPr>
          <w:p w14:paraId="315A5B81" w14:textId="77777777" w:rsidR="0060271B" w:rsidRPr="00166751" w:rsidRDefault="0060271B" w:rsidP="0060271B">
            <w:pPr>
              <w:spacing w:after="0" w:line="240" w:lineRule="exact"/>
              <w:jc w:val="right"/>
              <w:rPr>
                <w:rFonts w:cs="Arial"/>
                <w:sz w:val="18"/>
                <w:szCs w:val="18"/>
              </w:rPr>
            </w:pPr>
            <w:r>
              <w:rPr>
                <w:rFonts w:cs="Arial"/>
                <w:sz w:val="18"/>
                <w:szCs w:val="18"/>
              </w:rPr>
              <w:t>17,348,114</w:t>
            </w:r>
          </w:p>
        </w:tc>
      </w:tr>
      <w:tr w:rsidR="0060271B" w:rsidRPr="00E0503B" w14:paraId="5E1E1A3A" w14:textId="77777777" w:rsidTr="009702B0">
        <w:trPr>
          <w:trHeight w:val="300"/>
        </w:trPr>
        <w:tc>
          <w:tcPr>
            <w:tcW w:w="3085" w:type="dxa"/>
            <w:shd w:val="clear" w:color="auto" w:fill="auto"/>
            <w:vAlign w:val="bottom"/>
          </w:tcPr>
          <w:p w14:paraId="152C26D1" w14:textId="77777777" w:rsidR="0060271B" w:rsidRPr="00166751" w:rsidRDefault="0060271B" w:rsidP="0060271B">
            <w:pPr>
              <w:spacing w:after="0" w:line="240" w:lineRule="auto"/>
              <w:rPr>
                <w:rFonts w:eastAsia="Times New Roman" w:cs="Arial"/>
                <w:sz w:val="18"/>
                <w:szCs w:val="18"/>
              </w:rPr>
            </w:pPr>
            <w:r w:rsidRPr="00166751">
              <w:rPr>
                <w:rFonts w:eastAsia="Times New Roman" w:cs="Arial"/>
                <w:sz w:val="18"/>
                <w:szCs w:val="18"/>
              </w:rPr>
              <w:t>Total equity</w:t>
            </w:r>
          </w:p>
        </w:tc>
        <w:tc>
          <w:tcPr>
            <w:tcW w:w="1276" w:type="dxa"/>
            <w:tcBorders>
              <w:top w:val="nil"/>
              <w:left w:val="nil"/>
              <w:bottom w:val="nil"/>
              <w:right w:val="nil"/>
            </w:tcBorders>
            <w:shd w:val="clear" w:color="auto" w:fill="auto"/>
            <w:noWrap/>
            <w:vAlign w:val="bottom"/>
          </w:tcPr>
          <w:p w14:paraId="59D9E921" w14:textId="77777777" w:rsidR="0060271B" w:rsidRPr="00166751" w:rsidRDefault="0060271B" w:rsidP="0060271B">
            <w:pPr>
              <w:spacing w:after="0" w:line="240" w:lineRule="exact"/>
              <w:jc w:val="right"/>
              <w:rPr>
                <w:rFonts w:cs="Arial"/>
                <w:sz w:val="18"/>
                <w:szCs w:val="18"/>
              </w:rPr>
            </w:pPr>
            <w:r>
              <w:rPr>
                <w:rFonts w:cs="Arial"/>
                <w:sz w:val="18"/>
                <w:szCs w:val="18"/>
              </w:rPr>
              <w:t>10,037,980</w:t>
            </w:r>
          </w:p>
        </w:tc>
        <w:tc>
          <w:tcPr>
            <w:tcW w:w="1701" w:type="dxa"/>
            <w:tcBorders>
              <w:top w:val="nil"/>
              <w:left w:val="nil"/>
              <w:bottom w:val="nil"/>
              <w:right w:val="nil"/>
            </w:tcBorders>
            <w:shd w:val="clear" w:color="auto" w:fill="auto"/>
            <w:noWrap/>
            <w:vAlign w:val="bottom"/>
          </w:tcPr>
          <w:p w14:paraId="17D18297" w14:textId="77777777" w:rsidR="0060271B" w:rsidRPr="00166751" w:rsidRDefault="0060271B" w:rsidP="0060271B">
            <w:pPr>
              <w:spacing w:after="0" w:line="240" w:lineRule="exact"/>
              <w:jc w:val="right"/>
              <w:rPr>
                <w:rFonts w:cs="Arial"/>
                <w:sz w:val="18"/>
                <w:szCs w:val="18"/>
              </w:rPr>
            </w:pPr>
            <w:r>
              <w:rPr>
                <w:rFonts w:cs="Arial"/>
                <w:sz w:val="18"/>
                <w:szCs w:val="18"/>
              </w:rPr>
              <w:t>3,119</w:t>
            </w:r>
          </w:p>
        </w:tc>
        <w:tc>
          <w:tcPr>
            <w:tcW w:w="1134" w:type="dxa"/>
            <w:tcBorders>
              <w:top w:val="nil"/>
              <w:left w:val="nil"/>
              <w:bottom w:val="nil"/>
              <w:right w:val="nil"/>
            </w:tcBorders>
            <w:shd w:val="clear" w:color="auto" w:fill="auto"/>
            <w:noWrap/>
            <w:vAlign w:val="bottom"/>
          </w:tcPr>
          <w:p w14:paraId="5B8B8809" w14:textId="77777777" w:rsidR="0060271B" w:rsidRPr="00166751" w:rsidRDefault="0060271B" w:rsidP="0060271B">
            <w:pPr>
              <w:spacing w:after="0" w:line="240" w:lineRule="exact"/>
              <w:jc w:val="right"/>
              <w:rPr>
                <w:rFonts w:cs="Arial"/>
                <w:sz w:val="18"/>
                <w:szCs w:val="18"/>
              </w:rPr>
            </w:pPr>
            <w:r>
              <w:rPr>
                <w:rFonts w:cs="Arial"/>
                <w:sz w:val="18"/>
                <w:szCs w:val="18"/>
              </w:rPr>
              <w:t>436</w:t>
            </w:r>
          </w:p>
        </w:tc>
        <w:tc>
          <w:tcPr>
            <w:tcW w:w="1559" w:type="dxa"/>
            <w:tcBorders>
              <w:top w:val="nil"/>
              <w:left w:val="nil"/>
              <w:bottom w:val="nil"/>
              <w:right w:val="nil"/>
            </w:tcBorders>
            <w:shd w:val="clear" w:color="auto" w:fill="auto"/>
            <w:noWrap/>
            <w:vAlign w:val="bottom"/>
          </w:tcPr>
          <w:p w14:paraId="12EEAF6B" w14:textId="77777777" w:rsidR="0060271B" w:rsidRPr="00166751" w:rsidRDefault="0060271B" w:rsidP="0060271B">
            <w:pPr>
              <w:spacing w:after="0" w:line="240" w:lineRule="exact"/>
              <w:jc w:val="right"/>
              <w:rPr>
                <w:rFonts w:cs="Arial"/>
                <w:sz w:val="18"/>
                <w:szCs w:val="18"/>
              </w:rPr>
            </w:pPr>
            <w:r w:rsidRPr="00E45CA6">
              <w:rPr>
                <w:rFonts w:cs="Arial"/>
                <w:sz w:val="18"/>
                <w:szCs w:val="18"/>
              </w:rPr>
              <w:t>1</w:t>
            </w:r>
            <w:r>
              <w:rPr>
                <w:rFonts w:cs="Arial"/>
                <w:sz w:val="18"/>
                <w:szCs w:val="18"/>
              </w:rPr>
              <w:t>,</w:t>
            </w:r>
            <w:r w:rsidRPr="00E45CA6">
              <w:rPr>
                <w:rFonts w:cs="Arial"/>
                <w:sz w:val="18"/>
                <w:szCs w:val="18"/>
              </w:rPr>
              <w:t>17</w:t>
            </w:r>
            <w:r>
              <w:rPr>
                <w:rFonts w:cs="Arial"/>
                <w:sz w:val="18"/>
                <w:szCs w:val="18"/>
              </w:rPr>
              <w:t>3</w:t>
            </w:r>
          </w:p>
        </w:tc>
        <w:tc>
          <w:tcPr>
            <w:tcW w:w="1134" w:type="dxa"/>
            <w:tcBorders>
              <w:top w:val="nil"/>
              <w:left w:val="nil"/>
              <w:bottom w:val="nil"/>
              <w:right w:val="nil"/>
            </w:tcBorders>
            <w:shd w:val="clear" w:color="auto" w:fill="auto"/>
            <w:noWrap/>
            <w:vAlign w:val="bottom"/>
          </w:tcPr>
          <w:p w14:paraId="69CC4FCB" w14:textId="77777777" w:rsidR="0060271B" w:rsidRPr="00166751" w:rsidRDefault="0060271B" w:rsidP="0060271B">
            <w:pPr>
              <w:spacing w:after="0" w:line="240" w:lineRule="exact"/>
              <w:jc w:val="right"/>
              <w:rPr>
                <w:rFonts w:cs="Arial"/>
                <w:sz w:val="18"/>
                <w:szCs w:val="18"/>
              </w:rPr>
            </w:pPr>
            <w:r>
              <w:rPr>
                <w:rFonts w:cs="Arial"/>
                <w:sz w:val="18"/>
                <w:szCs w:val="18"/>
              </w:rPr>
              <w:t>10,042,708</w:t>
            </w:r>
          </w:p>
        </w:tc>
      </w:tr>
      <w:tr w:rsidR="0060271B" w:rsidRPr="00E0503B" w14:paraId="499A262F" w14:textId="77777777" w:rsidTr="009702B0">
        <w:trPr>
          <w:trHeight w:val="315"/>
        </w:trPr>
        <w:tc>
          <w:tcPr>
            <w:tcW w:w="3085" w:type="dxa"/>
            <w:shd w:val="clear" w:color="auto" w:fill="auto"/>
            <w:vAlign w:val="bottom"/>
          </w:tcPr>
          <w:p w14:paraId="43E10A19" w14:textId="77777777" w:rsidR="0060271B" w:rsidRPr="00166751" w:rsidRDefault="0060271B" w:rsidP="0060271B">
            <w:pPr>
              <w:spacing w:after="0" w:line="240" w:lineRule="auto"/>
              <w:rPr>
                <w:rFonts w:eastAsia="Times New Roman" w:cs="Arial"/>
                <w:b/>
                <w:bCs/>
                <w:sz w:val="18"/>
                <w:szCs w:val="18"/>
              </w:rPr>
            </w:pPr>
            <w:r w:rsidRPr="00166751">
              <w:rPr>
                <w:rFonts w:eastAsia="Times New Roman" w:cs="Arial"/>
                <w:b/>
                <w:bCs/>
                <w:sz w:val="18"/>
                <w:szCs w:val="18"/>
              </w:rPr>
              <w:t>Total liabilities and total equity</w:t>
            </w:r>
          </w:p>
        </w:tc>
        <w:tc>
          <w:tcPr>
            <w:tcW w:w="1276" w:type="dxa"/>
            <w:tcBorders>
              <w:top w:val="single" w:sz="4" w:space="0" w:color="auto"/>
              <w:left w:val="nil"/>
              <w:bottom w:val="single" w:sz="8" w:space="0" w:color="auto"/>
              <w:right w:val="nil"/>
            </w:tcBorders>
            <w:shd w:val="clear" w:color="auto" w:fill="auto"/>
            <w:noWrap/>
            <w:vAlign w:val="bottom"/>
          </w:tcPr>
          <w:p w14:paraId="2B4D318E" w14:textId="77777777" w:rsidR="0060271B" w:rsidRPr="00166751" w:rsidRDefault="0060271B" w:rsidP="0060271B">
            <w:pPr>
              <w:spacing w:after="0" w:line="240" w:lineRule="exact"/>
              <w:jc w:val="right"/>
              <w:rPr>
                <w:rFonts w:cs="Arial"/>
                <w:sz w:val="18"/>
                <w:szCs w:val="18"/>
              </w:rPr>
            </w:pPr>
            <w:r>
              <w:rPr>
                <w:rFonts w:cs="Arial"/>
                <w:b/>
                <w:sz w:val="18"/>
                <w:szCs w:val="18"/>
              </w:rPr>
              <w:t>27,374,916</w:t>
            </w:r>
          </w:p>
        </w:tc>
        <w:tc>
          <w:tcPr>
            <w:tcW w:w="1701" w:type="dxa"/>
            <w:tcBorders>
              <w:top w:val="single" w:sz="4" w:space="0" w:color="auto"/>
              <w:left w:val="nil"/>
              <w:bottom w:val="single" w:sz="8" w:space="0" w:color="auto"/>
              <w:right w:val="nil"/>
            </w:tcBorders>
            <w:shd w:val="clear" w:color="auto" w:fill="auto"/>
            <w:noWrap/>
            <w:vAlign w:val="bottom"/>
          </w:tcPr>
          <w:p w14:paraId="4B72F192" w14:textId="77777777" w:rsidR="0060271B" w:rsidRPr="00166751" w:rsidRDefault="0060271B" w:rsidP="0060271B">
            <w:pPr>
              <w:spacing w:after="0" w:line="240" w:lineRule="exact"/>
              <w:jc w:val="right"/>
              <w:rPr>
                <w:rFonts w:cs="Arial"/>
                <w:sz w:val="18"/>
                <w:szCs w:val="18"/>
              </w:rPr>
            </w:pPr>
            <w:r>
              <w:rPr>
                <w:rFonts w:cs="Arial"/>
                <w:b/>
                <w:sz w:val="18"/>
                <w:szCs w:val="18"/>
              </w:rPr>
              <w:t>14,168</w:t>
            </w:r>
          </w:p>
        </w:tc>
        <w:tc>
          <w:tcPr>
            <w:tcW w:w="1134" w:type="dxa"/>
            <w:tcBorders>
              <w:top w:val="single" w:sz="4" w:space="0" w:color="auto"/>
              <w:left w:val="nil"/>
              <w:bottom w:val="single" w:sz="8" w:space="0" w:color="auto"/>
              <w:right w:val="nil"/>
            </w:tcBorders>
            <w:shd w:val="clear" w:color="auto" w:fill="auto"/>
            <w:noWrap/>
            <w:vAlign w:val="bottom"/>
          </w:tcPr>
          <w:p w14:paraId="13AA57D7" w14:textId="77777777" w:rsidR="0060271B" w:rsidRPr="00166751" w:rsidRDefault="0060271B" w:rsidP="0060271B">
            <w:pPr>
              <w:spacing w:after="0" w:line="240" w:lineRule="exact"/>
              <w:jc w:val="right"/>
              <w:rPr>
                <w:rFonts w:cs="Arial"/>
                <w:sz w:val="18"/>
                <w:szCs w:val="18"/>
              </w:rPr>
            </w:pPr>
            <w:r>
              <w:rPr>
                <w:rFonts w:cs="Arial"/>
                <w:b/>
                <w:sz w:val="18"/>
                <w:szCs w:val="18"/>
              </w:rPr>
              <w:t>595</w:t>
            </w:r>
          </w:p>
        </w:tc>
        <w:tc>
          <w:tcPr>
            <w:tcW w:w="1559" w:type="dxa"/>
            <w:tcBorders>
              <w:top w:val="single" w:sz="4" w:space="0" w:color="auto"/>
              <w:left w:val="nil"/>
              <w:bottom w:val="single" w:sz="8" w:space="0" w:color="auto"/>
              <w:right w:val="nil"/>
            </w:tcBorders>
            <w:shd w:val="clear" w:color="auto" w:fill="auto"/>
            <w:noWrap/>
            <w:vAlign w:val="bottom"/>
          </w:tcPr>
          <w:p w14:paraId="08F898DE" w14:textId="77777777" w:rsidR="0060271B" w:rsidRPr="00166751" w:rsidRDefault="0060271B" w:rsidP="0060271B">
            <w:pPr>
              <w:spacing w:after="0" w:line="240" w:lineRule="exact"/>
              <w:jc w:val="right"/>
              <w:rPr>
                <w:rFonts w:cs="Arial"/>
                <w:sz w:val="18"/>
                <w:szCs w:val="18"/>
              </w:rPr>
            </w:pPr>
            <w:r w:rsidRPr="00E45CA6">
              <w:rPr>
                <w:rFonts w:cs="Arial"/>
                <w:b/>
                <w:sz w:val="18"/>
                <w:szCs w:val="18"/>
              </w:rPr>
              <w:t>1</w:t>
            </w:r>
            <w:r>
              <w:rPr>
                <w:rFonts w:cs="Arial"/>
                <w:b/>
                <w:sz w:val="18"/>
                <w:szCs w:val="18"/>
              </w:rPr>
              <w:t>,</w:t>
            </w:r>
            <w:r w:rsidRPr="00E45CA6">
              <w:rPr>
                <w:rFonts w:cs="Arial"/>
                <w:b/>
                <w:sz w:val="18"/>
                <w:szCs w:val="18"/>
              </w:rPr>
              <w:t>14</w:t>
            </w:r>
            <w:r>
              <w:rPr>
                <w:rFonts w:cs="Arial"/>
                <w:b/>
                <w:sz w:val="18"/>
                <w:szCs w:val="18"/>
              </w:rPr>
              <w:t>3</w:t>
            </w:r>
          </w:p>
        </w:tc>
        <w:tc>
          <w:tcPr>
            <w:tcW w:w="1134" w:type="dxa"/>
            <w:tcBorders>
              <w:top w:val="single" w:sz="4" w:space="0" w:color="auto"/>
              <w:left w:val="nil"/>
              <w:bottom w:val="single" w:sz="8" w:space="0" w:color="auto"/>
              <w:right w:val="nil"/>
            </w:tcBorders>
            <w:shd w:val="clear" w:color="auto" w:fill="auto"/>
            <w:noWrap/>
            <w:vAlign w:val="bottom"/>
          </w:tcPr>
          <w:p w14:paraId="440D343F" w14:textId="77777777" w:rsidR="0060271B" w:rsidRPr="00166751" w:rsidRDefault="0060271B" w:rsidP="0060271B">
            <w:pPr>
              <w:spacing w:after="0" w:line="240" w:lineRule="exact"/>
              <w:jc w:val="right"/>
              <w:rPr>
                <w:rFonts w:cs="Arial"/>
                <w:sz w:val="18"/>
                <w:szCs w:val="18"/>
              </w:rPr>
            </w:pPr>
            <w:r>
              <w:rPr>
                <w:rFonts w:cs="Arial"/>
                <w:b/>
                <w:sz w:val="18"/>
                <w:szCs w:val="18"/>
              </w:rPr>
              <w:t>27,390,822</w:t>
            </w:r>
          </w:p>
        </w:tc>
      </w:tr>
    </w:tbl>
    <w:p w14:paraId="39B7B5FC" w14:textId="77777777" w:rsidR="009702B0" w:rsidRPr="009702B0" w:rsidRDefault="009702B0" w:rsidP="009702B0">
      <w:pPr>
        <w:spacing w:after="0" w:line="240" w:lineRule="auto"/>
        <w:jc w:val="both"/>
        <w:rPr>
          <w:rFonts w:eastAsia="Times New Roman" w:cs="Calibri"/>
          <w:sz w:val="24"/>
          <w:szCs w:val="24"/>
          <w:lang w:eastAsia="hr-HR"/>
        </w:rPr>
      </w:pPr>
    </w:p>
    <w:p w14:paraId="57CD6760" w14:textId="77777777" w:rsidR="009702B0" w:rsidRPr="009702B0" w:rsidRDefault="009702B0" w:rsidP="009702B0">
      <w:pPr>
        <w:spacing w:after="0" w:line="240" w:lineRule="auto"/>
        <w:jc w:val="both"/>
        <w:rPr>
          <w:rFonts w:eastAsia="Times New Roman" w:cs="Arial"/>
        </w:rPr>
      </w:pPr>
      <w:r w:rsidRPr="009702B0">
        <w:rPr>
          <w:rFonts w:eastAsia="Times New Roman" w:cs="Arial"/>
        </w:rPr>
        <w:t>Intra-group transactions are presented under “Unallocated”.</w:t>
      </w:r>
    </w:p>
    <w:p w14:paraId="7E03BE1D" w14:textId="77777777" w:rsidR="009702B0" w:rsidRPr="009702B0" w:rsidRDefault="009702B0" w:rsidP="009702B0">
      <w:pPr>
        <w:spacing w:after="0" w:line="240" w:lineRule="auto"/>
        <w:jc w:val="both"/>
        <w:rPr>
          <w:rFonts w:eastAsia="Times New Roman" w:cs="Arial"/>
          <w:sz w:val="24"/>
          <w:szCs w:val="24"/>
        </w:rPr>
      </w:pPr>
    </w:p>
    <w:p w14:paraId="70A1627B" w14:textId="77777777" w:rsidR="009702B0" w:rsidRPr="009702B0" w:rsidRDefault="009702B0" w:rsidP="009702B0">
      <w:pPr>
        <w:spacing w:after="0" w:line="240" w:lineRule="auto"/>
        <w:jc w:val="both"/>
        <w:rPr>
          <w:rFonts w:eastAsia="Times New Roman" w:cs="Arial"/>
          <w:sz w:val="24"/>
          <w:szCs w:val="24"/>
        </w:rPr>
      </w:pPr>
    </w:p>
    <w:p w14:paraId="7A4C03F0" w14:textId="77777777" w:rsidR="009702B0" w:rsidRPr="009702B0" w:rsidRDefault="009702B0" w:rsidP="009702B0">
      <w:pPr>
        <w:spacing w:after="0" w:line="240" w:lineRule="auto"/>
        <w:jc w:val="both"/>
        <w:rPr>
          <w:rFonts w:eastAsia="Times New Roman" w:cs="Arial"/>
          <w:sz w:val="24"/>
          <w:szCs w:val="24"/>
        </w:rPr>
        <w:sectPr w:rsidR="009702B0" w:rsidRPr="009702B0" w:rsidSect="00947CB7">
          <w:footerReference w:type="first" r:id="rId128"/>
          <w:pgSz w:w="11906" w:h="16838" w:code="9"/>
          <w:pgMar w:top="1418" w:right="1418" w:bottom="595" w:left="1134" w:header="709" w:footer="709" w:gutter="0"/>
          <w:cols w:space="708"/>
          <w:titlePg/>
          <w:docGrid w:linePitch="360"/>
        </w:sectPr>
      </w:pPr>
    </w:p>
    <w:p w14:paraId="514006BF" w14:textId="77777777" w:rsidR="009702B0" w:rsidRPr="009702B0" w:rsidRDefault="009702B0" w:rsidP="009702B0">
      <w:pPr>
        <w:spacing w:after="0" w:line="240" w:lineRule="auto"/>
        <w:jc w:val="both"/>
        <w:rPr>
          <w:rFonts w:eastAsia="Times New Roman" w:cs="Arial"/>
        </w:rPr>
      </w:pPr>
    </w:p>
    <w:p w14:paraId="204FB145" w14:textId="77777777" w:rsidR="009702B0" w:rsidRPr="009702B0" w:rsidRDefault="009702B0" w:rsidP="009702B0">
      <w:pPr>
        <w:keepNext/>
        <w:spacing w:after="0" w:line="240" w:lineRule="auto"/>
        <w:ind w:left="709" w:hanging="709"/>
        <w:jc w:val="both"/>
        <w:rPr>
          <w:rFonts w:eastAsia="Times New Roman" w:cs="Arial"/>
          <w:b/>
          <w:bCs/>
          <w:spacing w:val="-3"/>
        </w:rPr>
      </w:pPr>
      <w:r w:rsidRPr="009702B0">
        <w:rPr>
          <w:rFonts w:eastAsia="Times New Roman" w:cs="Arial"/>
          <w:b/>
          <w:bCs/>
          <w:spacing w:val="-3"/>
        </w:rPr>
        <w:t>19.</w:t>
      </w:r>
      <w:r w:rsidRPr="009702B0">
        <w:rPr>
          <w:rFonts w:eastAsia="Times New Roman" w:cs="Arial"/>
          <w:b/>
          <w:bCs/>
          <w:spacing w:val="-3"/>
        </w:rPr>
        <w:tab/>
        <w:t xml:space="preserve">Capital management </w:t>
      </w:r>
    </w:p>
    <w:p w14:paraId="2C505C6A" w14:textId="77777777" w:rsidR="009702B0" w:rsidRPr="009702B0" w:rsidRDefault="009702B0" w:rsidP="009702B0">
      <w:pPr>
        <w:keepNext/>
        <w:spacing w:after="0" w:line="240" w:lineRule="auto"/>
        <w:ind w:left="709" w:hanging="709"/>
        <w:jc w:val="both"/>
        <w:rPr>
          <w:rFonts w:eastAsia="Times New Roman" w:cs="Arial"/>
          <w:b/>
          <w:bCs/>
          <w:spacing w:val="-3"/>
        </w:rPr>
      </w:pPr>
    </w:p>
    <w:p w14:paraId="21F618C4" w14:textId="77777777" w:rsidR="009702B0" w:rsidRPr="009702B0" w:rsidRDefault="009702B0" w:rsidP="009702B0">
      <w:pPr>
        <w:keepNext/>
        <w:tabs>
          <w:tab w:val="right" w:pos="9781"/>
        </w:tabs>
        <w:spacing w:after="0" w:line="240" w:lineRule="auto"/>
        <w:jc w:val="both"/>
        <w:rPr>
          <w:rFonts w:eastAsia="Times New Roman" w:cs="Arial"/>
        </w:rPr>
      </w:pPr>
      <w:r w:rsidRPr="009702B0">
        <w:rPr>
          <w:rFonts w:eastAsia="Times New Roman" w:cs="Arial"/>
        </w:rPr>
        <w:t>The primary objectives of the Bank's capital management are to ensure the presumptions of going concern and to respect regulatory and contracted demands imposed by creditors regarding a certain capital adequacy level.</w:t>
      </w:r>
    </w:p>
    <w:p w14:paraId="7920CAE7" w14:textId="77777777" w:rsidR="009702B0" w:rsidRPr="009702B0" w:rsidRDefault="009702B0" w:rsidP="009702B0">
      <w:pPr>
        <w:keepNext/>
        <w:tabs>
          <w:tab w:val="right" w:pos="9781"/>
        </w:tabs>
        <w:spacing w:after="0" w:line="240" w:lineRule="auto"/>
        <w:jc w:val="both"/>
        <w:rPr>
          <w:rFonts w:eastAsia="Times New Roman" w:cs="Arial"/>
        </w:rPr>
      </w:pPr>
    </w:p>
    <w:p w14:paraId="7A14E67E" w14:textId="77777777" w:rsidR="009702B0" w:rsidRPr="009702B0" w:rsidRDefault="009702B0" w:rsidP="009702B0">
      <w:pPr>
        <w:keepNext/>
        <w:tabs>
          <w:tab w:val="right" w:pos="9781"/>
        </w:tabs>
        <w:spacing w:after="0" w:line="240" w:lineRule="auto"/>
        <w:jc w:val="both"/>
        <w:rPr>
          <w:rFonts w:eastAsia="Times New Roman" w:cs="Arial"/>
        </w:rPr>
      </w:pPr>
      <w:r w:rsidRPr="009702B0">
        <w:rPr>
          <w:rFonts w:eastAsia="Times New Roman" w:cs="Arial"/>
        </w:rPr>
        <w:t>The Bank has identified own funds as a manageable capital category.</w:t>
      </w:r>
    </w:p>
    <w:p w14:paraId="0EDB633E" w14:textId="77777777" w:rsidR="009702B0" w:rsidRPr="009702B0" w:rsidRDefault="009702B0" w:rsidP="009702B0">
      <w:pPr>
        <w:keepNext/>
        <w:tabs>
          <w:tab w:val="right" w:pos="9781"/>
        </w:tabs>
        <w:spacing w:after="0" w:line="240" w:lineRule="auto"/>
        <w:jc w:val="both"/>
        <w:rPr>
          <w:rFonts w:eastAsia="Times New Roman" w:cs="Arial"/>
        </w:rPr>
      </w:pPr>
    </w:p>
    <w:p w14:paraId="117AF18E" w14:textId="77777777" w:rsidR="009702B0" w:rsidRPr="009702B0" w:rsidRDefault="009702B0" w:rsidP="009702B0">
      <w:pPr>
        <w:keepNext/>
        <w:tabs>
          <w:tab w:val="right" w:pos="9781"/>
        </w:tabs>
        <w:spacing w:after="0" w:line="240" w:lineRule="auto"/>
        <w:jc w:val="both"/>
        <w:rPr>
          <w:rFonts w:eastAsia="Times New Roman" w:cs="Arial"/>
        </w:rPr>
      </w:pPr>
      <w:r w:rsidRPr="009702B0">
        <w:rPr>
          <w:rFonts w:eastAsia="Times New Roman" w:cs="Arial"/>
        </w:rPr>
        <w:t xml:space="preserve">Own funds have to be, at every moment, at least at the level of share capital or at the level that ensures that the capital adequacy ratio is at least </w:t>
      </w:r>
      <w:r w:rsidRPr="000F0D08">
        <w:rPr>
          <w:rFonts w:eastAsia="Times New Roman" w:cs="Arial"/>
        </w:rPr>
        <w:t>8</w:t>
      </w:r>
      <w:r w:rsidRPr="009702B0">
        <w:rPr>
          <w:rFonts w:eastAsia="Times New Roman" w:cs="Arial"/>
        </w:rPr>
        <w:t>% and that it is sufficient for covering capital requirements regarding business risks.</w:t>
      </w:r>
    </w:p>
    <w:p w14:paraId="3491989F" w14:textId="77777777" w:rsidR="009702B0" w:rsidRPr="009702B0" w:rsidRDefault="009702B0" w:rsidP="009702B0">
      <w:pPr>
        <w:keepNext/>
        <w:tabs>
          <w:tab w:val="right" w:pos="9781"/>
        </w:tabs>
        <w:spacing w:after="0" w:line="240" w:lineRule="auto"/>
        <w:jc w:val="both"/>
        <w:rPr>
          <w:rFonts w:eastAsia="Times New Roman" w:cs="Arial"/>
        </w:rPr>
      </w:pPr>
    </w:p>
    <w:p w14:paraId="5098E2E7" w14:textId="42B8A1F8" w:rsidR="009702B0" w:rsidRPr="009702B0" w:rsidRDefault="009702B0" w:rsidP="009702B0">
      <w:pPr>
        <w:keepNext/>
        <w:tabs>
          <w:tab w:val="right" w:pos="9781"/>
        </w:tabs>
        <w:spacing w:after="0" w:line="240" w:lineRule="auto"/>
        <w:jc w:val="both"/>
        <w:rPr>
          <w:rFonts w:eastAsia="Times New Roman" w:cs="Arial"/>
        </w:rPr>
      </w:pPr>
      <w:r w:rsidRPr="009702B0">
        <w:rPr>
          <w:rFonts w:eastAsia="Times New Roman" w:cs="Arial"/>
        </w:rPr>
        <w:t>Own funds consist of original own funds (Tier 1) and additional own funds (Tier 2).</w:t>
      </w:r>
    </w:p>
    <w:p w14:paraId="14459B47" w14:textId="77777777" w:rsidR="009702B0" w:rsidRPr="009702B0" w:rsidRDefault="009702B0" w:rsidP="009702B0">
      <w:pPr>
        <w:keepNext/>
        <w:tabs>
          <w:tab w:val="right" w:pos="9781"/>
        </w:tabs>
        <w:spacing w:after="0" w:line="240" w:lineRule="auto"/>
        <w:jc w:val="both"/>
        <w:rPr>
          <w:rFonts w:eastAsia="Times New Roman" w:cs="Arial"/>
        </w:rPr>
      </w:pPr>
    </w:p>
    <w:p w14:paraId="4D62A0B9" w14:textId="77777777" w:rsidR="009702B0" w:rsidRPr="009702B0" w:rsidRDefault="009702B0" w:rsidP="009702B0">
      <w:pPr>
        <w:keepNext/>
        <w:tabs>
          <w:tab w:val="right" w:pos="9781"/>
        </w:tabs>
        <w:spacing w:after="0" w:line="240" w:lineRule="auto"/>
        <w:jc w:val="both"/>
        <w:rPr>
          <w:rFonts w:eastAsia="Times New Roman" w:cs="Arial"/>
        </w:rPr>
      </w:pPr>
      <w:r w:rsidRPr="009702B0">
        <w:rPr>
          <w:rFonts w:eastAsia="Times New Roman" w:cs="Arial"/>
        </w:rPr>
        <w:t>The Bank has determined measures for the implementation and monitoring of the capital management policy as follows:</w:t>
      </w:r>
    </w:p>
    <w:p w14:paraId="5BBCC04F" w14:textId="77777777" w:rsidR="009702B0" w:rsidRPr="009702B0" w:rsidRDefault="009702B0" w:rsidP="009702B0">
      <w:pPr>
        <w:keepNext/>
        <w:numPr>
          <w:ilvl w:val="0"/>
          <w:numId w:val="29"/>
        </w:numPr>
        <w:tabs>
          <w:tab w:val="right" w:pos="9781"/>
        </w:tabs>
        <w:spacing w:after="0" w:line="240" w:lineRule="auto"/>
        <w:jc w:val="both"/>
        <w:rPr>
          <w:rFonts w:eastAsia="Times New Roman" w:cs="Arial"/>
        </w:rPr>
      </w:pPr>
      <w:r w:rsidRPr="009702B0">
        <w:rPr>
          <w:rFonts w:eastAsia="Times New Roman" w:cs="Arial"/>
        </w:rPr>
        <w:t>At every reporting date, own funds have to be at least at the level of founder’s capital for the reporting period.</w:t>
      </w:r>
    </w:p>
    <w:p w14:paraId="732A6E23" w14:textId="77777777" w:rsidR="009702B0" w:rsidRPr="009702B0" w:rsidRDefault="009702B0" w:rsidP="009702B0">
      <w:pPr>
        <w:keepNext/>
        <w:numPr>
          <w:ilvl w:val="0"/>
          <w:numId w:val="29"/>
        </w:numPr>
        <w:tabs>
          <w:tab w:val="right" w:pos="9781"/>
        </w:tabs>
        <w:spacing w:after="0" w:line="240" w:lineRule="auto"/>
        <w:jc w:val="both"/>
        <w:rPr>
          <w:rFonts w:eastAsia="Times New Roman" w:cs="Arial"/>
        </w:rPr>
      </w:pPr>
      <w:r w:rsidRPr="009702B0">
        <w:rPr>
          <w:rFonts w:eastAsia="Times New Roman" w:cs="Arial"/>
        </w:rPr>
        <w:t xml:space="preserve">The capital adequacy ratio at the reporting date has to be at the level prescribed for the banks in the Republic of Croatia as well as at the level stated within regular financial covenants determined in </w:t>
      </w:r>
      <w:r w:rsidRPr="009702B0">
        <w:rPr>
          <w:rFonts w:asciiTheme="minorHAnsi" w:eastAsia="Times New Roman" w:hAnsiTheme="minorHAnsi" w:cs="Arial"/>
        </w:rPr>
        <w:t>loan c</w:t>
      </w:r>
      <w:r w:rsidRPr="009702B0">
        <w:rPr>
          <w:rFonts w:eastAsia="Times New Roman" w:cs="Arial"/>
        </w:rPr>
        <w:t>ontracts and contracts with special financial institutions that HBOR has concluded as a borrower.</w:t>
      </w:r>
    </w:p>
    <w:p w14:paraId="3DD033F2" w14:textId="77777777" w:rsidR="009702B0" w:rsidRPr="009702B0" w:rsidRDefault="009702B0" w:rsidP="009702B0">
      <w:pPr>
        <w:keepNext/>
        <w:tabs>
          <w:tab w:val="right" w:pos="9781"/>
        </w:tabs>
        <w:spacing w:after="0" w:line="240" w:lineRule="auto"/>
        <w:ind w:left="714"/>
        <w:jc w:val="both"/>
        <w:rPr>
          <w:rFonts w:eastAsia="Times New Roman" w:cs="Arial"/>
        </w:rPr>
      </w:pPr>
    </w:p>
    <w:p w14:paraId="77658EDF" w14:textId="328EDEB5" w:rsidR="009702B0" w:rsidRPr="009702B0" w:rsidRDefault="00EF62F0" w:rsidP="009702B0">
      <w:pPr>
        <w:spacing w:after="0" w:line="240" w:lineRule="auto"/>
        <w:jc w:val="both"/>
        <w:rPr>
          <w:rFonts w:eastAsia="Times New Roman" w:cs="Arial"/>
        </w:rPr>
      </w:pPr>
      <w:r>
        <w:rPr>
          <w:rFonts w:eastAsia="Times New Roman" w:cs="Arial"/>
        </w:rPr>
        <w:t>In regard to the</w:t>
      </w:r>
      <w:r w:rsidR="009702B0" w:rsidRPr="009702B0">
        <w:rPr>
          <w:rFonts w:eastAsia="Times New Roman" w:cs="Arial"/>
        </w:rPr>
        <w:t xml:space="preserve"> calculation of the capital adequacy ratio </w:t>
      </w:r>
      <w:r w:rsidR="009E5B83">
        <w:rPr>
          <w:rFonts w:eastAsia="Times New Roman" w:cs="Arial"/>
        </w:rPr>
        <w:t xml:space="preserve">HBOR voluntarily decided </w:t>
      </w:r>
      <w:r>
        <w:rPr>
          <w:rFonts w:eastAsia="Times New Roman" w:cs="Arial"/>
        </w:rPr>
        <w:t>to apply the</w:t>
      </w:r>
      <w:r w:rsidR="00380940">
        <w:rPr>
          <w:rFonts w:eastAsia="Times New Roman" w:cs="Arial"/>
        </w:rPr>
        <w:t xml:space="preserve"> </w:t>
      </w:r>
      <w:r>
        <w:rPr>
          <w:rFonts w:eastAsia="Times New Roman" w:cs="Arial"/>
        </w:rPr>
        <w:t>relevant bank regulation previously pr</w:t>
      </w:r>
      <w:r w:rsidR="00947D41">
        <w:rPr>
          <w:rFonts w:eastAsia="Times New Roman" w:cs="Arial"/>
        </w:rPr>
        <w:t>e</w:t>
      </w:r>
      <w:r>
        <w:rPr>
          <w:rFonts w:eastAsia="Times New Roman" w:cs="Arial"/>
        </w:rPr>
        <w:t xml:space="preserve">scribed by the Croatian National Bank, in accordance with Basel I and the Bank’s internal acts. </w:t>
      </w:r>
    </w:p>
    <w:p w14:paraId="0E26F78D" w14:textId="77777777" w:rsidR="009702B0" w:rsidRPr="009702B0" w:rsidRDefault="009702B0" w:rsidP="009702B0">
      <w:pPr>
        <w:spacing w:after="0" w:line="240" w:lineRule="auto"/>
        <w:jc w:val="both"/>
        <w:rPr>
          <w:rFonts w:eastAsia="Times New Roman" w:cs="Arial"/>
          <w:highlight w:val="yellow"/>
        </w:rPr>
      </w:pPr>
    </w:p>
    <w:tbl>
      <w:tblPr>
        <w:tblW w:w="5282" w:type="pct"/>
        <w:jc w:val="center"/>
        <w:tblLayout w:type="fixed"/>
        <w:tblLook w:val="01E0" w:firstRow="1" w:lastRow="1" w:firstColumn="1" w:lastColumn="1" w:noHBand="0" w:noVBand="0"/>
      </w:tblPr>
      <w:tblGrid>
        <w:gridCol w:w="3548"/>
        <w:gridCol w:w="1583"/>
        <w:gridCol w:w="1583"/>
        <w:gridCol w:w="1583"/>
        <w:gridCol w:w="1585"/>
      </w:tblGrid>
      <w:tr w:rsidR="009702B0" w:rsidRPr="009702B0" w14:paraId="3F898894" w14:textId="77777777" w:rsidTr="009702B0">
        <w:trPr>
          <w:trHeight w:val="221"/>
          <w:jc w:val="center"/>
        </w:trPr>
        <w:tc>
          <w:tcPr>
            <w:tcW w:w="1795" w:type="pct"/>
          </w:tcPr>
          <w:p w14:paraId="07F39D7D" w14:textId="77777777" w:rsidR="009702B0" w:rsidRPr="009702B0" w:rsidRDefault="009702B0" w:rsidP="009702B0">
            <w:pPr>
              <w:tabs>
                <w:tab w:val="right" w:pos="9781"/>
              </w:tabs>
              <w:spacing w:after="0" w:line="240" w:lineRule="auto"/>
              <w:jc w:val="both"/>
              <w:rPr>
                <w:rFonts w:eastAsia="Times New Roman" w:cs="Arial"/>
                <w:sz w:val="20"/>
                <w:szCs w:val="20"/>
              </w:rPr>
            </w:pPr>
          </w:p>
        </w:tc>
        <w:tc>
          <w:tcPr>
            <w:tcW w:w="801" w:type="pct"/>
            <w:vAlign w:val="bottom"/>
          </w:tcPr>
          <w:p w14:paraId="27ED7FE8" w14:textId="77777777" w:rsidR="009702B0" w:rsidRPr="009702B0" w:rsidRDefault="009702B0" w:rsidP="009702B0">
            <w:pPr>
              <w:tabs>
                <w:tab w:val="right" w:pos="1202"/>
              </w:tabs>
              <w:spacing w:after="0" w:line="240" w:lineRule="auto"/>
              <w:jc w:val="right"/>
              <w:outlineLvl w:val="0"/>
              <w:rPr>
                <w:rFonts w:eastAsia="Times New Roman" w:cs="Arial"/>
                <w:b/>
                <w:sz w:val="20"/>
                <w:szCs w:val="20"/>
              </w:rPr>
            </w:pPr>
          </w:p>
        </w:tc>
        <w:tc>
          <w:tcPr>
            <w:tcW w:w="801" w:type="pct"/>
            <w:vAlign w:val="bottom"/>
          </w:tcPr>
          <w:p w14:paraId="5D50A34C" w14:textId="77777777" w:rsidR="009702B0" w:rsidRPr="009702B0" w:rsidRDefault="009702B0" w:rsidP="009702B0">
            <w:pPr>
              <w:tabs>
                <w:tab w:val="right" w:pos="1202"/>
              </w:tabs>
              <w:spacing w:after="0" w:line="240" w:lineRule="auto"/>
              <w:jc w:val="right"/>
              <w:outlineLvl w:val="0"/>
              <w:rPr>
                <w:rFonts w:eastAsia="Times New Roman" w:cs="Arial"/>
                <w:b/>
                <w:sz w:val="20"/>
                <w:szCs w:val="20"/>
              </w:rPr>
            </w:pPr>
            <w:r w:rsidRPr="009702B0">
              <w:rPr>
                <w:rFonts w:eastAsia="Times New Roman" w:cs="Arial"/>
                <w:b/>
                <w:sz w:val="20"/>
                <w:szCs w:val="20"/>
              </w:rPr>
              <w:t>Group</w:t>
            </w:r>
          </w:p>
        </w:tc>
        <w:tc>
          <w:tcPr>
            <w:tcW w:w="801" w:type="pct"/>
            <w:vAlign w:val="bottom"/>
          </w:tcPr>
          <w:p w14:paraId="79958767" w14:textId="77777777" w:rsidR="009702B0" w:rsidRPr="009702B0" w:rsidRDefault="009702B0" w:rsidP="009702B0">
            <w:pPr>
              <w:tabs>
                <w:tab w:val="right" w:pos="1202"/>
              </w:tabs>
              <w:spacing w:after="0" w:line="240" w:lineRule="auto"/>
              <w:jc w:val="right"/>
              <w:outlineLvl w:val="0"/>
              <w:rPr>
                <w:rFonts w:eastAsia="Times New Roman" w:cs="Arial"/>
                <w:b/>
                <w:sz w:val="20"/>
                <w:szCs w:val="20"/>
              </w:rPr>
            </w:pPr>
          </w:p>
        </w:tc>
        <w:tc>
          <w:tcPr>
            <w:tcW w:w="802" w:type="pct"/>
          </w:tcPr>
          <w:p w14:paraId="787870BA" w14:textId="77777777" w:rsidR="009702B0" w:rsidRPr="009702B0" w:rsidRDefault="009702B0" w:rsidP="009702B0">
            <w:pPr>
              <w:tabs>
                <w:tab w:val="right" w:pos="1202"/>
              </w:tabs>
              <w:spacing w:after="0" w:line="240" w:lineRule="auto"/>
              <w:jc w:val="right"/>
              <w:outlineLvl w:val="0"/>
              <w:rPr>
                <w:rFonts w:eastAsia="Times New Roman" w:cs="Arial"/>
                <w:b/>
                <w:sz w:val="20"/>
                <w:szCs w:val="20"/>
              </w:rPr>
            </w:pPr>
            <w:r w:rsidRPr="009702B0">
              <w:rPr>
                <w:rFonts w:eastAsia="Times New Roman" w:cs="Arial"/>
                <w:b/>
                <w:sz w:val="20"/>
                <w:szCs w:val="20"/>
              </w:rPr>
              <w:t>Bank</w:t>
            </w:r>
          </w:p>
        </w:tc>
      </w:tr>
      <w:tr w:rsidR="009702B0" w:rsidRPr="009702B0" w14:paraId="3F8F26A9" w14:textId="77777777" w:rsidTr="009702B0">
        <w:trPr>
          <w:trHeight w:val="221"/>
          <w:jc w:val="center"/>
        </w:trPr>
        <w:tc>
          <w:tcPr>
            <w:tcW w:w="1795" w:type="pct"/>
          </w:tcPr>
          <w:p w14:paraId="1A497D18" w14:textId="77777777" w:rsidR="009702B0" w:rsidRPr="009702B0" w:rsidRDefault="009702B0" w:rsidP="009702B0">
            <w:pPr>
              <w:tabs>
                <w:tab w:val="right" w:pos="9781"/>
              </w:tabs>
              <w:spacing w:after="0" w:line="240" w:lineRule="auto"/>
              <w:jc w:val="both"/>
              <w:rPr>
                <w:rFonts w:eastAsia="Times New Roman" w:cs="Arial"/>
                <w:sz w:val="20"/>
                <w:szCs w:val="20"/>
              </w:rPr>
            </w:pPr>
          </w:p>
        </w:tc>
        <w:tc>
          <w:tcPr>
            <w:tcW w:w="801" w:type="pct"/>
            <w:vAlign w:val="center"/>
          </w:tcPr>
          <w:p w14:paraId="1050C7B4" w14:textId="71ACCE99" w:rsidR="009702B0" w:rsidRPr="009702B0" w:rsidRDefault="005459D1" w:rsidP="009702B0">
            <w:pPr>
              <w:spacing w:after="0" w:line="240" w:lineRule="auto"/>
              <w:jc w:val="right"/>
              <w:rPr>
                <w:rFonts w:eastAsia="Times New Roman" w:cs="Arial"/>
                <w:b/>
                <w:bCs/>
                <w:sz w:val="20"/>
                <w:szCs w:val="20"/>
              </w:rPr>
            </w:pPr>
            <w:r>
              <w:rPr>
                <w:rFonts w:eastAsia="Times New Roman" w:cs="Arial"/>
                <w:b/>
                <w:bCs/>
                <w:sz w:val="20"/>
                <w:szCs w:val="20"/>
              </w:rPr>
              <w:t xml:space="preserve">Sep </w:t>
            </w:r>
            <w:r w:rsidR="00C56E63">
              <w:rPr>
                <w:rFonts w:eastAsia="Times New Roman" w:cs="Arial"/>
                <w:b/>
                <w:bCs/>
                <w:sz w:val="20"/>
                <w:szCs w:val="20"/>
              </w:rPr>
              <w:t>30</w:t>
            </w:r>
            <w:r w:rsidR="006B0E06">
              <w:rPr>
                <w:rFonts w:eastAsia="Times New Roman" w:cs="Arial"/>
                <w:b/>
                <w:bCs/>
                <w:sz w:val="20"/>
                <w:szCs w:val="20"/>
              </w:rPr>
              <w:t>, 2017</w:t>
            </w:r>
          </w:p>
        </w:tc>
        <w:tc>
          <w:tcPr>
            <w:tcW w:w="801" w:type="pct"/>
            <w:vAlign w:val="center"/>
          </w:tcPr>
          <w:p w14:paraId="060A10E5" w14:textId="77777777" w:rsidR="009702B0" w:rsidRPr="009702B0" w:rsidRDefault="009702B0" w:rsidP="006B0E06">
            <w:pPr>
              <w:spacing w:after="0" w:line="240" w:lineRule="auto"/>
              <w:jc w:val="right"/>
              <w:rPr>
                <w:rFonts w:eastAsia="Times New Roman" w:cs="Arial"/>
                <w:b/>
                <w:sz w:val="20"/>
                <w:szCs w:val="20"/>
              </w:rPr>
            </w:pPr>
            <w:r w:rsidRPr="009702B0">
              <w:rPr>
                <w:rFonts w:eastAsia="Times New Roman" w:cs="Arial"/>
                <w:b/>
                <w:sz w:val="20"/>
                <w:szCs w:val="20"/>
              </w:rPr>
              <w:t>Dec 31, 201</w:t>
            </w:r>
            <w:r w:rsidR="006B0E06">
              <w:rPr>
                <w:rFonts w:eastAsia="Times New Roman" w:cs="Arial"/>
                <w:b/>
                <w:sz w:val="20"/>
                <w:szCs w:val="20"/>
              </w:rPr>
              <w:t>6</w:t>
            </w:r>
          </w:p>
        </w:tc>
        <w:tc>
          <w:tcPr>
            <w:tcW w:w="801" w:type="pct"/>
            <w:vAlign w:val="center"/>
          </w:tcPr>
          <w:p w14:paraId="4B36E620" w14:textId="0D7EAC69" w:rsidR="009702B0" w:rsidRPr="009702B0" w:rsidRDefault="005459D1" w:rsidP="009702B0">
            <w:pPr>
              <w:spacing w:after="0" w:line="240" w:lineRule="auto"/>
              <w:jc w:val="right"/>
              <w:rPr>
                <w:rFonts w:eastAsia="Times New Roman" w:cs="Arial"/>
                <w:b/>
                <w:bCs/>
                <w:sz w:val="20"/>
                <w:szCs w:val="20"/>
              </w:rPr>
            </w:pPr>
            <w:r>
              <w:rPr>
                <w:rFonts w:eastAsia="Times New Roman" w:cs="Arial"/>
                <w:b/>
                <w:bCs/>
                <w:sz w:val="20"/>
                <w:szCs w:val="20"/>
              </w:rPr>
              <w:t xml:space="preserve">Sep </w:t>
            </w:r>
            <w:r w:rsidR="00C56E63">
              <w:rPr>
                <w:rFonts w:eastAsia="Times New Roman" w:cs="Arial"/>
                <w:b/>
                <w:bCs/>
                <w:sz w:val="20"/>
                <w:szCs w:val="20"/>
              </w:rPr>
              <w:t>30</w:t>
            </w:r>
            <w:r w:rsidR="006B0E06" w:rsidRPr="006B0E06">
              <w:rPr>
                <w:rFonts w:eastAsia="Times New Roman" w:cs="Arial"/>
                <w:b/>
                <w:bCs/>
                <w:sz w:val="20"/>
                <w:szCs w:val="20"/>
              </w:rPr>
              <w:t>, 2017</w:t>
            </w:r>
          </w:p>
        </w:tc>
        <w:tc>
          <w:tcPr>
            <w:tcW w:w="802" w:type="pct"/>
            <w:vAlign w:val="center"/>
          </w:tcPr>
          <w:p w14:paraId="142737AA" w14:textId="77777777" w:rsidR="009702B0" w:rsidRPr="009702B0" w:rsidRDefault="009702B0" w:rsidP="006B0E06">
            <w:pPr>
              <w:spacing w:after="0" w:line="240" w:lineRule="auto"/>
              <w:jc w:val="right"/>
              <w:rPr>
                <w:rFonts w:eastAsia="Times New Roman" w:cs="Arial"/>
                <w:b/>
                <w:sz w:val="20"/>
                <w:szCs w:val="20"/>
              </w:rPr>
            </w:pPr>
            <w:r w:rsidRPr="009702B0">
              <w:rPr>
                <w:rFonts w:eastAsia="Times New Roman" w:cs="Arial"/>
                <w:b/>
                <w:sz w:val="20"/>
                <w:szCs w:val="20"/>
              </w:rPr>
              <w:t>Dec 31, 201</w:t>
            </w:r>
            <w:r w:rsidR="006B0E06">
              <w:rPr>
                <w:rFonts w:eastAsia="Times New Roman" w:cs="Arial"/>
                <w:b/>
                <w:sz w:val="20"/>
                <w:szCs w:val="20"/>
              </w:rPr>
              <w:t>6</w:t>
            </w:r>
          </w:p>
        </w:tc>
      </w:tr>
      <w:tr w:rsidR="009B2EE8" w:rsidRPr="009702B0" w14:paraId="4FF6F2DC" w14:textId="77777777" w:rsidTr="006B318F">
        <w:trPr>
          <w:trHeight w:val="270"/>
          <w:jc w:val="center"/>
        </w:trPr>
        <w:tc>
          <w:tcPr>
            <w:tcW w:w="1795" w:type="pct"/>
            <w:vAlign w:val="bottom"/>
          </w:tcPr>
          <w:p w14:paraId="71CAFA2F" w14:textId="77777777" w:rsidR="009B2EE8" w:rsidRPr="009702B0" w:rsidRDefault="009B2EE8" w:rsidP="009B2EE8">
            <w:pPr>
              <w:tabs>
                <w:tab w:val="right" w:pos="1202"/>
                <w:tab w:val="right" w:pos="9781"/>
              </w:tabs>
              <w:spacing w:after="0" w:line="240" w:lineRule="auto"/>
              <w:outlineLvl w:val="0"/>
              <w:rPr>
                <w:rFonts w:eastAsia="Times New Roman" w:cs="Arial"/>
                <w:bCs/>
                <w:sz w:val="20"/>
                <w:szCs w:val="20"/>
              </w:rPr>
            </w:pPr>
            <w:r w:rsidRPr="009702B0">
              <w:rPr>
                <w:rFonts w:eastAsia="Times New Roman" w:cs="Arial"/>
                <w:bCs/>
                <w:sz w:val="20"/>
                <w:szCs w:val="20"/>
              </w:rPr>
              <w:t>Original own funds – Tier 1</w:t>
            </w:r>
          </w:p>
        </w:tc>
        <w:tc>
          <w:tcPr>
            <w:tcW w:w="801" w:type="pct"/>
            <w:tcBorders>
              <w:top w:val="nil"/>
              <w:left w:val="nil"/>
              <w:bottom w:val="nil"/>
              <w:right w:val="nil"/>
            </w:tcBorders>
            <w:shd w:val="clear" w:color="auto" w:fill="auto"/>
            <w:vAlign w:val="bottom"/>
          </w:tcPr>
          <w:p w14:paraId="12ECC048" w14:textId="4FA8F01E" w:rsidR="009B2EE8" w:rsidRPr="005444AA" w:rsidRDefault="009B2EE8" w:rsidP="009B2EE8">
            <w:pPr>
              <w:pStyle w:val="TT"/>
              <w:jc w:val="right"/>
              <w:rPr>
                <w:rFonts w:ascii="Calibri" w:hAnsi="Calibri"/>
                <w:color w:val="000000"/>
                <w:sz w:val="20"/>
              </w:rPr>
            </w:pPr>
            <w:r w:rsidRPr="00FE65B6">
              <w:rPr>
                <w:rFonts w:ascii="Calibri" w:hAnsi="Calibri"/>
                <w:color w:val="000000"/>
                <w:sz w:val="20"/>
              </w:rPr>
              <w:t>10</w:t>
            </w:r>
            <w:r>
              <w:rPr>
                <w:rFonts w:ascii="Calibri" w:hAnsi="Calibri"/>
                <w:color w:val="000000"/>
                <w:sz w:val="20"/>
              </w:rPr>
              <w:t>,</w:t>
            </w:r>
            <w:r w:rsidRPr="00FE65B6">
              <w:rPr>
                <w:rFonts w:ascii="Calibri" w:hAnsi="Calibri"/>
                <w:color w:val="000000"/>
                <w:sz w:val="20"/>
              </w:rPr>
              <w:t>156</w:t>
            </w:r>
            <w:r>
              <w:rPr>
                <w:rFonts w:ascii="Calibri" w:hAnsi="Calibri"/>
                <w:color w:val="000000"/>
                <w:sz w:val="20"/>
              </w:rPr>
              <w:t>,</w:t>
            </w:r>
            <w:r w:rsidRPr="00FE65B6">
              <w:rPr>
                <w:rFonts w:ascii="Calibri" w:hAnsi="Calibri"/>
                <w:color w:val="000000"/>
                <w:sz w:val="20"/>
              </w:rPr>
              <w:t>829</w:t>
            </w:r>
          </w:p>
        </w:tc>
        <w:tc>
          <w:tcPr>
            <w:tcW w:w="801" w:type="pct"/>
            <w:tcBorders>
              <w:top w:val="nil"/>
              <w:left w:val="nil"/>
              <w:bottom w:val="nil"/>
              <w:right w:val="nil"/>
            </w:tcBorders>
            <w:shd w:val="clear" w:color="auto" w:fill="auto"/>
            <w:vAlign w:val="bottom"/>
          </w:tcPr>
          <w:p w14:paraId="1F995084" w14:textId="77777777" w:rsidR="009B2EE8" w:rsidRPr="007255D5" w:rsidRDefault="009B2EE8" w:rsidP="009B2EE8">
            <w:pPr>
              <w:pStyle w:val="TT"/>
              <w:jc w:val="right"/>
              <w:rPr>
                <w:rFonts w:asciiTheme="minorHAnsi" w:hAnsiTheme="minorHAnsi" w:cs="Arial"/>
                <w:sz w:val="20"/>
                <w:lang w:val="hr-HR"/>
              </w:rPr>
            </w:pPr>
            <w:r w:rsidRPr="002A3E38">
              <w:rPr>
                <w:rFonts w:ascii="Calibri" w:hAnsi="Calibri"/>
                <w:color w:val="000000"/>
                <w:sz w:val="20"/>
              </w:rPr>
              <w:t>9</w:t>
            </w:r>
            <w:r>
              <w:rPr>
                <w:rFonts w:ascii="Calibri" w:hAnsi="Calibri"/>
                <w:color w:val="000000"/>
                <w:sz w:val="20"/>
              </w:rPr>
              <w:t>,</w:t>
            </w:r>
            <w:r w:rsidRPr="002A3E38">
              <w:rPr>
                <w:rFonts w:ascii="Calibri" w:hAnsi="Calibri"/>
                <w:color w:val="000000"/>
                <w:sz w:val="20"/>
              </w:rPr>
              <w:t>956</w:t>
            </w:r>
            <w:r>
              <w:rPr>
                <w:rFonts w:ascii="Calibri" w:hAnsi="Calibri"/>
                <w:color w:val="000000"/>
                <w:sz w:val="20"/>
              </w:rPr>
              <w:t>,</w:t>
            </w:r>
            <w:r w:rsidRPr="002A3E38">
              <w:rPr>
                <w:rFonts w:ascii="Calibri" w:hAnsi="Calibri"/>
                <w:color w:val="000000"/>
                <w:sz w:val="20"/>
              </w:rPr>
              <w:t>604</w:t>
            </w:r>
          </w:p>
        </w:tc>
        <w:tc>
          <w:tcPr>
            <w:tcW w:w="801" w:type="pct"/>
            <w:tcBorders>
              <w:top w:val="nil"/>
              <w:left w:val="nil"/>
              <w:bottom w:val="nil"/>
              <w:right w:val="nil"/>
            </w:tcBorders>
            <w:shd w:val="clear" w:color="auto" w:fill="auto"/>
            <w:vAlign w:val="bottom"/>
          </w:tcPr>
          <w:p w14:paraId="57B2A0EF" w14:textId="1F107CAD" w:rsidR="009B2EE8" w:rsidRPr="005444AA" w:rsidRDefault="009B2EE8" w:rsidP="009B2EE8">
            <w:pPr>
              <w:pStyle w:val="TT"/>
              <w:jc w:val="right"/>
              <w:rPr>
                <w:rFonts w:ascii="Calibri" w:hAnsi="Calibri"/>
                <w:color w:val="000000"/>
                <w:sz w:val="20"/>
              </w:rPr>
            </w:pPr>
            <w:r w:rsidRPr="00FE65B6">
              <w:rPr>
                <w:rFonts w:ascii="Calibri" w:hAnsi="Calibri"/>
                <w:color w:val="000000"/>
                <w:sz w:val="20"/>
              </w:rPr>
              <w:t>10</w:t>
            </w:r>
            <w:r>
              <w:rPr>
                <w:rFonts w:ascii="Calibri" w:hAnsi="Calibri"/>
                <w:color w:val="000000"/>
                <w:sz w:val="20"/>
              </w:rPr>
              <w:t>,</w:t>
            </w:r>
            <w:r w:rsidRPr="00FE65B6">
              <w:rPr>
                <w:rFonts w:ascii="Calibri" w:hAnsi="Calibri"/>
                <w:color w:val="000000"/>
                <w:sz w:val="20"/>
              </w:rPr>
              <w:t>155</w:t>
            </w:r>
            <w:r>
              <w:rPr>
                <w:rFonts w:ascii="Calibri" w:hAnsi="Calibri"/>
                <w:color w:val="000000"/>
                <w:sz w:val="20"/>
              </w:rPr>
              <w:t>,</w:t>
            </w:r>
            <w:r w:rsidRPr="00FE65B6">
              <w:rPr>
                <w:rFonts w:ascii="Calibri" w:hAnsi="Calibri"/>
                <w:color w:val="000000"/>
                <w:sz w:val="20"/>
              </w:rPr>
              <w:t>799</w:t>
            </w:r>
          </w:p>
        </w:tc>
        <w:tc>
          <w:tcPr>
            <w:tcW w:w="802" w:type="pct"/>
            <w:tcBorders>
              <w:top w:val="nil"/>
              <w:left w:val="nil"/>
              <w:bottom w:val="nil"/>
              <w:right w:val="nil"/>
            </w:tcBorders>
            <w:shd w:val="clear" w:color="auto" w:fill="auto"/>
            <w:vAlign w:val="bottom"/>
          </w:tcPr>
          <w:p w14:paraId="7AD4C783" w14:textId="77777777" w:rsidR="009B2EE8" w:rsidRPr="007255D5" w:rsidRDefault="009B2EE8" w:rsidP="009B2EE8">
            <w:pPr>
              <w:pStyle w:val="TT"/>
              <w:jc w:val="right"/>
              <w:rPr>
                <w:rFonts w:asciiTheme="minorHAnsi" w:hAnsiTheme="minorHAnsi" w:cs="Arial"/>
                <w:sz w:val="20"/>
                <w:lang w:val="hr-HR"/>
              </w:rPr>
            </w:pPr>
            <w:r w:rsidRPr="002A3E38">
              <w:rPr>
                <w:rFonts w:ascii="Calibri" w:hAnsi="Calibri"/>
                <w:color w:val="000000"/>
                <w:sz w:val="20"/>
              </w:rPr>
              <w:t>9</w:t>
            </w:r>
            <w:r>
              <w:rPr>
                <w:rFonts w:ascii="Calibri" w:hAnsi="Calibri"/>
                <w:color w:val="000000"/>
                <w:sz w:val="20"/>
              </w:rPr>
              <w:t>,</w:t>
            </w:r>
            <w:r w:rsidRPr="002A3E38">
              <w:rPr>
                <w:rFonts w:ascii="Calibri" w:hAnsi="Calibri"/>
                <w:color w:val="000000"/>
                <w:sz w:val="20"/>
              </w:rPr>
              <w:t>955</w:t>
            </w:r>
            <w:r>
              <w:rPr>
                <w:rFonts w:ascii="Calibri" w:hAnsi="Calibri"/>
                <w:color w:val="000000"/>
                <w:sz w:val="20"/>
              </w:rPr>
              <w:t>,</w:t>
            </w:r>
            <w:r w:rsidRPr="002A3E38">
              <w:rPr>
                <w:rFonts w:ascii="Calibri" w:hAnsi="Calibri"/>
                <w:color w:val="000000"/>
                <w:sz w:val="20"/>
              </w:rPr>
              <w:t>288</w:t>
            </w:r>
          </w:p>
        </w:tc>
      </w:tr>
      <w:tr w:rsidR="009B2EE8" w:rsidRPr="009702B0" w14:paraId="44A34E79" w14:textId="77777777" w:rsidTr="006B318F">
        <w:trPr>
          <w:trHeight w:val="270"/>
          <w:jc w:val="center"/>
        </w:trPr>
        <w:tc>
          <w:tcPr>
            <w:tcW w:w="1795" w:type="pct"/>
            <w:vAlign w:val="bottom"/>
          </w:tcPr>
          <w:p w14:paraId="4FCFCEF1" w14:textId="77777777" w:rsidR="009B2EE8" w:rsidRPr="009702B0" w:rsidRDefault="009B2EE8" w:rsidP="009B2EE8">
            <w:pPr>
              <w:tabs>
                <w:tab w:val="right" w:pos="1202"/>
                <w:tab w:val="right" w:pos="9781"/>
              </w:tabs>
              <w:spacing w:after="0" w:line="240" w:lineRule="auto"/>
              <w:outlineLvl w:val="0"/>
              <w:rPr>
                <w:rFonts w:eastAsia="Times New Roman" w:cs="Arial"/>
                <w:bCs/>
                <w:sz w:val="20"/>
                <w:szCs w:val="20"/>
              </w:rPr>
            </w:pPr>
            <w:r w:rsidRPr="009702B0">
              <w:rPr>
                <w:rFonts w:eastAsia="Times New Roman" w:cs="Arial"/>
                <w:bCs/>
                <w:sz w:val="20"/>
                <w:szCs w:val="20"/>
              </w:rPr>
              <w:t>Additional own funds – Tier 2</w:t>
            </w:r>
          </w:p>
        </w:tc>
        <w:tc>
          <w:tcPr>
            <w:tcW w:w="801" w:type="pct"/>
            <w:tcBorders>
              <w:top w:val="nil"/>
              <w:left w:val="nil"/>
              <w:bottom w:val="nil"/>
              <w:right w:val="nil"/>
            </w:tcBorders>
            <w:shd w:val="clear" w:color="auto" w:fill="auto"/>
            <w:vAlign w:val="bottom"/>
          </w:tcPr>
          <w:p w14:paraId="7242D867" w14:textId="568BC127" w:rsidR="009B2EE8" w:rsidRPr="005444AA" w:rsidRDefault="009B2EE8" w:rsidP="009B2EE8">
            <w:pPr>
              <w:pStyle w:val="TT"/>
              <w:jc w:val="right"/>
              <w:rPr>
                <w:rFonts w:ascii="Calibri" w:hAnsi="Calibri"/>
                <w:color w:val="000000"/>
                <w:sz w:val="20"/>
              </w:rPr>
            </w:pPr>
            <w:r w:rsidRPr="00FE65B6">
              <w:rPr>
                <w:rFonts w:ascii="Calibri" w:hAnsi="Calibri"/>
                <w:color w:val="000000"/>
                <w:sz w:val="20"/>
              </w:rPr>
              <w:t>334</w:t>
            </w:r>
            <w:r>
              <w:rPr>
                <w:rFonts w:ascii="Calibri" w:hAnsi="Calibri"/>
                <w:color w:val="000000"/>
                <w:sz w:val="20"/>
              </w:rPr>
              <w:t>,</w:t>
            </w:r>
            <w:r w:rsidRPr="00FE65B6">
              <w:rPr>
                <w:rFonts w:ascii="Calibri" w:hAnsi="Calibri"/>
                <w:color w:val="000000"/>
                <w:sz w:val="20"/>
              </w:rPr>
              <w:t>876</w:t>
            </w:r>
          </w:p>
        </w:tc>
        <w:tc>
          <w:tcPr>
            <w:tcW w:w="801" w:type="pct"/>
            <w:tcBorders>
              <w:top w:val="nil"/>
              <w:left w:val="nil"/>
              <w:bottom w:val="nil"/>
              <w:right w:val="nil"/>
            </w:tcBorders>
            <w:shd w:val="clear" w:color="auto" w:fill="auto"/>
            <w:vAlign w:val="bottom"/>
          </w:tcPr>
          <w:p w14:paraId="0974D3FE" w14:textId="77777777" w:rsidR="009B2EE8" w:rsidRPr="007255D5" w:rsidRDefault="009B2EE8" w:rsidP="009B2EE8">
            <w:pPr>
              <w:pStyle w:val="TT"/>
              <w:jc w:val="right"/>
              <w:rPr>
                <w:rFonts w:asciiTheme="minorHAnsi" w:hAnsiTheme="minorHAnsi" w:cs="Arial"/>
                <w:sz w:val="20"/>
                <w:lang w:val="hr-HR"/>
              </w:rPr>
            </w:pPr>
            <w:r w:rsidRPr="002A3E38">
              <w:rPr>
                <w:rFonts w:ascii="Calibri" w:hAnsi="Calibri"/>
                <w:color w:val="000000"/>
                <w:sz w:val="20"/>
              </w:rPr>
              <w:t>333</w:t>
            </w:r>
            <w:r>
              <w:rPr>
                <w:rFonts w:ascii="Calibri" w:hAnsi="Calibri"/>
                <w:color w:val="000000"/>
                <w:sz w:val="20"/>
              </w:rPr>
              <w:t>,</w:t>
            </w:r>
            <w:r w:rsidRPr="002A3E38">
              <w:rPr>
                <w:rFonts w:ascii="Calibri" w:hAnsi="Calibri"/>
                <w:color w:val="000000"/>
                <w:sz w:val="20"/>
              </w:rPr>
              <w:t>571</w:t>
            </w:r>
          </w:p>
        </w:tc>
        <w:tc>
          <w:tcPr>
            <w:tcW w:w="801" w:type="pct"/>
            <w:tcBorders>
              <w:top w:val="nil"/>
              <w:left w:val="nil"/>
              <w:bottom w:val="nil"/>
              <w:right w:val="nil"/>
            </w:tcBorders>
            <w:shd w:val="clear" w:color="auto" w:fill="auto"/>
            <w:vAlign w:val="bottom"/>
          </w:tcPr>
          <w:p w14:paraId="61F57264" w14:textId="4A7DD9DF" w:rsidR="009B2EE8" w:rsidRPr="005444AA" w:rsidRDefault="009B2EE8" w:rsidP="009B2EE8">
            <w:pPr>
              <w:pStyle w:val="TT"/>
              <w:jc w:val="right"/>
              <w:rPr>
                <w:rFonts w:ascii="Calibri" w:hAnsi="Calibri"/>
                <w:color w:val="000000"/>
                <w:sz w:val="20"/>
              </w:rPr>
            </w:pPr>
            <w:r w:rsidRPr="00FE65B6">
              <w:rPr>
                <w:rFonts w:ascii="Calibri" w:hAnsi="Calibri"/>
                <w:color w:val="000000"/>
                <w:sz w:val="20"/>
              </w:rPr>
              <w:t>334</w:t>
            </w:r>
            <w:r>
              <w:rPr>
                <w:rFonts w:ascii="Calibri" w:hAnsi="Calibri"/>
                <w:color w:val="000000"/>
                <w:sz w:val="20"/>
              </w:rPr>
              <w:t>,</w:t>
            </w:r>
            <w:r w:rsidRPr="00FE65B6">
              <w:rPr>
                <w:rFonts w:ascii="Calibri" w:hAnsi="Calibri"/>
                <w:color w:val="000000"/>
                <w:sz w:val="20"/>
              </w:rPr>
              <w:t>876</w:t>
            </w:r>
          </w:p>
        </w:tc>
        <w:tc>
          <w:tcPr>
            <w:tcW w:w="802" w:type="pct"/>
            <w:tcBorders>
              <w:top w:val="nil"/>
              <w:left w:val="nil"/>
              <w:bottom w:val="nil"/>
              <w:right w:val="nil"/>
            </w:tcBorders>
            <w:shd w:val="clear" w:color="auto" w:fill="auto"/>
            <w:vAlign w:val="bottom"/>
          </w:tcPr>
          <w:p w14:paraId="20324C3C" w14:textId="77777777" w:rsidR="009B2EE8" w:rsidRPr="007255D5" w:rsidRDefault="009B2EE8" w:rsidP="009B2EE8">
            <w:pPr>
              <w:pStyle w:val="TT"/>
              <w:jc w:val="right"/>
              <w:rPr>
                <w:rFonts w:asciiTheme="minorHAnsi" w:hAnsiTheme="minorHAnsi" w:cs="Arial"/>
                <w:sz w:val="20"/>
                <w:lang w:val="hr-HR"/>
              </w:rPr>
            </w:pPr>
            <w:r w:rsidRPr="002A3E38">
              <w:rPr>
                <w:rFonts w:ascii="Calibri" w:hAnsi="Calibri"/>
                <w:color w:val="000000"/>
                <w:sz w:val="20"/>
              </w:rPr>
              <w:t>333</w:t>
            </w:r>
            <w:r>
              <w:rPr>
                <w:rFonts w:ascii="Calibri" w:hAnsi="Calibri"/>
                <w:color w:val="000000"/>
                <w:sz w:val="20"/>
              </w:rPr>
              <w:t>,</w:t>
            </w:r>
            <w:r w:rsidRPr="002A3E38">
              <w:rPr>
                <w:rFonts w:ascii="Calibri" w:hAnsi="Calibri"/>
                <w:color w:val="000000"/>
                <w:sz w:val="20"/>
              </w:rPr>
              <w:t>571</w:t>
            </w:r>
          </w:p>
        </w:tc>
      </w:tr>
      <w:tr w:rsidR="009B2EE8" w:rsidRPr="009702B0" w14:paraId="2D3B566D" w14:textId="77777777" w:rsidTr="006B318F">
        <w:trPr>
          <w:trHeight w:val="270"/>
          <w:jc w:val="center"/>
        </w:trPr>
        <w:tc>
          <w:tcPr>
            <w:tcW w:w="1795" w:type="pct"/>
            <w:vAlign w:val="bottom"/>
          </w:tcPr>
          <w:p w14:paraId="48064608" w14:textId="77777777" w:rsidR="009B2EE8" w:rsidRPr="009702B0" w:rsidRDefault="009B2EE8" w:rsidP="009B2EE8">
            <w:pPr>
              <w:tabs>
                <w:tab w:val="right" w:pos="1202"/>
                <w:tab w:val="right" w:pos="9781"/>
              </w:tabs>
              <w:spacing w:after="0" w:line="240" w:lineRule="auto"/>
              <w:outlineLvl w:val="0"/>
              <w:rPr>
                <w:rFonts w:eastAsia="Times New Roman" w:cs="Arial"/>
                <w:b/>
                <w:bCs/>
                <w:sz w:val="20"/>
                <w:szCs w:val="20"/>
              </w:rPr>
            </w:pPr>
            <w:r w:rsidRPr="009702B0">
              <w:rPr>
                <w:rFonts w:eastAsia="Times New Roman" w:cs="Arial"/>
                <w:b/>
                <w:bCs/>
                <w:sz w:val="20"/>
                <w:szCs w:val="20"/>
              </w:rPr>
              <w:t xml:space="preserve">Total own funds </w:t>
            </w:r>
          </w:p>
        </w:tc>
        <w:tc>
          <w:tcPr>
            <w:tcW w:w="801" w:type="pct"/>
            <w:tcBorders>
              <w:top w:val="nil"/>
              <w:left w:val="nil"/>
              <w:bottom w:val="nil"/>
              <w:right w:val="nil"/>
            </w:tcBorders>
            <w:shd w:val="clear" w:color="auto" w:fill="auto"/>
            <w:vAlign w:val="bottom"/>
          </w:tcPr>
          <w:p w14:paraId="33B98516" w14:textId="591C1EA5" w:rsidR="009B2EE8" w:rsidRPr="009702B0" w:rsidRDefault="009B2EE8" w:rsidP="009B2EE8">
            <w:pPr>
              <w:tabs>
                <w:tab w:val="right" w:pos="1202"/>
              </w:tabs>
              <w:spacing w:after="0" w:line="240" w:lineRule="auto"/>
              <w:jc w:val="right"/>
              <w:outlineLvl w:val="0"/>
              <w:rPr>
                <w:rFonts w:asciiTheme="minorHAnsi" w:eastAsia="Times New Roman" w:hAnsiTheme="minorHAnsi" w:cs="Arial"/>
                <w:b/>
                <w:sz w:val="20"/>
                <w:szCs w:val="20"/>
                <w:lang w:val="hr-HR"/>
              </w:rPr>
            </w:pPr>
            <w:r w:rsidRPr="00FE65B6">
              <w:rPr>
                <w:b/>
                <w:bCs/>
                <w:color w:val="000000"/>
                <w:sz w:val="20"/>
              </w:rPr>
              <w:t>10</w:t>
            </w:r>
            <w:r>
              <w:rPr>
                <w:b/>
                <w:bCs/>
                <w:color w:val="000000"/>
                <w:sz w:val="20"/>
              </w:rPr>
              <w:t>,</w:t>
            </w:r>
            <w:r w:rsidRPr="00FE65B6">
              <w:rPr>
                <w:b/>
                <w:bCs/>
                <w:color w:val="000000"/>
                <w:sz w:val="20"/>
              </w:rPr>
              <w:t>491</w:t>
            </w:r>
            <w:r>
              <w:rPr>
                <w:b/>
                <w:bCs/>
                <w:color w:val="000000"/>
                <w:sz w:val="20"/>
              </w:rPr>
              <w:t>,</w:t>
            </w:r>
            <w:r w:rsidRPr="00FE65B6">
              <w:rPr>
                <w:b/>
                <w:bCs/>
                <w:color w:val="000000"/>
                <w:sz w:val="20"/>
              </w:rPr>
              <w:t>705</w:t>
            </w:r>
          </w:p>
        </w:tc>
        <w:tc>
          <w:tcPr>
            <w:tcW w:w="801" w:type="pct"/>
            <w:tcBorders>
              <w:top w:val="nil"/>
              <w:left w:val="nil"/>
              <w:bottom w:val="nil"/>
              <w:right w:val="nil"/>
            </w:tcBorders>
            <w:shd w:val="clear" w:color="auto" w:fill="auto"/>
            <w:vAlign w:val="bottom"/>
          </w:tcPr>
          <w:p w14:paraId="6F337136" w14:textId="77777777" w:rsidR="009B2EE8" w:rsidRPr="00EB454A" w:rsidRDefault="009B2EE8" w:rsidP="009B2EE8">
            <w:pPr>
              <w:pStyle w:val="TT"/>
              <w:jc w:val="right"/>
              <w:rPr>
                <w:rFonts w:asciiTheme="minorHAnsi" w:hAnsiTheme="minorHAnsi" w:cs="Arial"/>
                <w:b/>
                <w:sz w:val="20"/>
                <w:lang w:val="hr-HR"/>
              </w:rPr>
            </w:pPr>
            <w:r w:rsidRPr="002A3E38">
              <w:rPr>
                <w:rFonts w:ascii="Calibri" w:hAnsi="Calibri"/>
                <w:b/>
                <w:bCs/>
                <w:color w:val="000000"/>
                <w:sz w:val="20"/>
              </w:rPr>
              <w:t>10</w:t>
            </w:r>
            <w:r>
              <w:rPr>
                <w:rFonts w:ascii="Calibri" w:hAnsi="Calibri"/>
                <w:b/>
                <w:bCs/>
                <w:color w:val="000000"/>
                <w:sz w:val="20"/>
              </w:rPr>
              <w:t>,</w:t>
            </w:r>
            <w:r w:rsidRPr="002A3E38">
              <w:rPr>
                <w:rFonts w:ascii="Calibri" w:hAnsi="Calibri"/>
                <w:b/>
                <w:bCs/>
                <w:color w:val="000000"/>
                <w:sz w:val="20"/>
              </w:rPr>
              <w:t>290</w:t>
            </w:r>
            <w:r>
              <w:rPr>
                <w:rFonts w:ascii="Calibri" w:hAnsi="Calibri"/>
                <w:b/>
                <w:bCs/>
                <w:color w:val="000000"/>
                <w:sz w:val="20"/>
              </w:rPr>
              <w:t>,</w:t>
            </w:r>
            <w:r w:rsidRPr="002A3E38">
              <w:rPr>
                <w:rFonts w:ascii="Calibri" w:hAnsi="Calibri"/>
                <w:b/>
                <w:bCs/>
                <w:color w:val="000000"/>
                <w:sz w:val="20"/>
              </w:rPr>
              <w:t>175</w:t>
            </w:r>
          </w:p>
        </w:tc>
        <w:tc>
          <w:tcPr>
            <w:tcW w:w="801" w:type="pct"/>
            <w:tcBorders>
              <w:top w:val="nil"/>
              <w:left w:val="nil"/>
              <w:bottom w:val="nil"/>
              <w:right w:val="nil"/>
            </w:tcBorders>
            <w:shd w:val="clear" w:color="auto" w:fill="auto"/>
            <w:vAlign w:val="bottom"/>
          </w:tcPr>
          <w:p w14:paraId="238B04C1" w14:textId="26D08998" w:rsidR="009B2EE8" w:rsidRPr="009702B0" w:rsidRDefault="009B2EE8" w:rsidP="009B2EE8">
            <w:pPr>
              <w:pStyle w:val="TT"/>
              <w:jc w:val="right"/>
              <w:rPr>
                <w:rFonts w:asciiTheme="minorHAnsi" w:hAnsiTheme="minorHAnsi" w:cs="Arial"/>
                <w:b/>
                <w:sz w:val="20"/>
                <w:lang w:val="hr-HR"/>
              </w:rPr>
            </w:pPr>
            <w:r w:rsidRPr="00FE65B6">
              <w:rPr>
                <w:rFonts w:ascii="Calibri" w:hAnsi="Calibri"/>
                <w:b/>
                <w:color w:val="000000"/>
                <w:sz w:val="20"/>
              </w:rPr>
              <w:t>10</w:t>
            </w:r>
            <w:r>
              <w:rPr>
                <w:rFonts w:ascii="Calibri" w:hAnsi="Calibri"/>
                <w:b/>
                <w:color w:val="000000"/>
                <w:sz w:val="20"/>
              </w:rPr>
              <w:t>,</w:t>
            </w:r>
            <w:r w:rsidRPr="00FE65B6">
              <w:rPr>
                <w:rFonts w:ascii="Calibri" w:hAnsi="Calibri"/>
                <w:b/>
                <w:color w:val="000000"/>
                <w:sz w:val="20"/>
              </w:rPr>
              <w:t>490</w:t>
            </w:r>
            <w:r>
              <w:rPr>
                <w:rFonts w:ascii="Calibri" w:hAnsi="Calibri"/>
                <w:b/>
                <w:color w:val="000000"/>
                <w:sz w:val="20"/>
              </w:rPr>
              <w:t>,</w:t>
            </w:r>
            <w:r w:rsidRPr="00FE65B6">
              <w:rPr>
                <w:rFonts w:ascii="Calibri" w:hAnsi="Calibri"/>
                <w:b/>
                <w:color w:val="000000"/>
                <w:sz w:val="20"/>
              </w:rPr>
              <w:t>675</w:t>
            </w:r>
          </w:p>
        </w:tc>
        <w:tc>
          <w:tcPr>
            <w:tcW w:w="802" w:type="pct"/>
            <w:tcBorders>
              <w:top w:val="nil"/>
              <w:left w:val="nil"/>
              <w:bottom w:val="nil"/>
              <w:right w:val="nil"/>
            </w:tcBorders>
            <w:shd w:val="clear" w:color="auto" w:fill="auto"/>
            <w:vAlign w:val="bottom"/>
          </w:tcPr>
          <w:p w14:paraId="27421564" w14:textId="77777777" w:rsidR="009B2EE8" w:rsidRPr="00EB454A" w:rsidRDefault="009B2EE8" w:rsidP="009B2EE8">
            <w:pPr>
              <w:pStyle w:val="TT"/>
              <w:jc w:val="right"/>
              <w:rPr>
                <w:rFonts w:asciiTheme="minorHAnsi" w:hAnsiTheme="minorHAnsi" w:cs="Arial"/>
                <w:b/>
                <w:sz w:val="20"/>
                <w:lang w:val="hr-HR"/>
              </w:rPr>
            </w:pPr>
            <w:r w:rsidRPr="002A3E38">
              <w:rPr>
                <w:rFonts w:ascii="Calibri" w:hAnsi="Calibri"/>
                <w:b/>
                <w:bCs/>
                <w:color w:val="000000"/>
                <w:sz w:val="20"/>
              </w:rPr>
              <w:t>10</w:t>
            </w:r>
            <w:r>
              <w:rPr>
                <w:rFonts w:ascii="Calibri" w:hAnsi="Calibri"/>
                <w:b/>
                <w:bCs/>
                <w:color w:val="000000"/>
                <w:sz w:val="20"/>
              </w:rPr>
              <w:t>,</w:t>
            </w:r>
            <w:r w:rsidRPr="002A3E38">
              <w:rPr>
                <w:rFonts w:ascii="Calibri" w:hAnsi="Calibri"/>
                <w:b/>
                <w:bCs/>
                <w:color w:val="000000"/>
                <w:sz w:val="20"/>
              </w:rPr>
              <w:t>288</w:t>
            </w:r>
            <w:r>
              <w:rPr>
                <w:rFonts w:ascii="Calibri" w:hAnsi="Calibri"/>
                <w:b/>
                <w:bCs/>
                <w:color w:val="000000"/>
                <w:sz w:val="20"/>
              </w:rPr>
              <w:t>,</w:t>
            </w:r>
            <w:r w:rsidRPr="002A3E38">
              <w:rPr>
                <w:rFonts w:ascii="Calibri" w:hAnsi="Calibri"/>
                <w:b/>
                <w:bCs/>
                <w:color w:val="000000"/>
                <w:sz w:val="20"/>
              </w:rPr>
              <w:t>859</w:t>
            </w:r>
          </w:p>
        </w:tc>
      </w:tr>
      <w:tr w:rsidR="009B2EE8" w:rsidRPr="009702B0" w14:paraId="7A5F97F2" w14:textId="77777777" w:rsidTr="006B318F">
        <w:trPr>
          <w:trHeight w:val="282"/>
          <w:jc w:val="center"/>
        </w:trPr>
        <w:tc>
          <w:tcPr>
            <w:tcW w:w="1795" w:type="pct"/>
            <w:vAlign w:val="bottom"/>
          </w:tcPr>
          <w:p w14:paraId="586F56CF" w14:textId="77777777" w:rsidR="009B2EE8" w:rsidRPr="009702B0" w:rsidRDefault="009B2EE8" w:rsidP="009B2EE8">
            <w:pPr>
              <w:tabs>
                <w:tab w:val="right" w:pos="1202"/>
                <w:tab w:val="right" w:pos="9781"/>
              </w:tabs>
              <w:spacing w:after="0" w:line="240" w:lineRule="auto"/>
              <w:outlineLvl w:val="0"/>
              <w:rPr>
                <w:rFonts w:eastAsia="Times New Roman" w:cs="Arial"/>
                <w:bCs/>
                <w:sz w:val="20"/>
                <w:szCs w:val="20"/>
              </w:rPr>
            </w:pPr>
            <w:r w:rsidRPr="009702B0">
              <w:rPr>
                <w:rFonts w:eastAsia="Times New Roman" w:cs="Arial"/>
                <w:bCs/>
                <w:sz w:val="20"/>
                <w:szCs w:val="20"/>
              </w:rPr>
              <w:t xml:space="preserve">Risk weighted assets </w:t>
            </w:r>
          </w:p>
        </w:tc>
        <w:tc>
          <w:tcPr>
            <w:tcW w:w="801" w:type="pct"/>
            <w:tcBorders>
              <w:top w:val="nil"/>
              <w:left w:val="nil"/>
              <w:bottom w:val="nil"/>
              <w:right w:val="nil"/>
            </w:tcBorders>
            <w:shd w:val="clear" w:color="auto" w:fill="auto"/>
            <w:vAlign w:val="bottom"/>
          </w:tcPr>
          <w:p w14:paraId="42621A6A" w14:textId="293B440B" w:rsidR="009B2EE8" w:rsidRPr="009702B0" w:rsidRDefault="009B2EE8" w:rsidP="009B2EE8">
            <w:pPr>
              <w:tabs>
                <w:tab w:val="right" w:pos="1202"/>
              </w:tabs>
              <w:spacing w:after="0" w:line="240" w:lineRule="auto"/>
              <w:jc w:val="right"/>
              <w:outlineLvl w:val="0"/>
              <w:rPr>
                <w:rFonts w:asciiTheme="minorHAnsi" w:eastAsia="Times New Roman" w:hAnsiTheme="minorHAnsi" w:cs="Arial"/>
                <w:sz w:val="20"/>
                <w:szCs w:val="20"/>
                <w:lang w:val="hr-HR"/>
              </w:rPr>
            </w:pPr>
            <w:r w:rsidRPr="00FE65B6">
              <w:rPr>
                <w:color w:val="000000"/>
                <w:sz w:val="20"/>
              </w:rPr>
              <w:t>16</w:t>
            </w:r>
            <w:r>
              <w:rPr>
                <w:color w:val="000000"/>
                <w:sz w:val="20"/>
              </w:rPr>
              <w:t>,</w:t>
            </w:r>
            <w:r w:rsidRPr="00FE65B6">
              <w:rPr>
                <w:color w:val="000000"/>
                <w:sz w:val="20"/>
              </w:rPr>
              <w:t>619</w:t>
            </w:r>
            <w:r>
              <w:rPr>
                <w:color w:val="000000"/>
                <w:sz w:val="20"/>
              </w:rPr>
              <w:t>,</w:t>
            </w:r>
            <w:r w:rsidRPr="00FE65B6">
              <w:rPr>
                <w:color w:val="000000"/>
                <w:sz w:val="20"/>
              </w:rPr>
              <w:t>470</w:t>
            </w:r>
          </w:p>
        </w:tc>
        <w:tc>
          <w:tcPr>
            <w:tcW w:w="801" w:type="pct"/>
            <w:tcBorders>
              <w:top w:val="nil"/>
              <w:left w:val="nil"/>
              <w:bottom w:val="nil"/>
              <w:right w:val="nil"/>
            </w:tcBorders>
            <w:shd w:val="clear" w:color="auto" w:fill="auto"/>
            <w:vAlign w:val="bottom"/>
          </w:tcPr>
          <w:p w14:paraId="489C3ED5" w14:textId="77777777" w:rsidR="009B2EE8" w:rsidRPr="007255D5" w:rsidRDefault="009B2EE8" w:rsidP="009B2EE8">
            <w:pPr>
              <w:pStyle w:val="TT"/>
              <w:jc w:val="right"/>
              <w:rPr>
                <w:rFonts w:asciiTheme="minorHAnsi" w:hAnsiTheme="minorHAnsi" w:cs="Arial"/>
                <w:sz w:val="20"/>
                <w:lang w:val="hr-HR"/>
              </w:rPr>
            </w:pPr>
            <w:r w:rsidRPr="002A3E38">
              <w:rPr>
                <w:rFonts w:ascii="Calibri" w:hAnsi="Calibri"/>
                <w:color w:val="000000"/>
                <w:sz w:val="20"/>
              </w:rPr>
              <w:t>16</w:t>
            </w:r>
            <w:r>
              <w:rPr>
                <w:rFonts w:ascii="Calibri" w:hAnsi="Calibri"/>
                <w:color w:val="000000"/>
                <w:sz w:val="20"/>
              </w:rPr>
              <w:t>,</w:t>
            </w:r>
            <w:r w:rsidRPr="002A3E38">
              <w:rPr>
                <w:rFonts w:ascii="Calibri" w:hAnsi="Calibri"/>
                <w:color w:val="000000"/>
                <w:sz w:val="20"/>
              </w:rPr>
              <w:t>415</w:t>
            </w:r>
            <w:r>
              <w:rPr>
                <w:rFonts w:ascii="Calibri" w:hAnsi="Calibri"/>
                <w:color w:val="000000"/>
                <w:sz w:val="20"/>
              </w:rPr>
              <w:t>,</w:t>
            </w:r>
            <w:r w:rsidRPr="002A3E38">
              <w:rPr>
                <w:rFonts w:ascii="Calibri" w:hAnsi="Calibri"/>
                <w:color w:val="000000"/>
                <w:sz w:val="20"/>
              </w:rPr>
              <w:t>582</w:t>
            </w:r>
          </w:p>
        </w:tc>
        <w:tc>
          <w:tcPr>
            <w:tcW w:w="801" w:type="pct"/>
            <w:tcBorders>
              <w:top w:val="nil"/>
              <w:left w:val="nil"/>
              <w:bottom w:val="nil"/>
              <w:right w:val="nil"/>
            </w:tcBorders>
            <w:shd w:val="clear" w:color="auto" w:fill="auto"/>
            <w:vAlign w:val="bottom"/>
          </w:tcPr>
          <w:p w14:paraId="2D23418E" w14:textId="61AE19D5" w:rsidR="009B2EE8" w:rsidRPr="009702B0" w:rsidRDefault="009B2EE8" w:rsidP="009B2EE8">
            <w:pPr>
              <w:tabs>
                <w:tab w:val="right" w:pos="1202"/>
              </w:tabs>
              <w:spacing w:after="0" w:line="240" w:lineRule="auto"/>
              <w:jc w:val="right"/>
              <w:outlineLvl w:val="0"/>
              <w:rPr>
                <w:rFonts w:asciiTheme="minorHAnsi" w:eastAsia="Times New Roman" w:hAnsiTheme="minorHAnsi" w:cs="Arial"/>
                <w:sz w:val="20"/>
                <w:szCs w:val="20"/>
                <w:lang w:val="hr-HR"/>
              </w:rPr>
            </w:pPr>
            <w:r w:rsidRPr="00FE65B6">
              <w:rPr>
                <w:color w:val="000000"/>
                <w:sz w:val="20"/>
              </w:rPr>
              <w:t>16</w:t>
            </w:r>
            <w:r>
              <w:rPr>
                <w:color w:val="000000"/>
                <w:sz w:val="20"/>
              </w:rPr>
              <w:t>,</w:t>
            </w:r>
            <w:r w:rsidRPr="00FE65B6">
              <w:rPr>
                <w:color w:val="000000"/>
                <w:sz w:val="20"/>
              </w:rPr>
              <w:t>650</w:t>
            </w:r>
            <w:r>
              <w:rPr>
                <w:color w:val="000000"/>
                <w:sz w:val="20"/>
              </w:rPr>
              <w:t>,</w:t>
            </w:r>
            <w:r w:rsidRPr="00FE65B6">
              <w:rPr>
                <w:color w:val="000000"/>
                <w:sz w:val="20"/>
              </w:rPr>
              <w:t>801</w:t>
            </w:r>
          </w:p>
        </w:tc>
        <w:tc>
          <w:tcPr>
            <w:tcW w:w="802" w:type="pct"/>
            <w:tcBorders>
              <w:top w:val="nil"/>
              <w:left w:val="nil"/>
              <w:bottom w:val="nil"/>
              <w:right w:val="nil"/>
            </w:tcBorders>
            <w:shd w:val="clear" w:color="auto" w:fill="auto"/>
            <w:vAlign w:val="bottom"/>
          </w:tcPr>
          <w:p w14:paraId="3C96A5B3" w14:textId="77777777" w:rsidR="009B2EE8" w:rsidRPr="007255D5" w:rsidRDefault="009B2EE8" w:rsidP="009B2EE8">
            <w:pPr>
              <w:pStyle w:val="TT"/>
              <w:jc w:val="right"/>
              <w:rPr>
                <w:rFonts w:asciiTheme="minorHAnsi" w:hAnsiTheme="minorHAnsi" w:cs="Arial"/>
                <w:sz w:val="20"/>
                <w:lang w:val="hr-HR"/>
              </w:rPr>
            </w:pPr>
            <w:r w:rsidRPr="002A3E38">
              <w:rPr>
                <w:rFonts w:ascii="Calibri" w:hAnsi="Calibri"/>
                <w:color w:val="000000"/>
                <w:sz w:val="20"/>
              </w:rPr>
              <w:t>16</w:t>
            </w:r>
            <w:r>
              <w:rPr>
                <w:rFonts w:ascii="Calibri" w:hAnsi="Calibri"/>
                <w:color w:val="000000"/>
                <w:sz w:val="20"/>
              </w:rPr>
              <w:t>,</w:t>
            </w:r>
            <w:r w:rsidRPr="002A3E38">
              <w:rPr>
                <w:rFonts w:ascii="Calibri" w:hAnsi="Calibri"/>
                <w:color w:val="000000"/>
                <w:sz w:val="20"/>
              </w:rPr>
              <w:t>447</w:t>
            </w:r>
            <w:r>
              <w:rPr>
                <w:rFonts w:ascii="Calibri" w:hAnsi="Calibri"/>
                <w:color w:val="000000"/>
                <w:sz w:val="20"/>
              </w:rPr>
              <w:t>,</w:t>
            </w:r>
            <w:r w:rsidRPr="002A3E38">
              <w:rPr>
                <w:rFonts w:ascii="Calibri" w:hAnsi="Calibri"/>
                <w:color w:val="000000"/>
                <w:sz w:val="20"/>
              </w:rPr>
              <w:t>428</w:t>
            </w:r>
          </w:p>
        </w:tc>
      </w:tr>
      <w:tr w:rsidR="009B2EE8" w:rsidRPr="009702B0" w14:paraId="47003DF6" w14:textId="77777777" w:rsidTr="006B318F">
        <w:trPr>
          <w:trHeight w:val="199"/>
          <w:jc w:val="center"/>
        </w:trPr>
        <w:tc>
          <w:tcPr>
            <w:tcW w:w="1795" w:type="pct"/>
            <w:vAlign w:val="bottom"/>
          </w:tcPr>
          <w:p w14:paraId="4055098A" w14:textId="77777777" w:rsidR="009B2EE8" w:rsidRPr="009702B0" w:rsidRDefault="009B2EE8" w:rsidP="009B2EE8">
            <w:pPr>
              <w:tabs>
                <w:tab w:val="right" w:pos="1202"/>
                <w:tab w:val="right" w:pos="9781"/>
              </w:tabs>
              <w:spacing w:after="0" w:line="240" w:lineRule="auto"/>
              <w:outlineLvl w:val="0"/>
              <w:rPr>
                <w:rFonts w:eastAsia="Times New Roman" w:cs="Arial"/>
                <w:bCs/>
                <w:sz w:val="20"/>
                <w:szCs w:val="20"/>
              </w:rPr>
            </w:pPr>
            <w:r w:rsidRPr="009702B0">
              <w:rPr>
                <w:rFonts w:eastAsia="Times New Roman" w:cs="Arial"/>
                <w:bCs/>
                <w:sz w:val="20"/>
                <w:szCs w:val="20"/>
              </w:rPr>
              <w:t>Capital requirements for currency risk</w:t>
            </w:r>
          </w:p>
        </w:tc>
        <w:tc>
          <w:tcPr>
            <w:tcW w:w="801" w:type="pct"/>
            <w:tcBorders>
              <w:top w:val="nil"/>
              <w:left w:val="nil"/>
              <w:bottom w:val="nil"/>
              <w:right w:val="nil"/>
            </w:tcBorders>
            <w:shd w:val="clear" w:color="auto" w:fill="auto"/>
            <w:vAlign w:val="bottom"/>
          </w:tcPr>
          <w:p w14:paraId="195BB8E5" w14:textId="6F21F74A" w:rsidR="009B2EE8" w:rsidRPr="009702B0" w:rsidRDefault="009B2EE8" w:rsidP="009B2EE8">
            <w:pPr>
              <w:tabs>
                <w:tab w:val="right" w:pos="1202"/>
              </w:tabs>
              <w:spacing w:after="0" w:line="240" w:lineRule="auto"/>
              <w:jc w:val="right"/>
              <w:outlineLvl w:val="0"/>
              <w:rPr>
                <w:rFonts w:eastAsia="Times New Roman" w:cs="Arial"/>
                <w:bCs/>
                <w:sz w:val="20"/>
                <w:szCs w:val="20"/>
              </w:rPr>
            </w:pPr>
            <w:r w:rsidRPr="00FE65B6">
              <w:rPr>
                <w:color w:val="000000"/>
                <w:sz w:val="20"/>
              </w:rPr>
              <w:t xml:space="preserve"> 245</w:t>
            </w:r>
            <w:r>
              <w:rPr>
                <w:color w:val="000000"/>
                <w:sz w:val="20"/>
              </w:rPr>
              <w:t>,</w:t>
            </w:r>
            <w:r w:rsidRPr="00FE65B6">
              <w:rPr>
                <w:color w:val="000000"/>
                <w:sz w:val="20"/>
              </w:rPr>
              <w:t xml:space="preserve">662 </w:t>
            </w:r>
          </w:p>
        </w:tc>
        <w:tc>
          <w:tcPr>
            <w:tcW w:w="801" w:type="pct"/>
            <w:tcBorders>
              <w:top w:val="nil"/>
              <w:left w:val="nil"/>
              <w:bottom w:val="nil"/>
              <w:right w:val="nil"/>
            </w:tcBorders>
            <w:shd w:val="clear" w:color="auto" w:fill="auto"/>
            <w:vAlign w:val="bottom"/>
          </w:tcPr>
          <w:p w14:paraId="6ED0E0C9" w14:textId="77777777" w:rsidR="009B2EE8" w:rsidRPr="007255D5" w:rsidRDefault="009B2EE8" w:rsidP="009B2EE8">
            <w:pPr>
              <w:pStyle w:val="TT"/>
              <w:jc w:val="right"/>
              <w:rPr>
                <w:rFonts w:asciiTheme="minorHAnsi" w:hAnsiTheme="minorHAnsi" w:cs="Arial"/>
                <w:sz w:val="20"/>
                <w:lang w:val="hr-HR"/>
              </w:rPr>
            </w:pPr>
            <w:r w:rsidRPr="002A3E38">
              <w:rPr>
                <w:rFonts w:ascii="Calibri" w:hAnsi="Calibri"/>
                <w:color w:val="000000"/>
                <w:sz w:val="20"/>
              </w:rPr>
              <w:t>609</w:t>
            </w:r>
            <w:r>
              <w:rPr>
                <w:rFonts w:ascii="Calibri" w:hAnsi="Calibri"/>
                <w:color w:val="000000"/>
                <w:sz w:val="20"/>
              </w:rPr>
              <w:t>,</w:t>
            </w:r>
            <w:r w:rsidRPr="002A3E38">
              <w:rPr>
                <w:rFonts w:ascii="Calibri" w:hAnsi="Calibri"/>
                <w:color w:val="000000"/>
                <w:sz w:val="20"/>
              </w:rPr>
              <w:t xml:space="preserve">631 </w:t>
            </w:r>
          </w:p>
        </w:tc>
        <w:tc>
          <w:tcPr>
            <w:tcW w:w="801" w:type="pct"/>
            <w:tcBorders>
              <w:top w:val="nil"/>
              <w:left w:val="nil"/>
              <w:bottom w:val="nil"/>
              <w:right w:val="nil"/>
            </w:tcBorders>
            <w:shd w:val="clear" w:color="auto" w:fill="auto"/>
            <w:vAlign w:val="bottom"/>
          </w:tcPr>
          <w:p w14:paraId="5E4C76AE" w14:textId="2004B892" w:rsidR="009B2EE8" w:rsidRPr="009702B0" w:rsidRDefault="009B2EE8" w:rsidP="009B2EE8">
            <w:pPr>
              <w:pStyle w:val="TT"/>
              <w:jc w:val="right"/>
              <w:rPr>
                <w:rFonts w:cs="Arial"/>
                <w:bCs/>
                <w:sz w:val="20"/>
              </w:rPr>
            </w:pPr>
            <w:r w:rsidRPr="00FE65B6">
              <w:rPr>
                <w:rFonts w:ascii="Calibri" w:hAnsi="Calibri"/>
                <w:color w:val="000000"/>
                <w:sz w:val="20"/>
              </w:rPr>
              <w:t xml:space="preserve"> 233</w:t>
            </w:r>
            <w:r>
              <w:rPr>
                <w:rFonts w:ascii="Calibri" w:hAnsi="Calibri"/>
                <w:color w:val="000000"/>
                <w:sz w:val="20"/>
              </w:rPr>
              <w:t>,</w:t>
            </w:r>
            <w:r w:rsidRPr="00FE65B6">
              <w:rPr>
                <w:rFonts w:ascii="Calibri" w:hAnsi="Calibri"/>
                <w:color w:val="000000"/>
                <w:sz w:val="20"/>
              </w:rPr>
              <w:t xml:space="preserve">935 </w:t>
            </w:r>
          </w:p>
        </w:tc>
        <w:tc>
          <w:tcPr>
            <w:tcW w:w="802" w:type="pct"/>
            <w:tcBorders>
              <w:top w:val="nil"/>
              <w:left w:val="nil"/>
              <w:bottom w:val="nil"/>
              <w:right w:val="nil"/>
            </w:tcBorders>
            <w:shd w:val="clear" w:color="auto" w:fill="auto"/>
            <w:vAlign w:val="bottom"/>
          </w:tcPr>
          <w:p w14:paraId="3671CE33" w14:textId="77777777" w:rsidR="009B2EE8" w:rsidRPr="007255D5" w:rsidRDefault="009B2EE8" w:rsidP="009B2EE8">
            <w:pPr>
              <w:pStyle w:val="TT"/>
              <w:jc w:val="right"/>
              <w:rPr>
                <w:rFonts w:asciiTheme="minorHAnsi" w:hAnsiTheme="minorHAnsi" w:cs="Arial"/>
                <w:sz w:val="20"/>
                <w:lang w:val="hr-HR"/>
              </w:rPr>
            </w:pPr>
            <w:r w:rsidRPr="002A3E38">
              <w:rPr>
                <w:rFonts w:ascii="Calibri" w:hAnsi="Calibri"/>
                <w:color w:val="000000"/>
                <w:sz w:val="20"/>
              </w:rPr>
              <w:t xml:space="preserve"> 597</w:t>
            </w:r>
            <w:r>
              <w:rPr>
                <w:rFonts w:ascii="Calibri" w:hAnsi="Calibri"/>
                <w:color w:val="000000"/>
                <w:sz w:val="20"/>
              </w:rPr>
              <w:t>,</w:t>
            </w:r>
            <w:r w:rsidRPr="002A3E38">
              <w:rPr>
                <w:rFonts w:ascii="Calibri" w:hAnsi="Calibri"/>
                <w:color w:val="000000"/>
                <w:sz w:val="20"/>
              </w:rPr>
              <w:t xml:space="preserve">377 </w:t>
            </w:r>
          </w:p>
        </w:tc>
      </w:tr>
      <w:tr w:rsidR="009B2EE8" w:rsidRPr="009702B0" w14:paraId="6199D7A5" w14:textId="77777777" w:rsidTr="006B318F">
        <w:trPr>
          <w:trHeight w:val="270"/>
          <w:jc w:val="center"/>
        </w:trPr>
        <w:tc>
          <w:tcPr>
            <w:tcW w:w="1795" w:type="pct"/>
            <w:vAlign w:val="bottom"/>
          </w:tcPr>
          <w:p w14:paraId="6F55F27C" w14:textId="77777777" w:rsidR="009B2EE8" w:rsidRPr="009702B0" w:rsidRDefault="009B2EE8" w:rsidP="009B2EE8">
            <w:pPr>
              <w:tabs>
                <w:tab w:val="right" w:pos="1202"/>
                <w:tab w:val="right" w:pos="9781"/>
              </w:tabs>
              <w:spacing w:after="0" w:line="240" w:lineRule="auto"/>
              <w:outlineLvl w:val="0"/>
              <w:rPr>
                <w:rFonts w:eastAsia="Times New Roman" w:cs="Arial"/>
                <w:b/>
                <w:bCs/>
                <w:sz w:val="20"/>
                <w:szCs w:val="20"/>
              </w:rPr>
            </w:pPr>
            <w:r w:rsidRPr="009702B0">
              <w:rPr>
                <w:rFonts w:eastAsia="Times New Roman" w:cs="Arial"/>
                <w:b/>
                <w:bCs/>
                <w:sz w:val="20"/>
                <w:szCs w:val="20"/>
              </w:rPr>
              <w:t>Total capital requirements</w:t>
            </w:r>
          </w:p>
        </w:tc>
        <w:tc>
          <w:tcPr>
            <w:tcW w:w="801" w:type="pct"/>
            <w:tcBorders>
              <w:top w:val="nil"/>
              <w:left w:val="nil"/>
              <w:bottom w:val="nil"/>
              <w:right w:val="nil"/>
            </w:tcBorders>
            <w:shd w:val="clear" w:color="auto" w:fill="auto"/>
            <w:vAlign w:val="bottom"/>
          </w:tcPr>
          <w:p w14:paraId="4F44835F" w14:textId="70298D1B" w:rsidR="009B2EE8" w:rsidRPr="009702B0" w:rsidRDefault="009B2EE8" w:rsidP="009B2EE8">
            <w:pPr>
              <w:tabs>
                <w:tab w:val="right" w:pos="1202"/>
              </w:tabs>
              <w:spacing w:after="0" w:line="240" w:lineRule="auto"/>
              <w:jc w:val="right"/>
              <w:outlineLvl w:val="0"/>
              <w:rPr>
                <w:rFonts w:asciiTheme="minorHAnsi" w:eastAsia="Times New Roman" w:hAnsiTheme="minorHAnsi" w:cs="Arial"/>
                <w:b/>
                <w:sz w:val="20"/>
                <w:szCs w:val="20"/>
                <w:lang w:val="hr-HR"/>
              </w:rPr>
            </w:pPr>
            <w:r w:rsidRPr="00FE65B6">
              <w:rPr>
                <w:b/>
                <w:bCs/>
                <w:color w:val="000000"/>
                <w:sz w:val="20"/>
              </w:rPr>
              <w:t>16</w:t>
            </w:r>
            <w:r>
              <w:rPr>
                <w:b/>
                <w:bCs/>
                <w:color w:val="000000"/>
                <w:sz w:val="20"/>
              </w:rPr>
              <w:t>,</w:t>
            </w:r>
            <w:r w:rsidRPr="00FE65B6">
              <w:rPr>
                <w:b/>
                <w:bCs/>
                <w:color w:val="000000"/>
                <w:sz w:val="20"/>
              </w:rPr>
              <w:t>865</w:t>
            </w:r>
            <w:r>
              <w:rPr>
                <w:b/>
                <w:bCs/>
                <w:color w:val="000000"/>
                <w:sz w:val="20"/>
              </w:rPr>
              <w:t>,</w:t>
            </w:r>
            <w:r w:rsidRPr="00FE65B6">
              <w:rPr>
                <w:b/>
                <w:bCs/>
                <w:color w:val="000000"/>
                <w:sz w:val="20"/>
              </w:rPr>
              <w:t>132</w:t>
            </w:r>
          </w:p>
        </w:tc>
        <w:tc>
          <w:tcPr>
            <w:tcW w:w="801" w:type="pct"/>
            <w:tcBorders>
              <w:top w:val="nil"/>
              <w:left w:val="nil"/>
              <w:bottom w:val="nil"/>
              <w:right w:val="nil"/>
            </w:tcBorders>
            <w:shd w:val="clear" w:color="auto" w:fill="auto"/>
            <w:vAlign w:val="bottom"/>
          </w:tcPr>
          <w:p w14:paraId="1270A4F6" w14:textId="77777777" w:rsidR="009B2EE8" w:rsidRPr="00EB454A" w:rsidRDefault="009B2EE8" w:rsidP="009B2EE8">
            <w:pPr>
              <w:pStyle w:val="TT"/>
              <w:jc w:val="right"/>
              <w:rPr>
                <w:rFonts w:asciiTheme="minorHAnsi" w:hAnsiTheme="minorHAnsi" w:cs="Arial"/>
                <w:b/>
                <w:sz w:val="20"/>
                <w:lang w:val="hr-HR"/>
              </w:rPr>
            </w:pPr>
            <w:r w:rsidRPr="002A3E38">
              <w:rPr>
                <w:rFonts w:ascii="Calibri" w:hAnsi="Calibri"/>
                <w:b/>
                <w:bCs/>
                <w:color w:val="000000"/>
                <w:sz w:val="20"/>
              </w:rPr>
              <w:t>17</w:t>
            </w:r>
            <w:r>
              <w:rPr>
                <w:rFonts w:ascii="Calibri" w:hAnsi="Calibri"/>
                <w:b/>
                <w:bCs/>
                <w:color w:val="000000"/>
                <w:sz w:val="20"/>
              </w:rPr>
              <w:t>,</w:t>
            </w:r>
            <w:r w:rsidRPr="002A3E38">
              <w:rPr>
                <w:rFonts w:ascii="Calibri" w:hAnsi="Calibri"/>
                <w:b/>
                <w:bCs/>
                <w:color w:val="000000"/>
                <w:sz w:val="20"/>
              </w:rPr>
              <w:t>025</w:t>
            </w:r>
            <w:r>
              <w:rPr>
                <w:rFonts w:ascii="Calibri" w:hAnsi="Calibri"/>
                <w:b/>
                <w:bCs/>
                <w:color w:val="000000"/>
                <w:sz w:val="20"/>
              </w:rPr>
              <w:t>,</w:t>
            </w:r>
            <w:r w:rsidRPr="002A3E38">
              <w:rPr>
                <w:rFonts w:ascii="Calibri" w:hAnsi="Calibri"/>
                <w:b/>
                <w:bCs/>
                <w:color w:val="000000"/>
                <w:sz w:val="20"/>
              </w:rPr>
              <w:t>213</w:t>
            </w:r>
          </w:p>
        </w:tc>
        <w:tc>
          <w:tcPr>
            <w:tcW w:w="801" w:type="pct"/>
            <w:tcBorders>
              <w:top w:val="nil"/>
              <w:left w:val="nil"/>
              <w:bottom w:val="nil"/>
              <w:right w:val="nil"/>
            </w:tcBorders>
            <w:shd w:val="clear" w:color="auto" w:fill="auto"/>
            <w:vAlign w:val="bottom"/>
          </w:tcPr>
          <w:p w14:paraId="067535DB" w14:textId="05173D5F" w:rsidR="009B2EE8" w:rsidRPr="009702B0" w:rsidRDefault="009B2EE8" w:rsidP="009B2EE8">
            <w:pPr>
              <w:pStyle w:val="TT"/>
              <w:jc w:val="right"/>
              <w:rPr>
                <w:rFonts w:asciiTheme="minorHAnsi" w:hAnsiTheme="minorHAnsi" w:cs="Arial"/>
                <w:b/>
                <w:sz w:val="20"/>
                <w:lang w:val="hr-HR"/>
              </w:rPr>
            </w:pPr>
            <w:r w:rsidRPr="00FE65B6">
              <w:rPr>
                <w:rFonts w:ascii="Calibri" w:hAnsi="Calibri"/>
                <w:b/>
                <w:color w:val="000000"/>
                <w:sz w:val="20"/>
              </w:rPr>
              <w:t>16</w:t>
            </w:r>
            <w:r>
              <w:rPr>
                <w:rFonts w:ascii="Calibri" w:hAnsi="Calibri"/>
                <w:b/>
                <w:color w:val="000000"/>
                <w:sz w:val="20"/>
              </w:rPr>
              <w:t>,</w:t>
            </w:r>
            <w:r w:rsidRPr="00FE65B6">
              <w:rPr>
                <w:rFonts w:ascii="Calibri" w:hAnsi="Calibri"/>
                <w:b/>
                <w:color w:val="000000"/>
                <w:sz w:val="20"/>
              </w:rPr>
              <w:t>884</w:t>
            </w:r>
            <w:r>
              <w:rPr>
                <w:rFonts w:ascii="Calibri" w:hAnsi="Calibri"/>
                <w:b/>
                <w:color w:val="000000"/>
                <w:sz w:val="20"/>
              </w:rPr>
              <w:t>,</w:t>
            </w:r>
            <w:r w:rsidRPr="00FE65B6">
              <w:rPr>
                <w:rFonts w:ascii="Calibri" w:hAnsi="Calibri"/>
                <w:b/>
                <w:color w:val="000000"/>
                <w:sz w:val="20"/>
              </w:rPr>
              <w:t>736</w:t>
            </w:r>
          </w:p>
        </w:tc>
        <w:tc>
          <w:tcPr>
            <w:tcW w:w="802" w:type="pct"/>
            <w:tcBorders>
              <w:top w:val="nil"/>
              <w:left w:val="nil"/>
              <w:bottom w:val="nil"/>
              <w:right w:val="nil"/>
            </w:tcBorders>
            <w:shd w:val="clear" w:color="auto" w:fill="auto"/>
            <w:vAlign w:val="bottom"/>
          </w:tcPr>
          <w:p w14:paraId="599FC6C8" w14:textId="77777777" w:rsidR="009B2EE8" w:rsidRPr="00EB454A" w:rsidRDefault="009B2EE8" w:rsidP="009B2EE8">
            <w:pPr>
              <w:pStyle w:val="TT"/>
              <w:jc w:val="right"/>
              <w:rPr>
                <w:rFonts w:asciiTheme="minorHAnsi" w:hAnsiTheme="minorHAnsi" w:cs="Arial"/>
                <w:b/>
                <w:sz w:val="20"/>
                <w:lang w:val="hr-HR"/>
              </w:rPr>
            </w:pPr>
            <w:r w:rsidRPr="002A3E38">
              <w:rPr>
                <w:rFonts w:ascii="Calibri" w:hAnsi="Calibri"/>
                <w:b/>
                <w:bCs/>
                <w:color w:val="000000"/>
                <w:sz w:val="20"/>
              </w:rPr>
              <w:t>17</w:t>
            </w:r>
            <w:r>
              <w:rPr>
                <w:rFonts w:ascii="Calibri" w:hAnsi="Calibri"/>
                <w:b/>
                <w:bCs/>
                <w:color w:val="000000"/>
                <w:sz w:val="20"/>
              </w:rPr>
              <w:t>,</w:t>
            </w:r>
            <w:r w:rsidRPr="002A3E38">
              <w:rPr>
                <w:rFonts w:ascii="Calibri" w:hAnsi="Calibri"/>
                <w:b/>
                <w:bCs/>
                <w:color w:val="000000"/>
                <w:sz w:val="20"/>
              </w:rPr>
              <w:t>044</w:t>
            </w:r>
            <w:r>
              <w:rPr>
                <w:rFonts w:ascii="Calibri" w:hAnsi="Calibri"/>
                <w:b/>
                <w:bCs/>
                <w:color w:val="000000"/>
                <w:sz w:val="20"/>
              </w:rPr>
              <w:t>,</w:t>
            </w:r>
            <w:r w:rsidRPr="002A3E38">
              <w:rPr>
                <w:rFonts w:ascii="Calibri" w:hAnsi="Calibri"/>
                <w:b/>
                <w:bCs/>
                <w:color w:val="000000"/>
                <w:sz w:val="20"/>
              </w:rPr>
              <w:t>805</w:t>
            </w:r>
          </w:p>
        </w:tc>
      </w:tr>
      <w:tr w:rsidR="00C56E63" w:rsidRPr="009702B0" w14:paraId="6644F460" w14:textId="77777777" w:rsidTr="005444AA">
        <w:trPr>
          <w:trHeight w:val="123"/>
          <w:jc w:val="center"/>
        </w:trPr>
        <w:tc>
          <w:tcPr>
            <w:tcW w:w="1795" w:type="pct"/>
          </w:tcPr>
          <w:p w14:paraId="65F2D1D8" w14:textId="77777777" w:rsidR="00C56E63" w:rsidRPr="009702B0" w:rsidRDefault="00C56E63" w:rsidP="00C56E63">
            <w:pPr>
              <w:tabs>
                <w:tab w:val="right" w:pos="9781"/>
              </w:tabs>
              <w:spacing w:after="0" w:line="140" w:lineRule="exact"/>
              <w:jc w:val="both"/>
              <w:rPr>
                <w:rFonts w:eastAsia="Times New Roman" w:cs="Arial"/>
                <w:sz w:val="20"/>
                <w:szCs w:val="20"/>
              </w:rPr>
            </w:pPr>
          </w:p>
        </w:tc>
        <w:tc>
          <w:tcPr>
            <w:tcW w:w="801" w:type="pct"/>
            <w:vAlign w:val="bottom"/>
          </w:tcPr>
          <w:p w14:paraId="2F6943CE" w14:textId="77777777" w:rsidR="00C56E63" w:rsidRPr="009702B0" w:rsidRDefault="00C56E63" w:rsidP="00C56E63">
            <w:pPr>
              <w:keepNext/>
              <w:keepLines/>
              <w:tabs>
                <w:tab w:val="decimal" w:pos="1202"/>
              </w:tabs>
              <w:spacing w:after="0" w:line="140" w:lineRule="exact"/>
              <w:jc w:val="right"/>
              <w:rPr>
                <w:rFonts w:eastAsia="Times New Roman" w:cs="Arial"/>
                <w:b/>
                <w:position w:val="4"/>
                <w:sz w:val="20"/>
                <w:szCs w:val="20"/>
                <w:u w:val="thick"/>
              </w:rPr>
            </w:pPr>
            <w:r w:rsidRPr="009702B0">
              <w:rPr>
                <w:rFonts w:ascii="Arial" w:eastAsia="Times New Roman" w:hAnsi="Arial" w:cs="Arial"/>
                <w:b/>
                <w:position w:val="4"/>
                <w:sz w:val="20"/>
                <w:szCs w:val="20"/>
                <w:u w:val="thick"/>
                <w:lang w:val="en-US"/>
              </w:rPr>
              <w:t>___________</w:t>
            </w:r>
          </w:p>
        </w:tc>
        <w:tc>
          <w:tcPr>
            <w:tcW w:w="801" w:type="pct"/>
            <w:vAlign w:val="bottom"/>
          </w:tcPr>
          <w:p w14:paraId="745B04BC" w14:textId="77777777" w:rsidR="00C56E63" w:rsidRPr="009702B0" w:rsidRDefault="00C56E63" w:rsidP="00C56E63">
            <w:pPr>
              <w:keepNext/>
              <w:keepLines/>
              <w:tabs>
                <w:tab w:val="decimal" w:pos="1202"/>
              </w:tabs>
              <w:spacing w:after="0" w:line="140" w:lineRule="exact"/>
              <w:jc w:val="right"/>
              <w:rPr>
                <w:rFonts w:eastAsia="Times New Roman" w:cs="Arial"/>
                <w:b/>
                <w:position w:val="4"/>
                <w:sz w:val="20"/>
                <w:szCs w:val="20"/>
                <w:u w:val="thick"/>
              </w:rPr>
            </w:pPr>
            <w:r w:rsidRPr="009702B0">
              <w:rPr>
                <w:rFonts w:eastAsia="Times New Roman" w:cs="Arial"/>
                <w:b/>
                <w:position w:val="4"/>
                <w:sz w:val="20"/>
                <w:szCs w:val="20"/>
                <w:u w:val="thick"/>
              </w:rPr>
              <w:t>___________</w:t>
            </w:r>
          </w:p>
        </w:tc>
        <w:tc>
          <w:tcPr>
            <w:tcW w:w="801" w:type="pct"/>
            <w:vAlign w:val="bottom"/>
          </w:tcPr>
          <w:p w14:paraId="62D18466" w14:textId="3F36B508" w:rsidR="00C56E63" w:rsidRPr="009702B0" w:rsidRDefault="00C56E63" w:rsidP="00C56E63">
            <w:pPr>
              <w:keepNext/>
              <w:keepLines/>
              <w:tabs>
                <w:tab w:val="decimal" w:pos="1202"/>
              </w:tabs>
              <w:spacing w:after="0" w:line="140" w:lineRule="exact"/>
              <w:jc w:val="right"/>
              <w:rPr>
                <w:rFonts w:eastAsia="Times New Roman" w:cs="Arial"/>
                <w:b/>
                <w:position w:val="4"/>
                <w:sz w:val="20"/>
                <w:szCs w:val="20"/>
                <w:u w:val="thick"/>
              </w:rPr>
            </w:pPr>
            <w:r w:rsidRPr="009702B0">
              <w:rPr>
                <w:rFonts w:ascii="Arial" w:eastAsia="Times New Roman" w:hAnsi="Arial" w:cs="Arial"/>
                <w:b/>
                <w:position w:val="4"/>
                <w:sz w:val="20"/>
                <w:szCs w:val="20"/>
                <w:u w:val="thick"/>
                <w:lang w:val="en-US"/>
              </w:rPr>
              <w:t>___________</w:t>
            </w:r>
          </w:p>
        </w:tc>
        <w:tc>
          <w:tcPr>
            <w:tcW w:w="802" w:type="pct"/>
            <w:vAlign w:val="bottom"/>
          </w:tcPr>
          <w:p w14:paraId="1AD130AC" w14:textId="77777777" w:rsidR="00C56E63" w:rsidRPr="009702B0" w:rsidRDefault="00C56E63" w:rsidP="00C56E63">
            <w:pPr>
              <w:keepNext/>
              <w:keepLines/>
              <w:tabs>
                <w:tab w:val="decimal" w:pos="1202"/>
              </w:tabs>
              <w:spacing w:after="0" w:line="140" w:lineRule="exact"/>
              <w:jc w:val="right"/>
              <w:rPr>
                <w:rFonts w:eastAsia="Times New Roman" w:cs="Arial"/>
                <w:b/>
                <w:position w:val="4"/>
                <w:sz w:val="20"/>
                <w:szCs w:val="20"/>
                <w:u w:val="thick"/>
              </w:rPr>
            </w:pPr>
            <w:r w:rsidRPr="009702B0">
              <w:rPr>
                <w:rFonts w:eastAsia="Times New Roman" w:cs="Arial"/>
                <w:b/>
                <w:position w:val="4"/>
                <w:sz w:val="20"/>
                <w:szCs w:val="20"/>
                <w:u w:val="thick"/>
              </w:rPr>
              <w:t>__________</w:t>
            </w:r>
          </w:p>
        </w:tc>
      </w:tr>
      <w:tr w:rsidR="00C56E63" w:rsidRPr="009702B0" w14:paraId="0FB816BE" w14:textId="77777777" w:rsidTr="005444AA">
        <w:trPr>
          <w:trHeight w:val="221"/>
          <w:jc w:val="center"/>
        </w:trPr>
        <w:tc>
          <w:tcPr>
            <w:tcW w:w="1795" w:type="pct"/>
          </w:tcPr>
          <w:p w14:paraId="7E5FE20F" w14:textId="77777777" w:rsidR="00C56E63" w:rsidRPr="009702B0" w:rsidRDefault="00C56E63" w:rsidP="00C56E63">
            <w:pPr>
              <w:tabs>
                <w:tab w:val="right" w:pos="9781"/>
              </w:tabs>
              <w:spacing w:after="0" w:line="240" w:lineRule="auto"/>
              <w:jc w:val="both"/>
              <w:rPr>
                <w:rFonts w:eastAsia="Times New Roman" w:cs="Arial"/>
                <w:sz w:val="20"/>
                <w:szCs w:val="20"/>
              </w:rPr>
            </w:pPr>
          </w:p>
        </w:tc>
        <w:tc>
          <w:tcPr>
            <w:tcW w:w="801" w:type="pct"/>
            <w:vAlign w:val="bottom"/>
          </w:tcPr>
          <w:p w14:paraId="3F705BD3" w14:textId="77777777" w:rsidR="00C56E63" w:rsidRPr="009702B0" w:rsidRDefault="00C56E63" w:rsidP="00C56E63">
            <w:pPr>
              <w:tabs>
                <w:tab w:val="right" w:pos="9781"/>
              </w:tabs>
              <w:spacing w:after="0" w:line="240" w:lineRule="auto"/>
              <w:jc w:val="right"/>
              <w:rPr>
                <w:rFonts w:eastAsia="Times New Roman" w:cs="Arial"/>
                <w:b/>
                <w:sz w:val="20"/>
                <w:szCs w:val="20"/>
              </w:rPr>
            </w:pPr>
            <w:r w:rsidRPr="009702B0">
              <w:rPr>
                <w:rFonts w:ascii="Arial" w:eastAsia="Times New Roman" w:hAnsi="Arial" w:cs="Arial"/>
                <w:b/>
                <w:bCs/>
                <w:sz w:val="20"/>
                <w:szCs w:val="20"/>
                <w:lang w:val="pl-PL"/>
              </w:rPr>
              <w:t>%</w:t>
            </w:r>
          </w:p>
        </w:tc>
        <w:tc>
          <w:tcPr>
            <w:tcW w:w="801" w:type="pct"/>
            <w:vAlign w:val="bottom"/>
          </w:tcPr>
          <w:p w14:paraId="547F8997" w14:textId="77777777" w:rsidR="00C56E63" w:rsidRPr="009702B0" w:rsidRDefault="00C56E63" w:rsidP="00C56E63">
            <w:pPr>
              <w:tabs>
                <w:tab w:val="right" w:pos="9781"/>
              </w:tabs>
              <w:spacing w:after="0" w:line="240" w:lineRule="auto"/>
              <w:jc w:val="right"/>
              <w:rPr>
                <w:rFonts w:eastAsia="Times New Roman" w:cs="Arial"/>
                <w:b/>
                <w:sz w:val="20"/>
                <w:szCs w:val="20"/>
              </w:rPr>
            </w:pPr>
            <w:r w:rsidRPr="009702B0">
              <w:rPr>
                <w:rFonts w:eastAsia="Times New Roman" w:cs="Arial"/>
                <w:b/>
                <w:sz w:val="20"/>
                <w:szCs w:val="20"/>
              </w:rPr>
              <w:t>%</w:t>
            </w:r>
          </w:p>
        </w:tc>
        <w:tc>
          <w:tcPr>
            <w:tcW w:w="801" w:type="pct"/>
            <w:vAlign w:val="bottom"/>
          </w:tcPr>
          <w:p w14:paraId="3BCE3AD3" w14:textId="30CBC8A7" w:rsidR="00C56E63" w:rsidRPr="009702B0" w:rsidRDefault="00C56E63" w:rsidP="00C56E63">
            <w:pPr>
              <w:tabs>
                <w:tab w:val="right" w:pos="9781"/>
              </w:tabs>
              <w:spacing w:after="0" w:line="240" w:lineRule="auto"/>
              <w:jc w:val="right"/>
              <w:rPr>
                <w:rFonts w:eastAsia="Times New Roman" w:cs="Arial"/>
                <w:b/>
                <w:sz w:val="20"/>
                <w:szCs w:val="20"/>
              </w:rPr>
            </w:pPr>
            <w:r w:rsidRPr="009702B0">
              <w:rPr>
                <w:rFonts w:ascii="Arial" w:eastAsia="Times New Roman" w:hAnsi="Arial" w:cs="Arial"/>
                <w:b/>
                <w:bCs/>
                <w:sz w:val="20"/>
                <w:szCs w:val="20"/>
                <w:lang w:val="pl-PL"/>
              </w:rPr>
              <w:t>%</w:t>
            </w:r>
          </w:p>
        </w:tc>
        <w:tc>
          <w:tcPr>
            <w:tcW w:w="802" w:type="pct"/>
            <w:vAlign w:val="bottom"/>
          </w:tcPr>
          <w:p w14:paraId="71B389BD" w14:textId="77777777" w:rsidR="00C56E63" w:rsidRPr="009702B0" w:rsidRDefault="00C56E63" w:rsidP="00C56E63">
            <w:pPr>
              <w:tabs>
                <w:tab w:val="right" w:pos="9781"/>
              </w:tabs>
              <w:spacing w:after="0" w:line="240" w:lineRule="auto"/>
              <w:jc w:val="right"/>
              <w:rPr>
                <w:rFonts w:eastAsia="Times New Roman" w:cs="Arial"/>
                <w:b/>
                <w:sz w:val="20"/>
                <w:szCs w:val="20"/>
              </w:rPr>
            </w:pPr>
            <w:r w:rsidRPr="009702B0">
              <w:rPr>
                <w:rFonts w:eastAsia="Times New Roman" w:cs="Arial"/>
                <w:b/>
                <w:sz w:val="20"/>
                <w:szCs w:val="20"/>
              </w:rPr>
              <w:t>%</w:t>
            </w:r>
          </w:p>
        </w:tc>
      </w:tr>
      <w:tr w:rsidR="009B2EE8" w:rsidRPr="009702B0" w14:paraId="13CAAA84" w14:textId="77777777" w:rsidTr="006B318F">
        <w:trPr>
          <w:trHeight w:val="307"/>
          <w:jc w:val="center"/>
        </w:trPr>
        <w:tc>
          <w:tcPr>
            <w:tcW w:w="1795" w:type="pct"/>
            <w:vAlign w:val="bottom"/>
          </w:tcPr>
          <w:p w14:paraId="244D2CE6" w14:textId="77777777" w:rsidR="009B2EE8" w:rsidRPr="009702B0" w:rsidRDefault="009B2EE8" w:rsidP="009B2EE8">
            <w:pPr>
              <w:tabs>
                <w:tab w:val="right" w:pos="1202"/>
                <w:tab w:val="right" w:pos="9781"/>
              </w:tabs>
              <w:spacing w:after="0" w:line="240" w:lineRule="auto"/>
              <w:outlineLvl w:val="0"/>
              <w:rPr>
                <w:rFonts w:eastAsia="Times New Roman" w:cs="Arial"/>
                <w:b/>
                <w:bCs/>
                <w:sz w:val="20"/>
                <w:szCs w:val="20"/>
              </w:rPr>
            </w:pPr>
            <w:r w:rsidRPr="009702B0">
              <w:rPr>
                <w:rFonts w:eastAsia="Times New Roman" w:cs="Arial"/>
                <w:b/>
                <w:bCs/>
                <w:sz w:val="20"/>
                <w:szCs w:val="20"/>
              </w:rPr>
              <w:t>Capital ratio (Tier 1)</w:t>
            </w:r>
          </w:p>
        </w:tc>
        <w:tc>
          <w:tcPr>
            <w:tcW w:w="801" w:type="pct"/>
            <w:tcBorders>
              <w:top w:val="nil"/>
              <w:left w:val="nil"/>
              <w:bottom w:val="nil"/>
              <w:right w:val="nil"/>
            </w:tcBorders>
            <w:shd w:val="clear" w:color="auto" w:fill="auto"/>
            <w:vAlign w:val="bottom"/>
          </w:tcPr>
          <w:p w14:paraId="3FC03E09" w14:textId="679A2307" w:rsidR="009B2EE8" w:rsidRPr="005444AA" w:rsidRDefault="009B2EE8" w:rsidP="009B2EE8">
            <w:pPr>
              <w:pStyle w:val="Tot"/>
              <w:jc w:val="right"/>
              <w:rPr>
                <w:rFonts w:ascii="Calibri" w:hAnsi="Calibri"/>
                <w:b/>
                <w:bCs/>
                <w:color w:val="000000"/>
                <w:sz w:val="20"/>
              </w:rPr>
            </w:pPr>
            <w:r w:rsidRPr="00FE65B6">
              <w:rPr>
                <w:rFonts w:ascii="Calibri" w:hAnsi="Calibri"/>
                <w:b/>
                <w:bCs/>
                <w:color w:val="000000"/>
                <w:sz w:val="20"/>
              </w:rPr>
              <w:t>60,22</w:t>
            </w:r>
          </w:p>
        </w:tc>
        <w:tc>
          <w:tcPr>
            <w:tcW w:w="801" w:type="pct"/>
            <w:tcBorders>
              <w:top w:val="nil"/>
              <w:left w:val="nil"/>
              <w:bottom w:val="nil"/>
              <w:right w:val="nil"/>
            </w:tcBorders>
            <w:shd w:val="clear" w:color="auto" w:fill="auto"/>
            <w:vAlign w:val="bottom"/>
          </w:tcPr>
          <w:p w14:paraId="4D18A7E0" w14:textId="77777777" w:rsidR="009B2EE8" w:rsidRPr="007255D5" w:rsidRDefault="009B2EE8" w:rsidP="009B2EE8">
            <w:pPr>
              <w:pStyle w:val="Tot"/>
              <w:jc w:val="right"/>
              <w:rPr>
                <w:rFonts w:asciiTheme="minorHAnsi" w:hAnsiTheme="minorHAnsi" w:cs="Arial"/>
                <w:b/>
                <w:bCs/>
                <w:sz w:val="20"/>
                <w:lang w:val="hr-HR"/>
              </w:rPr>
            </w:pPr>
            <w:r w:rsidRPr="002A3E38">
              <w:rPr>
                <w:rFonts w:ascii="Calibri" w:hAnsi="Calibri"/>
                <w:b/>
                <w:bCs/>
                <w:color w:val="000000"/>
                <w:sz w:val="20"/>
              </w:rPr>
              <w:t>58</w:t>
            </w:r>
            <w:r>
              <w:rPr>
                <w:rFonts w:ascii="Calibri" w:hAnsi="Calibri"/>
                <w:b/>
                <w:bCs/>
                <w:color w:val="000000"/>
                <w:sz w:val="20"/>
              </w:rPr>
              <w:t>.</w:t>
            </w:r>
            <w:r w:rsidRPr="002A3E38">
              <w:rPr>
                <w:rFonts w:ascii="Calibri" w:hAnsi="Calibri"/>
                <w:b/>
                <w:bCs/>
                <w:color w:val="000000"/>
                <w:sz w:val="20"/>
              </w:rPr>
              <w:t>48</w:t>
            </w:r>
          </w:p>
        </w:tc>
        <w:tc>
          <w:tcPr>
            <w:tcW w:w="801" w:type="pct"/>
            <w:tcBorders>
              <w:top w:val="nil"/>
              <w:left w:val="nil"/>
              <w:bottom w:val="nil"/>
              <w:right w:val="nil"/>
            </w:tcBorders>
            <w:shd w:val="clear" w:color="auto" w:fill="auto"/>
            <w:vAlign w:val="bottom"/>
          </w:tcPr>
          <w:p w14:paraId="45ED1697" w14:textId="1F3EA241" w:rsidR="009B2EE8" w:rsidRPr="005444AA" w:rsidRDefault="009B2EE8" w:rsidP="009B2EE8">
            <w:pPr>
              <w:pStyle w:val="Tot"/>
              <w:jc w:val="right"/>
              <w:rPr>
                <w:rFonts w:ascii="Calibri" w:hAnsi="Calibri"/>
                <w:b/>
                <w:bCs/>
                <w:color w:val="000000"/>
                <w:sz w:val="20"/>
              </w:rPr>
            </w:pPr>
            <w:r>
              <w:rPr>
                <w:rFonts w:ascii="Calibri" w:hAnsi="Calibri"/>
                <w:b/>
                <w:bCs/>
                <w:color w:val="000000"/>
                <w:sz w:val="20"/>
              </w:rPr>
              <w:t>60,15</w:t>
            </w:r>
          </w:p>
        </w:tc>
        <w:tc>
          <w:tcPr>
            <w:tcW w:w="802" w:type="pct"/>
            <w:tcBorders>
              <w:top w:val="nil"/>
              <w:left w:val="nil"/>
              <w:bottom w:val="nil"/>
              <w:right w:val="nil"/>
            </w:tcBorders>
            <w:shd w:val="clear" w:color="auto" w:fill="auto"/>
            <w:vAlign w:val="bottom"/>
          </w:tcPr>
          <w:p w14:paraId="33886D02" w14:textId="77777777" w:rsidR="009B2EE8" w:rsidRPr="007255D5" w:rsidRDefault="009B2EE8" w:rsidP="009B2EE8">
            <w:pPr>
              <w:pStyle w:val="Tot"/>
              <w:jc w:val="right"/>
              <w:rPr>
                <w:rFonts w:asciiTheme="minorHAnsi" w:hAnsiTheme="minorHAnsi" w:cs="Arial"/>
                <w:b/>
                <w:bCs/>
                <w:sz w:val="20"/>
                <w:lang w:val="hr-HR"/>
              </w:rPr>
            </w:pPr>
            <w:r w:rsidRPr="002A3E38">
              <w:rPr>
                <w:rFonts w:ascii="Calibri" w:hAnsi="Calibri"/>
                <w:b/>
                <w:bCs/>
                <w:color w:val="000000"/>
                <w:sz w:val="20"/>
              </w:rPr>
              <w:t>58</w:t>
            </w:r>
            <w:r>
              <w:rPr>
                <w:rFonts w:ascii="Calibri" w:hAnsi="Calibri"/>
                <w:b/>
                <w:bCs/>
                <w:color w:val="000000"/>
                <w:sz w:val="20"/>
              </w:rPr>
              <w:t>.</w:t>
            </w:r>
            <w:r w:rsidRPr="002A3E38">
              <w:rPr>
                <w:rFonts w:ascii="Calibri" w:hAnsi="Calibri"/>
                <w:b/>
                <w:bCs/>
                <w:color w:val="000000"/>
                <w:sz w:val="20"/>
              </w:rPr>
              <w:t>41</w:t>
            </w:r>
          </w:p>
        </w:tc>
      </w:tr>
      <w:tr w:rsidR="009B2EE8" w:rsidRPr="009702B0" w14:paraId="4ED3A201" w14:textId="77777777" w:rsidTr="006B318F">
        <w:trPr>
          <w:trHeight w:val="307"/>
          <w:jc w:val="center"/>
        </w:trPr>
        <w:tc>
          <w:tcPr>
            <w:tcW w:w="1795" w:type="pct"/>
            <w:vAlign w:val="bottom"/>
          </w:tcPr>
          <w:p w14:paraId="60FC33B0" w14:textId="77777777" w:rsidR="009B2EE8" w:rsidRPr="009702B0" w:rsidRDefault="009B2EE8" w:rsidP="009B2EE8">
            <w:pPr>
              <w:tabs>
                <w:tab w:val="right" w:pos="1202"/>
                <w:tab w:val="right" w:pos="9781"/>
              </w:tabs>
              <w:spacing w:after="0" w:line="240" w:lineRule="auto"/>
              <w:outlineLvl w:val="0"/>
              <w:rPr>
                <w:rFonts w:eastAsia="Times New Roman" w:cs="Arial"/>
                <w:b/>
                <w:bCs/>
                <w:sz w:val="20"/>
                <w:szCs w:val="20"/>
              </w:rPr>
            </w:pPr>
            <w:r w:rsidRPr="009702B0">
              <w:rPr>
                <w:rFonts w:eastAsia="Times New Roman" w:cs="Arial"/>
                <w:b/>
                <w:bCs/>
                <w:sz w:val="20"/>
                <w:szCs w:val="20"/>
              </w:rPr>
              <w:t xml:space="preserve">Capital adequacy ratio </w:t>
            </w:r>
          </w:p>
        </w:tc>
        <w:tc>
          <w:tcPr>
            <w:tcW w:w="801" w:type="pct"/>
            <w:tcBorders>
              <w:top w:val="nil"/>
              <w:left w:val="nil"/>
              <w:bottom w:val="nil"/>
              <w:right w:val="nil"/>
            </w:tcBorders>
            <w:shd w:val="clear" w:color="auto" w:fill="auto"/>
            <w:vAlign w:val="bottom"/>
          </w:tcPr>
          <w:p w14:paraId="4657C772" w14:textId="40E361DE" w:rsidR="009B2EE8" w:rsidRPr="005444AA" w:rsidRDefault="009B2EE8" w:rsidP="009B2EE8">
            <w:pPr>
              <w:pStyle w:val="Tot"/>
              <w:jc w:val="right"/>
              <w:rPr>
                <w:rFonts w:ascii="Calibri" w:hAnsi="Calibri"/>
                <w:b/>
                <w:bCs/>
                <w:color w:val="000000"/>
                <w:sz w:val="20"/>
              </w:rPr>
            </w:pPr>
            <w:r w:rsidRPr="00FE65B6">
              <w:rPr>
                <w:rFonts w:ascii="Calibri" w:hAnsi="Calibri"/>
                <w:b/>
                <w:bCs/>
                <w:color w:val="000000"/>
                <w:sz w:val="20"/>
              </w:rPr>
              <w:t>62,21</w:t>
            </w:r>
          </w:p>
        </w:tc>
        <w:tc>
          <w:tcPr>
            <w:tcW w:w="801" w:type="pct"/>
            <w:tcBorders>
              <w:top w:val="nil"/>
              <w:left w:val="nil"/>
              <w:bottom w:val="nil"/>
              <w:right w:val="nil"/>
            </w:tcBorders>
            <w:shd w:val="clear" w:color="auto" w:fill="auto"/>
            <w:vAlign w:val="bottom"/>
          </w:tcPr>
          <w:p w14:paraId="308B3875" w14:textId="77777777" w:rsidR="009B2EE8" w:rsidRPr="007255D5" w:rsidRDefault="009B2EE8" w:rsidP="009B2EE8">
            <w:pPr>
              <w:pStyle w:val="Tot"/>
              <w:jc w:val="right"/>
              <w:rPr>
                <w:rFonts w:asciiTheme="minorHAnsi" w:hAnsiTheme="minorHAnsi" w:cs="Arial"/>
                <w:b/>
                <w:bCs/>
                <w:sz w:val="20"/>
                <w:lang w:val="hr-HR"/>
              </w:rPr>
            </w:pPr>
            <w:r w:rsidRPr="002A3E38">
              <w:rPr>
                <w:rFonts w:ascii="Calibri" w:hAnsi="Calibri"/>
                <w:b/>
                <w:bCs/>
                <w:color w:val="000000"/>
                <w:sz w:val="20"/>
              </w:rPr>
              <w:t>60</w:t>
            </w:r>
            <w:r>
              <w:rPr>
                <w:rFonts w:ascii="Calibri" w:hAnsi="Calibri"/>
                <w:b/>
                <w:bCs/>
                <w:color w:val="000000"/>
                <w:sz w:val="20"/>
              </w:rPr>
              <w:t>.</w:t>
            </w:r>
            <w:r w:rsidRPr="002A3E38">
              <w:rPr>
                <w:rFonts w:ascii="Calibri" w:hAnsi="Calibri"/>
                <w:b/>
                <w:bCs/>
                <w:color w:val="000000"/>
                <w:sz w:val="20"/>
              </w:rPr>
              <w:t>44</w:t>
            </w:r>
          </w:p>
        </w:tc>
        <w:tc>
          <w:tcPr>
            <w:tcW w:w="801" w:type="pct"/>
            <w:tcBorders>
              <w:top w:val="nil"/>
              <w:left w:val="nil"/>
              <w:bottom w:val="nil"/>
              <w:right w:val="nil"/>
            </w:tcBorders>
            <w:shd w:val="clear" w:color="auto" w:fill="auto"/>
            <w:vAlign w:val="bottom"/>
          </w:tcPr>
          <w:p w14:paraId="6801A463" w14:textId="6E2E5BB6" w:rsidR="009B2EE8" w:rsidRPr="005444AA" w:rsidRDefault="009B2EE8" w:rsidP="009B2EE8">
            <w:pPr>
              <w:pStyle w:val="Tot"/>
              <w:jc w:val="right"/>
              <w:rPr>
                <w:rFonts w:ascii="Calibri" w:hAnsi="Calibri"/>
                <w:b/>
                <w:bCs/>
                <w:color w:val="000000"/>
                <w:sz w:val="20"/>
              </w:rPr>
            </w:pPr>
            <w:r>
              <w:rPr>
                <w:rFonts w:ascii="Calibri" w:hAnsi="Calibri"/>
                <w:b/>
                <w:bCs/>
                <w:color w:val="000000"/>
                <w:sz w:val="20"/>
              </w:rPr>
              <w:t>62,13</w:t>
            </w:r>
          </w:p>
        </w:tc>
        <w:tc>
          <w:tcPr>
            <w:tcW w:w="802" w:type="pct"/>
            <w:tcBorders>
              <w:top w:val="nil"/>
              <w:left w:val="nil"/>
              <w:bottom w:val="nil"/>
              <w:right w:val="nil"/>
            </w:tcBorders>
            <w:shd w:val="clear" w:color="auto" w:fill="auto"/>
            <w:vAlign w:val="bottom"/>
          </w:tcPr>
          <w:p w14:paraId="220C5989" w14:textId="77777777" w:rsidR="009B2EE8" w:rsidRPr="007255D5" w:rsidRDefault="009B2EE8" w:rsidP="009B2EE8">
            <w:pPr>
              <w:pStyle w:val="Tot"/>
              <w:jc w:val="right"/>
              <w:rPr>
                <w:rFonts w:asciiTheme="minorHAnsi" w:hAnsiTheme="minorHAnsi" w:cs="Arial"/>
                <w:b/>
                <w:bCs/>
                <w:sz w:val="20"/>
                <w:lang w:val="hr-HR"/>
              </w:rPr>
            </w:pPr>
            <w:r w:rsidRPr="002A3E38">
              <w:rPr>
                <w:rFonts w:ascii="Calibri" w:hAnsi="Calibri"/>
                <w:b/>
                <w:bCs/>
                <w:color w:val="000000"/>
                <w:sz w:val="20"/>
              </w:rPr>
              <w:t>60</w:t>
            </w:r>
            <w:r>
              <w:rPr>
                <w:rFonts w:ascii="Calibri" w:hAnsi="Calibri"/>
                <w:b/>
                <w:bCs/>
                <w:color w:val="000000"/>
                <w:sz w:val="20"/>
              </w:rPr>
              <w:t>.</w:t>
            </w:r>
            <w:r w:rsidRPr="002A3E38">
              <w:rPr>
                <w:rFonts w:ascii="Calibri" w:hAnsi="Calibri"/>
                <w:b/>
                <w:bCs/>
                <w:color w:val="000000"/>
                <w:sz w:val="20"/>
              </w:rPr>
              <w:t>36</w:t>
            </w:r>
          </w:p>
        </w:tc>
      </w:tr>
      <w:tr w:rsidR="00C56E63" w:rsidRPr="009702B0" w14:paraId="5AA03301" w14:textId="77777777" w:rsidTr="005444AA">
        <w:trPr>
          <w:trHeight w:val="123"/>
          <w:jc w:val="center"/>
        </w:trPr>
        <w:tc>
          <w:tcPr>
            <w:tcW w:w="1795" w:type="pct"/>
            <w:vAlign w:val="bottom"/>
          </w:tcPr>
          <w:p w14:paraId="27FAD3E9" w14:textId="77777777" w:rsidR="00C56E63" w:rsidRPr="009702B0" w:rsidRDefault="00C56E63" w:rsidP="00C56E63">
            <w:pPr>
              <w:tabs>
                <w:tab w:val="right" w:pos="9781"/>
              </w:tabs>
              <w:spacing w:after="0" w:line="140" w:lineRule="exact"/>
              <w:jc w:val="both"/>
              <w:rPr>
                <w:rFonts w:eastAsia="Times New Roman" w:cs="Arial"/>
                <w:sz w:val="20"/>
                <w:szCs w:val="20"/>
              </w:rPr>
            </w:pPr>
          </w:p>
        </w:tc>
        <w:tc>
          <w:tcPr>
            <w:tcW w:w="801" w:type="pct"/>
            <w:vAlign w:val="bottom"/>
          </w:tcPr>
          <w:p w14:paraId="5CA0596D" w14:textId="77777777" w:rsidR="00C56E63" w:rsidRPr="009702B0" w:rsidRDefault="00C56E63" w:rsidP="00C56E63">
            <w:pPr>
              <w:keepNext/>
              <w:keepLines/>
              <w:tabs>
                <w:tab w:val="decimal" w:pos="1202"/>
              </w:tabs>
              <w:spacing w:after="0" w:line="140" w:lineRule="exact"/>
              <w:jc w:val="right"/>
              <w:rPr>
                <w:rFonts w:eastAsia="Times New Roman" w:cs="Arial"/>
                <w:b/>
                <w:position w:val="4"/>
                <w:sz w:val="20"/>
                <w:szCs w:val="20"/>
                <w:u w:val="thick"/>
              </w:rPr>
            </w:pPr>
            <w:r w:rsidRPr="009702B0">
              <w:rPr>
                <w:rFonts w:ascii="Arial" w:eastAsia="Times New Roman" w:hAnsi="Arial" w:cs="Arial"/>
                <w:b/>
                <w:position w:val="4"/>
                <w:sz w:val="20"/>
                <w:szCs w:val="20"/>
                <w:u w:val="thick"/>
                <w:lang w:val="en-US"/>
              </w:rPr>
              <w:t>___________</w:t>
            </w:r>
          </w:p>
        </w:tc>
        <w:tc>
          <w:tcPr>
            <w:tcW w:w="801" w:type="pct"/>
            <w:vAlign w:val="bottom"/>
          </w:tcPr>
          <w:p w14:paraId="0E9384E4" w14:textId="77777777" w:rsidR="00C56E63" w:rsidRPr="009702B0" w:rsidRDefault="00C56E63" w:rsidP="00C56E63">
            <w:pPr>
              <w:keepNext/>
              <w:keepLines/>
              <w:tabs>
                <w:tab w:val="decimal" w:pos="1202"/>
              </w:tabs>
              <w:spacing w:after="0" w:line="140" w:lineRule="exact"/>
              <w:jc w:val="right"/>
              <w:rPr>
                <w:rFonts w:eastAsia="Times New Roman" w:cs="Arial"/>
                <w:b/>
                <w:position w:val="4"/>
                <w:sz w:val="20"/>
                <w:szCs w:val="20"/>
                <w:u w:val="thick"/>
              </w:rPr>
            </w:pPr>
            <w:r w:rsidRPr="009702B0">
              <w:rPr>
                <w:rFonts w:eastAsia="Times New Roman" w:cs="Arial"/>
                <w:b/>
                <w:position w:val="4"/>
                <w:sz w:val="20"/>
                <w:szCs w:val="20"/>
                <w:u w:val="thick"/>
              </w:rPr>
              <w:t>___________</w:t>
            </w:r>
          </w:p>
        </w:tc>
        <w:tc>
          <w:tcPr>
            <w:tcW w:w="801" w:type="pct"/>
            <w:vAlign w:val="bottom"/>
          </w:tcPr>
          <w:p w14:paraId="4C5DCD95" w14:textId="50C9ED31" w:rsidR="00C56E63" w:rsidRPr="009702B0" w:rsidRDefault="00C56E63" w:rsidP="00C56E63">
            <w:pPr>
              <w:keepNext/>
              <w:keepLines/>
              <w:tabs>
                <w:tab w:val="decimal" w:pos="1202"/>
              </w:tabs>
              <w:spacing w:after="0" w:line="140" w:lineRule="exact"/>
              <w:jc w:val="right"/>
              <w:rPr>
                <w:rFonts w:eastAsia="Times New Roman" w:cs="Arial"/>
                <w:b/>
                <w:position w:val="4"/>
                <w:sz w:val="20"/>
                <w:szCs w:val="20"/>
                <w:u w:val="thick"/>
              </w:rPr>
            </w:pPr>
            <w:r w:rsidRPr="009702B0">
              <w:rPr>
                <w:rFonts w:ascii="Arial" w:eastAsia="Times New Roman" w:hAnsi="Arial" w:cs="Arial"/>
                <w:b/>
                <w:position w:val="4"/>
                <w:sz w:val="20"/>
                <w:szCs w:val="20"/>
                <w:u w:val="thick"/>
                <w:lang w:val="en-US"/>
              </w:rPr>
              <w:t>___________</w:t>
            </w:r>
          </w:p>
        </w:tc>
        <w:tc>
          <w:tcPr>
            <w:tcW w:w="802" w:type="pct"/>
            <w:vAlign w:val="bottom"/>
          </w:tcPr>
          <w:p w14:paraId="45A4B428" w14:textId="77777777" w:rsidR="00C56E63" w:rsidRPr="009702B0" w:rsidRDefault="00C56E63" w:rsidP="00C56E63">
            <w:pPr>
              <w:keepNext/>
              <w:keepLines/>
              <w:tabs>
                <w:tab w:val="decimal" w:pos="1202"/>
              </w:tabs>
              <w:spacing w:after="0" w:line="140" w:lineRule="exact"/>
              <w:jc w:val="right"/>
              <w:rPr>
                <w:rFonts w:eastAsia="Times New Roman" w:cs="Arial"/>
                <w:b/>
                <w:position w:val="4"/>
                <w:sz w:val="20"/>
                <w:szCs w:val="20"/>
                <w:u w:val="thick"/>
              </w:rPr>
            </w:pPr>
            <w:r w:rsidRPr="009702B0">
              <w:rPr>
                <w:rFonts w:eastAsia="Times New Roman" w:cs="Arial"/>
                <w:b/>
                <w:position w:val="4"/>
                <w:sz w:val="20"/>
                <w:szCs w:val="20"/>
                <w:u w:val="thick"/>
              </w:rPr>
              <w:t>__________</w:t>
            </w:r>
          </w:p>
        </w:tc>
      </w:tr>
      <w:tr w:rsidR="00C56E63" w:rsidRPr="009702B0" w14:paraId="2EBF4A4B" w14:textId="77777777" w:rsidTr="005444AA">
        <w:trPr>
          <w:trHeight w:val="221"/>
          <w:jc w:val="center"/>
        </w:trPr>
        <w:tc>
          <w:tcPr>
            <w:tcW w:w="1795" w:type="pct"/>
            <w:vAlign w:val="bottom"/>
          </w:tcPr>
          <w:p w14:paraId="4ED18A59" w14:textId="77777777" w:rsidR="00C56E63" w:rsidRPr="009702B0" w:rsidRDefault="00C56E63" w:rsidP="00C56E63">
            <w:pPr>
              <w:keepLines/>
              <w:tabs>
                <w:tab w:val="decimal" w:pos="1202"/>
                <w:tab w:val="right" w:pos="9781"/>
              </w:tabs>
              <w:spacing w:after="0" w:line="240" w:lineRule="auto"/>
              <w:rPr>
                <w:rFonts w:eastAsia="Times New Roman" w:cs="Arial"/>
                <w:bCs/>
                <w:position w:val="4"/>
                <w:sz w:val="20"/>
                <w:szCs w:val="20"/>
                <w:u w:val="thick"/>
              </w:rPr>
            </w:pPr>
          </w:p>
        </w:tc>
        <w:tc>
          <w:tcPr>
            <w:tcW w:w="801" w:type="pct"/>
            <w:vAlign w:val="bottom"/>
          </w:tcPr>
          <w:p w14:paraId="57B56221" w14:textId="77777777" w:rsidR="00C56E63" w:rsidRPr="009702B0" w:rsidRDefault="00C56E63" w:rsidP="00C56E63">
            <w:pPr>
              <w:keepNext/>
              <w:keepLines/>
              <w:tabs>
                <w:tab w:val="decimal" w:pos="1202"/>
              </w:tabs>
              <w:spacing w:after="0" w:line="240" w:lineRule="auto"/>
              <w:jc w:val="right"/>
              <w:rPr>
                <w:rFonts w:eastAsia="Times New Roman" w:cs="Arial"/>
                <w:b/>
                <w:position w:val="4"/>
                <w:sz w:val="20"/>
                <w:szCs w:val="20"/>
                <w:u w:val="thick"/>
              </w:rPr>
            </w:pPr>
          </w:p>
        </w:tc>
        <w:tc>
          <w:tcPr>
            <w:tcW w:w="801" w:type="pct"/>
            <w:vAlign w:val="bottom"/>
          </w:tcPr>
          <w:p w14:paraId="6482781C" w14:textId="77777777" w:rsidR="00C56E63" w:rsidRPr="009702B0" w:rsidRDefault="00C56E63" w:rsidP="00C56E63">
            <w:pPr>
              <w:keepNext/>
              <w:keepLines/>
              <w:tabs>
                <w:tab w:val="decimal" w:pos="1202"/>
              </w:tabs>
              <w:spacing w:after="0" w:line="240" w:lineRule="auto"/>
              <w:jc w:val="right"/>
              <w:rPr>
                <w:rFonts w:eastAsia="Times New Roman" w:cs="Arial"/>
                <w:b/>
                <w:position w:val="4"/>
                <w:sz w:val="20"/>
                <w:szCs w:val="20"/>
                <w:u w:val="thick"/>
              </w:rPr>
            </w:pPr>
          </w:p>
        </w:tc>
        <w:tc>
          <w:tcPr>
            <w:tcW w:w="801" w:type="pct"/>
            <w:vAlign w:val="bottom"/>
          </w:tcPr>
          <w:p w14:paraId="7C46A821" w14:textId="77777777" w:rsidR="00C56E63" w:rsidRPr="009702B0" w:rsidRDefault="00C56E63" w:rsidP="00C56E63">
            <w:pPr>
              <w:keepNext/>
              <w:keepLines/>
              <w:tabs>
                <w:tab w:val="decimal" w:pos="1202"/>
              </w:tabs>
              <w:spacing w:after="0" w:line="240" w:lineRule="auto"/>
              <w:jc w:val="right"/>
              <w:rPr>
                <w:rFonts w:eastAsia="Times New Roman" w:cs="Arial"/>
                <w:b/>
                <w:position w:val="4"/>
                <w:sz w:val="20"/>
                <w:szCs w:val="20"/>
                <w:u w:val="thick"/>
              </w:rPr>
            </w:pPr>
          </w:p>
        </w:tc>
        <w:tc>
          <w:tcPr>
            <w:tcW w:w="802" w:type="pct"/>
            <w:vAlign w:val="bottom"/>
          </w:tcPr>
          <w:p w14:paraId="3DACF1A6" w14:textId="77777777" w:rsidR="00C56E63" w:rsidRPr="009702B0" w:rsidRDefault="00C56E63" w:rsidP="00C56E63">
            <w:pPr>
              <w:keepNext/>
              <w:keepLines/>
              <w:tabs>
                <w:tab w:val="decimal" w:pos="1202"/>
              </w:tabs>
              <w:spacing w:after="0" w:line="240" w:lineRule="auto"/>
              <w:jc w:val="right"/>
              <w:rPr>
                <w:rFonts w:eastAsia="Times New Roman" w:cs="Arial"/>
                <w:b/>
                <w:position w:val="4"/>
                <w:sz w:val="20"/>
                <w:szCs w:val="20"/>
                <w:u w:val="thick"/>
              </w:rPr>
            </w:pPr>
          </w:p>
        </w:tc>
      </w:tr>
      <w:tr w:rsidR="00C56E63" w:rsidRPr="009702B0" w14:paraId="4D3BE18C" w14:textId="77777777" w:rsidTr="005444AA">
        <w:trPr>
          <w:trHeight w:val="221"/>
          <w:jc w:val="center"/>
        </w:trPr>
        <w:tc>
          <w:tcPr>
            <w:tcW w:w="1795" w:type="pct"/>
            <w:vAlign w:val="bottom"/>
          </w:tcPr>
          <w:p w14:paraId="7B91E2AE" w14:textId="77777777" w:rsidR="00C56E63" w:rsidRPr="009702B0" w:rsidRDefault="00C56E63" w:rsidP="00C56E63">
            <w:pPr>
              <w:tabs>
                <w:tab w:val="right" w:pos="9781"/>
              </w:tabs>
              <w:spacing w:after="0" w:line="240" w:lineRule="auto"/>
              <w:rPr>
                <w:rFonts w:eastAsia="Times New Roman" w:cs="Arial"/>
                <w:sz w:val="20"/>
                <w:szCs w:val="20"/>
              </w:rPr>
            </w:pPr>
          </w:p>
        </w:tc>
        <w:tc>
          <w:tcPr>
            <w:tcW w:w="801" w:type="pct"/>
            <w:vAlign w:val="bottom"/>
          </w:tcPr>
          <w:p w14:paraId="26B21956" w14:textId="77777777" w:rsidR="00C56E63" w:rsidRPr="009702B0" w:rsidRDefault="00C56E63" w:rsidP="00C56E63">
            <w:pPr>
              <w:tabs>
                <w:tab w:val="right" w:pos="1202"/>
              </w:tabs>
              <w:spacing w:after="0" w:line="240" w:lineRule="auto"/>
              <w:jc w:val="right"/>
              <w:outlineLvl w:val="0"/>
              <w:rPr>
                <w:rFonts w:eastAsia="Times New Roman" w:cs="Arial"/>
                <w:b/>
                <w:sz w:val="20"/>
                <w:szCs w:val="20"/>
              </w:rPr>
            </w:pPr>
            <w:r w:rsidRPr="009702B0">
              <w:rPr>
                <w:rFonts w:eastAsia="Times New Roman" w:cs="Arial"/>
                <w:b/>
                <w:sz w:val="20"/>
                <w:szCs w:val="20"/>
              </w:rPr>
              <w:t>HRK ‘000</w:t>
            </w:r>
          </w:p>
        </w:tc>
        <w:tc>
          <w:tcPr>
            <w:tcW w:w="801" w:type="pct"/>
            <w:vAlign w:val="bottom"/>
          </w:tcPr>
          <w:p w14:paraId="1982AFEB" w14:textId="77777777" w:rsidR="00C56E63" w:rsidRPr="009702B0" w:rsidRDefault="00C56E63" w:rsidP="00C56E63">
            <w:pPr>
              <w:tabs>
                <w:tab w:val="right" w:pos="1202"/>
              </w:tabs>
              <w:spacing w:after="0" w:line="240" w:lineRule="auto"/>
              <w:jc w:val="right"/>
              <w:outlineLvl w:val="0"/>
              <w:rPr>
                <w:rFonts w:eastAsia="Times New Roman" w:cs="Arial"/>
                <w:b/>
                <w:sz w:val="20"/>
                <w:szCs w:val="20"/>
              </w:rPr>
            </w:pPr>
            <w:r w:rsidRPr="009702B0">
              <w:rPr>
                <w:rFonts w:eastAsia="Times New Roman" w:cs="Arial"/>
                <w:b/>
                <w:sz w:val="20"/>
                <w:szCs w:val="20"/>
              </w:rPr>
              <w:t>HRK ‘000</w:t>
            </w:r>
          </w:p>
        </w:tc>
        <w:tc>
          <w:tcPr>
            <w:tcW w:w="801" w:type="pct"/>
            <w:vAlign w:val="bottom"/>
          </w:tcPr>
          <w:p w14:paraId="45A37C46" w14:textId="6D9D4564" w:rsidR="00C56E63" w:rsidRPr="009702B0" w:rsidRDefault="00C56E63" w:rsidP="00C56E63">
            <w:pPr>
              <w:tabs>
                <w:tab w:val="right" w:pos="1202"/>
              </w:tabs>
              <w:spacing w:after="0" w:line="240" w:lineRule="auto"/>
              <w:jc w:val="right"/>
              <w:outlineLvl w:val="0"/>
              <w:rPr>
                <w:rFonts w:eastAsia="Times New Roman" w:cs="Arial"/>
                <w:b/>
                <w:sz w:val="20"/>
                <w:szCs w:val="20"/>
              </w:rPr>
            </w:pPr>
            <w:r w:rsidRPr="009702B0">
              <w:rPr>
                <w:rFonts w:eastAsia="Times New Roman" w:cs="Arial"/>
                <w:b/>
                <w:sz w:val="20"/>
                <w:szCs w:val="20"/>
              </w:rPr>
              <w:t>HRK ‘000</w:t>
            </w:r>
          </w:p>
        </w:tc>
        <w:tc>
          <w:tcPr>
            <w:tcW w:w="802" w:type="pct"/>
            <w:vAlign w:val="bottom"/>
          </w:tcPr>
          <w:p w14:paraId="2BE36239" w14:textId="77777777" w:rsidR="00C56E63" w:rsidRPr="009702B0" w:rsidRDefault="00C56E63" w:rsidP="00C56E63">
            <w:pPr>
              <w:tabs>
                <w:tab w:val="right" w:pos="1202"/>
              </w:tabs>
              <w:spacing w:after="0" w:line="240" w:lineRule="auto"/>
              <w:jc w:val="right"/>
              <w:outlineLvl w:val="0"/>
              <w:rPr>
                <w:rFonts w:eastAsia="Times New Roman" w:cs="Arial"/>
                <w:b/>
                <w:sz w:val="20"/>
                <w:szCs w:val="20"/>
              </w:rPr>
            </w:pPr>
            <w:r w:rsidRPr="009702B0">
              <w:rPr>
                <w:rFonts w:eastAsia="Times New Roman" w:cs="Arial"/>
                <w:b/>
                <w:sz w:val="20"/>
                <w:szCs w:val="20"/>
              </w:rPr>
              <w:t>HRK ‘000</w:t>
            </w:r>
          </w:p>
        </w:tc>
      </w:tr>
      <w:tr w:rsidR="00C56E63" w:rsidRPr="009702B0" w14:paraId="33DE2825" w14:textId="77777777" w:rsidTr="005444AA">
        <w:trPr>
          <w:trHeight w:val="664"/>
          <w:jc w:val="center"/>
        </w:trPr>
        <w:tc>
          <w:tcPr>
            <w:tcW w:w="1795" w:type="pct"/>
            <w:vAlign w:val="bottom"/>
          </w:tcPr>
          <w:p w14:paraId="0D48A495" w14:textId="77777777" w:rsidR="00C56E63" w:rsidRPr="009702B0" w:rsidRDefault="00C56E63" w:rsidP="00C56E63">
            <w:pPr>
              <w:tabs>
                <w:tab w:val="right" w:pos="1202"/>
                <w:tab w:val="right" w:pos="9781"/>
              </w:tabs>
              <w:spacing w:after="0" w:line="240" w:lineRule="auto"/>
              <w:outlineLvl w:val="0"/>
              <w:rPr>
                <w:rFonts w:eastAsia="Times New Roman" w:cs="Arial"/>
                <w:b/>
                <w:bCs/>
                <w:sz w:val="20"/>
                <w:szCs w:val="20"/>
              </w:rPr>
            </w:pPr>
            <w:r w:rsidRPr="009702B0">
              <w:rPr>
                <w:rFonts w:eastAsia="Times New Roman" w:cs="Arial"/>
                <w:b/>
                <w:bCs/>
                <w:sz w:val="20"/>
                <w:szCs w:val="20"/>
              </w:rPr>
              <w:t xml:space="preserve">Own funds needed for ensuring capital adequacy according to regulatory requirements </w:t>
            </w:r>
          </w:p>
        </w:tc>
        <w:tc>
          <w:tcPr>
            <w:tcW w:w="801" w:type="pct"/>
            <w:vAlign w:val="bottom"/>
          </w:tcPr>
          <w:p w14:paraId="36DEB11C" w14:textId="03813BB3" w:rsidR="00C56E63" w:rsidRPr="009702B0" w:rsidRDefault="009B2EE8" w:rsidP="00C56E63">
            <w:pPr>
              <w:tabs>
                <w:tab w:val="right" w:pos="1202"/>
              </w:tabs>
              <w:spacing w:after="0" w:line="240" w:lineRule="auto"/>
              <w:jc w:val="right"/>
              <w:outlineLvl w:val="0"/>
              <w:rPr>
                <w:rFonts w:asciiTheme="minorHAnsi" w:eastAsia="Times New Roman" w:hAnsiTheme="minorHAnsi" w:cs="Arial"/>
                <w:b/>
                <w:bCs/>
                <w:sz w:val="20"/>
                <w:szCs w:val="20"/>
                <w:lang w:val="hr-HR"/>
              </w:rPr>
            </w:pPr>
            <w:r w:rsidRPr="009B2EE8">
              <w:rPr>
                <w:rFonts w:eastAsia="Times New Roman" w:cs="Arial"/>
                <w:b/>
                <w:bCs/>
                <w:sz w:val="20"/>
                <w:szCs w:val="20"/>
              </w:rPr>
              <w:t>1,349,211</w:t>
            </w:r>
          </w:p>
        </w:tc>
        <w:tc>
          <w:tcPr>
            <w:tcW w:w="801" w:type="pct"/>
            <w:vAlign w:val="bottom"/>
          </w:tcPr>
          <w:p w14:paraId="183D55DE" w14:textId="77777777" w:rsidR="00C56E63" w:rsidRPr="009702B0" w:rsidRDefault="00C56E63" w:rsidP="00C56E63">
            <w:pPr>
              <w:tabs>
                <w:tab w:val="right" w:pos="1202"/>
              </w:tabs>
              <w:spacing w:after="0" w:line="240" w:lineRule="auto"/>
              <w:jc w:val="right"/>
              <w:outlineLvl w:val="0"/>
              <w:rPr>
                <w:rFonts w:asciiTheme="minorHAnsi" w:eastAsia="Times New Roman" w:hAnsiTheme="minorHAnsi" w:cs="Arial"/>
                <w:b/>
                <w:bCs/>
                <w:sz w:val="20"/>
                <w:szCs w:val="20"/>
                <w:lang w:val="hr-HR"/>
              </w:rPr>
            </w:pPr>
            <w:r w:rsidRPr="00E45CA6">
              <w:rPr>
                <w:rFonts w:asciiTheme="minorHAnsi" w:hAnsiTheme="minorHAnsi" w:cs="Arial"/>
                <w:b/>
                <w:bCs/>
                <w:sz w:val="20"/>
                <w:lang w:val="hr-HR"/>
              </w:rPr>
              <w:t>1</w:t>
            </w:r>
            <w:r>
              <w:rPr>
                <w:rFonts w:asciiTheme="minorHAnsi" w:hAnsiTheme="minorHAnsi" w:cs="Arial"/>
                <w:b/>
                <w:bCs/>
                <w:sz w:val="20"/>
                <w:lang w:val="hr-HR"/>
              </w:rPr>
              <w:t>,</w:t>
            </w:r>
            <w:r w:rsidRPr="00E45CA6">
              <w:rPr>
                <w:rFonts w:asciiTheme="minorHAnsi" w:hAnsiTheme="minorHAnsi" w:cs="Arial"/>
                <w:b/>
                <w:bCs/>
                <w:sz w:val="20"/>
                <w:lang w:val="hr-HR"/>
              </w:rPr>
              <w:t>362</w:t>
            </w:r>
            <w:r>
              <w:rPr>
                <w:rFonts w:asciiTheme="minorHAnsi" w:hAnsiTheme="minorHAnsi" w:cs="Arial"/>
                <w:b/>
                <w:bCs/>
                <w:sz w:val="20"/>
                <w:lang w:val="hr-HR"/>
              </w:rPr>
              <w:t>,</w:t>
            </w:r>
            <w:r w:rsidRPr="00E45CA6">
              <w:rPr>
                <w:rFonts w:asciiTheme="minorHAnsi" w:hAnsiTheme="minorHAnsi" w:cs="Arial"/>
                <w:b/>
                <w:bCs/>
                <w:sz w:val="20"/>
                <w:lang w:val="hr-HR"/>
              </w:rPr>
              <w:t>017</w:t>
            </w:r>
          </w:p>
        </w:tc>
        <w:tc>
          <w:tcPr>
            <w:tcW w:w="801" w:type="pct"/>
            <w:vAlign w:val="bottom"/>
          </w:tcPr>
          <w:p w14:paraId="0413DF33" w14:textId="0FDBE8C5" w:rsidR="00C56E63" w:rsidRPr="009702B0" w:rsidRDefault="009B2EE8" w:rsidP="00C56E63">
            <w:pPr>
              <w:tabs>
                <w:tab w:val="right" w:pos="1202"/>
              </w:tabs>
              <w:spacing w:after="0" w:line="240" w:lineRule="auto"/>
              <w:jc w:val="right"/>
              <w:outlineLvl w:val="0"/>
              <w:rPr>
                <w:rFonts w:asciiTheme="minorHAnsi" w:eastAsia="Times New Roman" w:hAnsiTheme="minorHAnsi" w:cs="Arial"/>
                <w:b/>
                <w:bCs/>
                <w:sz w:val="20"/>
                <w:szCs w:val="20"/>
                <w:lang w:val="hr-HR"/>
              </w:rPr>
            </w:pPr>
            <w:r w:rsidRPr="009B2EE8">
              <w:rPr>
                <w:rFonts w:eastAsia="Times New Roman" w:cs="Arial"/>
                <w:b/>
                <w:bCs/>
                <w:sz w:val="20"/>
                <w:szCs w:val="20"/>
              </w:rPr>
              <w:t>1,350,779</w:t>
            </w:r>
          </w:p>
        </w:tc>
        <w:tc>
          <w:tcPr>
            <w:tcW w:w="802" w:type="pct"/>
            <w:vAlign w:val="bottom"/>
          </w:tcPr>
          <w:p w14:paraId="096647D3" w14:textId="77777777" w:rsidR="00C56E63" w:rsidRPr="009702B0" w:rsidRDefault="00C56E63" w:rsidP="00C56E63">
            <w:pPr>
              <w:tabs>
                <w:tab w:val="right" w:pos="1202"/>
              </w:tabs>
              <w:spacing w:after="0" w:line="240" w:lineRule="auto"/>
              <w:jc w:val="right"/>
              <w:outlineLvl w:val="0"/>
              <w:rPr>
                <w:rFonts w:asciiTheme="minorHAnsi" w:eastAsia="Times New Roman" w:hAnsiTheme="minorHAnsi" w:cs="Arial"/>
                <w:b/>
                <w:bCs/>
                <w:sz w:val="20"/>
                <w:szCs w:val="20"/>
                <w:lang w:val="hr-HR"/>
              </w:rPr>
            </w:pPr>
            <w:r w:rsidRPr="00E45CA6">
              <w:rPr>
                <w:rFonts w:asciiTheme="minorHAnsi" w:hAnsiTheme="minorHAnsi" w:cs="Arial"/>
                <w:b/>
                <w:bCs/>
                <w:sz w:val="20"/>
                <w:lang w:val="hr-HR"/>
              </w:rPr>
              <w:t>1</w:t>
            </w:r>
            <w:r>
              <w:rPr>
                <w:rFonts w:asciiTheme="minorHAnsi" w:hAnsiTheme="minorHAnsi" w:cs="Arial"/>
                <w:b/>
                <w:bCs/>
                <w:sz w:val="20"/>
                <w:lang w:val="hr-HR"/>
              </w:rPr>
              <w:t>,</w:t>
            </w:r>
            <w:r w:rsidRPr="00E45CA6">
              <w:rPr>
                <w:rFonts w:asciiTheme="minorHAnsi" w:hAnsiTheme="minorHAnsi" w:cs="Arial"/>
                <w:b/>
                <w:bCs/>
                <w:sz w:val="20"/>
                <w:lang w:val="hr-HR"/>
              </w:rPr>
              <w:t>363</w:t>
            </w:r>
            <w:r>
              <w:rPr>
                <w:rFonts w:asciiTheme="minorHAnsi" w:hAnsiTheme="minorHAnsi" w:cs="Arial"/>
                <w:b/>
                <w:bCs/>
                <w:sz w:val="20"/>
                <w:lang w:val="hr-HR"/>
              </w:rPr>
              <w:t>,</w:t>
            </w:r>
            <w:r w:rsidRPr="00E45CA6">
              <w:rPr>
                <w:rFonts w:asciiTheme="minorHAnsi" w:hAnsiTheme="minorHAnsi" w:cs="Arial"/>
                <w:b/>
                <w:bCs/>
                <w:sz w:val="20"/>
                <w:lang w:val="hr-HR"/>
              </w:rPr>
              <w:t>584</w:t>
            </w:r>
          </w:p>
        </w:tc>
      </w:tr>
      <w:tr w:rsidR="00492997" w:rsidRPr="009702B0" w14:paraId="4F3E073F" w14:textId="77777777" w:rsidTr="009702B0">
        <w:trPr>
          <w:trHeight w:val="123"/>
          <w:jc w:val="center"/>
        </w:trPr>
        <w:tc>
          <w:tcPr>
            <w:tcW w:w="1795" w:type="pct"/>
          </w:tcPr>
          <w:p w14:paraId="6CB6D9A6" w14:textId="77777777" w:rsidR="00492997" w:rsidRPr="009702B0" w:rsidRDefault="00492997" w:rsidP="00492997">
            <w:pPr>
              <w:keepLines/>
              <w:tabs>
                <w:tab w:val="decimal" w:pos="1202"/>
                <w:tab w:val="right" w:pos="9781"/>
              </w:tabs>
              <w:spacing w:after="0" w:line="140" w:lineRule="exact"/>
              <w:rPr>
                <w:rFonts w:eastAsia="Times New Roman" w:cs="Arial"/>
                <w:bCs/>
                <w:position w:val="4"/>
                <w:sz w:val="20"/>
                <w:szCs w:val="20"/>
                <w:u w:val="thick"/>
              </w:rPr>
            </w:pPr>
          </w:p>
        </w:tc>
        <w:tc>
          <w:tcPr>
            <w:tcW w:w="801" w:type="pct"/>
            <w:vAlign w:val="bottom"/>
          </w:tcPr>
          <w:p w14:paraId="3DC896B6" w14:textId="77777777" w:rsidR="00492997" w:rsidRPr="009702B0" w:rsidRDefault="00492997" w:rsidP="00492997">
            <w:pPr>
              <w:keepNext/>
              <w:keepLines/>
              <w:tabs>
                <w:tab w:val="decimal" w:pos="1202"/>
              </w:tabs>
              <w:spacing w:after="0" w:line="140" w:lineRule="exact"/>
              <w:jc w:val="right"/>
              <w:rPr>
                <w:rFonts w:eastAsia="Times New Roman" w:cs="Arial"/>
                <w:b/>
                <w:position w:val="4"/>
                <w:sz w:val="20"/>
                <w:szCs w:val="20"/>
                <w:u w:val="thick"/>
              </w:rPr>
            </w:pPr>
            <w:r w:rsidRPr="009702B0">
              <w:rPr>
                <w:rFonts w:ascii="Arial" w:eastAsia="Times New Roman" w:hAnsi="Arial" w:cs="Arial"/>
                <w:b/>
                <w:position w:val="4"/>
                <w:sz w:val="20"/>
                <w:szCs w:val="20"/>
                <w:u w:val="thick"/>
                <w:lang w:val="en-US"/>
              </w:rPr>
              <w:t>___________</w:t>
            </w:r>
          </w:p>
        </w:tc>
        <w:tc>
          <w:tcPr>
            <w:tcW w:w="801" w:type="pct"/>
            <w:vAlign w:val="bottom"/>
          </w:tcPr>
          <w:p w14:paraId="534AA30D" w14:textId="77777777" w:rsidR="00492997" w:rsidRPr="009702B0" w:rsidRDefault="00492997" w:rsidP="00492997">
            <w:pPr>
              <w:keepNext/>
              <w:keepLines/>
              <w:tabs>
                <w:tab w:val="decimal" w:pos="1202"/>
              </w:tabs>
              <w:spacing w:after="0" w:line="140" w:lineRule="exact"/>
              <w:jc w:val="right"/>
              <w:rPr>
                <w:rFonts w:eastAsia="Times New Roman" w:cs="Arial"/>
                <w:b/>
                <w:position w:val="4"/>
                <w:sz w:val="20"/>
                <w:szCs w:val="20"/>
                <w:u w:val="thick"/>
              </w:rPr>
            </w:pPr>
            <w:r w:rsidRPr="009702B0">
              <w:rPr>
                <w:rFonts w:eastAsia="Times New Roman" w:cs="Arial"/>
                <w:b/>
                <w:position w:val="4"/>
                <w:sz w:val="20"/>
                <w:szCs w:val="20"/>
                <w:u w:val="thick"/>
              </w:rPr>
              <w:t>___________</w:t>
            </w:r>
          </w:p>
        </w:tc>
        <w:tc>
          <w:tcPr>
            <w:tcW w:w="801" w:type="pct"/>
            <w:vAlign w:val="bottom"/>
          </w:tcPr>
          <w:p w14:paraId="715E08E1" w14:textId="77777777" w:rsidR="00492997" w:rsidRPr="009702B0" w:rsidRDefault="00492997" w:rsidP="00492997">
            <w:pPr>
              <w:keepNext/>
              <w:keepLines/>
              <w:tabs>
                <w:tab w:val="decimal" w:pos="1202"/>
              </w:tabs>
              <w:spacing w:after="0" w:line="140" w:lineRule="exact"/>
              <w:jc w:val="right"/>
              <w:rPr>
                <w:rFonts w:eastAsia="Times New Roman" w:cs="Arial"/>
                <w:b/>
                <w:position w:val="4"/>
                <w:sz w:val="20"/>
                <w:szCs w:val="20"/>
                <w:u w:val="thick"/>
              </w:rPr>
            </w:pPr>
            <w:r w:rsidRPr="009702B0">
              <w:rPr>
                <w:rFonts w:ascii="Arial" w:eastAsia="Times New Roman" w:hAnsi="Arial" w:cs="Arial"/>
                <w:b/>
                <w:position w:val="4"/>
                <w:sz w:val="20"/>
                <w:szCs w:val="20"/>
                <w:u w:val="thick"/>
                <w:lang w:val="en-US"/>
              </w:rPr>
              <w:t>__________</w:t>
            </w:r>
          </w:p>
        </w:tc>
        <w:tc>
          <w:tcPr>
            <w:tcW w:w="802" w:type="pct"/>
            <w:vAlign w:val="bottom"/>
          </w:tcPr>
          <w:p w14:paraId="3F8793CD" w14:textId="77777777" w:rsidR="00492997" w:rsidRPr="009702B0" w:rsidRDefault="00492997" w:rsidP="00492997">
            <w:pPr>
              <w:keepNext/>
              <w:keepLines/>
              <w:tabs>
                <w:tab w:val="decimal" w:pos="1202"/>
              </w:tabs>
              <w:spacing w:after="0" w:line="140" w:lineRule="exact"/>
              <w:jc w:val="right"/>
              <w:rPr>
                <w:rFonts w:eastAsia="Times New Roman" w:cs="Arial"/>
                <w:b/>
                <w:position w:val="4"/>
                <w:sz w:val="20"/>
                <w:szCs w:val="20"/>
                <w:u w:val="thick"/>
              </w:rPr>
            </w:pPr>
            <w:r w:rsidRPr="009702B0">
              <w:rPr>
                <w:rFonts w:eastAsia="Times New Roman" w:cs="Arial"/>
                <w:b/>
                <w:position w:val="4"/>
                <w:sz w:val="20"/>
                <w:szCs w:val="20"/>
                <w:u w:val="thick"/>
              </w:rPr>
              <w:t>___________</w:t>
            </w:r>
          </w:p>
        </w:tc>
      </w:tr>
    </w:tbl>
    <w:p w14:paraId="19A8EBAF" w14:textId="77777777" w:rsidR="009702B0" w:rsidRPr="009702B0" w:rsidRDefault="009702B0" w:rsidP="009702B0">
      <w:pPr>
        <w:keepNext/>
        <w:spacing w:after="0" w:line="240" w:lineRule="auto"/>
        <w:jc w:val="both"/>
        <w:rPr>
          <w:rFonts w:eastAsia="Times New Roman"/>
          <w:bCs/>
        </w:rPr>
      </w:pPr>
    </w:p>
    <w:p w14:paraId="00664C5B" w14:textId="47659090" w:rsidR="009702B0" w:rsidRPr="009702B0" w:rsidRDefault="009702B0" w:rsidP="009702B0">
      <w:pPr>
        <w:keepNext/>
        <w:spacing w:after="0" w:line="240" w:lineRule="auto"/>
        <w:jc w:val="both"/>
        <w:rPr>
          <w:rFonts w:eastAsia="Times New Roman"/>
          <w:bCs/>
        </w:rPr>
      </w:pPr>
      <w:r w:rsidRPr="009702B0">
        <w:rPr>
          <w:rFonts w:eastAsia="Times New Roman"/>
          <w:bCs/>
        </w:rPr>
        <w:t xml:space="preserve">Minimum capital adequacy ratio </w:t>
      </w:r>
      <w:r w:rsidRPr="009702B0">
        <w:rPr>
          <w:rFonts w:eastAsia="Times New Roman" w:cs="Calibri"/>
          <w:bCs/>
        </w:rPr>
        <w:t>as of the reporting date</w:t>
      </w:r>
      <w:r w:rsidRPr="009702B0">
        <w:rPr>
          <w:rFonts w:eastAsia="Times New Roman"/>
          <w:bCs/>
        </w:rPr>
        <w:t xml:space="preserve"> was </w:t>
      </w:r>
      <w:r w:rsidRPr="009B2EE8">
        <w:rPr>
          <w:rFonts w:eastAsia="Times New Roman"/>
          <w:bCs/>
        </w:rPr>
        <w:t>8</w:t>
      </w:r>
      <w:r w:rsidRPr="009702B0">
        <w:rPr>
          <w:rFonts w:eastAsia="Times New Roman"/>
          <w:bCs/>
        </w:rPr>
        <w:t>% (31 December 201</w:t>
      </w:r>
      <w:r w:rsidR="006B0E06">
        <w:rPr>
          <w:rFonts w:eastAsia="Times New Roman"/>
          <w:bCs/>
        </w:rPr>
        <w:t>6</w:t>
      </w:r>
      <w:r w:rsidRPr="009702B0">
        <w:rPr>
          <w:rFonts w:eastAsia="Times New Roman"/>
          <w:bCs/>
        </w:rPr>
        <w:t xml:space="preserve">: </w:t>
      </w:r>
      <w:r w:rsidR="006B0E06">
        <w:rPr>
          <w:rFonts w:eastAsia="Times New Roman"/>
          <w:bCs/>
        </w:rPr>
        <w:t>8</w:t>
      </w:r>
      <w:r w:rsidRPr="009702B0">
        <w:rPr>
          <w:rFonts w:eastAsia="Times New Roman"/>
          <w:bCs/>
        </w:rPr>
        <w:t>%).</w:t>
      </w:r>
    </w:p>
    <w:p w14:paraId="6F8BDFE0" w14:textId="77777777" w:rsidR="009702B0" w:rsidRPr="009702B0" w:rsidRDefault="009702B0" w:rsidP="009702B0">
      <w:pPr>
        <w:keepNext/>
        <w:spacing w:after="0" w:line="240" w:lineRule="auto"/>
        <w:jc w:val="both"/>
        <w:rPr>
          <w:rFonts w:eastAsia="Times New Roman"/>
          <w:bCs/>
        </w:rPr>
        <w:sectPr w:rsidR="009702B0" w:rsidRPr="009702B0" w:rsidSect="00947CB7">
          <w:footerReference w:type="first" r:id="rId129"/>
          <w:pgSz w:w="11906" w:h="16838" w:code="9"/>
          <w:pgMar w:top="1418" w:right="1418" w:bottom="595" w:left="1134" w:header="709" w:footer="709" w:gutter="0"/>
          <w:cols w:space="708"/>
          <w:titlePg/>
          <w:docGrid w:linePitch="360"/>
        </w:sectPr>
      </w:pPr>
    </w:p>
    <w:p w14:paraId="641883A5" w14:textId="77777777" w:rsidR="009702B0" w:rsidRPr="009702B0" w:rsidRDefault="009702B0" w:rsidP="009702B0">
      <w:pPr>
        <w:keepNext/>
        <w:spacing w:after="0" w:line="240" w:lineRule="auto"/>
        <w:ind w:left="709" w:hanging="709"/>
        <w:jc w:val="both"/>
        <w:rPr>
          <w:rFonts w:eastAsia="Times New Roman" w:cs="Arial"/>
          <w:b/>
          <w:bCs/>
          <w:spacing w:val="-3"/>
        </w:rPr>
      </w:pPr>
    </w:p>
    <w:p w14:paraId="1B7F2F21" w14:textId="77777777" w:rsidR="009702B0" w:rsidRPr="009702B0" w:rsidRDefault="009702B0" w:rsidP="009702B0">
      <w:pPr>
        <w:keepNext/>
        <w:spacing w:after="0" w:line="240" w:lineRule="auto"/>
        <w:ind w:left="709" w:hanging="709"/>
        <w:jc w:val="both"/>
        <w:rPr>
          <w:rFonts w:eastAsia="Times New Roman" w:cs="Arial"/>
          <w:b/>
          <w:bCs/>
          <w:spacing w:val="-3"/>
        </w:rPr>
      </w:pPr>
      <w:r w:rsidRPr="009702B0">
        <w:rPr>
          <w:rFonts w:eastAsia="Times New Roman" w:cs="Arial"/>
          <w:b/>
          <w:bCs/>
          <w:spacing w:val="-3"/>
        </w:rPr>
        <w:t>19.</w:t>
      </w:r>
      <w:r w:rsidRPr="009702B0">
        <w:rPr>
          <w:rFonts w:eastAsia="Times New Roman" w:cs="Arial"/>
          <w:b/>
          <w:bCs/>
          <w:spacing w:val="-3"/>
        </w:rPr>
        <w:tab/>
        <w:t>Capital management (continued)</w:t>
      </w:r>
    </w:p>
    <w:p w14:paraId="793FC4D3" w14:textId="77777777" w:rsidR="009702B0" w:rsidRPr="009702B0" w:rsidRDefault="009702B0" w:rsidP="009702B0">
      <w:pPr>
        <w:keepNext/>
        <w:spacing w:after="0" w:line="240" w:lineRule="auto"/>
        <w:ind w:left="709" w:hanging="709"/>
        <w:jc w:val="both"/>
        <w:rPr>
          <w:rFonts w:eastAsia="Times New Roman" w:cs="Arial"/>
          <w:b/>
          <w:bCs/>
          <w:spacing w:val="-3"/>
        </w:rPr>
      </w:pPr>
    </w:p>
    <w:p w14:paraId="1E6EC991" w14:textId="77777777" w:rsidR="009702B0" w:rsidRPr="009702B0" w:rsidRDefault="009702B0" w:rsidP="009702B0">
      <w:pPr>
        <w:spacing w:after="0" w:line="240" w:lineRule="auto"/>
        <w:jc w:val="both"/>
        <w:rPr>
          <w:rFonts w:eastAsia="Times New Roman"/>
          <w:bCs/>
        </w:rPr>
      </w:pPr>
      <w:r w:rsidRPr="009702B0">
        <w:rPr>
          <w:rFonts w:eastAsia="Times New Roman"/>
          <w:bCs/>
        </w:rPr>
        <w:t>Due to the extensive changes in the existing support application for the Bank’s operations, the Manag</w:t>
      </w:r>
      <w:r w:rsidR="002307C7">
        <w:rPr>
          <w:rFonts w:eastAsia="Times New Roman"/>
          <w:bCs/>
        </w:rPr>
        <w:t>ement</w:t>
      </w:r>
      <w:r w:rsidRPr="009702B0">
        <w:rPr>
          <w:rFonts w:eastAsia="Times New Roman"/>
          <w:bCs/>
        </w:rPr>
        <w:t xml:space="preserve"> Board has prolonged the transitional period for the implementation and testing of new applications and the use will begin with respect to the first reporting period after the implementation of the software solution for the calculation of the adequacy ratio of own funds. Until then, the capital adequacy and exposure calculations will be made in the existing manner.</w:t>
      </w:r>
    </w:p>
    <w:p w14:paraId="1B377D58" w14:textId="77777777" w:rsidR="009702B0" w:rsidRPr="009702B0" w:rsidRDefault="009702B0" w:rsidP="009702B0">
      <w:pPr>
        <w:spacing w:after="0" w:line="240" w:lineRule="auto"/>
        <w:jc w:val="both"/>
        <w:rPr>
          <w:rFonts w:eastAsia="Times New Roman"/>
          <w:bCs/>
        </w:rPr>
      </w:pPr>
    </w:p>
    <w:p w14:paraId="3AD05F41" w14:textId="027D7D86" w:rsidR="009702B0" w:rsidRPr="009702B0" w:rsidRDefault="009702B0" w:rsidP="009702B0">
      <w:pPr>
        <w:spacing w:after="0" w:line="240" w:lineRule="auto"/>
        <w:jc w:val="both"/>
        <w:rPr>
          <w:rFonts w:eastAsia="Times New Roman"/>
          <w:bCs/>
        </w:rPr>
      </w:pPr>
      <w:r w:rsidRPr="009702B0">
        <w:rPr>
          <w:rFonts w:eastAsia="Times New Roman"/>
          <w:bCs/>
        </w:rPr>
        <w:t>The Manag</w:t>
      </w:r>
      <w:r w:rsidR="002307C7">
        <w:rPr>
          <w:rFonts w:eastAsia="Times New Roman"/>
          <w:bCs/>
        </w:rPr>
        <w:t>ement</w:t>
      </w:r>
      <w:r w:rsidRPr="009702B0">
        <w:rPr>
          <w:rFonts w:eastAsia="Times New Roman"/>
          <w:bCs/>
        </w:rPr>
        <w:t xml:space="preserve"> Board of the Group does not expect any adverse effects on the level of capital adequacy as a result of application of the new regulations for credit institutions, taking into account that the Bank’s capital adequacy ratio as of </w:t>
      </w:r>
      <w:r w:rsidR="0044104F" w:rsidRPr="0044104F">
        <w:rPr>
          <w:rFonts w:eastAsia="Times New Roman"/>
          <w:bCs/>
        </w:rPr>
        <w:t xml:space="preserve">30 </w:t>
      </w:r>
      <w:r w:rsidR="00437BEF">
        <w:rPr>
          <w:rFonts w:eastAsia="Times New Roman"/>
          <w:bCs/>
        </w:rPr>
        <w:t>September</w:t>
      </w:r>
      <w:r w:rsidR="003F45A7">
        <w:rPr>
          <w:rFonts w:eastAsia="Times New Roman"/>
          <w:bCs/>
        </w:rPr>
        <w:t xml:space="preserve"> 2017</w:t>
      </w:r>
      <w:r w:rsidR="00437BEF" w:rsidRPr="0044104F">
        <w:rPr>
          <w:rFonts w:eastAsia="Times New Roman"/>
          <w:bCs/>
        </w:rPr>
        <w:t xml:space="preserve"> </w:t>
      </w:r>
      <w:r w:rsidRPr="00CF5B7C">
        <w:rPr>
          <w:rFonts w:eastAsia="Times New Roman"/>
          <w:bCs/>
        </w:rPr>
        <w:t xml:space="preserve">was </w:t>
      </w:r>
      <w:r w:rsidR="002A73A8" w:rsidRPr="00733A00">
        <w:rPr>
          <w:rFonts w:eastAsia="Times New Roman"/>
          <w:bCs/>
        </w:rPr>
        <w:t xml:space="preserve">8 </w:t>
      </w:r>
      <w:r w:rsidRPr="00733A00">
        <w:rPr>
          <w:rFonts w:eastAsia="Times New Roman"/>
          <w:bCs/>
        </w:rPr>
        <w:t>t</w:t>
      </w:r>
      <w:r w:rsidRPr="00CF5B7C">
        <w:rPr>
          <w:rFonts w:eastAsia="Times New Roman"/>
          <w:bCs/>
        </w:rPr>
        <w:t>imes higher</w:t>
      </w:r>
      <w:r w:rsidRPr="009702B0">
        <w:rPr>
          <w:rFonts w:eastAsia="Times New Roman"/>
          <w:bCs/>
        </w:rPr>
        <w:t xml:space="preserve"> than the prescribed one. This was primarily due to the model of operation and its orientation to the lending operations.</w:t>
      </w:r>
    </w:p>
    <w:p w14:paraId="66E302A0" w14:textId="77777777" w:rsidR="009702B0" w:rsidRPr="009702B0" w:rsidRDefault="009702B0" w:rsidP="009702B0">
      <w:pPr>
        <w:spacing w:after="0" w:line="240" w:lineRule="auto"/>
        <w:jc w:val="both"/>
        <w:rPr>
          <w:rFonts w:eastAsia="Times New Roman"/>
          <w:bCs/>
        </w:rPr>
      </w:pPr>
    </w:p>
    <w:p w14:paraId="2DE88EF1" w14:textId="77777777" w:rsidR="009702B0" w:rsidRDefault="009702B0" w:rsidP="009702B0">
      <w:pPr>
        <w:keepNext/>
        <w:spacing w:after="0" w:line="240" w:lineRule="auto"/>
        <w:ind w:left="709" w:hanging="709"/>
        <w:jc w:val="both"/>
        <w:rPr>
          <w:rFonts w:eastAsia="Times New Roman" w:cs="Arial"/>
          <w:b/>
          <w:bCs/>
          <w:spacing w:val="-3"/>
        </w:rPr>
      </w:pPr>
      <w:r w:rsidRPr="009702B0">
        <w:rPr>
          <w:rFonts w:eastAsia="Times New Roman" w:cs="Arial"/>
          <w:b/>
          <w:bCs/>
          <w:spacing w:val="-3"/>
        </w:rPr>
        <w:t>20.</w:t>
      </w:r>
      <w:r w:rsidRPr="009702B0">
        <w:rPr>
          <w:rFonts w:eastAsia="Times New Roman" w:cs="Arial"/>
          <w:b/>
          <w:bCs/>
          <w:spacing w:val="-3"/>
        </w:rPr>
        <w:tab/>
        <w:t>Events after the reporting period date</w:t>
      </w:r>
    </w:p>
    <w:p w14:paraId="4DC06CB8" w14:textId="77777777" w:rsidR="006020D9" w:rsidRPr="009702B0" w:rsidRDefault="006020D9" w:rsidP="009702B0">
      <w:pPr>
        <w:keepNext/>
        <w:spacing w:after="0" w:line="240" w:lineRule="auto"/>
        <w:ind w:left="709" w:hanging="709"/>
        <w:jc w:val="both"/>
        <w:rPr>
          <w:rFonts w:eastAsia="Times New Roman" w:cs="Arial"/>
          <w:b/>
          <w:bCs/>
          <w:spacing w:val="-3"/>
        </w:rPr>
      </w:pPr>
    </w:p>
    <w:p w14:paraId="6A17BF62" w14:textId="33D6D5DA" w:rsidR="006020D9" w:rsidRDefault="00637480" w:rsidP="006020D9">
      <w:pPr>
        <w:tabs>
          <w:tab w:val="left" w:pos="567"/>
        </w:tabs>
        <w:spacing w:after="0" w:line="240" w:lineRule="auto"/>
        <w:jc w:val="both"/>
        <w:rPr>
          <w:rFonts w:asciiTheme="minorHAnsi" w:eastAsia="Times New Roman" w:hAnsiTheme="minorHAnsi" w:cs="Arial"/>
          <w:b/>
        </w:rPr>
      </w:pPr>
      <w:r>
        <w:rPr>
          <w:rFonts w:asciiTheme="minorHAnsi" w:eastAsia="Times New Roman" w:hAnsiTheme="minorHAnsi" w:cs="Arial"/>
          <w:b/>
        </w:rPr>
        <w:t xml:space="preserve">20.1 </w:t>
      </w:r>
      <w:r>
        <w:rPr>
          <w:rFonts w:asciiTheme="minorHAnsi" w:eastAsia="Times New Roman" w:hAnsiTheme="minorHAnsi" w:cs="Arial"/>
          <w:b/>
        </w:rPr>
        <w:tab/>
      </w:r>
      <w:r w:rsidR="00FE388D">
        <w:rPr>
          <w:rFonts w:asciiTheme="minorHAnsi" w:eastAsia="Times New Roman" w:hAnsiTheme="minorHAnsi" w:cs="Arial"/>
          <w:b/>
        </w:rPr>
        <w:t xml:space="preserve">Appointment of the Management </w:t>
      </w:r>
      <w:r w:rsidR="002307C7" w:rsidRPr="00166751">
        <w:rPr>
          <w:rFonts w:asciiTheme="minorHAnsi" w:eastAsia="Times New Roman" w:hAnsiTheme="minorHAnsi" w:cs="Arial"/>
          <w:b/>
        </w:rPr>
        <w:t xml:space="preserve">Board </w:t>
      </w:r>
    </w:p>
    <w:p w14:paraId="2140BA3E" w14:textId="77777777" w:rsidR="00733A00" w:rsidRDefault="00733A00" w:rsidP="006020D9">
      <w:pPr>
        <w:tabs>
          <w:tab w:val="left" w:pos="567"/>
        </w:tabs>
        <w:spacing w:after="0" w:line="240" w:lineRule="auto"/>
        <w:jc w:val="both"/>
        <w:rPr>
          <w:rFonts w:asciiTheme="minorHAnsi" w:eastAsia="Times New Roman" w:hAnsiTheme="minorHAnsi" w:cs="Arial"/>
          <w:b/>
        </w:rPr>
      </w:pPr>
    </w:p>
    <w:p w14:paraId="61B1185C" w14:textId="42B68004" w:rsidR="00733A00" w:rsidRPr="001C521F" w:rsidRDefault="00733A00" w:rsidP="00733A00">
      <w:pPr>
        <w:spacing w:after="0" w:line="240" w:lineRule="auto"/>
        <w:jc w:val="both"/>
        <w:rPr>
          <w:rFonts w:eastAsia="Times New Roman" w:cs="Arial"/>
          <w:lang w:val="hr-HR"/>
        </w:rPr>
      </w:pPr>
      <w:proofErr w:type="spellStart"/>
      <w:r>
        <w:rPr>
          <w:rFonts w:eastAsia="Times New Roman" w:cs="Arial"/>
          <w:lang w:val="hr-HR"/>
        </w:rPr>
        <w:t>After</w:t>
      </w:r>
      <w:proofErr w:type="spellEnd"/>
      <w:r>
        <w:rPr>
          <w:rFonts w:eastAsia="Times New Roman" w:cs="Arial"/>
          <w:lang w:val="hr-HR"/>
        </w:rPr>
        <w:t xml:space="preserve"> </w:t>
      </w:r>
      <w:proofErr w:type="spellStart"/>
      <w:r>
        <w:rPr>
          <w:rFonts w:eastAsia="Times New Roman" w:cs="Arial"/>
          <w:lang w:val="hr-HR"/>
        </w:rPr>
        <w:t>the</w:t>
      </w:r>
      <w:proofErr w:type="spellEnd"/>
      <w:r>
        <w:rPr>
          <w:rFonts w:eastAsia="Times New Roman" w:cs="Arial"/>
          <w:lang w:val="hr-HR"/>
        </w:rPr>
        <w:t xml:space="preserve"> </w:t>
      </w:r>
      <w:proofErr w:type="spellStart"/>
      <w:r>
        <w:rPr>
          <w:rFonts w:eastAsia="Times New Roman" w:cs="Arial"/>
          <w:lang w:val="hr-HR"/>
        </w:rPr>
        <w:t>reporting</w:t>
      </w:r>
      <w:proofErr w:type="spellEnd"/>
      <w:r>
        <w:rPr>
          <w:rFonts w:eastAsia="Times New Roman" w:cs="Arial"/>
          <w:lang w:val="hr-HR"/>
        </w:rPr>
        <w:t xml:space="preserve"> period, o</w:t>
      </w:r>
      <w:r w:rsidRPr="001C521F">
        <w:rPr>
          <w:rFonts w:eastAsia="Times New Roman" w:cs="Arial"/>
          <w:lang w:val="hr-HR"/>
        </w:rPr>
        <w:t xml:space="preserve">n 9 </w:t>
      </w:r>
      <w:proofErr w:type="spellStart"/>
      <w:r w:rsidRPr="001C521F">
        <w:rPr>
          <w:rFonts w:eastAsia="Times New Roman" w:cs="Arial"/>
          <w:lang w:val="hr-HR"/>
        </w:rPr>
        <w:t>October</w:t>
      </w:r>
      <w:proofErr w:type="spellEnd"/>
      <w:r w:rsidRPr="001C521F">
        <w:rPr>
          <w:rFonts w:eastAsia="Times New Roman" w:cs="Arial"/>
          <w:lang w:val="hr-HR"/>
        </w:rPr>
        <w:t xml:space="preserve"> 2017, </w:t>
      </w:r>
      <w:proofErr w:type="spellStart"/>
      <w:r w:rsidRPr="001C521F">
        <w:rPr>
          <w:rFonts w:eastAsia="Times New Roman" w:cs="Arial"/>
          <w:lang w:val="hr-HR"/>
        </w:rPr>
        <w:t>the</w:t>
      </w:r>
      <w:proofErr w:type="spellEnd"/>
      <w:r w:rsidRPr="001C521F">
        <w:rPr>
          <w:rFonts w:eastAsia="Times New Roman" w:cs="Arial"/>
          <w:lang w:val="hr-HR"/>
        </w:rPr>
        <w:t xml:space="preserve"> </w:t>
      </w:r>
      <w:proofErr w:type="spellStart"/>
      <w:r w:rsidRPr="001C521F">
        <w:rPr>
          <w:rFonts w:eastAsia="Times New Roman" w:cs="Arial"/>
          <w:lang w:val="hr-HR"/>
        </w:rPr>
        <w:t>Supervisory</w:t>
      </w:r>
      <w:proofErr w:type="spellEnd"/>
      <w:r w:rsidRPr="001C521F">
        <w:rPr>
          <w:rFonts w:eastAsia="Times New Roman" w:cs="Arial"/>
          <w:lang w:val="hr-HR"/>
        </w:rPr>
        <w:t xml:space="preserve"> </w:t>
      </w:r>
      <w:proofErr w:type="spellStart"/>
      <w:r w:rsidRPr="001C521F">
        <w:rPr>
          <w:rFonts w:eastAsia="Times New Roman" w:cs="Arial"/>
          <w:lang w:val="hr-HR"/>
        </w:rPr>
        <w:t>Board</w:t>
      </w:r>
      <w:proofErr w:type="spellEnd"/>
      <w:r w:rsidRPr="001C521F">
        <w:rPr>
          <w:rFonts w:eastAsia="Times New Roman" w:cs="Arial"/>
          <w:lang w:val="hr-HR"/>
        </w:rPr>
        <w:t xml:space="preserve"> </w:t>
      </w:r>
      <w:proofErr w:type="spellStart"/>
      <w:r w:rsidRPr="001C521F">
        <w:rPr>
          <w:rFonts w:eastAsia="Times New Roman" w:cs="Arial"/>
          <w:lang w:val="hr-HR"/>
        </w:rPr>
        <w:t>of</w:t>
      </w:r>
      <w:proofErr w:type="spellEnd"/>
      <w:r w:rsidRPr="001C521F">
        <w:rPr>
          <w:rFonts w:eastAsia="Times New Roman" w:cs="Arial"/>
          <w:lang w:val="hr-HR"/>
        </w:rPr>
        <w:t xml:space="preserve"> HBOR, </w:t>
      </w:r>
      <w:proofErr w:type="spellStart"/>
      <w:r w:rsidRPr="001C521F">
        <w:rPr>
          <w:rFonts w:eastAsia="Times New Roman" w:cs="Arial"/>
          <w:lang w:val="hr-HR"/>
        </w:rPr>
        <w:t>following</w:t>
      </w:r>
      <w:proofErr w:type="spellEnd"/>
      <w:r w:rsidRPr="001C521F">
        <w:rPr>
          <w:rFonts w:eastAsia="Times New Roman" w:cs="Arial"/>
          <w:lang w:val="hr-HR"/>
        </w:rPr>
        <w:t xml:space="preserve"> </w:t>
      </w:r>
      <w:proofErr w:type="spellStart"/>
      <w:r w:rsidRPr="001C521F">
        <w:rPr>
          <w:rFonts w:eastAsia="Times New Roman" w:cs="Arial"/>
          <w:lang w:val="hr-HR"/>
        </w:rPr>
        <w:t>the</w:t>
      </w:r>
      <w:proofErr w:type="spellEnd"/>
      <w:r w:rsidRPr="001C521F">
        <w:rPr>
          <w:rFonts w:eastAsia="Times New Roman" w:cs="Arial"/>
          <w:lang w:val="hr-HR"/>
        </w:rPr>
        <w:t xml:space="preserve"> </w:t>
      </w:r>
      <w:proofErr w:type="spellStart"/>
      <w:r w:rsidRPr="001C521F">
        <w:rPr>
          <w:rFonts w:eastAsia="Times New Roman" w:cs="Arial"/>
          <w:lang w:val="hr-HR"/>
        </w:rPr>
        <w:t>proposal</w:t>
      </w:r>
      <w:proofErr w:type="spellEnd"/>
      <w:r w:rsidRPr="001C521F">
        <w:rPr>
          <w:rFonts w:eastAsia="Times New Roman" w:cs="Arial"/>
          <w:lang w:val="hr-HR"/>
        </w:rPr>
        <w:t xml:space="preserve"> </w:t>
      </w:r>
      <w:proofErr w:type="spellStart"/>
      <w:r w:rsidRPr="001C521F">
        <w:rPr>
          <w:rFonts w:eastAsia="Times New Roman" w:cs="Arial"/>
          <w:lang w:val="hr-HR"/>
        </w:rPr>
        <w:t>of</w:t>
      </w:r>
      <w:proofErr w:type="spellEnd"/>
      <w:r w:rsidRPr="001C521F">
        <w:rPr>
          <w:rFonts w:eastAsia="Times New Roman" w:cs="Arial"/>
          <w:lang w:val="hr-HR"/>
        </w:rPr>
        <w:t xml:space="preserve"> </w:t>
      </w:r>
      <w:proofErr w:type="spellStart"/>
      <w:r w:rsidRPr="001C521F">
        <w:rPr>
          <w:rFonts w:eastAsia="Times New Roman" w:cs="Arial"/>
          <w:lang w:val="hr-HR"/>
        </w:rPr>
        <w:t>the</w:t>
      </w:r>
      <w:proofErr w:type="spellEnd"/>
      <w:r w:rsidRPr="001C521F">
        <w:rPr>
          <w:rFonts w:eastAsia="Times New Roman" w:cs="Arial"/>
          <w:lang w:val="hr-HR"/>
        </w:rPr>
        <w:t xml:space="preserve"> </w:t>
      </w:r>
      <w:proofErr w:type="spellStart"/>
      <w:r w:rsidRPr="001C521F">
        <w:rPr>
          <w:rFonts w:eastAsia="Times New Roman" w:cs="Arial"/>
          <w:lang w:val="hr-HR"/>
        </w:rPr>
        <w:t>Governme</w:t>
      </w:r>
      <w:r w:rsidR="003F45A7">
        <w:rPr>
          <w:rFonts w:eastAsia="Times New Roman" w:cs="Arial"/>
          <w:lang w:val="hr-HR"/>
        </w:rPr>
        <w:t>nt</w:t>
      </w:r>
      <w:proofErr w:type="spellEnd"/>
      <w:r w:rsidR="003F45A7">
        <w:rPr>
          <w:rFonts w:eastAsia="Times New Roman" w:cs="Arial"/>
          <w:lang w:val="hr-HR"/>
        </w:rPr>
        <w:t xml:space="preserve"> </w:t>
      </w:r>
      <w:proofErr w:type="spellStart"/>
      <w:r w:rsidR="003F45A7">
        <w:rPr>
          <w:rFonts w:eastAsia="Times New Roman" w:cs="Arial"/>
          <w:lang w:val="hr-HR"/>
        </w:rPr>
        <w:t>of</w:t>
      </w:r>
      <w:proofErr w:type="spellEnd"/>
      <w:r w:rsidR="003F45A7">
        <w:rPr>
          <w:rFonts w:eastAsia="Times New Roman" w:cs="Arial"/>
          <w:lang w:val="hr-HR"/>
        </w:rPr>
        <w:t xml:space="preserve"> </w:t>
      </w:r>
      <w:proofErr w:type="spellStart"/>
      <w:r w:rsidR="003F45A7">
        <w:rPr>
          <w:rFonts w:eastAsia="Times New Roman" w:cs="Arial"/>
          <w:lang w:val="hr-HR"/>
        </w:rPr>
        <w:t>the</w:t>
      </w:r>
      <w:proofErr w:type="spellEnd"/>
      <w:r w:rsidR="003F45A7">
        <w:rPr>
          <w:rFonts w:eastAsia="Times New Roman" w:cs="Arial"/>
          <w:lang w:val="hr-HR"/>
        </w:rPr>
        <w:t xml:space="preserve"> Republic </w:t>
      </w:r>
      <w:proofErr w:type="spellStart"/>
      <w:r w:rsidR="003F45A7">
        <w:rPr>
          <w:rFonts w:eastAsia="Times New Roman" w:cs="Arial"/>
          <w:lang w:val="hr-HR"/>
        </w:rPr>
        <w:t>of</w:t>
      </w:r>
      <w:proofErr w:type="spellEnd"/>
      <w:r w:rsidR="003F45A7">
        <w:rPr>
          <w:rFonts w:eastAsia="Times New Roman" w:cs="Arial"/>
          <w:lang w:val="hr-HR"/>
        </w:rPr>
        <w:t xml:space="preserve"> Croatia, </w:t>
      </w:r>
      <w:proofErr w:type="spellStart"/>
      <w:r w:rsidRPr="001C521F">
        <w:rPr>
          <w:rFonts w:eastAsia="Times New Roman" w:cs="Arial"/>
          <w:lang w:val="hr-HR"/>
        </w:rPr>
        <w:t>made</w:t>
      </w:r>
      <w:proofErr w:type="spellEnd"/>
      <w:r w:rsidRPr="001C521F">
        <w:rPr>
          <w:rFonts w:eastAsia="Times New Roman" w:cs="Arial"/>
          <w:lang w:val="hr-HR"/>
        </w:rPr>
        <w:t xml:space="preserve"> a </w:t>
      </w:r>
      <w:proofErr w:type="spellStart"/>
      <w:r w:rsidRPr="001C521F">
        <w:rPr>
          <w:rFonts w:eastAsia="Times New Roman" w:cs="Arial"/>
          <w:lang w:val="hr-HR"/>
        </w:rPr>
        <w:t>decision</w:t>
      </w:r>
      <w:proofErr w:type="spellEnd"/>
      <w:r w:rsidRPr="001C521F">
        <w:rPr>
          <w:rFonts w:eastAsia="Times New Roman" w:cs="Arial"/>
          <w:lang w:val="hr-HR"/>
        </w:rPr>
        <w:t xml:space="preserve"> on </w:t>
      </w:r>
      <w:proofErr w:type="spellStart"/>
      <w:r w:rsidRPr="001C521F">
        <w:rPr>
          <w:rFonts w:eastAsia="Times New Roman" w:cs="Arial"/>
          <w:lang w:val="hr-HR"/>
        </w:rPr>
        <w:t>the</w:t>
      </w:r>
      <w:proofErr w:type="spellEnd"/>
      <w:r w:rsidRPr="001C521F">
        <w:rPr>
          <w:rFonts w:eastAsia="Times New Roman" w:cs="Arial"/>
          <w:lang w:val="hr-HR"/>
        </w:rPr>
        <w:t xml:space="preserve"> </w:t>
      </w:r>
      <w:proofErr w:type="spellStart"/>
      <w:r w:rsidRPr="001C521F">
        <w:rPr>
          <w:rFonts w:eastAsia="Times New Roman" w:cs="Arial"/>
          <w:lang w:val="hr-HR"/>
        </w:rPr>
        <w:t>appointment</w:t>
      </w:r>
      <w:proofErr w:type="spellEnd"/>
      <w:r w:rsidRPr="001C521F">
        <w:rPr>
          <w:rFonts w:eastAsia="Times New Roman" w:cs="Arial"/>
          <w:lang w:val="hr-HR"/>
        </w:rPr>
        <w:t xml:space="preserve"> </w:t>
      </w:r>
      <w:proofErr w:type="spellStart"/>
      <w:r w:rsidRPr="001C521F">
        <w:rPr>
          <w:rFonts w:eastAsia="Times New Roman" w:cs="Arial"/>
          <w:lang w:val="hr-HR"/>
        </w:rPr>
        <w:t>of</w:t>
      </w:r>
      <w:proofErr w:type="spellEnd"/>
      <w:r w:rsidRPr="001C521F">
        <w:rPr>
          <w:rFonts w:eastAsia="Times New Roman" w:cs="Arial"/>
          <w:lang w:val="hr-HR"/>
        </w:rPr>
        <w:t xml:space="preserve"> a </w:t>
      </w:r>
      <w:proofErr w:type="spellStart"/>
      <w:r w:rsidRPr="001C521F">
        <w:rPr>
          <w:rFonts w:eastAsia="Times New Roman" w:cs="Arial"/>
          <w:lang w:val="hr-HR"/>
        </w:rPr>
        <w:t>new</w:t>
      </w:r>
      <w:proofErr w:type="spellEnd"/>
      <w:r w:rsidRPr="001C521F">
        <w:rPr>
          <w:rFonts w:eastAsia="Times New Roman" w:cs="Arial"/>
          <w:lang w:val="hr-HR"/>
        </w:rPr>
        <w:t xml:space="preserve"> Management </w:t>
      </w:r>
      <w:proofErr w:type="spellStart"/>
      <w:r w:rsidRPr="001C521F">
        <w:rPr>
          <w:rFonts w:eastAsia="Times New Roman" w:cs="Arial"/>
          <w:lang w:val="hr-HR"/>
        </w:rPr>
        <w:t>Board</w:t>
      </w:r>
      <w:proofErr w:type="spellEnd"/>
      <w:r w:rsidRPr="001C521F">
        <w:rPr>
          <w:rFonts w:eastAsia="Times New Roman" w:cs="Arial"/>
          <w:lang w:val="hr-HR"/>
        </w:rPr>
        <w:t xml:space="preserve"> </w:t>
      </w:r>
      <w:proofErr w:type="spellStart"/>
      <w:r w:rsidRPr="001C521F">
        <w:rPr>
          <w:rFonts w:eastAsia="Times New Roman" w:cs="Arial"/>
          <w:lang w:val="hr-HR"/>
        </w:rPr>
        <w:t>of</w:t>
      </w:r>
      <w:proofErr w:type="spellEnd"/>
      <w:r w:rsidRPr="001C521F">
        <w:rPr>
          <w:rFonts w:eastAsia="Times New Roman" w:cs="Arial"/>
          <w:lang w:val="hr-HR"/>
        </w:rPr>
        <w:t xml:space="preserve"> HBOR.</w:t>
      </w:r>
    </w:p>
    <w:p w14:paraId="62006500" w14:textId="6142ABD3" w:rsidR="00733A00" w:rsidRPr="001C521F" w:rsidRDefault="00733A00" w:rsidP="00733A00">
      <w:pPr>
        <w:spacing w:after="0" w:line="240" w:lineRule="auto"/>
        <w:jc w:val="both"/>
        <w:rPr>
          <w:rFonts w:eastAsia="Times New Roman" w:cs="Arial"/>
          <w:lang w:val="hr-HR"/>
        </w:rPr>
      </w:pPr>
      <w:r w:rsidRPr="001C521F">
        <w:rPr>
          <w:rFonts w:eastAsia="Times New Roman" w:cs="Arial"/>
          <w:lang w:val="hr-HR"/>
        </w:rPr>
        <w:t xml:space="preserve">As </w:t>
      </w:r>
      <w:proofErr w:type="spellStart"/>
      <w:r w:rsidRPr="001C521F">
        <w:rPr>
          <w:rFonts w:eastAsia="Times New Roman" w:cs="Arial"/>
          <w:lang w:val="hr-HR"/>
        </w:rPr>
        <w:t>of</w:t>
      </w:r>
      <w:proofErr w:type="spellEnd"/>
      <w:r w:rsidRPr="001C521F">
        <w:rPr>
          <w:rFonts w:eastAsia="Times New Roman" w:cs="Arial"/>
          <w:lang w:val="hr-HR"/>
        </w:rPr>
        <w:t xml:space="preserve"> 16 </w:t>
      </w:r>
      <w:proofErr w:type="spellStart"/>
      <w:r w:rsidRPr="001C521F">
        <w:rPr>
          <w:rFonts w:eastAsia="Times New Roman" w:cs="Arial"/>
          <w:lang w:val="hr-HR"/>
        </w:rPr>
        <w:t>October</w:t>
      </w:r>
      <w:proofErr w:type="spellEnd"/>
      <w:r w:rsidRPr="001C521F">
        <w:rPr>
          <w:rFonts w:eastAsia="Times New Roman" w:cs="Arial"/>
          <w:lang w:val="hr-HR"/>
        </w:rPr>
        <w:t xml:space="preserve"> 2017, Tamara Perko, </w:t>
      </w:r>
      <w:proofErr w:type="spellStart"/>
      <w:r w:rsidRPr="001C521F">
        <w:rPr>
          <w:rFonts w:eastAsia="Times New Roman" w:cs="Arial"/>
          <w:lang w:val="hr-HR"/>
        </w:rPr>
        <w:t>MSc</w:t>
      </w:r>
      <w:proofErr w:type="spellEnd"/>
      <w:r w:rsidRPr="001C521F">
        <w:rPr>
          <w:rFonts w:eastAsia="Times New Roman" w:cs="Arial"/>
          <w:lang w:val="hr-HR"/>
        </w:rPr>
        <w:t xml:space="preserve"> </w:t>
      </w:r>
      <w:proofErr w:type="spellStart"/>
      <w:r w:rsidRPr="001C521F">
        <w:rPr>
          <w:rFonts w:eastAsia="Times New Roman" w:cs="Arial"/>
          <w:lang w:val="hr-HR"/>
        </w:rPr>
        <w:t>is</w:t>
      </w:r>
      <w:proofErr w:type="spellEnd"/>
      <w:r w:rsidRPr="001C521F">
        <w:rPr>
          <w:rFonts w:eastAsia="Times New Roman" w:cs="Arial"/>
          <w:lang w:val="hr-HR"/>
        </w:rPr>
        <w:t xml:space="preserve"> </w:t>
      </w:r>
      <w:proofErr w:type="spellStart"/>
      <w:r w:rsidRPr="001C521F">
        <w:rPr>
          <w:rFonts w:eastAsia="Times New Roman" w:cs="Arial"/>
          <w:lang w:val="hr-HR"/>
        </w:rPr>
        <w:t>appointed</w:t>
      </w:r>
      <w:proofErr w:type="spellEnd"/>
      <w:r w:rsidRPr="001C521F">
        <w:rPr>
          <w:rFonts w:eastAsia="Times New Roman" w:cs="Arial"/>
          <w:lang w:val="hr-HR"/>
        </w:rPr>
        <w:t xml:space="preserve"> </w:t>
      </w:r>
      <w:proofErr w:type="spellStart"/>
      <w:r w:rsidRPr="001C521F">
        <w:rPr>
          <w:rFonts w:eastAsia="Times New Roman" w:cs="Arial"/>
          <w:lang w:val="hr-HR"/>
        </w:rPr>
        <w:t>President</w:t>
      </w:r>
      <w:proofErr w:type="spellEnd"/>
      <w:r w:rsidRPr="001C521F">
        <w:rPr>
          <w:rFonts w:eastAsia="Times New Roman" w:cs="Arial"/>
          <w:lang w:val="hr-HR"/>
        </w:rPr>
        <w:t xml:space="preserve"> </w:t>
      </w:r>
      <w:proofErr w:type="spellStart"/>
      <w:r w:rsidRPr="001C521F">
        <w:rPr>
          <w:rFonts w:eastAsia="Times New Roman" w:cs="Arial"/>
          <w:lang w:val="hr-HR"/>
        </w:rPr>
        <w:t>of</w:t>
      </w:r>
      <w:proofErr w:type="spellEnd"/>
      <w:r w:rsidRPr="001C521F">
        <w:rPr>
          <w:rFonts w:eastAsia="Times New Roman" w:cs="Arial"/>
          <w:lang w:val="hr-HR"/>
        </w:rPr>
        <w:t xml:space="preserve"> </w:t>
      </w:r>
      <w:proofErr w:type="spellStart"/>
      <w:r w:rsidRPr="001C521F">
        <w:rPr>
          <w:rFonts w:eastAsia="Times New Roman" w:cs="Arial"/>
          <w:lang w:val="hr-HR"/>
        </w:rPr>
        <w:t>the</w:t>
      </w:r>
      <w:proofErr w:type="spellEnd"/>
      <w:r w:rsidRPr="001C521F">
        <w:rPr>
          <w:rFonts w:eastAsia="Times New Roman" w:cs="Arial"/>
          <w:lang w:val="hr-HR"/>
        </w:rPr>
        <w:t xml:space="preserve"> Management </w:t>
      </w:r>
      <w:proofErr w:type="spellStart"/>
      <w:r w:rsidRPr="001C521F">
        <w:rPr>
          <w:rFonts w:eastAsia="Times New Roman" w:cs="Arial"/>
          <w:lang w:val="hr-HR"/>
        </w:rPr>
        <w:t>Board</w:t>
      </w:r>
      <w:proofErr w:type="spellEnd"/>
      <w:r w:rsidRPr="001C521F">
        <w:rPr>
          <w:rFonts w:eastAsia="Times New Roman" w:cs="Arial"/>
          <w:lang w:val="hr-HR"/>
        </w:rPr>
        <w:t xml:space="preserve"> </w:t>
      </w:r>
      <w:proofErr w:type="spellStart"/>
      <w:r w:rsidRPr="001C521F">
        <w:rPr>
          <w:rFonts w:eastAsia="Times New Roman" w:cs="Arial"/>
          <w:lang w:val="hr-HR"/>
        </w:rPr>
        <w:t>of</w:t>
      </w:r>
      <w:proofErr w:type="spellEnd"/>
      <w:r w:rsidRPr="001C521F">
        <w:rPr>
          <w:rFonts w:eastAsia="Times New Roman" w:cs="Arial"/>
          <w:lang w:val="hr-HR"/>
        </w:rPr>
        <w:t xml:space="preserve"> HBOR, </w:t>
      </w:r>
      <w:proofErr w:type="spellStart"/>
      <w:r w:rsidRPr="001C521F">
        <w:rPr>
          <w:rFonts w:eastAsia="Times New Roman" w:cs="Arial"/>
          <w:lang w:val="hr-HR"/>
        </w:rPr>
        <w:t>and</w:t>
      </w:r>
      <w:proofErr w:type="spellEnd"/>
      <w:r w:rsidRPr="001C521F">
        <w:rPr>
          <w:rFonts w:eastAsia="Times New Roman" w:cs="Arial"/>
          <w:lang w:val="hr-HR"/>
        </w:rPr>
        <w:t xml:space="preserve"> Hrvoje Čuvalo, </w:t>
      </w:r>
      <w:proofErr w:type="spellStart"/>
      <w:r w:rsidRPr="001C521F">
        <w:rPr>
          <w:rFonts w:eastAsia="Times New Roman" w:cs="Arial"/>
          <w:lang w:val="hr-HR"/>
        </w:rPr>
        <w:t>MSc</w:t>
      </w:r>
      <w:proofErr w:type="spellEnd"/>
      <w:r w:rsidRPr="001C521F">
        <w:rPr>
          <w:rFonts w:eastAsia="Times New Roman" w:cs="Arial"/>
          <w:lang w:val="hr-HR"/>
        </w:rPr>
        <w:t xml:space="preserve">, </w:t>
      </w:r>
      <w:proofErr w:type="spellStart"/>
      <w:r w:rsidRPr="001C521F">
        <w:rPr>
          <w:rFonts w:eastAsia="Times New Roman" w:cs="Arial"/>
          <w:lang w:val="hr-HR"/>
        </w:rPr>
        <w:t>Member</w:t>
      </w:r>
      <w:proofErr w:type="spellEnd"/>
      <w:r w:rsidRPr="001C521F">
        <w:rPr>
          <w:rFonts w:eastAsia="Times New Roman" w:cs="Arial"/>
          <w:lang w:val="hr-HR"/>
        </w:rPr>
        <w:t xml:space="preserve"> </w:t>
      </w:r>
      <w:proofErr w:type="spellStart"/>
      <w:r w:rsidRPr="001C521F">
        <w:rPr>
          <w:rFonts w:eastAsia="Times New Roman" w:cs="Arial"/>
          <w:lang w:val="hr-HR"/>
        </w:rPr>
        <w:t>of</w:t>
      </w:r>
      <w:proofErr w:type="spellEnd"/>
      <w:r w:rsidRPr="001C521F">
        <w:rPr>
          <w:rFonts w:eastAsia="Times New Roman" w:cs="Arial"/>
          <w:lang w:val="hr-HR"/>
        </w:rPr>
        <w:t xml:space="preserve"> </w:t>
      </w:r>
      <w:proofErr w:type="spellStart"/>
      <w:r w:rsidRPr="001C521F">
        <w:rPr>
          <w:rFonts w:eastAsia="Times New Roman" w:cs="Arial"/>
          <w:lang w:val="hr-HR"/>
        </w:rPr>
        <w:t>the</w:t>
      </w:r>
      <w:proofErr w:type="spellEnd"/>
      <w:r w:rsidRPr="001C521F">
        <w:rPr>
          <w:rFonts w:eastAsia="Times New Roman" w:cs="Arial"/>
          <w:lang w:val="hr-HR"/>
        </w:rPr>
        <w:t xml:space="preserve"> Management </w:t>
      </w:r>
      <w:proofErr w:type="spellStart"/>
      <w:r w:rsidRPr="001C521F">
        <w:rPr>
          <w:rFonts w:eastAsia="Times New Roman" w:cs="Arial"/>
          <w:lang w:val="hr-HR"/>
        </w:rPr>
        <w:t>Board</w:t>
      </w:r>
      <w:proofErr w:type="spellEnd"/>
      <w:r w:rsidRPr="001C521F">
        <w:rPr>
          <w:rFonts w:eastAsia="Times New Roman" w:cs="Arial"/>
          <w:lang w:val="hr-HR"/>
        </w:rPr>
        <w:t xml:space="preserve">. </w:t>
      </w:r>
    </w:p>
    <w:p w14:paraId="442F9A33" w14:textId="1A856FF0" w:rsidR="00733A00" w:rsidRDefault="00733A00" w:rsidP="00733A00">
      <w:pPr>
        <w:spacing w:after="0" w:line="240" w:lineRule="auto"/>
        <w:jc w:val="both"/>
        <w:rPr>
          <w:rFonts w:eastAsia="Times New Roman" w:cs="Arial"/>
          <w:lang w:val="hr-HR"/>
        </w:rPr>
      </w:pPr>
      <w:proofErr w:type="spellStart"/>
      <w:r w:rsidRPr="001C521F">
        <w:rPr>
          <w:rFonts w:eastAsia="Times New Roman" w:cs="Arial"/>
          <w:lang w:val="hr-HR"/>
        </w:rPr>
        <w:t>The</w:t>
      </w:r>
      <w:proofErr w:type="spellEnd"/>
      <w:r w:rsidRPr="001C521F">
        <w:rPr>
          <w:rFonts w:eastAsia="Times New Roman" w:cs="Arial"/>
          <w:lang w:val="hr-HR"/>
        </w:rPr>
        <w:t xml:space="preserve"> </w:t>
      </w:r>
      <w:proofErr w:type="spellStart"/>
      <w:r w:rsidRPr="001C521F">
        <w:rPr>
          <w:rFonts w:eastAsia="Times New Roman" w:cs="Arial"/>
          <w:lang w:val="hr-HR"/>
        </w:rPr>
        <w:t>new</w:t>
      </w:r>
      <w:proofErr w:type="spellEnd"/>
      <w:r w:rsidR="003F45A7">
        <w:rPr>
          <w:rFonts w:eastAsia="Times New Roman" w:cs="Arial"/>
          <w:lang w:val="hr-HR"/>
        </w:rPr>
        <w:t xml:space="preserve"> Management </w:t>
      </w:r>
      <w:proofErr w:type="spellStart"/>
      <w:r w:rsidR="003F45A7">
        <w:rPr>
          <w:rFonts w:eastAsia="Times New Roman" w:cs="Arial"/>
          <w:lang w:val="hr-HR"/>
        </w:rPr>
        <w:t>Board</w:t>
      </w:r>
      <w:proofErr w:type="spellEnd"/>
      <w:r w:rsidR="003F45A7">
        <w:rPr>
          <w:rFonts w:eastAsia="Times New Roman" w:cs="Arial"/>
          <w:lang w:val="hr-HR"/>
        </w:rPr>
        <w:t xml:space="preserve"> </w:t>
      </w:r>
      <w:proofErr w:type="spellStart"/>
      <w:r w:rsidR="003F45A7">
        <w:rPr>
          <w:rFonts w:eastAsia="Times New Roman" w:cs="Arial"/>
          <w:lang w:val="hr-HR"/>
        </w:rPr>
        <w:t>is</w:t>
      </w:r>
      <w:proofErr w:type="spellEnd"/>
      <w:r w:rsidR="003F45A7">
        <w:rPr>
          <w:rFonts w:eastAsia="Times New Roman" w:cs="Arial"/>
          <w:lang w:val="hr-HR"/>
        </w:rPr>
        <w:t xml:space="preserve"> </w:t>
      </w:r>
      <w:proofErr w:type="spellStart"/>
      <w:r w:rsidR="003F45A7">
        <w:rPr>
          <w:rFonts w:eastAsia="Times New Roman" w:cs="Arial"/>
          <w:lang w:val="hr-HR"/>
        </w:rPr>
        <w:t>appointed</w:t>
      </w:r>
      <w:proofErr w:type="spellEnd"/>
      <w:r w:rsidR="003F45A7">
        <w:rPr>
          <w:rFonts w:eastAsia="Times New Roman" w:cs="Arial"/>
          <w:lang w:val="hr-HR"/>
        </w:rPr>
        <w:t xml:space="preserve"> f</w:t>
      </w:r>
      <w:r w:rsidRPr="001C521F">
        <w:rPr>
          <w:rFonts w:eastAsia="Times New Roman" w:cs="Arial"/>
          <w:lang w:val="hr-HR"/>
        </w:rPr>
        <w:t xml:space="preserve">or a </w:t>
      </w:r>
      <w:proofErr w:type="spellStart"/>
      <w:r w:rsidRPr="001C521F">
        <w:rPr>
          <w:rFonts w:eastAsia="Times New Roman" w:cs="Arial"/>
          <w:lang w:val="hr-HR"/>
        </w:rPr>
        <w:t>five-year</w:t>
      </w:r>
      <w:proofErr w:type="spellEnd"/>
      <w:r w:rsidRPr="001C521F">
        <w:rPr>
          <w:rFonts w:eastAsia="Times New Roman" w:cs="Arial"/>
          <w:lang w:val="hr-HR"/>
        </w:rPr>
        <w:t xml:space="preserve"> </w:t>
      </w:r>
      <w:proofErr w:type="spellStart"/>
      <w:r w:rsidRPr="001C521F">
        <w:rPr>
          <w:rFonts w:eastAsia="Times New Roman" w:cs="Arial"/>
          <w:lang w:val="hr-HR"/>
        </w:rPr>
        <w:t>term</w:t>
      </w:r>
      <w:proofErr w:type="spellEnd"/>
      <w:r w:rsidRPr="001C521F">
        <w:rPr>
          <w:rFonts w:eastAsia="Times New Roman" w:cs="Arial"/>
          <w:lang w:val="hr-HR"/>
        </w:rPr>
        <w:t xml:space="preserve"> </w:t>
      </w:r>
      <w:proofErr w:type="spellStart"/>
      <w:r w:rsidRPr="001C521F">
        <w:rPr>
          <w:rFonts w:eastAsia="Times New Roman" w:cs="Arial"/>
          <w:lang w:val="hr-HR"/>
        </w:rPr>
        <w:t>of</w:t>
      </w:r>
      <w:proofErr w:type="spellEnd"/>
      <w:r w:rsidRPr="001C521F">
        <w:rPr>
          <w:rFonts w:eastAsia="Times New Roman" w:cs="Arial"/>
          <w:lang w:val="hr-HR"/>
        </w:rPr>
        <w:t xml:space="preserve"> </w:t>
      </w:r>
      <w:proofErr w:type="spellStart"/>
      <w:r w:rsidRPr="001C521F">
        <w:rPr>
          <w:rFonts w:eastAsia="Times New Roman" w:cs="Arial"/>
          <w:lang w:val="hr-HR"/>
        </w:rPr>
        <w:t>office</w:t>
      </w:r>
      <w:proofErr w:type="spellEnd"/>
      <w:r w:rsidRPr="001C521F">
        <w:rPr>
          <w:rFonts w:eastAsia="Times New Roman" w:cs="Arial"/>
          <w:lang w:val="hr-HR"/>
        </w:rPr>
        <w:t>.</w:t>
      </w:r>
    </w:p>
    <w:p w14:paraId="0135870E" w14:textId="77777777" w:rsidR="00733A00" w:rsidRDefault="00733A00" w:rsidP="00733A00">
      <w:pPr>
        <w:spacing w:after="0" w:line="240" w:lineRule="auto"/>
        <w:jc w:val="both"/>
        <w:rPr>
          <w:rFonts w:eastAsia="Times New Roman" w:cs="Arial"/>
          <w:lang w:val="hr-HR"/>
        </w:rPr>
      </w:pPr>
    </w:p>
    <w:p w14:paraId="19B9E62D" w14:textId="4CA1F654" w:rsidR="0024074E" w:rsidRDefault="0024074E" w:rsidP="0024074E">
      <w:pPr>
        <w:tabs>
          <w:tab w:val="left" w:pos="709"/>
        </w:tabs>
        <w:spacing w:after="0" w:line="240" w:lineRule="auto"/>
        <w:jc w:val="both"/>
        <w:rPr>
          <w:rFonts w:asciiTheme="minorHAnsi" w:eastAsia="Times New Roman" w:hAnsiTheme="minorHAnsi" w:cs="Arial"/>
          <w:b/>
          <w:lang w:val="hr-HR"/>
        </w:rPr>
      </w:pPr>
      <w:r w:rsidRPr="0024074E">
        <w:rPr>
          <w:rFonts w:asciiTheme="minorHAnsi" w:eastAsia="Times New Roman" w:hAnsiTheme="minorHAnsi" w:cs="Arial"/>
          <w:b/>
          <w:lang w:val="hr-HR"/>
        </w:rPr>
        <w:t xml:space="preserve">20.2. </w:t>
      </w:r>
      <w:proofErr w:type="spellStart"/>
      <w:r>
        <w:rPr>
          <w:rFonts w:asciiTheme="minorHAnsi" w:eastAsia="Times New Roman" w:hAnsiTheme="minorHAnsi" w:cs="Arial"/>
          <w:b/>
          <w:lang w:val="hr-HR"/>
        </w:rPr>
        <w:t>Raising</w:t>
      </w:r>
      <w:proofErr w:type="spellEnd"/>
      <w:r>
        <w:rPr>
          <w:rFonts w:asciiTheme="minorHAnsi" w:eastAsia="Times New Roman" w:hAnsiTheme="minorHAnsi" w:cs="Arial"/>
          <w:b/>
          <w:lang w:val="hr-HR"/>
        </w:rPr>
        <w:t xml:space="preserve"> </w:t>
      </w:r>
      <w:proofErr w:type="spellStart"/>
      <w:r>
        <w:rPr>
          <w:rFonts w:asciiTheme="minorHAnsi" w:eastAsia="Times New Roman" w:hAnsiTheme="minorHAnsi" w:cs="Arial"/>
          <w:b/>
          <w:lang w:val="hr-HR"/>
        </w:rPr>
        <w:t>of</w:t>
      </w:r>
      <w:proofErr w:type="spellEnd"/>
      <w:r>
        <w:rPr>
          <w:rFonts w:asciiTheme="minorHAnsi" w:eastAsia="Times New Roman" w:hAnsiTheme="minorHAnsi" w:cs="Arial"/>
          <w:b/>
          <w:lang w:val="hr-HR"/>
        </w:rPr>
        <w:t xml:space="preserve"> </w:t>
      </w:r>
      <w:proofErr w:type="spellStart"/>
      <w:r>
        <w:rPr>
          <w:rFonts w:asciiTheme="minorHAnsi" w:eastAsia="Times New Roman" w:hAnsiTheme="minorHAnsi" w:cs="Arial"/>
          <w:b/>
          <w:lang w:val="hr-HR"/>
        </w:rPr>
        <w:t>funds</w:t>
      </w:r>
      <w:proofErr w:type="spellEnd"/>
    </w:p>
    <w:p w14:paraId="7652B941" w14:textId="77777777" w:rsidR="0024074E" w:rsidRDefault="0024074E" w:rsidP="0024074E">
      <w:pPr>
        <w:tabs>
          <w:tab w:val="left" w:pos="709"/>
        </w:tabs>
        <w:spacing w:after="0" w:line="240" w:lineRule="auto"/>
        <w:jc w:val="both"/>
        <w:rPr>
          <w:rFonts w:asciiTheme="minorHAnsi" w:eastAsia="Times New Roman" w:hAnsiTheme="minorHAnsi" w:cs="Arial"/>
          <w:b/>
          <w:lang w:val="hr-HR"/>
        </w:rPr>
      </w:pPr>
    </w:p>
    <w:p w14:paraId="5E99E7CD" w14:textId="01FF6AD7" w:rsidR="0024074E" w:rsidRDefault="0024074E" w:rsidP="0024074E">
      <w:pPr>
        <w:tabs>
          <w:tab w:val="left" w:pos="709"/>
        </w:tabs>
        <w:spacing w:after="0" w:line="240" w:lineRule="auto"/>
        <w:jc w:val="both"/>
        <w:rPr>
          <w:rFonts w:asciiTheme="minorHAnsi" w:eastAsia="Times New Roman" w:hAnsiTheme="minorHAnsi" w:cs="Arial"/>
          <w:b/>
          <w:lang w:val="hr-HR"/>
        </w:rPr>
      </w:pPr>
      <w:proofErr w:type="spellStart"/>
      <w:r>
        <w:rPr>
          <w:rFonts w:eastAsia="Times New Roman" w:cs="Arial"/>
          <w:lang w:val="hr-HR"/>
        </w:rPr>
        <w:t>After</w:t>
      </w:r>
      <w:proofErr w:type="spellEnd"/>
      <w:r>
        <w:rPr>
          <w:rFonts w:eastAsia="Times New Roman" w:cs="Arial"/>
          <w:lang w:val="hr-HR"/>
        </w:rPr>
        <w:t xml:space="preserve"> </w:t>
      </w:r>
      <w:proofErr w:type="spellStart"/>
      <w:r>
        <w:rPr>
          <w:rFonts w:eastAsia="Times New Roman" w:cs="Arial"/>
          <w:lang w:val="hr-HR"/>
        </w:rPr>
        <w:t>the</w:t>
      </w:r>
      <w:proofErr w:type="spellEnd"/>
      <w:r>
        <w:rPr>
          <w:rFonts w:eastAsia="Times New Roman" w:cs="Arial"/>
          <w:lang w:val="hr-HR"/>
        </w:rPr>
        <w:t xml:space="preserve"> </w:t>
      </w:r>
      <w:proofErr w:type="spellStart"/>
      <w:r>
        <w:rPr>
          <w:rFonts w:eastAsia="Times New Roman" w:cs="Arial"/>
          <w:lang w:val="hr-HR"/>
        </w:rPr>
        <w:t>reporting</w:t>
      </w:r>
      <w:proofErr w:type="spellEnd"/>
      <w:r>
        <w:rPr>
          <w:rFonts w:eastAsia="Times New Roman" w:cs="Arial"/>
          <w:lang w:val="hr-HR"/>
        </w:rPr>
        <w:t xml:space="preserve"> period, on 5 </w:t>
      </w:r>
      <w:proofErr w:type="spellStart"/>
      <w:r>
        <w:rPr>
          <w:rFonts w:eastAsia="Times New Roman" w:cs="Arial"/>
          <w:lang w:val="hr-HR"/>
        </w:rPr>
        <w:t>November</w:t>
      </w:r>
      <w:proofErr w:type="spellEnd"/>
      <w:r>
        <w:rPr>
          <w:rFonts w:eastAsia="Times New Roman" w:cs="Arial"/>
          <w:lang w:val="hr-HR"/>
        </w:rPr>
        <w:t xml:space="preserve"> 2017, HBOR </w:t>
      </w:r>
      <w:proofErr w:type="spellStart"/>
      <w:r>
        <w:rPr>
          <w:rFonts w:eastAsia="Times New Roman" w:cs="Arial"/>
          <w:lang w:val="hr-HR"/>
        </w:rPr>
        <w:t>and</w:t>
      </w:r>
      <w:proofErr w:type="spellEnd"/>
      <w:r>
        <w:rPr>
          <w:rFonts w:eastAsia="Times New Roman" w:cs="Arial"/>
          <w:lang w:val="hr-HR"/>
        </w:rPr>
        <w:t xml:space="preserve"> </w:t>
      </w:r>
      <w:proofErr w:type="spellStart"/>
      <w:r>
        <w:rPr>
          <w:rFonts w:eastAsia="Times New Roman" w:cs="Arial"/>
          <w:lang w:val="hr-HR"/>
        </w:rPr>
        <w:t>the</w:t>
      </w:r>
      <w:proofErr w:type="spellEnd"/>
      <w:r>
        <w:rPr>
          <w:rFonts w:eastAsia="Times New Roman" w:cs="Arial"/>
          <w:lang w:val="hr-HR"/>
        </w:rPr>
        <w:t xml:space="preserve"> European </w:t>
      </w:r>
      <w:proofErr w:type="spellStart"/>
      <w:r>
        <w:rPr>
          <w:rFonts w:eastAsia="Times New Roman" w:cs="Arial"/>
          <w:lang w:val="hr-HR"/>
        </w:rPr>
        <w:t>Investment</w:t>
      </w:r>
      <w:proofErr w:type="spellEnd"/>
      <w:r>
        <w:rPr>
          <w:rFonts w:eastAsia="Times New Roman" w:cs="Arial"/>
          <w:lang w:val="hr-HR"/>
        </w:rPr>
        <w:t xml:space="preserve"> Bank (EIB) </w:t>
      </w:r>
      <w:proofErr w:type="spellStart"/>
      <w:r>
        <w:rPr>
          <w:rFonts w:eastAsia="Times New Roman" w:cs="Arial"/>
          <w:lang w:val="hr-HR"/>
        </w:rPr>
        <w:t>concluded</w:t>
      </w:r>
      <w:proofErr w:type="spellEnd"/>
      <w:r>
        <w:rPr>
          <w:rFonts w:eastAsia="Times New Roman" w:cs="Arial"/>
          <w:lang w:val="hr-HR"/>
        </w:rPr>
        <w:t xml:space="preserve"> </w:t>
      </w:r>
      <w:proofErr w:type="spellStart"/>
      <w:r>
        <w:rPr>
          <w:rFonts w:eastAsia="Times New Roman" w:cs="Arial"/>
          <w:lang w:val="hr-HR"/>
        </w:rPr>
        <w:t>the</w:t>
      </w:r>
      <w:proofErr w:type="spellEnd"/>
      <w:r>
        <w:rPr>
          <w:rFonts w:eastAsia="Times New Roman" w:cs="Arial"/>
          <w:lang w:val="hr-HR"/>
        </w:rPr>
        <w:t xml:space="preserve"> </w:t>
      </w:r>
      <w:proofErr w:type="spellStart"/>
      <w:r>
        <w:rPr>
          <w:rFonts w:eastAsia="Times New Roman" w:cs="Arial"/>
          <w:lang w:val="hr-HR"/>
        </w:rPr>
        <w:t>Finance</w:t>
      </w:r>
      <w:proofErr w:type="spellEnd"/>
      <w:r>
        <w:rPr>
          <w:rFonts w:eastAsia="Times New Roman" w:cs="Arial"/>
          <w:lang w:val="hr-HR"/>
        </w:rPr>
        <w:t xml:space="preserve"> </w:t>
      </w:r>
      <w:proofErr w:type="spellStart"/>
      <w:r>
        <w:rPr>
          <w:rFonts w:eastAsia="Times New Roman" w:cs="Arial"/>
          <w:lang w:val="hr-HR"/>
        </w:rPr>
        <w:t>Contract</w:t>
      </w:r>
      <w:proofErr w:type="spellEnd"/>
      <w:r>
        <w:rPr>
          <w:rFonts w:eastAsia="Times New Roman" w:cs="Arial"/>
          <w:lang w:val="hr-HR"/>
        </w:rPr>
        <w:t xml:space="preserve"> </w:t>
      </w:r>
      <w:proofErr w:type="spellStart"/>
      <w:r>
        <w:rPr>
          <w:rFonts w:eastAsia="Times New Roman" w:cs="Arial"/>
          <w:lang w:val="hr-HR"/>
        </w:rPr>
        <w:t>in</w:t>
      </w:r>
      <w:proofErr w:type="spellEnd"/>
      <w:r>
        <w:rPr>
          <w:rFonts w:eastAsia="Times New Roman" w:cs="Arial"/>
          <w:lang w:val="hr-HR"/>
        </w:rPr>
        <w:t xml:space="preserve"> </w:t>
      </w:r>
      <w:proofErr w:type="spellStart"/>
      <w:r>
        <w:rPr>
          <w:rFonts w:eastAsia="Times New Roman" w:cs="Arial"/>
          <w:lang w:val="hr-HR"/>
        </w:rPr>
        <w:t>the</w:t>
      </w:r>
      <w:proofErr w:type="spellEnd"/>
      <w:r>
        <w:rPr>
          <w:rFonts w:eastAsia="Times New Roman" w:cs="Arial"/>
          <w:lang w:val="hr-HR"/>
        </w:rPr>
        <w:t xml:space="preserve"> </w:t>
      </w:r>
      <w:proofErr w:type="spellStart"/>
      <w:r>
        <w:rPr>
          <w:rFonts w:eastAsia="Times New Roman" w:cs="Arial"/>
          <w:lang w:val="hr-HR"/>
        </w:rPr>
        <w:t>amount</w:t>
      </w:r>
      <w:proofErr w:type="spellEnd"/>
      <w:r>
        <w:rPr>
          <w:rFonts w:eastAsia="Times New Roman" w:cs="Arial"/>
          <w:lang w:val="hr-HR"/>
        </w:rPr>
        <w:t xml:space="preserve"> </w:t>
      </w:r>
      <w:proofErr w:type="spellStart"/>
      <w:r>
        <w:rPr>
          <w:rFonts w:eastAsia="Times New Roman" w:cs="Arial"/>
          <w:lang w:val="hr-HR"/>
        </w:rPr>
        <w:t>of</w:t>
      </w:r>
      <w:proofErr w:type="spellEnd"/>
      <w:r>
        <w:rPr>
          <w:rFonts w:eastAsia="Times New Roman" w:cs="Arial"/>
          <w:lang w:val="hr-HR"/>
        </w:rPr>
        <w:t xml:space="preserve"> EUR 250,000 </w:t>
      </w:r>
      <w:proofErr w:type="spellStart"/>
      <w:r>
        <w:rPr>
          <w:rFonts w:eastAsia="Times New Roman" w:cs="Arial"/>
          <w:lang w:val="hr-HR"/>
        </w:rPr>
        <w:t>thousand</w:t>
      </w:r>
      <w:proofErr w:type="spellEnd"/>
      <w:r>
        <w:rPr>
          <w:rFonts w:eastAsia="Times New Roman" w:cs="Arial"/>
          <w:lang w:val="hr-HR"/>
        </w:rPr>
        <w:t xml:space="preserve"> for </w:t>
      </w:r>
      <w:proofErr w:type="spellStart"/>
      <w:r>
        <w:rPr>
          <w:rFonts w:eastAsia="Times New Roman" w:cs="Arial"/>
          <w:lang w:val="hr-HR"/>
        </w:rPr>
        <w:t>financing</w:t>
      </w:r>
      <w:proofErr w:type="spellEnd"/>
      <w:r>
        <w:rPr>
          <w:rFonts w:eastAsia="Times New Roman" w:cs="Arial"/>
          <w:lang w:val="hr-HR"/>
        </w:rPr>
        <w:t xml:space="preserve"> </w:t>
      </w:r>
      <w:proofErr w:type="spellStart"/>
      <w:r w:rsidR="00C00F17">
        <w:rPr>
          <w:rFonts w:eastAsia="Times New Roman" w:cs="Arial"/>
          <w:lang w:val="hr-HR"/>
        </w:rPr>
        <w:t>the</w:t>
      </w:r>
      <w:proofErr w:type="spellEnd"/>
      <w:r w:rsidR="00C00F17">
        <w:rPr>
          <w:rFonts w:eastAsia="Times New Roman" w:cs="Arial"/>
          <w:lang w:val="hr-HR"/>
        </w:rPr>
        <w:t xml:space="preserve"> </w:t>
      </w:r>
      <w:proofErr w:type="spellStart"/>
      <w:r w:rsidR="00C00F17">
        <w:rPr>
          <w:rFonts w:eastAsia="Times New Roman" w:cs="Arial"/>
          <w:lang w:val="hr-HR"/>
        </w:rPr>
        <w:t>projects</w:t>
      </w:r>
      <w:proofErr w:type="spellEnd"/>
      <w:r w:rsidR="00C00F17">
        <w:rPr>
          <w:rFonts w:eastAsia="Times New Roman" w:cs="Arial"/>
          <w:lang w:val="hr-HR"/>
        </w:rPr>
        <w:t xml:space="preserve"> </w:t>
      </w:r>
      <w:proofErr w:type="spellStart"/>
      <w:r w:rsidR="00C00F17">
        <w:rPr>
          <w:rFonts w:eastAsia="Times New Roman" w:cs="Arial"/>
          <w:lang w:val="hr-HR"/>
        </w:rPr>
        <w:t>of</w:t>
      </w:r>
      <w:proofErr w:type="spellEnd"/>
      <w:r w:rsidR="00C00F17">
        <w:rPr>
          <w:rFonts w:eastAsia="Times New Roman" w:cs="Arial"/>
          <w:lang w:val="hr-HR"/>
        </w:rPr>
        <w:t xml:space="preserve"> </w:t>
      </w:r>
      <w:proofErr w:type="spellStart"/>
      <w:r w:rsidR="00C00F17">
        <w:rPr>
          <w:rFonts w:eastAsia="Times New Roman" w:cs="Arial"/>
          <w:lang w:val="hr-HR"/>
        </w:rPr>
        <w:t>small</w:t>
      </w:r>
      <w:proofErr w:type="spellEnd"/>
      <w:r w:rsidR="00C00F17">
        <w:rPr>
          <w:rFonts w:eastAsia="Times New Roman" w:cs="Arial"/>
          <w:lang w:val="hr-HR"/>
        </w:rPr>
        <w:t xml:space="preserve"> </w:t>
      </w:r>
      <w:proofErr w:type="spellStart"/>
      <w:r w:rsidR="00C00F17">
        <w:rPr>
          <w:rFonts w:eastAsia="Times New Roman" w:cs="Arial"/>
          <w:lang w:val="hr-HR"/>
        </w:rPr>
        <w:t>and</w:t>
      </w:r>
      <w:proofErr w:type="spellEnd"/>
      <w:r w:rsidR="00C00F17">
        <w:rPr>
          <w:rFonts w:eastAsia="Times New Roman" w:cs="Arial"/>
          <w:lang w:val="hr-HR"/>
        </w:rPr>
        <w:t xml:space="preserve"> </w:t>
      </w:r>
      <w:proofErr w:type="spellStart"/>
      <w:r w:rsidR="00C00F17">
        <w:rPr>
          <w:rFonts w:eastAsia="Times New Roman" w:cs="Arial"/>
          <w:lang w:val="hr-HR"/>
        </w:rPr>
        <w:t>medium-sized</w:t>
      </w:r>
      <w:proofErr w:type="spellEnd"/>
      <w:r w:rsidR="00C00F17">
        <w:rPr>
          <w:rFonts w:eastAsia="Times New Roman" w:cs="Arial"/>
          <w:lang w:val="hr-HR"/>
        </w:rPr>
        <w:t xml:space="preserve"> </w:t>
      </w:r>
      <w:proofErr w:type="spellStart"/>
      <w:r w:rsidR="00C00F17">
        <w:rPr>
          <w:rFonts w:eastAsia="Times New Roman" w:cs="Arial"/>
          <w:lang w:val="hr-HR"/>
        </w:rPr>
        <w:t>enterprises</w:t>
      </w:r>
      <w:proofErr w:type="spellEnd"/>
      <w:r w:rsidR="00C00F17">
        <w:rPr>
          <w:rFonts w:eastAsia="Times New Roman" w:cs="Arial"/>
          <w:lang w:val="hr-HR"/>
        </w:rPr>
        <w:t>.</w:t>
      </w:r>
    </w:p>
    <w:p w14:paraId="613BC283" w14:textId="77777777" w:rsidR="0024074E" w:rsidRDefault="0024074E" w:rsidP="0024074E">
      <w:pPr>
        <w:tabs>
          <w:tab w:val="left" w:pos="709"/>
        </w:tabs>
        <w:spacing w:after="0" w:line="240" w:lineRule="auto"/>
        <w:jc w:val="both"/>
        <w:rPr>
          <w:rFonts w:asciiTheme="minorHAnsi" w:eastAsia="Times New Roman" w:hAnsiTheme="minorHAnsi" w:cs="Arial"/>
          <w:b/>
          <w:lang w:val="hr-HR"/>
        </w:rPr>
      </w:pPr>
    </w:p>
    <w:p w14:paraId="7C73CD14" w14:textId="77777777" w:rsidR="0024074E" w:rsidRPr="0024074E" w:rsidRDefault="0024074E" w:rsidP="0024074E">
      <w:pPr>
        <w:tabs>
          <w:tab w:val="left" w:pos="709"/>
        </w:tabs>
        <w:spacing w:after="0" w:line="240" w:lineRule="auto"/>
        <w:jc w:val="both"/>
        <w:rPr>
          <w:rFonts w:asciiTheme="minorHAnsi" w:eastAsia="Times New Roman" w:hAnsiTheme="minorHAnsi" w:cs="Arial"/>
          <w:b/>
          <w:lang w:val="hr-HR"/>
        </w:rPr>
      </w:pPr>
    </w:p>
    <w:p w14:paraId="7F1B3824" w14:textId="77777777" w:rsidR="0024074E" w:rsidRPr="001C521F" w:rsidRDefault="0024074E" w:rsidP="00733A00">
      <w:pPr>
        <w:spacing w:after="0" w:line="240" w:lineRule="auto"/>
        <w:jc w:val="both"/>
        <w:rPr>
          <w:rFonts w:eastAsia="Times New Roman" w:cs="Arial"/>
          <w:lang w:val="hr-HR"/>
        </w:rPr>
      </w:pPr>
    </w:p>
    <w:p w14:paraId="4B359565" w14:textId="77777777" w:rsidR="00733A00" w:rsidRPr="00166751" w:rsidRDefault="00733A00" w:rsidP="006020D9">
      <w:pPr>
        <w:tabs>
          <w:tab w:val="left" w:pos="567"/>
        </w:tabs>
        <w:spacing w:after="0" w:line="240" w:lineRule="auto"/>
        <w:jc w:val="both"/>
        <w:rPr>
          <w:rFonts w:asciiTheme="minorHAnsi" w:eastAsia="Times New Roman" w:hAnsiTheme="minorHAnsi" w:cs="Arial"/>
          <w:b/>
        </w:rPr>
      </w:pPr>
    </w:p>
    <w:p w14:paraId="2C160C10" w14:textId="77777777" w:rsidR="009702B0" w:rsidRPr="009702B0" w:rsidRDefault="009702B0" w:rsidP="009702B0">
      <w:pPr>
        <w:spacing w:after="0" w:line="240" w:lineRule="auto"/>
        <w:jc w:val="both"/>
        <w:rPr>
          <w:rFonts w:eastAsia="Times New Roman"/>
          <w:bCs/>
        </w:rPr>
      </w:pPr>
    </w:p>
    <w:tbl>
      <w:tblPr>
        <w:tblpPr w:leftFromText="181" w:rightFromText="181" w:vertAnchor="page" w:horzAnchor="margin" w:tblpY="2409"/>
        <w:tblOverlap w:val="never"/>
        <w:tblW w:w="9464" w:type="dxa"/>
        <w:tblLayout w:type="fixed"/>
        <w:tblLook w:val="04A0" w:firstRow="1" w:lastRow="0" w:firstColumn="1" w:lastColumn="0" w:noHBand="0" w:noVBand="1"/>
      </w:tblPr>
      <w:tblGrid>
        <w:gridCol w:w="6626"/>
        <w:gridCol w:w="1456"/>
        <w:gridCol w:w="1382"/>
      </w:tblGrid>
      <w:tr w:rsidR="001004B1" w:rsidRPr="001004B1" w14:paraId="02C4C7D9" w14:textId="77777777" w:rsidTr="002F749B">
        <w:trPr>
          <w:trHeight w:val="85"/>
        </w:trPr>
        <w:tc>
          <w:tcPr>
            <w:tcW w:w="6626" w:type="dxa"/>
            <w:vAlign w:val="bottom"/>
          </w:tcPr>
          <w:p w14:paraId="10FF9056" w14:textId="77777777" w:rsidR="001004B1" w:rsidRPr="001004B1" w:rsidRDefault="001004B1" w:rsidP="002F749B">
            <w:pPr>
              <w:spacing w:after="0" w:line="220" w:lineRule="exact"/>
              <w:rPr>
                <w:rFonts w:asciiTheme="minorHAnsi" w:eastAsia="Times New Roman" w:hAnsiTheme="minorHAnsi" w:cs="Arial"/>
                <w:b/>
                <w:bCs/>
                <w:sz w:val="18"/>
                <w:szCs w:val="18"/>
              </w:rPr>
            </w:pPr>
          </w:p>
        </w:tc>
        <w:tc>
          <w:tcPr>
            <w:tcW w:w="1456" w:type="dxa"/>
            <w:noWrap/>
            <w:vAlign w:val="center"/>
            <w:hideMark/>
          </w:tcPr>
          <w:p w14:paraId="3750E91E" w14:textId="76B4CECE" w:rsidR="001004B1" w:rsidRPr="001004B1" w:rsidRDefault="00895CCA" w:rsidP="001004B1">
            <w:pPr>
              <w:spacing w:after="0" w:line="240" w:lineRule="auto"/>
              <w:jc w:val="right"/>
              <w:rPr>
                <w:rFonts w:eastAsia="Times New Roman" w:cs="Arial"/>
                <w:b/>
                <w:bCs/>
                <w:sz w:val="18"/>
                <w:szCs w:val="18"/>
              </w:rPr>
            </w:pPr>
            <w:r>
              <w:rPr>
                <w:rFonts w:eastAsia="Times New Roman" w:cs="Arial"/>
                <w:b/>
                <w:bCs/>
                <w:sz w:val="18"/>
                <w:szCs w:val="18"/>
              </w:rPr>
              <w:t xml:space="preserve">Sep </w:t>
            </w:r>
            <w:r w:rsidR="000815D0">
              <w:rPr>
                <w:rFonts w:eastAsia="Times New Roman" w:cs="Arial"/>
                <w:b/>
                <w:bCs/>
                <w:sz w:val="18"/>
                <w:szCs w:val="18"/>
              </w:rPr>
              <w:t>30</w:t>
            </w:r>
            <w:r w:rsidR="001004B1" w:rsidRPr="001004B1">
              <w:rPr>
                <w:rFonts w:eastAsia="Times New Roman" w:cs="Arial"/>
                <w:b/>
                <w:bCs/>
                <w:sz w:val="18"/>
                <w:szCs w:val="18"/>
              </w:rPr>
              <w:t>, 2017</w:t>
            </w:r>
          </w:p>
        </w:tc>
        <w:tc>
          <w:tcPr>
            <w:tcW w:w="1382" w:type="dxa"/>
            <w:vAlign w:val="center"/>
            <w:hideMark/>
          </w:tcPr>
          <w:p w14:paraId="360BEE61" w14:textId="116EA276" w:rsidR="001004B1" w:rsidRPr="001004B1" w:rsidRDefault="00895CCA" w:rsidP="001004B1">
            <w:pPr>
              <w:spacing w:after="0" w:line="240" w:lineRule="auto"/>
              <w:jc w:val="right"/>
              <w:rPr>
                <w:rFonts w:eastAsia="Times New Roman" w:cs="Arial"/>
                <w:b/>
                <w:bCs/>
                <w:sz w:val="18"/>
                <w:szCs w:val="18"/>
              </w:rPr>
            </w:pPr>
            <w:r>
              <w:rPr>
                <w:rFonts w:eastAsia="Times New Roman" w:cs="Arial"/>
                <w:b/>
                <w:bCs/>
                <w:sz w:val="18"/>
                <w:szCs w:val="18"/>
              </w:rPr>
              <w:t xml:space="preserve">Sep </w:t>
            </w:r>
            <w:r w:rsidR="000815D0">
              <w:rPr>
                <w:rFonts w:eastAsia="Times New Roman" w:cs="Arial"/>
                <w:b/>
                <w:bCs/>
                <w:sz w:val="18"/>
                <w:szCs w:val="18"/>
              </w:rPr>
              <w:t>30</w:t>
            </w:r>
            <w:r w:rsidR="001004B1" w:rsidRPr="001004B1">
              <w:rPr>
                <w:rFonts w:eastAsia="Times New Roman" w:cs="Arial"/>
                <w:b/>
                <w:bCs/>
                <w:sz w:val="18"/>
                <w:szCs w:val="18"/>
              </w:rPr>
              <w:t>, 2016</w:t>
            </w:r>
          </w:p>
        </w:tc>
      </w:tr>
      <w:tr w:rsidR="001004B1" w:rsidRPr="001004B1" w14:paraId="31D18D75" w14:textId="77777777" w:rsidTr="002F749B">
        <w:trPr>
          <w:trHeight w:val="42"/>
        </w:trPr>
        <w:tc>
          <w:tcPr>
            <w:tcW w:w="6626" w:type="dxa"/>
            <w:vAlign w:val="bottom"/>
          </w:tcPr>
          <w:p w14:paraId="523383AE" w14:textId="77777777" w:rsidR="001004B1" w:rsidRPr="001004B1" w:rsidRDefault="001004B1" w:rsidP="002F749B">
            <w:pPr>
              <w:spacing w:after="0" w:line="140" w:lineRule="exact"/>
              <w:rPr>
                <w:rFonts w:asciiTheme="minorHAnsi" w:eastAsia="Times New Roman" w:hAnsiTheme="minorHAnsi" w:cs="Arial"/>
                <w:sz w:val="18"/>
                <w:szCs w:val="18"/>
              </w:rPr>
            </w:pPr>
          </w:p>
        </w:tc>
        <w:tc>
          <w:tcPr>
            <w:tcW w:w="1456" w:type="dxa"/>
            <w:noWrap/>
            <w:vAlign w:val="bottom"/>
          </w:tcPr>
          <w:p w14:paraId="1D4F9EBB" w14:textId="77777777" w:rsidR="001004B1" w:rsidRPr="001004B1" w:rsidRDefault="001004B1" w:rsidP="002F749B">
            <w:pPr>
              <w:spacing w:after="0" w:line="140" w:lineRule="exact"/>
              <w:rPr>
                <w:rFonts w:asciiTheme="minorHAnsi" w:eastAsia="Times New Roman" w:hAnsiTheme="minorHAnsi" w:cs="Arial"/>
                <w:sz w:val="18"/>
                <w:szCs w:val="18"/>
              </w:rPr>
            </w:pPr>
          </w:p>
        </w:tc>
        <w:tc>
          <w:tcPr>
            <w:tcW w:w="1382" w:type="dxa"/>
          </w:tcPr>
          <w:p w14:paraId="1289215C" w14:textId="77777777" w:rsidR="001004B1" w:rsidRPr="001004B1" w:rsidRDefault="001004B1" w:rsidP="002F749B">
            <w:pPr>
              <w:spacing w:after="0" w:line="140" w:lineRule="exact"/>
              <w:rPr>
                <w:rFonts w:asciiTheme="minorHAnsi" w:eastAsia="Times New Roman" w:hAnsiTheme="minorHAnsi" w:cs="Arial"/>
                <w:sz w:val="18"/>
                <w:szCs w:val="18"/>
              </w:rPr>
            </w:pPr>
          </w:p>
        </w:tc>
      </w:tr>
      <w:tr w:rsidR="001004B1" w:rsidRPr="001004B1" w14:paraId="161FF0DB" w14:textId="77777777" w:rsidTr="002F749B">
        <w:trPr>
          <w:trHeight w:val="78"/>
        </w:trPr>
        <w:tc>
          <w:tcPr>
            <w:tcW w:w="6626" w:type="dxa"/>
            <w:vAlign w:val="bottom"/>
            <w:hideMark/>
          </w:tcPr>
          <w:p w14:paraId="4F2C7C79" w14:textId="77777777" w:rsidR="001004B1" w:rsidRPr="001004B1" w:rsidRDefault="001004B1" w:rsidP="002F749B">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Premium earned</w:t>
            </w:r>
          </w:p>
        </w:tc>
        <w:tc>
          <w:tcPr>
            <w:tcW w:w="1456" w:type="dxa"/>
            <w:noWrap/>
            <w:vAlign w:val="bottom"/>
          </w:tcPr>
          <w:p w14:paraId="78B005EB" w14:textId="77777777" w:rsidR="001004B1" w:rsidRPr="001004B1" w:rsidRDefault="001004B1" w:rsidP="002F749B">
            <w:pPr>
              <w:spacing w:after="0" w:line="220" w:lineRule="exact"/>
              <w:jc w:val="right"/>
              <w:rPr>
                <w:rFonts w:asciiTheme="minorHAnsi" w:eastAsia="Times New Roman" w:hAnsiTheme="minorHAnsi" w:cs="Arial"/>
                <w:sz w:val="18"/>
                <w:szCs w:val="18"/>
              </w:rPr>
            </w:pPr>
          </w:p>
        </w:tc>
        <w:tc>
          <w:tcPr>
            <w:tcW w:w="1382" w:type="dxa"/>
          </w:tcPr>
          <w:p w14:paraId="13E01204" w14:textId="77777777" w:rsidR="001004B1" w:rsidRPr="001004B1" w:rsidRDefault="001004B1" w:rsidP="002F749B">
            <w:pPr>
              <w:spacing w:after="0" w:line="220" w:lineRule="exact"/>
              <w:jc w:val="right"/>
              <w:rPr>
                <w:rFonts w:asciiTheme="minorHAnsi" w:eastAsia="Times New Roman" w:hAnsiTheme="minorHAnsi" w:cs="Arial"/>
                <w:sz w:val="18"/>
                <w:szCs w:val="18"/>
              </w:rPr>
            </w:pPr>
          </w:p>
        </w:tc>
      </w:tr>
      <w:tr w:rsidR="000F0D08" w:rsidRPr="001004B1" w14:paraId="19EF9EAD" w14:textId="77777777" w:rsidTr="006B318F">
        <w:trPr>
          <w:trHeight w:val="47"/>
        </w:trPr>
        <w:tc>
          <w:tcPr>
            <w:tcW w:w="6626" w:type="dxa"/>
            <w:vAlign w:val="bottom"/>
            <w:hideMark/>
          </w:tcPr>
          <w:p w14:paraId="6267CD62" w14:textId="77777777" w:rsidR="000F0D08" w:rsidRPr="001004B1" w:rsidRDefault="000F0D08" w:rsidP="000F0D08">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Gross premium written</w:t>
            </w:r>
          </w:p>
        </w:tc>
        <w:tc>
          <w:tcPr>
            <w:tcW w:w="1456" w:type="dxa"/>
            <w:tcBorders>
              <w:top w:val="nil"/>
              <w:left w:val="nil"/>
              <w:bottom w:val="nil"/>
              <w:right w:val="nil"/>
            </w:tcBorders>
            <w:shd w:val="clear" w:color="auto" w:fill="auto"/>
            <w:noWrap/>
            <w:vAlign w:val="center"/>
          </w:tcPr>
          <w:p w14:paraId="433F21E9" w14:textId="5C5B3273" w:rsidR="000F0D08" w:rsidRPr="001004B1" w:rsidRDefault="000F0D08" w:rsidP="000F0D08">
            <w:pPr>
              <w:spacing w:after="0" w:line="220" w:lineRule="exact"/>
              <w:jc w:val="right"/>
              <w:rPr>
                <w:rFonts w:asciiTheme="minorHAnsi" w:eastAsia="Times New Roman" w:hAnsiTheme="minorHAnsi" w:cs="Arial"/>
                <w:sz w:val="18"/>
                <w:szCs w:val="18"/>
              </w:rPr>
            </w:pPr>
            <w:r>
              <w:rPr>
                <w:rFonts w:eastAsia="Times New Roman" w:cs="Arial"/>
                <w:sz w:val="18"/>
                <w:szCs w:val="18"/>
              </w:rPr>
              <w:t>7,762</w:t>
            </w:r>
          </w:p>
        </w:tc>
        <w:tc>
          <w:tcPr>
            <w:tcW w:w="1382" w:type="dxa"/>
            <w:tcBorders>
              <w:top w:val="nil"/>
              <w:left w:val="nil"/>
              <w:bottom w:val="nil"/>
              <w:right w:val="nil"/>
            </w:tcBorders>
            <w:shd w:val="clear" w:color="auto" w:fill="auto"/>
          </w:tcPr>
          <w:p w14:paraId="6804C467" w14:textId="31AB5EB6" w:rsidR="000F0D08" w:rsidRPr="001004B1" w:rsidRDefault="000F0D08" w:rsidP="000F0D08">
            <w:pPr>
              <w:spacing w:after="0" w:line="220" w:lineRule="exact"/>
              <w:jc w:val="right"/>
              <w:rPr>
                <w:rFonts w:asciiTheme="minorHAnsi" w:eastAsia="Times New Roman" w:hAnsiTheme="minorHAnsi" w:cs="Arial"/>
                <w:sz w:val="18"/>
                <w:szCs w:val="18"/>
              </w:rPr>
            </w:pPr>
            <w:r w:rsidRPr="006B318F">
              <w:rPr>
                <w:rFonts w:asciiTheme="minorHAnsi" w:eastAsia="Times New Roman" w:hAnsiTheme="minorHAnsi" w:cs="Arial"/>
                <w:sz w:val="18"/>
                <w:szCs w:val="18"/>
              </w:rPr>
              <w:t>8,980</w:t>
            </w:r>
          </w:p>
        </w:tc>
      </w:tr>
      <w:tr w:rsidR="000F0D08" w:rsidRPr="001004B1" w14:paraId="2DB65627" w14:textId="77777777" w:rsidTr="006B318F">
        <w:trPr>
          <w:trHeight w:val="130"/>
        </w:trPr>
        <w:tc>
          <w:tcPr>
            <w:tcW w:w="6626" w:type="dxa"/>
            <w:vAlign w:val="bottom"/>
            <w:hideMark/>
          </w:tcPr>
          <w:p w14:paraId="18A724F9" w14:textId="77777777" w:rsidR="000F0D08" w:rsidRPr="001004B1" w:rsidRDefault="000F0D08" w:rsidP="000F0D08">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Premium impairment allowance originated and reserved on collection</w:t>
            </w:r>
          </w:p>
        </w:tc>
        <w:tc>
          <w:tcPr>
            <w:tcW w:w="1456" w:type="dxa"/>
            <w:tcBorders>
              <w:top w:val="nil"/>
              <w:left w:val="nil"/>
              <w:bottom w:val="nil"/>
              <w:right w:val="nil"/>
            </w:tcBorders>
            <w:shd w:val="clear" w:color="auto" w:fill="auto"/>
            <w:noWrap/>
            <w:vAlign w:val="center"/>
          </w:tcPr>
          <w:p w14:paraId="5F421AEE" w14:textId="165D4C67" w:rsidR="000F0D08" w:rsidRPr="001004B1" w:rsidRDefault="000F0D08" w:rsidP="000F0D08">
            <w:pPr>
              <w:spacing w:after="0" w:line="220" w:lineRule="exact"/>
              <w:jc w:val="right"/>
              <w:rPr>
                <w:rFonts w:asciiTheme="minorHAnsi" w:eastAsia="Times New Roman" w:hAnsiTheme="minorHAnsi" w:cs="Arial"/>
                <w:sz w:val="18"/>
                <w:szCs w:val="18"/>
              </w:rPr>
            </w:pPr>
            <w:r>
              <w:rPr>
                <w:rFonts w:eastAsia="Times New Roman" w:cs="Arial"/>
                <w:sz w:val="18"/>
                <w:szCs w:val="18"/>
              </w:rPr>
              <w:t>(88)</w:t>
            </w:r>
          </w:p>
        </w:tc>
        <w:tc>
          <w:tcPr>
            <w:tcW w:w="1382" w:type="dxa"/>
            <w:tcBorders>
              <w:top w:val="nil"/>
              <w:left w:val="nil"/>
              <w:right w:val="nil"/>
            </w:tcBorders>
            <w:shd w:val="clear" w:color="auto" w:fill="auto"/>
          </w:tcPr>
          <w:p w14:paraId="060FF854" w14:textId="1448CE8F" w:rsidR="000F0D08" w:rsidRPr="001004B1" w:rsidRDefault="000F0D08" w:rsidP="000F0D08">
            <w:pPr>
              <w:spacing w:after="0" w:line="220" w:lineRule="exact"/>
              <w:jc w:val="right"/>
              <w:rPr>
                <w:rFonts w:asciiTheme="minorHAnsi" w:eastAsia="Times New Roman" w:hAnsiTheme="minorHAnsi" w:cs="Arial"/>
                <w:sz w:val="18"/>
                <w:szCs w:val="18"/>
              </w:rPr>
            </w:pPr>
            <w:r w:rsidRPr="006B318F">
              <w:rPr>
                <w:rFonts w:asciiTheme="minorHAnsi" w:eastAsia="Times New Roman" w:hAnsiTheme="minorHAnsi" w:cs="Arial"/>
                <w:sz w:val="18"/>
                <w:szCs w:val="18"/>
              </w:rPr>
              <w:t>-</w:t>
            </w:r>
          </w:p>
        </w:tc>
      </w:tr>
      <w:tr w:rsidR="000F0D08" w:rsidRPr="001004B1" w14:paraId="4B2294C3" w14:textId="77777777" w:rsidTr="006B318F">
        <w:trPr>
          <w:trHeight w:val="132"/>
        </w:trPr>
        <w:tc>
          <w:tcPr>
            <w:tcW w:w="6626" w:type="dxa"/>
            <w:vAlign w:val="bottom"/>
            <w:hideMark/>
          </w:tcPr>
          <w:p w14:paraId="4713F361" w14:textId="77777777" w:rsidR="000F0D08" w:rsidRPr="001004B1" w:rsidRDefault="000F0D08" w:rsidP="000F0D08">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Gross outward reinsurance premium</w:t>
            </w:r>
          </w:p>
        </w:tc>
        <w:tc>
          <w:tcPr>
            <w:tcW w:w="1456" w:type="dxa"/>
            <w:tcBorders>
              <w:top w:val="nil"/>
              <w:left w:val="nil"/>
              <w:bottom w:val="nil"/>
              <w:right w:val="nil"/>
            </w:tcBorders>
            <w:shd w:val="clear" w:color="auto" w:fill="auto"/>
            <w:noWrap/>
            <w:vAlign w:val="center"/>
          </w:tcPr>
          <w:p w14:paraId="636CA894" w14:textId="4828EDD5" w:rsidR="000F0D08" w:rsidRPr="001004B1" w:rsidRDefault="000F0D08" w:rsidP="000F0D08">
            <w:pPr>
              <w:spacing w:after="0" w:line="220" w:lineRule="exact"/>
              <w:jc w:val="right"/>
              <w:rPr>
                <w:rFonts w:asciiTheme="minorHAnsi" w:eastAsia="Times New Roman" w:hAnsiTheme="minorHAnsi" w:cs="Arial"/>
                <w:sz w:val="18"/>
                <w:szCs w:val="18"/>
              </w:rPr>
            </w:pPr>
            <w:r>
              <w:rPr>
                <w:rFonts w:eastAsia="Times New Roman" w:cs="Arial"/>
                <w:sz w:val="18"/>
                <w:szCs w:val="18"/>
              </w:rPr>
              <w:t>(3,001)</w:t>
            </w:r>
          </w:p>
        </w:tc>
        <w:tc>
          <w:tcPr>
            <w:tcW w:w="1382" w:type="dxa"/>
            <w:tcBorders>
              <w:top w:val="nil"/>
              <w:left w:val="nil"/>
              <w:bottom w:val="single" w:sz="4" w:space="0" w:color="auto"/>
              <w:right w:val="nil"/>
            </w:tcBorders>
            <w:shd w:val="clear" w:color="auto" w:fill="auto"/>
          </w:tcPr>
          <w:p w14:paraId="5A8C1586" w14:textId="6538F2D2" w:rsidR="000F0D08" w:rsidRPr="001004B1" w:rsidRDefault="000F0D08" w:rsidP="000F0D08">
            <w:pPr>
              <w:spacing w:after="0" w:line="220" w:lineRule="exact"/>
              <w:jc w:val="right"/>
              <w:rPr>
                <w:rFonts w:asciiTheme="minorHAnsi" w:eastAsia="Times New Roman" w:hAnsiTheme="minorHAnsi" w:cs="Arial"/>
                <w:sz w:val="18"/>
                <w:szCs w:val="18"/>
              </w:rPr>
            </w:pPr>
            <w:r w:rsidRPr="006B318F">
              <w:rPr>
                <w:rFonts w:asciiTheme="minorHAnsi" w:eastAsia="Times New Roman" w:hAnsiTheme="minorHAnsi" w:cs="Arial"/>
                <w:sz w:val="18"/>
                <w:szCs w:val="18"/>
              </w:rPr>
              <w:t>(3,792)</w:t>
            </w:r>
          </w:p>
        </w:tc>
      </w:tr>
      <w:tr w:rsidR="000815D0" w:rsidRPr="001004B1" w14:paraId="5A64E11C" w14:textId="77777777" w:rsidTr="006B318F">
        <w:trPr>
          <w:trHeight w:val="118"/>
        </w:trPr>
        <w:tc>
          <w:tcPr>
            <w:tcW w:w="6626" w:type="dxa"/>
            <w:vAlign w:val="bottom"/>
            <w:hideMark/>
          </w:tcPr>
          <w:p w14:paraId="08B1E9F0" w14:textId="77777777" w:rsidR="000815D0" w:rsidRPr="001004B1" w:rsidRDefault="000815D0" w:rsidP="000815D0">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Net premium written</w:t>
            </w:r>
          </w:p>
        </w:tc>
        <w:tc>
          <w:tcPr>
            <w:tcW w:w="1456" w:type="dxa"/>
            <w:tcBorders>
              <w:top w:val="single" w:sz="4" w:space="0" w:color="auto"/>
              <w:left w:val="nil"/>
              <w:bottom w:val="single" w:sz="12" w:space="0" w:color="auto"/>
              <w:right w:val="nil"/>
            </w:tcBorders>
            <w:shd w:val="clear" w:color="auto" w:fill="auto"/>
            <w:noWrap/>
            <w:vAlign w:val="bottom"/>
          </w:tcPr>
          <w:p w14:paraId="2C6861A6" w14:textId="54C85873" w:rsidR="000815D0" w:rsidRPr="001004B1" w:rsidRDefault="000F0D08" w:rsidP="000815D0">
            <w:pPr>
              <w:spacing w:after="0" w:line="220" w:lineRule="exact"/>
              <w:jc w:val="right"/>
              <w:rPr>
                <w:rFonts w:asciiTheme="minorHAnsi" w:eastAsia="Times New Roman" w:hAnsiTheme="minorHAnsi" w:cs="Arial"/>
                <w:b/>
                <w:bCs/>
                <w:sz w:val="18"/>
                <w:szCs w:val="18"/>
              </w:rPr>
            </w:pPr>
            <w:r w:rsidRPr="000F0D08">
              <w:rPr>
                <w:rFonts w:eastAsia="Times New Roman" w:cs="Arial"/>
                <w:b/>
                <w:sz w:val="18"/>
                <w:szCs w:val="18"/>
              </w:rPr>
              <w:t>4,673</w:t>
            </w:r>
          </w:p>
        </w:tc>
        <w:tc>
          <w:tcPr>
            <w:tcW w:w="1382" w:type="dxa"/>
            <w:tcBorders>
              <w:top w:val="single" w:sz="4" w:space="0" w:color="auto"/>
              <w:left w:val="nil"/>
              <w:bottom w:val="nil"/>
              <w:right w:val="nil"/>
            </w:tcBorders>
            <w:shd w:val="clear" w:color="auto" w:fill="auto"/>
            <w:vAlign w:val="bottom"/>
          </w:tcPr>
          <w:p w14:paraId="3B76DF64" w14:textId="24F61EC7" w:rsidR="000815D0" w:rsidRPr="001004B1" w:rsidRDefault="002307E4" w:rsidP="000815D0">
            <w:pPr>
              <w:spacing w:after="0" w:line="220" w:lineRule="exact"/>
              <w:jc w:val="right"/>
              <w:rPr>
                <w:rFonts w:asciiTheme="minorHAnsi" w:eastAsia="Times New Roman" w:hAnsiTheme="minorHAnsi" w:cs="Arial"/>
                <w:b/>
                <w:bCs/>
                <w:sz w:val="18"/>
                <w:szCs w:val="18"/>
              </w:rPr>
            </w:pPr>
            <w:r w:rsidRPr="002307E4">
              <w:rPr>
                <w:rFonts w:asciiTheme="minorHAnsi" w:hAnsiTheme="minorHAnsi" w:cs="Arial"/>
                <w:b/>
                <w:bCs/>
                <w:sz w:val="18"/>
                <w:szCs w:val="18"/>
              </w:rPr>
              <w:t>5,188</w:t>
            </w:r>
          </w:p>
        </w:tc>
      </w:tr>
      <w:tr w:rsidR="00031932" w:rsidRPr="001004B1" w14:paraId="0185F4CB" w14:textId="77777777" w:rsidTr="002F749B">
        <w:trPr>
          <w:trHeight w:val="42"/>
        </w:trPr>
        <w:tc>
          <w:tcPr>
            <w:tcW w:w="6626" w:type="dxa"/>
            <w:vAlign w:val="bottom"/>
          </w:tcPr>
          <w:p w14:paraId="6B1CCA95" w14:textId="77777777" w:rsidR="00031932" w:rsidRPr="001004B1" w:rsidRDefault="00031932" w:rsidP="00031932">
            <w:pPr>
              <w:spacing w:after="0" w:line="140" w:lineRule="exact"/>
              <w:rPr>
                <w:rFonts w:asciiTheme="minorHAnsi" w:eastAsia="Times New Roman" w:hAnsiTheme="minorHAnsi" w:cs="Arial"/>
                <w:sz w:val="18"/>
                <w:szCs w:val="18"/>
              </w:rPr>
            </w:pPr>
          </w:p>
        </w:tc>
        <w:tc>
          <w:tcPr>
            <w:tcW w:w="1456" w:type="dxa"/>
            <w:tcBorders>
              <w:top w:val="single" w:sz="12" w:space="0" w:color="auto"/>
              <w:left w:val="nil"/>
              <w:bottom w:val="nil"/>
              <w:right w:val="nil"/>
            </w:tcBorders>
            <w:shd w:val="clear" w:color="auto" w:fill="auto"/>
            <w:noWrap/>
          </w:tcPr>
          <w:p w14:paraId="4A94A70C" w14:textId="77777777" w:rsidR="00031932" w:rsidRPr="001004B1" w:rsidRDefault="00031932" w:rsidP="00031932">
            <w:pPr>
              <w:spacing w:after="0" w:line="140" w:lineRule="exact"/>
              <w:jc w:val="right"/>
              <w:rPr>
                <w:rFonts w:asciiTheme="minorHAnsi" w:eastAsia="Times New Roman" w:hAnsiTheme="minorHAnsi" w:cs="Arial"/>
                <w:sz w:val="18"/>
                <w:szCs w:val="18"/>
              </w:rPr>
            </w:pPr>
          </w:p>
        </w:tc>
        <w:tc>
          <w:tcPr>
            <w:tcW w:w="1382" w:type="dxa"/>
            <w:tcBorders>
              <w:top w:val="single" w:sz="12" w:space="0" w:color="auto"/>
              <w:left w:val="nil"/>
              <w:bottom w:val="nil"/>
              <w:right w:val="nil"/>
            </w:tcBorders>
            <w:shd w:val="clear" w:color="auto" w:fill="auto"/>
          </w:tcPr>
          <w:p w14:paraId="43D94702" w14:textId="77777777" w:rsidR="00031932" w:rsidRPr="001004B1" w:rsidRDefault="00031932" w:rsidP="00031932">
            <w:pPr>
              <w:spacing w:after="0" w:line="140" w:lineRule="exact"/>
              <w:jc w:val="right"/>
              <w:rPr>
                <w:rFonts w:asciiTheme="minorHAnsi" w:eastAsia="Times New Roman" w:hAnsiTheme="minorHAnsi" w:cs="Arial"/>
                <w:sz w:val="18"/>
                <w:szCs w:val="18"/>
              </w:rPr>
            </w:pPr>
          </w:p>
        </w:tc>
      </w:tr>
      <w:tr w:rsidR="000F0D08" w:rsidRPr="002307E4" w14:paraId="743D4617" w14:textId="77777777" w:rsidTr="006B318F">
        <w:trPr>
          <w:trHeight w:val="107"/>
        </w:trPr>
        <w:tc>
          <w:tcPr>
            <w:tcW w:w="6626" w:type="dxa"/>
            <w:vAlign w:val="bottom"/>
            <w:hideMark/>
          </w:tcPr>
          <w:p w14:paraId="0B0CB3CA" w14:textId="77777777" w:rsidR="000F0D08" w:rsidRPr="001004B1" w:rsidRDefault="000F0D08" w:rsidP="000F0D08">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Changes in the gross unearned premium reserve</w:t>
            </w:r>
          </w:p>
        </w:tc>
        <w:tc>
          <w:tcPr>
            <w:tcW w:w="1456" w:type="dxa"/>
            <w:tcBorders>
              <w:top w:val="nil"/>
              <w:left w:val="nil"/>
              <w:bottom w:val="nil"/>
              <w:right w:val="nil"/>
            </w:tcBorders>
            <w:shd w:val="clear" w:color="auto" w:fill="auto"/>
            <w:noWrap/>
          </w:tcPr>
          <w:p w14:paraId="015A0E06" w14:textId="11077A75" w:rsidR="000F0D08" w:rsidRPr="001004B1" w:rsidRDefault="000F0D08" w:rsidP="000F0D08">
            <w:pPr>
              <w:spacing w:after="0" w:line="220" w:lineRule="exact"/>
              <w:jc w:val="right"/>
              <w:rPr>
                <w:rFonts w:asciiTheme="minorHAnsi" w:eastAsia="Times New Roman" w:hAnsiTheme="minorHAnsi" w:cs="Arial"/>
                <w:sz w:val="18"/>
                <w:szCs w:val="18"/>
              </w:rPr>
            </w:pPr>
            <w:r>
              <w:rPr>
                <w:rFonts w:eastAsia="Times New Roman" w:cs="Arial"/>
                <w:sz w:val="18"/>
                <w:szCs w:val="18"/>
              </w:rPr>
              <w:t>834</w:t>
            </w:r>
          </w:p>
        </w:tc>
        <w:tc>
          <w:tcPr>
            <w:tcW w:w="1382" w:type="dxa"/>
            <w:tcBorders>
              <w:top w:val="nil"/>
              <w:left w:val="nil"/>
              <w:bottom w:val="nil"/>
              <w:right w:val="nil"/>
            </w:tcBorders>
            <w:shd w:val="clear" w:color="auto" w:fill="auto"/>
          </w:tcPr>
          <w:p w14:paraId="76D8BFA6" w14:textId="66F19CE3" w:rsidR="000F0D08" w:rsidRPr="001004B1" w:rsidRDefault="000F0D08" w:rsidP="000F0D08">
            <w:pPr>
              <w:spacing w:after="0" w:line="220" w:lineRule="exact"/>
              <w:jc w:val="right"/>
              <w:rPr>
                <w:rFonts w:asciiTheme="minorHAnsi" w:eastAsia="Times New Roman" w:hAnsiTheme="minorHAnsi" w:cs="Arial"/>
                <w:sz w:val="18"/>
                <w:szCs w:val="18"/>
              </w:rPr>
            </w:pPr>
            <w:r w:rsidRPr="006B318F">
              <w:rPr>
                <w:rFonts w:asciiTheme="minorHAnsi" w:eastAsia="Times New Roman" w:hAnsiTheme="minorHAnsi" w:cs="Arial"/>
                <w:sz w:val="18"/>
                <w:szCs w:val="18"/>
              </w:rPr>
              <w:t>98</w:t>
            </w:r>
          </w:p>
        </w:tc>
      </w:tr>
      <w:tr w:rsidR="000F0D08" w:rsidRPr="002307E4" w14:paraId="1E467127" w14:textId="77777777" w:rsidTr="006B318F">
        <w:trPr>
          <w:trHeight w:val="183"/>
        </w:trPr>
        <w:tc>
          <w:tcPr>
            <w:tcW w:w="6626" w:type="dxa"/>
            <w:vAlign w:val="bottom"/>
            <w:hideMark/>
          </w:tcPr>
          <w:p w14:paraId="6DB6DB03" w14:textId="77777777" w:rsidR="000F0D08" w:rsidRPr="001004B1" w:rsidRDefault="000F0D08" w:rsidP="000F0D08">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Changes in the gross unearned premium reserve, reinsurer's share</w:t>
            </w:r>
          </w:p>
        </w:tc>
        <w:tc>
          <w:tcPr>
            <w:tcW w:w="1456" w:type="dxa"/>
            <w:tcBorders>
              <w:top w:val="nil"/>
              <w:left w:val="nil"/>
              <w:bottom w:val="single" w:sz="4" w:space="0" w:color="auto"/>
              <w:right w:val="nil"/>
            </w:tcBorders>
            <w:shd w:val="clear" w:color="auto" w:fill="auto"/>
            <w:noWrap/>
          </w:tcPr>
          <w:p w14:paraId="1AFCE945" w14:textId="5E1CAE1E" w:rsidR="000F0D08" w:rsidRPr="001004B1" w:rsidRDefault="000F0D08" w:rsidP="000F0D08">
            <w:pPr>
              <w:spacing w:after="0" w:line="220" w:lineRule="exact"/>
              <w:jc w:val="right"/>
              <w:rPr>
                <w:rFonts w:asciiTheme="minorHAnsi" w:eastAsia="Times New Roman" w:hAnsiTheme="minorHAnsi" w:cs="Arial"/>
                <w:sz w:val="18"/>
                <w:szCs w:val="18"/>
              </w:rPr>
            </w:pPr>
            <w:r>
              <w:rPr>
                <w:rFonts w:eastAsia="Times New Roman" w:cs="Arial"/>
                <w:sz w:val="18"/>
                <w:szCs w:val="18"/>
              </w:rPr>
              <w:t>(573)</w:t>
            </w:r>
          </w:p>
        </w:tc>
        <w:tc>
          <w:tcPr>
            <w:tcW w:w="1382" w:type="dxa"/>
            <w:tcBorders>
              <w:top w:val="nil"/>
              <w:left w:val="nil"/>
              <w:bottom w:val="single" w:sz="4" w:space="0" w:color="auto"/>
              <w:right w:val="nil"/>
            </w:tcBorders>
            <w:shd w:val="clear" w:color="auto" w:fill="auto"/>
          </w:tcPr>
          <w:p w14:paraId="738DB42F" w14:textId="0D50A632" w:rsidR="000F0D08" w:rsidRPr="001004B1" w:rsidRDefault="000F0D08" w:rsidP="000F0D08">
            <w:pPr>
              <w:spacing w:after="0" w:line="220" w:lineRule="exact"/>
              <w:jc w:val="right"/>
              <w:rPr>
                <w:rFonts w:asciiTheme="minorHAnsi" w:eastAsia="Times New Roman" w:hAnsiTheme="minorHAnsi" w:cs="Arial"/>
                <w:sz w:val="18"/>
                <w:szCs w:val="18"/>
              </w:rPr>
            </w:pPr>
            <w:r w:rsidRPr="006B318F">
              <w:rPr>
                <w:rFonts w:asciiTheme="minorHAnsi" w:eastAsia="Times New Roman" w:hAnsiTheme="minorHAnsi" w:cs="Arial"/>
                <w:sz w:val="18"/>
                <w:szCs w:val="18"/>
              </w:rPr>
              <w:t>(310)</w:t>
            </w:r>
          </w:p>
        </w:tc>
      </w:tr>
      <w:tr w:rsidR="000815D0" w:rsidRPr="001004B1" w14:paraId="08AFC0E4" w14:textId="77777777" w:rsidTr="006B318F">
        <w:trPr>
          <w:trHeight w:val="137"/>
        </w:trPr>
        <w:tc>
          <w:tcPr>
            <w:tcW w:w="6626" w:type="dxa"/>
            <w:vAlign w:val="bottom"/>
            <w:hideMark/>
          </w:tcPr>
          <w:p w14:paraId="0F6FA53C" w14:textId="77777777" w:rsidR="000815D0" w:rsidRPr="001004B1" w:rsidRDefault="000815D0" w:rsidP="000815D0">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Net premium earned</w:t>
            </w:r>
          </w:p>
        </w:tc>
        <w:tc>
          <w:tcPr>
            <w:tcW w:w="1456" w:type="dxa"/>
            <w:tcBorders>
              <w:left w:val="nil"/>
              <w:bottom w:val="single" w:sz="12" w:space="0" w:color="auto"/>
              <w:right w:val="nil"/>
            </w:tcBorders>
            <w:shd w:val="clear" w:color="auto" w:fill="auto"/>
            <w:noWrap/>
          </w:tcPr>
          <w:p w14:paraId="4922ADE3" w14:textId="6A0471DA" w:rsidR="000815D0" w:rsidRPr="001004B1" w:rsidRDefault="000F0D08" w:rsidP="000815D0">
            <w:pPr>
              <w:spacing w:after="0" w:line="220" w:lineRule="exact"/>
              <w:jc w:val="right"/>
              <w:rPr>
                <w:rFonts w:asciiTheme="minorHAnsi" w:eastAsia="Times New Roman" w:hAnsiTheme="minorHAnsi" w:cs="Arial"/>
                <w:b/>
                <w:bCs/>
                <w:sz w:val="18"/>
                <w:szCs w:val="18"/>
              </w:rPr>
            </w:pPr>
            <w:r w:rsidRPr="000F0D08">
              <w:rPr>
                <w:rFonts w:eastAsia="Times New Roman" w:cs="Arial"/>
                <w:b/>
                <w:bCs/>
                <w:sz w:val="18"/>
                <w:szCs w:val="18"/>
              </w:rPr>
              <w:t>4,934</w:t>
            </w:r>
          </w:p>
        </w:tc>
        <w:tc>
          <w:tcPr>
            <w:tcW w:w="1382" w:type="dxa"/>
            <w:tcBorders>
              <w:left w:val="nil"/>
              <w:bottom w:val="single" w:sz="12" w:space="0" w:color="auto"/>
              <w:right w:val="nil"/>
            </w:tcBorders>
            <w:shd w:val="clear" w:color="auto" w:fill="auto"/>
            <w:vAlign w:val="bottom"/>
          </w:tcPr>
          <w:p w14:paraId="5275B50E" w14:textId="4790A00C" w:rsidR="000815D0" w:rsidRPr="001004B1" w:rsidRDefault="002307E4" w:rsidP="000815D0">
            <w:pPr>
              <w:spacing w:after="0" w:line="220" w:lineRule="exact"/>
              <w:jc w:val="right"/>
              <w:rPr>
                <w:rFonts w:asciiTheme="minorHAnsi" w:eastAsia="Times New Roman" w:hAnsiTheme="minorHAnsi" w:cs="Arial"/>
                <w:b/>
                <w:bCs/>
                <w:sz w:val="18"/>
                <w:szCs w:val="18"/>
              </w:rPr>
            </w:pPr>
            <w:r w:rsidRPr="002307E4">
              <w:rPr>
                <w:rFonts w:asciiTheme="minorHAnsi" w:hAnsiTheme="minorHAnsi" w:cs="Arial"/>
                <w:b/>
                <w:bCs/>
                <w:sz w:val="18"/>
                <w:szCs w:val="18"/>
              </w:rPr>
              <w:t>4,976</w:t>
            </w:r>
          </w:p>
        </w:tc>
      </w:tr>
      <w:tr w:rsidR="00031932" w:rsidRPr="001004B1" w14:paraId="0FFC1907" w14:textId="77777777" w:rsidTr="002F749B">
        <w:trPr>
          <w:trHeight w:val="40"/>
        </w:trPr>
        <w:tc>
          <w:tcPr>
            <w:tcW w:w="6626" w:type="dxa"/>
            <w:vAlign w:val="bottom"/>
          </w:tcPr>
          <w:p w14:paraId="5987A665" w14:textId="77777777" w:rsidR="00031932" w:rsidRPr="001004B1" w:rsidRDefault="00031932" w:rsidP="00031932">
            <w:pPr>
              <w:spacing w:after="0" w:line="140" w:lineRule="exact"/>
              <w:rPr>
                <w:rFonts w:asciiTheme="minorHAnsi" w:eastAsia="Times New Roman" w:hAnsiTheme="minorHAnsi" w:cs="Arial"/>
                <w:sz w:val="18"/>
                <w:szCs w:val="18"/>
              </w:rPr>
            </w:pPr>
          </w:p>
        </w:tc>
        <w:tc>
          <w:tcPr>
            <w:tcW w:w="1456" w:type="dxa"/>
            <w:tcBorders>
              <w:top w:val="single" w:sz="12" w:space="0" w:color="auto"/>
              <w:left w:val="nil"/>
              <w:bottom w:val="nil"/>
              <w:right w:val="nil"/>
            </w:tcBorders>
            <w:shd w:val="clear" w:color="auto" w:fill="auto"/>
            <w:noWrap/>
          </w:tcPr>
          <w:p w14:paraId="44075A0A" w14:textId="77777777" w:rsidR="00031932" w:rsidRPr="001004B1" w:rsidRDefault="00031932" w:rsidP="00031932">
            <w:pPr>
              <w:spacing w:after="0" w:line="140" w:lineRule="exact"/>
              <w:jc w:val="right"/>
              <w:rPr>
                <w:rFonts w:asciiTheme="minorHAnsi" w:eastAsia="Times New Roman" w:hAnsiTheme="minorHAnsi" w:cs="Arial"/>
                <w:sz w:val="18"/>
                <w:szCs w:val="18"/>
              </w:rPr>
            </w:pPr>
          </w:p>
        </w:tc>
        <w:tc>
          <w:tcPr>
            <w:tcW w:w="1382" w:type="dxa"/>
            <w:tcBorders>
              <w:top w:val="single" w:sz="12" w:space="0" w:color="auto"/>
              <w:left w:val="nil"/>
              <w:bottom w:val="nil"/>
              <w:right w:val="nil"/>
            </w:tcBorders>
            <w:shd w:val="clear" w:color="auto" w:fill="auto"/>
          </w:tcPr>
          <w:p w14:paraId="69161A4E" w14:textId="77777777" w:rsidR="00031932" w:rsidRPr="001004B1" w:rsidRDefault="00031932" w:rsidP="00031932">
            <w:pPr>
              <w:spacing w:after="0" w:line="140" w:lineRule="exact"/>
              <w:jc w:val="right"/>
              <w:rPr>
                <w:rFonts w:asciiTheme="minorHAnsi" w:eastAsia="Times New Roman" w:hAnsiTheme="minorHAnsi" w:cs="Arial"/>
                <w:sz w:val="18"/>
                <w:szCs w:val="18"/>
              </w:rPr>
            </w:pPr>
          </w:p>
        </w:tc>
      </w:tr>
      <w:tr w:rsidR="000F0D08" w:rsidRPr="001004B1" w14:paraId="5B872F80" w14:textId="77777777" w:rsidTr="006B318F">
        <w:trPr>
          <w:trHeight w:val="159"/>
        </w:trPr>
        <w:tc>
          <w:tcPr>
            <w:tcW w:w="6626" w:type="dxa"/>
            <w:vAlign w:val="bottom"/>
            <w:hideMark/>
          </w:tcPr>
          <w:p w14:paraId="5558CA3A" w14:textId="77777777" w:rsidR="000F0D08" w:rsidRPr="001004B1" w:rsidRDefault="000F0D08" w:rsidP="000F0D08">
            <w:pPr>
              <w:spacing w:after="0" w:line="220" w:lineRule="exact"/>
              <w:rPr>
                <w:rFonts w:asciiTheme="minorHAnsi" w:eastAsia="Times New Roman" w:hAnsiTheme="minorHAnsi" w:cs="Arial"/>
                <w:bCs/>
                <w:sz w:val="18"/>
                <w:szCs w:val="18"/>
              </w:rPr>
            </w:pPr>
            <w:r w:rsidRPr="001004B1">
              <w:rPr>
                <w:rFonts w:asciiTheme="minorHAnsi" w:eastAsia="Times New Roman" w:hAnsiTheme="minorHAnsi" w:cs="Arial"/>
                <w:bCs/>
                <w:sz w:val="18"/>
                <w:szCs w:val="18"/>
              </w:rPr>
              <w:t>Fee and commission income</w:t>
            </w:r>
          </w:p>
        </w:tc>
        <w:tc>
          <w:tcPr>
            <w:tcW w:w="1456" w:type="dxa"/>
            <w:tcBorders>
              <w:top w:val="nil"/>
              <w:left w:val="nil"/>
              <w:bottom w:val="nil"/>
              <w:right w:val="nil"/>
            </w:tcBorders>
            <w:shd w:val="clear" w:color="auto" w:fill="auto"/>
            <w:noWrap/>
          </w:tcPr>
          <w:p w14:paraId="4A53051C" w14:textId="1258BCC3" w:rsidR="000F0D08" w:rsidRPr="001004B1" w:rsidRDefault="000F0D08" w:rsidP="000F0D08">
            <w:pPr>
              <w:spacing w:after="0" w:line="220" w:lineRule="exact"/>
              <w:jc w:val="right"/>
              <w:rPr>
                <w:rFonts w:asciiTheme="minorHAnsi" w:eastAsia="Times New Roman" w:hAnsiTheme="minorHAnsi" w:cs="Arial"/>
                <w:bCs/>
                <w:sz w:val="18"/>
                <w:szCs w:val="18"/>
              </w:rPr>
            </w:pPr>
            <w:r>
              <w:rPr>
                <w:rFonts w:eastAsia="Times New Roman" w:cs="Arial"/>
                <w:bCs/>
                <w:sz w:val="18"/>
                <w:szCs w:val="18"/>
              </w:rPr>
              <w:t>1,749</w:t>
            </w:r>
          </w:p>
        </w:tc>
        <w:tc>
          <w:tcPr>
            <w:tcW w:w="1382" w:type="dxa"/>
            <w:tcBorders>
              <w:top w:val="nil"/>
              <w:left w:val="nil"/>
              <w:bottom w:val="nil"/>
              <w:right w:val="nil"/>
            </w:tcBorders>
            <w:shd w:val="clear" w:color="auto" w:fill="auto"/>
          </w:tcPr>
          <w:p w14:paraId="6DF7EE8B" w14:textId="714E347E" w:rsidR="000F0D08" w:rsidRPr="006B318F" w:rsidRDefault="000F0D08" w:rsidP="000F0D08">
            <w:pPr>
              <w:spacing w:after="0" w:line="220" w:lineRule="exact"/>
              <w:jc w:val="right"/>
              <w:rPr>
                <w:rFonts w:asciiTheme="minorHAnsi" w:eastAsia="Times New Roman" w:hAnsiTheme="minorHAnsi" w:cs="Arial"/>
                <w:sz w:val="18"/>
                <w:szCs w:val="18"/>
              </w:rPr>
            </w:pPr>
            <w:r w:rsidRPr="006B318F">
              <w:rPr>
                <w:rFonts w:asciiTheme="minorHAnsi" w:eastAsia="Times New Roman" w:hAnsiTheme="minorHAnsi" w:cs="Arial"/>
                <w:sz w:val="18"/>
                <w:szCs w:val="18"/>
              </w:rPr>
              <w:t>1,684</w:t>
            </w:r>
          </w:p>
        </w:tc>
      </w:tr>
      <w:tr w:rsidR="000F0D08" w:rsidRPr="001004B1" w14:paraId="5AAAACB4" w14:textId="77777777" w:rsidTr="006B318F">
        <w:trPr>
          <w:trHeight w:val="141"/>
        </w:trPr>
        <w:tc>
          <w:tcPr>
            <w:tcW w:w="6626" w:type="dxa"/>
            <w:vAlign w:val="bottom"/>
            <w:hideMark/>
          </w:tcPr>
          <w:p w14:paraId="6C3615A4" w14:textId="77777777" w:rsidR="000F0D08" w:rsidRPr="001004B1" w:rsidRDefault="000F0D08" w:rsidP="000F0D08">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Net investment income</w:t>
            </w:r>
          </w:p>
        </w:tc>
        <w:tc>
          <w:tcPr>
            <w:tcW w:w="1456" w:type="dxa"/>
            <w:tcBorders>
              <w:top w:val="nil"/>
              <w:left w:val="nil"/>
              <w:bottom w:val="nil"/>
              <w:right w:val="nil"/>
            </w:tcBorders>
            <w:shd w:val="clear" w:color="auto" w:fill="auto"/>
            <w:noWrap/>
          </w:tcPr>
          <w:p w14:paraId="71E9341A" w14:textId="6040B3B1" w:rsidR="000F0D08" w:rsidRPr="001004B1" w:rsidRDefault="000F0D08" w:rsidP="000F0D08">
            <w:pPr>
              <w:spacing w:after="0" w:line="220" w:lineRule="exact"/>
              <w:jc w:val="right"/>
              <w:rPr>
                <w:rFonts w:asciiTheme="minorHAnsi" w:eastAsia="Times New Roman" w:hAnsiTheme="minorHAnsi" w:cs="Arial"/>
                <w:bCs/>
                <w:sz w:val="18"/>
                <w:szCs w:val="18"/>
              </w:rPr>
            </w:pPr>
            <w:r>
              <w:rPr>
                <w:rFonts w:eastAsia="Times New Roman" w:cs="Arial"/>
                <w:bCs/>
                <w:sz w:val="18"/>
                <w:szCs w:val="18"/>
              </w:rPr>
              <w:t>1,119</w:t>
            </w:r>
          </w:p>
        </w:tc>
        <w:tc>
          <w:tcPr>
            <w:tcW w:w="1382" w:type="dxa"/>
            <w:tcBorders>
              <w:top w:val="nil"/>
              <w:left w:val="nil"/>
              <w:bottom w:val="nil"/>
              <w:right w:val="nil"/>
            </w:tcBorders>
            <w:shd w:val="clear" w:color="auto" w:fill="auto"/>
          </w:tcPr>
          <w:p w14:paraId="1A80CFA5" w14:textId="2D3A7920" w:rsidR="000F0D08" w:rsidRPr="006B318F" w:rsidRDefault="000F0D08" w:rsidP="000F0D08">
            <w:pPr>
              <w:spacing w:after="0" w:line="220" w:lineRule="exact"/>
              <w:jc w:val="right"/>
              <w:rPr>
                <w:rFonts w:asciiTheme="minorHAnsi" w:eastAsia="Times New Roman" w:hAnsiTheme="minorHAnsi" w:cs="Arial"/>
                <w:sz w:val="18"/>
                <w:szCs w:val="18"/>
              </w:rPr>
            </w:pPr>
            <w:r w:rsidRPr="006B318F">
              <w:rPr>
                <w:rFonts w:asciiTheme="minorHAnsi" w:eastAsia="Times New Roman" w:hAnsiTheme="minorHAnsi" w:cs="Arial"/>
                <w:sz w:val="18"/>
                <w:szCs w:val="18"/>
              </w:rPr>
              <w:t>1,326</w:t>
            </w:r>
          </w:p>
        </w:tc>
      </w:tr>
      <w:tr w:rsidR="000F0D08" w:rsidRPr="001004B1" w14:paraId="56164B91" w14:textId="77777777" w:rsidTr="006B318F">
        <w:trPr>
          <w:trHeight w:val="134"/>
        </w:trPr>
        <w:tc>
          <w:tcPr>
            <w:tcW w:w="6626" w:type="dxa"/>
            <w:vAlign w:val="bottom"/>
            <w:hideMark/>
          </w:tcPr>
          <w:p w14:paraId="60B06555" w14:textId="77777777" w:rsidR="000F0D08" w:rsidRPr="001004B1" w:rsidRDefault="000F0D08" w:rsidP="000F0D08">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Other operating income</w:t>
            </w:r>
          </w:p>
        </w:tc>
        <w:tc>
          <w:tcPr>
            <w:tcW w:w="1456" w:type="dxa"/>
            <w:tcBorders>
              <w:top w:val="nil"/>
              <w:left w:val="nil"/>
              <w:bottom w:val="single" w:sz="4" w:space="0" w:color="auto"/>
              <w:right w:val="nil"/>
            </w:tcBorders>
            <w:shd w:val="clear" w:color="auto" w:fill="auto"/>
            <w:noWrap/>
          </w:tcPr>
          <w:p w14:paraId="6A2C55F4" w14:textId="374582B6" w:rsidR="000F0D08" w:rsidRPr="001004B1" w:rsidRDefault="000F0D08" w:rsidP="000F0D08">
            <w:pPr>
              <w:spacing w:after="0" w:line="220" w:lineRule="exact"/>
              <w:jc w:val="right"/>
              <w:rPr>
                <w:rFonts w:asciiTheme="minorHAnsi" w:eastAsia="Times New Roman" w:hAnsiTheme="minorHAnsi" w:cs="Arial"/>
                <w:sz w:val="18"/>
                <w:szCs w:val="18"/>
              </w:rPr>
            </w:pPr>
            <w:r>
              <w:rPr>
                <w:rFonts w:eastAsia="Times New Roman" w:cs="Arial"/>
                <w:sz w:val="18"/>
                <w:szCs w:val="18"/>
              </w:rPr>
              <w:t>47</w:t>
            </w:r>
          </w:p>
        </w:tc>
        <w:tc>
          <w:tcPr>
            <w:tcW w:w="1382" w:type="dxa"/>
            <w:tcBorders>
              <w:top w:val="nil"/>
              <w:left w:val="nil"/>
              <w:bottom w:val="single" w:sz="4" w:space="0" w:color="auto"/>
              <w:right w:val="nil"/>
            </w:tcBorders>
            <w:shd w:val="clear" w:color="auto" w:fill="auto"/>
          </w:tcPr>
          <w:p w14:paraId="41EA56F2" w14:textId="00B461E7" w:rsidR="000F0D08" w:rsidRPr="001004B1" w:rsidRDefault="000F0D08" w:rsidP="000F0D08">
            <w:pPr>
              <w:spacing w:after="0" w:line="220" w:lineRule="exact"/>
              <w:jc w:val="right"/>
              <w:rPr>
                <w:rFonts w:asciiTheme="minorHAnsi" w:eastAsia="Times New Roman" w:hAnsiTheme="minorHAnsi" w:cs="Arial"/>
                <w:sz w:val="18"/>
                <w:szCs w:val="18"/>
              </w:rPr>
            </w:pPr>
            <w:r w:rsidRPr="006B318F">
              <w:rPr>
                <w:rFonts w:asciiTheme="minorHAnsi" w:eastAsia="Times New Roman" w:hAnsiTheme="minorHAnsi" w:cs="Arial"/>
                <w:sz w:val="18"/>
                <w:szCs w:val="18"/>
              </w:rPr>
              <w:t>32</w:t>
            </w:r>
          </w:p>
        </w:tc>
      </w:tr>
      <w:tr w:rsidR="00214A52" w:rsidRPr="001004B1" w14:paraId="406A2690" w14:textId="77777777" w:rsidTr="006B318F">
        <w:trPr>
          <w:trHeight w:val="120"/>
        </w:trPr>
        <w:tc>
          <w:tcPr>
            <w:tcW w:w="6626" w:type="dxa"/>
            <w:vAlign w:val="bottom"/>
            <w:hideMark/>
          </w:tcPr>
          <w:p w14:paraId="305DE8B9" w14:textId="77777777" w:rsidR="00214A52" w:rsidRPr="001004B1" w:rsidRDefault="00214A52" w:rsidP="00214A52">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Net income</w:t>
            </w:r>
          </w:p>
        </w:tc>
        <w:tc>
          <w:tcPr>
            <w:tcW w:w="1456" w:type="dxa"/>
            <w:tcBorders>
              <w:top w:val="single" w:sz="4" w:space="0" w:color="auto"/>
              <w:left w:val="nil"/>
              <w:bottom w:val="single" w:sz="12" w:space="0" w:color="auto"/>
              <w:right w:val="nil"/>
            </w:tcBorders>
            <w:shd w:val="clear" w:color="auto" w:fill="auto"/>
            <w:noWrap/>
          </w:tcPr>
          <w:p w14:paraId="1DB5BC07" w14:textId="231C8FF8" w:rsidR="00214A52" w:rsidRPr="001004B1" w:rsidRDefault="000F0D08" w:rsidP="00214A52">
            <w:pPr>
              <w:spacing w:after="0" w:line="220" w:lineRule="exact"/>
              <w:jc w:val="right"/>
              <w:rPr>
                <w:rFonts w:asciiTheme="minorHAnsi" w:eastAsia="Times New Roman" w:hAnsiTheme="minorHAnsi" w:cs="Arial"/>
                <w:b/>
                <w:bCs/>
                <w:sz w:val="18"/>
                <w:szCs w:val="18"/>
              </w:rPr>
            </w:pPr>
            <w:r w:rsidRPr="000F0D08">
              <w:rPr>
                <w:rFonts w:eastAsia="Times New Roman" w:cs="Arial"/>
                <w:b/>
                <w:bCs/>
                <w:sz w:val="18"/>
                <w:szCs w:val="18"/>
              </w:rPr>
              <w:t>7,849</w:t>
            </w:r>
          </w:p>
        </w:tc>
        <w:tc>
          <w:tcPr>
            <w:tcW w:w="1382" w:type="dxa"/>
            <w:tcBorders>
              <w:top w:val="single" w:sz="4" w:space="0" w:color="auto"/>
              <w:left w:val="nil"/>
              <w:bottom w:val="single" w:sz="12" w:space="0" w:color="auto"/>
              <w:right w:val="nil"/>
            </w:tcBorders>
            <w:shd w:val="clear" w:color="auto" w:fill="auto"/>
            <w:vAlign w:val="bottom"/>
          </w:tcPr>
          <w:p w14:paraId="5FFB2292" w14:textId="19CBE7A7" w:rsidR="00214A52" w:rsidRPr="001004B1" w:rsidRDefault="002307E4" w:rsidP="00214A52">
            <w:pPr>
              <w:spacing w:after="0" w:line="220" w:lineRule="exact"/>
              <w:jc w:val="right"/>
              <w:rPr>
                <w:rFonts w:asciiTheme="minorHAnsi" w:eastAsia="Times New Roman" w:hAnsiTheme="minorHAnsi" w:cs="Arial"/>
                <w:b/>
                <w:bCs/>
                <w:sz w:val="18"/>
                <w:szCs w:val="18"/>
              </w:rPr>
            </w:pPr>
            <w:r w:rsidRPr="002307E4">
              <w:rPr>
                <w:rFonts w:asciiTheme="minorHAnsi" w:hAnsiTheme="minorHAnsi" w:cs="Arial"/>
                <w:b/>
                <w:bCs/>
                <w:sz w:val="18"/>
                <w:szCs w:val="18"/>
              </w:rPr>
              <w:t>8,018</w:t>
            </w:r>
          </w:p>
        </w:tc>
      </w:tr>
      <w:tr w:rsidR="00031932" w:rsidRPr="001004B1" w14:paraId="263C6C79" w14:textId="77777777" w:rsidTr="002F749B">
        <w:trPr>
          <w:trHeight w:val="69"/>
        </w:trPr>
        <w:tc>
          <w:tcPr>
            <w:tcW w:w="6626" w:type="dxa"/>
            <w:vAlign w:val="bottom"/>
          </w:tcPr>
          <w:p w14:paraId="43562EE4" w14:textId="77777777" w:rsidR="00031932" w:rsidRPr="001004B1" w:rsidRDefault="00031932" w:rsidP="00031932">
            <w:pPr>
              <w:spacing w:after="0" w:line="140" w:lineRule="exact"/>
              <w:rPr>
                <w:rFonts w:asciiTheme="minorHAnsi" w:eastAsia="Times New Roman" w:hAnsiTheme="minorHAnsi" w:cs="Arial"/>
                <w:sz w:val="18"/>
                <w:szCs w:val="18"/>
              </w:rPr>
            </w:pPr>
          </w:p>
        </w:tc>
        <w:tc>
          <w:tcPr>
            <w:tcW w:w="1456" w:type="dxa"/>
            <w:tcBorders>
              <w:top w:val="single" w:sz="12" w:space="0" w:color="auto"/>
              <w:left w:val="nil"/>
              <w:bottom w:val="nil"/>
              <w:right w:val="nil"/>
            </w:tcBorders>
            <w:shd w:val="clear" w:color="auto" w:fill="auto"/>
            <w:noWrap/>
          </w:tcPr>
          <w:p w14:paraId="5C51ACBB" w14:textId="77777777" w:rsidR="00031932" w:rsidRPr="001004B1" w:rsidRDefault="00031932" w:rsidP="00031932">
            <w:pPr>
              <w:spacing w:after="0" w:line="140" w:lineRule="exact"/>
              <w:jc w:val="right"/>
              <w:rPr>
                <w:rFonts w:asciiTheme="minorHAnsi" w:eastAsia="Times New Roman" w:hAnsiTheme="minorHAnsi" w:cs="Arial"/>
                <w:sz w:val="18"/>
                <w:szCs w:val="18"/>
              </w:rPr>
            </w:pPr>
          </w:p>
        </w:tc>
        <w:tc>
          <w:tcPr>
            <w:tcW w:w="1382" w:type="dxa"/>
            <w:tcBorders>
              <w:top w:val="single" w:sz="12" w:space="0" w:color="auto"/>
              <w:left w:val="nil"/>
              <w:bottom w:val="nil"/>
              <w:right w:val="nil"/>
            </w:tcBorders>
            <w:shd w:val="clear" w:color="auto" w:fill="auto"/>
          </w:tcPr>
          <w:p w14:paraId="445C5BD9" w14:textId="77777777" w:rsidR="00031932" w:rsidRPr="001004B1" w:rsidRDefault="00031932" w:rsidP="00031932">
            <w:pPr>
              <w:spacing w:after="0" w:line="140" w:lineRule="exact"/>
              <w:jc w:val="right"/>
              <w:rPr>
                <w:rFonts w:asciiTheme="minorHAnsi" w:eastAsia="Times New Roman" w:hAnsiTheme="minorHAnsi" w:cs="Arial"/>
                <w:sz w:val="18"/>
                <w:szCs w:val="18"/>
              </w:rPr>
            </w:pPr>
          </w:p>
        </w:tc>
      </w:tr>
      <w:tr w:rsidR="000F0D08" w:rsidRPr="001004B1" w14:paraId="693F7616" w14:textId="77777777" w:rsidTr="006B318F">
        <w:trPr>
          <w:trHeight w:val="118"/>
        </w:trPr>
        <w:tc>
          <w:tcPr>
            <w:tcW w:w="6626" w:type="dxa"/>
            <w:vAlign w:val="bottom"/>
            <w:hideMark/>
          </w:tcPr>
          <w:p w14:paraId="771A3339" w14:textId="77777777" w:rsidR="000F0D08" w:rsidRPr="001004B1" w:rsidRDefault="000F0D08" w:rsidP="000F0D08">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Gross expense for returned premiums</w:t>
            </w:r>
          </w:p>
        </w:tc>
        <w:tc>
          <w:tcPr>
            <w:tcW w:w="1456" w:type="dxa"/>
            <w:tcBorders>
              <w:top w:val="nil"/>
              <w:left w:val="nil"/>
              <w:right w:val="nil"/>
            </w:tcBorders>
            <w:shd w:val="clear" w:color="auto" w:fill="auto"/>
            <w:noWrap/>
          </w:tcPr>
          <w:p w14:paraId="432C06AC" w14:textId="3E82A661" w:rsidR="000F0D08" w:rsidRPr="001004B1" w:rsidRDefault="000F0D08" w:rsidP="000F0D08">
            <w:pPr>
              <w:spacing w:after="0" w:line="220" w:lineRule="exact"/>
              <w:jc w:val="right"/>
              <w:rPr>
                <w:rFonts w:asciiTheme="minorHAnsi" w:eastAsia="Times New Roman" w:hAnsiTheme="minorHAnsi" w:cs="Arial"/>
                <w:sz w:val="18"/>
                <w:szCs w:val="18"/>
              </w:rPr>
            </w:pPr>
            <w:r>
              <w:rPr>
                <w:rFonts w:eastAsia="Times New Roman" w:cs="Arial"/>
                <w:sz w:val="18"/>
                <w:szCs w:val="18"/>
              </w:rPr>
              <w:t>(329)</w:t>
            </w:r>
          </w:p>
        </w:tc>
        <w:tc>
          <w:tcPr>
            <w:tcW w:w="1382" w:type="dxa"/>
            <w:tcBorders>
              <w:top w:val="nil"/>
              <w:left w:val="nil"/>
              <w:right w:val="nil"/>
            </w:tcBorders>
            <w:shd w:val="clear" w:color="auto" w:fill="auto"/>
          </w:tcPr>
          <w:p w14:paraId="0B08BCCB" w14:textId="3535BBFB" w:rsidR="000F0D08" w:rsidRPr="001004B1" w:rsidRDefault="000F0D08" w:rsidP="000F0D08">
            <w:pPr>
              <w:spacing w:after="0" w:line="220" w:lineRule="exact"/>
              <w:jc w:val="right"/>
              <w:rPr>
                <w:rFonts w:asciiTheme="minorHAnsi" w:eastAsia="Times New Roman" w:hAnsiTheme="minorHAnsi" w:cs="Arial"/>
                <w:sz w:val="18"/>
                <w:szCs w:val="18"/>
              </w:rPr>
            </w:pPr>
            <w:r w:rsidRPr="006B318F">
              <w:rPr>
                <w:rFonts w:asciiTheme="minorHAnsi" w:eastAsia="Times New Roman" w:hAnsiTheme="minorHAnsi" w:cs="Arial"/>
                <w:sz w:val="18"/>
                <w:szCs w:val="18"/>
              </w:rPr>
              <w:t>(892)</w:t>
            </w:r>
          </w:p>
        </w:tc>
      </w:tr>
      <w:tr w:rsidR="000F0D08" w:rsidRPr="001004B1" w14:paraId="2DF8C3BD" w14:textId="77777777" w:rsidTr="006B318F">
        <w:trPr>
          <w:trHeight w:val="162"/>
        </w:trPr>
        <w:tc>
          <w:tcPr>
            <w:tcW w:w="6626" w:type="dxa"/>
            <w:vAlign w:val="bottom"/>
            <w:hideMark/>
          </w:tcPr>
          <w:p w14:paraId="42A208A0" w14:textId="77777777" w:rsidR="000F0D08" w:rsidRPr="001004B1" w:rsidRDefault="000F0D08" w:rsidP="000F0D08">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Reinsurer's share</w:t>
            </w:r>
          </w:p>
        </w:tc>
        <w:tc>
          <w:tcPr>
            <w:tcW w:w="1456" w:type="dxa"/>
            <w:tcBorders>
              <w:top w:val="nil"/>
              <w:left w:val="nil"/>
              <w:right w:val="nil"/>
            </w:tcBorders>
            <w:shd w:val="clear" w:color="auto" w:fill="auto"/>
            <w:noWrap/>
          </w:tcPr>
          <w:p w14:paraId="5D31CBC6" w14:textId="69795B28" w:rsidR="000F0D08" w:rsidRPr="001004B1" w:rsidRDefault="000F0D08" w:rsidP="000F0D08">
            <w:pPr>
              <w:spacing w:after="0" w:line="220" w:lineRule="exact"/>
              <w:jc w:val="right"/>
              <w:rPr>
                <w:rFonts w:asciiTheme="minorHAnsi" w:eastAsia="Times New Roman" w:hAnsiTheme="minorHAnsi" w:cs="Arial"/>
                <w:sz w:val="18"/>
                <w:szCs w:val="18"/>
              </w:rPr>
            </w:pPr>
            <w:r>
              <w:rPr>
                <w:rFonts w:eastAsia="Times New Roman" w:cs="Arial"/>
                <w:sz w:val="18"/>
                <w:szCs w:val="18"/>
              </w:rPr>
              <w:t>119</w:t>
            </w:r>
          </w:p>
        </w:tc>
        <w:tc>
          <w:tcPr>
            <w:tcW w:w="1382" w:type="dxa"/>
            <w:tcBorders>
              <w:top w:val="nil"/>
              <w:left w:val="nil"/>
              <w:right w:val="nil"/>
            </w:tcBorders>
            <w:shd w:val="clear" w:color="auto" w:fill="auto"/>
          </w:tcPr>
          <w:p w14:paraId="5A63491D" w14:textId="6FAAF89A" w:rsidR="000F0D08" w:rsidRPr="001004B1" w:rsidRDefault="000F0D08" w:rsidP="000F0D08">
            <w:pPr>
              <w:spacing w:after="0" w:line="220" w:lineRule="exact"/>
              <w:jc w:val="right"/>
              <w:rPr>
                <w:rFonts w:asciiTheme="minorHAnsi" w:eastAsia="Times New Roman" w:hAnsiTheme="minorHAnsi" w:cs="Arial"/>
                <w:sz w:val="18"/>
                <w:szCs w:val="18"/>
              </w:rPr>
            </w:pPr>
            <w:r w:rsidRPr="006B318F">
              <w:rPr>
                <w:rFonts w:asciiTheme="minorHAnsi" w:eastAsia="Times New Roman" w:hAnsiTheme="minorHAnsi" w:cs="Arial"/>
                <w:sz w:val="18"/>
                <w:szCs w:val="18"/>
              </w:rPr>
              <w:t>493</w:t>
            </w:r>
          </w:p>
        </w:tc>
      </w:tr>
      <w:tr w:rsidR="000F0D08" w:rsidRPr="001004B1" w14:paraId="1BD473F6" w14:textId="77777777" w:rsidTr="006B318F">
        <w:trPr>
          <w:trHeight w:val="206"/>
        </w:trPr>
        <w:tc>
          <w:tcPr>
            <w:tcW w:w="6626" w:type="dxa"/>
            <w:vAlign w:val="bottom"/>
            <w:hideMark/>
          </w:tcPr>
          <w:p w14:paraId="3B79FA35" w14:textId="77777777" w:rsidR="000F0D08" w:rsidRPr="001004B1" w:rsidRDefault="000F0D08" w:rsidP="000F0D08">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Gross reserve for returned premiums</w:t>
            </w:r>
          </w:p>
        </w:tc>
        <w:tc>
          <w:tcPr>
            <w:tcW w:w="1456" w:type="dxa"/>
            <w:tcBorders>
              <w:top w:val="nil"/>
              <w:left w:val="nil"/>
              <w:right w:val="nil"/>
            </w:tcBorders>
            <w:shd w:val="clear" w:color="auto" w:fill="auto"/>
            <w:noWrap/>
            <w:vAlign w:val="bottom"/>
          </w:tcPr>
          <w:p w14:paraId="5180A735" w14:textId="0D101B71" w:rsidR="000F0D08" w:rsidRPr="001004B1" w:rsidRDefault="000F0D08" w:rsidP="000F0D08">
            <w:pPr>
              <w:spacing w:after="0" w:line="220" w:lineRule="exact"/>
              <w:jc w:val="right"/>
              <w:rPr>
                <w:rFonts w:asciiTheme="minorHAnsi" w:eastAsia="Times New Roman" w:hAnsiTheme="minorHAnsi" w:cs="Arial"/>
                <w:sz w:val="18"/>
                <w:szCs w:val="18"/>
              </w:rPr>
            </w:pPr>
            <w:r>
              <w:rPr>
                <w:rFonts w:eastAsia="Times New Roman" w:cs="Arial"/>
                <w:sz w:val="18"/>
                <w:szCs w:val="18"/>
              </w:rPr>
              <w:t>(284)</w:t>
            </w:r>
          </w:p>
        </w:tc>
        <w:tc>
          <w:tcPr>
            <w:tcW w:w="1382" w:type="dxa"/>
            <w:tcBorders>
              <w:top w:val="nil"/>
              <w:left w:val="nil"/>
              <w:right w:val="nil"/>
            </w:tcBorders>
            <w:shd w:val="clear" w:color="auto" w:fill="auto"/>
          </w:tcPr>
          <w:p w14:paraId="4F9B81EE" w14:textId="3DF97C51" w:rsidR="000F0D08" w:rsidRPr="001004B1" w:rsidRDefault="000F0D08" w:rsidP="000F0D08">
            <w:pPr>
              <w:spacing w:after="0" w:line="220" w:lineRule="exact"/>
              <w:jc w:val="right"/>
              <w:rPr>
                <w:rFonts w:asciiTheme="minorHAnsi" w:eastAsia="Times New Roman" w:hAnsiTheme="minorHAnsi" w:cs="Arial"/>
                <w:sz w:val="18"/>
                <w:szCs w:val="18"/>
              </w:rPr>
            </w:pPr>
            <w:r w:rsidRPr="006B318F">
              <w:rPr>
                <w:rFonts w:asciiTheme="minorHAnsi" w:eastAsia="Times New Roman" w:hAnsiTheme="minorHAnsi" w:cs="Arial"/>
                <w:sz w:val="18"/>
                <w:szCs w:val="18"/>
              </w:rPr>
              <w:t>(122)</w:t>
            </w:r>
          </w:p>
        </w:tc>
      </w:tr>
      <w:tr w:rsidR="000F0D08" w:rsidRPr="001004B1" w14:paraId="466F3471" w14:textId="77777777" w:rsidTr="006B318F">
        <w:trPr>
          <w:trHeight w:val="95"/>
        </w:trPr>
        <w:tc>
          <w:tcPr>
            <w:tcW w:w="6626" w:type="dxa"/>
            <w:vAlign w:val="bottom"/>
            <w:hideMark/>
          </w:tcPr>
          <w:p w14:paraId="40715871" w14:textId="77777777" w:rsidR="000F0D08" w:rsidRPr="001004B1" w:rsidRDefault="000F0D08" w:rsidP="000F0D08">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Reinsurer's share</w:t>
            </w:r>
          </w:p>
        </w:tc>
        <w:tc>
          <w:tcPr>
            <w:tcW w:w="1456" w:type="dxa"/>
            <w:tcBorders>
              <w:top w:val="nil"/>
              <w:left w:val="nil"/>
              <w:bottom w:val="single" w:sz="4" w:space="0" w:color="auto"/>
              <w:right w:val="nil"/>
            </w:tcBorders>
            <w:shd w:val="clear" w:color="auto" w:fill="auto"/>
            <w:noWrap/>
            <w:vAlign w:val="bottom"/>
          </w:tcPr>
          <w:p w14:paraId="575ACA1B" w14:textId="27230718" w:rsidR="000F0D08" w:rsidRPr="001004B1" w:rsidRDefault="000F0D08" w:rsidP="000F0D08">
            <w:pPr>
              <w:spacing w:after="0" w:line="220" w:lineRule="exact"/>
              <w:jc w:val="right"/>
              <w:rPr>
                <w:rFonts w:asciiTheme="minorHAnsi" w:eastAsia="Times New Roman" w:hAnsiTheme="minorHAnsi" w:cs="Arial"/>
                <w:sz w:val="18"/>
                <w:szCs w:val="18"/>
              </w:rPr>
            </w:pPr>
            <w:r>
              <w:rPr>
                <w:rFonts w:eastAsia="Times New Roman" w:cs="Arial"/>
                <w:sz w:val="18"/>
                <w:szCs w:val="18"/>
              </w:rPr>
              <w:t>99</w:t>
            </w:r>
          </w:p>
        </w:tc>
        <w:tc>
          <w:tcPr>
            <w:tcW w:w="1382" w:type="dxa"/>
            <w:tcBorders>
              <w:top w:val="nil"/>
              <w:left w:val="nil"/>
              <w:bottom w:val="single" w:sz="4" w:space="0" w:color="auto"/>
              <w:right w:val="nil"/>
            </w:tcBorders>
            <w:shd w:val="clear" w:color="auto" w:fill="auto"/>
          </w:tcPr>
          <w:p w14:paraId="51084C98" w14:textId="05D3EB21" w:rsidR="000F0D08" w:rsidRPr="001004B1" w:rsidRDefault="000F0D08" w:rsidP="000F0D08">
            <w:pPr>
              <w:spacing w:after="0" w:line="220" w:lineRule="exact"/>
              <w:jc w:val="right"/>
              <w:rPr>
                <w:rFonts w:asciiTheme="minorHAnsi" w:eastAsia="Times New Roman" w:hAnsiTheme="minorHAnsi" w:cs="Arial"/>
                <w:sz w:val="18"/>
                <w:szCs w:val="18"/>
              </w:rPr>
            </w:pPr>
            <w:r w:rsidRPr="006B318F">
              <w:rPr>
                <w:rFonts w:asciiTheme="minorHAnsi" w:eastAsia="Times New Roman" w:hAnsiTheme="minorHAnsi" w:cs="Arial"/>
                <w:sz w:val="18"/>
                <w:szCs w:val="18"/>
              </w:rPr>
              <w:t>19</w:t>
            </w:r>
          </w:p>
        </w:tc>
      </w:tr>
      <w:tr w:rsidR="00F52E20" w:rsidRPr="001004B1" w14:paraId="79D57182" w14:textId="77777777" w:rsidTr="006B318F">
        <w:trPr>
          <w:trHeight w:val="132"/>
        </w:trPr>
        <w:tc>
          <w:tcPr>
            <w:tcW w:w="6626" w:type="dxa"/>
            <w:vAlign w:val="bottom"/>
            <w:hideMark/>
          </w:tcPr>
          <w:p w14:paraId="333BA8FF" w14:textId="77777777" w:rsidR="00F52E20" w:rsidRPr="001004B1" w:rsidRDefault="00F52E20" w:rsidP="00F52E20">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Net expense and reserve for returned premiums</w:t>
            </w:r>
          </w:p>
        </w:tc>
        <w:tc>
          <w:tcPr>
            <w:tcW w:w="1456" w:type="dxa"/>
            <w:tcBorders>
              <w:top w:val="single" w:sz="4" w:space="0" w:color="auto"/>
              <w:left w:val="nil"/>
              <w:bottom w:val="single" w:sz="12" w:space="0" w:color="auto"/>
              <w:right w:val="nil"/>
            </w:tcBorders>
            <w:shd w:val="clear" w:color="auto" w:fill="auto"/>
            <w:noWrap/>
          </w:tcPr>
          <w:p w14:paraId="12CEFF3A" w14:textId="2DF00870" w:rsidR="00F52E20" w:rsidRPr="001004B1" w:rsidRDefault="000F0D08" w:rsidP="00F52E20">
            <w:pPr>
              <w:spacing w:after="0" w:line="220" w:lineRule="exact"/>
              <w:jc w:val="right"/>
              <w:rPr>
                <w:rFonts w:asciiTheme="minorHAnsi" w:eastAsia="Times New Roman" w:hAnsiTheme="minorHAnsi" w:cs="Arial"/>
                <w:b/>
                <w:sz w:val="18"/>
                <w:szCs w:val="18"/>
              </w:rPr>
            </w:pPr>
            <w:r w:rsidRPr="000F0D08">
              <w:rPr>
                <w:rFonts w:eastAsia="Times New Roman" w:cs="Arial"/>
                <w:b/>
                <w:sz w:val="18"/>
                <w:szCs w:val="18"/>
              </w:rPr>
              <w:t>(395)</w:t>
            </w:r>
            <w:r w:rsidRPr="000F0D08" w:rsidDel="00895CCA">
              <w:rPr>
                <w:rFonts w:eastAsia="Times New Roman" w:cs="Arial"/>
                <w:b/>
                <w:sz w:val="18"/>
                <w:szCs w:val="18"/>
              </w:rPr>
              <w:t xml:space="preserve"> </w:t>
            </w:r>
          </w:p>
        </w:tc>
        <w:tc>
          <w:tcPr>
            <w:tcW w:w="1382" w:type="dxa"/>
            <w:tcBorders>
              <w:top w:val="single" w:sz="4" w:space="0" w:color="auto"/>
              <w:left w:val="nil"/>
              <w:bottom w:val="single" w:sz="12" w:space="0" w:color="auto"/>
              <w:right w:val="nil"/>
            </w:tcBorders>
            <w:shd w:val="clear" w:color="auto" w:fill="auto"/>
            <w:vAlign w:val="bottom"/>
          </w:tcPr>
          <w:p w14:paraId="2A221D94" w14:textId="6C80740C" w:rsidR="00F52E20" w:rsidRPr="001004B1" w:rsidRDefault="002307E4" w:rsidP="00F52E20">
            <w:pPr>
              <w:spacing w:after="0" w:line="220" w:lineRule="exact"/>
              <w:jc w:val="right"/>
              <w:rPr>
                <w:rFonts w:asciiTheme="minorHAnsi" w:eastAsia="Times New Roman" w:hAnsiTheme="minorHAnsi" w:cs="Arial"/>
                <w:b/>
                <w:sz w:val="18"/>
                <w:szCs w:val="18"/>
              </w:rPr>
            </w:pPr>
            <w:r w:rsidRPr="002307E4">
              <w:rPr>
                <w:rFonts w:asciiTheme="minorHAnsi" w:hAnsiTheme="minorHAnsi" w:cs="Arial"/>
                <w:b/>
                <w:sz w:val="18"/>
                <w:szCs w:val="18"/>
              </w:rPr>
              <w:t>(502)</w:t>
            </w:r>
            <w:r w:rsidRPr="002307E4" w:rsidDel="00895CCA">
              <w:rPr>
                <w:rFonts w:asciiTheme="minorHAnsi" w:hAnsiTheme="minorHAnsi" w:cs="Arial"/>
                <w:b/>
                <w:sz w:val="18"/>
                <w:szCs w:val="18"/>
              </w:rPr>
              <w:t xml:space="preserve"> </w:t>
            </w:r>
          </w:p>
        </w:tc>
      </w:tr>
      <w:tr w:rsidR="00031932" w:rsidRPr="001004B1" w14:paraId="1D470200" w14:textId="77777777" w:rsidTr="002F749B">
        <w:trPr>
          <w:trHeight w:val="87"/>
        </w:trPr>
        <w:tc>
          <w:tcPr>
            <w:tcW w:w="6626" w:type="dxa"/>
            <w:vAlign w:val="bottom"/>
          </w:tcPr>
          <w:p w14:paraId="0C7071A7" w14:textId="77777777" w:rsidR="00031932" w:rsidRPr="001004B1" w:rsidRDefault="00031932" w:rsidP="00031932">
            <w:pPr>
              <w:spacing w:after="0" w:line="140" w:lineRule="exact"/>
              <w:rPr>
                <w:rFonts w:asciiTheme="minorHAnsi" w:eastAsia="Times New Roman" w:hAnsiTheme="minorHAnsi" w:cs="Arial"/>
                <w:sz w:val="18"/>
                <w:szCs w:val="18"/>
              </w:rPr>
            </w:pPr>
          </w:p>
        </w:tc>
        <w:tc>
          <w:tcPr>
            <w:tcW w:w="1456" w:type="dxa"/>
            <w:tcBorders>
              <w:top w:val="single" w:sz="12" w:space="0" w:color="auto"/>
              <w:left w:val="nil"/>
              <w:bottom w:val="nil"/>
              <w:right w:val="nil"/>
            </w:tcBorders>
            <w:shd w:val="clear" w:color="auto" w:fill="auto"/>
            <w:noWrap/>
          </w:tcPr>
          <w:p w14:paraId="50C4DD06" w14:textId="77777777" w:rsidR="00031932" w:rsidRPr="001004B1" w:rsidRDefault="00031932" w:rsidP="00031932">
            <w:pPr>
              <w:spacing w:after="0" w:line="140" w:lineRule="exact"/>
              <w:jc w:val="right"/>
              <w:rPr>
                <w:rFonts w:asciiTheme="minorHAnsi" w:eastAsia="Times New Roman" w:hAnsiTheme="minorHAnsi" w:cs="Arial"/>
                <w:sz w:val="18"/>
                <w:szCs w:val="18"/>
              </w:rPr>
            </w:pPr>
          </w:p>
        </w:tc>
        <w:tc>
          <w:tcPr>
            <w:tcW w:w="1382" w:type="dxa"/>
            <w:tcBorders>
              <w:top w:val="single" w:sz="12" w:space="0" w:color="auto"/>
              <w:left w:val="nil"/>
              <w:bottom w:val="nil"/>
              <w:right w:val="nil"/>
            </w:tcBorders>
            <w:shd w:val="clear" w:color="auto" w:fill="auto"/>
          </w:tcPr>
          <w:p w14:paraId="2B60025A" w14:textId="77777777" w:rsidR="00031932" w:rsidRPr="001004B1" w:rsidRDefault="00031932" w:rsidP="00031932">
            <w:pPr>
              <w:spacing w:after="0" w:line="140" w:lineRule="exact"/>
              <w:jc w:val="right"/>
              <w:rPr>
                <w:rFonts w:asciiTheme="minorHAnsi" w:eastAsia="Times New Roman" w:hAnsiTheme="minorHAnsi" w:cs="Arial"/>
                <w:sz w:val="18"/>
                <w:szCs w:val="18"/>
              </w:rPr>
            </w:pPr>
          </w:p>
        </w:tc>
      </w:tr>
      <w:tr w:rsidR="000F0D08" w:rsidRPr="001004B1" w14:paraId="46BCB7F6" w14:textId="77777777" w:rsidTr="006B318F">
        <w:trPr>
          <w:trHeight w:val="174"/>
        </w:trPr>
        <w:tc>
          <w:tcPr>
            <w:tcW w:w="6626" w:type="dxa"/>
            <w:vAlign w:val="bottom"/>
            <w:hideMark/>
          </w:tcPr>
          <w:p w14:paraId="48248288" w14:textId="77777777" w:rsidR="000F0D08" w:rsidRPr="001004B1" w:rsidRDefault="000F0D08" w:rsidP="000F0D08">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Claims incurred</w:t>
            </w:r>
          </w:p>
        </w:tc>
        <w:tc>
          <w:tcPr>
            <w:tcW w:w="1456" w:type="dxa"/>
            <w:tcBorders>
              <w:top w:val="nil"/>
              <w:left w:val="nil"/>
              <w:bottom w:val="nil"/>
              <w:right w:val="nil"/>
            </w:tcBorders>
            <w:shd w:val="clear" w:color="auto" w:fill="auto"/>
            <w:noWrap/>
          </w:tcPr>
          <w:p w14:paraId="3BB06EA7" w14:textId="16F0D584" w:rsidR="000F0D08" w:rsidRPr="001004B1" w:rsidRDefault="000F0D08" w:rsidP="000F0D08">
            <w:pPr>
              <w:spacing w:after="0" w:line="220" w:lineRule="exact"/>
              <w:jc w:val="right"/>
              <w:rPr>
                <w:rFonts w:asciiTheme="minorHAnsi" w:eastAsia="Times New Roman" w:hAnsiTheme="minorHAnsi" w:cs="Arial"/>
                <w:sz w:val="18"/>
                <w:szCs w:val="18"/>
              </w:rPr>
            </w:pPr>
            <w:r>
              <w:rPr>
                <w:rFonts w:eastAsia="Times New Roman" w:cs="Arial"/>
                <w:sz w:val="18"/>
                <w:szCs w:val="18"/>
              </w:rPr>
              <w:t>(208)</w:t>
            </w:r>
          </w:p>
        </w:tc>
        <w:tc>
          <w:tcPr>
            <w:tcW w:w="1382" w:type="dxa"/>
            <w:tcBorders>
              <w:top w:val="nil"/>
              <w:left w:val="nil"/>
              <w:bottom w:val="nil"/>
              <w:right w:val="nil"/>
            </w:tcBorders>
            <w:shd w:val="clear" w:color="auto" w:fill="auto"/>
          </w:tcPr>
          <w:p w14:paraId="7A91CEF0" w14:textId="303BE4D2" w:rsidR="000F0D08" w:rsidRPr="001004B1" w:rsidRDefault="000F0D08" w:rsidP="000F0D08">
            <w:pPr>
              <w:spacing w:after="0" w:line="220" w:lineRule="exact"/>
              <w:jc w:val="right"/>
              <w:rPr>
                <w:rFonts w:asciiTheme="minorHAnsi" w:eastAsia="Times New Roman" w:hAnsiTheme="minorHAnsi" w:cs="Arial"/>
                <w:sz w:val="18"/>
                <w:szCs w:val="18"/>
              </w:rPr>
            </w:pPr>
            <w:r w:rsidRPr="006B318F">
              <w:rPr>
                <w:rFonts w:asciiTheme="minorHAnsi" w:eastAsia="Times New Roman" w:hAnsiTheme="minorHAnsi" w:cs="Arial"/>
                <w:sz w:val="18"/>
                <w:szCs w:val="18"/>
              </w:rPr>
              <w:t>(1,712)</w:t>
            </w:r>
          </w:p>
        </w:tc>
      </w:tr>
      <w:tr w:rsidR="000F0D08" w:rsidRPr="001004B1" w14:paraId="3136EE02" w14:textId="77777777" w:rsidTr="006B318F">
        <w:trPr>
          <w:trHeight w:val="105"/>
        </w:trPr>
        <w:tc>
          <w:tcPr>
            <w:tcW w:w="6626" w:type="dxa"/>
            <w:vAlign w:val="bottom"/>
            <w:hideMark/>
          </w:tcPr>
          <w:p w14:paraId="50EA2C10" w14:textId="77777777" w:rsidR="000F0D08" w:rsidRPr="001004B1" w:rsidRDefault="000F0D08" w:rsidP="000F0D08">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Claims incurred, reinsurer's share</w:t>
            </w:r>
          </w:p>
        </w:tc>
        <w:tc>
          <w:tcPr>
            <w:tcW w:w="1456" w:type="dxa"/>
            <w:tcBorders>
              <w:top w:val="nil"/>
              <w:left w:val="nil"/>
              <w:bottom w:val="nil"/>
              <w:right w:val="nil"/>
            </w:tcBorders>
            <w:shd w:val="clear" w:color="auto" w:fill="auto"/>
            <w:noWrap/>
          </w:tcPr>
          <w:p w14:paraId="42A93788" w14:textId="04C62B27" w:rsidR="000F0D08" w:rsidRPr="001004B1" w:rsidRDefault="000F0D08" w:rsidP="000F0D08">
            <w:pPr>
              <w:spacing w:after="0" w:line="220" w:lineRule="exact"/>
              <w:jc w:val="right"/>
              <w:rPr>
                <w:rFonts w:asciiTheme="minorHAnsi" w:eastAsia="Times New Roman" w:hAnsiTheme="minorHAnsi" w:cs="Arial"/>
                <w:sz w:val="18"/>
                <w:szCs w:val="18"/>
              </w:rPr>
            </w:pPr>
            <w:r>
              <w:rPr>
                <w:rFonts w:eastAsia="Times New Roman" w:cs="Arial"/>
                <w:sz w:val="18"/>
                <w:szCs w:val="18"/>
              </w:rPr>
              <w:t>59</w:t>
            </w:r>
          </w:p>
        </w:tc>
        <w:tc>
          <w:tcPr>
            <w:tcW w:w="1382" w:type="dxa"/>
            <w:tcBorders>
              <w:top w:val="nil"/>
              <w:left w:val="nil"/>
              <w:bottom w:val="nil"/>
              <w:right w:val="nil"/>
            </w:tcBorders>
            <w:shd w:val="clear" w:color="auto" w:fill="auto"/>
          </w:tcPr>
          <w:p w14:paraId="70C42E73" w14:textId="417228FF" w:rsidR="000F0D08" w:rsidRPr="001004B1" w:rsidRDefault="000F0D08" w:rsidP="000F0D08">
            <w:pPr>
              <w:spacing w:after="0" w:line="220" w:lineRule="exact"/>
              <w:jc w:val="right"/>
              <w:rPr>
                <w:rFonts w:asciiTheme="minorHAnsi" w:eastAsia="Times New Roman" w:hAnsiTheme="minorHAnsi" w:cs="Arial"/>
                <w:sz w:val="18"/>
                <w:szCs w:val="18"/>
              </w:rPr>
            </w:pPr>
            <w:r w:rsidRPr="006B318F">
              <w:rPr>
                <w:rFonts w:asciiTheme="minorHAnsi" w:eastAsia="Times New Roman" w:hAnsiTheme="minorHAnsi" w:cs="Arial"/>
                <w:sz w:val="18"/>
                <w:szCs w:val="18"/>
              </w:rPr>
              <w:t>121</w:t>
            </w:r>
          </w:p>
        </w:tc>
      </w:tr>
      <w:tr w:rsidR="000F0D08" w:rsidRPr="001004B1" w14:paraId="55B7E377" w14:textId="77777777" w:rsidTr="006B318F">
        <w:trPr>
          <w:trHeight w:val="148"/>
        </w:trPr>
        <w:tc>
          <w:tcPr>
            <w:tcW w:w="6626" w:type="dxa"/>
            <w:vAlign w:val="bottom"/>
            <w:hideMark/>
          </w:tcPr>
          <w:p w14:paraId="2355A2DD" w14:textId="77777777" w:rsidR="000F0D08" w:rsidRPr="001004B1" w:rsidRDefault="000F0D08" w:rsidP="000F0D08">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Change in the claims provision</w:t>
            </w:r>
          </w:p>
        </w:tc>
        <w:tc>
          <w:tcPr>
            <w:tcW w:w="1456" w:type="dxa"/>
            <w:tcBorders>
              <w:top w:val="nil"/>
              <w:left w:val="nil"/>
              <w:bottom w:val="nil"/>
              <w:right w:val="nil"/>
            </w:tcBorders>
            <w:shd w:val="clear" w:color="auto" w:fill="auto"/>
            <w:noWrap/>
          </w:tcPr>
          <w:p w14:paraId="2755AD7C" w14:textId="539B9075" w:rsidR="000F0D08" w:rsidRPr="001004B1" w:rsidRDefault="000F0D08" w:rsidP="000F0D08">
            <w:pPr>
              <w:spacing w:after="0" w:line="220" w:lineRule="exact"/>
              <w:jc w:val="right"/>
              <w:rPr>
                <w:rFonts w:asciiTheme="minorHAnsi" w:eastAsia="Times New Roman" w:hAnsiTheme="minorHAnsi" w:cs="Arial"/>
                <w:sz w:val="18"/>
                <w:szCs w:val="18"/>
              </w:rPr>
            </w:pPr>
            <w:r>
              <w:rPr>
                <w:rFonts w:eastAsia="Times New Roman" w:cs="Arial"/>
                <w:sz w:val="18"/>
                <w:szCs w:val="18"/>
              </w:rPr>
              <w:t>(3,459)</w:t>
            </w:r>
          </w:p>
        </w:tc>
        <w:tc>
          <w:tcPr>
            <w:tcW w:w="1382" w:type="dxa"/>
            <w:tcBorders>
              <w:top w:val="nil"/>
              <w:left w:val="nil"/>
              <w:bottom w:val="nil"/>
              <w:right w:val="nil"/>
            </w:tcBorders>
            <w:shd w:val="clear" w:color="auto" w:fill="auto"/>
          </w:tcPr>
          <w:p w14:paraId="1CED468A" w14:textId="1201BFD5" w:rsidR="000F0D08" w:rsidRPr="001004B1" w:rsidRDefault="000F0D08" w:rsidP="000F0D08">
            <w:pPr>
              <w:spacing w:after="0" w:line="220" w:lineRule="exact"/>
              <w:jc w:val="right"/>
              <w:rPr>
                <w:rFonts w:asciiTheme="minorHAnsi" w:eastAsia="Times New Roman" w:hAnsiTheme="minorHAnsi" w:cs="Arial"/>
                <w:sz w:val="18"/>
                <w:szCs w:val="18"/>
              </w:rPr>
            </w:pPr>
            <w:r w:rsidRPr="006B318F">
              <w:rPr>
                <w:rFonts w:asciiTheme="minorHAnsi" w:eastAsia="Times New Roman" w:hAnsiTheme="minorHAnsi" w:cs="Arial"/>
                <w:sz w:val="18"/>
                <w:szCs w:val="18"/>
              </w:rPr>
              <w:t>(1,664)</w:t>
            </w:r>
          </w:p>
        </w:tc>
      </w:tr>
      <w:tr w:rsidR="000F0D08" w:rsidRPr="001004B1" w14:paraId="4DEB81EA" w14:textId="77777777" w:rsidTr="006B318F">
        <w:trPr>
          <w:trHeight w:val="88"/>
        </w:trPr>
        <w:tc>
          <w:tcPr>
            <w:tcW w:w="6626" w:type="dxa"/>
            <w:vAlign w:val="bottom"/>
            <w:hideMark/>
          </w:tcPr>
          <w:p w14:paraId="0A9E2313" w14:textId="77777777" w:rsidR="000F0D08" w:rsidRPr="001004B1" w:rsidRDefault="000F0D08" w:rsidP="000F0D08">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Change in the claims provision, share of reinsurance</w:t>
            </w:r>
          </w:p>
        </w:tc>
        <w:tc>
          <w:tcPr>
            <w:tcW w:w="1456" w:type="dxa"/>
            <w:tcBorders>
              <w:top w:val="nil"/>
              <w:left w:val="nil"/>
              <w:bottom w:val="single" w:sz="4" w:space="0" w:color="auto"/>
              <w:right w:val="nil"/>
            </w:tcBorders>
            <w:shd w:val="clear" w:color="auto" w:fill="auto"/>
            <w:noWrap/>
          </w:tcPr>
          <w:p w14:paraId="6FB45762" w14:textId="6829145C" w:rsidR="000F0D08" w:rsidRPr="001004B1" w:rsidRDefault="000F0D08" w:rsidP="000F0D08">
            <w:pPr>
              <w:spacing w:after="0" w:line="220" w:lineRule="exact"/>
              <w:jc w:val="right"/>
              <w:rPr>
                <w:rFonts w:asciiTheme="minorHAnsi" w:eastAsia="Times New Roman" w:hAnsiTheme="minorHAnsi" w:cs="Arial"/>
                <w:sz w:val="18"/>
                <w:szCs w:val="18"/>
              </w:rPr>
            </w:pPr>
            <w:r>
              <w:rPr>
                <w:rFonts w:eastAsia="Times New Roman" w:cs="Arial"/>
                <w:sz w:val="18"/>
                <w:szCs w:val="18"/>
              </w:rPr>
              <w:t>1,795</w:t>
            </w:r>
          </w:p>
        </w:tc>
        <w:tc>
          <w:tcPr>
            <w:tcW w:w="1382" w:type="dxa"/>
            <w:tcBorders>
              <w:top w:val="nil"/>
              <w:left w:val="nil"/>
              <w:bottom w:val="single" w:sz="4" w:space="0" w:color="auto"/>
              <w:right w:val="nil"/>
            </w:tcBorders>
            <w:shd w:val="clear" w:color="auto" w:fill="auto"/>
          </w:tcPr>
          <w:p w14:paraId="74892F61" w14:textId="0AFF004A" w:rsidR="000F0D08" w:rsidRPr="001004B1" w:rsidRDefault="000F0D08" w:rsidP="000F0D08">
            <w:pPr>
              <w:spacing w:after="0" w:line="220" w:lineRule="exact"/>
              <w:jc w:val="right"/>
              <w:rPr>
                <w:rFonts w:asciiTheme="minorHAnsi" w:eastAsia="Times New Roman" w:hAnsiTheme="minorHAnsi" w:cs="Arial"/>
                <w:sz w:val="18"/>
                <w:szCs w:val="18"/>
              </w:rPr>
            </w:pPr>
            <w:r w:rsidRPr="006B318F">
              <w:rPr>
                <w:rFonts w:asciiTheme="minorHAnsi" w:eastAsia="Times New Roman" w:hAnsiTheme="minorHAnsi" w:cs="Arial"/>
                <w:sz w:val="18"/>
                <w:szCs w:val="18"/>
              </w:rPr>
              <w:t>1,012</w:t>
            </w:r>
          </w:p>
        </w:tc>
      </w:tr>
      <w:tr w:rsidR="00F52E20" w:rsidRPr="001004B1" w14:paraId="4122FD88" w14:textId="77777777" w:rsidTr="006B318F">
        <w:trPr>
          <w:trHeight w:val="104"/>
        </w:trPr>
        <w:tc>
          <w:tcPr>
            <w:tcW w:w="6626" w:type="dxa"/>
            <w:vAlign w:val="bottom"/>
            <w:hideMark/>
          </w:tcPr>
          <w:p w14:paraId="5EE3DA94" w14:textId="77777777" w:rsidR="00F52E20" w:rsidRPr="001004B1" w:rsidRDefault="00F52E20" w:rsidP="00F52E20">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Net claims incurred</w:t>
            </w:r>
          </w:p>
        </w:tc>
        <w:tc>
          <w:tcPr>
            <w:tcW w:w="1456" w:type="dxa"/>
            <w:tcBorders>
              <w:top w:val="single" w:sz="4" w:space="0" w:color="auto"/>
              <w:left w:val="nil"/>
              <w:bottom w:val="single" w:sz="12" w:space="0" w:color="auto"/>
              <w:right w:val="nil"/>
            </w:tcBorders>
            <w:shd w:val="clear" w:color="auto" w:fill="auto"/>
            <w:noWrap/>
          </w:tcPr>
          <w:p w14:paraId="6645412C" w14:textId="73BADBD0" w:rsidR="00F52E20" w:rsidRPr="001004B1" w:rsidRDefault="000F0D08" w:rsidP="00F52E20">
            <w:pPr>
              <w:spacing w:after="0" w:line="220" w:lineRule="exact"/>
              <w:jc w:val="right"/>
              <w:rPr>
                <w:rFonts w:asciiTheme="minorHAnsi" w:eastAsia="Times New Roman" w:hAnsiTheme="minorHAnsi" w:cs="Arial"/>
                <w:b/>
                <w:bCs/>
                <w:sz w:val="18"/>
                <w:szCs w:val="18"/>
              </w:rPr>
            </w:pPr>
            <w:r w:rsidRPr="000F0D08">
              <w:rPr>
                <w:rFonts w:eastAsia="Times New Roman" w:cs="Arial"/>
                <w:b/>
                <w:bCs/>
                <w:sz w:val="18"/>
                <w:szCs w:val="18"/>
              </w:rPr>
              <w:t>(1,813)</w:t>
            </w:r>
            <w:r w:rsidRPr="000F0D08" w:rsidDel="00895CCA">
              <w:rPr>
                <w:rFonts w:eastAsia="Times New Roman" w:cs="Arial"/>
                <w:b/>
                <w:bCs/>
                <w:sz w:val="18"/>
                <w:szCs w:val="18"/>
              </w:rPr>
              <w:t xml:space="preserve"> </w:t>
            </w:r>
          </w:p>
        </w:tc>
        <w:tc>
          <w:tcPr>
            <w:tcW w:w="1382" w:type="dxa"/>
            <w:tcBorders>
              <w:top w:val="single" w:sz="4" w:space="0" w:color="auto"/>
              <w:left w:val="nil"/>
              <w:bottom w:val="single" w:sz="12" w:space="0" w:color="auto"/>
              <w:right w:val="nil"/>
            </w:tcBorders>
            <w:shd w:val="clear" w:color="auto" w:fill="auto"/>
            <w:vAlign w:val="bottom"/>
          </w:tcPr>
          <w:p w14:paraId="09E213EC" w14:textId="628FBEF6" w:rsidR="00F52E20" w:rsidRPr="001004B1" w:rsidRDefault="002307E4" w:rsidP="00F52E20">
            <w:pPr>
              <w:spacing w:after="0" w:line="220" w:lineRule="exact"/>
              <w:jc w:val="right"/>
              <w:rPr>
                <w:rFonts w:asciiTheme="minorHAnsi" w:eastAsia="Times New Roman" w:hAnsiTheme="minorHAnsi" w:cs="Arial"/>
                <w:b/>
                <w:bCs/>
                <w:sz w:val="18"/>
                <w:szCs w:val="18"/>
              </w:rPr>
            </w:pPr>
            <w:r w:rsidRPr="002307E4">
              <w:rPr>
                <w:rFonts w:asciiTheme="minorHAnsi" w:hAnsiTheme="minorHAnsi" w:cs="Arial"/>
                <w:b/>
                <w:bCs/>
                <w:sz w:val="18"/>
                <w:szCs w:val="18"/>
              </w:rPr>
              <w:t>(2,243)</w:t>
            </w:r>
            <w:r w:rsidRPr="002307E4" w:rsidDel="00895CCA">
              <w:rPr>
                <w:rFonts w:asciiTheme="minorHAnsi" w:hAnsiTheme="minorHAnsi" w:cs="Arial"/>
                <w:b/>
                <w:bCs/>
                <w:sz w:val="18"/>
                <w:szCs w:val="18"/>
              </w:rPr>
              <w:t xml:space="preserve"> </w:t>
            </w:r>
          </w:p>
        </w:tc>
      </w:tr>
      <w:tr w:rsidR="00031932" w:rsidRPr="001004B1" w14:paraId="681A67FB" w14:textId="77777777" w:rsidTr="002F749B">
        <w:trPr>
          <w:trHeight w:val="40"/>
        </w:trPr>
        <w:tc>
          <w:tcPr>
            <w:tcW w:w="6626" w:type="dxa"/>
            <w:vAlign w:val="bottom"/>
          </w:tcPr>
          <w:p w14:paraId="7665181B" w14:textId="77777777" w:rsidR="00031932" w:rsidRPr="001004B1" w:rsidRDefault="00031932" w:rsidP="00031932">
            <w:pPr>
              <w:spacing w:after="0" w:line="140" w:lineRule="exact"/>
              <w:rPr>
                <w:rFonts w:asciiTheme="minorHAnsi" w:eastAsia="Times New Roman" w:hAnsiTheme="minorHAnsi" w:cs="Arial"/>
                <w:b/>
                <w:bCs/>
                <w:sz w:val="18"/>
                <w:szCs w:val="18"/>
              </w:rPr>
            </w:pPr>
          </w:p>
        </w:tc>
        <w:tc>
          <w:tcPr>
            <w:tcW w:w="1456" w:type="dxa"/>
            <w:tcBorders>
              <w:top w:val="single" w:sz="12" w:space="0" w:color="auto"/>
              <w:left w:val="nil"/>
              <w:right w:val="nil"/>
            </w:tcBorders>
            <w:shd w:val="clear" w:color="auto" w:fill="auto"/>
            <w:noWrap/>
          </w:tcPr>
          <w:p w14:paraId="1F5AAB83" w14:textId="77777777" w:rsidR="00031932" w:rsidRPr="001004B1" w:rsidRDefault="00031932" w:rsidP="00031932">
            <w:pPr>
              <w:spacing w:after="0" w:line="140" w:lineRule="exact"/>
              <w:jc w:val="right"/>
              <w:rPr>
                <w:rFonts w:asciiTheme="minorHAnsi" w:eastAsia="Times New Roman" w:hAnsiTheme="minorHAnsi" w:cs="Arial"/>
                <w:b/>
                <w:bCs/>
                <w:sz w:val="18"/>
                <w:szCs w:val="18"/>
              </w:rPr>
            </w:pPr>
          </w:p>
        </w:tc>
        <w:tc>
          <w:tcPr>
            <w:tcW w:w="1382" w:type="dxa"/>
            <w:tcBorders>
              <w:top w:val="single" w:sz="12" w:space="0" w:color="auto"/>
              <w:left w:val="nil"/>
              <w:right w:val="nil"/>
            </w:tcBorders>
            <w:shd w:val="clear" w:color="auto" w:fill="auto"/>
          </w:tcPr>
          <w:p w14:paraId="7472830C" w14:textId="77777777" w:rsidR="00031932" w:rsidRPr="001004B1" w:rsidRDefault="00031932" w:rsidP="00031932">
            <w:pPr>
              <w:spacing w:after="0" w:line="140" w:lineRule="exact"/>
              <w:jc w:val="right"/>
              <w:rPr>
                <w:rFonts w:asciiTheme="minorHAnsi" w:eastAsia="Times New Roman" w:hAnsiTheme="minorHAnsi" w:cs="Arial"/>
                <w:b/>
                <w:bCs/>
                <w:sz w:val="18"/>
                <w:szCs w:val="18"/>
              </w:rPr>
            </w:pPr>
          </w:p>
        </w:tc>
      </w:tr>
      <w:tr w:rsidR="000F0D08" w:rsidRPr="001004B1" w14:paraId="0398CA71" w14:textId="77777777" w:rsidTr="006B318F">
        <w:trPr>
          <w:trHeight w:val="166"/>
        </w:trPr>
        <w:tc>
          <w:tcPr>
            <w:tcW w:w="6626" w:type="dxa"/>
            <w:vAlign w:val="bottom"/>
            <w:hideMark/>
          </w:tcPr>
          <w:p w14:paraId="5813F581" w14:textId="77777777" w:rsidR="000F0D08" w:rsidRPr="001004B1" w:rsidRDefault="000F0D08" w:rsidP="000F0D08">
            <w:pPr>
              <w:spacing w:after="0" w:line="220" w:lineRule="exact"/>
              <w:rPr>
                <w:rFonts w:asciiTheme="minorHAnsi" w:eastAsia="Times New Roman" w:hAnsiTheme="minorHAnsi" w:cs="Arial"/>
                <w:bCs/>
                <w:sz w:val="18"/>
                <w:szCs w:val="18"/>
              </w:rPr>
            </w:pPr>
            <w:r w:rsidRPr="001004B1">
              <w:rPr>
                <w:rFonts w:asciiTheme="minorHAnsi" w:eastAsia="Times New Roman" w:hAnsiTheme="minorHAnsi" w:cs="Arial"/>
                <w:bCs/>
                <w:sz w:val="18"/>
                <w:szCs w:val="18"/>
              </w:rPr>
              <w:t>Marketing and provision expenses</w:t>
            </w:r>
          </w:p>
        </w:tc>
        <w:tc>
          <w:tcPr>
            <w:tcW w:w="1456" w:type="dxa"/>
            <w:tcBorders>
              <w:left w:val="nil"/>
              <w:right w:val="nil"/>
            </w:tcBorders>
            <w:shd w:val="clear" w:color="auto" w:fill="auto"/>
            <w:noWrap/>
          </w:tcPr>
          <w:p w14:paraId="10BE303B" w14:textId="3F9DBBB5" w:rsidR="000F0D08" w:rsidRPr="001004B1" w:rsidRDefault="000F0D08" w:rsidP="000F0D08">
            <w:pPr>
              <w:spacing w:after="0" w:line="220" w:lineRule="exact"/>
              <w:jc w:val="right"/>
              <w:rPr>
                <w:rFonts w:asciiTheme="minorHAnsi" w:eastAsia="Times New Roman" w:hAnsiTheme="minorHAnsi" w:cs="Arial"/>
                <w:bCs/>
                <w:sz w:val="18"/>
                <w:szCs w:val="18"/>
              </w:rPr>
            </w:pPr>
            <w:r>
              <w:rPr>
                <w:rFonts w:eastAsia="Times New Roman" w:cs="Arial"/>
                <w:bCs/>
                <w:sz w:val="18"/>
                <w:szCs w:val="18"/>
              </w:rPr>
              <w:t>(251)</w:t>
            </w:r>
          </w:p>
        </w:tc>
        <w:tc>
          <w:tcPr>
            <w:tcW w:w="1382" w:type="dxa"/>
            <w:tcBorders>
              <w:left w:val="nil"/>
              <w:right w:val="nil"/>
            </w:tcBorders>
            <w:shd w:val="clear" w:color="auto" w:fill="auto"/>
          </w:tcPr>
          <w:p w14:paraId="6B4CFD28" w14:textId="2136EE84" w:rsidR="000F0D08" w:rsidRPr="006B318F" w:rsidRDefault="000F0D08" w:rsidP="000F0D08">
            <w:pPr>
              <w:spacing w:after="0" w:line="220" w:lineRule="exact"/>
              <w:jc w:val="right"/>
              <w:rPr>
                <w:rFonts w:asciiTheme="minorHAnsi" w:eastAsia="Times New Roman" w:hAnsiTheme="minorHAnsi" w:cs="Arial"/>
                <w:sz w:val="18"/>
                <w:szCs w:val="18"/>
              </w:rPr>
            </w:pPr>
            <w:r w:rsidRPr="006B318F">
              <w:rPr>
                <w:rFonts w:asciiTheme="minorHAnsi" w:eastAsia="Times New Roman" w:hAnsiTheme="minorHAnsi" w:cs="Arial"/>
                <w:sz w:val="18"/>
                <w:szCs w:val="18"/>
              </w:rPr>
              <w:t>(557)</w:t>
            </w:r>
          </w:p>
        </w:tc>
      </w:tr>
      <w:tr w:rsidR="000F0D08" w:rsidRPr="001004B1" w14:paraId="6B3D31E7" w14:textId="77777777" w:rsidTr="006B318F">
        <w:trPr>
          <w:trHeight w:val="97"/>
        </w:trPr>
        <w:tc>
          <w:tcPr>
            <w:tcW w:w="6626" w:type="dxa"/>
            <w:vAlign w:val="bottom"/>
            <w:hideMark/>
          </w:tcPr>
          <w:p w14:paraId="179AFB8A" w14:textId="77777777" w:rsidR="000F0D08" w:rsidRPr="001004B1" w:rsidRDefault="000F0D08" w:rsidP="000F0D08">
            <w:pPr>
              <w:spacing w:after="0" w:line="220" w:lineRule="exact"/>
              <w:rPr>
                <w:rFonts w:asciiTheme="minorHAnsi" w:eastAsia="Times New Roman" w:hAnsiTheme="minorHAnsi" w:cs="Arial"/>
                <w:bCs/>
                <w:sz w:val="18"/>
                <w:szCs w:val="18"/>
              </w:rPr>
            </w:pPr>
            <w:r w:rsidRPr="001004B1">
              <w:rPr>
                <w:rFonts w:asciiTheme="minorHAnsi" w:eastAsia="Times New Roman" w:hAnsiTheme="minorHAnsi" w:cs="Arial"/>
                <w:bCs/>
                <w:sz w:val="18"/>
                <w:szCs w:val="18"/>
              </w:rPr>
              <w:t>Administrative expenses</w:t>
            </w:r>
          </w:p>
        </w:tc>
        <w:tc>
          <w:tcPr>
            <w:tcW w:w="1456" w:type="dxa"/>
            <w:tcBorders>
              <w:left w:val="nil"/>
              <w:right w:val="nil"/>
            </w:tcBorders>
            <w:shd w:val="clear" w:color="auto" w:fill="auto"/>
            <w:noWrap/>
          </w:tcPr>
          <w:p w14:paraId="2FB0903C" w14:textId="5368F6AC" w:rsidR="000F0D08" w:rsidRPr="001004B1" w:rsidRDefault="000F0D08" w:rsidP="000F0D08">
            <w:pPr>
              <w:spacing w:after="0" w:line="220" w:lineRule="exact"/>
              <w:jc w:val="right"/>
              <w:rPr>
                <w:rFonts w:asciiTheme="minorHAnsi" w:eastAsia="Times New Roman" w:hAnsiTheme="minorHAnsi" w:cs="Arial"/>
                <w:bCs/>
                <w:sz w:val="18"/>
                <w:szCs w:val="18"/>
              </w:rPr>
            </w:pPr>
            <w:r>
              <w:rPr>
                <w:rFonts w:eastAsia="Times New Roman" w:cs="Arial"/>
                <w:bCs/>
                <w:sz w:val="18"/>
                <w:szCs w:val="18"/>
              </w:rPr>
              <w:t>(4,325)</w:t>
            </w:r>
          </w:p>
        </w:tc>
        <w:tc>
          <w:tcPr>
            <w:tcW w:w="1382" w:type="dxa"/>
            <w:tcBorders>
              <w:left w:val="nil"/>
              <w:right w:val="nil"/>
            </w:tcBorders>
            <w:shd w:val="clear" w:color="auto" w:fill="auto"/>
          </w:tcPr>
          <w:p w14:paraId="239A22FE" w14:textId="7CCC1194" w:rsidR="000F0D08" w:rsidRPr="006B318F" w:rsidRDefault="000F0D08" w:rsidP="000F0D08">
            <w:pPr>
              <w:spacing w:after="0" w:line="220" w:lineRule="exact"/>
              <w:jc w:val="right"/>
              <w:rPr>
                <w:rFonts w:asciiTheme="minorHAnsi" w:eastAsia="Times New Roman" w:hAnsiTheme="minorHAnsi" w:cs="Arial"/>
                <w:sz w:val="18"/>
                <w:szCs w:val="18"/>
              </w:rPr>
            </w:pPr>
            <w:r w:rsidRPr="006B318F">
              <w:rPr>
                <w:rFonts w:asciiTheme="minorHAnsi" w:eastAsia="Times New Roman" w:hAnsiTheme="minorHAnsi" w:cs="Arial"/>
                <w:sz w:val="18"/>
                <w:szCs w:val="18"/>
              </w:rPr>
              <w:t>(3,829)</w:t>
            </w:r>
          </w:p>
        </w:tc>
      </w:tr>
      <w:tr w:rsidR="000F0D08" w:rsidRPr="001004B1" w14:paraId="417A90C0" w14:textId="77777777" w:rsidTr="006B318F">
        <w:trPr>
          <w:trHeight w:val="150"/>
        </w:trPr>
        <w:tc>
          <w:tcPr>
            <w:tcW w:w="6626" w:type="dxa"/>
            <w:vAlign w:val="bottom"/>
            <w:hideMark/>
          </w:tcPr>
          <w:p w14:paraId="25B05DA3" w14:textId="77777777" w:rsidR="000F0D08" w:rsidRPr="001004B1" w:rsidRDefault="000F0D08" w:rsidP="000F0D08">
            <w:pPr>
              <w:spacing w:after="0" w:line="220" w:lineRule="exact"/>
              <w:rPr>
                <w:rFonts w:asciiTheme="minorHAnsi" w:eastAsia="Times New Roman" w:hAnsiTheme="minorHAnsi" w:cs="Arial"/>
                <w:bCs/>
                <w:sz w:val="18"/>
                <w:szCs w:val="18"/>
              </w:rPr>
            </w:pPr>
            <w:r w:rsidRPr="001004B1">
              <w:rPr>
                <w:rFonts w:asciiTheme="minorHAnsi" w:eastAsia="Times New Roman" w:hAnsiTheme="minorHAnsi" w:cs="Arial"/>
                <w:bCs/>
                <w:sz w:val="18"/>
                <w:szCs w:val="18"/>
              </w:rPr>
              <w:t>Other operating expenses</w:t>
            </w:r>
          </w:p>
        </w:tc>
        <w:tc>
          <w:tcPr>
            <w:tcW w:w="1456" w:type="dxa"/>
            <w:tcBorders>
              <w:left w:val="nil"/>
              <w:right w:val="nil"/>
            </w:tcBorders>
            <w:shd w:val="clear" w:color="auto" w:fill="auto"/>
            <w:noWrap/>
          </w:tcPr>
          <w:p w14:paraId="7A04ED49" w14:textId="3BCB4697" w:rsidR="000F0D08" w:rsidRPr="001004B1" w:rsidRDefault="000F0D08" w:rsidP="000F0D08">
            <w:pPr>
              <w:spacing w:after="0" w:line="220" w:lineRule="exact"/>
              <w:jc w:val="right"/>
              <w:rPr>
                <w:rFonts w:asciiTheme="minorHAnsi" w:eastAsia="Times New Roman" w:hAnsiTheme="minorHAnsi" w:cs="Arial"/>
                <w:bCs/>
                <w:sz w:val="18"/>
                <w:szCs w:val="18"/>
              </w:rPr>
            </w:pPr>
            <w:r>
              <w:rPr>
                <w:rFonts w:eastAsia="Times New Roman" w:cs="Arial"/>
                <w:bCs/>
                <w:sz w:val="18"/>
                <w:szCs w:val="18"/>
              </w:rPr>
              <w:t>(38)</w:t>
            </w:r>
          </w:p>
        </w:tc>
        <w:tc>
          <w:tcPr>
            <w:tcW w:w="1382" w:type="dxa"/>
            <w:tcBorders>
              <w:left w:val="nil"/>
              <w:right w:val="nil"/>
            </w:tcBorders>
            <w:shd w:val="clear" w:color="auto" w:fill="auto"/>
          </w:tcPr>
          <w:p w14:paraId="2A0FF6C4" w14:textId="005FD105" w:rsidR="000F0D08" w:rsidRPr="006B318F" w:rsidRDefault="000F0D08" w:rsidP="000F0D08">
            <w:pPr>
              <w:spacing w:after="0" w:line="220" w:lineRule="exact"/>
              <w:jc w:val="right"/>
              <w:rPr>
                <w:rFonts w:asciiTheme="minorHAnsi" w:eastAsia="Times New Roman" w:hAnsiTheme="minorHAnsi" w:cs="Arial"/>
                <w:sz w:val="18"/>
                <w:szCs w:val="18"/>
              </w:rPr>
            </w:pPr>
            <w:r w:rsidRPr="006B318F">
              <w:rPr>
                <w:rFonts w:asciiTheme="minorHAnsi" w:eastAsia="Times New Roman" w:hAnsiTheme="minorHAnsi" w:cs="Arial"/>
                <w:sz w:val="18"/>
                <w:szCs w:val="18"/>
              </w:rPr>
              <w:t>(37)</w:t>
            </w:r>
          </w:p>
        </w:tc>
      </w:tr>
      <w:tr w:rsidR="000F0D08" w:rsidRPr="001004B1" w14:paraId="2A4860AF" w14:textId="77777777" w:rsidTr="006B318F">
        <w:trPr>
          <w:trHeight w:val="194"/>
        </w:trPr>
        <w:tc>
          <w:tcPr>
            <w:tcW w:w="6626" w:type="dxa"/>
            <w:vAlign w:val="bottom"/>
            <w:hideMark/>
          </w:tcPr>
          <w:p w14:paraId="160FDD89" w14:textId="77777777" w:rsidR="000F0D08" w:rsidRPr="001004B1" w:rsidRDefault="000F0D08" w:rsidP="000F0D08">
            <w:pPr>
              <w:spacing w:after="0" w:line="220" w:lineRule="exact"/>
              <w:rPr>
                <w:rFonts w:asciiTheme="minorHAnsi" w:eastAsia="Times New Roman" w:hAnsiTheme="minorHAnsi" w:cs="Arial"/>
                <w:bCs/>
                <w:sz w:val="18"/>
                <w:szCs w:val="18"/>
              </w:rPr>
            </w:pPr>
            <w:r w:rsidRPr="001004B1">
              <w:rPr>
                <w:rFonts w:asciiTheme="minorHAnsi" w:eastAsia="Times New Roman" w:hAnsiTheme="minorHAnsi" w:cs="Arial"/>
                <w:bCs/>
                <w:sz w:val="18"/>
                <w:szCs w:val="18"/>
              </w:rPr>
              <w:t>Net exchange differences other than those on financial instruments</w:t>
            </w:r>
          </w:p>
        </w:tc>
        <w:tc>
          <w:tcPr>
            <w:tcW w:w="1456" w:type="dxa"/>
            <w:tcBorders>
              <w:left w:val="nil"/>
              <w:bottom w:val="single" w:sz="4" w:space="0" w:color="auto"/>
              <w:right w:val="nil"/>
            </w:tcBorders>
            <w:shd w:val="clear" w:color="auto" w:fill="auto"/>
            <w:noWrap/>
          </w:tcPr>
          <w:p w14:paraId="79B284B1" w14:textId="76E26F33" w:rsidR="000F0D08" w:rsidRPr="001004B1" w:rsidRDefault="000F0D08" w:rsidP="000F0D08">
            <w:pPr>
              <w:spacing w:after="0" w:line="220" w:lineRule="exact"/>
              <w:jc w:val="right"/>
              <w:rPr>
                <w:rFonts w:asciiTheme="minorHAnsi" w:eastAsia="Times New Roman" w:hAnsiTheme="minorHAnsi" w:cs="Arial"/>
                <w:bCs/>
                <w:sz w:val="18"/>
                <w:szCs w:val="18"/>
              </w:rPr>
            </w:pPr>
            <w:r>
              <w:rPr>
                <w:rFonts w:eastAsia="Times New Roman" w:cs="Arial"/>
                <w:bCs/>
                <w:sz w:val="18"/>
                <w:szCs w:val="18"/>
              </w:rPr>
              <w:t>3</w:t>
            </w:r>
          </w:p>
        </w:tc>
        <w:tc>
          <w:tcPr>
            <w:tcW w:w="1382" w:type="dxa"/>
            <w:tcBorders>
              <w:left w:val="nil"/>
              <w:bottom w:val="single" w:sz="4" w:space="0" w:color="auto"/>
              <w:right w:val="nil"/>
            </w:tcBorders>
            <w:shd w:val="clear" w:color="auto" w:fill="auto"/>
          </w:tcPr>
          <w:p w14:paraId="509975C8" w14:textId="67D0F52E" w:rsidR="000F0D08" w:rsidRPr="006B318F" w:rsidRDefault="000F0D08" w:rsidP="000F0D08">
            <w:pPr>
              <w:spacing w:after="0" w:line="220" w:lineRule="exact"/>
              <w:jc w:val="right"/>
              <w:rPr>
                <w:rFonts w:asciiTheme="minorHAnsi" w:eastAsia="Times New Roman" w:hAnsiTheme="minorHAnsi" w:cs="Arial"/>
                <w:sz w:val="18"/>
                <w:szCs w:val="18"/>
              </w:rPr>
            </w:pPr>
            <w:r w:rsidRPr="006B318F">
              <w:rPr>
                <w:rFonts w:asciiTheme="minorHAnsi" w:eastAsia="Times New Roman" w:hAnsiTheme="minorHAnsi" w:cs="Arial"/>
                <w:sz w:val="18"/>
                <w:szCs w:val="18"/>
              </w:rPr>
              <w:t>6</w:t>
            </w:r>
          </w:p>
        </w:tc>
      </w:tr>
      <w:tr w:rsidR="00F52E20" w:rsidRPr="001004B1" w14:paraId="64ECA353" w14:textId="77777777" w:rsidTr="006B318F">
        <w:trPr>
          <w:trHeight w:val="78"/>
        </w:trPr>
        <w:tc>
          <w:tcPr>
            <w:tcW w:w="6626" w:type="dxa"/>
            <w:vAlign w:val="bottom"/>
            <w:hideMark/>
          </w:tcPr>
          <w:p w14:paraId="35B1EA0C" w14:textId="77777777" w:rsidR="00F52E20" w:rsidRPr="001004B1" w:rsidRDefault="00F52E20" w:rsidP="00F52E20">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Profit before income tax</w:t>
            </w:r>
          </w:p>
        </w:tc>
        <w:tc>
          <w:tcPr>
            <w:tcW w:w="1456" w:type="dxa"/>
            <w:tcBorders>
              <w:top w:val="single" w:sz="4" w:space="0" w:color="auto"/>
              <w:left w:val="nil"/>
              <w:bottom w:val="single" w:sz="12" w:space="0" w:color="auto"/>
              <w:right w:val="nil"/>
            </w:tcBorders>
            <w:shd w:val="clear" w:color="auto" w:fill="auto"/>
            <w:noWrap/>
          </w:tcPr>
          <w:p w14:paraId="056CAB59" w14:textId="565AE576" w:rsidR="00F52E20" w:rsidRPr="001004B1" w:rsidRDefault="000F0D08" w:rsidP="00F52E20">
            <w:pPr>
              <w:spacing w:after="0" w:line="220" w:lineRule="exact"/>
              <w:jc w:val="right"/>
              <w:rPr>
                <w:rFonts w:asciiTheme="minorHAnsi" w:eastAsia="Times New Roman" w:hAnsiTheme="minorHAnsi" w:cs="Arial"/>
                <w:b/>
                <w:bCs/>
                <w:sz w:val="18"/>
                <w:szCs w:val="18"/>
              </w:rPr>
            </w:pPr>
            <w:r w:rsidRPr="000F0D08">
              <w:rPr>
                <w:rFonts w:eastAsia="Times New Roman" w:cs="Arial"/>
                <w:b/>
                <w:bCs/>
                <w:sz w:val="18"/>
                <w:szCs w:val="18"/>
              </w:rPr>
              <w:t>1,030</w:t>
            </w:r>
          </w:p>
        </w:tc>
        <w:tc>
          <w:tcPr>
            <w:tcW w:w="1382" w:type="dxa"/>
            <w:tcBorders>
              <w:top w:val="single" w:sz="4" w:space="0" w:color="auto"/>
              <w:left w:val="nil"/>
              <w:bottom w:val="single" w:sz="12" w:space="0" w:color="auto"/>
              <w:right w:val="nil"/>
            </w:tcBorders>
            <w:shd w:val="clear" w:color="auto" w:fill="auto"/>
            <w:vAlign w:val="bottom"/>
          </w:tcPr>
          <w:p w14:paraId="34F638C5" w14:textId="7821D474" w:rsidR="00F52E20" w:rsidRPr="001004B1" w:rsidRDefault="002307E4" w:rsidP="00F52E20">
            <w:pPr>
              <w:spacing w:after="0" w:line="220" w:lineRule="exact"/>
              <w:jc w:val="right"/>
              <w:rPr>
                <w:rFonts w:asciiTheme="minorHAnsi" w:eastAsia="Times New Roman" w:hAnsiTheme="minorHAnsi" w:cs="Arial"/>
                <w:b/>
                <w:bCs/>
                <w:sz w:val="18"/>
                <w:szCs w:val="18"/>
              </w:rPr>
            </w:pPr>
            <w:r w:rsidRPr="002307E4">
              <w:rPr>
                <w:rFonts w:asciiTheme="minorHAnsi" w:hAnsiTheme="minorHAnsi" w:cs="Arial"/>
                <w:b/>
                <w:bCs/>
                <w:sz w:val="18"/>
                <w:szCs w:val="18"/>
              </w:rPr>
              <w:t>856</w:t>
            </w:r>
          </w:p>
        </w:tc>
      </w:tr>
      <w:tr w:rsidR="00031932" w:rsidRPr="001004B1" w14:paraId="33FF6BB7" w14:textId="77777777" w:rsidTr="002F749B">
        <w:trPr>
          <w:trHeight w:val="40"/>
        </w:trPr>
        <w:tc>
          <w:tcPr>
            <w:tcW w:w="6626" w:type="dxa"/>
            <w:vAlign w:val="bottom"/>
          </w:tcPr>
          <w:p w14:paraId="6542851C" w14:textId="77777777" w:rsidR="00031932" w:rsidRPr="001004B1" w:rsidRDefault="00031932" w:rsidP="00031932">
            <w:pPr>
              <w:spacing w:after="0" w:line="140" w:lineRule="exact"/>
              <w:rPr>
                <w:rFonts w:asciiTheme="minorHAnsi" w:eastAsia="Times New Roman" w:hAnsiTheme="minorHAnsi" w:cs="Arial"/>
                <w:bCs/>
                <w:sz w:val="18"/>
                <w:szCs w:val="18"/>
              </w:rPr>
            </w:pPr>
          </w:p>
        </w:tc>
        <w:tc>
          <w:tcPr>
            <w:tcW w:w="1456" w:type="dxa"/>
            <w:tcBorders>
              <w:top w:val="single" w:sz="12" w:space="0" w:color="auto"/>
              <w:left w:val="nil"/>
              <w:right w:val="nil"/>
            </w:tcBorders>
            <w:shd w:val="clear" w:color="auto" w:fill="auto"/>
            <w:noWrap/>
          </w:tcPr>
          <w:p w14:paraId="43F97AD5" w14:textId="77777777" w:rsidR="00031932" w:rsidRPr="001004B1" w:rsidRDefault="00031932" w:rsidP="00031932">
            <w:pPr>
              <w:spacing w:after="0" w:line="140" w:lineRule="exact"/>
              <w:jc w:val="right"/>
              <w:rPr>
                <w:rFonts w:asciiTheme="minorHAnsi" w:eastAsia="Times New Roman" w:hAnsiTheme="minorHAnsi" w:cs="Arial"/>
                <w:bCs/>
                <w:sz w:val="18"/>
                <w:szCs w:val="18"/>
              </w:rPr>
            </w:pPr>
          </w:p>
        </w:tc>
        <w:tc>
          <w:tcPr>
            <w:tcW w:w="1382" w:type="dxa"/>
            <w:tcBorders>
              <w:top w:val="single" w:sz="12" w:space="0" w:color="auto"/>
              <w:left w:val="nil"/>
              <w:right w:val="nil"/>
            </w:tcBorders>
            <w:shd w:val="clear" w:color="auto" w:fill="auto"/>
          </w:tcPr>
          <w:p w14:paraId="54EA1A4A" w14:textId="77777777" w:rsidR="00031932" w:rsidRPr="001004B1" w:rsidRDefault="00031932" w:rsidP="00031932">
            <w:pPr>
              <w:spacing w:after="0" w:line="140" w:lineRule="exact"/>
              <w:jc w:val="right"/>
              <w:rPr>
                <w:rFonts w:asciiTheme="minorHAnsi" w:eastAsia="Times New Roman" w:hAnsiTheme="minorHAnsi" w:cs="Arial"/>
                <w:bCs/>
                <w:sz w:val="18"/>
                <w:szCs w:val="18"/>
              </w:rPr>
            </w:pPr>
          </w:p>
        </w:tc>
      </w:tr>
      <w:tr w:rsidR="00031932" w:rsidRPr="001004B1" w14:paraId="7B914B02" w14:textId="77777777" w:rsidTr="006B318F">
        <w:trPr>
          <w:trHeight w:val="109"/>
        </w:trPr>
        <w:tc>
          <w:tcPr>
            <w:tcW w:w="6626" w:type="dxa"/>
            <w:vAlign w:val="bottom"/>
            <w:hideMark/>
          </w:tcPr>
          <w:p w14:paraId="68D4155C" w14:textId="77777777" w:rsidR="00031932" w:rsidRPr="001004B1" w:rsidRDefault="00031932" w:rsidP="00031932">
            <w:pPr>
              <w:spacing w:after="0" w:line="220" w:lineRule="exact"/>
              <w:rPr>
                <w:rFonts w:asciiTheme="minorHAnsi" w:eastAsia="Times New Roman" w:hAnsiTheme="minorHAnsi" w:cs="Arial"/>
                <w:bCs/>
                <w:sz w:val="18"/>
                <w:szCs w:val="18"/>
              </w:rPr>
            </w:pPr>
            <w:r w:rsidRPr="001004B1">
              <w:rPr>
                <w:rFonts w:asciiTheme="minorHAnsi" w:eastAsia="Times New Roman" w:hAnsiTheme="minorHAnsi" w:cs="Arial"/>
                <w:bCs/>
                <w:sz w:val="18"/>
                <w:szCs w:val="18"/>
              </w:rPr>
              <w:t>Income tax</w:t>
            </w:r>
          </w:p>
        </w:tc>
        <w:tc>
          <w:tcPr>
            <w:tcW w:w="1456" w:type="dxa"/>
            <w:tcBorders>
              <w:left w:val="nil"/>
              <w:right w:val="nil"/>
            </w:tcBorders>
            <w:shd w:val="clear" w:color="auto" w:fill="auto"/>
            <w:noWrap/>
          </w:tcPr>
          <w:p w14:paraId="2B444802" w14:textId="44E05842" w:rsidR="00031932" w:rsidRPr="001004B1" w:rsidRDefault="000F0D08" w:rsidP="00031932">
            <w:pPr>
              <w:spacing w:after="0" w:line="220" w:lineRule="exact"/>
              <w:jc w:val="right"/>
              <w:rPr>
                <w:rFonts w:asciiTheme="minorHAnsi" w:eastAsia="Times New Roman" w:hAnsiTheme="minorHAnsi" w:cs="Arial"/>
                <w:bCs/>
                <w:sz w:val="18"/>
                <w:szCs w:val="18"/>
              </w:rPr>
            </w:pPr>
            <w:r>
              <w:rPr>
                <w:rFonts w:eastAsia="Times New Roman" w:cs="Arial"/>
                <w:bCs/>
                <w:sz w:val="18"/>
                <w:szCs w:val="18"/>
              </w:rPr>
              <w:t>-</w:t>
            </w:r>
          </w:p>
        </w:tc>
        <w:tc>
          <w:tcPr>
            <w:tcW w:w="1382" w:type="dxa"/>
            <w:tcBorders>
              <w:left w:val="nil"/>
              <w:right w:val="nil"/>
            </w:tcBorders>
            <w:shd w:val="clear" w:color="auto" w:fill="auto"/>
          </w:tcPr>
          <w:p w14:paraId="758B498B" w14:textId="6DA6A807" w:rsidR="00031932" w:rsidRPr="001004B1" w:rsidRDefault="002307E4" w:rsidP="00031932">
            <w:pPr>
              <w:spacing w:after="0" w:line="220" w:lineRule="exact"/>
              <w:jc w:val="right"/>
              <w:rPr>
                <w:rFonts w:asciiTheme="minorHAnsi" w:eastAsia="Times New Roman" w:hAnsiTheme="minorHAnsi" w:cs="Arial"/>
                <w:bCs/>
                <w:sz w:val="18"/>
                <w:szCs w:val="18"/>
              </w:rPr>
            </w:pPr>
            <w:r>
              <w:rPr>
                <w:rFonts w:asciiTheme="minorHAnsi" w:hAnsiTheme="minorHAnsi" w:cs="Arial"/>
                <w:bCs/>
                <w:sz w:val="18"/>
                <w:szCs w:val="18"/>
              </w:rPr>
              <w:t>-</w:t>
            </w:r>
          </w:p>
        </w:tc>
      </w:tr>
      <w:tr w:rsidR="00031932" w:rsidRPr="001004B1" w14:paraId="3363649B" w14:textId="77777777" w:rsidTr="002F749B">
        <w:trPr>
          <w:trHeight w:val="116"/>
        </w:trPr>
        <w:tc>
          <w:tcPr>
            <w:tcW w:w="6626" w:type="dxa"/>
            <w:vAlign w:val="bottom"/>
          </w:tcPr>
          <w:p w14:paraId="0FF79320" w14:textId="77777777" w:rsidR="00031932" w:rsidRPr="001004B1" w:rsidRDefault="00031932" w:rsidP="00031932">
            <w:pPr>
              <w:spacing w:after="0" w:line="140" w:lineRule="exact"/>
              <w:rPr>
                <w:rFonts w:asciiTheme="minorHAnsi" w:eastAsia="Times New Roman" w:hAnsiTheme="minorHAnsi" w:cs="Arial"/>
                <w:b/>
                <w:bCs/>
                <w:sz w:val="18"/>
                <w:szCs w:val="18"/>
              </w:rPr>
            </w:pPr>
          </w:p>
        </w:tc>
        <w:tc>
          <w:tcPr>
            <w:tcW w:w="1456" w:type="dxa"/>
            <w:tcBorders>
              <w:left w:val="nil"/>
              <w:bottom w:val="single" w:sz="4" w:space="0" w:color="auto"/>
              <w:right w:val="nil"/>
            </w:tcBorders>
            <w:shd w:val="clear" w:color="auto" w:fill="auto"/>
            <w:noWrap/>
          </w:tcPr>
          <w:p w14:paraId="27D3EECB" w14:textId="77777777" w:rsidR="00031932" w:rsidRPr="001004B1" w:rsidRDefault="00031932" w:rsidP="00031932">
            <w:pPr>
              <w:spacing w:after="0" w:line="140" w:lineRule="exact"/>
              <w:jc w:val="right"/>
              <w:rPr>
                <w:rFonts w:asciiTheme="minorHAnsi" w:eastAsia="Times New Roman" w:hAnsiTheme="minorHAnsi" w:cs="Arial"/>
                <w:b/>
                <w:bCs/>
                <w:sz w:val="18"/>
                <w:szCs w:val="18"/>
              </w:rPr>
            </w:pPr>
          </w:p>
        </w:tc>
        <w:tc>
          <w:tcPr>
            <w:tcW w:w="1382" w:type="dxa"/>
            <w:tcBorders>
              <w:left w:val="nil"/>
              <w:bottom w:val="single" w:sz="4" w:space="0" w:color="auto"/>
              <w:right w:val="nil"/>
            </w:tcBorders>
            <w:shd w:val="clear" w:color="auto" w:fill="auto"/>
          </w:tcPr>
          <w:p w14:paraId="087CB61E" w14:textId="77777777" w:rsidR="00031932" w:rsidRPr="001004B1" w:rsidRDefault="00031932" w:rsidP="00031932">
            <w:pPr>
              <w:spacing w:after="0" w:line="140" w:lineRule="exact"/>
              <w:jc w:val="right"/>
              <w:rPr>
                <w:rFonts w:asciiTheme="minorHAnsi" w:eastAsia="Times New Roman" w:hAnsiTheme="minorHAnsi" w:cs="Arial"/>
                <w:b/>
                <w:bCs/>
                <w:sz w:val="18"/>
                <w:szCs w:val="18"/>
              </w:rPr>
            </w:pPr>
          </w:p>
        </w:tc>
      </w:tr>
      <w:tr w:rsidR="00031932" w:rsidRPr="001004B1" w14:paraId="4362B2B4" w14:textId="77777777" w:rsidTr="006B318F">
        <w:trPr>
          <w:trHeight w:val="144"/>
        </w:trPr>
        <w:tc>
          <w:tcPr>
            <w:tcW w:w="6626" w:type="dxa"/>
            <w:vAlign w:val="bottom"/>
            <w:hideMark/>
          </w:tcPr>
          <w:p w14:paraId="071761A2" w14:textId="77777777" w:rsidR="00031932" w:rsidRPr="001004B1" w:rsidRDefault="00031932" w:rsidP="00031932">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Profit/(loss) for the year</w:t>
            </w:r>
          </w:p>
        </w:tc>
        <w:tc>
          <w:tcPr>
            <w:tcW w:w="1456" w:type="dxa"/>
            <w:tcBorders>
              <w:top w:val="single" w:sz="4" w:space="0" w:color="auto"/>
              <w:left w:val="nil"/>
              <w:bottom w:val="single" w:sz="12" w:space="0" w:color="auto"/>
              <w:right w:val="nil"/>
            </w:tcBorders>
            <w:shd w:val="clear" w:color="auto" w:fill="auto"/>
            <w:noWrap/>
          </w:tcPr>
          <w:p w14:paraId="270936BB" w14:textId="2D88FC65" w:rsidR="00031932" w:rsidRPr="001004B1" w:rsidRDefault="000F0D08" w:rsidP="00031932">
            <w:pPr>
              <w:spacing w:after="0" w:line="220" w:lineRule="exact"/>
              <w:jc w:val="right"/>
              <w:rPr>
                <w:rFonts w:asciiTheme="minorHAnsi" w:eastAsia="Times New Roman" w:hAnsiTheme="minorHAnsi" w:cs="Arial"/>
                <w:b/>
                <w:bCs/>
                <w:sz w:val="18"/>
                <w:szCs w:val="18"/>
              </w:rPr>
            </w:pPr>
            <w:r w:rsidRPr="000F0D08">
              <w:rPr>
                <w:rFonts w:eastAsia="Times New Roman" w:cs="Arial"/>
                <w:b/>
                <w:bCs/>
                <w:sz w:val="18"/>
                <w:szCs w:val="18"/>
              </w:rPr>
              <w:t>1,030</w:t>
            </w:r>
          </w:p>
        </w:tc>
        <w:tc>
          <w:tcPr>
            <w:tcW w:w="1382" w:type="dxa"/>
            <w:tcBorders>
              <w:top w:val="single" w:sz="4" w:space="0" w:color="auto"/>
              <w:left w:val="nil"/>
              <w:bottom w:val="single" w:sz="12" w:space="0" w:color="auto"/>
              <w:right w:val="nil"/>
            </w:tcBorders>
            <w:shd w:val="clear" w:color="auto" w:fill="auto"/>
          </w:tcPr>
          <w:p w14:paraId="27856439" w14:textId="7B477F3C" w:rsidR="00031932" w:rsidRPr="001004B1" w:rsidRDefault="002307E4" w:rsidP="00031932">
            <w:pPr>
              <w:spacing w:after="0" w:line="220" w:lineRule="exact"/>
              <w:jc w:val="right"/>
              <w:rPr>
                <w:rFonts w:asciiTheme="minorHAnsi" w:eastAsia="Times New Roman" w:hAnsiTheme="minorHAnsi" w:cs="Arial"/>
                <w:b/>
                <w:bCs/>
                <w:sz w:val="18"/>
                <w:szCs w:val="18"/>
              </w:rPr>
            </w:pPr>
            <w:r w:rsidRPr="002307E4">
              <w:rPr>
                <w:rFonts w:asciiTheme="minorHAnsi" w:hAnsiTheme="minorHAnsi" w:cs="Arial"/>
                <w:b/>
                <w:bCs/>
                <w:sz w:val="18"/>
                <w:szCs w:val="18"/>
              </w:rPr>
              <w:t>856</w:t>
            </w:r>
          </w:p>
        </w:tc>
      </w:tr>
      <w:tr w:rsidR="00031932" w:rsidRPr="001004B1" w14:paraId="4EABAE5D" w14:textId="77777777" w:rsidTr="00166751">
        <w:trPr>
          <w:trHeight w:val="143"/>
        </w:trPr>
        <w:tc>
          <w:tcPr>
            <w:tcW w:w="6626" w:type="dxa"/>
            <w:vAlign w:val="bottom"/>
          </w:tcPr>
          <w:p w14:paraId="3C6E6E9F" w14:textId="77777777" w:rsidR="00031932" w:rsidRPr="001004B1" w:rsidRDefault="00031932" w:rsidP="00031932">
            <w:pPr>
              <w:spacing w:after="0" w:line="140" w:lineRule="exact"/>
              <w:rPr>
                <w:rFonts w:asciiTheme="minorHAnsi" w:eastAsia="Times New Roman" w:hAnsiTheme="minorHAnsi" w:cs="Arial"/>
                <w:b/>
                <w:bCs/>
                <w:sz w:val="18"/>
                <w:szCs w:val="18"/>
              </w:rPr>
            </w:pPr>
          </w:p>
        </w:tc>
        <w:tc>
          <w:tcPr>
            <w:tcW w:w="1456" w:type="dxa"/>
            <w:tcBorders>
              <w:top w:val="single" w:sz="12" w:space="0" w:color="auto"/>
              <w:left w:val="nil"/>
              <w:right w:val="nil"/>
            </w:tcBorders>
            <w:shd w:val="clear" w:color="auto" w:fill="auto"/>
            <w:noWrap/>
          </w:tcPr>
          <w:p w14:paraId="73968B52" w14:textId="77777777" w:rsidR="00031932" w:rsidRPr="001004B1" w:rsidRDefault="00031932" w:rsidP="00031932">
            <w:pPr>
              <w:spacing w:after="0" w:line="140" w:lineRule="exact"/>
              <w:jc w:val="right"/>
              <w:rPr>
                <w:rFonts w:asciiTheme="minorHAnsi" w:eastAsia="Times New Roman" w:hAnsiTheme="minorHAnsi" w:cs="Arial"/>
                <w:b/>
                <w:bCs/>
                <w:sz w:val="18"/>
                <w:szCs w:val="18"/>
              </w:rPr>
            </w:pPr>
          </w:p>
        </w:tc>
        <w:tc>
          <w:tcPr>
            <w:tcW w:w="1382" w:type="dxa"/>
            <w:tcBorders>
              <w:top w:val="single" w:sz="12" w:space="0" w:color="auto"/>
              <w:left w:val="nil"/>
              <w:right w:val="nil"/>
            </w:tcBorders>
            <w:shd w:val="clear" w:color="auto" w:fill="auto"/>
          </w:tcPr>
          <w:p w14:paraId="716BC684" w14:textId="77777777" w:rsidR="00031932" w:rsidRPr="001004B1" w:rsidRDefault="00031932" w:rsidP="00031932">
            <w:pPr>
              <w:spacing w:after="0" w:line="140" w:lineRule="exact"/>
              <w:jc w:val="right"/>
              <w:rPr>
                <w:rFonts w:asciiTheme="minorHAnsi" w:eastAsia="Times New Roman" w:hAnsiTheme="minorHAnsi" w:cs="Arial"/>
                <w:b/>
                <w:bCs/>
                <w:sz w:val="18"/>
                <w:szCs w:val="18"/>
              </w:rPr>
            </w:pPr>
          </w:p>
        </w:tc>
      </w:tr>
      <w:tr w:rsidR="00031932" w:rsidRPr="001004B1" w14:paraId="5BC2EF2E" w14:textId="77777777" w:rsidTr="00166751">
        <w:trPr>
          <w:trHeight w:val="228"/>
        </w:trPr>
        <w:tc>
          <w:tcPr>
            <w:tcW w:w="6626" w:type="dxa"/>
            <w:vAlign w:val="bottom"/>
            <w:hideMark/>
          </w:tcPr>
          <w:p w14:paraId="2B4CFBBB" w14:textId="77777777" w:rsidR="00031932" w:rsidRPr="001004B1" w:rsidRDefault="00031932" w:rsidP="00031932">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Other comprehensive income</w:t>
            </w:r>
          </w:p>
        </w:tc>
        <w:tc>
          <w:tcPr>
            <w:tcW w:w="1456" w:type="dxa"/>
            <w:tcBorders>
              <w:left w:val="nil"/>
              <w:right w:val="nil"/>
            </w:tcBorders>
            <w:shd w:val="clear" w:color="auto" w:fill="auto"/>
            <w:noWrap/>
          </w:tcPr>
          <w:p w14:paraId="4361F586" w14:textId="77777777" w:rsidR="00031932" w:rsidRPr="001004B1" w:rsidRDefault="00031932" w:rsidP="00031932">
            <w:pPr>
              <w:spacing w:after="0" w:line="220" w:lineRule="exact"/>
              <w:jc w:val="right"/>
              <w:rPr>
                <w:rFonts w:asciiTheme="minorHAnsi" w:eastAsia="Times New Roman" w:hAnsiTheme="minorHAnsi" w:cs="Arial"/>
                <w:b/>
                <w:bCs/>
                <w:sz w:val="18"/>
                <w:szCs w:val="18"/>
              </w:rPr>
            </w:pPr>
          </w:p>
        </w:tc>
        <w:tc>
          <w:tcPr>
            <w:tcW w:w="1382" w:type="dxa"/>
            <w:tcBorders>
              <w:left w:val="nil"/>
              <w:right w:val="nil"/>
            </w:tcBorders>
            <w:shd w:val="clear" w:color="auto" w:fill="auto"/>
          </w:tcPr>
          <w:p w14:paraId="2014DF30" w14:textId="77777777" w:rsidR="00031932" w:rsidRPr="001004B1" w:rsidRDefault="00031932" w:rsidP="00031932">
            <w:pPr>
              <w:spacing w:after="0" w:line="220" w:lineRule="exact"/>
              <w:jc w:val="right"/>
              <w:rPr>
                <w:rFonts w:asciiTheme="minorHAnsi" w:eastAsia="Times New Roman" w:hAnsiTheme="minorHAnsi" w:cs="Arial"/>
                <w:b/>
                <w:bCs/>
                <w:sz w:val="18"/>
                <w:szCs w:val="18"/>
              </w:rPr>
            </w:pPr>
          </w:p>
        </w:tc>
      </w:tr>
      <w:tr w:rsidR="00031932" w:rsidRPr="001004B1" w14:paraId="5AF46587" w14:textId="77777777" w:rsidTr="00166751">
        <w:trPr>
          <w:trHeight w:val="69"/>
        </w:trPr>
        <w:tc>
          <w:tcPr>
            <w:tcW w:w="6626" w:type="dxa"/>
            <w:vAlign w:val="bottom"/>
          </w:tcPr>
          <w:p w14:paraId="605EA122" w14:textId="77777777" w:rsidR="00031932" w:rsidRPr="001004B1" w:rsidRDefault="00031932" w:rsidP="00031932">
            <w:pPr>
              <w:spacing w:after="0" w:line="140" w:lineRule="exact"/>
              <w:rPr>
                <w:rFonts w:asciiTheme="minorHAnsi" w:eastAsia="Times New Roman" w:hAnsiTheme="minorHAnsi" w:cs="Arial"/>
                <w:bCs/>
                <w:sz w:val="18"/>
                <w:szCs w:val="18"/>
              </w:rPr>
            </w:pPr>
          </w:p>
        </w:tc>
        <w:tc>
          <w:tcPr>
            <w:tcW w:w="1456" w:type="dxa"/>
            <w:tcBorders>
              <w:left w:val="nil"/>
              <w:right w:val="nil"/>
            </w:tcBorders>
            <w:shd w:val="clear" w:color="auto" w:fill="auto"/>
            <w:noWrap/>
          </w:tcPr>
          <w:p w14:paraId="295884FF" w14:textId="77777777" w:rsidR="00031932" w:rsidRPr="001004B1" w:rsidRDefault="00031932" w:rsidP="00031932">
            <w:pPr>
              <w:spacing w:after="0" w:line="140" w:lineRule="exact"/>
              <w:jc w:val="right"/>
              <w:rPr>
                <w:rFonts w:asciiTheme="minorHAnsi" w:eastAsia="Times New Roman" w:hAnsiTheme="minorHAnsi" w:cs="Arial"/>
                <w:bCs/>
                <w:sz w:val="18"/>
                <w:szCs w:val="18"/>
              </w:rPr>
            </w:pPr>
          </w:p>
        </w:tc>
        <w:tc>
          <w:tcPr>
            <w:tcW w:w="1382" w:type="dxa"/>
            <w:tcBorders>
              <w:left w:val="nil"/>
              <w:right w:val="nil"/>
            </w:tcBorders>
            <w:shd w:val="clear" w:color="auto" w:fill="auto"/>
          </w:tcPr>
          <w:p w14:paraId="43F2F6D7" w14:textId="77777777" w:rsidR="00031932" w:rsidRPr="001004B1" w:rsidRDefault="00031932" w:rsidP="00031932">
            <w:pPr>
              <w:spacing w:after="0" w:line="140" w:lineRule="exact"/>
              <w:jc w:val="right"/>
              <w:rPr>
                <w:rFonts w:asciiTheme="minorHAnsi" w:eastAsia="Times New Roman" w:hAnsiTheme="minorHAnsi" w:cs="Arial"/>
                <w:bCs/>
                <w:sz w:val="18"/>
                <w:szCs w:val="18"/>
              </w:rPr>
            </w:pPr>
          </w:p>
        </w:tc>
      </w:tr>
      <w:tr w:rsidR="00031932" w:rsidRPr="001004B1" w14:paraId="48DEE0B8" w14:textId="77777777" w:rsidTr="002F749B">
        <w:trPr>
          <w:trHeight w:val="132"/>
        </w:trPr>
        <w:tc>
          <w:tcPr>
            <w:tcW w:w="6626" w:type="dxa"/>
            <w:vAlign w:val="bottom"/>
            <w:hideMark/>
          </w:tcPr>
          <w:p w14:paraId="6CE7DA8F" w14:textId="77777777" w:rsidR="00031932" w:rsidRPr="001004B1" w:rsidRDefault="00031932" w:rsidP="00031932">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Items that may be reclassified subsequently to profit or loss:</w:t>
            </w:r>
          </w:p>
        </w:tc>
        <w:tc>
          <w:tcPr>
            <w:tcW w:w="1456" w:type="dxa"/>
            <w:tcBorders>
              <w:left w:val="nil"/>
              <w:right w:val="nil"/>
            </w:tcBorders>
            <w:shd w:val="clear" w:color="auto" w:fill="auto"/>
            <w:noWrap/>
          </w:tcPr>
          <w:p w14:paraId="15B89D15" w14:textId="77777777" w:rsidR="00031932" w:rsidRPr="001004B1" w:rsidRDefault="00031932" w:rsidP="00031932">
            <w:pPr>
              <w:spacing w:after="0" w:line="220" w:lineRule="exact"/>
              <w:jc w:val="right"/>
              <w:rPr>
                <w:rFonts w:asciiTheme="minorHAnsi" w:eastAsia="Times New Roman" w:hAnsiTheme="minorHAnsi" w:cs="Arial"/>
                <w:b/>
                <w:bCs/>
                <w:sz w:val="18"/>
                <w:szCs w:val="18"/>
              </w:rPr>
            </w:pPr>
          </w:p>
        </w:tc>
        <w:tc>
          <w:tcPr>
            <w:tcW w:w="1382" w:type="dxa"/>
            <w:tcBorders>
              <w:left w:val="nil"/>
              <w:right w:val="nil"/>
            </w:tcBorders>
            <w:shd w:val="clear" w:color="auto" w:fill="auto"/>
          </w:tcPr>
          <w:p w14:paraId="666EEF4A" w14:textId="77777777" w:rsidR="00031932" w:rsidRPr="001004B1" w:rsidRDefault="00031932" w:rsidP="00031932">
            <w:pPr>
              <w:spacing w:after="0" w:line="220" w:lineRule="exact"/>
              <w:jc w:val="right"/>
              <w:rPr>
                <w:rFonts w:asciiTheme="minorHAnsi" w:eastAsia="Times New Roman" w:hAnsiTheme="minorHAnsi" w:cs="Arial"/>
                <w:b/>
                <w:bCs/>
                <w:sz w:val="18"/>
                <w:szCs w:val="18"/>
              </w:rPr>
            </w:pPr>
          </w:p>
        </w:tc>
      </w:tr>
      <w:tr w:rsidR="000F0D08" w:rsidRPr="001004B1" w14:paraId="6FB71B88" w14:textId="77777777" w:rsidTr="006B318F">
        <w:trPr>
          <w:trHeight w:val="123"/>
        </w:trPr>
        <w:tc>
          <w:tcPr>
            <w:tcW w:w="6626" w:type="dxa"/>
            <w:vAlign w:val="bottom"/>
            <w:hideMark/>
          </w:tcPr>
          <w:p w14:paraId="295FCFD5" w14:textId="77777777" w:rsidR="000F0D08" w:rsidRPr="001004B1" w:rsidRDefault="000F0D08" w:rsidP="000F0D08">
            <w:pPr>
              <w:spacing w:after="0" w:line="220" w:lineRule="exact"/>
              <w:rPr>
                <w:rFonts w:asciiTheme="minorHAnsi" w:eastAsia="Times New Roman" w:hAnsiTheme="minorHAnsi" w:cs="Arial"/>
                <w:bCs/>
                <w:sz w:val="18"/>
                <w:szCs w:val="18"/>
              </w:rPr>
            </w:pPr>
            <w:r w:rsidRPr="001004B1">
              <w:rPr>
                <w:rFonts w:asciiTheme="minorHAnsi" w:eastAsia="Times New Roman" w:hAnsiTheme="minorHAnsi" w:cs="Arial"/>
                <w:bCs/>
                <w:sz w:val="18"/>
                <w:szCs w:val="18"/>
              </w:rPr>
              <w:t>Gains on revaluation of financial assets available for sale</w:t>
            </w:r>
          </w:p>
        </w:tc>
        <w:tc>
          <w:tcPr>
            <w:tcW w:w="1456" w:type="dxa"/>
            <w:tcBorders>
              <w:left w:val="nil"/>
              <w:right w:val="nil"/>
            </w:tcBorders>
            <w:shd w:val="clear" w:color="auto" w:fill="auto"/>
            <w:noWrap/>
          </w:tcPr>
          <w:p w14:paraId="5BB4E1D0" w14:textId="00E92B1E" w:rsidR="000F0D08" w:rsidRPr="001004B1" w:rsidRDefault="000F0D08" w:rsidP="000F0D08">
            <w:pPr>
              <w:spacing w:after="0" w:line="220" w:lineRule="exact"/>
              <w:jc w:val="right"/>
              <w:rPr>
                <w:rFonts w:asciiTheme="minorHAnsi" w:eastAsia="Times New Roman" w:hAnsiTheme="minorHAnsi" w:cs="Arial"/>
                <w:bCs/>
                <w:sz w:val="18"/>
                <w:szCs w:val="18"/>
              </w:rPr>
            </w:pPr>
            <w:r>
              <w:rPr>
                <w:rFonts w:eastAsia="Times New Roman" w:cs="Arial"/>
                <w:bCs/>
                <w:sz w:val="18"/>
                <w:szCs w:val="18"/>
              </w:rPr>
              <w:t>1,969</w:t>
            </w:r>
          </w:p>
        </w:tc>
        <w:tc>
          <w:tcPr>
            <w:tcW w:w="1382" w:type="dxa"/>
            <w:tcBorders>
              <w:left w:val="nil"/>
              <w:right w:val="nil"/>
            </w:tcBorders>
            <w:shd w:val="clear" w:color="auto" w:fill="auto"/>
          </w:tcPr>
          <w:p w14:paraId="4547D4AF" w14:textId="0C27DD5E" w:rsidR="000F0D08" w:rsidRPr="006B318F" w:rsidRDefault="000F0D08" w:rsidP="000F0D08">
            <w:pPr>
              <w:spacing w:after="0" w:line="220" w:lineRule="exact"/>
              <w:jc w:val="right"/>
              <w:rPr>
                <w:rFonts w:asciiTheme="minorHAnsi" w:eastAsia="Times New Roman" w:hAnsiTheme="minorHAnsi" w:cs="Arial"/>
                <w:sz w:val="18"/>
                <w:szCs w:val="18"/>
              </w:rPr>
            </w:pPr>
            <w:r w:rsidRPr="006B318F">
              <w:rPr>
                <w:rFonts w:asciiTheme="minorHAnsi" w:eastAsia="Times New Roman" w:hAnsiTheme="minorHAnsi" w:cs="Arial"/>
                <w:sz w:val="18"/>
                <w:szCs w:val="18"/>
              </w:rPr>
              <w:t>1,832</w:t>
            </w:r>
          </w:p>
        </w:tc>
      </w:tr>
      <w:tr w:rsidR="000F0D08" w:rsidRPr="001004B1" w14:paraId="6C4EC16C" w14:textId="77777777" w:rsidTr="006B318F">
        <w:trPr>
          <w:trHeight w:val="190"/>
        </w:trPr>
        <w:tc>
          <w:tcPr>
            <w:tcW w:w="6626" w:type="dxa"/>
            <w:vAlign w:val="bottom"/>
            <w:hideMark/>
          </w:tcPr>
          <w:p w14:paraId="5EA82811" w14:textId="77777777" w:rsidR="000F0D08" w:rsidRPr="001004B1" w:rsidRDefault="000F0D08" w:rsidP="000F0D08">
            <w:pPr>
              <w:spacing w:after="0" w:line="220" w:lineRule="exact"/>
              <w:rPr>
                <w:rFonts w:asciiTheme="minorHAnsi" w:eastAsia="Times New Roman" w:hAnsiTheme="minorHAnsi" w:cs="Arial"/>
                <w:bCs/>
                <w:sz w:val="18"/>
                <w:szCs w:val="18"/>
              </w:rPr>
            </w:pPr>
            <w:r w:rsidRPr="001004B1">
              <w:rPr>
                <w:rFonts w:asciiTheme="minorHAnsi" w:eastAsia="Times New Roman" w:hAnsiTheme="minorHAnsi" w:cs="Arial"/>
                <w:bCs/>
                <w:sz w:val="18"/>
                <w:szCs w:val="18"/>
              </w:rPr>
              <w:t>Decrease in the fair value of financial assets available for sale</w:t>
            </w:r>
          </w:p>
        </w:tc>
        <w:tc>
          <w:tcPr>
            <w:tcW w:w="1456" w:type="dxa"/>
            <w:tcBorders>
              <w:left w:val="nil"/>
              <w:right w:val="nil"/>
            </w:tcBorders>
            <w:shd w:val="clear" w:color="auto" w:fill="auto"/>
            <w:noWrap/>
          </w:tcPr>
          <w:p w14:paraId="7415F129" w14:textId="70640CDA" w:rsidR="000F0D08" w:rsidRPr="001004B1" w:rsidRDefault="000F0D08" w:rsidP="000F0D08">
            <w:pPr>
              <w:spacing w:after="0" w:line="220" w:lineRule="exact"/>
              <w:jc w:val="right"/>
              <w:rPr>
                <w:rFonts w:asciiTheme="minorHAnsi" w:eastAsia="Times New Roman" w:hAnsiTheme="minorHAnsi" w:cs="Arial"/>
                <w:bCs/>
                <w:sz w:val="18"/>
                <w:szCs w:val="18"/>
              </w:rPr>
            </w:pPr>
            <w:r>
              <w:rPr>
                <w:rFonts w:eastAsia="Times New Roman" w:cs="Arial"/>
                <w:bCs/>
                <w:sz w:val="18"/>
                <w:szCs w:val="18"/>
              </w:rPr>
              <w:t>(1,189)</w:t>
            </w:r>
          </w:p>
        </w:tc>
        <w:tc>
          <w:tcPr>
            <w:tcW w:w="1382" w:type="dxa"/>
            <w:tcBorders>
              <w:left w:val="nil"/>
              <w:right w:val="nil"/>
            </w:tcBorders>
            <w:shd w:val="clear" w:color="auto" w:fill="auto"/>
          </w:tcPr>
          <w:p w14:paraId="08D19BB2" w14:textId="494E0B42" w:rsidR="000F0D08" w:rsidRPr="006B318F" w:rsidRDefault="000F0D08" w:rsidP="000F0D08">
            <w:pPr>
              <w:spacing w:after="0" w:line="220" w:lineRule="exact"/>
              <w:jc w:val="right"/>
              <w:rPr>
                <w:rFonts w:asciiTheme="minorHAnsi" w:eastAsia="Times New Roman" w:hAnsiTheme="minorHAnsi" w:cs="Arial"/>
                <w:sz w:val="18"/>
                <w:szCs w:val="18"/>
              </w:rPr>
            </w:pPr>
            <w:r w:rsidRPr="006B318F">
              <w:rPr>
                <w:rFonts w:asciiTheme="minorHAnsi" w:eastAsia="Times New Roman" w:hAnsiTheme="minorHAnsi" w:cs="Arial"/>
                <w:sz w:val="18"/>
                <w:szCs w:val="18"/>
              </w:rPr>
              <w:t>(322)</w:t>
            </w:r>
          </w:p>
        </w:tc>
      </w:tr>
      <w:tr w:rsidR="000F0D08" w:rsidRPr="001004B1" w14:paraId="3962E10E" w14:textId="77777777" w:rsidTr="006B318F">
        <w:trPr>
          <w:trHeight w:val="190"/>
        </w:trPr>
        <w:tc>
          <w:tcPr>
            <w:tcW w:w="6626" w:type="dxa"/>
            <w:vAlign w:val="bottom"/>
            <w:hideMark/>
          </w:tcPr>
          <w:p w14:paraId="245F2A32" w14:textId="77777777" w:rsidR="000F0D08" w:rsidRPr="001004B1" w:rsidRDefault="000F0D08" w:rsidP="000F0D08">
            <w:pPr>
              <w:spacing w:after="0" w:line="220" w:lineRule="exact"/>
              <w:rPr>
                <w:rFonts w:asciiTheme="minorHAnsi" w:eastAsia="Times New Roman" w:hAnsiTheme="minorHAnsi" w:cs="Arial"/>
                <w:bCs/>
                <w:sz w:val="18"/>
                <w:szCs w:val="18"/>
              </w:rPr>
            </w:pPr>
            <w:r w:rsidRPr="001004B1">
              <w:rPr>
                <w:rFonts w:asciiTheme="minorHAnsi" w:eastAsia="Times New Roman" w:hAnsiTheme="minorHAnsi" w:cs="Arial"/>
                <w:bCs/>
                <w:sz w:val="18"/>
                <w:szCs w:val="18"/>
              </w:rPr>
              <w:t>Transfer of reali</w:t>
            </w:r>
            <w:r>
              <w:rPr>
                <w:rFonts w:asciiTheme="minorHAnsi" w:eastAsia="Times New Roman" w:hAnsiTheme="minorHAnsi" w:cs="Arial"/>
                <w:bCs/>
                <w:sz w:val="18"/>
                <w:szCs w:val="18"/>
              </w:rPr>
              <w:t>s</w:t>
            </w:r>
            <w:r w:rsidRPr="001004B1">
              <w:rPr>
                <w:rFonts w:asciiTheme="minorHAnsi" w:eastAsia="Times New Roman" w:hAnsiTheme="minorHAnsi" w:cs="Arial"/>
                <w:bCs/>
                <w:sz w:val="18"/>
                <w:szCs w:val="18"/>
              </w:rPr>
              <w:t>ed gains on asset available for sale to statement of profit or loss</w:t>
            </w:r>
          </w:p>
        </w:tc>
        <w:tc>
          <w:tcPr>
            <w:tcW w:w="1456" w:type="dxa"/>
            <w:tcBorders>
              <w:left w:val="nil"/>
              <w:right w:val="nil"/>
            </w:tcBorders>
            <w:shd w:val="clear" w:color="auto" w:fill="auto"/>
            <w:noWrap/>
          </w:tcPr>
          <w:p w14:paraId="71E2919C" w14:textId="5212AF2E" w:rsidR="000F0D08" w:rsidRPr="001004B1" w:rsidRDefault="000F0D08" w:rsidP="000F0D08">
            <w:pPr>
              <w:spacing w:after="0" w:line="220" w:lineRule="exact"/>
              <w:jc w:val="right"/>
              <w:rPr>
                <w:rFonts w:asciiTheme="minorHAnsi" w:eastAsia="Times New Roman" w:hAnsiTheme="minorHAnsi" w:cs="Arial"/>
                <w:bCs/>
                <w:sz w:val="18"/>
                <w:szCs w:val="18"/>
              </w:rPr>
            </w:pPr>
            <w:r>
              <w:rPr>
                <w:rFonts w:eastAsia="Times New Roman" w:cs="Arial"/>
                <w:bCs/>
                <w:sz w:val="18"/>
                <w:szCs w:val="18"/>
              </w:rPr>
              <w:t>(1)</w:t>
            </w:r>
          </w:p>
        </w:tc>
        <w:tc>
          <w:tcPr>
            <w:tcW w:w="1382" w:type="dxa"/>
            <w:tcBorders>
              <w:left w:val="nil"/>
              <w:right w:val="nil"/>
            </w:tcBorders>
            <w:shd w:val="clear" w:color="auto" w:fill="auto"/>
          </w:tcPr>
          <w:p w14:paraId="1BF8F886" w14:textId="31D74723" w:rsidR="000F0D08" w:rsidRPr="006B318F" w:rsidRDefault="000F0D08" w:rsidP="000F0D08">
            <w:pPr>
              <w:spacing w:after="0" w:line="220" w:lineRule="exact"/>
              <w:jc w:val="right"/>
              <w:rPr>
                <w:rFonts w:asciiTheme="minorHAnsi" w:eastAsia="Times New Roman" w:hAnsiTheme="minorHAnsi" w:cs="Arial"/>
                <w:sz w:val="18"/>
                <w:szCs w:val="18"/>
              </w:rPr>
            </w:pPr>
            <w:r w:rsidRPr="006B318F">
              <w:rPr>
                <w:rFonts w:asciiTheme="minorHAnsi" w:eastAsia="Times New Roman" w:hAnsiTheme="minorHAnsi" w:cs="Arial"/>
                <w:sz w:val="18"/>
                <w:szCs w:val="18"/>
              </w:rPr>
              <w:t>(201)</w:t>
            </w:r>
          </w:p>
        </w:tc>
      </w:tr>
      <w:tr w:rsidR="000F0D08" w:rsidRPr="001004B1" w14:paraId="4A2E4483" w14:textId="77777777" w:rsidTr="00895CCA">
        <w:trPr>
          <w:trHeight w:val="190"/>
        </w:trPr>
        <w:tc>
          <w:tcPr>
            <w:tcW w:w="6626" w:type="dxa"/>
            <w:vAlign w:val="bottom"/>
          </w:tcPr>
          <w:p w14:paraId="258BEE9D" w14:textId="689A636C" w:rsidR="000F0D08" w:rsidRPr="001004B1" w:rsidRDefault="000F0D08" w:rsidP="00C436B9">
            <w:pPr>
              <w:spacing w:after="0" w:line="220" w:lineRule="exact"/>
              <w:rPr>
                <w:rFonts w:asciiTheme="minorHAnsi" w:eastAsia="Times New Roman" w:hAnsiTheme="minorHAnsi" w:cs="Arial"/>
                <w:bCs/>
                <w:sz w:val="18"/>
                <w:szCs w:val="18"/>
              </w:rPr>
            </w:pPr>
            <w:r w:rsidRPr="000F0D08">
              <w:rPr>
                <w:rFonts w:asciiTheme="minorHAnsi" w:eastAsia="Times New Roman" w:hAnsiTheme="minorHAnsi" w:cs="Arial"/>
                <w:bCs/>
                <w:sz w:val="18"/>
                <w:szCs w:val="18"/>
              </w:rPr>
              <w:t>Transfer of realised</w:t>
            </w:r>
            <w:r>
              <w:rPr>
                <w:rFonts w:asciiTheme="minorHAnsi" w:eastAsia="Times New Roman" w:hAnsiTheme="minorHAnsi" w:cs="Arial"/>
                <w:bCs/>
                <w:sz w:val="18"/>
                <w:szCs w:val="18"/>
              </w:rPr>
              <w:t xml:space="preserve"> </w:t>
            </w:r>
            <w:proofErr w:type="spellStart"/>
            <w:r>
              <w:rPr>
                <w:rFonts w:asciiTheme="minorHAnsi" w:eastAsia="Times New Roman" w:hAnsiTheme="minorHAnsi" w:cs="Arial"/>
                <w:bCs/>
                <w:sz w:val="18"/>
                <w:szCs w:val="18"/>
              </w:rPr>
              <w:t>loses</w:t>
            </w:r>
            <w:proofErr w:type="spellEnd"/>
            <w:r w:rsidRPr="000F0D08">
              <w:rPr>
                <w:rFonts w:asciiTheme="minorHAnsi" w:eastAsia="Times New Roman" w:hAnsiTheme="minorHAnsi" w:cs="Arial"/>
                <w:bCs/>
                <w:sz w:val="18"/>
                <w:szCs w:val="18"/>
              </w:rPr>
              <w:t xml:space="preserve"> on asset available for sale to statement of profit or loss</w:t>
            </w:r>
          </w:p>
        </w:tc>
        <w:tc>
          <w:tcPr>
            <w:tcW w:w="1456" w:type="dxa"/>
            <w:tcBorders>
              <w:left w:val="nil"/>
              <w:right w:val="nil"/>
            </w:tcBorders>
            <w:shd w:val="clear" w:color="auto" w:fill="auto"/>
            <w:noWrap/>
          </w:tcPr>
          <w:p w14:paraId="044DD18F" w14:textId="5948D426" w:rsidR="000F0D08" w:rsidDel="00895CCA" w:rsidRDefault="000F0D08" w:rsidP="000F0D08">
            <w:pPr>
              <w:spacing w:after="0" w:line="220" w:lineRule="exact"/>
              <w:jc w:val="right"/>
              <w:rPr>
                <w:rFonts w:eastAsia="Times New Roman" w:cs="Arial"/>
                <w:bCs/>
                <w:sz w:val="18"/>
                <w:szCs w:val="18"/>
              </w:rPr>
            </w:pPr>
            <w:r>
              <w:rPr>
                <w:rFonts w:eastAsia="Times New Roman" w:cs="Arial"/>
                <w:bCs/>
                <w:sz w:val="18"/>
                <w:szCs w:val="18"/>
              </w:rPr>
              <w:t>6</w:t>
            </w:r>
          </w:p>
        </w:tc>
        <w:tc>
          <w:tcPr>
            <w:tcW w:w="1382" w:type="dxa"/>
            <w:tcBorders>
              <w:left w:val="nil"/>
              <w:right w:val="nil"/>
            </w:tcBorders>
            <w:shd w:val="clear" w:color="auto" w:fill="auto"/>
          </w:tcPr>
          <w:p w14:paraId="386D0A3B" w14:textId="05E50625" w:rsidR="000F0D08" w:rsidRPr="004D3964" w:rsidRDefault="000F0D08" w:rsidP="000F0D08">
            <w:pPr>
              <w:spacing w:after="0" w:line="220" w:lineRule="exact"/>
              <w:jc w:val="right"/>
              <w:rPr>
                <w:rFonts w:asciiTheme="minorHAnsi" w:eastAsia="Times New Roman" w:hAnsiTheme="minorHAnsi" w:cs="Arial"/>
                <w:sz w:val="18"/>
                <w:szCs w:val="18"/>
              </w:rPr>
            </w:pPr>
            <w:r>
              <w:rPr>
                <w:rFonts w:asciiTheme="minorHAnsi" w:eastAsia="Times New Roman" w:hAnsiTheme="minorHAnsi" w:cs="Arial"/>
                <w:sz w:val="18"/>
                <w:szCs w:val="18"/>
              </w:rPr>
              <w:t>-</w:t>
            </w:r>
          </w:p>
        </w:tc>
      </w:tr>
      <w:tr w:rsidR="002307E4" w:rsidRPr="001004B1" w14:paraId="4E311440" w14:textId="77777777" w:rsidTr="006B318F">
        <w:trPr>
          <w:trHeight w:val="109"/>
        </w:trPr>
        <w:tc>
          <w:tcPr>
            <w:tcW w:w="6626" w:type="dxa"/>
            <w:vAlign w:val="bottom"/>
            <w:hideMark/>
          </w:tcPr>
          <w:p w14:paraId="027DFCFE" w14:textId="77777777" w:rsidR="002307E4" w:rsidRPr="001004B1" w:rsidRDefault="002307E4" w:rsidP="002307E4">
            <w:pPr>
              <w:spacing w:after="0" w:line="220" w:lineRule="exact"/>
              <w:rPr>
                <w:rFonts w:asciiTheme="minorHAnsi" w:eastAsia="Times New Roman" w:hAnsiTheme="minorHAnsi" w:cs="Arial"/>
                <w:bCs/>
                <w:sz w:val="18"/>
                <w:szCs w:val="18"/>
              </w:rPr>
            </w:pPr>
            <w:r w:rsidRPr="001004B1">
              <w:rPr>
                <w:rFonts w:asciiTheme="minorHAnsi" w:eastAsia="Times New Roman" w:hAnsiTheme="minorHAnsi" w:cs="Arial"/>
                <w:bCs/>
                <w:sz w:val="18"/>
                <w:szCs w:val="18"/>
              </w:rPr>
              <w:t xml:space="preserve">Deferred tax </w:t>
            </w:r>
          </w:p>
        </w:tc>
        <w:tc>
          <w:tcPr>
            <w:tcW w:w="1456" w:type="dxa"/>
            <w:tcBorders>
              <w:left w:val="nil"/>
              <w:bottom w:val="single" w:sz="4" w:space="0" w:color="auto"/>
              <w:right w:val="nil"/>
            </w:tcBorders>
            <w:shd w:val="clear" w:color="auto" w:fill="auto"/>
            <w:noWrap/>
          </w:tcPr>
          <w:p w14:paraId="365F4DF4" w14:textId="2AD0D1DF" w:rsidR="002307E4" w:rsidRPr="001004B1" w:rsidRDefault="000F0D08" w:rsidP="002307E4">
            <w:pPr>
              <w:spacing w:after="0" w:line="220" w:lineRule="exact"/>
              <w:jc w:val="right"/>
              <w:rPr>
                <w:rFonts w:asciiTheme="minorHAnsi" w:eastAsia="Times New Roman" w:hAnsiTheme="minorHAnsi" w:cs="Arial"/>
                <w:bCs/>
                <w:sz w:val="18"/>
                <w:szCs w:val="18"/>
              </w:rPr>
            </w:pPr>
            <w:r w:rsidRPr="000F0D08">
              <w:rPr>
                <w:rFonts w:eastAsia="Times New Roman" w:cs="Arial"/>
                <w:bCs/>
                <w:sz w:val="18"/>
                <w:szCs w:val="18"/>
              </w:rPr>
              <w:t>(140)</w:t>
            </w:r>
            <w:r w:rsidRPr="000F0D08" w:rsidDel="00895CCA">
              <w:rPr>
                <w:rFonts w:eastAsia="Times New Roman" w:cs="Arial"/>
                <w:bCs/>
                <w:sz w:val="18"/>
                <w:szCs w:val="18"/>
              </w:rPr>
              <w:t xml:space="preserve"> </w:t>
            </w:r>
          </w:p>
        </w:tc>
        <w:tc>
          <w:tcPr>
            <w:tcW w:w="1382" w:type="dxa"/>
            <w:tcBorders>
              <w:left w:val="nil"/>
              <w:bottom w:val="single" w:sz="4" w:space="0" w:color="auto"/>
              <w:right w:val="nil"/>
            </w:tcBorders>
            <w:shd w:val="clear" w:color="auto" w:fill="auto"/>
          </w:tcPr>
          <w:p w14:paraId="013E4D88" w14:textId="28102EC8" w:rsidR="002307E4" w:rsidRPr="006B318F" w:rsidRDefault="004D3964" w:rsidP="002307E4">
            <w:pPr>
              <w:spacing w:after="0" w:line="220" w:lineRule="exact"/>
              <w:jc w:val="right"/>
              <w:rPr>
                <w:rFonts w:asciiTheme="minorHAnsi" w:eastAsia="Times New Roman" w:hAnsiTheme="minorHAnsi" w:cs="Arial"/>
                <w:sz w:val="18"/>
                <w:szCs w:val="18"/>
              </w:rPr>
            </w:pPr>
            <w:r w:rsidRPr="004D3964">
              <w:rPr>
                <w:rFonts w:asciiTheme="minorHAnsi" w:eastAsia="Times New Roman" w:hAnsiTheme="minorHAnsi" w:cs="Arial"/>
                <w:sz w:val="18"/>
                <w:szCs w:val="18"/>
              </w:rPr>
              <w:t>(262)</w:t>
            </w:r>
          </w:p>
        </w:tc>
      </w:tr>
      <w:tr w:rsidR="00F52E20" w:rsidRPr="001004B1" w14:paraId="2BB35DD8" w14:textId="77777777" w:rsidTr="006B318F">
        <w:trPr>
          <w:trHeight w:val="228"/>
        </w:trPr>
        <w:tc>
          <w:tcPr>
            <w:tcW w:w="6626" w:type="dxa"/>
            <w:vAlign w:val="bottom"/>
            <w:hideMark/>
          </w:tcPr>
          <w:p w14:paraId="4BE2BDC8" w14:textId="77777777" w:rsidR="00F52E20" w:rsidRPr="001004B1" w:rsidRDefault="00F52E20" w:rsidP="00F52E20">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Total items that may be reclassified subsequently to profit or loss:</w:t>
            </w:r>
          </w:p>
        </w:tc>
        <w:tc>
          <w:tcPr>
            <w:tcW w:w="1456" w:type="dxa"/>
            <w:tcBorders>
              <w:top w:val="single" w:sz="4" w:space="0" w:color="auto"/>
              <w:left w:val="nil"/>
              <w:bottom w:val="single" w:sz="12" w:space="0" w:color="auto"/>
              <w:right w:val="nil"/>
            </w:tcBorders>
            <w:shd w:val="clear" w:color="auto" w:fill="auto"/>
            <w:noWrap/>
            <w:vAlign w:val="bottom"/>
          </w:tcPr>
          <w:p w14:paraId="5497817D" w14:textId="0FDF6F2C" w:rsidR="00F52E20" w:rsidRPr="001004B1" w:rsidRDefault="000F0D08" w:rsidP="00F52E20">
            <w:pPr>
              <w:spacing w:after="0" w:line="220" w:lineRule="exact"/>
              <w:jc w:val="right"/>
              <w:rPr>
                <w:rFonts w:asciiTheme="minorHAnsi" w:eastAsia="Times New Roman" w:hAnsiTheme="minorHAnsi" w:cs="Arial"/>
                <w:b/>
                <w:bCs/>
                <w:sz w:val="18"/>
                <w:szCs w:val="18"/>
              </w:rPr>
            </w:pPr>
            <w:r w:rsidRPr="000F0D08">
              <w:rPr>
                <w:rFonts w:eastAsia="Times New Roman" w:cs="Arial"/>
                <w:b/>
                <w:bCs/>
                <w:sz w:val="18"/>
                <w:szCs w:val="18"/>
              </w:rPr>
              <w:t>645</w:t>
            </w:r>
          </w:p>
        </w:tc>
        <w:tc>
          <w:tcPr>
            <w:tcW w:w="1382" w:type="dxa"/>
            <w:tcBorders>
              <w:top w:val="single" w:sz="4" w:space="0" w:color="auto"/>
              <w:left w:val="nil"/>
              <w:bottom w:val="single" w:sz="12" w:space="0" w:color="auto"/>
              <w:right w:val="nil"/>
            </w:tcBorders>
            <w:shd w:val="clear" w:color="auto" w:fill="auto"/>
            <w:vAlign w:val="bottom"/>
          </w:tcPr>
          <w:p w14:paraId="534F7E76" w14:textId="09B8AD86" w:rsidR="00F52E20" w:rsidRPr="001004B1" w:rsidRDefault="004D3964" w:rsidP="00F52E20">
            <w:pPr>
              <w:spacing w:after="0" w:line="220" w:lineRule="exact"/>
              <w:jc w:val="right"/>
              <w:rPr>
                <w:rFonts w:asciiTheme="minorHAnsi" w:eastAsia="Times New Roman" w:hAnsiTheme="minorHAnsi" w:cs="Arial"/>
                <w:b/>
                <w:bCs/>
                <w:sz w:val="18"/>
                <w:szCs w:val="18"/>
              </w:rPr>
            </w:pPr>
            <w:r w:rsidRPr="004D3964">
              <w:rPr>
                <w:rFonts w:asciiTheme="minorHAnsi" w:hAnsiTheme="minorHAnsi" w:cs="Arial"/>
                <w:b/>
                <w:bCs/>
                <w:sz w:val="18"/>
                <w:szCs w:val="18"/>
              </w:rPr>
              <w:t>1,047</w:t>
            </w:r>
          </w:p>
        </w:tc>
      </w:tr>
      <w:tr w:rsidR="00031932" w:rsidRPr="001004B1" w14:paraId="566C5401" w14:textId="77777777" w:rsidTr="00166751">
        <w:trPr>
          <w:trHeight w:val="132"/>
        </w:trPr>
        <w:tc>
          <w:tcPr>
            <w:tcW w:w="6626" w:type="dxa"/>
            <w:vAlign w:val="bottom"/>
          </w:tcPr>
          <w:p w14:paraId="1B23ED4E" w14:textId="77777777" w:rsidR="00031932" w:rsidRPr="001004B1" w:rsidRDefault="00031932" w:rsidP="00031932">
            <w:pPr>
              <w:spacing w:after="0" w:line="140" w:lineRule="exact"/>
              <w:rPr>
                <w:rFonts w:asciiTheme="minorHAnsi" w:eastAsia="Times New Roman" w:hAnsiTheme="minorHAnsi" w:cs="Arial"/>
                <w:b/>
                <w:bCs/>
                <w:sz w:val="18"/>
                <w:szCs w:val="18"/>
              </w:rPr>
            </w:pPr>
          </w:p>
        </w:tc>
        <w:tc>
          <w:tcPr>
            <w:tcW w:w="1456" w:type="dxa"/>
            <w:tcBorders>
              <w:top w:val="single" w:sz="12" w:space="0" w:color="auto"/>
              <w:left w:val="nil"/>
              <w:right w:val="nil"/>
            </w:tcBorders>
            <w:shd w:val="clear" w:color="auto" w:fill="auto"/>
            <w:noWrap/>
          </w:tcPr>
          <w:p w14:paraId="4C5387E7" w14:textId="77777777" w:rsidR="00031932" w:rsidRPr="001004B1" w:rsidRDefault="00031932" w:rsidP="00031932">
            <w:pPr>
              <w:spacing w:after="0" w:line="140" w:lineRule="exact"/>
              <w:jc w:val="right"/>
              <w:rPr>
                <w:rFonts w:asciiTheme="minorHAnsi" w:eastAsia="Times New Roman" w:hAnsiTheme="minorHAnsi" w:cs="Arial"/>
                <w:bCs/>
                <w:sz w:val="18"/>
                <w:szCs w:val="18"/>
              </w:rPr>
            </w:pPr>
          </w:p>
        </w:tc>
        <w:tc>
          <w:tcPr>
            <w:tcW w:w="1382" w:type="dxa"/>
            <w:tcBorders>
              <w:top w:val="single" w:sz="12" w:space="0" w:color="auto"/>
              <w:left w:val="nil"/>
              <w:right w:val="nil"/>
            </w:tcBorders>
            <w:shd w:val="clear" w:color="auto" w:fill="auto"/>
          </w:tcPr>
          <w:p w14:paraId="3B917618" w14:textId="77777777" w:rsidR="00031932" w:rsidRPr="001004B1" w:rsidRDefault="00031932" w:rsidP="00031932">
            <w:pPr>
              <w:spacing w:after="0" w:line="140" w:lineRule="exact"/>
              <w:jc w:val="right"/>
              <w:rPr>
                <w:rFonts w:asciiTheme="minorHAnsi" w:eastAsia="Times New Roman" w:hAnsiTheme="minorHAnsi" w:cs="Arial"/>
                <w:bCs/>
                <w:sz w:val="18"/>
                <w:szCs w:val="18"/>
              </w:rPr>
            </w:pPr>
          </w:p>
        </w:tc>
      </w:tr>
      <w:tr w:rsidR="00F52E20" w:rsidRPr="001004B1" w14:paraId="35724F6B" w14:textId="77777777" w:rsidTr="006B318F">
        <w:trPr>
          <w:trHeight w:val="101"/>
        </w:trPr>
        <w:tc>
          <w:tcPr>
            <w:tcW w:w="6626" w:type="dxa"/>
            <w:vAlign w:val="bottom"/>
            <w:hideMark/>
          </w:tcPr>
          <w:p w14:paraId="14DF89AD" w14:textId="77777777" w:rsidR="00F52E20" w:rsidRPr="001004B1" w:rsidRDefault="00F52E20" w:rsidP="00F52E20">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Other comprehensive income after income tax</w:t>
            </w:r>
          </w:p>
        </w:tc>
        <w:tc>
          <w:tcPr>
            <w:tcW w:w="1456" w:type="dxa"/>
            <w:tcBorders>
              <w:left w:val="nil"/>
              <w:right w:val="nil"/>
            </w:tcBorders>
            <w:shd w:val="clear" w:color="auto" w:fill="auto"/>
            <w:noWrap/>
          </w:tcPr>
          <w:p w14:paraId="5EB1671F" w14:textId="0CE5AC8C" w:rsidR="00F52E20" w:rsidRPr="001004B1" w:rsidRDefault="000F0D08" w:rsidP="00F52E20">
            <w:pPr>
              <w:spacing w:after="0" w:line="220" w:lineRule="exact"/>
              <w:jc w:val="right"/>
              <w:rPr>
                <w:rFonts w:asciiTheme="minorHAnsi" w:eastAsia="Times New Roman" w:hAnsiTheme="minorHAnsi" w:cs="Arial"/>
                <w:b/>
                <w:bCs/>
                <w:sz w:val="18"/>
                <w:szCs w:val="18"/>
              </w:rPr>
            </w:pPr>
            <w:r w:rsidRPr="000F0D08">
              <w:rPr>
                <w:rFonts w:eastAsia="Times New Roman" w:cs="Arial"/>
                <w:b/>
                <w:bCs/>
                <w:sz w:val="18"/>
                <w:szCs w:val="18"/>
              </w:rPr>
              <w:t>645</w:t>
            </w:r>
          </w:p>
        </w:tc>
        <w:tc>
          <w:tcPr>
            <w:tcW w:w="1382" w:type="dxa"/>
            <w:tcBorders>
              <w:left w:val="nil"/>
              <w:right w:val="nil"/>
            </w:tcBorders>
            <w:shd w:val="clear" w:color="auto" w:fill="auto"/>
            <w:vAlign w:val="bottom"/>
          </w:tcPr>
          <w:p w14:paraId="56CDEFB8" w14:textId="6219398B" w:rsidR="00F52E20" w:rsidRPr="001004B1" w:rsidRDefault="002307E4" w:rsidP="00F52E20">
            <w:pPr>
              <w:spacing w:after="0" w:line="220" w:lineRule="exact"/>
              <w:jc w:val="right"/>
              <w:rPr>
                <w:rFonts w:asciiTheme="minorHAnsi" w:eastAsia="Times New Roman" w:hAnsiTheme="minorHAnsi" w:cs="Arial"/>
                <w:b/>
                <w:bCs/>
                <w:sz w:val="18"/>
                <w:szCs w:val="18"/>
              </w:rPr>
            </w:pPr>
            <w:r w:rsidRPr="002307E4">
              <w:rPr>
                <w:rFonts w:asciiTheme="minorHAnsi" w:hAnsiTheme="minorHAnsi" w:cs="Arial"/>
                <w:b/>
                <w:bCs/>
                <w:sz w:val="18"/>
                <w:szCs w:val="18"/>
              </w:rPr>
              <w:t>1,047</w:t>
            </w:r>
          </w:p>
        </w:tc>
      </w:tr>
      <w:tr w:rsidR="00F52E20" w:rsidRPr="001004B1" w14:paraId="5F8D40ED" w14:textId="77777777" w:rsidTr="005444AA">
        <w:trPr>
          <w:trHeight w:val="70"/>
        </w:trPr>
        <w:tc>
          <w:tcPr>
            <w:tcW w:w="6626" w:type="dxa"/>
            <w:vAlign w:val="bottom"/>
          </w:tcPr>
          <w:p w14:paraId="7D5D9316" w14:textId="77777777" w:rsidR="00F52E20" w:rsidRPr="001004B1" w:rsidRDefault="00F52E20" w:rsidP="00F52E20">
            <w:pPr>
              <w:spacing w:after="0" w:line="140" w:lineRule="exact"/>
              <w:rPr>
                <w:rFonts w:asciiTheme="minorHAnsi" w:eastAsia="Times New Roman" w:hAnsiTheme="minorHAnsi" w:cs="Arial"/>
                <w:b/>
                <w:bCs/>
                <w:sz w:val="18"/>
                <w:szCs w:val="18"/>
              </w:rPr>
            </w:pPr>
          </w:p>
        </w:tc>
        <w:tc>
          <w:tcPr>
            <w:tcW w:w="1456" w:type="dxa"/>
            <w:tcBorders>
              <w:left w:val="nil"/>
              <w:bottom w:val="single" w:sz="4" w:space="0" w:color="auto"/>
              <w:right w:val="nil"/>
            </w:tcBorders>
            <w:shd w:val="clear" w:color="auto" w:fill="auto"/>
            <w:noWrap/>
          </w:tcPr>
          <w:p w14:paraId="09E09D52" w14:textId="77777777" w:rsidR="00F52E20" w:rsidRPr="001004B1" w:rsidRDefault="00F52E20" w:rsidP="00F52E20">
            <w:pPr>
              <w:spacing w:after="0" w:line="140" w:lineRule="exact"/>
              <w:jc w:val="right"/>
              <w:rPr>
                <w:rFonts w:asciiTheme="minorHAnsi" w:eastAsia="Times New Roman" w:hAnsiTheme="minorHAnsi" w:cs="Arial"/>
                <w:b/>
                <w:bCs/>
                <w:sz w:val="18"/>
                <w:szCs w:val="18"/>
              </w:rPr>
            </w:pPr>
          </w:p>
        </w:tc>
        <w:tc>
          <w:tcPr>
            <w:tcW w:w="1382" w:type="dxa"/>
            <w:tcBorders>
              <w:left w:val="nil"/>
              <w:bottom w:val="single" w:sz="4" w:space="0" w:color="auto"/>
              <w:right w:val="nil"/>
            </w:tcBorders>
            <w:shd w:val="clear" w:color="auto" w:fill="auto"/>
            <w:vAlign w:val="bottom"/>
          </w:tcPr>
          <w:p w14:paraId="08FFFCAD" w14:textId="77777777" w:rsidR="00F52E20" w:rsidRPr="001004B1" w:rsidRDefault="00F52E20" w:rsidP="00F52E20">
            <w:pPr>
              <w:spacing w:after="0" w:line="140" w:lineRule="exact"/>
              <w:jc w:val="right"/>
              <w:rPr>
                <w:rFonts w:asciiTheme="minorHAnsi" w:eastAsia="Times New Roman" w:hAnsiTheme="minorHAnsi" w:cs="Arial"/>
                <w:b/>
                <w:bCs/>
                <w:sz w:val="18"/>
                <w:szCs w:val="18"/>
              </w:rPr>
            </w:pPr>
          </w:p>
        </w:tc>
      </w:tr>
      <w:tr w:rsidR="00F52E20" w:rsidRPr="001004B1" w14:paraId="0A123DF0" w14:textId="77777777" w:rsidTr="006B318F">
        <w:trPr>
          <w:trHeight w:val="132"/>
        </w:trPr>
        <w:tc>
          <w:tcPr>
            <w:tcW w:w="6626" w:type="dxa"/>
            <w:vAlign w:val="bottom"/>
            <w:hideMark/>
          </w:tcPr>
          <w:p w14:paraId="4900BA42" w14:textId="77777777" w:rsidR="00F52E20" w:rsidRPr="001004B1" w:rsidRDefault="00F52E20" w:rsidP="00F52E20">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Total comprehensive income after income tax</w:t>
            </w:r>
          </w:p>
        </w:tc>
        <w:tc>
          <w:tcPr>
            <w:tcW w:w="1456" w:type="dxa"/>
            <w:tcBorders>
              <w:top w:val="single" w:sz="4" w:space="0" w:color="auto"/>
              <w:left w:val="nil"/>
              <w:bottom w:val="single" w:sz="12" w:space="0" w:color="auto"/>
              <w:right w:val="nil"/>
            </w:tcBorders>
            <w:shd w:val="clear" w:color="auto" w:fill="auto"/>
            <w:noWrap/>
          </w:tcPr>
          <w:p w14:paraId="3BF660FA" w14:textId="7CC17CA8" w:rsidR="00F52E20" w:rsidRPr="001004B1" w:rsidRDefault="000F0D08" w:rsidP="00F52E20">
            <w:pPr>
              <w:spacing w:after="0" w:line="220" w:lineRule="exact"/>
              <w:jc w:val="right"/>
              <w:rPr>
                <w:rFonts w:asciiTheme="minorHAnsi" w:eastAsia="Times New Roman" w:hAnsiTheme="minorHAnsi" w:cs="Arial"/>
                <w:b/>
                <w:bCs/>
                <w:sz w:val="18"/>
                <w:szCs w:val="18"/>
              </w:rPr>
            </w:pPr>
            <w:r w:rsidRPr="000F0D08">
              <w:rPr>
                <w:rFonts w:eastAsia="Times New Roman" w:cs="Arial"/>
                <w:b/>
                <w:bCs/>
                <w:sz w:val="18"/>
                <w:szCs w:val="18"/>
              </w:rPr>
              <w:t>1,675</w:t>
            </w:r>
          </w:p>
        </w:tc>
        <w:tc>
          <w:tcPr>
            <w:tcW w:w="1382" w:type="dxa"/>
            <w:tcBorders>
              <w:top w:val="single" w:sz="4" w:space="0" w:color="auto"/>
              <w:left w:val="nil"/>
              <w:bottom w:val="single" w:sz="12" w:space="0" w:color="auto"/>
              <w:right w:val="nil"/>
            </w:tcBorders>
            <w:shd w:val="clear" w:color="auto" w:fill="auto"/>
            <w:vAlign w:val="bottom"/>
          </w:tcPr>
          <w:p w14:paraId="75F318FB" w14:textId="25D84034" w:rsidR="00F52E20" w:rsidRPr="001004B1" w:rsidRDefault="002307E4" w:rsidP="00F52E20">
            <w:pPr>
              <w:spacing w:after="0" w:line="220" w:lineRule="exact"/>
              <w:jc w:val="right"/>
              <w:rPr>
                <w:rFonts w:asciiTheme="minorHAnsi" w:eastAsia="Times New Roman" w:hAnsiTheme="minorHAnsi" w:cs="Arial"/>
                <w:b/>
                <w:bCs/>
                <w:sz w:val="18"/>
                <w:szCs w:val="18"/>
              </w:rPr>
            </w:pPr>
            <w:r w:rsidRPr="002307E4">
              <w:rPr>
                <w:rFonts w:asciiTheme="minorHAnsi" w:hAnsiTheme="minorHAnsi" w:cs="Arial"/>
                <w:b/>
                <w:bCs/>
                <w:sz w:val="18"/>
                <w:szCs w:val="18"/>
              </w:rPr>
              <w:t>1,903</w:t>
            </w:r>
          </w:p>
        </w:tc>
      </w:tr>
      <w:tr w:rsidR="00F52E20" w:rsidRPr="001004B1" w14:paraId="4B7DE72C" w14:textId="77777777" w:rsidTr="005444AA">
        <w:trPr>
          <w:trHeight w:val="73"/>
        </w:trPr>
        <w:tc>
          <w:tcPr>
            <w:tcW w:w="6626" w:type="dxa"/>
            <w:vAlign w:val="bottom"/>
          </w:tcPr>
          <w:p w14:paraId="78DED143" w14:textId="77777777" w:rsidR="00F52E20" w:rsidRPr="001004B1" w:rsidRDefault="00F52E20" w:rsidP="00F52E20">
            <w:pPr>
              <w:spacing w:after="0" w:line="140" w:lineRule="exact"/>
              <w:rPr>
                <w:rFonts w:asciiTheme="minorHAnsi" w:eastAsia="Times New Roman" w:hAnsiTheme="minorHAnsi" w:cs="Arial"/>
                <w:bCs/>
                <w:sz w:val="18"/>
                <w:szCs w:val="18"/>
              </w:rPr>
            </w:pPr>
          </w:p>
        </w:tc>
        <w:tc>
          <w:tcPr>
            <w:tcW w:w="1456" w:type="dxa"/>
            <w:tcBorders>
              <w:top w:val="single" w:sz="12" w:space="0" w:color="auto"/>
              <w:left w:val="nil"/>
              <w:right w:val="nil"/>
            </w:tcBorders>
            <w:shd w:val="clear" w:color="auto" w:fill="auto"/>
            <w:noWrap/>
          </w:tcPr>
          <w:p w14:paraId="170EF692" w14:textId="77777777" w:rsidR="00F52E20" w:rsidRPr="001004B1" w:rsidRDefault="00F52E20" w:rsidP="00F52E20">
            <w:pPr>
              <w:spacing w:after="0" w:line="140" w:lineRule="exact"/>
              <w:jc w:val="right"/>
              <w:rPr>
                <w:rFonts w:asciiTheme="minorHAnsi" w:eastAsia="Times New Roman" w:hAnsiTheme="minorHAnsi" w:cs="Arial"/>
                <w:bCs/>
                <w:sz w:val="18"/>
                <w:szCs w:val="18"/>
              </w:rPr>
            </w:pPr>
          </w:p>
        </w:tc>
        <w:tc>
          <w:tcPr>
            <w:tcW w:w="1382" w:type="dxa"/>
            <w:tcBorders>
              <w:top w:val="single" w:sz="12" w:space="0" w:color="auto"/>
              <w:left w:val="nil"/>
              <w:right w:val="nil"/>
            </w:tcBorders>
            <w:shd w:val="clear" w:color="auto" w:fill="auto"/>
            <w:vAlign w:val="bottom"/>
          </w:tcPr>
          <w:p w14:paraId="34160300" w14:textId="77777777" w:rsidR="00F52E20" w:rsidRPr="001004B1" w:rsidRDefault="00F52E20" w:rsidP="00F52E20">
            <w:pPr>
              <w:spacing w:after="0" w:line="140" w:lineRule="exact"/>
              <w:jc w:val="right"/>
              <w:rPr>
                <w:rFonts w:asciiTheme="minorHAnsi" w:eastAsia="Times New Roman" w:hAnsiTheme="minorHAnsi" w:cs="Arial"/>
                <w:bCs/>
                <w:sz w:val="18"/>
                <w:szCs w:val="18"/>
              </w:rPr>
            </w:pPr>
          </w:p>
        </w:tc>
      </w:tr>
      <w:tr w:rsidR="00F52E20" w:rsidRPr="001004B1" w14:paraId="455FE8A0" w14:textId="77777777" w:rsidTr="005444AA">
        <w:trPr>
          <w:trHeight w:val="74"/>
        </w:trPr>
        <w:tc>
          <w:tcPr>
            <w:tcW w:w="6626" w:type="dxa"/>
            <w:vAlign w:val="bottom"/>
            <w:hideMark/>
          </w:tcPr>
          <w:p w14:paraId="381A6A76" w14:textId="77777777" w:rsidR="00F52E20" w:rsidRPr="001004B1" w:rsidRDefault="00F52E20" w:rsidP="00F52E20">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Attributable to:</w:t>
            </w:r>
          </w:p>
        </w:tc>
        <w:tc>
          <w:tcPr>
            <w:tcW w:w="1456" w:type="dxa"/>
            <w:tcBorders>
              <w:left w:val="nil"/>
              <w:right w:val="nil"/>
            </w:tcBorders>
            <w:shd w:val="clear" w:color="auto" w:fill="auto"/>
            <w:noWrap/>
          </w:tcPr>
          <w:p w14:paraId="687304C9" w14:textId="77777777" w:rsidR="00F52E20" w:rsidRPr="001004B1" w:rsidRDefault="00F52E20" w:rsidP="00F52E20">
            <w:pPr>
              <w:spacing w:after="0" w:line="220" w:lineRule="exact"/>
              <w:jc w:val="right"/>
              <w:rPr>
                <w:rFonts w:asciiTheme="minorHAnsi" w:eastAsia="Times New Roman" w:hAnsiTheme="minorHAnsi" w:cs="Arial"/>
                <w:bCs/>
                <w:sz w:val="18"/>
                <w:szCs w:val="18"/>
              </w:rPr>
            </w:pPr>
          </w:p>
        </w:tc>
        <w:tc>
          <w:tcPr>
            <w:tcW w:w="1382" w:type="dxa"/>
            <w:tcBorders>
              <w:left w:val="nil"/>
              <w:right w:val="nil"/>
            </w:tcBorders>
            <w:shd w:val="clear" w:color="auto" w:fill="auto"/>
            <w:vAlign w:val="bottom"/>
          </w:tcPr>
          <w:p w14:paraId="1F8B7DA5" w14:textId="77777777" w:rsidR="00F52E20" w:rsidRPr="001004B1" w:rsidRDefault="00F52E20" w:rsidP="00F52E20">
            <w:pPr>
              <w:spacing w:after="0" w:line="220" w:lineRule="exact"/>
              <w:jc w:val="right"/>
              <w:rPr>
                <w:rFonts w:asciiTheme="minorHAnsi" w:eastAsia="Times New Roman" w:hAnsiTheme="minorHAnsi" w:cs="Arial"/>
                <w:bCs/>
                <w:sz w:val="18"/>
                <w:szCs w:val="18"/>
              </w:rPr>
            </w:pPr>
          </w:p>
        </w:tc>
      </w:tr>
      <w:tr w:rsidR="00F52E20" w:rsidRPr="001004B1" w14:paraId="2863D7B9" w14:textId="77777777" w:rsidTr="006B318F">
        <w:trPr>
          <w:trHeight w:val="58"/>
        </w:trPr>
        <w:tc>
          <w:tcPr>
            <w:tcW w:w="6626" w:type="dxa"/>
            <w:vAlign w:val="bottom"/>
            <w:hideMark/>
          </w:tcPr>
          <w:p w14:paraId="0B6C191F" w14:textId="77777777" w:rsidR="00F52E20" w:rsidRPr="001004B1" w:rsidRDefault="00F52E20" w:rsidP="00F52E20">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Equity holders of the parent</w:t>
            </w:r>
          </w:p>
        </w:tc>
        <w:tc>
          <w:tcPr>
            <w:tcW w:w="1456" w:type="dxa"/>
            <w:tcBorders>
              <w:left w:val="nil"/>
              <w:bottom w:val="single" w:sz="18" w:space="0" w:color="auto"/>
              <w:right w:val="nil"/>
            </w:tcBorders>
            <w:shd w:val="clear" w:color="auto" w:fill="auto"/>
            <w:noWrap/>
          </w:tcPr>
          <w:p w14:paraId="4D0C6951" w14:textId="7423D870" w:rsidR="00F52E20" w:rsidRPr="001004B1" w:rsidRDefault="000F0D08" w:rsidP="00F52E20">
            <w:pPr>
              <w:spacing w:after="0" w:line="220" w:lineRule="exact"/>
              <w:jc w:val="right"/>
              <w:rPr>
                <w:rFonts w:asciiTheme="minorHAnsi" w:eastAsia="Times New Roman" w:hAnsiTheme="minorHAnsi" w:cs="Arial"/>
                <w:b/>
                <w:bCs/>
                <w:sz w:val="18"/>
                <w:szCs w:val="18"/>
              </w:rPr>
            </w:pPr>
            <w:r w:rsidRPr="000F0D08">
              <w:rPr>
                <w:rFonts w:eastAsia="Times New Roman" w:cs="Arial"/>
                <w:bCs/>
                <w:sz w:val="18"/>
                <w:szCs w:val="18"/>
              </w:rPr>
              <w:t>1,675</w:t>
            </w:r>
          </w:p>
        </w:tc>
        <w:tc>
          <w:tcPr>
            <w:tcW w:w="1382" w:type="dxa"/>
            <w:tcBorders>
              <w:left w:val="nil"/>
              <w:bottom w:val="single" w:sz="18" w:space="0" w:color="auto"/>
              <w:right w:val="nil"/>
            </w:tcBorders>
            <w:shd w:val="clear" w:color="auto" w:fill="auto"/>
            <w:vAlign w:val="bottom"/>
          </w:tcPr>
          <w:p w14:paraId="703124F6" w14:textId="1E3340D1" w:rsidR="00F52E20" w:rsidRPr="001004B1" w:rsidRDefault="002307E4" w:rsidP="00F52E20">
            <w:pPr>
              <w:spacing w:after="0" w:line="220" w:lineRule="exact"/>
              <w:jc w:val="right"/>
              <w:rPr>
                <w:rFonts w:asciiTheme="minorHAnsi" w:eastAsia="Times New Roman" w:hAnsiTheme="minorHAnsi" w:cs="Arial"/>
                <w:b/>
                <w:bCs/>
                <w:sz w:val="18"/>
                <w:szCs w:val="18"/>
              </w:rPr>
            </w:pPr>
            <w:r w:rsidRPr="002307E4">
              <w:rPr>
                <w:rFonts w:asciiTheme="minorHAnsi" w:hAnsiTheme="minorHAnsi" w:cs="Arial"/>
                <w:bCs/>
                <w:sz w:val="18"/>
                <w:szCs w:val="18"/>
              </w:rPr>
              <w:t>1,903</w:t>
            </w:r>
          </w:p>
        </w:tc>
      </w:tr>
    </w:tbl>
    <w:p w14:paraId="19578C7B" w14:textId="77777777" w:rsidR="009702B0" w:rsidRPr="009702B0" w:rsidRDefault="009702B0" w:rsidP="009702B0">
      <w:pPr>
        <w:tabs>
          <w:tab w:val="right" w:pos="1202"/>
        </w:tabs>
        <w:spacing w:after="0" w:line="240" w:lineRule="auto"/>
        <w:outlineLvl w:val="0"/>
        <w:rPr>
          <w:rFonts w:eastAsia="Times New Roman"/>
        </w:rPr>
      </w:pPr>
    </w:p>
    <w:p w14:paraId="4EB50DF8" w14:textId="77777777" w:rsidR="009702B0" w:rsidRPr="009702B0" w:rsidRDefault="009702B0" w:rsidP="009702B0">
      <w:pPr>
        <w:tabs>
          <w:tab w:val="right" w:pos="1202"/>
        </w:tabs>
        <w:spacing w:after="0" w:line="240" w:lineRule="auto"/>
        <w:outlineLvl w:val="0"/>
        <w:rPr>
          <w:rFonts w:eastAsia="Times New Roman"/>
        </w:rPr>
      </w:pPr>
    </w:p>
    <w:p w14:paraId="12E5C148" w14:textId="77777777" w:rsidR="009702B0" w:rsidRPr="009702B0" w:rsidRDefault="009702B0" w:rsidP="009702B0">
      <w:pPr>
        <w:tabs>
          <w:tab w:val="right" w:pos="1202"/>
        </w:tabs>
        <w:spacing w:after="0" w:line="240" w:lineRule="auto"/>
        <w:outlineLvl w:val="0"/>
        <w:rPr>
          <w:rFonts w:eastAsia="Times New Roman"/>
        </w:rPr>
        <w:sectPr w:rsidR="009702B0" w:rsidRPr="009702B0" w:rsidSect="00947CB7">
          <w:headerReference w:type="default" r:id="rId130"/>
          <w:footerReference w:type="default" r:id="rId131"/>
          <w:headerReference w:type="first" r:id="rId132"/>
          <w:footerReference w:type="first" r:id="rId133"/>
          <w:pgSz w:w="11906" w:h="16838" w:code="9"/>
          <w:pgMar w:top="1418" w:right="1418" w:bottom="595" w:left="1134" w:header="709" w:footer="709" w:gutter="0"/>
          <w:cols w:space="708"/>
          <w:titlePg/>
          <w:docGrid w:linePitch="360"/>
        </w:sectPr>
      </w:pPr>
    </w:p>
    <w:p w14:paraId="1334A700" w14:textId="77777777" w:rsidR="009702B0" w:rsidRPr="009702B0" w:rsidRDefault="009702B0" w:rsidP="009702B0">
      <w:pPr>
        <w:tabs>
          <w:tab w:val="right" w:pos="1202"/>
        </w:tabs>
        <w:spacing w:after="0" w:line="240" w:lineRule="auto"/>
        <w:outlineLvl w:val="0"/>
        <w:rPr>
          <w:rFonts w:eastAsia="Times New Roman"/>
        </w:rPr>
      </w:pPr>
    </w:p>
    <w:tbl>
      <w:tblPr>
        <w:tblpPr w:leftFromText="181" w:rightFromText="181" w:vertAnchor="text" w:horzAnchor="margin" w:tblpXSpec="center" w:tblpY="450"/>
        <w:tblW w:w="8475" w:type="dxa"/>
        <w:tblLayout w:type="fixed"/>
        <w:tblLook w:val="04A0" w:firstRow="1" w:lastRow="0" w:firstColumn="1" w:lastColumn="0" w:noHBand="0" w:noVBand="1"/>
      </w:tblPr>
      <w:tblGrid>
        <w:gridCol w:w="5812"/>
        <w:gridCol w:w="1331"/>
        <w:gridCol w:w="1332"/>
      </w:tblGrid>
      <w:tr w:rsidR="009702B0" w:rsidRPr="001004B1" w14:paraId="13688AD8" w14:textId="77777777" w:rsidTr="009702B0">
        <w:trPr>
          <w:trHeight w:val="119"/>
        </w:trPr>
        <w:tc>
          <w:tcPr>
            <w:tcW w:w="5812" w:type="dxa"/>
            <w:vAlign w:val="bottom"/>
          </w:tcPr>
          <w:p w14:paraId="65F7552F" w14:textId="77777777" w:rsidR="009702B0" w:rsidRPr="001004B1" w:rsidRDefault="009702B0" w:rsidP="009702B0">
            <w:pPr>
              <w:spacing w:after="0" w:line="220" w:lineRule="exact"/>
              <w:rPr>
                <w:rFonts w:asciiTheme="minorHAnsi" w:eastAsia="Times New Roman" w:hAnsiTheme="minorHAnsi" w:cs="Arial"/>
                <w:b/>
                <w:bCs/>
                <w:sz w:val="18"/>
                <w:szCs w:val="18"/>
              </w:rPr>
            </w:pPr>
          </w:p>
        </w:tc>
        <w:tc>
          <w:tcPr>
            <w:tcW w:w="1331" w:type="dxa"/>
            <w:noWrap/>
            <w:vAlign w:val="bottom"/>
            <w:hideMark/>
          </w:tcPr>
          <w:p w14:paraId="5C8BD007" w14:textId="2F4A5CC8" w:rsidR="009702B0" w:rsidRPr="001004B1" w:rsidRDefault="00895CCA" w:rsidP="009702B0">
            <w:pPr>
              <w:spacing w:after="0" w:line="240" w:lineRule="auto"/>
              <w:jc w:val="right"/>
              <w:rPr>
                <w:rFonts w:eastAsia="Times New Roman" w:cs="Arial"/>
                <w:b/>
                <w:bCs/>
                <w:sz w:val="18"/>
                <w:szCs w:val="18"/>
              </w:rPr>
            </w:pPr>
            <w:r>
              <w:rPr>
                <w:rFonts w:eastAsia="Times New Roman" w:cs="Arial"/>
                <w:b/>
                <w:bCs/>
                <w:sz w:val="18"/>
                <w:szCs w:val="18"/>
              </w:rPr>
              <w:t xml:space="preserve">Sep </w:t>
            </w:r>
            <w:r w:rsidR="000438C8">
              <w:rPr>
                <w:rFonts w:eastAsia="Times New Roman" w:cs="Arial"/>
                <w:b/>
                <w:bCs/>
                <w:sz w:val="18"/>
                <w:szCs w:val="18"/>
              </w:rPr>
              <w:t>30</w:t>
            </w:r>
            <w:r w:rsidR="001004B1" w:rsidRPr="001004B1">
              <w:rPr>
                <w:rFonts w:eastAsia="Times New Roman" w:cs="Arial"/>
                <w:b/>
                <w:bCs/>
                <w:sz w:val="18"/>
                <w:szCs w:val="18"/>
              </w:rPr>
              <w:t>, 2017</w:t>
            </w:r>
          </w:p>
        </w:tc>
        <w:tc>
          <w:tcPr>
            <w:tcW w:w="1332" w:type="dxa"/>
            <w:vAlign w:val="bottom"/>
            <w:hideMark/>
          </w:tcPr>
          <w:p w14:paraId="7AB88238" w14:textId="77777777" w:rsidR="009702B0" w:rsidRPr="001004B1" w:rsidRDefault="009702B0" w:rsidP="001004B1">
            <w:pPr>
              <w:spacing w:after="0" w:line="240" w:lineRule="auto"/>
              <w:jc w:val="right"/>
              <w:rPr>
                <w:rFonts w:eastAsia="Times New Roman" w:cs="Arial"/>
                <w:b/>
                <w:bCs/>
                <w:sz w:val="18"/>
                <w:szCs w:val="18"/>
              </w:rPr>
            </w:pPr>
            <w:r w:rsidRPr="001004B1">
              <w:rPr>
                <w:rFonts w:eastAsia="Times New Roman" w:cs="Arial"/>
                <w:b/>
                <w:bCs/>
                <w:sz w:val="18"/>
                <w:szCs w:val="18"/>
              </w:rPr>
              <w:t>Dec 31, 201</w:t>
            </w:r>
            <w:r w:rsidR="001004B1">
              <w:rPr>
                <w:rFonts w:eastAsia="Times New Roman" w:cs="Arial"/>
                <w:b/>
                <w:bCs/>
                <w:sz w:val="18"/>
                <w:szCs w:val="18"/>
              </w:rPr>
              <w:t>6</w:t>
            </w:r>
          </w:p>
        </w:tc>
      </w:tr>
      <w:tr w:rsidR="009702B0" w:rsidRPr="001004B1" w14:paraId="78CAD0F2" w14:textId="77777777" w:rsidTr="009702B0">
        <w:trPr>
          <w:trHeight w:val="59"/>
        </w:trPr>
        <w:tc>
          <w:tcPr>
            <w:tcW w:w="5812" w:type="dxa"/>
            <w:vAlign w:val="bottom"/>
          </w:tcPr>
          <w:p w14:paraId="2CA3348C" w14:textId="77777777" w:rsidR="009702B0" w:rsidRPr="001004B1" w:rsidRDefault="009702B0" w:rsidP="009702B0">
            <w:pPr>
              <w:spacing w:after="0" w:line="140" w:lineRule="exact"/>
              <w:rPr>
                <w:rFonts w:asciiTheme="minorHAnsi" w:eastAsia="Times New Roman" w:hAnsiTheme="minorHAnsi" w:cs="Arial"/>
                <w:sz w:val="18"/>
                <w:szCs w:val="18"/>
              </w:rPr>
            </w:pPr>
          </w:p>
        </w:tc>
        <w:tc>
          <w:tcPr>
            <w:tcW w:w="1331" w:type="dxa"/>
            <w:noWrap/>
            <w:vAlign w:val="bottom"/>
          </w:tcPr>
          <w:p w14:paraId="0C239B8E" w14:textId="77777777" w:rsidR="009702B0" w:rsidRPr="001004B1" w:rsidRDefault="009702B0" w:rsidP="009702B0">
            <w:pPr>
              <w:spacing w:after="0" w:line="140" w:lineRule="exact"/>
              <w:rPr>
                <w:rFonts w:asciiTheme="minorHAnsi" w:eastAsia="Times New Roman" w:hAnsiTheme="minorHAnsi" w:cs="Arial"/>
                <w:sz w:val="18"/>
                <w:szCs w:val="18"/>
              </w:rPr>
            </w:pPr>
          </w:p>
        </w:tc>
        <w:tc>
          <w:tcPr>
            <w:tcW w:w="1332" w:type="dxa"/>
          </w:tcPr>
          <w:p w14:paraId="4D134F02" w14:textId="77777777" w:rsidR="009702B0" w:rsidRPr="001004B1" w:rsidRDefault="009702B0" w:rsidP="009702B0">
            <w:pPr>
              <w:spacing w:after="0" w:line="140" w:lineRule="exact"/>
              <w:rPr>
                <w:rFonts w:asciiTheme="minorHAnsi" w:eastAsia="Times New Roman" w:hAnsiTheme="minorHAnsi" w:cs="Arial"/>
                <w:sz w:val="18"/>
                <w:szCs w:val="18"/>
              </w:rPr>
            </w:pPr>
          </w:p>
        </w:tc>
      </w:tr>
      <w:tr w:rsidR="009702B0" w:rsidRPr="001004B1" w14:paraId="621EEF88" w14:textId="77777777" w:rsidTr="009702B0">
        <w:trPr>
          <w:trHeight w:val="109"/>
        </w:trPr>
        <w:tc>
          <w:tcPr>
            <w:tcW w:w="5812" w:type="dxa"/>
            <w:vAlign w:val="bottom"/>
            <w:hideMark/>
          </w:tcPr>
          <w:p w14:paraId="17BED039" w14:textId="77777777" w:rsidR="009702B0" w:rsidRPr="001004B1" w:rsidRDefault="009702B0" w:rsidP="009702B0">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Assets</w:t>
            </w:r>
          </w:p>
        </w:tc>
        <w:tc>
          <w:tcPr>
            <w:tcW w:w="1331" w:type="dxa"/>
            <w:noWrap/>
            <w:vAlign w:val="bottom"/>
          </w:tcPr>
          <w:p w14:paraId="0E46DB60" w14:textId="77777777" w:rsidR="009702B0" w:rsidRPr="001004B1" w:rsidRDefault="009702B0" w:rsidP="009702B0">
            <w:pPr>
              <w:spacing w:after="0" w:line="220" w:lineRule="exact"/>
              <w:jc w:val="right"/>
              <w:rPr>
                <w:rFonts w:asciiTheme="minorHAnsi" w:eastAsia="Times New Roman" w:hAnsiTheme="minorHAnsi" w:cs="Arial"/>
                <w:sz w:val="18"/>
                <w:szCs w:val="18"/>
              </w:rPr>
            </w:pPr>
          </w:p>
        </w:tc>
        <w:tc>
          <w:tcPr>
            <w:tcW w:w="1332" w:type="dxa"/>
          </w:tcPr>
          <w:p w14:paraId="4F5A9BFC" w14:textId="77777777" w:rsidR="009702B0" w:rsidRPr="001004B1" w:rsidRDefault="009702B0" w:rsidP="009702B0">
            <w:pPr>
              <w:spacing w:after="0" w:line="220" w:lineRule="exact"/>
              <w:jc w:val="right"/>
              <w:rPr>
                <w:rFonts w:asciiTheme="minorHAnsi" w:eastAsia="Times New Roman" w:hAnsiTheme="minorHAnsi" w:cs="Arial"/>
                <w:sz w:val="18"/>
                <w:szCs w:val="18"/>
              </w:rPr>
            </w:pPr>
          </w:p>
        </w:tc>
      </w:tr>
      <w:tr w:rsidR="009702B0" w:rsidRPr="001004B1" w14:paraId="48F27605" w14:textId="77777777" w:rsidTr="009702B0">
        <w:trPr>
          <w:trHeight w:val="66"/>
        </w:trPr>
        <w:tc>
          <w:tcPr>
            <w:tcW w:w="5812" w:type="dxa"/>
            <w:vAlign w:val="bottom"/>
            <w:hideMark/>
          </w:tcPr>
          <w:p w14:paraId="57D81E34" w14:textId="77777777" w:rsidR="009702B0" w:rsidRPr="001004B1" w:rsidRDefault="009702B0" w:rsidP="009702B0">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Non-current assets</w:t>
            </w:r>
          </w:p>
        </w:tc>
        <w:tc>
          <w:tcPr>
            <w:tcW w:w="1331" w:type="dxa"/>
            <w:noWrap/>
            <w:vAlign w:val="bottom"/>
          </w:tcPr>
          <w:p w14:paraId="190B9D04" w14:textId="77777777" w:rsidR="009702B0" w:rsidRPr="001004B1" w:rsidRDefault="009702B0" w:rsidP="009702B0">
            <w:pPr>
              <w:spacing w:after="0" w:line="220" w:lineRule="exact"/>
              <w:jc w:val="right"/>
              <w:rPr>
                <w:rFonts w:asciiTheme="minorHAnsi" w:eastAsia="Times New Roman" w:hAnsiTheme="minorHAnsi" w:cs="Arial"/>
                <w:sz w:val="18"/>
                <w:szCs w:val="18"/>
              </w:rPr>
            </w:pPr>
          </w:p>
        </w:tc>
        <w:tc>
          <w:tcPr>
            <w:tcW w:w="1332" w:type="dxa"/>
          </w:tcPr>
          <w:p w14:paraId="6D935A0C" w14:textId="77777777" w:rsidR="009702B0" w:rsidRPr="001004B1" w:rsidRDefault="009702B0" w:rsidP="009702B0">
            <w:pPr>
              <w:spacing w:after="0" w:line="220" w:lineRule="exact"/>
              <w:jc w:val="right"/>
              <w:rPr>
                <w:rFonts w:asciiTheme="minorHAnsi" w:eastAsia="Times New Roman" w:hAnsiTheme="minorHAnsi" w:cs="Arial"/>
                <w:sz w:val="18"/>
                <w:szCs w:val="18"/>
              </w:rPr>
            </w:pPr>
          </w:p>
        </w:tc>
      </w:tr>
      <w:tr w:rsidR="002A7753" w:rsidRPr="001004B1" w14:paraId="68E5FA65" w14:textId="77777777" w:rsidTr="009702B0">
        <w:trPr>
          <w:trHeight w:val="180"/>
        </w:trPr>
        <w:tc>
          <w:tcPr>
            <w:tcW w:w="5812" w:type="dxa"/>
            <w:vAlign w:val="bottom"/>
            <w:hideMark/>
          </w:tcPr>
          <w:p w14:paraId="18A67ACE" w14:textId="77777777" w:rsidR="002A7753" w:rsidRPr="001004B1" w:rsidRDefault="002A7753" w:rsidP="002A7753">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Property and equipment</w:t>
            </w:r>
          </w:p>
        </w:tc>
        <w:tc>
          <w:tcPr>
            <w:tcW w:w="1331" w:type="dxa"/>
            <w:tcBorders>
              <w:top w:val="nil"/>
              <w:left w:val="nil"/>
              <w:bottom w:val="nil"/>
              <w:right w:val="nil"/>
            </w:tcBorders>
            <w:shd w:val="clear" w:color="auto" w:fill="auto"/>
            <w:noWrap/>
            <w:vAlign w:val="bottom"/>
          </w:tcPr>
          <w:p w14:paraId="45C1F445" w14:textId="52D629BD" w:rsidR="002A7753" w:rsidRPr="001004B1" w:rsidRDefault="002A7753" w:rsidP="002A7753">
            <w:pPr>
              <w:spacing w:after="0" w:line="220" w:lineRule="exact"/>
              <w:jc w:val="right"/>
              <w:rPr>
                <w:rFonts w:eastAsia="Times New Roman" w:cs="Arial"/>
                <w:sz w:val="18"/>
                <w:szCs w:val="18"/>
              </w:rPr>
            </w:pPr>
            <w:r>
              <w:rPr>
                <w:rFonts w:eastAsia="Times New Roman" w:cs="Arial"/>
                <w:sz w:val="18"/>
                <w:szCs w:val="18"/>
              </w:rPr>
              <w:t>53</w:t>
            </w:r>
          </w:p>
        </w:tc>
        <w:tc>
          <w:tcPr>
            <w:tcW w:w="1332" w:type="dxa"/>
            <w:tcBorders>
              <w:top w:val="nil"/>
              <w:left w:val="nil"/>
              <w:bottom w:val="nil"/>
              <w:right w:val="nil"/>
            </w:tcBorders>
            <w:shd w:val="clear" w:color="auto" w:fill="auto"/>
            <w:vAlign w:val="bottom"/>
          </w:tcPr>
          <w:p w14:paraId="3CC4E730" w14:textId="77777777" w:rsidR="002A7753" w:rsidRPr="002D31C7" w:rsidRDefault="002A7753" w:rsidP="002A7753">
            <w:pPr>
              <w:spacing w:after="0" w:line="220" w:lineRule="exact"/>
              <w:jc w:val="right"/>
              <w:rPr>
                <w:rFonts w:eastAsia="Times New Roman" w:cs="Arial"/>
                <w:sz w:val="18"/>
                <w:szCs w:val="18"/>
              </w:rPr>
            </w:pPr>
            <w:r w:rsidRPr="002A3E38">
              <w:rPr>
                <w:sz w:val="18"/>
                <w:szCs w:val="18"/>
              </w:rPr>
              <w:t>86</w:t>
            </w:r>
          </w:p>
        </w:tc>
      </w:tr>
      <w:tr w:rsidR="002A7753" w:rsidRPr="001004B1" w14:paraId="4B1734F5" w14:textId="77777777" w:rsidTr="009702B0">
        <w:trPr>
          <w:trHeight w:val="180"/>
        </w:trPr>
        <w:tc>
          <w:tcPr>
            <w:tcW w:w="5812" w:type="dxa"/>
            <w:vAlign w:val="bottom"/>
            <w:hideMark/>
          </w:tcPr>
          <w:p w14:paraId="59C3EC5A" w14:textId="77777777" w:rsidR="002A7753" w:rsidRPr="001004B1" w:rsidRDefault="002A7753" w:rsidP="002A7753">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Intangible assets</w:t>
            </w:r>
          </w:p>
        </w:tc>
        <w:tc>
          <w:tcPr>
            <w:tcW w:w="1331" w:type="dxa"/>
            <w:tcBorders>
              <w:top w:val="nil"/>
              <w:left w:val="nil"/>
              <w:bottom w:val="nil"/>
              <w:right w:val="nil"/>
            </w:tcBorders>
            <w:shd w:val="clear" w:color="auto" w:fill="auto"/>
            <w:noWrap/>
            <w:vAlign w:val="bottom"/>
          </w:tcPr>
          <w:p w14:paraId="4C4F159B" w14:textId="7D0C23A1" w:rsidR="002A7753" w:rsidRPr="001004B1" w:rsidRDefault="002A7753" w:rsidP="002A7753">
            <w:pPr>
              <w:spacing w:after="0" w:line="220" w:lineRule="exact"/>
              <w:jc w:val="right"/>
              <w:rPr>
                <w:rFonts w:eastAsia="Times New Roman" w:cs="Arial"/>
                <w:sz w:val="18"/>
                <w:szCs w:val="18"/>
              </w:rPr>
            </w:pPr>
            <w:r>
              <w:rPr>
                <w:rFonts w:eastAsia="Times New Roman" w:cs="Arial"/>
                <w:sz w:val="18"/>
                <w:szCs w:val="18"/>
              </w:rPr>
              <w:t>3</w:t>
            </w:r>
          </w:p>
        </w:tc>
        <w:tc>
          <w:tcPr>
            <w:tcW w:w="1332" w:type="dxa"/>
            <w:tcBorders>
              <w:top w:val="nil"/>
              <w:left w:val="nil"/>
              <w:bottom w:val="nil"/>
              <w:right w:val="nil"/>
            </w:tcBorders>
            <w:shd w:val="clear" w:color="auto" w:fill="auto"/>
            <w:vAlign w:val="bottom"/>
          </w:tcPr>
          <w:p w14:paraId="10FCBE24" w14:textId="77777777" w:rsidR="002A7753" w:rsidRPr="002D31C7" w:rsidRDefault="002A7753" w:rsidP="002A7753">
            <w:pPr>
              <w:spacing w:after="0" w:line="220" w:lineRule="exact"/>
              <w:jc w:val="right"/>
              <w:rPr>
                <w:rFonts w:eastAsia="Times New Roman" w:cs="Arial"/>
                <w:sz w:val="18"/>
                <w:szCs w:val="18"/>
              </w:rPr>
            </w:pPr>
            <w:r w:rsidRPr="002A3E38">
              <w:rPr>
                <w:sz w:val="18"/>
                <w:szCs w:val="18"/>
              </w:rPr>
              <w:t>5</w:t>
            </w:r>
          </w:p>
        </w:tc>
      </w:tr>
      <w:tr w:rsidR="002A7753" w:rsidRPr="001004B1" w14:paraId="621AEDF5" w14:textId="77777777" w:rsidTr="009702B0">
        <w:trPr>
          <w:trHeight w:val="180"/>
        </w:trPr>
        <w:tc>
          <w:tcPr>
            <w:tcW w:w="5812" w:type="dxa"/>
            <w:vAlign w:val="bottom"/>
            <w:hideMark/>
          </w:tcPr>
          <w:p w14:paraId="54577897" w14:textId="77777777" w:rsidR="002A7753" w:rsidRPr="001004B1" w:rsidRDefault="002A7753" w:rsidP="002A7753">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Held to maturity investments</w:t>
            </w:r>
          </w:p>
        </w:tc>
        <w:tc>
          <w:tcPr>
            <w:tcW w:w="1331" w:type="dxa"/>
            <w:tcBorders>
              <w:top w:val="nil"/>
              <w:left w:val="nil"/>
              <w:bottom w:val="nil"/>
              <w:right w:val="nil"/>
            </w:tcBorders>
            <w:shd w:val="clear" w:color="auto" w:fill="auto"/>
            <w:noWrap/>
            <w:vAlign w:val="bottom"/>
          </w:tcPr>
          <w:p w14:paraId="3ABA0DAD" w14:textId="55BFCDE0" w:rsidR="002A7753" w:rsidRPr="001004B1" w:rsidRDefault="002A7753" w:rsidP="002A7753">
            <w:pPr>
              <w:spacing w:after="0" w:line="220" w:lineRule="exact"/>
              <w:jc w:val="right"/>
              <w:rPr>
                <w:rFonts w:eastAsia="Times New Roman" w:cs="Arial"/>
                <w:sz w:val="18"/>
                <w:szCs w:val="18"/>
              </w:rPr>
            </w:pPr>
            <w:r>
              <w:rPr>
                <w:rFonts w:eastAsia="Times New Roman" w:cs="Arial"/>
                <w:sz w:val="18"/>
                <w:szCs w:val="18"/>
              </w:rPr>
              <w:t>1,404</w:t>
            </w:r>
          </w:p>
        </w:tc>
        <w:tc>
          <w:tcPr>
            <w:tcW w:w="1332" w:type="dxa"/>
            <w:tcBorders>
              <w:top w:val="nil"/>
              <w:left w:val="nil"/>
              <w:bottom w:val="nil"/>
              <w:right w:val="nil"/>
            </w:tcBorders>
            <w:shd w:val="clear" w:color="auto" w:fill="auto"/>
            <w:vAlign w:val="bottom"/>
          </w:tcPr>
          <w:p w14:paraId="0EAB7101" w14:textId="77777777" w:rsidR="002A7753" w:rsidRPr="002D31C7" w:rsidRDefault="002A7753" w:rsidP="002A7753">
            <w:pPr>
              <w:spacing w:after="0" w:line="220" w:lineRule="exact"/>
              <w:jc w:val="right"/>
              <w:rPr>
                <w:rFonts w:eastAsia="Times New Roman" w:cs="Arial"/>
                <w:sz w:val="18"/>
                <w:szCs w:val="18"/>
              </w:rPr>
            </w:pPr>
            <w:r w:rsidRPr="002A3E38">
              <w:rPr>
                <w:sz w:val="18"/>
                <w:szCs w:val="18"/>
              </w:rPr>
              <w:t>1</w:t>
            </w:r>
            <w:r>
              <w:rPr>
                <w:sz w:val="18"/>
                <w:szCs w:val="18"/>
              </w:rPr>
              <w:t>,</w:t>
            </w:r>
            <w:r w:rsidRPr="002A3E38">
              <w:rPr>
                <w:sz w:val="18"/>
                <w:szCs w:val="18"/>
              </w:rPr>
              <w:t>422</w:t>
            </w:r>
          </w:p>
        </w:tc>
      </w:tr>
      <w:tr w:rsidR="002A7753" w:rsidRPr="001004B1" w14:paraId="6F3B3147" w14:textId="77777777" w:rsidTr="009702B0">
        <w:trPr>
          <w:trHeight w:val="184"/>
        </w:trPr>
        <w:tc>
          <w:tcPr>
            <w:tcW w:w="5812" w:type="dxa"/>
            <w:vAlign w:val="bottom"/>
            <w:hideMark/>
          </w:tcPr>
          <w:p w14:paraId="3E27AB7E" w14:textId="77777777" w:rsidR="002A7753" w:rsidRPr="001004B1" w:rsidRDefault="002A7753" w:rsidP="002A7753">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 xml:space="preserve">Deferred tax </w:t>
            </w:r>
          </w:p>
        </w:tc>
        <w:tc>
          <w:tcPr>
            <w:tcW w:w="1331" w:type="dxa"/>
            <w:tcBorders>
              <w:top w:val="nil"/>
              <w:left w:val="nil"/>
              <w:bottom w:val="single" w:sz="4" w:space="0" w:color="auto"/>
              <w:right w:val="nil"/>
            </w:tcBorders>
            <w:shd w:val="clear" w:color="auto" w:fill="auto"/>
            <w:noWrap/>
            <w:vAlign w:val="bottom"/>
          </w:tcPr>
          <w:p w14:paraId="12EAD24C" w14:textId="3A49E3EA" w:rsidR="002A7753" w:rsidRPr="001004B1" w:rsidRDefault="002A7753" w:rsidP="002A7753">
            <w:pPr>
              <w:spacing w:after="0" w:line="220" w:lineRule="exact"/>
              <w:jc w:val="right"/>
              <w:rPr>
                <w:rFonts w:eastAsia="Times New Roman" w:cs="Arial"/>
                <w:sz w:val="18"/>
                <w:szCs w:val="18"/>
              </w:rPr>
            </w:pPr>
            <w:r>
              <w:rPr>
                <w:rFonts w:eastAsia="Times New Roman" w:cs="Arial"/>
                <w:sz w:val="18"/>
                <w:szCs w:val="18"/>
              </w:rPr>
              <w:t>262</w:t>
            </w:r>
          </w:p>
        </w:tc>
        <w:tc>
          <w:tcPr>
            <w:tcW w:w="1332" w:type="dxa"/>
            <w:tcBorders>
              <w:top w:val="nil"/>
              <w:left w:val="nil"/>
              <w:bottom w:val="single" w:sz="4" w:space="0" w:color="auto"/>
              <w:right w:val="nil"/>
            </w:tcBorders>
            <w:shd w:val="clear" w:color="auto" w:fill="auto"/>
            <w:vAlign w:val="bottom"/>
          </w:tcPr>
          <w:p w14:paraId="55927910" w14:textId="77777777" w:rsidR="002A7753" w:rsidRPr="002D31C7" w:rsidRDefault="002A7753" w:rsidP="002A7753">
            <w:pPr>
              <w:spacing w:after="0" w:line="220" w:lineRule="exact"/>
              <w:jc w:val="right"/>
              <w:rPr>
                <w:rFonts w:eastAsia="Times New Roman" w:cs="Arial"/>
                <w:sz w:val="18"/>
                <w:szCs w:val="18"/>
              </w:rPr>
            </w:pPr>
            <w:r w:rsidRPr="002A3E38">
              <w:rPr>
                <w:sz w:val="18"/>
                <w:szCs w:val="18"/>
              </w:rPr>
              <w:t>54</w:t>
            </w:r>
          </w:p>
        </w:tc>
      </w:tr>
      <w:tr w:rsidR="00031932" w:rsidRPr="001004B1" w14:paraId="163A0A54" w14:textId="77777777" w:rsidTr="009702B0">
        <w:trPr>
          <w:trHeight w:val="164"/>
        </w:trPr>
        <w:tc>
          <w:tcPr>
            <w:tcW w:w="5812" w:type="dxa"/>
            <w:vAlign w:val="bottom"/>
            <w:hideMark/>
          </w:tcPr>
          <w:p w14:paraId="4CDE6229" w14:textId="77777777" w:rsidR="00031932" w:rsidRPr="001004B1" w:rsidRDefault="00031932" w:rsidP="00031932">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Total non-current assets</w:t>
            </w:r>
          </w:p>
        </w:tc>
        <w:tc>
          <w:tcPr>
            <w:tcW w:w="1331" w:type="dxa"/>
            <w:tcBorders>
              <w:top w:val="single" w:sz="4" w:space="0" w:color="auto"/>
              <w:left w:val="nil"/>
              <w:bottom w:val="single" w:sz="12" w:space="0" w:color="auto"/>
              <w:right w:val="nil"/>
            </w:tcBorders>
            <w:shd w:val="clear" w:color="auto" w:fill="auto"/>
            <w:noWrap/>
            <w:vAlign w:val="bottom"/>
          </w:tcPr>
          <w:p w14:paraId="0A6891FE" w14:textId="3FB9642C" w:rsidR="00031932" w:rsidRPr="001004B1" w:rsidRDefault="002A7753" w:rsidP="00031932">
            <w:pPr>
              <w:spacing w:after="0" w:line="220" w:lineRule="exact"/>
              <w:jc w:val="right"/>
              <w:rPr>
                <w:rFonts w:eastAsia="Times New Roman" w:cs="Arial"/>
                <w:b/>
                <w:bCs/>
                <w:sz w:val="18"/>
                <w:szCs w:val="18"/>
              </w:rPr>
            </w:pPr>
            <w:r w:rsidRPr="002A7753">
              <w:rPr>
                <w:rFonts w:eastAsia="Times New Roman" w:cs="Arial"/>
                <w:b/>
                <w:bCs/>
                <w:sz w:val="18"/>
                <w:szCs w:val="18"/>
              </w:rPr>
              <w:t>1,722</w:t>
            </w:r>
          </w:p>
        </w:tc>
        <w:tc>
          <w:tcPr>
            <w:tcW w:w="1332" w:type="dxa"/>
            <w:tcBorders>
              <w:top w:val="single" w:sz="4" w:space="0" w:color="auto"/>
              <w:left w:val="nil"/>
              <w:bottom w:val="single" w:sz="12" w:space="0" w:color="auto"/>
              <w:right w:val="nil"/>
            </w:tcBorders>
            <w:shd w:val="clear" w:color="auto" w:fill="auto"/>
            <w:vAlign w:val="bottom"/>
          </w:tcPr>
          <w:p w14:paraId="68B5819B" w14:textId="77777777" w:rsidR="00031932" w:rsidRPr="002D31C7" w:rsidRDefault="00031932" w:rsidP="00031932">
            <w:pPr>
              <w:spacing w:after="0" w:line="220" w:lineRule="exact"/>
              <w:jc w:val="right"/>
              <w:rPr>
                <w:rFonts w:eastAsia="Times New Roman" w:cs="Arial"/>
                <w:b/>
                <w:bCs/>
                <w:sz w:val="18"/>
                <w:szCs w:val="18"/>
              </w:rPr>
            </w:pPr>
            <w:r w:rsidRPr="00D952AA">
              <w:rPr>
                <w:rFonts w:cs="Arial"/>
                <w:b/>
                <w:bCs/>
                <w:sz w:val="18"/>
                <w:szCs w:val="18"/>
              </w:rPr>
              <w:t>1</w:t>
            </w:r>
            <w:r>
              <w:rPr>
                <w:rFonts w:cs="Arial"/>
                <w:b/>
                <w:bCs/>
                <w:sz w:val="18"/>
                <w:szCs w:val="18"/>
              </w:rPr>
              <w:t>,</w:t>
            </w:r>
            <w:r w:rsidRPr="00D952AA">
              <w:rPr>
                <w:rFonts w:cs="Arial"/>
                <w:b/>
                <w:bCs/>
                <w:sz w:val="18"/>
                <w:szCs w:val="18"/>
              </w:rPr>
              <w:t>567</w:t>
            </w:r>
          </w:p>
        </w:tc>
      </w:tr>
      <w:tr w:rsidR="00031932" w:rsidRPr="001004B1" w14:paraId="108324B5" w14:textId="77777777" w:rsidTr="009702B0">
        <w:trPr>
          <w:trHeight w:val="60"/>
        </w:trPr>
        <w:tc>
          <w:tcPr>
            <w:tcW w:w="5812" w:type="dxa"/>
            <w:vAlign w:val="bottom"/>
          </w:tcPr>
          <w:p w14:paraId="4BAAE506" w14:textId="77777777" w:rsidR="00031932" w:rsidRPr="001004B1" w:rsidRDefault="00031932" w:rsidP="00031932">
            <w:pPr>
              <w:spacing w:after="0" w:line="140" w:lineRule="exact"/>
              <w:rPr>
                <w:rFonts w:asciiTheme="minorHAnsi" w:eastAsia="Times New Roman" w:hAnsiTheme="minorHAnsi" w:cs="Arial"/>
                <w:sz w:val="18"/>
                <w:szCs w:val="18"/>
              </w:rPr>
            </w:pPr>
          </w:p>
        </w:tc>
        <w:tc>
          <w:tcPr>
            <w:tcW w:w="1331" w:type="dxa"/>
            <w:tcBorders>
              <w:top w:val="single" w:sz="12" w:space="0" w:color="auto"/>
              <w:left w:val="nil"/>
              <w:bottom w:val="nil"/>
              <w:right w:val="nil"/>
            </w:tcBorders>
            <w:shd w:val="clear" w:color="auto" w:fill="auto"/>
            <w:noWrap/>
            <w:vAlign w:val="bottom"/>
          </w:tcPr>
          <w:p w14:paraId="7620ECF8" w14:textId="77777777" w:rsidR="00031932" w:rsidRPr="001004B1" w:rsidRDefault="00031932" w:rsidP="00031932">
            <w:pPr>
              <w:spacing w:after="0" w:line="140" w:lineRule="exact"/>
              <w:jc w:val="right"/>
              <w:rPr>
                <w:rFonts w:eastAsia="Times New Roman" w:cs="Arial"/>
                <w:sz w:val="18"/>
                <w:szCs w:val="18"/>
              </w:rPr>
            </w:pPr>
          </w:p>
        </w:tc>
        <w:tc>
          <w:tcPr>
            <w:tcW w:w="1332" w:type="dxa"/>
            <w:tcBorders>
              <w:top w:val="single" w:sz="12" w:space="0" w:color="auto"/>
              <w:left w:val="nil"/>
              <w:bottom w:val="nil"/>
              <w:right w:val="nil"/>
            </w:tcBorders>
            <w:shd w:val="clear" w:color="auto" w:fill="auto"/>
            <w:vAlign w:val="bottom"/>
          </w:tcPr>
          <w:p w14:paraId="682FE578" w14:textId="77777777" w:rsidR="00031932" w:rsidRPr="002D31C7" w:rsidRDefault="00031932" w:rsidP="00031932">
            <w:pPr>
              <w:spacing w:after="0" w:line="140" w:lineRule="exact"/>
              <w:jc w:val="right"/>
              <w:rPr>
                <w:rFonts w:eastAsia="Times New Roman" w:cs="Arial"/>
                <w:sz w:val="18"/>
                <w:szCs w:val="18"/>
              </w:rPr>
            </w:pPr>
          </w:p>
        </w:tc>
      </w:tr>
      <w:tr w:rsidR="00031932" w:rsidRPr="001004B1" w14:paraId="36171965" w14:textId="77777777" w:rsidTr="009702B0">
        <w:trPr>
          <w:trHeight w:val="148"/>
        </w:trPr>
        <w:tc>
          <w:tcPr>
            <w:tcW w:w="5812" w:type="dxa"/>
            <w:vAlign w:val="bottom"/>
            <w:hideMark/>
          </w:tcPr>
          <w:p w14:paraId="1223EDC0" w14:textId="77777777" w:rsidR="00031932" w:rsidRPr="001004B1" w:rsidRDefault="00031932" w:rsidP="00031932">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Current assets</w:t>
            </w:r>
          </w:p>
        </w:tc>
        <w:tc>
          <w:tcPr>
            <w:tcW w:w="1331" w:type="dxa"/>
            <w:tcBorders>
              <w:top w:val="nil"/>
              <w:left w:val="nil"/>
              <w:bottom w:val="nil"/>
              <w:right w:val="nil"/>
            </w:tcBorders>
            <w:shd w:val="clear" w:color="auto" w:fill="auto"/>
            <w:noWrap/>
            <w:vAlign w:val="bottom"/>
          </w:tcPr>
          <w:p w14:paraId="0764A8DC" w14:textId="77777777" w:rsidR="00031932" w:rsidRPr="001004B1" w:rsidRDefault="00031932" w:rsidP="00031932">
            <w:pPr>
              <w:spacing w:after="0" w:line="220" w:lineRule="exact"/>
              <w:jc w:val="right"/>
              <w:rPr>
                <w:rFonts w:eastAsia="Times New Roman" w:cs="Arial"/>
                <w:sz w:val="18"/>
                <w:szCs w:val="18"/>
              </w:rPr>
            </w:pPr>
          </w:p>
        </w:tc>
        <w:tc>
          <w:tcPr>
            <w:tcW w:w="1332" w:type="dxa"/>
            <w:tcBorders>
              <w:top w:val="nil"/>
              <w:left w:val="nil"/>
              <w:bottom w:val="nil"/>
              <w:right w:val="nil"/>
            </w:tcBorders>
            <w:shd w:val="clear" w:color="auto" w:fill="auto"/>
            <w:vAlign w:val="bottom"/>
          </w:tcPr>
          <w:p w14:paraId="3BAEA5B0" w14:textId="77777777" w:rsidR="00031932" w:rsidRPr="002D31C7" w:rsidRDefault="00031932" w:rsidP="00031932">
            <w:pPr>
              <w:spacing w:after="0" w:line="220" w:lineRule="exact"/>
              <w:jc w:val="right"/>
              <w:rPr>
                <w:rFonts w:eastAsia="Times New Roman" w:cs="Arial"/>
                <w:sz w:val="18"/>
                <w:szCs w:val="18"/>
              </w:rPr>
            </w:pPr>
          </w:p>
        </w:tc>
      </w:tr>
      <w:tr w:rsidR="002A7753" w:rsidRPr="001004B1" w14:paraId="7E111E8D" w14:textId="77777777" w:rsidTr="009702B0">
        <w:trPr>
          <w:trHeight w:val="254"/>
        </w:trPr>
        <w:tc>
          <w:tcPr>
            <w:tcW w:w="5812" w:type="dxa"/>
            <w:vAlign w:val="bottom"/>
            <w:hideMark/>
          </w:tcPr>
          <w:p w14:paraId="2F3603F8" w14:textId="77777777" w:rsidR="002A7753" w:rsidRPr="001004B1" w:rsidRDefault="002A7753" w:rsidP="002A7753">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Investments available for sale</w:t>
            </w:r>
          </w:p>
        </w:tc>
        <w:tc>
          <w:tcPr>
            <w:tcW w:w="1331" w:type="dxa"/>
            <w:tcBorders>
              <w:top w:val="nil"/>
              <w:left w:val="nil"/>
              <w:bottom w:val="nil"/>
              <w:right w:val="nil"/>
            </w:tcBorders>
            <w:shd w:val="clear" w:color="auto" w:fill="auto"/>
            <w:noWrap/>
            <w:vAlign w:val="bottom"/>
          </w:tcPr>
          <w:p w14:paraId="4643177C" w14:textId="4644AF7F" w:rsidR="002A7753" w:rsidRPr="001004B1" w:rsidRDefault="002A7753" w:rsidP="002A7753">
            <w:pPr>
              <w:spacing w:after="0" w:line="220" w:lineRule="exact"/>
              <w:jc w:val="right"/>
              <w:rPr>
                <w:rFonts w:eastAsia="Times New Roman" w:cs="Arial"/>
                <w:sz w:val="18"/>
                <w:szCs w:val="18"/>
              </w:rPr>
            </w:pPr>
            <w:r>
              <w:rPr>
                <w:rFonts w:eastAsia="Times New Roman" w:cs="Arial"/>
                <w:sz w:val="18"/>
                <w:szCs w:val="18"/>
              </w:rPr>
              <w:t>49,525</w:t>
            </w:r>
          </w:p>
        </w:tc>
        <w:tc>
          <w:tcPr>
            <w:tcW w:w="1332" w:type="dxa"/>
            <w:tcBorders>
              <w:top w:val="nil"/>
              <w:left w:val="nil"/>
              <w:bottom w:val="nil"/>
              <w:right w:val="nil"/>
            </w:tcBorders>
            <w:shd w:val="clear" w:color="auto" w:fill="auto"/>
            <w:vAlign w:val="bottom"/>
          </w:tcPr>
          <w:p w14:paraId="16E8DA73" w14:textId="77777777" w:rsidR="002A7753" w:rsidRPr="002D31C7" w:rsidRDefault="002A7753" w:rsidP="002A7753">
            <w:pPr>
              <w:spacing w:after="0" w:line="220" w:lineRule="exact"/>
              <w:jc w:val="right"/>
              <w:rPr>
                <w:rFonts w:eastAsia="Times New Roman" w:cs="Arial"/>
                <w:sz w:val="18"/>
                <w:szCs w:val="18"/>
              </w:rPr>
            </w:pPr>
            <w:r w:rsidRPr="002A3E38">
              <w:rPr>
                <w:sz w:val="18"/>
                <w:szCs w:val="18"/>
              </w:rPr>
              <w:t>46</w:t>
            </w:r>
            <w:r>
              <w:rPr>
                <w:sz w:val="18"/>
                <w:szCs w:val="18"/>
              </w:rPr>
              <w:t>,</w:t>
            </w:r>
            <w:r w:rsidRPr="002A3E38">
              <w:rPr>
                <w:sz w:val="18"/>
                <w:szCs w:val="18"/>
              </w:rPr>
              <w:t>459</w:t>
            </w:r>
          </w:p>
        </w:tc>
      </w:tr>
      <w:tr w:rsidR="002A7753" w:rsidRPr="001004B1" w14:paraId="3F430622" w14:textId="77777777" w:rsidTr="009702B0">
        <w:trPr>
          <w:trHeight w:val="254"/>
        </w:trPr>
        <w:tc>
          <w:tcPr>
            <w:tcW w:w="5812" w:type="dxa"/>
            <w:vAlign w:val="bottom"/>
            <w:hideMark/>
          </w:tcPr>
          <w:p w14:paraId="71CE10F0" w14:textId="77777777" w:rsidR="002A7753" w:rsidRPr="001004B1" w:rsidRDefault="002A7753" w:rsidP="002A7753">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Investments at fair value through profit or loss</w:t>
            </w:r>
          </w:p>
        </w:tc>
        <w:tc>
          <w:tcPr>
            <w:tcW w:w="1331" w:type="dxa"/>
            <w:tcBorders>
              <w:top w:val="nil"/>
              <w:left w:val="nil"/>
              <w:bottom w:val="nil"/>
              <w:right w:val="nil"/>
            </w:tcBorders>
            <w:shd w:val="clear" w:color="auto" w:fill="auto"/>
            <w:noWrap/>
            <w:vAlign w:val="bottom"/>
          </w:tcPr>
          <w:p w14:paraId="096CC200" w14:textId="540D67DD" w:rsidR="002A7753" w:rsidRPr="001004B1" w:rsidRDefault="002A7753" w:rsidP="002A7753">
            <w:pPr>
              <w:spacing w:after="0" w:line="220" w:lineRule="exact"/>
              <w:jc w:val="right"/>
              <w:rPr>
                <w:rFonts w:eastAsia="Times New Roman" w:cs="Arial"/>
                <w:sz w:val="18"/>
                <w:szCs w:val="18"/>
              </w:rPr>
            </w:pPr>
            <w:r>
              <w:rPr>
                <w:rFonts w:eastAsia="Times New Roman" w:cs="Arial"/>
                <w:sz w:val="18"/>
                <w:szCs w:val="18"/>
              </w:rPr>
              <w:t>288</w:t>
            </w:r>
          </w:p>
        </w:tc>
        <w:tc>
          <w:tcPr>
            <w:tcW w:w="1332" w:type="dxa"/>
            <w:tcBorders>
              <w:top w:val="nil"/>
              <w:left w:val="nil"/>
              <w:bottom w:val="nil"/>
              <w:right w:val="nil"/>
            </w:tcBorders>
            <w:shd w:val="clear" w:color="auto" w:fill="auto"/>
            <w:vAlign w:val="bottom"/>
          </w:tcPr>
          <w:p w14:paraId="2C5B2263" w14:textId="77777777" w:rsidR="002A7753" w:rsidRPr="002D31C7" w:rsidRDefault="002A7753" w:rsidP="002A7753">
            <w:pPr>
              <w:spacing w:after="0" w:line="220" w:lineRule="exact"/>
              <w:jc w:val="right"/>
              <w:rPr>
                <w:rFonts w:eastAsia="Times New Roman" w:cs="Arial"/>
                <w:sz w:val="18"/>
                <w:szCs w:val="18"/>
              </w:rPr>
            </w:pPr>
            <w:r w:rsidRPr="002A3E38">
              <w:rPr>
                <w:sz w:val="18"/>
                <w:szCs w:val="18"/>
              </w:rPr>
              <w:t>286</w:t>
            </w:r>
          </w:p>
        </w:tc>
      </w:tr>
      <w:tr w:rsidR="002A7753" w:rsidRPr="001004B1" w14:paraId="6AF7F8CB" w14:textId="77777777" w:rsidTr="009702B0">
        <w:trPr>
          <w:trHeight w:val="254"/>
        </w:trPr>
        <w:tc>
          <w:tcPr>
            <w:tcW w:w="5812" w:type="dxa"/>
            <w:vAlign w:val="bottom"/>
            <w:hideMark/>
          </w:tcPr>
          <w:p w14:paraId="094F1BD9" w14:textId="77777777" w:rsidR="002A7753" w:rsidRPr="001004B1" w:rsidRDefault="002A7753" w:rsidP="002A7753">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Receivables from insurance operations</w:t>
            </w:r>
          </w:p>
        </w:tc>
        <w:tc>
          <w:tcPr>
            <w:tcW w:w="1331" w:type="dxa"/>
            <w:tcBorders>
              <w:top w:val="nil"/>
              <w:left w:val="nil"/>
              <w:bottom w:val="nil"/>
              <w:right w:val="nil"/>
            </w:tcBorders>
            <w:shd w:val="clear" w:color="auto" w:fill="auto"/>
            <w:noWrap/>
            <w:vAlign w:val="bottom"/>
          </w:tcPr>
          <w:p w14:paraId="3AEC10F9" w14:textId="21566320" w:rsidR="002A7753" w:rsidRPr="001004B1" w:rsidRDefault="002A7753" w:rsidP="002A7753">
            <w:pPr>
              <w:spacing w:after="0" w:line="220" w:lineRule="exact"/>
              <w:jc w:val="right"/>
              <w:rPr>
                <w:rFonts w:eastAsia="Times New Roman" w:cs="Arial"/>
                <w:sz w:val="18"/>
                <w:szCs w:val="18"/>
              </w:rPr>
            </w:pPr>
            <w:r>
              <w:rPr>
                <w:rFonts w:eastAsia="Times New Roman" w:cs="Arial"/>
                <w:sz w:val="18"/>
                <w:szCs w:val="18"/>
              </w:rPr>
              <w:t>1,253</w:t>
            </w:r>
          </w:p>
        </w:tc>
        <w:tc>
          <w:tcPr>
            <w:tcW w:w="1332" w:type="dxa"/>
            <w:tcBorders>
              <w:top w:val="nil"/>
              <w:left w:val="nil"/>
              <w:bottom w:val="nil"/>
              <w:right w:val="nil"/>
            </w:tcBorders>
            <w:shd w:val="clear" w:color="auto" w:fill="auto"/>
            <w:vAlign w:val="bottom"/>
          </w:tcPr>
          <w:p w14:paraId="0D5402B1" w14:textId="77777777" w:rsidR="002A7753" w:rsidRPr="002D31C7" w:rsidRDefault="002A7753" w:rsidP="002A7753">
            <w:pPr>
              <w:spacing w:after="0" w:line="220" w:lineRule="exact"/>
              <w:jc w:val="right"/>
              <w:rPr>
                <w:rFonts w:eastAsia="Times New Roman" w:cs="Arial"/>
                <w:sz w:val="18"/>
                <w:szCs w:val="18"/>
              </w:rPr>
            </w:pPr>
            <w:r w:rsidRPr="002A3E38">
              <w:rPr>
                <w:sz w:val="18"/>
                <w:szCs w:val="18"/>
              </w:rPr>
              <w:t>985</w:t>
            </w:r>
          </w:p>
        </w:tc>
      </w:tr>
      <w:tr w:rsidR="002A7753" w:rsidRPr="001004B1" w14:paraId="66962CC7" w14:textId="77777777" w:rsidTr="009702B0">
        <w:trPr>
          <w:trHeight w:val="254"/>
        </w:trPr>
        <w:tc>
          <w:tcPr>
            <w:tcW w:w="5812" w:type="dxa"/>
            <w:vAlign w:val="bottom"/>
            <w:hideMark/>
          </w:tcPr>
          <w:p w14:paraId="4610824D" w14:textId="77777777" w:rsidR="002A7753" w:rsidRPr="001004B1" w:rsidRDefault="002A7753" w:rsidP="002A7753">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 xml:space="preserve">Other receivables </w:t>
            </w:r>
          </w:p>
        </w:tc>
        <w:tc>
          <w:tcPr>
            <w:tcW w:w="1331" w:type="dxa"/>
            <w:tcBorders>
              <w:top w:val="nil"/>
              <w:left w:val="nil"/>
              <w:bottom w:val="nil"/>
              <w:right w:val="nil"/>
            </w:tcBorders>
            <w:shd w:val="clear" w:color="auto" w:fill="auto"/>
            <w:noWrap/>
            <w:vAlign w:val="bottom"/>
          </w:tcPr>
          <w:p w14:paraId="026395E0" w14:textId="0A25944D" w:rsidR="002A7753" w:rsidRPr="001004B1" w:rsidRDefault="002A7753" w:rsidP="002A7753">
            <w:pPr>
              <w:spacing w:after="0" w:line="220" w:lineRule="exact"/>
              <w:jc w:val="right"/>
              <w:rPr>
                <w:rFonts w:eastAsia="Times New Roman" w:cs="Arial"/>
                <w:sz w:val="18"/>
                <w:szCs w:val="18"/>
              </w:rPr>
            </w:pPr>
            <w:r>
              <w:rPr>
                <w:rFonts w:eastAsia="Times New Roman" w:cs="Arial"/>
                <w:sz w:val="18"/>
                <w:szCs w:val="18"/>
              </w:rPr>
              <w:t>183</w:t>
            </w:r>
          </w:p>
        </w:tc>
        <w:tc>
          <w:tcPr>
            <w:tcW w:w="1332" w:type="dxa"/>
            <w:tcBorders>
              <w:top w:val="nil"/>
              <w:left w:val="nil"/>
              <w:bottom w:val="nil"/>
              <w:right w:val="nil"/>
            </w:tcBorders>
            <w:shd w:val="clear" w:color="auto" w:fill="auto"/>
            <w:vAlign w:val="bottom"/>
          </w:tcPr>
          <w:p w14:paraId="417953F1" w14:textId="77777777" w:rsidR="002A7753" w:rsidRPr="002D31C7" w:rsidRDefault="002A7753" w:rsidP="002A7753">
            <w:pPr>
              <w:spacing w:after="0" w:line="220" w:lineRule="exact"/>
              <w:jc w:val="right"/>
              <w:rPr>
                <w:rFonts w:eastAsia="Times New Roman" w:cs="Arial"/>
                <w:sz w:val="18"/>
                <w:szCs w:val="18"/>
              </w:rPr>
            </w:pPr>
            <w:r w:rsidRPr="002A3E38">
              <w:rPr>
                <w:sz w:val="18"/>
                <w:szCs w:val="18"/>
              </w:rPr>
              <w:t>2</w:t>
            </w:r>
            <w:r>
              <w:rPr>
                <w:sz w:val="18"/>
                <w:szCs w:val="18"/>
              </w:rPr>
              <w:t>,</w:t>
            </w:r>
            <w:r w:rsidRPr="002A3E38">
              <w:rPr>
                <w:sz w:val="18"/>
                <w:szCs w:val="18"/>
              </w:rPr>
              <w:t>185</w:t>
            </w:r>
          </w:p>
        </w:tc>
      </w:tr>
      <w:tr w:rsidR="002A7753" w:rsidRPr="001004B1" w14:paraId="12C30F70" w14:textId="77777777" w:rsidTr="009702B0">
        <w:trPr>
          <w:trHeight w:val="254"/>
        </w:trPr>
        <w:tc>
          <w:tcPr>
            <w:tcW w:w="5812" w:type="dxa"/>
            <w:vAlign w:val="bottom"/>
            <w:hideMark/>
          </w:tcPr>
          <w:p w14:paraId="2A40B22D" w14:textId="77777777" w:rsidR="002A7753" w:rsidRPr="001004B1" w:rsidRDefault="002A7753" w:rsidP="002A7753">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Cash and cash equivalents</w:t>
            </w:r>
          </w:p>
        </w:tc>
        <w:tc>
          <w:tcPr>
            <w:tcW w:w="1331" w:type="dxa"/>
            <w:tcBorders>
              <w:top w:val="nil"/>
              <w:left w:val="nil"/>
              <w:bottom w:val="single" w:sz="4" w:space="0" w:color="auto"/>
              <w:right w:val="nil"/>
            </w:tcBorders>
            <w:shd w:val="clear" w:color="auto" w:fill="auto"/>
            <w:noWrap/>
            <w:vAlign w:val="bottom"/>
          </w:tcPr>
          <w:p w14:paraId="0F0020B2" w14:textId="5EB700FF" w:rsidR="002A7753" w:rsidRPr="001004B1" w:rsidRDefault="002A7753" w:rsidP="002A7753">
            <w:pPr>
              <w:spacing w:after="0" w:line="220" w:lineRule="exact"/>
              <w:jc w:val="right"/>
              <w:rPr>
                <w:rFonts w:eastAsia="Times New Roman" w:cs="Arial"/>
                <w:sz w:val="18"/>
                <w:szCs w:val="18"/>
              </w:rPr>
            </w:pPr>
            <w:r>
              <w:rPr>
                <w:rFonts w:eastAsia="Times New Roman" w:cs="Arial"/>
                <w:sz w:val="18"/>
                <w:szCs w:val="18"/>
              </w:rPr>
              <w:t>2,286</w:t>
            </w:r>
          </w:p>
        </w:tc>
        <w:tc>
          <w:tcPr>
            <w:tcW w:w="1332" w:type="dxa"/>
            <w:tcBorders>
              <w:top w:val="nil"/>
              <w:left w:val="nil"/>
              <w:bottom w:val="single" w:sz="4" w:space="0" w:color="auto"/>
              <w:right w:val="nil"/>
            </w:tcBorders>
            <w:shd w:val="clear" w:color="auto" w:fill="auto"/>
            <w:vAlign w:val="bottom"/>
          </w:tcPr>
          <w:p w14:paraId="12F316EC" w14:textId="77777777" w:rsidR="002A7753" w:rsidRPr="002D31C7" w:rsidRDefault="002A7753" w:rsidP="002A7753">
            <w:pPr>
              <w:spacing w:after="0" w:line="220" w:lineRule="exact"/>
              <w:jc w:val="right"/>
              <w:rPr>
                <w:rFonts w:eastAsia="Times New Roman" w:cs="Arial"/>
                <w:sz w:val="18"/>
                <w:szCs w:val="18"/>
              </w:rPr>
            </w:pPr>
            <w:r w:rsidRPr="002A3E38">
              <w:rPr>
                <w:sz w:val="18"/>
                <w:szCs w:val="18"/>
              </w:rPr>
              <w:t>551</w:t>
            </w:r>
          </w:p>
        </w:tc>
      </w:tr>
      <w:tr w:rsidR="00031932" w:rsidRPr="001004B1" w14:paraId="1254F9E5" w14:textId="77777777" w:rsidTr="009702B0">
        <w:trPr>
          <w:trHeight w:val="190"/>
        </w:trPr>
        <w:tc>
          <w:tcPr>
            <w:tcW w:w="5812" w:type="dxa"/>
            <w:vAlign w:val="bottom"/>
            <w:hideMark/>
          </w:tcPr>
          <w:p w14:paraId="6033FBE6" w14:textId="77777777" w:rsidR="00031932" w:rsidRPr="001004B1" w:rsidRDefault="00031932" w:rsidP="00031932">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Total current assets</w:t>
            </w:r>
          </w:p>
        </w:tc>
        <w:tc>
          <w:tcPr>
            <w:tcW w:w="1331" w:type="dxa"/>
            <w:tcBorders>
              <w:top w:val="single" w:sz="4" w:space="0" w:color="auto"/>
              <w:left w:val="nil"/>
              <w:bottom w:val="single" w:sz="12" w:space="0" w:color="auto"/>
              <w:right w:val="nil"/>
            </w:tcBorders>
            <w:shd w:val="clear" w:color="auto" w:fill="auto"/>
            <w:noWrap/>
            <w:vAlign w:val="bottom"/>
          </w:tcPr>
          <w:p w14:paraId="455399F2" w14:textId="2DAE2B3A" w:rsidR="00031932" w:rsidRPr="006B318F" w:rsidRDefault="002A7753" w:rsidP="00031932">
            <w:pPr>
              <w:spacing w:after="0" w:line="220" w:lineRule="exact"/>
              <w:jc w:val="right"/>
              <w:rPr>
                <w:rFonts w:cs="Arial"/>
                <w:b/>
                <w:bCs/>
                <w:sz w:val="18"/>
                <w:szCs w:val="18"/>
              </w:rPr>
            </w:pPr>
            <w:r w:rsidRPr="006B318F">
              <w:rPr>
                <w:rFonts w:cs="Arial"/>
                <w:b/>
                <w:bCs/>
                <w:sz w:val="18"/>
                <w:szCs w:val="18"/>
              </w:rPr>
              <w:t>53,535</w:t>
            </w:r>
          </w:p>
        </w:tc>
        <w:tc>
          <w:tcPr>
            <w:tcW w:w="1332" w:type="dxa"/>
            <w:tcBorders>
              <w:top w:val="single" w:sz="4" w:space="0" w:color="auto"/>
              <w:left w:val="nil"/>
              <w:bottom w:val="single" w:sz="12" w:space="0" w:color="auto"/>
              <w:right w:val="nil"/>
            </w:tcBorders>
            <w:shd w:val="clear" w:color="auto" w:fill="auto"/>
            <w:vAlign w:val="bottom"/>
          </w:tcPr>
          <w:p w14:paraId="3345A844" w14:textId="77777777" w:rsidR="00031932" w:rsidRPr="002D31C7" w:rsidRDefault="00031932" w:rsidP="00031932">
            <w:pPr>
              <w:spacing w:after="0" w:line="220" w:lineRule="exact"/>
              <w:jc w:val="right"/>
              <w:rPr>
                <w:rFonts w:eastAsia="Times New Roman" w:cs="Arial"/>
                <w:b/>
                <w:bCs/>
                <w:sz w:val="18"/>
                <w:szCs w:val="18"/>
              </w:rPr>
            </w:pPr>
            <w:r w:rsidRPr="00D952AA">
              <w:rPr>
                <w:rFonts w:cs="Arial"/>
                <w:b/>
                <w:bCs/>
                <w:sz w:val="18"/>
                <w:szCs w:val="18"/>
              </w:rPr>
              <w:t>50</w:t>
            </w:r>
            <w:r>
              <w:rPr>
                <w:rFonts w:cs="Arial"/>
                <w:b/>
                <w:bCs/>
                <w:sz w:val="18"/>
                <w:szCs w:val="18"/>
              </w:rPr>
              <w:t>,</w:t>
            </w:r>
            <w:r w:rsidRPr="00D952AA">
              <w:rPr>
                <w:rFonts w:cs="Arial"/>
                <w:b/>
                <w:bCs/>
                <w:sz w:val="18"/>
                <w:szCs w:val="18"/>
              </w:rPr>
              <w:t>466</w:t>
            </w:r>
          </w:p>
        </w:tc>
      </w:tr>
      <w:tr w:rsidR="00031932" w:rsidRPr="001004B1" w14:paraId="6C6996C7" w14:textId="77777777" w:rsidTr="009702B0">
        <w:trPr>
          <w:trHeight w:val="56"/>
        </w:trPr>
        <w:tc>
          <w:tcPr>
            <w:tcW w:w="5812" w:type="dxa"/>
            <w:vAlign w:val="bottom"/>
          </w:tcPr>
          <w:p w14:paraId="61037AB7" w14:textId="77777777" w:rsidR="00031932" w:rsidRPr="001004B1" w:rsidRDefault="00031932" w:rsidP="00031932">
            <w:pPr>
              <w:spacing w:after="0" w:line="140" w:lineRule="exact"/>
              <w:rPr>
                <w:rFonts w:asciiTheme="minorHAnsi" w:eastAsia="Times New Roman" w:hAnsiTheme="minorHAnsi" w:cs="Arial"/>
                <w:sz w:val="18"/>
                <w:szCs w:val="18"/>
              </w:rPr>
            </w:pPr>
          </w:p>
        </w:tc>
        <w:tc>
          <w:tcPr>
            <w:tcW w:w="1331" w:type="dxa"/>
            <w:tcBorders>
              <w:top w:val="single" w:sz="12" w:space="0" w:color="auto"/>
              <w:left w:val="nil"/>
              <w:bottom w:val="single" w:sz="4" w:space="0" w:color="auto"/>
              <w:right w:val="nil"/>
            </w:tcBorders>
            <w:shd w:val="clear" w:color="auto" w:fill="auto"/>
            <w:noWrap/>
            <w:vAlign w:val="bottom"/>
          </w:tcPr>
          <w:p w14:paraId="5D87A4FB" w14:textId="77777777" w:rsidR="00031932" w:rsidRPr="001004B1" w:rsidRDefault="00031932" w:rsidP="00031932">
            <w:pPr>
              <w:spacing w:after="0" w:line="140" w:lineRule="exact"/>
              <w:jc w:val="right"/>
              <w:rPr>
                <w:rFonts w:eastAsia="Times New Roman" w:cs="Arial"/>
                <w:sz w:val="18"/>
                <w:szCs w:val="18"/>
              </w:rPr>
            </w:pPr>
          </w:p>
        </w:tc>
        <w:tc>
          <w:tcPr>
            <w:tcW w:w="1332" w:type="dxa"/>
            <w:tcBorders>
              <w:top w:val="single" w:sz="12" w:space="0" w:color="auto"/>
              <w:left w:val="nil"/>
              <w:bottom w:val="single" w:sz="4" w:space="0" w:color="auto"/>
              <w:right w:val="nil"/>
            </w:tcBorders>
            <w:shd w:val="clear" w:color="auto" w:fill="auto"/>
            <w:vAlign w:val="bottom"/>
          </w:tcPr>
          <w:p w14:paraId="37D11D9B" w14:textId="77777777" w:rsidR="00031932" w:rsidRPr="002D31C7" w:rsidRDefault="00031932" w:rsidP="00031932">
            <w:pPr>
              <w:spacing w:after="0" w:line="140" w:lineRule="exact"/>
              <w:jc w:val="right"/>
              <w:rPr>
                <w:rFonts w:eastAsia="Times New Roman" w:cs="Arial"/>
                <w:sz w:val="18"/>
                <w:szCs w:val="18"/>
              </w:rPr>
            </w:pPr>
          </w:p>
        </w:tc>
      </w:tr>
      <w:tr w:rsidR="00031932" w:rsidRPr="001004B1" w14:paraId="2366CC40" w14:textId="77777777" w:rsidTr="009702B0">
        <w:trPr>
          <w:trHeight w:val="220"/>
        </w:trPr>
        <w:tc>
          <w:tcPr>
            <w:tcW w:w="5812" w:type="dxa"/>
            <w:vAlign w:val="bottom"/>
            <w:hideMark/>
          </w:tcPr>
          <w:p w14:paraId="29CA3779" w14:textId="77777777" w:rsidR="00031932" w:rsidRPr="001004B1" w:rsidRDefault="00031932" w:rsidP="00031932">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Total assets</w:t>
            </w:r>
          </w:p>
        </w:tc>
        <w:tc>
          <w:tcPr>
            <w:tcW w:w="1331" w:type="dxa"/>
            <w:tcBorders>
              <w:top w:val="single" w:sz="4" w:space="0" w:color="auto"/>
              <w:left w:val="nil"/>
              <w:bottom w:val="single" w:sz="12" w:space="0" w:color="auto"/>
              <w:right w:val="nil"/>
            </w:tcBorders>
            <w:shd w:val="clear" w:color="auto" w:fill="auto"/>
            <w:noWrap/>
            <w:vAlign w:val="bottom"/>
          </w:tcPr>
          <w:p w14:paraId="4DBED514" w14:textId="0DBD1BD4" w:rsidR="00031932" w:rsidRPr="001004B1" w:rsidRDefault="002A7753" w:rsidP="00031932">
            <w:pPr>
              <w:spacing w:after="0" w:line="220" w:lineRule="exact"/>
              <w:jc w:val="right"/>
              <w:rPr>
                <w:rFonts w:eastAsia="Times New Roman" w:cs="Arial"/>
                <w:b/>
                <w:bCs/>
                <w:sz w:val="18"/>
                <w:szCs w:val="18"/>
              </w:rPr>
            </w:pPr>
            <w:r w:rsidRPr="002A7753">
              <w:rPr>
                <w:rFonts w:cs="Arial"/>
                <w:b/>
                <w:sz w:val="18"/>
                <w:szCs w:val="18"/>
              </w:rPr>
              <w:t>55,257</w:t>
            </w:r>
          </w:p>
        </w:tc>
        <w:tc>
          <w:tcPr>
            <w:tcW w:w="1332" w:type="dxa"/>
            <w:tcBorders>
              <w:top w:val="single" w:sz="4" w:space="0" w:color="auto"/>
              <w:left w:val="nil"/>
              <w:bottom w:val="single" w:sz="12" w:space="0" w:color="auto"/>
              <w:right w:val="nil"/>
            </w:tcBorders>
            <w:shd w:val="clear" w:color="auto" w:fill="auto"/>
            <w:vAlign w:val="bottom"/>
          </w:tcPr>
          <w:p w14:paraId="2D013BFB" w14:textId="77777777" w:rsidR="00031932" w:rsidRPr="002D31C7" w:rsidRDefault="00031932" w:rsidP="00031932">
            <w:pPr>
              <w:spacing w:after="0" w:line="220" w:lineRule="exact"/>
              <w:jc w:val="right"/>
              <w:rPr>
                <w:rFonts w:eastAsia="Times New Roman" w:cs="Arial"/>
                <w:b/>
                <w:bCs/>
                <w:sz w:val="18"/>
                <w:szCs w:val="18"/>
              </w:rPr>
            </w:pPr>
            <w:r w:rsidRPr="00D952AA">
              <w:rPr>
                <w:rFonts w:cs="Arial"/>
                <w:b/>
                <w:bCs/>
                <w:sz w:val="18"/>
                <w:szCs w:val="18"/>
              </w:rPr>
              <w:t>52</w:t>
            </w:r>
            <w:r>
              <w:rPr>
                <w:rFonts w:cs="Arial"/>
                <w:b/>
                <w:bCs/>
                <w:sz w:val="18"/>
                <w:szCs w:val="18"/>
              </w:rPr>
              <w:t>,</w:t>
            </w:r>
            <w:r w:rsidRPr="00D952AA">
              <w:rPr>
                <w:rFonts w:cs="Arial"/>
                <w:b/>
                <w:bCs/>
                <w:sz w:val="18"/>
                <w:szCs w:val="18"/>
              </w:rPr>
              <w:t>033</w:t>
            </w:r>
          </w:p>
        </w:tc>
      </w:tr>
      <w:tr w:rsidR="00031932" w:rsidRPr="001004B1" w14:paraId="59811CA9" w14:textId="77777777" w:rsidTr="009702B0">
        <w:trPr>
          <w:trHeight w:val="74"/>
        </w:trPr>
        <w:tc>
          <w:tcPr>
            <w:tcW w:w="5812" w:type="dxa"/>
            <w:vAlign w:val="bottom"/>
          </w:tcPr>
          <w:p w14:paraId="39B67257" w14:textId="77777777" w:rsidR="00031932" w:rsidRPr="001004B1" w:rsidRDefault="00031932" w:rsidP="00031932">
            <w:pPr>
              <w:spacing w:after="0" w:line="140" w:lineRule="exact"/>
              <w:rPr>
                <w:rFonts w:asciiTheme="minorHAnsi" w:eastAsia="Times New Roman" w:hAnsiTheme="minorHAnsi" w:cs="Arial"/>
                <w:sz w:val="18"/>
                <w:szCs w:val="18"/>
              </w:rPr>
            </w:pPr>
          </w:p>
        </w:tc>
        <w:tc>
          <w:tcPr>
            <w:tcW w:w="1331" w:type="dxa"/>
            <w:tcBorders>
              <w:top w:val="single" w:sz="12" w:space="0" w:color="auto"/>
              <w:left w:val="nil"/>
              <w:right w:val="nil"/>
            </w:tcBorders>
            <w:shd w:val="clear" w:color="auto" w:fill="auto"/>
            <w:noWrap/>
            <w:vAlign w:val="bottom"/>
          </w:tcPr>
          <w:p w14:paraId="274D4B33" w14:textId="77777777" w:rsidR="00031932" w:rsidRPr="001004B1" w:rsidRDefault="00031932" w:rsidP="00031932">
            <w:pPr>
              <w:spacing w:after="0" w:line="140" w:lineRule="exact"/>
              <w:jc w:val="right"/>
              <w:rPr>
                <w:rFonts w:eastAsia="Times New Roman" w:cs="Arial"/>
                <w:bCs/>
                <w:sz w:val="18"/>
                <w:szCs w:val="18"/>
              </w:rPr>
            </w:pPr>
          </w:p>
        </w:tc>
        <w:tc>
          <w:tcPr>
            <w:tcW w:w="1332" w:type="dxa"/>
            <w:tcBorders>
              <w:top w:val="single" w:sz="12" w:space="0" w:color="auto"/>
              <w:left w:val="nil"/>
              <w:right w:val="nil"/>
            </w:tcBorders>
            <w:shd w:val="clear" w:color="auto" w:fill="auto"/>
            <w:vAlign w:val="bottom"/>
          </w:tcPr>
          <w:p w14:paraId="5B4AA3F7" w14:textId="77777777" w:rsidR="00031932" w:rsidRPr="002D31C7" w:rsidRDefault="00031932" w:rsidP="00031932">
            <w:pPr>
              <w:spacing w:after="0" w:line="140" w:lineRule="exact"/>
              <w:jc w:val="right"/>
              <w:rPr>
                <w:rFonts w:eastAsia="Times New Roman" w:cs="Arial"/>
                <w:bCs/>
                <w:sz w:val="18"/>
                <w:szCs w:val="18"/>
              </w:rPr>
            </w:pPr>
          </w:p>
        </w:tc>
      </w:tr>
      <w:tr w:rsidR="00031932" w:rsidRPr="001004B1" w14:paraId="7917B3BE" w14:textId="77777777" w:rsidTr="009702B0">
        <w:trPr>
          <w:trHeight w:val="196"/>
        </w:trPr>
        <w:tc>
          <w:tcPr>
            <w:tcW w:w="5812" w:type="dxa"/>
            <w:vAlign w:val="bottom"/>
            <w:hideMark/>
          </w:tcPr>
          <w:p w14:paraId="493568BE" w14:textId="77777777" w:rsidR="00031932" w:rsidRPr="001004B1" w:rsidRDefault="00031932" w:rsidP="00031932">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Equity and liabilities</w:t>
            </w:r>
          </w:p>
        </w:tc>
        <w:tc>
          <w:tcPr>
            <w:tcW w:w="1331" w:type="dxa"/>
            <w:tcBorders>
              <w:left w:val="nil"/>
              <w:bottom w:val="nil"/>
              <w:right w:val="nil"/>
            </w:tcBorders>
            <w:shd w:val="clear" w:color="auto" w:fill="auto"/>
            <w:noWrap/>
            <w:vAlign w:val="bottom"/>
          </w:tcPr>
          <w:p w14:paraId="210029B3" w14:textId="77777777" w:rsidR="00031932" w:rsidRPr="001004B1" w:rsidRDefault="00031932" w:rsidP="00031932">
            <w:pPr>
              <w:spacing w:after="0" w:line="220" w:lineRule="exact"/>
              <w:jc w:val="right"/>
              <w:rPr>
                <w:rFonts w:eastAsia="Times New Roman" w:cs="Arial"/>
                <w:bCs/>
                <w:sz w:val="18"/>
                <w:szCs w:val="18"/>
              </w:rPr>
            </w:pPr>
          </w:p>
        </w:tc>
        <w:tc>
          <w:tcPr>
            <w:tcW w:w="1332" w:type="dxa"/>
            <w:tcBorders>
              <w:left w:val="nil"/>
              <w:bottom w:val="nil"/>
              <w:right w:val="nil"/>
            </w:tcBorders>
            <w:shd w:val="clear" w:color="auto" w:fill="auto"/>
            <w:vAlign w:val="bottom"/>
          </w:tcPr>
          <w:p w14:paraId="1E4C885A" w14:textId="77777777" w:rsidR="00031932" w:rsidRPr="002D31C7" w:rsidRDefault="00031932" w:rsidP="00031932">
            <w:pPr>
              <w:spacing w:after="0" w:line="220" w:lineRule="exact"/>
              <w:jc w:val="right"/>
              <w:rPr>
                <w:rFonts w:eastAsia="Times New Roman" w:cs="Arial"/>
                <w:bCs/>
                <w:sz w:val="18"/>
                <w:szCs w:val="18"/>
              </w:rPr>
            </w:pPr>
          </w:p>
        </w:tc>
      </w:tr>
      <w:tr w:rsidR="00031932" w:rsidRPr="001004B1" w14:paraId="1A13AA32" w14:textId="77777777" w:rsidTr="009702B0">
        <w:trPr>
          <w:trHeight w:val="186"/>
        </w:trPr>
        <w:tc>
          <w:tcPr>
            <w:tcW w:w="5812" w:type="dxa"/>
            <w:vAlign w:val="bottom"/>
            <w:hideMark/>
          </w:tcPr>
          <w:p w14:paraId="1D577211" w14:textId="77777777" w:rsidR="00031932" w:rsidRPr="001004B1" w:rsidRDefault="00031932" w:rsidP="00031932">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Equity</w:t>
            </w:r>
          </w:p>
        </w:tc>
        <w:tc>
          <w:tcPr>
            <w:tcW w:w="1331" w:type="dxa"/>
            <w:tcBorders>
              <w:top w:val="nil"/>
              <w:left w:val="nil"/>
              <w:bottom w:val="nil"/>
              <w:right w:val="nil"/>
            </w:tcBorders>
            <w:shd w:val="clear" w:color="auto" w:fill="auto"/>
            <w:noWrap/>
            <w:vAlign w:val="bottom"/>
          </w:tcPr>
          <w:p w14:paraId="3EBFBB56" w14:textId="77777777" w:rsidR="00031932" w:rsidRPr="001004B1" w:rsidRDefault="00031932" w:rsidP="00031932">
            <w:pPr>
              <w:spacing w:after="0" w:line="220" w:lineRule="exact"/>
              <w:jc w:val="right"/>
              <w:rPr>
                <w:rFonts w:eastAsia="Times New Roman" w:cs="Arial"/>
                <w:sz w:val="18"/>
                <w:szCs w:val="18"/>
              </w:rPr>
            </w:pPr>
          </w:p>
        </w:tc>
        <w:tc>
          <w:tcPr>
            <w:tcW w:w="1332" w:type="dxa"/>
            <w:tcBorders>
              <w:top w:val="nil"/>
              <w:left w:val="nil"/>
              <w:bottom w:val="nil"/>
              <w:right w:val="nil"/>
            </w:tcBorders>
            <w:shd w:val="clear" w:color="auto" w:fill="auto"/>
            <w:vAlign w:val="bottom"/>
          </w:tcPr>
          <w:p w14:paraId="5C829ED1" w14:textId="77777777" w:rsidR="00031932" w:rsidRPr="002D31C7" w:rsidRDefault="00031932" w:rsidP="00031932">
            <w:pPr>
              <w:spacing w:after="0" w:line="220" w:lineRule="exact"/>
              <w:jc w:val="right"/>
              <w:rPr>
                <w:rFonts w:eastAsia="Times New Roman" w:cs="Arial"/>
                <w:sz w:val="18"/>
                <w:szCs w:val="18"/>
              </w:rPr>
            </w:pPr>
          </w:p>
        </w:tc>
      </w:tr>
      <w:tr w:rsidR="002A7753" w:rsidRPr="001004B1" w14:paraId="35494DE1" w14:textId="77777777" w:rsidTr="009702B0">
        <w:trPr>
          <w:trHeight w:val="186"/>
        </w:trPr>
        <w:tc>
          <w:tcPr>
            <w:tcW w:w="5812" w:type="dxa"/>
            <w:vAlign w:val="bottom"/>
            <w:hideMark/>
          </w:tcPr>
          <w:p w14:paraId="7F74F3B6" w14:textId="77777777" w:rsidR="002A7753" w:rsidRPr="001004B1" w:rsidRDefault="002A7753" w:rsidP="002A7753">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Share capital</w:t>
            </w:r>
          </w:p>
        </w:tc>
        <w:tc>
          <w:tcPr>
            <w:tcW w:w="1331" w:type="dxa"/>
            <w:tcBorders>
              <w:top w:val="nil"/>
              <w:left w:val="nil"/>
              <w:bottom w:val="nil"/>
              <w:right w:val="nil"/>
            </w:tcBorders>
            <w:shd w:val="clear" w:color="auto" w:fill="auto"/>
            <w:noWrap/>
            <w:vAlign w:val="bottom"/>
          </w:tcPr>
          <w:p w14:paraId="44B68C1F" w14:textId="2AE139A2" w:rsidR="002A7753" w:rsidRPr="001004B1" w:rsidRDefault="002A7753" w:rsidP="002A7753">
            <w:pPr>
              <w:spacing w:after="0" w:line="220" w:lineRule="exact"/>
              <w:jc w:val="right"/>
              <w:rPr>
                <w:rFonts w:eastAsia="Times New Roman" w:cs="Arial"/>
                <w:sz w:val="18"/>
                <w:szCs w:val="18"/>
              </w:rPr>
            </w:pPr>
            <w:r>
              <w:rPr>
                <w:rFonts w:eastAsia="Times New Roman" w:cs="Arial"/>
                <w:sz w:val="18"/>
                <w:szCs w:val="18"/>
              </w:rPr>
              <w:t>37,500</w:t>
            </w:r>
          </w:p>
        </w:tc>
        <w:tc>
          <w:tcPr>
            <w:tcW w:w="1332" w:type="dxa"/>
            <w:tcBorders>
              <w:top w:val="nil"/>
              <w:left w:val="nil"/>
              <w:bottom w:val="nil"/>
              <w:right w:val="nil"/>
            </w:tcBorders>
            <w:shd w:val="clear" w:color="auto" w:fill="auto"/>
            <w:vAlign w:val="bottom"/>
          </w:tcPr>
          <w:p w14:paraId="2A2A569B" w14:textId="77777777" w:rsidR="002A7753" w:rsidRPr="002D31C7" w:rsidRDefault="002A7753" w:rsidP="002A7753">
            <w:pPr>
              <w:spacing w:after="0" w:line="220" w:lineRule="exact"/>
              <w:jc w:val="right"/>
              <w:rPr>
                <w:rFonts w:eastAsia="Times New Roman" w:cs="Arial"/>
                <w:sz w:val="18"/>
                <w:szCs w:val="18"/>
              </w:rPr>
            </w:pPr>
            <w:r w:rsidRPr="002A3E38">
              <w:rPr>
                <w:sz w:val="18"/>
                <w:szCs w:val="18"/>
              </w:rPr>
              <w:t>37</w:t>
            </w:r>
            <w:r>
              <w:rPr>
                <w:sz w:val="18"/>
                <w:szCs w:val="18"/>
              </w:rPr>
              <w:t>,</w:t>
            </w:r>
            <w:r w:rsidRPr="002A3E38">
              <w:rPr>
                <w:sz w:val="18"/>
                <w:szCs w:val="18"/>
              </w:rPr>
              <w:t>500</w:t>
            </w:r>
          </w:p>
        </w:tc>
      </w:tr>
      <w:tr w:rsidR="002A7753" w:rsidRPr="001004B1" w14:paraId="0F2DB5B1" w14:textId="77777777" w:rsidTr="009702B0">
        <w:trPr>
          <w:trHeight w:val="186"/>
        </w:trPr>
        <w:tc>
          <w:tcPr>
            <w:tcW w:w="5812" w:type="dxa"/>
            <w:vAlign w:val="bottom"/>
            <w:hideMark/>
          </w:tcPr>
          <w:p w14:paraId="583D74D9" w14:textId="77777777" w:rsidR="002A7753" w:rsidRPr="001004B1" w:rsidRDefault="002A7753" w:rsidP="002A7753">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Accumulated losses</w:t>
            </w:r>
          </w:p>
        </w:tc>
        <w:tc>
          <w:tcPr>
            <w:tcW w:w="1331" w:type="dxa"/>
            <w:tcBorders>
              <w:top w:val="nil"/>
              <w:left w:val="nil"/>
              <w:bottom w:val="nil"/>
              <w:right w:val="nil"/>
            </w:tcBorders>
            <w:shd w:val="clear" w:color="auto" w:fill="auto"/>
            <w:noWrap/>
            <w:vAlign w:val="bottom"/>
          </w:tcPr>
          <w:p w14:paraId="48B886F1" w14:textId="1D6CB65F" w:rsidR="002A7753" w:rsidRPr="001004B1" w:rsidRDefault="002A7753" w:rsidP="002A7753">
            <w:pPr>
              <w:spacing w:after="0" w:line="220" w:lineRule="exact"/>
              <w:jc w:val="right"/>
              <w:rPr>
                <w:rFonts w:eastAsia="Times New Roman" w:cs="Arial"/>
                <w:sz w:val="18"/>
                <w:szCs w:val="18"/>
              </w:rPr>
            </w:pPr>
            <w:r>
              <w:rPr>
                <w:rFonts w:eastAsia="Times New Roman" w:cs="Arial"/>
                <w:sz w:val="18"/>
                <w:szCs w:val="18"/>
              </w:rPr>
              <w:t>1,167</w:t>
            </w:r>
          </w:p>
        </w:tc>
        <w:tc>
          <w:tcPr>
            <w:tcW w:w="1332" w:type="dxa"/>
            <w:tcBorders>
              <w:top w:val="nil"/>
              <w:left w:val="nil"/>
              <w:bottom w:val="nil"/>
              <w:right w:val="nil"/>
            </w:tcBorders>
            <w:shd w:val="clear" w:color="auto" w:fill="auto"/>
            <w:vAlign w:val="bottom"/>
          </w:tcPr>
          <w:p w14:paraId="6A1DAAC8" w14:textId="77777777" w:rsidR="002A7753" w:rsidRPr="002D31C7" w:rsidRDefault="002A7753" w:rsidP="002A7753">
            <w:pPr>
              <w:spacing w:after="0" w:line="220" w:lineRule="exact"/>
              <w:jc w:val="right"/>
              <w:rPr>
                <w:rFonts w:eastAsia="Times New Roman" w:cs="Arial"/>
                <w:sz w:val="18"/>
                <w:szCs w:val="18"/>
              </w:rPr>
            </w:pPr>
            <w:r w:rsidRPr="00D952AA">
              <w:rPr>
                <w:sz w:val="18"/>
                <w:szCs w:val="18"/>
              </w:rPr>
              <w:t>(</w:t>
            </w:r>
            <w:r w:rsidRPr="002A3E38">
              <w:rPr>
                <w:sz w:val="18"/>
                <w:szCs w:val="18"/>
              </w:rPr>
              <w:t>148</w:t>
            </w:r>
            <w:r>
              <w:rPr>
                <w:sz w:val="18"/>
                <w:szCs w:val="18"/>
              </w:rPr>
              <w:t>)</w:t>
            </w:r>
          </w:p>
        </w:tc>
      </w:tr>
      <w:tr w:rsidR="002A7753" w:rsidRPr="001004B1" w14:paraId="0AFE53DA" w14:textId="77777777" w:rsidTr="009702B0">
        <w:trPr>
          <w:trHeight w:val="186"/>
        </w:trPr>
        <w:tc>
          <w:tcPr>
            <w:tcW w:w="5812" w:type="dxa"/>
            <w:vAlign w:val="bottom"/>
            <w:hideMark/>
          </w:tcPr>
          <w:p w14:paraId="67A00484" w14:textId="77777777" w:rsidR="002A7753" w:rsidRPr="001004B1" w:rsidRDefault="002A7753" w:rsidP="002A7753">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Other reserves</w:t>
            </w:r>
          </w:p>
        </w:tc>
        <w:tc>
          <w:tcPr>
            <w:tcW w:w="1331" w:type="dxa"/>
            <w:tcBorders>
              <w:top w:val="nil"/>
              <w:left w:val="nil"/>
              <w:bottom w:val="nil"/>
              <w:right w:val="nil"/>
            </w:tcBorders>
            <w:shd w:val="clear" w:color="auto" w:fill="auto"/>
            <w:noWrap/>
            <w:vAlign w:val="bottom"/>
          </w:tcPr>
          <w:p w14:paraId="00DA2528" w14:textId="6E9D2F07" w:rsidR="002A7753" w:rsidRPr="001004B1" w:rsidRDefault="002A7753" w:rsidP="002A7753">
            <w:pPr>
              <w:spacing w:after="0" w:line="220" w:lineRule="exact"/>
              <w:jc w:val="right"/>
              <w:rPr>
                <w:rFonts w:eastAsia="Times New Roman" w:cs="Arial"/>
                <w:sz w:val="18"/>
                <w:szCs w:val="18"/>
              </w:rPr>
            </w:pPr>
            <w:r>
              <w:rPr>
                <w:rFonts w:eastAsia="Times New Roman" w:cs="Arial"/>
                <w:sz w:val="18"/>
                <w:szCs w:val="18"/>
              </w:rPr>
              <w:t>2,833</w:t>
            </w:r>
          </w:p>
        </w:tc>
        <w:tc>
          <w:tcPr>
            <w:tcW w:w="1332" w:type="dxa"/>
            <w:tcBorders>
              <w:top w:val="nil"/>
              <w:left w:val="nil"/>
              <w:bottom w:val="nil"/>
              <w:right w:val="nil"/>
            </w:tcBorders>
            <w:shd w:val="clear" w:color="auto" w:fill="auto"/>
            <w:vAlign w:val="bottom"/>
          </w:tcPr>
          <w:p w14:paraId="4BD023E8" w14:textId="77777777" w:rsidR="002A7753" w:rsidRPr="002D31C7" w:rsidRDefault="002A7753" w:rsidP="002A7753">
            <w:pPr>
              <w:spacing w:after="0" w:line="220" w:lineRule="exact"/>
              <w:jc w:val="right"/>
              <w:rPr>
                <w:rFonts w:eastAsia="Times New Roman" w:cs="Arial"/>
                <w:sz w:val="18"/>
                <w:szCs w:val="18"/>
              </w:rPr>
            </w:pPr>
            <w:r w:rsidRPr="002A3E38">
              <w:rPr>
                <w:sz w:val="18"/>
                <w:szCs w:val="18"/>
              </w:rPr>
              <w:t>2</w:t>
            </w:r>
            <w:r>
              <w:rPr>
                <w:sz w:val="18"/>
                <w:szCs w:val="18"/>
              </w:rPr>
              <w:t>,</w:t>
            </w:r>
            <w:r w:rsidRPr="002A3E38">
              <w:rPr>
                <w:sz w:val="18"/>
                <w:szCs w:val="18"/>
              </w:rPr>
              <w:t>188</w:t>
            </w:r>
          </w:p>
        </w:tc>
      </w:tr>
      <w:tr w:rsidR="002A7753" w:rsidRPr="001004B1" w14:paraId="1184E7C3" w14:textId="77777777" w:rsidTr="009702B0">
        <w:trPr>
          <w:trHeight w:val="186"/>
        </w:trPr>
        <w:tc>
          <w:tcPr>
            <w:tcW w:w="5812" w:type="dxa"/>
            <w:vAlign w:val="bottom"/>
            <w:hideMark/>
          </w:tcPr>
          <w:p w14:paraId="59E38598" w14:textId="77777777" w:rsidR="002A7753" w:rsidRPr="001004B1" w:rsidRDefault="002A7753" w:rsidP="002A7753">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Profit for the year</w:t>
            </w:r>
          </w:p>
        </w:tc>
        <w:tc>
          <w:tcPr>
            <w:tcW w:w="1331" w:type="dxa"/>
            <w:tcBorders>
              <w:top w:val="nil"/>
              <w:left w:val="nil"/>
              <w:bottom w:val="single" w:sz="4" w:space="0" w:color="auto"/>
              <w:right w:val="nil"/>
            </w:tcBorders>
            <w:shd w:val="clear" w:color="auto" w:fill="auto"/>
            <w:noWrap/>
            <w:vAlign w:val="bottom"/>
          </w:tcPr>
          <w:p w14:paraId="0889094A" w14:textId="1F221B8D" w:rsidR="002A7753" w:rsidRPr="001004B1" w:rsidRDefault="002A7753" w:rsidP="002A7753">
            <w:pPr>
              <w:spacing w:after="0" w:line="220" w:lineRule="exact"/>
              <w:jc w:val="right"/>
              <w:rPr>
                <w:rFonts w:eastAsia="Times New Roman" w:cs="Arial"/>
                <w:sz w:val="18"/>
                <w:szCs w:val="18"/>
              </w:rPr>
            </w:pPr>
            <w:r>
              <w:rPr>
                <w:rFonts w:eastAsia="Times New Roman" w:cs="Arial"/>
                <w:sz w:val="18"/>
                <w:szCs w:val="18"/>
              </w:rPr>
              <w:t>1,030</w:t>
            </w:r>
          </w:p>
        </w:tc>
        <w:tc>
          <w:tcPr>
            <w:tcW w:w="1332" w:type="dxa"/>
            <w:tcBorders>
              <w:top w:val="nil"/>
              <w:left w:val="nil"/>
              <w:bottom w:val="single" w:sz="4" w:space="0" w:color="auto"/>
              <w:right w:val="nil"/>
            </w:tcBorders>
            <w:shd w:val="clear" w:color="auto" w:fill="auto"/>
            <w:vAlign w:val="bottom"/>
          </w:tcPr>
          <w:p w14:paraId="0C361309" w14:textId="77777777" w:rsidR="002A7753" w:rsidRPr="002D31C7" w:rsidRDefault="002A7753" w:rsidP="002A7753">
            <w:pPr>
              <w:spacing w:after="0" w:line="220" w:lineRule="exact"/>
              <w:jc w:val="right"/>
              <w:rPr>
                <w:rFonts w:eastAsia="Times New Roman" w:cs="Arial"/>
                <w:sz w:val="18"/>
                <w:szCs w:val="18"/>
              </w:rPr>
            </w:pPr>
            <w:r w:rsidRPr="002A3E38">
              <w:rPr>
                <w:sz w:val="18"/>
                <w:szCs w:val="18"/>
              </w:rPr>
              <w:t>1</w:t>
            </w:r>
            <w:r>
              <w:rPr>
                <w:sz w:val="18"/>
                <w:szCs w:val="18"/>
              </w:rPr>
              <w:t>,</w:t>
            </w:r>
            <w:r w:rsidRPr="002A3E38">
              <w:rPr>
                <w:sz w:val="18"/>
                <w:szCs w:val="18"/>
              </w:rPr>
              <w:t>315</w:t>
            </w:r>
          </w:p>
        </w:tc>
      </w:tr>
      <w:tr w:rsidR="003C537E" w:rsidRPr="001004B1" w14:paraId="06CA8B99" w14:textId="77777777" w:rsidTr="009702B0">
        <w:trPr>
          <w:trHeight w:val="166"/>
        </w:trPr>
        <w:tc>
          <w:tcPr>
            <w:tcW w:w="5812" w:type="dxa"/>
            <w:vAlign w:val="bottom"/>
            <w:hideMark/>
          </w:tcPr>
          <w:p w14:paraId="32BBCCC0" w14:textId="77777777" w:rsidR="003C537E" w:rsidRPr="001004B1" w:rsidRDefault="003C537E" w:rsidP="003C537E">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Total equity</w:t>
            </w:r>
          </w:p>
        </w:tc>
        <w:tc>
          <w:tcPr>
            <w:tcW w:w="1331" w:type="dxa"/>
            <w:tcBorders>
              <w:top w:val="single" w:sz="4" w:space="0" w:color="auto"/>
              <w:left w:val="nil"/>
              <w:bottom w:val="single" w:sz="12" w:space="0" w:color="auto"/>
              <w:right w:val="nil"/>
            </w:tcBorders>
            <w:shd w:val="clear" w:color="auto" w:fill="auto"/>
            <w:noWrap/>
            <w:vAlign w:val="bottom"/>
          </w:tcPr>
          <w:p w14:paraId="69AAC255" w14:textId="7A87BB5F" w:rsidR="003C537E" w:rsidRPr="001004B1" w:rsidRDefault="002A7753" w:rsidP="003C537E">
            <w:pPr>
              <w:spacing w:after="0" w:line="220" w:lineRule="exact"/>
              <w:jc w:val="right"/>
              <w:rPr>
                <w:rFonts w:eastAsia="Times New Roman" w:cs="Arial"/>
                <w:b/>
                <w:bCs/>
                <w:sz w:val="18"/>
                <w:szCs w:val="18"/>
              </w:rPr>
            </w:pPr>
            <w:r w:rsidRPr="002A7753">
              <w:rPr>
                <w:rFonts w:eastAsia="Times New Roman" w:cs="Arial"/>
                <w:b/>
                <w:bCs/>
                <w:sz w:val="18"/>
                <w:szCs w:val="18"/>
              </w:rPr>
              <w:t>42,530</w:t>
            </w:r>
          </w:p>
        </w:tc>
        <w:tc>
          <w:tcPr>
            <w:tcW w:w="1332" w:type="dxa"/>
            <w:tcBorders>
              <w:top w:val="single" w:sz="4" w:space="0" w:color="auto"/>
              <w:left w:val="nil"/>
              <w:bottom w:val="single" w:sz="12" w:space="0" w:color="auto"/>
              <w:right w:val="nil"/>
            </w:tcBorders>
            <w:shd w:val="clear" w:color="auto" w:fill="auto"/>
            <w:vAlign w:val="bottom"/>
          </w:tcPr>
          <w:p w14:paraId="56EE15E3" w14:textId="77777777" w:rsidR="003C537E" w:rsidRPr="002D31C7" w:rsidRDefault="003C537E" w:rsidP="003C537E">
            <w:pPr>
              <w:spacing w:after="0" w:line="220" w:lineRule="exact"/>
              <w:jc w:val="right"/>
              <w:rPr>
                <w:rFonts w:eastAsia="Times New Roman" w:cs="Arial"/>
                <w:b/>
                <w:bCs/>
                <w:sz w:val="18"/>
                <w:szCs w:val="18"/>
              </w:rPr>
            </w:pPr>
            <w:r w:rsidRPr="00D952AA">
              <w:rPr>
                <w:rFonts w:cs="Arial"/>
                <w:b/>
                <w:bCs/>
                <w:sz w:val="18"/>
                <w:szCs w:val="18"/>
              </w:rPr>
              <w:t>40</w:t>
            </w:r>
            <w:r>
              <w:rPr>
                <w:rFonts w:cs="Arial"/>
                <w:b/>
                <w:bCs/>
                <w:sz w:val="18"/>
                <w:szCs w:val="18"/>
              </w:rPr>
              <w:t>,</w:t>
            </w:r>
            <w:r w:rsidRPr="00D952AA">
              <w:rPr>
                <w:rFonts w:cs="Arial"/>
                <w:b/>
                <w:bCs/>
                <w:sz w:val="18"/>
                <w:szCs w:val="18"/>
              </w:rPr>
              <w:t>855</w:t>
            </w:r>
          </w:p>
        </w:tc>
      </w:tr>
      <w:tr w:rsidR="00031932" w:rsidRPr="001004B1" w14:paraId="44A897E5" w14:textId="77777777" w:rsidTr="009702B0">
        <w:trPr>
          <w:trHeight w:val="96"/>
        </w:trPr>
        <w:tc>
          <w:tcPr>
            <w:tcW w:w="5812" w:type="dxa"/>
            <w:vAlign w:val="bottom"/>
          </w:tcPr>
          <w:p w14:paraId="235A0FCD" w14:textId="77777777" w:rsidR="00031932" w:rsidRPr="001004B1" w:rsidRDefault="00031932" w:rsidP="00031932">
            <w:pPr>
              <w:spacing w:after="0" w:line="140" w:lineRule="exact"/>
              <w:rPr>
                <w:rFonts w:asciiTheme="minorHAnsi" w:eastAsia="Times New Roman" w:hAnsiTheme="minorHAnsi" w:cs="Arial"/>
                <w:sz w:val="18"/>
                <w:szCs w:val="18"/>
              </w:rPr>
            </w:pPr>
          </w:p>
        </w:tc>
        <w:tc>
          <w:tcPr>
            <w:tcW w:w="1331" w:type="dxa"/>
            <w:tcBorders>
              <w:top w:val="single" w:sz="12" w:space="0" w:color="auto"/>
              <w:left w:val="nil"/>
              <w:bottom w:val="nil"/>
              <w:right w:val="nil"/>
            </w:tcBorders>
            <w:shd w:val="clear" w:color="auto" w:fill="auto"/>
            <w:noWrap/>
            <w:vAlign w:val="bottom"/>
          </w:tcPr>
          <w:p w14:paraId="511CED2F" w14:textId="77777777" w:rsidR="00031932" w:rsidRPr="001004B1" w:rsidRDefault="00031932" w:rsidP="00031932">
            <w:pPr>
              <w:spacing w:after="0" w:line="140" w:lineRule="exact"/>
              <w:jc w:val="right"/>
              <w:rPr>
                <w:rFonts w:eastAsia="Times New Roman" w:cs="Arial"/>
                <w:sz w:val="18"/>
                <w:szCs w:val="18"/>
              </w:rPr>
            </w:pPr>
          </w:p>
        </w:tc>
        <w:tc>
          <w:tcPr>
            <w:tcW w:w="1332" w:type="dxa"/>
            <w:tcBorders>
              <w:top w:val="single" w:sz="12" w:space="0" w:color="auto"/>
              <w:left w:val="nil"/>
              <w:bottom w:val="nil"/>
              <w:right w:val="nil"/>
            </w:tcBorders>
            <w:shd w:val="clear" w:color="auto" w:fill="auto"/>
            <w:vAlign w:val="bottom"/>
          </w:tcPr>
          <w:p w14:paraId="5DC40960" w14:textId="77777777" w:rsidR="00031932" w:rsidRPr="002D31C7" w:rsidRDefault="00031932" w:rsidP="00031932">
            <w:pPr>
              <w:spacing w:after="0" w:line="140" w:lineRule="exact"/>
              <w:jc w:val="right"/>
              <w:rPr>
                <w:rFonts w:eastAsia="Times New Roman" w:cs="Arial"/>
                <w:sz w:val="18"/>
                <w:szCs w:val="18"/>
              </w:rPr>
            </w:pPr>
          </w:p>
        </w:tc>
      </w:tr>
      <w:tr w:rsidR="00031932" w:rsidRPr="001004B1" w14:paraId="5E6FDB53" w14:textId="77777777" w:rsidTr="009702B0">
        <w:trPr>
          <w:trHeight w:val="164"/>
        </w:trPr>
        <w:tc>
          <w:tcPr>
            <w:tcW w:w="5812" w:type="dxa"/>
            <w:vAlign w:val="bottom"/>
            <w:hideMark/>
          </w:tcPr>
          <w:p w14:paraId="12D7F4E0" w14:textId="77777777" w:rsidR="00031932" w:rsidRPr="001004B1" w:rsidRDefault="00031932" w:rsidP="00031932">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Technical provisions</w:t>
            </w:r>
          </w:p>
        </w:tc>
        <w:tc>
          <w:tcPr>
            <w:tcW w:w="1331" w:type="dxa"/>
            <w:tcBorders>
              <w:top w:val="nil"/>
              <w:left w:val="nil"/>
              <w:bottom w:val="nil"/>
              <w:right w:val="nil"/>
            </w:tcBorders>
            <w:shd w:val="clear" w:color="auto" w:fill="auto"/>
            <w:noWrap/>
            <w:vAlign w:val="bottom"/>
          </w:tcPr>
          <w:p w14:paraId="01D9F033" w14:textId="77777777" w:rsidR="00031932" w:rsidRPr="001004B1" w:rsidRDefault="00031932" w:rsidP="00031932">
            <w:pPr>
              <w:spacing w:after="0" w:line="220" w:lineRule="exact"/>
              <w:jc w:val="right"/>
              <w:rPr>
                <w:rFonts w:eastAsia="Times New Roman" w:cs="Arial"/>
                <w:sz w:val="18"/>
                <w:szCs w:val="18"/>
              </w:rPr>
            </w:pPr>
          </w:p>
        </w:tc>
        <w:tc>
          <w:tcPr>
            <w:tcW w:w="1332" w:type="dxa"/>
            <w:tcBorders>
              <w:top w:val="nil"/>
              <w:left w:val="nil"/>
              <w:bottom w:val="nil"/>
              <w:right w:val="nil"/>
            </w:tcBorders>
            <w:shd w:val="clear" w:color="auto" w:fill="auto"/>
            <w:vAlign w:val="bottom"/>
          </w:tcPr>
          <w:p w14:paraId="20E07832" w14:textId="77777777" w:rsidR="00031932" w:rsidRPr="002D31C7" w:rsidRDefault="00031932" w:rsidP="00031932">
            <w:pPr>
              <w:spacing w:after="0" w:line="220" w:lineRule="exact"/>
              <w:jc w:val="right"/>
              <w:rPr>
                <w:rFonts w:eastAsia="Times New Roman" w:cs="Arial"/>
                <w:sz w:val="18"/>
                <w:szCs w:val="18"/>
              </w:rPr>
            </w:pPr>
          </w:p>
        </w:tc>
      </w:tr>
      <w:tr w:rsidR="002A7753" w:rsidRPr="001004B1" w14:paraId="2B03A2EC" w14:textId="77777777" w:rsidTr="009702B0">
        <w:trPr>
          <w:trHeight w:val="164"/>
        </w:trPr>
        <w:tc>
          <w:tcPr>
            <w:tcW w:w="5812" w:type="dxa"/>
            <w:vAlign w:val="bottom"/>
            <w:hideMark/>
          </w:tcPr>
          <w:p w14:paraId="043DE2BC" w14:textId="77777777" w:rsidR="002A7753" w:rsidRPr="001004B1" w:rsidRDefault="002A7753" w:rsidP="002A7753">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Gross technical provisions</w:t>
            </w:r>
          </w:p>
        </w:tc>
        <w:tc>
          <w:tcPr>
            <w:tcW w:w="1331" w:type="dxa"/>
            <w:tcBorders>
              <w:top w:val="nil"/>
              <w:left w:val="nil"/>
              <w:bottom w:val="nil"/>
              <w:right w:val="nil"/>
            </w:tcBorders>
            <w:shd w:val="clear" w:color="auto" w:fill="auto"/>
            <w:noWrap/>
            <w:vAlign w:val="bottom"/>
          </w:tcPr>
          <w:p w14:paraId="55300922" w14:textId="442C32D5" w:rsidR="002A7753" w:rsidRPr="001004B1" w:rsidRDefault="002A7753" w:rsidP="002A7753">
            <w:pPr>
              <w:spacing w:after="0" w:line="220" w:lineRule="exact"/>
              <w:jc w:val="right"/>
              <w:rPr>
                <w:rFonts w:eastAsia="Times New Roman" w:cs="Arial"/>
                <w:sz w:val="18"/>
                <w:szCs w:val="18"/>
              </w:rPr>
            </w:pPr>
            <w:r>
              <w:rPr>
                <w:rFonts w:eastAsia="Times New Roman" w:cs="Arial"/>
                <w:sz w:val="18"/>
                <w:szCs w:val="18"/>
              </w:rPr>
              <w:t>17,134</w:t>
            </w:r>
          </w:p>
        </w:tc>
        <w:tc>
          <w:tcPr>
            <w:tcW w:w="1332" w:type="dxa"/>
            <w:tcBorders>
              <w:top w:val="nil"/>
              <w:left w:val="nil"/>
              <w:bottom w:val="nil"/>
              <w:right w:val="nil"/>
            </w:tcBorders>
            <w:shd w:val="clear" w:color="auto" w:fill="auto"/>
            <w:vAlign w:val="bottom"/>
          </w:tcPr>
          <w:p w14:paraId="2EDB3817" w14:textId="77777777" w:rsidR="002A7753" w:rsidRPr="002D31C7" w:rsidRDefault="002A7753" w:rsidP="002A7753">
            <w:pPr>
              <w:spacing w:after="0" w:line="220" w:lineRule="exact"/>
              <w:jc w:val="right"/>
              <w:rPr>
                <w:rFonts w:eastAsia="Times New Roman" w:cs="Arial"/>
                <w:sz w:val="18"/>
                <w:szCs w:val="18"/>
              </w:rPr>
            </w:pPr>
            <w:r w:rsidRPr="002A3E38">
              <w:rPr>
                <w:sz w:val="18"/>
                <w:szCs w:val="18"/>
              </w:rPr>
              <w:t>14</w:t>
            </w:r>
            <w:r>
              <w:rPr>
                <w:sz w:val="18"/>
                <w:szCs w:val="18"/>
              </w:rPr>
              <w:t>,</w:t>
            </w:r>
            <w:r w:rsidRPr="002A3E38">
              <w:rPr>
                <w:sz w:val="18"/>
                <w:szCs w:val="18"/>
              </w:rPr>
              <w:t>225</w:t>
            </w:r>
          </w:p>
        </w:tc>
      </w:tr>
      <w:tr w:rsidR="002A7753" w:rsidRPr="001004B1" w14:paraId="13EF2C53" w14:textId="77777777" w:rsidTr="009702B0">
        <w:trPr>
          <w:trHeight w:val="164"/>
        </w:trPr>
        <w:tc>
          <w:tcPr>
            <w:tcW w:w="5812" w:type="dxa"/>
            <w:vAlign w:val="bottom"/>
            <w:hideMark/>
          </w:tcPr>
          <w:p w14:paraId="458E0609" w14:textId="77777777" w:rsidR="002A7753" w:rsidRPr="001004B1" w:rsidRDefault="002A7753" w:rsidP="002A7753">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Technical provisions, reinsurer's share</w:t>
            </w:r>
          </w:p>
        </w:tc>
        <w:tc>
          <w:tcPr>
            <w:tcW w:w="1331" w:type="dxa"/>
            <w:tcBorders>
              <w:top w:val="nil"/>
              <w:left w:val="nil"/>
              <w:bottom w:val="single" w:sz="4" w:space="0" w:color="auto"/>
              <w:right w:val="nil"/>
            </w:tcBorders>
            <w:shd w:val="clear" w:color="auto" w:fill="auto"/>
            <w:noWrap/>
            <w:vAlign w:val="bottom"/>
          </w:tcPr>
          <w:p w14:paraId="748A59FD" w14:textId="6EA6F104" w:rsidR="002A7753" w:rsidRPr="001004B1" w:rsidRDefault="002A7753" w:rsidP="002A7753">
            <w:pPr>
              <w:spacing w:after="0" w:line="220" w:lineRule="exact"/>
              <w:jc w:val="right"/>
              <w:rPr>
                <w:rFonts w:eastAsia="Times New Roman" w:cs="Arial"/>
                <w:sz w:val="18"/>
                <w:szCs w:val="18"/>
              </w:rPr>
            </w:pPr>
            <w:r>
              <w:rPr>
                <w:rFonts w:eastAsia="Times New Roman" w:cs="Arial"/>
                <w:sz w:val="18"/>
                <w:szCs w:val="18"/>
              </w:rPr>
              <w:t>(7,739)</w:t>
            </w:r>
          </w:p>
        </w:tc>
        <w:tc>
          <w:tcPr>
            <w:tcW w:w="1332" w:type="dxa"/>
            <w:tcBorders>
              <w:top w:val="nil"/>
              <w:left w:val="nil"/>
              <w:bottom w:val="single" w:sz="4" w:space="0" w:color="auto"/>
              <w:right w:val="nil"/>
            </w:tcBorders>
            <w:shd w:val="clear" w:color="auto" w:fill="auto"/>
            <w:vAlign w:val="bottom"/>
          </w:tcPr>
          <w:p w14:paraId="7AAB2D20" w14:textId="77777777" w:rsidR="002A7753" w:rsidRPr="002D31C7" w:rsidRDefault="002A7753" w:rsidP="002A7753">
            <w:pPr>
              <w:spacing w:after="0" w:line="220" w:lineRule="exact"/>
              <w:jc w:val="right"/>
              <w:rPr>
                <w:rFonts w:eastAsia="Times New Roman" w:cs="Arial"/>
                <w:sz w:val="18"/>
                <w:szCs w:val="18"/>
              </w:rPr>
            </w:pPr>
            <w:r w:rsidRPr="00D952AA">
              <w:rPr>
                <w:sz w:val="18"/>
                <w:szCs w:val="18"/>
              </w:rPr>
              <w:t>(</w:t>
            </w:r>
            <w:r w:rsidRPr="002A3E38">
              <w:rPr>
                <w:sz w:val="18"/>
                <w:szCs w:val="18"/>
              </w:rPr>
              <w:t>6</w:t>
            </w:r>
            <w:r>
              <w:rPr>
                <w:sz w:val="18"/>
                <w:szCs w:val="18"/>
              </w:rPr>
              <w:t>,</w:t>
            </w:r>
            <w:r w:rsidRPr="002A3E38">
              <w:rPr>
                <w:sz w:val="18"/>
                <w:szCs w:val="18"/>
              </w:rPr>
              <w:t>419</w:t>
            </w:r>
            <w:r>
              <w:rPr>
                <w:sz w:val="18"/>
                <w:szCs w:val="18"/>
              </w:rPr>
              <w:t>)</w:t>
            </w:r>
          </w:p>
        </w:tc>
      </w:tr>
      <w:tr w:rsidR="003C537E" w:rsidRPr="001004B1" w14:paraId="1D031CE1" w14:textId="77777777" w:rsidTr="009702B0">
        <w:trPr>
          <w:trHeight w:val="182"/>
        </w:trPr>
        <w:tc>
          <w:tcPr>
            <w:tcW w:w="5812" w:type="dxa"/>
            <w:vAlign w:val="bottom"/>
          </w:tcPr>
          <w:p w14:paraId="59841DD4" w14:textId="77777777" w:rsidR="003C537E" w:rsidRPr="001004B1" w:rsidRDefault="003C537E" w:rsidP="003C537E">
            <w:pPr>
              <w:spacing w:after="0" w:line="220" w:lineRule="exact"/>
              <w:rPr>
                <w:rFonts w:asciiTheme="minorHAnsi" w:eastAsia="Times New Roman" w:hAnsiTheme="minorHAnsi" w:cs="Arial"/>
                <w:b/>
                <w:bCs/>
                <w:sz w:val="18"/>
                <w:szCs w:val="18"/>
              </w:rPr>
            </w:pPr>
          </w:p>
        </w:tc>
        <w:tc>
          <w:tcPr>
            <w:tcW w:w="1331" w:type="dxa"/>
            <w:tcBorders>
              <w:top w:val="single" w:sz="4" w:space="0" w:color="auto"/>
              <w:left w:val="nil"/>
              <w:bottom w:val="single" w:sz="12" w:space="0" w:color="auto"/>
              <w:right w:val="nil"/>
            </w:tcBorders>
            <w:shd w:val="clear" w:color="auto" w:fill="auto"/>
            <w:noWrap/>
            <w:vAlign w:val="bottom"/>
          </w:tcPr>
          <w:p w14:paraId="3C793844" w14:textId="157905EA" w:rsidR="003C537E" w:rsidRPr="001004B1" w:rsidRDefault="002A7753" w:rsidP="003C537E">
            <w:pPr>
              <w:spacing w:after="0" w:line="220" w:lineRule="exact"/>
              <w:jc w:val="right"/>
              <w:rPr>
                <w:rFonts w:eastAsia="Times New Roman" w:cs="Arial"/>
                <w:b/>
                <w:bCs/>
                <w:sz w:val="18"/>
                <w:szCs w:val="18"/>
              </w:rPr>
            </w:pPr>
            <w:r w:rsidRPr="002A7753">
              <w:rPr>
                <w:rFonts w:eastAsia="Times New Roman" w:cs="Arial"/>
                <w:b/>
                <w:bCs/>
                <w:sz w:val="18"/>
                <w:szCs w:val="18"/>
              </w:rPr>
              <w:t>9,395</w:t>
            </w:r>
          </w:p>
        </w:tc>
        <w:tc>
          <w:tcPr>
            <w:tcW w:w="1332" w:type="dxa"/>
            <w:tcBorders>
              <w:top w:val="single" w:sz="4" w:space="0" w:color="auto"/>
              <w:left w:val="nil"/>
              <w:bottom w:val="single" w:sz="12" w:space="0" w:color="auto"/>
              <w:right w:val="nil"/>
            </w:tcBorders>
            <w:shd w:val="clear" w:color="auto" w:fill="auto"/>
            <w:vAlign w:val="bottom"/>
          </w:tcPr>
          <w:p w14:paraId="117051E9" w14:textId="77777777" w:rsidR="003C537E" w:rsidRPr="002D31C7" w:rsidRDefault="003C537E" w:rsidP="003C537E">
            <w:pPr>
              <w:spacing w:after="0" w:line="220" w:lineRule="exact"/>
              <w:jc w:val="right"/>
              <w:rPr>
                <w:rFonts w:eastAsia="Times New Roman" w:cs="Arial"/>
                <w:b/>
                <w:bCs/>
                <w:sz w:val="18"/>
                <w:szCs w:val="18"/>
              </w:rPr>
            </w:pPr>
            <w:r w:rsidRPr="00D952AA">
              <w:rPr>
                <w:rFonts w:cs="Arial"/>
                <w:b/>
                <w:bCs/>
                <w:sz w:val="18"/>
                <w:szCs w:val="18"/>
              </w:rPr>
              <w:t>7</w:t>
            </w:r>
            <w:r>
              <w:rPr>
                <w:rFonts w:cs="Arial"/>
                <w:b/>
                <w:bCs/>
                <w:sz w:val="18"/>
                <w:szCs w:val="18"/>
              </w:rPr>
              <w:t>,</w:t>
            </w:r>
            <w:r w:rsidRPr="00D952AA">
              <w:rPr>
                <w:rFonts w:cs="Arial"/>
                <w:b/>
                <w:bCs/>
                <w:sz w:val="18"/>
                <w:szCs w:val="18"/>
              </w:rPr>
              <w:t>806</w:t>
            </w:r>
          </w:p>
        </w:tc>
      </w:tr>
      <w:tr w:rsidR="00031932" w:rsidRPr="001004B1" w14:paraId="07913E76" w14:textId="77777777" w:rsidTr="009702B0">
        <w:trPr>
          <w:trHeight w:val="121"/>
        </w:trPr>
        <w:tc>
          <w:tcPr>
            <w:tcW w:w="5812" w:type="dxa"/>
            <w:vAlign w:val="bottom"/>
          </w:tcPr>
          <w:p w14:paraId="1B77B749" w14:textId="77777777" w:rsidR="00031932" w:rsidRPr="001004B1" w:rsidRDefault="00031932" w:rsidP="00031932">
            <w:pPr>
              <w:spacing w:after="0" w:line="140" w:lineRule="exact"/>
              <w:rPr>
                <w:rFonts w:asciiTheme="minorHAnsi" w:eastAsia="Times New Roman" w:hAnsiTheme="minorHAnsi" w:cs="Arial"/>
                <w:sz w:val="18"/>
                <w:szCs w:val="18"/>
              </w:rPr>
            </w:pPr>
          </w:p>
        </w:tc>
        <w:tc>
          <w:tcPr>
            <w:tcW w:w="1331" w:type="dxa"/>
            <w:tcBorders>
              <w:top w:val="single" w:sz="12" w:space="0" w:color="auto"/>
              <w:left w:val="nil"/>
              <w:bottom w:val="nil"/>
              <w:right w:val="nil"/>
            </w:tcBorders>
            <w:shd w:val="clear" w:color="auto" w:fill="auto"/>
            <w:noWrap/>
            <w:vAlign w:val="bottom"/>
          </w:tcPr>
          <w:p w14:paraId="5ABF334D" w14:textId="77777777" w:rsidR="00031932" w:rsidRPr="001004B1" w:rsidRDefault="00031932" w:rsidP="00031932">
            <w:pPr>
              <w:spacing w:after="0" w:line="140" w:lineRule="exact"/>
              <w:jc w:val="right"/>
              <w:rPr>
                <w:rFonts w:eastAsia="Times New Roman" w:cs="Arial"/>
                <w:sz w:val="18"/>
                <w:szCs w:val="18"/>
              </w:rPr>
            </w:pPr>
          </w:p>
        </w:tc>
        <w:tc>
          <w:tcPr>
            <w:tcW w:w="1332" w:type="dxa"/>
            <w:tcBorders>
              <w:top w:val="single" w:sz="12" w:space="0" w:color="auto"/>
              <w:left w:val="nil"/>
              <w:bottom w:val="nil"/>
              <w:right w:val="nil"/>
            </w:tcBorders>
            <w:shd w:val="clear" w:color="auto" w:fill="auto"/>
            <w:vAlign w:val="bottom"/>
          </w:tcPr>
          <w:p w14:paraId="741FEB42" w14:textId="77777777" w:rsidR="00031932" w:rsidRPr="002D31C7" w:rsidRDefault="00031932" w:rsidP="00031932">
            <w:pPr>
              <w:spacing w:after="0" w:line="140" w:lineRule="exact"/>
              <w:jc w:val="right"/>
              <w:rPr>
                <w:rFonts w:eastAsia="Times New Roman" w:cs="Arial"/>
                <w:sz w:val="18"/>
                <w:szCs w:val="18"/>
              </w:rPr>
            </w:pPr>
          </w:p>
        </w:tc>
      </w:tr>
      <w:tr w:rsidR="00031932" w:rsidRPr="001004B1" w14:paraId="6B1EA901" w14:textId="77777777" w:rsidTr="009702B0">
        <w:trPr>
          <w:trHeight w:val="240"/>
        </w:trPr>
        <w:tc>
          <w:tcPr>
            <w:tcW w:w="5812" w:type="dxa"/>
            <w:vAlign w:val="bottom"/>
            <w:hideMark/>
          </w:tcPr>
          <w:p w14:paraId="6A15F587" w14:textId="77777777" w:rsidR="00031932" w:rsidRPr="001004B1" w:rsidRDefault="00031932" w:rsidP="00031932">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Current liabilities</w:t>
            </w:r>
          </w:p>
        </w:tc>
        <w:tc>
          <w:tcPr>
            <w:tcW w:w="1331" w:type="dxa"/>
            <w:tcBorders>
              <w:top w:val="nil"/>
              <w:left w:val="nil"/>
              <w:bottom w:val="nil"/>
              <w:right w:val="nil"/>
            </w:tcBorders>
            <w:shd w:val="clear" w:color="auto" w:fill="auto"/>
            <w:noWrap/>
            <w:vAlign w:val="bottom"/>
          </w:tcPr>
          <w:p w14:paraId="677932E1" w14:textId="77777777" w:rsidR="00031932" w:rsidRPr="001004B1" w:rsidRDefault="00031932" w:rsidP="00031932">
            <w:pPr>
              <w:spacing w:after="0" w:line="220" w:lineRule="exact"/>
              <w:jc w:val="right"/>
              <w:rPr>
                <w:rFonts w:eastAsia="Times New Roman" w:cs="Arial"/>
                <w:sz w:val="18"/>
                <w:szCs w:val="18"/>
              </w:rPr>
            </w:pPr>
          </w:p>
        </w:tc>
        <w:tc>
          <w:tcPr>
            <w:tcW w:w="1332" w:type="dxa"/>
            <w:tcBorders>
              <w:top w:val="nil"/>
              <w:left w:val="nil"/>
              <w:bottom w:val="nil"/>
              <w:right w:val="nil"/>
            </w:tcBorders>
            <w:shd w:val="clear" w:color="auto" w:fill="auto"/>
            <w:vAlign w:val="bottom"/>
          </w:tcPr>
          <w:p w14:paraId="2FA1BEBA" w14:textId="77777777" w:rsidR="00031932" w:rsidRPr="002D31C7" w:rsidRDefault="00031932" w:rsidP="00031932">
            <w:pPr>
              <w:spacing w:after="0" w:line="220" w:lineRule="exact"/>
              <w:jc w:val="right"/>
              <w:rPr>
                <w:rFonts w:eastAsia="Times New Roman" w:cs="Arial"/>
                <w:sz w:val="18"/>
                <w:szCs w:val="18"/>
              </w:rPr>
            </w:pPr>
          </w:p>
        </w:tc>
      </w:tr>
      <w:tr w:rsidR="002A7753" w:rsidRPr="001004B1" w14:paraId="1D7CB0FC" w14:textId="77777777" w:rsidTr="009702B0">
        <w:trPr>
          <w:trHeight w:val="145"/>
        </w:trPr>
        <w:tc>
          <w:tcPr>
            <w:tcW w:w="5812" w:type="dxa"/>
            <w:vAlign w:val="bottom"/>
            <w:hideMark/>
          </w:tcPr>
          <w:p w14:paraId="1246777D" w14:textId="77777777" w:rsidR="002A7753" w:rsidRPr="001004B1" w:rsidRDefault="002A7753" w:rsidP="002A7753">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Liabilities from insurance operations</w:t>
            </w:r>
          </w:p>
        </w:tc>
        <w:tc>
          <w:tcPr>
            <w:tcW w:w="1331" w:type="dxa"/>
            <w:tcBorders>
              <w:top w:val="nil"/>
              <w:left w:val="nil"/>
              <w:bottom w:val="nil"/>
              <w:right w:val="nil"/>
            </w:tcBorders>
            <w:shd w:val="clear" w:color="auto" w:fill="auto"/>
            <w:noWrap/>
            <w:vAlign w:val="bottom"/>
          </w:tcPr>
          <w:p w14:paraId="3462AE15" w14:textId="5EE4A55E" w:rsidR="002A7753" w:rsidRPr="001004B1" w:rsidRDefault="002A7753" w:rsidP="002A7753">
            <w:pPr>
              <w:spacing w:after="0" w:line="220" w:lineRule="exact"/>
              <w:jc w:val="right"/>
              <w:rPr>
                <w:rFonts w:eastAsia="Times New Roman" w:cs="Arial"/>
                <w:sz w:val="18"/>
                <w:szCs w:val="18"/>
              </w:rPr>
            </w:pPr>
            <w:r>
              <w:rPr>
                <w:rFonts w:eastAsia="Times New Roman" w:cs="Arial"/>
                <w:sz w:val="18"/>
                <w:szCs w:val="18"/>
              </w:rPr>
              <w:t>1,187</w:t>
            </w:r>
          </w:p>
        </w:tc>
        <w:tc>
          <w:tcPr>
            <w:tcW w:w="1332" w:type="dxa"/>
            <w:tcBorders>
              <w:top w:val="nil"/>
              <w:left w:val="nil"/>
              <w:bottom w:val="nil"/>
              <w:right w:val="nil"/>
            </w:tcBorders>
            <w:shd w:val="clear" w:color="auto" w:fill="auto"/>
            <w:vAlign w:val="bottom"/>
          </w:tcPr>
          <w:p w14:paraId="48BD33E5" w14:textId="77777777" w:rsidR="002A7753" w:rsidRPr="002D31C7" w:rsidRDefault="002A7753" w:rsidP="002A7753">
            <w:pPr>
              <w:spacing w:after="0" w:line="220" w:lineRule="exact"/>
              <w:jc w:val="right"/>
              <w:rPr>
                <w:rFonts w:eastAsia="Times New Roman" w:cs="Arial"/>
                <w:sz w:val="18"/>
                <w:szCs w:val="18"/>
              </w:rPr>
            </w:pPr>
            <w:r w:rsidRPr="002A3E38">
              <w:rPr>
                <w:sz w:val="18"/>
                <w:szCs w:val="18"/>
              </w:rPr>
              <w:t>1</w:t>
            </w:r>
            <w:r>
              <w:rPr>
                <w:sz w:val="18"/>
                <w:szCs w:val="18"/>
              </w:rPr>
              <w:t>,</w:t>
            </w:r>
            <w:r w:rsidRPr="002A3E38">
              <w:rPr>
                <w:sz w:val="18"/>
                <w:szCs w:val="18"/>
              </w:rPr>
              <w:t>190</w:t>
            </w:r>
          </w:p>
        </w:tc>
      </w:tr>
      <w:tr w:rsidR="002A7753" w:rsidRPr="001004B1" w14:paraId="06F71812" w14:textId="77777777" w:rsidTr="009702B0">
        <w:trPr>
          <w:trHeight w:val="204"/>
        </w:trPr>
        <w:tc>
          <w:tcPr>
            <w:tcW w:w="5812" w:type="dxa"/>
            <w:vAlign w:val="bottom"/>
            <w:hideMark/>
          </w:tcPr>
          <w:p w14:paraId="539E7063" w14:textId="77777777" w:rsidR="002A7753" w:rsidRPr="001004B1" w:rsidRDefault="002A7753" w:rsidP="002A7753">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Other liabilities</w:t>
            </w:r>
          </w:p>
        </w:tc>
        <w:tc>
          <w:tcPr>
            <w:tcW w:w="1331" w:type="dxa"/>
            <w:tcBorders>
              <w:top w:val="nil"/>
              <w:left w:val="nil"/>
              <w:bottom w:val="single" w:sz="4" w:space="0" w:color="auto"/>
              <w:right w:val="nil"/>
            </w:tcBorders>
            <w:shd w:val="clear" w:color="auto" w:fill="auto"/>
            <w:noWrap/>
            <w:vAlign w:val="bottom"/>
          </w:tcPr>
          <w:p w14:paraId="004A72B1" w14:textId="04A8EC4E" w:rsidR="002A7753" w:rsidRPr="001004B1" w:rsidRDefault="002A7753" w:rsidP="002A7753">
            <w:pPr>
              <w:spacing w:after="0" w:line="220" w:lineRule="exact"/>
              <w:jc w:val="right"/>
              <w:rPr>
                <w:rFonts w:eastAsia="Times New Roman" w:cs="Arial"/>
                <w:sz w:val="18"/>
                <w:szCs w:val="18"/>
              </w:rPr>
            </w:pPr>
            <w:r>
              <w:rPr>
                <w:rFonts w:eastAsia="Times New Roman" w:cs="Arial"/>
                <w:sz w:val="18"/>
                <w:szCs w:val="18"/>
              </w:rPr>
              <w:t>2,145</w:t>
            </w:r>
          </w:p>
        </w:tc>
        <w:tc>
          <w:tcPr>
            <w:tcW w:w="1332" w:type="dxa"/>
            <w:tcBorders>
              <w:top w:val="nil"/>
              <w:left w:val="nil"/>
              <w:bottom w:val="single" w:sz="4" w:space="0" w:color="auto"/>
              <w:right w:val="nil"/>
            </w:tcBorders>
            <w:shd w:val="clear" w:color="auto" w:fill="auto"/>
            <w:vAlign w:val="bottom"/>
          </w:tcPr>
          <w:p w14:paraId="431E92EB" w14:textId="77777777" w:rsidR="002A7753" w:rsidRPr="002D31C7" w:rsidRDefault="002A7753" w:rsidP="002A7753">
            <w:pPr>
              <w:spacing w:after="0" w:line="220" w:lineRule="exact"/>
              <w:jc w:val="right"/>
              <w:rPr>
                <w:rFonts w:eastAsia="Times New Roman" w:cs="Arial"/>
                <w:sz w:val="18"/>
                <w:szCs w:val="18"/>
              </w:rPr>
            </w:pPr>
            <w:r w:rsidRPr="002A3E38">
              <w:rPr>
                <w:sz w:val="18"/>
                <w:szCs w:val="18"/>
              </w:rPr>
              <w:t>2</w:t>
            </w:r>
            <w:r>
              <w:rPr>
                <w:sz w:val="18"/>
                <w:szCs w:val="18"/>
              </w:rPr>
              <w:t>,</w:t>
            </w:r>
            <w:r w:rsidRPr="002A3E38">
              <w:rPr>
                <w:sz w:val="18"/>
                <w:szCs w:val="18"/>
              </w:rPr>
              <w:t>182</w:t>
            </w:r>
          </w:p>
        </w:tc>
      </w:tr>
      <w:tr w:rsidR="003C537E" w:rsidRPr="001004B1" w14:paraId="309D1138" w14:textId="77777777" w:rsidTr="009702B0">
        <w:trPr>
          <w:trHeight w:val="144"/>
        </w:trPr>
        <w:tc>
          <w:tcPr>
            <w:tcW w:w="5812" w:type="dxa"/>
            <w:vAlign w:val="bottom"/>
            <w:hideMark/>
          </w:tcPr>
          <w:p w14:paraId="50630C1B" w14:textId="77777777" w:rsidR="003C537E" w:rsidRPr="001004B1" w:rsidRDefault="003C537E" w:rsidP="003C537E">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Total liabilities</w:t>
            </w:r>
          </w:p>
        </w:tc>
        <w:tc>
          <w:tcPr>
            <w:tcW w:w="1331" w:type="dxa"/>
            <w:tcBorders>
              <w:top w:val="single" w:sz="4" w:space="0" w:color="auto"/>
              <w:left w:val="nil"/>
              <w:bottom w:val="single" w:sz="12" w:space="0" w:color="auto"/>
              <w:right w:val="nil"/>
            </w:tcBorders>
            <w:shd w:val="clear" w:color="auto" w:fill="auto"/>
            <w:noWrap/>
            <w:vAlign w:val="bottom"/>
          </w:tcPr>
          <w:p w14:paraId="02D4500A" w14:textId="5F7E280D" w:rsidR="003C537E" w:rsidRPr="001004B1" w:rsidRDefault="002A7753" w:rsidP="003C537E">
            <w:pPr>
              <w:spacing w:after="0" w:line="220" w:lineRule="exact"/>
              <w:jc w:val="right"/>
              <w:rPr>
                <w:rFonts w:eastAsia="Times New Roman" w:cs="Arial"/>
                <w:b/>
                <w:bCs/>
                <w:sz w:val="18"/>
                <w:szCs w:val="18"/>
              </w:rPr>
            </w:pPr>
            <w:r w:rsidRPr="002A7753">
              <w:rPr>
                <w:rFonts w:eastAsia="Times New Roman" w:cs="Arial"/>
                <w:b/>
                <w:bCs/>
                <w:sz w:val="18"/>
                <w:szCs w:val="18"/>
              </w:rPr>
              <w:t>3,332</w:t>
            </w:r>
          </w:p>
        </w:tc>
        <w:tc>
          <w:tcPr>
            <w:tcW w:w="1332" w:type="dxa"/>
            <w:tcBorders>
              <w:top w:val="single" w:sz="4" w:space="0" w:color="auto"/>
              <w:left w:val="nil"/>
              <w:bottom w:val="single" w:sz="12" w:space="0" w:color="auto"/>
              <w:right w:val="nil"/>
            </w:tcBorders>
            <w:shd w:val="clear" w:color="auto" w:fill="auto"/>
            <w:vAlign w:val="bottom"/>
          </w:tcPr>
          <w:p w14:paraId="260F3626" w14:textId="77777777" w:rsidR="003C537E" w:rsidRPr="002D31C7" w:rsidRDefault="003C537E" w:rsidP="003C537E">
            <w:pPr>
              <w:spacing w:after="0" w:line="220" w:lineRule="exact"/>
              <w:jc w:val="right"/>
              <w:rPr>
                <w:rFonts w:eastAsia="Times New Roman" w:cs="Arial"/>
                <w:b/>
                <w:bCs/>
                <w:sz w:val="18"/>
                <w:szCs w:val="18"/>
              </w:rPr>
            </w:pPr>
            <w:r w:rsidRPr="00D952AA">
              <w:rPr>
                <w:rFonts w:cs="Arial"/>
                <w:b/>
                <w:bCs/>
                <w:sz w:val="18"/>
                <w:szCs w:val="18"/>
              </w:rPr>
              <w:t>3</w:t>
            </w:r>
            <w:r>
              <w:rPr>
                <w:rFonts w:cs="Arial"/>
                <w:b/>
                <w:bCs/>
                <w:sz w:val="18"/>
                <w:szCs w:val="18"/>
              </w:rPr>
              <w:t>,</w:t>
            </w:r>
            <w:r w:rsidRPr="00D952AA">
              <w:rPr>
                <w:rFonts w:cs="Arial"/>
                <w:b/>
                <w:bCs/>
                <w:sz w:val="18"/>
                <w:szCs w:val="18"/>
              </w:rPr>
              <w:t>372</w:t>
            </w:r>
          </w:p>
        </w:tc>
      </w:tr>
      <w:tr w:rsidR="003C537E" w:rsidRPr="001004B1" w14:paraId="0F369D5D" w14:textId="77777777" w:rsidTr="009702B0">
        <w:trPr>
          <w:trHeight w:val="56"/>
        </w:trPr>
        <w:tc>
          <w:tcPr>
            <w:tcW w:w="5812" w:type="dxa"/>
            <w:vAlign w:val="bottom"/>
          </w:tcPr>
          <w:p w14:paraId="14AA71C8" w14:textId="77777777" w:rsidR="003C537E" w:rsidRPr="001004B1" w:rsidRDefault="003C537E" w:rsidP="003C537E">
            <w:pPr>
              <w:spacing w:after="0" w:line="140" w:lineRule="exact"/>
              <w:rPr>
                <w:rFonts w:asciiTheme="minorHAnsi" w:eastAsia="Times New Roman" w:hAnsiTheme="minorHAnsi" w:cs="Arial"/>
                <w:b/>
                <w:bCs/>
                <w:sz w:val="18"/>
                <w:szCs w:val="18"/>
              </w:rPr>
            </w:pPr>
          </w:p>
        </w:tc>
        <w:tc>
          <w:tcPr>
            <w:tcW w:w="1331" w:type="dxa"/>
            <w:tcBorders>
              <w:top w:val="single" w:sz="12" w:space="0" w:color="auto"/>
              <w:left w:val="nil"/>
              <w:bottom w:val="single" w:sz="4" w:space="0" w:color="auto"/>
              <w:right w:val="nil"/>
            </w:tcBorders>
            <w:shd w:val="clear" w:color="auto" w:fill="auto"/>
            <w:noWrap/>
            <w:vAlign w:val="bottom"/>
          </w:tcPr>
          <w:p w14:paraId="69DBB05D" w14:textId="77777777" w:rsidR="003C537E" w:rsidRPr="001004B1" w:rsidRDefault="003C537E" w:rsidP="003C537E">
            <w:pPr>
              <w:spacing w:after="0" w:line="140" w:lineRule="exact"/>
              <w:jc w:val="right"/>
              <w:rPr>
                <w:rFonts w:eastAsia="Times New Roman" w:cs="Arial"/>
                <w:b/>
                <w:bCs/>
                <w:sz w:val="18"/>
                <w:szCs w:val="18"/>
              </w:rPr>
            </w:pPr>
          </w:p>
        </w:tc>
        <w:tc>
          <w:tcPr>
            <w:tcW w:w="1332" w:type="dxa"/>
            <w:tcBorders>
              <w:top w:val="single" w:sz="12" w:space="0" w:color="auto"/>
              <w:left w:val="nil"/>
              <w:bottom w:val="single" w:sz="4" w:space="0" w:color="auto"/>
              <w:right w:val="nil"/>
            </w:tcBorders>
            <w:shd w:val="clear" w:color="auto" w:fill="auto"/>
            <w:vAlign w:val="bottom"/>
          </w:tcPr>
          <w:p w14:paraId="2C09CE28" w14:textId="77777777" w:rsidR="003C537E" w:rsidRPr="002D31C7" w:rsidRDefault="003C537E" w:rsidP="003C537E">
            <w:pPr>
              <w:spacing w:after="0" w:line="140" w:lineRule="exact"/>
              <w:jc w:val="right"/>
              <w:rPr>
                <w:rFonts w:eastAsia="Times New Roman" w:cs="Arial"/>
                <w:b/>
                <w:bCs/>
                <w:sz w:val="18"/>
                <w:szCs w:val="18"/>
              </w:rPr>
            </w:pPr>
          </w:p>
        </w:tc>
      </w:tr>
      <w:tr w:rsidR="003C537E" w:rsidRPr="001004B1" w14:paraId="0EE1EA7F" w14:textId="77777777" w:rsidTr="009702B0">
        <w:trPr>
          <w:trHeight w:val="230"/>
        </w:trPr>
        <w:tc>
          <w:tcPr>
            <w:tcW w:w="5812" w:type="dxa"/>
            <w:vAlign w:val="bottom"/>
            <w:hideMark/>
          </w:tcPr>
          <w:p w14:paraId="3D3FC18B" w14:textId="77777777" w:rsidR="003C537E" w:rsidRPr="001004B1" w:rsidRDefault="003C537E" w:rsidP="003C537E">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Total equity and liabilities</w:t>
            </w:r>
          </w:p>
        </w:tc>
        <w:tc>
          <w:tcPr>
            <w:tcW w:w="1331" w:type="dxa"/>
            <w:tcBorders>
              <w:top w:val="single" w:sz="4" w:space="0" w:color="auto"/>
              <w:left w:val="nil"/>
              <w:bottom w:val="single" w:sz="12" w:space="0" w:color="auto"/>
              <w:right w:val="nil"/>
            </w:tcBorders>
            <w:shd w:val="clear" w:color="auto" w:fill="auto"/>
            <w:noWrap/>
            <w:vAlign w:val="bottom"/>
          </w:tcPr>
          <w:p w14:paraId="51F0B348" w14:textId="05D37203" w:rsidR="003C537E" w:rsidRPr="001004B1" w:rsidRDefault="002A7753" w:rsidP="003C537E">
            <w:pPr>
              <w:spacing w:after="0" w:line="220" w:lineRule="exact"/>
              <w:jc w:val="right"/>
              <w:rPr>
                <w:rFonts w:eastAsia="Times New Roman" w:cs="Arial"/>
                <w:b/>
                <w:bCs/>
                <w:sz w:val="18"/>
                <w:szCs w:val="18"/>
              </w:rPr>
            </w:pPr>
            <w:r w:rsidRPr="002A7753">
              <w:rPr>
                <w:rFonts w:eastAsia="Times New Roman" w:cs="Arial"/>
                <w:b/>
                <w:bCs/>
                <w:sz w:val="18"/>
                <w:szCs w:val="18"/>
              </w:rPr>
              <w:t>55,257</w:t>
            </w:r>
          </w:p>
        </w:tc>
        <w:tc>
          <w:tcPr>
            <w:tcW w:w="1332" w:type="dxa"/>
            <w:tcBorders>
              <w:top w:val="single" w:sz="4" w:space="0" w:color="auto"/>
              <w:left w:val="nil"/>
              <w:bottom w:val="single" w:sz="12" w:space="0" w:color="auto"/>
              <w:right w:val="nil"/>
            </w:tcBorders>
            <w:shd w:val="clear" w:color="auto" w:fill="auto"/>
            <w:vAlign w:val="bottom"/>
          </w:tcPr>
          <w:p w14:paraId="1A1ABD6E" w14:textId="77777777" w:rsidR="003C537E" w:rsidRPr="002D31C7" w:rsidRDefault="003C537E" w:rsidP="003C537E">
            <w:pPr>
              <w:spacing w:after="0" w:line="220" w:lineRule="exact"/>
              <w:jc w:val="right"/>
              <w:rPr>
                <w:rFonts w:eastAsia="Times New Roman" w:cs="Arial"/>
                <w:b/>
                <w:bCs/>
                <w:sz w:val="18"/>
                <w:szCs w:val="18"/>
              </w:rPr>
            </w:pPr>
            <w:r w:rsidRPr="00D952AA">
              <w:rPr>
                <w:rFonts w:cs="Arial"/>
                <w:b/>
                <w:bCs/>
                <w:sz w:val="18"/>
                <w:szCs w:val="18"/>
              </w:rPr>
              <w:t>52</w:t>
            </w:r>
            <w:r>
              <w:rPr>
                <w:rFonts w:cs="Arial"/>
                <w:b/>
                <w:bCs/>
                <w:sz w:val="18"/>
                <w:szCs w:val="18"/>
              </w:rPr>
              <w:t>,</w:t>
            </w:r>
            <w:r w:rsidRPr="00D952AA">
              <w:rPr>
                <w:rFonts w:cs="Arial"/>
                <w:b/>
                <w:bCs/>
                <w:sz w:val="18"/>
                <w:szCs w:val="18"/>
              </w:rPr>
              <w:t>033</w:t>
            </w:r>
          </w:p>
        </w:tc>
      </w:tr>
    </w:tbl>
    <w:p w14:paraId="0BEDD332" w14:textId="77777777" w:rsidR="009702B0" w:rsidRPr="009702B0" w:rsidRDefault="009702B0" w:rsidP="009702B0">
      <w:pPr>
        <w:tabs>
          <w:tab w:val="right" w:pos="1202"/>
        </w:tabs>
        <w:spacing w:after="0" w:line="240" w:lineRule="auto"/>
        <w:outlineLvl w:val="0"/>
        <w:rPr>
          <w:rFonts w:eastAsia="Times New Roman"/>
        </w:rPr>
      </w:pPr>
    </w:p>
    <w:p w14:paraId="3DCBDC76" w14:textId="77777777" w:rsidR="009702B0" w:rsidRPr="009702B0" w:rsidRDefault="009702B0" w:rsidP="009702B0">
      <w:pPr>
        <w:ind w:firstLine="708"/>
      </w:pPr>
    </w:p>
    <w:p w14:paraId="50D576A7" w14:textId="77777777" w:rsidR="009702B0" w:rsidRPr="009702B0" w:rsidRDefault="009702B0" w:rsidP="009702B0">
      <w:pPr>
        <w:ind w:firstLine="708"/>
        <w:sectPr w:rsidR="009702B0" w:rsidRPr="009702B0" w:rsidSect="00947CB7">
          <w:headerReference w:type="first" r:id="rId134"/>
          <w:footerReference w:type="first" r:id="rId135"/>
          <w:pgSz w:w="11906" w:h="16838" w:code="9"/>
          <w:pgMar w:top="1418" w:right="1418" w:bottom="595" w:left="1134" w:header="709" w:footer="709" w:gutter="0"/>
          <w:cols w:space="708"/>
          <w:titlePg/>
          <w:docGrid w:linePitch="360"/>
        </w:sectPr>
      </w:pPr>
    </w:p>
    <w:p w14:paraId="2835D211" w14:textId="77777777" w:rsidR="009702B0" w:rsidRPr="009702B0" w:rsidRDefault="009702B0" w:rsidP="009702B0">
      <w:pPr>
        <w:ind w:firstLine="708"/>
      </w:pPr>
      <w:bookmarkStart w:id="0" w:name="_GoBack"/>
      <w:bookmarkEnd w:id="0"/>
    </w:p>
    <w:tbl>
      <w:tblPr>
        <w:tblpPr w:leftFromText="181" w:rightFromText="181" w:vertAnchor="text" w:horzAnchor="margin" w:tblpY="335"/>
        <w:tblW w:w="9039" w:type="dxa"/>
        <w:tblLayout w:type="fixed"/>
        <w:tblLook w:val="04A0" w:firstRow="1" w:lastRow="0" w:firstColumn="1" w:lastColumn="0" w:noHBand="0" w:noVBand="1"/>
      </w:tblPr>
      <w:tblGrid>
        <w:gridCol w:w="6232"/>
        <w:gridCol w:w="1389"/>
        <w:gridCol w:w="1418"/>
      </w:tblGrid>
      <w:tr w:rsidR="001004B1" w:rsidRPr="001004B1" w14:paraId="1716B824" w14:textId="77777777" w:rsidTr="002F749B">
        <w:trPr>
          <w:trHeight w:val="66"/>
        </w:trPr>
        <w:tc>
          <w:tcPr>
            <w:tcW w:w="6232" w:type="dxa"/>
          </w:tcPr>
          <w:p w14:paraId="33C89125" w14:textId="77777777" w:rsidR="001004B1" w:rsidRPr="001004B1" w:rsidRDefault="001004B1" w:rsidP="002F749B">
            <w:pPr>
              <w:spacing w:after="0" w:line="140" w:lineRule="exact"/>
              <w:rPr>
                <w:rFonts w:asciiTheme="minorHAnsi" w:eastAsia="Times New Roman" w:hAnsiTheme="minorHAnsi" w:cs="Arial"/>
                <w:sz w:val="18"/>
                <w:szCs w:val="18"/>
              </w:rPr>
            </w:pPr>
          </w:p>
        </w:tc>
        <w:tc>
          <w:tcPr>
            <w:tcW w:w="1389" w:type="dxa"/>
          </w:tcPr>
          <w:p w14:paraId="30751069" w14:textId="77777777" w:rsidR="001004B1" w:rsidRPr="001004B1" w:rsidRDefault="001004B1" w:rsidP="002F749B">
            <w:pPr>
              <w:spacing w:after="0" w:line="140" w:lineRule="exact"/>
              <w:jc w:val="right"/>
              <w:rPr>
                <w:rFonts w:asciiTheme="minorHAnsi" w:eastAsia="Times New Roman" w:hAnsiTheme="minorHAnsi" w:cs="Arial"/>
                <w:sz w:val="18"/>
                <w:szCs w:val="18"/>
              </w:rPr>
            </w:pPr>
          </w:p>
        </w:tc>
        <w:tc>
          <w:tcPr>
            <w:tcW w:w="1418" w:type="dxa"/>
          </w:tcPr>
          <w:p w14:paraId="16034910" w14:textId="77777777" w:rsidR="001004B1" w:rsidRPr="001004B1" w:rsidRDefault="001004B1" w:rsidP="002F749B">
            <w:pPr>
              <w:spacing w:after="0" w:line="140" w:lineRule="exact"/>
              <w:jc w:val="right"/>
              <w:rPr>
                <w:rFonts w:asciiTheme="minorHAnsi" w:eastAsia="Times New Roman" w:hAnsiTheme="minorHAnsi" w:cs="Arial"/>
                <w:sz w:val="18"/>
                <w:szCs w:val="18"/>
              </w:rPr>
            </w:pPr>
          </w:p>
        </w:tc>
      </w:tr>
      <w:tr w:rsidR="001004B1" w:rsidRPr="001004B1" w14:paraId="607D8D6A" w14:textId="77777777" w:rsidTr="002F749B">
        <w:trPr>
          <w:trHeight w:val="119"/>
        </w:trPr>
        <w:tc>
          <w:tcPr>
            <w:tcW w:w="6232" w:type="dxa"/>
            <w:vAlign w:val="bottom"/>
          </w:tcPr>
          <w:p w14:paraId="5DA301F0" w14:textId="77777777" w:rsidR="001004B1" w:rsidRPr="001004B1" w:rsidRDefault="001004B1" w:rsidP="002F749B">
            <w:pPr>
              <w:spacing w:after="0" w:line="220" w:lineRule="exact"/>
              <w:rPr>
                <w:rFonts w:asciiTheme="minorHAnsi" w:eastAsia="Times New Roman" w:hAnsiTheme="minorHAnsi" w:cs="Arial"/>
                <w:b/>
                <w:bCs/>
                <w:sz w:val="18"/>
                <w:szCs w:val="18"/>
              </w:rPr>
            </w:pPr>
          </w:p>
        </w:tc>
        <w:tc>
          <w:tcPr>
            <w:tcW w:w="1389" w:type="dxa"/>
            <w:noWrap/>
            <w:vAlign w:val="center"/>
            <w:hideMark/>
          </w:tcPr>
          <w:p w14:paraId="518E2B41" w14:textId="1BC99729" w:rsidR="001004B1" w:rsidRPr="001004B1" w:rsidRDefault="00895CCA" w:rsidP="001004B1">
            <w:pPr>
              <w:spacing w:after="0" w:line="240" w:lineRule="auto"/>
              <w:jc w:val="right"/>
              <w:rPr>
                <w:rFonts w:eastAsia="Times New Roman" w:cs="Arial"/>
                <w:b/>
                <w:bCs/>
                <w:sz w:val="18"/>
                <w:szCs w:val="18"/>
              </w:rPr>
            </w:pPr>
            <w:r>
              <w:rPr>
                <w:rFonts w:eastAsia="Times New Roman" w:cs="Arial"/>
                <w:b/>
                <w:bCs/>
                <w:sz w:val="18"/>
                <w:szCs w:val="18"/>
              </w:rPr>
              <w:t xml:space="preserve">Sep </w:t>
            </w:r>
            <w:r w:rsidR="00612D33">
              <w:rPr>
                <w:rFonts w:eastAsia="Times New Roman" w:cs="Arial"/>
                <w:b/>
                <w:bCs/>
                <w:sz w:val="18"/>
                <w:szCs w:val="18"/>
              </w:rPr>
              <w:t>30</w:t>
            </w:r>
            <w:r w:rsidR="001004B1" w:rsidRPr="001004B1">
              <w:rPr>
                <w:rFonts w:eastAsia="Times New Roman" w:cs="Arial"/>
                <w:b/>
                <w:bCs/>
                <w:sz w:val="18"/>
                <w:szCs w:val="18"/>
              </w:rPr>
              <w:t>, 2017</w:t>
            </w:r>
          </w:p>
        </w:tc>
        <w:tc>
          <w:tcPr>
            <w:tcW w:w="1418" w:type="dxa"/>
            <w:vAlign w:val="center"/>
            <w:hideMark/>
          </w:tcPr>
          <w:p w14:paraId="561E3900" w14:textId="1FB8D0F8" w:rsidR="001004B1" w:rsidRPr="001004B1" w:rsidRDefault="00895CCA" w:rsidP="001004B1">
            <w:pPr>
              <w:spacing w:after="0" w:line="240" w:lineRule="auto"/>
              <w:jc w:val="right"/>
              <w:rPr>
                <w:rFonts w:eastAsia="Times New Roman" w:cs="Arial"/>
                <w:b/>
                <w:bCs/>
                <w:sz w:val="18"/>
                <w:szCs w:val="18"/>
              </w:rPr>
            </w:pPr>
            <w:r>
              <w:rPr>
                <w:rFonts w:eastAsia="Times New Roman" w:cs="Arial"/>
                <w:b/>
                <w:bCs/>
                <w:sz w:val="18"/>
                <w:szCs w:val="18"/>
              </w:rPr>
              <w:t xml:space="preserve">Sep </w:t>
            </w:r>
            <w:r w:rsidR="004258E7" w:rsidRPr="004258E7">
              <w:rPr>
                <w:rFonts w:eastAsia="Times New Roman" w:cs="Arial"/>
                <w:b/>
                <w:bCs/>
                <w:sz w:val="18"/>
                <w:szCs w:val="18"/>
              </w:rPr>
              <w:t>30</w:t>
            </w:r>
            <w:r w:rsidR="001004B1" w:rsidRPr="001004B1">
              <w:rPr>
                <w:rFonts w:eastAsia="Times New Roman" w:cs="Arial"/>
                <w:b/>
                <w:bCs/>
                <w:sz w:val="18"/>
                <w:szCs w:val="18"/>
              </w:rPr>
              <w:t>, 2016</w:t>
            </w:r>
          </w:p>
        </w:tc>
      </w:tr>
      <w:tr w:rsidR="001004B1" w:rsidRPr="001004B1" w14:paraId="5BBE7136" w14:textId="77777777" w:rsidTr="002F749B">
        <w:trPr>
          <w:trHeight w:val="59"/>
        </w:trPr>
        <w:tc>
          <w:tcPr>
            <w:tcW w:w="6232" w:type="dxa"/>
            <w:vAlign w:val="bottom"/>
          </w:tcPr>
          <w:p w14:paraId="4BA7023C" w14:textId="77777777" w:rsidR="001004B1" w:rsidRPr="001004B1" w:rsidRDefault="001004B1" w:rsidP="002F749B">
            <w:pPr>
              <w:spacing w:after="0" w:line="140" w:lineRule="exact"/>
              <w:rPr>
                <w:rFonts w:asciiTheme="minorHAnsi" w:eastAsia="Times New Roman" w:hAnsiTheme="minorHAnsi" w:cs="Arial"/>
                <w:sz w:val="18"/>
                <w:szCs w:val="18"/>
              </w:rPr>
            </w:pPr>
          </w:p>
        </w:tc>
        <w:tc>
          <w:tcPr>
            <w:tcW w:w="1389" w:type="dxa"/>
            <w:noWrap/>
            <w:vAlign w:val="bottom"/>
          </w:tcPr>
          <w:p w14:paraId="610D92C2" w14:textId="77777777" w:rsidR="001004B1" w:rsidRPr="001004B1" w:rsidRDefault="001004B1" w:rsidP="002F749B">
            <w:pPr>
              <w:spacing w:after="0" w:line="140" w:lineRule="exact"/>
              <w:rPr>
                <w:rFonts w:asciiTheme="minorHAnsi" w:eastAsia="Times New Roman" w:hAnsiTheme="minorHAnsi" w:cs="Arial"/>
                <w:sz w:val="18"/>
                <w:szCs w:val="18"/>
              </w:rPr>
            </w:pPr>
          </w:p>
        </w:tc>
        <w:tc>
          <w:tcPr>
            <w:tcW w:w="1418" w:type="dxa"/>
          </w:tcPr>
          <w:p w14:paraId="60C409F2" w14:textId="77777777" w:rsidR="001004B1" w:rsidRPr="001004B1" w:rsidRDefault="001004B1" w:rsidP="002F749B">
            <w:pPr>
              <w:spacing w:after="0" w:line="140" w:lineRule="exact"/>
              <w:rPr>
                <w:rFonts w:asciiTheme="minorHAnsi" w:eastAsia="Times New Roman" w:hAnsiTheme="minorHAnsi" w:cs="Arial"/>
                <w:sz w:val="18"/>
                <w:szCs w:val="18"/>
              </w:rPr>
            </w:pPr>
          </w:p>
        </w:tc>
      </w:tr>
      <w:tr w:rsidR="001004B1" w:rsidRPr="001004B1" w14:paraId="7060F37B" w14:textId="77777777" w:rsidTr="002F749B">
        <w:trPr>
          <w:trHeight w:val="109"/>
        </w:trPr>
        <w:tc>
          <w:tcPr>
            <w:tcW w:w="6232" w:type="dxa"/>
            <w:vAlign w:val="bottom"/>
            <w:hideMark/>
          </w:tcPr>
          <w:p w14:paraId="340A1ED4" w14:textId="77777777" w:rsidR="001004B1" w:rsidRPr="001004B1" w:rsidRDefault="001004B1" w:rsidP="002F749B">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Operating activities</w:t>
            </w:r>
          </w:p>
        </w:tc>
        <w:tc>
          <w:tcPr>
            <w:tcW w:w="1389" w:type="dxa"/>
            <w:noWrap/>
            <w:vAlign w:val="bottom"/>
          </w:tcPr>
          <w:p w14:paraId="034D6850" w14:textId="77777777" w:rsidR="001004B1" w:rsidRPr="001004B1" w:rsidRDefault="001004B1" w:rsidP="002F749B">
            <w:pPr>
              <w:spacing w:after="0" w:line="220" w:lineRule="exact"/>
              <w:jc w:val="right"/>
              <w:rPr>
                <w:rFonts w:asciiTheme="minorHAnsi" w:eastAsia="Times New Roman" w:hAnsiTheme="minorHAnsi" w:cs="Arial"/>
                <w:sz w:val="18"/>
                <w:szCs w:val="18"/>
              </w:rPr>
            </w:pPr>
          </w:p>
        </w:tc>
        <w:tc>
          <w:tcPr>
            <w:tcW w:w="1418" w:type="dxa"/>
          </w:tcPr>
          <w:p w14:paraId="4BA76881" w14:textId="77777777" w:rsidR="001004B1" w:rsidRPr="001004B1" w:rsidRDefault="001004B1" w:rsidP="002F749B">
            <w:pPr>
              <w:spacing w:after="0" w:line="220" w:lineRule="exact"/>
              <w:jc w:val="right"/>
              <w:rPr>
                <w:rFonts w:asciiTheme="minorHAnsi" w:eastAsia="Times New Roman" w:hAnsiTheme="minorHAnsi" w:cs="Arial"/>
                <w:sz w:val="18"/>
                <w:szCs w:val="18"/>
              </w:rPr>
            </w:pPr>
          </w:p>
        </w:tc>
      </w:tr>
      <w:tr w:rsidR="00ED3157" w:rsidRPr="001004B1" w14:paraId="274CF8D1" w14:textId="77777777" w:rsidTr="006B318F">
        <w:trPr>
          <w:trHeight w:val="66"/>
        </w:trPr>
        <w:tc>
          <w:tcPr>
            <w:tcW w:w="6232" w:type="dxa"/>
            <w:vAlign w:val="bottom"/>
            <w:hideMark/>
          </w:tcPr>
          <w:p w14:paraId="5269A5A0" w14:textId="77777777" w:rsidR="00ED3157" w:rsidRPr="001004B1" w:rsidRDefault="00ED3157" w:rsidP="00ED3157">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Profit before income tax</w:t>
            </w:r>
          </w:p>
        </w:tc>
        <w:tc>
          <w:tcPr>
            <w:tcW w:w="1389" w:type="dxa"/>
            <w:tcBorders>
              <w:top w:val="nil"/>
              <w:left w:val="nil"/>
              <w:bottom w:val="nil"/>
              <w:right w:val="nil"/>
            </w:tcBorders>
            <w:shd w:val="clear" w:color="auto" w:fill="auto"/>
            <w:noWrap/>
          </w:tcPr>
          <w:p w14:paraId="3A03D35A" w14:textId="1035821A" w:rsidR="00ED3157" w:rsidRPr="005444AA" w:rsidRDefault="00A61B39" w:rsidP="00ED3157">
            <w:pPr>
              <w:spacing w:after="0" w:line="220" w:lineRule="exact"/>
              <w:jc w:val="right"/>
              <w:rPr>
                <w:rFonts w:cs="Arial"/>
                <w:sz w:val="18"/>
                <w:szCs w:val="18"/>
              </w:rPr>
            </w:pPr>
            <w:r w:rsidRPr="00A61B39">
              <w:rPr>
                <w:rFonts w:cs="Arial"/>
                <w:sz w:val="18"/>
                <w:szCs w:val="18"/>
              </w:rPr>
              <w:t>1,030</w:t>
            </w:r>
          </w:p>
        </w:tc>
        <w:tc>
          <w:tcPr>
            <w:tcW w:w="1418" w:type="dxa"/>
            <w:tcBorders>
              <w:top w:val="nil"/>
              <w:left w:val="nil"/>
              <w:bottom w:val="nil"/>
              <w:right w:val="nil"/>
            </w:tcBorders>
            <w:shd w:val="clear" w:color="auto" w:fill="auto"/>
          </w:tcPr>
          <w:p w14:paraId="3FCFF092" w14:textId="6FCCE846" w:rsidR="00ED3157" w:rsidRPr="005444AA" w:rsidRDefault="00ED3157" w:rsidP="00ED3157">
            <w:pPr>
              <w:spacing w:after="0" w:line="220" w:lineRule="exact"/>
              <w:jc w:val="right"/>
              <w:rPr>
                <w:rFonts w:cs="Arial"/>
                <w:sz w:val="18"/>
                <w:szCs w:val="18"/>
              </w:rPr>
            </w:pPr>
            <w:r w:rsidRPr="006B318F">
              <w:rPr>
                <w:rFonts w:cs="Arial"/>
                <w:sz w:val="18"/>
                <w:szCs w:val="18"/>
              </w:rPr>
              <w:t>856</w:t>
            </w:r>
          </w:p>
        </w:tc>
      </w:tr>
      <w:tr w:rsidR="00ED3157" w:rsidRPr="001004B1" w14:paraId="5E1D1205" w14:textId="77777777" w:rsidTr="006B318F">
        <w:trPr>
          <w:trHeight w:val="180"/>
        </w:trPr>
        <w:tc>
          <w:tcPr>
            <w:tcW w:w="6232" w:type="dxa"/>
            <w:vAlign w:val="bottom"/>
            <w:hideMark/>
          </w:tcPr>
          <w:p w14:paraId="4EF2335B" w14:textId="77777777" w:rsidR="00ED3157" w:rsidRPr="001004B1" w:rsidRDefault="00ED3157" w:rsidP="00ED3157">
            <w:pPr>
              <w:spacing w:after="0" w:line="220" w:lineRule="exact"/>
              <w:rPr>
                <w:rFonts w:asciiTheme="minorHAnsi" w:eastAsia="Times New Roman" w:hAnsiTheme="minorHAnsi" w:cs="Arial"/>
                <w:i/>
                <w:sz w:val="18"/>
                <w:szCs w:val="18"/>
              </w:rPr>
            </w:pPr>
            <w:r w:rsidRPr="001004B1">
              <w:rPr>
                <w:rFonts w:asciiTheme="minorHAnsi" w:eastAsia="Times New Roman" w:hAnsiTheme="minorHAnsi" w:cs="Arial"/>
                <w:i/>
                <w:sz w:val="18"/>
                <w:szCs w:val="18"/>
              </w:rPr>
              <w:t>Adjustments to reconcile to net cash from and used in operating activities:</w:t>
            </w:r>
          </w:p>
        </w:tc>
        <w:tc>
          <w:tcPr>
            <w:tcW w:w="1389" w:type="dxa"/>
            <w:tcBorders>
              <w:top w:val="nil"/>
              <w:left w:val="nil"/>
              <w:bottom w:val="nil"/>
              <w:right w:val="nil"/>
            </w:tcBorders>
            <w:shd w:val="clear" w:color="auto" w:fill="auto"/>
            <w:noWrap/>
          </w:tcPr>
          <w:p w14:paraId="3CA90433" w14:textId="77777777" w:rsidR="00ED3157" w:rsidRPr="005444AA" w:rsidRDefault="00ED3157" w:rsidP="00ED3157">
            <w:pPr>
              <w:spacing w:after="0" w:line="220" w:lineRule="exact"/>
              <w:jc w:val="right"/>
              <w:rPr>
                <w:rFonts w:cs="Arial"/>
                <w:sz w:val="18"/>
                <w:szCs w:val="18"/>
              </w:rPr>
            </w:pPr>
          </w:p>
        </w:tc>
        <w:tc>
          <w:tcPr>
            <w:tcW w:w="1418" w:type="dxa"/>
            <w:tcBorders>
              <w:top w:val="nil"/>
              <w:left w:val="nil"/>
              <w:bottom w:val="nil"/>
              <w:right w:val="nil"/>
            </w:tcBorders>
            <w:shd w:val="clear" w:color="auto" w:fill="auto"/>
          </w:tcPr>
          <w:p w14:paraId="3B12DFB6" w14:textId="77777777" w:rsidR="00ED3157" w:rsidRPr="005444AA" w:rsidRDefault="00ED3157" w:rsidP="00ED3157">
            <w:pPr>
              <w:spacing w:after="0" w:line="220" w:lineRule="exact"/>
              <w:jc w:val="right"/>
              <w:rPr>
                <w:rFonts w:cs="Arial"/>
                <w:sz w:val="18"/>
                <w:szCs w:val="18"/>
              </w:rPr>
            </w:pPr>
          </w:p>
        </w:tc>
      </w:tr>
      <w:tr w:rsidR="00A61B39" w:rsidRPr="001004B1" w14:paraId="26504A54" w14:textId="77777777" w:rsidTr="006B318F">
        <w:trPr>
          <w:trHeight w:val="180"/>
        </w:trPr>
        <w:tc>
          <w:tcPr>
            <w:tcW w:w="6232" w:type="dxa"/>
            <w:vAlign w:val="bottom"/>
            <w:hideMark/>
          </w:tcPr>
          <w:p w14:paraId="1C493FE8" w14:textId="77777777" w:rsidR="00A61B39" w:rsidRPr="001004B1" w:rsidRDefault="00A61B39" w:rsidP="00A61B39">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Depreciation</w:t>
            </w:r>
          </w:p>
        </w:tc>
        <w:tc>
          <w:tcPr>
            <w:tcW w:w="1389" w:type="dxa"/>
            <w:tcBorders>
              <w:top w:val="nil"/>
              <w:left w:val="nil"/>
              <w:bottom w:val="nil"/>
              <w:right w:val="nil"/>
            </w:tcBorders>
            <w:shd w:val="clear" w:color="auto" w:fill="auto"/>
            <w:noWrap/>
          </w:tcPr>
          <w:p w14:paraId="412564F3" w14:textId="22F7B48D" w:rsidR="00A61B39" w:rsidRPr="005444AA" w:rsidRDefault="00A61B39" w:rsidP="00A61B39">
            <w:pPr>
              <w:spacing w:after="0" w:line="220" w:lineRule="exact"/>
              <w:jc w:val="right"/>
              <w:rPr>
                <w:rFonts w:cs="Arial"/>
                <w:sz w:val="18"/>
                <w:szCs w:val="18"/>
              </w:rPr>
            </w:pPr>
            <w:r>
              <w:rPr>
                <w:rFonts w:eastAsia="Times New Roman" w:cs="Arial"/>
                <w:sz w:val="18"/>
                <w:szCs w:val="18"/>
              </w:rPr>
              <w:t>46</w:t>
            </w:r>
          </w:p>
        </w:tc>
        <w:tc>
          <w:tcPr>
            <w:tcW w:w="1418" w:type="dxa"/>
            <w:tcBorders>
              <w:top w:val="nil"/>
              <w:left w:val="nil"/>
              <w:bottom w:val="nil"/>
              <w:right w:val="nil"/>
            </w:tcBorders>
            <w:shd w:val="clear" w:color="auto" w:fill="auto"/>
          </w:tcPr>
          <w:p w14:paraId="529E848F" w14:textId="13D64716" w:rsidR="00A61B39" w:rsidRPr="005444AA" w:rsidRDefault="00A61B39" w:rsidP="00A61B39">
            <w:pPr>
              <w:spacing w:after="0" w:line="220" w:lineRule="exact"/>
              <w:jc w:val="right"/>
              <w:rPr>
                <w:rFonts w:cs="Arial"/>
                <w:sz w:val="18"/>
                <w:szCs w:val="18"/>
              </w:rPr>
            </w:pPr>
            <w:r w:rsidRPr="006B318F">
              <w:rPr>
                <w:rFonts w:cs="Arial"/>
                <w:sz w:val="18"/>
                <w:szCs w:val="18"/>
              </w:rPr>
              <w:t>53</w:t>
            </w:r>
          </w:p>
        </w:tc>
      </w:tr>
      <w:tr w:rsidR="00A61B39" w:rsidRPr="001004B1" w14:paraId="04097A12" w14:textId="77777777" w:rsidTr="006B318F">
        <w:trPr>
          <w:trHeight w:val="180"/>
        </w:trPr>
        <w:tc>
          <w:tcPr>
            <w:tcW w:w="6232" w:type="dxa"/>
            <w:vAlign w:val="bottom"/>
            <w:hideMark/>
          </w:tcPr>
          <w:p w14:paraId="71402CF6" w14:textId="77777777" w:rsidR="00A61B39" w:rsidRPr="001004B1" w:rsidRDefault="00A61B39" w:rsidP="00A61B39">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Impairment loss and provisions</w:t>
            </w:r>
          </w:p>
        </w:tc>
        <w:tc>
          <w:tcPr>
            <w:tcW w:w="1389" w:type="dxa"/>
            <w:tcBorders>
              <w:top w:val="nil"/>
              <w:left w:val="nil"/>
              <w:bottom w:val="nil"/>
              <w:right w:val="nil"/>
            </w:tcBorders>
            <w:shd w:val="clear" w:color="auto" w:fill="auto"/>
            <w:noWrap/>
          </w:tcPr>
          <w:p w14:paraId="4609DF44" w14:textId="1E71E3DF" w:rsidR="00A61B39" w:rsidRPr="005444AA" w:rsidRDefault="00A61B39" w:rsidP="00A61B39">
            <w:pPr>
              <w:spacing w:after="0" w:line="220" w:lineRule="exact"/>
              <w:jc w:val="right"/>
              <w:rPr>
                <w:rFonts w:cs="Arial"/>
                <w:sz w:val="18"/>
                <w:szCs w:val="18"/>
              </w:rPr>
            </w:pPr>
            <w:r>
              <w:rPr>
                <w:rFonts w:eastAsia="Times New Roman" w:cs="Arial"/>
                <w:sz w:val="18"/>
                <w:szCs w:val="18"/>
              </w:rPr>
              <w:t>28</w:t>
            </w:r>
          </w:p>
        </w:tc>
        <w:tc>
          <w:tcPr>
            <w:tcW w:w="1418" w:type="dxa"/>
            <w:tcBorders>
              <w:top w:val="nil"/>
              <w:left w:val="nil"/>
              <w:bottom w:val="nil"/>
              <w:right w:val="nil"/>
            </w:tcBorders>
            <w:shd w:val="clear" w:color="auto" w:fill="auto"/>
          </w:tcPr>
          <w:p w14:paraId="03C6FDF6" w14:textId="123FA36D" w:rsidR="00A61B39" w:rsidRPr="005444AA" w:rsidRDefault="00A61B39" w:rsidP="00A61B39">
            <w:pPr>
              <w:spacing w:after="0" w:line="220" w:lineRule="exact"/>
              <w:jc w:val="right"/>
              <w:rPr>
                <w:rFonts w:cs="Arial"/>
                <w:sz w:val="18"/>
                <w:szCs w:val="18"/>
              </w:rPr>
            </w:pPr>
            <w:r w:rsidRPr="006B318F">
              <w:rPr>
                <w:rFonts w:cs="Arial"/>
                <w:sz w:val="18"/>
                <w:szCs w:val="18"/>
              </w:rPr>
              <w:t>(73)</w:t>
            </w:r>
          </w:p>
        </w:tc>
      </w:tr>
      <w:tr w:rsidR="00A61B39" w:rsidRPr="001004B1" w14:paraId="36F93639" w14:textId="77777777" w:rsidTr="006B318F">
        <w:trPr>
          <w:trHeight w:val="184"/>
        </w:trPr>
        <w:tc>
          <w:tcPr>
            <w:tcW w:w="6232" w:type="dxa"/>
            <w:vAlign w:val="bottom"/>
            <w:hideMark/>
          </w:tcPr>
          <w:p w14:paraId="7A9CC4C0" w14:textId="77777777" w:rsidR="00A61B39" w:rsidRPr="001004B1" w:rsidRDefault="00A61B39" w:rsidP="00A61B39">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Income tax</w:t>
            </w:r>
          </w:p>
        </w:tc>
        <w:tc>
          <w:tcPr>
            <w:tcW w:w="1389" w:type="dxa"/>
            <w:tcBorders>
              <w:top w:val="nil"/>
              <w:left w:val="nil"/>
              <w:bottom w:val="nil"/>
              <w:right w:val="nil"/>
            </w:tcBorders>
            <w:shd w:val="clear" w:color="auto" w:fill="auto"/>
            <w:noWrap/>
          </w:tcPr>
          <w:p w14:paraId="6B34ED23" w14:textId="2E6D5607" w:rsidR="00A61B39" w:rsidRPr="005444AA" w:rsidRDefault="00A61B39" w:rsidP="00A61B39">
            <w:pPr>
              <w:spacing w:after="0" w:line="220" w:lineRule="exact"/>
              <w:jc w:val="right"/>
              <w:rPr>
                <w:rFonts w:cs="Arial"/>
                <w:sz w:val="18"/>
                <w:szCs w:val="18"/>
              </w:rPr>
            </w:pPr>
            <w:r w:rsidRPr="00D77059">
              <w:rPr>
                <w:rFonts w:eastAsia="Times New Roman" w:cs="Arial"/>
                <w:sz w:val="18"/>
                <w:szCs w:val="18"/>
              </w:rPr>
              <w:t>-</w:t>
            </w:r>
          </w:p>
        </w:tc>
        <w:tc>
          <w:tcPr>
            <w:tcW w:w="1418" w:type="dxa"/>
            <w:tcBorders>
              <w:top w:val="nil"/>
              <w:left w:val="nil"/>
              <w:bottom w:val="nil"/>
              <w:right w:val="nil"/>
            </w:tcBorders>
            <w:shd w:val="clear" w:color="auto" w:fill="auto"/>
          </w:tcPr>
          <w:p w14:paraId="687A4D6D" w14:textId="338A24AF" w:rsidR="00A61B39" w:rsidRPr="005444AA" w:rsidRDefault="00A61B39" w:rsidP="00A61B39">
            <w:pPr>
              <w:spacing w:after="0" w:line="220" w:lineRule="exact"/>
              <w:jc w:val="right"/>
              <w:rPr>
                <w:rFonts w:cs="Arial"/>
                <w:sz w:val="18"/>
                <w:szCs w:val="18"/>
              </w:rPr>
            </w:pPr>
            <w:r w:rsidRPr="006B318F">
              <w:rPr>
                <w:rFonts w:cs="Arial"/>
                <w:sz w:val="18"/>
                <w:szCs w:val="18"/>
              </w:rPr>
              <w:t>-</w:t>
            </w:r>
          </w:p>
        </w:tc>
      </w:tr>
      <w:tr w:rsidR="00A61B39" w:rsidRPr="001004B1" w14:paraId="4A9E2E08" w14:textId="77777777" w:rsidTr="006B318F">
        <w:trPr>
          <w:trHeight w:val="184"/>
        </w:trPr>
        <w:tc>
          <w:tcPr>
            <w:tcW w:w="6232" w:type="dxa"/>
            <w:vAlign w:val="bottom"/>
            <w:hideMark/>
          </w:tcPr>
          <w:p w14:paraId="11A20A91" w14:textId="77777777" w:rsidR="00A61B39" w:rsidRPr="001004B1" w:rsidRDefault="00A61B39" w:rsidP="00A61B39">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Accrued interest</w:t>
            </w:r>
          </w:p>
        </w:tc>
        <w:tc>
          <w:tcPr>
            <w:tcW w:w="1389" w:type="dxa"/>
            <w:tcBorders>
              <w:top w:val="nil"/>
              <w:left w:val="nil"/>
              <w:bottom w:val="nil"/>
              <w:right w:val="nil"/>
            </w:tcBorders>
            <w:shd w:val="clear" w:color="auto" w:fill="auto"/>
            <w:noWrap/>
          </w:tcPr>
          <w:p w14:paraId="107C18B2" w14:textId="55AE14C1" w:rsidR="00A61B39" w:rsidRPr="005444AA" w:rsidRDefault="00A61B39" w:rsidP="00A61B39">
            <w:pPr>
              <w:spacing w:after="0" w:line="220" w:lineRule="exact"/>
              <w:jc w:val="right"/>
              <w:rPr>
                <w:rFonts w:cs="Arial"/>
                <w:sz w:val="18"/>
                <w:szCs w:val="18"/>
              </w:rPr>
            </w:pPr>
            <w:r>
              <w:rPr>
                <w:rFonts w:eastAsia="Times New Roman" w:cs="Arial"/>
                <w:sz w:val="18"/>
                <w:szCs w:val="18"/>
              </w:rPr>
              <w:t>114</w:t>
            </w:r>
          </w:p>
        </w:tc>
        <w:tc>
          <w:tcPr>
            <w:tcW w:w="1418" w:type="dxa"/>
            <w:tcBorders>
              <w:top w:val="nil"/>
              <w:left w:val="nil"/>
              <w:right w:val="nil"/>
            </w:tcBorders>
            <w:shd w:val="clear" w:color="auto" w:fill="auto"/>
          </w:tcPr>
          <w:p w14:paraId="03CC2B1A" w14:textId="125F1F63" w:rsidR="00A61B39" w:rsidRPr="005444AA" w:rsidRDefault="00A61B39" w:rsidP="00A61B39">
            <w:pPr>
              <w:spacing w:after="0" w:line="220" w:lineRule="exact"/>
              <w:jc w:val="right"/>
              <w:rPr>
                <w:rFonts w:cs="Arial"/>
                <w:sz w:val="18"/>
                <w:szCs w:val="18"/>
              </w:rPr>
            </w:pPr>
            <w:r w:rsidRPr="006B318F">
              <w:rPr>
                <w:rFonts w:cs="Arial"/>
                <w:sz w:val="18"/>
                <w:szCs w:val="18"/>
              </w:rPr>
              <w:t>156</w:t>
            </w:r>
          </w:p>
        </w:tc>
      </w:tr>
      <w:tr w:rsidR="00A61B39" w:rsidRPr="001004B1" w14:paraId="5C90DDA9" w14:textId="77777777" w:rsidTr="006B318F">
        <w:trPr>
          <w:trHeight w:val="164"/>
        </w:trPr>
        <w:tc>
          <w:tcPr>
            <w:tcW w:w="6232" w:type="dxa"/>
            <w:vAlign w:val="bottom"/>
            <w:hideMark/>
          </w:tcPr>
          <w:p w14:paraId="3158BB7A" w14:textId="77777777" w:rsidR="00A61B39" w:rsidRPr="001004B1" w:rsidRDefault="00A61B39" w:rsidP="00A61B39">
            <w:pPr>
              <w:spacing w:after="0" w:line="220" w:lineRule="exact"/>
              <w:rPr>
                <w:rFonts w:asciiTheme="minorHAnsi" w:eastAsia="Times New Roman" w:hAnsiTheme="minorHAnsi" w:cs="Arial"/>
                <w:i/>
                <w:sz w:val="18"/>
                <w:szCs w:val="18"/>
              </w:rPr>
            </w:pPr>
            <w:r w:rsidRPr="001004B1">
              <w:rPr>
                <w:rFonts w:asciiTheme="minorHAnsi" w:eastAsia="Times New Roman" w:hAnsiTheme="minorHAnsi" w:cs="Arial"/>
                <w:i/>
                <w:sz w:val="18"/>
                <w:szCs w:val="18"/>
              </w:rPr>
              <w:t>Operating profit before working capital changes</w:t>
            </w:r>
          </w:p>
        </w:tc>
        <w:tc>
          <w:tcPr>
            <w:tcW w:w="1389" w:type="dxa"/>
            <w:tcBorders>
              <w:top w:val="nil"/>
              <w:left w:val="nil"/>
              <w:bottom w:val="nil"/>
              <w:right w:val="nil"/>
            </w:tcBorders>
            <w:shd w:val="clear" w:color="auto" w:fill="auto"/>
            <w:noWrap/>
          </w:tcPr>
          <w:p w14:paraId="341D179B" w14:textId="6643C253" w:rsidR="00A61B39" w:rsidRPr="006B318F" w:rsidRDefault="00A61B39" w:rsidP="00A61B39">
            <w:pPr>
              <w:spacing w:after="0" w:line="220" w:lineRule="exact"/>
              <w:jc w:val="right"/>
              <w:rPr>
                <w:rFonts w:cs="Arial"/>
                <w:i/>
                <w:sz w:val="18"/>
                <w:szCs w:val="18"/>
              </w:rPr>
            </w:pPr>
            <w:r w:rsidRPr="006B318F">
              <w:rPr>
                <w:rFonts w:eastAsia="Times New Roman" w:cs="Arial"/>
                <w:i/>
                <w:sz w:val="18"/>
                <w:szCs w:val="18"/>
              </w:rPr>
              <w:t>1,218</w:t>
            </w:r>
          </w:p>
        </w:tc>
        <w:tc>
          <w:tcPr>
            <w:tcW w:w="1418" w:type="dxa"/>
            <w:tcBorders>
              <w:left w:val="nil"/>
              <w:right w:val="nil"/>
            </w:tcBorders>
            <w:shd w:val="clear" w:color="auto" w:fill="auto"/>
          </w:tcPr>
          <w:p w14:paraId="5B1F5871" w14:textId="5082CE2E" w:rsidR="00A61B39" w:rsidRPr="006B318F" w:rsidRDefault="00A61B39" w:rsidP="00A61B39">
            <w:pPr>
              <w:spacing w:after="0" w:line="220" w:lineRule="exact"/>
              <w:jc w:val="right"/>
              <w:rPr>
                <w:rFonts w:cs="Arial"/>
                <w:i/>
                <w:sz w:val="18"/>
                <w:szCs w:val="18"/>
              </w:rPr>
            </w:pPr>
            <w:r w:rsidRPr="006B318F">
              <w:rPr>
                <w:rFonts w:cs="Arial"/>
                <w:i/>
                <w:sz w:val="18"/>
                <w:szCs w:val="18"/>
              </w:rPr>
              <w:t>992</w:t>
            </w:r>
          </w:p>
        </w:tc>
      </w:tr>
      <w:tr w:rsidR="004258E7" w:rsidRPr="001004B1" w14:paraId="4FE09288" w14:textId="77777777" w:rsidTr="006B318F">
        <w:trPr>
          <w:trHeight w:val="60"/>
        </w:trPr>
        <w:tc>
          <w:tcPr>
            <w:tcW w:w="6232" w:type="dxa"/>
            <w:vAlign w:val="bottom"/>
          </w:tcPr>
          <w:p w14:paraId="3C948AD7" w14:textId="77777777" w:rsidR="004258E7" w:rsidRPr="001004B1" w:rsidRDefault="004258E7" w:rsidP="004258E7">
            <w:pPr>
              <w:spacing w:after="0" w:line="140" w:lineRule="exact"/>
              <w:rPr>
                <w:rFonts w:asciiTheme="minorHAnsi" w:eastAsia="Times New Roman" w:hAnsiTheme="minorHAnsi" w:cs="Arial"/>
                <w:sz w:val="18"/>
                <w:szCs w:val="18"/>
              </w:rPr>
            </w:pPr>
          </w:p>
        </w:tc>
        <w:tc>
          <w:tcPr>
            <w:tcW w:w="1389" w:type="dxa"/>
            <w:tcBorders>
              <w:left w:val="nil"/>
              <w:bottom w:val="nil"/>
              <w:right w:val="nil"/>
            </w:tcBorders>
            <w:shd w:val="clear" w:color="auto" w:fill="auto"/>
            <w:noWrap/>
            <w:vAlign w:val="bottom"/>
          </w:tcPr>
          <w:p w14:paraId="299F29E8" w14:textId="77777777" w:rsidR="004258E7" w:rsidRPr="001004B1" w:rsidRDefault="004258E7" w:rsidP="004258E7">
            <w:pPr>
              <w:spacing w:after="0" w:line="140" w:lineRule="exact"/>
              <w:jc w:val="right"/>
              <w:rPr>
                <w:rFonts w:eastAsia="Times New Roman" w:cs="Arial"/>
                <w:sz w:val="18"/>
                <w:szCs w:val="18"/>
              </w:rPr>
            </w:pPr>
          </w:p>
        </w:tc>
        <w:tc>
          <w:tcPr>
            <w:tcW w:w="1418" w:type="dxa"/>
            <w:tcBorders>
              <w:left w:val="nil"/>
              <w:bottom w:val="nil"/>
              <w:right w:val="nil"/>
            </w:tcBorders>
            <w:shd w:val="clear" w:color="auto" w:fill="auto"/>
          </w:tcPr>
          <w:p w14:paraId="5A176DEA" w14:textId="77777777" w:rsidR="004258E7" w:rsidRPr="005444AA" w:rsidRDefault="004258E7" w:rsidP="005444AA">
            <w:pPr>
              <w:spacing w:after="0" w:line="220" w:lineRule="exact"/>
              <w:jc w:val="right"/>
              <w:rPr>
                <w:rFonts w:cs="Arial"/>
                <w:sz w:val="18"/>
                <w:szCs w:val="18"/>
              </w:rPr>
            </w:pPr>
          </w:p>
        </w:tc>
      </w:tr>
      <w:tr w:rsidR="004258E7" w:rsidRPr="001004B1" w14:paraId="7E74060C" w14:textId="77777777" w:rsidTr="006B318F">
        <w:trPr>
          <w:trHeight w:val="148"/>
        </w:trPr>
        <w:tc>
          <w:tcPr>
            <w:tcW w:w="6232" w:type="dxa"/>
            <w:vAlign w:val="bottom"/>
            <w:hideMark/>
          </w:tcPr>
          <w:p w14:paraId="75625427" w14:textId="77777777" w:rsidR="004258E7" w:rsidRPr="001004B1" w:rsidRDefault="004258E7" w:rsidP="004258E7">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Changes in operating assets and liabilities:</w:t>
            </w:r>
          </w:p>
        </w:tc>
        <w:tc>
          <w:tcPr>
            <w:tcW w:w="1389" w:type="dxa"/>
            <w:tcBorders>
              <w:top w:val="nil"/>
              <w:left w:val="nil"/>
              <w:bottom w:val="nil"/>
              <w:right w:val="nil"/>
            </w:tcBorders>
            <w:shd w:val="clear" w:color="auto" w:fill="auto"/>
            <w:noWrap/>
            <w:vAlign w:val="bottom"/>
          </w:tcPr>
          <w:p w14:paraId="584359D2" w14:textId="77777777" w:rsidR="004258E7" w:rsidRPr="001004B1" w:rsidRDefault="004258E7" w:rsidP="004258E7">
            <w:pPr>
              <w:spacing w:after="0" w:line="220" w:lineRule="exact"/>
              <w:jc w:val="right"/>
              <w:rPr>
                <w:rFonts w:eastAsia="Times New Roman" w:cs="Arial"/>
                <w:sz w:val="18"/>
                <w:szCs w:val="18"/>
              </w:rPr>
            </w:pPr>
          </w:p>
        </w:tc>
        <w:tc>
          <w:tcPr>
            <w:tcW w:w="1418" w:type="dxa"/>
            <w:tcBorders>
              <w:top w:val="nil"/>
              <w:left w:val="nil"/>
              <w:bottom w:val="nil"/>
              <w:right w:val="nil"/>
            </w:tcBorders>
            <w:shd w:val="clear" w:color="auto" w:fill="auto"/>
          </w:tcPr>
          <w:p w14:paraId="2AD9BEA8" w14:textId="77777777" w:rsidR="004258E7" w:rsidRPr="005444AA" w:rsidRDefault="004258E7" w:rsidP="004258E7">
            <w:pPr>
              <w:spacing w:after="0" w:line="220" w:lineRule="exact"/>
              <w:jc w:val="right"/>
              <w:rPr>
                <w:rFonts w:cs="Arial"/>
                <w:sz w:val="18"/>
                <w:szCs w:val="18"/>
              </w:rPr>
            </w:pPr>
          </w:p>
        </w:tc>
      </w:tr>
      <w:tr w:rsidR="00A61B39" w:rsidRPr="001004B1" w14:paraId="14BA6512" w14:textId="77777777" w:rsidTr="006B318F">
        <w:trPr>
          <w:trHeight w:val="254"/>
        </w:trPr>
        <w:tc>
          <w:tcPr>
            <w:tcW w:w="6232" w:type="dxa"/>
            <w:vAlign w:val="bottom"/>
          </w:tcPr>
          <w:p w14:paraId="44190474" w14:textId="77777777" w:rsidR="00A61B39" w:rsidRPr="001004B1" w:rsidRDefault="00A61B39" w:rsidP="00A61B39">
            <w:pPr>
              <w:spacing w:after="0" w:line="220" w:lineRule="exact"/>
              <w:rPr>
                <w:rFonts w:asciiTheme="minorHAnsi" w:eastAsia="Times New Roman" w:hAnsiTheme="minorHAnsi" w:cs="Arial"/>
                <w:sz w:val="18"/>
                <w:szCs w:val="18"/>
              </w:rPr>
            </w:pPr>
            <w:r w:rsidRPr="004258E7">
              <w:rPr>
                <w:rFonts w:asciiTheme="minorHAnsi" w:eastAsia="Times New Roman" w:hAnsiTheme="minorHAnsi" w:cs="Arial"/>
                <w:sz w:val="18"/>
                <w:szCs w:val="18"/>
              </w:rPr>
              <w:t>Net decrease in deposits with other banks</w:t>
            </w:r>
          </w:p>
        </w:tc>
        <w:tc>
          <w:tcPr>
            <w:tcW w:w="1389" w:type="dxa"/>
            <w:tcBorders>
              <w:top w:val="nil"/>
              <w:left w:val="nil"/>
              <w:bottom w:val="nil"/>
              <w:right w:val="nil"/>
            </w:tcBorders>
            <w:shd w:val="clear" w:color="auto" w:fill="auto"/>
            <w:noWrap/>
          </w:tcPr>
          <w:p w14:paraId="0ECCA6FE" w14:textId="452CA75B" w:rsidR="00A61B39" w:rsidRPr="00693900" w:rsidDel="00612D33" w:rsidRDefault="00A61B39" w:rsidP="00A61B39">
            <w:pPr>
              <w:spacing w:after="0" w:line="220" w:lineRule="exact"/>
              <w:jc w:val="right"/>
              <w:rPr>
                <w:rFonts w:eastAsia="Times New Roman" w:cs="Arial"/>
                <w:sz w:val="18"/>
                <w:szCs w:val="18"/>
              </w:rPr>
            </w:pPr>
            <w:r>
              <w:rPr>
                <w:rFonts w:eastAsia="Times New Roman" w:cs="Arial"/>
                <w:sz w:val="18"/>
                <w:szCs w:val="18"/>
              </w:rPr>
              <w:t>-</w:t>
            </w:r>
          </w:p>
        </w:tc>
        <w:tc>
          <w:tcPr>
            <w:tcW w:w="1418" w:type="dxa"/>
            <w:tcBorders>
              <w:top w:val="nil"/>
              <w:left w:val="nil"/>
              <w:bottom w:val="nil"/>
              <w:right w:val="nil"/>
            </w:tcBorders>
            <w:shd w:val="clear" w:color="auto" w:fill="auto"/>
          </w:tcPr>
          <w:p w14:paraId="5C2F1160" w14:textId="5D1D366F" w:rsidR="00A61B39" w:rsidRPr="006B318F" w:rsidRDefault="00A61B39" w:rsidP="00A61B39">
            <w:pPr>
              <w:spacing w:after="0" w:line="220" w:lineRule="exact"/>
              <w:jc w:val="right"/>
              <w:rPr>
                <w:rFonts w:eastAsia="Times New Roman" w:cs="Arial"/>
                <w:sz w:val="18"/>
                <w:szCs w:val="18"/>
              </w:rPr>
            </w:pPr>
            <w:r w:rsidRPr="006B318F">
              <w:rPr>
                <w:rFonts w:eastAsia="Times New Roman" w:cs="Arial"/>
                <w:sz w:val="18"/>
                <w:szCs w:val="18"/>
              </w:rPr>
              <w:t>3,000</w:t>
            </w:r>
          </w:p>
        </w:tc>
      </w:tr>
      <w:tr w:rsidR="00A61B39" w:rsidRPr="001004B1" w14:paraId="2C791560" w14:textId="77777777" w:rsidTr="006B318F">
        <w:trPr>
          <w:trHeight w:val="254"/>
        </w:trPr>
        <w:tc>
          <w:tcPr>
            <w:tcW w:w="6232" w:type="dxa"/>
            <w:vAlign w:val="bottom"/>
            <w:hideMark/>
          </w:tcPr>
          <w:p w14:paraId="4DC42B2C" w14:textId="0F4CAB77" w:rsidR="00A61B39" w:rsidRPr="001004B1" w:rsidRDefault="00A61B39" w:rsidP="00A61B39">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Net reali</w:t>
            </w:r>
            <w:r>
              <w:rPr>
                <w:rFonts w:asciiTheme="minorHAnsi" w:eastAsia="Times New Roman" w:hAnsiTheme="minorHAnsi" w:cs="Arial"/>
                <w:sz w:val="18"/>
                <w:szCs w:val="18"/>
              </w:rPr>
              <w:t>s</w:t>
            </w:r>
            <w:r w:rsidRPr="001004B1">
              <w:rPr>
                <w:rFonts w:asciiTheme="minorHAnsi" w:eastAsia="Times New Roman" w:hAnsiTheme="minorHAnsi" w:cs="Arial"/>
                <w:sz w:val="18"/>
                <w:szCs w:val="18"/>
              </w:rPr>
              <w:t xml:space="preserve">ed </w:t>
            </w:r>
            <w:r>
              <w:rPr>
                <w:rFonts w:asciiTheme="minorHAnsi" w:eastAsia="Times New Roman" w:hAnsiTheme="minorHAnsi" w:cs="Arial"/>
                <w:sz w:val="18"/>
                <w:szCs w:val="18"/>
              </w:rPr>
              <w:t>losses/</w:t>
            </w:r>
            <w:r w:rsidRPr="001004B1">
              <w:rPr>
                <w:rFonts w:asciiTheme="minorHAnsi" w:eastAsia="Times New Roman" w:hAnsiTheme="minorHAnsi" w:cs="Arial"/>
                <w:sz w:val="18"/>
                <w:szCs w:val="18"/>
              </w:rPr>
              <w:t>(gain) on assets available for sale</w:t>
            </w:r>
          </w:p>
        </w:tc>
        <w:tc>
          <w:tcPr>
            <w:tcW w:w="1389" w:type="dxa"/>
            <w:tcBorders>
              <w:top w:val="nil"/>
              <w:left w:val="nil"/>
              <w:bottom w:val="nil"/>
              <w:right w:val="nil"/>
            </w:tcBorders>
            <w:shd w:val="clear" w:color="auto" w:fill="auto"/>
            <w:noWrap/>
          </w:tcPr>
          <w:p w14:paraId="79B90355" w14:textId="44BE1B23" w:rsidR="00A61B39" w:rsidRPr="001004B1" w:rsidRDefault="00A61B39" w:rsidP="00A61B39">
            <w:pPr>
              <w:spacing w:after="0" w:line="220" w:lineRule="exact"/>
              <w:jc w:val="right"/>
              <w:rPr>
                <w:rFonts w:eastAsia="Times New Roman" w:cs="Arial"/>
                <w:sz w:val="18"/>
                <w:szCs w:val="18"/>
              </w:rPr>
            </w:pPr>
            <w:r>
              <w:rPr>
                <w:rFonts w:eastAsia="Times New Roman" w:cs="Arial"/>
                <w:sz w:val="18"/>
                <w:szCs w:val="18"/>
              </w:rPr>
              <w:t>5</w:t>
            </w:r>
          </w:p>
        </w:tc>
        <w:tc>
          <w:tcPr>
            <w:tcW w:w="1418" w:type="dxa"/>
            <w:tcBorders>
              <w:top w:val="nil"/>
              <w:left w:val="nil"/>
              <w:bottom w:val="nil"/>
              <w:right w:val="nil"/>
            </w:tcBorders>
            <w:shd w:val="clear" w:color="auto" w:fill="auto"/>
          </w:tcPr>
          <w:p w14:paraId="49C1D79A" w14:textId="4C23ED3F" w:rsidR="00A61B39" w:rsidRPr="006B318F" w:rsidRDefault="00A61B39" w:rsidP="00A61B39">
            <w:pPr>
              <w:spacing w:after="0" w:line="220" w:lineRule="exact"/>
              <w:jc w:val="right"/>
              <w:rPr>
                <w:rFonts w:eastAsia="Times New Roman" w:cs="Arial"/>
                <w:sz w:val="18"/>
                <w:szCs w:val="18"/>
              </w:rPr>
            </w:pPr>
            <w:r w:rsidRPr="006B318F">
              <w:rPr>
                <w:rFonts w:eastAsia="Times New Roman" w:cs="Arial"/>
                <w:sz w:val="18"/>
                <w:szCs w:val="18"/>
              </w:rPr>
              <w:t>(201)</w:t>
            </w:r>
          </w:p>
        </w:tc>
      </w:tr>
      <w:tr w:rsidR="00A61B39" w:rsidRPr="001004B1" w14:paraId="50DAAFC9" w14:textId="77777777" w:rsidTr="006B318F">
        <w:trPr>
          <w:trHeight w:val="254"/>
        </w:trPr>
        <w:tc>
          <w:tcPr>
            <w:tcW w:w="6232" w:type="dxa"/>
            <w:vAlign w:val="bottom"/>
            <w:hideMark/>
          </w:tcPr>
          <w:p w14:paraId="3C35C2F7" w14:textId="77777777" w:rsidR="00A61B39" w:rsidRPr="001004B1" w:rsidRDefault="00A61B39" w:rsidP="00A61B39">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 xml:space="preserve">Decrease of discount in assets available for sale and assets held to maturity </w:t>
            </w:r>
          </w:p>
        </w:tc>
        <w:tc>
          <w:tcPr>
            <w:tcW w:w="1389" w:type="dxa"/>
            <w:tcBorders>
              <w:top w:val="nil"/>
              <w:left w:val="nil"/>
              <w:bottom w:val="nil"/>
              <w:right w:val="nil"/>
            </w:tcBorders>
            <w:shd w:val="clear" w:color="auto" w:fill="auto"/>
            <w:noWrap/>
          </w:tcPr>
          <w:p w14:paraId="75855552" w14:textId="19517A6F" w:rsidR="00A61B39" w:rsidRPr="001004B1" w:rsidRDefault="00A61B39" w:rsidP="00A61B39">
            <w:pPr>
              <w:spacing w:after="0" w:line="220" w:lineRule="exact"/>
              <w:jc w:val="right"/>
              <w:rPr>
                <w:rFonts w:eastAsia="Times New Roman" w:cs="Arial"/>
                <w:sz w:val="18"/>
                <w:szCs w:val="18"/>
              </w:rPr>
            </w:pPr>
            <w:r>
              <w:rPr>
                <w:rFonts w:eastAsia="Times New Roman" w:cs="Arial"/>
                <w:sz w:val="18"/>
                <w:szCs w:val="18"/>
              </w:rPr>
              <w:t>319</w:t>
            </w:r>
          </w:p>
        </w:tc>
        <w:tc>
          <w:tcPr>
            <w:tcW w:w="1418" w:type="dxa"/>
            <w:tcBorders>
              <w:top w:val="nil"/>
              <w:left w:val="nil"/>
              <w:bottom w:val="nil"/>
              <w:right w:val="nil"/>
            </w:tcBorders>
            <w:shd w:val="clear" w:color="auto" w:fill="auto"/>
          </w:tcPr>
          <w:p w14:paraId="17271198" w14:textId="65D2A10E" w:rsidR="00A61B39" w:rsidRPr="006B318F" w:rsidRDefault="00A61B39" w:rsidP="00A61B39">
            <w:pPr>
              <w:spacing w:after="0" w:line="220" w:lineRule="exact"/>
              <w:jc w:val="right"/>
              <w:rPr>
                <w:rFonts w:eastAsia="Times New Roman" w:cs="Arial"/>
                <w:sz w:val="18"/>
                <w:szCs w:val="18"/>
              </w:rPr>
            </w:pPr>
            <w:r w:rsidRPr="006B318F">
              <w:rPr>
                <w:rFonts w:eastAsia="Times New Roman" w:cs="Arial"/>
                <w:sz w:val="18"/>
                <w:szCs w:val="18"/>
              </w:rPr>
              <w:t>303</w:t>
            </w:r>
          </w:p>
        </w:tc>
      </w:tr>
      <w:tr w:rsidR="00A61B39" w:rsidRPr="001004B1" w14:paraId="676D90BD" w14:textId="77777777" w:rsidTr="006B318F">
        <w:trPr>
          <w:trHeight w:val="254"/>
        </w:trPr>
        <w:tc>
          <w:tcPr>
            <w:tcW w:w="6232" w:type="dxa"/>
            <w:vAlign w:val="bottom"/>
            <w:hideMark/>
          </w:tcPr>
          <w:p w14:paraId="70969B5E" w14:textId="77777777" w:rsidR="00A61B39" w:rsidRPr="001004B1" w:rsidRDefault="00A61B39" w:rsidP="00A61B39">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Net gain/(losses) on financial assets at fair value through profit or loss</w:t>
            </w:r>
          </w:p>
        </w:tc>
        <w:tc>
          <w:tcPr>
            <w:tcW w:w="1389" w:type="dxa"/>
            <w:tcBorders>
              <w:top w:val="nil"/>
              <w:left w:val="nil"/>
              <w:bottom w:val="nil"/>
              <w:right w:val="nil"/>
            </w:tcBorders>
            <w:shd w:val="clear" w:color="auto" w:fill="auto"/>
            <w:noWrap/>
          </w:tcPr>
          <w:p w14:paraId="5CD34DD2" w14:textId="5C7980C8" w:rsidR="00A61B39" w:rsidRPr="001004B1" w:rsidRDefault="00A61B39" w:rsidP="00A61B39">
            <w:pPr>
              <w:spacing w:after="0" w:line="220" w:lineRule="exact"/>
              <w:jc w:val="right"/>
              <w:rPr>
                <w:rFonts w:eastAsia="Times New Roman" w:cs="Arial"/>
                <w:sz w:val="18"/>
                <w:szCs w:val="18"/>
              </w:rPr>
            </w:pPr>
            <w:r>
              <w:rPr>
                <w:rFonts w:eastAsia="Times New Roman" w:cs="Arial"/>
                <w:sz w:val="18"/>
                <w:szCs w:val="18"/>
              </w:rPr>
              <w:t>(4)</w:t>
            </w:r>
          </w:p>
        </w:tc>
        <w:tc>
          <w:tcPr>
            <w:tcW w:w="1418" w:type="dxa"/>
            <w:tcBorders>
              <w:top w:val="nil"/>
              <w:left w:val="nil"/>
              <w:bottom w:val="nil"/>
              <w:right w:val="nil"/>
            </w:tcBorders>
            <w:shd w:val="clear" w:color="auto" w:fill="auto"/>
          </w:tcPr>
          <w:p w14:paraId="315D680D" w14:textId="3C4E6BAC" w:rsidR="00A61B39" w:rsidRPr="006B318F" w:rsidRDefault="00A61B39" w:rsidP="00A61B39">
            <w:pPr>
              <w:spacing w:after="0" w:line="220" w:lineRule="exact"/>
              <w:jc w:val="right"/>
              <w:rPr>
                <w:rFonts w:eastAsia="Times New Roman" w:cs="Arial"/>
                <w:sz w:val="18"/>
                <w:szCs w:val="18"/>
              </w:rPr>
            </w:pPr>
            <w:r w:rsidRPr="006B318F">
              <w:rPr>
                <w:rFonts w:eastAsia="Times New Roman" w:cs="Arial"/>
                <w:sz w:val="18"/>
                <w:szCs w:val="18"/>
              </w:rPr>
              <w:t>(128)</w:t>
            </w:r>
          </w:p>
        </w:tc>
      </w:tr>
      <w:tr w:rsidR="00A61B39" w:rsidRPr="001004B1" w14:paraId="2F8B602F" w14:textId="77777777" w:rsidTr="006B318F">
        <w:trPr>
          <w:trHeight w:val="254"/>
        </w:trPr>
        <w:tc>
          <w:tcPr>
            <w:tcW w:w="6232" w:type="dxa"/>
            <w:vAlign w:val="bottom"/>
            <w:hideMark/>
          </w:tcPr>
          <w:p w14:paraId="71569094" w14:textId="77777777" w:rsidR="00A61B39" w:rsidRPr="001004B1" w:rsidRDefault="00A61B39" w:rsidP="00A61B39">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Premium receivables</w:t>
            </w:r>
          </w:p>
        </w:tc>
        <w:tc>
          <w:tcPr>
            <w:tcW w:w="1389" w:type="dxa"/>
            <w:tcBorders>
              <w:top w:val="nil"/>
              <w:left w:val="nil"/>
              <w:bottom w:val="nil"/>
              <w:right w:val="nil"/>
            </w:tcBorders>
            <w:shd w:val="clear" w:color="auto" w:fill="auto"/>
            <w:noWrap/>
          </w:tcPr>
          <w:p w14:paraId="20F56984" w14:textId="2785785B" w:rsidR="00A61B39" w:rsidRPr="001004B1" w:rsidRDefault="00A61B39" w:rsidP="00A61B39">
            <w:pPr>
              <w:spacing w:after="0" w:line="220" w:lineRule="exact"/>
              <w:jc w:val="right"/>
              <w:rPr>
                <w:rFonts w:eastAsia="Times New Roman" w:cs="Arial"/>
                <w:sz w:val="18"/>
                <w:szCs w:val="18"/>
              </w:rPr>
            </w:pPr>
            <w:r>
              <w:rPr>
                <w:rFonts w:eastAsia="Times New Roman" w:cs="Arial"/>
                <w:sz w:val="18"/>
                <w:szCs w:val="18"/>
              </w:rPr>
              <w:t>(356)</w:t>
            </w:r>
          </w:p>
        </w:tc>
        <w:tc>
          <w:tcPr>
            <w:tcW w:w="1418" w:type="dxa"/>
            <w:tcBorders>
              <w:top w:val="nil"/>
              <w:left w:val="nil"/>
              <w:bottom w:val="nil"/>
              <w:right w:val="nil"/>
            </w:tcBorders>
            <w:shd w:val="clear" w:color="auto" w:fill="auto"/>
          </w:tcPr>
          <w:p w14:paraId="01DDA83A" w14:textId="466710DA" w:rsidR="00A61B39" w:rsidRPr="006B318F" w:rsidRDefault="00A61B39" w:rsidP="00A61B39">
            <w:pPr>
              <w:spacing w:after="0" w:line="220" w:lineRule="exact"/>
              <w:jc w:val="right"/>
              <w:rPr>
                <w:rFonts w:eastAsia="Times New Roman" w:cs="Arial"/>
                <w:sz w:val="18"/>
                <w:szCs w:val="18"/>
              </w:rPr>
            </w:pPr>
            <w:r w:rsidRPr="006B318F">
              <w:rPr>
                <w:rFonts w:eastAsia="Times New Roman" w:cs="Arial"/>
                <w:sz w:val="18"/>
                <w:szCs w:val="18"/>
              </w:rPr>
              <w:t>41</w:t>
            </w:r>
          </w:p>
        </w:tc>
      </w:tr>
      <w:tr w:rsidR="00A61B39" w:rsidRPr="001004B1" w14:paraId="7A1A6D8A" w14:textId="77777777" w:rsidTr="006B318F">
        <w:trPr>
          <w:trHeight w:val="254"/>
        </w:trPr>
        <w:tc>
          <w:tcPr>
            <w:tcW w:w="6232" w:type="dxa"/>
            <w:vAlign w:val="bottom"/>
            <w:hideMark/>
          </w:tcPr>
          <w:p w14:paraId="10F5BDE0" w14:textId="77777777" w:rsidR="00A61B39" w:rsidRPr="001004B1" w:rsidRDefault="00A61B39" w:rsidP="00A61B39">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Net decrease</w:t>
            </w:r>
            <w:r>
              <w:rPr>
                <w:rFonts w:asciiTheme="minorHAnsi" w:eastAsia="Times New Roman" w:hAnsiTheme="minorHAnsi" w:cs="Arial"/>
                <w:sz w:val="18"/>
                <w:szCs w:val="18"/>
              </w:rPr>
              <w:t>/</w:t>
            </w:r>
            <w:r w:rsidRPr="001004B1">
              <w:rPr>
                <w:rFonts w:asciiTheme="minorHAnsi" w:eastAsia="Times New Roman" w:hAnsiTheme="minorHAnsi" w:cs="Arial"/>
                <w:sz w:val="18"/>
                <w:szCs w:val="18"/>
              </w:rPr>
              <w:t>(increase) in other assets</w:t>
            </w:r>
          </w:p>
        </w:tc>
        <w:tc>
          <w:tcPr>
            <w:tcW w:w="1389" w:type="dxa"/>
            <w:tcBorders>
              <w:top w:val="nil"/>
              <w:left w:val="nil"/>
              <w:bottom w:val="nil"/>
              <w:right w:val="nil"/>
            </w:tcBorders>
            <w:shd w:val="clear" w:color="auto" w:fill="auto"/>
            <w:noWrap/>
          </w:tcPr>
          <w:p w14:paraId="3E81F9D7" w14:textId="7AFE5435" w:rsidR="00A61B39" w:rsidRPr="001004B1" w:rsidRDefault="00A61B39" w:rsidP="00A61B39">
            <w:pPr>
              <w:spacing w:after="0" w:line="220" w:lineRule="exact"/>
              <w:jc w:val="right"/>
              <w:rPr>
                <w:rFonts w:eastAsia="Times New Roman" w:cs="Arial"/>
                <w:sz w:val="18"/>
                <w:szCs w:val="18"/>
              </w:rPr>
            </w:pPr>
            <w:r>
              <w:rPr>
                <w:rFonts w:eastAsia="Times New Roman" w:cs="Arial"/>
                <w:sz w:val="18"/>
                <w:szCs w:val="18"/>
              </w:rPr>
              <w:t>1,639</w:t>
            </w:r>
          </w:p>
        </w:tc>
        <w:tc>
          <w:tcPr>
            <w:tcW w:w="1418" w:type="dxa"/>
            <w:tcBorders>
              <w:top w:val="nil"/>
              <w:left w:val="nil"/>
              <w:bottom w:val="nil"/>
              <w:right w:val="nil"/>
            </w:tcBorders>
            <w:shd w:val="clear" w:color="auto" w:fill="auto"/>
          </w:tcPr>
          <w:p w14:paraId="1B5A812D" w14:textId="09F16D5E" w:rsidR="00A61B39" w:rsidRPr="006B318F" w:rsidRDefault="00A61B39" w:rsidP="00A61B39">
            <w:pPr>
              <w:spacing w:after="0" w:line="220" w:lineRule="exact"/>
              <w:jc w:val="right"/>
              <w:rPr>
                <w:rFonts w:eastAsia="Times New Roman" w:cs="Arial"/>
                <w:sz w:val="18"/>
                <w:szCs w:val="18"/>
              </w:rPr>
            </w:pPr>
            <w:r w:rsidRPr="006B318F">
              <w:rPr>
                <w:rFonts w:eastAsia="Times New Roman" w:cs="Arial"/>
                <w:sz w:val="18"/>
                <w:szCs w:val="18"/>
              </w:rPr>
              <w:t>(414)</w:t>
            </w:r>
          </w:p>
        </w:tc>
      </w:tr>
      <w:tr w:rsidR="00A61B39" w:rsidRPr="001004B1" w14:paraId="0EFE7B40" w14:textId="77777777" w:rsidTr="006B318F">
        <w:trPr>
          <w:trHeight w:val="254"/>
        </w:trPr>
        <w:tc>
          <w:tcPr>
            <w:tcW w:w="6232" w:type="dxa"/>
            <w:vAlign w:val="bottom"/>
            <w:hideMark/>
          </w:tcPr>
          <w:p w14:paraId="62E9514C" w14:textId="012B82E2" w:rsidR="00A61B39" w:rsidRPr="001004B1" w:rsidRDefault="00A61B39" w:rsidP="00C436B9">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 xml:space="preserve">Net </w:t>
            </w:r>
            <w:r>
              <w:rPr>
                <w:rFonts w:asciiTheme="minorHAnsi" w:eastAsia="Times New Roman" w:hAnsiTheme="minorHAnsi" w:cs="Arial"/>
                <w:sz w:val="18"/>
                <w:szCs w:val="18"/>
              </w:rPr>
              <w:t>(</w:t>
            </w:r>
            <w:r w:rsidRPr="003A728E">
              <w:rPr>
                <w:rFonts w:asciiTheme="minorHAnsi" w:eastAsia="Times New Roman" w:hAnsiTheme="minorHAnsi" w:cs="Arial"/>
                <w:sz w:val="18"/>
                <w:szCs w:val="18"/>
              </w:rPr>
              <w:t xml:space="preserve">decrease) </w:t>
            </w:r>
            <w:r w:rsidRPr="001004B1">
              <w:rPr>
                <w:rFonts w:asciiTheme="minorHAnsi" w:eastAsia="Times New Roman" w:hAnsiTheme="minorHAnsi" w:cs="Arial"/>
                <w:sz w:val="18"/>
                <w:szCs w:val="18"/>
              </w:rPr>
              <w:t xml:space="preserve">of assets and liabilities from insurance operations </w:t>
            </w:r>
          </w:p>
        </w:tc>
        <w:tc>
          <w:tcPr>
            <w:tcW w:w="1389" w:type="dxa"/>
            <w:tcBorders>
              <w:top w:val="nil"/>
              <w:left w:val="nil"/>
              <w:bottom w:val="nil"/>
              <w:right w:val="nil"/>
            </w:tcBorders>
            <w:shd w:val="clear" w:color="auto" w:fill="auto"/>
            <w:noWrap/>
          </w:tcPr>
          <w:p w14:paraId="2BE0CEB7" w14:textId="7D48BA91" w:rsidR="00A61B39" w:rsidRPr="001004B1" w:rsidRDefault="00A61B39" w:rsidP="00A61B39">
            <w:pPr>
              <w:spacing w:after="0" w:line="220" w:lineRule="exact"/>
              <w:jc w:val="right"/>
              <w:rPr>
                <w:rFonts w:eastAsia="Times New Roman" w:cs="Arial"/>
                <w:sz w:val="18"/>
                <w:szCs w:val="18"/>
              </w:rPr>
            </w:pPr>
            <w:r>
              <w:rPr>
                <w:rFonts w:eastAsia="Times New Roman" w:cs="Arial"/>
                <w:sz w:val="18"/>
                <w:szCs w:val="18"/>
              </w:rPr>
              <w:t>(3)</w:t>
            </w:r>
          </w:p>
        </w:tc>
        <w:tc>
          <w:tcPr>
            <w:tcW w:w="1418" w:type="dxa"/>
            <w:tcBorders>
              <w:top w:val="nil"/>
              <w:left w:val="nil"/>
              <w:bottom w:val="nil"/>
              <w:right w:val="nil"/>
            </w:tcBorders>
            <w:shd w:val="clear" w:color="auto" w:fill="auto"/>
          </w:tcPr>
          <w:p w14:paraId="6A6710DA" w14:textId="6A2A3BCB" w:rsidR="00A61B39" w:rsidRPr="006B318F" w:rsidRDefault="00A61B39" w:rsidP="00A61B39">
            <w:pPr>
              <w:spacing w:after="0" w:line="220" w:lineRule="exact"/>
              <w:jc w:val="right"/>
              <w:rPr>
                <w:rFonts w:eastAsia="Times New Roman" w:cs="Arial"/>
                <w:sz w:val="18"/>
                <w:szCs w:val="18"/>
              </w:rPr>
            </w:pPr>
            <w:r w:rsidRPr="006B318F">
              <w:rPr>
                <w:rFonts w:eastAsia="Times New Roman" w:cs="Arial"/>
                <w:sz w:val="18"/>
                <w:szCs w:val="18"/>
              </w:rPr>
              <w:t>(283)</w:t>
            </w:r>
          </w:p>
        </w:tc>
      </w:tr>
      <w:tr w:rsidR="00A61B39" w:rsidRPr="001004B1" w14:paraId="643B683B" w14:textId="77777777" w:rsidTr="006B318F">
        <w:trPr>
          <w:trHeight w:val="254"/>
        </w:trPr>
        <w:tc>
          <w:tcPr>
            <w:tcW w:w="6232" w:type="dxa"/>
            <w:vAlign w:val="bottom"/>
            <w:hideMark/>
          </w:tcPr>
          <w:p w14:paraId="53CB09FC" w14:textId="77F33A3C" w:rsidR="00A61B39" w:rsidRPr="001004B1" w:rsidRDefault="00A61B39" w:rsidP="00A61B39">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Net increase in technical provisions</w:t>
            </w:r>
          </w:p>
        </w:tc>
        <w:tc>
          <w:tcPr>
            <w:tcW w:w="1389" w:type="dxa"/>
            <w:tcBorders>
              <w:top w:val="nil"/>
              <w:left w:val="nil"/>
              <w:bottom w:val="nil"/>
              <w:right w:val="nil"/>
            </w:tcBorders>
            <w:shd w:val="clear" w:color="auto" w:fill="auto"/>
            <w:noWrap/>
          </w:tcPr>
          <w:p w14:paraId="2F4AEA2E" w14:textId="7144CE82" w:rsidR="00A61B39" w:rsidRPr="001004B1" w:rsidRDefault="00A61B39" w:rsidP="00A61B39">
            <w:pPr>
              <w:spacing w:after="0" w:line="220" w:lineRule="exact"/>
              <w:jc w:val="right"/>
              <w:rPr>
                <w:rFonts w:eastAsia="Times New Roman" w:cs="Arial"/>
                <w:sz w:val="18"/>
                <w:szCs w:val="18"/>
              </w:rPr>
            </w:pPr>
            <w:r>
              <w:rPr>
                <w:rFonts w:eastAsia="Times New Roman" w:cs="Arial"/>
                <w:sz w:val="18"/>
                <w:szCs w:val="18"/>
              </w:rPr>
              <w:t xml:space="preserve">              1,588</w:t>
            </w:r>
          </w:p>
        </w:tc>
        <w:tc>
          <w:tcPr>
            <w:tcW w:w="1418" w:type="dxa"/>
            <w:tcBorders>
              <w:top w:val="nil"/>
              <w:left w:val="nil"/>
              <w:bottom w:val="nil"/>
              <w:right w:val="nil"/>
            </w:tcBorders>
            <w:shd w:val="clear" w:color="auto" w:fill="auto"/>
          </w:tcPr>
          <w:p w14:paraId="6806B42F" w14:textId="77B3436A" w:rsidR="00A61B39" w:rsidRPr="006B318F" w:rsidRDefault="00A61B39" w:rsidP="00A61B39">
            <w:pPr>
              <w:spacing w:after="0" w:line="220" w:lineRule="exact"/>
              <w:jc w:val="right"/>
              <w:rPr>
                <w:rFonts w:eastAsia="Times New Roman" w:cs="Arial"/>
                <w:sz w:val="18"/>
                <w:szCs w:val="18"/>
              </w:rPr>
            </w:pPr>
            <w:r w:rsidRPr="006B318F">
              <w:rPr>
                <w:rFonts w:eastAsia="Times New Roman" w:cs="Arial"/>
                <w:sz w:val="18"/>
                <w:szCs w:val="18"/>
              </w:rPr>
              <w:t>968</w:t>
            </w:r>
          </w:p>
        </w:tc>
      </w:tr>
      <w:tr w:rsidR="00A61B39" w:rsidRPr="001004B1" w14:paraId="23F0A3FB" w14:textId="77777777" w:rsidTr="006B318F">
        <w:trPr>
          <w:trHeight w:val="254"/>
        </w:trPr>
        <w:tc>
          <w:tcPr>
            <w:tcW w:w="6232" w:type="dxa"/>
            <w:vAlign w:val="bottom"/>
            <w:hideMark/>
          </w:tcPr>
          <w:p w14:paraId="561A949F" w14:textId="0E6058C4" w:rsidR="00A61B39" w:rsidRPr="001004B1" w:rsidRDefault="00A61B39" w:rsidP="00A61B39">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 xml:space="preserve">Net </w:t>
            </w:r>
            <w:r w:rsidRPr="005579B1">
              <w:rPr>
                <w:rFonts w:asciiTheme="minorHAnsi" w:eastAsia="Times New Roman" w:hAnsiTheme="minorHAnsi" w:cs="Arial"/>
                <w:sz w:val="18"/>
                <w:szCs w:val="18"/>
              </w:rPr>
              <w:t>increase</w:t>
            </w:r>
            <w:r w:rsidRPr="005579B1" w:rsidDel="005579B1">
              <w:rPr>
                <w:rFonts w:asciiTheme="minorHAnsi" w:eastAsia="Times New Roman" w:hAnsiTheme="minorHAnsi" w:cs="Arial"/>
                <w:sz w:val="18"/>
                <w:szCs w:val="18"/>
              </w:rPr>
              <w:t xml:space="preserve"> </w:t>
            </w:r>
            <w:r w:rsidRPr="001004B1">
              <w:rPr>
                <w:rFonts w:asciiTheme="minorHAnsi" w:eastAsia="Times New Roman" w:hAnsiTheme="minorHAnsi" w:cs="Arial"/>
                <w:sz w:val="18"/>
                <w:szCs w:val="18"/>
              </w:rPr>
              <w:t>in other liabilities</w:t>
            </w:r>
          </w:p>
        </w:tc>
        <w:tc>
          <w:tcPr>
            <w:tcW w:w="1389" w:type="dxa"/>
            <w:tcBorders>
              <w:top w:val="nil"/>
              <w:left w:val="nil"/>
              <w:bottom w:val="nil"/>
              <w:right w:val="nil"/>
            </w:tcBorders>
            <w:shd w:val="clear" w:color="auto" w:fill="auto"/>
            <w:noWrap/>
          </w:tcPr>
          <w:p w14:paraId="54C474E6" w14:textId="213A0CB4" w:rsidR="00A61B39" w:rsidRPr="001004B1" w:rsidRDefault="00A61B39" w:rsidP="00A61B39">
            <w:pPr>
              <w:spacing w:after="0" w:line="220" w:lineRule="exact"/>
              <w:jc w:val="right"/>
              <w:rPr>
                <w:rFonts w:eastAsia="Times New Roman" w:cs="Arial"/>
                <w:sz w:val="18"/>
                <w:szCs w:val="18"/>
              </w:rPr>
            </w:pPr>
            <w:r>
              <w:rPr>
                <w:rFonts w:eastAsia="Times New Roman" w:cs="Arial"/>
                <w:sz w:val="18"/>
                <w:szCs w:val="18"/>
              </w:rPr>
              <w:t>37</w:t>
            </w:r>
          </w:p>
        </w:tc>
        <w:tc>
          <w:tcPr>
            <w:tcW w:w="1418" w:type="dxa"/>
            <w:tcBorders>
              <w:top w:val="nil"/>
              <w:left w:val="nil"/>
              <w:bottom w:val="nil"/>
              <w:right w:val="nil"/>
            </w:tcBorders>
            <w:shd w:val="clear" w:color="auto" w:fill="auto"/>
          </w:tcPr>
          <w:p w14:paraId="0FC56CEE" w14:textId="4B062364" w:rsidR="00A61B39" w:rsidRPr="006B318F" w:rsidRDefault="00A61B39" w:rsidP="00A61B39">
            <w:pPr>
              <w:spacing w:after="0" w:line="220" w:lineRule="exact"/>
              <w:jc w:val="right"/>
              <w:rPr>
                <w:rFonts w:eastAsia="Times New Roman" w:cs="Arial"/>
                <w:sz w:val="18"/>
                <w:szCs w:val="18"/>
              </w:rPr>
            </w:pPr>
            <w:r w:rsidRPr="006B318F">
              <w:rPr>
                <w:rFonts w:eastAsia="Times New Roman" w:cs="Arial"/>
                <w:sz w:val="18"/>
                <w:szCs w:val="18"/>
              </w:rPr>
              <w:t>222</w:t>
            </w:r>
          </w:p>
        </w:tc>
      </w:tr>
      <w:tr w:rsidR="008E785E" w:rsidRPr="004258E7" w14:paraId="73E2473A" w14:textId="77777777" w:rsidTr="006B318F">
        <w:trPr>
          <w:trHeight w:val="190"/>
        </w:trPr>
        <w:tc>
          <w:tcPr>
            <w:tcW w:w="6232" w:type="dxa"/>
            <w:vAlign w:val="bottom"/>
            <w:hideMark/>
          </w:tcPr>
          <w:p w14:paraId="61CF8C87" w14:textId="77777777" w:rsidR="008E785E" w:rsidRPr="001004B1" w:rsidRDefault="008E785E" w:rsidP="008E785E">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Net cash provided by operating activities</w:t>
            </w:r>
          </w:p>
        </w:tc>
        <w:tc>
          <w:tcPr>
            <w:tcW w:w="1389" w:type="dxa"/>
            <w:tcBorders>
              <w:top w:val="single" w:sz="8" w:space="0" w:color="auto"/>
              <w:left w:val="nil"/>
              <w:bottom w:val="single" w:sz="8" w:space="0" w:color="auto"/>
              <w:right w:val="nil"/>
            </w:tcBorders>
            <w:shd w:val="clear" w:color="auto" w:fill="auto"/>
            <w:noWrap/>
            <w:vAlign w:val="bottom"/>
          </w:tcPr>
          <w:p w14:paraId="724F07A8" w14:textId="4588908A" w:rsidR="008E785E" w:rsidRPr="001004B1" w:rsidRDefault="00A61B39" w:rsidP="008E785E">
            <w:pPr>
              <w:spacing w:after="0" w:line="220" w:lineRule="exact"/>
              <w:jc w:val="right"/>
              <w:rPr>
                <w:rFonts w:eastAsia="Times New Roman" w:cs="Arial"/>
                <w:b/>
                <w:bCs/>
                <w:sz w:val="18"/>
                <w:szCs w:val="18"/>
              </w:rPr>
            </w:pPr>
            <w:r w:rsidRPr="00A61B39">
              <w:rPr>
                <w:rFonts w:eastAsia="Times New Roman" w:cs="Arial"/>
                <w:b/>
                <w:sz w:val="18"/>
                <w:szCs w:val="18"/>
              </w:rPr>
              <w:t>4,443</w:t>
            </w:r>
          </w:p>
        </w:tc>
        <w:tc>
          <w:tcPr>
            <w:tcW w:w="1418" w:type="dxa"/>
            <w:tcBorders>
              <w:top w:val="single" w:sz="8" w:space="0" w:color="auto"/>
              <w:left w:val="nil"/>
              <w:bottom w:val="single" w:sz="8" w:space="0" w:color="auto"/>
              <w:right w:val="nil"/>
            </w:tcBorders>
            <w:shd w:val="clear" w:color="auto" w:fill="auto"/>
            <w:vAlign w:val="bottom"/>
          </w:tcPr>
          <w:p w14:paraId="5CE5B875" w14:textId="231DD67A" w:rsidR="008E785E" w:rsidRPr="001004B1" w:rsidRDefault="00ED3157" w:rsidP="008E785E">
            <w:pPr>
              <w:spacing w:after="0" w:line="220" w:lineRule="exact"/>
              <w:jc w:val="right"/>
              <w:rPr>
                <w:rFonts w:eastAsia="Times New Roman" w:cs="Arial"/>
                <w:b/>
                <w:bCs/>
                <w:sz w:val="18"/>
                <w:szCs w:val="18"/>
              </w:rPr>
            </w:pPr>
            <w:r w:rsidRPr="00ED3157">
              <w:rPr>
                <w:rFonts w:eastAsia="Times New Roman" w:cs="Arial"/>
                <w:b/>
                <w:sz w:val="18"/>
                <w:szCs w:val="18"/>
              </w:rPr>
              <w:t>4,500</w:t>
            </w:r>
          </w:p>
        </w:tc>
      </w:tr>
      <w:tr w:rsidR="00671F8C" w:rsidRPr="001004B1" w14:paraId="491CDFCA" w14:textId="77777777" w:rsidTr="002F749B">
        <w:trPr>
          <w:trHeight w:val="74"/>
        </w:trPr>
        <w:tc>
          <w:tcPr>
            <w:tcW w:w="6232" w:type="dxa"/>
            <w:vAlign w:val="bottom"/>
          </w:tcPr>
          <w:p w14:paraId="4AD37D65" w14:textId="77777777" w:rsidR="00671F8C" w:rsidRPr="001004B1" w:rsidRDefault="00671F8C" w:rsidP="00671F8C">
            <w:pPr>
              <w:spacing w:after="0" w:line="140" w:lineRule="exact"/>
              <w:rPr>
                <w:rFonts w:asciiTheme="minorHAnsi" w:eastAsia="Times New Roman" w:hAnsiTheme="minorHAnsi" w:cs="Arial"/>
                <w:sz w:val="18"/>
                <w:szCs w:val="18"/>
              </w:rPr>
            </w:pPr>
          </w:p>
        </w:tc>
        <w:tc>
          <w:tcPr>
            <w:tcW w:w="1389" w:type="dxa"/>
            <w:tcBorders>
              <w:top w:val="single" w:sz="12" w:space="0" w:color="auto"/>
              <w:left w:val="nil"/>
              <w:right w:val="nil"/>
            </w:tcBorders>
            <w:shd w:val="clear" w:color="auto" w:fill="auto"/>
            <w:noWrap/>
            <w:vAlign w:val="bottom"/>
          </w:tcPr>
          <w:p w14:paraId="2E7E7950" w14:textId="77777777" w:rsidR="00671F8C" w:rsidRPr="001004B1" w:rsidRDefault="00671F8C" w:rsidP="00671F8C">
            <w:pPr>
              <w:spacing w:after="0" w:line="140" w:lineRule="exact"/>
              <w:jc w:val="right"/>
              <w:rPr>
                <w:rFonts w:eastAsia="Times New Roman" w:cs="Arial"/>
                <w:bCs/>
                <w:sz w:val="18"/>
                <w:szCs w:val="18"/>
              </w:rPr>
            </w:pPr>
          </w:p>
        </w:tc>
        <w:tc>
          <w:tcPr>
            <w:tcW w:w="1418" w:type="dxa"/>
            <w:tcBorders>
              <w:top w:val="single" w:sz="12" w:space="0" w:color="auto"/>
              <w:left w:val="nil"/>
              <w:right w:val="nil"/>
            </w:tcBorders>
            <w:shd w:val="clear" w:color="auto" w:fill="auto"/>
            <w:vAlign w:val="bottom"/>
          </w:tcPr>
          <w:p w14:paraId="4500C1F0" w14:textId="77777777" w:rsidR="00671F8C" w:rsidRPr="001004B1" w:rsidRDefault="00671F8C" w:rsidP="00671F8C">
            <w:pPr>
              <w:spacing w:after="0" w:line="140" w:lineRule="exact"/>
              <w:jc w:val="right"/>
              <w:rPr>
                <w:rFonts w:eastAsia="Times New Roman" w:cs="Arial"/>
                <w:bCs/>
                <w:sz w:val="18"/>
                <w:szCs w:val="18"/>
              </w:rPr>
            </w:pPr>
          </w:p>
        </w:tc>
      </w:tr>
      <w:tr w:rsidR="00671F8C" w:rsidRPr="001004B1" w14:paraId="75BA7B3F" w14:textId="77777777" w:rsidTr="002F749B">
        <w:trPr>
          <w:trHeight w:val="196"/>
        </w:trPr>
        <w:tc>
          <w:tcPr>
            <w:tcW w:w="6232" w:type="dxa"/>
            <w:vAlign w:val="bottom"/>
            <w:hideMark/>
          </w:tcPr>
          <w:p w14:paraId="73C22CC9" w14:textId="77777777" w:rsidR="00671F8C" w:rsidRPr="001004B1" w:rsidRDefault="00671F8C" w:rsidP="00671F8C">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Investment activities</w:t>
            </w:r>
          </w:p>
        </w:tc>
        <w:tc>
          <w:tcPr>
            <w:tcW w:w="1389" w:type="dxa"/>
            <w:tcBorders>
              <w:left w:val="nil"/>
              <w:bottom w:val="nil"/>
              <w:right w:val="nil"/>
            </w:tcBorders>
            <w:shd w:val="clear" w:color="auto" w:fill="auto"/>
            <w:noWrap/>
            <w:vAlign w:val="bottom"/>
          </w:tcPr>
          <w:p w14:paraId="7B3D0424" w14:textId="77777777" w:rsidR="00671F8C" w:rsidRPr="001004B1" w:rsidRDefault="00671F8C" w:rsidP="00671F8C">
            <w:pPr>
              <w:spacing w:after="0" w:line="220" w:lineRule="exact"/>
              <w:jc w:val="right"/>
              <w:rPr>
                <w:rFonts w:eastAsia="Times New Roman" w:cs="Arial"/>
                <w:bCs/>
                <w:sz w:val="18"/>
                <w:szCs w:val="18"/>
              </w:rPr>
            </w:pPr>
          </w:p>
        </w:tc>
        <w:tc>
          <w:tcPr>
            <w:tcW w:w="1418" w:type="dxa"/>
            <w:tcBorders>
              <w:left w:val="nil"/>
              <w:bottom w:val="nil"/>
              <w:right w:val="nil"/>
            </w:tcBorders>
            <w:shd w:val="clear" w:color="auto" w:fill="auto"/>
            <w:vAlign w:val="bottom"/>
          </w:tcPr>
          <w:p w14:paraId="6ED4D349" w14:textId="77777777" w:rsidR="00671F8C" w:rsidRPr="001004B1" w:rsidRDefault="00671F8C" w:rsidP="00671F8C">
            <w:pPr>
              <w:spacing w:after="0" w:line="220" w:lineRule="exact"/>
              <w:jc w:val="right"/>
              <w:rPr>
                <w:rFonts w:eastAsia="Times New Roman" w:cs="Arial"/>
                <w:bCs/>
                <w:sz w:val="18"/>
                <w:szCs w:val="18"/>
              </w:rPr>
            </w:pPr>
          </w:p>
        </w:tc>
      </w:tr>
      <w:tr w:rsidR="00A61B39" w:rsidRPr="00ED3157" w14:paraId="1728A59C" w14:textId="77777777" w:rsidTr="006B318F">
        <w:trPr>
          <w:trHeight w:val="186"/>
        </w:trPr>
        <w:tc>
          <w:tcPr>
            <w:tcW w:w="6232" w:type="dxa"/>
            <w:vAlign w:val="bottom"/>
            <w:hideMark/>
          </w:tcPr>
          <w:p w14:paraId="0E17171A" w14:textId="77777777" w:rsidR="00A61B39" w:rsidRPr="001004B1" w:rsidRDefault="00A61B39" w:rsidP="00A61B39">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(Purchase) of financial assets at fair value through profit or loss</w:t>
            </w:r>
          </w:p>
        </w:tc>
        <w:tc>
          <w:tcPr>
            <w:tcW w:w="1389" w:type="dxa"/>
            <w:tcBorders>
              <w:top w:val="nil"/>
              <w:left w:val="nil"/>
              <w:bottom w:val="nil"/>
              <w:right w:val="nil"/>
            </w:tcBorders>
            <w:shd w:val="clear" w:color="auto" w:fill="auto"/>
            <w:noWrap/>
            <w:vAlign w:val="center"/>
          </w:tcPr>
          <w:p w14:paraId="26DDF3A0" w14:textId="4AB9BFB7" w:rsidR="00A61B39" w:rsidRPr="001004B1" w:rsidRDefault="00A61B39" w:rsidP="00A61B39">
            <w:pPr>
              <w:spacing w:after="0" w:line="220" w:lineRule="exact"/>
              <w:jc w:val="right"/>
              <w:rPr>
                <w:rFonts w:eastAsia="Times New Roman" w:cs="Arial"/>
                <w:sz w:val="18"/>
                <w:szCs w:val="18"/>
              </w:rPr>
            </w:pPr>
            <w:r w:rsidRPr="00D77059">
              <w:rPr>
                <w:rFonts w:eastAsia="Times New Roman" w:cs="Arial"/>
                <w:sz w:val="18"/>
                <w:szCs w:val="18"/>
              </w:rPr>
              <w:t>-</w:t>
            </w:r>
          </w:p>
        </w:tc>
        <w:tc>
          <w:tcPr>
            <w:tcW w:w="1418" w:type="dxa"/>
            <w:tcBorders>
              <w:top w:val="nil"/>
              <w:left w:val="nil"/>
              <w:bottom w:val="nil"/>
              <w:right w:val="nil"/>
            </w:tcBorders>
            <w:shd w:val="clear" w:color="auto" w:fill="auto"/>
          </w:tcPr>
          <w:p w14:paraId="2BD7F6ED" w14:textId="52FCAE90" w:rsidR="00A61B39" w:rsidRPr="001004B1" w:rsidRDefault="00A61B39" w:rsidP="00A61B39">
            <w:pPr>
              <w:spacing w:after="0" w:line="220" w:lineRule="exact"/>
              <w:jc w:val="right"/>
              <w:rPr>
                <w:rFonts w:eastAsia="Times New Roman" w:cs="Arial"/>
                <w:sz w:val="18"/>
                <w:szCs w:val="18"/>
              </w:rPr>
            </w:pPr>
            <w:r w:rsidRPr="006B318F">
              <w:rPr>
                <w:rFonts w:eastAsia="Times New Roman" w:cs="Arial"/>
                <w:sz w:val="18"/>
                <w:szCs w:val="18"/>
              </w:rPr>
              <w:t>(7,640)</w:t>
            </w:r>
          </w:p>
        </w:tc>
      </w:tr>
      <w:tr w:rsidR="00A61B39" w:rsidRPr="00ED3157" w14:paraId="2AF899AD" w14:textId="77777777" w:rsidTr="006B318F">
        <w:trPr>
          <w:trHeight w:val="186"/>
        </w:trPr>
        <w:tc>
          <w:tcPr>
            <w:tcW w:w="6232" w:type="dxa"/>
            <w:vAlign w:val="bottom"/>
            <w:hideMark/>
          </w:tcPr>
          <w:p w14:paraId="0D661E67" w14:textId="77777777" w:rsidR="00A61B39" w:rsidRPr="001004B1" w:rsidRDefault="00A61B39" w:rsidP="00A61B39">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Sale of financial assets at fair value through profit or loss</w:t>
            </w:r>
          </w:p>
        </w:tc>
        <w:tc>
          <w:tcPr>
            <w:tcW w:w="1389" w:type="dxa"/>
            <w:tcBorders>
              <w:top w:val="nil"/>
              <w:left w:val="nil"/>
              <w:bottom w:val="nil"/>
              <w:right w:val="nil"/>
            </w:tcBorders>
            <w:shd w:val="clear" w:color="auto" w:fill="auto"/>
            <w:noWrap/>
            <w:vAlign w:val="center"/>
          </w:tcPr>
          <w:p w14:paraId="21A908E5" w14:textId="42C1B769" w:rsidR="00A61B39" w:rsidRPr="001004B1" w:rsidRDefault="00A61B39" w:rsidP="00A61B39">
            <w:pPr>
              <w:spacing w:after="0" w:line="220" w:lineRule="exact"/>
              <w:jc w:val="right"/>
              <w:rPr>
                <w:rFonts w:eastAsia="Times New Roman" w:cs="Arial"/>
                <w:sz w:val="18"/>
                <w:szCs w:val="18"/>
              </w:rPr>
            </w:pPr>
            <w:r w:rsidRPr="00D77059">
              <w:rPr>
                <w:rFonts w:eastAsia="Times New Roman" w:cs="Arial"/>
                <w:sz w:val="18"/>
                <w:szCs w:val="18"/>
              </w:rPr>
              <w:t>-</w:t>
            </w:r>
          </w:p>
        </w:tc>
        <w:tc>
          <w:tcPr>
            <w:tcW w:w="1418" w:type="dxa"/>
            <w:tcBorders>
              <w:top w:val="nil"/>
              <w:left w:val="nil"/>
              <w:bottom w:val="nil"/>
              <w:right w:val="nil"/>
            </w:tcBorders>
            <w:shd w:val="clear" w:color="auto" w:fill="auto"/>
          </w:tcPr>
          <w:p w14:paraId="6CC70ADC" w14:textId="1CA5FC9B" w:rsidR="00A61B39" w:rsidRPr="001004B1" w:rsidRDefault="00A61B39" w:rsidP="00A61B39">
            <w:pPr>
              <w:spacing w:after="0" w:line="220" w:lineRule="exact"/>
              <w:jc w:val="right"/>
              <w:rPr>
                <w:rFonts w:eastAsia="Times New Roman" w:cs="Arial"/>
                <w:sz w:val="18"/>
                <w:szCs w:val="18"/>
              </w:rPr>
            </w:pPr>
            <w:r w:rsidRPr="006B318F">
              <w:rPr>
                <w:rFonts w:eastAsia="Times New Roman" w:cs="Arial"/>
                <w:sz w:val="18"/>
                <w:szCs w:val="18"/>
              </w:rPr>
              <w:t>5,813</w:t>
            </w:r>
          </w:p>
        </w:tc>
      </w:tr>
      <w:tr w:rsidR="00A61B39" w:rsidRPr="00ED3157" w14:paraId="6AD446CF" w14:textId="77777777" w:rsidTr="006B318F">
        <w:trPr>
          <w:trHeight w:val="186"/>
        </w:trPr>
        <w:tc>
          <w:tcPr>
            <w:tcW w:w="6232" w:type="dxa"/>
            <w:vAlign w:val="bottom"/>
            <w:hideMark/>
          </w:tcPr>
          <w:p w14:paraId="1E2C5026" w14:textId="77777777" w:rsidR="00A61B39" w:rsidRPr="001004B1" w:rsidRDefault="00A61B39" w:rsidP="00A61B39">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Net (purchase) of assets available for sale</w:t>
            </w:r>
          </w:p>
        </w:tc>
        <w:tc>
          <w:tcPr>
            <w:tcW w:w="1389" w:type="dxa"/>
            <w:tcBorders>
              <w:top w:val="nil"/>
              <w:left w:val="nil"/>
              <w:bottom w:val="nil"/>
              <w:right w:val="nil"/>
            </w:tcBorders>
            <w:shd w:val="clear" w:color="auto" w:fill="auto"/>
            <w:noWrap/>
            <w:vAlign w:val="center"/>
          </w:tcPr>
          <w:p w14:paraId="250B9487" w14:textId="26D88866" w:rsidR="00A61B39" w:rsidRPr="001004B1" w:rsidRDefault="00A61B39" w:rsidP="00A61B39">
            <w:pPr>
              <w:spacing w:after="0" w:line="220" w:lineRule="exact"/>
              <w:jc w:val="right"/>
              <w:rPr>
                <w:rFonts w:eastAsia="Times New Roman" w:cs="Arial"/>
                <w:sz w:val="18"/>
                <w:szCs w:val="18"/>
              </w:rPr>
            </w:pPr>
            <w:r>
              <w:rPr>
                <w:rFonts w:eastAsia="Times New Roman" w:cs="Arial"/>
                <w:sz w:val="18"/>
                <w:szCs w:val="18"/>
              </w:rPr>
              <w:t>(6,590)</w:t>
            </w:r>
          </w:p>
        </w:tc>
        <w:tc>
          <w:tcPr>
            <w:tcW w:w="1418" w:type="dxa"/>
            <w:tcBorders>
              <w:top w:val="nil"/>
              <w:left w:val="nil"/>
              <w:bottom w:val="nil"/>
              <w:right w:val="nil"/>
            </w:tcBorders>
            <w:shd w:val="clear" w:color="auto" w:fill="auto"/>
          </w:tcPr>
          <w:p w14:paraId="484DC6E6" w14:textId="5BF56C79" w:rsidR="00A61B39" w:rsidRPr="001004B1" w:rsidRDefault="00A61B39" w:rsidP="00A61B39">
            <w:pPr>
              <w:spacing w:after="0" w:line="220" w:lineRule="exact"/>
              <w:jc w:val="right"/>
              <w:rPr>
                <w:rFonts w:eastAsia="Times New Roman" w:cs="Arial"/>
                <w:sz w:val="18"/>
                <w:szCs w:val="18"/>
              </w:rPr>
            </w:pPr>
            <w:r w:rsidRPr="006B318F">
              <w:rPr>
                <w:rFonts w:eastAsia="Times New Roman" w:cs="Arial"/>
                <w:sz w:val="18"/>
                <w:szCs w:val="18"/>
              </w:rPr>
              <w:t>(4,835)</w:t>
            </w:r>
          </w:p>
        </w:tc>
      </w:tr>
      <w:tr w:rsidR="00A61B39" w:rsidRPr="00ED3157" w14:paraId="52BA4672" w14:textId="77777777" w:rsidTr="006B318F">
        <w:trPr>
          <w:trHeight w:val="186"/>
        </w:trPr>
        <w:tc>
          <w:tcPr>
            <w:tcW w:w="6232" w:type="dxa"/>
            <w:vAlign w:val="bottom"/>
          </w:tcPr>
          <w:p w14:paraId="6CAD6A8F" w14:textId="77777777" w:rsidR="00A61B39" w:rsidRPr="001004B1" w:rsidRDefault="00A61B39" w:rsidP="00A61B39">
            <w:pPr>
              <w:spacing w:after="0" w:line="220" w:lineRule="exact"/>
              <w:rPr>
                <w:rFonts w:asciiTheme="minorHAnsi" w:eastAsia="Times New Roman" w:hAnsiTheme="minorHAnsi" w:cs="Arial"/>
                <w:sz w:val="18"/>
                <w:szCs w:val="18"/>
              </w:rPr>
            </w:pPr>
            <w:r w:rsidRPr="004258E7">
              <w:rPr>
                <w:rFonts w:asciiTheme="minorHAnsi" w:eastAsia="Times New Roman" w:hAnsiTheme="minorHAnsi" w:cs="Arial"/>
                <w:sz w:val="18"/>
                <w:szCs w:val="18"/>
              </w:rPr>
              <w:t>Net sale of assets available for sale</w:t>
            </w:r>
          </w:p>
        </w:tc>
        <w:tc>
          <w:tcPr>
            <w:tcW w:w="1389" w:type="dxa"/>
            <w:tcBorders>
              <w:top w:val="nil"/>
              <w:left w:val="nil"/>
              <w:bottom w:val="nil"/>
              <w:right w:val="nil"/>
            </w:tcBorders>
            <w:shd w:val="clear" w:color="auto" w:fill="auto"/>
            <w:noWrap/>
            <w:vAlign w:val="center"/>
          </w:tcPr>
          <w:p w14:paraId="53DDD76D" w14:textId="714F395E" w:rsidR="00A61B39" w:rsidRPr="00693900" w:rsidDel="00612D33" w:rsidRDefault="00A61B39" w:rsidP="00A61B39">
            <w:pPr>
              <w:spacing w:after="0" w:line="220" w:lineRule="exact"/>
              <w:jc w:val="right"/>
              <w:rPr>
                <w:rFonts w:eastAsia="Times New Roman" w:cs="Arial"/>
                <w:sz w:val="18"/>
                <w:szCs w:val="18"/>
              </w:rPr>
            </w:pPr>
            <w:r>
              <w:rPr>
                <w:rFonts w:eastAsia="Times New Roman" w:cs="Arial"/>
                <w:sz w:val="18"/>
                <w:szCs w:val="18"/>
              </w:rPr>
              <w:t>3,744</w:t>
            </w:r>
          </w:p>
        </w:tc>
        <w:tc>
          <w:tcPr>
            <w:tcW w:w="1418" w:type="dxa"/>
            <w:tcBorders>
              <w:top w:val="nil"/>
              <w:left w:val="nil"/>
              <w:bottom w:val="nil"/>
              <w:right w:val="nil"/>
            </w:tcBorders>
            <w:shd w:val="clear" w:color="auto" w:fill="auto"/>
          </w:tcPr>
          <w:p w14:paraId="009E4499" w14:textId="0758BC12" w:rsidR="00A61B39" w:rsidRPr="001004B1" w:rsidRDefault="00A61B39" w:rsidP="00A61B39">
            <w:pPr>
              <w:spacing w:after="0" w:line="220" w:lineRule="exact"/>
              <w:jc w:val="right"/>
              <w:rPr>
                <w:rFonts w:eastAsia="Times New Roman" w:cs="Arial"/>
                <w:sz w:val="18"/>
                <w:szCs w:val="18"/>
              </w:rPr>
            </w:pPr>
            <w:r w:rsidRPr="006B318F">
              <w:rPr>
                <w:rFonts w:eastAsia="Times New Roman" w:cs="Arial"/>
                <w:sz w:val="18"/>
                <w:szCs w:val="18"/>
              </w:rPr>
              <w:t>2,125</w:t>
            </w:r>
          </w:p>
        </w:tc>
      </w:tr>
      <w:tr w:rsidR="00A61B39" w:rsidRPr="00ED3157" w14:paraId="10D9B811" w14:textId="77777777" w:rsidTr="006B318F">
        <w:trPr>
          <w:trHeight w:val="186"/>
        </w:trPr>
        <w:tc>
          <w:tcPr>
            <w:tcW w:w="6232" w:type="dxa"/>
            <w:vAlign w:val="bottom"/>
            <w:hideMark/>
          </w:tcPr>
          <w:p w14:paraId="3C3CB029" w14:textId="77777777" w:rsidR="00A61B39" w:rsidRPr="001004B1" w:rsidRDefault="00A61B39" w:rsidP="00A61B39">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Net (purchase) of property, plant and equipment and intangible assets</w:t>
            </w:r>
          </w:p>
        </w:tc>
        <w:tc>
          <w:tcPr>
            <w:tcW w:w="1389" w:type="dxa"/>
            <w:tcBorders>
              <w:top w:val="nil"/>
              <w:left w:val="nil"/>
              <w:bottom w:val="nil"/>
              <w:right w:val="nil"/>
            </w:tcBorders>
            <w:shd w:val="clear" w:color="auto" w:fill="auto"/>
            <w:noWrap/>
            <w:vAlign w:val="center"/>
          </w:tcPr>
          <w:p w14:paraId="7F3EE00B" w14:textId="7233A7D2" w:rsidR="00A61B39" w:rsidRPr="001004B1" w:rsidRDefault="00A61B39" w:rsidP="00A61B39">
            <w:pPr>
              <w:spacing w:after="0" w:line="220" w:lineRule="exact"/>
              <w:jc w:val="right"/>
              <w:rPr>
                <w:rFonts w:eastAsia="Times New Roman" w:cs="Arial"/>
                <w:sz w:val="18"/>
                <w:szCs w:val="18"/>
              </w:rPr>
            </w:pPr>
            <w:r>
              <w:rPr>
                <w:rFonts w:eastAsia="Times New Roman" w:cs="Arial"/>
                <w:sz w:val="18"/>
                <w:szCs w:val="18"/>
              </w:rPr>
              <w:t>(10)</w:t>
            </w:r>
          </w:p>
        </w:tc>
        <w:tc>
          <w:tcPr>
            <w:tcW w:w="1418" w:type="dxa"/>
            <w:tcBorders>
              <w:top w:val="nil"/>
              <w:left w:val="nil"/>
              <w:bottom w:val="nil"/>
              <w:right w:val="nil"/>
            </w:tcBorders>
            <w:shd w:val="clear" w:color="auto" w:fill="auto"/>
            <w:vAlign w:val="bottom"/>
          </w:tcPr>
          <w:p w14:paraId="2A260D51" w14:textId="42BA26B7" w:rsidR="00A61B39" w:rsidRPr="001004B1" w:rsidRDefault="00A61B39" w:rsidP="00A61B39">
            <w:pPr>
              <w:spacing w:after="0" w:line="220" w:lineRule="exact"/>
              <w:jc w:val="right"/>
              <w:rPr>
                <w:rFonts w:eastAsia="Times New Roman" w:cs="Arial"/>
                <w:sz w:val="18"/>
                <w:szCs w:val="18"/>
              </w:rPr>
            </w:pPr>
            <w:r w:rsidRPr="00ED3157">
              <w:rPr>
                <w:rFonts w:eastAsia="Times New Roman" w:cs="Arial"/>
                <w:sz w:val="18"/>
                <w:szCs w:val="18"/>
              </w:rPr>
              <w:t>(4)</w:t>
            </w:r>
          </w:p>
        </w:tc>
      </w:tr>
      <w:tr w:rsidR="00A86096" w:rsidRPr="001004B1" w14:paraId="63FBA911" w14:textId="77777777" w:rsidTr="005444AA">
        <w:trPr>
          <w:trHeight w:val="166"/>
        </w:trPr>
        <w:tc>
          <w:tcPr>
            <w:tcW w:w="6232" w:type="dxa"/>
            <w:vAlign w:val="bottom"/>
            <w:hideMark/>
          </w:tcPr>
          <w:p w14:paraId="0B771D46" w14:textId="77777777" w:rsidR="00A86096" w:rsidRPr="001004B1" w:rsidRDefault="00A86096" w:rsidP="00A86096">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Net cash (used in) investment activities</w:t>
            </w:r>
          </w:p>
        </w:tc>
        <w:tc>
          <w:tcPr>
            <w:tcW w:w="1389" w:type="dxa"/>
            <w:tcBorders>
              <w:top w:val="single" w:sz="8" w:space="0" w:color="auto"/>
              <w:left w:val="nil"/>
              <w:bottom w:val="single" w:sz="8" w:space="0" w:color="auto"/>
              <w:right w:val="nil"/>
            </w:tcBorders>
            <w:shd w:val="clear" w:color="auto" w:fill="auto"/>
            <w:noWrap/>
          </w:tcPr>
          <w:p w14:paraId="73AAC9A3" w14:textId="7A6C0508" w:rsidR="00A86096" w:rsidRPr="001004B1" w:rsidRDefault="00A61B39" w:rsidP="00A86096">
            <w:pPr>
              <w:spacing w:after="0" w:line="220" w:lineRule="exact"/>
              <w:jc w:val="right"/>
              <w:rPr>
                <w:rFonts w:eastAsia="Times New Roman" w:cs="Arial"/>
                <w:b/>
                <w:bCs/>
                <w:sz w:val="18"/>
                <w:szCs w:val="18"/>
              </w:rPr>
            </w:pPr>
            <w:r w:rsidRPr="00A61B39">
              <w:rPr>
                <w:rFonts w:eastAsia="Times New Roman" w:cs="Arial"/>
                <w:b/>
                <w:sz w:val="18"/>
                <w:szCs w:val="18"/>
              </w:rPr>
              <w:t>(2,856</w:t>
            </w:r>
            <w:r w:rsidRPr="00A61B39" w:rsidDel="00895CCA">
              <w:rPr>
                <w:rFonts w:eastAsia="Times New Roman" w:cs="Arial"/>
                <w:b/>
                <w:sz w:val="18"/>
                <w:szCs w:val="18"/>
              </w:rPr>
              <w:t xml:space="preserve"> </w:t>
            </w:r>
            <w:r>
              <w:rPr>
                <w:rFonts w:eastAsia="Times New Roman" w:cs="Arial"/>
                <w:b/>
                <w:sz w:val="18"/>
                <w:szCs w:val="18"/>
              </w:rPr>
              <w:t>)</w:t>
            </w:r>
          </w:p>
        </w:tc>
        <w:tc>
          <w:tcPr>
            <w:tcW w:w="1418" w:type="dxa"/>
            <w:tcBorders>
              <w:top w:val="single" w:sz="8" w:space="0" w:color="auto"/>
              <w:left w:val="nil"/>
              <w:bottom w:val="single" w:sz="8" w:space="0" w:color="auto"/>
              <w:right w:val="nil"/>
            </w:tcBorders>
            <w:shd w:val="clear" w:color="auto" w:fill="auto"/>
          </w:tcPr>
          <w:p w14:paraId="7A066FCB" w14:textId="1D09F9D9" w:rsidR="00A86096" w:rsidRPr="001004B1" w:rsidRDefault="00ED3157" w:rsidP="007369DC">
            <w:pPr>
              <w:spacing w:after="0" w:line="220" w:lineRule="exact"/>
              <w:jc w:val="right"/>
              <w:rPr>
                <w:rFonts w:eastAsia="Times New Roman" w:cs="Arial"/>
                <w:b/>
                <w:bCs/>
                <w:sz w:val="18"/>
                <w:szCs w:val="18"/>
              </w:rPr>
            </w:pPr>
            <w:r w:rsidRPr="00ED3157">
              <w:rPr>
                <w:rFonts w:eastAsia="Times New Roman" w:cs="Arial"/>
                <w:b/>
                <w:sz w:val="18"/>
                <w:szCs w:val="18"/>
              </w:rPr>
              <w:t>(4,541)</w:t>
            </w:r>
            <w:r w:rsidRPr="00ED3157" w:rsidDel="00895CCA">
              <w:rPr>
                <w:rFonts w:eastAsia="Times New Roman" w:cs="Arial"/>
                <w:b/>
                <w:sz w:val="18"/>
                <w:szCs w:val="18"/>
              </w:rPr>
              <w:t xml:space="preserve"> </w:t>
            </w:r>
          </w:p>
        </w:tc>
      </w:tr>
      <w:tr w:rsidR="00671F8C" w:rsidRPr="001004B1" w14:paraId="1E65A08B" w14:textId="77777777" w:rsidTr="002F749B">
        <w:trPr>
          <w:trHeight w:val="96"/>
        </w:trPr>
        <w:tc>
          <w:tcPr>
            <w:tcW w:w="6232" w:type="dxa"/>
            <w:vAlign w:val="bottom"/>
          </w:tcPr>
          <w:p w14:paraId="4891E7C9" w14:textId="77777777" w:rsidR="00671F8C" w:rsidRPr="001004B1" w:rsidRDefault="00671F8C" w:rsidP="00671F8C">
            <w:pPr>
              <w:spacing w:after="0" w:line="140" w:lineRule="exact"/>
              <w:rPr>
                <w:rFonts w:asciiTheme="minorHAnsi" w:eastAsia="Times New Roman" w:hAnsiTheme="minorHAnsi" w:cs="Arial"/>
                <w:sz w:val="18"/>
                <w:szCs w:val="18"/>
              </w:rPr>
            </w:pPr>
          </w:p>
        </w:tc>
        <w:tc>
          <w:tcPr>
            <w:tcW w:w="1389" w:type="dxa"/>
            <w:tcBorders>
              <w:top w:val="single" w:sz="12" w:space="0" w:color="auto"/>
              <w:left w:val="nil"/>
              <w:bottom w:val="nil"/>
              <w:right w:val="nil"/>
            </w:tcBorders>
            <w:shd w:val="clear" w:color="auto" w:fill="auto"/>
            <w:noWrap/>
            <w:vAlign w:val="bottom"/>
          </w:tcPr>
          <w:p w14:paraId="2075F877" w14:textId="77777777" w:rsidR="00671F8C" w:rsidRPr="001004B1" w:rsidRDefault="00671F8C" w:rsidP="00671F8C">
            <w:pPr>
              <w:spacing w:after="0" w:line="140" w:lineRule="exact"/>
              <w:jc w:val="right"/>
              <w:rPr>
                <w:rFonts w:eastAsia="Times New Roman" w:cs="Arial"/>
                <w:sz w:val="18"/>
                <w:szCs w:val="18"/>
              </w:rPr>
            </w:pPr>
          </w:p>
        </w:tc>
        <w:tc>
          <w:tcPr>
            <w:tcW w:w="1418" w:type="dxa"/>
            <w:tcBorders>
              <w:top w:val="single" w:sz="12" w:space="0" w:color="auto"/>
              <w:left w:val="nil"/>
              <w:bottom w:val="nil"/>
              <w:right w:val="nil"/>
            </w:tcBorders>
            <w:shd w:val="clear" w:color="auto" w:fill="auto"/>
            <w:vAlign w:val="bottom"/>
          </w:tcPr>
          <w:p w14:paraId="68C9BD07" w14:textId="77777777" w:rsidR="00671F8C" w:rsidRPr="001004B1" w:rsidRDefault="00671F8C" w:rsidP="00671F8C">
            <w:pPr>
              <w:spacing w:after="0" w:line="140" w:lineRule="exact"/>
              <w:jc w:val="right"/>
              <w:rPr>
                <w:rFonts w:eastAsia="Times New Roman" w:cs="Arial"/>
                <w:sz w:val="18"/>
                <w:szCs w:val="18"/>
              </w:rPr>
            </w:pPr>
          </w:p>
        </w:tc>
      </w:tr>
      <w:tr w:rsidR="00671F8C" w:rsidRPr="001004B1" w14:paraId="090F7336" w14:textId="77777777" w:rsidTr="002F749B">
        <w:trPr>
          <w:trHeight w:val="164"/>
        </w:trPr>
        <w:tc>
          <w:tcPr>
            <w:tcW w:w="6232" w:type="dxa"/>
            <w:vAlign w:val="bottom"/>
            <w:hideMark/>
          </w:tcPr>
          <w:p w14:paraId="3BCCB6A9" w14:textId="77777777" w:rsidR="00671F8C" w:rsidRPr="001004B1" w:rsidRDefault="00671F8C" w:rsidP="00671F8C">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Effect of foreign currency to cash and cash equivalents</w:t>
            </w:r>
          </w:p>
        </w:tc>
        <w:tc>
          <w:tcPr>
            <w:tcW w:w="1389" w:type="dxa"/>
            <w:tcBorders>
              <w:top w:val="nil"/>
              <w:left w:val="nil"/>
              <w:bottom w:val="nil"/>
              <w:right w:val="nil"/>
            </w:tcBorders>
            <w:shd w:val="clear" w:color="auto" w:fill="auto"/>
            <w:noWrap/>
            <w:vAlign w:val="bottom"/>
          </w:tcPr>
          <w:p w14:paraId="378833C8" w14:textId="77777777" w:rsidR="00671F8C" w:rsidRPr="001004B1" w:rsidRDefault="00671F8C" w:rsidP="00671F8C">
            <w:pPr>
              <w:spacing w:after="0" w:line="220" w:lineRule="exact"/>
              <w:jc w:val="right"/>
              <w:rPr>
                <w:rFonts w:eastAsia="Times New Roman" w:cs="Arial"/>
                <w:sz w:val="18"/>
                <w:szCs w:val="18"/>
              </w:rPr>
            </w:pPr>
          </w:p>
        </w:tc>
        <w:tc>
          <w:tcPr>
            <w:tcW w:w="1418" w:type="dxa"/>
            <w:tcBorders>
              <w:top w:val="nil"/>
              <w:left w:val="nil"/>
              <w:bottom w:val="nil"/>
              <w:right w:val="nil"/>
            </w:tcBorders>
            <w:shd w:val="clear" w:color="auto" w:fill="auto"/>
            <w:vAlign w:val="bottom"/>
          </w:tcPr>
          <w:p w14:paraId="7F3756F2" w14:textId="77777777" w:rsidR="00671F8C" w:rsidRPr="001004B1" w:rsidRDefault="00671F8C" w:rsidP="00671F8C">
            <w:pPr>
              <w:spacing w:after="0" w:line="220" w:lineRule="exact"/>
              <w:jc w:val="right"/>
              <w:rPr>
                <w:rFonts w:eastAsia="Times New Roman" w:cs="Arial"/>
                <w:sz w:val="18"/>
                <w:szCs w:val="18"/>
              </w:rPr>
            </w:pPr>
          </w:p>
        </w:tc>
      </w:tr>
      <w:tr w:rsidR="00ED3157" w:rsidRPr="001004B1" w14:paraId="3F1030C3" w14:textId="77777777" w:rsidTr="006B318F">
        <w:trPr>
          <w:trHeight w:val="164"/>
        </w:trPr>
        <w:tc>
          <w:tcPr>
            <w:tcW w:w="6232" w:type="dxa"/>
            <w:vAlign w:val="bottom"/>
            <w:hideMark/>
          </w:tcPr>
          <w:p w14:paraId="30C3844F" w14:textId="77777777" w:rsidR="00ED3157" w:rsidRPr="001004B1" w:rsidRDefault="00ED3157" w:rsidP="00ED3157">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Net foreign exchange</w:t>
            </w:r>
          </w:p>
        </w:tc>
        <w:tc>
          <w:tcPr>
            <w:tcW w:w="1389" w:type="dxa"/>
            <w:tcBorders>
              <w:top w:val="nil"/>
              <w:left w:val="nil"/>
              <w:bottom w:val="single" w:sz="4" w:space="0" w:color="auto"/>
              <w:right w:val="nil"/>
            </w:tcBorders>
            <w:shd w:val="clear" w:color="auto" w:fill="auto"/>
            <w:noWrap/>
          </w:tcPr>
          <w:p w14:paraId="57B78C2F" w14:textId="22C2A9B7" w:rsidR="00ED3157" w:rsidRPr="001004B1" w:rsidRDefault="00A61B39" w:rsidP="00ED3157">
            <w:pPr>
              <w:spacing w:after="0" w:line="220" w:lineRule="exact"/>
              <w:jc w:val="right"/>
              <w:rPr>
                <w:rFonts w:eastAsia="Times New Roman" w:cs="Arial"/>
                <w:sz w:val="18"/>
                <w:szCs w:val="18"/>
              </w:rPr>
            </w:pPr>
            <w:r w:rsidRPr="00A61B39">
              <w:rPr>
                <w:rFonts w:eastAsia="Times New Roman" w:cs="Arial"/>
                <w:sz w:val="18"/>
                <w:szCs w:val="18"/>
              </w:rPr>
              <w:t>148</w:t>
            </w:r>
          </w:p>
        </w:tc>
        <w:tc>
          <w:tcPr>
            <w:tcW w:w="1418" w:type="dxa"/>
            <w:tcBorders>
              <w:top w:val="nil"/>
              <w:left w:val="nil"/>
              <w:bottom w:val="single" w:sz="4" w:space="0" w:color="auto"/>
              <w:right w:val="nil"/>
            </w:tcBorders>
            <w:shd w:val="clear" w:color="auto" w:fill="auto"/>
          </w:tcPr>
          <w:p w14:paraId="3789DDD6" w14:textId="20F58795" w:rsidR="00ED3157" w:rsidRPr="001004B1" w:rsidRDefault="00ED3157" w:rsidP="00ED3157">
            <w:pPr>
              <w:spacing w:after="0" w:line="220" w:lineRule="exact"/>
              <w:jc w:val="right"/>
              <w:rPr>
                <w:rFonts w:eastAsia="Times New Roman" w:cs="Arial"/>
                <w:sz w:val="18"/>
                <w:szCs w:val="18"/>
              </w:rPr>
            </w:pPr>
            <w:r w:rsidRPr="006B318F">
              <w:rPr>
                <w:rFonts w:eastAsia="Times New Roman" w:cs="Arial"/>
                <w:sz w:val="18"/>
                <w:szCs w:val="18"/>
              </w:rPr>
              <w:t>247</w:t>
            </w:r>
          </w:p>
        </w:tc>
      </w:tr>
      <w:tr w:rsidR="00ED3157" w:rsidRPr="001004B1" w14:paraId="24D20758" w14:textId="77777777" w:rsidTr="006B318F">
        <w:trPr>
          <w:trHeight w:val="164"/>
        </w:trPr>
        <w:tc>
          <w:tcPr>
            <w:tcW w:w="6232" w:type="dxa"/>
            <w:vAlign w:val="bottom"/>
            <w:hideMark/>
          </w:tcPr>
          <w:p w14:paraId="6B2B7065" w14:textId="77777777" w:rsidR="00ED3157" w:rsidRPr="001004B1" w:rsidRDefault="00ED3157" w:rsidP="00ED3157">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Net effect</w:t>
            </w:r>
          </w:p>
        </w:tc>
        <w:tc>
          <w:tcPr>
            <w:tcW w:w="1389" w:type="dxa"/>
            <w:tcBorders>
              <w:top w:val="single" w:sz="4" w:space="0" w:color="auto"/>
              <w:left w:val="nil"/>
              <w:bottom w:val="single" w:sz="12" w:space="0" w:color="auto"/>
              <w:right w:val="nil"/>
            </w:tcBorders>
            <w:shd w:val="clear" w:color="auto" w:fill="auto"/>
            <w:noWrap/>
          </w:tcPr>
          <w:p w14:paraId="7C83BE6F" w14:textId="065F1827" w:rsidR="00ED3157" w:rsidRPr="001004B1" w:rsidRDefault="00A61B39" w:rsidP="00ED3157">
            <w:pPr>
              <w:spacing w:after="0" w:line="220" w:lineRule="exact"/>
              <w:jc w:val="right"/>
              <w:rPr>
                <w:rFonts w:eastAsia="Times New Roman" w:cs="Arial"/>
                <w:b/>
                <w:sz w:val="18"/>
                <w:szCs w:val="18"/>
              </w:rPr>
            </w:pPr>
            <w:r w:rsidRPr="00A61B39">
              <w:rPr>
                <w:rFonts w:eastAsia="Times New Roman" w:cs="Arial"/>
                <w:b/>
                <w:sz w:val="18"/>
                <w:szCs w:val="18"/>
              </w:rPr>
              <w:t>148</w:t>
            </w:r>
          </w:p>
        </w:tc>
        <w:tc>
          <w:tcPr>
            <w:tcW w:w="1418" w:type="dxa"/>
            <w:tcBorders>
              <w:top w:val="single" w:sz="4" w:space="0" w:color="auto"/>
              <w:left w:val="nil"/>
              <w:bottom w:val="single" w:sz="12" w:space="0" w:color="auto"/>
              <w:right w:val="nil"/>
            </w:tcBorders>
            <w:shd w:val="clear" w:color="auto" w:fill="auto"/>
          </w:tcPr>
          <w:p w14:paraId="652DB051" w14:textId="092E4C6A" w:rsidR="00ED3157" w:rsidRPr="006B318F" w:rsidRDefault="00ED3157" w:rsidP="00ED3157">
            <w:pPr>
              <w:spacing w:after="0" w:line="220" w:lineRule="exact"/>
              <w:jc w:val="right"/>
              <w:rPr>
                <w:rFonts w:eastAsia="Times New Roman" w:cs="Arial"/>
                <w:sz w:val="18"/>
                <w:szCs w:val="18"/>
              </w:rPr>
            </w:pPr>
            <w:r w:rsidRPr="006B318F">
              <w:rPr>
                <w:rFonts w:eastAsia="Times New Roman" w:cs="Arial"/>
                <w:sz w:val="18"/>
                <w:szCs w:val="18"/>
              </w:rPr>
              <w:t>247</w:t>
            </w:r>
          </w:p>
        </w:tc>
      </w:tr>
      <w:tr w:rsidR="004258E7" w:rsidRPr="001004B1" w14:paraId="535223A0" w14:textId="77777777" w:rsidTr="00166751">
        <w:trPr>
          <w:trHeight w:val="56"/>
        </w:trPr>
        <w:tc>
          <w:tcPr>
            <w:tcW w:w="6232" w:type="dxa"/>
            <w:vAlign w:val="bottom"/>
          </w:tcPr>
          <w:p w14:paraId="28706E5F" w14:textId="77777777" w:rsidR="004258E7" w:rsidRPr="001004B1" w:rsidRDefault="004258E7" w:rsidP="004258E7">
            <w:pPr>
              <w:spacing w:after="0" w:line="140" w:lineRule="exact"/>
              <w:rPr>
                <w:rFonts w:asciiTheme="minorHAnsi" w:eastAsia="Times New Roman" w:hAnsiTheme="minorHAnsi" w:cs="Arial"/>
                <w:sz w:val="18"/>
                <w:szCs w:val="18"/>
              </w:rPr>
            </w:pPr>
          </w:p>
        </w:tc>
        <w:tc>
          <w:tcPr>
            <w:tcW w:w="1389" w:type="dxa"/>
            <w:tcBorders>
              <w:top w:val="single" w:sz="12" w:space="0" w:color="auto"/>
              <w:left w:val="nil"/>
              <w:bottom w:val="nil"/>
              <w:right w:val="nil"/>
            </w:tcBorders>
            <w:shd w:val="clear" w:color="auto" w:fill="auto"/>
            <w:noWrap/>
          </w:tcPr>
          <w:p w14:paraId="7C46FD36" w14:textId="77777777" w:rsidR="004258E7" w:rsidRPr="001004B1" w:rsidRDefault="004258E7" w:rsidP="004258E7">
            <w:pPr>
              <w:spacing w:after="0" w:line="140" w:lineRule="exact"/>
              <w:jc w:val="right"/>
              <w:rPr>
                <w:rFonts w:eastAsia="Times New Roman" w:cs="Arial"/>
                <w:sz w:val="18"/>
                <w:szCs w:val="18"/>
              </w:rPr>
            </w:pPr>
          </w:p>
        </w:tc>
        <w:tc>
          <w:tcPr>
            <w:tcW w:w="1418" w:type="dxa"/>
            <w:tcBorders>
              <w:top w:val="single" w:sz="12" w:space="0" w:color="auto"/>
              <w:left w:val="nil"/>
              <w:bottom w:val="nil"/>
              <w:right w:val="nil"/>
            </w:tcBorders>
            <w:shd w:val="clear" w:color="auto" w:fill="auto"/>
            <w:vAlign w:val="bottom"/>
          </w:tcPr>
          <w:p w14:paraId="4A6D047E" w14:textId="77777777" w:rsidR="004258E7" w:rsidRPr="001004B1" w:rsidRDefault="004258E7" w:rsidP="004258E7">
            <w:pPr>
              <w:spacing w:after="0" w:line="140" w:lineRule="exact"/>
              <w:jc w:val="right"/>
              <w:rPr>
                <w:rFonts w:eastAsia="Times New Roman" w:cs="Arial"/>
                <w:sz w:val="18"/>
                <w:szCs w:val="18"/>
              </w:rPr>
            </w:pPr>
          </w:p>
        </w:tc>
      </w:tr>
      <w:tr w:rsidR="00A61B39" w:rsidRPr="001004B1" w14:paraId="0D2EBDD6" w14:textId="77777777" w:rsidTr="006B318F">
        <w:trPr>
          <w:trHeight w:val="164"/>
        </w:trPr>
        <w:tc>
          <w:tcPr>
            <w:tcW w:w="6232" w:type="dxa"/>
            <w:vAlign w:val="bottom"/>
            <w:hideMark/>
          </w:tcPr>
          <w:p w14:paraId="112D8067" w14:textId="5036337B" w:rsidR="00A61B39" w:rsidRPr="001004B1" w:rsidRDefault="00A61B39" w:rsidP="00C436B9">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Net increase in cash and cash equivalents</w:t>
            </w:r>
          </w:p>
        </w:tc>
        <w:tc>
          <w:tcPr>
            <w:tcW w:w="1389" w:type="dxa"/>
            <w:tcBorders>
              <w:top w:val="nil"/>
              <w:left w:val="nil"/>
              <w:bottom w:val="nil"/>
              <w:right w:val="nil"/>
            </w:tcBorders>
            <w:shd w:val="clear" w:color="auto" w:fill="auto"/>
            <w:noWrap/>
            <w:vAlign w:val="center"/>
          </w:tcPr>
          <w:p w14:paraId="19A3A9A4" w14:textId="4A61DFA2" w:rsidR="00A61B39" w:rsidRPr="001004B1" w:rsidRDefault="00A61B39" w:rsidP="00A61B39">
            <w:pPr>
              <w:spacing w:after="0" w:line="220" w:lineRule="exact"/>
              <w:jc w:val="right"/>
              <w:rPr>
                <w:rFonts w:eastAsia="Times New Roman" w:cs="Arial"/>
                <w:sz w:val="18"/>
                <w:szCs w:val="18"/>
              </w:rPr>
            </w:pPr>
            <w:r>
              <w:rPr>
                <w:rFonts w:eastAsia="Times New Roman" w:cs="Arial"/>
                <w:sz w:val="18"/>
                <w:szCs w:val="18"/>
              </w:rPr>
              <w:t>1,735</w:t>
            </w:r>
          </w:p>
        </w:tc>
        <w:tc>
          <w:tcPr>
            <w:tcW w:w="1418" w:type="dxa"/>
            <w:tcBorders>
              <w:top w:val="nil"/>
              <w:left w:val="nil"/>
              <w:bottom w:val="nil"/>
              <w:right w:val="nil"/>
            </w:tcBorders>
            <w:shd w:val="clear" w:color="auto" w:fill="auto"/>
            <w:vAlign w:val="bottom"/>
          </w:tcPr>
          <w:p w14:paraId="36AFB13A" w14:textId="27CD1D8C" w:rsidR="00A61B39" w:rsidRPr="001004B1" w:rsidRDefault="00A61B39" w:rsidP="00A61B39">
            <w:pPr>
              <w:spacing w:after="0" w:line="220" w:lineRule="exact"/>
              <w:jc w:val="right"/>
              <w:rPr>
                <w:rFonts w:eastAsia="Times New Roman" w:cs="Arial"/>
                <w:sz w:val="18"/>
                <w:szCs w:val="18"/>
              </w:rPr>
            </w:pPr>
            <w:r>
              <w:rPr>
                <w:rFonts w:asciiTheme="minorHAnsi" w:hAnsiTheme="minorHAnsi" w:cs="Arial"/>
                <w:sz w:val="18"/>
                <w:szCs w:val="18"/>
              </w:rPr>
              <w:t>206</w:t>
            </w:r>
          </w:p>
        </w:tc>
      </w:tr>
      <w:tr w:rsidR="00A61B39" w:rsidRPr="001004B1" w14:paraId="036C8E84" w14:textId="77777777" w:rsidTr="006B318F">
        <w:trPr>
          <w:trHeight w:val="66"/>
        </w:trPr>
        <w:tc>
          <w:tcPr>
            <w:tcW w:w="6232" w:type="dxa"/>
            <w:vAlign w:val="bottom"/>
          </w:tcPr>
          <w:p w14:paraId="55358452" w14:textId="77777777" w:rsidR="00A61B39" w:rsidRPr="001004B1" w:rsidRDefault="00A61B39" w:rsidP="00A61B39">
            <w:pPr>
              <w:spacing w:after="0" w:line="140" w:lineRule="exact"/>
              <w:rPr>
                <w:rFonts w:asciiTheme="minorHAnsi" w:eastAsia="Times New Roman" w:hAnsiTheme="minorHAnsi" w:cs="Arial"/>
                <w:sz w:val="18"/>
                <w:szCs w:val="18"/>
              </w:rPr>
            </w:pPr>
          </w:p>
        </w:tc>
        <w:tc>
          <w:tcPr>
            <w:tcW w:w="1389" w:type="dxa"/>
            <w:tcBorders>
              <w:top w:val="nil"/>
              <w:left w:val="nil"/>
              <w:bottom w:val="nil"/>
              <w:right w:val="nil"/>
            </w:tcBorders>
            <w:shd w:val="clear" w:color="auto" w:fill="auto"/>
            <w:noWrap/>
            <w:vAlign w:val="center"/>
          </w:tcPr>
          <w:p w14:paraId="012225DE" w14:textId="77777777" w:rsidR="00A61B39" w:rsidRPr="001004B1" w:rsidRDefault="00A61B39" w:rsidP="00A61B39">
            <w:pPr>
              <w:spacing w:after="0" w:line="140" w:lineRule="exact"/>
              <w:jc w:val="right"/>
              <w:rPr>
                <w:rFonts w:eastAsia="Times New Roman" w:cs="Arial"/>
                <w:sz w:val="18"/>
                <w:szCs w:val="18"/>
              </w:rPr>
            </w:pPr>
          </w:p>
        </w:tc>
        <w:tc>
          <w:tcPr>
            <w:tcW w:w="1418" w:type="dxa"/>
            <w:tcBorders>
              <w:top w:val="nil"/>
              <w:left w:val="nil"/>
              <w:bottom w:val="nil"/>
              <w:right w:val="nil"/>
            </w:tcBorders>
            <w:shd w:val="clear" w:color="auto" w:fill="auto"/>
            <w:vAlign w:val="bottom"/>
          </w:tcPr>
          <w:p w14:paraId="16137497" w14:textId="77777777" w:rsidR="00A61B39" w:rsidRPr="001004B1" w:rsidRDefault="00A61B39" w:rsidP="00A61B39">
            <w:pPr>
              <w:spacing w:after="0" w:line="140" w:lineRule="exact"/>
              <w:jc w:val="right"/>
              <w:rPr>
                <w:rFonts w:eastAsia="Times New Roman" w:cs="Arial"/>
                <w:sz w:val="18"/>
                <w:szCs w:val="18"/>
              </w:rPr>
            </w:pPr>
          </w:p>
        </w:tc>
      </w:tr>
      <w:tr w:rsidR="00A61B39" w:rsidRPr="001004B1" w14:paraId="21AC2B3F" w14:textId="77777777" w:rsidTr="006B318F">
        <w:trPr>
          <w:trHeight w:val="164"/>
        </w:trPr>
        <w:tc>
          <w:tcPr>
            <w:tcW w:w="6232" w:type="dxa"/>
            <w:vAlign w:val="bottom"/>
            <w:hideMark/>
          </w:tcPr>
          <w:p w14:paraId="76A40BC5" w14:textId="77777777" w:rsidR="00A61B39" w:rsidRPr="001004B1" w:rsidRDefault="00A61B39" w:rsidP="00A61B39">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Balance as of 1 January</w:t>
            </w:r>
          </w:p>
        </w:tc>
        <w:tc>
          <w:tcPr>
            <w:tcW w:w="1389" w:type="dxa"/>
            <w:tcBorders>
              <w:top w:val="nil"/>
              <w:left w:val="nil"/>
              <w:bottom w:val="nil"/>
              <w:right w:val="nil"/>
            </w:tcBorders>
            <w:shd w:val="clear" w:color="auto" w:fill="auto"/>
            <w:noWrap/>
            <w:vAlign w:val="center"/>
          </w:tcPr>
          <w:p w14:paraId="0E647466" w14:textId="02F35995" w:rsidR="00A61B39" w:rsidRPr="001004B1" w:rsidRDefault="00A61B39" w:rsidP="00A61B39">
            <w:pPr>
              <w:spacing w:after="0" w:line="220" w:lineRule="exact"/>
              <w:jc w:val="right"/>
              <w:rPr>
                <w:rFonts w:eastAsia="Times New Roman" w:cs="Arial"/>
                <w:sz w:val="18"/>
                <w:szCs w:val="18"/>
              </w:rPr>
            </w:pPr>
            <w:r>
              <w:rPr>
                <w:rFonts w:eastAsia="Times New Roman" w:cs="Arial"/>
                <w:sz w:val="18"/>
                <w:szCs w:val="18"/>
              </w:rPr>
              <w:t>551</w:t>
            </w:r>
          </w:p>
        </w:tc>
        <w:tc>
          <w:tcPr>
            <w:tcW w:w="1418" w:type="dxa"/>
            <w:tcBorders>
              <w:top w:val="nil"/>
              <w:left w:val="nil"/>
              <w:bottom w:val="nil"/>
              <w:right w:val="nil"/>
            </w:tcBorders>
            <w:shd w:val="clear" w:color="auto" w:fill="auto"/>
            <w:vAlign w:val="bottom"/>
          </w:tcPr>
          <w:p w14:paraId="3ED2379C" w14:textId="4CC054D0" w:rsidR="00A61B39" w:rsidRPr="001004B1" w:rsidRDefault="00A61B39" w:rsidP="00A61B39">
            <w:pPr>
              <w:spacing w:after="0" w:line="220" w:lineRule="exact"/>
              <w:jc w:val="right"/>
              <w:rPr>
                <w:rFonts w:eastAsia="Times New Roman" w:cs="Arial"/>
                <w:sz w:val="18"/>
                <w:szCs w:val="18"/>
              </w:rPr>
            </w:pPr>
            <w:r>
              <w:rPr>
                <w:rFonts w:asciiTheme="minorHAnsi" w:hAnsiTheme="minorHAnsi" w:cs="Arial"/>
                <w:sz w:val="18"/>
                <w:szCs w:val="18"/>
              </w:rPr>
              <w:t>242</w:t>
            </w:r>
          </w:p>
        </w:tc>
      </w:tr>
      <w:tr w:rsidR="00A61B39" w:rsidRPr="001004B1" w14:paraId="15407219" w14:textId="77777777" w:rsidTr="006B318F">
        <w:trPr>
          <w:trHeight w:val="164"/>
        </w:trPr>
        <w:tc>
          <w:tcPr>
            <w:tcW w:w="6232" w:type="dxa"/>
            <w:vAlign w:val="bottom"/>
            <w:hideMark/>
          </w:tcPr>
          <w:p w14:paraId="6503E5FA" w14:textId="6F45C3F2" w:rsidR="00A61B39" w:rsidRPr="001004B1" w:rsidRDefault="00A61B39" w:rsidP="00C436B9">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Net increase</w:t>
            </w:r>
            <w:r>
              <w:rPr>
                <w:rFonts w:asciiTheme="minorHAnsi" w:eastAsia="Times New Roman" w:hAnsiTheme="minorHAnsi" w:cs="Arial"/>
                <w:sz w:val="18"/>
                <w:szCs w:val="18"/>
              </w:rPr>
              <w:t xml:space="preserve"> </w:t>
            </w:r>
            <w:r w:rsidRPr="001004B1">
              <w:rPr>
                <w:rFonts w:asciiTheme="minorHAnsi" w:eastAsia="Times New Roman" w:hAnsiTheme="minorHAnsi" w:cs="Arial"/>
                <w:sz w:val="18"/>
                <w:szCs w:val="18"/>
              </w:rPr>
              <w:t>in cash</w:t>
            </w:r>
          </w:p>
        </w:tc>
        <w:tc>
          <w:tcPr>
            <w:tcW w:w="1389" w:type="dxa"/>
            <w:tcBorders>
              <w:top w:val="nil"/>
              <w:left w:val="nil"/>
              <w:bottom w:val="nil"/>
              <w:right w:val="nil"/>
            </w:tcBorders>
            <w:shd w:val="clear" w:color="auto" w:fill="auto"/>
            <w:noWrap/>
            <w:vAlign w:val="center"/>
          </w:tcPr>
          <w:p w14:paraId="619A9CB5" w14:textId="627B05D6" w:rsidR="00A61B39" w:rsidRPr="001004B1" w:rsidRDefault="00A61B39" w:rsidP="00A61B39">
            <w:pPr>
              <w:spacing w:after="0" w:line="220" w:lineRule="exact"/>
              <w:jc w:val="right"/>
              <w:rPr>
                <w:rFonts w:eastAsia="Times New Roman" w:cs="Arial"/>
                <w:sz w:val="18"/>
                <w:szCs w:val="18"/>
              </w:rPr>
            </w:pPr>
            <w:r>
              <w:rPr>
                <w:rFonts w:eastAsia="Times New Roman" w:cs="Arial"/>
                <w:sz w:val="18"/>
                <w:szCs w:val="18"/>
              </w:rPr>
              <w:t>1,735</w:t>
            </w:r>
          </w:p>
        </w:tc>
        <w:tc>
          <w:tcPr>
            <w:tcW w:w="1418" w:type="dxa"/>
            <w:tcBorders>
              <w:top w:val="nil"/>
              <w:left w:val="nil"/>
              <w:right w:val="nil"/>
            </w:tcBorders>
            <w:shd w:val="clear" w:color="auto" w:fill="auto"/>
            <w:vAlign w:val="bottom"/>
          </w:tcPr>
          <w:p w14:paraId="037AB362" w14:textId="249BC460" w:rsidR="00A61B39" w:rsidRPr="001004B1" w:rsidRDefault="00A61B39" w:rsidP="00A61B39">
            <w:pPr>
              <w:spacing w:after="0" w:line="220" w:lineRule="exact"/>
              <w:jc w:val="right"/>
              <w:rPr>
                <w:rFonts w:eastAsia="Times New Roman" w:cs="Arial"/>
                <w:sz w:val="18"/>
                <w:szCs w:val="18"/>
              </w:rPr>
            </w:pPr>
            <w:r>
              <w:rPr>
                <w:rFonts w:asciiTheme="minorHAnsi" w:hAnsiTheme="minorHAnsi" w:cs="Arial"/>
                <w:sz w:val="18"/>
                <w:szCs w:val="18"/>
              </w:rPr>
              <w:t>206</w:t>
            </w:r>
          </w:p>
        </w:tc>
      </w:tr>
      <w:tr w:rsidR="004258E7" w:rsidRPr="001004B1" w14:paraId="5652F982" w14:textId="77777777" w:rsidTr="00166751">
        <w:trPr>
          <w:trHeight w:val="66"/>
        </w:trPr>
        <w:tc>
          <w:tcPr>
            <w:tcW w:w="6232" w:type="dxa"/>
            <w:vAlign w:val="bottom"/>
          </w:tcPr>
          <w:p w14:paraId="6465E519" w14:textId="77777777" w:rsidR="004258E7" w:rsidRPr="001004B1" w:rsidRDefault="004258E7" w:rsidP="004258E7">
            <w:pPr>
              <w:spacing w:after="0" w:line="140" w:lineRule="exact"/>
              <w:rPr>
                <w:rFonts w:asciiTheme="minorHAnsi" w:eastAsia="Times New Roman" w:hAnsiTheme="minorHAnsi" w:cs="Arial"/>
                <w:sz w:val="18"/>
                <w:szCs w:val="18"/>
              </w:rPr>
            </w:pPr>
          </w:p>
        </w:tc>
        <w:tc>
          <w:tcPr>
            <w:tcW w:w="1389" w:type="dxa"/>
            <w:tcBorders>
              <w:top w:val="nil"/>
              <w:left w:val="nil"/>
              <w:bottom w:val="single" w:sz="4" w:space="0" w:color="auto"/>
              <w:right w:val="nil"/>
            </w:tcBorders>
            <w:shd w:val="clear" w:color="auto" w:fill="auto"/>
            <w:noWrap/>
          </w:tcPr>
          <w:p w14:paraId="3412DCE1" w14:textId="77777777" w:rsidR="004258E7" w:rsidRPr="001004B1" w:rsidRDefault="004258E7" w:rsidP="004258E7">
            <w:pPr>
              <w:spacing w:after="0" w:line="140" w:lineRule="exact"/>
              <w:jc w:val="right"/>
              <w:rPr>
                <w:rFonts w:eastAsia="Times New Roman" w:cs="Arial"/>
                <w:sz w:val="18"/>
                <w:szCs w:val="18"/>
              </w:rPr>
            </w:pPr>
          </w:p>
        </w:tc>
        <w:tc>
          <w:tcPr>
            <w:tcW w:w="1418" w:type="dxa"/>
            <w:tcBorders>
              <w:top w:val="nil"/>
              <w:left w:val="nil"/>
              <w:bottom w:val="single" w:sz="4" w:space="0" w:color="auto"/>
              <w:right w:val="nil"/>
            </w:tcBorders>
            <w:shd w:val="clear" w:color="auto" w:fill="auto"/>
            <w:vAlign w:val="bottom"/>
          </w:tcPr>
          <w:p w14:paraId="52B073B0" w14:textId="77777777" w:rsidR="004258E7" w:rsidRPr="001004B1" w:rsidRDefault="004258E7" w:rsidP="004258E7">
            <w:pPr>
              <w:spacing w:after="0" w:line="140" w:lineRule="exact"/>
              <w:jc w:val="right"/>
              <w:rPr>
                <w:rFonts w:eastAsia="Times New Roman" w:cs="Arial"/>
                <w:sz w:val="18"/>
                <w:szCs w:val="18"/>
              </w:rPr>
            </w:pPr>
          </w:p>
        </w:tc>
      </w:tr>
      <w:tr w:rsidR="004258E7" w:rsidRPr="001004B1" w14:paraId="20D6675F" w14:textId="77777777" w:rsidTr="00166751">
        <w:trPr>
          <w:trHeight w:val="164"/>
        </w:trPr>
        <w:tc>
          <w:tcPr>
            <w:tcW w:w="6232" w:type="dxa"/>
            <w:vAlign w:val="bottom"/>
            <w:hideMark/>
          </w:tcPr>
          <w:p w14:paraId="483AD082" w14:textId="06C9645B" w:rsidR="004258E7" w:rsidRPr="001004B1" w:rsidRDefault="004258E7" w:rsidP="00C436B9">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 xml:space="preserve">Balance as of </w:t>
            </w:r>
            <w:r w:rsidRPr="00F90F31">
              <w:rPr>
                <w:rFonts w:asciiTheme="minorHAnsi" w:eastAsia="Times New Roman" w:hAnsiTheme="minorHAnsi" w:cs="Arial"/>
                <w:b/>
                <w:sz w:val="18"/>
                <w:szCs w:val="18"/>
              </w:rPr>
              <w:t xml:space="preserve">30 </w:t>
            </w:r>
            <w:r w:rsidR="00456071">
              <w:rPr>
                <w:rFonts w:asciiTheme="minorHAnsi" w:eastAsia="Times New Roman" w:hAnsiTheme="minorHAnsi" w:cs="Arial"/>
                <w:b/>
                <w:sz w:val="18"/>
                <w:szCs w:val="18"/>
              </w:rPr>
              <w:t>September</w:t>
            </w:r>
          </w:p>
        </w:tc>
        <w:tc>
          <w:tcPr>
            <w:tcW w:w="1389" w:type="dxa"/>
            <w:tcBorders>
              <w:top w:val="single" w:sz="4" w:space="0" w:color="auto"/>
              <w:left w:val="nil"/>
              <w:bottom w:val="single" w:sz="12" w:space="0" w:color="auto"/>
              <w:right w:val="nil"/>
            </w:tcBorders>
            <w:shd w:val="clear" w:color="auto" w:fill="auto"/>
            <w:noWrap/>
          </w:tcPr>
          <w:p w14:paraId="135DF4BB" w14:textId="771BA37D" w:rsidR="004258E7" w:rsidRPr="001004B1" w:rsidRDefault="00A61B39" w:rsidP="004258E7">
            <w:pPr>
              <w:spacing w:after="0" w:line="220" w:lineRule="exact"/>
              <w:jc w:val="right"/>
              <w:rPr>
                <w:rFonts w:eastAsia="Times New Roman" w:cs="Arial"/>
                <w:b/>
                <w:sz w:val="18"/>
                <w:szCs w:val="18"/>
              </w:rPr>
            </w:pPr>
            <w:r w:rsidRPr="00A61B39">
              <w:rPr>
                <w:rFonts w:eastAsia="Times New Roman" w:cs="Arial"/>
                <w:b/>
                <w:sz w:val="18"/>
                <w:szCs w:val="18"/>
              </w:rPr>
              <w:t>2,286</w:t>
            </w:r>
          </w:p>
        </w:tc>
        <w:tc>
          <w:tcPr>
            <w:tcW w:w="1418" w:type="dxa"/>
            <w:tcBorders>
              <w:top w:val="single" w:sz="4" w:space="0" w:color="auto"/>
              <w:left w:val="nil"/>
              <w:bottom w:val="single" w:sz="12" w:space="0" w:color="auto"/>
              <w:right w:val="nil"/>
            </w:tcBorders>
            <w:shd w:val="clear" w:color="auto" w:fill="auto"/>
            <w:vAlign w:val="bottom"/>
          </w:tcPr>
          <w:p w14:paraId="168253D2" w14:textId="7A5BE798" w:rsidR="004258E7" w:rsidRPr="001004B1" w:rsidRDefault="00ED3157" w:rsidP="004258E7">
            <w:pPr>
              <w:spacing w:after="0" w:line="220" w:lineRule="exact"/>
              <w:jc w:val="right"/>
              <w:rPr>
                <w:rFonts w:eastAsia="Times New Roman" w:cs="Arial"/>
                <w:b/>
                <w:sz w:val="18"/>
                <w:szCs w:val="18"/>
              </w:rPr>
            </w:pPr>
            <w:r>
              <w:rPr>
                <w:rFonts w:asciiTheme="minorHAnsi" w:hAnsiTheme="minorHAnsi" w:cs="Arial"/>
                <w:b/>
                <w:sz w:val="18"/>
                <w:szCs w:val="18"/>
              </w:rPr>
              <w:t>448</w:t>
            </w:r>
          </w:p>
        </w:tc>
      </w:tr>
    </w:tbl>
    <w:p w14:paraId="5C48774F" w14:textId="77777777" w:rsidR="009702B0" w:rsidRPr="009702B0" w:rsidRDefault="009702B0" w:rsidP="009702B0"/>
    <w:p w14:paraId="6315FCB2" w14:textId="77777777" w:rsidR="009702B0" w:rsidRPr="009702B0" w:rsidRDefault="009702B0" w:rsidP="009702B0"/>
    <w:p w14:paraId="5D8C2130" w14:textId="77777777" w:rsidR="009702B0" w:rsidRPr="009702B0" w:rsidRDefault="009702B0" w:rsidP="009702B0"/>
    <w:p w14:paraId="63E2172F" w14:textId="77777777" w:rsidR="009702B0" w:rsidRPr="009702B0" w:rsidRDefault="009702B0" w:rsidP="009702B0"/>
    <w:p w14:paraId="73A063BA" w14:textId="77777777" w:rsidR="009702B0" w:rsidRPr="009702B0" w:rsidRDefault="009702B0" w:rsidP="009702B0">
      <w:pPr>
        <w:sectPr w:rsidR="009702B0" w:rsidRPr="009702B0" w:rsidSect="00947CB7">
          <w:headerReference w:type="first" r:id="rId136"/>
          <w:footerReference w:type="first" r:id="rId137"/>
          <w:pgSz w:w="11906" w:h="16838" w:code="9"/>
          <w:pgMar w:top="1418" w:right="1418" w:bottom="595" w:left="1134" w:header="709" w:footer="709" w:gutter="0"/>
          <w:cols w:space="708"/>
          <w:titlePg/>
          <w:docGrid w:linePitch="360"/>
        </w:sectPr>
      </w:pPr>
    </w:p>
    <w:p w14:paraId="6B1EC7DC" w14:textId="77777777" w:rsidR="009702B0" w:rsidRPr="009702B0" w:rsidRDefault="009702B0" w:rsidP="009702B0"/>
    <w:tbl>
      <w:tblPr>
        <w:tblpPr w:leftFromText="180" w:rightFromText="180" w:vertAnchor="page" w:horzAnchor="margin" w:tblpXSpec="center" w:tblpY="2602"/>
        <w:tblW w:w="5456" w:type="pct"/>
        <w:tblLayout w:type="fixed"/>
        <w:tblCellMar>
          <w:left w:w="120" w:type="dxa"/>
          <w:right w:w="120" w:type="dxa"/>
        </w:tblCellMar>
        <w:tblLook w:val="04A0" w:firstRow="1" w:lastRow="0" w:firstColumn="1" w:lastColumn="0" w:noHBand="0" w:noVBand="1"/>
      </w:tblPr>
      <w:tblGrid>
        <w:gridCol w:w="2837"/>
        <w:gridCol w:w="1229"/>
        <w:gridCol w:w="1229"/>
        <w:gridCol w:w="1229"/>
        <w:gridCol w:w="1229"/>
        <w:gridCol w:w="1229"/>
        <w:gridCol w:w="1225"/>
      </w:tblGrid>
      <w:tr w:rsidR="009702B0" w:rsidRPr="009702B0" w14:paraId="412A09A0" w14:textId="77777777" w:rsidTr="00BA3F2A">
        <w:trPr>
          <w:trHeight w:val="783"/>
        </w:trPr>
        <w:tc>
          <w:tcPr>
            <w:tcW w:w="1390" w:type="pct"/>
          </w:tcPr>
          <w:p w14:paraId="16E63557" w14:textId="77777777" w:rsidR="009702B0" w:rsidRPr="009702B0" w:rsidRDefault="009702B0" w:rsidP="009702B0">
            <w:pPr>
              <w:tabs>
                <w:tab w:val="right" w:pos="1202"/>
              </w:tabs>
              <w:spacing w:after="0" w:line="301" w:lineRule="exact"/>
              <w:outlineLvl w:val="0"/>
              <w:rPr>
                <w:rFonts w:asciiTheme="minorHAnsi" w:eastAsia="Times New Roman" w:hAnsiTheme="minorHAnsi" w:cs="Arial"/>
                <w:b/>
                <w:iCs/>
                <w:sz w:val="18"/>
                <w:szCs w:val="18"/>
              </w:rPr>
            </w:pPr>
          </w:p>
        </w:tc>
        <w:tc>
          <w:tcPr>
            <w:tcW w:w="602" w:type="pct"/>
            <w:vAlign w:val="bottom"/>
            <w:hideMark/>
          </w:tcPr>
          <w:p w14:paraId="18990C2C" w14:textId="77777777" w:rsidR="009702B0" w:rsidRPr="009702B0" w:rsidRDefault="009702B0" w:rsidP="009702B0">
            <w:pPr>
              <w:tabs>
                <w:tab w:val="right" w:pos="1202"/>
              </w:tabs>
              <w:spacing w:after="0" w:line="301" w:lineRule="exact"/>
              <w:jc w:val="right"/>
              <w:outlineLvl w:val="0"/>
              <w:rPr>
                <w:rFonts w:asciiTheme="minorHAnsi" w:eastAsia="Times New Roman" w:hAnsiTheme="minorHAnsi" w:cs="Arial"/>
                <w:b/>
                <w:iCs/>
                <w:sz w:val="18"/>
                <w:szCs w:val="18"/>
              </w:rPr>
            </w:pPr>
            <w:r w:rsidRPr="009702B0">
              <w:rPr>
                <w:rFonts w:asciiTheme="minorHAnsi" w:eastAsia="Times New Roman" w:hAnsiTheme="minorHAnsi" w:cs="Arial"/>
                <w:b/>
                <w:iCs/>
                <w:sz w:val="18"/>
                <w:szCs w:val="18"/>
              </w:rPr>
              <w:t xml:space="preserve">Share </w:t>
            </w:r>
          </w:p>
          <w:p w14:paraId="4274A4FD" w14:textId="77777777" w:rsidR="009702B0" w:rsidRPr="009702B0" w:rsidRDefault="009702B0" w:rsidP="009702B0">
            <w:pPr>
              <w:tabs>
                <w:tab w:val="right" w:pos="1202"/>
              </w:tabs>
              <w:spacing w:after="0" w:line="301" w:lineRule="exact"/>
              <w:jc w:val="right"/>
              <w:outlineLvl w:val="0"/>
              <w:rPr>
                <w:rFonts w:asciiTheme="minorHAnsi" w:eastAsia="Times New Roman" w:hAnsiTheme="minorHAnsi" w:cs="Arial"/>
                <w:b/>
                <w:iCs/>
                <w:sz w:val="18"/>
                <w:szCs w:val="18"/>
              </w:rPr>
            </w:pPr>
            <w:r w:rsidRPr="009702B0">
              <w:rPr>
                <w:rFonts w:asciiTheme="minorHAnsi" w:eastAsia="Times New Roman" w:hAnsiTheme="minorHAnsi" w:cs="Arial"/>
                <w:b/>
                <w:iCs/>
                <w:sz w:val="18"/>
                <w:szCs w:val="18"/>
              </w:rPr>
              <w:t>capital</w:t>
            </w:r>
          </w:p>
        </w:tc>
        <w:tc>
          <w:tcPr>
            <w:tcW w:w="602" w:type="pct"/>
            <w:vAlign w:val="bottom"/>
            <w:hideMark/>
          </w:tcPr>
          <w:p w14:paraId="0FEA4FCF" w14:textId="77777777" w:rsidR="009702B0" w:rsidRPr="009702B0" w:rsidRDefault="009702B0" w:rsidP="009702B0">
            <w:pPr>
              <w:tabs>
                <w:tab w:val="right" w:pos="1202"/>
              </w:tabs>
              <w:spacing w:after="0" w:line="301" w:lineRule="exact"/>
              <w:jc w:val="right"/>
              <w:outlineLvl w:val="0"/>
              <w:rPr>
                <w:rFonts w:asciiTheme="minorHAnsi" w:eastAsia="Times New Roman" w:hAnsiTheme="minorHAnsi" w:cs="Arial"/>
                <w:b/>
                <w:iCs/>
                <w:sz w:val="18"/>
                <w:szCs w:val="18"/>
              </w:rPr>
            </w:pPr>
            <w:r w:rsidRPr="009702B0">
              <w:rPr>
                <w:rFonts w:asciiTheme="minorHAnsi" w:eastAsia="Times New Roman" w:hAnsiTheme="minorHAnsi" w:cs="Arial"/>
                <w:b/>
                <w:iCs/>
                <w:sz w:val="18"/>
                <w:szCs w:val="18"/>
              </w:rPr>
              <w:t>Accumulated losses</w:t>
            </w:r>
          </w:p>
        </w:tc>
        <w:tc>
          <w:tcPr>
            <w:tcW w:w="602" w:type="pct"/>
            <w:vAlign w:val="bottom"/>
            <w:hideMark/>
          </w:tcPr>
          <w:p w14:paraId="2B048022" w14:textId="77777777" w:rsidR="009702B0" w:rsidRPr="009702B0" w:rsidRDefault="009702B0" w:rsidP="009702B0">
            <w:pPr>
              <w:tabs>
                <w:tab w:val="right" w:pos="1202"/>
              </w:tabs>
              <w:spacing w:after="0" w:line="301" w:lineRule="exact"/>
              <w:jc w:val="right"/>
              <w:outlineLvl w:val="0"/>
              <w:rPr>
                <w:rFonts w:asciiTheme="minorHAnsi" w:eastAsia="Times New Roman" w:hAnsiTheme="minorHAnsi" w:cs="Arial"/>
                <w:b/>
                <w:iCs/>
                <w:sz w:val="18"/>
                <w:szCs w:val="18"/>
              </w:rPr>
            </w:pPr>
            <w:r w:rsidRPr="009702B0">
              <w:rPr>
                <w:rFonts w:asciiTheme="minorHAnsi" w:eastAsia="Times New Roman" w:hAnsiTheme="minorHAnsi" w:cs="Arial"/>
                <w:b/>
                <w:iCs/>
                <w:sz w:val="18"/>
                <w:szCs w:val="18"/>
              </w:rPr>
              <w:t>Other reserves</w:t>
            </w:r>
          </w:p>
        </w:tc>
        <w:tc>
          <w:tcPr>
            <w:tcW w:w="602" w:type="pct"/>
            <w:vAlign w:val="bottom"/>
            <w:hideMark/>
          </w:tcPr>
          <w:p w14:paraId="66B45A36" w14:textId="77777777" w:rsidR="009702B0" w:rsidRPr="009702B0" w:rsidRDefault="009702B0" w:rsidP="009702B0">
            <w:pPr>
              <w:tabs>
                <w:tab w:val="right" w:pos="1202"/>
              </w:tabs>
              <w:spacing w:after="0" w:line="301" w:lineRule="exact"/>
              <w:jc w:val="right"/>
              <w:outlineLvl w:val="0"/>
              <w:rPr>
                <w:rFonts w:asciiTheme="minorHAnsi" w:eastAsia="Times New Roman" w:hAnsiTheme="minorHAnsi" w:cs="Arial"/>
                <w:b/>
                <w:iCs/>
                <w:sz w:val="18"/>
                <w:szCs w:val="18"/>
              </w:rPr>
            </w:pPr>
            <w:r w:rsidRPr="009702B0">
              <w:rPr>
                <w:rFonts w:asciiTheme="minorHAnsi" w:eastAsia="Times New Roman" w:hAnsiTheme="minorHAnsi" w:cs="Arial"/>
                <w:b/>
                <w:iCs/>
                <w:sz w:val="18"/>
                <w:szCs w:val="18"/>
              </w:rPr>
              <w:t>Profit/(loss) for the year</w:t>
            </w:r>
          </w:p>
        </w:tc>
        <w:tc>
          <w:tcPr>
            <w:tcW w:w="602" w:type="pct"/>
            <w:vAlign w:val="bottom"/>
            <w:hideMark/>
          </w:tcPr>
          <w:p w14:paraId="2FF5BCDC" w14:textId="77777777" w:rsidR="009702B0" w:rsidRPr="009702B0" w:rsidRDefault="009702B0" w:rsidP="009702B0">
            <w:pPr>
              <w:tabs>
                <w:tab w:val="right" w:pos="1202"/>
              </w:tabs>
              <w:spacing w:after="0" w:line="240" w:lineRule="exact"/>
              <w:jc w:val="right"/>
              <w:outlineLvl w:val="0"/>
              <w:rPr>
                <w:rFonts w:asciiTheme="minorHAnsi" w:eastAsia="Times New Roman" w:hAnsiTheme="minorHAnsi" w:cs="Arial"/>
                <w:b/>
                <w:iCs/>
                <w:sz w:val="18"/>
                <w:szCs w:val="18"/>
              </w:rPr>
            </w:pPr>
            <w:r w:rsidRPr="009702B0">
              <w:rPr>
                <w:rFonts w:asciiTheme="minorHAnsi" w:eastAsia="Times New Roman" w:hAnsiTheme="minorHAnsi" w:cs="Arial"/>
                <w:b/>
                <w:iCs/>
                <w:sz w:val="18"/>
                <w:szCs w:val="18"/>
              </w:rPr>
              <w:t>Total equity attributable to the equity holders of the Company</w:t>
            </w:r>
          </w:p>
        </w:tc>
        <w:tc>
          <w:tcPr>
            <w:tcW w:w="600" w:type="pct"/>
            <w:vAlign w:val="bottom"/>
            <w:hideMark/>
          </w:tcPr>
          <w:p w14:paraId="015B0557" w14:textId="77777777" w:rsidR="009702B0" w:rsidRPr="009702B0" w:rsidRDefault="009702B0" w:rsidP="009702B0">
            <w:pPr>
              <w:tabs>
                <w:tab w:val="right" w:pos="1202"/>
              </w:tabs>
              <w:spacing w:after="0" w:line="301" w:lineRule="exact"/>
              <w:jc w:val="right"/>
              <w:outlineLvl w:val="0"/>
              <w:rPr>
                <w:rFonts w:asciiTheme="minorHAnsi" w:eastAsia="Times New Roman" w:hAnsiTheme="minorHAnsi" w:cs="Arial"/>
                <w:b/>
                <w:iCs/>
                <w:sz w:val="18"/>
                <w:szCs w:val="18"/>
              </w:rPr>
            </w:pPr>
            <w:r w:rsidRPr="009702B0">
              <w:rPr>
                <w:rFonts w:asciiTheme="minorHAnsi" w:eastAsia="Times New Roman" w:hAnsiTheme="minorHAnsi" w:cs="Arial"/>
                <w:b/>
                <w:iCs/>
                <w:sz w:val="18"/>
                <w:szCs w:val="18"/>
              </w:rPr>
              <w:t xml:space="preserve">Total </w:t>
            </w:r>
          </w:p>
          <w:p w14:paraId="1BE87DAD" w14:textId="77777777" w:rsidR="009702B0" w:rsidRPr="009702B0" w:rsidRDefault="009702B0" w:rsidP="009702B0">
            <w:pPr>
              <w:tabs>
                <w:tab w:val="right" w:pos="1202"/>
              </w:tabs>
              <w:spacing w:after="0" w:line="301" w:lineRule="exact"/>
              <w:jc w:val="right"/>
              <w:outlineLvl w:val="0"/>
              <w:rPr>
                <w:rFonts w:asciiTheme="minorHAnsi" w:eastAsia="Times New Roman" w:hAnsiTheme="minorHAnsi" w:cs="Arial"/>
                <w:b/>
                <w:iCs/>
                <w:sz w:val="18"/>
                <w:szCs w:val="18"/>
              </w:rPr>
            </w:pPr>
            <w:r w:rsidRPr="009702B0">
              <w:rPr>
                <w:rFonts w:asciiTheme="minorHAnsi" w:eastAsia="Times New Roman" w:hAnsiTheme="minorHAnsi" w:cs="Arial"/>
                <w:b/>
                <w:iCs/>
                <w:sz w:val="18"/>
                <w:szCs w:val="18"/>
              </w:rPr>
              <w:t>equity</w:t>
            </w:r>
          </w:p>
        </w:tc>
      </w:tr>
      <w:tr w:rsidR="009702B0" w:rsidRPr="009702B0" w14:paraId="00497A54" w14:textId="77777777" w:rsidTr="00BA3F2A">
        <w:trPr>
          <w:trHeight w:val="132"/>
        </w:trPr>
        <w:tc>
          <w:tcPr>
            <w:tcW w:w="1390" w:type="pct"/>
          </w:tcPr>
          <w:p w14:paraId="04C011D0" w14:textId="77777777" w:rsidR="009702B0" w:rsidRPr="009702B0" w:rsidRDefault="009702B0" w:rsidP="009702B0">
            <w:pPr>
              <w:tabs>
                <w:tab w:val="right" w:pos="1202"/>
              </w:tabs>
              <w:spacing w:after="0" w:line="140" w:lineRule="exact"/>
              <w:outlineLvl w:val="0"/>
              <w:rPr>
                <w:rFonts w:asciiTheme="minorHAnsi" w:eastAsia="Times New Roman" w:hAnsiTheme="minorHAnsi" w:cs="Arial"/>
                <w:iCs/>
                <w:sz w:val="18"/>
                <w:szCs w:val="18"/>
              </w:rPr>
            </w:pPr>
          </w:p>
        </w:tc>
        <w:tc>
          <w:tcPr>
            <w:tcW w:w="602" w:type="pct"/>
            <w:vAlign w:val="bottom"/>
          </w:tcPr>
          <w:p w14:paraId="577809B7" w14:textId="77777777" w:rsidR="009702B0" w:rsidRPr="009702B0" w:rsidRDefault="009702B0" w:rsidP="009702B0">
            <w:pPr>
              <w:tabs>
                <w:tab w:val="right" w:pos="1202"/>
              </w:tabs>
              <w:spacing w:after="0" w:line="140" w:lineRule="exact"/>
              <w:jc w:val="right"/>
              <w:outlineLvl w:val="0"/>
              <w:rPr>
                <w:rFonts w:asciiTheme="minorHAnsi" w:eastAsia="Times New Roman" w:hAnsiTheme="minorHAnsi" w:cs="Arial"/>
                <w:b/>
                <w:bCs/>
                <w:sz w:val="18"/>
                <w:szCs w:val="18"/>
              </w:rPr>
            </w:pPr>
          </w:p>
        </w:tc>
        <w:tc>
          <w:tcPr>
            <w:tcW w:w="602" w:type="pct"/>
            <w:vAlign w:val="bottom"/>
          </w:tcPr>
          <w:p w14:paraId="33199151" w14:textId="77777777" w:rsidR="009702B0" w:rsidRPr="009702B0" w:rsidRDefault="009702B0" w:rsidP="009702B0">
            <w:pPr>
              <w:tabs>
                <w:tab w:val="right" w:pos="1202"/>
              </w:tabs>
              <w:spacing w:after="0" w:line="140" w:lineRule="exact"/>
              <w:jc w:val="right"/>
              <w:outlineLvl w:val="0"/>
              <w:rPr>
                <w:rFonts w:asciiTheme="minorHAnsi" w:eastAsia="Times New Roman" w:hAnsiTheme="minorHAnsi" w:cs="Arial"/>
                <w:b/>
                <w:bCs/>
                <w:sz w:val="18"/>
                <w:szCs w:val="18"/>
              </w:rPr>
            </w:pPr>
          </w:p>
        </w:tc>
        <w:tc>
          <w:tcPr>
            <w:tcW w:w="602" w:type="pct"/>
          </w:tcPr>
          <w:p w14:paraId="76E8901D" w14:textId="77777777" w:rsidR="009702B0" w:rsidRPr="009702B0" w:rsidRDefault="009702B0" w:rsidP="009702B0">
            <w:pPr>
              <w:tabs>
                <w:tab w:val="right" w:pos="1202"/>
              </w:tabs>
              <w:spacing w:after="0" w:line="140" w:lineRule="exact"/>
              <w:jc w:val="right"/>
              <w:outlineLvl w:val="0"/>
              <w:rPr>
                <w:rFonts w:asciiTheme="minorHAnsi" w:eastAsia="Times New Roman" w:hAnsiTheme="minorHAnsi" w:cs="Arial"/>
                <w:b/>
                <w:bCs/>
                <w:sz w:val="18"/>
                <w:szCs w:val="18"/>
              </w:rPr>
            </w:pPr>
          </w:p>
        </w:tc>
        <w:tc>
          <w:tcPr>
            <w:tcW w:w="602" w:type="pct"/>
            <w:vAlign w:val="bottom"/>
          </w:tcPr>
          <w:p w14:paraId="52ED9182" w14:textId="77777777" w:rsidR="009702B0" w:rsidRPr="009702B0" w:rsidRDefault="009702B0" w:rsidP="009702B0">
            <w:pPr>
              <w:tabs>
                <w:tab w:val="right" w:pos="1202"/>
              </w:tabs>
              <w:spacing w:after="0" w:line="140" w:lineRule="exact"/>
              <w:jc w:val="right"/>
              <w:outlineLvl w:val="0"/>
              <w:rPr>
                <w:rFonts w:asciiTheme="minorHAnsi" w:eastAsia="Times New Roman" w:hAnsiTheme="minorHAnsi" w:cs="Arial"/>
                <w:b/>
                <w:bCs/>
                <w:sz w:val="18"/>
                <w:szCs w:val="18"/>
              </w:rPr>
            </w:pPr>
          </w:p>
        </w:tc>
        <w:tc>
          <w:tcPr>
            <w:tcW w:w="602" w:type="pct"/>
            <w:vAlign w:val="bottom"/>
          </w:tcPr>
          <w:p w14:paraId="7EF4147F" w14:textId="77777777" w:rsidR="009702B0" w:rsidRPr="009702B0" w:rsidRDefault="009702B0" w:rsidP="009702B0">
            <w:pPr>
              <w:tabs>
                <w:tab w:val="right" w:pos="1202"/>
              </w:tabs>
              <w:spacing w:after="0" w:line="140" w:lineRule="exact"/>
              <w:jc w:val="right"/>
              <w:outlineLvl w:val="0"/>
              <w:rPr>
                <w:rFonts w:asciiTheme="minorHAnsi" w:eastAsia="Times New Roman" w:hAnsiTheme="minorHAnsi" w:cs="Arial"/>
                <w:b/>
                <w:bCs/>
                <w:sz w:val="18"/>
                <w:szCs w:val="18"/>
              </w:rPr>
            </w:pPr>
          </w:p>
        </w:tc>
        <w:tc>
          <w:tcPr>
            <w:tcW w:w="600" w:type="pct"/>
            <w:vAlign w:val="bottom"/>
          </w:tcPr>
          <w:p w14:paraId="74C33808" w14:textId="77777777" w:rsidR="009702B0" w:rsidRPr="009702B0" w:rsidRDefault="009702B0" w:rsidP="009702B0">
            <w:pPr>
              <w:tabs>
                <w:tab w:val="right" w:pos="1202"/>
              </w:tabs>
              <w:spacing w:after="0" w:line="140" w:lineRule="exact"/>
              <w:jc w:val="right"/>
              <w:outlineLvl w:val="0"/>
              <w:rPr>
                <w:rFonts w:asciiTheme="minorHAnsi" w:eastAsia="Times New Roman" w:hAnsiTheme="minorHAnsi" w:cs="Arial"/>
                <w:b/>
                <w:bCs/>
                <w:sz w:val="18"/>
                <w:szCs w:val="18"/>
              </w:rPr>
            </w:pPr>
          </w:p>
        </w:tc>
      </w:tr>
      <w:tr w:rsidR="00F3373C" w:rsidRPr="009702B0" w14:paraId="30DFA948" w14:textId="77777777" w:rsidTr="005444AA">
        <w:trPr>
          <w:trHeight w:val="473"/>
        </w:trPr>
        <w:tc>
          <w:tcPr>
            <w:tcW w:w="1390" w:type="pct"/>
            <w:vAlign w:val="bottom"/>
            <w:hideMark/>
          </w:tcPr>
          <w:p w14:paraId="1DE69FE4" w14:textId="377E11ED" w:rsidR="00F3373C" w:rsidRPr="009702B0" w:rsidRDefault="00F3373C" w:rsidP="00421420">
            <w:pPr>
              <w:tabs>
                <w:tab w:val="right" w:pos="1202"/>
              </w:tabs>
              <w:spacing w:after="0" w:line="240" w:lineRule="exact"/>
              <w:outlineLvl w:val="0"/>
              <w:rPr>
                <w:rFonts w:asciiTheme="minorHAnsi" w:eastAsia="Times New Roman" w:hAnsiTheme="minorHAnsi" w:cs="Arial"/>
                <w:b/>
                <w:iCs/>
                <w:sz w:val="18"/>
                <w:szCs w:val="18"/>
              </w:rPr>
            </w:pPr>
            <w:r w:rsidRPr="009702B0">
              <w:rPr>
                <w:rFonts w:asciiTheme="minorHAnsi" w:eastAsia="Times New Roman" w:hAnsiTheme="minorHAnsi" w:cs="Arial"/>
                <w:b/>
                <w:iCs/>
                <w:sz w:val="18"/>
                <w:szCs w:val="18"/>
              </w:rPr>
              <w:t>Balance as of  1 January 201</w:t>
            </w:r>
            <w:r w:rsidR="00344FBB">
              <w:rPr>
                <w:rFonts w:asciiTheme="minorHAnsi" w:eastAsia="Times New Roman" w:hAnsiTheme="minorHAnsi" w:cs="Arial"/>
                <w:b/>
                <w:iCs/>
                <w:sz w:val="18"/>
                <w:szCs w:val="18"/>
              </w:rPr>
              <w:t>6</w:t>
            </w:r>
          </w:p>
        </w:tc>
        <w:tc>
          <w:tcPr>
            <w:tcW w:w="602" w:type="pct"/>
            <w:tcBorders>
              <w:top w:val="nil"/>
              <w:left w:val="nil"/>
              <w:bottom w:val="nil"/>
              <w:right w:val="nil"/>
            </w:tcBorders>
            <w:shd w:val="clear" w:color="auto" w:fill="auto"/>
            <w:vAlign w:val="bottom"/>
          </w:tcPr>
          <w:p w14:paraId="3390AA39" w14:textId="5F5DFD56" w:rsidR="00F3373C" w:rsidRPr="00883A29" w:rsidRDefault="00F3373C" w:rsidP="00F3373C">
            <w:pPr>
              <w:tabs>
                <w:tab w:val="right" w:pos="1202"/>
              </w:tabs>
              <w:spacing w:after="0" w:line="301" w:lineRule="exact"/>
              <w:jc w:val="right"/>
              <w:outlineLvl w:val="0"/>
              <w:rPr>
                <w:rFonts w:eastAsia="Times New Roman" w:cs="Arial"/>
                <w:b/>
                <w:iCs/>
                <w:sz w:val="18"/>
                <w:szCs w:val="18"/>
              </w:rPr>
            </w:pPr>
            <w:r w:rsidRPr="00D261CA">
              <w:rPr>
                <w:rFonts w:cs="Arial"/>
                <w:b/>
                <w:bCs/>
                <w:sz w:val="19"/>
                <w:szCs w:val="19"/>
              </w:rPr>
              <w:t>37</w:t>
            </w:r>
            <w:r>
              <w:rPr>
                <w:rFonts w:cs="Arial"/>
                <w:b/>
                <w:bCs/>
                <w:sz w:val="19"/>
                <w:szCs w:val="19"/>
              </w:rPr>
              <w:t>,</w:t>
            </w:r>
            <w:r w:rsidRPr="00D261CA">
              <w:rPr>
                <w:rFonts w:cs="Arial"/>
                <w:b/>
                <w:bCs/>
                <w:sz w:val="19"/>
                <w:szCs w:val="19"/>
              </w:rPr>
              <w:t>500</w:t>
            </w:r>
          </w:p>
        </w:tc>
        <w:tc>
          <w:tcPr>
            <w:tcW w:w="602" w:type="pct"/>
            <w:tcBorders>
              <w:top w:val="nil"/>
              <w:left w:val="nil"/>
              <w:bottom w:val="nil"/>
              <w:right w:val="nil"/>
            </w:tcBorders>
            <w:shd w:val="clear" w:color="auto" w:fill="auto"/>
            <w:vAlign w:val="bottom"/>
          </w:tcPr>
          <w:p w14:paraId="4FDF1E01" w14:textId="509C8240" w:rsidR="00F3373C" w:rsidRPr="00883A29" w:rsidRDefault="00F3373C" w:rsidP="007369DC">
            <w:pPr>
              <w:tabs>
                <w:tab w:val="right" w:pos="1202"/>
              </w:tabs>
              <w:spacing w:after="0" w:line="301" w:lineRule="exact"/>
              <w:jc w:val="right"/>
              <w:outlineLvl w:val="0"/>
              <w:rPr>
                <w:rFonts w:eastAsia="Times New Roman" w:cs="Arial"/>
                <w:b/>
                <w:iCs/>
                <w:sz w:val="18"/>
                <w:szCs w:val="18"/>
              </w:rPr>
            </w:pPr>
            <w:r>
              <w:rPr>
                <w:rFonts w:cs="Arial"/>
                <w:b/>
                <w:bCs/>
                <w:sz w:val="19"/>
                <w:szCs w:val="19"/>
              </w:rPr>
              <w:t>(</w:t>
            </w:r>
            <w:r w:rsidR="00A417EF">
              <w:rPr>
                <w:rFonts w:cs="Arial"/>
                <w:b/>
                <w:bCs/>
                <w:sz w:val="19"/>
                <w:szCs w:val="19"/>
              </w:rPr>
              <w:t>1,</w:t>
            </w:r>
            <w:r w:rsidRPr="00D261CA">
              <w:rPr>
                <w:rFonts w:cs="Arial"/>
                <w:b/>
                <w:bCs/>
                <w:sz w:val="19"/>
                <w:szCs w:val="19"/>
              </w:rPr>
              <w:t>1</w:t>
            </w:r>
            <w:r w:rsidR="00C949E3">
              <w:rPr>
                <w:rFonts w:cs="Arial"/>
                <w:b/>
                <w:bCs/>
                <w:sz w:val="19"/>
                <w:szCs w:val="19"/>
              </w:rPr>
              <w:t>84</w:t>
            </w:r>
            <w:r>
              <w:rPr>
                <w:rFonts w:cs="Arial"/>
                <w:b/>
                <w:bCs/>
                <w:sz w:val="19"/>
                <w:szCs w:val="19"/>
              </w:rPr>
              <w:t>)</w:t>
            </w:r>
          </w:p>
        </w:tc>
        <w:tc>
          <w:tcPr>
            <w:tcW w:w="602" w:type="pct"/>
            <w:tcBorders>
              <w:top w:val="nil"/>
              <w:left w:val="nil"/>
              <w:bottom w:val="nil"/>
              <w:right w:val="nil"/>
            </w:tcBorders>
            <w:shd w:val="clear" w:color="auto" w:fill="auto"/>
            <w:vAlign w:val="bottom"/>
          </w:tcPr>
          <w:p w14:paraId="3D8EE946" w14:textId="1F3DA147" w:rsidR="00F3373C" w:rsidRPr="00883A29" w:rsidRDefault="00A417EF" w:rsidP="00F3373C">
            <w:pPr>
              <w:tabs>
                <w:tab w:val="right" w:pos="1202"/>
              </w:tabs>
              <w:spacing w:after="0" w:line="301" w:lineRule="exact"/>
              <w:jc w:val="right"/>
              <w:outlineLvl w:val="0"/>
              <w:rPr>
                <w:rFonts w:eastAsia="Times New Roman" w:cs="Arial"/>
                <w:b/>
                <w:iCs/>
                <w:sz w:val="18"/>
                <w:szCs w:val="18"/>
              </w:rPr>
            </w:pPr>
            <w:r>
              <w:rPr>
                <w:rFonts w:cs="Arial"/>
                <w:b/>
                <w:bCs/>
                <w:sz w:val="19"/>
                <w:szCs w:val="19"/>
              </w:rPr>
              <w:t>874</w:t>
            </w:r>
          </w:p>
        </w:tc>
        <w:tc>
          <w:tcPr>
            <w:tcW w:w="602" w:type="pct"/>
            <w:tcBorders>
              <w:top w:val="nil"/>
              <w:left w:val="nil"/>
              <w:bottom w:val="nil"/>
              <w:right w:val="nil"/>
            </w:tcBorders>
            <w:shd w:val="clear" w:color="auto" w:fill="auto"/>
            <w:vAlign w:val="bottom"/>
          </w:tcPr>
          <w:p w14:paraId="2E980543" w14:textId="07F3807E" w:rsidR="00F3373C" w:rsidRPr="00883A29" w:rsidRDefault="00F3373C" w:rsidP="007369DC">
            <w:pPr>
              <w:tabs>
                <w:tab w:val="right" w:pos="1202"/>
              </w:tabs>
              <w:spacing w:after="0" w:line="301" w:lineRule="exact"/>
              <w:jc w:val="right"/>
              <w:outlineLvl w:val="0"/>
              <w:rPr>
                <w:rFonts w:eastAsia="Times New Roman" w:cs="Arial"/>
                <w:b/>
                <w:iCs/>
                <w:sz w:val="18"/>
                <w:szCs w:val="18"/>
              </w:rPr>
            </w:pPr>
            <w:r w:rsidRPr="00D261CA">
              <w:rPr>
                <w:rFonts w:cs="Arial"/>
                <w:b/>
                <w:bCs/>
                <w:sz w:val="19"/>
                <w:szCs w:val="19"/>
              </w:rPr>
              <w:t>1</w:t>
            </w:r>
            <w:r>
              <w:rPr>
                <w:rFonts w:cs="Arial"/>
                <w:b/>
                <w:bCs/>
                <w:sz w:val="19"/>
                <w:szCs w:val="19"/>
              </w:rPr>
              <w:t>,</w:t>
            </w:r>
            <w:r w:rsidR="00A417EF">
              <w:rPr>
                <w:rFonts w:cs="Arial"/>
                <w:b/>
                <w:bCs/>
                <w:sz w:val="19"/>
                <w:szCs w:val="19"/>
              </w:rPr>
              <w:t>036</w:t>
            </w:r>
          </w:p>
        </w:tc>
        <w:tc>
          <w:tcPr>
            <w:tcW w:w="602" w:type="pct"/>
            <w:tcBorders>
              <w:top w:val="nil"/>
              <w:left w:val="nil"/>
              <w:bottom w:val="nil"/>
              <w:right w:val="nil"/>
            </w:tcBorders>
            <w:shd w:val="clear" w:color="auto" w:fill="auto"/>
            <w:vAlign w:val="bottom"/>
          </w:tcPr>
          <w:p w14:paraId="190EA539" w14:textId="0F301943" w:rsidR="00F3373C" w:rsidRPr="00883A29" w:rsidRDefault="00A417EF" w:rsidP="00F3373C">
            <w:pPr>
              <w:tabs>
                <w:tab w:val="right" w:pos="1202"/>
              </w:tabs>
              <w:spacing w:after="0" w:line="301" w:lineRule="exact"/>
              <w:jc w:val="right"/>
              <w:outlineLvl w:val="0"/>
              <w:rPr>
                <w:rFonts w:eastAsia="Times New Roman" w:cs="Arial"/>
                <w:b/>
                <w:iCs/>
                <w:sz w:val="18"/>
                <w:szCs w:val="18"/>
              </w:rPr>
            </w:pPr>
            <w:r>
              <w:rPr>
                <w:rFonts w:cs="Arial"/>
                <w:b/>
                <w:bCs/>
                <w:sz w:val="19"/>
                <w:szCs w:val="19"/>
              </w:rPr>
              <w:t>38,226</w:t>
            </w:r>
          </w:p>
        </w:tc>
        <w:tc>
          <w:tcPr>
            <w:tcW w:w="600" w:type="pct"/>
            <w:tcBorders>
              <w:top w:val="nil"/>
              <w:left w:val="nil"/>
              <w:bottom w:val="nil"/>
              <w:right w:val="nil"/>
            </w:tcBorders>
            <w:shd w:val="clear" w:color="auto" w:fill="auto"/>
            <w:vAlign w:val="bottom"/>
          </w:tcPr>
          <w:p w14:paraId="61E532ED" w14:textId="7D93E4A0" w:rsidR="00F3373C" w:rsidRPr="00883A29" w:rsidRDefault="00A417EF" w:rsidP="00F3373C">
            <w:pPr>
              <w:tabs>
                <w:tab w:val="right" w:pos="1202"/>
              </w:tabs>
              <w:spacing w:after="0" w:line="301" w:lineRule="exact"/>
              <w:jc w:val="right"/>
              <w:outlineLvl w:val="0"/>
              <w:rPr>
                <w:rFonts w:eastAsia="Times New Roman" w:cs="Arial"/>
                <w:b/>
                <w:iCs/>
                <w:sz w:val="18"/>
                <w:szCs w:val="18"/>
              </w:rPr>
            </w:pPr>
            <w:r>
              <w:rPr>
                <w:rFonts w:cs="Arial"/>
                <w:b/>
                <w:bCs/>
                <w:sz w:val="19"/>
                <w:szCs w:val="19"/>
              </w:rPr>
              <w:t>38,226</w:t>
            </w:r>
          </w:p>
        </w:tc>
      </w:tr>
      <w:tr w:rsidR="00F3373C" w:rsidRPr="009702B0" w14:paraId="5F868028" w14:textId="77777777" w:rsidTr="005444AA">
        <w:trPr>
          <w:trHeight w:val="102"/>
        </w:trPr>
        <w:tc>
          <w:tcPr>
            <w:tcW w:w="1390" w:type="pct"/>
            <w:vAlign w:val="bottom"/>
          </w:tcPr>
          <w:p w14:paraId="0F6DFA50" w14:textId="77777777" w:rsidR="00F3373C" w:rsidRPr="009702B0" w:rsidRDefault="00F3373C" w:rsidP="00F3373C">
            <w:pPr>
              <w:tabs>
                <w:tab w:val="right" w:pos="1202"/>
              </w:tabs>
              <w:spacing w:after="0" w:line="140" w:lineRule="exact"/>
              <w:jc w:val="right"/>
              <w:outlineLvl w:val="0"/>
              <w:rPr>
                <w:rFonts w:asciiTheme="minorHAnsi" w:eastAsia="Times New Roman" w:hAnsiTheme="minorHAnsi" w:cs="Arial"/>
                <w:b/>
                <w:iCs/>
                <w:sz w:val="18"/>
                <w:szCs w:val="18"/>
              </w:rPr>
            </w:pPr>
          </w:p>
        </w:tc>
        <w:tc>
          <w:tcPr>
            <w:tcW w:w="602" w:type="pct"/>
            <w:vAlign w:val="bottom"/>
            <w:hideMark/>
          </w:tcPr>
          <w:p w14:paraId="092889A9" w14:textId="2DB6C078" w:rsidR="00F3373C" w:rsidRPr="009702B0" w:rsidRDefault="00F3373C" w:rsidP="00F3373C">
            <w:pPr>
              <w:keepNext/>
              <w:keepLines/>
              <w:tabs>
                <w:tab w:val="decimal" w:pos="1015"/>
              </w:tabs>
              <w:spacing w:after="0" w:line="140" w:lineRule="exact"/>
              <w:jc w:val="right"/>
              <w:rPr>
                <w:rFonts w:asciiTheme="minorHAnsi" w:eastAsia="Times New Roman" w:hAnsiTheme="minorHAnsi" w:cs="Arial"/>
                <w:b/>
                <w:position w:val="4"/>
                <w:sz w:val="18"/>
                <w:szCs w:val="18"/>
                <w:u w:val="thick"/>
              </w:rPr>
            </w:pPr>
            <w:r w:rsidRPr="009702B0">
              <w:rPr>
                <w:rFonts w:asciiTheme="minorHAnsi" w:eastAsia="Times New Roman" w:hAnsiTheme="minorHAnsi" w:cs="Arial"/>
                <w:b/>
                <w:position w:val="4"/>
                <w:sz w:val="18"/>
                <w:szCs w:val="18"/>
                <w:u w:val="thick"/>
              </w:rPr>
              <w:t>__________</w:t>
            </w:r>
          </w:p>
        </w:tc>
        <w:tc>
          <w:tcPr>
            <w:tcW w:w="602" w:type="pct"/>
            <w:vAlign w:val="bottom"/>
            <w:hideMark/>
          </w:tcPr>
          <w:p w14:paraId="7335CD84" w14:textId="0593C184" w:rsidR="00F3373C" w:rsidRPr="009702B0" w:rsidRDefault="00F3373C" w:rsidP="00F3373C">
            <w:pPr>
              <w:keepNext/>
              <w:keepLines/>
              <w:tabs>
                <w:tab w:val="decimal" w:pos="1015"/>
              </w:tabs>
              <w:spacing w:after="0" w:line="140" w:lineRule="exact"/>
              <w:jc w:val="right"/>
              <w:rPr>
                <w:rFonts w:asciiTheme="minorHAnsi" w:eastAsia="Times New Roman" w:hAnsiTheme="minorHAnsi" w:cs="Arial"/>
                <w:b/>
                <w:position w:val="4"/>
                <w:sz w:val="18"/>
                <w:szCs w:val="18"/>
                <w:u w:val="thick"/>
              </w:rPr>
            </w:pPr>
            <w:r w:rsidRPr="009702B0">
              <w:rPr>
                <w:rFonts w:asciiTheme="minorHAnsi" w:eastAsia="Times New Roman" w:hAnsiTheme="minorHAnsi" w:cs="Arial"/>
                <w:b/>
                <w:position w:val="4"/>
                <w:sz w:val="18"/>
                <w:szCs w:val="18"/>
                <w:u w:val="thick"/>
              </w:rPr>
              <w:t>__________</w:t>
            </w:r>
          </w:p>
        </w:tc>
        <w:tc>
          <w:tcPr>
            <w:tcW w:w="602" w:type="pct"/>
            <w:vAlign w:val="bottom"/>
            <w:hideMark/>
          </w:tcPr>
          <w:p w14:paraId="721A38D6" w14:textId="6AC317AF" w:rsidR="00F3373C" w:rsidRPr="009702B0" w:rsidRDefault="00F3373C" w:rsidP="00F3373C">
            <w:pPr>
              <w:keepNext/>
              <w:keepLines/>
              <w:tabs>
                <w:tab w:val="decimal" w:pos="1015"/>
              </w:tabs>
              <w:spacing w:after="0" w:line="140" w:lineRule="exact"/>
              <w:jc w:val="right"/>
              <w:rPr>
                <w:rFonts w:asciiTheme="minorHAnsi" w:eastAsia="Times New Roman" w:hAnsiTheme="minorHAnsi" w:cs="Arial"/>
                <w:b/>
                <w:position w:val="4"/>
                <w:sz w:val="18"/>
                <w:szCs w:val="18"/>
                <w:u w:val="thick"/>
              </w:rPr>
            </w:pPr>
            <w:r w:rsidRPr="009702B0">
              <w:rPr>
                <w:rFonts w:asciiTheme="minorHAnsi" w:eastAsia="Times New Roman" w:hAnsiTheme="minorHAnsi" w:cs="Arial"/>
                <w:b/>
                <w:position w:val="4"/>
                <w:sz w:val="18"/>
                <w:szCs w:val="18"/>
                <w:u w:val="thick"/>
              </w:rPr>
              <w:t>__________</w:t>
            </w:r>
          </w:p>
        </w:tc>
        <w:tc>
          <w:tcPr>
            <w:tcW w:w="602" w:type="pct"/>
            <w:vAlign w:val="bottom"/>
            <w:hideMark/>
          </w:tcPr>
          <w:p w14:paraId="73035B8E" w14:textId="59708FD4" w:rsidR="00F3373C" w:rsidRPr="009702B0" w:rsidRDefault="00F3373C" w:rsidP="00F3373C">
            <w:pPr>
              <w:keepNext/>
              <w:keepLines/>
              <w:tabs>
                <w:tab w:val="decimal" w:pos="1015"/>
              </w:tabs>
              <w:spacing w:after="0" w:line="140" w:lineRule="exact"/>
              <w:jc w:val="right"/>
              <w:rPr>
                <w:rFonts w:asciiTheme="minorHAnsi" w:eastAsia="Times New Roman" w:hAnsiTheme="minorHAnsi" w:cs="Arial"/>
                <w:b/>
                <w:position w:val="4"/>
                <w:sz w:val="18"/>
                <w:szCs w:val="18"/>
                <w:u w:val="thick"/>
              </w:rPr>
            </w:pPr>
            <w:r w:rsidRPr="009702B0">
              <w:rPr>
                <w:rFonts w:asciiTheme="minorHAnsi" w:eastAsia="Times New Roman" w:hAnsiTheme="minorHAnsi" w:cs="Arial"/>
                <w:b/>
                <w:position w:val="4"/>
                <w:sz w:val="18"/>
                <w:szCs w:val="18"/>
                <w:u w:val="thick"/>
              </w:rPr>
              <w:t>__________</w:t>
            </w:r>
          </w:p>
        </w:tc>
        <w:tc>
          <w:tcPr>
            <w:tcW w:w="602" w:type="pct"/>
            <w:vAlign w:val="bottom"/>
            <w:hideMark/>
          </w:tcPr>
          <w:p w14:paraId="62DC537D" w14:textId="4E4AB080" w:rsidR="00F3373C" w:rsidRPr="009702B0" w:rsidRDefault="00F3373C" w:rsidP="00F3373C">
            <w:pPr>
              <w:keepNext/>
              <w:keepLines/>
              <w:tabs>
                <w:tab w:val="decimal" w:pos="1015"/>
              </w:tabs>
              <w:spacing w:after="0" w:line="140" w:lineRule="exact"/>
              <w:jc w:val="right"/>
              <w:rPr>
                <w:rFonts w:asciiTheme="minorHAnsi" w:eastAsia="Times New Roman" w:hAnsiTheme="minorHAnsi" w:cs="Arial"/>
                <w:b/>
                <w:position w:val="4"/>
                <w:sz w:val="18"/>
                <w:szCs w:val="18"/>
                <w:u w:val="thick"/>
              </w:rPr>
            </w:pPr>
            <w:r w:rsidRPr="009702B0">
              <w:rPr>
                <w:rFonts w:asciiTheme="minorHAnsi" w:eastAsia="Times New Roman" w:hAnsiTheme="minorHAnsi" w:cs="Arial"/>
                <w:b/>
                <w:position w:val="4"/>
                <w:sz w:val="18"/>
                <w:szCs w:val="18"/>
                <w:u w:val="thick"/>
              </w:rPr>
              <w:t>__________</w:t>
            </w:r>
          </w:p>
        </w:tc>
        <w:tc>
          <w:tcPr>
            <w:tcW w:w="600" w:type="pct"/>
            <w:vAlign w:val="bottom"/>
            <w:hideMark/>
          </w:tcPr>
          <w:p w14:paraId="397BDAD2" w14:textId="2261FB57" w:rsidR="00F3373C" w:rsidRPr="009702B0" w:rsidRDefault="00F3373C" w:rsidP="00F3373C">
            <w:pPr>
              <w:keepNext/>
              <w:keepLines/>
              <w:tabs>
                <w:tab w:val="decimal" w:pos="1015"/>
              </w:tabs>
              <w:spacing w:after="0" w:line="140" w:lineRule="exact"/>
              <w:jc w:val="right"/>
              <w:rPr>
                <w:rFonts w:asciiTheme="minorHAnsi" w:eastAsia="Times New Roman" w:hAnsiTheme="minorHAnsi" w:cs="Arial"/>
                <w:b/>
                <w:position w:val="4"/>
                <w:sz w:val="18"/>
                <w:szCs w:val="18"/>
                <w:u w:val="thick"/>
              </w:rPr>
            </w:pPr>
            <w:r w:rsidRPr="009702B0">
              <w:rPr>
                <w:rFonts w:asciiTheme="minorHAnsi" w:eastAsia="Times New Roman" w:hAnsiTheme="minorHAnsi" w:cs="Arial"/>
                <w:b/>
                <w:position w:val="4"/>
                <w:sz w:val="18"/>
                <w:szCs w:val="18"/>
                <w:u w:val="thick"/>
              </w:rPr>
              <w:t>__________</w:t>
            </w:r>
          </w:p>
        </w:tc>
      </w:tr>
      <w:tr w:rsidR="00E72653" w:rsidRPr="009702B0" w14:paraId="645D21E4" w14:textId="77777777" w:rsidTr="006B318F">
        <w:trPr>
          <w:trHeight w:val="225"/>
        </w:trPr>
        <w:tc>
          <w:tcPr>
            <w:tcW w:w="1390" w:type="pct"/>
            <w:vAlign w:val="bottom"/>
          </w:tcPr>
          <w:p w14:paraId="45EF5E84" w14:textId="77777777" w:rsidR="00E72653" w:rsidRPr="009702B0" w:rsidRDefault="00E72653" w:rsidP="00E72653">
            <w:pPr>
              <w:tabs>
                <w:tab w:val="right" w:pos="1202"/>
              </w:tabs>
              <w:spacing w:after="0" w:line="140" w:lineRule="exact"/>
              <w:outlineLvl w:val="0"/>
              <w:rPr>
                <w:rFonts w:asciiTheme="minorHAnsi" w:eastAsia="Times New Roman" w:hAnsiTheme="minorHAnsi" w:cs="Arial"/>
                <w:iCs/>
                <w:sz w:val="18"/>
                <w:szCs w:val="18"/>
              </w:rPr>
            </w:pPr>
            <w:r w:rsidRPr="009702B0">
              <w:rPr>
                <w:rFonts w:asciiTheme="minorHAnsi" w:eastAsia="Times New Roman" w:hAnsiTheme="minorHAnsi" w:cs="Arial"/>
                <w:iCs/>
                <w:sz w:val="18"/>
                <w:szCs w:val="18"/>
              </w:rPr>
              <w:t>Profit for the year</w:t>
            </w:r>
          </w:p>
        </w:tc>
        <w:tc>
          <w:tcPr>
            <w:tcW w:w="602" w:type="pct"/>
            <w:vAlign w:val="bottom"/>
          </w:tcPr>
          <w:p w14:paraId="0B09BB95" w14:textId="77777777" w:rsidR="00E72653" w:rsidRPr="009702B0" w:rsidRDefault="00E72653" w:rsidP="00E72653">
            <w:pPr>
              <w:keepNext/>
              <w:keepLines/>
              <w:tabs>
                <w:tab w:val="decimal" w:pos="1202"/>
              </w:tabs>
              <w:spacing w:after="0" w:line="140" w:lineRule="exact"/>
              <w:jc w:val="right"/>
              <w:rPr>
                <w:rFonts w:asciiTheme="minorHAnsi" w:eastAsia="Times New Roman" w:hAnsiTheme="minorHAnsi" w:cs="Arial"/>
                <w:b/>
                <w:position w:val="4"/>
                <w:sz w:val="18"/>
                <w:szCs w:val="18"/>
                <w:u w:val="thick"/>
              </w:rPr>
            </w:pPr>
            <w:r w:rsidRPr="00D77059">
              <w:rPr>
                <w:rFonts w:eastAsia="Times New Roman" w:cs="Arial"/>
                <w:iCs/>
                <w:sz w:val="18"/>
                <w:szCs w:val="18"/>
              </w:rPr>
              <w:t>-</w:t>
            </w:r>
          </w:p>
        </w:tc>
        <w:tc>
          <w:tcPr>
            <w:tcW w:w="602" w:type="pct"/>
            <w:vAlign w:val="bottom"/>
          </w:tcPr>
          <w:p w14:paraId="0F6DFD80" w14:textId="77777777" w:rsidR="00E72653" w:rsidRPr="009702B0" w:rsidRDefault="00E72653" w:rsidP="00E72653">
            <w:pPr>
              <w:keepNext/>
              <w:keepLines/>
              <w:tabs>
                <w:tab w:val="decimal" w:pos="1202"/>
              </w:tabs>
              <w:spacing w:after="0" w:line="140" w:lineRule="exact"/>
              <w:jc w:val="center"/>
              <w:rPr>
                <w:rFonts w:asciiTheme="minorHAnsi" w:eastAsia="Times New Roman" w:hAnsiTheme="minorHAnsi" w:cs="Arial"/>
                <w:b/>
                <w:position w:val="4"/>
                <w:sz w:val="18"/>
                <w:szCs w:val="18"/>
                <w:u w:val="thick"/>
              </w:rPr>
            </w:pPr>
            <w:r w:rsidRPr="00D77059">
              <w:rPr>
                <w:rFonts w:eastAsia="Times New Roman" w:cs="Arial"/>
                <w:iCs/>
                <w:sz w:val="18"/>
                <w:szCs w:val="18"/>
              </w:rPr>
              <w:t>-</w:t>
            </w:r>
          </w:p>
        </w:tc>
        <w:tc>
          <w:tcPr>
            <w:tcW w:w="602" w:type="pct"/>
            <w:vAlign w:val="bottom"/>
          </w:tcPr>
          <w:p w14:paraId="09A2DE16" w14:textId="32D0B5B8" w:rsidR="00E72653" w:rsidRPr="009702B0" w:rsidRDefault="00E72653" w:rsidP="00E72653">
            <w:pPr>
              <w:keepNext/>
              <w:keepLines/>
              <w:tabs>
                <w:tab w:val="decimal" w:pos="1202"/>
              </w:tabs>
              <w:spacing w:after="0" w:line="140" w:lineRule="exact"/>
              <w:jc w:val="right"/>
              <w:rPr>
                <w:rFonts w:asciiTheme="minorHAnsi" w:eastAsia="Times New Roman" w:hAnsiTheme="minorHAnsi" w:cs="Arial"/>
                <w:b/>
                <w:position w:val="4"/>
                <w:sz w:val="18"/>
                <w:szCs w:val="18"/>
                <w:u w:val="thick"/>
              </w:rPr>
            </w:pPr>
            <w:r w:rsidRPr="00D77059">
              <w:rPr>
                <w:rFonts w:eastAsia="Times New Roman" w:cs="Arial"/>
                <w:iCs/>
                <w:sz w:val="18"/>
                <w:szCs w:val="18"/>
              </w:rPr>
              <w:t>-</w:t>
            </w:r>
          </w:p>
        </w:tc>
        <w:tc>
          <w:tcPr>
            <w:tcW w:w="602" w:type="pct"/>
            <w:vAlign w:val="bottom"/>
          </w:tcPr>
          <w:p w14:paraId="482EA984" w14:textId="0BD8254B" w:rsidR="00E72653" w:rsidRPr="009702B0" w:rsidRDefault="00E72653" w:rsidP="00E72653">
            <w:pPr>
              <w:keepNext/>
              <w:keepLines/>
              <w:tabs>
                <w:tab w:val="decimal" w:pos="1202"/>
              </w:tabs>
              <w:spacing w:after="0" w:line="140" w:lineRule="exact"/>
              <w:jc w:val="right"/>
              <w:rPr>
                <w:rFonts w:asciiTheme="minorHAnsi" w:eastAsia="Times New Roman" w:hAnsiTheme="minorHAnsi" w:cs="Arial"/>
                <w:b/>
                <w:position w:val="4"/>
                <w:sz w:val="18"/>
                <w:szCs w:val="18"/>
                <w:u w:val="thick"/>
              </w:rPr>
            </w:pPr>
            <w:r w:rsidRPr="00723A05">
              <w:rPr>
                <w:sz w:val="18"/>
                <w:szCs w:val="18"/>
              </w:rPr>
              <w:t>856</w:t>
            </w:r>
          </w:p>
        </w:tc>
        <w:tc>
          <w:tcPr>
            <w:tcW w:w="602" w:type="pct"/>
            <w:vAlign w:val="bottom"/>
          </w:tcPr>
          <w:p w14:paraId="4129F748" w14:textId="7E1B72BA" w:rsidR="00E72653" w:rsidRPr="009702B0" w:rsidRDefault="00E72653" w:rsidP="00E72653">
            <w:pPr>
              <w:keepNext/>
              <w:keepLines/>
              <w:tabs>
                <w:tab w:val="decimal" w:pos="1202"/>
              </w:tabs>
              <w:spacing w:after="0" w:line="140" w:lineRule="exact"/>
              <w:jc w:val="right"/>
              <w:rPr>
                <w:rFonts w:asciiTheme="minorHAnsi" w:eastAsia="Times New Roman" w:hAnsiTheme="minorHAnsi" w:cs="Arial"/>
                <w:b/>
                <w:position w:val="4"/>
                <w:sz w:val="18"/>
                <w:szCs w:val="18"/>
                <w:u w:val="thick"/>
              </w:rPr>
            </w:pPr>
            <w:r w:rsidRPr="00723A05">
              <w:rPr>
                <w:sz w:val="18"/>
                <w:szCs w:val="18"/>
              </w:rPr>
              <w:t>856</w:t>
            </w:r>
          </w:p>
        </w:tc>
        <w:tc>
          <w:tcPr>
            <w:tcW w:w="600" w:type="pct"/>
            <w:shd w:val="clear" w:color="auto" w:fill="auto"/>
            <w:vAlign w:val="bottom"/>
          </w:tcPr>
          <w:p w14:paraId="02006631" w14:textId="7E0D4A85" w:rsidR="00E72653" w:rsidRPr="006B318F" w:rsidRDefault="00E72653" w:rsidP="00E72653">
            <w:pPr>
              <w:keepNext/>
              <w:keepLines/>
              <w:tabs>
                <w:tab w:val="decimal" w:pos="1202"/>
              </w:tabs>
              <w:spacing w:after="0" w:line="140" w:lineRule="exact"/>
              <w:jc w:val="right"/>
              <w:rPr>
                <w:rFonts w:asciiTheme="minorHAnsi" w:eastAsia="Times New Roman" w:hAnsiTheme="minorHAnsi" w:cs="Arial"/>
                <w:position w:val="4"/>
                <w:sz w:val="18"/>
                <w:szCs w:val="18"/>
                <w:u w:val="thick"/>
              </w:rPr>
            </w:pPr>
            <w:r w:rsidRPr="00815F20">
              <w:rPr>
                <w:b/>
                <w:sz w:val="18"/>
                <w:szCs w:val="18"/>
              </w:rPr>
              <w:t>856</w:t>
            </w:r>
          </w:p>
        </w:tc>
      </w:tr>
      <w:tr w:rsidR="00E72653" w:rsidRPr="009702B0" w14:paraId="08383C40" w14:textId="77777777" w:rsidTr="006B318F">
        <w:trPr>
          <w:trHeight w:val="77"/>
        </w:trPr>
        <w:tc>
          <w:tcPr>
            <w:tcW w:w="1390" w:type="pct"/>
            <w:vAlign w:val="bottom"/>
            <w:hideMark/>
          </w:tcPr>
          <w:p w14:paraId="63EA1B98" w14:textId="23F3EE1B" w:rsidR="00E72653" w:rsidRPr="009702B0" w:rsidRDefault="00E72653" w:rsidP="00E72653">
            <w:pPr>
              <w:tabs>
                <w:tab w:val="right" w:pos="1202"/>
              </w:tabs>
              <w:spacing w:after="0" w:line="240" w:lineRule="exact"/>
              <w:outlineLvl w:val="0"/>
              <w:rPr>
                <w:rFonts w:asciiTheme="minorHAnsi" w:eastAsia="Times New Roman" w:hAnsiTheme="minorHAnsi" w:cs="Arial"/>
                <w:iCs/>
                <w:sz w:val="18"/>
                <w:szCs w:val="18"/>
              </w:rPr>
            </w:pPr>
            <w:r w:rsidRPr="009702B0">
              <w:rPr>
                <w:rFonts w:asciiTheme="minorHAnsi" w:eastAsia="Times New Roman" w:hAnsiTheme="minorHAnsi" w:cs="Arial"/>
                <w:iCs/>
                <w:sz w:val="18"/>
                <w:szCs w:val="18"/>
              </w:rPr>
              <w:t>Other comprehensive income</w:t>
            </w:r>
          </w:p>
        </w:tc>
        <w:tc>
          <w:tcPr>
            <w:tcW w:w="602" w:type="pct"/>
            <w:vAlign w:val="bottom"/>
          </w:tcPr>
          <w:p w14:paraId="2731790D" w14:textId="60024FCF" w:rsidR="00E72653" w:rsidRPr="00883A29" w:rsidRDefault="00E72653" w:rsidP="00E72653">
            <w:pPr>
              <w:tabs>
                <w:tab w:val="right" w:pos="1202"/>
              </w:tabs>
              <w:spacing w:after="0" w:line="301" w:lineRule="exact"/>
              <w:jc w:val="right"/>
              <w:outlineLvl w:val="0"/>
              <w:rPr>
                <w:rFonts w:eastAsia="Times New Roman" w:cs="Arial"/>
                <w:iCs/>
                <w:sz w:val="18"/>
                <w:szCs w:val="18"/>
              </w:rPr>
            </w:pPr>
            <w:r w:rsidRPr="00D77059">
              <w:rPr>
                <w:rFonts w:eastAsia="Times New Roman" w:cs="Arial"/>
                <w:iCs/>
                <w:sz w:val="18"/>
                <w:szCs w:val="18"/>
              </w:rPr>
              <w:t>-</w:t>
            </w:r>
          </w:p>
        </w:tc>
        <w:tc>
          <w:tcPr>
            <w:tcW w:w="602" w:type="pct"/>
            <w:vAlign w:val="bottom"/>
          </w:tcPr>
          <w:p w14:paraId="2FFDB19A" w14:textId="53BC9569" w:rsidR="00E72653" w:rsidRPr="00883A29" w:rsidRDefault="00E72653" w:rsidP="00E72653">
            <w:pPr>
              <w:tabs>
                <w:tab w:val="right" w:pos="1202"/>
              </w:tabs>
              <w:spacing w:after="0" w:line="301" w:lineRule="exact"/>
              <w:jc w:val="right"/>
              <w:outlineLvl w:val="0"/>
              <w:rPr>
                <w:rFonts w:eastAsia="Times New Roman" w:cs="Arial"/>
                <w:iCs/>
                <w:sz w:val="18"/>
                <w:szCs w:val="18"/>
              </w:rPr>
            </w:pPr>
            <w:r w:rsidRPr="00D77059">
              <w:rPr>
                <w:rFonts w:eastAsia="Times New Roman" w:cs="Arial"/>
                <w:iCs/>
                <w:sz w:val="18"/>
                <w:szCs w:val="18"/>
              </w:rPr>
              <w:t>-</w:t>
            </w:r>
          </w:p>
        </w:tc>
        <w:tc>
          <w:tcPr>
            <w:tcW w:w="602" w:type="pct"/>
            <w:vAlign w:val="bottom"/>
          </w:tcPr>
          <w:p w14:paraId="32933E88" w14:textId="5EF0C162" w:rsidR="00E72653" w:rsidRPr="00883A29" w:rsidRDefault="00E72653" w:rsidP="00E72653">
            <w:pPr>
              <w:tabs>
                <w:tab w:val="right" w:pos="1202"/>
              </w:tabs>
              <w:spacing w:after="0" w:line="301" w:lineRule="exact"/>
              <w:jc w:val="right"/>
              <w:outlineLvl w:val="0"/>
              <w:rPr>
                <w:rFonts w:eastAsia="Times New Roman" w:cs="Arial"/>
                <w:iCs/>
                <w:sz w:val="18"/>
                <w:szCs w:val="18"/>
              </w:rPr>
            </w:pPr>
            <w:r w:rsidRPr="00723A05">
              <w:rPr>
                <w:sz w:val="18"/>
                <w:szCs w:val="18"/>
              </w:rPr>
              <w:t>1</w:t>
            </w:r>
            <w:r>
              <w:rPr>
                <w:sz w:val="18"/>
                <w:szCs w:val="18"/>
              </w:rPr>
              <w:t>,</w:t>
            </w:r>
            <w:r w:rsidRPr="00723A05">
              <w:rPr>
                <w:sz w:val="18"/>
                <w:szCs w:val="18"/>
              </w:rPr>
              <w:t>047</w:t>
            </w:r>
          </w:p>
        </w:tc>
        <w:tc>
          <w:tcPr>
            <w:tcW w:w="602" w:type="pct"/>
            <w:vAlign w:val="bottom"/>
          </w:tcPr>
          <w:p w14:paraId="55D2BC39" w14:textId="5537AA30" w:rsidR="00E72653" w:rsidRPr="00883A29" w:rsidRDefault="00E72653" w:rsidP="00E72653">
            <w:pPr>
              <w:tabs>
                <w:tab w:val="right" w:pos="1202"/>
              </w:tabs>
              <w:spacing w:after="0" w:line="301" w:lineRule="exact"/>
              <w:jc w:val="right"/>
              <w:outlineLvl w:val="0"/>
              <w:rPr>
                <w:rFonts w:eastAsia="Times New Roman" w:cs="Arial"/>
                <w:iCs/>
                <w:sz w:val="18"/>
                <w:szCs w:val="18"/>
              </w:rPr>
            </w:pPr>
            <w:r w:rsidRPr="00723A05">
              <w:rPr>
                <w:sz w:val="18"/>
                <w:szCs w:val="18"/>
              </w:rPr>
              <w:t>-</w:t>
            </w:r>
          </w:p>
        </w:tc>
        <w:tc>
          <w:tcPr>
            <w:tcW w:w="602" w:type="pct"/>
            <w:vAlign w:val="bottom"/>
          </w:tcPr>
          <w:p w14:paraId="108BC83A" w14:textId="5388C841" w:rsidR="00E72653" w:rsidRPr="00883A29" w:rsidRDefault="00E72653" w:rsidP="00E72653">
            <w:pPr>
              <w:tabs>
                <w:tab w:val="right" w:pos="1202"/>
              </w:tabs>
              <w:spacing w:after="0" w:line="301" w:lineRule="exact"/>
              <w:jc w:val="right"/>
              <w:outlineLvl w:val="0"/>
              <w:rPr>
                <w:rFonts w:eastAsia="Times New Roman" w:cs="Arial"/>
                <w:b/>
                <w:iCs/>
                <w:sz w:val="18"/>
                <w:szCs w:val="18"/>
              </w:rPr>
            </w:pPr>
            <w:r w:rsidRPr="00723A05">
              <w:rPr>
                <w:sz w:val="18"/>
                <w:szCs w:val="18"/>
              </w:rPr>
              <w:t>1</w:t>
            </w:r>
            <w:r>
              <w:rPr>
                <w:sz w:val="18"/>
                <w:szCs w:val="18"/>
              </w:rPr>
              <w:t>,</w:t>
            </w:r>
            <w:r w:rsidRPr="00723A05">
              <w:rPr>
                <w:sz w:val="18"/>
                <w:szCs w:val="18"/>
              </w:rPr>
              <w:t>047</w:t>
            </w:r>
          </w:p>
        </w:tc>
        <w:tc>
          <w:tcPr>
            <w:tcW w:w="600" w:type="pct"/>
            <w:shd w:val="clear" w:color="auto" w:fill="auto"/>
            <w:vAlign w:val="bottom"/>
          </w:tcPr>
          <w:p w14:paraId="5D8D13AA" w14:textId="41775721" w:rsidR="00E72653" w:rsidRPr="006B318F" w:rsidRDefault="00230C47" w:rsidP="00E72653">
            <w:pPr>
              <w:tabs>
                <w:tab w:val="right" w:pos="1202"/>
              </w:tabs>
              <w:spacing w:after="0" w:line="301" w:lineRule="exact"/>
              <w:jc w:val="right"/>
              <w:outlineLvl w:val="0"/>
              <w:rPr>
                <w:rFonts w:eastAsia="Times New Roman" w:cs="Arial"/>
                <w:iCs/>
                <w:sz w:val="18"/>
                <w:szCs w:val="18"/>
              </w:rPr>
            </w:pPr>
            <w:r>
              <w:rPr>
                <w:b/>
                <w:sz w:val="18"/>
                <w:szCs w:val="18"/>
              </w:rPr>
              <w:t>1,047</w:t>
            </w:r>
          </w:p>
        </w:tc>
      </w:tr>
      <w:tr w:rsidR="00231B57" w:rsidRPr="009702B0" w14:paraId="34996442" w14:textId="77777777" w:rsidTr="005444AA">
        <w:trPr>
          <w:trHeight w:val="119"/>
        </w:trPr>
        <w:tc>
          <w:tcPr>
            <w:tcW w:w="1390" w:type="pct"/>
            <w:vAlign w:val="bottom"/>
          </w:tcPr>
          <w:p w14:paraId="706C0E68" w14:textId="77777777" w:rsidR="00231B57" w:rsidRPr="009702B0" w:rsidRDefault="00231B57" w:rsidP="005444AA">
            <w:pPr>
              <w:tabs>
                <w:tab w:val="right" w:pos="1202"/>
              </w:tabs>
              <w:spacing w:after="0" w:line="140" w:lineRule="exact"/>
              <w:outlineLvl w:val="0"/>
              <w:rPr>
                <w:rFonts w:asciiTheme="minorHAnsi" w:eastAsia="Times New Roman" w:hAnsiTheme="minorHAnsi" w:cs="Arial"/>
                <w:iCs/>
                <w:sz w:val="18"/>
                <w:szCs w:val="18"/>
              </w:rPr>
            </w:pPr>
          </w:p>
        </w:tc>
        <w:tc>
          <w:tcPr>
            <w:tcW w:w="602" w:type="pct"/>
            <w:vAlign w:val="bottom"/>
          </w:tcPr>
          <w:p w14:paraId="7C719D98" w14:textId="77777777" w:rsidR="00231B57" w:rsidRPr="005444AA" w:rsidRDefault="00231B57" w:rsidP="005444AA">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2" w:type="pct"/>
            <w:vAlign w:val="bottom"/>
          </w:tcPr>
          <w:p w14:paraId="2DB7CD20" w14:textId="77777777" w:rsidR="00231B57" w:rsidRPr="005444AA" w:rsidRDefault="00231B57" w:rsidP="005444AA">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2" w:type="pct"/>
            <w:vAlign w:val="bottom"/>
          </w:tcPr>
          <w:p w14:paraId="7F4516AB" w14:textId="1A566DF3" w:rsidR="00231B57" w:rsidRPr="005444AA" w:rsidDel="004D553D" w:rsidRDefault="008E0AA2" w:rsidP="005444AA">
            <w:pPr>
              <w:keepNext/>
              <w:keepLines/>
              <w:tabs>
                <w:tab w:val="decimal" w:pos="1015"/>
                <w:tab w:val="decimal" w:pos="1202"/>
              </w:tabs>
              <w:spacing w:after="0" w:line="140" w:lineRule="exact"/>
              <w:jc w:val="right"/>
              <w:rPr>
                <w:rFonts w:eastAsia="Times New Roman" w:cs="Arial"/>
                <w:spacing w:val="-2"/>
                <w:position w:val="4"/>
                <w:sz w:val="18"/>
                <w:szCs w:val="18"/>
              </w:rPr>
            </w:pPr>
            <w:r w:rsidRPr="008E0AA2">
              <w:rPr>
                <w:rFonts w:eastAsia="Times New Roman" w:cs="Arial"/>
                <w:spacing w:val="-2"/>
                <w:position w:val="4"/>
                <w:sz w:val="18"/>
                <w:szCs w:val="18"/>
              </w:rPr>
              <w:t>_________</w:t>
            </w:r>
          </w:p>
        </w:tc>
        <w:tc>
          <w:tcPr>
            <w:tcW w:w="602" w:type="pct"/>
            <w:vAlign w:val="bottom"/>
          </w:tcPr>
          <w:p w14:paraId="18839A5B" w14:textId="77777777" w:rsidR="00231B57" w:rsidRPr="005444AA" w:rsidRDefault="00231B57" w:rsidP="005444AA">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2" w:type="pct"/>
            <w:vAlign w:val="bottom"/>
          </w:tcPr>
          <w:p w14:paraId="0BC54ED5" w14:textId="77777777" w:rsidR="00231B57" w:rsidRPr="005444AA" w:rsidDel="004D553D" w:rsidRDefault="00231B57" w:rsidP="005444AA">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0" w:type="pct"/>
            <w:shd w:val="clear" w:color="auto" w:fill="auto"/>
            <w:vAlign w:val="bottom"/>
          </w:tcPr>
          <w:p w14:paraId="2B6DF694" w14:textId="77777777" w:rsidR="00231B57" w:rsidRPr="008E0AA2" w:rsidDel="004D553D" w:rsidRDefault="00231B57" w:rsidP="005444AA">
            <w:pPr>
              <w:keepNext/>
              <w:keepLines/>
              <w:tabs>
                <w:tab w:val="decimal" w:pos="1015"/>
                <w:tab w:val="decimal" w:pos="1202"/>
              </w:tabs>
              <w:spacing w:after="0" w:line="140" w:lineRule="exact"/>
              <w:jc w:val="right"/>
              <w:rPr>
                <w:rFonts w:eastAsia="Times New Roman" w:cs="Arial"/>
                <w:spacing w:val="-2"/>
                <w:position w:val="4"/>
                <w:sz w:val="18"/>
                <w:szCs w:val="18"/>
              </w:rPr>
            </w:pPr>
            <w:r w:rsidRPr="008E0AA2">
              <w:rPr>
                <w:rFonts w:eastAsia="Times New Roman" w:cs="Arial"/>
                <w:spacing w:val="-2"/>
                <w:position w:val="4"/>
                <w:sz w:val="18"/>
                <w:szCs w:val="18"/>
              </w:rPr>
              <w:t>_________</w:t>
            </w:r>
          </w:p>
        </w:tc>
      </w:tr>
      <w:tr w:rsidR="00E72653" w:rsidRPr="009702B0" w14:paraId="23F274C4" w14:textId="77777777" w:rsidTr="006B318F">
        <w:trPr>
          <w:trHeight w:val="70"/>
        </w:trPr>
        <w:tc>
          <w:tcPr>
            <w:tcW w:w="1390" w:type="pct"/>
            <w:vAlign w:val="bottom"/>
            <w:hideMark/>
          </w:tcPr>
          <w:p w14:paraId="7BA7FF4E" w14:textId="64F4430D" w:rsidR="00E72653" w:rsidRPr="009702B0" w:rsidRDefault="00E72653" w:rsidP="00E72653">
            <w:pPr>
              <w:tabs>
                <w:tab w:val="right" w:pos="1202"/>
              </w:tabs>
              <w:spacing w:after="0" w:line="240" w:lineRule="exact"/>
              <w:outlineLvl w:val="0"/>
              <w:rPr>
                <w:rFonts w:asciiTheme="minorHAnsi" w:eastAsia="Times New Roman" w:hAnsiTheme="minorHAnsi" w:cs="Arial"/>
                <w:iCs/>
                <w:sz w:val="18"/>
                <w:szCs w:val="18"/>
              </w:rPr>
            </w:pPr>
            <w:r w:rsidRPr="009702B0">
              <w:rPr>
                <w:rFonts w:asciiTheme="minorHAnsi" w:eastAsia="Times New Roman" w:hAnsiTheme="minorHAnsi" w:cs="Arial"/>
                <w:iCs/>
                <w:sz w:val="18"/>
                <w:szCs w:val="18"/>
              </w:rPr>
              <w:t>Total comprehensive income</w:t>
            </w:r>
          </w:p>
        </w:tc>
        <w:tc>
          <w:tcPr>
            <w:tcW w:w="602" w:type="pct"/>
            <w:shd w:val="clear" w:color="auto" w:fill="auto"/>
            <w:vAlign w:val="bottom"/>
          </w:tcPr>
          <w:p w14:paraId="76FA508A" w14:textId="09BD322D" w:rsidR="00E72653" w:rsidRPr="00883A29" w:rsidRDefault="00E72653" w:rsidP="00E72653">
            <w:pPr>
              <w:tabs>
                <w:tab w:val="right" w:pos="1202"/>
              </w:tabs>
              <w:spacing w:after="0" w:line="301" w:lineRule="exact"/>
              <w:jc w:val="right"/>
              <w:outlineLvl w:val="0"/>
              <w:rPr>
                <w:rFonts w:eastAsia="Times New Roman" w:cs="Arial"/>
                <w:iCs/>
                <w:sz w:val="18"/>
                <w:szCs w:val="18"/>
              </w:rPr>
            </w:pPr>
            <w:r w:rsidRPr="00D77059">
              <w:rPr>
                <w:rFonts w:eastAsia="Times New Roman" w:cs="Arial"/>
                <w:iCs/>
                <w:sz w:val="18"/>
                <w:szCs w:val="18"/>
              </w:rPr>
              <w:t>-</w:t>
            </w:r>
          </w:p>
        </w:tc>
        <w:tc>
          <w:tcPr>
            <w:tcW w:w="602" w:type="pct"/>
            <w:shd w:val="clear" w:color="auto" w:fill="auto"/>
            <w:vAlign w:val="bottom"/>
          </w:tcPr>
          <w:p w14:paraId="7BF0AC0D" w14:textId="3A3AA3C4" w:rsidR="00E72653" w:rsidRPr="00883A29" w:rsidRDefault="00E72653" w:rsidP="00E72653">
            <w:pPr>
              <w:tabs>
                <w:tab w:val="right" w:pos="1202"/>
              </w:tabs>
              <w:spacing w:after="0" w:line="301" w:lineRule="exact"/>
              <w:jc w:val="right"/>
              <w:outlineLvl w:val="0"/>
              <w:rPr>
                <w:rFonts w:eastAsia="Times New Roman" w:cs="Arial"/>
                <w:iCs/>
                <w:sz w:val="18"/>
                <w:szCs w:val="18"/>
              </w:rPr>
            </w:pPr>
            <w:r w:rsidRPr="00D77059">
              <w:rPr>
                <w:rFonts w:eastAsia="Times New Roman" w:cs="Arial"/>
                <w:iCs/>
                <w:sz w:val="18"/>
                <w:szCs w:val="18"/>
              </w:rPr>
              <w:t>-</w:t>
            </w:r>
          </w:p>
        </w:tc>
        <w:tc>
          <w:tcPr>
            <w:tcW w:w="602" w:type="pct"/>
            <w:shd w:val="clear" w:color="auto" w:fill="auto"/>
          </w:tcPr>
          <w:p w14:paraId="5B055A8B" w14:textId="00C4B868" w:rsidR="00E72653" w:rsidRPr="00883A29" w:rsidRDefault="00E72653" w:rsidP="00E72653">
            <w:pPr>
              <w:tabs>
                <w:tab w:val="right" w:pos="1202"/>
              </w:tabs>
              <w:spacing w:after="0" w:line="301" w:lineRule="exact"/>
              <w:jc w:val="right"/>
              <w:outlineLvl w:val="0"/>
              <w:rPr>
                <w:rFonts w:eastAsia="Times New Roman" w:cs="Arial"/>
                <w:iCs/>
                <w:sz w:val="18"/>
                <w:szCs w:val="18"/>
              </w:rPr>
            </w:pPr>
            <w:r w:rsidRPr="00723A05">
              <w:rPr>
                <w:sz w:val="18"/>
                <w:szCs w:val="18"/>
              </w:rPr>
              <w:t>1</w:t>
            </w:r>
            <w:r>
              <w:rPr>
                <w:sz w:val="18"/>
                <w:szCs w:val="18"/>
              </w:rPr>
              <w:t>,</w:t>
            </w:r>
            <w:r w:rsidRPr="00723A05">
              <w:rPr>
                <w:sz w:val="18"/>
                <w:szCs w:val="18"/>
              </w:rPr>
              <w:t>047</w:t>
            </w:r>
          </w:p>
        </w:tc>
        <w:tc>
          <w:tcPr>
            <w:tcW w:w="602" w:type="pct"/>
            <w:shd w:val="clear" w:color="auto" w:fill="auto"/>
          </w:tcPr>
          <w:p w14:paraId="776F6F05" w14:textId="15E318F1" w:rsidR="00E72653" w:rsidRPr="00883A29" w:rsidRDefault="00E72653" w:rsidP="00E72653">
            <w:pPr>
              <w:tabs>
                <w:tab w:val="right" w:pos="1202"/>
              </w:tabs>
              <w:spacing w:after="0" w:line="301" w:lineRule="exact"/>
              <w:jc w:val="right"/>
              <w:outlineLvl w:val="0"/>
              <w:rPr>
                <w:rFonts w:eastAsia="Times New Roman" w:cs="Arial"/>
                <w:iCs/>
                <w:sz w:val="18"/>
                <w:szCs w:val="18"/>
              </w:rPr>
            </w:pPr>
            <w:r w:rsidRPr="00723A05">
              <w:rPr>
                <w:sz w:val="18"/>
                <w:szCs w:val="18"/>
              </w:rPr>
              <w:t>856</w:t>
            </w:r>
          </w:p>
        </w:tc>
        <w:tc>
          <w:tcPr>
            <w:tcW w:w="602" w:type="pct"/>
            <w:shd w:val="clear" w:color="auto" w:fill="auto"/>
          </w:tcPr>
          <w:p w14:paraId="0902FB92" w14:textId="4440A101" w:rsidR="00E72653" w:rsidRPr="00883A29" w:rsidRDefault="00E72653" w:rsidP="00E72653">
            <w:pPr>
              <w:tabs>
                <w:tab w:val="right" w:pos="1202"/>
              </w:tabs>
              <w:spacing w:after="0" w:line="301" w:lineRule="exact"/>
              <w:jc w:val="right"/>
              <w:outlineLvl w:val="0"/>
              <w:rPr>
                <w:rFonts w:eastAsia="Times New Roman" w:cs="Arial"/>
                <w:b/>
                <w:iCs/>
                <w:sz w:val="18"/>
                <w:szCs w:val="18"/>
              </w:rPr>
            </w:pPr>
            <w:r w:rsidRPr="00723A05">
              <w:rPr>
                <w:sz w:val="18"/>
                <w:szCs w:val="18"/>
              </w:rPr>
              <w:t>1</w:t>
            </w:r>
            <w:r>
              <w:rPr>
                <w:sz w:val="18"/>
                <w:szCs w:val="18"/>
              </w:rPr>
              <w:t>,</w:t>
            </w:r>
            <w:r w:rsidRPr="00723A05">
              <w:rPr>
                <w:sz w:val="18"/>
                <w:szCs w:val="18"/>
              </w:rPr>
              <w:t>903</w:t>
            </w:r>
          </w:p>
        </w:tc>
        <w:tc>
          <w:tcPr>
            <w:tcW w:w="600" w:type="pct"/>
            <w:shd w:val="clear" w:color="auto" w:fill="auto"/>
          </w:tcPr>
          <w:p w14:paraId="5279C11E" w14:textId="7E6D8554" w:rsidR="00E72653" w:rsidRPr="006B318F" w:rsidRDefault="00E72653" w:rsidP="00E72653">
            <w:pPr>
              <w:tabs>
                <w:tab w:val="right" w:pos="1202"/>
              </w:tabs>
              <w:spacing w:after="0" w:line="301" w:lineRule="exact"/>
              <w:jc w:val="right"/>
              <w:outlineLvl w:val="0"/>
              <w:rPr>
                <w:rFonts w:eastAsia="Times New Roman" w:cs="Arial"/>
                <w:iCs/>
                <w:sz w:val="18"/>
                <w:szCs w:val="18"/>
              </w:rPr>
            </w:pPr>
            <w:r w:rsidRPr="00815F20">
              <w:rPr>
                <w:b/>
                <w:sz w:val="18"/>
                <w:szCs w:val="18"/>
              </w:rPr>
              <w:t>1,903</w:t>
            </w:r>
          </w:p>
        </w:tc>
      </w:tr>
      <w:tr w:rsidR="00F3373C" w:rsidRPr="009702B0" w14:paraId="15094812" w14:textId="77777777" w:rsidTr="005444AA">
        <w:trPr>
          <w:trHeight w:val="132"/>
        </w:trPr>
        <w:tc>
          <w:tcPr>
            <w:tcW w:w="1390" w:type="pct"/>
            <w:vAlign w:val="bottom"/>
          </w:tcPr>
          <w:p w14:paraId="27764704" w14:textId="77777777" w:rsidR="00F3373C" w:rsidRPr="009702B0" w:rsidRDefault="00F3373C" w:rsidP="00F3373C">
            <w:pPr>
              <w:tabs>
                <w:tab w:val="right" w:pos="1202"/>
              </w:tabs>
              <w:spacing w:after="0" w:line="140" w:lineRule="exact"/>
              <w:outlineLvl w:val="0"/>
              <w:rPr>
                <w:rFonts w:asciiTheme="minorHAnsi" w:eastAsia="Times New Roman" w:hAnsiTheme="minorHAnsi" w:cs="Arial"/>
                <w:iCs/>
                <w:sz w:val="18"/>
                <w:szCs w:val="18"/>
              </w:rPr>
            </w:pPr>
          </w:p>
        </w:tc>
        <w:tc>
          <w:tcPr>
            <w:tcW w:w="602" w:type="pct"/>
            <w:vAlign w:val="bottom"/>
            <w:hideMark/>
          </w:tcPr>
          <w:p w14:paraId="7F8F26B0" w14:textId="630057B6" w:rsidR="00F3373C" w:rsidRPr="009702B0" w:rsidRDefault="00F3373C" w:rsidP="00F3373C">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2" w:type="pct"/>
            <w:vAlign w:val="bottom"/>
            <w:hideMark/>
          </w:tcPr>
          <w:p w14:paraId="31CC1DA8" w14:textId="51FD8AC4" w:rsidR="00F3373C" w:rsidRPr="009702B0" w:rsidRDefault="00F3373C" w:rsidP="00F3373C">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2" w:type="pct"/>
            <w:vAlign w:val="bottom"/>
            <w:hideMark/>
          </w:tcPr>
          <w:p w14:paraId="7E9A8946" w14:textId="236C4F0C" w:rsidR="00F3373C" w:rsidRPr="009702B0" w:rsidRDefault="00F3373C" w:rsidP="00F3373C">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2" w:type="pct"/>
            <w:vAlign w:val="bottom"/>
            <w:hideMark/>
          </w:tcPr>
          <w:p w14:paraId="09913B11" w14:textId="073D1D87" w:rsidR="00F3373C" w:rsidRPr="009702B0" w:rsidRDefault="00F3373C" w:rsidP="00F3373C">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2" w:type="pct"/>
            <w:vAlign w:val="bottom"/>
            <w:hideMark/>
          </w:tcPr>
          <w:p w14:paraId="2393BFBD" w14:textId="4EA26DED" w:rsidR="00F3373C" w:rsidRPr="009702B0" w:rsidRDefault="00F3373C" w:rsidP="00F3373C">
            <w:pPr>
              <w:keepNext/>
              <w:keepLines/>
              <w:tabs>
                <w:tab w:val="decimal" w:pos="1015"/>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0" w:type="pct"/>
            <w:vAlign w:val="bottom"/>
            <w:hideMark/>
          </w:tcPr>
          <w:p w14:paraId="762F70DA" w14:textId="48600B8B" w:rsidR="00F3373C" w:rsidRPr="008E0AA2" w:rsidRDefault="00F3373C" w:rsidP="00F3373C">
            <w:pPr>
              <w:keepNext/>
              <w:keepLines/>
              <w:tabs>
                <w:tab w:val="decimal" w:pos="1015"/>
              </w:tabs>
              <w:spacing w:after="0" w:line="140" w:lineRule="exact"/>
              <w:jc w:val="right"/>
              <w:rPr>
                <w:rFonts w:eastAsia="Times New Roman" w:cs="Arial"/>
                <w:spacing w:val="-2"/>
                <w:position w:val="4"/>
                <w:sz w:val="18"/>
                <w:szCs w:val="18"/>
              </w:rPr>
            </w:pPr>
            <w:r w:rsidRPr="008E0AA2">
              <w:rPr>
                <w:rFonts w:eastAsia="Times New Roman" w:cs="Arial"/>
                <w:spacing w:val="-2"/>
                <w:position w:val="4"/>
                <w:sz w:val="18"/>
                <w:szCs w:val="18"/>
              </w:rPr>
              <w:t>_________</w:t>
            </w:r>
          </w:p>
        </w:tc>
      </w:tr>
      <w:tr w:rsidR="00E72653" w:rsidRPr="009702B0" w14:paraId="6BF164A7" w14:textId="77777777" w:rsidTr="005444AA">
        <w:trPr>
          <w:trHeight w:val="77"/>
        </w:trPr>
        <w:tc>
          <w:tcPr>
            <w:tcW w:w="1390" w:type="pct"/>
            <w:vAlign w:val="bottom"/>
            <w:hideMark/>
          </w:tcPr>
          <w:p w14:paraId="201E8B2B" w14:textId="27A7A34C" w:rsidR="00E72653" w:rsidRPr="009702B0" w:rsidRDefault="00E72653" w:rsidP="00E72653">
            <w:pPr>
              <w:tabs>
                <w:tab w:val="right" w:pos="1202"/>
              </w:tabs>
              <w:spacing w:after="0" w:line="200" w:lineRule="exact"/>
              <w:outlineLvl w:val="0"/>
              <w:rPr>
                <w:rFonts w:asciiTheme="minorHAnsi" w:eastAsia="Times New Roman" w:hAnsiTheme="minorHAnsi" w:cs="Arial"/>
                <w:iCs/>
                <w:sz w:val="18"/>
                <w:szCs w:val="18"/>
              </w:rPr>
            </w:pPr>
            <w:r w:rsidRPr="009702B0">
              <w:rPr>
                <w:rFonts w:asciiTheme="minorHAnsi" w:eastAsia="Times New Roman" w:hAnsiTheme="minorHAnsi" w:cs="Arial"/>
                <w:iCs/>
                <w:sz w:val="18"/>
                <w:szCs w:val="18"/>
              </w:rPr>
              <w:t>Transfer of profit 201</w:t>
            </w:r>
            <w:r>
              <w:rPr>
                <w:rFonts w:asciiTheme="minorHAnsi" w:eastAsia="Times New Roman" w:hAnsiTheme="minorHAnsi" w:cs="Arial"/>
                <w:iCs/>
                <w:sz w:val="18"/>
                <w:szCs w:val="18"/>
              </w:rPr>
              <w:t>5</w:t>
            </w:r>
            <w:r w:rsidRPr="009702B0">
              <w:rPr>
                <w:rFonts w:asciiTheme="minorHAnsi" w:eastAsia="Times New Roman" w:hAnsiTheme="minorHAnsi" w:cs="Arial"/>
                <w:iCs/>
                <w:sz w:val="18"/>
                <w:szCs w:val="18"/>
              </w:rPr>
              <w:t xml:space="preserve"> to retained earnings</w:t>
            </w:r>
          </w:p>
        </w:tc>
        <w:tc>
          <w:tcPr>
            <w:tcW w:w="602" w:type="pct"/>
            <w:tcBorders>
              <w:top w:val="nil"/>
              <w:left w:val="nil"/>
              <w:bottom w:val="nil"/>
              <w:right w:val="nil"/>
            </w:tcBorders>
            <w:shd w:val="clear" w:color="auto" w:fill="auto"/>
            <w:vAlign w:val="bottom"/>
          </w:tcPr>
          <w:p w14:paraId="4ECDC60A" w14:textId="65305F3E" w:rsidR="00E72653" w:rsidRPr="00883A29" w:rsidRDefault="00E72653" w:rsidP="00E72653">
            <w:pPr>
              <w:tabs>
                <w:tab w:val="right" w:pos="1202"/>
              </w:tabs>
              <w:spacing w:after="0" w:line="301" w:lineRule="exact"/>
              <w:jc w:val="right"/>
              <w:outlineLvl w:val="0"/>
              <w:rPr>
                <w:rFonts w:eastAsia="Times New Roman" w:cs="Arial"/>
                <w:iCs/>
                <w:sz w:val="18"/>
                <w:szCs w:val="18"/>
              </w:rPr>
            </w:pPr>
            <w:r w:rsidRPr="00F561C9">
              <w:rPr>
                <w:rFonts w:cs="Arial"/>
                <w:sz w:val="18"/>
                <w:szCs w:val="18"/>
              </w:rPr>
              <w:t>-</w:t>
            </w:r>
          </w:p>
        </w:tc>
        <w:tc>
          <w:tcPr>
            <w:tcW w:w="602" w:type="pct"/>
            <w:tcBorders>
              <w:top w:val="nil"/>
              <w:left w:val="nil"/>
              <w:bottom w:val="nil"/>
              <w:right w:val="nil"/>
            </w:tcBorders>
            <w:shd w:val="clear" w:color="auto" w:fill="auto"/>
            <w:vAlign w:val="bottom"/>
          </w:tcPr>
          <w:p w14:paraId="47334A2B" w14:textId="68B216AB" w:rsidR="00E72653" w:rsidRPr="00883A29" w:rsidRDefault="00E72653" w:rsidP="00E72653">
            <w:pPr>
              <w:tabs>
                <w:tab w:val="right" w:pos="1202"/>
              </w:tabs>
              <w:spacing w:after="0" w:line="301" w:lineRule="exact"/>
              <w:jc w:val="right"/>
              <w:outlineLvl w:val="0"/>
              <w:rPr>
                <w:rFonts w:eastAsia="Times New Roman" w:cs="Arial"/>
                <w:iCs/>
                <w:sz w:val="18"/>
                <w:szCs w:val="18"/>
              </w:rPr>
            </w:pPr>
            <w:r w:rsidRPr="002D31C7">
              <w:rPr>
                <w:rFonts w:cs="Arial"/>
                <w:sz w:val="18"/>
                <w:szCs w:val="18"/>
              </w:rPr>
              <w:t>1</w:t>
            </w:r>
            <w:r>
              <w:rPr>
                <w:rFonts w:cs="Arial"/>
                <w:sz w:val="18"/>
                <w:szCs w:val="18"/>
              </w:rPr>
              <w:t>,</w:t>
            </w:r>
            <w:r w:rsidRPr="002D31C7">
              <w:rPr>
                <w:rFonts w:cs="Arial"/>
                <w:sz w:val="18"/>
                <w:szCs w:val="18"/>
              </w:rPr>
              <w:t>036</w:t>
            </w:r>
          </w:p>
        </w:tc>
        <w:tc>
          <w:tcPr>
            <w:tcW w:w="602" w:type="pct"/>
            <w:tcBorders>
              <w:top w:val="nil"/>
              <w:left w:val="nil"/>
              <w:bottom w:val="nil"/>
              <w:right w:val="nil"/>
            </w:tcBorders>
            <w:shd w:val="clear" w:color="auto" w:fill="auto"/>
            <w:vAlign w:val="bottom"/>
          </w:tcPr>
          <w:p w14:paraId="15B139FA" w14:textId="131C9197" w:rsidR="00E72653" w:rsidRPr="00883A29" w:rsidRDefault="00E72653" w:rsidP="00E72653">
            <w:pPr>
              <w:tabs>
                <w:tab w:val="right" w:pos="1202"/>
              </w:tabs>
              <w:spacing w:after="0" w:line="301" w:lineRule="exact"/>
              <w:jc w:val="right"/>
              <w:outlineLvl w:val="0"/>
              <w:rPr>
                <w:rFonts w:eastAsia="Times New Roman" w:cs="Arial"/>
                <w:iCs/>
                <w:sz w:val="18"/>
                <w:szCs w:val="18"/>
              </w:rPr>
            </w:pPr>
            <w:r w:rsidRPr="002D31C7">
              <w:rPr>
                <w:rFonts w:cs="Arial"/>
                <w:sz w:val="18"/>
                <w:szCs w:val="18"/>
              </w:rPr>
              <w:t>-</w:t>
            </w:r>
          </w:p>
        </w:tc>
        <w:tc>
          <w:tcPr>
            <w:tcW w:w="602" w:type="pct"/>
            <w:tcBorders>
              <w:top w:val="nil"/>
              <w:left w:val="nil"/>
              <w:bottom w:val="nil"/>
              <w:right w:val="nil"/>
            </w:tcBorders>
            <w:shd w:val="clear" w:color="auto" w:fill="auto"/>
            <w:vAlign w:val="bottom"/>
          </w:tcPr>
          <w:p w14:paraId="4B09E3F1" w14:textId="4328E8C0" w:rsidR="00E72653" w:rsidRPr="00883A29" w:rsidRDefault="00E72653" w:rsidP="00E72653">
            <w:pPr>
              <w:tabs>
                <w:tab w:val="right" w:pos="1202"/>
              </w:tabs>
              <w:spacing w:after="0" w:line="301" w:lineRule="exact"/>
              <w:jc w:val="right"/>
              <w:outlineLvl w:val="0"/>
              <w:rPr>
                <w:rFonts w:eastAsia="Times New Roman" w:cs="Arial"/>
                <w:iCs/>
                <w:sz w:val="18"/>
                <w:szCs w:val="18"/>
              </w:rPr>
            </w:pPr>
            <w:r w:rsidRPr="002D31C7">
              <w:rPr>
                <w:rFonts w:cs="Arial"/>
                <w:sz w:val="18"/>
                <w:szCs w:val="18"/>
              </w:rPr>
              <w:t>(1</w:t>
            </w:r>
            <w:r>
              <w:rPr>
                <w:rFonts w:cs="Arial"/>
                <w:sz w:val="18"/>
                <w:szCs w:val="18"/>
              </w:rPr>
              <w:t>,</w:t>
            </w:r>
            <w:r w:rsidRPr="002D31C7">
              <w:rPr>
                <w:rFonts w:cs="Arial"/>
                <w:sz w:val="18"/>
                <w:szCs w:val="18"/>
              </w:rPr>
              <w:t>036)</w:t>
            </w:r>
          </w:p>
        </w:tc>
        <w:tc>
          <w:tcPr>
            <w:tcW w:w="602" w:type="pct"/>
            <w:tcBorders>
              <w:top w:val="nil"/>
              <w:left w:val="nil"/>
              <w:bottom w:val="nil"/>
              <w:right w:val="nil"/>
            </w:tcBorders>
            <w:shd w:val="clear" w:color="auto" w:fill="auto"/>
            <w:vAlign w:val="bottom"/>
          </w:tcPr>
          <w:p w14:paraId="557A7043" w14:textId="77CF9028" w:rsidR="00E72653" w:rsidRPr="00883A29" w:rsidRDefault="00E72653" w:rsidP="00E72653">
            <w:pPr>
              <w:tabs>
                <w:tab w:val="right" w:pos="1202"/>
              </w:tabs>
              <w:spacing w:after="0" w:line="301" w:lineRule="exact"/>
              <w:jc w:val="right"/>
              <w:outlineLvl w:val="0"/>
              <w:rPr>
                <w:rFonts w:eastAsia="Times New Roman" w:cs="Arial"/>
                <w:b/>
                <w:iCs/>
                <w:sz w:val="18"/>
                <w:szCs w:val="18"/>
              </w:rPr>
            </w:pPr>
            <w:r w:rsidRPr="00D77059">
              <w:rPr>
                <w:rFonts w:eastAsia="Times New Roman" w:cs="Arial"/>
                <w:b/>
                <w:iCs/>
                <w:sz w:val="18"/>
                <w:szCs w:val="18"/>
              </w:rPr>
              <w:t>-</w:t>
            </w:r>
          </w:p>
        </w:tc>
        <w:tc>
          <w:tcPr>
            <w:tcW w:w="600" w:type="pct"/>
            <w:tcBorders>
              <w:top w:val="nil"/>
              <w:left w:val="nil"/>
              <w:bottom w:val="nil"/>
              <w:right w:val="nil"/>
            </w:tcBorders>
            <w:shd w:val="clear" w:color="auto" w:fill="auto"/>
            <w:vAlign w:val="bottom"/>
          </w:tcPr>
          <w:p w14:paraId="5531A0C4" w14:textId="70DA40F2" w:rsidR="00E72653" w:rsidRPr="006B318F" w:rsidRDefault="00E72653" w:rsidP="00E72653">
            <w:pPr>
              <w:tabs>
                <w:tab w:val="right" w:pos="1202"/>
              </w:tabs>
              <w:spacing w:after="0" w:line="301" w:lineRule="exact"/>
              <w:jc w:val="right"/>
              <w:outlineLvl w:val="0"/>
              <w:rPr>
                <w:rFonts w:eastAsia="Times New Roman" w:cs="Arial"/>
                <w:iCs/>
                <w:sz w:val="18"/>
                <w:szCs w:val="18"/>
              </w:rPr>
            </w:pPr>
            <w:r w:rsidRPr="006B318F">
              <w:rPr>
                <w:rFonts w:eastAsia="Times New Roman" w:cs="Arial"/>
                <w:iCs/>
                <w:sz w:val="18"/>
                <w:szCs w:val="18"/>
              </w:rPr>
              <w:t>-</w:t>
            </w:r>
          </w:p>
        </w:tc>
      </w:tr>
      <w:tr w:rsidR="00F3373C" w:rsidRPr="009702B0" w14:paraId="55A8C2F1" w14:textId="77777777" w:rsidTr="005444AA">
        <w:trPr>
          <w:trHeight w:val="132"/>
        </w:trPr>
        <w:tc>
          <w:tcPr>
            <w:tcW w:w="1390" w:type="pct"/>
            <w:vAlign w:val="bottom"/>
          </w:tcPr>
          <w:p w14:paraId="26AF58A0" w14:textId="77777777" w:rsidR="00F3373C" w:rsidRPr="009702B0" w:rsidRDefault="00F3373C" w:rsidP="00F3373C">
            <w:pPr>
              <w:tabs>
                <w:tab w:val="right" w:pos="1202"/>
              </w:tabs>
              <w:spacing w:after="0" w:line="140" w:lineRule="exact"/>
              <w:outlineLvl w:val="0"/>
              <w:rPr>
                <w:rFonts w:asciiTheme="minorHAnsi" w:eastAsia="Times New Roman" w:hAnsiTheme="minorHAnsi" w:cs="Arial"/>
                <w:iCs/>
                <w:sz w:val="18"/>
                <w:szCs w:val="18"/>
              </w:rPr>
            </w:pPr>
          </w:p>
        </w:tc>
        <w:tc>
          <w:tcPr>
            <w:tcW w:w="602" w:type="pct"/>
            <w:vAlign w:val="bottom"/>
            <w:hideMark/>
          </w:tcPr>
          <w:p w14:paraId="2FE7B2A4" w14:textId="5C5749CC" w:rsidR="00F3373C" w:rsidRPr="009702B0" w:rsidRDefault="00F3373C" w:rsidP="00F3373C">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2" w:type="pct"/>
            <w:vAlign w:val="bottom"/>
            <w:hideMark/>
          </w:tcPr>
          <w:p w14:paraId="66BD001D" w14:textId="2432C6AA" w:rsidR="00F3373C" w:rsidRPr="009702B0" w:rsidRDefault="00F3373C" w:rsidP="00F3373C">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2" w:type="pct"/>
            <w:vAlign w:val="bottom"/>
            <w:hideMark/>
          </w:tcPr>
          <w:p w14:paraId="7BBA3DC3" w14:textId="4B10C1DF" w:rsidR="00F3373C" w:rsidRPr="009702B0" w:rsidRDefault="00F3373C" w:rsidP="00F3373C">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2" w:type="pct"/>
            <w:vAlign w:val="bottom"/>
            <w:hideMark/>
          </w:tcPr>
          <w:p w14:paraId="32E04AE4" w14:textId="01BB8061" w:rsidR="00F3373C" w:rsidRPr="009702B0" w:rsidRDefault="00F3373C" w:rsidP="00F3373C">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2" w:type="pct"/>
            <w:vAlign w:val="bottom"/>
            <w:hideMark/>
          </w:tcPr>
          <w:p w14:paraId="61A5D9C7" w14:textId="51E02025" w:rsidR="00F3373C" w:rsidRPr="009702B0" w:rsidRDefault="00F3373C" w:rsidP="00F3373C">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0" w:type="pct"/>
            <w:vAlign w:val="bottom"/>
            <w:hideMark/>
          </w:tcPr>
          <w:p w14:paraId="32A0960A" w14:textId="7BE61490" w:rsidR="00F3373C" w:rsidRPr="008E0AA2" w:rsidRDefault="00F3373C" w:rsidP="00F3373C">
            <w:pPr>
              <w:keepNext/>
              <w:keepLines/>
              <w:tabs>
                <w:tab w:val="decimal" w:pos="1015"/>
                <w:tab w:val="decimal" w:pos="1202"/>
              </w:tabs>
              <w:spacing w:after="0" w:line="140" w:lineRule="exact"/>
              <w:jc w:val="right"/>
              <w:rPr>
                <w:rFonts w:eastAsia="Times New Roman" w:cs="Arial"/>
                <w:spacing w:val="-2"/>
                <w:position w:val="4"/>
                <w:sz w:val="18"/>
                <w:szCs w:val="18"/>
              </w:rPr>
            </w:pPr>
            <w:r w:rsidRPr="008E0AA2">
              <w:rPr>
                <w:rFonts w:eastAsia="Times New Roman" w:cs="Arial"/>
                <w:spacing w:val="-2"/>
                <w:position w:val="4"/>
                <w:sz w:val="18"/>
                <w:szCs w:val="18"/>
              </w:rPr>
              <w:t>_________</w:t>
            </w:r>
          </w:p>
        </w:tc>
      </w:tr>
      <w:tr w:rsidR="00E72653" w:rsidRPr="009702B0" w14:paraId="3FAB6AEB" w14:textId="77777777" w:rsidTr="006B318F">
        <w:trPr>
          <w:trHeight w:val="463"/>
        </w:trPr>
        <w:tc>
          <w:tcPr>
            <w:tcW w:w="1390" w:type="pct"/>
            <w:vAlign w:val="bottom"/>
            <w:hideMark/>
          </w:tcPr>
          <w:p w14:paraId="464B7210" w14:textId="1375F0E2" w:rsidR="00E72653" w:rsidRPr="009702B0" w:rsidRDefault="00E72653" w:rsidP="00E72653">
            <w:pPr>
              <w:tabs>
                <w:tab w:val="right" w:pos="1202"/>
              </w:tabs>
              <w:spacing w:after="0" w:line="200" w:lineRule="exact"/>
              <w:outlineLvl w:val="0"/>
              <w:rPr>
                <w:rFonts w:asciiTheme="minorHAnsi" w:eastAsia="Times New Roman" w:hAnsiTheme="minorHAnsi" w:cs="Arial"/>
                <w:i/>
                <w:iCs/>
                <w:sz w:val="18"/>
                <w:szCs w:val="18"/>
              </w:rPr>
            </w:pPr>
            <w:r w:rsidRPr="009702B0">
              <w:rPr>
                <w:rFonts w:asciiTheme="minorHAnsi" w:eastAsia="Times New Roman" w:hAnsiTheme="minorHAnsi" w:cs="Arial"/>
                <w:b/>
                <w:iCs/>
                <w:sz w:val="18"/>
                <w:szCs w:val="18"/>
              </w:rPr>
              <w:t xml:space="preserve">Balance as of </w:t>
            </w:r>
            <w:r>
              <w:rPr>
                <w:rFonts w:asciiTheme="minorHAnsi" w:eastAsia="Times New Roman" w:hAnsiTheme="minorHAnsi" w:cs="Arial"/>
                <w:b/>
                <w:iCs/>
                <w:sz w:val="18"/>
                <w:szCs w:val="18"/>
              </w:rPr>
              <w:t>30</w:t>
            </w:r>
            <w:r w:rsidRPr="001004B1">
              <w:rPr>
                <w:rFonts w:asciiTheme="minorHAnsi" w:eastAsia="Times New Roman" w:hAnsiTheme="minorHAnsi" w:cs="Arial"/>
                <w:b/>
                <w:iCs/>
                <w:sz w:val="18"/>
                <w:szCs w:val="18"/>
              </w:rPr>
              <w:t xml:space="preserve"> </w:t>
            </w:r>
            <w:r>
              <w:rPr>
                <w:rFonts w:asciiTheme="minorHAnsi" w:eastAsia="Times New Roman" w:hAnsiTheme="minorHAnsi" w:cs="Arial"/>
                <w:b/>
                <w:iCs/>
                <w:sz w:val="18"/>
                <w:szCs w:val="18"/>
              </w:rPr>
              <w:t xml:space="preserve">September </w:t>
            </w:r>
            <w:r w:rsidRPr="009702B0">
              <w:rPr>
                <w:rFonts w:asciiTheme="minorHAnsi" w:eastAsia="Times New Roman" w:hAnsiTheme="minorHAnsi" w:cs="Arial"/>
                <w:b/>
                <w:iCs/>
                <w:sz w:val="18"/>
                <w:szCs w:val="18"/>
              </w:rPr>
              <w:t>201</w:t>
            </w:r>
            <w:r>
              <w:rPr>
                <w:rFonts w:asciiTheme="minorHAnsi" w:eastAsia="Times New Roman" w:hAnsiTheme="minorHAnsi" w:cs="Arial"/>
                <w:b/>
                <w:iCs/>
                <w:sz w:val="18"/>
                <w:szCs w:val="18"/>
              </w:rPr>
              <w:t>6</w:t>
            </w:r>
          </w:p>
        </w:tc>
        <w:tc>
          <w:tcPr>
            <w:tcW w:w="602" w:type="pct"/>
            <w:shd w:val="clear" w:color="auto" w:fill="auto"/>
            <w:vAlign w:val="bottom"/>
          </w:tcPr>
          <w:p w14:paraId="5763B9D6" w14:textId="62D492B1" w:rsidR="00E72653" w:rsidRPr="00883A29" w:rsidRDefault="00E72653" w:rsidP="00E72653">
            <w:pPr>
              <w:tabs>
                <w:tab w:val="right" w:pos="1202"/>
              </w:tabs>
              <w:spacing w:after="0" w:line="301" w:lineRule="exact"/>
              <w:jc w:val="right"/>
              <w:outlineLvl w:val="0"/>
              <w:rPr>
                <w:rFonts w:eastAsia="Times New Roman" w:cs="Arial"/>
                <w:iCs/>
                <w:sz w:val="18"/>
                <w:szCs w:val="18"/>
              </w:rPr>
            </w:pPr>
            <w:r w:rsidRPr="00723A05">
              <w:rPr>
                <w:b/>
                <w:sz w:val="18"/>
                <w:szCs w:val="18"/>
              </w:rPr>
              <w:t>37</w:t>
            </w:r>
            <w:r>
              <w:rPr>
                <w:b/>
                <w:sz w:val="18"/>
                <w:szCs w:val="18"/>
              </w:rPr>
              <w:t>,</w:t>
            </w:r>
            <w:r w:rsidRPr="00723A05">
              <w:rPr>
                <w:b/>
                <w:sz w:val="18"/>
                <w:szCs w:val="18"/>
              </w:rPr>
              <w:t>500</w:t>
            </w:r>
          </w:p>
        </w:tc>
        <w:tc>
          <w:tcPr>
            <w:tcW w:w="602" w:type="pct"/>
            <w:shd w:val="clear" w:color="auto" w:fill="auto"/>
            <w:vAlign w:val="bottom"/>
          </w:tcPr>
          <w:p w14:paraId="27DD2168" w14:textId="100C73BC" w:rsidR="00E72653" w:rsidRPr="00883A29" w:rsidRDefault="00E72653" w:rsidP="00E72653">
            <w:pPr>
              <w:tabs>
                <w:tab w:val="right" w:pos="1202"/>
              </w:tabs>
              <w:spacing w:after="0" w:line="301" w:lineRule="exact"/>
              <w:jc w:val="right"/>
              <w:outlineLvl w:val="0"/>
              <w:rPr>
                <w:rFonts w:eastAsia="Times New Roman" w:cs="Arial"/>
                <w:iCs/>
                <w:sz w:val="18"/>
                <w:szCs w:val="18"/>
              </w:rPr>
            </w:pPr>
            <w:r w:rsidRPr="00723A05">
              <w:rPr>
                <w:b/>
                <w:sz w:val="18"/>
                <w:szCs w:val="18"/>
              </w:rPr>
              <w:t>(148)</w:t>
            </w:r>
          </w:p>
        </w:tc>
        <w:tc>
          <w:tcPr>
            <w:tcW w:w="602" w:type="pct"/>
            <w:shd w:val="clear" w:color="auto" w:fill="auto"/>
            <w:vAlign w:val="bottom"/>
          </w:tcPr>
          <w:p w14:paraId="69576460" w14:textId="2B2B8842" w:rsidR="00E72653" w:rsidRPr="00883A29" w:rsidRDefault="00E72653" w:rsidP="00E72653">
            <w:pPr>
              <w:tabs>
                <w:tab w:val="right" w:pos="1202"/>
              </w:tabs>
              <w:spacing w:after="0" w:line="301" w:lineRule="exact"/>
              <w:jc w:val="right"/>
              <w:outlineLvl w:val="0"/>
              <w:rPr>
                <w:rFonts w:eastAsia="Times New Roman" w:cs="Arial"/>
                <w:iCs/>
                <w:sz w:val="18"/>
                <w:szCs w:val="18"/>
              </w:rPr>
            </w:pPr>
            <w:r w:rsidRPr="00723A05">
              <w:rPr>
                <w:b/>
                <w:sz w:val="18"/>
                <w:szCs w:val="18"/>
              </w:rPr>
              <w:t>1</w:t>
            </w:r>
            <w:r>
              <w:rPr>
                <w:b/>
                <w:sz w:val="18"/>
                <w:szCs w:val="18"/>
              </w:rPr>
              <w:t>,</w:t>
            </w:r>
            <w:r w:rsidRPr="00723A05">
              <w:rPr>
                <w:b/>
                <w:sz w:val="18"/>
                <w:szCs w:val="18"/>
              </w:rPr>
              <w:t>921</w:t>
            </w:r>
          </w:p>
        </w:tc>
        <w:tc>
          <w:tcPr>
            <w:tcW w:w="602" w:type="pct"/>
            <w:shd w:val="clear" w:color="auto" w:fill="auto"/>
            <w:vAlign w:val="bottom"/>
          </w:tcPr>
          <w:p w14:paraId="58B2AFA9" w14:textId="40172152" w:rsidR="00E72653" w:rsidRPr="00883A29" w:rsidRDefault="00E72653" w:rsidP="00E72653">
            <w:pPr>
              <w:tabs>
                <w:tab w:val="right" w:pos="1202"/>
              </w:tabs>
              <w:spacing w:after="0" w:line="301" w:lineRule="exact"/>
              <w:jc w:val="right"/>
              <w:outlineLvl w:val="0"/>
              <w:rPr>
                <w:rFonts w:eastAsia="Times New Roman" w:cs="Arial"/>
                <w:iCs/>
                <w:sz w:val="18"/>
                <w:szCs w:val="18"/>
              </w:rPr>
            </w:pPr>
            <w:r w:rsidRPr="00723A05">
              <w:rPr>
                <w:b/>
                <w:sz w:val="18"/>
                <w:szCs w:val="18"/>
              </w:rPr>
              <w:t>856</w:t>
            </w:r>
          </w:p>
        </w:tc>
        <w:tc>
          <w:tcPr>
            <w:tcW w:w="602" w:type="pct"/>
            <w:shd w:val="clear" w:color="auto" w:fill="auto"/>
            <w:vAlign w:val="bottom"/>
          </w:tcPr>
          <w:p w14:paraId="5A09B8BD" w14:textId="5D8C7484" w:rsidR="00E72653" w:rsidRPr="00883A29" w:rsidRDefault="00E72653" w:rsidP="00E72653">
            <w:pPr>
              <w:tabs>
                <w:tab w:val="right" w:pos="1202"/>
              </w:tabs>
              <w:spacing w:after="0" w:line="301" w:lineRule="exact"/>
              <w:jc w:val="right"/>
              <w:outlineLvl w:val="0"/>
              <w:rPr>
                <w:rFonts w:eastAsia="Times New Roman" w:cs="Arial"/>
                <w:b/>
                <w:iCs/>
                <w:sz w:val="18"/>
                <w:szCs w:val="18"/>
              </w:rPr>
            </w:pPr>
            <w:r w:rsidRPr="00723A05">
              <w:rPr>
                <w:b/>
                <w:sz w:val="18"/>
                <w:szCs w:val="18"/>
              </w:rPr>
              <w:t>40</w:t>
            </w:r>
            <w:r>
              <w:rPr>
                <w:b/>
                <w:sz w:val="18"/>
                <w:szCs w:val="18"/>
              </w:rPr>
              <w:t>,</w:t>
            </w:r>
            <w:r w:rsidRPr="00723A05">
              <w:rPr>
                <w:b/>
                <w:sz w:val="18"/>
                <w:szCs w:val="18"/>
              </w:rPr>
              <w:t>129</w:t>
            </w:r>
          </w:p>
        </w:tc>
        <w:tc>
          <w:tcPr>
            <w:tcW w:w="600" w:type="pct"/>
            <w:shd w:val="clear" w:color="auto" w:fill="auto"/>
            <w:vAlign w:val="bottom"/>
          </w:tcPr>
          <w:p w14:paraId="42011C67" w14:textId="705ECB2F" w:rsidR="00E72653" w:rsidRPr="006B318F" w:rsidRDefault="00E72653" w:rsidP="00E72653">
            <w:pPr>
              <w:tabs>
                <w:tab w:val="right" w:pos="1202"/>
              </w:tabs>
              <w:spacing w:after="0" w:line="301" w:lineRule="exact"/>
              <w:jc w:val="right"/>
              <w:outlineLvl w:val="0"/>
              <w:rPr>
                <w:rFonts w:eastAsia="Times New Roman" w:cs="Arial"/>
                <w:iCs/>
                <w:sz w:val="18"/>
                <w:szCs w:val="18"/>
              </w:rPr>
            </w:pPr>
            <w:r w:rsidRPr="00723A05">
              <w:rPr>
                <w:b/>
                <w:sz w:val="18"/>
                <w:szCs w:val="18"/>
              </w:rPr>
              <w:t>40</w:t>
            </w:r>
            <w:r>
              <w:rPr>
                <w:b/>
                <w:sz w:val="18"/>
                <w:szCs w:val="18"/>
              </w:rPr>
              <w:t>,</w:t>
            </w:r>
            <w:r w:rsidRPr="00723A05">
              <w:rPr>
                <w:b/>
                <w:sz w:val="18"/>
                <w:szCs w:val="18"/>
              </w:rPr>
              <w:t>129</w:t>
            </w:r>
          </w:p>
        </w:tc>
      </w:tr>
      <w:tr w:rsidR="00F3373C" w:rsidRPr="009702B0" w14:paraId="35400CED" w14:textId="77777777" w:rsidTr="005444AA">
        <w:trPr>
          <w:trHeight w:val="132"/>
        </w:trPr>
        <w:tc>
          <w:tcPr>
            <w:tcW w:w="1390" w:type="pct"/>
          </w:tcPr>
          <w:p w14:paraId="2E31887F" w14:textId="77777777" w:rsidR="00F3373C" w:rsidRPr="009702B0" w:rsidRDefault="00F3373C" w:rsidP="00F3373C">
            <w:pPr>
              <w:tabs>
                <w:tab w:val="right" w:pos="1202"/>
              </w:tabs>
              <w:spacing w:after="0" w:line="140" w:lineRule="exact"/>
              <w:outlineLvl w:val="0"/>
              <w:rPr>
                <w:rFonts w:asciiTheme="minorHAnsi" w:eastAsia="Times New Roman" w:hAnsiTheme="minorHAnsi" w:cs="Arial"/>
                <w:iCs/>
                <w:sz w:val="18"/>
                <w:szCs w:val="18"/>
              </w:rPr>
            </w:pPr>
          </w:p>
        </w:tc>
        <w:tc>
          <w:tcPr>
            <w:tcW w:w="602" w:type="pct"/>
            <w:vAlign w:val="bottom"/>
            <w:hideMark/>
          </w:tcPr>
          <w:p w14:paraId="3D4E42C8" w14:textId="072455A4" w:rsidR="00F3373C" w:rsidRPr="009702B0" w:rsidRDefault="00F3373C" w:rsidP="00F3373C">
            <w:pPr>
              <w:keepNext/>
              <w:keepLines/>
              <w:tabs>
                <w:tab w:val="decimal" w:pos="1015"/>
                <w:tab w:val="decimal" w:pos="1202"/>
              </w:tabs>
              <w:spacing w:after="0" w:line="140" w:lineRule="exact"/>
              <w:jc w:val="right"/>
              <w:rPr>
                <w:rFonts w:eastAsia="Times New Roman" w:cs="Arial"/>
                <w:spacing w:val="-2"/>
                <w:position w:val="4"/>
                <w:sz w:val="18"/>
                <w:szCs w:val="18"/>
              </w:rPr>
            </w:pPr>
            <w:r w:rsidRPr="009702B0">
              <w:rPr>
                <w:rFonts w:eastAsia="Times New Roman" w:cs="Arial"/>
                <w:b/>
                <w:position w:val="4"/>
                <w:sz w:val="18"/>
                <w:szCs w:val="18"/>
                <w:u w:val="thick"/>
              </w:rPr>
              <w:t>__________</w:t>
            </w:r>
          </w:p>
        </w:tc>
        <w:tc>
          <w:tcPr>
            <w:tcW w:w="602" w:type="pct"/>
            <w:vAlign w:val="bottom"/>
            <w:hideMark/>
          </w:tcPr>
          <w:p w14:paraId="7E64D9E7" w14:textId="7290F675" w:rsidR="00F3373C" w:rsidRPr="009702B0" w:rsidRDefault="00F3373C" w:rsidP="00F3373C">
            <w:pPr>
              <w:keepNext/>
              <w:keepLines/>
              <w:tabs>
                <w:tab w:val="decimal" w:pos="1015"/>
                <w:tab w:val="decimal" w:pos="1202"/>
              </w:tabs>
              <w:spacing w:after="0" w:line="140" w:lineRule="exact"/>
              <w:jc w:val="right"/>
              <w:rPr>
                <w:rFonts w:eastAsia="Times New Roman" w:cs="Arial"/>
                <w:spacing w:val="-2"/>
                <w:position w:val="4"/>
                <w:sz w:val="18"/>
                <w:szCs w:val="18"/>
              </w:rPr>
            </w:pPr>
            <w:r w:rsidRPr="009702B0">
              <w:rPr>
                <w:rFonts w:eastAsia="Times New Roman" w:cs="Arial"/>
                <w:b/>
                <w:position w:val="4"/>
                <w:sz w:val="18"/>
                <w:szCs w:val="18"/>
                <w:u w:val="thick"/>
              </w:rPr>
              <w:t>__________</w:t>
            </w:r>
          </w:p>
        </w:tc>
        <w:tc>
          <w:tcPr>
            <w:tcW w:w="602" w:type="pct"/>
            <w:vAlign w:val="bottom"/>
            <w:hideMark/>
          </w:tcPr>
          <w:p w14:paraId="7E087EA8" w14:textId="386C17A3" w:rsidR="00F3373C" w:rsidRPr="009702B0" w:rsidRDefault="00F3373C" w:rsidP="00F3373C">
            <w:pPr>
              <w:keepNext/>
              <w:keepLines/>
              <w:tabs>
                <w:tab w:val="decimal" w:pos="1015"/>
                <w:tab w:val="decimal" w:pos="1202"/>
              </w:tabs>
              <w:spacing w:after="0" w:line="140" w:lineRule="exact"/>
              <w:jc w:val="right"/>
              <w:rPr>
                <w:rFonts w:eastAsia="Times New Roman" w:cs="Arial"/>
                <w:spacing w:val="-2"/>
                <w:position w:val="4"/>
                <w:sz w:val="18"/>
                <w:szCs w:val="18"/>
              </w:rPr>
            </w:pPr>
            <w:r w:rsidRPr="009702B0">
              <w:rPr>
                <w:rFonts w:eastAsia="Times New Roman" w:cs="Arial"/>
                <w:b/>
                <w:position w:val="4"/>
                <w:sz w:val="18"/>
                <w:szCs w:val="18"/>
                <w:u w:val="thick"/>
              </w:rPr>
              <w:t>__________</w:t>
            </w:r>
          </w:p>
        </w:tc>
        <w:tc>
          <w:tcPr>
            <w:tcW w:w="602" w:type="pct"/>
            <w:vAlign w:val="bottom"/>
            <w:hideMark/>
          </w:tcPr>
          <w:p w14:paraId="26EFEA18" w14:textId="3B14943D" w:rsidR="00F3373C" w:rsidRPr="009702B0" w:rsidRDefault="00F3373C" w:rsidP="00F3373C">
            <w:pPr>
              <w:keepNext/>
              <w:keepLines/>
              <w:tabs>
                <w:tab w:val="decimal" w:pos="1015"/>
                <w:tab w:val="decimal" w:pos="1202"/>
              </w:tabs>
              <w:spacing w:after="0" w:line="140" w:lineRule="exact"/>
              <w:jc w:val="right"/>
              <w:rPr>
                <w:rFonts w:eastAsia="Times New Roman" w:cs="Arial"/>
                <w:spacing w:val="-2"/>
                <w:position w:val="4"/>
                <w:sz w:val="18"/>
                <w:szCs w:val="18"/>
              </w:rPr>
            </w:pPr>
            <w:r w:rsidRPr="009702B0">
              <w:rPr>
                <w:rFonts w:eastAsia="Times New Roman" w:cs="Arial"/>
                <w:b/>
                <w:position w:val="4"/>
                <w:sz w:val="18"/>
                <w:szCs w:val="18"/>
                <w:u w:val="thick"/>
              </w:rPr>
              <w:t>__</w:t>
            </w:r>
            <w:r>
              <w:rPr>
                <w:rFonts w:eastAsia="Times New Roman" w:cs="Arial"/>
                <w:b/>
                <w:position w:val="4"/>
                <w:sz w:val="18"/>
                <w:szCs w:val="18"/>
                <w:u w:val="thick"/>
              </w:rPr>
              <w:t>_</w:t>
            </w:r>
            <w:r w:rsidRPr="009702B0">
              <w:rPr>
                <w:rFonts w:eastAsia="Times New Roman" w:cs="Arial"/>
                <w:b/>
                <w:position w:val="4"/>
                <w:sz w:val="18"/>
                <w:szCs w:val="18"/>
                <w:u w:val="thick"/>
              </w:rPr>
              <w:t>_______</w:t>
            </w:r>
          </w:p>
        </w:tc>
        <w:tc>
          <w:tcPr>
            <w:tcW w:w="602" w:type="pct"/>
            <w:vAlign w:val="bottom"/>
            <w:hideMark/>
          </w:tcPr>
          <w:p w14:paraId="5CF46652" w14:textId="30D4CFB6" w:rsidR="00F3373C" w:rsidRPr="009702B0" w:rsidRDefault="00F3373C" w:rsidP="00F3373C">
            <w:pPr>
              <w:keepNext/>
              <w:keepLines/>
              <w:tabs>
                <w:tab w:val="decimal" w:pos="1015"/>
                <w:tab w:val="decimal" w:pos="1202"/>
              </w:tabs>
              <w:spacing w:after="0" w:line="140" w:lineRule="exact"/>
              <w:jc w:val="right"/>
              <w:rPr>
                <w:rFonts w:eastAsia="Times New Roman" w:cs="Arial"/>
                <w:spacing w:val="-2"/>
                <w:position w:val="4"/>
                <w:sz w:val="18"/>
                <w:szCs w:val="18"/>
              </w:rPr>
            </w:pPr>
            <w:r w:rsidRPr="009702B0">
              <w:rPr>
                <w:rFonts w:eastAsia="Times New Roman" w:cs="Arial"/>
                <w:b/>
                <w:position w:val="4"/>
                <w:sz w:val="18"/>
                <w:szCs w:val="18"/>
                <w:u w:val="thick"/>
              </w:rPr>
              <w:t>___</w:t>
            </w:r>
            <w:r>
              <w:rPr>
                <w:rFonts w:eastAsia="Times New Roman" w:cs="Arial"/>
                <w:b/>
                <w:position w:val="4"/>
                <w:sz w:val="18"/>
                <w:szCs w:val="18"/>
                <w:u w:val="thick"/>
              </w:rPr>
              <w:t>_</w:t>
            </w:r>
            <w:r w:rsidRPr="009702B0">
              <w:rPr>
                <w:rFonts w:eastAsia="Times New Roman" w:cs="Arial"/>
                <w:b/>
                <w:position w:val="4"/>
                <w:sz w:val="18"/>
                <w:szCs w:val="18"/>
                <w:u w:val="thick"/>
              </w:rPr>
              <w:t>______</w:t>
            </w:r>
          </w:p>
        </w:tc>
        <w:tc>
          <w:tcPr>
            <w:tcW w:w="600" w:type="pct"/>
            <w:vAlign w:val="bottom"/>
            <w:hideMark/>
          </w:tcPr>
          <w:p w14:paraId="27063C32" w14:textId="03399752" w:rsidR="00F3373C" w:rsidRPr="009702B0" w:rsidRDefault="00F3373C" w:rsidP="00F3373C">
            <w:pPr>
              <w:keepNext/>
              <w:keepLines/>
              <w:tabs>
                <w:tab w:val="decimal" w:pos="1015"/>
                <w:tab w:val="decimal" w:pos="1202"/>
              </w:tabs>
              <w:spacing w:after="0" w:line="140" w:lineRule="exact"/>
              <w:jc w:val="right"/>
              <w:rPr>
                <w:rFonts w:eastAsia="Times New Roman" w:cs="Arial"/>
                <w:spacing w:val="-2"/>
                <w:position w:val="4"/>
                <w:sz w:val="18"/>
                <w:szCs w:val="18"/>
              </w:rPr>
            </w:pPr>
            <w:r>
              <w:rPr>
                <w:rFonts w:eastAsia="Times New Roman" w:cs="Arial"/>
                <w:b/>
                <w:position w:val="4"/>
                <w:sz w:val="18"/>
                <w:szCs w:val="18"/>
                <w:u w:val="thick"/>
              </w:rPr>
              <w:t>___</w:t>
            </w:r>
            <w:r w:rsidRPr="009702B0">
              <w:rPr>
                <w:rFonts w:eastAsia="Times New Roman" w:cs="Arial"/>
                <w:b/>
                <w:position w:val="4"/>
                <w:sz w:val="18"/>
                <w:szCs w:val="18"/>
                <w:u w:val="thick"/>
              </w:rPr>
              <w:t>_______</w:t>
            </w:r>
          </w:p>
        </w:tc>
      </w:tr>
      <w:tr w:rsidR="009702B0" w:rsidRPr="009702B0" w14:paraId="2059CEA5" w14:textId="77777777" w:rsidTr="005444AA">
        <w:trPr>
          <w:trHeight w:val="76"/>
        </w:trPr>
        <w:tc>
          <w:tcPr>
            <w:tcW w:w="1390" w:type="pct"/>
            <w:vAlign w:val="bottom"/>
          </w:tcPr>
          <w:p w14:paraId="39FDD6EA" w14:textId="77777777" w:rsidR="009702B0" w:rsidRPr="009702B0" w:rsidRDefault="009702B0" w:rsidP="009702B0">
            <w:pPr>
              <w:tabs>
                <w:tab w:val="right" w:pos="1202"/>
              </w:tabs>
              <w:spacing w:after="0" w:line="140" w:lineRule="exact"/>
              <w:outlineLvl w:val="0"/>
              <w:rPr>
                <w:rFonts w:asciiTheme="minorHAnsi" w:eastAsia="Times New Roman" w:hAnsiTheme="minorHAnsi" w:cs="Arial"/>
                <w:b/>
                <w:iCs/>
                <w:sz w:val="18"/>
                <w:szCs w:val="18"/>
              </w:rPr>
            </w:pPr>
          </w:p>
        </w:tc>
        <w:tc>
          <w:tcPr>
            <w:tcW w:w="602" w:type="pct"/>
            <w:vAlign w:val="bottom"/>
          </w:tcPr>
          <w:p w14:paraId="5A2AA58C" w14:textId="77777777" w:rsidR="009702B0" w:rsidRPr="009702B0" w:rsidRDefault="009702B0" w:rsidP="009702B0">
            <w:pPr>
              <w:keepNext/>
              <w:keepLines/>
              <w:tabs>
                <w:tab w:val="decimal" w:pos="1202"/>
              </w:tabs>
              <w:spacing w:after="0" w:line="140" w:lineRule="exact"/>
              <w:jc w:val="right"/>
              <w:rPr>
                <w:rFonts w:asciiTheme="minorHAnsi" w:eastAsia="Times New Roman" w:hAnsiTheme="minorHAnsi" w:cs="Arial"/>
                <w:b/>
                <w:position w:val="4"/>
                <w:sz w:val="18"/>
                <w:szCs w:val="18"/>
                <w:u w:val="thick"/>
              </w:rPr>
            </w:pPr>
          </w:p>
        </w:tc>
        <w:tc>
          <w:tcPr>
            <w:tcW w:w="602" w:type="pct"/>
            <w:vAlign w:val="bottom"/>
          </w:tcPr>
          <w:p w14:paraId="311DE432" w14:textId="77777777" w:rsidR="009702B0" w:rsidRPr="009702B0" w:rsidRDefault="009702B0" w:rsidP="009702B0">
            <w:pPr>
              <w:keepNext/>
              <w:keepLines/>
              <w:tabs>
                <w:tab w:val="decimal" w:pos="1202"/>
              </w:tabs>
              <w:spacing w:after="0" w:line="140" w:lineRule="exact"/>
              <w:jc w:val="right"/>
              <w:rPr>
                <w:rFonts w:asciiTheme="minorHAnsi" w:eastAsia="Times New Roman" w:hAnsiTheme="minorHAnsi" w:cs="Arial"/>
                <w:b/>
                <w:position w:val="4"/>
                <w:sz w:val="18"/>
                <w:szCs w:val="18"/>
                <w:u w:val="thick"/>
              </w:rPr>
            </w:pPr>
          </w:p>
        </w:tc>
        <w:tc>
          <w:tcPr>
            <w:tcW w:w="602" w:type="pct"/>
            <w:vAlign w:val="bottom"/>
          </w:tcPr>
          <w:p w14:paraId="62C82110" w14:textId="77777777" w:rsidR="009702B0" w:rsidRPr="009702B0" w:rsidRDefault="009702B0" w:rsidP="009702B0">
            <w:pPr>
              <w:keepNext/>
              <w:keepLines/>
              <w:tabs>
                <w:tab w:val="decimal" w:pos="1202"/>
              </w:tabs>
              <w:spacing w:after="0" w:line="140" w:lineRule="exact"/>
              <w:jc w:val="right"/>
              <w:rPr>
                <w:rFonts w:asciiTheme="minorHAnsi" w:eastAsia="Times New Roman" w:hAnsiTheme="minorHAnsi" w:cs="Arial"/>
                <w:b/>
                <w:position w:val="4"/>
                <w:sz w:val="18"/>
                <w:szCs w:val="18"/>
                <w:u w:val="thick"/>
              </w:rPr>
            </w:pPr>
          </w:p>
        </w:tc>
        <w:tc>
          <w:tcPr>
            <w:tcW w:w="602" w:type="pct"/>
            <w:vAlign w:val="bottom"/>
          </w:tcPr>
          <w:p w14:paraId="32A946EB" w14:textId="77777777" w:rsidR="009702B0" w:rsidRPr="009702B0" w:rsidRDefault="009702B0" w:rsidP="009702B0">
            <w:pPr>
              <w:keepNext/>
              <w:keepLines/>
              <w:tabs>
                <w:tab w:val="decimal" w:pos="1202"/>
              </w:tabs>
              <w:spacing w:after="0" w:line="140" w:lineRule="exact"/>
              <w:jc w:val="right"/>
              <w:rPr>
                <w:rFonts w:asciiTheme="minorHAnsi" w:eastAsia="Times New Roman" w:hAnsiTheme="minorHAnsi" w:cs="Arial"/>
                <w:b/>
                <w:position w:val="4"/>
                <w:sz w:val="18"/>
                <w:szCs w:val="18"/>
                <w:u w:val="thick"/>
              </w:rPr>
            </w:pPr>
          </w:p>
        </w:tc>
        <w:tc>
          <w:tcPr>
            <w:tcW w:w="602" w:type="pct"/>
            <w:vAlign w:val="bottom"/>
          </w:tcPr>
          <w:p w14:paraId="231272A0" w14:textId="77777777" w:rsidR="009702B0" w:rsidRPr="009702B0" w:rsidRDefault="009702B0" w:rsidP="009702B0">
            <w:pPr>
              <w:keepNext/>
              <w:keepLines/>
              <w:tabs>
                <w:tab w:val="decimal" w:pos="1202"/>
              </w:tabs>
              <w:spacing w:after="0" w:line="140" w:lineRule="exact"/>
              <w:jc w:val="right"/>
              <w:rPr>
                <w:rFonts w:asciiTheme="minorHAnsi" w:eastAsia="Times New Roman" w:hAnsiTheme="minorHAnsi" w:cs="Arial"/>
                <w:b/>
                <w:position w:val="4"/>
                <w:sz w:val="18"/>
                <w:szCs w:val="18"/>
                <w:u w:val="thick"/>
              </w:rPr>
            </w:pPr>
          </w:p>
        </w:tc>
        <w:tc>
          <w:tcPr>
            <w:tcW w:w="600" w:type="pct"/>
            <w:vAlign w:val="bottom"/>
          </w:tcPr>
          <w:p w14:paraId="15C42205" w14:textId="77777777" w:rsidR="009702B0" w:rsidRPr="009702B0" w:rsidRDefault="009702B0" w:rsidP="009702B0">
            <w:pPr>
              <w:keepNext/>
              <w:keepLines/>
              <w:tabs>
                <w:tab w:val="decimal" w:pos="1202"/>
              </w:tabs>
              <w:spacing w:after="0" w:line="140" w:lineRule="exact"/>
              <w:jc w:val="right"/>
              <w:rPr>
                <w:rFonts w:asciiTheme="minorHAnsi" w:eastAsia="Times New Roman" w:hAnsiTheme="minorHAnsi" w:cs="Arial"/>
                <w:b/>
                <w:position w:val="4"/>
                <w:sz w:val="18"/>
                <w:szCs w:val="18"/>
                <w:u w:val="thick"/>
              </w:rPr>
            </w:pPr>
          </w:p>
        </w:tc>
      </w:tr>
      <w:tr w:rsidR="001004B1" w:rsidRPr="009702B0" w14:paraId="2028B358" w14:textId="77777777" w:rsidTr="005444AA">
        <w:trPr>
          <w:trHeight w:val="346"/>
        </w:trPr>
        <w:tc>
          <w:tcPr>
            <w:tcW w:w="1390" w:type="pct"/>
            <w:vAlign w:val="bottom"/>
          </w:tcPr>
          <w:p w14:paraId="30594597" w14:textId="77777777" w:rsidR="001004B1" w:rsidRPr="009702B0" w:rsidRDefault="001004B1" w:rsidP="001004B1">
            <w:pPr>
              <w:tabs>
                <w:tab w:val="right" w:pos="1202"/>
              </w:tabs>
              <w:spacing w:after="0" w:line="240" w:lineRule="exact"/>
              <w:outlineLvl w:val="0"/>
              <w:rPr>
                <w:rFonts w:asciiTheme="minorHAnsi" w:eastAsia="Times New Roman" w:hAnsiTheme="minorHAnsi" w:cs="Arial"/>
                <w:b/>
                <w:iCs/>
                <w:sz w:val="18"/>
                <w:szCs w:val="18"/>
              </w:rPr>
            </w:pPr>
            <w:r w:rsidRPr="009702B0">
              <w:rPr>
                <w:rFonts w:asciiTheme="minorHAnsi" w:eastAsia="Times New Roman" w:hAnsiTheme="minorHAnsi" w:cs="Arial"/>
                <w:b/>
                <w:iCs/>
                <w:sz w:val="18"/>
                <w:szCs w:val="18"/>
              </w:rPr>
              <w:t>Balance as of  1 January 201</w:t>
            </w:r>
            <w:r w:rsidR="005B5DEA">
              <w:rPr>
                <w:rFonts w:asciiTheme="minorHAnsi" w:eastAsia="Times New Roman" w:hAnsiTheme="minorHAnsi" w:cs="Arial"/>
                <w:b/>
                <w:iCs/>
                <w:sz w:val="18"/>
                <w:szCs w:val="18"/>
              </w:rPr>
              <w:t>7</w:t>
            </w:r>
          </w:p>
        </w:tc>
        <w:tc>
          <w:tcPr>
            <w:tcW w:w="602" w:type="pct"/>
            <w:tcBorders>
              <w:top w:val="nil"/>
              <w:left w:val="nil"/>
              <w:bottom w:val="nil"/>
              <w:right w:val="nil"/>
            </w:tcBorders>
            <w:shd w:val="clear" w:color="auto" w:fill="auto"/>
            <w:vAlign w:val="bottom"/>
          </w:tcPr>
          <w:p w14:paraId="6BCF8DCA" w14:textId="77777777" w:rsidR="001004B1" w:rsidRPr="00883A29" w:rsidRDefault="001004B1" w:rsidP="001004B1">
            <w:pPr>
              <w:tabs>
                <w:tab w:val="right" w:pos="1202"/>
              </w:tabs>
              <w:spacing w:after="0" w:line="301" w:lineRule="exact"/>
              <w:jc w:val="right"/>
              <w:outlineLvl w:val="0"/>
              <w:rPr>
                <w:rFonts w:eastAsia="Times New Roman" w:cs="Arial"/>
                <w:b/>
                <w:iCs/>
                <w:sz w:val="18"/>
                <w:szCs w:val="18"/>
              </w:rPr>
            </w:pPr>
            <w:r w:rsidRPr="00D261CA">
              <w:rPr>
                <w:rFonts w:cs="Arial"/>
                <w:b/>
                <w:bCs/>
                <w:sz w:val="19"/>
                <w:szCs w:val="19"/>
              </w:rPr>
              <w:t>37</w:t>
            </w:r>
            <w:r w:rsidR="005B5DEA">
              <w:rPr>
                <w:rFonts w:cs="Arial"/>
                <w:b/>
                <w:bCs/>
                <w:sz w:val="19"/>
                <w:szCs w:val="19"/>
              </w:rPr>
              <w:t>,</w:t>
            </w:r>
            <w:r w:rsidRPr="00D261CA">
              <w:rPr>
                <w:rFonts w:cs="Arial"/>
                <w:b/>
                <w:bCs/>
                <w:sz w:val="19"/>
                <w:szCs w:val="19"/>
              </w:rPr>
              <w:t>500</w:t>
            </w:r>
          </w:p>
        </w:tc>
        <w:tc>
          <w:tcPr>
            <w:tcW w:w="602" w:type="pct"/>
            <w:tcBorders>
              <w:top w:val="nil"/>
              <w:left w:val="nil"/>
              <w:bottom w:val="nil"/>
              <w:right w:val="nil"/>
            </w:tcBorders>
            <w:shd w:val="clear" w:color="auto" w:fill="auto"/>
            <w:vAlign w:val="bottom"/>
          </w:tcPr>
          <w:p w14:paraId="147F79B8" w14:textId="77777777" w:rsidR="001004B1" w:rsidRPr="00883A29" w:rsidRDefault="001004B1" w:rsidP="001004B1">
            <w:pPr>
              <w:tabs>
                <w:tab w:val="right" w:pos="1202"/>
              </w:tabs>
              <w:spacing w:after="0" w:line="301" w:lineRule="exact"/>
              <w:jc w:val="right"/>
              <w:outlineLvl w:val="0"/>
              <w:rPr>
                <w:rFonts w:eastAsia="Times New Roman" w:cs="Arial"/>
                <w:b/>
                <w:iCs/>
                <w:sz w:val="18"/>
                <w:szCs w:val="18"/>
              </w:rPr>
            </w:pPr>
            <w:r>
              <w:rPr>
                <w:rFonts w:cs="Arial"/>
                <w:b/>
                <w:bCs/>
                <w:sz w:val="19"/>
                <w:szCs w:val="19"/>
              </w:rPr>
              <w:t>(</w:t>
            </w:r>
            <w:r w:rsidRPr="00D261CA">
              <w:rPr>
                <w:rFonts w:cs="Arial"/>
                <w:b/>
                <w:bCs/>
                <w:sz w:val="19"/>
                <w:szCs w:val="19"/>
              </w:rPr>
              <w:t>148</w:t>
            </w:r>
            <w:r>
              <w:rPr>
                <w:rFonts w:cs="Arial"/>
                <w:b/>
                <w:bCs/>
                <w:sz w:val="19"/>
                <w:szCs w:val="19"/>
              </w:rPr>
              <w:t>)</w:t>
            </w:r>
          </w:p>
        </w:tc>
        <w:tc>
          <w:tcPr>
            <w:tcW w:w="602" w:type="pct"/>
            <w:tcBorders>
              <w:top w:val="nil"/>
              <w:left w:val="nil"/>
              <w:bottom w:val="nil"/>
              <w:right w:val="nil"/>
            </w:tcBorders>
            <w:shd w:val="clear" w:color="auto" w:fill="auto"/>
            <w:vAlign w:val="bottom"/>
          </w:tcPr>
          <w:p w14:paraId="796D3AB8" w14:textId="77777777" w:rsidR="001004B1" w:rsidRPr="00883A29" w:rsidRDefault="001004B1" w:rsidP="001004B1">
            <w:pPr>
              <w:tabs>
                <w:tab w:val="right" w:pos="1202"/>
              </w:tabs>
              <w:spacing w:after="0" w:line="301" w:lineRule="exact"/>
              <w:jc w:val="right"/>
              <w:outlineLvl w:val="0"/>
              <w:rPr>
                <w:rFonts w:eastAsia="Times New Roman" w:cs="Arial"/>
                <w:b/>
                <w:iCs/>
                <w:sz w:val="18"/>
                <w:szCs w:val="18"/>
              </w:rPr>
            </w:pPr>
            <w:r w:rsidRPr="00D261CA">
              <w:rPr>
                <w:rFonts w:cs="Arial"/>
                <w:b/>
                <w:bCs/>
                <w:sz w:val="19"/>
                <w:szCs w:val="19"/>
              </w:rPr>
              <w:t>2</w:t>
            </w:r>
            <w:r w:rsidR="005B5DEA">
              <w:rPr>
                <w:rFonts w:cs="Arial"/>
                <w:b/>
                <w:bCs/>
                <w:sz w:val="19"/>
                <w:szCs w:val="19"/>
              </w:rPr>
              <w:t>,</w:t>
            </w:r>
            <w:r w:rsidRPr="00D261CA">
              <w:rPr>
                <w:rFonts w:cs="Arial"/>
                <w:b/>
                <w:bCs/>
                <w:sz w:val="19"/>
                <w:szCs w:val="19"/>
              </w:rPr>
              <w:t>188</w:t>
            </w:r>
          </w:p>
        </w:tc>
        <w:tc>
          <w:tcPr>
            <w:tcW w:w="602" w:type="pct"/>
            <w:tcBorders>
              <w:top w:val="nil"/>
              <w:left w:val="nil"/>
              <w:bottom w:val="nil"/>
              <w:right w:val="nil"/>
            </w:tcBorders>
            <w:shd w:val="clear" w:color="auto" w:fill="auto"/>
            <w:vAlign w:val="bottom"/>
          </w:tcPr>
          <w:p w14:paraId="6E728B7E" w14:textId="77777777" w:rsidR="001004B1" w:rsidRPr="00883A29" w:rsidRDefault="001004B1" w:rsidP="001004B1">
            <w:pPr>
              <w:tabs>
                <w:tab w:val="right" w:pos="1202"/>
              </w:tabs>
              <w:spacing w:after="0" w:line="301" w:lineRule="exact"/>
              <w:jc w:val="right"/>
              <w:outlineLvl w:val="0"/>
              <w:rPr>
                <w:rFonts w:eastAsia="Times New Roman" w:cs="Arial"/>
                <w:b/>
                <w:iCs/>
                <w:sz w:val="18"/>
                <w:szCs w:val="18"/>
              </w:rPr>
            </w:pPr>
            <w:r w:rsidRPr="00D261CA">
              <w:rPr>
                <w:rFonts w:cs="Arial"/>
                <w:b/>
                <w:bCs/>
                <w:sz w:val="19"/>
                <w:szCs w:val="19"/>
              </w:rPr>
              <w:t>1</w:t>
            </w:r>
            <w:r w:rsidR="005B5DEA">
              <w:rPr>
                <w:rFonts w:cs="Arial"/>
                <w:b/>
                <w:bCs/>
                <w:sz w:val="19"/>
                <w:szCs w:val="19"/>
              </w:rPr>
              <w:t>,</w:t>
            </w:r>
            <w:r w:rsidRPr="00D261CA">
              <w:rPr>
                <w:rFonts w:cs="Arial"/>
                <w:b/>
                <w:bCs/>
                <w:sz w:val="19"/>
                <w:szCs w:val="19"/>
              </w:rPr>
              <w:t>315</w:t>
            </w:r>
          </w:p>
        </w:tc>
        <w:tc>
          <w:tcPr>
            <w:tcW w:w="602" w:type="pct"/>
            <w:tcBorders>
              <w:top w:val="nil"/>
              <w:left w:val="nil"/>
              <w:bottom w:val="nil"/>
              <w:right w:val="nil"/>
            </w:tcBorders>
            <w:shd w:val="clear" w:color="auto" w:fill="auto"/>
            <w:vAlign w:val="bottom"/>
          </w:tcPr>
          <w:p w14:paraId="3B5E5B48" w14:textId="77777777" w:rsidR="001004B1" w:rsidRPr="00883A29" w:rsidRDefault="001004B1" w:rsidP="001004B1">
            <w:pPr>
              <w:tabs>
                <w:tab w:val="right" w:pos="1202"/>
              </w:tabs>
              <w:spacing w:after="0" w:line="301" w:lineRule="exact"/>
              <w:jc w:val="right"/>
              <w:outlineLvl w:val="0"/>
              <w:rPr>
                <w:rFonts w:eastAsia="Times New Roman" w:cs="Arial"/>
                <w:b/>
                <w:iCs/>
                <w:sz w:val="18"/>
                <w:szCs w:val="18"/>
              </w:rPr>
            </w:pPr>
            <w:r w:rsidRPr="00D261CA">
              <w:rPr>
                <w:rFonts w:cs="Arial"/>
                <w:b/>
                <w:bCs/>
                <w:sz w:val="19"/>
                <w:szCs w:val="19"/>
              </w:rPr>
              <w:t>40</w:t>
            </w:r>
            <w:r w:rsidR="005B5DEA">
              <w:rPr>
                <w:rFonts w:cs="Arial"/>
                <w:b/>
                <w:bCs/>
                <w:sz w:val="19"/>
                <w:szCs w:val="19"/>
              </w:rPr>
              <w:t>,</w:t>
            </w:r>
            <w:r w:rsidRPr="00D261CA">
              <w:rPr>
                <w:rFonts w:cs="Arial"/>
                <w:b/>
                <w:bCs/>
                <w:sz w:val="19"/>
                <w:szCs w:val="19"/>
              </w:rPr>
              <w:t>855</w:t>
            </w:r>
          </w:p>
        </w:tc>
        <w:tc>
          <w:tcPr>
            <w:tcW w:w="600" w:type="pct"/>
            <w:tcBorders>
              <w:top w:val="nil"/>
              <w:left w:val="nil"/>
              <w:bottom w:val="nil"/>
              <w:right w:val="nil"/>
            </w:tcBorders>
            <w:shd w:val="clear" w:color="auto" w:fill="auto"/>
            <w:vAlign w:val="bottom"/>
          </w:tcPr>
          <w:p w14:paraId="2DE0B266" w14:textId="77777777" w:rsidR="001004B1" w:rsidRPr="00883A29" w:rsidRDefault="001004B1" w:rsidP="001004B1">
            <w:pPr>
              <w:tabs>
                <w:tab w:val="right" w:pos="1202"/>
              </w:tabs>
              <w:spacing w:after="0" w:line="301" w:lineRule="exact"/>
              <w:jc w:val="right"/>
              <w:outlineLvl w:val="0"/>
              <w:rPr>
                <w:rFonts w:eastAsia="Times New Roman" w:cs="Arial"/>
                <w:b/>
                <w:iCs/>
                <w:sz w:val="18"/>
                <w:szCs w:val="18"/>
              </w:rPr>
            </w:pPr>
            <w:r w:rsidRPr="00D261CA">
              <w:rPr>
                <w:rFonts w:cs="Arial"/>
                <w:b/>
                <w:bCs/>
                <w:sz w:val="19"/>
                <w:szCs w:val="19"/>
              </w:rPr>
              <w:t>40</w:t>
            </w:r>
            <w:r w:rsidR="005B5DEA">
              <w:rPr>
                <w:rFonts w:cs="Arial"/>
                <w:b/>
                <w:bCs/>
                <w:sz w:val="19"/>
                <w:szCs w:val="19"/>
              </w:rPr>
              <w:t>,</w:t>
            </w:r>
            <w:r w:rsidRPr="00D261CA">
              <w:rPr>
                <w:rFonts w:cs="Arial"/>
                <w:b/>
                <w:bCs/>
                <w:sz w:val="19"/>
                <w:szCs w:val="19"/>
              </w:rPr>
              <w:t>855</w:t>
            </w:r>
          </w:p>
        </w:tc>
      </w:tr>
      <w:tr w:rsidR="009702B0" w:rsidRPr="009702B0" w14:paraId="05BA2947" w14:textId="77777777" w:rsidTr="005444AA">
        <w:trPr>
          <w:trHeight w:hRule="exact" w:val="170"/>
        </w:trPr>
        <w:tc>
          <w:tcPr>
            <w:tcW w:w="1390" w:type="pct"/>
            <w:vAlign w:val="bottom"/>
          </w:tcPr>
          <w:p w14:paraId="54750AF6" w14:textId="77777777" w:rsidR="009702B0" w:rsidRPr="009702B0" w:rsidRDefault="009702B0" w:rsidP="009702B0">
            <w:pPr>
              <w:tabs>
                <w:tab w:val="right" w:pos="1202"/>
              </w:tabs>
              <w:spacing w:after="0" w:line="140" w:lineRule="exact"/>
              <w:outlineLvl w:val="0"/>
              <w:rPr>
                <w:rFonts w:asciiTheme="minorHAnsi" w:eastAsia="Times New Roman" w:hAnsiTheme="minorHAnsi" w:cs="Arial"/>
                <w:b/>
                <w:iCs/>
                <w:sz w:val="18"/>
                <w:szCs w:val="18"/>
              </w:rPr>
            </w:pPr>
          </w:p>
        </w:tc>
        <w:tc>
          <w:tcPr>
            <w:tcW w:w="602" w:type="pct"/>
            <w:vAlign w:val="bottom"/>
          </w:tcPr>
          <w:p w14:paraId="293270F6" w14:textId="77777777" w:rsidR="009702B0" w:rsidRPr="009702B0" w:rsidRDefault="009702B0" w:rsidP="009702B0">
            <w:pPr>
              <w:keepNext/>
              <w:keepLines/>
              <w:tabs>
                <w:tab w:val="decimal" w:pos="1202"/>
              </w:tabs>
              <w:spacing w:after="0" w:line="140" w:lineRule="exact"/>
              <w:jc w:val="right"/>
              <w:rPr>
                <w:rFonts w:eastAsia="Times New Roman" w:cs="Arial"/>
                <w:b/>
                <w:iCs/>
                <w:sz w:val="18"/>
                <w:szCs w:val="18"/>
              </w:rPr>
            </w:pPr>
            <w:r w:rsidRPr="009702B0">
              <w:rPr>
                <w:rFonts w:asciiTheme="minorHAnsi" w:eastAsia="Times New Roman" w:hAnsiTheme="minorHAnsi" w:cs="Arial"/>
                <w:b/>
                <w:position w:val="4"/>
                <w:sz w:val="18"/>
                <w:szCs w:val="18"/>
                <w:u w:val="thick"/>
              </w:rPr>
              <w:t>__________</w:t>
            </w:r>
          </w:p>
        </w:tc>
        <w:tc>
          <w:tcPr>
            <w:tcW w:w="602" w:type="pct"/>
            <w:vAlign w:val="bottom"/>
          </w:tcPr>
          <w:p w14:paraId="0F244EEF" w14:textId="77777777" w:rsidR="009702B0" w:rsidRPr="009702B0" w:rsidRDefault="009702B0" w:rsidP="009702B0">
            <w:pPr>
              <w:keepNext/>
              <w:keepLines/>
              <w:tabs>
                <w:tab w:val="decimal" w:pos="1202"/>
              </w:tabs>
              <w:spacing w:after="0" w:line="140" w:lineRule="exact"/>
              <w:jc w:val="right"/>
              <w:rPr>
                <w:rFonts w:eastAsia="Times New Roman" w:cs="Arial"/>
                <w:b/>
                <w:iCs/>
                <w:sz w:val="18"/>
                <w:szCs w:val="18"/>
              </w:rPr>
            </w:pPr>
            <w:r w:rsidRPr="009702B0">
              <w:rPr>
                <w:rFonts w:asciiTheme="minorHAnsi" w:eastAsia="Times New Roman" w:hAnsiTheme="minorHAnsi" w:cs="Arial"/>
                <w:b/>
                <w:position w:val="4"/>
                <w:sz w:val="18"/>
                <w:szCs w:val="18"/>
                <w:u w:val="thick"/>
              </w:rPr>
              <w:t>__________</w:t>
            </w:r>
          </w:p>
        </w:tc>
        <w:tc>
          <w:tcPr>
            <w:tcW w:w="602" w:type="pct"/>
            <w:vAlign w:val="bottom"/>
          </w:tcPr>
          <w:p w14:paraId="7EF4D7D3" w14:textId="77777777" w:rsidR="009702B0" w:rsidRPr="009702B0" w:rsidRDefault="009702B0" w:rsidP="009702B0">
            <w:pPr>
              <w:keepNext/>
              <w:keepLines/>
              <w:tabs>
                <w:tab w:val="decimal" w:pos="1202"/>
              </w:tabs>
              <w:spacing w:after="0" w:line="140" w:lineRule="exact"/>
              <w:jc w:val="right"/>
              <w:rPr>
                <w:rFonts w:eastAsia="Times New Roman" w:cs="Arial"/>
                <w:b/>
                <w:iCs/>
                <w:sz w:val="18"/>
                <w:szCs w:val="18"/>
              </w:rPr>
            </w:pPr>
            <w:r w:rsidRPr="009702B0">
              <w:rPr>
                <w:rFonts w:asciiTheme="minorHAnsi" w:eastAsia="Times New Roman" w:hAnsiTheme="minorHAnsi" w:cs="Arial"/>
                <w:b/>
                <w:position w:val="4"/>
                <w:sz w:val="18"/>
                <w:szCs w:val="18"/>
                <w:u w:val="thick"/>
              </w:rPr>
              <w:t>__________</w:t>
            </w:r>
          </w:p>
        </w:tc>
        <w:tc>
          <w:tcPr>
            <w:tcW w:w="602" w:type="pct"/>
            <w:vAlign w:val="bottom"/>
          </w:tcPr>
          <w:p w14:paraId="1208B1EA" w14:textId="77777777" w:rsidR="009702B0" w:rsidRPr="009702B0" w:rsidRDefault="009702B0" w:rsidP="009702B0">
            <w:pPr>
              <w:keepNext/>
              <w:keepLines/>
              <w:tabs>
                <w:tab w:val="decimal" w:pos="1202"/>
              </w:tabs>
              <w:spacing w:after="0" w:line="140" w:lineRule="exact"/>
              <w:jc w:val="right"/>
              <w:rPr>
                <w:rFonts w:eastAsia="Times New Roman" w:cs="Arial"/>
                <w:b/>
                <w:iCs/>
                <w:sz w:val="18"/>
                <w:szCs w:val="18"/>
              </w:rPr>
            </w:pPr>
            <w:r w:rsidRPr="009702B0">
              <w:rPr>
                <w:rFonts w:asciiTheme="minorHAnsi" w:eastAsia="Times New Roman" w:hAnsiTheme="minorHAnsi" w:cs="Arial"/>
                <w:b/>
                <w:position w:val="4"/>
                <w:sz w:val="18"/>
                <w:szCs w:val="18"/>
                <w:u w:val="thick"/>
              </w:rPr>
              <w:t>__________</w:t>
            </w:r>
          </w:p>
        </w:tc>
        <w:tc>
          <w:tcPr>
            <w:tcW w:w="602" w:type="pct"/>
            <w:vAlign w:val="bottom"/>
          </w:tcPr>
          <w:p w14:paraId="729E2603" w14:textId="77777777" w:rsidR="009702B0" w:rsidRPr="009702B0" w:rsidRDefault="009702B0" w:rsidP="009702B0">
            <w:pPr>
              <w:keepNext/>
              <w:keepLines/>
              <w:tabs>
                <w:tab w:val="decimal" w:pos="1202"/>
              </w:tabs>
              <w:spacing w:after="0" w:line="140" w:lineRule="exact"/>
              <w:jc w:val="right"/>
              <w:rPr>
                <w:rFonts w:eastAsia="Times New Roman" w:cs="Arial"/>
                <w:b/>
                <w:iCs/>
                <w:sz w:val="18"/>
                <w:szCs w:val="18"/>
              </w:rPr>
            </w:pPr>
            <w:r w:rsidRPr="009702B0">
              <w:rPr>
                <w:rFonts w:asciiTheme="minorHAnsi" w:eastAsia="Times New Roman" w:hAnsiTheme="minorHAnsi" w:cs="Arial"/>
                <w:b/>
                <w:position w:val="4"/>
                <w:sz w:val="18"/>
                <w:szCs w:val="18"/>
                <w:u w:val="thick"/>
              </w:rPr>
              <w:t>__________</w:t>
            </w:r>
          </w:p>
        </w:tc>
        <w:tc>
          <w:tcPr>
            <w:tcW w:w="600" w:type="pct"/>
            <w:vAlign w:val="bottom"/>
          </w:tcPr>
          <w:p w14:paraId="38253049" w14:textId="77777777" w:rsidR="009702B0" w:rsidRPr="009702B0" w:rsidRDefault="009702B0" w:rsidP="009702B0">
            <w:pPr>
              <w:keepNext/>
              <w:keepLines/>
              <w:tabs>
                <w:tab w:val="decimal" w:pos="1202"/>
              </w:tabs>
              <w:spacing w:after="0" w:line="140" w:lineRule="exact"/>
              <w:jc w:val="right"/>
              <w:rPr>
                <w:rFonts w:eastAsia="Times New Roman" w:cs="Arial"/>
                <w:b/>
                <w:iCs/>
                <w:sz w:val="18"/>
                <w:szCs w:val="18"/>
              </w:rPr>
            </w:pPr>
            <w:r w:rsidRPr="009702B0">
              <w:rPr>
                <w:rFonts w:asciiTheme="minorHAnsi" w:eastAsia="Times New Roman" w:hAnsiTheme="minorHAnsi" w:cs="Arial"/>
                <w:b/>
                <w:position w:val="4"/>
                <w:sz w:val="18"/>
                <w:szCs w:val="18"/>
                <w:u w:val="thick"/>
              </w:rPr>
              <w:t>__________</w:t>
            </w:r>
          </w:p>
        </w:tc>
      </w:tr>
      <w:tr w:rsidR="00214363" w:rsidRPr="009702B0" w14:paraId="41362208" w14:textId="77777777" w:rsidTr="006B318F">
        <w:trPr>
          <w:trHeight w:val="76"/>
        </w:trPr>
        <w:tc>
          <w:tcPr>
            <w:tcW w:w="1390" w:type="pct"/>
            <w:vAlign w:val="bottom"/>
            <w:hideMark/>
          </w:tcPr>
          <w:p w14:paraId="51CE4A94" w14:textId="77777777" w:rsidR="00214363" w:rsidRPr="009702B0" w:rsidRDefault="00214363" w:rsidP="00214363">
            <w:pPr>
              <w:tabs>
                <w:tab w:val="right" w:pos="1202"/>
              </w:tabs>
              <w:spacing w:after="0" w:line="240" w:lineRule="exact"/>
              <w:outlineLvl w:val="0"/>
              <w:rPr>
                <w:rFonts w:asciiTheme="minorHAnsi" w:eastAsia="Times New Roman" w:hAnsiTheme="minorHAnsi" w:cs="Arial"/>
                <w:iCs/>
                <w:sz w:val="18"/>
                <w:szCs w:val="18"/>
              </w:rPr>
            </w:pPr>
            <w:r w:rsidRPr="009702B0">
              <w:rPr>
                <w:rFonts w:asciiTheme="minorHAnsi" w:eastAsia="Times New Roman" w:hAnsiTheme="minorHAnsi" w:cs="Arial"/>
                <w:iCs/>
                <w:sz w:val="18"/>
                <w:szCs w:val="18"/>
              </w:rPr>
              <w:t>Profit for the year</w:t>
            </w:r>
          </w:p>
        </w:tc>
        <w:tc>
          <w:tcPr>
            <w:tcW w:w="602" w:type="pct"/>
          </w:tcPr>
          <w:p w14:paraId="720FFC09" w14:textId="7FA5C51A" w:rsidR="00214363" w:rsidRPr="009702B0" w:rsidRDefault="00214363" w:rsidP="00214363">
            <w:pPr>
              <w:tabs>
                <w:tab w:val="right" w:pos="1202"/>
              </w:tabs>
              <w:spacing w:after="0" w:line="301" w:lineRule="exact"/>
              <w:jc w:val="right"/>
              <w:outlineLvl w:val="0"/>
              <w:rPr>
                <w:rFonts w:eastAsia="Times New Roman" w:cs="Arial"/>
                <w:iCs/>
                <w:sz w:val="18"/>
                <w:szCs w:val="18"/>
              </w:rPr>
            </w:pPr>
            <w:r w:rsidRPr="00D77059">
              <w:rPr>
                <w:rFonts w:eastAsia="Times New Roman" w:cs="Arial"/>
                <w:iCs/>
                <w:sz w:val="18"/>
                <w:szCs w:val="18"/>
              </w:rPr>
              <w:t>-</w:t>
            </w:r>
          </w:p>
        </w:tc>
        <w:tc>
          <w:tcPr>
            <w:tcW w:w="602" w:type="pct"/>
          </w:tcPr>
          <w:p w14:paraId="6A44D12A" w14:textId="1587808B" w:rsidR="00214363" w:rsidRPr="009702B0" w:rsidRDefault="00214363" w:rsidP="00214363">
            <w:pPr>
              <w:tabs>
                <w:tab w:val="right" w:pos="1202"/>
              </w:tabs>
              <w:spacing w:after="0" w:line="301" w:lineRule="exact"/>
              <w:jc w:val="right"/>
              <w:outlineLvl w:val="0"/>
              <w:rPr>
                <w:rFonts w:eastAsia="Times New Roman" w:cs="Arial"/>
                <w:iCs/>
                <w:sz w:val="18"/>
                <w:szCs w:val="18"/>
              </w:rPr>
            </w:pPr>
            <w:r w:rsidRPr="00D77059">
              <w:rPr>
                <w:rFonts w:eastAsia="Times New Roman" w:cs="Arial"/>
                <w:iCs/>
                <w:sz w:val="18"/>
                <w:szCs w:val="18"/>
              </w:rPr>
              <w:t>-</w:t>
            </w:r>
          </w:p>
        </w:tc>
        <w:tc>
          <w:tcPr>
            <w:tcW w:w="602" w:type="pct"/>
          </w:tcPr>
          <w:p w14:paraId="6D1927AC" w14:textId="0A5AFEFC" w:rsidR="00214363" w:rsidRPr="009702B0" w:rsidRDefault="00214363" w:rsidP="00214363">
            <w:pPr>
              <w:tabs>
                <w:tab w:val="right" w:pos="1202"/>
              </w:tabs>
              <w:spacing w:after="0" w:line="301" w:lineRule="exact"/>
              <w:jc w:val="right"/>
              <w:outlineLvl w:val="0"/>
              <w:rPr>
                <w:rFonts w:eastAsia="Times New Roman" w:cs="Arial"/>
                <w:iCs/>
                <w:sz w:val="18"/>
                <w:szCs w:val="18"/>
              </w:rPr>
            </w:pPr>
            <w:r w:rsidRPr="00D77059">
              <w:rPr>
                <w:rFonts w:eastAsia="Times New Roman" w:cs="Arial"/>
                <w:iCs/>
                <w:sz w:val="18"/>
                <w:szCs w:val="18"/>
              </w:rPr>
              <w:t>-</w:t>
            </w:r>
          </w:p>
        </w:tc>
        <w:tc>
          <w:tcPr>
            <w:tcW w:w="602" w:type="pct"/>
          </w:tcPr>
          <w:p w14:paraId="7913F581" w14:textId="5FF4BCA5" w:rsidR="00214363" w:rsidRPr="009702B0" w:rsidRDefault="00214363" w:rsidP="00214363">
            <w:pPr>
              <w:tabs>
                <w:tab w:val="right" w:pos="1202"/>
              </w:tabs>
              <w:spacing w:after="0" w:line="301" w:lineRule="exact"/>
              <w:jc w:val="right"/>
              <w:outlineLvl w:val="0"/>
              <w:rPr>
                <w:rFonts w:eastAsia="Times New Roman" w:cs="Arial"/>
                <w:iCs/>
                <w:sz w:val="18"/>
                <w:szCs w:val="18"/>
              </w:rPr>
            </w:pPr>
            <w:r>
              <w:rPr>
                <w:rFonts w:eastAsia="Times New Roman" w:cs="Arial"/>
                <w:iCs/>
                <w:sz w:val="18"/>
                <w:szCs w:val="18"/>
              </w:rPr>
              <w:t>1,030</w:t>
            </w:r>
          </w:p>
        </w:tc>
        <w:tc>
          <w:tcPr>
            <w:tcW w:w="602" w:type="pct"/>
          </w:tcPr>
          <w:p w14:paraId="0DBE582B" w14:textId="4AF6017F" w:rsidR="00214363" w:rsidRPr="009702B0" w:rsidRDefault="00214363" w:rsidP="00214363">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1,030</w:t>
            </w:r>
          </w:p>
        </w:tc>
        <w:tc>
          <w:tcPr>
            <w:tcW w:w="600" w:type="pct"/>
            <w:shd w:val="clear" w:color="auto" w:fill="auto"/>
          </w:tcPr>
          <w:p w14:paraId="5A49184D" w14:textId="5AA45321" w:rsidR="00214363" w:rsidRPr="008E0AA2" w:rsidRDefault="00214363" w:rsidP="00214363">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1,030</w:t>
            </w:r>
          </w:p>
        </w:tc>
      </w:tr>
      <w:tr w:rsidR="00214363" w:rsidRPr="009702B0" w14:paraId="59F84375" w14:textId="77777777" w:rsidTr="006B318F">
        <w:trPr>
          <w:trHeight w:val="76"/>
        </w:trPr>
        <w:tc>
          <w:tcPr>
            <w:tcW w:w="1390" w:type="pct"/>
            <w:vAlign w:val="bottom"/>
            <w:hideMark/>
          </w:tcPr>
          <w:p w14:paraId="54C46180" w14:textId="77777777" w:rsidR="00214363" w:rsidRPr="009702B0" w:rsidRDefault="00214363" w:rsidP="00214363">
            <w:pPr>
              <w:tabs>
                <w:tab w:val="right" w:pos="1202"/>
              </w:tabs>
              <w:spacing w:after="0" w:line="200" w:lineRule="exact"/>
              <w:outlineLvl w:val="0"/>
              <w:rPr>
                <w:rFonts w:asciiTheme="minorHAnsi" w:eastAsia="Times New Roman" w:hAnsiTheme="minorHAnsi" w:cs="Arial"/>
                <w:iCs/>
                <w:sz w:val="18"/>
                <w:szCs w:val="18"/>
              </w:rPr>
            </w:pPr>
            <w:r w:rsidRPr="009702B0">
              <w:rPr>
                <w:rFonts w:asciiTheme="minorHAnsi" w:eastAsia="Times New Roman" w:hAnsiTheme="minorHAnsi" w:cs="Arial"/>
                <w:iCs/>
                <w:sz w:val="18"/>
                <w:szCs w:val="18"/>
              </w:rPr>
              <w:t>Other comprehensive income</w:t>
            </w:r>
          </w:p>
        </w:tc>
        <w:tc>
          <w:tcPr>
            <w:tcW w:w="602" w:type="pct"/>
          </w:tcPr>
          <w:p w14:paraId="0CDD481D" w14:textId="6D160BB3" w:rsidR="00214363" w:rsidRPr="009702B0" w:rsidRDefault="00214363" w:rsidP="00214363">
            <w:pPr>
              <w:tabs>
                <w:tab w:val="right" w:pos="1202"/>
              </w:tabs>
              <w:spacing w:after="0" w:line="301" w:lineRule="exact"/>
              <w:jc w:val="right"/>
              <w:outlineLvl w:val="0"/>
              <w:rPr>
                <w:rFonts w:eastAsia="Times New Roman" w:cs="Arial"/>
                <w:iCs/>
                <w:sz w:val="18"/>
                <w:szCs w:val="18"/>
              </w:rPr>
            </w:pPr>
            <w:r w:rsidRPr="00D77059">
              <w:rPr>
                <w:rFonts w:eastAsia="Times New Roman" w:cs="Arial"/>
                <w:iCs/>
                <w:sz w:val="18"/>
                <w:szCs w:val="18"/>
              </w:rPr>
              <w:t>-</w:t>
            </w:r>
          </w:p>
        </w:tc>
        <w:tc>
          <w:tcPr>
            <w:tcW w:w="602" w:type="pct"/>
          </w:tcPr>
          <w:p w14:paraId="2024477F" w14:textId="01CBD5C1" w:rsidR="00214363" w:rsidRPr="009702B0" w:rsidRDefault="00214363" w:rsidP="00214363">
            <w:pPr>
              <w:tabs>
                <w:tab w:val="right" w:pos="1202"/>
              </w:tabs>
              <w:spacing w:after="0" w:line="301" w:lineRule="exact"/>
              <w:jc w:val="right"/>
              <w:outlineLvl w:val="0"/>
              <w:rPr>
                <w:rFonts w:eastAsia="Times New Roman" w:cs="Arial"/>
                <w:iCs/>
                <w:sz w:val="18"/>
                <w:szCs w:val="18"/>
              </w:rPr>
            </w:pPr>
            <w:r w:rsidRPr="00D77059">
              <w:rPr>
                <w:rFonts w:eastAsia="Times New Roman" w:cs="Arial"/>
                <w:iCs/>
                <w:sz w:val="18"/>
                <w:szCs w:val="18"/>
              </w:rPr>
              <w:t>-</w:t>
            </w:r>
          </w:p>
        </w:tc>
        <w:tc>
          <w:tcPr>
            <w:tcW w:w="602" w:type="pct"/>
          </w:tcPr>
          <w:p w14:paraId="2AD78723" w14:textId="03D40D2E" w:rsidR="00214363" w:rsidRPr="009702B0" w:rsidRDefault="00214363" w:rsidP="00214363">
            <w:pPr>
              <w:tabs>
                <w:tab w:val="right" w:pos="1202"/>
              </w:tabs>
              <w:spacing w:after="0" w:line="301" w:lineRule="exact"/>
              <w:jc w:val="right"/>
              <w:outlineLvl w:val="0"/>
              <w:rPr>
                <w:rFonts w:eastAsia="Times New Roman" w:cs="Arial"/>
                <w:iCs/>
                <w:sz w:val="18"/>
                <w:szCs w:val="18"/>
              </w:rPr>
            </w:pPr>
            <w:r>
              <w:rPr>
                <w:rFonts w:eastAsia="Times New Roman" w:cs="Arial"/>
                <w:iCs/>
                <w:sz w:val="18"/>
                <w:szCs w:val="18"/>
              </w:rPr>
              <w:t>645</w:t>
            </w:r>
          </w:p>
        </w:tc>
        <w:tc>
          <w:tcPr>
            <w:tcW w:w="602" w:type="pct"/>
          </w:tcPr>
          <w:p w14:paraId="296825CE" w14:textId="790A5CCD" w:rsidR="00214363" w:rsidRPr="009702B0" w:rsidRDefault="00214363" w:rsidP="00214363">
            <w:pPr>
              <w:tabs>
                <w:tab w:val="right" w:pos="1202"/>
              </w:tabs>
              <w:spacing w:after="0" w:line="301" w:lineRule="exact"/>
              <w:jc w:val="right"/>
              <w:outlineLvl w:val="0"/>
              <w:rPr>
                <w:rFonts w:eastAsia="Times New Roman" w:cs="Arial"/>
                <w:iCs/>
                <w:sz w:val="18"/>
                <w:szCs w:val="18"/>
              </w:rPr>
            </w:pPr>
            <w:r w:rsidRPr="00D77059">
              <w:rPr>
                <w:rFonts w:eastAsia="Times New Roman" w:cs="Arial"/>
                <w:iCs/>
                <w:sz w:val="18"/>
                <w:szCs w:val="18"/>
              </w:rPr>
              <w:t>-</w:t>
            </w:r>
          </w:p>
        </w:tc>
        <w:tc>
          <w:tcPr>
            <w:tcW w:w="602" w:type="pct"/>
          </w:tcPr>
          <w:p w14:paraId="1B7F0C61" w14:textId="1D97130F" w:rsidR="00214363" w:rsidRPr="009702B0" w:rsidRDefault="00214363" w:rsidP="00214363">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645</w:t>
            </w:r>
          </w:p>
        </w:tc>
        <w:tc>
          <w:tcPr>
            <w:tcW w:w="600" w:type="pct"/>
            <w:shd w:val="clear" w:color="auto" w:fill="auto"/>
          </w:tcPr>
          <w:p w14:paraId="740AB615" w14:textId="47C2F50D" w:rsidR="00214363" w:rsidRPr="008E0AA2" w:rsidRDefault="00214363" w:rsidP="00214363">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645</w:t>
            </w:r>
          </w:p>
        </w:tc>
      </w:tr>
      <w:tr w:rsidR="00214363" w:rsidRPr="009702B0" w14:paraId="78C5023C" w14:textId="77777777" w:rsidTr="005444AA">
        <w:trPr>
          <w:trHeight w:val="76"/>
        </w:trPr>
        <w:tc>
          <w:tcPr>
            <w:tcW w:w="1390" w:type="pct"/>
            <w:vAlign w:val="bottom"/>
          </w:tcPr>
          <w:p w14:paraId="2440B4D9" w14:textId="77777777" w:rsidR="00214363" w:rsidRPr="009702B0" w:rsidRDefault="00214363" w:rsidP="00214363">
            <w:pPr>
              <w:tabs>
                <w:tab w:val="right" w:pos="1202"/>
              </w:tabs>
              <w:spacing w:after="0" w:line="140" w:lineRule="exact"/>
              <w:outlineLvl w:val="0"/>
              <w:rPr>
                <w:rFonts w:asciiTheme="minorHAnsi" w:eastAsia="Times New Roman" w:hAnsiTheme="minorHAnsi" w:cs="Arial"/>
                <w:iCs/>
                <w:sz w:val="18"/>
                <w:szCs w:val="18"/>
              </w:rPr>
            </w:pPr>
          </w:p>
        </w:tc>
        <w:tc>
          <w:tcPr>
            <w:tcW w:w="602" w:type="pct"/>
            <w:vAlign w:val="bottom"/>
            <w:hideMark/>
          </w:tcPr>
          <w:p w14:paraId="6166BE66" w14:textId="1D3FBBF5" w:rsidR="00214363" w:rsidRPr="009702B0" w:rsidRDefault="00214363" w:rsidP="00214363">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2" w:type="pct"/>
            <w:vAlign w:val="bottom"/>
            <w:hideMark/>
          </w:tcPr>
          <w:p w14:paraId="3DA33987" w14:textId="311A5D61" w:rsidR="00214363" w:rsidRPr="009702B0" w:rsidRDefault="00214363" w:rsidP="00214363">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2" w:type="pct"/>
            <w:vAlign w:val="bottom"/>
            <w:hideMark/>
          </w:tcPr>
          <w:p w14:paraId="39E2CE27" w14:textId="5B7D0EA1" w:rsidR="00214363" w:rsidRPr="009702B0" w:rsidRDefault="00214363" w:rsidP="00214363">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2" w:type="pct"/>
            <w:vAlign w:val="bottom"/>
            <w:hideMark/>
          </w:tcPr>
          <w:p w14:paraId="4D0B8D67" w14:textId="67A71FC3" w:rsidR="00214363" w:rsidRPr="009702B0" w:rsidRDefault="00214363" w:rsidP="00214363">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2" w:type="pct"/>
            <w:vAlign w:val="bottom"/>
            <w:hideMark/>
          </w:tcPr>
          <w:p w14:paraId="4F3C7D16" w14:textId="117A5D8D" w:rsidR="00214363" w:rsidRPr="009702B0" w:rsidRDefault="00214363" w:rsidP="00214363">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0" w:type="pct"/>
            <w:vAlign w:val="bottom"/>
            <w:hideMark/>
          </w:tcPr>
          <w:p w14:paraId="5E979892" w14:textId="1E63984E" w:rsidR="00214363" w:rsidRPr="006B318F" w:rsidRDefault="00214363" w:rsidP="00214363">
            <w:pPr>
              <w:keepNext/>
              <w:keepLines/>
              <w:tabs>
                <w:tab w:val="decimal" w:pos="1015"/>
                <w:tab w:val="decimal" w:pos="1202"/>
              </w:tabs>
              <w:spacing w:after="0" w:line="140" w:lineRule="exact"/>
              <w:jc w:val="right"/>
              <w:rPr>
                <w:rFonts w:eastAsia="Times New Roman" w:cs="Arial"/>
                <w:b/>
                <w:spacing w:val="-2"/>
                <w:position w:val="4"/>
                <w:sz w:val="18"/>
                <w:szCs w:val="18"/>
              </w:rPr>
            </w:pPr>
            <w:r w:rsidRPr="00D77059">
              <w:rPr>
                <w:rFonts w:eastAsia="Times New Roman" w:cs="Arial"/>
                <w:spacing w:val="-2"/>
                <w:position w:val="4"/>
                <w:sz w:val="18"/>
                <w:szCs w:val="18"/>
              </w:rPr>
              <w:t>_________</w:t>
            </w:r>
          </w:p>
        </w:tc>
      </w:tr>
      <w:tr w:rsidR="00214363" w:rsidRPr="009702B0" w14:paraId="4C152B0B" w14:textId="77777777" w:rsidTr="006B318F">
        <w:trPr>
          <w:trHeight w:val="76"/>
        </w:trPr>
        <w:tc>
          <w:tcPr>
            <w:tcW w:w="1390" w:type="pct"/>
            <w:vAlign w:val="bottom"/>
            <w:hideMark/>
          </w:tcPr>
          <w:p w14:paraId="38F3B8E6" w14:textId="77777777" w:rsidR="00214363" w:rsidRPr="009702B0" w:rsidRDefault="00214363" w:rsidP="00214363">
            <w:pPr>
              <w:tabs>
                <w:tab w:val="right" w:pos="1202"/>
              </w:tabs>
              <w:spacing w:after="0" w:line="200" w:lineRule="exact"/>
              <w:outlineLvl w:val="0"/>
              <w:rPr>
                <w:rFonts w:asciiTheme="minorHAnsi" w:eastAsia="Times New Roman" w:hAnsiTheme="minorHAnsi" w:cs="Arial"/>
                <w:iCs/>
                <w:sz w:val="18"/>
                <w:szCs w:val="18"/>
              </w:rPr>
            </w:pPr>
            <w:r w:rsidRPr="009702B0">
              <w:rPr>
                <w:rFonts w:asciiTheme="minorHAnsi" w:eastAsia="Times New Roman" w:hAnsiTheme="minorHAnsi" w:cs="Arial"/>
                <w:iCs/>
                <w:sz w:val="18"/>
                <w:szCs w:val="18"/>
              </w:rPr>
              <w:t>Total comprehensive income</w:t>
            </w:r>
          </w:p>
        </w:tc>
        <w:tc>
          <w:tcPr>
            <w:tcW w:w="602" w:type="pct"/>
            <w:shd w:val="clear" w:color="auto" w:fill="auto"/>
          </w:tcPr>
          <w:p w14:paraId="79092831" w14:textId="6DD6B702" w:rsidR="00214363" w:rsidRPr="009702B0" w:rsidRDefault="00214363" w:rsidP="00214363">
            <w:pPr>
              <w:tabs>
                <w:tab w:val="right" w:pos="1202"/>
              </w:tabs>
              <w:spacing w:after="0" w:line="301" w:lineRule="exact"/>
              <w:jc w:val="right"/>
              <w:outlineLvl w:val="0"/>
              <w:rPr>
                <w:rFonts w:eastAsia="Times New Roman" w:cs="Arial"/>
                <w:iCs/>
                <w:sz w:val="18"/>
                <w:szCs w:val="18"/>
              </w:rPr>
            </w:pPr>
            <w:r w:rsidRPr="00D77059">
              <w:rPr>
                <w:rFonts w:eastAsia="Times New Roman" w:cs="Arial"/>
                <w:iCs/>
                <w:sz w:val="18"/>
                <w:szCs w:val="18"/>
              </w:rPr>
              <w:t>-</w:t>
            </w:r>
          </w:p>
        </w:tc>
        <w:tc>
          <w:tcPr>
            <w:tcW w:w="602" w:type="pct"/>
            <w:shd w:val="clear" w:color="auto" w:fill="auto"/>
          </w:tcPr>
          <w:p w14:paraId="6F57DB6E" w14:textId="6137BD4A" w:rsidR="00214363" w:rsidRPr="009702B0" w:rsidRDefault="00214363" w:rsidP="00214363">
            <w:pPr>
              <w:tabs>
                <w:tab w:val="right" w:pos="1202"/>
              </w:tabs>
              <w:spacing w:after="0" w:line="301" w:lineRule="exact"/>
              <w:jc w:val="right"/>
              <w:outlineLvl w:val="0"/>
              <w:rPr>
                <w:rFonts w:eastAsia="Times New Roman" w:cs="Arial"/>
                <w:iCs/>
                <w:sz w:val="18"/>
                <w:szCs w:val="18"/>
              </w:rPr>
            </w:pPr>
            <w:r w:rsidRPr="00D77059">
              <w:rPr>
                <w:rFonts w:eastAsia="Times New Roman" w:cs="Arial"/>
                <w:iCs/>
                <w:sz w:val="18"/>
                <w:szCs w:val="18"/>
              </w:rPr>
              <w:t>-</w:t>
            </w:r>
          </w:p>
        </w:tc>
        <w:tc>
          <w:tcPr>
            <w:tcW w:w="602" w:type="pct"/>
            <w:shd w:val="clear" w:color="auto" w:fill="auto"/>
          </w:tcPr>
          <w:p w14:paraId="188A0014" w14:textId="32659993" w:rsidR="00214363" w:rsidRPr="009702B0" w:rsidRDefault="00214363" w:rsidP="00214363">
            <w:pPr>
              <w:tabs>
                <w:tab w:val="right" w:pos="1202"/>
              </w:tabs>
              <w:spacing w:after="0" w:line="301" w:lineRule="exact"/>
              <w:jc w:val="right"/>
              <w:outlineLvl w:val="0"/>
              <w:rPr>
                <w:rFonts w:eastAsia="Times New Roman" w:cs="Arial"/>
                <w:iCs/>
                <w:sz w:val="18"/>
                <w:szCs w:val="18"/>
              </w:rPr>
            </w:pPr>
            <w:r>
              <w:rPr>
                <w:rFonts w:eastAsia="Times New Roman" w:cs="Arial"/>
                <w:iCs/>
                <w:sz w:val="18"/>
                <w:szCs w:val="18"/>
              </w:rPr>
              <w:t>645</w:t>
            </w:r>
          </w:p>
        </w:tc>
        <w:tc>
          <w:tcPr>
            <w:tcW w:w="602" w:type="pct"/>
            <w:shd w:val="clear" w:color="auto" w:fill="auto"/>
          </w:tcPr>
          <w:p w14:paraId="0131AF26" w14:textId="7EC16022" w:rsidR="00214363" w:rsidRPr="009702B0" w:rsidRDefault="00214363" w:rsidP="00214363">
            <w:pPr>
              <w:tabs>
                <w:tab w:val="right" w:pos="1202"/>
              </w:tabs>
              <w:spacing w:after="0" w:line="301" w:lineRule="exact"/>
              <w:jc w:val="right"/>
              <w:outlineLvl w:val="0"/>
              <w:rPr>
                <w:rFonts w:eastAsia="Times New Roman" w:cs="Arial"/>
                <w:iCs/>
                <w:sz w:val="18"/>
                <w:szCs w:val="18"/>
              </w:rPr>
            </w:pPr>
            <w:r>
              <w:rPr>
                <w:rFonts w:eastAsia="Times New Roman" w:cs="Arial"/>
                <w:iCs/>
                <w:sz w:val="18"/>
                <w:szCs w:val="18"/>
              </w:rPr>
              <w:t>1,030</w:t>
            </w:r>
          </w:p>
        </w:tc>
        <w:tc>
          <w:tcPr>
            <w:tcW w:w="602" w:type="pct"/>
            <w:shd w:val="clear" w:color="auto" w:fill="auto"/>
          </w:tcPr>
          <w:p w14:paraId="6A18FAE7" w14:textId="5B920058" w:rsidR="00214363" w:rsidRPr="009702B0" w:rsidRDefault="00214363" w:rsidP="00214363">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1,675</w:t>
            </w:r>
          </w:p>
        </w:tc>
        <w:tc>
          <w:tcPr>
            <w:tcW w:w="600" w:type="pct"/>
            <w:shd w:val="clear" w:color="auto" w:fill="auto"/>
          </w:tcPr>
          <w:p w14:paraId="5B5E4F4D" w14:textId="0B2423E3" w:rsidR="00214363" w:rsidRPr="008E0AA2" w:rsidRDefault="00214363" w:rsidP="00214363">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1,675</w:t>
            </w:r>
          </w:p>
        </w:tc>
      </w:tr>
      <w:tr w:rsidR="00214363" w:rsidRPr="009702B0" w14:paraId="62DADA85" w14:textId="77777777" w:rsidTr="005444AA">
        <w:trPr>
          <w:trHeight w:val="76"/>
        </w:trPr>
        <w:tc>
          <w:tcPr>
            <w:tcW w:w="1390" w:type="pct"/>
            <w:vAlign w:val="bottom"/>
          </w:tcPr>
          <w:p w14:paraId="63211851" w14:textId="77777777" w:rsidR="00214363" w:rsidRPr="009702B0" w:rsidRDefault="00214363" w:rsidP="00214363">
            <w:pPr>
              <w:tabs>
                <w:tab w:val="right" w:pos="1202"/>
              </w:tabs>
              <w:spacing w:after="0" w:line="140" w:lineRule="exact"/>
              <w:outlineLvl w:val="0"/>
              <w:rPr>
                <w:rFonts w:asciiTheme="minorHAnsi" w:eastAsia="Times New Roman" w:hAnsiTheme="minorHAnsi" w:cs="Arial"/>
                <w:iCs/>
                <w:sz w:val="18"/>
                <w:szCs w:val="18"/>
              </w:rPr>
            </w:pPr>
          </w:p>
        </w:tc>
        <w:tc>
          <w:tcPr>
            <w:tcW w:w="602" w:type="pct"/>
            <w:vAlign w:val="bottom"/>
            <w:hideMark/>
          </w:tcPr>
          <w:p w14:paraId="07AEB4AB" w14:textId="04816EDF" w:rsidR="00214363" w:rsidRPr="009702B0" w:rsidRDefault="00214363" w:rsidP="00214363">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2" w:type="pct"/>
            <w:vAlign w:val="bottom"/>
            <w:hideMark/>
          </w:tcPr>
          <w:p w14:paraId="5455C469" w14:textId="74870559" w:rsidR="00214363" w:rsidRPr="009702B0" w:rsidRDefault="00214363" w:rsidP="00214363">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2" w:type="pct"/>
            <w:vAlign w:val="bottom"/>
            <w:hideMark/>
          </w:tcPr>
          <w:p w14:paraId="795CC423" w14:textId="7AE52B34" w:rsidR="00214363" w:rsidRPr="009702B0" w:rsidRDefault="00214363" w:rsidP="00214363">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2" w:type="pct"/>
            <w:vAlign w:val="bottom"/>
            <w:hideMark/>
          </w:tcPr>
          <w:p w14:paraId="76DD644E" w14:textId="44B75E1B" w:rsidR="00214363" w:rsidRPr="009702B0" w:rsidRDefault="00214363" w:rsidP="00214363">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2" w:type="pct"/>
            <w:vAlign w:val="bottom"/>
            <w:hideMark/>
          </w:tcPr>
          <w:p w14:paraId="265DEC43" w14:textId="49A20128" w:rsidR="00214363" w:rsidRPr="009702B0" w:rsidRDefault="00214363" w:rsidP="00214363">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0" w:type="pct"/>
            <w:vAlign w:val="bottom"/>
            <w:hideMark/>
          </w:tcPr>
          <w:p w14:paraId="7C3D9DC7" w14:textId="67134315" w:rsidR="00214363" w:rsidRPr="006B318F" w:rsidRDefault="00214363" w:rsidP="00214363">
            <w:pPr>
              <w:keepNext/>
              <w:keepLines/>
              <w:tabs>
                <w:tab w:val="decimal" w:pos="1015"/>
                <w:tab w:val="decimal" w:pos="1202"/>
              </w:tabs>
              <w:spacing w:after="0" w:line="140" w:lineRule="exact"/>
              <w:jc w:val="right"/>
              <w:rPr>
                <w:rFonts w:eastAsia="Times New Roman" w:cs="Arial"/>
                <w:b/>
                <w:spacing w:val="-2"/>
                <w:position w:val="4"/>
                <w:sz w:val="18"/>
                <w:szCs w:val="18"/>
              </w:rPr>
            </w:pPr>
            <w:r w:rsidRPr="00D77059">
              <w:rPr>
                <w:rFonts w:eastAsia="Times New Roman" w:cs="Arial"/>
                <w:spacing w:val="-2"/>
                <w:position w:val="4"/>
                <w:sz w:val="18"/>
                <w:szCs w:val="18"/>
              </w:rPr>
              <w:t>_________</w:t>
            </w:r>
          </w:p>
        </w:tc>
      </w:tr>
      <w:tr w:rsidR="00214363" w:rsidRPr="009702B0" w14:paraId="043E80AF" w14:textId="77777777" w:rsidTr="005444AA">
        <w:trPr>
          <w:trHeight w:val="76"/>
        </w:trPr>
        <w:tc>
          <w:tcPr>
            <w:tcW w:w="1390" w:type="pct"/>
            <w:vAlign w:val="bottom"/>
            <w:hideMark/>
          </w:tcPr>
          <w:p w14:paraId="00FE0AA5" w14:textId="77777777" w:rsidR="00214363" w:rsidRPr="009702B0" w:rsidRDefault="00214363" w:rsidP="00214363">
            <w:pPr>
              <w:tabs>
                <w:tab w:val="right" w:pos="1202"/>
              </w:tabs>
              <w:spacing w:after="0" w:line="200" w:lineRule="exact"/>
              <w:outlineLvl w:val="0"/>
              <w:rPr>
                <w:rFonts w:asciiTheme="minorHAnsi" w:eastAsia="Times New Roman" w:hAnsiTheme="minorHAnsi" w:cs="Arial"/>
                <w:i/>
                <w:iCs/>
                <w:sz w:val="18"/>
                <w:szCs w:val="18"/>
              </w:rPr>
            </w:pPr>
            <w:r w:rsidRPr="009702B0">
              <w:rPr>
                <w:rFonts w:asciiTheme="minorHAnsi" w:eastAsia="Times New Roman" w:hAnsiTheme="minorHAnsi" w:cs="Arial"/>
                <w:iCs/>
                <w:sz w:val="18"/>
                <w:szCs w:val="18"/>
              </w:rPr>
              <w:t>Transfer of profit 201</w:t>
            </w:r>
            <w:r>
              <w:rPr>
                <w:rFonts w:asciiTheme="minorHAnsi" w:eastAsia="Times New Roman" w:hAnsiTheme="minorHAnsi" w:cs="Arial"/>
                <w:iCs/>
                <w:sz w:val="18"/>
                <w:szCs w:val="18"/>
              </w:rPr>
              <w:t>6</w:t>
            </w:r>
            <w:r w:rsidRPr="009702B0">
              <w:rPr>
                <w:rFonts w:asciiTheme="minorHAnsi" w:eastAsia="Times New Roman" w:hAnsiTheme="minorHAnsi" w:cs="Arial"/>
                <w:iCs/>
                <w:sz w:val="18"/>
                <w:szCs w:val="18"/>
              </w:rPr>
              <w:t xml:space="preserve"> to retained earnings</w:t>
            </w:r>
          </w:p>
        </w:tc>
        <w:tc>
          <w:tcPr>
            <w:tcW w:w="602" w:type="pct"/>
            <w:tcBorders>
              <w:top w:val="nil"/>
              <w:left w:val="nil"/>
              <w:bottom w:val="nil"/>
              <w:right w:val="nil"/>
            </w:tcBorders>
            <w:shd w:val="clear" w:color="auto" w:fill="auto"/>
            <w:vAlign w:val="bottom"/>
          </w:tcPr>
          <w:p w14:paraId="2CEB05C1" w14:textId="69015784" w:rsidR="00214363" w:rsidRPr="009702B0" w:rsidRDefault="00214363" w:rsidP="00214363">
            <w:pPr>
              <w:tabs>
                <w:tab w:val="right" w:pos="1202"/>
              </w:tabs>
              <w:spacing w:after="0" w:line="301" w:lineRule="exact"/>
              <w:jc w:val="right"/>
              <w:outlineLvl w:val="0"/>
              <w:rPr>
                <w:rFonts w:eastAsia="Times New Roman" w:cs="Arial"/>
                <w:iCs/>
                <w:sz w:val="18"/>
                <w:szCs w:val="18"/>
              </w:rPr>
            </w:pPr>
            <w:r w:rsidRPr="00D77059">
              <w:rPr>
                <w:rFonts w:eastAsia="Times New Roman" w:cs="Arial"/>
                <w:iCs/>
                <w:sz w:val="18"/>
                <w:szCs w:val="18"/>
              </w:rPr>
              <w:t>-</w:t>
            </w:r>
          </w:p>
        </w:tc>
        <w:tc>
          <w:tcPr>
            <w:tcW w:w="602" w:type="pct"/>
            <w:tcBorders>
              <w:top w:val="nil"/>
              <w:left w:val="nil"/>
              <w:bottom w:val="nil"/>
              <w:right w:val="nil"/>
            </w:tcBorders>
            <w:shd w:val="clear" w:color="auto" w:fill="auto"/>
            <w:vAlign w:val="bottom"/>
          </w:tcPr>
          <w:p w14:paraId="4F487E3A" w14:textId="73874974" w:rsidR="00214363" w:rsidRPr="009702B0" w:rsidRDefault="00214363" w:rsidP="00214363">
            <w:pPr>
              <w:tabs>
                <w:tab w:val="right" w:pos="1202"/>
              </w:tabs>
              <w:spacing w:after="0" w:line="301" w:lineRule="exact"/>
              <w:jc w:val="right"/>
              <w:outlineLvl w:val="0"/>
              <w:rPr>
                <w:rFonts w:eastAsia="Times New Roman" w:cs="Arial"/>
                <w:iCs/>
                <w:sz w:val="18"/>
                <w:szCs w:val="18"/>
              </w:rPr>
            </w:pPr>
            <w:r>
              <w:rPr>
                <w:rFonts w:eastAsia="Times New Roman" w:cs="Arial"/>
                <w:iCs/>
                <w:sz w:val="18"/>
                <w:szCs w:val="18"/>
              </w:rPr>
              <w:t>1,315</w:t>
            </w:r>
          </w:p>
        </w:tc>
        <w:tc>
          <w:tcPr>
            <w:tcW w:w="602" w:type="pct"/>
            <w:tcBorders>
              <w:top w:val="nil"/>
              <w:left w:val="nil"/>
              <w:bottom w:val="nil"/>
              <w:right w:val="nil"/>
            </w:tcBorders>
            <w:shd w:val="clear" w:color="auto" w:fill="auto"/>
            <w:vAlign w:val="bottom"/>
          </w:tcPr>
          <w:p w14:paraId="2B1F567E" w14:textId="2819D390" w:rsidR="00214363" w:rsidRPr="009702B0" w:rsidRDefault="00214363" w:rsidP="00214363">
            <w:pPr>
              <w:tabs>
                <w:tab w:val="right" w:pos="1202"/>
              </w:tabs>
              <w:spacing w:after="0" w:line="301" w:lineRule="exact"/>
              <w:jc w:val="right"/>
              <w:outlineLvl w:val="0"/>
              <w:rPr>
                <w:rFonts w:eastAsia="Times New Roman" w:cs="Arial"/>
                <w:iCs/>
                <w:sz w:val="18"/>
                <w:szCs w:val="18"/>
              </w:rPr>
            </w:pPr>
            <w:r w:rsidRPr="00D77059">
              <w:rPr>
                <w:rFonts w:eastAsia="Times New Roman" w:cs="Arial"/>
                <w:iCs/>
                <w:sz w:val="18"/>
                <w:szCs w:val="18"/>
              </w:rPr>
              <w:t>-</w:t>
            </w:r>
          </w:p>
        </w:tc>
        <w:tc>
          <w:tcPr>
            <w:tcW w:w="602" w:type="pct"/>
            <w:tcBorders>
              <w:top w:val="nil"/>
              <w:left w:val="nil"/>
              <w:bottom w:val="nil"/>
              <w:right w:val="nil"/>
            </w:tcBorders>
            <w:shd w:val="clear" w:color="auto" w:fill="auto"/>
            <w:vAlign w:val="bottom"/>
          </w:tcPr>
          <w:p w14:paraId="6C45F2A4" w14:textId="01D60EDD" w:rsidR="00214363" w:rsidRPr="009702B0" w:rsidRDefault="00214363" w:rsidP="00214363">
            <w:pPr>
              <w:tabs>
                <w:tab w:val="right" w:pos="1202"/>
              </w:tabs>
              <w:spacing w:after="0" w:line="301" w:lineRule="exact"/>
              <w:jc w:val="right"/>
              <w:outlineLvl w:val="0"/>
              <w:rPr>
                <w:rFonts w:eastAsia="Times New Roman" w:cs="Arial"/>
                <w:iCs/>
                <w:sz w:val="18"/>
                <w:szCs w:val="18"/>
              </w:rPr>
            </w:pPr>
            <w:r>
              <w:rPr>
                <w:rFonts w:eastAsia="Times New Roman" w:cs="Arial"/>
                <w:iCs/>
                <w:sz w:val="18"/>
                <w:szCs w:val="18"/>
              </w:rPr>
              <w:t>(1,315)</w:t>
            </w:r>
          </w:p>
        </w:tc>
        <w:tc>
          <w:tcPr>
            <w:tcW w:w="602" w:type="pct"/>
            <w:tcBorders>
              <w:top w:val="nil"/>
              <w:left w:val="nil"/>
              <w:bottom w:val="nil"/>
              <w:right w:val="nil"/>
            </w:tcBorders>
            <w:shd w:val="clear" w:color="auto" w:fill="auto"/>
            <w:vAlign w:val="bottom"/>
          </w:tcPr>
          <w:p w14:paraId="527A79BC" w14:textId="0C04D5B5" w:rsidR="00214363" w:rsidRPr="009702B0" w:rsidRDefault="00214363" w:rsidP="00214363">
            <w:pPr>
              <w:tabs>
                <w:tab w:val="right" w:pos="1202"/>
              </w:tabs>
              <w:spacing w:after="0" w:line="301" w:lineRule="exact"/>
              <w:jc w:val="right"/>
              <w:outlineLvl w:val="0"/>
              <w:rPr>
                <w:rFonts w:eastAsia="Times New Roman" w:cs="Arial"/>
                <w:b/>
                <w:iCs/>
                <w:sz w:val="18"/>
                <w:szCs w:val="18"/>
              </w:rPr>
            </w:pPr>
            <w:r w:rsidRPr="00D77059">
              <w:rPr>
                <w:rFonts w:eastAsia="Times New Roman" w:cs="Arial"/>
                <w:b/>
                <w:iCs/>
                <w:sz w:val="18"/>
                <w:szCs w:val="18"/>
              </w:rPr>
              <w:t>-</w:t>
            </w:r>
          </w:p>
        </w:tc>
        <w:tc>
          <w:tcPr>
            <w:tcW w:w="600" w:type="pct"/>
            <w:tcBorders>
              <w:top w:val="nil"/>
              <w:left w:val="nil"/>
              <w:bottom w:val="nil"/>
              <w:right w:val="nil"/>
            </w:tcBorders>
            <w:shd w:val="clear" w:color="auto" w:fill="auto"/>
            <w:vAlign w:val="bottom"/>
          </w:tcPr>
          <w:p w14:paraId="3F9CFA63" w14:textId="308734AF" w:rsidR="00214363" w:rsidRPr="008E0AA2" w:rsidRDefault="00214363" w:rsidP="00214363">
            <w:pPr>
              <w:tabs>
                <w:tab w:val="right" w:pos="1202"/>
              </w:tabs>
              <w:spacing w:after="0" w:line="301" w:lineRule="exact"/>
              <w:jc w:val="right"/>
              <w:outlineLvl w:val="0"/>
              <w:rPr>
                <w:rFonts w:eastAsia="Times New Roman" w:cs="Arial"/>
                <w:b/>
                <w:iCs/>
                <w:sz w:val="18"/>
                <w:szCs w:val="18"/>
              </w:rPr>
            </w:pPr>
            <w:r w:rsidRPr="00D77059">
              <w:rPr>
                <w:rFonts w:eastAsia="Times New Roman" w:cs="Arial"/>
                <w:b/>
                <w:iCs/>
                <w:sz w:val="18"/>
                <w:szCs w:val="18"/>
              </w:rPr>
              <w:t>-</w:t>
            </w:r>
          </w:p>
        </w:tc>
      </w:tr>
      <w:tr w:rsidR="00D24D95" w:rsidRPr="009702B0" w14:paraId="0CD945D4" w14:textId="77777777" w:rsidTr="005444AA">
        <w:trPr>
          <w:trHeight w:val="72"/>
        </w:trPr>
        <w:tc>
          <w:tcPr>
            <w:tcW w:w="1390" w:type="pct"/>
            <w:vAlign w:val="bottom"/>
          </w:tcPr>
          <w:p w14:paraId="6CDB6F72" w14:textId="77777777" w:rsidR="00D24D95" w:rsidRPr="009702B0" w:rsidRDefault="00D24D95" w:rsidP="00D24D95">
            <w:pPr>
              <w:tabs>
                <w:tab w:val="right" w:pos="1202"/>
              </w:tabs>
              <w:spacing w:after="0" w:line="140" w:lineRule="exact"/>
              <w:outlineLvl w:val="0"/>
              <w:rPr>
                <w:rFonts w:asciiTheme="minorHAnsi" w:eastAsia="Times New Roman" w:hAnsiTheme="minorHAnsi" w:cs="Arial"/>
                <w:iCs/>
                <w:sz w:val="18"/>
                <w:szCs w:val="18"/>
              </w:rPr>
            </w:pPr>
          </w:p>
        </w:tc>
        <w:tc>
          <w:tcPr>
            <w:tcW w:w="602" w:type="pct"/>
            <w:vAlign w:val="bottom"/>
            <w:hideMark/>
          </w:tcPr>
          <w:p w14:paraId="394F5942" w14:textId="48B5DCC7" w:rsidR="00D24D95" w:rsidRPr="009702B0" w:rsidRDefault="00D24D95" w:rsidP="00D24D95">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2" w:type="pct"/>
            <w:vAlign w:val="bottom"/>
            <w:hideMark/>
          </w:tcPr>
          <w:p w14:paraId="342001BC" w14:textId="0E9A8951" w:rsidR="00D24D95" w:rsidRPr="009702B0" w:rsidRDefault="00D24D95" w:rsidP="00D24D95">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2" w:type="pct"/>
            <w:vAlign w:val="bottom"/>
            <w:hideMark/>
          </w:tcPr>
          <w:p w14:paraId="4AEF4B15" w14:textId="6A5F21F4" w:rsidR="00D24D95" w:rsidRPr="009702B0" w:rsidRDefault="00D24D95" w:rsidP="00D24D95">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2" w:type="pct"/>
            <w:vAlign w:val="bottom"/>
            <w:hideMark/>
          </w:tcPr>
          <w:p w14:paraId="592050E6" w14:textId="361ADEEC" w:rsidR="00D24D95" w:rsidRPr="009702B0" w:rsidRDefault="00D24D95" w:rsidP="00D24D95">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2" w:type="pct"/>
            <w:vAlign w:val="bottom"/>
            <w:hideMark/>
          </w:tcPr>
          <w:p w14:paraId="47CC7374" w14:textId="512A7894" w:rsidR="00D24D95" w:rsidRPr="009702B0" w:rsidRDefault="00D24D95" w:rsidP="00D24D95">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c>
          <w:tcPr>
            <w:tcW w:w="600" w:type="pct"/>
            <w:vAlign w:val="bottom"/>
            <w:hideMark/>
          </w:tcPr>
          <w:p w14:paraId="0975F233" w14:textId="2712A503" w:rsidR="00D24D95" w:rsidRPr="009702B0" w:rsidRDefault="00D24D95" w:rsidP="00D24D95">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eastAsia="Times New Roman" w:cs="Arial"/>
                <w:spacing w:val="-2"/>
                <w:position w:val="4"/>
                <w:sz w:val="18"/>
                <w:szCs w:val="18"/>
              </w:rPr>
              <w:t>_________</w:t>
            </w:r>
          </w:p>
        </w:tc>
      </w:tr>
      <w:tr w:rsidR="00214363" w:rsidRPr="009702B0" w14:paraId="44D18726" w14:textId="77777777" w:rsidTr="006B318F">
        <w:trPr>
          <w:trHeight w:val="76"/>
        </w:trPr>
        <w:tc>
          <w:tcPr>
            <w:tcW w:w="1390" w:type="pct"/>
            <w:vAlign w:val="bottom"/>
            <w:hideMark/>
          </w:tcPr>
          <w:p w14:paraId="06588B71" w14:textId="4DFCE353" w:rsidR="00214363" w:rsidRPr="009702B0" w:rsidRDefault="00214363" w:rsidP="00214363">
            <w:pPr>
              <w:tabs>
                <w:tab w:val="right" w:pos="1202"/>
              </w:tabs>
              <w:spacing w:after="0" w:line="240" w:lineRule="exact"/>
              <w:outlineLvl w:val="0"/>
              <w:rPr>
                <w:rFonts w:asciiTheme="minorHAnsi" w:eastAsia="Times New Roman" w:hAnsiTheme="minorHAnsi" w:cs="Arial"/>
                <w:iCs/>
                <w:sz w:val="18"/>
                <w:szCs w:val="18"/>
              </w:rPr>
            </w:pPr>
            <w:r w:rsidRPr="009702B0">
              <w:rPr>
                <w:rFonts w:asciiTheme="minorHAnsi" w:eastAsia="Times New Roman" w:hAnsiTheme="minorHAnsi" w:cs="Arial"/>
                <w:b/>
                <w:iCs/>
                <w:sz w:val="18"/>
                <w:szCs w:val="18"/>
              </w:rPr>
              <w:t xml:space="preserve">Balance as of </w:t>
            </w:r>
            <w:r>
              <w:rPr>
                <w:rFonts w:asciiTheme="minorHAnsi" w:eastAsia="Times New Roman" w:hAnsiTheme="minorHAnsi" w:cs="Arial"/>
                <w:b/>
                <w:iCs/>
                <w:sz w:val="18"/>
                <w:szCs w:val="18"/>
              </w:rPr>
              <w:t>30</w:t>
            </w:r>
            <w:r w:rsidRPr="001004B1">
              <w:rPr>
                <w:rFonts w:asciiTheme="minorHAnsi" w:eastAsia="Times New Roman" w:hAnsiTheme="minorHAnsi" w:cs="Arial"/>
                <w:b/>
                <w:iCs/>
                <w:sz w:val="18"/>
                <w:szCs w:val="18"/>
              </w:rPr>
              <w:t xml:space="preserve"> </w:t>
            </w:r>
            <w:r>
              <w:rPr>
                <w:rFonts w:asciiTheme="minorHAnsi" w:eastAsia="Times New Roman" w:hAnsiTheme="minorHAnsi" w:cs="Arial"/>
                <w:b/>
                <w:iCs/>
                <w:sz w:val="18"/>
                <w:szCs w:val="18"/>
              </w:rPr>
              <w:t xml:space="preserve">September </w:t>
            </w:r>
            <w:r w:rsidRPr="009702B0">
              <w:rPr>
                <w:rFonts w:asciiTheme="minorHAnsi" w:eastAsia="Times New Roman" w:hAnsiTheme="minorHAnsi" w:cs="Arial"/>
                <w:b/>
                <w:iCs/>
                <w:sz w:val="18"/>
                <w:szCs w:val="18"/>
              </w:rPr>
              <w:t>201</w:t>
            </w:r>
            <w:r>
              <w:rPr>
                <w:rFonts w:asciiTheme="minorHAnsi" w:eastAsia="Times New Roman" w:hAnsiTheme="minorHAnsi" w:cs="Arial"/>
                <w:b/>
                <w:iCs/>
                <w:sz w:val="18"/>
                <w:szCs w:val="18"/>
              </w:rPr>
              <w:t>7</w:t>
            </w:r>
          </w:p>
        </w:tc>
        <w:tc>
          <w:tcPr>
            <w:tcW w:w="602" w:type="pct"/>
            <w:shd w:val="clear" w:color="auto" w:fill="auto"/>
            <w:vAlign w:val="bottom"/>
          </w:tcPr>
          <w:p w14:paraId="0DEA3516" w14:textId="79A9B5DC" w:rsidR="00214363" w:rsidRPr="009702B0" w:rsidRDefault="00214363" w:rsidP="00214363">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37,500</w:t>
            </w:r>
          </w:p>
        </w:tc>
        <w:tc>
          <w:tcPr>
            <w:tcW w:w="602" w:type="pct"/>
            <w:shd w:val="clear" w:color="auto" w:fill="auto"/>
            <w:vAlign w:val="bottom"/>
          </w:tcPr>
          <w:p w14:paraId="6D0347F5" w14:textId="7EB2C52F" w:rsidR="00214363" w:rsidRPr="009702B0" w:rsidRDefault="00214363" w:rsidP="00214363">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1,167</w:t>
            </w:r>
          </w:p>
        </w:tc>
        <w:tc>
          <w:tcPr>
            <w:tcW w:w="602" w:type="pct"/>
            <w:shd w:val="clear" w:color="auto" w:fill="auto"/>
            <w:vAlign w:val="bottom"/>
          </w:tcPr>
          <w:p w14:paraId="31EC8056" w14:textId="2B439D7A" w:rsidR="00214363" w:rsidRPr="009702B0" w:rsidRDefault="00214363" w:rsidP="00214363">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2,833</w:t>
            </w:r>
          </w:p>
        </w:tc>
        <w:tc>
          <w:tcPr>
            <w:tcW w:w="602" w:type="pct"/>
            <w:shd w:val="clear" w:color="auto" w:fill="auto"/>
            <w:vAlign w:val="bottom"/>
          </w:tcPr>
          <w:p w14:paraId="5904204F" w14:textId="5BFD1F78" w:rsidR="00214363" w:rsidRPr="009702B0" w:rsidRDefault="00214363" w:rsidP="00214363">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1,030</w:t>
            </w:r>
          </w:p>
        </w:tc>
        <w:tc>
          <w:tcPr>
            <w:tcW w:w="602" w:type="pct"/>
            <w:shd w:val="clear" w:color="auto" w:fill="auto"/>
            <w:vAlign w:val="bottom"/>
          </w:tcPr>
          <w:p w14:paraId="0E5851F7" w14:textId="18AD29BE" w:rsidR="00214363" w:rsidRPr="009702B0" w:rsidRDefault="00214363" w:rsidP="00214363">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42,530</w:t>
            </w:r>
          </w:p>
        </w:tc>
        <w:tc>
          <w:tcPr>
            <w:tcW w:w="600" w:type="pct"/>
            <w:shd w:val="clear" w:color="auto" w:fill="auto"/>
            <w:vAlign w:val="bottom"/>
          </w:tcPr>
          <w:p w14:paraId="6D4D2D58" w14:textId="46272E1F" w:rsidR="00214363" w:rsidRPr="009702B0" w:rsidRDefault="00214363" w:rsidP="00214363">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42,530</w:t>
            </w:r>
          </w:p>
        </w:tc>
      </w:tr>
      <w:tr w:rsidR="005B5DEA" w:rsidRPr="009702B0" w14:paraId="740EECA0" w14:textId="77777777" w:rsidTr="00BA3F2A">
        <w:trPr>
          <w:trHeight w:val="110"/>
        </w:trPr>
        <w:tc>
          <w:tcPr>
            <w:tcW w:w="1390" w:type="pct"/>
          </w:tcPr>
          <w:p w14:paraId="353A9226" w14:textId="77777777" w:rsidR="005B5DEA" w:rsidRPr="009702B0" w:rsidRDefault="005B5DEA" w:rsidP="005B5DEA">
            <w:pPr>
              <w:tabs>
                <w:tab w:val="right" w:pos="1202"/>
              </w:tabs>
              <w:spacing w:after="0" w:line="140" w:lineRule="exact"/>
              <w:jc w:val="right"/>
              <w:outlineLvl w:val="0"/>
              <w:rPr>
                <w:rFonts w:asciiTheme="minorHAnsi" w:eastAsia="Times New Roman" w:hAnsiTheme="minorHAnsi" w:cs="Arial"/>
                <w:iCs/>
                <w:sz w:val="18"/>
                <w:szCs w:val="18"/>
              </w:rPr>
            </w:pPr>
          </w:p>
        </w:tc>
        <w:tc>
          <w:tcPr>
            <w:tcW w:w="602" w:type="pct"/>
            <w:vAlign w:val="bottom"/>
            <w:hideMark/>
          </w:tcPr>
          <w:p w14:paraId="23059160" w14:textId="77777777" w:rsidR="005B5DEA" w:rsidRPr="009702B0" w:rsidRDefault="005B5DEA" w:rsidP="005B5DEA">
            <w:pPr>
              <w:keepNext/>
              <w:keepLines/>
              <w:tabs>
                <w:tab w:val="decimal" w:pos="1015"/>
              </w:tabs>
              <w:spacing w:after="0" w:line="140" w:lineRule="exact"/>
              <w:jc w:val="right"/>
              <w:rPr>
                <w:rFonts w:eastAsia="Times New Roman" w:cs="Arial"/>
                <w:b/>
                <w:position w:val="4"/>
                <w:sz w:val="18"/>
                <w:szCs w:val="18"/>
                <w:u w:val="thick"/>
              </w:rPr>
            </w:pPr>
            <w:r w:rsidRPr="009702B0">
              <w:rPr>
                <w:rFonts w:eastAsia="Times New Roman" w:cs="Arial"/>
                <w:b/>
                <w:position w:val="4"/>
                <w:sz w:val="18"/>
                <w:szCs w:val="18"/>
                <w:u w:val="thick"/>
              </w:rPr>
              <w:t>__________</w:t>
            </w:r>
          </w:p>
        </w:tc>
        <w:tc>
          <w:tcPr>
            <w:tcW w:w="602" w:type="pct"/>
            <w:vAlign w:val="bottom"/>
            <w:hideMark/>
          </w:tcPr>
          <w:p w14:paraId="27A6D3FD" w14:textId="77777777" w:rsidR="005B5DEA" w:rsidRPr="009702B0" w:rsidRDefault="005B5DEA" w:rsidP="005B5DEA">
            <w:pPr>
              <w:keepNext/>
              <w:keepLines/>
              <w:tabs>
                <w:tab w:val="decimal" w:pos="1015"/>
              </w:tabs>
              <w:spacing w:after="0" w:line="140" w:lineRule="exact"/>
              <w:jc w:val="right"/>
              <w:rPr>
                <w:rFonts w:eastAsia="Times New Roman" w:cs="Arial"/>
                <w:b/>
                <w:position w:val="4"/>
                <w:sz w:val="18"/>
                <w:szCs w:val="18"/>
                <w:u w:val="thick"/>
              </w:rPr>
            </w:pPr>
            <w:r w:rsidRPr="009702B0">
              <w:rPr>
                <w:rFonts w:eastAsia="Times New Roman" w:cs="Arial"/>
                <w:b/>
                <w:position w:val="4"/>
                <w:sz w:val="18"/>
                <w:szCs w:val="18"/>
                <w:u w:val="thick"/>
              </w:rPr>
              <w:t>__________</w:t>
            </w:r>
          </w:p>
        </w:tc>
        <w:tc>
          <w:tcPr>
            <w:tcW w:w="602" w:type="pct"/>
            <w:vAlign w:val="bottom"/>
            <w:hideMark/>
          </w:tcPr>
          <w:p w14:paraId="461F48A8" w14:textId="77777777" w:rsidR="005B5DEA" w:rsidRPr="009702B0" w:rsidRDefault="005B5DEA" w:rsidP="005B5DEA">
            <w:pPr>
              <w:keepNext/>
              <w:keepLines/>
              <w:tabs>
                <w:tab w:val="decimal" w:pos="1015"/>
              </w:tabs>
              <w:spacing w:after="0" w:line="140" w:lineRule="exact"/>
              <w:jc w:val="right"/>
              <w:rPr>
                <w:rFonts w:eastAsia="Times New Roman" w:cs="Arial"/>
                <w:b/>
                <w:position w:val="4"/>
                <w:sz w:val="18"/>
                <w:szCs w:val="18"/>
                <w:u w:val="thick"/>
              </w:rPr>
            </w:pPr>
            <w:r w:rsidRPr="009702B0">
              <w:rPr>
                <w:rFonts w:eastAsia="Times New Roman" w:cs="Arial"/>
                <w:b/>
                <w:position w:val="4"/>
                <w:sz w:val="18"/>
                <w:szCs w:val="18"/>
                <w:u w:val="thick"/>
              </w:rPr>
              <w:t>__________</w:t>
            </w:r>
          </w:p>
        </w:tc>
        <w:tc>
          <w:tcPr>
            <w:tcW w:w="602" w:type="pct"/>
            <w:vAlign w:val="bottom"/>
            <w:hideMark/>
          </w:tcPr>
          <w:p w14:paraId="39333444" w14:textId="77777777" w:rsidR="005B5DEA" w:rsidRPr="009702B0" w:rsidRDefault="005B5DEA" w:rsidP="005B5DEA">
            <w:pPr>
              <w:keepNext/>
              <w:keepLines/>
              <w:tabs>
                <w:tab w:val="decimal" w:pos="1015"/>
              </w:tabs>
              <w:spacing w:after="0" w:line="140" w:lineRule="exact"/>
              <w:jc w:val="right"/>
              <w:rPr>
                <w:rFonts w:eastAsia="Times New Roman" w:cs="Arial"/>
                <w:b/>
                <w:position w:val="4"/>
                <w:sz w:val="18"/>
                <w:szCs w:val="18"/>
                <w:u w:val="thick"/>
              </w:rPr>
            </w:pPr>
            <w:r w:rsidRPr="009702B0">
              <w:rPr>
                <w:rFonts w:eastAsia="Times New Roman" w:cs="Arial"/>
                <w:b/>
                <w:position w:val="4"/>
                <w:sz w:val="18"/>
                <w:szCs w:val="18"/>
                <w:u w:val="thick"/>
              </w:rPr>
              <w:t>__</w:t>
            </w:r>
            <w:r>
              <w:rPr>
                <w:rFonts w:eastAsia="Times New Roman" w:cs="Arial"/>
                <w:b/>
                <w:position w:val="4"/>
                <w:sz w:val="18"/>
                <w:szCs w:val="18"/>
                <w:u w:val="thick"/>
              </w:rPr>
              <w:t>_</w:t>
            </w:r>
            <w:r w:rsidRPr="009702B0">
              <w:rPr>
                <w:rFonts w:eastAsia="Times New Roman" w:cs="Arial"/>
                <w:b/>
                <w:position w:val="4"/>
                <w:sz w:val="18"/>
                <w:szCs w:val="18"/>
                <w:u w:val="thick"/>
              </w:rPr>
              <w:t>_______</w:t>
            </w:r>
          </w:p>
        </w:tc>
        <w:tc>
          <w:tcPr>
            <w:tcW w:w="602" w:type="pct"/>
            <w:vAlign w:val="bottom"/>
            <w:hideMark/>
          </w:tcPr>
          <w:p w14:paraId="7C68E95E" w14:textId="77777777" w:rsidR="005B5DEA" w:rsidRPr="009702B0" w:rsidRDefault="005B5DEA" w:rsidP="005B5DEA">
            <w:pPr>
              <w:keepNext/>
              <w:keepLines/>
              <w:tabs>
                <w:tab w:val="decimal" w:pos="1015"/>
              </w:tabs>
              <w:spacing w:after="0" w:line="140" w:lineRule="exact"/>
              <w:jc w:val="right"/>
              <w:rPr>
                <w:rFonts w:eastAsia="Times New Roman" w:cs="Arial"/>
                <w:b/>
                <w:position w:val="4"/>
                <w:sz w:val="18"/>
                <w:szCs w:val="18"/>
                <w:u w:val="thick"/>
              </w:rPr>
            </w:pPr>
            <w:r w:rsidRPr="009702B0">
              <w:rPr>
                <w:rFonts w:eastAsia="Times New Roman" w:cs="Arial"/>
                <w:b/>
                <w:position w:val="4"/>
                <w:sz w:val="18"/>
                <w:szCs w:val="18"/>
                <w:u w:val="thick"/>
              </w:rPr>
              <w:t>___</w:t>
            </w:r>
            <w:r>
              <w:rPr>
                <w:rFonts w:eastAsia="Times New Roman" w:cs="Arial"/>
                <w:b/>
                <w:position w:val="4"/>
                <w:sz w:val="18"/>
                <w:szCs w:val="18"/>
                <w:u w:val="thick"/>
              </w:rPr>
              <w:t>_</w:t>
            </w:r>
            <w:r w:rsidRPr="009702B0">
              <w:rPr>
                <w:rFonts w:eastAsia="Times New Roman" w:cs="Arial"/>
                <w:b/>
                <w:position w:val="4"/>
                <w:sz w:val="18"/>
                <w:szCs w:val="18"/>
                <w:u w:val="thick"/>
              </w:rPr>
              <w:t>______</w:t>
            </w:r>
          </w:p>
        </w:tc>
        <w:tc>
          <w:tcPr>
            <w:tcW w:w="600" w:type="pct"/>
            <w:vAlign w:val="bottom"/>
            <w:hideMark/>
          </w:tcPr>
          <w:p w14:paraId="5FCDC517" w14:textId="77777777" w:rsidR="005B5DEA" w:rsidRPr="009702B0" w:rsidRDefault="005B5DEA" w:rsidP="005B5DEA">
            <w:pPr>
              <w:keepNext/>
              <w:keepLines/>
              <w:tabs>
                <w:tab w:val="decimal" w:pos="1015"/>
              </w:tabs>
              <w:spacing w:after="0" w:line="140" w:lineRule="exact"/>
              <w:jc w:val="right"/>
              <w:rPr>
                <w:rFonts w:eastAsia="Times New Roman" w:cs="Arial"/>
                <w:b/>
                <w:position w:val="4"/>
                <w:sz w:val="18"/>
                <w:szCs w:val="18"/>
                <w:u w:val="thick"/>
              </w:rPr>
            </w:pPr>
            <w:r>
              <w:rPr>
                <w:rFonts w:eastAsia="Times New Roman" w:cs="Arial"/>
                <w:b/>
                <w:position w:val="4"/>
                <w:sz w:val="18"/>
                <w:szCs w:val="18"/>
                <w:u w:val="thick"/>
              </w:rPr>
              <w:t>___</w:t>
            </w:r>
            <w:r w:rsidRPr="009702B0">
              <w:rPr>
                <w:rFonts w:eastAsia="Times New Roman" w:cs="Arial"/>
                <w:b/>
                <w:position w:val="4"/>
                <w:sz w:val="18"/>
                <w:szCs w:val="18"/>
                <w:u w:val="thick"/>
              </w:rPr>
              <w:t>_______</w:t>
            </w:r>
          </w:p>
        </w:tc>
      </w:tr>
      <w:tr w:rsidR="005B5DEA" w:rsidRPr="009702B0" w14:paraId="4D8F3E21" w14:textId="77777777" w:rsidTr="00BA3F2A">
        <w:trPr>
          <w:trHeight w:val="57"/>
        </w:trPr>
        <w:tc>
          <w:tcPr>
            <w:tcW w:w="1390" w:type="pct"/>
          </w:tcPr>
          <w:p w14:paraId="7B98BE31" w14:textId="77777777" w:rsidR="005B5DEA" w:rsidRPr="009702B0" w:rsidRDefault="005B5DEA" w:rsidP="005B5DEA">
            <w:pPr>
              <w:tabs>
                <w:tab w:val="right" w:pos="1202"/>
              </w:tabs>
              <w:spacing w:after="0" w:line="140" w:lineRule="exact"/>
              <w:jc w:val="right"/>
              <w:outlineLvl w:val="0"/>
              <w:rPr>
                <w:rFonts w:asciiTheme="minorHAnsi" w:eastAsia="Times New Roman" w:hAnsiTheme="minorHAnsi" w:cs="Arial"/>
                <w:b/>
                <w:iCs/>
                <w:sz w:val="18"/>
                <w:szCs w:val="18"/>
              </w:rPr>
            </w:pPr>
          </w:p>
        </w:tc>
        <w:tc>
          <w:tcPr>
            <w:tcW w:w="602" w:type="pct"/>
            <w:vAlign w:val="bottom"/>
          </w:tcPr>
          <w:p w14:paraId="2DC5589C" w14:textId="77777777" w:rsidR="005B5DEA" w:rsidRPr="009702B0" w:rsidRDefault="005B5DEA" w:rsidP="005B5DEA">
            <w:pPr>
              <w:keepNext/>
              <w:keepLines/>
              <w:tabs>
                <w:tab w:val="decimal" w:pos="1015"/>
              </w:tabs>
              <w:spacing w:after="0" w:line="140" w:lineRule="exact"/>
              <w:jc w:val="right"/>
              <w:rPr>
                <w:rFonts w:asciiTheme="minorHAnsi" w:eastAsia="Times New Roman" w:hAnsiTheme="minorHAnsi" w:cs="Arial"/>
                <w:b/>
                <w:position w:val="4"/>
                <w:sz w:val="18"/>
                <w:szCs w:val="18"/>
                <w:u w:val="thick"/>
              </w:rPr>
            </w:pPr>
          </w:p>
        </w:tc>
        <w:tc>
          <w:tcPr>
            <w:tcW w:w="602" w:type="pct"/>
            <w:vAlign w:val="bottom"/>
          </w:tcPr>
          <w:p w14:paraId="06E5276D" w14:textId="77777777" w:rsidR="005B5DEA" w:rsidRPr="009702B0" w:rsidRDefault="005B5DEA" w:rsidP="005B5DEA">
            <w:pPr>
              <w:keepNext/>
              <w:keepLines/>
              <w:tabs>
                <w:tab w:val="decimal" w:pos="1015"/>
              </w:tabs>
              <w:spacing w:after="0" w:line="140" w:lineRule="exact"/>
              <w:jc w:val="right"/>
              <w:rPr>
                <w:rFonts w:asciiTheme="minorHAnsi" w:eastAsia="Times New Roman" w:hAnsiTheme="minorHAnsi" w:cs="Arial"/>
                <w:b/>
                <w:position w:val="4"/>
                <w:sz w:val="18"/>
                <w:szCs w:val="18"/>
                <w:u w:val="thick"/>
              </w:rPr>
            </w:pPr>
          </w:p>
        </w:tc>
        <w:tc>
          <w:tcPr>
            <w:tcW w:w="602" w:type="pct"/>
            <w:vAlign w:val="bottom"/>
          </w:tcPr>
          <w:p w14:paraId="20263067" w14:textId="77777777" w:rsidR="005B5DEA" w:rsidRPr="009702B0" w:rsidRDefault="005B5DEA" w:rsidP="005B5DEA">
            <w:pPr>
              <w:keepNext/>
              <w:keepLines/>
              <w:tabs>
                <w:tab w:val="decimal" w:pos="1015"/>
              </w:tabs>
              <w:spacing w:after="0" w:line="140" w:lineRule="exact"/>
              <w:jc w:val="right"/>
              <w:rPr>
                <w:rFonts w:asciiTheme="minorHAnsi" w:eastAsia="Times New Roman" w:hAnsiTheme="minorHAnsi" w:cs="Arial"/>
                <w:b/>
                <w:position w:val="4"/>
                <w:sz w:val="18"/>
                <w:szCs w:val="18"/>
                <w:u w:val="thick"/>
              </w:rPr>
            </w:pPr>
          </w:p>
        </w:tc>
        <w:tc>
          <w:tcPr>
            <w:tcW w:w="602" w:type="pct"/>
            <w:vAlign w:val="bottom"/>
          </w:tcPr>
          <w:p w14:paraId="741BB4E9" w14:textId="77777777" w:rsidR="005B5DEA" w:rsidRPr="009702B0" w:rsidRDefault="005B5DEA" w:rsidP="005B5DEA">
            <w:pPr>
              <w:keepNext/>
              <w:keepLines/>
              <w:tabs>
                <w:tab w:val="decimal" w:pos="1015"/>
              </w:tabs>
              <w:spacing w:after="0" w:line="140" w:lineRule="exact"/>
              <w:jc w:val="right"/>
              <w:rPr>
                <w:rFonts w:asciiTheme="minorHAnsi" w:eastAsia="Times New Roman" w:hAnsiTheme="minorHAnsi" w:cs="Arial"/>
                <w:b/>
                <w:position w:val="4"/>
                <w:sz w:val="18"/>
                <w:szCs w:val="18"/>
                <w:u w:val="thick"/>
              </w:rPr>
            </w:pPr>
          </w:p>
        </w:tc>
        <w:tc>
          <w:tcPr>
            <w:tcW w:w="602" w:type="pct"/>
            <w:vAlign w:val="bottom"/>
          </w:tcPr>
          <w:p w14:paraId="65F83226" w14:textId="77777777" w:rsidR="005B5DEA" w:rsidRPr="009702B0" w:rsidRDefault="005B5DEA" w:rsidP="005B5DEA">
            <w:pPr>
              <w:keepNext/>
              <w:keepLines/>
              <w:tabs>
                <w:tab w:val="decimal" w:pos="1015"/>
              </w:tabs>
              <w:spacing w:after="0" w:line="140" w:lineRule="exact"/>
              <w:jc w:val="right"/>
              <w:rPr>
                <w:rFonts w:asciiTheme="minorHAnsi" w:eastAsia="Times New Roman" w:hAnsiTheme="minorHAnsi" w:cs="Arial"/>
                <w:b/>
                <w:position w:val="4"/>
                <w:sz w:val="18"/>
                <w:szCs w:val="18"/>
                <w:u w:val="thick"/>
              </w:rPr>
            </w:pPr>
          </w:p>
        </w:tc>
        <w:tc>
          <w:tcPr>
            <w:tcW w:w="600" w:type="pct"/>
            <w:vAlign w:val="bottom"/>
          </w:tcPr>
          <w:p w14:paraId="7DA8BE08" w14:textId="77777777" w:rsidR="005B5DEA" w:rsidRPr="009702B0" w:rsidRDefault="005B5DEA" w:rsidP="005B5DEA">
            <w:pPr>
              <w:keepNext/>
              <w:keepLines/>
              <w:tabs>
                <w:tab w:val="decimal" w:pos="1015"/>
              </w:tabs>
              <w:spacing w:after="0" w:line="140" w:lineRule="exact"/>
              <w:jc w:val="right"/>
              <w:rPr>
                <w:rFonts w:asciiTheme="minorHAnsi" w:eastAsia="Times New Roman" w:hAnsiTheme="minorHAnsi" w:cs="Arial"/>
                <w:b/>
                <w:position w:val="4"/>
                <w:sz w:val="18"/>
                <w:szCs w:val="18"/>
                <w:u w:val="thick"/>
              </w:rPr>
            </w:pPr>
          </w:p>
        </w:tc>
      </w:tr>
    </w:tbl>
    <w:p w14:paraId="0B4F5055" w14:textId="77777777" w:rsidR="009702B0" w:rsidRPr="009702B0" w:rsidRDefault="009702B0" w:rsidP="009702B0">
      <w:pPr>
        <w:spacing w:after="0" w:line="240" w:lineRule="auto"/>
      </w:pPr>
    </w:p>
    <w:p w14:paraId="7CC98645" w14:textId="77777777" w:rsidR="009702B0" w:rsidRPr="009702B0" w:rsidRDefault="009702B0" w:rsidP="009702B0">
      <w:pPr>
        <w:spacing w:after="0" w:line="240" w:lineRule="auto"/>
      </w:pPr>
    </w:p>
    <w:p w14:paraId="5A310A83" w14:textId="77777777" w:rsidR="009702B0" w:rsidRPr="009702B0" w:rsidRDefault="009702B0" w:rsidP="009702B0">
      <w:pPr>
        <w:keepNext/>
        <w:spacing w:after="0" w:line="240" w:lineRule="auto"/>
        <w:jc w:val="both"/>
        <w:rPr>
          <w:rFonts w:ascii="Arial" w:eastAsia="Times New Roman" w:hAnsi="Arial"/>
          <w:b/>
          <w:bCs/>
          <w:sz w:val="19"/>
          <w:szCs w:val="20"/>
          <w:lang w:val="pl-PL"/>
        </w:rPr>
      </w:pPr>
    </w:p>
    <w:p w14:paraId="266D30C3" w14:textId="77777777" w:rsidR="009702B0" w:rsidRPr="009702B0" w:rsidRDefault="009702B0" w:rsidP="009702B0">
      <w:pPr>
        <w:spacing w:after="0" w:line="240" w:lineRule="auto"/>
        <w:jc w:val="both"/>
        <w:rPr>
          <w:rFonts w:eastAsia="Times New Roman" w:cs="Arial"/>
          <w:bCs/>
        </w:rPr>
      </w:pPr>
    </w:p>
    <w:p w14:paraId="45F47544" w14:textId="77777777" w:rsidR="00974733" w:rsidRDefault="00974733" w:rsidP="00974733">
      <w:pPr>
        <w:spacing w:after="0" w:line="240" w:lineRule="auto"/>
      </w:pPr>
    </w:p>
    <w:p w14:paraId="4E439608" w14:textId="77777777" w:rsidR="00974733" w:rsidRDefault="00974733" w:rsidP="00974733">
      <w:pPr>
        <w:spacing w:after="0" w:line="240" w:lineRule="auto"/>
      </w:pPr>
    </w:p>
    <w:p w14:paraId="11DF9311" w14:textId="77777777" w:rsidR="00C56E63" w:rsidRDefault="00C56E63" w:rsidP="00974733">
      <w:pPr>
        <w:pStyle w:val="T1"/>
        <w:spacing w:before="0" w:after="0" w:line="240" w:lineRule="auto"/>
      </w:pPr>
    </w:p>
    <w:p w14:paraId="4919A4B4" w14:textId="77777777" w:rsidR="00C56E63" w:rsidRPr="00971E2C" w:rsidRDefault="00C56E63" w:rsidP="005444AA"/>
    <w:p w14:paraId="77D069B3" w14:textId="77777777" w:rsidR="00C56E63" w:rsidRDefault="00C56E63" w:rsidP="00C56E63">
      <w:pPr>
        <w:rPr>
          <w:lang w:val="pl-PL"/>
        </w:rPr>
      </w:pPr>
    </w:p>
    <w:p w14:paraId="1173EFD7" w14:textId="77777777" w:rsidR="002265E5" w:rsidRPr="00971E2C" w:rsidRDefault="00C56E63" w:rsidP="005444AA">
      <w:pPr>
        <w:tabs>
          <w:tab w:val="left" w:pos="2227"/>
        </w:tabs>
      </w:pPr>
      <w:r>
        <w:rPr>
          <w:lang w:val="pl-PL"/>
        </w:rPr>
        <w:tab/>
      </w:r>
    </w:p>
    <w:sectPr w:rsidR="002265E5" w:rsidRPr="00971E2C" w:rsidSect="00947CB7">
      <w:headerReference w:type="first" r:id="rId138"/>
      <w:footerReference w:type="first" r:id="rId139"/>
      <w:pgSz w:w="11906" w:h="16838" w:code="9"/>
      <w:pgMar w:top="1418" w:right="1418" w:bottom="595"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8C15E" w14:textId="77777777" w:rsidR="00073888" w:rsidRDefault="00073888" w:rsidP="004D4B9D">
      <w:pPr>
        <w:spacing w:after="0" w:line="240" w:lineRule="auto"/>
      </w:pPr>
      <w:r>
        <w:separator/>
      </w:r>
    </w:p>
  </w:endnote>
  <w:endnote w:type="continuationSeparator" w:id="0">
    <w:p w14:paraId="3A0A04E7" w14:textId="77777777" w:rsidR="00073888" w:rsidRDefault="00073888" w:rsidP="004D4B9D">
      <w:pPr>
        <w:spacing w:after="0" w:line="240" w:lineRule="auto"/>
      </w:pPr>
      <w:r>
        <w:continuationSeparator/>
      </w:r>
    </w:p>
  </w:endnote>
  <w:endnote w:type="continuationNotice" w:id="1">
    <w:p w14:paraId="7A33BF86" w14:textId="77777777" w:rsidR="00073888" w:rsidRDefault="000738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EYInterstate-LightItalic">
    <w:altName w:val="Calibri"/>
    <w:charset w:val="00"/>
    <w:family w:val="auto"/>
    <w:pitch w:val="default"/>
  </w:font>
  <w:font w:name="EYInterstate-Light">
    <w:altName w:val="Calibri"/>
    <w:charset w:val="00"/>
    <w:family w:val="auto"/>
    <w:pitch w:val="default"/>
  </w:font>
  <w:font w:name="FrutigerLTCom-Ligh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FCABD" w14:textId="77777777" w:rsidR="00073888" w:rsidRDefault="00073888" w:rsidP="00282C5F">
    <w:pPr>
      <w:pBdr>
        <w:top w:val="single" w:sz="4" w:space="1" w:color="auto"/>
      </w:pBdr>
      <w:tabs>
        <w:tab w:val="center" w:pos="4153"/>
        <w:tab w:val="right" w:pos="9072"/>
      </w:tabs>
      <w:spacing w:after="0" w:line="240" w:lineRule="auto"/>
      <w:ind w:right="283"/>
    </w:pPr>
    <w:r w:rsidRPr="00F338F1">
      <w:rPr>
        <w:rFonts w:eastAsia="Times New Roman" w:cs="Arial"/>
        <w:sz w:val="19"/>
        <w:szCs w:val="19"/>
      </w:rPr>
      <w:t xml:space="preserve">15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8042D" w14:textId="2E1E90B4" w:rsidR="00073888" w:rsidRDefault="00073888" w:rsidP="003C4A3A">
    <w:pPr>
      <w:pBdr>
        <w:top w:val="single" w:sz="4" w:space="1" w:color="auto"/>
      </w:pBdr>
      <w:tabs>
        <w:tab w:val="center" w:pos="4153"/>
        <w:tab w:val="right" w:pos="9072"/>
      </w:tabs>
      <w:spacing w:after="0" w:line="240" w:lineRule="auto"/>
      <w:ind w:right="283"/>
      <w:rPr>
        <w:rFonts w:eastAsia="Times New Roman" w:cs="Arial"/>
        <w:sz w:val="19"/>
        <w:szCs w:val="19"/>
      </w:rPr>
    </w:pPr>
    <w:r>
      <w:rPr>
        <w:rFonts w:eastAsia="Times New Roman" w:cs="Arial"/>
        <w:sz w:val="19"/>
        <w:szCs w:val="19"/>
      </w:rPr>
      <w:t>9</w:t>
    </w:r>
    <w:r w:rsidRPr="00517366">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06B51AF4" w14:textId="77777777" w:rsidR="00073888" w:rsidRDefault="00073888" w:rsidP="003C4A3A">
    <w:pPr>
      <w:pBdr>
        <w:top w:val="single" w:sz="4" w:space="1" w:color="auto"/>
      </w:pBdr>
      <w:tabs>
        <w:tab w:val="center" w:pos="4153"/>
        <w:tab w:val="right" w:pos="9072"/>
      </w:tabs>
      <w:spacing w:after="0" w:line="240" w:lineRule="auto"/>
      <w:ind w:right="283"/>
    </w:pPr>
    <w:r>
      <w:tab/>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076F8" w14:textId="75A7BBED" w:rsidR="00073888" w:rsidRPr="00517366"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proofErr w:type="gramStart"/>
    <w:r>
      <w:rPr>
        <w:rFonts w:eastAsia="Times New Roman" w:cs="Arial"/>
        <w:sz w:val="19"/>
        <w:szCs w:val="19"/>
      </w:rPr>
      <w:t>91</w:t>
    </w:r>
    <w:r w:rsidRPr="0053227E">
      <w:rPr>
        <w:rFonts w:eastAsia="Times New Roman" w:cs="Arial"/>
        <w:sz w:val="19"/>
        <w:szCs w:val="19"/>
      </w:rPr>
      <w:t xml:space="preserve">  </w:t>
    </w:r>
    <w:r w:rsidRPr="00DA56BB">
      <w:rPr>
        <w:rFonts w:eastAsia="Times New Roman" w:cs="Arial"/>
        <w:sz w:val="19"/>
        <w:szCs w:val="19"/>
      </w:rPr>
      <w:t>Croatian</w:t>
    </w:r>
    <w:proofErr w:type="gramEnd"/>
    <w:r w:rsidRPr="00DA56BB">
      <w:rPr>
        <w:rFonts w:eastAsia="Times New Roman" w:cs="Arial"/>
        <w:sz w:val="19"/>
        <w:szCs w:val="19"/>
      </w:rPr>
      <w:t xml:space="preserve"> Bank for Reconstruction and Development</w:t>
    </w:r>
  </w:p>
  <w:p w14:paraId="31B0D44C" w14:textId="77777777" w:rsidR="00073888" w:rsidRPr="00517366" w:rsidRDefault="00073888">
    <w:pPr>
      <w:pStyle w:val="Footer"/>
    </w:pP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51C6D" w14:textId="6B617383" w:rsidR="00073888" w:rsidRPr="00DA56BB"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92</w:t>
    </w:r>
    <w:r w:rsidRPr="0053227E">
      <w:rPr>
        <w:rFonts w:eastAsia="Times New Roman" w:cs="Arial"/>
        <w:sz w:val="19"/>
        <w:szCs w:val="19"/>
      </w:rPr>
      <w:t xml:space="preserve">   </w:t>
    </w:r>
    <w:r w:rsidRPr="00DA56BB">
      <w:rPr>
        <w:rFonts w:eastAsia="Times New Roman" w:cs="Arial"/>
        <w:sz w:val="19"/>
        <w:szCs w:val="19"/>
      </w:rPr>
      <w:t>Croatian Bank for Reconstruction and Development</w:t>
    </w:r>
  </w:p>
  <w:p w14:paraId="12E0585E" w14:textId="77777777" w:rsidR="00073888" w:rsidRDefault="00073888">
    <w:pPr>
      <w:pStyle w:val="Footer"/>
    </w:pP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7124C" w14:textId="59004BFA" w:rsidR="00073888" w:rsidRPr="00DA56BB"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93</w:t>
    </w:r>
    <w:r w:rsidRPr="00DA56BB">
      <w:rPr>
        <w:rFonts w:eastAsia="Times New Roman" w:cs="Arial"/>
        <w:sz w:val="19"/>
        <w:szCs w:val="19"/>
      </w:rPr>
      <w:t xml:space="preserve">   Croatian Bank for Reconstruction and Development</w:t>
    </w:r>
  </w:p>
  <w:p w14:paraId="1215AC7A" w14:textId="77777777" w:rsidR="00073888" w:rsidRPr="00517366" w:rsidRDefault="00073888">
    <w:pPr>
      <w:pStyle w:val="Footer"/>
    </w:pP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52886" w14:textId="7B6F9979" w:rsidR="00073888" w:rsidRDefault="00073888" w:rsidP="00A37280">
    <w:pPr>
      <w:pStyle w:val="Footer"/>
      <w:pBdr>
        <w:top w:val="single" w:sz="4" w:space="1" w:color="auto"/>
      </w:pBdr>
      <w:ind w:right="283"/>
      <w:rPr>
        <w:rFonts w:cs="Arial"/>
        <w:sz w:val="19"/>
        <w:szCs w:val="19"/>
      </w:rPr>
    </w:pPr>
    <w:proofErr w:type="gramStart"/>
    <w:r>
      <w:rPr>
        <w:rFonts w:cs="Arial"/>
        <w:sz w:val="19"/>
        <w:szCs w:val="19"/>
      </w:rPr>
      <w:t xml:space="preserve">95  </w:t>
    </w:r>
    <w:r w:rsidRPr="0053227E">
      <w:rPr>
        <w:rFonts w:cs="Arial"/>
        <w:sz w:val="19"/>
        <w:szCs w:val="19"/>
      </w:rPr>
      <w:t>Croatian</w:t>
    </w:r>
    <w:proofErr w:type="gramEnd"/>
    <w:r w:rsidRPr="0053227E">
      <w:rPr>
        <w:rFonts w:cs="Arial"/>
        <w:sz w:val="19"/>
        <w:szCs w:val="19"/>
      </w:rPr>
      <w:t xml:space="preserve"> Bank for Reconstruction and Development</w:t>
    </w:r>
  </w:p>
  <w:p w14:paraId="24009637" w14:textId="77777777" w:rsidR="00073888" w:rsidRPr="0053227E" w:rsidRDefault="00073888" w:rsidP="00A37280">
    <w:pPr>
      <w:pStyle w:val="Footer"/>
      <w:pBdr>
        <w:top w:val="single" w:sz="4" w:space="1" w:color="auto"/>
      </w:pBdr>
      <w:ind w:right="283"/>
      <w:rPr>
        <w:sz w:val="19"/>
      </w:rPr>
    </w:pP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717CA" w14:textId="6BF1FC55" w:rsidR="00073888" w:rsidRPr="00D16CF4"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94</w:t>
    </w:r>
    <w:r w:rsidRPr="00D16CF4">
      <w:rPr>
        <w:rFonts w:eastAsia="Times New Roman" w:cs="Arial"/>
        <w:sz w:val="19"/>
        <w:szCs w:val="19"/>
      </w:rPr>
      <w:t xml:space="preserve">   Croatian Bank for Reconstruction and Development</w:t>
    </w:r>
    <w:r w:rsidRPr="00D16CF4" w:rsidDel="002B1A0A">
      <w:rPr>
        <w:rFonts w:eastAsia="Times New Roman" w:cs="Arial"/>
        <w:sz w:val="19"/>
        <w:szCs w:val="19"/>
      </w:rPr>
      <w:t xml:space="preserve"> </w:t>
    </w:r>
  </w:p>
  <w:p w14:paraId="4658A5C1" w14:textId="77777777" w:rsidR="00073888" w:rsidRPr="00D16CF4" w:rsidRDefault="00073888">
    <w:pPr>
      <w:pStyle w:val="Footer"/>
    </w:pP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0CB72" w14:textId="2EA29D7C" w:rsidR="00073888" w:rsidRPr="00D16CF4"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96</w:t>
    </w:r>
    <w:r w:rsidRPr="00D16CF4">
      <w:rPr>
        <w:rFonts w:eastAsia="Times New Roman" w:cs="Arial"/>
        <w:sz w:val="19"/>
        <w:szCs w:val="19"/>
      </w:rPr>
      <w:t xml:space="preserve">   Croatian Bank for Reconstruction and Development</w:t>
    </w:r>
    <w:r w:rsidRPr="00D16CF4" w:rsidDel="002B1A0A">
      <w:rPr>
        <w:rFonts w:eastAsia="Times New Roman" w:cs="Arial"/>
        <w:sz w:val="19"/>
        <w:szCs w:val="19"/>
      </w:rPr>
      <w:t xml:space="preserve"> </w:t>
    </w:r>
  </w:p>
  <w:p w14:paraId="08498F9C" w14:textId="77777777" w:rsidR="00073888" w:rsidRPr="00D16CF4" w:rsidRDefault="00073888">
    <w:pPr>
      <w:pStyle w:val="Footer"/>
    </w:pP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5F5EA" w14:textId="0F165D96" w:rsidR="00073888" w:rsidRPr="00D16CF4"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 xml:space="preserve">97 </w:t>
    </w:r>
    <w:r w:rsidRPr="00D16CF4">
      <w:rPr>
        <w:rFonts w:eastAsia="Times New Roman" w:cs="Arial"/>
        <w:sz w:val="19"/>
        <w:szCs w:val="19"/>
      </w:rPr>
      <w:t xml:space="preserve">  Croatian Bank for Reconstruction and Development</w:t>
    </w:r>
    <w:r w:rsidRPr="00D16CF4" w:rsidDel="002B1A0A">
      <w:rPr>
        <w:rFonts w:eastAsia="Times New Roman" w:cs="Arial"/>
        <w:sz w:val="19"/>
        <w:szCs w:val="19"/>
      </w:rPr>
      <w:t xml:space="preserve"> </w:t>
    </w:r>
  </w:p>
  <w:p w14:paraId="4B77FA28" w14:textId="77777777" w:rsidR="00073888" w:rsidRPr="00D16CF4" w:rsidRDefault="00073888">
    <w:pPr>
      <w:pStyle w:val="Footer"/>
    </w:pP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08185" w14:textId="031D7AF9" w:rsidR="00073888" w:rsidRPr="00D16CF4"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98</w:t>
    </w:r>
    <w:r w:rsidRPr="00D16CF4">
      <w:rPr>
        <w:rFonts w:eastAsia="Times New Roman" w:cs="Arial"/>
        <w:sz w:val="19"/>
        <w:szCs w:val="19"/>
      </w:rPr>
      <w:t xml:space="preserve">   Croatian Bank for Reconstruction and Development</w:t>
    </w:r>
    <w:r w:rsidRPr="00D16CF4" w:rsidDel="002B1A0A">
      <w:rPr>
        <w:rFonts w:eastAsia="Times New Roman" w:cs="Arial"/>
        <w:sz w:val="19"/>
        <w:szCs w:val="19"/>
      </w:rPr>
      <w:t xml:space="preserve"> </w:t>
    </w:r>
  </w:p>
  <w:p w14:paraId="0635A349" w14:textId="77777777" w:rsidR="00073888" w:rsidRPr="00D16CF4" w:rsidRDefault="0007388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94A99" w14:textId="4CEAAC3B" w:rsidR="00073888" w:rsidRDefault="00073888" w:rsidP="00AF599F">
    <w:pPr>
      <w:pBdr>
        <w:top w:val="single" w:sz="4" w:space="1" w:color="auto"/>
      </w:pBdr>
      <w:tabs>
        <w:tab w:val="center" w:pos="4153"/>
        <w:tab w:val="right" w:pos="9072"/>
      </w:tabs>
      <w:spacing w:after="0" w:line="240" w:lineRule="auto"/>
      <w:ind w:right="283"/>
      <w:rPr>
        <w:rFonts w:eastAsia="Times New Roman" w:cs="Arial"/>
        <w:sz w:val="19"/>
        <w:szCs w:val="19"/>
      </w:rPr>
    </w:pPr>
    <w:r>
      <w:rPr>
        <w:rFonts w:eastAsia="Times New Roman" w:cs="Arial"/>
        <w:sz w:val="19"/>
        <w:szCs w:val="19"/>
      </w:rPr>
      <w:t>10</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5C1FA214" w14:textId="77777777" w:rsidR="00073888" w:rsidRDefault="00073888" w:rsidP="00AF599F">
    <w:pPr>
      <w:pBdr>
        <w:top w:val="single" w:sz="4" w:space="1" w:color="auto"/>
      </w:pBdr>
      <w:tabs>
        <w:tab w:val="center" w:pos="4153"/>
        <w:tab w:val="right" w:pos="9072"/>
      </w:tabs>
      <w:spacing w:after="0" w:line="240" w:lineRule="auto"/>
      <w:ind w:right="283"/>
    </w:pP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CC4A7" w14:textId="61885717" w:rsidR="00073888" w:rsidRPr="00517366" w:rsidRDefault="00073888" w:rsidP="0091098F">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11</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3BE37929" w14:textId="4681EB2A" w:rsidR="00073888" w:rsidRDefault="00073888">
    <w:pPr>
      <w:pStyle w:val="Footer"/>
    </w:pPr>
    <w: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60D26" w14:textId="02F3CE8B" w:rsidR="00073888" w:rsidRPr="00517366" w:rsidRDefault="00073888" w:rsidP="009157B3">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12</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55DABCEA" w14:textId="77777777" w:rsidR="00073888" w:rsidRDefault="00073888">
    <w:pPr>
      <w:pStyle w:val="Footer"/>
    </w:pPr>
    <w: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FAC06" w14:textId="54001DFB" w:rsidR="00073888" w:rsidRDefault="00073888" w:rsidP="004947DD">
    <w:pPr>
      <w:pBdr>
        <w:top w:val="single" w:sz="4" w:space="1" w:color="auto"/>
      </w:pBdr>
      <w:tabs>
        <w:tab w:val="center" w:pos="4153"/>
        <w:tab w:val="right" w:pos="9072"/>
      </w:tabs>
      <w:spacing w:after="0" w:line="240" w:lineRule="auto"/>
      <w:ind w:right="283"/>
      <w:rPr>
        <w:rFonts w:eastAsia="Times New Roman" w:cs="Arial"/>
        <w:sz w:val="19"/>
        <w:szCs w:val="19"/>
      </w:rPr>
    </w:pPr>
    <w:r>
      <w:rPr>
        <w:rFonts w:eastAsia="Times New Roman" w:cs="Arial"/>
        <w:sz w:val="19"/>
        <w:szCs w:val="19"/>
      </w:rPr>
      <w:t>13</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621737E5" w14:textId="77777777" w:rsidR="00073888" w:rsidRDefault="00073888" w:rsidP="004947DD">
    <w:pPr>
      <w:pBdr>
        <w:top w:val="single" w:sz="4" w:space="1" w:color="auto"/>
      </w:pBdr>
      <w:tabs>
        <w:tab w:val="center" w:pos="4153"/>
        <w:tab w:val="right" w:pos="9072"/>
      </w:tabs>
      <w:spacing w:after="0" w:line="240" w:lineRule="auto"/>
      <w:ind w:right="283"/>
    </w:pPr>
    <w: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FAC3D" w14:textId="77777777" w:rsidR="00073888" w:rsidRDefault="00073888" w:rsidP="00282C5F">
    <w:pPr>
      <w:pBdr>
        <w:top w:val="single" w:sz="4" w:space="1" w:color="auto"/>
      </w:pBdr>
      <w:tabs>
        <w:tab w:val="center" w:pos="4153"/>
        <w:tab w:val="right" w:pos="9072"/>
      </w:tabs>
      <w:spacing w:after="0" w:line="240" w:lineRule="auto"/>
      <w:ind w:right="283"/>
    </w:pPr>
    <w:r w:rsidRPr="00F338F1">
      <w:rPr>
        <w:rFonts w:eastAsia="Times New Roman" w:cs="Arial"/>
        <w:sz w:val="19"/>
        <w:szCs w:val="19"/>
      </w:rPr>
      <w:t xml:space="preserve">15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06DFE" w14:textId="562B9A43" w:rsidR="00073888" w:rsidRPr="00517366"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14</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67188A87" w14:textId="77777777" w:rsidR="00073888" w:rsidRDefault="00073888">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DBA2C" w14:textId="18E24099" w:rsidR="00073888" w:rsidRPr="00517366"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15</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7CDBE5A0" w14:textId="77777777" w:rsidR="00073888" w:rsidRDefault="00073888">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20224" w14:textId="16F84986" w:rsidR="00073888" w:rsidRPr="00517366"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16</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6B89299E" w14:textId="77777777" w:rsidR="00073888" w:rsidRDefault="00073888">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5356B" w14:textId="24E30247" w:rsidR="00073888" w:rsidRPr="00517366"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17</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166F2536" w14:textId="77777777" w:rsidR="00073888" w:rsidRDefault="000738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F679E" w14:textId="77777777" w:rsidR="00073888" w:rsidRDefault="00073888" w:rsidP="006605A2">
    <w:pPr>
      <w:pStyle w:val="Footer"/>
      <w:jc w:val="both"/>
      <w:rPr>
        <w:b/>
        <w:bCs/>
      </w:rPr>
    </w:pPr>
  </w:p>
  <w:p w14:paraId="46C6D803" w14:textId="77777777" w:rsidR="00073888" w:rsidRDefault="00073888">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AA2AE" w14:textId="79F54A69" w:rsidR="00073888" w:rsidRPr="001E7DB0" w:rsidRDefault="00073888" w:rsidP="00AA20DA">
    <w:pPr>
      <w:pStyle w:val="Footer"/>
      <w:pBdr>
        <w:top w:val="single" w:sz="4" w:space="1" w:color="auto"/>
      </w:pBdr>
      <w:ind w:right="283"/>
      <w:rPr>
        <w:rFonts w:asciiTheme="minorHAnsi" w:hAnsiTheme="minorHAnsi" w:cs="Arial"/>
        <w:sz w:val="19"/>
        <w:szCs w:val="19"/>
      </w:rPr>
    </w:pPr>
    <w:r>
      <w:rPr>
        <w:rFonts w:asciiTheme="minorHAnsi" w:hAnsiTheme="minorHAnsi" w:cs="Arial"/>
        <w:sz w:val="19"/>
        <w:szCs w:val="19"/>
      </w:rPr>
      <w:t xml:space="preserve">18  </w:t>
    </w:r>
    <w:r w:rsidRPr="001E7DB0">
      <w:rPr>
        <w:rFonts w:asciiTheme="minorHAnsi" w:hAnsiTheme="minorHAnsi" w:cs="Arial"/>
        <w:sz w:val="19"/>
        <w:szCs w:val="19"/>
      </w:rPr>
      <w:t xml:space="preserve"> Croatian Bank for Reconstruction and Development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AE6A0" w14:textId="47AE6DE0" w:rsidR="00073888" w:rsidRPr="001E7DB0" w:rsidRDefault="00073888" w:rsidP="00AA20DA">
    <w:pPr>
      <w:pStyle w:val="Footer"/>
      <w:pBdr>
        <w:top w:val="single" w:sz="4" w:space="1" w:color="auto"/>
      </w:pBdr>
      <w:ind w:right="283"/>
      <w:rPr>
        <w:rFonts w:asciiTheme="minorHAnsi" w:hAnsiTheme="minorHAnsi" w:cs="Arial"/>
        <w:sz w:val="19"/>
        <w:szCs w:val="19"/>
      </w:rPr>
    </w:pPr>
    <w:r>
      <w:rPr>
        <w:rFonts w:asciiTheme="minorHAnsi" w:hAnsiTheme="minorHAnsi" w:cs="Arial"/>
        <w:sz w:val="19"/>
        <w:szCs w:val="19"/>
      </w:rPr>
      <w:t xml:space="preserve">19  </w:t>
    </w:r>
    <w:r w:rsidRPr="001E7DB0">
      <w:rPr>
        <w:rFonts w:asciiTheme="minorHAnsi" w:hAnsiTheme="minorHAnsi" w:cs="Arial"/>
        <w:sz w:val="19"/>
        <w:szCs w:val="19"/>
      </w:rPr>
      <w:t xml:space="preserve"> Croatian Bank for Reconstruction and Development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047FB" w14:textId="3F912B8B" w:rsidR="00073888" w:rsidRPr="001E7DB0" w:rsidRDefault="00073888" w:rsidP="00AA20DA">
    <w:pPr>
      <w:pStyle w:val="Footer"/>
      <w:pBdr>
        <w:top w:val="single" w:sz="4" w:space="1" w:color="auto"/>
      </w:pBdr>
      <w:ind w:right="283"/>
      <w:rPr>
        <w:rFonts w:asciiTheme="minorHAnsi" w:hAnsiTheme="minorHAnsi" w:cs="Arial"/>
        <w:sz w:val="19"/>
        <w:szCs w:val="19"/>
      </w:rPr>
    </w:pPr>
    <w:r>
      <w:rPr>
        <w:rFonts w:asciiTheme="minorHAnsi" w:hAnsiTheme="minorHAnsi" w:cs="Arial"/>
        <w:sz w:val="19"/>
        <w:szCs w:val="19"/>
      </w:rPr>
      <w:t xml:space="preserve">20  </w:t>
    </w:r>
    <w:r w:rsidRPr="001E7DB0">
      <w:rPr>
        <w:rFonts w:asciiTheme="minorHAnsi" w:hAnsiTheme="minorHAnsi" w:cs="Arial"/>
        <w:sz w:val="19"/>
        <w:szCs w:val="19"/>
      </w:rPr>
      <w:t xml:space="preserve"> Croatian Bank for Reconstruction and Development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6302F" w14:textId="1E402C4F" w:rsidR="00073888" w:rsidRPr="001E7DB0" w:rsidRDefault="00073888" w:rsidP="00AA20DA">
    <w:pPr>
      <w:pStyle w:val="Footer"/>
      <w:pBdr>
        <w:top w:val="single" w:sz="4" w:space="1" w:color="auto"/>
      </w:pBdr>
      <w:ind w:right="283"/>
      <w:rPr>
        <w:rFonts w:asciiTheme="minorHAnsi" w:hAnsiTheme="minorHAnsi" w:cs="Arial"/>
        <w:sz w:val="19"/>
        <w:szCs w:val="19"/>
      </w:rPr>
    </w:pPr>
    <w:r>
      <w:rPr>
        <w:rFonts w:asciiTheme="minorHAnsi" w:hAnsiTheme="minorHAnsi" w:cs="Arial"/>
        <w:sz w:val="19"/>
        <w:szCs w:val="19"/>
      </w:rPr>
      <w:t xml:space="preserve">21  </w:t>
    </w:r>
    <w:r w:rsidRPr="001E7DB0">
      <w:rPr>
        <w:rFonts w:asciiTheme="minorHAnsi" w:hAnsiTheme="minorHAnsi" w:cs="Arial"/>
        <w:sz w:val="19"/>
        <w:szCs w:val="19"/>
      </w:rPr>
      <w:t xml:space="preserve"> Croatian Bank for Reconstruction and Development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1A69B" w14:textId="0DAE4EA2" w:rsidR="00073888" w:rsidRPr="001E7DB0" w:rsidRDefault="00073888" w:rsidP="00AA20DA">
    <w:pPr>
      <w:pStyle w:val="Footer"/>
      <w:pBdr>
        <w:top w:val="single" w:sz="4" w:space="1" w:color="auto"/>
      </w:pBdr>
      <w:ind w:right="283"/>
      <w:rPr>
        <w:rFonts w:asciiTheme="minorHAnsi" w:hAnsiTheme="minorHAnsi" w:cs="Arial"/>
        <w:sz w:val="19"/>
        <w:szCs w:val="19"/>
      </w:rPr>
    </w:pPr>
    <w:r>
      <w:rPr>
        <w:rFonts w:asciiTheme="minorHAnsi" w:hAnsiTheme="minorHAnsi" w:cs="Arial"/>
        <w:sz w:val="19"/>
        <w:szCs w:val="19"/>
      </w:rPr>
      <w:t xml:space="preserve">22  </w:t>
    </w:r>
    <w:r w:rsidRPr="001E7DB0">
      <w:rPr>
        <w:rFonts w:asciiTheme="minorHAnsi" w:hAnsiTheme="minorHAnsi" w:cs="Arial"/>
        <w:sz w:val="19"/>
        <w:szCs w:val="19"/>
      </w:rPr>
      <w:t xml:space="preserve"> Croatian Bank for Reconstruction and Development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E9BF0" w14:textId="77777777" w:rsidR="00073888" w:rsidRDefault="00073888" w:rsidP="00AA20DA">
    <w:pPr>
      <w:pStyle w:val="Footer"/>
      <w:pBdr>
        <w:top w:val="single" w:sz="4" w:space="1" w:color="auto"/>
      </w:pBdr>
      <w:ind w:right="283"/>
      <w:rPr>
        <w:rFonts w:asciiTheme="minorHAnsi" w:hAnsiTheme="minorHAnsi" w:cs="Arial"/>
        <w:sz w:val="19"/>
        <w:szCs w:val="19"/>
      </w:rPr>
    </w:pPr>
    <w:r>
      <w:rPr>
        <w:rFonts w:asciiTheme="minorHAnsi" w:hAnsiTheme="minorHAnsi" w:cs="Arial"/>
        <w:sz w:val="19"/>
        <w:szCs w:val="19"/>
      </w:rPr>
      <w:t xml:space="preserve">23  </w:t>
    </w:r>
    <w:r w:rsidRPr="001E7DB0">
      <w:rPr>
        <w:rFonts w:asciiTheme="minorHAnsi" w:hAnsiTheme="minorHAnsi" w:cs="Arial"/>
        <w:sz w:val="19"/>
        <w:szCs w:val="19"/>
      </w:rPr>
      <w:t xml:space="preserve"> Croatian Bank for Reconstruction and Development</w:t>
    </w:r>
  </w:p>
  <w:p w14:paraId="25FBD61C" w14:textId="77777777" w:rsidR="00073888" w:rsidRPr="001E7DB0" w:rsidRDefault="00073888" w:rsidP="00AA20DA">
    <w:pPr>
      <w:pStyle w:val="Footer"/>
      <w:pBdr>
        <w:top w:val="single" w:sz="4" w:space="1" w:color="auto"/>
      </w:pBdr>
      <w:ind w:right="283"/>
      <w:rPr>
        <w:rFonts w:asciiTheme="minorHAnsi" w:hAnsiTheme="minorHAnsi" w:cs="Arial"/>
        <w:sz w:val="19"/>
        <w:szCs w:val="19"/>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FDCF5" w14:textId="15434A9C" w:rsidR="00073888" w:rsidRPr="00517366"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24</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3EACAFA5" w14:textId="77777777" w:rsidR="00073888" w:rsidRDefault="00073888">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55C35" w14:textId="6BB33266" w:rsidR="00073888" w:rsidRPr="00517366"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25</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017F3F31" w14:textId="77777777" w:rsidR="00073888" w:rsidRDefault="00073888">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2AB36" w14:textId="5028C439" w:rsidR="00073888" w:rsidRPr="00517366"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26</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6C1EECE6" w14:textId="77777777" w:rsidR="00073888" w:rsidRDefault="00073888">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694A7" w14:textId="65C24A04" w:rsidR="00073888" w:rsidRPr="00517366" w:rsidRDefault="00073888" w:rsidP="00B5103A">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27</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1476B573" w14:textId="77777777" w:rsidR="00073888" w:rsidRDefault="000738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D2BBB" w14:textId="77777777" w:rsidR="00073888" w:rsidRPr="00FF50E4" w:rsidRDefault="00073888" w:rsidP="0091098F">
    <w:pPr>
      <w:pBdr>
        <w:top w:val="single" w:sz="4" w:space="1" w:color="auto"/>
      </w:pBdr>
      <w:tabs>
        <w:tab w:val="center" w:pos="4153"/>
        <w:tab w:val="right" w:pos="9072"/>
      </w:tabs>
      <w:spacing w:after="0" w:line="240" w:lineRule="auto"/>
      <w:ind w:right="283"/>
      <w:rPr>
        <w:rFonts w:eastAsia="Times New Roman"/>
        <w:sz w:val="19"/>
        <w:szCs w:val="20"/>
      </w:rPr>
    </w:pPr>
    <w:r w:rsidRPr="007A0C28">
      <w:rPr>
        <w:rFonts w:eastAsia="Times New Roman" w:cs="Arial"/>
        <w:sz w:val="19"/>
        <w:szCs w:val="19"/>
      </w:rPr>
      <w:t xml:space="preserve">2   </w:t>
    </w:r>
    <w:r w:rsidRPr="00FF50E4">
      <w:rPr>
        <w:rFonts w:eastAsia="Times New Roman" w:cs="Arial"/>
        <w:sz w:val="19"/>
        <w:szCs w:val="19"/>
      </w:rPr>
      <w:t>Croatian Bank for Reconstruction and Development</w:t>
    </w:r>
  </w:p>
  <w:p w14:paraId="29738E96" w14:textId="77777777" w:rsidR="00073888" w:rsidRDefault="00073888">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A4645" w14:textId="7FC9CFE6" w:rsidR="00073888" w:rsidRPr="00517366" w:rsidRDefault="00073888" w:rsidP="00DA1E3C">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28</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64E489EB" w14:textId="77777777" w:rsidR="00073888" w:rsidRPr="00517366" w:rsidRDefault="00073888">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9C03B" w14:textId="4A47926F" w:rsidR="00073888" w:rsidRPr="00517366" w:rsidRDefault="00073888" w:rsidP="00DA1E3C">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29</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78CB37E3" w14:textId="77777777" w:rsidR="00073888" w:rsidRPr="00517366" w:rsidRDefault="00073888">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7DAD1" w14:textId="6D4C3DFF" w:rsidR="00073888" w:rsidRPr="002C64CB" w:rsidRDefault="00073888" w:rsidP="009702B0">
    <w:pPr>
      <w:pBdr>
        <w:top w:val="single" w:sz="4" w:space="1" w:color="auto"/>
      </w:pBdr>
      <w:tabs>
        <w:tab w:val="center" w:pos="4153"/>
        <w:tab w:val="right" w:pos="9072"/>
      </w:tabs>
      <w:spacing w:after="0" w:line="240" w:lineRule="auto"/>
      <w:ind w:right="283"/>
      <w:rPr>
        <w:rFonts w:eastAsia="Times New Roman" w:cs="Arial"/>
        <w:sz w:val="19"/>
        <w:szCs w:val="19"/>
      </w:rPr>
    </w:pPr>
    <w:r>
      <w:rPr>
        <w:rFonts w:eastAsia="Times New Roman" w:cs="Arial"/>
        <w:sz w:val="19"/>
        <w:szCs w:val="19"/>
      </w:rPr>
      <w:t>30</w:t>
    </w:r>
    <w:r w:rsidRPr="000E7285">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0E7285" w:rsidDel="00901473">
      <w:rPr>
        <w:rFonts w:eastAsia="Times New Roman" w:cs="Arial"/>
        <w:sz w:val="19"/>
        <w:szCs w:val="19"/>
      </w:rPr>
      <w:t xml:space="preserve"> </w:t>
    </w:r>
  </w:p>
  <w:p w14:paraId="5A126209" w14:textId="77777777" w:rsidR="00073888" w:rsidRDefault="00073888">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37388" w14:textId="2F5AFEC6" w:rsidR="00073888" w:rsidRPr="002C64CB" w:rsidRDefault="00073888" w:rsidP="009702B0">
    <w:pPr>
      <w:pBdr>
        <w:top w:val="single" w:sz="4" w:space="1" w:color="auto"/>
      </w:pBdr>
      <w:tabs>
        <w:tab w:val="center" w:pos="4153"/>
        <w:tab w:val="right" w:pos="9072"/>
      </w:tabs>
      <w:spacing w:after="0" w:line="240" w:lineRule="auto"/>
      <w:ind w:right="283"/>
      <w:rPr>
        <w:rFonts w:eastAsia="Times New Roman" w:cs="Arial"/>
        <w:sz w:val="19"/>
        <w:szCs w:val="19"/>
      </w:rPr>
    </w:pPr>
    <w:r>
      <w:rPr>
        <w:rFonts w:eastAsia="Times New Roman" w:cs="Arial"/>
        <w:sz w:val="19"/>
        <w:szCs w:val="19"/>
      </w:rPr>
      <w:t>31</w:t>
    </w:r>
    <w:r w:rsidRPr="000E7285">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0E7285" w:rsidDel="00901473">
      <w:rPr>
        <w:rFonts w:eastAsia="Times New Roman" w:cs="Arial"/>
        <w:sz w:val="19"/>
        <w:szCs w:val="19"/>
      </w:rPr>
      <w:t xml:space="preserve"> </w:t>
    </w:r>
  </w:p>
  <w:p w14:paraId="26540BFD" w14:textId="77777777" w:rsidR="00073888" w:rsidRDefault="00073888">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878FF" w14:textId="77777777" w:rsidR="00073888" w:rsidRPr="0091098F" w:rsidRDefault="00073888" w:rsidP="00DE00A1">
    <w:pPr>
      <w:pBdr>
        <w:top w:val="single" w:sz="4" w:space="1" w:color="auto"/>
      </w:pBdr>
      <w:tabs>
        <w:tab w:val="center" w:pos="4153"/>
        <w:tab w:val="right" w:pos="9072"/>
      </w:tabs>
      <w:spacing w:after="0" w:line="240" w:lineRule="auto"/>
      <w:ind w:right="283"/>
      <w:rPr>
        <w:rFonts w:eastAsia="Times New Roman"/>
        <w:sz w:val="19"/>
        <w:szCs w:val="20"/>
        <w:lang w:val="pl-PL"/>
      </w:rPr>
    </w:pPr>
    <w:r>
      <w:rPr>
        <w:rFonts w:eastAsia="Times New Roman" w:cs="Arial"/>
        <w:sz w:val="19"/>
        <w:szCs w:val="19"/>
        <w:lang w:val="pl-PL"/>
      </w:rPr>
      <w:t>22</w:t>
    </w:r>
    <w:r w:rsidRPr="0091098F">
      <w:rPr>
        <w:rFonts w:eastAsia="Times New Roman" w:cs="Arial"/>
        <w:sz w:val="19"/>
        <w:szCs w:val="19"/>
        <w:lang w:val="pl-PL"/>
      </w:rPr>
      <w:t xml:space="preserve">   Hrvatska banka za obnovu i razvitak</w:t>
    </w:r>
  </w:p>
  <w:p w14:paraId="2086A316" w14:textId="77777777" w:rsidR="00073888" w:rsidRPr="00947E0C" w:rsidRDefault="00073888">
    <w:pPr>
      <w:pStyle w:val="Footer"/>
      <w:rPr>
        <w:lang w:val="pl-PL"/>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0EABF" w14:textId="25388E6D" w:rsidR="00073888" w:rsidRPr="00517366" w:rsidRDefault="00073888" w:rsidP="00DA1E3C">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32</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3B9A90A8" w14:textId="77777777" w:rsidR="00073888" w:rsidRPr="00517366" w:rsidRDefault="00073888">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96C24" w14:textId="309F8888" w:rsidR="00073888" w:rsidRPr="00517366"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33</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28868DBA" w14:textId="77777777" w:rsidR="00073888" w:rsidRDefault="00073888">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F20AF" w14:textId="77777777" w:rsidR="00073888" w:rsidRPr="0091098F" w:rsidRDefault="00073888" w:rsidP="00DE00A1">
    <w:pPr>
      <w:pBdr>
        <w:top w:val="single" w:sz="4" w:space="1" w:color="auto"/>
      </w:pBdr>
      <w:tabs>
        <w:tab w:val="center" w:pos="4153"/>
        <w:tab w:val="right" w:pos="9072"/>
      </w:tabs>
      <w:spacing w:after="0" w:line="240" w:lineRule="auto"/>
      <w:ind w:right="283"/>
      <w:rPr>
        <w:rFonts w:eastAsia="Times New Roman"/>
        <w:sz w:val="19"/>
        <w:szCs w:val="20"/>
        <w:lang w:val="pl-PL"/>
      </w:rPr>
    </w:pPr>
    <w:r>
      <w:rPr>
        <w:rFonts w:eastAsia="Times New Roman" w:cs="Arial"/>
        <w:sz w:val="19"/>
        <w:szCs w:val="19"/>
        <w:lang w:val="pl-PL"/>
      </w:rPr>
      <w:t>31</w:t>
    </w:r>
    <w:r w:rsidRPr="0091098F">
      <w:rPr>
        <w:rFonts w:eastAsia="Times New Roman" w:cs="Arial"/>
        <w:sz w:val="19"/>
        <w:szCs w:val="19"/>
        <w:lang w:val="pl-PL"/>
      </w:rPr>
      <w:t xml:space="preserve">   Hrvatska banka za obnovu i razvitak</w:t>
    </w:r>
  </w:p>
  <w:p w14:paraId="1CE5B0DE" w14:textId="77777777" w:rsidR="00073888" w:rsidRDefault="00073888">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F9CD1" w14:textId="73459B86" w:rsidR="00073888" w:rsidRDefault="00073888" w:rsidP="00915C36">
    <w:pPr>
      <w:pBdr>
        <w:top w:val="single" w:sz="4" w:space="1" w:color="auto"/>
      </w:pBdr>
      <w:tabs>
        <w:tab w:val="center" w:pos="4153"/>
        <w:tab w:val="right" w:pos="9072"/>
      </w:tabs>
      <w:spacing w:after="0" w:line="240" w:lineRule="auto"/>
      <w:ind w:right="283"/>
      <w:rPr>
        <w:rFonts w:eastAsia="Times New Roman" w:cs="Arial"/>
        <w:sz w:val="19"/>
        <w:szCs w:val="19"/>
      </w:rPr>
    </w:pPr>
    <w:r>
      <w:rPr>
        <w:rFonts w:eastAsia="Times New Roman" w:cs="Arial"/>
        <w:sz w:val="19"/>
        <w:szCs w:val="19"/>
        <w:lang w:val="pl-PL"/>
      </w:rPr>
      <w:t>34</w:t>
    </w:r>
    <w:r w:rsidRPr="0091098F">
      <w:rPr>
        <w:rFonts w:eastAsia="Times New Roman" w:cs="Arial"/>
        <w:sz w:val="19"/>
        <w:szCs w:val="19"/>
        <w:lang w:val="pl-PL"/>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430FE5C7" w14:textId="77777777" w:rsidR="00073888" w:rsidRDefault="00073888" w:rsidP="00915C36">
    <w:pPr>
      <w:pBdr>
        <w:top w:val="single" w:sz="4" w:space="1" w:color="auto"/>
      </w:pBdr>
      <w:tabs>
        <w:tab w:val="center" w:pos="4153"/>
        <w:tab w:val="right" w:pos="9072"/>
      </w:tabs>
      <w:spacing w:after="0" w:line="240" w:lineRule="auto"/>
      <w:ind w:right="283"/>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C0352" w14:textId="77777777" w:rsidR="00073888" w:rsidRPr="0091098F" w:rsidRDefault="00073888" w:rsidP="00DE00A1">
    <w:pPr>
      <w:pBdr>
        <w:top w:val="single" w:sz="4" w:space="1" w:color="auto"/>
      </w:pBdr>
      <w:tabs>
        <w:tab w:val="center" w:pos="4153"/>
        <w:tab w:val="right" w:pos="9072"/>
      </w:tabs>
      <w:spacing w:after="0" w:line="240" w:lineRule="auto"/>
      <w:ind w:right="283"/>
      <w:rPr>
        <w:rFonts w:eastAsia="Times New Roman"/>
        <w:sz w:val="19"/>
        <w:szCs w:val="20"/>
        <w:lang w:val="pl-PL"/>
      </w:rPr>
    </w:pPr>
    <w:r>
      <w:rPr>
        <w:rFonts w:eastAsia="Times New Roman" w:cs="Arial"/>
        <w:sz w:val="19"/>
        <w:szCs w:val="19"/>
        <w:lang w:val="pl-PL"/>
      </w:rPr>
      <w:t>32</w:t>
    </w:r>
    <w:r w:rsidRPr="0091098F">
      <w:rPr>
        <w:rFonts w:eastAsia="Times New Roman" w:cs="Arial"/>
        <w:sz w:val="19"/>
        <w:szCs w:val="19"/>
        <w:lang w:val="pl-PL"/>
      </w:rPr>
      <w:t xml:space="preserve">   Hrvatska banka za obnovu i razvitak</w:t>
    </w:r>
  </w:p>
  <w:p w14:paraId="75582858" w14:textId="77777777" w:rsidR="00073888" w:rsidRPr="00947E0C" w:rsidRDefault="00073888">
    <w:pPr>
      <w:pStyle w:val="Footer"/>
      <w:rPr>
        <w:lang w:val="pl-P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1BF71" w14:textId="5DFECC9B" w:rsidR="00073888" w:rsidRPr="00517366" w:rsidRDefault="00073888" w:rsidP="00517366">
    <w:pPr>
      <w:pBdr>
        <w:top w:val="single" w:sz="4" w:space="1" w:color="auto"/>
      </w:pBdr>
      <w:tabs>
        <w:tab w:val="left" w:pos="3364"/>
      </w:tabs>
      <w:spacing w:after="0" w:line="240" w:lineRule="auto"/>
      <w:ind w:right="283"/>
      <w:rPr>
        <w:rFonts w:eastAsia="Times New Roman"/>
        <w:sz w:val="19"/>
        <w:szCs w:val="20"/>
      </w:rPr>
    </w:pPr>
    <w:r>
      <w:rPr>
        <w:rFonts w:eastAsia="Times New Roman" w:cs="Arial"/>
        <w:sz w:val="19"/>
        <w:szCs w:val="19"/>
      </w:rPr>
      <w:t>3</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ab/>
    </w:r>
  </w:p>
  <w:p w14:paraId="5EC084A0" w14:textId="77777777" w:rsidR="00073888" w:rsidRDefault="00073888">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5851C" w14:textId="69B3A1AC" w:rsidR="00073888" w:rsidRPr="00517366"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35</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48B07703" w14:textId="77777777" w:rsidR="00073888" w:rsidRDefault="00073888">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7534B" w14:textId="73CCB103" w:rsidR="00073888" w:rsidRPr="00F338F1"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 xml:space="preserve">36 </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50331B05" w14:textId="77777777" w:rsidR="00073888" w:rsidRDefault="00073888">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6F551" w14:textId="0745B0DD" w:rsidR="00073888" w:rsidRPr="00F338F1"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37</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1C4E0323" w14:textId="77777777" w:rsidR="00073888" w:rsidRDefault="00073888">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64729" w14:textId="3E2EE206" w:rsidR="00073888" w:rsidRPr="00517366"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 xml:space="preserve">38 </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6AC4B041" w14:textId="77777777" w:rsidR="00073888" w:rsidRDefault="00073888">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61AA9" w14:textId="77777777" w:rsidR="00073888" w:rsidRPr="00517366" w:rsidRDefault="00073888" w:rsidP="00DE00A1">
    <w:pPr>
      <w:pBdr>
        <w:top w:val="single" w:sz="4" w:space="1" w:color="auto"/>
      </w:pBdr>
      <w:tabs>
        <w:tab w:val="center" w:pos="4153"/>
        <w:tab w:val="right" w:pos="9072"/>
      </w:tabs>
      <w:spacing w:after="0" w:line="240" w:lineRule="auto"/>
      <w:ind w:right="283"/>
      <w:rPr>
        <w:rFonts w:eastAsia="Times New Roman"/>
        <w:sz w:val="19"/>
        <w:szCs w:val="20"/>
      </w:rPr>
    </w:pPr>
    <w:r w:rsidRPr="00F338F1">
      <w:rPr>
        <w:rFonts w:eastAsia="Times New Roman" w:cs="Arial"/>
        <w:sz w:val="19"/>
        <w:szCs w:val="19"/>
      </w:rPr>
      <w:t xml:space="preserve">33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5E398754" w14:textId="77777777" w:rsidR="00073888" w:rsidRDefault="00073888">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7EBDC" w14:textId="074422D8" w:rsidR="00073888" w:rsidRPr="00517366"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39</w:t>
    </w:r>
    <w:r w:rsidRPr="00517366">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24104717" w14:textId="77777777" w:rsidR="00073888" w:rsidRDefault="00073888">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1F045" w14:textId="0D46F6B7" w:rsidR="00073888" w:rsidRPr="00517366"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 xml:space="preserve">40 </w:t>
    </w:r>
    <w:r w:rsidRPr="00517366">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4A6B4DB9" w14:textId="77777777" w:rsidR="00073888" w:rsidRDefault="00073888">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D0706" w14:textId="48B3C62A" w:rsidR="00073888" w:rsidRPr="00517366"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41</w:t>
    </w:r>
    <w:r w:rsidRPr="00517366">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20E32C3A" w14:textId="77777777" w:rsidR="00073888" w:rsidRDefault="00073888">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C23BC" w14:textId="77777777" w:rsidR="00073888" w:rsidRPr="00517366" w:rsidRDefault="00073888" w:rsidP="00DE00A1">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41</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52D3D75C" w14:textId="77777777" w:rsidR="00073888" w:rsidRDefault="00073888">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B89F5" w14:textId="534FDB4D" w:rsidR="00073888" w:rsidRPr="00517366"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42</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58885624" w14:textId="77777777" w:rsidR="00073888" w:rsidRDefault="0007388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75A27" w14:textId="6DF8FEC3" w:rsidR="00073888" w:rsidRPr="00517366" w:rsidRDefault="00073888" w:rsidP="000E01FD">
    <w:pPr>
      <w:pBdr>
        <w:top w:val="single" w:sz="4" w:space="1" w:color="auto"/>
      </w:pBdr>
      <w:tabs>
        <w:tab w:val="left" w:pos="3364"/>
      </w:tabs>
      <w:spacing w:after="0" w:line="240" w:lineRule="auto"/>
      <w:ind w:right="283"/>
      <w:rPr>
        <w:rFonts w:eastAsia="Times New Roman"/>
        <w:sz w:val="19"/>
        <w:szCs w:val="20"/>
      </w:rPr>
    </w:pPr>
    <w:r>
      <w:rPr>
        <w:rFonts w:eastAsia="Times New Roman" w:cs="Arial"/>
        <w:sz w:val="19"/>
        <w:szCs w:val="19"/>
      </w:rPr>
      <w:t>4</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ab/>
    </w:r>
  </w:p>
  <w:p w14:paraId="77BBBD1D" w14:textId="77777777" w:rsidR="00073888" w:rsidRDefault="00073888">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21307" w14:textId="57270FB2" w:rsidR="00073888" w:rsidRPr="00517366"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43</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0220E9A3" w14:textId="77777777" w:rsidR="00073888" w:rsidRDefault="00073888">
    <w:pPr>
      <w:pStyle w:val="Foo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1C5AF" w14:textId="4DA17E91" w:rsidR="00073888" w:rsidRPr="00517366"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44</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12C9B520" w14:textId="77777777" w:rsidR="00073888" w:rsidRDefault="00073888">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F990A" w14:textId="17E3387A" w:rsidR="00073888" w:rsidRPr="00517366" w:rsidRDefault="00073888" w:rsidP="00287E8C">
    <w:pPr>
      <w:pBdr>
        <w:top w:val="single" w:sz="4" w:space="1" w:color="auto"/>
      </w:pBdr>
      <w:tabs>
        <w:tab w:val="center" w:pos="4153"/>
        <w:tab w:val="right" w:pos="9072"/>
      </w:tabs>
      <w:spacing w:after="0" w:line="240" w:lineRule="auto"/>
      <w:ind w:right="283"/>
      <w:rPr>
        <w:rFonts w:eastAsia="Times New Roman"/>
        <w:sz w:val="19"/>
        <w:szCs w:val="20"/>
      </w:rPr>
    </w:pPr>
    <w:r>
      <w:rPr>
        <w:rFonts w:cs="Arial"/>
        <w:sz w:val="19"/>
        <w:szCs w:val="19"/>
      </w:rPr>
      <w:t>45</w:t>
    </w:r>
    <w:r w:rsidRPr="00F338F1">
      <w:rPr>
        <w:rFonts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2FDF01F4" w14:textId="77777777" w:rsidR="00073888" w:rsidRPr="00F338F1" w:rsidRDefault="00073888" w:rsidP="00F4789E">
    <w:pPr>
      <w:pStyle w:val="Footer"/>
      <w:pBdr>
        <w:top w:val="single" w:sz="4" w:space="1" w:color="auto"/>
      </w:pBdr>
      <w:ind w:right="283"/>
      <w:rPr>
        <w:sz w:val="19"/>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A8A52" w14:textId="591FC2C3" w:rsidR="00073888" w:rsidRPr="00517366"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46</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71594A92" w14:textId="77777777" w:rsidR="00073888" w:rsidRDefault="00073888">
    <w:pPr>
      <w:pStyle w:val="Foo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A6211" w14:textId="6427C228" w:rsidR="00073888" w:rsidRPr="00517366" w:rsidRDefault="00073888" w:rsidP="00CB51F8">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47</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6751747E" w14:textId="77777777" w:rsidR="00073888" w:rsidRDefault="00073888">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C2F29" w14:textId="7C82897E" w:rsidR="00073888" w:rsidRPr="00517366"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48</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264A278A" w14:textId="77777777" w:rsidR="00073888" w:rsidRDefault="00073888">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86368" w14:textId="0B0328CF" w:rsidR="00073888" w:rsidRPr="00517366"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49</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7DBA730E" w14:textId="77777777" w:rsidR="00073888" w:rsidRDefault="00073888">
    <w:pPr>
      <w:pStyle w:val="Foote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C2C90" w14:textId="488927F6" w:rsidR="00073888" w:rsidRPr="00517366"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50</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14:paraId="17867671" w14:textId="77777777" w:rsidR="00073888" w:rsidRDefault="00073888">
    <w:pPr>
      <w:pStyle w:val="Foote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18691" w14:textId="2ACEC82E" w:rsidR="00073888" w:rsidRPr="00517366"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51</w:t>
    </w:r>
    <w:r w:rsidRPr="00F338F1">
      <w:rPr>
        <w:rFonts w:eastAsia="Times New Roman" w:cs="Arial"/>
        <w:sz w:val="19"/>
        <w:szCs w:val="19"/>
      </w:rPr>
      <w:t xml:space="preserve">   </w:t>
    </w:r>
    <w:r w:rsidRPr="006C0844">
      <w:rPr>
        <w:rFonts w:eastAsia="Times New Roman" w:cs="Arial"/>
        <w:sz w:val="19"/>
        <w:szCs w:val="19"/>
      </w:rPr>
      <w:t>Croatian Bank for Reconstruction and Development</w:t>
    </w:r>
  </w:p>
  <w:p w14:paraId="3DC4279E" w14:textId="77777777" w:rsidR="00073888" w:rsidRDefault="00073888">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5BBC4" w14:textId="59B0CCFE" w:rsidR="00073888" w:rsidRPr="00517366"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 xml:space="preserve">52 </w:t>
    </w:r>
    <w:r w:rsidRPr="00F338F1">
      <w:rPr>
        <w:rFonts w:eastAsia="Times New Roman" w:cs="Arial"/>
        <w:sz w:val="19"/>
        <w:szCs w:val="19"/>
      </w:rPr>
      <w:t xml:space="preserve">  </w:t>
    </w:r>
    <w:r w:rsidRPr="00F44217">
      <w:rPr>
        <w:rFonts w:eastAsia="Times New Roman" w:cs="Arial"/>
        <w:sz w:val="19"/>
        <w:szCs w:val="19"/>
      </w:rPr>
      <w:t>Croatian Bank for Reconstruction and Development</w:t>
    </w:r>
  </w:p>
  <w:p w14:paraId="41C12F63" w14:textId="77777777" w:rsidR="00073888" w:rsidRDefault="0007388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6B3D5" w14:textId="6AEF259B" w:rsidR="00073888" w:rsidRPr="00517366" w:rsidRDefault="00073888" w:rsidP="000E01FD">
    <w:pPr>
      <w:pBdr>
        <w:top w:val="single" w:sz="4" w:space="1" w:color="auto"/>
      </w:pBdr>
      <w:tabs>
        <w:tab w:val="left" w:pos="3364"/>
      </w:tabs>
      <w:spacing w:after="0" w:line="240" w:lineRule="auto"/>
      <w:ind w:right="283"/>
      <w:rPr>
        <w:rFonts w:eastAsia="Times New Roman"/>
        <w:sz w:val="19"/>
        <w:szCs w:val="20"/>
      </w:rPr>
    </w:pPr>
    <w:r>
      <w:rPr>
        <w:rFonts w:eastAsia="Times New Roman" w:cs="Arial"/>
        <w:sz w:val="19"/>
        <w:szCs w:val="19"/>
      </w:rPr>
      <w:t>5</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ab/>
    </w:r>
  </w:p>
  <w:p w14:paraId="3031A1CB" w14:textId="77777777" w:rsidR="00073888" w:rsidRDefault="00073888">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6A5CB" w14:textId="35478F36" w:rsidR="00073888" w:rsidRDefault="00073888" w:rsidP="00727B7F">
    <w:pPr>
      <w:pStyle w:val="Footer"/>
      <w:pBdr>
        <w:top w:val="single" w:sz="4" w:space="1" w:color="auto"/>
      </w:pBdr>
      <w:ind w:right="283"/>
      <w:rPr>
        <w:rFonts w:cs="Arial"/>
        <w:sz w:val="19"/>
        <w:szCs w:val="19"/>
      </w:rPr>
    </w:pPr>
    <w:r>
      <w:rPr>
        <w:rFonts w:cs="Arial"/>
        <w:sz w:val="19"/>
        <w:szCs w:val="19"/>
      </w:rPr>
      <w:t>53</w:t>
    </w:r>
    <w:r w:rsidRPr="0053227E">
      <w:rPr>
        <w:rFonts w:cs="Arial"/>
        <w:sz w:val="19"/>
        <w:szCs w:val="19"/>
      </w:rPr>
      <w:t xml:space="preserve">   Croatian Bank for Reconstruction and Development</w:t>
    </w:r>
  </w:p>
  <w:p w14:paraId="1065D4B2" w14:textId="77777777" w:rsidR="00073888" w:rsidRPr="0053227E" w:rsidRDefault="00073888" w:rsidP="00727B7F">
    <w:pPr>
      <w:pStyle w:val="Footer"/>
      <w:pBdr>
        <w:top w:val="single" w:sz="4" w:space="1" w:color="auto"/>
      </w:pBdr>
      <w:ind w:right="283"/>
      <w:rPr>
        <w:sz w:val="19"/>
      </w:rP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4DED8" w14:textId="67E63250" w:rsidR="00073888" w:rsidRPr="00517366"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54</w:t>
    </w:r>
    <w:r w:rsidRPr="0053227E">
      <w:rPr>
        <w:rFonts w:eastAsia="Times New Roman" w:cs="Arial"/>
        <w:sz w:val="19"/>
        <w:szCs w:val="19"/>
      </w:rPr>
      <w:t xml:space="preserve">   </w:t>
    </w:r>
    <w:r w:rsidRPr="000E68A0">
      <w:rPr>
        <w:rFonts w:eastAsia="Times New Roman" w:cs="Arial"/>
        <w:sz w:val="19"/>
        <w:szCs w:val="19"/>
      </w:rPr>
      <w:t>Croatian Bank for Reconstruction and Development</w:t>
    </w:r>
  </w:p>
  <w:p w14:paraId="5035B805" w14:textId="77777777" w:rsidR="00073888" w:rsidRDefault="00073888">
    <w:pPr>
      <w:pStyle w:val="Foote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40DC5" w14:textId="77777777" w:rsidR="00073888" w:rsidRPr="0053227E" w:rsidRDefault="00073888" w:rsidP="00727B7F">
    <w:pPr>
      <w:pStyle w:val="Footer"/>
      <w:pBdr>
        <w:top w:val="single" w:sz="4" w:space="1" w:color="auto"/>
      </w:pBdr>
      <w:ind w:right="283"/>
      <w:rPr>
        <w:sz w:val="19"/>
      </w:rPr>
    </w:pPr>
    <w:r>
      <w:rPr>
        <w:rFonts w:cs="Arial"/>
        <w:sz w:val="19"/>
        <w:szCs w:val="19"/>
      </w:rPr>
      <w:t>51</w:t>
    </w:r>
    <w:r w:rsidRPr="0053227E">
      <w:rPr>
        <w:rFonts w:cs="Arial"/>
        <w:sz w:val="19"/>
        <w:szCs w:val="19"/>
      </w:rPr>
      <w:t xml:space="preserve">   Croatian Bank for Reconstruction and Development</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2B0A3" w14:textId="7A131365" w:rsidR="00073888" w:rsidRPr="00517366"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55</w:t>
    </w:r>
    <w:r w:rsidRPr="0053227E">
      <w:rPr>
        <w:rFonts w:eastAsia="Times New Roman" w:cs="Arial"/>
        <w:sz w:val="19"/>
        <w:szCs w:val="19"/>
      </w:rPr>
      <w:t xml:space="preserve">   </w:t>
    </w:r>
    <w:r w:rsidRPr="00EE2FFC">
      <w:rPr>
        <w:rFonts w:eastAsia="Times New Roman" w:cs="Arial"/>
        <w:sz w:val="19"/>
        <w:szCs w:val="19"/>
      </w:rPr>
      <w:t>Croatian Bank for Reconstruction and Development</w:t>
    </w:r>
  </w:p>
  <w:p w14:paraId="530F3AF3" w14:textId="77777777" w:rsidR="00073888" w:rsidRDefault="00073888">
    <w:pPr>
      <w:pStyle w:val="Foote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B9F2F" w14:textId="39FC0464" w:rsidR="00073888" w:rsidRPr="00517366"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56</w:t>
    </w:r>
    <w:r w:rsidRPr="0053227E">
      <w:rPr>
        <w:rFonts w:eastAsia="Times New Roman" w:cs="Arial"/>
        <w:sz w:val="19"/>
        <w:szCs w:val="19"/>
      </w:rPr>
      <w:t xml:space="preserve">   </w:t>
    </w:r>
    <w:r w:rsidRPr="00EE2FFC">
      <w:rPr>
        <w:rFonts w:eastAsia="Times New Roman" w:cs="Arial"/>
        <w:sz w:val="19"/>
        <w:szCs w:val="19"/>
      </w:rPr>
      <w:t>Croatian Bank for Reconstruction and Development</w:t>
    </w:r>
  </w:p>
  <w:p w14:paraId="0C86896C" w14:textId="77777777" w:rsidR="00073888" w:rsidRDefault="00073888">
    <w:pPr>
      <w:pStyle w:val="Foote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9CC1A" w14:textId="26A4D25B" w:rsidR="00073888" w:rsidRPr="00517366"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57</w:t>
    </w:r>
    <w:r w:rsidRPr="0053227E">
      <w:rPr>
        <w:rFonts w:eastAsia="Times New Roman" w:cs="Arial"/>
        <w:sz w:val="19"/>
        <w:szCs w:val="19"/>
      </w:rPr>
      <w:t xml:space="preserve">   </w:t>
    </w:r>
    <w:r w:rsidRPr="00EE2FFC">
      <w:rPr>
        <w:rFonts w:eastAsia="Times New Roman" w:cs="Arial"/>
        <w:sz w:val="19"/>
        <w:szCs w:val="19"/>
      </w:rPr>
      <w:t>Croatian Bank for Reconstruction and Development</w:t>
    </w:r>
  </w:p>
  <w:p w14:paraId="6787D0A4" w14:textId="77777777" w:rsidR="00073888" w:rsidRDefault="00073888">
    <w:pPr>
      <w:pStyle w:val="Footer"/>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CE1B7" w14:textId="15BAA1F7" w:rsidR="00073888" w:rsidRPr="00517366"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58</w:t>
    </w:r>
    <w:r w:rsidRPr="0053227E">
      <w:rPr>
        <w:rFonts w:eastAsia="Times New Roman" w:cs="Arial"/>
        <w:sz w:val="19"/>
        <w:szCs w:val="19"/>
      </w:rPr>
      <w:t xml:space="preserve">   </w:t>
    </w:r>
    <w:r w:rsidRPr="00294B6F">
      <w:rPr>
        <w:rFonts w:cs="Arial"/>
        <w:sz w:val="19"/>
        <w:szCs w:val="19"/>
      </w:rPr>
      <w:t>Croatian Bank for Reconstruction and Development</w:t>
    </w:r>
  </w:p>
  <w:p w14:paraId="53FC0F3B" w14:textId="77777777" w:rsidR="00073888" w:rsidRDefault="00073888">
    <w:pPr>
      <w:pStyle w:val="Foote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076DF" w14:textId="5426CD43" w:rsidR="00073888" w:rsidRPr="00517366"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proofErr w:type="gramStart"/>
    <w:r>
      <w:rPr>
        <w:rFonts w:eastAsia="Times New Roman" w:cs="Arial"/>
        <w:sz w:val="19"/>
        <w:szCs w:val="19"/>
      </w:rPr>
      <w:t>59</w:t>
    </w:r>
    <w:r w:rsidRPr="0053227E">
      <w:rPr>
        <w:rFonts w:eastAsia="Times New Roman" w:cs="Arial"/>
        <w:sz w:val="19"/>
        <w:szCs w:val="19"/>
      </w:rPr>
      <w:t xml:space="preserve">  </w:t>
    </w:r>
    <w:r w:rsidRPr="00294B6F">
      <w:rPr>
        <w:rFonts w:cs="Arial"/>
        <w:sz w:val="19"/>
        <w:szCs w:val="19"/>
      </w:rPr>
      <w:t>Croatian</w:t>
    </w:r>
    <w:proofErr w:type="gramEnd"/>
    <w:r w:rsidRPr="00294B6F">
      <w:rPr>
        <w:rFonts w:cs="Arial"/>
        <w:sz w:val="19"/>
        <w:szCs w:val="19"/>
      </w:rPr>
      <w:t xml:space="preserve"> Bank for Reconstruction and Development</w:t>
    </w:r>
  </w:p>
  <w:p w14:paraId="7DAD2C70" w14:textId="77777777" w:rsidR="00073888" w:rsidRDefault="00073888">
    <w:pPr>
      <w:pStyle w:val="Foote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ACE31" w14:textId="047F4EB4" w:rsidR="00073888" w:rsidRPr="0038524D"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60</w:t>
    </w:r>
    <w:r w:rsidRPr="0053227E">
      <w:rPr>
        <w:rFonts w:eastAsia="Times New Roman" w:cs="Arial"/>
        <w:sz w:val="19"/>
        <w:szCs w:val="19"/>
      </w:rPr>
      <w:t xml:space="preserve">   </w:t>
    </w:r>
    <w:r w:rsidRPr="0038524D">
      <w:rPr>
        <w:rFonts w:eastAsia="Times New Roman" w:cs="Arial"/>
        <w:sz w:val="19"/>
        <w:szCs w:val="19"/>
      </w:rPr>
      <w:t>Croatian Bank for Reconstruction and Development</w:t>
    </w:r>
  </w:p>
  <w:p w14:paraId="25A513A1" w14:textId="77777777" w:rsidR="00073888" w:rsidRPr="0038524D" w:rsidRDefault="00073888">
    <w:pPr>
      <w:pStyle w:val="Footer"/>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9CF26" w14:textId="136D4787" w:rsidR="00073888" w:rsidRPr="00517366"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61</w:t>
    </w:r>
    <w:r w:rsidRPr="0053227E">
      <w:rPr>
        <w:rFonts w:eastAsia="Times New Roman" w:cs="Arial"/>
        <w:sz w:val="19"/>
        <w:szCs w:val="19"/>
      </w:rPr>
      <w:t xml:space="preserve">   </w:t>
    </w:r>
    <w:r w:rsidRPr="0038524D">
      <w:rPr>
        <w:rFonts w:eastAsia="Times New Roman" w:cs="Arial"/>
        <w:sz w:val="19"/>
        <w:szCs w:val="19"/>
      </w:rPr>
      <w:t>Croatian Bank for Reconstruction and Development</w:t>
    </w:r>
  </w:p>
  <w:p w14:paraId="0C3CA240" w14:textId="77777777" w:rsidR="00073888" w:rsidRDefault="0007388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0A9EF" w14:textId="725767D2" w:rsidR="00073888" w:rsidRPr="00517366" w:rsidRDefault="00073888" w:rsidP="0091098F">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6</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46020706" w14:textId="77777777" w:rsidR="00073888" w:rsidRDefault="00073888">
    <w:pPr>
      <w:pStyle w:val="Foote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248DC" w14:textId="449107B9" w:rsidR="00073888" w:rsidRPr="00517366"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 xml:space="preserve">62  </w:t>
    </w:r>
    <w:r w:rsidRPr="0053227E">
      <w:rPr>
        <w:rFonts w:eastAsia="Times New Roman" w:cs="Arial"/>
        <w:sz w:val="19"/>
        <w:szCs w:val="19"/>
      </w:rPr>
      <w:t xml:space="preserve"> </w:t>
    </w:r>
    <w:r w:rsidRPr="0038524D">
      <w:rPr>
        <w:rFonts w:eastAsia="Times New Roman" w:cs="Arial"/>
        <w:sz w:val="19"/>
        <w:szCs w:val="19"/>
      </w:rPr>
      <w:t>Croatian Bank for Reconstruction and Development</w:t>
    </w:r>
    <w:r>
      <w:rPr>
        <w:rFonts w:eastAsia="Times New Roman" w:cs="Arial"/>
        <w:sz w:val="19"/>
        <w:szCs w:val="19"/>
      </w:rPr>
      <w:t>8</w:t>
    </w:r>
  </w:p>
  <w:p w14:paraId="04521FFA" w14:textId="77777777" w:rsidR="00073888" w:rsidRDefault="00073888">
    <w:pPr>
      <w:pStyle w:val="Foote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D7217" w14:textId="21E66A2B" w:rsidR="00073888" w:rsidRPr="0038524D"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63</w:t>
    </w:r>
    <w:r w:rsidRPr="0038524D">
      <w:rPr>
        <w:rFonts w:eastAsia="Times New Roman" w:cs="Arial"/>
        <w:sz w:val="19"/>
        <w:szCs w:val="19"/>
      </w:rPr>
      <w:t xml:space="preserve">   Croatian Bank for Reconstruction and Development</w:t>
    </w:r>
  </w:p>
  <w:p w14:paraId="76EEA5B5" w14:textId="77777777" w:rsidR="00073888" w:rsidRDefault="00073888">
    <w:pPr>
      <w:pStyle w:val="Footer"/>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2DAB0" w14:textId="1B93DA64" w:rsidR="00073888" w:rsidRDefault="00073888" w:rsidP="00727B7F">
    <w:pPr>
      <w:pStyle w:val="Footer"/>
      <w:pBdr>
        <w:top w:val="single" w:sz="4" w:space="1" w:color="auto"/>
      </w:pBdr>
      <w:ind w:right="283"/>
      <w:rPr>
        <w:rFonts w:cs="Arial"/>
        <w:sz w:val="19"/>
        <w:szCs w:val="19"/>
      </w:rPr>
    </w:pPr>
    <w:r>
      <w:rPr>
        <w:rFonts w:cs="Arial"/>
        <w:sz w:val="19"/>
        <w:szCs w:val="19"/>
      </w:rPr>
      <w:t>65</w:t>
    </w:r>
    <w:r w:rsidRPr="0053227E">
      <w:rPr>
        <w:rFonts w:cs="Arial"/>
        <w:sz w:val="19"/>
        <w:szCs w:val="19"/>
      </w:rPr>
      <w:t xml:space="preserve">   Croatian Bank for Reconstruction and Development</w:t>
    </w:r>
  </w:p>
  <w:p w14:paraId="38AB61B4" w14:textId="77777777" w:rsidR="00073888" w:rsidRPr="0053227E" w:rsidRDefault="00073888" w:rsidP="00727B7F">
    <w:pPr>
      <w:pStyle w:val="Footer"/>
      <w:pBdr>
        <w:top w:val="single" w:sz="4" w:space="1" w:color="auto"/>
      </w:pBdr>
      <w:ind w:right="283"/>
      <w:rPr>
        <w:sz w:val="19"/>
      </w:rP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A7A49" w14:textId="06CEDB68" w:rsidR="00073888" w:rsidRPr="00D27CB4"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64</w:t>
    </w:r>
    <w:r w:rsidRPr="00D27CB4">
      <w:rPr>
        <w:rFonts w:eastAsia="Times New Roman" w:cs="Arial"/>
        <w:sz w:val="19"/>
        <w:szCs w:val="19"/>
      </w:rPr>
      <w:t xml:space="preserve">   Croatian Bank for Reconstruction and Development</w:t>
    </w:r>
  </w:p>
  <w:p w14:paraId="0491FFE4" w14:textId="77777777" w:rsidR="00073888" w:rsidRPr="00D27CB4" w:rsidRDefault="00073888">
    <w:pPr>
      <w:pStyle w:val="Foote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B8EA9" w14:textId="1C017103" w:rsidR="00073888" w:rsidRPr="00517366"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66</w:t>
    </w:r>
    <w:r w:rsidRPr="0053227E">
      <w:rPr>
        <w:rFonts w:eastAsia="Times New Roman" w:cs="Arial"/>
        <w:sz w:val="19"/>
        <w:szCs w:val="19"/>
      </w:rPr>
      <w:t xml:space="preserve">   </w:t>
    </w:r>
    <w:r w:rsidRPr="00D27CB4">
      <w:rPr>
        <w:rFonts w:eastAsia="Times New Roman" w:cs="Arial"/>
        <w:sz w:val="19"/>
        <w:szCs w:val="19"/>
      </w:rPr>
      <w:t>Croatian Bank for Reconstruction and Development</w:t>
    </w:r>
  </w:p>
  <w:p w14:paraId="5DBC9C6B" w14:textId="77777777" w:rsidR="00073888" w:rsidRDefault="00073888">
    <w:pPr>
      <w:pStyle w:val="Footer"/>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6DF9E" w14:textId="4399DF9E" w:rsidR="00073888" w:rsidRPr="00D27CB4"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 xml:space="preserve">67 </w:t>
    </w:r>
    <w:r w:rsidRPr="0053227E">
      <w:rPr>
        <w:rFonts w:eastAsia="Times New Roman" w:cs="Arial"/>
        <w:sz w:val="19"/>
        <w:szCs w:val="19"/>
      </w:rPr>
      <w:t xml:space="preserve">  </w:t>
    </w:r>
    <w:r w:rsidRPr="00D27CB4">
      <w:rPr>
        <w:rFonts w:eastAsia="Times New Roman" w:cs="Arial"/>
        <w:sz w:val="19"/>
        <w:szCs w:val="19"/>
      </w:rPr>
      <w:t>Croatian Bank for Reconstruction and Development</w:t>
    </w:r>
  </w:p>
  <w:p w14:paraId="316DA2BE" w14:textId="77777777" w:rsidR="00073888" w:rsidRPr="00D27CB4" w:rsidRDefault="00073888">
    <w:pPr>
      <w:pStyle w:val="Foote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F21C2" w14:textId="71FA9647" w:rsidR="00073888" w:rsidRPr="00B02D54"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68</w:t>
    </w:r>
    <w:r w:rsidRPr="0053227E">
      <w:rPr>
        <w:rFonts w:eastAsia="Times New Roman" w:cs="Arial"/>
        <w:sz w:val="19"/>
        <w:szCs w:val="19"/>
      </w:rPr>
      <w:t xml:space="preserve">   </w:t>
    </w:r>
    <w:r w:rsidRPr="00B02D54">
      <w:rPr>
        <w:rFonts w:eastAsia="Times New Roman" w:cs="Arial"/>
        <w:sz w:val="19"/>
        <w:szCs w:val="19"/>
      </w:rPr>
      <w:t>Croatian Bank for Reconstruction and Development</w:t>
    </w:r>
  </w:p>
  <w:p w14:paraId="409EDCE1" w14:textId="77777777" w:rsidR="00073888" w:rsidRPr="00B02D54" w:rsidRDefault="00073888">
    <w:pPr>
      <w:pStyle w:val="Footer"/>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0E0A0" w14:textId="5BBE64D6" w:rsidR="00073888" w:rsidRPr="00B02D54"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69</w:t>
    </w:r>
    <w:r w:rsidRPr="0053227E">
      <w:rPr>
        <w:rFonts w:eastAsia="Times New Roman" w:cs="Arial"/>
        <w:sz w:val="19"/>
        <w:szCs w:val="19"/>
      </w:rPr>
      <w:t xml:space="preserve">   </w:t>
    </w:r>
    <w:r w:rsidRPr="00B02D54">
      <w:rPr>
        <w:rFonts w:eastAsia="Times New Roman" w:cs="Arial"/>
        <w:sz w:val="19"/>
        <w:szCs w:val="19"/>
      </w:rPr>
      <w:t>Croatian Bank for Reconstruction and Development</w:t>
    </w:r>
  </w:p>
  <w:p w14:paraId="35D61086" w14:textId="77777777" w:rsidR="00073888" w:rsidRPr="00B02D54" w:rsidRDefault="00073888">
    <w:pPr>
      <w:pStyle w:val="Footer"/>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00E87" w14:textId="5D97FB68" w:rsidR="00073888" w:rsidRPr="00B02D54"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70</w:t>
    </w:r>
    <w:r w:rsidRPr="0053227E">
      <w:rPr>
        <w:rFonts w:eastAsia="Times New Roman" w:cs="Arial"/>
        <w:sz w:val="19"/>
        <w:szCs w:val="19"/>
      </w:rPr>
      <w:t xml:space="preserve">   </w:t>
    </w:r>
    <w:r w:rsidRPr="00B02D54">
      <w:rPr>
        <w:rFonts w:eastAsia="Times New Roman" w:cs="Arial"/>
        <w:sz w:val="19"/>
        <w:szCs w:val="19"/>
      </w:rPr>
      <w:t>Croatian Bank for Reconstruction and Development</w:t>
    </w:r>
  </w:p>
  <w:p w14:paraId="0C8A0785" w14:textId="77777777" w:rsidR="00073888" w:rsidRPr="00B02D54" w:rsidRDefault="00073888">
    <w:pPr>
      <w:pStyle w:val="Footer"/>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3D5ED" w14:textId="2436D8AF" w:rsidR="00073888" w:rsidRPr="00517366"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71</w:t>
    </w:r>
    <w:r w:rsidRPr="0053227E">
      <w:rPr>
        <w:rFonts w:eastAsia="Times New Roman" w:cs="Arial"/>
        <w:sz w:val="19"/>
        <w:szCs w:val="19"/>
      </w:rPr>
      <w:t xml:space="preserve">   </w:t>
    </w:r>
    <w:r w:rsidRPr="00B02D54">
      <w:rPr>
        <w:rFonts w:eastAsia="Times New Roman" w:cs="Arial"/>
        <w:sz w:val="19"/>
        <w:szCs w:val="19"/>
      </w:rPr>
      <w:t>Croatian Bank for Reconstruction and Development</w:t>
    </w:r>
  </w:p>
  <w:p w14:paraId="61F2C24F" w14:textId="77777777" w:rsidR="00073888" w:rsidRDefault="0007388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D7B9A" w14:textId="3E4A806B" w:rsidR="00073888" w:rsidRDefault="00073888" w:rsidP="00924D3F">
    <w:pPr>
      <w:pBdr>
        <w:top w:val="single" w:sz="4" w:space="1" w:color="auto"/>
      </w:pBdr>
      <w:tabs>
        <w:tab w:val="center" w:pos="4153"/>
        <w:tab w:val="right" w:pos="9072"/>
      </w:tabs>
      <w:spacing w:after="0" w:line="240" w:lineRule="auto"/>
      <w:ind w:right="283"/>
      <w:rPr>
        <w:rFonts w:eastAsia="Times New Roman" w:cs="Arial"/>
        <w:sz w:val="19"/>
        <w:szCs w:val="19"/>
      </w:rPr>
    </w:pPr>
    <w:r>
      <w:rPr>
        <w:rFonts w:eastAsia="Times New Roman" w:cs="Arial"/>
        <w:sz w:val="19"/>
        <w:szCs w:val="19"/>
      </w:rPr>
      <w:t>7</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475B9764" w14:textId="77777777" w:rsidR="00073888" w:rsidRDefault="00073888" w:rsidP="00924D3F">
    <w:pPr>
      <w:pBdr>
        <w:top w:val="single" w:sz="4" w:space="1" w:color="auto"/>
      </w:pBdr>
      <w:tabs>
        <w:tab w:val="center" w:pos="4153"/>
        <w:tab w:val="right" w:pos="9072"/>
      </w:tabs>
      <w:spacing w:after="0" w:line="240" w:lineRule="auto"/>
      <w:ind w:right="283"/>
    </w:pPr>
    <w:r>
      <w:tab/>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44463" w14:textId="5646FA1B" w:rsidR="00073888" w:rsidRPr="00517366"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72</w:t>
    </w:r>
    <w:r w:rsidRPr="0053227E">
      <w:rPr>
        <w:rFonts w:eastAsia="Times New Roman" w:cs="Arial"/>
        <w:sz w:val="19"/>
        <w:szCs w:val="19"/>
      </w:rPr>
      <w:t xml:space="preserve">   </w:t>
    </w:r>
    <w:r w:rsidRPr="00B02D54">
      <w:rPr>
        <w:rFonts w:eastAsia="Times New Roman" w:cs="Arial"/>
        <w:sz w:val="19"/>
        <w:szCs w:val="19"/>
      </w:rPr>
      <w:t>Croatian Bank for Reconstruction and Development</w:t>
    </w:r>
  </w:p>
  <w:p w14:paraId="19508F6A" w14:textId="77777777" w:rsidR="00073888" w:rsidRDefault="00073888">
    <w:pPr>
      <w:pStyle w:val="Footer"/>
    </w:pP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B9BDA" w14:textId="1E6D77A4" w:rsidR="00073888" w:rsidRPr="00517366"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73</w:t>
    </w:r>
    <w:r w:rsidRPr="0053227E">
      <w:rPr>
        <w:rFonts w:eastAsia="Times New Roman" w:cs="Arial"/>
        <w:sz w:val="19"/>
        <w:szCs w:val="19"/>
      </w:rPr>
      <w:t xml:space="preserve">   </w:t>
    </w:r>
    <w:r w:rsidRPr="00383077">
      <w:rPr>
        <w:rFonts w:eastAsia="Times New Roman" w:cs="Arial"/>
        <w:sz w:val="19"/>
        <w:szCs w:val="19"/>
      </w:rPr>
      <w:t>Croatian Bank for Reconstruction and Development</w:t>
    </w:r>
  </w:p>
  <w:p w14:paraId="7B46DE85" w14:textId="77777777" w:rsidR="00073888" w:rsidRDefault="00073888">
    <w:pPr>
      <w:pStyle w:val="Footer"/>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495C9" w14:textId="7F78132A" w:rsidR="00073888" w:rsidRPr="00517366"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proofErr w:type="gramStart"/>
    <w:r>
      <w:rPr>
        <w:rFonts w:eastAsia="Times New Roman" w:cs="Arial"/>
        <w:sz w:val="19"/>
        <w:szCs w:val="19"/>
      </w:rPr>
      <w:t>74</w:t>
    </w:r>
    <w:r w:rsidRPr="0053227E">
      <w:rPr>
        <w:rFonts w:eastAsia="Times New Roman" w:cs="Arial"/>
        <w:sz w:val="19"/>
        <w:szCs w:val="19"/>
      </w:rPr>
      <w:t xml:space="preserve">  </w:t>
    </w:r>
    <w:r w:rsidRPr="00383077">
      <w:rPr>
        <w:rFonts w:eastAsia="Times New Roman" w:cs="Arial"/>
        <w:sz w:val="19"/>
        <w:szCs w:val="19"/>
      </w:rPr>
      <w:t>Croatian</w:t>
    </w:r>
    <w:proofErr w:type="gramEnd"/>
    <w:r w:rsidRPr="00383077">
      <w:rPr>
        <w:rFonts w:eastAsia="Times New Roman" w:cs="Arial"/>
        <w:sz w:val="19"/>
        <w:szCs w:val="19"/>
      </w:rPr>
      <w:t xml:space="preserve"> Bank for Reconstruction and Development</w:t>
    </w:r>
  </w:p>
  <w:p w14:paraId="116303E8" w14:textId="77777777" w:rsidR="00073888" w:rsidRDefault="00073888">
    <w:pPr>
      <w:pStyle w:val="Footer"/>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814A6" w14:textId="38BE5187" w:rsidR="00073888" w:rsidRPr="00383077"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proofErr w:type="gramStart"/>
    <w:r>
      <w:rPr>
        <w:rFonts w:eastAsia="Times New Roman" w:cs="Arial"/>
        <w:sz w:val="19"/>
        <w:szCs w:val="19"/>
      </w:rPr>
      <w:t>75</w:t>
    </w:r>
    <w:r w:rsidRPr="00383077">
      <w:rPr>
        <w:rFonts w:eastAsia="Times New Roman" w:cs="Arial"/>
        <w:sz w:val="19"/>
        <w:szCs w:val="19"/>
      </w:rPr>
      <w:t xml:space="preserve">  Croatian</w:t>
    </w:r>
    <w:proofErr w:type="gramEnd"/>
    <w:r w:rsidRPr="00383077">
      <w:rPr>
        <w:rFonts w:eastAsia="Times New Roman" w:cs="Arial"/>
        <w:sz w:val="19"/>
        <w:szCs w:val="19"/>
      </w:rPr>
      <w:t xml:space="preserve"> Bank for Reconstruction and Development</w:t>
    </w:r>
  </w:p>
  <w:p w14:paraId="734CD17C" w14:textId="77777777" w:rsidR="00073888" w:rsidRDefault="00073888">
    <w:pPr>
      <w:pStyle w:val="Footer"/>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5E23D" w14:textId="598B9922" w:rsidR="00073888" w:rsidRPr="00517366"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76</w:t>
    </w:r>
    <w:r w:rsidRPr="0053227E">
      <w:rPr>
        <w:rFonts w:eastAsia="Times New Roman" w:cs="Arial"/>
        <w:sz w:val="19"/>
        <w:szCs w:val="19"/>
      </w:rPr>
      <w:t xml:space="preserve">   </w:t>
    </w:r>
    <w:r w:rsidRPr="00383077">
      <w:rPr>
        <w:rFonts w:eastAsia="Times New Roman" w:cs="Arial"/>
        <w:sz w:val="19"/>
        <w:szCs w:val="19"/>
      </w:rPr>
      <w:t>Croatian Bank for Reconstruction and Development</w:t>
    </w:r>
  </w:p>
  <w:p w14:paraId="44152137" w14:textId="77777777" w:rsidR="00073888" w:rsidRDefault="00073888">
    <w:pPr>
      <w:pStyle w:val="Footer"/>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1456D" w14:textId="1F23BF57" w:rsidR="00073888" w:rsidRPr="00383077"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 xml:space="preserve">77 </w:t>
    </w:r>
    <w:r w:rsidRPr="00383077">
      <w:rPr>
        <w:rFonts w:eastAsia="Times New Roman" w:cs="Arial"/>
        <w:sz w:val="19"/>
        <w:szCs w:val="19"/>
      </w:rPr>
      <w:t xml:space="preserve">  Croatian Bank for Reconstruction and Development</w:t>
    </w:r>
  </w:p>
  <w:p w14:paraId="03013C8B" w14:textId="77777777" w:rsidR="00073888" w:rsidRDefault="00073888">
    <w:pPr>
      <w:pStyle w:val="Footer"/>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5527F" w14:textId="39702088" w:rsidR="00073888" w:rsidRPr="00383077"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78</w:t>
    </w:r>
    <w:r w:rsidRPr="00383077">
      <w:rPr>
        <w:rFonts w:eastAsia="Times New Roman" w:cs="Arial"/>
        <w:sz w:val="19"/>
        <w:szCs w:val="19"/>
      </w:rPr>
      <w:t xml:space="preserve">   Croatian Bank for Reconstruction and Development</w:t>
    </w:r>
  </w:p>
  <w:p w14:paraId="105ACA40" w14:textId="77777777" w:rsidR="00073888" w:rsidRDefault="00073888">
    <w:pPr>
      <w:pStyle w:val="Footer"/>
    </w:pP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521DC" w14:textId="24DEB9B5" w:rsidR="00073888" w:rsidRPr="00383077"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79</w:t>
    </w:r>
    <w:r w:rsidRPr="00383077">
      <w:rPr>
        <w:rFonts w:eastAsia="Times New Roman" w:cs="Arial"/>
        <w:sz w:val="19"/>
        <w:szCs w:val="19"/>
      </w:rPr>
      <w:t xml:space="preserve">   Croatian Bank for Reconstruction and Development</w:t>
    </w:r>
  </w:p>
  <w:p w14:paraId="1810E34B" w14:textId="77777777" w:rsidR="00073888" w:rsidRDefault="00073888">
    <w:pPr>
      <w:pStyle w:val="Footer"/>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73105" w14:textId="4EABFF0E" w:rsidR="00073888" w:rsidRPr="0053227E" w:rsidRDefault="00073888" w:rsidP="00A37280">
    <w:pPr>
      <w:pStyle w:val="Footer"/>
      <w:pBdr>
        <w:top w:val="single" w:sz="4" w:space="1" w:color="auto"/>
      </w:pBdr>
      <w:ind w:right="283"/>
      <w:rPr>
        <w:sz w:val="19"/>
      </w:rPr>
    </w:pPr>
    <w:r>
      <w:rPr>
        <w:rFonts w:cs="Arial"/>
        <w:sz w:val="19"/>
        <w:szCs w:val="19"/>
      </w:rPr>
      <w:t xml:space="preserve">80 </w:t>
    </w:r>
    <w:r w:rsidRPr="0053227E">
      <w:rPr>
        <w:rFonts w:cs="Arial"/>
        <w:sz w:val="19"/>
        <w:szCs w:val="19"/>
      </w:rPr>
      <w:t xml:space="preserve">  Croatian Bank for Reconstruction and Development</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41401" w14:textId="2B3CBB3A" w:rsidR="00073888" w:rsidRPr="0053227E" w:rsidRDefault="00073888" w:rsidP="00A37280">
    <w:pPr>
      <w:pStyle w:val="Footer"/>
      <w:pBdr>
        <w:top w:val="single" w:sz="4" w:space="1" w:color="auto"/>
      </w:pBdr>
      <w:ind w:right="283"/>
      <w:rPr>
        <w:sz w:val="19"/>
      </w:rPr>
    </w:pPr>
    <w:r>
      <w:rPr>
        <w:rFonts w:cs="Arial"/>
        <w:sz w:val="19"/>
        <w:szCs w:val="19"/>
      </w:rPr>
      <w:t xml:space="preserve">81 </w:t>
    </w:r>
    <w:r w:rsidRPr="0053227E">
      <w:rPr>
        <w:rFonts w:cs="Arial"/>
        <w:sz w:val="19"/>
        <w:szCs w:val="19"/>
      </w:rPr>
      <w:t xml:space="preserve">  Croatian Bank for Reconstruction and Development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D6E81" w14:textId="0FFC4D7F" w:rsidR="00073888" w:rsidRPr="00517366" w:rsidRDefault="00073888" w:rsidP="0091098F">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8</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14:paraId="19B53544" w14:textId="77777777" w:rsidR="00073888" w:rsidRDefault="00073888">
    <w:pPr>
      <w:pStyle w:val="Footer"/>
    </w:pPr>
    <w:r>
      <w:tab/>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A539C" w14:textId="6D1B0C6A" w:rsidR="00073888" w:rsidRPr="0053227E" w:rsidRDefault="00073888" w:rsidP="00A37280">
    <w:pPr>
      <w:pStyle w:val="Footer"/>
      <w:pBdr>
        <w:top w:val="single" w:sz="4" w:space="1" w:color="auto"/>
      </w:pBdr>
      <w:ind w:right="283"/>
      <w:rPr>
        <w:sz w:val="19"/>
      </w:rPr>
    </w:pPr>
    <w:r>
      <w:rPr>
        <w:rFonts w:cs="Arial"/>
        <w:sz w:val="19"/>
        <w:szCs w:val="19"/>
      </w:rPr>
      <w:t xml:space="preserve">82 </w:t>
    </w:r>
    <w:r w:rsidRPr="0053227E">
      <w:rPr>
        <w:rFonts w:cs="Arial"/>
        <w:sz w:val="19"/>
        <w:szCs w:val="19"/>
      </w:rPr>
      <w:t xml:space="preserve">  Croatian Bank for Reconstruction and Development</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8EC3B" w14:textId="3A7D397D" w:rsidR="00073888" w:rsidRPr="0053227E" w:rsidRDefault="00073888" w:rsidP="00A37280">
    <w:pPr>
      <w:pStyle w:val="Footer"/>
      <w:pBdr>
        <w:top w:val="single" w:sz="4" w:space="1" w:color="auto"/>
      </w:pBdr>
      <w:ind w:right="283"/>
      <w:rPr>
        <w:sz w:val="19"/>
      </w:rPr>
    </w:pPr>
    <w:r>
      <w:rPr>
        <w:rFonts w:cs="Arial"/>
        <w:sz w:val="19"/>
        <w:szCs w:val="19"/>
      </w:rPr>
      <w:t>83</w:t>
    </w:r>
    <w:r w:rsidRPr="0053227E">
      <w:rPr>
        <w:rFonts w:cs="Arial"/>
        <w:sz w:val="19"/>
        <w:szCs w:val="19"/>
      </w:rPr>
      <w:t xml:space="preserve"> </w:t>
    </w:r>
    <w:r>
      <w:rPr>
        <w:rFonts w:cs="Arial"/>
        <w:sz w:val="19"/>
        <w:szCs w:val="19"/>
      </w:rPr>
      <w:t xml:space="preserve"> </w:t>
    </w:r>
    <w:r w:rsidRPr="0053227E">
      <w:rPr>
        <w:rFonts w:cs="Arial"/>
        <w:sz w:val="19"/>
        <w:szCs w:val="19"/>
      </w:rPr>
      <w:t xml:space="preserve"> Croatian Bank for Reconstruction and Development</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6F15B" w14:textId="7C9E49D5" w:rsidR="00073888" w:rsidRPr="00517366"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84</w:t>
    </w:r>
    <w:r w:rsidRPr="0053227E">
      <w:rPr>
        <w:rFonts w:eastAsia="Times New Roman" w:cs="Arial"/>
        <w:sz w:val="19"/>
        <w:szCs w:val="19"/>
      </w:rPr>
      <w:t xml:space="preserve"> </w:t>
    </w:r>
    <w:r>
      <w:rPr>
        <w:rFonts w:eastAsia="Times New Roman" w:cs="Arial"/>
        <w:sz w:val="19"/>
        <w:szCs w:val="19"/>
      </w:rPr>
      <w:t xml:space="preserve"> </w:t>
    </w:r>
    <w:r w:rsidRPr="0053227E">
      <w:rPr>
        <w:rFonts w:eastAsia="Times New Roman" w:cs="Arial"/>
        <w:sz w:val="19"/>
        <w:szCs w:val="19"/>
      </w:rPr>
      <w:t xml:space="preserve"> </w:t>
    </w:r>
    <w:r w:rsidRPr="00DA56BB">
      <w:rPr>
        <w:rFonts w:eastAsia="Times New Roman" w:cs="Arial"/>
        <w:sz w:val="19"/>
        <w:szCs w:val="19"/>
      </w:rPr>
      <w:t>Croatian Bank for Reconstruction and Development</w:t>
    </w:r>
  </w:p>
  <w:p w14:paraId="237613B7" w14:textId="77777777" w:rsidR="00073888" w:rsidRDefault="00073888">
    <w:pPr>
      <w:pStyle w:val="Footer"/>
    </w:pP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90FE1" w14:textId="5066172B" w:rsidR="00073888" w:rsidRPr="00517366"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 xml:space="preserve">85 </w:t>
    </w:r>
    <w:r w:rsidRPr="0053227E">
      <w:rPr>
        <w:rFonts w:eastAsia="Times New Roman" w:cs="Arial"/>
        <w:sz w:val="19"/>
        <w:szCs w:val="19"/>
      </w:rPr>
      <w:t xml:space="preserve">  </w:t>
    </w:r>
    <w:r w:rsidRPr="00DA56BB">
      <w:rPr>
        <w:rFonts w:eastAsia="Times New Roman" w:cs="Arial"/>
        <w:sz w:val="19"/>
        <w:szCs w:val="19"/>
      </w:rPr>
      <w:t>Croatian Bank for Reconstruction and Development</w:t>
    </w:r>
  </w:p>
  <w:p w14:paraId="3C62FB70" w14:textId="77777777" w:rsidR="00073888" w:rsidRDefault="00073888">
    <w:pPr>
      <w:pStyle w:val="Footer"/>
    </w:pP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1F26B" w14:textId="77CD1E5F" w:rsidR="00073888" w:rsidRPr="00517366"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86</w:t>
    </w:r>
    <w:r w:rsidRPr="0053227E">
      <w:rPr>
        <w:rFonts w:eastAsia="Times New Roman" w:cs="Arial"/>
        <w:sz w:val="19"/>
        <w:szCs w:val="19"/>
      </w:rPr>
      <w:t xml:space="preserve">   </w:t>
    </w:r>
    <w:r w:rsidRPr="00DA56BB">
      <w:rPr>
        <w:rFonts w:eastAsia="Times New Roman" w:cs="Arial"/>
        <w:sz w:val="19"/>
        <w:szCs w:val="19"/>
      </w:rPr>
      <w:t>Croatian Bank for Reconstruction and Development</w:t>
    </w:r>
  </w:p>
  <w:p w14:paraId="034DB9C2" w14:textId="77777777" w:rsidR="00073888" w:rsidRDefault="00073888">
    <w:pPr>
      <w:pStyle w:val="Footer"/>
    </w:pP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FFF70" w14:textId="5DA3B532" w:rsidR="00073888" w:rsidRPr="00517366"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87</w:t>
    </w:r>
    <w:r w:rsidRPr="0053227E">
      <w:rPr>
        <w:rFonts w:eastAsia="Times New Roman" w:cs="Arial"/>
        <w:sz w:val="19"/>
        <w:szCs w:val="19"/>
      </w:rPr>
      <w:t xml:space="preserve">   </w:t>
    </w:r>
    <w:r w:rsidRPr="00DA56BB">
      <w:rPr>
        <w:rFonts w:eastAsia="Times New Roman" w:cs="Arial"/>
        <w:sz w:val="19"/>
        <w:szCs w:val="19"/>
      </w:rPr>
      <w:t>Croatian Bank for Reconstruction and Development</w:t>
    </w:r>
  </w:p>
  <w:p w14:paraId="2E373EDC" w14:textId="77777777" w:rsidR="00073888" w:rsidRDefault="00073888">
    <w:pPr>
      <w:pStyle w:val="Footer"/>
    </w:pP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CFE9B" w14:textId="6C6B21EB" w:rsidR="00073888" w:rsidRDefault="00073888" w:rsidP="00A37280">
    <w:pPr>
      <w:pStyle w:val="Footer"/>
      <w:pBdr>
        <w:top w:val="single" w:sz="4" w:space="1" w:color="auto"/>
      </w:pBdr>
      <w:ind w:right="283"/>
      <w:rPr>
        <w:rFonts w:cs="Arial"/>
        <w:sz w:val="19"/>
        <w:szCs w:val="19"/>
      </w:rPr>
    </w:pPr>
    <w:proofErr w:type="gramStart"/>
    <w:r>
      <w:rPr>
        <w:rFonts w:cs="Arial"/>
        <w:sz w:val="19"/>
        <w:szCs w:val="19"/>
      </w:rPr>
      <w:t xml:space="preserve">95  </w:t>
    </w:r>
    <w:r w:rsidRPr="0053227E">
      <w:rPr>
        <w:rFonts w:cs="Arial"/>
        <w:sz w:val="19"/>
        <w:szCs w:val="19"/>
      </w:rPr>
      <w:t>Croatian</w:t>
    </w:r>
    <w:proofErr w:type="gramEnd"/>
    <w:r w:rsidRPr="0053227E">
      <w:rPr>
        <w:rFonts w:cs="Arial"/>
        <w:sz w:val="19"/>
        <w:szCs w:val="19"/>
      </w:rPr>
      <w:t xml:space="preserve"> Bank for Reconstruction and Development</w:t>
    </w:r>
  </w:p>
  <w:p w14:paraId="68502D30" w14:textId="77777777" w:rsidR="00073888" w:rsidRPr="0053227E" w:rsidRDefault="00073888" w:rsidP="00A37280">
    <w:pPr>
      <w:pStyle w:val="Footer"/>
      <w:pBdr>
        <w:top w:val="single" w:sz="4" w:space="1" w:color="auto"/>
      </w:pBdr>
      <w:ind w:right="283"/>
      <w:rPr>
        <w:sz w:val="19"/>
      </w:rPr>
    </w:pP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B3451" w14:textId="76DB24B8" w:rsidR="00073888" w:rsidRPr="00517366"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 xml:space="preserve">88 </w:t>
    </w:r>
    <w:r w:rsidRPr="0053227E">
      <w:rPr>
        <w:rFonts w:eastAsia="Times New Roman" w:cs="Arial"/>
        <w:sz w:val="19"/>
        <w:szCs w:val="19"/>
      </w:rPr>
      <w:t xml:space="preserve">  </w:t>
    </w:r>
    <w:r w:rsidRPr="00DA56BB">
      <w:rPr>
        <w:rFonts w:eastAsia="Times New Roman" w:cs="Arial"/>
        <w:sz w:val="19"/>
        <w:szCs w:val="19"/>
      </w:rPr>
      <w:t>Croatian Bank for Reconstruction and Development</w:t>
    </w:r>
  </w:p>
  <w:p w14:paraId="00A2B4B0" w14:textId="77777777" w:rsidR="00073888" w:rsidRDefault="00073888">
    <w:pPr>
      <w:pStyle w:val="Footer"/>
    </w:pP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A8253" w14:textId="767DA650" w:rsidR="00073888" w:rsidRPr="00517366"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 xml:space="preserve">89 </w:t>
    </w:r>
    <w:r w:rsidRPr="0053227E">
      <w:rPr>
        <w:rFonts w:eastAsia="Times New Roman" w:cs="Arial"/>
        <w:sz w:val="19"/>
        <w:szCs w:val="19"/>
      </w:rPr>
      <w:t xml:space="preserve">  </w:t>
    </w:r>
    <w:r w:rsidRPr="00DA56BB">
      <w:rPr>
        <w:rFonts w:eastAsia="Times New Roman" w:cs="Arial"/>
        <w:sz w:val="19"/>
        <w:szCs w:val="19"/>
      </w:rPr>
      <w:t>Croatian Bank for Reconstruction and Development</w:t>
    </w:r>
  </w:p>
  <w:p w14:paraId="4A0664D2" w14:textId="77777777" w:rsidR="00073888" w:rsidRDefault="00073888">
    <w:pPr>
      <w:pStyle w:val="Footer"/>
    </w:pP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AA2CB" w14:textId="4D64733E" w:rsidR="00073888" w:rsidRPr="00517366" w:rsidRDefault="00073888"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90</w:t>
    </w:r>
    <w:r w:rsidRPr="0053227E">
      <w:rPr>
        <w:rFonts w:eastAsia="Times New Roman" w:cs="Arial"/>
        <w:sz w:val="19"/>
        <w:szCs w:val="19"/>
      </w:rPr>
      <w:t xml:space="preserve">   </w:t>
    </w:r>
    <w:r w:rsidRPr="00DA56BB">
      <w:rPr>
        <w:rFonts w:eastAsia="Times New Roman" w:cs="Arial"/>
        <w:sz w:val="19"/>
        <w:szCs w:val="19"/>
      </w:rPr>
      <w:t>Croatian Bank for Reconstruction and Development</w:t>
    </w:r>
  </w:p>
  <w:p w14:paraId="35C3EB49" w14:textId="77777777" w:rsidR="00073888" w:rsidRDefault="000738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7A984" w14:textId="77777777" w:rsidR="00073888" w:rsidRDefault="00073888" w:rsidP="004D4B9D">
      <w:pPr>
        <w:spacing w:after="0" w:line="240" w:lineRule="auto"/>
      </w:pPr>
      <w:r>
        <w:separator/>
      </w:r>
    </w:p>
  </w:footnote>
  <w:footnote w:type="continuationSeparator" w:id="0">
    <w:p w14:paraId="030BD010" w14:textId="77777777" w:rsidR="00073888" w:rsidRDefault="00073888" w:rsidP="004D4B9D">
      <w:pPr>
        <w:spacing w:after="0" w:line="240" w:lineRule="auto"/>
      </w:pPr>
      <w:r>
        <w:continuationSeparator/>
      </w:r>
    </w:p>
  </w:footnote>
  <w:footnote w:type="continuationNotice" w:id="1">
    <w:p w14:paraId="784BC2A2" w14:textId="77777777" w:rsidR="00073888" w:rsidRDefault="0007388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4CFAB" w14:textId="77777777" w:rsidR="00073888" w:rsidRDefault="00073888" w:rsidP="002509F3">
    <w:pPr>
      <w:pBdr>
        <w:bottom w:val="single" w:sz="4" w:space="1" w:color="auto"/>
      </w:pBdr>
      <w:spacing w:after="0" w:line="310" w:lineRule="atLeast"/>
      <w:rPr>
        <w:rFonts w:eastAsia="Times New Roman" w:cs="Arial"/>
        <w:sz w:val="28"/>
        <w:szCs w:val="28"/>
        <w:lang w:val="pl-PL"/>
      </w:rPr>
    </w:pPr>
    <w:r>
      <w:rPr>
        <w:rFonts w:eastAsia="Times New Roman" w:cs="Arial"/>
        <w:sz w:val="28"/>
        <w:szCs w:val="28"/>
        <w:lang w:val="pl-PL"/>
      </w:rPr>
      <w:t xml:space="preserve">Bilješke uz Skraćeni financijski izvještaj </w:t>
    </w:r>
  </w:p>
  <w:p w14:paraId="445F8E51" w14:textId="77777777" w:rsidR="00073888" w:rsidRPr="00542F1A" w:rsidRDefault="00073888" w:rsidP="00542F1A">
    <w:pPr>
      <w:pBdr>
        <w:bottom w:val="single" w:sz="4" w:space="1" w:color="auto"/>
      </w:pBdr>
      <w:spacing w:after="0" w:line="310" w:lineRule="atLeast"/>
      <w:rPr>
        <w:rFonts w:eastAsia="Times New Roman" w:cs="Arial"/>
        <w:lang w:val="pl-PL"/>
      </w:rPr>
    </w:pPr>
    <w:r>
      <w:rPr>
        <w:rFonts w:eastAsia="Times New Roman" w:cs="Arial"/>
        <w:sz w:val="28"/>
        <w:szCs w:val="28"/>
        <w:lang w:val="pl-PL"/>
      </w:rPr>
      <w:t>za razdoblje od 01. siječnja do 31. ožujka 2014. godine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C4390" w14:textId="77777777" w:rsidR="00073888" w:rsidRPr="00091EA0" w:rsidRDefault="00073888" w:rsidP="00275236">
    <w:pPr>
      <w:pStyle w:val="Header"/>
      <w:rPr>
        <w:rFonts w:eastAsia="Times New Roman" w:cs="Arial"/>
        <w:sz w:val="28"/>
        <w:szCs w:val="28"/>
      </w:rPr>
    </w:pPr>
    <w:r w:rsidRPr="00091EA0">
      <w:rPr>
        <w:rFonts w:eastAsia="Times New Roman" w:cs="Arial"/>
        <w:sz w:val="28"/>
        <w:szCs w:val="28"/>
      </w:rPr>
      <w:t xml:space="preserve">Consolidated Interim </w:t>
    </w:r>
    <w:r>
      <w:rPr>
        <w:rFonts w:eastAsia="Times New Roman" w:cs="Arial"/>
        <w:sz w:val="28"/>
        <w:szCs w:val="28"/>
      </w:rPr>
      <w:t xml:space="preserve">Condensed </w:t>
    </w:r>
    <w:r w:rsidRPr="00091EA0">
      <w:rPr>
        <w:rFonts w:eastAsia="Times New Roman" w:cs="Arial"/>
        <w:sz w:val="28"/>
        <w:szCs w:val="28"/>
      </w:rPr>
      <w:t>Financial Statements of the Group</w:t>
    </w:r>
  </w:p>
  <w:p w14:paraId="05A8C4EE" w14:textId="77777777" w:rsidR="00073888" w:rsidRDefault="00073888" w:rsidP="00155771">
    <w:pPr>
      <w:pBdr>
        <w:bottom w:val="single" w:sz="4" w:space="1" w:color="auto"/>
      </w:pBdr>
      <w:spacing w:after="0" w:line="310" w:lineRule="atLeast"/>
      <w:rPr>
        <w:rFonts w:eastAsia="Times New Roman" w:cs="Arial"/>
        <w:sz w:val="28"/>
        <w:szCs w:val="28"/>
      </w:rPr>
    </w:pPr>
    <w:r>
      <w:rPr>
        <w:rFonts w:eastAsia="Times New Roman" w:cs="Arial"/>
        <w:sz w:val="28"/>
        <w:szCs w:val="28"/>
      </w:rPr>
      <w:t>Statement of Changes in Equity</w:t>
    </w:r>
  </w:p>
  <w:p w14:paraId="36979B3B" w14:textId="4B2D69C1" w:rsidR="00073888" w:rsidRPr="00091EA0" w:rsidRDefault="00073888" w:rsidP="00155771">
    <w:pPr>
      <w:pBdr>
        <w:bottom w:val="single" w:sz="4" w:space="1" w:color="auto"/>
      </w:pBdr>
      <w:spacing w:after="0" w:line="310" w:lineRule="atLeast"/>
      <w:rPr>
        <w:rFonts w:eastAsia="Times New Roman" w:cs="Arial"/>
        <w:sz w:val="28"/>
        <w:szCs w:val="28"/>
      </w:rPr>
    </w:pPr>
    <w:proofErr w:type="gramStart"/>
    <w:r>
      <w:rPr>
        <w:rFonts w:eastAsia="Times New Roman" w:cs="Arial"/>
        <w:sz w:val="28"/>
        <w:szCs w:val="28"/>
      </w:rPr>
      <w:t>for</w:t>
    </w:r>
    <w:proofErr w:type="gramEnd"/>
    <w:r>
      <w:rPr>
        <w:rFonts w:eastAsia="Times New Roman" w:cs="Arial"/>
        <w:sz w:val="28"/>
        <w:szCs w:val="28"/>
      </w:rPr>
      <w:t xml:space="preserve"> the period</w:t>
    </w:r>
    <w:r w:rsidRPr="00091EA0">
      <w:rPr>
        <w:rFonts w:eastAsia="Times New Roman" w:cs="Arial"/>
        <w:sz w:val="28"/>
        <w:szCs w:val="28"/>
      </w:rPr>
      <w:t xml:space="preserve"> 1</w:t>
    </w:r>
    <w:r>
      <w:rPr>
        <w:rFonts w:eastAsia="Times New Roman" w:cs="Arial"/>
        <w:sz w:val="28"/>
        <w:szCs w:val="28"/>
      </w:rPr>
      <w:t xml:space="preserve"> January –</w:t>
    </w:r>
    <w:r w:rsidRPr="00091EA0">
      <w:rPr>
        <w:rFonts w:eastAsia="Times New Roman" w:cs="Arial"/>
        <w:sz w:val="28"/>
        <w:szCs w:val="28"/>
      </w:rPr>
      <w:t xml:space="preserve"> </w:t>
    </w:r>
    <w:r w:rsidRPr="00165CF1">
      <w:rPr>
        <w:rFonts w:eastAsia="Times New Roman" w:cs="Arial"/>
        <w:sz w:val="28"/>
        <w:szCs w:val="28"/>
      </w:rPr>
      <w:t xml:space="preserve">30 </w:t>
    </w:r>
    <w:r>
      <w:rPr>
        <w:rFonts w:eastAsia="Times New Roman" w:cs="Arial"/>
        <w:sz w:val="28"/>
        <w:szCs w:val="28"/>
      </w:rPr>
      <w:t>September</w:t>
    </w:r>
    <w:r w:rsidRPr="00165CF1">
      <w:rPr>
        <w:rFonts w:eastAsia="Times New Roman" w:cs="Arial"/>
        <w:sz w:val="28"/>
        <w:szCs w:val="28"/>
      </w:rPr>
      <w:t xml:space="preserve"> </w:t>
    </w:r>
    <w:r>
      <w:rPr>
        <w:rFonts w:eastAsia="Times New Roman" w:cs="Arial"/>
        <w:sz w:val="28"/>
        <w:szCs w:val="28"/>
      </w:rPr>
      <w:t>(unaudited)</w:t>
    </w:r>
  </w:p>
  <w:p w14:paraId="712AE5D2" w14:textId="77777777" w:rsidR="00073888" w:rsidRPr="00C25653" w:rsidRDefault="00073888" w:rsidP="00155771">
    <w:pPr>
      <w:pBdr>
        <w:bottom w:val="single" w:sz="4" w:space="1" w:color="auto"/>
      </w:pBdr>
      <w:spacing w:after="0" w:line="310" w:lineRule="atLeast"/>
      <w:rPr>
        <w:rFonts w:eastAsia="Times New Roman" w:cs="Arial"/>
      </w:rPr>
    </w:pPr>
    <w:r w:rsidRPr="007A0C28">
      <w:rPr>
        <w:rFonts w:eastAsia="Times New Roman" w:cs="Arial"/>
      </w:rPr>
      <w:t xml:space="preserve"> </w:t>
    </w:r>
    <w:r w:rsidRPr="00091EA0">
      <w:rPr>
        <w:rFonts w:eastAsia="Times New Roman" w:cs="Arial"/>
      </w:rPr>
      <w:t>(</w:t>
    </w:r>
    <w:r w:rsidRPr="002558B5">
      <w:rPr>
        <w:rFonts w:cs="Arial"/>
        <w:lang w:val="en-US"/>
      </w:rPr>
      <w:t>All amounts are expressed in HRK thousand</w:t>
    </w:r>
    <w:r>
      <w:rPr>
        <w:rFonts w:eastAsia="Times New Roman" w:cs="Arial"/>
      </w:rP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CAC0A" w14:textId="77777777" w:rsidR="00073888" w:rsidRDefault="00073888" w:rsidP="003C4A3A">
    <w:pPr>
      <w:pStyle w:val="Header"/>
      <w:rPr>
        <w:rFonts w:eastAsia="Times New Roman" w:cs="Arial"/>
        <w:sz w:val="28"/>
        <w:szCs w:val="28"/>
      </w:rPr>
    </w:pPr>
    <w:r>
      <w:rPr>
        <w:rFonts w:eastAsia="Times New Roman" w:cs="Arial"/>
        <w:sz w:val="28"/>
        <w:szCs w:val="28"/>
      </w:rPr>
      <w:t>Unc</w:t>
    </w:r>
    <w:r w:rsidRPr="00091EA0">
      <w:rPr>
        <w:rFonts w:eastAsia="Times New Roman" w:cs="Arial"/>
        <w:sz w:val="28"/>
        <w:szCs w:val="28"/>
      </w:rPr>
      <w:t xml:space="preserve">onsolidated Interim </w:t>
    </w:r>
    <w:r>
      <w:rPr>
        <w:rFonts w:eastAsia="Times New Roman" w:cs="Arial"/>
        <w:sz w:val="28"/>
        <w:szCs w:val="28"/>
      </w:rPr>
      <w:t xml:space="preserve">Condensed </w:t>
    </w:r>
    <w:r w:rsidRPr="00091EA0">
      <w:rPr>
        <w:rFonts w:eastAsia="Times New Roman" w:cs="Arial"/>
        <w:sz w:val="28"/>
        <w:szCs w:val="28"/>
      </w:rPr>
      <w:t xml:space="preserve">Financial Statements of the </w:t>
    </w:r>
    <w:r>
      <w:rPr>
        <w:rFonts w:eastAsia="Times New Roman" w:cs="Arial"/>
        <w:sz w:val="28"/>
        <w:szCs w:val="28"/>
      </w:rPr>
      <w:t>Bank</w:t>
    </w:r>
  </w:p>
  <w:p w14:paraId="64A0CFED" w14:textId="77777777" w:rsidR="00073888" w:rsidRPr="00091EA0" w:rsidRDefault="00073888" w:rsidP="003C4A3A">
    <w:pPr>
      <w:pStyle w:val="Header"/>
      <w:rPr>
        <w:rFonts w:eastAsia="Times New Roman" w:cs="Arial"/>
        <w:sz w:val="28"/>
        <w:szCs w:val="28"/>
      </w:rPr>
    </w:pPr>
    <w:r>
      <w:rPr>
        <w:rFonts w:eastAsia="Times New Roman" w:cs="Arial"/>
        <w:sz w:val="28"/>
        <w:szCs w:val="28"/>
      </w:rPr>
      <w:t>Statement of Profit or Loss</w:t>
    </w:r>
  </w:p>
  <w:p w14:paraId="08559E34" w14:textId="5D35CC37" w:rsidR="00073888" w:rsidRPr="00091EA0" w:rsidRDefault="00073888" w:rsidP="003C4A3A">
    <w:pPr>
      <w:pBdr>
        <w:bottom w:val="single" w:sz="4" w:space="1" w:color="auto"/>
      </w:pBdr>
      <w:spacing w:after="0" w:line="310" w:lineRule="atLeast"/>
      <w:rPr>
        <w:rFonts w:eastAsia="Times New Roman" w:cs="Arial"/>
        <w:sz w:val="28"/>
        <w:szCs w:val="28"/>
      </w:rPr>
    </w:pPr>
    <w:proofErr w:type="gramStart"/>
    <w:r>
      <w:rPr>
        <w:rFonts w:eastAsia="Times New Roman" w:cs="Arial"/>
        <w:sz w:val="28"/>
        <w:szCs w:val="28"/>
      </w:rPr>
      <w:t>for</w:t>
    </w:r>
    <w:proofErr w:type="gramEnd"/>
    <w:r>
      <w:rPr>
        <w:rFonts w:eastAsia="Times New Roman" w:cs="Arial"/>
        <w:sz w:val="28"/>
        <w:szCs w:val="28"/>
      </w:rPr>
      <w:t xml:space="preserve"> the period</w:t>
    </w:r>
    <w:r w:rsidRPr="00091EA0">
      <w:rPr>
        <w:rFonts w:eastAsia="Times New Roman" w:cs="Arial"/>
        <w:sz w:val="28"/>
        <w:szCs w:val="28"/>
      </w:rPr>
      <w:t xml:space="preserve"> 1</w:t>
    </w:r>
    <w:r>
      <w:rPr>
        <w:rFonts w:eastAsia="Times New Roman" w:cs="Arial"/>
        <w:sz w:val="28"/>
        <w:szCs w:val="28"/>
      </w:rPr>
      <w:t xml:space="preserve"> January –</w:t>
    </w:r>
    <w:r w:rsidRPr="00091EA0">
      <w:rPr>
        <w:rFonts w:eastAsia="Times New Roman" w:cs="Arial"/>
        <w:sz w:val="28"/>
        <w:szCs w:val="28"/>
      </w:rPr>
      <w:t xml:space="preserve"> </w:t>
    </w:r>
    <w:r w:rsidRPr="00165CF1">
      <w:rPr>
        <w:rFonts w:eastAsia="Times New Roman" w:cs="Arial"/>
        <w:sz w:val="28"/>
        <w:szCs w:val="28"/>
      </w:rPr>
      <w:t xml:space="preserve">30 </w:t>
    </w:r>
    <w:r>
      <w:rPr>
        <w:rFonts w:eastAsia="Times New Roman" w:cs="Arial"/>
        <w:sz w:val="28"/>
        <w:szCs w:val="28"/>
      </w:rPr>
      <w:t>September</w:t>
    </w:r>
    <w:r w:rsidRPr="00165CF1">
      <w:rPr>
        <w:rFonts w:eastAsia="Times New Roman" w:cs="Arial"/>
        <w:sz w:val="28"/>
        <w:szCs w:val="28"/>
      </w:rPr>
      <w:t xml:space="preserve"> </w:t>
    </w:r>
    <w:r>
      <w:rPr>
        <w:rFonts w:eastAsia="Times New Roman" w:cs="Arial"/>
        <w:sz w:val="28"/>
        <w:szCs w:val="28"/>
      </w:rPr>
      <w:t>(unaudited)</w:t>
    </w:r>
  </w:p>
  <w:p w14:paraId="57A2E1F8" w14:textId="77777777" w:rsidR="00073888" w:rsidRPr="00295272" w:rsidRDefault="00073888" w:rsidP="00295272">
    <w:pPr>
      <w:pBdr>
        <w:bottom w:val="single" w:sz="4" w:space="1" w:color="auto"/>
      </w:pBdr>
      <w:spacing w:after="0" w:line="310" w:lineRule="atLeast"/>
      <w:rPr>
        <w:rFonts w:eastAsia="Times New Roman" w:cs="Arial"/>
      </w:rPr>
    </w:pPr>
    <w:r w:rsidRPr="007A0C28">
      <w:rPr>
        <w:rFonts w:eastAsia="Times New Roman" w:cs="Arial"/>
      </w:rPr>
      <w:t xml:space="preserve"> </w:t>
    </w:r>
    <w:r w:rsidRPr="00091EA0">
      <w:rPr>
        <w:rFonts w:eastAsia="Times New Roman" w:cs="Arial"/>
      </w:rPr>
      <w:t>(</w:t>
    </w:r>
    <w:r w:rsidRPr="002558B5">
      <w:rPr>
        <w:rFonts w:cs="Arial"/>
        <w:lang w:val="en-US"/>
      </w:rPr>
      <w:t>All amounts are expressed in HRK thousand</w:t>
    </w:r>
    <w:r>
      <w:rPr>
        <w:rFonts w:eastAsia="Times New Roman" w:cs="Arial"/>
      </w:rP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A0B06" w14:textId="77777777" w:rsidR="00073888" w:rsidRDefault="00073888" w:rsidP="00AB2772">
    <w:pPr>
      <w:pStyle w:val="Header"/>
      <w:rPr>
        <w:rFonts w:eastAsia="Times New Roman" w:cs="Arial"/>
        <w:sz w:val="28"/>
        <w:szCs w:val="28"/>
      </w:rPr>
    </w:pPr>
    <w:r>
      <w:rPr>
        <w:rFonts w:eastAsia="Times New Roman" w:cs="Arial"/>
        <w:sz w:val="28"/>
        <w:szCs w:val="28"/>
      </w:rPr>
      <w:t>Unc</w:t>
    </w:r>
    <w:r w:rsidRPr="00091EA0">
      <w:rPr>
        <w:rFonts w:eastAsia="Times New Roman" w:cs="Arial"/>
        <w:sz w:val="28"/>
        <w:szCs w:val="28"/>
      </w:rPr>
      <w:t xml:space="preserve">onsolidated Interim </w:t>
    </w:r>
    <w:r>
      <w:rPr>
        <w:rFonts w:eastAsia="Times New Roman" w:cs="Arial"/>
        <w:sz w:val="28"/>
        <w:szCs w:val="28"/>
      </w:rPr>
      <w:t xml:space="preserve">Condensed </w:t>
    </w:r>
    <w:r w:rsidRPr="00091EA0">
      <w:rPr>
        <w:rFonts w:eastAsia="Times New Roman" w:cs="Arial"/>
        <w:sz w:val="28"/>
        <w:szCs w:val="28"/>
      </w:rPr>
      <w:t xml:space="preserve">Financial Statements of the </w:t>
    </w:r>
    <w:r>
      <w:rPr>
        <w:rFonts w:eastAsia="Times New Roman" w:cs="Arial"/>
        <w:sz w:val="28"/>
        <w:szCs w:val="28"/>
      </w:rPr>
      <w:t>Bank</w:t>
    </w:r>
  </w:p>
  <w:p w14:paraId="3E85B0A2" w14:textId="77777777" w:rsidR="00073888" w:rsidRPr="007A0C28" w:rsidRDefault="00073888" w:rsidP="00AA4235">
    <w:pPr>
      <w:pBdr>
        <w:bottom w:val="single" w:sz="4" w:space="1" w:color="auto"/>
      </w:pBdr>
      <w:spacing w:after="0" w:line="310" w:lineRule="atLeast"/>
      <w:rPr>
        <w:rFonts w:eastAsia="Times New Roman" w:cs="Arial"/>
        <w:sz w:val="28"/>
        <w:szCs w:val="28"/>
      </w:rPr>
    </w:pPr>
    <w:r w:rsidRPr="00AB2772">
      <w:rPr>
        <w:rFonts w:cs="Arial"/>
        <w:sz w:val="28"/>
        <w:szCs w:val="28"/>
        <w:lang w:val="en-US"/>
      </w:rPr>
      <w:t>Statement of Profit or Loss and Other Comprehensive Income</w:t>
    </w:r>
  </w:p>
  <w:p w14:paraId="13C9CDCC" w14:textId="65A21A89" w:rsidR="00073888" w:rsidRDefault="00073888" w:rsidP="00AB2772">
    <w:pPr>
      <w:pBdr>
        <w:bottom w:val="single" w:sz="4" w:space="1" w:color="auto"/>
      </w:pBdr>
      <w:spacing w:after="0" w:line="310" w:lineRule="atLeast"/>
      <w:rPr>
        <w:rFonts w:eastAsia="Times New Roman" w:cs="Arial"/>
      </w:rPr>
    </w:pPr>
    <w:proofErr w:type="gramStart"/>
    <w:r>
      <w:rPr>
        <w:rFonts w:eastAsia="Times New Roman" w:cs="Arial"/>
        <w:sz w:val="28"/>
        <w:szCs w:val="28"/>
      </w:rPr>
      <w:t>for</w:t>
    </w:r>
    <w:proofErr w:type="gramEnd"/>
    <w:r>
      <w:rPr>
        <w:rFonts w:eastAsia="Times New Roman" w:cs="Arial"/>
        <w:sz w:val="28"/>
        <w:szCs w:val="28"/>
      </w:rPr>
      <w:t xml:space="preserve"> the period</w:t>
    </w:r>
    <w:r w:rsidRPr="00091EA0">
      <w:rPr>
        <w:rFonts w:eastAsia="Times New Roman" w:cs="Arial"/>
        <w:sz w:val="28"/>
        <w:szCs w:val="28"/>
      </w:rPr>
      <w:t xml:space="preserve"> 1</w:t>
    </w:r>
    <w:r>
      <w:rPr>
        <w:rFonts w:eastAsia="Times New Roman" w:cs="Arial"/>
        <w:sz w:val="28"/>
        <w:szCs w:val="28"/>
      </w:rPr>
      <w:t xml:space="preserve"> January –</w:t>
    </w:r>
    <w:r w:rsidRPr="00091EA0">
      <w:rPr>
        <w:rFonts w:eastAsia="Times New Roman" w:cs="Arial"/>
        <w:sz w:val="28"/>
        <w:szCs w:val="28"/>
      </w:rPr>
      <w:t xml:space="preserve"> </w:t>
    </w:r>
    <w:r w:rsidRPr="00165CF1">
      <w:rPr>
        <w:rFonts w:eastAsia="Times New Roman" w:cs="Arial"/>
        <w:sz w:val="28"/>
        <w:szCs w:val="28"/>
      </w:rPr>
      <w:t xml:space="preserve">30 </w:t>
    </w:r>
    <w:r>
      <w:rPr>
        <w:rFonts w:eastAsia="Times New Roman" w:cs="Arial"/>
        <w:sz w:val="28"/>
        <w:szCs w:val="28"/>
      </w:rPr>
      <w:t>September</w:t>
    </w:r>
    <w:r w:rsidRPr="00165CF1">
      <w:rPr>
        <w:rFonts w:eastAsia="Times New Roman" w:cs="Arial"/>
        <w:sz w:val="28"/>
        <w:szCs w:val="28"/>
      </w:rPr>
      <w:t xml:space="preserve"> </w:t>
    </w:r>
    <w:r>
      <w:rPr>
        <w:rFonts w:eastAsia="Times New Roman" w:cs="Arial"/>
        <w:sz w:val="28"/>
        <w:szCs w:val="28"/>
      </w:rPr>
      <w:t>(unaudited)</w:t>
    </w:r>
  </w:p>
  <w:p w14:paraId="3FE8B7C4" w14:textId="368A7842" w:rsidR="00073888" w:rsidRPr="00091EA0" w:rsidRDefault="00073888" w:rsidP="00AB2772">
    <w:pPr>
      <w:pBdr>
        <w:bottom w:val="single" w:sz="4" w:space="1" w:color="auto"/>
      </w:pBdr>
      <w:spacing w:after="0" w:line="310" w:lineRule="atLeast"/>
      <w:rPr>
        <w:rFonts w:eastAsia="Times New Roman" w:cs="Arial"/>
      </w:rPr>
    </w:pPr>
    <w:r w:rsidRPr="00091EA0">
      <w:rPr>
        <w:rFonts w:eastAsia="Times New Roman" w:cs="Arial"/>
      </w:rPr>
      <w:t>(</w:t>
    </w:r>
    <w:r w:rsidRPr="002558B5">
      <w:rPr>
        <w:rFonts w:cs="Arial"/>
        <w:lang w:val="en-US"/>
      </w:rPr>
      <w:t>All amounts are expressed in HRK thousand</w:t>
    </w:r>
    <w:r w:rsidRPr="00091EA0">
      <w:rPr>
        <w:rFonts w:eastAsia="Times New Roman" w:cs="Arial"/>
      </w:rP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4C562" w14:textId="77777777" w:rsidR="00073888" w:rsidRDefault="00073888" w:rsidP="00735351">
    <w:pPr>
      <w:pStyle w:val="Header"/>
      <w:rPr>
        <w:rFonts w:eastAsia="Times New Roman" w:cs="Arial"/>
        <w:sz w:val="28"/>
        <w:szCs w:val="28"/>
      </w:rPr>
    </w:pPr>
    <w:r>
      <w:rPr>
        <w:rFonts w:eastAsia="Times New Roman" w:cs="Arial"/>
        <w:sz w:val="28"/>
        <w:szCs w:val="28"/>
      </w:rPr>
      <w:t>Unc</w:t>
    </w:r>
    <w:r w:rsidRPr="00091EA0">
      <w:rPr>
        <w:rFonts w:eastAsia="Times New Roman" w:cs="Arial"/>
        <w:sz w:val="28"/>
        <w:szCs w:val="28"/>
      </w:rPr>
      <w:t xml:space="preserve">onsolidated Interim </w:t>
    </w:r>
    <w:r>
      <w:rPr>
        <w:rFonts w:eastAsia="Times New Roman" w:cs="Arial"/>
        <w:sz w:val="28"/>
        <w:szCs w:val="28"/>
      </w:rPr>
      <w:t xml:space="preserve">Condensed </w:t>
    </w:r>
    <w:r w:rsidRPr="00091EA0">
      <w:rPr>
        <w:rFonts w:eastAsia="Times New Roman" w:cs="Arial"/>
        <w:sz w:val="28"/>
        <w:szCs w:val="28"/>
      </w:rPr>
      <w:t xml:space="preserve">Financial Statements of the </w:t>
    </w:r>
    <w:r>
      <w:rPr>
        <w:rFonts w:eastAsia="Times New Roman" w:cs="Arial"/>
        <w:sz w:val="28"/>
        <w:szCs w:val="28"/>
      </w:rPr>
      <w:t>Bank</w:t>
    </w:r>
  </w:p>
  <w:p w14:paraId="4FF536D6" w14:textId="157C3BF8" w:rsidR="00073888" w:rsidRPr="007B6934" w:rsidRDefault="00073888" w:rsidP="00735351">
    <w:pPr>
      <w:pStyle w:val="Header"/>
      <w:rPr>
        <w:rFonts w:eastAsia="Times New Roman" w:cs="Arial"/>
        <w:sz w:val="28"/>
        <w:szCs w:val="28"/>
      </w:rPr>
    </w:pPr>
    <w:r w:rsidRPr="007B6934">
      <w:rPr>
        <w:rFonts w:eastAsia="Times New Roman" w:cs="Arial"/>
        <w:sz w:val="28"/>
        <w:szCs w:val="28"/>
      </w:rPr>
      <w:t xml:space="preserve">Statement of Financial Position as of </w:t>
    </w:r>
    <w:r>
      <w:rPr>
        <w:rFonts w:eastAsia="Times New Roman" w:cs="Arial"/>
        <w:sz w:val="28"/>
        <w:szCs w:val="28"/>
      </w:rPr>
      <w:t>(unaudited)</w:t>
    </w:r>
  </w:p>
  <w:p w14:paraId="0D45A1B6" w14:textId="77777777" w:rsidR="00073888" w:rsidRPr="007A0C28" w:rsidRDefault="00073888" w:rsidP="00735351">
    <w:pPr>
      <w:pBdr>
        <w:bottom w:val="single" w:sz="4" w:space="1" w:color="auto"/>
      </w:pBdr>
      <w:spacing w:after="0" w:line="310" w:lineRule="atLeast"/>
      <w:rPr>
        <w:rFonts w:eastAsia="Times New Roman" w:cs="Arial"/>
      </w:rPr>
    </w:pPr>
    <w:r w:rsidRPr="007B6934">
      <w:rPr>
        <w:rFonts w:eastAsia="Times New Roman" w:cs="Arial"/>
      </w:rPr>
      <w:t>(</w:t>
    </w:r>
    <w:r w:rsidRPr="007B6934">
      <w:rPr>
        <w:rFonts w:cs="Arial"/>
        <w:lang w:val="en-US"/>
      </w:rPr>
      <w:t>All amounts are expressed in HRK thousand</w:t>
    </w:r>
    <w:r w:rsidRPr="007B6934">
      <w:rPr>
        <w:rFonts w:eastAsia="Times New Roman" w:cs="Arial"/>
      </w:rPr>
      <w:t>)</w:t>
    </w:r>
    <w:r w:rsidRPr="007A0C28">
      <w:rPr>
        <w:rFonts w:eastAsia="Times New Roman" w:cs="Arial"/>
        <w:spacing w:val="-3"/>
      </w:rP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C1966" w14:textId="77777777" w:rsidR="00073888" w:rsidRDefault="00073888" w:rsidP="00165B56">
    <w:pPr>
      <w:pStyle w:val="Header"/>
      <w:rPr>
        <w:rFonts w:eastAsia="Times New Roman" w:cs="Arial"/>
        <w:sz w:val="28"/>
        <w:szCs w:val="28"/>
      </w:rPr>
    </w:pPr>
    <w:r>
      <w:rPr>
        <w:rFonts w:eastAsia="Times New Roman" w:cs="Arial"/>
        <w:sz w:val="28"/>
        <w:szCs w:val="28"/>
      </w:rPr>
      <w:t>Unc</w:t>
    </w:r>
    <w:r w:rsidRPr="00091EA0">
      <w:rPr>
        <w:rFonts w:eastAsia="Times New Roman" w:cs="Arial"/>
        <w:sz w:val="28"/>
        <w:szCs w:val="28"/>
      </w:rPr>
      <w:t xml:space="preserve">onsolidated Interim </w:t>
    </w:r>
    <w:r>
      <w:rPr>
        <w:rFonts w:eastAsia="Times New Roman" w:cs="Arial"/>
        <w:sz w:val="28"/>
        <w:szCs w:val="28"/>
      </w:rPr>
      <w:t xml:space="preserve">Condensed </w:t>
    </w:r>
    <w:r w:rsidRPr="00091EA0">
      <w:rPr>
        <w:rFonts w:eastAsia="Times New Roman" w:cs="Arial"/>
        <w:sz w:val="28"/>
        <w:szCs w:val="28"/>
      </w:rPr>
      <w:t xml:space="preserve">Financial Statements of the </w:t>
    </w:r>
    <w:r>
      <w:rPr>
        <w:rFonts w:eastAsia="Times New Roman" w:cs="Arial"/>
        <w:sz w:val="28"/>
        <w:szCs w:val="28"/>
      </w:rPr>
      <w:t>Bank</w:t>
    </w:r>
  </w:p>
  <w:p w14:paraId="65975CC2" w14:textId="77777777" w:rsidR="00073888" w:rsidRPr="00165B56" w:rsidRDefault="00073888" w:rsidP="007311E0">
    <w:pPr>
      <w:pBdr>
        <w:bottom w:val="single" w:sz="4" w:space="1" w:color="auto"/>
      </w:pBdr>
      <w:spacing w:after="0" w:line="310" w:lineRule="atLeast"/>
      <w:rPr>
        <w:rFonts w:cs="Arial"/>
        <w:sz w:val="28"/>
        <w:szCs w:val="28"/>
      </w:rPr>
    </w:pPr>
    <w:r w:rsidRPr="00165B56">
      <w:rPr>
        <w:rFonts w:cs="Arial"/>
        <w:sz w:val="28"/>
        <w:szCs w:val="28"/>
      </w:rPr>
      <w:t xml:space="preserve">Statement of Cash Flows </w:t>
    </w:r>
  </w:p>
  <w:p w14:paraId="7ACE5E4E" w14:textId="012793FC" w:rsidR="00073888" w:rsidRPr="00091EA0" w:rsidRDefault="00073888" w:rsidP="00165B56">
    <w:pPr>
      <w:pBdr>
        <w:bottom w:val="single" w:sz="4" w:space="1" w:color="auto"/>
      </w:pBdr>
      <w:spacing w:after="0" w:line="310" w:lineRule="atLeast"/>
      <w:rPr>
        <w:rFonts w:eastAsia="Times New Roman" w:cs="Arial"/>
        <w:sz w:val="28"/>
        <w:szCs w:val="28"/>
      </w:rPr>
    </w:pPr>
    <w:proofErr w:type="gramStart"/>
    <w:r>
      <w:rPr>
        <w:rFonts w:eastAsia="Times New Roman" w:cs="Arial"/>
        <w:sz w:val="28"/>
        <w:szCs w:val="28"/>
      </w:rPr>
      <w:t>for</w:t>
    </w:r>
    <w:proofErr w:type="gramEnd"/>
    <w:r>
      <w:rPr>
        <w:rFonts w:eastAsia="Times New Roman" w:cs="Arial"/>
        <w:sz w:val="28"/>
        <w:szCs w:val="28"/>
      </w:rPr>
      <w:t xml:space="preserve"> the period</w:t>
    </w:r>
    <w:r w:rsidRPr="00091EA0">
      <w:rPr>
        <w:rFonts w:eastAsia="Times New Roman" w:cs="Arial"/>
        <w:sz w:val="28"/>
        <w:szCs w:val="28"/>
      </w:rPr>
      <w:t xml:space="preserve"> 1</w:t>
    </w:r>
    <w:r>
      <w:rPr>
        <w:rFonts w:eastAsia="Times New Roman" w:cs="Arial"/>
        <w:sz w:val="28"/>
        <w:szCs w:val="28"/>
      </w:rPr>
      <w:t xml:space="preserve"> January –</w:t>
    </w:r>
    <w:r w:rsidRPr="00091EA0">
      <w:rPr>
        <w:rFonts w:eastAsia="Times New Roman" w:cs="Arial"/>
        <w:sz w:val="28"/>
        <w:szCs w:val="28"/>
      </w:rPr>
      <w:t xml:space="preserve"> </w:t>
    </w:r>
    <w:r w:rsidRPr="00165CF1">
      <w:rPr>
        <w:rFonts w:eastAsia="Times New Roman" w:cs="Arial"/>
        <w:sz w:val="28"/>
        <w:szCs w:val="28"/>
      </w:rPr>
      <w:t xml:space="preserve">30 </w:t>
    </w:r>
    <w:r>
      <w:rPr>
        <w:rFonts w:eastAsia="Times New Roman" w:cs="Arial"/>
        <w:sz w:val="28"/>
        <w:szCs w:val="28"/>
      </w:rPr>
      <w:t>September</w:t>
    </w:r>
    <w:r w:rsidRPr="00165CF1">
      <w:rPr>
        <w:rFonts w:eastAsia="Times New Roman" w:cs="Arial"/>
        <w:sz w:val="28"/>
        <w:szCs w:val="28"/>
      </w:rPr>
      <w:t xml:space="preserve"> </w:t>
    </w:r>
    <w:r>
      <w:rPr>
        <w:rFonts w:eastAsia="Times New Roman" w:cs="Arial"/>
        <w:sz w:val="28"/>
        <w:szCs w:val="28"/>
      </w:rPr>
      <w:t>(unaudited)</w:t>
    </w:r>
  </w:p>
  <w:p w14:paraId="5A04E2C0" w14:textId="77777777" w:rsidR="00073888" w:rsidRPr="00091EA0" w:rsidRDefault="00073888" w:rsidP="00165B56">
    <w:pPr>
      <w:pBdr>
        <w:bottom w:val="single" w:sz="4" w:space="1" w:color="auto"/>
      </w:pBdr>
      <w:spacing w:after="0" w:line="310" w:lineRule="atLeast"/>
      <w:rPr>
        <w:rFonts w:eastAsia="Times New Roman" w:cs="Arial"/>
      </w:rPr>
    </w:pPr>
    <w:r w:rsidRPr="00091EA0">
      <w:rPr>
        <w:rFonts w:eastAsia="Times New Roman" w:cs="Arial"/>
      </w:rPr>
      <w:t>(</w:t>
    </w:r>
    <w:r w:rsidRPr="002558B5">
      <w:rPr>
        <w:rFonts w:cs="Arial"/>
        <w:lang w:val="en-US"/>
      </w:rPr>
      <w:t>All amounts are expressed in HRK thousand</w:t>
    </w:r>
    <w:r w:rsidRPr="00091EA0">
      <w:rPr>
        <w:rFonts w:eastAsia="Times New Roman" w:cs="Arial"/>
      </w:rPr>
      <w: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0FAB6" w14:textId="77777777" w:rsidR="00073888" w:rsidRPr="004947DD" w:rsidRDefault="00073888" w:rsidP="004947DD">
    <w:pPr>
      <w:pStyle w:val="Header"/>
      <w:rPr>
        <w:rFonts w:eastAsia="Times New Roman" w:cs="Arial"/>
        <w:sz w:val="28"/>
        <w:szCs w:val="28"/>
      </w:rPr>
    </w:pPr>
    <w:r>
      <w:rPr>
        <w:rFonts w:eastAsia="Times New Roman" w:cs="Arial"/>
        <w:sz w:val="28"/>
        <w:szCs w:val="28"/>
      </w:rPr>
      <w:t>Unc</w:t>
    </w:r>
    <w:r w:rsidRPr="004947DD">
      <w:rPr>
        <w:rFonts w:eastAsia="Times New Roman" w:cs="Arial"/>
        <w:sz w:val="28"/>
        <w:szCs w:val="28"/>
      </w:rPr>
      <w:t xml:space="preserve">onsolidated Interim </w:t>
    </w:r>
    <w:r>
      <w:rPr>
        <w:rFonts w:eastAsia="Times New Roman" w:cs="Arial"/>
        <w:sz w:val="28"/>
        <w:szCs w:val="28"/>
      </w:rPr>
      <w:t xml:space="preserve">Condensed </w:t>
    </w:r>
    <w:r w:rsidRPr="004947DD">
      <w:rPr>
        <w:rFonts w:eastAsia="Times New Roman" w:cs="Arial"/>
        <w:sz w:val="28"/>
        <w:szCs w:val="28"/>
      </w:rPr>
      <w:t>Financial Statements of the Bank</w:t>
    </w:r>
  </w:p>
  <w:p w14:paraId="5AAEF780" w14:textId="77777777" w:rsidR="00073888" w:rsidRPr="004947DD" w:rsidRDefault="00073888" w:rsidP="00AA4235">
    <w:pPr>
      <w:pBdr>
        <w:bottom w:val="single" w:sz="4" w:space="1" w:color="auto"/>
      </w:pBdr>
      <w:spacing w:after="0" w:line="310" w:lineRule="atLeast"/>
      <w:rPr>
        <w:rFonts w:eastAsia="Times New Roman" w:cs="Arial"/>
        <w:sz w:val="28"/>
        <w:szCs w:val="28"/>
      </w:rPr>
    </w:pPr>
    <w:r w:rsidRPr="004947DD">
      <w:rPr>
        <w:rFonts w:eastAsia="Times New Roman" w:cs="Arial"/>
        <w:sz w:val="28"/>
        <w:szCs w:val="28"/>
      </w:rPr>
      <w:t>Statement of Changes in Equity</w:t>
    </w:r>
  </w:p>
  <w:p w14:paraId="0559CC1C" w14:textId="5E475C8C" w:rsidR="00073888" w:rsidRPr="004947DD" w:rsidRDefault="00073888" w:rsidP="00AA4235">
    <w:pPr>
      <w:pBdr>
        <w:bottom w:val="single" w:sz="4" w:space="1" w:color="auto"/>
      </w:pBdr>
      <w:spacing w:after="0" w:line="310" w:lineRule="atLeast"/>
      <w:rPr>
        <w:rFonts w:eastAsia="Times New Roman" w:cs="Arial"/>
        <w:sz w:val="28"/>
        <w:szCs w:val="28"/>
      </w:rPr>
    </w:pPr>
    <w:proofErr w:type="gramStart"/>
    <w:r w:rsidRPr="004947DD">
      <w:rPr>
        <w:rFonts w:eastAsia="Times New Roman" w:cs="Arial"/>
        <w:sz w:val="28"/>
        <w:szCs w:val="28"/>
      </w:rPr>
      <w:t>for</w:t>
    </w:r>
    <w:proofErr w:type="gramEnd"/>
    <w:r w:rsidRPr="004947DD">
      <w:rPr>
        <w:rFonts w:eastAsia="Times New Roman" w:cs="Arial"/>
        <w:sz w:val="28"/>
        <w:szCs w:val="28"/>
      </w:rPr>
      <w:t xml:space="preserve"> the period 1 January – </w:t>
    </w:r>
    <w:r w:rsidRPr="00165CF1">
      <w:rPr>
        <w:rFonts w:eastAsia="Times New Roman" w:cs="Arial"/>
        <w:sz w:val="28"/>
        <w:szCs w:val="28"/>
      </w:rPr>
      <w:t xml:space="preserve">30 </w:t>
    </w:r>
    <w:r>
      <w:rPr>
        <w:rFonts w:eastAsia="Times New Roman" w:cs="Arial"/>
        <w:sz w:val="28"/>
        <w:szCs w:val="28"/>
      </w:rPr>
      <w:t>September</w:t>
    </w:r>
    <w:r w:rsidRPr="00165CF1">
      <w:rPr>
        <w:rFonts w:eastAsia="Times New Roman" w:cs="Arial"/>
        <w:sz w:val="28"/>
        <w:szCs w:val="28"/>
      </w:rPr>
      <w:t xml:space="preserve"> </w:t>
    </w:r>
    <w:r>
      <w:rPr>
        <w:rFonts w:eastAsia="Times New Roman" w:cs="Arial"/>
        <w:sz w:val="28"/>
        <w:szCs w:val="28"/>
      </w:rPr>
      <w:t>(unaudited)</w:t>
    </w:r>
  </w:p>
  <w:p w14:paraId="60F80325" w14:textId="77777777" w:rsidR="00073888" w:rsidRPr="009E66D0" w:rsidRDefault="00073888" w:rsidP="009E66D0">
    <w:pPr>
      <w:pBdr>
        <w:bottom w:val="single" w:sz="4" w:space="1" w:color="auto"/>
      </w:pBdr>
      <w:spacing w:after="0" w:line="310" w:lineRule="atLeast"/>
      <w:rPr>
        <w:rFonts w:cs="Arial"/>
      </w:rPr>
    </w:pPr>
    <w:r w:rsidRPr="004947DD">
      <w:rPr>
        <w:rFonts w:eastAsia="Times New Roman" w:cs="Arial"/>
      </w:rPr>
      <w:t>(</w:t>
    </w:r>
    <w:r w:rsidRPr="004947DD">
      <w:rPr>
        <w:rFonts w:cs="Arial"/>
      </w:rPr>
      <w:t>All amounts are expressed in HRK thousand</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C9DD0" w14:textId="77777777" w:rsidR="00073888" w:rsidRPr="00282C5F" w:rsidRDefault="00073888" w:rsidP="00926F71">
    <w:pPr>
      <w:pBdr>
        <w:bottom w:val="single" w:sz="4" w:space="1" w:color="auto"/>
      </w:pBdr>
      <w:spacing w:after="0" w:line="310" w:lineRule="atLeast"/>
      <w:rPr>
        <w:rFonts w:eastAsia="Times New Roman" w:cs="Arial"/>
        <w:sz w:val="28"/>
        <w:szCs w:val="28"/>
      </w:rPr>
    </w:pPr>
    <w:r w:rsidRPr="00282C5F">
      <w:rPr>
        <w:rFonts w:eastAsia="Times New Roman" w:cs="Arial"/>
        <w:sz w:val="28"/>
        <w:szCs w:val="28"/>
      </w:rPr>
      <w:t xml:space="preserve">Notes to the Consolidated Interim </w:t>
    </w:r>
    <w:r>
      <w:rPr>
        <w:rFonts w:eastAsia="Times New Roman" w:cs="Arial"/>
        <w:sz w:val="28"/>
        <w:szCs w:val="28"/>
      </w:rPr>
      <w:t xml:space="preserve">Condensed </w:t>
    </w:r>
    <w:r w:rsidRPr="00282C5F">
      <w:rPr>
        <w:rFonts w:eastAsia="Times New Roman" w:cs="Arial"/>
        <w:sz w:val="28"/>
        <w:szCs w:val="28"/>
      </w:rPr>
      <w:t xml:space="preserve">Financial Statements </w:t>
    </w:r>
    <w:r>
      <w:rPr>
        <w:rFonts w:eastAsia="Times New Roman" w:cs="Arial"/>
        <w:sz w:val="28"/>
        <w:szCs w:val="28"/>
      </w:rPr>
      <w:t xml:space="preserve">include significant </w:t>
    </w:r>
    <w:r w:rsidRPr="00282C5F">
      <w:rPr>
        <w:rFonts w:eastAsia="Times New Roman" w:cs="Arial"/>
        <w:sz w:val="28"/>
        <w:szCs w:val="28"/>
      </w:rPr>
      <w:t>accounting policies and other explanat</w:t>
    </w:r>
    <w:r>
      <w:rPr>
        <w:rFonts w:eastAsia="Times New Roman" w:cs="Arial"/>
        <w:sz w:val="28"/>
        <w:szCs w:val="28"/>
      </w:rPr>
      <w:t xml:space="preserve">ions </w:t>
    </w:r>
  </w:p>
  <w:p w14:paraId="663F148B" w14:textId="3AC8BEB5" w:rsidR="00073888" w:rsidRPr="00282C5F" w:rsidRDefault="00073888" w:rsidP="00DD24FD">
    <w:pPr>
      <w:pBdr>
        <w:bottom w:val="single" w:sz="4" w:space="1" w:color="auto"/>
      </w:pBdr>
      <w:spacing w:after="0" w:line="310" w:lineRule="atLeast"/>
      <w:rPr>
        <w:rFonts w:eastAsia="Times New Roman" w:cs="Arial"/>
        <w:sz w:val="28"/>
        <w:szCs w:val="28"/>
      </w:rPr>
    </w:pPr>
    <w:proofErr w:type="gramStart"/>
    <w:r w:rsidRPr="00282C5F">
      <w:rPr>
        <w:rFonts w:eastAsia="Times New Roman" w:cs="Arial"/>
        <w:sz w:val="28"/>
        <w:szCs w:val="28"/>
      </w:rPr>
      <w:t>for</w:t>
    </w:r>
    <w:proofErr w:type="gramEnd"/>
    <w:r w:rsidRPr="00282C5F">
      <w:rPr>
        <w:rFonts w:eastAsia="Times New Roman" w:cs="Arial"/>
        <w:sz w:val="28"/>
        <w:szCs w:val="28"/>
      </w:rPr>
      <w:t xml:space="preserve"> the period 1 January – </w:t>
    </w:r>
    <w:r w:rsidRPr="00165CF1">
      <w:rPr>
        <w:rFonts w:eastAsia="Times New Roman" w:cs="Arial"/>
        <w:sz w:val="28"/>
        <w:szCs w:val="28"/>
      </w:rPr>
      <w:t xml:space="preserve">30 </w:t>
    </w:r>
    <w:r>
      <w:rPr>
        <w:rFonts w:eastAsia="Times New Roman" w:cs="Arial"/>
        <w:sz w:val="28"/>
        <w:szCs w:val="28"/>
      </w:rPr>
      <w:t>September</w:t>
    </w:r>
    <w:r w:rsidRPr="00165CF1">
      <w:rPr>
        <w:rFonts w:eastAsia="Times New Roman" w:cs="Arial"/>
        <w:sz w:val="28"/>
        <w:szCs w:val="28"/>
      </w:rPr>
      <w:t xml:space="preserve"> </w:t>
    </w:r>
    <w:r w:rsidRPr="00F61497">
      <w:rPr>
        <w:rFonts w:eastAsia="Times New Roman" w:cs="Arial"/>
        <w:sz w:val="28"/>
        <w:szCs w:val="28"/>
      </w:rPr>
      <w:t>2017</w:t>
    </w:r>
    <w:r>
      <w:rPr>
        <w:rFonts w:eastAsia="Times New Roman" w:cs="Arial"/>
        <w:sz w:val="28"/>
        <w:szCs w:val="28"/>
      </w:rPr>
      <w:t xml:space="preserve"> (una</w:t>
    </w:r>
    <w:r w:rsidR="004F5D9F">
      <w:rPr>
        <w:rFonts w:eastAsia="Times New Roman" w:cs="Arial"/>
        <w:sz w:val="28"/>
        <w:szCs w:val="28"/>
      </w:rPr>
      <w:t>u</w:t>
    </w:r>
    <w:r>
      <w:rPr>
        <w:rFonts w:eastAsia="Times New Roman" w:cs="Arial"/>
        <w:sz w:val="28"/>
        <w:szCs w:val="28"/>
      </w:rPr>
      <w:t xml:space="preserve">dited) </w:t>
    </w:r>
    <w:r w:rsidRPr="0039105C">
      <w:rPr>
        <w:rFonts w:eastAsia="Times New Roman" w:cs="Arial"/>
        <w:sz w:val="28"/>
        <w:szCs w:val="28"/>
      </w:rPr>
      <w:t>(continued)</w:t>
    </w:r>
  </w:p>
  <w:p w14:paraId="1D040C7D" w14:textId="77777777" w:rsidR="00073888" w:rsidRPr="00282C5F" w:rsidRDefault="00073888" w:rsidP="00282C5F">
    <w:pPr>
      <w:pBdr>
        <w:bottom w:val="single" w:sz="4" w:space="1" w:color="auto"/>
      </w:pBdr>
      <w:spacing w:after="0" w:line="310" w:lineRule="atLeast"/>
      <w:rPr>
        <w:rFonts w:eastAsia="Times New Roman" w:cs="Arial"/>
        <w:sz w:val="24"/>
        <w:szCs w:val="24"/>
      </w:rPr>
    </w:pPr>
    <w:r w:rsidRPr="00282C5F" w:rsidDel="00DD24FD">
      <w:rPr>
        <w:rFonts w:eastAsia="Times New Roman" w:cs="Arial"/>
        <w:sz w:val="28"/>
        <w:szCs w:val="28"/>
      </w:rPr>
      <w:t xml:space="preserve"> </w:t>
    </w:r>
    <w:r w:rsidRPr="00282C5F">
      <w:rPr>
        <w:rFonts w:eastAsia="Times New Roman" w:cs="Arial"/>
      </w:rPr>
      <w:t>(</w:t>
    </w:r>
    <w:r w:rsidRPr="00282C5F">
      <w:rPr>
        <w:rFonts w:cs="Arial"/>
      </w:rPr>
      <w:t>All amounts are expressed in HRK thousand</w:t>
    </w:r>
    <w:r w:rsidRPr="00282C5F">
      <w:rPr>
        <w:rFonts w:eastAsia="Times New Roman" w:cs="Arial"/>
      </w:rPr>
      <w: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35CAF" w14:textId="77777777" w:rsidR="00073888" w:rsidRPr="00282C5F" w:rsidRDefault="00073888" w:rsidP="00926F71">
    <w:pPr>
      <w:pBdr>
        <w:bottom w:val="single" w:sz="4" w:space="1" w:color="auto"/>
      </w:pBdr>
      <w:spacing w:after="0" w:line="310" w:lineRule="atLeast"/>
      <w:rPr>
        <w:rFonts w:eastAsia="Times New Roman" w:cs="Arial"/>
        <w:sz w:val="28"/>
        <w:szCs w:val="28"/>
      </w:rPr>
    </w:pPr>
    <w:r w:rsidRPr="00282C5F">
      <w:rPr>
        <w:rFonts w:eastAsia="Times New Roman" w:cs="Arial"/>
        <w:sz w:val="28"/>
        <w:szCs w:val="28"/>
      </w:rPr>
      <w:t xml:space="preserve">Notes to the Consolidated Interim </w:t>
    </w:r>
    <w:r>
      <w:rPr>
        <w:rFonts w:eastAsia="Times New Roman" w:cs="Arial"/>
        <w:sz w:val="28"/>
        <w:szCs w:val="28"/>
      </w:rPr>
      <w:t xml:space="preserve">Condensed </w:t>
    </w:r>
    <w:r w:rsidRPr="00282C5F">
      <w:rPr>
        <w:rFonts w:eastAsia="Times New Roman" w:cs="Arial"/>
        <w:sz w:val="28"/>
        <w:szCs w:val="28"/>
      </w:rPr>
      <w:t xml:space="preserve">Financial Statements </w:t>
    </w:r>
    <w:r>
      <w:rPr>
        <w:rFonts w:eastAsia="Times New Roman" w:cs="Arial"/>
        <w:sz w:val="28"/>
        <w:szCs w:val="28"/>
      </w:rPr>
      <w:t xml:space="preserve">include significant </w:t>
    </w:r>
    <w:r w:rsidRPr="00282C5F">
      <w:rPr>
        <w:rFonts w:eastAsia="Times New Roman" w:cs="Arial"/>
        <w:sz w:val="28"/>
        <w:szCs w:val="28"/>
      </w:rPr>
      <w:t>accounting policies and other explanat</w:t>
    </w:r>
    <w:r>
      <w:rPr>
        <w:rFonts w:eastAsia="Times New Roman" w:cs="Arial"/>
        <w:sz w:val="28"/>
        <w:szCs w:val="28"/>
      </w:rPr>
      <w:t xml:space="preserve">ions </w:t>
    </w:r>
  </w:p>
  <w:p w14:paraId="5FD7ACF8" w14:textId="3013A3C4" w:rsidR="00073888" w:rsidRPr="00282C5F" w:rsidRDefault="00073888" w:rsidP="009F280B">
    <w:pPr>
      <w:pBdr>
        <w:bottom w:val="single" w:sz="4" w:space="1" w:color="auto"/>
      </w:pBdr>
      <w:spacing w:after="0" w:line="310" w:lineRule="atLeast"/>
      <w:rPr>
        <w:rFonts w:eastAsia="Times New Roman" w:cs="Arial"/>
        <w:sz w:val="28"/>
        <w:szCs w:val="28"/>
      </w:rPr>
    </w:pPr>
    <w:proofErr w:type="gramStart"/>
    <w:r w:rsidRPr="00282C5F">
      <w:rPr>
        <w:rFonts w:eastAsia="Times New Roman" w:cs="Arial"/>
        <w:sz w:val="28"/>
        <w:szCs w:val="28"/>
      </w:rPr>
      <w:t>for</w:t>
    </w:r>
    <w:proofErr w:type="gramEnd"/>
    <w:r w:rsidRPr="00282C5F">
      <w:rPr>
        <w:rFonts w:eastAsia="Times New Roman" w:cs="Arial"/>
        <w:sz w:val="28"/>
        <w:szCs w:val="28"/>
      </w:rPr>
      <w:t xml:space="preserve"> the period 1 January – </w:t>
    </w:r>
    <w:r w:rsidRPr="00165CF1">
      <w:rPr>
        <w:rFonts w:eastAsia="Times New Roman" w:cs="Arial"/>
        <w:sz w:val="28"/>
        <w:szCs w:val="28"/>
      </w:rPr>
      <w:t xml:space="preserve">30 </w:t>
    </w:r>
    <w:r>
      <w:rPr>
        <w:rFonts w:eastAsia="Times New Roman" w:cs="Arial"/>
        <w:sz w:val="28"/>
        <w:szCs w:val="28"/>
      </w:rPr>
      <w:t>September</w:t>
    </w:r>
    <w:r w:rsidRPr="00165CF1">
      <w:rPr>
        <w:rFonts w:eastAsia="Times New Roman" w:cs="Arial"/>
        <w:sz w:val="28"/>
        <w:szCs w:val="28"/>
      </w:rPr>
      <w:t xml:space="preserve"> </w:t>
    </w:r>
    <w:r>
      <w:rPr>
        <w:rFonts w:eastAsia="Times New Roman" w:cs="Arial"/>
        <w:sz w:val="28"/>
        <w:szCs w:val="28"/>
      </w:rPr>
      <w:t>2017</w:t>
    </w:r>
    <w:r w:rsidRPr="00282C5F">
      <w:rPr>
        <w:rFonts w:eastAsia="Times New Roman" w:cs="Arial"/>
        <w:sz w:val="28"/>
        <w:szCs w:val="28"/>
      </w:rPr>
      <w:t xml:space="preserve"> </w:t>
    </w:r>
    <w:r>
      <w:rPr>
        <w:rFonts w:eastAsia="Times New Roman" w:cs="Arial"/>
        <w:sz w:val="28"/>
        <w:szCs w:val="28"/>
      </w:rPr>
      <w:t xml:space="preserve">(unaudited) </w:t>
    </w:r>
  </w:p>
  <w:p w14:paraId="7013889F" w14:textId="77777777" w:rsidR="00073888" w:rsidRPr="00282C5F" w:rsidRDefault="00073888" w:rsidP="00282C5F">
    <w:pPr>
      <w:pBdr>
        <w:bottom w:val="single" w:sz="4" w:space="1" w:color="auto"/>
      </w:pBdr>
      <w:spacing w:after="0" w:line="310" w:lineRule="atLeast"/>
      <w:rPr>
        <w:rFonts w:eastAsia="Times New Roman" w:cs="Arial"/>
        <w:sz w:val="24"/>
        <w:szCs w:val="24"/>
      </w:rPr>
    </w:pPr>
    <w:r w:rsidRPr="00282C5F">
      <w:rPr>
        <w:rFonts w:eastAsia="Times New Roman" w:cs="Arial"/>
      </w:rPr>
      <w:t>(</w:t>
    </w:r>
    <w:r w:rsidRPr="00282C5F">
      <w:rPr>
        <w:rFonts w:cs="Arial"/>
      </w:rPr>
      <w:t>All amounts are expressed in HRK thousand</w:t>
    </w:r>
    <w:r w:rsidRPr="00282C5F">
      <w:rPr>
        <w:rFonts w:eastAsia="Times New Roman" w:cs="Arial"/>
      </w:rPr>
      <w: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08EBF" w14:textId="77777777" w:rsidR="004D736E" w:rsidRPr="00282C5F" w:rsidRDefault="004D736E" w:rsidP="00926F71">
    <w:pPr>
      <w:pBdr>
        <w:bottom w:val="single" w:sz="4" w:space="1" w:color="auto"/>
      </w:pBdr>
      <w:spacing w:after="0" w:line="310" w:lineRule="atLeast"/>
      <w:rPr>
        <w:rFonts w:eastAsia="Times New Roman" w:cs="Arial"/>
        <w:sz w:val="28"/>
        <w:szCs w:val="28"/>
      </w:rPr>
    </w:pPr>
    <w:r w:rsidRPr="00282C5F">
      <w:rPr>
        <w:rFonts w:eastAsia="Times New Roman" w:cs="Arial"/>
        <w:sz w:val="28"/>
        <w:szCs w:val="28"/>
      </w:rPr>
      <w:t xml:space="preserve">Notes to the Consolidated Interim </w:t>
    </w:r>
    <w:r>
      <w:rPr>
        <w:rFonts w:eastAsia="Times New Roman" w:cs="Arial"/>
        <w:sz w:val="28"/>
        <w:szCs w:val="28"/>
      </w:rPr>
      <w:t xml:space="preserve">Condensed </w:t>
    </w:r>
    <w:r w:rsidRPr="00282C5F">
      <w:rPr>
        <w:rFonts w:eastAsia="Times New Roman" w:cs="Arial"/>
        <w:sz w:val="28"/>
        <w:szCs w:val="28"/>
      </w:rPr>
      <w:t xml:space="preserve">Financial Statements </w:t>
    </w:r>
    <w:r>
      <w:rPr>
        <w:rFonts w:eastAsia="Times New Roman" w:cs="Arial"/>
        <w:sz w:val="28"/>
        <w:szCs w:val="28"/>
      </w:rPr>
      <w:t xml:space="preserve">include significant </w:t>
    </w:r>
    <w:r w:rsidRPr="00282C5F">
      <w:rPr>
        <w:rFonts w:eastAsia="Times New Roman" w:cs="Arial"/>
        <w:sz w:val="28"/>
        <w:szCs w:val="28"/>
      </w:rPr>
      <w:t>accounting policies and other explanat</w:t>
    </w:r>
    <w:r>
      <w:rPr>
        <w:rFonts w:eastAsia="Times New Roman" w:cs="Arial"/>
        <w:sz w:val="28"/>
        <w:szCs w:val="28"/>
      </w:rPr>
      <w:t xml:space="preserve">ions </w:t>
    </w:r>
  </w:p>
  <w:p w14:paraId="21B0FD2C" w14:textId="77777777" w:rsidR="004D736E" w:rsidRPr="00282C5F" w:rsidRDefault="004D736E" w:rsidP="009F280B">
    <w:pPr>
      <w:pBdr>
        <w:bottom w:val="single" w:sz="4" w:space="1" w:color="auto"/>
      </w:pBdr>
      <w:spacing w:after="0" w:line="310" w:lineRule="atLeast"/>
      <w:rPr>
        <w:rFonts w:eastAsia="Times New Roman" w:cs="Arial"/>
        <w:sz w:val="28"/>
        <w:szCs w:val="28"/>
      </w:rPr>
    </w:pPr>
    <w:proofErr w:type="gramStart"/>
    <w:r w:rsidRPr="00282C5F">
      <w:rPr>
        <w:rFonts w:eastAsia="Times New Roman" w:cs="Arial"/>
        <w:sz w:val="28"/>
        <w:szCs w:val="28"/>
      </w:rPr>
      <w:t>for</w:t>
    </w:r>
    <w:proofErr w:type="gramEnd"/>
    <w:r w:rsidRPr="00282C5F">
      <w:rPr>
        <w:rFonts w:eastAsia="Times New Roman" w:cs="Arial"/>
        <w:sz w:val="28"/>
        <w:szCs w:val="28"/>
      </w:rPr>
      <w:t xml:space="preserve"> the period 1 January – </w:t>
    </w:r>
    <w:r w:rsidRPr="00165CF1">
      <w:rPr>
        <w:rFonts w:eastAsia="Times New Roman" w:cs="Arial"/>
        <w:sz w:val="28"/>
        <w:szCs w:val="28"/>
      </w:rPr>
      <w:t xml:space="preserve">30 </w:t>
    </w:r>
    <w:r>
      <w:rPr>
        <w:rFonts w:eastAsia="Times New Roman" w:cs="Arial"/>
        <w:sz w:val="28"/>
        <w:szCs w:val="28"/>
      </w:rPr>
      <w:t>September</w:t>
    </w:r>
    <w:r w:rsidRPr="00165CF1">
      <w:rPr>
        <w:rFonts w:eastAsia="Times New Roman" w:cs="Arial"/>
        <w:sz w:val="28"/>
        <w:szCs w:val="28"/>
      </w:rPr>
      <w:t xml:space="preserve"> </w:t>
    </w:r>
    <w:r>
      <w:rPr>
        <w:rFonts w:eastAsia="Times New Roman" w:cs="Arial"/>
        <w:sz w:val="28"/>
        <w:szCs w:val="28"/>
      </w:rPr>
      <w:t>2017</w:t>
    </w:r>
    <w:r w:rsidRPr="00282C5F">
      <w:rPr>
        <w:rFonts w:eastAsia="Times New Roman" w:cs="Arial"/>
        <w:sz w:val="28"/>
        <w:szCs w:val="28"/>
      </w:rPr>
      <w:t xml:space="preserve"> </w:t>
    </w:r>
    <w:r>
      <w:rPr>
        <w:rFonts w:eastAsia="Times New Roman" w:cs="Arial"/>
        <w:sz w:val="28"/>
        <w:szCs w:val="28"/>
      </w:rPr>
      <w:t>(unaudited) (continued)</w:t>
    </w:r>
  </w:p>
  <w:p w14:paraId="1DED34E9" w14:textId="77777777" w:rsidR="004D736E" w:rsidRPr="00282C5F" w:rsidRDefault="004D736E" w:rsidP="00282C5F">
    <w:pPr>
      <w:pBdr>
        <w:bottom w:val="single" w:sz="4" w:space="1" w:color="auto"/>
      </w:pBdr>
      <w:spacing w:after="0" w:line="310" w:lineRule="atLeast"/>
      <w:rPr>
        <w:rFonts w:eastAsia="Times New Roman" w:cs="Arial"/>
        <w:sz w:val="24"/>
        <w:szCs w:val="24"/>
      </w:rPr>
    </w:pPr>
    <w:r w:rsidRPr="00282C5F">
      <w:rPr>
        <w:rFonts w:eastAsia="Times New Roman" w:cs="Arial"/>
      </w:rPr>
      <w:t>(</w:t>
    </w:r>
    <w:r w:rsidRPr="00282C5F">
      <w:rPr>
        <w:rFonts w:cs="Arial"/>
      </w:rPr>
      <w:t>All amounts are expressed in HRK thousand</w:t>
    </w:r>
    <w:r w:rsidRPr="00282C5F">
      <w:rPr>
        <w:rFonts w:eastAsia="Times New Roman" w:cs="Arial"/>
      </w:rPr>
      <w: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523B8" w14:textId="77777777" w:rsidR="00073888" w:rsidRDefault="00073888" w:rsidP="00287E8C">
    <w:pPr>
      <w:pBdr>
        <w:bottom w:val="single" w:sz="4" w:space="1" w:color="auto"/>
      </w:pBdr>
      <w:spacing w:after="0" w:line="310" w:lineRule="atLeast"/>
      <w:rPr>
        <w:rFonts w:eastAsia="Times New Roman" w:cs="Arial"/>
        <w:sz w:val="28"/>
        <w:szCs w:val="28"/>
      </w:rPr>
    </w:pPr>
    <w:r w:rsidRPr="00282C5F">
      <w:rPr>
        <w:rFonts w:eastAsia="Times New Roman" w:cs="Arial"/>
        <w:sz w:val="28"/>
        <w:szCs w:val="28"/>
      </w:rPr>
      <w:t xml:space="preserve">Notes to the Consolidated Interim </w:t>
    </w:r>
    <w:r>
      <w:rPr>
        <w:rFonts w:eastAsia="Times New Roman" w:cs="Arial"/>
        <w:sz w:val="28"/>
        <w:szCs w:val="28"/>
      </w:rPr>
      <w:t xml:space="preserve">Condensed </w:t>
    </w:r>
    <w:r w:rsidRPr="00282C5F">
      <w:rPr>
        <w:rFonts w:eastAsia="Times New Roman" w:cs="Arial"/>
        <w:sz w:val="28"/>
        <w:szCs w:val="28"/>
      </w:rPr>
      <w:t xml:space="preserve">Financial Statements </w:t>
    </w:r>
    <w:r>
      <w:rPr>
        <w:rFonts w:eastAsia="Times New Roman" w:cs="Arial"/>
        <w:sz w:val="28"/>
        <w:szCs w:val="28"/>
      </w:rPr>
      <w:t xml:space="preserve">include significant </w:t>
    </w:r>
    <w:r w:rsidRPr="00282C5F">
      <w:rPr>
        <w:rFonts w:eastAsia="Times New Roman" w:cs="Arial"/>
        <w:sz w:val="28"/>
        <w:szCs w:val="28"/>
      </w:rPr>
      <w:t>accounting policies and other explanat</w:t>
    </w:r>
    <w:r>
      <w:rPr>
        <w:rFonts w:eastAsia="Times New Roman" w:cs="Arial"/>
        <w:sz w:val="28"/>
        <w:szCs w:val="28"/>
      </w:rPr>
      <w:t>ions</w:t>
    </w:r>
  </w:p>
  <w:p w14:paraId="17681EE4" w14:textId="19C97D60" w:rsidR="00073888" w:rsidRPr="00282C5F" w:rsidRDefault="00073888" w:rsidP="00287E8C">
    <w:pPr>
      <w:pBdr>
        <w:bottom w:val="single" w:sz="4" w:space="1" w:color="auto"/>
      </w:pBdr>
      <w:spacing w:after="0" w:line="310" w:lineRule="atLeast"/>
      <w:rPr>
        <w:rFonts w:eastAsia="Times New Roman" w:cs="Arial"/>
        <w:sz w:val="28"/>
        <w:szCs w:val="28"/>
      </w:rPr>
    </w:pPr>
    <w:proofErr w:type="gramStart"/>
    <w:r w:rsidRPr="00282C5F">
      <w:rPr>
        <w:rFonts w:eastAsia="Times New Roman" w:cs="Arial"/>
        <w:sz w:val="28"/>
        <w:szCs w:val="28"/>
      </w:rPr>
      <w:t>for</w:t>
    </w:r>
    <w:proofErr w:type="gramEnd"/>
    <w:r w:rsidRPr="00282C5F">
      <w:rPr>
        <w:rFonts w:eastAsia="Times New Roman" w:cs="Arial"/>
        <w:sz w:val="28"/>
        <w:szCs w:val="28"/>
      </w:rPr>
      <w:t xml:space="preserve"> the </w:t>
    </w:r>
    <w:r>
      <w:rPr>
        <w:rFonts w:eastAsia="Times New Roman" w:cs="Arial"/>
        <w:sz w:val="28"/>
        <w:szCs w:val="28"/>
      </w:rPr>
      <w:t xml:space="preserve">period 1 January – </w:t>
    </w:r>
    <w:r w:rsidRPr="00165CF1">
      <w:rPr>
        <w:rFonts w:eastAsia="Times New Roman" w:cs="Arial"/>
        <w:sz w:val="28"/>
        <w:szCs w:val="28"/>
      </w:rPr>
      <w:t xml:space="preserve">30 </w:t>
    </w:r>
    <w:r>
      <w:rPr>
        <w:rFonts w:eastAsia="Times New Roman" w:cs="Arial"/>
        <w:sz w:val="28"/>
        <w:szCs w:val="28"/>
      </w:rPr>
      <w:t>September</w:t>
    </w:r>
    <w:r w:rsidRPr="00165CF1">
      <w:rPr>
        <w:rFonts w:eastAsia="Times New Roman" w:cs="Arial"/>
        <w:sz w:val="28"/>
        <w:szCs w:val="28"/>
      </w:rPr>
      <w:t xml:space="preserve"> </w:t>
    </w:r>
    <w:r w:rsidRPr="00693680">
      <w:rPr>
        <w:rFonts w:eastAsia="Times New Roman" w:cs="Arial"/>
        <w:sz w:val="28"/>
        <w:szCs w:val="28"/>
      </w:rPr>
      <w:t>2017</w:t>
    </w:r>
    <w:r>
      <w:rPr>
        <w:rFonts w:eastAsia="Times New Roman" w:cs="Arial"/>
        <w:sz w:val="28"/>
        <w:szCs w:val="28"/>
      </w:rPr>
      <w:t xml:space="preserve"> (unaudited) </w:t>
    </w:r>
    <w:r w:rsidR="005E3804" w:rsidRPr="005E3804">
      <w:rPr>
        <w:rFonts w:eastAsia="Times New Roman" w:cs="Arial"/>
        <w:sz w:val="28"/>
        <w:szCs w:val="28"/>
      </w:rPr>
      <w:t>(continued)</w:t>
    </w:r>
  </w:p>
  <w:p w14:paraId="1075CA87" w14:textId="77777777" w:rsidR="00073888" w:rsidRPr="00BA0208" w:rsidRDefault="00073888" w:rsidP="00BA0208">
    <w:pPr>
      <w:pBdr>
        <w:bottom w:val="single" w:sz="4" w:space="1" w:color="auto"/>
      </w:pBdr>
      <w:spacing w:after="0" w:line="310" w:lineRule="atLeast"/>
      <w:rPr>
        <w:rFonts w:eastAsia="Times New Roman" w:cs="Arial"/>
        <w:sz w:val="24"/>
        <w:szCs w:val="24"/>
      </w:rPr>
    </w:pPr>
    <w:r w:rsidRPr="00282C5F">
      <w:rPr>
        <w:rFonts w:eastAsia="Times New Roman" w:cs="Arial"/>
      </w:rPr>
      <w:t>(</w:t>
    </w:r>
    <w:r w:rsidRPr="00282C5F">
      <w:rPr>
        <w:rFonts w:cs="Arial"/>
      </w:rPr>
      <w:t>All amounts are expressed in HRK thousand</w:t>
    </w:r>
    <w:r w:rsidRPr="00282C5F">
      <w:rPr>
        <w:rFonts w:eastAsia="Times New Roman" w:cs="Arial"/>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E0209" w14:textId="77777777" w:rsidR="00073888" w:rsidRDefault="00073888" w:rsidP="00607E56">
    <w:pPr>
      <w:pStyle w:val="Header"/>
      <w:pBdr>
        <w:bottom w:val="single" w:sz="4" w:space="1" w:color="auto"/>
      </w:pBdr>
      <w:rPr>
        <w:sz w:val="28"/>
        <w:szCs w:val="28"/>
      </w:rPr>
    </w:pPr>
    <w:proofErr w:type="spellStart"/>
    <w:r w:rsidRPr="00607E56">
      <w:rPr>
        <w:sz w:val="28"/>
        <w:szCs w:val="28"/>
      </w:rPr>
      <w:t>Odgovornost</w:t>
    </w:r>
    <w:proofErr w:type="spellEnd"/>
    <w:r w:rsidRPr="00607E56">
      <w:rPr>
        <w:sz w:val="28"/>
        <w:szCs w:val="28"/>
      </w:rPr>
      <w:t xml:space="preserve"> </w:t>
    </w:r>
    <w:proofErr w:type="spellStart"/>
    <w:r w:rsidRPr="00607E56">
      <w:rPr>
        <w:sz w:val="28"/>
        <w:szCs w:val="28"/>
      </w:rPr>
      <w:t>za</w:t>
    </w:r>
    <w:proofErr w:type="spellEnd"/>
    <w:r w:rsidRPr="00607E56">
      <w:rPr>
        <w:sz w:val="28"/>
        <w:szCs w:val="28"/>
      </w:rPr>
      <w:t xml:space="preserve"> </w:t>
    </w:r>
    <w:proofErr w:type="spellStart"/>
    <w:r w:rsidRPr="00607E56">
      <w:rPr>
        <w:sz w:val="28"/>
        <w:szCs w:val="28"/>
      </w:rPr>
      <w:t>Skraćene</w:t>
    </w:r>
    <w:proofErr w:type="spellEnd"/>
    <w:r w:rsidRPr="00607E56">
      <w:rPr>
        <w:sz w:val="28"/>
        <w:szCs w:val="28"/>
      </w:rPr>
      <w:t xml:space="preserve"> </w:t>
    </w:r>
    <w:proofErr w:type="spellStart"/>
    <w:r w:rsidRPr="00607E56">
      <w:rPr>
        <w:sz w:val="28"/>
        <w:szCs w:val="28"/>
      </w:rPr>
      <w:t>financijske</w:t>
    </w:r>
    <w:proofErr w:type="spellEnd"/>
    <w:r w:rsidRPr="00607E56">
      <w:rPr>
        <w:sz w:val="28"/>
        <w:szCs w:val="28"/>
      </w:rPr>
      <w:t xml:space="preserve"> </w:t>
    </w:r>
    <w:proofErr w:type="spellStart"/>
    <w:r w:rsidRPr="00607E56">
      <w:rPr>
        <w:sz w:val="28"/>
        <w:szCs w:val="28"/>
      </w:rPr>
      <w:t>izvještaje</w:t>
    </w:r>
    <w:proofErr w:type="spellEnd"/>
    <w:r>
      <w:rPr>
        <w:sz w:val="28"/>
        <w:szCs w:val="28"/>
      </w:rPr>
      <w:t xml:space="preserve"> </w:t>
    </w:r>
  </w:p>
  <w:p w14:paraId="2740F7D3" w14:textId="77777777" w:rsidR="00073888" w:rsidRPr="00607E56" w:rsidRDefault="00073888" w:rsidP="00607E56">
    <w:pPr>
      <w:pStyle w:val="Header"/>
      <w:pBdr>
        <w:bottom w:val="single" w:sz="4" w:space="1" w:color="auto"/>
      </w:pBdr>
      <w:rPr>
        <w:sz w:val="28"/>
        <w:szCs w:val="28"/>
      </w:rPr>
    </w:pPr>
    <w:proofErr w:type="spellStart"/>
    <w:proofErr w:type="gramStart"/>
    <w:r>
      <w:rPr>
        <w:sz w:val="28"/>
        <w:szCs w:val="28"/>
      </w:rPr>
      <w:t>za</w:t>
    </w:r>
    <w:proofErr w:type="spellEnd"/>
    <w:proofErr w:type="gramEnd"/>
    <w:r>
      <w:rPr>
        <w:sz w:val="28"/>
        <w:szCs w:val="28"/>
      </w:rPr>
      <w:t xml:space="preserve"> </w:t>
    </w:r>
    <w:proofErr w:type="spellStart"/>
    <w:r>
      <w:rPr>
        <w:sz w:val="28"/>
        <w:szCs w:val="28"/>
      </w:rPr>
      <w:t>razdoblje</w:t>
    </w:r>
    <w:proofErr w:type="spellEnd"/>
    <w:r>
      <w:rPr>
        <w:sz w:val="28"/>
        <w:szCs w:val="28"/>
      </w:rPr>
      <w:t xml:space="preserve"> od 01.01. </w:t>
    </w:r>
    <w:proofErr w:type="gramStart"/>
    <w:r>
      <w:rPr>
        <w:sz w:val="28"/>
        <w:szCs w:val="28"/>
      </w:rPr>
      <w:t>do</w:t>
    </w:r>
    <w:proofErr w:type="gramEnd"/>
    <w:r>
      <w:rPr>
        <w:sz w:val="28"/>
        <w:szCs w:val="28"/>
      </w:rPr>
      <w:t xml:space="preserve"> 31.03.2014. </w:t>
    </w:r>
    <w:proofErr w:type="spellStart"/>
    <w:proofErr w:type="gramStart"/>
    <w:r>
      <w:rPr>
        <w:sz w:val="28"/>
        <w:szCs w:val="28"/>
      </w:rPr>
      <w:t>godine</w:t>
    </w:r>
    <w:proofErr w:type="spellEnd"/>
    <w:proofErr w:type="gramEnd"/>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D7A2C" w14:textId="77777777" w:rsidR="003E51F1" w:rsidRPr="003E51F1" w:rsidRDefault="003E51F1" w:rsidP="008222B7">
    <w:pPr>
      <w:pStyle w:val="Header"/>
      <w:pBdr>
        <w:bottom w:val="single" w:sz="4" w:space="1" w:color="auto"/>
      </w:pBdr>
      <w:rPr>
        <w:rFonts w:eastAsia="Times New Roman" w:cs="Arial"/>
        <w:sz w:val="28"/>
        <w:szCs w:val="28"/>
      </w:rPr>
    </w:pPr>
    <w:r w:rsidRPr="003E51F1">
      <w:rPr>
        <w:rFonts w:eastAsia="Times New Roman" w:cs="Arial"/>
        <w:sz w:val="28"/>
        <w:szCs w:val="28"/>
      </w:rPr>
      <w:t>Appendix - financial performance of the HKO Group</w:t>
    </w:r>
  </w:p>
  <w:p w14:paraId="1ED4A375" w14:textId="77777777" w:rsidR="003E51F1" w:rsidRPr="003E51F1" w:rsidRDefault="003E51F1" w:rsidP="008222B7">
    <w:pPr>
      <w:pStyle w:val="Header"/>
      <w:pBdr>
        <w:bottom w:val="single" w:sz="4" w:space="1" w:color="auto"/>
      </w:pBdr>
      <w:rPr>
        <w:rFonts w:eastAsia="Times New Roman" w:cs="Arial"/>
        <w:sz w:val="28"/>
        <w:szCs w:val="28"/>
      </w:rPr>
    </w:pPr>
    <w:r w:rsidRPr="003E51F1">
      <w:rPr>
        <w:rFonts w:eastAsia="Times New Roman" w:cs="Arial"/>
        <w:sz w:val="28"/>
        <w:szCs w:val="28"/>
      </w:rPr>
      <w:t>Statement of Profit or Loss and Other Comprehensive Income</w:t>
    </w:r>
  </w:p>
  <w:p w14:paraId="5E8F7F31" w14:textId="1DF4A7AA" w:rsidR="003E51F1" w:rsidRPr="003E51F1" w:rsidRDefault="003E51F1" w:rsidP="008222B7">
    <w:pPr>
      <w:pStyle w:val="Header"/>
      <w:pBdr>
        <w:bottom w:val="single" w:sz="4" w:space="1" w:color="auto"/>
      </w:pBdr>
      <w:rPr>
        <w:rFonts w:eastAsia="Times New Roman" w:cs="Arial"/>
        <w:sz w:val="28"/>
        <w:szCs w:val="28"/>
      </w:rPr>
    </w:pPr>
    <w:proofErr w:type="gramStart"/>
    <w:r w:rsidRPr="003E51F1">
      <w:rPr>
        <w:rFonts w:eastAsia="Times New Roman" w:cs="Arial"/>
        <w:sz w:val="28"/>
        <w:szCs w:val="28"/>
      </w:rPr>
      <w:t>for</w:t>
    </w:r>
    <w:proofErr w:type="gramEnd"/>
    <w:r w:rsidRPr="003E51F1">
      <w:rPr>
        <w:rFonts w:eastAsia="Times New Roman" w:cs="Arial"/>
        <w:sz w:val="28"/>
        <w:szCs w:val="28"/>
      </w:rPr>
      <w:t xml:space="preserve"> the period 1 January – 30 September (unaudited) </w:t>
    </w:r>
  </w:p>
  <w:p w14:paraId="2A22A6E3" w14:textId="420F63C7" w:rsidR="003E51F1" w:rsidRPr="008222B7" w:rsidRDefault="003E51F1" w:rsidP="008222B7">
    <w:pPr>
      <w:pStyle w:val="Header"/>
      <w:pBdr>
        <w:bottom w:val="single" w:sz="4" w:space="1" w:color="auto"/>
      </w:pBdr>
    </w:pPr>
    <w:r w:rsidRPr="008222B7">
      <w:rPr>
        <w:rFonts w:eastAsia="Times New Roman" w:cs="Arial"/>
      </w:rPr>
      <w:t>(All amounts are expressed in HRK thousand)</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4EFAA" w14:textId="77777777" w:rsidR="003E51F1" w:rsidRPr="003E51F1" w:rsidRDefault="003E51F1" w:rsidP="008222B7">
    <w:pPr>
      <w:pStyle w:val="Header"/>
      <w:pBdr>
        <w:bottom w:val="single" w:sz="4" w:space="1" w:color="auto"/>
      </w:pBdr>
      <w:rPr>
        <w:rFonts w:asciiTheme="minorHAnsi" w:eastAsia="Times New Roman" w:hAnsiTheme="minorHAnsi"/>
        <w:sz w:val="28"/>
        <w:szCs w:val="28"/>
      </w:rPr>
    </w:pPr>
    <w:r w:rsidRPr="003E51F1">
      <w:rPr>
        <w:rFonts w:asciiTheme="minorHAnsi" w:eastAsia="Times New Roman" w:hAnsiTheme="minorHAnsi"/>
        <w:sz w:val="28"/>
        <w:szCs w:val="28"/>
      </w:rPr>
      <w:t xml:space="preserve">Notes to the Consolidated Interim Condensed Financial Statements include significant accounting policies and other explanations </w:t>
    </w:r>
  </w:p>
  <w:p w14:paraId="2D2B31FD" w14:textId="77777777" w:rsidR="003E51F1" w:rsidRPr="003E51F1" w:rsidRDefault="003E51F1" w:rsidP="008222B7">
    <w:pPr>
      <w:pStyle w:val="Header"/>
      <w:pBdr>
        <w:bottom w:val="single" w:sz="4" w:space="1" w:color="auto"/>
      </w:pBdr>
      <w:rPr>
        <w:rFonts w:asciiTheme="minorHAnsi" w:eastAsia="Times New Roman" w:hAnsiTheme="minorHAnsi"/>
        <w:sz w:val="28"/>
        <w:szCs w:val="28"/>
      </w:rPr>
    </w:pPr>
    <w:proofErr w:type="gramStart"/>
    <w:r w:rsidRPr="003E51F1">
      <w:rPr>
        <w:rFonts w:asciiTheme="minorHAnsi" w:eastAsia="Times New Roman" w:hAnsiTheme="minorHAnsi"/>
        <w:sz w:val="28"/>
        <w:szCs w:val="28"/>
      </w:rPr>
      <w:t>for</w:t>
    </w:r>
    <w:proofErr w:type="gramEnd"/>
    <w:r w:rsidRPr="003E51F1">
      <w:rPr>
        <w:rFonts w:asciiTheme="minorHAnsi" w:eastAsia="Times New Roman" w:hAnsiTheme="minorHAnsi"/>
        <w:sz w:val="28"/>
        <w:szCs w:val="28"/>
      </w:rPr>
      <w:t xml:space="preserve"> the period 1 January – 30 September 2017 (unaudited) (continued)</w:t>
    </w:r>
  </w:p>
  <w:p w14:paraId="2F5E1488" w14:textId="6D297998" w:rsidR="00073888" w:rsidRPr="008222B7" w:rsidRDefault="003E51F1" w:rsidP="008222B7">
    <w:pPr>
      <w:pStyle w:val="Header"/>
      <w:pBdr>
        <w:bottom w:val="single" w:sz="4" w:space="1" w:color="auto"/>
      </w:pBdr>
    </w:pPr>
    <w:r w:rsidRPr="008222B7">
      <w:rPr>
        <w:rFonts w:asciiTheme="minorHAnsi" w:eastAsia="Times New Roman" w:hAnsiTheme="minorHAnsi"/>
      </w:rPr>
      <w:t>(All amounts are expressed in HRK thousand)</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DEB1A" w14:textId="77777777" w:rsidR="00073888" w:rsidRPr="00C65417" w:rsidRDefault="00073888" w:rsidP="002265E5">
    <w:pPr>
      <w:pBdr>
        <w:bottom w:val="single" w:sz="4" w:space="1" w:color="auto"/>
      </w:pBdr>
      <w:spacing w:after="0" w:line="320" w:lineRule="exact"/>
      <w:rPr>
        <w:rFonts w:asciiTheme="minorHAnsi" w:eastAsia="Times New Roman" w:hAnsiTheme="minorHAnsi"/>
        <w:sz w:val="28"/>
        <w:szCs w:val="28"/>
      </w:rPr>
    </w:pPr>
    <w:r w:rsidRPr="00C65417">
      <w:rPr>
        <w:rFonts w:asciiTheme="minorHAnsi" w:eastAsia="Times New Roman" w:hAnsiTheme="minorHAnsi"/>
        <w:sz w:val="28"/>
        <w:szCs w:val="28"/>
      </w:rPr>
      <w:t>Appendix - financial performance of the HKO Group</w:t>
    </w:r>
  </w:p>
  <w:p w14:paraId="3A912C85" w14:textId="77777777" w:rsidR="00073888" w:rsidRPr="00C65417" w:rsidRDefault="00073888" w:rsidP="002265E5">
    <w:pPr>
      <w:pBdr>
        <w:bottom w:val="single" w:sz="4" w:space="1" w:color="auto"/>
      </w:pBdr>
      <w:spacing w:after="0" w:line="320" w:lineRule="exact"/>
      <w:rPr>
        <w:rFonts w:asciiTheme="minorHAnsi" w:eastAsia="Times New Roman" w:hAnsiTheme="minorHAnsi"/>
        <w:sz w:val="28"/>
        <w:szCs w:val="28"/>
      </w:rPr>
    </w:pPr>
    <w:r w:rsidRPr="00C65417">
      <w:rPr>
        <w:rFonts w:asciiTheme="minorHAnsi" w:eastAsia="Times New Roman" w:hAnsiTheme="minorHAnsi"/>
        <w:sz w:val="28"/>
        <w:szCs w:val="28"/>
      </w:rPr>
      <w:t xml:space="preserve">Statement of Financial Position </w:t>
    </w:r>
    <w:r>
      <w:rPr>
        <w:rFonts w:asciiTheme="minorHAnsi" w:eastAsia="Times New Roman" w:hAnsiTheme="minorHAnsi"/>
        <w:sz w:val="28"/>
        <w:szCs w:val="28"/>
      </w:rPr>
      <w:t xml:space="preserve">as of </w:t>
    </w:r>
    <w:r w:rsidRPr="00126AAA">
      <w:rPr>
        <w:rFonts w:asciiTheme="minorHAnsi" w:eastAsia="Times New Roman" w:hAnsiTheme="minorHAnsi"/>
        <w:sz w:val="28"/>
        <w:szCs w:val="28"/>
      </w:rPr>
      <w:t>(unaudited)</w:t>
    </w:r>
  </w:p>
  <w:p w14:paraId="6E65CFB1" w14:textId="77777777" w:rsidR="00073888" w:rsidRPr="00C65417" w:rsidRDefault="00073888" w:rsidP="002265E5">
    <w:pPr>
      <w:pBdr>
        <w:bottom w:val="single" w:sz="4" w:space="1" w:color="auto"/>
      </w:pBdr>
      <w:spacing w:after="0" w:line="320" w:lineRule="exact"/>
      <w:rPr>
        <w:rFonts w:asciiTheme="minorHAnsi" w:eastAsia="Times New Roman" w:hAnsiTheme="minorHAnsi" w:cs="Arial"/>
      </w:rPr>
    </w:pPr>
    <w:r w:rsidRPr="00C65417">
      <w:rPr>
        <w:rFonts w:asciiTheme="minorHAnsi" w:eastAsia="Times New Roman" w:hAnsiTheme="minorHAnsi"/>
      </w:rPr>
      <w:t>(All amounts are expressed in HRK thousand)</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42DA0" w14:textId="77777777" w:rsidR="00073888" w:rsidRPr="00126AAA" w:rsidRDefault="00073888" w:rsidP="002265E5">
    <w:pPr>
      <w:pBdr>
        <w:bottom w:val="single" w:sz="4" w:space="1" w:color="auto"/>
      </w:pBdr>
      <w:spacing w:after="0" w:line="320" w:lineRule="exact"/>
      <w:rPr>
        <w:rFonts w:asciiTheme="minorHAnsi" w:eastAsia="Times New Roman" w:hAnsiTheme="minorHAnsi"/>
        <w:sz w:val="28"/>
        <w:szCs w:val="28"/>
      </w:rPr>
    </w:pPr>
    <w:r w:rsidRPr="00126AAA">
      <w:rPr>
        <w:rFonts w:asciiTheme="minorHAnsi" w:eastAsia="Times New Roman" w:hAnsiTheme="minorHAnsi"/>
        <w:sz w:val="28"/>
        <w:szCs w:val="28"/>
      </w:rPr>
      <w:t>Appendix - financial performance of the HKO Group</w:t>
    </w:r>
  </w:p>
  <w:p w14:paraId="766747EF" w14:textId="77777777" w:rsidR="00073888" w:rsidRPr="00126AAA" w:rsidRDefault="00073888" w:rsidP="002265E5">
    <w:pPr>
      <w:pBdr>
        <w:bottom w:val="single" w:sz="4" w:space="1" w:color="auto"/>
      </w:pBdr>
      <w:spacing w:after="0" w:line="320" w:lineRule="exact"/>
      <w:rPr>
        <w:rFonts w:asciiTheme="minorHAnsi" w:eastAsia="Times New Roman" w:hAnsiTheme="minorHAnsi"/>
        <w:sz w:val="28"/>
        <w:szCs w:val="28"/>
      </w:rPr>
    </w:pPr>
    <w:r w:rsidRPr="00126AAA">
      <w:rPr>
        <w:rFonts w:asciiTheme="minorHAnsi" w:eastAsia="Times New Roman" w:hAnsiTheme="minorHAnsi"/>
        <w:sz w:val="28"/>
        <w:szCs w:val="28"/>
      </w:rPr>
      <w:t xml:space="preserve">Statement of Cash Flows </w:t>
    </w:r>
  </w:p>
  <w:p w14:paraId="733FA2D8" w14:textId="2F806B39" w:rsidR="00073888" w:rsidRDefault="00073888" w:rsidP="002265E5">
    <w:pPr>
      <w:pBdr>
        <w:bottom w:val="single" w:sz="4" w:space="1" w:color="auto"/>
      </w:pBdr>
      <w:spacing w:after="0" w:line="320" w:lineRule="exact"/>
      <w:rPr>
        <w:rFonts w:asciiTheme="minorHAnsi" w:eastAsia="Times New Roman" w:hAnsiTheme="minorHAnsi"/>
      </w:rPr>
    </w:pPr>
    <w:proofErr w:type="gramStart"/>
    <w:r w:rsidRPr="00C65417">
      <w:rPr>
        <w:rFonts w:asciiTheme="minorHAnsi" w:eastAsia="Times New Roman" w:hAnsiTheme="minorHAnsi"/>
        <w:sz w:val="28"/>
        <w:szCs w:val="28"/>
      </w:rPr>
      <w:t>for</w:t>
    </w:r>
    <w:proofErr w:type="gramEnd"/>
    <w:r w:rsidRPr="00C65417">
      <w:rPr>
        <w:rFonts w:asciiTheme="minorHAnsi" w:eastAsia="Times New Roman" w:hAnsiTheme="minorHAnsi"/>
        <w:sz w:val="28"/>
        <w:szCs w:val="28"/>
      </w:rPr>
      <w:t xml:space="preserve"> the period 1 January – </w:t>
    </w:r>
    <w:r w:rsidRPr="00165CF1">
      <w:rPr>
        <w:rFonts w:asciiTheme="minorHAnsi" w:eastAsia="Times New Roman" w:hAnsiTheme="minorHAnsi"/>
        <w:sz w:val="28"/>
        <w:szCs w:val="28"/>
      </w:rPr>
      <w:t xml:space="preserve">30 </w:t>
    </w:r>
    <w:r>
      <w:rPr>
        <w:rFonts w:asciiTheme="minorHAnsi" w:eastAsia="Times New Roman" w:hAnsiTheme="minorHAnsi"/>
        <w:sz w:val="28"/>
        <w:szCs w:val="28"/>
      </w:rPr>
      <w:t>September</w:t>
    </w:r>
    <w:r w:rsidRPr="00165CF1">
      <w:rPr>
        <w:rFonts w:asciiTheme="minorHAnsi" w:eastAsia="Times New Roman" w:hAnsiTheme="minorHAnsi"/>
        <w:sz w:val="28"/>
        <w:szCs w:val="28"/>
      </w:rPr>
      <w:t xml:space="preserve"> </w:t>
    </w:r>
    <w:r w:rsidRPr="00C65417">
      <w:rPr>
        <w:rFonts w:asciiTheme="minorHAnsi" w:eastAsia="Times New Roman" w:hAnsiTheme="minorHAnsi"/>
        <w:sz w:val="28"/>
        <w:szCs w:val="28"/>
      </w:rPr>
      <w:t>(unaudited)</w:t>
    </w:r>
    <w:r w:rsidRPr="00126AAA">
      <w:rPr>
        <w:rFonts w:asciiTheme="minorHAnsi" w:eastAsia="Times New Roman" w:hAnsiTheme="minorHAnsi"/>
      </w:rPr>
      <w:t xml:space="preserve"> </w:t>
    </w:r>
  </w:p>
  <w:p w14:paraId="6B571E98" w14:textId="77777777" w:rsidR="00073888" w:rsidRPr="00126AAA" w:rsidRDefault="00073888" w:rsidP="002265E5">
    <w:pPr>
      <w:pBdr>
        <w:bottom w:val="single" w:sz="4" w:space="1" w:color="auto"/>
      </w:pBdr>
      <w:spacing w:after="0" w:line="320" w:lineRule="exact"/>
      <w:rPr>
        <w:rFonts w:asciiTheme="minorHAnsi" w:eastAsia="Times New Roman" w:hAnsiTheme="minorHAnsi" w:cs="Arial"/>
      </w:rPr>
    </w:pPr>
    <w:r w:rsidRPr="00126AAA">
      <w:rPr>
        <w:rFonts w:asciiTheme="minorHAnsi" w:eastAsia="Times New Roman" w:hAnsiTheme="minorHAnsi"/>
      </w:rPr>
      <w:t>(All amounts are expressed in HRK thousand)</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BF05F" w14:textId="77777777" w:rsidR="00073888" w:rsidRPr="00DC52AE" w:rsidRDefault="00073888" w:rsidP="00FE47E6">
    <w:pPr>
      <w:pBdr>
        <w:bottom w:val="single" w:sz="4" w:space="1" w:color="auto"/>
      </w:pBdr>
      <w:spacing w:after="0" w:line="320" w:lineRule="exact"/>
      <w:rPr>
        <w:rFonts w:asciiTheme="minorHAnsi" w:eastAsia="Times New Roman" w:hAnsiTheme="minorHAnsi"/>
        <w:sz w:val="28"/>
        <w:szCs w:val="28"/>
      </w:rPr>
    </w:pPr>
    <w:r w:rsidRPr="00DC52AE">
      <w:rPr>
        <w:rFonts w:asciiTheme="minorHAnsi" w:eastAsia="Times New Roman" w:hAnsiTheme="minorHAnsi"/>
        <w:sz w:val="28"/>
        <w:szCs w:val="28"/>
      </w:rPr>
      <w:t>Appendix - financial performance of the HKO Group</w:t>
    </w:r>
  </w:p>
  <w:p w14:paraId="05913592" w14:textId="77777777" w:rsidR="00073888" w:rsidRPr="00DC52AE" w:rsidRDefault="00073888" w:rsidP="00FE47E6">
    <w:pPr>
      <w:pBdr>
        <w:bottom w:val="single" w:sz="4" w:space="1" w:color="auto"/>
      </w:pBdr>
      <w:spacing w:after="0" w:line="320" w:lineRule="exact"/>
      <w:rPr>
        <w:rFonts w:asciiTheme="minorHAnsi" w:eastAsia="Times New Roman" w:hAnsiTheme="minorHAnsi"/>
        <w:sz w:val="28"/>
        <w:szCs w:val="28"/>
      </w:rPr>
    </w:pPr>
    <w:r w:rsidRPr="00DC52AE">
      <w:rPr>
        <w:rFonts w:asciiTheme="minorHAnsi" w:eastAsia="Times New Roman" w:hAnsiTheme="minorHAnsi"/>
        <w:sz w:val="28"/>
        <w:szCs w:val="28"/>
      </w:rPr>
      <w:t xml:space="preserve">Statement of Changes in Equity </w:t>
    </w:r>
  </w:p>
  <w:p w14:paraId="2EC0D956" w14:textId="6810F8C4" w:rsidR="00073888" w:rsidRDefault="00073888" w:rsidP="00FE47E6">
    <w:pPr>
      <w:pBdr>
        <w:bottom w:val="single" w:sz="4" w:space="1" w:color="auto"/>
      </w:pBdr>
      <w:spacing w:after="0" w:line="320" w:lineRule="exact"/>
      <w:rPr>
        <w:rFonts w:asciiTheme="minorHAnsi" w:eastAsia="Times New Roman" w:hAnsiTheme="minorHAnsi"/>
      </w:rPr>
    </w:pPr>
    <w:proofErr w:type="gramStart"/>
    <w:r w:rsidRPr="00C65417">
      <w:rPr>
        <w:rFonts w:asciiTheme="minorHAnsi" w:eastAsia="Times New Roman" w:hAnsiTheme="minorHAnsi"/>
        <w:sz w:val="28"/>
        <w:szCs w:val="28"/>
      </w:rPr>
      <w:t>for</w:t>
    </w:r>
    <w:proofErr w:type="gramEnd"/>
    <w:r w:rsidRPr="00C65417">
      <w:rPr>
        <w:rFonts w:asciiTheme="minorHAnsi" w:eastAsia="Times New Roman" w:hAnsiTheme="minorHAnsi"/>
        <w:sz w:val="28"/>
        <w:szCs w:val="28"/>
      </w:rPr>
      <w:t xml:space="preserve"> the period 1 January – </w:t>
    </w:r>
    <w:r w:rsidRPr="00165CF1">
      <w:rPr>
        <w:rFonts w:asciiTheme="minorHAnsi" w:eastAsia="Times New Roman" w:hAnsiTheme="minorHAnsi"/>
        <w:sz w:val="28"/>
        <w:szCs w:val="28"/>
      </w:rPr>
      <w:t xml:space="preserve">30 </w:t>
    </w:r>
    <w:r>
      <w:rPr>
        <w:rFonts w:asciiTheme="minorHAnsi" w:eastAsia="Times New Roman" w:hAnsiTheme="minorHAnsi"/>
        <w:sz w:val="28"/>
        <w:szCs w:val="28"/>
      </w:rPr>
      <w:t>September</w:t>
    </w:r>
    <w:r w:rsidRPr="00165CF1">
      <w:rPr>
        <w:rFonts w:asciiTheme="minorHAnsi" w:eastAsia="Times New Roman" w:hAnsiTheme="minorHAnsi"/>
        <w:sz w:val="28"/>
        <w:szCs w:val="28"/>
      </w:rPr>
      <w:t xml:space="preserve"> </w:t>
    </w:r>
    <w:r w:rsidRPr="00C65417">
      <w:rPr>
        <w:rFonts w:asciiTheme="minorHAnsi" w:eastAsia="Times New Roman" w:hAnsiTheme="minorHAnsi"/>
        <w:sz w:val="28"/>
        <w:szCs w:val="28"/>
      </w:rPr>
      <w:t>(unaudited)</w:t>
    </w:r>
    <w:r w:rsidRPr="00126AAA">
      <w:rPr>
        <w:rFonts w:asciiTheme="minorHAnsi" w:eastAsia="Times New Roman" w:hAnsiTheme="minorHAnsi"/>
      </w:rPr>
      <w:t xml:space="preserve"> </w:t>
    </w:r>
  </w:p>
  <w:p w14:paraId="375E9408" w14:textId="77777777" w:rsidR="00073888" w:rsidRPr="00DC52AE" w:rsidRDefault="00073888" w:rsidP="00DC52AE">
    <w:pPr>
      <w:pBdr>
        <w:bottom w:val="single" w:sz="4" w:space="1" w:color="auto"/>
      </w:pBdr>
      <w:spacing w:after="0" w:line="320" w:lineRule="exact"/>
      <w:rPr>
        <w:rFonts w:asciiTheme="minorHAnsi" w:eastAsia="Times New Roman" w:hAnsiTheme="minorHAnsi" w:cs="Arial"/>
      </w:rPr>
    </w:pPr>
    <w:r w:rsidRPr="00DC52AE">
      <w:rPr>
        <w:rFonts w:asciiTheme="minorHAnsi" w:eastAsia="Times New Roman" w:hAnsiTheme="minorHAnsi"/>
      </w:rPr>
      <w:t xml:space="preserve"> (All amounts are expressed in HRK thousand)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B49F7" w14:textId="77777777" w:rsidR="00073888" w:rsidRPr="003230EC" w:rsidRDefault="00073888" w:rsidP="00B675AD">
    <w:pPr>
      <w:pStyle w:val="Header"/>
      <w:pBdr>
        <w:bottom w:val="single" w:sz="4" w:space="1" w:color="auto"/>
      </w:pBdr>
    </w:pPr>
    <w:r w:rsidRPr="003230EC">
      <w:rPr>
        <w:rFonts w:eastAsia="Times New Roman" w:cs="Arial"/>
        <w:sz w:val="28"/>
        <w:szCs w:val="28"/>
      </w:rPr>
      <w:t>Contents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E8B43" w14:textId="77777777" w:rsidR="00073888" w:rsidRPr="008E543A" w:rsidRDefault="00073888" w:rsidP="00B675AD">
    <w:pPr>
      <w:pStyle w:val="Header"/>
      <w:pBdr>
        <w:bottom w:val="single" w:sz="4" w:space="1" w:color="auto"/>
      </w:pBdr>
      <w:rPr>
        <w:rFonts w:eastAsia="Times New Roman" w:cs="Arial"/>
        <w:sz w:val="28"/>
        <w:szCs w:val="28"/>
      </w:rPr>
    </w:pPr>
    <w:r w:rsidRPr="008E543A">
      <w:rPr>
        <w:rFonts w:eastAsia="Times New Roman" w:cs="Arial"/>
        <w:sz w:val="28"/>
        <w:szCs w:val="28"/>
      </w:rPr>
      <w:t xml:space="preserve">Statement of Persons Responsible for Consolidated Interim </w:t>
    </w:r>
    <w:r>
      <w:rPr>
        <w:rFonts w:eastAsia="Times New Roman" w:cs="Arial"/>
        <w:sz w:val="28"/>
        <w:szCs w:val="28"/>
      </w:rPr>
      <w:t xml:space="preserve">Condensed </w:t>
    </w:r>
    <w:r w:rsidRPr="008E543A">
      <w:rPr>
        <w:rFonts w:eastAsia="Times New Roman" w:cs="Arial"/>
        <w:sz w:val="28"/>
        <w:szCs w:val="28"/>
      </w:rPr>
      <w:t xml:space="preserve">Financial Statements </w:t>
    </w:r>
  </w:p>
  <w:p w14:paraId="5D918040" w14:textId="68213BC4" w:rsidR="00073888" w:rsidRPr="008E543A" w:rsidRDefault="00073888" w:rsidP="00B675AD">
    <w:pPr>
      <w:pStyle w:val="Header"/>
      <w:pBdr>
        <w:bottom w:val="single" w:sz="4" w:space="1" w:color="auto"/>
      </w:pBdr>
    </w:pPr>
    <w:proofErr w:type="gramStart"/>
    <w:r w:rsidRPr="008E543A">
      <w:rPr>
        <w:rFonts w:eastAsia="Times New Roman" w:cs="Arial"/>
        <w:sz w:val="28"/>
        <w:szCs w:val="28"/>
      </w:rPr>
      <w:t>for</w:t>
    </w:r>
    <w:proofErr w:type="gramEnd"/>
    <w:r w:rsidRPr="008E543A">
      <w:rPr>
        <w:rFonts w:eastAsia="Times New Roman" w:cs="Arial"/>
        <w:sz w:val="28"/>
        <w:szCs w:val="28"/>
      </w:rPr>
      <w:t xml:space="preserve"> the </w:t>
    </w:r>
    <w:r>
      <w:rPr>
        <w:rFonts w:eastAsia="Times New Roman" w:cs="Arial"/>
        <w:sz w:val="28"/>
        <w:szCs w:val="28"/>
      </w:rPr>
      <w:t>p</w:t>
    </w:r>
    <w:r w:rsidRPr="008E543A">
      <w:rPr>
        <w:rFonts w:eastAsia="Times New Roman" w:cs="Arial"/>
        <w:sz w:val="28"/>
        <w:szCs w:val="28"/>
      </w:rPr>
      <w:t>e</w:t>
    </w:r>
    <w:r>
      <w:rPr>
        <w:rFonts w:eastAsia="Times New Roman" w:cs="Arial"/>
        <w:sz w:val="28"/>
        <w:szCs w:val="28"/>
      </w:rPr>
      <w:t xml:space="preserve">riod 1 January – </w:t>
    </w:r>
    <w:r w:rsidRPr="00165CF1">
      <w:rPr>
        <w:rFonts w:eastAsia="Times New Roman" w:cs="Arial"/>
        <w:sz w:val="28"/>
        <w:szCs w:val="28"/>
      </w:rPr>
      <w:t xml:space="preserve">30 </w:t>
    </w:r>
    <w:r>
      <w:rPr>
        <w:rFonts w:eastAsia="Times New Roman" w:cs="Arial"/>
        <w:sz w:val="28"/>
        <w:szCs w:val="28"/>
      </w:rPr>
      <w:t>September 2017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EE5C8" w14:textId="77777777" w:rsidR="00073888" w:rsidRPr="00FF50E4" w:rsidRDefault="00073888" w:rsidP="00AC2E60">
    <w:pPr>
      <w:pStyle w:val="Header"/>
      <w:rPr>
        <w:rFonts w:eastAsia="Times New Roman" w:cs="Arial"/>
        <w:sz w:val="28"/>
        <w:szCs w:val="28"/>
      </w:rPr>
    </w:pPr>
    <w:r w:rsidRPr="00FF50E4">
      <w:rPr>
        <w:rFonts w:eastAsia="Times New Roman" w:cs="Arial"/>
        <w:sz w:val="28"/>
        <w:szCs w:val="28"/>
      </w:rPr>
      <w:t xml:space="preserve">Consolidated Interim </w:t>
    </w:r>
    <w:r>
      <w:rPr>
        <w:rFonts w:eastAsia="Times New Roman" w:cs="Arial"/>
        <w:sz w:val="28"/>
        <w:szCs w:val="28"/>
      </w:rPr>
      <w:t xml:space="preserve">Condensed </w:t>
    </w:r>
    <w:r w:rsidRPr="00FF50E4">
      <w:rPr>
        <w:rFonts w:eastAsia="Times New Roman" w:cs="Arial"/>
        <w:sz w:val="28"/>
        <w:szCs w:val="28"/>
      </w:rPr>
      <w:t>Financial Statements of the Group</w:t>
    </w:r>
  </w:p>
  <w:p w14:paraId="4EC225A9" w14:textId="77777777" w:rsidR="00073888" w:rsidRPr="00FF50E4" w:rsidRDefault="00073888" w:rsidP="00C97A45">
    <w:pPr>
      <w:pBdr>
        <w:bottom w:val="single" w:sz="4" w:space="1" w:color="auto"/>
      </w:pBdr>
      <w:tabs>
        <w:tab w:val="center" w:pos="4513"/>
      </w:tabs>
      <w:suppressAutoHyphens/>
      <w:spacing w:after="0" w:line="310" w:lineRule="atLeast"/>
      <w:jc w:val="both"/>
      <w:rPr>
        <w:rFonts w:eastAsia="Times New Roman" w:cs="Arial"/>
        <w:spacing w:val="-3"/>
        <w:sz w:val="28"/>
        <w:szCs w:val="28"/>
      </w:rPr>
    </w:pPr>
    <w:r>
      <w:rPr>
        <w:rFonts w:eastAsia="Times New Roman" w:cs="Arial"/>
        <w:spacing w:val="-3"/>
        <w:sz w:val="28"/>
        <w:szCs w:val="28"/>
      </w:rPr>
      <w:t>Statement of Profit or Loss</w:t>
    </w:r>
  </w:p>
  <w:p w14:paraId="6CEE8C99" w14:textId="12FC408F" w:rsidR="00073888" w:rsidRDefault="00073888" w:rsidP="00C97A45">
    <w:pPr>
      <w:pBdr>
        <w:bottom w:val="single" w:sz="4" w:space="1" w:color="auto"/>
      </w:pBdr>
      <w:tabs>
        <w:tab w:val="center" w:pos="4513"/>
      </w:tabs>
      <w:suppressAutoHyphens/>
      <w:spacing w:after="0" w:line="310" w:lineRule="atLeast"/>
      <w:jc w:val="both"/>
      <w:rPr>
        <w:rFonts w:eastAsia="Times New Roman" w:cs="Arial"/>
        <w:spacing w:val="-3"/>
      </w:rPr>
    </w:pPr>
    <w:proofErr w:type="gramStart"/>
    <w:r>
      <w:rPr>
        <w:rFonts w:eastAsia="Times New Roman" w:cs="Arial"/>
        <w:spacing w:val="-3"/>
        <w:sz w:val="28"/>
        <w:szCs w:val="28"/>
      </w:rPr>
      <w:t>for</w:t>
    </w:r>
    <w:proofErr w:type="gramEnd"/>
    <w:r>
      <w:rPr>
        <w:rFonts w:eastAsia="Times New Roman" w:cs="Arial"/>
        <w:spacing w:val="-3"/>
        <w:sz w:val="28"/>
        <w:szCs w:val="28"/>
      </w:rPr>
      <w:t xml:space="preserve"> the period </w:t>
    </w:r>
    <w:r w:rsidRPr="00FF50E4">
      <w:rPr>
        <w:rFonts w:eastAsia="Times New Roman" w:cs="Arial"/>
        <w:spacing w:val="-3"/>
        <w:sz w:val="28"/>
        <w:szCs w:val="28"/>
      </w:rPr>
      <w:t>1</w:t>
    </w:r>
    <w:r>
      <w:rPr>
        <w:rFonts w:eastAsia="Times New Roman" w:cs="Arial"/>
        <w:spacing w:val="-3"/>
        <w:sz w:val="28"/>
        <w:szCs w:val="28"/>
      </w:rPr>
      <w:t xml:space="preserve"> January –</w:t>
    </w:r>
    <w:r w:rsidRPr="00FF50E4">
      <w:rPr>
        <w:rFonts w:eastAsia="Times New Roman" w:cs="Arial"/>
        <w:spacing w:val="-3"/>
        <w:sz w:val="28"/>
        <w:szCs w:val="28"/>
      </w:rPr>
      <w:t xml:space="preserve"> </w:t>
    </w:r>
    <w:r w:rsidRPr="00165CF1">
      <w:rPr>
        <w:rFonts w:eastAsia="Times New Roman" w:cs="Arial"/>
        <w:spacing w:val="-3"/>
        <w:sz w:val="28"/>
        <w:szCs w:val="28"/>
      </w:rPr>
      <w:t xml:space="preserve">30 </w:t>
    </w:r>
    <w:r>
      <w:rPr>
        <w:rFonts w:eastAsia="Times New Roman" w:cs="Arial"/>
        <w:spacing w:val="-3"/>
        <w:sz w:val="28"/>
        <w:szCs w:val="28"/>
      </w:rPr>
      <w:t>September</w:t>
    </w:r>
    <w:r w:rsidRPr="00165CF1">
      <w:rPr>
        <w:rFonts w:eastAsia="Times New Roman" w:cs="Arial"/>
        <w:spacing w:val="-3"/>
        <w:sz w:val="28"/>
        <w:szCs w:val="28"/>
      </w:rPr>
      <w:t xml:space="preserve"> </w:t>
    </w:r>
    <w:r>
      <w:rPr>
        <w:rFonts w:eastAsia="Times New Roman" w:cs="Arial"/>
        <w:spacing w:val="-3"/>
        <w:sz w:val="28"/>
        <w:szCs w:val="28"/>
      </w:rPr>
      <w:t>(unaudited)</w:t>
    </w:r>
  </w:p>
  <w:p w14:paraId="1694CB70" w14:textId="77777777" w:rsidR="00073888" w:rsidRPr="00FF50E4" w:rsidRDefault="00073888" w:rsidP="00C97A45">
    <w:pPr>
      <w:pBdr>
        <w:bottom w:val="single" w:sz="4" w:space="1" w:color="auto"/>
      </w:pBdr>
      <w:tabs>
        <w:tab w:val="center" w:pos="4513"/>
      </w:tabs>
      <w:suppressAutoHyphens/>
      <w:spacing w:after="0" w:line="310" w:lineRule="atLeast"/>
      <w:jc w:val="both"/>
      <w:rPr>
        <w:rFonts w:eastAsia="Times New Roman" w:cs="Arial"/>
        <w:spacing w:val="-3"/>
      </w:rPr>
    </w:pPr>
    <w:r w:rsidRPr="00FF50E4">
      <w:rPr>
        <w:rFonts w:eastAsia="Times New Roman" w:cs="Arial"/>
        <w:spacing w:val="-3"/>
      </w:rPr>
      <w:t>(</w:t>
    </w:r>
    <w:r>
      <w:rPr>
        <w:rFonts w:eastAsia="Times New Roman" w:cs="Arial"/>
        <w:spacing w:val="-3"/>
      </w:rPr>
      <w:t>All amounts are expressed in HRK thousand</w:t>
    </w:r>
    <w:r w:rsidRPr="00FF50E4">
      <w:rPr>
        <w:rFonts w:eastAsia="Times New Roman" w:cs="Arial"/>
        <w:spacing w:val="-3"/>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F92FF" w14:textId="77777777" w:rsidR="00073888" w:rsidRPr="00FF50E4" w:rsidRDefault="00073888" w:rsidP="000E01FD">
    <w:pPr>
      <w:pStyle w:val="Header"/>
      <w:rPr>
        <w:rFonts w:eastAsia="Times New Roman" w:cs="Arial"/>
        <w:sz w:val="28"/>
        <w:szCs w:val="28"/>
      </w:rPr>
    </w:pPr>
    <w:r w:rsidRPr="00FF50E4">
      <w:rPr>
        <w:rFonts w:eastAsia="Times New Roman" w:cs="Arial"/>
        <w:sz w:val="28"/>
        <w:szCs w:val="28"/>
      </w:rPr>
      <w:t xml:space="preserve">Consolidated Interim </w:t>
    </w:r>
    <w:r>
      <w:rPr>
        <w:rFonts w:eastAsia="Times New Roman" w:cs="Arial"/>
        <w:sz w:val="28"/>
        <w:szCs w:val="28"/>
      </w:rPr>
      <w:t xml:space="preserve">Condensed </w:t>
    </w:r>
    <w:r w:rsidRPr="00FF50E4">
      <w:rPr>
        <w:rFonts w:eastAsia="Times New Roman" w:cs="Arial"/>
        <w:sz w:val="28"/>
        <w:szCs w:val="28"/>
      </w:rPr>
      <w:t>Financial Statements of the Group</w:t>
    </w:r>
  </w:p>
  <w:p w14:paraId="7EE71215" w14:textId="77777777" w:rsidR="00073888" w:rsidRPr="007A0C28" w:rsidRDefault="00073888" w:rsidP="00C97A45">
    <w:pPr>
      <w:pBdr>
        <w:bottom w:val="single" w:sz="4" w:space="1" w:color="auto"/>
      </w:pBdr>
      <w:tabs>
        <w:tab w:val="center" w:pos="4513"/>
      </w:tabs>
      <w:suppressAutoHyphens/>
      <w:spacing w:after="0" w:line="310" w:lineRule="atLeast"/>
      <w:jc w:val="both"/>
      <w:rPr>
        <w:rFonts w:eastAsia="Times New Roman" w:cs="Arial"/>
        <w:spacing w:val="-3"/>
        <w:sz w:val="28"/>
        <w:szCs w:val="28"/>
      </w:rPr>
    </w:pPr>
    <w:r>
      <w:rPr>
        <w:rFonts w:eastAsia="Times New Roman" w:cs="Arial"/>
        <w:spacing w:val="-3"/>
        <w:sz w:val="28"/>
        <w:szCs w:val="28"/>
      </w:rPr>
      <w:t>Statement of Profit or Loss and Other Comprehensive Income</w:t>
    </w:r>
  </w:p>
  <w:p w14:paraId="01AD9A7B" w14:textId="045278C1" w:rsidR="00073888" w:rsidRPr="000E01FD" w:rsidRDefault="00073888" w:rsidP="00C97A45">
    <w:pPr>
      <w:pBdr>
        <w:bottom w:val="single" w:sz="4" w:space="1" w:color="auto"/>
      </w:pBdr>
      <w:tabs>
        <w:tab w:val="center" w:pos="4513"/>
      </w:tabs>
      <w:suppressAutoHyphens/>
      <w:spacing w:after="0" w:line="310" w:lineRule="atLeast"/>
      <w:jc w:val="both"/>
      <w:rPr>
        <w:rFonts w:eastAsia="Times New Roman" w:cs="Arial"/>
        <w:spacing w:val="-3"/>
        <w:sz w:val="28"/>
        <w:szCs w:val="28"/>
      </w:rPr>
    </w:pPr>
    <w:proofErr w:type="gramStart"/>
    <w:r w:rsidRPr="000E01FD">
      <w:rPr>
        <w:rFonts w:eastAsia="Times New Roman" w:cs="Arial"/>
        <w:spacing w:val="-3"/>
        <w:sz w:val="28"/>
        <w:szCs w:val="28"/>
      </w:rPr>
      <w:t>for</w:t>
    </w:r>
    <w:proofErr w:type="gramEnd"/>
    <w:r w:rsidRPr="000E01FD">
      <w:rPr>
        <w:rFonts w:eastAsia="Times New Roman" w:cs="Arial"/>
        <w:spacing w:val="-3"/>
        <w:sz w:val="28"/>
        <w:szCs w:val="28"/>
      </w:rPr>
      <w:t xml:space="preserve"> the period 1 January – </w:t>
    </w:r>
    <w:r w:rsidRPr="00165CF1">
      <w:rPr>
        <w:rFonts w:eastAsia="Times New Roman" w:cs="Arial"/>
        <w:spacing w:val="-3"/>
        <w:sz w:val="28"/>
        <w:szCs w:val="28"/>
      </w:rPr>
      <w:t xml:space="preserve">30 </w:t>
    </w:r>
    <w:r>
      <w:rPr>
        <w:rFonts w:eastAsia="Times New Roman" w:cs="Arial"/>
        <w:spacing w:val="-3"/>
        <w:sz w:val="28"/>
        <w:szCs w:val="28"/>
      </w:rPr>
      <w:t>September</w:t>
    </w:r>
    <w:r w:rsidRPr="00165CF1">
      <w:rPr>
        <w:rFonts w:eastAsia="Times New Roman" w:cs="Arial"/>
        <w:spacing w:val="-3"/>
        <w:sz w:val="28"/>
        <w:szCs w:val="28"/>
      </w:rPr>
      <w:t xml:space="preserve"> </w:t>
    </w:r>
    <w:r>
      <w:rPr>
        <w:rFonts w:eastAsia="Times New Roman" w:cs="Arial"/>
        <w:spacing w:val="-3"/>
        <w:sz w:val="28"/>
        <w:szCs w:val="28"/>
      </w:rPr>
      <w:t>(unaudited)</w:t>
    </w:r>
  </w:p>
  <w:p w14:paraId="7C0C150E" w14:textId="77777777" w:rsidR="00073888" w:rsidRPr="007A0C28" w:rsidRDefault="00073888" w:rsidP="00C97A45">
    <w:pPr>
      <w:pBdr>
        <w:bottom w:val="single" w:sz="4" w:space="1" w:color="auto"/>
      </w:pBdr>
      <w:tabs>
        <w:tab w:val="center" w:pos="4513"/>
      </w:tabs>
      <w:suppressAutoHyphens/>
      <w:spacing w:after="0" w:line="310" w:lineRule="atLeast"/>
      <w:jc w:val="both"/>
      <w:rPr>
        <w:rFonts w:eastAsia="Times New Roman" w:cs="Arial"/>
        <w:spacing w:val="-3"/>
      </w:rPr>
    </w:pPr>
    <w:r w:rsidRPr="007A0C28">
      <w:rPr>
        <w:rFonts w:eastAsia="Times New Roman" w:cs="Arial"/>
        <w:spacing w:val="-3"/>
      </w:rPr>
      <w:t>(</w:t>
    </w:r>
    <w:r w:rsidRPr="000E01FD">
      <w:rPr>
        <w:rFonts w:cs="Arial"/>
        <w:lang w:val="en-US"/>
      </w:rPr>
      <w:t>All amounts are expressed in HRK thousand</w:t>
    </w:r>
    <w:r w:rsidRPr="007A0C28">
      <w:rPr>
        <w:rFonts w:eastAsia="Times New Roman" w:cs="Arial"/>
        <w:spacing w:val="-3"/>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7BFF6" w14:textId="77777777" w:rsidR="00073888" w:rsidRPr="007B6934" w:rsidRDefault="00073888" w:rsidP="007B6934">
    <w:pPr>
      <w:pStyle w:val="Header"/>
      <w:rPr>
        <w:rFonts w:eastAsia="Times New Roman" w:cs="Arial"/>
        <w:sz w:val="28"/>
        <w:szCs w:val="28"/>
      </w:rPr>
    </w:pPr>
    <w:r w:rsidRPr="007B6934">
      <w:rPr>
        <w:rFonts w:eastAsia="Times New Roman" w:cs="Arial"/>
        <w:sz w:val="28"/>
        <w:szCs w:val="28"/>
      </w:rPr>
      <w:t xml:space="preserve">Consolidated Interim </w:t>
    </w:r>
    <w:r>
      <w:rPr>
        <w:rFonts w:eastAsia="Times New Roman" w:cs="Arial"/>
        <w:sz w:val="28"/>
        <w:szCs w:val="28"/>
      </w:rPr>
      <w:t xml:space="preserve">Condensed </w:t>
    </w:r>
    <w:r w:rsidRPr="007B6934">
      <w:rPr>
        <w:rFonts w:eastAsia="Times New Roman" w:cs="Arial"/>
        <w:sz w:val="28"/>
        <w:szCs w:val="28"/>
      </w:rPr>
      <w:t>Financial Statements of the Group</w:t>
    </w:r>
  </w:p>
  <w:p w14:paraId="0D0BED8D" w14:textId="23A15973" w:rsidR="00073888" w:rsidRPr="007B6934" w:rsidRDefault="00073888" w:rsidP="00FE7274">
    <w:pPr>
      <w:pStyle w:val="Header"/>
      <w:rPr>
        <w:rFonts w:eastAsia="Times New Roman" w:cs="Arial"/>
        <w:sz w:val="28"/>
        <w:szCs w:val="28"/>
      </w:rPr>
    </w:pPr>
    <w:r w:rsidRPr="007B6934">
      <w:rPr>
        <w:rFonts w:eastAsia="Times New Roman" w:cs="Arial"/>
        <w:sz w:val="28"/>
        <w:szCs w:val="28"/>
      </w:rPr>
      <w:t xml:space="preserve">Statement of Financial Position as of </w:t>
    </w:r>
    <w:r>
      <w:rPr>
        <w:rFonts w:eastAsia="Times New Roman" w:cs="Arial"/>
        <w:sz w:val="28"/>
        <w:szCs w:val="28"/>
      </w:rPr>
      <w:t>(unaudited)</w:t>
    </w:r>
  </w:p>
  <w:p w14:paraId="1DA50202" w14:textId="77777777" w:rsidR="00073888" w:rsidRPr="007A0C28" w:rsidRDefault="00073888" w:rsidP="00FE7274">
    <w:pPr>
      <w:pStyle w:val="Header"/>
      <w:pBdr>
        <w:bottom w:val="single" w:sz="4" w:space="1" w:color="auto"/>
      </w:pBdr>
    </w:pPr>
    <w:r w:rsidRPr="007B6934">
      <w:rPr>
        <w:rFonts w:eastAsia="Times New Roman" w:cs="Arial"/>
      </w:rPr>
      <w:t>(</w:t>
    </w:r>
    <w:r w:rsidRPr="007B6934">
      <w:rPr>
        <w:rFonts w:cs="Arial"/>
        <w:lang w:val="en-US"/>
      </w:rPr>
      <w:t>All amounts are expressed in HRK thousand</w:t>
    </w:r>
    <w:r w:rsidRPr="007B6934">
      <w:rPr>
        <w:rFonts w:eastAsia="Times New Roman" w:cs="Arial"/>
      </w:rPr>
      <w:t>)</w:t>
    </w:r>
    <w:r w:rsidRPr="007A0C28">
      <w:rPr>
        <w:rFonts w:eastAsia="Times New Roman" w:cs="Arial"/>
        <w:spacing w:val="-3"/>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10E9F" w14:textId="77777777" w:rsidR="00073888" w:rsidRPr="00282C5F" w:rsidRDefault="00073888" w:rsidP="00282C5F">
    <w:pPr>
      <w:pBdr>
        <w:bottom w:val="single" w:sz="4" w:space="1" w:color="auto"/>
      </w:pBdr>
      <w:spacing w:after="0" w:line="310" w:lineRule="atLeast"/>
      <w:rPr>
        <w:rFonts w:eastAsia="Times New Roman" w:cs="Arial"/>
        <w:sz w:val="28"/>
        <w:szCs w:val="28"/>
      </w:rPr>
    </w:pPr>
    <w:r w:rsidRPr="00282C5F">
      <w:rPr>
        <w:rFonts w:eastAsia="Times New Roman" w:cs="Arial"/>
        <w:sz w:val="28"/>
        <w:szCs w:val="28"/>
      </w:rPr>
      <w:t xml:space="preserve">Notes to the Consolidated Interim </w:t>
    </w:r>
    <w:r>
      <w:rPr>
        <w:rFonts w:eastAsia="Times New Roman" w:cs="Arial"/>
        <w:sz w:val="28"/>
        <w:szCs w:val="28"/>
      </w:rPr>
      <w:t xml:space="preserve">Condensed </w:t>
    </w:r>
    <w:r w:rsidRPr="00282C5F">
      <w:rPr>
        <w:rFonts w:eastAsia="Times New Roman" w:cs="Arial"/>
        <w:sz w:val="28"/>
        <w:szCs w:val="28"/>
      </w:rPr>
      <w:t>Financial Statements contain a summary of significant accounting policies and other explanatory information</w:t>
    </w:r>
    <w:r>
      <w:rPr>
        <w:rFonts w:eastAsia="Times New Roman" w:cs="Arial"/>
        <w:sz w:val="28"/>
        <w:szCs w:val="28"/>
      </w:rPr>
      <w:t xml:space="preserve"> (continued)</w:t>
    </w:r>
  </w:p>
  <w:p w14:paraId="718AC446" w14:textId="77777777" w:rsidR="00073888" w:rsidRPr="00282C5F" w:rsidRDefault="00073888" w:rsidP="00282C5F">
    <w:pPr>
      <w:pBdr>
        <w:bottom w:val="single" w:sz="4" w:space="1" w:color="auto"/>
      </w:pBdr>
      <w:spacing w:after="0" w:line="310" w:lineRule="atLeast"/>
      <w:rPr>
        <w:rFonts w:eastAsia="Times New Roman" w:cs="Arial"/>
        <w:sz w:val="28"/>
        <w:szCs w:val="28"/>
      </w:rPr>
    </w:pPr>
    <w:proofErr w:type="gramStart"/>
    <w:r w:rsidRPr="00282C5F">
      <w:rPr>
        <w:rFonts w:eastAsia="Times New Roman" w:cs="Arial"/>
        <w:sz w:val="28"/>
        <w:szCs w:val="28"/>
      </w:rPr>
      <w:t>for</w:t>
    </w:r>
    <w:proofErr w:type="gramEnd"/>
    <w:r w:rsidRPr="00282C5F">
      <w:rPr>
        <w:rFonts w:eastAsia="Times New Roman" w:cs="Arial"/>
        <w:sz w:val="28"/>
        <w:szCs w:val="28"/>
      </w:rPr>
      <w:t xml:space="preserve"> the period 1 January – 31 March 2014 (unaudited)</w:t>
    </w:r>
  </w:p>
  <w:p w14:paraId="73989B73" w14:textId="77777777" w:rsidR="00073888" w:rsidRPr="00282C5F" w:rsidRDefault="00073888" w:rsidP="00282C5F">
    <w:pPr>
      <w:pBdr>
        <w:bottom w:val="single" w:sz="4" w:space="1" w:color="auto"/>
      </w:pBdr>
      <w:spacing w:after="0" w:line="310" w:lineRule="atLeast"/>
      <w:rPr>
        <w:rFonts w:eastAsia="Times New Roman" w:cs="Arial"/>
        <w:sz w:val="24"/>
        <w:szCs w:val="24"/>
      </w:rPr>
    </w:pPr>
    <w:r w:rsidRPr="00282C5F">
      <w:rPr>
        <w:rFonts w:eastAsia="Times New Roman" w:cs="Arial"/>
      </w:rPr>
      <w:t>(</w:t>
    </w:r>
    <w:r w:rsidRPr="00282C5F">
      <w:rPr>
        <w:rFonts w:cs="Arial"/>
      </w:rPr>
      <w:t>All amounts are expressed in HRK thousand</w:t>
    </w:r>
    <w:r w:rsidRPr="00282C5F">
      <w:rPr>
        <w:rFonts w:eastAsia="Times New Roman" w:cs="Arial"/>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30F62" w14:textId="77777777" w:rsidR="00073888" w:rsidRPr="00091EA0" w:rsidRDefault="00073888" w:rsidP="00091EA0">
    <w:pPr>
      <w:pStyle w:val="Header"/>
      <w:rPr>
        <w:rFonts w:eastAsia="Times New Roman" w:cs="Arial"/>
        <w:sz w:val="28"/>
        <w:szCs w:val="28"/>
      </w:rPr>
    </w:pPr>
    <w:r w:rsidRPr="00091EA0">
      <w:rPr>
        <w:rFonts w:eastAsia="Times New Roman" w:cs="Arial"/>
        <w:sz w:val="28"/>
        <w:szCs w:val="28"/>
      </w:rPr>
      <w:t xml:space="preserve">Consolidated Interim </w:t>
    </w:r>
    <w:r>
      <w:rPr>
        <w:rFonts w:eastAsia="Times New Roman" w:cs="Arial"/>
        <w:sz w:val="28"/>
        <w:szCs w:val="28"/>
      </w:rPr>
      <w:t xml:space="preserve">Condensed </w:t>
    </w:r>
    <w:r w:rsidRPr="00091EA0">
      <w:rPr>
        <w:rFonts w:eastAsia="Times New Roman" w:cs="Arial"/>
        <w:sz w:val="28"/>
        <w:szCs w:val="28"/>
      </w:rPr>
      <w:t>Financial Statements of the Group</w:t>
    </w:r>
  </w:p>
  <w:p w14:paraId="0181D183" w14:textId="77777777" w:rsidR="00073888" w:rsidRPr="00091EA0" w:rsidRDefault="00073888" w:rsidP="00C97A45">
    <w:pPr>
      <w:pBdr>
        <w:bottom w:val="single" w:sz="4" w:space="1" w:color="auto"/>
      </w:pBdr>
      <w:spacing w:after="0" w:line="310" w:lineRule="atLeast"/>
      <w:rPr>
        <w:rFonts w:eastAsia="Times New Roman" w:cs="Arial"/>
        <w:sz w:val="28"/>
        <w:szCs w:val="28"/>
      </w:rPr>
    </w:pPr>
    <w:r w:rsidRPr="00091EA0">
      <w:rPr>
        <w:rFonts w:eastAsia="Times New Roman" w:cs="Arial"/>
        <w:sz w:val="28"/>
        <w:szCs w:val="28"/>
      </w:rPr>
      <w:t xml:space="preserve">Statement of Cash Flows </w:t>
    </w:r>
  </w:p>
  <w:p w14:paraId="6C4F36D3" w14:textId="1E36D8B4" w:rsidR="00073888" w:rsidRPr="00091EA0" w:rsidRDefault="00073888" w:rsidP="00C97A45">
    <w:pPr>
      <w:pBdr>
        <w:bottom w:val="single" w:sz="4" w:space="1" w:color="auto"/>
      </w:pBdr>
      <w:spacing w:after="0" w:line="310" w:lineRule="atLeast"/>
      <w:rPr>
        <w:rFonts w:eastAsia="Times New Roman" w:cs="Arial"/>
        <w:sz w:val="28"/>
        <w:szCs w:val="28"/>
      </w:rPr>
    </w:pPr>
    <w:proofErr w:type="gramStart"/>
    <w:r>
      <w:rPr>
        <w:rFonts w:eastAsia="Times New Roman" w:cs="Arial"/>
        <w:sz w:val="28"/>
        <w:szCs w:val="28"/>
      </w:rPr>
      <w:t>for</w:t>
    </w:r>
    <w:proofErr w:type="gramEnd"/>
    <w:r>
      <w:rPr>
        <w:rFonts w:eastAsia="Times New Roman" w:cs="Arial"/>
        <w:sz w:val="28"/>
        <w:szCs w:val="28"/>
      </w:rPr>
      <w:t xml:space="preserve"> the period</w:t>
    </w:r>
    <w:r w:rsidRPr="00091EA0">
      <w:rPr>
        <w:rFonts w:eastAsia="Times New Roman" w:cs="Arial"/>
        <w:sz w:val="28"/>
        <w:szCs w:val="28"/>
      </w:rPr>
      <w:t xml:space="preserve"> 1</w:t>
    </w:r>
    <w:r>
      <w:rPr>
        <w:rFonts w:eastAsia="Times New Roman" w:cs="Arial"/>
        <w:sz w:val="28"/>
        <w:szCs w:val="28"/>
      </w:rPr>
      <w:t xml:space="preserve"> January –</w:t>
    </w:r>
    <w:r w:rsidRPr="00091EA0">
      <w:rPr>
        <w:rFonts w:eastAsia="Times New Roman" w:cs="Arial"/>
        <w:sz w:val="28"/>
        <w:szCs w:val="28"/>
      </w:rPr>
      <w:t xml:space="preserve"> </w:t>
    </w:r>
    <w:r w:rsidRPr="00165CF1">
      <w:rPr>
        <w:rFonts w:eastAsia="Times New Roman" w:cs="Arial"/>
        <w:sz w:val="28"/>
        <w:szCs w:val="28"/>
      </w:rPr>
      <w:t xml:space="preserve">30 </w:t>
    </w:r>
    <w:r>
      <w:rPr>
        <w:rFonts w:eastAsia="Times New Roman" w:cs="Arial"/>
        <w:sz w:val="28"/>
        <w:szCs w:val="28"/>
      </w:rPr>
      <w:t>September (unaudited)</w:t>
    </w:r>
  </w:p>
  <w:p w14:paraId="35F72B40" w14:textId="77777777" w:rsidR="00073888" w:rsidRPr="00091EA0" w:rsidRDefault="00073888" w:rsidP="00C97A45">
    <w:pPr>
      <w:pBdr>
        <w:bottom w:val="single" w:sz="4" w:space="1" w:color="auto"/>
      </w:pBdr>
      <w:spacing w:after="0" w:line="310" w:lineRule="atLeast"/>
      <w:rPr>
        <w:rFonts w:eastAsia="Times New Roman" w:cs="Arial"/>
      </w:rPr>
    </w:pPr>
    <w:r w:rsidRPr="00091EA0">
      <w:rPr>
        <w:rFonts w:eastAsia="Times New Roman" w:cs="Arial"/>
      </w:rPr>
      <w:t>(</w:t>
    </w:r>
    <w:r w:rsidRPr="002558B5">
      <w:rPr>
        <w:rFonts w:cs="Arial"/>
        <w:lang w:val="en-US"/>
      </w:rPr>
      <w:t>All amounts are expressed in HRK thousand</w:t>
    </w:r>
    <w:r w:rsidRPr="00091EA0">
      <w:rPr>
        <w:rFonts w:eastAsia="Times New Roman" w:cs="Aria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1874"/>
    <w:multiLevelType w:val="hybridMultilevel"/>
    <w:tmpl w:val="9E3E3758"/>
    <w:lvl w:ilvl="0" w:tplc="E3E0A97C">
      <w:start w:val="1"/>
      <w:numFmt w:val="bullet"/>
      <w:lvlText w:val=""/>
      <w:lvlJc w:val="left"/>
      <w:pPr>
        <w:ind w:left="1428" w:hanging="360"/>
      </w:pPr>
      <w:rPr>
        <w:rFonts w:ascii="Symbol" w:hAnsi="Symbol" w:hint="default"/>
        <w:color w:val="auto"/>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 w15:restartNumberingAfterBreak="0">
    <w:nsid w:val="01606462"/>
    <w:multiLevelType w:val="multilevel"/>
    <w:tmpl w:val="8DC649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1A37B66"/>
    <w:multiLevelType w:val="multilevel"/>
    <w:tmpl w:val="57CE0C3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597907"/>
    <w:multiLevelType w:val="hybridMultilevel"/>
    <w:tmpl w:val="4ACE5048"/>
    <w:lvl w:ilvl="0" w:tplc="23AA81C8">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4A27905"/>
    <w:multiLevelType w:val="hybridMultilevel"/>
    <w:tmpl w:val="55FC0386"/>
    <w:lvl w:ilvl="0" w:tplc="041A0017">
      <w:start w:val="1"/>
      <w:numFmt w:val="lowerLetter"/>
      <w:lvlText w:val="%1)"/>
      <w:lvlJc w:val="left"/>
      <w:pPr>
        <w:ind w:left="8866" w:hanging="360"/>
      </w:pPr>
      <w:rPr>
        <w:rFonts w:hint="default"/>
      </w:rPr>
    </w:lvl>
    <w:lvl w:ilvl="1" w:tplc="041A0019" w:tentative="1">
      <w:start w:val="1"/>
      <w:numFmt w:val="lowerLetter"/>
      <w:lvlText w:val="%2."/>
      <w:lvlJc w:val="left"/>
      <w:pPr>
        <w:ind w:left="9586" w:hanging="360"/>
      </w:pPr>
    </w:lvl>
    <w:lvl w:ilvl="2" w:tplc="041A001B" w:tentative="1">
      <w:start w:val="1"/>
      <w:numFmt w:val="lowerRoman"/>
      <w:lvlText w:val="%3."/>
      <w:lvlJc w:val="right"/>
      <w:pPr>
        <w:ind w:left="10306" w:hanging="180"/>
      </w:pPr>
    </w:lvl>
    <w:lvl w:ilvl="3" w:tplc="041A000F" w:tentative="1">
      <w:start w:val="1"/>
      <w:numFmt w:val="decimal"/>
      <w:lvlText w:val="%4."/>
      <w:lvlJc w:val="left"/>
      <w:pPr>
        <w:ind w:left="11026" w:hanging="360"/>
      </w:pPr>
    </w:lvl>
    <w:lvl w:ilvl="4" w:tplc="041A0019" w:tentative="1">
      <w:start w:val="1"/>
      <w:numFmt w:val="lowerLetter"/>
      <w:lvlText w:val="%5."/>
      <w:lvlJc w:val="left"/>
      <w:pPr>
        <w:ind w:left="11746" w:hanging="360"/>
      </w:pPr>
    </w:lvl>
    <w:lvl w:ilvl="5" w:tplc="041A001B" w:tentative="1">
      <w:start w:val="1"/>
      <w:numFmt w:val="lowerRoman"/>
      <w:lvlText w:val="%6."/>
      <w:lvlJc w:val="right"/>
      <w:pPr>
        <w:ind w:left="12466" w:hanging="180"/>
      </w:pPr>
    </w:lvl>
    <w:lvl w:ilvl="6" w:tplc="041A000F" w:tentative="1">
      <w:start w:val="1"/>
      <w:numFmt w:val="decimal"/>
      <w:lvlText w:val="%7."/>
      <w:lvlJc w:val="left"/>
      <w:pPr>
        <w:ind w:left="13186" w:hanging="360"/>
      </w:pPr>
    </w:lvl>
    <w:lvl w:ilvl="7" w:tplc="041A0019" w:tentative="1">
      <w:start w:val="1"/>
      <w:numFmt w:val="lowerLetter"/>
      <w:lvlText w:val="%8."/>
      <w:lvlJc w:val="left"/>
      <w:pPr>
        <w:ind w:left="13906" w:hanging="360"/>
      </w:pPr>
    </w:lvl>
    <w:lvl w:ilvl="8" w:tplc="041A001B" w:tentative="1">
      <w:start w:val="1"/>
      <w:numFmt w:val="lowerRoman"/>
      <w:lvlText w:val="%9."/>
      <w:lvlJc w:val="right"/>
      <w:pPr>
        <w:ind w:left="14626" w:hanging="180"/>
      </w:pPr>
    </w:lvl>
  </w:abstractNum>
  <w:abstractNum w:abstractNumId="5" w15:restartNumberingAfterBreak="0">
    <w:nsid w:val="050C5BE0"/>
    <w:multiLevelType w:val="hybridMultilevel"/>
    <w:tmpl w:val="08B0C630"/>
    <w:lvl w:ilvl="0" w:tplc="BDD2C8A6">
      <w:numFmt w:val="bullet"/>
      <w:lvlText w:val="-"/>
      <w:lvlJc w:val="left"/>
      <w:pPr>
        <w:ind w:left="1080" w:hanging="360"/>
      </w:pPr>
      <w:rPr>
        <w:rFonts w:ascii="Calibri" w:eastAsia="Times New Roman" w:hAnsi="Calibri"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0637115B"/>
    <w:multiLevelType w:val="hybridMultilevel"/>
    <w:tmpl w:val="28B2AA32"/>
    <w:lvl w:ilvl="0" w:tplc="B614A01C">
      <w:start w:val="2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5E4C5C"/>
    <w:multiLevelType w:val="multilevel"/>
    <w:tmpl w:val="AA26EE0C"/>
    <w:lvl w:ilvl="0">
      <w:start w:val="2"/>
      <w:numFmt w:val="lowerLetter"/>
      <w:lvlText w:val="%1)"/>
      <w:lvlJc w:val="left"/>
      <w:pPr>
        <w:ind w:left="1146" w:hanging="360"/>
      </w:pPr>
      <w:rPr>
        <w:rFonts w:cs="Arial" w:hint="default"/>
        <w:i/>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0">
    <w:nsid w:val="077A0397"/>
    <w:multiLevelType w:val="hybridMultilevel"/>
    <w:tmpl w:val="E53CC14C"/>
    <w:lvl w:ilvl="0" w:tplc="54E4167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B41984"/>
    <w:multiLevelType w:val="hybridMultilevel"/>
    <w:tmpl w:val="F888FF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8BE2177"/>
    <w:multiLevelType w:val="hybridMultilevel"/>
    <w:tmpl w:val="7FAEA698"/>
    <w:lvl w:ilvl="0" w:tplc="A672D980">
      <w:start w:val="3"/>
      <w:numFmt w:val="lowerLetter"/>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1" w15:restartNumberingAfterBreak="0">
    <w:nsid w:val="0AB458B5"/>
    <w:multiLevelType w:val="hybridMultilevel"/>
    <w:tmpl w:val="E3BAF3D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0C8043F1"/>
    <w:multiLevelType w:val="hybridMultilevel"/>
    <w:tmpl w:val="5324EE5A"/>
    <w:lvl w:ilvl="0" w:tplc="6BC62CD4">
      <w:numFmt w:val="bullet"/>
      <w:lvlText w:val="-"/>
      <w:lvlJc w:val="left"/>
      <w:pPr>
        <w:ind w:left="720" w:hanging="360"/>
      </w:pPr>
      <w:rPr>
        <w:rFonts w:ascii="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0D1A460F"/>
    <w:multiLevelType w:val="multilevel"/>
    <w:tmpl w:val="0988E6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D355A10"/>
    <w:multiLevelType w:val="hybridMultilevel"/>
    <w:tmpl w:val="8D6026C8"/>
    <w:lvl w:ilvl="0" w:tplc="041A0005">
      <w:start w:val="1"/>
      <w:numFmt w:val="bullet"/>
      <w:lvlText w:val=""/>
      <w:lvlJc w:val="left"/>
      <w:pPr>
        <w:ind w:left="720" w:hanging="360"/>
      </w:pPr>
      <w:rPr>
        <w:rFonts w:ascii="Wingdings" w:hAnsi="Wingdings" w:hint="default"/>
      </w:rPr>
    </w:lvl>
    <w:lvl w:ilvl="1" w:tplc="041A0005">
      <w:start w:val="1"/>
      <w:numFmt w:val="bullet"/>
      <w:lvlText w:val=""/>
      <w:lvlJc w:val="left"/>
      <w:pPr>
        <w:ind w:left="144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0DF80767"/>
    <w:multiLevelType w:val="hybridMultilevel"/>
    <w:tmpl w:val="39E20F9C"/>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0E5928D3"/>
    <w:multiLevelType w:val="hybridMultilevel"/>
    <w:tmpl w:val="7F1604AA"/>
    <w:lvl w:ilvl="0" w:tplc="0E0EA826">
      <w:start w:val="1"/>
      <w:numFmt w:val="lowerLetter"/>
      <w:lvlText w:val="%1)"/>
      <w:lvlJc w:val="left"/>
      <w:pPr>
        <w:ind w:left="360" w:hanging="360"/>
      </w:pPr>
      <w:rPr>
        <w:rFonts w:hint="default"/>
        <w:b w:val="0"/>
        <w:i/>
      </w:rPr>
    </w:lvl>
    <w:lvl w:ilvl="1" w:tplc="041A0019">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7" w15:restartNumberingAfterBreak="0">
    <w:nsid w:val="0EB14D11"/>
    <w:multiLevelType w:val="hybridMultilevel"/>
    <w:tmpl w:val="07D60342"/>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0F2D581A"/>
    <w:multiLevelType w:val="multilevel"/>
    <w:tmpl w:val="4EE297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0FFA23F5"/>
    <w:multiLevelType w:val="hybridMultilevel"/>
    <w:tmpl w:val="5432639E"/>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09D03A9"/>
    <w:multiLevelType w:val="hybridMultilevel"/>
    <w:tmpl w:val="3244DB88"/>
    <w:lvl w:ilvl="0" w:tplc="041A0005">
      <w:start w:val="1"/>
      <w:numFmt w:val="bullet"/>
      <w:lvlText w:val=""/>
      <w:lvlJc w:val="left"/>
      <w:pPr>
        <w:ind w:left="1440" w:hanging="360"/>
      </w:pPr>
      <w:rPr>
        <w:rFonts w:ascii="Wingdings" w:hAnsi="Wingdings"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15:restartNumberingAfterBreak="0">
    <w:nsid w:val="15370918"/>
    <w:multiLevelType w:val="hybridMultilevel"/>
    <w:tmpl w:val="1B74A8FC"/>
    <w:lvl w:ilvl="0" w:tplc="89A2892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5E777B5"/>
    <w:multiLevelType w:val="hybridMultilevel"/>
    <w:tmpl w:val="00E6AF52"/>
    <w:lvl w:ilvl="0" w:tplc="041A000F">
      <w:start w:val="6"/>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175708AB"/>
    <w:multiLevelType w:val="hybridMultilevel"/>
    <w:tmpl w:val="440032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18A63E63"/>
    <w:multiLevelType w:val="hybridMultilevel"/>
    <w:tmpl w:val="3DEA8B58"/>
    <w:lvl w:ilvl="0" w:tplc="38465924">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1B530462"/>
    <w:multiLevelType w:val="hybridMultilevel"/>
    <w:tmpl w:val="B484E4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1D5455B3"/>
    <w:multiLevelType w:val="hybridMultilevel"/>
    <w:tmpl w:val="507E5734"/>
    <w:lvl w:ilvl="0" w:tplc="625E4B04">
      <w:start w:val="2"/>
      <w:numFmt w:val="lowerLetter"/>
      <w:lvlText w:val="%1)"/>
      <w:lvlJc w:val="left"/>
      <w:pPr>
        <w:ind w:left="1146" w:hanging="360"/>
      </w:pPr>
      <w:rPr>
        <w:rFonts w:cs="Arial" w:hint="default"/>
        <w:i/>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7" w15:restartNumberingAfterBreak="0">
    <w:nsid w:val="1E985D52"/>
    <w:multiLevelType w:val="hybridMultilevel"/>
    <w:tmpl w:val="9EA0E07C"/>
    <w:lvl w:ilvl="0" w:tplc="54E41676">
      <w:numFmt w:val="bullet"/>
      <w:lvlText w:val="–"/>
      <w:lvlJc w:val="left"/>
      <w:pPr>
        <w:ind w:left="1426" w:hanging="360"/>
      </w:pPr>
      <w:rPr>
        <w:rFonts w:ascii="Times New Roman" w:eastAsia="Times New Roman" w:hAnsi="Times New Roman" w:cs="Times New Roman" w:hint="default"/>
      </w:rPr>
    </w:lvl>
    <w:lvl w:ilvl="1" w:tplc="041A0003" w:tentative="1">
      <w:start w:val="1"/>
      <w:numFmt w:val="bullet"/>
      <w:lvlText w:val="o"/>
      <w:lvlJc w:val="left"/>
      <w:pPr>
        <w:ind w:left="2146" w:hanging="360"/>
      </w:pPr>
      <w:rPr>
        <w:rFonts w:ascii="Courier New" w:hAnsi="Courier New" w:cs="Courier New" w:hint="default"/>
      </w:rPr>
    </w:lvl>
    <w:lvl w:ilvl="2" w:tplc="041A0005" w:tentative="1">
      <w:start w:val="1"/>
      <w:numFmt w:val="bullet"/>
      <w:lvlText w:val=""/>
      <w:lvlJc w:val="left"/>
      <w:pPr>
        <w:ind w:left="2866" w:hanging="360"/>
      </w:pPr>
      <w:rPr>
        <w:rFonts w:ascii="Wingdings" w:hAnsi="Wingdings" w:hint="default"/>
      </w:rPr>
    </w:lvl>
    <w:lvl w:ilvl="3" w:tplc="041A0001" w:tentative="1">
      <w:start w:val="1"/>
      <w:numFmt w:val="bullet"/>
      <w:lvlText w:val=""/>
      <w:lvlJc w:val="left"/>
      <w:pPr>
        <w:ind w:left="3586" w:hanging="360"/>
      </w:pPr>
      <w:rPr>
        <w:rFonts w:ascii="Symbol" w:hAnsi="Symbol" w:hint="default"/>
      </w:rPr>
    </w:lvl>
    <w:lvl w:ilvl="4" w:tplc="041A0003" w:tentative="1">
      <w:start w:val="1"/>
      <w:numFmt w:val="bullet"/>
      <w:lvlText w:val="o"/>
      <w:lvlJc w:val="left"/>
      <w:pPr>
        <w:ind w:left="4306" w:hanging="360"/>
      </w:pPr>
      <w:rPr>
        <w:rFonts w:ascii="Courier New" w:hAnsi="Courier New" w:cs="Courier New" w:hint="default"/>
      </w:rPr>
    </w:lvl>
    <w:lvl w:ilvl="5" w:tplc="041A0005" w:tentative="1">
      <w:start w:val="1"/>
      <w:numFmt w:val="bullet"/>
      <w:lvlText w:val=""/>
      <w:lvlJc w:val="left"/>
      <w:pPr>
        <w:ind w:left="5026" w:hanging="360"/>
      </w:pPr>
      <w:rPr>
        <w:rFonts w:ascii="Wingdings" w:hAnsi="Wingdings" w:hint="default"/>
      </w:rPr>
    </w:lvl>
    <w:lvl w:ilvl="6" w:tplc="041A0001" w:tentative="1">
      <w:start w:val="1"/>
      <w:numFmt w:val="bullet"/>
      <w:lvlText w:val=""/>
      <w:lvlJc w:val="left"/>
      <w:pPr>
        <w:ind w:left="5746" w:hanging="360"/>
      </w:pPr>
      <w:rPr>
        <w:rFonts w:ascii="Symbol" w:hAnsi="Symbol" w:hint="default"/>
      </w:rPr>
    </w:lvl>
    <w:lvl w:ilvl="7" w:tplc="041A0003" w:tentative="1">
      <w:start w:val="1"/>
      <w:numFmt w:val="bullet"/>
      <w:lvlText w:val="o"/>
      <w:lvlJc w:val="left"/>
      <w:pPr>
        <w:ind w:left="6466" w:hanging="360"/>
      </w:pPr>
      <w:rPr>
        <w:rFonts w:ascii="Courier New" w:hAnsi="Courier New" w:cs="Courier New" w:hint="default"/>
      </w:rPr>
    </w:lvl>
    <w:lvl w:ilvl="8" w:tplc="041A0005" w:tentative="1">
      <w:start w:val="1"/>
      <w:numFmt w:val="bullet"/>
      <w:lvlText w:val=""/>
      <w:lvlJc w:val="left"/>
      <w:pPr>
        <w:ind w:left="7186" w:hanging="360"/>
      </w:pPr>
      <w:rPr>
        <w:rFonts w:ascii="Wingdings" w:hAnsi="Wingdings" w:hint="default"/>
      </w:rPr>
    </w:lvl>
  </w:abstractNum>
  <w:abstractNum w:abstractNumId="28" w15:restartNumberingAfterBreak="0">
    <w:nsid w:val="1EB00138"/>
    <w:multiLevelType w:val="hybridMultilevel"/>
    <w:tmpl w:val="EF16A7DE"/>
    <w:lvl w:ilvl="0" w:tplc="8572E7F6">
      <w:start w:val="4"/>
      <w:numFmt w:val="bullet"/>
      <w:lvlText w:val="-"/>
      <w:lvlJc w:val="left"/>
      <w:pPr>
        <w:ind w:left="1440" w:hanging="360"/>
      </w:pPr>
      <w:rPr>
        <w:rFonts w:ascii="Calibri" w:eastAsia="Times New Roman"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9" w15:restartNumberingAfterBreak="0">
    <w:nsid w:val="1F6F0ED6"/>
    <w:multiLevelType w:val="hybridMultilevel"/>
    <w:tmpl w:val="CE24BBAA"/>
    <w:lvl w:ilvl="0" w:tplc="89A2892E">
      <w:numFmt w:val="bullet"/>
      <w:lvlText w:val="-"/>
      <w:lvlJc w:val="left"/>
      <w:pPr>
        <w:tabs>
          <w:tab w:val="num" w:pos="1080"/>
        </w:tabs>
        <w:ind w:left="1080" w:hanging="360"/>
      </w:pPr>
      <w:rPr>
        <w:rFonts w:ascii="Arial" w:eastAsia="Times New Roman"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0CD026C"/>
    <w:multiLevelType w:val="singleLevel"/>
    <w:tmpl w:val="BBE868AE"/>
    <w:lvl w:ilvl="0">
      <w:numFmt w:val="bullet"/>
      <w:pStyle w:val="T1PARAGRAPH"/>
      <w:lvlText w:val="-"/>
      <w:lvlJc w:val="left"/>
      <w:pPr>
        <w:tabs>
          <w:tab w:val="num" w:pos="720"/>
        </w:tabs>
        <w:ind w:left="720" w:hanging="720"/>
      </w:pPr>
      <w:rPr>
        <w:rFonts w:hint="default"/>
      </w:rPr>
    </w:lvl>
  </w:abstractNum>
  <w:abstractNum w:abstractNumId="31" w15:restartNumberingAfterBreak="0">
    <w:nsid w:val="211A1EEE"/>
    <w:multiLevelType w:val="hybridMultilevel"/>
    <w:tmpl w:val="9294B8F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2" w15:restartNumberingAfterBreak="0">
    <w:nsid w:val="22F1204C"/>
    <w:multiLevelType w:val="hybridMultilevel"/>
    <w:tmpl w:val="52445190"/>
    <w:lvl w:ilvl="0" w:tplc="89A2892E">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24644F93"/>
    <w:multiLevelType w:val="hybridMultilevel"/>
    <w:tmpl w:val="07C2FFCC"/>
    <w:lvl w:ilvl="0" w:tplc="B614A01C">
      <w:start w:val="2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4EB0E0C"/>
    <w:multiLevelType w:val="hybridMultilevel"/>
    <w:tmpl w:val="6122AC5A"/>
    <w:lvl w:ilvl="0" w:tplc="89A2892E">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2531783B"/>
    <w:multiLevelType w:val="hybridMultilevel"/>
    <w:tmpl w:val="56BC02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26640236"/>
    <w:multiLevelType w:val="hybridMultilevel"/>
    <w:tmpl w:val="C8586FC6"/>
    <w:lvl w:ilvl="0" w:tplc="041A0017">
      <w:start w:val="2"/>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7" w15:restartNumberingAfterBreak="0">
    <w:nsid w:val="271D36A1"/>
    <w:multiLevelType w:val="hybridMultilevel"/>
    <w:tmpl w:val="6012286C"/>
    <w:lvl w:ilvl="0" w:tplc="268AF368">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8" w15:restartNumberingAfterBreak="0">
    <w:nsid w:val="27731460"/>
    <w:multiLevelType w:val="hybridMultilevel"/>
    <w:tmpl w:val="93B2AF26"/>
    <w:lvl w:ilvl="0" w:tplc="6BC62CD4">
      <w:numFmt w:val="bullet"/>
      <w:lvlText w:val="-"/>
      <w:lvlJc w:val="left"/>
      <w:pPr>
        <w:tabs>
          <w:tab w:val="num" w:pos="1800"/>
        </w:tabs>
        <w:ind w:left="1800" w:hanging="360"/>
      </w:pPr>
      <w:rPr>
        <w:rFonts w:ascii="Times New Roman" w:hAnsi="Times New Roman"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7EF377F"/>
    <w:multiLevelType w:val="hybridMultilevel"/>
    <w:tmpl w:val="885810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290975D4"/>
    <w:multiLevelType w:val="hybridMultilevel"/>
    <w:tmpl w:val="78748C0A"/>
    <w:lvl w:ilvl="0" w:tplc="33AE039E">
      <w:start w:val="2"/>
      <w:numFmt w:val="lowerLetter"/>
      <w:lvlText w:val="%1)"/>
      <w:lvlJc w:val="left"/>
      <w:pPr>
        <w:ind w:left="1146" w:hanging="360"/>
      </w:pPr>
      <w:rPr>
        <w:rFonts w:cs="Arial" w:hint="default"/>
        <w:i/>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41" w15:restartNumberingAfterBreak="0">
    <w:nsid w:val="29B547AB"/>
    <w:multiLevelType w:val="hybridMultilevel"/>
    <w:tmpl w:val="6B2C12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2B86748C"/>
    <w:multiLevelType w:val="multilevel"/>
    <w:tmpl w:val="BD4EF6E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2C5043F9"/>
    <w:multiLevelType w:val="multilevel"/>
    <w:tmpl w:val="ED8A5198"/>
    <w:lvl w:ilvl="0">
      <w:start w:val="1"/>
      <w:numFmt w:val="decimal"/>
      <w:lvlText w:val="%1."/>
      <w:lvlJc w:val="left"/>
      <w:pPr>
        <w:ind w:left="720" w:hanging="360"/>
      </w:pPr>
      <w:rPr>
        <w:rFonts w:hint="default"/>
      </w:rPr>
    </w:lvl>
    <w:lvl w:ilvl="1">
      <w:start w:val="3"/>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2F9D635F"/>
    <w:multiLevelType w:val="hybridMultilevel"/>
    <w:tmpl w:val="F782CD1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18047C3"/>
    <w:multiLevelType w:val="hybridMultilevel"/>
    <w:tmpl w:val="9466A8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34391E9E"/>
    <w:multiLevelType w:val="multilevel"/>
    <w:tmpl w:val="9FD4214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7" w15:restartNumberingAfterBreak="0">
    <w:nsid w:val="39790C89"/>
    <w:multiLevelType w:val="multilevel"/>
    <w:tmpl w:val="8654E04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39DF6C32"/>
    <w:multiLevelType w:val="hybridMultilevel"/>
    <w:tmpl w:val="0D0CD4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39F22BE1"/>
    <w:multiLevelType w:val="hybridMultilevel"/>
    <w:tmpl w:val="440E42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3D4960C7"/>
    <w:multiLevelType w:val="hybridMultilevel"/>
    <w:tmpl w:val="01EAA7C4"/>
    <w:lvl w:ilvl="0" w:tplc="0409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1145428"/>
    <w:multiLevelType w:val="hybridMultilevel"/>
    <w:tmpl w:val="5E2E64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4125697E"/>
    <w:multiLevelType w:val="hybridMultilevel"/>
    <w:tmpl w:val="92AA1F3A"/>
    <w:lvl w:ilvl="0" w:tplc="E3E0A97C">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414367BE"/>
    <w:multiLevelType w:val="hybridMultilevel"/>
    <w:tmpl w:val="504AC08A"/>
    <w:lvl w:ilvl="0" w:tplc="DC1800CE">
      <w:numFmt w:val="bullet"/>
      <w:lvlText w:val=""/>
      <w:lvlJc w:val="left"/>
      <w:pPr>
        <w:ind w:left="1004" w:hanging="360"/>
      </w:pPr>
      <w:rPr>
        <w:rFonts w:ascii="Symbol" w:eastAsia="Times New Roman" w:hAnsi="Symbol" w:hint="default"/>
        <w:color w:val="auto"/>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54" w15:restartNumberingAfterBreak="0">
    <w:nsid w:val="42283064"/>
    <w:multiLevelType w:val="hybridMultilevel"/>
    <w:tmpl w:val="45624498"/>
    <w:lvl w:ilvl="0" w:tplc="DC1800CE">
      <w:numFmt w:val="bullet"/>
      <w:lvlText w:val=""/>
      <w:lvlJc w:val="left"/>
      <w:pPr>
        <w:ind w:left="643" w:hanging="360"/>
      </w:pPr>
      <w:rPr>
        <w:rFonts w:ascii="Symbol" w:eastAsia="Times New Roman" w:hAnsi="Symbol" w:hint="default"/>
        <w:b w:val="0"/>
        <w:color w:val="auto"/>
      </w:rPr>
    </w:lvl>
    <w:lvl w:ilvl="1" w:tplc="54E41676">
      <w:numFmt w:val="bullet"/>
      <w:lvlText w:val="–"/>
      <w:lvlJc w:val="left"/>
      <w:pPr>
        <w:ind w:left="2792" w:hanging="360"/>
      </w:pPr>
      <w:rPr>
        <w:rFonts w:ascii="Times New Roman" w:eastAsia="Times New Roman" w:hAnsi="Times New Roman" w:cs="Times New Roman" w:hint="default"/>
      </w:rPr>
    </w:lvl>
    <w:lvl w:ilvl="2" w:tplc="041A0005">
      <w:start w:val="1"/>
      <w:numFmt w:val="bullet"/>
      <w:lvlText w:val=""/>
      <w:lvlJc w:val="left"/>
      <w:pPr>
        <w:ind w:left="3512" w:hanging="360"/>
      </w:pPr>
      <w:rPr>
        <w:rFonts w:ascii="Wingdings" w:hAnsi="Wingdings" w:hint="default"/>
      </w:rPr>
    </w:lvl>
    <w:lvl w:ilvl="3" w:tplc="041A0001" w:tentative="1">
      <w:start w:val="1"/>
      <w:numFmt w:val="bullet"/>
      <w:lvlText w:val=""/>
      <w:lvlJc w:val="left"/>
      <w:pPr>
        <w:ind w:left="4232" w:hanging="360"/>
      </w:pPr>
      <w:rPr>
        <w:rFonts w:ascii="Symbol" w:hAnsi="Symbol" w:hint="default"/>
      </w:rPr>
    </w:lvl>
    <w:lvl w:ilvl="4" w:tplc="041A0003" w:tentative="1">
      <w:start w:val="1"/>
      <w:numFmt w:val="bullet"/>
      <w:lvlText w:val="o"/>
      <w:lvlJc w:val="left"/>
      <w:pPr>
        <w:ind w:left="4952" w:hanging="360"/>
      </w:pPr>
      <w:rPr>
        <w:rFonts w:ascii="Courier New" w:hAnsi="Courier New" w:cs="Courier New" w:hint="default"/>
      </w:rPr>
    </w:lvl>
    <w:lvl w:ilvl="5" w:tplc="041A0005" w:tentative="1">
      <w:start w:val="1"/>
      <w:numFmt w:val="bullet"/>
      <w:lvlText w:val=""/>
      <w:lvlJc w:val="left"/>
      <w:pPr>
        <w:ind w:left="5672" w:hanging="360"/>
      </w:pPr>
      <w:rPr>
        <w:rFonts w:ascii="Wingdings" w:hAnsi="Wingdings" w:hint="default"/>
      </w:rPr>
    </w:lvl>
    <w:lvl w:ilvl="6" w:tplc="041A0001" w:tentative="1">
      <w:start w:val="1"/>
      <w:numFmt w:val="bullet"/>
      <w:lvlText w:val=""/>
      <w:lvlJc w:val="left"/>
      <w:pPr>
        <w:ind w:left="6392" w:hanging="360"/>
      </w:pPr>
      <w:rPr>
        <w:rFonts w:ascii="Symbol" w:hAnsi="Symbol" w:hint="default"/>
      </w:rPr>
    </w:lvl>
    <w:lvl w:ilvl="7" w:tplc="041A0003" w:tentative="1">
      <w:start w:val="1"/>
      <w:numFmt w:val="bullet"/>
      <w:lvlText w:val="o"/>
      <w:lvlJc w:val="left"/>
      <w:pPr>
        <w:ind w:left="7112" w:hanging="360"/>
      </w:pPr>
      <w:rPr>
        <w:rFonts w:ascii="Courier New" w:hAnsi="Courier New" w:cs="Courier New" w:hint="default"/>
      </w:rPr>
    </w:lvl>
    <w:lvl w:ilvl="8" w:tplc="041A0005" w:tentative="1">
      <w:start w:val="1"/>
      <w:numFmt w:val="bullet"/>
      <w:lvlText w:val=""/>
      <w:lvlJc w:val="left"/>
      <w:pPr>
        <w:ind w:left="7832" w:hanging="360"/>
      </w:pPr>
      <w:rPr>
        <w:rFonts w:ascii="Wingdings" w:hAnsi="Wingdings" w:hint="default"/>
      </w:rPr>
    </w:lvl>
  </w:abstractNum>
  <w:abstractNum w:abstractNumId="55" w15:restartNumberingAfterBreak="0">
    <w:nsid w:val="43530D89"/>
    <w:multiLevelType w:val="hybridMultilevel"/>
    <w:tmpl w:val="FAF666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44651C05"/>
    <w:multiLevelType w:val="hybridMultilevel"/>
    <w:tmpl w:val="2EB2E93C"/>
    <w:lvl w:ilvl="0" w:tplc="54E416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46AA28B7"/>
    <w:multiLevelType w:val="multilevel"/>
    <w:tmpl w:val="76EEEAE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8" w15:restartNumberingAfterBreak="0">
    <w:nsid w:val="47A262D0"/>
    <w:multiLevelType w:val="hybridMultilevel"/>
    <w:tmpl w:val="243EB528"/>
    <w:lvl w:ilvl="0" w:tplc="89A2892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93A6A90"/>
    <w:multiLevelType w:val="multilevel"/>
    <w:tmpl w:val="EAFA0FF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0" w15:restartNumberingAfterBreak="0">
    <w:nsid w:val="4A462621"/>
    <w:multiLevelType w:val="hybridMultilevel"/>
    <w:tmpl w:val="CF5CBA7E"/>
    <w:lvl w:ilvl="0" w:tplc="DC1800CE">
      <w:numFmt w:val="bullet"/>
      <w:lvlText w:val=""/>
      <w:lvlJc w:val="left"/>
      <w:pPr>
        <w:ind w:left="1650" w:hanging="360"/>
      </w:pPr>
      <w:rPr>
        <w:rFonts w:ascii="Symbol" w:eastAsia="Times New Roman" w:hAnsi="Symbol" w:hint="default"/>
        <w:color w:val="auto"/>
      </w:rPr>
    </w:lvl>
    <w:lvl w:ilvl="1" w:tplc="041A0003" w:tentative="1">
      <w:start w:val="1"/>
      <w:numFmt w:val="bullet"/>
      <w:lvlText w:val="o"/>
      <w:lvlJc w:val="left"/>
      <w:pPr>
        <w:ind w:left="2370" w:hanging="360"/>
      </w:pPr>
      <w:rPr>
        <w:rFonts w:ascii="Courier New" w:hAnsi="Courier New" w:cs="Courier New" w:hint="default"/>
      </w:rPr>
    </w:lvl>
    <w:lvl w:ilvl="2" w:tplc="041A0005" w:tentative="1">
      <w:start w:val="1"/>
      <w:numFmt w:val="bullet"/>
      <w:lvlText w:val=""/>
      <w:lvlJc w:val="left"/>
      <w:pPr>
        <w:ind w:left="3090" w:hanging="360"/>
      </w:pPr>
      <w:rPr>
        <w:rFonts w:ascii="Wingdings" w:hAnsi="Wingdings" w:hint="default"/>
      </w:rPr>
    </w:lvl>
    <w:lvl w:ilvl="3" w:tplc="041A0001" w:tentative="1">
      <w:start w:val="1"/>
      <w:numFmt w:val="bullet"/>
      <w:lvlText w:val=""/>
      <w:lvlJc w:val="left"/>
      <w:pPr>
        <w:ind w:left="3810" w:hanging="360"/>
      </w:pPr>
      <w:rPr>
        <w:rFonts w:ascii="Symbol" w:hAnsi="Symbol" w:hint="default"/>
      </w:rPr>
    </w:lvl>
    <w:lvl w:ilvl="4" w:tplc="041A0003" w:tentative="1">
      <w:start w:val="1"/>
      <w:numFmt w:val="bullet"/>
      <w:lvlText w:val="o"/>
      <w:lvlJc w:val="left"/>
      <w:pPr>
        <w:ind w:left="4530" w:hanging="360"/>
      </w:pPr>
      <w:rPr>
        <w:rFonts w:ascii="Courier New" w:hAnsi="Courier New" w:cs="Courier New" w:hint="default"/>
      </w:rPr>
    </w:lvl>
    <w:lvl w:ilvl="5" w:tplc="041A0005" w:tentative="1">
      <w:start w:val="1"/>
      <w:numFmt w:val="bullet"/>
      <w:lvlText w:val=""/>
      <w:lvlJc w:val="left"/>
      <w:pPr>
        <w:ind w:left="5250" w:hanging="360"/>
      </w:pPr>
      <w:rPr>
        <w:rFonts w:ascii="Wingdings" w:hAnsi="Wingdings" w:hint="default"/>
      </w:rPr>
    </w:lvl>
    <w:lvl w:ilvl="6" w:tplc="041A0001" w:tentative="1">
      <w:start w:val="1"/>
      <w:numFmt w:val="bullet"/>
      <w:lvlText w:val=""/>
      <w:lvlJc w:val="left"/>
      <w:pPr>
        <w:ind w:left="5970" w:hanging="360"/>
      </w:pPr>
      <w:rPr>
        <w:rFonts w:ascii="Symbol" w:hAnsi="Symbol" w:hint="default"/>
      </w:rPr>
    </w:lvl>
    <w:lvl w:ilvl="7" w:tplc="041A0003" w:tentative="1">
      <w:start w:val="1"/>
      <w:numFmt w:val="bullet"/>
      <w:lvlText w:val="o"/>
      <w:lvlJc w:val="left"/>
      <w:pPr>
        <w:ind w:left="6690" w:hanging="360"/>
      </w:pPr>
      <w:rPr>
        <w:rFonts w:ascii="Courier New" w:hAnsi="Courier New" w:cs="Courier New" w:hint="default"/>
      </w:rPr>
    </w:lvl>
    <w:lvl w:ilvl="8" w:tplc="041A0005" w:tentative="1">
      <w:start w:val="1"/>
      <w:numFmt w:val="bullet"/>
      <w:lvlText w:val=""/>
      <w:lvlJc w:val="left"/>
      <w:pPr>
        <w:ind w:left="7410" w:hanging="360"/>
      </w:pPr>
      <w:rPr>
        <w:rFonts w:ascii="Wingdings" w:hAnsi="Wingdings" w:hint="default"/>
      </w:rPr>
    </w:lvl>
  </w:abstractNum>
  <w:abstractNum w:abstractNumId="61" w15:restartNumberingAfterBreak="0">
    <w:nsid w:val="4A61364E"/>
    <w:multiLevelType w:val="hybridMultilevel"/>
    <w:tmpl w:val="6C80084E"/>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4B1704A4"/>
    <w:multiLevelType w:val="multilevel"/>
    <w:tmpl w:val="50AC40D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4C6D4680"/>
    <w:multiLevelType w:val="hybridMultilevel"/>
    <w:tmpl w:val="FD347504"/>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4" w15:restartNumberingAfterBreak="0">
    <w:nsid w:val="4D2F45B2"/>
    <w:multiLevelType w:val="multilevel"/>
    <w:tmpl w:val="8DC649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4E6F317F"/>
    <w:multiLevelType w:val="hybridMultilevel"/>
    <w:tmpl w:val="FEB05B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53790321"/>
    <w:multiLevelType w:val="multilevel"/>
    <w:tmpl w:val="52CCE7E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53924003"/>
    <w:multiLevelType w:val="hybridMultilevel"/>
    <w:tmpl w:val="0C268728"/>
    <w:lvl w:ilvl="0" w:tplc="A9825890">
      <w:start w:val="6"/>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15:restartNumberingAfterBreak="0">
    <w:nsid w:val="54423CFD"/>
    <w:multiLevelType w:val="hybridMultilevel"/>
    <w:tmpl w:val="567E70A0"/>
    <w:lvl w:ilvl="0" w:tplc="1EB8F3E8">
      <w:start w:val="1"/>
      <w:numFmt w:val="lowerLetter"/>
      <w:lvlText w:val="%1)"/>
      <w:lvlJc w:val="left"/>
      <w:pPr>
        <w:ind w:left="1070" w:hanging="360"/>
      </w:pPr>
      <w:rPr>
        <w:rFonts w:hint="default"/>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548C4FCC"/>
    <w:multiLevelType w:val="hybridMultilevel"/>
    <w:tmpl w:val="2C925A18"/>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70" w15:restartNumberingAfterBreak="0">
    <w:nsid w:val="58C66331"/>
    <w:multiLevelType w:val="hybridMultilevel"/>
    <w:tmpl w:val="2842DA64"/>
    <w:lvl w:ilvl="0" w:tplc="15DC1396">
      <w:start w:val="3"/>
      <w:numFmt w:val="lowerLetter"/>
      <w:lvlText w:val="%1)"/>
      <w:lvlJc w:val="left"/>
      <w:pPr>
        <w:ind w:left="360" w:hanging="360"/>
      </w:pPr>
      <w:rPr>
        <w:rFonts w:cs="Arial" w:hint="default"/>
        <w:i/>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1" w15:restartNumberingAfterBreak="0">
    <w:nsid w:val="59C80450"/>
    <w:multiLevelType w:val="hybridMultilevel"/>
    <w:tmpl w:val="3ED4951A"/>
    <w:lvl w:ilvl="0" w:tplc="AFD297EE">
      <w:start w:val="1"/>
      <w:numFmt w:val="bullet"/>
      <w:lvlText w:val=""/>
      <w:lvlJc w:val="left"/>
      <w:pPr>
        <w:ind w:left="1080" w:hanging="360"/>
      </w:pPr>
      <w:rPr>
        <w:rFonts w:ascii="Symbol" w:hAnsi="Symbol" w:hint="default"/>
        <w:b w:val="0"/>
        <w:sz w:val="20"/>
        <w:szCs w:val="20"/>
        <w:lang w:val="en-GB"/>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72" w15:restartNumberingAfterBreak="0">
    <w:nsid w:val="59DB7E57"/>
    <w:multiLevelType w:val="hybridMultilevel"/>
    <w:tmpl w:val="2BD039A6"/>
    <w:lvl w:ilvl="0" w:tplc="63B24410">
      <w:start w:val="1"/>
      <w:numFmt w:val="bullet"/>
      <w:lvlText w:val=""/>
      <w:lvlJc w:val="left"/>
      <w:pPr>
        <w:tabs>
          <w:tab w:val="num" w:pos="1068"/>
        </w:tabs>
        <w:ind w:left="1068" w:hanging="360"/>
      </w:pPr>
      <w:rPr>
        <w:rFonts w:ascii="Symbol" w:hAnsi="Symbol" w:hint="default"/>
      </w:rPr>
    </w:lvl>
    <w:lvl w:ilvl="1" w:tplc="63B24410">
      <w:start w:val="1"/>
      <w:numFmt w:val="bullet"/>
      <w:lvlText w:val=""/>
      <w:lvlJc w:val="left"/>
      <w:pPr>
        <w:tabs>
          <w:tab w:val="num" w:pos="1788"/>
        </w:tabs>
        <w:ind w:left="1788" w:hanging="360"/>
      </w:pPr>
      <w:rPr>
        <w:rFonts w:ascii="Symbol" w:hAnsi="Symbol"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73" w15:restartNumberingAfterBreak="0">
    <w:nsid w:val="5BB20D62"/>
    <w:multiLevelType w:val="hybridMultilevel"/>
    <w:tmpl w:val="13C49E5E"/>
    <w:lvl w:ilvl="0" w:tplc="041A0001">
      <w:start w:val="1"/>
      <w:numFmt w:val="bullet"/>
      <w:lvlText w:val=""/>
      <w:lvlJc w:val="left"/>
      <w:pPr>
        <w:ind w:left="1362" w:hanging="360"/>
      </w:pPr>
      <w:rPr>
        <w:rFonts w:ascii="Symbol" w:hAnsi="Symbol" w:hint="default"/>
      </w:rPr>
    </w:lvl>
    <w:lvl w:ilvl="1" w:tplc="54E41676">
      <w:numFmt w:val="bullet"/>
      <w:lvlText w:val="–"/>
      <w:lvlJc w:val="left"/>
      <w:pPr>
        <w:ind w:left="2082" w:hanging="360"/>
      </w:pPr>
      <w:rPr>
        <w:rFonts w:ascii="Times New Roman" w:eastAsia="Times New Roman" w:hAnsi="Times New Roman" w:cs="Times New Roman" w:hint="default"/>
      </w:rPr>
    </w:lvl>
    <w:lvl w:ilvl="2" w:tplc="041A0005">
      <w:start w:val="1"/>
      <w:numFmt w:val="bullet"/>
      <w:lvlText w:val=""/>
      <w:lvlJc w:val="left"/>
      <w:pPr>
        <w:ind w:left="2802" w:hanging="360"/>
      </w:pPr>
      <w:rPr>
        <w:rFonts w:ascii="Wingdings" w:hAnsi="Wingdings" w:hint="default"/>
      </w:rPr>
    </w:lvl>
    <w:lvl w:ilvl="3" w:tplc="041A0001">
      <w:start w:val="1"/>
      <w:numFmt w:val="bullet"/>
      <w:lvlText w:val=""/>
      <w:lvlJc w:val="left"/>
      <w:pPr>
        <w:ind w:left="3522" w:hanging="360"/>
      </w:pPr>
      <w:rPr>
        <w:rFonts w:ascii="Symbol" w:hAnsi="Symbol" w:hint="default"/>
      </w:rPr>
    </w:lvl>
    <w:lvl w:ilvl="4" w:tplc="041A0003">
      <w:start w:val="1"/>
      <w:numFmt w:val="bullet"/>
      <w:lvlText w:val="o"/>
      <w:lvlJc w:val="left"/>
      <w:pPr>
        <w:ind w:left="4242" w:hanging="360"/>
      </w:pPr>
      <w:rPr>
        <w:rFonts w:ascii="Courier New" w:hAnsi="Courier New" w:cs="Courier New" w:hint="default"/>
      </w:rPr>
    </w:lvl>
    <w:lvl w:ilvl="5" w:tplc="041A0005">
      <w:start w:val="1"/>
      <w:numFmt w:val="bullet"/>
      <w:lvlText w:val=""/>
      <w:lvlJc w:val="left"/>
      <w:pPr>
        <w:ind w:left="4962" w:hanging="360"/>
      </w:pPr>
      <w:rPr>
        <w:rFonts w:ascii="Wingdings" w:hAnsi="Wingdings" w:hint="default"/>
      </w:rPr>
    </w:lvl>
    <w:lvl w:ilvl="6" w:tplc="041A0001">
      <w:start w:val="1"/>
      <w:numFmt w:val="bullet"/>
      <w:lvlText w:val=""/>
      <w:lvlJc w:val="left"/>
      <w:pPr>
        <w:ind w:left="5682" w:hanging="360"/>
      </w:pPr>
      <w:rPr>
        <w:rFonts w:ascii="Symbol" w:hAnsi="Symbol" w:hint="default"/>
      </w:rPr>
    </w:lvl>
    <w:lvl w:ilvl="7" w:tplc="041A0003">
      <w:start w:val="1"/>
      <w:numFmt w:val="bullet"/>
      <w:lvlText w:val="o"/>
      <w:lvlJc w:val="left"/>
      <w:pPr>
        <w:ind w:left="6402" w:hanging="360"/>
      </w:pPr>
      <w:rPr>
        <w:rFonts w:ascii="Courier New" w:hAnsi="Courier New" w:cs="Courier New" w:hint="default"/>
      </w:rPr>
    </w:lvl>
    <w:lvl w:ilvl="8" w:tplc="041A0005">
      <w:start w:val="1"/>
      <w:numFmt w:val="bullet"/>
      <w:lvlText w:val=""/>
      <w:lvlJc w:val="left"/>
      <w:pPr>
        <w:ind w:left="7122" w:hanging="360"/>
      </w:pPr>
      <w:rPr>
        <w:rFonts w:ascii="Wingdings" w:hAnsi="Wingdings" w:hint="default"/>
      </w:rPr>
    </w:lvl>
  </w:abstractNum>
  <w:abstractNum w:abstractNumId="74" w15:restartNumberingAfterBreak="0">
    <w:nsid w:val="5D4D27CF"/>
    <w:multiLevelType w:val="hybridMultilevel"/>
    <w:tmpl w:val="7F880DEE"/>
    <w:lvl w:ilvl="0" w:tplc="DC1800CE">
      <w:numFmt w:val="bullet"/>
      <w:lvlText w:val=""/>
      <w:lvlJc w:val="left"/>
      <w:pPr>
        <w:ind w:left="720" w:hanging="360"/>
      </w:pPr>
      <w:rPr>
        <w:rFonts w:ascii="Symbol" w:eastAsia="Times New Roman"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5F337175"/>
    <w:multiLevelType w:val="hybridMultilevel"/>
    <w:tmpl w:val="E3E8EE18"/>
    <w:lvl w:ilvl="0" w:tplc="63B24410">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6" w15:restartNumberingAfterBreak="0">
    <w:nsid w:val="621F034C"/>
    <w:multiLevelType w:val="hybridMultilevel"/>
    <w:tmpl w:val="6F14C9F2"/>
    <w:lvl w:ilvl="0" w:tplc="041A000F">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15:restartNumberingAfterBreak="0">
    <w:nsid w:val="62570093"/>
    <w:multiLevelType w:val="hybridMultilevel"/>
    <w:tmpl w:val="63FADCE8"/>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62CA1A04"/>
    <w:multiLevelType w:val="hybridMultilevel"/>
    <w:tmpl w:val="85D6DED4"/>
    <w:lvl w:ilvl="0" w:tplc="63B24410">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9" w15:restartNumberingAfterBreak="0">
    <w:nsid w:val="645F6DC0"/>
    <w:multiLevelType w:val="hybridMultilevel"/>
    <w:tmpl w:val="D9D0C2D8"/>
    <w:lvl w:ilvl="0" w:tplc="5350ADBE">
      <w:numFmt w:val="bullet"/>
      <w:lvlText w:val="-"/>
      <w:lvlJc w:val="left"/>
      <w:pPr>
        <w:ind w:left="1211" w:hanging="360"/>
      </w:pPr>
      <w:rPr>
        <w:rFonts w:ascii="Calibri" w:eastAsia="Times New Roman" w:hAnsi="Calibri" w:cs="Arial" w:hint="default"/>
      </w:rPr>
    </w:lvl>
    <w:lvl w:ilvl="1" w:tplc="041A0003" w:tentative="1">
      <w:start w:val="1"/>
      <w:numFmt w:val="bullet"/>
      <w:lvlText w:val="o"/>
      <w:lvlJc w:val="left"/>
      <w:pPr>
        <w:ind w:left="1931" w:hanging="360"/>
      </w:pPr>
      <w:rPr>
        <w:rFonts w:ascii="Courier New" w:hAnsi="Courier New" w:cs="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cs="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cs="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80" w15:restartNumberingAfterBreak="0">
    <w:nsid w:val="646E200D"/>
    <w:multiLevelType w:val="hybridMultilevel"/>
    <w:tmpl w:val="9AB0FB56"/>
    <w:lvl w:ilvl="0" w:tplc="214CE132">
      <w:start w:val="1"/>
      <w:numFmt w:val="bullet"/>
      <w:lvlText w:val=""/>
      <w:lvlJc w:val="left"/>
      <w:pPr>
        <w:ind w:left="1778" w:hanging="360"/>
      </w:pPr>
      <w:rPr>
        <w:rFonts w:ascii="Symbol" w:hAnsi="Symbol" w:hint="default"/>
        <w:color w:val="auto"/>
      </w:rPr>
    </w:lvl>
    <w:lvl w:ilvl="1" w:tplc="041A0003">
      <w:start w:val="1"/>
      <w:numFmt w:val="bullet"/>
      <w:lvlText w:val="o"/>
      <w:lvlJc w:val="left"/>
      <w:pPr>
        <w:ind w:left="2498" w:hanging="360"/>
      </w:pPr>
      <w:rPr>
        <w:rFonts w:ascii="Courier New" w:hAnsi="Courier New" w:cs="Courier New" w:hint="default"/>
      </w:rPr>
    </w:lvl>
    <w:lvl w:ilvl="2" w:tplc="041A0005">
      <w:start w:val="1"/>
      <w:numFmt w:val="bullet"/>
      <w:lvlText w:val=""/>
      <w:lvlJc w:val="left"/>
      <w:pPr>
        <w:ind w:left="3218" w:hanging="360"/>
      </w:pPr>
      <w:rPr>
        <w:rFonts w:ascii="Wingdings" w:hAnsi="Wingdings" w:hint="default"/>
      </w:rPr>
    </w:lvl>
    <w:lvl w:ilvl="3" w:tplc="041A0001">
      <w:start w:val="1"/>
      <w:numFmt w:val="bullet"/>
      <w:lvlText w:val=""/>
      <w:lvlJc w:val="left"/>
      <w:pPr>
        <w:ind w:left="3938" w:hanging="360"/>
      </w:pPr>
      <w:rPr>
        <w:rFonts w:ascii="Symbol" w:hAnsi="Symbol" w:hint="default"/>
      </w:rPr>
    </w:lvl>
    <w:lvl w:ilvl="4" w:tplc="041A0003">
      <w:start w:val="1"/>
      <w:numFmt w:val="bullet"/>
      <w:lvlText w:val="o"/>
      <w:lvlJc w:val="left"/>
      <w:pPr>
        <w:ind w:left="4658" w:hanging="360"/>
      </w:pPr>
      <w:rPr>
        <w:rFonts w:ascii="Courier New" w:hAnsi="Courier New" w:cs="Courier New" w:hint="default"/>
      </w:rPr>
    </w:lvl>
    <w:lvl w:ilvl="5" w:tplc="041A0005">
      <w:start w:val="1"/>
      <w:numFmt w:val="bullet"/>
      <w:lvlText w:val=""/>
      <w:lvlJc w:val="left"/>
      <w:pPr>
        <w:ind w:left="5378" w:hanging="360"/>
      </w:pPr>
      <w:rPr>
        <w:rFonts w:ascii="Wingdings" w:hAnsi="Wingdings" w:hint="default"/>
      </w:rPr>
    </w:lvl>
    <w:lvl w:ilvl="6" w:tplc="041A0001">
      <w:start w:val="1"/>
      <w:numFmt w:val="bullet"/>
      <w:lvlText w:val=""/>
      <w:lvlJc w:val="left"/>
      <w:pPr>
        <w:ind w:left="6098" w:hanging="360"/>
      </w:pPr>
      <w:rPr>
        <w:rFonts w:ascii="Symbol" w:hAnsi="Symbol" w:hint="default"/>
      </w:rPr>
    </w:lvl>
    <w:lvl w:ilvl="7" w:tplc="041A0003">
      <w:start w:val="1"/>
      <w:numFmt w:val="bullet"/>
      <w:lvlText w:val="o"/>
      <w:lvlJc w:val="left"/>
      <w:pPr>
        <w:ind w:left="6818" w:hanging="360"/>
      </w:pPr>
      <w:rPr>
        <w:rFonts w:ascii="Courier New" w:hAnsi="Courier New" w:cs="Courier New" w:hint="default"/>
      </w:rPr>
    </w:lvl>
    <w:lvl w:ilvl="8" w:tplc="041A0005">
      <w:start w:val="1"/>
      <w:numFmt w:val="bullet"/>
      <w:lvlText w:val=""/>
      <w:lvlJc w:val="left"/>
      <w:pPr>
        <w:ind w:left="7538" w:hanging="360"/>
      </w:pPr>
      <w:rPr>
        <w:rFonts w:ascii="Wingdings" w:hAnsi="Wingdings" w:hint="default"/>
      </w:rPr>
    </w:lvl>
  </w:abstractNum>
  <w:abstractNum w:abstractNumId="81" w15:restartNumberingAfterBreak="0">
    <w:nsid w:val="64F54615"/>
    <w:multiLevelType w:val="hybridMultilevel"/>
    <w:tmpl w:val="91FC0BF6"/>
    <w:lvl w:ilvl="0" w:tplc="041A0001">
      <w:start w:val="1"/>
      <w:numFmt w:val="bullet"/>
      <w:lvlText w:val=""/>
      <w:lvlJc w:val="left"/>
      <w:pPr>
        <w:ind w:left="800" w:hanging="360"/>
      </w:pPr>
      <w:rPr>
        <w:rFonts w:ascii="Symbol" w:hAnsi="Symbol" w:hint="default"/>
      </w:rPr>
    </w:lvl>
    <w:lvl w:ilvl="1" w:tplc="041A0001">
      <w:start w:val="1"/>
      <w:numFmt w:val="bullet"/>
      <w:lvlText w:val=""/>
      <w:lvlJc w:val="left"/>
      <w:pPr>
        <w:ind w:left="1240" w:hanging="360"/>
      </w:pPr>
      <w:rPr>
        <w:rFonts w:ascii="Symbol" w:hAnsi="Symbol"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82" w15:restartNumberingAfterBreak="0">
    <w:nsid w:val="65897F86"/>
    <w:multiLevelType w:val="multilevel"/>
    <w:tmpl w:val="50AC40D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69C31FA0"/>
    <w:multiLevelType w:val="hybridMultilevel"/>
    <w:tmpl w:val="94AAB0E6"/>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4" w15:restartNumberingAfterBreak="0">
    <w:nsid w:val="6A190C29"/>
    <w:multiLevelType w:val="hybridMultilevel"/>
    <w:tmpl w:val="C8586FC6"/>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15:restartNumberingAfterBreak="0">
    <w:nsid w:val="6B197C5F"/>
    <w:multiLevelType w:val="hybridMultilevel"/>
    <w:tmpl w:val="2250DA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6" w15:restartNumberingAfterBreak="0">
    <w:nsid w:val="6CC333FB"/>
    <w:multiLevelType w:val="hybridMultilevel"/>
    <w:tmpl w:val="E1B8F2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15:restartNumberingAfterBreak="0">
    <w:nsid w:val="6D233163"/>
    <w:multiLevelType w:val="hybridMultilevel"/>
    <w:tmpl w:val="E8523CBE"/>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15:restartNumberingAfterBreak="0">
    <w:nsid w:val="6D510870"/>
    <w:multiLevelType w:val="multilevel"/>
    <w:tmpl w:val="8DC649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6D5C33FB"/>
    <w:multiLevelType w:val="hybridMultilevel"/>
    <w:tmpl w:val="20C231E4"/>
    <w:lvl w:ilvl="0" w:tplc="DC1800CE">
      <w:numFmt w:val="bullet"/>
      <w:lvlText w:val=""/>
      <w:lvlJc w:val="left"/>
      <w:pPr>
        <w:tabs>
          <w:tab w:val="num" w:pos="720"/>
        </w:tabs>
        <w:ind w:left="720" w:hanging="360"/>
      </w:pPr>
      <w:rPr>
        <w:rFonts w:ascii="Symbol" w:eastAsia="Times New Roman" w:hAnsi="Symbol" w:hint="default"/>
        <w:b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EBD112B"/>
    <w:multiLevelType w:val="hybridMultilevel"/>
    <w:tmpl w:val="8A905A5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1" w15:restartNumberingAfterBreak="0">
    <w:nsid w:val="6F5310B8"/>
    <w:multiLevelType w:val="hybridMultilevel"/>
    <w:tmpl w:val="51CA41F8"/>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2" w15:restartNumberingAfterBreak="0">
    <w:nsid w:val="703B6434"/>
    <w:multiLevelType w:val="multilevel"/>
    <w:tmpl w:val="E91ECE24"/>
    <w:lvl w:ilvl="0">
      <w:start w:val="1"/>
      <w:numFmt w:val="decimal"/>
      <w:pStyle w:val="Level1"/>
      <w:lvlText w:val="%1"/>
      <w:lvlJc w:val="left"/>
      <w:pPr>
        <w:tabs>
          <w:tab w:val="num" w:pos="680"/>
        </w:tabs>
        <w:ind w:left="680" w:hanging="680"/>
      </w:pPr>
      <w:rPr>
        <w:rFonts w:ascii="Arial" w:hAnsi="Arial" w:hint="default"/>
        <w:b/>
        <w:i w:val="0"/>
        <w:sz w:val="22"/>
      </w:rPr>
    </w:lvl>
    <w:lvl w:ilvl="1">
      <w:start w:val="1"/>
      <w:numFmt w:val="decimal"/>
      <w:pStyle w:val="Level2"/>
      <w:lvlText w:val="%1.%2"/>
      <w:lvlJc w:val="left"/>
      <w:pPr>
        <w:tabs>
          <w:tab w:val="num" w:pos="680"/>
        </w:tabs>
        <w:ind w:left="680" w:hanging="680"/>
      </w:pPr>
      <w:rPr>
        <w:rFonts w:ascii="Arial" w:hAnsi="Arial" w:hint="default"/>
        <w:b/>
        <w:i w:val="0"/>
        <w:sz w:val="21"/>
      </w:rPr>
    </w:lvl>
    <w:lvl w:ilvl="2">
      <w:start w:val="1"/>
      <w:numFmt w:val="decimal"/>
      <w:pStyle w:val="Level3"/>
      <w:lvlText w:val="%1.%2.%3"/>
      <w:lvlJc w:val="left"/>
      <w:pPr>
        <w:tabs>
          <w:tab w:val="num" w:pos="1361"/>
        </w:tabs>
        <w:ind w:left="1361" w:hanging="681"/>
      </w:pPr>
      <w:rPr>
        <w:rFonts w:ascii="Arial" w:hAnsi="Arial" w:hint="default"/>
        <w:b/>
        <w:i w:val="0"/>
        <w:sz w:val="17"/>
      </w:rPr>
    </w:lvl>
    <w:lvl w:ilvl="3">
      <w:start w:val="1"/>
      <w:numFmt w:val="lowerRoman"/>
      <w:pStyle w:val="Level4"/>
      <w:lvlText w:val="(%4)"/>
      <w:lvlJc w:val="left"/>
      <w:pPr>
        <w:tabs>
          <w:tab w:val="num" w:pos="2041"/>
        </w:tabs>
        <w:ind w:left="2041" w:hanging="680"/>
      </w:pPr>
      <w:rPr>
        <w:rFonts w:ascii="Arial" w:hAnsi="Arial" w:hint="default"/>
        <w:b w:val="0"/>
        <w:i w:val="0"/>
        <w:sz w:val="20"/>
      </w:rPr>
    </w:lvl>
    <w:lvl w:ilvl="4">
      <w:start w:val="1"/>
      <w:numFmt w:val="lowerLetter"/>
      <w:pStyle w:val="Level5"/>
      <w:lvlText w:val="(%5)"/>
      <w:lvlJc w:val="left"/>
      <w:pPr>
        <w:tabs>
          <w:tab w:val="num" w:pos="2608"/>
        </w:tabs>
        <w:ind w:left="2608" w:hanging="567"/>
      </w:pPr>
      <w:rPr>
        <w:rFonts w:ascii="Arial" w:hAnsi="Arial" w:hint="default"/>
        <w:b w:val="0"/>
        <w:i w:val="0"/>
        <w:sz w:val="20"/>
      </w:rPr>
    </w:lvl>
    <w:lvl w:ilvl="5">
      <w:start w:val="1"/>
      <w:numFmt w:val="upperRoman"/>
      <w:pStyle w:val="Level6"/>
      <w:lvlText w:val="(%6)"/>
      <w:lvlJc w:val="left"/>
      <w:pPr>
        <w:tabs>
          <w:tab w:val="num" w:pos="3289"/>
        </w:tabs>
        <w:ind w:left="3289" w:hanging="681"/>
      </w:pPr>
      <w:rPr>
        <w:rFonts w:ascii="Arial" w:hAnsi="Arial" w:hint="default"/>
        <w:b w:val="0"/>
        <w:i w:val="0"/>
        <w:sz w:val="20"/>
      </w:r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93" w15:restartNumberingAfterBreak="0">
    <w:nsid w:val="721263C8"/>
    <w:multiLevelType w:val="multilevel"/>
    <w:tmpl w:val="B5E6D71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3F4313F"/>
    <w:multiLevelType w:val="hybridMultilevel"/>
    <w:tmpl w:val="C8586FC6"/>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5" w15:restartNumberingAfterBreak="0">
    <w:nsid w:val="74193AE0"/>
    <w:multiLevelType w:val="hybridMultilevel"/>
    <w:tmpl w:val="B5D2D74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15:restartNumberingAfterBreak="0">
    <w:nsid w:val="7490041B"/>
    <w:multiLevelType w:val="hybridMultilevel"/>
    <w:tmpl w:val="4830AAA6"/>
    <w:lvl w:ilvl="0" w:tplc="041A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7" w15:restartNumberingAfterBreak="0">
    <w:nsid w:val="75D70B19"/>
    <w:multiLevelType w:val="hybridMultilevel"/>
    <w:tmpl w:val="6012286C"/>
    <w:lvl w:ilvl="0" w:tplc="268AF368">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98" w15:restartNumberingAfterBreak="0">
    <w:nsid w:val="76492575"/>
    <w:multiLevelType w:val="multilevel"/>
    <w:tmpl w:val="57CE0C3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93C3E42"/>
    <w:multiLevelType w:val="hybridMultilevel"/>
    <w:tmpl w:val="1D2EEF98"/>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100" w15:restartNumberingAfterBreak="0">
    <w:nsid w:val="79DE0BB0"/>
    <w:multiLevelType w:val="hybridMultilevel"/>
    <w:tmpl w:val="7D72FD62"/>
    <w:lvl w:ilvl="0" w:tplc="D242C148">
      <w:start w:val="2"/>
      <w:numFmt w:val="lowerLetter"/>
      <w:lvlText w:val="%1)"/>
      <w:lvlJc w:val="left"/>
      <w:pPr>
        <w:ind w:left="1146" w:hanging="360"/>
      </w:pPr>
      <w:rPr>
        <w:rFonts w:cs="Arial" w:hint="default"/>
        <w:i/>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01" w15:restartNumberingAfterBreak="0">
    <w:nsid w:val="7A0F5198"/>
    <w:multiLevelType w:val="hybridMultilevel"/>
    <w:tmpl w:val="BB1827F6"/>
    <w:lvl w:ilvl="0" w:tplc="B614A01C">
      <w:start w:val="26"/>
      <w:numFmt w:val="bullet"/>
      <w:lvlText w:val="-"/>
      <w:lvlJc w:val="left"/>
      <w:pPr>
        <w:tabs>
          <w:tab w:val="num" w:pos="360"/>
        </w:tabs>
        <w:ind w:left="360" w:hanging="360"/>
      </w:pPr>
      <w:rPr>
        <w:rFonts w:ascii="Arial" w:eastAsia="Times New Roman" w:hAnsi="Arial" w:cs="Arial"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02" w15:restartNumberingAfterBreak="0">
    <w:nsid w:val="7B4D01B2"/>
    <w:multiLevelType w:val="hybridMultilevel"/>
    <w:tmpl w:val="60BED260"/>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7E0308BD"/>
    <w:multiLevelType w:val="hybridMultilevel"/>
    <w:tmpl w:val="DF507CA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4" w15:restartNumberingAfterBreak="0">
    <w:nsid w:val="7F082A10"/>
    <w:multiLevelType w:val="hybridMultilevel"/>
    <w:tmpl w:val="A22C1C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5" w15:restartNumberingAfterBreak="0">
    <w:nsid w:val="7F803546"/>
    <w:multiLevelType w:val="multilevel"/>
    <w:tmpl w:val="0988E6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5"/>
  </w:num>
  <w:num w:numId="2">
    <w:abstractNumId w:val="102"/>
  </w:num>
  <w:num w:numId="3">
    <w:abstractNumId w:val="29"/>
  </w:num>
  <w:num w:numId="4">
    <w:abstractNumId w:val="30"/>
  </w:num>
  <w:num w:numId="5">
    <w:abstractNumId w:val="89"/>
  </w:num>
  <w:num w:numId="6">
    <w:abstractNumId w:val="21"/>
  </w:num>
  <w:num w:numId="7">
    <w:abstractNumId w:val="58"/>
  </w:num>
  <w:num w:numId="8">
    <w:abstractNumId w:val="41"/>
  </w:num>
  <w:num w:numId="9">
    <w:abstractNumId w:val="8"/>
  </w:num>
  <w:num w:numId="10">
    <w:abstractNumId w:val="50"/>
  </w:num>
  <w:num w:numId="11">
    <w:abstractNumId w:val="19"/>
  </w:num>
  <w:num w:numId="12">
    <w:abstractNumId w:val="75"/>
  </w:num>
  <w:num w:numId="13">
    <w:abstractNumId w:val="78"/>
  </w:num>
  <w:num w:numId="14">
    <w:abstractNumId w:val="63"/>
  </w:num>
  <w:num w:numId="15">
    <w:abstractNumId w:val="35"/>
  </w:num>
  <w:num w:numId="16">
    <w:abstractNumId w:val="23"/>
  </w:num>
  <w:num w:numId="17">
    <w:abstractNumId w:val="83"/>
  </w:num>
  <w:num w:numId="18">
    <w:abstractNumId w:val="88"/>
  </w:num>
  <w:num w:numId="19">
    <w:abstractNumId w:val="91"/>
  </w:num>
  <w:num w:numId="20">
    <w:abstractNumId w:val="11"/>
  </w:num>
  <w:num w:numId="21">
    <w:abstractNumId w:val="6"/>
  </w:num>
  <w:num w:numId="22">
    <w:abstractNumId w:val="101"/>
  </w:num>
  <w:num w:numId="23">
    <w:abstractNumId w:val="33"/>
  </w:num>
  <w:num w:numId="24">
    <w:abstractNumId w:val="45"/>
  </w:num>
  <w:num w:numId="25">
    <w:abstractNumId w:val="24"/>
  </w:num>
  <w:num w:numId="26">
    <w:abstractNumId w:val="18"/>
  </w:num>
  <w:num w:numId="27">
    <w:abstractNumId w:val="25"/>
  </w:num>
  <w:num w:numId="28">
    <w:abstractNumId w:val="82"/>
  </w:num>
  <w:num w:numId="29">
    <w:abstractNumId w:val="44"/>
  </w:num>
  <w:num w:numId="30">
    <w:abstractNumId w:val="105"/>
  </w:num>
  <w:num w:numId="31">
    <w:abstractNumId w:val="13"/>
  </w:num>
  <w:num w:numId="32">
    <w:abstractNumId w:val="27"/>
  </w:num>
  <w:num w:numId="33">
    <w:abstractNumId w:val="34"/>
  </w:num>
  <w:num w:numId="34">
    <w:abstractNumId w:val="62"/>
  </w:num>
  <w:num w:numId="35">
    <w:abstractNumId w:val="32"/>
  </w:num>
  <w:num w:numId="36">
    <w:abstractNumId w:val="86"/>
  </w:num>
  <w:num w:numId="37">
    <w:abstractNumId w:val="22"/>
  </w:num>
  <w:num w:numId="38">
    <w:abstractNumId w:val="95"/>
  </w:num>
  <w:num w:numId="39">
    <w:abstractNumId w:val="67"/>
  </w:num>
  <w:num w:numId="40">
    <w:abstractNumId w:val="9"/>
  </w:num>
  <w:num w:numId="41">
    <w:abstractNumId w:val="51"/>
  </w:num>
  <w:num w:numId="42">
    <w:abstractNumId w:val="38"/>
  </w:num>
  <w:num w:numId="43">
    <w:abstractNumId w:val="92"/>
  </w:num>
  <w:num w:numId="44">
    <w:abstractNumId w:val="76"/>
  </w:num>
  <w:num w:numId="45">
    <w:abstractNumId w:val="72"/>
  </w:num>
  <w:num w:numId="46">
    <w:abstractNumId w:val="96"/>
  </w:num>
  <w:num w:numId="47">
    <w:abstractNumId w:val="99"/>
  </w:num>
  <w:num w:numId="48">
    <w:abstractNumId w:val="81"/>
  </w:num>
  <w:num w:numId="49">
    <w:abstractNumId w:val="73"/>
  </w:num>
  <w:num w:numId="50">
    <w:abstractNumId w:val="71"/>
  </w:num>
  <w:num w:numId="51">
    <w:abstractNumId w:val="69"/>
  </w:num>
  <w:num w:numId="52">
    <w:abstractNumId w:val="80"/>
  </w:num>
  <w:num w:numId="53">
    <w:abstractNumId w:val="52"/>
  </w:num>
  <w:num w:numId="54">
    <w:abstractNumId w:val="0"/>
  </w:num>
  <w:num w:numId="55">
    <w:abstractNumId w:val="64"/>
  </w:num>
  <w:num w:numId="56">
    <w:abstractNumId w:val="38"/>
  </w:num>
  <w:num w:numId="57">
    <w:abstractNumId w:val="50"/>
  </w:num>
  <w:num w:numId="58">
    <w:abstractNumId w:val="12"/>
  </w:num>
  <w:num w:numId="59">
    <w:abstractNumId w:val="47"/>
  </w:num>
  <w:num w:numId="60">
    <w:abstractNumId w:val="4"/>
  </w:num>
  <w:num w:numId="61">
    <w:abstractNumId w:val="74"/>
  </w:num>
  <w:num w:numId="62">
    <w:abstractNumId w:val="54"/>
  </w:num>
  <w:num w:numId="63">
    <w:abstractNumId w:val="49"/>
  </w:num>
  <w:num w:numId="64">
    <w:abstractNumId w:val="56"/>
  </w:num>
  <w:num w:numId="65">
    <w:abstractNumId w:val="15"/>
  </w:num>
  <w:num w:numId="66">
    <w:abstractNumId w:val="43"/>
  </w:num>
  <w:num w:numId="67">
    <w:abstractNumId w:val="16"/>
  </w:num>
  <w:num w:numId="68">
    <w:abstractNumId w:val="68"/>
  </w:num>
  <w:num w:numId="69">
    <w:abstractNumId w:val="60"/>
  </w:num>
  <w:num w:numId="70">
    <w:abstractNumId w:val="20"/>
  </w:num>
  <w:num w:numId="71">
    <w:abstractNumId w:val="14"/>
  </w:num>
  <w:num w:numId="72">
    <w:abstractNumId w:val="10"/>
  </w:num>
  <w:num w:numId="73">
    <w:abstractNumId w:val="57"/>
  </w:num>
  <w:num w:numId="74">
    <w:abstractNumId w:val="46"/>
  </w:num>
  <w:num w:numId="75">
    <w:abstractNumId w:val="59"/>
  </w:num>
  <w:num w:numId="76">
    <w:abstractNumId w:val="28"/>
  </w:num>
  <w:num w:numId="77">
    <w:abstractNumId w:val="79"/>
  </w:num>
  <w:num w:numId="78">
    <w:abstractNumId w:val="3"/>
  </w:num>
  <w:num w:numId="79">
    <w:abstractNumId w:val="5"/>
  </w:num>
  <w:num w:numId="80">
    <w:abstractNumId w:val="53"/>
  </w:num>
  <w:num w:numId="81">
    <w:abstractNumId w:val="37"/>
  </w:num>
  <w:num w:numId="82">
    <w:abstractNumId w:val="66"/>
  </w:num>
  <w:num w:numId="83">
    <w:abstractNumId w:val="97"/>
  </w:num>
  <w:num w:numId="84">
    <w:abstractNumId w:val="98"/>
  </w:num>
  <w:num w:numId="85">
    <w:abstractNumId w:val="1"/>
  </w:num>
  <w:num w:numId="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4"/>
  </w:num>
  <w:num w:numId="88">
    <w:abstractNumId w:val="17"/>
  </w:num>
  <w:num w:numId="89">
    <w:abstractNumId w:val="61"/>
  </w:num>
  <w:num w:numId="90">
    <w:abstractNumId w:val="100"/>
  </w:num>
  <w:num w:numId="91">
    <w:abstractNumId w:val="26"/>
  </w:num>
  <w:num w:numId="92">
    <w:abstractNumId w:val="40"/>
  </w:num>
  <w:num w:numId="93">
    <w:abstractNumId w:val="7"/>
  </w:num>
  <w:num w:numId="94">
    <w:abstractNumId w:val="36"/>
  </w:num>
  <w:num w:numId="95">
    <w:abstractNumId w:val="87"/>
  </w:num>
  <w:num w:numId="96">
    <w:abstractNumId w:val="42"/>
  </w:num>
  <w:num w:numId="97">
    <w:abstractNumId w:val="93"/>
  </w:num>
  <w:num w:numId="98">
    <w:abstractNumId w:val="94"/>
  </w:num>
  <w:num w:numId="99">
    <w:abstractNumId w:val="84"/>
  </w:num>
  <w:num w:numId="100">
    <w:abstractNumId w:val="70"/>
  </w:num>
  <w:num w:numId="101">
    <w:abstractNumId w:val="2"/>
  </w:num>
  <w:num w:numId="102">
    <w:abstractNumId w:val="31"/>
  </w:num>
  <w:num w:numId="103">
    <w:abstractNumId w:val="39"/>
  </w:num>
  <w:num w:numId="104">
    <w:abstractNumId w:val="48"/>
  </w:num>
  <w:num w:numId="105">
    <w:abstractNumId w:val="90"/>
  </w:num>
  <w:num w:numId="106">
    <w:abstractNumId w:val="85"/>
  </w:num>
  <w:num w:numId="107">
    <w:abstractNumId w:val="65"/>
  </w:num>
  <w:num w:numId="108">
    <w:abstractNumId w:val="103"/>
  </w:num>
  <w:num w:numId="109">
    <w:abstractNumId w:val="104"/>
  </w:num>
  <w:num w:numId="110">
    <w:abstractNumId w:val="7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686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B9D"/>
    <w:rsid w:val="0000330C"/>
    <w:rsid w:val="00003445"/>
    <w:rsid w:val="00003A70"/>
    <w:rsid w:val="00004CF0"/>
    <w:rsid w:val="00006375"/>
    <w:rsid w:val="00006C6A"/>
    <w:rsid w:val="00006D29"/>
    <w:rsid w:val="0000767F"/>
    <w:rsid w:val="00007F8F"/>
    <w:rsid w:val="00010681"/>
    <w:rsid w:val="00010A14"/>
    <w:rsid w:val="000111C6"/>
    <w:rsid w:val="00011FEA"/>
    <w:rsid w:val="000122EC"/>
    <w:rsid w:val="000138B8"/>
    <w:rsid w:val="00013A59"/>
    <w:rsid w:val="00014D96"/>
    <w:rsid w:val="00015973"/>
    <w:rsid w:val="00016D60"/>
    <w:rsid w:val="00016DA5"/>
    <w:rsid w:val="00016F2D"/>
    <w:rsid w:val="00017940"/>
    <w:rsid w:val="000209B1"/>
    <w:rsid w:val="0002117C"/>
    <w:rsid w:val="00023AF5"/>
    <w:rsid w:val="00023E09"/>
    <w:rsid w:val="00023FAB"/>
    <w:rsid w:val="00025742"/>
    <w:rsid w:val="000260AA"/>
    <w:rsid w:val="00026683"/>
    <w:rsid w:val="00026BA3"/>
    <w:rsid w:val="000277DF"/>
    <w:rsid w:val="00031261"/>
    <w:rsid w:val="00031932"/>
    <w:rsid w:val="00035A14"/>
    <w:rsid w:val="00035D31"/>
    <w:rsid w:val="00036770"/>
    <w:rsid w:val="00036C6F"/>
    <w:rsid w:val="000378BF"/>
    <w:rsid w:val="00040174"/>
    <w:rsid w:val="00041789"/>
    <w:rsid w:val="000438C8"/>
    <w:rsid w:val="00043E5D"/>
    <w:rsid w:val="00043FDC"/>
    <w:rsid w:val="000445AB"/>
    <w:rsid w:val="00047125"/>
    <w:rsid w:val="00047665"/>
    <w:rsid w:val="00050BBD"/>
    <w:rsid w:val="000525D8"/>
    <w:rsid w:val="00052D94"/>
    <w:rsid w:val="00053B73"/>
    <w:rsid w:val="00054114"/>
    <w:rsid w:val="00054D90"/>
    <w:rsid w:val="00055072"/>
    <w:rsid w:val="00055CCD"/>
    <w:rsid w:val="00056461"/>
    <w:rsid w:val="000569A8"/>
    <w:rsid w:val="00057BBD"/>
    <w:rsid w:val="0006011C"/>
    <w:rsid w:val="00061002"/>
    <w:rsid w:val="0006106B"/>
    <w:rsid w:val="0006296A"/>
    <w:rsid w:val="00063AEF"/>
    <w:rsid w:val="0006436F"/>
    <w:rsid w:val="0006650D"/>
    <w:rsid w:val="000668DB"/>
    <w:rsid w:val="00070520"/>
    <w:rsid w:val="000715DB"/>
    <w:rsid w:val="00071AD1"/>
    <w:rsid w:val="00072576"/>
    <w:rsid w:val="00072CBE"/>
    <w:rsid w:val="00072FC0"/>
    <w:rsid w:val="00073289"/>
    <w:rsid w:val="00073888"/>
    <w:rsid w:val="00073963"/>
    <w:rsid w:val="000743C2"/>
    <w:rsid w:val="000746B4"/>
    <w:rsid w:val="00074757"/>
    <w:rsid w:val="00074C58"/>
    <w:rsid w:val="00074D5E"/>
    <w:rsid w:val="00074DEB"/>
    <w:rsid w:val="00075D04"/>
    <w:rsid w:val="0008096F"/>
    <w:rsid w:val="000815D0"/>
    <w:rsid w:val="00081D64"/>
    <w:rsid w:val="00082046"/>
    <w:rsid w:val="0008265C"/>
    <w:rsid w:val="0008377D"/>
    <w:rsid w:val="00084CE8"/>
    <w:rsid w:val="00085A82"/>
    <w:rsid w:val="000864A0"/>
    <w:rsid w:val="000866AF"/>
    <w:rsid w:val="0008727E"/>
    <w:rsid w:val="00087BB9"/>
    <w:rsid w:val="0009001D"/>
    <w:rsid w:val="000901BA"/>
    <w:rsid w:val="00090A3E"/>
    <w:rsid w:val="00091EA0"/>
    <w:rsid w:val="00091F2C"/>
    <w:rsid w:val="000923C6"/>
    <w:rsid w:val="00093814"/>
    <w:rsid w:val="00093B1A"/>
    <w:rsid w:val="00094A5A"/>
    <w:rsid w:val="00095B8B"/>
    <w:rsid w:val="0009617C"/>
    <w:rsid w:val="0009647C"/>
    <w:rsid w:val="00096642"/>
    <w:rsid w:val="0009711E"/>
    <w:rsid w:val="000975F5"/>
    <w:rsid w:val="00097B0B"/>
    <w:rsid w:val="000A2244"/>
    <w:rsid w:val="000A258E"/>
    <w:rsid w:val="000A28EB"/>
    <w:rsid w:val="000A2CD6"/>
    <w:rsid w:val="000A33A6"/>
    <w:rsid w:val="000A6679"/>
    <w:rsid w:val="000B0877"/>
    <w:rsid w:val="000B08E6"/>
    <w:rsid w:val="000B18F9"/>
    <w:rsid w:val="000B1D56"/>
    <w:rsid w:val="000B2C7A"/>
    <w:rsid w:val="000B39E0"/>
    <w:rsid w:val="000B3A7E"/>
    <w:rsid w:val="000B60DD"/>
    <w:rsid w:val="000B66AE"/>
    <w:rsid w:val="000B6D16"/>
    <w:rsid w:val="000B7919"/>
    <w:rsid w:val="000C0CAF"/>
    <w:rsid w:val="000C1A91"/>
    <w:rsid w:val="000C2C91"/>
    <w:rsid w:val="000C39DB"/>
    <w:rsid w:val="000C3AD7"/>
    <w:rsid w:val="000C5F2B"/>
    <w:rsid w:val="000C764F"/>
    <w:rsid w:val="000C76DC"/>
    <w:rsid w:val="000D07E4"/>
    <w:rsid w:val="000D16D2"/>
    <w:rsid w:val="000D18AE"/>
    <w:rsid w:val="000D203E"/>
    <w:rsid w:val="000D30A0"/>
    <w:rsid w:val="000D341C"/>
    <w:rsid w:val="000D3EEB"/>
    <w:rsid w:val="000D428D"/>
    <w:rsid w:val="000D5944"/>
    <w:rsid w:val="000D5FF9"/>
    <w:rsid w:val="000D7D7B"/>
    <w:rsid w:val="000D7ED9"/>
    <w:rsid w:val="000E01FD"/>
    <w:rsid w:val="000E4045"/>
    <w:rsid w:val="000E504A"/>
    <w:rsid w:val="000E5D30"/>
    <w:rsid w:val="000E65B4"/>
    <w:rsid w:val="000E7F39"/>
    <w:rsid w:val="000F0D08"/>
    <w:rsid w:val="000F14A8"/>
    <w:rsid w:val="000F1A13"/>
    <w:rsid w:val="000F34FB"/>
    <w:rsid w:val="000F4D26"/>
    <w:rsid w:val="000F552C"/>
    <w:rsid w:val="00100409"/>
    <w:rsid w:val="001004B1"/>
    <w:rsid w:val="00100C4C"/>
    <w:rsid w:val="00101D60"/>
    <w:rsid w:val="0010353B"/>
    <w:rsid w:val="00103CAB"/>
    <w:rsid w:val="0010501A"/>
    <w:rsid w:val="00105491"/>
    <w:rsid w:val="0010584F"/>
    <w:rsid w:val="00106416"/>
    <w:rsid w:val="00111051"/>
    <w:rsid w:val="001112DC"/>
    <w:rsid w:val="001119A7"/>
    <w:rsid w:val="0011200B"/>
    <w:rsid w:val="00112F6E"/>
    <w:rsid w:val="00113A77"/>
    <w:rsid w:val="001140FD"/>
    <w:rsid w:val="00114CCE"/>
    <w:rsid w:val="00115D91"/>
    <w:rsid w:val="00116D8C"/>
    <w:rsid w:val="00116EDC"/>
    <w:rsid w:val="00117564"/>
    <w:rsid w:val="0012166B"/>
    <w:rsid w:val="00121E1A"/>
    <w:rsid w:val="0012207C"/>
    <w:rsid w:val="00122720"/>
    <w:rsid w:val="001228E3"/>
    <w:rsid w:val="001232E4"/>
    <w:rsid w:val="001249A2"/>
    <w:rsid w:val="001264E4"/>
    <w:rsid w:val="00126AAA"/>
    <w:rsid w:val="0012770A"/>
    <w:rsid w:val="001301FB"/>
    <w:rsid w:val="00132236"/>
    <w:rsid w:val="00132804"/>
    <w:rsid w:val="00132844"/>
    <w:rsid w:val="00133662"/>
    <w:rsid w:val="00133833"/>
    <w:rsid w:val="001346D5"/>
    <w:rsid w:val="0013539B"/>
    <w:rsid w:val="0013579C"/>
    <w:rsid w:val="0013620F"/>
    <w:rsid w:val="00142B4A"/>
    <w:rsid w:val="00143B52"/>
    <w:rsid w:val="00143FF9"/>
    <w:rsid w:val="001446FF"/>
    <w:rsid w:val="0014495F"/>
    <w:rsid w:val="001458AC"/>
    <w:rsid w:val="001459FF"/>
    <w:rsid w:val="00146A3E"/>
    <w:rsid w:val="00146F95"/>
    <w:rsid w:val="001471FC"/>
    <w:rsid w:val="00147527"/>
    <w:rsid w:val="00152490"/>
    <w:rsid w:val="00152A60"/>
    <w:rsid w:val="00154CFA"/>
    <w:rsid w:val="00155771"/>
    <w:rsid w:val="0015628B"/>
    <w:rsid w:val="001565F4"/>
    <w:rsid w:val="00156730"/>
    <w:rsid w:val="00157E51"/>
    <w:rsid w:val="00160F52"/>
    <w:rsid w:val="0016103D"/>
    <w:rsid w:val="00162D5E"/>
    <w:rsid w:val="00162DE8"/>
    <w:rsid w:val="001654C1"/>
    <w:rsid w:val="00165B56"/>
    <w:rsid w:val="00165CF1"/>
    <w:rsid w:val="00166751"/>
    <w:rsid w:val="001673A8"/>
    <w:rsid w:val="001720F7"/>
    <w:rsid w:val="0017683F"/>
    <w:rsid w:val="00177A0D"/>
    <w:rsid w:val="001824D1"/>
    <w:rsid w:val="001826BA"/>
    <w:rsid w:val="001831EA"/>
    <w:rsid w:val="0018440C"/>
    <w:rsid w:val="00184BF8"/>
    <w:rsid w:val="00184EFA"/>
    <w:rsid w:val="0018522E"/>
    <w:rsid w:val="00185348"/>
    <w:rsid w:val="00185B4C"/>
    <w:rsid w:val="00185F3A"/>
    <w:rsid w:val="001865CD"/>
    <w:rsid w:val="001866B2"/>
    <w:rsid w:val="00187607"/>
    <w:rsid w:val="00187B03"/>
    <w:rsid w:val="00187C89"/>
    <w:rsid w:val="001912B4"/>
    <w:rsid w:val="00191C78"/>
    <w:rsid w:val="0019460B"/>
    <w:rsid w:val="00194905"/>
    <w:rsid w:val="0019513D"/>
    <w:rsid w:val="0019550D"/>
    <w:rsid w:val="00195CF6"/>
    <w:rsid w:val="00197B92"/>
    <w:rsid w:val="001A0990"/>
    <w:rsid w:val="001A108F"/>
    <w:rsid w:val="001A3C5F"/>
    <w:rsid w:val="001A408D"/>
    <w:rsid w:val="001A4C81"/>
    <w:rsid w:val="001A523B"/>
    <w:rsid w:val="001A53EE"/>
    <w:rsid w:val="001A555F"/>
    <w:rsid w:val="001A56F0"/>
    <w:rsid w:val="001A5702"/>
    <w:rsid w:val="001A6BA7"/>
    <w:rsid w:val="001B1F1B"/>
    <w:rsid w:val="001B3242"/>
    <w:rsid w:val="001B37DB"/>
    <w:rsid w:val="001B432E"/>
    <w:rsid w:val="001B4BA6"/>
    <w:rsid w:val="001B60B0"/>
    <w:rsid w:val="001B72BF"/>
    <w:rsid w:val="001C0126"/>
    <w:rsid w:val="001C0306"/>
    <w:rsid w:val="001C2EEB"/>
    <w:rsid w:val="001C53D5"/>
    <w:rsid w:val="001C62DB"/>
    <w:rsid w:val="001C7558"/>
    <w:rsid w:val="001C7780"/>
    <w:rsid w:val="001D02E1"/>
    <w:rsid w:val="001D0EF0"/>
    <w:rsid w:val="001D15C8"/>
    <w:rsid w:val="001D16C0"/>
    <w:rsid w:val="001D1705"/>
    <w:rsid w:val="001D18AA"/>
    <w:rsid w:val="001D19EE"/>
    <w:rsid w:val="001D22ED"/>
    <w:rsid w:val="001D2670"/>
    <w:rsid w:val="001D31CF"/>
    <w:rsid w:val="001D3A7F"/>
    <w:rsid w:val="001D3FE6"/>
    <w:rsid w:val="001D44DA"/>
    <w:rsid w:val="001D5A9E"/>
    <w:rsid w:val="001D62C0"/>
    <w:rsid w:val="001D62F5"/>
    <w:rsid w:val="001D634D"/>
    <w:rsid w:val="001D7A95"/>
    <w:rsid w:val="001E06A4"/>
    <w:rsid w:val="001E169D"/>
    <w:rsid w:val="001E1A1D"/>
    <w:rsid w:val="001E23F9"/>
    <w:rsid w:val="001E317D"/>
    <w:rsid w:val="001E3C1C"/>
    <w:rsid w:val="001E3E7F"/>
    <w:rsid w:val="001E3EF9"/>
    <w:rsid w:val="001E47CC"/>
    <w:rsid w:val="001E6344"/>
    <w:rsid w:val="001E6E95"/>
    <w:rsid w:val="001E72D8"/>
    <w:rsid w:val="001E748D"/>
    <w:rsid w:val="001F05F0"/>
    <w:rsid w:val="001F05F4"/>
    <w:rsid w:val="001F0624"/>
    <w:rsid w:val="001F2068"/>
    <w:rsid w:val="001F350F"/>
    <w:rsid w:val="001F411B"/>
    <w:rsid w:val="001F555B"/>
    <w:rsid w:val="001F6214"/>
    <w:rsid w:val="001F6706"/>
    <w:rsid w:val="001F6F88"/>
    <w:rsid w:val="001F749C"/>
    <w:rsid w:val="00200D8A"/>
    <w:rsid w:val="00201307"/>
    <w:rsid w:val="00202F35"/>
    <w:rsid w:val="00203B74"/>
    <w:rsid w:val="00203B95"/>
    <w:rsid w:val="00203C24"/>
    <w:rsid w:val="0020434C"/>
    <w:rsid w:val="00204717"/>
    <w:rsid w:val="002051D2"/>
    <w:rsid w:val="0020564A"/>
    <w:rsid w:val="00205C7A"/>
    <w:rsid w:val="002101AE"/>
    <w:rsid w:val="00211B73"/>
    <w:rsid w:val="0021395A"/>
    <w:rsid w:val="00214349"/>
    <w:rsid w:val="00214363"/>
    <w:rsid w:val="00214515"/>
    <w:rsid w:val="00214788"/>
    <w:rsid w:val="00214A52"/>
    <w:rsid w:val="002155E5"/>
    <w:rsid w:val="002159C8"/>
    <w:rsid w:val="00215F97"/>
    <w:rsid w:val="00216A87"/>
    <w:rsid w:val="00217567"/>
    <w:rsid w:val="002208D7"/>
    <w:rsid w:val="0022192E"/>
    <w:rsid w:val="00221DF8"/>
    <w:rsid w:val="0022270B"/>
    <w:rsid w:val="002228EF"/>
    <w:rsid w:val="00222BB6"/>
    <w:rsid w:val="00222C64"/>
    <w:rsid w:val="00222D67"/>
    <w:rsid w:val="002234A2"/>
    <w:rsid w:val="0022355A"/>
    <w:rsid w:val="002238A4"/>
    <w:rsid w:val="002244DF"/>
    <w:rsid w:val="002255D9"/>
    <w:rsid w:val="002262DF"/>
    <w:rsid w:val="002264EB"/>
    <w:rsid w:val="002265E5"/>
    <w:rsid w:val="002268BB"/>
    <w:rsid w:val="0022712E"/>
    <w:rsid w:val="00230054"/>
    <w:rsid w:val="00230445"/>
    <w:rsid w:val="002305F1"/>
    <w:rsid w:val="002307C7"/>
    <w:rsid w:val="002307E4"/>
    <w:rsid w:val="00230C47"/>
    <w:rsid w:val="00230F37"/>
    <w:rsid w:val="002311DD"/>
    <w:rsid w:val="00231B57"/>
    <w:rsid w:val="00231BF3"/>
    <w:rsid w:val="00232807"/>
    <w:rsid w:val="0023347F"/>
    <w:rsid w:val="00233695"/>
    <w:rsid w:val="0023378E"/>
    <w:rsid w:val="002339C8"/>
    <w:rsid w:val="00234155"/>
    <w:rsid w:val="002347E4"/>
    <w:rsid w:val="00234F1C"/>
    <w:rsid w:val="002354FD"/>
    <w:rsid w:val="0023671A"/>
    <w:rsid w:val="00236E32"/>
    <w:rsid w:val="00237735"/>
    <w:rsid w:val="00237A61"/>
    <w:rsid w:val="0024074E"/>
    <w:rsid w:val="00241678"/>
    <w:rsid w:val="00242BA2"/>
    <w:rsid w:val="002438C2"/>
    <w:rsid w:val="00244266"/>
    <w:rsid w:val="002445F5"/>
    <w:rsid w:val="00244907"/>
    <w:rsid w:val="00245106"/>
    <w:rsid w:val="00247060"/>
    <w:rsid w:val="00247D4C"/>
    <w:rsid w:val="00247E99"/>
    <w:rsid w:val="002509F3"/>
    <w:rsid w:val="0025151A"/>
    <w:rsid w:val="00252DF3"/>
    <w:rsid w:val="00253A1B"/>
    <w:rsid w:val="00254637"/>
    <w:rsid w:val="00254942"/>
    <w:rsid w:val="00254B1C"/>
    <w:rsid w:val="00254BA6"/>
    <w:rsid w:val="002558B5"/>
    <w:rsid w:val="00256E20"/>
    <w:rsid w:val="0025763C"/>
    <w:rsid w:val="0026089C"/>
    <w:rsid w:val="00261563"/>
    <w:rsid w:val="0026244C"/>
    <w:rsid w:val="00263823"/>
    <w:rsid w:val="00263BFF"/>
    <w:rsid w:val="00263F58"/>
    <w:rsid w:val="002644F6"/>
    <w:rsid w:val="0026529E"/>
    <w:rsid w:val="00265A1F"/>
    <w:rsid w:val="00265C26"/>
    <w:rsid w:val="00265C27"/>
    <w:rsid w:val="00265D65"/>
    <w:rsid w:val="00265D78"/>
    <w:rsid w:val="00266178"/>
    <w:rsid w:val="0027066E"/>
    <w:rsid w:val="00271B20"/>
    <w:rsid w:val="00271C1A"/>
    <w:rsid w:val="00272412"/>
    <w:rsid w:val="0027420F"/>
    <w:rsid w:val="00275236"/>
    <w:rsid w:val="00275445"/>
    <w:rsid w:val="002759BF"/>
    <w:rsid w:val="00275F48"/>
    <w:rsid w:val="0027604F"/>
    <w:rsid w:val="00282113"/>
    <w:rsid w:val="00282C5F"/>
    <w:rsid w:val="00283B51"/>
    <w:rsid w:val="00283F2E"/>
    <w:rsid w:val="00284F8F"/>
    <w:rsid w:val="0028534C"/>
    <w:rsid w:val="002855CA"/>
    <w:rsid w:val="00287C25"/>
    <w:rsid w:val="00287E8C"/>
    <w:rsid w:val="00290205"/>
    <w:rsid w:val="00290519"/>
    <w:rsid w:val="0029076F"/>
    <w:rsid w:val="002920DD"/>
    <w:rsid w:val="00293586"/>
    <w:rsid w:val="00293E23"/>
    <w:rsid w:val="00295272"/>
    <w:rsid w:val="002953EC"/>
    <w:rsid w:val="00295B1A"/>
    <w:rsid w:val="00297486"/>
    <w:rsid w:val="0029753A"/>
    <w:rsid w:val="00297E9A"/>
    <w:rsid w:val="002A01F4"/>
    <w:rsid w:val="002A0320"/>
    <w:rsid w:val="002A05EC"/>
    <w:rsid w:val="002A16D0"/>
    <w:rsid w:val="002A18BD"/>
    <w:rsid w:val="002A1C39"/>
    <w:rsid w:val="002A2C96"/>
    <w:rsid w:val="002A33EB"/>
    <w:rsid w:val="002A4A84"/>
    <w:rsid w:val="002A4D0C"/>
    <w:rsid w:val="002A596B"/>
    <w:rsid w:val="002A65C6"/>
    <w:rsid w:val="002A68D6"/>
    <w:rsid w:val="002A6CC6"/>
    <w:rsid w:val="002A73A8"/>
    <w:rsid w:val="002A7753"/>
    <w:rsid w:val="002A776D"/>
    <w:rsid w:val="002B0874"/>
    <w:rsid w:val="002B12AF"/>
    <w:rsid w:val="002B1A0A"/>
    <w:rsid w:val="002B26C7"/>
    <w:rsid w:val="002B2E6A"/>
    <w:rsid w:val="002B5D43"/>
    <w:rsid w:val="002B64D2"/>
    <w:rsid w:val="002B6BD0"/>
    <w:rsid w:val="002C0EA5"/>
    <w:rsid w:val="002C13E3"/>
    <w:rsid w:val="002C1A0B"/>
    <w:rsid w:val="002C2036"/>
    <w:rsid w:val="002C3E3E"/>
    <w:rsid w:val="002C61DB"/>
    <w:rsid w:val="002C6396"/>
    <w:rsid w:val="002D1D2D"/>
    <w:rsid w:val="002D22DB"/>
    <w:rsid w:val="002D2D17"/>
    <w:rsid w:val="002D3717"/>
    <w:rsid w:val="002D4C17"/>
    <w:rsid w:val="002D5347"/>
    <w:rsid w:val="002D5616"/>
    <w:rsid w:val="002D625E"/>
    <w:rsid w:val="002D6F76"/>
    <w:rsid w:val="002E013A"/>
    <w:rsid w:val="002E0EE6"/>
    <w:rsid w:val="002E1695"/>
    <w:rsid w:val="002E1FA4"/>
    <w:rsid w:val="002E237C"/>
    <w:rsid w:val="002E249F"/>
    <w:rsid w:val="002E2500"/>
    <w:rsid w:val="002E2AA0"/>
    <w:rsid w:val="002E3922"/>
    <w:rsid w:val="002E6435"/>
    <w:rsid w:val="002E7B0E"/>
    <w:rsid w:val="002E7C23"/>
    <w:rsid w:val="002F080A"/>
    <w:rsid w:val="002F127D"/>
    <w:rsid w:val="002F1C2D"/>
    <w:rsid w:val="002F267C"/>
    <w:rsid w:val="002F2717"/>
    <w:rsid w:val="002F2AE7"/>
    <w:rsid w:val="002F362D"/>
    <w:rsid w:val="002F4C78"/>
    <w:rsid w:val="002F5F67"/>
    <w:rsid w:val="002F6204"/>
    <w:rsid w:val="002F6821"/>
    <w:rsid w:val="002F73AC"/>
    <w:rsid w:val="002F749B"/>
    <w:rsid w:val="00300B14"/>
    <w:rsid w:val="00300B52"/>
    <w:rsid w:val="00300EF7"/>
    <w:rsid w:val="003010D8"/>
    <w:rsid w:val="0030130D"/>
    <w:rsid w:val="00301797"/>
    <w:rsid w:val="00302C9D"/>
    <w:rsid w:val="0030359A"/>
    <w:rsid w:val="00305F5B"/>
    <w:rsid w:val="00307F9E"/>
    <w:rsid w:val="0031006E"/>
    <w:rsid w:val="003102DD"/>
    <w:rsid w:val="00310383"/>
    <w:rsid w:val="00310C8F"/>
    <w:rsid w:val="0031170A"/>
    <w:rsid w:val="003117E5"/>
    <w:rsid w:val="00311BA4"/>
    <w:rsid w:val="003145BC"/>
    <w:rsid w:val="00315297"/>
    <w:rsid w:val="003152CD"/>
    <w:rsid w:val="00315776"/>
    <w:rsid w:val="00315F97"/>
    <w:rsid w:val="00316370"/>
    <w:rsid w:val="00316F59"/>
    <w:rsid w:val="003173D5"/>
    <w:rsid w:val="00320632"/>
    <w:rsid w:val="00321238"/>
    <w:rsid w:val="003226D4"/>
    <w:rsid w:val="00322973"/>
    <w:rsid w:val="00322FFB"/>
    <w:rsid w:val="003230EC"/>
    <w:rsid w:val="00323882"/>
    <w:rsid w:val="003239D0"/>
    <w:rsid w:val="00323C92"/>
    <w:rsid w:val="0032469A"/>
    <w:rsid w:val="00325EF9"/>
    <w:rsid w:val="003272DB"/>
    <w:rsid w:val="00327566"/>
    <w:rsid w:val="00330B4F"/>
    <w:rsid w:val="0033177B"/>
    <w:rsid w:val="00332638"/>
    <w:rsid w:val="003329E3"/>
    <w:rsid w:val="00332D76"/>
    <w:rsid w:val="00332E1E"/>
    <w:rsid w:val="00333CF8"/>
    <w:rsid w:val="00334063"/>
    <w:rsid w:val="0033486C"/>
    <w:rsid w:val="003354A2"/>
    <w:rsid w:val="003359EC"/>
    <w:rsid w:val="00337860"/>
    <w:rsid w:val="00337B86"/>
    <w:rsid w:val="00337E85"/>
    <w:rsid w:val="00340576"/>
    <w:rsid w:val="003408FE"/>
    <w:rsid w:val="00340BC1"/>
    <w:rsid w:val="00340BE7"/>
    <w:rsid w:val="003420E8"/>
    <w:rsid w:val="00342FAA"/>
    <w:rsid w:val="0034370F"/>
    <w:rsid w:val="00344A69"/>
    <w:rsid w:val="00344BD6"/>
    <w:rsid w:val="00344DCB"/>
    <w:rsid w:val="00344EF6"/>
    <w:rsid w:val="00344FBB"/>
    <w:rsid w:val="0034501D"/>
    <w:rsid w:val="00346316"/>
    <w:rsid w:val="003464E9"/>
    <w:rsid w:val="00347B35"/>
    <w:rsid w:val="003502DE"/>
    <w:rsid w:val="0035061D"/>
    <w:rsid w:val="003506BC"/>
    <w:rsid w:val="00350DDC"/>
    <w:rsid w:val="00351527"/>
    <w:rsid w:val="00351D63"/>
    <w:rsid w:val="00352CDE"/>
    <w:rsid w:val="0035340C"/>
    <w:rsid w:val="003537BB"/>
    <w:rsid w:val="00354969"/>
    <w:rsid w:val="00355A88"/>
    <w:rsid w:val="0035616D"/>
    <w:rsid w:val="003567D4"/>
    <w:rsid w:val="003571CF"/>
    <w:rsid w:val="0036279A"/>
    <w:rsid w:val="00363157"/>
    <w:rsid w:val="003644E9"/>
    <w:rsid w:val="0036497D"/>
    <w:rsid w:val="00365545"/>
    <w:rsid w:val="0036593A"/>
    <w:rsid w:val="00366539"/>
    <w:rsid w:val="00366B8A"/>
    <w:rsid w:val="0036790C"/>
    <w:rsid w:val="00367D35"/>
    <w:rsid w:val="0037035B"/>
    <w:rsid w:val="003706C8"/>
    <w:rsid w:val="00370829"/>
    <w:rsid w:val="0037117C"/>
    <w:rsid w:val="00371B6A"/>
    <w:rsid w:val="003723E8"/>
    <w:rsid w:val="003724ED"/>
    <w:rsid w:val="0037287F"/>
    <w:rsid w:val="00372AFC"/>
    <w:rsid w:val="00372F82"/>
    <w:rsid w:val="00375CC6"/>
    <w:rsid w:val="003769D0"/>
    <w:rsid w:val="00380940"/>
    <w:rsid w:val="003818BB"/>
    <w:rsid w:val="00382A1B"/>
    <w:rsid w:val="00383285"/>
    <w:rsid w:val="003837C6"/>
    <w:rsid w:val="0038422A"/>
    <w:rsid w:val="0038521F"/>
    <w:rsid w:val="003859EA"/>
    <w:rsid w:val="00385EA5"/>
    <w:rsid w:val="00385F45"/>
    <w:rsid w:val="00385FA3"/>
    <w:rsid w:val="00386723"/>
    <w:rsid w:val="00387071"/>
    <w:rsid w:val="00390A5A"/>
    <w:rsid w:val="0039105C"/>
    <w:rsid w:val="00392098"/>
    <w:rsid w:val="003920CE"/>
    <w:rsid w:val="00392319"/>
    <w:rsid w:val="00392607"/>
    <w:rsid w:val="00392631"/>
    <w:rsid w:val="00392F3C"/>
    <w:rsid w:val="0039322A"/>
    <w:rsid w:val="003936C2"/>
    <w:rsid w:val="00393EE5"/>
    <w:rsid w:val="00394384"/>
    <w:rsid w:val="0039508C"/>
    <w:rsid w:val="00396FDF"/>
    <w:rsid w:val="00397729"/>
    <w:rsid w:val="00397C19"/>
    <w:rsid w:val="003A0EE7"/>
    <w:rsid w:val="003A159D"/>
    <w:rsid w:val="003A1661"/>
    <w:rsid w:val="003A1A69"/>
    <w:rsid w:val="003A1D32"/>
    <w:rsid w:val="003A27B4"/>
    <w:rsid w:val="003A434A"/>
    <w:rsid w:val="003A43EB"/>
    <w:rsid w:val="003A4981"/>
    <w:rsid w:val="003A4A6D"/>
    <w:rsid w:val="003A54A6"/>
    <w:rsid w:val="003A63DB"/>
    <w:rsid w:val="003A659E"/>
    <w:rsid w:val="003A6B74"/>
    <w:rsid w:val="003A7067"/>
    <w:rsid w:val="003A728E"/>
    <w:rsid w:val="003B08C9"/>
    <w:rsid w:val="003B0997"/>
    <w:rsid w:val="003B0B2F"/>
    <w:rsid w:val="003B0BEE"/>
    <w:rsid w:val="003B17FD"/>
    <w:rsid w:val="003B1B2F"/>
    <w:rsid w:val="003B209F"/>
    <w:rsid w:val="003B21F2"/>
    <w:rsid w:val="003B22A7"/>
    <w:rsid w:val="003B287A"/>
    <w:rsid w:val="003B34B0"/>
    <w:rsid w:val="003B58B0"/>
    <w:rsid w:val="003B611C"/>
    <w:rsid w:val="003B6E88"/>
    <w:rsid w:val="003B71B0"/>
    <w:rsid w:val="003B7773"/>
    <w:rsid w:val="003C19B7"/>
    <w:rsid w:val="003C4A3A"/>
    <w:rsid w:val="003C537E"/>
    <w:rsid w:val="003C5BE6"/>
    <w:rsid w:val="003C636D"/>
    <w:rsid w:val="003D02AF"/>
    <w:rsid w:val="003D039D"/>
    <w:rsid w:val="003D0FA8"/>
    <w:rsid w:val="003D1EA7"/>
    <w:rsid w:val="003D2EA0"/>
    <w:rsid w:val="003D30B8"/>
    <w:rsid w:val="003D3CE9"/>
    <w:rsid w:val="003D4172"/>
    <w:rsid w:val="003D4D8D"/>
    <w:rsid w:val="003D6796"/>
    <w:rsid w:val="003D6F6D"/>
    <w:rsid w:val="003E0084"/>
    <w:rsid w:val="003E0945"/>
    <w:rsid w:val="003E1972"/>
    <w:rsid w:val="003E1FEE"/>
    <w:rsid w:val="003E20E1"/>
    <w:rsid w:val="003E34F0"/>
    <w:rsid w:val="003E51F1"/>
    <w:rsid w:val="003E5617"/>
    <w:rsid w:val="003E56D4"/>
    <w:rsid w:val="003E67CA"/>
    <w:rsid w:val="003F018C"/>
    <w:rsid w:val="003F0BD9"/>
    <w:rsid w:val="003F2F86"/>
    <w:rsid w:val="003F45A7"/>
    <w:rsid w:val="003F538F"/>
    <w:rsid w:val="003F550A"/>
    <w:rsid w:val="003F581C"/>
    <w:rsid w:val="003F7264"/>
    <w:rsid w:val="003F7491"/>
    <w:rsid w:val="003F7E92"/>
    <w:rsid w:val="00400B73"/>
    <w:rsid w:val="00402675"/>
    <w:rsid w:val="00403168"/>
    <w:rsid w:val="00403E2B"/>
    <w:rsid w:val="00403F47"/>
    <w:rsid w:val="004054FF"/>
    <w:rsid w:val="0041091F"/>
    <w:rsid w:val="004124C1"/>
    <w:rsid w:val="004125EE"/>
    <w:rsid w:val="00413269"/>
    <w:rsid w:val="0041368C"/>
    <w:rsid w:val="00413ADD"/>
    <w:rsid w:val="00414149"/>
    <w:rsid w:val="00414983"/>
    <w:rsid w:val="004167C7"/>
    <w:rsid w:val="00417E7D"/>
    <w:rsid w:val="004200E0"/>
    <w:rsid w:val="004205C0"/>
    <w:rsid w:val="00421420"/>
    <w:rsid w:val="0042197F"/>
    <w:rsid w:val="00421D05"/>
    <w:rsid w:val="00422882"/>
    <w:rsid w:val="00423A4B"/>
    <w:rsid w:val="004240FE"/>
    <w:rsid w:val="00424CD1"/>
    <w:rsid w:val="004258E7"/>
    <w:rsid w:val="00425A0F"/>
    <w:rsid w:val="0042623F"/>
    <w:rsid w:val="0042708F"/>
    <w:rsid w:val="00430C60"/>
    <w:rsid w:val="00431530"/>
    <w:rsid w:val="004322AB"/>
    <w:rsid w:val="004325B2"/>
    <w:rsid w:val="00432777"/>
    <w:rsid w:val="0043561E"/>
    <w:rsid w:val="004356BF"/>
    <w:rsid w:val="004363F8"/>
    <w:rsid w:val="004364AA"/>
    <w:rsid w:val="00436681"/>
    <w:rsid w:val="0043760F"/>
    <w:rsid w:val="00437BEF"/>
    <w:rsid w:val="00440608"/>
    <w:rsid w:val="0044104F"/>
    <w:rsid w:val="004416DA"/>
    <w:rsid w:val="00441D44"/>
    <w:rsid w:val="00442B7A"/>
    <w:rsid w:val="004433DD"/>
    <w:rsid w:val="00443457"/>
    <w:rsid w:val="004447BA"/>
    <w:rsid w:val="004448D6"/>
    <w:rsid w:val="00446526"/>
    <w:rsid w:val="00446723"/>
    <w:rsid w:val="004475FC"/>
    <w:rsid w:val="00450783"/>
    <w:rsid w:val="004526A6"/>
    <w:rsid w:val="00452A47"/>
    <w:rsid w:val="00453078"/>
    <w:rsid w:val="004536B4"/>
    <w:rsid w:val="0045408B"/>
    <w:rsid w:val="004550DB"/>
    <w:rsid w:val="00455908"/>
    <w:rsid w:val="00456071"/>
    <w:rsid w:val="00456831"/>
    <w:rsid w:val="00457F80"/>
    <w:rsid w:val="0046111C"/>
    <w:rsid w:val="00461267"/>
    <w:rsid w:val="00461C17"/>
    <w:rsid w:val="0046395A"/>
    <w:rsid w:val="00464146"/>
    <w:rsid w:val="0046675B"/>
    <w:rsid w:val="004672CF"/>
    <w:rsid w:val="00467E34"/>
    <w:rsid w:val="0047158B"/>
    <w:rsid w:val="00471E3E"/>
    <w:rsid w:val="00471F0E"/>
    <w:rsid w:val="0047200A"/>
    <w:rsid w:val="00472182"/>
    <w:rsid w:val="004721E2"/>
    <w:rsid w:val="00473440"/>
    <w:rsid w:val="004738A3"/>
    <w:rsid w:val="00474C05"/>
    <w:rsid w:val="00474D15"/>
    <w:rsid w:val="00475A1A"/>
    <w:rsid w:val="004774CF"/>
    <w:rsid w:val="00477F42"/>
    <w:rsid w:val="00481D17"/>
    <w:rsid w:val="00483934"/>
    <w:rsid w:val="004839D8"/>
    <w:rsid w:val="00483D43"/>
    <w:rsid w:val="0048413E"/>
    <w:rsid w:val="00484445"/>
    <w:rsid w:val="00484F77"/>
    <w:rsid w:val="004853F9"/>
    <w:rsid w:val="00485D4B"/>
    <w:rsid w:val="004865C1"/>
    <w:rsid w:val="00490C12"/>
    <w:rsid w:val="00490E19"/>
    <w:rsid w:val="004912D6"/>
    <w:rsid w:val="0049173E"/>
    <w:rsid w:val="00491915"/>
    <w:rsid w:val="00491B8D"/>
    <w:rsid w:val="004922DF"/>
    <w:rsid w:val="00492709"/>
    <w:rsid w:val="00492997"/>
    <w:rsid w:val="00492AB8"/>
    <w:rsid w:val="0049338D"/>
    <w:rsid w:val="004933A3"/>
    <w:rsid w:val="004933DC"/>
    <w:rsid w:val="00493F09"/>
    <w:rsid w:val="004947DD"/>
    <w:rsid w:val="00494FC3"/>
    <w:rsid w:val="004954A3"/>
    <w:rsid w:val="00496756"/>
    <w:rsid w:val="0049738B"/>
    <w:rsid w:val="00497430"/>
    <w:rsid w:val="00497C13"/>
    <w:rsid w:val="004A03E1"/>
    <w:rsid w:val="004A090F"/>
    <w:rsid w:val="004A2884"/>
    <w:rsid w:val="004A3BD7"/>
    <w:rsid w:val="004A4736"/>
    <w:rsid w:val="004A4D3E"/>
    <w:rsid w:val="004A584E"/>
    <w:rsid w:val="004A7786"/>
    <w:rsid w:val="004B038B"/>
    <w:rsid w:val="004B058E"/>
    <w:rsid w:val="004B1255"/>
    <w:rsid w:val="004B1F05"/>
    <w:rsid w:val="004B1FC4"/>
    <w:rsid w:val="004B2258"/>
    <w:rsid w:val="004B24F6"/>
    <w:rsid w:val="004B2F01"/>
    <w:rsid w:val="004B3CBB"/>
    <w:rsid w:val="004B45A2"/>
    <w:rsid w:val="004B66FE"/>
    <w:rsid w:val="004B6B15"/>
    <w:rsid w:val="004B6D00"/>
    <w:rsid w:val="004B7014"/>
    <w:rsid w:val="004B747F"/>
    <w:rsid w:val="004B7E3E"/>
    <w:rsid w:val="004B7E67"/>
    <w:rsid w:val="004C08DA"/>
    <w:rsid w:val="004C0B45"/>
    <w:rsid w:val="004C14B4"/>
    <w:rsid w:val="004C22C8"/>
    <w:rsid w:val="004C39FD"/>
    <w:rsid w:val="004C633E"/>
    <w:rsid w:val="004D0389"/>
    <w:rsid w:val="004D03E2"/>
    <w:rsid w:val="004D0736"/>
    <w:rsid w:val="004D0FB7"/>
    <w:rsid w:val="004D1BC3"/>
    <w:rsid w:val="004D2B88"/>
    <w:rsid w:val="004D3964"/>
    <w:rsid w:val="004D4B9D"/>
    <w:rsid w:val="004D5C52"/>
    <w:rsid w:val="004D736E"/>
    <w:rsid w:val="004D75F5"/>
    <w:rsid w:val="004E193B"/>
    <w:rsid w:val="004E234A"/>
    <w:rsid w:val="004E37A3"/>
    <w:rsid w:val="004E4616"/>
    <w:rsid w:val="004E4A3D"/>
    <w:rsid w:val="004E57BD"/>
    <w:rsid w:val="004E5DF2"/>
    <w:rsid w:val="004E63C2"/>
    <w:rsid w:val="004E677A"/>
    <w:rsid w:val="004E6C79"/>
    <w:rsid w:val="004E6F70"/>
    <w:rsid w:val="004E7339"/>
    <w:rsid w:val="004E75DA"/>
    <w:rsid w:val="004E7BD6"/>
    <w:rsid w:val="004F248E"/>
    <w:rsid w:val="004F303C"/>
    <w:rsid w:val="004F31C8"/>
    <w:rsid w:val="004F48C2"/>
    <w:rsid w:val="004F581C"/>
    <w:rsid w:val="004F5D56"/>
    <w:rsid w:val="004F5D9F"/>
    <w:rsid w:val="004F7706"/>
    <w:rsid w:val="0050119D"/>
    <w:rsid w:val="005018D4"/>
    <w:rsid w:val="00501C6C"/>
    <w:rsid w:val="00504060"/>
    <w:rsid w:val="00504136"/>
    <w:rsid w:val="0050447C"/>
    <w:rsid w:val="00504EBB"/>
    <w:rsid w:val="00505551"/>
    <w:rsid w:val="00505A4E"/>
    <w:rsid w:val="00505AE7"/>
    <w:rsid w:val="00506A1C"/>
    <w:rsid w:val="005120D5"/>
    <w:rsid w:val="005121E2"/>
    <w:rsid w:val="005131C0"/>
    <w:rsid w:val="00514B27"/>
    <w:rsid w:val="00515E52"/>
    <w:rsid w:val="00516823"/>
    <w:rsid w:val="00517366"/>
    <w:rsid w:val="0052058D"/>
    <w:rsid w:val="00520612"/>
    <w:rsid w:val="0052129F"/>
    <w:rsid w:val="005235B7"/>
    <w:rsid w:val="005235C8"/>
    <w:rsid w:val="00523B8B"/>
    <w:rsid w:val="00525190"/>
    <w:rsid w:val="0052522A"/>
    <w:rsid w:val="005253D3"/>
    <w:rsid w:val="00526AF1"/>
    <w:rsid w:val="005274F5"/>
    <w:rsid w:val="00527A41"/>
    <w:rsid w:val="00530019"/>
    <w:rsid w:val="00530772"/>
    <w:rsid w:val="00530E0D"/>
    <w:rsid w:val="00531856"/>
    <w:rsid w:val="0053227E"/>
    <w:rsid w:val="0053245B"/>
    <w:rsid w:val="00532AE5"/>
    <w:rsid w:val="00532C5D"/>
    <w:rsid w:val="0053375C"/>
    <w:rsid w:val="00533C1B"/>
    <w:rsid w:val="0053400F"/>
    <w:rsid w:val="00535783"/>
    <w:rsid w:val="00535EA6"/>
    <w:rsid w:val="00536F1D"/>
    <w:rsid w:val="00537ED2"/>
    <w:rsid w:val="0054010A"/>
    <w:rsid w:val="00540F70"/>
    <w:rsid w:val="005414B8"/>
    <w:rsid w:val="0054168F"/>
    <w:rsid w:val="00542F1A"/>
    <w:rsid w:val="005431C2"/>
    <w:rsid w:val="00543AAE"/>
    <w:rsid w:val="005444AA"/>
    <w:rsid w:val="0054493E"/>
    <w:rsid w:val="00544A04"/>
    <w:rsid w:val="00544F0B"/>
    <w:rsid w:val="0054562E"/>
    <w:rsid w:val="005459D1"/>
    <w:rsid w:val="005471CF"/>
    <w:rsid w:val="005514CA"/>
    <w:rsid w:val="00551F19"/>
    <w:rsid w:val="005522C4"/>
    <w:rsid w:val="0055237F"/>
    <w:rsid w:val="00552FC9"/>
    <w:rsid w:val="005531A0"/>
    <w:rsid w:val="00554054"/>
    <w:rsid w:val="005542CA"/>
    <w:rsid w:val="00554F46"/>
    <w:rsid w:val="0055511D"/>
    <w:rsid w:val="0055591A"/>
    <w:rsid w:val="005568F9"/>
    <w:rsid w:val="00556F51"/>
    <w:rsid w:val="00557599"/>
    <w:rsid w:val="005579B1"/>
    <w:rsid w:val="00557AD3"/>
    <w:rsid w:val="005601BF"/>
    <w:rsid w:val="005607D7"/>
    <w:rsid w:val="005615CA"/>
    <w:rsid w:val="0056176F"/>
    <w:rsid w:val="0056238E"/>
    <w:rsid w:val="005630A9"/>
    <w:rsid w:val="00564D41"/>
    <w:rsid w:val="00565EF9"/>
    <w:rsid w:val="00566A6F"/>
    <w:rsid w:val="005673F2"/>
    <w:rsid w:val="00567520"/>
    <w:rsid w:val="00567522"/>
    <w:rsid w:val="005701BE"/>
    <w:rsid w:val="0057096C"/>
    <w:rsid w:val="00570EDE"/>
    <w:rsid w:val="005724BE"/>
    <w:rsid w:val="00572566"/>
    <w:rsid w:val="00572702"/>
    <w:rsid w:val="00572821"/>
    <w:rsid w:val="00572D70"/>
    <w:rsid w:val="00573EC2"/>
    <w:rsid w:val="00575008"/>
    <w:rsid w:val="0057554D"/>
    <w:rsid w:val="00575F59"/>
    <w:rsid w:val="00576227"/>
    <w:rsid w:val="00577430"/>
    <w:rsid w:val="00577824"/>
    <w:rsid w:val="00580610"/>
    <w:rsid w:val="00580D92"/>
    <w:rsid w:val="00581360"/>
    <w:rsid w:val="00582587"/>
    <w:rsid w:val="0058380A"/>
    <w:rsid w:val="00583A5B"/>
    <w:rsid w:val="00583CCC"/>
    <w:rsid w:val="00584AE9"/>
    <w:rsid w:val="005854AB"/>
    <w:rsid w:val="00586A07"/>
    <w:rsid w:val="00586EE4"/>
    <w:rsid w:val="00587852"/>
    <w:rsid w:val="00591D3C"/>
    <w:rsid w:val="0059255C"/>
    <w:rsid w:val="005933A6"/>
    <w:rsid w:val="00593594"/>
    <w:rsid w:val="005940D8"/>
    <w:rsid w:val="00595BD7"/>
    <w:rsid w:val="005967F2"/>
    <w:rsid w:val="00597934"/>
    <w:rsid w:val="00597B73"/>
    <w:rsid w:val="00597D2E"/>
    <w:rsid w:val="005A008A"/>
    <w:rsid w:val="005A04C8"/>
    <w:rsid w:val="005A0B1C"/>
    <w:rsid w:val="005A0C9D"/>
    <w:rsid w:val="005A1B26"/>
    <w:rsid w:val="005A1FA8"/>
    <w:rsid w:val="005A338B"/>
    <w:rsid w:val="005A35D3"/>
    <w:rsid w:val="005A3ABC"/>
    <w:rsid w:val="005A4FB9"/>
    <w:rsid w:val="005A4FCA"/>
    <w:rsid w:val="005A62C0"/>
    <w:rsid w:val="005A63C9"/>
    <w:rsid w:val="005A64AA"/>
    <w:rsid w:val="005A76C4"/>
    <w:rsid w:val="005A78C4"/>
    <w:rsid w:val="005B0A6A"/>
    <w:rsid w:val="005B1B82"/>
    <w:rsid w:val="005B1CA5"/>
    <w:rsid w:val="005B20F9"/>
    <w:rsid w:val="005B2E27"/>
    <w:rsid w:val="005B420C"/>
    <w:rsid w:val="005B4D5E"/>
    <w:rsid w:val="005B4F45"/>
    <w:rsid w:val="005B5568"/>
    <w:rsid w:val="005B5DEA"/>
    <w:rsid w:val="005B76EA"/>
    <w:rsid w:val="005B7F70"/>
    <w:rsid w:val="005C0858"/>
    <w:rsid w:val="005C09A5"/>
    <w:rsid w:val="005C10B0"/>
    <w:rsid w:val="005C139A"/>
    <w:rsid w:val="005C1696"/>
    <w:rsid w:val="005C3343"/>
    <w:rsid w:val="005C426C"/>
    <w:rsid w:val="005C5670"/>
    <w:rsid w:val="005C621F"/>
    <w:rsid w:val="005C6F21"/>
    <w:rsid w:val="005C701D"/>
    <w:rsid w:val="005C7418"/>
    <w:rsid w:val="005C74E6"/>
    <w:rsid w:val="005C79A8"/>
    <w:rsid w:val="005C7CA9"/>
    <w:rsid w:val="005D151D"/>
    <w:rsid w:val="005D16E9"/>
    <w:rsid w:val="005D23F8"/>
    <w:rsid w:val="005D33B9"/>
    <w:rsid w:val="005D3EF7"/>
    <w:rsid w:val="005D603C"/>
    <w:rsid w:val="005D629A"/>
    <w:rsid w:val="005D6D92"/>
    <w:rsid w:val="005D7864"/>
    <w:rsid w:val="005D7B1B"/>
    <w:rsid w:val="005D7C4E"/>
    <w:rsid w:val="005D7E57"/>
    <w:rsid w:val="005D7F26"/>
    <w:rsid w:val="005D7FD5"/>
    <w:rsid w:val="005E0AB1"/>
    <w:rsid w:val="005E167E"/>
    <w:rsid w:val="005E1CE4"/>
    <w:rsid w:val="005E259E"/>
    <w:rsid w:val="005E2BC3"/>
    <w:rsid w:val="005E3804"/>
    <w:rsid w:val="005E3D69"/>
    <w:rsid w:val="005E5F63"/>
    <w:rsid w:val="005E6967"/>
    <w:rsid w:val="005E6B90"/>
    <w:rsid w:val="005E6EEE"/>
    <w:rsid w:val="005E76A4"/>
    <w:rsid w:val="005F05D2"/>
    <w:rsid w:val="005F1566"/>
    <w:rsid w:val="005F316D"/>
    <w:rsid w:val="005F3F05"/>
    <w:rsid w:val="005F4BDB"/>
    <w:rsid w:val="005F6817"/>
    <w:rsid w:val="006006AE"/>
    <w:rsid w:val="006008DD"/>
    <w:rsid w:val="00600BEB"/>
    <w:rsid w:val="00601206"/>
    <w:rsid w:val="006020D9"/>
    <w:rsid w:val="0060271B"/>
    <w:rsid w:val="00602D3D"/>
    <w:rsid w:val="00603020"/>
    <w:rsid w:val="00603C97"/>
    <w:rsid w:val="0060426A"/>
    <w:rsid w:val="00604FF8"/>
    <w:rsid w:val="00606966"/>
    <w:rsid w:val="0060762F"/>
    <w:rsid w:val="00607BFB"/>
    <w:rsid w:val="00607E56"/>
    <w:rsid w:val="00610AA5"/>
    <w:rsid w:val="00610EA5"/>
    <w:rsid w:val="0061127D"/>
    <w:rsid w:val="00612106"/>
    <w:rsid w:val="00612B46"/>
    <w:rsid w:val="00612D33"/>
    <w:rsid w:val="00615238"/>
    <w:rsid w:val="0061561B"/>
    <w:rsid w:val="00615BBE"/>
    <w:rsid w:val="00616203"/>
    <w:rsid w:val="00616C82"/>
    <w:rsid w:val="0061714D"/>
    <w:rsid w:val="00617578"/>
    <w:rsid w:val="00617FF5"/>
    <w:rsid w:val="006200B3"/>
    <w:rsid w:val="00620656"/>
    <w:rsid w:val="006208BF"/>
    <w:rsid w:val="0062100B"/>
    <w:rsid w:val="00621261"/>
    <w:rsid w:val="00622C3A"/>
    <w:rsid w:val="006230C4"/>
    <w:rsid w:val="00623457"/>
    <w:rsid w:val="00623E5C"/>
    <w:rsid w:val="0062418B"/>
    <w:rsid w:val="00624588"/>
    <w:rsid w:val="006246CD"/>
    <w:rsid w:val="00624862"/>
    <w:rsid w:val="0062557E"/>
    <w:rsid w:val="006268A7"/>
    <w:rsid w:val="006276AB"/>
    <w:rsid w:val="006276CB"/>
    <w:rsid w:val="006307E0"/>
    <w:rsid w:val="00631CF7"/>
    <w:rsid w:val="006328D7"/>
    <w:rsid w:val="00633BA0"/>
    <w:rsid w:val="00633FF4"/>
    <w:rsid w:val="0063522C"/>
    <w:rsid w:val="00637480"/>
    <w:rsid w:val="006379CB"/>
    <w:rsid w:val="00637C9E"/>
    <w:rsid w:val="00637D6C"/>
    <w:rsid w:val="00637F7F"/>
    <w:rsid w:val="00640198"/>
    <w:rsid w:val="00640C52"/>
    <w:rsid w:val="006427B5"/>
    <w:rsid w:val="0064299F"/>
    <w:rsid w:val="00642C10"/>
    <w:rsid w:val="0064340B"/>
    <w:rsid w:val="006435AF"/>
    <w:rsid w:val="00643CD7"/>
    <w:rsid w:val="00643FB7"/>
    <w:rsid w:val="00644262"/>
    <w:rsid w:val="0064561F"/>
    <w:rsid w:val="00645E82"/>
    <w:rsid w:val="006464CF"/>
    <w:rsid w:val="00646F82"/>
    <w:rsid w:val="006477C3"/>
    <w:rsid w:val="00650399"/>
    <w:rsid w:val="00650E28"/>
    <w:rsid w:val="00651238"/>
    <w:rsid w:val="006513D6"/>
    <w:rsid w:val="006517FE"/>
    <w:rsid w:val="00651E38"/>
    <w:rsid w:val="00652C24"/>
    <w:rsid w:val="0065306E"/>
    <w:rsid w:val="0065342B"/>
    <w:rsid w:val="0065364C"/>
    <w:rsid w:val="00654EE0"/>
    <w:rsid w:val="00655C9A"/>
    <w:rsid w:val="00655F01"/>
    <w:rsid w:val="00656365"/>
    <w:rsid w:val="00657D9D"/>
    <w:rsid w:val="006605A2"/>
    <w:rsid w:val="00660C53"/>
    <w:rsid w:val="00663802"/>
    <w:rsid w:val="006641F8"/>
    <w:rsid w:val="006642CB"/>
    <w:rsid w:val="006653FE"/>
    <w:rsid w:val="00665D27"/>
    <w:rsid w:val="006678ED"/>
    <w:rsid w:val="00667F3A"/>
    <w:rsid w:val="00671F8C"/>
    <w:rsid w:val="006728E0"/>
    <w:rsid w:val="00672CFF"/>
    <w:rsid w:val="00673B79"/>
    <w:rsid w:val="00674B83"/>
    <w:rsid w:val="00675A95"/>
    <w:rsid w:val="00675B28"/>
    <w:rsid w:val="00675CFF"/>
    <w:rsid w:val="006809C3"/>
    <w:rsid w:val="00683134"/>
    <w:rsid w:val="00684325"/>
    <w:rsid w:val="00684BEA"/>
    <w:rsid w:val="00685065"/>
    <w:rsid w:val="00685806"/>
    <w:rsid w:val="00686769"/>
    <w:rsid w:val="00686AA3"/>
    <w:rsid w:val="00686B45"/>
    <w:rsid w:val="0068792E"/>
    <w:rsid w:val="00687FEE"/>
    <w:rsid w:val="00690221"/>
    <w:rsid w:val="006908DD"/>
    <w:rsid w:val="006923A1"/>
    <w:rsid w:val="00692A36"/>
    <w:rsid w:val="00693680"/>
    <w:rsid w:val="00693FCC"/>
    <w:rsid w:val="006949C8"/>
    <w:rsid w:val="00694CB9"/>
    <w:rsid w:val="00695259"/>
    <w:rsid w:val="0069580C"/>
    <w:rsid w:val="006A0984"/>
    <w:rsid w:val="006A1B20"/>
    <w:rsid w:val="006A1FAD"/>
    <w:rsid w:val="006A28E8"/>
    <w:rsid w:val="006A29CF"/>
    <w:rsid w:val="006A3A2F"/>
    <w:rsid w:val="006A443E"/>
    <w:rsid w:val="006A4C99"/>
    <w:rsid w:val="006A65D6"/>
    <w:rsid w:val="006A75C6"/>
    <w:rsid w:val="006B0E06"/>
    <w:rsid w:val="006B0E85"/>
    <w:rsid w:val="006B1436"/>
    <w:rsid w:val="006B192C"/>
    <w:rsid w:val="006B20E7"/>
    <w:rsid w:val="006B23D8"/>
    <w:rsid w:val="006B2954"/>
    <w:rsid w:val="006B318F"/>
    <w:rsid w:val="006B337B"/>
    <w:rsid w:val="006B3AF4"/>
    <w:rsid w:val="006B4EBF"/>
    <w:rsid w:val="006B6D2B"/>
    <w:rsid w:val="006C1376"/>
    <w:rsid w:val="006C3C31"/>
    <w:rsid w:val="006C4260"/>
    <w:rsid w:val="006C4ED3"/>
    <w:rsid w:val="006C6F6F"/>
    <w:rsid w:val="006C7627"/>
    <w:rsid w:val="006D0425"/>
    <w:rsid w:val="006D0A2E"/>
    <w:rsid w:val="006D1008"/>
    <w:rsid w:val="006D17B8"/>
    <w:rsid w:val="006D18B1"/>
    <w:rsid w:val="006D1AD1"/>
    <w:rsid w:val="006D6F89"/>
    <w:rsid w:val="006D7381"/>
    <w:rsid w:val="006E02CC"/>
    <w:rsid w:val="006E19D4"/>
    <w:rsid w:val="006E1A67"/>
    <w:rsid w:val="006E4FED"/>
    <w:rsid w:val="006E5DBA"/>
    <w:rsid w:val="006E79B0"/>
    <w:rsid w:val="006E7AB4"/>
    <w:rsid w:val="006E7BC6"/>
    <w:rsid w:val="006E7BE7"/>
    <w:rsid w:val="006F009D"/>
    <w:rsid w:val="006F1417"/>
    <w:rsid w:val="006F1764"/>
    <w:rsid w:val="006F5561"/>
    <w:rsid w:val="006F5915"/>
    <w:rsid w:val="006F5F24"/>
    <w:rsid w:val="006F611E"/>
    <w:rsid w:val="006F6C32"/>
    <w:rsid w:val="006F6E77"/>
    <w:rsid w:val="0070199F"/>
    <w:rsid w:val="00701B38"/>
    <w:rsid w:val="00702248"/>
    <w:rsid w:val="00702AD5"/>
    <w:rsid w:val="00704D9F"/>
    <w:rsid w:val="00705371"/>
    <w:rsid w:val="00706460"/>
    <w:rsid w:val="00706DE3"/>
    <w:rsid w:val="00707047"/>
    <w:rsid w:val="00707142"/>
    <w:rsid w:val="00707B86"/>
    <w:rsid w:val="00707ECB"/>
    <w:rsid w:val="00710CEA"/>
    <w:rsid w:val="00711807"/>
    <w:rsid w:val="00711C21"/>
    <w:rsid w:val="00713022"/>
    <w:rsid w:val="00713704"/>
    <w:rsid w:val="00713E41"/>
    <w:rsid w:val="007147C5"/>
    <w:rsid w:val="00714CAB"/>
    <w:rsid w:val="00715641"/>
    <w:rsid w:val="00715DEF"/>
    <w:rsid w:val="00715E05"/>
    <w:rsid w:val="00717446"/>
    <w:rsid w:val="00717BDE"/>
    <w:rsid w:val="007203B5"/>
    <w:rsid w:val="007248EE"/>
    <w:rsid w:val="00724B85"/>
    <w:rsid w:val="007255A0"/>
    <w:rsid w:val="00725802"/>
    <w:rsid w:val="00725820"/>
    <w:rsid w:val="0072745A"/>
    <w:rsid w:val="007275D6"/>
    <w:rsid w:val="00727B7F"/>
    <w:rsid w:val="007311E0"/>
    <w:rsid w:val="007322EF"/>
    <w:rsid w:val="00733A00"/>
    <w:rsid w:val="00734D8B"/>
    <w:rsid w:val="00735351"/>
    <w:rsid w:val="007354C1"/>
    <w:rsid w:val="007369DC"/>
    <w:rsid w:val="00736A67"/>
    <w:rsid w:val="00736B48"/>
    <w:rsid w:val="0073719B"/>
    <w:rsid w:val="0073774C"/>
    <w:rsid w:val="0074111B"/>
    <w:rsid w:val="0074216A"/>
    <w:rsid w:val="007427D3"/>
    <w:rsid w:val="007433EB"/>
    <w:rsid w:val="00745301"/>
    <w:rsid w:val="0074667A"/>
    <w:rsid w:val="0074702A"/>
    <w:rsid w:val="00747224"/>
    <w:rsid w:val="00747A02"/>
    <w:rsid w:val="00747C99"/>
    <w:rsid w:val="00750621"/>
    <w:rsid w:val="00751845"/>
    <w:rsid w:val="0075289A"/>
    <w:rsid w:val="00752FB1"/>
    <w:rsid w:val="0075535D"/>
    <w:rsid w:val="007559BB"/>
    <w:rsid w:val="00755D6F"/>
    <w:rsid w:val="00755F62"/>
    <w:rsid w:val="00756720"/>
    <w:rsid w:val="00756CE3"/>
    <w:rsid w:val="007576B5"/>
    <w:rsid w:val="00761767"/>
    <w:rsid w:val="00761C42"/>
    <w:rsid w:val="00762418"/>
    <w:rsid w:val="00762673"/>
    <w:rsid w:val="007638A4"/>
    <w:rsid w:val="0076393C"/>
    <w:rsid w:val="00764565"/>
    <w:rsid w:val="00764E0C"/>
    <w:rsid w:val="007655CD"/>
    <w:rsid w:val="00766A1E"/>
    <w:rsid w:val="00770357"/>
    <w:rsid w:val="007706A9"/>
    <w:rsid w:val="0077135B"/>
    <w:rsid w:val="00772B78"/>
    <w:rsid w:val="00773D71"/>
    <w:rsid w:val="00775072"/>
    <w:rsid w:val="00776636"/>
    <w:rsid w:val="007770C3"/>
    <w:rsid w:val="007778CC"/>
    <w:rsid w:val="00780845"/>
    <w:rsid w:val="00781696"/>
    <w:rsid w:val="007824D1"/>
    <w:rsid w:val="00782B28"/>
    <w:rsid w:val="00783818"/>
    <w:rsid w:val="007845FE"/>
    <w:rsid w:val="007861B6"/>
    <w:rsid w:val="007862DD"/>
    <w:rsid w:val="0078688D"/>
    <w:rsid w:val="00786E09"/>
    <w:rsid w:val="007910C7"/>
    <w:rsid w:val="007946A1"/>
    <w:rsid w:val="0079534D"/>
    <w:rsid w:val="00796145"/>
    <w:rsid w:val="00796B24"/>
    <w:rsid w:val="00797A88"/>
    <w:rsid w:val="007A013C"/>
    <w:rsid w:val="007A0C28"/>
    <w:rsid w:val="007A0FCD"/>
    <w:rsid w:val="007A112D"/>
    <w:rsid w:val="007A417D"/>
    <w:rsid w:val="007A44F1"/>
    <w:rsid w:val="007A48C7"/>
    <w:rsid w:val="007A4F80"/>
    <w:rsid w:val="007A50B1"/>
    <w:rsid w:val="007A5CFF"/>
    <w:rsid w:val="007A73CF"/>
    <w:rsid w:val="007A76E8"/>
    <w:rsid w:val="007A7808"/>
    <w:rsid w:val="007B0197"/>
    <w:rsid w:val="007B01F5"/>
    <w:rsid w:val="007B0218"/>
    <w:rsid w:val="007B02B1"/>
    <w:rsid w:val="007B037C"/>
    <w:rsid w:val="007B158F"/>
    <w:rsid w:val="007B2188"/>
    <w:rsid w:val="007B2C90"/>
    <w:rsid w:val="007B2E93"/>
    <w:rsid w:val="007B35B3"/>
    <w:rsid w:val="007B4658"/>
    <w:rsid w:val="007B620C"/>
    <w:rsid w:val="007B6934"/>
    <w:rsid w:val="007B6DE6"/>
    <w:rsid w:val="007C141A"/>
    <w:rsid w:val="007C181D"/>
    <w:rsid w:val="007C1855"/>
    <w:rsid w:val="007C1ADD"/>
    <w:rsid w:val="007C1FD3"/>
    <w:rsid w:val="007C2A46"/>
    <w:rsid w:val="007C3715"/>
    <w:rsid w:val="007C39BD"/>
    <w:rsid w:val="007C44E3"/>
    <w:rsid w:val="007C5EE3"/>
    <w:rsid w:val="007C6016"/>
    <w:rsid w:val="007C644C"/>
    <w:rsid w:val="007C6683"/>
    <w:rsid w:val="007C6C73"/>
    <w:rsid w:val="007C75AA"/>
    <w:rsid w:val="007C791A"/>
    <w:rsid w:val="007C7D99"/>
    <w:rsid w:val="007D1CD6"/>
    <w:rsid w:val="007D1FAB"/>
    <w:rsid w:val="007D3D02"/>
    <w:rsid w:val="007D3F4A"/>
    <w:rsid w:val="007D42B8"/>
    <w:rsid w:val="007D46EF"/>
    <w:rsid w:val="007D69F1"/>
    <w:rsid w:val="007E0C5A"/>
    <w:rsid w:val="007E1FFE"/>
    <w:rsid w:val="007E32D3"/>
    <w:rsid w:val="007E691E"/>
    <w:rsid w:val="007E6DBE"/>
    <w:rsid w:val="007E6F00"/>
    <w:rsid w:val="007E7FF3"/>
    <w:rsid w:val="007F1AF0"/>
    <w:rsid w:val="007F1F83"/>
    <w:rsid w:val="007F2C8B"/>
    <w:rsid w:val="007F35E9"/>
    <w:rsid w:val="007F3E2E"/>
    <w:rsid w:val="007F5043"/>
    <w:rsid w:val="007F61D1"/>
    <w:rsid w:val="007F62C6"/>
    <w:rsid w:val="007F74E7"/>
    <w:rsid w:val="007F7A09"/>
    <w:rsid w:val="008014A3"/>
    <w:rsid w:val="00801B73"/>
    <w:rsid w:val="00803DA8"/>
    <w:rsid w:val="00804C3D"/>
    <w:rsid w:val="008055E6"/>
    <w:rsid w:val="00806AD5"/>
    <w:rsid w:val="00807B55"/>
    <w:rsid w:val="008104ED"/>
    <w:rsid w:val="00810509"/>
    <w:rsid w:val="00810883"/>
    <w:rsid w:val="00810C18"/>
    <w:rsid w:val="008111E3"/>
    <w:rsid w:val="0081164E"/>
    <w:rsid w:val="0081168B"/>
    <w:rsid w:val="008144D8"/>
    <w:rsid w:val="008148C8"/>
    <w:rsid w:val="00816B02"/>
    <w:rsid w:val="008178CE"/>
    <w:rsid w:val="00817B7E"/>
    <w:rsid w:val="008201D2"/>
    <w:rsid w:val="00820C10"/>
    <w:rsid w:val="008211C8"/>
    <w:rsid w:val="008221A0"/>
    <w:rsid w:val="00822244"/>
    <w:rsid w:val="008222B7"/>
    <w:rsid w:val="008223D6"/>
    <w:rsid w:val="00822EE0"/>
    <w:rsid w:val="00823AAC"/>
    <w:rsid w:val="008248B7"/>
    <w:rsid w:val="00824D80"/>
    <w:rsid w:val="00824D9E"/>
    <w:rsid w:val="008261A7"/>
    <w:rsid w:val="008267D8"/>
    <w:rsid w:val="00826883"/>
    <w:rsid w:val="00826988"/>
    <w:rsid w:val="00827F36"/>
    <w:rsid w:val="00830C4C"/>
    <w:rsid w:val="0083166A"/>
    <w:rsid w:val="00831E8B"/>
    <w:rsid w:val="00834477"/>
    <w:rsid w:val="00835B13"/>
    <w:rsid w:val="00836C8E"/>
    <w:rsid w:val="00836CDF"/>
    <w:rsid w:val="008372B7"/>
    <w:rsid w:val="00837581"/>
    <w:rsid w:val="008375B7"/>
    <w:rsid w:val="00837E53"/>
    <w:rsid w:val="008402A4"/>
    <w:rsid w:val="0084267F"/>
    <w:rsid w:val="008435BF"/>
    <w:rsid w:val="00843AD9"/>
    <w:rsid w:val="00843B9E"/>
    <w:rsid w:val="00843E0C"/>
    <w:rsid w:val="0084407D"/>
    <w:rsid w:val="008469AF"/>
    <w:rsid w:val="00846D0D"/>
    <w:rsid w:val="0084768A"/>
    <w:rsid w:val="00847A51"/>
    <w:rsid w:val="0085050B"/>
    <w:rsid w:val="008507CE"/>
    <w:rsid w:val="008514D1"/>
    <w:rsid w:val="00851E92"/>
    <w:rsid w:val="008524B8"/>
    <w:rsid w:val="008528BC"/>
    <w:rsid w:val="00853C6A"/>
    <w:rsid w:val="00855615"/>
    <w:rsid w:val="0085690F"/>
    <w:rsid w:val="00857062"/>
    <w:rsid w:val="00861235"/>
    <w:rsid w:val="00861C84"/>
    <w:rsid w:val="00861DF8"/>
    <w:rsid w:val="00861F3F"/>
    <w:rsid w:val="0086266C"/>
    <w:rsid w:val="00862A59"/>
    <w:rsid w:val="00862B5F"/>
    <w:rsid w:val="008645E9"/>
    <w:rsid w:val="00865753"/>
    <w:rsid w:val="0086706A"/>
    <w:rsid w:val="00867607"/>
    <w:rsid w:val="00870702"/>
    <w:rsid w:val="00870858"/>
    <w:rsid w:val="00871A5A"/>
    <w:rsid w:val="00871DFE"/>
    <w:rsid w:val="00871F35"/>
    <w:rsid w:val="0087227B"/>
    <w:rsid w:val="0087374F"/>
    <w:rsid w:val="0087382C"/>
    <w:rsid w:val="008739DC"/>
    <w:rsid w:val="00875EBC"/>
    <w:rsid w:val="00876425"/>
    <w:rsid w:val="00876684"/>
    <w:rsid w:val="008766BA"/>
    <w:rsid w:val="00876951"/>
    <w:rsid w:val="0087730C"/>
    <w:rsid w:val="00880FEE"/>
    <w:rsid w:val="00881AEB"/>
    <w:rsid w:val="00882229"/>
    <w:rsid w:val="00882293"/>
    <w:rsid w:val="0088245A"/>
    <w:rsid w:val="008826C3"/>
    <w:rsid w:val="00882BB8"/>
    <w:rsid w:val="00882ECF"/>
    <w:rsid w:val="00883973"/>
    <w:rsid w:val="00884556"/>
    <w:rsid w:val="00884B0D"/>
    <w:rsid w:val="00885086"/>
    <w:rsid w:val="0088616A"/>
    <w:rsid w:val="00887532"/>
    <w:rsid w:val="00890A05"/>
    <w:rsid w:val="00890D7C"/>
    <w:rsid w:val="00893203"/>
    <w:rsid w:val="00893FED"/>
    <w:rsid w:val="00895915"/>
    <w:rsid w:val="00895CCA"/>
    <w:rsid w:val="00896457"/>
    <w:rsid w:val="00896C69"/>
    <w:rsid w:val="00896CE1"/>
    <w:rsid w:val="00896EF5"/>
    <w:rsid w:val="008A0C10"/>
    <w:rsid w:val="008A1C44"/>
    <w:rsid w:val="008A2FAD"/>
    <w:rsid w:val="008A36A7"/>
    <w:rsid w:val="008A38ED"/>
    <w:rsid w:val="008A3EE1"/>
    <w:rsid w:val="008A4E85"/>
    <w:rsid w:val="008A51FF"/>
    <w:rsid w:val="008A575F"/>
    <w:rsid w:val="008A5933"/>
    <w:rsid w:val="008A761F"/>
    <w:rsid w:val="008A7C2D"/>
    <w:rsid w:val="008A7CD9"/>
    <w:rsid w:val="008B0E2B"/>
    <w:rsid w:val="008B121E"/>
    <w:rsid w:val="008B19F6"/>
    <w:rsid w:val="008B242A"/>
    <w:rsid w:val="008B38E6"/>
    <w:rsid w:val="008B4A91"/>
    <w:rsid w:val="008B4ECF"/>
    <w:rsid w:val="008B57D7"/>
    <w:rsid w:val="008B5A51"/>
    <w:rsid w:val="008B5B98"/>
    <w:rsid w:val="008B60D8"/>
    <w:rsid w:val="008B72C7"/>
    <w:rsid w:val="008B744D"/>
    <w:rsid w:val="008C1D44"/>
    <w:rsid w:val="008C22C0"/>
    <w:rsid w:val="008C273F"/>
    <w:rsid w:val="008C2AA4"/>
    <w:rsid w:val="008C410D"/>
    <w:rsid w:val="008C41CC"/>
    <w:rsid w:val="008C45B8"/>
    <w:rsid w:val="008C4745"/>
    <w:rsid w:val="008C4932"/>
    <w:rsid w:val="008C547A"/>
    <w:rsid w:val="008C6F8B"/>
    <w:rsid w:val="008C7423"/>
    <w:rsid w:val="008D05FD"/>
    <w:rsid w:val="008D09C4"/>
    <w:rsid w:val="008D0D6C"/>
    <w:rsid w:val="008D1B2A"/>
    <w:rsid w:val="008D1E36"/>
    <w:rsid w:val="008D202F"/>
    <w:rsid w:val="008D2DD2"/>
    <w:rsid w:val="008D2F72"/>
    <w:rsid w:val="008D359F"/>
    <w:rsid w:val="008D39D3"/>
    <w:rsid w:val="008D4A9D"/>
    <w:rsid w:val="008D53AC"/>
    <w:rsid w:val="008D6EFE"/>
    <w:rsid w:val="008E05C3"/>
    <w:rsid w:val="008E06B6"/>
    <w:rsid w:val="008E0AA2"/>
    <w:rsid w:val="008E145F"/>
    <w:rsid w:val="008E543A"/>
    <w:rsid w:val="008E562F"/>
    <w:rsid w:val="008E75D8"/>
    <w:rsid w:val="008E785E"/>
    <w:rsid w:val="008F1388"/>
    <w:rsid w:val="008F146B"/>
    <w:rsid w:val="008F206A"/>
    <w:rsid w:val="008F25EB"/>
    <w:rsid w:val="008F26FC"/>
    <w:rsid w:val="008F2BB4"/>
    <w:rsid w:val="008F4FD9"/>
    <w:rsid w:val="008F59A4"/>
    <w:rsid w:val="008F63C3"/>
    <w:rsid w:val="00900C10"/>
    <w:rsid w:val="009019C9"/>
    <w:rsid w:val="0090311C"/>
    <w:rsid w:val="009031AF"/>
    <w:rsid w:val="00903696"/>
    <w:rsid w:val="00903D00"/>
    <w:rsid w:val="0090433A"/>
    <w:rsid w:val="009057A2"/>
    <w:rsid w:val="00905843"/>
    <w:rsid w:val="00905C27"/>
    <w:rsid w:val="0090738A"/>
    <w:rsid w:val="00907BE7"/>
    <w:rsid w:val="00907DAC"/>
    <w:rsid w:val="00907F67"/>
    <w:rsid w:val="0091098F"/>
    <w:rsid w:val="00911777"/>
    <w:rsid w:val="0091260E"/>
    <w:rsid w:val="00912EDB"/>
    <w:rsid w:val="00913959"/>
    <w:rsid w:val="00913A97"/>
    <w:rsid w:val="009157B3"/>
    <w:rsid w:val="00915C36"/>
    <w:rsid w:val="009167D7"/>
    <w:rsid w:val="00916852"/>
    <w:rsid w:val="00916BF5"/>
    <w:rsid w:val="00917C3B"/>
    <w:rsid w:val="0092050C"/>
    <w:rsid w:val="009210EA"/>
    <w:rsid w:val="00921B86"/>
    <w:rsid w:val="00921DC5"/>
    <w:rsid w:val="0092240C"/>
    <w:rsid w:val="00922684"/>
    <w:rsid w:val="00924D3F"/>
    <w:rsid w:val="00926768"/>
    <w:rsid w:val="00926D3B"/>
    <w:rsid w:val="00926F71"/>
    <w:rsid w:val="00931431"/>
    <w:rsid w:val="0093162C"/>
    <w:rsid w:val="009318A3"/>
    <w:rsid w:val="00931B34"/>
    <w:rsid w:val="0093213F"/>
    <w:rsid w:val="00934BA4"/>
    <w:rsid w:val="009353E0"/>
    <w:rsid w:val="00936BA3"/>
    <w:rsid w:val="00940306"/>
    <w:rsid w:val="00940A70"/>
    <w:rsid w:val="009434F7"/>
    <w:rsid w:val="00943684"/>
    <w:rsid w:val="00943B4E"/>
    <w:rsid w:val="00943EC1"/>
    <w:rsid w:val="00944769"/>
    <w:rsid w:val="00945DF0"/>
    <w:rsid w:val="0094690A"/>
    <w:rsid w:val="00947CB7"/>
    <w:rsid w:val="00947D41"/>
    <w:rsid w:val="00947E0C"/>
    <w:rsid w:val="00950691"/>
    <w:rsid w:val="009511AC"/>
    <w:rsid w:val="00952862"/>
    <w:rsid w:val="00955241"/>
    <w:rsid w:val="00955533"/>
    <w:rsid w:val="009556BE"/>
    <w:rsid w:val="00955FDC"/>
    <w:rsid w:val="009566ED"/>
    <w:rsid w:val="00956D11"/>
    <w:rsid w:val="009605FB"/>
    <w:rsid w:val="00960892"/>
    <w:rsid w:val="00961C48"/>
    <w:rsid w:val="00962708"/>
    <w:rsid w:val="00964208"/>
    <w:rsid w:val="00964820"/>
    <w:rsid w:val="009701E8"/>
    <w:rsid w:val="009702B0"/>
    <w:rsid w:val="00970E2A"/>
    <w:rsid w:val="0097118D"/>
    <w:rsid w:val="00971E2C"/>
    <w:rsid w:val="00972B7C"/>
    <w:rsid w:val="009734A1"/>
    <w:rsid w:val="009735C5"/>
    <w:rsid w:val="00974733"/>
    <w:rsid w:val="00977ADD"/>
    <w:rsid w:val="00980142"/>
    <w:rsid w:val="00981B9A"/>
    <w:rsid w:val="009827BC"/>
    <w:rsid w:val="0098293C"/>
    <w:rsid w:val="00983175"/>
    <w:rsid w:val="00983F4F"/>
    <w:rsid w:val="00985306"/>
    <w:rsid w:val="0098567E"/>
    <w:rsid w:val="00985E10"/>
    <w:rsid w:val="00986A0B"/>
    <w:rsid w:val="009877D4"/>
    <w:rsid w:val="00987C46"/>
    <w:rsid w:val="00987DBF"/>
    <w:rsid w:val="009908EE"/>
    <w:rsid w:val="009921EE"/>
    <w:rsid w:val="00994CBC"/>
    <w:rsid w:val="00995F9A"/>
    <w:rsid w:val="00996DA0"/>
    <w:rsid w:val="009970FB"/>
    <w:rsid w:val="009973EB"/>
    <w:rsid w:val="009977C4"/>
    <w:rsid w:val="009A0DF2"/>
    <w:rsid w:val="009A116B"/>
    <w:rsid w:val="009A21F4"/>
    <w:rsid w:val="009A22DE"/>
    <w:rsid w:val="009A39BD"/>
    <w:rsid w:val="009A475B"/>
    <w:rsid w:val="009A5C3D"/>
    <w:rsid w:val="009A5D6A"/>
    <w:rsid w:val="009A674B"/>
    <w:rsid w:val="009A78D7"/>
    <w:rsid w:val="009A7A30"/>
    <w:rsid w:val="009A7C27"/>
    <w:rsid w:val="009B07E4"/>
    <w:rsid w:val="009B088B"/>
    <w:rsid w:val="009B20BA"/>
    <w:rsid w:val="009B2E72"/>
    <w:rsid w:val="009B2EE8"/>
    <w:rsid w:val="009B51DF"/>
    <w:rsid w:val="009B6196"/>
    <w:rsid w:val="009B681D"/>
    <w:rsid w:val="009C0405"/>
    <w:rsid w:val="009C1047"/>
    <w:rsid w:val="009C12A9"/>
    <w:rsid w:val="009C151B"/>
    <w:rsid w:val="009C23B3"/>
    <w:rsid w:val="009C2AE4"/>
    <w:rsid w:val="009C2BC7"/>
    <w:rsid w:val="009C2D15"/>
    <w:rsid w:val="009C3CAA"/>
    <w:rsid w:val="009C4B94"/>
    <w:rsid w:val="009C511D"/>
    <w:rsid w:val="009C5933"/>
    <w:rsid w:val="009C69D5"/>
    <w:rsid w:val="009D0A38"/>
    <w:rsid w:val="009D0C13"/>
    <w:rsid w:val="009D2ADC"/>
    <w:rsid w:val="009D43D4"/>
    <w:rsid w:val="009D4562"/>
    <w:rsid w:val="009D467E"/>
    <w:rsid w:val="009D6004"/>
    <w:rsid w:val="009D73F8"/>
    <w:rsid w:val="009D7407"/>
    <w:rsid w:val="009E2294"/>
    <w:rsid w:val="009E26F9"/>
    <w:rsid w:val="009E55C2"/>
    <w:rsid w:val="009E5829"/>
    <w:rsid w:val="009E59E7"/>
    <w:rsid w:val="009E5B83"/>
    <w:rsid w:val="009E65AC"/>
    <w:rsid w:val="009E66D0"/>
    <w:rsid w:val="009E7570"/>
    <w:rsid w:val="009E78B7"/>
    <w:rsid w:val="009F024C"/>
    <w:rsid w:val="009F0BBB"/>
    <w:rsid w:val="009F158B"/>
    <w:rsid w:val="009F1C68"/>
    <w:rsid w:val="009F280B"/>
    <w:rsid w:val="009F2D0E"/>
    <w:rsid w:val="009F3910"/>
    <w:rsid w:val="009F46ED"/>
    <w:rsid w:val="009F5121"/>
    <w:rsid w:val="009F5C15"/>
    <w:rsid w:val="009F6748"/>
    <w:rsid w:val="009F6FF5"/>
    <w:rsid w:val="009F721C"/>
    <w:rsid w:val="00A000B0"/>
    <w:rsid w:val="00A004D1"/>
    <w:rsid w:val="00A012E3"/>
    <w:rsid w:val="00A01752"/>
    <w:rsid w:val="00A038EE"/>
    <w:rsid w:val="00A04561"/>
    <w:rsid w:val="00A05FF8"/>
    <w:rsid w:val="00A06264"/>
    <w:rsid w:val="00A0688D"/>
    <w:rsid w:val="00A06BBC"/>
    <w:rsid w:val="00A106A1"/>
    <w:rsid w:val="00A10B24"/>
    <w:rsid w:val="00A10FA9"/>
    <w:rsid w:val="00A11282"/>
    <w:rsid w:val="00A1448E"/>
    <w:rsid w:val="00A169AD"/>
    <w:rsid w:val="00A17353"/>
    <w:rsid w:val="00A209AE"/>
    <w:rsid w:val="00A210AD"/>
    <w:rsid w:val="00A21599"/>
    <w:rsid w:val="00A21B77"/>
    <w:rsid w:val="00A22859"/>
    <w:rsid w:val="00A2322C"/>
    <w:rsid w:val="00A23AEB"/>
    <w:rsid w:val="00A23B22"/>
    <w:rsid w:val="00A23F12"/>
    <w:rsid w:val="00A249B7"/>
    <w:rsid w:val="00A26109"/>
    <w:rsid w:val="00A27023"/>
    <w:rsid w:val="00A35077"/>
    <w:rsid w:val="00A35BC6"/>
    <w:rsid w:val="00A366B9"/>
    <w:rsid w:val="00A366C7"/>
    <w:rsid w:val="00A37280"/>
    <w:rsid w:val="00A37E29"/>
    <w:rsid w:val="00A408A9"/>
    <w:rsid w:val="00A40CA9"/>
    <w:rsid w:val="00A411F8"/>
    <w:rsid w:val="00A415A8"/>
    <w:rsid w:val="00A417EF"/>
    <w:rsid w:val="00A41F05"/>
    <w:rsid w:val="00A46524"/>
    <w:rsid w:val="00A474DD"/>
    <w:rsid w:val="00A501F8"/>
    <w:rsid w:val="00A51A45"/>
    <w:rsid w:val="00A52271"/>
    <w:rsid w:val="00A522B4"/>
    <w:rsid w:val="00A541D8"/>
    <w:rsid w:val="00A54254"/>
    <w:rsid w:val="00A5622B"/>
    <w:rsid w:val="00A568F9"/>
    <w:rsid w:val="00A57065"/>
    <w:rsid w:val="00A57A65"/>
    <w:rsid w:val="00A57CCF"/>
    <w:rsid w:val="00A57D09"/>
    <w:rsid w:val="00A61B39"/>
    <w:rsid w:val="00A61C88"/>
    <w:rsid w:val="00A62E0F"/>
    <w:rsid w:val="00A62F99"/>
    <w:rsid w:val="00A632F1"/>
    <w:rsid w:val="00A63E7A"/>
    <w:rsid w:val="00A649B0"/>
    <w:rsid w:val="00A65CDF"/>
    <w:rsid w:val="00A663E1"/>
    <w:rsid w:val="00A70A72"/>
    <w:rsid w:val="00A71707"/>
    <w:rsid w:val="00A71A3C"/>
    <w:rsid w:val="00A71B19"/>
    <w:rsid w:val="00A72FA6"/>
    <w:rsid w:val="00A73481"/>
    <w:rsid w:val="00A736CD"/>
    <w:rsid w:val="00A73CD1"/>
    <w:rsid w:val="00A7704D"/>
    <w:rsid w:val="00A77CCC"/>
    <w:rsid w:val="00A81072"/>
    <w:rsid w:val="00A81149"/>
    <w:rsid w:val="00A82C24"/>
    <w:rsid w:val="00A82CEC"/>
    <w:rsid w:val="00A833C2"/>
    <w:rsid w:val="00A8485A"/>
    <w:rsid w:val="00A84E40"/>
    <w:rsid w:val="00A86096"/>
    <w:rsid w:val="00A86E1C"/>
    <w:rsid w:val="00A872EB"/>
    <w:rsid w:val="00A919EE"/>
    <w:rsid w:val="00A91F75"/>
    <w:rsid w:val="00A9211C"/>
    <w:rsid w:val="00A92476"/>
    <w:rsid w:val="00A94F0C"/>
    <w:rsid w:val="00A959D3"/>
    <w:rsid w:val="00A967B6"/>
    <w:rsid w:val="00A96891"/>
    <w:rsid w:val="00A96AE7"/>
    <w:rsid w:val="00A96D05"/>
    <w:rsid w:val="00A96D92"/>
    <w:rsid w:val="00A9730C"/>
    <w:rsid w:val="00A97470"/>
    <w:rsid w:val="00AA0C48"/>
    <w:rsid w:val="00AA20DA"/>
    <w:rsid w:val="00AA3AC0"/>
    <w:rsid w:val="00AA3EA3"/>
    <w:rsid w:val="00AA4235"/>
    <w:rsid w:val="00AA45A6"/>
    <w:rsid w:val="00AA45EA"/>
    <w:rsid w:val="00AA50E7"/>
    <w:rsid w:val="00AA63E5"/>
    <w:rsid w:val="00AA7454"/>
    <w:rsid w:val="00AA7A2D"/>
    <w:rsid w:val="00AB0B5A"/>
    <w:rsid w:val="00AB1136"/>
    <w:rsid w:val="00AB15CD"/>
    <w:rsid w:val="00AB228E"/>
    <w:rsid w:val="00AB275A"/>
    <w:rsid w:val="00AB2772"/>
    <w:rsid w:val="00AB33EF"/>
    <w:rsid w:val="00AB4E42"/>
    <w:rsid w:val="00AB4FDB"/>
    <w:rsid w:val="00AB5264"/>
    <w:rsid w:val="00AB5ABA"/>
    <w:rsid w:val="00AB64CC"/>
    <w:rsid w:val="00AB76F4"/>
    <w:rsid w:val="00AC0885"/>
    <w:rsid w:val="00AC0D7B"/>
    <w:rsid w:val="00AC2E60"/>
    <w:rsid w:val="00AC371C"/>
    <w:rsid w:val="00AC3C7D"/>
    <w:rsid w:val="00AC3CD5"/>
    <w:rsid w:val="00AC41AC"/>
    <w:rsid w:val="00AC4D66"/>
    <w:rsid w:val="00AC787D"/>
    <w:rsid w:val="00AC7E63"/>
    <w:rsid w:val="00AD06C7"/>
    <w:rsid w:val="00AD162A"/>
    <w:rsid w:val="00AD1B57"/>
    <w:rsid w:val="00AD3F94"/>
    <w:rsid w:val="00AD47DA"/>
    <w:rsid w:val="00AD50F5"/>
    <w:rsid w:val="00AD5D89"/>
    <w:rsid w:val="00AD771C"/>
    <w:rsid w:val="00AD7E1B"/>
    <w:rsid w:val="00AD7F4C"/>
    <w:rsid w:val="00AE069A"/>
    <w:rsid w:val="00AE09B0"/>
    <w:rsid w:val="00AE0C43"/>
    <w:rsid w:val="00AE12ED"/>
    <w:rsid w:val="00AE1A35"/>
    <w:rsid w:val="00AE2240"/>
    <w:rsid w:val="00AE25B8"/>
    <w:rsid w:val="00AE262B"/>
    <w:rsid w:val="00AE2DA1"/>
    <w:rsid w:val="00AE3813"/>
    <w:rsid w:val="00AE534B"/>
    <w:rsid w:val="00AE5967"/>
    <w:rsid w:val="00AE5AA9"/>
    <w:rsid w:val="00AE5B06"/>
    <w:rsid w:val="00AE5F00"/>
    <w:rsid w:val="00AE7338"/>
    <w:rsid w:val="00AE7476"/>
    <w:rsid w:val="00AE7CF3"/>
    <w:rsid w:val="00AF20AF"/>
    <w:rsid w:val="00AF2F43"/>
    <w:rsid w:val="00AF37F3"/>
    <w:rsid w:val="00AF3F0C"/>
    <w:rsid w:val="00AF5587"/>
    <w:rsid w:val="00AF594B"/>
    <w:rsid w:val="00AF599F"/>
    <w:rsid w:val="00AF5D99"/>
    <w:rsid w:val="00AF7269"/>
    <w:rsid w:val="00B00BE4"/>
    <w:rsid w:val="00B00D65"/>
    <w:rsid w:val="00B01DFE"/>
    <w:rsid w:val="00B02B90"/>
    <w:rsid w:val="00B0477A"/>
    <w:rsid w:val="00B05DE3"/>
    <w:rsid w:val="00B0623A"/>
    <w:rsid w:val="00B07241"/>
    <w:rsid w:val="00B07AAB"/>
    <w:rsid w:val="00B10A9D"/>
    <w:rsid w:val="00B113E0"/>
    <w:rsid w:val="00B13741"/>
    <w:rsid w:val="00B1432E"/>
    <w:rsid w:val="00B14919"/>
    <w:rsid w:val="00B15893"/>
    <w:rsid w:val="00B15AB8"/>
    <w:rsid w:val="00B15E69"/>
    <w:rsid w:val="00B15FF7"/>
    <w:rsid w:val="00B16278"/>
    <w:rsid w:val="00B1715B"/>
    <w:rsid w:val="00B17C16"/>
    <w:rsid w:val="00B20BD7"/>
    <w:rsid w:val="00B21539"/>
    <w:rsid w:val="00B21660"/>
    <w:rsid w:val="00B21BD8"/>
    <w:rsid w:val="00B221FE"/>
    <w:rsid w:val="00B23032"/>
    <w:rsid w:val="00B23F37"/>
    <w:rsid w:val="00B24B2A"/>
    <w:rsid w:val="00B24D71"/>
    <w:rsid w:val="00B24F55"/>
    <w:rsid w:val="00B25458"/>
    <w:rsid w:val="00B26440"/>
    <w:rsid w:val="00B2656E"/>
    <w:rsid w:val="00B30067"/>
    <w:rsid w:val="00B30454"/>
    <w:rsid w:val="00B3066A"/>
    <w:rsid w:val="00B30A4E"/>
    <w:rsid w:val="00B30A82"/>
    <w:rsid w:val="00B30F36"/>
    <w:rsid w:val="00B31EBC"/>
    <w:rsid w:val="00B345CE"/>
    <w:rsid w:val="00B34A69"/>
    <w:rsid w:val="00B35BFB"/>
    <w:rsid w:val="00B35D9E"/>
    <w:rsid w:val="00B35F30"/>
    <w:rsid w:val="00B362C1"/>
    <w:rsid w:val="00B369E3"/>
    <w:rsid w:val="00B36F51"/>
    <w:rsid w:val="00B375E9"/>
    <w:rsid w:val="00B37603"/>
    <w:rsid w:val="00B3779D"/>
    <w:rsid w:val="00B4240F"/>
    <w:rsid w:val="00B42E0F"/>
    <w:rsid w:val="00B4331C"/>
    <w:rsid w:val="00B44176"/>
    <w:rsid w:val="00B45788"/>
    <w:rsid w:val="00B45DC1"/>
    <w:rsid w:val="00B46927"/>
    <w:rsid w:val="00B5103A"/>
    <w:rsid w:val="00B54324"/>
    <w:rsid w:val="00B55328"/>
    <w:rsid w:val="00B55691"/>
    <w:rsid w:val="00B55825"/>
    <w:rsid w:val="00B55C92"/>
    <w:rsid w:val="00B56328"/>
    <w:rsid w:val="00B563FD"/>
    <w:rsid w:val="00B564E4"/>
    <w:rsid w:val="00B56526"/>
    <w:rsid w:val="00B56901"/>
    <w:rsid w:val="00B56E29"/>
    <w:rsid w:val="00B57C13"/>
    <w:rsid w:val="00B60235"/>
    <w:rsid w:val="00B60583"/>
    <w:rsid w:val="00B605DE"/>
    <w:rsid w:val="00B60D79"/>
    <w:rsid w:val="00B619FA"/>
    <w:rsid w:val="00B61B93"/>
    <w:rsid w:val="00B62900"/>
    <w:rsid w:val="00B62C34"/>
    <w:rsid w:val="00B636BD"/>
    <w:rsid w:val="00B63F57"/>
    <w:rsid w:val="00B64920"/>
    <w:rsid w:val="00B65398"/>
    <w:rsid w:val="00B65399"/>
    <w:rsid w:val="00B65DAB"/>
    <w:rsid w:val="00B666B8"/>
    <w:rsid w:val="00B670F3"/>
    <w:rsid w:val="00B675AD"/>
    <w:rsid w:val="00B67A64"/>
    <w:rsid w:val="00B7121B"/>
    <w:rsid w:val="00B71CBC"/>
    <w:rsid w:val="00B71D34"/>
    <w:rsid w:val="00B71EDC"/>
    <w:rsid w:val="00B72568"/>
    <w:rsid w:val="00B73732"/>
    <w:rsid w:val="00B7530A"/>
    <w:rsid w:val="00B75A03"/>
    <w:rsid w:val="00B75A7D"/>
    <w:rsid w:val="00B76000"/>
    <w:rsid w:val="00B76AA0"/>
    <w:rsid w:val="00B77840"/>
    <w:rsid w:val="00B779AD"/>
    <w:rsid w:val="00B77E74"/>
    <w:rsid w:val="00B80155"/>
    <w:rsid w:val="00B80592"/>
    <w:rsid w:val="00B80DDF"/>
    <w:rsid w:val="00B80E06"/>
    <w:rsid w:val="00B81504"/>
    <w:rsid w:val="00B81643"/>
    <w:rsid w:val="00B81905"/>
    <w:rsid w:val="00B81E3B"/>
    <w:rsid w:val="00B822FB"/>
    <w:rsid w:val="00B82907"/>
    <w:rsid w:val="00B83689"/>
    <w:rsid w:val="00B84D20"/>
    <w:rsid w:val="00B85043"/>
    <w:rsid w:val="00B858DF"/>
    <w:rsid w:val="00B87276"/>
    <w:rsid w:val="00B879F1"/>
    <w:rsid w:val="00B87E7D"/>
    <w:rsid w:val="00B92569"/>
    <w:rsid w:val="00B93BD1"/>
    <w:rsid w:val="00B93E85"/>
    <w:rsid w:val="00B94DD5"/>
    <w:rsid w:val="00B954EC"/>
    <w:rsid w:val="00B97A92"/>
    <w:rsid w:val="00BA0208"/>
    <w:rsid w:val="00BA04F5"/>
    <w:rsid w:val="00BA0FD0"/>
    <w:rsid w:val="00BA1614"/>
    <w:rsid w:val="00BA1AC9"/>
    <w:rsid w:val="00BA25F4"/>
    <w:rsid w:val="00BA2CE4"/>
    <w:rsid w:val="00BA2E3F"/>
    <w:rsid w:val="00BA3445"/>
    <w:rsid w:val="00BA3655"/>
    <w:rsid w:val="00BA39B4"/>
    <w:rsid w:val="00BA3F2A"/>
    <w:rsid w:val="00BA627D"/>
    <w:rsid w:val="00BA6627"/>
    <w:rsid w:val="00BA6638"/>
    <w:rsid w:val="00BA767F"/>
    <w:rsid w:val="00BA7906"/>
    <w:rsid w:val="00BA7DA1"/>
    <w:rsid w:val="00BB095B"/>
    <w:rsid w:val="00BB0B92"/>
    <w:rsid w:val="00BB146F"/>
    <w:rsid w:val="00BB16A5"/>
    <w:rsid w:val="00BB1ED5"/>
    <w:rsid w:val="00BB1FCB"/>
    <w:rsid w:val="00BB2719"/>
    <w:rsid w:val="00BB2BE7"/>
    <w:rsid w:val="00BB3245"/>
    <w:rsid w:val="00BB3267"/>
    <w:rsid w:val="00BB5575"/>
    <w:rsid w:val="00BB65D6"/>
    <w:rsid w:val="00BB6647"/>
    <w:rsid w:val="00BB66AE"/>
    <w:rsid w:val="00BB7DF4"/>
    <w:rsid w:val="00BC0532"/>
    <w:rsid w:val="00BC0E1F"/>
    <w:rsid w:val="00BC1012"/>
    <w:rsid w:val="00BC1A0E"/>
    <w:rsid w:val="00BC2827"/>
    <w:rsid w:val="00BC34E3"/>
    <w:rsid w:val="00BC3B23"/>
    <w:rsid w:val="00BC557D"/>
    <w:rsid w:val="00BC5874"/>
    <w:rsid w:val="00BC7358"/>
    <w:rsid w:val="00BC744D"/>
    <w:rsid w:val="00BC7920"/>
    <w:rsid w:val="00BD15B5"/>
    <w:rsid w:val="00BD197E"/>
    <w:rsid w:val="00BD5C46"/>
    <w:rsid w:val="00BD634B"/>
    <w:rsid w:val="00BD65D7"/>
    <w:rsid w:val="00BD6739"/>
    <w:rsid w:val="00BD792F"/>
    <w:rsid w:val="00BE159F"/>
    <w:rsid w:val="00BE2366"/>
    <w:rsid w:val="00BE35B9"/>
    <w:rsid w:val="00BE3DF8"/>
    <w:rsid w:val="00BE694D"/>
    <w:rsid w:val="00BE7713"/>
    <w:rsid w:val="00BF07AD"/>
    <w:rsid w:val="00BF2624"/>
    <w:rsid w:val="00BF2A26"/>
    <w:rsid w:val="00BF31F9"/>
    <w:rsid w:val="00BF3DE3"/>
    <w:rsid w:val="00BF3F8B"/>
    <w:rsid w:val="00BF495C"/>
    <w:rsid w:val="00BF61AC"/>
    <w:rsid w:val="00BF63A2"/>
    <w:rsid w:val="00BF6BC3"/>
    <w:rsid w:val="00BF71A7"/>
    <w:rsid w:val="00BF7E5D"/>
    <w:rsid w:val="00C00D73"/>
    <w:rsid w:val="00C00F17"/>
    <w:rsid w:val="00C01F25"/>
    <w:rsid w:val="00C062C4"/>
    <w:rsid w:val="00C06BF5"/>
    <w:rsid w:val="00C06FC9"/>
    <w:rsid w:val="00C108A7"/>
    <w:rsid w:val="00C13582"/>
    <w:rsid w:val="00C13D97"/>
    <w:rsid w:val="00C14CDA"/>
    <w:rsid w:val="00C1501E"/>
    <w:rsid w:val="00C16139"/>
    <w:rsid w:val="00C172EB"/>
    <w:rsid w:val="00C1734A"/>
    <w:rsid w:val="00C1772D"/>
    <w:rsid w:val="00C21315"/>
    <w:rsid w:val="00C21858"/>
    <w:rsid w:val="00C21DE4"/>
    <w:rsid w:val="00C21E9F"/>
    <w:rsid w:val="00C220B0"/>
    <w:rsid w:val="00C22286"/>
    <w:rsid w:val="00C2240F"/>
    <w:rsid w:val="00C23408"/>
    <w:rsid w:val="00C234AE"/>
    <w:rsid w:val="00C23A2C"/>
    <w:rsid w:val="00C23A73"/>
    <w:rsid w:val="00C23E3D"/>
    <w:rsid w:val="00C23E5D"/>
    <w:rsid w:val="00C23F32"/>
    <w:rsid w:val="00C24072"/>
    <w:rsid w:val="00C25653"/>
    <w:rsid w:val="00C25A5E"/>
    <w:rsid w:val="00C27020"/>
    <w:rsid w:val="00C27560"/>
    <w:rsid w:val="00C301EF"/>
    <w:rsid w:val="00C3029B"/>
    <w:rsid w:val="00C3040E"/>
    <w:rsid w:val="00C318DA"/>
    <w:rsid w:val="00C31C6A"/>
    <w:rsid w:val="00C32433"/>
    <w:rsid w:val="00C32561"/>
    <w:rsid w:val="00C32F2F"/>
    <w:rsid w:val="00C3456F"/>
    <w:rsid w:val="00C3471B"/>
    <w:rsid w:val="00C355FB"/>
    <w:rsid w:val="00C35DE1"/>
    <w:rsid w:val="00C4108C"/>
    <w:rsid w:val="00C41346"/>
    <w:rsid w:val="00C416EE"/>
    <w:rsid w:val="00C41F32"/>
    <w:rsid w:val="00C41FFD"/>
    <w:rsid w:val="00C4266C"/>
    <w:rsid w:val="00C42D42"/>
    <w:rsid w:val="00C432B4"/>
    <w:rsid w:val="00C436B9"/>
    <w:rsid w:val="00C44079"/>
    <w:rsid w:val="00C44243"/>
    <w:rsid w:val="00C45AE1"/>
    <w:rsid w:val="00C4628A"/>
    <w:rsid w:val="00C46734"/>
    <w:rsid w:val="00C46A2C"/>
    <w:rsid w:val="00C46D88"/>
    <w:rsid w:val="00C47E4A"/>
    <w:rsid w:val="00C50BED"/>
    <w:rsid w:val="00C5158D"/>
    <w:rsid w:val="00C51632"/>
    <w:rsid w:val="00C52066"/>
    <w:rsid w:val="00C52AE5"/>
    <w:rsid w:val="00C531E5"/>
    <w:rsid w:val="00C53B39"/>
    <w:rsid w:val="00C53B46"/>
    <w:rsid w:val="00C53D68"/>
    <w:rsid w:val="00C54D69"/>
    <w:rsid w:val="00C551E6"/>
    <w:rsid w:val="00C560BF"/>
    <w:rsid w:val="00C565E3"/>
    <w:rsid w:val="00C56E63"/>
    <w:rsid w:val="00C57289"/>
    <w:rsid w:val="00C61303"/>
    <w:rsid w:val="00C6181F"/>
    <w:rsid w:val="00C63730"/>
    <w:rsid w:val="00C6450D"/>
    <w:rsid w:val="00C64AF1"/>
    <w:rsid w:val="00C64FCA"/>
    <w:rsid w:val="00C65417"/>
    <w:rsid w:val="00C65F17"/>
    <w:rsid w:val="00C660ED"/>
    <w:rsid w:val="00C66644"/>
    <w:rsid w:val="00C679D8"/>
    <w:rsid w:val="00C702CF"/>
    <w:rsid w:val="00C70BCA"/>
    <w:rsid w:val="00C71155"/>
    <w:rsid w:val="00C7238A"/>
    <w:rsid w:val="00C74ACE"/>
    <w:rsid w:val="00C755DC"/>
    <w:rsid w:val="00C7581E"/>
    <w:rsid w:val="00C76200"/>
    <w:rsid w:val="00C80912"/>
    <w:rsid w:val="00C813C4"/>
    <w:rsid w:val="00C81C4C"/>
    <w:rsid w:val="00C81C91"/>
    <w:rsid w:val="00C82368"/>
    <w:rsid w:val="00C823EB"/>
    <w:rsid w:val="00C835B0"/>
    <w:rsid w:val="00C8399E"/>
    <w:rsid w:val="00C85990"/>
    <w:rsid w:val="00C862C5"/>
    <w:rsid w:val="00C86B38"/>
    <w:rsid w:val="00C86DF8"/>
    <w:rsid w:val="00C8749E"/>
    <w:rsid w:val="00C875E9"/>
    <w:rsid w:val="00C87AB8"/>
    <w:rsid w:val="00C90206"/>
    <w:rsid w:val="00C9050B"/>
    <w:rsid w:val="00C90B15"/>
    <w:rsid w:val="00C9125A"/>
    <w:rsid w:val="00C9214D"/>
    <w:rsid w:val="00C92B4B"/>
    <w:rsid w:val="00C932F2"/>
    <w:rsid w:val="00C93B24"/>
    <w:rsid w:val="00C940AF"/>
    <w:rsid w:val="00C9421C"/>
    <w:rsid w:val="00C94917"/>
    <w:rsid w:val="00C949E3"/>
    <w:rsid w:val="00C94DF0"/>
    <w:rsid w:val="00C95219"/>
    <w:rsid w:val="00C9679A"/>
    <w:rsid w:val="00C96ABF"/>
    <w:rsid w:val="00C97A45"/>
    <w:rsid w:val="00CA0280"/>
    <w:rsid w:val="00CA0982"/>
    <w:rsid w:val="00CA1675"/>
    <w:rsid w:val="00CA2B87"/>
    <w:rsid w:val="00CA31F2"/>
    <w:rsid w:val="00CA362C"/>
    <w:rsid w:val="00CA37C8"/>
    <w:rsid w:val="00CA4EC2"/>
    <w:rsid w:val="00CA530D"/>
    <w:rsid w:val="00CA5353"/>
    <w:rsid w:val="00CA539C"/>
    <w:rsid w:val="00CA5713"/>
    <w:rsid w:val="00CA68D4"/>
    <w:rsid w:val="00CA7B66"/>
    <w:rsid w:val="00CA7BA7"/>
    <w:rsid w:val="00CB06E0"/>
    <w:rsid w:val="00CB0B05"/>
    <w:rsid w:val="00CB1C85"/>
    <w:rsid w:val="00CB3051"/>
    <w:rsid w:val="00CB3849"/>
    <w:rsid w:val="00CB51F8"/>
    <w:rsid w:val="00CB5277"/>
    <w:rsid w:val="00CB5925"/>
    <w:rsid w:val="00CB5FF3"/>
    <w:rsid w:val="00CB6381"/>
    <w:rsid w:val="00CB66A0"/>
    <w:rsid w:val="00CB7403"/>
    <w:rsid w:val="00CB798F"/>
    <w:rsid w:val="00CB7AF2"/>
    <w:rsid w:val="00CC0673"/>
    <w:rsid w:val="00CC15FC"/>
    <w:rsid w:val="00CC1773"/>
    <w:rsid w:val="00CC2857"/>
    <w:rsid w:val="00CC353D"/>
    <w:rsid w:val="00CC3F16"/>
    <w:rsid w:val="00CC4889"/>
    <w:rsid w:val="00CC5A83"/>
    <w:rsid w:val="00CC6DE9"/>
    <w:rsid w:val="00CD0830"/>
    <w:rsid w:val="00CD1CEB"/>
    <w:rsid w:val="00CD1CF7"/>
    <w:rsid w:val="00CD2656"/>
    <w:rsid w:val="00CD339E"/>
    <w:rsid w:val="00CD342D"/>
    <w:rsid w:val="00CD3507"/>
    <w:rsid w:val="00CD40CB"/>
    <w:rsid w:val="00CD4AB4"/>
    <w:rsid w:val="00CD4FF2"/>
    <w:rsid w:val="00CD5386"/>
    <w:rsid w:val="00CD5C77"/>
    <w:rsid w:val="00CD63A5"/>
    <w:rsid w:val="00CD6487"/>
    <w:rsid w:val="00CD69F8"/>
    <w:rsid w:val="00CD6F0D"/>
    <w:rsid w:val="00CD6F3D"/>
    <w:rsid w:val="00CD738C"/>
    <w:rsid w:val="00CD7CA8"/>
    <w:rsid w:val="00CE142D"/>
    <w:rsid w:val="00CE1D47"/>
    <w:rsid w:val="00CE2C44"/>
    <w:rsid w:val="00CE43C4"/>
    <w:rsid w:val="00CE4410"/>
    <w:rsid w:val="00CE478C"/>
    <w:rsid w:val="00CE49B3"/>
    <w:rsid w:val="00CE5AB4"/>
    <w:rsid w:val="00CE6207"/>
    <w:rsid w:val="00CE67EA"/>
    <w:rsid w:val="00CE77F8"/>
    <w:rsid w:val="00CE7A36"/>
    <w:rsid w:val="00CE7B10"/>
    <w:rsid w:val="00CF031B"/>
    <w:rsid w:val="00CF1048"/>
    <w:rsid w:val="00CF12D2"/>
    <w:rsid w:val="00CF29CE"/>
    <w:rsid w:val="00CF40F8"/>
    <w:rsid w:val="00CF4B9B"/>
    <w:rsid w:val="00CF4D63"/>
    <w:rsid w:val="00CF4E3A"/>
    <w:rsid w:val="00CF5B7C"/>
    <w:rsid w:val="00CF7182"/>
    <w:rsid w:val="00CF7D43"/>
    <w:rsid w:val="00CF7DD0"/>
    <w:rsid w:val="00D009D5"/>
    <w:rsid w:val="00D012A0"/>
    <w:rsid w:val="00D01DD2"/>
    <w:rsid w:val="00D02071"/>
    <w:rsid w:val="00D02DEB"/>
    <w:rsid w:val="00D02F3F"/>
    <w:rsid w:val="00D03035"/>
    <w:rsid w:val="00D0365C"/>
    <w:rsid w:val="00D050DF"/>
    <w:rsid w:val="00D054C7"/>
    <w:rsid w:val="00D0597B"/>
    <w:rsid w:val="00D06AB3"/>
    <w:rsid w:val="00D0783E"/>
    <w:rsid w:val="00D1213D"/>
    <w:rsid w:val="00D13283"/>
    <w:rsid w:val="00D13420"/>
    <w:rsid w:val="00D14EA9"/>
    <w:rsid w:val="00D158A6"/>
    <w:rsid w:val="00D1632F"/>
    <w:rsid w:val="00D1685C"/>
    <w:rsid w:val="00D16CF4"/>
    <w:rsid w:val="00D207D2"/>
    <w:rsid w:val="00D21A81"/>
    <w:rsid w:val="00D228AD"/>
    <w:rsid w:val="00D22947"/>
    <w:rsid w:val="00D22ED8"/>
    <w:rsid w:val="00D235E1"/>
    <w:rsid w:val="00D24179"/>
    <w:rsid w:val="00D24D95"/>
    <w:rsid w:val="00D24E57"/>
    <w:rsid w:val="00D25BFE"/>
    <w:rsid w:val="00D269E3"/>
    <w:rsid w:val="00D26C97"/>
    <w:rsid w:val="00D27A9D"/>
    <w:rsid w:val="00D32D50"/>
    <w:rsid w:val="00D34E0A"/>
    <w:rsid w:val="00D35A76"/>
    <w:rsid w:val="00D42C12"/>
    <w:rsid w:val="00D43533"/>
    <w:rsid w:val="00D44151"/>
    <w:rsid w:val="00D4438B"/>
    <w:rsid w:val="00D4458F"/>
    <w:rsid w:val="00D44AD6"/>
    <w:rsid w:val="00D451D4"/>
    <w:rsid w:val="00D47246"/>
    <w:rsid w:val="00D472A1"/>
    <w:rsid w:val="00D50120"/>
    <w:rsid w:val="00D5104E"/>
    <w:rsid w:val="00D5213F"/>
    <w:rsid w:val="00D52976"/>
    <w:rsid w:val="00D533A8"/>
    <w:rsid w:val="00D53825"/>
    <w:rsid w:val="00D53CBC"/>
    <w:rsid w:val="00D563D0"/>
    <w:rsid w:val="00D57578"/>
    <w:rsid w:val="00D576BF"/>
    <w:rsid w:val="00D603B9"/>
    <w:rsid w:val="00D604D6"/>
    <w:rsid w:val="00D638B7"/>
    <w:rsid w:val="00D65349"/>
    <w:rsid w:val="00D6587A"/>
    <w:rsid w:val="00D658D4"/>
    <w:rsid w:val="00D65EBE"/>
    <w:rsid w:val="00D65EDD"/>
    <w:rsid w:val="00D667EA"/>
    <w:rsid w:val="00D67099"/>
    <w:rsid w:val="00D70624"/>
    <w:rsid w:val="00D70DA8"/>
    <w:rsid w:val="00D72964"/>
    <w:rsid w:val="00D73198"/>
    <w:rsid w:val="00D752D7"/>
    <w:rsid w:val="00D752DE"/>
    <w:rsid w:val="00D757F0"/>
    <w:rsid w:val="00D77F20"/>
    <w:rsid w:val="00D801CF"/>
    <w:rsid w:val="00D8026C"/>
    <w:rsid w:val="00D8113C"/>
    <w:rsid w:val="00D81EB1"/>
    <w:rsid w:val="00D84672"/>
    <w:rsid w:val="00D84E39"/>
    <w:rsid w:val="00D8516F"/>
    <w:rsid w:val="00D856E2"/>
    <w:rsid w:val="00D85858"/>
    <w:rsid w:val="00D86077"/>
    <w:rsid w:val="00D86234"/>
    <w:rsid w:val="00D86420"/>
    <w:rsid w:val="00D86EE0"/>
    <w:rsid w:val="00D87572"/>
    <w:rsid w:val="00D91796"/>
    <w:rsid w:val="00D918E3"/>
    <w:rsid w:val="00D91EB0"/>
    <w:rsid w:val="00D91F22"/>
    <w:rsid w:val="00D91F7F"/>
    <w:rsid w:val="00D928F2"/>
    <w:rsid w:val="00D9310B"/>
    <w:rsid w:val="00D9367E"/>
    <w:rsid w:val="00D953D2"/>
    <w:rsid w:val="00D96A48"/>
    <w:rsid w:val="00D97711"/>
    <w:rsid w:val="00D97C38"/>
    <w:rsid w:val="00DA1A90"/>
    <w:rsid w:val="00DA1E3C"/>
    <w:rsid w:val="00DA2085"/>
    <w:rsid w:val="00DA241E"/>
    <w:rsid w:val="00DA40E2"/>
    <w:rsid w:val="00DA51A6"/>
    <w:rsid w:val="00DA53DB"/>
    <w:rsid w:val="00DA581D"/>
    <w:rsid w:val="00DA758C"/>
    <w:rsid w:val="00DB02E7"/>
    <w:rsid w:val="00DB168B"/>
    <w:rsid w:val="00DB1C26"/>
    <w:rsid w:val="00DB2538"/>
    <w:rsid w:val="00DB2A89"/>
    <w:rsid w:val="00DB385B"/>
    <w:rsid w:val="00DB41A0"/>
    <w:rsid w:val="00DB4356"/>
    <w:rsid w:val="00DB4B4F"/>
    <w:rsid w:val="00DB4E31"/>
    <w:rsid w:val="00DB54AE"/>
    <w:rsid w:val="00DB6151"/>
    <w:rsid w:val="00DB7385"/>
    <w:rsid w:val="00DC0C02"/>
    <w:rsid w:val="00DC0C7E"/>
    <w:rsid w:val="00DC10DE"/>
    <w:rsid w:val="00DC15CA"/>
    <w:rsid w:val="00DC16BA"/>
    <w:rsid w:val="00DC1817"/>
    <w:rsid w:val="00DC232F"/>
    <w:rsid w:val="00DC23CF"/>
    <w:rsid w:val="00DC244A"/>
    <w:rsid w:val="00DC285F"/>
    <w:rsid w:val="00DC4CDD"/>
    <w:rsid w:val="00DC529E"/>
    <w:rsid w:val="00DC52AE"/>
    <w:rsid w:val="00DC6AFA"/>
    <w:rsid w:val="00DC6C21"/>
    <w:rsid w:val="00DC7260"/>
    <w:rsid w:val="00DD1174"/>
    <w:rsid w:val="00DD24FD"/>
    <w:rsid w:val="00DD27E7"/>
    <w:rsid w:val="00DD2876"/>
    <w:rsid w:val="00DD2B4D"/>
    <w:rsid w:val="00DD3442"/>
    <w:rsid w:val="00DD3EE8"/>
    <w:rsid w:val="00DD7142"/>
    <w:rsid w:val="00DD73B7"/>
    <w:rsid w:val="00DD76D9"/>
    <w:rsid w:val="00DE00A1"/>
    <w:rsid w:val="00DE024D"/>
    <w:rsid w:val="00DE042F"/>
    <w:rsid w:val="00DE19C8"/>
    <w:rsid w:val="00DE22B0"/>
    <w:rsid w:val="00DE293B"/>
    <w:rsid w:val="00DE5459"/>
    <w:rsid w:val="00DE6599"/>
    <w:rsid w:val="00DF217E"/>
    <w:rsid w:val="00DF3889"/>
    <w:rsid w:val="00DF44F9"/>
    <w:rsid w:val="00DF5C27"/>
    <w:rsid w:val="00DF6823"/>
    <w:rsid w:val="00E02205"/>
    <w:rsid w:val="00E02919"/>
    <w:rsid w:val="00E03040"/>
    <w:rsid w:val="00E03E9F"/>
    <w:rsid w:val="00E0503B"/>
    <w:rsid w:val="00E05E7C"/>
    <w:rsid w:val="00E06A47"/>
    <w:rsid w:val="00E077AA"/>
    <w:rsid w:val="00E11080"/>
    <w:rsid w:val="00E11165"/>
    <w:rsid w:val="00E1166A"/>
    <w:rsid w:val="00E1249B"/>
    <w:rsid w:val="00E15358"/>
    <w:rsid w:val="00E157CE"/>
    <w:rsid w:val="00E16456"/>
    <w:rsid w:val="00E16DBA"/>
    <w:rsid w:val="00E1715B"/>
    <w:rsid w:val="00E20309"/>
    <w:rsid w:val="00E21C30"/>
    <w:rsid w:val="00E23075"/>
    <w:rsid w:val="00E230CD"/>
    <w:rsid w:val="00E243DE"/>
    <w:rsid w:val="00E24F61"/>
    <w:rsid w:val="00E257C9"/>
    <w:rsid w:val="00E265B4"/>
    <w:rsid w:val="00E26B60"/>
    <w:rsid w:val="00E271EB"/>
    <w:rsid w:val="00E2726A"/>
    <w:rsid w:val="00E30206"/>
    <w:rsid w:val="00E303D6"/>
    <w:rsid w:val="00E31311"/>
    <w:rsid w:val="00E31AC4"/>
    <w:rsid w:val="00E320EB"/>
    <w:rsid w:val="00E3362E"/>
    <w:rsid w:val="00E33976"/>
    <w:rsid w:val="00E34080"/>
    <w:rsid w:val="00E351B8"/>
    <w:rsid w:val="00E3696B"/>
    <w:rsid w:val="00E369D3"/>
    <w:rsid w:val="00E425CE"/>
    <w:rsid w:val="00E4343A"/>
    <w:rsid w:val="00E43F20"/>
    <w:rsid w:val="00E442F7"/>
    <w:rsid w:val="00E4507A"/>
    <w:rsid w:val="00E45BFC"/>
    <w:rsid w:val="00E460A2"/>
    <w:rsid w:val="00E50238"/>
    <w:rsid w:val="00E509BF"/>
    <w:rsid w:val="00E509FB"/>
    <w:rsid w:val="00E521AE"/>
    <w:rsid w:val="00E521F5"/>
    <w:rsid w:val="00E5284B"/>
    <w:rsid w:val="00E53068"/>
    <w:rsid w:val="00E53891"/>
    <w:rsid w:val="00E552D5"/>
    <w:rsid w:val="00E55A87"/>
    <w:rsid w:val="00E560CB"/>
    <w:rsid w:val="00E57123"/>
    <w:rsid w:val="00E57134"/>
    <w:rsid w:val="00E57779"/>
    <w:rsid w:val="00E604A2"/>
    <w:rsid w:val="00E60C74"/>
    <w:rsid w:val="00E61CD6"/>
    <w:rsid w:val="00E61E9F"/>
    <w:rsid w:val="00E62758"/>
    <w:rsid w:val="00E631FF"/>
    <w:rsid w:val="00E64C30"/>
    <w:rsid w:val="00E65032"/>
    <w:rsid w:val="00E70C43"/>
    <w:rsid w:val="00E72653"/>
    <w:rsid w:val="00E72847"/>
    <w:rsid w:val="00E737A6"/>
    <w:rsid w:val="00E74113"/>
    <w:rsid w:val="00E74DCE"/>
    <w:rsid w:val="00E768B2"/>
    <w:rsid w:val="00E80341"/>
    <w:rsid w:val="00E83133"/>
    <w:rsid w:val="00E86947"/>
    <w:rsid w:val="00E87987"/>
    <w:rsid w:val="00E90A3A"/>
    <w:rsid w:val="00E91E59"/>
    <w:rsid w:val="00E92658"/>
    <w:rsid w:val="00E93070"/>
    <w:rsid w:val="00E93CB9"/>
    <w:rsid w:val="00E94565"/>
    <w:rsid w:val="00E966C4"/>
    <w:rsid w:val="00E975C9"/>
    <w:rsid w:val="00EA05CB"/>
    <w:rsid w:val="00EA085F"/>
    <w:rsid w:val="00EA0D1A"/>
    <w:rsid w:val="00EA3A8F"/>
    <w:rsid w:val="00EA3C2B"/>
    <w:rsid w:val="00EA3E1F"/>
    <w:rsid w:val="00EA49F7"/>
    <w:rsid w:val="00EA4D11"/>
    <w:rsid w:val="00EA5284"/>
    <w:rsid w:val="00EA6A3D"/>
    <w:rsid w:val="00EA6B68"/>
    <w:rsid w:val="00EA751E"/>
    <w:rsid w:val="00EB13D8"/>
    <w:rsid w:val="00EB2B80"/>
    <w:rsid w:val="00EB2BC5"/>
    <w:rsid w:val="00EB2D9F"/>
    <w:rsid w:val="00EB3494"/>
    <w:rsid w:val="00EB383B"/>
    <w:rsid w:val="00EB53DC"/>
    <w:rsid w:val="00EB5790"/>
    <w:rsid w:val="00EB6EC9"/>
    <w:rsid w:val="00EC1985"/>
    <w:rsid w:val="00EC1A6C"/>
    <w:rsid w:val="00EC1B73"/>
    <w:rsid w:val="00EC209F"/>
    <w:rsid w:val="00EC2B03"/>
    <w:rsid w:val="00EC4B23"/>
    <w:rsid w:val="00EC56A2"/>
    <w:rsid w:val="00EC5CBE"/>
    <w:rsid w:val="00EC5F23"/>
    <w:rsid w:val="00EC64CD"/>
    <w:rsid w:val="00EC69BC"/>
    <w:rsid w:val="00EC7DCD"/>
    <w:rsid w:val="00ED1A2B"/>
    <w:rsid w:val="00ED1CB4"/>
    <w:rsid w:val="00ED3157"/>
    <w:rsid w:val="00ED4731"/>
    <w:rsid w:val="00ED50BE"/>
    <w:rsid w:val="00ED5429"/>
    <w:rsid w:val="00ED5EB0"/>
    <w:rsid w:val="00ED60F2"/>
    <w:rsid w:val="00EE0ED8"/>
    <w:rsid w:val="00EE1238"/>
    <w:rsid w:val="00EE14D1"/>
    <w:rsid w:val="00EE249B"/>
    <w:rsid w:val="00EE34A6"/>
    <w:rsid w:val="00EE36EF"/>
    <w:rsid w:val="00EE42F7"/>
    <w:rsid w:val="00EE4E9D"/>
    <w:rsid w:val="00EE6173"/>
    <w:rsid w:val="00EE632C"/>
    <w:rsid w:val="00EE75DE"/>
    <w:rsid w:val="00EE7659"/>
    <w:rsid w:val="00EF0562"/>
    <w:rsid w:val="00EF3682"/>
    <w:rsid w:val="00EF3711"/>
    <w:rsid w:val="00EF5AB2"/>
    <w:rsid w:val="00EF6062"/>
    <w:rsid w:val="00EF62F0"/>
    <w:rsid w:val="00EF6456"/>
    <w:rsid w:val="00EF6BA8"/>
    <w:rsid w:val="00EF6EDF"/>
    <w:rsid w:val="00EF7775"/>
    <w:rsid w:val="00F00653"/>
    <w:rsid w:val="00F00865"/>
    <w:rsid w:val="00F00900"/>
    <w:rsid w:val="00F012E7"/>
    <w:rsid w:val="00F0222D"/>
    <w:rsid w:val="00F03036"/>
    <w:rsid w:val="00F03BA7"/>
    <w:rsid w:val="00F065B6"/>
    <w:rsid w:val="00F06C57"/>
    <w:rsid w:val="00F06E1F"/>
    <w:rsid w:val="00F108D7"/>
    <w:rsid w:val="00F111E0"/>
    <w:rsid w:val="00F12A0B"/>
    <w:rsid w:val="00F12CC3"/>
    <w:rsid w:val="00F13497"/>
    <w:rsid w:val="00F1388C"/>
    <w:rsid w:val="00F146D0"/>
    <w:rsid w:val="00F14CC3"/>
    <w:rsid w:val="00F166CB"/>
    <w:rsid w:val="00F17AF0"/>
    <w:rsid w:val="00F238C2"/>
    <w:rsid w:val="00F24545"/>
    <w:rsid w:val="00F246EF"/>
    <w:rsid w:val="00F300A7"/>
    <w:rsid w:val="00F3030F"/>
    <w:rsid w:val="00F30697"/>
    <w:rsid w:val="00F307E7"/>
    <w:rsid w:val="00F310D2"/>
    <w:rsid w:val="00F32351"/>
    <w:rsid w:val="00F32567"/>
    <w:rsid w:val="00F32785"/>
    <w:rsid w:val="00F32A50"/>
    <w:rsid w:val="00F33609"/>
    <w:rsid w:val="00F3373C"/>
    <w:rsid w:val="00F338F1"/>
    <w:rsid w:val="00F33F94"/>
    <w:rsid w:val="00F342AA"/>
    <w:rsid w:val="00F34BF5"/>
    <w:rsid w:val="00F352A4"/>
    <w:rsid w:val="00F361A0"/>
    <w:rsid w:val="00F36624"/>
    <w:rsid w:val="00F37608"/>
    <w:rsid w:val="00F40D7A"/>
    <w:rsid w:val="00F41373"/>
    <w:rsid w:val="00F417B5"/>
    <w:rsid w:val="00F44811"/>
    <w:rsid w:val="00F44A8C"/>
    <w:rsid w:val="00F471C7"/>
    <w:rsid w:val="00F4789E"/>
    <w:rsid w:val="00F51BC3"/>
    <w:rsid w:val="00F51DA2"/>
    <w:rsid w:val="00F525F3"/>
    <w:rsid w:val="00F529A1"/>
    <w:rsid w:val="00F52E20"/>
    <w:rsid w:val="00F53BD7"/>
    <w:rsid w:val="00F5611C"/>
    <w:rsid w:val="00F57530"/>
    <w:rsid w:val="00F61497"/>
    <w:rsid w:val="00F6163A"/>
    <w:rsid w:val="00F616C4"/>
    <w:rsid w:val="00F6305E"/>
    <w:rsid w:val="00F636D6"/>
    <w:rsid w:val="00F639EA"/>
    <w:rsid w:val="00F63BBC"/>
    <w:rsid w:val="00F65BD9"/>
    <w:rsid w:val="00F668C1"/>
    <w:rsid w:val="00F66F51"/>
    <w:rsid w:val="00F70960"/>
    <w:rsid w:val="00F71763"/>
    <w:rsid w:val="00F72520"/>
    <w:rsid w:val="00F733EA"/>
    <w:rsid w:val="00F73B29"/>
    <w:rsid w:val="00F75453"/>
    <w:rsid w:val="00F75F13"/>
    <w:rsid w:val="00F7620C"/>
    <w:rsid w:val="00F7712A"/>
    <w:rsid w:val="00F8157D"/>
    <w:rsid w:val="00F8232B"/>
    <w:rsid w:val="00F82E2C"/>
    <w:rsid w:val="00F82FA4"/>
    <w:rsid w:val="00F850F1"/>
    <w:rsid w:val="00F87593"/>
    <w:rsid w:val="00F9071C"/>
    <w:rsid w:val="00F90F31"/>
    <w:rsid w:val="00F91F7A"/>
    <w:rsid w:val="00F92F5E"/>
    <w:rsid w:val="00F9324D"/>
    <w:rsid w:val="00F9367B"/>
    <w:rsid w:val="00F93A64"/>
    <w:rsid w:val="00F93F44"/>
    <w:rsid w:val="00F94B43"/>
    <w:rsid w:val="00F94C78"/>
    <w:rsid w:val="00F94F44"/>
    <w:rsid w:val="00F957D8"/>
    <w:rsid w:val="00F96487"/>
    <w:rsid w:val="00F96E86"/>
    <w:rsid w:val="00F97394"/>
    <w:rsid w:val="00F9741E"/>
    <w:rsid w:val="00F977FC"/>
    <w:rsid w:val="00FA0816"/>
    <w:rsid w:val="00FA09E3"/>
    <w:rsid w:val="00FA198A"/>
    <w:rsid w:val="00FA1A21"/>
    <w:rsid w:val="00FA2AA0"/>
    <w:rsid w:val="00FA2B89"/>
    <w:rsid w:val="00FA2E91"/>
    <w:rsid w:val="00FA35CF"/>
    <w:rsid w:val="00FA431B"/>
    <w:rsid w:val="00FA4D98"/>
    <w:rsid w:val="00FA4FE6"/>
    <w:rsid w:val="00FA65A7"/>
    <w:rsid w:val="00FA6CE9"/>
    <w:rsid w:val="00FA6FFC"/>
    <w:rsid w:val="00FA72AE"/>
    <w:rsid w:val="00FA7625"/>
    <w:rsid w:val="00FB10F4"/>
    <w:rsid w:val="00FB14A6"/>
    <w:rsid w:val="00FB1B52"/>
    <w:rsid w:val="00FB1BBF"/>
    <w:rsid w:val="00FB24C6"/>
    <w:rsid w:val="00FB2CAA"/>
    <w:rsid w:val="00FB330B"/>
    <w:rsid w:val="00FB44E4"/>
    <w:rsid w:val="00FB452F"/>
    <w:rsid w:val="00FB4E55"/>
    <w:rsid w:val="00FB5CE1"/>
    <w:rsid w:val="00FB6A13"/>
    <w:rsid w:val="00FB78E7"/>
    <w:rsid w:val="00FB7E11"/>
    <w:rsid w:val="00FB7E1A"/>
    <w:rsid w:val="00FB7FF0"/>
    <w:rsid w:val="00FC0C89"/>
    <w:rsid w:val="00FC16B5"/>
    <w:rsid w:val="00FC1A9C"/>
    <w:rsid w:val="00FC1BC6"/>
    <w:rsid w:val="00FC3834"/>
    <w:rsid w:val="00FC3A96"/>
    <w:rsid w:val="00FC596F"/>
    <w:rsid w:val="00FC5AE6"/>
    <w:rsid w:val="00FC6533"/>
    <w:rsid w:val="00FC682E"/>
    <w:rsid w:val="00FC779F"/>
    <w:rsid w:val="00FC793D"/>
    <w:rsid w:val="00FD01B8"/>
    <w:rsid w:val="00FD04C5"/>
    <w:rsid w:val="00FD10A1"/>
    <w:rsid w:val="00FD2347"/>
    <w:rsid w:val="00FD46DF"/>
    <w:rsid w:val="00FD4CDB"/>
    <w:rsid w:val="00FD752D"/>
    <w:rsid w:val="00FE1374"/>
    <w:rsid w:val="00FE1D94"/>
    <w:rsid w:val="00FE21E9"/>
    <w:rsid w:val="00FE2C41"/>
    <w:rsid w:val="00FE31BC"/>
    <w:rsid w:val="00FE388D"/>
    <w:rsid w:val="00FE3E30"/>
    <w:rsid w:val="00FE4509"/>
    <w:rsid w:val="00FE47E6"/>
    <w:rsid w:val="00FE4C2C"/>
    <w:rsid w:val="00FE6A80"/>
    <w:rsid w:val="00FE7274"/>
    <w:rsid w:val="00FF0719"/>
    <w:rsid w:val="00FF0C2F"/>
    <w:rsid w:val="00FF1B7B"/>
    <w:rsid w:val="00FF2C22"/>
    <w:rsid w:val="00FF30C6"/>
    <w:rsid w:val="00FF3476"/>
    <w:rsid w:val="00FF50E4"/>
    <w:rsid w:val="00FF6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1583CC3A"/>
  <w15:docId w15:val="{56277396-849A-4BEF-9A03-8A972333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AB1"/>
    <w:pPr>
      <w:spacing w:after="200" w:line="276" w:lineRule="auto"/>
    </w:pPr>
    <w:rPr>
      <w:sz w:val="22"/>
      <w:szCs w:val="22"/>
      <w:lang w:eastAsia="en-US"/>
    </w:rPr>
  </w:style>
  <w:style w:type="paragraph" w:styleId="Heading1">
    <w:name w:val="heading 1"/>
    <w:basedOn w:val="Normal"/>
    <w:next w:val="Normal"/>
    <w:link w:val="Heading1Char"/>
    <w:uiPriority w:val="9"/>
    <w:qFormat/>
    <w:rsid w:val="0061523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117564"/>
    <w:pPr>
      <w:keepNext/>
      <w:spacing w:before="240" w:after="60" w:line="240" w:lineRule="auto"/>
      <w:outlineLvl w:val="1"/>
    </w:pPr>
    <w:rPr>
      <w:rFonts w:ascii="Cambria" w:eastAsia="Times New Roman"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D4B9D"/>
    <w:pPr>
      <w:tabs>
        <w:tab w:val="center" w:pos="4536"/>
        <w:tab w:val="right" w:pos="9072"/>
      </w:tabs>
      <w:spacing w:after="0" w:line="240" w:lineRule="auto"/>
    </w:pPr>
  </w:style>
  <w:style w:type="character" w:customStyle="1" w:styleId="HeaderChar">
    <w:name w:val="Header Char"/>
    <w:basedOn w:val="DefaultParagraphFont"/>
    <w:link w:val="Header"/>
    <w:rsid w:val="004D4B9D"/>
  </w:style>
  <w:style w:type="paragraph" w:styleId="Footer">
    <w:name w:val="footer"/>
    <w:basedOn w:val="Normal"/>
    <w:link w:val="FooterChar"/>
    <w:uiPriority w:val="99"/>
    <w:unhideWhenUsed/>
    <w:rsid w:val="004D4B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D4B9D"/>
  </w:style>
  <w:style w:type="paragraph" w:styleId="BalloonText">
    <w:name w:val="Balloon Text"/>
    <w:basedOn w:val="Normal"/>
    <w:link w:val="BalloonTextChar"/>
    <w:uiPriority w:val="99"/>
    <w:semiHidden/>
    <w:unhideWhenUsed/>
    <w:rsid w:val="004D4B9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D4B9D"/>
    <w:rPr>
      <w:rFonts w:ascii="Tahoma" w:hAnsi="Tahoma" w:cs="Tahoma"/>
      <w:sz w:val="16"/>
      <w:szCs w:val="16"/>
    </w:rPr>
  </w:style>
  <w:style w:type="character" w:styleId="IntenseReference">
    <w:name w:val="Intense Reference"/>
    <w:uiPriority w:val="32"/>
    <w:qFormat/>
    <w:rsid w:val="00484F77"/>
    <w:rPr>
      <w:b/>
      <w:bCs/>
      <w:smallCaps/>
      <w:color w:val="C0504D"/>
      <w:spacing w:val="5"/>
      <w:u w:val="single"/>
    </w:rPr>
  </w:style>
  <w:style w:type="paragraph" w:customStyle="1" w:styleId="TT">
    <w:name w:val="TT"/>
    <w:basedOn w:val="Normal"/>
    <w:rsid w:val="003239D0"/>
    <w:pPr>
      <w:tabs>
        <w:tab w:val="right" w:pos="1202"/>
      </w:tabs>
      <w:spacing w:after="0" w:line="301" w:lineRule="exact"/>
      <w:outlineLvl w:val="0"/>
    </w:pPr>
    <w:rPr>
      <w:rFonts w:ascii="Arial" w:eastAsia="Times New Roman" w:hAnsi="Arial"/>
      <w:sz w:val="19"/>
      <w:szCs w:val="20"/>
    </w:rPr>
  </w:style>
  <w:style w:type="paragraph" w:customStyle="1" w:styleId="Thick">
    <w:name w:val="Thick"/>
    <w:basedOn w:val="Normal"/>
    <w:next w:val="Normal"/>
    <w:rsid w:val="003239D0"/>
    <w:pPr>
      <w:keepNext/>
      <w:keepLines/>
      <w:tabs>
        <w:tab w:val="decimal" w:pos="1202"/>
      </w:tabs>
      <w:spacing w:after="0" w:line="100" w:lineRule="exact"/>
    </w:pPr>
    <w:rPr>
      <w:rFonts w:ascii="Arial" w:eastAsia="Times New Roman" w:hAnsi="Arial"/>
      <w:b/>
      <w:position w:val="4"/>
      <w:sz w:val="16"/>
      <w:szCs w:val="20"/>
      <w:u w:val="thick"/>
      <w:lang w:val="en-US"/>
    </w:rPr>
  </w:style>
  <w:style w:type="paragraph" w:customStyle="1" w:styleId="Thin">
    <w:name w:val="Thin"/>
    <w:basedOn w:val="Normal"/>
    <w:next w:val="Normal"/>
    <w:rsid w:val="003239D0"/>
    <w:pPr>
      <w:keepNext/>
      <w:keepLines/>
      <w:tabs>
        <w:tab w:val="decimal" w:pos="1202"/>
      </w:tabs>
      <w:spacing w:after="0" w:line="100" w:lineRule="exact"/>
    </w:pPr>
    <w:rPr>
      <w:rFonts w:ascii="Arial" w:eastAsia="Times New Roman" w:hAnsi="Arial"/>
      <w:b/>
      <w:position w:val="4"/>
      <w:sz w:val="16"/>
      <w:szCs w:val="20"/>
      <w:lang w:val="en-US"/>
    </w:rPr>
  </w:style>
  <w:style w:type="paragraph" w:styleId="ListParagraph">
    <w:name w:val="List Paragraph"/>
    <w:basedOn w:val="Normal"/>
    <w:link w:val="ListParagraphChar"/>
    <w:uiPriority w:val="34"/>
    <w:qFormat/>
    <w:rsid w:val="00637F7F"/>
    <w:pPr>
      <w:ind w:left="720"/>
      <w:contextualSpacing/>
    </w:pPr>
  </w:style>
  <w:style w:type="paragraph" w:styleId="BodyText">
    <w:name w:val="Body Text"/>
    <w:aliases w:val="Body Text1,b,heading3,Body Text - Level 2,Body Text x,Szövegtörzs1,body text,contents,body,b-heading 1/heading 2,bd,heading1body-heading2body,bt"/>
    <w:basedOn w:val="Normal"/>
    <w:link w:val="BodyTextChar"/>
    <w:unhideWhenUsed/>
    <w:rsid w:val="00745301"/>
    <w:pPr>
      <w:spacing w:after="120"/>
    </w:pPr>
  </w:style>
  <w:style w:type="character" w:customStyle="1" w:styleId="BodyTextChar">
    <w:name w:val="Body Text Char"/>
    <w:aliases w:val="Body Text1 Char,b Char,heading3 Char,Body Text - Level 2 Char,Body Text x Char,Szövegtörzs1 Char,body text Char,contents Char,body Char,b-heading 1/heading 2 Char,bd Char,heading1body-heading2body Char,bt Char"/>
    <w:basedOn w:val="DefaultParagraphFont"/>
    <w:link w:val="BodyText"/>
    <w:rsid w:val="00745301"/>
  </w:style>
  <w:style w:type="paragraph" w:customStyle="1" w:styleId="T1PARAGRAPH">
    <w:name w:val="T1PARAGRAPH"/>
    <w:basedOn w:val="BodyText3"/>
    <w:rsid w:val="004363F8"/>
    <w:pPr>
      <w:numPr>
        <w:numId w:val="4"/>
      </w:numPr>
      <w:tabs>
        <w:tab w:val="clear" w:pos="720"/>
        <w:tab w:val="num" w:pos="360"/>
      </w:tabs>
      <w:spacing w:after="301" w:line="301" w:lineRule="atLeast"/>
      <w:ind w:left="360" w:hanging="360"/>
      <w:jc w:val="both"/>
    </w:pPr>
    <w:rPr>
      <w:rFonts w:ascii="Arial" w:eastAsia="Times New Roman" w:hAnsi="Arial" w:cs="Arial"/>
      <w:sz w:val="19"/>
      <w:szCs w:val="20"/>
    </w:rPr>
  </w:style>
  <w:style w:type="paragraph" w:styleId="BodyText3">
    <w:name w:val="Body Text 3"/>
    <w:basedOn w:val="Normal"/>
    <w:link w:val="BodyText3Char"/>
    <w:uiPriority w:val="99"/>
    <w:semiHidden/>
    <w:unhideWhenUsed/>
    <w:rsid w:val="004363F8"/>
    <w:pPr>
      <w:spacing w:after="120"/>
    </w:pPr>
    <w:rPr>
      <w:sz w:val="16"/>
      <w:szCs w:val="16"/>
    </w:rPr>
  </w:style>
  <w:style w:type="character" w:customStyle="1" w:styleId="BodyText3Char">
    <w:name w:val="Body Text 3 Char"/>
    <w:link w:val="BodyText3"/>
    <w:uiPriority w:val="99"/>
    <w:semiHidden/>
    <w:rsid w:val="004363F8"/>
    <w:rPr>
      <w:sz w:val="16"/>
      <w:szCs w:val="16"/>
    </w:rPr>
  </w:style>
  <w:style w:type="paragraph" w:styleId="BodyTextIndent3">
    <w:name w:val="Body Text Indent 3"/>
    <w:basedOn w:val="Normal"/>
    <w:link w:val="BodyTextIndent3Char"/>
    <w:uiPriority w:val="99"/>
    <w:semiHidden/>
    <w:unhideWhenUsed/>
    <w:rsid w:val="00955FDC"/>
    <w:pPr>
      <w:spacing w:after="120"/>
      <w:ind w:left="283"/>
    </w:pPr>
    <w:rPr>
      <w:sz w:val="16"/>
      <w:szCs w:val="16"/>
    </w:rPr>
  </w:style>
  <w:style w:type="character" w:customStyle="1" w:styleId="BodyTextIndent3Char">
    <w:name w:val="Body Text Indent 3 Char"/>
    <w:link w:val="BodyTextIndent3"/>
    <w:uiPriority w:val="99"/>
    <w:semiHidden/>
    <w:rsid w:val="00955FDC"/>
    <w:rPr>
      <w:sz w:val="16"/>
      <w:szCs w:val="16"/>
    </w:rPr>
  </w:style>
  <w:style w:type="table" w:styleId="TableGrid">
    <w:name w:val="Table Grid"/>
    <w:basedOn w:val="TableNormal"/>
    <w:uiPriority w:val="59"/>
    <w:rsid w:val="00955FDC"/>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A4A84"/>
    <w:pPr>
      <w:jc w:val="both"/>
    </w:pPr>
    <w:rPr>
      <w:rFonts w:ascii="Times New Roman" w:eastAsia="Times New Roman" w:hAnsi="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4507A"/>
    <w:rPr>
      <w:sz w:val="16"/>
      <w:szCs w:val="16"/>
    </w:rPr>
  </w:style>
  <w:style w:type="paragraph" w:styleId="CommentText">
    <w:name w:val="annotation text"/>
    <w:basedOn w:val="Normal"/>
    <w:link w:val="CommentTextChar"/>
    <w:unhideWhenUsed/>
    <w:rsid w:val="00E4507A"/>
    <w:pPr>
      <w:spacing w:line="240" w:lineRule="auto"/>
    </w:pPr>
    <w:rPr>
      <w:sz w:val="20"/>
      <w:szCs w:val="20"/>
    </w:rPr>
  </w:style>
  <w:style w:type="character" w:customStyle="1" w:styleId="CommentTextChar">
    <w:name w:val="Comment Text Char"/>
    <w:link w:val="CommentText"/>
    <w:rsid w:val="00E4507A"/>
    <w:rPr>
      <w:sz w:val="20"/>
      <w:szCs w:val="20"/>
    </w:rPr>
  </w:style>
  <w:style w:type="paragraph" w:styleId="CommentSubject">
    <w:name w:val="annotation subject"/>
    <w:basedOn w:val="CommentText"/>
    <w:next w:val="CommentText"/>
    <w:link w:val="CommentSubjectChar"/>
    <w:uiPriority w:val="99"/>
    <w:semiHidden/>
    <w:unhideWhenUsed/>
    <w:rsid w:val="00E4507A"/>
    <w:rPr>
      <w:b/>
      <w:bCs/>
    </w:rPr>
  </w:style>
  <w:style w:type="character" w:customStyle="1" w:styleId="CommentSubjectChar">
    <w:name w:val="Comment Subject Char"/>
    <w:link w:val="CommentSubject"/>
    <w:uiPriority w:val="99"/>
    <w:semiHidden/>
    <w:rsid w:val="00E4507A"/>
    <w:rPr>
      <w:b/>
      <w:bCs/>
      <w:sz w:val="20"/>
      <w:szCs w:val="20"/>
    </w:rPr>
  </w:style>
  <w:style w:type="character" w:customStyle="1" w:styleId="hps">
    <w:name w:val="hps"/>
    <w:basedOn w:val="DefaultParagraphFont"/>
    <w:rsid w:val="007B620C"/>
  </w:style>
  <w:style w:type="paragraph" w:customStyle="1" w:styleId="T1">
    <w:name w:val="T1"/>
    <w:basedOn w:val="Heading1"/>
    <w:link w:val="T1Char"/>
    <w:rsid w:val="00615238"/>
    <w:pPr>
      <w:keepLines w:val="0"/>
      <w:spacing w:before="240" w:after="120" w:line="360" w:lineRule="auto"/>
      <w:jc w:val="both"/>
      <w:outlineLvl w:val="9"/>
    </w:pPr>
    <w:rPr>
      <w:rFonts w:ascii="Arial" w:hAnsi="Arial"/>
      <w:color w:val="auto"/>
      <w:sz w:val="19"/>
      <w:szCs w:val="20"/>
      <w:lang w:val="pl-PL"/>
    </w:rPr>
  </w:style>
  <w:style w:type="character" w:customStyle="1" w:styleId="T1Char">
    <w:name w:val="T1 Char"/>
    <w:link w:val="T1"/>
    <w:rsid w:val="00615238"/>
    <w:rPr>
      <w:rFonts w:ascii="Arial" w:eastAsia="Times New Roman" w:hAnsi="Arial" w:cs="Times New Roman"/>
      <w:b/>
      <w:bCs/>
      <w:sz w:val="19"/>
      <w:szCs w:val="20"/>
      <w:lang w:val="pl-PL"/>
    </w:rPr>
  </w:style>
  <w:style w:type="character" w:customStyle="1" w:styleId="Heading1Char">
    <w:name w:val="Heading 1 Char"/>
    <w:link w:val="Heading1"/>
    <w:uiPriority w:val="9"/>
    <w:rsid w:val="00615238"/>
    <w:rPr>
      <w:rFonts w:ascii="Cambria" w:eastAsia="Times New Roman" w:hAnsi="Cambria" w:cs="Times New Roman"/>
      <w:b/>
      <w:bCs/>
      <w:color w:val="365F91"/>
      <w:sz w:val="28"/>
      <w:szCs w:val="28"/>
    </w:rPr>
  </w:style>
  <w:style w:type="paragraph" w:customStyle="1" w:styleId="Tot">
    <w:name w:val="Tot"/>
    <w:basedOn w:val="TT"/>
    <w:rsid w:val="00E3362E"/>
    <w:pPr>
      <w:spacing w:line="340" w:lineRule="exact"/>
    </w:pPr>
  </w:style>
  <w:style w:type="paragraph" w:customStyle="1" w:styleId="Noteheading1">
    <w:name w:val="Note heading1"/>
    <w:basedOn w:val="Normal"/>
    <w:autoRedefine/>
    <w:rsid w:val="001F6214"/>
    <w:pPr>
      <w:tabs>
        <w:tab w:val="num" w:pos="720"/>
      </w:tabs>
      <w:spacing w:before="360" w:after="240" w:line="240" w:lineRule="auto"/>
      <w:ind w:left="720" w:hanging="360"/>
      <w:jc w:val="both"/>
    </w:pPr>
    <w:rPr>
      <w:rFonts w:ascii="Arial" w:eastAsia="Times New Roman" w:hAnsi="Arial" w:cs="Arial"/>
      <w:b/>
      <w:bCs/>
      <w:sz w:val="19"/>
      <w:szCs w:val="20"/>
      <w:lang w:val="en-US"/>
    </w:rPr>
  </w:style>
  <w:style w:type="paragraph" w:customStyle="1" w:styleId="accountingpolicytitle">
    <w:name w:val="accounting policy title"/>
    <w:basedOn w:val="Normal"/>
    <w:uiPriority w:val="99"/>
    <w:rsid w:val="001F6214"/>
    <w:pPr>
      <w:spacing w:after="0" w:line="240" w:lineRule="auto"/>
      <w:jc w:val="both"/>
    </w:pPr>
    <w:rPr>
      <w:rFonts w:ascii="Arial" w:eastAsia="Times New Roman" w:hAnsi="Arial"/>
      <w:b/>
      <w:sz w:val="19"/>
      <w:szCs w:val="20"/>
      <w:lang w:val="pl-PL"/>
    </w:rPr>
  </w:style>
  <w:style w:type="paragraph" w:customStyle="1" w:styleId="PH1">
    <w:name w:val="PH1"/>
    <w:basedOn w:val="Normal"/>
    <w:rsid w:val="001F6214"/>
    <w:pPr>
      <w:spacing w:after="0" w:line="301" w:lineRule="exact"/>
    </w:pPr>
    <w:rPr>
      <w:rFonts w:ascii="Arial" w:eastAsia="Times New Roman" w:hAnsi="Arial"/>
      <w:sz w:val="19"/>
      <w:szCs w:val="20"/>
    </w:rPr>
  </w:style>
  <w:style w:type="paragraph" w:customStyle="1" w:styleId="TH">
    <w:name w:val="TH"/>
    <w:basedOn w:val="Normal"/>
    <w:rsid w:val="001F6214"/>
    <w:pPr>
      <w:tabs>
        <w:tab w:val="right" w:pos="1202"/>
      </w:tabs>
      <w:spacing w:after="0" w:line="240" w:lineRule="atLeast"/>
      <w:outlineLvl w:val="0"/>
    </w:pPr>
    <w:rPr>
      <w:rFonts w:ascii="Arial" w:eastAsia="Times New Roman" w:hAnsi="Arial"/>
      <w:b/>
      <w:sz w:val="19"/>
      <w:szCs w:val="20"/>
    </w:rPr>
  </w:style>
  <w:style w:type="character" w:styleId="LineNumber">
    <w:name w:val="line number"/>
    <w:basedOn w:val="DefaultParagraphFont"/>
    <w:uiPriority w:val="99"/>
    <w:semiHidden/>
    <w:unhideWhenUsed/>
    <w:rsid w:val="00797A88"/>
  </w:style>
  <w:style w:type="paragraph" w:customStyle="1" w:styleId="Bodycopy">
    <w:name w:val="Body copy"/>
    <w:rsid w:val="00B81E3B"/>
    <w:pPr>
      <w:spacing w:before="20" w:line="210" w:lineRule="exact"/>
    </w:pPr>
    <w:rPr>
      <w:rFonts w:ascii="Arial" w:eastAsia="PMingLiU" w:hAnsi="Arial" w:cs="Arial"/>
      <w:color w:val="000000"/>
      <w:sz w:val="17"/>
      <w:szCs w:val="17"/>
      <w:lang w:val="hr-HR" w:eastAsia="hr-HR" w:bidi="hr-HR"/>
    </w:rPr>
  </w:style>
  <w:style w:type="character" w:customStyle="1" w:styleId="Heading2Char">
    <w:name w:val="Heading 2 Char"/>
    <w:link w:val="Heading2"/>
    <w:rsid w:val="00117564"/>
    <w:rPr>
      <w:rFonts w:ascii="Cambria" w:eastAsia="Times New Roman" w:hAnsi="Cambria" w:cs="Times New Roman"/>
      <w:b/>
      <w:bCs/>
      <w:i/>
      <w:iCs/>
      <w:sz w:val="28"/>
      <w:szCs w:val="28"/>
      <w:lang w:val="x-none" w:eastAsia="x-none"/>
    </w:rPr>
  </w:style>
  <w:style w:type="paragraph" w:customStyle="1" w:styleId="t-9-8">
    <w:name w:val="t-9-8"/>
    <w:basedOn w:val="Normal"/>
    <w:rsid w:val="00117564"/>
    <w:pPr>
      <w:spacing w:before="100" w:beforeAutospacing="1" w:after="100" w:afterAutospacing="1" w:line="240" w:lineRule="auto"/>
    </w:pPr>
    <w:rPr>
      <w:rFonts w:ascii="Times New Roman" w:eastAsia="Times New Roman" w:hAnsi="Times New Roman"/>
      <w:sz w:val="24"/>
      <w:szCs w:val="24"/>
      <w:lang w:eastAsia="hr-HR"/>
    </w:rPr>
  </w:style>
  <w:style w:type="paragraph" w:styleId="BodyTextIndent">
    <w:name w:val="Body Text Indent"/>
    <w:basedOn w:val="Normal"/>
    <w:link w:val="BodyTextIndentChar"/>
    <w:uiPriority w:val="99"/>
    <w:semiHidden/>
    <w:unhideWhenUsed/>
    <w:rsid w:val="00D43533"/>
    <w:pPr>
      <w:spacing w:after="120"/>
      <w:ind w:left="283"/>
    </w:pPr>
  </w:style>
  <w:style w:type="character" w:customStyle="1" w:styleId="BodyTextIndentChar">
    <w:name w:val="Body Text Indent Char"/>
    <w:basedOn w:val="DefaultParagraphFont"/>
    <w:link w:val="BodyTextIndent"/>
    <w:uiPriority w:val="99"/>
    <w:semiHidden/>
    <w:rsid w:val="00D43533"/>
  </w:style>
  <w:style w:type="paragraph" w:customStyle="1" w:styleId="T2">
    <w:name w:val="T2"/>
    <w:basedOn w:val="Normal"/>
    <w:rsid w:val="00C42D42"/>
    <w:pPr>
      <w:keepNext/>
      <w:spacing w:after="0" w:line="301" w:lineRule="atLeast"/>
    </w:pPr>
    <w:rPr>
      <w:rFonts w:ascii="Arial" w:eastAsia="Times New Roman" w:hAnsi="Arial"/>
      <w:sz w:val="19"/>
      <w:szCs w:val="20"/>
    </w:rPr>
  </w:style>
  <w:style w:type="paragraph" w:customStyle="1" w:styleId="PH">
    <w:name w:val="PH"/>
    <w:basedOn w:val="Header"/>
    <w:rsid w:val="00D81EB1"/>
    <w:pPr>
      <w:tabs>
        <w:tab w:val="clear" w:pos="4536"/>
        <w:tab w:val="clear" w:pos="9072"/>
      </w:tabs>
      <w:spacing w:line="301" w:lineRule="atLeast"/>
    </w:pPr>
    <w:rPr>
      <w:rFonts w:ascii="Arial" w:eastAsia="Times New Roman" w:hAnsi="Arial"/>
      <w:sz w:val="24"/>
      <w:szCs w:val="20"/>
    </w:rPr>
  </w:style>
  <w:style w:type="character" w:styleId="PageNumber">
    <w:name w:val="page number"/>
    <w:basedOn w:val="DefaultParagraphFont"/>
    <w:rsid w:val="00D81EB1"/>
  </w:style>
  <w:style w:type="paragraph" w:customStyle="1" w:styleId="Level1">
    <w:name w:val="Level 1"/>
    <w:basedOn w:val="Normal"/>
    <w:next w:val="Normal"/>
    <w:rsid w:val="00EC1B73"/>
    <w:pPr>
      <w:keepNext/>
      <w:numPr>
        <w:numId w:val="43"/>
      </w:numPr>
      <w:spacing w:before="140" w:after="140" w:line="290" w:lineRule="auto"/>
      <w:jc w:val="both"/>
      <w:outlineLvl w:val="0"/>
    </w:pPr>
    <w:rPr>
      <w:rFonts w:ascii="Arial" w:eastAsia="Times New Roman" w:hAnsi="Arial"/>
      <w:b/>
      <w:kern w:val="20"/>
      <w:szCs w:val="20"/>
    </w:rPr>
  </w:style>
  <w:style w:type="paragraph" w:customStyle="1" w:styleId="Level2">
    <w:name w:val="Level 2"/>
    <w:basedOn w:val="Normal"/>
    <w:rsid w:val="00EC1B73"/>
    <w:pPr>
      <w:numPr>
        <w:ilvl w:val="1"/>
        <w:numId w:val="43"/>
      </w:numPr>
      <w:spacing w:after="140" w:line="290" w:lineRule="auto"/>
      <w:jc w:val="both"/>
    </w:pPr>
    <w:rPr>
      <w:rFonts w:ascii="Arial" w:eastAsia="Times New Roman" w:hAnsi="Arial"/>
      <w:kern w:val="20"/>
      <w:sz w:val="20"/>
      <w:szCs w:val="20"/>
    </w:rPr>
  </w:style>
  <w:style w:type="paragraph" w:customStyle="1" w:styleId="Level3">
    <w:name w:val="Level 3"/>
    <w:basedOn w:val="Normal"/>
    <w:rsid w:val="00EC1B73"/>
    <w:pPr>
      <w:numPr>
        <w:ilvl w:val="2"/>
        <w:numId w:val="43"/>
      </w:numPr>
      <w:spacing w:after="140" w:line="290" w:lineRule="auto"/>
      <w:jc w:val="both"/>
    </w:pPr>
    <w:rPr>
      <w:rFonts w:ascii="Arial" w:eastAsia="Times New Roman" w:hAnsi="Arial"/>
      <w:kern w:val="20"/>
      <w:sz w:val="20"/>
      <w:szCs w:val="20"/>
    </w:rPr>
  </w:style>
  <w:style w:type="paragraph" w:customStyle="1" w:styleId="Level4">
    <w:name w:val="Level 4"/>
    <w:basedOn w:val="Normal"/>
    <w:rsid w:val="00EC1B73"/>
    <w:pPr>
      <w:numPr>
        <w:ilvl w:val="3"/>
        <w:numId w:val="43"/>
      </w:numPr>
      <w:spacing w:after="140" w:line="290" w:lineRule="auto"/>
      <w:jc w:val="both"/>
    </w:pPr>
    <w:rPr>
      <w:rFonts w:ascii="Arial" w:eastAsia="Times New Roman" w:hAnsi="Arial"/>
      <w:kern w:val="20"/>
      <w:sz w:val="20"/>
      <w:szCs w:val="20"/>
    </w:rPr>
  </w:style>
  <w:style w:type="paragraph" w:customStyle="1" w:styleId="Level5">
    <w:name w:val="Level 5"/>
    <w:basedOn w:val="Normal"/>
    <w:rsid w:val="00EC1B73"/>
    <w:pPr>
      <w:numPr>
        <w:ilvl w:val="4"/>
        <w:numId w:val="43"/>
      </w:numPr>
      <w:spacing w:after="140" w:line="290" w:lineRule="auto"/>
      <w:jc w:val="both"/>
    </w:pPr>
    <w:rPr>
      <w:rFonts w:ascii="Arial" w:eastAsia="Times New Roman" w:hAnsi="Arial"/>
      <w:kern w:val="20"/>
      <w:sz w:val="20"/>
      <w:szCs w:val="20"/>
    </w:rPr>
  </w:style>
  <w:style w:type="paragraph" w:customStyle="1" w:styleId="Level6">
    <w:name w:val="Level 6"/>
    <w:basedOn w:val="Normal"/>
    <w:rsid w:val="00EC1B73"/>
    <w:pPr>
      <w:numPr>
        <w:ilvl w:val="5"/>
        <w:numId w:val="43"/>
      </w:numPr>
      <w:spacing w:after="140" w:line="290" w:lineRule="auto"/>
      <w:jc w:val="both"/>
    </w:pPr>
    <w:rPr>
      <w:rFonts w:ascii="Arial" w:eastAsia="Times New Roman" w:hAnsi="Arial"/>
      <w:kern w:val="20"/>
      <w:sz w:val="20"/>
      <w:szCs w:val="20"/>
    </w:rPr>
  </w:style>
  <w:style w:type="paragraph" w:styleId="NormalWeb">
    <w:name w:val="Normal (Web)"/>
    <w:basedOn w:val="Normal"/>
    <w:rsid w:val="00282C5F"/>
    <w:pPr>
      <w:spacing w:before="100" w:beforeAutospacing="1" w:after="100" w:afterAutospacing="1" w:line="240" w:lineRule="auto"/>
    </w:pPr>
    <w:rPr>
      <w:rFonts w:ascii="Times New Roman" w:eastAsia="Times New Roman" w:hAnsi="Times New Roman"/>
      <w:sz w:val="24"/>
      <w:szCs w:val="24"/>
      <w:lang w:val="en-US" w:eastAsia="hr-HR"/>
    </w:rPr>
  </w:style>
  <w:style w:type="paragraph" w:customStyle="1" w:styleId="T1PARAGRAPH0">
    <w:name w:val="T1 PARAGRAPH"/>
    <w:basedOn w:val="T1"/>
    <w:next w:val="T1"/>
    <w:rsid w:val="008C1D44"/>
    <w:pPr>
      <w:spacing w:before="160" w:after="160" w:line="200" w:lineRule="exact"/>
      <w:ind w:left="547"/>
      <w:jc w:val="left"/>
    </w:pPr>
    <w:rPr>
      <w:b w:val="0"/>
      <w:bCs w:val="0"/>
      <w:lang w:val="hr-HR"/>
    </w:rPr>
  </w:style>
  <w:style w:type="paragraph" w:styleId="Revision">
    <w:name w:val="Revision"/>
    <w:hidden/>
    <w:uiPriority w:val="99"/>
    <w:semiHidden/>
    <w:rsid w:val="003E0945"/>
    <w:rPr>
      <w:sz w:val="22"/>
      <w:szCs w:val="22"/>
      <w:lang w:eastAsia="en-US"/>
    </w:rPr>
  </w:style>
  <w:style w:type="table" w:customStyle="1" w:styleId="TableGrid2">
    <w:name w:val="Table Grid2"/>
    <w:basedOn w:val="TableNormal"/>
    <w:next w:val="TableGrid"/>
    <w:uiPriority w:val="59"/>
    <w:rsid w:val="0022192E"/>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D02AF"/>
    <w:rPr>
      <w:sz w:val="22"/>
      <w:szCs w:val="22"/>
      <w:lang w:eastAsia="en-US"/>
    </w:rPr>
  </w:style>
  <w:style w:type="character" w:styleId="Hyperlink">
    <w:name w:val="Hyperlink"/>
    <w:basedOn w:val="DefaultParagraphFont"/>
    <w:uiPriority w:val="99"/>
    <w:semiHidden/>
    <w:unhideWhenUsed/>
    <w:rsid w:val="00C51632"/>
    <w:rPr>
      <w:color w:val="0000FF"/>
      <w:u w:val="single"/>
    </w:rPr>
  </w:style>
  <w:style w:type="numbering" w:customStyle="1" w:styleId="NoList1">
    <w:name w:val="No List1"/>
    <w:next w:val="NoList"/>
    <w:uiPriority w:val="99"/>
    <w:semiHidden/>
    <w:unhideWhenUsed/>
    <w:rsid w:val="009702B0"/>
  </w:style>
  <w:style w:type="table" w:customStyle="1" w:styleId="TableGrid3">
    <w:name w:val="Table Grid3"/>
    <w:basedOn w:val="TableNormal"/>
    <w:next w:val="TableGrid"/>
    <w:uiPriority w:val="59"/>
    <w:rsid w:val="009702B0"/>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9702B0"/>
    <w:pPr>
      <w:jc w:val="both"/>
    </w:pPr>
    <w:rPr>
      <w:rFonts w:ascii="Times New Roman" w:eastAsia="Times New Roman" w:hAnsi="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702B0"/>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28016">
      <w:bodyDiv w:val="1"/>
      <w:marLeft w:val="0"/>
      <w:marRight w:val="0"/>
      <w:marTop w:val="0"/>
      <w:marBottom w:val="0"/>
      <w:divBdr>
        <w:top w:val="none" w:sz="0" w:space="0" w:color="auto"/>
        <w:left w:val="none" w:sz="0" w:space="0" w:color="auto"/>
        <w:bottom w:val="none" w:sz="0" w:space="0" w:color="auto"/>
        <w:right w:val="none" w:sz="0" w:space="0" w:color="auto"/>
      </w:divBdr>
    </w:div>
    <w:div w:id="160892049">
      <w:bodyDiv w:val="1"/>
      <w:marLeft w:val="0"/>
      <w:marRight w:val="0"/>
      <w:marTop w:val="0"/>
      <w:marBottom w:val="0"/>
      <w:divBdr>
        <w:top w:val="none" w:sz="0" w:space="0" w:color="auto"/>
        <w:left w:val="none" w:sz="0" w:space="0" w:color="auto"/>
        <w:bottom w:val="none" w:sz="0" w:space="0" w:color="auto"/>
        <w:right w:val="none" w:sz="0" w:space="0" w:color="auto"/>
      </w:divBdr>
    </w:div>
    <w:div w:id="268123307">
      <w:bodyDiv w:val="1"/>
      <w:marLeft w:val="0"/>
      <w:marRight w:val="0"/>
      <w:marTop w:val="0"/>
      <w:marBottom w:val="0"/>
      <w:divBdr>
        <w:top w:val="none" w:sz="0" w:space="0" w:color="auto"/>
        <w:left w:val="none" w:sz="0" w:space="0" w:color="auto"/>
        <w:bottom w:val="none" w:sz="0" w:space="0" w:color="auto"/>
        <w:right w:val="none" w:sz="0" w:space="0" w:color="auto"/>
      </w:divBdr>
    </w:div>
    <w:div w:id="447117472">
      <w:bodyDiv w:val="1"/>
      <w:marLeft w:val="0"/>
      <w:marRight w:val="0"/>
      <w:marTop w:val="0"/>
      <w:marBottom w:val="0"/>
      <w:divBdr>
        <w:top w:val="none" w:sz="0" w:space="0" w:color="auto"/>
        <w:left w:val="none" w:sz="0" w:space="0" w:color="auto"/>
        <w:bottom w:val="none" w:sz="0" w:space="0" w:color="auto"/>
        <w:right w:val="none" w:sz="0" w:space="0" w:color="auto"/>
      </w:divBdr>
    </w:div>
    <w:div w:id="469632562">
      <w:bodyDiv w:val="1"/>
      <w:marLeft w:val="0"/>
      <w:marRight w:val="0"/>
      <w:marTop w:val="0"/>
      <w:marBottom w:val="0"/>
      <w:divBdr>
        <w:top w:val="none" w:sz="0" w:space="0" w:color="auto"/>
        <w:left w:val="none" w:sz="0" w:space="0" w:color="auto"/>
        <w:bottom w:val="none" w:sz="0" w:space="0" w:color="auto"/>
        <w:right w:val="none" w:sz="0" w:space="0" w:color="auto"/>
      </w:divBdr>
    </w:div>
    <w:div w:id="505173335">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605381205">
      <w:bodyDiv w:val="1"/>
      <w:marLeft w:val="0"/>
      <w:marRight w:val="0"/>
      <w:marTop w:val="0"/>
      <w:marBottom w:val="0"/>
      <w:divBdr>
        <w:top w:val="none" w:sz="0" w:space="0" w:color="auto"/>
        <w:left w:val="none" w:sz="0" w:space="0" w:color="auto"/>
        <w:bottom w:val="none" w:sz="0" w:space="0" w:color="auto"/>
        <w:right w:val="none" w:sz="0" w:space="0" w:color="auto"/>
      </w:divBdr>
    </w:div>
    <w:div w:id="609358253">
      <w:bodyDiv w:val="1"/>
      <w:marLeft w:val="0"/>
      <w:marRight w:val="0"/>
      <w:marTop w:val="0"/>
      <w:marBottom w:val="0"/>
      <w:divBdr>
        <w:top w:val="none" w:sz="0" w:space="0" w:color="auto"/>
        <w:left w:val="none" w:sz="0" w:space="0" w:color="auto"/>
        <w:bottom w:val="none" w:sz="0" w:space="0" w:color="auto"/>
        <w:right w:val="none" w:sz="0" w:space="0" w:color="auto"/>
      </w:divBdr>
    </w:div>
    <w:div w:id="671034903">
      <w:bodyDiv w:val="1"/>
      <w:marLeft w:val="0"/>
      <w:marRight w:val="0"/>
      <w:marTop w:val="0"/>
      <w:marBottom w:val="0"/>
      <w:divBdr>
        <w:top w:val="none" w:sz="0" w:space="0" w:color="auto"/>
        <w:left w:val="none" w:sz="0" w:space="0" w:color="auto"/>
        <w:bottom w:val="none" w:sz="0" w:space="0" w:color="auto"/>
        <w:right w:val="none" w:sz="0" w:space="0" w:color="auto"/>
      </w:divBdr>
    </w:div>
    <w:div w:id="673535158">
      <w:bodyDiv w:val="1"/>
      <w:marLeft w:val="0"/>
      <w:marRight w:val="0"/>
      <w:marTop w:val="0"/>
      <w:marBottom w:val="0"/>
      <w:divBdr>
        <w:top w:val="none" w:sz="0" w:space="0" w:color="auto"/>
        <w:left w:val="none" w:sz="0" w:space="0" w:color="auto"/>
        <w:bottom w:val="none" w:sz="0" w:space="0" w:color="auto"/>
        <w:right w:val="none" w:sz="0" w:space="0" w:color="auto"/>
      </w:divBdr>
    </w:div>
    <w:div w:id="1015494067">
      <w:bodyDiv w:val="1"/>
      <w:marLeft w:val="0"/>
      <w:marRight w:val="0"/>
      <w:marTop w:val="0"/>
      <w:marBottom w:val="0"/>
      <w:divBdr>
        <w:top w:val="none" w:sz="0" w:space="0" w:color="auto"/>
        <w:left w:val="none" w:sz="0" w:space="0" w:color="auto"/>
        <w:bottom w:val="none" w:sz="0" w:space="0" w:color="auto"/>
        <w:right w:val="none" w:sz="0" w:space="0" w:color="auto"/>
      </w:divBdr>
    </w:div>
    <w:div w:id="1038163005">
      <w:bodyDiv w:val="1"/>
      <w:marLeft w:val="0"/>
      <w:marRight w:val="0"/>
      <w:marTop w:val="0"/>
      <w:marBottom w:val="0"/>
      <w:divBdr>
        <w:top w:val="none" w:sz="0" w:space="0" w:color="auto"/>
        <w:left w:val="none" w:sz="0" w:space="0" w:color="auto"/>
        <w:bottom w:val="none" w:sz="0" w:space="0" w:color="auto"/>
        <w:right w:val="none" w:sz="0" w:space="0" w:color="auto"/>
      </w:divBdr>
    </w:div>
    <w:div w:id="1092704683">
      <w:bodyDiv w:val="1"/>
      <w:marLeft w:val="0"/>
      <w:marRight w:val="0"/>
      <w:marTop w:val="0"/>
      <w:marBottom w:val="0"/>
      <w:divBdr>
        <w:top w:val="none" w:sz="0" w:space="0" w:color="auto"/>
        <w:left w:val="none" w:sz="0" w:space="0" w:color="auto"/>
        <w:bottom w:val="none" w:sz="0" w:space="0" w:color="auto"/>
        <w:right w:val="none" w:sz="0" w:space="0" w:color="auto"/>
      </w:divBdr>
    </w:div>
    <w:div w:id="1101880869">
      <w:bodyDiv w:val="1"/>
      <w:marLeft w:val="0"/>
      <w:marRight w:val="0"/>
      <w:marTop w:val="0"/>
      <w:marBottom w:val="0"/>
      <w:divBdr>
        <w:top w:val="none" w:sz="0" w:space="0" w:color="auto"/>
        <w:left w:val="none" w:sz="0" w:space="0" w:color="auto"/>
        <w:bottom w:val="none" w:sz="0" w:space="0" w:color="auto"/>
        <w:right w:val="none" w:sz="0" w:space="0" w:color="auto"/>
      </w:divBdr>
    </w:div>
    <w:div w:id="1226837440">
      <w:bodyDiv w:val="1"/>
      <w:marLeft w:val="0"/>
      <w:marRight w:val="0"/>
      <w:marTop w:val="0"/>
      <w:marBottom w:val="0"/>
      <w:divBdr>
        <w:top w:val="none" w:sz="0" w:space="0" w:color="auto"/>
        <w:left w:val="none" w:sz="0" w:space="0" w:color="auto"/>
        <w:bottom w:val="none" w:sz="0" w:space="0" w:color="auto"/>
        <w:right w:val="none" w:sz="0" w:space="0" w:color="auto"/>
      </w:divBdr>
    </w:div>
    <w:div w:id="1318728917">
      <w:bodyDiv w:val="1"/>
      <w:marLeft w:val="0"/>
      <w:marRight w:val="0"/>
      <w:marTop w:val="0"/>
      <w:marBottom w:val="0"/>
      <w:divBdr>
        <w:top w:val="none" w:sz="0" w:space="0" w:color="auto"/>
        <w:left w:val="none" w:sz="0" w:space="0" w:color="auto"/>
        <w:bottom w:val="none" w:sz="0" w:space="0" w:color="auto"/>
        <w:right w:val="none" w:sz="0" w:space="0" w:color="auto"/>
      </w:divBdr>
    </w:div>
    <w:div w:id="1420761027">
      <w:bodyDiv w:val="1"/>
      <w:marLeft w:val="0"/>
      <w:marRight w:val="0"/>
      <w:marTop w:val="0"/>
      <w:marBottom w:val="0"/>
      <w:divBdr>
        <w:top w:val="none" w:sz="0" w:space="0" w:color="auto"/>
        <w:left w:val="none" w:sz="0" w:space="0" w:color="auto"/>
        <w:bottom w:val="none" w:sz="0" w:space="0" w:color="auto"/>
        <w:right w:val="none" w:sz="0" w:space="0" w:color="auto"/>
      </w:divBdr>
    </w:div>
    <w:div w:id="1523009899">
      <w:bodyDiv w:val="1"/>
      <w:marLeft w:val="0"/>
      <w:marRight w:val="0"/>
      <w:marTop w:val="0"/>
      <w:marBottom w:val="0"/>
      <w:divBdr>
        <w:top w:val="none" w:sz="0" w:space="0" w:color="auto"/>
        <w:left w:val="none" w:sz="0" w:space="0" w:color="auto"/>
        <w:bottom w:val="none" w:sz="0" w:space="0" w:color="auto"/>
        <w:right w:val="none" w:sz="0" w:space="0" w:color="auto"/>
      </w:divBdr>
    </w:div>
    <w:div w:id="1587230030">
      <w:bodyDiv w:val="1"/>
      <w:marLeft w:val="0"/>
      <w:marRight w:val="0"/>
      <w:marTop w:val="0"/>
      <w:marBottom w:val="0"/>
      <w:divBdr>
        <w:top w:val="none" w:sz="0" w:space="0" w:color="auto"/>
        <w:left w:val="none" w:sz="0" w:space="0" w:color="auto"/>
        <w:bottom w:val="none" w:sz="0" w:space="0" w:color="auto"/>
        <w:right w:val="none" w:sz="0" w:space="0" w:color="auto"/>
      </w:divBdr>
    </w:div>
    <w:div w:id="1588613742">
      <w:bodyDiv w:val="1"/>
      <w:marLeft w:val="0"/>
      <w:marRight w:val="0"/>
      <w:marTop w:val="0"/>
      <w:marBottom w:val="0"/>
      <w:divBdr>
        <w:top w:val="none" w:sz="0" w:space="0" w:color="auto"/>
        <w:left w:val="none" w:sz="0" w:space="0" w:color="auto"/>
        <w:bottom w:val="none" w:sz="0" w:space="0" w:color="auto"/>
        <w:right w:val="none" w:sz="0" w:space="0" w:color="auto"/>
      </w:divBdr>
    </w:div>
    <w:div w:id="1600986362">
      <w:bodyDiv w:val="1"/>
      <w:marLeft w:val="0"/>
      <w:marRight w:val="0"/>
      <w:marTop w:val="0"/>
      <w:marBottom w:val="0"/>
      <w:divBdr>
        <w:top w:val="none" w:sz="0" w:space="0" w:color="auto"/>
        <w:left w:val="none" w:sz="0" w:space="0" w:color="auto"/>
        <w:bottom w:val="none" w:sz="0" w:space="0" w:color="auto"/>
        <w:right w:val="none" w:sz="0" w:space="0" w:color="auto"/>
      </w:divBdr>
    </w:div>
    <w:div w:id="1637180217">
      <w:bodyDiv w:val="1"/>
      <w:marLeft w:val="0"/>
      <w:marRight w:val="0"/>
      <w:marTop w:val="0"/>
      <w:marBottom w:val="0"/>
      <w:divBdr>
        <w:top w:val="none" w:sz="0" w:space="0" w:color="auto"/>
        <w:left w:val="none" w:sz="0" w:space="0" w:color="auto"/>
        <w:bottom w:val="none" w:sz="0" w:space="0" w:color="auto"/>
        <w:right w:val="none" w:sz="0" w:space="0" w:color="auto"/>
      </w:divBdr>
    </w:div>
    <w:div w:id="1639532898">
      <w:bodyDiv w:val="1"/>
      <w:marLeft w:val="0"/>
      <w:marRight w:val="0"/>
      <w:marTop w:val="0"/>
      <w:marBottom w:val="0"/>
      <w:divBdr>
        <w:top w:val="none" w:sz="0" w:space="0" w:color="auto"/>
        <w:left w:val="none" w:sz="0" w:space="0" w:color="auto"/>
        <w:bottom w:val="none" w:sz="0" w:space="0" w:color="auto"/>
        <w:right w:val="none" w:sz="0" w:space="0" w:color="auto"/>
      </w:divBdr>
      <w:divsChild>
        <w:div w:id="865025554">
          <w:marLeft w:val="0"/>
          <w:marRight w:val="0"/>
          <w:marTop w:val="0"/>
          <w:marBottom w:val="0"/>
          <w:divBdr>
            <w:top w:val="none" w:sz="0" w:space="0" w:color="auto"/>
            <w:left w:val="none" w:sz="0" w:space="0" w:color="auto"/>
            <w:bottom w:val="none" w:sz="0" w:space="0" w:color="auto"/>
            <w:right w:val="none" w:sz="0" w:space="0" w:color="auto"/>
          </w:divBdr>
          <w:divsChild>
            <w:div w:id="3121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62099">
      <w:bodyDiv w:val="1"/>
      <w:marLeft w:val="0"/>
      <w:marRight w:val="0"/>
      <w:marTop w:val="0"/>
      <w:marBottom w:val="0"/>
      <w:divBdr>
        <w:top w:val="none" w:sz="0" w:space="0" w:color="auto"/>
        <w:left w:val="none" w:sz="0" w:space="0" w:color="auto"/>
        <w:bottom w:val="none" w:sz="0" w:space="0" w:color="auto"/>
        <w:right w:val="none" w:sz="0" w:space="0" w:color="auto"/>
      </w:divBdr>
    </w:div>
    <w:div w:id="201244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117" Type="http://schemas.openxmlformats.org/officeDocument/2006/relationships/footer" Target="footer90.xml"/><Relationship Id="rId21" Type="http://schemas.openxmlformats.org/officeDocument/2006/relationships/footer" Target="footer7.xml"/><Relationship Id="rId42" Type="http://schemas.openxmlformats.org/officeDocument/2006/relationships/footer" Target="footer17.xml"/><Relationship Id="rId47" Type="http://schemas.openxmlformats.org/officeDocument/2006/relationships/footer" Target="footer21.xml"/><Relationship Id="rId63" Type="http://schemas.openxmlformats.org/officeDocument/2006/relationships/footer" Target="footer37.xml"/><Relationship Id="rId68" Type="http://schemas.openxmlformats.org/officeDocument/2006/relationships/footer" Target="footer42.xml"/><Relationship Id="rId84" Type="http://schemas.openxmlformats.org/officeDocument/2006/relationships/footer" Target="footer57.xml"/><Relationship Id="rId89" Type="http://schemas.openxmlformats.org/officeDocument/2006/relationships/footer" Target="footer62.xml"/><Relationship Id="rId112" Type="http://schemas.openxmlformats.org/officeDocument/2006/relationships/footer" Target="footer85.xml"/><Relationship Id="rId133" Type="http://schemas.openxmlformats.org/officeDocument/2006/relationships/footer" Target="footer104.xml"/><Relationship Id="rId138" Type="http://schemas.openxmlformats.org/officeDocument/2006/relationships/header" Target="header24.xml"/><Relationship Id="rId16" Type="http://schemas.openxmlformats.org/officeDocument/2006/relationships/header" Target="header5.xml"/><Relationship Id="rId107" Type="http://schemas.openxmlformats.org/officeDocument/2006/relationships/footer" Target="footer80.xml"/><Relationship Id="rId11" Type="http://schemas.openxmlformats.org/officeDocument/2006/relationships/header" Target="header2.xml"/><Relationship Id="rId32" Type="http://schemas.openxmlformats.org/officeDocument/2006/relationships/footer" Target="footer12.xml"/><Relationship Id="rId37" Type="http://schemas.openxmlformats.org/officeDocument/2006/relationships/header" Target="header16.xml"/><Relationship Id="rId53" Type="http://schemas.openxmlformats.org/officeDocument/2006/relationships/footer" Target="footer27.xml"/><Relationship Id="rId58" Type="http://schemas.openxmlformats.org/officeDocument/2006/relationships/footer" Target="footer32.xml"/><Relationship Id="rId74" Type="http://schemas.openxmlformats.org/officeDocument/2006/relationships/footer" Target="footer48.xml"/><Relationship Id="rId79" Type="http://schemas.openxmlformats.org/officeDocument/2006/relationships/footer" Target="footer52.xml"/><Relationship Id="rId102" Type="http://schemas.openxmlformats.org/officeDocument/2006/relationships/footer" Target="footer75.xml"/><Relationship Id="rId123" Type="http://schemas.openxmlformats.org/officeDocument/2006/relationships/footer" Target="footer96.xml"/><Relationship Id="rId128" Type="http://schemas.openxmlformats.org/officeDocument/2006/relationships/footer" Target="footer101.xml"/><Relationship Id="rId5" Type="http://schemas.openxmlformats.org/officeDocument/2006/relationships/webSettings" Target="webSettings.xml"/><Relationship Id="rId90" Type="http://schemas.openxmlformats.org/officeDocument/2006/relationships/footer" Target="footer63.xml"/><Relationship Id="rId95" Type="http://schemas.openxmlformats.org/officeDocument/2006/relationships/footer" Target="footer68.xml"/><Relationship Id="rId22" Type="http://schemas.openxmlformats.org/officeDocument/2006/relationships/header" Target="header8.xml"/><Relationship Id="rId27" Type="http://schemas.openxmlformats.org/officeDocument/2006/relationships/header" Target="header11.xml"/><Relationship Id="rId43" Type="http://schemas.openxmlformats.org/officeDocument/2006/relationships/footer" Target="footer18.xml"/><Relationship Id="rId48" Type="http://schemas.openxmlformats.org/officeDocument/2006/relationships/footer" Target="footer22.xml"/><Relationship Id="rId64" Type="http://schemas.openxmlformats.org/officeDocument/2006/relationships/footer" Target="footer38.xml"/><Relationship Id="rId69" Type="http://schemas.openxmlformats.org/officeDocument/2006/relationships/footer" Target="footer43.xml"/><Relationship Id="rId113" Type="http://schemas.openxmlformats.org/officeDocument/2006/relationships/footer" Target="footer86.xml"/><Relationship Id="rId118" Type="http://schemas.openxmlformats.org/officeDocument/2006/relationships/footer" Target="footer91.xml"/><Relationship Id="rId134" Type="http://schemas.openxmlformats.org/officeDocument/2006/relationships/header" Target="header22.xml"/><Relationship Id="rId139" Type="http://schemas.openxmlformats.org/officeDocument/2006/relationships/footer" Target="footer107.xml"/><Relationship Id="rId8" Type="http://schemas.openxmlformats.org/officeDocument/2006/relationships/header" Target="header1.xml"/><Relationship Id="rId51" Type="http://schemas.openxmlformats.org/officeDocument/2006/relationships/footer" Target="footer25.xml"/><Relationship Id="rId72" Type="http://schemas.openxmlformats.org/officeDocument/2006/relationships/footer" Target="footer46.xml"/><Relationship Id="rId80" Type="http://schemas.openxmlformats.org/officeDocument/2006/relationships/footer" Target="footer53.xml"/><Relationship Id="rId85" Type="http://schemas.openxmlformats.org/officeDocument/2006/relationships/footer" Target="footer58.xml"/><Relationship Id="rId93" Type="http://schemas.openxmlformats.org/officeDocument/2006/relationships/footer" Target="footer66.xml"/><Relationship Id="rId98" Type="http://schemas.openxmlformats.org/officeDocument/2006/relationships/footer" Target="footer71.xml"/><Relationship Id="rId121" Type="http://schemas.openxmlformats.org/officeDocument/2006/relationships/footer" Target="footer94.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5.xml"/><Relationship Id="rId46" Type="http://schemas.openxmlformats.org/officeDocument/2006/relationships/footer" Target="footer20.xml"/><Relationship Id="rId59" Type="http://schemas.openxmlformats.org/officeDocument/2006/relationships/footer" Target="footer33.xml"/><Relationship Id="rId67" Type="http://schemas.openxmlformats.org/officeDocument/2006/relationships/footer" Target="footer41.xml"/><Relationship Id="rId103" Type="http://schemas.openxmlformats.org/officeDocument/2006/relationships/footer" Target="footer76.xml"/><Relationship Id="rId108" Type="http://schemas.openxmlformats.org/officeDocument/2006/relationships/footer" Target="footer81.xml"/><Relationship Id="rId116" Type="http://schemas.openxmlformats.org/officeDocument/2006/relationships/footer" Target="footer89.xml"/><Relationship Id="rId124" Type="http://schemas.openxmlformats.org/officeDocument/2006/relationships/footer" Target="footer97.xml"/><Relationship Id="rId129" Type="http://schemas.openxmlformats.org/officeDocument/2006/relationships/footer" Target="footer102.xml"/><Relationship Id="rId137" Type="http://schemas.openxmlformats.org/officeDocument/2006/relationships/footer" Target="footer106.xml"/><Relationship Id="rId20" Type="http://schemas.openxmlformats.org/officeDocument/2006/relationships/header" Target="header7.xml"/><Relationship Id="rId41" Type="http://schemas.openxmlformats.org/officeDocument/2006/relationships/header" Target="header18.xml"/><Relationship Id="rId54" Type="http://schemas.openxmlformats.org/officeDocument/2006/relationships/footer" Target="footer28.xml"/><Relationship Id="rId62" Type="http://schemas.openxmlformats.org/officeDocument/2006/relationships/footer" Target="footer36.xml"/><Relationship Id="rId70" Type="http://schemas.openxmlformats.org/officeDocument/2006/relationships/footer" Target="footer44.xml"/><Relationship Id="rId75" Type="http://schemas.openxmlformats.org/officeDocument/2006/relationships/footer" Target="footer49.xml"/><Relationship Id="rId83" Type="http://schemas.openxmlformats.org/officeDocument/2006/relationships/footer" Target="footer56.xml"/><Relationship Id="rId88" Type="http://schemas.openxmlformats.org/officeDocument/2006/relationships/footer" Target="footer61.xml"/><Relationship Id="rId91" Type="http://schemas.openxmlformats.org/officeDocument/2006/relationships/footer" Target="footer64.xml"/><Relationship Id="rId96" Type="http://schemas.openxmlformats.org/officeDocument/2006/relationships/footer" Target="footer69.xml"/><Relationship Id="rId111" Type="http://schemas.openxmlformats.org/officeDocument/2006/relationships/footer" Target="footer84.xml"/><Relationship Id="rId132" Type="http://schemas.openxmlformats.org/officeDocument/2006/relationships/header" Target="header21.xm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footer" Target="footer23.xml"/><Relationship Id="rId57" Type="http://schemas.openxmlformats.org/officeDocument/2006/relationships/footer" Target="footer31.xml"/><Relationship Id="rId106" Type="http://schemas.openxmlformats.org/officeDocument/2006/relationships/footer" Target="footer79.xml"/><Relationship Id="rId114" Type="http://schemas.openxmlformats.org/officeDocument/2006/relationships/footer" Target="footer87.xml"/><Relationship Id="rId119" Type="http://schemas.openxmlformats.org/officeDocument/2006/relationships/footer" Target="footer92.xml"/><Relationship Id="rId127" Type="http://schemas.openxmlformats.org/officeDocument/2006/relationships/footer" Target="footer100.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6.xml"/><Relationship Id="rId60" Type="http://schemas.openxmlformats.org/officeDocument/2006/relationships/footer" Target="footer34.xml"/><Relationship Id="rId65" Type="http://schemas.openxmlformats.org/officeDocument/2006/relationships/footer" Target="footer39.xml"/><Relationship Id="rId73" Type="http://schemas.openxmlformats.org/officeDocument/2006/relationships/footer" Target="footer47.xml"/><Relationship Id="rId78" Type="http://schemas.openxmlformats.org/officeDocument/2006/relationships/header" Target="header19.xml"/><Relationship Id="rId81" Type="http://schemas.openxmlformats.org/officeDocument/2006/relationships/footer" Target="footer54.xml"/><Relationship Id="rId86" Type="http://schemas.openxmlformats.org/officeDocument/2006/relationships/footer" Target="footer59.xml"/><Relationship Id="rId94" Type="http://schemas.openxmlformats.org/officeDocument/2006/relationships/footer" Target="footer67.xml"/><Relationship Id="rId99" Type="http://schemas.openxmlformats.org/officeDocument/2006/relationships/footer" Target="footer72.xml"/><Relationship Id="rId101" Type="http://schemas.openxmlformats.org/officeDocument/2006/relationships/footer" Target="footer74.xml"/><Relationship Id="rId122" Type="http://schemas.openxmlformats.org/officeDocument/2006/relationships/footer" Target="footer95.xml"/><Relationship Id="rId130" Type="http://schemas.openxmlformats.org/officeDocument/2006/relationships/header" Target="header20.xml"/><Relationship Id="rId135" Type="http://schemas.openxmlformats.org/officeDocument/2006/relationships/footer" Target="footer105.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7.xml"/><Relationship Id="rId109" Type="http://schemas.openxmlformats.org/officeDocument/2006/relationships/footer" Target="footer82.xml"/><Relationship Id="rId34" Type="http://schemas.openxmlformats.org/officeDocument/2006/relationships/footer" Target="footer13.xml"/><Relationship Id="rId50" Type="http://schemas.openxmlformats.org/officeDocument/2006/relationships/footer" Target="footer24.xml"/><Relationship Id="rId55" Type="http://schemas.openxmlformats.org/officeDocument/2006/relationships/footer" Target="footer29.xml"/><Relationship Id="rId76" Type="http://schemas.openxmlformats.org/officeDocument/2006/relationships/footer" Target="footer50.xml"/><Relationship Id="rId97" Type="http://schemas.openxmlformats.org/officeDocument/2006/relationships/footer" Target="footer70.xml"/><Relationship Id="rId104" Type="http://schemas.openxmlformats.org/officeDocument/2006/relationships/footer" Target="footer77.xml"/><Relationship Id="rId120" Type="http://schemas.openxmlformats.org/officeDocument/2006/relationships/footer" Target="footer93.xml"/><Relationship Id="rId125" Type="http://schemas.openxmlformats.org/officeDocument/2006/relationships/footer" Target="footer98.xm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45.xml"/><Relationship Id="rId92" Type="http://schemas.openxmlformats.org/officeDocument/2006/relationships/footer" Target="footer65.xml"/><Relationship Id="rId2" Type="http://schemas.openxmlformats.org/officeDocument/2006/relationships/numbering" Target="numbering.xml"/><Relationship Id="rId29" Type="http://schemas.openxmlformats.org/officeDocument/2006/relationships/header" Target="header12.xml"/><Relationship Id="rId24" Type="http://schemas.openxmlformats.org/officeDocument/2006/relationships/footer" Target="footer8.xml"/><Relationship Id="rId40" Type="http://schemas.openxmlformats.org/officeDocument/2006/relationships/footer" Target="footer16.xml"/><Relationship Id="rId45" Type="http://schemas.openxmlformats.org/officeDocument/2006/relationships/hyperlink" Target="http://www.hbor.hr" TargetMode="External"/><Relationship Id="rId66" Type="http://schemas.openxmlformats.org/officeDocument/2006/relationships/footer" Target="footer40.xml"/><Relationship Id="rId87" Type="http://schemas.openxmlformats.org/officeDocument/2006/relationships/footer" Target="footer60.xml"/><Relationship Id="rId110" Type="http://schemas.openxmlformats.org/officeDocument/2006/relationships/footer" Target="footer83.xml"/><Relationship Id="rId115" Type="http://schemas.openxmlformats.org/officeDocument/2006/relationships/footer" Target="footer88.xml"/><Relationship Id="rId131" Type="http://schemas.openxmlformats.org/officeDocument/2006/relationships/footer" Target="footer103.xml"/><Relationship Id="rId136" Type="http://schemas.openxmlformats.org/officeDocument/2006/relationships/header" Target="header23.xml"/><Relationship Id="rId61" Type="http://schemas.openxmlformats.org/officeDocument/2006/relationships/footer" Target="footer35.xml"/><Relationship Id="rId82" Type="http://schemas.openxmlformats.org/officeDocument/2006/relationships/footer" Target="footer55.xml"/><Relationship Id="rId19" Type="http://schemas.openxmlformats.org/officeDocument/2006/relationships/footer" Target="footer6.xml"/><Relationship Id="rId14" Type="http://schemas.openxmlformats.org/officeDocument/2006/relationships/header" Target="header4.xml"/><Relationship Id="rId30" Type="http://schemas.openxmlformats.org/officeDocument/2006/relationships/footer" Target="footer11.xml"/><Relationship Id="rId35" Type="http://schemas.openxmlformats.org/officeDocument/2006/relationships/header" Target="header15.xml"/><Relationship Id="rId56" Type="http://schemas.openxmlformats.org/officeDocument/2006/relationships/footer" Target="footer30.xml"/><Relationship Id="rId77" Type="http://schemas.openxmlformats.org/officeDocument/2006/relationships/footer" Target="footer51.xml"/><Relationship Id="rId100" Type="http://schemas.openxmlformats.org/officeDocument/2006/relationships/footer" Target="footer73.xml"/><Relationship Id="rId105" Type="http://schemas.openxmlformats.org/officeDocument/2006/relationships/footer" Target="footer78.xml"/><Relationship Id="rId126" Type="http://schemas.openxmlformats.org/officeDocument/2006/relationships/footer" Target="footer9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030BC-50C3-4298-A8C1-C36EDBC1A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98</Pages>
  <Words>26253</Words>
  <Characters>149643</Characters>
  <Application>Microsoft Office Word</Application>
  <DocSecurity>0</DocSecurity>
  <Lines>1247</Lines>
  <Paragraphs>351</Paragraphs>
  <ScaleCrop>false</ScaleCrop>
  <HeadingPairs>
    <vt:vector size="2" baseType="variant">
      <vt:variant>
        <vt:lpstr>Title</vt:lpstr>
      </vt:variant>
      <vt:variant>
        <vt:i4>1</vt:i4>
      </vt:variant>
    </vt:vector>
  </HeadingPairs>
  <TitlesOfParts>
    <vt:vector size="1" baseType="lpstr">
      <vt:lpstr/>
    </vt:vector>
  </TitlesOfParts>
  <Company>HBOR</Company>
  <LinksUpToDate>false</LinksUpToDate>
  <CharactersWithSpaces>175545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dantolovic@hbor.hr</dc:creator>
  <cp:keywords/>
  <dc:description/>
  <cp:lastModifiedBy>Juras Mirjana</cp:lastModifiedBy>
  <cp:revision>19</cp:revision>
  <cp:lastPrinted>2017-11-23T11:15:00Z</cp:lastPrinted>
  <dcterms:created xsi:type="dcterms:W3CDTF">2017-10-02T09:18:00Z</dcterms:created>
  <dcterms:modified xsi:type="dcterms:W3CDTF">2017-11-23T11:17:00Z</dcterms:modified>
</cp:coreProperties>
</file>